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1ABB6" w14:textId="6B7383DF" w:rsidR="000126AE" w:rsidRPr="00E20D21" w:rsidRDefault="00317997">
      <w:pPr>
        <w:rPr>
          <w:rFonts w:ascii="CAIXA Std Book" w:hAnsi="CAIXA Std Book"/>
          <w:color w:val="005CA9"/>
        </w:rPr>
        <w:sectPr w:rsidR="000126AE" w:rsidRPr="00E20D21" w:rsidSect="001F0E96">
          <w:headerReference w:type="even" r:id="rId11"/>
          <w:headerReference w:type="default" r:id="rId12"/>
          <w:footerReference w:type="even" r:id="rId13"/>
          <w:footerReference w:type="default" r:id="rId14"/>
          <w:headerReference w:type="first" r:id="rId15"/>
          <w:footerReference w:type="first" r:id="rId16"/>
          <w:pgSz w:w="11907" w:h="16840" w:code="9"/>
          <w:pgMar w:top="1418" w:right="851" w:bottom="851" w:left="1418" w:header="1134" w:footer="709" w:gutter="0"/>
          <w:cols w:space="708"/>
          <w:titlePg/>
          <w:docGrid w:linePitch="360"/>
        </w:sectPr>
      </w:pPr>
      <w:r w:rsidRPr="00BA4389">
        <w:rPr>
          <w:rFonts w:ascii="Futura Lt BT" w:hAnsi="Futura Lt BT"/>
          <w:noProof/>
          <w:color w:val="005CA9"/>
        </w:rPr>
        <w:drawing>
          <wp:anchor distT="0" distB="0" distL="114300" distR="114300" simplePos="0" relativeHeight="251658240" behindDoc="1" locked="0" layoutInCell="1" allowOverlap="1" wp14:anchorId="1319557F" wp14:editId="0ACE824B">
            <wp:simplePos x="0" y="0"/>
            <wp:positionH relativeFrom="page">
              <wp:posOffset>-213755</wp:posOffset>
            </wp:positionH>
            <wp:positionV relativeFrom="paragraph">
              <wp:posOffset>-1555882</wp:posOffset>
            </wp:positionV>
            <wp:extent cx="7908496" cy="10793705"/>
            <wp:effectExtent l="0" t="0" r="0" b="8255"/>
            <wp:wrapNone/>
            <wp:docPr id="615" name="Imagem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13566" cy="10800624"/>
                    </a:xfrm>
                    <a:prstGeom prst="rect">
                      <a:avLst/>
                    </a:prstGeom>
                    <a:noFill/>
                    <a:ln>
                      <a:noFill/>
                    </a:ln>
                  </pic:spPr>
                </pic:pic>
              </a:graphicData>
            </a:graphic>
            <wp14:sizeRelH relativeFrom="page">
              <wp14:pctWidth>0</wp14:pctWidth>
            </wp14:sizeRelH>
            <wp14:sizeRelV relativeFrom="page">
              <wp14:pctHeight>0</wp14:pctHeight>
            </wp14:sizeRelV>
          </wp:anchor>
        </w:drawing>
      </w:r>
      <w:r w:rsidR="00702B18" w:rsidRPr="00BA4389">
        <w:rPr>
          <w:rFonts w:ascii="Futura Lt BT" w:hAnsi="Futura Lt BT"/>
          <w:b/>
          <w:noProof/>
          <w:color w:val="005CA9"/>
          <w:sz w:val="48"/>
          <w:szCs w:val="48"/>
        </w:rPr>
        <mc:AlternateContent>
          <mc:Choice Requires="wps">
            <w:drawing>
              <wp:anchor distT="0" distB="0" distL="114300" distR="114300" simplePos="0" relativeHeight="251658241" behindDoc="0" locked="0" layoutInCell="1" allowOverlap="1" wp14:anchorId="7421C81B" wp14:editId="5F3A7B2D">
                <wp:simplePos x="0" y="0"/>
                <wp:positionH relativeFrom="margin">
                  <wp:posOffset>318770</wp:posOffset>
                </wp:positionH>
                <wp:positionV relativeFrom="paragraph">
                  <wp:posOffset>2258695</wp:posOffset>
                </wp:positionV>
                <wp:extent cx="4939253" cy="3495675"/>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4939253" cy="3495675"/>
                        </a:xfrm>
                        <a:prstGeom prst="rect">
                          <a:avLst/>
                        </a:prstGeom>
                        <a:noFill/>
                        <a:ln w="6350">
                          <a:noFill/>
                        </a:ln>
                      </wps:spPr>
                      <wps:txbx>
                        <w:txbxContent>
                          <w:p w14:paraId="74B654F1" w14:textId="30FC51FB" w:rsidR="00702B18" w:rsidRPr="007C13DA" w:rsidRDefault="00702B18" w:rsidP="00702B18">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 xml:space="preserve">Demonstrações Contábeis Individuais e Consolidadas </w:t>
                            </w:r>
                          </w:p>
                          <w:p w14:paraId="11E592C5" w14:textId="77777777" w:rsidR="00702B18" w:rsidRPr="007C13DA" w:rsidRDefault="00702B18" w:rsidP="00702B18">
                            <w:pPr>
                              <w:jc w:val="center"/>
                              <w:rPr>
                                <w:rFonts w:ascii="CAIXA Std Book" w:hAnsi="CAIXA Std Book"/>
                                <w:b/>
                                <w:bCs/>
                                <w:color w:val="FFFFFF" w:themeColor="background1"/>
                                <w:sz w:val="48"/>
                                <w:szCs w:val="48"/>
                              </w:rPr>
                            </w:pPr>
                          </w:p>
                          <w:p w14:paraId="2F3C54BA" w14:textId="77777777" w:rsidR="00702B18" w:rsidRPr="007C13DA" w:rsidRDefault="00702B18" w:rsidP="00702B18">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BrGaap</w:t>
                            </w:r>
                          </w:p>
                          <w:p w14:paraId="388B3026" w14:textId="77777777" w:rsidR="00702B18" w:rsidRPr="007C13DA" w:rsidRDefault="00702B18" w:rsidP="00702B18">
                            <w:pPr>
                              <w:jc w:val="center"/>
                              <w:rPr>
                                <w:rFonts w:ascii="CAIXA Std Book" w:hAnsi="CAIXA Std Book"/>
                                <w:b/>
                                <w:bCs/>
                                <w:color w:val="FFFFFF" w:themeColor="background1"/>
                                <w:sz w:val="48"/>
                                <w:szCs w:val="48"/>
                              </w:rPr>
                            </w:pPr>
                          </w:p>
                          <w:p w14:paraId="4EC2EDB5" w14:textId="57594ABC" w:rsidR="00702B18" w:rsidRPr="007C13DA" w:rsidRDefault="00702B18" w:rsidP="00702B18">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 xml:space="preserve">1º </w:t>
                            </w:r>
                            <w:r w:rsidR="00C12F01">
                              <w:rPr>
                                <w:rFonts w:ascii="CAIXA Std Book" w:hAnsi="CAIXA Std Book"/>
                                <w:b/>
                                <w:bCs/>
                                <w:color w:val="FFFFFF" w:themeColor="background1"/>
                                <w:sz w:val="48"/>
                                <w:szCs w:val="48"/>
                              </w:rPr>
                              <w:t>semestre</w:t>
                            </w:r>
                            <w:r w:rsidRPr="007C13DA">
                              <w:rPr>
                                <w:rFonts w:ascii="CAIXA Std Book" w:hAnsi="CAIXA Std Book"/>
                                <w:b/>
                                <w:bCs/>
                                <w:color w:val="FFFFFF" w:themeColor="background1"/>
                                <w:sz w:val="48"/>
                                <w:szCs w:val="4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1C81B" id="_x0000_t202" coordsize="21600,21600" o:spt="202" path="m,l,21600r21600,l21600,xe">
                <v:stroke joinstyle="miter"/>
                <v:path gradientshapeok="t" o:connecttype="rect"/>
              </v:shapetype>
              <v:shape id="Caixa de Texto 37" o:spid="_x0000_s1026" type="#_x0000_t202" style="position:absolute;margin-left:25.1pt;margin-top:177.85pt;width:388.9pt;height:27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viGAIAAC0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" filled="f" stroked="f" strokeweight=".5pt">
                <v:textbox>
                  <w:txbxContent>
                    <w:p w14:paraId="74B654F1" w14:textId="30FC51FB" w:rsidR="00702B18" w:rsidRPr="007C13DA" w:rsidRDefault="00702B18" w:rsidP="00702B18">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 xml:space="preserve">Demonstrações Contábeis Individuais e Consolidadas </w:t>
                      </w:r>
                    </w:p>
                    <w:p w14:paraId="11E592C5" w14:textId="77777777" w:rsidR="00702B18" w:rsidRPr="007C13DA" w:rsidRDefault="00702B18" w:rsidP="00702B18">
                      <w:pPr>
                        <w:jc w:val="center"/>
                        <w:rPr>
                          <w:rFonts w:ascii="CAIXA Std Book" w:hAnsi="CAIXA Std Book"/>
                          <w:b/>
                          <w:bCs/>
                          <w:color w:val="FFFFFF" w:themeColor="background1"/>
                          <w:sz w:val="48"/>
                          <w:szCs w:val="48"/>
                        </w:rPr>
                      </w:pPr>
                    </w:p>
                    <w:p w14:paraId="2F3C54BA" w14:textId="77777777" w:rsidR="00702B18" w:rsidRPr="007C13DA" w:rsidRDefault="00702B18" w:rsidP="00702B18">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BrGaap</w:t>
                      </w:r>
                    </w:p>
                    <w:p w14:paraId="388B3026" w14:textId="77777777" w:rsidR="00702B18" w:rsidRPr="007C13DA" w:rsidRDefault="00702B18" w:rsidP="00702B18">
                      <w:pPr>
                        <w:jc w:val="center"/>
                        <w:rPr>
                          <w:rFonts w:ascii="CAIXA Std Book" w:hAnsi="CAIXA Std Book"/>
                          <w:b/>
                          <w:bCs/>
                          <w:color w:val="FFFFFF" w:themeColor="background1"/>
                          <w:sz w:val="48"/>
                          <w:szCs w:val="48"/>
                        </w:rPr>
                      </w:pPr>
                    </w:p>
                    <w:p w14:paraId="4EC2EDB5" w14:textId="57594ABC" w:rsidR="00702B18" w:rsidRPr="007C13DA" w:rsidRDefault="00702B18" w:rsidP="00702B18">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 xml:space="preserve">1º </w:t>
                      </w:r>
                      <w:r w:rsidR="00C12F01">
                        <w:rPr>
                          <w:rFonts w:ascii="CAIXA Std Book" w:hAnsi="CAIXA Std Book"/>
                          <w:b/>
                          <w:bCs/>
                          <w:color w:val="FFFFFF" w:themeColor="background1"/>
                          <w:sz w:val="48"/>
                          <w:szCs w:val="48"/>
                        </w:rPr>
                        <w:t>semestre</w:t>
                      </w:r>
                      <w:r w:rsidRPr="007C13DA">
                        <w:rPr>
                          <w:rFonts w:ascii="CAIXA Std Book" w:hAnsi="CAIXA Std Book"/>
                          <w:b/>
                          <w:bCs/>
                          <w:color w:val="FFFFFF" w:themeColor="background1"/>
                          <w:sz w:val="48"/>
                          <w:szCs w:val="48"/>
                        </w:rPr>
                        <w:t xml:space="preserve"> 2024</w:t>
                      </w:r>
                    </w:p>
                  </w:txbxContent>
                </v:textbox>
                <w10:wrap anchorx="margin"/>
              </v:shape>
            </w:pict>
          </mc:Fallback>
        </mc:AlternateContent>
      </w:r>
      <w:r w:rsidR="00B23367" w:rsidRPr="00E20D21">
        <w:rPr>
          <w:rFonts w:ascii="CAIXA Std Book" w:hAnsi="CAIXA Std Book"/>
          <w:color w:val="005CA9"/>
        </w:rPr>
        <w:br w:type="page"/>
      </w:r>
    </w:p>
    <w:p w14:paraId="4E70A549" w14:textId="3C28B527" w:rsidR="005F303D" w:rsidRPr="00E20D21" w:rsidRDefault="005F303D" w:rsidP="00C56D60">
      <w:pPr>
        <w:pBdr>
          <w:bottom w:val="single" w:sz="4" w:space="1" w:color="005CA9"/>
        </w:pBdr>
        <w:tabs>
          <w:tab w:val="left" w:pos="3060"/>
          <w:tab w:val="right" w:pos="9639"/>
        </w:tabs>
        <w:rPr>
          <w:rFonts w:ascii="CAIXA Std Book" w:hAnsi="CAIXA Std Book"/>
          <w:b/>
          <w:bCs/>
          <w:color w:val="005CA9"/>
          <w:sz w:val="20"/>
          <w:szCs w:val="20"/>
        </w:rPr>
      </w:pPr>
      <w:bookmarkStart w:id="0" w:name="DemonstraçõesContábeis"/>
      <w:bookmarkStart w:id="1" w:name="_MON_1485066952"/>
      <w:bookmarkStart w:id="2" w:name="ÍndiceNotasExplicativas"/>
      <w:bookmarkEnd w:id="0"/>
      <w:bookmarkEnd w:id="1"/>
      <w:bookmarkEnd w:id="2"/>
      <w:r w:rsidRPr="00E20D21">
        <w:rPr>
          <w:rFonts w:ascii="CAIXA Std Book" w:hAnsi="CAIXA Std Book"/>
          <w:b/>
          <w:bCs/>
          <w:color w:val="005CA9"/>
          <w:sz w:val="20"/>
          <w:szCs w:val="20"/>
        </w:rPr>
        <w:lastRenderedPageBreak/>
        <w:t>Índice</w:t>
      </w:r>
      <w:r w:rsidR="00761008" w:rsidRPr="00E20D21">
        <w:rPr>
          <w:rFonts w:ascii="CAIXA Std Book" w:hAnsi="CAIXA Std Book"/>
          <w:b/>
          <w:bCs/>
          <w:color w:val="005CA9"/>
          <w:sz w:val="20"/>
          <w:szCs w:val="20"/>
        </w:rPr>
        <w:tab/>
      </w:r>
      <w:r w:rsidR="008F5D2C" w:rsidRPr="00E20D21">
        <w:rPr>
          <w:rFonts w:ascii="CAIXA Std Book" w:hAnsi="CAIXA Std Book"/>
          <w:b/>
          <w:bCs/>
          <w:color w:val="005CA9"/>
          <w:sz w:val="20"/>
          <w:szCs w:val="20"/>
        </w:rPr>
        <w:tab/>
      </w:r>
      <w:r w:rsidRPr="00E20D21">
        <w:rPr>
          <w:rFonts w:ascii="CAIXA Std Book" w:hAnsi="CAIXA Std Book"/>
          <w:b/>
          <w:bCs/>
          <w:color w:val="005CA9"/>
          <w:sz w:val="20"/>
          <w:szCs w:val="20"/>
        </w:rPr>
        <w:t>Página</w:t>
      </w:r>
    </w:p>
    <w:p w14:paraId="5281BC7B" w14:textId="77777777" w:rsidR="005F303D" w:rsidRPr="00E20D21" w:rsidRDefault="005F303D" w:rsidP="00CE5FD1">
      <w:pPr>
        <w:tabs>
          <w:tab w:val="left" w:pos="2835"/>
          <w:tab w:val="right" w:leader="dot" w:pos="9356"/>
        </w:tabs>
        <w:ind w:right="70"/>
        <w:rPr>
          <w:rFonts w:ascii="CAIXA Std Book" w:hAnsi="CAIXA Std Book"/>
          <w:color w:val="005CA9"/>
          <w:sz w:val="20"/>
          <w:szCs w:val="20"/>
        </w:rPr>
      </w:pPr>
    </w:p>
    <w:p w14:paraId="7CBEAB7D" w14:textId="41CE4CC1" w:rsidR="00C56D60" w:rsidRPr="00C56D60" w:rsidRDefault="00C56D60" w:rsidP="0093414D">
      <w:pPr>
        <w:pStyle w:val="Sumrio1"/>
        <w:pBdr>
          <w:bottom w:val="single" w:sz="4" w:space="1" w:color="005CA9"/>
        </w:pBdr>
        <w:spacing w:after="0"/>
        <w:rPr>
          <w:rFonts w:ascii="CAIXA Std Book" w:hAnsi="CAIXA Std Book"/>
          <w:b/>
          <w:bCs/>
          <w:noProof w:val="0"/>
          <w:color w:val="005CA9"/>
        </w:rPr>
      </w:pPr>
      <w:r w:rsidRPr="00C56D60">
        <w:rPr>
          <w:rFonts w:ascii="CAIXA Std Book" w:hAnsi="CAIXA Std Book"/>
          <w:b/>
          <w:bCs/>
          <w:noProof w:val="0"/>
          <w:color w:val="005CA9"/>
        </w:rPr>
        <w:t>Demonstrações Contábeis</w:t>
      </w:r>
    </w:p>
    <w:p w14:paraId="58C8C9C9" w14:textId="77777777" w:rsidR="00C56D60" w:rsidRPr="00D937C3" w:rsidRDefault="00C56D60" w:rsidP="00C56D60">
      <w:pPr>
        <w:rPr>
          <w:sz w:val="14"/>
          <w:szCs w:val="14"/>
        </w:rPr>
      </w:pPr>
    </w:p>
    <w:p w14:paraId="768F4B56" w14:textId="1B2C80F7" w:rsidR="00102E51" w:rsidRPr="00102E51" w:rsidRDefault="005F303D">
      <w:pPr>
        <w:pStyle w:val="Sumrio1"/>
        <w:rPr>
          <w:rFonts w:ascii="CAIXA Std Book" w:eastAsiaTheme="minorEastAsia" w:hAnsi="CAIXA Std Book" w:cstheme="minorBidi"/>
          <w:color w:val="005CA9"/>
          <w:kern w:val="2"/>
          <w:sz w:val="22"/>
          <w:szCs w:val="22"/>
          <w14:ligatures w14:val="standardContextual"/>
        </w:rPr>
      </w:pPr>
      <w:r w:rsidRPr="00E20D21">
        <w:rPr>
          <w:rFonts w:ascii="CAIXA Std Book" w:hAnsi="CAIXA Std Book"/>
          <w:noProof w:val="0"/>
          <w:color w:val="005CA9"/>
        </w:rPr>
        <w:fldChar w:fldCharType="begin"/>
      </w:r>
      <w:r w:rsidRPr="00E20D21">
        <w:rPr>
          <w:rFonts w:ascii="CAIXA Std Book" w:hAnsi="CAIXA Std Book"/>
          <w:noProof w:val="0"/>
          <w:color w:val="005CA9"/>
        </w:rPr>
        <w:instrText xml:space="preserve"> TOC \o "1-1" \h \z \u </w:instrText>
      </w:r>
      <w:r w:rsidRPr="00E20D21">
        <w:rPr>
          <w:rFonts w:ascii="CAIXA Std Book" w:hAnsi="CAIXA Std Book"/>
          <w:noProof w:val="0"/>
          <w:color w:val="005CA9"/>
        </w:rPr>
        <w:fldChar w:fldCharType="separate"/>
      </w:r>
      <w:hyperlink w:anchor="_Toc175067935" w:history="1">
        <w:r w:rsidR="00102E51" w:rsidRPr="00102E51">
          <w:rPr>
            <w:rStyle w:val="Hyperlink"/>
            <w:rFonts w:ascii="CAIXA Std Book" w:hAnsi="CAIXA Std Book"/>
            <w:color w:val="005CA9"/>
          </w:rPr>
          <w:t>Balanços Patrimoniais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_Toc175067935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3</w:t>
        </w:r>
        <w:r w:rsidR="00102E51" w:rsidRPr="00102E51">
          <w:rPr>
            <w:rFonts w:ascii="CAIXA Std Book" w:hAnsi="CAIXA Std Book"/>
            <w:webHidden/>
            <w:color w:val="005CA9"/>
          </w:rPr>
          <w:fldChar w:fldCharType="end"/>
        </w:r>
      </w:hyperlink>
    </w:p>
    <w:p w14:paraId="724A1601" w14:textId="00B0D26C"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36" w:history="1">
        <w:r w:rsidR="00102E51" w:rsidRPr="00102E51">
          <w:rPr>
            <w:rStyle w:val="Hyperlink"/>
            <w:rFonts w:ascii="CAIXA Std Book" w:hAnsi="CAIXA Std Book"/>
            <w:color w:val="005CA9"/>
          </w:rPr>
          <w:t>Demonstrações de Resultado</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_Toc175067936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4</w:t>
        </w:r>
        <w:r w:rsidR="00102E51" w:rsidRPr="00102E51">
          <w:rPr>
            <w:rFonts w:ascii="CAIXA Std Book" w:hAnsi="CAIXA Std Book"/>
            <w:webHidden/>
            <w:color w:val="005CA9"/>
          </w:rPr>
          <w:fldChar w:fldCharType="end"/>
        </w:r>
      </w:hyperlink>
    </w:p>
    <w:p w14:paraId="1F3B16A2" w14:textId="03952256"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37" w:history="1">
        <w:r w:rsidR="00102E51" w:rsidRPr="00102E51">
          <w:rPr>
            <w:rStyle w:val="Hyperlink"/>
            <w:rFonts w:ascii="CAIXA Std Book" w:hAnsi="CAIXA Std Book"/>
            <w:color w:val="005CA9"/>
          </w:rPr>
          <w:t>Demonstrações do Resultado Abrangente</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_Toc175067937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5</w:t>
        </w:r>
        <w:r w:rsidR="00102E51" w:rsidRPr="00102E51">
          <w:rPr>
            <w:rFonts w:ascii="CAIXA Std Book" w:hAnsi="CAIXA Std Book"/>
            <w:webHidden/>
            <w:color w:val="005CA9"/>
          </w:rPr>
          <w:fldChar w:fldCharType="end"/>
        </w:r>
      </w:hyperlink>
    </w:p>
    <w:p w14:paraId="38DFF87A" w14:textId="06AED2AE"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38" w:history="1">
        <w:r w:rsidR="00102E51" w:rsidRPr="00102E51">
          <w:rPr>
            <w:rStyle w:val="Hyperlink"/>
            <w:rFonts w:ascii="CAIXA Std Book" w:hAnsi="CAIXA Std Book"/>
            <w:color w:val="005CA9"/>
          </w:rPr>
          <w:t>Demonstrações das Mutações do Patrimônio Líquido</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_Toc175067938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6</w:t>
        </w:r>
        <w:r w:rsidR="00102E51" w:rsidRPr="00102E51">
          <w:rPr>
            <w:rFonts w:ascii="CAIXA Std Book" w:hAnsi="CAIXA Std Book"/>
            <w:webHidden/>
            <w:color w:val="005CA9"/>
          </w:rPr>
          <w:fldChar w:fldCharType="end"/>
        </w:r>
      </w:hyperlink>
    </w:p>
    <w:p w14:paraId="034C3FEF" w14:textId="395F60FE"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39" w:history="1">
        <w:r w:rsidR="00102E51" w:rsidRPr="00102E51">
          <w:rPr>
            <w:rStyle w:val="Hyperlink"/>
            <w:rFonts w:ascii="CAIXA Std Book" w:hAnsi="CAIXA Std Book"/>
            <w:color w:val="005CA9"/>
          </w:rPr>
          <w:t>Demonstrações dos Fluxos de Caixa</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_Toc175067939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8</w:t>
        </w:r>
        <w:r w:rsidR="00102E51" w:rsidRPr="00102E51">
          <w:rPr>
            <w:rFonts w:ascii="CAIXA Std Book" w:hAnsi="CAIXA Std Book"/>
            <w:webHidden/>
            <w:color w:val="005CA9"/>
          </w:rPr>
          <w:fldChar w:fldCharType="end"/>
        </w:r>
      </w:hyperlink>
    </w:p>
    <w:p w14:paraId="1F3D5E9C" w14:textId="1F42A0E7" w:rsidR="00102E51" w:rsidRDefault="007F4CE7">
      <w:pPr>
        <w:pStyle w:val="Sumrio1"/>
        <w:rPr>
          <w:rStyle w:val="Hyperlink"/>
          <w:rFonts w:ascii="CAIXA Std Book" w:hAnsi="CAIXA Std Book"/>
          <w:color w:val="005CA9"/>
        </w:rPr>
      </w:pPr>
      <w:hyperlink w:anchor="_Toc175067940" w:history="1">
        <w:r w:rsidR="00102E51" w:rsidRPr="00102E51">
          <w:rPr>
            <w:rStyle w:val="Hyperlink"/>
            <w:rFonts w:ascii="CAIXA Std Book" w:hAnsi="CAIXA Std Book"/>
            <w:color w:val="005CA9"/>
          </w:rPr>
          <w:t>Demonstrações do Valor Adicionado</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_Toc175067940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w:t>
        </w:r>
        <w:r w:rsidR="00102E51" w:rsidRPr="00102E51">
          <w:rPr>
            <w:rFonts w:ascii="CAIXA Std Book" w:hAnsi="CAIXA Std Book"/>
            <w:webHidden/>
            <w:color w:val="005CA9"/>
          </w:rPr>
          <w:fldChar w:fldCharType="end"/>
        </w:r>
      </w:hyperlink>
    </w:p>
    <w:p w14:paraId="479B64F1" w14:textId="77777777" w:rsidR="00C56D60" w:rsidRPr="00D937C3" w:rsidRDefault="00C56D60" w:rsidP="00C56D60">
      <w:pPr>
        <w:rPr>
          <w:noProof/>
          <w:sz w:val="14"/>
          <w:szCs w:val="14"/>
        </w:rPr>
      </w:pPr>
    </w:p>
    <w:p w14:paraId="56658E6C" w14:textId="77777777" w:rsidR="00C56D60" w:rsidRPr="00C56D60" w:rsidRDefault="00C56D60" w:rsidP="0093414D">
      <w:pPr>
        <w:pStyle w:val="Sumrio1"/>
        <w:pBdr>
          <w:bottom w:val="single" w:sz="4" w:space="1" w:color="005CA9"/>
        </w:pBdr>
        <w:rPr>
          <w:rFonts w:ascii="CAIXA Std Book" w:hAnsi="CAIXA Std Book"/>
          <w:b/>
          <w:bCs/>
          <w:color w:val="005CA9"/>
        </w:rPr>
        <w:sectPr w:rsidR="00C56D60" w:rsidRPr="00C56D60" w:rsidSect="001F0E96">
          <w:headerReference w:type="default" r:id="rId18"/>
          <w:footerReference w:type="default" r:id="rId19"/>
          <w:pgSz w:w="11907" w:h="16840" w:code="9"/>
          <w:pgMar w:top="1418" w:right="851" w:bottom="851" w:left="1418" w:header="1134" w:footer="709" w:gutter="0"/>
          <w:cols w:space="708"/>
          <w:docGrid w:linePitch="360"/>
        </w:sectPr>
      </w:pPr>
      <w:r w:rsidRPr="00C56D60">
        <w:rPr>
          <w:rFonts w:ascii="CAIXA Std Book" w:hAnsi="CAIXA Std Book"/>
          <w:b/>
          <w:bCs/>
          <w:color w:val="005CA9"/>
        </w:rPr>
        <w:t>Notas Explicativas</w:t>
      </w:r>
    </w:p>
    <w:p w14:paraId="4EC9A879" w14:textId="53AE89A8" w:rsidR="00C56D60" w:rsidRPr="00C56D60" w:rsidRDefault="00C56D60" w:rsidP="00C56D60">
      <w:pPr>
        <w:pStyle w:val="Sumrio1"/>
        <w:rPr>
          <w:rFonts w:ascii="CAIXA Std Book" w:hAnsi="CAIXA Std Book"/>
          <w:color w:val="005CA9"/>
        </w:rPr>
      </w:pPr>
    </w:p>
    <w:p w14:paraId="67F979B5" w14:textId="77777777" w:rsidR="00C56D60" w:rsidRPr="00D937C3" w:rsidRDefault="00C56D60">
      <w:pPr>
        <w:pStyle w:val="Sumrio1"/>
        <w:rPr>
          <w:rStyle w:val="Hyperlink"/>
          <w:rFonts w:ascii="CAIXA Std Book" w:hAnsi="CAIXA Std Book"/>
          <w:color w:val="005CA9"/>
          <w:sz w:val="14"/>
          <w:szCs w:val="14"/>
        </w:rPr>
        <w:sectPr w:rsidR="00C56D60" w:rsidRPr="00D937C3" w:rsidSect="00C56D60">
          <w:type w:val="continuous"/>
          <w:pgSz w:w="11907" w:h="16840" w:code="9"/>
          <w:pgMar w:top="1418" w:right="851" w:bottom="851" w:left="1418" w:header="1134" w:footer="709" w:gutter="0"/>
          <w:cols w:space="708"/>
          <w:docGrid w:linePitch="360"/>
        </w:sectPr>
      </w:pPr>
    </w:p>
    <w:p w14:paraId="106355A7" w14:textId="24888CD3"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41" w:history="1">
        <w:r w:rsidR="00102E51" w:rsidRPr="00102E51">
          <w:rPr>
            <w:rStyle w:val="Hyperlink"/>
            <w:rFonts w:ascii="CAIXA Std Book" w:hAnsi="CAIXA Std Book"/>
            <w:color w:val="005CA9"/>
          </w:rPr>
          <w:t>Nota   1 – Contexto operacional</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_Toc175067941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10</w:t>
        </w:r>
        <w:r w:rsidR="00102E51" w:rsidRPr="00102E51">
          <w:rPr>
            <w:rFonts w:ascii="CAIXA Std Book" w:hAnsi="CAIXA Std Book"/>
            <w:webHidden/>
            <w:color w:val="005CA9"/>
          </w:rPr>
          <w:fldChar w:fldCharType="end"/>
        </w:r>
      </w:hyperlink>
    </w:p>
    <w:p w14:paraId="4DD99D04" w14:textId="030BA118"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42" w:history="1">
        <w:r w:rsidR="00102E51" w:rsidRPr="00102E51">
          <w:rPr>
            <w:rStyle w:val="Hyperlink"/>
            <w:rFonts w:ascii="CAIXA Std Book" w:hAnsi="CAIXA Std Book"/>
            <w:color w:val="005CA9"/>
          </w:rPr>
          <w:t>Nota   2 – Apresentação das demonstrações contábeis</w:t>
        </w:r>
        <w:r w:rsidR="00102E51" w:rsidRPr="00102E51">
          <w:rPr>
            <w:rFonts w:ascii="CAIXA Std Book" w:hAnsi="CAIXA Std Book"/>
            <w:webHidden/>
            <w:color w:val="005CA9"/>
          </w:rPr>
          <w:tab/>
        </w:r>
        <w:r w:rsidR="0093414D">
          <w:rPr>
            <w:rFonts w:ascii="CAIXA Std Book" w:hAnsi="CAIXA Std Book"/>
            <w:webHidden/>
            <w:color w:val="005CA9"/>
          </w:rPr>
          <w:tab/>
        </w:r>
        <w:r w:rsidR="0093414D">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_Toc175067942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11</w:t>
        </w:r>
        <w:r w:rsidR="00102E51" w:rsidRPr="00102E51">
          <w:rPr>
            <w:rFonts w:ascii="CAIXA Std Book" w:hAnsi="CAIXA Std Book"/>
            <w:webHidden/>
            <w:color w:val="005CA9"/>
          </w:rPr>
          <w:fldChar w:fldCharType="end"/>
        </w:r>
      </w:hyperlink>
    </w:p>
    <w:p w14:paraId="306988E2" w14:textId="71D970C5"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43" w:history="1">
        <w:r w:rsidR="00102E51" w:rsidRPr="00102E51">
          <w:rPr>
            <w:rStyle w:val="Hyperlink"/>
            <w:rFonts w:ascii="CAIXA Std Book" w:hAnsi="CAIXA Std Book"/>
            <w:color w:val="005CA9"/>
          </w:rPr>
          <w:t>Nota   3 – Principais práticas, julgamentos e estimativas contábeis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_Toc175067943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13</w:t>
        </w:r>
        <w:r w:rsidR="00102E51" w:rsidRPr="00102E51">
          <w:rPr>
            <w:rFonts w:ascii="CAIXA Std Book" w:hAnsi="CAIXA Std Book"/>
            <w:webHidden/>
            <w:color w:val="005CA9"/>
          </w:rPr>
          <w:fldChar w:fldCharType="end"/>
        </w:r>
      </w:hyperlink>
    </w:p>
    <w:p w14:paraId="5BB50531" w14:textId="4392E606"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44" w:history="1">
        <w:r w:rsidR="00102E51" w:rsidRPr="00102E51">
          <w:rPr>
            <w:rStyle w:val="Hyperlink"/>
            <w:rFonts w:ascii="CAIXA Std Book" w:hAnsi="CAIXA Std Book"/>
            <w:color w:val="005CA9"/>
          </w:rPr>
          <w:t>Nota   4 – Caixa e equivalentes de caixa</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_Toc175067944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21</w:t>
        </w:r>
        <w:r w:rsidR="00102E51" w:rsidRPr="00102E51">
          <w:rPr>
            <w:rFonts w:ascii="CAIXA Std Book" w:hAnsi="CAIXA Std Book"/>
            <w:webHidden/>
            <w:color w:val="005CA9"/>
          </w:rPr>
          <w:fldChar w:fldCharType="end"/>
        </w:r>
      </w:hyperlink>
    </w:p>
    <w:p w14:paraId="4A950064" w14:textId="132464D9"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45" w:history="1">
        <w:r w:rsidR="00102E51" w:rsidRPr="00102E51">
          <w:rPr>
            <w:rStyle w:val="Hyperlink"/>
            <w:rFonts w:ascii="CAIXA Std Book" w:hAnsi="CAIXA Std Book"/>
            <w:color w:val="005CA9"/>
          </w:rPr>
          <w:t>Nota   5 – Aplicações interfinanceiras de liquidez</w:t>
        </w:r>
        <w:r w:rsidR="00102E51" w:rsidRPr="00102E51">
          <w:rPr>
            <w:rFonts w:ascii="CAIXA Std Book" w:hAnsi="CAIXA Std Book"/>
            <w:webHidden/>
            <w:color w:val="005CA9"/>
          </w:rPr>
          <w:tab/>
        </w:r>
        <w:r w:rsidR="0093414D">
          <w:rPr>
            <w:rFonts w:ascii="CAIXA Std Book" w:hAnsi="CAIXA Std Book"/>
            <w:webHidden/>
            <w:color w:val="005CA9"/>
          </w:rPr>
          <w:tab/>
        </w:r>
        <w:r w:rsidR="0093414D">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_Toc175067945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21</w:t>
        </w:r>
        <w:r w:rsidR="00102E51" w:rsidRPr="00102E51">
          <w:rPr>
            <w:rFonts w:ascii="CAIXA Std Book" w:hAnsi="CAIXA Std Book"/>
            <w:webHidden/>
            <w:color w:val="005CA9"/>
          </w:rPr>
          <w:fldChar w:fldCharType="end"/>
        </w:r>
      </w:hyperlink>
    </w:p>
    <w:p w14:paraId="513CE321" w14:textId="34646B8B"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46" w:history="1">
        <w:r w:rsidR="00102E51" w:rsidRPr="00102E51">
          <w:rPr>
            <w:rStyle w:val="Hyperlink"/>
            <w:rFonts w:ascii="CAIXA Std Book" w:hAnsi="CAIXA Std Book"/>
            <w:color w:val="005CA9"/>
          </w:rPr>
          <w:t>Nota   6 – Depósitos no Banco Central</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_Toc175067946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22</w:t>
        </w:r>
        <w:r w:rsidR="00102E51" w:rsidRPr="00102E51">
          <w:rPr>
            <w:rFonts w:ascii="CAIXA Std Book" w:hAnsi="CAIXA Std Book"/>
            <w:webHidden/>
            <w:color w:val="005CA9"/>
          </w:rPr>
          <w:fldChar w:fldCharType="end"/>
        </w:r>
      </w:hyperlink>
    </w:p>
    <w:p w14:paraId="27E24AEC" w14:textId="0D5D97D2"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47" w:history="1">
        <w:r w:rsidR="00102E51" w:rsidRPr="00102E51">
          <w:rPr>
            <w:rStyle w:val="Hyperlink"/>
            <w:rFonts w:ascii="CAIXA Std Book" w:hAnsi="CAIXA Std Book"/>
            <w:color w:val="005CA9"/>
          </w:rPr>
          <w:t>Nota   7 – Títulos e valores mobiliários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_Toc175067947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23</w:t>
        </w:r>
        <w:r w:rsidR="00102E51" w:rsidRPr="00102E51">
          <w:rPr>
            <w:rFonts w:ascii="CAIXA Std Book" w:hAnsi="CAIXA Std Book"/>
            <w:webHidden/>
            <w:color w:val="005CA9"/>
          </w:rPr>
          <w:fldChar w:fldCharType="end"/>
        </w:r>
      </w:hyperlink>
    </w:p>
    <w:p w14:paraId="2F6102B9" w14:textId="475DAC95"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48" w:history="1">
        <w:r w:rsidR="00102E51" w:rsidRPr="00102E51">
          <w:rPr>
            <w:rStyle w:val="Hyperlink"/>
            <w:rFonts w:ascii="CAIXA Std Book" w:hAnsi="CAIXA Std Book"/>
            <w:color w:val="005CA9"/>
          </w:rPr>
          <w:t xml:space="preserve">Nota   8 – Instrumentos financeiros </w:t>
        </w:r>
        <w:r w:rsidR="0093414D">
          <w:rPr>
            <w:rStyle w:val="Hyperlink"/>
            <w:rFonts w:ascii="CAIXA Std Book" w:hAnsi="CAIXA Std Book"/>
            <w:color w:val="005CA9"/>
          </w:rPr>
          <w:br/>
        </w:r>
        <w:r w:rsidR="00102E51" w:rsidRPr="00102E51">
          <w:rPr>
            <w:rStyle w:val="Hyperlink"/>
            <w:rFonts w:ascii="CAIXA Std Book" w:hAnsi="CAIXA Std Book"/>
            <w:color w:val="005CA9"/>
          </w:rPr>
          <w:t>derivativos</w:t>
        </w:r>
        <w:r w:rsidR="0093414D">
          <w:rPr>
            <w:rStyle w:val="Hyperlink"/>
            <w:rFonts w:ascii="CAIXA Std Book" w:hAnsi="CAIXA Std Book"/>
            <w:color w:val="005CA9"/>
          </w:rPr>
          <w:tab/>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_Toc175067948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32</w:t>
        </w:r>
        <w:r w:rsidR="00102E51" w:rsidRPr="00102E51">
          <w:rPr>
            <w:rFonts w:ascii="CAIXA Std Book" w:hAnsi="CAIXA Std Book"/>
            <w:webHidden/>
            <w:color w:val="005CA9"/>
          </w:rPr>
          <w:fldChar w:fldCharType="end"/>
        </w:r>
      </w:hyperlink>
    </w:p>
    <w:p w14:paraId="37B23585" w14:textId="365747F0"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49" w:history="1">
        <w:r w:rsidR="00102E51" w:rsidRPr="00102E51">
          <w:rPr>
            <w:rStyle w:val="Hyperlink"/>
            <w:rFonts w:ascii="CAIXA Std Book" w:hAnsi="CAIXA Std Book"/>
            <w:color w:val="005CA9"/>
          </w:rPr>
          <w:t>Nota   9 – Carteira de crédito</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_Toc175067949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38</w:t>
        </w:r>
        <w:r w:rsidR="00102E51" w:rsidRPr="00102E51">
          <w:rPr>
            <w:rFonts w:ascii="CAIXA Std Book" w:hAnsi="CAIXA Std Book"/>
            <w:webHidden/>
            <w:color w:val="005CA9"/>
          </w:rPr>
          <w:fldChar w:fldCharType="end"/>
        </w:r>
      </w:hyperlink>
    </w:p>
    <w:p w14:paraId="4ABBFFA4" w14:textId="4A1E341E"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0" w:history="1">
        <w:r w:rsidR="00102E51" w:rsidRPr="00102E51">
          <w:rPr>
            <w:rStyle w:val="Hyperlink"/>
            <w:rFonts w:ascii="CAIXA Std Book" w:hAnsi="CAIXA Std Book"/>
            <w:color w:val="005CA9"/>
          </w:rPr>
          <w:t>Nota 10 – Outros ativos financeiros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_Toc175067950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42</w:t>
        </w:r>
        <w:r w:rsidR="00102E51" w:rsidRPr="00102E51">
          <w:rPr>
            <w:rFonts w:ascii="CAIXA Std Book" w:hAnsi="CAIXA Std Book"/>
            <w:webHidden/>
            <w:color w:val="005CA9"/>
          </w:rPr>
          <w:fldChar w:fldCharType="end"/>
        </w:r>
      </w:hyperlink>
    </w:p>
    <w:p w14:paraId="294B05A1" w14:textId="4C703E0A"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1" w:history="1">
        <w:r w:rsidR="00102E51" w:rsidRPr="00102E51">
          <w:rPr>
            <w:rStyle w:val="Hyperlink"/>
            <w:rFonts w:ascii="CAIXA Std Book" w:hAnsi="CAIXA Std Book"/>
            <w:color w:val="005CA9"/>
          </w:rPr>
          <w:t>Nota 11 – Investimentos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_Toc175067951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45</w:t>
        </w:r>
        <w:r w:rsidR="00102E51" w:rsidRPr="00102E51">
          <w:rPr>
            <w:rFonts w:ascii="CAIXA Std Book" w:hAnsi="CAIXA Std Book"/>
            <w:webHidden/>
            <w:color w:val="005CA9"/>
          </w:rPr>
          <w:fldChar w:fldCharType="end"/>
        </w:r>
      </w:hyperlink>
    </w:p>
    <w:p w14:paraId="3E23BD2B" w14:textId="3699DDCD"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2" w:history="1">
        <w:r w:rsidR="00102E51" w:rsidRPr="00102E51">
          <w:rPr>
            <w:rStyle w:val="Hyperlink"/>
            <w:rFonts w:ascii="CAIXA Std Book" w:hAnsi="CAIXA Std Book"/>
            <w:color w:val="005CA9"/>
          </w:rPr>
          <w:t>Nota 12 – Imobilizado de uso</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_Toc175067952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51</w:t>
        </w:r>
        <w:r w:rsidR="00102E51" w:rsidRPr="00102E51">
          <w:rPr>
            <w:rFonts w:ascii="CAIXA Std Book" w:hAnsi="CAIXA Std Book"/>
            <w:webHidden/>
            <w:color w:val="005CA9"/>
          </w:rPr>
          <w:fldChar w:fldCharType="end"/>
        </w:r>
      </w:hyperlink>
    </w:p>
    <w:p w14:paraId="7C1CDFA0" w14:textId="47E747E5"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3" w:history="1">
        <w:r w:rsidR="00102E51" w:rsidRPr="00102E51">
          <w:rPr>
            <w:rStyle w:val="Hyperlink"/>
            <w:rFonts w:ascii="CAIXA Std Book" w:hAnsi="CAIXA Std Book"/>
            <w:color w:val="005CA9"/>
          </w:rPr>
          <w:t>Nota 13 – Intangível</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_Toc175067953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53</w:t>
        </w:r>
        <w:r w:rsidR="00102E51" w:rsidRPr="00102E51">
          <w:rPr>
            <w:rFonts w:ascii="CAIXA Std Book" w:hAnsi="CAIXA Std Book"/>
            <w:webHidden/>
            <w:color w:val="005CA9"/>
          </w:rPr>
          <w:fldChar w:fldCharType="end"/>
        </w:r>
      </w:hyperlink>
    </w:p>
    <w:p w14:paraId="7ABC087D" w14:textId="289FE210"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4" w:history="1">
        <w:r w:rsidR="00102E51" w:rsidRPr="00102E51">
          <w:rPr>
            <w:rStyle w:val="Hyperlink"/>
            <w:rFonts w:ascii="CAIXA Std Book" w:hAnsi="CAIXA Std Book"/>
            <w:color w:val="005CA9"/>
          </w:rPr>
          <w:t>Nota 14 – Outros ativos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_Toc175067954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53</w:t>
        </w:r>
        <w:r w:rsidR="00102E51" w:rsidRPr="00102E51">
          <w:rPr>
            <w:rFonts w:ascii="CAIXA Std Book" w:hAnsi="CAIXA Std Book"/>
            <w:webHidden/>
            <w:color w:val="005CA9"/>
          </w:rPr>
          <w:fldChar w:fldCharType="end"/>
        </w:r>
      </w:hyperlink>
    </w:p>
    <w:p w14:paraId="1A9E9DEC" w14:textId="3DE28A91"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5" w:history="1">
        <w:r w:rsidR="00102E51" w:rsidRPr="00102E51">
          <w:rPr>
            <w:rStyle w:val="Hyperlink"/>
            <w:rFonts w:ascii="CAIXA Std Book" w:hAnsi="CAIXA Std Book"/>
            <w:color w:val="005CA9"/>
          </w:rPr>
          <w:t>Nota 15 – Recursos de clientes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_Toc175067955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55</w:t>
        </w:r>
        <w:r w:rsidR="00102E51" w:rsidRPr="00102E51">
          <w:rPr>
            <w:rFonts w:ascii="CAIXA Std Book" w:hAnsi="CAIXA Std Book"/>
            <w:webHidden/>
            <w:color w:val="005CA9"/>
          </w:rPr>
          <w:fldChar w:fldCharType="end"/>
        </w:r>
      </w:hyperlink>
    </w:p>
    <w:p w14:paraId="521D199C" w14:textId="66EFA609"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6" w:history="1">
        <w:r w:rsidR="00102E51" w:rsidRPr="00102E51">
          <w:rPr>
            <w:rStyle w:val="Hyperlink"/>
            <w:rFonts w:ascii="CAIXA Std Book" w:hAnsi="CAIXA Std Book"/>
            <w:color w:val="005CA9"/>
          </w:rPr>
          <w:t>Nota 16 – Recursos de instituições financeiras e outras</w:t>
        </w:r>
        <w:r w:rsidR="00102E51" w:rsidRPr="00102E51">
          <w:rPr>
            <w:rFonts w:ascii="CAIXA Std Book" w:hAnsi="CAIXA Std Book"/>
            <w:webHidden/>
            <w:color w:val="005CA9"/>
          </w:rPr>
          <w:tab/>
        </w:r>
        <w:r w:rsidR="0093414D">
          <w:rPr>
            <w:rFonts w:ascii="CAIXA Std Book" w:hAnsi="CAIXA Std Book"/>
            <w:webHidden/>
            <w:color w:val="005CA9"/>
          </w:rPr>
          <w:tab/>
        </w:r>
        <w:r w:rsidR="0093414D">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_Toc175067956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57</w:t>
        </w:r>
        <w:r w:rsidR="00102E51" w:rsidRPr="00102E51">
          <w:rPr>
            <w:rFonts w:ascii="CAIXA Std Book" w:hAnsi="CAIXA Std Book"/>
            <w:webHidden/>
            <w:color w:val="005CA9"/>
          </w:rPr>
          <w:fldChar w:fldCharType="end"/>
        </w:r>
      </w:hyperlink>
    </w:p>
    <w:p w14:paraId="416C5C53" w14:textId="26B087C2"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7" w:history="1">
        <w:r w:rsidR="00102E51" w:rsidRPr="00102E51">
          <w:rPr>
            <w:rStyle w:val="Hyperlink"/>
            <w:rFonts w:ascii="CAIXA Std Book" w:hAnsi="CAIXA Std Book"/>
            <w:color w:val="005CA9"/>
          </w:rPr>
          <w:t>Nota 17 – Recursos de emissões de títulos e valores mobiliários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_Toc175067957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59</w:t>
        </w:r>
        <w:r w:rsidR="00102E51" w:rsidRPr="00102E51">
          <w:rPr>
            <w:rFonts w:ascii="CAIXA Std Book" w:hAnsi="CAIXA Std Book"/>
            <w:webHidden/>
            <w:color w:val="005CA9"/>
          </w:rPr>
          <w:fldChar w:fldCharType="end"/>
        </w:r>
      </w:hyperlink>
    </w:p>
    <w:p w14:paraId="751EB025" w14:textId="1ABB687C"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8" w:history="1">
        <w:r w:rsidR="00102E51" w:rsidRPr="00102E51">
          <w:rPr>
            <w:rStyle w:val="Hyperlink"/>
            <w:rFonts w:ascii="CAIXA Std Book" w:hAnsi="CAIXA Std Book"/>
            <w:color w:val="005CA9"/>
          </w:rPr>
          <w:t>Nota 18 – Outros passivos financeiros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_Toc175067958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62</w:t>
        </w:r>
        <w:r w:rsidR="00102E51" w:rsidRPr="00102E51">
          <w:rPr>
            <w:rFonts w:ascii="CAIXA Std Book" w:hAnsi="CAIXA Std Book"/>
            <w:webHidden/>
            <w:color w:val="005CA9"/>
          </w:rPr>
          <w:fldChar w:fldCharType="end"/>
        </w:r>
      </w:hyperlink>
    </w:p>
    <w:p w14:paraId="35586D09" w14:textId="0FD7BFC7"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59" w:history="1">
        <w:r w:rsidR="00102E51" w:rsidRPr="00102E51">
          <w:rPr>
            <w:rStyle w:val="Hyperlink"/>
            <w:rFonts w:ascii="CAIXA Std Book" w:hAnsi="CAIXA Std Book"/>
            <w:color w:val="005CA9"/>
          </w:rPr>
          <w:t>Nota 19 – Provisões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_Toc175067959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63</w:t>
        </w:r>
        <w:r w:rsidR="00102E51" w:rsidRPr="00102E51">
          <w:rPr>
            <w:rFonts w:ascii="CAIXA Std Book" w:hAnsi="CAIXA Std Book"/>
            <w:webHidden/>
            <w:color w:val="005CA9"/>
          </w:rPr>
          <w:fldChar w:fldCharType="end"/>
        </w:r>
      </w:hyperlink>
    </w:p>
    <w:p w14:paraId="1C5BB3D6" w14:textId="068873CA"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0" w:history="1">
        <w:r w:rsidR="00102E51" w:rsidRPr="00102E51">
          <w:rPr>
            <w:rStyle w:val="Hyperlink"/>
            <w:rFonts w:ascii="CAIXA Std Book" w:hAnsi="CAIXA Std Book"/>
            <w:color w:val="005CA9"/>
          </w:rPr>
          <w:t>Nota 20 – Tributos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_Toc175067960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69</w:t>
        </w:r>
        <w:r w:rsidR="00102E51" w:rsidRPr="00102E51">
          <w:rPr>
            <w:rFonts w:ascii="CAIXA Std Book" w:hAnsi="CAIXA Std Book"/>
            <w:webHidden/>
            <w:color w:val="005CA9"/>
          </w:rPr>
          <w:fldChar w:fldCharType="end"/>
        </w:r>
      </w:hyperlink>
    </w:p>
    <w:p w14:paraId="050EC9C0" w14:textId="0507F395"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1" w:history="1">
        <w:r w:rsidR="00102E51" w:rsidRPr="00102E51">
          <w:rPr>
            <w:rStyle w:val="Hyperlink"/>
            <w:rFonts w:ascii="CAIXA Std Book" w:hAnsi="CAIXA Std Book"/>
            <w:color w:val="005CA9"/>
          </w:rPr>
          <w:t>Nota 21 – Benefícios a empregados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_Toc175067961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71</w:t>
        </w:r>
        <w:r w:rsidR="00102E51" w:rsidRPr="00102E51">
          <w:rPr>
            <w:rFonts w:ascii="CAIXA Std Book" w:hAnsi="CAIXA Std Book"/>
            <w:webHidden/>
            <w:color w:val="005CA9"/>
          </w:rPr>
          <w:fldChar w:fldCharType="end"/>
        </w:r>
      </w:hyperlink>
    </w:p>
    <w:p w14:paraId="235E7649" w14:textId="4755EFF3"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2" w:history="1">
        <w:r w:rsidR="00102E51" w:rsidRPr="00102E51">
          <w:rPr>
            <w:rStyle w:val="Hyperlink"/>
            <w:rFonts w:ascii="CAIXA Std Book" w:hAnsi="CAIXA Std Book"/>
            <w:color w:val="005CA9"/>
          </w:rPr>
          <w:t>Nota 22 – Outros passivos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_Toc175067962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90</w:t>
        </w:r>
        <w:r w:rsidR="00102E51" w:rsidRPr="00102E51">
          <w:rPr>
            <w:rFonts w:ascii="CAIXA Std Book" w:hAnsi="CAIXA Std Book"/>
            <w:webHidden/>
            <w:color w:val="005CA9"/>
          </w:rPr>
          <w:fldChar w:fldCharType="end"/>
        </w:r>
      </w:hyperlink>
    </w:p>
    <w:p w14:paraId="79EC9673" w14:textId="0E9F06BB"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3" w:history="1">
        <w:r w:rsidR="00102E51" w:rsidRPr="00102E51">
          <w:rPr>
            <w:rStyle w:val="Hyperlink"/>
            <w:rFonts w:ascii="CAIXA Std Book" w:hAnsi="CAIXA Std Book"/>
            <w:color w:val="005CA9"/>
          </w:rPr>
          <w:t>Nota 23 – Patrimônio líquido</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_Toc175067963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91</w:t>
        </w:r>
        <w:r w:rsidR="00102E51" w:rsidRPr="00102E51">
          <w:rPr>
            <w:rFonts w:ascii="CAIXA Std Book" w:hAnsi="CAIXA Std Book"/>
            <w:webHidden/>
            <w:color w:val="005CA9"/>
          </w:rPr>
          <w:fldChar w:fldCharType="end"/>
        </w:r>
      </w:hyperlink>
    </w:p>
    <w:p w14:paraId="0454A202" w14:textId="63CC549A"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4" w:history="1">
        <w:r w:rsidR="00102E51" w:rsidRPr="00102E51">
          <w:rPr>
            <w:rStyle w:val="Hyperlink"/>
            <w:rFonts w:ascii="CAIXA Std Book" w:hAnsi="CAIXA Std Book"/>
            <w:color w:val="005CA9"/>
          </w:rPr>
          <w:t>Nota 24 – Receitas de prestação de serviços e tarifas bancárias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_Toc175067964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92</w:t>
        </w:r>
        <w:r w:rsidR="00102E51" w:rsidRPr="00102E51">
          <w:rPr>
            <w:rFonts w:ascii="CAIXA Std Book" w:hAnsi="CAIXA Std Book"/>
            <w:webHidden/>
            <w:color w:val="005CA9"/>
          </w:rPr>
          <w:fldChar w:fldCharType="end"/>
        </w:r>
      </w:hyperlink>
    </w:p>
    <w:p w14:paraId="3DD7CD51" w14:textId="3313816D"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5" w:history="1">
        <w:r w:rsidR="00102E51" w:rsidRPr="00102E51">
          <w:rPr>
            <w:rStyle w:val="Hyperlink"/>
            <w:rFonts w:ascii="CAIXA Std Book" w:hAnsi="CAIXA Std Book"/>
            <w:color w:val="005CA9"/>
          </w:rPr>
          <w:t>Nota 25 – Despesas de pessoal</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_Toc175067965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93</w:t>
        </w:r>
        <w:r w:rsidR="00102E51" w:rsidRPr="00102E51">
          <w:rPr>
            <w:rFonts w:ascii="CAIXA Std Book" w:hAnsi="CAIXA Std Book"/>
            <w:webHidden/>
            <w:color w:val="005CA9"/>
          </w:rPr>
          <w:fldChar w:fldCharType="end"/>
        </w:r>
      </w:hyperlink>
    </w:p>
    <w:p w14:paraId="1AEC64CF" w14:textId="08D77B05"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6" w:history="1">
        <w:r w:rsidR="00102E51" w:rsidRPr="00102E51">
          <w:rPr>
            <w:rStyle w:val="Hyperlink"/>
            <w:rFonts w:ascii="CAIXA Std Book" w:hAnsi="CAIXA Std Book"/>
            <w:color w:val="005CA9"/>
          </w:rPr>
          <w:t>Nota 26 – Outras despesas administrativas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_Toc175067966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93</w:t>
        </w:r>
        <w:r w:rsidR="00102E51" w:rsidRPr="00102E51">
          <w:rPr>
            <w:rFonts w:ascii="CAIXA Std Book" w:hAnsi="CAIXA Std Book"/>
            <w:webHidden/>
            <w:color w:val="005CA9"/>
          </w:rPr>
          <w:fldChar w:fldCharType="end"/>
        </w:r>
      </w:hyperlink>
    </w:p>
    <w:p w14:paraId="79E41E81" w14:textId="3936B27D"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7" w:history="1">
        <w:r w:rsidR="00102E51" w:rsidRPr="00102E51">
          <w:rPr>
            <w:rStyle w:val="Hyperlink"/>
            <w:rFonts w:ascii="CAIXA Std Book" w:hAnsi="CAIXA Std Book"/>
            <w:color w:val="005CA9"/>
          </w:rPr>
          <w:t>Nota 27 – Despesas tributárias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_Toc175067967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94</w:t>
        </w:r>
        <w:r w:rsidR="00102E51" w:rsidRPr="00102E51">
          <w:rPr>
            <w:rFonts w:ascii="CAIXA Std Book" w:hAnsi="CAIXA Std Book"/>
            <w:webHidden/>
            <w:color w:val="005CA9"/>
          </w:rPr>
          <w:fldChar w:fldCharType="end"/>
        </w:r>
      </w:hyperlink>
    </w:p>
    <w:p w14:paraId="3F733BBE" w14:textId="40AD5010"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8" w:history="1">
        <w:r w:rsidR="00102E51" w:rsidRPr="00102E51">
          <w:rPr>
            <w:rStyle w:val="Hyperlink"/>
            <w:rFonts w:ascii="CAIXA Std Book" w:hAnsi="CAIXA Std Book"/>
            <w:color w:val="005CA9"/>
          </w:rPr>
          <w:t>Nota 28 – Outras receitas operacionais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_Toc175067968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94</w:t>
        </w:r>
        <w:r w:rsidR="00102E51" w:rsidRPr="00102E51">
          <w:rPr>
            <w:rFonts w:ascii="CAIXA Std Book" w:hAnsi="CAIXA Std Book"/>
            <w:webHidden/>
            <w:color w:val="005CA9"/>
          </w:rPr>
          <w:fldChar w:fldCharType="end"/>
        </w:r>
      </w:hyperlink>
    </w:p>
    <w:p w14:paraId="42C7ABAF" w14:textId="1BE0885E"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69" w:history="1">
        <w:r w:rsidR="00102E51" w:rsidRPr="00102E51">
          <w:rPr>
            <w:rStyle w:val="Hyperlink"/>
            <w:rFonts w:ascii="CAIXA Std Book" w:hAnsi="CAIXA Std Book"/>
            <w:color w:val="005CA9"/>
          </w:rPr>
          <w:t>Nota 29 – Outras despesas operacionais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_Toc175067969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95</w:t>
        </w:r>
        <w:r w:rsidR="00102E51" w:rsidRPr="00102E51">
          <w:rPr>
            <w:rFonts w:ascii="CAIXA Std Book" w:hAnsi="CAIXA Std Book"/>
            <w:webHidden/>
            <w:color w:val="005CA9"/>
          </w:rPr>
          <w:fldChar w:fldCharType="end"/>
        </w:r>
      </w:hyperlink>
    </w:p>
    <w:p w14:paraId="0112333E" w14:textId="0F5422AF"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70" w:history="1">
        <w:r w:rsidR="00102E51" w:rsidRPr="00102E51">
          <w:rPr>
            <w:rStyle w:val="Hyperlink"/>
            <w:rFonts w:ascii="CAIXA Std Book" w:hAnsi="CAIXA Std Book"/>
            <w:color w:val="005CA9"/>
          </w:rPr>
          <w:t xml:space="preserve">Nota 30 – Constituição e reversão de </w:t>
        </w:r>
        <w:r w:rsidR="0093414D">
          <w:rPr>
            <w:rStyle w:val="Hyperlink"/>
            <w:rFonts w:ascii="CAIXA Std Book" w:hAnsi="CAIXA Std Book"/>
            <w:color w:val="005CA9"/>
          </w:rPr>
          <w:br/>
        </w:r>
        <w:r w:rsidR="00102E51" w:rsidRPr="00102E51">
          <w:rPr>
            <w:rStyle w:val="Hyperlink"/>
            <w:rFonts w:ascii="CAIXA Std Book" w:hAnsi="CAIXA Std Book"/>
            <w:color w:val="005CA9"/>
          </w:rPr>
          <w:t>provisões</w:t>
        </w:r>
        <w:r w:rsidR="0093414D">
          <w:rPr>
            <w:rStyle w:val="Hyperlink"/>
            <w:rFonts w:ascii="CAIXA Std Book" w:hAnsi="CAIXA Std Book"/>
            <w:color w:val="005CA9"/>
          </w:rPr>
          <w:tab/>
        </w:r>
        <w:r w:rsidR="0093414D">
          <w:rPr>
            <w:rStyle w:val="Hyperlink"/>
            <w:rFonts w:ascii="CAIXA Std Book" w:hAnsi="CAIXA Std Book"/>
            <w:color w:val="005CA9"/>
          </w:rPr>
          <w:tab/>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_Toc175067970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95</w:t>
        </w:r>
        <w:r w:rsidR="00102E51" w:rsidRPr="00102E51">
          <w:rPr>
            <w:rFonts w:ascii="CAIXA Std Book" w:hAnsi="CAIXA Std Book"/>
            <w:webHidden/>
            <w:color w:val="005CA9"/>
          </w:rPr>
          <w:fldChar w:fldCharType="end"/>
        </w:r>
      </w:hyperlink>
    </w:p>
    <w:p w14:paraId="32447CC2" w14:textId="4718C666"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71" w:history="1">
        <w:r w:rsidR="00102E51" w:rsidRPr="00102E51">
          <w:rPr>
            <w:rStyle w:val="Hyperlink"/>
            <w:rFonts w:ascii="CAIXA Std Book" w:hAnsi="CAIXA Std Book"/>
            <w:color w:val="005CA9"/>
          </w:rPr>
          <w:t>Nota 31 – Resultado não operacional</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_Toc175067971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96</w:t>
        </w:r>
        <w:r w:rsidR="00102E51" w:rsidRPr="00102E51">
          <w:rPr>
            <w:rFonts w:ascii="CAIXA Std Book" w:hAnsi="CAIXA Std Book"/>
            <w:webHidden/>
            <w:color w:val="005CA9"/>
          </w:rPr>
          <w:fldChar w:fldCharType="end"/>
        </w:r>
      </w:hyperlink>
    </w:p>
    <w:p w14:paraId="0872F0E7" w14:textId="77B61721"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72" w:history="1">
        <w:r w:rsidR="00102E51" w:rsidRPr="00102E51">
          <w:rPr>
            <w:rStyle w:val="Hyperlink"/>
            <w:rFonts w:ascii="CAIXA Std Book" w:hAnsi="CAIXA Std Book"/>
            <w:color w:val="005CA9"/>
          </w:rPr>
          <w:t>Nota 32 – Partes relacionadas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_Toc175067972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96</w:t>
        </w:r>
        <w:r w:rsidR="00102E51" w:rsidRPr="00102E51">
          <w:rPr>
            <w:rFonts w:ascii="CAIXA Std Book" w:hAnsi="CAIXA Std Book"/>
            <w:webHidden/>
            <w:color w:val="005CA9"/>
          </w:rPr>
          <w:fldChar w:fldCharType="end"/>
        </w:r>
      </w:hyperlink>
    </w:p>
    <w:p w14:paraId="3C908567" w14:textId="2DC92162"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73" w:history="1">
        <w:r w:rsidR="00102E51" w:rsidRPr="00102E51">
          <w:rPr>
            <w:rStyle w:val="Hyperlink"/>
            <w:rFonts w:ascii="CAIXA Std Book" w:hAnsi="CAIXA Std Book"/>
            <w:color w:val="005CA9"/>
          </w:rPr>
          <w:t xml:space="preserve">Nota 33 – Gerenciamento de riscos e de </w:t>
        </w:r>
        <w:r w:rsidR="0093414D">
          <w:rPr>
            <w:rStyle w:val="Hyperlink"/>
            <w:rFonts w:ascii="CAIXA Std Book" w:hAnsi="CAIXA Std Book"/>
            <w:color w:val="005CA9"/>
          </w:rPr>
          <w:br/>
        </w:r>
        <w:r w:rsidR="00102E51" w:rsidRPr="00102E51">
          <w:rPr>
            <w:rStyle w:val="Hyperlink"/>
            <w:rFonts w:ascii="CAIXA Std Book" w:hAnsi="CAIXA Std Book"/>
            <w:color w:val="005CA9"/>
          </w:rPr>
          <w:t>capital</w:t>
        </w:r>
        <w:r w:rsidR="0093414D">
          <w:rPr>
            <w:rStyle w:val="Hyperlink"/>
            <w:rFonts w:ascii="CAIXA Std Book" w:hAnsi="CAIXA Std Book"/>
            <w:color w:val="005CA9"/>
          </w:rPr>
          <w:tab/>
        </w:r>
        <w:r w:rsidR="0093414D">
          <w:rPr>
            <w:rStyle w:val="Hyperlink"/>
            <w:rFonts w:ascii="CAIXA Std Book" w:hAnsi="CAIXA Std Book"/>
            <w:color w:val="005CA9"/>
          </w:rPr>
          <w:tab/>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_Toc175067973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103</w:t>
        </w:r>
        <w:r w:rsidR="00102E51" w:rsidRPr="00102E51">
          <w:rPr>
            <w:rFonts w:ascii="CAIXA Std Book" w:hAnsi="CAIXA Std Book"/>
            <w:webHidden/>
            <w:color w:val="005CA9"/>
          </w:rPr>
          <w:fldChar w:fldCharType="end"/>
        </w:r>
      </w:hyperlink>
    </w:p>
    <w:p w14:paraId="0F5A9A73" w14:textId="17CB2519"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74" w:history="1">
        <w:r w:rsidR="00102E51" w:rsidRPr="00102E51">
          <w:rPr>
            <w:rStyle w:val="Hyperlink"/>
            <w:rFonts w:ascii="CAIXA Std Book" w:hAnsi="CAIXA Std Book"/>
            <w:color w:val="005CA9"/>
          </w:rPr>
          <w:t>Nota 34 – Resultado recorrente e não recorrente</w:t>
        </w:r>
        <w:r w:rsidR="00102E51" w:rsidRPr="00102E51">
          <w:rPr>
            <w:rFonts w:ascii="CAIXA Std Book" w:hAnsi="CAIXA Std Book"/>
            <w:webHidden/>
            <w:color w:val="005CA9"/>
          </w:rPr>
          <w:tab/>
        </w:r>
        <w:r w:rsidR="0093414D">
          <w:rPr>
            <w:rFonts w:ascii="CAIXA Std Book" w:hAnsi="CAIXA Std Book"/>
            <w:webHidden/>
            <w:color w:val="005CA9"/>
          </w:rPr>
          <w:tab/>
        </w:r>
        <w:r w:rsidR="0093414D">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_Toc175067974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112</w:t>
        </w:r>
        <w:r w:rsidR="00102E51" w:rsidRPr="00102E51">
          <w:rPr>
            <w:rFonts w:ascii="CAIXA Std Book" w:hAnsi="CAIXA Std Book"/>
            <w:webHidden/>
            <w:color w:val="005CA9"/>
          </w:rPr>
          <w:fldChar w:fldCharType="end"/>
        </w:r>
      </w:hyperlink>
    </w:p>
    <w:p w14:paraId="21E3D74A" w14:textId="2822F0BB"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75" w:history="1">
        <w:r w:rsidR="00102E51" w:rsidRPr="00102E51">
          <w:rPr>
            <w:rStyle w:val="Hyperlink"/>
            <w:rFonts w:ascii="CAIXA Std Book" w:hAnsi="CAIXA Std Book"/>
            <w:color w:val="005CA9"/>
          </w:rPr>
          <w:t>Nota 35 – Outras informações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_Toc175067975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112</w:t>
        </w:r>
        <w:r w:rsidR="00102E51" w:rsidRPr="00102E51">
          <w:rPr>
            <w:rFonts w:ascii="CAIXA Std Book" w:hAnsi="CAIXA Std Book"/>
            <w:webHidden/>
            <w:color w:val="005CA9"/>
          </w:rPr>
          <w:fldChar w:fldCharType="end"/>
        </w:r>
      </w:hyperlink>
    </w:p>
    <w:p w14:paraId="2271D482" w14:textId="65F030CD" w:rsidR="00C56D60" w:rsidRDefault="007F4CE7" w:rsidP="00C56D60">
      <w:pPr>
        <w:pStyle w:val="Sumrio1"/>
        <w:rPr>
          <w:rStyle w:val="Hyperlink"/>
          <w:rFonts w:ascii="CAIXA Std Book" w:hAnsi="CAIXA Std Book"/>
          <w:color w:val="005CA9"/>
        </w:rPr>
        <w:sectPr w:rsidR="00C56D60" w:rsidSect="00C56D60">
          <w:type w:val="continuous"/>
          <w:pgSz w:w="11907" w:h="16840" w:code="9"/>
          <w:pgMar w:top="1418" w:right="851" w:bottom="851" w:left="1418" w:header="1134" w:footer="709" w:gutter="0"/>
          <w:cols w:num="2" w:space="708"/>
          <w:docGrid w:linePitch="360"/>
        </w:sectPr>
      </w:pPr>
      <w:hyperlink w:anchor="_Toc175067976" w:history="1">
        <w:r w:rsidR="00102E51" w:rsidRPr="00102E51">
          <w:rPr>
            <w:rStyle w:val="Hyperlink"/>
            <w:rFonts w:ascii="CAIXA Std Book" w:hAnsi="CAIXA Std Book"/>
            <w:color w:val="005CA9"/>
          </w:rPr>
          <w:t>Nota 36 – Eventos subsequentes</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_Toc175067976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115</w:t>
        </w:r>
        <w:r w:rsidR="00102E51" w:rsidRPr="00102E51">
          <w:rPr>
            <w:rFonts w:ascii="CAIXA Std Book" w:hAnsi="CAIXA Std Book"/>
            <w:webHidden/>
            <w:color w:val="005CA9"/>
          </w:rPr>
          <w:fldChar w:fldCharType="end"/>
        </w:r>
      </w:hyperlink>
    </w:p>
    <w:p w14:paraId="2D0368E4" w14:textId="77777777" w:rsidR="00C56D60" w:rsidRDefault="00C56D60" w:rsidP="00C56D60">
      <w:pPr>
        <w:pStyle w:val="Sumrio1"/>
        <w:rPr>
          <w:rFonts w:ascii="CAIXA Std Book" w:hAnsi="CAIXA Std Book" w:cs="Times New Roman"/>
          <w:color w:val="005CA9"/>
          <w:u w:val="single"/>
        </w:rPr>
        <w:sectPr w:rsidR="00C56D60" w:rsidSect="00C56D60">
          <w:type w:val="continuous"/>
          <w:pgSz w:w="11907" w:h="16840" w:code="9"/>
          <w:pgMar w:top="1418" w:right="851" w:bottom="851" w:left="1418" w:header="1134" w:footer="709" w:gutter="0"/>
          <w:cols w:space="708"/>
          <w:docGrid w:linePitch="360"/>
        </w:sectPr>
      </w:pPr>
    </w:p>
    <w:p w14:paraId="38F76274" w14:textId="22DA37FB"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77" w:history="1">
        <w:r w:rsidR="00102E51" w:rsidRPr="00102E51">
          <w:rPr>
            <w:rStyle w:val="Hyperlink"/>
            <w:rFonts w:ascii="CAIXA Std Book" w:hAnsi="CAIXA Std Book"/>
            <w:color w:val="005CA9"/>
          </w:rPr>
          <w:t>Resumo do Relatório do Comitê de Auditoria</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_Toc175067977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117</w:t>
        </w:r>
        <w:r w:rsidR="00102E51" w:rsidRPr="00102E51">
          <w:rPr>
            <w:rFonts w:ascii="CAIXA Std Book" w:hAnsi="CAIXA Std Book"/>
            <w:webHidden/>
            <w:color w:val="005CA9"/>
          </w:rPr>
          <w:fldChar w:fldCharType="end"/>
        </w:r>
      </w:hyperlink>
    </w:p>
    <w:p w14:paraId="0588BEE8" w14:textId="780EE39A"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78" w:history="1">
        <w:r w:rsidR="00102E51" w:rsidRPr="00102E51">
          <w:rPr>
            <w:rStyle w:val="Hyperlink"/>
            <w:rFonts w:ascii="CAIXA Std Book" w:hAnsi="CAIXA Std Book"/>
            <w:color w:val="005CA9"/>
          </w:rPr>
          <w:t>Parecer do Conselho Fiscal</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_Toc175067978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125</w:t>
        </w:r>
        <w:r w:rsidR="00102E51" w:rsidRPr="00102E51">
          <w:rPr>
            <w:rFonts w:ascii="CAIXA Std Book" w:hAnsi="CAIXA Std Book"/>
            <w:webHidden/>
            <w:color w:val="005CA9"/>
          </w:rPr>
          <w:fldChar w:fldCharType="end"/>
        </w:r>
      </w:hyperlink>
    </w:p>
    <w:p w14:paraId="6A1077B0" w14:textId="709260CB" w:rsidR="00102E51" w:rsidRPr="00102E51" w:rsidRDefault="007F4CE7">
      <w:pPr>
        <w:pStyle w:val="Sumrio1"/>
        <w:rPr>
          <w:rFonts w:ascii="CAIXA Std Book" w:eastAsiaTheme="minorEastAsia" w:hAnsi="CAIXA Std Book" w:cstheme="minorBidi"/>
          <w:color w:val="005CA9"/>
          <w:kern w:val="2"/>
          <w:sz w:val="22"/>
          <w:szCs w:val="22"/>
          <w14:ligatures w14:val="standardContextual"/>
        </w:rPr>
      </w:pPr>
      <w:hyperlink w:anchor="_Toc175067979" w:history="1">
        <w:r w:rsidR="00102E51" w:rsidRPr="00102E51">
          <w:rPr>
            <w:rStyle w:val="Hyperlink"/>
            <w:rFonts w:ascii="CAIXA Std Book" w:hAnsi="CAIXA Std Book"/>
            <w:color w:val="005CA9"/>
          </w:rPr>
          <w:t>Parecer do Conselho de Administração</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_Toc175067979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126</w:t>
        </w:r>
        <w:r w:rsidR="00102E51" w:rsidRPr="00102E51">
          <w:rPr>
            <w:rFonts w:ascii="CAIXA Std Book" w:hAnsi="CAIXA Std Book"/>
            <w:webHidden/>
            <w:color w:val="005CA9"/>
          </w:rPr>
          <w:fldChar w:fldCharType="end"/>
        </w:r>
      </w:hyperlink>
    </w:p>
    <w:p w14:paraId="14CC77A0" w14:textId="7D5095EC" w:rsidR="00102E51" w:rsidRDefault="007F4CE7">
      <w:pPr>
        <w:pStyle w:val="Sumrio1"/>
        <w:rPr>
          <w:rFonts w:asciiTheme="minorHAnsi" w:eastAsiaTheme="minorEastAsia" w:hAnsiTheme="minorHAnsi" w:cstheme="minorBidi"/>
          <w:color w:val="auto"/>
          <w:kern w:val="2"/>
          <w:sz w:val="22"/>
          <w:szCs w:val="22"/>
          <w14:ligatures w14:val="standardContextual"/>
        </w:rPr>
      </w:pPr>
      <w:hyperlink w:anchor="_Toc175067980" w:history="1">
        <w:r w:rsidR="00102E51" w:rsidRPr="00102E51">
          <w:rPr>
            <w:rStyle w:val="Hyperlink"/>
            <w:rFonts w:ascii="CAIXA Std Book" w:hAnsi="CAIXA Std Book"/>
            <w:color w:val="005CA9"/>
          </w:rPr>
          <w:t>Relatório do Auditor Independente</w:t>
        </w:r>
        <w:r w:rsidR="00102E51" w:rsidRPr="00102E51">
          <w:rPr>
            <w:rFonts w:ascii="CAIXA Std Book" w:hAnsi="CAIXA Std Book"/>
            <w:webHidden/>
            <w:color w:val="005CA9"/>
          </w:rPr>
          <w:tab/>
        </w:r>
        <w:r w:rsidR="00102E51" w:rsidRPr="00102E51">
          <w:rPr>
            <w:rFonts w:ascii="CAIXA Std Book" w:hAnsi="CAIXA Std Book"/>
            <w:webHidden/>
            <w:color w:val="005CA9"/>
          </w:rPr>
          <w:fldChar w:fldCharType="begin"/>
        </w:r>
        <w:r w:rsidR="00102E51" w:rsidRPr="00102E51">
          <w:rPr>
            <w:rFonts w:ascii="CAIXA Std Book" w:hAnsi="CAIXA Std Book"/>
            <w:webHidden/>
            <w:color w:val="005CA9"/>
          </w:rPr>
          <w:instrText xml:space="preserve"> PAGEREF _Toc175067980 \h </w:instrText>
        </w:r>
        <w:r w:rsidR="00102E51" w:rsidRPr="00102E51">
          <w:rPr>
            <w:rFonts w:ascii="CAIXA Std Book" w:hAnsi="CAIXA Std Book"/>
            <w:webHidden/>
            <w:color w:val="005CA9"/>
          </w:rPr>
        </w:r>
        <w:r w:rsidR="00102E51" w:rsidRPr="00102E51">
          <w:rPr>
            <w:rFonts w:ascii="CAIXA Std Book" w:hAnsi="CAIXA Std Book"/>
            <w:webHidden/>
            <w:color w:val="005CA9"/>
          </w:rPr>
          <w:fldChar w:fldCharType="separate"/>
        </w:r>
        <w:r w:rsidR="00A4559F">
          <w:rPr>
            <w:rFonts w:ascii="CAIXA Std Book" w:hAnsi="CAIXA Std Book"/>
            <w:webHidden/>
            <w:color w:val="005CA9"/>
          </w:rPr>
          <w:t>127</w:t>
        </w:r>
        <w:r w:rsidR="00102E51" w:rsidRPr="00102E51">
          <w:rPr>
            <w:rFonts w:ascii="CAIXA Std Book" w:hAnsi="CAIXA Std Book"/>
            <w:webHidden/>
            <w:color w:val="005CA9"/>
          </w:rPr>
          <w:fldChar w:fldCharType="end"/>
        </w:r>
      </w:hyperlink>
    </w:p>
    <w:p w14:paraId="0A80E164" w14:textId="0316030E" w:rsidR="005822FF" w:rsidRDefault="005F303D" w:rsidP="00413BEC">
      <w:pPr>
        <w:pStyle w:val="Sumrio1"/>
        <w:rPr>
          <w:rFonts w:ascii="CAIXA Std Book" w:hAnsi="CAIXA Std Book"/>
          <w:noProof w:val="0"/>
          <w:color w:val="005CA9"/>
        </w:rPr>
        <w:sectPr w:rsidR="005822FF" w:rsidSect="00C56D60">
          <w:type w:val="continuous"/>
          <w:pgSz w:w="11907" w:h="16840" w:code="9"/>
          <w:pgMar w:top="1418" w:right="851" w:bottom="851" w:left="1418" w:header="1134" w:footer="709" w:gutter="0"/>
          <w:cols w:space="708"/>
          <w:docGrid w:linePitch="360"/>
        </w:sectPr>
      </w:pPr>
      <w:r w:rsidRPr="00E20D21">
        <w:rPr>
          <w:rFonts w:ascii="CAIXA Std Book" w:hAnsi="CAIXA Std Book"/>
          <w:noProof w:val="0"/>
          <w:color w:val="005CA9"/>
        </w:rPr>
        <w:fldChar w:fldCharType="end"/>
      </w:r>
    </w:p>
    <w:p w14:paraId="6922F323" w14:textId="4BF1F59D" w:rsidR="00401C4D" w:rsidRDefault="00401C4D" w:rsidP="00401C4D">
      <w:pPr>
        <w:pStyle w:val="Ttulo1"/>
      </w:pPr>
      <w:bookmarkStart w:id="3" w:name="_Toc142991969"/>
      <w:bookmarkStart w:id="4" w:name="_Toc159926861"/>
      <w:bookmarkStart w:id="5" w:name="_Toc166594470"/>
      <w:bookmarkStart w:id="6" w:name="_Toc175067935"/>
      <w:r w:rsidRPr="008E67C0">
        <w:lastRenderedPageBreak/>
        <w:t>Balanços Patrimoniais</w:t>
      </w:r>
      <w:bookmarkEnd w:id="3"/>
      <w:bookmarkEnd w:id="4"/>
      <w:bookmarkEnd w:id="5"/>
      <w:bookmarkEnd w:id="6"/>
    </w:p>
    <w:p w14:paraId="5F3DCD0C" w14:textId="7232D3B4" w:rsidR="00694ACE" w:rsidRDefault="00D24AE9" w:rsidP="00413BEC">
      <w:pPr>
        <w:pStyle w:val="Sumrio1"/>
        <w:rPr>
          <w:rFonts w:ascii="CAIXA Std Book" w:hAnsi="CAIXA Std Book"/>
          <w:color w:val="005CA9"/>
        </w:rPr>
        <w:sectPr w:rsidR="00694ACE" w:rsidSect="001F0E96">
          <w:headerReference w:type="default" r:id="rId20"/>
          <w:footerReference w:type="default" r:id="rId21"/>
          <w:pgSz w:w="11907" w:h="16840" w:code="9"/>
          <w:pgMar w:top="1418" w:right="851" w:bottom="851" w:left="1418" w:header="1134" w:footer="709" w:gutter="0"/>
          <w:cols w:space="708"/>
          <w:docGrid w:linePitch="360"/>
        </w:sectPr>
      </w:pPr>
      <w:r w:rsidRPr="00D24AE9">
        <w:drawing>
          <wp:inline distT="0" distB="0" distL="0" distR="0" wp14:anchorId="06CB021D" wp14:editId="642FFA03">
            <wp:extent cx="5610225" cy="8417667"/>
            <wp:effectExtent l="0" t="0" r="0" b="254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515" cy="8431605"/>
                    </a:xfrm>
                    <a:prstGeom prst="rect">
                      <a:avLst/>
                    </a:prstGeom>
                    <a:noFill/>
                    <a:ln>
                      <a:noFill/>
                    </a:ln>
                  </pic:spPr>
                </pic:pic>
              </a:graphicData>
            </a:graphic>
          </wp:inline>
        </w:drawing>
      </w:r>
    </w:p>
    <w:p w14:paraId="60F02664" w14:textId="7F44226B" w:rsidR="00694ACE" w:rsidRDefault="00694ACE" w:rsidP="00694ACE">
      <w:pPr>
        <w:pStyle w:val="Ttulo1"/>
      </w:pPr>
      <w:bookmarkStart w:id="7" w:name="_Toc175067936"/>
      <w:r>
        <w:lastRenderedPageBreak/>
        <w:t>Demonstrações de Resultado</w:t>
      </w:r>
      <w:bookmarkEnd w:id="7"/>
    </w:p>
    <w:p w14:paraId="43AFF545" w14:textId="69434A97" w:rsidR="00A55A4F" w:rsidRPr="00A55A4F" w:rsidRDefault="00D24648" w:rsidP="00A55A4F">
      <w:r w:rsidRPr="00D24648">
        <w:rPr>
          <w:noProof/>
        </w:rPr>
        <w:drawing>
          <wp:inline distT="0" distB="0" distL="0" distR="0" wp14:anchorId="5358D0E2" wp14:editId="492016F6">
            <wp:extent cx="6120130" cy="652272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6522720"/>
                    </a:xfrm>
                    <a:prstGeom prst="rect">
                      <a:avLst/>
                    </a:prstGeom>
                    <a:noFill/>
                    <a:ln>
                      <a:noFill/>
                    </a:ln>
                  </pic:spPr>
                </pic:pic>
              </a:graphicData>
            </a:graphic>
          </wp:inline>
        </w:drawing>
      </w:r>
    </w:p>
    <w:p w14:paraId="73E97248" w14:textId="77777777" w:rsidR="00694ACE" w:rsidRDefault="00694ACE" w:rsidP="00413BEC">
      <w:pPr>
        <w:pStyle w:val="Sumrio1"/>
        <w:rPr>
          <w:rFonts w:ascii="CAIXA Std Book" w:hAnsi="CAIXA Std Book"/>
          <w:color w:val="005CA9"/>
        </w:rPr>
        <w:sectPr w:rsidR="00694ACE" w:rsidSect="001F0E96">
          <w:pgSz w:w="11907" w:h="16840" w:code="9"/>
          <w:pgMar w:top="1418" w:right="851" w:bottom="851" w:left="1418" w:header="1134" w:footer="709" w:gutter="0"/>
          <w:cols w:space="708"/>
          <w:docGrid w:linePitch="360"/>
        </w:sectPr>
      </w:pPr>
    </w:p>
    <w:p w14:paraId="5DD22778" w14:textId="183D2BCF" w:rsidR="00694ACE" w:rsidRDefault="001A0103" w:rsidP="00694ACE">
      <w:pPr>
        <w:pStyle w:val="Ttulo1"/>
      </w:pPr>
      <w:bookmarkStart w:id="8" w:name="_Toc175067937"/>
      <w:r>
        <w:lastRenderedPageBreak/>
        <w:t>Demonstrações do Resultado Abrangente</w:t>
      </w:r>
      <w:bookmarkEnd w:id="8"/>
    </w:p>
    <w:p w14:paraId="63D9A45B" w14:textId="7363285C" w:rsidR="001875FB" w:rsidRDefault="005969A1" w:rsidP="00694ACE">
      <w:pPr>
        <w:sectPr w:rsidR="001875FB" w:rsidSect="001F0E96">
          <w:pgSz w:w="11907" w:h="16840" w:code="9"/>
          <w:pgMar w:top="1418" w:right="851" w:bottom="851" w:left="1418" w:header="1134" w:footer="709" w:gutter="0"/>
          <w:cols w:space="708"/>
          <w:docGrid w:linePitch="360"/>
        </w:sectPr>
      </w:pPr>
      <w:r w:rsidRPr="005969A1">
        <w:rPr>
          <w:noProof/>
        </w:rPr>
        <w:drawing>
          <wp:inline distT="0" distB="0" distL="0" distR="0" wp14:anchorId="5B46539C" wp14:editId="0053EB95">
            <wp:extent cx="6120130" cy="324231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242310"/>
                    </a:xfrm>
                    <a:prstGeom prst="rect">
                      <a:avLst/>
                    </a:prstGeom>
                    <a:noFill/>
                    <a:ln>
                      <a:noFill/>
                    </a:ln>
                  </pic:spPr>
                </pic:pic>
              </a:graphicData>
            </a:graphic>
          </wp:inline>
        </w:drawing>
      </w:r>
    </w:p>
    <w:p w14:paraId="2F831F49" w14:textId="5DF80D55" w:rsidR="001875FB" w:rsidRDefault="001875FB" w:rsidP="001875FB">
      <w:pPr>
        <w:pStyle w:val="Ttulo1"/>
      </w:pPr>
      <w:bookmarkStart w:id="9" w:name="_Toc175067938"/>
      <w:r>
        <w:lastRenderedPageBreak/>
        <w:t>Demonstrações das Mutações do Patrimônio Líquido</w:t>
      </w:r>
      <w:bookmarkEnd w:id="9"/>
    </w:p>
    <w:p w14:paraId="3531934F" w14:textId="0C037FF1" w:rsidR="00BE72DD" w:rsidRDefault="00EB464F" w:rsidP="00694ACE">
      <w:r w:rsidRPr="00EB464F">
        <w:rPr>
          <w:noProof/>
        </w:rPr>
        <w:drawing>
          <wp:inline distT="0" distB="0" distL="0" distR="0" wp14:anchorId="6853318D" wp14:editId="6EEB4DEE">
            <wp:extent cx="9252585" cy="4581525"/>
            <wp:effectExtent l="0" t="0" r="571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2585" cy="4581525"/>
                    </a:xfrm>
                    <a:prstGeom prst="rect">
                      <a:avLst/>
                    </a:prstGeom>
                    <a:noFill/>
                    <a:ln>
                      <a:noFill/>
                    </a:ln>
                  </pic:spPr>
                </pic:pic>
              </a:graphicData>
            </a:graphic>
          </wp:inline>
        </w:drawing>
      </w:r>
    </w:p>
    <w:p w14:paraId="709BC3D4" w14:textId="4A1DD0A7" w:rsidR="00F005D6" w:rsidRDefault="00F005D6" w:rsidP="00694ACE">
      <w:pPr>
        <w:sectPr w:rsidR="00F005D6" w:rsidSect="00BE72DD">
          <w:headerReference w:type="default" r:id="rId26"/>
          <w:footerReference w:type="default" r:id="rId27"/>
          <w:pgSz w:w="16840" w:h="11907" w:orient="landscape" w:code="9"/>
          <w:pgMar w:top="1418" w:right="1418" w:bottom="851" w:left="851" w:header="1134" w:footer="709" w:gutter="0"/>
          <w:cols w:space="708"/>
          <w:docGrid w:linePitch="360"/>
        </w:sectPr>
      </w:pPr>
    </w:p>
    <w:p w14:paraId="02FA0334" w14:textId="77777777" w:rsidR="00BE72DD" w:rsidRPr="008C53D2" w:rsidRDefault="00BE72DD" w:rsidP="004A7D3F">
      <w:pPr>
        <w:spacing w:before="360" w:after="240"/>
        <w:rPr>
          <w:rFonts w:ascii="CAIXA Std Book" w:hAnsi="CAIXA Std Book"/>
          <w:b/>
          <w:bCs/>
          <w:color w:val="005CA9"/>
          <w:sz w:val="22"/>
          <w:szCs w:val="22"/>
        </w:rPr>
      </w:pPr>
      <w:r w:rsidRPr="008C53D2">
        <w:rPr>
          <w:rFonts w:ascii="CAIXA Std Book" w:hAnsi="CAIXA Std Book"/>
          <w:b/>
          <w:bCs/>
          <w:color w:val="005CA9"/>
          <w:sz w:val="22"/>
          <w:szCs w:val="22"/>
        </w:rPr>
        <w:lastRenderedPageBreak/>
        <w:t>Demonstrações das Mutações do Patrimônio Líquido</w:t>
      </w:r>
    </w:p>
    <w:p w14:paraId="66176928" w14:textId="17ADA9E6" w:rsidR="00BE72DD" w:rsidRDefault="008F5052" w:rsidP="00694ACE">
      <w:r w:rsidRPr="008F5052">
        <w:rPr>
          <w:noProof/>
        </w:rPr>
        <w:drawing>
          <wp:inline distT="0" distB="0" distL="0" distR="0" wp14:anchorId="2DB8EB5C" wp14:editId="57CB0B13">
            <wp:extent cx="9252585" cy="4331335"/>
            <wp:effectExtent l="0" t="0" r="571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2585" cy="4331335"/>
                    </a:xfrm>
                    <a:prstGeom prst="rect">
                      <a:avLst/>
                    </a:prstGeom>
                    <a:noFill/>
                    <a:ln>
                      <a:noFill/>
                    </a:ln>
                  </pic:spPr>
                </pic:pic>
              </a:graphicData>
            </a:graphic>
          </wp:inline>
        </w:drawing>
      </w:r>
    </w:p>
    <w:p w14:paraId="18C44B2F" w14:textId="77777777" w:rsidR="004A7D3F" w:rsidRDefault="004A7D3F" w:rsidP="00694ACE"/>
    <w:p w14:paraId="10245737" w14:textId="77777777" w:rsidR="00BE72DD" w:rsidRDefault="00BE72DD" w:rsidP="00694ACE">
      <w:pPr>
        <w:sectPr w:rsidR="00BE72DD" w:rsidSect="00BE72DD">
          <w:pgSz w:w="16840" w:h="11907" w:orient="landscape" w:code="9"/>
          <w:pgMar w:top="1418" w:right="1418" w:bottom="851" w:left="851" w:header="1134" w:footer="709" w:gutter="0"/>
          <w:cols w:space="708"/>
          <w:docGrid w:linePitch="360"/>
        </w:sectPr>
      </w:pPr>
    </w:p>
    <w:p w14:paraId="5D328A95" w14:textId="7B17E6EE" w:rsidR="001875FB" w:rsidRDefault="001875FB" w:rsidP="001875FB">
      <w:pPr>
        <w:pStyle w:val="Ttulo1"/>
      </w:pPr>
      <w:bookmarkStart w:id="10" w:name="_Toc175067939"/>
      <w:r>
        <w:lastRenderedPageBreak/>
        <w:t>Demonstrações dos Fluxos de Caixa</w:t>
      </w:r>
      <w:bookmarkEnd w:id="10"/>
    </w:p>
    <w:p w14:paraId="39EA184B" w14:textId="312C1D34" w:rsidR="00A55A4F" w:rsidRPr="00A55A4F" w:rsidRDefault="00C17A17" w:rsidP="00A55A4F">
      <w:r w:rsidRPr="00C17A17">
        <w:rPr>
          <w:noProof/>
        </w:rPr>
        <w:drawing>
          <wp:inline distT="0" distB="0" distL="0" distR="0" wp14:anchorId="507C951E" wp14:editId="54C759E0">
            <wp:extent cx="6120130" cy="773874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7738745"/>
                    </a:xfrm>
                    <a:prstGeom prst="rect">
                      <a:avLst/>
                    </a:prstGeom>
                    <a:noFill/>
                    <a:ln>
                      <a:noFill/>
                    </a:ln>
                  </pic:spPr>
                </pic:pic>
              </a:graphicData>
            </a:graphic>
          </wp:inline>
        </w:drawing>
      </w:r>
    </w:p>
    <w:p w14:paraId="5F03301F" w14:textId="77777777" w:rsidR="001875FB" w:rsidRDefault="001875FB" w:rsidP="00694ACE">
      <w:pPr>
        <w:sectPr w:rsidR="001875FB" w:rsidSect="001F0E96">
          <w:headerReference w:type="default" r:id="rId30"/>
          <w:footerReference w:type="default" r:id="rId31"/>
          <w:pgSz w:w="11907" w:h="16840" w:code="9"/>
          <w:pgMar w:top="1418" w:right="851" w:bottom="851" w:left="1418" w:header="1134" w:footer="709" w:gutter="0"/>
          <w:cols w:space="708"/>
          <w:docGrid w:linePitch="360"/>
        </w:sectPr>
      </w:pPr>
    </w:p>
    <w:p w14:paraId="41568FF0" w14:textId="1541FCBE" w:rsidR="002C74AC" w:rsidRDefault="002C74AC" w:rsidP="002C74AC">
      <w:pPr>
        <w:pStyle w:val="Ttulo1"/>
      </w:pPr>
      <w:bookmarkStart w:id="11" w:name="_Toc175067940"/>
      <w:r>
        <w:lastRenderedPageBreak/>
        <w:t>Demonstrações do Valor Adicionado</w:t>
      </w:r>
      <w:bookmarkEnd w:id="11"/>
    </w:p>
    <w:p w14:paraId="57BE6706" w14:textId="1DB143E4" w:rsidR="00694ACE" w:rsidRDefault="00BC6D3A" w:rsidP="00694ACE">
      <w:r w:rsidRPr="00BC6D3A">
        <w:rPr>
          <w:noProof/>
        </w:rPr>
        <w:drawing>
          <wp:inline distT="0" distB="0" distL="0" distR="0" wp14:anchorId="76E1DC22" wp14:editId="442C38B9">
            <wp:extent cx="6254501" cy="573405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1267" cy="5740253"/>
                    </a:xfrm>
                    <a:prstGeom prst="rect">
                      <a:avLst/>
                    </a:prstGeom>
                    <a:noFill/>
                    <a:ln>
                      <a:noFill/>
                    </a:ln>
                  </pic:spPr>
                </pic:pic>
              </a:graphicData>
            </a:graphic>
          </wp:inline>
        </w:drawing>
      </w:r>
    </w:p>
    <w:p w14:paraId="0D53641E" w14:textId="77777777" w:rsidR="001875FB" w:rsidRPr="00694ACE" w:rsidRDefault="001875FB" w:rsidP="00694ACE">
      <w:pPr>
        <w:sectPr w:rsidR="001875FB" w:rsidRPr="00694ACE" w:rsidSect="001F0E96">
          <w:pgSz w:w="11907" w:h="16840" w:code="9"/>
          <w:pgMar w:top="1418" w:right="851" w:bottom="851" w:left="1418" w:header="1134" w:footer="709" w:gutter="0"/>
          <w:cols w:space="708"/>
          <w:docGrid w:linePitch="360"/>
        </w:sectPr>
      </w:pPr>
    </w:p>
    <w:p w14:paraId="655982C9" w14:textId="64757E73" w:rsidR="006361F3" w:rsidRPr="00E20D21" w:rsidRDefault="006361F3" w:rsidP="00413BEC">
      <w:pPr>
        <w:pStyle w:val="Sumrio1"/>
        <w:rPr>
          <w:rFonts w:ascii="CAIXA Std Book" w:hAnsi="CAIXA Std Book"/>
          <w:color w:val="005CA9"/>
        </w:rPr>
      </w:pPr>
    </w:p>
    <w:bookmarkStart w:id="12" w:name="_Hlk54796541"/>
    <w:p w14:paraId="35FB4576" w14:textId="762D7A5A" w:rsidR="005F303D" w:rsidRPr="00E20D21" w:rsidRDefault="00BD6F69" w:rsidP="00FD7768">
      <w:pPr>
        <w:pStyle w:val="Ttulo1"/>
      </w:pPr>
      <w:r w:rsidRPr="00E20D21">
        <w:fldChar w:fldCharType="begin"/>
      </w:r>
      <w:r w:rsidRPr="00E20D21">
        <w:instrText xml:space="preserve"> HYPERLINK \l "Nota1" </w:instrText>
      </w:r>
      <w:r w:rsidRPr="00E20D21">
        <w:fldChar w:fldCharType="separate"/>
      </w:r>
      <w:bookmarkStart w:id="13" w:name="_Toc175067941"/>
      <w:r w:rsidR="005F303D" w:rsidRPr="00E20D21">
        <w:t>Nota   1 – Contexto operacional</w:t>
      </w:r>
      <w:bookmarkEnd w:id="13"/>
      <w:r w:rsidRPr="00E20D21">
        <w:fldChar w:fldCharType="end"/>
      </w:r>
    </w:p>
    <w:bookmarkEnd w:id="12"/>
    <w:p w14:paraId="150118FD" w14:textId="139CC0CD" w:rsidR="003E3BA7" w:rsidRPr="00E20D21" w:rsidRDefault="003E3BA7" w:rsidP="003E3BA7">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Econômica Federal (“CAIXA” ou “Instituição”) é uma instituição financeira com 16</w:t>
      </w:r>
      <w:r w:rsidR="00774328" w:rsidRPr="00E20D21">
        <w:rPr>
          <w:rFonts w:ascii="CAIXA Std Book" w:hAnsi="CAIXA Std Book"/>
          <w:color w:val="005CA9"/>
          <w:sz w:val="20"/>
          <w:szCs w:val="20"/>
        </w:rPr>
        <w:t>3</w:t>
      </w:r>
      <w:r w:rsidRPr="00E20D21">
        <w:rPr>
          <w:rFonts w:ascii="CAIXA Std Book" w:hAnsi="CAIXA Std Book"/>
          <w:color w:val="005CA9"/>
          <w:sz w:val="20"/>
          <w:szCs w:val="20"/>
        </w:rPr>
        <w:t xml:space="preserve"> anos de atuação, constituída em seu modelo por meio do Decreto-Lei nº 759, de 12/08/1969, sob a forma de empresa pública, com personalidade jurídica de direito privado, e vinculada ao Governo Federal por intermédio do Ministério da Fazenda. Possui sede e domicílio no Setor Bancário Sul, Quadra 4, Lotes 3 e 4, Brasília, Distrito Federal, Brasil. Em conformidade com o art. 173 da Constituição Federal e com o art. 2º, §1º da Lei nº 13.303, de 30/06/2016, sua constituição como empresa pública é justificada pelo relevante interesse coletivo marcado pela promoção da cidadania e do desenvolvimento do país, tanto como instituição financeira e agente de políticas públicas, quanto como principal parceira estratégica do Estado brasileiro.</w:t>
      </w:r>
    </w:p>
    <w:p w14:paraId="66286F9C" w14:textId="55B93C4C" w:rsidR="003E3BA7" w:rsidRPr="00E20D21" w:rsidRDefault="003E3BA7" w:rsidP="003E3BA7">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Instituição oferece aos seus clientes uma ampla rede de atendimento em todo o território nacional, que compreende postos de atendimentos, agências, terminais de autoatendimento, correspondentes C</w:t>
      </w:r>
      <w:r w:rsidR="00CC0DF6" w:rsidRPr="00E20D21">
        <w:rPr>
          <w:rFonts w:ascii="CAIXA Std Book" w:hAnsi="CAIXA Std Book"/>
          <w:color w:val="005CA9"/>
          <w:sz w:val="20"/>
          <w:szCs w:val="20"/>
        </w:rPr>
        <w:t>aixa</w:t>
      </w:r>
      <w:r w:rsidRPr="00E20D21">
        <w:rPr>
          <w:rFonts w:ascii="CAIXA Std Book" w:hAnsi="CAIXA Std Book"/>
          <w:color w:val="005CA9"/>
          <w:sz w:val="20"/>
          <w:szCs w:val="20"/>
        </w:rPr>
        <w:t xml:space="preserve"> Aqui, unidades lotéricas, unidades-caminhão, agências-barco e contêiner automatizado. Ademais, mantém canais eletrônicos e digitais para ampliar o atendimento e comodidade de seus clientes.</w:t>
      </w:r>
      <w:r w:rsidR="00390CCB" w:rsidRPr="00E20D21">
        <w:rPr>
          <w:rFonts w:ascii="CAIXA Std Book" w:hAnsi="CAIXA Std Book"/>
          <w:color w:val="005CA9"/>
          <w:sz w:val="20"/>
          <w:szCs w:val="20"/>
        </w:rPr>
        <w:t xml:space="preserve"> </w:t>
      </w:r>
    </w:p>
    <w:p w14:paraId="384E9B60" w14:textId="2CA4F04D" w:rsidR="003E3BA7" w:rsidRPr="00E20D21" w:rsidRDefault="003E3BA7" w:rsidP="003E3BA7">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Desenvolve suas atividades bancárias por meio da captação, em especial da poupança, e aplicação de recursos em diversas operações: carteiras comerciais; de infraestrutura; operações de câmbio; crédito ao consumidor; imobiliário e de agronegócio; prestação de serviços bancários; negócios com cartões de débito e crédito; administração de fundos e carteiras de investimento e, atividades relacionadas à intermediação de títulos e valores mobiliários, contando com a atuação das suas subsidiárias C</w:t>
      </w:r>
      <w:r w:rsidR="00CC0DF6" w:rsidRPr="00E20D21">
        <w:rPr>
          <w:rFonts w:ascii="CAIXA Std Book" w:hAnsi="CAIXA Std Book"/>
          <w:color w:val="005CA9"/>
          <w:sz w:val="20"/>
          <w:szCs w:val="20"/>
        </w:rPr>
        <w:t>aixa</w:t>
      </w:r>
      <w:r w:rsidRPr="00E20D21">
        <w:rPr>
          <w:rFonts w:ascii="CAIXA Std Book" w:hAnsi="CAIXA Std Book"/>
          <w:color w:val="005CA9"/>
          <w:sz w:val="20"/>
          <w:szCs w:val="20"/>
        </w:rPr>
        <w:t xml:space="preserve"> Cartões </w:t>
      </w:r>
      <w:r w:rsidR="003E3BF2" w:rsidRPr="00E20D21">
        <w:rPr>
          <w:rFonts w:ascii="CAIXA Std Book" w:hAnsi="CAIXA Std Book"/>
          <w:i/>
          <w:iCs/>
          <w:color w:val="005CA9"/>
          <w:sz w:val="20"/>
          <w:szCs w:val="20"/>
        </w:rPr>
        <w:t>Holding</w:t>
      </w:r>
      <w:r w:rsidRPr="00E20D21">
        <w:rPr>
          <w:rFonts w:ascii="CAIXA Std Book" w:hAnsi="CAIXA Std Book"/>
          <w:color w:val="005CA9"/>
          <w:sz w:val="20"/>
          <w:szCs w:val="20"/>
        </w:rPr>
        <w:t xml:space="preserve"> e C</w:t>
      </w:r>
      <w:r w:rsidR="00CC0DF6" w:rsidRPr="00E20D21">
        <w:rPr>
          <w:rFonts w:ascii="CAIXA Std Book" w:hAnsi="CAIXA Std Book"/>
          <w:color w:val="005CA9"/>
          <w:sz w:val="20"/>
          <w:szCs w:val="20"/>
        </w:rPr>
        <w:t>aixa</w:t>
      </w:r>
      <w:r w:rsidRPr="00E20D21">
        <w:rPr>
          <w:rFonts w:ascii="CAIXA Std Book" w:hAnsi="CAIXA Std Book"/>
          <w:color w:val="005CA9"/>
          <w:sz w:val="20"/>
          <w:szCs w:val="20"/>
        </w:rPr>
        <w:t xml:space="preserve"> </w:t>
      </w:r>
      <w:proofErr w:type="spellStart"/>
      <w:r w:rsidRPr="00E20D21">
        <w:rPr>
          <w:rFonts w:ascii="CAIXA Std Book" w:hAnsi="CAIXA Std Book"/>
          <w:i/>
          <w:color w:val="005CA9"/>
          <w:sz w:val="20"/>
          <w:szCs w:val="20"/>
        </w:rPr>
        <w:t>Asset</w:t>
      </w:r>
      <w:proofErr w:type="spellEnd"/>
      <w:r w:rsidRPr="00E20D21">
        <w:rPr>
          <w:rFonts w:ascii="CAIXA Std Book" w:hAnsi="CAIXA Std Book"/>
          <w:color w:val="005CA9"/>
          <w:sz w:val="20"/>
          <w:szCs w:val="20"/>
        </w:rPr>
        <w:t>. Atua também nos segmentos de seguros, previdência privada, capitalização e administração de consórcios, por intermédio da controlada C</w:t>
      </w:r>
      <w:r w:rsidR="00CC0DF6" w:rsidRPr="00E20D21">
        <w:rPr>
          <w:rFonts w:ascii="CAIXA Std Book" w:hAnsi="CAIXA Std Book"/>
          <w:color w:val="005CA9"/>
          <w:sz w:val="20"/>
          <w:szCs w:val="20"/>
        </w:rPr>
        <w:t>aixa</w:t>
      </w:r>
      <w:r w:rsidRPr="00E20D21">
        <w:rPr>
          <w:rFonts w:ascii="CAIXA Std Book" w:hAnsi="CAIXA Std Book"/>
          <w:color w:val="005CA9"/>
          <w:sz w:val="20"/>
          <w:szCs w:val="20"/>
        </w:rPr>
        <w:t xml:space="preserve"> Seguridade Participações S.A.</w:t>
      </w:r>
    </w:p>
    <w:p w14:paraId="3AAB7456" w14:textId="77777777" w:rsidR="003E3BA7" w:rsidRPr="00E20D21" w:rsidRDefault="003E3BA7" w:rsidP="003E3BA7">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Por determinação do Governo Federal, a CAIXA administra, em caráter de exclusividade, os serviços das loterias federais, bem como exerce o monopólio das operações de penhor civil, em caráter permanente e contínuo. As Loterias CAIXA constituem uma importante fonte de recursos para o desenvolvimento social do país, tendo reflexo nos programas sociais do Governo Federal, sobretudo nas áreas de seguridade social, esporte, cultura, segurança pública, educação e saúde.</w:t>
      </w:r>
    </w:p>
    <w:p w14:paraId="5E9AE580" w14:textId="77777777" w:rsidR="003E3BA7" w:rsidRPr="00E20D21" w:rsidRDefault="003E3BA7" w:rsidP="003E3BA7">
      <w:pPr>
        <w:spacing w:before="120" w:after="120"/>
        <w:jc w:val="both"/>
        <w:rPr>
          <w:rFonts w:ascii="CAIXA Std Book" w:hAnsi="CAIXA Std Book"/>
          <w:b/>
          <w:bCs/>
          <w:color w:val="005CA9"/>
          <w:sz w:val="20"/>
          <w:szCs w:val="20"/>
        </w:rPr>
      </w:pPr>
      <w:r w:rsidRPr="00E20D21">
        <w:rPr>
          <w:rFonts w:ascii="CAIXA Std Book" w:hAnsi="CAIXA Std Book"/>
          <w:color w:val="005CA9"/>
          <w:sz w:val="20"/>
          <w:szCs w:val="20"/>
        </w:rPr>
        <w:t>A CAIXA possui tradição e liderança no mercado de poupança, importante fonte de recursos para o crédito imobiliário e para formação de patrimônio da população brasileira. Lidera o mercado de crédito habitacional, atuando como principal agente financeiro do programa Minha Casa, Minha Vida. A Instituição ainda proporciona importantes avanços no desenvolvimento econômico do país nos segmentos de crédito destinados ao saneamento e infraestrutura, assim como incentiva o desenvolvimento sustentável local e a melhoria de vida dos produtores rurais através do crédito ao agronegócio.</w:t>
      </w:r>
    </w:p>
    <w:p w14:paraId="77634CAB" w14:textId="77777777" w:rsidR="003E3BA7" w:rsidRPr="00E20D21" w:rsidRDefault="003E3BA7" w:rsidP="003E3BA7">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Como principal parceira do Governo Federal na execução dos programas sociais, a CAIXA contribui ativamente para a erradicação da pobreza e para a melhoria da distribuição de renda da população brasileira. A Instituição atua no pagamento do Programa Bolsa Família, que é fundamental para a redução da mortalidade infantil e da evasão escolar, além do Seguro Desemprego, FGTS, Abono Salarial e aposentadoria e pensões vinculadas ao INSS.</w:t>
      </w:r>
    </w:p>
    <w:p w14:paraId="37812EE9" w14:textId="77777777" w:rsidR="003E3BA7" w:rsidRPr="00E20D21" w:rsidRDefault="003E3BA7" w:rsidP="003E3BA7">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Na figura de um dos mais tradicionais patrocinadores do esporte e de manifestações artístico-culturais do Brasil, a CAIXA acredita e investe no fomento ao esporte e na difusão da cultura como formas de incentivar a promoção da cidadania. O investimento no esporte visa tanto propiciar aos atletas brasileiros as condições adequadas de treinamento, quanto promover a educação e a inclusão social de crianças e adolescentes, abrindo oportunidades para novos talentos.</w:t>
      </w:r>
    </w:p>
    <w:p w14:paraId="71F184F9" w14:textId="006098FA" w:rsidR="003E3BA7" w:rsidRPr="00E20D21" w:rsidRDefault="003E3BA7" w:rsidP="003E3BA7">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Por meio da estratégia de patrocínio, a CAIXA prioriza projetos esportivos de cunho social, apoia o desenvolvimento de atletas de base e prospecta projetos educacionais voltados ao segmento da </w:t>
      </w:r>
      <w:r w:rsidRPr="00E20D21">
        <w:rPr>
          <w:rFonts w:ascii="CAIXA Std Book" w:hAnsi="CAIXA Std Book"/>
          <w:color w:val="005CA9"/>
          <w:sz w:val="20"/>
          <w:szCs w:val="20"/>
        </w:rPr>
        <w:lastRenderedPageBreak/>
        <w:t>população de menor renda. Nesse mesmo sentido, no ramo cultural, a CAIXA incentiva projetos sociais que utilizem a musicalização como ferramenta de inclusão, bem como eventos da cultura popular e projetos culturais com previsão de alcance em diversas regiões.</w:t>
      </w:r>
    </w:p>
    <w:p w14:paraId="5B9FAD6D" w14:textId="1DDF9BC5" w:rsidR="00BA3578" w:rsidRPr="00E20D21" w:rsidRDefault="006B4883" w:rsidP="006B4883">
      <w:pPr>
        <w:jc w:val="both"/>
        <w:rPr>
          <w:rFonts w:ascii="CAIXA Std Book" w:hAnsi="CAIXA Std Book"/>
          <w:color w:val="005CA9"/>
          <w:sz w:val="20"/>
          <w:szCs w:val="20"/>
        </w:rPr>
      </w:pPr>
      <w:r w:rsidRPr="00E20D21">
        <w:rPr>
          <w:rFonts w:ascii="CAIXA Std Book" w:hAnsi="CAIXA Std Book"/>
          <w:color w:val="005CA9"/>
          <w:sz w:val="20"/>
          <w:szCs w:val="20"/>
        </w:rPr>
        <w:t>Por delegação do Governo Federal, a CAIXA exerce o papel de agente operador de fundos</w:t>
      </w:r>
      <w:r w:rsidR="00F57DCF"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e de programas sociais, dentre os quais se destacam o Fundo de Garantia do Tempo de Serviço (FGTS), sendo o seu principal agente financeiro, do Fundo de Compensação de Variações Salariais (FCVS), do Fundo de Arrendamento Residencial (FAR), do Fundo do Seguro Obrigatório de Danos Pessoais causados por Veículos Automotores de via Terrestre, ou por sua carga, a pessoas transportadas ou não (FDPVAT), do Fundo de Desenvolvimento Social (FDS), </w:t>
      </w:r>
      <w:r w:rsidR="00F523F0" w:rsidRPr="00E20D21">
        <w:rPr>
          <w:rFonts w:ascii="CAIXA Std Book" w:hAnsi="CAIXA Std Book"/>
          <w:color w:val="005CA9"/>
          <w:sz w:val="20"/>
          <w:szCs w:val="20"/>
        </w:rPr>
        <w:t>Fundo de Custeio do Ensino Médio (FIPEM)</w:t>
      </w:r>
      <w:r w:rsidR="009E6DFE" w:rsidRPr="00E20D21">
        <w:rPr>
          <w:rFonts w:ascii="CAIXA Std Book" w:hAnsi="CAIXA Std Book"/>
          <w:color w:val="005CA9"/>
          <w:sz w:val="20"/>
          <w:szCs w:val="20"/>
        </w:rPr>
        <w:t>,</w:t>
      </w:r>
      <w:r w:rsidR="002C6DC8" w:rsidRPr="00E20D21">
        <w:rPr>
          <w:rFonts w:ascii="CAIXA Std Book" w:hAnsi="CAIXA Std Book"/>
          <w:color w:val="005CA9"/>
          <w:sz w:val="20"/>
          <w:szCs w:val="20"/>
        </w:rPr>
        <w:t xml:space="preserve"> Fundo Garantidor de Microfinanças (FGM),</w:t>
      </w:r>
      <w:r w:rsidRPr="00E20D21">
        <w:rPr>
          <w:rFonts w:ascii="CAIXA Std Book" w:hAnsi="CAIXA Std Book"/>
          <w:color w:val="005CA9"/>
          <w:sz w:val="20"/>
          <w:szCs w:val="20"/>
        </w:rPr>
        <w:t xml:space="preserve"> entre outros. Os fundos são entidades jurídicas independentes geridas por regulamentação e estrutura de governança específica e contabilidade própria, cujo patrimônio é segregado da CAIXA. Por conseguinte, a informação apresentada referente a esses fundos não é auditada no trabalho de auditoria independente das demonstrações contábeis da CAIXA.</w:t>
      </w:r>
    </w:p>
    <w:p w14:paraId="6E0260CB" w14:textId="77777777" w:rsidR="006B4883" w:rsidRPr="00E20D21" w:rsidRDefault="006B4883" w:rsidP="006B4883">
      <w:pPr>
        <w:rPr>
          <w:rFonts w:ascii="CAIXA Std Book" w:hAnsi="CAIXA Std Book"/>
          <w:color w:val="005CA9"/>
          <w:sz w:val="20"/>
          <w:szCs w:val="20"/>
        </w:rPr>
      </w:pPr>
    </w:p>
    <w:tbl>
      <w:tblPr>
        <w:tblW w:w="5000" w:type="pct"/>
        <w:tblCellMar>
          <w:left w:w="0" w:type="dxa"/>
          <w:right w:w="57" w:type="dxa"/>
        </w:tblCellMar>
        <w:tblLook w:val="04A0" w:firstRow="1" w:lastRow="0" w:firstColumn="1" w:lastColumn="0" w:noHBand="0" w:noVBand="1"/>
      </w:tblPr>
      <w:tblGrid>
        <w:gridCol w:w="6095"/>
        <w:gridCol w:w="1843"/>
        <w:gridCol w:w="1700"/>
      </w:tblGrid>
      <w:tr w:rsidR="00A47C19" w:rsidRPr="00E20D21" w14:paraId="1422D4CD" w14:textId="77777777" w:rsidTr="00374369">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04999CD9" w14:textId="051746B4" w:rsidR="003E37F9" w:rsidRPr="00E20D21" w:rsidRDefault="003E37F9">
            <w:pPr>
              <w:jc w:val="center"/>
              <w:rPr>
                <w:rFonts w:ascii="CAIXA Std Book" w:hAnsi="CAIXA Std Book" w:cs="MS Gothic"/>
                <w:b/>
                <w:color w:val="005CA9"/>
                <w:sz w:val="18"/>
                <w:szCs w:val="18"/>
              </w:rPr>
            </w:pPr>
            <w:bookmarkStart w:id="14" w:name="_Hlk79050987"/>
            <w:r w:rsidRPr="00E20D21">
              <w:rPr>
                <w:rFonts w:ascii="CAIXA Std Book" w:hAnsi="CAIXA Std Book" w:cs="MS Gothic"/>
                <w:b/>
                <w:color w:val="005CA9"/>
                <w:sz w:val="18"/>
                <w:szCs w:val="18"/>
              </w:rPr>
              <w:t>Fundos e Programas Sociais</w:t>
            </w:r>
          </w:p>
        </w:tc>
      </w:tr>
      <w:tr w:rsidR="00A47C19" w:rsidRPr="00E20D21" w14:paraId="57FE56D0" w14:textId="77777777" w:rsidTr="00374369">
        <w:trPr>
          <w:trHeight w:val="255"/>
        </w:trPr>
        <w:tc>
          <w:tcPr>
            <w:tcW w:w="3162" w:type="pct"/>
            <w:tcBorders>
              <w:top w:val="nil"/>
              <w:left w:val="nil"/>
              <w:bottom w:val="single" w:sz="4" w:space="0" w:color="F39200"/>
              <w:right w:val="nil"/>
            </w:tcBorders>
            <w:shd w:val="clear" w:color="auto" w:fill="auto"/>
            <w:noWrap/>
            <w:vAlign w:val="center"/>
            <w:hideMark/>
          </w:tcPr>
          <w:p w14:paraId="174A7725" w14:textId="77777777" w:rsidR="00AC2CFA" w:rsidRPr="00E20D21" w:rsidRDefault="00AC2CFA" w:rsidP="00AC2CF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956" w:type="pct"/>
            <w:tcBorders>
              <w:top w:val="nil"/>
              <w:left w:val="nil"/>
              <w:bottom w:val="single" w:sz="4" w:space="0" w:color="F39200"/>
              <w:right w:val="nil"/>
            </w:tcBorders>
            <w:shd w:val="clear" w:color="auto" w:fill="auto"/>
            <w:vAlign w:val="center"/>
            <w:hideMark/>
          </w:tcPr>
          <w:p w14:paraId="1EC98289" w14:textId="7B778BDB" w:rsidR="00AC2CFA" w:rsidRPr="00E20D21" w:rsidRDefault="00AC2CFA" w:rsidP="00AC2CF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5D654C" w:rsidRPr="00E20D21">
              <w:rPr>
                <w:rFonts w:ascii="CAIXA Std Book" w:hAnsi="CAIXA Std Book" w:cs="MS Gothic"/>
                <w:b/>
                <w:color w:val="005CA9"/>
                <w:sz w:val="18"/>
                <w:szCs w:val="18"/>
              </w:rPr>
              <w:t>0/06/2024</w:t>
            </w:r>
            <w:r w:rsidR="00AC3DFB" w:rsidRPr="00E20D21">
              <w:rPr>
                <w:rFonts w:ascii="CAIXA Std Book" w:hAnsi="CAIXA Std Book" w:cs="MS Gothic"/>
                <w:b/>
                <w:color w:val="005CA9"/>
                <w:sz w:val="18"/>
                <w:szCs w:val="18"/>
              </w:rPr>
              <w:t xml:space="preserve"> (1)</w:t>
            </w:r>
          </w:p>
        </w:tc>
        <w:tc>
          <w:tcPr>
            <w:tcW w:w="882" w:type="pct"/>
            <w:tcBorders>
              <w:top w:val="nil"/>
              <w:left w:val="nil"/>
              <w:bottom w:val="single" w:sz="4" w:space="0" w:color="F39200"/>
              <w:right w:val="nil"/>
            </w:tcBorders>
            <w:shd w:val="clear" w:color="auto" w:fill="auto"/>
            <w:noWrap/>
            <w:vAlign w:val="center"/>
            <w:hideMark/>
          </w:tcPr>
          <w:p w14:paraId="33A18F2C" w14:textId="1F94C523" w:rsidR="00AC2CFA" w:rsidRPr="00E20D21" w:rsidRDefault="00AC2CFA" w:rsidP="00AC2CF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CE2269" w:rsidRPr="00E20D21" w14:paraId="45F831F5" w14:textId="77777777" w:rsidTr="00374369">
        <w:trPr>
          <w:trHeight w:val="255"/>
        </w:trPr>
        <w:tc>
          <w:tcPr>
            <w:tcW w:w="3162" w:type="pct"/>
            <w:tcBorders>
              <w:top w:val="nil"/>
              <w:left w:val="nil"/>
              <w:bottom w:val="nil"/>
              <w:right w:val="nil"/>
            </w:tcBorders>
            <w:shd w:val="clear" w:color="auto" w:fill="auto"/>
            <w:vAlign w:val="center"/>
            <w:hideMark/>
          </w:tcPr>
          <w:p w14:paraId="53553C82" w14:textId="53901F36" w:rsidR="00CE2269" w:rsidRPr="00E20D21" w:rsidRDefault="00CE2269" w:rsidP="00CE2269">
            <w:pPr>
              <w:rPr>
                <w:rFonts w:ascii="CAIXA Std Book" w:hAnsi="CAIXA Std Book" w:cs="MS Gothic"/>
                <w:color w:val="005CA9"/>
                <w:sz w:val="18"/>
                <w:szCs w:val="18"/>
              </w:rPr>
            </w:pPr>
            <w:r w:rsidRPr="00E20D21">
              <w:rPr>
                <w:rFonts w:ascii="CAIXA Std Book" w:hAnsi="CAIXA Std Book" w:cs="MS Gothic"/>
                <w:color w:val="005CA9"/>
                <w:sz w:val="18"/>
                <w:szCs w:val="18"/>
              </w:rPr>
              <w:t>Fundo de Garantia do Tempo de Serviço - FGTS</w:t>
            </w:r>
          </w:p>
        </w:tc>
        <w:tc>
          <w:tcPr>
            <w:tcW w:w="956" w:type="pct"/>
            <w:tcBorders>
              <w:top w:val="nil"/>
              <w:left w:val="nil"/>
              <w:bottom w:val="nil"/>
              <w:right w:val="nil"/>
            </w:tcBorders>
            <w:shd w:val="clear" w:color="auto" w:fill="auto"/>
            <w:vAlign w:val="center"/>
          </w:tcPr>
          <w:p w14:paraId="07FF23FE" w14:textId="4F32C07F" w:rsidR="00CE2269" w:rsidRPr="00E20D21" w:rsidRDefault="00CE2269" w:rsidP="00CE226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731.226.963</w:t>
            </w:r>
          </w:p>
        </w:tc>
        <w:tc>
          <w:tcPr>
            <w:tcW w:w="882" w:type="pct"/>
            <w:tcBorders>
              <w:top w:val="nil"/>
              <w:left w:val="nil"/>
              <w:bottom w:val="nil"/>
              <w:right w:val="nil"/>
            </w:tcBorders>
            <w:shd w:val="clear" w:color="auto" w:fill="auto"/>
            <w:vAlign w:val="center"/>
            <w:hideMark/>
          </w:tcPr>
          <w:p w14:paraId="621475CD" w14:textId="7C21F17D" w:rsidR="00CE2269" w:rsidRPr="00E20D21" w:rsidRDefault="00CE2269" w:rsidP="00CE2269">
            <w:pPr>
              <w:jc w:val="right"/>
              <w:rPr>
                <w:rFonts w:ascii="CAIXA Std Book" w:hAnsi="CAIXA Std Book" w:cs="MS Gothic"/>
                <w:color w:val="005CA9"/>
                <w:sz w:val="18"/>
                <w:szCs w:val="18"/>
              </w:rPr>
            </w:pPr>
            <w:r w:rsidRPr="00E20D21">
              <w:rPr>
                <w:rFonts w:ascii="CAIXA Std Book" w:hAnsi="CAIXA Std Book" w:cs="Arial"/>
                <w:color w:val="005CA9"/>
                <w:sz w:val="18"/>
                <w:szCs w:val="18"/>
              </w:rPr>
              <w:t>687.004.937</w:t>
            </w:r>
          </w:p>
        </w:tc>
      </w:tr>
      <w:tr w:rsidR="00CE2269" w:rsidRPr="00E20D21" w14:paraId="389958EE" w14:textId="77777777" w:rsidTr="00374369">
        <w:trPr>
          <w:trHeight w:val="255"/>
        </w:trPr>
        <w:tc>
          <w:tcPr>
            <w:tcW w:w="3162" w:type="pct"/>
            <w:tcBorders>
              <w:top w:val="nil"/>
              <w:left w:val="nil"/>
              <w:bottom w:val="nil"/>
              <w:right w:val="nil"/>
            </w:tcBorders>
            <w:shd w:val="clear" w:color="auto" w:fill="auto"/>
            <w:vAlign w:val="center"/>
            <w:hideMark/>
          </w:tcPr>
          <w:p w14:paraId="5DA160D7" w14:textId="07C983FE" w:rsidR="00CE2269" w:rsidRPr="00E20D21" w:rsidRDefault="00CE2269" w:rsidP="00CE2269">
            <w:pPr>
              <w:rPr>
                <w:rFonts w:ascii="CAIXA Std Book" w:hAnsi="CAIXA Std Book" w:cs="MS Gothic"/>
                <w:color w:val="005CA9"/>
                <w:sz w:val="18"/>
                <w:szCs w:val="18"/>
              </w:rPr>
            </w:pPr>
            <w:r w:rsidRPr="00E20D21">
              <w:rPr>
                <w:rFonts w:ascii="CAIXA Std Book" w:hAnsi="CAIXA Std Book" w:cs="MS Gothic"/>
                <w:color w:val="005CA9"/>
                <w:sz w:val="18"/>
                <w:szCs w:val="18"/>
              </w:rPr>
              <w:t>Fundo de Arrendamento Residencial - FAR</w:t>
            </w:r>
          </w:p>
        </w:tc>
        <w:tc>
          <w:tcPr>
            <w:tcW w:w="956" w:type="pct"/>
            <w:tcBorders>
              <w:top w:val="nil"/>
              <w:left w:val="nil"/>
              <w:bottom w:val="nil"/>
              <w:right w:val="nil"/>
            </w:tcBorders>
            <w:shd w:val="clear" w:color="auto" w:fill="auto"/>
            <w:vAlign w:val="center"/>
          </w:tcPr>
          <w:p w14:paraId="130CF3F8" w14:textId="1B497D04" w:rsidR="00CE2269" w:rsidRPr="00E20D21" w:rsidRDefault="00CE2269" w:rsidP="00CE226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20.907.732</w:t>
            </w:r>
          </w:p>
        </w:tc>
        <w:tc>
          <w:tcPr>
            <w:tcW w:w="882" w:type="pct"/>
            <w:tcBorders>
              <w:top w:val="nil"/>
              <w:left w:val="nil"/>
              <w:bottom w:val="nil"/>
              <w:right w:val="nil"/>
            </w:tcBorders>
            <w:shd w:val="clear" w:color="auto" w:fill="auto"/>
            <w:vAlign w:val="center"/>
            <w:hideMark/>
          </w:tcPr>
          <w:p w14:paraId="72F83F17" w14:textId="7ED2AE6F" w:rsidR="00CE2269" w:rsidRPr="00E20D21" w:rsidRDefault="00CE2269" w:rsidP="00CE2269">
            <w:pPr>
              <w:jc w:val="right"/>
              <w:rPr>
                <w:rFonts w:ascii="CAIXA Std Book" w:hAnsi="CAIXA Std Book" w:cs="MS Gothic"/>
                <w:color w:val="005CA9"/>
                <w:sz w:val="18"/>
                <w:szCs w:val="18"/>
              </w:rPr>
            </w:pPr>
            <w:r w:rsidRPr="00E20D21">
              <w:rPr>
                <w:rFonts w:ascii="CAIXA Std Book" w:hAnsi="CAIXA Std Book" w:cs="Arial"/>
                <w:color w:val="005CA9"/>
                <w:sz w:val="18"/>
                <w:szCs w:val="18"/>
              </w:rPr>
              <w:t>25.957.799</w:t>
            </w:r>
          </w:p>
        </w:tc>
      </w:tr>
      <w:tr w:rsidR="00CE2269" w:rsidRPr="00E20D21" w14:paraId="129B4CDE" w14:textId="77777777" w:rsidTr="00374369">
        <w:trPr>
          <w:trHeight w:val="255"/>
        </w:trPr>
        <w:tc>
          <w:tcPr>
            <w:tcW w:w="3162" w:type="pct"/>
            <w:tcBorders>
              <w:top w:val="nil"/>
              <w:left w:val="nil"/>
              <w:bottom w:val="nil"/>
              <w:right w:val="nil"/>
            </w:tcBorders>
            <w:shd w:val="clear" w:color="auto" w:fill="auto"/>
            <w:vAlign w:val="center"/>
            <w:hideMark/>
          </w:tcPr>
          <w:p w14:paraId="6DF57ACD" w14:textId="77BBA0A6" w:rsidR="00CE2269" w:rsidRPr="00E20D21" w:rsidRDefault="00CE2269" w:rsidP="00CE2269">
            <w:pPr>
              <w:rPr>
                <w:rFonts w:ascii="CAIXA Std Book" w:hAnsi="CAIXA Std Book" w:cs="MS Gothic"/>
                <w:color w:val="005CA9"/>
                <w:sz w:val="18"/>
                <w:szCs w:val="18"/>
              </w:rPr>
            </w:pPr>
            <w:r w:rsidRPr="00E20D21">
              <w:rPr>
                <w:rFonts w:ascii="CAIXA Std Book" w:hAnsi="CAIXA Std Book" w:cs="MS Gothic"/>
                <w:color w:val="005CA9"/>
                <w:sz w:val="18"/>
                <w:szCs w:val="18"/>
              </w:rPr>
              <w:t>Fundo de Compensação de Variações Salariais - FCVS</w:t>
            </w:r>
          </w:p>
        </w:tc>
        <w:tc>
          <w:tcPr>
            <w:tcW w:w="956" w:type="pct"/>
            <w:tcBorders>
              <w:top w:val="nil"/>
              <w:left w:val="nil"/>
              <w:bottom w:val="nil"/>
              <w:right w:val="nil"/>
            </w:tcBorders>
            <w:shd w:val="clear" w:color="auto" w:fill="auto"/>
            <w:vAlign w:val="center"/>
          </w:tcPr>
          <w:p w14:paraId="7D74EA3A" w14:textId="5B62C4F3" w:rsidR="00CE2269" w:rsidRPr="00E20D21" w:rsidRDefault="00CE2269" w:rsidP="00CE226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20.605.641</w:t>
            </w:r>
          </w:p>
        </w:tc>
        <w:tc>
          <w:tcPr>
            <w:tcW w:w="882" w:type="pct"/>
            <w:tcBorders>
              <w:top w:val="nil"/>
              <w:left w:val="nil"/>
              <w:bottom w:val="nil"/>
              <w:right w:val="nil"/>
            </w:tcBorders>
            <w:shd w:val="clear" w:color="auto" w:fill="auto"/>
            <w:vAlign w:val="center"/>
            <w:hideMark/>
          </w:tcPr>
          <w:p w14:paraId="094AB8AC" w14:textId="48B23D4F" w:rsidR="00CE2269" w:rsidRPr="00E20D21" w:rsidRDefault="00CE2269" w:rsidP="00CE2269">
            <w:pPr>
              <w:jc w:val="right"/>
              <w:rPr>
                <w:rFonts w:ascii="CAIXA Std Book" w:hAnsi="CAIXA Std Book" w:cs="MS Gothic"/>
                <w:color w:val="005CA9"/>
                <w:sz w:val="18"/>
                <w:szCs w:val="18"/>
              </w:rPr>
            </w:pPr>
            <w:r w:rsidRPr="00E20D21">
              <w:rPr>
                <w:rFonts w:ascii="CAIXA Std Book" w:hAnsi="CAIXA Std Book" w:cs="Arial"/>
                <w:color w:val="005CA9"/>
                <w:sz w:val="18"/>
                <w:szCs w:val="18"/>
              </w:rPr>
              <w:t>19.961.810</w:t>
            </w:r>
          </w:p>
        </w:tc>
      </w:tr>
      <w:tr w:rsidR="00CE2269" w:rsidRPr="00E20D21" w14:paraId="3E99495A" w14:textId="77777777" w:rsidTr="00374369">
        <w:trPr>
          <w:trHeight w:val="255"/>
        </w:trPr>
        <w:tc>
          <w:tcPr>
            <w:tcW w:w="3162" w:type="pct"/>
            <w:tcBorders>
              <w:top w:val="nil"/>
              <w:left w:val="nil"/>
              <w:bottom w:val="nil"/>
              <w:right w:val="nil"/>
            </w:tcBorders>
            <w:shd w:val="clear" w:color="auto" w:fill="auto"/>
            <w:vAlign w:val="center"/>
          </w:tcPr>
          <w:p w14:paraId="50445C3C" w14:textId="57B071AD" w:rsidR="00CE2269" w:rsidRPr="00E20D21" w:rsidRDefault="00CE2269" w:rsidP="00CE2269">
            <w:pPr>
              <w:rPr>
                <w:rFonts w:ascii="CAIXA Std Book" w:hAnsi="CAIXA Std Book" w:cs="MS Gothic"/>
                <w:color w:val="005CA9"/>
                <w:sz w:val="18"/>
                <w:szCs w:val="18"/>
                <w:highlight w:val="yellow"/>
              </w:rPr>
            </w:pPr>
            <w:r w:rsidRPr="00E20D21">
              <w:rPr>
                <w:rFonts w:ascii="CAIXA Std Book" w:hAnsi="CAIXA Std Book" w:cs="MS Gothic"/>
                <w:color w:val="005CA9"/>
                <w:sz w:val="18"/>
                <w:szCs w:val="18"/>
              </w:rPr>
              <w:t>Fundo de Custeio do Ensino Médio – FIPEM</w:t>
            </w:r>
          </w:p>
        </w:tc>
        <w:tc>
          <w:tcPr>
            <w:tcW w:w="956" w:type="pct"/>
            <w:tcBorders>
              <w:top w:val="nil"/>
              <w:left w:val="nil"/>
              <w:bottom w:val="nil"/>
              <w:right w:val="nil"/>
            </w:tcBorders>
            <w:shd w:val="clear" w:color="auto" w:fill="auto"/>
            <w:vAlign w:val="center"/>
          </w:tcPr>
          <w:p w14:paraId="69933C71" w14:textId="32BF2F0A" w:rsidR="00CE2269" w:rsidRPr="00E20D21" w:rsidRDefault="00CE2269" w:rsidP="00CE2269">
            <w:pPr>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4.799.916</w:t>
            </w:r>
          </w:p>
        </w:tc>
        <w:tc>
          <w:tcPr>
            <w:tcW w:w="882" w:type="pct"/>
            <w:tcBorders>
              <w:top w:val="nil"/>
              <w:left w:val="nil"/>
              <w:bottom w:val="nil"/>
              <w:right w:val="nil"/>
            </w:tcBorders>
            <w:shd w:val="clear" w:color="auto" w:fill="auto"/>
            <w:vAlign w:val="center"/>
          </w:tcPr>
          <w:p w14:paraId="5082A24D" w14:textId="493A6B91" w:rsidR="00CE2269" w:rsidRPr="00E20D21" w:rsidRDefault="00CE2269" w:rsidP="00CE2269">
            <w:pPr>
              <w:jc w:val="right"/>
              <w:rPr>
                <w:rFonts w:ascii="CAIXA Std Book" w:hAnsi="CAIXA Std Book" w:cs="Arial"/>
                <w:color w:val="005CA9"/>
                <w:sz w:val="18"/>
                <w:szCs w:val="18"/>
              </w:rPr>
            </w:pPr>
            <w:r w:rsidRPr="00E20D21">
              <w:rPr>
                <w:rFonts w:ascii="CAIXA Std Book" w:hAnsi="CAIXA Std Book" w:cs="Arial"/>
                <w:color w:val="005CA9"/>
                <w:sz w:val="18"/>
                <w:szCs w:val="18"/>
              </w:rPr>
              <w:t>6.105.337</w:t>
            </w:r>
          </w:p>
        </w:tc>
      </w:tr>
      <w:tr w:rsidR="00CE2269" w:rsidRPr="00E20D21" w14:paraId="3F3DC5F4" w14:textId="77777777" w:rsidTr="00374369">
        <w:trPr>
          <w:trHeight w:val="255"/>
        </w:trPr>
        <w:tc>
          <w:tcPr>
            <w:tcW w:w="3162" w:type="pct"/>
            <w:tcBorders>
              <w:top w:val="nil"/>
              <w:left w:val="nil"/>
              <w:bottom w:val="nil"/>
              <w:right w:val="nil"/>
            </w:tcBorders>
            <w:shd w:val="clear" w:color="auto" w:fill="auto"/>
            <w:vAlign w:val="center"/>
          </w:tcPr>
          <w:p w14:paraId="5868448D" w14:textId="0A14F7A8" w:rsidR="00CE2269" w:rsidRPr="00E20D21" w:rsidRDefault="00CE2269" w:rsidP="00CE2269">
            <w:pPr>
              <w:rPr>
                <w:rFonts w:ascii="CAIXA Std Book" w:hAnsi="CAIXA Std Book" w:cs="MS Gothic"/>
                <w:color w:val="005CA9"/>
                <w:sz w:val="18"/>
                <w:szCs w:val="18"/>
              </w:rPr>
            </w:pPr>
            <w:r w:rsidRPr="00E20D21">
              <w:rPr>
                <w:rFonts w:ascii="CAIXA Std Book" w:hAnsi="CAIXA Std Book" w:cs="MS Gothic"/>
                <w:color w:val="005CA9"/>
                <w:sz w:val="18"/>
                <w:szCs w:val="18"/>
              </w:rPr>
              <w:t>Fundo de Danos Pessoais por Veículos Automotores Terrestres - FDPVAT</w:t>
            </w:r>
          </w:p>
        </w:tc>
        <w:tc>
          <w:tcPr>
            <w:tcW w:w="956" w:type="pct"/>
            <w:tcBorders>
              <w:top w:val="nil"/>
              <w:left w:val="nil"/>
              <w:bottom w:val="nil"/>
              <w:right w:val="nil"/>
            </w:tcBorders>
            <w:shd w:val="clear" w:color="auto" w:fill="auto"/>
            <w:vAlign w:val="center"/>
          </w:tcPr>
          <w:p w14:paraId="331AB223" w14:textId="1BAB5A0D" w:rsidR="00CE2269" w:rsidRPr="00E20D21" w:rsidRDefault="00CE2269" w:rsidP="00CE226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334.725</w:t>
            </w:r>
          </w:p>
        </w:tc>
        <w:tc>
          <w:tcPr>
            <w:tcW w:w="882" w:type="pct"/>
            <w:tcBorders>
              <w:top w:val="nil"/>
              <w:left w:val="nil"/>
              <w:bottom w:val="nil"/>
              <w:right w:val="nil"/>
            </w:tcBorders>
            <w:shd w:val="clear" w:color="auto" w:fill="auto"/>
            <w:vAlign w:val="center"/>
          </w:tcPr>
          <w:p w14:paraId="2230A52F" w14:textId="0CEFE75A" w:rsidR="00CE2269" w:rsidRPr="00E20D21" w:rsidRDefault="00CE2269" w:rsidP="00CE2269">
            <w:pPr>
              <w:jc w:val="right"/>
              <w:rPr>
                <w:rFonts w:ascii="CAIXA Std Book" w:hAnsi="CAIXA Std Book" w:cs="MS Gothic"/>
                <w:color w:val="005CA9"/>
                <w:sz w:val="18"/>
                <w:szCs w:val="18"/>
              </w:rPr>
            </w:pPr>
            <w:r w:rsidRPr="00E20D21">
              <w:rPr>
                <w:rFonts w:ascii="CAIXA Std Book" w:hAnsi="CAIXA Std Book" w:cs="Arial"/>
                <w:color w:val="005CA9"/>
                <w:sz w:val="18"/>
                <w:szCs w:val="18"/>
              </w:rPr>
              <w:t>1.158.178</w:t>
            </w:r>
          </w:p>
        </w:tc>
      </w:tr>
      <w:tr w:rsidR="00CE2269" w:rsidRPr="00E20D21" w14:paraId="56E45BA4" w14:textId="77777777" w:rsidTr="00374369">
        <w:trPr>
          <w:trHeight w:val="255"/>
        </w:trPr>
        <w:tc>
          <w:tcPr>
            <w:tcW w:w="3162" w:type="pct"/>
            <w:tcBorders>
              <w:top w:val="nil"/>
              <w:left w:val="nil"/>
              <w:bottom w:val="nil"/>
              <w:right w:val="nil"/>
            </w:tcBorders>
            <w:shd w:val="clear" w:color="auto" w:fill="auto"/>
            <w:vAlign w:val="center"/>
          </w:tcPr>
          <w:p w14:paraId="0F562D12" w14:textId="1EBE19DB" w:rsidR="00CE2269" w:rsidRPr="00E20D21" w:rsidRDefault="00CE2269" w:rsidP="00CE2269">
            <w:pPr>
              <w:rPr>
                <w:rFonts w:ascii="CAIXA Std Book" w:hAnsi="CAIXA Std Book" w:cs="MS Gothic"/>
                <w:color w:val="005CA9"/>
                <w:sz w:val="18"/>
                <w:szCs w:val="18"/>
              </w:rPr>
            </w:pPr>
            <w:r w:rsidRPr="00E20D21">
              <w:rPr>
                <w:rFonts w:ascii="CAIXA Std Book" w:hAnsi="CAIXA Std Book" w:cs="MS Gothic"/>
                <w:color w:val="005CA9"/>
                <w:sz w:val="18"/>
                <w:szCs w:val="18"/>
              </w:rPr>
              <w:t>Fundo de Desenvolvimento Social - FDS</w:t>
            </w:r>
          </w:p>
        </w:tc>
        <w:tc>
          <w:tcPr>
            <w:tcW w:w="956" w:type="pct"/>
            <w:tcBorders>
              <w:top w:val="nil"/>
              <w:left w:val="nil"/>
              <w:bottom w:val="nil"/>
              <w:right w:val="nil"/>
            </w:tcBorders>
            <w:shd w:val="clear" w:color="auto" w:fill="auto"/>
            <w:vAlign w:val="center"/>
          </w:tcPr>
          <w:p w14:paraId="780BC83A" w14:textId="7E53DF32" w:rsidR="00CE2269" w:rsidRPr="00E20D21" w:rsidRDefault="00CE2269" w:rsidP="00CE226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4.722.036</w:t>
            </w:r>
          </w:p>
        </w:tc>
        <w:tc>
          <w:tcPr>
            <w:tcW w:w="882" w:type="pct"/>
            <w:tcBorders>
              <w:top w:val="nil"/>
              <w:left w:val="nil"/>
              <w:bottom w:val="nil"/>
              <w:right w:val="nil"/>
            </w:tcBorders>
            <w:shd w:val="clear" w:color="auto" w:fill="auto"/>
            <w:vAlign w:val="center"/>
          </w:tcPr>
          <w:p w14:paraId="770D5E37" w14:textId="78EB52A2" w:rsidR="00CE2269" w:rsidRPr="00E20D21" w:rsidRDefault="00CE2269" w:rsidP="00CE2269">
            <w:pPr>
              <w:jc w:val="right"/>
              <w:rPr>
                <w:rFonts w:ascii="CAIXA Std Book" w:hAnsi="CAIXA Std Book" w:cs="MS Gothic"/>
                <w:color w:val="005CA9"/>
                <w:sz w:val="18"/>
                <w:szCs w:val="18"/>
              </w:rPr>
            </w:pPr>
            <w:r w:rsidRPr="00E20D21">
              <w:rPr>
                <w:rFonts w:ascii="CAIXA Std Book" w:hAnsi="CAIXA Std Book" w:cs="Arial"/>
                <w:color w:val="005CA9"/>
                <w:sz w:val="18"/>
                <w:szCs w:val="18"/>
              </w:rPr>
              <w:t>4.288.210</w:t>
            </w:r>
          </w:p>
        </w:tc>
      </w:tr>
      <w:tr w:rsidR="00CE2269" w:rsidRPr="00E20D21" w14:paraId="5625DD50" w14:textId="77777777" w:rsidTr="00374369">
        <w:trPr>
          <w:trHeight w:val="255"/>
        </w:trPr>
        <w:tc>
          <w:tcPr>
            <w:tcW w:w="3162" w:type="pct"/>
            <w:tcBorders>
              <w:top w:val="nil"/>
              <w:left w:val="nil"/>
              <w:bottom w:val="nil"/>
              <w:right w:val="nil"/>
            </w:tcBorders>
            <w:shd w:val="clear" w:color="auto" w:fill="auto"/>
            <w:vAlign w:val="center"/>
            <w:hideMark/>
          </w:tcPr>
          <w:p w14:paraId="6AE0A4D5" w14:textId="0A2175E9" w:rsidR="00CE2269" w:rsidRPr="00E20D21" w:rsidRDefault="00CE2269" w:rsidP="00CE2269">
            <w:pPr>
              <w:rPr>
                <w:rFonts w:ascii="CAIXA Std Book" w:hAnsi="CAIXA Std Book" w:cs="MS Gothic"/>
                <w:color w:val="005CA9"/>
                <w:sz w:val="18"/>
                <w:szCs w:val="18"/>
              </w:rPr>
            </w:pPr>
            <w:r w:rsidRPr="00E20D21">
              <w:rPr>
                <w:rFonts w:ascii="CAIXA Std Book" w:hAnsi="CAIXA Std Book" w:cs="MS Gothic"/>
                <w:color w:val="005CA9"/>
                <w:sz w:val="18"/>
                <w:szCs w:val="18"/>
              </w:rPr>
              <w:t xml:space="preserve">Fundo Garantidor da Habitação Popular – </w:t>
            </w:r>
            <w:proofErr w:type="spellStart"/>
            <w:r w:rsidRPr="00E20D21">
              <w:rPr>
                <w:rFonts w:ascii="CAIXA Std Book" w:hAnsi="CAIXA Std Book" w:cs="MS Gothic"/>
                <w:color w:val="005CA9"/>
                <w:sz w:val="18"/>
                <w:szCs w:val="18"/>
              </w:rPr>
              <w:t>FGHab</w:t>
            </w:r>
            <w:proofErr w:type="spellEnd"/>
          </w:p>
        </w:tc>
        <w:tc>
          <w:tcPr>
            <w:tcW w:w="956" w:type="pct"/>
            <w:tcBorders>
              <w:top w:val="nil"/>
              <w:left w:val="nil"/>
              <w:bottom w:val="nil"/>
              <w:right w:val="nil"/>
            </w:tcBorders>
            <w:shd w:val="clear" w:color="auto" w:fill="auto"/>
            <w:vAlign w:val="center"/>
          </w:tcPr>
          <w:p w14:paraId="47206475" w14:textId="76062430" w:rsidR="00CE2269" w:rsidRPr="00E20D21" w:rsidRDefault="00CE2269" w:rsidP="00CE226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3.660.938</w:t>
            </w:r>
          </w:p>
        </w:tc>
        <w:tc>
          <w:tcPr>
            <w:tcW w:w="882" w:type="pct"/>
            <w:tcBorders>
              <w:top w:val="nil"/>
              <w:left w:val="nil"/>
              <w:bottom w:val="nil"/>
              <w:right w:val="nil"/>
            </w:tcBorders>
            <w:shd w:val="clear" w:color="auto" w:fill="auto"/>
            <w:vAlign w:val="center"/>
          </w:tcPr>
          <w:p w14:paraId="40BAB7B1" w14:textId="57073F26" w:rsidR="00CE2269" w:rsidRPr="00E20D21" w:rsidRDefault="00CE2269" w:rsidP="00CE2269">
            <w:pPr>
              <w:jc w:val="right"/>
              <w:rPr>
                <w:rFonts w:ascii="CAIXA Std Book" w:hAnsi="CAIXA Std Book" w:cs="MS Gothic"/>
                <w:color w:val="005CA9"/>
                <w:sz w:val="18"/>
                <w:szCs w:val="18"/>
              </w:rPr>
            </w:pPr>
            <w:r w:rsidRPr="00E20D21">
              <w:rPr>
                <w:rFonts w:ascii="CAIXA Std Book" w:hAnsi="CAIXA Std Book" w:cs="Arial"/>
                <w:color w:val="005CA9"/>
                <w:sz w:val="18"/>
                <w:szCs w:val="18"/>
              </w:rPr>
              <w:t>3.555.774</w:t>
            </w:r>
          </w:p>
        </w:tc>
      </w:tr>
      <w:tr w:rsidR="00CE2269" w:rsidRPr="00E20D21" w14:paraId="4D43C2E3" w14:textId="77777777" w:rsidTr="00374369">
        <w:trPr>
          <w:trHeight w:val="255"/>
        </w:trPr>
        <w:tc>
          <w:tcPr>
            <w:tcW w:w="3162" w:type="pct"/>
            <w:tcBorders>
              <w:top w:val="nil"/>
              <w:left w:val="nil"/>
              <w:bottom w:val="nil"/>
              <w:right w:val="nil"/>
            </w:tcBorders>
            <w:shd w:val="clear" w:color="auto" w:fill="auto"/>
            <w:vAlign w:val="center"/>
          </w:tcPr>
          <w:p w14:paraId="2DAF720F" w14:textId="363AD1D5" w:rsidR="00CE2269" w:rsidRPr="00E20D21" w:rsidRDefault="00CE2269" w:rsidP="00CE2269">
            <w:pPr>
              <w:rPr>
                <w:rFonts w:ascii="CAIXA Std Book" w:hAnsi="CAIXA Std Book" w:cs="Arial Unicode MS"/>
                <w:color w:val="005CA9"/>
                <w:sz w:val="18"/>
                <w:szCs w:val="18"/>
              </w:rPr>
            </w:pPr>
            <w:r w:rsidRPr="00E20D21">
              <w:rPr>
                <w:rFonts w:ascii="CAIXA Std Book" w:hAnsi="CAIXA Std Book" w:cs="Arial Unicode MS"/>
                <w:color w:val="005CA9"/>
                <w:sz w:val="18"/>
                <w:szCs w:val="18"/>
              </w:rPr>
              <w:t>Fundo Garantidor de Microfinanças - FGM</w:t>
            </w:r>
          </w:p>
        </w:tc>
        <w:tc>
          <w:tcPr>
            <w:tcW w:w="956" w:type="pct"/>
            <w:tcBorders>
              <w:top w:val="nil"/>
              <w:left w:val="nil"/>
              <w:bottom w:val="nil"/>
              <w:right w:val="nil"/>
            </w:tcBorders>
            <w:shd w:val="clear" w:color="auto" w:fill="auto"/>
            <w:vAlign w:val="center"/>
          </w:tcPr>
          <w:p w14:paraId="3EB76CBC" w14:textId="011EAB35" w:rsidR="00CE2269" w:rsidRPr="00E20D21" w:rsidRDefault="00CE2269" w:rsidP="00CE2269">
            <w:pPr>
              <w:jc w:val="right"/>
              <w:rPr>
                <w:rFonts w:ascii="CAIXA Std Book" w:hAnsi="CAIXA Std Book" w:cs="Arial"/>
                <w:color w:val="005CA9"/>
                <w:sz w:val="18"/>
                <w:szCs w:val="18"/>
              </w:rPr>
            </w:pPr>
            <w:r w:rsidRPr="00E20D21">
              <w:rPr>
                <w:rFonts w:ascii="CAIXA Std Book" w:hAnsi="CAIXA Std Book" w:cs="Arial"/>
                <w:color w:val="005CA9"/>
                <w:sz w:val="18"/>
                <w:szCs w:val="18"/>
              </w:rPr>
              <w:t>941.144</w:t>
            </w:r>
          </w:p>
        </w:tc>
        <w:tc>
          <w:tcPr>
            <w:tcW w:w="882" w:type="pct"/>
            <w:tcBorders>
              <w:top w:val="nil"/>
              <w:left w:val="nil"/>
              <w:bottom w:val="nil"/>
              <w:right w:val="nil"/>
            </w:tcBorders>
            <w:shd w:val="clear" w:color="auto" w:fill="auto"/>
            <w:vAlign w:val="center"/>
          </w:tcPr>
          <w:p w14:paraId="1DD3467C" w14:textId="5FBA8CFE" w:rsidR="00CE2269" w:rsidRPr="00E20D21" w:rsidRDefault="00CE2269" w:rsidP="00CE2269">
            <w:pPr>
              <w:jc w:val="right"/>
              <w:rPr>
                <w:rFonts w:ascii="CAIXA Std Book" w:hAnsi="CAIXA Std Book" w:cs="Arial"/>
                <w:color w:val="005CA9"/>
                <w:sz w:val="18"/>
                <w:szCs w:val="18"/>
              </w:rPr>
            </w:pPr>
            <w:r w:rsidRPr="00E20D21">
              <w:rPr>
                <w:rFonts w:ascii="CAIXA Std Book" w:hAnsi="CAIXA Std Book" w:cs="Arial"/>
                <w:color w:val="005CA9"/>
                <w:sz w:val="18"/>
                <w:szCs w:val="18"/>
              </w:rPr>
              <w:t>1.193.956</w:t>
            </w:r>
          </w:p>
        </w:tc>
      </w:tr>
      <w:tr w:rsidR="00CE2269" w:rsidRPr="00E20D21" w14:paraId="472018CA" w14:textId="77777777" w:rsidTr="00374369">
        <w:trPr>
          <w:trHeight w:val="255"/>
        </w:trPr>
        <w:tc>
          <w:tcPr>
            <w:tcW w:w="3162" w:type="pct"/>
            <w:tcBorders>
              <w:top w:val="nil"/>
              <w:left w:val="nil"/>
              <w:bottom w:val="nil"/>
              <w:right w:val="nil"/>
            </w:tcBorders>
            <w:shd w:val="clear" w:color="auto" w:fill="auto"/>
            <w:vAlign w:val="center"/>
            <w:hideMark/>
          </w:tcPr>
          <w:p w14:paraId="05A82201" w14:textId="0761779E" w:rsidR="00CE2269" w:rsidRPr="00E20D21" w:rsidRDefault="00CE2269" w:rsidP="00CE2269">
            <w:pPr>
              <w:rPr>
                <w:rFonts w:ascii="CAIXA Std Book" w:hAnsi="CAIXA Std Book" w:cs="MS Gothic"/>
                <w:color w:val="005CA9"/>
                <w:sz w:val="18"/>
                <w:szCs w:val="18"/>
              </w:rPr>
            </w:pPr>
            <w:r w:rsidRPr="00E20D21">
              <w:rPr>
                <w:rFonts w:ascii="CAIXA Std Book" w:hAnsi="CAIXA Std Book" w:cs="Arial Unicode MS"/>
                <w:color w:val="005CA9"/>
                <w:sz w:val="18"/>
                <w:szCs w:val="18"/>
              </w:rPr>
              <w:t>Fundo de Garantia Para Construção Naval - FGCN</w:t>
            </w:r>
          </w:p>
        </w:tc>
        <w:tc>
          <w:tcPr>
            <w:tcW w:w="956" w:type="pct"/>
            <w:tcBorders>
              <w:top w:val="nil"/>
              <w:left w:val="nil"/>
              <w:bottom w:val="nil"/>
              <w:right w:val="nil"/>
            </w:tcBorders>
            <w:shd w:val="clear" w:color="auto" w:fill="auto"/>
            <w:vAlign w:val="center"/>
          </w:tcPr>
          <w:p w14:paraId="1E2D2EF9" w14:textId="37886B4E" w:rsidR="00CE2269" w:rsidRPr="00E20D21" w:rsidRDefault="00CE2269" w:rsidP="00CE226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60.715</w:t>
            </w:r>
          </w:p>
        </w:tc>
        <w:tc>
          <w:tcPr>
            <w:tcW w:w="882" w:type="pct"/>
            <w:tcBorders>
              <w:top w:val="nil"/>
              <w:left w:val="nil"/>
              <w:bottom w:val="nil"/>
              <w:right w:val="nil"/>
            </w:tcBorders>
            <w:shd w:val="clear" w:color="auto" w:fill="auto"/>
            <w:vAlign w:val="center"/>
            <w:hideMark/>
          </w:tcPr>
          <w:p w14:paraId="466FB92F" w14:textId="15F88FFF" w:rsidR="00CE2269" w:rsidRPr="00E20D21" w:rsidRDefault="00CE2269" w:rsidP="00CE2269">
            <w:pPr>
              <w:jc w:val="right"/>
              <w:rPr>
                <w:rFonts w:ascii="CAIXA Std Book" w:hAnsi="CAIXA Std Book" w:cs="MS Gothic"/>
                <w:color w:val="005CA9"/>
                <w:sz w:val="18"/>
                <w:szCs w:val="18"/>
              </w:rPr>
            </w:pPr>
            <w:r w:rsidRPr="00E20D21">
              <w:rPr>
                <w:rFonts w:ascii="CAIXA Std Book" w:hAnsi="CAIXA Std Book" w:cs="Arial"/>
                <w:color w:val="005CA9"/>
                <w:sz w:val="18"/>
                <w:szCs w:val="18"/>
              </w:rPr>
              <w:t>61.255</w:t>
            </w:r>
          </w:p>
        </w:tc>
      </w:tr>
      <w:tr w:rsidR="00CE2269" w:rsidRPr="00E20D21" w14:paraId="2A0109B3" w14:textId="77777777" w:rsidTr="00374369">
        <w:trPr>
          <w:trHeight w:val="255"/>
        </w:trPr>
        <w:tc>
          <w:tcPr>
            <w:tcW w:w="3162" w:type="pct"/>
            <w:tcBorders>
              <w:top w:val="single" w:sz="4" w:space="0" w:color="F39200"/>
              <w:left w:val="nil"/>
              <w:bottom w:val="single" w:sz="4" w:space="0" w:color="F39200"/>
              <w:right w:val="nil"/>
            </w:tcBorders>
            <w:shd w:val="clear" w:color="auto" w:fill="auto"/>
            <w:vAlign w:val="center"/>
            <w:hideMark/>
          </w:tcPr>
          <w:p w14:paraId="1229DF0B" w14:textId="4573C897" w:rsidR="00CE2269" w:rsidRPr="00E20D21" w:rsidRDefault="00CE2269" w:rsidP="00CE2269">
            <w:pPr>
              <w:rPr>
                <w:rFonts w:ascii="CAIXA Std Book" w:hAnsi="CAIXA Std Book" w:cs="MS Gothic"/>
                <w:color w:val="005CA9"/>
                <w:sz w:val="18"/>
                <w:szCs w:val="18"/>
              </w:rPr>
            </w:pPr>
            <w:r w:rsidRPr="00E20D21">
              <w:rPr>
                <w:rFonts w:ascii="CAIXA Std Book" w:hAnsi="CAIXA Std Book" w:cs="MS Gothic"/>
                <w:b/>
                <w:color w:val="005CA9"/>
                <w:sz w:val="18"/>
                <w:szCs w:val="18"/>
              </w:rPr>
              <w:t>Total</w:t>
            </w:r>
          </w:p>
        </w:tc>
        <w:tc>
          <w:tcPr>
            <w:tcW w:w="956" w:type="pct"/>
            <w:tcBorders>
              <w:top w:val="single" w:sz="4" w:space="0" w:color="F39200"/>
              <w:left w:val="nil"/>
              <w:bottom w:val="single" w:sz="4" w:space="0" w:color="F39200"/>
              <w:right w:val="nil"/>
            </w:tcBorders>
            <w:shd w:val="clear" w:color="auto" w:fill="auto"/>
            <w:vAlign w:val="center"/>
          </w:tcPr>
          <w:p w14:paraId="6B5E6DC7" w14:textId="7AFBAB74" w:rsidR="00CE2269" w:rsidRPr="00E20D21" w:rsidRDefault="001955B5" w:rsidP="00CE2269">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787.259.810</w:t>
            </w:r>
          </w:p>
        </w:tc>
        <w:tc>
          <w:tcPr>
            <w:tcW w:w="882" w:type="pct"/>
            <w:tcBorders>
              <w:top w:val="single" w:sz="4" w:space="0" w:color="F39200"/>
              <w:left w:val="nil"/>
              <w:bottom w:val="single" w:sz="4" w:space="0" w:color="F39200"/>
              <w:right w:val="nil"/>
            </w:tcBorders>
            <w:shd w:val="clear" w:color="auto" w:fill="auto"/>
            <w:vAlign w:val="center"/>
            <w:hideMark/>
          </w:tcPr>
          <w:p w14:paraId="20A661C2" w14:textId="6A03793A" w:rsidR="00CE2269" w:rsidRPr="00E20D21" w:rsidRDefault="001955B5" w:rsidP="00CE2269">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749.287.256</w:t>
            </w:r>
          </w:p>
        </w:tc>
      </w:tr>
    </w:tbl>
    <w:bookmarkEnd w:id="14"/>
    <w:p w14:paraId="5F9241F2" w14:textId="64BA032F" w:rsidR="00CF6D36" w:rsidRPr="00E20D21" w:rsidRDefault="00E8461B" w:rsidP="00630582">
      <w:pPr>
        <w:jc w:val="both"/>
        <w:rPr>
          <w:rFonts w:ascii="CAIXA Std Book" w:hAnsi="CAIXA Std Book"/>
          <w:color w:val="005CA9"/>
          <w:sz w:val="16"/>
          <w:szCs w:val="16"/>
        </w:rPr>
      </w:pPr>
      <w:r w:rsidRPr="00E20D21">
        <w:rPr>
          <w:rFonts w:ascii="CAIXA Std Book" w:hAnsi="CAIXA Std Book"/>
          <w:color w:val="005CA9"/>
          <w:sz w:val="16"/>
          <w:szCs w:val="16"/>
        </w:rPr>
        <w:t xml:space="preserve">(1) </w:t>
      </w:r>
      <w:r w:rsidR="0007786F" w:rsidRPr="00E20D21">
        <w:rPr>
          <w:rFonts w:ascii="CAIXA Std Book" w:hAnsi="CAIXA Std Book"/>
          <w:color w:val="005CA9"/>
          <w:sz w:val="16"/>
          <w:szCs w:val="16"/>
        </w:rPr>
        <w:t>Os valores apresentados refletem a posição de fechamento mais atual do ativo dos Fundos</w:t>
      </w:r>
      <w:r w:rsidR="00895005" w:rsidRPr="00E20D21">
        <w:rPr>
          <w:rFonts w:ascii="CAIXA Std Book" w:hAnsi="CAIXA Std Book"/>
          <w:color w:val="005CA9"/>
          <w:sz w:val="16"/>
          <w:szCs w:val="16"/>
        </w:rPr>
        <w:t>.</w:t>
      </w:r>
    </w:p>
    <w:p w14:paraId="603A99AB" w14:textId="6CF2E012" w:rsidR="005F303D" w:rsidRPr="00E20D21" w:rsidRDefault="005F303D" w:rsidP="00FD7768">
      <w:pPr>
        <w:pStyle w:val="Ttulo1"/>
      </w:pPr>
      <w:bookmarkStart w:id="15" w:name="_Toc175067942"/>
      <w:r w:rsidRPr="00E20D21">
        <w:t>Nota   2 – Apresentação das</w:t>
      </w:r>
      <w:r w:rsidR="00AD3A2A" w:rsidRPr="00E20D21">
        <w:t xml:space="preserve"> demonstrações</w:t>
      </w:r>
      <w:r w:rsidR="00607592" w:rsidRPr="00E20D21">
        <w:t xml:space="preserve"> contábeis</w:t>
      </w:r>
      <w:bookmarkEnd w:id="15"/>
    </w:p>
    <w:p w14:paraId="4326233A" w14:textId="354115F9" w:rsidR="005F303D" w:rsidRPr="00E20D21" w:rsidRDefault="005F303D" w:rsidP="007273A0">
      <w:pPr>
        <w:pStyle w:val="PargrafodaLista"/>
        <w:keepNext/>
        <w:numPr>
          <w:ilvl w:val="0"/>
          <w:numId w:val="21"/>
        </w:numPr>
        <w:spacing w:before="480" w:after="240"/>
        <w:contextualSpacing w:val="0"/>
        <w:jc w:val="both"/>
        <w:rPr>
          <w:rFonts w:ascii="CAIXA Std Book" w:hAnsi="CAIXA Std Book"/>
          <w:b/>
          <w:color w:val="005CA9"/>
          <w:sz w:val="20"/>
          <w:szCs w:val="20"/>
        </w:rPr>
      </w:pPr>
      <w:r w:rsidRPr="00E20D21">
        <w:rPr>
          <w:rFonts w:ascii="CAIXA Std Book" w:hAnsi="CAIXA Std Book"/>
          <w:b/>
          <w:color w:val="005CA9"/>
          <w:sz w:val="20"/>
          <w:szCs w:val="20"/>
        </w:rPr>
        <w:t>Contexto</w:t>
      </w:r>
    </w:p>
    <w:p w14:paraId="479FD2B7" w14:textId="25970891" w:rsidR="00F31098" w:rsidRPr="00E20D21" w:rsidRDefault="00F31098" w:rsidP="00F31098">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As demonstrações contábeis individuais e consolidadas da CAIXA são de responsabilidade da Administração e foram aprovadas pelo Conselho Diretor em </w:t>
      </w:r>
      <w:r w:rsidR="00D87F4E" w:rsidRPr="00E20D21">
        <w:rPr>
          <w:rFonts w:ascii="CAIXA Std Book" w:hAnsi="CAIXA Std Book"/>
          <w:color w:val="005CA9"/>
          <w:sz w:val="20"/>
          <w:szCs w:val="20"/>
        </w:rPr>
        <w:t>15/08</w:t>
      </w:r>
      <w:r w:rsidR="00417B48" w:rsidRPr="00E20D21">
        <w:rPr>
          <w:rFonts w:ascii="CAIXA Std Book" w:hAnsi="CAIXA Std Book"/>
          <w:color w:val="005CA9"/>
          <w:sz w:val="20"/>
          <w:szCs w:val="20"/>
        </w:rPr>
        <w:t>/2024</w:t>
      </w:r>
      <w:r w:rsidRPr="00E20D21">
        <w:rPr>
          <w:rFonts w:ascii="CAIXA Std Book" w:hAnsi="CAIXA Std Book"/>
          <w:color w:val="005CA9"/>
          <w:sz w:val="20"/>
          <w:szCs w:val="20"/>
        </w:rPr>
        <w:t xml:space="preserve"> e pelo Conselho de Administração em </w:t>
      </w:r>
      <w:r w:rsidR="00D87F4E" w:rsidRPr="00E20D21">
        <w:rPr>
          <w:rFonts w:ascii="CAIXA Std Book" w:hAnsi="CAIXA Std Book"/>
          <w:color w:val="005CA9"/>
          <w:sz w:val="20"/>
          <w:szCs w:val="20"/>
        </w:rPr>
        <w:t>19/08</w:t>
      </w:r>
      <w:r w:rsidR="00417B48" w:rsidRPr="00E20D21">
        <w:rPr>
          <w:rFonts w:ascii="CAIXA Std Book" w:hAnsi="CAIXA Std Book"/>
          <w:color w:val="005CA9"/>
          <w:sz w:val="20"/>
          <w:szCs w:val="20"/>
        </w:rPr>
        <w:t>/2024</w:t>
      </w:r>
      <w:r w:rsidRPr="00E20D21">
        <w:rPr>
          <w:rFonts w:ascii="CAIXA Std Book" w:hAnsi="CAIXA Std Book"/>
          <w:color w:val="005CA9"/>
          <w:sz w:val="20"/>
          <w:szCs w:val="20"/>
        </w:rPr>
        <w:t>.</w:t>
      </w:r>
    </w:p>
    <w:p w14:paraId="24B15D83" w14:textId="26E09A30" w:rsidR="005F303D" w:rsidRPr="00E20D21" w:rsidRDefault="005F303D" w:rsidP="007273A0">
      <w:pPr>
        <w:pStyle w:val="PargrafodaLista"/>
        <w:keepNext/>
        <w:numPr>
          <w:ilvl w:val="0"/>
          <w:numId w:val="21"/>
        </w:numPr>
        <w:spacing w:before="480" w:after="240"/>
        <w:contextualSpacing w:val="0"/>
        <w:jc w:val="both"/>
        <w:rPr>
          <w:rFonts w:ascii="CAIXA Std Book" w:hAnsi="CAIXA Std Book"/>
          <w:b/>
          <w:color w:val="005CA9"/>
          <w:sz w:val="20"/>
          <w:szCs w:val="20"/>
        </w:rPr>
      </w:pPr>
      <w:bookmarkStart w:id="16" w:name="_Hlk39168392"/>
      <w:r w:rsidRPr="00E20D21">
        <w:rPr>
          <w:rFonts w:ascii="CAIXA Std Book" w:hAnsi="CAIXA Std Book"/>
          <w:b/>
          <w:color w:val="005CA9"/>
          <w:sz w:val="20"/>
          <w:szCs w:val="20"/>
        </w:rPr>
        <w:t>Base de preparação e declaração de conformidade</w:t>
      </w:r>
    </w:p>
    <w:p w14:paraId="435D404F" w14:textId="2664540C" w:rsidR="005F303D" w:rsidRPr="00E20D21" w:rsidRDefault="005F303D" w:rsidP="00A72DE2">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w:t>
      </w:r>
      <w:r w:rsidR="00AD3A2A" w:rsidRPr="00E20D21">
        <w:rPr>
          <w:rFonts w:ascii="CAIXA Std Book" w:hAnsi="CAIXA Std Book"/>
          <w:color w:val="005CA9"/>
          <w:sz w:val="20"/>
          <w:szCs w:val="20"/>
        </w:rPr>
        <w:t xml:space="preserve"> demonstrações</w:t>
      </w:r>
      <w:r w:rsidR="00607592" w:rsidRPr="00E20D21">
        <w:rPr>
          <w:rFonts w:ascii="CAIXA Std Book" w:hAnsi="CAIXA Std Book"/>
          <w:color w:val="005CA9"/>
          <w:sz w:val="20"/>
          <w:szCs w:val="20"/>
        </w:rPr>
        <w:t xml:space="preserve"> contábeis</w:t>
      </w:r>
      <w:r w:rsidR="00693245" w:rsidRPr="00E20D21">
        <w:rPr>
          <w:rFonts w:ascii="CAIXA Std Book" w:hAnsi="CAIXA Std Book"/>
          <w:color w:val="005CA9"/>
          <w:sz w:val="20"/>
          <w:szCs w:val="20"/>
        </w:rPr>
        <w:t xml:space="preserve"> individua</w:t>
      </w:r>
      <w:r w:rsidR="002B7B85" w:rsidRPr="00E20D21">
        <w:rPr>
          <w:rFonts w:ascii="CAIXA Std Book" w:hAnsi="CAIXA Std Book"/>
          <w:color w:val="005CA9"/>
          <w:sz w:val="20"/>
          <w:szCs w:val="20"/>
        </w:rPr>
        <w:t>is</w:t>
      </w:r>
      <w:r w:rsidR="00693245" w:rsidRPr="00E20D21">
        <w:rPr>
          <w:rFonts w:ascii="CAIXA Std Book" w:hAnsi="CAIXA Std Book"/>
          <w:color w:val="005CA9"/>
          <w:sz w:val="20"/>
          <w:szCs w:val="20"/>
        </w:rPr>
        <w:t xml:space="preserve"> e consolidadas</w:t>
      </w:r>
      <w:r w:rsidR="00607592" w:rsidRPr="00E20D21">
        <w:rPr>
          <w:rFonts w:ascii="CAIXA Std Book" w:hAnsi="CAIXA Std Book"/>
          <w:color w:val="005CA9"/>
          <w:sz w:val="20"/>
          <w:szCs w:val="20"/>
        </w:rPr>
        <w:t xml:space="preserve"> </w:t>
      </w:r>
      <w:r w:rsidRPr="00E20D21">
        <w:rPr>
          <w:rFonts w:ascii="CAIXA Std Book" w:hAnsi="CAIXA Std Book"/>
          <w:color w:val="005CA9"/>
          <w:sz w:val="20"/>
          <w:szCs w:val="20"/>
        </w:rPr>
        <w:t>da CAIXA foram elaboradas a partir das diretrizes contábeis emanadas</w:t>
      </w:r>
      <w:r w:rsidR="005C58E1" w:rsidRPr="00E20D21">
        <w:rPr>
          <w:rFonts w:ascii="CAIXA Std Book" w:hAnsi="CAIXA Std Book"/>
          <w:color w:val="005CA9"/>
          <w:sz w:val="20"/>
          <w:szCs w:val="20"/>
        </w:rPr>
        <w:t xml:space="preserve"> </w:t>
      </w:r>
      <w:r w:rsidRPr="00E20D21">
        <w:rPr>
          <w:rFonts w:ascii="CAIXA Std Book" w:hAnsi="CAIXA Std Book"/>
          <w:color w:val="005CA9"/>
          <w:sz w:val="20"/>
          <w:szCs w:val="20"/>
        </w:rPr>
        <w:t>das Leis</w:t>
      </w:r>
      <w:r w:rsidR="00C56248" w:rsidRPr="00E20D21">
        <w:rPr>
          <w:rFonts w:ascii="CAIXA Std Book" w:hAnsi="CAIXA Std Book"/>
          <w:color w:val="005CA9"/>
          <w:sz w:val="20"/>
          <w:szCs w:val="20"/>
        </w:rPr>
        <w:t xml:space="preserve"> </w:t>
      </w:r>
      <w:r w:rsidRPr="00E20D21">
        <w:rPr>
          <w:rFonts w:ascii="CAIXA Std Book" w:hAnsi="CAIXA Std Book"/>
          <w:color w:val="005CA9"/>
          <w:sz w:val="20"/>
          <w:szCs w:val="20"/>
        </w:rPr>
        <w:t>n</w:t>
      </w:r>
      <w:r w:rsidR="0003593F" w:rsidRPr="00E20D21">
        <w:rPr>
          <w:rFonts w:ascii="CAIXA Std Book" w:hAnsi="CAIXA Std Book"/>
          <w:color w:val="005CA9"/>
          <w:sz w:val="20"/>
          <w:szCs w:val="20"/>
        </w:rPr>
        <w:t>°</w:t>
      </w:r>
      <w:r w:rsidRPr="00E20D21">
        <w:rPr>
          <w:rFonts w:ascii="CAIXA Std Book" w:hAnsi="CAIXA Std Book"/>
          <w:color w:val="005CA9"/>
          <w:sz w:val="20"/>
          <w:szCs w:val="20"/>
        </w:rPr>
        <w:t xml:space="preserve"> 4.595/</w:t>
      </w:r>
      <w:r w:rsidR="00863E28" w:rsidRPr="00E20D21">
        <w:rPr>
          <w:rFonts w:ascii="CAIXA Std Book" w:hAnsi="CAIXA Std Book"/>
          <w:color w:val="005CA9"/>
          <w:sz w:val="20"/>
          <w:szCs w:val="20"/>
        </w:rPr>
        <w:t>19</w:t>
      </w:r>
      <w:r w:rsidRPr="00E20D21">
        <w:rPr>
          <w:rFonts w:ascii="CAIXA Std Book" w:hAnsi="CAIXA Std Book"/>
          <w:color w:val="005CA9"/>
          <w:sz w:val="20"/>
          <w:szCs w:val="20"/>
        </w:rPr>
        <w:t>64 (Lei do Sistema Financeiro Nacional) e n</w:t>
      </w:r>
      <w:r w:rsidR="0003593F" w:rsidRPr="00E20D21">
        <w:rPr>
          <w:rFonts w:ascii="CAIXA Std Book" w:hAnsi="CAIXA Std Book"/>
          <w:color w:val="005CA9"/>
          <w:sz w:val="20"/>
          <w:szCs w:val="20"/>
        </w:rPr>
        <w:t>°</w:t>
      </w:r>
      <w:r w:rsidRPr="00E20D21">
        <w:rPr>
          <w:rFonts w:ascii="CAIXA Std Book" w:hAnsi="CAIXA Std Book"/>
          <w:color w:val="005CA9"/>
          <w:sz w:val="20"/>
          <w:szCs w:val="20"/>
        </w:rPr>
        <w:t xml:space="preserve"> 6.404/</w:t>
      </w:r>
      <w:r w:rsidR="00863E28" w:rsidRPr="00E20D21">
        <w:rPr>
          <w:rFonts w:ascii="CAIXA Std Book" w:hAnsi="CAIXA Std Book"/>
          <w:color w:val="005CA9"/>
          <w:sz w:val="20"/>
          <w:szCs w:val="20"/>
        </w:rPr>
        <w:t>19</w:t>
      </w:r>
      <w:r w:rsidRPr="00E20D21">
        <w:rPr>
          <w:rFonts w:ascii="CAIXA Std Book" w:hAnsi="CAIXA Std Book"/>
          <w:color w:val="005CA9"/>
          <w:sz w:val="20"/>
          <w:szCs w:val="20"/>
        </w:rPr>
        <w:t>76 (Lei das Sociedades por Ações)</w:t>
      </w:r>
      <w:r w:rsidR="005B6E60" w:rsidRPr="00E20D21">
        <w:rPr>
          <w:rFonts w:ascii="CAIXA Std Book" w:hAnsi="CAIXA Std Book"/>
          <w:color w:val="005CA9"/>
          <w:sz w:val="20"/>
          <w:szCs w:val="20"/>
        </w:rPr>
        <w:t xml:space="preserve"> </w:t>
      </w:r>
      <w:r w:rsidR="009E5CCA" w:rsidRPr="00E20D21">
        <w:rPr>
          <w:rFonts w:ascii="CAIXA Std Book" w:hAnsi="CAIXA Std Book"/>
          <w:color w:val="005CA9"/>
          <w:sz w:val="20"/>
          <w:szCs w:val="20"/>
        </w:rPr>
        <w:t xml:space="preserve">e em conformidade </w:t>
      </w:r>
      <w:r w:rsidRPr="00E20D21">
        <w:rPr>
          <w:rFonts w:ascii="CAIXA Std Book" w:hAnsi="CAIXA Std Book"/>
          <w:color w:val="005CA9"/>
          <w:sz w:val="20"/>
          <w:szCs w:val="20"/>
        </w:rPr>
        <w:t xml:space="preserve">com </w:t>
      </w:r>
      <w:r w:rsidR="009E5CCA" w:rsidRPr="00E20D21">
        <w:rPr>
          <w:rFonts w:ascii="CAIXA Std Book" w:hAnsi="CAIXA Std Book"/>
          <w:color w:val="005CA9"/>
          <w:sz w:val="20"/>
          <w:szCs w:val="20"/>
        </w:rPr>
        <w:t xml:space="preserve">a regulamentação emanada </w:t>
      </w:r>
      <w:r w:rsidRPr="00E20D21">
        <w:rPr>
          <w:rFonts w:ascii="CAIXA Std Book" w:hAnsi="CAIXA Std Book"/>
          <w:color w:val="005CA9"/>
          <w:sz w:val="20"/>
          <w:szCs w:val="20"/>
        </w:rPr>
        <w:t>do Conselho Monetário Nacional (CMN)</w:t>
      </w:r>
      <w:r w:rsidR="00895393" w:rsidRPr="00E20D21">
        <w:rPr>
          <w:rFonts w:ascii="CAIXA Std Book" w:hAnsi="CAIXA Std Book"/>
          <w:color w:val="005CA9"/>
          <w:sz w:val="20"/>
          <w:szCs w:val="20"/>
        </w:rPr>
        <w:t xml:space="preserve"> – Resolução CMN</w:t>
      </w:r>
      <w:r w:rsidR="00AE2267" w:rsidRPr="00E20D21">
        <w:rPr>
          <w:rFonts w:ascii="CAIXA Std Book" w:hAnsi="CAIXA Std Book"/>
          <w:color w:val="005CA9"/>
          <w:sz w:val="20"/>
          <w:szCs w:val="20"/>
        </w:rPr>
        <w:t xml:space="preserve"> </w:t>
      </w:r>
      <w:r w:rsidR="00895393" w:rsidRPr="00E20D21">
        <w:rPr>
          <w:rFonts w:ascii="CAIXA Std Book" w:hAnsi="CAIXA Std Book"/>
          <w:color w:val="005CA9"/>
          <w:sz w:val="20"/>
          <w:szCs w:val="20"/>
        </w:rPr>
        <w:t>nº 4.818/2020</w:t>
      </w:r>
      <w:r w:rsidRPr="00E20D21">
        <w:rPr>
          <w:rFonts w:ascii="CAIXA Std Book" w:hAnsi="CAIXA Std Book"/>
          <w:color w:val="005CA9"/>
          <w:sz w:val="20"/>
          <w:szCs w:val="20"/>
        </w:rPr>
        <w:t>, do Banco Central do Brasil (B</w:t>
      </w:r>
      <w:r w:rsidR="00A56F7A" w:rsidRPr="00E20D21">
        <w:rPr>
          <w:rFonts w:ascii="CAIXA Std Book" w:hAnsi="CAIXA Std Book"/>
          <w:color w:val="005CA9"/>
          <w:sz w:val="20"/>
          <w:szCs w:val="20"/>
        </w:rPr>
        <w:t>acen</w:t>
      </w:r>
      <w:r w:rsidRPr="00E20D21">
        <w:rPr>
          <w:rFonts w:ascii="CAIXA Std Book" w:hAnsi="CAIXA Std Book"/>
          <w:color w:val="005CA9"/>
          <w:sz w:val="20"/>
          <w:szCs w:val="20"/>
        </w:rPr>
        <w:t>)</w:t>
      </w:r>
      <w:r w:rsidR="00895393" w:rsidRPr="00E20D21">
        <w:rPr>
          <w:rFonts w:ascii="CAIXA Std Book" w:hAnsi="CAIXA Std Book"/>
          <w:color w:val="005CA9"/>
          <w:sz w:val="20"/>
          <w:szCs w:val="20"/>
        </w:rPr>
        <w:t xml:space="preserve"> – Resolução BCB nº 2/2020</w:t>
      </w:r>
      <w:r w:rsidRPr="00E20D21">
        <w:rPr>
          <w:rFonts w:ascii="CAIXA Std Book" w:hAnsi="CAIXA Std Book"/>
          <w:color w:val="005CA9"/>
          <w:sz w:val="20"/>
          <w:szCs w:val="20"/>
        </w:rPr>
        <w:t>,</w:t>
      </w:r>
      <w:r w:rsidR="009E5CCA" w:rsidRPr="00E20D21">
        <w:rPr>
          <w:rFonts w:ascii="CAIXA Std Book" w:hAnsi="CAIXA Std Book"/>
          <w:color w:val="005CA9"/>
          <w:sz w:val="20"/>
          <w:szCs w:val="20"/>
        </w:rPr>
        <w:t xml:space="preserve"> </w:t>
      </w:r>
      <w:r w:rsidRPr="00E20D21">
        <w:rPr>
          <w:rFonts w:ascii="CAIXA Std Book" w:hAnsi="CAIXA Std Book"/>
          <w:color w:val="005CA9"/>
          <w:sz w:val="20"/>
          <w:szCs w:val="20"/>
        </w:rPr>
        <w:t>do Conselho Federal de Contabilidade (CFC) e das práticas contábeis adotadas no Brasil.</w:t>
      </w:r>
    </w:p>
    <w:p w14:paraId="1885BD42" w14:textId="546ABCDA" w:rsidR="00FA6E88" w:rsidRPr="00E20D21" w:rsidRDefault="005F303D" w:rsidP="00A72DE2">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w:t>
      </w:r>
      <w:r w:rsidR="00AD3A2A" w:rsidRPr="00E20D21">
        <w:rPr>
          <w:rFonts w:ascii="CAIXA Std Book" w:hAnsi="CAIXA Std Book"/>
          <w:color w:val="005CA9"/>
          <w:sz w:val="20"/>
          <w:szCs w:val="20"/>
        </w:rPr>
        <w:t xml:space="preserve"> demonstrações</w:t>
      </w:r>
      <w:r w:rsidR="00607592" w:rsidRPr="00E20D21">
        <w:rPr>
          <w:rFonts w:ascii="CAIXA Std Book" w:hAnsi="CAIXA Std Book"/>
          <w:color w:val="005CA9"/>
          <w:sz w:val="20"/>
          <w:szCs w:val="20"/>
        </w:rPr>
        <w:t xml:space="preserve"> contábeis</w:t>
      </w:r>
      <w:r w:rsidR="00C23B9C" w:rsidRPr="00E20D21">
        <w:rPr>
          <w:rFonts w:ascii="CAIXA Std Book" w:hAnsi="CAIXA Std Book"/>
          <w:color w:val="005CA9"/>
          <w:sz w:val="20"/>
          <w:szCs w:val="20"/>
        </w:rPr>
        <w:t xml:space="preserve"> </w:t>
      </w:r>
      <w:r w:rsidR="004D262B" w:rsidRPr="00E20D21">
        <w:rPr>
          <w:rFonts w:ascii="CAIXA Std Book" w:hAnsi="CAIXA Std Book"/>
          <w:color w:val="005CA9"/>
          <w:sz w:val="20"/>
          <w:szCs w:val="20"/>
        </w:rPr>
        <w:t xml:space="preserve">individuais e consolidadas </w:t>
      </w:r>
      <w:r w:rsidRPr="00E20D21">
        <w:rPr>
          <w:rFonts w:ascii="CAIXA Std Book" w:hAnsi="CAIXA Std Book"/>
          <w:color w:val="005CA9"/>
          <w:sz w:val="20"/>
          <w:szCs w:val="20"/>
        </w:rPr>
        <w:t>são apresentadas em reais e todos os valores arredondados para milhares de reais, exceto quando indicado de outra forma.</w:t>
      </w:r>
    </w:p>
    <w:bookmarkEnd w:id="16"/>
    <w:p w14:paraId="50843D71" w14:textId="77777777" w:rsidR="00476998" w:rsidRPr="00E20D21" w:rsidRDefault="00476998">
      <w:pPr>
        <w:rPr>
          <w:rFonts w:ascii="CAIXA Std Book" w:hAnsi="CAIXA Std Book"/>
          <w:color w:val="005CA9"/>
          <w:sz w:val="20"/>
          <w:szCs w:val="20"/>
        </w:rPr>
      </w:pPr>
      <w:r w:rsidRPr="00E20D21">
        <w:rPr>
          <w:rFonts w:ascii="CAIXA Std Book" w:hAnsi="CAIXA Std Book"/>
          <w:color w:val="005CA9"/>
          <w:sz w:val="20"/>
          <w:szCs w:val="20"/>
        </w:rPr>
        <w:br w:type="page"/>
      </w:r>
    </w:p>
    <w:p w14:paraId="748BE455" w14:textId="719F9CBB" w:rsidR="009959B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lastRenderedPageBreak/>
        <w:t>As práticas contábeis adotadas no Brasil envolvem julgamento pela Administração quanto a estimativas e premissas relativas à mensuração de provisões para perdas associadas ao risco de crédito; ativos fiscais diferidos; valor justo de determinados instrumentos financeiros; provis</w:t>
      </w:r>
      <w:r w:rsidR="003717CF" w:rsidRPr="00E20D21">
        <w:rPr>
          <w:rFonts w:ascii="CAIXA Std Book" w:hAnsi="CAIXA Std Book"/>
          <w:color w:val="005CA9"/>
          <w:sz w:val="20"/>
          <w:szCs w:val="20"/>
        </w:rPr>
        <w:t>ões</w:t>
      </w:r>
      <w:r w:rsidRPr="00E20D21">
        <w:rPr>
          <w:rFonts w:ascii="CAIXA Std Book" w:hAnsi="CAIXA Std Book"/>
          <w:color w:val="005CA9"/>
          <w:sz w:val="20"/>
          <w:szCs w:val="20"/>
        </w:rPr>
        <w:t xml:space="preserve"> para causas judiciais cíveis, trabalhistas e fiscais; provisões para </w:t>
      </w:r>
      <w:r w:rsidR="003717CF" w:rsidRPr="00E20D21">
        <w:rPr>
          <w:rFonts w:ascii="CAIXA Std Book" w:hAnsi="CAIXA Std Book"/>
          <w:color w:val="005CA9"/>
          <w:sz w:val="20"/>
          <w:szCs w:val="20"/>
        </w:rPr>
        <w:t xml:space="preserve">perdas por </w:t>
      </w:r>
      <w:r w:rsidRPr="00E20D21">
        <w:rPr>
          <w:rFonts w:ascii="CAIXA Std Book" w:hAnsi="CAIXA Std Book"/>
          <w:color w:val="005CA9"/>
          <w:sz w:val="20"/>
          <w:szCs w:val="20"/>
        </w:rPr>
        <w:t>redução ao valor recuperável de ativos financeiros e não financeiros; planos de previdência complementar; ativos e passivos relacionados a benefícios pós-emprego; e determinação da vida útil de alguns ativos. Os valores definitivos podem ser diferentes daqueles estabelecidos por essas estimativas e premissas e serão conhecidos por ocasião da sua liquidação ou em virtude da revisão das metodologias adotadas. A sensibilidade dos valores contábeis às estimativas não apresenta relevante disparidade e as estimativas são avaliadas periodicamente. A natureza e o valor contábil dos ativos e passivos são apresentados nas respectivas notas explicativas.</w:t>
      </w:r>
    </w:p>
    <w:p w14:paraId="4E38E8F3" w14:textId="7086556D" w:rsidR="005F303D" w:rsidRPr="00E20D21" w:rsidRDefault="005F303D" w:rsidP="007273A0">
      <w:pPr>
        <w:keepNext/>
        <w:numPr>
          <w:ilvl w:val="0"/>
          <w:numId w:val="21"/>
        </w:num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Consolidação</w:t>
      </w:r>
    </w:p>
    <w:p w14:paraId="3FE610FA" w14:textId="24F0BF7C" w:rsidR="005F7035" w:rsidRPr="00E20D21" w:rsidRDefault="005F7035" w:rsidP="00801ECD">
      <w:pPr>
        <w:jc w:val="both"/>
        <w:rPr>
          <w:rFonts w:ascii="CAIXA Std Book" w:hAnsi="CAIXA Std Book"/>
          <w:color w:val="005CA9"/>
          <w:sz w:val="20"/>
          <w:szCs w:val="20"/>
        </w:rPr>
      </w:pPr>
      <w:r w:rsidRPr="00E20D21">
        <w:rPr>
          <w:rFonts w:ascii="CAIXA Std Book" w:hAnsi="CAIXA Std Book"/>
          <w:color w:val="005CA9"/>
          <w:sz w:val="20"/>
          <w:szCs w:val="20"/>
        </w:rPr>
        <w:t>As demonstrações contábeis consolidadas incluem a CAIXA e as entidades controladas: C</w:t>
      </w:r>
      <w:r w:rsidR="000F669B" w:rsidRPr="00E20D21">
        <w:rPr>
          <w:rFonts w:ascii="CAIXA Std Book" w:hAnsi="CAIXA Std Book"/>
          <w:color w:val="005CA9"/>
          <w:sz w:val="20"/>
          <w:szCs w:val="20"/>
        </w:rPr>
        <w:t>aixa</w:t>
      </w:r>
      <w:r w:rsidRPr="00E20D21">
        <w:rPr>
          <w:rFonts w:ascii="CAIXA Std Book" w:hAnsi="CAIXA Std Book"/>
          <w:color w:val="005CA9"/>
          <w:sz w:val="20"/>
          <w:szCs w:val="20"/>
        </w:rPr>
        <w:t xml:space="preserve"> Loterias, C</w:t>
      </w:r>
      <w:r w:rsidR="000F669B" w:rsidRPr="00E20D21">
        <w:rPr>
          <w:rFonts w:ascii="CAIXA Std Book" w:hAnsi="CAIXA Std Book"/>
          <w:color w:val="005CA9"/>
          <w:sz w:val="20"/>
          <w:szCs w:val="20"/>
        </w:rPr>
        <w:t>aixa</w:t>
      </w:r>
      <w:r w:rsidRPr="00E20D21">
        <w:rPr>
          <w:rFonts w:ascii="CAIXA Std Book" w:hAnsi="CAIXA Std Book"/>
          <w:color w:val="005CA9"/>
          <w:sz w:val="20"/>
          <w:szCs w:val="20"/>
        </w:rPr>
        <w:t xml:space="preserve"> </w:t>
      </w:r>
      <w:r w:rsidR="00622D5D" w:rsidRPr="00E20D21">
        <w:rPr>
          <w:rFonts w:ascii="CAIXA Std Book" w:hAnsi="CAIXA Std Book"/>
          <w:color w:val="005CA9"/>
          <w:sz w:val="20"/>
          <w:szCs w:val="20"/>
        </w:rPr>
        <w:t xml:space="preserve">Holding, </w:t>
      </w:r>
      <w:r w:rsidRPr="00E20D21">
        <w:rPr>
          <w:rFonts w:ascii="CAIXA Std Book" w:hAnsi="CAIXA Std Book"/>
          <w:color w:val="005CA9"/>
          <w:sz w:val="20"/>
          <w:szCs w:val="20"/>
        </w:rPr>
        <w:t>C</w:t>
      </w:r>
      <w:r w:rsidR="000F669B" w:rsidRPr="00E20D21">
        <w:rPr>
          <w:rFonts w:ascii="CAIXA Std Book" w:hAnsi="CAIXA Std Book"/>
          <w:color w:val="005CA9"/>
          <w:sz w:val="20"/>
          <w:szCs w:val="20"/>
        </w:rPr>
        <w:t>aixa</w:t>
      </w:r>
      <w:r w:rsidRPr="00E20D21">
        <w:rPr>
          <w:rFonts w:ascii="CAIXA Std Book" w:hAnsi="CAIXA Std Book"/>
          <w:color w:val="005CA9"/>
          <w:sz w:val="20"/>
          <w:szCs w:val="20"/>
        </w:rPr>
        <w:t xml:space="preserve"> Seguridade, C</w:t>
      </w:r>
      <w:r w:rsidR="000F669B" w:rsidRPr="00E20D21">
        <w:rPr>
          <w:rFonts w:ascii="CAIXA Std Book" w:hAnsi="CAIXA Std Book"/>
          <w:color w:val="005CA9"/>
          <w:sz w:val="20"/>
          <w:szCs w:val="20"/>
        </w:rPr>
        <w:t>aixa</w:t>
      </w:r>
      <w:r w:rsidRPr="00E20D21">
        <w:rPr>
          <w:rFonts w:ascii="CAIXA Std Book" w:hAnsi="CAIXA Std Book"/>
          <w:color w:val="005CA9"/>
          <w:sz w:val="20"/>
          <w:szCs w:val="20"/>
        </w:rPr>
        <w:t xml:space="preserve"> </w:t>
      </w:r>
      <w:proofErr w:type="spellStart"/>
      <w:r w:rsidRPr="00E20D21">
        <w:rPr>
          <w:rFonts w:ascii="CAIXA Std Book" w:hAnsi="CAIXA Std Book"/>
          <w:color w:val="005CA9"/>
          <w:sz w:val="20"/>
          <w:szCs w:val="20"/>
        </w:rPr>
        <w:t>Asset</w:t>
      </w:r>
      <w:proofErr w:type="spellEnd"/>
      <w:r w:rsidR="00FF7F72" w:rsidRPr="00E20D21">
        <w:rPr>
          <w:rFonts w:ascii="CAIXA Std Book" w:hAnsi="CAIXA Std Book"/>
          <w:color w:val="005CA9"/>
          <w:sz w:val="20"/>
          <w:szCs w:val="20"/>
        </w:rPr>
        <w:t>,</w:t>
      </w:r>
      <w:r w:rsidR="00D00C38" w:rsidRPr="00E20D21">
        <w:rPr>
          <w:rFonts w:ascii="CAIXA Std Book" w:hAnsi="CAIXA Std Book"/>
          <w:color w:val="005CA9"/>
          <w:sz w:val="20"/>
          <w:szCs w:val="20"/>
        </w:rPr>
        <w:t xml:space="preserve"> </w:t>
      </w:r>
      <w:r w:rsidR="00047576" w:rsidRPr="00E20D21">
        <w:rPr>
          <w:rFonts w:ascii="CAIXA Std Book" w:hAnsi="CAIXA Std Book"/>
          <w:color w:val="005CA9"/>
          <w:sz w:val="20"/>
          <w:szCs w:val="20"/>
        </w:rPr>
        <w:t>o Fundo de Investimento Caixa Ibirapuera Renda Fixa</w:t>
      </w:r>
      <w:r w:rsidR="00A7322E" w:rsidRPr="00E20D21">
        <w:rPr>
          <w:rFonts w:ascii="CAIXA Std Book" w:hAnsi="CAIXA Std Book"/>
          <w:color w:val="005CA9"/>
          <w:sz w:val="20"/>
          <w:szCs w:val="20"/>
        </w:rPr>
        <w:t xml:space="preserve"> e </w:t>
      </w:r>
      <w:r w:rsidR="00047576" w:rsidRPr="00E20D21">
        <w:rPr>
          <w:rFonts w:ascii="CAIXA Std Book" w:hAnsi="CAIXA Std Book"/>
          <w:color w:val="005CA9"/>
          <w:sz w:val="20"/>
          <w:szCs w:val="20"/>
        </w:rPr>
        <w:t xml:space="preserve">o </w:t>
      </w:r>
      <w:r w:rsidRPr="00E20D21">
        <w:rPr>
          <w:rFonts w:ascii="CAIXA Std Book" w:hAnsi="CAIXA Std Book"/>
          <w:color w:val="005CA9"/>
          <w:sz w:val="20"/>
          <w:szCs w:val="20"/>
        </w:rPr>
        <w:t xml:space="preserve">Fundo de Investimento em Direitos Creditórios </w:t>
      </w:r>
      <w:r w:rsidR="003074AD" w:rsidRPr="00E20D21">
        <w:rPr>
          <w:rFonts w:ascii="CAIXA Std Book" w:hAnsi="CAIXA Std Book"/>
          <w:color w:val="005CA9"/>
          <w:sz w:val="20"/>
          <w:szCs w:val="20"/>
        </w:rPr>
        <w:t>ACR IV</w:t>
      </w:r>
      <w:r w:rsidRPr="00E20D21">
        <w:rPr>
          <w:rFonts w:ascii="CAIXA Std Book" w:hAnsi="CAIXA Std Book"/>
          <w:color w:val="005CA9"/>
          <w:sz w:val="20"/>
          <w:szCs w:val="20"/>
        </w:rPr>
        <w:t>.</w:t>
      </w:r>
    </w:p>
    <w:p w14:paraId="69BCE532" w14:textId="77777777" w:rsidR="005F7035" w:rsidRPr="00E20D21" w:rsidRDefault="005F7035" w:rsidP="001A382B">
      <w:pPr>
        <w:spacing w:before="240"/>
        <w:jc w:val="both"/>
        <w:rPr>
          <w:rFonts w:ascii="CAIXA Std Book" w:hAnsi="CAIXA Std Book"/>
          <w:color w:val="005CA9"/>
          <w:sz w:val="20"/>
          <w:szCs w:val="20"/>
        </w:rPr>
      </w:pPr>
      <w:r w:rsidRPr="00E20D21">
        <w:rPr>
          <w:rFonts w:ascii="CAIXA Std Book" w:hAnsi="CAIXA Std Book"/>
          <w:color w:val="005CA9"/>
          <w:sz w:val="20"/>
          <w:szCs w:val="20"/>
        </w:rPr>
        <w:t xml:space="preserve">Entidades controladas são todas as entidades às quais a CAIXA está exposta, ou tem direitos, a retornos variáveis de seu envolvimento com a entidade e tem a capacidade de afetar esses retornos através de seu poder sobre a entidade. Uma avaliação de controle é realizada de forma contínua. As entidades controladas são consolidadas a partir da data em que o controle é estabelecido até a data em que o controle deixa de existir. </w:t>
      </w:r>
    </w:p>
    <w:p w14:paraId="0EB18CC1" w14:textId="0D1EEA93" w:rsidR="00CE423B" w:rsidRPr="00E20D21" w:rsidRDefault="00CE423B" w:rsidP="00DB1AE5">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As demonstrações </w:t>
      </w:r>
      <w:r w:rsidR="00880F96" w:rsidRPr="00E20D21">
        <w:rPr>
          <w:rFonts w:ascii="CAIXA Std Book" w:hAnsi="CAIXA Std Book"/>
          <w:color w:val="005CA9"/>
          <w:sz w:val="20"/>
          <w:szCs w:val="20"/>
        </w:rPr>
        <w:t>contábeis</w:t>
      </w:r>
      <w:r w:rsidRPr="00E20D21">
        <w:rPr>
          <w:rFonts w:ascii="CAIXA Std Book" w:hAnsi="CAIXA Std Book"/>
          <w:color w:val="005CA9"/>
          <w:sz w:val="20"/>
          <w:szCs w:val="20"/>
        </w:rPr>
        <w:t xml:space="preserve"> consolidadas para o </w:t>
      </w:r>
      <w:r w:rsidR="00031EA9" w:rsidRPr="00E20D21">
        <w:rPr>
          <w:rFonts w:ascii="CAIXA Std Book" w:hAnsi="CAIXA Std Book"/>
          <w:color w:val="005CA9"/>
          <w:sz w:val="20"/>
          <w:szCs w:val="20"/>
        </w:rPr>
        <w:t>período</w:t>
      </w:r>
      <w:r w:rsidRPr="00E20D21">
        <w:rPr>
          <w:rFonts w:ascii="CAIXA Std Book" w:hAnsi="CAIXA Std Book"/>
          <w:color w:val="005CA9"/>
          <w:sz w:val="20"/>
          <w:szCs w:val="20"/>
        </w:rPr>
        <w:t xml:space="preserve"> findo em 3</w:t>
      </w:r>
      <w:r w:rsidR="0059651D" w:rsidRPr="00E20D21">
        <w:rPr>
          <w:rFonts w:ascii="CAIXA Std Book" w:hAnsi="CAIXA Std Book"/>
          <w:color w:val="005CA9"/>
          <w:sz w:val="20"/>
          <w:szCs w:val="20"/>
        </w:rPr>
        <w:t>0</w:t>
      </w:r>
      <w:r w:rsidRPr="00E20D21">
        <w:rPr>
          <w:rFonts w:ascii="CAIXA Std Book" w:hAnsi="CAIXA Std Book"/>
          <w:color w:val="005CA9"/>
          <w:sz w:val="20"/>
          <w:szCs w:val="20"/>
        </w:rPr>
        <w:t xml:space="preserve"> d</w:t>
      </w:r>
      <w:r w:rsidR="00A70CB4" w:rsidRPr="00E20D21">
        <w:rPr>
          <w:rFonts w:ascii="CAIXA Std Book" w:hAnsi="CAIXA Std Book"/>
          <w:color w:val="005CA9"/>
          <w:sz w:val="20"/>
          <w:szCs w:val="20"/>
        </w:rPr>
        <w:t xml:space="preserve">e </w:t>
      </w:r>
      <w:r w:rsidR="0059651D" w:rsidRPr="00E20D21">
        <w:rPr>
          <w:rFonts w:ascii="CAIXA Std Book" w:hAnsi="CAIXA Std Book"/>
          <w:color w:val="005CA9"/>
          <w:sz w:val="20"/>
          <w:szCs w:val="20"/>
        </w:rPr>
        <w:t>junho de 2024</w:t>
      </w:r>
      <w:r w:rsidRPr="00E20D21">
        <w:rPr>
          <w:rFonts w:ascii="CAIXA Std Book" w:hAnsi="CAIXA Std Book"/>
          <w:color w:val="005CA9"/>
          <w:sz w:val="20"/>
          <w:szCs w:val="20"/>
        </w:rPr>
        <w:t>, foram elaboradas de acordo com as práticas contábeis adotadas no Brasil aplicáveis às instituições autorizadas a funcionar pelo Banco Central do Brasil (B</w:t>
      </w:r>
      <w:r w:rsidR="00A56F7A" w:rsidRPr="00E20D21">
        <w:rPr>
          <w:rFonts w:ascii="CAIXA Std Book" w:hAnsi="CAIXA Std Book"/>
          <w:color w:val="005CA9"/>
          <w:sz w:val="20"/>
          <w:szCs w:val="20"/>
        </w:rPr>
        <w:t>acen</w:t>
      </w:r>
      <w:r w:rsidRPr="00E20D21">
        <w:rPr>
          <w:rFonts w:ascii="CAIXA Std Book" w:hAnsi="CAIXA Std Book"/>
          <w:color w:val="005CA9"/>
          <w:sz w:val="20"/>
          <w:szCs w:val="20"/>
        </w:rPr>
        <w:t xml:space="preserve">), </w:t>
      </w:r>
      <w:r w:rsidR="00C47E0D" w:rsidRPr="00E20D21">
        <w:rPr>
          <w:rFonts w:ascii="CAIXA Std Book" w:hAnsi="CAIXA Std Book"/>
          <w:color w:val="005CA9"/>
          <w:sz w:val="20"/>
          <w:szCs w:val="20"/>
        </w:rPr>
        <w:t xml:space="preserve">e </w:t>
      </w:r>
      <w:r w:rsidRPr="00E20D21">
        <w:rPr>
          <w:rFonts w:ascii="CAIXA Std Book" w:hAnsi="CAIXA Std Book"/>
          <w:color w:val="005CA9"/>
          <w:sz w:val="20"/>
          <w:szCs w:val="20"/>
        </w:rPr>
        <w:t>estão sendo apresentadas de maneira adicional, conforme faculdade prevista no Art</w:t>
      </w:r>
      <w:r w:rsidR="00056101" w:rsidRPr="00E20D21">
        <w:rPr>
          <w:rFonts w:ascii="CAIXA Std Book" w:hAnsi="CAIXA Std Book"/>
          <w:color w:val="005CA9"/>
          <w:sz w:val="20"/>
          <w:szCs w:val="20"/>
        </w:rPr>
        <w:t>.</w:t>
      </w:r>
      <w:r w:rsidR="004068E8" w:rsidRPr="00E20D21">
        <w:rPr>
          <w:rFonts w:ascii="CAIXA Std Book" w:hAnsi="CAIXA Std Book"/>
          <w:color w:val="005CA9"/>
          <w:sz w:val="20"/>
          <w:szCs w:val="20"/>
        </w:rPr>
        <w:t xml:space="preserve"> </w:t>
      </w:r>
      <w:r w:rsidRPr="00E20D21">
        <w:rPr>
          <w:rFonts w:ascii="CAIXA Std Book" w:hAnsi="CAIXA Std Book"/>
          <w:color w:val="005CA9"/>
          <w:sz w:val="20"/>
          <w:szCs w:val="20"/>
        </w:rPr>
        <w:t>nº 77 da Resolução CMN nº 4.966</w:t>
      </w:r>
      <w:r w:rsidR="00AE02AD" w:rsidRPr="00E20D21">
        <w:rPr>
          <w:rFonts w:ascii="CAIXA Std Book" w:hAnsi="CAIXA Std Book"/>
          <w:color w:val="005CA9"/>
          <w:sz w:val="20"/>
          <w:szCs w:val="20"/>
        </w:rPr>
        <w:t>/2021</w:t>
      </w:r>
      <w:r w:rsidRPr="00E20D21">
        <w:rPr>
          <w:rFonts w:ascii="CAIXA Std Book" w:hAnsi="CAIXA Std Book"/>
          <w:color w:val="005CA9"/>
          <w:sz w:val="20"/>
          <w:szCs w:val="20"/>
        </w:rPr>
        <w:t xml:space="preserve">, às demonstrações </w:t>
      </w:r>
      <w:r w:rsidR="00B975D1" w:rsidRPr="00E20D21">
        <w:rPr>
          <w:rFonts w:ascii="CAIXA Std Book" w:hAnsi="CAIXA Std Book"/>
          <w:color w:val="005CA9"/>
          <w:sz w:val="20"/>
          <w:szCs w:val="20"/>
        </w:rPr>
        <w:t>contábeis</w:t>
      </w:r>
      <w:r w:rsidRPr="00E20D21">
        <w:rPr>
          <w:rFonts w:ascii="CAIXA Std Book" w:hAnsi="CAIXA Std Book"/>
          <w:color w:val="005CA9"/>
          <w:sz w:val="20"/>
          <w:szCs w:val="20"/>
        </w:rPr>
        <w:t xml:space="preserve"> consolidadas preparadas de acordo com as Normas Internacionais de Relatório Financeiro (IFRS) emitidas pelo </w:t>
      </w:r>
      <w:proofErr w:type="spellStart"/>
      <w:r w:rsidRPr="00E20D21">
        <w:rPr>
          <w:rFonts w:ascii="CAIXA Std Book" w:hAnsi="CAIXA Std Book"/>
          <w:color w:val="005CA9"/>
          <w:sz w:val="20"/>
          <w:szCs w:val="20"/>
        </w:rPr>
        <w:t>International</w:t>
      </w:r>
      <w:proofErr w:type="spellEnd"/>
      <w:r w:rsidRPr="00E20D21">
        <w:rPr>
          <w:rFonts w:ascii="CAIXA Std Book" w:hAnsi="CAIXA Std Book"/>
          <w:color w:val="005CA9"/>
          <w:sz w:val="20"/>
          <w:szCs w:val="20"/>
        </w:rPr>
        <w:t xml:space="preserve"> </w:t>
      </w:r>
      <w:proofErr w:type="spellStart"/>
      <w:r w:rsidRPr="00E20D21">
        <w:rPr>
          <w:rFonts w:ascii="CAIXA Std Book" w:hAnsi="CAIXA Std Book"/>
          <w:color w:val="005CA9"/>
          <w:sz w:val="20"/>
          <w:szCs w:val="20"/>
        </w:rPr>
        <w:t>Accounting</w:t>
      </w:r>
      <w:proofErr w:type="spellEnd"/>
      <w:r w:rsidRPr="00E20D21">
        <w:rPr>
          <w:rFonts w:ascii="CAIXA Std Book" w:hAnsi="CAIXA Std Book"/>
          <w:color w:val="005CA9"/>
          <w:sz w:val="20"/>
          <w:szCs w:val="20"/>
        </w:rPr>
        <w:t xml:space="preserve"> Standards Board (IASB)</w:t>
      </w:r>
      <w:r w:rsidR="00A57992" w:rsidRPr="00E20D21">
        <w:rPr>
          <w:rFonts w:ascii="CAIXA Std Book" w:hAnsi="CAIXA Std Book"/>
          <w:color w:val="005CA9"/>
          <w:sz w:val="20"/>
          <w:szCs w:val="20"/>
        </w:rPr>
        <w:t>.</w:t>
      </w:r>
    </w:p>
    <w:p w14:paraId="4C717692" w14:textId="16198CA4" w:rsidR="005F7035" w:rsidRPr="00E20D21" w:rsidRDefault="005F7035" w:rsidP="005F7035">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demonstrações contábeis</w:t>
      </w:r>
      <w:r w:rsidR="00431FBC" w:rsidRPr="00E20D21">
        <w:rPr>
          <w:rFonts w:ascii="CAIXA Std Book" w:hAnsi="CAIXA Std Book"/>
          <w:color w:val="005CA9"/>
          <w:sz w:val="20"/>
          <w:szCs w:val="20"/>
        </w:rPr>
        <w:t xml:space="preserve"> c</w:t>
      </w:r>
      <w:r w:rsidRPr="00E20D21">
        <w:rPr>
          <w:rFonts w:ascii="CAIXA Std Book" w:hAnsi="CAIXA Std Book"/>
          <w:color w:val="005CA9"/>
          <w:sz w:val="20"/>
          <w:szCs w:val="20"/>
        </w:rPr>
        <w:t>onsolidadas são preparadas utilizando práticas contábeis uniformes</w:t>
      </w:r>
      <w:r w:rsidR="002E4223" w:rsidRPr="00E20D21">
        <w:rPr>
          <w:rFonts w:ascii="CAIXA Std Book" w:hAnsi="CAIXA Std Book"/>
          <w:color w:val="005CA9"/>
          <w:sz w:val="20"/>
          <w:szCs w:val="20"/>
        </w:rPr>
        <w:t xml:space="preserve">. </w:t>
      </w:r>
      <w:r w:rsidRPr="00E20D21">
        <w:rPr>
          <w:rFonts w:ascii="CAIXA Std Book" w:hAnsi="CAIXA Std Book"/>
          <w:color w:val="005CA9"/>
          <w:sz w:val="20"/>
          <w:szCs w:val="20"/>
        </w:rPr>
        <w:t>Os saldos das contas patrimoniais e de resultado e os valores das transações entre as empresas consolidadas são eliminados.</w:t>
      </w:r>
    </w:p>
    <w:p w14:paraId="39EBA885" w14:textId="77777777" w:rsidR="007E0B08" w:rsidRPr="00E20D21" w:rsidRDefault="007E0B08" w:rsidP="00DB1AE5">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As empresas </w:t>
      </w:r>
      <w:r w:rsidR="002F13AB" w:rsidRPr="00E20D21">
        <w:rPr>
          <w:rFonts w:ascii="CAIXA Std Book" w:hAnsi="CAIXA Std Book"/>
          <w:color w:val="005CA9"/>
          <w:sz w:val="20"/>
          <w:szCs w:val="20"/>
        </w:rPr>
        <w:t xml:space="preserve">em </w:t>
      </w:r>
      <w:r w:rsidRPr="00E20D21">
        <w:rPr>
          <w:rFonts w:ascii="CAIXA Std Book" w:hAnsi="CAIXA Std Book"/>
          <w:color w:val="005CA9"/>
          <w:sz w:val="20"/>
          <w:szCs w:val="20"/>
        </w:rPr>
        <w:t xml:space="preserve">que o conglomerado CAIXA </w:t>
      </w:r>
      <w:r w:rsidR="006C4108" w:rsidRPr="00E20D21">
        <w:rPr>
          <w:rFonts w:ascii="CAIXA Std Book" w:hAnsi="CAIXA Std Book"/>
          <w:color w:val="005CA9"/>
          <w:sz w:val="20"/>
          <w:szCs w:val="20"/>
        </w:rPr>
        <w:t xml:space="preserve">possui </w:t>
      </w:r>
      <w:r w:rsidRPr="00E20D21">
        <w:rPr>
          <w:rFonts w:ascii="CAIXA Std Book" w:hAnsi="CAIXA Std Book"/>
          <w:color w:val="005CA9"/>
          <w:sz w:val="20"/>
          <w:szCs w:val="20"/>
        </w:rPr>
        <w:t>participação direta ou indireta e que estão incluídas nas demonstrações consolida</w:t>
      </w:r>
      <w:r w:rsidR="00845316" w:rsidRPr="00E20D21">
        <w:rPr>
          <w:rFonts w:ascii="CAIXA Std Book" w:hAnsi="CAIXA Std Book"/>
          <w:color w:val="005CA9"/>
          <w:sz w:val="20"/>
          <w:szCs w:val="20"/>
        </w:rPr>
        <w:t xml:space="preserve">das são apresentadas nas Notas </w:t>
      </w:r>
      <w:r w:rsidR="00B3615A" w:rsidRPr="00E20D21">
        <w:rPr>
          <w:rFonts w:ascii="CAIXA Std Book" w:hAnsi="CAIXA Std Book"/>
          <w:color w:val="005CA9"/>
          <w:sz w:val="20"/>
          <w:szCs w:val="20"/>
        </w:rPr>
        <w:t xml:space="preserve">Explicativas </w:t>
      </w:r>
      <w:r w:rsidR="00845316" w:rsidRPr="00E20D21">
        <w:rPr>
          <w:rFonts w:ascii="CAIXA Std Book" w:hAnsi="CAIXA Std Book"/>
          <w:color w:val="005CA9"/>
          <w:sz w:val="20"/>
          <w:szCs w:val="20"/>
        </w:rPr>
        <w:t>1</w:t>
      </w:r>
      <w:r w:rsidR="00F80EBA" w:rsidRPr="00E20D21">
        <w:rPr>
          <w:rFonts w:ascii="CAIXA Std Book" w:hAnsi="CAIXA Std Book"/>
          <w:color w:val="005CA9"/>
          <w:sz w:val="20"/>
          <w:szCs w:val="20"/>
        </w:rPr>
        <w:t>1</w:t>
      </w:r>
      <w:r w:rsidR="00845316" w:rsidRPr="00E20D21">
        <w:rPr>
          <w:rFonts w:ascii="CAIXA Std Book" w:hAnsi="CAIXA Std Book"/>
          <w:color w:val="005CA9"/>
          <w:sz w:val="20"/>
          <w:szCs w:val="20"/>
        </w:rPr>
        <w:t xml:space="preserve"> e </w:t>
      </w:r>
      <w:r w:rsidR="00CB19D4" w:rsidRPr="00E20D21">
        <w:rPr>
          <w:rFonts w:ascii="CAIXA Std Book" w:hAnsi="CAIXA Std Book"/>
          <w:color w:val="005CA9"/>
          <w:sz w:val="20"/>
          <w:szCs w:val="20"/>
        </w:rPr>
        <w:t>3</w:t>
      </w:r>
      <w:r w:rsidR="00F80EBA" w:rsidRPr="00E20D21">
        <w:rPr>
          <w:rFonts w:ascii="CAIXA Std Book" w:hAnsi="CAIXA Std Book"/>
          <w:color w:val="005CA9"/>
          <w:sz w:val="20"/>
          <w:szCs w:val="20"/>
        </w:rPr>
        <w:t>2</w:t>
      </w:r>
      <w:r w:rsidR="00845316" w:rsidRPr="00E20D21">
        <w:rPr>
          <w:rFonts w:ascii="CAIXA Std Book" w:hAnsi="CAIXA Std Book"/>
          <w:color w:val="005CA9"/>
          <w:sz w:val="20"/>
          <w:szCs w:val="20"/>
        </w:rPr>
        <w:t>.</w:t>
      </w:r>
    </w:p>
    <w:p w14:paraId="6B4B5C27" w14:textId="28EB0FA5" w:rsidR="00D6298B" w:rsidRPr="00E20D21" w:rsidRDefault="00D6298B" w:rsidP="00D6298B">
      <w:pPr>
        <w:pStyle w:val="PargrafodaLista"/>
        <w:keepNext/>
        <w:numPr>
          <w:ilvl w:val="0"/>
          <w:numId w:val="21"/>
        </w:num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 xml:space="preserve">Normas aplicáveis </w:t>
      </w:r>
      <w:r w:rsidR="00006CB2" w:rsidRPr="00E20D21">
        <w:rPr>
          <w:rFonts w:ascii="CAIXA Std Book" w:hAnsi="CAIXA Std Book"/>
          <w:b/>
          <w:color w:val="005CA9"/>
          <w:sz w:val="20"/>
          <w:szCs w:val="20"/>
        </w:rPr>
        <w:t>a períodos futuros</w:t>
      </w:r>
    </w:p>
    <w:p w14:paraId="72A95EB1" w14:textId="77777777" w:rsidR="00D6298B" w:rsidRPr="00E20D21" w:rsidRDefault="00D6298B" w:rsidP="00D6298B">
      <w:pPr>
        <w:keepNext/>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 xml:space="preserve">Normas a serem aplicadas a partir de 01 de janeiro de 2025 </w:t>
      </w:r>
    </w:p>
    <w:p w14:paraId="73449A00" w14:textId="123B5721" w:rsidR="00006CB2" w:rsidRPr="00E20D21" w:rsidRDefault="00D6298B" w:rsidP="00006CB2">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Resolução CMN nº 4.966/2021 dispõe sobre os conceitos e os critérios contábeis aplicáveis a instrumentos financeiros, bem como para a designação e o reconhecimento das relações de proteção (contabilidade de hedge) em busca da convergência ao padrão internacional previsto no IFRS 9. </w:t>
      </w:r>
    </w:p>
    <w:p w14:paraId="4B60893F" w14:textId="098A457D" w:rsidR="00D6298B" w:rsidRPr="00E20D21" w:rsidRDefault="00D6298B" w:rsidP="00D6298B">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Resolução CMN nº 4.975/2021 dispõe sobre os critérios contábeis aplicáveis às operações de arrendamento mercantil pelas instituições financeiras e demais instituições autorizadas a funcionar pelo Banco Central do Brasil. </w:t>
      </w:r>
    </w:p>
    <w:p w14:paraId="517E17D1" w14:textId="2D7E77F9" w:rsidR="00D6298B" w:rsidRPr="00E20D21" w:rsidRDefault="00D6298B" w:rsidP="00D6298B">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Resolução </w:t>
      </w:r>
      <w:r w:rsidR="008E7724" w:rsidRPr="00E20D21">
        <w:rPr>
          <w:rFonts w:ascii="CAIXA Std Book" w:hAnsi="CAIXA Std Book"/>
          <w:color w:val="005CA9"/>
          <w:sz w:val="20"/>
          <w:szCs w:val="20"/>
        </w:rPr>
        <w:t xml:space="preserve">CMN </w:t>
      </w:r>
      <w:r w:rsidR="008D775F" w:rsidRPr="00E20D21">
        <w:rPr>
          <w:rFonts w:ascii="CAIXA Std Book" w:hAnsi="CAIXA Std Book"/>
          <w:color w:val="005CA9"/>
          <w:sz w:val="20"/>
          <w:szCs w:val="20"/>
        </w:rPr>
        <w:t>nº 4.858/</w:t>
      </w:r>
      <w:r w:rsidR="006A4209" w:rsidRPr="00E20D21">
        <w:rPr>
          <w:rFonts w:ascii="CAIXA Std Book" w:hAnsi="CAIXA Std Book"/>
          <w:color w:val="005CA9"/>
          <w:sz w:val="20"/>
          <w:szCs w:val="20"/>
        </w:rPr>
        <w:t xml:space="preserve">2020 </w:t>
      </w:r>
      <w:r w:rsidR="00320B53" w:rsidRPr="00E20D21">
        <w:rPr>
          <w:rFonts w:ascii="CAIXA Std Book" w:hAnsi="CAIXA Std Book"/>
          <w:color w:val="005CA9"/>
          <w:sz w:val="20"/>
          <w:szCs w:val="20"/>
        </w:rPr>
        <w:t xml:space="preserve">dispõe </w:t>
      </w:r>
      <w:r w:rsidR="006A4209" w:rsidRPr="00E20D21">
        <w:rPr>
          <w:rFonts w:ascii="CAIXA Std Book" w:hAnsi="CAIXA Std Book"/>
          <w:color w:val="005CA9"/>
          <w:sz w:val="20"/>
          <w:szCs w:val="20"/>
        </w:rPr>
        <w:t xml:space="preserve">sobre o </w:t>
      </w:r>
      <w:r w:rsidR="00C74D0F" w:rsidRPr="00E20D21">
        <w:rPr>
          <w:rFonts w:ascii="CAIXA Std Book" w:hAnsi="CAIXA Std Book"/>
          <w:color w:val="005CA9"/>
          <w:sz w:val="20"/>
          <w:szCs w:val="20"/>
        </w:rPr>
        <w:t xml:space="preserve">novo </w:t>
      </w:r>
      <w:r w:rsidR="006A4209" w:rsidRPr="00E20D21">
        <w:rPr>
          <w:rFonts w:ascii="CAIXA Std Book" w:hAnsi="CAIXA Std Book"/>
          <w:color w:val="005CA9"/>
          <w:sz w:val="20"/>
          <w:szCs w:val="20"/>
        </w:rPr>
        <w:t>Padrão Contábil das Instituições Reguladas pelo Banco Central do Brasil (Cosif).</w:t>
      </w:r>
    </w:p>
    <w:p w14:paraId="6D649646" w14:textId="08DBBE71" w:rsidR="00D6298B" w:rsidRPr="00E20D21" w:rsidRDefault="00D6298B" w:rsidP="000B0EAB">
      <w:pPr>
        <w:jc w:val="both"/>
        <w:rPr>
          <w:rFonts w:ascii="CAIXA Std Book" w:hAnsi="CAIXA Std Book"/>
          <w:color w:val="005CA9"/>
          <w:sz w:val="20"/>
          <w:szCs w:val="20"/>
        </w:rPr>
      </w:pPr>
      <w:r w:rsidRPr="00E20D21">
        <w:rPr>
          <w:rFonts w:ascii="CAIXA Std Book" w:hAnsi="CAIXA Std Book"/>
          <w:color w:val="005CA9"/>
          <w:sz w:val="20"/>
          <w:szCs w:val="20"/>
        </w:rPr>
        <w:lastRenderedPageBreak/>
        <w:t>Derivada da conversão da Medida Provisória nº 1.128, de 05 de julho de 2022, foi promulgada a lei n° 14.467, de 16 de novembro de 2022, que dispõe sobre o tratamento tributário aplicável às perdas incorrida</w:t>
      </w:r>
      <w:r w:rsidR="002C4707" w:rsidRPr="00E20D21">
        <w:rPr>
          <w:rFonts w:ascii="CAIXA Std Book" w:hAnsi="CAIXA Std Book"/>
          <w:color w:val="005CA9"/>
          <w:sz w:val="20"/>
          <w:szCs w:val="20"/>
        </w:rPr>
        <w:t>s</w:t>
      </w:r>
      <w:r w:rsidRPr="00E20D21">
        <w:rPr>
          <w:rFonts w:ascii="CAIXA Std Book" w:hAnsi="CAIXA Std Book"/>
          <w:color w:val="005CA9"/>
          <w:sz w:val="20"/>
          <w:szCs w:val="20"/>
        </w:rPr>
        <w:t xml:space="preserve"> no recebimento de créditos decorrentes das atividades das instituições financeiras e demais instituições autorizadas a funcionar pelo Banco Central do Brasil. Com isso, a partir de 01 de janeiro de 2025, a CAIXA deverá estar preparada para a adoção de novos procedimentos para a dedução das comentadas perdas na apuração das bases de c</w:t>
      </w:r>
      <w:r w:rsidR="008F3890" w:rsidRPr="00E20D21">
        <w:rPr>
          <w:rFonts w:ascii="CAIXA Std Book" w:hAnsi="CAIXA Std Book"/>
          <w:color w:val="005CA9"/>
          <w:sz w:val="20"/>
          <w:szCs w:val="20"/>
        </w:rPr>
        <w:t>á</w:t>
      </w:r>
      <w:r w:rsidRPr="00E20D21">
        <w:rPr>
          <w:rFonts w:ascii="CAIXA Std Book" w:hAnsi="CAIXA Std Book"/>
          <w:color w:val="005CA9"/>
          <w:sz w:val="20"/>
          <w:szCs w:val="20"/>
        </w:rPr>
        <w:t>lculo do Imposto de Renda da Pessoa Jurídica e da Contribuição Social sobre o Lucro líquido, considerando: (i) a dedutibilidade de operações com atraso superior a noventa dias, observada a aplicação dos fatores para dedução contidos na norma; e (</w:t>
      </w:r>
      <w:proofErr w:type="spellStart"/>
      <w:r w:rsidRPr="00E20D21">
        <w:rPr>
          <w:rFonts w:ascii="CAIXA Std Book" w:hAnsi="CAIXA Std Book"/>
          <w:color w:val="005CA9"/>
          <w:sz w:val="20"/>
          <w:szCs w:val="20"/>
        </w:rPr>
        <w:t>ii</w:t>
      </w:r>
      <w:proofErr w:type="spellEnd"/>
      <w:r w:rsidRPr="00E20D21">
        <w:rPr>
          <w:rFonts w:ascii="CAIXA Std Book" w:hAnsi="CAIXA Std Book"/>
          <w:color w:val="005CA9"/>
          <w:sz w:val="20"/>
          <w:szCs w:val="20"/>
        </w:rPr>
        <w:t>) que os créditos inadimplidos e não aproveitados até 31 de dezembro de 2024, somente poderão ser deduzidos à razão de um trinta e seis avos a partir de janeiro de 2025.</w:t>
      </w:r>
    </w:p>
    <w:p w14:paraId="4D5A5A8B" w14:textId="14B22736" w:rsidR="00C17ADE" w:rsidRPr="00E20D21" w:rsidRDefault="00E318E0" w:rsidP="00C17ADE">
      <w:pPr>
        <w:spacing w:before="120" w:after="120"/>
        <w:jc w:val="both"/>
        <w:rPr>
          <w:rFonts w:ascii="CAIXA Std Book" w:hAnsi="CAIXA Std Book"/>
          <w:color w:val="005CA9"/>
          <w:sz w:val="20"/>
          <w:szCs w:val="20"/>
        </w:rPr>
      </w:pPr>
      <w:proofErr w:type="gramStart"/>
      <w:r w:rsidRPr="00E20D21">
        <w:rPr>
          <w:rFonts w:ascii="CAIXA Std Book" w:hAnsi="CAIXA Std Book"/>
          <w:color w:val="005CA9"/>
          <w:sz w:val="20"/>
          <w:szCs w:val="20"/>
        </w:rPr>
        <w:t>A avaliação dos</w:t>
      </w:r>
      <w:r w:rsidR="00582B3D" w:rsidRPr="00E20D21">
        <w:rPr>
          <w:rFonts w:ascii="CAIXA Std Book" w:hAnsi="CAIXA Std Book"/>
          <w:color w:val="005CA9"/>
          <w:sz w:val="20"/>
          <w:szCs w:val="20"/>
        </w:rPr>
        <w:t xml:space="preserve"> impactos de implementação das normas supracitadas</w:t>
      </w:r>
      <w:r w:rsidR="00A1315D" w:rsidRPr="00E20D21">
        <w:rPr>
          <w:rFonts w:ascii="CAIXA Std Book" w:hAnsi="CAIXA Std Book"/>
          <w:color w:val="005CA9"/>
          <w:sz w:val="20"/>
          <w:szCs w:val="20"/>
        </w:rPr>
        <w:t xml:space="preserve"> estão</w:t>
      </w:r>
      <w:proofErr w:type="gramEnd"/>
      <w:r w:rsidR="00A1315D" w:rsidRPr="00E20D21">
        <w:rPr>
          <w:rFonts w:ascii="CAIXA Std Book" w:hAnsi="CAIXA Std Book"/>
          <w:color w:val="005CA9"/>
          <w:sz w:val="20"/>
          <w:szCs w:val="20"/>
        </w:rPr>
        <w:t xml:space="preserve"> em andamento </w:t>
      </w:r>
      <w:r w:rsidR="001005FD" w:rsidRPr="00E20D21">
        <w:rPr>
          <w:rFonts w:ascii="CAIXA Std Book" w:hAnsi="CAIXA Std Book"/>
          <w:color w:val="005CA9"/>
          <w:sz w:val="20"/>
          <w:szCs w:val="20"/>
        </w:rPr>
        <w:t>na</w:t>
      </w:r>
      <w:r w:rsidR="00C17ADE" w:rsidRPr="00E20D21">
        <w:rPr>
          <w:rFonts w:ascii="CAIXA Std Book" w:hAnsi="CAIXA Std Book"/>
          <w:color w:val="005CA9"/>
          <w:sz w:val="20"/>
          <w:szCs w:val="20"/>
        </w:rPr>
        <w:t xml:space="preserve"> CA</w:t>
      </w:r>
      <w:r w:rsidR="000E1CD0" w:rsidRPr="00E20D21">
        <w:rPr>
          <w:rFonts w:ascii="CAIXA Std Book" w:hAnsi="CAIXA Std Book"/>
          <w:color w:val="005CA9"/>
          <w:sz w:val="20"/>
          <w:szCs w:val="20"/>
        </w:rPr>
        <w:t xml:space="preserve">IXA </w:t>
      </w:r>
      <w:r w:rsidR="00CF6624" w:rsidRPr="00E20D21">
        <w:rPr>
          <w:rFonts w:ascii="CAIXA Std Book" w:hAnsi="CAIXA Std Book"/>
          <w:color w:val="005CA9"/>
          <w:sz w:val="20"/>
          <w:szCs w:val="20"/>
        </w:rPr>
        <w:t xml:space="preserve">e </w:t>
      </w:r>
      <w:r w:rsidR="00D05B08" w:rsidRPr="00E20D21">
        <w:rPr>
          <w:rFonts w:ascii="CAIXA Std Book" w:hAnsi="CAIXA Std Book"/>
          <w:color w:val="005CA9"/>
          <w:sz w:val="20"/>
          <w:szCs w:val="20"/>
        </w:rPr>
        <w:t>deverão ser concluídas</w:t>
      </w:r>
      <w:r w:rsidR="00C17ADE" w:rsidRPr="00E20D21">
        <w:rPr>
          <w:rFonts w:ascii="CAIXA Std Book" w:hAnsi="CAIXA Std Book"/>
          <w:color w:val="005CA9"/>
          <w:sz w:val="20"/>
          <w:szCs w:val="20"/>
        </w:rPr>
        <w:t xml:space="preserve"> até a data de </w:t>
      </w:r>
      <w:r w:rsidR="00D05B08" w:rsidRPr="00E20D21">
        <w:rPr>
          <w:rFonts w:ascii="CAIXA Std Book" w:hAnsi="CAIXA Std Book"/>
          <w:color w:val="005CA9"/>
          <w:sz w:val="20"/>
          <w:szCs w:val="20"/>
        </w:rPr>
        <w:t>suas vigências.</w:t>
      </w:r>
    </w:p>
    <w:p w14:paraId="30F01CF2" w14:textId="48BA75B6" w:rsidR="001E62D1" w:rsidRPr="00E20D21" w:rsidRDefault="001E62D1" w:rsidP="00FD7768">
      <w:pPr>
        <w:pStyle w:val="Ttulo1"/>
      </w:pPr>
      <w:bookmarkStart w:id="17" w:name="_Toc450149181"/>
      <w:bookmarkStart w:id="18" w:name="_Toc175067943"/>
      <w:bookmarkStart w:id="19" w:name="_Hlk70064992"/>
      <w:r w:rsidRPr="00E20D21">
        <w:t>Nota   3 – Principais práticas</w:t>
      </w:r>
      <w:r w:rsidR="00F95C61" w:rsidRPr="00E20D21">
        <w:t xml:space="preserve">, julgamentos e estimativas </w:t>
      </w:r>
      <w:r w:rsidRPr="00E20D21">
        <w:t>contábeis</w:t>
      </w:r>
      <w:bookmarkEnd w:id="17"/>
      <w:bookmarkEnd w:id="18"/>
    </w:p>
    <w:p w14:paraId="069335FA" w14:textId="77777777" w:rsidR="001E62D1" w:rsidRPr="00E20D21" w:rsidRDefault="001E62D1" w:rsidP="00C57B9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Conversão de moeda estrangeira</w:t>
      </w:r>
    </w:p>
    <w:p w14:paraId="06E12D4E" w14:textId="67DFBB8A"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demonstrações contábeis são apresentadas em reais, moeda funcional da CAIXA. Os itens incluídos nas demonstrações contábeis de cada entidade do grupo são mensurados com a moeda funcional</w:t>
      </w:r>
      <w:r w:rsidR="00FA6742" w:rsidRPr="00E20D21">
        <w:rPr>
          <w:rFonts w:ascii="CAIXA Std Book" w:hAnsi="CAIXA Std Book"/>
          <w:color w:val="005CA9"/>
          <w:sz w:val="20"/>
          <w:szCs w:val="20"/>
        </w:rPr>
        <w:t xml:space="preserve"> da CAIXA.</w:t>
      </w:r>
    </w:p>
    <w:p w14:paraId="504EBF46" w14:textId="635BD98D"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transações em moeda estrangeira são inicialmente registradas à taxa de câmbio da moeda funcional em vigor na data da transação. Ativos e passivos monetários denominados em moeda estrangeira são convertidos pela taxa de câmbio da moeda funcional na data do balanço patrimonial. Ganhos ou perdas decorrentes do processo de conversão são alocados no resultado do período.</w:t>
      </w:r>
    </w:p>
    <w:p w14:paraId="780CBED6" w14:textId="77777777" w:rsidR="001E62D1" w:rsidRPr="00E20D21" w:rsidRDefault="001E62D1" w:rsidP="00C57B9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Apuração do resultado</w:t>
      </w:r>
    </w:p>
    <w:p w14:paraId="736190BC" w14:textId="77777777"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Em conformidade com o regime de competência, as receitas e as despesas são registradas na apuração do seu fato gerador, simultaneamente, quando se correlacionarem e independentemente de recebimento ou pagamento.</w:t>
      </w:r>
    </w:p>
    <w:p w14:paraId="00FA7C34" w14:textId="77777777"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operações com encargos financeiros pré-fixados estão registradas pelo valor de resgate e as receitas e despesas correspondentes ao período futuro são apresentadas em conta redutora dos respectivos ativos e passivos. As operações com taxas pós-fixadas ou indexadas a moedas estrangeiras são atualizadas até a data do balanço.</w:t>
      </w:r>
    </w:p>
    <w:p w14:paraId="2C03C330" w14:textId="247B8CC4"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receitas e despesas de natureza financeira são reconhecidas pelo critério pro rata die e calculadas com base no método exponencial, exceto aquelas relativas a títulos descontados ou relacionadas a operações no exterior, que são calculadas com base no método linear.</w:t>
      </w:r>
    </w:p>
    <w:p w14:paraId="2763DF6E" w14:textId="77777777" w:rsidR="001E62D1" w:rsidRPr="00E20D21" w:rsidRDefault="001E62D1" w:rsidP="00C57B9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Caixa e equivalentes de caixa</w:t>
      </w:r>
    </w:p>
    <w:p w14:paraId="0FDC06B8" w14:textId="6F516527"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montante da disponibilidade em moeda nacional é apresentado pelo seu valor de face, enquanto os valores em moeda estrangeira são convertidos pela taxa cambial divulgada pelo B</w:t>
      </w:r>
      <w:r w:rsidR="00A56F7A" w:rsidRPr="00E20D21">
        <w:rPr>
          <w:rFonts w:ascii="CAIXA Std Book" w:hAnsi="CAIXA Std Book"/>
          <w:color w:val="005CA9"/>
          <w:sz w:val="20"/>
          <w:szCs w:val="20"/>
        </w:rPr>
        <w:t>acen</w:t>
      </w:r>
      <w:r w:rsidRPr="00E20D21">
        <w:rPr>
          <w:rFonts w:ascii="CAIXA Std Book" w:hAnsi="CAIXA Std Book"/>
          <w:color w:val="005CA9"/>
          <w:sz w:val="20"/>
          <w:szCs w:val="20"/>
        </w:rPr>
        <w:t xml:space="preserve"> na data de fechamento das demonstrações contábeis. </w:t>
      </w:r>
    </w:p>
    <w:p w14:paraId="06FA675C" w14:textId="31C1F443"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equivalentes de caixa (aplicações interfinanceiras de liquidez) caracterizam-se por sua alta liquidez</w:t>
      </w:r>
      <w:r w:rsidR="00644B92" w:rsidRPr="00E20D21">
        <w:rPr>
          <w:rFonts w:ascii="CAIXA Std Book" w:hAnsi="CAIXA Std Book"/>
          <w:color w:val="005CA9"/>
          <w:sz w:val="20"/>
          <w:szCs w:val="20"/>
        </w:rPr>
        <w:t xml:space="preserve"> e finalidade de atendimento a compromissos de curto prazo com</w:t>
      </w:r>
      <w:r w:rsidRPr="00E20D21">
        <w:rPr>
          <w:rFonts w:ascii="CAIXA Std Book" w:hAnsi="CAIXA Std Book"/>
          <w:color w:val="005CA9"/>
          <w:sz w:val="20"/>
          <w:szCs w:val="20"/>
        </w:rPr>
        <w:t xml:space="preserve"> vencimento igual ou inferior a 90 dias na data da aquisição e apresentam risco insignificante de mudança no valor.</w:t>
      </w:r>
    </w:p>
    <w:p w14:paraId="7B193747" w14:textId="4F5BF5D5" w:rsidR="001E62D1" w:rsidRPr="00E20D21" w:rsidRDefault="001E62D1" w:rsidP="001E62D1">
      <w:pPr>
        <w:spacing w:before="120" w:after="120"/>
        <w:jc w:val="both"/>
        <w:rPr>
          <w:rFonts w:ascii="CAIXA Std Book" w:hAnsi="CAIXA Std Book"/>
          <w:color w:val="005CA9"/>
        </w:rPr>
      </w:pPr>
      <w:r w:rsidRPr="00E20D21">
        <w:rPr>
          <w:rFonts w:ascii="CAIXA Std Book" w:hAnsi="CAIXA Std Book"/>
          <w:color w:val="005CA9"/>
          <w:sz w:val="20"/>
          <w:szCs w:val="20"/>
        </w:rPr>
        <w:t>A composição de caixa e equivalentes de caixa está apresentada na Nota Explicativa 4.</w:t>
      </w:r>
    </w:p>
    <w:p w14:paraId="116AA3A5" w14:textId="77777777" w:rsidR="001E62D1" w:rsidRPr="00E20D21" w:rsidRDefault="001E62D1" w:rsidP="00C57B9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Aplicações interfinanceiras de liquidez</w:t>
      </w:r>
    </w:p>
    <w:p w14:paraId="2F84DCB0" w14:textId="77777777"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aplicações interfinanceiras de liquidez são registradas ao custo de aquisição acrescido dos rendimentos auferidos até a data do balanço e deduzido de eventuais provisões para desvalorização, quando aplicável.</w:t>
      </w:r>
    </w:p>
    <w:p w14:paraId="50EE3F62" w14:textId="77777777" w:rsidR="00F95C61" w:rsidRPr="00E20D21" w:rsidRDefault="00D544B3" w:rsidP="00D544B3">
      <w:pPr>
        <w:pStyle w:val="PargrafodaLista"/>
        <w:numPr>
          <w:ilvl w:val="0"/>
          <w:numId w:val="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Compra com compromisso de revenda:</w:t>
      </w:r>
      <w:r w:rsidRPr="00E20D21">
        <w:rPr>
          <w:rFonts w:ascii="CAIXA Std Book" w:hAnsi="CAIXA Std Book"/>
          <w:color w:val="005CA9"/>
          <w:sz w:val="20"/>
          <w:szCs w:val="20"/>
        </w:rPr>
        <w:t xml:space="preserve"> </w:t>
      </w:r>
      <w:r w:rsidR="00F95C61" w:rsidRPr="00E20D21">
        <w:rPr>
          <w:rFonts w:ascii="CAIXA Std Book" w:hAnsi="CAIXA Std Book"/>
          <w:color w:val="005CA9"/>
          <w:sz w:val="20"/>
          <w:szCs w:val="20"/>
        </w:rPr>
        <w:t>Os financiamentos concedidos por meio de lastro com títulos de renda fixa de terceiros são registrados pelo valor de liquidação</w:t>
      </w:r>
      <w:r w:rsidR="00EC06FE" w:rsidRPr="00E20D21">
        <w:rPr>
          <w:rFonts w:ascii="CAIXA Std Book" w:hAnsi="CAIXA Std Book"/>
          <w:color w:val="005CA9"/>
          <w:sz w:val="20"/>
          <w:szCs w:val="20"/>
        </w:rPr>
        <w:t xml:space="preserve"> na posição bancada.</w:t>
      </w:r>
      <w:r w:rsidR="00573B8A" w:rsidRPr="00E20D21">
        <w:rPr>
          <w:rFonts w:ascii="CAIXA Std Book" w:hAnsi="CAIXA Std Book"/>
          <w:color w:val="005CA9"/>
          <w:sz w:val="20"/>
          <w:szCs w:val="20"/>
        </w:rPr>
        <w:t xml:space="preserve"> Os títulos adquiridos com compromisso de revenda são transferidos para a posição financiada quando utilizados para lastrear operações de venda com compromisso de recompra.</w:t>
      </w:r>
    </w:p>
    <w:p w14:paraId="7C4EADFA" w14:textId="77777777" w:rsidR="00F95C61" w:rsidRPr="00E20D21" w:rsidRDefault="00F95C61" w:rsidP="00F95C6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resultado com aplicações interfinanceiras de liquidez é obtido da despesa constituída nas operações compromissadas (diferença entre os valores de recompra e de venda) e da receita constituída nas operações de financiamentos concedidos por meio de lastro com títulos de renda fixa de terceiros (diferença entre os valores de revenda e de compra).</w:t>
      </w:r>
    </w:p>
    <w:p w14:paraId="106A18B6" w14:textId="46532A8C" w:rsidR="00F95C61" w:rsidRPr="00E20D21" w:rsidRDefault="00F95C61" w:rsidP="00F95C6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composição, os prazos e os rendimentos auferidos nas aplicações interfinanceiras de liquidez são apresentados na Nota Explicativa </w:t>
      </w:r>
      <w:r w:rsidR="007603F2" w:rsidRPr="00E20D21">
        <w:rPr>
          <w:rFonts w:ascii="CAIXA Std Book" w:hAnsi="CAIXA Std Book"/>
          <w:color w:val="005CA9"/>
          <w:sz w:val="20"/>
          <w:szCs w:val="20"/>
        </w:rPr>
        <w:t>5</w:t>
      </w:r>
      <w:r w:rsidRPr="00E20D21">
        <w:rPr>
          <w:rFonts w:ascii="CAIXA Std Book" w:hAnsi="CAIXA Std Book"/>
          <w:color w:val="005CA9"/>
          <w:sz w:val="20"/>
          <w:szCs w:val="20"/>
        </w:rPr>
        <w:t>.</w:t>
      </w:r>
    </w:p>
    <w:p w14:paraId="3468650B" w14:textId="77777777" w:rsidR="001E62D1" w:rsidRPr="00E20D21" w:rsidRDefault="001E62D1" w:rsidP="00C57B9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 xml:space="preserve">Títulos e valores mobiliários </w:t>
      </w:r>
    </w:p>
    <w:p w14:paraId="5EA6A1F3" w14:textId="6A9179D5"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títulos e valores mobiliários adquiridos para composição de carteira própria são registrados pelo valor efetivamente pago, em conformidade com a Circular </w:t>
      </w:r>
      <w:r w:rsidR="00FC561C" w:rsidRPr="00E20D21">
        <w:rPr>
          <w:rFonts w:ascii="CAIXA Std Book" w:hAnsi="CAIXA Std Book"/>
          <w:color w:val="005CA9"/>
          <w:sz w:val="20"/>
          <w:szCs w:val="20"/>
        </w:rPr>
        <w:t>BCB</w:t>
      </w:r>
      <w:r w:rsidRPr="00E20D21">
        <w:rPr>
          <w:rFonts w:ascii="CAIXA Std Book" w:hAnsi="CAIXA Std Book"/>
          <w:color w:val="005CA9"/>
          <w:sz w:val="20"/>
          <w:szCs w:val="20"/>
        </w:rPr>
        <w:t xml:space="preserve"> nº 3.068/2001, e são classificados em três categorias específicas, de acordo com a intenção da Administração:</w:t>
      </w:r>
    </w:p>
    <w:p w14:paraId="069A57DA" w14:textId="77777777" w:rsidR="001970F5" w:rsidRPr="00E20D21" w:rsidRDefault="001E62D1">
      <w:pPr>
        <w:pStyle w:val="PargrafodaLista"/>
        <w:numPr>
          <w:ilvl w:val="0"/>
          <w:numId w:val="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Títulos para negociação</w:t>
      </w:r>
      <w:r w:rsidRPr="00E20D21">
        <w:rPr>
          <w:rFonts w:ascii="CAIXA Std Book" w:hAnsi="CAIXA Std Book"/>
          <w:color w:val="005CA9"/>
          <w:sz w:val="20"/>
          <w:szCs w:val="20"/>
        </w:rPr>
        <w:t>: são adquiridos com o objetivo de serem ativa e frequentemente negociados, sendo ajustados a valor de mercado em contrapartida ao resultado do período;</w:t>
      </w:r>
    </w:p>
    <w:p w14:paraId="407E508C" w14:textId="39517FA3" w:rsidR="001E62D1" w:rsidRPr="00E20D21" w:rsidRDefault="001E62D1">
      <w:pPr>
        <w:pStyle w:val="PargrafodaLista"/>
        <w:numPr>
          <w:ilvl w:val="0"/>
          <w:numId w:val="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Títulos disponíveis para venda</w:t>
      </w:r>
      <w:r w:rsidRPr="00E20D21">
        <w:rPr>
          <w:rFonts w:ascii="CAIXA Std Book" w:hAnsi="CAIXA Std Book"/>
          <w:color w:val="005CA9"/>
          <w:sz w:val="20"/>
          <w:szCs w:val="20"/>
        </w:rPr>
        <w:t xml:space="preserve">: </w:t>
      </w:r>
      <w:r w:rsidR="00F92D9F" w:rsidRPr="00E20D21">
        <w:rPr>
          <w:rFonts w:ascii="CAIXA Std Book" w:hAnsi="CAIXA Std Book"/>
          <w:color w:val="005CA9"/>
          <w:sz w:val="20"/>
          <w:szCs w:val="20"/>
        </w:rPr>
        <w:t>são instrumentos que não se enquadrem nas categorias para negociação e mantidos até o vencimento</w:t>
      </w:r>
      <w:r w:rsidRPr="00E20D21">
        <w:rPr>
          <w:rFonts w:ascii="CAIXA Std Book" w:hAnsi="CAIXA Std Book"/>
          <w:color w:val="005CA9"/>
          <w:sz w:val="20"/>
          <w:szCs w:val="20"/>
        </w:rPr>
        <w:t xml:space="preserve">. São ajustados a valor de mercado, em contrapartida à conta de “Ajuste de </w:t>
      </w:r>
      <w:r w:rsidR="00FA6742" w:rsidRPr="00E20D21">
        <w:rPr>
          <w:rFonts w:ascii="CAIXA Std Book" w:hAnsi="CAIXA Std Book"/>
          <w:color w:val="005CA9"/>
          <w:sz w:val="20"/>
          <w:szCs w:val="20"/>
        </w:rPr>
        <w:t>A</w:t>
      </w:r>
      <w:r w:rsidRPr="00E20D21">
        <w:rPr>
          <w:rFonts w:ascii="CAIXA Std Book" w:hAnsi="CAIXA Std Book"/>
          <w:color w:val="005CA9"/>
          <w:sz w:val="20"/>
          <w:szCs w:val="20"/>
        </w:rPr>
        <w:t xml:space="preserve">valiação </w:t>
      </w:r>
      <w:r w:rsidR="00FA6742" w:rsidRPr="00E20D21">
        <w:rPr>
          <w:rFonts w:ascii="CAIXA Std Book" w:hAnsi="CAIXA Std Book"/>
          <w:color w:val="005CA9"/>
          <w:sz w:val="20"/>
          <w:szCs w:val="20"/>
        </w:rPr>
        <w:t>P</w:t>
      </w:r>
      <w:r w:rsidRPr="00E20D21">
        <w:rPr>
          <w:rFonts w:ascii="CAIXA Std Book" w:hAnsi="CAIXA Std Book"/>
          <w:color w:val="005CA9"/>
          <w:sz w:val="20"/>
          <w:szCs w:val="20"/>
        </w:rPr>
        <w:t>atrimonial” no patrimônio líquido, excluídos os efeitos tributários. As valorizações ou desvalorizações a valor de mercado são levadas ao resultado, pelo valor líquido dos efeitos tributários, quando das realizações dos respectivos títulos;</w:t>
      </w:r>
    </w:p>
    <w:p w14:paraId="48E4CFF1" w14:textId="77777777" w:rsidR="001E62D1" w:rsidRPr="00E20D21" w:rsidRDefault="001E62D1" w:rsidP="001E62D1">
      <w:pPr>
        <w:pStyle w:val="PargrafodaLista"/>
        <w:numPr>
          <w:ilvl w:val="0"/>
          <w:numId w:val="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Títulos mantidos até o vencimento</w:t>
      </w:r>
      <w:r w:rsidRPr="00E20D21">
        <w:rPr>
          <w:rFonts w:ascii="CAIXA Std Book" w:hAnsi="CAIXA Std Book"/>
          <w:color w:val="005CA9"/>
          <w:sz w:val="20"/>
          <w:szCs w:val="20"/>
        </w:rPr>
        <w:t xml:space="preserve">: adquiridos com intenção e capacidade financeira da instituição em mantê-los em carteira até o vencimento, sendo registrados pelo custo de aquisição ou pelo valor de mercado quando reclassificados de outra categoria. São acrescidos dos rendimentos auferidos, em contrapartida ao resultado do período, não sendo avaliados pelo valor de mercado. </w:t>
      </w:r>
    </w:p>
    <w:p w14:paraId="0D0A3C87" w14:textId="77777777"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rendimentos dos títulos, independentemente de sua classificação, são apropriados </w:t>
      </w:r>
      <w:r w:rsidRPr="00E20D21">
        <w:rPr>
          <w:rFonts w:ascii="CAIXA Std Book" w:hAnsi="CAIXA Std Book"/>
          <w:i/>
          <w:color w:val="005CA9"/>
          <w:sz w:val="20"/>
          <w:szCs w:val="20"/>
        </w:rPr>
        <w:t>pro rata die</w:t>
      </w:r>
      <w:r w:rsidRPr="00E20D21">
        <w:rPr>
          <w:rFonts w:ascii="CAIXA Std Book" w:hAnsi="CAIXA Std Book"/>
          <w:color w:val="005CA9"/>
          <w:sz w:val="20"/>
          <w:szCs w:val="20"/>
        </w:rPr>
        <w:t xml:space="preserve">, observando o regime de competência, com base nas suas cláusulas de remuneração, e registrados em conta de resultado. </w:t>
      </w:r>
    </w:p>
    <w:p w14:paraId="5CC0B0B4" w14:textId="77777777" w:rsidR="001E62D1" w:rsidRPr="00E20D21" w:rsidRDefault="001E62D1" w:rsidP="001E62D1">
      <w:pPr>
        <w:pStyle w:val="Normal3"/>
        <w:keepLines w:val="0"/>
        <w:numPr>
          <w:ilvl w:val="0"/>
          <w:numId w:val="0"/>
        </w:numPr>
        <w:spacing w:after="120"/>
        <w:outlineLvl w:val="9"/>
        <w:rPr>
          <w:rFonts w:ascii="CAIXA Std Book" w:hAnsi="CAIXA Std Book" w:cs="Arial Unicode MS"/>
          <w:b w:val="0"/>
          <w:caps w:val="0"/>
          <w:color w:val="005CA9"/>
          <w:spacing w:val="0"/>
          <w:sz w:val="20"/>
          <w:szCs w:val="20"/>
        </w:rPr>
      </w:pPr>
      <w:r w:rsidRPr="00E20D21">
        <w:rPr>
          <w:rFonts w:ascii="CAIXA Std Book" w:hAnsi="CAIXA Std Book" w:cs="Arial Unicode MS"/>
          <w:b w:val="0"/>
          <w:caps w:val="0"/>
          <w:color w:val="005CA9"/>
          <w:spacing w:val="0"/>
          <w:sz w:val="20"/>
          <w:szCs w:val="20"/>
        </w:rPr>
        <w:t>As perdas com títulos disponíveis para venda e títulos mantidos até o vencimento, que não sejam consideradas temporárias, são reconhecidas no resultado do período como perdas realizadas.</w:t>
      </w:r>
    </w:p>
    <w:p w14:paraId="08FDE949" w14:textId="6747C2EE" w:rsidR="001E62D1" w:rsidRPr="00E20D21" w:rsidRDefault="001E62D1" w:rsidP="001E62D1">
      <w:pPr>
        <w:spacing w:before="120" w:after="120"/>
        <w:jc w:val="both"/>
        <w:rPr>
          <w:rFonts w:ascii="CAIXA Std Book" w:hAnsi="CAIXA Std Book"/>
          <w:color w:val="005CA9"/>
          <w:sz w:val="20"/>
        </w:rPr>
      </w:pPr>
      <w:r w:rsidRPr="00E20D21">
        <w:rPr>
          <w:rFonts w:ascii="CAIXA Std Book" w:hAnsi="CAIXA Std Book"/>
          <w:color w:val="005CA9"/>
          <w:sz w:val="20"/>
          <w:szCs w:val="20"/>
        </w:rPr>
        <w:t>A classificação, composição e segmentação dos títulos e valores mobiliários são apresentadas na Nota Explicativa 7.</w:t>
      </w:r>
    </w:p>
    <w:p w14:paraId="0FEB55E3" w14:textId="27AE40ED" w:rsidR="001E62D1" w:rsidRPr="00E20D21" w:rsidRDefault="001E62D1" w:rsidP="00C57B9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Instrumentos financeiros derivativos</w:t>
      </w:r>
    </w:p>
    <w:p w14:paraId="3F62ED2C" w14:textId="7DE1DDE0" w:rsidR="001E62D1" w:rsidRPr="00E20D21" w:rsidRDefault="001E62D1" w:rsidP="00A23B26">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A CAIXA utiliza instrumentos financeiros derivativos com a finalidade de </w:t>
      </w:r>
      <w:r w:rsidRPr="00E20D21">
        <w:rPr>
          <w:rFonts w:ascii="CAIXA Std Book" w:hAnsi="CAIXA Std Book"/>
          <w:i/>
          <w:color w:val="005CA9"/>
          <w:sz w:val="20"/>
          <w:szCs w:val="20"/>
        </w:rPr>
        <w:t>hedge</w:t>
      </w:r>
      <w:r w:rsidRPr="00E20D21">
        <w:rPr>
          <w:rFonts w:ascii="CAIXA Std Book" w:hAnsi="CAIXA Std Book"/>
          <w:color w:val="005CA9"/>
          <w:sz w:val="20"/>
          <w:szCs w:val="20"/>
        </w:rPr>
        <w:t xml:space="preserve"> (contábil ou financeiro), direcional, arbitragem ou obtenção de benefícios dos movimentos de preços efetivos ou esperados, contabilizados conforme a Circular B</w:t>
      </w:r>
      <w:r w:rsidR="00FC561C" w:rsidRPr="00E20D21">
        <w:rPr>
          <w:rFonts w:ascii="CAIXA Std Book" w:hAnsi="CAIXA Std Book"/>
          <w:color w:val="005CA9"/>
          <w:sz w:val="20"/>
          <w:szCs w:val="20"/>
        </w:rPr>
        <w:t>CB</w:t>
      </w:r>
      <w:r w:rsidRPr="00E20D21">
        <w:rPr>
          <w:rFonts w:ascii="CAIXA Std Book" w:hAnsi="CAIXA Std Book"/>
          <w:color w:val="005CA9"/>
          <w:sz w:val="20"/>
          <w:szCs w:val="20"/>
        </w:rPr>
        <w:t xml:space="preserve"> n° 3.082/2002.</w:t>
      </w:r>
    </w:p>
    <w:p w14:paraId="5131923E" w14:textId="77777777" w:rsidR="001E62D1" w:rsidRPr="00E20D21" w:rsidRDefault="001E62D1" w:rsidP="00A23B26">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Os ajustes são contabilizados pelo valor de mercado e mantidos como ativos, quando positivos, e como passivos, quando negativos. São reavaliados subsequentemente também a valor de mercado com as valorizações ou desvalorizações reconhecidas diretamente no resultado do período.</w:t>
      </w:r>
    </w:p>
    <w:p w14:paraId="75C42585" w14:textId="77777777" w:rsidR="001E62D1" w:rsidRPr="00E20D21" w:rsidRDefault="001E62D1" w:rsidP="00A23B26">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lastRenderedPageBreak/>
        <w:t xml:space="preserve">Os instrumentos financeiros derivativos utilizados para compensar, no todo ou em parte, os riscos provenientes de variações cambiais e variações nas taxas de juros e impostos de passivos financeiros qualificados para </w:t>
      </w:r>
      <w:r w:rsidRPr="00E20D21">
        <w:rPr>
          <w:rFonts w:ascii="CAIXA Std Book" w:hAnsi="CAIXA Std Book"/>
          <w:i/>
          <w:color w:val="005CA9"/>
          <w:sz w:val="20"/>
          <w:szCs w:val="20"/>
        </w:rPr>
        <w:t>hedge</w:t>
      </w:r>
      <w:r w:rsidRPr="00E20D21">
        <w:rPr>
          <w:rFonts w:ascii="CAIXA Std Book" w:hAnsi="CAIXA Std Book"/>
          <w:color w:val="005CA9"/>
          <w:sz w:val="20"/>
          <w:szCs w:val="20"/>
        </w:rPr>
        <w:t xml:space="preserve"> contábil são classificados como </w:t>
      </w:r>
      <w:r w:rsidRPr="00E20D21">
        <w:rPr>
          <w:rFonts w:ascii="CAIXA Std Book" w:hAnsi="CAIXA Std Book"/>
          <w:i/>
          <w:color w:val="005CA9"/>
          <w:sz w:val="20"/>
          <w:szCs w:val="20"/>
        </w:rPr>
        <w:t>Hedge</w:t>
      </w:r>
      <w:r w:rsidRPr="00E20D21">
        <w:rPr>
          <w:rFonts w:ascii="CAIXA Std Book" w:hAnsi="CAIXA Std Book"/>
          <w:color w:val="005CA9"/>
          <w:sz w:val="20"/>
          <w:szCs w:val="20"/>
        </w:rPr>
        <w:t xml:space="preserve"> de Risco de Mercado. Os instrumentos financeiros classificados nesta categoria, bem como os ativos e passivos financeiros relacionados, são ajustados ao valor de mercado com os ganhos e as perdas, reconhecidos diretamente na demonstração do resultado.</w:t>
      </w:r>
    </w:p>
    <w:p w14:paraId="64D0C0FC" w14:textId="00E046B9" w:rsidR="001E62D1" w:rsidRPr="00E20D21" w:rsidRDefault="001E62D1" w:rsidP="00A23B26">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A composição dos valores registrados em instrumentos financeiros derivativos, tanto em contas patrimoniais quanto em contas de compensação, é apresentada na Nota Explicativa </w:t>
      </w:r>
      <w:r w:rsidR="00BF2D7F" w:rsidRPr="00E20D21">
        <w:rPr>
          <w:rFonts w:ascii="CAIXA Std Book" w:hAnsi="CAIXA Std Book"/>
          <w:color w:val="005CA9"/>
          <w:sz w:val="20"/>
          <w:szCs w:val="20"/>
        </w:rPr>
        <w:t>8</w:t>
      </w:r>
      <w:r w:rsidRPr="00E20D21">
        <w:rPr>
          <w:rFonts w:ascii="CAIXA Std Book" w:hAnsi="CAIXA Std Book"/>
          <w:color w:val="005CA9"/>
          <w:sz w:val="20"/>
          <w:szCs w:val="20"/>
        </w:rPr>
        <w:t>.</w:t>
      </w:r>
    </w:p>
    <w:p w14:paraId="378873B7" w14:textId="77777777" w:rsidR="001E62D1" w:rsidRPr="00E20D21" w:rsidRDefault="001E62D1" w:rsidP="00C57B9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Determinação do valor de mercado de instrumentos financeiros</w:t>
      </w:r>
    </w:p>
    <w:p w14:paraId="753800B9" w14:textId="3A768703" w:rsidR="001E62D1" w:rsidRPr="00E20D21" w:rsidRDefault="001E62D1" w:rsidP="001E62D1">
      <w:pPr>
        <w:spacing w:before="120" w:after="120"/>
        <w:jc w:val="both"/>
        <w:rPr>
          <w:rFonts w:ascii="CAIXA Std Book" w:hAnsi="CAIXA Std Book"/>
          <w:color w:val="005CA9"/>
          <w:sz w:val="20"/>
          <w:szCs w:val="20"/>
        </w:rPr>
      </w:pPr>
      <w:bookmarkStart w:id="20" w:name="_Hlk47640736"/>
      <w:r w:rsidRPr="00E20D21">
        <w:rPr>
          <w:rFonts w:ascii="CAIXA Std Book" w:hAnsi="CAIXA Std Book"/>
          <w:color w:val="005CA9"/>
          <w:sz w:val="20"/>
          <w:szCs w:val="20"/>
        </w:rPr>
        <w:t>O valor de mercado é estabelecido com</w:t>
      </w:r>
      <w:r w:rsidR="00FA6742" w:rsidRPr="00E20D21">
        <w:rPr>
          <w:rFonts w:ascii="CAIXA Std Book" w:hAnsi="CAIXA Std Book"/>
          <w:color w:val="005CA9"/>
          <w:sz w:val="20"/>
          <w:szCs w:val="20"/>
        </w:rPr>
        <w:t xml:space="preserve"> a</w:t>
      </w:r>
      <w:r w:rsidRPr="00E20D21">
        <w:rPr>
          <w:rFonts w:ascii="CAIXA Std Book" w:hAnsi="CAIXA Std Book"/>
          <w:color w:val="005CA9"/>
          <w:sz w:val="20"/>
          <w:szCs w:val="20"/>
        </w:rPr>
        <w:t xml:space="preserve"> observância </w:t>
      </w:r>
      <w:r w:rsidR="00FA6742" w:rsidRPr="00E20D21">
        <w:rPr>
          <w:rFonts w:ascii="CAIXA Std Book" w:hAnsi="CAIXA Std Book"/>
          <w:color w:val="005CA9"/>
          <w:sz w:val="20"/>
          <w:szCs w:val="20"/>
        </w:rPr>
        <w:t>de</w:t>
      </w:r>
      <w:r w:rsidRPr="00E20D21">
        <w:rPr>
          <w:rFonts w:ascii="CAIXA Std Book" w:hAnsi="CAIXA Std Book"/>
          <w:color w:val="005CA9"/>
          <w:sz w:val="20"/>
          <w:szCs w:val="20"/>
        </w:rPr>
        <w:t xml:space="preserve"> critérios consistentes e verificáveis, que levam em consideração o preço de negociação dos instrumentos financeiros na data de apuração ou, na falta desse, cotações de preços de mercado para ativos ou passivos com características semelhantes. Caso esse também não esteja disponível, o valor de mercado é obtido por cotações com operadores de mercado ou modelos de valorização que podem requerer julgamento pela Administração.</w:t>
      </w:r>
    </w:p>
    <w:p w14:paraId="0080AC3A" w14:textId="77777777"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valor de mercado de instrumentos financeiros negociados em mercados ativos na data-base do balanço é baseado no preço de mercado sem nenhuma dedução de custo de transação. </w:t>
      </w:r>
    </w:p>
    <w:p w14:paraId="635BD9A7" w14:textId="1459F240" w:rsidR="00F95C61" w:rsidRPr="00E20D21" w:rsidRDefault="00F95C61" w:rsidP="00F95C6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marcação a mercado dos títulos e valores mobiliários são registradas conforme Circular B</w:t>
      </w:r>
      <w:r w:rsidR="00FC561C" w:rsidRPr="00E20D21">
        <w:rPr>
          <w:rFonts w:ascii="CAIXA Std Book" w:hAnsi="CAIXA Std Book"/>
          <w:color w:val="005CA9"/>
          <w:sz w:val="20"/>
          <w:szCs w:val="20"/>
        </w:rPr>
        <w:t>CB</w:t>
      </w:r>
      <w:r w:rsidRPr="00E20D21">
        <w:rPr>
          <w:rFonts w:ascii="CAIXA Std Book" w:hAnsi="CAIXA Std Book"/>
          <w:color w:val="005CA9"/>
          <w:sz w:val="20"/>
          <w:szCs w:val="20"/>
        </w:rPr>
        <w:t xml:space="preserve"> nº 3.068/2001. Seguindo as melhores práticas contábeis, o valor dos instrumentos financeiros deve ser com base no valor justo, que consiste no preço que seria recebido pela venda de um ativo ou que seria pago pela transferência de um passivo em uma transação ordenada entre participantes do mercado na data de mensuração. </w:t>
      </w:r>
    </w:p>
    <w:p w14:paraId="55B9B86E" w14:textId="77777777" w:rsidR="00F95C61" w:rsidRPr="00E20D21" w:rsidRDefault="00F95C61" w:rsidP="00F95C6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Sob condições normais, os preços cotados de mercado são os melhores indicadores dos valores justos para ativos financeiros mantidos para negociação (inclusive derivativos - ativos e passivos), ativos financeiros designados ao valor justo através do resultado, ativos financeiros disponíveis para venda e ativos financeiros mantidos até o vencimento. Entretanto, nem todos os instrumentos possuem liquidez ou cotações e, nesses casos, faz-se necessário a adoção das estimativas de valor presente e outras técnicas para definição de preço. </w:t>
      </w:r>
    </w:p>
    <w:p w14:paraId="50E53451" w14:textId="77777777" w:rsidR="00F95C61" w:rsidRPr="00E20D21" w:rsidRDefault="00F95C61" w:rsidP="00F95C6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valores justos dos títulos públicos são apurados com base nas taxas indicativas fornecidas pela Associação Brasileira das Entidades dos Mercados Financeiro e de Capitais - </w:t>
      </w:r>
      <w:proofErr w:type="spellStart"/>
      <w:r w:rsidRPr="00E20D21">
        <w:rPr>
          <w:rFonts w:ascii="CAIXA Std Book" w:hAnsi="CAIXA Std Book"/>
          <w:color w:val="005CA9"/>
          <w:sz w:val="20"/>
          <w:szCs w:val="20"/>
        </w:rPr>
        <w:t>Anbima</w:t>
      </w:r>
      <w:proofErr w:type="spellEnd"/>
      <w:r w:rsidRPr="00E20D21">
        <w:rPr>
          <w:rFonts w:ascii="CAIXA Std Book" w:hAnsi="CAIXA Std Book"/>
          <w:color w:val="005CA9"/>
          <w:sz w:val="20"/>
          <w:szCs w:val="20"/>
        </w:rPr>
        <w:t>.</w:t>
      </w:r>
    </w:p>
    <w:p w14:paraId="0414F7E6" w14:textId="77777777" w:rsidR="00C21D4C" w:rsidRPr="00E20D21" w:rsidRDefault="00C21D4C" w:rsidP="00C21D4C">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valores de ações são apurados com base em seus preços cotados de mercado. </w:t>
      </w:r>
    </w:p>
    <w:p w14:paraId="5B123F19" w14:textId="11EAB061" w:rsidR="00F95C61" w:rsidRPr="00E20D21" w:rsidRDefault="00C21D4C" w:rsidP="00F95C6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w:t>
      </w:r>
      <w:r w:rsidR="00F95C61" w:rsidRPr="00E20D21">
        <w:rPr>
          <w:rFonts w:ascii="CAIXA Std Book" w:hAnsi="CAIXA Std Book"/>
          <w:color w:val="005CA9"/>
          <w:sz w:val="20"/>
          <w:szCs w:val="20"/>
        </w:rPr>
        <w:t xml:space="preserve"> instrumentos derivativos do tipo swaps são descontados a valor presente com base em curvas de rentabilidade que refletem os fatores apropriados de risco. Essas curvas de rentabilidade podem ser traçadas principalmente com base nos preços de troca de derivativos na B3, de títulos públicos brasileiros no mercado secundário ou de derivativos e títulos e valores mobiliários negociados no exterior, e podem ser utilizadas para obter o valor </w:t>
      </w:r>
      <w:r w:rsidRPr="00E20D21">
        <w:rPr>
          <w:rFonts w:ascii="CAIXA Std Book" w:hAnsi="CAIXA Std Book"/>
          <w:color w:val="005CA9"/>
          <w:sz w:val="20"/>
          <w:szCs w:val="20"/>
        </w:rPr>
        <w:t>de mercado</w:t>
      </w:r>
      <w:r w:rsidR="00F95C61" w:rsidRPr="00E20D21">
        <w:rPr>
          <w:rFonts w:ascii="CAIXA Std Book" w:hAnsi="CAIXA Std Book"/>
          <w:color w:val="005CA9"/>
          <w:sz w:val="20"/>
          <w:szCs w:val="20"/>
        </w:rPr>
        <w:t xml:space="preserve"> de swaps de moeda, swaps de taxa de juros e swaps com base em outros fatores de risco como commodities e índices de bolsas. </w:t>
      </w:r>
    </w:p>
    <w:bookmarkEnd w:id="20"/>
    <w:p w14:paraId="3156157C" w14:textId="217A5C97" w:rsidR="001E62D1" w:rsidRPr="00E20D21" w:rsidRDefault="001E62D1" w:rsidP="00C57B9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Carteira de crédito e provisão para perdas esperadas associadas ao risco de crédito</w:t>
      </w:r>
    </w:p>
    <w:p w14:paraId="3765F8FF" w14:textId="77777777" w:rsidR="001E62D1" w:rsidRPr="00E20D21" w:rsidRDefault="001E62D1" w:rsidP="0062418C">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As operações de crédito, adiantamentos sobre contratos de câmbio e outros créditos com características de concessão de crédito são classificados em nove níveis de risco, </w:t>
      </w:r>
      <w:r w:rsidR="007008D1" w:rsidRPr="00E20D21">
        <w:rPr>
          <w:rFonts w:ascii="CAIXA Std Book" w:hAnsi="CAIXA Std Book"/>
          <w:color w:val="005CA9"/>
          <w:sz w:val="20"/>
          <w:szCs w:val="20"/>
        </w:rPr>
        <w:t xml:space="preserve">do “AA” ao “H”, sendo </w:t>
      </w:r>
      <w:r w:rsidRPr="00E20D21">
        <w:rPr>
          <w:rFonts w:ascii="CAIXA Std Book" w:hAnsi="CAIXA Std Book"/>
          <w:color w:val="005CA9"/>
          <w:sz w:val="20"/>
          <w:szCs w:val="20"/>
        </w:rPr>
        <w:t>“AA” (risco mínimo) e “H” (risco máximo), de acordo com os parâmetros estabelecidos pela Resolução CMN nº 2.682/1999 e observando a avaliação periódica da Administração, que considera a conjuntura econômica, a experiência passada e os riscos específicos e globais em relação às operações, aos devedores e aos garantidores.</w:t>
      </w:r>
    </w:p>
    <w:p w14:paraId="5E0E2DDE" w14:textId="77777777" w:rsidR="001E62D1" w:rsidRPr="00E20D21" w:rsidRDefault="001E62D1" w:rsidP="0062418C">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lastRenderedPageBreak/>
        <w:t>A atualização das operações de crédito vencidas até o 59º dia é contabilizada em receitas de operações de crédito e, a partir do 60° dia, somente serão reconhecidas como receita quando efetivamente recebidas.</w:t>
      </w:r>
    </w:p>
    <w:p w14:paraId="388F7056" w14:textId="32A69592" w:rsidR="00BC02B4" w:rsidRPr="00E20D21" w:rsidRDefault="00AB41A2" w:rsidP="0062418C">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Para a</w:t>
      </w:r>
      <w:r w:rsidR="00BC02B4" w:rsidRPr="00E20D21">
        <w:rPr>
          <w:rFonts w:ascii="CAIXA Std Book" w:hAnsi="CAIXA Std Book"/>
          <w:color w:val="005CA9"/>
          <w:sz w:val="20"/>
          <w:szCs w:val="20"/>
        </w:rPr>
        <w:t>s operações anormais com prazo a decorrer superior a 36 meses, é realizada a contagem em dobro sobre os intervalos de atraso definidos para os nove níveis de risco, conforme facultado pela Resolução CMN nº 2.682/1999.</w:t>
      </w:r>
    </w:p>
    <w:p w14:paraId="610298AE" w14:textId="77777777" w:rsidR="009B025D" w:rsidRPr="00E20D21" w:rsidRDefault="001E62D1" w:rsidP="0062418C">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As operações classificadas como nível de risco “H” há mais de 6 meses e com atraso superior a 180 dias são baixadas contra a provisão e controladas, por no mínimo cinco anos, em contas de compensação.</w:t>
      </w:r>
    </w:p>
    <w:p w14:paraId="3BA82ECB" w14:textId="17038F0E" w:rsidR="001E62D1" w:rsidRPr="00E20D21" w:rsidRDefault="001E62D1" w:rsidP="0062418C">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As operações renegociadas são mantidas, no mínimo, no mesmo nível de risco em que estavam classificadas no momento da renegociação. As renegociações de operações que já haviam sido baixadas para prejuízo e que estavam controladas em contas de compensação são classificadas como de risco nível “H”. Quando ocorrer amortização significativa da operação ou quando fatos novos relevantes justificarem a mudança do nível de risco, haverá a reclassificação da operação para categoria de menor risco. Os eventuais ganhos oriundos da renegociação somente são reconhecidos quando efetivamente recebidos.</w:t>
      </w:r>
    </w:p>
    <w:p w14:paraId="3E17E495" w14:textId="57221559" w:rsidR="001E62D1" w:rsidRPr="00E20D21" w:rsidRDefault="001E62D1" w:rsidP="0062418C">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 provisão para perdas esperadas associadas ao risco de crédito é apurada em valor suficiente para cobrir prováveis perdas, conforme as normas e instruções do CMN e do B</w:t>
      </w:r>
      <w:r w:rsidR="00FC561C" w:rsidRPr="00E20D21">
        <w:rPr>
          <w:rFonts w:ascii="CAIXA Std Book" w:hAnsi="CAIXA Std Book"/>
          <w:color w:val="005CA9"/>
          <w:sz w:val="20"/>
          <w:szCs w:val="20"/>
        </w:rPr>
        <w:t>acen</w:t>
      </w:r>
      <w:r w:rsidRPr="00E20D21">
        <w:rPr>
          <w:rFonts w:ascii="CAIXA Std Book" w:hAnsi="CAIXA Std Book"/>
          <w:color w:val="005CA9"/>
          <w:sz w:val="20"/>
          <w:szCs w:val="20"/>
        </w:rPr>
        <w:t>, associadas às avaliações procedidas pela Administração quanto à classificação do risco de crédito.</w:t>
      </w:r>
    </w:p>
    <w:p w14:paraId="35A902DE" w14:textId="77777777" w:rsidR="001E62D1" w:rsidRPr="00E20D21" w:rsidRDefault="001E62D1" w:rsidP="0062418C">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De acordo com os parâmetros estabelecidos pela Resolução CMN nº 3.533/2008, as cessões de operações de crédito com retenção substancial dos riscos e benefícios permanecem registradas no ativo como “Operações de crédito”. Os recursos recebidos por meio de contratos de cessão são registrados no ativo com a contrapartida no passivo, em função da obrigação assumida. As receitas e despesas referentes às cessões de crédito realizadas são reconhecidas no resultado, conforme prazo remanescente das operações.</w:t>
      </w:r>
    </w:p>
    <w:p w14:paraId="1A09A435" w14:textId="73B86055" w:rsidR="008604B4" w:rsidRPr="00E20D21" w:rsidRDefault="001E62D1" w:rsidP="0062418C">
      <w:pPr>
        <w:pStyle w:val="PargrafodaLista"/>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As modalidades, os valores, os prazos, os níveis de risco, a concentração, a participação dos setores de atividade econômica, as renegociações e as receitas das operações de crédito, assim como a composição das despesas e das contas patrimoniais de provisão para perdas esperadas associadas ao risco de crédito</w:t>
      </w:r>
      <w:r w:rsidR="007008D1" w:rsidRPr="00E20D21">
        <w:rPr>
          <w:rFonts w:ascii="CAIXA Std Book" w:hAnsi="CAIXA Std Book"/>
          <w:color w:val="005CA9"/>
          <w:sz w:val="20"/>
          <w:szCs w:val="20"/>
        </w:rPr>
        <w:t>,</w:t>
      </w:r>
      <w:r w:rsidRPr="00E20D21">
        <w:rPr>
          <w:rFonts w:ascii="CAIXA Std Book" w:hAnsi="CAIXA Std Book"/>
          <w:color w:val="005CA9"/>
          <w:sz w:val="20"/>
          <w:szCs w:val="20"/>
        </w:rPr>
        <w:t xml:space="preserve"> são </w:t>
      </w:r>
      <w:r w:rsidR="0062418C" w:rsidRPr="00E20D21">
        <w:rPr>
          <w:rFonts w:ascii="CAIXA Std Book" w:hAnsi="CAIXA Std Book"/>
          <w:color w:val="005CA9"/>
          <w:sz w:val="20"/>
          <w:szCs w:val="20"/>
        </w:rPr>
        <w:t>apresentadas</w:t>
      </w:r>
      <w:r w:rsidRPr="00E20D21">
        <w:rPr>
          <w:rFonts w:ascii="CAIXA Std Book" w:hAnsi="CAIXA Std Book"/>
          <w:color w:val="005CA9"/>
          <w:sz w:val="20"/>
          <w:szCs w:val="20"/>
        </w:rPr>
        <w:t xml:space="preserve"> na Nota Explicativa </w:t>
      </w:r>
      <w:r w:rsidR="00872E8C" w:rsidRPr="00E20D21">
        <w:rPr>
          <w:rFonts w:ascii="CAIXA Std Book" w:hAnsi="CAIXA Std Book"/>
          <w:color w:val="005CA9"/>
          <w:sz w:val="20"/>
          <w:szCs w:val="20"/>
        </w:rPr>
        <w:t>9</w:t>
      </w:r>
      <w:r w:rsidRPr="00E20D21">
        <w:rPr>
          <w:rFonts w:ascii="CAIXA Std Book" w:hAnsi="CAIXA Std Book"/>
          <w:color w:val="005CA9"/>
          <w:sz w:val="20"/>
          <w:szCs w:val="20"/>
        </w:rPr>
        <w:t>.</w:t>
      </w:r>
    </w:p>
    <w:p w14:paraId="0E13BBD4" w14:textId="04BB8463" w:rsidR="00C80775" w:rsidRPr="00E20D21" w:rsidRDefault="00C80775" w:rsidP="00C80775">
      <w:pPr>
        <w:keepNext/>
        <w:numPr>
          <w:ilvl w:val="0"/>
          <w:numId w:val="7"/>
        </w:numPr>
        <w:spacing w:before="240" w:after="240"/>
        <w:ind w:left="567" w:hanging="567"/>
        <w:jc w:val="both"/>
        <w:rPr>
          <w:rFonts w:ascii="CAIXA Std Book" w:hAnsi="CAIXA Std Book"/>
          <w:b/>
          <w:color w:val="005CA9"/>
          <w:sz w:val="20"/>
          <w:szCs w:val="20"/>
        </w:rPr>
      </w:pPr>
      <w:bookmarkStart w:id="21" w:name="_Hlk61350063"/>
      <w:bookmarkStart w:id="22" w:name="_Hlk70618986"/>
      <w:bookmarkStart w:id="23" w:name="_Hlk61367603"/>
      <w:r w:rsidRPr="00E20D21">
        <w:rPr>
          <w:rFonts w:ascii="CAIXA Std Book" w:hAnsi="CAIXA Std Book"/>
          <w:b/>
          <w:color w:val="005CA9"/>
          <w:sz w:val="20"/>
          <w:szCs w:val="20"/>
        </w:rPr>
        <w:t xml:space="preserve">Tributos </w:t>
      </w:r>
    </w:p>
    <w:bookmarkEnd w:id="21"/>
    <w:bookmarkEnd w:id="22"/>
    <w:p w14:paraId="26197283" w14:textId="77777777" w:rsidR="00C80775" w:rsidRPr="00E20D21" w:rsidRDefault="00C80775" w:rsidP="00C80775">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tributos aplicáveis à CAIXA e suas subsidiárias são apurados com base nas alíquotas apresentadas no quadro abaixo:</w:t>
      </w:r>
    </w:p>
    <w:tbl>
      <w:tblPr>
        <w:tblW w:w="5000" w:type="pct"/>
        <w:tblCellMar>
          <w:left w:w="70" w:type="dxa"/>
          <w:right w:w="70" w:type="dxa"/>
        </w:tblCellMar>
        <w:tblLook w:val="04A0" w:firstRow="1" w:lastRow="0" w:firstColumn="1" w:lastColumn="0" w:noHBand="0" w:noVBand="1"/>
      </w:tblPr>
      <w:tblGrid>
        <w:gridCol w:w="8177"/>
        <w:gridCol w:w="1461"/>
      </w:tblGrid>
      <w:tr w:rsidR="00A47C19" w:rsidRPr="00E20D21" w14:paraId="45A3BB4D" w14:textId="77777777" w:rsidTr="00C80775">
        <w:trPr>
          <w:trHeight w:val="255"/>
        </w:trPr>
        <w:tc>
          <w:tcPr>
            <w:tcW w:w="4242" w:type="pct"/>
            <w:tcBorders>
              <w:top w:val="single" w:sz="4" w:space="0" w:color="F39200"/>
              <w:left w:val="nil"/>
              <w:bottom w:val="single" w:sz="4" w:space="0" w:color="F39200"/>
              <w:right w:val="nil"/>
            </w:tcBorders>
            <w:vAlign w:val="center"/>
            <w:hideMark/>
          </w:tcPr>
          <w:p w14:paraId="394AC270" w14:textId="77777777" w:rsidR="00C80775" w:rsidRPr="00E20D21" w:rsidRDefault="00C80775">
            <w:pPr>
              <w:spacing w:line="256" w:lineRule="auto"/>
              <w:jc w:val="center"/>
              <w:rPr>
                <w:rFonts w:ascii="CAIXA Std Book" w:eastAsia="Times New Roman" w:hAnsi="CAIXA Std Book" w:cs="Calibri"/>
                <w:b/>
                <w:bCs/>
                <w:color w:val="005CA9"/>
                <w:sz w:val="18"/>
                <w:szCs w:val="18"/>
                <w:lang w:eastAsia="en-US"/>
              </w:rPr>
            </w:pPr>
            <w:r w:rsidRPr="00E20D21">
              <w:rPr>
                <w:rFonts w:ascii="CAIXA Std Book" w:eastAsia="Times New Roman" w:hAnsi="CAIXA Std Book" w:cs="Calibri"/>
                <w:b/>
                <w:bCs/>
                <w:color w:val="005CA9"/>
                <w:sz w:val="18"/>
                <w:szCs w:val="18"/>
                <w:lang w:eastAsia="en-US"/>
              </w:rPr>
              <w:t>Tributos</w:t>
            </w:r>
          </w:p>
        </w:tc>
        <w:tc>
          <w:tcPr>
            <w:tcW w:w="758" w:type="pct"/>
            <w:tcBorders>
              <w:top w:val="single" w:sz="4" w:space="0" w:color="F39200"/>
              <w:left w:val="nil"/>
              <w:bottom w:val="single" w:sz="4" w:space="0" w:color="F39200"/>
              <w:right w:val="nil"/>
            </w:tcBorders>
            <w:vAlign w:val="center"/>
            <w:hideMark/>
          </w:tcPr>
          <w:p w14:paraId="04121B08" w14:textId="77777777" w:rsidR="00C80775" w:rsidRPr="00E20D21" w:rsidRDefault="00C80775">
            <w:pPr>
              <w:spacing w:line="256" w:lineRule="auto"/>
              <w:jc w:val="center"/>
              <w:rPr>
                <w:rFonts w:ascii="CAIXA Std Book" w:eastAsia="Times New Roman" w:hAnsi="CAIXA Std Book" w:cs="Calibri"/>
                <w:b/>
                <w:bCs/>
                <w:color w:val="005CA9"/>
                <w:sz w:val="18"/>
                <w:szCs w:val="18"/>
                <w:lang w:eastAsia="en-US"/>
              </w:rPr>
            </w:pPr>
            <w:r w:rsidRPr="00E20D21">
              <w:rPr>
                <w:rFonts w:ascii="CAIXA Std Book" w:eastAsia="Times New Roman" w:hAnsi="CAIXA Std Book" w:cs="Calibri"/>
                <w:b/>
                <w:bCs/>
                <w:color w:val="005CA9"/>
                <w:sz w:val="18"/>
                <w:szCs w:val="18"/>
                <w:lang w:eastAsia="en-US"/>
              </w:rPr>
              <w:t>Alíquota</w:t>
            </w:r>
          </w:p>
        </w:tc>
      </w:tr>
      <w:tr w:rsidR="00A47C19" w:rsidRPr="00E20D21" w14:paraId="34671689" w14:textId="77777777" w:rsidTr="00C80775">
        <w:trPr>
          <w:trHeight w:val="255"/>
        </w:trPr>
        <w:tc>
          <w:tcPr>
            <w:tcW w:w="4242" w:type="pct"/>
            <w:vAlign w:val="center"/>
            <w:hideMark/>
          </w:tcPr>
          <w:p w14:paraId="3555580F" w14:textId="77777777" w:rsidR="00C80775" w:rsidRPr="00E20D21" w:rsidRDefault="00C80775">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Imposto de Renda (15,00% + adicional de 10,00%)</w:t>
            </w:r>
          </w:p>
        </w:tc>
        <w:tc>
          <w:tcPr>
            <w:tcW w:w="758" w:type="pct"/>
            <w:vAlign w:val="center"/>
            <w:hideMark/>
          </w:tcPr>
          <w:p w14:paraId="261FFE2F" w14:textId="77777777" w:rsidR="00C80775" w:rsidRPr="00E20D21" w:rsidRDefault="00C80775">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25%</w:t>
            </w:r>
          </w:p>
        </w:tc>
      </w:tr>
      <w:tr w:rsidR="00A47C19" w:rsidRPr="00E20D21" w14:paraId="4B80AB18" w14:textId="77777777" w:rsidTr="00C80775">
        <w:trPr>
          <w:trHeight w:val="255"/>
        </w:trPr>
        <w:tc>
          <w:tcPr>
            <w:tcW w:w="4242" w:type="pct"/>
            <w:vAlign w:val="center"/>
            <w:hideMark/>
          </w:tcPr>
          <w:p w14:paraId="71D847DB" w14:textId="77777777" w:rsidR="00C80775" w:rsidRPr="00E20D21" w:rsidRDefault="00C80775">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Contribuição Social sobre o Lucro Líquido - CSLL (1)</w:t>
            </w:r>
          </w:p>
        </w:tc>
        <w:tc>
          <w:tcPr>
            <w:tcW w:w="758" w:type="pct"/>
            <w:vAlign w:val="center"/>
            <w:hideMark/>
          </w:tcPr>
          <w:p w14:paraId="11497E58" w14:textId="77777777" w:rsidR="00C80775" w:rsidRPr="00E20D21" w:rsidRDefault="00C80775">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20%</w:t>
            </w:r>
          </w:p>
        </w:tc>
      </w:tr>
      <w:tr w:rsidR="00A47C19" w:rsidRPr="00E20D21" w14:paraId="1D967F4A" w14:textId="77777777" w:rsidTr="00C80775">
        <w:trPr>
          <w:trHeight w:val="255"/>
        </w:trPr>
        <w:tc>
          <w:tcPr>
            <w:tcW w:w="4242" w:type="pct"/>
            <w:vAlign w:val="center"/>
            <w:hideMark/>
          </w:tcPr>
          <w:p w14:paraId="2230893E" w14:textId="77777777" w:rsidR="00C80775" w:rsidRPr="00E20D21" w:rsidRDefault="00C80775">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PIS/Pasep (2)</w:t>
            </w:r>
          </w:p>
        </w:tc>
        <w:tc>
          <w:tcPr>
            <w:tcW w:w="758" w:type="pct"/>
            <w:vAlign w:val="center"/>
            <w:hideMark/>
          </w:tcPr>
          <w:p w14:paraId="3B0DDAFA" w14:textId="77777777" w:rsidR="00C80775" w:rsidRPr="00E20D21" w:rsidRDefault="00C80775">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0,65%</w:t>
            </w:r>
          </w:p>
        </w:tc>
      </w:tr>
      <w:tr w:rsidR="00A47C19" w:rsidRPr="00E20D21" w14:paraId="0912B7C8" w14:textId="77777777" w:rsidTr="00C80775">
        <w:trPr>
          <w:trHeight w:val="255"/>
        </w:trPr>
        <w:tc>
          <w:tcPr>
            <w:tcW w:w="4242" w:type="pct"/>
            <w:vAlign w:val="center"/>
            <w:hideMark/>
          </w:tcPr>
          <w:p w14:paraId="319E04E3" w14:textId="77777777" w:rsidR="00C80775" w:rsidRPr="00E20D21" w:rsidRDefault="00C80775">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 xml:space="preserve">Contribuição para o Financiamento da Seguridade Social - </w:t>
            </w:r>
            <w:proofErr w:type="spellStart"/>
            <w:r w:rsidRPr="00E20D21">
              <w:rPr>
                <w:rFonts w:ascii="CAIXA Std Book" w:eastAsia="Times New Roman" w:hAnsi="CAIXA Std Book" w:cs="Calibri"/>
                <w:color w:val="005CA9"/>
                <w:sz w:val="18"/>
                <w:szCs w:val="18"/>
                <w:lang w:eastAsia="en-US"/>
              </w:rPr>
              <w:t>Cofins</w:t>
            </w:r>
            <w:proofErr w:type="spellEnd"/>
            <w:r w:rsidRPr="00E20D21">
              <w:rPr>
                <w:rFonts w:ascii="CAIXA Std Book" w:eastAsia="Times New Roman" w:hAnsi="CAIXA Std Book" w:cs="Calibri"/>
                <w:color w:val="005CA9"/>
                <w:sz w:val="18"/>
                <w:szCs w:val="18"/>
                <w:lang w:eastAsia="en-US"/>
              </w:rPr>
              <w:t xml:space="preserve"> (2)</w:t>
            </w:r>
          </w:p>
        </w:tc>
        <w:tc>
          <w:tcPr>
            <w:tcW w:w="758" w:type="pct"/>
            <w:vAlign w:val="center"/>
            <w:hideMark/>
          </w:tcPr>
          <w:p w14:paraId="162E4B7D" w14:textId="77777777" w:rsidR="00C80775" w:rsidRPr="00E20D21" w:rsidRDefault="00C80775">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4%</w:t>
            </w:r>
          </w:p>
        </w:tc>
      </w:tr>
      <w:tr w:rsidR="00A47C19" w:rsidRPr="00E20D21" w14:paraId="44D653CD" w14:textId="77777777" w:rsidTr="00C80775">
        <w:trPr>
          <w:trHeight w:val="255"/>
        </w:trPr>
        <w:tc>
          <w:tcPr>
            <w:tcW w:w="4242" w:type="pct"/>
            <w:tcBorders>
              <w:top w:val="nil"/>
              <w:left w:val="nil"/>
              <w:bottom w:val="single" w:sz="4" w:space="0" w:color="F39200"/>
              <w:right w:val="nil"/>
            </w:tcBorders>
            <w:vAlign w:val="center"/>
            <w:hideMark/>
          </w:tcPr>
          <w:p w14:paraId="2E211E11" w14:textId="77777777" w:rsidR="00C80775" w:rsidRPr="00E20D21" w:rsidRDefault="00C80775">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Imposto sobre Serviços de Qualquer Natureza - ISSQN</w:t>
            </w:r>
          </w:p>
        </w:tc>
        <w:tc>
          <w:tcPr>
            <w:tcW w:w="758" w:type="pct"/>
            <w:tcBorders>
              <w:top w:val="nil"/>
              <w:left w:val="nil"/>
              <w:bottom w:val="single" w:sz="4" w:space="0" w:color="F39200"/>
              <w:right w:val="nil"/>
            </w:tcBorders>
            <w:vAlign w:val="center"/>
            <w:hideMark/>
          </w:tcPr>
          <w:p w14:paraId="478B44AC" w14:textId="77777777" w:rsidR="00C80775" w:rsidRPr="00E20D21" w:rsidRDefault="00C80775">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Até 5%</w:t>
            </w:r>
          </w:p>
        </w:tc>
      </w:tr>
    </w:tbl>
    <w:p w14:paraId="6D59A6BA" w14:textId="4E433584" w:rsidR="00C80775" w:rsidRPr="00E20D21" w:rsidRDefault="00C80775" w:rsidP="00476B9C">
      <w:pPr>
        <w:spacing w:after="20"/>
        <w:jc w:val="both"/>
        <w:rPr>
          <w:rFonts w:ascii="CAIXA Std Book" w:hAnsi="CAIXA Std Book"/>
          <w:color w:val="005CA9"/>
          <w:sz w:val="16"/>
          <w:szCs w:val="16"/>
        </w:rPr>
      </w:pPr>
      <w:r w:rsidRPr="00E20D21">
        <w:rPr>
          <w:rFonts w:ascii="CAIXA Std Book" w:hAnsi="CAIXA Std Book"/>
          <w:color w:val="005CA9"/>
          <w:sz w:val="16"/>
          <w:szCs w:val="16"/>
        </w:rPr>
        <w:t>(1) A alíquota de 20% é aplicável à CAIXA, 15% para a C</w:t>
      </w:r>
      <w:r w:rsidR="002958E1" w:rsidRPr="00E20D21">
        <w:rPr>
          <w:rFonts w:ascii="CAIXA Std Book" w:hAnsi="CAIXA Std Book"/>
          <w:color w:val="005CA9"/>
          <w:sz w:val="16"/>
          <w:szCs w:val="16"/>
        </w:rPr>
        <w:t>aixa</w:t>
      </w:r>
      <w:r w:rsidRPr="00E20D21">
        <w:rPr>
          <w:rFonts w:ascii="CAIXA Std Book" w:hAnsi="CAIXA Std Book"/>
          <w:color w:val="005CA9"/>
          <w:sz w:val="16"/>
          <w:szCs w:val="16"/>
        </w:rPr>
        <w:t xml:space="preserve"> </w:t>
      </w:r>
      <w:proofErr w:type="spellStart"/>
      <w:r w:rsidR="0003156F" w:rsidRPr="00E20D21">
        <w:rPr>
          <w:rFonts w:ascii="CAIXA Std Book" w:hAnsi="CAIXA Std Book"/>
          <w:color w:val="005CA9"/>
          <w:sz w:val="16"/>
          <w:szCs w:val="16"/>
        </w:rPr>
        <w:t>Asset</w:t>
      </w:r>
      <w:proofErr w:type="spellEnd"/>
      <w:r w:rsidRPr="00E20D21">
        <w:rPr>
          <w:rFonts w:ascii="CAIXA Std Book" w:hAnsi="CAIXA Std Book"/>
          <w:color w:val="005CA9"/>
          <w:sz w:val="16"/>
          <w:szCs w:val="16"/>
        </w:rPr>
        <w:t xml:space="preserve"> e 9% para as demais empresas do conglomerado</w:t>
      </w:r>
      <w:r w:rsidR="000B7363" w:rsidRPr="00E20D21">
        <w:rPr>
          <w:rFonts w:ascii="CAIXA Std Book" w:hAnsi="CAIXA Std Book"/>
          <w:color w:val="005CA9"/>
          <w:sz w:val="16"/>
          <w:szCs w:val="16"/>
        </w:rPr>
        <w:t>.</w:t>
      </w:r>
    </w:p>
    <w:p w14:paraId="235E23CF" w14:textId="77777777" w:rsidR="00C80775" w:rsidRPr="00E20D21" w:rsidRDefault="00C80775" w:rsidP="00C80775">
      <w:pPr>
        <w:jc w:val="both"/>
        <w:rPr>
          <w:rFonts w:ascii="CAIXA Std Book" w:hAnsi="CAIXA Std Book"/>
          <w:color w:val="005CA9"/>
          <w:sz w:val="16"/>
          <w:szCs w:val="16"/>
        </w:rPr>
      </w:pPr>
      <w:r w:rsidRPr="00E20D21">
        <w:rPr>
          <w:rFonts w:ascii="CAIXA Std Book" w:hAnsi="CAIXA Std Book"/>
          <w:color w:val="005CA9"/>
          <w:sz w:val="16"/>
          <w:szCs w:val="16"/>
        </w:rPr>
        <w:t xml:space="preserve">(2) Para as empresas não financeiras optantes do regime de apuração não cumulativo, a alíquota do PIS/Pasep é de 1,65% e da </w:t>
      </w:r>
      <w:proofErr w:type="spellStart"/>
      <w:r w:rsidRPr="00E20D21">
        <w:rPr>
          <w:rFonts w:ascii="CAIXA Std Book" w:hAnsi="CAIXA Std Book"/>
          <w:color w:val="005CA9"/>
          <w:sz w:val="16"/>
          <w:szCs w:val="16"/>
        </w:rPr>
        <w:t>Cofins</w:t>
      </w:r>
      <w:proofErr w:type="spellEnd"/>
      <w:r w:rsidRPr="00E20D21">
        <w:rPr>
          <w:rFonts w:ascii="CAIXA Std Book" w:hAnsi="CAIXA Std Book"/>
          <w:color w:val="005CA9"/>
          <w:sz w:val="16"/>
          <w:szCs w:val="16"/>
        </w:rPr>
        <w:t xml:space="preserve"> é de 7,6%.</w:t>
      </w:r>
    </w:p>
    <w:p w14:paraId="1E0FA4E9" w14:textId="77777777" w:rsidR="00EB4A09" w:rsidRPr="00E20D21" w:rsidRDefault="00EB4A09">
      <w:pPr>
        <w:rPr>
          <w:rFonts w:ascii="CAIXA Std Book" w:hAnsi="CAIXA Std Book"/>
          <w:color w:val="005CA9"/>
          <w:sz w:val="20"/>
          <w:szCs w:val="20"/>
        </w:rPr>
      </w:pPr>
      <w:r w:rsidRPr="00E20D21">
        <w:rPr>
          <w:rFonts w:ascii="CAIXA Std Book" w:hAnsi="CAIXA Std Book"/>
          <w:color w:val="005CA9"/>
          <w:sz w:val="20"/>
          <w:szCs w:val="20"/>
        </w:rPr>
        <w:br w:type="page"/>
      </w:r>
    </w:p>
    <w:p w14:paraId="6D9087F3" w14:textId="3FF2EBA3" w:rsidR="00C80775" w:rsidRPr="00E20D21" w:rsidRDefault="00C80775" w:rsidP="00C80775">
      <w:pPr>
        <w:spacing w:before="120" w:after="120"/>
        <w:jc w:val="both"/>
        <w:rPr>
          <w:rFonts w:ascii="CAIXA Std Book" w:hAnsi="CAIXA Std Book"/>
          <w:color w:val="005CA9"/>
          <w:sz w:val="20"/>
          <w:szCs w:val="20"/>
        </w:rPr>
      </w:pPr>
      <w:r w:rsidRPr="00E20D21">
        <w:rPr>
          <w:rFonts w:ascii="CAIXA Std Book" w:hAnsi="CAIXA Std Book"/>
          <w:color w:val="005CA9"/>
          <w:sz w:val="20"/>
          <w:szCs w:val="20"/>
        </w:rPr>
        <w:lastRenderedPageBreak/>
        <w:t>A constituição dos créditos tributários é baseada na estimativa de sua realização, conforme estudos técnicos e análises realizadas pela Administração, considerando as alíquotas tributárias vigentes no período de realização destes ativos. Os créditos tributários são objeto de realização de acordo com a sua origem. Os originados de diferenças temporárias se realizam pela utilização ou reversão das provisões que serviram de base para sua constituição. Por sua vez, os créditos tributários sobre prejuízos fiscais e base negativa de contribuição social realizam-se quando da geração de lucros tributáveis por meio de compensação na base de cálculo dos referidos tributos, respeitando o limite de 30% da referida base. A CAIXA reconhece os créditos tributários de IRPJ, CSLL, PASEP e COFINS sobre os ajustes negativos originados da marcação a mercado de títulos e valores mobiliários e de instrumentos financeiros derivativos apropriados no resultado e em conta destacada do patrimônio líquido.</w:t>
      </w:r>
    </w:p>
    <w:p w14:paraId="5CBC679E" w14:textId="77777777" w:rsidR="00C80775" w:rsidRPr="00E20D21" w:rsidRDefault="00C80775" w:rsidP="00C80775">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composição dos valores de imposto de renda e contribuição social, a evidenciação dos cálculos, a origem e a previsão de realização dos créditos tributários são apresentadas na Nota Explicativa 20.</w:t>
      </w:r>
    </w:p>
    <w:p w14:paraId="698C48D3" w14:textId="7E7611F4" w:rsidR="00E51317" w:rsidRPr="00E20D21" w:rsidRDefault="00E51317" w:rsidP="00C57B9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Investimentos</w:t>
      </w:r>
    </w:p>
    <w:p w14:paraId="5246CB89" w14:textId="13B7AB40" w:rsidR="00E4764A" w:rsidRPr="00E20D21" w:rsidRDefault="00E4764A" w:rsidP="0015091C">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Os investimentos em empresas controladas, controladas em conjunto ou empresas sobre as quais a CAIXA detenha influência significativa estão avaliados pelo método de equivalência patrimonial (MEP). Para o cálculo da equivalência patrimonial dos investimentos permanentes em empresas não financeiras, os valores são ajustados para convergência com as normas e instruções do Conselho Monetário Nacional (CMN) e do Banco Central do Brasil (B</w:t>
      </w:r>
      <w:r w:rsidR="00FC561C" w:rsidRPr="00E20D21">
        <w:rPr>
          <w:rFonts w:ascii="CAIXA Std Book" w:hAnsi="CAIXA Std Book"/>
          <w:color w:val="005CA9"/>
          <w:sz w:val="20"/>
          <w:szCs w:val="20"/>
        </w:rPr>
        <w:t>acen</w:t>
      </w:r>
      <w:r w:rsidRPr="00E20D21">
        <w:rPr>
          <w:rFonts w:ascii="CAIXA Std Book" w:hAnsi="CAIXA Std Book"/>
          <w:color w:val="005CA9"/>
          <w:sz w:val="20"/>
          <w:szCs w:val="20"/>
        </w:rPr>
        <w:t xml:space="preserve">). Os demais investimentos permanentes são avaliados pelo custo de aquisição. </w:t>
      </w:r>
    </w:p>
    <w:p w14:paraId="00FB1872" w14:textId="784F2DE6" w:rsidR="00BA56D1" w:rsidRPr="00E20D21" w:rsidRDefault="00BA56D1" w:rsidP="0015091C">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 resultado das subsidiárias adquiridas ou alienadas durante o período é incluído nas demonstrações consolidadas a partir da data da aquisição ou até a data da alienação. O custo de aquisição de uma controlada é mensurado pelo valor justo dos ativos ofertados, dos instrumentos patrimoniais emitidos e dos passivos incorridos ou assumidos na data da troca.</w:t>
      </w:r>
    </w:p>
    <w:p w14:paraId="3BE58071" w14:textId="77777777" w:rsidR="00BA56D1" w:rsidRPr="00E20D21" w:rsidRDefault="00BA56D1" w:rsidP="0015091C">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Os ativos identificáveis adquiridos, as contingências e os passivos assumidos em uma combinação de negócios são inicialmente mensurados pelo seu valor justo na data de aquisição, independente da proporção de qualquer participação na investida. O valor excedente do custo de aquisição dos ativos líquidos identificáveis em relação ao valor justo de participação é registrado como ágio fundamentado em rentabilidade futura. Quando o custo de aquisição for menor do que o valor justo dos ativos líquidos da controlada adquirida, a CAIXA reconhece a diferença diretamente no resultado.</w:t>
      </w:r>
    </w:p>
    <w:p w14:paraId="6E7D3D46" w14:textId="77777777" w:rsidR="00BA56D1" w:rsidRPr="00E20D21" w:rsidRDefault="00BA56D1" w:rsidP="0015091C">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A composição dos valores em investimentos assim como do resultado da equivalência patrimonial é apresentada na Nota Explicativa 11 e 32.</w:t>
      </w:r>
    </w:p>
    <w:p w14:paraId="7474607D" w14:textId="7FC90ADF" w:rsidR="00E51317" w:rsidRPr="00E20D21" w:rsidRDefault="00E51317" w:rsidP="0032163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Imobilizado</w:t>
      </w:r>
      <w:r w:rsidR="00D544B3" w:rsidRPr="00E20D21">
        <w:rPr>
          <w:rFonts w:ascii="CAIXA Std Book" w:hAnsi="CAIXA Std Book"/>
          <w:b/>
          <w:color w:val="005CA9"/>
          <w:sz w:val="20"/>
          <w:szCs w:val="20"/>
        </w:rPr>
        <w:t xml:space="preserve"> de uso</w:t>
      </w:r>
    </w:p>
    <w:p w14:paraId="2F4CBF06" w14:textId="77777777" w:rsidR="000F4D75" w:rsidRPr="00E20D21" w:rsidRDefault="000F4D75" w:rsidP="000F4D75">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imobilizado de uso é representado pelos direitos que tenham por objeto bens corpóreos de propriedade da CAIXA e destinados à manutenção de suas atividades operacionais. Esses ativos são registrados ao custo de aquisição ou formação e depreciados pelo método linear sem valor residual (Resolução CMN nº 4.535/2016). </w:t>
      </w:r>
    </w:p>
    <w:p w14:paraId="2E4926C4" w14:textId="77777777" w:rsidR="000F4D75" w:rsidRPr="00E20D21" w:rsidRDefault="000F4D75" w:rsidP="000F4D75">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As vidas úteis estimadas de bens do imobilizado de uso próprio são revisadas, no mínimo, ao final do exercício apresentado, com vistas a detectar variações significativas. Se forem detectadas variações, as vidas úteis dos ativos são ajustadas corrigindo-se a despesa de depreciação a ser reconhecida na demonstração do resultado em exercícios futuros com base nas novas vidas úteis.</w:t>
      </w:r>
    </w:p>
    <w:p w14:paraId="7F96DCE7" w14:textId="1C74F00B" w:rsidR="00476B9C" w:rsidRPr="00E20D21" w:rsidRDefault="000F4D75" w:rsidP="000F4D75">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não tem financiamento de ativos imobilizados, assim como não tem custos de empréstimos relacionados a estes ativos.</w:t>
      </w:r>
      <w:r w:rsidR="00D544B3" w:rsidRPr="00E20D21">
        <w:rPr>
          <w:rFonts w:ascii="CAIXA Std Book" w:hAnsi="CAIXA Std Book"/>
          <w:color w:val="005CA9"/>
          <w:sz w:val="20"/>
          <w:szCs w:val="20"/>
        </w:rPr>
        <w:t xml:space="preserve"> A composição dos valores registrados em imobilizado de uso são apresentados na Nota Explicativa 12.</w:t>
      </w:r>
    </w:p>
    <w:p w14:paraId="2E0493A4" w14:textId="603A372B" w:rsidR="00E51317" w:rsidRPr="00E20D21" w:rsidRDefault="00E51317" w:rsidP="0032163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Intangível</w:t>
      </w:r>
    </w:p>
    <w:p w14:paraId="2653E38A" w14:textId="77777777" w:rsidR="004C3BF6" w:rsidRPr="00E20D21" w:rsidRDefault="004C3BF6" w:rsidP="00BF378D">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ativos intangíveis da CAIXA estão constituídos essencialmente de aquisição de folhas de pagamento e de projetos </w:t>
      </w:r>
      <w:proofErr w:type="spellStart"/>
      <w:r w:rsidRPr="00E20D21">
        <w:rPr>
          <w:rFonts w:ascii="CAIXA Std Book" w:hAnsi="CAIXA Std Book"/>
          <w:color w:val="005CA9"/>
          <w:sz w:val="20"/>
          <w:szCs w:val="20"/>
        </w:rPr>
        <w:t>logiciais</w:t>
      </w:r>
      <w:proofErr w:type="spellEnd"/>
      <w:r w:rsidRPr="00E20D21">
        <w:rPr>
          <w:rFonts w:ascii="CAIXA Std Book" w:hAnsi="CAIXA Std Book"/>
          <w:color w:val="005CA9"/>
          <w:sz w:val="20"/>
          <w:szCs w:val="20"/>
        </w:rPr>
        <w:t xml:space="preserve"> – </w:t>
      </w:r>
      <w:r w:rsidRPr="00E20D21">
        <w:rPr>
          <w:rFonts w:ascii="CAIXA Std Book" w:hAnsi="CAIXA Std Book"/>
          <w:i/>
          <w:color w:val="005CA9"/>
          <w:sz w:val="20"/>
          <w:szCs w:val="20"/>
        </w:rPr>
        <w:t>softwares</w:t>
      </w:r>
      <w:r w:rsidRPr="00E20D21">
        <w:rPr>
          <w:rFonts w:ascii="CAIXA Std Book" w:hAnsi="CAIXA Std Book"/>
          <w:color w:val="005CA9"/>
          <w:sz w:val="20"/>
          <w:szCs w:val="20"/>
        </w:rPr>
        <w:t>.</w:t>
      </w:r>
    </w:p>
    <w:p w14:paraId="7B4CFD65" w14:textId="096C31E8" w:rsidR="000F4D75" w:rsidRPr="00E20D21" w:rsidRDefault="2EDFC1D1" w:rsidP="000F4D75">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Esses ativos são reconhecidos inicialmente pelo custo de aquisição ou produção e, subsequentemente, deduzida a amortização acumulada, calculada pelo método linear, observados os prazos contratuais (Resolução CMN</w:t>
      </w:r>
      <w:r w:rsidR="00A2211A" w:rsidRPr="00E20D21">
        <w:rPr>
          <w:rFonts w:ascii="CAIXA Std Book" w:hAnsi="CAIXA Std Book"/>
          <w:color w:val="005CA9"/>
          <w:sz w:val="20"/>
          <w:szCs w:val="20"/>
        </w:rPr>
        <w:t xml:space="preserve"> </w:t>
      </w:r>
      <w:r w:rsidRPr="00E20D21">
        <w:rPr>
          <w:rFonts w:ascii="CAIXA Std Book" w:hAnsi="CAIXA Std Book"/>
          <w:color w:val="005CA9"/>
          <w:sz w:val="20"/>
          <w:szCs w:val="20"/>
        </w:rPr>
        <w:t>n° 4.534/2016).</w:t>
      </w:r>
    </w:p>
    <w:p w14:paraId="53A20AD8" w14:textId="77777777" w:rsidR="000F4D75" w:rsidRPr="00E20D21" w:rsidRDefault="000F4D75" w:rsidP="000F4D75">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aquisições de folhas de pagamento referem-se a valores pagos de contratos de parceria comercial com setores públicos e privados para assegurar serviços bancários de processamento de crédito de folha de pagamento e crédito consignado, manutenção de carteira de cobrança, serviços de pagamento a fornecedores e outros serviços bancários. Seu prazo de vida útil é de 5 anos e sua amortização mensal é calculada pelo resultado da divisão do valor do ativo pelo prazo de vida útil excluído o prazo de carência.</w:t>
      </w:r>
    </w:p>
    <w:p w14:paraId="5C4507A9" w14:textId="0A86E3C1" w:rsidR="000F4D75" w:rsidRPr="00E20D21" w:rsidRDefault="000F4D75" w:rsidP="000F4D75">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Projetos </w:t>
      </w:r>
      <w:proofErr w:type="spellStart"/>
      <w:r w:rsidRPr="00E20D21">
        <w:rPr>
          <w:rFonts w:ascii="CAIXA Std Book" w:hAnsi="CAIXA Std Book"/>
          <w:color w:val="005CA9"/>
          <w:sz w:val="20"/>
          <w:szCs w:val="20"/>
        </w:rPr>
        <w:t>logiciais</w:t>
      </w:r>
      <w:proofErr w:type="spellEnd"/>
      <w:r w:rsidRPr="00E20D21">
        <w:rPr>
          <w:rFonts w:ascii="CAIXA Std Book" w:hAnsi="CAIXA Std Book"/>
          <w:color w:val="005CA9"/>
          <w:sz w:val="20"/>
          <w:szCs w:val="20"/>
        </w:rPr>
        <w:t xml:space="preserve"> –</w:t>
      </w:r>
      <w:r w:rsidRPr="00E20D21">
        <w:rPr>
          <w:rFonts w:ascii="CAIXA Std Book" w:hAnsi="CAIXA Std Book"/>
          <w:i/>
          <w:color w:val="005CA9"/>
          <w:sz w:val="20"/>
          <w:szCs w:val="20"/>
        </w:rPr>
        <w:t xml:space="preserve"> softwares</w:t>
      </w:r>
      <w:r w:rsidRPr="00E20D21">
        <w:rPr>
          <w:rFonts w:ascii="CAIXA Std Book" w:hAnsi="CAIXA Std Book"/>
          <w:color w:val="005CA9"/>
          <w:sz w:val="20"/>
          <w:szCs w:val="20"/>
        </w:rPr>
        <w:t xml:space="preserve"> referem-se a aquisições de </w:t>
      </w:r>
      <w:r w:rsidRPr="00E20D21">
        <w:rPr>
          <w:rFonts w:ascii="CAIXA Std Book" w:hAnsi="CAIXA Std Book"/>
          <w:i/>
          <w:color w:val="005CA9"/>
          <w:sz w:val="20"/>
          <w:szCs w:val="20"/>
        </w:rPr>
        <w:t>software</w:t>
      </w:r>
      <w:r w:rsidRPr="00E20D21">
        <w:rPr>
          <w:rFonts w:ascii="CAIXA Std Book" w:hAnsi="CAIXA Std Book"/>
          <w:color w:val="005CA9"/>
          <w:sz w:val="20"/>
          <w:szCs w:val="20"/>
        </w:rPr>
        <w:t xml:space="preserve"> e desenvolvimento interno, sendo </w:t>
      </w:r>
      <w:r w:rsidR="007008D1" w:rsidRPr="00E20D21">
        <w:rPr>
          <w:rFonts w:ascii="CAIXA Std Book" w:hAnsi="CAIXA Std Book"/>
          <w:color w:val="005CA9"/>
          <w:sz w:val="20"/>
          <w:szCs w:val="20"/>
        </w:rPr>
        <w:t xml:space="preserve">que os </w:t>
      </w:r>
      <w:r w:rsidRPr="00E20D21">
        <w:rPr>
          <w:rFonts w:ascii="CAIXA Std Book" w:hAnsi="CAIXA Std Book"/>
          <w:color w:val="005CA9"/>
          <w:sz w:val="20"/>
          <w:szCs w:val="20"/>
        </w:rPr>
        <w:t xml:space="preserve">desenvolvidos </w:t>
      </w:r>
      <w:r w:rsidR="007008D1" w:rsidRPr="00E20D21">
        <w:rPr>
          <w:rFonts w:ascii="CAIXA Std Book" w:hAnsi="CAIXA Std Book"/>
          <w:color w:val="005CA9"/>
          <w:sz w:val="20"/>
          <w:szCs w:val="20"/>
        </w:rPr>
        <w:t xml:space="preserve">internamente </w:t>
      </w:r>
      <w:r w:rsidRPr="00E20D21">
        <w:rPr>
          <w:rFonts w:ascii="CAIXA Std Book" w:hAnsi="CAIXA Std Book"/>
          <w:color w:val="005CA9"/>
          <w:sz w:val="20"/>
          <w:szCs w:val="20"/>
        </w:rPr>
        <w:t>são reconhecidos como um ativo intangível somente se a CAIXA puder identificar a capacidade de usá-los ou vendê-los</w:t>
      </w:r>
      <w:r w:rsidR="007008D1"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e se a geração de benefícios econômicos futuros puder ser demonstrada com confiança. Seu prazo de vida útil é de 5 anos e sua amortização é </w:t>
      </w:r>
      <w:r w:rsidR="007008D1" w:rsidRPr="00E20D21">
        <w:rPr>
          <w:rFonts w:ascii="CAIXA Std Book" w:hAnsi="CAIXA Std Book"/>
          <w:color w:val="005CA9"/>
          <w:sz w:val="20"/>
          <w:szCs w:val="20"/>
        </w:rPr>
        <w:t>c</w:t>
      </w:r>
      <w:r w:rsidRPr="00E20D21">
        <w:rPr>
          <w:rFonts w:ascii="CAIXA Std Book" w:hAnsi="CAIXA Std Book"/>
          <w:color w:val="005CA9"/>
          <w:sz w:val="20"/>
          <w:szCs w:val="20"/>
        </w:rPr>
        <w:t>alculada mensalmente com base em 1/60 (um sessenta avos) do valor de custo do ativo.</w:t>
      </w:r>
      <w:r w:rsidR="00D544B3" w:rsidRPr="00E20D21">
        <w:rPr>
          <w:rFonts w:ascii="CAIXA Std Book" w:hAnsi="CAIXA Std Book"/>
          <w:color w:val="005CA9"/>
          <w:sz w:val="20"/>
          <w:szCs w:val="20"/>
        </w:rPr>
        <w:t xml:space="preserve"> A composição dos valores registrados </w:t>
      </w:r>
      <w:r w:rsidR="007008D1" w:rsidRPr="00E20D21">
        <w:rPr>
          <w:rFonts w:ascii="CAIXA Std Book" w:hAnsi="CAIXA Std Book"/>
          <w:color w:val="005CA9"/>
          <w:sz w:val="20"/>
          <w:szCs w:val="20"/>
        </w:rPr>
        <w:t xml:space="preserve">no ativo </w:t>
      </w:r>
      <w:r w:rsidR="00D544B3" w:rsidRPr="00E20D21">
        <w:rPr>
          <w:rFonts w:ascii="CAIXA Std Book" w:hAnsi="CAIXA Std Book"/>
          <w:color w:val="005CA9"/>
          <w:sz w:val="20"/>
          <w:szCs w:val="20"/>
        </w:rPr>
        <w:t xml:space="preserve">intangível </w:t>
      </w:r>
      <w:r w:rsidR="00BF378D" w:rsidRPr="00E20D21">
        <w:rPr>
          <w:rFonts w:ascii="CAIXA Std Book" w:hAnsi="CAIXA Std Book"/>
          <w:color w:val="005CA9"/>
          <w:sz w:val="20"/>
          <w:szCs w:val="20"/>
        </w:rPr>
        <w:t>é apresentada</w:t>
      </w:r>
      <w:r w:rsidR="00D544B3" w:rsidRPr="00E20D21">
        <w:rPr>
          <w:rFonts w:ascii="CAIXA Std Book" w:hAnsi="CAIXA Std Book"/>
          <w:color w:val="005CA9"/>
          <w:sz w:val="20"/>
          <w:szCs w:val="20"/>
        </w:rPr>
        <w:t xml:space="preserve"> na Nota Explicativa 13.</w:t>
      </w:r>
    </w:p>
    <w:p w14:paraId="1CBE990C" w14:textId="77777777" w:rsidR="00C679FC" w:rsidRPr="00E20D21" w:rsidRDefault="00C679FC" w:rsidP="0032163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Despesas antecipadas</w:t>
      </w:r>
    </w:p>
    <w:p w14:paraId="01E6B2DD" w14:textId="3E35F74A" w:rsidR="00D544B3" w:rsidRPr="00E20D21" w:rsidRDefault="00C679FC" w:rsidP="00D544B3">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despesas antecipadas representam os pagamentos antecipados, cujo benefício ou prestação de serviço ocorrerá em períodos futuros. São registradas no ativo, observando o princípio da competência para o devido reconhecimento em resultado</w:t>
      </w:r>
      <w:r w:rsidR="00D544B3" w:rsidRPr="00E20D21">
        <w:rPr>
          <w:rFonts w:ascii="CAIXA Std Book" w:hAnsi="CAIXA Std Book"/>
          <w:color w:val="005CA9"/>
          <w:sz w:val="20"/>
          <w:szCs w:val="20"/>
        </w:rPr>
        <w:t xml:space="preserve">. A composição dos valores registrados como despesas antecipadas </w:t>
      </w:r>
      <w:r w:rsidR="0020064B" w:rsidRPr="00E20D21">
        <w:rPr>
          <w:rFonts w:ascii="CAIXA Std Book" w:hAnsi="CAIXA Std Book"/>
          <w:color w:val="005CA9"/>
          <w:sz w:val="20"/>
          <w:szCs w:val="20"/>
        </w:rPr>
        <w:t>é apresentada</w:t>
      </w:r>
      <w:r w:rsidR="00D544B3" w:rsidRPr="00E20D21">
        <w:rPr>
          <w:rFonts w:ascii="CAIXA Std Book" w:hAnsi="CAIXA Std Book"/>
          <w:color w:val="005CA9"/>
          <w:sz w:val="20"/>
          <w:szCs w:val="20"/>
        </w:rPr>
        <w:t xml:space="preserve"> na Nota Explicativa 14.</w:t>
      </w:r>
    </w:p>
    <w:p w14:paraId="4EBE22CE" w14:textId="785163A2" w:rsidR="0050685D" w:rsidRPr="00E20D21" w:rsidRDefault="00254EC2" w:rsidP="0032163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Ativos não financeiros mantidos para venda</w:t>
      </w:r>
      <w:r w:rsidR="006A462C" w:rsidRPr="00E20D21">
        <w:rPr>
          <w:rFonts w:ascii="CAIXA Std Book" w:hAnsi="CAIXA Std Book"/>
          <w:b/>
          <w:color w:val="005CA9"/>
          <w:sz w:val="20"/>
          <w:szCs w:val="20"/>
        </w:rPr>
        <w:t xml:space="preserve"> e materiais </w:t>
      </w:r>
      <w:r w:rsidR="009A18B2" w:rsidRPr="00E20D21">
        <w:rPr>
          <w:rFonts w:ascii="CAIXA Std Book" w:hAnsi="CAIXA Std Book"/>
          <w:b/>
          <w:color w:val="005CA9"/>
          <w:sz w:val="20"/>
          <w:szCs w:val="20"/>
        </w:rPr>
        <w:t>de estoque</w:t>
      </w:r>
    </w:p>
    <w:p w14:paraId="3214F238" w14:textId="2ADABC99" w:rsidR="00EE74FC" w:rsidRPr="00E20D21" w:rsidRDefault="000F59DC" w:rsidP="00A00CF9">
      <w:pPr>
        <w:spacing w:before="120"/>
        <w:jc w:val="both"/>
        <w:rPr>
          <w:rFonts w:ascii="CAIXA Std Book" w:hAnsi="CAIXA Std Book"/>
          <w:color w:val="005CA9"/>
          <w:sz w:val="20"/>
          <w:szCs w:val="20"/>
        </w:rPr>
      </w:pPr>
      <w:r w:rsidRPr="00E20D21">
        <w:rPr>
          <w:rFonts w:ascii="CAIXA Std Book" w:hAnsi="CAIXA Std Book"/>
          <w:color w:val="005CA9"/>
          <w:sz w:val="20"/>
          <w:szCs w:val="20"/>
        </w:rPr>
        <w:t>C</w:t>
      </w:r>
      <w:r w:rsidR="0050685D" w:rsidRPr="00E20D21">
        <w:rPr>
          <w:rFonts w:ascii="CAIXA Std Book" w:hAnsi="CAIXA Std Book"/>
          <w:color w:val="005CA9"/>
          <w:sz w:val="20"/>
          <w:szCs w:val="20"/>
        </w:rPr>
        <w:t>ompostos basicamente por imóveis</w:t>
      </w:r>
      <w:r w:rsidRPr="00E20D21">
        <w:rPr>
          <w:rFonts w:ascii="CAIXA Std Book" w:hAnsi="CAIXA Std Book"/>
          <w:color w:val="005CA9"/>
          <w:sz w:val="20"/>
          <w:szCs w:val="20"/>
        </w:rPr>
        <w:t xml:space="preserve"> adjudicados, imóveis</w:t>
      </w:r>
      <w:r w:rsidR="0050685D" w:rsidRPr="00E20D21">
        <w:rPr>
          <w:rFonts w:ascii="CAIXA Std Book" w:hAnsi="CAIXA Std Book"/>
          <w:color w:val="005CA9"/>
          <w:sz w:val="20"/>
          <w:szCs w:val="20"/>
        </w:rPr>
        <w:t xml:space="preserve"> recebidos </w:t>
      </w:r>
      <w:r w:rsidR="00B86042" w:rsidRPr="00E20D21">
        <w:rPr>
          <w:rFonts w:ascii="CAIXA Std Book" w:hAnsi="CAIXA Std Book"/>
          <w:color w:val="005CA9"/>
          <w:sz w:val="20"/>
          <w:szCs w:val="20"/>
        </w:rPr>
        <w:t>por</w:t>
      </w:r>
      <w:r w:rsidR="0050685D" w:rsidRPr="00E20D21">
        <w:rPr>
          <w:rFonts w:ascii="CAIXA Std Book" w:hAnsi="CAIXA Std Book"/>
          <w:color w:val="005CA9"/>
          <w:sz w:val="20"/>
          <w:szCs w:val="20"/>
        </w:rPr>
        <w:t xml:space="preserve"> dação e</w:t>
      </w:r>
      <w:r w:rsidR="00482853" w:rsidRPr="00E20D21">
        <w:rPr>
          <w:rFonts w:ascii="CAIXA Std Book" w:hAnsi="CAIXA Std Book"/>
          <w:color w:val="005CA9"/>
          <w:sz w:val="20"/>
          <w:szCs w:val="20"/>
        </w:rPr>
        <w:t>m</w:t>
      </w:r>
      <w:r w:rsidR="0050685D" w:rsidRPr="00E20D21">
        <w:rPr>
          <w:rFonts w:ascii="CAIXA Std Book" w:hAnsi="CAIXA Std Book"/>
          <w:color w:val="005CA9"/>
          <w:sz w:val="20"/>
          <w:szCs w:val="20"/>
        </w:rPr>
        <w:t xml:space="preserve"> pagamento</w:t>
      </w:r>
      <w:r w:rsidRPr="00E20D21">
        <w:rPr>
          <w:rFonts w:ascii="CAIXA Std Book" w:hAnsi="CAIXA Std Book"/>
          <w:color w:val="005CA9"/>
          <w:sz w:val="20"/>
          <w:szCs w:val="20"/>
        </w:rPr>
        <w:t xml:space="preserve"> de empréstimos</w:t>
      </w:r>
      <w:r w:rsidR="005031E4" w:rsidRPr="00E20D21">
        <w:rPr>
          <w:rFonts w:ascii="CAIXA Std Book" w:hAnsi="CAIXA Std Book"/>
          <w:color w:val="005CA9"/>
          <w:sz w:val="20"/>
          <w:szCs w:val="20"/>
        </w:rPr>
        <w:t>, bem como</w:t>
      </w:r>
      <w:r w:rsidRPr="00E20D21">
        <w:rPr>
          <w:rFonts w:ascii="CAIXA Std Book" w:hAnsi="CAIXA Std Book"/>
          <w:color w:val="005CA9"/>
          <w:sz w:val="20"/>
          <w:szCs w:val="20"/>
        </w:rPr>
        <w:t xml:space="preserve"> imóveis CAIXA que eram de uso e </w:t>
      </w:r>
      <w:r w:rsidR="00A00CF9" w:rsidRPr="00E20D21">
        <w:rPr>
          <w:rFonts w:ascii="CAIXA Std Book" w:hAnsi="CAIXA Std Book"/>
          <w:color w:val="005CA9"/>
          <w:sz w:val="20"/>
          <w:szCs w:val="20"/>
        </w:rPr>
        <w:t>a entidade decidiu descontinuar o seu uso.</w:t>
      </w:r>
      <w:r w:rsidRPr="00E20D21">
        <w:rPr>
          <w:rFonts w:ascii="CAIXA Std Book" w:hAnsi="CAIXA Std Book"/>
          <w:color w:val="005CA9"/>
          <w:sz w:val="20"/>
          <w:szCs w:val="20"/>
        </w:rPr>
        <w:t xml:space="preserve"> S</w:t>
      </w:r>
      <w:r w:rsidR="0050685D" w:rsidRPr="00E20D21">
        <w:rPr>
          <w:rFonts w:ascii="CAIXA Std Book" w:hAnsi="CAIXA Std Book"/>
          <w:color w:val="005CA9"/>
          <w:sz w:val="20"/>
          <w:szCs w:val="20"/>
        </w:rPr>
        <w:t xml:space="preserve">ão registrados </w:t>
      </w:r>
      <w:r w:rsidR="00A00CF9" w:rsidRPr="00E20D21">
        <w:rPr>
          <w:rFonts w:ascii="CAIXA Std Book" w:hAnsi="CAIXA Std Book"/>
          <w:color w:val="005CA9"/>
          <w:sz w:val="20"/>
          <w:szCs w:val="20"/>
        </w:rPr>
        <w:t>pelo</w:t>
      </w:r>
      <w:r w:rsidR="0050685D" w:rsidRPr="00E20D21">
        <w:rPr>
          <w:rFonts w:ascii="CAIXA Std Book" w:hAnsi="CAIXA Std Book"/>
          <w:color w:val="005CA9"/>
          <w:sz w:val="20"/>
          <w:szCs w:val="20"/>
        </w:rPr>
        <w:t xml:space="preserve"> menor </w:t>
      </w:r>
      <w:r w:rsidR="00A00CF9" w:rsidRPr="00E20D21">
        <w:rPr>
          <w:rFonts w:ascii="CAIXA Std Book" w:hAnsi="CAIXA Std Book"/>
          <w:color w:val="005CA9"/>
          <w:sz w:val="20"/>
          <w:szCs w:val="20"/>
        </w:rPr>
        <w:t xml:space="preserve">valor </w:t>
      </w:r>
      <w:r w:rsidR="0050685D" w:rsidRPr="00E20D21">
        <w:rPr>
          <w:rFonts w:ascii="CAIXA Std Book" w:hAnsi="CAIXA Std Book"/>
          <w:color w:val="005CA9"/>
          <w:sz w:val="20"/>
          <w:szCs w:val="20"/>
        </w:rPr>
        <w:t xml:space="preserve">entre o valor justo </w:t>
      </w:r>
      <w:r w:rsidR="00A00CF9" w:rsidRPr="00E20D21">
        <w:rPr>
          <w:rFonts w:ascii="CAIXA Std Book" w:hAnsi="CAIXA Std Book"/>
          <w:color w:val="005CA9"/>
          <w:sz w:val="20"/>
          <w:szCs w:val="20"/>
        </w:rPr>
        <w:t>líquido de despesas</w:t>
      </w:r>
      <w:r w:rsidR="0050685D" w:rsidRPr="00E20D21">
        <w:rPr>
          <w:rFonts w:ascii="CAIXA Std Book" w:hAnsi="CAIXA Std Book"/>
          <w:color w:val="005CA9"/>
          <w:sz w:val="20"/>
          <w:szCs w:val="20"/>
        </w:rPr>
        <w:t xml:space="preserve"> de venda e o valor contábil, na data em que forem classificados nessa categoria e não são depreciados. </w:t>
      </w:r>
      <w:r w:rsidR="00D544B3" w:rsidRPr="00E20D21">
        <w:rPr>
          <w:rFonts w:ascii="CAIXA Std Book" w:hAnsi="CAIXA Std Book"/>
          <w:color w:val="005CA9"/>
          <w:sz w:val="20"/>
          <w:szCs w:val="20"/>
        </w:rPr>
        <w:t>A composição dos valores registrados como outros valores e bens não de uso são apresentados na Nota Explicativa 14</w:t>
      </w:r>
      <w:r w:rsidR="00BC7077" w:rsidRPr="00E20D21">
        <w:rPr>
          <w:rFonts w:ascii="CAIXA Std Book" w:hAnsi="CAIXA Std Book"/>
          <w:color w:val="005CA9"/>
          <w:sz w:val="20"/>
          <w:szCs w:val="20"/>
        </w:rPr>
        <w:t xml:space="preserve"> (b)</w:t>
      </w:r>
      <w:r w:rsidR="00D544B3" w:rsidRPr="00E20D21">
        <w:rPr>
          <w:rFonts w:ascii="CAIXA Std Book" w:hAnsi="CAIXA Std Book"/>
          <w:color w:val="005CA9"/>
          <w:sz w:val="20"/>
          <w:szCs w:val="20"/>
        </w:rPr>
        <w:t>.</w:t>
      </w:r>
    </w:p>
    <w:p w14:paraId="66BD8BB6" w14:textId="3A5E4768" w:rsidR="00A9511F" w:rsidRPr="00E20D21" w:rsidRDefault="000C0BF0" w:rsidP="0032163D">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Perdas por r</w:t>
      </w:r>
      <w:r w:rsidR="00A9511F" w:rsidRPr="00E20D21">
        <w:rPr>
          <w:rFonts w:ascii="CAIXA Std Book" w:hAnsi="CAIXA Std Book"/>
          <w:b/>
          <w:color w:val="005CA9"/>
          <w:sz w:val="20"/>
          <w:szCs w:val="20"/>
        </w:rPr>
        <w:t>edução ao valor recuperável de ativos (</w:t>
      </w:r>
      <w:r w:rsidR="00A9511F" w:rsidRPr="00E20D21">
        <w:rPr>
          <w:rFonts w:ascii="CAIXA Std Book" w:hAnsi="CAIXA Std Book"/>
          <w:b/>
          <w:i/>
          <w:color w:val="005CA9"/>
          <w:sz w:val="20"/>
          <w:szCs w:val="20"/>
        </w:rPr>
        <w:t>impairment</w:t>
      </w:r>
      <w:r w:rsidR="00A9511F" w:rsidRPr="00E20D21">
        <w:rPr>
          <w:rFonts w:ascii="CAIXA Std Book" w:hAnsi="CAIXA Std Book"/>
          <w:b/>
          <w:color w:val="005CA9"/>
          <w:sz w:val="20"/>
          <w:szCs w:val="20"/>
        </w:rPr>
        <w:t>)</w:t>
      </w:r>
    </w:p>
    <w:p w14:paraId="535154FE" w14:textId="77777777" w:rsidR="007008D1" w:rsidRPr="00E20D21" w:rsidRDefault="00A9511F" w:rsidP="00461A7D">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CAIXA promove a avaliação dos ativos financeiros e não financeiros </w:t>
      </w:r>
      <w:r w:rsidR="005D60E3" w:rsidRPr="00E20D21">
        <w:rPr>
          <w:rFonts w:ascii="CAIXA Std Book" w:hAnsi="CAIXA Std Book"/>
          <w:color w:val="005CA9"/>
          <w:sz w:val="20"/>
          <w:szCs w:val="20"/>
        </w:rPr>
        <w:t xml:space="preserve">no mínimo </w:t>
      </w:r>
      <w:r w:rsidR="00661F19" w:rsidRPr="00E20D21">
        <w:rPr>
          <w:rFonts w:ascii="CAIXA Std Book" w:hAnsi="CAIXA Std Book"/>
          <w:color w:val="005CA9"/>
          <w:sz w:val="20"/>
          <w:szCs w:val="20"/>
        </w:rPr>
        <w:t>anualmente</w:t>
      </w:r>
      <w:r w:rsidR="005D60E3" w:rsidRPr="00E20D21">
        <w:rPr>
          <w:rFonts w:ascii="CAIXA Std Book" w:hAnsi="CAIXA Std Book"/>
          <w:color w:val="005CA9"/>
          <w:sz w:val="20"/>
          <w:szCs w:val="20"/>
        </w:rPr>
        <w:t xml:space="preserve"> ou a qualquer tempo quando forem conhecidos fatos que interfiram em seu valor</w:t>
      </w:r>
      <w:r w:rsidRPr="00E20D21">
        <w:rPr>
          <w:rFonts w:ascii="CAIXA Std Book" w:hAnsi="CAIXA Std Book"/>
          <w:color w:val="005CA9"/>
          <w:sz w:val="20"/>
          <w:szCs w:val="20"/>
        </w:rPr>
        <w:t xml:space="preserve"> com o objetivo de identificar evidências de desvalorização em seu valor contábil. Se houver alguma indicação, </w:t>
      </w:r>
      <w:r w:rsidR="0026575B" w:rsidRPr="00E20D21">
        <w:rPr>
          <w:rFonts w:ascii="CAIXA Std Book" w:hAnsi="CAIXA Std Book"/>
          <w:color w:val="005CA9"/>
          <w:sz w:val="20"/>
          <w:szCs w:val="20"/>
        </w:rPr>
        <w:t>é estimado</w:t>
      </w:r>
      <w:r w:rsidRPr="00E20D21">
        <w:rPr>
          <w:rFonts w:ascii="CAIXA Std Book" w:hAnsi="CAIXA Std Book"/>
          <w:color w:val="005CA9"/>
          <w:sz w:val="20"/>
          <w:szCs w:val="20"/>
        </w:rPr>
        <w:t xml:space="preserve"> valor recuperável do ativo e</w:t>
      </w:r>
      <w:r w:rsidR="007008D1" w:rsidRPr="00E20D21">
        <w:rPr>
          <w:rFonts w:ascii="CAIXA Std Book" w:hAnsi="CAIXA Std Book"/>
          <w:color w:val="005CA9"/>
          <w:sz w:val="20"/>
          <w:szCs w:val="20"/>
        </w:rPr>
        <w:t xml:space="preserve">, caso se confirme, </w:t>
      </w:r>
      <w:r w:rsidRPr="00E20D21">
        <w:rPr>
          <w:rFonts w:ascii="CAIXA Std Book" w:hAnsi="CAIXA Std Book"/>
          <w:color w:val="005CA9"/>
          <w:sz w:val="20"/>
          <w:szCs w:val="20"/>
        </w:rPr>
        <w:t xml:space="preserve">tal perda deve ser reconhecida imediatamente na demonstração do resultado. </w:t>
      </w:r>
    </w:p>
    <w:p w14:paraId="72367A66" w14:textId="7CB9896C" w:rsidR="00461A7D" w:rsidRPr="00E20D21" w:rsidRDefault="00A9511F" w:rsidP="00461A7D">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valor recuperável de um ativo é definido como o maior montante entre o seu valor justo, líquido de despesa de venda e o seu valor em uso (Resolução CMN nº </w:t>
      </w:r>
      <w:r w:rsidR="008974A4" w:rsidRPr="00E20D21">
        <w:rPr>
          <w:rFonts w:ascii="CAIXA Std Book" w:hAnsi="CAIXA Std Book"/>
          <w:color w:val="005CA9"/>
          <w:sz w:val="20"/>
          <w:szCs w:val="20"/>
        </w:rPr>
        <w:t>4</w:t>
      </w:r>
      <w:r w:rsidRPr="00E20D21">
        <w:rPr>
          <w:rFonts w:ascii="CAIXA Std Book" w:hAnsi="CAIXA Std Book"/>
          <w:color w:val="005CA9"/>
          <w:sz w:val="20"/>
          <w:szCs w:val="20"/>
        </w:rPr>
        <w:t>.</w:t>
      </w:r>
      <w:r w:rsidR="008974A4" w:rsidRPr="00E20D21">
        <w:rPr>
          <w:rFonts w:ascii="CAIXA Std Book" w:hAnsi="CAIXA Std Book"/>
          <w:color w:val="005CA9"/>
          <w:sz w:val="20"/>
          <w:szCs w:val="20"/>
        </w:rPr>
        <w:t>924</w:t>
      </w:r>
      <w:r w:rsidRPr="00E20D21">
        <w:rPr>
          <w:rFonts w:ascii="CAIXA Std Book" w:hAnsi="CAIXA Std Book"/>
          <w:color w:val="005CA9"/>
          <w:sz w:val="20"/>
          <w:szCs w:val="20"/>
        </w:rPr>
        <w:t>/20</w:t>
      </w:r>
      <w:r w:rsidR="008974A4" w:rsidRPr="00E20D21">
        <w:rPr>
          <w:rFonts w:ascii="CAIXA Std Book" w:hAnsi="CAIXA Std Book"/>
          <w:color w:val="005CA9"/>
          <w:sz w:val="20"/>
          <w:szCs w:val="20"/>
        </w:rPr>
        <w:t>21</w:t>
      </w:r>
      <w:r w:rsidRPr="00E20D21">
        <w:rPr>
          <w:rFonts w:ascii="CAIXA Std Book" w:hAnsi="CAIXA Std Book"/>
          <w:color w:val="005CA9"/>
          <w:sz w:val="20"/>
          <w:szCs w:val="20"/>
        </w:rPr>
        <w:t>).</w:t>
      </w:r>
    </w:p>
    <w:bookmarkEnd w:id="23"/>
    <w:p w14:paraId="4B2E1F56" w14:textId="77777777" w:rsidR="001E62D1" w:rsidRPr="00E20D21" w:rsidRDefault="001E62D1" w:rsidP="00410D0F">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Depósitos e captações no mercado aberto, recursos de aceites e emissão de títulos e obrigações por empréstimos e repasses</w:t>
      </w:r>
    </w:p>
    <w:p w14:paraId="6DB8C5E4" w14:textId="77777777" w:rsidR="001E62D1" w:rsidRPr="00E20D21" w:rsidRDefault="001E62D1" w:rsidP="001E62D1">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São demonstrados pelos valores das exigibilidades e consideram os encargos exigíveis até a data do balanço, reconhecidos na base </w:t>
      </w:r>
      <w:r w:rsidRPr="00E20D21">
        <w:rPr>
          <w:rFonts w:ascii="CAIXA Std Book" w:hAnsi="CAIXA Std Book"/>
          <w:i/>
          <w:color w:val="005CA9"/>
          <w:sz w:val="20"/>
          <w:szCs w:val="20"/>
        </w:rPr>
        <w:t>pro rata die</w:t>
      </w:r>
      <w:r w:rsidRPr="00E20D21">
        <w:rPr>
          <w:rFonts w:ascii="CAIXA Std Book" w:hAnsi="CAIXA Std Book"/>
          <w:color w:val="005CA9"/>
          <w:sz w:val="20"/>
          <w:szCs w:val="20"/>
        </w:rPr>
        <w:t xml:space="preserve">. </w:t>
      </w:r>
    </w:p>
    <w:p w14:paraId="648CC073" w14:textId="77777777" w:rsidR="001E62D1" w:rsidRPr="00E20D21" w:rsidRDefault="001E62D1" w:rsidP="001E62D1">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lastRenderedPageBreak/>
        <w:t xml:space="preserve">Os depósitos e captações no mercado aberto, recursos </w:t>
      </w:r>
      <w:r w:rsidR="00FD33E2" w:rsidRPr="00E20D21">
        <w:rPr>
          <w:rFonts w:ascii="CAIXA Std Book" w:hAnsi="CAIXA Std Book"/>
          <w:color w:val="005CA9"/>
          <w:sz w:val="20"/>
          <w:szCs w:val="20"/>
        </w:rPr>
        <w:t>d</w:t>
      </w:r>
      <w:r w:rsidRPr="00E20D21">
        <w:rPr>
          <w:rFonts w:ascii="CAIXA Std Book" w:hAnsi="CAIXA Std Book"/>
          <w:color w:val="005CA9"/>
          <w:sz w:val="20"/>
          <w:szCs w:val="20"/>
        </w:rPr>
        <w:t>e emissão de títulos e obrigações por empréstimos e repasses têm seus prazos e valores contabilizados em contas patrimoniais e de resultado e seus encargos são apropriados mensalmente em razão da fluência de seus prazos, conforme demonstrado nas Notas Explicativas 1</w:t>
      </w:r>
      <w:r w:rsidR="00872E8C" w:rsidRPr="00E20D21">
        <w:rPr>
          <w:rFonts w:ascii="CAIXA Std Book" w:hAnsi="CAIXA Std Book"/>
          <w:color w:val="005CA9"/>
          <w:sz w:val="20"/>
          <w:szCs w:val="20"/>
        </w:rPr>
        <w:t>5</w:t>
      </w:r>
      <w:r w:rsidRPr="00E20D21">
        <w:rPr>
          <w:rFonts w:ascii="CAIXA Std Book" w:hAnsi="CAIXA Std Book"/>
          <w:color w:val="005CA9"/>
          <w:sz w:val="20"/>
          <w:szCs w:val="20"/>
        </w:rPr>
        <w:t>, 1</w:t>
      </w:r>
      <w:r w:rsidR="00872E8C" w:rsidRPr="00E20D21">
        <w:rPr>
          <w:rFonts w:ascii="CAIXA Std Book" w:hAnsi="CAIXA Std Book"/>
          <w:color w:val="005CA9"/>
          <w:sz w:val="20"/>
          <w:szCs w:val="20"/>
        </w:rPr>
        <w:t>6</w:t>
      </w:r>
      <w:r w:rsidRPr="00E20D21">
        <w:rPr>
          <w:rFonts w:ascii="CAIXA Std Book" w:hAnsi="CAIXA Std Book"/>
          <w:color w:val="005CA9"/>
          <w:sz w:val="20"/>
          <w:szCs w:val="20"/>
        </w:rPr>
        <w:t xml:space="preserve"> e 1</w:t>
      </w:r>
      <w:r w:rsidR="00872E8C" w:rsidRPr="00E20D21">
        <w:rPr>
          <w:rFonts w:ascii="CAIXA Std Book" w:hAnsi="CAIXA Std Book"/>
          <w:color w:val="005CA9"/>
          <w:sz w:val="20"/>
          <w:szCs w:val="20"/>
        </w:rPr>
        <w:t>7</w:t>
      </w:r>
      <w:r w:rsidRPr="00E20D21">
        <w:rPr>
          <w:rFonts w:ascii="CAIXA Std Book" w:hAnsi="CAIXA Std Book"/>
          <w:color w:val="005CA9"/>
          <w:sz w:val="20"/>
          <w:szCs w:val="20"/>
        </w:rPr>
        <w:t xml:space="preserve"> respectivamente.</w:t>
      </w:r>
    </w:p>
    <w:p w14:paraId="78FA0965" w14:textId="1F302744" w:rsidR="001E62D1" w:rsidRPr="00E20D21" w:rsidRDefault="001E62D1" w:rsidP="001E62D1">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Por tratar</w:t>
      </w:r>
      <w:r w:rsidR="007008D1" w:rsidRPr="00E20D21">
        <w:rPr>
          <w:rFonts w:ascii="CAIXA Std Book" w:hAnsi="CAIXA Std Book"/>
          <w:color w:val="005CA9"/>
          <w:sz w:val="20"/>
          <w:szCs w:val="20"/>
        </w:rPr>
        <w:t>-se</w:t>
      </w:r>
      <w:r w:rsidRPr="00E20D21">
        <w:rPr>
          <w:rFonts w:ascii="CAIXA Std Book" w:hAnsi="CAIXA Std Book"/>
          <w:color w:val="005CA9"/>
          <w:sz w:val="20"/>
          <w:szCs w:val="20"/>
        </w:rPr>
        <w:t xml:space="preserve"> de operações com taxas prefixadas, as captações de recursos mediante emissão de títulos e valores mobiliários têm suas despesas apropriadas no resultado de acordo com os prazos das operações e são apresentadas como redutoras do passivo correspondente.</w:t>
      </w:r>
    </w:p>
    <w:p w14:paraId="2B4754B7" w14:textId="6A542AA9" w:rsidR="001E62D1" w:rsidRPr="00E20D21" w:rsidRDefault="001E62D1" w:rsidP="00410D0F">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Provisões, ativos e passivos contingentes e obrigações fiscais e previdenciárias</w:t>
      </w:r>
    </w:p>
    <w:p w14:paraId="373BD73F" w14:textId="44AEF6E3"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reconhecimento, a mensuração e a divulgação das provisões</w:t>
      </w:r>
      <w:r w:rsidR="007008D1" w:rsidRPr="00E20D21">
        <w:rPr>
          <w:rFonts w:ascii="CAIXA Std Book" w:hAnsi="CAIXA Std Book"/>
          <w:color w:val="005CA9"/>
          <w:sz w:val="20"/>
          <w:szCs w:val="20"/>
        </w:rPr>
        <w:t xml:space="preserve"> passivas</w:t>
      </w:r>
      <w:r w:rsidR="006438CB" w:rsidRPr="00E20D21">
        <w:rPr>
          <w:rFonts w:ascii="CAIXA Std Book" w:hAnsi="CAIXA Std Book"/>
          <w:color w:val="005CA9"/>
          <w:sz w:val="20"/>
          <w:szCs w:val="20"/>
        </w:rPr>
        <w:t xml:space="preserve"> e</w:t>
      </w:r>
      <w:r w:rsidRPr="00E20D21">
        <w:rPr>
          <w:rFonts w:ascii="CAIXA Std Book" w:hAnsi="CAIXA Std Book"/>
          <w:color w:val="005CA9"/>
          <w:sz w:val="20"/>
          <w:szCs w:val="20"/>
        </w:rPr>
        <w:t xml:space="preserve"> das contingências passivas são </w:t>
      </w:r>
      <w:proofErr w:type="gramStart"/>
      <w:r w:rsidRPr="00E20D21">
        <w:rPr>
          <w:rFonts w:ascii="CAIXA Std Book" w:hAnsi="CAIXA Std Book"/>
          <w:color w:val="005CA9"/>
          <w:sz w:val="20"/>
          <w:szCs w:val="20"/>
        </w:rPr>
        <w:t>efetuados</w:t>
      </w:r>
      <w:proofErr w:type="gramEnd"/>
      <w:r w:rsidRPr="00E20D21">
        <w:rPr>
          <w:rFonts w:ascii="CAIXA Std Book" w:hAnsi="CAIXA Std Book"/>
          <w:color w:val="005CA9"/>
          <w:sz w:val="20"/>
          <w:szCs w:val="20"/>
        </w:rPr>
        <w:t xml:space="preserve"> de acordo com os critérios definidos pelo CPC 25 – Provisões, Passivos Contingentes e Ativos Contingentes, aprovado pela Resolução CMN nº 3.823/2009.</w:t>
      </w:r>
    </w:p>
    <w:p w14:paraId="0DBD6DBF" w14:textId="30C6BD0D" w:rsidR="001E62D1" w:rsidRPr="00E20D21" w:rsidRDefault="001E62D1" w:rsidP="6F89683C">
      <w:pPr>
        <w:pStyle w:val="PargrafodaLista"/>
        <w:numPr>
          <w:ilvl w:val="0"/>
          <w:numId w:val="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bCs/>
          <w:color w:val="005CA9"/>
          <w:sz w:val="20"/>
          <w:szCs w:val="20"/>
        </w:rPr>
        <w:t>Passivos contingentes</w:t>
      </w:r>
      <w:r w:rsidRPr="00E20D21">
        <w:rPr>
          <w:rFonts w:ascii="CAIXA Std Book" w:hAnsi="CAIXA Std Book"/>
          <w:color w:val="005CA9"/>
          <w:sz w:val="20"/>
          <w:szCs w:val="20"/>
        </w:rPr>
        <w:t xml:space="preserve">: conforme preceitua o CPC 25, os passivos contingentes não são provisionados, sendo as causas administrativas ou judiciais </w:t>
      </w:r>
      <w:r w:rsidR="00CC6E8B" w:rsidRPr="00E20D21">
        <w:rPr>
          <w:rFonts w:ascii="CAIXA Std Book" w:hAnsi="CAIXA Std Book"/>
          <w:color w:val="005CA9"/>
          <w:sz w:val="20"/>
          <w:szCs w:val="20"/>
        </w:rPr>
        <w:t>avalia</w:t>
      </w:r>
      <w:r w:rsidRPr="00E20D21">
        <w:rPr>
          <w:rFonts w:ascii="CAIXA Std Book" w:hAnsi="CAIXA Std Book"/>
          <w:color w:val="005CA9"/>
          <w:sz w:val="20"/>
          <w:szCs w:val="20"/>
        </w:rPr>
        <w:t>das como perdas possíveis apenas divulgadas nas notas explicativas</w:t>
      </w:r>
      <w:r w:rsidR="00FF4732" w:rsidRPr="00E20D21">
        <w:rPr>
          <w:rFonts w:ascii="CAIXA Std Book" w:hAnsi="CAIXA Std Book"/>
          <w:color w:val="005CA9"/>
          <w:sz w:val="20"/>
          <w:szCs w:val="20"/>
        </w:rPr>
        <w:t>.</w:t>
      </w:r>
      <w:r w:rsidRPr="00E20D21">
        <w:rPr>
          <w:rFonts w:ascii="CAIXA Std Book" w:hAnsi="CAIXA Std Book"/>
          <w:color w:val="005CA9"/>
          <w:sz w:val="20"/>
          <w:szCs w:val="20"/>
        </w:rPr>
        <w:t xml:space="preserve"> </w:t>
      </w:r>
      <w:r w:rsidR="00D933CA" w:rsidRPr="00E20D21">
        <w:rPr>
          <w:rFonts w:ascii="CAIXA Std Book" w:hAnsi="CAIXA Std Book"/>
          <w:color w:val="005CA9"/>
          <w:sz w:val="20"/>
          <w:szCs w:val="20"/>
        </w:rPr>
        <w:t xml:space="preserve">Passivos contingentes cuja avaliação da probabilidade de perda é remota </w:t>
      </w:r>
      <w:r w:rsidRPr="00E20D21">
        <w:rPr>
          <w:rFonts w:ascii="CAIXA Std Book" w:hAnsi="CAIXA Std Book"/>
          <w:color w:val="005CA9"/>
          <w:sz w:val="20"/>
          <w:szCs w:val="20"/>
        </w:rPr>
        <w:t xml:space="preserve">não requerem provisão </w:t>
      </w:r>
      <w:r w:rsidR="00D671D2" w:rsidRPr="00E20D21">
        <w:rPr>
          <w:rFonts w:ascii="CAIXA Std Book" w:hAnsi="CAIXA Std Book"/>
          <w:color w:val="005CA9"/>
          <w:sz w:val="20"/>
          <w:szCs w:val="20"/>
        </w:rPr>
        <w:t>nem</w:t>
      </w:r>
      <w:r w:rsidRPr="00E20D21">
        <w:rPr>
          <w:rFonts w:ascii="CAIXA Std Book" w:hAnsi="CAIXA Std Book"/>
          <w:color w:val="005CA9"/>
          <w:sz w:val="20"/>
          <w:szCs w:val="20"/>
        </w:rPr>
        <w:t xml:space="preserve"> tampouco divulgação. A análise e </w:t>
      </w:r>
      <w:r w:rsidR="003F034B" w:rsidRPr="00E20D21">
        <w:rPr>
          <w:rFonts w:ascii="CAIXA Std Book" w:hAnsi="CAIXA Std Book"/>
          <w:color w:val="005CA9"/>
          <w:sz w:val="20"/>
          <w:szCs w:val="20"/>
        </w:rPr>
        <w:t>avali</w:t>
      </w:r>
      <w:r w:rsidRPr="00E20D21">
        <w:rPr>
          <w:rFonts w:ascii="CAIXA Std Book" w:hAnsi="CAIXA Std Book"/>
          <w:color w:val="005CA9"/>
          <w:sz w:val="20"/>
          <w:szCs w:val="20"/>
        </w:rPr>
        <w:t>ação das perdas é realizada com base na opinião d</w:t>
      </w:r>
      <w:r w:rsidR="00E5657C" w:rsidRPr="00E20D21">
        <w:rPr>
          <w:rFonts w:ascii="CAIXA Std Book" w:hAnsi="CAIXA Std Book"/>
          <w:color w:val="005CA9"/>
          <w:sz w:val="20"/>
          <w:szCs w:val="20"/>
        </w:rPr>
        <w:t>a Diretoria Jurídica</w:t>
      </w:r>
      <w:r w:rsidRPr="00E20D21">
        <w:rPr>
          <w:rFonts w:ascii="CAIXA Std Book" w:hAnsi="CAIXA Std Book"/>
          <w:color w:val="005CA9"/>
          <w:sz w:val="20"/>
          <w:szCs w:val="20"/>
        </w:rPr>
        <w:t xml:space="preserve"> e da Administração. </w:t>
      </w:r>
    </w:p>
    <w:p w14:paraId="3727F468" w14:textId="77777777" w:rsidR="008740EE" w:rsidRPr="00E20D21" w:rsidRDefault="008740EE" w:rsidP="008740EE">
      <w:pPr>
        <w:pStyle w:val="PargrafodaLista"/>
        <w:numPr>
          <w:ilvl w:val="0"/>
          <w:numId w:val="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Provisões passivas</w:t>
      </w:r>
      <w:r w:rsidRPr="00E20D21">
        <w:rPr>
          <w:rFonts w:ascii="CAIXA Std Book" w:hAnsi="CAIXA Std Book"/>
          <w:color w:val="005CA9"/>
          <w:sz w:val="20"/>
          <w:szCs w:val="20"/>
        </w:rPr>
        <w:t>: são constituídas levando em consideração a opinião da Diretoria Jurídica e da Administração, a natureza das ações, a similaridade com processos anteriores, a complexidade e o posicionamento de tribunais. O registro de provisões passivas ocorre sempre que a perda for avaliada como provável, o que caracteriza uma provável saída de recursos para a liquidação das obrigações, e desde que os montantes envolvidos sejam mensuráveis com suficiente segurança.</w:t>
      </w:r>
    </w:p>
    <w:p w14:paraId="038D0DEF" w14:textId="77777777" w:rsidR="001E62D1" w:rsidRPr="00E20D21" w:rsidRDefault="001E62D1" w:rsidP="005007B3">
      <w:pPr>
        <w:pStyle w:val="PargrafodaLista"/>
        <w:numPr>
          <w:ilvl w:val="0"/>
          <w:numId w:val="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Provisão para garantias financeiras prestadas</w:t>
      </w:r>
      <w:r w:rsidR="00E5657C" w:rsidRPr="00E20D21">
        <w:rPr>
          <w:rFonts w:ascii="CAIXA Std Book" w:hAnsi="CAIXA Std Book"/>
          <w:b/>
          <w:color w:val="005CA9"/>
          <w:sz w:val="20"/>
          <w:szCs w:val="20"/>
        </w:rPr>
        <w:t xml:space="preserve">: </w:t>
      </w:r>
      <w:r w:rsidR="00E5657C" w:rsidRPr="00E20D21">
        <w:rPr>
          <w:rFonts w:ascii="CAIXA Std Book" w:hAnsi="CAIXA Std Book"/>
          <w:color w:val="005CA9"/>
          <w:sz w:val="20"/>
          <w:szCs w:val="20"/>
        </w:rPr>
        <w:t>a</w:t>
      </w:r>
      <w:r w:rsidRPr="00E20D21">
        <w:rPr>
          <w:rFonts w:ascii="CAIXA Std Book" w:hAnsi="CAIXA Std Book"/>
          <w:color w:val="005CA9"/>
          <w:sz w:val="20"/>
          <w:szCs w:val="20"/>
        </w:rPr>
        <w:t xml:space="preserve"> provisão para garantias financeiras prestadas é constituída com base no modelo de perda esperada, a qual é suficiente para cobertura das perdas prováveis durante todo o prazo da garantia prestada e reconhecida no passivo em contrapartida ao resultado do período, conforme Resolução CMN nº 4.512/2016.</w:t>
      </w:r>
      <w:r w:rsidR="00E5657C" w:rsidRPr="00E20D21">
        <w:rPr>
          <w:rFonts w:ascii="CAIXA Std Book" w:hAnsi="CAIXA Std Book"/>
          <w:color w:val="005CA9"/>
          <w:sz w:val="20"/>
          <w:szCs w:val="20"/>
        </w:rPr>
        <w:t xml:space="preserve"> </w:t>
      </w:r>
    </w:p>
    <w:p w14:paraId="555C3608" w14:textId="74D00518" w:rsidR="00E00D8C" w:rsidRPr="00E20D21" w:rsidRDefault="00E00D8C" w:rsidP="009342DD">
      <w:pPr>
        <w:pStyle w:val="PargrafodaLista"/>
        <w:numPr>
          <w:ilvl w:val="0"/>
          <w:numId w:val="8"/>
        </w:numPr>
        <w:tabs>
          <w:tab w:val="left" w:pos="1650"/>
        </w:tabs>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 xml:space="preserve">Ativos contingentes: </w:t>
      </w:r>
      <w:r w:rsidR="00F92D9F" w:rsidRPr="00E20D21">
        <w:rPr>
          <w:rFonts w:ascii="CAIXA Std Book" w:hAnsi="CAIXA Std Book"/>
          <w:color w:val="005CA9"/>
          <w:sz w:val="20"/>
          <w:szCs w:val="20"/>
        </w:rPr>
        <w:t>a CAIXA não possui ativos contingentes.</w:t>
      </w:r>
    </w:p>
    <w:p w14:paraId="7403B643" w14:textId="7A2DC4E1" w:rsidR="00EE74FC" w:rsidRPr="00E20D21" w:rsidRDefault="00E5657C" w:rsidP="00E5657C">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detalhamento dos passivos contingentes e das provisões, além de suas movimentações, é apresentado na Nota Explicativa 19.</w:t>
      </w:r>
    </w:p>
    <w:p w14:paraId="1BA99E04" w14:textId="77777777" w:rsidR="001E62D1" w:rsidRPr="00E20D21" w:rsidRDefault="001E62D1" w:rsidP="00410D0F">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Benefícios a empregados</w:t>
      </w:r>
    </w:p>
    <w:p w14:paraId="4ED7ED97" w14:textId="77777777"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benefícios a empregados, relacionados a benefícios de curto prazo para os empregados atuais, são reconhecidos pelo regime de competência de acordo com os serviços prestados. Os benefícios pós-emprego de responsabilidade da CAIXA e relacionados a complemento de aposentadoria e assistência médica são reconhecidos de acordo com os critérios do Pronunciamento Técnico CPC 33 (R1), recepcionado pelo Banco Central por meio da Resolução CMN nº 4.</w:t>
      </w:r>
      <w:r w:rsidR="00E941E8" w:rsidRPr="00E20D21">
        <w:rPr>
          <w:rFonts w:ascii="CAIXA Std Book" w:hAnsi="CAIXA Std Book"/>
          <w:color w:val="005CA9"/>
          <w:sz w:val="20"/>
          <w:szCs w:val="20"/>
        </w:rPr>
        <w:t>877/2020.</w:t>
      </w:r>
      <w:r w:rsidRPr="00E20D21">
        <w:rPr>
          <w:rFonts w:ascii="CAIXA Std Book" w:hAnsi="CAIXA Std Book"/>
          <w:color w:val="005CA9"/>
          <w:sz w:val="20"/>
          <w:szCs w:val="20"/>
        </w:rPr>
        <w:t xml:space="preserve"> </w:t>
      </w:r>
    </w:p>
    <w:p w14:paraId="4CC299EA" w14:textId="77777777"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Destaca-se que o Pronunciamento CPC 33 (R1) estipula para a empresa patrocinadora os parâmetros específicos para mensuração dos ativos, obrigações e, por consequência, do superávit e déficit de planos de aposentadoria. Todavia, devido às disposições legais presentes no Brasil, as demonstrações contábeis dos respectivos planos devem ser elaboradas com a observância das disposições instituídas pelo órgão competente nacional, o que conduz a apurações de superávit e déficit distintas.</w:t>
      </w:r>
    </w:p>
    <w:p w14:paraId="60977A9A" w14:textId="015B798E"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Tendo-se em vista que a CAIXA já constitui provisão atuarial, atendendo às disposições do Pronunciamento CPC 33 (R1), apenas existe prerrogativa de complemento dessa provisão na hipótese de o déficit, objeto de plano de equacionamento, apurado em conformidade à legislação local </w:t>
      </w:r>
      <w:r w:rsidR="00A769D8" w:rsidRPr="00E20D21">
        <w:rPr>
          <w:rFonts w:ascii="CAIXA Std Book" w:hAnsi="CAIXA Std Book"/>
          <w:color w:val="005CA9"/>
          <w:sz w:val="20"/>
          <w:szCs w:val="20"/>
        </w:rPr>
        <w:t xml:space="preserve">se </w:t>
      </w:r>
      <w:r w:rsidRPr="00E20D21">
        <w:rPr>
          <w:rFonts w:ascii="CAIXA Std Book" w:hAnsi="CAIXA Std Book"/>
          <w:color w:val="005CA9"/>
          <w:sz w:val="20"/>
          <w:szCs w:val="20"/>
        </w:rPr>
        <w:t>apresentar</w:t>
      </w:r>
      <w:r w:rsidR="00A769D8" w:rsidRPr="00E20D21">
        <w:rPr>
          <w:rFonts w:ascii="CAIXA Std Book" w:hAnsi="CAIXA Std Book"/>
          <w:color w:val="005CA9"/>
          <w:sz w:val="20"/>
          <w:szCs w:val="20"/>
        </w:rPr>
        <w:t xml:space="preserve"> em</w:t>
      </w:r>
      <w:r w:rsidRPr="00E20D21">
        <w:rPr>
          <w:rFonts w:ascii="CAIXA Std Book" w:hAnsi="CAIXA Std Book"/>
          <w:color w:val="005CA9"/>
          <w:sz w:val="20"/>
          <w:szCs w:val="20"/>
        </w:rPr>
        <w:t xml:space="preserve"> montante superior ao provisionado pelo Pronunciamento CPC 33 (R1).</w:t>
      </w:r>
    </w:p>
    <w:p w14:paraId="2E47428F" w14:textId="2FE05A8F" w:rsidR="001E62D1" w:rsidRPr="00E20D21" w:rsidRDefault="001E62D1"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lastRenderedPageBreak/>
        <w:t xml:space="preserve">Nesta hipótese, a complementação </w:t>
      </w:r>
      <w:r w:rsidR="004E0BB1" w:rsidRPr="00E20D21">
        <w:rPr>
          <w:rFonts w:ascii="CAIXA Std Book" w:hAnsi="CAIXA Std Book"/>
          <w:color w:val="005CA9"/>
          <w:sz w:val="20"/>
          <w:szCs w:val="20"/>
        </w:rPr>
        <w:t xml:space="preserve">se </w:t>
      </w:r>
      <w:r w:rsidRPr="00E20D21">
        <w:rPr>
          <w:rFonts w:ascii="CAIXA Std Book" w:hAnsi="CAIXA Std Book"/>
          <w:color w:val="005CA9"/>
          <w:sz w:val="20"/>
          <w:szCs w:val="20"/>
        </w:rPr>
        <w:t>dá em contrapartida ao Patrimônio Líquido, conforme consta da Interpretação Técnica ICPC 20 – Limite de Ativo de Benefício Definido, Requisitos de Custeio (</w:t>
      </w:r>
      <w:proofErr w:type="spellStart"/>
      <w:r w:rsidRPr="00E20D21">
        <w:rPr>
          <w:rFonts w:ascii="CAIXA Std Book" w:hAnsi="CAIXA Std Book"/>
          <w:i/>
          <w:color w:val="005CA9"/>
          <w:sz w:val="20"/>
          <w:szCs w:val="20"/>
        </w:rPr>
        <w:t>Funding</w:t>
      </w:r>
      <w:proofErr w:type="spellEnd"/>
      <w:proofErr w:type="gramStart"/>
      <w:r w:rsidRPr="00E20D21">
        <w:rPr>
          <w:rFonts w:ascii="CAIXA Std Book" w:hAnsi="CAIXA Std Book"/>
          <w:color w:val="005CA9"/>
          <w:sz w:val="20"/>
          <w:szCs w:val="20"/>
        </w:rPr>
        <w:t>) Mínimo</w:t>
      </w:r>
      <w:proofErr w:type="gramEnd"/>
      <w:r w:rsidRPr="00E20D21">
        <w:rPr>
          <w:rFonts w:ascii="CAIXA Std Book" w:hAnsi="CAIXA Std Book"/>
          <w:color w:val="005CA9"/>
          <w:sz w:val="20"/>
          <w:szCs w:val="20"/>
        </w:rPr>
        <w:t xml:space="preserve"> e sua Interação.</w:t>
      </w:r>
    </w:p>
    <w:p w14:paraId="062C5CF6" w14:textId="791D886A" w:rsidR="00AE6206" w:rsidRPr="00E20D21" w:rsidRDefault="00AE6206" w:rsidP="001E62D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avaliações atuariais são semestrais</w:t>
      </w:r>
      <w:r w:rsidR="003D3D4E" w:rsidRPr="00E20D21">
        <w:rPr>
          <w:rFonts w:ascii="CAIXA Std Book" w:hAnsi="CAIXA Std Book"/>
          <w:color w:val="005CA9"/>
          <w:sz w:val="20"/>
          <w:szCs w:val="20"/>
        </w:rPr>
        <w:t xml:space="preserve"> </w:t>
      </w:r>
      <w:r w:rsidRPr="00E20D21">
        <w:rPr>
          <w:rFonts w:ascii="CAIXA Std Book" w:hAnsi="CAIXA Std Book"/>
          <w:color w:val="005CA9"/>
          <w:sz w:val="20"/>
          <w:szCs w:val="20"/>
        </w:rPr>
        <w:t>e seu detalhamento é apresentado na Nota Explicativa 21.</w:t>
      </w:r>
    </w:p>
    <w:p w14:paraId="2A5721BE" w14:textId="3D1866B0" w:rsidR="00E51317" w:rsidRPr="00E20D21" w:rsidRDefault="00E51317" w:rsidP="00410D0F">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Outros ativos e passivos</w:t>
      </w:r>
      <w:r w:rsidR="006D7E38" w:rsidRPr="00E20D21">
        <w:rPr>
          <w:rFonts w:ascii="CAIXA Std Book" w:hAnsi="CAIXA Std Book"/>
          <w:b/>
          <w:color w:val="005CA9"/>
          <w:sz w:val="20"/>
          <w:szCs w:val="20"/>
        </w:rPr>
        <w:t xml:space="preserve"> financeiros e não financeiros</w:t>
      </w:r>
    </w:p>
    <w:p w14:paraId="20056672" w14:textId="2D12BA64" w:rsidR="00E079D3" w:rsidRPr="00E20D21" w:rsidRDefault="00E51317" w:rsidP="00E079D3">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demais ativos estão demonstrados pelos valores de realização, incluindo, quando aplicável, os rendimentos e as variações monetárias e cambiais auferidos em base pro rata dia e provisão para perda, quando julgada necessária. Os demais passivos demonstrados inclu</w:t>
      </w:r>
      <w:r w:rsidR="007008D1" w:rsidRPr="00E20D21">
        <w:rPr>
          <w:rFonts w:ascii="CAIXA Std Book" w:hAnsi="CAIXA Std Book"/>
          <w:color w:val="005CA9"/>
          <w:sz w:val="20"/>
          <w:szCs w:val="20"/>
        </w:rPr>
        <w:t>em</w:t>
      </w:r>
      <w:r w:rsidRPr="00E20D21">
        <w:rPr>
          <w:rFonts w:ascii="CAIXA Std Book" w:hAnsi="CAIXA Std Book"/>
          <w:color w:val="005CA9"/>
          <w:sz w:val="20"/>
          <w:szCs w:val="20"/>
        </w:rPr>
        <w:t xml:space="preserve"> os valores conhecidos e mensuráveis, acrescidos, quando aplicável, dos encargos e das variações monetárias e cambiais incorridos em base </w:t>
      </w:r>
      <w:r w:rsidRPr="00E20D21">
        <w:rPr>
          <w:rFonts w:ascii="CAIXA Std Book" w:hAnsi="CAIXA Std Book"/>
          <w:i/>
          <w:color w:val="005CA9"/>
          <w:sz w:val="20"/>
          <w:szCs w:val="20"/>
        </w:rPr>
        <w:t>pro rata die</w:t>
      </w:r>
      <w:r w:rsidR="000F4D75" w:rsidRPr="00E20D21">
        <w:rPr>
          <w:rFonts w:ascii="CAIXA Std Book" w:hAnsi="CAIXA Std Book"/>
          <w:color w:val="005CA9"/>
          <w:sz w:val="20"/>
          <w:szCs w:val="20"/>
        </w:rPr>
        <w:t>.</w:t>
      </w:r>
      <w:r w:rsidR="004C3BF6" w:rsidRPr="00E20D21">
        <w:rPr>
          <w:rFonts w:ascii="CAIXA Std Book" w:hAnsi="CAIXA Std Book"/>
          <w:color w:val="005CA9"/>
          <w:sz w:val="20"/>
          <w:szCs w:val="20"/>
        </w:rPr>
        <w:t xml:space="preserve"> O detalhamento do</w:t>
      </w:r>
      <w:r w:rsidR="36B3D4C5" w:rsidRPr="00E20D21">
        <w:rPr>
          <w:rFonts w:ascii="CAIXA Std Book" w:hAnsi="CAIXA Std Book"/>
          <w:color w:val="005CA9"/>
          <w:sz w:val="20"/>
          <w:szCs w:val="20"/>
        </w:rPr>
        <w:t>s</w:t>
      </w:r>
      <w:r w:rsidR="004C3BF6" w:rsidRPr="00E20D21">
        <w:rPr>
          <w:rFonts w:ascii="CAIXA Std Book" w:hAnsi="CAIXA Std Book"/>
          <w:color w:val="005CA9"/>
          <w:sz w:val="20"/>
          <w:szCs w:val="20"/>
        </w:rPr>
        <w:t xml:space="preserve"> ativos e passivos não financeiros são apresentados respectivamente nas Notas Explicativas </w:t>
      </w:r>
      <w:r w:rsidR="00385F26" w:rsidRPr="00E20D21">
        <w:rPr>
          <w:rFonts w:ascii="CAIXA Std Book" w:hAnsi="CAIXA Std Book"/>
          <w:color w:val="005CA9"/>
          <w:sz w:val="20"/>
          <w:szCs w:val="20"/>
        </w:rPr>
        <w:t xml:space="preserve">10, </w:t>
      </w:r>
      <w:r w:rsidR="004C3BF6" w:rsidRPr="00E20D21">
        <w:rPr>
          <w:rFonts w:ascii="CAIXA Std Book" w:hAnsi="CAIXA Std Book"/>
          <w:color w:val="005CA9"/>
          <w:sz w:val="20"/>
          <w:szCs w:val="20"/>
        </w:rPr>
        <w:t>14</w:t>
      </w:r>
      <w:r w:rsidR="00385F26" w:rsidRPr="00E20D21">
        <w:rPr>
          <w:rFonts w:ascii="CAIXA Std Book" w:hAnsi="CAIXA Std Book"/>
          <w:color w:val="005CA9"/>
          <w:sz w:val="20"/>
          <w:szCs w:val="20"/>
        </w:rPr>
        <w:t>,</w:t>
      </w:r>
      <w:r w:rsidR="00911D04" w:rsidRPr="00E20D21">
        <w:rPr>
          <w:rFonts w:ascii="CAIXA Std Book" w:hAnsi="CAIXA Std Book"/>
          <w:color w:val="005CA9"/>
          <w:sz w:val="20"/>
          <w:szCs w:val="20"/>
        </w:rPr>
        <w:t xml:space="preserve"> </w:t>
      </w:r>
      <w:r w:rsidR="00385F26" w:rsidRPr="00E20D21">
        <w:rPr>
          <w:rFonts w:ascii="CAIXA Std Book" w:hAnsi="CAIXA Std Book"/>
          <w:color w:val="005CA9"/>
          <w:sz w:val="20"/>
          <w:szCs w:val="20"/>
        </w:rPr>
        <w:t>18</w:t>
      </w:r>
      <w:r w:rsidR="004C3BF6" w:rsidRPr="00E20D21">
        <w:rPr>
          <w:rFonts w:ascii="CAIXA Std Book" w:hAnsi="CAIXA Std Book"/>
          <w:color w:val="005CA9"/>
          <w:sz w:val="20"/>
          <w:szCs w:val="20"/>
        </w:rPr>
        <w:t xml:space="preserve"> e 22.</w:t>
      </w:r>
    </w:p>
    <w:p w14:paraId="69267432" w14:textId="37BE7BBA" w:rsidR="001E62D1" w:rsidRPr="00E20D21" w:rsidRDefault="00F74461" w:rsidP="00410D0F">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Re</w:t>
      </w:r>
      <w:r w:rsidR="000C0BF0" w:rsidRPr="00E20D21">
        <w:rPr>
          <w:rFonts w:ascii="CAIXA Std Book" w:hAnsi="CAIXA Std Book"/>
          <w:b/>
          <w:color w:val="005CA9"/>
          <w:sz w:val="20"/>
          <w:szCs w:val="20"/>
        </w:rPr>
        <w:t>ceitas antecipadas</w:t>
      </w:r>
    </w:p>
    <w:p w14:paraId="350A5B82" w14:textId="7E60A6C0" w:rsidR="00E5657C" w:rsidRPr="00E20D21" w:rsidRDefault="001E62D1" w:rsidP="00E5657C">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Receitas recebidas antecipadamente a serem apropriadas em resultado em períodos seguintes e para as quais não há previsão, no curso normal de execução do contrato, de restituição às outras partes envolvidas no contrato. São registradas inicialmente </w:t>
      </w:r>
      <w:r w:rsidR="00FD33E2" w:rsidRPr="00E20D21">
        <w:rPr>
          <w:rFonts w:ascii="CAIXA Std Book" w:hAnsi="CAIXA Std Book"/>
          <w:color w:val="005CA9"/>
          <w:sz w:val="20"/>
          <w:szCs w:val="20"/>
        </w:rPr>
        <w:t xml:space="preserve">como passivo de antecipação de receita </w:t>
      </w:r>
      <w:r w:rsidRPr="00E20D21">
        <w:rPr>
          <w:rFonts w:ascii="CAIXA Std Book" w:hAnsi="CAIXA Std Book"/>
          <w:color w:val="005CA9"/>
          <w:sz w:val="20"/>
          <w:szCs w:val="20"/>
        </w:rPr>
        <w:t>e reconhecidas em resultado conforme a fruição do seu prazo contratual.</w:t>
      </w:r>
      <w:r w:rsidR="00E5657C" w:rsidRPr="00E20D21">
        <w:rPr>
          <w:rFonts w:ascii="CAIXA Std Book" w:hAnsi="CAIXA Std Book"/>
          <w:color w:val="005CA9"/>
          <w:sz w:val="20"/>
          <w:szCs w:val="20"/>
        </w:rPr>
        <w:t xml:space="preserve"> O detalhamento das receitas antecipadas é apresentado na Nota Explicativa 18.</w:t>
      </w:r>
    </w:p>
    <w:p w14:paraId="731235C6" w14:textId="3B669173" w:rsidR="00950655" w:rsidRPr="00E20D21" w:rsidRDefault="00950655" w:rsidP="00410D0F">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Resultado recorrente e não recorrente</w:t>
      </w:r>
    </w:p>
    <w:p w14:paraId="04924F34" w14:textId="712AA84E" w:rsidR="00EE74FC" w:rsidRPr="00E20D21" w:rsidRDefault="00950655" w:rsidP="00E079D3">
      <w:pPr>
        <w:spacing w:before="120" w:after="120"/>
        <w:jc w:val="both"/>
        <w:rPr>
          <w:rFonts w:ascii="CAIXA Std Book" w:hAnsi="CAIXA Std Book"/>
          <w:color w:val="005CA9"/>
          <w:sz w:val="20"/>
          <w:szCs w:val="20"/>
        </w:rPr>
      </w:pPr>
      <w:bookmarkStart w:id="24" w:name="_Hlk41486171"/>
      <w:r w:rsidRPr="00E20D21">
        <w:rPr>
          <w:rFonts w:ascii="CAIXA Std Book" w:hAnsi="CAIXA Std Book"/>
          <w:color w:val="005CA9"/>
          <w:sz w:val="20"/>
          <w:szCs w:val="20"/>
        </w:rPr>
        <w:t xml:space="preserve">A Resolução BCB n° 2/2020 determinou a divulgação em notas explicativas, do resultado recorrente e não recorrentes de forma segregada. </w:t>
      </w:r>
      <w:r w:rsidR="00CD1700" w:rsidRPr="00E20D21">
        <w:rPr>
          <w:rFonts w:ascii="CAIXA Std Book" w:hAnsi="CAIXA Std Book"/>
          <w:color w:val="005CA9"/>
          <w:sz w:val="20"/>
          <w:szCs w:val="20"/>
        </w:rPr>
        <w:t>Para fins</w:t>
      </w:r>
      <w:r w:rsidRPr="00E20D21">
        <w:rPr>
          <w:rFonts w:ascii="CAIXA Std Book" w:hAnsi="CAIXA Std Book"/>
          <w:color w:val="005CA9"/>
          <w:sz w:val="20"/>
          <w:szCs w:val="20"/>
        </w:rPr>
        <w:t xml:space="preserve"> do disposto na Resolução, considera-se resultado não recorrente o resultado que:</w:t>
      </w:r>
      <w:bookmarkEnd w:id="24"/>
      <w:r w:rsidRPr="00E20D21">
        <w:rPr>
          <w:rFonts w:ascii="CAIXA Std Book" w:hAnsi="CAIXA Std Book"/>
          <w:color w:val="005CA9"/>
          <w:sz w:val="20"/>
          <w:szCs w:val="20"/>
        </w:rPr>
        <w:t xml:space="preserve"> I - não esteja relacionado ou esteja relacionado incidentalmente com as atividades típicas da instituição; e II - não esteja previsto para ocorrer com frequência nos exercícios futuros.</w:t>
      </w:r>
      <w:r w:rsidR="00732239" w:rsidRPr="00E20D21">
        <w:rPr>
          <w:rFonts w:ascii="CAIXA Std Book" w:hAnsi="CAIXA Std Book"/>
          <w:color w:val="005CA9"/>
          <w:sz w:val="20"/>
          <w:szCs w:val="20"/>
        </w:rPr>
        <w:t xml:space="preserve"> O detalhamento do resultado recorrente e não recorrente é apresentado na Nota Explicativa 34.</w:t>
      </w:r>
    </w:p>
    <w:p w14:paraId="50B20AB3" w14:textId="77777777" w:rsidR="00BF2D7F" w:rsidRPr="00E20D21" w:rsidRDefault="00BF2D7F" w:rsidP="00410D0F">
      <w:pPr>
        <w:keepNext/>
        <w:numPr>
          <w:ilvl w:val="0"/>
          <w:numId w:val="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 xml:space="preserve">Eventos Subsequentes </w:t>
      </w:r>
    </w:p>
    <w:p w14:paraId="13A1E86D" w14:textId="77777777" w:rsidR="00BF2D7F" w:rsidRPr="00E20D21" w:rsidRDefault="00BF2D7F" w:rsidP="004C213A">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Correspondem aos eventos ocorridos entre a data-base das demonstrações contábeis e a data de autorização para a sua emissão. São compostos por: </w:t>
      </w:r>
    </w:p>
    <w:p w14:paraId="455E5160" w14:textId="77777777" w:rsidR="00BF2D7F" w:rsidRPr="00E20D21" w:rsidRDefault="00BF2D7F" w:rsidP="004C213A">
      <w:pPr>
        <w:pStyle w:val="PargrafodaLista"/>
        <w:numPr>
          <w:ilvl w:val="0"/>
          <w:numId w:val="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 xml:space="preserve">Eventos que originam ajustes: </w:t>
      </w:r>
      <w:r w:rsidRPr="00E20D21">
        <w:rPr>
          <w:rFonts w:ascii="CAIXA Std Book" w:hAnsi="CAIXA Std Book"/>
          <w:color w:val="005CA9"/>
          <w:sz w:val="20"/>
          <w:szCs w:val="20"/>
        </w:rPr>
        <w:t xml:space="preserve">são aqueles que evidenciam condições que já existiam na data-base das demonstrações contábeis; e </w:t>
      </w:r>
    </w:p>
    <w:p w14:paraId="4E64970E" w14:textId="77777777" w:rsidR="00BF2D7F" w:rsidRPr="00E20D21" w:rsidRDefault="00BF2D7F" w:rsidP="004C213A">
      <w:pPr>
        <w:pStyle w:val="PargrafodaLista"/>
        <w:numPr>
          <w:ilvl w:val="0"/>
          <w:numId w:val="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Eventos que não originam ajustes:</w:t>
      </w:r>
      <w:r w:rsidRPr="00E20D21">
        <w:rPr>
          <w:rFonts w:ascii="CAIXA Std Book" w:hAnsi="CAIXA Std Book"/>
          <w:color w:val="005CA9"/>
          <w:sz w:val="20"/>
          <w:szCs w:val="20"/>
        </w:rPr>
        <w:t xml:space="preserve"> são aqueles que evidenciam condições que não existiam na data-base das demonstrações contábeis. </w:t>
      </w:r>
    </w:p>
    <w:bookmarkEnd w:id="19"/>
    <w:p w14:paraId="2419C8A1" w14:textId="795E6673" w:rsidR="003E2AF1" w:rsidRPr="00E20D21" w:rsidRDefault="00C23D54" w:rsidP="002031B3">
      <w:pPr>
        <w:jc w:val="both"/>
        <w:rPr>
          <w:rFonts w:ascii="CAIXA Std Book" w:hAnsi="CAIXA Std Book"/>
          <w:color w:val="005CA9"/>
          <w:sz w:val="20"/>
          <w:szCs w:val="20"/>
        </w:rPr>
      </w:pPr>
      <w:r w:rsidRPr="00E20D21">
        <w:rPr>
          <w:rFonts w:ascii="CAIXA Std Book" w:hAnsi="CAIXA Std Book"/>
          <w:color w:val="005CA9"/>
          <w:sz w:val="20"/>
          <w:szCs w:val="20"/>
        </w:rPr>
        <w:t xml:space="preserve">Os eventos subsequentes, quando existirem, serão descritos e divulgados </w:t>
      </w:r>
      <w:r w:rsidR="00B34EA9" w:rsidRPr="00E20D21">
        <w:rPr>
          <w:rFonts w:ascii="CAIXA Std Book" w:hAnsi="CAIXA Std Book"/>
          <w:color w:val="005CA9"/>
          <w:sz w:val="20"/>
          <w:szCs w:val="20"/>
        </w:rPr>
        <w:t>na Nota Explicativa 3</w:t>
      </w:r>
      <w:r w:rsidR="00E84E28" w:rsidRPr="00E20D21">
        <w:rPr>
          <w:rFonts w:ascii="CAIXA Std Book" w:hAnsi="CAIXA Std Book"/>
          <w:color w:val="005CA9"/>
          <w:sz w:val="20"/>
          <w:szCs w:val="20"/>
        </w:rPr>
        <w:t>6</w:t>
      </w:r>
      <w:r w:rsidR="00B34EA9" w:rsidRPr="00E20D21">
        <w:rPr>
          <w:rFonts w:ascii="CAIXA Std Book" w:hAnsi="CAIXA Std Book"/>
          <w:color w:val="005CA9"/>
          <w:sz w:val="20"/>
          <w:szCs w:val="20"/>
        </w:rPr>
        <w:t xml:space="preserve"> </w:t>
      </w:r>
      <w:r w:rsidRPr="00E20D21">
        <w:rPr>
          <w:rFonts w:ascii="CAIXA Std Book" w:hAnsi="CAIXA Std Book"/>
          <w:color w:val="005CA9"/>
          <w:sz w:val="20"/>
          <w:szCs w:val="20"/>
        </w:rPr>
        <w:t>de acordo com os critérios estabelecidos pelo CPC 24 – Eventos Subsequentes, aprovado pela Resolução CMN nº 4.818/2020.</w:t>
      </w:r>
    </w:p>
    <w:p w14:paraId="358D4855" w14:textId="77777777" w:rsidR="003E2AF1" w:rsidRPr="00E20D21" w:rsidRDefault="003E2AF1">
      <w:pPr>
        <w:rPr>
          <w:rFonts w:ascii="CAIXA Std Book" w:hAnsi="CAIXA Std Book"/>
          <w:color w:val="005CA9"/>
          <w:sz w:val="20"/>
          <w:szCs w:val="20"/>
        </w:rPr>
      </w:pPr>
      <w:r w:rsidRPr="00E20D21">
        <w:rPr>
          <w:rFonts w:ascii="CAIXA Std Book" w:hAnsi="CAIXA Std Book"/>
          <w:color w:val="005CA9"/>
          <w:sz w:val="20"/>
          <w:szCs w:val="20"/>
        </w:rPr>
        <w:br w:type="page"/>
      </w:r>
    </w:p>
    <w:p w14:paraId="7CE510EA" w14:textId="5D9CC44F" w:rsidR="00921144" w:rsidRPr="00E20D21" w:rsidRDefault="00921144" w:rsidP="00FD7768">
      <w:pPr>
        <w:pStyle w:val="Ttulo1"/>
      </w:pPr>
      <w:bookmarkStart w:id="25" w:name="_Toc175067944"/>
      <w:r w:rsidRPr="00E20D21">
        <w:lastRenderedPageBreak/>
        <w:t>Nota   4 – Caixa e equivalentes de caixa</w:t>
      </w:r>
      <w:bookmarkEnd w:id="25"/>
    </w:p>
    <w:p w14:paraId="5E1AEC9F" w14:textId="43DDF596" w:rsidR="0012240B" w:rsidRPr="00E20D21" w:rsidRDefault="00895648" w:rsidP="00880ED6">
      <w:pPr>
        <w:spacing w:before="120"/>
        <w:jc w:val="both"/>
        <w:rPr>
          <w:rFonts w:ascii="CAIXA Std Book" w:hAnsi="CAIXA Std Book"/>
          <w:color w:val="005CA9"/>
          <w:sz w:val="20"/>
          <w:szCs w:val="20"/>
        </w:rPr>
      </w:pPr>
      <w:r w:rsidRPr="00E20D21">
        <w:rPr>
          <w:rFonts w:ascii="CAIXA Std Book" w:hAnsi="CAIXA Std Book"/>
          <w:color w:val="005CA9"/>
          <w:sz w:val="20"/>
          <w:szCs w:val="20"/>
        </w:rPr>
        <w:t>Os valores reconhecidos como caixa e equivalentes de caixa são representados por disponibilidades em moeda nacional, moeda estrangeira e aplicações interfinanceiras de liquidez adquiridas com prazo de vencimento igual ou inferior a 90 dias e com risco insignificante de mudança no valor.</w:t>
      </w:r>
    </w:p>
    <w:p w14:paraId="0FCE2BBB" w14:textId="77777777" w:rsidR="00880ED6" w:rsidRPr="00E20D21" w:rsidRDefault="00880ED6" w:rsidP="00880ED6">
      <w:pPr>
        <w:jc w:val="both"/>
        <w:rPr>
          <w:rFonts w:ascii="CAIXA Std Book" w:hAnsi="CAIXA Std Book"/>
          <w:color w:val="005CA9"/>
          <w:sz w:val="20"/>
          <w:szCs w:val="20"/>
        </w:rPr>
      </w:pPr>
    </w:p>
    <w:tbl>
      <w:tblPr>
        <w:tblW w:w="5000" w:type="pct"/>
        <w:tblCellMar>
          <w:left w:w="70" w:type="dxa"/>
          <w:right w:w="70" w:type="dxa"/>
        </w:tblCellMar>
        <w:tblLook w:val="04A0" w:firstRow="1" w:lastRow="0" w:firstColumn="1" w:lastColumn="0" w:noHBand="0" w:noVBand="1"/>
      </w:tblPr>
      <w:tblGrid>
        <w:gridCol w:w="5886"/>
        <w:gridCol w:w="1876"/>
        <w:gridCol w:w="1876"/>
      </w:tblGrid>
      <w:tr w:rsidR="00A47C19" w:rsidRPr="00E20D21" w14:paraId="40840A9E" w14:textId="77777777" w:rsidTr="005152A9">
        <w:trPr>
          <w:trHeight w:val="283"/>
        </w:trPr>
        <w:tc>
          <w:tcPr>
            <w:tcW w:w="5000" w:type="pct"/>
            <w:gridSpan w:val="3"/>
            <w:tcBorders>
              <w:top w:val="single" w:sz="4" w:space="0" w:color="F79646"/>
              <w:left w:val="nil"/>
              <w:bottom w:val="single" w:sz="4" w:space="0" w:color="F79646"/>
            </w:tcBorders>
            <w:shd w:val="clear" w:color="auto" w:fill="auto"/>
            <w:vAlign w:val="center"/>
            <w:hideMark/>
          </w:tcPr>
          <w:p w14:paraId="49F4699A" w14:textId="77777777" w:rsidR="0012240B" w:rsidRPr="00E20D21" w:rsidRDefault="0012240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r>
      <w:tr w:rsidR="00A47C19" w:rsidRPr="00E20D21" w14:paraId="32DAD0A7" w14:textId="77777777" w:rsidTr="005152A9">
        <w:trPr>
          <w:trHeight w:val="283"/>
        </w:trPr>
        <w:tc>
          <w:tcPr>
            <w:tcW w:w="3054" w:type="pct"/>
            <w:tcBorders>
              <w:top w:val="single" w:sz="4" w:space="0" w:color="F79646"/>
              <w:left w:val="nil"/>
              <w:bottom w:val="single" w:sz="4" w:space="0" w:color="F79646"/>
              <w:right w:val="nil"/>
            </w:tcBorders>
            <w:shd w:val="clear" w:color="auto" w:fill="auto"/>
            <w:vAlign w:val="center"/>
            <w:hideMark/>
          </w:tcPr>
          <w:p w14:paraId="249828CA" w14:textId="77777777" w:rsidR="0090477E" w:rsidRPr="00E20D21" w:rsidRDefault="0090477E" w:rsidP="0090477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973" w:type="pct"/>
            <w:tcBorders>
              <w:top w:val="single" w:sz="4" w:space="0" w:color="F79646"/>
              <w:left w:val="nil"/>
              <w:bottom w:val="single" w:sz="4" w:space="0" w:color="F79646"/>
              <w:right w:val="nil"/>
            </w:tcBorders>
            <w:shd w:val="clear" w:color="auto" w:fill="auto"/>
            <w:vAlign w:val="center"/>
            <w:hideMark/>
          </w:tcPr>
          <w:p w14:paraId="7C619B9B" w14:textId="2056E916" w:rsidR="0090477E" w:rsidRPr="00E20D21" w:rsidRDefault="0090477E" w:rsidP="0090477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w:t>
            </w:r>
            <w:r w:rsidR="00701350" w:rsidRPr="00E20D21">
              <w:rPr>
                <w:rFonts w:ascii="CAIXA Std Book" w:eastAsia="Times New Roman" w:hAnsi="CAIXA Std Book" w:cs="Arial"/>
                <w:b/>
                <w:bCs/>
                <w:color w:val="005CA9"/>
                <w:sz w:val="18"/>
                <w:szCs w:val="18"/>
              </w:rPr>
              <w:t>4</w:t>
            </w:r>
          </w:p>
        </w:tc>
        <w:tc>
          <w:tcPr>
            <w:tcW w:w="973" w:type="pct"/>
            <w:tcBorders>
              <w:top w:val="single" w:sz="4" w:space="0" w:color="F79646"/>
              <w:left w:val="nil"/>
              <w:bottom w:val="single" w:sz="4" w:space="0" w:color="F79646"/>
              <w:right w:val="nil"/>
            </w:tcBorders>
            <w:shd w:val="clear" w:color="auto" w:fill="auto"/>
            <w:vAlign w:val="center"/>
            <w:hideMark/>
          </w:tcPr>
          <w:p w14:paraId="479B7B6D" w14:textId="2F528C67" w:rsidR="0090477E" w:rsidRPr="00E20D21" w:rsidRDefault="0090477E" w:rsidP="0090477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3417FE" w:rsidRPr="00E20D21" w14:paraId="76E82C3D" w14:textId="77777777" w:rsidTr="005152A9">
        <w:trPr>
          <w:trHeight w:val="283"/>
        </w:trPr>
        <w:tc>
          <w:tcPr>
            <w:tcW w:w="3054" w:type="pct"/>
            <w:tcBorders>
              <w:top w:val="single" w:sz="4" w:space="0" w:color="F79646"/>
              <w:left w:val="nil"/>
              <w:bottom w:val="nil"/>
              <w:right w:val="nil"/>
            </w:tcBorders>
            <w:shd w:val="clear" w:color="auto" w:fill="auto"/>
            <w:noWrap/>
            <w:vAlign w:val="center"/>
            <w:hideMark/>
          </w:tcPr>
          <w:p w14:paraId="0F835829" w14:textId="77777777" w:rsidR="003417FE" w:rsidRPr="00E20D21" w:rsidRDefault="003417FE" w:rsidP="003417F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de disponibilidades (caixa)</w:t>
            </w:r>
          </w:p>
        </w:tc>
        <w:tc>
          <w:tcPr>
            <w:tcW w:w="973" w:type="pct"/>
            <w:tcBorders>
              <w:top w:val="nil"/>
              <w:left w:val="nil"/>
              <w:bottom w:val="nil"/>
              <w:right w:val="nil"/>
            </w:tcBorders>
            <w:shd w:val="clear" w:color="auto" w:fill="auto"/>
            <w:noWrap/>
            <w:vAlign w:val="center"/>
          </w:tcPr>
          <w:p w14:paraId="3CD9C6EE" w14:textId="72775478" w:rsidR="003417FE" w:rsidRPr="00E20D21" w:rsidRDefault="003417FE" w:rsidP="003417F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10.256.457</w:t>
            </w:r>
          </w:p>
        </w:tc>
        <w:tc>
          <w:tcPr>
            <w:tcW w:w="973" w:type="pct"/>
            <w:tcBorders>
              <w:top w:val="single" w:sz="4" w:space="0" w:color="F79646"/>
              <w:left w:val="nil"/>
              <w:bottom w:val="nil"/>
              <w:right w:val="nil"/>
            </w:tcBorders>
            <w:shd w:val="clear" w:color="auto" w:fill="auto"/>
            <w:noWrap/>
            <w:vAlign w:val="center"/>
            <w:hideMark/>
          </w:tcPr>
          <w:p w14:paraId="09B16E7B" w14:textId="3456870A" w:rsidR="003417FE" w:rsidRPr="00E20D21" w:rsidRDefault="003417FE" w:rsidP="003417F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10.384.753</w:t>
            </w:r>
          </w:p>
        </w:tc>
      </w:tr>
      <w:tr w:rsidR="003417FE" w:rsidRPr="00E20D21" w14:paraId="5416D1D7" w14:textId="77777777" w:rsidTr="005152A9">
        <w:trPr>
          <w:trHeight w:val="283"/>
        </w:trPr>
        <w:tc>
          <w:tcPr>
            <w:tcW w:w="3054" w:type="pct"/>
            <w:tcBorders>
              <w:top w:val="nil"/>
              <w:left w:val="nil"/>
              <w:bottom w:val="nil"/>
              <w:right w:val="nil"/>
            </w:tcBorders>
            <w:shd w:val="clear" w:color="auto" w:fill="auto"/>
            <w:vAlign w:val="center"/>
            <w:hideMark/>
          </w:tcPr>
          <w:p w14:paraId="43F60BE8" w14:textId="77777777" w:rsidR="003417FE" w:rsidRPr="00E20D21" w:rsidRDefault="003417FE" w:rsidP="003417F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Disponibilidade em moeda nacional (1)</w:t>
            </w:r>
          </w:p>
        </w:tc>
        <w:tc>
          <w:tcPr>
            <w:tcW w:w="973" w:type="pct"/>
            <w:tcBorders>
              <w:top w:val="nil"/>
              <w:left w:val="nil"/>
              <w:bottom w:val="nil"/>
              <w:right w:val="nil"/>
            </w:tcBorders>
            <w:shd w:val="clear" w:color="auto" w:fill="auto"/>
            <w:vAlign w:val="center"/>
          </w:tcPr>
          <w:p w14:paraId="5133A4E9" w14:textId="326C51FB" w:rsidR="003417FE" w:rsidRPr="00E20D21" w:rsidRDefault="003417FE" w:rsidP="003417F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10.000.118</w:t>
            </w:r>
          </w:p>
        </w:tc>
        <w:tc>
          <w:tcPr>
            <w:tcW w:w="973" w:type="pct"/>
            <w:tcBorders>
              <w:top w:val="nil"/>
              <w:left w:val="nil"/>
              <w:bottom w:val="nil"/>
              <w:right w:val="nil"/>
            </w:tcBorders>
            <w:shd w:val="clear" w:color="auto" w:fill="auto"/>
            <w:vAlign w:val="center"/>
            <w:hideMark/>
          </w:tcPr>
          <w:p w14:paraId="454A727C" w14:textId="3F2F9548" w:rsidR="003417FE" w:rsidRPr="00E20D21" w:rsidRDefault="003417FE" w:rsidP="003417F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10.174.722</w:t>
            </w:r>
          </w:p>
        </w:tc>
      </w:tr>
      <w:tr w:rsidR="003417FE" w:rsidRPr="00E20D21" w14:paraId="5F0FA07C" w14:textId="77777777" w:rsidTr="005152A9">
        <w:trPr>
          <w:trHeight w:val="283"/>
        </w:trPr>
        <w:tc>
          <w:tcPr>
            <w:tcW w:w="3054" w:type="pct"/>
            <w:tcBorders>
              <w:top w:val="nil"/>
              <w:left w:val="nil"/>
              <w:bottom w:val="nil"/>
              <w:right w:val="nil"/>
            </w:tcBorders>
            <w:shd w:val="clear" w:color="auto" w:fill="auto"/>
            <w:noWrap/>
            <w:vAlign w:val="center"/>
            <w:hideMark/>
          </w:tcPr>
          <w:p w14:paraId="0A7D1A4C" w14:textId="77777777" w:rsidR="003417FE" w:rsidRPr="00E20D21" w:rsidRDefault="003417FE" w:rsidP="003417F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Disponibilidade em moeda estrangeira</w:t>
            </w:r>
          </w:p>
        </w:tc>
        <w:tc>
          <w:tcPr>
            <w:tcW w:w="973" w:type="pct"/>
            <w:tcBorders>
              <w:top w:val="nil"/>
              <w:left w:val="nil"/>
              <w:bottom w:val="nil"/>
              <w:right w:val="nil"/>
            </w:tcBorders>
            <w:shd w:val="clear" w:color="auto" w:fill="auto"/>
            <w:vAlign w:val="center"/>
          </w:tcPr>
          <w:p w14:paraId="7C668C61" w14:textId="747E9309" w:rsidR="003417FE" w:rsidRPr="00E20D21" w:rsidRDefault="003417FE" w:rsidP="003417F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256.339</w:t>
            </w:r>
          </w:p>
        </w:tc>
        <w:tc>
          <w:tcPr>
            <w:tcW w:w="973" w:type="pct"/>
            <w:tcBorders>
              <w:top w:val="nil"/>
              <w:left w:val="nil"/>
              <w:bottom w:val="nil"/>
              <w:right w:val="nil"/>
            </w:tcBorders>
            <w:shd w:val="clear" w:color="auto" w:fill="auto"/>
            <w:vAlign w:val="center"/>
            <w:hideMark/>
          </w:tcPr>
          <w:p w14:paraId="05245CFA" w14:textId="5CD40242" w:rsidR="003417FE" w:rsidRPr="00E20D21" w:rsidRDefault="003417FE" w:rsidP="003417F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210.031</w:t>
            </w:r>
          </w:p>
        </w:tc>
      </w:tr>
      <w:tr w:rsidR="003417FE" w:rsidRPr="00E20D21" w14:paraId="167BE0CD" w14:textId="77777777" w:rsidTr="005152A9">
        <w:trPr>
          <w:trHeight w:val="283"/>
        </w:trPr>
        <w:tc>
          <w:tcPr>
            <w:tcW w:w="3054" w:type="pct"/>
            <w:tcBorders>
              <w:top w:val="nil"/>
              <w:left w:val="nil"/>
              <w:right w:val="nil"/>
            </w:tcBorders>
            <w:shd w:val="clear" w:color="auto" w:fill="auto"/>
            <w:noWrap/>
            <w:vAlign w:val="center"/>
            <w:hideMark/>
          </w:tcPr>
          <w:p w14:paraId="758CA1B1" w14:textId="77777777" w:rsidR="003417FE" w:rsidRPr="00E20D21" w:rsidRDefault="003417FE" w:rsidP="003417F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Aplicações interfinanceiras de liquidez </w:t>
            </w:r>
          </w:p>
        </w:tc>
        <w:tc>
          <w:tcPr>
            <w:tcW w:w="973" w:type="pct"/>
            <w:tcBorders>
              <w:top w:val="nil"/>
              <w:left w:val="nil"/>
              <w:bottom w:val="nil"/>
              <w:right w:val="nil"/>
            </w:tcBorders>
            <w:shd w:val="clear" w:color="auto" w:fill="auto"/>
            <w:noWrap/>
            <w:vAlign w:val="center"/>
          </w:tcPr>
          <w:p w14:paraId="2F23EBAD" w14:textId="24CA7DD2" w:rsidR="003417FE" w:rsidRPr="00E20D21" w:rsidRDefault="003417FE" w:rsidP="003417F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181.010.669</w:t>
            </w:r>
          </w:p>
        </w:tc>
        <w:tc>
          <w:tcPr>
            <w:tcW w:w="973" w:type="pct"/>
            <w:tcBorders>
              <w:top w:val="nil"/>
              <w:left w:val="nil"/>
              <w:right w:val="nil"/>
            </w:tcBorders>
            <w:shd w:val="clear" w:color="auto" w:fill="auto"/>
            <w:noWrap/>
            <w:vAlign w:val="center"/>
            <w:hideMark/>
          </w:tcPr>
          <w:p w14:paraId="101526BD" w14:textId="3804E341" w:rsidR="003417FE" w:rsidRPr="00E20D21" w:rsidRDefault="003417FE" w:rsidP="003417F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178.663.652</w:t>
            </w:r>
          </w:p>
        </w:tc>
      </w:tr>
      <w:tr w:rsidR="003417FE" w:rsidRPr="00E20D21" w14:paraId="0BD4C1A3" w14:textId="77777777" w:rsidTr="005152A9">
        <w:trPr>
          <w:trHeight w:val="283"/>
        </w:trPr>
        <w:tc>
          <w:tcPr>
            <w:tcW w:w="3054" w:type="pct"/>
            <w:tcBorders>
              <w:left w:val="nil"/>
              <w:bottom w:val="single" w:sz="4" w:space="0" w:color="F79646"/>
              <w:right w:val="nil"/>
            </w:tcBorders>
            <w:shd w:val="clear" w:color="auto" w:fill="auto"/>
            <w:noWrap/>
            <w:vAlign w:val="center"/>
          </w:tcPr>
          <w:p w14:paraId="296BDE88" w14:textId="77777777" w:rsidR="003417FE" w:rsidRPr="00E20D21" w:rsidRDefault="003417FE" w:rsidP="003417F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 voluntários no Banco Central</w:t>
            </w:r>
          </w:p>
        </w:tc>
        <w:tc>
          <w:tcPr>
            <w:tcW w:w="973" w:type="pct"/>
            <w:tcBorders>
              <w:top w:val="nil"/>
              <w:left w:val="nil"/>
              <w:bottom w:val="nil"/>
              <w:right w:val="nil"/>
            </w:tcBorders>
            <w:shd w:val="clear" w:color="auto" w:fill="auto"/>
            <w:noWrap/>
            <w:vAlign w:val="center"/>
          </w:tcPr>
          <w:p w14:paraId="2A44DAE1" w14:textId="2F46F912" w:rsidR="003417FE" w:rsidRPr="00E20D21" w:rsidRDefault="003417FE" w:rsidP="003417FE">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22.899.998</w:t>
            </w:r>
          </w:p>
        </w:tc>
        <w:tc>
          <w:tcPr>
            <w:tcW w:w="973" w:type="pct"/>
            <w:tcBorders>
              <w:left w:val="nil"/>
              <w:bottom w:val="single" w:sz="4" w:space="0" w:color="F79646"/>
              <w:right w:val="nil"/>
            </w:tcBorders>
            <w:shd w:val="clear" w:color="auto" w:fill="auto"/>
            <w:noWrap/>
            <w:vAlign w:val="center"/>
          </w:tcPr>
          <w:p w14:paraId="2E8DAA8D" w14:textId="40559362" w:rsidR="003417FE" w:rsidRPr="00E20D21" w:rsidRDefault="003417FE" w:rsidP="003417F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24.800.000</w:t>
            </w:r>
          </w:p>
        </w:tc>
      </w:tr>
      <w:tr w:rsidR="003417FE" w:rsidRPr="00E20D21" w14:paraId="1F6D2A03" w14:textId="77777777" w:rsidTr="005152A9">
        <w:trPr>
          <w:trHeight w:val="283"/>
        </w:trPr>
        <w:tc>
          <w:tcPr>
            <w:tcW w:w="3054" w:type="pct"/>
            <w:tcBorders>
              <w:top w:val="single" w:sz="4" w:space="0" w:color="F79646"/>
              <w:left w:val="nil"/>
              <w:bottom w:val="single" w:sz="4" w:space="0" w:color="F79646"/>
              <w:right w:val="nil"/>
            </w:tcBorders>
            <w:shd w:val="clear" w:color="auto" w:fill="auto"/>
            <w:noWrap/>
            <w:vAlign w:val="center"/>
            <w:hideMark/>
          </w:tcPr>
          <w:p w14:paraId="7C153898" w14:textId="76D5C0AA" w:rsidR="003417FE" w:rsidRPr="00E20D21" w:rsidRDefault="003417FE" w:rsidP="003417F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973" w:type="pct"/>
            <w:tcBorders>
              <w:top w:val="single" w:sz="4" w:space="0" w:color="F79646"/>
              <w:left w:val="nil"/>
              <w:bottom w:val="single" w:sz="4" w:space="0" w:color="F79646"/>
              <w:right w:val="nil"/>
            </w:tcBorders>
            <w:shd w:val="clear" w:color="auto" w:fill="auto"/>
            <w:noWrap/>
            <w:vAlign w:val="center"/>
          </w:tcPr>
          <w:p w14:paraId="552909C4" w14:textId="09799F07" w:rsidR="003417FE" w:rsidRPr="00E20D21" w:rsidRDefault="003417FE" w:rsidP="003417F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214.167.124</w:t>
            </w:r>
          </w:p>
        </w:tc>
        <w:tc>
          <w:tcPr>
            <w:tcW w:w="973" w:type="pct"/>
            <w:tcBorders>
              <w:top w:val="single" w:sz="4" w:space="0" w:color="F79646"/>
              <w:left w:val="nil"/>
              <w:bottom w:val="single" w:sz="4" w:space="0" w:color="F79646"/>
              <w:right w:val="nil"/>
            </w:tcBorders>
            <w:shd w:val="clear" w:color="auto" w:fill="auto"/>
            <w:noWrap/>
            <w:vAlign w:val="center"/>
            <w:hideMark/>
          </w:tcPr>
          <w:p w14:paraId="2268896F" w14:textId="67CFF4DC" w:rsidR="003417FE" w:rsidRPr="00E20D21" w:rsidRDefault="003417FE" w:rsidP="003417F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213.848.405</w:t>
            </w:r>
          </w:p>
        </w:tc>
      </w:tr>
    </w:tbl>
    <w:p w14:paraId="02B11FF4" w14:textId="65511DB4" w:rsidR="00CF0CEE" w:rsidRPr="00E20D21" w:rsidRDefault="00EE5C19" w:rsidP="00C573EA">
      <w:pPr>
        <w:jc w:val="both"/>
        <w:rPr>
          <w:rFonts w:ascii="CAIXA Std Book" w:hAnsi="CAIXA Std Book"/>
          <w:color w:val="005CA9"/>
          <w:sz w:val="16"/>
          <w:szCs w:val="16"/>
        </w:rPr>
      </w:pPr>
      <w:r w:rsidRPr="00E20D21">
        <w:rPr>
          <w:rFonts w:ascii="CAIXA Std Book" w:hAnsi="CAIXA Std Book"/>
          <w:color w:val="005CA9"/>
          <w:sz w:val="16"/>
          <w:szCs w:val="16"/>
        </w:rPr>
        <w:t>(1) Os itens de caixa e equivalentes de caixa são coincidentes na demonstração individual e consolidada, com exceção do item "Disponibilidade em moeda nacional" que em 3</w:t>
      </w:r>
      <w:r w:rsidR="00A273D4" w:rsidRPr="00E20D21">
        <w:rPr>
          <w:rFonts w:ascii="CAIXA Std Book" w:hAnsi="CAIXA Std Book"/>
          <w:color w:val="005CA9"/>
          <w:sz w:val="16"/>
          <w:szCs w:val="16"/>
        </w:rPr>
        <w:t>0/06/2024</w:t>
      </w:r>
      <w:r w:rsidRPr="00E20D21">
        <w:rPr>
          <w:rFonts w:ascii="CAIXA Std Book" w:hAnsi="CAIXA Std Book"/>
          <w:color w:val="005CA9"/>
          <w:sz w:val="16"/>
          <w:szCs w:val="16"/>
        </w:rPr>
        <w:t xml:space="preserve"> apresenta na demonstração consolidada o montante de R$</w:t>
      </w:r>
      <w:r w:rsidR="003A0EEF" w:rsidRPr="00E20D21">
        <w:rPr>
          <w:rFonts w:ascii="CAIXA Std Book" w:hAnsi="CAIXA Std Book"/>
          <w:color w:val="005CA9"/>
          <w:sz w:val="16"/>
          <w:szCs w:val="16"/>
        </w:rPr>
        <w:t xml:space="preserve"> </w:t>
      </w:r>
      <w:proofErr w:type="gramStart"/>
      <w:r w:rsidR="00C03C68" w:rsidRPr="00E20D21">
        <w:rPr>
          <w:rFonts w:ascii="CAIXA Std Book" w:hAnsi="CAIXA Std Book"/>
          <w:color w:val="005CA9"/>
          <w:sz w:val="16"/>
          <w:szCs w:val="16"/>
        </w:rPr>
        <w:t>10.000.173</w:t>
      </w:r>
      <w:r w:rsidRPr="00E20D21">
        <w:rPr>
          <w:rFonts w:ascii="CAIXA Std Book" w:hAnsi="CAIXA Std Book"/>
          <w:color w:val="005CA9"/>
          <w:sz w:val="16"/>
          <w:szCs w:val="16"/>
        </w:rPr>
        <w:t xml:space="preserve">  (</w:t>
      </w:r>
      <w:proofErr w:type="gramEnd"/>
      <w:r w:rsidRPr="00E20D21">
        <w:rPr>
          <w:rFonts w:ascii="CAIXA Std Book" w:hAnsi="CAIXA Std Book"/>
          <w:color w:val="005CA9"/>
          <w:sz w:val="16"/>
          <w:szCs w:val="16"/>
        </w:rPr>
        <w:t>31/12/202</w:t>
      </w:r>
      <w:r w:rsidR="008B3281" w:rsidRPr="00E20D21">
        <w:rPr>
          <w:rFonts w:ascii="CAIXA Std Book" w:hAnsi="CAIXA Std Book"/>
          <w:color w:val="005CA9"/>
          <w:sz w:val="16"/>
          <w:szCs w:val="16"/>
        </w:rPr>
        <w:t>3</w:t>
      </w:r>
      <w:r w:rsidR="00436D64" w:rsidRPr="00E20D21">
        <w:rPr>
          <w:rFonts w:ascii="CAIXA Std Book" w:hAnsi="CAIXA Std Book"/>
          <w:color w:val="005CA9"/>
          <w:sz w:val="16"/>
          <w:szCs w:val="16"/>
        </w:rPr>
        <w:t xml:space="preserve"> </w:t>
      </w:r>
      <w:r w:rsidRPr="00E20D21">
        <w:rPr>
          <w:rFonts w:ascii="CAIXA Std Book" w:hAnsi="CAIXA Std Book"/>
          <w:color w:val="005CA9"/>
          <w:sz w:val="16"/>
          <w:szCs w:val="16"/>
        </w:rPr>
        <w:t>– R$ 1</w:t>
      </w:r>
      <w:r w:rsidR="008B3281" w:rsidRPr="00E20D21">
        <w:rPr>
          <w:rFonts w:ascii="CAIXA Std Book" w:hAnsi="CAIXA Std Book"/>
          <w:color w:val="005CA9"/>
          <w:sz w:val="16"/>
          <w:szCs w:val="16"/>
        </w:rPr>
        <w:t>0.174.790</w:t>
      </w:r>
      <w:r w:rsidRPr="00E20D21">
        <w:rPr>
          <w:rFonts w:ascii="CAIXA Std Book" w:hAnsi="CAIXA Std Book"/>
          <w:color w:val="005CA9"/>
          <w:sz w:val="16"/>
          <w:szCs w:val="16"/>
        </w:rPr>
        <w:t>).</w:t>
      </w:r>
    </w:p>
    <w:p w14:paraId="363D840B" w14:textId="6EFF39CF" w:rsidR="00167A48" w:rsidRPr="00E20D21" w:rsidRDefault="00B94E10" w:rsidP="00FD7768">
      <w:pPr>
        <w:pStyle w:val="Ttulo1"/>
      </w:pPr>
      <w:bookmarkStart w:id="26" w:name="_Toc175067945"/>
      <w:r w:rsidRPr="00E20D21">
        <w:t xml:space="preserve">Nota   5 – </w:t>
      </w:r>
      <w:r w:rsidR="00167A48" w:rsidRPr="00E20D21">
        <w:t>Aplicações interfinanceiras de liquidez</w:t>
      </w:r>
      <w:bookmarkEnd w:id="26"/>
    </w:p>
    <w:p w14:paraId="70FF6CCA" w14:textId="77777777" w:rsidR="00167A48" w:rsidRPr="00E20D21" w:rsidRDefault="00167A48" w:rsidP="00167A48">
      <w:pPr>
        <w:keepNext/>
        <w:numPr>
          <w:ilvl w:val="0"/>
          <w:numId w:val="6"/>
        </w:numPr>
        <w:tabs>
          <w:tab w:val="clear" w:pos="750"/>
        </w:tabs>
        <w:spacing w:before="240" w:after="240"/>
        <w:ind w:left="567" w:hanging="567"/>
        <w:rPr>
          <w:rFonts w:ascii="CAIXA Std Book" w:hAnsi="CAIXA Std Book"/>
          <w:b/>
          <w:color w:val="005CA9"/>
          <w:sz w:val="20"/>
          <w:szCs w:val="20"/>
        </w:rPr>
      </w:pPr>
      <w:r w:rsidRPr="00E20D21">
        <w:rPr>
          <w:rFonts w:ascii="CAIXA Std Book" w:hAnsi="CAIXA Std Book"/>
          <w:b/>
          <w:color w:val="005CA9"/>
          <w:sz w:val="20"/>
          <w:szCs w:val="20"/>
        </w:rPr>
        <w:t>Composição e classificação da carteira por prazo</w:t>
      </w:r>
    </w:p>
    <w:tbl>
      <w:tblPr>
        <w:tblW w:w="5000" w:type="pct"/>
        <w:tblCellMar>
          <w:left w:w="70" w:type="dxa"/>
          <w:right w:w="70" w:type="dxa"/>
        </w:tblCellMar>
        <w:tblLook w:val="04A0" w:firstRow="1" w:lastRow="0" w:firstColumn="1" w:lastColumn="0" w:noHBand="0" w:noVBand="1"/>
      </w:tblPr>
      <w:tblGrid>
        <w:gridCol w:w="4345"/>
        <w:gridCol w:w="1145"/>
        <w:gridCol w:w="931"/>
        <w:gridCol w:w="931"/>
        <w:gridCol w:w="1145"/>
        <w:gridCol w:w="1141"/>
      </w:tblGrid>
      <w:tr w:rsidR="00EF4AF6" w:rsidRPr="00E20D21" w14:paraId="21A30587" w14:textId="77777777" w:rsidTr="001936EE">
        <w:trPr>
          <w:trHeight w:val="283"/>
        </w:trPr>
        <w:tc>
          <w:tcPr>
            <w:tcW w:w="5000" w:type="pct"/>
            <w:gridSpan w:val="6"/>
            <w:tcBorders>
              <w:top w:val="single" w:sz="4" w:space="0" w:color="F79646" w:themeColor="accent6"/>
              <w:left w:val="nil"/>
              <w:bottom w:val="single" w:sz="4" w:space="0" w:color="F79646" w:themeColor="accent6"/>
              <w:right w:val="nil"/>
            </w:tcBorders>
            <w:shd w:val="clear" w:color="auto" w:fill="auto"/>
            <w:vAlign w:val="center"/>
            <w:hideMark/>
          </w:tcPr>
          <w:p w14:paraId="2225DD2E"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INDIVIDUAL / CONSOLIDADO</w:t>
            </w:r>
          </w:p>
        </w:tc>
      </w:tr>
      <w:tr w:rsidR="00EF4AF6" w:rsidRPr="00E20D21" w14:paraId="5C7FF1EB" w14:textId="77777777" w:rsidTr="00943BB5">
        <w:trPr>
          <w:trHeight w:val="283"/>
        </w:trPr>
        <w:tc>
          <w:tcPr>
            <w:tcW w:w="2254" w:type="pct"/>
            <w:tcBorders>
              <w:top w:val="single" w:sz="4" w:space="0" w:color="F79646" w:themeColor="accent6"/>
              <w:left w:val="nil"/>
              <w:bottom w:val="single" w:sz="4" w:space="0" w:color="F79646" w:themeColor="accent6"/>
              <w:right w:val="nil"/>
            </w:tcBorders>
            <w:shd w:val="clear" w:color="auto" w:fill="auto"/>
            <w:vAlign w:val="center"/>
            <w:hideMark/>
          </w:tcPr>
          <w:p w14:paraId="0617E164"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Descrição </w:t>
            </w:r>
          </w:p>
        </w:tc>
        <w:tc>
          <w:tcPr>
            <w:tcW w:w="594" w:type="pct"/>
            <w:tcBorders>
              <w:top w:val="single" w:sz="4" w:space="0" w:color="F79646" w:themeColor="accent6"/>
              <w:left w:val="nil"/>
              <w:bottom w:val="single" w:sz="4" w:space="0" w:color="F79646" w:themeColor="accent6"/>
              <w:right w:val="nil"/>
            </w:tcBorders>
            <w:shd w:val="clear" w:color="auto" w:fill="auto"/>
            <w:vAlign w:val="center"/>
            <w:hideMark/>
          </w:tcPr>
          <w:p w14:paraId="5D2E6888"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01 a 90 dias</w:t>
            </w:r>
          </w:p>
        </w:tc>
        <w:tc>
          <w:tcPr>
            <w:tcW w:w="483" w:type="pct"/>
            <w:tcBorders>
              <w:top w:val="single" w:sz="4" w:space="0" w:color="F79646" w:themeColor="accent6"/>
              <w:left w:val="nil"/>
              <w:bottom w:val="single" w:sz="4" w:space="0" w:color="F79646" w:themeColor="accent6"/>
              <w:right w:val="nil"/>
            </w:tcBorders>
            <w:shd w:val="clear" w:color="auto" w:fill="auto"/>
            <w:vAlign w:val="center"/>
            <w:hideMark/>
          </w:tcPr>
          <w:p w14:paraId="586D13E1"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91 a 180 dias</w:t>
            </w:r>
          </w:p>
        </w:tc>
        <w:tc>
          <w:tcPr>
            <w:tcW w:w="483" w:type="pct"/>
            <w:tcBorders>
              <w:top w:val="single" w:sz="4" w:space="0" w:color="F79646" w:themeColor="accent6"/>
              <w:left w:val="nil"/>
              <w:bottom w:val="single" w:sz="4" w:space="0" w:color="F79646" w:themeColor="accent6"/>
              <w:right w:val="nil"/>
            </w:tcBorders>
            <w:shd w:val="clear" w:color="auto" w:fill="auto"/>
            <w:vAlign w:val="center"/>
            <w:hideMark/>
          </w:tcPr>
          <w:p w14:paraId="6BA07CD9"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Acima de 360 dias</w:t>
            </w:r>
          </w:p>
        </w:tc>
        <w:tc>
          <w:tcPr>
            <w:tcW w:w="594" w:type="pct"/>
            <w:tcBorders>
              <w:top w:val="single" w:sz="4" w:space="0" w:color="F79646" w:themeColor="accent6"/>
              <w:left w:val="nil"/>
              <w:bottom w:val="single" w:sz="4" w:space="0" w:color="F79646" w:themeColor="accent6"/>
              <w:right w:val="nil"/>
            </w:tcBorders>
            <w:shd w:val="clear" w:color="auto" w:fill="auto"/>
            <w:vAlign w:val="center"/>
            <w:hideMark/>
          </w:tcPr>
          <w:p w14:paraId="06E27012"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30/06/2024</w:t>
            </w:r>
          </w:p>
        </w:tc>
        <w:tc>
          <w:tcPr>
            <w:tcW w:w="592" w:type="pct"/>
            <w:tcBorders>
              <w:top w:val="single" w:sz="4" w:space="0" w:color="F79646" w:themeColor="accent6"/>
              <w:left w:val="nil"/>
              <w:bottom w:val="single" w:sz="4" w:space="0" w:color="F79646" w:themeColor="accent6"/>
              <w:right w:val="nil"/>
            </w:tcBorders>
            <w:shd w:val="clear" w:color="auto" w:fill="auto"/>
            <w:vAlign w:val="center"/>
            <w:hideMark/>
          </w:tcPr>
          <w:p w14:paraId="37F210EC"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31/12/2023</w:t>
            </w:r>
          </w:p>
        </w:tc>
      </w:tr>
      <w:tr w:rsidR="00EF4AF6" w:rsidRPr="00E20D21" w14:paraId="0A94F2B1" w14:textId="77777777" w:rsidTr="00943BB5">
        <w:trPr>
          <w:trHeight w:val="283"/>
        </w:trPr>
        <w:tc>
          <w:tcPr>
            <w:tcW w:w="2254" w:type="pct"/>
            <w:tcBorders>
              <w:top w:val="single" w:sz="4" w:space="0" w:color="F79646" w:themeColor="accent6"/>
              <w:left w:val="nil"/>
              <w:bottom w:val="nil"/>
              <w:right w:val="nil"/>
            </w:tcBorders>
            <w:shd w:val="clear" w:color="auto" w:fill="auto"/>
            <w:vAlign w:val="center"/>
            <w:hideMark/>
          </w:tcPr>
          <w:p w14:paraId="3370A973" w14:textId="77777777" w:rsidR="00EF4AF6" w:rsidRPr="00E20D21" w:rsidRDefault="00EF4AF6" w:rsidP="00EF4AF6">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Aplicações no mercado aberto - posição bancada</w:t>
            </w:r>
          </w:p>
        </w:tc>
        <w:tc>
          <w:tcPr>
            <w:tcW w:w="594" w:type="pct"/>
            <w:tcBorders>
              <w:top w:val="single" w:sz="4" w:space="0" w:color="F79646" w:themeColor="accent6"/>
              <w:left w:val="nil"/>
              <w:bottom w:val="nil"/>
              <w:right w:val="nil"/>
            </w:tcBorders>
            <w:shd w:val="clear" w:color="auto" w:fill="auto"/>
            <w:vAlign w:val="center"/>
            <w:hideMark/>
          </w:tcPr>
          <w:p w14:paraId="04217BE5" w14:textId="77777777" w:rsidR="00EF4AF6" w:rsidRPr="00E20D21" w:rsidRDefault="00EF4AF6"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95.404.938</w:t>
            </w:r>
          </w:p>
        </w:tc>
        <w:tc>
          <w:tcPr>
            <w:tcW w:w="483" w:type="pct"/>
            <w:tcBorders>
              <w:top w:val="single" w:sz="4" w:space="0" w:color="F79646" w:themeColor="accent6"/>
              <w:left w:val="nil"/>
              <w:bottom w:val="nil"/>
              <w:right w:val="nil"/>
            </w:tcBorders>
            <w:shd w:val="clear" w:color="auto" w:fill="auto"/>
            <w:vAlign w:val="center"/>
            <w:hideMark/>
          </w:tcPr>
          <w:p w14:paraId="139AAEE0"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w:t>
            </w:r>
          </w:p>
        </w:tc>
        <w:tc>
          <w:tcPr>
            <w:tcW w:w="483" w:type="pct"/>
            <w:tcBorders>
              <w:top w:val="single" w:sz="4" w:space="0" w:color="F79646" w:themeColor="accent6"/>
              <w:left w:val="nil"/>
              <w:bottom w:val="nil"/>
              <w:right w:val="nil"/>
            </w:tcBorders>
            <w:shd w:val="clear" w:color="auto" w:fill="auto"/>
            <w:vAlign w:val="center"/>
            <w:hideMark/>
          </w:tcPr>
          <w:p w14:paraId="30338112"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w:t>
            </w:r>
          </w:p>
        </w:tc>
        <w:tc>
          <w:tcPr>
            <w:tcW w:w="594" w:type="pct"/>
            <w:tcBorders>
              <w:top w:val="single" w:sz="4" w:space="0" w:color="F79646" w:themeColor="accent6"/>
              <w:left w:val="nil"/>
              <w:bottom w:val="nil"/>
              <w:right w:val="nil"/>
            </w:tcBorders>
            <w:shd w:val="clear" w:color="auto" w:fill="auto"/>
            <w:vAlign w:val="center"/>
            <w:hideMark/>
          </w:tcPr>
          <w:p w14:paraId="42EB6422" w14:textId="77777777" w:rsidR="00EF4AF6" w:rsidRPr="00E20D21" w:rsidRDefault="00EF4AF6"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95.404.938</w:t>
            </w:r>
          </w:p>
        </w:tc>
        <w:tc>
          <w:tcPr>
            <w:tcW w:w="592" w:type="pct"/>
            <w:tcBorders>
              <w:top w:val="single" w:sz="4" w:space="0" w:color="F79646" w:themeColor="accent6"/>
              <w:left w:val="nil"/>
              <w:bottom w:val="nil"/>
              <w:right w:val="nil"/>
            </w:tcBorders>
            <w:shd w:val="clear" w:color="auto" w:fill="auto"/>
            <w:vAlign w:val="center"/>
            <w:hideMark/>
          </w:tcPr>
          <w:p w14:paraId="5B6D48F6" w14:textId="77777777" w:rsidR="00EF4AF6" w:rsidRPr="00E20D21" w:rsidRDefault="00EF4AF6"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122.587.196</w:t>
            </w:r>
          </w:p>
        </w:tc>
      </w:tr>
      <w:tr w:rsidR="00EF4AF6" w:rsidRPr="00E20D21" w14:paraId="7C7377C2" w14:textId="77777777" w:rsidTr="00943BB5">
        <w:trPr>
          <w:trHeight w:val="283"/>
        </w:trPr>
        <w:tc>
          <w:tcPr>
            <w:tcW w:w="2254" w:type="pct"/>
            <w:tcBorders>
              <w:top w:val="nil"/>
              <w:left w:val="nil"/>
              <w:bottom w:val="nil"/>
              <w:right w:val="nil"/>
            </w:tcBorders>
            <w:shd w:val="clear" w:color="auto" w:fill="auto"/>
            <w:vAlign w:val="center"/>
            <w:hideMark/>
          </w:tcPr>
          <w:p w14:paraId="0F2F244E" w14:textId="77777777" w:rsidR="00EF4AF6" w:rsidRPr="00E20D21" w:rsidRDefault="00EF4AF6" w:rsidP="00EF4AF6">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 do tesouro</w:t>
            </w:r>
          </w:p>
        </w:tc>
        <w:tc>
          <w:tcPr>
            <w:tcW w:w="594" w:type="pct"/>
            <w:tcBorders>
              <w:top w:val="nil"/>
              <w:left w:val="nil"/>
              <w:bottom w:val="nil"/>
              <w:right w:val="nil"/>
            </w:tcBorders>
            <w:shd w:val="clear" w:color="auto" w:fill="auto"/>
            <w:vAlign w:val="center"/>
            <w:hideMark/>
          </w:tcPr>
          <w:p w14:paraId="1E907A10" w14:textId="77777777" w:rsidR="00EF4AF6" w:rsidRPr="00E20D21" w:rsidRDefault="00EF4AF6"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35.611.964</w:t>
            </w:r>
          </w:p>
        </w:tc>
        <w:tc>
          <w:tcPr>
            <w:tcW w:w="483" w:type="pct"/>
            <w:tcBorders>
              <w:top w:val="nil"/>
              <w:left w:val="nil"/>
              <w:bottom w:val="nil"/>
              <w:right w:val="nil"/>
            </w:tcBorders>
            <w:shd w:val="clear" w:color="auto" w:fill="auto"/>
            <w:vAlign w:val="center"/>
            <w:hideMark/>
          </w:tcPr>
          <w:p w14:paraId="27A7745B" w14:textId="77777777"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83" w:type="pct"/>
            <w:tcBorders>
              <w:top w:val="nil"/>
              <w:left w:val="nil"/>
              <w:bottom w:val="nil"/>
              <w:right w:val="nil"/>
            </w:tcBorders>
            <w:shd w:val="clear" w:color="auto" w:fill="auto"/>
            <w:vAlign w:val="center"/>
            <w:hideMark/>
          </w:tcPr>
          <w:p w14:paraId="5E2797E8" w14:textId="77777777"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594" w:type="pct"/>
            <w:tcBorders>
              <w:top w:val="nil"/>
              <w:left w:val="nil"/>
              <w:bottom w:val="nil"/>
              <w:right w:val="nil"/>
            </w:tcBorders>
            <w:shd w:val="clear" w:color="auto" w:fill="auto"/>
            <w:vAlign w:val="center"/>
            <w:hideMark/>
          </w:tcPr>
          <w:p w14:paraId="2FFB78BF" w14:textId="77777777" w:rsidR="00EF4AF6" w:rsidRPr="00E20D21" w:rsidRDefault="00EF4AF6"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35.611.964</w:t>
            </w:r>
          </w:p>
        </w:tc>
        <w:tc>
          <w:tcPr>
            <w:tcW w:w="592" w:type="pct"/>
            <w:tcBorders>
              <w:top w:val="nil"/>
              <w:left w:val="nil"/>
              <w:bottom w:val="nil"/>
              <w:right w:val="nil"/>
            </w:tcBorders>
            <w:shd w:val="clear" w:color="auto" w:fill="auto"/>
            <w:vAlign w:val="center"/>
            <w:hideMark/>
          </w:tcPr>
          <w:p w14:paraId="5D540C94" w14:textId="77777777" w:rsidR="00EF4AF6" w:rsidRPr="00E20D21" w:rsidRDefault="00EF4AF6"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50.446.754</w:t>
            </w:r>
          </w:p>
        </w:tc>
      </w:tr>
      <w:tr w:rsidR="00EF4AF6" w:rsidRPr="00E20D21" w14:paraId="7D704CE9" w14:textId="77777777" w:rsidTr="00943BB5">
        <w:trPr>
          <w:trHeight w:val="283"/>
        </w:trPr>
        <w:tc>
          <w:tcPr>
            <w:tcW w:w="2254" w:type="pct"/>
            <w:tcBorders>
              <w:top w:val="nil"/>
              <w:left w:val="nil"/>
              <w:bottom w:val="nil"/>
              <w:right w:val="nil"/>
            </w:tcBorders>
            <w:shd w:val="clear" w:color="auto" w:fill="auto"/>
            <w:vAlign w:val="center"/>
            <w:hideMark/>
          </w:tcPr>
          <w:p w14:paraId="74C64030" w14:textId="77777777" w:rsidR="00EF4AF6" w:rsidRPr="00E20D21" w:rsidRDefault="00EF4AF6" w:rsidP="00EF4AF6">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do tesouro nacional</w:t>
            </w:r>
          </w:p>
        </w:tc>
        <w:tc>
          <w:tcPr>
            <w:tcW w:w="594" w:type="pct"/>
            <w:tcBorders>
              <w:top w:val="nil"/>
              <w:left w:val="nil"/>
              <w:bottom w:val="nil"/>
              <w:right w:val="nil"/>
            </w:tcBorders>
            <w:shd w:val="clear" w:color="auto" w:fill="auto"/>
            <w:vAlign w:val="center"/>
            <w:hideMark/>
          </w:tcPr>
          <w:p w14:paraId="7499753C" w14:textId="77777777" w:rsidR="00EF4AF6" w:rsidRPr="00E20D21" w:rsidRDefault="00EF4AF6"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24.846.025</w:t>
            </w:r>
          </w:p>
        </w:tc>
        <w:tc>
          <w:tcPr>
            <w:tcW w:w="483" w:type="pct"/>
            <w:tcBorders>
              <w:top w:val="nil"/>
              <w:left w:val="nil"/>
              <w:bottom w:val="nil"/>
              <w:right w:val="nil"/>
            </w:tcBorders>
            <w:shd w:val="clear" w:color="auto" w:fill="auto"/>
            <w:vAlign w:val="center"/>
            <w:hideMark/>
          </w:tcPr>
          <w:p w14:paraId="3E336C1E" w14:textId="77777777"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83" w:type="pct"/>
            <w:tcBorders>
              <w:top w:val="nil"/>
              <w:left w:val="nil"/>
              <w:bottom w:val="nil"/>
              <w:right w:val="nil"/>
            </w:tcBorders>
            <w:shd w:val="clear" w:color="auto" w:fill="auto"/>
            <w:vAlign w:val="center"/>
            <w:hideMark/>
          </w:tcPr>
          <w:p w14:paraId="55C79556" w14:textId="77777777"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594" w:type="pct"/>
            <w:tcBorders>
              <w:top w:val="nil"/>
              <w:left w:val="nil"/>
              <w:bottom w:val="nil"/>
              <w:right w:val="nil"/>
            </w:tcBorders>
            <w:shd w:val="clear" w:color="auto" w:fill="auto"/>
            <w:vAlign w:val="center"/>
            <w:hideMark/>
          </w:tcPr>
          <w:p w14:paraId="64B8E74C" w14:textId="77777777" w:rsidR="00EF4AF6" w:rsidRPr="00E20D21" w:rsidRDefault="00EF4AF6"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24.846.025</w:t>
            </w:r>
          </w:p>
        </w:tc>
        <w:tc>
          <w:tcPr>
            <w:tcW w:w="592" w:type="pct"/>
            <w:tcBorders>
              <w:top w:val="nil"/>
              <w:left w:val="nil"/>
              <w:bottom w:val="nil"/>
              <w:right w:val="nil"/>
            </w:tcBorders>
            <w:shd w:val="clear" w:color="auto" w:fill="auto"/>
            <w:vAlign w:val="center"/>
            <w:hideMark/>
          </w:tcPr>
          <w:p w14:paraId="248E2D65" w14:textId="77777777" w:rsidR="00EF4AF6" w:rsidRPr="00E20D21" w:rsidRDefault="00EF4AF6"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19.383.460</w:t>
            </w:r>
          </w:p>
        </w:tc>
      </w:tr>
      <w:tr w:rsidR="00EF4AF6" w:rsidRPr="00E20D21" w14:paraId="592E2833" w14:textId="77777777" w:rsidTr="00943BB5">
        <w:trPr>
          <w:trHeight w:val="283"/>
        </w:trPr>
        <w:tc>
          <w:tcPr>
            <w:tcW w:w="2254" w:type="pct"/>
            <w:tcBorders>
              <w:top w:val="nil"/>
              <w:left w:val="nil"/>
              <w:bottom w:val="nil"/>
              <w:right w:val="nil"/>
            </w:tcBorders>
            <w:shd w:val="clear" w:color="auto" w:fill="auto"/>
            <w:vAlign w:val="center"/>
            <w:hideMark/>
          </w:tcPr>
          <w:p w14:paraId="584382F3" w14:textId="77777777" w:rsidR="00EF4AF6" w:rsidRPr="00E20D21" w:rsidRDefault="00EF4AF6" w:rsidP="00EF4AF6">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 do tesouro nacional</w:t>
            </w:r>
          </w:p>
        </w:tc>
        <w:tc>
          <w:tcPr>
            <w:tcW w:w="594" w:type="pct"/>
            <w:tcBorders>
              <w:top w:val="nil"/>
              <w:left w:val="nil"/>
              <w:bottom w:val="nil"/>
              <w:right w:val="nil"/>
            </w:tcBorders>
            <w:shd w:val="clear" w:color="auto" w:fill="auto"/>
            <w:vAlign w:val="center"/>
            <w:hideMark/>
          </w:tcPr>
          <w:p w14:paraId="31038B4E" w14:textId="77777777" w:rsidR="00EF4AF6" w:rsidRPr="00E20D21" w:rsidRDefault="00EF4AF6"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34.946.949</w:t>
            </w:r>
          </w:p>
        </w:tc>
        <w:tc>
          <w:tcPr>
            <w:tcW w:w="483" w:type="pct"/>
            <w:tcBorders>
              <w:top w:val="nil"/>
              <w:left w:val="nil"/>
              <w:bottom w:val="nil"/>
              <w:right w:val="nil"/>
            </w:tcBorders>
            <w:shd w:val="clear" w:color="auto" w:fill="auto"/>
            <w:vAlign w:val="center"/>
            <w:hideMark/>
          </w:tcPr>
          <w:p w14:paraId="7003FFCE" w14:textId="77777777"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83" w:type="pct"/>
            <w:tcBorders>
              <w:top w:val="nil"/>
              <w:left w:val="nil"/>
              <w:bottom w:val="nil"/>
              <w:right w:val="nil"/>
            </w:tcBorders>
            <w:shd w:val="clear" w:color="auto" w:fill="auto"/>
            <w:vAlign w:val="center"/>
            <w:hideMark/>
          </w:tcPr>
          <w:p w14:paraId="6479852F" w14:textId="77777777"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594" w:type="pct"/>
            <w:tcBorders>
              <w:top w:val="nil"/>
              <w:left w:val="nil"/>
              <w:bottom w:val="nil"/>
              <w:right w:val="nil"/>
            </w:tcBorders>
            <w:shd w:val="clear" w:color="auto" w:fill="auto"/>
            <w:vAlign w:val="center"/>
            <w:hideMark/>
          </w:tcPr>
          <w:p w14:paraId="24F745F3" w14:textId="77777777" w:rsidR="00EF4AF6" w:rsidRPr="00E20D21" w:rsidRDefault="00EF4AF6"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34.946.949</w:t>
            </w:r>
          </w:p>
        </w:tc>
        <w:tc>
          <w:tcPr>
            <w:tcW w:w="592" w:type="pct"/>
            <w:tcBorders>
              <w:top w:val="nil"/>
              <w:left w:val="nil"/>
              <w:bottom w:val="nil"/>
              <w:right w:val="nil"/>
            </w:tcBorders>
            <w:shd w:val="clear" w:color="auto" w:fill="auto"/>
            <w:vAlign w:val="center"/>
            <w:hideMark/>
          </w:tcPr>
          <w:p w14:paraId="3D434801" w14:textId="77777777" w:rsidR="00EF4AF6" w:rsidRPr="00E20D21" w:rsidRDefault="00EF4AF6"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52.756.982</w:t>
            </w:r>
          </w:p>
        </w:tc>
      </w:tr>
      <w:tr w:rsidR="00EF4AF6" w:rsidRPr="00E20D21" w14:paraId="57219CAC" w14:textId="77777777" w:rsidTr="00943BB5">
        <w:trPr>
          <w:trHeight w:val="283"/>
        </w:trPr>
        <w:tc>
          <w:tcPr>
            <w:tcW w:w="2254" w:type="pct"/>
            <w:tcBorders>
              <w:top w:val="nil"/>
              <w:left w:val="nil"/>
              <w:bottom w:val="nil"/>
              <w:right w:val="nil"/>
            </w:tcBorders>
            <w:shd w:val="clear" w:color="auto" w:fill="auto"/>
            <w:vAlign w:val="center"/>
            <w:hideMark/>
          </w:tcPr>
          <w:p w14:paraId="5AC92490" w14:textId="77777777" w:rsidR="00EF4AF6" w:rsidRPr="00E20D21" w:rsidRDefault="00EF4AF6" w:rsidP="00EF4AF6">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Aplicações no mercado aberto - posição financiada</w:t>
            </w:r>
          </w:p>
        </w:tc>
        <w:tc>
          <w:tcPr>
            <w:tcW w:w="594" w:type="pct"/>
            <w:tcBorders>
              <w:top w:val="nil"/>
              <w:left w:val="nil"/>
              <w:bottom w:val="nil"/>
              <w:right w:val="nil"/>
            </w:tcBorders>
            <w:shd w:val="clear" w:color="auto" w:fill="auto"/>
            <w:vAlign w:val="center"/>
            <w:hideMark/>
          </w:tcPr>
          <w:p w14:paraId="718C81B3" w14:textId="77777777" w:rsidR="00EF4AF6" w:rsidRPr="00E20D21" w:rsidRDefault="00EF4AF6"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85.605.731</w:t>
            </w:r>
          </w:p>
        </w:tc>
        <w:tc>
          <w:tcPr>
            <w:tcW w:w="483" w:type="pct"/>
            <w:tcBorders>
              <w:top w:val="nil"/>
              <w:left w:val="nil"/>
              <w:bottom w:val="nil"/>
              <w:right w:val="nil"/>
            </w:tcBorders>
            <w:shd w:val="clear" w:color="auto" w:fill="auto"/>
            <w:vAlign w:val="center"/>
            <w:hideMark/>
          </w:tcPr>
          <w:p w14:paraId="3658A49E"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w:t>
            </w:r>
          </w:p>
        </w:tc>
        <w:tc>
          <w:tcPr>
            <w:tcW w:w="483" w:type="pct"/>
            <w:tcBorders>
              <w:top w:val="nil"/>
              <w:left w:val="nil"/>
              <w:bottom w:val="nil"/>
              <w:right w:val="nil"/>
            </w:tcBorders>
            <w:shd w:val="clear" w:color="auto" w:fill="auto"/>
            <w:vAlign w:val="center"/>
            <w:hideMark/>
          </w:tcPr>
          <w:p w14:paraId="01B00D28" w14:textId="77777777" w:rsidR="00EF4AF6" w:rsidRPr="00E20D21" w:rsidRDefault="00EF4AF6" w:rsidP="00EF4AF6">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w:t>
            </w:r>
          </w:p>
        </w:tc>
        <w:tc>
          <w:tcPr>
            <w:tcW w:w="594" w:type="pct"/>
            <w:tcBorders>
              <w:top w:val="nil"/>
              <w:left w:val="nil"/>
              <w:bottom w:val="nil"/>
              <w:right w:val="nil"/>
            </w:tcBorders>
            <w:shd w:val="clear" w:color="auto" w:fill="auto"/>
            <w:vAlign w:val="center"/>
            <w:hideMark/>
          </w:tcPr>
          <w:p w14:paraId="59F55D25" w14:textId="77777777" w:rsidR="00EF4AF6" w:rsidRPr="00E20D21" w:rsidRDefault="00EF4AF6"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85.605.731</w:t>
            </w:r>
          </w:p>
        </w:tc>
        <w:tc>
          <w:tcPr>
            <w:tcW w:w="592" w:type="pct"/>
            <w:tcBorders>
              <w:top w:val="nil"/>
              <w:left w:val="nil"/>
              <w:bottom w:val="nil"/>
              <w:right w:val="nil"/>
            </w:tcBorders>
            <w:shd w:val="clear" w:color="auto" w:fill="auto"/>
            <w:vAlign w:val="center"/>
            <w:hideMark/>
          </w:tcPr>
          <w:p w14:paraId="35033554" w14:textId="77777777" w:rsidR="00EF4AF6" w:rsidRPr="00E20D21" w:rsidRDefault="00EF4AF6"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56.076.455</w:t>
            </w:r>
          </w:p>
        </w:tc>
      </w:tr>
      <w:tr w:rsidR="00EF4AF6" w:rsidRPr="00E20D21" w14:paraId="39086018" w14:textId="77777777" w:rsidTr="00943BB5">
        <w:trPr>
          <w:trHeight w:val="283"/>
        </w:trPr>
        <w:tc>
          <w:tcPr>
            <w:tcW w:w="2254" w:type="pct"/>
            <w:tcBorders>
              <w:top w:val="nil"/>
              <w:left w:val="nil"/>
              <w:bottom w:val="nil"/>
              <w:right w:val="nil"/>
            </w:tcBorders>
            <w:shd w:val="clear" w:color="auto" w:fill="auto"/>
            <w:vAlign w:val="center"/>
            <w:hideMark/>
          </w:tcPr>
          <w:p w14:paraId="3F84656D" w14:textId="5F2B5455" w:rsidR="00EF4AF6" w:rsidRPr="00E20D21" w:rsidRDefault="00EF4AF6" w:rsidP="00EF4AF6">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do tesouro</w:t>
            </w:r>
            <w:r w:rsidR="00943BB5" w:rsidRPr="00E20D21">
              <w:rPr>
                <w:rFonts w:ascii="CAIXA Std Book" w:eastAsia="Times New Roman" w:hAnsi="CAIXA Std Book" w:cs="Arial"/>
                <w:color w:val="005CA9"/>
                <w:sz w:val="16"/>
                <w:szCs w:val="16"/>
              </w:rPr>
              <w:t xml:space="preserve"> nacional</w:t>
            </w:r>
          </w:p>
        </w:tc>
        <w:tc>
          <w:tcPr>
            <w:tcW w:w="594" w:type="pct"/>
            <w:tcBorders>
              <w:top w:val="nil"/>
              <w:left w:val="nil"/>
              <w:bottom w:val="nil"/>
              <w:right w:val="nil"/>
            </w:tcBorders>
            <w:shd w:val="clear" w:color="auto" w:fill="auto"/>
            <w:vAlign w:val="center"/>
            <w:hideMark/>
          </w:tcPr>
          <w:p w14:paraId="5533D280" w14:textId="229B4CB0" w:rsidR="00EF4AF6" w:rsidRPr="00E20D21" w:rsidRDefault="00943BB5" w:rsidP="00DE468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39.529.338</w:t>
            </w:r>
          </w:p>
        </w:tc>
        <w:tc>
          <w:tcPr>
            <w:tcW w:w="483" w:type="pct"/>
            <w:tcBorders>
              <w:top w:val="nil"/>
              <w:left w:val="nil"/>
              <w:bottom w:val="nil"/>
              <w:right w:val="nil"/>
            </w:tcBorders>
            <w:shd w:val="clear" w:color="auto" w:fill="auto"/>
            <w:vAlign w:val="center"/>
            <w:hideMark/>
          </w:tcPr>
          <w:p w14:paraId="401F526A" w14:textId="50E8509A"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83" w:type="pct"/>
            <w:tcBorders>
              <w:top w:val="nil"/>
              <w:left w:val="nil"/>
              <w:bottom w:val="nil"/>
              <w:right w:val="nil"/>
            </w:tcBorders>
            <w:shd w:val="clear" w:color="auto" w:fill="auto"/>
            <w:vAlign w:val="center"/>
            <w:hideMark/>
          </w:tcPr>
          <w:p w14:paraId="0CA98527" w14:textId="09A2AE3E"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594" w:type="pct"/>
            <w:tcBorders>
              <w:top w:val="nil"/>
              <w:left w:val="nil"/>
              <w:bottom w:val="nil"/>
              <w:right w:val="nil"/>
            </w:tcBorders>
            <w:shd w:val="clear" w:color="auto" w:fill="auto"/>
            <w:vAlign w:val="center"/>
            <w:hideMark/>
          </w:tcPr>
          <w:p w14:paraId="5E65D812" w14:textId="32593C66" w:rsidR="00EF4AF6" w:rsidRPr="00E20D21" w:rsidRDefault="00943BB5" w:rsidP="00DE468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39.529.338</w:t>
            </w:r>
          </w:p>
        </w:tc>
        <w:tc>
          <w:tcPr>
            <w:tcW w:w="592" w:type="pct"/>
            <w:tcBorders>
              <w:top w:val="nil"/>
              <w:left w:val="nil"/>
              <w:bottom w:val="nil"/>
              <w:right w:val="nil"/>
            </w:tcBorders>
            <w:shd w:val="clear" w:color="auto" w:fill="auto"/>
            <w:vAlign w:val="center"/>
            <w:hideMark/>
          </w:tcPr>
          <w:p w14:paraId="041F1F82" w14:textId="4C5CF50E" w:rsidR="00EF4AF6" w:rsidRPr="00E20D21" w:rsidRDefault="00943BB5" w:rsidP="00DE468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28.902.560</w:t>
            </w:r>
          </w:p>
        </w:tc>
      </w:tr>
      <w:tr w:rsidR="00EF4AF6" w:rsidRPr="00E20D21" w14:paraId="6CA0A071" w14:textId="77777777" w:rsidTr="00943BB5">
        <w:trPr>
          <w:trHeight w:val="283"/>
        </w:trPr>
        <w:tc>
          <w:tcPr>
            <w:tcW w:w="2254" w:type="pct"/>
            <w:tcBorders>
              <w:top w:val="nil"/>
              <w:left w:val="nil"/>
              <w:bottom w:val="nil"/>
              <w:right w:val="nil"/>
            </w:tcBorders>
            <w:shd w:val="clear" w:color="auto" w:fill="auto"/>
            <w:vAlign w:val="center"/>
            <w:hideMark/>
          </w:tcPr>
          <w:p w14:paraId="115B5675" w14:textId="0ABD81E0" w:rsidR="00EF4AF6" w:rsidRPr="00E20D21" w:rsidRDefault="00943BB5" w:rsidP="00EF4AF6">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w:t>
            </w:r>
            <w:r w:rsidR="00EF4AF6" w:rsidRPr="00E20D21">
              <w:rPr>
                <w:rFonts w:ascii="CAIXA Std Book" w:eastAsia="Times New Roman" w:hAnsi="CAIXA Std Book" w:cs="Arial"/>
                <w:color w:val="005CA9"/>
                <w:sz w:val="16"/>
                <w:szCs w:val="16"/>
              </w:rPr>
              <w:t xml:space="preserve"> do tesouro nacional</w:t>
            </w:r>
          </w:p>
        </w:tc>
        <w:tc>
          <w:tcPr>
            <w:tcW w:w="594" w:type="pct"/>
            <w:tcBorders>
              <w:top w:val="nil"/>
              <w:left w:val="nil"/>
              <w:bottom w:val="nil"/>
              <w:right w:val="nil"/>
            </w:tcBorders>
            <w:shd w:val="clear" w:color="auto" w:fill="auto"/>
            <w:vAlign w:val="center"/>
            <w:hideMark/>
          </w:tcPr>
          <w:p w14:paraId="781082E5" w14:textId="6D105167"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46.076.393</w:t>
            </w:r>
          </w:p>
        </w:tc>
        <w:tc>
          <w:tcPr>
            <w:tcW w:w="483" w:type="pct"/>
            <w:tcBorders>
              <w:top w:val="nil"/>
              <w:left w:val="nil"/>
              <w:bottom w:val="nil"/>
              <w:right w:val="nil"/>
            </w:tcBorders>
            <w:shd w:val="clear" w:color="auto" w:fill="auto"/>
            <w:vAlign w:val="center"/>
            <w:hideMark/>
          </w:tcPr>
          <w:p w14:paraId="2C7A7478" w14:textId="46E93007"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83" w:type="pct"/>
            <w:tcBorders>
              <w:top w:val="nil"/>
              <w:left w:val="nil"/>
              <w:bottom w:val="nil"/>
              <w:right w:val="nil"/>
            </w:tcBorders>
            <w:shd w:val="clear" w:color="auto" w:fill="auto"/>
            <w:vAlign w:val="center"/>
            <w:hideMark/>
          </w:tcPr>
          <w:p w14:paraId="70D2DB02" w14:textId="27D23CBF"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594" w:type="pct"/>
            <w:tcBorders>
              <w:top w:val="nil"/>
              <w:left w:val="nil"/>
              <w:bottom w:val="nil"/>
              <w:right w:val="nil"/>
            </w:tcBorders>
            <w:shd w:val="clear" w:color="auto" w:fill="auto"/>
            <w:vAlign w:val="center"/>
            <w:hideMark/>
          </w:tcPr>
          <w:p w14:paraId="6428DD80" w14:textId="5B800186"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46.076.393</w:t>
            </w:r>
          </w:p>
        </w:tc>
        <w:tc>
          <w:tcPr>
            <w:tcW w:w="592" w:type="pct"/>
            <w:tcBorders>
              <w:top w:val="nil"/>
              <w:left w:val="nil"/>
              <w:bottom w:val="nil"/>
              <w:right w:val="nil"/>
            </w:tcBorders>
            <w:shd w:val="clear" w:color="auto" w:fill="auto"/>
            <w:vAlign w:val="center"/>
            <w:hideMark/>
          </w:tcPr>
          <w:p w14:paraId="0EC6686C" w14:textId="70BFFDF3"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27.173.895</w:t>
            </w:r>
          </w:p>
        </w:tc>
      </w:tr>
      <w:tr w:rsidR="00EF4AF6" w:rsidRPr="00E20D21" w14:paraId="64157AD1" w14:textId="77777777" w:rsidTr="00943BB5">
        <w:trPr>
          <w:trHeight w:val="283"/>
        </w:trPr>
        <w:tc>
          <w:tcPr>
            <w:tcW w:w="2254" w:type="pct"/>
            <w:tcBorders>
              <w:top w:val="nil"/>
              <w:left w:val="nil"/>
              <w:bottom w:val="nil"/>
              <w:right w:val="nil"/>
            </w:tcBorders>
            <w:shd w:val="clear" w:color="auto" w:fill="auto"/>
            <w:vAlign w:val="center"/>
            <w:hideMark/>
          </w:tcPr>
          <w:p w14:paraId="69380B81" w14:textId="5A131EE5" w:rsidR="00EF4AF6" w:rsidRPr="00E20D21" w:rsidRDefault="00943BB5" w:rsidP="00C55014">
            <w:pPr>
              <w:rPr>
                <w:rFonts w:ascii="CAIXA Std Book" w:eastAsia="Times New Roman" w:hAnsi="CAIXA Std Book" w:cs="Arial"/>
                <w:b/>
                <w:color w:val="005CA9"/>
                <w:sz w:val="16"/>
                <w:szCs w:val="16"/>
              </w:rPr>
            </w:pPr>
            <w:r w:rsidRPr="00E20D21">
              <w:rPr>
                <w:rFonts w:ascii="CAIXA Std Book" w:eastAsia="Times New Roman" w:hAnsi="CAIXA Std Book" w:cs="Arial"/>
                <w:b/>
                <w:bCs/>
                <w:color w:val="005CA9"/>
                <w:sz w:val="16"/>
                <w:szCs w:val="16"/>
              </w:rPr>
              <w:t>Aplicações em depósitos interfinanceiros</w:t>
            </w:r>
          </w:p>
        </w:tc>
        <w:tc>
          <w:tcPr>
            <w:tcW w:w="594" w:type="pct"/>
            <w:tcBorders>
              <w:top w:val="nil"/>
              <w:left w:val="nil"/>
              <w:bottom w:val="nil"/>
              <w:right w:val="nil"/>
            </w:tcBorders>
            <w:shd w:val="clear" w:color="auto" w:fill="auto"/>
            <w:vAlign w:val="center"/>
            <w:hideMark/>
          </w:tcPr>
          <w:p w14:paraId="261E48D4" w14:textId="34310C47"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3.271.608</w:t>
            </w:r>
          </w:p>
        </w:tc>
        <w:tc>
          <w:tcPr>
            <w:tcW w:w="483" w:type="pct"/>
            <w:tcBorders>
              <w:top w:val="nil"/>
              <w:left w:val="nil"/>
              <w:bottom w:val="nil"/>
              <w:right w:val="nil"/>
            </w:tcBorders>
            <w:shd w:val="clear" w:color="auto" w:fill="auto"/>
            <w:vAlign w:val="center"/>
            <w:hideMark/>
          </w:tcPr>
          <w:p w14:paraId="72DCB53E" w14:textId="1135A913" w:rsidR="00EF4AF6" w:rsidRPr="00E20D21" w:rsidRDefault="00943BB5" w:rsidP="00DE468B">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83.417</w:t>
            </w:r>
          </w:p>
        </w:tc>
        <w:tc>
          <w:tcPr>
            <w:tcW w:w="483" w:type="pct"/>
            <w:tcBorders>
              <w:top w:val="nil"/>
              <w:left w:val="nil"/>
              <w:bottom w:val="nil"/>
              <w:right w:val="nil"/>
            </w:tcBorders>
            <w:shd w:val="clear" w:color="auto" w:fill="auto"/>
            <w:vAlign w:val="center"/>
            <w:hideMark/>
          </w:tcPr>
          <w:p w14:paraId="18220FA0" w14:textId="75AF5092" w:rsidR="00EF4AF6" w:rsidRPr="00E20D21" w:rsidRDefault="00943BB5" w:rsidP="00DE468B">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105.042</w:t>
            </w:r>
          </w:p>
        </w:tc>
        <w:tc>
          <w:tcPr>
            <w:tcW w:w="594" w:type="pct"/>
            <w:tcBorders>
              <w:top w:val="nil"/>
              <w:left w:val="nil"/>
              <w:bottom w:val="nil"/>
              <w:right w:val="nil"/>
            </w:tcBorders>
            <w:shd w:val="clear" w:color="auto" w:fill="auto"/>
            <w:vAlign w:val="center"/>
            <w:hideMark/>
          </w:tcPr>
          <w:p w14:paraId="6DBE2997" w14:textId="29EEBD10"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3.460.067</w:t>
            </w:r>
          </w:p>
        </w:tc>
        <w:tc>
          <w:tcPr>
            <w:tcW w:w="592" w:type="pct"/>
            <w:tcBorders>
              <w:top w:val="nil"/>
              <w:left w:val="nil"/>
              <w:bottom w:val="nil"/>
              <w:right w:val="nil"/>
            </w:tcBorders>
            <w:shd w:val="clear" w:color="auto" w:fill="auto"/>
            <w:vAlign w:val="center"/>
            <w:hideMark/>
          </w:tcPr>
          <w:p w14:paraId="334E7619" w14:textId="5F1CF8DB"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2.315.315</w:t>
            </w:r>
          </w:p>
        </w:tc>
      </w:tr>
      <w:tr w:rsidR="00EF4AF6" w:rsidRPr="00E20D21" w14:paraId="3094E2C5" w14:textId="77777777" w:rsidTr="00943BB5">
        <w:trPr>
          <w:trHeight w:val="283"/>
        </w:trPr>
        <w:tc>
          <w:tcPr>
            <w:tcW w:w="2254" w:type="pct"/>
            <w:tcBorders>
              <w:top w:val="nil"/>
              <w:left w:val="nil"/>
              <w:bottom w:val="nil"/>
              <w:right w:val="nil"/>
            </w:tcBorders>
            <w:shd w:val="clear" w:color="auto" w:fill="auto"/>
            <w:vAlign w:val="center"/>
            <w:hideMark/>
          </w:tcPr>
          <w:p w14:paraId="271586AF" w14:textId="5A875640" w:rsidR="00EF4AF6" w:rsidRPr="00E20D21" w:rsidRDefault="00943BB5" w:rsidP="00C55014">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Depósitos</w:t>
            </w:r>
            <w:r w:rsidR="00EF4AF6" w:rsidRPr="00E20D21">
              <w:rPr>
                <w:rFonts w:ascii="CAIXA Std Book" w:eastAsia="Times New Roman" w:hAnsi="CAIXA Std Book" w:cs="Arial"/>
                <w:color w:val="005CA9"/>
                <w:sz w:val="16"/>
                <w:szCs w:val="16"/>
              </w:rPr>
              <w:t xml:space="preserve"> interfinanceiros</w:t>
            </w:r>
          </w:p>
        </w:tc>
        <w:tc>
          <w:tcPr>
            <w:tcW w:w="594" w:type="pct"/>
            <w:tcBorders>
              <w:top w:val="nil"/>
              <w:left w:val="nil"/>
              <w:bottom w:val="nil"/>
              <w:right w:val="nil"/>
            </w:tcBorders>
            <w:shd w:val="clear" w:color="auto" w:fill="auto"/>
            <w:vAlign w:val="center"/>
            <w:hideMark/>
          </w:tcPr>
          <w:p w14:paraId="7FDCAA7B" w14:textId="1F179578" w:rsidR="00EF4AF6" w:rsidRPr="00E20D21" w:rsidRDefault="00943BB5"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color w:val="005CA9"/>
                <w:sz w:val="16"/>
                <w:szCs w:val="16"/>
              </w:rPr>
              <w:t>507.526</w:t>
            </w:r>
          </w:p>
        </w:tc>
        <w:tc>
          <w:tcPr>
            <w:tcW w:w="483" w:type="pct"/>
            <w:tcBorders>
              <w:top w:val="nil"/>
              <w:left w:val="nil"/>
              <w:bottom w:val="nil"/>
              <w:right w:val="nil"/>
            </w:tcBorders>
            <w:shd w:val="clear" w:color="auto" w:fill="auto"/>
            <w:vAlign w:val="center"/>
            <w:hideMark/>
          </w:tcPr>
          <w:p w14:paraId="4F8538C1" w14:textId="3E7BECFD" w:rsidR="00EF4AF6" w:rsidRPr="00E20D21" w:rsidRDefault="00EF4AF6"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color w:val="005CA9"/>
                <w:sz w:val="16"/>
                <w:szCs w:val="16"/>
              </w:rPr>
              <w:t>83.417</w:t>
            </w:r>
          </w:p>
        </w:tc>
        <w:tc>
          <w:tcPr>
            <w:tcW w:w="483" w:type="pct"/>
            <w:tcBorders>
              <w:top w:val="nil"/>
              <w:left w:val="nil"/>
              <w:bottom w:val="nil"/>
              <w:right w:val="nil"/>
            </w:tcBorders>
            <w:shd w:val="clear" w:color="auto" w:fill="auto"/>
            <w:vAlign w:val="center"/>
            <w:hideMark/>
          </w:tcPr>
          <w:p w14:paraId="44DF188F" w14:textId="2393B743" w:rsidR="00EF4AF6" w:rsidRPr="00E20D21" w:rsidRDefault="00943BB5" w:rsidP="00C55014">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color w:val="005CA9"/>
                <w:sz w:val="16"/>
                <w:szCs w:val="16"/>
              </w:rPr>
              <w:t>-</w:t>
            </w:r>
          </w:p>
        </w:tc>
        <w:tc>
          <w:tcPr>
            <w:tcW w:w="594" w:type="pct"/>
            <w:tcBorders>
              <w:top w:val="nil"/>
              <w:left w:val="nil"/>
              <w:bottom w:val="nil"/>
              <w:right w:val="nil"/>
            </w:tcBorders>
            <w:shd w:val="clear" w:color="auto" w:fill="auto"/>
            <w:vAlign w:val="center"/>
            <w:hideMark/>
          </w:tcPr>
          <w:p w14:paraId="3DBDF4A0" w14:textId="5DFEDD22" w:rsidR="00EF4AF6" w:rsidRPr="00E20D21" w:rsidRDefault="00943BB5"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color w:val="005CA9"/>
                <w:sz w:val="16"/>
                <w:szCs w:val="16"/>
              </w:rPr>
              <w:t>590.943</w:t>
            </w:r>
          </w:p>
        </w:tc>
        <w:tc>
          <w:tcPr>
            <w:tcW w:w="592" w:type="pct"/>
            <w:tcBorders>
              <w:top w:val="nil"/>
              <w:left w:val="nil"/>
              <w:bottom w:val="nil"/>
              <w:right w:val="nil"/>
            </w:tcBorders>
            <w:shd w:val="clear" w:color="auto" w:fill="auto"/>
            <w:vAlign w:val="center"/>
            <w:hideMark/>
          </w:tcPr>
          <w:p w14:paraId="3B5E6D53" w14:textId="7464D17C" w:rsidR="00EF4AF6" w:rsidRPr="00E20D21" w:rsidRDefault="00943BB5"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color w:val="005CA9"/>
                <w:sz w:val="16"/>
                <w:szCs w:val="16"/>
              </w:rPr>
              <w:t>613.186</w:t>
            </w:r>
          </w:p>
        </w:tc>
      </w:tr>
      <w:tr w:rsidR="00EF4AF6" w:rsidRPr="00E20D21" w14:paraId="175077AE" w14:textId="77777777" w:rsidTr="00943BB5">
        <w:trPr>
          <w:trHeight w:val="283"/>
        </w:trPr>
        <w:tc>
          <w:tcPr>
            <w:tcW w:w="2254" w:type="pct"/>
            <w:tcBorders>
              <w:top w:val="nil"/>
              <w:left w:val="nil"/>
              <w:bottom w:val="nil"/>
              <w:right w:val="nil"/>
            </w:tcBorders>
            <w:shd w:val="clear" w:color="auto" w:fill="auto"/>
            <w:vAlign w:val="center"/>
            <w:hideMark/>
          </w:tcPr>
          <w:p w14:paraId="5ACC5C55" w14:textId="67369694" w:rsidR="00EF4AF6" w:rsidRPr="00E20D21" w:rsidRDefault="00EF4AF6" w:rsidP="00EF4AF6">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Depósitos interfinanceiros</w:t>
            </w:r>
            <w:r w:rsidR="00943BB5" w:rsidRPr="00E20D21">
              <w:rPr>
                <w:rFonts w:ascii="CAIXA Std Book" w:eastAsia="Times New Roman" w:hAnsi="CAIXA Std Book" w:cs="Arial"/>
                <w:color w:val="005CA9"/>
                <w:sz w:val="16"/>
                <w:szCs w:val="16"/>
              </w:rPr>
              <w:t xml:space="preserve"> - crédito rural</w:t>
            </w:r>
          </w:p>
        </w:tc>
        <w:tc>
          <w:tcPr>
            <w:tcW w:w="594" w:type="pct"/>
            <w:tcBorders>
              <w:top w:val="nil"/>
              <w:left w:val="nil"/>
              <w:bottom w:val="nil"/>
              <w:right w:val="nil"/>
            </w:tcBorders>
            <w:shd w:val="clear" w:color="auto" w:fill="auto"/>
            <w:vAlign w:val="center"/>
            <w:hideMark/>
          </w:tcPr>
          <w:p w14:paraId="6CFF0EA1" w14:textId="6F6F4434"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2.764.464</w:t>
            </w:r>
          </w:p>
        </w:tc>
        <w:tc>
          <w:tcPr>
            <w:tcW w:w="483" w:type="pct"/>
            <w:tcBorders>
              <w:top w:val="nil"/>
              <w:left w:val="nil"/>
              <w:bottom w:val="nil"/>
              <w:right w:val="nil"/>
            </w:tcBorders>
            <w:shd w:val="clear" w:color="auto" w:fill="auto"/>
            <w:vAlign w:val="center"/>
            <w:hideMark/>
          </w:tcPr>
          <w:p w14:paraId="0FE129F5" w14:textId="665678A4" w:rsidR="00EF4AF6" w:rsidRPr="00E20D21" w:rsidRDefault="00943BB5" w:rsidP="00C55014">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83" w:type="pct"/>
            <w:tcBorders>
              <w:top w:val="nil"/>
              <w:left w:val="nil"/>
              <w:bottom w:val="nil"/>
              <w:right w:val="nil"/>
            </w:tcBorders>
            <w:shd w:val="clear" w:color="auto" w:fill="auto"/>
            <w:vAlign w:val="center"/>
            <w:hideMark/>
          </w:tcPr>
          <w:p w14:paraId="4C134C08" w14:textId="404B356E" w:rsidR="00EF4AF6" w:rsidRPr="00E20D21" w:rsidRDefault="00943BB5" w:rsidP="00DE468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105.272</w:t>
            </w:r>
          </w:p>
        </w:tc>
        <w:tc>
          <w:tcPr>
            <w:tcW w:w="594" w:type="pct"/>
            <w:tcBorders>
              <w:top w:val="nil"/>
              <w:left w:val="nil"/>
              <w:bottom w:val="nil"/>
              <w:right w:val="nil"/>
            </w:tcBorders>
            <w:shd w:val="clear" w:color="auto" w:fill="auto"/>
            <w:vAlign w:val="center"/>
            <w:hideMark/>
          </w:tcPr>
          <w:p w14:paraId="1B58B94F" w14:textId="596E815D"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2.869.736</w:t>
            </w:r>
          </w:p>
        </w:tc>
        <w:tc>
          <w:tcPr>
            <w:tcW w:w="592" w:type="pct"/>
            <w:tcBorders>
              <w:top w:val="nil"/>
              <w:left w:val="nil"/>
              <w:bottom w:val="nil"/>
              <w:right w:val="nil"/>
            </w:tcBorders>
            <w:shd w:val="clear" w:color="auto" w:fill="auto"/>
            <w:vAlign w:val="center"/>
            <w:hideMark/>
          </w:tcPr>
          <w:p w14:paraId="35C9BC7A" w14:textId="79573E10"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1.702.565</w:t>
            </w:r>
          </w:p>
        </w:tc>
      </w:tr>
      <w:tr w:rsidR="00EF4AF6" w:rsidRPr="00E20D21" w14:paraId="545B863F" w14:textId="77777777" w:rsidTr="00943BB5">
        <w:trPr>
          <w:trHeight w:val="283"/>
        </w:trPr>
        <w:tc>
          <w:tcPr>
            <w:tcW w:w="2254" w:type="pct"/>
            <w:tcBorders>
              <w:top w:val="nil"/>
              <w:left w:val="nil"/>
              <w:bottom w:val="single" w:sz="4" w:space="0" w:color="F79646" w:themeColor="accent6"/>
              <w:right w:val="nil"/>
            </w:tcBorders>
            <w:shd w:val="clear" w:color="auto" w:fill="auto"/>
            <w:vAlign w:val="center"/>
            <w:hideMark/>
          </w:tcPr>
          <w:p w14:paraId="050BFC25" w14:textId="266305FB" w:rsidR="00EF4AF6" w:rsidRPr="00E20D21" w:rsidRDefault="00943BB5" w:rsidP="00EF4AF6">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Provisão para perdas em depósitos interfinanceiros</w:t>
            </w:r>
          </w:p>
        </w:tc>
        <w:tc>
          <w:tcPr>
            <w:tcW w:w="594" w:type="pct"/>
            <w:tcBorders>
              <w:top w:val="nil"/>
              <w:left w:val="nil"/>
              <w:bottom w:val="single" w:sz="4" w:space="0" w:color="F79646" w:themeColor="accent6"/>
              <w:right w:val="nil"/>
            </w:tcBorders>
            <w:shd w:val="clear" w:color="auto" w:fill="auto"/>
            <w:vAlign w:val="center"/>
            <w:hideMark/>
          </w:tcPr>
          <w:p w14:paraId="37D4D82E" w14:textId="71F8D14F"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(382)</w:t>
            </w:r>
          </w:p>
        </w:tc>
        <w:tc>
          <w:tcPr>
            <w:tcW w:w="483" w:type="pct"/>
            <w:tcBorders>
              <w:top w:val="nil"/>
              <w:left w:val="nil"/>
              <w:bottom w:val="single" w:sz="4" w:space="0" w:color="F79646" w:themeColor="accent6"/>
              <w:right w:val="nil"/>
            </w:tcBorders>
            <w:shd w:val="clear" w:color="auto" w:fill="auto"/>
            <w:vAlign w:val="center"/>
            <w:hideMark/>
          </w:tcPr>
          <w:p w14:paraId="7B763426" w14:textId="3DB4087F" w:rsidR="00EF4AF6" w:rsidRPr="00E20D21" w:rsidRDefault="00EF4AF6" w:rsidP="00EF4AF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83" w:type="pct"/>
            <w:tcBorders>
              <w:top w:val="nil"/>
              <w:left w:val="nil"/>
              <w:bottom w:val="single" w:sz="4" w:space="0" w:color="F79646" w:themeColor="accent6"/>
              <w:right w:val="nil"/>
            </w:tcBorders>
            <w:shd w:val="clear" w:color="auto" w:fill="auto"/>
            <w:vAlign w:val="center"/>
            <w:hideMark/>
          </w:tcPr>
          <w:p w14:paraId="00BB950A" w14:textId="01EE75D9"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(230)</w:t>
            </w:r>
          </w:p>
        </w:tc>
        <w:tc>
          <w:tcPr>
            <w:tcW w:w="594" w:type="pct"/>
            <w:tcBorders>
              <w:top w:val="nil"/>
              <w:left w:val="nil"/>
              <w:bottom w:val="single" w:sz="4" w:space="0" w:color="F79646" w:themeColor="accent6"/>
              <w:right w:val="nil"/>
            </w:tcBorders>
            <w:shd w:val="clear" w:color="auto" w:fill="auto"/>
            <w:vAlign w:val="center"/>
            <w:hideMark/>
          </w:tcPr>
          <w:p w14:paraId="37513E3B" w14:textId="0996BE3A"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(612)</w:t>
            </w:r>
          </w:p>
        </w:tc>
        <w:tc>
          <w:tcPr>
            <w:tcW w:w="592" w:type="pct"/>
            <w:tcBorders>
              <w:top w:val="nil"/>
              <w:left w:val="nil"/>
              <w:bottom w:val="single" w:sz="4" w:space="0" w:color="F79646" w:themeColor="accent6"/>
              <w:right w:val="nil"/>
            </w:tcBorders>
            <w:shd w:val="clear" w:color="auto" w:fill="auto"/>
            <w:vAlign w:val="center"/>
            <w:hideMark/>
          </w:tcPr>
          <w:p w14:paraId="42CD2D9C" w14:textId="31A576F0"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(436)</w:t>
            </w:r>
          </w:p>
        </w:tc>
      </w:tr>
      <w:tr w:rsidR="00EF4AF6" w:rsidRPr="00E20D21" w14:paraId="3B2EF88B" w14:textId="77777777" w:rsidTr="00943BB5">
        <w:trPr>
          <w:trHeight w:val="283"/>
        </w:trPr>
        <w:tc>
          <w:tcPr>
            <w:tcW w:w="2254" w:type="pct"/>
            <w:tcBorders>
              <w:top w:val="single" w:sz="4" w:space="0" w:color="F79646" w:themeColor="accent6"/>
              <w:left w:val="nil"/>
              <w:bottom w:val="single" w:sz="4" w:space="0" w:color="F79646" w:themeColor="accent6"/>
              <w:right w:val="nil"/>
            </w:tcBorders>
            <w:shd w:val="clear" w:color="auto" w:fill="auto"/>
            <w:vAlign w:val="center"/>
            <w:hideMark/>
          </w:tcPr>
          <w:p w14:paraId="563A1127" w14:textId="67AF3306" w:rsidR="00EF4AF6" w:rsidRPr="00E20D21" w:rsidRDefault="00943BB5" w:rsidP="00C55014">
            <w:pPr>
              <w:rPr>
                <w:rFonts w:ascii="CAIXA Std Book" w:eastAsia="Times New Roman" w:hAnsi="CAIXA Std Book" w:cs="Arial"/>
                <w:b/>
                <w:color w:val="005CA9"/>
                <w:sz w:val="16"/>
                <w:szCs w:val="16"/>
              </w:rPr>
            </w:pPr>
            <w:r w:rsidRPr="00E20D21">
              <w:rPr>
                <w:rFonts w:ascii="CAIXA Std Book" w:eastAsia="Times New Roman" w:hAnsi="CAIXA Std Book" w:cs="Arial"/>
                <w:b/>
                <w:bCs/>
                <w:color w:val="005CA9"/>
                <w:sz w:val="16"/>
                <w:szCs w:val="16"/>
              </w:rPr>
              <w:t xml:space="preserve">Total </w:t>
            </w:r>
          </w:p>
        </w:tc>
        <w:tc>
          <w:tcPr>
            <w:tcW w:w="594" w:type="pct"/>
            <w:tcBorders>
              <w:top w:val="single" w:sz="4" w:space="0" w:color="F79646" w:themeColor="accent6"/>
              <w:left w:val="nil"/>
              <w:bottom w:val="single" w:sz="4" w:space="0" w:color="F79646" w:themeColor="accent6"/>
              <w:right w:val="nil"/>
            </w:tcBorders>
            <w:shd w:val="clear" w:color="auto" w:fill="auto"/>
            <w:vAlign w:val="center"/>
            <w:hideMark/>
          </w:tcPr>
          <w:p w14:paraId="0CB0DF16" w14:textId="4A96BBE6"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184.282.277</w:t>
            </w:r>
          </w:p>
        </w:tc>
        <w:tc>
          <w:tcPr>
            <w:tcW w:w="483" w:type="pct"/>
            <w:tcBorders>
              <w:top w:val="single" w:sz="4" w:space="0" w:color="F79646" w:themeColor="accent6"/>
              <w:left w:val="nil"/>
              <w:bottom w:val="single" w:sz="4" w:space="0" w:color="F79646" w:themeColor="accent6"/>
              <w:right w:val="nil"/>
            </w:tcBorders>
            <w:shd w:val="clear" w:color="auto" w:fill="auto"/>
            <w:vAlign w:val="center"/>
            <w:hideMark/>
          </w:tcPr>
          <w:p w14:paraId="786B0144" w14:textId="5E4179CB" w:rsidR="00EF4AF6" w:rsidRPr="00E20D21" w:rsidRDefault="00943BB5" w:rsidP="00DE468B">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83.417</w:t>
            </w:r>
          </w:p>
        </w:tc>
        <w:tc>
          <w:tcPr>
            <w:tcW w:w="483" w:type="pct"/>
            <w:tcBorders>
              <w:top w:val="single" w:sz="4" w:space="0" w:color="F79646" w:themeColor="accent6"/>
              <w:left w:val="nil"/>
              <w:bottom w:val="single" w:sz="4" w:space="0" w:color="F79646" w:themeColor="accent6"/>
              <w:right w:val="nil"/>
            </w:tcBorders>
            <w:shd w:val="clear" w:color="auto" w:fill="auto"/>
            <w:vAlign w:val="center"/>
            <w:hideMark/>
          </w:tcPr>
          <w:p w14:paraId="3C1C8956" w14:textId="07B63D0F"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105.042</w:t>
            </w:r>
          </w:p>
        </w:tc>
        <w:tc>
          <w:tcPr>
            <w:tcW w:w="594" w:type="pct"/>
            <w:tcBorders>
              <w:top w:val="single" w:sz="4" w:space="0" w:color="F79646" w:themeColor="accent6"/>
              <w:left w:val="nil"/>
              <w:bottom w:val="single" w:sz="4" w:space="0" w:color="F79646" w:themeColor="accent6"/>
              <w:right w:val="nil"/>
            </w:tcBorders>
            <w:shd w:val="clear" w:color="auto" w:fill="auto"/>
            <w:vAlign w:val="center"/>
            <w:hideMark/>
          </w:tcPr>
          <w:p w14:paraId="2DCD76FE" w14:textId="4677C470"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184.470.736</w:t>
            </w:r>
          </w:p>
        </w:tc>
        <w:tc>
          <w:tcPr>
            <w:tcW w:w="592" w:type="pct"/>
            <w:tcBorders>
              <w:top w:val="single" w:sz="4" w:space="0" w:color="F79646" w:themeColor="accent6"/>
              <w:left w:val="nil"/>
              <w:bottom w:val="single" w:sz="4" w:space="0" w:color="F79646" w:themeColor="accent6"/>
              <w:right w:val="nil"/>
            </w:tcBorders>
            <w:shd w:val="clear" w:color="auto" w:fill="auto"/>
            <w:vAlign w:val="center"/>
            <w:hideMark/>
          </w:tcPr>
          <w:p w14:paraId="3E5AC471" w14:textId="577141EB"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b/>
                <w:bCs/>
                <w:color w:val="005CA9"/>
                <w:sz w:val="16"/>
                <w:szCs w:val="16"/>
              </w:rPr>
              <w:t>180.978.966</w:t>
            </w:r>
          </w:p>
        </w:tc>
      </w:tr>
      <w:tr w:rsidR="00EF4AF6" w:rsidRPr="00E20D21" w14:paraId="29481A92" w14:textId="77777777" w:rsidTr="00943BB5">
        <w:trPr>
          <w:trHeight w:val="283"/>
        </w:trPr>
        <w:tc>
          <w:tcPr>
            <w:tcW w:w="2254" w:type="pct"/>
            <w:tcBorders>
              <w:top w:val="single" w:sz="4" w:space="0" w:color="F79646" w:themeColor="accent6"/>
              <w:left w:val="nil"/>
              <w:bottom w:val="nil"/>
              <w:right w:val="nil"/>
            </w:tcBorders>
            <w:shd w:val="clear" w:color="auto" w:fill="auto"/>
            <w:vAlign w:val="center"/>
            <w:hideMark/>
          </w:tcPr>
          <w:p w14:paraId="1401D001" w14:textId="65EDF1C4" w:rsidR="00EF4AF6" w:rsidRPr="00E20D21" w:rsidRDefault="00943BB5" w:rsidP="00EF4AF6">
            <w:pPr>
              <w:rPr>
                <w:rFonts w:ascii="CAIXA Std Book" w:eastAsia="Times New Roman" w:hAnsi="CAIXA Std Book" w:cs="Arial"/>
                <w:b/>
                <w:bCs/>
                <w:color w:val="005CA9"/>
                <w:sz w:val="16"/>
                <w:szCs w:val="16"/>
              </w:rPr>
            </w:pPr>
            <w:r w:rsidRPr="00E20D21">
              <w:rPr>
                <w:rFonts w:ascii="CAIXA Std Book" w:eastAsia="Times New Roman" w:hAnsi="CAIXA Std Book" w:cs="Arial"/>
                <w:color w:val="005CA9"/>
                <w:sz w:val="16"/>
                <w:szCs w:val="16"/>
              </w:rPr>
              <w:t>Ativo circulante</w:t>
            </w:r>
          </w:p>
        </w:tc>
        <w:tc>
          <w:tcPr>
            <w:tcW w:w="594" w:type="pct"/>
            <w:tcBorders>
              <w:top w:val="single" w:sz="4" w:space="0" w:color="F79646" w:themeColor="accent6"/>
              <w:left w:val="nil"/>
              <w:bottom w:val="nil"/>
              <w:right w:val="nil"/>
            </w:tcBorders>
            <w:shd w:val="clear" w:color="auto" w:fill="auto"/>
            <w:vAlign w:val="center"/>
            <w:hideMark/>
          </w:tcPr>
          <w:p w14:paraId="2495723C" w14:textId="7460CCC8" w:rsidR="00EF4AF6" w:rsidRPr="00E20D21" w:rsidRDefault="00EF4AF6" w:rsidP="00EF4AF6">
            <w:pPr>
              <w:jc w:val="right"/>
              <w:rPr>
                <w:rFonts w:ascii="CAIXA Std Book" w:eastAsia="Times New Roman" w:hAnsi="CAIXA Std Book" w:cs="Arial"/>
                <w:b/>
                <w:bCs/>
                <w:color w:val="005CA9"/>
                <w:sz w:val="16"/>
                <w:szCs w:val="16"/>
              </w:rPr>
            </w:pPr>
          </w:p>
        </w:tc>
        <w:tc>
          <w:tcPr>
            <w:tcW w:w="483" w:type="pct"/>
            <w:tcBorders>
              <w:top w:val="single" w:sz="4" w:space="0" w:color="F79646" w:themeColor="accent6"/>
              <w:left w:val="nil"/>
              <w:bottom w:val="nil"/>
              <w:right w:val="nil"/>
            </w:tcBorders>
            <w:shd w:val="clear" w:color="auto" w:fill="auto"/>
            <w:vAlign w:val="center"/>
            <w:hideMark/>
          </w:tcPr>
          <w:p w14:paraId="144C204C" w14:textId="409D1A07" w:rsidR="00EF4AF6" w:rsidRPr="00E20D21" w:rsidRDefault="00EF4AF6" w:rsidP="00EF4AF6">
            <w:pPr>
              <w:jc w:val="right"/>
              <w:rPr>
                <w:rFonts w:ascii="CAIXA Std Book" w:eastAsia="Times New Roman" w:hAnsi="CAIXA Std Book" w:cs="Arial"/>
                <w:b/>
                <w:bCs/>
                <w:color w:val="005CA9"/>
                <w:sz w:val="16"/>
                <w:szCs w:val="16"/>
              </w:rPr>
            </w:pPr>
          </w:p>
        </w:tc>
        <w:tc>
          <w:tcPr>
            <w:tcW w:w="483" w:type="pct"/>
            <w:tcBorders>
              <w:top w:val="single" w:sz="4" w:space="0" w:color="F79646" w:themeColor="accent6"/>
              <w:left w:val="nil"/>
              <w:bottom w:val="nil"/>
              <w:right w:val="nil"/>
            </w:tcBorders>
            <w:shd w:val="clear" w:color="auto" w:fill="auto"/>
            <w:vAlign w:val="center"/>
            <w:hideMark/>
          </w:tcPr>
          <w:p w14:paraId="477FB570" w14:textId="65FC64AB" w:rsidR="00EF4AF6" w:rsidRPr="00E20D21" w:rsidRDefault="00EF4AF6" w:rsidP="00EF4AF6">
            <w:pPr>
              <w:jc w:val="right"/>
              <w:rPr>
                <w:rFonts w:ascii="CAIXA Std Book" w:eastAsia="Times New Roman" w:hAnsi="CAIXA Std Book" w:cs="Arial"/>
                <w:b/>
                <w:bCs/>
                <w:color w:val="005CA9"/>
                <w:sz w:val="16"/>
                <w:szCs w:val="16"/>
              </w:rPr>
            </w:pPr>
          </w:p>
        </w:tc>
        <w:tc>
          <w:tcPr>
            <w:tcW w:w="594" w:type="pct"/>
            <w:tcBorders>
              <w:top w:val="single" w:sz="4" w:space="0" w:color="F79646" w:themeColor="accent6"/>
              <w:left w:val="nil"/>
              <w:bottom w:val="nil"/>
              <w:right w:val="nil"/>
            </w:tcBorders>
            <w:shd w:val="clear" w:color="auto" w:fill="auto"/>
            <w:vAlign w:val="center"/>
            <w:hideMark/>
          </w:tcPr>
          <w:p w14:paraId="09605B83" w14:textId="367021E4" w:rsidR="00EF4AF6" w:rsidRPr="00E20D21" w:rsidRDefault="00EF4AF6"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color w:val="005CA9"/>
                <w:sz w:val="16"/>
                <w:szCs w:val="16"/>
              </w:rPr>
              <w:t>184.</w:t>
            </w:r>
            <w:r w:rsidR="00943BB5" w:rsidRPr="00E20D21">
              <w:rPr>
                <w:rFonts w:ascii="CAIXA Std Book" w:eastAsia="Times New Roman" w:hAnsi="CAIXA Std Book" w:cs="Arial"/>
                <w:color w:val="005CA9"/>
                <w:sz w:val="16"/>
                <w:szCs w:val="16"/>
              </w:rPr>
              <w:t>365.694</w:t>
            </w:r>
          </w:p>
        </w:tc>
        <w:tc>
          <w:tcPr>
            <w:tcW w:w="592" w:type="pct"/>
            <w:tcBorders>
              <w:top w:val="single" w:sz="4" w:space="0" w:color="F79646" w:themeColor="accent6"/>
              <w:left w:val="nil"/>
              <w:bottom w:val="nil"/>
              <w:right w:val="nil"/>
            </w:tcBorders>
            <w:shd w:val="clear" w:color="auto" w:fill="auto"/>
            <w:vAlign w:val="center"/>
            <w:hideMark/>
          </w:tcPr>
          <w:p w14:paraId="50A3718D" w14:textId="1731DD39" w:rsidR="00EF4AF6" w:rsidRPr="00E20D21" w:rsidRDefault="00EF4AF6" w:rsidP="00EF4AF6">
            <w:pPr>
              <w:jc w:val="right"/>
              <w:rPr>
                <w:rFonts w:ascii="CAIXA Std Book" w:eastAsia="Times New Roman" w:hAnsi="CAIXA Std Book" w:cs="Arial"/>
                <w:b/>
                <w:bCs/>
                <w:color w:val="005CA9"/>
                <w:sz w:val="16"/>
                <w:szCs w:val="16"/>
              </w:rPr>
            </w:pPr>
            <w:r w:rsidRPr="00E20D21">
              <w:rPr>
                <w:rFonts w:ascii="CAIXA Std Book" w:eastAsia="Times New Roman" w:hAnsi="CAIXA Std Book" w:cs="Arial"/>
                <w:color w:val="005CA9"/>
                <w:sz w:val="16"/>
                <w:szCs w:val="16"/>
              </w:rPr>
              <w:t>180.</w:t>
            </w:r>
            <w:r w:rsidR="00943BB5" w:rsidRPr="00E20D21">
              <w:rPr>
                <w:rFonts w:ascii="CAIXA Std Book" w:eastAsia="Times New Roman" w:hAnsi="CAIXA Std Book" w:cs="Arial"/>
                <w:color w:val="005CA9"/>
                <w:sz w:val="16"/>
                <w:szCs w:val="16"/>
              </w:rPr>
              <w:t>874.931</w:t>
            </w:r>
          </w:p>
        </w:tc>
      </w:tr>
      <w:tr w:rsidR="00EF4AF6" w:rsidRPr="00E20D21" w14:paraId="58027281" w14:textId="77777777" w:rsidTr="00943BB5">
        <w:trPr>
          <w:trHeight w:val="283"/>
        </w:trPr>
        <w:tc>
          <w:tcPr>
            <w:tcW w:w="2254" w:type="pct"/>
            <w:tcBorders>
              <w:top w:val="nil"/>
              <w:left w:val="nil"/>
              <w:bottom w:val="single" w:sz="4" w:space="0" w:color="F79646" w:themeColor="accent6"/>
              <w:right w:val="nil"/>
            </w:tcBorders>
            <w:shd w:val="clear" w:color="auto" w:fill="auto"/>
            <w:vAlign w:val="center"/>
            <w:hideMark/>
          </w:tcPr>
          <w:p w14:paraId="4E301F8A" w14:textId="057C6327" w:rsidR="00EF4AF6" w:rsidRPr="00E20D21" w:rsidRDefault="00EF4AF6" w:rsidP="00EF4AF6">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xml:space="preserve">Ativo </w:t>
            </w:r>
            <w:r w:rsidR="00943BB5" w:rsidRPr="00E20D21">
              <w:rPr>
                <w:rFonts w:ascii="CAIXA Std Book" w:eastAsia="Times New Roman" w:hAnsi="CAIXA Std Book" w:cs="Arial"/>
                <w:color w:val="005CA9"/>
                <w:sz w:val="16"/>
                <w:szCs w:val="16"/>
              </w:rPr>
              <w:t xml:space="preserve">não </w:t>
            </w:r>
            <w:r w:rsidRPr="00E20D21">
              <w:rPr>
                <w:rFonts w:ascii="CAIXA Std Book" w:eastAsia="Times New Roman" w:hAnsi="CAIXA Std Book" w:cs="Arial"/>
                <w:color w:val="005CA9"/>
                <w:sz w:val="16"/>
                <w:szCs w:val="16"/>
              </w:rPr>
              <w:t>circulante</w:t>
            </w:r>
          </w:p>
        </w:tc>
        <w:tc>
          <w:tcPr>
            <w:tcW w:w="594" w:type="pct"/>
            <w:tcBorders>
              <w:top w:val="nil"/>
              <w:left w:val="nil"/>
              <w:bottom w:val="single" w:sz="4" w:space="0" w:color="F79646" w:themeColor="accent6"/>
              <w:right w:val="nil"/>
            </w:tcBorders>
            <w:shd w:val="clear" w:color="auto" w:fill="auto"/>
            <w:vAlign w:val="center"/>
            <w:hideMark/>
          </w:tcPr>
          <w:p w14:paraId="2736DC6F" w14:textId="0FF472E9" w:rsidR="00EF4AF6" w:rsidRPr="00E20D21" w:rsidRDefault="00943BB5" w:rsidP="00DE468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83" w:type="pct"/>
            <w:tcBorders>
              <w:top w:val="nil"/>
              <w:left w:val="nil"/>
              <w:bottom w:val="single" w:sz="4" w:space="0" w:color="F79646" w:themeColor="accent6"/>
              <w:right w:val="nil"/>
            </w:tcBorders>
            <w:shd w:val="clear" w:color="auto" w:fill="auto"/>
            <w:vAlign w:val="center"/>
            <w:hideMark/>
          </w:tcPr>
          <w:p w14:paraId="7EB345FE" w14:textId="2FE920C6" w:rsidR="00EF4AF6" w:rsidRPr="00E20D21" w:rsidRDefault="00943BB5" w:rsidP="00EF4AF6">
            <w:pPr>
              <w:jc w:val="right"/>
              <w:rPr>
                <w:rFonts w:ascii="CAIXA Std Book" w:eastAsia="Times New Roman" w:hAnsi="CAIXA Std Book" w:cs="Times New Roman"/>
                <w:sz w:val="16"/>
                <w:szCs w:val="16"/>
              </w:rPr>
            </w:pPr>
            <w:r w:rsidRPr="00E20D21">
              <w:rPr>
                <w:rFonts w:ascii="CAIXA Std Book" w:hAnsi="CAIXA Std Book" w:cs="Arial"/>
                <w:sz w:val="16"/>
                <w:szCs w:val="16"/>
              </w:rPr>
              <w:t> </w:t>
            </w:r>
          </w:p>
        </w:tc>
        <w:tc>
          <w:tcPr>
            <w:tcW w:w="483" w:type="pct"/>
            <w:tcBorders>
              <w:top w:val="nil"/>
              <w:left w:val="nil"/>
              <w:bottom w:val="single" w:sz="4" w:space="0" w:color="F79646" w:themeColor="accent6"/>
              <w:right w:val="nil"/>
            </w:tcBorders>
            <w:shd w:val="clear" w:color="auto" w:fill="auto"/>
            <w:vAlign w:val="center"/>
            <w:hideMark/>
          </w:tcPr>
          <w:p w14:paraId="3E911FE7" w14:textId="1D9B1463" w:rsidR="00EF4AF6" w:rsidRPr="00E20D21" w:rsidRDefault="00943BB5" w:rsidP="00DE468B">
            <w:pPr>
              <w:jc w:val="right"/>
              <w:rPr>
                <w:rFonts w:ascii="CAIXA Std Book" w:eastAsia="Times New Roman" w:hAnsi="CAIXA Std Book" w:cs="Times New Roman"/>
                <w:sz w:val="16"/>
                <w:szCs w:val="16"/>
              </w:rPr>
            </w:pPr>
            <w:r w:rsidRPr="00E20D21">
              <w:rPr>
                <w:rFonts w:ascii="CAIXA Std Book" w:hAnsi="CAIXA Std Book" w:cs="Arial"/>
                <w:sz w:val="16"/>
                <w:szCs w:val="16"/>
              </w:rPr>
              <w:t> </w:t>
            </w:r>
          </w:p>
        </w:tc>
        <w:tc>
          <w:tcPr>
            <w:tcW w:w="594" w:type="pct"/>
            <w:tcBorders>
              <w:top w:val="nil"/>
              <w:left w:val="nil"/>
              <w:bottom w:val="single" w:sz="4" w:space="0" w:color="F79646" w:themeColor="accent6"/>
              <w:right w:val="nil"/>
            </w:tcBorders>
            <w:shd w:val="clear" w:color="auto" w:fill="auto"/>
            <w:vAlign w:val="center"/>
            <w:hideMark/>
          </w:tcPr>
          <w:p w14:paraId="6081B9DB" w14:textId="36B2AEEB"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105.042</w:t>
            </w:r>
          </w:p>
        </w:tc>
        <w:tc>
          <w:tcPr>
            <w:tcW w:w="592" w:type="pct"/>
            <w:tcBorders>
              <w:top w:val="nil"/>
              <w:left w:val="nil"/>
              <w:bottom w:val="single" w:sz="4" w:space="0" w:color="F79646" w:themeColor="accent6"/>
              <w:right w:val="nil"/>
            </w:tcBorders>
            <w:shd w:val="clear" w:color="auto" w:fill="auto"/>
            <w:vAlign w:val="center"/>
            <w:hideMark/>
          </w:tcPr>
          <w:p w14:paraId="6BC3F7B3" w14:textId="498D39EC" w:rsidR="00EF4AF6" w:rsidRPr="00E20D21" w:rsidRDefault="00943BB5" w:rsidP="00EF4AF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104.035</w:t>
            </w:r>
          </w:p>
        </w:tc>
      </w:tr>
    </w:tbl>
    <w:p w14:paraId="1B041912" w14:textId="22A900A7" w:rsidR="003E2AF1" w:rsidRPr="00E20D21" w:rsidRDefault="003E2AF1">
      <w:pPr>
        <w:rPr>
          <w:rFonts w:ascii="CAIXA Std Book" w:hAnsi="CAIXA Std Book"/>
          <w:b/>
          <w:color w:val="005CA9"/>
          <w:sz w:val="20"/>
          <w:szCs w:val="20"/>
        </w:rPr>
      </w:pPr>
    </w:p>
    <w:p w14:paraId="488ACF93" w14:textId="77777777" w:rsidR="003E2AF1" w:rsidRPr="00E20D21" w:rsidRDefault="003E2AF1">
      <w:pPr>
        <w:rPr>
          <w:rFonts w:ascii="CAIXA Std Book" w:hAnsi="CAIXA Std Book"/>
          <w:b/>
          <w:color w:val="005CA9"/>
          <w:sz w:val="20"/>
          <w:szCs w:val="20"/>
        </w:rPr>
      </w:pPr>
      <w:r w:rsidRPr="00E20D21">
        <w:rPr>
          <w:rFonts w:ascii="CAIXA Std Book" w:hAnsi="CAIXA Std Book"/>
          <w:b/>
          <w:color w:val="005CA9"/>
          <w:sz w:val="20"/>
          <w:szCs w:val="20"/>
        </w:rPr>
        <w:br w:type="page"/>
      </w:r>
    </w:p>
    <w:p w14:paraId="3BFD2361" w14:textId="29E6EC4D" w:rsidR="00167A48" w:rsidRPr="00E20D21" w:rsidRDefault="00167A48" w:rsidP="003404E4">
      <w:pPr>
        <w:spacing w:after="240"/>
        <w:jc w:val="both"/>
        <w:rPr>
          <w:rFonts w:ascii="CAIXA Std Book" w:hAnsi="CAIXA Std Book"/>
          <w:b/>
          <w:color w:val="005CA9"/>
          <w:sz w:val="20"/>
          <w:szCs w:val="20"/>
        </w:rPr>
      </w:pPr>
      <w:r w:rsidRPr="00E20D21">
        <w:rPr>
          <w:rFonts w:ascii="CAIXA Std Book" w:hAnsi="CAIXA Std Book"/>
          <w:b/>
          <w:color w:val="005CA9"/>
          <w:sz w:val="20"/>
          <w:szCs w:val="20"/>
        </w:rPr>
        <w:lastRenderedPageBreak/>
        <w:t>(a.1)</w:t>
      </w:r>
      <w:r w:rsidRPr="00E20D21">
        <w:rPr>
          <w:rFonts w:ascii="CAIXA Std Book" w:hAnsi="CAIXA Std Book"/>
          <w:b/>
          <w:color w:val="005CA9"/>
          <w:sz w:val="20"/>
          <w:szCs w:val="20"/>
        </w:rPr>
        <w:tab/>
        <w:t>Acordos de Compensação e Liquidação de Obrigações</w:t>
      </w:r>
    </w:p>
    <w:p w14:paraId="79430F96" w14:textId="69727D9C" w:rsidR="00167A48" w:rsidRPr="00E20D21" w:rsidRDefault="00167A48" w:rsidP="00167A48">
      <w:p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Os saldos das aplicações em depósitos interfinanceiros incluem </w:t>
      </w:r>
      <w:r w:rsidR="009C3AAB" w:rsidRPr="00E20D21">
        <w:rPr>
          <w:rFonts w:ascii="CAIXA Std Book" w:hAnsi="CAIXA Std Book"/>
          <w:color w:val="005CA9"/>
          <w:sz w:val="20"/>
          <w:szCs w:val="20"/>
        </w:rPr>
        <w:t>os</w:t>
      </w:r>
      <w:r w:rsidRPr="00E20D21">
        <w:rPr>
          <w:rFonts w:ascii="CAIXA Std Book" w:hAnsi="CAIXA Std Book"/>
          <w:color w:val="005CA9"/>
          <w:sz w:val="20"/>
          <w:szCs w:val="20"/>
        </w:rPr>
        <w:t xml:space="preserve"> acordos de compensação e liquidação de obrigações firmados entre a CAIXA e os Bancos BMG</w:t>
      </w:r>
      <w:r w:rsidR="00351517" w:rsidRPr="00E20D21">
        <w:rPr>
          <w:rFonts w:ascii="CAIXA Std Book" w:hAnsi="CAIXA Std Book"/>
          <w:color w:val="005CA9"/>
          <w:sz w:val="20"/>
          <w:szCs w:val="20"/>
        </w:rPr>
        <w:t xml:space="preserve"> e</w:t>
      </w:r>
      <w:r w:rsidRPr="00E20D21">
        <w:rPr>
          <w:rFonts w:ascii="CAIXA Std Book" w:hAnsi="CAIXA Std Book"/>
          <w:color w:val="005CA9"/>
          <w:sz w:val="20"/>
          <w:szCs w:val="20"/>
        </w:rPr>
        <w:t xml:space="preserve"> Banco Mercantil do Brasil, conforme Resolução CMN n° 3.263/2005, nos montantes discriminados abaixo:</w:t>
      </w:r>
    </w:p>
    <w:tbl>
      <w:tblPr>
        <w:tblW w:w="5000" w:type="pct"/>
        <w:tblCellMar>
          <w:left w:w="70" w:type="dxa"/>
          <w:right w:w="70" w:type="dxa"/>
        </w:tblCellMar>
        <w:tblLook w:val="04A0" w:firstRow="1" w:lastRow="0" w:firstColumn="1" w:lastColumn="0" w:noHBand="0" w:noVBand="1"/>
      </w:tblPr>
      <w:tblGrid>
        <w:gridCol w:w="6238"/>
        <w:gridCol w:w="1700"/>
        <w:gridCol w:w="1700"/>
      </w:tblGrid>
      <w:tr w:rsidR="00ED4C34" w:rsidRPr="00E20D21" w14:paraId="66E77814" w14:textId="77777777" w:rsidTr="00A13717">
        <w:trPr>
          <w:trHeight w:val="283"/>
        </w:trPr>
        <w:tc>
          <w:tcPr>
            <w:tcW w:w="5000" w:type="pct"/>
            <w:gridSpan w:val="3"/>
            <w:tcBorders>
              <w:top w:val="single" w:sz="4" w:space="0" w:color="F79646"/>
              <w:left w:val="nil"/>
              <w:bottom w:val="single" w:sz="4" w:space="0" w:color="F79646"/>
              <w:right w:val="nil"/>
            </w:tcBorders>
            <w:shd w:val="clear" w:color="auto" w:fill="auto"/>
            <w:vAlign w:val="center"/>
          </w:tcPr>
          <w:p w14:paraId="074B1814" w14:textId="43B1DF3D" w:rsidR="00ED4C34" w:rsidRPr="00E20D21" w:rsidRDefault="00ED4C34" w:rsidP="001B00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r>
      <w:tr w:rsidR="00A47C19" w:rsidRPr="00E20D21" w14:paraId="2F3CB3F2" w14:textId="77777777" w:rsidTr="00A13717">
        <w:trPr>
          <w:trHeight w:val="283"/>
        </w:trPr>
        <w:tc>
          <w:tcPr>
            <w:tcW w:w="3236" w:type="pct"/>
            <w:tcBorders>
              <w:top w:val="single" w:sz="4" w:space="0" w:color="F79646"/>
              <w:left w:val="nil"/>
              <w:bottom w:val="single" w:sz="4" w:space="0" w:color="F79646"/>
              <w:right w:val="nil"/>
            </w:tcBorders>
            <w:shd w:val="clear" w:color="auto" w:fill="auto"/>
            <w:vAlign w:val="center"/>
            <w:hideMark/>
          </w:tcPr>
          <w:p w14:paraId="4E471D55" w14:textId="77777777" w:rsidR="001B002B" w:rsidRPr="00E20D21" w:rsidRDefault="001B002B" w:rsidP="001B00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882" w:type="pct"/>
            <w:tcBorders>
              <w:top w:val="single" w:sz="4" w:space="0" w:color="F79646"/>
              <w:left w:val="nil"/>
              <w:bottom w:val="single" w:sz="4" w:space="0" w:color="F79646"/>
              <w:right w:val="nil"/>
            </w:tcBorders>
            <w:shd w:val="clear" w:color="auto" w:fill="auto"/>
            <w:vAlign w:val="center"/>
          </w:tcPr>
          <w:p w14:paraId="193D13A8" w14:textId="0E1A3EC1" w:rsidR="001B002B" w:rsidRPr="00E20D21" w:rsidRDefault="008C3D4B" w:rsidP="001B00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882" w:type="pct"/>
            <w:tcBorders>
              <w:top w:val="single" w:sz="4" w:space="0" w:color="F79646"/>
              <w:left w:val="nil"/>
              <w:bottom w:val="single" w:sz="4" w:space="0" w:color="F79646"/>
              <w:right w:val="nil"/>
            </w:tcBorders>
            <w:shd w:val="clear" w:color="auto" w:fill="auto"/>
            <w:vAlign w:val="center"/>
            <w:hideMark/>
          </w:tcPr>
          <w:p w14:paraId="5727DC56" w14:textId="2900D6BE" w:rsidR="001B002B" w:rsidRPr="00E20D21" w:rsidRDefault="001B002B" w:rsidP="001B00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w:t>
            </w:r>
            <w:r w:rsidR="008C3D4B" w:rsidRPr="00E20D21">
              <w:rPr>
                <w:rFonts w:ascii="CAIXA Std Book" w:eastAsia="Times New Roman" w:hAnsi="CAIXA Std Book" w:cs="Arial"/>
                <w:b/>
                <w:bCs/>
                <w:color w:val="005CA9"/>
                <w:sz w:val="18"/>
                <w:szCs w:val="18"/>
              </w:rPr>
              <w:t>3</w:t>
            </w:r>
          </w:p>
        </w:tc>
      </w:tr>
      <w:tr w:rsidR="002A0F09" w:rsidRPr="00E20D21" w14:paraId="600C6535" w14:textId="77777777" w:rsidTr="00A13717">
        <w:trPr>
          <w:trHeight w:val="283"/>
        </w:trPr>
        <w:tc>
          <w:tcPr>
            <w:tcW w:w="3236" w:type="pct"/>
            <w:tcBorders>
              <w:top w:val="nil"/>
              <w:left w:val="nil"/>
              <w:bottom w:val="nil"/>
              <w:right w:val="nil"/>
            </w:tcBorders>
            <w:shd w:val="clear" w:color="auto" w:fill="auto"/>
            <w:vAlign w:val="center"/>
            <w:hideMark/>
          </w:tcPr>
          <w:p w14:paraId="67E1CEE1" w14:textId="77777777" w:rsidR="002A0F09" w:rsidRPr="00E20D21" w:rsidRDefault="002A0F09" w:rsidP="002A0F09">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BMG </w:t>
            </w:r>
            <w:proofErr w:type="gramStart"/>
            <w:r w:rsidRPr="00E20D21">
              <w:rPr>
                <w:rFonts w:ascii="CAIXA Std Book" w:eastAsia="Times New Roman" w:hAnsi="CAIXA Std Book" w:cs="Arial"/>
                <w:color w:val="005CA9"/>
                <w:sz w:val="18"/>
                <w:szCs w:val="18"/>
              </w:rPr>
              <w:t>S.A</w:t>
            </w:r>
            <w:proofErr w:type="gramEnd"/>
          </w:p>
        </w:tc>
        <w:tc>
          <w:tcPr>
            <w:tcW w:w="882" w:type="pct"/>
            <w:tcBorders>
              <w:top w:val="nil"/>
              <w:left w:val="nil"/>
              <w:bottom w:val="nil"/>
              <w:right w:val="nil"/>
            </w:tcBorders>
            <w:shd w:val="clear" w:color="auto" w:fill="auto"/>
            <w:vAlign w:val="center"/>
          </w:tcPr>
          <w:p w14:paraId="5CCA71C4" w14:textId="65F39C8F" w:rsidR="002A0F09" w:rsidRPr="00E20D21" w:rsidRDefault="002A0F09" w:rsidP="002A0F09">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10.270</w:t>
            </w:r>
          </w:p>
        </w:tc>
        <w:tc>
          <w:tcPr>
            <w:tcW w:w="882" w:type="pct"/>
            <w:tcBorders>
              <w:top w:val="nil"/>
              <w:left w:val="nil"/>
              <w:bottom w:val="nil"/>
              <w:right w:val="nil"/>
            </w:tcBorders>
            <w:shd w:val="clear" w:color="auto" w:fill="auto"/>
            <w:vAlign w:val="center"/>
            <w:hideMark/>
          </w:tcPr>
          <w:p w14:paraId="5D7B58D9" w14:textId="5899A4EA" w:rsidR="002A0F09" w:rsidRPr="00E20D21" w:rsidRDefault="002A0F09" w:rsidP="002A0F09">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9.760</w:t>
            </w:r>
          </w:p>
        </w:tc>
      </w:tr>
      <w:tr w:rsidR="002A0F09" w:rsidRPr="00E20D21" w14:paraId="38623A1D" w14:textId="77777777" w:rsidTr="00A13717">
        <w:trPr>
          <w:trHeight w:val="283"/>
        </w:trPr>
        <w:tc>
          <w:tcPr>
            <w:tcW w:w="3236" w:type="pct"/>
            <w:tcBorders>
              <w:top w:val="nil"/>
              <w:left w:val="nil"/>
              <w:bottom w:val="single" w:sz="4" w:space="0" w:color="F79646"/>
              <w:right w:val="nil"/>
            </w:tcBorders>
            <w:shd w:val="clear" w:color="auto" w:fill="auto"/>
            <w:vAlign w:val="center"/>
            <w:hideMark/>
          </w:tcPr>
          <w:p w14:paraId="4ADAF5D4" w14:textId="77777777" w:rsidR="002A0F09" w:rsidRPr="00E20D21" w:rsidRDefault="002A0F09" w:rsidP="002A0F09">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Banco Mercantil do Brasil</w:t>
            </w:r>
          </w:p>
        </w:tc>
        <w:tc>
          <w:tcPr>
            <w:tcW w:w="882" w:type="pct"/>
            <w:tcBorders>
              <w:top w:val="nil"/>
              <w:left w:val="nil"/>
              <w:bottom w:val="single" w:sz="4" w:space="0" w:color="F79646" w:themeColor="accent6"/>
              <w:right w:val="nil"/>
            </w:tcBorders>
            <w:shd w:val="clear" w:color="auto" w:fill="auto"/>
            <w:vAlign w:val="center"/>
          </w:tcPr>
          <w:p w14:paraId="4D15B0CA" w14:textId="4DCA18E1" w:rsidR="002A0F09" w:rsidRPr="00E20D21" w:rsidRDefault="002A0F09" w:rsidP="002A0F09">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22.959</w:t>
            </w:r>
          </w:p>
        </w:tc>
        <w:tc>
          <w:tcPr>
            <w:tcW w:w="882" w:type="pct"/>
            <w:tcBorders>
              <w:top w:val="nil"/>
              <w:left w:val="nil"/>
              <w:bottom w:val="single" w:sz="4" w:space="0" w:color="F79646"/>
              <w:right w:val="nil"/>
            </w:tcBorders>
            <w:shd w:val="clear" w:color="auto" w:fill="auto"/>
            <w:vAlign w:val="center"/>
            <w:hideMark/>
          </w:tcPr>
          <w:p w14:paraId="542C0900" w14:textId="755FE179" w:rsidR="002A0F09" w:rsidRPr="00E20D21" w:rsidRDefault="002A0F09" w:rsidP="002A0F09">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34.604</w:t>
            </w:r>
          </w:p>
        </w:tc>
      </w:tr>
      <w:tr w:rsidR="002A0F09" w:rsidRPr="00E20D21" w14:paraId="531E8523" w14:textId="77777777" w:rsidTr="00A13717">
        <w:trPr>
          <w:trHeight w:val="283"/>
        </w:trPr>
        <w:tc>
          <w:tcPr>
            <w:tcW w:w="3236" w:type="pct"/>
            <w:tcBorders>
              <w:top w:val="single" w:sz="4" w:space="0" w:color="F79646"/>
              <w:left w:val="nil"/>
              <w:bottom w:val="single" w:sz="4" w:space="0" w:color="F79646"/>
              <w:right w:val="nil"/>
            </w:tcBorders>
            <w:shd w:val="clear" w:color="auto" w:fill="auto"/>
            <w:vAlign w:val="center"/>
            <w:hideMark/>
          </w:tcPr>
          <w:p w14:paraId="4EF3691C" w14:textId="77777777" w:rsidR="002A0F09" w:rsidRPr="00E20D21" w:rsidRDefault="002A0F09" w:rsidP="002A0F09">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82" w:type="pct"/>
            <w:tcBorders>
              <w:top w:val="single" w:sz="4" w:space="0" w:color="F79646" w:themeColor="accent6"/>
              <w:left w:val="nil"/>
              <w:bottom w:val="single" w:sz="4" w:space="0" w:color="F79646"/>
              <w:right w:val="nil"/>
            </w:tcBorders>
            <w:shd w:val="clear" w:color="auto" w:fill="auto"/>
            <w:vAlign w:val="center"/>
          </w:tcPr>
          <w:p w14:paraId="6B1442FE" w14:textId="5D293E09" w:rsidR="002A0F09" w:rsidRPr="00E20D21" w:rsidRDefault="002A0F09" w:rsidP="002A0F09">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33.229</w:t>
            </w:r>
          </w:p>
        </w:tc>
        <w:tc>
          <w:tcPr>
            <w:tcW w:w="882" w:type="pct"/>
            <w:tcBorders>
              <w:top w:val="single" w:sz="4" w:space="0" w:color="F79646"/>
              <w:left w:val="nil"/>
              <w:bottom w:val="single" w:sz="4" w:space="0" w:color="F79646"/>
              <w:right w:val="nil"/>
            </w:tcBorders>
            <w:shd w:val="clear" w:color="auto" w:fill="auto"/>
            <w:vAlign w:val="center"/>
            <w:hideMark/>
          </w:tcPr>
          <w:p w14:paraId="035AF2BA" w14:textId="6229B85D" w:rsidR="002A0F09" w:rsidRPr="00E20D21" w:rsidRDefault="002A0F09" w:rsidP="002A0F09">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44.364</w:t>
            </w:r>
          </w:p>
        </w:tc>
      </w:tr>
    </w:tbl>
    <w:p w14:paraId="6C946220" w14:textId="74B4994F" w:rsidR="00DA2DF4" w:rsidRPr="00E20D21" w:rsidRDefault="00167A48" w:rsidP="7DCEAA28">
      <w:pPr>
        <w:pStyle w:val="PargrafodaLista"/>
        <w:numPr>
          <w:ilvl w:val="0"/>
          <w:numId w:val="6"/>
        </w:numPr>
        <w:tabs>
          <w:tab w:val="clear" w:pos="750"/>
        </w:tabs>
        <w:spacing w:before="240" w:after="240"/>
        <w:ind w:left="0" w:firstLine="0"/>
        <w:jc w:val="both"/>
        <w:rPr>
          <w:rFonts w:ascii="CAIXA Std Book" w:hAnsi="CAIXA Std Book"/>
          <w:b/>
          <w:color w:val="005CA9"/>
          <w:sz w:val="20"/>
          <w:szCs w:val="20"/>
        </w:rPr>
      </w:pPr>
      <w:r w:rsidRPr="00E20D21">
        <w:rPr>
          <w:rFonts w:ascii="CAIXA Std Book" w:hAnsi="CAIXA Std Book"/>
          <w:b/>
          <w:color w:val="005CA9"/>
          <w:sz w:val="20"/>
          <w:szCs w:val="20"/>
        </w:rPr>
        <w:t>Resultado com aplicações interfinanceiras de liquidez</w:t>
      </w:r>
    </w:p>
    <w:tbl>
      <w:tblPr>
        <w:tblW w:w="5000" w:type="pct"/>
        <w:tblCellMar>
          <w:left w:w="70" w:type="dxa"/>
          <w:right w:w="70" w:type="dxa"/>
        </w:tblCellMar>
        <w:tblLook w:val="04A0" w:firstRow="1" w:lastRow="0" w:firstColumn="1" w:lastColumn="0" w:noHBand="0" w:noVBand="1"/>
      </w:tblPr>
      <w:tblGrid>
        <w:gridCol w:w="6288"/>
        <w:gridCol w:w="1667"/>
        <w:gridCol w:w="1683"/>
      </w:tblGrid>
      <w:tr w:rsidR="00A47C19" w:rsidRPr="00E20D21" w14:paraId="7C4D6E0A" w14:textId="77777777" w:rsidTr="00A13717">
        <w:trPr>
          <w:trHeight w:val="283"/>
        </w:trPr>
        <w:tc>
          <w:tcPr>
            <w:tcW w:w="5000" w:type="pct"/>
            <w:gridSpan w:val="3"/>
            <w:tcBorders>
              <w:top w:val="single" w:sz="4" w:space="0" w:color="F39200"/>
              <w:left w:val="nil"/>
              <w:bottom w:val="single" w:sz="4" w:space="0" w:color="F39200"/>
              <w:right w:val="nil"/>
            </w:tcBorders>
            <w:vAlign w:val="center"/>
          </w:tcPr>
          <w:p w14:paraId="40CDE6BA" w14:textId="223E57A0" w:rsidR="00A36F51" w:rsidRPr="00E20D21" w:rsidRDefault="00A36F51" w:rsidP="003404E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r>
      <w:tr w:rsidR="00A47C19" w:rsidRPr="00E20D21" w14:paraId="1DAB3944" w14:textId="77777777" w:rsidTr="00A13717">
        <w:trPr>
          <w:trHeight w:val="283"/>
        </w:trPr>
        <w:tc>
          <w:tcPr>
            <w:tcW w:w="3262" w:type="pct"/>
            <w:vMerge w:val="restart"/>
            <w:tcBorders>
              <w:top w:val="single" w:sz="4" w:space="0" w:color="F39200"/>
              <w:left w:val="nil"/>
              <w:bottom w:val="single" w:sz="8" w:space="0" w:color="F39200"/>
              <w:right w:val="nil"/>
            </w:tcBorders>
            <w:shd w:val="clear" w:color="auto" w:fill="auto"/>
            <w:vAlign w:val="center"/>
            <w:hideMark/>
          </w:tcPr>
          <w:p w14:paraId="41837490" w14:textId="77777777" w:rsidR="008E2980" w:rsidRPr="00E20D21" w:rsidRDefault="008E2980" w:rsidP="003E2EA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865" w:type="pct"/>
            <w:tcBorders>
              <w:top w:val="single" w:sz="4" w:space="0" w:color="F39200"/>
              <w:left w:val="nil"/>
              <w:bottom w:val="single" w:sz="4" w:space="0" w:color="F39200"/>
              <w:right w:val="nil"/>
            </w:tcBorders>
            <w:shd w:val="clear" w:color="auto" w:fill="auto"/>
            <w:vAlign w:val="center"/>
            <w:hideMark/>
          </w:tcPr>
          <w:p w14:paraId="0D3416B8" w14:textId="50724F5D" w:rsidR="008E2980" w:rsidRPr="00E20D21" w:rsidRDefault="008E2980" w:rsidP="003E2EA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873" w:type="pct"/>
            <w:tcBorders>
              <w:top w:val="single" w:sz="4" w:space="0" w:color="F39200"/>
              <w:left w:val="nil"/>
              <w:bottom w:val="single" w:sz="4" w:space="0" w:color="F39200"/>
              <w:right w:val="nil"/>
            </w:tcBorders>
            <w:shd w:val="clear" w:color="auto" w:fill="auto"/>
            <w:vAlign w:val="center"/>
          </w:tcPr>
          <w:p w14:paraId="2D963F03" w14:textId="4D53D278" w:rsidR="008E2980" w:rsidRPr="00E20D21" w:rsidRDefault="008E2980" w:rsidP="003E2EA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A47C19" w:rsidRPr="00E20D21" w14:paraId="774B0D1A" w14:textId="77777777" w:rsidTr="00A13717">
        <w:trPr>
          <w:trHeight w:val="283"/>
        </w:trPr>
        <w:tc>
          <w:tcPr>
            <w:tcW w:w="3262" w:type="pct"/>
            <w:vMerge/>
            <w:tcBorders>
              <w:top w:val="single" w:sz="8" w:space="0" w:color="F39200"/>
              <w:left w:val="nil"/>
              <w:bottom w:val="single" w:sz="4" w:space="0" w:color="F39200"/>
              <w:right w:val="nil"/>
            </w:tcBorders>
            <w:vAlign w:val="center"/>
            <w:hideMark/>
          </w:tcPr>
          <w:p w14:paraId="4CC0AF48" w14:textId="77777777" w:rsidR="008E2980" w:rsidRPr="00E20D21" w:rsidRDefault="008E2980" w:rsidP="003E2EAE">
            <w:pPr>
              <w:rPr>
                <w:rFonts w:ascii="CAIXA Std Book" w:eastAsia="Times New Roman" w:hAnsi="CAIXA Std Book" w:cs="Arial"/>
                <w:b/>
                <w:bCs/>
                <w:color w:val="005CA9"/>
                <w:sz w:val="18"/>
                <w:szCs w:val="18"/>
              </w:rPr>
            </w:pPr>
          </w:p>
        </w:tc>
        <w:tc>
          <w:tcPr>
            <w:tcW w:w="865" w:type="pct"/>
            <w:tcBorders>
              <w:top w:val="single" w:sz="4" w:space="0" w:color="F39200"/>
              <w:left w:val="nil"/>
              <w:bottom w:val="single" w:sz="4" w:space="0" w:color="F39200"/>
              <w:right w:val="nil"/>
            </w:tcBorders>
            <w:shd w:val="clear" w:color="auto" w:fill="auto"/>
            <w:vAlign w:val="center"/>
          </w:tcPr>
          <w:p w14:paraId="1711453C" w14:textId="56ED3CDC" w:rsidR="008E2980" w:rsidRPr="00E20D21" w:rsidRDefault="008E2980" w:rsidP="003E2EA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873" w:type="pct"/>
            <w:tcBorders>
              <w:top w:val="single" w:sz="4" w:space="0" w:color="F39200"/>
              <w:left w:val="nil"/>
              <w:bottom w:val="single" w:sz="4" w:space="0" w:color="F39200"/>
              <w:right w:val="nil"/>
            </w:tcBorders>
            <w:vAlign w:val="center"/>
          </w:tcPr>
          <w:p w14:paraId="190D4802" w14:textId="6860B84D" w:rsidR="008E2980" w:rsidRPr="00E20D21" w:rsidRDefault="008E2980" w:rsidP="001B6DE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8E082E" w:rsidRPr="00E20D21" w14:paraId="0E2B6097" w14:textId="77777777" w:rsidTr="00A13717">
        <w:trPr>
          <w:trHeight w:val="283"/>
        </w:trPr>
        <w:tc>
          <w:tcPr>
            <w:tcW w:w="3262" w:type="pct"/>
            <w:tcBorders>
              <w:top w:val="single" w:sz="4" w:space="0" w:color="F39200"/>
              <w:left w:val="nil"/>
              <w:bottom w:val="nil"/>
              <w:right w:val="nil"/>
            </w:tcBorders>
            <w:shd w:val="clear" w:color="auto" w:fill="auto"/>
            <w:vAlign w:val="center"/>
            <w:hideMark/>
          </w:tcPr>
          <w:p w14:paraId="1542A5FE" w14:textId="77777777" w:rsidR="008E082E" w:rsidRPr="00E20D21" w:rsidRDefault="008E082E" w:rsidP="008E082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Rendas de aplicações no mercado aberto</w:t>
            </w:r>
          </w:p>
        </w:tc>
        <w:tc>
          <w:tcPr>
            <w:tcW w:w="865" w:type="pct"/>
            <w:tcBorders>
              <w:top w:val="nil"/>
              <w:left w:val="nil"/>
              <w:bottom w:val="nil"/>
              <w:right w:val="nil"/>
            </w:tcBorders>
            <w:shd w:val="clear" w:color="auto" w:fill="auto"/>
            <w:vAlign w:val="center"/>
          </w:tcPr>
          <w:p w14:paraId="38E6CB61" w14:textId="32D89858" w:rsidR="008E082E" w:rsidRPr="00E20D21" w:rsidRDefault="008E082E" w:rsidP="008E082E">
            <w:pPr>
              <w:ind w:firstLineChars="100" w:firstLine="180"/>
              <w:jc w:val="right"/>
              <w:rPr>
                <w:rFonts w:ascii="CAIXA Std Book" w:hAnsi="CAIXA Std Book" w:cs="Arial"/>
                <w:b/>
                <w:color w:val="005CA9"/>
                <w:sz w:val="18"/>
                <w:szCs w:val="18"/>
              </w:rPr>
            </w:pPr>
            <w:r w:rsidRPr="00E20D21">
              <w:rPr>
                <w:rFonts w:ascii="CAIXA Std Book" w:hAnsi="CAIXA Std Book" w:cs="Arial"/>
                <w:b/>
                <w:bCs/>
                <w:color w:val="005CA9"/>
                <w:sz w:val="18"/>
                <w:szCs w:val="18"/>
              </w:rPr>
              <w:t>11.189.615</w:t>
            </w:r>
          </w:p>
        </w:tc>
        <w:tc>
          <w:tcPr>
            <w:tcW w:w="873" w:type="pct"/>
            <w:tcBorders>
              <w:top w:val="nil"/>
              <w:left w:val="nil"/>
              <w:bottom w:val="nil"/>
              <w:right w:val="nil"/>
            </w:tcBorders>
            <w:shd w:val="clear" w:color="auto" w:fill="auto"/>
            <w:vAlign w:val="center"/>
          </w:tcPr>
          <w:p w14:paraId="548C3B4A" w14:textId="53704DA9" w:rsidR="008E082E" w:rsidRPr="00E20D21" w:rsidRDefault="008E082E" w:rsidP="008E082E">
            <w:pPr>
              <w:ind w:firstLineChars="100" w:firstLine="180"/>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11.316.</w:t>
            </w:r>
            <w:r w:rsidRPr="00E20D21">
              <w:rPr>
                <w:rFonts w:ascii="CAIXA Std Book" w:hAnsi="CAIXA Std Book" w:cs="Arial"/>
                <w:b/>
                <w:bCs/>
                <w:color w:val="005CA9"/>
                <w:sz w:val="18"/>
                <w:szCs w:val="18"/>
              </w:rPr>
              <w:t>048</w:t>
            </w:r>
          </w:p>
        </w:tc>
      </w:tr>
      <w:tr w:rsidR="008E082E" w:rsidRPr="00E20D21" w14:paraId="33FE67FE" w14:textId="77777777" w:rsidTr="00A13717">
        <w:trPr>
          <w:trHeight w:val="283"/>
        </w:trPr>
        <w:tc>
          <w:tcPr>
            <w:tcW w:w="3262" w:type="pct"/>
            <w:tcBorders>
              <w:top w:val="nil"/>
              <w:left w:val="nil"/>
              <w:bottom w:val="nil"/>
              <w:right w:val="nil"/>
            </w:tcBorders>
            <w:shd w:val="clear" w:color="auto" w:fill="auto"/>
            <w:vAlign w:val="center"/>
            <w:hideMark/>
          </w:tcPr>
          <w:p w14:paraId="312530E3" w14:textId="0FA6B02B" w:rsidR="008E082E" w:rsidRPr="00E20D21" w:rsidRDefault="008E082E" w:rsidP="008E082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Posição bancada (1)</w:t>
            </w:r>
          </w:p>
        </w:tc>
        <w:tc>
          <w:tcPr>
            <w:tcW w:w="865" w:type="pct"/>
            <w:tcBorders>
              <w:top w:val="nil"/>
              <w:left w:val="nil"/>
              <w:bottom w:val="nil"/>
              <w:right w:val="nil"/>
            </w:tcBorders>
            <w:shd w:val="clear" w:color="auto" w:fill="auto"/>
            <w:vAlign w:val="center"/>
          </w:tcPr>
          <w:p w14:paraId="7AD1387F" w14:textId="3A594781" w:rsidR="008E082E" w:rsidRPr="00E20D21" w:rsidRDefault="008E082E" w:rsidP="008E082E">
            <w:pPr>
              <w:ind w:firstLineChars="100" w:firstLine="180"/>
              <w:jc w:val="right"/>
              <w:rPr>
                <w:rFonts w:ascii="CAIXA Std Book" w:hAnsi="CAIXA Std Book" w:cs="Arial"/>
                <w:color w:val="005CA9"/>
                <w:sz w:val="18"/>
                <w:szCs w:val="18"/>
              </w:rPr>
            </w:pPr>
            <w:r w:rsidRPr="00E20D21">
              <w:rPr>
                <w:rFonts w:ascii="CAIXA Std Book" w:hAnsi="CAIXA Std Book" w:cs="Arial"/>
                <w:color w:val="005CA9"/>
                <w:sz w:val="18"/>
                <w:szCs w:val="18"/>
              </w:rPr>
              <w:t>6.715.149</w:t>
            </w:r>
          </w:p>
        </w:tc>
        <w:tc>
          <w:tcPr>
            <w:tcW w:w="873" w:type="pct"/>
            <w:tcBorders>
              <w:top w:val="nil"/>
              <w:left w:val="nil"/>
              <w:bottom w:val="nil"/>
              <w:right w:val="nil"/>
            </w:tcBorders>
            <w:shd w:val="clear" w:color="auto" w:fill="auto"/>
            <w:vAlign w:val="center"/>
          </w:tcPr>
          <w:p w14:paraId="045A734A" w14:textId="037668A7" w:rsidR="008E082E" w:rsidRPr="00E20D21" w:rsidRDefault="008E082E" w:rsidP="008E082E">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3.636.784</w:t>
            </w:r>
          </w:p>
        </w:tc>
      </w:tr>
      <w:tr w:rsidR="008E082E" w:rsidRPr="00E20D21" w14:paraId="3A585C77" w14:textId="77777777" w:rsidTr="00A13717">
        <w:trPr>
          <w:trHeight w:val="283"/>
        </w:trPr>
        <w:tc>
          <w:tcPr>
            <w:tcW w:w="3262" w:type="pct"/>
            <w:tcBorders>
              <w:top w:val="nil"/>
              <w:left w:val="nil"/>
              <w:bottom w:val="nil"/>
              <w:right w:val="nil"/>
            </w:tcBorders>
            <w:shd w:val="clear" w:color="auto" w:fill="auto"/>
            <w:vAlign w:val="center"/>
            <w:hideMark/>
          </w:tcPr>
          <w:p w14:paraId="41E837E4" w14:textId="77777777" w:rsidR="008E082E" w:rsidRPr="00E20D21" w:rsidRDefault="008E082E" w:rsidP="008E082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Posição financiada</w:t>
            </w:r>
          </w:p>
        </w:tc>
        <w:tc>
          <w:tcPr>
            <w:tcW w:w="865" w:type="pct"/>
            <w:tcBorders>
              <w:top w:val="nil"/>
              <w:left w:val="nil"/>
              <w:bottom w:val="nil"/>
              <w:right w:val="nil"/>
            </w:tcBorders>
            <w:shd w:val="clear" w:color="auto" w:fill="auto"/>
            <w:vAlign w:val="center"/>
          </w:tcPr>
          <w:p w14:paraId="04B4FDA6" w14:textId="0E18EA0C" w:rsidR="008E082E" w:rsidRPr="00E20D21" w:rsidRDefault="008E082E" w:rsidP="008E082E">
            <w:pPr>
              <w:ind w:firstLineChars="100" w:firstLine="180"/>
              <w:jc w:val="right"/>
              <w:rPr>
                <w:rFonts w:ascii="CAIXA Std Book" w:hAnsi="CAIXA Std Book" w:cs="Arial"/>
                <w:color w:val="005CA9"/>
                <w:sz w:val="18"/>
                <w:szCs w:val="18"/>
              </w:rPr>
            </w:pPr>
            <w:r w:rsidRPr="00E20D21">
              <w:rPr>
                <w:rFonts w:ascii="CAIXA Std Book" w:hAnsi="CAIXA Std Book" w:cs="Arial"/>
                <w:color w:val="005CA9"/>
                <w:sz w:val="18"/>
                <w:szCs w:val="18"/>
              </w:rPr>
              <w:t>4.474.466</w:t>
            </w:r>
          </w:p>
        </w:tc>
        <w:tc>
          <w:tcPr>
            <w:tcW w:w="873" w:type="pct"/>
            <w:tcBorders>
              <w:top w:val="nil"/>
              <w:left w:val="nil"/>
              <w:bottom w:val="nil"/>
              <w:right w:val="nil"/>
            </w:tcBorders>
            <w:shd w:val="clear" w:color="auto" w:fill="auto"/>
            <w:vAlign w:val="center"/>
          </w:tcPr>
          <w:p w14:paraId="4C0E49EB" w14:textId="4A5F4B6B" w:rsidR="008E082E" w:rsidRPr="00E20D21" w:rsidRDefault="008E082E" w:rsidP="008E082E">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7.679.264</w:t>
            </w:r>
          </w:p>
        </w:tc>
      </w:tr>
      <w:tr w:rsidR="008E082E" w:rsidRPr="00E20D21" w14:paraId="0F850452" w14:textId="77777777" w:rsidTr="00A13717">
        <w:trPr>
          <w:trHeight w:val="283"/>
        </w:trPr>
        <w:tc>
          <w:tcPr>
            <w:tcW w:w="3262" w:type="pct"/>
            <w:tcBorders>
              <w:top w:val="nil"/>
              <w:left w:val="nil"/>
              <w:bottom w:val="single" w:sz="4" w:space="0" w:color="F39200"/>
              <w:right w:val="nil"/>
            </w:tcBorders>
            <w:shd w:val="clear" w:color="auto" w:fill="auto"/>
            <w:vAlign w:val="center"/>
            <w:hideMark/>
          </w:tcPr>
          <w:p w14:paraId="6AE01F57" w14:textId="77777777" w:rsidR="008E082E" w:rsidRPr="00E20D21" w:rsidRDefault="008E082E" w:rsidP="008E082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Rendas de aplicações em depósitos interfinanceiros</w:t>
            </w:r>
          </w:p>
        </w:tc>
        <w:tc>
          <w:tcPr>
            <w:tcW w:w="865" w:type="pct"/>
            <w:tcBorders>
              <w:top w:val="nil"/>
              <w:left w:val="nil"/>
              <w:bottom w:val="single" w:sz="4" w:space="0" w:color="F79646"/>
              <w:right w:val="nil"/>
            </w:tcBorders>
            <w:shd w:val="clear" w:color="auto" w:fill="auto"/>
            <w:vAlign w:val="center"/>
          </w:tcPr>
          <w:p w14:paraId="331F2BD7" w14:textId="6CD77B17" w:rsidR="008E082E" w:rsidRPr="00E20D21" w:rsidRDefault="008E082E" w:rsidP="008E082E">
            <w:pPr>
              <w:ind w:firstLineChars="100" w:firstLine="180"/>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135.586</w:t>
            </w:r>
          </w:p>
        </w:tc>
        <w:tc>
          <w:tcPr>
            <w:tcW w:w="873" w:type="pct"/>
            <w:tcBorders>
              <w:top w:val="nil"/>
              <w:left w:val="nil"/>
              <w:bottom w:val="nil"/>
              <w:right w:val="nil"/>
            </w:tcBorders>
            <w:shd w:val="clear" w:color="auto" w:fill="auto"/>
            <w:vAlign w:val="center"/>
          </w:tcPr>
          <w:p w14:paraId="3FA23CB4" w14:textId="718E5E5B" w:rsidR="008E082E" w:rsidRPr="00E20D21" w:rsidRDefault="008E082E" w:rsidP="008E082E">
            <w:pPr>
              <w:ind w:firstLineChars="100" w:firstLine="180"/>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79.769</w:t>
            </w:r>
          </w:p>
        </w:tc>
      </w:tr>
      <w:tr w:rsidR="008E082E" w:rsidRPr="00E20D21" w14:paraId="1C2ADA61" w14:textId="77777777" w:rsidTr="00A13717">
        <w:trPr>
          <w:trHeight w:val="283"/>
        </w:trPr>
        <w:tc>
          <w:tcPr>
            <w:tcW w:w="3262" w:type="pct"/>
            <w:tcBorders>
              <w:top w:val="single" w:sz="4" w:space="0" w:color="F39200"/>
              <w:left w:val="nil"/>
              <w:bottom w:val="single" w:sz="4" w:space="0" w:color="F39200"/>
              <w:right w:val="nil"/>
            </w:tcBorders>
            <w:shd w:val="clear" w:color="auto" w:fill="auto"/>
            <w:vAlign w:val="center"/>
            <w:hideMark/>
          </w:tcPr>
          <w:p w14:paraId="7D037289" w14:textId="77777777" w:rsidR="008E082E" w:rsidRPr="00E20D21" w:rsidRDefault="008E082E" w:rsidP="008E082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65" w:type="pct"/>
            <w:tcBorders>
              <w:top w:val="nil"/>
              <w:left w:val="nil"/>
              <w:bottom w:val="single" w:sz="4" w:space="0" w:color="F79646"/>
              <w:right w:val="nil"/>
            </w:tcBorders>
            <w:shd w:val="clear" w:color="auto" w:fill="auto"/>
            <w:vAlign w:val="center"/>
          </w:tcPr>
          <w:p w14:paraId="084DED2E" w14:textId="219A0C0E" w:rsidR="008E082E" w:rsidRPr="00E20D21" w:rsidRDefault="008E082E" w:rsidP="008E082E">
            <w:pPr>
              <w:ind w:firstLineChars="100" w:firstLine="180"/>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11.325.201</w:t>
            </w:r>
          </w:p>
        </w:tc>
        <w:tc>
          <w:tcPr>
            <w:tcW w:w="873" w:type="pct"/>
            <w:tcBorders>
              <w:top w:val="single" w:sz="4" w:space="0" w:color="F79646"/>
              <w:left w:val="nil"/>
              <w:bottom w:val="single" w:sz="4" w:space="0" w:color="F79646"/>
              <w:right w:val="nil"/>
            </w:tcBorders>
            <w:shd w:val="clear" w:color="auto" w:fill="auto"/>
            <w:vAlign w:val="center"/>
          </w:tcPr>
          <w:p w14:paraId="073847FF" w14:textId="4DC7E539" w:rsidR="008E082E" w:rsidRPr="00E20D21" w:rsidRDefault="008E082E" w:rsidP="008E082E">
            <w:pPr>
              <w:ind w:firstLineChars="100" w:firstLine="181"/>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11.395.817</w:t>
            </w:r>
          </w:p>
        </w:tc>
      </w:tr>
    </w:tbl>
    <w:p w14:paraId="5BB4F3E0" w14:textId="6D7C9A27" w:rsidR="004B77C7" w:rsidRPr="00E20D21" w:rsidRDefault="0039100F" w:rsidP="00B64D59">
      <w:pPr>
        <w:jc w:val="both"/>
        <w:rPr>
          <w:rFonts w:ascii="CAIXA Std Book" w:hAnsi="CAIXA Std Book"/>
          <w:color w:val="005CA9"/>
          <w:sz w:val="16"/>
          <w:szCs w:val="16"/>
        </w:rPr>
      </w:pPr>
      <w:r w:rsidRPr="00E20D21">
        <w:rPr>
          <w:rFonts w:ascii="CAIXA Std Book" w:hAnsi="CAIXA Std Book"/>
          <w:color w:val="005CA9"/>
          <w:sz w:val="16"/>
          <w:szCs w:val="16"/>
        </w:rPr>
        <w:t>(1) O</w:t>
      </w:r>
      <w:r w:rsidR="00D42C07" w:rsidRPr="00E20D21">
        <w:rPr>
          <w:rFonts w:ascii="CAIXA Std Book" w:hAnsi="CAIXA Std Book"/>
          <w:color w:val="005CA9"/>
          <w:sz w:val="16"/>
          <w:szCs w:val="16"/>
        </w:rPr>
        <w:t>s itens do</w:t>
      </w:r>
      <w:r w:rsidRPr="00E20D21">
        <w:rPr>
          <w:rFonts w:ascii="CAIXA Std Book" w:hAnsi="CAIXA Std Book"/>
          <w:color w:val="005CA9"/>
          <w:sz w:val="16"/>
          <w:szCs w:val="16"/>
        </w:rPr>
        <w:t xml:space="preserve"> resultado com aplicações interfinanceiras de liquidez são coincidentes na demonstração individual e consolidada, com exceção do item “</w:t>
      </w:r>
      <w:r w:rsidR="002401D3" w:rsidRPr="00E20D21">
        <w:rPr>
          <w:rFonts w:ascii="CAIXA Std Book" w:hAnsi="CAIXA Std Book"/>
          <w:color w:val="005CA9"/>
          <w:sz w:val="16"/>
          <w:szCs w:val="16"/>
        </w:rPr>
        <w:t>Rendas de a</w:t>
      </w:r>
      <w:r w:rsidRPr="00E20D21">
        <w:rPr>
          <w:rFonts w:ascii="CAIXA Std Book" w:hAnsi="CAIXA Std Book"/>
          <w:color w:val="005CA9"/>
          <w:sz w:val="16"/>
          <w:szCs w:val="16"/>
        </w:rPr>
        <w:t xml:space="preserve">plicações no mercado aberto – Posição bancada” que no </w:t>
      </w:r>
      <w:r w:rsidR="00372B52" w:rsidRPr="00E20D21">
        <w:rPr>
          <w:rFonts w:ascii="CAIXA Std Book" w:hAnsi="CAIXA Std Book"/>
          <w:color w:val="005CA9"/>
          <w:sz w:val="16"/>
          <w:szCs w:val="16"/>
        </w:rPr>
        <w:t>1</w:t>
      </w:r>
      <w:r w:rsidR="00920D0E" w:rsidRPr="00E20D21">
        <w:rPr>
          <w:rFonts w:ascii="CAIXA Std Book" w:hAnsi="CAIXA Std Book"/>
          <w:color w:val="005CA9"/>
          <w:sz w:val="16"/>
          <w:szCs w:val="16"/>
        </w:rPr>
        <w:t xml:space="preserve">º semestre </w:t>
      </w:r>
      <w:r w:rsidRPr="00E20D21">
        <w:rPr>
          <w:rFonts w:ascii="CAIXA Std Book" w:hAnsi="CAIXA Std Book"/>
          <w:color w:val="005CA9"/>
          <w:sz w:val="16"/>
          <w:szCs w:val="16"/>
        </w:rPr>
        <w:t xml:space="preserve">de </w:t>
      </w:r>
      <w:r w:rsidR="002401D3" w:rsidRPr="00E20D21">
        <w:rPr>
          <w:rFonts w:ascii="CAIXA Std Book" w:hAnsi="CAIXA Std Book"/>
          <w:color w:val="005CA9"/>
          <w:sz w:val="16"/>
          <w:szCs w:val="16"/>
        </w:rPr>
        <w:t>202</w:t>
      </w:r>
      <w:r w:rsidR="00A51B54" w:rsidRPr="00E20D21">
        <w:rPr>
          <w:rFonts w:ascii="CAIXA Std Book" w:hAnsi="CAIXA Std Book"/>
          <w:color w:val="005CA9"/>
          <w:sz w:val="16"/>
          <w:szCs w:val="16"/>
        </w:rPr>
        <w:t>4</w:t>
      </w:r>
      <w:r w:rsidRPr="00E20D21">
        <w:rPr>
          <w:rFonts w:ascii="CAIXA Std Book" w:hAnsi="CAIXA Std Book"/>
          <w:color w:val="005CA9"/>
          <w:sz w:val="16"/>
          <w:szCs w:val="16"/>
        </w:rPr>
        <w:t xml:space="preserve"> apresenta na demonstração consolidada o montante de R$ </w:t>
      </w:r>
      <w:r w:rsidR="00775C13" w:rsidRPr="00E20D21">
        <w:rPr>
          <w:rFonts w:ascii="CAIXA Std Book" w:hAnsi="CAIXA Std Book"/>
          <w:color w:val="005CA9"/>
          <w:sz w:val="16"/>
          <w:szCs w:val="16"/>
        </w:rPr>
        <w:t>6.715.174 (1º semestre de 2023 - R$ 3.637.535).</w:t>
      </w:r>
    </w:p>
    <w:p w14:paraId="75B1D19A" w14:textId="4C96EF56" w:rsidR="00B94E10" w:rsidRPr="00E20D21" w:rsidRDefault="00B94E10" w:rsidP="00FD7768">
      <w:pPr>
        <w:pStyle w:val="Ttulo1"/>
      </w:pPr>
      <w:bookmarkStart w:id="27" w:name="_Toc175067946"/>
      <w:r w:rsidRPr="00E20D21">
        <w:t xml:space="preserve">Nota   </w:t>
      </w:r>
      <w:r w:rsidR="00167A48" w:rsidRPr="00E20D21">
        <w:t>6</w:t>
      </w:r>
      <w:r w:rsidRPr="00E20D21">
        <w:t xml:space="preserve"> – Depósitos </w:t>
      </w:r>
      <w:r w:rsidR="00732239" w:rsidRPr="00E20D21">
        <w:t>no</w:t>
      </w:r>
      <w:r w:rsidRPr="00E20D21">
        <w:t xml:space="preserve"> </w:t>
      </w:r>
      <w:r w:rsidR="00732239" w:rsidRPr="00E20D21">
        <w:t>B</w:t>
      </w:r>
      <w:r w:rsidRPr="00E20D21">
        <w:t xml:space="preserve">anco </w:t>
      </w:r>
      <w:r w:rsidR="00732239" w:rsidRPr="00E20D21">
        <w:t>C</w:t>
      </w:r>
      <w:r w:rsidRPr="00E20D21">
        <w:t>entra</w:t>
      </w:r>
      <w:r w:rsidR="00732239" w:rsidRPr="00E20D21">
        <w:t>l</w:t>
      </w:r>
      <w:bookmarkEnd w:id="27"/>
    </w:p>
    <w:p w14:paraId="41C306B1" w14:textId="3A593FA6" w:rsidR="00B94E10" w:rsidRPr="00E20D21" w:rsidRDefault="00B94E10" w:rsidP="00D34129">
      <w:pPr>
        <w:keepNext/>
        <w:spacing w:before="240" w:after="240"/>
        <w:jc w:val="both"/>
        <w:rPr>
          <w:rStyle w:val="Nmerodepgina"/>
          <w:rFonts w:ascii="CAIXA Std Book" w:hAnsi="CAIXA Std Book" w:cs="Arial Unicode MS"/>
          <w:color w:val="005CA9"/>
          <w:sz w:val="20"/>
          <w:szCs w:val="20"/>
        </w:rPr>
      </w:pPr>
      <w:r w:rsidRPr="00E20D21">
        <w:rPr>
          <w:rStyle w:val="Nmerodepgina"/>
          <w:rFonts w:ascii="CAIXA Std Book" w:hAnsi="CAIXA Std Book" w:cs="Arial Unicode MS"/>
          <w:b/>
          <w:color w:val="005CA9"/>
          <w:sz w:val="20"/>
          <w:szCs w:val="20"/>
        </w:rPr>
        <w:t>(a)</w:t>
      </w:r>
      <w:r w:rsidRPr="00E20D21">
        <w:rPr>
          <w:rStyle w:val="Nmerodepgina"/>
          <w:rFonts w:ascii="CAIXA Std Book" w:hAnsi="CAIXA Std Book" w:cs="Arial Unicode MS"/>
          <w:b/>
          <w:color w:val="005CA9"/>
          <w:sz w:val="20"/>
          <w:szCs w:val="20"/>
        </w:rPr>
        <w:tab/>
        <w:t>Créditos vinculados - depósitos no B</w:t>
      </w:r>
      <w:r w:rsidR="00FC561C" w:rsidRPr="00E20D21">
        <w:rPr>
          <w:rStyle w:val="Nmerodepgina"/>
          <w:rFonts w:ascii="CAIXA Std Book" w:hAnsi="CAIXA Std Book" w:cs="Arial Unicode MS"/>
          <w:b/>
          <w:color w:val="005CA9"/>
          <w:sz w:val="20"/>
          <w:szCs w:val="20"/>
        </w:rPr>
        <w:t>acen</w:t>
      </w:r>
    </w:p>
    <w:tbl>
      <w:tblPr>
        <w:tblW w:w="5000" w:type="pct"/>
        <w:tblCellMar>
          <w:left w:w="70" w:type="dxa"/>
          <w:right w:w="70" w:type="dxa"/>
        </w:tblCellMar>
        <w:tblLook w:val="04A0" w:firstRow="1" w:lastRow="0" w:firstColumn="1" w:lastColumn="0" w:noHBand="0" w:noVBand="1"/>
      </w:tblPr>
      <w:tblGrid>
        <w:gridCol w:w="4320"/>
        <w:gridCol w:w="2059"/>
        <w:gridCol w:w="1559"/>
        <w:gridCol w:w="1700"/>
      </w:tblGrid>
      <w:tr w:rsidR="00A47C19" w:rsidRPr="00E20D21" w14:paraId="4E292432" w14:textId="77777777" w:rsidTr="005062FA">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5ACB85B" w14:textId="5F889609" w:rsidR="006D093A" w:rsidRPr="00E20D21" w:rsidRDefault="00B20A44" w:rsidP="003D64FC">
            <w:pPr>
              <w:jc w:val="center"/>
              <w:rPr>
                <w:rFonts w:ascii="CAIXA Std Book" w:hAnsi="CAIXA Std Book"/>
                <w:b/>
                <w:color w:val="005CA9"/>
                <w:sz w:val="18"/>
                <w:szCs w:val="18"/>
              </w:rPr>
            </w:pPr>
            <w:r w:rsidRPr="00E20D21">
              <w:rPr>
                <w:rFonts w:ascii="CAIXA Std Book" w:hAnsi="CAIXA Std Book"/>
                <w:b/>
                <w:color w:val="005CA9"/>
                <w:sz w:val="18"/>
                <w:szCs w:val="18"/>
              </w:rPr>
              <w:t>I</w:t>
            </w:r>
            <w:r w:rsidR="006D093A" w:rsidRPr="00E20D21">
              <w:rPr>
                <w:rFonts w:ascii="CAIXA Std Book" w:hAnsi="CAIXA Std Book"/>
                <w:b/>
                <w:color w:val="005CA9"/>
                <w:sz w:val="18"/>
                <w:szCs w:val="18"/>
              </w:rPr>
              <w:t>NDIVIDUAL / CONSOLIDADO</w:t>
            </w:r>
          </w:p>
        </w:tc>
      </w:tr>
      <w:tr w:rsidR="00A47C19" w:rsidRPr="00E20D21" w14:paraId="5AA694BF" w14:textId="77777777" w:rsidTr="005062FA">
        <w:trPr>
          <w:trHeight w:val="283"/>
        </w:trPr>
        <w:tc>
          <w:tcPr>
            <w:tcW w:w="2241" w:type="pct"/>
            <w:tcBorders>
              <w:top w:val="nil"/>
              <w:left w:val="nil"/>
              <w:bottom w:val="single" w:sz="4" w:space="0" w:color="F39200"/>
              <w:right w:val="nil"/>
            </w:tcBorders>
            <w:shd w:val="clear" w:color="auto" w:fill="auto"/>
            <w:vAlign w:val="center"/>
            <w:hideMark/>
          </w:tcPr>
          <w:p w14:paraId="1B5E614A" w14:textId="77777777" w:rsidR="006D093A" w:rsidRPr="00E20D21" w:rsidRDefault="006D093A" w:rsidP="003D64FC">
            <w:pPr>
              <w:jc w:val="center"/>
              <w:rPr>
                <w:rFonts w:ascii="CAIXA Std Book" w:hAnsi="CAIXA Std Book"/>
                <w:b/>
                <w:color w:val="005CA9"/>
                <w:sz w:val="18"/>
                <w:szCs w:val="18"/>
              </w:rPr>
            </w:pPr>
            <w:r w:rsidRPr="00E20D21">
              <w:rPr>
                <w:rFonts w:ascii="CAIXA Std Book" w:hAnsi="CAIXA Std Book"/>
                <w:b/>
                <w:color w:val="005CA9"/>
                <w:sz w:val="18"/>
                <w:szCs w:val="18"/>
              </w:rPr>
              <w:t>Descrição</w:t>
            </w:r>
          </w:p>
        </w:tc>
        <w:tc>
          <w:tcPr>
            <w:tcW w:w="1068" w:type="pct"/>
            <w:tcBorders>
              <w:top w:val="nil"/>
              <w:left w:val="nil"/>
              <w:bottom w:val="single" w:sz="4" w:space="0" w:color="F39200"/>
              <w:right w:val="nil"/>
            </w:tcBorders>
            <w:shd w:val="clear" w:color="auto" w:fill="auto"/>
            <w:vAlign w:val="center"/>
            <w:hideMark/>
          </w:tcPr>
          <w:p w14:paraId="0EC72688" w14:textId="77777777" w:rsidR="006D093A" w:rsidRPr="00E20D21" w:rsidRDefault="006D093A" w:rsidP="00DA451B">
            <w:pPr>
              <w:jc w:val="center"/>
              <w:rPr>
                <w:rFonts w:ascii="CAIXA Std Book" w:hAnsi="CAIXA Std Book"/>
                <w:b/>
                <w:color w:val="005CA9"/>
                <w:sz w:val="18"/>
                <w:szCs w:val="18"/>
              </w:rPr>
            </w:pPr>
            <w:r w:rsidRPr="00E20D21">
              <w:rPr>
                <w:rFonts w:ascii="CAIXA Std Book" w:hAnsi="CAIXA Std Book"/>
                <w:b/>
                <w:color w:val="005CA9"/>
                <w:sz w:val="18"/>
                <w:szCs w:val="18"/>
              </w:rPr>
              <w:t>Remuneração</w:t>
            </w:r>
          </w:p>
        </w:tc>
        <w:tc>
          <w:tcPr>
            <w:tcW w:w="809" w:type="pct"/>
            <w:tcBorders>
              <w:top w:val="nil"/>
              <w:left w:val="nil"/>
              <w:bottom w:val="single" w:sz="4" w:space="0" w:color="F39200"/>
              <w:right w:val="nil"/>
            </w:tcBorders>
            <w:shd w:val="clear" w:color="auto" w:fill="auto"/>
            <w:vAlign w:val="center"/>
            <w:hideMark/>
          </w:tcPr>
          <w:p w14:paraId="091DF04C" w14:textId="52413B19" w:rsidR="006D093A" w:rsidRPr="00E20D21" w:rsidRDefault="00D075B1" w:rsidP="00ED4C34">
            <w:pPr>
              <w:jc w:val="center"/>
              <w:rPr>
                <w:rFonts w:ascii="CAIXA Std Book" w:hAnsi="CAIXA Std Book"/>
                <w:b/>
                <w:color w:val="005CA9"/>
                <w:sz w:val="18"/>
                <w:szCs w:val="18"/>
              </w:rPr>
            </w:pPr>
            <w:r w:rsidRPr="00E20D21">
              <w:rPr>
                <w:rFonts w:ascii="CAIXA Std Book" w:hAnsi="CAIXA Std Book"/>
                <w:b/>
                <w:color w:val="005CA9"/>
                <w:sz w:val="18"/>
                <w:szCs w:val="18"/>
              </w:rPr>
              <w:t>30/06/2024</w:t>
            </w:r>
          </w:p>
        </w:tc>
        <w:tc>
          <w:tcPr>
            <w:tcW w:w="882" w:type="pct"/>
            <w:tcBorders>
              <w:top w:val="nil"/>
              <w:left w:val="nil"/>
              <w:bottom w:val="single" w:sz="4" w:space="0" w:color="F39200"/>
              <w:right w:val="nil"/>
            </w:tcBorders>
            <w:shd w:val="clear" w:color="auto" w:fill="auto"/>
            <w:vAlign w:val="center"/>
            <w:hideMark/>
          </w:tcPr>
          <w:p w14:paraId="5C98529F" w14:textId="4C485B57" w:rsidR="006D093A" w:rsidRPr="00E20D21" w:rsidRDefault="006D093A" w:rsidP="003D64FC">
            <w:pPr>
              <w:jc w:val="center"/>
              <w:rPr>
                <w:rFonts w:ascii="CAIXA Std Book" w:hAnsi="CAIXA Std Book"/>
                <w:b/>
                <w:color w:val="005CA9"/>
                <w:sz w:val="18"/>
                <w:szCs w:val="18"/>
              </w:rPr>
            </w:pPr>
            <w:r w:rsidRPr="00E20D21">
              <w:rPr>
                <w:rFonts w:ascii="CAIXA Std Book" w:hAnsi="CAIXA Std Book"/>
                <w:b/>
                <w:color w:val="005CA9"/>
                <w:sz w:val="18"/>
                <w:szCs w:val="18"/>
              </w:rPr>
              <w:t>31/12/202</w:t>
            </w:r>
            <w:r w:rsidR="00D075B1" w:rsidRPr="00E20D21">
              <w:rPr>
                <w:rFonts w:ascii="CAIXA Std Book" w:hAnsi="CAIXA Std Book"/>
                <w:b/>
                <w:color w:val="005CA9"/>
                <w:sz w:val="18"/>
                <w:szCs w:val="18"/>
              </w:rPr>
              <w:t>3</w:t>
            </w:r>
          </w:p>
        </w:tc>
      </w:tr>
      <w:tr w:rsidR="001F0E96" w:rsidRPr="00E20D21" w14:paraId="715D712D" w14:textId="77777777" w:rsidTr="005062FA">
        <w:trPr>
          <w:trHeight w:val="283"/>
        </w:trPr>
        <w:tc>
          <w:tcPr>
            <w:tcW w:w="2241" w:type="pct"/>
            <w:tcBorders>
              <w:top w:val="nil"/>
              <w:left w:val="nil"/>
              <w:bottom w:val="nil"/>
              <w:right w:val="nil"/>
            </w:tcBorders>
            <w:shd w:val="clear" w:color="auto" w:fill="auto"/>
            <w:vAlign w:val="center"/>
            <w:hideMark/>
          </w:tcPr>
          <w:p w14:paraId="43A54E4F" w14:textId="77777777" w:rsidR="001F0E96" w:rsidRPr="00E20D21" w:rsidRDefault="001F0E96" w:rsidP="001F0E96">
            <w:pPr>
              <w:rPr>
                <w:rFonts w:ascii="CAIXA Std Book" w:hAnsi="CAIXA Std Book"/>
                <w:color w:val="005CA9"/>
                <w:sz w:val="18"/>
                <w:szCs w:val="18"/>
              </w:rPr>
            </w:pPr>
            <w:r w:rsidRPr="00E20D21">
              <w:rPr>
                <w:rFonts w:ascii="CAIXA Std Book" w:hAnsi="CAIXA Std Book"/>
                <w:color w:val="005CA9"/>
                <w:sz w:val="18"/>
                <w:szCs w:val="18"/>
              </w:rPr>
              <w:t>Compulsório sobre depósito à vista</w:t>
            </w:r>
          </w:p>
        </w:tc>
        <w:tc>
          <w:tcPr>
            <w:tcW w:w="1068" w:type="pct"/>
            <w:tcBorders>
              <w:top w:val="nil"/>
              <w:left w:val="nil"/>
              <w:bottom w:val="nil"/>
              <w:right w:val="nil"/>
            </w:tcBorders>
            <w:shd w:val="clear" w:color="auto" w:fill="auto"/>
            <w:vAlign w:val="center"/>
            <w:hideMark/>
          </w:tcPr>
          <w:p w14:paraId="37BA0E42" w14:textId="77777777" w:rsidR="001F0E96" w:rsidRPr="00E20D21" w:rsidRDefault="001F0E96" w:rsidP="001F0E96">
            <w:pPr>
              <w:ind w:firstLineChars="100" w:firstLine="180"/>
              <w:jc w:val="center"/>
              <w:rPr>
                <w:rFonts w:ascii="CAIXA Std Book" w:hAnsi="CAIXA Std Book"/>
                <w:color w:val="005CA9"/>
                <w:sz w:val="18"/>
                <w:szCs w:val="18"/>
              </w:rPr>
            </w:pPr>
            <w:r w:rsidRPr="00E20D21">
              <w:rPr>
                <w:rFonts w:ascii="CAIXA Std Book" w:hAnsi="CAIXA Std Book"/>
                <w:color w:val="005CA9"/>
                <w:sz w:val="18"/>
                <w:szCs w:val="18"/>
              </w:rPr>
              <w:t>Não remunerado</w:t>
            </w:r>
          </w:p>
        </w:tc>
        <w:tc>
          <w:tcPr>
            <w:tcW w:w="809" w:type="pct"/>
            <w:tcBorders>
              <w:top w:val="nil"/>
              <w:left w:val="nil"/>
              <w:bottom w:val="nil"/>
              <w:right w:val="nil"/>
            </w:tcBorders>
            <w:shd w:val="clear" w:color="auto" w:fill="auto"/>
            <w:vAlign w:val="center"/>
          </w:tcPr>
          <w:p w14:paraId="77C1C07B" w14:textId="3CBC3815"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7.958.575</w:t>
            </w:r>
          </w:p>
        </w:tc>
        <w:tc>
          <w:tcPr>
            <w:tcW w:w="882" w:type="pct"/>
            <w:tcBorders>
              <w:top w:val="nil"/>
              <w:left w:val="nil"/>
              <w:bottom w:val="nil"/>
              <w:right w:val="nil"/>
            </w:tcBorders>
            <w:shd w:val="clear" w:color="auto" w:fill="auto"/>
            <w:vAlign w:val="center"/>
          </w:tcPr>
          <w:p w14:paraId="5F022BF6" w14:textId="66BC8C25"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7.361.410</w:t>
            </w:r>
          </w:p>
        </w:tc>
      </w:tr>
      <w:tr w:rsidR="001F0E96" w:rsidRPr="00E20D21" w14:paraId="3F8066CC" w14:textId="77777777" w:rsidTr="005062FA">
        <w:trPr>
          <w:trHeight w:val="283"/>
        </w:trPr>
        <w:tc>
          <w:tcPr>
            <w:tcW w:w="2241" w:type="pct"/>
            <w:tcBorders>
              <w:top w:val="nil"/>
              <w:left w:val="nil"/>
              <w:right w:val="nil"/>
            </w:tcBorders>
            <w:shd w:val="clear" w:color="auto" w:fill="auto"/>
            <w:vAlign w:val="center"/>
            <w:hideMark/>
          </w:tcPr>
          <w:p w14:paraId="28CBD25F" w14:textId="77777777" w:rsidR="001F0E96" w:rsidRPr="00E20D21" w:rsidRDefault="001F0E96" w:rsidP="001F0E96">
            <w:pPr>
              <w:rPr>
                <w:rFonts w:ascii="CAIXA Std Book" w:hAnsi="CAIXA Std Book"/>
                <w:color w:val="005CA9"/>
                <w:sz w:val="18"/>
                <w:szCs w:val="18"/>
              </w:rPr>
            </w:pPr>
            <w:r w:rsidRPr="00E20D21">
              <w:rPr>
                <w:rFonts w:ascii="CAIXA Std Book" w:hAnsi="CAIXA Std Book"/>
                <w:color w:val="005CA9"/>
                <w:sz w:val="18"/>
                <w:szCs w:val="18"/>
              </w:rPr>
              <w:t>Compulsório sobre depósito de poupança</w:t>
            </w:r>
          </w:p>
        </w:tc>
        <w:tc>
          <w:tcPr>
            <w:tcW w:w="1068" w:type="pct"/>
            <w:tcBorders>
              <w:top w:val="nil"/>
              <w:left w:val="nil"/>
              <w:right w:val="nil"/>
            </w:tcBorders>
            <w:shd w:val="clear" w:color="auto" w:fill="auto"/>
            <w:vAlign w:val="center"/>
            <w:hideMark/>
          </w:tcPr>
          <w:p w14:paraId="2E524647" w14:textId="77777777" w:rsidR="001F0E96" w:rsidRPr="00E20D21" w:rsidRDefault="001F0E96" w:rsidP="001F0E96">
            <w:pPr>
              <w:ind w:firstLineChars="100" w:firstLine="180"/>
              <w:jc w:val="center"/>
              <w:rPr>
                <w:rFonts w:ascii="CAIXA Std Book" w:hAnsi="CAIXA Std Book"/>
                <w:color w:val="005CA9"/>
                <w:sz w:val="18"/>
                <w:szCs w:val="18"/>
              </w:rPr>
            </w:pPr>
            <w:r w:rsidRPr="00E20D21">
              <w:rPr>
                <w:rFonts w:ascii="CAIXA Std Book" w:hAnsi="CAIXA Std Book"/>
                <w:color w:val="005CA9"/>
                <w:sz w:val="18"/>
                <w:szCs w:val="18"/>
              </w:rPr>
              <w:t>Índice da poupança</w:t>
            </w:r>
          </w:p>
        </w:tc>
        <w:tc>
          <w:tcPr>
            <w:tcW w:w="809" w:type="pct"/>
            <w:tcBorders>
              <w:top w:val="nil"/>
              <w:left w:val="nil"/>
              <w:bottom w:val="nil"/>
              <w:right w:val="nil"/>
            </w:tcBorders>
            <w:shd w:val="clear" w:color="auto" w:fill="auto"/>
            <w:vAlign w:val="center"/>
          </w:tcPr>
          <w:p w14:paraId="255EDB60" w14:textId="1BC05A3E"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74.176.821</w:t>
            </w:r>
          </w:p>
        </w:tc>
        <w:tc>
          <w:tcPr>
            <w:tcW w:w="882" w:type="pct"/>
            <w:tcBorders>
              <w:top w:val="nil"/>
              <w:left w:val="nil"/>
              <w:bottom w:val="nil"/>
              <w:right w:val="nil"/>
            </w:tcBorders>
            <w:shd w:val="clear" w:color="auto" w:fill="auto"/>
            <w:vAlign w:val="center"/>
          </w:tcPr>
          <w:p w14:paraId="4312B396" w14:textId="7F35614A"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71.014.770</w:t>
            </w:r>
          </w:p>
        </w:tc>
      </w:tr>
      <w:tr w:rsidR="001F0E96" w:rsidRPr="00E20D21" w14:paraId="5826EB61" w14:textId="77777777" w:rsidTr="005062FA">
        <w:trPr>
          <w:trHeight w:val="283"/>
        </w:trPr>
        <w:tc>
          <w:tcPr>
            <w:tcW w:w="2241" w:type="pct"/>
            <w:tcBorders>
              <w:top w:val="nil"/>
              <w:left w:val="nil"/>
              <w:right w:val="nil"/>
            </w:tcBorders>
            <w:shd w:val="clear" w:color="auto" w:fill="auto"/>
            <w:vAlign w:val="center"/>
            <w:hideMark/>
          </w:tcPr>
          <w:p w14:paraId="3BF469C4" w14:textId="70915051" w:rsidR="001F0E96" w:rsidRPr="00E20D21" w:rsidRDefault="001F0E96" w:rsidP="001F0E96">
            <w:pPr>
              <w:rPr>
                <w:rFonts w:ascii="CAIXA Std Book" w:hAnsi="CAIXA Std Book"/>
                <w:color w:val="005CA9"/>
                <w:sz w:val="18"/>
                <w:szCs w:val="18"/>
              </w:rPr>
            </w:pPr>
            <w:r w:rsidRPr="00E20D21">
              <w:rPr>
                <w:rFonts w:ascii="CAIXA Std Book" w:hAnsi="CAIXA Std Book"/>
                <w:color w:val="005CA9"/>
                <w:sz w:val="18"/>
                <w:szCs w:val="18"/>
              </w:rPr>
              <w:t xml:space="preserve">Compulsório sobre depósitos </w:t>
            </w:r>
            <w:proofErr w:type="gramStart"/>
            <w:r w:rsidRPr="00E20D21">
              <w:rPr>
                <w:rFonts w:ascii="CAIXA Std Book" w:hAnsi="CAIXA Std Book"/>
                <w:color w:val="005CA9"/>
                <w:sz w:val="18"/>
                <w:szCs w:val="18"/>
              </w:rPr>
              <w:t>à</w:t>
            </w:r>
            <w:proofErr w:type="gramEnd"/>
            <w:r w:rsidRPr="00E20D21">
              <w:rPr>
                <w:rFonts w:ascii="CAIXA Std Book" w:hAnsi="CAIXA Std Book"/>
                <w:color w:val="005CA9"/>
                <w:sz w:val="18"/>
                <w:szCs w:val="18"/>
              </w:rPr>
              <w:t xml:space="preserve"> prazo</w:t>
            </w:r>
          </w:p>
        </w:tc>
        <w:tc>
          <w:tcPr>
            <w:tcW w:w="1068" w:type="pct"/>
            <w:tcBorders>
              <w:top w:val="nil"/>
              <w:left w:val="nil"/>
              <w:right w:val="nil"/>
            </w:tcBorders>
            <w:shd w:val="clear" w:color="auto" w:fill="auto"/>
            <w:vAlign w:val="center"/>
            <w:hideMark/>
          </w:tcPr>
          <w:p w14:paraId="2A8A4CE3" w14:textId="77777777" w:rsidR="001F0E96" w:rsidRPr="00E20D21" w:rsidRDefault="001F0E96" w:rsidP="001F0E96">
            <w:pPr>
              <w:ind w:firstLineChars="100" w:firstLine="180"/>
              <w:jc w:val="center"/>
              <w:rPr>
                <w:rFonts w:ascii="CAIXA Std Book" w:hAnsi="CAIXA Std Book"/>
                <w:color w:val="005CA9"/>
                <w:sz w:val="18"/>
                <w:szCs w:val="18"/>
              </w:rPr>
            </w:pPr>
            <w:r w:rsidRPr="00E20D21">
              <w:rPr>
                <w:rFonts w:ascii="CAIXA Std Book" w:hAnsi="CAIXA Std Book"/>
                <w:color w:val="005CA9"/>
                <w:sz w:val="18"/>
                <w:szCs w:val="18"/>
              </w:rPr>
              <w:t>Taxa SELIC</w:t>
            </w:r>
          </w:p>
        </w:tc>
        <w:tc>
          <w:tcPr>
            <w:tcW w:w="809" w:type="pct"/>
            <w:tcBorders>
              <w:top w:val="nil"/>
              <w:left w:val="nil"/>
              <w:bottom w:val="nil"/>
              <w:right w:val="nil"/>
            </w:tcBorders>
            <w:shd w:val="clear" w:color="auto" w:fill="auto"/>
            <w:vAlign w:val="center"/>
          </w:tcPr>
          <w:p w14:paraId="16B45B49" w14:textId="3D52C37B"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30.439.633</w:t>
            </w:r>
          </w:p>
        </w:tc>
        <w:tc>
          <w:tcPr>
            <w:tcW w:w="882" w:type="pct"/>
            <w:tcBorders>
              <w:top w:val="nil"/>
              <w:left w:val="nil"/>
              <w:bottom w:val="nil"/>
              <w:right w:val="nil"/>
            </w:tcBorders>
            <w:shd w:val="clear" w:color="auto" w:fill="auto"/>
            <w:vAlign w:val="center"/>
          </w:tcPr>
          <w:p w14:paraId="201EC98D" w14:textId="2B84C6FD"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23.967.982</w:t>
            </w:r>
          </w:p>
        </w:tc>
      </w:tr>
      <w:tr w:rsidR="001F0E96" w:rsidRPr="00E20D21" w14:paraId="2A22A1A4" w14:textId="77777777" w:rsidTr="005062FA">
        <w:trPr>
          <w:trHeight w:val="283"/>
        </w:trPr>
        <w:tc>
          <w:tcPr>
            <w:tcW w:w="2241" w:type="pct"/>
            <w:tcBorders>
              <w:left w:val="nil"/>
              <w:right w:val="nil"/>
            </w:tcBorders>
            <w:shd w:val="clear" w:color="auto" w:fill="auto"/>
            <w:vAlign w:val="center"/>
          </w:tcPr>
          <w:p w14:paraId="6820DB2D" w14:textId="77777777" w:rsidR="001F0E96" w:rsidRPr="00E20D21" w:rsidRDefault="001F0E96" w:rsidP="001F0E96">
            <w:pPr>
              <w:rPr>
                <w:rFonts w:ascii="CAIXA Std Book" w:hAnsi="CAIXA Std Book"/>
                <w:color w:val="005CA9"/>
                <w:sz w:val="18"/>
                <w:szCs w:val="18"/>
              </w:rPr>
            </w:pPr>
            <w:r w:rsidRPr="00E20D21">
              <w:rPr>
                <w:rFonts w:ascii="CAIXA Std Book" w:hAnsi="CAIXA Std Book"/>
                <w:color w:val="005CA9"/>
                <w:sz w:val="18"/>
                <w:szCs w:val="18"/>
              </w:rPr>
              <w:t>Conta de pagamentos instantâneos</w:t>
            </w:r>
          </w:p>
        </w:tc>
        <w:tc>
          <w:tcPr>
            <w:tcW w:w="1068" w:type="pct"/>
            <w:tcBorders>
              <w:left w:val="nil"/>
              <w:right w:val="nil"/>
            </w:tcBorders>
            <w:shd w:val="clear" w:color="auto" w:fill="auto"/>
            <w:vAlign w:val="center"/>
          </w:tcPr>
          <w:p w14:paraId="4F853F9D" w14:textId="6F8AC468" w:rsidR="001F0E96" w:rsidRPr="00E20D21" w:rsidRDefault="001F0E96" w:rsidP="001F0E96">
            <w:pPr>
              <w:ind w:firstLineChars="100" w:firstLine="180"/>
              <w:jc w:val="center"/>
              <w:rPr>
                <w:rFonts w:ascii="CAIXA Std Book" w:hAnsi="CAIXA Std Book"/>
                <w:color w:val="005CA9"/>
                <w:sz w:val="18"/>
                <w:szCs w:val="18"/>
              </w:rPr>
            </w:pPr>
            <w:r w:rsidRPr="00E20D21">
              <w:rPr>
                <w:rFonts w:ascii="CAIXA Std Book" w:hAnsi="CAIXA Std Book"/>
                <w:color w:val="005CA9"/>
                <w:sz w:val="18"/>
                <w:szCs w:val="18"/>
              </w:rPr>
              <w:t>Taxa SELIC</w:t>
            </w:r>
          </w:p>
        </w:tc>
        <w:tc>
          <w:tcPr>
            <w:tcW w:w="809" w:type="pct"/>
            <w:tcBorders>
              <w:top w:val="nil"/>
              <w:left w:val="nil"/>
              <w:bottom w:val="nil"/>
              <w:right w:val="nil"/>
            </w:tcBorders>
            <w:shd w:val="clear" w:color="auto" w:fill="auto"/>
            <w:vAlign w:val="center"/>
          </w:tcPr>
          <w:p w14:paraId="45E643F3" w14:textId="2B22200C"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4.782.475</w:t>
            </w:r>
          </w:p>
        </w:tc>
        <w:tc>
          <w:tcPr>
            <w:tcW w:w="882" w:type="pct"/>
            <w:tcBorders>
              <w:top w:val="nil"/>
              <w:left w:val="nil"/>
              <w:bottom w:val="nil"/>
              <w:right w:val="nil"/>
            </w:tcBorders>
            <w:shd w:val="clear" w:color="auto" w:fill="auto"/>
            <w:vAlign w:val="center"/>
          </w:tcPr>
          <w:p w14:paraId="2DC999EB" w14:textId="6BD83F85"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6.248.987</w:t>
            </w:r>
          </w:p>
        </w:tc>
      </w:tr>
      <w:tr w:rsidR="001F0E96" w:rsidRPr="00E20D21" w14:paraId="0BDD165C" w14:textId="77777777" w:rsidTr="005062FA">
        <w:trPr>
          <w:trHeight w:val="283"/>
        </w:trPr>
        <w:tc>
          <w:tcPr>
            <w:tcW w:w="2241" w:type="pct"/>
            <w:tcBorders>
              <w:left w:val="nil"/>
              <w:bottom w:val="single" w:sz="4" w:space="0" w:color="F39200"/>
              <w:right w:val="nil"/>
            </w:tcBorders>
            <w:shd w:val="clear" w:color="auto" w:fill="auto"/>
            <w:vAlign w:val="center"/>
          </w:tcPr>
          <w:p w14:paraId="54F57537" w14:textId="2D7EA671" w:rsidR="001F0E96" w:rsidRPr="00E20D21" w:rsidRDefault="001F0E96" w:rsidP="001F0E96">
            <w:pPr>
              <w:rPr>
                <w:rFonts w:ascii="CAIXA Std Book" w:hAnsi="CAIXA Std Book"/>
                <w:color w:val="005CA9"/>
                <w:sz w:val="18"/>
                <w:szCs w:val="18"/>
              </w:rPr>
            </w:pPr>
            <w:r w:rsidRPr="00E20D21">
              <w:rPr>
                <w:rFonts w:ascii="CAIXA Std Book" w:hAnsi="CAIXA Std Book"/>
                <w:color w:val="005CA9"/>
                <w:sz w:val="18"/>
                <w:szCs w:val="18"/>
              </w:rPr>
              <w:t>Depósitos voluntários</w:t>
            </w:r>
          </w:p>
        </w:tc>
        <w:tc>
          <w:tcPr>
            <w:tcW w:w="1068" w:type="pct"/>
            <w:tcBorders>
              <w:left w:val="nil"/>
              <w:bottom w:val="single" w:sz="4" w:space="0" w:color="F39200"/>
              <w:right w:val="nil"/>
            </w:tcBorders>
            <w:shd w:val="clear" w:color="auto" w:fill="auto"/>
            <w:vAlign w:val="center"/>
          </w:tcPr>
          <w:p w14:paraId="679EAFF8" w14:textId="041045A2" w:rsidR="001F0E96" w:rsidRPr="00E20D21" w:rsidRDefault="001F0E96" w:rsidP="001F0E96">
            <w:pPr>
              <w:ind w:firstLineChars="100" w:firstLine="180"/>
              <w:jc w:val="center"/>
              <w:rPr>
                <w:rFonts w:ascii="CAIXA Std Book" w:hAnsi="CAIXA Std Book"/>
                <w:color w:val="005CA9"/>
                <w:sz w:val="18"/>
                <w:szCs w:val="18"/>
                <w:highlight w:val="yellow"/>
              </w:rPr>
            </w:pPr>
            <w:r w:rsidRPr="00E20D21">
              <w:rPr>
                <w:rFonts w:ascii="CAIXA Std Book" w:hAnsi="CAIXA Std Book"/>
                <w:color w:val="005CA9"/>
                <w:sz w:val="18"/>
                <w:szCs w:val="18"/>
              </w:rPr>
              <w:t>Taxa SELIC</w:t>
            </w:r>
          </w:p>
        </w:tc>
        <w:tc>
          <w:tcPr>
            <w:tcW w:w="809" w:type="pct"/>
            <w:tcBorders>
              <w:top w:val="nil"/>
              <w:left w:val="nil"/>
              <w:bottom w:val="nil"/>
              <w:right w:val="nil"/>
            </w:tcBorders>
            <w:shd w:val="clear" w:color="auto" w:fill="auto"/>
            <w:vAlign w:val="center"/>
          </w:tcPr>
          <w:p w14:paraId="4DD1BA00" w14:textId="57344872"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22.899.998</w:t>
            </w:r>
          </w:p>
        </w:tc>
        <w:tc>
          <w:tcPr>
            <w:tcW w:w="882" w:type="pct"/>
            <w:tcBorders>
              <w:top w:val="nil"/>
              <w:left w:val="nil"/>
              <w:bottom w:val="single" w:sz="4" w:space="0" w:color="F79646"/>
              <w:right w:val="nil"/>
            </w:tcBorders>
            <w:shd w:val="clear" w:color="auto" w:fill="auto"/>
            <w:vAlign w:val="center"/>
          </w:tcPr>
          <w:p w14:paraId="01D963FA" w14:textId="2E2D87B0"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24.800.000</w:t>
            </w:r>
          </w:p>
        </w:tc>
      </w:tr>
      <w:tr w:rsidR="001F0E96" w:rsidRPr="00E20D21" w14:paraId="3FD58BDB" w14:textId="77777777" w:rsidTr="005062FA">
        <w:trPr>
          <w:trHeight w:val="283"/>
        </w:trPr>
        <w:tc>
          <w:tcPr>
            <w:tcW w:w="2241" w:type="pct"/>
            <w:tcBorders>
              <w:top w:val="single" w:sz="4" w:space="0" w:color="F39200"/>
              <w:left w:val="nil"/>
              <w:bottom w:val="single" w:sz="4" w:space="0" w:color="F39200"/>
              <w:right w:val="nil"/>
            </w:tcBorders>
            <w:shd w:val="clear" w:color="auto" w:fill="auto"/>
            <w:vAlign w:val="center"/>
            <w:hideMark/>
          </w:tcPr>
          <w:p w14:paraId="0D9FDF2E" w14:textId="77777777" w:rsidR="001F0E96" w:rsidRPr="00E20D21" w:rsidRDefault="001F0E96" w:rsidP="001F0E96">
            <w:pPr>
              <w:rPr>
                <w:rFonts w:ascii="CAIXA Std Book" w:hAnsi="CAIXA Std Book"/>
                <w:b/>
                <w:color w:val="005CA9"/>
                <w:sz w:val="18"/>
                <w:szCs w:val="18"/>
              </w:rPr>
            </w:pPr>
            <w:r w:rsidRPr="00E20D21">
              <w:rPr>
                <w:rFonts w:ascii="CAIXA Std Book" w:hAnsi="CAIXA Std Book"/>
                <w:b/>
                <w:color w:val="005CA9"/>
                <w:sz w:val="18"/>
                <w:szCs w:val="18"/>
              </w:rPr>
              <w:t>Total</w:t>
            </w:r>
          </w:p>
        </w:tc>
        <w:tc>
          <w:tcPr>
            <w:tcW w:w="1068" w:type="pct"/>
            <w:tcBorders>
              <w:top w:val="single" w:sz="4" w:space="0" w:color="F39200"/>
              <w:left w:val="nil"/>
              <w:bottom w:val="single" w:sz="4" w:space="0" w:color="F39200"/>
              <w:right w:val="nil"/>
            </w:tcBorders>
            <w:shd w:val="clear" w:color="auto" w:fill="auto"/>
            <w:vAlign w:val="center"/>
            <w:hideMark/>
          </w:tcPr>
          <w:p w14:paraId="4941AFF1" w14:textId="77777777" w:rsidR="001F0E96" w:rsidRPr="00E20D21" w:rsidRDefault="001F0E96" w:rsidP="001F0E96">
            <w:pPr>
              <w:jc w:val="center"/>
              <w:rPr>
                <w:rFonts w:ascii="CAIXA Std Book" w:hAnsi="CAIXA Std Book"/>
                <w:color w:val="005CA9"/>
                <w:sz w:val="18"/>
                <w:szCs w:val="18"/>
              </w:rPr>
            </w:pPr>
          </w:p>
        </w:tc>
        <w:tc>
          <w:tcPr>
            <w:tcW w:w="809" w:type="pct"/>
            <w:tcBorders>
              <w:top w:val="single" w:sz="4" w:space="0" w:color="F79646"/>
              <w:left w:val="nil"/>
              <w:bottom w:val="single" w:sz="4" w:space="0" w:color="F79646"/>
              <w:right w:val="nil"/>
            </w:tcBorders>
            <w:shd w:val="clear" w:color="auto" w:fill="auto"/>
            <w:vAlign w:val="center"/>
          </w:tcPr>
          <w:p w14:paraId="78078E48" w14:textId="0BCC2053" w:rsidR="001F0E96" w:rsidRPr="00E20D21" w:rsidRDefault="001F0E96" w:rsidP="001F0E96">
            <w:pPr>
              <w:jc w:val="right"/>
              <w:rPr>
                <w:rFonts w:ascii="CAIXA Std Book" w:hAnsi="CAIXA Std Book"/>
                <w:b/>
                <w:bCs/>
                <w:color w:val="005CA9"/>
                <w:sz w:val="18"/>
                <w:szCs w:val="18"/>
              </w:rPr>
            </w:pPr>
            <w:r w:rsidRPr="00E20D21">
              <w:rPr>
                <w:rFonts w:ascii="CAIXA Std Book" w:hAnsi="CAIXA Std Book" w:cs="Arial"/>
                <w:b/>
                <w:bCs/>
                <w:color w:val="005CA9"/>
                <w:sz w:val="18"/>
                <w:szCs w:val="18"/>
              </w:rPr>
              <w:t>140.257.502</w:t>
            </w:r>
          </w:p>
        </w:tc>
        <w:tc>
          <w:tcPr>
            <w:tcW w:w="882" w:type="pct"/>
            <w:tcBorders>
              <w:top w:val="single" w:sz="4" w:space="0" w:color="F79646"/>
              <w:left w:val="nil"/>
              <w:bottom w:val="single" w:sz="4" w:space="0" w:color="F79646"/>
              <w:right w:val="nil"/>
            </w:tcBorders>
            <w:shd w:val="clear" w:color="auto" w:fill="auto"/>
            <w:vAlign w:val="center"/>
          </w:tcPr>
          <w:p w14:paraId="54EA6946" w14:textId="5FE61382" w:rsidR="001F0E96" w:rsidRPr="00E20D21" w:rsidRDefault="001F0E96" w:rsidP="001F0E96">
            <w:pPr>
              <w:jc w:val="right"/>
              <w:rPr>
                <w:rFonts w:ascii="CAIXA Std Book" w:hAnsi="CAIXA Std Book"/>
                <w:b/>
                <w:color w:val="005CA9"/>
                <w:sz w:val="18"/>
                <w:szCs w:val="18"/>
              </w:rPr>
            </w:pPr>
            <w:r w:rsidRPr="00E20D21">
              <w:rPr>
                <w:rFonts w:ascii="CAIXA Std Book" w:hAnsi="CAIXA Std Book" w:cs="Arial"/>
                <w:b/>
                <w:bCs/>
                <w:color w:val="005CA9"/>
                <w:sz w:val="18"/>
                <w:szCs w:val="18"/>
              </w:rPr>
              <w:t>133.393.149</w:t>
            </w:r>
          </w:p>
        </w:tc>
      </w:tr>
      <w:tr w:rsidR="001F0E96" w:rsidRPr="00E20D21" w14:paraId="7A857350" w14:textId="77777777" w:rsidTr="005062FA">
        <w:trPr>
          <w:trHeight w:val="283"/>
        </w:trPr>
        <w:tc>
          <w:tcPr>
            <w:tcW w:w="2241" w:type="pct"/>
            <w:tcBorders>
              <w:top w:val="single" w:sz="4" w:space="0" w:color="F79646" w:themeColor="accent6"/>
              <w:left w:val="nil"/>
              <w:bottom w:val="nil"/>
              <w:right w:val="nil"/>
            </w:tcBorders>
            <w:vAlign w:val="center"/>
            <w:hideMark/>
          </w:tcPr>
          <w:p w14:paraId="7E6319D6" w14:textId="77777777" w:rsidR="001F0E96" w:rsidRPr="00E20D21" w:rsidRDefault="001F0E96" w:rsidP="001F0E96">
            <w:pPr>
              <w:rPr>
                <w:rFonts w:ascii="CAIXA Std Book" w:hAnsi="CAIXA Std Book"/>
                <w:color w:val="005CA9"/>
                <w:sz w:val="18"/>
                <w:szCs w:val="18"/>
              </w:rPr>
            </w:pPr>
            <w:r w:rsidRPr="00E20D21">
              <w:rPr>
                <w:rFonts w:ascii="CAIXA Std Book" w:hAnsi="CAIXA Std Book"/>
                <w:color w:val="005CA9"/>
                <w:sz w:val="18"/>
                <w:szCs w:val="18"/>
              </w:rPr>
              <w:t>Ativo circulante</w:t>
            </w:r>
          </w:p>
        </w:tc>
        <w:tc>
          <w:tcPr>
            <w:tcW w:w="1068" w:type="pct"/>
            <w:tcBorders>
              <w:top w:val="single" w:sz="4" w:space="0" w:color="F79646" w:themeColor="accent6"/>
              <w:left w:val="nil"/>
              <w:bottom w:val="nil"/>
              <w:right w:val="nil"/>
            </w:tcBorders>
            <w:vAlign w:val="center"/>
          </w:tcPr>
          <w:p w14:paraId="3AE3194F" w14:textId="77777777" w:rsidR="001F0E96" w:rsidRPr="00E20D21" w:rsidRDefault="001F0E96" w:rsidP="001F0E96">
            <w:pPr>
              <w:jc w:val="center"/>
              <w:rPr>
                <w:rFonts w:ascii="CAIXA Std Book" w:hAnsi="CAIXA Std Book"/>
                <w:color w:val="005CA9"/>
                <w:sz w:val="18"/>
                <w:szCs w:val="18"/>
              </w:rPr>
            </w:pPr>
          </w:p>
        </w:tc>
        <w:tc>
          <w:tcPr>
            <w:tcW w:w="809" w:type="pct"/>
            <w:tcBorders>
              <w:top w:val="nil"/>
              <w:left w:val="nil"/>
              <w:right w:val="nil"/>
            </w:tcBorders>
            <w:shd w:val="clear" w:color="auto" w:fill="auto"/>
            <w:vAlign w:val="center"/>
          </w:tcPr>
          <w:p w14:paraId="354EBB33" w14:textId="3100BAA3" w:rsidR="001F0E96" w:rsidRPr="00E20D21" w:rsidRDefault="001F0E96" w:rsidP="001F0E96">
            <w:pPr>
              <w:jc w:val="right"/>
              <w:rPr>
                <w:rFonts w:ascii="CAIXA Std Book" w:hAnsi="CAIXA Std Book"/>
                <w:color w:val="005CA9"/>
                <w:sz w:val="18"/>
                <w:szCs w:val="18"/>
              </w:rPr>
            </w:pPr>
            <w:r w:rsidRPr="00E20D21">
              <w:rPr>
                <w:rFonts w:ascii="CAIXA Std Book" w:hAnsi="CAIXA Std Book" w:cs="Arial"/>
                <w:color w:val="005CA9"/>
                <w:sz w:val="18"/>
                <w:szCs w:val="18"/>
              </w:rPr>
              <w:t>140.257.502</w:t>
            </w:r>
          </w:p>
        </w:tc>
        <w:tc>
          <w:tcPr>
            <w:tcW w:w="882" w:type="pct"/>
            <w:tcBorders>
              <w:top w:val="single" w:sz="4" w:space="0" w:color="F79646"/>
              <w:left w:val="nil"/>
              <w:bottom w:val="nil"/>
              <w:right w:val="nil"/>
            </w:tcBorders>
            <w:shd w:val="clear" w:color="auto" w:fill="auto"/>
            <w:vAlign w:val="center"/>
          </w:tcPr>
          <w:p w14:paraId="287062A7" w14:textId="1C17504D" w:rsidR="001F0E96" w:rsidRPr="00E20D21" w:rsidRDefault="001F0E96" w:rsidP="001F0E96">
            <w:pPr>
              <w:jc w:val="right"/>
              <w:rPr>
                <w:rFonts w:ascii="CAIXA Std Book" w:hAnsi="CAIXA Std Book"/>
                <w:color w:val="005CA9"/>
                <w:sz w:val="18"/>
                <w:szCs w:val="18"/>
              </w:rPr>
            </w:pPr>
            <w:r w:rsidRPr="00E20D21">
              <w:rPr>
                <w:rFonts w:ascii="CAIXA Std Book" w:hAnsi="CAIXA Std Book"/>
                <w:color w:val="005CA9"/>
                <w:sz w:val="18"/>
                <w:szCs w:val="18"/>
              </w:rPr>
              <w:t>133.393.149</w:t>
            </w:r>
          </w:p>
        </w:tc>
      </w:tr>
      <w:tr w:rsidR="001F0E96" w:rsidRPr="00E20D21" w14:paraId="65C7CAA2" w14:textId="77777777" w:rsidTr="005062FA">
        <w:trPr>
          <w:trHeight w:val="283"/>
        </w:trPr>
        <w:tc>
          <w:tcPr>
            <w:tcW w:w="2241" w:type="pct"/>
            <w:tcBorders>
              <w:top w:val="nil"/>
              <w:left w:val="nil"/>
              <w:bottom w:val="single" w:sz="4" w:space="0" w:color="F79646" w:themeColor="accent6"/>
              <w:right w:val="nil"/>
            </w:tcBorders>
            <w:vAlign w:val="center"/>
            <w:hideMark/>
          </w:tcPr>
          <w:p w14:paraId="6CA5AB50" w14:textId="77777777" w:rsidR="001F0E96" w:rsidRPr="00E20D21" w:rsidRDefault="001F0E96" w:rsidP="001F0E96">
            <w:pPr>
              <w:rPr>
                <w:rFonts w:ascii="CAIXA Std Book" w:hAnsi="CAIXA Std Book"/>
                <w:color w:val="005CA9"/>
                <w:sz w:val="18"/>
                <w:szCs w:val="18"/>
              </w:rPr>
            </w:pPr>
            <w:r w:rsidRPr="00E20D21">
              <w:rPr>
                <w:rFonts w:ascii="CAIXA Std Book" w:hAnsi="CAIXA Std Book"/>
                <w:color w:val="005CA9"/>
                <w:sz w:val="18"/>
                <w:szCs w:val="18"/>
              </w:rPr>
              <w:t>Ativo não circulante</w:t>
            </w:r>
          </w:p>
        </w:tc>
        <w:tc>
          <w:tcPr>
            <w:tcW w:w="1068" w:type="pct"/>
            <w:tcBorders>
              <w:top w:val="nil"/>
              <w:left w:val="nil"/>
              <w:bottom w:val="single" w:sz="4" w:space="0" w:color="F79646" w:themeColor="accent6"/>
              <w:right w:val="nil"/>
            </w:tcBorders>
            <w:shd w:val="clear" w:color="auto" w:fill="auto"/>
            <w:vAlign w:val="center"/>
          </w:tcPr>
          <w:p w14:paraId="2AAA0198" w14:textId="77777777" w:rsidR="001F0E96" w:rsidRPr="00E20D21" w:rsidRDefault="001F0E96" w:rsidP="001F0E96">
            <w:pPr>
              <w:jc w:val="center"/>
              <w:rPr>
                <w:rFonts w:ascii="CAIXA Std Book" w:hAnsi="CAIXA Std Book"/>
                <w:color w:val="005CA9"/>
                <w:sz w:val="18"/>
                <w:szCs w:val="18"/>
              </w:rPr>
            </w:pPr>
          </w:p>
        </w:tc>
        <w:tc>
          <w:tcPr>
            <w:tcW w:w="809" w:type="pct"/>
            <w:tcBorders>
              <w:top w:val="nil"/>
              <w:left w:val="nil"/>
              <w:bottom w:val="single" w:sz="4" w:space="0" w:color="F79646" w:themeColor="accent6"/>
              <w:right w:val="nil"/>
            </w:tcBorders>
            <w:shd w:val="clear" w:color="auto" w:fill="auto"/>
            <w:vAlign w:val="center"/>
          </w:tcPr>
          <w:p w14:paraId="570BDC7D" w14:textId="3F9DC3D1" w:rsidR="001F0E96" w:rsidRPr="00E20D21" w:rsidRDefault="001F0E96" w:rsidP="001F0E96">
            <w:pPr>
              <w:jc w:val="center"/>
              <w:rPr>
                <w:rFonts w:ascii="CAIXA Std Book" w:hAnsi="CAIXA Std Book"/>
                <w:color w:val="005CA9"/>
                <w:sz w:val="18"/>
                <w:szCs w:val="18"/>
              </w:rPr>
            </w:pPr>
            <w:r w:rsidRPr="00E20D21">
              <w:rPr>
                <w:rFonts w:ascii="CAIXA Std Book" w:hAnsi="CAIXA Std Book"/>
                <w:color w:val="005CA9"/>
                <w:sz w:val="18"/>
                <w:szCs w:val="18"/>
              </w:rPr>
              <w:t>-</w:t>
            </w:r>
          </w:p>
        </w:tc>
        <w:tc>
          <w:tcPr>
            <w:tcW w:w="882" w:type="pct"/>
            <w:tcBorders>
              <w:left w:val="nil"/>
              <w:bottom w:val="single" w:sz="4" w:space="0" w:color="F79646"/>
              <w:right w:val="nil"/>
            </w:tcBorders>
            <w:shd w:val="clear" w:color="auto" w:fill="auto"/>
            <w:vAlign w:val="center"/>
          </w:tcPr>
          <w:p w14:paraId="7D16910E" w14:textId="29AF4849" w:rsidR="001F0E96" w:rsidRPr="00E20D21" w:rsidRDefault="001F0E96" w:rsidP="001F0E96">
            <w:pPr>
              <w:jc w:val="center"/>
              <w:rPr>
                <w:rFonts w:ascii="CAIXA Std Book" w:hAnsi="CAIXA Std Book"/>
                <w:color w:val="005CA9"/>
                <w:sz w:val="18"/>
                <w:szCs w:val="18"/>
              </w:rPr>
            </w:pPr>
            <w:r w:rsidRPr="00E20D21">
              <w:rPr>
                <w:rFonts w:ascii="CAIXA Std Book" w:hAnsi="CAIXA Std Book"/>
                <w:color w:val="005CA9"/>
                <w:sz w:val="18"/>
                <w:szCs w:val="18"/>
              </w:rPr>
              <w:t>-</w:t>
            </w:r>
          </w:p>
        </w:tc>
      </w:tr>
    </w:tbl>
    <w:p w14:paraId="223AD2EE" w14:textId="5A18E033" w:rsidR="0084689A" w:rsidRPr="00E20D21" w:rsidRDefault="00273C8A" w:rsidP="00273C8A">
      <w:pPr>
        <w:keepNext/>
        <w:spacing w:before="240" w:after="240"/>
        <w:jc w:val="both"/>
        <w:rPr>
          <w:rStyle w:val="Nmerodepgina"/>
          <w:rFonts w:ascii="CAIXA Std Book" w:hAnsi="CAIXA Std Book" w:cs="Arial Unicode MS"/>
          <w:b/>
          <w:color w:val="005CA9"/>
          <w:sz w:val="20"/>
          <w:szCs w:val="20"/>
        </w:rPr>
      </w:pPr>
      <w:r w:rsidRPr="00E20D21">
        <w:rPr>
          <w:rStyle w:val="Nmerodepgina"/>
          <w:rFonts w:ascii="CAIXA Std Book" w:hAnsi="CAIXA Std Book" w:cs="Arial Unicode MS"/>
          <w:b/>
          <w:color w:val="005CA9"/>
          <w:sz w:val="20"/>
          <w:szCs w:val="20"/>
        </w:rPr>
        <w:t>(b)</w:t>
      </w:r>
      <w:r w:rsidRPr="00E20D21">
        <w:rPr>
          <w:rStyle w:val="Nmerodepgina"/>
          <w:rFonts w:ascii="CAIXA Std Book" w:hAnsi="CAIXA Std Book" w:cs="Arial Unicode MS"/>
          <w:b/>
          <w:color w:val="005CA9"/>
          <w:sz w:val="20"/>
          <w:szCs w:val="20"/>
        </w:rPr>
        <w:tab/>
      </w:r>
      <w:r w:rsidR="0084689A" w:rsidRPr="00E20D21">
        <w:rPr>
          <w:rStyle w:val="Nmerodepgina"/>
          <w:rFonts w:ascii="CAIXA Std Book" w:hAnsi="CAIXA Std Book" w:cs="Arial Unicode MS"/>
          <w:b/>
          <w:color w:val="005CA9"/>
          <w:sz w:val="20"/>
          <w:szCs w:val="20"/>
        </w:rPr>
        <w:t>Resultado das aplicações no Banco Central</w:t>
      </w:r>
    </w:p>
    <w:tbl>
      <w:tblPr>
        <w:tblW w:w="5000" w:type="pct"/>
        <w:tblCellMar>
          <w:left w:w="70" w:type="dxa"/>
          <w:right w:w="70" w:type="dxa"/>
        </w:tblCellMar>
        <w:tblLook w:val="04A0" w:firstRow="1" w:lastRow="0" w:firstColumn="1" w:lastColumn="0" w:noHBand="0" w:noVBand="1"/>
      </w:tblPr>
      <w:tblGrid>
        <w:gridCol w:w="6379"/>
        <w:gridCol w:w="1559"/>
        <w:gridCol w:w="1700"/>
      </w:tblGrid>
      <w:tr w:rsidR="00A47C19" w:rsidRPr="00E20D21" w14:paraId="70B28104" w14:textId="77777777" w:rsidTr="009C7374">
        <w:trPr>
          <w:trHeight w:val="283"/>
        </w:trPr>
        <w:tc>
          <w:tcPr>
            <w:tcW w:w="5000" w:type="pct"/>
            <w:gridSpan w:val="3"/>
            <w:tcBorders>
              <w:top w:val="single" w:sz="4" w:space="0" w:color="F79646"/>
              <w:left w:val="nil"/>
              <w:bottom w:val="single" w:sz="4" w:space="0" w:color="F79646"/>
              <w:right w:val="nil"/>
            </w:tcBorders>
            <w:vAlign w:val="center"/>
          </w:tcPr>
          <w:p w14:paraId="4AA25FEA" w14:textId="121D6866" w:rsidR="00A36F51" w:rsidRPr="00E20D21" w:rsidRDefault="00A36F51" w:rsidP="00786F6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 / CONSOLIDADO</w:t>
            </w:r>
          </w:p>
        </w:tc>
      </w:tr>
      <w:tr w:rsidR="00A47C19" w:rsidRPr="00E20D21" w14:paraId="67B8F299" w14:textId="77777777" w:rsidTr="009C7374">
        <w:trPr>
          <w:trHeight w:val="283"/>
        </w:trPr>
        <w:tc>
          <w:tcPr>
            <w:tcW w:w="3309" w:type="pct"/>
            <w:vMerge w:val="restart"/>
            <w:tcBorders>
              <w:top w:val="single" w:sz="4" w:space="0" w:color="F79646"/>
              <w:left w:val="nil"/>
              <w:bottom w:val="single" w:sz="8" w:space="0" w:color="F39200"/>
              <w:right w:val="nil"/>
            </w:tcBorders>
            <w:shd w:val="clear" w:color="auto" w:fill="auto"/>
            <w:vAlign w:val="center"/>
            <w:hideMark/>
          </w:tcPr>
          <w:p w14:paraId="0B0C6B7F" w14:textId="77777777" w:rsidR="00A36F51" w:rsidRPr="00E20D21" w:rsidRDefault="00A36F51" w:rsidP="00A36F5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809" w:type="pct"/>
            <w:tcBorders>
              <w:top w:val="single" w:sz="4" w:space="0" w:color="F79646"/>
              <w:left w:val="nil"/>
              <w:bottom w:val="single" w:sz="4" w:space="0" w:color="F79646"/>
              <w:right w:val="nil"/>
            </w:tcBorders>
            <w:shd w:val="clear" w:color="auto" w:fill="auto"/>
            <w:noWrap/>
            <w:vAlign w:val="center"/>
            <w:hideMark/>
          </w:tcPr>
          <w:p w14:paraId="3C82D1C6" w14:textId="77777777" w:rsidR="00A36F51" w:rsidRPr="00E20D21" w:rsidRDefault="00A36F51" w:rsidP="00A36F5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882" w:type="pct"/>
            <w:tcBorders>
              <w:top w:val="single" w:sz="4" w:space="0" w:color="F79646"/>
              <w:left w:val="nil"/>
              <w:bottom w:val="single" w:sz="4" w:space="0" w:color="F79646"/>
              <w:right w:val="nil"/>
            </w:tcBorders>
            <w:shd w:val="clear" w:color="auto" w:fill="auto"/>
            <w:vAlign w:val="center"/>
          </w:tcPr>
          <w:p w14:paraId="37737510" w14:textId="14EEF54E" w:rsidR="00A36F51" w:rsidRPr="00E20D21" w:rsidRDefault="00A36F51" w:rsidP="00A36F5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A47C19" w:rsidRPr="00E20D21" w14:paraId="764143DC" w14:textId="77777777" w:rsidTr="009C7374">
        <w:trPr>
          <w:trHeight w:val="283"/>
        </w:trPr>
        <w:tc>
          <w:tcPr>
            <w:tcW w:w="3309" w:type="pct"/>
            <w:vMerge/>
            <w:tcBorders>
              <w:top w:val="single" w:sz="4" w:space="0" w:color="F79646"/>
              <w:left w:val="nil"/>
              <w:bottom w:val="single" w:sz="4" w:space="0" w:color="F79646"/>
              <w:right w:val="nil"/>
            </w:tcBorders>
            <w:vAlign w:val="center"/>
            <w:hideMark/>
          </w:tcPr>
          <w:p w14:paraId="3D3FCC05" w14:textId="77777777" w:rsidR="00A36F51" w:rsidRPr="00E20D21" w:rsidRDefault="00A36F51" w:rsidP="00A36F51">
            <w:pPr>
              <w:rPr>
                <w:rFonts w:ascii="CAIXA Std Book" w:eastAsia="Times New Roman" w:hAnsi="CAIXA Std Book" w:cs="Arial"/>
                <w:b/>
                <w:bCs/>
                <w:color w:val="005CA9"/>
                <w:sz w:val="18"/>
                <w:szCs w:val="18"/>
              </w:rPr>
            </w:pPr>
          </w:p>
        </w:tc>
        <w:tc>
          <w:tcPr>
            <w:tcW w:w="809" w:type="pct"/>
            <w:tcBorders>
              <w:top w:val="single" w:sz="4" w:space="0" w:color="F79646"/>
              <w:left w:val="nil"/>
              <w:bottom w:val="single" w:sz="4" w:space="0" w:color="F79646"/>
              <w:right w:val="nil"/>
            </w:tcBorders>
            <w:shd w:val="clear" w:color="auto" w:fill="auto"/>
            <w:vAlign w:val="center"/>
            <w:hideMark/>
          </w:tcPr>
          <w:p w14:paraId="5382BFFF" w14:textId="6ABD14B1" w:rsidR="00A36F51" w:rsidRPr="00E20D21" w:rsidRDefault="00A36F51" w:rsidP="00A36F5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882" w:type="pct"/>
            <w:tcBorders>
              <w:top w:val="single" w:sz="4" w:space="0" w:color="F79646"/>
              <w:left w:val="nil"/>
              <w:bottom w:val="single" w:sz="4" w:space="0" w:color="F79646"/>
              <w:right w:val="nil"/>
            </w:tcBorders>
            <w:vAlign w:val="center"/>
          </w:tcPr>
          <w:p w14:paraId="39B5C3D2" w14:textId="45F1555A" w:rsidR="00A36F51" w:rsidRPr="00E20D21" w:rsidRDefault="00A36F51" w:rsidP="00A36F5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5630E2" w:rsidRPr="00E20D21" w14:paraId="614CF362" w14:textId="77777777" w:rsidTr="009C7374">
        <w:trPr>
          <w:trHeight w:val="283"/>
        </w:trPr>
        <w:tc>
          <w:tcPr>
            <w:tcW w:w="3309" w:type="pct"/>
            <w:tcBorders>
              <w:top w:val="single" w:sz="4" w:space="0" w:color="F79646"/>
              <w:left w:val="nil"/>
              <w:bottom w:val="nil"/>
              <w:right w:val="nil"/>
            </w:tcBorders>
            <w:shd w:val="clear" w:color="auto" w:fill="auto"/>
            <w:noWrap/>
            <w:vAlign w:val="center"/>
            <w:hideMark/>
          </w:tcPr>
          <w:p w14:paraId="40D54DC7" w14:textId="77777777" w:rsidR="005630E2" w:rsidRPr="00E20D21" w:rsidRDefault="005630E2" w:rsidP="005630E2">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de poupança</w:t>
            </w:r>
          </w:p>
        </w:tc>
        <w:tc>
          <w:tcPr>
            <w:tcW w:w="809" w:type="pct"/>
            <w:tcBorders>
              <w:top w:val="nil"/>
              <w:left w:val="nil"/>
              <w:bottom w:val="nil"/>
              <w:right w:val="nil"/>
            </w:tcBorders>
            <w:shd w:val="clear" w:color="auto" w:fill="auto"/>
            <w:vAlign w:val="center"/>
          </w:tcPr>
          <w:p w14:paraId="521592B3" w14:textId="23784D55" w:rsidR="005630E2" w:rsidRPr="00E20D21" w:rsidRDefault="005630E2" w:rsidP="005630E2">
            <w:pPr>
              <w:jc w:val="right"/>
              <w:rPr>
                <w:rFonts w:ascii="CAIXA Std Book" w:hAnsi="CAIXA Std Book" w:cs="Arial"/>
                <w:color w:val="005CA9"/>
                <w:sz w:val="18"/>
                <w:szCs w:val="18"/>
              </w:rPr>
            </w:pPr>
            <w:r w:rsidRPr="00E20D21">
              <w:rPr>
                <w:rFonts w:ascii="CAIXA Std Book" w:hAnsi="CAIXA Std Book" w:cs="Arial"/>
                <w:color w:val="005CA9"/>
                <w:sz w:val="18"/>
                <w:szCs w:val="18"/>
              </w:rPr>
              <w:t>2.434.435</w:t>
            </w:r>
          </w:p>
        </w:tc>
        <w:tc>
          <w:tcPr>
            <w:tcW w:w="882" w:type="pct"/>
            <w:tcBorders>
              <w:top w:val="nil"/>
              <w:left w:val="nil"/>
              <w:bottom w:val="nil"/>
              <w:right w:val="nil"/>
            </w:tcBorders>
            <w:shd w:val="clear" w:color="auto" w:fill="auto"/>
            <w:vAlign w:val="center"/>
          </w:tcPr>
          <w:p w14:paraId="6ABE6242" w14:textId="4047C01A" w:rsidR="005630E2" w:rsidRPr="00E20D21" w:rsidRDefault="005630E2" w:rsidP="005630E2">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2.328.219</w:t>
            </w:r>
          </w:p>
        </w:tc>
      </w:tr>
      <w:tr w:rsidR="005630E2" w:rsidRPr="00E20D21" w14:paraId="6E897C8A" w14:textId="77777777" w:rsidTr="009C7374">
        <w:trPr>
          <w:trHeight w:val="283"/>
        </w:trPr>
        <w:tc>
          <w:tcPr>
            <w:tcW w:w="3309" w:type="pct"/>
            <w:tcBorders>
              <w:top w:val="nil"/>
              <w:left w:val="nil"/>
              <w:right w:val="nil"/>
            </w:tcBorders>
            <w:shd w:val="clear" w:color="auto" w:fill="auto"/>
            <w:noWrap/>
            <w:vAlign w:val="center"/>
            <w:hideMark/>
          </w:tcPr>
          <w:p w14:paraId="6021D8AE" w14:textId="57322BAC" w:rsidR="005630E2" w:rsidRPr="00E20D21" w:rsidRDefault="005630E2" w:rsidP="005630E2">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Depósitos voluntários </w:t>
            </w:r>
          </w:p>
        </w:tc>
        <w:tc>
          <w:tcPr>
            <w:tcW w:w="809" w:type="pct"/>
            <w:tcBorders>
              <w:top w:val="nil"/>
              <w:left w:val="nil"/>
              <w:bottom w:val="nil"/>
              <w:right w:val="nil"/>
            </w:tcBorders>
            <w:shd w:val="clear" w:color="auto" w:fill="auto"/>
            <w:vAlign w:val="center"/>
          </w:tcPr>
          <w:p w14:paraId="0D828280" w14:textId="5784D6E2" w:rsidR="005630E2" w:rsidRPr="00E20D21" w:rsidRDefault="005630E2" w:rsidP="005630E2">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471.058</w:t>
            </w:r>
          </w:p>
        </w:tc>
        <w:tc>
          <w:tcPr>
            <w:tcW w:w="882" w:type="pct"/>
            <w:tcBorders>
              <w:top w:val="nil"/>
              <w:left w:val="nil"/>
              <w:bottom w:val="nil"/>
              <w:right w:val="nil"/>
            </w:tcBorders>
            <w:shd w:val="clear" w:color="auto" w:fill="auto"/>
            <w:vAlign w:val="center"/>
          </w:tcPr>
          <w:p w14:paraId="05911CBB" w14:textId="1BA18176" w:rsidR="005630E2" w:rsidRPr="00E20D21" w:rsidRDefault="005630E2" w:rsidP="005630E2">
            <w:pPr>
              <w:jc w:val="right"/>
              <w:rPr>
                <w:rFonts w:ascii="CAIXA Std Book" w:eastAsia="Times New Roman" w:hAnsi="CAIXA Std Book" w:cs="Times New Roman"/>
                <w:color w:val="005CA9"/>
                <w:sz w:val="18"/>
                <w:szCs w:val="18"/>
              </w:rPr>
            </w:pPr>
            <w:r w:rsidRPr="00E20D21">
              <w:rPr>
                <w:rFonts w:ascii="CAIXA Std Book" w:hAnsi="CAIXA Std Book" w:cs="Arial"/>
                <w:color w:val="005CA9"/>
                <w:sz w:val="18"/>
                <w:szCs w:val="18"/>
              </w:rPr>
              <w:t>688.076</w:t>
            </w:r>
          </w:p>
        </w:tc>
      </w:tr>
      <w:tr w:rsidR="005630E2" w:rsidRPr="00E20D21" w14:paraId="0D711026" w14:textId="77777777" w:rsidTr="009C7374">
        <w:trPr>
          <w:trHeight w:val="283"/>
        </w:trPr>
        <w:tc>
          <w:tcPr>
            <w:tcW w:w="3309" w:type="pct"/>
            <w:tcBorders>
              <w:top w:val="nil"/>
              <w:left w:val="nil"/>
              <w:bottom w:val="single" w:sz="4" w:space="0" w:color="F79646"/>
              <w:right w:val="nil"/>
            </w:tcBorders>
            <w:shd w:val="clear" w:color="auto" w:fill="auto"/>
            <w:noWrap/>
            <w:vAlign w:val="center"/>
            <w:hideMark/>
          </w:tcPr>
          <w:p w14:paraId="2B7BA954" w14:textId="77777777" w:rsidR="005630E2" w:rsidRPr="00E20D21" w:rsidRDefault="005630E2" w:rsidP="005630E2">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Exigibilidade sobre recursos a prazo</w:t>
            </w:r>
          </w:p>
        </w:tc>
        <w:tc>
          <w:tcPr>
            <w:tcW w:w="809" w:type="pct"/>
            <w:tcBorders>
              <w:top w:val="nil"/>
              <w:left w:val="nil"/>
              <w:bottom w:val="nil"/>
              <w:right w:val="nil"/>
            </w:tcBorders>
            <w:shd w:val="clear" w:color="auto" w:fill="auto"/>
            <w:vAlign w:val="center"/>
          </w:tcPr>
          <w:p w14:paraId="421BC445" w14:textId="613546D6" w:rsidR="005630E2" w:rsidRPr="00E20D21" w:rsidRDefault="005630E2" w:rsidP="005630E2">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1.381.481</w:t>
            </w:r>
          </w:p>
        </w:tc>
        <w:tc>
          <w:tcPr>
            <w:tcW w:w="882" w:type="pct"/>
            <w:tcBorders>
              <w:top w:val="nil"/>
              <w:left w:val="nil"/>
              <w:bottom w:val="nil"/>
              <w:right w:val="nil"/>
            </w:tcBorders>
            <w:shd w:val="clear" w:color="auto" w:fill="auto"/>
            <w:vAlign w:val="center"/>
          </w:tcPr>
          <w:p w14:paraId="67BFFEDB" w14:textId="1DF04171" w:rsidR="005630E2" w:rsidRPr="00E20D21" w:rsidRDefault="005630E2" w:rsidP="005630E2">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1.094.786</w:t>
            </w:r>
          </w:p>
        </w:tc>
      </w:tr>
      <w:tr w:rsidR="005630E2" w:rsidRPr="00E20D21" w14:paraId="7C7710BF" w14:textId="77777777" w:rsidTr="009C7374">
        <w:trPr>
          <w:trHeight w:val="283"/>
        </w:trPr>
        <w:tc>
          <w:tcPr>
            <w:tcW w:w="3309" w:type="pct"/>
            <w:tcBorders>
              <w:top w:val="single" w:sz="4" w:space="0" w:color="F79646"/>
              <w:left w:val="nil"/>
              <w:bottom w:val="single" w:sz="4" w:space="0" w:color="F79646"/>
              <w:right w:val="nil"/>
            </w:tcBorders>
            <w:shd w:val="clear" w:color="auto" w:fill="auto"/>
            <w:vAlign w:val="center"/>
            <w:hideMark/>
          </w:tcPr>
          <w:p w14:paraId="45854ADC" w14:textId="77777777" w:rsidR="005630E2" w:rsidRPr="00E20D21" w:rsidRDefault="005630E2" w:rsidP="005630E2">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09" w:type="pct"/>
            <w:tcBorders>
              <w:top w:val="single" w:sz="4" w:space="0" w:color="F79646"/>
              <w:left w:val="nil"/>
              <w:bottom w:val="single" w:sz="4" w:space="0" w:color="F79646"/>
              <w:right w:val="nil"/>
            </w:tcBorders>
            <w:shd w:val="clear" w:color="auto" w:fill="auto"/>
            <w:vAlign w:val="center"/>
          </w:tcPr>
          <w:p w14:paraId="2595B796" w14:textId="0A5F1232" w:rsidR="005630E2" w:rsidRPr="00E20D21" w:rsidRDefault="005630E2" w:rsidP="005630E2">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4.286.974</w:t>
            </w:r>
          </w:p>
        </w:tc>
        <w:tc>
          <w:tcPr>
            <w:tcW w:w="882" w:type="pct"/>
            <w:tcBorders>
              <w:top w:val="single" w:sz="4" w:space="0" w:color="F79646"/>
              <w:left w:val="nil"/>
              <w:bottom w:val="single" w:sz="4" w:space="0" w:color="F79646"/>
              <w:right w:val="nil"/>
            </w:tcBorders>
            <w:shd w:val="clear" w:color="auto" w:fill="auto"/>
            <w:vAlign w:val="center"/>
          </w:tcPr>
          <w:p w14:paraId="61A62B88" w14:textId="250B6105" w:rsidR="005630E2" w:rsidRPr="00E20D21" w:rsidRDefault="005630E2" w:rsidP="005630E2">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4.111.081</w:t>
            </w:r>
          </w:p>
        </w:tc>
      </w:tr>
    </w:tbl>
    <w:p w14:paraId="4E92B78C" w14:textId="41D5FAA8" w:rsidR="00B23CBE" w:rsidRPr="00E20D21" w:rsidRDefault="00B23CBE" w:rsidP="00E05393">
      <w:pPr>
        <w:spacing w:before="120" w:after="120"/>
        <w:jc w:val="both"/>
        <w:rPr>
          <w:rFonts w:ascii="CAIXA Std Book" w:hAnsi="CAIXA Std Book"/>
          <w:color w:val="005CA9"/>
          <w:sz w:val="20"/>
          <w:szCs w:val="20"/>
        </w:rPr>
        <w:sectPr w:rsidR="00B23CBE" w:rsidRPr="00E20D21" w:rsidSect="001F0E96">
          <w:headerReference w:type="default" r:id="rId33"/>
          <w:footerReference w:type="default" r:id="rId34"/>
          <w:pgSz w:w="11907" w:h="16840" w:code="9"/>
          <w:pgMar w:top="1418" w:right="851" w:bottom="851" w:left="1418" w:header="1134" w:footer="709" w:gutter="0"/>
          <w:cols w:space="708"/>
          <w:docGrid w:linePitch="360"/>
        </w:sectPr>
      </w:pPr>
    </w:p>
    <w:p w14:paraId="42C84922" w14:textId="7C5250CA" w:rsidR="00546D50" w:rsidRPr="00E20D21" w:rsidRDefault="00546D50" w:rsidP="00FD7768">
      <w:pPr>
        <w:pStyle w:val="Ttulo1"/>
      </w:pPr>
      <w:bookmarkStart w:id="28" w:name="_Toc175067947"/>
      <w:r w:rsidRPr="00E20D21">
        <w:lastRenderedPageBreak/>
        <w:t xml:space="preserve">Nota </w:t>
      </w:r>
      <w:r w:rsidR="00C065C3" w:rsidRPr="00E20D21">
        <w:t xml:space="preserve"> </w:t>
      </w:r>
      <w:r w:rsidRPr="00E20D21">
        <w:t xml:space="preserve"> 7 – Títulos e valores mobiliários</w:t>
      </w:r>
      <w:bookmarkEnd w:id="28"/>
    </w:p>
    <w:p w14:paraId="0A0FFEA8" w14:textId="627DE166" w:rsidR="005F303D" w:rsidRPr="00E20D21" w:rsidRDefault="001A4EEA" w:rsidP="00E9480E">
      <w:pPr>
        <w:keepNext/>
        <w:tabs>
          <w:tab w:val="num" w:pos="0"/>
        </w:tabs>
        <w:spacing w:before="240" w:after="240"/>
        <w:jc w:val="both"/>
        <w:rPr>
          <w:rFonts w:ascii="CAIXA Std Book" w:hAnsi="CAIXA Std Book"/>
          <w:b/>
          <w:color w:val="005CA9"/>
          <w:sz w:val="20"/>
          <w:szCs w:val="20"/>
        </w:rPr>
      </w:pPr>
      <w:r w:rsidRPr="00E20D21">
        <w:rPr>
          <w:rFonts w:ascii="CAIXA Std Book" w:hAnsi="CAIXA Std Book"/>
          <w:b/>
          <w:color w:val="005CA9"/>
          <w:sz w:val="20"/>
          <w:szCs w:val="20"/>
        </w:rPr>
        <w:t>(a)</w:t>
      </w:r>
      <w:r w:rsidR="00E9480E" w:rsidRPr="00E20D21">
        <w:rPr>
          <w:rFonts w:ascii="CAIXA Std Book" w:hAnsi="CAIXA Std Book"/>
          <w:b/>
          <w:color w:val="005CA9"/>
          <w:sz w:val="20"/>
          <w:szCs w:val="20"/>
        </w:rPr>
        <w:tab/>
      </w:r>
      <w:r w:rsidR="005F303D" w:rsidRPr="00E20D21">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4677"/>
        <w:gridCol w:w="1702"/>
        <w:gridCol w:w="1702"/>
        <w:gridCol w:w="1559"/>
        <w:gridCol w:w="1416"/>
        <w:gridCol w:w="1702"/>
        <w:gridCol w:w="1813"/>
      </w:tblGrid>
      <w:tr w:rsidR="00A47C19" w:rsidRPr="00E20D21" w14:paraId="78471A98" w14:textId="77777777" w:rsidTr="009C7374">
        <w:trPr>
          <w:trHeight w:val="283"/>
        </w:trPr>
        <w:tc>
          <w:tcPr>
            <w:tcW w:w="5000" w:type="pct"/>
            <w:gridSpan w:val="7"/>
            <w:tcBorders>
              <w:top w:val="single" w:sz="4" w:space="0" w:color="F79646"/>
              <w:left w:val="nil"/>
              <w:bottom w:val="single" w:sz="4" w:space="0" w:color="F79646"/>
              <w:right w:val="nil"/>
            </w:tcBorders>
            <w:shd w:val="clear" w:color="auto" w:fill="auto"/>
            <w:vAlign w:val="center"/>
            <w:hideMark/>
          </w:tcPr>
          <w:p w14:paraId="4C4B1A91" w14:textId="77777777" w:rsidR="00A33492" w:rsidRPr="00E20D21" w:rsidRDefault="00A33492" w:rsidP="00F661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r>
      <w:tr w:rsidR="009C7374" w:rsidRPr="00E20D21" w14:paraId="199CC345" w14:textId="77777777" w:rsidTr="006B671C">
        <w:trPr>
          <w:trHeight w:val="283"/>
        </w:trPr>
        <w:tc>
          <w:tcPr>
            <w:tcW w:w="1605" w:type="pct"/>
            <w:vMerge w:val="restart"/>
            <w:tcBorders>
              <w:top w:val="single" w:sz="4" w:space="0" w:color="F79646"/>
              <w:left w:val="nil"/>
              <w:bottom w:val="single" w:sz="4" w:space="0" w:color="F79646"/>
              <w:right w:val="nil"/>
            </w:tcBorders>
            <w:shd w:val="clear" w:color="auto" w:fill="auto"/>
            <w:noWrap/>
            <w:vAlign w:val="center"/>
            <w:hideMark/>
          </w:tcPr>
          <w:p w14:paraId="5AD424F7" w14:textId="77777777" w:rsidR="00A33492" w:rsidRPr="00E20D21" w:rsidRDefault="00A33492" w:rsidP="00F661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584" w:type="pct"/>
            <w:vMerge w:val="restart"/>
            <w:tcBorders>
              <w:top w:val="single" w:sz="4" w:space="0" w:color="F79646"/>
              <w:left w:val="nil"/>
              <w:bottom w:val="single" w:sz="4" w:space="0" w:color="F79646"/>
              <w:right w:val="nil"/>
            </w:tcBorders>
            <w:shd w:val="clear" w:color="auto" w:fill="auto"/>
            <w:vAlign w:val="center"/>
            <w:hideMark/>
          </w:tcPr>
          <w:p w14:paraId="179AF95D" w14:textId="39568B38" w:rsidR="00A33492" w:rsidRPr="00E20D21" w:rsidRDefault="00A33492" w:rsidP="00F661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Carteira </w:t>
            </w:r>
            <w:proofErr w:type="gramStart"/>
            <w:r w:rsidRPr="00E20D21">
              <w:rPr>
                <w:rFonts w:ascii="CAIXA Std Book" w:eastAsia="Times New Roman" w:hAnsi="CAIXA Std Book" w:cs="Arial"/>
                <w:b/>
                <w:bCs/>
                <w:color w:val="005CA9"/>
                <w:sz w:val="18"/>
                <w:szCs w:val="18"/>
              </w:rPr>
              <w:t>Própria  Livre</w:t>
            </w:r>
            <w:proofErr w:type="gramEnd"/>
          </w:p>
        </w:tc>
        <w:tc>
          <w:tcPr>
            <w:tcW w:w="1605" w:type="pct"/>
            <w:gridSpan w:val="3"/>
            <w:tcBorders>
              <w:top w:val="single" w:sz="4" w:space="0" w:color="F79646"/>
              <w:left w:val="nil"/>
              <w:bottom w:val="single" w:sz="4" w:space="0" w:color="F79646"/>
              <w:right w:val="nil"/>
            </w:tcBorders>
            <w:shd w:val="clear" w:color="auto" w:fill="auto"/>
            <w:vAlign w:val="center"/>
            <w:hideMark/>
          </w:tcPr>
          <w:p w14:paraId="2F5D3243" w14:textId="77777777" w:rsidR="00A33492" w:rsidRPr="00E20D21" w:rsidRDefault="00A33492" w:rsidP="00F661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Vinculados</w:t>
            </w:r>
          </w:p>
        </w:tc>
        <w:tc>
          <w:tcPr>
            <w:tcW w:w="584" w:type="pct"/>
            <w:vMerge w:val="restart"/>
            <w:tcBorders>
              <w:top w:val="single" w:sz="4" w:space="0" w:color="F79646"/>
              <w:left w:val="nil"/>
              <w:bottom w:val="single" w:sz="4" w:space="0" w:color="F79646"/>
              <w:right w:val="nil"/>
            </w:tcBorders>
            <w:shd w:val="clear" w:color="auto" w:fill="auto"/>
            <w:vAlign w:val="center"/>
            <w:hideMark/>
          </w:tcPr>
          <w:p w14:paraId="255E0723" w14:textId="4AE8D16F" w:rsidR="00A33492" w:rsidRPr="00E20D21" w:rsidRDefault="00222814" w:rsidP="00F661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622" w:type="pct"/>
            <w:vMerge w:val="restart"/>
            <w:tcBorders>
              <w:top w:val="single" w:sz="4" w:space="0" w:color="F79646"/>
              <w:left w:val="nil"/>
              <w:bottom w:val="single" w:sz="4" w:space="0" w:color="F79646"/>
              <w:right w:val="nil"/>
            </w:tcBorders>
            <w:shd w:val="clear" w:color="auto" w:fill="auto"/>
            <w:noWrap/>
            <w:vAlign w:val="center"/>
            <w:hideMark/>
          </w:tcPr>
          <w:p w14:paraId="2344988B" w14:textId="3E9D11BA" w:rsidR="00A33492" w:rsidRPr="00E20D21" w:rsidRDefault="00A33492" w:rsidP="00F661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w:t>
            </w:r>
            <w:r w:rsidR="008813A5" w:rsidRPr="00E20D21">
              <w:rPr>
                <w:rFonts w:ascii="CAIXA Std Book" w:eastAsia="Times New Roman" w:hAnsi="CAIXA Std Book" w:cs="Arial"/>
                <w:b/>
                <w:bCs/>
                <w:color w:val="005CA9"/>
                <w:sz w:val="18"/>
                <w:szCs w:val="18"/>
              </w:rPr>
              <w:t>3</w:t>
            </w:r>
          </w:p>
        </w:tc>
      </w:tr>
      <w:tr w:rsidR="009C7374" w:rsidRPr="00E20D21" w14:paraId="60221720" w14:textId="77777777" w:rsidTr="006B671C">
        <w:trPr>
          <w:trHeight w:val="283"/>
        </w:trPr>
        <w:tc>
          <w:tcPr>
            <w:tcW w:w="1605" w:type="pct"/>
            <w:vMerge/>
            <w:tcBorders>
              <w:top w:val="single" w:sz="8" w:space="0" w:color="F39200"/>
              <w:left w:val="nil"/>
              <w:bottom w:val="single" w:sz="4" w:space="0" w:color="F79646"/>
              <w:right w:val="nil"/>
            </w:tcBorders>
            <w:vAlign w:val="center"/>
            <w:hideMark/>
          </w:tcPr>
          <w:p w14:paraId="2DFBFF71" w14:textId="77777777" w:rsidR="00A33492" w:rsidRPr="00E20D21" w:rsidRDefault="00A33492" w:rsidP="007E2A1A">
            <w:pPr>
              <w:jc w:val="center"/>
              <w:rPr>
                <w:rFonts w:ascii="CAIXA Std Book" w:eastAsia="Times New Roman" w:hAnsi="CAIXA Std Book" w:cs="Arial"/>
                <w:b/>
                <w:bCs/>
                <w:color w:val="005CA9"/>
                <w:sz w:val="18"/>
                <w:szCs w:val="18"/>
              </w:rPr>
            </w:pPr>
          </w:p>
        </w:tc>
        <w:tc>
          <w:tcPr>
            <w:tcW w:w="584" w:type="pct"/>
            <w:vMerge/>
            <w:tcBorders>
              <w:top w:val="single" w:sz="8" w:space="0" w:color="F39200"/>
              <w:left w:val="nil"/>
              <w:bottom w:val="single" w:sz="4" w:space="0" w:color="F79646"/>
              <w:right w:val="nil"/>
            </w:tcBorders>
            <w:vAlign w:val="center"/>
            <w:hideMark/>
          </w:tcPr>
          <w:p w14:paraId="37834F91" w14:textId="77777777" w:rsidR="00A33492" w:rsidRPr="00E20D21" w:rsidRDefault="00A33492" w:rsidP="007E2A1A">
            <w:pPr>
              <w:jc w:val="center"/>
              <w:rPr>
                <w:rFonts w:ascii="CAIXA Std Book" w:eastAsia="Times New Roman" w:hAnsi="CAIXA Std Book" w:cs="Arial"/>
                <w:b/>
                <w:bCs/>
                <w:color w:val="005CA9"/>
                <w:sz w:val="18"/>
                <w:szCs w:val="18"/>
              </w:rPr>
            </w:pPr>
          </w:p>
        </w:tc>
        <w:tc>
          <w:tcPr>
            <w:tcW w:w="584" w:type="pct"/>
            <w:tcBorders>
              <w:top w:val="single" w:sz="4" w:space="0" w:color="F79646"/>
              <w:left w:val="nil"/>
              <w:bottom w:val="single" w:sz="4" w:space="0" w:color="F79646"/>
              <w:right w:val="nil"/>
            </w:tcBorders>
            <w:shd w:val="clear" w:color="auto" w:fill="auto"/>
            <w:vAlign w:val="center"/>
            <w:hideMark/>
          </w:tcPr>
          <w:p w14:paraId="43904C63" w14:textId="77777777" w:rsidR="00A33492" w:rsidRPr="00E20D21" w:rsidRDefault="00A33492" w:rsidP="00F661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Compromisso de Recompra</w:t>
            </w:r>
          </w:p>
        </w:tc>
        <w:tc>
          <w:tcPr>
            <w:tcW w:w="535" w:type="pct"/>
            <w:tcBorders>
              <w:top w:val="single" w:sz="4" w:space="0" w:color="F79646"/>
              <w:left w:val="nil"/>
              <w:bottom w:val="single" w:sz="4" w:space="0" w:color="F79646"/>
              <w:right w:val="nil"/>
            </w:tcBorders>
            <w:shd w:val="clear" w:color="auto" w:fill="auto"/>
            <w:vAlign w:val="center"/>
            <w:hideMark/>
          </w:tcPr>
          <w:p w14:paraId="11CF3C39" w14:textId="77777777" w:rsidR="00A33492" w:rsidRPr="00E20D21" w:rsidRDefault="00A33492" w:rsidP="00F661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Prestação de Garantias</w:t>
            </w:r>
          </w:p>
        </w:tc>
        <w:tc>
          <w:tcPr>
            <w:tcW w:w="486" w:type="pct"/>
            <w:tcBorders>
              <w:top w:val="single" w:sz="4" w:space="0" w:color="F79646"/>
              <w:left w:val="nil"/>
              <w:bottom w:val="single" w:sz="4" w:space="0" w:color="F79646"/>
              <w:right w:val="nil"/>
            </w:tcBorders>
            <w:shd w:val="clear" w:color="auto" w:fill="auto"/>
            <w:vAlign w:val="center"/>
            <w:hideMark/>
          </w:tcPr>
          <w:p w14:paraId="56460A68" w14:textId="77777777" w:rsidR="00A33492" w:rsidRPr="00E20D21" w:rsidRDefault="00A33492" w:rsidP="00F661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Banco Central</w:t>
            </w:r>
          </w:p>
        </w:tc>
        <w:tc>
          <w:tcPr>
            <w:tcW w:w="584" w:type="pct"/>
            <w:vMerge/>
            <w:tcBorders>
              <w:top w:val="nil"/>
              <w:left w:val="nil"/>
              <w:bottom w:val="single" w:sz="4" w:space="0" w:color="F79646"/>
              <w:right w:val="nil"/>
            </w:tcBorders>
            <w:vAlign w:val="center"/>
            <w:hideMark/>
          </w:tcPr>
          <w:p w14:paraId="580A1E5B" w14:textId="77777777" w:rsidR="00A33492" w:rsidRPr="00E20D21" w:rsidRDefault="00A33492" w:rsidP="006D2FF2">
            <w:pPr>
              <w:jc w:val="center"/>
              <w:rPr>
                <w:rFonts w:ascii="CAIXA Std Book" w:eastAsia="Times New Roman" w:hAnsi="CAIXA Std Book" w:cs="Arial"/>
                <w:b/>
                <w:bCs/>
                <w:color w:val="005CA9"/>
                <w:sz w:val="18"/>
                <w:szCs w:val="18"/>
              </w:rPr>
            </w:pPr>
          </w:p>
        </w:tc>
        <w:tc>
          <w:tcPr>
            <w:tcW w:w="622" w:type="pct"/>
            <w:vMerge/>
            <w:tcBorders>
              <w:top w:val="nil"/>
              <w:left w:val="nil"/>
              <w:bottom w:val="single" w:sz="4" w:space="0" w:color="F79646"/>
              <w:right w:val="nil"/>
            </w:tcBorders>
            <w:vAlign w:val="center"/>
            <w:hideMark/>
          </w:tcPr>
          <w:p w14:paraId="173B7C73" w14:textId="77777777" w:rsidR="00A33492" w:rsidRPr="00E20D21" w:rsidRDefault="00A33492" w:rsidP="006D2FF2">
            <w:pPr>
              <w:jc w:val="center"/>
              <w:rPr>
                <w:rFonts w:ascii="CAIXA Std Book" w:eastAsia="Times New Roman" w:hAnsi="CAIXA Std Book" w:cs="Arial"/>
                <w:b/>
                <w:bCs/>
                <w:color w:val="005CA9"/>
                <w:sz w:val="18"/>
                <w:szCs w:val="18"/>
              </w:rPr>
            </w:pPr>
          </w:p>
        </w:tc>
      </w:tr>
      <w:tr w:rsidR="009C7374" w:rsidRPr="00E20D21" w14:paraId="2EFF8D19" w14:textId="77777777" w:rsidTr="006B671C">
        <w:trPr>
          <w:trHeight w:val="283"/>
        </w:trPr>
        <w:tc>
          <w:tcPr>
            <w:tcW w:w="1605" w:type="pct"/>
            <w:tcBorders>
              <w:top w:val="single" w:sz="4" w:space="0" w:color="F79646"/>
              <w:left w:val="nil"/>
              <w:bottom w:val="nil"/>
              <w:right w:val="nil"/>
            </w:tcBorders>
            <w:shd w:val="clear" w:color="auto" w:fill="auto"/>
            <w:noWrap/>
            <w:vAlign w:val="center"/>
            <w:hideMark/>
          </w:tcPr>
          <w:p w14:paraId="16DE0E2E" w14:textId="77777777" w:rsidR="008813A5" w:rsidRPr="00E20D21" w:rsidRDefault="008813A5" w:rsidP="008813A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Títulos públicos</w:t>
            </w:r>
          </w:p>
        </w:tc>
        <w:tc>
          <w:tcPr>
            <w:tcW w:w="584" w:type="pct"/>
            <w:tcBorders>
              <w:top w:val="single" w:sz="4" w:space="0" w:color="F79646"/>
              <w:left w:val="nil"/>
              <w:bottom w:val="nil"/>
              <w:right w:val="nil"/>
            </w:tcBorders>
            <w:shd w:val="clear" w:color="auto" w:fill="auto"/>
            <w:vAlign w:val="center"/>
          </w:tcPr>
          <w:p w14:paraId="5FD2AF3C" w14:textId="70C99D7C"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color w:val="005CA9"/>
                <w:sz w:val="18"/>
                <w:szCs w:val="18"/>
              </w:rPr>
              <w:t>123.172.143</w:t>
            </w:r>
          </w:p>
        </w:tc>
        <w:tc>
          <w:tcPr>
            <w:tcW w:w="584" w:type="pct"/>
            <w:tcBorders>
              <w:top w:val="single" w:sz="4" w:space="0" w:color="F79646"/>
              <w:left w:val="nil"/>
              <w:bottom w:val="nil"/>
              <w:right w:val="nil"/>
            </w:tcBorders>
            <w:shd w:val="clear" w:color="auto" w:fill="auto"/>
            <w:vAlign w:val="center"/>
          </w:tcPr>
          <w:p w14:paraId="3099774D" w14:textId="7A16997C"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color w:val="005CA9"/>
                <w:sz w:val="18"/>
                <w:szCs w:val="18"/>
              </w:rPr>
              <w:t>129.466.418</w:t>
            </w:r>
          </w:p>
        </w:tc>
        <w:tc>
          <w:tcPr>
            <w:tcW w:w="535" w:type="pct"/>
            <w:tcBorders>
              <w:top w:val="single" w:sz="4" w:space="0" w:color="F79646"/>
              <w:left w:val="nil"/>
              <w:bottom w:val="nil"/>
              <w:right w:val="nil"/>
            </w:tcBorders>
            <w:shd w:val="clear" w:color="auto" w:fill="auto"/>
            <w:vAlign w:val="center"/>
          </w:tcPr>
          <w:p w14:paraId="0A828B09" w14:textId="561339FF"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color w:val="005CA9"/>
                <w:sz w:val="18"/>
                <w:szCs w:val="18"/>
              </w:rPr>
              <w:t>15.321.568</w:t>
            </w:r>
          </w:p>
        </w:tc>
        <w:tc>
          <w:tcPr>
            <w:tcW w:w="486" w:type="pct"/>
            <w:tcBorders>
              <w:top w:val="single" w:sz="4" w:space="0" w:color="F79646"/>
              <w:left w:val="nil"/>
              <w:bottom w:val="nil"/>
              <w:right w:val="nil"/>
            </w:tcBorders>
            <w:shd w:val="clear" w:color="auto" w:fill="auto"/>
            <w:vAlign w:val="center"/>
          </w:tcPr>
          <w:p w14:paraId="4D1C8560" w14:textId="61D92138"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color w:val="005CA9"/>
                <w:sz w:val="18"/>
                <w:szCs w:val="18"/>
              </w:rPr>
              <w:t>7.011.647</w:t>
            </w:r>
          </w:p>
        </w:tc>
        <w:tc>
          <w:tcPr>
            <w:tcW w:w="584" w:type="pct"/>
            <w:tcBorders>
              <w:top w:val="single" w:sz="4" w:space="0" w:color="F79646"/>
              <w:left w:val="nil"/>
              <w:bottom w:val="nil"/>
              <w:right w:val="nil"/>
            </w:tcBorders>
            <w:shd w:val="clear" w:color="auto" w:fill="auto"/>
            <w:noWrap/>
            <w:vAlign w:val="center"/>
          </w:tcPr>
          <w:p w14:paraId="5A359B0D" w14:textId="7EF5CDF0"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274.971.776</w:t>
            </w:r>
          </w:p>
        </w:tc>
        <w:tc>
          <w:tcPr>
            <w:tcW w:w="622" w:type="pct"/>
            <w:tcBorders>
              <w:top w:val="single" w:sz="4" w:space="0" w:color="F79646"/>
              <w:left w:val="nil"/>
              <w:bottom w:val="nil"/>
              <w:right w:val="nil"/>
            </w:tcBorders>
            <w:shd w:val="clear" w:color="auto" w:fill="auto"/>
            <w:noWrap/>
            <w:vAlign w:val="center"/>
            <w:hideMark/>
          </w:tcPr>
          <w:p w14:paraId="558A2022" w14:textId="4607B312" w:rsidR="008813A5" w:rsidRPr="00E20D21" w:rsidRDefault="008813A5" w:rsidP="008813A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262.101.500</w:t>
            </w:r>
          </w:p>
        </w:tc>
      </w:tr>
      <w:tr w:rsidR="009C7374" w:rsidRPr="00E20D21" w14:paraId="697B02FC" w14:textId="77777777" w:rsidTr="006B671C">
        <w:trPr>
          <w:trHeight w:val="283"/>
        </w:trPr>
        <w:tc>
          <w:tcPr>
            <w:tcW w:w="1605" w:type="pct"/>
            <w:tcBorders>
              <w:top w:val="nil"/>
              <w:left w:val="nil"/>
              <w:bottom w:val="nil"/>
              <w:right w:val="nil"/>
            </w:tcBorders>
            <w:shd w:val="clear" w:color="auto" w:fill="auto"/>
            <w:noWrap/>
            <w:vAlign w:val="center"/>
            <w:hideMark/>
          </w:tcPr>
          <w:p w14:paraId="1CD4BC45" w14:textId="77777777" w:rsidR="008813A5" w:rsidRPr="00E20D21" w:rsidRDefault="008813A5"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financeiras do tesouro</w:t>
            </w:r>
          </w:p>
        </w:tc>
        <w:tc>
          <w:tcPr>
            <w:tcW w:w="584" w:type="pct"/>
            <w:tcBorders>
              <w:top w:val="nil"/>
              <w:left w:val="nil"/>
              <w:bottom w:val="nil"/>
              <w:right w:val="nil"/>
            </w:tcBorders>
            <w:shd w:val="clear" w:color="auto" w:fill="auto"/>
            <w:vAlign w:val="center"/>
          </w:tcPr>
          <w:p w14:paraId="284761C8" w14:textId="2E5FEA61"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111.347.282</w:t>
            </w:r>
          </w:p>
        </w:tc>
        <w:tc>
          <w:tcPr>
            <w:tcW w:w="584" w:type="pct"/>
            <w:tcBorders>
              <w:top w:val="nil"/>
              <w:left w:val="nil"/>
              <w:bottom w:val="nil"/>
              <w:right w:val="nil"/>
            </w:tcBorders>
            <w:shd w:val="clear" w:color="auto" w:fill="auto"/>
            <w:vAlign w:val="center"/>
          </w:tcPr>
          <w:p w14:paraId="557F10C5" w14:textId="30AF6A2C"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75.765.575</w:t>
            </w:r>
          </w:p>
        </w:tc>
        <w:tc>
          <w:tcPr>
            <w:tcW w:w="535" w:type="pct"/>
            <w:tcBorders>
              <w:top w:val="nil"/>
              <w:left w:val="nil"/>
              <w:bottom w:val="nil"/>
              <w:right w:val="nil"/>
            </w:tcBorders>
            <w:shd w:val="clear" w:color="auto" w:fill="auto"/>
            <w:vAlign w:val="center"/>
          </w:tcPr>
          <w:p w14:paraId="06B32A9D" w14:textId="5488F924"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15.321.568</w:t>
            </w:r>
          </w:p>
        </w:tc>
        <w:tc>
          <w:tcPr>
            <w:tcW w:w="486" w:type="pct"/>
            <w:tcBorders>
              <w:top w:val="nil"/>
              <w:left w:val="nil"/>
              <w:bottom w:val="nil"/>
              <w:right w:val="nil"/>
            </w:tcBorders>
            <w:shd w:val="clear" w:color="auto" w:fill="auto"/>
            <w:vAlign w:val="center"/>
          </w:tcPr>
          <w:p w14:paraId="227682BB" w14:textId="25CACE25"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7.011.647</w:t>
            </w:r>
          </w:p>
        </w:tc>
        <w:tc>
          <w:tcPr>
            <w:tcW w:w="584" w:type="pct"/>
            <w:tcBorders>
              <w:top w:val="nil"/>
              <w:left w:val="nil"/>
              <w:bottom w:val="nil"/>
              <w:right w:val="nil"/>
            </w:tcBorders>
            <w:shd w:val="clear" w:color="auto" w:fill="auto"/>
            <w:noWrap/>
            <w:vAlign w:val="center"/>
          </w:tcPr>
          <w:p w14:paraId="37821487" w14:textId="58799A02"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209.446.072</w:t>
            </w:r>
          </w:p>
        </w:tc>
        <w:tc>
          <w:tcPr>
            <w:tcW w:w="622" w:type="pct"/>
            <w:tcBorders>
              <w:top w:val="nil"/>
              <w:left w:val="nil"/>
              <w:bottom w:val="nil"/>
              <w:right w:val="nil"/>
            </w:tcBorders>
            <w:shd w:val="clear" w:color="auto" w:fill="auto"/>
            <w:vAlign w:val="center"/>
            <w:hideMark/>
          </w:tcPr>
          <w:p w14:paraId="145A5BA8" w14:textId="7590CF5B" w:rsidR="008813A5" w:rsidRPr="00E20D21" w:rsidRDefault="008813A5" w:rsidP="008813A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162.428.210</w:t>
            </w:r>
          </w:p>
        </w:tc>
      </w:tr>
      <w:tr w:rsidR="009C7374" w:rsidRPr="00E20D21" w14:paraId="3EFC789E" w14:textId="77777777" w:rsidTr="006B671C">
        <w:trPr>
          <w:trHeight w:val="283"/>
        </w:trPr>
        <w:tc>
          <w:tcPr>
            <w:tcW w:w="1605" w:type="pct"/>
            <w:tcBorders>
              <w:top w:val="nil"/>
              <w:left w:val="nil"/>
              <w:bottom w:val="nil"/>
              <w:right w:val="nil"/>
            </w:tcBorders>
            <w:shd w:val="clear" w:color="auto" w:fill="auto"/>
            <w:noWrap/>
            <w:vAlign w:val="center"/>
            <w:hideMark/>
          </w:tcPr>
          <w:p w14:paraId="2F2E7E46" w14:textId="77777777" w:rsidR="008813A5" w:rsidRPr="00E20D21" w:rsidRDefault="008813A5"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do tesouro nacional</w:t>
            </w:r>
          </w:p>
        </w:tc>
        <w:tc>
          <w:tcPr>
            <w:tcW w:w="584" w:type="pct"/>
            <w:tcBorders>
              <w:top w:val="nil"/>
              <w:left w:val="nil"/>
              <w:bottom w:val="nil"/>
              <w:right w:val="nil"/>
            </w:tcBorders>
            <w:shd w:val="clear" w:color="auto" w:fill="auto"/>
            <w:vAlign w:val="center"/>
          </w:tcPr>
          <w:p w14:paraId="25AF1F85" w14:textId="705322C7"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5.712.657</w:t>
            </w:r>
          </w:p>
        </w:tc>
        <w:tc>
          <w:tcPr>
            <w:tcW w:w="584" w:type="pct"/>
            <w:tcBorders>
              <w:top w:val="nil"/>
              <w:left w:val="nil"/>
              <w:bottom w:val="nil"/>
              <w:right w:val="nil"/>
            </w:tcBorders>
            <w:shd w:val="clear" w:color="auto" w:fill="auto"/>
            <w:vAlign w:val="center"/>
          </w:tcPr>
          <w:p w14:paraId="4A58EDDC" w14:textId="406A151E"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53.700.843</w:t>
            </w:r>
          </w:p>
        </w:tc>
        <w:tc>
          <w:tcPr>
            <w:tcW w:w="535" w:type="pct"/>
            <w:tcBorders>
              <w:top w:val="nil"/>
              <w:left w:val="nil"/>
              <w:bottom w:val="nil"/>
              <w:right w:val="nil"/>
            </w:tcBorders>
            <w:shd w:val="clear" w:color="auto" w:fill="auto"/>
            <w:vAlign w:val="center"/>
          </w:tcPr>
          <w:p w14:paraId="50A9E1C5" w14:textId="01B793B0"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20471C08" w14:textId="13FE1193"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nil"/>
              <w:right w:val="nil"/>
            </w:tcBorders>
            <w:shd w:val="clear" w:color="auto" w:fill="auto"/>
            <w:noWrap/>
            <w:vAlign w:val="center"/>
          </w:tcPr>
          <w:p w14:paraId="630B3419" w14:textId="08DE4BA6"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59.413.500</w:t>
            </w:r>
          </w:p>
        </w:tc>
        <w:tc>
          <w:tcPr>
            <w:tcW w:w="622" w:type="pct"/>
            <w:tcBorders>
              <w:top w:val="nil"/>
              <w:left w:val="nil"/>
              <w:bottom w:val="nil"/>
              <w:right w:val="nil"/>
            </w:tcBorders>
            <w:shd w:val="clear" w:color="auto" w:fill="auto"/>
            <w:vAlign w:val="center"/>
            <w:hideMark/>
          </w:tcPr>
          <w:p w14:paraId="3FDA9114" w14:textId="11674F7C" w:rsidR="008813A5" w:rsidRPr="00E20D21" w:rsidRDefault="008813A5" w:rsidP="008813A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94.510.784</w:t>
            </w:r>
          </w:p>
        </w:tc>
      </w:tr>
      <w:tr w:rsidR="009C7374" w:rsidRPr="00E20D21" w14:paraId="277992B4" w14:textId="77777777" w:rsidTr="006B671C">
        <w:trPr>
          <w:trHeight w:val="283"/>
        </w:trPr>
        <w:tc>
          <w:tcPr>
            <w:tcW w:w="1605" w:type="pct"/>
            <w:tcBorders>
              <w:top w:val="nil"/>
              <w:left w:val="nil"/>
              <w:bottom w:val="nil"/>
              <w:right w:val="nil"/>
            </w:tcBorders>
            <w:shd w:val="clear" w:color="auto" w:fill="auto"/>
            <w:noWrap/>
            <w:vAlign w:val="center"/>
            <w:hideMark/>
          </w:tcPr>
          <w:p w14:paraId="76AC22C2" w14:textId="77777777" w:rsidR="008813A5" w:rsidRPr="00E20D21" w:rsidRDefault="008813A5"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Notas do tesouro nacional</w:t>
            </w:r>
          </w:p>
        </w:tc>
        <w:tc>
          <w:tcPr>
            <w:tcW w:w="584" w:type="pct"/>
            <w:tcBorders>
              <w:top w:val="nil"/>
              <w:left w:val="nil"/>
              <w:bottom w:val="nil"/>
              <w:right w:val="nil"/>
            </w:tcBorders>
            <w:shd w:val="clear" w:color="auto" w:fill="auto"/>
            <w:vAlign w:val="center"/>
          </w:tcPr>
          <w:p w14:paraId="44BE52C1" w14:textId="14F4FCB6"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5.827.129</w:t>
            </w:r>
          </w:p>
        </w:tc>
        <w:tc>
          <w:tcPr>
            <w:tcW w:w="584" w:type="pct"/>
            <w:tcBorders>
              <w:top w:val="nil"/>
              <w:left w:val="nil"/>
              <w:bottom w:val="nil"/>
              <w:right w:val="nil"/>
            </w:tcBorders>
            <w:shd w:val="clear" w:color="auto" w:fill="auto"/>
            <w:vAlign w:val="center"/>
          </w:tcPr>
          <w:p w14:paraId="54798DB4" w14:textId="158F9076"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563E1931" w14:textId="3FA5B724"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27594EBC" w14:textId="536FA35D"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nil"/>
              <w:right w:val="nil"/>
            </w:tcBorders>
            <w:shd w:val="clear" w:color="auto" w:fill="auto"/>
            <w:noWrap/>
            <w:vAlign w:val="center"/>
          </w:tcPr>
          <w:p w14:paraId="282E4549" w14:textId="173FD52A"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5.827.129</w:t>
            </w:r>
          </w:p>
        </w:tc>
        <w:tc>
          <w:tcPr>
            <w:tcW w:w="622" w:type="pct"/>
            <w:tcBorders>
              <w:top w:val="nil"/>
              <w:left w:val="nil"/>
              <w:bottom w:val="nil"/>
              <w:right w:val="nil"/>
            </w:tcBorders>
            <w:shd w:val="clear" w:color="auto" w:fill="auto"/>
            <w:vAlign w:val="center"/>
            <w:hideMark/>
          </w:tcPr>
          <w:p w14:paraId="1224C3D6" w14:textId="7CB1DD6C" w:rsidR="008813A5" w:rsidRPr="00E20D21" w:rsidRDefault="008813A5" w:rsidP="008813A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4.973.357</w:t>
            </w:r>
          </w:p>
        </w:tc>
      </w:tr>
      <w:tr w:rsidR="009C7374" w:rsidRPr="00E20D21" w14:paraId="6F83C921" w14:textId="77777777" w:rsidTr="006B671C">
        <w:trPr>
          <w:trHeight w:val="283"/>
        </w:trPr>
        <w:tc>
          <w:tcPr>
            <w:tcW w:w="1605" w:type="pct"/>
            <w:tcBorders>
              <w:top w:val="nil"/>
              <w:left w:val="nil"/>
              <w:bottom w:val="nil"/>
              <w:right w:val="nil"/>
            </w:tcBorders>
            <w:shd w:val="clear" w:color="auto" w:fill="auto"/>
            <w:noWrap/>
            <w:vAlign w:val="center"/>
            <w:hideMark/>
          </w:tcPr>
          <w:p w14:paraId="7DFDD270" w14:textId="77777777" w:rsidR="008813A5" w:rsidRPr="00E20D21" w:rsidRDefault="008813A5"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Tesouro nacional/securitização</w:t>
            </w:r>
          </w:p>
        </w:tc>
        <w:tc>
          <w:tcPr>
            <w:tcW w:w="584" w:type="pct"/>
            <w:tcBorders>
              <w:top w:val="nil"/>
              <w:left w:val="nil"/>
              <w:bottom w:val="nil"/>
              <w:right w:val="nil"/>
            </w:tcBorders>
            <w:shd w:val="clear" w:color="auto" w:fill="auto"/>
            <w:vAlign w:val="center"/>
          </w:tcPr>
          <w:p w14:paraId="0D7F04BB" w14:textId="7CDB04F7"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285.075</w:t>
            </w:r>
          </w:p>
        </w:tc>
        <w:tc>
          <w:tcPr>
            <w:tcW w:w="584" w:type="pct"/>
            <w:tcBorders>
              <w:top w:val="nil"/>
              <w:left w:val="nil"/>
              <w:bottom w:val="nil"/>
              <w:right w:val="nil"/>
            </w:tcBorders>
            <w:shd w:val="clear" w:color="auto" w:fill="auto"/>
            <w:vAlign w:val="center"/>
          </w:tcPr>
          <w:p w14:paraId="5CE53F17" w14:textId="68B61214"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61B2484B" w14:textId="20922829"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0F8C5784" w14:textId="221B6A90"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nil"/>
              <w:right w:val="nil"/>
            </w:tcBorders>
            <w:shd w:val="clear" w:color="auto" w:fill="auto"/>
            <w:noWrap/>
            <w:vAlign w:val="center"/>
          </w:tcPr>
          <w:p w14:paraId="16061682" w14:textId="0FB51A60"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285.075</w:t>
            </w:r>
          </w:p>
        </w:tc>
        <w:tc>
          <w:tcPr>
            <w:tcW w:w="622" w:type="pct"/>
            <w:tcBorders>
              <w:top w:val="nil"/>
              <w:left w:val="nil"/>
              <w:bottom w:val="nil"/>
              <w:right w:val="nil"/>
            </w:tcBorders>
            <w:shd w:val="clear" w:color="auto" w:fill="auto"/>
            <w:vAlign w:val="center"/>
            <w:hideMark/>
          </w:tcPr>
          <w:p w14:paraId="029A2B82" w14:textId="652ACAE1" w:rsidR="008813A5" w:rsidRPr="00E20D21" w:rsidRDefault="008813A5" w:rsidP="008813A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189.149</w:t>
            </w:r>
          </w:p>
        </w:tc>
      </w:tr>
      <w:tr w:rsidR="009C7374" w:rsidRPr="00E20D21" w14:paraId="60D2B060" w14:textId="77777777" w:rsidTr="006B671C">
        <w:trPr>
          <w:trHeight w:val="283"/>
        </w:trPr>
        <w:tc>
          <w:tcPr>
            <w:tcW w:w="1605" w:type="pct"/>
            <w:tcBorders>
              <w:top w:val="nil"/>
              <w:left w:val="nil"/>
              <w:bottom w:val="nil"/>
              <w:right w:val="nil"/>
            </w:tcBorders>
            <w:shd w:val="clear" w:color="auto" w:fill="auto"/>
            <w:noWrap/>
            <w:vAlign w:val="center"/>
            <w:hideMark/>
          </w:tcPr>
          <w:p w14:paraId="2DC7EBF5" w14:textId="77777777" w:rsidR="008813A5" w:rsidRPr="00E20D21" w:rsidRDefault="008813A5" w:rsidP="008813A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Títulos – empresas</w:t>
            </w:r>
          </w:p>
        </w:tc>
        <w:tc>
          <w:tcPr>
            <w:tcW w:w="584" w:type="pct"/>
            <w:tcBorders>
              <w:top w:val="nil"/>
              <w:left w:val="nil"/>
              <w:bottom w:val="nil"/>
              <w:right w:val="nil"/>
            </w:tcBorders>
            <w:shd w:val="clear" w:color="auto" w:fill="auto"/>
            <w:vAlign w:val="center"/>
          </w:tcPr>
          <w:p w14:paraId="69B3CEDF" w14:textId="10D3DC99"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color w:val="005CA9"/>
                <w:sz w:val="18"/>
                <w:szCs w:val="18"/>
              </w:rPr>
              <w:t>10.023.535</w:t>
            </w:r>
          </w:p>
        </w:tc>
        <w:tc>
          <w:tcPr>
            <w:tcW w:w="584" w:type="pct"/>
            <w:tcBorders>
              <w:top w:val="nil"/>
              <w:left w:val="nil"/>
              <w:bottom w:val="nil"/>
              <w:right w:val="nil"/>
            </w:tcBorders>
            <w:shd w:val="clear" w:color="auto" w:fill="auto"/>
            <w:vAlign w:val="center"/>
          </w:tcPr>
          <w:p w14:paraId="32143C0C" w14:textId="2AC29B98"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color w:val="005CA9"/>
                <w:sz w:val="18"/>
                <w:szCs w:val="18"/>
              </w:rPr>
              <w:t>7.906.597</w:t>
            </w:r>
          </w:p>
        </w:tc>
        <w:tc>
          <w:tcPr>
            <w:tcW w:w="535" w:type="pct"/>
            <w:tcBorders>
              <w:top w:val="nil"/>
              <w:left w:val="nil"/>
              <w:bottom w:val="nil"/>
              <w:right w:val="nil"/>
            </w:tcBorders>
            <w:shd w:val="clear" w:color="auto" w:fill="auto"/>
            <w:vAlign w:val="center"/>
          </w:tcPr>
          <w:p w14:paraId="4D505593" w14:textId="06D7F109" w:rsidR="008813A5" w:rsidRPr="00E20D21" w:rsidRDefault="003342E2" w:rsidP="008813A5">
            <w:pPr>
              <w:jc w:val="center"/>
              <w:rPr>
                <w:rFonts w:ascii="CAIXA Std Book" w:hAnsi="CAIXA Std Book" w:cs="Arial"/>
                <w:b/>
                <w:color w:val="005CA9"/>
                <w:sz w:val="18"/>
                <w:szCs w:val="18"/>
              </w:rPr>
            </w:pPr>
            <w:r w:rsidRPr="00E20D21">
              <w:rPr>
                <w:rFonts w:ascii="CAIXA Std Book" w:hAnsi="CAIXA Std Book" w:cs="Arial"/>
                <w:b/>
                <w:color w:val="005CA9"/>
                <w:sz w:val="18"/>
                <w:szCs w:val="18"/>
              </w:rPr>
              <w:t>-</w:t>
            </w:r>
          </w:p>
        </w:tc>
        <w:tc>
          <w:tcPr>
            <w:tcW w:w="486" w:type="pct"/>
            <w:tcBorders>
              <w:top w:val="nil"/>
              <w:left w:val="nil"/>
              <w:bottom w:val="nil"/>
              <w:right w:val="nil"/>
            </w:tcBorders>
            <w:shd w:val="clear" w:color="auto" w:fill="auto"/>
            <w:vAlign w:val="center"/>
          </w:tcPr>
          <w:p w14:paraId="1DEFD19B" w14:textId="25469F71" w:rsidR="008813A5" w:rsidRPr="00E20D21" w:rsidRDefault="003342E2" w:rsidP="008813A5">
            <w:pPr>
              <w:jc w:val="center"/>
              <w:rPr>
                <w:rFonts w:ascii="CAIXA Std Book" w:hAnsi="CAIXA Std Book" w:cs="Arial"/>
                <w:b/>
                <w:color w:val="005CA9"/>
                <w:sz w:val="18"/>
                <w:szCs w:val="18"/>
              </w:rPr>
            </w:pPr>
            <w:r w:rsidRPr="00E20D21">
              <w:rPr>
                <w:rFonts w:ascii="CAIXA Std Book" w:hAnsi="CAIXA Std Book" w:cs="Arial"/>
                <w:b/>
                <w:color w:val="005CA9"/>
                <w:sz w:val="18"/>
                <w:szCs w:val="18"/>
              </w:rPr>
              <w:t>-</w:t>
            </w:r>
          </w:p>
        </w:tc>
        <w:tc>
          <w:tcPr>
            <w:tcW w:w="584" w:type="pct"/>
            <w:tcBorders>
              <w:top w:val="nil"/>
              <w:left w:val="nil"/>
              <w:bottom w:val="nil"/>
              <w:right w:val="nil"/>
            </w:tcBorders>
            <w:shd w:val="clear" w:color="auto" w:fill="auto"/>
            <w:vAlign w:val="center"/>
          </w:tcPr>
          <w:p w14:paraId="1448DBB0" w14:textId="203E21E1"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17.930.132</w:t>
            </w:r>
          </w:p>
        </w:tc>
        <w:tc>
          <w:tcPr>
            <w:tcW w:w="622" w:type="pct"/>
            <w:tcBorders>
              <w:top w:val="nil"/>
              <w:left w:val="nil"/>
              <w:bottom w:val="nil"/>
              <w:right w:val="nil"/>
            </w:tcBorders>
            <w:shd w:val="clear" w:color="auto" w:fill="auto"/>
            <w:vAlign w:val="center"/>
            <w:hideMark/>
          </w:tcPr>
          <w:p w14:paraId="4A20A124" w14:textId="20626589" w:rsidR="008813A5" w:rsidRPr="00E20D21" w:rsidRDefault="008813A5" w:rsidP="008813A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17.159.081</w:t>
            </w:r>
          </w:p>
        </w:tc>
      </w:tr>
      <w:tr w:rsidR="009C7374" w:rsidRPr="00E20D21" w14:paraId="42F1FE5A" w14:textId="77777777" w:rsidTr="006B671C">
        <w:trPr>
          <w:trHeight w:val="283"/>
        </w:trPr>
        <w:tc>
          <w:tcPr>
            <w:tcW w:w="1605" w:type="pct"/>
            <w:tcBorders>
              <w:top w:val="nil"/>
              <w:left w:val="nil"/>
              <w:bottom w:val="nil"/>
              <w:right w:val="nil"/>
            </w:tcBorders>
            <w:shd w:val="clear" w:color="auto" w:fill="auto"/>
            <w:noWrap/>
            <w:vAlign w:val="center"/>
            <w:hideMark/>
          </w:tcPr>
          <w:p w14:paraId="0DC54BF6" w14:textId="77777777" w:rsidR="008813A5" w:rsidRPr="00E20D21" w:rsidRDefault="008813A5"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Debêntures</w:t>
            </w:r>
          </w:p>
        </w:tc>
        <w:tc>
          <w:tcPr>
            <w:tcW w:w="584" w:type="pct"/>
            <w:tcBorders>
              <w:top w:val="nil"/>
              <w:left w:val="nil"/>
              <w:bottom w:val="nil"/>
              <w:right w:val="nil"/>
            </w:tcBorders>
            <w:shd w:val="clear" w:color="auto" w:fill="auto"/>
            <w:vAlign w:val="center"/>
          </w:tcPr>
          <w:p w14:paraId="64FFE439" w14:textId="215F7C3B"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2.316.415</w:t>
            </w:r>
          </w:p>
        </w:tc>
        <w:tc>
          <w:tcPr>
            <w:tcW w:w="584" w:type="pct"/>
            <w:tcBorders>
              <w:top w:val="nil"/>
              <w:left w:val="nil"/>
              <w:bottom w:val="nil"/>
              <w:right w:val="nil"/>
            </w:tcBorders>
            <w:shd w:val="clear" w:color="auto" w:fill="auto"/>
            <w:vAlign w:val="center"/>
          </w:tcPr>
          <w:p w14:paraId="47E33FF7" w14:textId="672DB687"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4.921.022</w:t>
            </w:r>
          </w:p>
        </w:tc>
        <w:tc>
          <w:tcPr>
            <w:tcW w:w="535" w:type="pct"/>
            <w:tcBorders>
              <w:top w:val="nil"/>
              <w:left w:val="nil"/>
              <w:bottom w:val="nil"/>
              <w:right w:val="nil"/>
            </w:tcBorders>
            <w:shd w:val="clear" w:color="auto" w:fill="auto"/>
            <w:vAlign w:val="center"/>
          </w:tcPr>
          <w:p w14:paraId="7419B7BA" w14:textId="5FC043BD"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19AA41F9" w14:textId="6DF39CAC"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nil"/>
              <w:right w:val="nil"/>
            </w:tcBorders>
            <w:shd w:val="clear" w:color="auto" w:fill="auto"/>
            <w:noWrap/>
            <w:vAlign w:val="center"/>
          </w:tcPr>
          <w:p w14:paraId="33B1BA69" w14:textId="6B86F49C"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7.237.437</w:t>
            </w:r>
          </w:p>
        </w:tc>
        <w:tc>
          <w:tcPr>
            <w:tcW w:w="622" w:type="pct"/>
            <w:tcBorders>
              <w:top w:val="nil"/>
              <w:left w:val="nil"/>
              <w:bottom w:val="nil"/>
              <w:right w:val="nil"/>
            </w:tcBorders>
            <w:shd w:val="clear" w:color="auto" w:fill="auto"/>
            <w:vAlign w:val="center"/>
            <w:hideMark/>
          </w:tcPr>
          <w:p w14:paraId="44491686" w14:textId="5318CEE9" w:rsidR="008813A5" w:rsidRPr="00E20D21" w:rsidRDefault="008813A5" w:rsidP="008813A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6.390.906</w:t>
            </w:r>
          </w:p>
        </w:tc>
      </w:tr>
      <w:tr w:rsidR="009C7374" w:rsidRPr="00E20D21" w14:paraId="235B5FF4" w14:textId="77777777" w:rsidTr="006B671C">
        <w:trPr>
          <w:trHeight w:val="283"/>
        </w:trPr>
        <w:tc>
          <w:tcPr>
            <w:tcW w:w="1605" w:type="pct"/>
            <w:tcBorders>
              <w:top w:val="nil"/>
              <w:left w:val="nil"/>
              <w:bottom w:val="nil"/>
              <w:right w:val="nil"/>
            </w:tcBorders>
            <w:shd w:val="clear" w:color="auto" w:fill="auto"/>
            <w:noWrap/>
            <w:vAlign w:val="center"/>
            <w:hideMark/>
          </w:tcPr>
          <w:p w14:paraId="58B79D35" w14:textId="77777777" w:rsidR="008813A5" w:rsidRPr="00E20D21" w:rsidRDefault="008813A5"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Notas Promissórias</w:t>
            </w:r>
          </w:p>
        </w:tc>
        <w:tc>
          <w:tcPr>
            <w:tcW w:w="584" w:type="pct"/>
            <w:tcBorders>
              <w:top w:val="nil"/>
              <w:left w:val="nil"/>
              <w:bottom w:val="nil"/>
              <w:right w:val="nil"/>
            </w:tcBorders>
            <w:shd w:val="clear" w:color="auto" w:fill="auto"/>
            <w:vAlign w:val="center"/>
          </w:tcPr>
          <w:p w14:paraId="1716E448" w14:textId="35CE6BB8"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240.620</w:t>
            </w:r>
          </w:p>
        </w:tc>
        <w:tc>
          <w:tcPr>
            <w:tcW w:w="584" w:type="pct"/>
            <w:tcBorders>
              <w:top w:val="nil"/>
              <w:left w:val="nil"/>
              <w:bottom w:val="nil"/>
              <w:right w:val="nil"/>
            </w:tcBorders>
            <w:shd w:val="clear" w:color="auto" w:fill="auto"/>
            <w:vAlign w:val="center"/>
          </w:tcPr>
          <w:p w14:paraId="64405274" w14:textId="4B0747C9"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12A8241B" w14:textId="7159D0F8"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577DCBDE" w14:textId="1DB2A9F7"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nil"/>
              <w:right w:val="nil"/>
            </w:tcBorders>
            <w:shd w:val="clear" w:color="auto" w:fill="auto"/>
            <w:noWrap/>
            <w:vAlign w:val="center"/>
          </w:tcPr>
          <w:p w14:paraId="1002D5FF" w14:textId="7876FA6D"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240.620</w:t>
            </w:r>
          </w:p>
        </w:tc>
        <w:tc>
          <w:tcPr>
            <w:tcW w:w="622" w:type="pct"/>
            <w:tcBorders>
              <w:top w:val="nil"/>
              <w:left w:val="nil"/>
              <w:bottom w:val="nil"/>
              <w:right w:val="nil"/>
            </w:tcBorders>
            <w:shd w:val="clear" w:color="auto" w:fill="auto"/>
            <w:vAlign w:val="center"/>
            <w:hideMark/>
          </w:tcPr>
          <w:p w14:paraId="57D86303" w14:textId="5315D93C" w:rsidR="008813A5" w:rsidRPr="00E20D21" w:rsidRDefault="008813A5" w:rsidP="008813A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225.261</w:t>
            </w:r>
          </w:p>
        </w:tc>
      </w:tr>
      <w:tr w:rsidR="009C7374" w:rsidRPr="00E20D21" w14:paraId="3339E55D" w14:textId="77777777" w:rsidTr="006B671C">
        <w:trPr>
          <w:trHeight w:val="283"/>
        </w:trPr>
        <w:tc>
          <w:tcPr>
            <w:tcW w:w="1605" w:type="pct"/>
            <w:tcBorders>
              <w:top w:val="nil"/>
              <w:left w:val="nil"/>
              <w:bottom w:val="nil"/>
              <w:right w:val="nil"/>
            </w:tcBorders>
            <w:shd w:val="clear" w:color="auto" w:fill="auto"/>
            <w:noWrap/>
            <w:vAlign w:val="center"/>
            <w:hideMark/>
          </w:tcPr>
          <w:p w14:paraId="037CE2C5" w14:textId="20D08344" w:rsidR="008813A5" w:rsidRPr="00E20D21" w:rsidRDefault="008813A5"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Cotas de fundos (1)</w:t>
            </w:r>
          </w:p>
        </w:tc>
        <w:tc>
          <w:tcPr>
            <w:tcW w:w="584" w:type="pct"/>
            <w:tcBorders>
              <w:top w:val="nil"/>
              <w:left w:val="nil"/>
              <w:bottom w:val="nil"/>
              <w:right w:val="nil"/>
            </w:tcBorders>
            <w:shd w:val="clear" w:color="auto" w:fill="auto"/>
            <w:vAlign w:val="center"/>
          </w:tcPr>
          <w:p w14:paraId="69144BD9" w14:textId="6A2F238C"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2.644.761</w:t>
            </w:r>
          </w:p>
        </w:tc>
        <w:tc>
          <w:tcPr>
            <w:tcW w:w="584" w:type="pct"/>
            <w:tcBorders>
              <w:top w:val="nil"/>
              <w:left w:val="nil"/>
              <w:bottom w:val="nil"/>
              <w:right w:val="nil"/>
            </w:tcBorders>
            <w:shd w:val="clear" w:color="auto" w:fill="auto"/>
            <w:vAlign w:val="center"/>
          </w:tcPr>
          <w:p w14:paraId="4AAEAB15" w14:textId="2D73A241"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29E62A02" w14:textId="48245CC6"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7DE65F59" w14:textId="3607E482"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nil"/>
              <w:right w:val="nil"/>
            </w:tcBorders>
            <w:shd w:val="clear" w:color="auto" w:fill="auto"/>
            <w:noWrap/>
            <w:vAlign w:val="center"/>
          </w:tcPr>
          <w:p w14:paraId="09E4C442" w14:textId="41A452D6"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2.644.761</w:t>
            </w:r>
          </w:p>
        </w:tc>
        <w:tc>
          <w:tcPr>
            <w:tcW w:w="622" w:type="pct"/>
            <w:tcBorders>
              <w:top w:val="nil"/>
              <w:left w:val="nil"/>
              <w:bottom w:val="nil"/>
              <w:right w:val="nil"/>
            </w:tcBorders>
            <w:shd w:val="clear" w:color="auto" w:fill="auto"/>
            <w:vAlign w:val="center"/>
            <w:hideMark/>
          </w:tcPr>
          <w:p w14:paraId="2849D33F" w14:textId="76C79EF3" w:rsidR="008813A5" w:rsidRPr="00E20D21" w:rsidRDefault="008813A5" w:rsidP="008813A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2.258.254</w:t>
            </w:r>
          </w:p>
        </w:tc>
      </w:tr>
      <w:tr w:rsidR="009C7374" w:rsidRPr="00E20D21" w14:paraId="6D8C7A59" w14:textId="77777777" w:rsidTr="006B671C">
        <w:trPr>
          <w:trHeight w:val="283"/>
        </w:trPr>
        <w:tc>
          <w:tcPr>
            <w:tcW w:w="1605" w:type="pct"/>
            <w:tcBorders>
              <w:top w:val="nil"/>
              <w:left w:val="nil"/>
              <w:bottom w:val="nil"/>
              <w:right w:val="nil"/>
            </w:tcBorders>
            <w:shd w:val="clear" w:color="auto" w:fill="auto"/>
            <w:noWrap/>
            <w:vAlign w:val="center"/>
            <w:hideMark/>
          </w:tcPr>
          <w:p w14:paraId="4F20F395" w14:textId="77777777" w:rsidR="008813A5" w:rsidRPr="00E20D21" w:rsidRDefault="008813A5"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Certificado de recebíveis imobiliários</w:t>
            </w:r>
          </w:p>
        </w:tc>
        <w:tc>
          <w:tcPr>
            <w:tcW w:w="584" w:type="pct"/>
            <w:tcBorders>
              <w:top w:val="nil"/>
              <w:left w:val="nil"/>
              <w:bottom w:val="nil"/>
              <w:right w:val="nil"/>
            </w:tcBorders>
            <w:shd w:val="clear" w:color="auto" w:fill="auto"/>
            <w:vAlign w:val="center"/>
          </w:tcPr>
          <w:p w14:paraId="3E2D69F4" w14:textId="67D61B20"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494.510</w:t>
            </w:r>
          </w:p>
        </w:tc>
        <w:tc>
          <w:tcPr>
            <w:tcW w:w="584" w:type="pct"/>
            <w:tcBorders>
              <w:top w:val="nil"/>
              <w:left w:val="nil"/>
              <w:bottom w:val="nil"/>
              <w:right w:val="nil"/>
            </w:tcBorders>
            <w:shd w:val="clear" w:color="auto" w:fill="auto"/>
            <w:vAlign w:val="center"/>
          </w:tcPr>
          <w:p w14:paraId="6F4692C6" w14:textId="1BDB9AE8"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2.985.575</w:t>
            </w:r>
          </w:p>
        </w:tc>
        <w:tc>
          <w:tcPr>
            <w:tcW w:w="535" w:type="pct"/>
            <w:tcBorders>
              <w:top w:val="nil"/>
              <w:left w:val="nil"/>
              <w:bottom w:val="nil"/>
              <w:right w:val="nil"/>
            </w:tcBorders>
            <w:shd w:val="clear" w:color="auto" w:fill="auto"/>
            <w:vAlign w:val="center"/>
          </w:tcPr>
          <w:p w14:paraId="0179ADAB" w14:textId="52D2688F"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340836CA" w14:textId="6D020B37"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nil"/>
              <w:right w:val="nil"/>
            </w:tcBorders>
            <w:shd w:val="clear" w:color="auto" w:fill="auto"/>
            <w:noWrap/>
            <w:vAlign w:val="center"/>
          </w:tcPr>
          <w:p w14:paraId="3A2AA9AB" w14:textId="2FADF23D"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3.480.085</w:t>
            </w:r>
          </w:p>
        </w:tc>
        <w:tc>
          <w:tcPr>
            <w:tcW w:w="622" w:type="pct"/>
            <w:tcBorders>
              <w:top w:val="nil"/>
              <w:left w:val="nil"/>
              <w:bottom w:val="nil"/>
              <w:right w:val="nil"/>
            </w:tcBorders>
            <w:shd w:val="clear" w:color="auto" w:fill="auto"/>
            <w:vAlign w:val="center"/>
            <w:hideMark/>
          </w:tcPr>
          <w:p w14:paraId="11BBD2A3" w14:textId="54F39EA8" w:rsidR="008813A5" w:rsidRPr="00E20D21" w:rsidRDefault="008813A5" w:rsidP="008813A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3.551.964</w:t>
            </w:r>
          </w:p>
        </w:tc>
      </w:tr>
      <w:tr w:rsidR="009C7374" w:rsidRPr="00E20D21" w14:paraId="32D77197" w14:textId="77777777" w:rsidTr="006B671C">
        <w:trPr>
          <w:trHeight w:val="283"/>
        </w:trPr>
        <w:tc>
          <w:tcPr>
            <w:tcW w:w="1605" w:type="pct"/>
            <w:tcBorders>
              <w:top w:val="nil"/>
              <w:left w:val="nil"/>
              <w:bottom w:val="nil"/>
              <w:right w:val="nil"/>
            </w:tcBorders>
            <w:shd w:val="clear" w:color="auto" w:fill="auto"/>
            <w:noWrap/>
            <w:vAlign w:val="center"/>
            <w:hideMark/>
          </w:tcPr>
          <w:p w14:paraId="413E9EF2" w14:textId="77777777" w:rsidR="008813A5" w:rsidRPr="00E20D21" w:rsidRDefault="008813A5"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Ações</w:t>
            </w:r>
          </w:p>
        </w:tc>
        <w:tc>
          <w:tcPr>
            <w:tcW w:w="584" w:type="pct"/>
            <w:tcBorders>
              <w:top w:val="nil"/>
              <w:left w:val="nil"/>
              <w:bottom w:val="nil"/>
              <w:right w:val="nil"/>
            </w:tcBorders>
            <w:shd w:val="clear" w:color="auto" w:fill="auto"/>
            <w:vAlign w:val="center"/>
          </w:tcPr>
          <w:p w14:paraId="1A647213" w14:textId="027531F3"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16.718</w:t>
            </w:r>
          </w:p>
        </w:tc>
        <w:tc>
          <w:tcPr>
            <w:tcW w:w="584" w:type="pct"/>
            <w:tcBorders>
              <w:top w:val="nil"/>
              <w:left w:val="nil"/>
              <w:bottom w:val="nil"/>
              <w:right w:val="nil"/>
            </w:tcBorders>
            <w:shd w:val="clear" w:color="auto" w:fill="auto"/>
            <w:vAlign w:val="center"/>
          </w:tcPr>
          <w:p w14:paraId="1A78F34F" w14:textId="6509D938"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2D1ADE37" w14:textId="45DF1E0D"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7ACBA683" w14:textId="1B90A800"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nil"/>
              <w:right w:val="nil"/>
            </w:tcBorders>
            <w:shd w:val="clear" w:color="auto" w:fill="auto"/>
            <w:noWrap/>
            <w:vAlign w:val="center"/>
          </w:tcPr>
          <w:p w14:paraId="71BFFB2E" w14:textId="1E73FFC1"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16.718</w:t>
            </w:r>
          </w:p>
        </w:tc>
        <w:tc>
          <w:tcPr>
            <w:tcW w:w="622" w:type="pct"/>
            <w:tcBorders>
              <w:top w:val="nil"/>
              <w:left w:val="nil"/>
              <w:bottom w:val="nil"/>
              <w:right w:val="nil"/>
            </w:tcBorders>
            <w:shd w:val="clear" w:color="auto" w:fill="auto"/>
            <w:vAlign w:val="center"/>
            <w:hideMark/>
          </w:tcPr>
          <w:p w14:paraId="6D13FCD5" w14:textId="0DBB5998" w:rsidR="008813A5" w:rsidRPr="00E20D21" w:rsidRDefault="008813A5" w:rsidP="008813A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30.482</w:t>
            </w:r>
          </w:p>
        </w:tc>
      </w:tr>
      <w:tr w:rsidR="009C7374" w:rsidRPr="00E20D21" w14:paraId="16740994" w14:textId="77777777" w:rsidTr="006B671C">
        <w:trPr>
          <w:trHeight w:val="283"/>
        </w:trPr>
        <w:tc>
          <w:tcPr>
            <w:tcW w:w="1605" w:type="pct"/>
            <w:tcBorders>
              <w:top w:val="nil"/>
              <w:left w:val="nil"/>
              <w:bottom w:val="nil"/>
              <w:right w:val="nil"/>
            </w:tcBorders>
            <w:shd w:val="clear" w:color="auto" w:fill="auto"/>
            <w:noWrap/>
            <w:vAlign w:val="center"/>
          </w:tcPr>
          <w:p w14:paraId="3C562981" w14:textId="7185C2BD" w:rsidR="003342E2" w:rsidRPr="00E20D21" w:rsidRDefault="003342E2" w:rsidP="003342E2">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financeiras</w:t>
            </w:r>
          </w:p>
        </w:tc>
        <w:tc>
          <w:tcPr>
            <w:tcW w:w="584" w:type="pct"/>
            <w:tcBorders>
              <w:top w:val="nil"/>
              <w:left w:val="nil"/>
              <w:bottom w:val="nil"/>
              <w:right w:val="nil"/>
            </w:tcBorders>
            <w:shd w:val="clear" w:color="auto" w:fill="auto"/>
            <w:vAlign w:val="center"/>
          </w:tcPr>
          <w:p w14:paraId="5082FEB9" w14:textId="1789C239" w:rsidR="003342E2" w:rsidRPr="00E20D21" w:rsidRDefault="003342E2" w:rsidP="003342E2">
            <w:pPr>
              <w:jc w:val="right"/>
              <w:rPr>
                <w:rFonts w:ascii="CAIXA Std Book" w:hAnsi="CAIXA Std Book" w:cs="Arial"/>
                <w:color w:val="005CA9"/>
                <w:sz w:val="18"/>
                <w:szCs w:val="18"/>
              </w:rPr>
            </w:pPr>
            <w:r w:rsidRPr="00E20D21">
              <w:rPr>
                <w:rFonts w:ascii="CAIXA Std Book" w:hAnsi="CAIXA Std Book" w:cs="Arial"/>
                <w:color w:val="005CA9"/>
                <w:sz w:val="18"/>
                <w:szCs w:val="18"/>
              </w:rPr>
              <w:t>3.791.649</w:t>
            </w:r>
          </w:p>
        </w:tc>
        <w:tc>
          <w:tcPr>
            <w:tcW w:w="584" w:type="pct"/>
            <w:tcBorders>
              <w:top w:val="nil"/>
              <w:left w:val="nil"/>
              <w:bottom w:val="nil"/>
              <w:right w:val="nil"/>
            </w:tcBorders>
            <w:shd w:val="clear" w:color="auto" w:fill="auto"/>
            <w:vAlign w:val="center"/>
          </w:tcPr>
          <w:p w14:paraId="4C72D646" w14:textId="1AECBD5B" w:rsidR="003342E2" w:rsidRPr="00E20D21" w:rsidRDefault="003342E2" w:rsidP="003342E2">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6C9317D0" w14:textId="7A23D83C" w:rsidR="003342E2" w:rsidRPr="00E20D21" w:rsidRDefault="003342E2" w:rsidP="003342E2">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62058557" w14:textId="380D6A56" w:rsidR="003342E2" w:rsidRPr="00E20D21" w:rsidRDefault="003342E2" w:rsidP="003342E2">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nil"/>
              <w:right w:val="nil"/>
            </w:tcBorders>
            <w:shd w:val="clear" w:color="auto" w:fill="auto"/>
            <w:noWrap/>
            <w:vAlign w:val="center"/>
          </w:tcPr>
          <w:p w14:paraId="08D94156" w14:textId="74690A11" w:rsidR="003342E2" w:rsidRPr="00E20D21" w:rsidRDefault="003342E2" w:rsidP="003342E2">
            <w:pPr>
              <w:jc w:val="right"/>
              <w:rPr>
                <w:rFonts w:ascii="CAIXA Std Book" w:hAnsi="CAIXA Std Book" w:cs="Arial"/>
                <w:color w:val="005CA9"/>
                <w:sz w:val="18"/>
                <w:szCs w:val="18"/>
              </w:rPr>
            </w:pPr>
            <w:r w:rsidRPr="00E20D21">
              <w:rPr>
                <w:rFonts w:ascii="CAIXA Std Book" w:hAnsi="CAIXA Std Book" w:cs="Arial"/>
                <w:color w:val="005CA9"/>
                <w:sz w:val="18"/>
                <w:szCs w:val="18"/>
              </w:rPr>
              <w:t>3.791.649</w:t>
            </w:r>
          </w:p>
        </w:tc>
        <w:tc>
          <w:tcPr>
            <w:tcW w:w="622" w:type="pct"/>
            <w:tcBorders>
              <w:top w:val="nil"/>
              <w:left w:val="nil"/>
              <w:bottom w:val="nil"/>
              <w:right w:val="nil"/>
            </w:tcBorders>
            <w:shd w:val="clear" w:color="auto" w:fill="auto"/>
            <w:vAlign w:val="center"/>
          </w:tcPr>
          <w:p w14:paraId="11AC34D8" w14:textId="338CC0CD" w:rsidR="003342E2" w:rsidRPr="00E20D21" w:rsidRDefault="003342E2" w:rsidP="003342E2">
            <w:pPr>
              <w:jc w:val="right"/>
              <w:rPr>
                <w:rFonts w:ascii="CAIXA Std Book" w:hAnsi="CAIXA Std Book" w:cs="Arial"/>
                <w:color w:val="005CA9"/>
                <w:sz w:val="18"/>
                <w:szCs w:val="18"/>
              </w:rPr>
            </w:pPr>
            <w:r w:rsidRPr="00E20D21">
              <w:rPr>
                <w:rFonts w:ascii="CAIXA Std Book" w:hAnsi="CAIXA Std Book" w:cs="Arial"/>
                <w:color w:val="005CA9"/>
                <w:sz w:val="18"/>
                <w:szCs w:val="18"/>
              </w:rPr>
              <w:t>4.702.214</w:t>
            </w:r>
          </w:p>
        </w:tc>
      </w:tr>
      <w:tr w:rsidR="009C7374" w:rsidRPr="00E20D21" w14:paraId="06E8659A" w14:textId="77777777" w:rsidTr="006B671C">
        <w:trPr>
          <w:trHeight w:val="283"/>
        </w:trPr>
        <w:tc>
          <w:tcPr>
            <w:tcW w:w="1605" w:type="pct"/>
            <w:tcBorders>
              <w:top w:val="nil"/>
              <w:left w:val="nil"/>
              <w:bottom w:val="single" w:sz="4" w:space="0" w:color="F79646"/>
              <w:right w:val="nil"/>
            </w:tcBorders>
            <w:shd w:val="clear" w:color="auto" w:fill="auto"/>
            <w:noWrap/>
            <w:vAlign w:val="center"/>
            <w:hideMark/>
          </w:tcPr>
          <w:p w14:paraId="0E2D6B3A" w14:textId="5FBD95A2" w:rsidR="008813A5" w:rsidRPr="00E20D21" w:rsidRDefault="003342E2" w:rsidP="008813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Nota</w:t>
            </w:r>
            <w:r w:rsidR="001245FF" w:rsidRPr="00E20D21">
              <w:rPr>
                <w:rFonts w:ascii="CAIXA Std Book" w:eastAsia="Times New Roman" w:hAnsi="CAIXA Std Book" w:cs="Arial"/>
                <w:color w:val="005CA9"/>
                <w:sz w:val="18"/>
                <w:szCs w:val="18"/>
              </w:rPr>
              <w:t xml:space="preserve">s </w:t>
            </w:r>
            <w:r w:rsidR="00704567" w:rsidRPr="00E20D21">
              <w:rPr>
                <w:rFonts w:ascii="CAIXA Std Book" w:eastAsia="Times New Roman" w:hAnsi="CAIXA Std Book" w:cs="Arial"/>
                <w:color w:val="005CA9"/>
                <w:sz w:val="18"/>
                <w:szCs w:val="18"/>
              </w:rPr>
              <w:t>c</w:t>
            </w:r>
            <w:r w:rsidRPr="00E20D21">
              <w:rPr>
                <w:rFonts w:ascii="CAIXA Std Book" w:eastAsia="Times New Roman" w:hAnsi="CAIXA Std Book" w:cs="Arial"/>
                <w:color w:val="005CA9"/>
                <w:sz w:val="18"/>
                <w:szCs w:val="18"/>
              </w:rPr>
              <w:t>omercia</w:t>
            </w:r>
            <w:r w:rsidR="001245FF" w:rsidRPr="00E20D21">
              <w:rPr>
                <w:rFonts w:ascii="CAIXA Std Book" w:eastAsia="Times New Roman" w:hAnsi="CAIXA Std Book" w:cs="Arial"/>
                <w:color w:val="005CA9"/>
                <w:sz w:val="18"/>
                <w:szCs w:val="18"/>
              </w:rPr>
              <w:t>is</w:t>
            </w:r>
          </w:p>
        </w:tc>
        <w:tc>
          <w:tcPr>
            <w:tcW w:w="584" w:type="pct"/>
            <w:tcBorders>
              <w:top w:val="nil"/>
              <w:left w:val="nil"/>
              <w:bottom w:val="single" w:sz="4" w:space="0" w:color="F79646"/>
              <w:right w:val="nil"/>
            </w:tcBorders>
            <w:shd w:val="clear" w:color="auto" w:fill="auto"/>
            <w:vAlign w:val="center"/>
          </w:tcPr>
          <w:p w14:paraId="7F773A7A" w14:textId="33002A83"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518.862</w:t>
            </w:r>
          </w:p>
        </w:tc>
        <w:tc>
          <w:tcPr>
            <w:tcW w:w="584" w:type="pct"/>
            <w:tcBorders>
              <w:top w:val="nil"/>
              <w:left w:val="nil"/>
              <w:bottom w:val="single" w:sz="4" w:space="0" w:color="F79646"/>
              <w:right w:val="nil"/>
            </w:tcBorders>
            <w:shd w:val="clear" w:color="auto" w:fill="auto"/>
            <w:vAlign w:val="center"/>
          </w:tcPr>
          <w:p w14:paraId="1C0B532F" w14:textId="2DEC4D0E"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35" w:type="pct"/>
            <w:tcBorders>
              <w:top w:val="nil"/>
              <w:left w:val="nil"/>
              <w:bottom w:val="single" w:sz="4" w:space="0" w:color="F79646"/>
              <w:right w:val="nil"/>
            </w:tcBorders>
            <w:shd w:val="clear" w:color="auto" w:fill="auto"/>
            <w:vAlign w:val="center"/>
          </w:tcPr>
          <w:p w14:paraId="7982E519" w14:textId="0173F260"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86" w:type="pct"/>
            <w:tcBorders>
              <w:top w:val="nil"/>
              <w:left w:val="nil"/>
              <w:bottom w:val="single" w:sz="4" w:space="0" w:color="F79646"/>
              <w:right w:val="nil"/>
            </w:tcBorders>
            <w:shd w:val="clear" w:color="auto" w:fill="auto"/>
            <w:vAlign w:val="center"/>
          </w:tcPr>
          <w:p w14:paraId="2D9BE4AC" w14:textId="58260991" w:rsidR="008813A5" w:rsidRPr="00E20D21" w:rsidRDefault="003342E2" w:rsidP="008813A5">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84" w:type="pct"/>
            <w:tcBorders>
              <w:top w:val="nil"/>
              <w:left w:val="nil"/>
              <w:bottom w:val="single" w:sz="4" w:space="0" w:color="F79646"/>
              <w:right w:val="nil"/>
            </w:tcBorders>
            <w:shd w:val="clear" w:color="auto" w:fill="auto"/>
            <w:noWrap/>
            <w:vAlign w:val="center"/>
          </w:tcPr>
          <w:p w14:paraId="50A0663C" w14:textId="27167467" w:rsidR="008813A5" w:rsidRPr="00E20D21" w:rsidRDefault="003342E2" w:rsidP="008813A5">
            <w:pPr>
              <w:jc w:val="right"/>
              <w:rPr>
                <w:rFonts w:ascii="CAIXA Std Book" w:hAnsi="CAIXA Std Book" w:cs="Arial"/>
                <w:color w:val="005CA9"/>
                <w:sz w:val="18"/>
                <w:szCs w:val="18"/>
              </w:rPr>
            </w:pPr>
            <w:r w:rsidRPr="00E20D21">
              <w:rPr>
                <w:rFonts w:ascii="CAIXA Std Book" w:hAnsi="CAIXA Std Book" w:cs="Arial"/>
                <w:color w:val="005CA9"/>
                <w:sz w:val="18"/>
                <w:szCs w:val="18"/>
              </w:rPr>
              <w:t>518.862</w:t>
            </w:r>
          </w:p>
        </w:tc>
        <w:tc>
          <w:tcPr>
            <w:tcW w:w="622" w:type="pct"/>
            <w:tcBorders>
              <w:top w:val="nil"/>
              <w:left w:val="nil"/>
              <w:bottom w:val="single" w:sz="4" w:space="0" w:color="F79646"/>
              <w:right w:val="nil"/>
            </w:tcBorders>
            <w:shd w:val="clear" w:color="auto" w:fill="auto"/>
            <w:vAlign w:val="center"/>
            <w:hideMark/>
          </w:tcPr>
          <w:p w14:paraId="347EFE23" w14:textId="16CA9060" w:rsidR="008813A5" w:rsidRPr="00E20D21" w:rsidRDefault="00540E4C" w:rsidP="00540E4C">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r>
      <w:tr w:rsidR="009C7374" w:rsidRPr="00E20D21" w14:paraId="59706CB9" w14:textId="77777777" w:rsidTr="006B671C">
        <w:trPr>
          <w:trHeight w:val="283"/>
        </w:trPr>
        <w:tc>
          <w:tcPr>
            <w:tcW w:w="1605" w:type="pct"/>
            <w:tcBorders>
              <w:top w:val="single" w:sz="4" w:space="0" w:color="F79646"/>
              <w:left w:val="nil"/>
              <w:bottom w:val="single" w:sz="4" w:space="0" w:color="F79646"/>
              <w:right w:val="nil"/>
            </w:tcBorders>
            <w:shd w:val="clear" w:color="auto" w:fill="auto"/>
            <w:noWrap/>
            <w:vAlign w:val="center"/>
            <w:hideMark/>
          </w:tcPr>
          <w:p w14:paraId="1C8E731B" w14:textId="77777777" w:rsidR="008813A5" w:rsidRPr="00E20D21" w:rsidRDefault="008813A5" w:rsidP="008813A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584" w:type="pct"/>
            <w:tcBorders>
              <w:top w:val="single" w:sz="4" w:space="0" w:color="F79646"/>
              <w:left w:val="nil"/>
              <w:bottom w:val="single" w:sz="4" w:space="0" w:color="F79646"/>
              <w:right w:val="nil"/>
            </w:tcBorders>
            <w:shd w:val="clear" w:color="auto" w:fill="auto"/>
            <w:noWrap/>
            <w:vAlign w:val="center"/>
          </w:tcPr>
          <w:p w14:paraId="1FE28217" w14:textId="00E9D6DB"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133.195.678</w:t>
            </w:r>
          </w:p>
        </w:tc>
        <w:tc>
          <w:tcPr>
            <w:tcW w:w="584" w:type="pct"/>
            <w:tcBorders>
              <w:top w:val="single" w:sz="4" w:space="0" w:color="F79646"/>
              <w:left w:val="nil"/>
              <w:bottom w:val="single" w:sz="4" w:space="0" w:color="F79646"/>
              <w:right w:val="nil"/>
            </w:tcBorders>
            <w:shd w:val="clear" w:color="auto" w:fill="auto"/>
            <w:noWrap/>
            <w:vAlign w:val="center"/>
          </w:tcPr>
          <w:p w14:paraId="4FA5776F" w14:textId="3DEA249A"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137.373.015</w:t>
            </w:r>
          </w:p>
        </w:tc>
        <w:tc>
          <w:tcPr>
            <w:tcW w:w="535" w:type="pct"/>
            <w:tcBorders>
              <w:top w:val="single" w:sz="4" w:space="0" w:color="F79646"/>
              <w:left w:val="nil"/>
              <w:bottom w:val="single" w:sz="4" w:space="0" w:color="F79646"/>
              <w:right w:val="nil"/>
            </w:tcBorders>
            <w:shd w:val="clear" w:color="auto" w:fill="auto"/>
            <w:noWrap/>
            <w:vAlign w:val="center"/>
          </w:tcPr>
          <w:p w14:paraId="19E3B751" w14:textId="2241D89F"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15.321.568</w:t>
            </w:r>
          </w:p>
        </w:tc>
        <w:tc>
          <w:tcPr>
            <w:tcW w:w="486" w:type="pct"/>
            <w:tcBorders>
              <w:top w:val="single" w:sz="4" w:space="0" w:color="F79646"/>
              <w:left w:val="nil"/>
              <w:bottom w:val="single" w:sz="4" w:space="0" w:color="F79646"/>
              <w:right w:val="nil"/>
            </w:tcBorders>
            <w:shd w:val="clear" w:color="auto" w:fill="auto"/>
            <w:noWrap/>
            <w:vAlign w:val="center"/>
          </w:tcPr>
          <w:p w14:paraId="4FFC57AC" w14:textId="125DE17C"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7.011.647</w:t>
            </w:r>
          </w:p>
        </w:tc>
        <w:tc>
          <w:tcPr>
            <w:tcW w:w="584" w:type="pct"/>
            <w:tcBorders>
              <w:top w:val="single" w:sz="4" w:space="0" w:color="F79646"/>
              <w:left w:val="nil"/>
              <w:bottom w:val="single" w:sz="4" w:space="0" w:color="F79646"/>
              <w:right w:val="nil"/>
            </w:tcBorders>
            <w:shd w:val="clear" w:color="auto" w:fill="auto"/>
            <w:noWrap/>
            <w:vAlign w:val="center"/>
          </w:tcPr>
          <w:p w14:paraId="1EBC32A2" w14:textId="76D755E3" w:rsidR="008813A5" w:rsidRPr="00E20D21" w:rsidRDefault="003342E2" w:rsidP="008813A5">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292.901.908</w:t>
            </w:r>
          </w:p>
        </w:tc>
        <w:tc>
          <w:tcPr>
            <w:tcW w:w="622" w:type="pct"/>
            <w:tcBorders>
              <w:top w:val="single" w:sz="4" w:space="0" w:color="F79646"/>
              <w:left w:val="nil"/>
              <w:bottom w:val="single" w:sz="4" w:space="0" w:color="F79646"/>
              <w:right w:val="nil"/>
            </w:tcBorders>
            <w:shd w:val="clear" w:color="auto" w:fill="auto"/>
            <w:noWrap/>
            <w:vAlign w:val="center"/>
            <w:hideMark/>
          </w:tcPr>
          <w:p w14:paraId="34EF3FD4" w14:textId="0E8CAF1D" w:rsidR="008813A5" w:rsidRPr="00E20D21" w:rsidRDefault="008813A5" w:rsidP="008813A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279.260.581</w:t>
            </w:r>
          </w:p>
        </w:tc>
      </w:tr>
      <w:tr w:rsidR="00203CF6" w:rsidRPr="00E20D21" w14:paraId="6F2B142A" w14:textId="77777777" w:rsidTr="006B671C">
        <w:trPr>
          <w:trHeight w:val="283"/>
        </w:trPr>
        <w:tc>
          <w:tcPr>
            <w:tcW w:w="1605" w:type="pct"/>
            <w:tcBorders>
              <w:top w:val="single" w:sz="4" w:space="0" w:color="F79646"/>
              <w:left w:val="nil"/>
              <w:right w:val="nil"/>
            </w:tcBorders>
            <w:shd w:val="clear" w:color="auto" w:fill="auto"/>
            <w:noWrap/>
            <w:vAlign w:val="center"/>
            <w:hideMark/>
          </w:tcPr>
          <w:p w14:paraId="4907E4B3" w14:textId="77777777" w:rsidR="00203CF6" w:rsidRPr="00E20D21" w:rsidRDefault="00203CF6" w:rsidP="00203CF6">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Ativo circulante</w:t>
            </w:r>
          </w:p>
        </w:tc>
        <w:tc>
          <w:tcPr>
            <w:tcW w:w="584" w:type="pct"/>
            <w:tcBorders>
              <w:top w:val="single" w:sz="4" w:space="0" w:color="F79646"/>
              <w:left w:val="nil"/>
              <w:right w:val="nil"/>
            </w:tcBorders>
            <w:shd w:val="clear" w:color="auto" w:fill="auto"/>
            <w:noWrap/>
            <w:vAlign w:val="center"/>
            <w:hideMark/>
          </w:tcPr>
          <w:p w14:paraId="4EDD8BA8" w14:textId="344E08F7" w:rsidR="00203CF6" w:rsidRPr="00E20D21" w:rsidRDefault="00203CF6" w:rsidP="00203CF6">
            <w:pPr>
              <w:ind w:firstLineChars="100" w:firstLine="180"/>
              <w:jc w:val="right"/>
              <w:rPr>
                <w:rFonts w:ascii="CAIXA Std Book" w:eastAsia="Times New Roman" w:hAnsi="CAIXA Std Book" w:cs="Arial"/>
                <w:color w:val="005CA9"/>
                <w:sz w:val="18"/>
                <w:szCs w:val="18"/>
              </w:rPr>
            </w:pPr>
          </w:p>
        </w:tc>
        <w:tc>
          <w:tcPr>
            <w:tcW w:w="584" w:type="pct"/>
            <w:tcBorders>
              <w:top w:val="single" w:sz="4" w:space="0" w:color="F79646"/>
              <w:left w:val="nil"/>
              <w:right w:val="nil"/>
            </w:tcBorders>
            <w:shd w:val="clear" w:color="auto" w:fill="auto"/>
            <w:noWrap/>
            <w:vAlign w:val="center"/>
            <w:hideMark/>
          </w:tcPr>
          <w:p w14:paraId="244383B3" w14:textId="7A4B42C9" w:rsidR="00203CF6" w:rsidRPr="00E20D21" w:rsidRDefault="00203CF6" w:rsidP="00203CF6">
            <w:pPr>
              <w:ind w:firstLineChars="100" w:firstLine="180"/>
              <w:jc w:val="right"/>
              <w:rPr>
                <w:rFonts w:ascii="CAIXA Std Book" w:eastAsia="Times New Roman" w:hAnsi="CAIXA Std Book" w:cs="Arial"/>
                <w:color w:val="005CA9"/>
                <w:sz w:val="18"/>
                <w:szCs w:val="18"/>
              </w:rPr>
            </w:pPr>
          </w:p>
        </w:tc>
        <w:tc>
          <w:tcPr>
            <w:tcW w:w="535" w:type="pct"/>
            <w:tcBorders>
              <w:top w:val="single" w:sz="4" w:space="0" w:color="F79646"/>
              <w:left w:val="nil"/>
              <w:right w:val="nil"/>
            </w:tcBorders>
            <w:shd w:val="clear" w:color="auto" w:fill="auto"/>
            <w:noWrap/>
            <w:vAlign w:val="center"/>
            <w:hideMark/>
          </w:tcPr>
          <w:p w14:paraId="4D20316F" w14:textId="383592BE" w:rsidR="00203CF6" w:rsidRPr="00E20D21" w:rsidRDefault="00203CF6" w:rsidP="00203CF6">
            <w:pPr>
              <w:ind w:firstLineChars="100" w:firstLine="180"/>
              <w:jc w:val="right"/>
              <w:rPr>
                <w:rFonts w:ascii="CAIXA Std Book" w:eastAsia="Times New Roman" w:hAnsi="CAIXA Std Book" w:cs="Arial"/>
                <w:color w:val="005CA9"/>
                <w:sz w:val="18"/>
                <w:szCs w:val="18"/>
              </w:rPr>
            </w:pPr>
          </w:p>
        </w:tc>
        <w:tc>
          <w:tcPr>
            <w:tcW w:w="486" w:type="pct"/>
            <w:tcBorders>
              <w:top w:val="single" w:sz="4" w:space="0" w:color="F79646"/>
              <w:left w:val="nil"/>
              <w:right w:val="nil"/>
            </w:tcBorders>
            <w:shd w:val="clear" w:color="auto" w:fill="auto"/>
            <w:noWrap/>
            <w:vAlign w:val="center"/>
            <w:hideMark/>
          </w:tcPr>
          <w:p w14:paraId="67154D22" w14:textId="486953E4" w:rsidR="00203CF6" w:rsidRPr="00E20D21" w:rsidRDefault="00203CF6" w:rsidP="00203CF6">
            <w:pPr>
              <w:ind w:firstLineChars="100" w:firstLine="180"/>
              <w:jc w:val="right"/>
              <w:rPr>
                <w:rFonts w:ascii="CAIXA Std Book" w:eastAsia="Times New Roman" w:hAnsi="CAIXA Std Book" w:cs="Arial"/>
                <w:color w:val="005CA9"/>
                <w:sz w:val="18"/>
                <w:szCs w:val="18"/>
              </w:rPr>
            </w:pPr>
          </w:p>
        </w:tc>
        <w:tc>
          <w:tcPr>
            <w:tcW w:w="584" w:type="pct"/>
            <w:tcBorders>
              <w:top w:val="single" w:sz="4" w:space="0" w:color="F79646"/>
              <w:left w:val="nil"/>
              <w:right w:val="nil"/>
            </w:tcBorders>
            <w:shd w:val="clear" w:color="auto" w:fill="auto"/>
            <w:noWrap/>
            <w:vAlign w:val="center"/>
          </w:tcPr>
          <w:p w14:paraId="373CFB14" w14:textId="7DD5CE4C" w:rsidR="00203CF6" w:rsidRPr="00E20D21" w:rsidRDefault="00203CF6" w:rsidP="00203CF6">
            <w:pPr>
              <w:jc w:val="right"/>
              <w:rPr>
                <w:rFonts w:ascii="CAIXA Std Book" w:hAnsi="CAIXA Std Book" w:cs="Arial"/>
                <w:color w:val="005CA9"/>
                <w:sz w:val="18"/>
                <w:szCs w:val="18"/>
              </w:rPr>
            </w:pPr>
            <w:r w:rsidRPr="00E20D21">
              <w:rPr>
                <w:rFonts w:ascii="CAIXA Std Book" w:hAnsi="CAIXA Std Book" w:cs="Arial"/>
                <w:color w:val="005CA9"/>
                <w:sz w:val="18"/>
                <w:szCs w:val="18"/>
              </w:rPr>
              <w:t>122.633.242</w:t>
            </w:r>
          </w:p>
        </w:tc>
        <w:tc>
          <w:tcPr>
            <w:tcW w:w="622" w:type="pct"/>
            <w:tcBorders>
              <w:top w:val="single" w:sz="4" w:space="0" w:color="F79646"/>
              <w:left w:val="nil"/>
              <w:right w:val="nil"/>
            </w:tcBorders>
            <w:shd w:val="clear" w:color="auto" w:fill="auto"/>
            <w:noWrap/>
            <w:vAlign w:val="center"/>
            <w:hideMark/>
          </w:tcPr>
          <w:p w14:paraId="3978ED0E" w14:textId="51C6323C" w:rsidR="00203CF6" w:rsidRPr="00E20D21" w:rsidRDefault="00203CF6" w:rsidP="00203CF6">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141.282.518</w:t>
            </w:r>
          </w:p>
        </w:tc>
      </w:tr>
      <w:tr w:rsidR="00203CF6" w:rsidRPr="00E20D21" w14:paraId="7DC94A83" w14:textId="77777777" w:rsidTr="006B671C">
        <w:trPr>
          <w:trHeight w:val="283"/>
        </w:trPr>
        <w:tc>
          <w:tcPr>
            <w:tcW w:w="1605" w:type="pct"/>
            <w:tcBorders>
              <w:top w:val="nil"/>
              <w:left w:val="nil"/>
              <w:bottom w:val="single" w:sz="4" w:space="0" w:color="F79646"/>
              <w:right w:val="nil"/>
            </w:tcBorders>
            <w:shd w:val="clear" w:color="auto" w:fill="auto"/>
            <w:noWrap/>
            <w:vAlign w:val="center"/>
            <w:hideMark/>
          </w:tcPr>
          <w:p w14:paraId="62B1868B" w14:textId="77777777" w:rsidR="00203CF6" w:rsidRPr="00E20D21" w:rsidRDefault="00203CF6" w:rsidP="00203CF6">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Ativo não circulante</w:t>
            </w:r>
          </w:p>
        </w:tc>
        <w:tc>
          <w:tcPr>
            <w:tcW w:w="584" w:type="pct"/>
            <w:tcBorders>
              <w:top w:val="nil"/>
              <w:left w:val="nil"/>
              <w:bottom w:val="single" w:sz="4" w:space="0" w:color="F79646"/>
              <w:right w:val="nil"/>
            </w:tcBorders>
            <w:shd w:val="clear" w:color="auto" w:fill="auto"/>
            <w:noWrap/>
            <w:vAlign w:val="center"/>
            <w:hideMark/>
          </w:tcPr>
          <w:p w14:paraId="4F8362EE" w14:textId="26005EC2" w:rsidR="00203CF6" w:rsidRPr="00E20D21" w:rsidRDefault="00203CF6" w:rsidP="00203CF6">
            <w:pPr>
              <w:ind w:firstLineChars="100" w:firstLine="180"/>
              <w:jc w:val="right"/>
              <w:rPr>
                <w:rFonts w:ascii="CAIXA Std Book" w:eastAsia="Times New Roman" w:hAnsi="CAIXA Std Book" w:cs="Arial"/>
                <w:color w:val="005CA9"/>
                <w:sz w:val="18"/>
                <w:szCs w:val="18"/>
              </w:rPr>
            </w:pPr>
          </w:p>
        </w:tc>
        <w:tc>
          <w:tcPr>
            <w:tcW w:w="584" w:type="pct"/>
            <w:tcBorders>
              <w:top w:val="nil"/>
              <w:left w:val="nil"/>
              <w:bottom w:val="single" w:sz="4" w:space="0" w:color="F79646"/>
              <w:right w:val="nil"/>
            </w:tcBorders>
            <w:shd w:val="clear" w:color="auto" w:fill="auto"/>
            <w:noWrap/>
            <w:vAlign w:val="center"/>
            <w:hideMark/>
          </w:tcPr>
          <w:p w14:paraId="7E771588" w14:textId="773FF923" w:rsidR="00203CF6" w:rsidRPr="00E20D21" w:rsidRDefault="00203CF6" w:rsidP="00203CF6">
            <w:pPr>
              <w:ind w:firstLineChars="100" w:firstLine="180"/>
              <w:jc w:val="right"/>
              <w:rPr>
                <w:rFonts w:ascii="CAIXA Std Book" w:eastAsia="Times New Roman" w:hAnsi="CAIXA Std Book" w:cs="Arial"/>
                <w:color w:val="005CA9"/>
                <w:sz w:val="18"/>
                <w:szCs w:val="18"/>
              </w:rPr>
            </w:pPr>
          </w:p>
        </w:tc>
        <w:tc>
          <w:tcPr>
            <w:tcW w:w="535" w:type="pct"/>
            <w:tcBorders>
              <w:top w:val="nil"/>
              <w:left w:val="nil"/>
              <w:bottom w:val="single" w:sz="4" w:space="0" w:color="F79646"/>
              <w:right w:val="nil"/>
            </w:tcBorders>
            <w:shd w:val="clear" w:color="auto" w:fill="auto"/>
            <w:noWrap/>
            <w:vAlign w:val="center"/>
            <w:hideMark/>
          </w:tcPr>
          <w:p w14:paraId="3981F0C7" w14:textId="6C45AA8C" w:rsidR="00203CF6" w:rsidRPr="00E20D21" w:rsidRDefault="00203CF6" w:rsidP="00203CF6">
            <w:pPr>
              <w:ind w:firstLineChars="100" w:firstLine="180"/>
              <w:jc w:val="right"/>
              <w:rPr>
                <w:rFonts w:ascii="CAIXA Std Book" w:eastAsia="Times New Roman" w:hAnsi="CAIXA Std Book" w:cs="Arial"/>
                <w:color w:val="005CA9"/>
                <w:sz w:val="18"/>
                <w:szCs w:val="18"/>
              </w:rPr>
            </w:pPr>
          </w:p>
        </w:tc>
        <w:tc>
          <w:tcPr>
            <w:tcW w:w="486" w:type="pct"/>
            <w:tcBorders>
              <w:top w:val="nil"/>
              <w:left w:val="nil"/>
              <w:bottom w:val="single" w:sz="4" w:space="0" w:color="F79646"/>
              <w:right w:val="nil"/>
            </w:tcBorders>
            <w:shd w:val="clear" w:color="auto" w:fill="auto"/>
            <w:noWrap/>
            <w:vAlign w:val="center"/>
            <w:hideMark/>
          </w:tcPr>
          <w:p w14:paraId="48FECB33" w14:textId="47ACC05C" w:rsidR="00203CF6" w:rsidRPr="00E20D21" w:rsidRDefault="00203CF6" w:rsidP="00203CF6">
            <w:pPr>
              <w:ind w:firstLineChars="100" w:firstLine="180"/>
              <w:jc w:val="right"/>
              <w:rPr>
                <w:rFonts w:ascii="CAIXA Std Book" w:eastAsia="Times New Roman" w:hAnsi="CAIXA Std Book" w:cs="Arial"/>
                <w:color w:val="005CA9"/>
                <w:sz w:val="18"/>
                <w:szCs w:val="18"/>
              </w:rPr>
            </w:pPr>
          </w:p>
        </w:tc>
        <w:tc>
          <w:tcPr>
            <w:tcW w:w="584" w:type="pct"/>
            <w:tcBorders>
              <w:top w:val="nil"/>
              <w:left w:val="nil"/>
              <w:bottom w:val="single" w:sz="4" w:space="0" w:color="F79646"/>
              <w:right w:val="nil"/>
            </w:tcBorders>
            <w:shd w:val="clear" w:color="auto" w:fill="auto"/>
            <w:noWrap/>
            <w:vAlign w:val="center"/>
          </w:tcPr>
          <w:p w14:paraId="71C63340" w14:textId="683EC2DC" w:rsidR="00203CF6" w:rsidRPr="00E20D21" w:rsidRDefault="00203CF6" w:rsidP="00203CF6">
            <w:pPr>
              <w:jc w:val="right"/>
              <w:rPr>
                <w:rFonts w:ascii="CAIXA Std Book" w:hAnsi="CAIXA Std Book" w:cs="Arial"/>
                <w:color w:val="005CA9"/>
                <w:sz w:val="18"/>
                <w:szCs w:val="18"/>
              </w:rPr>
            </w:pPr>
            <w:r w:rsidRPr="00E20D21">
              <w:rPr>
                <w:rFonts w:ascii="CAIXA Std Book" w:hAnsi="CAIXA Std Book" w:cs="Arial"/>
                <w:color w:val="005CA9"/>
                <w:sz w:val="18"/>
                <w:szCs w:val="18"/>
              </w:rPr>
              <w:t>170.268.666</w:t>
            </w:r>
          </w:p>
        </w:tc>
        <w:tc>
          <w:tcPr>
            <w:tcW w:w="622" w:type="pct"/>
            <w:tcBorders>
              <w:top w:val="nil"/>
              <w:left w:val="nil"/>
              <w:bottom w:val="single" w:sz="4" w:space="0" w:color="F79646"/>
              <w:right w:val="nil"/>
            </w:tcBorders>
            <w:shd w:val="clear" w:color="auto" w:fill="auto"/>
            <w:noWrap/>
            <w:vAlign w:val="center"/>
            <w:hideMark/>
          </w:tcPr>
          <w:p w14:paraId="5BA90247" w14:textId="097C4E3D" w:rsidR="00203CF6" w:rsidRPr="00E20D21" w:rsidRDefault="00203CF6" w:rsidP="00203CF6">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137.978.063</w:t>
            </w:r>
          </w:p>
        </w:tc>
      </w:tr>
    </w:tbl>
    <w:p w14:paraId="045E19E2" w14:textId="77777777" w:rsidR="00B24C2C" w:rsidRPr="00E20D21" w:rsidRDefault="00B24C2C">
      <w:pPr>
        <w:rPr>
          <w:rFonts w:ascii="CAIXA Std Book" w:hAnsi="CAIXA Std Book"/>
          <w:color w:val="005CA9"/>
          <w:sz w:val="18"/>
          <w:szCs w:val="18"/>
        </w:rPr>
      </w:pPr>
      <w:r w:rsidRPr="00E20D21">
        <w:rPr>
          <w:rFonts w:ascii="CAIXA Std Book" w:hAnsi="CAIXA Std Book"/>
          <w:color w:val="005CA9"/>
          <w:sz w:val="18"/>
          <w:szCs w:val="18"/>
        </w:rPr>
        <w:br w:type="page"/>
      </w:r>
    </w:p>
    <w:tbl>
      <w:tblPr>
        <w:tblW w:w="5000" w:type="pct"/>
        <w:tblCellMar>
          <w:left w:w="70" w:type="dxa"/>
          <w:right w:w="70" w:type="dxa"/>
        </w:tblCellMar>
        <w:tblLook w:val="04A0" w:firstRow="1" w:lastRow="0" w:firstColumn="1" w:lastColumn="0" w:noHBand="0" w:noVBand="1"/>
      </w:tblPr>
      <w:tblGrid>
        <w:gridCol w:w="4677"/>
        <w:gridCol w:w="1559"/>
        <w:gridCol w:w="1845"/>
        <w:gridCol w:w="1559"/>
        <w:gridCol w:w="1416"/>
        <w:gridCol w:w="1702"/>
        <w:gridCol w:w="1813"/>
      </w:tblGrid>
      <w:tr w:rsidR="00A47C19" w:rsidRPr="00E20D21" w14:paraId="7A6AC8A8" w14:textId="77777777" w:rsidTr="00EC6C5B">
        <w:trPr>
          <w:trHeight w:val="283"/>
        </w:trPr>
        <w:tc>
          <w:tcPr>
            <w:tcW w:w="5000" w:type="pct"/>
            <w:gridSpan w:val="7"/>
            <w:tcBorders>
              <w:top w:val="single" w:sz="4" w:space="0" w:color="F79646"/>
              <w:left w:val="nil"/>
              <w:bottom w:val="single" w:sz="4" w:space="0" w:color="F79646"/>
              <w:right w:val="nil"/>
            </w:tcBorders>
            <w:shd w:val="clear" w:color="auto" w:fill="auto"/>
            <w:vAlign w:val="center"/>
            <w:hideMark/>
          </w:tcPr>
          <w:p w14:paraId="0DE08C15" w14:textId="19BAB6DF" w:rsidR="00860314" w:rsidRPr="00E20D21" w:rsidRDefault="00CD6261" w:rsidP="00F85F0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lastRenderedPageBreak/>
              <w:t>CONSOLIDADO</w:t>
            </w:r>
          </w:p>
        </w:tc>
      </w:tr>
      <w:tr w:rsidR="00A47C19" w:rsidRPr="00E20D21" w14:paraId="74867781" w14:textId="77777777" w:rsidTr="006B671C">
        <w:trPr>
          <w:trHeight w:val="283"/>
        </w:trPr>
        <w:tc>
          <w:tcPr>
            <w:tcW w:w="1605" w:type="pct"/>
            <w:vMerge w:val="restart"/>
            <w:tcBorders>
              <w:top w:val="single" w:sz="4" w:space="0" w:color="F79646"/>
              <w:left w:val="nil"/>
              <w:bottom w:val="single" w:sz="4" w:space="0" w:color="F79646"/>
              <w:right w:val="nil"/>
            </w:tcBorders>
            <w:shd w:val="clear" w:color="auto" w:fill="auto"/>
            <w:noWrap/>
            <w:vAlign w:val="center"/>
            <w:hideMark/>
          </w:tcPr>
          <w:p w14:paraId="6DA0DCB9" w14:textId="77777777" w:rsidR="00860314" w:rsidRPr="00E20D21" w:rsidRDefault="00860314" w:rsidP="00F85F0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535" w:type="pct"/>
            <w:vMerge w:val="restart"/>
            <w:tcBorders>
              <w:top w:val="single" w:sz="4" w:space="0" w:color="F79646"/>
              <w:left w:val="nil"/>
              <w:bottom w:val="single" w:sz="4" w:space="0" w:color="F79646"/>
              <w:right w:val="nil"/>
            </w:tcBorders>
            <w:shd w:val="clear" w:color="auto" w:fill="auto"/>
            <w:vAlign w:val="center"/>
            <w:hideMark/>
          </w:tcPr>
          <w:p w14:paraId="4F40A39C" w14:textId="7F5040FB" w:rsidR="00860314" w:rsidRPr="00E20D21" w:rsidRDefault="00860314" w:rsidP="00F85F0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Carteira </w:t>
            </w:r>
            <w:proofErr w:type="gramStart"/>
            <w:r w:rsidRPr="00E20D21">
              <w:rPr>
                <w:rFonts w:ascii="CAIXA Std Book" w:eastAsia="Times New Roman" w:hAnsi="CAIXA Std Book" w:cs="Arial"/>
                <w:b/>
                <w:bCs/>
                <w:color w:val="005CA9"/>
                <w:sz w:val="18"/>
                <w:szCs w:val="18"/>
              </w:rPr>
              <w:t>Própria  Livre</w:t>
            </w:r>
            <w:proofErr w:type="gramEnd"/>
          </w:p>
        </w:tc>
        <w:tc>
          <w:tcPr>
            <w:tcW w:w="1654" w:type="pct"/>
            <w:gridSpan w:val="3"/>
            <w:tcBorders>
              <w:top w:val="single" w:sz="4" w:space="0" w:color="F79646"/>
              <w:left w:val="nil"/>
              <w:bottom w:val="single" w:sz="4" w:space="0" w:color="F79646"/>
              <w:right w:val="nil"/>
            </w:tcBorders>
            <w:shd w:val="clear" w:color="auto" w:fill="auto"/>
            <w:vAlign w:val="center"/>
            <w:hideMark/>
          </w:tcPr>
          <w:p w14:paraId="7DD181FE" w14:textId="77777777" w:rsidR="00860314" w:rsidRPr="00E20D21" w:rsidRDefault="00860314" w:rsidP="00F85F0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Vinculados</w:t>
            </w:r>
          </w:p>
        </w:tc>
        <w:tc>
          <w:tcPr>
            <w:tcW w:w="584" w:type="pct"/>
            <w:vMerge w:val="restart"/>
            <w:tcBorders>
              <w:top w:val="single" w:sz="4" w:space="0" w:color="F79646"/>
              <w:left w:val="nil"/>
              <w:bottom w:val="single" w:sz="4" w:space="0" w:color="F79646"/>
              <w:right w:val="nil"/>
            </w:tcBorders>
            <w:shd w:val="clear" w:color="auto" w:fill="auto"/>
            <w:vAlign w:val="center"/>
            <w:hideMark/>
          </w:tcPr>
          <w:p w14:paraId="6974E3CF" w14:textId="12CD91CA" w:rsidR="00860314" w:rsidRPr="00E20D21" w:rsidRDefault="000E5F3E" w:rsidP="00F3231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w:t>
            </w:r>
            <w:r w:rsidR="00DD0373" w:rsidRPr="00E20D21">
              <w:rPr>
                <w:rFonts w:ascii="CAIXA Std Book" w:eastAsia="Times New Roman" w:hAnsi="CAIXA Std Book" w:cs="Arial"/>
                <w:b/>
                <w:bCs/>
                <w:color w:val="005CA9"/>
                <w:sz w:val="18"/>
                <w:szCs w:val="18"/>
              </w:rPr>
              <w:t>4</w:t>
            </w:r>
          </w:p>
        </w:tc>
        <w:tc>
          <w:tcPr>
            <w:tcW w:w="622" w:type="pct"/>
            <w:vMerge w:val="restart"/>
            <w:tcBorders>
              <w:top w:val="single" w:sz="4" w:space="0" w:color="F79646"/>
              <w:left w:val="nil"/>
              <w:bottom w:val="single" w:sz="4" w:space="0" w:color="F79646"/>
              <w:right w:val="nil"/>
            </w:tcBorders>
            <w:shd w:val="clear" w:color="auto" w:fill="auto"/>
            <w:noWrap/>
            <w:vAlign w:val="center"/>
            <w:hideMark/>
          </w:tcPr>
          <w:p w14:paraId="445463D3" w14:textId="5E77A503" w:rsidR="00860314" w:rsidRPr="00E20D21" w:rsidRDefault="00860314" w:rsidP="00F85F0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w:t>
            </w:r>
            <w:r w:rsidR="000E5F3E" w:rsidRPr="00E20D21">
              <w:rPr>
                <w:rFonts w:ascii="CAIXA Std Book" w:eastAsia="Times New Roman" w:hAnsi="CAIXA Std Book" w:cs="Arial"/>
                <w:b/>
                <w:bCs/>
                <w:color w:val="005CA9"/>
                <w:sz w:val="18"/>
                <w:szCs w:val="18"/>
              </w:rPr>
              <w:t>3</w:t>
            </w:r>
          </w:p>
        </w:tc>
      </w:tr>
      <w:tr w:rsidR="00A47C19" w:rsidRPr="00E20D21" w14:paraId="535FFF30" w14:textId="77777777" w:rsidTr="006B671C">
        <w:trPr>
          <w:trHeight w:val="283"/>
        </w:trPr>
        <w:tc>
          <w:tcPr>
            <w:tcW w:w="1605" w:type="pct"/>
            <w:vMerge/>
            <w:tcBorders>
              <w:top w:val="single" w:sz="4" w:space="0" w:color="F79646"/>
              <w:left w:val="nil"/>
              <w:bottom w:val="single" w:sz="4" w:space="0" w:color="F79646"/>
              <w:right w:val="nil"/>
            </w:tcBorders>
            <w:vAlign w:val="center"/>
            <w:hideMark/>
          </w:tcPr>
          <w:p w14:paraId="65A3989B" w14:textId="77777777" w:rsidR="00860314" w:rsidRPr="00E20D21" w:rsidRDefault="00860314" w:rsidP="00DC62DB">
            <w:pPr>
              <w:jc w:val="center"/>
              <w:rPr>
                <w:rFonts w:ascii="CAIXA Std Book" w:eastAsia="Times New Roman" w:hAnsi="CAIXA Std Book" w:cs="Arial"/>
                <w:b/>
                <w:bCs/>
                <w:color w:val="005CA9"/>
                <w:sz w:val="18"/>
                <w:szCs w:val="18"/>
              </w:rPr>
            </w:pPr>
          </w:p>
        </w:tc>
        <w:tc>
          <w:tcPr>
            <w:tcW w:w="535" w:type="pct"/>
            <w:vMerge/>
            <w:tcBorders>
              <w:top w:val="single" w:sz="4" w:space="0" w:color="F79646"/>
              <w:left w:val="nil"/>
              <w:bottom w:val="single" w:sz="4" w:space="0" w:color="F79646"/>
              <w:right w:val="nil"/>
            </w:tcBorders>
            <w:vAlign w:val="center"/>
            <w:hideMark/>
          </w:tcPr>
          <w:p w14:paraId="50225F2E" w14:textId="77777777" w:rsidR="00860314" w:rsidRPr="00E20D21" w:rsidRDefault="00860314" w:rsidP="00DC62DB">
            <w:pPr>
              <w:jc w:val="center"/>
              <w:rPr>
                <w:rFonts w:ascii="CAIXA Std Book" w:eastAsia="Times New Roman" w:hAnsi="CAIXA Std Book" w:cs="Arial"/>
                <w:b/>
                <w:bCs/>
                <w:color w:val="005CA9"/>
                <w:sz w:val="18"/>
                <w:szCs w:val="18"/>
              </w:rPr>
            </w:pPr>
          </w:p>
        </w:tc>
        <w:tc>
          <w:tcPr>
            <w:tcW w:w="633" w:type="pct"/>
            <w:tcBorders>
              <w:top w:val="single" w:sz="4" w:space="0" w:color="F79646"/>
              <w:left w:val="nil"/>
              <w:bottom w:val="single" w:sz="4" w:space="0" w:color="F79646"/>
              <w:right w:val="nil"/>
            </w:tcBorders>
            <w:shd w:val="clear" w:color="auto" w:fill="auto"/>
            <w:vAlign w:val="center"/>
            <w:hideMark/>
          </w:tcPr>
          <w:p w14:paraId="51AA3EA1" w14:textId="77777777" w:rsidR="00860314" w:rsidRPr="00E20D21" w:rsidRDefault="00860314" w:rsidP="00F85F0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Compromisso de Recompra</w:t>
            </w:r>
          </w:p>
        </w:tc>
        <w:tc>
          <w:tcPr>
            <w:tcW w:w="535" w:type="pct"/>
            <w:tcBorders>
              <w:top w:val="single" w:sz="4" w:space="0" w:color="F79646"/>
              <w:left w:val="nil"/>
              <w:bottom w:val="single" w:sz="4" w:space="0" w:color="F79646"/>
              <w:right w:val="nil"/>
            </w:tcBorders>
            <w:shd w:val="clear" w:color="auto" w:fill="auto"/>
            <w:vAlign w:val="center"/>
            <w:hideMark/>
          </w:tcPr>
          <w:p w14:paraId="0B3174F1" w14:textId="77777777" w:rsidR="00860314" w:rsidRPr="00E20D21" w:rsidRDefault="00860314" w:rsidP="00F85F0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Prestação de Garantias</w:t>
            </w:r>
          </w:p>
        </w:tc>
        <w:tc>
          <w:tcPr>
            <w:tcW w:w="486" w:type="pct"/>
            <w:tcBorders>
              <w:top w:val="single" w:sz="4" w:space="0" w:color="F79646"/>
              <w:left w:val="nil"/>
              <w:bottom w:val="single" w:sz="4" w:space="0" w:color="F79646"/>
              <w:right w:val="nil"/>
            </w:tcBorders>
            <w:shd w:val="clear" w:color="auto" w:fill="auto"/>
            <w:vAlign w:val="center"/>
            <w:hideMark/>
          </w:tcPr>
          <w:p w14:paraId="035FFBD9" w14:textId="77777777" w:rsidR="00860314" w:rsidRPr="00E20D21" w:rsidRDefault="00860314" w:rsidP="00F85F0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Banco Central</w:t>
            </w:r>
          </w:p>
        </w:tc>
        <w:tc>
          <w:tcPr>
            <w:tcW w:w="584" w:type="pct"/>
            <w:vMerge/>
            <w:tcBorders>
              <w:top w:val="nil"/>
              <w:left w:val="nil"/>
              <w:bottom w:val="single" w:sz="4" w:space="0" w:color="F79646"/>
              <w:right w:val="nil"/>
            </w:tcBorders>
            <w:vAlign w:val="center"/>
            <w:hideMark/>
          </w:tcPr>
          <w:p w14:paraId="144D7373" w14:textId="77777777" w:rsidR="00860314" w:rsidRPr="00E20D21" w:rsidRDefault="00860314" w:rsidP="00DC62DB">
            <w:pPr>
              <w:jc w:val="right"/>
              <w:rPr>
                <w:rFonts w:ascii="CAIXA Std Book" w:eastAsia="Times New Roman" w:hAnsi="CAIXA Std Book" w:cs="Arial"/>
                <w:b/>
                <w:bCs/>
                <w:color w:val="005CA9"/>
                <w:sz w:val="18"/>
                <w:szCs w:val="18"/>
              </w:rPr>
            </w:pPr>
          </w:p>
        </w:tc>
        <w:tc>
          <w:tcPr>
            <w:tcW w:w="622" w:type="pct"/>
            <w:vMerge/>
            <w:tcBorders>
              <w:top w:val="nil"/>
              <w:left w:val="nil"/>
              <w:bottom w:val="single" w:sz="4" w:space="0" w:color="F79646"/>
              <w:right w:val="nil"/>
            </w:tcBorders>
            <w:vAlign w:val="center"/>
            <w:hideMark/>
          </w:tcPr>
          <w:p w14:paraId="7A52BE6B" w14:textId="77777777" w:rsidR="00860314" w:rsidRPr="00E20D21" w:rsidRDefault="00860314" w:rsidP="00DC62DB">
            <w:pPr>
              <w:jc w:val="right"/>
              <w:rPr>
                <w:rFonts w:ascii="CAIXA Std Book" w:eastAsia="Times New Roman" w:hAnsi="CAIXA Std Book" w:cs="Arial"/>
                <w:b/>
                <w:bCs/>
                <w:color w:val="005CA9"/>
                <w:sz w:val="18"/>
                <w:szCs w:val="18"/>
              </w:rPr>
            </w:pPr>
          </w:p>
        </w:tc>
      </w:tr>
      <w:tr w:rsidR="00A47C19" w:rsidRPr="00E20D21" w14:paraId="44CAA8AF" w14:textId="77777777" w:rsidTr="006B671C">
        <w:trPr>
          <w:trHeight w:val="283"/>
        </w:trPr>
        <w:tc>
          <w:tcPr>
            <w:tcW w:w="1605" w:type="pct"/>
            <w:tcBorders>
              <w:top w:val="single" w:sz="4" w:space="0" w:color="F79646"/>
              <w:left w:val="nil"/>
              <w:bottom w:val="nil"/>
              <w:right w:val="nil"/>
            </w:tcBorders>
            <w:shd w:val="clear" w:color="auto" w:fill="auto"/>
            <w:noWrap/>
            <w:vAlign w:val="center"/>
            <w:hideMark/>
          </w:tcPr>
          <w:p w14:paraId="24CDB911" w14:textId="77777777" w:rsidR="000E5F3E" w:rsidRPr="00E20D21" w:rsidRDefault="000E5F3E" w:rsidP="000E5F3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Títulos públicos</w:t>
            </w:r>
          </w:p>
        </w:tc>
        <w:tc>
          <w:tcPr>
            <w:tcW w:w="535" w:type="pct"/>
            <w:tcBorders>
              <w:top w:val="single" w:sz="4" w:space="0" w:color="F79646"/>
              <w:left w:val="nil"/>
              <w:bottom w:val="nil"/>
              <w:right w:val="nil"/>
            </w:tcBorders>
            <w:shd w:val="clear" w:color="auto" w:fill="auto"/>
            <w:vAlign w:val="center"/>
          </w:tcPr>
          <w:p w14:paraId="034198D9" w14:textId="344D61F2"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124.353.130</w:t>
            </w:r>
          </w:p>
        </w:tc>
        <w:tc>
          <w:tcPr>
            <w:tcW w:w="633" w:type="pct"/>
            <w:tcBorders>
              <w:top w:val="single" w:sz="4" w:space="0" w:color="F79646"/>
              <w:left w:val="nil"/>
              <w:bottom w:val="nil"/>
              <w:right w:val="nil"/>
            </w:tcBorders>
            <w:shd w:val="clear" w:color="auto" w:fill="auto"/>
            <w:vAlign w:val="center"/>
          </w:tcPr>
          <w:p w14:paraId="06915DE1" w14:textId="598321DB"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129.466.418</w:t>
            </w:r>
          </w:p>
        </w:tc>
        <w:tc>
          <w:tcPr>
            <w:tcW w:w="535" w:type="pct"/>
            <w:tcBorders>
              <w:top w:val="single" w:sz="4" w:space="0" w:color="F79646"/>
              <w:left w:val="nil"/>
              <w:bottom w:val="nil"/>
              <w:right w:val="nil"/>
            </w:tcBorders>
            <w:shd w:val="clear" w:color="auto" w:fill="auto"/>
            <w:vAlign w:val="center"/>
          </w:tcPr>
          <w:p w14:paraId="11CB3831" w14:textId="7BF379DB"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15.321.747</w:t>
            </w:r>
          </w:p>
        </w:tc>
        <w:tc>
          <w:tcPr>
            <w:tcW w:w="486" w:type="pct"/>
            <w:tcBorders>
              <w:top w:val="single" w:sz="4" w:space="0" w:color="F79646"/>
              <w:left w:val="nil"/>
              <w:bottom w:val="nil"/>
              <w:right w:val="nil"/>
            </w:tcBorders>
            <w:shd w:val="clear" w:color="auto" w:fill="auto"/>
            <w:vAlign w:val="center"/>
          </w:tcPr>
          <w:p w14:paraId="3C3763CB" w14:textId="219335BE"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7.011.647</w:t>
            </w:r>
          </w:p>
        </w:tc>
        <w:tc>
          <w:tcPr>
            <w:tcW w:w="584" w:type="pct"/>
            <w:tcBorders>
              <w:top w:val="single" w:sz="4" w:space="0" w:color="F79646"/>
              <w:left w:val="nil"/>
              <w:bottom w:val="nil"/>
              <w:right w:val="nil"/>
            </w:tcBorders>
            <w:shd w:val="clear" w:color="auto" w:fill="auto"/>
            <w:noWrap/>
            <w:vAlign w:val="center"/>
          </w:tcPr>
          <w:p w14:paraId="33FC2F96" w14:textId="2FF5C3C3"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276.152.942</w:t>
            </w:r>
          </w:p>
        </w:tc>
        <w:tc>
          <w:tcPr>
            <w:tcW w:w="622" w:type="pct"/>
            <w:tcBorders>
              <w:top w:val="single" w:sz="4" w:space="0" w:color="F79646"/>
              <w:left w:val="nil"/>
              <w:bottom w:val="nil"/>
              <w:right w:val="nil"/>
            </w:tcBorders>
            <w:shd w:val="clear" w:color="auto" w:fill="auto"/>
            <w:noWrap/>
            <w:vAlign w:val="center"/>
            <w:hideMark/>
          </w:tcPr>
          <w:p w14:paraId="6CBA5E90" w14:textId="2278D9A2" w:rsidR="000E5F3E" w:rsidRPr="00E20D21" w:rsidRDefault="000E5F3E" w:rsidP="000E5F3E">
            <w:pPr>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263.097.026</w:t>
            </w:r>
          </w:p>
        </w:tc>
      </w:tr>
      <w:tr w:rsidR="00A47C19" w:rsidRPr="00E20D21" w14:paraId="377F7A7B" w14:textId="77777777" w:rsidTr="006B671C">
        <w:trPr>
          <w:trHeight w:val="283"/>
        </w:trPr>
        <w:tc>
          <w:tcPr>
            <w:tcW w:w="1605" w:type="pct"/>
            <w:tcBorders>
              <w:top w:val="nil"/>
              <w:left w:val="nil"/>
              <w:bottom w:val="nil"/>
              <w:right w:val="nil"/>
            </w:tcBorders>
            <w:shd w:val="clear" w:color="auto" w:fill="auto"/>
            <w:noWrap/>
            <w:vAlign w:val="center"/>
            <w:hideMark/>
          </w:tcPr>
          <w:p w14:paraId="2DB60A7B" w14:textId="77777777" w:rsidR="000E5F3E" w:rsidRPr="00E20D21" w:rsidRDefault="000E5F3E"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financeiras do tesouro</w:t>
            </w:r>
          </w:p>
        </w:tc>
        <w:tc>
          <w:tcPr>
            <w:tcW w:w="535" w:type="pct"/>
            <w:tcBorders>
              <w:top w:val="nil"/>
              <w:left w:val="nil"/>
              <w:bottom w:val="nil"/>
              <w:right w:val="nil"/>
            </w:tcBorders>
            <w:shd w:val="clear" w:color="auto" w:fill="auto"/>
            <w:vAlign w:val="center"/>
          </w:tcPr>
          <w:p w14:paraId="3BBCE068" w14:textId="55FF4998"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112.528.269</w:t>
            </w:r>
          </w:p>
        </w:tc>
        <w:tc>
          <w:tcPr>
            <w:tcW w:w="633" w:type="pct"/>
            <w:tcBorders>
              <w:top w:val="nil"/>
              <w:left w:val="nil"/>
              <w:bottom w:val="nil"/>
              <w:right w:val="nil"/>
            </w:tcBorders>
            <w:shd w:val="clear" w:color="auto" w:fill="auto"/>
            <w:vAlign w:val="center"/>
          </w:tcPr>
          <w:p w14:paraId="57F9D9CF" w14:textId="3DB7278F"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75.765.575</w:t>
            </w:r>
          </w:p>
        </w:tc>
        <w:tc>
          <w:tcPr>
            <w:tcW w:w="535" w:type="pct"/>
            <w:tcBorders>
              <w:top w:val="nil"/>
              <w:left w:val="nil"/>
              <w:bottom w:val="nil"/>
              <w:right w:val="nil"/>
            </w:tcBorders>
            <w:shd w:val="clear" w:color="auto" w:fill="auto"/>
            <w:vAlign w:val="center"/>
          </w:tcPr>
          <w:p w14:paraId="2725C6D9" w14:textId="36755C89"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15.321.747</w:t>
            </w:r>
          </w:p>
        </w:tc>
        <w:tc>
          <w:tcPr>
            <w:tcW w:w="486" w:type="pct"/>
            <w:tcBorders>
              <w:top w:val="nil"/>
              <w:left w:val="nil"/>
              <w:bottom w:val="nil"/>
              <w:right w:val="nil"/>
            </w:tcBorders>
            <w:shd w:val="clear" w:color="auto" w:fill="auto"/>
            <w:vAlign w:val="center"/>
          </w:tcPr>
          <w:p w14:paraId="6F4A34D7" w14:textId="4F6BC777"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7.011.647</w:t>
            </w:r>
          </w:p>
        </w:tc>
        <w:tc>
          <w:tcPr>
            <w:tcW w:w="584" w:type="pct"/>
            <w:tcBorders>
              <w:top w:val="nil"/>
              <w:left w:val="nil"/>
              <w:bottom w:val="nil"/>
              <w:right w:val="nil"/>
            </w:tcBorders>
            <w:shd w:val="clear" w:color="auto" w:fill="auto"/>
            <w:noWrap/>
            <w:vAlign w:val="center"/>
          </w:tcPr>
          <w:p w14:paraId="0CDA1D49" w14:textId="4BDDC2D8"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210.627.238</w:t>
            </w:r>
          </w:p>
        </w:tc>
        <w:tc>
          <w:tcPr>
            <w:tcW w:w="622" w:type="pct"/>
            <w:tcBorders>
              <w:top w:val="nil"/>
              <w:left w:val="nil"/>
              <w:bottom w:val="nil"/>
              <w:right w:val="nil"/>
            </w:tcBorders>
            <w:shd w:val="clear" w:color="auto" w:fill="auto"/>
            <w:vAlign w:val="center"/>
            <w:hideMark/>
          </w:tcPr>
          <w:p w14:paraId="26A232B1" w14:textId="278FFA99" w:rsidR="000E5F3E" w:rsidRPr="00E20D21" w:rsidRDefault="000E5F3E" w:rsidP="000E5F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163.423.736</w:t>
            </w:r>
          </w:p>
        </w:tc>
      </w:tr>
      <w:tr w:rsidR="00A47C19" w:rsidRPr="00E20D21" w14:paraId="707B6951" w14:textId="77777777" w:rsidTr="006B671C">
        <w:trPr>
          <w:trHeight w:val="283"/>
        </w:trPr>
        <w:tc>
          <w:tcPr>
            <w:tcW w:w="1605" w:type="pct"/>
            <w:tcBorders>
              <w:top w:val="nil"/>
              <w:left w:val="nil"/>
              <w:bottom w:val="nil"/>
              <w:right w:val="nil"/>
            </w:tcBorders>
            <w:shd w:val="clear" w:color="auto" w:fill="auto"/>
            <w:noWrap/>
            <w:vAlign w:val="center"/>
            <w:hideMark/>
          </w:tcPr>
          <w:p w14:paraId="308A93C8" w14:textId="77777777" w:rsidR="000E5F3E" w:rsidRPr="00E20D21" w:rsidRDefault="000E5F3E"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do tesouro nacional</w:t>
            </w:r>
          </w:p>
        </w:tc>
        <w:tc>
          <w:tcPr>
            <w:tcW w:w="535" w:type="pct"/>
            <w:tcBorders>
              <w:top w:val="nil"/>
              <w:left w:val="nil"/>
              <w:bottom w:val="nil"/>
              <w:right w:val="nil"/>
            </w:tcBorders>
            <w:shd w:val="clear" w:color="auto" w:fill="auto"/>
            <w:vAlign w:val="center"/>
          </w:tcPr>
          <w:p w14:paraId="4F5423FE" w14:textId="691B3D52"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5.712.657</w:t>
            </w:r>
          </w:p>
        </w:tc>
        <w:tc>
          <w:tcPr>
            <w:tcW w:w="633" w:type="pct"/>
            <w:tcBorders>
              <w:top w:val="nil"/>
              <w:left w:val="nil"/>
              <w:bottom w:val="nil"/>
              <w:right w:val="nil"/>
            </w:tcBorders>
            <w:shd w:val="clear" w:color="auto" w:fill="auto"/>
            <w:vAlign w:val="center"/>
          </w:tcPr>
          <w:p w14:paraId="69F593EC" w14:textId="550C6F18"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53.700.843</w:t>
            </w:r>
          </w:p>
        </w:tc>
        <w:tc>
          <w:tcPr>
            <w:tcW w:w="535" w:type="pct"/>
            <w:tcBorders>
              <w:top w:val="nil"/>
              <w:left w:val="nil"/>
              <w:bottom w:val="nil"/>
              <w:right w:val="nil"/>
            </w:tcBorders>
            <w:shd w:val="clear" w:color="auto" w:fill="auto"/>
            <w:vAlign w:val="center"/>
          </w:tcPr>
          <w:p w14:paraId="0D38BDF9" w14:textId="590ED2AB"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54DCA8E3" w14:textId="28B4D9FE"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nil"/>
              <w:right w:val="nil"/>
            </w:tcBorders>
            <w:shd w:val="clear" w:color="auto" w:fill="auto"/>
            <w:noWrap/>
            <w:vAlign w:val="center"/>
          </w:tcPr>
          <w:p w14:paraId="3047E57B" w14:textId="36925BDE"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59.413.500</w:t>
            </w:r>
          </w:p>
        </w:tc>
        <w:tc>
          <w:tcPr>
            <w:tcW w:w="622" w:type="pct"/>
            <w:tcBorders>
              <w:top w:val="nil"/>
              <w:left w:val="nil"/>
              <w:bottom w:val="nil"/>
              <w:right w:val="nil"/>
            </w:tcBorders>
            <w:shd w:val="clear" w:color="auto" w:fill="auto"/>
            <w:vAlign w:val="center"/>
            <w:hideMark/>
          </w:tcPr>
          <w:p w14:paraId="513B716E" w14:textId="27CADB57" w:rsidR="000E5F3E" w:rsidRPr="00E20D21" w:rsidRDefault="000E5F3E" w:rsidP="000E5F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94.510.784</w:t>
            </w:r>
          </w:p>
        </w:tc>
      </w:tr>
      <w:tr w:rsidR="00A47C19" w:rsidRPr="00E20D21" w14:paraId="35EF97DD" w14:textId="77777777" w:rsidTr="006B671C">
        <w:trPr>
          <w:trHeight w:val="283"/>
        </w:trPr>
        <w:tc>
          <w:tcPr>
            <w:tcW w:w="1605" w:type="pct"/>
            <w:tcBorders>
              <w:top w:val="nil"/>
              <w:left w:val="nil"/>
              <w:bottom w:val="nil"/>
              <w:right w:val="nil"/>
            </w:tcBorders>
            <w:shd w:val="clear" w:color="auto" w:fill="auto"/>
            <w:noWrap/>
            <w:vAlign w:val="center"/>
            <w:hideMark/>
          </w:tcPr>
          <w:p w14:paraId="498438E5" w14:textId="77777777" w:rsidR="000E5F3E" w:rsidRPr="00E20D21" w:rsidRDefault="000E5F3E"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Notas do tesouro nacional</w:t>
            </w:r>
          </w:p>
        </w:tc>
        <w:tc>
          <w:tcPr>
            <w:tcW w:w="535" w:type="pct"/>
            <w:tcBorders>
              <w:top w:val="nil"/>
              <w:left w:val="nil"/>
              <w:bottom w:val="nil"/>
              <w:right w:val="nil"/>
            </w:tcBorders>
            <w:shd w:val="clear" w:color="auto" w:fill="auto"/>
            <w:vAlign w:val="center"/>
          </w:tcPr>
          <w:p w14:paraId="70877564" w14:textId="67D6A2E0"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5.827.129</w:t>
            </w:r>
          </w:p>
        </w:tc>
        <w:tc>
          <w:tcPr>
            <w:tcW w:w="633" w:type="pct"/>
            <w:tcBorders>
              <w:top w:val="nil"/>
              <w:left w:val="nil"/>
              <w:bottom w:val="nil"/>
              <w:right w:val="nil"/>
            </w:tcBorders>
            <w:shd w:val="clear" w:color="auto" w:fill="auto"/>
            <w:vAlign w:val="center"/>
          </w:tcPr>
          <w:p w14:paraId="17AF731E" w14:textId="30335B05"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35" w:type="pct"/>
            <w:tcBorders>
              <w:top w:val="nil"/>
              <w:left w:val="nil"/>
              <w:bottom w:val="nil"/>
              <w:right w:val="nil"/>
            </w:tcBorders>
            <w:shd w:val="clear" w:color="auto" w:fill="auto"/>
            <w:vAlign w:val="center"/>
          </w:tcPr>
          <w:p w14:paraId="40E00E0E" w14:textId="3D379B05"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6E8805DA" w14:textId="1942DE3E"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nil"/>
              <w:right w:val="nil"/>
            </w:tcBorders>
            <w:shd w:val="clear" w:color="auto" w:fill="auto"/>
            <w:noWrap/>
            <w:vAlign w:val="center"/>
          </w:tcPr>
          <w:p w14:paraId="73556312" w14:textId="1F139E95"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5.827.129</w:t>
            </w:r>
          </w:p>
        </w:tc>
        <w:tc>
          <w:tcPr>
            <w:tcW w:w="622" w:type="pct"/>
            <w:tcBorders>
              <w:top w:val="nil"/>
              <w:left w:val="nil"/>
              <w:bottom w:val="nil"/>
              <w:right w:val="nil"/>
            </w:tcBorders>
            <w:shd w:val="clear" w:color="auto" w:fill="auto"/>
            <w:vAlign w:val="center"/>
            <w:hideMark/>
          </w:tcPr>
          <w:p w14:paraId="2DC69284" w14:textId="2F4C7232" w:rsidR="000E5F3E" w:rsidRPr="00E20D21" w:rsidRDefault="000E5F3E" w:rsidP="000E5F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4.973.357</w:t>
            </w:r>
          </w:p>
        </w:tc>
      </w:tr>
      <w:tr w:rsidR="00A47C19" w:rsidRPr="00E20D21" w14:paraId="10C550DF" w14:textId="77777777" w:rsidTr="006B671C">
        <w:trPr>
          <w:trHeight w:val="283"/>
        </w:trPr>
        <w:tc>
          <w:tcPr>
            <w:tcW w:w="1605" w:type="pct"/>
            <w:tcBorders>
              <w:top w:val="nil"/>
              <w:left w:val="nil"/>
              <w:bottom w:val="nil"/>
              <w:right w:val="nil"/>
            </w:tcBorders>
            <w:shd w:val="clear" w:color="auto" w:fill="auto"/>
            <w:noWrap/>
            <w:vAlign w:val="center"/>
            <w:hideMark/>
          </w:tcPr>
          <w:p w14:paraId="43A1BED2" w14:textId="77777777" w:rsidR="000E5F3E" w:rsidRPr="00E20D21" w:rsidRDefault="000E5F3E"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Tesouro nacional/securitização</w:t>
            </w:r>
          </w:p>
        </w:tc>
        <w:tc>
          <w:tcPr>
            <w:tcW w:w="535" w:type="pct"/>
            <w:tcBorders>
              <w:top w:val="nil"/>
              <w:left w:val="nil"/>
              <w:bottom w:val="nil"/>
              <w:right w:val="nil"/>
            </w:tcBorders>
            <w:shd w:val="clear" w:color="auto" w:fill="auto"/>
            <w:vAlign w:val="center"/>
          </w:tcPr>
          <w:p w14:paraId="2F224758" w14:textId="0E3DC1FB"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285.075</w:t>
            </w:r>
          </w:p>
        </w:tc>
        <w:tc>
          <w:tcPr>
            <w:tcW w:w="633" w:type="pct"/>
            <w:tcBorders>
              <w:top w:val="nil"/>
              <w:left w:val="nil"/>
              <w:bottom w:val="nil"/>
              <w:right w:val="nil"/>
            </w:tcBorders>
            <w:shd w:val="clear" w:color="auto" w:fill="auto"/>
            <w:vAlign w:val="center"/>
          </w:tcPr>
          <w:p w14:paraId="5117D8A1" w14:textId="17B7B36B"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35" w:type="pct"/>
            <w:tcBorders>
              <w:top w:val="nil"/>
              <w:left w:val="nil"/>
              <w:bottom w:val="nil"/>
              <w:right w:val="nil"/>
            </w:tcBorders>
            <w:shd w:val="clear" w:color="auto" w:fill="auto"/>
            <w:vAlign w:val="center"/>
          </w:tcPr>
          <w:p w14:paraId="1ADE7447" w14:textId="7D6AD10E"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631F8ED3" w14:textId="719D54D1"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nil"/>
              <w:right w:val="nil"/>
            </w:tcBorders>
            <w:shd w:val="clear" w:color="auto" w:fill="auto"/>
            <w:noWrap/>
            <w:vAlign w:val="center"/>
          </w:tcPr>
          <w:p w14:paraId="4CB715FC" w14:textId="724FF2CD"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285.075</w:t>
            </w:r>
          </w:p>
        </w:tc>
        <w:tc>
          <w:tcPr>
            <w:tcW w:w="622" w:type="pct"/>
            <w:tcBorders>
              <w:top w:val="nil"/>
              <w:left w:val="nil"/>
              <w:bottom w:val="nil"/>
              <w:right w:val="nil"/>
            </w:tcBorders>
            <w:shd w:val="clear" w:color="auto" w:fill="auto"/>
            <w:vAlign w:val="center"/>
            <w:hideMark/>
          </w:tcPr>
          <w:p w14:paraId="26D33C84" w14:textId="14BF53EC" w:rsidR="000E5F3E" w:rsidRPr="00E20D21" w:rsidRDefault="000E5F3E" w:rsidP="000E5F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189.149</w:t>
            </w:r>
          </w:p>
        </w:tc>
      </w:tr>
      <w:tr w:rsidR="00A47C19" w:rsidRPr="00E20D21" w14:paraId="62577E84" w14:textId="77777777" w:rsidTr="006B671C">
        <w:trPr>
          <w:trHeight w:val="283"/>
        </w:trPr>
        <w:tc>
          <w:tcPr>
            <w:tcW w:w="1605" w:type="pct"/>
            <w:tcBorders>
              <w:top w:val="nil"/>
              <w:left w:val="nil"/>
              <w:bottom w:val="nil"/>
              <w:right w:val="nil"/>
            </w:tcBorders>
            <w:shd w:val="clear" w:color="auto" w:fill="auto"/>
            <w:noWrap/>
            <w:vAlign w:val="center"/>
            <w:hideMark/>
          </w:tcPr>
          <w:p w14:paraId="7CBC4856" w14:textId="77777777" w:rsidR="000E5F3E" w:rsidRPr="00E20D21" w:rsidRDefault="000E5F3E" w:rsidP="000E5F3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Títulos – empresas</w:t>
            </w:r>
          </w:p>
        </w:tc>
        <w:tc>
          <w:tcPr>
            <w:tcW w:w="535" w:type="pct"/>
            <w:tcBorders>
              <w:top w:val="nil"/>
              <w:left w:val="nil"/>
              <w:bottom w:val="nil"/>
              <w:right w:val="nil"/>
            </w:tcBorders>
            <w:shd w:val="clear" w:color="auto" w:fill="auto"/>
            <w:vAlign w:val="center"/>
          </w:tcPr>
          <w:p w14:paraId="5E2FF677" w14:textId="5DD2648A"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9.168.177</w:t>
            </w:r>
          </w:p>
        </w:tc>
        <w:tc>
          <w:tcPr>
            <w:tcW w:w="633" w:type="pct"/>
            <w:tcBorders>
              <w:top w:val="nil"/>
              <w:left w:val="nil"/>
              <w:bottom w:val="nil"/>
              <w:right w:val="nil"/>
            </w:tcBorders>
            <w:shd w:val="clear" w:color="auto" w:fill="auto"/>
            <w:vAlign w:val="center"/>
          </w:tcPr>
          <w:p w14:paraId="710F0A5F" w14:textId="47CE0660"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7.906.597</w:t>
            </w:r>
          </w:p>
        </w:tc>
        <w:tc>
          <w:tcPr>
            <w:tcW w:w="535" w:type="pct"/>
            <w:tcBorders>
              <w:top w:val="nil"/>
              <w:left w:val="nil"/>
              <w:bottom w:val="nil"/>
              <w:right w:val="nil"/>
            </w:tcBorders>
            <w:shd w:val="clear" w:color="auto" w:fill="auto"/>
            <w:vAlign w:val="center"/>
          </w:tcPr>
          <w:p w14:paraId="690DC1DD" w14:textId="1E726C9E" w:rsidR="000E5F3E" w:rsidRPr="00E20D21" w:rsidRDefault="00B40E40" w:rsidP="000E5F3E">
            <w:pPr>
              <w:jc w:val="center"/>
              <w:rPr>
                <w:rFonts w:ascii="CAIXA Std Book" w:hAnsi="CAIXA Std Book" w:cs="Arial"/>
                <w:b/>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4FD33618" w14:textId="0CB636E1" w:rsidR="000E5F3E" w:rsidRPr="00E20D21" w:rsidRDefault="00B40E40" w:rsidP="000E5F3E">
            <w:pPr>
              <w:jc w:val="center"/>
              <w:rPr>
                <w:rFonts w:ascii="CAIXA Std Book" w:hAnsi="CAIXA Std Book" w:cs="Arial"/>
                <w:b/>
                <w:color w:val="005CA9"/>
                <w:sz w:val="18"/>
                <w:szCs w:val="18"/>
              </w:rPr>
            </w:pPr>
            <w:r w:rsidRPr="00E20D21">
              <w:rPr>
                <w:rFonts w:ascii="CAIXA Std Book" w:hAnsi="CAIXA Std Book" w:cs="Arial"/>
                <w:b/>
                <w:color w:val="005CA9"/>
                <w:sz w:val="18"/>
                <w:szCs w:val="18"/>
              </w:rPr>
              <w:t>-</w:t>
            </w:r>
          </w:p>
        </w:tc>
        <w:tc>
          <w:tcPr>
            <w:tcW w:w="584" w:type="pct"/>
            <w:tcBorders>
              <w:top w:val="nil"/>
              <w:left w:val="nil"/>
              <w:bottom w:val="nil"/>
              <w:right w:val="nil"/>
            </w:tcBorders>
            <w:shd w:val="clear" w:color="auto" w:fill="auto"/>
            <w:vAlign w:val="center"/>
          </w:tcPr>
          <w:p w14:paraId="74CF0564" w14:textId="75482179"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17.074.774</w:t>
            </w:r>
          </w:p>
        </w:tc>
        <w:tc>
          <w:tcPr>
            <w:tcW w:w="622" w:type="pct"/>
            <w:tcBorders>
              <w:top w:val="nil"/>
              <w:left w:val="nil"/>
              <w:bottom w:val="nil"/>
              <w:right w:val="nil"/>
            </w:tcBorders>
            <w:shd w:val="clear" w:color="auto" w:fill="auto"/>
            <w:vAlign w:val="center"/>
            <w:hideMark/>
          </w:tcPr>
          <w:p w14:paraId="450EC2E4" w14:textId="1653B87F" w:rsidR="000E5F3E" w:rsidRPr="00E20D21" w:rsidRDefault="000E5F3E" w:rsidP="000E5F3E">
            <w:pPr>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16.403.112</w:t>
            </w:r>
          </w:p>
        </w:tc>
      </w:tr>
      <w:tr w:rsidR="00A47C19" w:rsidRPr="00E20D21" w14:paraId="0FC033B9" w14:textId="77777777" w:rsidTr="006B671C">
        <w:trPr>
          <w:trHeight w:val="283"/>
        </w:trPr>
        <w:tc>
          <w:tcPr>
            <w:tcW w:w="1605" w:type="pct"/>
            <w:tcBorders>
              <w:top w:val="nil"/>
              <w:left w:val="nil"/>
              <w:bottom w:val="nil"/>
              <w:right w:val="nil"/>
            </w:tcBorders>
            <w:shd w:val="clear" w:color="auto" w:fill="auto"/>
            <w:noWrap/>
            <w:vAlign w:val="center"/>
            <w:hideMark/>
          </w:tcPr>
          <w:p w14:paraId="519D780D" w14:textId="77777777" w:rsidR="000E5F3E" w:rsidRPr="00E20D21" w:rsidRDefault="000E5F3E"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Debêntures</w:t>
            </w:r>
          </w:p>
        </w:tc>
        <w:tc>
          <w:tcPr>
            <w:tcW w:w="535" w:type="pct"/>
            <w:tcBorders>
              <w:top w:val="nil"/>
              <w:left w:val="nil"/>
              <w:bottom w:val="nil"/>
              <w:right w:val="nil"/>
            </w:tcBorders>
            <w:shd w:val="clear" w:color="auto" w:fill="auto"/>
            <w:vAlign w:val="center"/>
          </w:tcPr>
          <w:p w14:paraId="21136C5B" w14:textId="2AD0887F"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2.316.415</w:t>
            </w:r>
          </w:p>
        </w:tc>
        <w:tc>
          <w:tcPr>
            <w:tcW w:w="633" w:type="pct"/>
            <w:tcBorders>
              <w:top w:val="nil"/>
              <w:left w:val="nil"/>
              <w:bottom w:val="nil"/>
              <w:right w:val="nil"/>
            </w:tcBorders>
            <w:shd w:val="clear" w:color="auto" w:fill="auto"/>
            <w:vAlign w:val="center"/>
          </w:tcPr>
          <w:p w14:paraId="0130AC8A" w14:textId="1D1145C8"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4.921.022</w:t>
            </w:r>
          </w:p>
        </w:tc>
        <w:tc>
          <w:tcPr>
            <w:tcW w:w="535" w:type="pct"/>
            <w:tcBorders>
              <w:top w:val="nil"/>
              <w:left w:val="nil"/>
              <w:bottom w:val="nil"/>
              <w:right w:val="nil"/>
            </w:tcBorders>
            <w:shd w:val="clear" w:color="auto" w:fill="auto"/>
            <w:vAlign w:val="center"/>
          </w:tcPr>
          <w:p w14:paraId="4357D691" w14:textId="26BDBD8B"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1BCF4781" w14:textId="3AAED4BC"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nil"/>
              <w:right w:val="nil"/>
            </w:tcBorders>
            <w:shd w:val="clear" w:color="auto" w:fill="auto"/>
            <w:noWrap/>
            <w:vAlign w:val="center"/>
          </w:tcPr>
          <w:p w14:paraId="79F6E219" w14:textId="098158D1"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7.237.437</w:t>
            </w:r>
          </w:p>
        </w:tc>
        <w:tc>
          <w:tcPr>
            <w:tcW w:w="622" w:type="pct"/>
            <w:tcBorders>
              <w:top w:val="nil"/>
              <w:left w:val="nil"/>
              <w:bottom w:val="nil"/>
              <w:right w:val="nil"/>
            </w:tcBorders>
            <w:shd w:val="clear" w:color="auto" w:fill="auto"/>
            <w:vAlign w:val="center"/>
            <w:hideMark/>
          </w:tcPr>
          <w:p w14:paraId="0F4CC8CE" w14:textId="4DEED271" w:rsidR="000E5F3E" w:rsidRPr="00E20D21" w:rsidRDefault="000E5F3E" w:rsidP="000E5F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6.390.906</w:t>
            </w:r>
          </w:p>
        </w:tc>
      </w:tr>
      <w:tr w:rsidR="00A47C19" w:rsidRPr="00E20D21" w14:paraId="51D35D89" w14:textId="77777777" w:rsidTr="006B671C">
        <w:trPr>
          <w:trHeight w:val="283"/>
        </w:trPr>
        <w:tc>
          <w:tcPr>
            <w:tcW w:w="1605" w:type="pct"/>
            <w:tcBorders>
              <w:top w:val="nil"/>
              <w:left w:val="nil"/>
              <w:bottom w:val="nil"/>
              <w:right w:val="nil"/>
            </w:tcBorders>
            <w:shd w:val="clear" w:color="auto" w:fill="auto"/>
            <w:noWrap/>
            <w:vAlign w:val="center"/>
            <w:hideMark/>
          </w:tcPr>
          <w:p w14:paraId="5B8CEC1D" w14:textId="77777777" w:rsidR="000E5F3E" w:rsidRPr="00E20D21" w:rsidRDefault="000E5F3E"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Notas Promissórias</w:t>
            </w:r>
          </w:p>
        </w:tc>
        <w:tc>
          <w:tcPr>
            <w:tcW w:w="535" w:type="pct"/>
            <w:tcBorders>
              <w:top w:val="nil"/>
              <w:left w:val="nil"/>
              <w:bottom w:val="nil"/>
              <w:right w:val="nil"/>
            </w:tcBorders>
            <w:shd w:val="clear" w:color="auto" w:fill="auto"/>
            <w:vAlign w:val="center"/>
          </w:tcPr>
          <w:p w14:paraId="484AFF4F" w14:textId="61AB7220"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240.620</w:t>
            </w:r>
          </w:p>
        </w:tc>
        <w:tc>
          <w:tcPr>
            <w:tcW w:w="633" w:type="pct"/>
            <w:tcBorders>
              <w:top w:val="nil"/>
              <w:left w:val="nil"/>
              <w:bottom w:val="nil"/>
              <w:right w:val="nil"/>
            </w:tcBorders>
            <w:shd w:val="clear" w:color="auto" w:fill="auto"/>
            <w:vAlign w:val="center"/>
          </w:tcPr>
          <w:p w14:paraId="00314D53" w14:textId="456D4C10"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35" w:type="pct"/>
            <w:tcBorders>
              <w:top w:val="nil"/>
              <w:left w:val="nil"/>
              <w:bottom w:val="nil"/>
              <w:right w:val="nil"/>
            </w:tcBorders>
            <w:shd w:val="clear" w:color="auto" w:fill="auto"/>
            <w:vAlign w:val="center"/>
          </w:tcPr>
          <w:p w14:paraId="7E701189" w14:textId="581D56A9"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2C5DB14E" w14:textId="09462D24"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nil"/>
              <w:right w:val="nil"/>
            </w:tcBorders>
            <w:shd w:val="clear" w:color="auto" w:fill="auto"/>
            <w:noWrap/>
            <w:vAlign w:val="center"/>
          </w:tcPr>
          <w:p w14:paraId="2167BADB" w14:textId="1D13C47A"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240.620</w:t>
            </w:r>
          </w:p>
        </w:tc>
        <w:tc>
          <w:tcPr>
            <w:tcW w:w="622" w:type="pct"/>
            <w:tcBorders>
              <w:top w:val="nil"/>
              <w:left w:val="nil"/>
              <w:bottom w:val="nil"/>
              <w:right w:val="nil"/>
            </w:tcBorders>
            <w:shd w:val="clear" w:color="auto" w:fill="auto"/>
            <w:vAlign w:val="center"/>
            <w:hideMark/>
          </w:tcPr>
          <w:p w14:paraId="23781BE8" w14:textId="127C6CA3" w:rsidR="000E5F3E" w:rsidRPr="00E20D21" w:rsidRDefault="000E5F3E" w:rsidP="000E5F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225.261</w:t>
            </w:r>
          </w:p>
        </w:tc>
      </w:tr>
      <w:tr w:rsidR="00A47C19" w:rsidRPr="00E20D21" w14:paraId="2D60D6F9" w14:textId="77777777" w:rsidTr="006B671C">
        <w:trPr>
          <w:trHeight w:val="283"/>
        </w:trPr>
        <w:tc>
          <w:tcPr>
            <w:tcW w:w="1605" w:type="pct"/>
            <w:tcBorders>
              <w:top w:val="nil"/>
              <w:left w:val="nil"/>
              <w:bottom w:val="nil"/>
              <w:right w:val="nil"/>
            </w:tcBorders>
            <w:shd w:val="clear" w:color="auto" w:fill="auto"/>
            <w:noWrap/>
            <w:vAlign w:val="center"/>
            <w:hideMark/>
          </w:tcPr>
          <w:p w14:paraId="34B82AD6" w14:textId="7BC0E3F6" w:rsidR="000E5F3E" w:rsidRPr="00E20D21" w:rsidRDefault="000E5F3E"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Cotas de fundos (1)</w:t>
            </w:r>
          </w:p>
        </w:tc>
        <w:tc>
          <w:tcPr>
            <w:tcW w:w="535" w:type="pct"/>
            <w:tcBorders>
              <w:top w:val="nil"/>
              <w:left w:val="nil"/>
              <w:bottom w:val="nil"/>
              <w:right w:val="nil"/>
            </w:tcBorders>
            <w:shd w:val="clear" w:color="auto" w:fill="auto"/>
            <w:vAlign w:val="center"/>
          </w:tcPr>
          <w:p w14:paraId="185013F5" w14:textId="48F65903"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1.789.403</w:t>
            </w:r>
          </w:p>
        </w:tc>
        <w:tc>
          <w:tcPr>
            <w:tcW w:w="633" w:type="pct"/>
            <w:tcBorders>
              <w:top w:val="nil"/>
              <w:left w:val="nil"/>
              <w:bottom w:val="nil"/>
              <w:right w:val="nil"/>
            </w:tcBorders>
            <w:shd w:val="clear" w:color="auto" w:fill="auto"/>
            <w:vAlign w:val="center"/>
          </w:tcPr>
          <w:p w14:paraId="531A6B08" w14:textId="0D0BE10D"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35" w:type="pct"/>
            <w:tcBorders>
              <w:top w:val="nil"/>
              <w:left w:val="nil"/>
              <w:bottom w:val="nil"/>
              <w:right w:val="nil"/>
            </w:tcBorders>
            <w:shd w:val="clear" w:color="auto" w:fill="auto"/>
            <w:vAlign w:val="center"/>
          </w:tcPr>
          <w:p w14:paraId="3788E142" w14:textId="78927113"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1936622B" w14:textId="2DC19139"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nil"/>
              <w:right w:val="nil"/>
            </w:tcBorders>
            <w:shd w:val="clear" w:color="auto" w:fill="auto"/>
            <w:noWrap/>
            <w:vAlign w:val="center"/>
          </w:tcPr>
          <w:p w14:paraId="5660C025" w14:textId="3657BD40"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1.789.403</w:t>
            </w:r>
          </w:p>
        </w:tc>
        <w:tc>
          <w:tcPr>
            <w:tcW w:w="622" w:type="pct"/>
            <w:tcBorders>
              <w:top w:val="nil"/>
              <w:left w:val="nil"/>
              <w:bottom w:val="nil"/>
              <w:right w:val="nil"/>
            </w:tcBorders>
            <w:shd w:val="clear" w:color="auto" w:fill="auto"/>
            <w:vAlign w:val="center"/>
            <w:hideMark/>
          </w:tcPr>
          <w:p w14:paraId="58B831F1" w14:textId="70B6629B" w:rsidR="000E5F3E" w:rsidRPr="00E20D21" w:rsidRDefault="000E5F3E" w:rsidP="000E5F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1.502.285</w:t>
            </w:r>
          </w:p>
        </w:tc>
      </w:tr>
      <w:tr w:rsidR="00A47C19" w:rsidRPr="00E20D21" w14:paraId="62C38815" w14:textId="77777777" w:rsidTr="006B671C">
        <w:trPr>
          <w:trHeight w:val="283"/>
        </w:trPr>
        <w:tc>
          <w:tcPr>
            <w:tcW w:w="1605" w:type="pct"/>
            <w:tcBorders>
              <w:top w:val="nil"/>
              <w:left w:val="nil"/>
              <w:bottom w:val="nil"/>
              <w:right w:val="nil"/>
            </w:tcBorders>
            <w:shd w:val="clear" w:color="auto" w:fill="auto"/>
            <w:noWrap/>
            <w:vAlign w:val="center"/>
            <w:hideMark/>
          </w:tcPr>
          <w:p w14:paraId="7723E1ED" w14:textId="77777777" w:rsidR="000E5F3E" w:rsidRPr="00E20D21" w:rsidRDefault="000E5F3E"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Certificado de recebíveis imobiliários</w:t>
            </w:r>
          </w:p>
        </w:tc>
        <w:tc>
          <w:tcPr>
            <w:tcW w:w="535" w:type="pct"/>
            <w:tcBorders>
              <w:top w:val="nil"/>
              <w:left w:val="nil"/>
              <w:bottom w:val="nil"/>
              <w:right w:val="nil"/>
            </w:tcBorders>
            <w:shd w:val="clear" w:color="auto" w:fill="auto"/>
            <w:vAlign w:val="center"/>
          </w:tcPr>
          <w:p w14:paraId="369F2846" w14:textId="1EA52920"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494.510</w:t>
            </w:r>
          </w:p>
        </w:tc>
        <w:tc>
          <w:tcPr>
            <w:tcW w:w="633" w:type="pct"/>
            <w:tcBorders>
              <w:top w:val="nil"/>
              <w:left w:val="nil"/>
              <w:bottom w:val="nil"/>
              <w:right w:val="nil"/>
            </w:tcBorders>
            <w:shd w:val="clear" w:color="auto" w:fill="auto"/>
            <w:vAlign w:val="center"/>
          </w:tcPr>
          <w:p w14:paraId="12D8E3EB" w14:textId="4127782F"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2.985.575</w:t>
            </w:r>
          </w:p>
        </w:tc>
        <w:tc>
          <w:tcPr>
            <w:tcW w:w="535" w:type="pct"/>
            <w:tcBorders>
              <w:top w:val="nil"/>
              <w:left w:val="nil"/>
              <w:bottom w:val="nil"/>
              <w:right w:val="nil"/>
            </w:tcBorders>
            <w:shd w:val="clear" w:color="auto" w:fill="auto"/>
            <w:vAlign w:val="center"/>
          </w:tcPr>
          <w:p w14:paraId="25AC63B9" w14:textId="2508E462"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617A7045" w14:textId="223A6876"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nil"/>
              <w:right w:val="nil"/>
            </w:tcBorders>
            <w:shd w:val="clear" w:color="auto" w:fill="auto"/>
            <w:noWrap/>
            <w:vAlign w:val="center"/>
          </w:tcPr>
          <w:p w14:paraId="3131EC85" w14:textId="37BAE072"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3.480.085</w:t>
            </w:r>
          </w:p>
        </w:tc>
        <w:tc>
          <w:tcPr>
            <w:tcW w:w="622" w:type="pct"/>
            <w:tcBorders>
              <w:top w:val="nil"/>
              <w:left w:val="nil"/>
              <w:bottom w:val="nil"/>
              <w:right w:val="nil"/>
            </w:tcBorders>
            <w:shd w:val="clear" w:color="auto" w:fill="auto"/>
            <w:vAlign w:val="center"/>
            <w:hideMark/>
          </w:tcPr>
          <w:p w14:paraId="634B81E8" w14:textId="17452773" w:rsidR="000E5F3E" w:rsidRPr="00E20D21" w:rsidRDefault="000E5F3E" w:rsidP="000E5F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3.551.964</w:t>
            </w:r>
          </w:p>
        </w:tc>
      </w:tr>
      <w:tr w:rsidR="00540E4C" w:rsidRPr="00E20D21" w14:paraId="4CA05F81" w14:textId="77777777" w:rsidTr="006B671C">
        <w:trPr>
          <w:trHeight w:val="283"/>
        </w:trPr>
        <w:tc>
          <w:tcPr>
            <w:tcW w:w="1605" w:type="pct"/>
            <w:tcBorders>
              <w:top w:val="nil"/>
              <w:left w:val="nil"/>
              <w:bottom w:val="nil"/>
              <w:right w:val="nil"/>
            </w:tcBorders>
            <w:shd w:val="clear" w:color="auto" w:fill="auto"/>
            <w:noWrap/>
            <w:vAlign w:val="center"/>
          </w:tcPr>
          <w:p w14:paraId="4EC028DC" w14:textId="4F55E2AC" w:rsidR="00540E4C" w:rsidRPr="00E20D21" w:rsidRDefault="00540E4C" w:rsidP="00540E4C">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Ações</w:t>
            </w:r>
          </w:p>
        </w:tc>
        <w:tc>
          <w:tcPr>
            <w:tcW w:w="535" w:type="pct"/>
            <w:tcBorders>
              <w:top w:val="nil"/>
              <w:left w:val="nil"/>
              <w:bottom w:val="nil"/>
              <w:right w:val="nil"/>
            </w:tcBorders>
            <w:shd w:val="clear" w:color="auto" w:fill="auto"/>
            <w:vAlign w:val="center"/>
          </w:tcPr>
          <w:p w14:paraId="3CEC6AD8" w14:textId="0F787674" w:rsidR="00540E4C" w:rsidRPr="00E20D21" w:rsidRDefault="00B40E40" w:rsidP="00540E4C">
            <w:pPr>
              <w:jc w:val="right"/>
              <w:rPr>
                <w:rFonts w:ascii="CAIXA Std Book" w:hAnsi="CAIXA Std Book" w:cs="Arial"/>
                <w:color w:val="005CA9"/>
                <w:sz w:val="18"/>
                <w:szCs w:val="18"/>
              </w:rPr>
            </w:pPr>
            <w:r w:rsidRPr="00E20D21">
              <w:rPr>
                <w:rFonts w:ascii="CAIXA Std Book" w:hAnsi="CAIXA Std Book" w:cs="Arial"/>
                <w:bCs/>
                <w:color w:val="005CA9"/>
                <w:sz w:val="18"/>
                <w:szCs w:val="18"/>
              </w:rPr>
              <w:t>16.718</w:t>
            </w:r>
          </w:p>
        </w:tc>
        <w:tc>
          <w:tcPr>
            <w:tcW w:w="633" w:type="pct"/>
            <w:tcBorders>
              <w:top w:val="nil"/>
              <w:left w:val="nil"/>
              <w:bottom w:val="nil"/>
              <w:right w:val="nil"/>
            </w:tcBorders>
            <w:shd w:val="clear" w:color="auto" w:fill="auto"/>
            <w:vAlign w:val="center"/>
          </w:tcPr>
          <w:p w14:paraId="54CBC206" w14:textId="4B239B3B" w:rsidR="00540E4C" w:rsidRPr="00E20D21" w:rsidRDefault="00B40E40" w:rsidP="00B40E4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35" w:type="pct"/>
            <w:tcBorders>
              <w:top w:val="nil"/>
              <w:left w:val="nil"/>
              <w:bottom w:val="nil"/>
              <w:right w:val="nil"/>
            </w:tcBorders>
            <w:shd w:val="clear" w:color="auto" w:fill="auto"/>
            <w:vAlign w:val="center"/>
          </w:tcPr>
          <w:p w14:paraId="27DF4D0D" w14:textId="612E4E74" w:rsidR="00540E4C" w:rsidRPr="00E20D21" w:rsidRDefault="00B40E40" w:rsidP="00540E4C">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3C9BC2A4" w14:textId="1B64F4D1" w:rsidR="00540E4C" w:rsidRPr="00E20D21" w:rsidRDefault="00B40E40" w:rsidP="00540E4C">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nil"/>
              <w:right w:val="nil"/>
            </w:tcBorders>
            <w:shd w:val="clear" w:color="auto" w:fill="auto"/>
            <w:noWrap/>
            <w:vAlign w:val="center"/>
          </w:tcPr>
          <w:p w14:paraId="3E86DC07" w14:textId="40D1F38B" w:rsidR="00540E4C" w:rsidRPr="00E20D21" w:rsidRDefault="00B40E40" w:rsidP="00540E4C">
            <w:pPr>
              <w:jc w:val="right"/>
              <w:rPr>
                <w:rFonts w:ascii="CAIXA Std Book" w:hAnsi="CAIXA Std Book" w:cs="Arial"/>
                <w:color w:val="005CA9"/>
                <w:sz w:val="18"/>
                <w:szCs w:val="18"/>
              </w:rPr>
            </w:pPr>
            <w:r w:rsidRPr="00E20D21">
              <w:rPr>
                <w:rFonts w:ascii="CAIXA Std Book" w:hAnsi="CAIXA Std Book" w:cs="Arial"/>
                <w:bCs/>
                <w:color w:val="005CA9"/>
                <w:sz w:val="18"/>
                <w:szCs w:val="18"/>
              </w:rPr>
              <w:t>16.718</w:t>
            </w:r>
          </w:p>
        </w:tc>
        <w:tc>
          <w:tcPr>
            <w:tcW w:w="622" w:type="pct"/>
            <w:tcBorders>
              <w:top w:val="nil"/>
              <w:left w:val="nil"/>
              <w:bottom w:val="nil"/>
              <w:right w:val="nil"/>
            </w:tcBorders>
            <w:shd w:val="clear" w:color="auto" w:fill="auto"/>
            <w:vAlign w:val="center"/>
          </w:tcPr>
          <w:p w14:paraId="56B3D933" w14:textId="2CE5C27E" w:rsidR="00540E4C" w:rsidRPr="00E20D21" w:rsidRDefault="00540E4C" w:rsidP="00540E4C">
            <w:pPr>
              <w:jc w:val="right"/>
              <w:rPr>
                <w:rFonts w:ascii="CAIXA Std Book" w:hAnsi="CAIXA Std Book" w:cs="Arial"/>
                <w:color w:val="005CA9"/>
                <w:sz w:val="18"/>
                <w:szCs w:val="18"/>
              </w:rPr>
            </w:pPr>
            <w:r w:rsidRPr="00E20D21">
              <w:rPr>
                <w:rFonts w:ascii="CAIXA Std Book" w:hAnsi="CAIXA Std Book" w:cs="Arial"/>
                <w:color w:val="005CA9"/>
                <w:sz w:val="18"/>
                <w:szCs w:val="18"/>
              </w:rPr>
              <w:t>30.482</w:t>
            </w:r>
          </w:p>
        </w:tc>
      </w:tr>
      <w:tr w:rsidR="00A47C19" w:rsidRPr="00E20D21" w14:paraId="734DEC39" w14:textId="77777777" w:rsidTr="006B671C">
        <w:trPr>
          <w:trHeight w:val="283"/>
        </w:trPr>
        <w:tc>
          <w:tcPr>
            <w:tcW w:w="1605" w:type="pct"/>
            <w:tcBorders>
              <w:top w:val="nil"/>
              <w:left w:val="nil"/>
              <w:bottom w:val="nil"/>
              <w:right w:val="nil"/>
            </w:tcBorders>
            <w:shd w:val="clear" w:color="auto" w:fill="auto"/>
            <w:noWrap/>
            <w:vAlign w:val="center"/>
            <w:hideMark/>
          </w:tcPr>
          <w:p w14:paraId="02486F90" w14:textId="47AB3520" w:rsidR="000E5F3E" w:rsidRPr="00E20D21" w:rsidRDefault="00540E4C"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financeiras</w:t>
            </w:r>
          </w:p>
        </w:tc>
        <w:tc>
          <w:tcPr>
            <w:tcW w:w="535" w:type="pct"/>
            <w:tcBorders>
              <w:top w:val="nil"/>
              <w:left w:val="nil"/>
              <w:bottom w:val="nil"/>
              <w:right w:val="nil"/>
            </w:tcBorders>
            <w:shd w:val="clear" w:color="auto" w:fill="auto"/>
            <w:vAlign w:val="center"/>
          </w:tcPr>
          <w:p w14:paraId="2FECAA4D" w14:textId="1D3C182E"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3.791.649</w:t>
            </w:r>
          </w:p>
        </w:tc>
        <w:tc>
          <w:tcPr>
            <w:tcW w:w="633" w:type="pct"/>
            <w:tcBorders>
              <w:top w:val="nil"/>
              <w:left w:val="nil"/>
              <w:bottom w:val="nil"/>
              <w:right w:val="nil"/>
            </w:tcBorders>
            <w:shd w:val="clear" w:color="auto" w:fill="auto"/>
            <w:vAlign w:val="center"/>
          </w:tcPr>
          <w:p w14:paraId="254E0E4A" w14:textId="30071481"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35" w:type="pct"/>
            <w:tcBorders>
              <w:top w:val="nil"/>
              <w:left w:val="nil"/>
              <w:bottom w:val="nil"/>
              <w:right w:val="nil"/>
            </w:tcBorders>
            <w:shd w:val="clear" w:color="auto" w:fill="auto"/>
            <w:vAlign w:val="center"/>
          </w:tcPr>
          <w:p w14:paraId="3E86EDD9" w14:textId="4884A396"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nil"/>
              <w:right w:val="nil"/>
            </w:tcBorders>
            <w:shd w:val="clear" w:color="auto" w:fill="auto"/>
            <w:vAlign w:val="center"/>
          </w:tcPr>
          <w:p w14:paraId="595F63D0" w14:textId="257870EF"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nil"/>
              <w:right w:val="nil"/>
            </w:tcBorders>
            <w:shd w:val="clear" w:color="auto" w:fill="auto"/>
            <w:noWrap/>
            <w:vAlign w:val="center"/>
          </w:tcPr>
          <w:p w14:paraId="3B85156E" w14:textId="26ED46FD"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3.791.649</w:t>
            </w:r>
          </w:p>
        </w:tc>
        <w:tc>
          <w:tcPr>
            <w:tcW w:w="622" w:type="pct"/>
            <w:tcBorders>
              <w:top w:val="nil"/>
              <w:left w:val="nil"/>
              <w:bottom w:val="nil"/>
              <w:right w:val="nil"/>
            </w:tcBorders>
            <w:shd w:val="clear" w:color="auto" w:fill="auto"/>
            <w:vAlign w:val="center"/>
            <w:hideMark/>
          </w:tcPr>
          <w:p w14:paraId="7B93E1E4" w14:textId="443484AE" w:rsidR="000E5F3E" w:rsidRPr="00E20D21" w:rsidRDefault="00540E4C" w:rsidP="000E5F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4.702.214</w:t>
            </w:r>
          </w:p>
        </w:tc>
      </w:tr>
      <w:tr w:rsidR="00A47C19" w:rsidRPr="00E20D21" w14:paraId="6B120314" w14:textId="77777777" w:rsidTr="006B671C">
        <w:trPr>
          <w:trHeight w:val="283"/>
        </w:trPr>
        <w:tc>
          <w:tcPr>
            <w:tcW w:w="1605" w:type="pct"/>
            <w:tcBorders>
              <w:top w:val="nil"/>
              <w:left w:val="nil"/>
              <w:bottom w:val="single" w:sz="4" w:space="0" w:color="F79646"/>
              <w:right w:val="nil"/>
            </w:tcBorders>
            <w:shd w:val="clear" w:color="auto" w:fill="auto"/>
            <w:noWrap/>
            <w:vAlign w:val="center"/>
            <w:hideMark/>
          </w:tcPr>
          <w:p w14:paraId="0F6C456A" w14:textId="4D15DD3C" w:rsidR="000E5F3E" w:rsidRPr="00E20D21" w:rsidRDefault="001245FF" w:rsidP="000E5F3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Notas </w:t>
            </w:r>
            <w:r w:rsidR="00704567" w:rsidRPr="00E20D21">
              <w:rPr>
                <w:rFonts w:ascii="CAIXA Std Book" w:eastAsia="Times New Roman" w:hAnsi="CAIXA Std Book" w:cs="Arial"/>
                <w:color w:val="005CA9"/>
                <w:sz w:val="18"/>
                <w:szCs w:val="18"/>
              </w:rPr>
              <w:t>c</w:t>
            </w:r>
            <w:r w:rsidRPr="00E20D21">
              <w:rPr>
                <w:rFonts w:ascii="CAIXA Std Book" w:eastAsia="Times New Roman" w:hAnsi="CAIXA Std Book" w:cs="Arial"/>
                <w:color w:val="005CA9"/>
                <w:sz w:val="18"/>
                <w:szCs w:val="18"/>
              </w:rPr>
              <w:t>omerciais</w:t>
            </w:r>
          </w:p>
        </w:tc>
        <w:tc>
          <w:tcPr>
            <w:tcW w:w="535" w:type="pct"/>
            <w:tcBorders>
              <w:top w:val="nil"/>
              <w:left w:val="nil"/>
              <w:bottom w:val="single" w:sz="4" w:space="0" w:color="F79646"/>
              <w:right w:val="nil"/>
            </w:tcBorders>
            <w:shd w:val="clear" w:color="auto" w:fill="auto"/>
            <w:vAlign w:val="center"/>
          </w:tcPr>
          <w:p w14:paraId="47AFACFA" w14:textId="1681B4C9"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518.862</w:t>
            </w:r>
          </w:p>
        </w:tc>
        <w:tc>
          <w:tcPr>
            <w:tcW w:w="633" w:type="pct"/>
            <w:tcBorders>
              <w:top w:val="nil"/>
              <w:left w:val="nil"/>
              <w:bottom w:val="single" w:sz="4" w:space="0" w:color="F79646"/>
              <w:right w:val="nil"/>
            </w:tcBorders>
            <w:shd w:val="clear" w:color="auto" w:fill="auto"/>
            <w:vAlign w:val="center"/>
          </w:tcPr>
          <w:p w14:paraId="398BD8E0" w14:textId="1AAA6C30"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35" w:type="pct"/>
            <w:tcBorders>
              <w:top w:val="nil"/>
              <w:left w:val="nil"/>
              <w:bottom w:val="single" w:sz="4" w:space="0" w:color="F79646"/>
              <w:right w:val="nil"/>
            </w:tcBorders>
            <w:shd w:val="clear" w:color="auto" w:fill="auto"/>
            <w:vAlign w:val="center"/>
          </w:tcPr>
          <w:p w14:paraId="450BCBFC" w14:textId="23849D77"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86" w:type="pct"/>
            <w:tcBorders>
              <w:top w:val="nil"/>
              <w:left w:val="nil"/>
              <w:bottom w:val="single" w:sz="4" w:space="0" w:color="F79646"/>
              <w:right w:val="nil"/>
            </w:tcBorders>
            <w:shd w:val="clear" w:color="auto" w:fill="auto"/>
            <w:vAlign w:val="center"/>
          </w:tcPr>
          <w:p w14:paraId="709D6EBE" w14:textId="19C32890" w:rsidR="000E5F3E" w:rsidRPr="00E20D21" w:rsidRDefault="00B40E40" w:rsidP="000E5F3E">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584" w:type="pct"/>
            <w:tcBorders>
              <w:top w:val="nil"/>
              <w:left w:val="nil"/>
              <w:bottom w:val="single" w:sz="4" w:space="0" w:color="F79646"/>
              <w:right w:val="nil"/>
            </w:tcBorders>
            <w:shd w:val="clear" w:color="auto" w:fill="auto"/>
            <w:noWrap/>
            <w:vAlign w:val="center"/>
          </w:tcPr>
          <w:p w14:paraId="62AE53F3" w14:textId="77BDDB83" w:rsidR="000E5F3E" w:rsidRPr="00E20D21" w:rsidRDefault="00B40E40" w:rsidP="000E5F3E">
            <w:pPr>
              <w:jc w:val="right"/>
              <w:rPr>
                <w:rFonts w:ascii="CAIXA Std Book" w:hAnsi="CAIXA Std Book" w:cs="Arial"/>
                <w:color w:val="005CA9"/>
                <w:sz w:val="18"/>
                <w:szCs w:val="18"/>
              </w:rPr>
            </w:pPr>
            <w:r w:rsidRPr="00E20D21">
              <w:rPr>
                <w:rFonts w:ascii="CAIXA Std Book" w:hAnsi="CAIXA Std Book" w:cs="Arial"/>
                <w:bCs/>
                <w:color w:val="005CA9"/>
                <w:sz w:val="18"/>
                <w:szCs w:val="18"/>
              </w:rPr>
              <w:t>518.862</w:t>
            </w:r>
          </w:p>
        </w:tc>
        <w:tc>
          <w:tcPr>
            <w:tcW w:w="622" w:type="pct"/>
            <w:tcBorders>
              <w:top w:val="nil"/>
              <w:left w:val="nil"/>
              <w:bottom w:val="single" w:sz="4" w:space="0" w:color="F79646"/>
              <w:right w:val="nil"/>
            </w:tcBorders>
            <w:shd w:val="clear" w:color="auto" w:fill="auto"/>
            <w:vAlign w:val="center"/>
            <w:hideMark/>
          </w:tcPr>
          <w:p w14:paraId="54D784E4" w14:textId="6F132F97" w:rsidR="000E5F3E" w:rsidRPr="00E20D21" w:rsidRDefault="00540E4C" w:rsidP="00540E4C">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r>
      <w:tr w:rsidR="00A47C19" w:rsidRPr="00E20D21" w14:paraId="4C23D5E4" w14:textId="77777777" w:rsidTr="006B671C">
        <w:trPr>
          <w:trHeight w:val="283"/>
        </w:trPr>
        <w:tc>
          <w:tcPr>
            <w:tcW w:w="1605" w:type="pct"/>
            <w:tcBorders>
              <w:top w:val="single" w:sz="4" w:space="0" w:color="F79646"/>
              <w:left w:val="nil"/>
              <w:bottom w:val="single" w:sz="4" w:space="0" w:color="F79646"/>
              <w:right w:val="nil"/>
            </w:tcBorders>
            <w:shd w:val="clear" w:color="auto" w:fill="auto"/>
            <w:noWrap/>
            <w:vAlign w:val="center"/>
            <w:hideMark/>
          </w:tcPr>
          <w:p w14:paraId="2D0D17D1" w14:textId="77777777" w:rsidR="000E5F3E" w:rsidRPr="00E20D21" w:rsidRDefault="000E5F3E" w:rsidP="000E5F3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535" w:type="pct"/>
            <w:tcBorders>
              <w:top w:val="single" w:sz="4" w:space="0" w:color="F79646"/>
              <w:left w:val="nil"/>
              <w:bottom w:val="single" w:sz="4" w:space="0" w:color="F79646"/>
              <w:right w:val="nil"/>
            </w:tcBorders>
            <w:shd w:val="clear" w:color="auto" w:fill="auto"/>
            <w:noWrap/>
            <w:vAlign w:val="center"/>
          </w:tcPr>
          <w:p w14:paraId="6A578903" w14:textId="603BBE0C"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133.521.307</w:t>
            </w:r>
          </w:p>
        </w:tc>
        <w:tc>
          <w:tcPr>
            <w:tcW w:w="633" w:type="pct"/>
            <w:tcBorders>
              <w:top w:val="single" w:sz="4" w:space="0" w:color="F79646"/>
              <w:left w:val="nil"/>
              <w:bottom w:val="single" w:sz="4" w:space="0" w:color="F79646"/>
              <w:right w:val="nil"/>
            </w:tcBorders>
            <w:shd w:val="clear" w:color="auto" w:fill="auto"/>
            <w:noWrap/>
            <w:vAlign w:val="center"/>
          </w:tcPr>
          <w:p w14:paraId="3B301AFF" w14:textId="07C31781"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137.373.015</w:t>
            </w:r>
          </w:p>
        </w:tc>
        <w:tc>
          <w:tcPr>
            <w:tcW w:w="535" w:type="pct"/>
            <w:tcBorders>
              <w:top w:val="single" w:sz="4" w:space="0" w:color="F79646"/>
              <w:left w:val="nil"/>
              <w:bottom w:val="single" w:sz="4" w:space="0" w:color="F79646"/>
              <w:right w:val="nil"/>
            </w:tcBorders>
            <w:shd w:val="clear" w:color="auto" w:fill="auto"/>
            <w:noWrap/>
            <w:vAlign w:val="center"/>
          </w:tcPr>
          <w:p w14:paraId="3F88797C" w14:textId="02597828"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15.321.747</w:t>
            </w:r>
          </w:p>
        </w:tc>
        <w:tc>
          <w:tcPr>
            <w:tcW w:w="486" w:type="pct"/>
            <w:tcBorders>
              <w:top w:val="single" w:sz="4" w:space="0" w:color="F79646"/>
              <w:left w:val="nil"/>
              <w:bottom w:val="single" w:sz="4" w:space="0" w:color="F79646"/>
              <w:right w:val="nil"/>
            </w:tcBorders>
            <w:shd w:val="clear" w:color="auto" w:fill="auto"/>
            <w:noWrap/>
            <w:vAlign w:val="center"/>
          </w:tcPr>
          <w:p w14:paraId="71A96382" w14:textId="26C46D43"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7.011.647</w:t>
            </w:r>
          </w:p>
        </w:tc>
        <w:tc>
          <w:tcPr>
            <w:tcW w:w="584" w:type="pct"/>
            <w:tcBorders>
              <w:top w:val="single" w:sz="4" w:space="0" w:color="F79646"/>
              <w:left w:val="nil"/>
              <w:bottom w:val="single" w:sz="4" w:space="0" w:color="F79646"/>
              <w:right w:val="nil"/>
            </w:tcBorders>
            <w:shd w:val="clear" w:color="auto" w:fill="auto"/>
            <w:noWrap/>
            <w:vAlign w:val="center"/>
          </w:tcPr>
          <w:p w14:paraId="0A5B6DC9" w14:textId="1E2613F3" w:rsidR="000E5F3E" w:rsidRPr="00E20D21" w:rsidRDefault="00B40E40" w:rsidP="000E5F3E">
            <w:pPr>
              <w:jc w:val="right"/>
              <w:rPr>
                <w:rFonts w:ascii="CAIXA Std Book" w:hAnsi="CAIXA Std Book" w:cs="Arial"/>
                <w:b/>
                <w:color w:val="005CA9"/>
                <w:sz w:val="18"/>
                <w:szCs w:val="18"/>
              </w:rPr>
            </w:pPr>
            <w:r w:rsidRPr="00E20D21">
              <w:rPr>
                <w:rFonts w:ascii="CAIXA Std Book" w:hAnsi="CAIXA Std Book" w:cs="Arial"/>
                <w:b/>
                <w:color w:val="005CA9"/>
                <w:sz w:val="18"/>
                <w:szCs w:val="18"/>
              </w:rPr>
              <w:t>293.227.716</w:t>
            </w:r>
          </w:p>
        </w:tc>
        <w:tc>
          <w:tcPr>
            <w:tcW w:w="622" w:type="pct"/>
            <w:tcBorders>
              <w:top w:val="single" w:sz="4" w:space="0" w:color="F79646"/>
              <w:left w:val="nil"/>
              <w:bottom w:val="single" w:sz="4" w:space="0" w:color="F79646"/>
              <w:right w:val="nil"/>
            </w:tcBorders>
            <w:shd w:val="clear" w:color="auto" w:fill="auto"/>
            <w:noWrap/>
            <w:vAlign w:val="center"/>
            <w:hideMark/>
          </w:tcPr>
          <w:p w14:paraId="708F7FB9" w14:textId="3E2B61C8" w:rsidR="000E5F3E" w:rsidRPr="00E20D21" w:rsidRDefault="000E5F3E" w:rsidP="000E5F3E">
            <w:pPr>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279.500.138</w:t>
            </w:r>
          </w:p>
        </w:tc>
      </w:tr>
      <w:tr w:rsidR="00CA27A7" w:rsidRPr="00E20D21" w14:paraId="227FE20D" w14:textId="77777777" w:rsidTr="006B671C">
        <w:trPr>
          <w:trHeight w:val="283"/>
        </w:trPr>
        <w:tc>
          <w:tcPr>
            <w:tcW w:w="1605" w:type="pct"/>
            <w:tcBorders>
              <w:top w:val="single" w:sz="4" w:space="0" w:color="F79646"/>
              <w:left w:val="nil"/>
              <w:right w:val="nil"/>
            </w:tcBorders>
            <w:shd w:val="clear" w:color="auto" w:fill="auto"/>
            <w:noWrap/>
            <w:vAlign w:val="center"/>
            <w:hideMark/>
          </w:tcPr>
          <w:p w14:paraId="15D16512" w14:textId="77777777" w:rsidR="00CA27A7" w:rsidRPr="00E20D21" w:rsidRDefault="00CA27A7" w:rsidP="00CA27A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Ativo circulante</w:t>
            </w:r>
          </w:p>
        </w:tc>
        <w:tc>
          <w:tcPr>
            <w:tcW w:w="535" w:type="pct"/>
            <w:tcBorders>
              <w:top w:val="single" w:sz="4" w:space="0" w:color="F79646"/>
              <w:left w:val="nil"/>
              <w:right w:val="nil"/>
            </w:tcBorders>
            <w:shd w:val="clear" w:color="auto" w:fill="auto"/>
            <w:noWrap/>
            <w:vAlign w:val="center"/>
          </w:tcPr>
          <w:p w14:paraId="1D1F23D4" w14:textId="12AC71E5" w:rsidR="00CA27A7" w:rsidRPr="00E20D21" w:rsidRDefault="00CA27A7" w:rsidP="00CA27A7">
            <w:pPr>
              <w:jc w:val="right"/>
              <w:rPr>
                <w:rFonts w:ascii="CAIXA Std Book" w:eastAsia="Times New Roman" w:hAnsi="CAIXA Std Book" w:cs="Arial"/>
                <w:color w:val="005CA9"/>
                <w:sz w:val="18"/>
                <w:szCs w:val="18"/>
              </w:rPr>
            </w:pPr>
          </w:p>
        </w:tc>
        <w:tc>
          <w:tcPr>
            <w:tcW w:w="633" w:type="pct"/>
            <w:tcBorders>
              <w:top w:val="single" w:sz="4" w:space="0" w:color="F79646"/>
              <w:left w:val="nil"/>
              <w:right w:val="nil"/>
            </w:tcBorders>
            <w:shd w:val="clear" w:color="auto" w:fill="auto"/>
            <w:noWrap/>
            <w:vAlign w:val="center"/>
          </w:tcPr>
          <w:p w14:paraId="4EAE5002" w14:textId="6C54F79F" w:rsidR="00CA27A7" w:rsidRPr="00E20D21" w:rsidRDefault="00CA27A7" w:rsidP="00CA27A7">
            <w:pPr>
              <w:jc w:val="right"/>
              <w:rPr>
                <w:rFonts w:ascii="CAIXA Std Book" w:eastAsia="Times New Roman" w:hAnsi="CAIXA Std Book" w:cs="Arial"/>
                <w:color w:val="005CA9"/>
                <w:sz w:val="18"/>
                <w:szCs w:val="18"/>
              </w:rPr>
            </w:pPr>
          </w:p>
        </w:tc>
        <w:tc>
          <w:tcPr>
            <w:tcW w:w="535" w:type="pct"/>
            <w:tcBorders>
              <w:top w:val="single" w:sz="4" w:space="0" w:color="F79646"/>
              <w:left w:val="nil"/>
              <w:right w:val="nil"/>
            </w:tcBorders>
            <w:shd w:val="clear" w:color="auto" w:fill="auto"/>
            <w:noWrap/>
            <w:vAlign w:val="center"/>
          </w:tcPr>
          <w:p w14:paraId="10404E52" w14:textId="6E8480FA" w:rsidR="00CA27A7" w:rsidRPr="00E20D21" w:rsidRDefault="00CA27A7" w:rsidP="00CA27A7">
            <w:pPr>
              <w:jc w:val="right"/>
              <w:rPr>
                <w:rFonts w:ascii="CAIXA Std Book" w:eastAsia="Times New Roman" w:hAnsi="CAIXA Std Book" w:cs="Times New Roman"/>
                <w:color w:val="005CA9"/>
                <w:sz w:val="18"/>
                <w:szCs w:val="18"/>
              </w:rPr>
            </w:pPr>
          </w:p>
        </w:tc>
        <w:tc>
          <w:tcPr>
            <w:tcW w:w="486" w:type="pct"/>
            <w:tcBorders>
              <w:top w:val="single" w:sz="4" w:space="0" w:color="F79646"/>
              <w:left w:val="nil"/>
              <w:right w:val="nil"/>
            </w:tcBorders>
            <w:shd w:val="clear" w:color="auto" w:fill="auto"/>
            <w:noWrap/>
            <w:vAlign w:val="center"/>
          </w:tcPr>
          <w:p w14:paraId="0E09615B" w14:textId="519C26AC" w:rsidR="00CA27A7" w:rsidRPr="00E20D21" w:rsidRDefault="00CA27A7" w:rsidP="00CA27A7">
            <w:pPr>
              <w:jc w:val="right"/>
              <w:rPr>
                <w:rFonts w:ascii="CAIXA Std Book" w:eastAsia="Times New Roman" w:hAnsi="CAIXA Std Book" w:cs="Times New Roman"/>
                <w:color w:val="005CA9"/>
                <w:sz w:val="18"/>
                <w:szCs w:val="18"/>
              </w:rPr>
            </w:pPr>
          </w:p>
        </w:tc>
        <w:tc>
          <w:tcPr>
            <w:tcW w:w="584" w:type="pct"/>
            <w:tcBorders>
              <w:top w:val="single" w:sz="4" w:space="0" w:color="F79646"/>
              <w:left w:val="nil"/>
              <w:right w:val="nil"/>
            </w:tcBorders>
            <w:shd w:val="clear" w:color="auto" w:fill="auto"/>
            <w:noWrap/>
            <w:vAlign w:val="center"/>
          </w:tcPr>
          <w:p w14:paraId="18E89110" w14:textId="3AFF2099" w:rsidR="00CA27A7" w:rsidRPr="00E20D21" w:rsidRDefault="00CA27A7" w:rsidP="00CA27A7">
            <w:pPr>
              <w:jc w:val="right"/>
              <w:rPr>
                <w:rFonts w:ascii="CAIXA Std Book" w:hAnsi="CAIXA Std Book" w:cs="Arial"/>
                <w:color w:val="005CA9"/>
                <w:sz w:val="18"/>
                <w:szCs w:val="18"/>
              </w:rPr>
            </w:pPr>
            <w:r w:rsidRPr="00E20D21">
              <w:rPr>
                <w:rFonts w:ascii="CAIXA Std Book" w:hAnsi="CAIXA Std Book" w:cs="Arial"/>
                <w:color w:val="005CA9"/>
                <w:sz w:val="18"/>
                <w:szCs w:val="18"/>
              </w:rPr>
              <w:t>122.959.050</w:t>
            </w:r>
          </w:p>
        </w:tc>
        <w:tc>
          <w:tcPr>
            <w:tcW w:w="622" w:type="pct"/>
            <w:tcBorders>
              <w:top w:val="single" w:sz="4" w:space="0" w:color="F79646"/>
              <w:left w:val="nil"/>
              <w:right w:val="nil"/>
            </w:tcBorders>
            <w:shd w:val="clear" w:color="auto" w:fill="auto"/>
            <w:noWrap/>
            <w:vAlign w:val="center"/>
          </w:tcPr>
          <w:p w14:paraId="2D11E4B6" w14:textId="0C860142" w:rsidR="00CA27A7" w:rsidRPr="00E20D21" w:rsidRDefault="00CA27A7" w:rsidP="00CA27A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142.539.595</w:t>
            </w:r>
          </w:p>
        </w:tc>
      </w:tr>
      <w:tr w:rsidR="00CA27A7" w:rsidRPr="00E20D21" w14:paraId="52CC5FD3" w14:textId="77777777" w:rsidTr="006B671C">
        <w:trPr>
          <w:trHeight w:val="283"/>
        </w:trPr>
        <w:tc>
          <w:tcPr>
            <w:tcW w:w="1605" w:type="pct"/>
            <w:tcBorders>
              <w:top w:val="nil"/>
              <w:left w:val="nil"/>
              <w:bottom w:val="single" w:sz="4" w:space="0" w:color="F79646"/>
              <w:right w:val="nil"/>
            </w:tcBorders>
            <w:shd w:val="clear" w:color="auto" w:fill="auto"/>
            <w:noWrap/>
            <w:vAlign w:val="center"/>
            <w:hideMark/>
          </w:tcPr>
          <w:p w14:paraId="1F0FCE96" w14:textId="77777777" w:rsidR="00CA27A7" w:rsidRPr="00E20D21" w:rsidRDefault="00CA27A7" w:rsidP="00CA27A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Ativo não circulante</w:t>
            </w:r>
          </w:p>
        </w:tc>
        <w:tc>
          <w:tcPr>
            <w:tcW w:w="535" w:type="pct"/>
            <w:tcBorders>
              <w:top w:val="nil"/>
              <w:left w:val="nil"/>
              <w:bottom w:val="single" w:sz="4" w:space="0" w:color="F79646"/>
              <w:right w:val="nil"/>
            </w:tcBorders>
            <w:shd w:val="clear" w:color="auto" w:fill="auto"/>
            <w:noWrap/>
            <w:vAlign w:val="center"/>
          </w:tcPr>
          <w:p w14:paraId="3C751D5F" w14:textId="35D80760" w:rsidR="00CA27A7" w:rsidRPr="00E20D21" w:rsidRDefault="00CA27A7" w:rsidP="00CA27A7">
            <w:pPr>
              <w:jc w:val="right"/>
              <w:rPr>
                <w:rFonts w:ascii="CAIXA Std Book" w:eastAsia="Times New Roman" w:hAnsi="CAIXA Std Book" w:cs="Arial"/>
                <w:color w:val="005CA9"/>
                <w:sz w:val="18"/>
                <w:szCs w:val="18"/>
              </w:rPr>
            </w:pPr>
          </w:p>
        </w:tc>
        <w:tc>
          <w:tcPr>
            <w:tcW w:w="633" w:type="pct"/>
            <w:tcBorders>
              <w:top w:val="nil"/>
              <w:left w:val="nil"/>
              <w:bottom w:val="single" w:sz="4" w:space="0" w:color="F79646"/>
              <w:right w:val="nil"/>
            </w:tcBorders>
            <w:shd w:val="clear" w:color="auto" w:fill="auto"/>
            <w:noWrap/>
            <w:vAlign w:val="center"/>
          </w:tcPr>
          <w:p w14:paraId="73F486EC" w14:textId="3B9FCD42" w:rsidR="00CA27A7" w:rsidRPr="00E20D21" w:rsidRDefault="00CA27A7" w:rsidP="00CA27A7">
            <w:pPr>
              <w:jc w:val="right"/>
              <w:rPr>
                <w:rFonts w:ascii="CAIXA Std Book" w:eastAsia="Times New Roman" w:hAnsi="CAIXA Std Book" w:cs="Arial"/>
                <w:color w:val="005CA9"/>
                <w:sz w:val="18"/>
                <w:szCs w:val="18"/>
              </w:rPr>
            </w:pPr>
          </w:p>
        </w:tc>
        <w:tc>
          <w:tcPr>
            <w:tcW w:w="535" w:type="pct"/>
            <w:tcBorders>
              <w:top w:val="nil"/>
              <w:left w:val="nil"/>
              <w:bottom w:val="single" w:sz="4" w:space="0" w:color="F79646"/>
              <w:right w:val="nil"/>
            </w:tcBorders>
            <w:shd w:val="clear" w:color="auto" w:fill="auto"/>
            <w:noWrap/>
            <w:vAlign w:val="center"/>
          </w:tcPr>
          <w:p w14:paraId="06E8FB88" w14:textId="7C923F94" w:rsidR="00CA27A7" w:rsidRPr="00E20D21" w:rsidRDefault="00CA27A7" w:rsidP="00CA27A7">
            <w:pPr>
              <w:jc w:val="right"/>
              <w:rPr>
                <w:rFonts w:ascii="CAIXA Std Book" w:eastAsia="Times New Roman" w:hAnsi="CAIXA Std Book" w:cs="Arial"/>
                <w:color w:val="005CA9"/>
                <w:sz w:val="18"/>
                <w:szCs w:val="18"/>
              </w:rPr>
            </w:pPr>
          </w:p>
        </w:tc>
        <w:tc>
          <w:tcPr>
            <w:tcW w:w="486" w:type="pct"/>
            <w:tcBorders>
              <w:top w:val="nil"/>
              <w:left w:val="nil"/>
              <w:bottom w:val="single" w:sz="4" w:space="0" w:color="F79646"/>
              <w:right w:val="nil"/>
            </w:tcBorders>
            <w:shd w:val="clear" w:color="auto" w:fill="auto"/>
            <w:noWrap/>
            <w:vAlign w:val="center"/>
          </w:tcPr>
          <w:p w14:paraId="3306442F" w14:textId="119E1278" w:rsidR="00CA27A7" w:rsidRPr="00E20D21" w:rsidRDefault="00CA27A7" w:rsidP="00CA27A7">
            <w:pPr>
              <w:jc w:val="right"/>
              <w:rPr>
                <w:rFonts w:ascii="CAIXA Std Book" w:eastAsia="Times New Roman" w:hAnsi="CAIXA Std Book" w:cs="Arial"/>
                <w:color w:val="005CA9"/>
                <w:sz w:val="18"/>
                <w:szCs w:val="18"/>
              </w:rPr>
            </w:pPr>
          </w:p>
        </w:tc>
        <w:tc>
          <w:tcPr>
            <w:tcW w:w="584" w:type="pct"/>
            <w:tcBorders>
              <w:top w:val="nil"/>
              <w:left w:val="nil"/>
              <w:bottom w:val="single" w:sz="4" w:space="0" w:color="F79646"/>
              <w:right w:val="nil"/>
            </w:tcBorders>
            <w:shd w:val="clear" w:color="auto" w:fill="auto"/>
            <w:noWrap/>
            <w:vAlign w:val="center"/>
          </w:tcPr>
          <w:p w14:paraId="12728642" w14:textId="509CAE2D" w:rsidR="00CA27A7" w:rsidRPr="00E20D21" w:rsidRDefault="00CA27A7" w:rsidP="00CA27A7">
            <w:pPr>
              <w:jc w:val="right"/>
              <w:rPr>
                <w:rFonts w:ascii="CAIXA Std Book" w:hAnsi="CAIXA Std Book" w:cs="Arial"/>
                <w:color w:val="005CA9"/>
                <w:sz w:val="18"/>
                <w:szCs w:val="18"/>
              </w:rPr>
            </w:pPr>
            <w:r w:rsidRPr="00E20D21">
              <w:rPr>
                <w:rFonts w:ascii="CAIXA Std Book" w:hAnsi="CAIXA Std Book" w:cs="Arial"/>
                <w:color w:val="005CA9"/>
                <w:sz w:val="18"/>
                <w:szCs w:val="18"/>
              </w:rPr>
              <w:t>170.268.666</w:t>
            </w:r>
          </w:p>
        </w:tc>
        <w:tc>
          <w:tcPr>
            <w:tcW w:w="622" w:type="pct"/>
            <w:tcBorders>
              <w:top w:val="nil"/>
              <w:left w:val="nil"/>
              <w:bottom w:val="single" w:sz="4" w:space="0" w:color="F79646"/>
              <w:right w:val="nil"/>
            </w:tcBorders>
            <w:shd w:val="clear" w:color="auto" w:fill="auto"/>
            <w:noWrap/>
            <w:vAlign w:val="center"/>
          </w:tcPr>
          <w:p w14:paraId="4E955AE2" w14:textId="4DB9CE72" w:rsidR="00CA27A7" w:rsidRPr="00E20D21" w:rsidRDefault="00CA27A7" w:rsidP="00CA27A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136.960.543</w:t>
            </w:r>
          </w:p>
        </w:tc>
      </w:tr>
    </w:tbl>
    <w:p w14:paraId="7FB27222" w14:textId="3C34D9B4" w:rsidR="001B4F1C" w:rsidRPr="00E20D21" w:rsidRDefault="001B4F1C" w:rsidP="001B4F1C">
      <w:pPr>
        <w:rPr>
          <w:rFonts w:ascii="CAIXA Std Book" w:hAnsi="CAIXA Std Book"/>
          <w:color w:val="005CA9"/>
          <w:sz w:val="16"/>
          <w:szCs w:val="16"/>
        </w:rPr>
      </w:pPr>
      <w:r w:rsidRPr="00E20D21">
        <w:rPr>
          <w:rFonts w:ascii="CAIXA Std Book" w:hAnsi="CAIXA Std Book"/>
          <w:color w:val="005CA9"/>
          <w:sz w:val="16"/>
          <w:szCs w:val="16"/>
        </w:rPr>
        <w:t xml:space="preserve">(1) Os investimentos FGHAB e FGI possuem defasagem de atualização das cotas para a data-base de </w:t>
      </w:r>
      <w:r w:rsidR="004A7ABB" w:rsidRPr="00E20D21">
        <w:rPr>
          <w:rFonts w:ascii="CAIXA Std Book" w:hAnsi="CAIXA Std Book"/>
          <w:color w:val="005CA9"/>
          <w:sz w:val="16"/>
          <w:szCs w:val="16"/>
        </w:rPr>
        <w:t>mai</w:t>
      </w:r>
      <w:r w:rsidR="00C2054A" w:rsidRPr="00E20D21">
        <w:rPr>
          <w:rFonts w:ascii="CAIXA Std Book" w:hAnsi="CAIXA Std Book"/>
          <w:color w:val="005CA9"/>
          <w:sz w:val="16"/>
          <w:szCs w:val="16"/>
        </w:rPr>
        <w:t>o de 20</w:t>
      </w:r>
      <w:r w:rsidR="004A7ABB" w:rsidRPr="00E20D21">
        <w:rPr>
          <w:rFonts w:ascii="CAIXA Std Book" w:hAnsi="CAIXA Std Book"/>
          <w:color w:val="005CA9"/>
          <w:sz w:val="16"/>
          <w:szCs w:val="16"/>
        </w:rPr>
        <w:t>24</w:t>
      </w:r>
      <w:r w:rsidRPr="00E20D21">
        <w:rPr>
          <w:rFonts w:ascii="CAIXA Std Book" w:hAnsi="CAIXA Std Book"/>
          <w:color w:val="005CA9"/>
          <w:sz w:val="16"/>
          <w:szCs w:val="16"/>
        </w:rPr>
        <w:t>.</w:t>
      </w:r>
    </w:p>
    <w:p w14:paraId="06C351B0" w14:textId="54EF6996" w:rsidR="00B24C2C" w:rsidRPr="00E20D21" w:rsidRDefault="00B24C2C">
      <w:pPr>
        <w:rPr>
          <w:rFonts w:ascii="CAIXA Std Book" w:hAnsi="CAIXA Std Book"/>
          <w:color w:val="005CA9"/>
          <w:sz w:val="16"/>
          <w:szCs w:val="16"/>
        </w:rPr>
      </w:pPr>
      <w:r w:rsidRPr="00E20D21">
        <w:rPr>
          <w:rFonts w:ascii="CAIXA Std Book" w:hAnsi="CAIXA Std Book"/>
          <w:color w:val="005CA9"/>
          <w:sz w:val="16"/>
          <w:szCs w:val="16"/>
        </w:rPr>
        <w:br w:type="page"/>
      </w:r>
    </w:p>
    <w:p w14:paraId="1FC72CDD" w14:textId="0CA8615F" w:rsidR="005F303D" w:rsidRPr="00E20D21" w:rsidRDefault="00E14AB9" w:rsidP="00E14AB9">
      <w:pPr>
        <w:keepNext/>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lastRenderedPageBreak/>
        <w:t>(b)</w:t>
      </w:r>
      <w:r w:rsidR="00950B25" w:rsidRPr="00E20D21">
        <w:rPr>
          <w:rFonts w:ascii="CAIXA Std Book" w:hAnsi="CAIXA Std Book"/>
          <w:b/>
          <w:color w:val="005CA9"/>
          <w:sz w:val="20"/>
          <w:szCs w:val="20"/>
        </w:rPr>
        <w:tab/>
      </w:r>
      <w:r w:rsidR="005F303D" w:rsidRPr="00E20D21">
        <w:rPr>
          <w:rFonts w:ascii="CAIXA Std Book" w:hAnsi="CAIXA Std Book"/>
          <w:b/>
          <w:color w:val="005CA9"/>
          <w:sz w:val="20"/>
          <w:szCs w:val="20"/>
        </w:rPr>
        <w:t>Classificação da carteira por prazo</w:t>
      </w:r>
    </w:p>
    <w:tbl>
      <w:tblPr>
        <w:tblW w:w="5000" w:type="pct"/>
        <w:tblCellMar>
          <w:left w:w="70" w:type="dxa"/>
          <w:right w:w="70" w:type="dxa"/>
        </w:tblCellMar>
        <w:tblLook w:val="04A0" w:firstRow="1" w:lastRow="0" w:firstColumn="1" w:lastColumn="0" w:noHBand="0" w:noVBand="1"/>
      </w:tblPr>
      <w:tblGrid>
        <w:gridCol w:w="2977"/>
        <w:gridCol w:w="1160"/>
        <w:gridCol w:w="1160"/>
        <w:gridCol w:w="1160"/>
        <w:gridCol w:w="1160"/>
        <w:gridCol w:w="1160"/>
        <w:gridCol w:w="1160"/>
        <w:gridCol w:w="1160"/>
        <w:gridCol w:w="1160"/>
        <w:gridCol w:w="1160"/>
        <w:gridCol w:w="1154"/>
      </w:tblGrid>
      <w:tr w:rsidR="00A47C19" w:rsidRPr="00E20D21" w14:paraId="41287A82" w14:textId="77777777" w:rsidTr="006B671C">
        <w:trPr>
          <w:trHeight w:val="283"/>
        </w:trPr>
        <w:tc>
          <w:tcPr>
            <w:tcW w:w="5000" w:type="pct"/>
            <w:gridSpan w:val="11"/>
            <w:tcBorders>
              <w:top w:val="single" w:sz="4" w:space="0" w:color="F39200"/>
              <w:left w:val="nil"/>
              <w:bottom w:val="single" w:sz="4" w:space="0" w:color="F39200"/>
              <w:right w:val="nil"/>
            </w:tcBorders>
            <w:vAlign w:val="center"/>
            <w:hideMark/>
          </w:tcPr>
          <w:p w14:paraId="7A9BAC28"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INDIVIDUAL</w:t>
            </w:r>
          </w:p>
        </w:tc>
      </w:tr>
      <w:tr w:rsidR="00462239" w:rsidRPr="00E20D21" w14:paraId="73C4E41E" w14:textId="77777777" w:rsidTr="00462239">
        <w:trPr>
          <w:trHeight w:val="401"/>
        </w:trPr>
        <w:tc>
          <w:tcPr>
            <w:tcW w:w="5000" w:type="pct"/>
            <w:gridSpan w:val="11"/>
            <w:tcBorders>
              <w:top w:val="nil"/>
              <w:left w:val="nil"/>
              <w:bottom w:val="single" w:sz="4" w:space="0" w:color="F39200"/>
              <w:right w:val="nil"/>
            </w:tcBorders>
            <w:vAlign w:val="center"/>
          </w:tcPr>
          <w:p w14:paraId="45233C16" w14:textId="00753965" w:rsidR="00462239" w:rsidRPr="00E20D21" w:rsidRDefault="00462239"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 xml:space="preserve">Posição </w:t>
            </w:r>
            <w:proofErr w:type="gramStart"/>
            <w:r w:rsidRPr="00E20D21">
              <w:rPr>
                <w:rFonts w:ascii="CAIXA Std Book" w:eastAsia="Times New Roman" w:hAnsi="CAIXA Std Book" w:cs="Arial"/>
                <w:b/>
                <w:color w:val="005CA9"/>
                <w:sz w:val="16"/>
                <w:szCs w:val="16"/>
              </w:rPr>
              <w:t>em  30</w:t>
            </w:r>
            <w:proofErr w:type="gramEnd"/>
            <w:r w:rsidRPr="00E20D21">
              <w:rPr>
                <w:rFonts w:ascii="CAIXA Std Book" w:eastAsia="Times New Roman" w:hAnsi="CAIXA Std Book" w:cs="Arial"/>
                <w:b/>
                <w:color w:val="005CA9"/>
                <w:sz w:val="16"/>
                <w:szCs w:val="16"/>
              </w:rPr>
              <w:t>/06/2024</w:t>
            </w:r>
          </w:p>
        </w:tc>
      </w:tr>
      <w:tr w:rsidR="00973492" w:rsidRPr="00E20D21" w14:paraId="475C8F26" w14:textId="77777777" w:rsidTr="006B671C">
        <w:trPr>
          <w:trHeight w:val="401"/>
        </w:trPr>
        <w:tc>
          <w:tcPr>
            <w:tcW w:w="1022" w:type="pct"/>
            <w:vMerge w:val="restart"/>
            <w:tcBorders>
              <w:top w:val="nil"/>
              <w:left w:val="nil"/>
              <w:bottom w:val="single" w:sz="4" w:space="0" w:color="F39200"/>
              <w:right w:val="nil"/>
            </w:tcBorders>
            <w:vAlign w:val="center"/>
            <w:hideMark/>
          </w:tcPr>
          <w:p w14:paraId="48F0B05B" w14:textId="573E4535"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Descrição</w:t>
            </w:r>
          </w:p>
        </w:tc>
        <w:tc>
          <w:tcPr>
            <w:tcW w:w="398" w:type="pct"/>
            <w:vMerge w:val="restart"/>
            <w:tcBorders>
              <w:top w:val="nil"/>
              <w:left w:val="nil"/>
              <w:bottom w:val="single" w:sz="4" w:space="0" w:color="F39200"/>
              <w:right w:val="nil"/>
            </w:tcBorders>
            <w:vAlign w:val="center"/>
            <w:hideMark/>
          </w:tcPr>
          <w:p w14:paraId="54AA78CF"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Custo</w:t>
            </w:r>
          </w:p>
        </w:tc>
        <w:tc>
          <w:tcPr>
            <w:tcW w:w="398" w:type="pct"/>
            <w:vMerge w:val="restart"/>
            <w:tcBorders>
              <w:top w:val="nil"/>
              <w:left w:val="nil"/>
              <w:bottom w:val="single" w:sz="4" w:space="0" w:color="F39200"/>
              <w:right w:val="nil"/>
            </w:tcBorders>
            <w:vAlign w:val="center"/>
            <w:hideMark/>
          </w:tcPr>
          <w:p w14:paraId="2AE990AA"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resultado</w:t>
            </w:r>
          </w:p>
        </w:tc>
        <w:tc>
          <w:tcPr>
            <w:tcW w:w="398" w:type="pct"/>
            <w:vMerge w:val="restart"/>
            <w:tcBorders>
              <w:top w:val="nil"/>
              <w:left w:val="nil"/>
              <w:bottom w:val="single" w:sz="4" w:space="0" w:color="F39200"/>
              <w:right w:val="nil"/>
            </w:tcBorders>
            <w:vAlign w:val="center"/>
            <w:hideMark/>
          </w:tcPr>
          <w:p w14:paraId="5D5FA013"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patrimônio líquido</w:t>
            </w:r>
          </w:p>
        </w:tc>
        <w:tc>
          <w:tcPr>
            <w:tcW w:w="398" w:type="pct"/>
            <w:vMerge w:val="restart"/>
            <w:tcBorders>
              <w:top w:val="nil"/>
              <w:left w:val="nil"/>
              <w:bottom w:val="single" w:sz="4" w:space="0" w:color="F39200"/>
              <w:right w:val="nil"/>
            </w:tcBorders>
            <w:vAlign w:val="center"/>
            <w:hideMark/>
          </w:tcPr>
          <w:p w14:paraId="388CDC55"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contábil</w:t>
            </w:r>
          </w:p>
        </w:tc>
        <w:tc>
          <w:tcPr>
            <w:tcW w:w="398" w:type="pct"/>
            <w:vMerge w:val="restart"/>
            <w:tcBorders>
              <w:top w:val="nil"/>
              <w:left w:val="nil"/>
              <w:bottom w:val="single" w:sz="4" w:space="0" w:color="F39200"/>
              <w:right w:val="nil"/>
            </w:tcBorders>
            <w:vAlign w:val="center"/>
            <w:hideMark/>
          </w:tcPr>
          <w:p w14:paraId="0EED8425"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de mercado</w:t>
            </w:r>
          </w:p>
        </w:tc>
        <w:tc>
          <w:tcPr>
            <w:tcW w:w="398" w:type="pct"/>
            <w:vMerge w:val="restart"/>
            <w:tcBorders>
              <w:top w:val="nil"/>
              <w:left w:val="nil"/>
              <w:bottom w:val="single" w:sz="4" w:space="0" w:color="F39200"/>
              <w:right w:val="nil"/>
            </w:tcBorders>
            <w:vAlign w:val="center"/>
            <w:hideMark/>
          </w:tcPr>
          <w:p w14:paraId="48F33C0F"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Sem vencimento</w:t>
            </w:r>
          </w:p>
        </w:tc>
        <w:tc>
          <w:tcPr>
            <w:tcW w:w="398" w:type="pct"/>
            <w:vMerge w:val="restart"/>
            <w:tcBorders>
              <w:top w:val="nil"/>
              <w:left w:val="nil"/>
              <w:bottom w:val="single" w:sz="4" w:space="0" w:color="F39200"/>
              <w:right w:val="nil"/>
            </w:tcBorders>
            <w:vAlign w:val="center"/>
            <w:hideMark/>
          </w:tcPr>
          <w:p w14:paraId="3653E344"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01 a 90 dias</w:t>
            </w:r>
          </w:p>
        </w:tc>
        <w:tc>
          <w:tcPr>
            <w:tcW w:w="398" w:type="pct"/>
            <w:vMerge w:val="restart"/>
            <w:tcBorders>
              <w:top w:val="nil"/>
              <w:left w:val="nil"/>
              <w:bottom w:val="single" w:sz="4" w:space="0" w:color="F39200"/>
              <w:right w:val="nil"/>
            </w:tcBorders>
            <w:vAlign w:val="center"/>
            <w:hideMark/>
          </w:tcPr>
          <w:p w14:paraId="4B427D0C"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91 a 180 dias</w:t>
            </w:r>
          </w:p>
        </w:tc>
        <w:tc>
          <w:tcPr>
            <w:tcW w:w="398" w:type="pct"/>
            <w:vMerge w:val="restart"/>
            <w:tcBorders>
              <w:top w:val="nil"/>
              <w:left w:val="nil"/>
              <w:bottom w:val="single" w:sz="4" w:space="0" w:color="F39200"/>
              <w:right w:val="nil"/>
            </w:tcBorders>
            <w:vAlign w:val="center"/>
            <w:hideMark/>
          </w:tcPr>
          <w:p w14:paraId="50C40AED"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181 a 360 dias</w:t>
            </w:r>
          </w:p>
        </w:tc>
        <w:tc>
          <w:tcPr>
            <w:tcW w:w="396" w:type="pct"/>
            <w:vMerge w:val="restart"/>
            <w:tcBorders>
              <w:top w:val="nil"/>
              <w:left w:val="nil"/>
              <w:bottom w:val="single" w:sz="4" w:space="0" w:color="F39200"/>
              <w:right w:val="nil"/>
            </w:tcBorders>
            <w:vAlign w:val="center"/>
            <w:hideMark/>
          </w:tcPr>
          <w:p w14:paraId="0BE41093" w14:textId="77777777" w:rsidR="009307AA" w:rsidRPr="00E20D21" w:rsidRDefault="009307AA" w:rsidP="008931E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Acima de 360 dias</w:t>
            </w:r>
          </w:p>
        </w:tc>
      </w:tr>
      <w:tr w:rsidR="00973492" w:rsidRPr="00E20D21" w14:paraId="2490FF67" w14:textId="77777777" w:rsidTr="006B671C">
        <w:trPr>
          <w:trHeight w:val="655"/>
        </w:trPr>
        <w:tc>
          <w:tcPr>
            <w:tcW w:w="1022" w:type="pct"/>
            <w:vMerge/>
            <w:tcBorders>
              <w:top w:val="nil"/>
              <w:left w:val="nil"/>
              <w:bottom w:val="single" w:sz="4" w:space="0" w:color="F39200"/>
              <w:right w:val="nil"/>
            </w:tcBorders>
            <w:vAlign w:val="center"/>
            <w:hideMark/>
          </w:tcPr>
          <w:p w14:paraId="44EC840A" w14:textId="77777777" w:rsidR="009307AA" w:rsidRPr="00E20D21" w:rsidRDefault="009307AA" w:rsidP="008931E0">
            <w:pPr>
              <w:jc w:val="right"/>
              <w:rPr>
                <w:rFonts w:ascii="CAIXA Std Book" w:eastAsia="Times New Roman" w:hAnsi="CAIXA Std Book" w:cs="Arial"/>
                <w:b/>
                <w:color w:val="005CA9"/>
                <w:sz w:val="16"/>
                <w:szCs w:val="16"/>
              </w:rPr>
            </w:pPr>
          </w:p>
        </w:tc>
        <w:tc>
          <w:tcPr>
            <w:tcW w:w="398" w:type="pct"/>
            <w:vMerge/>
            <w:tcBorders>
              <w:top w:val="nil"/>
              <w:left w:val="nil"/>
              <w:bottom w:val="single" w:sz="4" w:space="0" w:color="F39200"/>
              <w:right w:val="nil"/>
            </w:tcBorders>
            <w:vAlign w:val="center"/>
            <w:hideMark/>
          </w:tcPr>
          <w:p w14:paraId="4092484D" w14:textId="77777777" w:rsidR="009307AA" w:rsidRPr="00E20D21" w:rsidRDefault="009307AA" w:rsidP="008931E0">
            <w:pPr>
              <w:jc w:val="right"/>
              <w:rPr>
                <w:rFonts w:ascii="CAIXA Std Book" w:eastAsia="Times New Roman" w:hAnsi="CAIXA Std Book" w:cs="Arial"/>
                <w:b/>
                <w:color w:val="005CA9"/>
                <w:sz w:val="16"/>
                <w:szCs w:val="16"/>
              </w:rPr>
            </w:pPr>
          </w:p>
        </w:tc>
        <w:tc>
          <w:tcPr>
            <w:tcW w:w="398" w:type="pct"/>
            <w:vMerge/>
            <w:tcBorders>
              <w:top w:val="nil"/>
              <w:left w:val="nil"/>
              <w:bottom w:val="single" w:sz="4" w:space="0" w:color="F39200"/>
              <w:right w:val="nil"/>
            </w:tcBorders>
            <w:vAlign w:val="center"/>
            <w:hideMark/>
          </w:tcPr>
          <w:p w14:paraId="46EC958D" w14:textId="77777777" w:rsidR="009307AA" w:rsidRPr="00E20D21" w:rsidRDefault="009307AA" w:rsidP="008931E0">
            <w:pPr>
              <w:jc w:val="right"/>
              <w:rPr>
                <w:rFonts w:ascii="CAIXA Std Book" w:eastAsia="Times New Roman" w:hAnsi="CAIXA Std Book" w:cs="Arial"/>
                <w:b/>
                <w:color w:val="005CA9"/>
                <w:sz w:val="16"/>
                <w:szCs w:val="16"/>
              </w:rPr>
            </w:pPr>
          </w:p>
        </w:tc>
        <w:tc>
          <w:tcPr>
            <w:tcW w:w="398" w:type="pct"/>
            <w:vMerge/>
            <w:tcBorders>
              <w:top w:val="nil"/>
              <w:left w:val="nil"/>
              <w:bottom w:val="single" w:sz="4" w:space="0" w:color="F39200"/>
              <w:right w:val="nil"/>
            </w:tcBorders>
            <w:vAlign w:val="center"/>
            <w:hideMark/>
          </w:tcPr>
          <w:p w14:paraId="7D322B6B" w14:textId="77777777" w:rsidR="009307AA" w:rsidRPr="00E20D21" w:rsidRDefault="009307AA" w:rsidP="008931E0">
            <w:pPr>
              <w:jc w:val="right"/>
              <w:rPr>
                <w:rFonts w:ascii="CAIXA Std Book" w:eastAsia="Times New Roman" w:hAnsi="CAIXA Std Book" w:cs="Arial"/>
                <w:b/>
                <w:color w:val="005CA9"/>
                <w:sz w:val="16"/>
                <w:szCs w:val="16"/>
              </w:rPr>
            </w:pPr>
          </w:p>
        </w:tc>
        <w:tc>
          <w:tcPr>
            <w:tcW w:w="398" w:type="pct"/>
            <w:vMerge/>
            <w:tcBorders>
              <w:top w:val="nil"/>
              <w:left w:val="nil"/>
              <w:bottom w:val="single" w:sz="4" w:space="0" w:color="F39200"/>
              <w:right w:val="nil"/>
            </w:tcBorders>
            <w:vAlign w:val="center"/>
            <w:hideMark/>
          </w:tcPr>
          <w:p w14:paraId="08B8A8FA" w14:textId="77777777" w:rsidR="009307AA" w:rsidRPr="00E20D21" w:rsidRDefault="009307AA" w:rsidP="008931E0">
            <w:pPr>
              <w:jc w:val="right"/>
              <w:rPr>
                <w:rFonts w:ascii="CAIXA Std Book" w:eastAsia="Times New Roman" w:hAnsi="CAIXA Std Book" w:cs="Arial"/>
                <w:b/>
                <w:color w:val="005CA9"/>
                <w:sz w:val="16"/>
                <w:szCs w:val="16"/>
              </w:rPr>
            </w:pPr>
          </w:p>
        </w:tc>
        <w:tc>
          <w:tcPr>
            <w:tcW w:w="398" w:type="pct"/>
            <w:vMerge/>
            <w:tcBorders>
              <w:top w:val="nil"/>
              <w:left w:val="nil"/>
              <w:bottom w:val="single" w:sz="4" w:space="0" w:color="F39200"/>
              <w:right w:val="nil"/>
            </w:tcBorders>
            <w:vAlign w:val="center"/>
            <w:hideMark/>
          </w:tcPr>
          <w:p w14:paraId="2F373119" w14:textId="77777777" w:rsidR="009307AA" w:rsidRPr="00E20D21" w:rsidRDefault="009307AA" w:rsidP="008931E0">
            <w:pPr>
              <w:jc w:val="right"/>
              <w:rPr>
                <w:rFonts w:ascii="CAIXA Std Book" w:eastAsia="Times New Roman" w:hAnsi="CAIXA Std Book" w:cs="Arial"/>
                <w:b/>
                <w:color w:val="005CA9"/>
                <w:sz w:val="16"/>
                <w:szCs w:val="16"/>
              </w:rPr>
            </w:pPr>
          </w:p>
        </w:tc>
        <w:tc>
          <w:tcPr>
            <w:tcW w:w="398" w:type="pct"/>
            <w:vMerge/>
            <w:tcBorders>
              <w:top w:val="nil"/>
              <w:left w:val="nil"/>
              <w:bottom w:val="single" w:sz="4" w:space="0" w:color="F39200"/>
              <w:right w:val="nil"/>
            </w:tcBorders>
            <w:vAlign w:val="center"/>
            <w:hideMark/>
          </w:tcPr>
          <w:p w14:paraId="73636159" w14:textId="77777777" w:rsidR="009307AA" w:rsidRPr="00E20D21" w:rsidRDefault="009307AA" w:rsidP="008931E0">
            <w:pPr>
              <w:jc w:val="right"/>
              <w:rPr>
                <w:rFonts w:ascii="CAIXA Std Book" w:eastAsia="Times New Roman" w:hAnsi="CAIXA Std Book" w:cs="Arial"/>
                <w:b/>
                <w:color w:val="005CA9"/>
                <w:sz w:val="16"/>
                <w:szCs w:val="16"/>
              </w:rPr>
            </w:pPr>
          </w:p>
        </w:tc>
        <w:tc>
          <w:tcPr>
            <w:tcW w:w="398" w:type="pct"/>
            <w:vMerge/>
            <w:tcBorders>
              <w:top w:val="nil"/>
              <w:left w:val="nil"/>
              <w:bottom w:val="single" w:sz="4" w:space="0" w:color="F39200"/>
              <w:right w:val="nil"/>
            </w:tcBorders>
            <w:vAlign w:val="center"/>
            <w:hideMark/>
          </w:tcPr>
          <w:p w14:paraId="469A884C" w14:textId="77777777" w:rsidR="009307AA" w:rsidRPr="00E20D21" w:rsidRDefault="009307AA" w:rsidP="008931E0">
            <w:pPr>
              <w:jc w:val="right"/>
              <w:rPr>
                <w:rFonts w:ascii="CAIXA Std Book" w:eastAsia="Times New Roman" w:hAnsi="CAIXA Std Book" w:cs="Arial"/>
                <w:b/>
                <w:color w:val="005CA9"/>
                <w:sz w:val="16"/>
                <w:szCs w:val="16"/>
              </w:rPr>
            </w:pPr>
          </w:p>
        </w:tc>
        <w:tc>
          <w:tcPr>
            <w:tcW w:w="398" w:type="pct"/>
            <w:vMerge/>
            <w:tcBorders>
              <w:top w:val="nil"/>
              <w:left w:val="nil"/>
              <w:bottom w:val="single" w:sz="4" w:space="0" w:color="F39200"/>
              <w:right w:val="nil"/>
            </w:tcBorders>
            <w:vAlign w:val="center"/>
            <w:hideMark/>
          </w:tcPr>
          <w:p w14:paraId="316B93EB" w14:textId="77777777" w:rsidR="009307AA" w:rsidRPr="00E20D21" w:rsidRDefault="009307AA" w:rsidP="008931E0">
            <w:pPr>
              <w:jc w:val="right"/>
              <w:rPr>
                <w:rFonts w:ascii="CAIXA Std Book" w:eastAsia="Times New Roman" w:hAnsi="CAIXA Std Book" w:cs="Arial"/>
                <w:b/>
                <w:color w:val="005CA9"/>
                <w:sz w:val="16"/>
                <w:szCs w:val="16"/>
              </w:rPr>
            </w:pPr>
          </w:p>
        </w:tc>
        <w:tc>
          <w:tcPr>
            <w:tcW w:w="398" w:type="pct"/>
            <w:vMerge/>
            <w:tcBorders>
              <w:top w:val="nil"/>
              <w:left w:val="nil"/>
              <w:bottom w:val="single" w:sz="4" w:space="0" w:color="F39200"/>
              <w:right w:val="nil"/>
            </w:tcBorders>
            <w:vAlign w:val="center"/>
            <w:hideMark/>
          </w:tcPr>
          <w:p w14:paraId="07165CB7" w14:textId="77777777" w:rsidR="009307AA" w:rsidRPr="00E20D21" w:rsidRDefault="009307AA" w:rsidP="008931E0">
            <w:pPr>
              <w:jc w:val="right"/>
              <w:rPr>
                <w:rFonts w:ascii="CAIXA Std Book" w:eastAsia="Times New Roman" w:hAnsi="CAIXA Std Book" w:cs="Arial"/>
                <w:b/>
                <w:color w:val="005CA9"/>
                <w:sz w:val="16"/>
                <w:szCs w:val="16"/>
              </w:rPr>
            </w:pPr>
          </w:p>
        </w:tc>
        <w:tc>
          <w:tcPr>
            <w:tcW w:w="396" w:type="pct"/>
            <w:vMerge/>
            <w:tcBorders>
              <w:top w:val="nil"/>
              <w:left w:val="nil"/>
              <w:bottom w:val="single" w:sz="4" w:space="0" w:color="F39200"/>
              <w:right w:val="nil"/>
            </w:tcBorders>
            <w:vAlign w:val="center"/>
            <w:hideMark/>
          </w:tcPr>
          <w:p w14:paraId="7FEF90BF" w14:textId="77777777" w:rsidR="009307AA" w:rsidRPr="00E20D21" w:rsidRDefault="009307AA" w:rsidP="008931E0">
            <w:pPr>
              <w:jc w:val="right"/>
              <w:rPr>
                <w:rFonts w:ascii="CAIXA Std Book" w:eastAsia="Times New Roman" w:hAnsi="CAIXA Std Book" w:cs="Arial"/>
                <w:b/>
                <w:color w:val="005CA9"/>
                <w:sz w:val="16"/>
                <w:szCs w:val="16"/>
              </w:rPr>
            </w:pPr>
          </w:p>
        </w:tc>
      </w:tr>
      <w:tr w:rsidR="00973492" w:rsidRPr="00E20D21" w14:paraId="35C4753F" w14:textId="77777777" w:rsidTr="006B671C">
        <w:trPr>
          <w:trHeight w:val="283"/>
        </w:trPr>
        <w:tc>
          <w:tcPr>
            <w:tcW w:w="1022" w:type="pct"/>
            <w:vAlign w:val="center"/>
            <w:hideMark/>
          </w:tcPr>
          <w:p w14:paraId="69A2CA63" w14:textId="77777777" w:rsidR="008931E0" w:rsidRPr="00E20D21" w:rsidRDefault="008931E0" w:rsidP="008931E0">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públicos</w:t>
            </w:r>
          </w:p>
        </w:tc>
        <w:tc>
          <w:tcPr>
            <w:tcW w:w="398" w:type="pct"/>
            <w:noWrap/>
            <w:vAlign w:val="center"/>
          </w:tcPr>
          <w:p w14:paraId="253B2C1B" w14:textId="4EED8DBC" w:rsidR="008931E0"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276.035.546</w:t>
            </w:r>
          </w:p>
        </w:tc>
        <w:tc>
          <w:tcPr>
            <w:tcW w:w="398" w:type="pct"/>
            <w:noWrap/>
            <w:vAlign w:val="center"/>
          </w:tcPr>
          <w:p w14:paraId="6A17D01D" w14:textId="0A6352D8" w:rsidR="008931E0"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(874.568)</w:t>
            </w:r>
          </w:p>
        </w:tc>
        <w:tc>
          <w:tcPr>
            <w:tcW w:w="398" w:type="pct"/>
            <w:noWrap/>
            <w:vAlign w:val="center"/>
          </w:tcPr>
          <w:p w14:paraId="2E97CD3D" w14:textId="1F6DF160" w:rsidR="008931E0"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(189.202)</w:t>
            </w:r>
          </w:p>
        </w:tc>
        <w:tc>
          <w:tcPr>
            <w:tcW w:w="398" w:type="pct"/>
            <w:noWrap/>
            <w:vAlign w:val="center"/>
          </w:tcPr>
          <w:p w14:paraId="10A97BCC" w14:textId="57D1BF99" w:rsidR="008931E0"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274.971.776</w:t>
            </w:r>
          </w:p>
        </w:tc>
        <w:tc>
          <w:tcPr>
            <w:tcW w:w="398" w:type="pct"/>
            <w:noWrap/>
            <w:vAlign w:val="center"/>
          </w:tcPr>
          <w:p w14:paraId="50FF0465" w14:textId="24B0349D" w:rsidR="008931E0"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274.976.129</w:t>
            </w:r>
          </w:p>
        </w:tc>
        <w:tc>
          <w:tcPr>
            <w:tcW w:w="398" w:type="pct"/>
            <w:noWrap/>
            <w:vAlign w:val="center"/>
          </w:tcPr>
          <w:p w14:paraId="625874E0" w14:textId="16DF3152" w:rsidR="008931E0" w:rsidRPr="00E20D21" w:rsidRDefault="00B74A06" w:rsidP="00973492">
            <w:pPr>
              <w:jc w:val="center"/>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w:t>
            </w:r>
          </w:p>
        </w:tc>
        <w:tc>
          <w:tcPr>
            <w:tcW w:w="398" w:type="pct"/>
            <w:noWrap/>
            <w:vAlign w:val="center"/>
          </w:tcPr>
          <w:p w14:paraId="76889B93" w14:textId="0B73D8CE" w:rsidR="008931E0"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2.447.039</w:t>
            </w:r>
          </w:p>
        </w:tc>
        <w:tc>
          <w:tcPr>
            <w:tcW w:w="398" w:type="pct"/>
            <w:noWrap/>
            <w:vAlign w:val="center"/>
          </w:tcPr>
          <w:p w14:paraId="71C54D50" w14:textId="76510B48" w:rsidR="008931E0" w:rsidRPr="00E20D21" w:rsidRDefault="00B74A06" w:rsidP="00973492">
            <w:pPr>
              <w:jc w:val="center"/>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w:t>
            </w:r>
          </w:p>
        </w:tc>
        <w:tc>
          <w:tcPr>
            <w:tcW w:w="398" w:type="pct"/>
            <w:noWrap/>
            <w:vAlign w:val="center"/>
          </w:tcPr>
          <w:p w14:paraId="3933DA18" w14:textId="1E2ACF0E" w:rsidR="008931E0"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1.530.563</w:t>
            </w:r>
          </w:p>
        </w:tc>
        <w:tc>
          <w:tcPr>
            <w:tcW w:w="396" w:type="pct"/>
            <w:noWrap/>
            <w:vAlign w:val="center"/>
          </w:tcPr>
          <w:p w14:paraId="15429114" w14:textId="6B561656" w:rsidR="008931E0"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270.994.174</w:t>
            </w:r>
          </w:p>
        </w:tc>
      </w:tr>
      <w:tr w:rsidR="00973492" w:rsidRPr="00E20D21" w14:paraId="194F9BFC" w14:textId="77777777" w:rsidTr="006B671C">
        <w:trPr>
          <w:trHeight w:val="283"/>
        </w:trPr>
        <w:tc>
          <w:tcPr>
            <w:tcW w:w="1022" w:type="pct"/>
            <w:vAlign w:val="center"/>
            <w:hideMark/>
          </w:tcPr>
          <w:p w14:paraId="4CD2C894" w14:textId="77777777" w:rsidR="008931E0" w:rsidRPr="00E20D21" w:rsidRDefault="008931E0" w:rsidP="008931E0">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 do tesouro</w:t>
            </w:r>
          </w:p>
        </w:tc>
        <w:tc>
          <w:tcPr>
            <w:tcW w:w="398" w:type="pct"/>
            <w:noWrap/>
            <w:vAlign w:val="center"/>
          </w:tcPr>
          <w:p w14:paraId="4D65B5AC" w14:textId="60A3E1AB"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209.271.246</w:t>
            </w:r>
          </w:p>
        </w:tc>
        <w:tc>
          <w:tcPr>
            <w:tcW w:w="398" w:type="pct"/>
            <w:noWrap/>
            <w:vAlign w:val="center"/>
          </w:tcPr>
          <w:p w14:paraId="51F77481" w14:textId="0A1543DA"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105.525</w:t>
            </w:r>
          </w:p>
        </w:tc>
        <w:tc>
          <w:tcPr>
            <w:tcW w:w="398" w:type="pct"/>
            <w:noWrap/>
            <w:vAlign w:val="center"/>
          </w:tcPr>
          <w:p w14:paraId="1D3D5DB8" w14:textId="6CD8B6CB"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69.301</w:t>
            </w:r>
          </w:p>
        </w:tc>
        <w:tc>
          <w:tcPr>
            <w:tcW w:w="398" w:type="pct"/>
            <w:noWrap/>
            <w:vAlign w:val="center"/>
          </w:tcPr>
          <w:p w14:paraId="5641220D" w14:textId="50E97737"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209.446.072</w:t>
            </w:r>
          </w:p>
        </w:tc>
        <w:tc>
          <w:tcPr>
            <w:tcW w:w="398" w:type="pct"/>
            <w:noWrap/>
            <w:vAlign w:val="center"/>
          </w:tcPr>
          <w:p w14:paraId="1BC42E22" w14:textId="278F615B"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209.446.072</w:t>
            </w:r>
          </w:p>
        </w:tc>
        <w:tc>
          <w:tcPr>
            <w:tcW w:w="398" w:type="pct"/>
            <w:noWrap/>
            <w:vAlign w:val="center"/>
          </w:tcPr>
          <w:p w14:paraId="502A86EC" w14:textId="4296BADF"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0A86EAE6" w14:textId="2B8BDC8C"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74EE20E4" w14:textId="2F98B10A"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6E70B287" w14:textId="0FCC9FBB"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6" w:type="pct"/>
            <w:noWrap/>
            <w:vAlign w:val="center"/>
          </w:tcPr>
          <w:p w14:paraId="747DCDDD" w14:textId="38188D45"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209.446.072</w:t>
            </w:r>
          </w:p>
        </w:tc>
      </w:tr>
      <w:tr w:rsidR="00973492" w:rsidRPr="00E20D21" w14:paraId="0F04D9CA" w14:textId="77777777" w:rsidTr="006B671C">
        <w:trPr>
          <w:trHeight w:val="283"/>
        </w:trPr>
        <w:tc>
          <w:tcPr>
            <w:tcW w:w="1022" w:type="pct"/>
            <w:vAlign w:val="center"/>
            <w:hideMark/>
          </w:tcPr>
          <w:p w14:paraId="1E1FE066" w14:textId="77777777" w:rsidR="008931E0" w:rsidRPr="00E20D21" w:rsidRDefault="008931E0" w:rsidP="008931E0">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do tesouro nacional</w:t>
            </w:r>
          </w:p>
        </w:tc>
        <w:tc>
          <w:tcPr>
            <w:tcW w:w="398" w:type="pct"/>
            <w:noWrap/>
            <w:vAlign w:val="center"/>
          </w:tcPr>
          <w:p w14:paraId="47F07854" w14:textId="20F05CB8"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60.503.595</w:t>
            </w:r>
          </w:p>
        </w:tc>
        <w:tc>
          <w:tcPr>
            <w:tcW w:w="398" w:type="pct"/>
            <w:noWrap/>
            <w:vAlign w:val="center"/>
          </w:tcPr>
          <w:p w14:paraId="6F450F18" w14:textId="4021D1B7"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(950.906)</w:t>
            </w:r>
          </w:p>
        </w:tc>
        <w:tc>
          <w:tcPr>
            <w:tcW w:w="398" w:type="pct"/>
            <w:noWrap/>
            <w:vAlign w:val="center"/>
          </w:tcPr>
          <w:p w14:paraId="47611117" w14:textId="6C772F45"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(139.189)</w:t>
            </w:r>
          </w:p>
        </w:tc>
        <w:tc>
          <w:tcPr>
            <w:tcW w:w="398" w:type="pct"/>
            <w:noWrap/>
            <w:vAlign w:val="center"/>
          </w:tcPr>
          <w:p w14:paraId="71D9857B" w14:textId="335D6972"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59.413.500</w:t>
            </w:r>
          </w:p>
        </w:tc>
        <w:tc>
          <w:tcPr>
            <w:tcW w:w="398" w:type="pct"/>
            <w:noWrap/>
            <w:vAlign w:val="center"/>
          </w:tcPr>
          <w:p w14:paraId="40E2AFA0" w14:textId="21A30C2A"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59.413.500</w:t>
            </w:r>
          </w:p>
        </w:tc>
        <w:tc>
          <w:tcPr>
            <w:tcW w:w="398" w:type="pct"/>
            <w:noWrap/>
            <w:vAlign w:val="center"/>
          </w:tcPr>
          <w:p w14:paraId="53787559" w14:textId="07166142"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4F3ACA92" w14:textId="009DC4B9"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2.447.039</w:t>
            </w:r>
          </w:p>
        </w:tc>
        <w:tc>
          <w:tcPr>
            <w:tcW w:w="398" w:type="pct"/>
            <w:noWrap/>
            <w:vAlign w:val="center"/>
          </w:tcPr>
          <w:p w14:paraId="1D7A2AD1" w14:textId="3F9092F9"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72C95D5A" w14:textId="286322EA"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6" w:type="pct"/>
            <w:noWrap/>
            <w:vAlign w:val="center"/>
          </w:tcPr>
          <w:p w14:paraId="320F4633" w14:textId="7E3F42BF"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56.966.461</w:t>
            </w:r>
          </w:p>
        </w:tc>
      </w:tr>
      <w:tr w:rsidR="00973492" w:rsidRPr="00E20D21" w14:paraId="6E6840BC" w14:textId="77777777" w:rsidTr="006B671C">
        <w:trPr>
          <w:trHeight w:val="283"/>
        </w:trPr>
        <w:tc>
          <w:tcPr>
            <w:tcW w:w="1022" w:type="pct"/>
            <w:vAlign w:val="center"/>
            <w:hideMark/>
          </w:tcPr>
          <w:p w14:paraId="4823C3E5" w14:textId="77777777" w:rsidR="008931E0" w:rsidRPr="00E20D21" w:rsidRDefault="008931E0" w:rsidP="008931E0">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 do tesouro nacional</w:t>
            </w:r>
          </w:p>
        </w:tc>
        <w:tc>
          <w:tcPr>
            <w:tcW w:w="398" w:type="pct"/>
            <w:noWrap/>
            <w:vAlign w:val="center"/>
          </w:tcPr>
          <w:p w14:paraId="1F1EF3CC" w14:textId="5BF08E20"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5.962.551</w:t>
            </w:r>
          </w:p>
        </w:tc>
        <w:tc>
          <w:tcPr>
            <w:tcW w:w="398" w:type="pct"/>
            <w:noWrap/>
            <w:vAlign w:val="center"/>
          </w:tcPr>
          <w:p w14:paraId="017B9727" w14:textId="36893B77"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(29.187)</w:t>
            </w:r>
          </w:p>
        </w:tc>
        <w:tc>
          <w:tcPr>
            <w:tcW w:w="398" w:type="pct"/>
            <w:noWrap/>
            <w:vAlign w:val="center"/>
          </w:tcPr>
          <w:p w14:paraId="7D6275ED" w14:textId="49BB15E7"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(106.235)</w:t>
            </w:r>
          </w:p>
        </w:tc>
        <w:tc>
          <w:tcPr>
            <w:tcW w:w="398" w:type="pct"/>
            <w:noWrap/>
            <w:vAlign w:val="center"/>
          </w:tcPr>
          <w:p w14:paraId="4552FF3B" w14:textId="2944184F"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5.827.129</w:t>
            </w:r>
          </w:p>
        </w:tc>
        <w:tc>
          <w:tcPr>
            <w:tcW w:w="398" w:type="pct"/>
            <w:noWrap/>
            <w:vAlign w:val="center"/>
          </w:tcPr>
          <w:p w14:paraId="1C1662A9" w14:textId="34655CED"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5.831.482</w:t>
            </w:r>
          </w:p>
        </w:tc>
        <w:tc>
          <w:tcPr>
            <w:tcW w:w="398" w:type="pct"/>
            <w:noWrap/>
            <w:vAlign w:val="center"/>
          </w:tcPr>
          <w:p w14:paraId="21D3BA46" w14:textId="2FAABBDA"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529DD0D7" w14:textId="43F5662C"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0B61B7E7" w14:textId="385D86DE"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3ED8CCB2" w14:textId="770BC72A"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1.530.563</w:t>
            </w:r>
          </w:p>
        </w:tc>
        <w:tc>
          <w:tcPr>
            <w:tcW w:w="396" w:type="pct"/>
            <w:noWrap/>
            <w:vAlign w:val="center"/>
          </w:tcPr>
          <w:p w14:paraId="1E318FD9" w14:textId="19E49244"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4.296.566</w:t>
            </w:r>
          </w:p>
        </w:tc>
      </w:tr>
      <w:tr w:rsidR="00973492" w:rsidRPr="00E20D21" w14:paraId="21365E5A" w14:textId="77777777" w:rsidTr="006B671C">
        <w:trPr>
          <w:trHeight w:val="283"/>
        </w:trPr>
        <w:tc>
          <w:tcPr>
            <w:tcW w:w="1022" w:type="pct"/>
            <w:vAlign w:val="center"/>
            <w:hideMark/>
          </w:tcPr>
          <w:p w14:paraId="30886263" w14:textId="77777777" w:rsidR="008931E0" w:rsidRPr="00E20D21" w:rsidRDefault="008931E0" w:rsidP="008931E0">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Tesouro nacional/securitização</w:t>
            </w:r>
          </w:p>
        </w:tc>
        <w:tc>
          <w:tcPr>
            <w:tcW w:w="398" w:type="pct"/>
            <w:noWrap/>
            <w:vAlign w:val="center"/>
          </w:tcPr>
          <w:p w14:paraId="7B332DA1" w14:textId="70CC05DB"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298.154</w:t>
            </w:r>
          </w:p>
        </w:tc>
        <w:tc>
          <w:tcPr>
            <w:tcW w:w="398" w:type="pct"/>
            <w:noWrap/>
            <w:vAlign w:val="center"/>
          </w:tcPr>
          <w:p w14:paraId="756A6622" w14:textId="5E098384"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0DDD0EE1" w14:textId="2E073A98"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(13.079)</w:t>
            </w:r>
          </w:p>
        </w:tc>
        <w:tc>
          <w:tcPr>
            <w:tcW w:w="398" w:type="pct"/>
            <w:noWrap/>
            <w:vAlign w:val="center"/>
          </w:tcPr>
          <w:p w14:paraId="74909032" w14:textId="665F9250"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285.075</w:t>
            </w:r>
          </w:p>
        </w:tc>
        <w:tc>
          <w:tcPr>
            <w:tcW w:w="398" w:type="pct"/>
            <w:noWrap/>
            <w:vAlign w:val="center"/>
          </w:tcPr>
          <w:p w14:paraId="68F8D2C9" w14:textId="7B7CF0A2"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285.075</w:t>
            </w:r>
          </w:p>
        </w:tc>
        <w:tc>
          <w:tcPr>
            <w:tcW w:w="398" w:type="pct"/>
            <w:noWrap/>
            <w:vAlign w:val="center"/>
          </w:tcPr>
          <w:p w14:paraId="2CBB5657" w14:textId="0328746F"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29EC21F8" w14:textId="42078A49"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62E0032E" w14:textId="3650E2B2"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46E6DE9E" w14:textId="58159EC7"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6" w:type="pct"/>
            <w:noWrap/>
            <w:vAlign w:val="center"/>
          </w:tcPr>
          <w:p w14:paraId="21F72440" w14:textId="50792982"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285.075</w:t>
            </w:r>
          </w:p>
        </w:tc>
      </w:tr>
      <w:tr w:rsidR="00CA27A7" w:rsidRPr="00E20D21" w14:paraId="0961537A" w14:textId="77777777" w:rsidTr="006B671C">
        <w:trPr>
          <w:trHeight w:val="283"/>
        </w:trPr>
        <w:tc>
          <w:tcPr>
            <w:tcW w:w="1022" w:type="pct"/>
            <w:vAlign w:val="center"/>
            <w:hideMark/>
          </w:tcPr>
          <w:p w14:paraId="3DCE77E4" w14:textId="77777777" w:rsidR="00CA27A7" w:rsidRPr="00E20D21" w:rsidRDefault="00CA27A7" w:rsidP="00CA27A7">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 empresas</w:t>
            </w:r>
          </w:p>
        </w:tc>
        <w:tc>
          <w:tcPr>
            <w:tcW w:w="398" w:type="pct"/>
            <w:noWrap/>
            <w:vAlign w:val="center"/>
          </w:tcPr>
          <w:p w14:paraId="34DA2D76" w14:textId="533A4BAC"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16.928.549</w:t>
            </w:r>
          </w:p>
        </w:tc>
        <w:tc>
          <w:tcPr>
            <w:tcW w:w="398" w:type="pct"/>
            <w:noWrap/>
            <w:vAlign w:val="center"/>
          </w:tcPr>
          <w:p w14:paraId="310ED438" w14:textId="7E75F174"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(100.458)</w:t>
            </w:r>
          </w:p>
        </w:tc>
        <w:tc>
          <w:tcPr>
            <w:tcW w:w="398" w:type="pct"/>
            <w:noWrap/>
            <w:vAlign w:val="center"/>
          </w:tcPr>
          <w:p w14:paraId="20F045B5" w14:textId="0DBCE588"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1.102.041</w:t>
            </w:r>
          </w:p>
        </w:tc>
        <w:tc>
          <w:tcPr>
            <w:tcW w:w="398" w:type="pct"/>
            <w:noWrap/>
            <w:vAlign w:val="center"/>
          </w:tcPr>
          <w:p w14:paraId="3CAEF0AB" w14:textId="22BE4596"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17.930.132</w:t>
            </w:r>
          </w:p>
        </w:tc>
        <w:tc>
          <w:tcPr>
            <w:tcW w:w="398" w:type="pct"/>
            <w:noWrap/>
            <w:vAlign w:val="center"/>
          </w:tcPr>
          <w:p w14:paraId="1E53A7A4" w14:textId="7880414A"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17.287.669</w:t>
            </w:r>
          </w:p>
        </w:tc>
        <w:tc>
          <w:tcPr>
            <w:tcW w:w="398" w:type="pct"/>
            <w:noWrap/>
            <w:vAlign w:val="center"/>
          </w:tcPr>
          <w:p w14:paraId="0A52F80D" w14:textId="7F42D7C3"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2.661.479</w:t>
            </w:r>
          </w:p>
        </w:tc>
        <w:tc>
          <w:tcPr>
            <w:tcW w:w="398" w:type="pct"/>
            <w:noWrap/>
            <w:vAlign w:val="center"/>
          </w:tcPr>
          <w:p w14:paraId="2C02CA6A" w14:textId="6A8FA1A3"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289.987</w:t>
            </w:r>
          </w:p>
        </w:tc>
        <w:tc>
          <w:tcPr>
            <w:tcW w:w="398" w:type="pct"/>
            <w:noWrap/>
            <w:vAlign w:val="center"/>
          </w:tcPr>
          <w:p w14:paraId="021C0720" w14:textId="54D73279"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426.049</w:t>
            </w:r>
          </w:p>
        </w:tc>
        <w:tc>
          <w:tcPr>
            <w:tcW w:w="398" w:type="pct"/>
            <w:noWrap/>
            <w:vAlign w:val="center"/>
          </w:tcPr>
          <w:p w14:paraId="0849F619" w14:textId="584FC323"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894.852</w:t>
            </w:r>
          </w:p>
        </w:tc>
        <w:tc>
          <w:tcPr>
            <w:tcW w:w="396" w:type="pct"/>
            <w:noWrap/>
            <w:vAlign w:val="center"/>
          </w:tcPr>
          <w:p w14:paraId="1872DBA7" w14:textId="565A9214"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13.657.765</w:t>
            </w:r>
          </w:p>
        </w:tc>
      </w:tr>
      <w:tr w:rsidR="00CA27A7" w:rsidRPr="00E20D21" w14:paraId="1F213AF4" w14:textId="77777777" w:rsidTr="006B671C">
        <w:trPr>
          <w:trHeight w:val="283"/>
        </w:trPr>
        <w:tc>
          <w:tcPr>
            <w:tcW w:w="1022" w:type="pct"/>
            <w:vAlign w:val="center"/>
            <w:hideMark/>
          </w:tcPr>
          <w:p w14:paraId="75CC344A" w14:textId="77777777" w:rsidR="00CA27A7" w:rsidRPr="00E20D21" w:rsidRDefault="00CA27A7" w:rsidP="00CA27A7">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Debêntures</w:t>
            </w:r>
          </w:p>
        </w:tc>
        <w:tc>
          <w:tcPr>
            <w:tcW w:w="398" w:type="pct"/>
            <w:noWrap/>
            <w:vAlign w:val="center"/>
          </w:tcPr>
          <w:p w14:paraId="35FEEF96" w14:textId="6BCB1AE6"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7.186.460</w:t>
            </w:r>
          </w:p>
        </w:tc>
        <w:tc>
          <w:tcPr>
            <w:tcW w:w="398" w:type="pct"/>
            <w:noWrap/>
            <w:vAlign w:val="center"/>
          </w:tcPr>
          <w:p w14:paraId="103A108E" w14:textId="69D3CA82"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(9.025)</w:t>
            </w:r>
          </w:p>
        </w:tc>
        <w:tc>
          <w:tcPr>
            <w:tcW w:w="398" w:type="pct"/>
            <w:noWrap/>
            <w:vAlign w:val="center"/>
          </w:tcPr>
          <w:p w14:paraId="1E99E0DE" w14:textId="7D0CDF39"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60.002</w:t>
            </w:r>
          </w:p>
        </w:tc>
        <w:tc>
          <w:tcPr>
            <w:tcW w:w="398" w:type="pct"/>
            <w:noWrap/>
            <w:vAlign w:val="center"/>
          </w:tcPr>
          <w:p w14:paraId="105470DB" w14:textId="71DC9387"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7.237.437</w:t>
            </w:r>
          </w:p>
        </w:tc>
        <w:tc>
          <w:tcPr>
            <w:tcW w:w="398" w:type="pct"/>
            <w:noWrap/>
            <w:vAlign w:val="center"/>
          </w:tcPr>
          <w:p w14:paraId="127A2A9F" w14:textId="36148BC5"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6.439.527</w:t>
            </w:r>
          </w:p>
        </w:tc>
        <w:tc>
          <w:tcPr>
            <w:tcW w:w="398" w:type="pct"/>
            <w:noWrap/>
            <w:vAlign w:val="center"/>
          </w:tcPr>
          <w:p w14:paraId="73C1DDEA" w14:textId="61E9C03F" w:rsidR="00CA27A7" w:rsidRPr="00E20D21" w:rsidRDefault="00CA27A7" w:rsidP="00CA27A7">
            <w:pPr>
              <w:jc w:val="center"/>
              <w:rPr>
                <w:rFonts w:ascii="CAIXA Std Book" w:hAnsi="CAIXA Std Book" w:cs="Arial"/>
                <w:b/>
                <w:bCs/>
                <w:color w:val="005CA9"/>
                <w:sz w:val="16"/>
                <w:szCs w:val="16"/>
              </w:rPr>
            </w:pPr>
            <w:r w:rsidRPr="00E20D21">
              <w:rPr>
                <w:rFonts w:ascii="CAIXA Std Book" w:hAnsi="CAIXA Std Book" w:cs="Arial"/>
                <w:b/>
                <w:bCs/>
                <w:color w:val="005CA9"/>
                <w:sz w:val="16"/>
                <w:szCs w:val="16"/>
              </w:rPr>
              <w:t>-</w:t>
            </w:r>
          </w:p>
        </w:tc>
        <w:tc>
          <w:tcPr>
            <w:tcW w:w="398" w:type="pct"/>
            <w:noWrap/>
            <w:vAlign w:val="center"/>
          </w:tcPr>
          <w:p w14:paraId="6F6B5723" w14:textId="78EC208B" w:rsidR="00CA27A7" w:rsidRPr="00E20D21" w:rsidRDefault="00CA27A7" w:rsidP="00CA27A7">
            <w:pPr>
              <w:jc w:val="center"/>
              <w:rPr>
                <w:rFonts w:ascii="CAIXA Std Book" w:hAnsi="CAIXA Std Book" w:cs="Arial"/>
                <w:b/>
                <w:bCs/>
                <w:color w:val="005CA9"/>
                <w:sz w:val="16"/>
                <w:szCs w:val="16"/>
              </w:rPr>
            </w:pPr>
            <w:r w:rsidRPr="00E20D21">
              <w:rPr>
                <w:rFonts w:ascii="CAIXA Std Book" w:hAnsi="CAIXA Std Book" w:cs="Arial"/>
                <w:b/>
                <w:bCs/>
                <w:color w:val="005CA9"/>
                <w:sz w:val="16"/>
                <w:szCs w:val="16"/>
              </w:rPr>
              <w:t>-</w:t>
            </w:r>
          </w:p>
        </w:tc>
        <w:tc>
          <w:tcPr>
            <w:tcW w:w="398" w:type="pct"/>
            <w:noWrap/>
            <w:vAlign w:val="center"/>
          </w:tcPr>
          <w:p w14:paraId="03FAC0BF" w14:textId="203C90CB" w:rsidR="00CA27A7" w:rsidRPr="00E20D21" w:rsidRDefault="00CA27A7" w:rsidP="00CA27A7">
            <w:pPr>
              <w:jc w:val="center"/>
              <w:rPr>
                <w:rFonts w:ascii="CAIXA Std Book" w:hAnsi="CAIXA Std Book" w:cs="Arial"/>
                <w:b/>
                <w:bCs/>
                <w:color w:val="005CA9"/>
                <w:sz w:val="16"/>
                <w:szCs w:val="16"/>
              </w:rPr>
            </w:pPr>
            <w:r w:rsidRPr="00E20D21">
              <w:rPr>
                <w:rFonts w:ascii="CAIXA Std Book" w:hAnsi="CAIXA Std Book" w:cs="Arial"/>
                <w:b/>
                <w:bCs/>
                <w:color w:val="005CA9"/>
                <w:sz w:val="16"/>
                <w:szCs w:val="16"/>
              </w:rPr>
              <w:t>-</w:t>
            </w:r>
          </w:p>
        </w:tc>
        <w:tc>
          <w:tcPr>
            <w:tcW w:w="398" w:type="pct"/>
            <w:noWrap/>
            <w:vAlign w:val="center"/>
          </w:tcPr>
          <w:p w14:paraId="45C10992" w14:textId="5AFC586A"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25.149</w:t>
            </w:r>
          </w:p>
        </w:tc>
        <w:tc>
          <w:tcPr>
            <w:tcW w:w="396" w:type="pct"/>
            <w:noWrap/>
            <w:vAlign w:val="center"/>
          </w:tcPr>
          <w:p w14:paraId="199909FF" w14:textId="1F7715E4"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7.212.288</w:t>
            </w:r>
          </w:p>
        </w:tc>
      </w:tr>
      <w:tr w:rsidR="00973492" w:rsidRPr="00E20D21" w14:paraId="1E22F7B0" w14:textId="77777777" w:rsidTr="006B671C">
        <w:trPr>
          <w:trHeight w:val="283"/>
        </w:trPr>
        <w:tc>
          <w:tcPr>
            <w:tcW w:w="1022" w:type="pct"/>
            <w:vAlign w:val="center"/>
            <w:hideMark/>
          </w:tcPr>
          <w:p w14:paraId="58DF68C6" w14:textId="77777777" w:rsidR="008931E0" w:rsidRPr="00E20D21" w:rsidRDefault="008931E0" w:rsidP="008931E0">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 Promissória</w:t>
            </w:r>
          </w:p>
        </w:tc>
        <w:tc>
          <w:tcPr>
            <w:tcW w:w="398" w:type="pct"/>
            <w:noWrap/>
            <w:vAlign w:val="center"/>
          </w:tcPr>
          <w:p w14:paraId="0DC34E5F" w14:textId="427A24F8"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239.467</w:t>
            </w:r>
          </w:p>
        </w:tc>
        <w:tc>
          <w:tcPr>
            <w:tcW w:w="398" w:type="pct"/>
            <w:noWrap/>
            <w:vAlign w:val="center"/>
          </w:tcPr>
          <w:p w14:paraId="18A24F35" w14:textId="62E908CC"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25C55CAD" w14:textId="2103579F"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1.153</w:t>
            </w:r>
          </w:p>
        </w:tc>
        <w:tc>
          <w:tcPr>
            <w:tcW w:w="398" w:type="pct"/>
            <w:noWrap/>
            <w:vAlign w:val="center"/>
          </w:tcPr>
          <w:p w14:paraId="1F812A12" w14:textId="18453C9D"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240.620</w:t>
            </w:r>
          </w:p>
        </w:tc>
        <w:tc>
          <w:tcPr>
            <w:tcW w:w="398" w:type="pct"/>
            <w:noWrap/>
            <w:vAlign w:val="center"/>
          </w:tcPr>
          <w:p w14:paraId="3937CA7C" w14:textId="3333224F"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240.620</w:t>
            </w:r>
          </w:p>
        </w:tc>
        <w:tc>
          <w:tcPr>
            <w:tcW w:w="398" w:type="pct"/>
            <w:noWrap/>
            <w:vAlign w:val="center"/>
          </w:tcPr>
          <w:p w14:paraId="2C5FB7A3" w14:textId="4BB81148"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6F14B1B8" w14:textId="6F7BD62A"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07F2C0F4" w14:textId="7CD3EF62"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06E113B5" w14:textId="6993729E"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6" w:type="pct"/>
            <w:noWrap/>
            <w:vAlign w:val="center"/>
          </w:tcPr>
          <w:p w14:paraId="03BDA9AD" w14:textId="58A10684"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240.620</w:t>
            </w:r>
          </w:p>
        </w:tc>
      </w:tr>
      <w:tr w:rsidR="00973492" w:rsidRPr="00E20D21" w14:paraId="34E250C0" w14:textId="77777777" w:rsidTr="006B671C">
        <w:trPr>
          <w:trHeight w:val="283"/>
        </w:trPr>
        <w:tc>
          <w:tcPr>
            <w:tcW w:w="1022" w:type="pct"/>
            <w:vAlign w:val="center"/>
            <w:hideMark/>
          </w:tcPr>
          <w:p w14:paraId="3E84EA5D" w14:textId="77777777" w:rsidR="008931E0" w:rsidRPr="00E20D21" w:rsidRDefault="008931E0" w:rsidP="008931E0">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Cotas de fundos</w:t>
            </w:r>
          </w:p>
        </w:tc>
        <w:tc>
          <w:tcPr>
            <w:tcW w:w="398" w:type="pct"/>
            <w:noWrap/>
            <w:vAlign w:val="center"/>
          </w:tcPr>
          <w:p w14:paraId="0C1FB9F2" w14:textId="3483DE1B"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1.612.302</w:t>
            </w:r>
          </w:p>
        </w:tc>
        <w:tc>
          <w:tcPr>
            <w:tcW w:w="398" w:type="pct"/>
            <w:noWrap/>
            <w:vAlign w:val="center"/>
          </w:tcPr>
          <w:p w14:paraId="382D2952" w14:textId="41EC77B8"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3796EF4E" w14:textId="27B99361"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1.032.459</w:t>
            </w:r>
          </w:p>
        </w:tc>
        <w:tc>
          <w:tcPr>
            <w:tcW w:w="398" w:type="pct"/>
            <w:noWrap/>
            <w:vAlign w:val="center"/>
          </w:tcPr>
          <w:p w14:paraId="346745E0" w14:textId="1557B94C"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2.644.761</w:t>
            </w:r>
          </w:p>
        </w:tc>
        <w:tc>
          <w:tcPr>
            <w:tcW w:w="398" w:type="pct"/>
            <w:noWrap/>
            <w:vAlign w:val="center"/>
          </w:tcPr>
          <w:p w14:paraId="78F0613D" w14:textId="616C4FE8"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2.644.761</w:t>
            </w:r>
          </w:p>
        </w:tc>
        <w:tc>
          <w:tcPr>
            <w:tcW w:w="398" w:type="pct"/>
            <w:noWrap/>
            <w:vAlign w:val="center"/>
          </w:tcPr>
          <w:p w14:paraId="38CF4A36" w14:textId="13425312"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2.644.761</w:t>
            </w:r>
          </w:p>
        </w:tc>
        <w:tc>
          <w:tcPr>
            <w:tcW w:w="398" w:type="pct"/>
            <w:noWrap/>
            <w:vAlign w:val="center"/>
          </w:tcPr>
          <w:p w14:paraId="035EC693" w14:textId="7279A091"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65F4976B" w14:textId="3F11E25F"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7361CF8A" w14:textId="2C262E8E"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6" w:type="pct"/>
            <w:noWrap/>
            <w:vAlign w:val="center"/>
          </w:tcPr>
          <w:p w14:paraId="0A63E203" w14:textId="4FD4C178"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r>
      <w:tr w:rsidR="00973492" w:rsidRPr="00E20D21" w14:paraId="0175E498" w14:textId="77777777" w:rsidTr="006B671C">
        <w:trPr>
          <w:trHeight w:val="283"/>
        </w:trPr>
        <w:tc>
          <w:tcPr>
            <w:tcW w:w="1022" w:type="pct"/>
            <w:vAlign w:val="center"/>
            <w:hideMark/>
          </w:tcPr>
          <w:p w14:paraId="6940B069" w14:textId="5AF9CF6A" w:rsidR="008931E0" w:rsidRPr="00E20D21" w:rsidRDefault="008931E0" w:rsidP="008931E0">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xml:space="preserve">Certificado de recebíveis </w:t>
            </w:r>
            <w:r w:rsidR="00973492" w:rsidRPr="00E20D21">
              <w:rPr>
                <w:rFonts w:ascii="CAIXA Std Book" w:eastAsia="Times New Roman" w:hAnsi="CAIXA Std Book" w:cs="Arial"/>
                <w:color w:val="005CA9"/>
                <w:sz w:val="16"/>
                <w:szCs w:val="16"/>
              </w:rPr>
              <w:t xml:space="preserve">    </w:t>
            </w:r>
            <w:r w:rsidRPr="00E20D21">
              <w:rPr>
                <w:rFonts w:ascii="CAIXA Std Book" w:eastAsia="Times New Roman" w:hAnsi="CAIXA Std Book" w:cs="Arial"/>
                <w:color w:val="005CA9"/>
                <w:sz w:val="16"/>
                <w:szCs w:val="16"/>
              </w:rPr>
              <w:t>imobiliários</w:t>
            </w:r>
          </w:p>
        </w:tc>
        <w:tc>
          <w:tcPr>
            <w:tcW w:w="398" w:type="pct"/>
            <w:noWrap/>
            <w:vAlign w:val="center"/>
          </w:tcPr>
          <w:p w14:paraId="71BCA41A" w14:textId="300F082A"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3.523.879</w:t>
            </w:r>
          </w:p>
        </w:tc>
        <w:tc>
          <w:tcPr>
            <w:tcW w:w="398" w:type="pct"/>
            <w:noWrap/>
            <w:vAlign w:val="center"/>
          </w:tcPr>
          <w:p w14:paraId="6CF0723A" w14:textId="4BB8F87E"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5F5B13C7" w14:textId="1221CD52"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(43.794)</w:t>
            </w:r>
          </w:p>
        </w:tc>
        <w:tc>
          <w:tcPr>
            <w:tcW w:w="398" w:type="pct"/>
            <w:noWrap/>
            <w:vAlign w:val="center"/>
          </w:tcPr>
          <w:p w14:paraId="4412AB1C" w14:textId="35CE8A92"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3.480.085</w:t>
            </w:r>
          </w:p>
        </w:tc>
        <w:tc>
          <w:tcPr>
            <w:tcW w:w="398" w:type="pct"/>
            <w:noWrap/>
            <w:vAlign w:val="center"/>
          </w:tcPr>
          <w:p w14:paraId="1B3B27A4" w14:textId="4FA6DD54"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3.635.532</w:t>
            </w:r>
          </w:p>
        </w:tc>
        <w:tc>
          <w:tcPr>
            <w:tcW w:w="398" w:type="pct"/>
            <w:noWrap/>
            <w:vAlign w:val="center"/>
          </w:tcPr>
          <w:p w14:paraId="476C8995" w14:textId="4F85B4A2"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29E6EC27" w14:textId="576F91E0"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1AFE5189" w14:textId="6E3C3535"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298AC58B" w14:textId="16D2359B"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6" w:type="pct"/>
            <w:noWrap/>
            <w:vAlign w:val="center"/>
          </w:tcPr>
          <w:p w14:paraId="4BC937FE" w14:textId="195F3ED2"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3.480.085</w:t>
            </w:r>
          </w:p>
        </w:tc>
      </w:tr>
      <w:tr w:rsidR="00973492" w:rsidRPr="00E20D21" w14:paraId="241E5CD8" w14:textId="77777777" w:rsidTr="006B671C">
        <w:trPr>
          <w:trHeight w:val="283"/>
        </w:trPr>
        <w:tc>
          <w:tcPr>
            <w:tcW w:w="1022" w:type="pct"/>
            <w:vAlign w:val="center"/>
            <w:hideMark/>
          </w:tcPr>
          <w:p w14:paraId="22CF3C1D" w14:textId="77777777" w:rsidR="008931E0" w:rsidRPr="00E20D21" w:rsidRDefault="008931E0" w:rsidP="008931E0">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Ações</w:t>
            </w:r>
          </w:p>
        </w:tc>
        <w:tc>
          <w:tcPr>
            <w:tcW w:w="398" w:type="pct"/>
            <w:noWrap/>
            <w:vAlign w:val="center"/>
          </w:tcPr>
          <w:p w14:paraId="0341F46A" w14:textId="75F9CB03"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114.033</w:t>
            </w:r>
          </w:p>
        </w:tc>
        <w:tc>
          <w:tcPr>
            <w:tcW w:w="398" w:type="pct"/>
            <w:noWrap/>
            <w:vAlign w:val="center"/>
          </w:tcPr>
          <w:p w14:paraId="144A3740" w14:textId="0AEE324C"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(91.433)</w:t>
            </w:r>
          </w:p>
        </w:tc>
        <w:tc>
          <w:tcPr>
            <w:tcW w:w="398" w:type="pct"/>
            <w:noWrap/>
            <w:vAlign w:val="center"/>
          </w:tcPr>
          <w:p w14:paraId="7E365EF0" w14:textId="6F0C38FE"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(5.882)</w:t>
            </w:r>
          </w:p>
        </w:tc>
        <w:tc>
          <w:tcPr>
            <w:tcW w:w="398" w:type="pct"/>
            <w:noWrap/>
            <w:vAlign w:val="center"/>
          </w:tcPr>
          <w:p w14:paraId="06E51DBB" w14:textId="42F348A2"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16.718</w:t>
            </w:r>
          </w:p>
        </w:tc>
        <w:tc>
          <w:tcPr>
            <w:tcW w:w="398" w:type="pct"/>
            <w:noWrap/>
            <w:vAlign w:val="center"/>
          </w:tcPr>
          <w:p w14:paraId="1EB24675" w14:textId="0A36391C"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16.718</w:t>
            </w:r>
          </w:p>
        </w:tc>
        <w:tc>
          <w:tcPr>
            <w:tcW w:w="398" w:type="pct"/>
            <w:noWrap/>
            <w:vAlign w:val="center"/>
          </w:tcPr>
          <w:p w14:paraId="3845C0D5" w14:textId="5D399ADF"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16.718</w:t>
            </w:r>
          </w:p>
        </w:tc>
        <w:tc>
          <w:tcPr>
            <w:tcW w:w="398" w:type="pct"/>
            <w:noWrap/>
            <w:vAlign w:val="center"/>
          </w:tcPr>
          <w:p w14:paraId="67038C69" w14:textId="05F74398"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0E2E7A9B" w14:textId="79E8C4E1"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28223359" w14:textId="71D5E173"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6" w:type="pct"/>
            <w:noWrap/>
            <w:vAlign w:val="center"/>
          </w:tcPr>
          <w:p w14:paraId="4318A929" w14:textId="3536E067"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r>
      <w:tr w:rsidR="00973492" w:rsidRPr="00E20D21" w14:paraId="560460E1" w14:textId="77777777" w:rsidTr="006B671C">
        <w:trPr>
          <w:trHeight w:val="283"/>
        </w:trPr>
        <w:tc>
          <w:tcPr>
            <w:tcW w:w="1022" w:type="pct"/>
            <w:vAlign w:val="center"/>
            <w:hideMark/>
          </w:tcPr>
          <w:p w14:paraId="3BDC80DE" w14:textId="77777777" w:rsidR="008931E0" w:rsidRPr="00E20D21" w:rsidRDefault="008931E0" w:rsidP="008931E0">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w:t>
            </w:r>
          </w:p>
        </w:tc>
        <w:tc>
          <w:tcPr>
            <w:tcW w:w="398" w:type="pct"/>
            <w:noWrap/>
            <w:vAlign w:val="center"/>
          </w:tcPr>
          <w:p w14:paraId="1548998C" w14:textId="154BB15A"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3.737.813</w:t>
            </w:r>
          </w:p>
        </w:tc>
        <w:tc>
          <w:tcPr>
            <w:tcW w:w="398" w:type="pct"/>
            <w:noWrap/>
            <w:vAlign w:val="center"/>
          </w:tcPr>
          <w:p w14:paraId="1D373B9F" w14:textId="13DF8CAF"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6AF6F93B" w14:textId="0224D7E4"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53.836</w:t>
            </w:r>
          </w:p>
        </w:tc>
        <w:tc>
          <w:tcPr>
            <w:tcW w:w="398" w:type="pct"/>
            <w:noWrap/>
            <w:vAlign w:val="center"/>
          </w:tcPr>
          <w:p w14:paraId="1FC44EA9" w14:textId="5A7AEFC9"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3.791.649</w:t>
            </w:r>
          </w:p>
        </w:tc>
        <w:tc>
          <w:tcPr>
            <w:tcW w:w="398" w:type="pct"/>
            <w:noWrap/>
            <w:vAlign w:val="center"/>
          </w:tcPr>
          <w:p w14:paraId="490A778B" w14:textId="394DE76F"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3.791.649</w:t>
            </w:r>
          </w:p>
        </w:tc>
        <w:tc>
          <w:tcPr>
            <w:tcW w:w="398" w:type="pct"/>
            <w:noWrap/>
            <w:vAlign w:val="center"/>
          </w:tcPr>
          <w:p w14:paraId="3198FAA5" w14:textId="7CB47000" w:rsidR="008931E0" w:rsidRPr="00E20D21" w:rsidRDefault="00B74A06" w:rsidP="0097349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54D45C0A" w14:textId="3139B8AC"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289.987</w:t>
            </w:r>
          </w:p>
        </w:tc>
        <w:tc>
          <w:tcPr>
            <w:tcW w:w="398" w:type="pct"/>
            <w:noWrap/>
            <w:vAlign w:val="center"/>
          </w:tcPr>
          <w:p w14:paraId="71DBCC23" w14:textId="0E6E5DF4"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426.049</w:t>
            </w:r>
          </w:p>
        </w:tc>
        <w:tc>
          <w:tcPr>
            <w:tcW w:w="398" w:type="pct"/>
            <w:noWrap/>
            <w:vAlign w:val="center"/>
          </w:tcPr>
          <w:p w14:paraId="1833591F" w14:textId="3B170759"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869.703</w:t>
            </w:r>
          </w:p>
        </w:tc>
        <w:tc>
          <w:tcPr>
            <w:tcW w:w="396" w:type="pct"/>
            <w:noWrap/>
            <w:vAlign w:val="center"/>
          </w:tcPr>
          <w:p w14:paraId="04EEBE3A" w14:textId="7D81B386" w:rsidR="008931E0" w:rsidRPr="00E20D21" w:rsidRDefault="00B74A06" w:rsidP="0097349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2.205.910</w:t>
            </w:r>
          </w:p>
        </w:tc>
      </w:tr>
      <w:tr w:rsidR="00973492" w:rsidRPr="00E20D21" w14:paraId="06A70AC4" w14:textId="77777777" w:rsidTr="006B671C">
        <w:trPr>
          <w:trHeight w:val="283"/>
        </w:trPr>
        <w:tc>
          <w:tcPr>
            <w:tcW w:w="1022" w:type="pct"/>
            <w:vAlign w:val="center"/>
          </w:tcPr>
          <w:p w14:paraId="3C48C51C" w14:textId="3B88D373" w:rsidR="00B74A06" w:rsidRPr="00E20D21" w:rsidRDefault="00B74A06" w:rsidP="00B74A06">
            <w:pPr>
              <w:rPr>
                <w:rFonts w:ascii="CAIXA Std Book" w:eastAsia="Times New Roman" w:hAnsi="CAIXA Std Book" w:cs="Arial"/>
                <w:b/>
                <w:color w:val="005CA9"/>
                <w:sz w:val="16"/>
                <w:szCs w:val="16"/>
              </w:rPr>
            </w:pPr>
            <w:r w:rsidRPr="00E20D21">
              <w:rPr>
                <w:rFonts w:ascii="CAIXA Std Book" w:eastAsia="Times New Roman" w:hAnsi="CAIXA Std Book" w:cs="Arial"/>
                <w:color w:val="005CA9"/>
                <w:sz w:val="16"/>
                <w:szCs w:val="16"/>
              </w:rPr>
              <w:t xml:space="preserve">   </w:t>
            </w:r>
            <w:r w:rsidR="001245FF" w:rsidRPr="00E20D21">
              <w:rPr>
                <w:rFonts w:ascii="CAIXA Std Book" w:eastAsia="Times New Roman" w:hAnsi="CAIXA Std Book" w:cs="Arial"/>
                <w:color w:val="005CA9"/>
                <w:sz w:val="18"/>
                <w:szCs w:val="18"/>
              </w:rPr>
              <w:t xml:space="preserve">Notas </w:t>
            </w:r>
            <w:r w:rsidR="00704567" w:rsidRPr="00E20D21">
              <w:rPr>
                <w:rFonts w:ascii="CAIXA Std Book" w:eastAsia="Times New Roman" w:hAnsi="CAIXA Std Book" w:cs="Arial"/>
                <w:color w:val="005CA9"/>
                <w:sz w:val="18"/>
                <w:szCs w:val="18"/>
              </w:rPr>
              <w:t>c</w:t>
            </w:r>
            <w:r w:rsidR="001245FF" w:rsidRPr="00E20D21">
              <w:rPr>
                <w:rFonts w:ascii="CAIXA Std Book" w:eastAsia="Times New Roman" w:hAnsi="CAIXA Std Book" w:cs="Arial"/>
                <w:color w:val="005CA9"/>
                <w:sz w:val="18"/>
                <w:szCs w:val="18"/>
              </w:rPr>
              <w:t>omerciais</w:t>
            </w:r>
          </w:p>
        </w:tc>
        <w:tc>
          <w:tcPr>
            <w:tcW w:w="398" w:type="pct"/>
            <w:noWrap/>
            <w:vAlign w:val="center"/>
          </w:tcPr>
          <w:p w14:paraId="4EBE8C60" w14:textId="73D125D8" w:rsidR="00B74A06"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514.595</w:t>
            </w:r>
          </w:p>
        </w:tc>
        <w:tc>
          <w:tcPr>
            <w:tcW w:w="398" w:type="pct"/>
            <w:noWrap/>
            <w:vAlign w:val="center"/>
          </w:tcPr>
          <w:p w14:paraId="7F1C2A78" w14:textId="6546C3A9" w:rsidR="00B74A06" w:rsidRPr="00E20D21" w:rsidRDefault="00B74A06" w:rsidP="0097349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398" w:type="pct"/>
            <w:noWrap/>
            <w:vAlign w:val="center"/>
          </w:tcPr>
          <w:p w14:paraId="76963780" w14:textId="39A5CD93" w:rsidR="00B74A06"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4.267</w:t>
            </w:r>
          </w:p>
        </w:tc>
        <w:tc>
          <w:tcPr>
            <w:tcW w:w="398" w:type="pct"/>
            <w:noWrap/>
            <w:vAlign w:val="center"/>
          </w:tcPr>
          <w:p w14:paraId="7BDC17B7" w14:textId="28CC4EDB" w:rsidR="00B74A06"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518.862</w:t>
            </w:r>
          </w:p>
        </w:tc>
        <w:tc>
          <w:tcPr>
            <w:tcW w:w="398" w:type="pct"/>
            <w:noWrap/>
            <w:vAlign w:val="center"/>
          </w:tcPr>
          <w:p w14:paraId="4586CF2D" w14:textId="40F9E1DA" w:rsidR="00B74A06"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518.862</w:t>
            </w:r>
          </w:p>
        </w:tc>
        <w:tc>
          <w:tcPr>
            <w:tcW w:w="398" w:type="pct"/>
            <w:noWrap/>
            <w:vAlign w:val="center"/>
          </w:tcPr>
          <w:p w14:paraId="5FC6C963" w14:textId="262643D4" w:rsidR="00B74A06" w:rsidRPr="00E20D21" w:rsidRDefault="00B74A06" w:rsidP="0097349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398" w:type="pct"/>
            <w:noWrap/>
            <w:vAlign w:val="center"/>
          </w:tcPr>
          <w:p w14:paraId="6828C536" w14:textId="2504DA5C" w:rsidR="00B74A06" w:rsidRPr="00E20D21" w:rsidRDefault="00B74A06" w:rsidP="0097349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398" w:type="pct"/>
            <w:noWrap/>
            <w:vAlign w:val="center"/>
          </w:tcPr>
          <w:p w14:paraId="7F22982F" w14:textId="4639B3B1" w:rsidR="00B74A06" w:rsidRPr="00E20D21" w:rsidRDefault="00B74A06" w:rsidP="0097349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398" w:type="pct"/>
            <w:noWrap/>
            <w:vAlign w:val="center"/>
          </w:tcPr>
          <w:p w14:paraId="6D352EAB" w14:textId="2EAF76F3" w:rsidR="00B74A06" w:rsidRPr="00E20D21" w:rsidRDefault="00B74A06" w:rsidP="0097349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396" w:type="pct"/>
            <w:noWrap/>
            <w:vAlign w:val="center"/>
          </w:tcPr>
          <w:p w14:paraId="2C4C5008" w14:textId="4D5A4E2C" w:rsidR="00B74A06" w:rsidRPr="00E20D21" w:rsidRDefault="00B74A06" w:rsidP="00973492">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518.862</w:t>
            </w:r>
          </w:p>
        </w:tc>
      </w:tr>
      <w:tr w:rsidR="00CA27A7" w:rsidRPr="00E20D21" w14:paraId="074A749C" w14:textId="77777777" w:rsidTr="006B671C">
        <w:trPr>
          <w:trHeight w:val="283"/>
        </w:trPr>
        <w:tc>
          <w:tcPr>
            <w:tcW w:w="1022" w:type="pct"/>
            <w:vAlign w:val="center"/>
            <w:hideMark/>
          </w:tcPr>
          <w:p w14:paraId="01057F38" w14:textId="77777777" w:rsidR="00CA27A7" w:rsidRPr="00E20D21" w:rsidRDefault="00CA27A7" w:rsidP="00CA27A7">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 – TVM</w:t>
            </w:r>
          </w:p>
        </w:tc>
        <w:tc>
          <w:tcPr>
            <w:tcW w:w="398" w:type="pct"/>
            <w:noWrap/>
            <w:vAlign w:val="center"/>
          </w:tcPr>
          <w:p w14:paraId="4AEE34E6" w14:textId="1C75CFFE"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292.964.095</w:t>
            </w:r>
          </w:p>
        </w:tc>
        <w:tc>
          <w:tcPr>
            <w:tcW w:w="398" w:type="pct"/>
            <w:noWrap/>
            <w:vAlign w:val="center"/>
          </w:tcPr>
          <w:p w14:paraId="2F70462E" w14:textId="6EB90D3A"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(975.026)</w:t>
            </w:r>
          </w:p>
        </w:tc>
        <w:tc>
          <w:tcPr>
            <w:tcW w:w="398" w:type="pct"/>
            <w:noWrap/>
            <w:vAlign w:val="center"/>
          </w:tcPr>
          <w:p w14:paraId="014123DD" w14:textId="4C3D4EA0"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912.839</w:t>
            </w:r>
          </w:p>
        </w:tc>
        <w:tc>
          <w:tcPr>
            <w:tcW w:w="398" w:type="pct"/>
            <w:noWrap/>
            <w:vAlign w:val="center"/>
          </w:tcPr>
          <w:p w14:paraId="3B097DE6" w14:textId="09822BCE"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292.901.908</w:t>
            </w:r>
          </w:p>
        </w:tc>
        <w:tc>
          <w:tcPr>
            <w:tcW w:w="398" w:type="pct"/>
            <w:noWrap/>
            <w:vAlign w:val="center"/>
          </w:tcPr>
          <w:p w14:paraId="762FA543" w14:textId="3E43C9EC"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292.263.798</w:t>
            </w:r>
          </w:p>
        </w:tc>
        <w:tc>
          <w:tcPr>
            <w:tcW w:w="398" w:type="pct"/>
            <w:noWrap/>
            <w:vAlign w:val="center"/>
          </w:tcPr>
          <w:p w14:paraId="1CE3F64D" w14:textId="325E24CD"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2.661.479</w:t>
            </w:r>
          </w:p>
        </w:tc>
        <w:tc>
          <w:tcPr>
            <w:tcW w:w="398" w:type="pct"/>
            <w:noWrap/>
            <w:vAlign w:val="center"/>
          </w:tcPr>
          <w:p w14:paraId="706C9E4B" w14:textId="55CD0E23"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2.737.026</w:t>
            </w:r>
          </w:p>
        </w:tc>
        <w:tc>
          <w:tcPr>
            <w:tcW w:w="398" w:type="pct"/>
            <w:noWrap/>
            <w:vAlign w:val="center"/>
          </w:tcPr>
          <w:p w14:paraId="1201978A" w14:textId="53BD4DB4"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426.049</w:t>
            </w:r>
          </w:p>
        </w:tc>
        <w:tc>
          <w:tcPr>
            <w:tcW w:w="398" w:type="pct"/>
            <w:noWrap/>
            <w:vAlign w:val="center"/>
          </w:tcPr>
          <w:p w14:paraId="621F3903" w14:textId="5A5ED6CE"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2.425.415</w:t>
            </w:r>
          </w:p>
        </w:tc>
        <w:tc>
          <w:tcPr>
            <w:tcW w:w="396" w:type="pct"/>
            <w:noWrap/>
            <w:vAlign w:val="center"/>
          </w:tcPr>
          <w:p w14:paraId="62DB048D" w14:textId="1CDA7958"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284.651.939</w:t>
            </w:r>
          </w:p>
        </w:tc>
      </w:tr>
      <w:tr w:rsidR="00CA27A7" w:rsidRPr="00E20D21" w14:paraId="2CE5ACD6" w14:textId="77777777" w:rsidTr="006B671C">
        <w:trPr>
          <w:trHeight w:val="283"/>
        </w:trPr>
        <w:tc>
          <w:tcPr>
            <w:tcW w:w="1022" w:type="pct"/>
            <w:vAlign w:val="center"/>
            <w:hideMark/>
          </w:tcPr>
          <w:p w14:paraId="4E6840EA" w14:textId="77777777" w:rsidR="00CA27A7" w:rsidRPr="00E20D21" w:rsidRDefault="00CA27A7" w:rsidP="00CA27A7">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Para negociação</w:t>
            </w:r>
          </w:p>
        </w:tc>
        <w:tc>
          <w:tcPr>
            <w:tcW w:w="398" w:type="pct"/>
            <w:noWrap/>
            <w:vAlign w:val="center"/>
          </w:tcPr>
          <w:p w14:paraId="108F2C59" w14:textId="16E3C8E6"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117.814.353</w:t>
            </w:r>
          </w:p>
        </w:tc>
        <w:tc>
          <w:tcPr>
            <w:tcW w:w="398" w:type="pct"/>
            <w:noWrap/>
            <w:vAlign w:val="center"/>
          </w:tcPr>
          <w:p w14:paraId="5FA515EA" w14:textId="3B9ED906"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(975.026)</w:t>
            </w:r>
          </w:p>
        </w:tc>
        <w:tc>
          <w:tcPr>
            <w:tcW w:w="398" w:type="pct"/>
            <w:noWrap/>
            <w:vAlign w:val="center"/>
          </w:tcPr>
          <w:p w14:paraId="5B46AC11" w14:textId="57F8A13B" w:rsidR="00CA27A7" w:rsidRPr="00E20D21" w:rsidRDefault="00CA27A7" w:rsidP="00CA27A7">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4143DDE5" w14:textId="784E3D68"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116.839.327</w:t>
            </w:r>
          </w:p>
        </w:tc>
        <w:tc>
          <w:tcPr>
            <w:tcW w:w="398" w:type="pct"/>
            <w:noWrap/>
            <w:vAlign w:val="center"/>
          </w:tcPr>
          <w:p w14:paraId="63A46C3C" w14:textId="6C96AAFA"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116.839.327</w:t>
            </w:r>
          </w:p>
        </w:tc>
        <w:tc>
          <w:tcPr>
            <w:tcW w:w="398" w:type="pct"/>
            <w:noWrap/>
            <w:vAlign w:val="center"/>
          </w:tcPr>
          <w:p w14:paraId="35D93607" w14:textId="0981EC23"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9.015</w:t>
            </w:r>
          </w:p>
        </w:tc>
        <w:tc>
          <w:tcPr>
            <w:tcW w:w="398" w:type="pct"/>
            <w:noWrap/>
            <w:vAlign w:val="center"/>
          </w:tcPr>
          <w:p w14:paraId="68FA8A86" w14:textId="0ED4F5B8"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2.447.039</w:t>
            </w:r>
          </w:p>
        </w:tc>
        <w:tc>
          <w:tcPr>
            <w:tcW w:w="398" w:type="pct"/>
            <w:noWrap/>
            <w:vAlign w:val="center"/>
          </w:tcPr>
          <w:p w14:paraId="6EA12AAB" w14:textId="1EE007AF" w:rsidR="00CA27A7" w:rsidRPr="00E20D21" w:rsidRDefault="00CA27A7" w:rsidP="00CA27A7">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37EEC2DB" w14:textId="1DDE4076" w:rsidR="00CA27A7" w:rsidRPr="00E20D21" w:rsidRDefault="00CA27A7" w:rsidP="00CA27A7">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96" w:type="pct"/>
            <w:noWrap/>
            <w:vAlign w:val="center"/>
          </w:tcPr>
          <w:p w14:paraId="5DB61237" w14:textId="44F367A7"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114.383.273</w:t>
            </w:r>
          </w:p>
        </w:tc>
      </w:tr>
      <w:tr w:rsidR="00CA27A7" w:rsidRPr="00E20D21" w14:paraId="1E86D02D" w14:textId="77777777" w:rsidTr="006B671C">
        <w:trPr>
          <w:trHeight w:val="283"/>
        </w:trPr>
        <w:tc>
          <w:tcPr>
            <w:tcW w:w="1022" w:type="pct"/>
            <w:vAlign w:val="center"/>
            <w:hideMark/>
          </w:tcPr>
          <w:p w14:paraId="022453F4" w14:textId="77777777" w:rsidR="00CA27A7" w:rsidRPr="00E20D21" w:rsidRDefault="00CA27A7" w:rsidP="00CA27A7">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Disponíveis para venda</w:t>
            </w:r>
          </w:p>
        </w:tc>
        <w:tc>
          <w:tcPr>
            <w:tcW w:w="398" w:type="pct"/>
            <w:noWrap/>
            <w:vAlign w:val="center"/>
          </w:tcPr>
          <w:p w14:paraId="46B572AF" w14:textId="75ED2D42"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170.155.688</w:t>
            </w:r>
          </w:p>
        </w:tc>
        <w:tc>
          <w:tcPr>
            <w:tcW w:w="398" w:type="pct"/>
            <w:noWrap/>
            <w:vAlign w:val="center"/>
          </w:tcPr>
          <w:p w14:paraId="39FD8283" w14:textId="26EE3BC2" w:rsidR="00CA27A7" w:rsidRPr="00E20D21" w:rsidRDefault="00CA27A7" w:rsidP="00CA27A7">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4D84AB63" w14:textId="1C7741D8"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912.839</w:t>
            </w:r>
          </w:p>
        </w:tc>
        <w:tc>
          <w:tcPr>
            <w:tcW w:w="398" w:type="pct"/>
            <w:noWrap/>
            <w:vAlign w:val="center"/>
          </w:tcPr>
          <w:p w14:paraId="75AFDFF6" w14:textId="2625B012"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171.068.527</w:t>
            </w:r>
          </w:p>
        </w:tc>
        <w:tc>
          <w:tcPr>
            <w:tcW w:w="398" w:type="pct"/>
            <w:noWrap/>
            <w:vAlign w:val="center"/>
          </w:tcPr>
          <w:p w14:paraId="772FC8E4" w14:textId="0EE069A6"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171.068.527</w:t>
            </w:r>
          </w:p>
        </w:tc>
        <w:tc>
          <w:tcPr>
            <w:tcW w:w="398" w:type="pct"/>
            <w:noWrap/>
            <w:vAlign w:val="center"/>
          </w:tcPr>
          <w:p w14:paraId="7F3ABBA6" w14:textId="452A18D5"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2.652.464</w:t>
            </w:r>
          </w:p>
        </w:tc>
        <w:tc>
          <w:tcPr>
            <w:tcW w:w="398" w:type="pct"/>
            <w:noWrap/>
            <w:vAlign w:val="center"/>
          </w:tcPr>
          <w:p w14:paraId="0B3DD402" w14:textId="67CEF0DC"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289.987</w:t>
            </w:r>
          </w:p>
        </w:tc>
        <w:tc>
          <w:tcPr>
            <w:tcW w:w="398" w:type="pct"/>
            <w:noWrap/>
            <w:vAlign w:val="center"/>
          </w:tcPr>
          <w:p w14:paraId="5DFAF836" w14:textId="252B31B7"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426.049</w:t>
            </w:r>
          </w:p>
        </w:tc>
        <w:tc>
          <w:tcPr>
            <w:tcW w:w="398" w:type="pct"/>
            <w:noWrap/>
            <w:vAlign w:val="center"/>
          </w:tcPr>
          <w:p w14:paraId="00112542" w14:textId="102FF0C3"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894.852</w:t>
            </w:r>
          </w:p>
        </w:tc>
        <w:tc>
          <w:tcPr>
            <w:tcW w:w="396" w:type="pct"/>
            <w:noWrap/>
            <w:vAlign w:val="center"/>
          </w:tcPr>
          <w:p w14:paraId="2CCF0F33" w14:textId="5EBE839C"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166.805.175</w:t>
            </w:r>
          </w:p>
        </w:tc>
      </w:tr>
      <w:tr w:rsidR="00CA27A7" w:rsidRPr="00E20D21" w14:paraId="35346183" w14:textId="77777777" w:rsidTr="006B671C">
        <w:trPr>
          <w:trHeight w:val="283"/>
        </w:trPr>
        <w:tc>
          <w:tcPr>
            <w:tcW w:w="1022" w:type="pct"/>
            <w:vAlign w:val="center"/>
            <w:hideMark/>
          </w:tcPr>
          <w:p w14:paraId="34ED1BC0" w14:textId="77777777" w:rsidR="00CA27A7" w:rsidRPr="00E20D21" w:rsidRDefault="00CA27A7" w:rsidP="00CA27A7">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Mantidos até o vencimento</w:t>
            </w:r>
          </w:p>
        </w:tc>
        <w:tc>
          <w:tcPr>
            <w:tcW w:w="398" w:type="pct"/>
            <w:noWrap/>
            <w:vAlign w:val="center"/>
          </w:tcPr>
          <w:p w14:paraId="074E6095" w14:textId="3CEF571B"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4.994.054</w:t>
            </w:r>
          </w:p>
        </w:tc>
        <w:tc>
          <w:tcPr>
            <w:tcW w:w="398" w:type="pct"/>
            <w:noWrap/>
            <w:vAlign w:val="center"/>
          </w:tcPr>
          <w:p w14:paraId="64DBE0B6" w14:textId="44ED71A9" w:rsidR="00CA27A7" w:rsidRPr="00E20D21" w:rsidRDefault="00CA27A7" w:rsidP="00CA27A7">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624882E0" w14:textId="642E4BD7" w:rsidR="00CA27A7" w:rsidRPr="00E20D21" w:rsidRDefault="00CA27A7" w:rsidP="00CA27A7">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12D1C6A3" w14:textId="5F206313"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4.994.054</w:t>
            </w:r>
          </w:p>
        </w:tc>
        <w:tc>
          <w:tcPr>
            <w:tcW w:w="398" w:type="pct"/>
            <w:noWrap/>
            <w:vAlign w:val="center"/>
          </w:tcPr>
          <w:p w14:paraId="14BE06FA" w14:textId="7885C649" w:rsidR="00CA27A7" w:rsidRPr="00E20D21" w:rsidRDefault="00CA27A7" w:rsidP="00CA27A7">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4.355.944</w:t>
            </w:r>
          </w:p>
        </w:tc>
        <w:tc>
          <w:tcPr>
            <w:tcW w:w="398" w:type="pct"/>
            <w:noWrap/>
            <w:vAlign w:val="center"/>
          </w:tcPr>
          <w:p w14:paraId="591E5B4B" w14:textId="220B7F6A"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7CA1281B" w14:textId="2F873EAA" w:rsidR="00CA27A7" w:rsidRPr="00E20D21" w:rsidRDefault="00CA27A7" w:rsidP="00CA27A7">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4D8C882C" w14:textId="10698185" w:rsidR="00CA27A7" w:rsidRPr="00E20D21" w:rsidRDefault="00CA27A7" w:rsidP="00CA27A7">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98" w:type="pct"/>
            <w:noWrap/>
            <w:vAlign w:val="center"/>
          </w:tcPr>
          <w:p w14:paraId="2350DD46" w14:textId="575D5C9E"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1.530.563</w:t>
            </w:r>
          </w:p>
        </w:tc>
        <w:tc>
          <w:tcPr>
            <w:tcW w:w="396" w:type="pct"/>
            <w:noWrap/>
            <w:vAlign w:val="center"/>
          </w:tcPr>
          <w:p w14:paraId="70457F5F" w14:textId="10FF4A66" w:rsidR="00CA27A7" w:rsidRPr="00E20D21" w:rsidRDefault="00CA27A7" w:rsidP="00CA27A7">
            <w:pPr>
              <w:jc w:val="right"/>
              <w:rPr>
                <w:rFonts w:ascii="CAIXA Std Book" w:hAnsi="CAIXA Std Book" w:cs="Arial"/>
                <w:color w:val="005CA9"/>
                <w:sz w:val="16"/>
                <w:szCs w:val="16"/>
              </w:rPr>
            </w:pPr>
            <w:r w:rsidRPr="00E20D21">
              <w:rPr>
                <w:rFonts w:ascii="CAIXA Std Book" w:hAnsi="CAIXA Std Book" w:cs="Arial"/>
                <w:color w:val="005CA9"/>
                <w:sz w:val="16"/>
                <w:szCs w:val="16"/>
              </w:rPr>
              <w:t>3.463.491</w:t>
            </w:r>
          </w:p>
        </w:tc>
      </w:tr>
      <w:tr w:rsidR="00CA27A7" w:rsidRPr="00E20D21" w14:paraId="57F30704" w14:textId="77777777" w:rsidTr="006B671C">
        <w:trPr>
          <w:trHeight w:val="283"/>
        </w:trPr>
        <w:tc>
          <w:tcPr>
            <w:tcW w:w="1022" w:type="pct"/>
            <w:tcBorders>
              <w:top w:val="single" w:sz="4" w:space="0" w:color="F39200"/>
              <w:left w:val="nil"/>
              <w:bottom w:val="single" w:sz="4" w:space="0" w:color="F39200"/>
              <w:right w:val="nil"/>
            </w:tcBorders>
            <w:vAlign w:val="center"/>
            <w:hideMark/>
          </w:tcPr>
          <w:p w14:paraId="358DBE20" w14:textId="77777777" w:rsidR="00CA27A7" w:rsidRPr="00E20D21" w:rsidRDefault="00CA27A7" w:rsidP="00CA27A7">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w:t>
            </w:r>
          </w:p>
        </w:tc>
        <w:tc>
          <w:tcPr>
            <w:tcW w:w="398" w:type="pct"/>
            <w:tcBorders>
              <w:top w:val="single" w:sz="4" w:space="0" w:color="F79646"/>
              <w:left w:val="nil"/>
              <w:bottom w:val="single" w:sz="4" w:space="0" w:color="F79646"/>
              <w:right w:val="nil"/>
            </w:tcBorders>
            <w:noWrap/>
            <w:vAlign w:val="center"/>
          </w:tcPr>
          <w:p w14:paraId="19C39BCF" w14:textId="5703CE04"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292.964.095</w:t>
            </w:r>
          </w:p>
        </w:tc>
        <w:tc>
          <w:tcPr>
            <w:tcW w:w="398" w:type="pct"/>
            <w:tcBorders>
              <w:top w:val="single" w:sz="4" w:space="0" w:color="F79646"/>
              <w:left w:val="nil"/>
              <w:bottom w:val="single" w:sz="4" w:space="0" w:color="F79646"/>
              <w:right w:val="nil"/>
            </w:tcBorders>
            <w:noWrap/>
            <w:vAlign w:val="center"/>
          </w:tcPr>
          <w:p w14:paraId="003D00F0" w14:textId="48035AAD"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(975.026)</w:t>
            </w:r>
          </w:p>
        </w:tc>
        <w:tc>
          <w:tcPr>
            <w:tcW w:w="398" w:type="pct"/>
            <w:tcBorders>
              <w:top w:val="single" w:sz="4" w:space="0" w:color="F79646"/>
              <w:left w:val="nil"/>
              <w:bottom w:val="single" w:sz="4" w:space="0" w:color="F79646"/>
              <w:right w:val="nil"/>
            </w:tcBorders>
            <w:noWrap/>
            <w:vAlign w:val="center"/>
          </w:tcPr>
          <w:p w14:paraId="3F599529" w14:textId="43BA75EA"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912.839</w:t>
            </w:r>
          </w:p>
        </w:tc>
        <w:tc>
          <w:tcPr>
            <w:tcW w:w="398" w:type="pct"/>
            <w:tcBorders>
              <w:top w:val="single" w:sz="4" w:space="0" w:color="F79646"/>
              <w:left w:val="nil"/>
              <w:bottom w:val="single" w:sz="4" w:space="0" w:color="F79646"/>
              <w:right w:val="nil"/>
            </w:tcBorders>
            <w:noWrap/>
            <w:vAlign w:val="center"/>
          </w:tcPr>
          <w:p w14:paraId="6ABC128C" w14:textId="634A6E64"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292.901.908</w:t>
            </w:r>
          </w:p>
        </w:tc>
        <w:tc>
          <w:tcPr>
            <w:tcW w:w="398" w:type="pct"/>
            <w:tcBorders>
              <w:top w:val="single" w:sz="4" w:space="0" w:color="F79646"/>
              <w:left w:val="nil"/>
              <w:bottom w:val="single" w:sz="4" w:space="0" w:color="F79646"/>
              <w:right w:val="nil"/>
            </w:tcBorders>
            <w:noWrap/>
            <w:vAlign w:val="center"/>
          </w:tcPr>
          <w:p w14:paraId="4C20661E" w14:textId="3979F11C" w:rsidR="00CA27A7" w:rsidRPr="00E20D21" w:rsidRDefault="00CA27A7" w:rsidP="00CA27A7">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292.263.798</w:t>
            </w:r>
          </w:p>
        </w:tc>
        <w:tc>
          <w:tcPr>
            <w:tcW w:w="398" w:type="pct"/>
            <w:tcBorders>
              <w:top w:val="single" w:sz="4" w:space="0" w:color="F79646"/>
              <w:left w:val="nil"/>
              <w:bottom w:val="single" w:sz="4" w:space="0" w:color="F79646"/>
              <w:right w:val="nil"/>
            </w:tcBorders>
            <w:noWrap/>
            <w:vAlign w:val="center"/>
          </w:tcPr>
          <w:p w14:paraId="11FA5DE6" w14:textId="2450D2DF"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2.661.479</w:t>
            </w:r>
          </w:p>
        </w:tc>
        <w:tc>
          <w:tcPr>
            <w:tcW w:w="398" w:type="pct"/>
            <w:tcBorders>
              <w:top w:val="single" w:sz="4" w:space="0" w:color="F79646"/>
              <w:left w:val="nil"/>
              <w:bottom w:val="single" w:sz="4" w:space="0" w:color="F79646"/>
              <w:right w:val="nil"/>
            </w:tcBorders>
            <w:noWrap/>
            <w:vAlign w:val="center"/>
          </w:tcPr>
          <w:p w14:paraId="4CF10198" w14:textId="349BDDFD"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2.737.026</w:t>
            </w:r>
          </w:p>
        </w:tc>
        <w:tc>
          <w:tcPr>
            <w:tcW w:w="398" w:type="pct"/>
            <w:tcBorders>
              <w:top w:val="single" w:sz="4" w:space="0" w:color="F79646"/>
              <w:left w:val="nil"/>
              <w:bottom w:val="single" w:sz="4" w:space="0" w:color="F79646"/>
              <w:right w:val="nil"/>
            </w:tcBorders>
            <w:noWrap/>
            <w:vAlign w:val="center"/>
          </w:tcPr>
          <w:p w14:paraId="54D6F12B" w14:textId="4A63646B"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426.049</w:t>
            </w:r>
          </w:p>
        </w:tc>
        <w:tc>
          <w:tcPr>
            <w:tcW w:w="398" w:type="pct"/>
            <w:tcBorders>
              <w:top w:val="single" w:sz="4" w:space="0" w:color="F79646"/>
              <w:left w:val="nil"/>
              <w:bottom w:val="single" w:sz="4" w:space="0" w:color="F79646"/>
              <w:right w:val="nil"/>
            </w:tcBorders>
            <w:noWrap/>
            <w:vAlign w:val="center"/>
          </w:tcPr>
          <w:p w14:paraId="54EEED5D" w14:textId="2617D2DF"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2.425.415</w:t>
            </w:r>
          </w:p>
        </w:tc>
        <w:tc>
          <w:tcPr>
            <w:tcW w:w="396" w:type="pct"/>
            <w:tcBorders>
              <w:top w:val="single" w:sz="4" w:space="0" w:color="F79646"/>
              <w:left w:val="nil"/>
              <w:bottom w:val="single" w:sz="4" w:space="0" w:color="F79646"/>
              <w:right w:val="nil"/>
            </w:tcBorders>
            <w:noWrap/>
            <w:vAlign w:val="center"/>
          </w:tcPr>
          <w:p w14:paraId="6D14F474" w14:textId="05BB13E8" w:rsidR="00CA27A7" w:rsidRPr="00E20D21" w:rsidRDefault="00CA27A7" w:rsidP="00CA27A7">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284.651.939</w:t>
            </w:r>
          </w:p>
        </w:tc>
      </w:tr>
    </w:tbl>
    <w:p w14:paraId="5924E3A2" w14:textId="77777777" w:rsidR="007172DF" w:rsidRPr="00E20D21" w:rsidRDefault="007172DF">
      <w:pPr>
        <w:rPr>
          <w:rFonts w:ascii="CAIXA Std Book" w:hAnsi="CAIXA Std Book"/>
          <w:color w:val="005CA9"/>
        </w:rPr>
      </w:pPr>
      <w:r w:rsidRPr="00E20D21">
        <w:rPr>
          <w:rFonts w:ascii="CAIXA Std Book" w:hAnsi="CAIXA Std Book"/>
          <w:color w:val="005CA9"/>
        </w:rPr>
        <w:br w:type="page"/>
      </w:r>
    </w:p>
    <w:tbl>
      <w:tblPr>
        <w:tblW w:w="5000" w:type="pct"/>
        <w:tblCellMar>
          <w:left w:w="70" w:type="dxa"/>
          <w:right w:w="70" w:type="dxa"/>
        </w:tblCellMar>
        <w:tblLook w:val="04A0" w:firstRow="1" w:lastRow="0" w:firstColumn="1" w:lastColumn="0" w:noHBand="0" w:noVBand="1"/>
      </w:tblPr>
      <w:tblGrid>
        <w:gridCol w:w="3324"/>
        <w:gridCol w:w="1125"/>
        <w:gridCol w:w="1125"/>
        <w:gridCol w:w="1125"/>
        <w:gridCol w:w="1125"/>
        <w:gridCol w:w="1125"/>
        <w:gridCol w:w="1125"/>
        <w:gridCol w:w="1125"/>
        <w:gridCol w:w="1125"/>
        <w:gridCol w:w="1125"/>
        <w:gridCol w:w="1122"/>
      </w:tblGrid>
      <w:tr w:rsidR="00A47C19" w:rsidRPr="00E20D21" w14:paraId="2BC0E6B3" w14:textId="77777777" w:rsidTr="00EC6C5B">
        <w:trPr>
          <w:trHeight w:val="283"/>
        </w:trPr>
        <w:tc>
          <w:tcPr>
            <w:tcW w:w="5000" w:type="pct"/>
            <w:gridSpan w:val="11"/>
            <w:tcBorders>
              <w:top w:val="single" w:sz="4" w:space="0" w:color="F39200"/>
              <w:left w:val="nil"/>
              <w:bottom w:val="single" w:sz="4" w:space="0" w:color="F39200"/>
              <w:right w:val="nil"/>
            </w:tcBorders>
            <w:shd w:val="clear" w:color="auto" w:fill="auto"/>
            <w:vAlign w:val="center"/>
            <w:hideMark/>
          </w:tcPr>
          <w:p w14:paraId="5BDF976C"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lastRenderedPageBreak/>
              <w:t>CONSOLIDADO</w:t>
            </w:r>
          </w:p>
        </w:tc>
      </w:tr>
      <w:tr w:rsidR="00462239" w:rsidRPr="00E20D21" w14:paraId="24037158" w14:textId="77777777" w:rsidTr="00462239">
        <w:trPr>
          <w:trHeight w:val="283"/>
        </w:trPr>
        <w:tc>
          <w:tcPr>
            <w:tcW w:w="5000" w:type="pct"/>
            <w:gridSpan w:val="11"/>
            <w:tcBorders>
              <w:top w:val="nil"/>
              <w:left w:val="nil"/>
              <w:bottom w:val="single" w:sz="8" w:space="0" w:color="F79646"/>
              <w:right w:val="nil"/>
            </w:tcBorders>
            <w:shd w:val="clear" w:color="auto" w:fill="auto"/>
            <w:vAlign w:val="center"/>
          </w:tcPr>
          <w:p w14:paraId="09913DFB" w14:textId="2A520572" w:rsidR="00462239" w:rsidRPr="00E20D21" w:rsidRDefault="00462239" w:rsidP="0046223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 xml:space="preserve">Posição </w:t>
            </w:r>
            <w:proofErr w:type="gramStart"/>
            <w:r w:rsidRPr="00E20D21">
              <w:rPr>
                <w:rFonts w:ascii="CAIXA Std Book" w:eastAsia="Times New Roman" w:hAnsi="CAIXA Std Book" w:cs="Arial"/>
                <w:b/>
                <w:color w:val="005CA9"/>
                <w:sz w:val="16"/>
                <w:szCs w:val="16"/>
              </w:rPr>
              <w:t>em  30</w:t>
            </w:r>
            <w:proofErr w:type="gramEnd"/>
            <w:r w:rsidRPr="00E20D21">
              <w:rPr>
                <w:rFonts w:ascii="CAIXA Std Book" w:eastAsia="Times New Roman" w:hAnsi="CAIXA Std Book" w:cs="Arial"/>
                <w:b/>
                <w:color w:val="005CA9"/>
                <w:sz w:val="16"/>
                <w:szCs w:val="16"/>
              </w:rPr>
              <w:t>/06/2024</w:t>
            </w:r>
          </w:p>
        </w:tc>
      </w:tr>
      <w:tr w:rsidR="00A47C19" w:rsidRPr="00E20D21" w14:paraId="14344E7A" w14:textId="77777777" w:rsidTr="00EC6C5B">
        <w:trPr>
          <w:trHeight w:val="283"/>
        </w:trPr>
        <w:tc>
          <w:tcPr>
            <w:tcW w:w="1141" w:type="pct"/>
            <w:tcBorders>
              <w:top w:val="nil"/>
              <w:left w:val="nil"/>
              <w:bottom w:val="single" w:sz="8" w:space="0" w:color="F79646"/>
              <w:right w:val="nil"/>
            </w:tcBorders>
            <w:shd w:val="clear" w:color="auto" w:fill="auto"/>
            <w:vAlign w:val="center"/>
            <w:hideMark/>
          </w:tcPr>
          <w:p w14:paraId="225F1A0D" w14:textId="0C248139"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Descrição</w:t>
            </w:r>
          </w:p>
        </w:tc>
        <w:tc>
          <w:tcPr>
            <w:tcW w:w="386" w:type="pct"/>
            <w:tcBorders>
              <w:top w:val="nil"/>
              <w:left w:val="nil"/>
              <w:bottom w:val="single" w:sz="8" w:space="0" w:color="F79646"/>
              <w:right w:val="nil"/>
            </w:tcBorders>
            <w:shd w:val="clear" w:color="auto" w:fill="auto"/>
            <w:vAlign w:val="center"/>
            <w:hideMark/>
          </w:tcPr>
          <w:p w14:paraId="357720F7"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Custo</w:t>
            </w:r>
          </w:p>
        </w:tc>
        <w:tc>
          <w:tcPr>
            <w:tcW w:w="386" w:type="pct"/>
            <w:tcBorders>
              <w:top w:val="nil"/>
              <w:left w:val="nil"/>
              <w:bottom w:val="single" w:sz="8" w:space="0" w:color="F79646"/>
              <w:right w:val="nil"/>
            </w:tcBorders>
            <w:shd w:val="clear" w:color="auto" w:fill="auto"/>
            <w:vAlign w:val="center"/>
            <w:hideMark/>
          </w:tcPr>
          <w:p w14:paraId="36387F12"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resultado</w:t>
            </w:r>
          </w:p>
        </w:tc>
        <w:tc>
          <w:tcPr>
            <w:tcW w:w="386" w:type="pct"/>
            <w:tcBorders>
              <w:top w:val="nil"/>
              <w:left w:val="nil"/>
              <w:bottom w:val="single" w:sz="8" w:space="0" w:color="F79646"/>
              <w:right w:val="nil"/>
            </w:tcBorders>
            <w:shd w:val="clear" w:color="auto" w:fill="auto"/>
            <w:vAlign w:val="center"/>
            <w:hideMark/>
          </w:tcPr>
          <w:p w14:paraId="306F9920"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patrimônio líquido</w:t>
            </w:r>
          </w:p>
        </w:tc>
        <w:tc>
          <w:tcPr>
            <w:tcW w:w="386" w:type="pct"/>
            <w:tcBorders>
              <w:top w:val="nil"/>
              <w:left w:val="nil"/>
              <w:bottom w:val="single" w:sz="8" w:space="0" w:color="F79646"/>
              <w:right w:val="nil"/>
            </w:tcBorders>
            <w:shd w:val="clear" w:color="auto" w:fill="auto"/>
            <w:vAlign w:val="center"/>
            <w:hideMark/>
          </w:tcPr>
          <w:p w14:paraId="44523452"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contábil</w:t>
            </w:r>
          </w:p>
        </w:tc>
        <w:tc>
          <w:tcPr>
            <w:tcW w:w="386" w:type="pct"/>
            <w:tcBorders>
              <w:top w:val="nil"/>
              <w:left w:val="nil"/>
              <w:bottom w:val="single" w:sz="8" w:space="0" w:color="F79646"/>
              <w:right w:val="nil"/>
            </w:tcBorders>
            <w:shd w:val="clear" w:color="auto" w:fill="auto"/>
            <w:vAlign w:val="center"/>
            <w:hideMark/>
          </w:tcPr>
          <w:p w14:paraId="20AE0382"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de mercado</w:t>
            </w:r>
          </w:p>
        </w:tc>
        <w:tc>
          <w:tcPr>
            <w:tcW w:w="386" w:type="pct"/>
            <w:tcBorders>
              <w:top w:val="nil"/>
              <w:left w:val="nil"/>
              <w:bottom w:val="single" w:sz="8" w:space="0" w:color="F79646"/>
              <w:right w:val="nil"/>
            </w:tcBorders>
            <w:shd w:val="clear" w:color="auto" w:fill="auto"/>
            <w:vAlign w:val="center"/>
            <w:hideMark/>
          </w:tcPr>
          <w:p w14:paraId="4EC96446"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Sem vencimento</w:t>
            </w:r>
          </w:p>
        </w:tc>
        <w:tc>
          <w:tcPr>
            <w:tcW w:w="386" w:type="pct"/>
            <w:tcBorders>
              <w:top w:val="nil"/>
              <w:left w:val="nil"/>
              <w:bottom w:val="single" w:sz="8" w:space="0" w:color="F79646"/>
              <w:right w:val="nil"/>
            </w:tcBorders>
            <w:shd w:val="clear" w:color="auto" w:fill="auto"/>
            <w:vAlign w:val="center"/>
            <w:hideMark/>
          </w:tcPr>
          <w:p w14:paraId="1F18A74D"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01 a 90 dias</w:t>
            </w:r>
          </w:p>
        </w:tc>
        <w:tc>
          <w:tcPr>
            <w:tcW w:w="386" w:type="pct"/>
            <w:tcBorders>
              <w:top w:val="nil"/>
              <w:left w:val="nil"/>
              <w:bottom w:val="single" w:sz="8" w:space="0" w:color="F79646"/>
              <w:right w:val="nil"/>
            </w:tcBorders>
            <w:shd w:val="clear" w:color="auto" w:fill="auto"/>
            <w:vAlign w:val="center"/>
            <w:hideMark/>
          </w:tcPr>
          <w:p w14:paraId="0FD6EE99"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91 a 180 dias</w:t>
            </w:r>
          </w:p>
        </w:tc>
        <w:tc>
          <w:tcPr>
            <w:tcW w:w="386" w:type="pct"/>
            <w:tcBorders>
              <w:top w:val="nil"/>
              <w:left w:val="nil"/>
              <w:bottom w:val="single" w:sz="8" w:space="0" w:color="F79646"/>
              <w:right w:val="nil"/>
            </w:tcBorders>
            <w:shd w:val="clear" w:color="auto" w:fill="auto"/>
            <w:vAlign w:val="center"/>
            <w:hideMark/>
          </w:tcPr>
          <w:p w14:paraId="438C0AD8"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181 a 360 dias</w:t>
            </w:r>
          </w:p>
        </w:tc>
        <w:tc>
          <w:tcPr>
            <w:tcW w:w="385" w:type="pct"/>
            <w:tcBorders>
              <w:top w:val="nil"/>
              <w:left w:val="nil"/>
              <w:bottom w:val="single" w:sz="8" w:space="0" w:color="F79646"/>
              <w:right w:val="nil"/>
            </w:tcBorders>
            <w:shd w:val="clear" w:color="auto" w:fill="auto"/>
            <w:vAlign w:val="center"/>
            <w:hideMark/>
          </w:tcPr>
          <w:p w14:paraId="6E88E133" w14:textId="77777777" w:rsidR="00886880" w:rsidRPr="00E20D21" w:rsidRDefault="00886880" w:rsidP="00964BA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Acima de 360 dias</w:t>
            </w:r>
          </w:p>
        </w:tc>
      </w:tr>
      <w:tr w:rsidR="00A47C19" w:rsidRPr="00E20D21" w14:paraId="5B4E8AEA" w14:textId="77777777" w:rsidTr="00EC6C5B">
        <w:trPr>
          <w:trHeight w:val="283"/>
        </w:trPr>
        <w:tc>
          <w:tcPr>
            <w:tcW w:w="1141" w:type="pct"/>
            <w:tcBorders>
              <w:top w:val="nil"/>
              <w:left w:val="nil"/>
              <w:bottom w:val="nil"/>
              <w:right w:val="nil"/>
            </w:tcBorders>
            <w:shd w:val="clear" w:color="auto" w:fill="auto"/>
            <w:noWrap/>
            <w:vAlign w:val="center"/>
            <w:hideMark/>
          </w:tcPr>
          <w:p w14:paraId="35B355FE" w14:textId="77777777" w:rsidR="009E24C8" w:rsidRPr="00E20D21" w:rsidRDefault="009E24C8" w:rsidP="009E24C8">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públicos</w:t>
            </w:r>
          </w:p>
        </w:tc>
        <w:tc>
          <w:tcPr>
            <w:tcW w:w="386" w:type="pct"/>
            <w:tcBorders>
              <w:top w:val="nil"/>
              <w:left w:val="nil"/>
              <w:bottom w:val="nil"/>
              <w:right w:val="nil"/>
            </w:tcBorders>
            <w:shd w:val="clear" w:color="auto" w:fill="auto"/>
            <w:noWrap/>
            <w:vAlign w:val="center"/>
          </w:tcPr>
          <w:p w14:paraId="3BF6C98A" w14:textId="755D2419" w:rsidR="009E24C8" w:rsidRPr="00E20D21" w:rsidRDefault="005F1C39" w:rsidP="009E24C8">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277.150.089</w:t>
            </w:r>
          </w:p>
        </w:tc>
        <w:tc>
          <w:tcPr>
            <w:tcW w:w="386" w:type="pct"/>
            <w:tcBorders>
              <w:top w:val="nil"/>
              <w:left w:val="nil"/>
              <w:bottom w:val="nil"/>
              <w:right w:val="nil"/>
            </w:tcBorders>
            <w:shd w:val="clear" w:color="auto" w:fill="auto"/>
            <w:noWrap/>
            <w:vAlign w:val="center"/>
          </w:tcPr>
          <w:p w14:paraId="059E8BED" w14:textId="113EC9EC" w:rsidR="009E24C8" w:rsidRPr="00E20D21" w:rsidRDefault="005F1C39" w:rsidP="009E24C8">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(807.945)</w:t>
            </w:r>
          </w:p>
        </w:tc>
        <w:tc>
          <w:tcPr>
            <w:tcW w:w="386" w:type="pct"/>
            <w:tcBorders>
              <w:top w:val="nil"/>
              <w:left w:val="nil"/>
              <w:bottom w:val="nil"/>
              <w:right w:val="nil"/>
            </w:tcBorders>
            <w:shd w:val="clear" w:color="auto" w:fill="auto"/>
            <w:noWrap/>
            <w:vAlign w:val="center"/>
          </w:tcPr>
          <w:p w14:paraId="2E6ABFF1" w14:textId="30D51982" w:rsidR="009E24C8" w:rsidRPr="00E20D21" w:rsidRDefault="005F1C39" w:rsidP="009E24C8">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(189.202)</w:t>
            </w:r>
          </w:p>
        </w:tc>
        <w:tc>
          <w:tcPr>
            <w:tcW w:w="386" w:type="pct"/>
            <w:tcBorders>
              <w:top w:val="nil"/>
              <w:left w:val="nil"/>
              <w:bottom w:val="nil"/>
              <w:right w:val="nil"/>
            </w:tcBorders>
            <w:shd w:val="clear" w:color="auto" w:fill="auto"/>
            <w:noWrap/>
            <w:vAlign w:val="center"/>
          </w:tcPr>
          <w:p w14:paraId="505246E8" w14:textId="7A406198" w:rsidR="009E24C8" w:rsidRPr="00E20D21" w:rsidRDefault="005F1C39" w:rsidP="009E24C8">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276.152.942</w:t>
            </w:r>
          </w:p>
        </w:tc>
        <w:tc>
          <w:tcPr>
            <w:tcW w:w="386" w:type="pct"/>
            <w:tcBorders>
              <w:top w:val="nil"/>
              <w:left w:val="nil"/>
              <w:bottom w:val="nil"/>
              <w:right w:val="nil"/>
            </w:tcBorders>
            <w:shd w:val="clear" w:color="auto" w:fill="auto"/>
            <w:noWrap/>
            <w:vAlign w:val="center"/>
          </w:tcPr>
          <w:p w14:paraId="7F77219F" w14:textId="12ED0E77" w:rsidR="009E24C8" w:rsidRPr="00E20D21" w:rsidRDefault="005F1C39" w:rsidP="009E24C8">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276.157.295</w:t>
            </w:r>
          </w:p>
        </w:tc>
        <w:tc>
          <w:tcPr>
            <w:tcW w:w="386" w:type="pct"/>
            <w:tcBorders>
              <w:top w:val="nil"/>
              <w:left w:val="nil"/>
              <w:bottom w:val="nil"/>
              <w:right w:val="nil"/>
            </w:tcBorders>
            <w:shd w:val="clear" w:color="auto" w:fill="auto"/>
            <w:noWrap/>
            <w:vAlign w:val="center"/>
          </w:tcPr>
          <w:p w14:paraId="1851CDD2" w14:textId="2B50A3A7" w:rsidR="009E24C8" w:rsidRPr="00E20D21" w:rsidRDefault="005F1C39" w:rsidP="009E24C8">
            <w:pPr>
              <w:jc w:val="center"/>
              <w:rPr>
                <w:rFonts w:ascii="CAIXA Std Book" w:hAnsi="CAIXA Std Book" w:cs="Arial"/>
                <w:b/>
                <w:color w:val="005CA9"/>
                <w:sz w:val="16"/>
                <w:szCs w:val="16"/>
              </w:rPr>
            </w:pPr>
            <w:r w:rsidRPr="00E20D21">
              <w:rPr>
                <w:rFonts w:ascii="CAIXA Std Book" w:hAnsi="CAIXA Std Book" w:cs="Arial"/>
                <w:b/>
                <w:bCs/>
                <w:color w:val="005CA9"/>
                <w:sz w:val="16"/>
                <w:szCs w:val="16"/>
              </w:rPr>
              <w:t>-</w:t>
            </w:r>
          </w:p>
        </w:tc>
        <w:tc>
          <w:tcPr>
            <w:tcW w:w="386" w:type="pct"/>
            <w:tcBorders>
              <w:top w:val="nil"/>
              <w:left w:val="nil"/>
              <w:bottom w:val="nil"/>
              <w:right w:val="nil"/>
            </w:tcBorders>
            <w:shd w:val="clear" w:color="auto" w:fill="auto"/>
            <w:noWrap/>
            <w:vAlign w:val="center"/>
          </w:tcPr>
          <w:p w14:paraId="1551AAE9" w14:textId="3EEE3FC5" w:rsidR="009E24C8" w:rsidRPr="00E20D21" w:rsidRDefault="00ED66A7" w:rsidP="009E24C8">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2.545.443</w:t>
            </w:r>
          </w:p>
        </w:tc>
        <w:tc>
          <w:tcPr>
            <w:tcW w:w="386" w:type="pct"/>
            <w:tcBorders>
              <w:top w:val="nil"/>
              <w:left w:val="nil"/>
              <w:bottom w:val="nil"/>
              <w:right w:val="nil"/>
            </w:tcBorders>
            <w:shd w:val="clear" w:color="auto" w:fill="auto"/>
            <w:noWrap/>
            <w:vAlign w:val="center"/>
          </w:tcPr>
          <w:p w14:paraId="79167A44" w14:textId="3D7F16C5" w:rsidR="009E24C8" w:rsidRPr="00E20D21" w:rsidRDefault="005F1C39" w:rsidP="005F1C39">
            <w:pPr>
              <w:jc w:val="center"/>
              <w:rPr>
                <w:rFonts w:ascii="CAIXA Std Book" w:hAnsi="CAIXA Std Book" w:cs="Arial"/>
                <w:b/>
                <w:color w:val="005CA9"/>
                <w:sz w:val="16"/>
                <w:szCs w:val="16"/>
              </w:rPr>
            </w:pPr>
            <w:r w:rsidRPr="00E20D21">
              <w:rPr>
                <w:rFonts w:ascii="CAIXA Std Book" w:hAnsi="CAIXA Std Book" w:cs="Arial"/>
                <w:b/>
                <w:bCs/>
                <w:color w:val="005CA9"/>
                <w:sz w:val="16"/>
                <w:szCs w:val="16"/>
              </w:rPr>
              <w:t>-</w:t>
            </w:r>
          </w:p>
        </w:tc>
        <w:tc>
          <w:tcPr>
            <w:tcW w:w="386" w:type="pct"/>
            <w:tcBorders>
              <w:top w:val="nil"/>
              <w:left w:val="nil"/>
              <w:bottom w:val="nil"/>
              <w:right w:val="nil"/>
            </w:tcBorders>
            <w:shd w:val="clear" w:color="auto" w:fill="auto"/>
            <w:noWrap/>
            <w:vAlign w:val="center"/>
          </w:tcPr>
          <w:p w14:paraId="6E5D89CC" w14:textId="666F8529" w:rsidR="009E24C8" w:rsidRPr="00E20D21" w:rsidRDefault="005F1C39" w:rsidP="005F1C3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1.643.</w:t>
            </w:r>
            <w:r w:rsidR="00ED66A7" w:rsidRPr="00E20D21">
              <w:rPr>
                <w:rFonts w:ascii="CAIXA Std Book" w:hAnsi="CAIXA Std Book" w:cs="Arial"/>
                <w:b/>
                <w:bCs/>
                <w:color w:val="005CA9"/>
                <w:sz w:val="16"/>
                <w:szCs w:val="16"/>
              </w:rPr>
              <w:t>599</w:t>
            </w:r>
          </w:p>
        </w:tc>
        <w:tc>
          <w:tcPr>
            <w:tcW w:w="385" w:type="pct"/>
            <w:tcBorders>
              <w:top w:val="nil"/>
              <w:left w:val="nil"/>
              <w:bottom w:val="nil"/>
              <w:right w:val="nil"/>
            </w:tcBorders>
            <w:shd w:val="clear" w:color="auto" w:fill="auto"/>
            <w:noWrap/>
            <w:vAlign w:val="center"/>
          </w:tcPr>
          <w:p w14:paraId="157C4422" w14:textId="41E26131" w:rsidR="009E24C8" w:rsidRPr="00E20D21" w:rsidRDefault="00ED66A7" w:rsidP="009E24C8">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271.963.900</w:t>
            </w:r>
          </w:p>
        </w:tc>
      </w:tr>
      <w:tr w:rsidR="00A47C19" w:rsidRPr="00E20D21" w14:paraId="23C2BA04" w14:textId="77777777" w:rsidTr="00EC6C5B">
        <w:trPr>
          <w:trHeight w:val="283"/>
        </w:trPr>
        <w:tc>
          <w:tcPr>
            <w:tcW w:w="1141" w:type="pct"/>
            <w:tcBorders>
              <w:top w:val="nil"/>
              <w:left w:val="nil"/>
              <w:bottom w:val="nil"/>
              <w:right w:val="nil"/>
            </w:tcBorders>
            <w:shd w:val="clear" w:color="auto" w:fill="auto"/>
            <w:vAlign w:val="center"/>
            <w:hideMark/>
          </w:tcPr>
          <w:p w14:paraId="6F34268B" w14:textId="77777777" w:rsidR="009E24C8" w:rsidRPr="00E20D21" w:rsidRDefault="009E24C8" w:rsidP="009E24C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 do tesouro</w:t>
            </w:r>
          </w:p>
        </w:tc>
        <w:tc>
          <w:tcPr>
            <w:tcW w:w="386" w:type="pct"/>
            <w:tcBorders>
              <w:top w:val="nil"/>
              <w:left w:val="nil"/>
              <w:bottom w:val="nil"/>
              <w:right w:val="nil"/>
            </w:tcBorders>
            <w:shd w:val="clear" w:color="auto" w:fill="auto"/>
            <w:noWrap/>
            <w:vAlign w:val="center"/>
          </w:tcPr>
          <w:p w14:paraId="3EB7A625" w14:textId="29EF0E66"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210.385.789</w:t>
            </w:r>
          </w:p>
        </w:tc>
        <w:tc>
          <w:tcPr>
            <w:tcW w:w="386" w:type="pct"/>
            <w:tcBorders>
              <w:top w:val="nil"/>
              <w:left w:val="nil"/>
              <w:bottom w:val="nil"/>
              <w:right w:val="nil"/>
            </w:tcBorders>
            <w:shd w:val="clear" w:color="auto" w:fill="auto"/>
            <w:noWrap/>
            <w:vAlign w:val="center"/>
          </w:tcPr>
          <w:p w14:paraId="266DB8D4" w14:textId="5308221D"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172.148</w:t>
            </w:r>
          </w:p>
        </w:tc>
        <w:tc>
          <w:tcPr>
            <w:tcW w:w="386" w:type="pct"/>
            <w:tcBorders>
              <w:top w:val="nil"/>
              <w:left w:val="nil"/>
              <w:bottom w:val="nil"/>
              <w:right w:val="nil"/>
            </w:tcBorders>
            <w:shd w:val="clear" w:color="auto" w:fill="auto"/>
            <w:noWrap/>
            <w:vAlign w:val="center"/>
          </w:tcPr>
          <w:p w14:paraId="5A585942" w14:textId="7A11A22D"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69.301</w:t>
            </w:r>
          </w:p>
        </w:tc>
        <w:tc>
          <w:tcPr>
            <w:tcW w:w="386" w:type="pct"/>
            <w:tcBorders>
              <w:top w:val="nil"/>
              <w:left w:val="nil"/>
              <w:bottom w:val="nil"/>
              <w:right w:val="nil"/>
            </w:tcBorders>
            <w:shd w:val="clear" w:color="auto" w:fill="auto"/>
            <w:noWrap/>
            <w:vAlign w:val="center"/>
          </w:tcPr>
          <w:p w14:paraId="0A651451" w14:textId="11878AEB"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210.627.238</w:t>
            </w:r>
          </w:p>
        </w:tc>
        <w:tc>
          <w:tcPr>
            <w:tcW w:w="386" w:type="pct"/>
            <w:tcBorders>
              <w:top w:val="nil"/>
              <w:left w:val="nil"/>
              <w:bottom w:val="nil"/>
              <w:right w:val="nil"/>
            </w:tcBorders>
            <w:shd w:val="clear" w:color="auto" w:fill="auto"/>
            <w:noWrap/>
            <w:vAlign w:val="center"/>
          </w:tcPr>
          <w:p w14:paraId="62C92B02" w14:textId="17E90282"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210.627.238</w:t>
            </w:r>
          </w:p>
        </w:tc>
        <w:tc>
          <w:tcPr>
            <w:tcW w:w="386" w:type="pct"/>
            <w:tcBorders>
              <w:top w:val="nil"/>
              <w:left w:val="nil"/>
              <w:bottom w:val="nil"/>
              <w:right w:val="nil"/>
            </w:tcBorders>
            <w:shd w:val="clear" w:color="auto" w:fill="auto"/>
            <w:noWrap/>
            <w:vAlign w:val="center"/>
          </w:tcPr>
          <w:p w14:paraId="5A83E5C9" w14:textId="61120459" w:rsidR="009E24C8" w:rsidRPr="00E20D21" w:rsidRDefault="005F1C39" w:rsidP="009E24C8">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11325BE" w14:textId="74C6E961" w:rsidR="009E24C8" w:rsidRPr="00E20D21" w:rsidRDefault="00ED66A7" w:rsidP="005F1C39">
            <w:pPr>
              <w:jc w:val="right"/>
              <w:rPr>
                <w:rFonts w:ascii="CAIXA Std Book" w:hAnsi="CAIXA Std Book" w:cs="Arial"/>
                <w:color w:val="005CA9"/>
                <w:sz w:val="16"/>
                <w:szCs w:val="16"/>
              </w:rPr>
            </w:pPr>
            <w:r w:rsidRPr="00E20D21">
              <w:rPr>
                <w:rFonts w:ascii="CAIXA Std Book" w:hAnsi="CAIXA Std Book" w:cs="Arial"/>
                <w:color w:val="005CA9"/>
                <w:sz w:val="16"/>
                <w:szCs w:val="16"/>
              </w:rPr>
              <w:t>98.404</w:t>
            </w:r>
          </w:p>
        </w:tc>
        <w:tc>
          <w:tcPr>
            <w:tcW w:w="386" w:type="pct"/>
            <w:tcBorders>
              <w:top w:val="nil"/>
              <w:left w:val="nil"/>
              <w:bottom w:val="nil"/>
              <w:right w:val="nil"/>
            </w:tcBorders>
            <w:shd w:val="clear" w:color="auto" w:fill="auto"/>
            <w:noWrap/>
            <w:vAlign w:val="center"/>
          </w:tcPr>
          <w:p w14:paraId="269B95B5" w14:textId="5B7BC7DB" w:rsidR="009E24C8" w:rsidRPr="00E20D21" w:rsidRDefault="005F1C39" w:rsidP="00A53D86">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9CB169F" w14:textId="211DA4FE" w:rsidR="009E24C8" w:rsidRPr="00E20D21" w:rsidRDefault="00ED66A7" w:rsidP="005F1C39">
            <w:pPr>
              <w:jc w:val="right"/>
              <w:rPr>
                <w:rFonts w:ascii="CAIXA Std Book" w:hAnsi="CAIXA Std Book" w:cs="Arial"/>
                <w:color w:val="005CA9"/>
                <w:sz w:val="16"/>
                <w:szCs w:val="16"/>
              </w:rPr>
            </w:pPr>
            <w:r w:rsidRPr="00E20D21">
              <w:rPr>
                <w:rFonts w:ascii="CAIXA Std Book" w:hAnsi="CAIXA Std Book" w:cs="Arial"/>
                <w:color w:val="005CA9"/>
                <w:sz w:val="16"/>
                <w:szCs w:val="16"/>
              </w:rPr>
              <w:t>113.036</w:t>
            </w:r>
          </w:p>
        </w:tc>
        <w:tc>
          <w:tcPr>
            <w:tcW w:w="385" w:type="pct"/>
            <w:tcBorders>
              <w:top w:val="nil"/>
              <w:left w:val="nil"/>
              <w:bottom w:val="nil"/>
              <w:right w:val="nil"/>
            </w:tcBorders>
            <w:shd w:val="clear" w:color="auto" w:fill="auto"/>
            <w:noWrap/>
            <w:vAlign w:val="center"/>
          </w:tcPr>
          <w:p w14:paraId="3F2FB1BF" w14:textId="48F69818"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210.</w:t>
            </w:r>
            <w:r w:rsidR="00ED66A7" w:rsidRPr="00E20D21">
              <w:rPr>
                <w:rFonts w:ascii="CAIXA Std Book" w:hAnsi="CAIXA Std Book" w:cs="Arial"/>
                <w:color w:val="005CA9"/>
                <w:sz w:val="16"/>
                <w:szCs w:val="16"/>
              </w:rPr>
              <w:t>415.798</w:t>
            </w:r>
          </w:p>
        </w:tc>
      </w:tr>
      <w:tr w:rsidR="00A47C19" w:rsidRPr="00E20D21" w14:paraId="3D3AEBE9" w14:textId="77777777" w:rsidTr="00EC6C5B">
        <w:trPr>
          <w:trHeight w:val="283"/>
        </w:trPr>
        <w:tc>
          <w:tcPr>
            <w:tcW w:w="1141" w:type="pct"/>
            <w:tcBorders>
              <w:top w:val="nil"/>
              <w:left w:val="nil"/>
              <w:bottom w:val="nil"/>
              <w:right w:val="nil"/>
            </w:tcBorders>
            <w:shd w:val="clear" w:color="auto" w:fill="auto"/>
            <w:vAlign w:val="center"/>
            <w:hideMark/>
          </w:tcPr>
          <w:p w14:paraId="0066E5D4" w14:textId="77777777" w:rsidR="009E24C8" w:rsidRPr="00E20D21" w:rsidRDefault="009E24C8" w:rsidP="009E24C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do tesouro nacional</w:t>
            </w:r>
          </w:p>
        </w:tc>
        <w:tc>
          <w:tcPr>
            <w:tcW w:w="386" w:type="pct"/>
            <w:tcBorders>
              <w:top w:val="nil"/>
              <w:left w:val="nil"/>
              <w:bottom w:val="nil"/>
              <w:right w:val="nil"/>
            </w:tcBorders>
            <w:shd w:val="clear" w:color="auto" w:fill="auto"/>
            <w:noWrap/>
            <w:vAlign w:val="center"/>
          </w:tcPr>
          <w:p w14:paraId="068B963D" w14:textId="1B930420"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60.503.595</w:t>
            </w:r>
          </w:p>
        </w:tc>
        <w:tc>
          <w:tcPr>
            <w:tcW w:w="386" w:type="pct"/>
            <w:tcBorders>
              <w:top w:val="nil"/>
              <w:left w:val="nil"/>
              <w:bottom w:val="nil"/>
              <w:right w:val="nil"/>
            </w:tcBorders>
            <w:shd w:val="clear" w:color="auto" w:fill="auto"/>
            <w:noWrap/>
            <w:vAlign w:val="center"/>
          </w:tcPr>
          <w:p w14:paraId="340F59AF" w14:textId="7211FAE4"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(950.906)</w:t>
            </w:r>
          </w:p>
        </w:tc>
        <w:tc>
          <w:tcPr>
            <w:tcW w:w="386" w:type="pct"/>
            <w:tcBorders>
              <w:top w:val="nil"/>
              <w:left w:val="nil"/>
              <w:bottom w:val="nil"/>
              <w:right w:val="nil"/>
            </w:tcBorders>
            <w:shd w:val="clear" w:color="auto" w:fill="auto"/>
            <w:noWrap/>
            <w:vAlign w:val="center"/>
          </w:tcPr>
          <w:p w14:paraId="4BF06746" w14:textId="36D2F0AB"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(139.189)</w:t>
            </w:r>
          </w:p>
        </w:tc>
        <w:tc>
          <w:tcPr>
            <w:tcW w:w="386" w:type="pct"/>
            <w:tcBorders>
              <w:top w:val="nil"/>
              <w:left w:val="nil"/>
              <w:bottom w:val="nil"/>
              <w:right w:val="nil"/>
            </w:tcBorders>
            <w:shd w:val="clear" w:color="auto" w:fill="auto"/>
            <w:noWrap/>
            <w:vAlign w:val="center"/>
          </w:tcPr>
          <w:p w14:paraId="60B6D423" w14:textId="5567A311"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59.413.500</w:t>
            </w:r>
          </w:p>
        </w:tc>
        <w:tc>
          <w:tcPr>
            <w:tcW w:w="386" w:type="pct"/>
            <w:tcBorders>
              <w:top w:val="nil"/>
              <w:left w:val="nil"/>
              <w:bottom w:val="nil"/>
              <w:right w:val="nil"/>
            </w:tcBorders>
            <w:shd w:val="clear" w:color="auto" w:fill="auto"/>
            <w:noWrap/>
            <w:vAlign w:val="center"/>
          </w:tcPr>
          <w:p w14:paraId="60F533DB" w14:textId="03E79FF1"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59.413.500</w:t>
            </w:r>
          </w:p>
        </w:tc>
        <w:tc>
          <w:tcPr>
            <w:tcW w:w="386" w:type="pct"/>
            <w:tcBorders>
              <w:top w:val="nil"/>
              <w:left w:val="nil"/>
              <w:bottom w:val="nil"/>
              <w:right w:val="nil"/>
            </w:tcBorders>
            <w:shd w:val="clear" w:color="auto" w:fill="auto"/>
            <w:noWrap/>
            <w:vAlign w:val="center"/>
          </w:tcPr>
          <w:p w14:paraId="39D33D0A" w14:textId="67EF8F14" w:rsidR="009E24C8" w:rsidRPr="00E20D21" w:rsidRDefault="005F1C39" w:rsidP="009E24C8">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7D9725C" w14:textId="6C50EABF"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2.447.039</w:t>
            </w:r>
          </w:p>
        </w:tc>
        <w:tc>
          <w:tcPr>
            <w:tcW w:w="386" w:type="pct"/>
            <w:tcBorders>
              <w:top w:val="nil"/>
              <w:left w:val="nil"/>
              <w:bottom w:val="nil"/>
              <w:right w:val="nil"/>
            </w:tcBorders>
            <w:shd w:val="clear" w:color="auto" w:fill="auto"/>
            <w:noWrap/>
            <w:vAlign w:val="center"/>
          </w:tcPr>
          <w:p w14:paraId="6C05296E" w14:textId="774AA495" w:rsidR="009E24C8" w:rsidRPr="00E20D21" w:rsidRDefault="005F1C39" w:rsidP="005F1C3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D136476" w14:textId="0598EA6F" w:rsidR="009E24C8" w:rsidRPr="00E20D21" w:rsidRDefault="005F1C39" w:rsidP="00A53D86">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5" w:type="pct"/>
            <w:tcBorders>
              <w:top w:val="nil"/>
              <w:left w:val="nil"/>
              <w:bottom w:val="nil"/>
              <w:right w:val="nil"/>
            </w:tcBorders>
            <w:shd w:val="clear" w:color="auto" w:fill="auto"/>
            <w:noWrap/>
            <w:vAlign w:val="center"/>
          </w:tcPr>
          <w:p w14:paraId="0C01D451" w14:textId="56665301"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56.966.461</w:t>
            </w:r>
          </w:p>
        </w:tc>
      </w:tr>
      <w:tr w:rsidR="00A47C19" w:rsidRPr="00E20D21" w14:paraId="41A3FB3E" w14:textId="77777777" w:rsidTr="00EC6C5B">
        <w:trPr>
          <w:trHeight w:val="283"/>
        </w:trPr>
        <w:tc>
          <w:tcPr>
            <w:tcW w:w="1141" w:type="pct"/>
            <w:tcBorders>
              <w:top w:val="nil"/>
              <w:left w:val="nil"/>
              <w:bottom w:val="nil"/>
              <w:right w:val="nil"/>
            </w:tcBorders>
            <w:shd w:val="clear" w:color="auto" w:fill="auto"/>
            <w:vAlign w:val="center"/>
            <w:hideMark/>
          </w:tcPr>
          <w:p w14:paraId="1879243C" w14:textId="77777777" w:rsidR="009E24C8" w:rsidRPr="00E20D21" w:rsidRDefault="009E24C8" w:rsidP="009E24C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 do tesouro nacional</w:t>
            </w:r>
          </w:p>
        </w:tc>
        <w:tc>
          <w:tcPr>
            <w:tcW w:w="386" w:type="pct"/>
            <w:tcBorders>
              <w:top w:val="nil"/>
              <w:left w:val="nil"/>
              <w:bottom w:val="nil"/>
              <w:right w:val="nil"/>
            </w:tcBorders>
            <w:shd w:val="clear" w:color="auto" w:fill="auto"/>
            <w:noWrap/>
            <w:vAlign w:val="center"/>
          </w:tcPr>
          <w:p w14:paraId="7A6FDC6C" w14:textId="2E8B2D6C"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5.962.551</w:t>
            </w:r>
          </w:p>
        </w:tc>
        <w:tc>
          <w:tcPr>
            <w:tcW w:w="386" w:type="pct"/>
            <w:tcBorders>
              <w:top w:val="nil"/>
              <w:left w:val="nil"/>
              <w:bottom w:val="nil"/>
              <w:right w:val="nil"/>
            </w:tcBorders>
            <w:shd w:val="clear" w:color="auto" w:fill="auto"/>
            <w:noWrap/>
            <w:vAlign w:val="center"/>
          </w:tcPr>
          <w:p w14:paraId="30681824" w14:textId="2C5A5CD4"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(29.187)</w:t>
            </w:r>
          </w:p>
        </w:tc>
        <w:tc>
          <w:tcPr>
            <w:tcW w:w="386" w:type="pct"/>
            <w:tcBorders>
              <w:top w:val="nil"/>
              <w:left w:val="nil"/>
              <w:bottom w:val="nil"/>
              <w:right w:val="nil"/>
            </w:tcBorders>
            <w:shd w:val="clear" w:color="auto" w:fill="auto"/>
            <w:noWrap/>
            <w:vAlign w:val="center"/>
          </w:tcPr>
          <w:p w14:paraId="2472EF20" w14:textId="21A80DA1"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(106.235)</w:t>
            </w:r>
          </w:p>
        </w:tc>
        <w:tc>
          <w:tcPr>
            <w:tcW w:w="386" w:type="pct"/>
            <w:tcBorders>
              <w:top w:val="nil"/>
              <w:left w:val="nil"/>
              <w:bottom w:val="nil"/>
              <w:right w:val="nil"/>
            </w:tcBorders>
            <w:shd w:val="clear" w:color="auto" w:fill="auto"/>
            <w:noWrap/>
            <w:vAlign w:val="center"/>
          </w:tcPr>
          <w:p w14:paraId="684C747E" w14:textId="471FA072"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5.827.129</w:t>
            </w:r>
          </w:p>
        </w:tc>
        <w:tc>
          <w:tcPr>
            <w:tcW w:w="386" w:type="pct"/>
            <w:tcBorders>
              <w:top w:val="nil"/>
              <w:left w:val="nil"/>
              <w:bottom w:val="nil"/>
              <w:right w:val="nil"/>
            </w:tcBorders>
            <w:shd w:val="clear" w:color="auto" w:fill="auto"/>
            <w:noWrap/>
            <w:vAlign w:val="center"/>
          </w:tcPr>
          <w:p w14:paraId="581DE5C1" w14:textId="235B0FC8"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5.831.482</w:t>
            </w:r>
          </w:p>
        </w:tc>
        <w:tc>
          <w:tcPr>
            <w:tcW w:w="386" w:type="pct"/>
            <w:tcBorders>
              <w:top w:val="nil"/>
              <w:left w:val="nil"/>
              <w:bottom w:val="nil"/>
              <w:right w:val="nil"/>
            </w:tcBorders>
            <w:shd w:val="clear" w:color="auto" w:fill="auto"/>
            <w:noWrap/>
            <w:vAlign w:val="center"/>
          </w:tcPr>
          <w:p w14:paraId="0E04111B" w14:textId="77792160" w:rsidR="009E24C8" w:rsidRPr="00E20D21" w:rsidRDefault="005F1C39" w:rsidP="009E24C8">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4D10F32D" w14:textId="7D026924" w:rsidR="009E24C8" w:rsidRPr="00E20D21" w:rsidRDefault="005F1C39" w:rsidP="005F1C3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E4DF24C" w14:textId="6088814A" w:rsidR="009E24C8" w:rsidRPr="00E20D21" w:rsidRDefault="005F1C39" w:rsidP="00A53D86">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F550522" w14:textId="6FD4CD6B" w:rsidR="009E24C8" w:rsidRPr="00E20D21" w:rsidRDefault="005F1C39" w:rsidP="005F1C39">
            <w:pPr>
              <w:jc w:val="right"/>
              <w:rPr>
                <w:rFonts w:ascii="CAIXA Std Book" w:hAnsi="CAIXA Std Book" w:cs="Arial"/>
                <w:color w:val="005CA9"/>
                <w:sz w:val="16"/>
                <w:szCs w:val="16"/>
              </w:rPr>
            </w:pPr>
            <w:r w:rsidRPr="00E20D21">
              <w:rPr>
                <w:rFonts w:ascii="CAIXA Std Book" w:hAnsi="CAIXA Std Book" w:cs="Arial"/>
                <w:color w:val="005CA9"/>
                <w:sz w:val="16"/>
                <w:szCs w:val="16"/>
              </w:rPr>
              <w:t>1.530.563</w:t>
            </w:r>
          </w:p>
        </w:tc>
        <w:tc>
          <w:tcPr>
            <w:tcW w:w="385" w:type="pct"/>
            <w:tcBorders>
              <w:top w:val="nil"/>
              <w:left w:val="nil"/>
              <w:bottom w:val="nil"/>
              <w:right w:val="nil"/>
            </w:tcBorders>
            <w:shd w:val="clear" w:color="auto" w:fill="auto"/>
            <w:noWrap/>
            <w:vAlign w:val="center"/>
          </w:tcPr>
          <w:p w14:paraId="6BB2B3AE" w14:textId="51D98465"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4.296.566</w:t>
            </w:r>
          </w:p>
        </w:tc>
      </w:tr>
      <w:tr w:rsidR="00A47C19" w:rsidRPr="00E20D21" w14:paraId="26778FE7" w14:textId="77777777" w:rsidTr="00EC6C5B">
        <w:trPr>
          <w:trHeight w:val="283"/>
        </w:trPr>
        <w:tc>
          <w:tcPr>
            <w:tcW w:w="1141" w:type="pct"/>
            <w:tcBorders>
              <w:top w:val="nil"/>
              <w:left w:val="nil"/>
              <w:bottom w:val="nil"/>
              <w:right w:val="nil"/>
            </w:tcBorders>
            <w:shd w:val="clear" w:color="auto" w:fill="auto"/>
            <w:vAlign w:val="center"/>
            <w:hideMark/>
          </w:tcPr>
          <w:p w14:paraId="4AEA5C0E" w14:textId="77777777" w:rsidR="009E24C8" w:rsidRPr="00E20D21" w:rsidRDefault="009E24C8" w:rsidP="009E24C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Tesouro nacional/securitização</w:t>
            </w:r>
          </w:p>
        </w:tc>
        <w:tc>
          <w:tcPr>
            <w:tcW w:w="386" w:type="pct"/>
            <w:tcBorders>
              <w:top w:val="nil"/>
              <w:left w:val="nil"/>
              <w:bottom w:val="nil"/>
              <w:right w:val="nil"/>
            </w:tcBorders>
            <w:shd w:val="clear" w:color="auto" w:fill="auto"/>
            <w:noWrap/>
            <w:vAlign w:val="center"/>
          </w:tcPr>
          <w:p w14:paraId="1BDA5975" w14:textId="20B900B8"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298.154</w:t>
            </w:r>
          </w:p>
        </w:tc>
        <w:tc>
          <w:tcPr>
            <w:tcW w:w="386" w:type="pct"/>
            <w:tcBorders>
              <w:top w:val="nil"/>
              <w:left w:val="nil"/>
              <w:bottom w:val="nil"/>
              <w:right w:val="nil"/>
            </w:tcBorders>
            <w:shd w:val="clear" w:color="auto" w:fill="auto"/>
            <w:noWrap/>
            <w:vAlign w:val="center"/>
          </w:tcPr>
          <w:p w14:paraId="22A6A536" w14:textId="745D4724" w:rsidR="009E24C8" w:rsidRPr="00E20D21" w:rsidRDefault="005F1C39" w:rsidP="006B0541">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6E1CDBEF" w14:textId="397F280A"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(13.079)</w:t>
            </w:r>
          </w:p>
        </w:tc>
        <w:tc>
          <w:tcPr>
            <w:tcW w:w="386" w:type="pct"/>
            <w:tcBorders>
              <w:top w:val="nil"/>
              <w:left w:val="nil"/>
              <w:bottom w:val="nil"/>
              <w:right w:val="nil"/>
            </w:tcBorders>
            <w:shd w:val="clear" w:color="auto" w:fill="auto"/>
            <w:noWrap/>
            <w:vAlign w:val="center"/>
          </w:tcPr>
          <w:p w14:paraId="642E5F6D" w14:textId="5E2FDA21"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285.075</w:t>
            </w:r>
          </w:p>
        </w:tc>
        <w:tc>
          <w:tcPr>
            <w:tcW w:w="386" w:type="pct"/>
            <w:tcBorders>
              <w:top w:val="nil"/>
              <w:left w:val="nil"/>
              <w:bottom w:val="nil"/>
              <w:right w:val="nil"/>
            </w:tcBorders>
            <w:shd w:val="clear" w:color="auto" w:fill="auto"/>
            <w:noWrap/>
            <w:vAlign w:val="center"/>
          </w:tcPr>
          <w:p w14:paraId="620FBF53" w14:textId="6CCFFD4D"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285.075</w:t>
            </w:r>
          </w:p>
        </w:tc>
        <w:tc>
          <w:tcPr>
            <w:tcW w:w="386" w:type="pct"/>
            <w:tcBorders>
              <w:top w:val="nil"/>
              <w:left w:val="nil"/>
              <w:bottom w:val="nil"/>
              <w:right w:val="nil"/>
            </w:tcBorders>
            <w:shd w:val="clear" w:color="auto" w:fill="auto"/>
            <w:noWrap/>
            <w:vAlign w:val="center"/>
          </w:tcPr>
          <w:p w14:paraId="112BAE1E" w14:textId="02356099" w:rsidR="009E24C8" w:rsidRPr="00E20D21" w:rsidRDefault="005F1C39" w:rsidP="009E24C8">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3C37C01" w14:textId="54C7772B" w:rsidR="009E24C8" w:rsidRPr="00E20D21" w:rsidRDefault="005F1C39" w:rsidP="00A53D86">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D791AAB" w14:textId="03337F33" w:rsidR="009E24C8" w:rsidRPr="00E20D21" w:rsidRDefault="005F1C39" w:rsidP="00A53D86">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A00BF99" w14:textId="69A37216" w:rsidR="009E24C8" w:rsidRPr="00E20D21" w:rsidRDefault="005F1C39" w:rsidP="00A53D86">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5" w:type="pct"/>
            <w:tcBorders>
              <w:top w:val="nil"/>
              <w:left w:val="nil"/>
              <w:bottom w:val="nil"/>
              <w:right w:val="nil"/>
            </w:tcBorders>
            <w:shd w:val="clear" w:color="auto" w:fill="auto"/>
            <w:noWrap/>
            <w:vAlign w:val="center"/>
          </w:tcPr>
          <w:p w14:paraId="09C35A9B" w14:textId="3E5C966D" w:rsidR="009E24C8" w:rsidRPr="00E20D21" w:rsidRDefault="005F1C39" w:rsidP="009E24C8">
            <w:pPr>
              <w:jc w:val="right"/>
              <w:rPr>
                <w:rFonts w:ascii="CAIXA Std Book" w:hAnsi="CAIXA Std Book" w:cs="Arial"/>
                <w:color w:val="005CA9"/>
                <w:sz w:val="16"/>
                <w:szCs w:val="16"/>
              </w:rPr>
            </w:pPr>
            <w:r w:rsidRPr="00E20D21">
              <w:rPr>
                <w:rFonts w:ascii="CAIXA Std Book" w:hAnsi="CAIXA Std Book" w:cs="Arial"/>
                <w:color w:val="005CA9"/>
                <w:sz w:val="16"/>
                <w:szCs w:val="16"/>
              </w:rPr>
              <w:t>285.075</w:t>
            </w:r>
          </w:p>
        </w:tc>
      </w:tr>
      <w:tr w:rsidR="00972293" w:rsidRPr="00E20D21" w14:paraId="107A0487" w14:textId="77777777" w:rsidTr="00EC6C5B">
        <w:trPr>
          <w:trHeight w:val="283"/>
        </w:trPr>
        <w:tc>
          <w:tcPr>
            <w:tcW w:w="1141" w:type="pct"/>
            <w:tcBorders>
              <w:top w:val="nil"/>
              <w:left w:val="nil"/>
              <w:bottom w:val="nil"/>
              <w:right w:val="nil"/>
            </w:tcBorders>
            <w:shd w:val="clear" w:color="auto" w:fill="auto"/>
            <w:vAlign w:val="center"/>
            <w:hideMark/>
          </w:tcPr>
          <w:p w14:paraId="53D84F1C" w14:textId="77777777" w:rsidR="00972293" w:rsidRPr="00E20D21" w:rsidRDefault="00972293" w:rsidP="0097229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 empresas</w:t>
            </w:r>
          </w:p>
        </w:tc>
        <w:tc>
          <w:tcPr>
            <w:tcW w:w="386" w:type="pct"/>
            <w:tcBorders>
              <w:top w:val="nil"/>
              <w:left w:val="nil"/>
              <w:bottom w:val="nil"/>
              <w:right w:val="nil"/>
            </w:tcBorders>
            <w:shd w:val="clear" w:color="auto" w:fill="auto"/>
            <w:noWrap/>
            <w:vAlign w:val="center"/>
          </w:tcPr>
          <w:p w14:paraId="2C5FB5DF" w14:textId="0103BBAD"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16.079.894</w:t>
            </w:r>
          </w:p>
        </w:tc>
        <w:tc>
          <w:tcPr>
            <w:tcW w:w="386" w:type="pct"/>
            <w:tcBorders>
              <w:top w:val="nil"/>
              <w:left w:val="nil"/>
              <w:bottom w:val="nil"/>
              <w:right w:val="nil"/>
            </w:tcBorders>
            <w:shd w:val="clear" w:color="auto" w:fill="auto"/>
            <w:noWrap/>
            <w:vAlign w:val="center"/>
          </w:tcPr>
          <w:p w14:paraId="6ED0F789" w14:textId="07439ACB"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(91.156)</w:t>
            </w:r>
          </w:p>
        </w:tc>
        <w:tc>
          <w:tcPr>
            <w:tcW w:w="386" w:type="pct"/>
            <w:tcBorders>
              <w:top w:val="nil"/>
              <w:left w:val="nil"/>
              <w:bottom w:val="nil"/>
              <w:right w:val="nil"/>
            </w:tcBorders>
            <w:shd w:val="clear" w:color="auto" w:fill="auto"/>
            <w:noWrap/>
            <w:vAlign w:val="center"/>
          </w:tcPr>
          <w:p w14:paraId="61B54691" w14:textId="4796010A"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1.086.036</w:t>
            </w:r>
          </w:p>
        </w:tc>
        <w:tc>
          <w:tcPr>
            <w:tcW w:w="386" w:type="pct"/>
            <w:tcBorders>
              <w:top w:val="nil"/>
              <w:left w:val="nil"/>
              <w:bottom w:val="nil"/>
              <w:right w:val="nil"/>
            </w:tcBorders>
            <w:shd w:val="clear" w:color="auto" w:fill="auto"/>
            <w:noWrap/>
            <w:vAlign w:val="center"/>
          </w:tcPr>
          <w:p w14:paraId="02611600" w14:textId="60B2B0D0"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17.074.774</w:t>
            </w:r>
          </w:p>
        </w:tc>
        <w:tc>
          <w:tcPr>
            <w:tcW w:w="386" w:type="pct"/>
            <w:tcBorders>
              <w:top w:val="nil"/>
              <w:left w:val="nil"/>
              <w:bottom w:val="nil"/>
              <w:right w:val="nil"/>
            </w:tcBorders>
            <w:shd w:val="clear" w:color="auto" w:fill="auto"/>
            <w:noWrap/>
            <w:vAlign w:val="center"/>
          </w:tcPr>
          <w:p w14:paraId="6195B200" w14:textId="42360B5B"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16.432.311</w:t>
            </w:r>
          </w:p>
        </w:tc>
        <w:tc>
          <w:tcPr>
            <w:tcW w:w="386" w:type="pct"/>
            <w:tcBorders>
              <w:top w:val="nil"/>
              <w:left w:val="nil"/>
              <w:bottom w:val="nil"/>
              <w:right w:val="nil"/>
            </w:tcBorders>
            <w:shd w:val="clear" w:color="auto" w:fill="auto"/>
            <w:noWrap/>
            <w:vAlign w:val="center"/>
          </w:tcPr>
          <w:p w14:paraId="46DA8617" w14:textId="04179F78"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1.806.121</w:t>
            </w:r>
          </w:p>
        </w:tc>
        <w:tc>
          <w:tcPr>
            <w:tcW w:w="386" w:type="pct"/>
            <w:tcBorders>
              <w:top w:val="nil"/>
              <w:left w:val="nil"/>
              <w:bottom w:val="nil"/>
              <w:right w:val="nil"/>
            </w:tcBorders>
            <w:shd w:val="clear" w:color="auto" w:fill="auto"/>
            <w:noWrap/>
            <w:vAlign w:val="center"/>
          </w:tcPr>
          <w:p w14:paraId="4856F3E6" w14:textId="4CD5BA6C"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289.987</w:t>
            </w:r>
          </w:p>
        </w:tc>
        <w:tc>
          <w:tcPr>
            <w:tcW w:w="386" w:type="pct"/>
            <w:tcBorders>
              <w:top w:val="nil"/>
              <w:left w:val="nil"/>
              <w:bottom w:val="nil"/>
              <w:right w:val="nil"/>
            </w:tcBorders>
            <w:shd w:val="clear" w:color="auto" w:fill="auto"/>
            <w:noWrap/>
            <w:vAlign w:val="center"/>
          </w:tcPr>
          <w:p w14:paraId="4AD7ACB3" w14:textId="2B4074FA"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426.049</w:t>
            </w:r>
          </w:p>
        </w:tc>
        <w:tc>
          <w:tcPr>
            <w:tcW w:w="386" w:type="pct"/>
            <w:tcBorders>
              <w:top w:val="nil"/>
              <w:left w:val="nil"/>
              <w:bottom w:val="nil"/>
              <w:right w:val="nil"/>
            </w:tcBorders>
            <w:shd w:val="clear" w:color="auto" w:fill="auto"/>
            <w:noWrap/>
            <w:vAlign w:val="center"/>
          </w:tcPr>
          <w:p w14:paraId="4F092951" w14:textId="092DC45C"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894.852</w:t>
            </w:r>
          </w:p>
        </w:tc>
        <w:tc>
          <w:tcPr>
            <w:tcW w:w="385" w:type="pct"/>
            <w:tcBorders>
              <w:top w:val="nil"/>
              <w:left w:val="nil"/>
              <w:bottom w:val="nil"/>
              <w:right w:val="nil"/>
            </w:tcBorders>
            <w:shd w:val="clear" w:color="auto" w:fill="auto"/>
            <w:noWrap/>
            <w:vAlign w:val="center"/>
          </w:tcPr>
          <w:p w14:paraId="2D82DD8C" w14:textId="1ADC701F"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13.657.765</w:t>
            </w:r>
          </w:p>
        </w:tc>
      </w:tr>
      <w:tr w:rsidR="00972293" w:rsidRPr="00E20D21" w14:paraId="50B6AAEA" w14:textId="77777777" w:rsidTr="00972293">
        <w:trPr>
          <w:trHeight w:val="283"/>
        </w:trPr>
        <w:tc>
          <w:tcPr>
            <w:tcW w:w="1141" w:type="pct"/>
            <w:tcBorders>
              <w:top w:val="nil"/>
              <w:left w:val="nil"/>
              <w:bottom w:val="nil"/>
              <w:right w:val="nil"/>
            </w:tcBorders>
            <w:shd w:val="clear" w:color="auto" w:fill="auto"/>
            <w:vAlign w:val="center"/>
            <w:hideMark/>
          </w:tcPr>
          <w:p w14:paraId="340C5927" w14:textId="77777777" w:rsidR="00972293" w:rsidRPr="00E20D21" w:rsidRDefault="00972293" w:rsidP="00972293">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Debêntures</w:t>
            </w:r>
          </w:p>
        </w:tc>
        <w:tc>
          <w:tcPr>
            <w:tcW w:w="386" w:type="pct"/>
            <w:tcBorders>
              <w:top w:val="nil"/>
              <w:left w:val="nil"/>
              <w:bottom w:val="nil"/>
              <w:right w:val="nil"/>
            </w:tcBorders>
            <w:shd w:val="clear" w:color="auto" w:fill="auto"/>
            <w:noWrap/>
            <w:vAlign w:val="center"/>
          </w:tcPr>
          <w:p w14:paraId="58C50A27" w14:textId="5A050674"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7.186.460</w:t>
            </w:r>
          </w:p>
        </w:tc>
        <w:tc>
          <w:tcPr>
            <w:tcW w:w="386" w:type="pct"/>
            <w:tcBorders>
              <w:top w:val="nil"/>
              <w:left w:val="nil"/>
              <w:bottom w:val="nil"/>
              <w:right w:val="nil"/>
            </w:tcBorders>
            <w:shd w:val="clear" w:color="auto" w:fill="auto"/>
            <w:noWrap/>
            <w:vAlign w:val="center"/>
          </w:tcPr>
          <w:p w14:paraId="1A2363F8" w14:textId="0DD56989"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(9.025)</w:t>
            </w:r>
          </w:p>
        </w:tc>
        <w:tc>
          <w:tcPr>
            <w:tcW w:w="386" w:type="pct"/>
            <w:tcBorders>
              <w:top w:val="nil"/>
              <w:left w:val="nil"/>
              <w:bottom w:val="nil"/>
              <w:right w:val="nil"/>
            </w:tcBorders>
            <w:shd w:val="clear" w:color="auto" w:fill="auto"/>
            <w:noWrap/>
            <w:vAlign w:val="center"/>
          </w:tcPr>
          <w:p w14:paraId="5ABEE6DA" w14:textId="4F3E54A1"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60.002</w:t>
            </w:r>
          </w:p>
        </w:tc>
        <w:tc>
          <w:tcPr>
            <w:tcW w:w="386" w:type="pct"/>
            <w:tcBorders>
              <w:top w:val="nil"/>
              <w:left w:val="nil"/>
              <w:bottom w:val="nil"/>
              <w:right w:val="nil"/>
            </w:tcBorders>
            <w:shd w:val="clear" w:color="auto" w:fill="auto"/>
            <w:noWrap/>
            <w:vAlign w:val="center"/>
          </w:tcPr>
          <w:p w14:paraId="68AB1727" w14:textId="2541969B"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7.237.437</w:t>
            </w:r>
          </w:p>
        </w:tc>
        <w:tc>
          <w:tcPr>
            <w:tcW w:w="386" w:type="pct"/>
            <w:tcBorders>
              <w:top w:val="nil"/>
              <w:left w:val="nil"/>
              <w:bottom w:val="nil"/>
              <w:right w:val="nil"/>
            </w:tcBorders>
            <w:shd w:val="clear" w:color="auto" w:fill="auto"/>
            <w:noWrap/>
            <w:vAlign w:val="center"/>
          </w:tcPr>
          <w:p w14:paraId="06A42AD5" w14:textId="603B8449"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6.439.527</w:t>
            </w:r>
          </w:p>
        </w:tc>
        <w:tc>
          <w:tcPr>
            <w:tcW w:w="386" w:type="pct"/>
            <w:tcBorders>
              <w:top w:val="nil"/>
              <w:left w:val="nil"/>
              <w:bottom w:val="nil"/>
              <w:right w:val="nil"/>
            </w:tcBorders>
            <w:shd w:val="clear" w:color="auto" w:fill="auto"/>
            <w:noWrap/>
            <w:vAlign w:val="center"/>
          </w:tcPr>
          <w:p w14:paraId="630BE3ED" w14:textId="694CEC33"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A33DDED" w14:textId="0CF25F7F"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2D5BD58" w14:textId="29F91AE3"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CCD9031" w14:textId="2E70E4D6"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25.149</w:t>
            </w:r>
          </w:p>
        </w:tc>
        <w:tc>
          <w:tcPr>
            <w:tcW w:w="385" w:type="pct"/>
            <w:tcBorders>
              <w:top w:val="nil"/>
              <w:left w:val="nil"/>
              <w:bottom w:val="nil"/>
              <w:right w:val="nil"/>
            </w:tcBorders>
            <w:shd w:val="clear" w:color="auto" w:fill="auto"/>
            <w:noWrap/>
            <w:vAlign w:val="center"/>
          </w:tcPr>
          <w:p w14:paraId="65217C9E" w14:textId="0BBB9D71"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7.212.288</w:t>
            </w:r>
          </w:p>
        </w:tc>
      </w:tr>
      <w:tr w:rsidR="00972293" w:rsidRPr="00E20D21" w14:paraId="007846DC" w14:textId="77777777" w:rsidTr="00972293">
        <w:trPr>
          <w:trHeight w:val="283"/>
        </w:trPr>
        <w:tc>
          <w:tcPr>
            <w:tcW w:w="1141" w:type="pct"/>
            <w:tcBorders>
              <w:top w:val="nil"/>
              <w:left w:val="nil"/>
              <w:bottom w:val="nil"/>
              <w:right w:val="nil"/>
            </w:tcBorders>
            <w:shd w:val="clear" w:color="auto" w:fill="auto"/>
            <w:vAlign w:val="center"/>
            <w:hideMark/>
          </w:tcPr>
          <w:p w14:paraId="0AC7B3F8" w14:textId="77777777" w:rsidR="00972293" w:rsidRPr="00E20D21" w:rsidRDefault="00972293" w:rsidP="00972293">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 promissórias</w:t>
            </w:r>
          </w:p>
        </w:tc>
        <w:tc>
          <w:tcPr>
            <w:tcW w:w="386" w:type="pct"/>
            <w:tcBorders>
              <w:top w:val="nil"/>
              <w:left w:val="nil"/>
              <w:bottom w:val="nil"/>
              <w:right w:val="nil"/>
            </w:tcBorders>
            <w:shd w:val="clear" w:color="auto" w:fill="auto"/>
            <w:noWrap/>
            <w:vAlign w:val="center"/>
          </w:tcPr>
          <w:p w14:paraId="2A4FE638" w14:textId="2A68BB46"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239.467</w:t>
            </w:r>
          </w:p>
        </w:tc>
        <w:tc>
          <w:tcPr>
            <w:tcW w:w="386" w:type="pct"/>
            <w:tcBorders>
              <w:top w:val="nil"/>
              <w:left w:val="nil"/>
              <w:bottom w:val="nil"/>
              <w:right w:val="nil"/>
            </w:tcBorders>
            <w:shd w:val="clear" w:color="auto" w:fill="auto"/>
            <w:noWrap/>
            <w:vAlign w:val="center"/>
          </w:tcPr>
          <w:p w14:paraId="563FC3DD" w14:textId="0EE53DF4"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6749E719" w14:textId="0B868519"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1.153</w:t>
            </w:r>
          </w:p>
        </w:tc>
        <w:tc>
          <w:tcPr>
            <w:tcW w:w="386" w:type="pct"/>
            <w:tcBorders>
              <w:top w:val="nil"/>
              <w:left w:val="nil"/>
              <w:bottom w:val="nil"/>
              <w:right w:val="nil"/>
            </w:tcBorders>
            <w:shd w:val="clear" w:color="auto" w:fill="auto"/>
            <w:noWrap/>
            <w:vAlign w:val="center"/>
          </w:tcPr>
          <w:p w14:paraId="1933A6EA" w14:textId="42ACC030"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240.620</w:t>
            </w:r>
          </w:p>
        </w:tc>
        <w:tc>
          <w:tcPr>
            <w:tcW w:w="386" w:type="pct"/>
            <w:tcBorders>
              <w:top w:val="nil"/>
              <w:left w:val="nil"/>
              <w:bottom w:val="nil"/>
              <w:right w:val="nil"/>
            </w:tcBorders>
            <w:shd w:val="clear" w:color="auto" w:fill="auto"/>
            <w:noWrap/>
            <w:vAlign w:val="center"/>
          </w:tcPr>
          <w:p w14:paraId="6D972A02" w14:textId="7855BC70"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240.620</w:t>
            </w:r>
          </w:p>
        </w:tc>
        <w:tc>
          <w:tcPr>
            <w:tcW w:w="386" w:type="pct"/>
            <w:tcBorders>
              <w:top w:val="nil"/>
              <w:left w:val="nil"/>
              <w:bottom w:val="nil"/>
              <w:right w:val="nil"/>
            </w:tcBorders>
            <w:shd w:val="clear" w:color="auto" w:fill="auto"/>
            <w:noWrap/>
            <w:vAlign w:val="center"/>
          </w:tcPr>
          <w:p w14:paraId="5B33881C" w14:textId="357BDEFC"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62F97DE6" w14:textId="12EB5F07"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85FD7B2" w14:textId="7C48D3CB"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FE273CC" w14:textId="30A89337"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5" w:type="pct"/>
            <w:tcBorders>
              <w:top w:val="nil"/>
              <w:left w:val="nil"/>
              <w:bottom w:val="nil"/>
              <w:right w:val="nil"/>
            </w:tcBorders>
            <w:shd w:val="clear" w:color="auto" w:fill="auto"/>
            <w:noWrap/>
            <w:vAlign w:val="center"/>
          </w:tcPr>
          <w:p w14:paraId="1D81326D" w14:textId="69DCE78D"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240.620</w:t>
            </w:r>
          </w:p>
        </w:tc>
      </w:tr>
      <w:tr w:rsidR="00972293" w:rsidRPr="00E20D21" w14:paraId="2EA28D34" w14:textId="77777777" w:rsidTr="00972293">
        <w:trPr>
          <w:trHeight w:val="283"/>
        </w:trPr>
        <w:tc>
          <w:tcPr>
            <w:tcW w:w="1141" w:type="pct"/>
            <w:tcBorders>
              <w:top w:val="nil"/>
              <w:left w:val="nil"/>
              <w:bottom w:val="nil"/>
              <w:right w:val="nil"/>
            </w:tcBorders>
            <w:shd w:val="clear" w:color="auto" w:fill="auto"/>
            <w:vAlign w:val="center"/>
            <w:hideMark/>
          </w:tcPr>
          <w:p w14:paraId="21430F6F" w14:textId="77777777" w:rsidR="00972293" w:rsidRPr="00E20D21" w:rsidRDefault="00972293" w:rsidP="00972293">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Cotas de fundos</w:t>
            </w:r>
          </w:p>
        </w:tc>
        <w:tc>
          <w:tcPr>
            <w:tcW w:w="386" w:type="pct"/>
            <w:tcBorders>
              <w:top w:val="nil"/>
              <w:left w:val="nil"/>
              <w:bottom w:val="nil"/>
              <w:right w:val="nil"/>
            </w:tcBorders>
            <w:shd w:val="clear" w:color="auto" w:fill="auto"/>
            <w:noWrap/>
            <w:vAlign w:val="center"/>
          </w:tcPr>
          <w:p w14:paraId="24B3E0EE" w14:textId="7BC0C786"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763.647</w:t>
            </w:r>
          </w:p>
        </w:tc>
        <w:tc>
          <w:tcPr>
            <w:tcW w:w="386" w:type="pct"/>
            <w:tcBorders>
              <w:top w:val="nil"/>
              <w:left w:val="nil"/>
              <w:bottom w:val="nil"/>
              <w:right w:val="nil"/>
            </w:tcBorders>
            <w:shd w:val="clear" w:color="auto" w:fill="auto"/>
            <w:noWrap/>
            <w:vAlign w:val="center"/>
          </w:tcPr>
          <w:p w14:paraId="23C8D401" w14:textId="2DB364AE"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9.302</w:t>
            </w:r>
          </w:p>
        </w:tc>
        <w:tc>
          <w:tcPr>
            <w:tcW w:w="386" w:type="pct"/>
            <w:tcBorders>
              <w:top w:val="nil"/>
              <w:left w:val="nil"/>
              <w:bottom w:val="nil"/>
              <w:right w:val="nil"/>
            </w:tcBorders>
            <w:shd w:val="clear" w:color="auto" w:fill="auto"/>
            <w:noWrap/>
            <w:vAlign w:val="center"/>
          </w:tcPr>
          <w:p w14:paraId="6A79FBC5" w14:textId="562A2A92"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1.016.454</w:t>
            </w:r>
          </w:p>
        </w:tc>
        <w:tc>
          <w:tcPr>
            <w:tcW w:w="386" w:type="pct"/>
            <w:tcBorders>
              <w:top w:val="nil"/>
              <w:left w:val="nil"/>
              <w:bottom w:val="nil"/>
              <w:right w:val="nil"/>
            </w:tcBorders>
            <w:shd w:val="clear" w:color="auto" w:fill="auto"/>
            <w:noWrap/>
            <w:vAlign w:val="center"/>
          </w:tcPr>
          <w:p w14:paraId="64BCAF1C" w14:textId="2AB00832"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1.789.403</w:t>
            </w:r>
          </w:p>
        </w:tc>
        <w:tc>
          <w:tcPr>
            <w:tcW w:w="386" w:type="pct"/>
            <w:tcBorders>
              <w:top w:val="nil"/>
              <w:left w:val="nil"/>
              <w:bottom w:val="nil"/>
              <w:right w:val="nil"/>
            </w:tcBorders>
            <w:shd w:val="clear" w:color="auto" w:fill="auto"/>
            <w:noWrap/>
            <w:vAlign w:val="center"/>
          </w:tcPr>
          <w:p w14:paraId="3596B4F7" w14:textId="3E3721E2"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1.789.403</w:t>
            </w:r>
          </w:p>
        </w:tc>
        <w:tc>
          <w:tcPr>
            <w:tcW w:w="386" w:type="pct"/>
            <w:tcBorders>
              <w:top w:val="nil"/>
              <w:left w:val="nil"/>
              <w:bottom w:val="nil"/>
              <w:right w:val="nil"/>
            </w:tcBorders>
            <w:shd w:val="clear" w:color="auto" w:fill="auto"/>
            <w:noWrap/>
            <w:vAlign w:val="center"/>
          </w:tcPr>
          <w:p w14:paraId="71A941DE" w14:textId="156E22E2"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1.789.403</w:t>
            </w:r>
          </w:p>
        </w:tc>
        <w:tc>
          <w:tcPr>
            <w:tcW w:w="386" w:type="pct"/>
            <w:tcBorders>
              <w:top w:val="nil"/>
              <w:left w:val="nil"/>
              <w:bottom w:val="nil"/>
              <w:right w:val="nil"/>
            </w:tcBorders>
            <w:shd w:val="clear" w:color="auto" w:fill="auto"/>
            <w:noWrap/>
            <w:vAlign w:val="center"/>
          </w:tcPr>
          <w:p w14:paraId="0550CF33" w14:textId="68FA9256"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8297A39" w14:textId="200C4AA3"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A429401" w14:textId="6E94BBFC"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5" w:type="pct"/>
            <w:tcBorders>
              <w:top w:val="nil"/>
              <w:left w:val="nil"/>
              <w:bottom w:val="nil"/>
              <w:right w:val="nil"/>
            </w:tcBorders>
            <w:shd w:val="clear" w:color="auto" w:fill="auto"/>
            <w:noWrap/>
            <w:vAlign w:val="center"/>
          </w:tcPr>
          <w:p w14:paraId="2734C627" w14:textId="29CFD39B"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r>
      <w:tr w:rsidR="00972293" w:rsidRPr="00E20D21" w14:paraId="5A159B8E" w14:textId="77777777" w:rsidTr="00972293">
        <w:trPr>
          <w:trHeight w:val="283"/>
        </w:trPr>
        <w:tc>
          <w:tcPr>
            <w:tcW w:w="1141" w:type="pct"/>
            <w:tcBorders>
              <w:top w:val="nil"/>
              <w:left w:val="nil"/>
              <w:bottom w:val="nil"/>
              <w:right w:val="nil"/>
            </w:tcBorders>
            <w:shd w:val="clear" w:color="auto" w:fill="auto"/>
            <w:vAlign w:val="center"/>
            <w:hideMark/>
          </w:tcPr>
          <w:p w14:paraId="2D0FBEDC" w14:textId="77777777" w:rsidR="00972293" w:rsidRPr="00E20D21" w:rsidRDefault="00972293" w:rsidP="00972293">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Certificado de recebíveis imobiliários</w:t>
            </w:r>
          </w:p>
        </w:tc>
        <w:tc>
          <w:tcPr>
            <w:tcW w:w="386" w:type="pct"/>
            <w:tcBorders>
              <w:top w:val="nil"/>
              <w:left w:val="nil"/>
              <w:bottom w:val="nil"/>
              <w:right w:val="nil"/>
            </w:tcBorders>
            <w:shd w:val="clear" w:color="auto" w:fill="auto"/>
            <w:noWrap/>
            <w:vAlign w:val="center"/>
          </w:tcPr>
          <w:p w14:paraId="5019D5E3" w14:textId="69285A40"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3.523.879</w:t>
            </w:r>
          </w:p>
        </w:tc>
        <w:tc>
          <w:tcPr>
            <w:tcW w:w="386" w:type="pct"/>
            <w:tcBorders>
              <w:top w:val="nil"/>
              <w:left w:val="nil"/>
              <w:bottom w:val="nil"/>
              <w:right w:val="nil"/>
            </w:tcBorders>
            <w:shd w:val="clear" w:color="auto" w:fill="auto"/>
            <w:noWrap/>
            <w:vAlign w:val="center"/>
          </w:tcPr>
          <w:p w14:paraId="0A2F48C0" w14:textId="4C1B3166"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30694B6" w14:textId="4A430253"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(43.794)</w:t>
            </w:r>
          </w:p>
        </w:tc>
        <w:tc>
          <w:tcPr>
            <w:tcW w:w="386" w:type="pct"/>
            <w:tcBorders>
              <w:top w:val="nil"/>
              <w:left w:val="nil"/>
              <w:bottom w:val="nil"/>
              <w:right w:val="nil"/>
            </w:tcBorders>
            <w:shd w:val="clear" w:color="auto" w:fill="auto"/>
            <w:noWrap/>
            <w:vAlign w:val="center"/>
          </w:tcPr>
          <w:p w14:paraId="3E83F557" w14:textId="07BD160E"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3.480.085</w:t>
            </w:r>
          </w:p>
        </w:tc>
        <w:tc>
          <w:tcPr>
            <w:tcW w:w="386" w:type="pct"/>
            <w:tcBorders>
              <w:top w:val="nil"/>
              <w:left w:val="nil"/>
              <w:bottom w:val="nil"/>
              <w:right w:val="nil"/>
            </w:tcBorders>
            <w:shd w:val="clear" w:color="auto" w:fill="auto"/>
            <w:noWrap/>
            <w:vAlign w:val="center"/>
          </w:tcPr>
          <w:p w14:paraId="6767E1AC" w14:textId="7C03B9C6"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3.635.532</w:t>
            </w:r>
          </w:p>
        </w:tc>
        <w:tc>
          <w:tcPr>
            <w:tcW w:w="386" w:type="pct"/>
            <w:tcBorders>
              <w:top w:val="nil"/>
              <w:left w:val="nil"/>
              <w:bottom w:val="nil"/>
              <w:right w:val="nil"/>
            </w:tcBorders>
            <w:shd w:val="clear" w:color="auto" w:fill="auto"/>
            <w:noWrap/>
            <w:vAlign w:val="center"/>
          </w:tcPr>
          <w:p w14:paraId="17495FE0" w14:textId="7D8D46DA"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4EFC66D" w14:textId="59C6B138"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D9C2A53" w14:textId="5A564613"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B108D30" w14:textId="200CAFAB"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5" w:type="pct"/>
            <w:tcBorders>
              <w:top w:val="nil"/>
              <w:left w:val="nil"/>
              <w:bottom w:val="nil"/>
              <w:right w:val="nil"/>
            </w:tcBorders>
            <w:shd w:val="clear" w:color="auto" w:fill="auto"/>
            <w:noWrap/>
            <w:vAlign w:val="center"/>
          </w:tcPr>
          <w:p w14:paraId="25055EE1" w14:textId="43A0C9B0"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3.480.085</w:t>
            </w:r>
          </w:p>
        </w:tc>
      </w:tr>
      <w:tr w:rsidR="00972293" w:rsidRPr="00E20D21" w14:paraId="195D743C" w14:textId="77777777" w:rsidTr="00972293">
        <w:trPr>
          <w:trHeight w:val="283"/>
        </w:trPr>
        <w:tc>
          <w:tcPr>
            <w:tcW w:w="1141" w:type="pct"/>
            <w:tcBorders>
              <w:top w:val="nil"/>
              <w:left w:val="nil"/>
              <w:bottom w:val="nil"/>
              <w:right w:val="nil"/>
            </w:tcBorders>
            <w:shd w:val="clear" w:color="auto" w:fill="auto"/>
            <w:vAlign w:val="center"/>
            <w:hideMark/>
          </w:tcPr>
          <w:p w14:paraId="09FD6ACF" w14:textId="77777777" w:rsidR="00972293" w:rsidRPr="00E20D21" w:rsidRDefault="00972293" w:rsidP="00972293">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Ações</w:t>
            </w:r>
          </w:p>
        </w:tc>
        <w:tc>
          <w:tcPr>
            <w:tcW w:w="386" w:type="pct"/>
            <w:tcBorders>
              <w:top w:val="nil"/>
              <w:left w:val="nil"/>
              <w:bottom w:val="nil"/>
              <w:right w:val="nil"/>
            </w:tcBorders>
            <w:shd w:val="clear" w:color="auto" w:fill="auto"/>
            <w:noWrap/>
            <w:vAlign w:val="center"/>
          </w:tcPr>
          <w:p w14:paraId="59F740F8" w14:textId="113D303B"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114.033</w:t>
            </w:r>
          </w:p>
        </w:tc>
        <w:tc>
          <w:tcPr>
            <w:tcW w:w="386" w:type="pct"/>
            <w:tcBorders>
              <w:top w:val="nil"/>
              <w:left w:val="nil"/>
              <w:bottom w:val="nil"/>
              <w:right w:val="nil"/>
            </w:tcBorders>
            <w:shd w:val="clear" w:color="auto" w:fill="auto"/>
            <w:noWrap/>
            <w:vAlign w:val="center"/>
          </w:tcPr>
          <w:p w14:paraId="7D8445A7" w14:textId="737012A9"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(91.433)</w:t>
            </w:r>
          </w:p>
        </w:tc>
        <w:tc>
          <w:tcPr>
            <w:tcW w:w="386" w:type="pct"/>
            <w:tcBorders>
              <w:top w:val="nil"/>
              <w:left w:val="nil"/>
              <w:bottom w:val="nil"/>
              <w:right w:val="nil"/>
            </w:tcBorders>
            <w:shd w:val="clear" w:color="auto" w:fill="auto"/>
            <w:noWrap/>
            <w:vAlign w:val="center"/>
          </w:tcPr>
          <w:p w14:paraId="56711685" w14:textId="2D88C552"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(5.882)</w:t>
            </w:r>
          </w:p>
        </w:tc>
        <w:tc>
          <w:tcPr>
            <w:tcW w:w="386" w:type="pct"/>
            <w:tcBorders>
              <w:top w:val="nil"/>
              <w:left w:val="nil"/>
              <w:bottom w:val="nil"/>
              <w:right w:val="nil"/>
            </w:tcBorders>
            <w:shd w:val="clear" w:color="auto" w:fill="auto"/>
            <w:noWrap/>
            <w:vAlign w:val="center"/>
          </w:tcPr>
          <w:p w14:paraId="4B79DA16" w14:textId="7306B23A"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16.718</w:t>
            </w:r>
          </w:p>
        </w:tc>
        <w:tc>
          <w:tcPr>
            <w:tcW w:w="386" w:type="pct"/>
            <w:tcBorders>
              <w:top w:val="nil"/>
              <w:left w:val="nil"/>
              <w:bottom w:val="nil"/>
              <w:right w:val="nil"/>
            </w:tcBorders>
            <w:shd w:val="clear" w:color="auto" w:fill="auto"/>
            <w:noWrap/>
            <w:vAlign w:val="center"/>
          </w:tcPr>
          <w:p w14:paraId="1CB05BCE" w14:textId="62F05A4C"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16.718</w:t>
            </w:r>
          </w:p>
        </w:tc>
        <w:tc>
          <w:tcPr>
            <w:tcW w:w="386" w:type="pct"/>
            <w:tcBorders>
              <w:top w:val="nil"/>
              <w:left w:val="nil"/>
              <w:bottom w:val="nil"/>
              <w:right w:val="nil"/>
            </w:tcBorders>
            <w:shd w:val="clear" w:color="auto" w:fill="auto"/>
            <w:noWrap/>
            <w:vAlign w:val="center"/>
          </w:tcPr>
          <w:p w14:paraId="34BEB133" w14:textId="12156C5A"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16.718</w:t>
            </w:r>
          </w:p>
        </w:tc>
        <w:tc>
          <w:tcPr>
            <w:tcW w:w="386" w:type="pct"/>
            <w:tcBorders>
              <w:top w:val="nil"/>
              <w:left w:val="nil"/>
              <w:bottom w:val="nil"/>
              <w:right w:val="nil"/>
            </w:tcBorders>
            <w:shd w:val="clear" w:color="auto" w:fill="auto"/>
            <w:noWrap/>
            <w:vAlign w:val="center"/>
          </w:tcPr>
          <w:p w14:paraId="12A0B052" w14:textId="7080ABEB"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998F582" w14:textId="09DA10D0"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C0F4D26" w14:textId="29386C1F"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5" w:type="pct"/>
            <w:tcBorders>
              <w:top w:val="nil"/>
              <w:left w:val="nil"/>
              <w:bottom w:val="nil"/>
              <w:right w:val="nil"/>
            </w:tcBorders>
            <w:shd w:val="clear" w:color="auto" w:fill="auto"/>
            <w:noWrap/>
            <w:vAlign w:val="center"/>
          </w:tcPr>
          <w:p w14:paraId="320F8B3D" w14:textId="21BC0CB7"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r>
      <w:tr w:rsidR="00972293" w:rsidRPr="00E20D21" w14:paraId="7AC3A1CD" w14:textId="77777777" w:rsidTr="00972293">
        <w:trPr>
          <w:trHeight w:val="283"/>
        </w:trPr>
        <w:tc>
          <w:tcPr>
            <w:tcW w:w="1141" w:type="pct"/>
            <w:tcBorders>
              <w:top w:val="nil"/>
              <w:left w:val="nil"/>
              <w:bottom w:val="nil"/>
              <w:right w:val="nil"/>
            </w:tcBorders>
            <w:shd w:val="clear" w:color="auto" w:fill="auto"/>
            <w:vAlign w:val="center"/>
            <w:hideMark/>
          </w:tcPr>
          <w:p w14:paraId="3140E9CE" w14:textId="77777777" w:rsidR="00972293" w:rsidRPr="00E20D21" w:rsidRDefault="00972293" w:rsidP="00972293">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w:t>
            </w:r>
          </w:p>
        </w:tc>
        <w:tc>
          <w:tcPr>
            <w:tcW w:w="386" w:type="pct"/>
            <w:tcBorders>
              <w:top w:val="nil"/>
              <w:left w:val="nil"/>
              <w:bottom w:val="nil"/>
              <w:right w:val="nil"/>
            </w:tcBorders>
            <w:shd w:val="clear" w:color="auto" w:fill="auto"/>
            <w:noWrap/>
            <w:vAlign w:val="center"/>
          </w:tcPr>
          <w:p w14:paraId="22564CAB" w14:textId="239195E3"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3.737.813</w:t>
            </w:r>
          </w:p>
        </w:tc>
        <w:tc>
          <w:tcPr>
            <w:tcW w:w="386" w:type="pct"/>
            <w:tcBorders>
              <w:top w:val="nil"/>
              <w:left w:val="nil"/>
              <w:bottom w:val="nil"/>
              <w:right w:val="nil"/>
            </w:tcBorders>
            <w:shd w:val="clear" w:color="auto" w:fill="auto"/>
            <w:noWrap/>
            <w:vAlign w:val="center"/>
          </w:tcPr>
          <w:p w14:paraId="63C804E0" w14:textId="232FFC75"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B6FED87" w14:textId="02F4E9ED"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53.836</w:t>
            </w:r>
          </w:p>
        </w:tc>
        <w:tc>
          <w:tcPr>
            <w:tcW w:w="386" w:type="pct"/>
            <w:tcBorders>
              <w:top w:val="nil"/>
              <w:left w:val="nil"/>
              <w:bottom w:val="nil"/>
              <w:right w:val="nil"/>
            </w:tcBorders>
            <w:shd w:val="clear" w:color="auto" w:fill="auto"/>
            <w:noWrap/>
            <w:vAlign w:val="center"/>
          </w:tcPr>
          <w:p w14:paraId="5FF819F3" w14:textId="08BEDF46"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3.791.649</w:t>
            </w:r>
          </w:p>
        </w:tc>
        <w:tc>
          <w:tcPr>
            <w:tcW w:w="386" w:type="pct"/>
            <w:tcBorders>
              <w:top w:val="nil"/>
              <w:left w:val="nil"/>
              <w:bottom w:val="nil"/>
              <w:right w:val="nil"/>
            </w:tcBorders>
            <w:shd w:val="clear" w:color="auto" w:fill="auto"/>
            <w:noWrap/>
            <w:vAlign w:val="center"/>
          </w:tcPr>
          <w:p w14:paraId="4C086B2C" w14:textId="1D88406C"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3.791.649</w:t>
            </w:r>
          </w:p>
        </w:tc>
        <w:tc>
          <w:tcPr>
            <w:tcW w:w="386" w:type="pct"/>
            <w:tcBorders>
              <w:top w:val="nil"/>
              <w:left w:val="nil"/>
              <w:bottom w:val="nil"/>
              <w:right w:val="nil"/>
            </w:tcBorders>
            <w:shd w:val="clear" w:color="auto" w:fill="auto"/>
            <w:noWrap/>
            <w:vAlign w:val="center"/>
          </w:tcPr>
          <w:p w14:paraId="7A046666" w14:textId="359218A3"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5D95B15" w14:textId="54C1400C"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289.987</w:t>
            </w:r>
          </w:p>
        </w:tc>
        <w:tc>
          <w:tcPr>
            <w:tcW w:w="386" w:type="pct"/>
            <w:tcBorders>
              <w:top w:val="nil"/>
              <w:left w:val="nil"/>
              <w:bottom w:val="nil"/>
              <w:right w:val="nil"/>
            </w:tcBorders>
            <w:shd w:val="clear" w:color="auto" w:fill="auto"/>
            <w:noWrap/>
            <w:vAlign w:val="center"/>
          </w:tcPr>
          <w:p w14:paraId="4E87EA34" w14:textId="177B5C5F"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426.049</w:t>
            </w:r>
          </w:p>
        </w:tc>
        <w:tc>
          <w:tcPr>
            <w:tcW w:w="386" w:type="pct"/>
            <w:tcBorders>
              <w:top w:val="nil"/>
              <w:left w:val="nil"/>
              <w:bottom w:val="nil"/>
              <w:right w:val="nil"/>
            </w:tcBorders>
            <w:shd w:val="clear" w:color="auto" w:fill="auto"/>
            <w:noWrap/>
            <w:vAlign w:val="center"/>
          </w:tcPr>
          <w:p w14:paraId="4F30A1DC" w14:textId="19AD110D"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869.703</w:t>
            </w:r>
          </w:p>
        </w:tc>
        <w:tc>
          <w:tcPr>
            <w:tcW w:w="385" w:type="pct"/>
            <w:tcBorders>
              <w:top w:val="nil"/>
              <w:left w:val="nil"/>
              <w:bottom w:val="nil"/>
              <w:right w:val="nil"/>
            </w:tcBorders>
            <w:shd w:val="clear" w:color="auto" w:fill="auto"/>
            <w:noWrap/>
            <w:vAlign w:val="center"/>
          </w:tcPr>
          <w:p w14:paraId="17BE4E04" w14:textId="3B8B0567"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2.205.910</w:t>
            </w:r>
          </w:p>
        </w:tc>
      </w:tr>
      <w:tr w:rsidR="00972293" w:rsidRPr="00E20D21" w14:paraId="50687D50" w14:textId="77777777" w:rsidTr="00972293">
        <w:trPr>
          <w:trHeight w:val="283"/>
        </w:trPr>
        <w:tc>
          <w:tcPr>
            <w:tcW w:w="1141" w:type="pct"/>
            <w:tcBorders>
              <w:top w:val="nil"/>
              <w:left w:val="nil"/>
              <w:bottom w:val="nil"/>
              <w:right w:val="nil"/>
            </w:tcBorders>
            <w:shd w:val="clear" w:color="auto" w:fill="auto"/>
            <w:vAlign w:val="center"/>
          </w:tcPr>
          <w:p w14:paraId="12213CAB" w14:textId="1BC9668C" w:rsidR="00972293" w:rsidRPr="00E20D21" w:rsidRDefault="00972293" w:rsidP="00972293">
            <w:pPr>
              <w:rPr>
                <w:rFonts w:ascii="CAIXA Std Book" w:eastAsia="Times New Roman" w:hAnsi="CAIXA Std Book" w:cs="Arial"/>
                <w:b/>
                <w:color w:val="005CA9"/>
                <w:sz w:val="16"/>
                <w:szCs w:val="16"/>
              </w:rPr>
            </w:pPr>
            <w:r w:rsidRPr="00E20D21">
              <w:rPr>
                <w:rFonts w:ascii="CAIXA Std Book" w:eastAsia="Times New Roman" w:hAnsi="CAIXA Std Book" w:cs="Arial"/>
                <w:color w:val="005CA9"/>
                <w:sz w:val="16"/>
                <w:szCs w:val="16"/>
              </w:rPr>
              <w:t xml:space="preserve">   </w:t>
            </w:r>
            <w:r w:rsidR="001245FF" w:rsidRPr="00E20D21">
              <w:rPr>
                <w:rFonts w:ascii="CAIXA Std Book" w:eastAsia="Times New Roman" w:hAnsi="CAIXA Std Book" w:cs="Arial"/>
                <w:color w:val="005CA9"/>
                <w:sz w:val="18"/>
                <w:szCs w:val="18"/>
              </w:rPr>
              <w:t xml:space="preserve">Notas </w:t>
            </w:r>
            <w:r w:rsidR="00704567" w:rsidRPr="00E20D21">
              <w:rPr>
                <w:rFonts w:ascii="CAIXA Std Book" w:eastAsia="Times New Roman" w:hAnsi="CAIXA Std Book" w:cs="Arial"/>
                <w:color w:val="005CA9"/>
                <w:sz w:val="18"/>
                <w:szCs w:val="18"/>
              </w:rPr>
              <w:t>c</w:t>
            </w:r>
            <w:r w:rsidR="001245FF" w:rsidRPr="00E20D21">
              <w:rPr>
                <w:rFonts w:ascii="CAIXA Std Book" w:eastAsia="Times New Roman" w:hAnsi="CAIXA Std Book" w:cs="Arial"/>
                <w:color w:val="005CA9"/>
                <w:sz w:val="18"/>
                <w:szCs w:val="18"/>
              </w:rPr>
              <w:t>omerciais</w:t>
            </w:r>
          </w:p>
        </w:tc>
        <w:tc>
          <w:tcPr>
            <w:tcW w:w="386" w:type="pct"/>
            <w:tcBorders>
              <w:top w:val="nil"/>
              <w:left w:val="nil"/>
              <w:bottom w:val="nil"/>
              <w:right w:val="nil"/>
            </w:tcBorders>
            <w:shd w:val="clear" w:color="auto" w:fill="auto"/>
            <w:noWrap/>
            <w:vAlign w:val="center"/>
          </w:tcPr>
          <w:p w14:paraId="202132C8" w14:textId="1BEAB77B"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514.595</w:t>
            </w:r>
          </w:p>
        </w:tc>
        <w:tc>
          <w:tcPr>
            <w:tcW w:w="386" w:type="pct"/>
            <w:tcBorders>
              <w:top w:val="nil"/>
              <w:left w:val="nil"/>
              <w:bottom w:val="nil"/>
              <w:right w:val="nil"/>
            </w:tcBorders>
            <w:shd w:val="clear" w:color="auto" w:fill="auto"/>
            <w:noWrap/>
            <w:vAlign w:val="center"/>
          </w:tcPr>
          <w:p w14:paraId="34A5E126" w14:textId="168D9D76"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ABB3503" w14:textId="51DE7F0C"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4.267</w:t>
            </w:r>
          </w:p>
        </w:tc>
        <w:tc>
          <w:tcPr>
            <w:tcW w:w="386" w:type="pct"/>
            <w:tcBorders>
              <w:top w:val="nil"/>
              <w:left w:val="nil"/>
              <w:bottom w:val="nil"/>
              <w:right w:val="nil"/>
            </w:tcBorders>
            <w:shd w:val="clear" w:color="auto" w:fill="auto"/>
            <w:noWrap/>
            <w:vAlign w:val="center"/>
          </w:tcPr>
          <w:p w14:paraId="5AED957F" w14:textId="5FBCDEA0"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518.862</w:t>
            </w:r>
          </w:p>
        </w:tc>
        <w:tc>
          <w:tcPr>
            <w:tcW w:w="386" w:type="pct"/>
            <w:tcBorders>
              <w:top w:val="nil"/>
              <w:left w:val="nil"/>
              <w:bottom w:val="nil"/>
              <w:right w:val="nil"/>
            </w:tcBorders>
            <w:shd w:val="clear" w:color="auto" w:fill="auto"/>
            <w:noWrap/>
            <w:vAlign w:val="center"/>
          </w:tcPr>
          <w:p w14:paraId="678D0812" w14:textId="6BB59636"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518.862</w:t>
            </w:r>
          </w:p>
        </w:tc>
        <w:tc>
          <w:tcPr>
            <w:tcW w:w="386" w:type="pct"/>
            <w:tcBorders>
              <w:top w:val="nil"/>
              <w:left w:val="nil"/>
              <w:bottom w:val="nil"/>
              <w:right w:val="nil"/>
            </w:tcBorders>
            <w:shd w:val="clear" w:color="auto" w:fill="auto"/>
            <w:noWrap/>
            <w:vAlign w:val="center"/>
          </w:tcPr>
          <w:p w14:paraId="287B79B3" w14:textId="4652D8E8"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3F895BB" w14:textId="13DA0602"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294E846" w14:textId="6467472E"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59F87E3" w14:textId="70175475"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5" w:type="pct"/>
            <w:tcBorders>
              <w:top w:val="nil"/>
              <w:left w:val="nil"/>
              <w:bottom w:val="nil"/>
              <w:right w:val="nil"/>
            </w:tcBorders>
            <w:shd w:val="clear" w:color="auto" w:fill="auto"/>
            <w:noWrap/>
            <w:vAlign w:val="center"/>
          </w:tcPr>
          <w:p w14:paraId="042D1418" w14:textId="6234EAFC"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518.862</w:t>
            </w:r>
          </w:p>
        </w:tc>
      </w:tr>
      <w:tr w:rsidR="00972293" w:rsidRPr="00E20D21" w14:paraId="67621F83" w14:textId="77777777" w:rsidTr="00EC6C5B">
        <w:trPr>
          <w:trHeight w:val="283"/>
        </w:trPr>
        <w:tc>
          <w:tcPr>
            <w:tcW w:w="1141" w:type="pct"/>
            <w:tcBorders>
              <w:top w:val="nil"/>
              <w:left w:val="nil"/>
              <w:bottom w:val="nil"/>
              <w:right w:val="nil"/>
            </w:tcBorders>
            <w:shd w:val="clear" w:color="auto" w:fill="auto"/>
            <w:vAlign w:val="center"/>
            <w:hideMark/>
          </w:tcPr>
          <w:p w14:paraId="3E233813" w14:textId="77777777" w:rsidR="00972293" w:rsidRPr="00E20D21" w:rsidRDefault="00972293" w:rsidP="0097229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 – TVM</w:t>
            </w:r>
          </w:p>
        </w:tc>
        <w:tc>
          <w:tcPr>
            <w:tcW w:w="386" w:type="pct"/>
            <w:tcBorders>
              <w:top w:val="nil"/>
              <w:left w:val="nil"/>
              <w:bottom w:val="nil"/>
              <w:right w:val="nil"/>
            </w:tcBorders>
            <w:shd w:val="clear" w:color="auto" w:fill="auto"/>
            <w:noWrap/>
            <w:vAlign w:val="center"/>
          </w:tcPr>
          <w:p w14:paraId="682AFB74" w14:textId="1D2772F8"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color w:val="005CA9"/>
                <w:sz w:val="16"/>
                <w:szCs w:val="16"/>
              </w:rPr>
              <w:t>293.229.983</w:t>
            </w:r>
          </w:p>
        </w:tc>
        <w:tc>
          <w:tcPr>
            <w:tcW w:w="386" w:type="pct"/>
            <w:tcBorders>
              <w:top w:val="nil"/>
              <w:left w:val="nil"/>
              <w:bottom w:val="nil"/>
              <w:right w:val="nil"/>
            </w:tcBorders>
            <w:shd w:val="clear" w:color="auto" w:fill="auto"/>
            <w:noWrap/>
            <w:vAlign w:val="center"/>
          </w:tcPr>
          <w:p w14:paraId="53FD8714" w14:textId="0D725296"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color w:val="005CA9"/>
                <w:sz w:val="16"/>
                <w:szCs w:val="16"/>
              </w:rPr>
              <w:t>(899.101)</w:t>
            </w:r>
          </w:p>
        </w:tc>
        <w:tc>
          <w:tcPr>
            <w:tcW w:w="386" w:type="pct"/>
            <w:tcBorders>
              <w:top w:val="nil"/>
              <w:left w:val="nil"/>
              <w:bottom w:val="nil"/>
              <w:right w:val="nil"/>
            </w:tcBorders>
            <w:shd w:val="clear" w:color="auto" w:fill="auto"/>
            <w:noWrap/>
            <w:vAlign w:val="center"/>
          </w:tcPr>
          <w:p w14:paraId="4033E05C" w14:textId="75D70AB2"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color w:val="005CA9"/>
                <w:sz w:val="16"/>
                <w:szCs w:val="16"/>
              </w:rPr>
              <w:t>896.834</w:t>
            </w:r>
          </w:p>
        </w:tc>
        <w:tc>
          <w:tcPr>
            <w:tcW w:w="386" w:type="pct"/>
            <w:tcBorders>
              <w:top w:val="nil"/>
              <w:left w:val="nil"/>
              <w:bottom w:val="nil"/>
              <w:right w:val="nil"/>
            </w:tcBorders>
            <w:shd w:val="clear" w:color="auto" w:fill="auto"/>
            <w:noWrap/>
            <w:vAlign w:val="center"/>
          </w:tcPr>
          <w:p w14:paraId="2132F7F3" w14:textId="55C2566F"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color w:val="005CA9"/>
                <w:sz w:val="16"/>
                <w:szCs w:val="16"/>
              </w:rPr>
              <w:t>293.227.716</w:t>
            </w:r>
          </w:p>
        </w:tc>
        <w:tc>
          <w:tcPr>
            <w:tcW w:w="386" w:type="pct"/>
            <w:tcBorders>
              <w:top w:val="nil"/>
              <w:left w:val="nil"/>
              <w:bottom w:val="nil"/>
              <w:right w:val="nil"/>
            </w:tcBorders>
            <w:shd w:val="clear" w:color="auto" w:fill="auto"/>
            <w:noWrap/>
            <w:vAlign w:val="center"/>
          </w:tcPr>
          <w:p w14:paraId="3B5EE68A" w14:textId="1B7ABF43"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color w:val="005CA9"/>
                <w:sz w:val="16"/>
                <w:szCs w:val="16"/>
              </w:rPr>
              <w:t>292.589.606</w:t>
            </w:r>
          </w:p>
        </w:tc>
        <w:tc>
          <w:tcPr>
            <w:tcW w:w="386" w:type="pct"/>
            <w:tcBorders>
              <w:top w:val="nil"/>
              <w:left w:val="nil"/>
              <w:bottom w:val="nil"/>
              <w:right w:val="nil"/>
            </w:tcBorders>
            <w:shd w:val="clear" w:color="auto" w:fill="auto"/>
            <w:noWrap/>
            <w:vAlign w:val="center"/>
          </w:tcPr>
          <w:p w14:paraId="42BF1DFD" w14:textId="45E8DECC"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1.806.121</w:t>
            </w:r>
          </w:p>
        </w:tc>
        <w:tc>
          <w:tcPr>
            <w:tcW w:w="386" w:type="pct"/>
            <w:tcBorders>
              <w:top w:val="nil"/>
              <w:left w:val="nil"/>
              <w:bottom w:val="nil"/>
              <w:right w:val="nil"/>
            </w:tcBorders>
            <w:shd w:val="clear" w:color="auto" w:fill="auto"/>
            <w:noWrap/>
            <w:vAlign w:val="center"/>
          </w:tcPr>
          <w:p w14:paraId="38EE554B" w14:textId="120C770E" w:rsidR="00972293" w:rsidRPr="00E20D21" w:rsidRDefault="00ED66A7"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2.835.430</w:t>
            </w:r>
          </w:p>
        </w:tc>
        <w:tc>
          <w:tcPr>
            <w:tcW w:w="386" w:type="pct"/>
            <w:tcBorders>
              <w:top w:val="nil"/>
              <w:left w:val="nil"/>
              <w:bottom w:val="nil"/>
              <w:right w:val="nil"/>
            </w:tcBorders>
            <w:shd w:val="clear" w:color="auto" w:fill="auto"/>
            <w:noWrap/>
            <w:vAlign w:val="center"/>
          </w:tcPr>
          <w:p w14:paraId="2A4AE4AE" w14:textId="59CBD0F0"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426.049</w:t>
            </w:r>
          </w:p>
        </w:tc>
        <w:tc>
          <w:tcPr>
            <w:tcW w:w="386" w:type="pct"/>
            <w:tcBorders>
              <w:top w:val="nil"/>
              <w:left w:val="nil"/>
              <w:bottom w:val="nil"/>
              <w:right w:val="nil"/>
            </w:tcBorders>
            <w:shd w:val="clear" w:color="auto" w:fill="auto"/>
            <w:noWrap/>
            <w:vAlign w:val="center"/>
          </w:tcPr>
          <w:p w14:paraId="1633B72A" w14:textId="60CD201A" w:rsidR="00972293" w:rsidRPr="00E20D21" w:rsidRDefault="00ED66A7"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2.538.451</w:t>
            </w:r>
          </w:p>
        </w:tc>
        <w:tc>
          <w:tcPr>
            <w:tcW w:w="385" w:type="pct"/>
            <w:tcBorders>
              <w:top w:val="nil"/>
              <w:left w:val="nil"/>
              <w:bottom w:val="nil"/>
              <w:right w:val="nil"/>
            </w:tcBorders>
            <w:shd w:val="clear" w:color="auto" w:fill="auto"/>
            <w:noWrap/>
            <w:vAlign w:val="center"/>
          </w:tcPr>
          <w:p w14:paraId="59067277" w14:textId="3F26BA54"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285.</w:t>
            </w:r>
            <w:r w:rsidR="00ED66A7" w:rsidRPr="00E20D21">
              <w:rPr>
                <w:rFonts w:ascii="CAIXA Std Book" w:hAnsi="CAIXA Std Book" w:cs="Arial"/>
                <w:b/>
                <w:bCs/>
                <w:color w:val="005CA9"/>
                <w:sz w:val="16"/>
                <w:szCs w:val="16"/>
              </w:rPr>
              <w:t>621.665</w:t>
            </w:r>
          </w:p>
        </w:tc>
      </w:tr>
      <w:tr w:rsidR="00972293" w:rsidRPr="00E20D21" w14:paraId="1BEC4690" w14:textId="77777777" w:rsidTr="00EC6C5B">
        <w:trPr>
          <w:trHeight w:val="283"/>
        </w:trPr>
        <w:tc>
          <w:tcPr>
            <w:tcW w:w="1141" w:type="pct"/>
            <w:tcBorders>
              <w:top w:val="nil"/>
              <w:left w:val="nil"/>
              <w:bottom w:val="nil"/>
              <w:right w:val="nil"/>
            </w:tcBorders>
            <w:shd w:val="clear" w:color="auto" w:fill="auto"/>
            <w:vAlign w:val="center"/>
            <w:hideMark/>
          </w:tcPr>
          <w:p w14:paraId="3A5FCE17" w14:textId="77777777" w:rsidR="00972293" w:rsidRPr="00E20D21" w:rsidRDefault="00972293" w:rsidP="00972293">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Para negociação</w:t>
            </w:r>
          </w:p>
        </w:tc>
        <w:tc>
          <w:tcPr>
            <w:tcW w:w="386" w:type="pct"/>
            <w:tcBorders>
              <w:top w:val="nil"/>
              <w:left w:val="nil"/>
              <w:bottom w:val="nil"/>
              <w:right w:val="nil"/>
            </w:tcBorders>
            <w:shd w:val="clear" w:color="auto" w:fill="auto"/>
            <w:noWrap/>
            <w:vAlign w:val="center"/>
          </w:tcPr>
          <w:p w14:paraId="0872189B" w14:textId="736660FF"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119.080.241</w:t>
            </w:r>
          </w:p>
        </w:tc>
        <w:tc>
          <w:tcPr>
            <w:tcW w:w="386" w:type="pct"/>
            <w:tcBorders>
              <w:top w:val="nil"/>
              <w:left w:val="nil"/>
              <w:bottom w:val="nil"/>
              <w:right w:val="nil"/>
            </w:tcBorders>
            <w:shd w:val="clear" w:color="auto" w:fill="auto"/>
            <w:noWrap/>
            <w:vAlign w:val="center"/>
          </w:tcPr>
          <w:p w14:paraId="1C26BA64" w14:textId="39A4175D"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(899.101)</w:t>
            </w:r>
          </w:p>
        </w:tc>
        <w:tc>
          <w:tcPr>
            <w:tcW w:w="386" w:type="pct"/>
            <w:tcBorders>
              <w:top w:val="nil"/>
              <w:left w:val="nil"/>
              <w:bottom w:val="nil"/>
              <w:right w:val="nil"/>
            </w:tcBorders>
            <w:shd w:val="clear" w:color="auto" w:fill="auto"/>
            <w:noWrap/>
            <w:vAlign w:val="center"/>
          </w:tcPr>
          <w:p w14:paraId="14C95E21" w14:textId="67212705"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C2CDCA0" w14:textId="7DE2DBA8"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118.181.140</w:t>
            </w:r>
          </w:p>
        </w:tc>
        <w:tc>
          <w:tcPr>
            <w:tcW w:w="386" w:type="pct"/>
            <w:tcBorders>
              <w:top w:val="nil"/>
              <w:left w:val="nil"/>
              <w:bottom w:val="nil"/>
              <w:right w:val="nil"/>
            </w:tcBorders>
            <w:shd w:val="clear" w:color="auto" w:fill="auto"/>
            <w:noWrap/>
            <w:vAlign w:val="center"/>
          </w:tcPr>
          <w:p w14:paraId="3018A84A" w14:textId="0311AB01"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118.181.140</w:t>
            </w:r>
          </w:p>
        </w:tc>
        <w:tc>
          <w:tcPr>
            <w:tcW w:w="386" w:type="pct"/>
            <w:tcBorders>
              <w:top w:val="nil"/>
              <w:left w:val="nil"/>
              <w:bottom w:val="nil"/>
              <w:right w:val="nil"/>
            </w:tcBorders>
            <w:shd w:val="clear" w:color="auto" w:fill="auto"/>
            <w:noWrap/>
            <w:vAlign w:val="center"/>
          </w:tcPr>
          <w:p w14:paraId="3CFCE145" w14:textId="11B6B71F"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169.662</w:t>
            </w:r>
          </w:p>
        </w:tc>
        <w:tc>
          <w:tcPr>
            <w:tcW w:w="386" w:type="pct"/>
            <w:tcBorders>
              <w:top w:val="nil"/>
              <w:left w:val="nil"/>
              <w:bottom w:val="nil"/>
              <w:right w:val="nil"/>
            </w:tcBorders>
            <w:shd w:val="clear" w:color="auto" w:fill="auto"/>
            <w:noWrap/>
            <w:vAlign w:val="center"/>
          </w:tcPr>
          <w:p w14:paraId="4C5AEB5C" w14:textId="2C7E710F" w:rsidR="00972293" w:rsidRPr="00E20D21" w:rsidRDefault="00ED66A7"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2.545.443</w:t>
            </w:r>
          </w:p>
        </w:tc>
        <w:tc>
          <w:tcPr>
            <w:tcW w:w="386" w:type="pct"/>
            <w:tcBorders>
              <w:top w:val="nil"/>
              <w:left w:val="nil"/>
              <w:bottom w:val="nil"/>
              <w:right w:val="nil"/>
            </w:tcBorders>
            <w:shd w:val="clear" w:color="auto" w:fill="auto"/>
            <w:noWrap/>
            <w:vAlign w:val="center"/>
          </w:tcPr>
          <w:p w14:paraId="5703F359" w14:textId="7E31C8CC"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4D9B8FBF" w14:textId="47FD42EF" w:rsidR="00972293" w:rsidRPr="00E20D21" w:rsidRDefault="00ED66A7"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113.036</w:t>
            </w:r>
          </w:p>
        </w:tc>
        <w:tc>
          <w:tcPr>
            <w:tcW w:w="385" w:type="pct"/>
            <w:tcBorders>
              <w:top w:val="nil"/>
              <w:left w:val="nil"/>
              <w:bottom w:val="nil"/>
              <w:right w:val="nil"/>
            </w:tcBorders>
            <w:shd w:val="clear" w:color="auto" w:fill="auto"/>
            <w:noWrap/>
            <w:vAlign w:val="center"/>
          </w:tcPr>
          <w:p w14:paraId="63E67A3C" w14:textId="74634B40"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115.</w:t>
            </w:r>
            <w:r w:rsidR="00ED66A7" w:rsidRPr="00E20D21">
              <w:rPr>
                <w:rFonts w:ascii="CAIXA Std Book" w:hAnsi="CAIXA Std Book" w:cs="Arial"/>
                <w:color w:val="005CA9"/>
                <w:sz w:val="16"/>
                <w:szCs w:val="16"/>
              </w:rPr>
              <w:t>352.999</w:t>
            </w:r>
          </w:p>
        </w:tc>
      </w:tr>
      <w:tr w:rsidR="00972293" w:rsidRPr="00E20D21" w14:paraId="2493C746" w14:textId="77777777" w:rsidTr="00EC6C5B">
        <w:trPr>
          <w:trHeight w:val="283"/>
        </w:trPr>
        <w:tc>
          <w:tcPr>
            <w:tcW w:w="1141" w:type="pct"/>
            <w:tcBorders>
              <w:top w:val="nil"/>
              <w:left w:val="nil"/>
              <w:bottom w:val="nil"/>
              <w:right w:val="nil"/>
            </w:tcBorders>
            <w:shd w:val="clear" w:color="auto" w:fill="auto"/>
            <w:vAlign w:val="center"/>
            <w:hideMark/>
          </w:tcPr>
          <w:p w14:paraId="525BB1F7" w14:textId="77777777" w:rsidR="00972293" w:rsidRPr="00E20D21" w:rsidRDefault="00972293" w:rsidP="00972293">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Disponíveis para venda</w:t>
            </w:r>
          </w:p>
        </w:tc>
        <w:tc>
          <w:tcPr>
            <w:tcW w:w="386" w:type="pct"/>
            <w:tcBorders>
              <w:top w:val="nil"/>
              <w:left w:val="nil"/>
              <w:bottom w:val="nil"/>
              <w:right w:val="nil"/>
            </w:tcBorders>
            <w:shd w:val="clear" w:color="auto" w:fill="auto"/>
            <w:noWrap/>
            <w:vAlign w:val="center"/>
          </w:tcPr>
          <w:p w14:paraId="22C73EA7" w14:textId="24F0F7BD"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169.155.688</w:t>
            </w:r>
          </w:p>
        </w:tc>
        <w:tc>
          <w:tcPr>
            <w:tcW w:w="386" w:type="pct"/>
            <w:tcBorders>
              <w:top w:val="nil"/>
              <w:left w:val="nil"/>
              <w:bottom w:val="nil"/>
              <w:right w:val="nil"/>
            </w:tcBorders>
            <w:shd w:val="clear" w:color="auto" w:fill="auto"/>
            <w:noWrap/>
            <w:vAlign w:val="center"/>
          </w:tcPr>
          <w:p w14:paraId="50BB520D" w14:textId="4B5CCC73"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D479E34" w14:textId="421C39DC"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896.834</w:t>
            </w:r>
          </w:p>
        </w:tc>
        <w:tc>
          <w:tcPr>
            <w:tcW w:w="386" w:type="pct"/>
            <w:tcBorders>
              <w:top w:val="nil"/>
              <w:left w:val="nil"/>
              <w:bottom w:val="nil"/>
              <w:right w:val="nil"/>
            </w:tcBorders>
            <w:shd w:val="clear" w:color="auto" w:fill="auto"/>
            <w:noWrap/>
            <w:vAlign w:val="center"/>
          </w:tcPr>
          <w:p w14:paraId="7F8D16CA" w14:textId="4FE47DD8"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170.052.522</w:t>
            </w:r>
          </w:p>
        </w:tc>
        <w:tc>
          <w:tcPr>
            <w:tcW w:w="386" w:type="pct"/>
            <w:tcBorders>
              <w:top w:val="nil"/>
              <w:left w:val="nil"/>
              <w:bottom w:val="nil"/>
              <w:right w:val="nil"/>
            </w:tcBorders>
            <w:shd w:val="clear" w:color="auto" w:fill="auto"/>
            <w:noWrap/>
            <w:vAlign w:val="center"/>
          </w:tcPr>
          <w:p w14:paraId="62B044C8" w14:textId="0BBCA7E8"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170.052.522</w:t>
            </w:r>
          </w:p>
        </w:tc>
        <w:tc>
          <w:tcPr>
            <w:tcW w:w="386" w:type="pct"/>
            <w:tcBorders>
              <w:top w:val="nil"/>
              <w:left w:val="nil"/>
              <w:bottom w:val="nil"/>
              <w:right w:val="nil"/>
            </w:tcBorders>
            <w:shd w:val="clear" w:color="auto" w:fill="auto"/>
            <w:noWrap/>
            <w:vAlign w:val="center"/>
          </w:tcPr>
          <w:p w14:paraId="1F4BA12C" w14:textId="654C322D"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1.636.459</w:t>
            </w:r>
          </w:p>
        </w:tc>
        <w:tc>
          <w:tcPr>
            <w:tcW w:w="386" w:type="pct"/>
            <w:tcBorders>
              <w:top w:val="nil"/>
              <w:left w:val="nil"/>
              <w:bottom w:val="nil"/>
              <w:right w:val="nil"/>
            </w:tcBorders>
            <w:shd w:val="clear" w:color="auto" w:fill="auto"/>
            <w:noWrap/>
            <w:vAlign w:val="center"/>
          </w:tcPr>
          <w:p w14:paraId="3372D9C5" w14:textId="73AA4426"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289.987</w:t>
            </w:r>
          </w:p>
        </w:tc>
        <w:tc>
          <w:tcPr>
            <w:tcW w:w="386" w:type="pct"/>
            <w:tcBorders>
              <w:top w:val="nil"/>
              <w:left w:val="nil"/>
              <w:bottom w:val="nil"/>
              <w:right w:val="nil"/>
            </w:tcBorders>
            <w:shd w:val="clear" w:color="auto" w:fill="auto"/>
            <w:noWrap/>
            <w:vAlign w:val="center"/>
          </w:tcPr>
          <w:p w14:paraId="58192AAA" w14:textId="73DFFDD2"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426.049</w:t>
            </w:r>
          </w:p>
        </w:tc>
        <w:tc>
          <w:tcPr>
            <w:tcW w:w="386" w:type="pct"/>
            <w:tcBorders>
              <w:top w:val="nil"/>
              <w:left w:val="nil"/>
              <w:bottom w:val="nil"/>
              <w:right w:val="nil"/>
            </w:tcBorders>
            <w:shd w:val="clear" w:color="auto" w:fill="auto"/>
            <w:noWrap/>
            <w:vAlign w:val="center"/>
          </w:tcPr>
          <w:p w14:paraId="58869C44" w14:textId="2B994051"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894.852</w:t>
            </w:r>
          </w:p>
        </w:tc>
        <w:tc>
          <w:tcPr>
            <w:tcW w:w="385" w:type="pct"/>
            <w:tcBorders>
              <w:top w:val="nil"/>
              <w:left w:val="nil"/>
              <w:bottom w:val="nil"/>
              <w:right w:val="nil"/>
            </w:tcBorders>
            <w:shd w:val="clear" w:color="auto" w:fill="auto"/>
            <w:noWrap/>
            <w:vAlign w:val="center"/>
          </w:tcPr>
          <w:p w14:paraId="3F25B4BF" w14:textId="4840ABE4"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166.805.175</w:t>
            </w:r>
          </w:p>
        </w:tc>
      </w:tr>
      <w:tr w:rsidR="00972293" w:rsidRPr="00E20D21" w14:paraId="7177B24B" w14:textId="77777777" w:rsidTr="00972293">
        <w:trPr>
          <w:trHeight w:val="283"/>
        </w:trPr>
        <w:tc>
          <w:tcPr>
            <w:tcW w:w="1141" w:type="pct"/>
            <w:tcBorders>
              <w:top w:val="nil"/>
              <w:left w:val="nil"/>
              <w:bottom w:val="nil"/>
              <w:right w:val="nil"/>
            </w:tcBorders>
            <w:shd w:val="clear" w:color="auto" w:fill="auto"/>
            <w:vAlign w:val="center"/>
            <w:hideMark/>
          </w:tcPr>
          <w:p w14:paraId="545091A2" w14:textId="77777777" w:rsidR="00972293" w:rsidRPr="00E20D21" w:rsidRDefault="00972293" w:rsidP="00972293">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Mantidos até o vencimento</w:t>
            </w:r>
          </w:p>
        </w:tc>
        <w:tc>
          <w:tcPr>
            <w:tcW w:w="386" w:type="pct"/>
            <w:tcBorders>
              <w:top w:val="nil"/>
              <w:left w:val="nil"/>
              <w:bottom w:val="nil"/>
              <w:right w:val="nil"/>
            </w:tcBorders>
            <w:shd w:val="clear" w:color="auto" w:fill="auto"/>
            <w:noWrap/>
            <w:vAlign w:val="center"/>
          </w:tcPr>
          <w:p w14:paraId="31EFDF73" w14:textId="257C068E"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4.994.054</w:t>
            </w:r>
          </w:p>
        </w:tc>
        <w:tc>
          <w:tcPr>
            <w:tcW w:w="386" w:type="pct"/>
            <w:tcBorders>
              <w:top w:val="nil"/>
              <w:left w:val="nil"/>
              <w:bottom w:val="nil"/>
              <w:right w:val="nil"/>
            </w:tcBorders>
            <w:shd w:val="clear" w:color="auto" w:fill="auto"/>
            <w:noWrap/>
            <w:vAlign w:val="center"/>
          </w:tcPr>
          <w:p w14:paraId="5A5C1252" w14:textId="22143B1F"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937C1F0" w14:textId="7D2CDD50"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B17C81E" w14:textId="3D334A16"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4.994.054</w:t>
            </w:r>
          </w:p>
        </w:tc>
        <w:tc>
          <w:tcPr>
            <w:tcW w:w="386" w:type="pct"/>
            <w:tcBorders>
              <w:top w:val="nil"/>
              <w:left w:val="nil"/>
              <w:bottom w:val="nil"/>
              <w:right w:val="nil"/>
            </w:tcBorders>
            <w:shd w:val="clear" w:color="auto" w:fill="auto"/>
            <w:noWrap/>
            <w:vAlign w:val="center"/>
          </w:tcPr>
          <w:p w14:paraId="2A64D5A8" w14:textId="73AE09ED"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4.355.944</w:t>
            </w:r>
          </w:p>
        </w:tc>
        <w:tc>
          <w:tcPr>
            <w:tcW w:w="386" w:type="pct"/>
            <w:tcBorders>
              <w:top w:val="nil"/>
              <w:left w:val="nil"/>
              <w:bottom w:val="nil"/>
              <w:right w:val="nil"/>
            </w:tcBorders>
            <w:shd w:val="clear" w:color="auto" w:fill="auto"/>
            <w:noWrap/>
            <w:vAlign w:val="center"/>
          </w:tcPr>
          <w:p w14:paraId="79654EB1" w14:textId="063F4D1F"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E88D323" w14:textId="1A129156"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218C2DA" w14:textId="1C477C4B" w:rsidR="00972293" w:rsidRPr="00E20D21" w:rsidRDefault="00972293" w:rsidP="0097229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AF7F692" w14:textId="02CA6CFB"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1.530.563</w:t>
            </w:r>
          </w:p>
        </w:tc>
        <w:tc>
          <w:tcPr>
            <w:tcW w:w="385" w:type="pct"/>
            <w:tcBorders>
              <w:top w:val="nil"/>
              <w:left w:val="nil"/>
              <w:bottom w:val="nil"/>
              <w:right w:val="nil"/>
            </w:tcBorders>
            <w:shd w:val="clear" w:color="auto" w:fill="auto"/>
            <w:noWrap/>
            <w:vAlign w:val="center"/>
          </w:tcPr>
          <w:p w14:paraId="05BAFC8F" w14:textId="2C0BF4A8" w:rsidR="00972293" w:rsidRPr="00E20D21" w:rsidRDefault="00972293" w:rsidP="00972293">
            <w:pPr>
              <w:jc w:val="right"/>
              <w:rPr>
                <w:rFonts w:ascii="CAIXA Std Book" w:hAnsi="CAIXA Std Book" w:cs="Arial"/>
                <w:color w:val="005CA9"/>
                <w:sz w:val="16"/>
                <w:szCs w:val="16"/>
              </w:rPr>
            </w:pPr>
            <w:r w:rsidRPr="00E20D21">
              <w:rPr>
                <w:rFonts w:ascii="CAIXA Std Book" w:hAnsi="CAIXA Std Book" w:cs="Arial"/>
                <w:color w:val="005CA9"/>
                <w:sz w:val="16"/>
                <w:szCs w:val="16"/>
              </w:rPr>
              <w:t>3.463.491</w:t>
            </w:r>
          </w:p>
        </w:tc>
      </w:tr>
      <w:tr w:rsidR="00972293" w:rsidRPr="00E20D21" w14:paraId="23A6FDCD" w14:textId="77777777" w:rsidTr="00EC6C5B">
        <w:trPr>
          <w:trHeight w:val="283"/>
        </w:trPr>
        <w:tc>
          <w:tcPr>
            <w:tcW w:w="1141" w:type="pct"/>
            <w:tcBorders>
              <w:top w:val="single" w:sz="4" w:space="0" w:color="F79646"/>
              <w:left w:val="nil"/>
              <w:bottom w:val="single" w:sz="4" w:space="0" w:color="F79646"/>
              <w:right w:val="nil"/>
            </w:tcBorders>
            <w:shd w:val="clear" w:color="auto" w:fill="auto"/>
            <w:noWrap/>
            <w:vAlign w:val="center"/>
            <w:hideMark/>
          </w:tcPr>
          <w:p w14:paraId="17FFD7DE" w14:textId="77777777" w:rsidR="00972293" w:rsidRPr="00E20D21" w:rsidRDefault="00972293" w:rsidP="0097229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w:t>
            </w:r>
          </w:p>
        </w:tc>
        <w:tc>
          <w:tcPr>
            <w:tcW w:w="386" w:type="pct"/>
            <w:tcBorders>
              <w:top w:val="single" w:sz="4" w:space="0" w:color="F79646"/>
              <w:left w:val="nil"/>
              <w:bottom w:val="single" w:sz="4" w:space="0" w:color="F79646"/>
              <w:right w:val="nil"/>
            </w:tcBorders>
            <w:shd w:val="clear" w:color="auto" w:fill="auto"/>
            <w:noWrap/>
            <w:vAlign w:val="center"/>
          </w:tcPr>
          <w:p w14:paraId="4D09136C" w14:textId="32AADF50"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293.229.983</w:t>
            </w:r>
          </w:p>
        </w:tc>
        <w:tc>
          <w:tcPr>
            <w:tcW w:w="386" w:type="pct"/>
            <w:tcBorders>
              <w:top w:val="single" w:sz="4" w:space="0" w:color="F79646"/>
              <w:left w:val="nil"/>
              <w:bottom w:val="single" w:sz="4" w:space="0" w:color="F79646"/>
              <w:right w:val="nil"/>
            </w:tcBorders>
            <w:shd w:val="clear" w:color="auto" w:fill="auto"/>
            <w:noWrap/>
            <w:vAlign w:val="center"/>
          </w:tcPr>
          <w:p w14:paraId="703B03C7" w14:textId="6045D3E8"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(899.101)</w:t>
            </w:r>
          </w:p>
        </w:tc>
        <w:tc>
          <w:tcPr>
            <w:tcW w:w="386" w:type="pct"/>
            <w:tcBorders>
              <w:top w:val="single" w:sz="4" w:space="0" w:color="F79646"/>
              <w:left w:val="nil"/>
              <w:bottom w:val="single" w:sz="4" w:space="0" w:color="F79646"/>
              <w:right w:val="nil"/>
            </w:tcBorders>
            <w:shd w:val="clear" w:color="auto" w:fill="auto"/>
            <w:noWrap/>
            <w:vAlign w:val="center"/>
          </w:tcPr>
          <w:p w14:paraId="230CD890" w14:textId="71DF4EEF"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896.834</w:t>
            </w:r>
          </w:p>
        </w:tc>
        <w:tc>
          <w:tcPr>
            <w:tcW w:w="386" w:type="pct"/>
            <w:tcBorders>
              <w:top w:val="single" w:sz="4" w:space="0" w:color="F79646"/>
              <w:left w:val="nil"/>
              <w:bottom w:val="single" w:sz="4" w:space="0" w:color="F79646"/>
              <w:right w:val="nil"/>
            </w:tcBorders>
            <w:shd w:val="clear" w:color="auto" w:fill="auto"/>
            <w:noWrap/>
            <w:vAlign w:val="center"/>
          </w:tcPr>
          <w:p w14:paraId="3EDCDC1D" w14:textId="1EE416FF"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293.227.716</w:t>
            </w:r>
          </w:p>
        </w:tc>
        <w:tc>
          <w:tcPr>
            <w:tcW w:w="386" w:type="pct"/>
            <w:tcBorders>
              <w:top w:val="single" w:sz="4" w:space="0" w:color="F79646"/>
              <w:left w:val="nil"/>
              <w:bottom w:val="single" w:sz="4" w:space="0" w:color="F79646"/>
              <w:right w:val="nil"/>
            </w:tcBorders>
            <w:shd w:val="clear" w:color="auto" w:fill="auto"/>
            <w:noWrap/>
            <w:vAlign w:val="center"/>
          </w:tcPr>
          <w:p w14:paraId="39F5092C" w14:textId="2F52E4F8" w:rsidR="00972293" w:rsidRPr="00E20D21" w:rsidRDefault="00972293" w:rsidP="0097229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292.589.606</w:t>
            </w:r>
          </w:p>
        </w:tc>
        <w:tc>
          <w:tcPr>
            <w:tcW w:w="386" w:type="pct"/>
            <w:tcBorders>
              <w:top w:val="single" w:sz="4" w:space="0" w:color="F79646"/>
              <w:left w:val="nil"/>
              <w:bottom w:val="single" w:sz="4" w:space="0" w:color="F79646"/>
              <w:right w:val="nil"/>
            </w:tcBorders>
            <w:shd w:val="clear" w:color="auto" w:fill="auto"/>
            <w:noWrap/>
            <w:vAlign w:val="center"/>
          </w:tcPr>
          <w:p w14:paraId="086D9F26" w14:textId="0D3E8EAB"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1.806.121</w:t>
            </w:r>
          </w:p>
        </w:tc>
        <w:tc>
          <w:tcPr>
            <w:tcW w:w="386" w:type="pct"/>
            <w:tcBorders>
              <w:top w:val="single" w:sz="4" w:space="0" w:color="F79646"/>
              <w:left w:val="nil"/>
              <w:bottom w:val="single" w:sz="4" w:space="0" w:color="F79646"/>
              <w:right w:val="nil"/>
            </w:tcBorders>
            <w:shd w:val="clear" w:color="auto" w:fill="auto"/>
            <w:noWrap/>
            <w:vAlign w:val="center"/>
          </w:tcPr>
          <w:p w14:paraId="707F3730" w14:textId="0997B876" w:rsidR="00972293" w:rsidRPr="00E20D21" w:rsidRDefault="00ED66A7"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2.835.430</w:t>
            </w:r>
          </w:p>
        </w:tc>
        <w:tc>
          <w:tcPr>
            <w:tcW w:w="386" w:type="pct"/>
            <w:tcBorders>
              <w:top w:val="single" w:sz="4" w:space="0" w:color="F79646"/>
              <w:left w:val="nil"/>
              <w:bottom w:val="single" w:sz="4" w:space="0" w:color="F79646"/>
              <w:right w:val="nil"/>
            </w:tcBorders>
            <w:shd w:val="clear" w:color="auto" w:fill="auto"/>
            <w:noWrap/>
            <w:vAlign w:val="center"/>
          </w:tcPr>
          <w:p w14:paraId="5B752A17" w14:textId="1265F32B"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426.049</w:t>
            </w:r>
          </w:p>
        </w:tc>
        <w:tc>
          <w:tcPr>
            <w:tcW w:w="386" w:type="pct"/>
            <w:tcBorders>
              <w:top w:val="single" w:sz="4" w:space="0" w:color="F79646"/>
              <w:left w:val="nil"/>
              <w:bottom w:val="single" w:sz="4" w:space="0" w:color="F79646"/>
              <w:right w:val="nil"/>
            </w:tcBorders>
            <w:shd w:val="clear" w:color="auto" w:fill="auto"/>
            <w:noWrap/>
            <w:vAlign w:val="center"/>
          </w:tcPr>
          <w:p w14:paraId="38DCA5B9" w14:textId="374D9749" w:rsidR="00972293" w:rsidRPr="00E20D21" w:rsidRDefault="00ED66A7"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2.538.451</w:t>
            </w:r>
          </w:p>
        </w:tc>
        <w:tc>
          <w:tcPr>
            <w:tcW w:w="385" w:type="pct"/>
            <w:tcBorders>
              <w:top w:val="single" w:sz="4" w:space="0" w:color="F79646"/>
              <w:left w:val="nil"/>
              <w:bottom w:val="single" w:sz="4" w:space="0" w:color="F79646"/>
              <w:right w:val="nil"/>
            </w:tcBorders>
            <w:shd w:val="clear" w:color="auto" w:fill="auto"/>
            <w:noWrap/>
            <w:vAlign w:val="center"/>
          </w:tcPr>
          <w:p w14:paraId="03CE7D3B" w14:textId="5416BAA6" w:rsidR="00972293" w:rsidRPr="00E20D21" w:rsidRDefault="00972293" w:rsidP="00972293">
            <w:pPr>
              <w:jc w:val="right"/>
              <w:rPr>
                <w:rFonts w:ascii="CAIXA Std Book" w:hAnsi="CAIXA Std Book" w:cs="Arial"/>
                <w:b/>
                <w:bCs/>
                <w:color w:val="005CA9"/>
                <w:sz w:val="16"/>
                <w:szCs w:val="16"/>
              </w:rPr>
            </w:pPr>
            <w:r w:rsidRPr="00E20D21">
              <w:rPr>
                <w:rFonts w:ascii="CAIXA Std Book" w:hAnsi="CAIXA Std Book" w:cs="Arial"/>
                <w:b/>
                <w:bCs/>
                <w:color w:val="005CA9"/>
                <w:sz w:val="16"/>
                <w:szCs w:val="16"/>
              </w:rPr>
              <w:t>285.</w:t>
            </w:r>
            <w:r w:rsidR="00ED66A7" w:rsidRPr="00E20D21">
              <w:rPr>
                <w:rFonts w:ascii="CAIXA Std Book" w:hAnsi="CAIXA Std Book" w:cs="Arial"/>
                <w:b/>
                <w:bCs/>
                <w:color w:val="005CA9"/>
                <w:sz w:val="16"/>
                <w:szCs w:val="16"/>
              </w:rPr>
              <w:t>621.665</w:t>
            </w:r>
          </w:p>
        </w:tc>
      </w:tr>
    </w:tbl>
    <w:p w14:paraId="28D593B6" w14:textId="77777777" w:rsidR="00886880" w:rsidRPr="00E20D21" w:rsidRDefault="00886880">
      <w:pPr>
        <w:rPr>
          <w:rFonts w:ascii="CAIXA Std Book" w:hAnsi="CAIXA Std Book"/>
          <w:b/>
          <w:color w:val="005CA9"/>
          <w:sz w:val="20"/>
          <w:szCs w:val="20"/>
        </w:rPr>
      </w:pPr>
      <w:r w:rsidRPr="00E20D21">
        <w:rPr>
          <w:rFonts w:ascii="CAIXA Std Book" w:hAnsi="CAIXA Std Book"/>
          <w:b/>
          <w:color w:val="005CA9"/>
          <w:sz w:val="20"/>
          <w:szCs w:val="20"/>
        </w:rPr>
        <w:br w:type="page"/>
      </w:r>
    </w:p>
    <w:p w14:paraId="264378CE" w14:textId="044B1609" w:rsidR="005F303D" w:rsidRPr="00E20D21" w:rsidRDefault="005F303D" w:rsidP="001D2145">
      <w:pPr>
        <w:keepNext/>
        <w:tabs>
          <w:tab w:val="left" w:pos="567"/>
        </w:tabs>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lastRenderedPageBreak/>
        <w:t>(</w:t>
      </w:r>
      <w:r w:rsidR="00950B25" w:rsidRPr="00E20D21">
        <w:rPr>
          <w:rFonts w:ascii="CAIXA Std Book" w:hAnsi="CAIXA Std Book"/>
          <w:b/>
          <w:color w:val="005CA9"/>
          <w:sz w:val="20"/>
          <w:szCs w:val="20"/>
        </w:rPr>
        <w:t>c</w:t>
      </w:r>
      <w:r w:rsidRPr="00E20D21">
        <w:rPr>
          <w:rFonts w:ascii="CAIXA Std Book" w:hAnsi="CAIXA Std Book"/>
          <w:b/>
          <w:color w:val="005CA9"/>
          <w:sz w:val="20"/>
          <w:szCs w:val="20"/>
        </w:rPr>
        <w:t>)</w:t>
      </w:r>
      <w:r w:rsidRPr="00E20D21">
        <w:rPr>
          <w:rFonts w:ascii="CAIXA Std Book" w:hAnsi="CAIXA Std Book"/>
          <w:b/>
          <w:color w:val="005CA9"/>
          <w:sz w:val="20"/>
          <w:szCs w:val="20"/>
        </w:rPr>
        <w:tab/>
      </w:r>
      <w:r w:rsidR="00E220BA" w:rsidRPr="00E20D21">
        <w:rPr>
          <w:rFonts w:ascii="CAIXA Std Book" w:hAnsi="CAIXA Std Book"/>
          <w:b/>
          <w:color w:val="005CA9"/>
          <w:sz w:val="20"/>
          <w:szCs w:val="20"/>
        </w:rPr>
        <w:t>C</w:t>
      </w:r>
      <w:r w:rsidRPr="00E20D21">
        <w:rPr>
          <w:rFonts w:ascii="CAIXA Std Book" w:hAnsi="CAIXA Std Book"/>
          <w:b/>
          <w:color w:val="005CA9"/>
          <w:sz w:val="20"/>
          <w:szCs w:val="20"/>
        </w:rPr>
        <w:t xml:space="preserve">lassificação </w:t>
      </w:r>
      <w:r w:rsidR="00E220BA" w:rsidRPr="00E20D21">
        <w:rPr>
          <w:rFonts w:ascii="CAIXA Std Book" w:hAnsi="CAIXA Std Book"/>
          <w:b/>
          <w:color w:val="005CA9"/>
          <w:sz w:val="20"/>
          <w:szCs w:val="20"/>
        </w:rPr>
        <w:t xml:space="preserve">da carteira por categoria e </w:t>
      </w:r>
      <w:r w:rsidRPr="00E20D21">
        <w:rPr>
          <w:rFonts w:ascii="CAIXA Std Book" w:hAnsi="CAIXA Std Book"/>
          <w:b/>
          <w:color w:val="005CA9"/>
          <w:sz w:val="20"/>
          <w:szCs w:val="20"/>
        </w:rPr>
        <w:t>por prazo</w:t>
      </w:r>
      <w:r w:rsidR="00747F04" w:rsidRPr="00E20D21">
        <w:rPr>
          <w:rFonts w:ascii="CAIXA Std Book" w:hAnsi="CAIXA Std Book"/>
          <w:b/>
          <w:color w:val="005CA9"/>
          <w:sz w:val="20"/>
          <w:szCs w:val="20"/>
        </w:rPr>
        <w:tab/>
      </w:r>
    </w:p>
    <w:p w14:paraId="34EFF0FF" w14:textId="77777777" w:rsidR="00322061" w:rsidRPr="00E20D21" w:rsidRDefault="00322061" w:rsidP="001D2145">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 valor de mercado dos títulos e valores mobiliários baseia-se em cotação de preços na data do balanço. Se não houver cotação de preço de mercado, os valores são estimados a partir de modelo de marcação a mercado baseado na construção dos fluxos de caixa dos ativos e das curvas de juros de mercado.</w:t>
      </w:r>
    </w:p>
    <w:p w14:paraId="73FD3D40" w14:textId="77777777" w:rsidR="00322061" w:rsidRPr="00E20D21" w:rsidRDefault="00322061" w:rsidP="001D2145">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fluxos de caixa são construídos a partir das características dos títulos e valores mobiliários e as curvas a partir das informações/dados dos preços/taxas de mercado dos instrumentos financeiros disponíveis, tais como: contratos futuros, títulos públicos ou operações de </w:t>
      </w:r>
      <w:r w:rsidRPr="00E20D21">
        <w:rPr>
          <w:rFonts w:ascii="CAIXA Std Book" w:hAnsi="CAIXA Std Book"/>
          <w:i/>
          <w:color w:val="005CA9"/>
          <w:sz w:val="20"/>
          <w:szCs w:val="20"/>
        </w:rPr>
        <w:t>swap</w:t>
      </w:r>
      <w:r w:rsidRPr="00E20D21">
        <w:rPr>
          <w:rFonts w:ascii="CAIXA Std Book" w:hAnsi="CAIXA Std Book"/>
          <w:color w:val="005CA9"/>
          <w:sz w:val="20"/>
          <w:szCs w:val="20"/>
        </w:rPr>
        <w:t>.</w:t>
      </w:r>
    </w:p>
    <w:p w14:paraId="004F0D36" w14:textId="24907367" w:rsidR="00825C63" w:rsidRPr="00E20D21" w:rsidRDefault="005163B1" w:rsidP="00D24ACB">
      <w:pPr>
        <w:tabs>
          <w:tab w:val="left" w:pos="1650"/>
        </w:tabs>
        <w:spacing w:before="120" w:after="120"/>
        <w:jc w:val="both"/>
        <w:rPr>
          <w:rFonts w:ascii="CAIXA Std Book" w:hAnsi="CAIXA Std Book"/>
          <w:b/>
          <w:color w:val="005CA9"/>
          <w:sz w:val="20"/>
          <w:szCs w:val="20"/>
        </w:rPr>
      </w:pPr>
      <w:r w:rsidRPr="00E20D21">
        <w:rPr>
          <w:rFonts w:ascii="CAIXA Std Book" w:hAnsi="CAIXA Std Book"/>
          <w:color w:val="005CA9"/>
          <w:sz w:val="20"/>
          <w:szCs w:val="20"/>
        </w:rPr>
        <w:t>Para cotas de fundos de investimento são utilizados os valores da cota calculados pelo administrado</w:t>
      </w:r>
      <w:r w:rsidR="008978C7" w:rsidRPr="00E20D21">
        <w:rPr>
          <w:rFonts w:ascii="CAIXA Std Book" w:hAnsi="CAIXA Std Book"/>
          <w:color w:val="005CA9"/>
          <w:sz w:val="20"/>
          <w:szCs w:val="20"/>
        </w:rPr>
        <w:t>r</w:t>
      </w:r>
      <w:r w:rsidRPr="00E20D21">
        <w:rPr>
          <w:rFonts w:ascii="CAIXA Std Book" w:hAnsi="CAIXA Std Book"/>
          <w:color w:val="005CA9"/>
          <w:sz w:val="20"/>
          <w:szCs w:val="20"/>
        </w:rPr>
        <w:t xml:space="preserve"> do fundo como sendo o valor justo.</w:t>
      </w:r>
    </w:p>
    <w:p w14:paraId="569C21D6" w14:textId="22081D19" w:rsidR="005F303D" w:rsidRPr="00E20D21" w:rsidRDefault="005F303D" w:rsidP="001D2145">
      <w:pPr>
        <w:keepNext/>
        <w:tabs>
          <w:tab w:val="left" w:pos="567"/>
        </w:tabs>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(c.1)</w:t>
      </w:r>
      <w:r w:rsidRPr="00E20D21">
        <w:rPr>
          <w:rFonts w:ascii="CAIXA Std Book" w:hAnsi="CAIXA Std Book"/>
          <w:b/>
          <w:color w:val="005CA9"/>
          <w:sz w:val="20"/>
          <w:szCs w:val="20"/>
        </w:rPr>
        <w:tab/>
        <w:t>Categoria I - Títulos para negociação</w:t>
      </w:r>
    </w:p>
    <w:p w14:paraId="0735900C" w14:textId="056DB6F3" w:rsidR="00D32285" w:rsidRPr="00E20D21" w:rsidRDefault="00D32285" w:rsidP="00D32285">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títulos da categoria “I – Títulos para negociação” são classificados no ativo circulante, conforme Circular </w:t>
      </w:r>
      <w:r w:rsidR="00FC561C" w:rsidRPr="00E20D21">
        <w:rPr>
          <w:rFonts w:ascii="CAIXA Std Book" w:hAnsi="CAIXA Std Book"/>
          <w:color w:val="005CA9"/>
          <w:sz w:val="20"/>
          <w:szCs w:val="20"/>
        </w:rPr>
        <w:t>BCB</w:t>
      </w:r>
      <w:r w:rsidRPr="00E20D21">
        <w:rPr>
          <w:rFonts w:ascii="CAIXA Std Book" w:hAnsi="CAIXA Std Book"/>
          <w:color w:val="005CA9"/>
          <w:sz w:val="20"/>
          <w:szCs w:val="20"/>
        </w:rPr>
        <w:t xml:space="preserve"> nº 3.068/2001 e os respectivos </w:t>
      </w:r>
      <w:r w:rsidR="007D2B96" w:rsidRPr="00E20D21">
        <w:rPr>
          <w:rFonts w:ascii="CAIXA Std Book" w:hAnsi="CAIXA Std Book"/>
          <w:color w:val="005CA9"/>
          <w:sz w:val="20"/>
          <w:szCs w:val="20"/>
        </w:rPr>
        <w:t>a</w:t>
      </w:r>
      <w:r w:rsidRPr="00E20D21">
        <w:rPr>
          <w:rFonts w:ascii="CAIXA Std Book" w:hAnsi="CAIXA Std Book"/>
          <w:color w:val="005CA9"/>
          <w:sz w:val="20"/>
          <w:szCs w:val="20"/>
        </w:rPr>
        <w:t>justes a valor de mercado impactam diretamente o resultado da instituição.</w:t>
      </w:r>
    </w:p>
    <w:tbl>
      <w:tblPr>
        <w:tblW w:w="5000" w:type="pct"/>
        <w:tblCellMar>
          <w:left w:w="70" w:type="dxa"/>
          <w:right w:w="70" w:type="dxa"/>
        </w:tblCellMar>
        <w:tblLook w:val="04A0" w:firstRow="1" w:lastRow="0" w:firstColumn="1" w:lastColumn="0" w:noHBand="0" w:noVBand="1"/>
      </w:tblPr>
      <w:tblGrid>
        <w:gridCol w:w="2925"/>
        <w:gridCol w:w="1294"/>
        <w:gridCol w:w="1294"/>
        <w:gridCol w:w="1294"/>
        <w:gridCol w:w="1294"/>
        <w:gridCol w:w="1294"/>
        <w:gridCol w:w="1294"/>
        <w:gridCol w:w="1294"/>
        <w:gridCol w:w="1294"/>
        <w:gridCol w:w="1294"/>
      </w:tblGrid>
      <w:tr w:rsidR="00A47C19" w:rsidRPr="00E20D21" w14:paraId="0ECFC5C0" w14:textId="77777777" w:rsidTr="00D35B0B">
        <w:trPr>
          <w:trHeight w:val="283"/>
        </w:trPr>
        <w:tc>
          <w:tcPr>
            <w:tcW w:w="5000" w:type="pct"/>
            <w:gridSpan w:val="10"/>
            <w:tcBorders>
              <w:top w:val="single" w:sz="4" w:space="0" w:color="F39200"/>
              <w:left w:val="nil"/>
              <w:bottom w:val="single" w:sz="4" w:space="0" w:color="F39200"/>
              <w:right w:val="nil"/>
            </w:tcBorders>
            <w:vAlign w:val="center"/>
            <w:hideMark/>
          </w:tcPr>
          <w:p w14:paraId="26831BD7" w14:textId="77777777" w:rsidR="00B407ED" w:rsidRPr="00E20D21" w:rsidRDefault="00B407ED"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INDIVIDUAL</w:t>
            </w:r>
          </w:p>
        </w:tc>
      </w:tr>
      <w:tr w:rsidR="00A47C19" w:rsidRPr="00E20D21" w14:paraId="3CBAEF53" w14:textId="77777777" w:rsidTr="00D35B0B">
        <w:trPr>
          <w:trHeight w:val="283"/>
        </w:trPr>
        <w:tc>
          <w:tcPr>
            <w:tcW w:w="1004" w:type="pct"/>
            <w:vMerge w:val="restart"/>
            <w:tcBorders>
              <w:top w:val="nil"/>
              <w:left w:val="nil"/>
              <w:right w:val="nil"/>
            </w:tcBorders>
            <w:vAlign w:val="center"/>
            <w:hideMark/>
          </w:tcPr>
          <w:p w14:paraId="53E20488" w14:textId="77777777" w:rsidR="00D45D83" w:rsidRPr="00E20D21" w:rsidRDefault="00D45D83"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Descrição</w:t>
            </w:r>
          </w:p>
        </w:tc>
        <w:tc>
          <w:tcPr>
            <w:tcW w:w="2664" w:type="pct"/>
            <w:gridSpan w:val="6"/>
            <w:tcBorders>
              <w:top w:val="nil"/>
              <w:left w:val="nil"/>
              <w:bottom w:val="single" w:sz="4" w:space="0" w:color="F39200"/>
              <w:right w:val="nil"/>
            </w:tcBorders>
            <w:noWrap/>
            <w:vAlign w:val="center"/>
            <w:hideMark/>
          </w:tcPr>
          <w:p w14:paraId="03328107" w14:textId="3CBDB58E" w:rsidR="00BD57F2" w:rsidRPr="00E20D21" w:rsidRDefault="00BD57F2" w:rsidP="000E4FB0">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3</w:t>
            </w:r>
            <w:r w:rsidR="00213681" w:rsidRPr="00E20D21">
              <w:rPr>
                <w:rFonts w:ascii="CAIXA Std Book" w:eastAsia="Times New Roman" w:hAnsi="CAIXA Std Book" w:cs="Calibri"/>
                <w:b/>
                <w:color w:val="005CA9"/>
                <w:sz w:val="18"/>
                <w:szCs w:val="18"/>
              </w:rPr>
              <w:t>0/06/2024</w:t>
            </w:r>
          </w:p>
        </w:tc>
        <w:tc>
          <w:tcPr>
            <w:tcW w:w="1332" w:type="pct"/>
            <w:gridSpan w:val="3"/>
            <w:tcBorders>
              <w:top w:val="single" w:sz="4" w:space="0" w:color="F39200"/>
              <w:left w:val="nil"/>
              <w:bottom w:val="single" w:sz="4" w:space="0" w:color="F39200"/>
              <w:right w:val="nil"/>
            </w:tcBorders>
            <w:vAlign w:val="center"/>
          </w:tcPr>
          <w:p w14:paraId="1A39F6BA" w14:textId="05F79D0A" w:rsidR="00D45D83" w:rsidRPr="00E20D21" w:rsidRDefault="00D45D83"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31/12/202</w:t>
            </w:r>
            <w:r w:rsidR="00213681" w:rsidRPr="00E20D21">
              <w:rPr>
                <w:rFonts w:ascii="CAIXA Std Book" w:eastAsia="Times New Roman" w:hAnsi="CAIXA Std Book" w:cs="Arial"/>
                <w:b/>
                <w:color w:val="005CA9"/>
                <w:sz w:val="18"/>
                <w:szCs w:val="18"/>
              </w:rPr>
              <w:t>3</w:t>
            </w:r>
          </w:p>
        </w:tc>
      </w:tr>
      <w:tr w:rsidR="00A47C19" w:rsidRPr="00E20D21" w14:paraId="4126E607" w14:textId="77777777" w:rsidTr="00D35B0B">
        <w:trPr>
          <w:trHeight w:val="283"/>
        </w:trPr>
        <w:tc>
          <w:tcPr>
            <w:tcW w:w="1004" w:type="pct"/>
            <w:vMerge/>
            <w:tcBorders>
              <w:left w:val="nil"/>
              <w:bottom w:val="single" w:sz="4" w:space="0" w:color="F39200"/>
              <w:right w:val="nil"/>
            </w:tcBorders>
            <w:vAlign w:val="center"/>
            <w:hideMark/>
          </w:tcPr>
          <w:p w14:paraId="6A7C0E01" w14:textId="77777777" w:rsidR="00B407ED" w:rsidRPr="00E20D21" w:rsidRDefault="00B407ED" w:rsidP="000E4FB0">
            <w:pPr>
              <w:jc w:val="center"/>
              <w:rPr>
                <w:rFonts w:ascii="CAIXA Std Book" w:eastAsia="Times New Roman" w:hAnsi="CAIXA Std Book" w:cs="Arial"/>
                <w:b/>
                <w:color w:val="005CA9"/>
                <w:sz w:val="18"/>
                <w:szCs w:val="18"/>
              </w:rPr>
            </w:pPr>
          </w:p>
        </w:tc>
        <w:tc>
          <w:tcPr>
            <w:tcW w:w="444" w:type="pct"/>
            <w:tcBorders>
              <w:top w:val="nil"/>
              <w:left w:val="nil"/>
              <w:bottom w:val="single" w:sz="4" w:space="0" w:color="F39200"/>
              <w:right w:val="nil"/>
            </w:tcBorders>
            <w:vAlign w:val="center"/>
            <w:hideMark/>
          </w:tcPr>
          <w:p w14:paraId="343227D0" w14:textId="77777777" w:rsidR="00B407ED" w:rsidRPr="00E20D21" w:rsidRDefault="00B407ED"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Sem Vencimento</w:t>
            </w:r>
          </w:p>
        </w:tc>
        <w:tc>
          <w:tcPr>
            <w:tcW w:w="444" w:type="pct"/>
            <w:tcBorders>
              <w:top w:val="nil"/>
              <w:left w:val="nil"/>
              <w:bottom w:val="single" w:sz="4" w:space="0" w:color="F39200"/>
              <w:right w:val="nil"/>
            </w:tcBorders>
            <w:vAlign w:val="center"/>
            <w:hideMark/>
          </w:tcPr>
          <w:p w14:paraId="032E1C2D" w14:textId="2A854C11" w:rsidR="00B407ED" w:rsidRPr="00E20D21" w:rsidRDefault="00FD1E38"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01</w:t>
            </w:r>
            <w:r w:rsidR="00B407ED" w:rsidRPr="00E20D21">
              <w:rPr>
                <w:rFonts w:ascii="CAIXA Std Book" w:eastAsia="Times New Roman" w:hAnsi="CAIXA Std Book" w:cs="Arial"/>
                <w:b/>
                <w:color w:val="005CA9"/>
                <w:sz w:val="18"/>
                <w:szCs w:val="18"/>
              </w:rPr>
              <w:t xml:space="preserve"> a </w:t>
            </w:r>
            <w:r w:rsidRPr="00E20D21">
              <w:rPr>
                <w:rFonts w:ascii="CAIXA Std Book" w:eastAsia="Times New Roman" w:hAnsi="CAIXA Std Book" w:cs="Arial"/>
                <w:b/>
                <w:color w:val="005CA9"/>
                <w:sz w:val="18"/>
                <w:szCs w:val="18"/>
              </w:rPr>
              <w:t>90</w:t>
            </w:r>
            <w:r w:rsidR="00B407ED" w:rsidRPr="00E20D21">
              <w:rPr>
                <w:rFonts w:ascii="CAIXA Std Book" w:eastAsia="Times New Roman" w:hAnsi="CAIXA Std Book" w:cs="Arial"/>
                <w:b/>
                <w:color w:val="005CA9"/>
                <w:sz w:val="18"/>
                <w:szCs w:val="18"/>
              </w:rPr>
              <w:t xml:space="preserve"> dias</w:t>
            </w:r>
          </w:p>
        </w:tc>
        <w:tc>
          <w:tcPr>
            <w:tcW w:w="444" w:type="pct"/>
            <w:tcBorders>
              <w:top w:val="nil"/>
              <w:left w:val="nil"/>
              <w:bottom w:val="single" w:sz="4" w:space="0" w:color="F39200"/>
              <w:right w:val="nil"/>
            </w:tcBorders>
            <w:vAlign w:val="center"/>
            <w:hideMark/>
          </w:tcPr>
          <w:p w14:paraId="1AFB9403" w14:textId="103CCB9D" w:rsidR="00B407ED" w:rsidRPr="00E20D21" w:rsidRDefault="00F13439"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Acima de 360 dias</w:t>
            </w:r>
          </w:p>
        </w:tc>
        <w:tc>
          <w:tcPr>
            <w:tcW w:w="444" w:type="pct"/>
            <w:tcBorders>
              <w:top w:val="nil"/>
              <w:left w:val="nil"/>
              <w:bottom w:val="single" w:sz="4" w:space="0" w:color="F39200"/>
              <w:right w:val="nil"/>
            </w:tcBorders>
            <w:vAlign w:val="center"/>
          </w:tcPr>
          <w:p w14:paraId="4069EA45" w14:textId="075C0BA6" w:rsidR="00B407ED" w:rsidRPr="00E20D21" w:rsidRDefault="00F13439"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Custo</w:t>
            </w:r>
          </w:p>
        </w:tc>
        <w:tc>
          <w:tcPr>
            <w:tcW w:w="444" w:type="pct"/>
            <w:tcBorders>
              <w:top w:val="nil"/>
              <w:left w:val="nil"/>
              <w:bottom w:val="single" w:sz="4" w:space="0" w:color="F39200"/>
              <w:right w:val="nil"/>
            </w:tcBorders>
            <w:vAlign w:val="center"/>
          </w:tcPr>
          <w:p w14:paraId="3A4D25DE" w14:textId="713788F6" w:rsidR="00B407ED" w:rsidRPr="00E20D21" w:rsidRDefault="00F13439"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Ajuste a mercado resultado</w:t>
            </w:r>
          </w:p>
        </w:tc>
        <w:tc>
          <w:tcPr>
            <w:tcW w:w="444" w:type="pct"/>
            <w:tcBorders>
              <w:top w:val="nil"/>
              <w:left w:val="nil"/>
              <w:bottom w:val="single" w:sz="4" w:space="0" w:color="F39200"/>
              <w:right w:val="nil"/>
            </w:tcBorders>
            <w:vAlign w:val="center"/>
          </w:tcPr>
          <w:p w14:paraId="3CB29675" w14:textId="7A8E4544" w:rsidR="00B407ED" w:rsidRPr="00E20D21" w:rsidRDefault="00F13439"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Valor de mercado</w:t>
            </w:r>
          </w:p>
        </w:tc>
        <w:tc>
          <w:tcPr>
            <w:tcW w:w="444" w:type="pct"/>
            <w:tcBorders>
              <w:top w:val="nil"/>
              <w:left w:val="nil"/>
              <w:bottom w:val="single" w:sz="4" w:space="0" w:color="F39200"/>
              <w:right w:val="nil"/>
            </w:tcBorders>
            <w:vAlign w:val="center"/>
          </w:tcPr>
          <w:p w14:paraId="2A42D40E" w14:textId="75DAC224" w:rsidR="00B407ED" w:rsidRPr="00E20D21" w:rsidRDefault="00F13439"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Custo</w:t>
            </w:r>
          </w:p>
        </w:tc>
        <w:tc>
          <w:tcPr>
            <w:tcW w:w="444" w:type="pct"/>
            <w:tcBorders>
              <w:top w:val="single" w:sz="4" w:space="0" w:color="F69200"/>
              <w:bottom w:val="single" w:sz="4" w:space="0" w:color="F69200"/>
            </w:tcBorders>
            <w:vAlign w:val="center"/>
          </w:tcPr>
          <w:p w14:paraId="60CDF6D9" w14:textId="6456E01A" w:rsidR="00B407ED" w:rsidRPr="00E20D21" w:rsidRDefault="00F13439"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Ajuste a mercado resultado</w:t>
            </w:r>
          </w:p>
        </w:tc>
        <w:tc>
          <w:tcPr>
            <w:tcW w:w="444" w:type="pct"/>
            <w:tcBorders>
              <w:top w:val="nil"/>
              <w:left w:val="nil"/>
              <w:bottom w:val="single" w:sz="4" w:space="0" w:color="F39200"/>
              <w:right w:val="nil"/>
            </w:tcBorders>
            <w:vAlign w:val="center"/>
          </w:tcPr>
          <w:p w14:paraId="5883D3E6" w14:textId="73E03D8D" w:rsidR="00B407ED" w:rsidRPr="00E20D21" w:rsidRDefault="00F13439" w:rsidP="000E4F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Valor de mercado</w:t>
            </w:r>
          </w:p>
        </w:tc>
      </w:tr>
      <w:tr w:rsidR="00A47C19" w:rsidRPr="00E20D21" w14:paraId="0D78924C" w14:textId="77777777" w:rsidTr="00D35B0B">
        <w:trPr>
          <w:trHeight w:val="283"/>
        </w:trPr>
        <w:tc>
          <w:tcPr>
            <w:tcW w:w="1004" w:type="pct"/>
            <w:vAlign w:val="center"/>
            <w:hideMark/>
          </w:tcPr>
          <w:p w14:paraId="0C5369D2" w14:textId="77777777" w:rsidR="00213681" w:rsidRPr="00E20D21" w:rsidRDefault="00213681" w:rsidP="00213681">
            <w:pP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Títulos públicos</w:t>
            </w:r>
          </w:p>
        </w:tc>
        <w:tc>
          <w:tcPr>
            <w:tcW w:w="444" w:type="pct"/>
            <w:noWrap/>
            <w:vAlign w:val="center"/>
          </w:tcPr>
          <w:p w14:paraId="770F5781" w14:textId="4CA778B1" w:rsidR="00213681" w:rsidRPr="00E20D21" w:rsidRDefault="00F13439" w:rsidP="00213681">
            <w:pPr>
              <w:jc w:val="center"/>
              <w:rPr>
                <w:rFonts w:ascii="CAIXA Std Book" w:hAnsi="CAIXA Std Book" w:cs="Arial"/>
                <w:b/>
                <w:color w:val="005CA9"/>
                <w:sz w:val="18"/>
                <w:szCs w:val="18"/>
              </w:rPr>
            </w:pPr>
            <w:r w:rsidRPr="00E20D21">
              <w:rPr>
                <w:rFonts w:ascii="CAIXA Std Book" w:hAnsi="CAIXA Std Book" w:cs="Arial"/>
                <w:b/>
                <w:bCs/>
                <w:color w:val="005CA9"/>
                <w:sz w:val="18"/>
                <w:szCs w:val="18"/>
              </w:rPr>
              <w:t>-</w:t>
            </w:r>
          </w:p>
        </w:tc>
        <w:tc>
          <w:tcPr>
            <w:tcW w:w="444" w:type="pct"/>
            <w:tcBorders>
              <w:top w:val="single" w:sz="4" w:space="0" w:color="F69200"/>
            </w:tcBorders>
            <w:noWrap/>
            <w:vAlign w:val="center"/>
          </w:tcPr>
          <w:p w14:paraId="229CF53D" w14:textId="299EA6CE"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2.447.039</w:t>
            </w:r>
          </w:p>
        </w:tc>
        <w:tc>
          <w:tcPr>
            <w:tcW w:w="444" w:type="pct"/>
            <w:tcBorders>
              <w:top w:val="single" w:sz="4" w:space="0" w:color="F69200"/>
            </w:tcBorders>
            <w:noWrap/>
            <w:vAlign w:val="center"/>
          </w:tcPr>
          <w:p w14:paraId="7A78E4EC" w14:textId="41D868AD"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114.301.773</w:t>
            </w:r>
          </w:p>
        </w:tc>
        <w:tc>
          <w:tcPr>
            <w:tcW w:w="444" w:type="pct"/>
            <w:tcBorders>
              <w:top w:val="single" w:sz="4" w:space="0" w:color="F69200"/>
            </w:tcBorders>
            <w:noWrap/>
            <w:vAlign w:val="center"/>
          </w:tcPr>
          <w:p w14:paraId="0AF321AE" w14:textId="46534A24"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117.623.380</w:t>
            </w:r>
          </w:p>
        </w:tc>
        <w:tc>
          <w:tcPr>
            <w:tcW w:w="444" w:type="pct"/>
            <w:tcBorders>
              <w:top w:val="single" w:sz="4" w:space="0" w:color="F69200"/>
            </w:tcBorders>
            <w:noWrap/>
            <w:vAlign w:val="center"/>
          </w:tcPr>
          <w:p w14:paraId="2C5FD213" w14:textId="04501442"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(874.568)</w:t>
            </w:r>
          </w:p>
        </w:tc>
        <w:tc>
          <w:tcPr>
            <w:tcW w:w="444" w:type="pct"/>
            <w:tcBorders>
              <w:top w:val="single" w:sz="4" w:space="0" w:color="F69200"/>
            </w:tcBorders>
            <w:noWrap/>
            <w:vAlign w:val="center"/>
          </w:tcPr>
          <w:p w14:paraId="730AEFC7" w14:textId="3AE4FCDD"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116.748.812</w:t>
            </w:r>
          </w:p>
        </w:tc>
        <w:tc>
          <w:tcPr>
            <w:tcW w:w="444" w:type="pct"/>
            <w:tcBorders>
              <w:top w:val="single" w:sz="4" w:space="0" w:color="F69200"/>
            </w:tcBorders>
            <w:noWrap/>
            <w:vAlign w:val="center"/>
          </w:tcPr>
          <w:p w14:paraId="059D8D13" w14:textId="1BD405F3"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133.973.256</w:t>
            </w:r>
          </w:p>
        </w:tc>
        <w:tc>
          <w:tcPr>
            <w:tcW w:w="444" w:type="pct"/>
            <w:tcBorders>
              <w:top w:val="single" w:sz="4" w:space="0" w:color="F69200"/>
            </w:tcBorders>
            <w:noWrap/>
            <w:vAlign w:val="center"/>
          </w:tcPr>
          <w:p w14:paraId="0839B50C" w14:textId="2FF4EB88"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3.009.029</w:t>
            </w:r>
          </w:p>
        </w:tc>
        <w:tc>
          <w:tcPr>
            <w:tcW w:w="444" w:type="pct"/>
            <w:noWrap/>
            <w:vAlign w:val="center"/>
          </w:tcPr>
          <w:p w14:paraId="28E3481B" w14:textId="61FC9958" w:rsidR="00213681" w:rsidRPr="00E20D21" w:rsidRDefault="00F13439" w:rsidP="00213681">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136.982.285</w:t>
            </w:r>
          </w:p>
        </w:tc>
      </w:tr>
      <w:tr w:rsidR="00A47C19" w:rsidRPr="00E20D21" w14:paraId="478A6D72" w14:textId="77777777" w:rsidTr="00D35B0B">
        <w:trPr>
          <w:trHeight w:val="283"/>
        </w:trPr>
        <w:tc>
          <w:tcPr>
            <w:tcW w:w="1004" w:type="pct"/>
            <w:vAlign w:val="center"/>
            <w:hideMark/>
          </w:tcPr>
          <w:p w14:paraId="65911372" w14:textId="77777777" w:rsidR="00213681" w:rsidRPr="00E20D21" w:rsidRDefault="00213681" w:rsidP="00213681">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financeiras do tesouro</w:t>
            </w:r>
          </w:p>
        </w:tc>
        <w:tc>
          <w:tcPr>
            <w:tcW w:w="444" w:type="pct"/>
            <w:vAlign w:val="center"/>
          </w:tcPr>
          <w:p w14:paraId="09A3F234" w14:textId="1F48EE97" w:rsidR="00213681" w:rsidRPr="00E20D21" w:rsidRDefault="00F13439" w:rsidP="0021368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44" w:type="pct"/>
            <w:vAlign w:val="center"/>
          </w:tcPr>
          <w:p w14:paraId="718F7D0B" w14:textId="337081BC" w:rsidR="00213681" w:rsidRPr="00E20D21" w:rsidRDefault="00F13439" w:rsidP="0021368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44" w:type="pct"/>
            <w:noWrap/>
            <w:vAlign w:val="center"/>
          </w:tcPr>
          <w:p w14:paraId="28BD0C21" w14:textId="1DAF8E32" w:rsidR="00213681" w:rsidRPr="00E20D21" w:rsidRDefault="00F13439" w:rsidP="00F13439">
            <w:pPr>
              <w:jc w:val="right"/>
              <w:rPr>
                <w:rFonts w:ascii="CAIXA Std Book" w:hAnsi="CAIXA Std Book" w:cs="Arial"/>
                <w:color w:val="005CA9"/>
                <w:sz w:val="18"/>
                <w:szCs w:val="18"/>
              </w:rPr>
            </w:pPr>
            <w:r w:rsidRPr="00E20D21">
              <w:rPr>
                <w:rFonts w:ascii="CAIXA Std Book" w:hAnsi="CAIXA Std Book" w:cs="Arial"/>
                <w:color w:val="005CA9"/>
                <w:sz w:val="18"/>
                <w:szCs w:val="18"/>
              </w:rPr>
              <w:t>62.694.948</w:t>
            </w:r>
          </w:p>
        </w:tc>
        <w:tc>
          <w:tcPr>
            <w:tcW w:w="444" w:type="pct"/>
            <w:noWrap/>
            <w:vAlign w:val="center"/>
          </w:tcPr>
          <w:p w14:paraId="77870EA6" w14:textId="4FCF14D5"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62.589.423</w:t>
            </w:r>
          </w:p>
        </w:tc>
        <w:tc>
          <w:tcPr>
            <w:tcW w:w="444" w:type="pct"/>
            <w:noWrap/>
            <w:vAlign w:val="center"/>
          </w:tcPr>
          <w:p w14:paraId="1349ED25" w14:textId="18336C89"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105.525</w:t>
            </w:r>
          </w:p>
        </w:tc>
        <w:tc>
          <w:tcPr>
            <w:tcW w:w="444" w:type="pct"/>
            <w:noWrap/>
            <w:vAlign w:val="center"/>
          </w:tcPr>
          <w:p w14:paraId="161B5B38" w14:textId="6FC74067"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62.694.948</w:t>
            </w:r>
          </w:p>
        </w:tc>
        <w:tc>
          <w:tcPr>
            <w:tcW w:w="444" w:type="pct"/>
            <w:noWrap/>
            <w:vAlign w:val="center"/>
          </w:tcPr>
          <w:p w14:paraId="32871E5B" w14:textId="3293B61D"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41.097.289</w:t>
            </w:r>
          </w:p>
        </w:tc>
        <w:tc>
          <w:tcPr>
            <w:tcW w:w="444" w:type="pct"/>
            <w:noWrap/>
            <w:vAlign w:val="center"/>
          </w:tcPr>
          <w:p w14:paraId="04A44694" w14:textId="67BE34A6"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96.220</w:t>
            </w:r>
          </w:p>
        </w:tc>
        <w:tc>
          <w:tcPr>
            <w:tcW w:w="444" w:type="pct"/>
            <w:noWrap/>
            <w:vAlign w:val="center"/>
          </w:tcPr>
          <w:p w14:paraId="2D34541D" w14:textId="06F6B467" w:rsidR="00213681" w:rsidRPr="00E20D21" w:rsidRDefault="00F13439" w:rsidP="0021368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41.193.509</w:t>
            </w:r>
          </w:p>
        </w:tc>
      </w:tr>
      <w:tr w:rsidR="00A47C19" w:rsidRPr="00E20D21" w14:paraId="5804C7AE" w14:textId="77777777" w:rsidTr="00D35B0B">
        <w:trPr>
          <w:trHeight w:val="283"/>
        </w:trPr>
        <w:tc>
          <w:tcPr>
            <w:tcW w:w="1004" w:type="pct"/>
            <w:vAlign w:val="center"/>
            <w:hideMark/>
          </w:tcPr>
          <w:p w14:paraId="249594FE" w14:textId="77777777" w:rsidR="00213681" w:rsidRPr="00E20D21" w:rsidRDefault="00213681" w:rsidP="00213681">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do tesouro nacional</w:t>
            </w:r>
          </w:p>
        </w:tc>
        <w:tc>
          <w:tcPr>
            <w:tcW w:w="444" w:type="pct"/>
            <w:vAlign w:val="center"/>
          </w:tcPr>
          <w:p w14:paraId="1981A14D" w14:textId="420500A9" w:rsidR="00213681" w:rsidRPr="00E20D21" w:rsidRDefault="00F13439" w:rsidP="0021368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44" w:type="pct"/>
            <w:vAlign w:val="center"/>
          </w:tcPr>
          <w:p w14:paraId="1D15D653" w14:textId="2BE50D92"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2.447.039</w:t>
            </w:r>
          </w:p>
        </w:tc>
        <w:tc>
          <w:tcPr>
            <w:tcW w:w="444" w:type="pct"/>
            <w:noWrap/>
            <w:vAlign w:val="center"/>
          </w:tcPr>
          <w:p w14:paraId="69CBEF56" w14:textId="46E9E372"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49.789.164</w:t>
            </w:r>
          </w:p>
        </w:tc>
        <w:tc>
          <w:tcPr>
            <w:tcW w:w="444" w:type="pct"/>
            <w:noWrap/>
            <w:vAlign w:val="center"/>
          </w:tcPr>
          <w:p w14:paraId="4FA9B77E" w14:textId="1CB64848"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53.187.109</w:t>
            </w:r>
          </w:p>
        </w:tc>
        <w:tc>
          <w:tcPr>
            <w:tcW w:w="444" w:type="pct"/>
            <w:noWrap/>
            <w:vAlign w:val="center"/>
          </w:tcPr>
          <w:p w14:paraId="3CF14347" w14:textId="17FFAA35"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(950.906)</w:t>
            </w:r>
          </w:p>
        </w:tc>
        <w:tc>
          <w:tcPr>
            <w:tcW w:w="444" w:type="pct"/>
            <w:noWrap/>
            <w:vAlign w:val="center"/>
          </w:tcPr>
          <w:p w14:paraId="0EAEC0DB" w14:textId="6F7B6E66"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52.236.203</w:t>
            </w:r>
          </w:p>
        </w:tc>
        <w:tc>
          <w:tcPr>
            <w:tcW w:w="444" w:type="pct"/>
            <w:noWrap/>
            <w:vAlign w:val="center"/>
          </w:tcPr>
          <w:p w14:paraId="61293EAA" w14:textId="41737CB4"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90.490.516</w:t>
            </w:r>
          </w:p>
        </w:tc>
        <w:tc>
          <w:tcPr>
            <w:tcW w:w="444" w:type="pct"/>
            <w:noWrap/>
            <w:vAlign w:val="center"/>
          </w:tcPr>
          <w:p w14:paraId="0655E6F0" w14:textId="0683E275"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2.870.771</w:t>
            </w:r>
          </w:p>
        </w:tc>
        <w:tc>
          <w:tcPr>
            <w:tcW w:w="444" w:type="pct"/>
            <w:noWrap/>
            <w:vAlign w:val="center"/>
          </w:tcPr>
          <w:p w14:paraId="28893D3C" w14:textId="0C93468C" w:rsidR="00213681" w:rsidRPr="00E20D21" w:rsidRDefault="00F13439" w:rsidP="0021368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93.361.287</w:t>
            </w:r>
          </w:p>
        </w:tc>
      </w:tr>
      <w:tr w:rsidR="00A47C19" w:rsidRPr="00E20D21" w14:paraId="19C939D3" w14:textId="77777777" w:rsidTr="00D35B0B">
        <w:trPr>
          <w:trHeight w:val="283"/>
        </w:trPr>
        <w:tc>
          <w:tcPr>
            <w:tcW w:w="1004" w:type="pct"/>
            <w:vAlign w:val="center"/>
            <w:hideMark/>
          </w:tcPr>
          <w:p w14:paraId="4A6D434A" w14:textId="77777777" w:rsidR="00213681" w:rsidRPr="00E20D21" w:rsidRDefault="00213681" w:rsidP="00213681">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Notas do tesouro nacional</w:t>
            </w:r>
          </w:p>
        </w:tc>
        <w:tc>
          <w:tcPr>
            <w:tcW w:w="444" w:type="pct"/>
            <w:noWrap/>
            <w:vAlign w:val="center"/>
          </w:tcPr>
          <w:p w14:paraId="5CBB48FF" w14:textId="60CD27F2" w:rsidR="00213681" w:rsidRPr="00E20D21" w:rsidRDefault="00F13439" w:rsidP="0021368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44" w:type="pct"/>
            <w:vAlign w:val="center"/>
          </w:tcPr>
          <w:p w14:paraId="17EC33AF" w14:textId="59474217" w:rsidR="00213681" w:rsidRPr="00E20D21" w:rsidRDefault="00F13439" w:rsidP="0021368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44" w:type="pct"/>
            <w:noWrap/>
            <w:vAlign w:val="center"/>
          </w:tcPr>
          <w:p w14:paraId="5B877A45" w14:textId="5D42078A" w:rsidR="00213681" w:rsidRPr="00E20D21" w:rsidRDefault="00F13439" w:rsidP="00F13439">
            <w:pPr>
              <w:jc w:val="right"/>
              <w:rPr>
                <w:rFonts w:ascii="CAIXA Std Book" w:hAnsi="CAIXA Std Book" w:cs="Arial"/>
                <w:color w:val="005CA9"/>
                <w:sz w:val="18"/>
                <w:szCs w:val="18"/>
              </w:rPr>
            </w:pPr>
            <w:r w:rsidRPr="00E20D21">
              <w:rPr>
                <w:rFonts w:ascii="CAIXA Std Book" w:hAnsi="CAIXA Std Book" w:cs="Arial"/>
                <w:color w:val="005CA9"/>
                <w:sz w:val="18"/>
                <w:szCs w:val="18"/>
              </w:rPr>
              <w:t>1.817.661</w:t>
            </w:r>
          </w:p>
        </w:tc>
        <w:tc>
          <w:tcPr>
            <w:tcW w:w="444" w:type="pct"/>
            <w:noWrap/>
            <w:vAlign w:val="center"/>
          </w:tcPr>
          <w:p w14:paraId="776A7DA8" w14:textId="21C2E840"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1.846.848</w:t>
            </w:r>
          </w:p>
        </w:tc>
        <w:tc>
          <w:tcPr>
            <w:tcW w:w="444" w:type="pct"/>
            <w:noWrap/>
            <w:vAlign w:val="center"/>
          </w:tcPr>
          <w:p w14:paraId="4B639901" w14:textId="4D54B019"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(29.187)</w:t>
            </w:r>
          </w:p>
        </w:tc>
        <w:tc>
          <w:tcPr>
            <w:tcW w:w="444" w:type="pct"/>
            <w:noWrap/>
            <w:vAlign w:val="center"/>
          </w:tcPr>
          <w:p w14:paraId="46F1A8AF" w14:textId="7427380D"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1.817.661</w:t>
            </w:r>
          </w:p>
        </w:tc>
        <w:tc>
          <w:tcPr>
            <w:tcW w:w="444" w:type="pct"/>
            <w:noWrap/>
            <w:vAlign w:val="center"/>
          </w:tcPr>
          <w:p w14:paraId="3FE11BF0" w14:textId="09062A80"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2.385.451</w:t>
            </w:r>
          </w:p>
        </w:tc>
        <w:tc>
          <w:tcPr>
            <w:tcW w:w="444" w:type="pct"/>
            <w:noWrap/>
            <w:vAlign w:val="center"/>
          </w:tcPr>
          <w:p w14:paraId="39F9A246" w14:textId="4C992879"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42.038</w:t>
            </w:r>
          </w:p>
        </w:tc>
        <w:tc>
          <w:tcPr>
            <w:tcW w:w="444" w:type="pct"/>
            <w:noWrap/>
            <w:vAlign w:val="center"/>
          </w:tcPr>
          <w:p w14:paraId="38D33A56" w14:textId="2AB277BC" w:rsidR="00213681" w:rsidRPr="00E20D21" w:rsidRDefault="00F13439" w:rsidP="0021368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2.427.489</w:t>
            </w:r>
          </w:p>
        </w:tc>
      </w:tr>
      <w:tr w:rsidR="00A47C19" w:rsidRPr="00E20D21" w14:paraId="7F060C85" w14:textId="77777777" w:rsidTr="00D35B0B">
        <w:trPr>
          <w:trHeight w:val="283"/>
        </w:trPr>
        <w:tc>
          <w:tcPr>
            <w:tcW w:w="1004" w:type="pct"/>
            <w:vAlign w:val="center"/>
            <w:hideMark/>
          </w:tcPr>
          <w:p w14:paraId="57BC027B" w14:textId="77777777" w:rsidR="00213681" w:rsidRPr="00E20D21" w:rsidRDefault="00213681" w:rsidP="00213681">
            <w:pP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Títulos - empresas</w:t>
            </w:r>
          </w:p>
        </w:tc>
        <w:tc>
          <w:tcPr>
            <w:tcW w:w="444" w:type="pct"/>
            <w:noWrap/>
            <w:vAlign w:val="center"/>
          </w:tcPr>
          <w:p w14:paraId="62B816AD" w14:textId="4FE8E755"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9.015</w:t>
            </w:r>
          </w:p>
        </w:tc>
        <w:tc>
          <w:tcPr>
            <w:tcW w:w="444" w:type="pct"/>
            <w:noWrap/>
            <w:vAlign w:val="center"/>
          </w:tcPr>
          <w:p w14:paraId="4B4ADD90" w14:textId="4AD52DDC" w:rsidR="00213681" w:rsidRPr="00E20D21" w:rsidRDefault="00F13439" w:rsidP="00213681">
            <w:pPr>
              <w:jc w:val="center"/>
              <w:rPr>
                <w:rFonts w:ascii="CAIXA Std Book" w:hAnsi="CAIXA Std Book" w:cs="Arial"/>
                <w:b/>
                <w:color w:val="005CA9"/>
                <w:sz w:val="18"/>
                <w:szCs w:val="18"/>
              </w:rPr>
            </w:pPr>
            <w:r w:rsidRPr="00E20D21">
              <w:rPr>
                <w:rFonts w:ascii="CAIXA Std Book" w:hAnsi="CAIXA Std Book" w:cs="Arial"/>
                <w:b/>
                <w:bCs/>
                <w:color w:val="005CA9"/>
                <w:sz w:val="18"/>
                <w:szCs w:val="18"/>
              </w:rPr>
              <w:t>-</w:t>
            </w:r>
          </w:p>
        </w:tc>
        <w:tc>
          <w:tcPr>
            <w:tcW w:w="444" w:type="pct"/>
            <w:noWrap/>
            <w:vAlign w:val="center"/>
          </w:tcPr>
          <w:p w14:paraId="1222BAAD" w14:textId="13F2B733" w:rsidR="00213681" w:rsidRPr="00E20D21" w:rsidRDefault="00F13439" w:rsidP="00F13439">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81.500</w:t>
            </w:r>
          </w:p>
        </w:tc>
        <w:tc>
          <w:tcPr>
            <w:tcW w:w="444" w:type="pct"/>
            <w:noWrap/>
            <w:vAlign w:val="center"/>
          </w:tcPr>
          <w:p w14:paraId="59603EC3" w14:textId="5AB4B8F5"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190.973</w:t>
            </w:r>
          </w:p>
        </w:tc>
        <w:tc>
          <w:tcPr>
            <w:tcW w:w="444" w:type="pct"/>
            <w:noWrap/>
            <w:vAlign w:val="center"/>
          </w:tcPr>
          <w:p w14:paraId="5C54965B" w14:textId="62286685"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(100.458)</w:t>
            </w:r>
          </w:p>
        </w:tc>
        <w:tc>
          <w:tcPr>
            <w:tcW w:w="444" w:type="pct"/>
            <w:noWrap/>
            <w:vAlign w:val="center"/>
          </w:tcPr>
          <w:p w14:paraId="341900E5" w14:textId="539783DB"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90.515</w:t>
            </w:r>
          </w:p>
        </w:tc>
        <w:tc>
          <w:tcPr>
            <w:tcW w:w="444" w:type="pct"/>
            <w:noWrap/>
            <w:vAlign w:val="center"/>
          </w:tcPr>
          <w:p w14:paraId="3E4410E2" w14:textId="1BA82F9B"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335.940</w:t>
            </w:r>
          </w:p>
        </w:tc>
        <w:tc>
          <w:tcPr>
            <w:tcW w:w="444" w:type="pct"/>
            <w:noWrap/>
            <w:vAlign w:val="center"/>
          </w:tcPr>
          <w:p w14:paraId="544870B6" w14:textId="1E370BA7"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(78.178)</w:t>
            </w:r>
          </w:p>
        </w:tc>
        <w:tc>
          <w:tcPr>
            <w:tcW w:w="444" w:type="pct"/>
            <w:noWrap/>
            <w:vAlign w:val="center"/>
          </w:tcPr>
          <w:p w14:paraId="7A18E24F" w14:textId="40C6BDF0" w:rsidR="00213681" w:rsidRPr="00E20D21" w:rsidRDefault="00F13439" w:rsidP="00213681">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257.762</w:t>
            </w:r>
          </w:p>
        </w:tc>
      </w:tr>
      <w:tr w:rsidR="00A47C19" w:rsidRPr="00E20D21" w14:paraId="58E59B56" w14:textId="77777777" w:rsidTr="00D35B0B">
        <w:trPr>
          <w:trHeight w:val="283"/>
        </w:trPr>
        <w:tc>
          <w:tcPr>
            <w:tcW w:w="1004" w:type="pct"/>
            <w:vAlign w:val="center"/>
            <w:hideMark/>
          </w:tcPr>
          <w:p w14:paraId="261B54F0" w14:textId="10364F2F" w:rsidR="00213681" w:rsidRPr="00E20D21" w:rsidRDefault="00213681" w:rsidP="00213681">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Debêntures</w:t>
            </w:r>
          </w:p>
        </w:tc>
        <w:tc>
          <w:tcPr>
            <w:tcW w:w="444" w:type="pct"/>
            <w:vAlign w:val="center"/>
          </w:tcPr>
          <w:p w14:paraId="0196302A" w14:textId="7C7A2303" w:rsidR="00213681" w:rsidRPr="00E20D21" w:rsidRDefault="00F13439" w:rsidP="0021368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44" w:type="pct"/>
            <w:vAlign w:val="center"/>
          </w:tcPr>
          <w:p w14:paraId="79C27ED7" w14:textId="70F1E633" w:rsidR="00213681" w:rsidRPr="00E20D21" w:rsidRDefault="00F13439" w:rsidP="0021368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44" w:type="pct"/>
            <w:noWrap/>
            <w:vAlign w:val="center"/>
          </w:tcPr>
          <w:p w14:paraId="3588F82A" w14:textId="7F06BA99" w:rsidR="00213681" w:rsidRPr="00E20D21" w:rsidRDefault="00F13439" w:rsidP="00F13439">
            <w:pPr>
              <w:jc w:val="right"/>
              <w:rPr>
                <w:rFonts w:ascii="CAIXA Std Book" w:hAnsi="CAIXA Std Book" w:cs="Arial"/>
                <w:color w:val="005CA9"/>
                <w:sz w:val="18"/>
                <w:szCs w:val="18"/>
              </w:rPr>
            </w:pPr>
            <w:r w:rsidRPr="00E20D21">
              <w:rPr>
                <w:rFonts w:ascii="CAIXA Std Book" w:hAnsi="CAIXA Std Book" w:cs="Arial"/>
                <w:color w:val="005CA9"/>
                <w:sz w:val="18"/>
                <w:szCs w:val="18"/>
              </w:rPr>
              <w:t>81.500</w:t>
            </w:r>
          </w:p>
        </w:tc>
        <w:tc>
          <w:tcPr>
            <w:tcW w:w="444" w:type="pct"/>
            <w:noWrap/>
            <w:vAlign w:val="center"/>
          </w:tcPr>
          <w:p w14:paraId="62A54496" w14:textId="47A980A0"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90.525</w:t>
            </w:r>
          </w:p>
        </w:tc>
        <w:tc>
          <w:tcPr>
            <w:tcW w:w="444" w:type="pct"/>
            <w:noWrap/>
            <w:vAlign w:val="center"/>
          </w:tcPr>
          <w:p w14:paraId="79452CD1" w14:textId="4CB85E61"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(9.025)</w:t>
            </w:r>
          </w:p>
        </w:tc>
        <w:tc>
          <w:tcPr>
            <w:tcW w:w="444" w:type="pct"/>
            <w:noWrap/>
            <w:vAlign w:val="center"/>
          </w:tcPr>
          <w:p w14:paraId="6DD55791" w14:textId="0110539D"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81.500</w:t>
            </w:r>
          </w:p>
        </w:tc>
        <w:tc>
          <w:tcPr>
            <w:tcW w:w="444" w:type="pct"/>
            <w:noWrap/>
            <w:vAlign w:val="center"/>
          </w:tcPr>
          <w:p w14:paraId="2C8D4971" w14:textId="237189D7"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235.492</w:t>
            </w:r>
          </w:p>
        </w:tc>
        <w:tc>
          <w:tcPr>
            <w:tcW w:w="444" w:type="pct"/>
            <w:noWrap/>
            <w:vAlign w:val="center"/>
          </w:tcPr>
          <w:p w14:paraId="43473FF4" w14:textId="55C1B4ED" w:rsidR="00213681" w:rsidRPr="00E20D21" w:rsidRDefault="00F13439" w:rsidP="00BA18E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5.832</w:t>
            </w:r>
          </w:p>
        </w:tc>
        <w:tc>
          <w:tcPr>
            <w:tcW w:w="444" w:type="pct"/>
            <w:noWrap/>
            <w:vAlign w:val="center"/>
          </w:tcPr>
          <w:p w14:paraId="1F6D4D8F" w14:textId="0346CE4E" w:rsidR="00213681" w:rsidRPr="00E20D21" w:rsidRDefault="00F13439" w:rsidP="00BA18E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241.324</w:t>
            </w:r>
          </w:p>
        </w:tc>
      </w:tr>
      <w:tr w:rsidR="00A47C19" w:rsidRPr="00E20D21" w14:paraId="354E030A" w14:textId="77777777" w:rsidTr="00D35B0B">
        <w:trPr>
          <w:trHeight w:val="283"/>
        </w:trPr>
        <w:tc>
          <w:tcPr>
            <w:tcW w:w="1004" w:type="pct"/>
            <w:vAlign w:val="center"/>
          </w:tcPr>
          <w:p w14:paraId="3DBCECB8" w14:textId="0E51E302" w:rsidR="00213681" w:rsidRPr="00E20D21" w:rsidRDefault="00213681" w:rsidP="00213681">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Ações</w:t>
            </w:r>
          </w:p>
        </w:tc>
        <w:tc>
          <w:tcPr>
            <w:tcW w:w="444" w:type="pct"/>
            <w:vAlign w:val="center"/>
          </w:tcPr>
          <w:p w14:paraId="13D2126F" w14:textId="2B1D542C" w:rsidR="00213681" w:rsidRPr="00E20D21" w:rsidRDefault="00366CE9" w:rsidP="00366CE9">
            <w:pPr>
              <w:jc w:val="right"/>
              <w:rPr>
                <w:rFonts w:ascii="CAIXA Std Book" w:hAnsi="CAIXA Std Book" w:cs="Arial"/>
                <w:color w:val="005CA9"/>
                <w:sz w:val="18"/>
                <w:szCs w:val="18"/>
              </w:rPr>
            </w:pPr>
            <w:r w:rsidRPr="00E20D21">
              <w:rPr>
                <w:rFonts w:ascii="CAIXA Std Book" w:hAnsi="CAIXA Std Book" w:cs="Arial"/>
                <w:color w:val="005CA9"/>
                <w:sz w:val="18"/>
                <w:szCs w:val="18"/>
              </w:rPr>
              <w:t>9.015</w:t>
            </w:r>
          </w:p>
        </w:tc>
        <w:tc>
          <w:tcPr>
            <w:tcW w:w="444" w:type="pct"/>
            <w:vAlign w:val="center"/>
          </w:tcPr>
          <w:p w14:paraId="7D19D9A7" w14:textId="5B82E53E" w:rsidR="00213681" w:rsidRPr="00E20D21" w:rsidRDefault="00F13439" w:rsidP="0021368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44" w:type="pct"/>
            <w:noWrap/>
            <w:vAlign w:val="center"/>
          </w:tcPr>
          <w:p w14:paraId="63BFD7BF" w14:textId="284E2CA5" w:rsidR="00213681" w:rsidRPr="00E20D21" w:rsidRDefault="00F13439" w:rsidP="0021368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44" w:type="pct"/>
            <w:noWrap/>
            <w:vAlign w:val="center"/>
          </w:tcPr>
          <w:p w14:paraId="51C4B2CC" w14:textId="57CB5924" w:rsidR="00213681" w:rsidRPr="00E20D21" w:rsidRDefault="00366CE9" w:rsidP="00366CE9">
            <w:pPr>
              <w:jc w:val="right"/>
              <w:rPr>
                <w:rFonts w:ascii="CAIXA Std Book" w:hAnsi="CAIXA Std Book" w:cs="Arial"/>
                <w:color w:val="005CA9"/>
                <w:sz w:val="18"/>
                <w:szCs w:val="18"/>
              </w:rPr>
            </w:pPr>
            <w:r w:rsidRPr="00E20D21">
              <w:rPr>
                <w:rFonts w:ascii="CAIXA Std Book" w:hAnsi="CAIXA Std Book" w:cs="Arial"/>
                <w:color w:val="005CA9"/>
                <w:sz w:val="18"/>
                <w:szCs w:val="18"/>
              </w:rPr>
              <w:t>100.448</w:t>
            </w:r>
          </w:p>
        </w:tc>
        <w:tc>
          <w:tcPr>
            <w:tcW w:w="444" w:type="pct"/>
            <w:noWrap/>
            <w:vAlign w:val="center"/>
          </w:tcPr>
          <w:p w14:paraId="020C11FB" w14:textId="2F279B69" w:rsidR="00213681" w:rsidRPr="00E20D21" w:rsidRDefault="00366CE9" w:rsidP="00366CE9">
            <w:pPr>
              <w:jc w:val="right"/>
              <w:rPr>
                <w:rFonts w:ascii="CAIXA Std Book" w:hAnsi="CAIXA Std Book" w:cs="Arial"/>
                <w:color w:val="005CA9"/>
                <w:sz w:val="18"/>
                <w:szCs w:val="18"/>
              </w:rPr>
            </w:pPr>
            <w:r w:rsidRPr="00E20D21">
              <w:rPr>
                <w:rFonts w:ascii="CAIXA Std Book" w:hAnsi="CAIXA Std Book" w:cs="Arial"/>
                <w:color w:val="005CA9"/>
                <w:sz w:val="18"/>
                <w:szCs w:val="18"/>
              </w:rPr>
              <w:t>(91.433)</w:t>
            </w:r>
          </w:p>
        </w:tc>
        <w:tc>
          <w:tcPr>
            <w:tcW w:w="444" w:type="pct"/>
            <w:noWrap/>
            <w:vAlign w:val="center"/>
          </w:tcPr>
          <w:p w14:paraId="241A83CE" w14:textId="1AF28C74" w:rsidR="00213681" w:rsidRPr="00E20D21" w:rsidRDefault="00366CE9" w:rsidP="00366CE9">
            <w:pPr>
              <w:jc w:val="right"/>
              <w:rPr>
                <w:rFonts w:ascii="CAIXA Std Book" w:hAnsi="CAIXA Std Book" w:cs="Arial"/>
                <w:color w:val="005CA9"/>
                <w:sz w:val="18"/>
                <w:szCs w:val="18"/>
              </w:rPr>
            </w:pPr>
            <w:r w:rsidRPr="00E20D21">
              <w:rPr>
                <w:rFonts w:ascii="CAIXA Std Book" w:hAnsi="CAIXA Std Book" w:cs="Arial"/>
                <w:color w:val="005CA9"/>
                <w:sz w:val="18"/>
                <w:szCs w:val="18"/>
              </w:rPr>
              <w:t>9.015</w:t>
            </w:r>
          </w:p>
        </w:tc>
        <w:tc>
          <w:tcPr>
            <w:tcW w:w="444" w:type="pct"/>
            <w:noWrap/>
            <w:vAlign w:val="center"/>
          </w:tcPr>
          <w:p w14:paraId="283F4377" w14:textId="4E653085"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100.448</w:t>
            </w:r>
          </w:p>
        </w:tc>
        <w:tc>
          <w:tcPr>
            <w:tcW w:w="444" w:type="pct"/>
            <w:noWrap/>
            <w:vAlign w:val="center"/>
          </w:tcPr>
          <w:p w14:paraId="1E0BFD9B" w14:textId="1B034247"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(84.010)</w:t>
            </w:r>
          </w:p>
        </w:tc>
        <w:tc>
          <w:tcPr>
            <w:tcW w:w="444" w:type="pct"/>
            <w:noWrap/>
            <w:vAlign w:val="center"/>
          </w:tcPr>
          <w:p w14:paraId="4D0CE0D3" w14:textId="67124DBF" w:rsidR="00213681" w:rsidRPr="00E20D21" w:rsidRDefault="00F13439" w:rsidP="00213681">
            <w:pPr>
              <w:jc w:val="right"/>
              <w:rPr>
                <w:rFonts w:ascii="CAIXA Std Book" w:hAnsi="CAIXA Std Book" w:cs="Arial"/>
                <w:color w:val="005CA9"/>
                <w:sz w:val="18"/>
                <w:szCs w:val="18"/>
              </w:rPr>
            </w:pPr>
            <w:r w:rsidRPr="00E20D21">
              <w:rPr>
                <w:rFonts w:ascii="CAIXA Std Book" w:hAnsi="CAIXA Std Book" w:cs="Arial"/>
                <w:color w:val="005CA9"/>
                <w:sz w:val="18"/>
                <w:szCs w:val="18"/>
              </w:rPr>
              <w:t>16.438</w:t>
            </w:r>
          </w:p>
        </w:tc>
      </w:tr>
      <w:tr w:rsidR="00A47C19" w:rsidRPr="00E20D21" w14:paraId="7EC34E4F" w14:textId="77777777" w:rsidTr="00D35B0B">
        <w:trPr>
          <w:trHeight w:val="283"/>
        </w:trPr>
        <w:tc>
          <w:tcPr>
            <w:tcW w:w="1004" w:type="pct"/>
            <w:tcBorders>
              <w:top w:val="single" w:sz="4" w:space="0" w:color="F79646"/>
              <w:left w:val="nil"/>
              <w:bottom w:val="single" w:sz="4" w:space="0" w:color="F79646"/>
              <w:right w:val="nil"/>
            </w:tcBorders>
            <w:vAlign w:val="center"/>
            <w:hideMark/>
          </w:tcPr>
          <w:p w14:paraId="7B852734" w14:textId="77777777" w:rsidR="00213681" w:rsidRPr="00E20D21" w:rsidRDefault="00213681" w:rsidP="00213681">
            <w:pPr>
              <w:rPr>
                <w:rFonts w:ascii="CAIXA Std Book" w:eastAsia="Times New Roman" w:hAnsi="CAIXA Std Book" w:cs="Arial"/>
                <w:b/>
                <w:color w:val="005CA9"/>
                <w:sz w:val="18"/>
                <w:szCs w:val="18"/>
              </w:rPr>
            </w:pPr>
            <w:bookmarkStart w:id="29" w:name="OLE_LINK1" w:colFirst="5" w:colLast="7"/>
            <w:r w:rsidRPr="00E20D21">
              <w:rPr>
                <w:rFonts w:ascii="CAIXA Std Book" w:eastAsia="Times New Roman" w:hAnsi="CAIXA Std Book" w:cs="Arial"/>
                <w:b/>
                <w:color w:val="005CA9"/>
                <w:sz w:val="18"/>
                <w:szCs w:val="18"/>
              </w:rPr>
              <w:t>Total</w:t>
            </w:r>
          </w:p>
        </w:tc>
        <w:tc>
          <w:tcPr>
            <w:tcW w:w="444" w:type="pct"/>
            <w:tcBorders>
              <w:top w:val="single" w:sz="4" w:space="0" w:color="F39200"/>
              <w:left w:val="nil"/>
              <w:bottom w:val="single" w:sz="4" w:space="0" w:color="F39200"/>
              <w:right w:val="nil"/>
            </w:tcBorders>
            <w:noWrap/>
            <w:vAlign w:val="center"/>
          </w:tcPr>
          <w:p w14:paraId="3E3DE47C" w14:textId="1687DD9A"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9.015</w:t>
            </w:r>
          </w:p>
        </w:tc>
        <w:tc>
          <w:tcPr>
            <w:tcW w:w="444" w:type="pct"/>
            <w:tcBorders>
              <w:top w:val="single" w:sz="4" w:space="0" w:color="F39200"/>
              <w:left w:val="nil"/>
              <w:bottom w:val="single" w:sz="4" w:space="0" w:color="F39200"/>
              <w:right w:val="nil"/>
            </w:tcBorders>
            <w:noWrap/>
            <w:vAlign w:val="center"/>
          </w:tcPr>
          <w:p w14:paraId="677346C8" w14:textId="686AEEB8" w:rsidR="00213681" w:rsidRPr="00E20D21" w:rsidRDefault="009D5652" w:rsidP="009D5652">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2.447.039</w:t>
            </w:r>
          </w:p>
        </w:tc>
        <w:tc>
          <w:tcPr>
            <w:tcW w:w="444" w:type="pct"/>
            <w:tcBorders>
              <w:top w:val="single" w:sz="4" w:space="0" w:color="F39200"/>
              <w:left w:val="nil"/>
              <w:bottom w:val="single" w:sz="4" w:space="0" w:color="F39200"/>
              <w:right w:val="nil"/>
            </w:tcBorders>
            <w:noWrap/>
            <w:vAlign w:val="center"/>
          </w:tcPr>
          <w:p w14:paraId="4C6F4969" w14:textId="276ACAEF" w:rsidR="00213681" w:rsidRPr="00E20D21" w:rsidRDefault="009D5652" w:rsidP="009D5652">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114.383.273</w:t>
            </w:r>
          </w:p>
        </w:tc>
        <w:tc>
          <w:tcPr>
            <w:tcW w:w="444" w:type="pct"/>
            <w:tcBorders>
              <w:top w:val="single" w:sz="4" w:space="0" w:color="F39200"/>
              <w:left w:val="nil"/>
              <w:bottom w:val="single" w:sz="4" w:space="0" w:color="F39200"/>
              <w:right w:val="nil"/>
            </w:tcBorders>
            <w:noWrap/>
            <w:vAlign w:val="center"/>
          </w:tcPr>
          <w:p w14:paraId="64602A6B" w14:textId="4A1AAA12" w:rsidR="00213681" w:rsidRPr="00E20D21" w:rsidRDefault="00366CE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117.814.353</w:t>
            </w:r>
          </w:p>
        </w:tc>
        <w:tc>
          <w:tcPr>
            <w:tcW w:w="444" w:type="pct"/>
            <w:tcBorders>
              <w:top w:val="single" w:sz="4" w:space="0" w:color="F39200"/>
              <w:left w:val="nil"/>
              <w:bottom w:val="single" w:sz="4" w:space="0" w:color="F39200"/>
              <w:right w:val="nil"/>
            </w:tcBorders>
            <w:noWrap/>
            <w:vAlign w:val="center"/>
          </w:tcPr>
          <w:p w14:paraId="58482C94" w14:textId="7BFB52A5" w:rsidR="00213681" w:rsidRPr="00E20D21" w:rsidRDefault="00366CE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(975.026)</w:t>
            </w:r>
          </w:p>
        </w:tc>
        <w:tc>
          <w:tcPr>
            <w:tcW w:w="444" w:type="pct"/>
            <w:tcBorders>
              <w:top w:val="single" w:sz="4" w:space="0" w:color="F39200"/>
              <w:left w:val="nil"/>
              <w:bottom w:val="single" w:sz="4" w:space="0" w:color="F39200"/>
              <w:right w:val="nil"/>
            </w:tcBorders>
            <w:noWrap/>
            <w:vAlign w:val="center"/>
          </w:tcPr>
          <w:p w14:paraId="63E2FE35" w14:textId="240F47E1" w:rsidR="00213681" w:rsidRPr="00E20D21" w:rsidRDefault="00366CE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116.839.327</w:t>
            </w:r>
          </w:p>
        </w:tc>
        <w:tc>
          <w:tcPr>
            <w:tcW w:w="444" w:type="pct"/>
            <w:tcBorders>
              <w:top w:val="single" w:sz="4" w:space="0" w:color="F39200"/>
              <w:left w:val="nil"/>
              <w:bottom w:val="single" w:sz="4" w:space="0" w:color="F39200"/>
              <w:right w:val="nil"/>
            </w:tcBorders>
            <w:noWrap/>
            <w:vAlign w:val="center"/>
          </w:tcPr>
          <w:p w14:paraId="163F2C4B" w14:textId="443D7BD1" w:rsidR="00213681" w:rsidRPr="00E20D21" w:rsidRDefault="00F13439" w:rsidP="0021368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134.309.196</w:t>
            </w:r>
          </w:p>
        </w:tc>
        <w:tc>
          <w:tcPr>
            <w:tcW w:w="444" w:type="pct"/>
            <w:tcBorders>
              <w:top w:val="single" w:sz="4" w:space="0" w:color="F39200"/>
              <w:left w:val="nil"/>
              <w:bottom w:val="single" w:sz="4" w:space="0" w:color="F39200"/>
              <w:right w:val="nil"/>
            </w:tcBorders>
            <w:noWrap/>
            <w:vAlign w:val="center"/>
          </w:tcPr>
          <w:p w14:paraId="10930873" w14:textId="05C3DC31" w:rsidR="00213681" w:rsidRPr="00E20D21" w:rsidRDefault="00F13439" w:rsidP="00213681">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2.930.851</w:t>
            </w:r>
          </w:p>
        </w:tc>
        <w:tc>
          <w:tcPr>
            <w:tcW w:w="444" w:type="pct"/>
            <w:tcBorders>
              <w:top w:val="single" w:sz="4" w:space="0" w:color="F39200"/>
              <w:left w:val="nil"/>
              <w:bottom w:val="single" w:sz="4" w:space="0" w:color="F39200"/>
              <w:right w:val="nil"/>
            </w:tcBorders>
            <w:noWrap/>
            <w:vAlign w:val="center"/>
          </w:tcPr>
          <w:p w14:paraId="73B7D707" w14:textId="45E3006B" w:rsidR="00213681" w:rsidRPr="00E20D21" w:rsidRDefault="00F13439" w:rsidP="00213681">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137.240.047</w:t>
            </w:r>
          </w:p>
        </w:tc>
      </w:tr>
      <w:bookmarkEnd w:id="29"/>
    </w:tbl>
    <w:p w14:paraId="2FC37C69" w14:textId="77777777" w:rsidR="00886880" w:rsidRPr="00E20D21" w:rsidRDefault="00886880">
      <w:pPr>
        <w:rPr>
          <w:rFonts w:ascii="CAIXA Std Book" w:hAnsi="CAIXA Std Book"/>
          <w:color w:val="005CA9"/>
          <w:sz w:val="20"/>
          <w:szCs w:val="20"/>
        </w:rPr>
      </w:pPr>
      <w:r w:rsidRPr="00E20D21">
        <w:rPr>
          <w:rFonts w:ascii="CAIXA Std Book" w:hAnsi="CAIXA Std Book"/>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2800"/>
        <w:gridCol w:w="1133"/>
        <w:gridCol w:w="1011"/>
        <w:gridCol w:w="1026"/>
        <w:gridCol w:w="1233"/>
        <w:gridCol w:w="1233"/>
        <w:gridCol w:w="1110"/>
        <w:gridCol w:w="1233"/>
        <w:gridCol w:w="1300"/>
        <w:gridCol w:w="1189"/>
        <w:gridCol w:w="1303"/>
      </w:tblGrid>
      <w:tr w:rsidR="00A47C19" w:rsidRPr="00E20D21" w14:paraId="60A85FAD" w14:textId="77777777" w:rsidTr="004A7A2F">
        <w:trPr>
          <w:trHeight w:val="283"/>
        </w:trPr>
        <w:tc>
          <w:tcPr>
            <w:tcW w:w="5000" w:type="pct"/>
            <w:gridSpan w:val="11"/>
            <w:tcBorders>
              <w:top w:val="single" w:sz="4" w:space="0" w:color="F39200"/>
              <w:left w:val="nil"/>
              <w:bottom w:val="single" w:sz="4" w:space="0" w:color="F39200"/>
              <w:right w:val="nil"/>
            </w:tcBorders>
            <w:vAlign w:val="center"/>
            <w:hideMark/>
          </w:tcPr>
          <w:p w14:paraId="29B35A9F" w14:textId="77777777" w:rsidR="0099545A" w:rsidRPr="00E20D21" w:rsidRDefault="0099545A">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lastRenderedPageBreak/>
              <w:t>CONSOLIDADO</w:t>
            </w:r>
          </w:p>
        </w:tc>
      </w:tr>
      <w:tr w:rsidR="00A47C19" w:rsidRPr="00E20D21" w14:paraId="7F2228CA" w14:textId="77777777" w:rsidTr="00ED66A7">
        <w:trPr>
          <w:trHeight w:val="283"/>
        </w:trPr>
        <w:tc>
          <w:tcPr>
            <w:tcW w:w="961" w:type="pct"/>
            <w:vMerge w:val="restart"/>
            <w:tcBorders>
              <w:top w:val="nil"/>
              <w:left w:val="nil"/>
              <w:bottom w:val="single" w:sz="4" w:space="0" w:color="F39200"/>
              <w:right w:val="nil"/>
            </w:tcBorders>
            <w:vAlign w:val="center"/>
            <w:hideMark/>
          </w:tcPr>
          <w:p w14:paraId="366B487D" w14:textId="77777777" w:rsidR="0099545A" w:rsidRPr="00E20D21" w:rsidRDefault="0099545A">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Descrição</w:t>
            </w:r>
          </w:p>
        </w:tc>
        <w:tc>
          <w:tcPr>
            <w:tcW w:w="2738" w:type="pct"/>
            <w:gridSpan w:val="7"/>
            <w:tcBorders>
              <w:top w:val="single" w:sz="4" w:space="0" w:color="F39200"/>
              <w:left w:val="nil"/>
              <w:bottom w:val="single" w:sz="4" w:space="0" w:color="F39200"/>
              <w:right w:val="nil"/>
            </w:tcBorders>
            <w:noWrap/>
            <w:vAlign w:val="center"/>
            <w:hideMark/>
          </w:tcPr>
          <w:p w14:paraId="4CC8B8AE" w14:textId="66DEEB36" w:rsidR="0099545A" w:rsidRPr="00E20D21" w:rsidRDefault="00757050">
            <w:pPr>
              <w:jc w:val="center"/>
              <w:rPr>
                <w:rFonts w:ascii="CAIXA Std Book" w:eastAsia="Times New Roman" w:hAnsi="CAIXA Std Book" w:cs="Arial"/>
                <w:b/>
                <w:color w:val="005CA9"/>
                <w:sz w:val="18"/>
                <w:szCs w:val="18"/>
              </w:rPr>
            </w:pPr>
            <w:r w:rsidRPr="00E20D21">
              <w:rPr>
                <w:rFonts w:ascii="CAIXA Std Book" w:eastAsia="Times New Roman" w:hAnsi="CAIXA Std Book" w:cs="Calibri"/>
                <w:b/>
                <w:color w:val="005CA9"/>
                <w:sz w:val="18"/>
                <w:szCs w:val="18"/>
              </w:rPr>
              <w:t>30/06/2024</w:t>
            </w:r>
          </w:p>
        </w:tc>
        <w:tc>
          <w:tcPr>
            <w:tcW w:w="1301" w:type="pct"/>
            <w:gridSpan w:val="3"/>
            <w:tcBorders>
              <w:top w:val="single" w:sz="4" w:space="0" w:color="F39200"/>
              <w:left w:val="nil"/>
              <w:bottom w:val="single" w:sz="4" w:space="0" w:color="F39200"/>
              <w:right w:val="nil"/>
            </w:tcBorders>
            <w:noWrap/>
            <w:vAlign w:val="center"/>
            <w:hideMark/>
          </w:tcPr>
          <w:p w14:paraId="4B61B9CF" w14:textId="1BE0C06C" w:rsidR="00757050" w:rsidRPr="00E20D21" w:rsidRDefault="0099545A" w:rsidP="0075705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31/12/202</w:t>
            </w:r>
            <w:r w:rsidR="00757050" w:rsidRPr="00E20D21">
              <w:rPr>
                <w:rFonts w:ascii="CAIXA Std Book" w:eastAsia="Times New Roman" w:hAnsi="CAIXA Std Book" w:cs="Arial"/>
                <w:b/>
                <w:color w:val="005CA9"/>
                <w:sz w:val="18"/>
                <w:szCs w:val="18"/>
              </w:rPr>
              <w:t>3</w:t>
            </w:r>
          </w:p>
        </w:tc>
      </w:tr>
      <w:tr w:rsidR="00D35B0B" w:rsidRPr="00E20D21" w14:paraId="6F80D674" w14:textId="77777777" w:rsidTr="00ED66A7">
        <w:trPr>
          <w:trHeight w:val="401"/>
        </w:trPr>
        <w:tc>
          <w:tcPr>
            <w:tcW w:w="961" w:type="pct"/>
            <w:vMerge/>
            <w:tcBorders>
              <w:top w:val="nil"/>
              <w:left w:val="nil"/>
              <w:bottom w:val="single" w:sz="4" w:space="0" w:color="F39200"/>
              <w:right w:val="nil"/>
            </w:tcBorders>
            <w:vAlign w:val="center"/>
            <w:hideMark/>
          </w:tcPr>
          <w:p w14:paraId="5C83D17B" w14:textId="77777777" w:rsidR="0099545A" w:rsidRPr="00E20D21" w:rsidRDefault="0099545A" w:rsidP="00C700BD">
            <w:pPr>
              <w:jc w:val="right"/>
              <w:rPr>
                <w:rFonts w:ascii="CAIXA Std Book" w:eastAsia="Times New Roman" w:hAnsi="CAIXA Std Book" w:cs="Arial"/>
                <w:b/>
                <w:color w:val="005CA9"/>
                <w:sz w:val="18"/>
                <w:szCs w:val="18"/>
              </w:rPr>
            </w:pPr>
          </w:p>
        </w:tc>
        <w:tc>
          <w:tcPr>
            <w:tcW w:w="389" w:type="pct"/>
            <w:vMerge w:val="restart"/>
            <w:tcBorders>
              <w:top w:val="nil"/>
              <w:left w:val="nil"/>
              <w:bottom w:val="single" w:sz="4" w:space="0" w:color="F39200"/>
              <w:right w:val="nil"/>
            </w:tcBorders>
            <w:vAlign w:val="center"/>
            <w:hideMark/>
          </w:tcPr>
          <w:p w14:paraId="48083E84" w14:textId="77777777" w:rsidR="0099545A" w:rsidRPr="00E20D21" w:rsidRDefault="0099545A">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Sem Vencimento</w:t>
            </w:r>
          </w:p>
        </w:tc>
        <w:tc>
          <w:tcPr>
            <w:tcW w:w="347" w:type="pct"/>
            <w:vMerge w:val="restart"/>
            <w:tcBorders>
              <w:top w:val="nil"/>
              <w:left w:val="nil"/>
              <w:bottom w:val="single" w:sz="4" w:space="0" w:color="F39200"/>
              <w:right w:val="nil"/>
            </w:tcBorders>
            <w:vAlign w:val="center"/>
            <w:hideMark/>
          </w:tcPr>
          <w:p w14:paraId="7F5317D4" w14:textId="19B77F39" w:rsidR="0099545A" w:rsidRPr="00E20D21" w:rsidRDefault="00CD2F38">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01</w:t>
            </w:r>
            <w:r w:rsidR="0099545A" w:rsidRPr="00E20D21">
              <w:rPr>
                <w:rFonts w:ascii="CAIXA Std Book" w:eastAsia="Times New Roman" w:hAnsi="CAIXA Std Book" w:cs="Arial"/>
                <w:b/>
                <w:color w:val="005CA9"/>
                <w:sz w:val="18"/>
                <w:szCs w:val="18"/>
              </w:rPr>
              <w:t xml:space="preserve"> a </w:t>
            </w:r>
            <w:r w:rsidRPr="00E20D21">
              <w:rPr>
                <w:rFonts w:ascii="CAIXA Std Book" w:eastAsia="Times New Roman" w:hAnsi="CAIXA Std Book" w:cs="Arial"/>
                <w:b/>
                <w:color w:val="005CA9"/>
                <w:sz w:val="18"/>
                <w:szCs w:val="18"/>
              </w:rPr>
              <w:t>90</w:t>
            </w:r>
            <w:r w:rsidR="0099545A" w:rsidRPr="00E20D21">
              <w:rPr>
                <w:rFonts w:ascii="CAIXA Std Book" w:eastAsia="Times New Roman" w:hAnsi="CAIXA Std Book" w:cs="Arial"/>
                <w:b/>
                <w:color w:val="005CA9"/>
                <w:sz w:val="18"/>
                <w:szCs w:val="18"/>
              </w:rPr>
              <w:t xml:space="preserve"> dias</w:t>
            </w:r>
          </w:p>
        </w:tc>
        <w:tc>
          <w:tcPr>
            <w:tcW w:w="352" w:type="pct"/>
            <w:vMerge w:val="restart"/>
            <w:tcBorders>
              <w:top w:val="nil"/>
              <w:left w:val="nil"/>
              <w:bottom w:val="single" w:sz="4" w:space="0" w:color="F39200"/>
              <w:right w:val="nil"/>
            </w:tcBorders>
            <w:vAlign w:val="center"/>
            <w:hideMark/>
          </w:tcPr>
          <w:p w14:paraId="31C623F7" w14:textId="70DE4C66" w:rsidR="0099545A" w:rsidRPr="00E20D21" w:rsidRDefault="004A7A2F">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181</w:t>
            </w:r>
            <w:r w:rsidR="0099545A" w:rsidRPr="00E20D21">
              <w:rPr>
                <w:rFonts w:ascii="CAIXA Std Book" w:eastAsia="Times New Roman" w:hAnsi="CAIXA Std Book" w:cs="Arial"/>
                <w:b/>
                <w:color w:val="005CA9"/>
                <w:sz w:val="18"/>
                <w:szCs w:val="18"/>
              </w:rPr>
              <w:t xml:space="preserve"> a </w:t>
            </w:r>
            <w:r w:rsidRPr="00E20D21">
              <w:rPr>
                <w:rFonts w:ascii="CAIXA Std Book" w:eastAsia="Times New Roman" w:hAnsi="CAIXA Std Book" w:cs="Arial"/>
                <w:b/>
                <w:color w:val="005CA9"/>
                <w:sz w:val="18"/>
                <w:szCs w:val="18"/>
              </w:rPr>
              <w:t>360</w:t>
            </w:r>
            <w:r w:rsidR="0099545A" w:rsidRPr="00E20D21">
              <w:rPr>
                <w:rFonts w:ascii="CAIXA Std Book" w:eastAsia="Times New Roman" w:hAnsi="CAIXA Std Book" w:cs="Arial"/>
                <w:b/>
                <w:color w:val="005CA9"/>
                <w:sz w:val="18"/>
                <w:szCs w:val="18"/>
              </w:rPr>
              <w:t xml:space="preserve"> dias</w:t>
            </w:r>
          </w:p>
        </w:tc>
        <w:tc>
          <w:tcPr>
            <w:tcW w:w="423" w:type="pct"/>
            <w:vMerge w:val="restart"/>
            <w:tcBorders>
              <w:top w:val="nil"/>
              <w:left w:val="nil"/>
              <w:bottom w:val="single" w:sz="4" w:space="0" w:color="F39200"/>
              <w:right w:val="nil"/>
            </w:tcBorders>
            <w:vAlign w:val="center"/>
            <w:hideMark/>
          </w:tcPr>
          <w:p w14:paraId="195E8FA0" w14:textId="77777777" w:rsidR="0099545A" w:rsidRPr="00E20D21" w:rsidRDefault="0099545A">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Acima de 360 dias</w:t>
            </w:r>
          </w:p>
        </w:tc>
        <w:tc>
          <w:tcPr>
            <w:tcW w:w="423" w:type="pct"/>
            <w:vMerge w:val="restart"/>
            <w:tcBorders>
              <w:top w:val="nil"/>
              <w:left w:val="nil"/>
              <w:bottom w:val="single" w:sz="4" w:space="0" w:color="F39200"/>
              <w:right w:val="nil"/>
            </w:tcBorders>
            <w:vAlign w:val="center"/>
            <w:hideMark/>
          </w:tcPr>
          <w:p w14:paraId="5BB8BF3F" w14:textId="59D67311" w:rsidR="0099545A" w:rsidRPr="00E20D21" w:rsidRDefault="00F96B28">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Custo</w:t>
            </w:r>
          </w:p>
        </w:tc>
        <w:tc>
          <w:tcPr>
            <w:tcW w:w="381" w:type="pct"/>
            <w:vMerge w:val="restart"/>
            <w:tcBorders>
              <w:top w:val="nil"/>
              <w:left w:val="nil"/>
              <w:bottom w:val="single" w:sz="4" w:space="0" w:color="F39200"/>
              <w:right w:val="nil"/>
            </w:tcBorders>
            <w:vAlign w:val="center"/>
            <w:hideMark/>
          </w:tcPr>
          <w:p w14:paraId="598DB0B9" w14:textId="77777777" w:rsidR="0099545A" w:rsidRPr="00E20D21" w:rsidRDefault="0099545A">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Ajuste a mercado resultado</w:t>
            </w:r>
          </w:p>
        </w:tc>
        <w:tc>
          <w:tcPr>
            <w:tcW w:w="423" w:type="pct"/>
            <w:vMerge w:val="restart"/>
            <w:tcBorders>
              <w:top w:val="nil"/>
              <w:left w:val="nil"/>
              <w:bottom w:val="single" w:sz="4" w:space="0" w:color="F39200"/>
              <w:right w:val="nil"/>
            </w:tcBorders>
            <w:vAlign w:val="center"/>
            <w:hideMark/>
          </w:tcPr>
          <w:p w14:paraId="2BC18512" w14:textId="77777777" w:rsidR="0099545A" w:rsidRPr="00E20D21" w:rsidRDefault="0099545A">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Valor de mercado</w:t>
            </w:r>
          </w:p>
        </w:tc>
        <w:tc>
          <w:tcPr>
            <w:tcW w:w="446" w:type="pct"/>
            <w:vMerge w:val="restart"/>
            <w:tcBorders>
              <w:top w:val="nil"/>
              <w:left w:val="nil"/>
              <w:bottom w:val="single" w:sz="4" w:space="0" w:color="F39200"/>
              <w:right w:val="nil"/>
            </w:tcBorders>
            <w:vAlign w:val="center"/>
            <w:hideMark/>
          </w:tcPr>
          <w:p w14:paraId="3A1AD18A" w14:textId="7845B0E1" w:rsidR="0099545A" w:rsidRPr="00E20D21" w:rsidRDefault="0099545A">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Custo</w:t>
            </w:r>
          </w:p>
        </w:tc>
        <w:tc>
          <w:tcPr>
            <w:tcW w:w="408" w:type="pct"/>
            <w:vMerge w:val="restart"/>
            <w:tcBorders>
              <w:top w:val="nil"/>
              <w:left w:val="nil"/>
              <w:bottom w:val="single" w:sz="4" w:space="0" w:color="F39200"/>
              <w:right w:val="nil"/>
            </w:tcBorders>
            <w:vAlign w:val="center"/>
            <w:hideMark/>
          </w:tcPr>
          <w:p w14:paraId="31E57858" w14:textId="77777777" w:rsidR="0099545A" w:rsidRPr="00E20D21" w:rsidRDefault="0099545A">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Ajuste a mercado resultado</w:t>
            </w:r>
          </w:p>
        </w:tc>
        <w:tc>
          <w:tcPr>
            <w:tcW w:w="447" w:type="pct"/>
            <w:vMerge w:val="restart"/>
            <w:tcBorders>
              <w:top w:val="nil"/>
              <w:left w:val="nil"/>
              <w:bottom w:val="single" w:sz="4" w:space="0" w:color="F39200"/>
              <w:right w:val="nil"/>
            </w:tcBorders>
            <w:vAlign w:val="center"/>
            <w:hideMark/>
          </w:tcPr>
          <w:p w14:paraId="4B46A04F" w14:textId="77777777" w:rsidR="0099545A" w:rsidRPr="00E20D21" w:rsidRDefault="0099545A">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Valor de mercado</w:t>
            </w:r>
          </w:p>
        </w:tc>
      </w:tr>
      <w:tr w:rsidR="00D35B0B" w:rsidRPr="00E20D21" w14:paraId="1FBC6BE6" w14:textId="77777777" w:rsidTr="00ED66A7">
        <w:trPr>
          <w:trHeight w:val="401"/>
        </w:trPr>
        <w:tc>
          <w:tcPr>
            <w:tcW w:w="961" w:type="pct"/>
            <w:vMerge/>
            <w:tcBorders>
              <w:top w:val="nil"/>
              <w:left w:val="nil"/>
              <w:bottom w:val="single" w:sz="4" w:space="0" w:color="F39200"/>
              <w:right w:val="nil"/>
            </w:tcBorders>
            <w:vAlign w:val="center"/>
            <w:hideMark/>
          </w:tcPr>
          <w:p w14:paraId="3CB02597" w14:textId="77777777" w:rsidR="000342A0" w:rsidRPr="00E20D21" w:rsidRDefault="000342A0" w:rsidP="0063070D">
            <w:pPr>
              <w:jc w:val="right"/>
              <w:rPr>
                <w:rFonts w:ascii="CAIXA Std Book" w:eastAsia="Times New Roman" w:hAnsi="CAIXA Std Book" w:cs="Arial"/>
                <w:b/>
                <w:color w:val="005CA9"/>
                <w:sz w:val="18"/>
                <w:szCs w:val="18"/>
              </w:rPr>
            </w:pPr>
          </w:p>
        </w:tc>
        <w:tc>
          <w:tcPr>
            <w:tcW w:w="389" w:type="pct"/>
            <w:vMerge/>
            <w:tcBorders>
              <w:top w:val="nil"/>
              <w:left w:val="nil"/>
              <w:bottom w:val="single" w:sz="4" w:space="0" w:color="F39200"/>
              <w:right w:val="nil"/>
            </w:tcBorders>
            <w:vAlign w:val="center"/>
            <w:hideMark/>
          </w:tcPr>
          <w:p w14:paraId="4C9ED8AA" w14:textId="77777777" w:rsidR="000342A0" w:rsidRPr="00E20D21" w:rsidRDefault="000342A0" w:rsidP="004257C5">
            <w:pPr>
              <w:jc w:val="right"/>
              <w:rPr>
                <w:rFonts w:ascii="CAIXA Std Book" w:eastAsia="Times New Roman" w:hAnsi="CAIXA Std Book" w:cs="Arial"/>
                <w:b/>
                <w:color w:val="005CA9"/>
                <w:sz w:val="18"/>
                <w:szCs w:val="18"/>
              </w:rPr>
            </w:pPr>
          </w:p>
        </w:tc>
        <w:tc>
          <w:tcPr>
            <w:tcW w:w="347" w:type="pct"/>
            <w:vMerge/>
            <w:tcBorders>
              <w:top w:val="nil"/>
              <w:left w:val="nil"/>
              <w:bottom w:val="single" w:sz="4" w:space="0" w:color="F39200"/>
              <w:right w:val="nil"/>
            </w:tcBorders>
            <w:vAlign w:val="center"/>
            <w:hideMark/>
          </w:tcPr>
          <w:p w14:paraId="04EABE30" w14:textId="77777777" w:rsidR="000342A0" w:rsidRPr="00E20D21" w:rsidRDefault="000342A0" w:rsidP="004257C5">
            <w:pPr>
              <w:jc w:val="right"/>
              <w:rPr>
                <w:rFonts w:ascii="CAIXA Std Book" w:eastAsia="Times New Roman" w:hAnsi="CAIXA Std Book" w:cs="Arial"/>
                <w:b/>
                <w:color w:val="005CA9"/>
                <w:sz w:val="18"/>
                <w:szCs w:val="18"/>
              </w:rPr>
            </w:pPr>
          </w:p>
        </w:tc>
        <w:tc>
          <w:tcPr>
            <w:tcW w:w="352" w:type="pct"/>
            <w:vMerge/>
            <w:tcBorders>
              <w:top w:val="nil"/>
              <w:left w:val="nil"/>
              <w:bottom w:val="single" w:sz="4" w:space="0" w:color="F39200"/>
              <w:right w:val="nil"/>
            </w:tcBorders>
            <w:vAlign w:val="center"/>
            <w:hideMark/>
          </w:tcPr>
          <w:p w14:paraId="3C8EF567" w14:textId="77777777" w:rsidR="000342A0" w:rsidRPr="00E20D21" w:rsidRDefault="000342A0" w:rsidP="004257C5">
            <w:pPr>
              <w:jc w:val="right"/>
              <w:rPr>
                <w:rFonts w:ascii="CAIXA Std Book" w:eastAsia="Times New Roman" w:hAnsi="CAIXA Std Book" w:cs="Arial"/>
                <w:b/>
                <w:color w:val="005CA9"/>
                <w:sz w:val="18"/>
                <w:szCs w:val="18"/>
              </w:rPr>
            </w:pPr>
          </w:p>
        </w:tc>
        <w:tc>
          <w:tcPr>
            <w:tcW w:w="423" w:type="pct"/>
            <w:vMerge/>
            <w:tcBorders>
              <w:top w:val="nil"/>
              <w:left w:val="nil"/>
              <w:bottom w:val="single" w:sz="4" w:space="0" w:color="F39200"/>
              <w:right w:val="nil"/>
            </w:tcBorders>
            <w:vAlign w:val="center"/>
            <w:hideMark/>
          </w:tcPr>
          <w:p w14:paraId="53695293" w14:textId="77777777" w:rsidR="000342A0" w:rsidRPr="00E20D21" w:rsidRDefault="000342A0" w:rsidP="004257C5">
            <w:pPr>
              <w:jc w:val="right"/>
              <w:rPr>
                <w:rFonts w:ascii="CAIXA Std Book" w:eastAsia="Times New Roman" w:hAnsi="CAIXA Std Book" w:cs="Arial"/>
                <w:b/>
                <w:color w:val="005CA9"/>
                <w:sz w:val="18"/>
                <w:szCs w:val="18"/>
              </w:rPr>
            </w:pPr>
          </w:p>
        </w:tc>
        <w:tc>
          <w:tcPr>
            <w:tcW w:w="423" w:type="pct"/>
            <w:vMerge/>
            <w:tcBorders>
              <w:top w:val="nil"/>
              <w:left w:val="nil"/>
              <w:bottom w:val="single" w:sz="4" w:space="0" w:color="F39200"/>
              <w:right w:val="nil"/>
            </w:tcBorders>
            <w:vAlign w:val="center"/>
            <w:hideMark/>
          </w:tcPr>
          <w:p w14:paraId="0A91A94C" w14:textId="77777777" w:rsidR="000342A0" w:rsidRPr="00E20D21" w:rsidRDefault="000342A0" w:rsidP="004257C5">
            <w:pPr>
              <w:jc w:val="right"/>
              <w:rPr>
                <w:rFonts w:ascii="CAIXA Std Book" w:eastAsia="Times New Roman" w:hAnsi="CAIXA Std Book" w:cs="Arial"/>
                <w:b/>
                <w:color w:val="005CA9"/>
                <w:sz w:val="18"/>
                <w:szCs w:val="18"/>
              </w:rPr>
            </w:pPr>
          </w:p>
        </w:tc>
        <w:tc>
          <w:tcPr>
            <w:tcW w:w="381" w:type="pct"/>
            <w:vMerge/>
            <w:tcBorders>
              <w:top w:val="nil"/>
              <w:left w:val="nil"/>
              <w:bottom w:val="single" w:sz="4" w:space="0" w:color="F39200"/>
              <w:right w:val="nil"/>
            </w:tcBorders>
            <w:vAlign w:val="center"/>
            <w:hideMark/>
          </w:tcPr>
          <w:p w14:paraId="11187E90" w14:textId="77777777" w:rsidR="000342A0" w:rsidRPr="00E20D21" w:rsidRDefault="000342A0" w:rsidP="004257C5">
            <w:pPr>
              <w:jc w:val="right"/>
              <w:rPr>
                <w:rFonts w:ascii="CAIXA Std Book" w:eastAsia="Times New Roman" w:hAnsi="CAIXA Std Book" w:cs="Arial"/>
                <w:b/>
                <w:color w:val="005CA9"/>
                <w:sz w:val="18"/>
                <w:szCs w:val="18"/>
              </w:rPr>
            </w:pPr>
          </w:p>
        </w:tc>
        <w:tc>
          <w:tcPr>
            <w:tcW w:w="423" w:type="pct"/>
            <w:vMerge/>
            <w:tcBorders>
              <w:top w:val="nil"/>
              <w:left w:val="nil"/>
              <w:bottom w:val="single" w:sz="4" w:space="0" w:color="F39200"/>
              <w:right w:val="nil"/>
            </w:tcBorders>
            <w:vAlign w:val="center"/>
            <w:hideMark/>
          </w:tcPr>
          <w:p w14:paraId="73BC0565" w14:textId="77777777" w:rsidR="000342A0" w:rsidRPr="00E20D21" w:rsidRDefault="000342A0" w:rsidP="004257C5">
            <w:pPr>
              <w:jc w:val="right"/>
              <w:rPr>
                <w:rFonts w:ascii="CAIXA Std Book" w:eastAsia="Times New Roman" w:hAnsi="CAIXA Std Book" w:cs="Arial"/>
                <w:b/>
                <w:color w:val="005CA9"/>
                <w:sz w:val="18"/>
                <w:szCs w:val="18"/>
              </w:rPr>
            </w:pPr>
          </w:p>
        </w:tc>
        <w:tc>
          <w:tcPr>
            <w:tcW w:w="446" w:type="pct"/>
            <w:vMerge/>
            <w:tcBorders>
              <w:top w:val="nil"/>
              <w:left w:val="nil"/>
              <w:bottom w:val="single" w:sz="4" w:space="0" w:color="F39200"/>
              <w:right w:val="nil"/>
            </w:tcBorders>
            <w:vAlign w:val="center"/>
            <w:hideMark/>
          </w:tcPr>
          <w:p w14:paraId="0F27DE8B" w14:textId="77777777" w:rsidR="000342A0" w:rsidRPr="00E20D21" w:rsidRDefault="000342A0" w:rsidP="004257C5">
            <w:pPr>
              <w:jc w:val="right"/>
              <w:rPr>
                <w:rFonts w:ascii="CAIXA Std Book" w:eastAsia="Times New Roman" w:hAnsi="CAIXA Std Book" w:cs="Arial"/>
                <w:b/>
                <w:color w:val="005CA9"/>
                <w:sz w:val="18"/>
                <w:szCs w:val="18"/>
              </w:rPr>
            </w:pPr>
          </w:p>
        </w:tc>
        <w:tc>
          <w:tcPr>
            <w:tcW w:w="408" w:type="pct"/>
            <w:vMerge/>
            <w:tcBorders>
              <w:top w:val="nil"/>
              <w:left w:val="nil"/>
              <w:bottom w:val="single" w:sz="4" w:space="0" w:color="F39200"/>
              <w:right w:val="nil"/>
            </w:tcBorders>
            <w:vAlign w:val="center"/>
            <w:hideMark/>
          </w:tcPr>
          <w:p w14:paraId="07912EE0" w14:textId="77777777" w:rsidR="000342A0" w:rsidRPr="00E20D21" w:rsidRDefault="000342A0" w:rsidP="004257C5">
            <w:pPr>
              <w:jc w:val="right"/>
              <w:rPr>
                <w:rFonts w:ascii="CAIXA Std Book" w:eastAsia="Times New Roman" w:hAnsi="CAIXA Std Book" w:cs="Arial"/>
                <w:b/>
                <w:color w:val="005CA9"/>
                <w:sz w:val="18"/>
                <w:szCs w:val="18"/>
              </w:rPr>
            </w:pPr>
          </w:p>
        </w:tc>
        <w:tc>
          <w:tcPr>
            <w:tcW w:w="447" w:type="pct"/>
            <w:vMerge/>
            <w:tcBorders>
              <w:top w:val="nil"/>
              <w:left w:val="nil"/>
              <w:bottom w:val="single" w:sz="4" w:space="0" w:color="F39200"/>
              <w:right w:val="nil"/>
            </w:tcBorders>
            <w:vAlign w:val="center"/>
            <w:hideMark/>
          </w:tcPr>
          <w:p w14:paraId="67BFF993" w14:textId="77777777" w:rsidR="000342A0" w:rsidRPr="00E20D21" w:rsidRDefault="000342A0" w:rsidP="004257C5">
            <w:pPr>
              <w:jc w:val="right"/>
              <w:rPr>
                <w:rFonts w:ascii="CAIXA Std Book" w:eastAsia="Times New Roman" w:hAnsi="CAIXA Std Book" w:cs="Arial"/>
                <w:b/>
                <w:color w:val="005CA9"/>
                <w:sz w:val="18"/>
                <w:szCs w:val="18"/>
              </w:rPr>
            </w:pPr>
          </w:p>
        </w:tc>
      </w:tr>
      <w:tr w:rsidR="00D35B0B" w:rsidRPr="00E20D21" w14:paraId="1CBC65A5" w14:textId="77777777" w:rsidTr="00ED66A7">
        <w:trPr>
          <w:trHeight w:val="283"/>
        </w:trPr>
        <w:tc>
          <w:tcPr>
            <w:tcW w:w="961" w:type="pct"/>
            <w:vAlign w:val="center"/>
            <w:hideMark/>
          </w:tcPr>
          <w:p w14:paraId="1A841E6A" w14:textId="77777777" w:rsidR="00757050" w:rsidRPr="00E20D21" w:rsidRDefault="00757050" w:rsidP="00757050">
            <w:pP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Títulos públicos</w:t>
            </w:r>
          </w:p>
        </w:tc>
        <w:tc>
          <w:tcPr>
            <w:tcW w:w="389" w:type="pct"/>
            <w:noWrap/>
            <w:vAlign w:val="center"/>
          </w:tcPr>
          <w:p w14:paraId="598F8366" w14:textId="10319DFE" w:rsidR="00757050" w:rsidRPr="00E20D21" w:rsidRDefault="004A7A2F" w:rsidP="00757050">
            <w:pPr>
              <w:jc w:val="center"/>
              <w:rPr>
                <w:rFonts w:ascii="CAIXA Std Book" w:hAnsi="CAIXA Std Book" w:cs="Arial"/>
                <w:b/>
                <w:color w:val="005CA9"/>
                <w:sz w:val="18"/>
                <w:szCs w:val="18"/>
              </w:rPr>
            </w:pPr>
            <w:r w:rsidRPr="00E20D21">
              <w:rPr>
                <w:rFonts w:ascii="CAIXA Std Book" w:hAnsi="CAIXA Std Book" w:cs="Arial"/>
                <w:b/>
                <w:color w:val="005CA9"/>
                <w:sz w:val="18"/>
                <w:szCs w:val="18"/>
              </w:rPr>
              <w:t>-</w:t>
            </w:r>
          </w:p>
        </w:tc>
        <w:tc>
          <w:tcPr>
            <w:tcW w:w="347" w:type="pct"/>
            <w:noWrap/>
            <w:vAlign w:val="center"/>
          </w:tcPr>
          <w:p w14:paraId="71B0D76A" w14:textId="38100F1B" w:rsidR="00757050" w:rsidRPr="00E20D21" w:rsidRDefault="00ED66A7"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2.545.443</w:t>
            </w:r>
          </w:p>
        </w:tc>
        <w:tc>
          <w:tcPr>
            <w:tcW w:w="352" w:type="pct"/>
            <w:noWrap/>
            <w:vAlign w:val="center"/>
          </w:tcPr>
          <w:p w14:paraId="2844E4E9" w14:textId="3EE0BF45" w:rsidR="00757050" w:rsidRPr="00E20D21" w:rsidRDefault="00ED66A7"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113.036</w:t>
            </w:r>
          </w:p>
        </w:tc>
        <w:tc>
          <w:tcPr>
            <w:tcW w:w="423" w:type="pct"/>
            <w:noWrap/>
            <w:vAlign w:val="center"/>
          </w:tcPr>
          <w:p w14:paraId="760E8B98" w14:textId="2E43B354"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115.</w:t>
            </w:r>
            <w:r w:rsidR="00ED66A7" w:rsidRPr="00E20D21">
              <w:rPr>
                <w:rFonts w:ascii="CAIXA Std Book" w:hAnsi="CAIXA Std Book" w:cs="Arial"/>
                <w:b/>
                <w:color w:val="005CA9"/>
                <w:sz w:val="18"/>
                <w:szCs w:val="18"/>
              </w:rPr>
              <w:t>271.499</w:t>
            </w:r>
          </w:p>
        </w:tc>
        <w:tc>
          <w:tcPr>
            <w:tcW w:w="423" w:type="pct"/>
            <w:noWrap/>
            <w:vAlign w:val="center"/>
          </w:tcPr>
          <w:p w14:paraId="270E34F7" w14:textId="772B480D"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118.737.923</w:t>
            </w:r>
          </w:p>
        </w:tc>
        <w:tc>
          <w:tcPr>
            <w:tcW w:w="381" w:type="pct"/>
            <w:noWrap/>
            <w:vAlign w:val="center"/>
          </w:tcPr>
          <w:p w14:paraId="6712AD30" w14:textId="527813E2"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(807.945)</w:t>
            </w:r>
          </w:p>
        </w:tc>
        <w:tc>
          <w:tcPr>
            <w:tcW w:w="423" w:type="pct"/>
            <w:noWrap/>
            <w:vAlign w:val="center"/>
          </w:tcPr>
          <w:p w14:paraId="528AF2E3" w14:textId="7BFDA81A"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117.929.978</w:t>
            </w:r>
          </w:p>
        </w:tc>
        <w:tc>
          <w:tcPr>
            <w:tcW w:w="446" w:type="pct"/>
            <w:noWrap/>
            <w:vAlign w:val="center"/>
            <w:hideMark/>
          </w:tcPr>
          <w:p w14:paraId="3794D03F" w14:textId="20B3CEF5" w:rsidR="00757050" w:rsidRPr="00E20D21" w:rsidRDefault="00757050" w:rsidP="00757050">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134.889.649</w:t>
            </w:r>
          </w:p>
        </w:tc>
        <w:tc>
          <w:tcPr>
            <w:tcW w:w="408" w:type="pct"/>
            <w:noWrap/>
            <w:vAlign w:val="center"/>
            <w:hideMark/>
          </w:tcPr>
          <w:p w14:paraId="6305DC4C" w14:textId="755B6371" w:rsidR="00757050" w:rsidRPr="00E20D21" w:rsidRDefault="00757050" w:rsidP="00757050">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3.088.162</w:t>
            </w:r>
          </w:p>
        </w:tc>
        <w:tc>
          <w:tcPr>
            <w:tcW w:w="447" w:type="pct"/>
            <w:noWrap/>
            <w:vAlign w:val="center"/>
            <w:hideMark/>
          </w:tcPr>
          <w:p w14:paraId="72E14086" w14:textId="5CCA2581" w:rsidR="00757050" w:rsidRPr="00E20D21" w:rsidRDefault="00757050" w:rsidP="00757050">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137.977.811</w:t>
            </w:r>
          </w:p>
        </w:tc>
      </w:tr>
      <w:tr w:rsidR="00D35B0B" w:rsidRPr="00E20D21" w14:paraId="06BD7884" w14:textId="77777777" w:rsidTr="00ED66A7">
        <w:trPr>
          <w:trHeight w:val="283"/>
        </w:trPr>
        <w:tc>
          <w:tcPr>
            <w:tcW w:w="961" w:type="pct"/>
            <w:vAlign w:val="center"/>
            <w:hideMark/>
          </w:tcPr>
          <w:p w14:paraId="0294210B" w14:textId="77777777" w:rsidR="00757050" w:rsidRPr="00E20D21" w:rsidRDefault="00757050" w:rsidP="0075705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financeiras do tesouro</w:t>
            </w:r>
          </w:p>
        </w:tc>
        <w:tc>
          <w:tcPr>
            <w:tcW w:w="389" w:type="pct"/>
            <w:vAlign w:val="center"/>
          </w:tcPr>
          <w:p w14:paraId="07C45C05" w14:textId="6794E0C7"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347" w:type="pct"/>
            <w:vAlign w:val="center"/>
          </w:tcPr>
          <w:p w14:paraId="130AE810" w14:textId="0015CB17" w:rsidR="00757050" w:rsidRPr="00E20D21" w:rsidRDefault="00ED66A7" w:rsidP="004A7A2F">
            <w:pPr>
              <w:jc w:val="right"/>
              <w:rPr>
                <w:rFonts w:ascii="CAIXA Std Book" w:hAnsi="CAIXA Std Book" w:cs="Arial"/>
                <w:color w:val="005CA9"/>
                <w:sz w:val="18"/>
                <w:szCs w:val="18"/>
              </w:rPr>
            </w:pPr>
            <w:r w:rsidRPr="00E20D21">
              <w:rPr>
                <w:rFonts w:ascii="CAIXA Std Book" w:hAnsi="CAIXA Std Book" w:cs="Arial"/>
                <w:bCs/>
                <w:color w:val="005CA9"/>
                <w:sz w:val="18"/>
                <w:szCs w:val="18"/>
              </w:rPr>
              <w:t>98.404</w:t>
            </w:r>
          </w:p>
        </w:tc>
        <w:tc>
          <w:tcPr>
            <w:tcW w:w="352" w:type="pct"/>
            <w:noWrap/>
            <w:vAlign w:val="center"/>
          </w:tcPr>
          <w:p w14:paraId="247579C8" w14:textId="12D12C0E" w:rsidR="00757050" w:rsidRPr="00E20D21" w:rsidRDefault="00ED66A7" w:rsidP="004A7A2F">
            <w:pPr>
              <w:jc w:val="right"/>
              <w:rPr>
                <w:rFonts w:ascii="CAIXA Std Book" w:hAnsi="CAIXA Std Book" w:cs="Arial"/>
                <w:color w:val="005CA9"/>
                <w:sz w:val="18"/>
                <w:szCs w:val="18"/>
              </w:rPr>
            </w:pPr>
            <w:r w:rsidRPr="00E20D21">
              <w:rPr>
                <w:rFonts w:ascii="CAIXA Std Book" w:hAnsi="CAIXA Std Book" w:cs="Arial"/>
                <w:bCs/>
                <w:color w:val="005CA9"/>
                <w:sz w:val="18"/>
                <w:szCs w:val="18"/>
              </w:rPr>
              <w:t>113.036</w:t>
            </w:r>
          </w:p>
        </w:tc>
        <w:tc>
          <w:tcPr>
            <w:tcW w:w="423" w:type="pct"/>
            <w:noWrap/>
            <w:vAlign w:val="center"/>
          </w:tcPr>
          <w:p w14:paraId="49CDBF4A" w14:textId="2C78EBD8" w:rsidR="00757050" w:rsidRPr="00E20D21" w:rsidRDefault="00ED66A7"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63.664.674</w:t>
            </w:r>
          </w:p>
        </w:tc>
        <w:tc>
          <w:tcPr>
            <w:tcW w:w="423" w:type="pct"/>
            <w:noWrap/>
            <w:vAlign w:val="center"/>
          </w:tcPr>
          <w:p w14:paraId="753062F8" w14:textId="6FFBA4A8"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63.703.966</w:t>
            </w:r>
          </w:p>
        </w:tc>
        <w:tc>
          <w:tcPr>
            <w:tcW w:w="381" w:type="pct"/>
            <w:noWrap/>
            <w:vAlign w:val="center"/>
          </w:tcPr>
          <w:p w14:paraId="5C51A799" w14:textId="321C1A33"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172.148</w:t>
            </w:r>
          </w:p>
        </w:tc>
        <w:tc>
          <w:tcPr>
            <w:tcW w:w="423" w:type="pct"/>
            <w:noWrap/>
            <w:vAlign w:val="center"/>
          </w:tcPr>
          <w:p w14:paraId="43977AD0" w14:textId="7763D043"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63.876.114</w:t>
            </w:r>
          </w:p>
        </w:tc>
        <w:tc>
          <w:tcPr>
            <w:tcW w:w="446" w:type="pct"/>
            <w:noWrap/>
            <w:vAlign w:val="center"/>
            <w:hideMark/>
          </w:tcPr>
          <w:p w14:paraId="254F5C6C" w14:textId="71FC13CE"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42.013.682</w:t>
            </w:r>
          </w:p>
        </w:tc>
        <w:tc>
          <w:tcPr>
            <w:tcW w:w="408" w:type="pct"/>
            <w:noWrap/>
            <w:vAlign w:val="center"/>
            <w:hideMark/>
          </w:tcPr>
          <w:p w14:paraId="7099736C" w14:textId="44159347"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175.353</w:t>
            </w:r>
          </w:p>
        </w:tc>
        <w:tc>
          <w:tcPr>
            <w:tcW w:w="447" w:type="pct"/>
            <w:noWrap/>
            <w:vAlign w:val="center"/>
            <w:hideMark/>
          </w:tcPr>
          <w:p w14:paraId="49EDEE6B" w14:textId="7EB2EC85"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42.189.035</w:t>
            </w:r>
          </w:p>
        </w:tc>
      </w:tr>
      <w:tr w:rsidR="00D35B0B" w:rsidRPr="00E20D21" w14:paraId="5E6AD937" w14:textId="77777777" w:rsidTr="00ED66A7">
        <w:trPr>
          <w:trHeight w:val="283"/>
        </w:trPr>
        <w:tc>
          <w:tcPr>
            <w:tcW w:w="961" w:type="pct"/>
            <w:vAlign w:val="center"/>
            <w:hideMark/>
          </w:tcPr>
          <w:p w14:paraId="2DC50618" w14:textId="77777777" w:rsidR="00757050" w:rsidRPr="00E20D21" w:rsidRDefault="00757050" w:rsidP="0075705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do tesouro nacional</w:t>
            </w:r>
          </w:p>
        </w:tc>
        <w:tc>
          <w:tcPr>
            <w:tcW w:w="389" w:type="pct"/>
            <w:vAlign w:val="center"/>
          </w:tcPr>
          <w:p w14:paraId="7A878BA6" w14:textId="77DA070E"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347" w:type="pct"/>
            <w:vAlign w:val="center"/>
          </w:tcPr>
          <w:p w14:paraId="3D0563B4" w14:textId="77F7D8CD"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2.447.039</w:t>
            </w:r>
          </w:p>
        </w:tc>
        <w:tc>
          <w:tcPr>
            <w:tcW w:w="352" w:type="pct"/>
            <w:noWrap/>
            <w:vAlign w:val="center"/>
          </w:tcPr>
          <w:p w14:paraId="12CEC8BC" w14:textId="4AAE6E01" w:rsidR="00757050" w:rsidRPr="00E20D21" w:rsidRDefault="004A7A2F" w:rsidP="004A7A2F">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23" w:type="pct"/>
            <w:noWrap/>
            <w:vAlign w:val="center"/>
          </w:tcPr>
          <w:p w14:paraId="21F78DB2" w14:textId="587F3FFE"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49.789.164</w:t>
            </w:r>
          </w:p>
        </w:tc>
        <w:tc>
          <w:tcPr>
            <w:tcW w:w="423" w:type="pct"/>
            <w:noWrap/>
            <w:vAlign w:val="center"/>
          </w:tcPr>
          <w:p w14:paraId="31039E63" w14:textId="7C978219"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53.187.109</w:t>
            </w:r>
          </w:p>
        </w:tc>
        <w:tc>
          <w:tcPr>
            <w:tcW w:w="381" w:type="pct"/>
            <w:noWrap/>
            <w:vAlign w:val="center"/>
          </w:tcPr>
          <w:p w14:paraId="72E002B2" w14:textId="5B66E5A7"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(950.906)</w:t>
            </w:r>
          </w:p>
        </w:tc>
        <w:tc>
          <w:tcPr>
            <w:tcW w:w="423" w:type="pct"/>
            <w:noWrap/>
            <w:vAlign w:val="center"/>
          </w:tcPr>
          <w:p w14:paraId="16D4527D" w14:textId="2E22ACB5"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52.236.203</w:t>
            </w:r>
          </w:p>
        </w:tc>
        <w:tc>
          <w:tcPr>
            <w:tcW w:w="446" w:type="pct"/>
            <w:noWrap/>
            <w:vAlign w:val="center"/>
            <w:hideMark/>
          </w:tcPr>
          <w:p w14:paraId="6A6D4792" w14:textId="001142D8"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90.490.516</w:t>
            </w:r>
          </w:p>
        </w:tc>
        <w:tc>
          <w:tcPr>
            <w:tcW w:w="408" w:type="pct"/>
            <w:noWrap/>
            <w:vAlign w:val="center"/>
            <w:hideMark/>
          </w:tcPr>
          <w:p w14:paraId="7D5F94C9" w14:textId="334C00E0"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2.870.771</w:t>
            </w:r>
          </w:p>
        </w:tc>
        <w:tc>
          <w:tcPr>
            <w:tcW w:w="447" w:type="pct"/>
            <w:noWrap/>
            <w:vAlign w:val="center"/>
            <w:hideMark/>
          </w:tcPr>
          <w:p w14:paraId="56DBE0AC" w14:textId="3EE7EC87"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93.361.287</w:t>
            </w:r>
          </w:p>
        </w:tc>
      </w:tr>
      <w:tr w:rsidR="00D35B0B" w:rsidRPr="00E20D21" w14:paraId="6739F38C" w14:textId="77777777" w:rsidTr="00ED66A7">
        <w:trPr>
          <w:trHeight w:val="283"/>
        </w:trPr>
        <w:tc>
          <w:tcPr>
            <w:tcW w:w="961" w:type="pct"/>
            <w:vAlign w:val="center"/>
            <w:hideMark/>
          </w:tcPr>
          <w:p w14:paraId="441BF6B6" w14:textId="77777777" w:rsidR="00757050" w:rsidRPr="00E20D21" w:rsidRDefault="00757050" w:rsidP="0075705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Notas do tesouro nacional</w:t>
            </w:r>
          </w:p>
        </w:tc>
        <w:tc>
          <w:tcPr>
            <w:tcW w:w="389" w:type="pct"/>
            <w:noWrap/>
            <w:vAlign w:val="center"/>
          </w:tcPr>
          <w:p w14:paraId="7FD474E3" w14:textId="0E0217D3"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347" w:type="pct"/>
            <w:vAlign w:val="center"/>
          </w:tcPr>
          <w:p w14:paraId="14952154" w14:textId="438361D1"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352" w:type="pct"/>
            <w:noWrap/>
            <w:vAlign w:val="center"/>
          </w:tcPr>
          <w:p w14:paraId="382C468B" w14:textId="67F1A91F"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23" w:type="pct"/>
            <w:noWrap/>
            <w:vAlign w:val="center"/>
          </w:tcPr>
          <w:p w14:paraId="159B10B9" w14:textId="2B1E1933"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1.817.661</w:t>
            </w:r>
          </w:p>
        </w:tc>
        <w:tc>
          <w:tcPr>
            <w:tcW w:w="423" w:type="pct"/>
            <w:noWrap/>
            <w:vAlign w:val="center"/>
          </w:tcPr>
          <w:p w14:paraId="78DD54F5" w14:textId="3399EE60"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1.846.848</w:t>
            </w:r>
          </w:p>
        </w:tc>
        <w:tc>
          <w:tcPr>
            <w:tcW w:w="381" w:type="pct"/>
            <w:noWrap/>
            <w:vAlign w:val="center"/>
          </w:tcPr>
          <w:p w14:paraId="5E112D58" w14:textId="335ABA5C"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(29.187)</w:t>
            </w:r>
          </w:p>
        </w:tc>
        <w:tc>
          <w:tcPr>
            <w:tcW w:w="423" w:type="pct"/>
            <w:noWrap/>
            <w:vAlign w:val="center"/>
          </w:tcPr>
          <w:p w14:paraId="54056A00" w14:textId="77932A67"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1.817.661</w:t>
            </w:r>
          </w:p>
        </w:tc>
        <w:tc>
          <w:tcPr>
            <w:tcW w:w="446" w:type="pct"/>
            <w:noWrap/>
            <w:vAlign w:val="center"/>
            <w:hideMark/>
          </w:tcPr>
          <w:p w14:paraId="6EC06474" w14:textId="0F5CECD7"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2.385.451</w:t>
            </w:r>
          </w:p>
        </w:tc>
        <w:tc>
          <w:tcPr>
            <w:tcW w:w="408" w:type="pct"/>
            <w:noWrap/>
            <w:vAlign w:val="center"/>
            <w:hideMark/>
          </w:tcPr>
          <w:p w14:paraId="65DAA9E7" w14:textId="62993B88"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42.038</w:t>
            </w:r>
          </w:p>
        </w:tc>
        <w:tc>
          <w:tcPr>
            <w:tcW w:w="447" w:type="pct"/>
            <w:noWrap/>
            <w:vAlign w:val="center"/>
            <w:hideMark/>
          </w:tcPr>
          <w:p w14:paraId="10B4F530" w14:textId="79FEC88C"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2.427.489</w:t>
            </w:r>
          </w:p>
        </w:tc>
      </w:tr>
      <w:tr w:rsidR="00D35B0B" w:rsidRPr="00E20D21" w14:paraId="46008F87" w14:textId="77777777" w:rsidTr="00ED66A7">
        <w:trPr>
          <w:trHeight w:val="283"/>
        </w:trPr>
        <w:tc>
          <w:tcPr>
            <w:tcW w:w="961" w:type="pct"/>
            <w:vAlign w:val="center"/>
            <w:hideMark/>
          </w:tcPr>
          <w:p w14:paraId="35413D7E" w14:textId="77777777" w:rsidR="00757050" w:rsidRPr="00E20D21" w:rsidRDefault="00757050" w:rsidP="00757050">
            <w:pP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Títulos - empresas</w:t>
            </w:r>
          </w:p>
        </w:tc>
        <w:tc>
          <w:tcPr>
            <w:tcW w:w="389" w:type="pct"/>
            <w:noWrap/>
            <w:vAlign w:val="center"/>
          </w:tcPr>
          <w:p w14:paraId="22E0D960" w14:textId="09BDA6E4"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169.662</w:t>
            </w:r>
          </w:p>
        </w:tc>
        <w:tc>
          <w:tcPr>
            <w:tcW w:w="347" w:type="pct"/>
            <w:noWrap/>
            <w:vAlign w:val="center"/>
          </w:tcPr>
          <w:p w14:paraId="2700001C" w14:textId="74C78FA6" w:rsidR="00757050" w:rsidRPr="00E20D21" w:rsidRDefault="004A7A2F" w:rsidP="00757050">
            <w:pPr>
              <w:jc w:val="center"/>
              <w:rPr>
                <w:rFonts w:ascii="CAIXA Std Book" w:hAnsi="CAIXA Std Book" w:cs="Arial"/>
                <w:b/>
                <w:color w:val="005CA9"/>
                <w:sz w:val="18"/>
                <w:szCs w:val="18"/>
              </w:rPr>
            </w:pPr>
            <w:r w:rsidRPr="00E20D21">
              <w:rPr>
                <w:rFonts w:ascii="CAIXA Std Book" w:hAnsi="CAIXA Std Book" w:cs="Arial"/>
                <w:b/>
                <w:color w:val="005CA9"/>
                <w:sz w:val="18"/>
                <w:szCs w:val="18"/>
              </w:rPr>
              <w:t>-</w:t>
            </w:r>
          </w:p>
        </w:tc>
        <w:tc>
          <w:tcPr>
            <w:tcW w:w="352" w:type="pct"/>
            <w:noWrap/>
            <w:vAlign w:val="center"/>
          </w:tcPr>
          <w:p w14:paraId="4610E98B" w14:textId="4DC3CFA1" w:rsidR="00757050" w:rsidRPr="00E20D21" w:rsidRDefault="004A7A2F" w:rsidP="00757050">
            <w:pPr>
              <w:jc w:val="center"/>
              <w:rPr>
                <w:rFonts w:ascii="CAIXA Std Book" w:hAnsi="CAIXA Std Book" w:cs="Arial"/>
                <w:b/>
                <w:color w:val="005CA9"/>
                <w:sz w:val="18"/>
                <w:szCs w:val="18"/>
              </w:rPr>
            </w:pPr>
            <w:r w:rsidRPr="00E20D21">
              <w:rPr>
                <w:rFonts w:ascii="CAIXA Std Book" w:hAnsi="CAIXA Std Book" w:cs="Arial"/>
                <w:b/>
                <w:color w:val="005CA9"/>
                <w:sz w:val="18"/>
                <w:szCs w:val="18"/>
              </w:rPr>
              <w:t>-</w:t>
            </w:r>
          </w:p>
        </w:tc>
        <w:tc>
          <w:tcPr>
            <w:tcW w:w="423" w:type="pct"/>
            <w:noWrap/>
            <w:vAlign w:val="center"/>
          </w:tcPr>
          <w:p w14:paraId="11DC5C41" w14:textId="06C143D6"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81.500</w:t>
            </w:r>
          </w:p>
        </w:tc>
        <w:tc>
          <w:tcPr>
            <w:tcW w:w="423" w:type="pct"/>
            <w:noWrap/>
            <w:vAlign w:val="center"/>
          </w:tcPr>
          <w:p w14:paraId="4DCBEC86" w14:textId="1686BC24"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342.318</w:t>
            </w:r>
          </w:p>
        </w:tc>
        <w:tc>
          <w:tcPr>
            <w:tcW w:w="381" w:type="pct"/>
            <w:noWrap/>
            <w:vAlign w:val="center"/>
          </w:tcPr>
          <w:p w14:paraId="233DB263" w14:textId="49EC7EEE"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(91.156)</w:t>
            </w:r>
          </w:p>
        </w:tc>
        <w:tc>
          <w:tcPr>
            <w:tcW w:w="423" w:type="pct"/>
            <w:noWrap/>
            <w:vAlign w:val="center"/>
          </w:tcPr>
          <w:p w14:paraId="10F1546A" w14:textId="536FEFE1"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251.162</w:t>
            </w:r>
          </w:p>
        </w:tc>
        <w:tc>
          <w:tcPr>
            <w:tcW w:w="446" w:type="pct"/>
            <w:noWrap/>
            <w:vAlign w:val="center"/>
            <w:hideMark/>
          </w:tcPr>
          <w:p w14:paraId="15400ED2" w14:textId="1D3124FE" w:rsidR="00757050" w:rsidRPr="00E20D21" w:rsidRDefault="00757050" w:rsidP="00757050">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497.259</w:t>
            </w:r>
          </w:p>
        </w:tc>
        <w:tc>
          <w:tcPr>
            <w:tcW w:w="408" w:type="pct"/>
            <w:noWrap/>
            <w:vAlign w:val="center"/>
            <w:hideMark/>
          </w:tcPr>
          <w:p w14:paraId="55855D7D" w14:textId="15FA83D0" w:rsidR="00757050" w:rsidRPr="00E20D21" w:rsidRDefault="00757050" w:rsidP="00757050">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22.054</w:t>
            </w:r>
          </w:p>
        </w:tc>
        <w:tc>
          <w:tcPr>
            <w:tcW w:w="447" w:type="pct"/>
            <w:noWrap/>
            <w:vAlign w:val="center"/>
            <w:hideMark/>
          </w:tcPr>
          <w:p w14:paraId="78605E05" w14:textId="6DA2E4C3" w:rsidR="00757050" w:rsidRPr="00E20D21" w:rsidRDefault="00757050" w:rsidP="00757050">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519.313</w:t>
            </w:r>
          </w:p>
        </w:tc>
      </w:tr>
      <w:tr w:rsidR="00D35B0B" w:rsidRPr="00E20D21" w14:paraId="3466E6B3" w14:textId="77777777" w:rsidTr="00ED66A7">
        <w:trPr>
          <w:trHeight w:val="283"/>
        </w:trPr>
        <w:tc>
          <w:tcPr>
            <w:tcW w:w="961" w:type="pct"/>
            <w:vAlign w:val="center"/>
          </w:tcPr>
          <w:p w14:paraId="6A62636F" w14:textId="78A15037" w:rsidR="00757050" w:rsidRPr="00E20D21" w:rsidRDefault="00757050" w:rsidP="00757050">
            <w:pPr>
              <w:ind w:firstLineChars="100" w:firstLine="180"/>
              <w:rPr>
                <w:rFonts w:ascii="CAIXA Std Book" w:eastAsia="Times New Roman" w:hAnsi="CAIXA Std Book" w:cs="Arial"/>
                <w:b/>
                <w:color w:val="005CA9"/>
                <w:sz w:val="18"/>
                <w:szCs w:val="18"/>
              </w:rPr>
            </w:pPr>
            <w:r w:rsidRPr="00E20D21">
              <w:rPr>
                <w:rFonts w:ascii="CAIXA Std Book" w:eastAsia="Times New Roman" w:hAnsi="CAIXA Std Book" w:cs="Arial"/>
                <w:color w:val="005CA9"/>
                <w:sz w:val="18"/>
                <w:szCs w:val="18"/>
              </w:rPr>
              <w:t>Debêntures</w:t>
            </w:r>
          </w:p>
        </w:tc>
        <w:tc>
          <w:tcPr>
            <w:tcW w:w="389" w:type="pct"/>
            <w:noWrap/>
            <w:vAlign w:val="center"/>
          </w:tcPr>
          <w:p w14:paraId="5B8D9674" w14:textId="5CAFAA83"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347" w:type="pct"/>
            <w:noWrap/>
            <w:vAlign w:val="center"/>
          </w:tcPr>
          <w:p w14:paraId="61D1C704" w14:textId="17EA707C"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352" w:type="pct"/>
            <w:noWrap/>
            <w:vAlign w:val="center"/>
          </w:tcPr>
          <w:p w14:paraId="47CCCD5A" w14:textId="07A7CA92"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23" w:type="pct"/>
            <w:noWrap/>
            <w:vAlign w:val="center"/>
          </w:tcPr>
          <w:p w14:paraId="16EEDAED" w14:textId="2EF5B53E"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81.500</w:t>
            </w:r>
          </w:p>
        </w:tc>
        <w:tc>
          <w:tcPr>
            <w:tcW w:w="423" w:type="pct"/>
            <w:noWrap/>
            <w:vAlign w:val="center"/>
          </w:tcPr>
          <w:p w14:paraId="645178C8" w14:textId="09AB6DC0"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90.525</w:t>
            </w:r>
          </w:p>
        </w:tc>
        <w:tc>
          <w:tcPr>
            <w:tcW w:w="381" w:type="pct"/>
            <w:noWrap/>
            <w:vAlign w:val="center"/>
          </w:tcPr>
          <w:p w14:paraId="249383D3" w14:textId="109E04F7"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(9.025)</w:t>
            </w:r>
          </w:p>
        </w:tc>
        <w:tc>
          <w:tcPr>
            <w:tcW w:w="423" w:type="pct"/>
            <w:noWrap/>
            <w:vAlign w:val="center"/>
          </w:tcPr>
          <w:p w14:paraId="4A34F019" w14:textId="11FC77C5"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81.500</w:t>
            </w:r>
          </w:p>
        </w:tc>
        <w:tc>
          <w:tcPr>
            <w:tcW w:w="446" w:type="pct"/>
            <w:noWrap/>
            <w:vAlign w:val="center"/>
          </w:tcPr>
          <w:p w14:paraId="6BEBBCA1" w14:textId="2F062856" w:rsidR="00757050" w:rsidRPr="00E20D21" w:rsidRDefault="00757050" w:rsidP="005D3F36">
            <w:pPr>
              <w:jc w:val="right"/>
              <w:rPr>
                <w:rFonts w:ascii="CAIXA Std Book" w:hAnsi="CAIXA Std Book" w:cs="Arial"/>
                <w:color w:val="005CA9"/>
                <w:sz w:val="18"/>
                <w:szCs w:val="18"/>
              </w:rPr>
            </w:pPr>
            <w:r w:rsidRPr="00E20D21">
              <w:rPr>
                <w:rFonts w:ascii="CAIXA Std Book" w:hAnsi="CAIXA Std Book" w:cs="Arial"/>
                <w:color w:val="005CA9"/>
                <w:sz w:val="18"/>
                <w:szCs w:val="18"/>
              </w:rPr>
              <w:t>235.492</w:t>
            </w:r>
          </w:p>
        </w:tc>
        <w:tc>
          <w:tcPr>
            <w:tcW w:w="408" w:type="pct"/>
            <w:noWrap/>
            <w:vAlign w:val="center"/>
          </w:tcPr>
          <w:p w14:paraId="4DB06C9D" w14:textId="12CCBFB6" w:rsidR="00757050" w:rsidRPr="00E20D21" w:rsidRDefault="00757050" w:rsidP="005D3F36">
            <w:pPr>
              <w:jc w:val="right"/>
              <w:rPr>
                <w:rFonts w:ascii="CAIXA Std Book" w:hAnsi="CAIXA Std Book" w:cs="Arial"/>
                <w:color w:val="005CA9"/>
                <w:sz w:val="18"/>
                <w:szCs w:val="18"/>
              </w:rPr>
            </w:pPr>
            <w:r w:rsidRPr="00E20D21">
              <w:rPr>
                <w:rFonts w:ascii="CAIXA Std Book" w:hAnsi="CAIXA Std Book" w:cs="Arial"/>
                <w:color w:val="005CA9"/>
                <w:sz w:val="18"/>
                <w:szCs w:val="18"/>
              </w:rPr>
              <w:t>5.832</w:t>
            </w:r>
          </w:p>
        </w:tc>
        <w:tc>
          <w:tcPr>
            <w:tcW w:w="447" w:type="pct"/>
            <w:noWrap/>
            <w:vAlign w:val="center"/>
          </w:tcPr>
          <w:p w14:paraId="0443B441" w14:textId="56DF484F" w:rsidR="00757050" w:rsidRPr="00E20D21" w:rsidRDefault="00757050" w:rsidP="005D3F36">
            <w:pPr>
              <w:jc w:val="right"/>
              <w:rPr>
                <w:rFonts w:ascii="CAIXA Std Book" w:hAnsi="CAIXA Std Book" w:cs="Arial"/>
                <w:color w:val="005CA9"/>
                <w:sz w:val="18"/>
                <w:szCs w:val="18"/>
              </w:rPr>
            </w:pPr>
            <w:r w:rsidRPr="00E20D21">
              <w:rPr>
                <w:rFonts w:ascii="CAIXA Std Book" w:hAnsi="CAIXA Std Book" w:cs="Arial"/>
                <w:color w:val="005CA9"/>
                <w:sz w:val="18"/>
                <w:szCs w:val="18"/>
              </w:rPr>
              <w:t>241.324</w:t>
            </w:r>
          </w:p>
        </w:tc>
      </w:tr>
      <w:tr w:rsidR="00D35B0B" w:rsidRPr="00E20D21" w14:paraId="236A36DE" w14:textId="77777777" w:rsidTr="00ED66A7">
        <w:trPr>
          <w:trHeight w:val="283"/>
        </w:trPr>
        <w:tc>
          <w:tcPr>
            <w:tcW w:w="961" w:type="pct"/>
            <w:vAlign w:val="center"/>
            <w:hideMark/>
          </w:tcPr>
          <w:p w14:paraId="1E8F021D" w14:textId="77777777" w:rsidR="00757050" w:rsidRPr="00E20D21" w:rsidRDefault="00757050" w:rsidP="0075705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Cotas de fundos</w:t>
            </w:r>
          </w:p>
        </w:tc>
        <w:tc>
          <w:tcPr>
            <w:tcW w:w="389" w:type="pct"/>
            <w:vAlign w:val="center"/>
          </w:tcPr>
          <w:p w14:paraId="6F50E4BB" w14:textId="09C19DBE"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160.647</w:t>
            </w:r>
          </w:p>
        </w:tc>
        <w:tc>
          <w:tcPr>
            <w:tcW w:w="347" w:type="pct"/>
            <w:vAlign w:val="center"/>
          </w:tcPr>
          <w:p w14:paraId="0D63BDBE" w14:textId="50DB1492"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352" w:type="pct"/>
            <w:noWrap/>
            <w:vAlign w:val="center"/>
          </w:tcPr>
          <w:p w14:paraId="4672D367" w14:textId="44C448AF"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23" w:type="pct"/>
            <w:noWrap/>
            <w:vAlign w:val="center"/>
          </w:tcPr>
          <w:p w14:paraId="3E24E4CB" w14:textId="66BB0847"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23" w:type="pct"/>
            <w:noWrap/>
            <w:vAlign w:val="center"/>
          </w:tcPr>
          <w:p w14:paraId="286A1970" w14:textId="28B15ED9"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151.345</w:t>
            </w:r>
          </w:p>
        </w:tc>
        <w:tc>
          <w:tcPr>
            <w:tcW w:w="381" w:type="pct"/>
            <w:noWrap/>
            <w:vAlign w:val="center"/>
          </w:tcPr>
          <w:p w14:paraId="095EA16D" w14:textId="3B982AAD"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9.302</w:t>
            </w:r>
          </w:p>
        </w:tc>
        <w:tc>
          <w:tcPr>
            <w:tcW w:w="423" w:type="pct"/>
            <w:noWrap/>
            <w:vAlign w:val="center"/>
          </w:tcPr>
          <w:p w14:paraId="0E638DDF" w14:textId="3310431C"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160.647</w:t>
            </w:r>
          </w:p>
        </w:tc>
        <w:tc>
          <w:tcPr>
            <w:tcW w:w="446" w:type="pct"/>
            <w:noWrap/>
            <w:vAlign w:val="center"/>
            <w:hideMark/>
          </w:tcPr>
          <w:p w14:paraId="1C464B20" w14:textId="641E0761"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161.319</w:t>
            </w:r>
          </w:p>
        </w:tc>
        <w:tc>
          <w:tcPr>
            <w:tcW w:w="408" w:type="pct"/>
            <w:noWrap/>
            <w:vAlign w:val="center"/>
            <w:hideMark/>
          </w:tcPr>
          <w:p w14:paraId="4FBCDD6C" w14:textId="0670100D"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100.232</w:t>
            </w:r>
          </w:p>
        </w:tc>
        <w:tc>
          <w:tcPr>
            <w:tcW w:w="447" w:type="pct"/>
            <w:noWrap/>
            <w:vAlign w:val="center"/>
            <w:hideMark/>
          </w:tcPr>
          <w:p w14:paraId="1B874710" w14:textId="55B4D5C0"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261.551</w:t>
            </w:r>
          </w:p>
        </w:tc>
      </w:tr>
      <w:tr w:rsidR="00D35B0B" w:rsidRPr="00E20D21" w14:paraId="5FB00096" w14:textId="77777777" w:rsidTr="00ED66A7">
        <w:trPr>
          <w:trHeight w:val="283"/>
        </w:trPr>
        <w:tc>
          <w:tcPr>
            <w:tcW w:w="961" w:type="pct"/>
            <w:vAlign w:val="center"/>
            <w:hideMark/>
          </w:tcPr>
          <w:p w14:paraId="3CC7A02A" w14:textId="77777777" w:rsidR="00757050" w:rsidRPr="00E20D21" w:rsidRDefault="00757050" w:rsidP="0075705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Ações</w:t>
            </w:r>
          </w:p>
        </w:tc>
        <w:tc>
          <w:tcPr>
            <w:tcW w:w="389" w:type="pct"/>
            <w:vAlign w:val="center"/>
          </w:tcPr>
          <w:p w14:paraId="515849F7" w14:textId="0A376A53"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9.015</w:t>
            </w:r>
          </w:p>
        </w:tc>
        <w:tc>
          <w:tcPr>
            <w:tcW w:w="347" w:type="pct"/>
            <w:vAlign w:val="center"/>
          </w:tcPr>
          <w:p w14:paraId="431A7959" w14:textId="3148B9AA"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352" w:type="pct"/>
            <w:noWrap/>
            <w:vAlign w:val="center"/>
          </w:tcPr>
          <w:p w14:paraId="69AE2565" w14:textId="1038BC77"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23" w:type="pct"/>
            <w:noWrap/>
            <w:vAlign w:val="center"/>
          </w:tcPr>
          <w:p w14:paraId="58DD7A44" w14:textId="64420D55" w:rsidR="00757050" w:rsidRPr="00E20D21" w:rsidRDefault="004A7A2F" w:rsidP="00757050">
            <w:pPr>
              <w:jc w:val="center"/>
              <w:rPr>
                <w:rFonts w:ascii="CAIXA Std Book" w:hAnsi="CAIXA Std Book" w:cs="Arial"/>
                <w:color w:val="005CA9"/>
                <w:sz w:val="18"/>
                <w:szCs w:val="18"/>
              </w:rPr>
            </w:pPr>
            <w:r w:rsidRPr="00E20D21">
              <w:rPr>
                <w:rFonts w:ascii="CAIXA Std Book" w:hAnsi="CAIXA Std Book" w:cs="Arial"/>
                <w:bCs/>
                <w:color w:val="005CA9"/>
                <w:sz w:val="18"/>
                <w:szCs w:val="18"/>
              </w:rPr>
              <w:t>-</w:t>
            </w:r>
          </w:p>
        </w:tc>
        <w:tc>
          <w:tcPr>
            <w:tcW w:w="423" w:type="pct"/>
            <w:noWrap/>
            <w:vAlign w:val="center"/>
          </w:tcPr>
          <w:p w14:paraId="43A87618" w14:textId="7220E9FD"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100.448</w:t>
            </w:r>
          </w:p>
        </w:tc>
        <w:tc>
          <w:tcPr>
            <w:tcW w:w="381" w:type="pct"/>
            <w:noWrap/>
            <w:vAlign w:val="center"/>
          </w:tcPr>
          <w:p w14:paraId="30C74612" w14:textId="73BD95DA"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(91.433)</w:t>
            </w:r>
          </w:p>
        </w:tc>
        <w:tc>
          <w:tcPr>
            <w:tcW w:w="423" w:type="pct"/>
            <w:noWrap/>
            <w:vAlign w:val="center"/>
          </w:tcPr>
          <w:p w14:paraId="67D7E1B9" w14:textId="44B96DC0" w:rsidR="00757050" w:rsidRPr="00E20D21" w:rsidRDefault="004A7A2F" w:rsidP="00757050">
            <w:pPr>
              <w:jc w:val="right"/>
              <w:rPr>
                <w:rFonts w:ascii="CAIXA Std Book" w:hAnsi="CAIXA Std Book" w:cs="Arial"/>
                <w:color w:val="005CA9"/>
                <w:sz w:val="18"/>
                <w:szCs w:val="18"/>
              </w:rPr>
            </w:pPr>
            <w:r w:rsidRPr="00E20D21">
              <w:rPr>
                <w:rFonts w:ascii="CAIXA Std Book" w:hAnsi="CAIXA Std Book" w:cs="Arial"/>
                <w:bCs/>
                <w:color w:val="005CA9"/>
                <w:sz w:val="18"/>
                <w:szCs w:val="18"/>
              </w:rPr>
              <w:t>9.015</w:t>
            </w:r>
          </w:p>
        </w:tc>
        <w:tc>
          <w:tcPr>
            <w:tcW w:w="446" w:type="pct"/>
            <w:noWrap/>
            <w:vAlign w:val="center"/>
            <w:hideMark/>
          </w:tcPr>
          <w:p w14:paraId="5FFB7775" w14:textId="5FB0A029"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100.448</w:t>
            </w:r>
          </w:p>
        </w:tc>
        <w:tc>
          <w:tcPr>
            <w:tcW w:w="408" w:type="pct"/>
            <w:noWrap/>
            <w:vAlign w:val="center"/>
            <w:hideMark/>
          </w:tcPr>
          <w:p w14:paraId="4D22AA01" w14:textId="2EC9B358"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(84.010)</w:t>
            </w:r>
          </w:p>
        </w:tc>
        <w:tc>
          <w:tcPr>
            <w:tcW w:w="447" w:type="pct"/>
            <w:noWrap/>
            <w:vAlign w:val="center"/>
            <w:hideMark/>
          </w:tcPr>
          <w:p w14:paraId="45E0D4C9" w14:textId="012B8184" w:rsidR="00757050" w:rsidRPr="00E20D21" w:rsidRDefault="00757050" w:rsidP="00757050">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16.438</w:t>
            </w:r>
          </w:p>
        </w:tc>
      </w:tr>
      <w:tr w:rsidR="00D35B0B" w:rsidRPr="00E20D21" w14:paraId="1CF5E5B2" w14:textId="77777777" w:rsidTr="00ED66A7">
        <w:trPr>
          <w:trHeight w:val="283"/>
        </w:trPr>
        <w:tc>
          <w:tcPr>
            <w:tcW w:w="961" w:type="pct"/>
            <w:tcBorders>
              <w:top w:val="single" w:sz="4" w:space="0" w:color="F79646"/>
              <w:left w:val="nil"/>
              <w:bottom w:val="single" w:sz="4" w:space="0" w:color="F79646"/>
              <w:right w:val="nil"/>
            </w:tcBorders>
            <w:vAlign w:val="center"/>
            <w:hideMark/>
          </w:tcPr>
          <w:p w14:paraId="7E1358E6" w14:textId="77777777" w:rsidR="00757050" w:rsidRPr="00E20D21" w:rsidRDefault="00757050" w:rsidP="00757050">
            <w:pP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Total</w:t>
            </w:r>
          </w:p>
        </w:tc>
        <w:tc>
          <w:tcPr>
            <w:tcW w:w="389" w:type="pct"/>
            <w:tcBorders>
              <w:top w:val="single" w:sz="4" w:space="0" w:color="F39200"/>
              <w:left w:val="nil"/>
              <w:bottom w:val="single" w:sz="4" w:space="0" w:color="F39200"/>
              <w:right w:val="nil"/>
            </w:tcBorders>
            <w:noWrap/>
            <w:vAlign w:val="center"/>
          </w:tcPr>
          <w:p w14:paraId="47466AA9" w14:textId="52E941AD"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169.662</w:t>
            </w:r>
          </w:p>
        </w:tc>
        <w:tc>
          <w:tcPr>
            <w:tcW w:w="347" w:type="pct"/>
            <w:tcBorders>
              <w:top w:val="single" w:sz="4" w:space="0" w:color="F39200"/>
              <w:left w:val="nil"/>
              <w:bottom w:val="single" w:sz="4" w:space="0" w:color="F39200"/>
              <w:right w:val="nil"/>
            </w:tcBorders>
            <w:noWrap/>
            <w:vAlign w:val="center"/>
          </w:tcPr>
          <w:p w14:paraId="7376C004" w14:textId="706D9342" w:rsidR="00757050" w:rsidRPr="00E20D21" w:rsidRDefault="00ED66A7"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2.545.443</w:t>
            </w:r>
          </w:p>
        </w:tc>
        <w:tc>
          <w:tcPr>
            <w:tcW w:w="352" w:type="pct"/>
            <w:tcBorders>
              <w:top w:val="single" w:sz="4" w:space="0" w:color="F39200"/>
              <w:left w:val="nil"/>
              <w:bottom w:val="single" w:sz="4" w:space="0" w:color="F39200"/>
              <w:right w:val="nil"/>
            </w:tcBorders>
            <w:noWrap/>
            <w:vAlign w:val="center"/>
          </w:tcPr>
          <w:p w14:paraId="2DB14580" w14:textId="40DEF5F0" w:rsidR="00757050" w:rsidRPr="00E20D21" w:rsidRDefault="00ED66A7"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113.036</w:t>
            </w:r>
          </w:p>
        </w:tc>
        <w:tc>
          <w:tcPr>
            <w:tcW w:w="423" w:type="pct"/>
            <w:tcBorders>
              <w:top w:val="single" w:sz="4" w:space="0" w:color="F39200"/>
              <w:left w:val="nil"/>
              <w:bottom w:val="single" w:sz="4" w:space="0" w:color="F39200"/>
              <w:right w:val="nil"/>
            </w:tcBorders>
            <w:noWrap/>
            <w:vAlign w:val="center"/>
          </w:tcPr>
          <w:p w14:paraId="04C416A5" w14:textId="0CF09F8D"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115.</w:t>
            </w:r>
            <w:r w:rsidR="00ED66A7" w:rsidRPr="00E20D21">
              <w:rPr>
                <w:rFonts w:ascii="CAIXA Std Book" w:hAnsi="CAIXA Std Book" w:cs="Arial"/>
                <w:b/>
                <w:color w:val="005CA9"/>
                <w:sz w:val="18"/>
                <w:szCs w:val="18"/>
              </w:rPr>
              <w:t>352.999</w:t>
            </w:r>
          </w:p>
        </w:tc>
        <w:tc>
          <w:tcPr>
            <w:tcW w:w="423" w:type="pct"/>
            <w:tcBorders>
              <w:top w:val="single" w:sz="4" w:space="0" w:color="F39200"/>
              <w:left w:val="nil"/>
              <w:bottom w:val="single" w:sz="4" w:space="0" w:color="F39200"/>
              <w:right w:val="nil"/>
            </w:tcBorders>
            <w:noWrap/>
            <w:vAlign w:val="center"/>
          </w:tcPr>
          <w:p w14:paraId="71A574EE" w14:textId="2BC4A54F"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119.080.241</w:t>
            </w:r>
          </w:p>
        </w:tc>
        <w:tc>
          <w:tcPr>
            <w:tcW w:w="381" w:type="pct"/>
            <w:tcBorders>
              <w:top w:val="single" w:sz="4" w:space="0" w:color="F39200"/>
              <w:left w:val="nil"/>
              <w:bottom w:val="single" w:sz="4" w:space="0" w:color="F39200"/>
              <w:right w:val="nil"/>
            </w:tcBorders>
            <w:noWrap/>
            <w:vAlign w:val="center"/>
          </w:tcPr>
          <w:p w14:paraId="7383C91E" w14:textId="320699BF"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(899.101)</w:t>
            </w:r>
          </w:p>
        </w:tc>
        <w:tc>
          <w:tcPr>
            <w:tcW w:w="423" w:type="pct"/>
            <w:tcBorders>
              <w:top w:val="single" w:sz="4" w:space="0" w:color="F39200"/>
              <w:left w:val="nil"/>
              <w:bottom w:val="single" w:sz="4" w:space="0" w:color="F39200"/>
              <w:right w:val="nil"/>
            </w:tcBorders>
            <w:noWrap/>
            <w:vAlign w:val="center"/>
          </w:tcPr>
          <w:p w14:paraId="21C76B14" w14:textId="6DA73F98" w:rsidR="00757050" w:rsidRPr="00E20D21" w:rsidRDefault="004A7A2F" w:rsidP="00757050">
            <w:pPr>
              <w:jc w:val="right"/>
              <w:rPr>
                <w:rFonts w:ascii="CAIXA Std Book" w:hAnsi="CAIXA Std Book" w:cs="Arial"/>
                <w:b/>
                <w:color w:val="005CA9"/>
                <w:sz w:val="18"/>
                <w:szCs w:val="18"/>
              </w:rPr>
            </w:pPr>
            <w:r w:rsidRPr="00E20D21">
              <w:rPr>
                <w:rFonts w:ascii="CAIXA Std Book" w:hAnsi="CAIXA Std Book" w:cs="Arial"/>
                <w:b/>
                <w:color w:val="005CA9"/>
                <w:sz w:val="18"/>
                <w:szCs w:val="18"/>
              </w:rPr>
              <w:t>118.181.140</w:t>
            </w:r>
          </w:p>
        </w:tc>
        <w:tc>
          <w:tcPr>
            <w:tcW w:w="446" w:type="pct"/>
            <w:tcBorders>
              <w:top w:val="single" w:sz="4" w:space="0" w:color="F39200"/>
              <w:left w:val="nil"/>
              <w:bottom w:val="single" w:sz="4" w:space="0" w:color="F39200"/>
              <w:right w:val="nil"/>
            </w:tcBorders>
            <w:noWrap/>
            <w:vAlign w:val="center"/>
            <w:hideMark/>
          </w:tcPr>
          <w:p w14:paraId="7A639662" w14:textId="113DBDE1" w:rsidR="00757050" w:rsidRPr="00E20D21" w:rsidRDefault="00757050" w:rsidP="00757050">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135.386.908</w:t>
            </w:r>
          </w:p>
        </w:tc>
        <w:tc>
          <w:tcPr>
            <w:tcW w:w="408" w:type="pct"/>
            <w:tcBorders>
              <w:top w:val="single" w:sz="4" w:space="0" w:color="F39200"/>
              <w:left w:val="nil"/>
              <w:bottom w:val="single" w:sz="4" w:space="0" w:color="F39200"/>
              <w:right w:val="nil"/>
            </w:tcBorders>
            <w:noWrap/>
            <w:vAlign w:val="center"/>
            <w:hideMark/>
          </w:tcPr>
          <w:p w14:paraId="598D2FAD" w14:textId="7EF05DFF" w:rsidR="00757050" w:rsidRPr="00E20D21" w:rsidRDefault="00757050" w:rsidP="00757050">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3.110.216</w:t>
            </w:r>
          </w:p>
        </w:tc>
        <w:tc>
          <w:tcPr>
            <w:tcW w:w="447" w:type="pct"/>
            <w:tcBorders>
              <w:top w:val="single" w:sz="4" w:space="0" w:color="F39200"/>
              <w:left w:val="nil"/>
              <w:bottom w:val="single" w:sz="4" w:space="0" w:color="F39200"/>
              <w:right w:val="nil"/>
            </w:tcBorders>
            <w:noWrap/>
            <w:vAlign w:val="center"/>
            <w:hideMark/>
          </w:tcPr>
          <w:p w14:paraId="186AE647" w14:textId="16C68888" w:rsidR="00757050" w:rsidRPr="00E20D21" w:rsidRDefault="00757050" w:rsidP="00757050">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138.497.124</w:t>
            </w:r>
          </w:p>
        </w:tc>
      </w:tr>
    </w:tbl>
    <w:p w14:paraId="321DDF8A" w14:textId="77777777" w:rsidR="00903613" w:rsidRPr="00E20D21" w:rsidRDefault="00903613" w:rsidP="001D2145">
      <w:pPr>
        <w:keepNext/>
        <w:tabs>
          <w:tab w:val="left" w:pos="567"/>
        </w:tabs>
        <w:spacing w:before="480" w:after="240"/>
        <w:jc w:val="both"/>
        <w:rPr>
          <w:rFonts w:ascii="CAIXA Std Book" w:hAnsi="CAIXA Std Book"/>
          <w:b/>
          <w:color w:val="005CA9"/>
          <w:sz w:val="20"/>
          <w:szCs w:val="20"/>
        </w:rPr>
      </w:pPr>
    </w:p>
    <w:p w14:paraId="373F529D" w14:textId="77777777" w:rsidR="00903613" w:rsidRPr="00E20D21" w:rsidRDefault="00903613">
      <w:pPr>
        <w:rPr>
          <w:rFonts w:ascii="CAIXA Std Book" w:hAnsi="CAIXA Std Book"/>
          <w:b/>
          <w:color w:val="005CA9"/>
          <w:sz w:val="20"/>
          <w:szCs w:val="20"/>
        </w:rPr>
      </w:pPr>
      <w:r w:rsidRPr="00E20D21">
        <w:rPr>
          <w:rFonts w:ascii="CAIXA Std Book" w:hAnsi="CAIXA Std Book"/>
          <w:b/>
          <w:color w:val="005CA9"/>
          <w:sz w:val="20"/>
          <w:szCs w:val="20"/>
        </w:rPr>
        <w:br w:type="page"/>
      </w:r>
    </w:p>
    <w:p w14:paraId="69FA9E15" w14:textId="3F158295" w:rsidR="005F303D" w:rsidRPr="00E20D21" w:rsidRDefault="005F303D" w:rsidP="001D2145">
      <w:pPr>
        <w:keepNext/>
        <w:tabs>
          <w:tab w:val="left" w:pos="567"/>
        </w:tabs>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lastRenderedPageBreak/>
        <w:t>(c.2)</w:t>
      </w:r>
      <w:r w:rsidRPr="00E20D21">
        <w:rPr>
          <w:rFonts w:ascii="CAIXA Std Book" w:hAnsi="CAIXA Std Book"/>
          <w:b/>
          <w:color w:val="005CA9"/>
          <w:sz w:val="20"/>
          <w:szCs w:val="20"/>
        </w:rPr>
        <w:tab/>
        <w:t>Categoria II - Títulos disponíveis para venda</w:t>
      </w:r>
    </w:p>
    <w:p w14:paraId="1C95F0B4" w14:textId="0CBB1FF0" w:rsidR="00A800F1" w:rsidRPr="00E20D21" w:rsidRDefault="00A800F1" w:rsidP="00A800F1">
      <w:pPr>
        <w:autoSpaceDE w:val="0"/>
        <w:autoSpaceDN w:val="0"/>
        <w:adjustRightInd w:val="0"/>
        <w:spacing w:before="120" w:after="240"/>
        <w:jc w:val="both"/>
        <w:rPr>
          <w:rFonts w:ascii="CAIXA Std Book" w:hAnsi="CAIXA Std Book"/>
          <w:color w:val="005CA9"/>
          <w:sz w:val="20"/>
          <w:szCs w:val="20"/>
        </w:rPr>
      </w:pPr>
      <w:r w:rsidRPr="00E20D21">
        <w:rPr>
          <w:rFonts w:ascii="CAIXA Std Book" w:hAnsi="CAIXA Std Book"/>
          <w:color w:val="005CA9"/>
          <w:sz w:val="20"/>
          <w:szCs w:val="20"/>
        </w:rPr>
        <w:t xml:space="preserve">Os títulos e valores mobiliários classificados nesta categoria são passíveis de aplicação de testes de </w:t>
      </w:r>
      <w:r w:rsidRPr="00E20D21">
        <w:rPr>
          <w:rFonts w:ascii="CAIXA Std Book" w:hAnsi="CAIXA Std Book"/>
          <w:i/>
          <w:color w:val="005CA9"/>
          <w:sz w:val="20"/>
          <w:szCs w:val="20"/>
        </w:rPr>
        <w:t>impairment</w:t>
      </w:r>
      <w:r w:rsidRPr="00E20D21">
        <w:rPr>
          <w:rFonts w:ascii="CAIXA Std Book" w:hAnsi="CAIXA Std Book"/>
          <w:color w:val="005CA9"/>
          <w:sz w:val="20"/>
          <w:szCs w:val="20"/>
        </w:rPr>
        <w:t xml:space="preserve"> periódicos, conforme estabelece a Circular </w:t>
      </w:r>
      <w:r w:rsidR="00FC561C" w:rsidRPr="00E20D21">
        <w:rPr>
          <w:rFonts w:ascii="CAIXA Std Book" w:hAnsi="CAIXA Std Book"/>
          <w:color w:val="005CA9"/>
          <w:sz w:val="20"/>
          <w:szCs w:val="20"/>
        </w:rPr>
        <w:t>BCB</w:t>
      </w:r>
      <w:r w:rsidRPr="00E20D21">
        <w:rPr>
          <w:rFonts w:ascii="CAIXA Std Book" w:hAnsi="CAIXA Std Book"/>
          <w:color w:val="005CA9"/>
          <w:sz w:val="20"/>
          <w:szCs w:val="20"/>
        </w:rPr>
        <w:t xml:space="preserve"> nº 3.068/2001 e os ajustes a valor de mercado impactam diretamente o patrimônio líquido da instituição.</w:t>
      </w:r>
    </w:p>
    <w:p w14:paraId="3F3FEE1A" w14:textId="3E36F6CA" w:rsidR="00A800F1" w:rsidRPr="00E20D21" w:rsidRDefault="00A153C7" w:rsidP="00A800F1">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papéis que compõem a carteira de TVM </w:t>
      </w:r>
      <w:r w:rsidR="00E5519A" w:rsidRPr="00E20D21">
        <w:rPr>
          <w:rFonts w:ascii="CAIXA Std Book" w:hAnsi="CAIXA Std Book"/>
          <w:color w:val="005CA9"/>
          <w:sz w:val="20"/>
          <w:szCs w:val="20"/>
        </w:rPr>
        <w:t>disponíveis</w:t>
      </w:r>
      <w:r w:rsidRPr="00E20D21">
        <w:rPr>
          <w:rFonts w:ascii="CAIXA Std Book" w:hAnsi="CAIXA Std Book"/>
          <w:color w:val="005CA9"/>
          <w:sz w:val="20"/>
          <w:szCs w:val="20"/>
        </w:rPr>
        <w:t xml:space="preserve"> para venda sofreram ajustes por perda no valor recuperável </w:t>
      </w:r>
      <w:r w:rsidR="009F47F1" w:rsidRPr="00E20D21">
        <w:rPr>
          <w:rFonts w:ascii="CAIXA Std Book" w:hAnsi="CAIXA Std Book"/>
          <w:color w:val="005CA9"/>
          <w:sz w:val="20"/>
          <w:szCs w:val="20"/>
        </w:rPr>
        <w:t xml:space="preserve">no valor de </w:t>
      </w:r>
      <w:r w:rsidR="00D304BB" w:rsidRPr="00E20D21">
        <w:rPr>
          <w:rFonts w:ascii="CAIXA Std Book" w:hAnsi="CAIXA Std Book"/>
          <w:color w:val="005CA9"/>
          <w:sz w:val="20"/>
          <w:szCs w:val="20"/>
        </w:rPr>
        <w:t>R</w:t>
      </w:r>
      <w:r w:rsidR="00C43F06" w:rsidRPr="00E20D21">
        <w:rPr>
          <w:rFonts w:ascii="CAIXA Std Book" w:hAnsi="CAIXA Std Book"/>
          <w:color w:val="005CA9"/>
          <w:sz w:val="20"/>
          <w:szCs w:val="20"/>
        </w:rPr>
        <w:t>$</w:t>
      </w:r>
      <w:r w:rsidR="00D304BB" w:rsidRPr="00E20D21">
        <w:rPr>
          <w:rFonts w:ascii="CAIXA Std Book" w:hAnsi="CAIXA Std Book"/>
          <w:color w:val="005CA9"/>
          <w:sz w:val="20"/>
          <w:szCs w:val="20"/>
        </w:rPr>
        <w:t xml:space="preserve"> 10.62</w:t>
      </w:r>
      <w:r w:rsidR="006F5FD3" w:rsidRPr="00E20D21">
        <w:rPr>
          <w:rFonts w:ascii="CAIXA Std Book" w:hAnsi="CAIXA Std Book"/>
          <w:color w:val="005CA9"/>
          <w:sz w:val="20"/>
          <w:szCs w:val="20"/>
        </w:rPr>
        <w:t>1</w:t>
      </w:r>
      <w:r w:rsidR="00D304BB" w:rsidRPr="00E20D21">
        <w:rPr>
          <w:rFonts w:ascii="CAIXA Std Book" w:hAnsi="CAIXA Std Book"/>
          <w:color w:val="005CA9"/>
          <w:sz w:val="20"/>
          <w:szCs w:val="20"/>
        </w:rPr>
        <w:t xml:space="preserve"> no 1</w:t>
      </w:r>
      <w:r w:rsidR="00386E8D" w:rsidRPr="00E20D21">
        <w:rPr>
          <w:rFonts w:ascii="CAIXA Std Book" w:hAnsi="CAIXA Std Book"/>
          <w:color w:val="005CA9"/>
          <w:sz w:val="20"/>
          <w:szCs w:val="20"/>
        </w:rPr>
        <w:t>º</w:t>
      </w:r>
      <w:r w:rsidR="00D304BB" w:rsidRPr="00E20D21">
        <w:rPr>
          <w:rFonts w:ascii="CAIXA Std Book" w:hAnsi="CAIXA Std Book"/>
          <w:color w:val="005CA9"/>
          <w:sz w:val="20"/>
          <w:szCs w:val="20"/>
        </w:rPr>
        <w:t xml:space="preserve"> semestre</w:t>
      </w:r>
      <w:r w:rsidR="00386E8D" w:rsidRPr="00E20D21">
        <w:rPr>
          <w:rFonts w:ascii="CAIXA Std Book" w:hAnsi="CAIXA Std Book"/>
          <w:color w:val="005CA9"/>
          <w:sz w:val="20"/>
          <w:szCs w:val="20"/>
        </w:rPr>
        <w:t xml:space="preserve"> de </w:t>
      </w:r>
      <w:r w:rsidR="00D304BB" w:rsidRPr="00E20D21">
        <w:rPr>
          <w:rFonts w:ascii="CAIXA Std Book" w:hAnsi="CAIXA Std Book"/>
          <w:color w:val="005CA9"/>
          <w:sz w:val="20"/>
          <w:szCs w:val="20"/>
        </w:rPr>
        <w:t>2</w:t>
      </w:r>
      <w:r w:rsidR="00386E8D" w:rsidRPr="00E20D21">
        <w:rPr>
          <w:rFonts w:ascii="CAIXA Std Book" w:hAnsi="CAIXA Std Book"/>
          <w:color w:val="005CA9"/>
          <w:sz w:val="20"/>
          <w:szCs w:val="20"/>
        </w:rPr>
        <w:t>024</w:t>
      </w:r>
      <w:r w:rsidR="00862C34" w:rsidRPr="00E20D21">
        <w:rPr>
          <w:rFonts w:ascii="CAIXA Std Book" w:hAnsi="CAIXA Std Book"/>
          <w:color w:val="005CA9"/>
          <w:sz w:val="20"/>
          <w:szCs w:val="20"/>
        </w:rPr>
        <w:t xml:space="preserve"> (não </w:t>
      </w:r>
      <w:r w:rsidR="00B05BDC" w:rsidRPr="00E20D21">
        <w:rPr>
          <w:rFonts w:ascii="CAIXA Std Book" w:hAnsi="CAIXA Std Book"/>
          <w:color w:val="005CA9"/>
          <w:sz w:val="20"/>
          <w:szCs w:val="20"/>
        </w:rPr>
        <w:t>houve Impairment</w:t>
      </w:r>
      <w:r w:rsidR="00862C34" w:rsidRPr="00E20D21">
        <w:rPr>
          <w:rFonts w:ascii="CAIXA Std Book" w:hAnsi="CAIXA Std Book"/>
          <w:color w:val="005CA9"/>
          <w:sz w:val="20"/>
          <w:szCs w:val="20"/>
        </w:rPr>
        <w:t xml:space="preserve"> </w:t>
      </w:r>
      <w:r w:rsidR="001665BA" w:rsidRPr="00E20D21">
        <w:rPr>
          <w:rFonts w:ascii="CAIXA Std Book" w:hAnsi="CAIXA Std Book"/>
          <w:color w:val="005CA9"/>
          <w:sz w:val="20"/>
          <w:szCs w:val="20"/>
        </w:rPr>
        <w:t xml:space="preserve">no 1º semestre de </w:t>
      </w:r>
      <w:r w:rsidR="006A6BDE" w:rsidRPr="00E20D21">
        <w:rPr>
          <w:rFonts w:ascii="CAIXA Std Book" w:hAnsi="CAIXA Std Book"/>
          <w:color w:val="005CA9"/>
          <w:sz w:val="20"/>
          <w:szCs w:val="20"/>
        </w:rPr>
        <w:t>2023</w:t>
      </w:r>
      <w:r w:rsidR="00862C34" w:rsidRPr="00E20D21">
        <w:rPr>
          <w:rFonts w:ascii="CAIXA Std Book" w:hAnsi="CAIXA Std Book"/>
          <w:color w:val="005CA9"/>
          <w:sz w:val="20"/>
          <w:szCs w:val="20"/>
        </w:rPr>
        <w:t>)</w:t>
      </w:r>
      <w:r w:rsidR="009E3D39" w:rsidRPr="00E20D21">
        <w:rPr>
          <w:rFonts w:ascii="CAIXA Std Book" w:hAnsi="CAIXA Std Book"/>
          <w:color w:val="005CA9"/>
          <w:sz w:val="20"/>
          <w:szCs w:val="20"/>
        </w:rPr>
        <w:t>.</w:t>
      </w:r>
    </w:p>
    <w:tbl>
      <w:tblPr>
        <w:tblW w:w="5000" w:type="pct"/>
        <w:tblCellMar>
          <w:left w:w="70" w:type="dxa"/>
          <w:right w:w="70" w:type="dxa"/>
        </w:tblCellMar>
        <w:tblLook w:val="04A0" w:firstRow="1" w:lastRow="0" w:firstColumn="1" w:lastColumn="0" w:noHBand="0" w:noVBand="1"/>
      </w:tblPr>
      <w:tblGrid>
        <w:gridCol w:w="2956"/>
        <w:gridCol w:w="991"/>
        <w:gridCol w:w="831"/>
        <w:gridCol w:w="831"/>
        <w:gridCol w:w="831"/>
        <w:gridCol w:w="1209"/>
        <w:gridCol w:w="1209"/>
        <w:gridCol w:w="1037"/>
        <w:gridCol w:w="1224"/>
        <w:gridCol w:w="1209"/>
        <w:gridCol w:w="1037"/>
        <w:gridCol w:w="1206"/>
      </w:tblGrid>
      <w:tr w:rsidR="00A47C19" w:rsidRPr="00E20D21" w14:paraId="50FD7555" w14:textId="77777777" w:rsidTr="004635E6">
        <w:trPr>
          <w:trHeight w:val="283"/>
        </w:trPr>
        <w:tc>
          <w:tcPr>
            <w:tcW w:w="5000" w:type="pct"/>
            <w:gridSpan w:val="12"/>
            <w:tcBorders>
              <w:top w:val="single" w:sz="4" w:space="0" w:color="F39200"/>
              <w:left w:val="nil"/>
              <w:bottom w:val="single" w:sz="4" w:space="0" w:color="F39200"/>
              <w:right w:val="nil"/>
            </w:tcBorders>
            <w:vAlign w:val="center"/>
          </w:tcPr>
          <w:p w14:paraId="2C22E023" w14:textId="209281E9" w:rsidR="00BA54BF" w:rsidRPr="00E20D21" w:rsidRDefault="00BA54BF" w:rsidP="00AC12B7">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INDIVIDUAL</w:t>
            </w:r>
          </w:p>
        </w:tc>
      </w:tr>
      <w:tr w:rsidR="00A47C19" w:rsidRPr="00E20D21" w14:paraId="4680AFC3" w14:textId="77777777" w:rsidTr="001E7C5D">
        <w:trPr>
          <w:trHeight w:val="283"/>
        </w:trPr>
        <w:tc>
          <w:tcPr>
            <w:tcW w:w="1014" w:type="pct"/>
            <w:vMerge w:val="restart"/>
            <w:tcBorders>
              <w:top w:val="nil"/>
              <w:left w:val="nil"/>
              <w:bottom w:val="single" w:sz="4" w:space="0" w:color="F39200"/>
              <w:right w:val="nil"/>
            </w:tcBorders>
            <w:shd w:val="clear" w:color="auto" w:fill="auto"/>
            <w:vAlign w:val="center"/>
            <w:hideMark/>
          </w:tcPr>
          <w:p w14:paraId="268B16D2" w14:textId="77777777"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Descrição</w:t>
            </w:r>
          </w:p>
        </w:tc>
        <w:tc>
          <w:tcPr>
            <w:tcW w:w="2801" w:type="pct"/>
            <w:gridSpan w:val="8"/>
            <w:tcBorders>
              <w:top w:val="single" w:sz="4" w:space="0" w:color="F39200"/>
              <w:left w:val="nil"/>
              <w:bottom w:val="single" w:sz="4" w:space="0" w:color="F39200"/>
              <w:right w:val="nil"/>
            </w:tcBorders>
            <w:vAlign w:val="center"/>
          </w:tcPr>
          <w:p w14:paraId="40F74111" w14:textId="08A57087" w:rsidR="00BA54BF" w:rsidRPr="00E20D21" w:rsidRDefault="00082EBA" w:rsidP="001B4F1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30/06/2024</w:t>
            </w:r>
          </w:p>
        </w:tc>
        <w:tc>
          <w:tcPr>
            <w:tcW w:w="1185" w:type="pct"/>
            <w:gridSpan w:val="3"/>
            <w:tcBorders>
              <w:top w:val="single" w:sz="4" w:space="0" w:color="F39200"/>
              <w:left w:val="nil"/>
              <w:bottom w:val="single" w:sz="4" w:space="0" w:color="F39200"/>
              <w:right w:val="nil"/>
            </w:tcBorders>
            <w:shd w:val="clear" w:color="auto" w:fill="auto"/>
            <w:noWrap/>
            <w:vAlign w:val="center"/>
            <w:hideMark/>
          </w:tcPr>
          <w:p w14:paraId="68880DA7" w14:textId="3FCE8F19" w:rsidR="00082EBA" w:rsidRPr="00E20D21" w:rsidRDefault="00BA54BF" w:rsidP="00082EBA">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31/12/202</w:t>
            </w:r>
            <w:r w:rsidR="00082EBA" w:rsidRPr="00E20D21">
              <w:rPr>
                <w:rFonts w:ascii="CAIXA Std Book" w:eastAsia="Times New Roman" w:hAnsi="CAIXA Std Book" w:cs="Arial"/>
                <w:b/>
                <w:color w:val="005CA9"/>
                <w:sz w:val="16"/>
                <w:szCs w:val="16"/>
              </w:rPr>
              <w:t>3</w:t>
            </w:r>
          </w:p>
        </w:tc>
      </w:tr>
      <w:tr w:rsidR="00A47C19" w:rsidRPr="00E20D21" w14:paraId="31999C5A" w14:textId="77777777" w:rsidTr="001E7C5D">
        <w:trPr>
          <w:trHeight w:val="283"/>
        </w:trPr>
        <w:tc>
          <w:tcPr>
            <w:tcW w:w="1014" w:type="pct"/>
            <w:vMerge/>
            <w:tcBorders>
              <w:top w:val="nil"/>
              <w:left w:val="nil"/>
              <w:bottom w:val="single" w:sz="4" w:space="0" w:color="F39200"/>
              <w:right w:val="nil"/>
            </w:tcBorders>
            <w:vAlign w:val="center"/>
            <w:hideMark/>
          </w:tcPr>
          <w:p w14:paraId="51E39B7D" w14:textId="77777777" w:rsidR="00BA54BF" w:rsidRPr="00E20D21" w:rsidRDefault="00BA54BF" w:rsidP="008C3493">
            <w:pPr>
              <w:jc w:val="center"/>
              <w:rPr>
                <w:rFonts w:ascii="CAIXA Std Book" w:eastAsia="Times New Roman" w:hAnsi="CAIXA Std Book" w:cs="Arial"/>
                <w:b/>
                <w:color w:val="005CA9"/>
                <w:sz w:val="16"/>
                <w:szCs w:val="16"/>
              </w:rPr>
            </w:pPr>
          </w:p>
        </w:tc>
        <w:tc>
          <w:tcPr>
            <w:tcW w:w="340" w:type="pct"/>
            <w:tcBorders>
              <w:top w:val="nil"/>
              <w:left w:val="nil"/>
              <w:bottom w:val="single" w:sz="4" w:space="0" w:color="F39200"/>
              <w:right w:val="nil"/>
            </w:tcBorders>
            <w:shd w:val="clear" w:color="auto" w:fill="auto"/>
            <w:vAlign w:val="center"/>
            <w:hideMark/>
          </w:tcPr>
          <w:p w14:paraId="23D0E779" w14:textId="77777777"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Sem vencimento</w:t>
            </w:r>
          </w:p>
        </w:tc>
        <w:tc>
          <w:tcPr>
            <w:tcW w:w="285" w:type="pct"/>
            <w:tcBorders>
              <w:top w:val="nil"/>
              <w:left w:val="nil"/>
              <w:bottom w:val="single" w:sz="4" w:space="0" w:color="F79646" w:themeColor="accent6"/>
              <w:right w:val="nil"/>
            </w:tcBorders>
            <w:vAlign w:val="center"/>
          </w:tcPr>
          <w:p w14:paraId="038AFB3A" w14:textId="0BB09EE7" w:rsidR="008A5561" w:rsidRPr="00E20D21" w:rsidRDefault="008A5561" w:rsidP="008A556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01 a 90 dias</w:t>
            </w:r>
          </w:p>
        </w:tc>
        <w:tc>
          <w:tcPr>
            <w:tcW w:w="285" w:type="pct"/>
            <w:tcBorders>
              <w:top w:val="nil"/>
              <w:left w:val="nil"/>
              <w:bottom w:val="single" w:sz="4" w:space="0" w:color="F39200"/>
              <w:right w:val="nil"/>
            </w:tcBorders>
            <w:shd w:val="clear" w:color="auto" w:fill="auto"/>
            <w:vAlign w:val="center"/>
            <w:hideMark/>
          </w:tcPr>
          <w:p w14:paraId="204CD75D" w14:textId="22787E1E"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91 a 180 dias</w:t>
            </w:r>
          </w:p>
        </w:tc>
        <w:tc>
          <w:tcPr>
            <w:tcW w:w="285" w:type="pct"/>
            <w:tcBorders>
              <w:top w:val="nil"/>
              <w:left w:val="nil"/>
              <w:bottom w:val="single" w:sz="4" w:space="0" w:color="F39200"/>
              <w:right w:val="nil"/>
            </w:tcBorders>
            <w:shd w:val="clear" w:color="auto" w:fill="auto"/>
            <w:vAlign w:val="center"/>
            <w:hideMark/>
          </w:tcPr>
          <w:p w14:paraId="3EEECC6C" w14:textId="77777777"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181 a 360 dias</w:t>
            </w:r>
          </w:p>
        </w:tc>
        <w:tc>
          <w:tcPr>
            <w:tcW w:w="415" w:type="pct"/>
            <w:tcBorders>
              <w:top w:val="nil"/>
              <w:left w:val="nil"/>
              <w:bottom w:val="single" w:sz="4" w:space="0" w:color="F39200"/>
              <w:right w:val="nil"/>
            </w:tcBorders>
            <w:shd w:val="clear" w:color="auto" w:fill="auto"/>
            <w:vAlign w:val="center"/>
            <w:hideMark/>
          </w:tcPr>
          <w:p w14:paraId="6A252991" w14:textId="77777777"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Acima de 360 dias</w:t>
            </w:r>
          </w:p>
        </w:tc>
        <w:tc>
          <w:tcPr>
            <w:tcW w:w="415" w:type="pct"/>
            <w:tcBorders>
              <w:top w:val="nil"/>
              <w:left w:val="nil"/>
              <w:bottom w:val="single" w:sz="4" w:space="0" w:color="F39200"/>
              <w:right w:val="nil"/>
            </w:tcBorders>
            <w:shd w:val="clear" w:color="auto" w:fill="auto"/>
            <w:vAlign w:val="center"/>
            <w:hideMark/>
          </w:tcPr>
          <w:p w14:paraId="2EB893D1" w14:textId="2003AB97"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Custo</w:t>
            </w:r>
          </w:p>
        </w:tc>
        <w:tc>
          <w:tcPr>
            <w:tcW w:w="356" w:type="pct"/>
            <w:tcBorders>
              <w:top w:val="nil"/>
              <w:left w:val="nil"/>
              <w:bottom w:val="single" w:sz="4" w:space="0" w:color="F39200"/>
              <w:right w:val="nil"/>
            </w:tcBorders>
            <w:shd w:val="clear" w:color="auto" w:fill="auto"/>
            <w:vAlign w:val="center"/>
            <w:hideMark/>
          </w:tcPr>
          <w:p w14:paraId="7A0B813A" w14:textId="77777777"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patrimônio líquido</w:t>
            </w:r>
          </w:p>
        </w:tc>
        <w:tc>
          <w:tcPr>
            <w:tcW w:w="420" w:type="pct"/>
            <w:tcBorders>
              <w:top w:val="nil"/>
              <w:left w:val="nil"/>
              <w:bottom w:val="single" w:sz="4" w:space="0" w:color="F39200"/>
              <w:right w:val="nil"/>
            </w:tcBorders>
            <w:shd w:val="clear" w:color="auto" w:fill="auto"/>
            <w:vAlign w:val="center"/>
            <w:hideMark/>
          </w:tcPr>
          <w:p w14:paraId="26699924" w14:textId="77777777"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de mercado</w:t>
            </w:r>
          </w:p>
        </w:tc>
        <w:tc>
          <w:tcPr>
            <w:tcW w:w="415" w:type="pct"/>
            <w:tcBorders>
              <w:top w:val="nil"/>
              <w:left w:val="nil"/>
              <w:bottom w:val="single" w:sz="4" w:space="0" w:color="F39200"/>
              <w:right w:val="nil"/>
            </w:tcBorders>
            <w:shd w:val="clear" w:color="auto" w:fill="auto"/>
            <w:vAlign w:val="center"/>
            <w:hideMark/>
          </w:tcPr>
          <w:p w14:paraId="3C24B25A" w14:textId="47DA8311"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Custo</w:t>
            </w:r>
          </w:p>
        </w:tc>
        <w:tc>
          <w:tcPr>
            <w:tcW w:w="356" w:type="pct"/>
            <w:tcBorders>
              <w:top w:val="nil"/>
              <w:left w:val="nil"/>
              <w:bottom w:val="single" w:sz="4" w:space="0" w:color="F39200"/>
              <w:right w:val="nil"/>
            </w:tcBorders>
            <w:shd w:val="clear" w:color="auto" w:fill="auto"/>
            <w:vAlign w:val="center"/>
            <w:hideMark/>
          </w:tcPr>
          <w:p w14:paraId="66DAE9FB" w14:textId="77777777"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patrimônio líquido</w:t>
            </w:r>
          </w:p>
        </w:tc>
        <w:tc>
          <w:tcPr>
            <w:tcW w:w="414" w:type="pct"/>
            <w:tcBorders>
              <w:top w:val="nil"/>
              <w:left w:val="nil"/>
              <w:bottom w:val="single" w:sz="4" w:space="0" w:color="F39200"/>
              <w:right w:val="nil"/>
            </w:tcBorders>
            <w:shd w:val="clear" w:color="auto" w:fill="auto"/>
            <w:vAlign w:val="center"/>
            <w:hideMark/>
          </w:tcPr>
          <w:p w14:paraId="774F205E" w14:textId="77777777" w:rsidR="00BA54BF" w:rsidRPr="00E20D21" w:rsidRDefault="00BA54BF" w:rsidP="00BA54BF">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de mercado</w:t>
            </w:r>
          </w:p>
        </w:tc>
      </w:tr>
      <w:tr w:rsidR="00A47C19" w:rsidRPr="00E20D21" w14:paraId="0C08D2C8" w14:textId="77777777" w:rsidTr="001E7C5D">
        <w:trPr>
          <w:trHeight w:val="283"/>
        </w:trPr>
        <w:tc>
          <w:tcPr>
            <w:tcW w:w="1014" w:type="pct"/>
            <w:tcBorders>
              <w:top w:val="single" w:sz="4" w:space="0" w:color="F79646" w:themeColor="accent6"/>
              <w:left w:val="nil"/>
              <w:bottom w:val="nil"/>
              <w:right w:val="nil"/>
            </w:tcBorders>
            <w:shd w:val="clear" w:color="auto" w:fill="auto"/>
            <w:vAlign w:val="center"/>
            <w:hideMark/>
          </w:tcPr>
          <w:p w14:paraId="084C9CFE" w14:textId="77777777" w:rsidR="00082EBA" w:rsidRPr="00E20D21" w:rsidRDefault="00082EBA" w:rsidP="00082EBA">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públicos</w:t>
            </w:r>
          </w:p>
        </w:tc>
        <w:tc>
          <w:tcPr>
            <w:tcW w:w="340" w:type="pct"/>
            <w:tcBorders>
              <w:top w:val="single" w:sz="4" w:space="0" w:color="F79646" w:themeColor="accent6"/>
              <w:left w:val="nil"/>
              <w:bottom w:val="nil"/>
              <w:right w:val="nil"/>
            </w:tcBorders>
            <w:shd w:val="clear" w:color="auto" w:fill="auto"/>
            <w:noWrap/>
            <w:vAlign w:val="center"/>
          </w:tcPr>
          <w:p w14:paraId="7E2F82C7" w14:textId="02045FA9" w:rsidR="00082EBA" w:rsidRPr="00E20D21" w:rsidRDefault="00540E4C" w:rsidP="00082EBA">
            <w:pPr>
              <w:jc w:val="center"/>
              <w:rPr>
                <w:rFonts w:ascii="CAIXA Std Book" w:hAnsi="CAIXA Std Book" w:cs="Arial"/>
                <w:b/>
                <w:color w:val="005CA9"/>
                <w:sz w:val="16"/>
                <w:szCs w:val="16"/>
              </w:rPr>
            </w:pPr>
            <w:r w:rsidRPr="00E20D21">
              <w:rPr>
                <w:rFonts w:ascii="CAIXA Std Book" w:hAnsi="CAIXA Std Book" w:cs="Arial"/>
                <w:b/>
                <w:color w:val="005CA9"/>
                <w:sz w:val="16"/>
                <w:szCs w:val="16"/>
              </w:rPr>
              <w:t>-</w:t>
            </w:r>
          </w:p>
        </w:tc>
        <w:tc>
          <w:tcPr>
            <w:tcW w:w="285" w:type="pct"/>
            <w:tcBorders>
              <w:top w:val="single" w:sz="4" w:space="0" w:color="F79646" w:themeColor="accent6"/>
              <w:left w:val="nil"/>
              <w:bottom w:val="nil"/>
              <w:right w:val="nil"/>
            </w:tcBorders>
            <w:vAlign w:val="center"/>
          </w:tcPr>
          <w:p w14:paraId="012C151F" w14:textId="4C79ECF0" w:rsidR="00082EBA" w:rsidRPr="00E20D21" w:rsidRDefault="00540E4C" w:rsidP="00540E4C">
            <w:pPr>
              <w:jc w:val="center"/>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w:t>
            </w:r>
          </w:p>
        </w:tc>
        <w:tc>
          <w:tcPr>
            <w:tcW w:w="285" w:type="pct"/>
            <w:tcBorders>
              <w:top w:val="nil"/>
              <w:left w:val="nil"/>
              <w:bottom w:val="nil"/>
              <w:right w:val="nil"/>
            </w:tcBorders>
            <w:shd w:val="clear" w:color="auto" w:fill="auto"/>
            <w:noWrap/>
            <w:vAlign w:val="center"/>
          </w:tcPr>
          <w:p w14:paraId="7FB90992" w14:textId="5D645B9C" w:rsidR="00082EBA" w:rsidRPr="00E20D21" w:rsidRDefault="00540E4C" w:rsidP="00082EBA">
            <w:pPr>
              <w:jc w:val="center"/>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w:t>
            </w:r>
          </w:p>
        </w:tc>
        <w:tc>
          <w:tcPr>
            <w:tcW w:w="285" w:type="pct"/>
            <w:tcBorders>
              <w:top w:val="nil"/>
              <w:left w:val="nil"/>
              <w:bottom w:val="nil"/>
              <w:right w:val="nil"/>
            </w:tcBorders>
            <w:shd w:val="clear" w:color="auto" w:fill="auto"/>
            <w:noWrap/>
            <w:vAlign w:val="center"/>
          </w:tcPr>
          <w:p w14:paraId="78B11AD9" w14:textId="2B8ECDD8" w:rsidR="00082EBA" w:rsidRPr="00E20D21" w:rsidRDefault="00540E4C" w:rsidP="00082EBA">
            <w:pPr>
              <w:jc w:val="center"/>
              <w:rPr>
                <w:rFonts w:ascii="CAIXA Std Book" w:hAnsi="CAIXA Std Book" w:cs="Arial"/>
                <w:b/>
                <w:color w:val="005CA9"/>
                <w:sz w:val="16"/>
                <w:szCs w:val="16"/>
              </w:rPr>
            </w:pPr>
            <w:r w:rsidRPr="00E20D21">
              <w:rPr>
                <w:rFonts w:ascii="CAIXA Std Book" w:hAnsi="CAIXA Std Book" w:cs="Arial"/>
                <w:b/>
                <w:color w:val="005CA9"/>
                <w:sz w:val="16"/>
                <w:szCs w:val="16"/>
              </w:rPr>
              <w:t>-</w:t>
            </w:r>
          </w:p>
        </w:tc>
        <w:tc>
          <w:tcPr>
            <w:tcW w:w="415" w:type="pct"/>
            <w:tcBorders>
              <w:top w:val="nil"/>
              <w:left w:val="nil"/>
              <w:bottom w:val="nil"/>
              <w:right w:val="nil"/>
            </w:tcBorders>
            <w:shd w:val="clear" w:color="auto" w:fill="auto"/>
            <w:noWrap/>
            <w:vAlign w:val="center"/>
          </w:tcPr>
          <w:p w14:paraId="3D5FFDEE" w14:textId="42E98568"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156.692.401</w:t>
            </w:r>
          </w:p>
        </w:tc>
        <w:tc>
          <w:tcPr>
            <w:tcW w:w="415" w:type="pct"/>
            <w:tcBorders>
              <w:top w:val="nil"/>
              <w:left w:val="nil"/>
              <w:bottom w:val="nil"/>
              <w:right w:val="nil"/>
            </w:tcBorders>
            <w:shd w:val="clear" w:color="auto" w:fill="auto"/>
            <w:noWrap/>
            <w:vAlign w:val="center"/>
          </w:tcPr>
          <w:p w14:paraId="269D5A1F" w14:textId="5A439100"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156.881.603</w:t>
            </w:r>
          </w:p>
        </w:tc>
        <w:tc>
          <w:tcPr>
            <w:tcW w:w="356" w:type="pct"/>
            <w:tcBorders>
              <w:top w:val="nil"/>
              <w:left w:val="nil"/>
              <w:bottom w:val="nil"/>
              <w:right w:val="nil"/>
            </w:tcBorders>
            <w:shd w:val="clear" w:color="auto" w:fill="auto"/>
            <w:noWrap/>
            <w:vAlign w:val="center"/>
          </w:tcPr>
          <w:p w14:paraId="7D9715C0" w14:textId="6D1E8770"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(189.202)</w:t>
            </w:r>
          </w:p>
        </w:tc>
        <w:tc>
          <w:tcPr>
            <w:tcW w:w="420" w:type="pct"/>
            <w:tcBorders>
              <w:top w:val="nil"/>
              <w:left w:val="nil"/>
              <w:bottom w:val="nil"/>
              <w:right w:val="nil"/>
            </w:tcBorders>
            <w:shd w:val="clear" w:color="auto" w:fill="auto"/>
            <w:noWrap/>
            <w:vAlign w:val="center"/>
          </w:tcPr>
          <w:p w14:paraId="282A5353" w14:textId="4BF575F5"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156.692.401</w:t>
            </w:r>
          </w:p>
        </w:tc>
        <w:tc>
          <w:tcPr>
            <w:tcW w:w="415" w:type="pct"/>
            <w:tcBorders>
              <w:top w:val="nil"/>
              <w:left w:val="nil"/>
              <w:bottom w:val="nil"/>
              <w:right w:val="nil"/>
            </w:tcBorders>
            <w:shd w:val="clear" w:color="auto" w:fill="auto"/>
            <w:noWrap/>
            <w:vAlign w:val="center"/>
            <w:hideMark/>
          </w:tcPr>
          <w:p w14:paraId="7ACB5244" w14:textId="4CAB9313" w:rsidR="00082EBA" w:rsidRPr="00E20D21" w:rsidRDefault="00082EBA" w:rsidP="00082EBA">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123.552.099</w:t>
            </w:r>
          </w:p>
        </w:tc>
        <w:tc>
          <w:tcPr>
            <w:tcW w:w="356" w:type="pct"/>
            <w:tcBorders>
              <w:top w:val="nil"/>
              <w:left w:val="nil"/>
              <w:bottom w:val="nil"/>
              <w:right w:val="nil"/>
            </w:tcBorders>
            <w:shd w:val="clear" w:color="auto" w:fill="auto"/>
            <w:noWrap/>
            <w:vAlign w:val="center"/>
            <w:hideMark/>
          </w:tcPr>
          <w:p w14:paraId="652006F8" w14:textId="51358C4C" w:rsidR="00082EBA" w:rsidRPr="00E20D21" w:rsidRDefault="00082EBA" w:rsidP="00082EBA">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47.071</w:t>
            </w:r>
          </w:p>
        </w:tc>
        <w:tc>
          <w:tcPr>
            <w:tcW w:w="414" w:type="pct"/>
            <w:tcBorders>
              <w:top w:val="nil"/>
              <w:left w:val="nil"/>
              <w:bottom w:val="nil"/>
              <w:right w:val="nil"/>
            </w:tcBorders>
            <w:shd w:val="clear" w:color="auto" w:fill="auto"/>
            <w:noWrap/>
            <w:vAlign w:val="center"/>
            <w:hideMark/>
          </w:tcPr>
          <w:p w14:paraId="18B83322" w14:textId="4AA92ABA" w:rsidR="00082EBA" w:rsidRPr="00E20D21" w:rsidRDefault="00082EBA" w:rsidP="00082EBA">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123.599.170</w:t>
            </w:r>
          </w:p>
        </w:tc>
      </w:tr>
      <w:tr w:rsidR="00A47C19" w:rsidRPr="00E20D21" w14:paraId="71EE3844" w14:textId="77777777" w:rsidTr="001E7C5D">
        <w:trPr>
          <w:trHeight w:val="283"/>
        </w:trPr>
        <w:tc>
          <w:tcPr>
            <w:tcW w:w="1014" w:type="pct"/>
            <w:tcBorders>
              <w:top w:val="nil"/>
              <w:left w:val="nil"/>
              <w:bottom w:val="nil"/>
              <w:right w:val="nil"/>
            </w:tcBorders>
            <w:shd w:val="clear" w:color="auto" w:fill="auto"/>
            <w:vAlign w:val="center"/>
            <w:hideMark/>
          </w:tcPr>
          <w:p w14:paraId="498AF096" w14:textId="77777777" w:rsidR="00082EBA" w:rsidRPr="00E20D21" w:rsidRDefault="00082EBA" w:rsidP="00082EBA">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 do tesouro</w:t>
            </w:r>
          </w:p>
        </w:tc>
        <w:tc>
          <w:tcPr>
            <w:tcW w:w="340" w:type="pct"/>
            <w:tcBorders>
              <w:top w:val="nil"/>
              <w:left w:val="nil"/>
              <w:bottom w:val="nil"/>
              <w:right w:val="nil"/>
            </w:tcBorders>
            <w:shd w:val="clear" w:color="auto" w:fill="auto"/>
            <w:noWrap/>
            <w:vAlign w:val="center"/>
          </w:tcPr>
          <w:p w14:paraId="723C9197" w14:textId="7E7473F4"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vAlign w:val="center"/>
          </w:tcPr>
          <w:p w14:paraId="0862C54B" w14:textId="68F79337"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18AA4BAA" w14:textId="72D2A854"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58256B55" w14:textId="4326219C"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vAlign w:val="center"/>
          </w:tcPr>
          <w:p w14:paraId="2E938D06" w14:textId="57DEBAFE"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146.751.124</w:t>
            </w:r>
          </w:p>
        </w:tc>
        <w:tc>
          <w:tcPr>
            <w:tcW w:w="415" w:type="pct"/>
            <w:tcBorders>
              <w:top w:val="nil"/>
              <w:left w:val="nil"/>
              <w:bottom w:val="nil"/>
              <w:right w:val="nil"/>
            </w:tcBorders>
            <w:shd w:val="clear" w:color="auto" w:fill="auto"/>
            <w:noWrap/>
            <w:vAlign w:val="center"/>
          </w:tcPr>
          <w:p w14:paraId="6D95DD4B" w14:textId="3E64575F"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146.681.823</w:t>
            </w:r>
          </w:p>
        </w:tc>
        <w:tc>
          <w:tcPr>
            <w:tcW w:w="356" w:type="pct"/>
            <w:tcBorders>
              <w:top w:val="nil"/>
              <w:left w:val="nil"/>
              <w:bottom w:val="nil"/>
              <w:right w:val="nil"/>
            </w:tcBorders>
            <w:shd w:val="clear" w:color="auto" w:fill="auto"/>
            <w:noWrap/>
            <w:vAlign w:val="center"/>
          </w:tcPr>
          <w:p w14:paraId="29577657" w14:textId="72F67E57"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69.301</w:t>
            </w:r>
          </w:p>
        </w:tc>
        <w:tc>
          <w:tcPr>
            <w:tcW w:w="420" w:type="pct"/>
            <w:tcBorders>
              <w:top w:val="nil"/>
              <w:left w:val="nil"/>
              <w:bottom w:val="nil"/>
              <w:right w:val="nil"/>
            </w:tcBorders>
            <w:shd w:val="clear" w:color="auto" w:fill="auto"/>
            <w:noWrap/>
            <w:vAlign w:val="center"/>
          </w:tcPr>
          <w:p w14:paraId="1B63B742" w14:textId="0E69CDD9"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146.751.124</w:t>
            </w:r>
          </w:p>
        </w:tc>
        <w:tc>
          <w:tcPr>
            <w:tcW w:w="415" w:type="pct"/>
            <w:tcBorders>
              <w:top w:val="nil"/>
              <w:left w:val="nil"/>
              <w:bottom w:val="nil"/>
              <w:right w:val="nil"/>
            </w:tcBorders>
            <w:shd w:val="clear" w:color="auto" w:fill="auto"/>
            <w:noWrap/>
            <w:vAlign w:val="center"/>
            <w:hideMark/>
          </w:tcPr>
          <w:p w14:paraId="5B7A15AC" w14:textId="5C6885DE"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121.199.664</w:t>
            </w:r>
          </w:p>
        </w:tc>
        <w:tc>
          <w:tcPr>
            <w:tcW w:w="356" w:type="pct"/>
            <w:tcBorders>
              <w:top w:val="nil"/>
              <w:left w:val="nil"/>
              <w:bottom w:val="nil"/>
              <w:right w:val="nil"/>
            </w:tcBorders>
            <w:shd w:val="clear" w:color="auto" w:fill="auto"/>
            <w:noWrap/>
            <w:vAlign w:val="center"/>
            <w:hideMark/>
          </w:tcPr>
          <w:p w14:paraId="759E5840" w14:textId="49813E75"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35.037</w:t>
            </w:r>
          </w:p>
        </w:tc>
        <w:tc>
          <w:tcPr>
            <w:tcW w:w="414" w:type="pct"/>
            <w:tcBorders>
              <w:top w:val="nil"/>
              <w:left w:val="nil"/>
              <w:bottom w:val="nil"/>
              <w:right w:val="nil"/>
            </w:tcBorders>
            <w:shd w:val="clear" w:color="auto" w:fill="auto"/>
            <w:noWrap/>
            <w:vAlign w:val="center"/>
            <w:hideMark/>
          </w:tcPr>
          <w:p w14:paraId="56AC7740" w14:textId="5B4585C2"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121.234.701</w:t>
            </w:r>
          </w:p>
        </w:tc>
      </w:tr>
      <w:tr w:rsidR="00A47C19" w:rsidRPr="00E20D21" w14:paraId="306D44A7" w14:textId="77777777" w:rsidTr="001E7C5D">
        <w:trPr>
          <w:trHeight w:val="283"/>
        </w:trPr>
        <w:tc>
          <w:tcPr>
            <w:tcW w:w="1014" w:type="pct"/>
            <w:tcBorders>
              <w:top w:val="nil"/>
              <w:left w:val="nil"/>
              <w:bottom w:val="nil"/>
              <w:right w:val="nil"/>
            </w:tcBorders>
            <w:shd w:val="clear" w:color="auto" w:fill="auto"/>
            <w:vAlign w:val="center"/>
            <w:hideMark/>
          </w:tcPr>
          <w:p w14:paraId="5AF1775F" w14:textId="77777777" w:rsidR="00082EBA" w:rsidRPr="00E20D21" w:rsidRDefault="00082EBA" w:rsidP="00082EBA">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do tesouro Nacional</w:t>
            </w:r>
          </w:p>
        </w:tc>
        <w:tc>
          <w:tcPr>
            <w:tcW w:w="340" w:type="pct"/>
            <w:tcBorders>
              <w:top w:val="nil"/>
              <w:left w:val="nil"/>
              <w:bottom w:val="nil"/>
              <w:right w:val="nil"/>
            </w:tcBorders>
            <w:shd w:val="clear" w:color="auto" w:fill="auto"/>
            <w:noWrap/>
            <w:vAlign w:val="center"/>
          </w:tcPr>
          <w:p w14:paraId="7C7D5C49" w14:textId="11E1EE22"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vAlign w:val="center"/>
          </w:tcPr>
          <w:p w14:paraId="56491C61" w14:textId="7DB6F57F" w:rsidR="00082EBA" w:rsidRPr="00E20D21" w:rsidRDefault="00540E4C" w:rsidP="00540E4C">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704A687C" w14:textId="4688C1FA"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71974292" w14:textId="4BBF3757"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noWrap/>
            <w:vAlign w:val="center"/>
          </w:tcPr>
          <w:p w14:paraId="52E1E009" w14:textId="7B44B271" w:rsidR="00082EBA" w:rsidRPr="00E20D21" w:rsidRDefault="00540E4C" w:rsidP="00540E4C">
            <w:pPr>
              <w:jc w:val="right"/>
              <w:rPr>
                <w:rFonts w:ascii="CAIXA Std Book" w:hAnsi="CAIXA Std Book" w:cs="Arial"/>
                <w:color w:val="005CA9"/>
                <w:sz w:val="16"/>
                <w:szCs w:val="16"/>
              </w:rPr>
            </w:pPr>
            <w:r w:rsidRPr="00E20D21">
              <w:rPr>
                <w:rFonts w:ascii="CAIXA Std Book" w:hAnsi="CAIXA Std Book" w:cs="Arial"/>
                <w:bCs/>
                <w:color w:val="005CA9"/>
                <w:sz w:val="16"/>
                <w:szCs w:val="16"/>
              </w:rPr>
              <w:t>7.177.297</w:t>
            </w:r>
          </w:p>
        </w:tc>
        <w:tc>
          <w:tcPr>
            <w:tcW w:w="415" w:type="pct"/>
            <w:tcBorders>
              <w:top w:val="nil"/>
              <w:left w:val="nil"/>
              <w:bottom w:val="nil"/>
              <w:right w:val="nil"/>
            </w:tcBorders>
            <w:shd w:val="clear" w:color="auto" w:fill="auto"/>
            <w:noWrap/>
            <w:vAlign w:val="center"/>
          </w:tcPr>
          <w:p w14:paraId="3E5CA2FE" w14:textId="33FB449A"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7.316.486</w:t>
            </w:r>
          </w:p>
        </w:tc>
        <w:tc>
          <w:tcPr>
            <w:tcW w:w="356" w:type="pct"/>
            <w:tcBorders>
              <w:top w:val="nil"/>
              <w:left w:val="nil"/>
              <w:bottom w:val="nil"/>
              <w:right w:val="nil"/>
            </w:tcBorders>
            <w:shd w:val="clear" w:color="auto" w:fill="auto"/>
            <w:noWrap/>
            <w:vAlign w:val="center"/>
          </w:tcPr>
          <w:p w14:paraId="02E5CF6E" w14:textId="49838E14"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(139.189)</w:t>
            </w:r>
          </w:p>
        </w:tc>
        <w:tc>
          <w:tcPr>
            <w:tcW w:w="420" w:type="pct"/>
            <w:tcBorders>
              <w:top w:val="nil"/>
              <w:left w:val="nil"/>
              <w:bottom w:val="nil"/>
              <w:right w:val="nil"/>
            </w:tcBorders>
            <w:shd w:val="clear" w:color="auto" w:fill="auto"/>
            <w:noWrap/>
            <w:vAlign w:val="center"/>
          </w:tcPr>
          <w:p w14:paraId="45536AAE" w14:textId="14402F73"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7.177.297</w:t>
            </w:r>
          </w:p>
        </w:tc>
        <w:tc>
          <w:tcPr>
            <w:tcW w:w="415" w:type="pct"/>
            <w:tcBorders>
              <w:top w:val="nil"/>
              <w:left w:val="nil"/>
              <w:bottom w:val="nil"/>
              <w:right w:val="nil"/>
            </w:tcBorders>
            <w:shd w:val="clear" w:color="auto" w:fill="auto"/>
            <w:noWrap/>
            <w:vAlign w:val="center"/>
            <w:hideMark/>
          </w:tcPr>
          <w:p w14:paraId="2C306623" w14:textId="6E88EB66"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1.149.723</w:t>
            </w:r>
          </w:p>
        </w:tc>
        <w:tc>
          <w:tcPr>
            <w:tcW w:w="356" w:type="pct"/>
            <w:tcBorders>
              <w:top w:val="nil"/>
              <w:left w:val="nil"/>
              <w:bottom w:val="nil"/>
              <w:right w:val="nil"/>
            </w:tcBorders>
            <w:shd w:val="clear" w:color="auto" w:fill="auto"/>
            <w:noWrap/>
            <w:vAlign w:val="center"/>
            <w:hideMark/>
          </w:tcPr>
          <w:p w14:paraId="57CB1DC9" w14:textId="5A8085BE"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(226)</w:t>
            </w:r>
          </w:p>
        </w:tc>
        <w:tc>
          <w:tcPr>
            <w:tcW w:w="414" w:type="pct"/>
            <w:tcBorders>
              <w:top w:val="nil"/>
              <w:left w:val="nil"/>
              <w:bottom w:val="nil"/>
              <w:right w:val="nil"/>
            </w:tcBorders>
            <w:shd w:val="clear" w:color="auto" w:fill="auto"/>
            <w:noWrap/>
            <w:vAlign w:val="center"/>
            <w:hideMark/>
          </w:tcPr>
          <w:p w14:paraId="26429664" w14:textId="467C1235"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1.149.497</w:t>
            </w:r>
          </w:p>
        </w:tc>
      </w:tr>
      <w:tr w:rsidR="00A47C19" w:rsidRPr="00E20D21" w14:paraId="6B5E82CF" w14:textId="77777777" w:rsidTr="001E7C5D">
        <w:trPr>
          <w:trHeight w:val="283"/>
        </w:trPr>
        <w:tc>
          <w:tcPr>
            <w:tcW w:w="1014" w:type="pct"/>
            <w:tcBorders>
              <w:top w:val="nil"/>
              <w:left w:val="nil"/>
              <w:bottom w:val="nil"/>
              <w:right w:val="nil"/>
            </w:tcBorders>
            <w:shd w:val="clear" w:color="auto" w:fill="auto"/>
            <w:vAlign w:val="center"/>
            <w:hideMark/>
          </w:tcPr>
          <w:p w14:paraId="6AEF7C74" w14:textId="77777777" w:rsidR="00082EBA" w:rsidRPr="00E20D21" w:rsidRDefault="00082EBA" w:rsidP="00082EBA">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 do tesouro nacional</w:t>
            </w:r>
          </w:p>
        </w:tc>
        <w:tc>
          <w:tcPr>
            <w:tcW w:w="340" w:type="pct"/>
            <w:tcBorders>
              <w:top w:val="nil"/>
              <w:left w:val="nil"/>
              <w:bottom w:val="nil"/>
              <w:right w:val="nil"/>
            </w:tcBorders>
            <w:shd w:val="clear" w:color="auto" w:fill="auto"/>
            <w:noWrap/>
            <w:vAlign w:val="center"/>
          </w:tcPr>
          <w:p w14:paraId="00865A6B" w14:textId="414600C0"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vAlign w:val="center"/>
          </w:tcPr>
          <w:p w14:paraId="0468DBA9" w14:textId="143CBC41"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3D475A1E" w14:textId="48C60701"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755900EC" w14:textId="6ECA00A9"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vAlign w:val="center"/>
          </w:tcPr>
          <w:p w14:paraId="728542BC" w14:textId="44F67D9C"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2.478.905</w:t>
            </w:r>
          </w:p>
        </w:tc>
        <w:tc>
          <w:tcPr>
            <w:tcW w:w="415" w:type="pct"/>
            <w:tcBorders>
              <w:top w:val="nil"/>
              <w:left w:val="nil"/>
              <w:bottom w:val="nil"/>
              <w:right w:val="nil"/>
            </w:tcBorders>
            <w:shd w:val="clear" w:color="auto" w:fill="auto"/>
            <w:noWrap/>
            <w:vAlign w:val="center"/>
          </w:tcPr>
          <w:p w14:paraId="7D5E20CD" w14:textId="37DF6AFB"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2.585.140</w:t>
            </w:r>
          </w:p>
        </w:tc>
        <w:tc>
          <w:tcPr>
            <w:tcW w:w="356" w:type="pct"/>
            <w:tcBorders>
              <w:top w:val="nil"/>
              <w:left w:val="nil"/>
              <w:bottom w:val="nil"/>
              <w:right w:val="nil"/>
            </w:tcBorders>
            <w:shd w:val="clear" w:color="auto" w:fill="auto"/>
            <w:noWrap/>
            <w:vAlign w:val="center"/>
          </w:tcPr>
          <w:p w14:paraId="1F1D5814" w14:textId="1117FF65"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(106.235)</w:t>
            </w:r>
          </w:p>
        </w:tc>
        <w:tc>
          <w:tcPr>
            <w:tcW w:w="420" w:type="pct"/>
            <w:tcBorders>
              <w:top w:val="nil"/>
              <w:left w:val="nil"/>
              <w:bottom w:val="nil"/>
              <w:right w:val="nil"/>
            </w:tcBorders>
            <w:shd w:val="clear" w:color="auto" w:fill="auto"/>
            <w:noWrap/>
            <w:vAlign w:val="center"/>
          </w:tcPr>
          <w:p w14:paraId="43C8B7A1" w14:textId="7B5BA94A"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2.478.905</w:t>
            </w:r>
          </w:p>
        </w:tc>
        <w:tc>
          <w:tcPr>
            <w:tcW w:w="415" w:type="pct"/>
            <w:tcBorders>
              <w:top w:val="nil"/>
              <w:left w:val="nil"/>
              <w:bottom w:val="nil"/>
              <w:right w:val="nil"/>
            </w:tcBorders>
            <w:shd w:val="clear" w:color="auto" w:fill="auto"/>
            <w:noWrap/>
            <w:vAlign w:val="center"/>
            <w:hideMark/>
          </w:tcPr>
          <w:p w14:paraId="06397675" w14:textId="685FD546"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1.008.253</w:t>
            </w:r>
          </w:p>
        </w:tc>
        <w:tc>
          <w:tcPr>
            <w:tcW w:w="356" w:type="pct"/>
            <w:tcBorders>
              <w:top w:val="nil"/>
              <w:left w:val="nil"/>
              <w:bottom w:val="nil"/>
              <w:right w:val="nil"/>
            </w:tcBorders>
            <w:shd w:val="clear" w:color="auto" w:fill="auto"/>
            <w:noWrap/>
            <w:vAlign w:val="center"/>
            <w:hideMark/>
          </w:tcPr>
          <w:p w14:paraId="6582073F" w14:textId="0B8A37BF"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17.570</w:t>
            </w:r>
          </w:p>
        </w:tc>
        <w:tc>
          <w:tcPr>
            <w:tcW w:w="414" w:type="pct"/>
            <w:tcBorders>
              <w:top w:val="nil"/>
              <w:left w:val="nil"/>
              <w:bottom w:val="nil"/>
              <w:right w:val="nil"/>
            </w:tcBorders>
            <w:shd w:val="clear" w:color="auto" w:fill="auto"/>
            <w:noWrap/>
            <w:vAlign w:val="center"/>
            <w:hideMark/>
          </w:tcPr>
          <w:p w14:paraId="485CE430" w14:textId="3E1E0D3A"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1.025.823</w:t>
            </w:r>
          </w:p>
        </w:tc>
      </w:tr>
      <w:tr w:rsidR="00A47C19" w:rsidRPr="00E20D21" w14:paraId="0E0F6198" w14:textId="77777777" w:rsidTr="001E7C5D">
        <w:trPr>
          <w:trHeight w:val="283"/>
        </w:trPr>
        <w:tc>
          <w:tcPr>
            <w:tcW w:w="1014" w:type="pct"/>
            <w:tcBorders>
              <w:top w:val="nil"/>
              <w:left w:val="nil"/>
              <w:bottom w:val="nil"/>
              <w:right w:val="nil"/>
            </w:tcBorders>
            <w:shd w:val="clear" w:color="auto" w:fill="auto"/>
            <w:vAlign w:val="center"/>
            <w:hideMark/>
          </w:tcPr>
          <w:p w14:paraId="23CD2F5E" w14:textId="5E7B3AFB" w:rsidR="00082EBA" w:rsidRPr="00E20D21" w:rsidRDefault="00082EBA" w:rsidP="00082EBA">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Tesouro nacional/securitizados</w:t>
            </w:r>
          </w:p>
        </w:tc>
        <w:tc>
          <w:tcPr>
            <w:tcW w:w="340" w:type="pct"/>
            <w:tcBorders>
              <w:top w:val="nil"/>
              <w:left w:val="nil"/>
              <w:bottom w:val="nil"/>
              <w:right w:val="nil"/>
            </w:tcBorders>
            <w:shd w:val="clear" w:color="auto" w:fill="auto"/>
            <w:noWrap/>
            <w:vAlign w:val="center"/>
          </w:tcPr>
          <w:p w14:paraId="119EFFD8" w14:textId="213F890A"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vAlign w:val="center"/>
          </w:tcPr>
          <w:p w14:paraId="3611EF7B" w14:textId="45C770DA"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1BC9BB04" w14:textId="52CA9562"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25184F1D" w14:textId="458A6DF9"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vAlign w:val="center"/>
          </w:tcPr>
          <w:p w14:paraId="309FCA07" w14:textId="0FA1962B"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285.075</w:t>
            </w:r>
          </w:p>
        </w:tc>
        <w:tc>
          <w:tcPr>
            <w:tcW w:w="415" w:type="pct"/>
            <w:tcBorders>
              <w:top w:val="nil"/>
              <w:left w:val="nil"/>
              <w:bottom w:val="nil"/>
              <w:right w:val="nil"/>
            </w:tcBorders>
            <w:shd w:val="clear" w:color="auto" w:fill="auto"/>
            <w:noWrap/>
            <w:vAlign w:val="center"/>
          </w:tcPr>
          <w:p w14:paraId="7D1634BF" w14:textId="47AEFEC2"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298.154</w:t>
            </w:r>
          </w:p>
        </w:tc>
        <w:tc>
          <w:tcPr>
            <w:tcW w:w="356" w:type="pct"/>
            <w:tcBorders>
              <w:top w:val="nil"/>
              <w:left w:val="nil"/>
              <w:bottom w:val="nil"/>
              <w:right w:val="nil"/>
            </w:tcBorders>
            <w:shd w:val="clear" w:color="auto" w:fill="auto"/>
            <w:noWrap/>
            <w:vAlign w:val="center"/>
          </w:tcPr>
          <w:p w14:paraId="57F28B28" w14:textId="1F702FD8"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(13.079)</w:t>
            </w:r>
          </w:p>
        </w:tc>
        <w:tc>
          <w:tcPr>
            <w:tcW w:w="420" w:type="pct"/>
            <w:tcBorders>
              <w:top w:val="nil"/>
              <w:left w:val="nil"/>
              <w:bottom w:val="nil"/>
              <w:right w:val="nil"/>
            </w:tcBorders>
            <w:shd w:val="clear" w:color="auto" w:fill="auto"/>
            <w:noWrap/>
            <w:vAlign w:val="center"/>
          </w:tcPr>
          <w:p w14:paraId="0ED15C78" w14:textId="426D3514"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285.075</w:t>
            </w:r>
          </w:p>
        </w:tc>
        <w:tc>
          <w:tcPr>
            <w:tcW w:w="415" w:type="pct"/>
            <w:tcBorders>
              <w:top w:val="nil"/>
              <w:left w:val="nil"/>
              <w:bottom w:val="nil"/>
              <w:right w:val="nil"/>
            </w:tcBorders>
            <w:shd w:val="clear" w:color="auto" w:fill="auto"/>
            <w:noWrap/>
            <w:vAlign w:val="center"/>
            <w:hideMark/>
          </w:tcPr>
          <w:p w14:paraId="10D52065" w14:textId="4A01123A"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194.459</w:t>
            </w:r>
          </w:p>
        </w:tc>
        <w:tc>
          <w:tcPr>
            <w:tcW w:w="356" w:type="pct"/>
            <w:tcBorders>
              <w:top w:val="nil"/>
              <w:left w:val="nil"/>
              <w:bottom w:val="nil"/>
              <w:right w:val="nil"/>
            </w:tcBorders>
            <w:shd w:val="clear" w:color="auto" w:fill="auto"/>
            <w:noWrap/>
            <w:vAlign w:val="center"/>
            <w:hideMark/>
          </w:tcPr>
          <w:p w14:paraId="5B486A07" w14:textId="75AEB6B0"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(5.310)</w:t>
            </w:r>
          </w:p>
        </w:tc>
        <w:tc>
          <w:tcPr>
            <w:tcW w:w="414" w:type="pct"/>
            <w:tcBorders>
              <w:top w:val="nil"/>
              <w:left w:val="nil"/>
              <w:bottom w:val="nil"/>
              <w:right w:val="nil"/>
            </w:tcBorders>
            <w:shd w:val="clear" w:color="auto" w:fill="auto"/>
            <w:noWrap/>
            <w:vAlign w:val="center"/>
            <w:hideMark/>
          </w:tcPr>
          <w:p w14:paraId="0418763F" w14:textId="7AB57912"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189.149</w:t>
            </w:r>
          </w:p>
        </w:tc>
      </w:tr>
      <w:tr w:rsidR="00A32D34" w:rsidRPr="00E20D21" w14:paraId="4EEEB02D" w14:textId="77777777" w:rsidTr="00A32D34">
        <w:trPr>
          <w:trHeight w:val="283"/>
        </w:trPr>
        <w:tc>
          <w:tcPr>
            <w:tcW w:w="1014" w:type="pct"/>
            <w:tcBorders>
              <w:top w:val="nil"/>
              <w:left w:val="nil"/>
              <w:bottom w:val="nil"/>
              <w:right w:val="nil"/>
            </w:tcBorders>
            <w:shd w:val="clear" w:color="auto" w:fill="auto"/>
            <w:vAlign w:val="center"/>
            <w:hideMark/>
          </w:tcPr>
          <w:p w14:paraId="7F1FCB06" w14:textId="77777777" w:rsidR="00A32D34" w:rsidRPr="00E20D21" w:rsidRDefault="00A32D34" w:rsidP="00A32D34">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 empresas</w:t>
            </w:r>
          </w:p>
        </w:tc>
        <w:tc>
          <w:tcPr>
            <w:tcW w:w="340" w:type="pct"/>
            <w:tcBorders>
              <w:top w:val="nil"/>
              <w:left w:val="nil"/>
              <w:bottom w:val="nil"/>
              <w:right w:val="nil"/>
            </w:tcBorders>
            <w:shd w:val="clear" w:color="auto" w:fill="auto"/>
            <w:noWrap/>
            <w:vAlign w:val="center"/>
          </w:tcPr>
          <w:p w14:paraId="01BC97F9" w14:textId="1F1036A7" w:rsidR="00A32D34" w:rsidRPr="00E20D21" w:rsidRDefault="00A32D34" w:rsidP="00A32D34">
            <w:pPr>
              <w:jc w:val="right"/>
              <w:rPr>
                <w:rFonts w:ascii="CAIXA Std Book" w:hAnsi="CAIXA Std Book" w:cs="Arial"/>
                <w:b/>
                <w:color w:val="005CA9"/>
                <w:sz w:val="16"/>
                <w:szCs w:val="16"/>
              </w:rPr>
            </w:pPr>
            <w:r w:rsidRPr="00E20D21">
              <w:rPr>
                <w:rFonts w:ascii="CAIXA Std Book" w:hAnsi="CAIXA Std Book" w:cs="Arial"/>
                <w:b/>
                <w:color w:val="005CA9"/>
                <w:sz w:val="16"/>
                <w:szCs w:val="16"/>
              </w:rPr>
              <w:t>2.652.464</w:t>
            </w:r>
          </w:p>
        </w:tc>
        <w:tc>
          <w:tcPr>
            <w:tcW w:w="285" w:type="pct"/>
            <w:tcBorders>
              <w:top w:val="nil"/>
              <w:left w:val="nil"/>
              <w:bottom w:val="nil"/>
              <w:right w:val="nil"/>
            </w:tcBorders>
            <w:vAlign w:val="center"/>
          </w:tcPr>
          <w:p w14:paraId="4D767876" w14:textId="3917BCCD" w:rsidR="00A32D34" w:rsidRPr="00E20D21" w:rsidRDefault="00A32D34" w:rsidP="00A32D34">
            <w:pPr>
              <w:jc w:val="right"/>
              <w:rPr>
                <w:rFonts w:ascii="CAIXA Std Book" w:hAnsi="CAIXA Std Book" w:cs="Arial"/>
                <w:b/>
                <w:color w:val="005CA9"/>
                <w:sz w:val="16"/>
                <w:szCs w:val="16"/>
              </w:rPr>
            </w:pPr>
            <w:r w:rsidRPr="00E20D21">
              <w:rPr>
                <w:rFonts w:ascii="CAIXA Std Book" w:hAnsi="CAIXA Std Book" w:cs="Arial"/>
                <w:b/>
                <w:color w:val="005CA9"/>
                <w:sz w:val="16"/>
                <w:szCs w:val="16"/>
              </w:rPr>
              <w:t>289.987</w:t>
            </w:r>
          </w:p>
        </w:tc>
        <w:tc>
          <w:tcPr>
            <w:tcW w:w="285" w:type="pct"/>
            <w:tcBorders>
              <w:top w:val="nil"/>
              <w:left w:val="nil"/>
              <w:bottom w:val="nil"/>
              <w:right w:val="nil"/>
            </w:tcBorders>
            <w:shd w:val="clear" w:color="auto" w:fill="auto"/>
            <w:noWrap/>
            <w:vAlign w:val="center"/>
          </w:tcPr>
          <w:p w14:paraId="3B1EE96C" w14:textId="0DD6C272" w:rsidR="00A32D34" w:rsidRPr="00E20D21" w:rsidRDefault="00A32D34" w:rsidP="00A32D34">
            <w:pPr>
              <w:jc w:val="right"/>
              <w:rPr>
                <w:rFonts w:ascii="CAIXA Std Book" w:hAnsi="CAIXA Std Book" w:cs="Arial"/>
                <w:b/>
                <w:color w:val="005CA9"/>
                <w:sz w:val="16"/>
                <w:szCs w:val="16"/>
              </w:rPr>
            </w:pPr>
            <w:r w:rsidRPr="00E20D21">
              <w:rPr>
                <w:rFonts w:ascii="CAIXA Std Book" w:hAnsi="CAIXA Std Book" w:cs="Arial"/>
                <w:b/>
                <w:color w:val="005CA9"/>
                <w:sz w:val="16"/>
                <w:szCs w:val="16"/>
              </w:rPr>
              <w:t>426.049</w:t>
            </w:r>
          </w:p>
        </w:tc>
        <w:tc>
          <w:tcPr>
            <w:tcW w:w="285" w:type="pct"/>
            <w:tcBorders>
              <w:top w:val="nil"/>
              <w:left w:val="nil"/>
              <w:bottom w:val="nil"/>
              <w:right w:val="nil"/>
            </w:tcBorders>
            <w:shd w:val="clear" w:color="auto" w:fill="auto"/>
            <w:noWrap/>
            <w:vAlign w:val="center"/>
          </w:tcPr>
          <w:p w14:paraId="2BEDB665" w14:textId="74E4A6A5" w:rsidR="00A32D34" w:rsidRPr="00E20D21" w:rsidRDefault="00A32D34" w:rsidP="00A32D34">
            <w:pPr>
              <w:jc w:val="right"/>
              <w:rPr>
                <w:rFonts w:ascii="CAIXA Std Book" w:hAnsi="CAIXA Std Book" w:cs="Arial"/>
                <w:b/>
                <w:color w:val="005CA9"/>
                <w:sz w:val="16"/>
                <w:szCs w:val="16"/>
              </w:rPr>
            </w:pPr>
            <w:r w:rsidRPr="00E20D21">
              <w:rPr>
                <w:rFonts w:ascii="CAIXA Std Book" w:hAnsi="CAIXA Std Book" w:cs="Arial"/>
                <w:b/>
                <w:color w:val="005CA9"/>
                <w:sz w:val="16"/>
                <w:szCs w:val="16"/>
              </w:rPr>
              <w:t>894.852</w:t>
            </w:r>
          </w:p>
        </w:tc>
        <w:tc>
          <w:tcPr>
            <w:tcW w:w="415" w:type="pct"/>
            <w:tcBorders>
              <w:top w:val="nil"/>
              <w:left w:val="nil"/>
              <w:bottom w:val="nil"/>
              <w:right w:val="nil"/>
            </w:tcBorders>
            <w:shd w:val="clear" w:color="auto" w:fill="auto"/>
            <w:noWrap/>
            <w:vAlign w:val="center"/>
          </w:tcPr>
          <w:p w14:paraId="597B0939" w14:textId="003553AD" w:rsidR="00A32D34" w:rsidRPr="00E20D21" w:rsidRDefault="00A32D34" w:rsidP="00A32D34">
            <w:pPr>
              <w:jc w:val="right"/>
              <w:rPr>
                <w:rFonts w:ascii="CAIXA Std Book" w:hAnsi="CAIXA Std Book" w:cs="Arial"/>
                <w:b/>
                <w:color w:val="005CA9"/>
                <w:sz w:val="16"/>
                <w:szCs w:val="16"/>
              </w:rPr>
            </w:pPr>
            <w:r w:rsidRPr="00E20D21">
              <w:rPr>
                <w:rFonts w:ascii="CAIXA Std Book" w:hAnsi="CAIXA Std Book" w:cs="Arial"/>
                <w:b/>
                <w:color w:val="005CA9"/>
                <w:sz w:val="16"/>
                <w:szCs w:val="16"/>
              </w:rPr>
              <w:t>10.112.774</w:t>
            </w:r>
          </w:p>
        </w:tc>
        <w:tc>
          <w:tcPr>
            <w:tcW w:w="415" w:type="pct"/>
            <w:tcBorders>
              <w:top w:val="nil"/>
              <w:left w:val="nil"/>
              <w:bottom w:val="nil"/>
              <w:right w:val="nil"/>
            </w:tcBorders>
            <w:shd w:val="clear" w:color="auto" w:fill="auto"/>
            <w:noWrap/>
            <w:vAlign w:val="center"/>
          </w:tcPr>
          <w:p w14:paraId="601DA2F3" w14:textId="65620B56" w:rsidR="00A32D34" w:rsidRPr="00E20D21" w:rsidRDefault="00A32D34" w:rsidP="00A32D34">
            <w:pPr>
              <w:jc w:val="right"/>
              <w:rPr>
                <w:rFonts w:ascii="CAIXA Std Book" w:hAnsi="CAIXA Std Book" w:cs="Arial"/>
                <w:b/>
                <w:color w:val="005CA9"/>
                <w:sz w:val="16"/>
                <w:szCs w:val="16"/>
              </w:rPr>
            </w:pPr>
            <w:r w:rsidRPr="00E20D21">
              <w:rPr>
                <w:rFonts w:ascii="CAIXA Std Book" w:hAnsi="CAIXA Std Book" w:cs="Arial"/>
                <w:b/>
                <w:color w:val="005CA9"/>
                <w:sz w:val="16"/>
                <w:szCs w:val="16"/>
              </w:rPr>
              <w:t>13.274.085</w:t>
            </w:r>
          </w:p>
        </w:tc>
        <w:tc>
          <w:tcPr>
            <w:tcW w:w="356" w:type="pct"/>
            <w:tcBorders>
              <w:top w:val="nil"/>
              <w:left w:val="nil"/>
              <w:bottom w:val="nil"/>
              <w:right w:val="nil"/>
            </w:tcBorders>
            <w:shd w:val="clear" w:color="auto" w:fill="auto"/>
            <w:noWrap/>
            <w:vAlign w:val="center"/>
          </w:tcPr>
          <w:p w14:paraId="6C013CE9" w14:textId="797CA1AC" w:rsidR="00A32D34" w:rsidRPr="00E20D21" w:rsidRDefault="00A32D34" w:rsidP="00A32D34">
            <w:pPr>
              <w:jc w:val="right"/>
              <w:rPr>
                <w:rFonts w:ascii="CAIXA Std Book" w:hAnsi="CAIXA Std Book" w:cs="Arial"/>
                <w:b/>
                <w:color w:val="005CA9"/>
                <w:sz w:val="16"/>
                <w:szCs w:val="16"/>
              </w:rPr>
            </w:pPr>
            <w:r w:rsidRPr="00E20D21">
              <w:rPr>
                <w:rFonts w:ascii="CAIXA Std Book" w:hAnsi="CAIXA Std Book" w:cs="Arial"/>
                <w:b/>
                <w:color w:val="005CA9"/>
                <w:sz w:val="16"/>
                <w:szCs w:val="16"/>
              </w:rPr>
              <w:t>1.102.041</w:t>
            </w:r>
          </w:p>
        </w:tc>
        <w:tc>
          <w:tcPr>
            <w:tcW w:w="420" w:type="pct"/>
            <w:tcBorders>
              <w:top w:val="nil"/>
              <w:left w:val="nil"/>
              <w:bottom w:val="nil"/>
              <w:right w:val="nil"/>
            </w:tcBorders>
            <w:shd w:val="clear" w:color="auto" w:fill="auto"/>
            <w:noWrap/>
            <w:vAlign w:val="center"/>
          </w:tcPr>
          <w:p w14:paraId="068AA16C" w14:textId="3EB4848C" w:rsidR="00A32D34" w:rsidRPr="00E20D21" w:rsidRDefault="00A32D34" w:rsidP="00A32D34">
            <w:pPr>
              <w:jc w:val="right"/>
              <w:rPr>
                <w:rFonts w:ascii="CAIXA Std Book" w:hAnsi="CAIXA Std Book" w:cs="Arial"/>
                <w:b/>
                <w:color w:val="005CA9"/>
                <w:sz w:val="16"/>
                <w:szCs w:val="16"/>
              </w:rPr>
            </w:pPr>
            <w:r w:rsidRPr="00E20D21">
              <w:rPr>
                <w:rFonts w:ascii="CAIXA Std Book" w:hAnsi="CAIXA Std Book" w:cs="Arial"/>
                <w:b/>
                <w:color w:val="005CA9"/>
                <w:sz w:val="16"/>
                <w:szCs w:val="16"/>
              </w:rPr>
              <w:t>14.376.126</w:t>
            </w:r>
          </w:p>
        </w:tc>
        <w:tc>
          <w:tcPr>
            <w:tcW w:w="415" w:type="pct"/>
            <w:tcBorders>
              <w:top w:val="nil"/>
              <w:left w:val="nil"/>
              <w:bottom w:val="nil"/>
              <w:right w:val="nil"/>
            </w:tcBorders>
            <w:shd w:val="clear" w:color="auto" w:fill="auto"/>
            <w:noWrap/>
            <w:vAlign w:val="center"/>
            <w:hideMark/>
          </w:tcPr>
          <w:p w14:paraId="0F5F5992" w14:textId="5B4E360C" w:rsidR="00A32D34" w:rsidRPr="00E20D21" w:rsidRDefault="00A32D34" w:rsidP="00A32D34">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12.386.605</w:t>
            </w:r>
          </w:p>
        </w:tc>
        <w:tc>
          <w:tcPr>
            <w:tcW w:w="356" w:type="pct"/>
            <w:tcBorders>
              <w:top w:val="nil"/>
              <w:left w:val="nil"/>
              <w:bottom w:val="nil"/>
              <w:right w:val="nil"/>
            </w:tcBorders>
            <w:shd w:val="clear" w:color="auto" w:fill="auto"/>
            <w:noWrap/>
            <w:vAlign w:val="center"/>
            <w:hideMark/>
          </w:tcPr>
          <w:p w14:paraId="57FBE565" w14:textId="54E3C39A" w:rsidR="00A32D34" w:rsidRPr="00E20D21" w:rsidRDefault="00A32D34" w:rsidP="00A32D34">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1.110.113</w:t>
            </w:r>
          </w:p>
        </w:tc>
        <w:tc>
          <w:tcPr>
            <w:tcW w:w="414" w:type="pct"/>
            <w:tcBorders>
              <w:top w:val="nil"/>
              <w:left w:val="nil"/>
              <w:bottom w:val="nil"/>
              <w:right w:val="nil"/>
            </w:tcBorders>
            <w:shd w:val="clear" w:color="auto" w:fill="auto"/>
            <w:noWrap/>
            <w:vAlign w:val="center"/>
            <w:hideMark/>
          </w:tcPr>
          <w:p w14:paraId="759C25BC" w14:textId="1A1F62F1" w:rsidR="00A32D34" w:rsidRPr="00E20D21" w:rsidRDefault="00A32D34" w:rsidP="00A32D34">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13.496.718</w:t>
            </w:r>
          </w:p>
        </w:tc>
      </w:tr>
      <w:tr w:rsidR="00A32D34" w:rsidRPr="00E20D21" w14:paraId="6ECF1646" w14:textId="77777777" w:rsidTr="00A32D34">
        <w:trPr>
          <w:trHeight w:val="283"/>
        </w:trPr>
        <w:tc>
          <w:tcPr>
            <w:tcW w:w="1014" w:type="pct"/>
            <w:tcBorders>
              <w:top w:val="nil"/>
              <w:left w:val="nil"/>
              <w:bottom w:val="nil"/>
              <w:right w:val="nil"/>
            </w:tcBorders>
            <w:shd w:val="clear" w:color="auto" w:fill="auto"/>
            <w:vAlign w:val="center"/>
            <w:hideMark/>
          </w:tcPr>
          <w:p w14:paraId="35E989EA" w14:textId="77777777" w:rsidR="00A32D34" w:rsidRPr="00E20D21" w:rsidRDefault="00A32D34" w:rsidP="00A32D34">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Debêntures</w:t>
            </w:r>
          </w:p>
        </w:tc>
        <w:tc>
          <w:tcPr>
            <w:tcW w:w="340" w:type="pct"/>
            <w:tcBorders>
              <w:top w:val="nil"/>
              <w:left w:val="nil"/>
              <w:bottom w:val="nil"/>
              <w:right w:val="nil"/>
            </w:tcBorders>
            <w:shd w:val="clear" w:color="auto" w:fill="auto"/>
            <w:noWrap/>
            <w:vAlign w:val="center"/>
          </w:tcPr>
          <w:p w14:paraId="5B5C9F23" w14:textId="778F7E6A" w:rsidR="00A32D34" w:rsidRPr="00E20D21" w:rsidRDefault="00A32D34" w:rsidP="00A32D34">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vAlign w:val="center"/>
          </w:tcPr>
          <w:p w14:paraId="5ECC982B" w14:textId="0E301352" w:rsidR="00A32D34" w:rsidRPr="00E20D21" w:rsidRDefault="00A32D34" w:rsidP="00A32D34">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0B51E659" w14:textId="78B26889" w:rsidR="00A32D34" w:rsidRPr="00E20D21" w:rsidRDefault="00A32D34" w:rsidP="00A32D34">
            <w:pPr>
              <w:jc w:val="center"/>
              <w:rPr>
                <w:rFonts w:ascii="CAIXA Std Book" w:hAnsi="CAIXA Std Book" w:cs="Arial"/>
                <w:bCs/>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vAlign w:val="center"/>
          </w:tcPr>
          <w:p w14:paraId="5FFE95A2" w14:textId="2A2EB681" w:rsidR="00A32D34" w:rsidRPr="00E20D21" w:rsidRDefault="00A32D34" w:rsidP="00A32D34">
            <w:pPr>
              <w:jc w:val="right"/>
              <w:rPr>
                <w:rFonts w:ascii="CAIXA Std Book" w:hAnsi="CAIXA Std Book" w:cs="Arial"/>
                <w:bCs/>
                <w:color w:val="005CA9"/>
                <w:sz w:val="16"/>
                <w:szCs w:val="16"/>
              </w:rPr>
            </w:pPr>
            <w:r w:rsidRPr="00E20D21">
              <w:rPr>
                <w:rFonts w:ascii="CAIXA Std Book" w:hAnsi="CAIXA Std Book" w:cs="Arial"/>
                <w:bCs/>
                <w:color w:val="005CA9"/>
                <w:sz w:val="16"/>
                <w:szCs w:val="16"/>
              </w:rPr>
              <w:t>25.149</w:t>
            </w:r>
          </w:p>
        </w:tc>
        <w:tc>
          <w:tcPr>
            <w:tcW w:w="415" w:type="pct"/>
            <w:tcBorders>
              <w:top w:val="nil"/>
              <w:left w:val="nil"/>
              <w:bottom w:val="nil"/>
              <w:right w:val="nil"/>
            </w:tcBorders>
            <w:shd w:val="clear" w:color="auto" w:fill="auto"/>
            <w:vAlign w:val="center"/>
          </w:tcPr>
          <w:p w14:paraId="44BF559F" w14:textId="1D7BB7D2" w:rsidR="00A32D34" w:rsidRPr="00E20D21" w:rsidRDefault="00A32D34" w:rsidP="00A32D34">
            <w:pPr>
              <w:jc w:val="right"/>
              <w:rPr>
                <w:rFonts w:ascii="CAIXA Std Book" w:hAnsi="CAIXA Std Book" w:cs="Arial"/>
                <w:bCs/>
                <w:color w:val="005CA9"/>
                <w:sz w:val="16"/>
                <w:szCs w:val="16"/>
              </w:rPr>
            </w:pPr>
            <w:r w:rsidRPr="00E20D21">
              <w:rPr>
                <w:rFonts w:ascii="CAIXA Std Book" w:hAnsi="CAIXA Std Book" w:cs="Arial"/>
                <w:bCs/>
                <w:color w:val="005CA9"/>
                <w:sz w:val="16"/>
                <w:szCs w:val="16"/>
              </w:rPr>
              <w:t>5.856.277</w:t>
            </w:r>
          </w:p>
        </w:tc>
        <w:tc>
          <w:tcPr>
            <w:tcW w:w="415" w:type="pct"/>
            <w:tcBorders>
              <w:top w:val="nil"/>
              <w:left w:val="nil"/>
              <w:bottom w:val="nil"/>
              <w:right w:val="nil"/>
            </w:tcBorders>
            <w:shd w:val="clear" w:color="auto" w:fill="auto"/>
            <w:noWrap/>
            <w:vAlign w:val="center"/>
          </w:tcPr>
          <w:p w14:paraId="7B449292" w14:textId="4B69A92E" w:rsidR="00A32D34" w:rsidRPr="00E20D21" w:rsidRDefault="00A32D34" w:rsidP="00A32D34">
            <w:pPr>
              <w:jc w:val="right"/>
              <w:rPr>
                <w:rFonts w:ascii="CAIXA Std Book" w:hAnsi="CAIXA Std Book" w:cs="Arial"/>
                <w:color w:val="005CA9"/>
                <w:sz w:val="16"/>
                <w:szCs w:val="16"/>
              </w:rPr>
            </w:pPr>
            <w:r w:rsidRPr="00E20D21">
              <w:rPr>
                <w:rFonts w:ascii="CAIXA Std Book" w:hAnsi="CAIXA Std Book" w:cs="Arial"/>
                <w:bCs/>
                <w:color w:val="005CA9"/>
                <w:sz w:val="16"/>
                <w:szCs w:val="16"/>
              </w:rPr>
              <w:t>5.821.424</w:t>
            </w:r>
          </w:p>
        </w:tc>
        <w:tc>
          <w:tcPr>
            <w:tcW w:w="356" w:type="pct"/>
            <w:tcBorders>
              <w:top w:val="nil"/>
              <w:left w:val="nil"/>
              <w:bottom w:val="nil"/>
              <w:right w:val="nil"/>
            </w:tcBorders>
            <w:shd w:val="clear" w:color="auto" w:fill="auto"/>
            <w:noWrap/>
            <w:vAlign w:val="center"/>
          </w:tcPr>
          <w:p w14:paraId="10B7D4C4" w14:textId="2D9E9102" w:rsidR="00A32D34" w:rsidRPr="00E20D21" w:rsidRDefault="00A32D34" w:rsidP="00A32D34">
            <w:pPr>
              <w:jc w:val="right"/>
              <w:rPr>
                <w:rFonts w:ascii="CAIXA Std Book" w:hAnsi="CAIXA Std Book" w:cs="Arial"/>
                <w:color w:val="005CA9"/>
                <w:sz w:val="16"/>
                <w:szCs w:val="16"/>
              </w:rPr>
            </w:pPr>
            <w:r w:rsidRPr="00E20D21">
              <w:rPr>
                <w:rFonts w:ascii="CAIXA Std Book" w:hAnsi="CAIXA Std Book" w:cs="Arial"/>
                <w:bCs/>
                <w:color w:val="005CA9"/>
                <w:sz w:val="16"/>
                <w:szCs w:val="16"/>
              </w:rPr>
              <w:t>60.002</w:t>
            </w:r>
          </w:p>
        </w:tc>
        <w:tc>
          <w:tcPr>
            <w:tcW w:w="420" w:type="pct"/>
            <w:tcBorders>
              <w:top w:val="nil"/>
              <w:left w:val="nil"/>
              <w:bottom w:val="nil"/>
              <w:right w:val="nil"/>
            </w:tcBorders>
            <w:shd w:val="clear" w:color="auto" w:fill="auto"/>
            <w:noWrap/>
            <w:vAlign w:val="center"/>
          </w:tcPr>
          <w:p w14:paraId="776A2211" w14:textId="7381DA33" w:rsidR="00A32D34" w:rsidRPr="00E20D21" w:rsidRDefault="00A32D34" w:rsidP="00A32D34">
            <w:pPr>
              <w:jc w:val="right"/>
              <w:rPr>
                <w:rFonts w:ascii="CAIXA Std Book" w:hAnsi="CAIXA Std Book" w:cs="Arial"/>
                <w:color w:val="005CA9"/>
                <w:sz w:val="16"/>
                <w:szCs w:val="16"/>
              </w:rPr>
            </w:pPr>
            <w:r w:rsidRPr="00E20D21">
              <w:rPr>
                <w:rFonts w:ascii="CAIXA Std Book" w:hAnsi="CAIXA Std Book" w:cs="Arial"/>
                <w:bCs/>
                <w:color w:val="005CA9"/>
                <w:sz w:val="16"/>
                <w:szCs w:val="16"/>
              </w:rPr>
              <w:t>5.881.426</w:t>
            </w:r>
          </w:p>
        </w:tc>
        <w:tc>
          <w:tcPr>
            <w:tcW w:w="415" w:type="pct"/>
            <w:tcBorders>
              <w:top w:val="nil"/>
              <w:left w:val="nil"/>
              <w:bottom w:val="nil"/>
              <w:right w:val="nil"/>
            </w:tcBorders>
            <w:shd w:val="clear" w:color="auto" w:fill="auto"/>
            <w:noWrap/>
            <w:vAlign w:val="center"/>
            <w:hideMark/>
          </w:tcPr>
          <w:p w14:paraId="3DA9CF3A" w14:textId="0685E074" w:rsidR="00A32D34" w:rsidRPr="00E20D21" w:rsidRDefault="00A32D34" w:rsidP="00A32D34">
            <w:pPr>
              <w:jc w:val="right"/>
              <w:rPr>
                <w:rFonts w:ascii="CAIXA Std Book" w:hAnsi="CAIXA Std Book" w:cs="Arial"/>
                <w:color w:val="005CA9"/>
                <w:sz w:val="16"/>
                <w:szCs w:val="16"/>
              </w:rPr>
            </w:pPr>
            <w:r w:rsidRPr="00E20D21">
              <w:rPr>
                <w:rFonts w:ascii="CAIXA Std Book" w:hAnsi="CAIXA Std Book" w:cs="Arial"/>
                <w:color w:val="005CA9"/>
                <w:sz w:val="16"/>
                <w:szCs w:val="16"/>
              </w:rPr>
              <w:t>4.928.436</w:t>
            </w:r>
          </w:p>
        </w:tc>
        <w:tc>
          <w:tcPr>
            <w:tcW w:w="356" w:type="pct"/>
            <w:tcBorders>
              <w:top w:val="nil"/>
              <w:left w:val="nil"/>
              <w:bottom w:val="nil"/>
              <w:right w:val="nil"/>
            </w:tcBorders>
            <w:shd w:val="clear" w:color="auto" w:fill="auto"/>
            <w:noWrap/>
            <w:vAlign w:val="center"/>
            <w:hideMark/>
          </w:tcPr>
          <w:p w14:paraId="367FB106" w14:textId="7FCCF5AA" w:rsidR="00A32D34" w:rsidRPr="00E20D21" w:rsidRDefault="00A32D34" w:rsidP="00A32D34">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(2.511)</w:t>
            </w:r>
          </w:p>
        </w:tc>
        <w:tc>
          <w:tcPr>
            <w:tcW w:w="414" w:type="pct"/>
            <w:tcBorders>
              <w:top w:val="nil"/>
              <w:left w:val="nil"/>
              <w:bottom w:val="nil"/>
              <w:right w:val="nil"/>
            </w:tcBorders>
            <w:shd w:val="clear" w:color="auto" w:fill="auto"/>
            <w:noWrap/>
            <w:vAlign w:val="center"/>
            <w:hideMark/>
          </w:tcPr>
          <w:p w14:paraId="5BB6FB8F" w14:textId="2184A5FA" w:rsidR="00A32D34" w:rsidRPr="00E20D21" w:rsidRDefault="00A32D34" w:rsidP="00A32D34">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4.925.925</w:t>
            </w:r>
          </w:p>
        </w:tc>
      </w:tr>
      <w:tr w:rsidR="00A47C19" w:rsidRPr="00E20D21" w14:paraId="58489F0B" w14:textId="77777777" w:rsidTr="001E7C5D">
        <w:trPr>
          <w:trHeight w:val="283"/>
        </w:trPr>
        <w:tc>
          <w:tcPr>
            <w:tcW w:w="1014" w:type="pct"/>
            <w:tcBorders>
              <w:top w:val="nil"/>
              <w:left w:val="nil"/>
              <w:bottom w:val="nil"/>
              <w:right w:val="nil"/>
            </w:tcBorders>
            <w:shd w:val="clear" w:color="auto" w:fill="auto"/>
            <w:vAlign w:val="center"/>
            <w:hideMark/>
          </w:tcPr>
          <w:p w14:paraId="19966575" w14:textId="77777777" w:rsidR="00082EBA" w:rsidRPr="00E20D21" w:rsidRDefault="00082EBA" w:rsidP="00082EBA">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 Promissória</w:t>
            </w:r>
          </w:p>
        </w:tc>
        <w:tc>
          <w:tcPr>
            <w:tcW w:w="340" w:type="pct"/>
            <w:tcBorders>
              <w:top w:val="nil"/>
              <w:left w:val="nil"/>
              <w:bottom w:val="nil"/>
              <w:right w:val="nil"/>
            </w:tcBorders>
            <w:shd w:val="clear" w:color="auto" w:fill="auto"/>
            <w:noWrap/>
            <w:vAlign w:val="center"/>
          </w:tcPr>
          <w:p w14:paraId="39BEEDE1" w14:textId="35120AB0"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vAlign w:val="center"/>
          </w:tcPr>
          <w:p w14:paraId="5D0774CB" w14:textId="3A897434"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6CB8A94D" w14:textId="7C3D7A5F"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0343E3A4" w14:textId="7596656D"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vAlign w:val="center"/>
          </w:tcPr>
          <w:p w14:paraId="5E80B702" w14:textId="0614D86D"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240.620</w:t>
            </w:r>
          </w:p>
        </w:tc>
        <w:tc>
          <w:tcPr>
            <w:tcW w:w="415" w:type="pct"/>
            <w:tcBorders>
              <w:top w:val="nil"/>
              <w:left w:val="nil"/>
              <w:bottom w:val="nil"/>
              <w:right w:val="nil"/>
            </w:tcBorders>
            <w:shd w:val="clear" w:color="auto" w:fill="auto"/>
            <w:noWrap/>
            <w:vAlign w:val="center"/>
          </w:tcPr>
          <w:p w14:paraId="0AF9BCEC" w14:textId="186B092F"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239.467</w:t>
            </w:r>
          </w:p>
        </w:tc>
        <w:tc>
          <w:tcPr>
            <w:tcW w:w="356" w:type="pct"/>
            <w:tcBorders>
              <w:top w:val="nil"/>
              <w:left w:val="nil"/>
              <w:bottom w:val="nil"/>
              <w:right w:val="nil"/>
            </w:tcBorders>
            <w:shd w:val="clear" w:color="auto" w:fill="auto"/>
            <w:noWrap/>
            <w:vAlign w:val="center"/>
          </w:tcPr>
          <w:p w14:paraId="29D15126" w14:textId="4C78389F"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1.153</w:t>
            </w:r>
          </w:p>
        </w:tc>
        <w:tc>
          <w:tcPr>
            <w:tcW w:w="420" w:type="pct"/>
            <w:tcBorders>
              <w:top w:val="nil"/>
              <w:left w:val="nil"/>
              <w:bottom w:val="nil"/>
              <w:right w:val="nil"/>
            </w:tcBorders>
            <w:shd w:val="clear" w:color="auto" w:fill="auto"/>
            <w:noWrap/>
            <w:vAlign w:val="center"/>
          </w:tcPr>
          <w:p w14:paraId="5E22E71C" w14:textId="7D39D29B"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240.620</w:t>
            </w:r>
          </w:p>
        </w:tc>
        <w:tc>
          <w:tcPr>
            <w:tcW w:w="415" w:type="pct"/>
            <w:tcBorders>
              <w:top w:val="nil"/>
              <w:left w:val="nil"/>
              <w:bottom w:val="nil"/>
              <w:right w:val="nil"/>
            </w:tcBorders>
            <w:shd w:val="clear" w:color="auto" w:fill="auto"/>
            <w:noWrap/>
            <w:vAlign w:val="center"/>
            <w:hideMark/>
          </w:tcPr>
          <w:p w14:paraId="7C0901DF" w14:textId="4A66EE8E" w:rsidR="00082EBA" w:rsidRPr="00E20D21" w:rsidRDefault="00082EBA" w:rsidP="00082EBA">
            <w:pPr>
              <w:jc w:val="right"/>
              <w:rPr>
                <w:rFonts w:ascii="CAIXA Std Book" w:hAnsi="CAIXA Std Book" w:cs="Arial"/>
                <w:color w:val="005CA9"/>
                <w:sz w:val="16"/>
                <w:szCs w:val="16"/>
              </w:rPr>
            </w:pPr>
            <w:r w:rsidRPr="00E20D21">
              <w:rPr>
                <w:rFonts w:ascii="CAIXA Std Book" w:hAnsi="CAIXA Std Book" w:cs="Arial"/>
                <w:color w:val="005CA9"/>
                <w:sz w:val="16"/>
                <w:szCs w:val="16"/>
              </w:rPr>
              <w:t>224.261</w:t>
            </w:r>
          </w:p>
        </w:tc>
        <w:tc>
          <w:tcPr>
            <w:tcW w:w="356" w:type="pct"/>
            <w:tcBorders>
              <w:top w:val="nil"/>
              <w:left w:val="nil"/>
              <w:bottom w:val="nil"/>
              <w:right w:val="nil"/>
            </w:tcBorders>
            <w:shd w:val="clear" w:color="auto" w:fill="auto"/>
            <w:noWrap/>
            <w:vAlign w:val="center"/>
            <w:hideMark/>
          </w:tcPr>
          <w:p w14:paraId="0099CD03" w14:textId="019F85E5"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1.000</w:t>
            </w:r>
          </w:p>
        </w:tc>
        <w:tc>
          <w:tcPr>
            <w:tcW w:w="414" w:type="pct"/>
            <w:tcBorders>
              <w:top w:val="nil"/>
              <w:left w:val="nil"/>
              <w:bottom w:val="nil"/>
              <w:right w:val="nil"/>
            </w:tcBorders>
            <w:shd w:val="clear" w:color="auto" w:fill="auto"/>
            <w:noWrap/>
            <w:vAlign w:val="center"/>
            <w:hideMark/>
          </w:tcPr>
          <w:p w14:paraId="275AAF74" w14:textId="3C3D930E"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225.261</w:t>
            </w:r>
          </w:p>
        </w:tc>
      </w:tr>
      <w:tr w:rsidR="00A47C19" w:rsidRPr="00E20D21" w14:paraId="4C41770C" w14:textId="77777777" w:rsidTr="001E7C5D">
        <w:trPr>
          <w:trHeight w:val="283"/>
        </w:trPr>
        <w:tc>
          <w:tcPr>
            <w:tcW w:w="1014" w:type="pct"/>
            <w:tcBorders>
              <w:top w:val="nil"/>
              <w:left w:val="nil"/>
              <w:bottom w:val="nil"/>
              <w:right w:val="nil"/>
            </w:tcBorders>
            <w:shd w:val="clear" w:color="auto" w:fill="auto"/>
            <w:vAlign w:val="center"/>
            <w:hideMark/>
          </w:tcPr>
          <w:p w14:paraId="750A489A" w14:textId="77777777" w:rsidR="00082EBA" w:rsidRPr="00E20D21" w:rsidRDefault="00082EBA" w:rsidP="00082EBA">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Cotas de fundos</w:t>
            </w:r>
          </w:p>
        </w:tc>
        <w:tc>
          <w:tcPr>
            <w:tcW w:w="340" w:type="pct"/>
            <w:tcBorders>
              <w:top w:val="nil"/>
              <w:left w:val="nil"/>
              <w:bottom w:val="nil"/>
              <w:right w:val="nil"/>
            </w:tcBorders>
            <w:shd w:val="clear" w:color="auto" w:fill="auto"/>
            <w:vAlign w:val="center"/>
          </w:tcPr>
          <w:p w14:paraId="26903375" w14:textId="065E5DE6"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2.644.761</w:t>
            </w:r>
          </w:p>
        </w:tc>
        <w:tc>
          <w:tcPr>
            <w:tcW w:w="285" w:type="pct"/>
            <w:tcBorders>
              <w:top w:val="nil"/>
              <w:left w:val="nil"/>
              <w:bottom w:val="nil"/>
              <w:right w:val="nil"/>
            </w:tcBorders>
            <w:vAlign w:val="center"/>
          </w:tcPr>
          <w:p w14:paraId="0447722B" w14:textId="081956AE"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0512DE8F" w14:textId="7248F986"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3FF0B944" w14:textId="3E9993E3"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noWrap/>
            <w:vAlign w:val="center"/>
          </w:tcPr>
          <w:p w14:paraId="11002AB7" w14:textId="24E9961D" w:rsidR="00082EBA" w:rsidRPr="00E20D21" w:rsidRDefault="00540E4C" w:rsidP="00540E4C">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noWrap/>
            <w:vAlign w:val="center"/>
          </w:tcPr>
          <w:p w14:paraId="4E736D1F" w14:textId="546D0142"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1.612.302</w:t>
            </w:r>
          </w:p>
        </w:tc>
        <w:tc>
          <w:tcPr>
            <w:tcW w:w="356" w:type="pct"/>
            <w:tcBorders>
              <w:top w:val="nil"/>
              <w:left w:val="nil"/>
              <w:bottom w:val="nil"/>
              <w:right w:val="nil"/>
            </w:tcBorders>
            <w:shd w:val="clear" w:color="auto" w:fill="auto"/>
            <w:noWrap/>
            <w:vAlign w:val="center"/>
          </w:tcPr>
          <w:p w14:paraId="3D2E1268" w14:textId="53DE2076"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1.032.459</w:t>
            </w:r>
          </w:p>
        </w:tc>
        <w:tc>
          <w:tcPr>
            <w:tcW w:w="420" w:type="pct"/>
            <w:tcBorders>
              <w:top w:val="nil"/>
              <w:left w:val="nil"/>
              <w:bottom w:val="nil"/>
              <w:right w:val="nil"/>
            </w:tcBorders>
            <w:shd w:val="clear" w:color="auto" w:fill="auto"/>
            <w:noWrap/>
            <w:vAlign w:val="center"/>
          </w:tcPr>
          <w:p w14:paraId="2B84F8F3" w14:textId="348D7864"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2.644.761</w:t>
            </w:r>
          </w:p>
        </w:tc>
        <w:tc>
          <w:tcPr>
            <w:tcW w:w="415" w:type="pct"/>
            <w:tcBorders>
              <w:top w:val="nil"/>
              <w:left w:val="nil"/>
              <w:bottom w:val="nil"/>
              <w:right w:val="nil"/>
            </w:tcBorders>
            <w:shd w:val="clear" w:color="auto" w:fill="auto"/>
            <w:noWrap/>
            <w:vAlign w:val="center"/>
            <w:hideMark/>
          </w:tcPr>
          <w:p w14:paraId="274F3B99" w14:textId="138CABC0" w:rsidR="00082EBA" w:rsidRPr="00E20D21" w:rsidRDefault="00082EBA" w:rsidP="00082EBA">
            <w:pPr>
              <w:jc w:val="right"/>
              <w:rPr>
                <w:rFonts w:ascii="CAIXA Std Book" w:hAnsi="CAIXA Std Book" w:cs="Arial"/>
                <w:color w:val="005CA9"/>
                <w:sz w:val="16"/>
                <w:szCs w:val="16"/>
              </w:rPr>
            </w:pPr>
            <w:r w:rsidRPr="00E20D21">
              <w:rPr>
                <w:rFonts w:ascii="CAIXA Std Book" w:hAnsi="CAIXA Std Book" w:cs="Arial"/>
                <w:color w:val="005CA9"/>
                <w:sz w:val="16"/>
                <w:szCs w:val="16"/>
              </w:rPr>
              <w:t>1.270.709</w:t>
            </w:r>
          </w:p>
        </w:tc>
        <w:tc>
          <w:tcPr>
            <w:tcW w:w="356" w:type="pct"/>
            <w:tcBorders>
              <w:top w:val="nil"/>
              <w:left w:val="nil"/>
              <w:bottom w:val="nil"/>
              <w:right w:val="nil"/>
            </w:tcBorders>
            <w:shd w:val="clear" w:color="auto" w:fill="auto"/>
            <w:noWrap/>
            <w:vAlign w:val="center"/>
            <w:hideMark/>
          </w:tcPr>
          <w:p w14:paraId="25AE34B3" w14:textId="6BFE4185"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987.545</w:t>
            </w:r>
          </w:p>
        </w:tc>
        <w:tc>
          <w:tcPr>
            <w:tcW w:w="414" w:type="pct"/>
            <w:tcBorders>
              <w:top w:val="nil"/>
              <w:left w:val="nil"/>
              <w:bottom w:val="nil"/>
              <w:right w:val="nil"/>
            </w:tcBorders>
            <w:shd w:val="clear" w:color="auto" w:fill="auto"/>
            <w:noWrap/>
            <w:vAlign w:val="center"/>
            <w:hideMark/>
          </w:tcPr>
          <w:p w14:paraId="272881E2" w14:textId="59459C45"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2.258.254</w:t>
            </w:r>
          </w:p>
        </w:tc>
      </w:tr>
      <w:tr w:rsidR="00A47C19" w:rsidRPr="00E20D21" w14:paraId="1895A87B" w14:textId="77777777" w:rsidTr="001E7C5D">
        <w:trPr>
          <w:trHeight w:val="283"/>
        </w:trPr>
        <w:tc>
          <w:tcPr>
            <w:tcW w:w="1014" w:type="pct"/>
            <w:tcBorders>
              <w:top w:val="nil"/>
              <w:left w:val="nil"/>
              <w:bottom w:val="nil"/>
              <w:right w:val="nil"/>
            </w:tcBorders>
            <w:shd w:val="clear" w:color="auto" w:fill="auto"/>
            <w:vAlign w:val="center"/>
            <w:hideMark/>
          </w:tcPr>
          <w:p w14:paraId="0680D763" w14:textId="77777777" w:rsidR="00082EBA" w:rsidRPr="00E20D21" w:rsidRDefault="00082EBA" w:rsidP="00082EBA">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Certificado de recebíveis imobiliários</w:t>
            </w:r>
          </w:p>
        </w:tc>
        <w:tc>
          <w:tcPr>
            <w:tcW w:w="340" w:type="pct"/>
            <w:tcBorders>
              <w:top w:val="nil"/>
              <w:left w:val="nil"/>
              <w:bottom w:val="nil"/>
              <w:right w:val="nil"/>
            </w:tcBorders>
            <w:shd w:val="clear" w:color="auto" w:fill="auto"/>
            <w:noWrap/>
            <w:vAlign w:val="center"/>
          </w:tcPr>
          <w:p w14:paraId="17D3A425" w14:textId="535CF0C2"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vAlign w:val="center"/>
          </w:tcPr>
          <w:p w14:paraId="0FF5C700" w14:textId="52EEA7D2"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2D4CD53E" w14:textId="7950C6A3"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779D6F08" w14:textId="1F1310EF"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vAlign w:val="center"/>
          </w:tcPr>
          <w:p w14:paraId="6DB978FE" w14:textId="1CD7C8F1"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1.291.105</w:t>
            </w:r>
          </w:p>
        </w:tc>
        <w:tc>
          <w:tcPr>
            <w:tcW w:w="415" w:type="pct"/>
            <w:tcBorders>
              <w:top w:val="nil"/>
              <w:left w:val="nil"/>
              <w:bottom w:val="nil"/>
              <w:right w:val="nil"/>
            </w:tcBorders>
            <w:shd w:val="clear" w:color="auto" w:fill="auto"/>
            <w:noWrap/>
            <w:vAlign w:val="center"/>
          </w:tcPr>
          <w:p w14:paraId="7F63A879" w14:textId="6A0B8EDF"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1.334.899</w:t>
            </w:r>
          </w:p>
        </w:tc>
        <w:tc>
          <w:tcPr>
            <w:tcW w:w="356" w:type="pct"/>
            <w:tcBorders>
              <w:top w:val="nil"/>
              <w:left w:val="nil"/>
              <w:bottom w:val="nil"/>
              <w:right w:val="nil"/>
            </w:tcBorders>
            <w:shd w:val="clear" w:color="auto" w:fill="auto"/>
            <w:noWrap/>
            <w:vAlign w:val="center"/>
          </w:tcPr>
          <w:p w14:paraId="2D432212" w14:textId="5874F9A5"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(43.794)</w:t>
            </w:r>
          </w:p>
        </w:tc>
        <w:tc>
          <w:tcPr>
            <w:tcW w:w="420" w:type="pct"/>
            <w:tcBorders>
              <w:top w:val="nil"/>
              <w:left w:val="nil"/>
              <w:bottom w:val="nil"/>
              <w:right w:val="nil"/>
            </w:tcBorders>
            <w:shd w:val="clear" w:color="auto" w:fill="auto"/>
            <w:noWrap/>
            <w:vAlign w:val="center"/>
          </w:tcPr>
          <w:p w14:paraId="037EC69D" w14:textId="24D9551A"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1.291.105</w:t>
            </w:r>
          </w:p>
        </w:tc>
        <w:tc>
          <w:tcPr>
            <w:tcW w:w="415" w:type="pct"/>
            <w:tcBorders>
              <w:top w:val="nil"/>
              <w:left w:val="nil"/>
              <w:bottom w:val="nil"/>
              <w:right w:val="nil"/>
            </w:tcBorders>
            <w:shd w:val="clear" w:color="auto" w:fill="auto"/>
            <w:noWrap/>
            <w:vAlign w:val="center"/>
            <w:hideMark/>
          </w:tcPr>
          <w:p w14:paraId="31961FBF" w14:textId="47C57175" w:rsidR="00082EBA" w:rsidRPr="00E20D21" w:rsidRDefault="00082EBA" w:rsidP="00082EBA">
            <w:pPr>
              <w:jc w:val="right"/>
              <w:rPr>
                <w:rFonts w:ascii="CAIXA Std Book" w:hAnsi="CAIXA Std Book" w:cs="Arial"/>
                <w:color w:val="005CA9"/>
                <w:sz w:val="16"/>
                <w:szCs w:val="16"/>
              </w:rPr>
            </w:pPr>
            <w:r w:rsidRPr="00E20D21">
              <w:rPr>
                <w:rFonts w:ascii="CAIXA Std Book" w:hAnsi="CAIXA Std Book" w:cs="Arial"/>
                <w:color w:val="005CA9"/>
                <w:sz w:val="16"/>
                <w:szCs w:val="16"/>
              </w:rPr>
              <w:t>1.317.659</w:t>
            </w:r>
          </w:p>
        </w:tc>
        <w:tc>
          <w:tcPr>
            <w:tcW w:w="356" w:type="pct"/>
            <w:tcBorders>
              <w:top w:val="nil"/>
              <w:left w:val="nil"/>
              <w:bottom w:val="nil"/>
              <w:right w:val="nil"/>
            </w:tcBorders>
            <w:shd w:val="clear" w:color="auto" w:fill="auto"/>
            <w:noWrap/>
            <w:vAlign w:val="center"/>
            <w:hideMark/>
          </w:tcPr>
          <w:p w14:paraId="674CAA64" w14:textId="6370482B"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53.361</w:t>
            </w:r>
          </w:p>
        </w:tc>
        <w:tc>
          <w:tcPr>
            <w:tcW w:w="414" w:type="pct"/>
            <w:tcBorders>
              <w:top w:val="nil"/>
              <w:left w:val="nil"/>
              <w:bottom w:val="nil"/>
              <w:right w:val="nil"/>
            </w:tcBorders>
            <w:shd w:val="clear" w:color="auto" w:fill="auto"/>
            <w:noWrap/>
            <w:vAlign w:val="center"/>
            <w:hideMark/>
          </w:tcPr>
          <w:p w14:paraId="0331AD87" w14:textId="7FC9B991"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1.371.020</w:t>
            </w:r>
          </w:p>
        </w:tc>
      </w:tr>
      <w:tr w:rsidR="00A47C19" w:rsidRPr="00E20D21" w14:paraId="1179A38F" w14:textId="77777777" w:rsidTr="001E7C5D">
        <w:trPr>
          <w:trHeight w:val="283"/>
        </w:trPr>
        <w:tc>
          <w:tcPr>
            <w:tcW w:w="1014" w:type="pct"/>
            <w:tcBorders>
              <w:top w:val="nil"/>
              <w:left w:val="nil"/>
              <w:bottom w:val="nil"/>
              <w:right w:val="nil"/>
            </w:tcBorders>
            <w:shd w:val="clear" w:color="auto" w:fill="auto"/>
            <w:vAlign w:val="center"/>
            <w:hideMark/>
          </w:tcPr>
          <w:p w14:paraId="406D2D3B" w14:textId="77777777" w:rsidR="00082EBA" w:rsidRPr="00E20D21" w:rsidRDefault="00082EBA" w:rsidP="00082EBA">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Ações</w:t>
            </w:r>
          </w:p>
        </w:tc>
        <w:tc>
          <w:tcPr>
            <w:tcW w:w="340" w:type="pct"/>
            <w:tcBorders>
              <w:top w:val="nil"/>
              <w:left w:val="nil"/>
              <w:bottom w:val="nil"/>
              <w:right w:val="nil"/>
            </w:tcBorders>
            <w:shd w:val="clear" w:color="auto" w:fill="auto"/>
            <w:vAlign w:val="center"/>
          </w:tcPr>
          <w:p w14:paraId="376D1344" w14:textId="38427555"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7.703</w:t>
            </w:r>
          </w:p>
        </w:tc>
        <w:tc>
          <w:tcPr>
            <w:tcW w:w="285" w:type="pct"/>
            <w:tcBorders>
              <w:top w:val="nil"/>
              <w:left w:val="nil"/>
              <w:bottom w:val="nil"/>
              <w:right w:val="nil"/>
            </w:tcBorders>
            <w:vAlign w:val="center"/>
          </w:tcPr>
          <w:p w14:paraId="12F6F976" w14:textId="46A00704"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6E88E194" w14:textId="411F466F"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1442EEB8" w14:textId="472DE1C6"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noWrap/>
            <w:vAlign w:val="center"/>
          </w:tcPr>
          <w:p w14:paraId="66CCB75F" w14:textId="6C82B9F5"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noWrap/>
            <w:vAlign w:val="center"/>
          </w:tcPr>
          <w:p w14:paraId="56A3AFFF" w14:textId="1786D606"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13.585</w:t>
            </w:r>
          </w:p>
        </w:tc>
        <w:tc>
          <w:tcPr>
            <w:tcW w:w="356" w:type="pct"/>
            <w:tcBorders>
              <w:top w:val="nil"/>
              <w:left w:val="nil"/>
              <w:bottom w:val="nil"/>
              <w:right w:val="nil"/>
            </w:tcBorders>
            <w:shd w:val="clear" w:color="auto" w:fill="auto"/>
            <w:noWrap/>
            <w:vAlign w:val="center"/>
          </w:tcPr>
          <w:p w14:paraId="60A3A679" w14:textId="2ACD62E5"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(5.882)</w:t>
            </w:r>
          </w:p>
        </w:tc>
        <w:tc>
          <w:tcPr>
            <w:tcW w:w="420" w:type="pct"/>
            <w:tcBorders>
              <w:top w:val="nil"/>
              <w:left w:val="nil"/>
              <w:bottom w:val="nil"/>
              <w:right w:val="nil"/>
            </w:tcBorders>
            <w:shd w:val="clear" w:color="auto" w:fill="auto"/>
            <w:noWrap/>
            <w:vAlign w:val="center"/>
          </w:tcPr>
          <w:p w14:paraId="01364BD3" w14:textId="565F7361"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7.703</w:t>
            </w:r>
          </w:p>
        </w:tc>
        <w:tc>
          <w:tcPr>
            <w:tcW w:w="415" w:type="pct"/>
            <w:tcBorders>
              <w:top w:val="nil"/>
              <w:left w:val="nil"/>
              <w:bottom w:val="nil"/>
              <w:right w:val="nil"/>
            </w:tcBorders>
            <w:shd w:val="clear" w:color="auto" w:fill="auto"/>
            <w:noWrap/>
            <w:vAlign w:val="center"/>
            <w:hideMark/>
          </w:tcPr>
          <w:p w14:paraId="1B07854B" w14:textId="6A9882E0" w:rsidR="00082EBA" w:rsidRPr="00E20D21" w:rsidRDefault="00082EBA" w:rsidP="00082EBA">
            <w:pPr>
              <w:jc w:val="right"/>
              <w:rPr>
                <w:rFonts w:ascii="CAIXA Std Book" w:hAnsi="CAIXA Std Book" w:cs="Arial"/>
                <w:color w:val="005CA9"/>
                <w:sz w:val="16"/>
                <w:szCs w:val="16"/>
              </w:rPr>
            </w:pPr>
            <w:r w:rsidRPr="00E20D21">
              <w:rPr>
                <w:rFonts w:ascii="CAIXA Std Book" w:hAnsi="CAIXA Std Book" w:cs="Arial"/>
                <w:color w:val="005CA9"/>
                <w:sz w:val="16"/>
                <w:szCs w:val="16"/>
              </w:rPr>
              <w:t>24.206</w:t>
            </w:r>
          </w:p>
        </w:tc>
        <w:tc>
          <w:tcPr>
            <w:tcW w:w="356" w:type="pct"/>
            <w:tcBorders>
              <w:top w:val="nil"/>
              <w:left w:val="nil"/>
              <w:bottom w:val="nil"/>
              <w:right w:val="nil"/>
            </w:tcBorders>
            <w:shd w:val="clear" w:color="auto" w:fill="auto"/>
            <w:noWrap/>
            <w:vAlign w:val="center"/>
            <w:hideMark/>
          </w:tcPr>
          <w:p w14:paraId="0A914519" w14:textId="2BBC04E8"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(10.162)</w:t>
            </w:r>
          </w:p>
        </w:tc>
        <w:tc>
          <w:tcPr>
            <w:tcW w:w="414" w:type="pct"/>
            <w:tcBorders>
              <w:top w:val="nil"/>
              <w:left w:val="nil"/>
              <w:bottom w:val="nil"/>
              <w:right w:val="nil"/>
            </w:tcBorders>
            <w:shd w:val="clear" w:color="auto" w:fill="auto"/>
            <w:noWrap/>
            <w:vAlign w:val="center"/>
            <w:hideMark/>
          </w:tcPr>
          <w:p w14:paraId="02148D91" w14:textId="2AB62B5B"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14.044</w:t>
            </w:r>
          </w:p>
        </w:tc>
      </w:tr>
      <w:tr w:rsidR="00A47C19" w:rsidRPr="00E20D21" w14:paraId="537F26E7" w14:textId="77777777" w:rsidTr="001E7C5D">
        <w:trPr>
          <w:trHeight w:val="283"/>
        </w:trPr>
        <w:tc>
          <w:tcPr>
            <w:tcW w:w="1014" w:type="pct"/>
            <w:tcBorders>
              <w:top w:val="nil"/>
              <w:left w:val="nil"/>
              <w:bottom w:val="nil"/>
              <w:right w:val="nil"/>
            </w:tcBorders>
            <w:shd w:val="clear" w:color="auto" w:fill="auto"/>
            <w:vAlign w:val="center"/>
            <w:hideMark/>
          </w:tcPr>
          <w:p w14:paraId="02846F6F" w14:textId="77777777" w:rsidR="00082EBA" w:rsidRPr="00E20D21" w:rsidRDefault="00082EBA" w:rsidP="00082EBA">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w:t>
            </w:r>
          </w:p>
        </w:tc>
        <w:tc>
          <w:tcPr>
            <w:tcW w:w="340" w:type="pct"/>
            <w:tcBorders>
              <w:top w:val="nil"/>
              <w:left w:val="nil"/>
              <w:bottom w:val="nil"/>
              <w:right w:val="nil"/>
            </w:tcBorders>
            <w:shd w:val="clear" w:color="auto" w:fill="auto"/>
            <w:noWrap/>
            <w:vAlign w:val="center"/>
          </w:tcPr>
          <w:p w14:paraId="2DB39791" w14:textId="1B7BA835" w:rsidR="00082EBA" w:rsidRPr="00E20D21" w:rsidRDefault="00540E4C" w:rsidP="00082EBA">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vAlign w:val="center"/>
          </w:tcPr>
          <w:p w14:paraId="477EF056" w14:textId="3989AED2"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289.987</w:t>
            </w:r>
          </w:p>
        </w:tc>
        <w:tc>
          <w:tcPr>
            <w:tcW w:w="285" w:type="pct"/>
            <w:tcBorders>
              <w:top w:val="nil"/>
              <w:left w:val="nil"/>
              <w:bottom w:val="nil"/>
              <w:right w:val="nil"/>
            </w:tcBorders>
            <w:shd w:val="clear" w:color="auto" w:fill="auto"/>
            <w:noWrap/>
            <w:vAlign w:val="center"/>
          </w:tcPr>
          <w:p w14:paraId="5DCA6FE4" w14:textId="32FE2AA0"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426.049</w:t>
            </w:r>
          </w:p>
        </w:tc>
        <w:tc>
          <w:tcPr>
            <w:tcW w:w="285" w:type="pct"/>
            <w:tcBorders>
              <w:top w:val="nil"/>
              <w:left w:val="nil"/>
              <w:bottom w:val="nil"/>
              <w:right w:val="nil"/>
            </w:tcBorders>
            <w:shd w:val="clear" w:color="auto" w:fill="auto"/>
            <w:vAlign w:val="center"/>
          </w:tcPr>
          <w:p w14:paraId="3A3362FB" w14:textId="7438ED9B"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869.703</w:t>
            </w:r>
          </w:p>
        </w:tc>
        <w:tc>
          <w:tcPr>
            <w:tcW w:w="415" w:type="pct"/>
            <w:tcBorders>
              <w:top w:val="nil"/>
              <w:left w:val="nil"/>
              <w:bottom w:val="nil"/>
              <w:right w:val="nil"/>
            </w:tcBorders>
            <w:shd w:val="clear" w:color="auto" w:fill="auto"/>
            <w:vAlign w:val="center"/>
          </w:tcPr>
          <w:p w14:paraId="60691943" w14:textId="70BEEF49"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2.205.910</w:t>
            </w:r>
          </w:p>
        </w:tc>
        <w:tc>
          <w:tcPr>
            <w:tcW w:w="415" w:type="pct"/>
            <w:tcBorders>
              <w:top w:val="nil"/>
              <w:left w:val="nil"/>
              <w:bottom w:val="nil"/>
              <w:right w:val="nil"/>
            </w:tcBorders>
            <w:shd w:val="clear" w:color="auto" w:fill="auto"/>
            <w:noWrap/>
            <w:vAlign w:val="center"/>
          </w:tcPr>
          <w:p w14:paraId="3AFB16A0" w14:textId="4B61DE33"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3.737.813</w:t>
            </w:r>
          </w:p>
        </w:tc>
        <w:tc>
          <w:tcPr>
            <w:tcW w:w="356" w:type="pct"/>
            <w:tcBorders>
              <w:top w:val="nil"/>
              <w:left w:val="nil"/>
              <w:bottom w:val="nil"/>
              <w:right w:val="nil"/>
            </w:tcBorders>
            <w:shd w:val="clear" w:color="auto" w:fill="auto"/>
            <w:noWrap/>
            <w:vAlign w:val="center"/>
          </w:tcPr>
          <w:p w14:paraId="4D9FD88F" w14:textId="11F1F9D0"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53.836</w:t>
            </w:r>
          </w:p>
        </w:tc>
        <w:tc>
          <w:tcPr>
            <w:tcW w:w="420" w:type="pct"/>
            <w:tcBorders>
              <w:top w:val="nil"/>
              <w:left w:val="nil"/>
              <w:bottom w:val="nil"/>
              <w:right w:val="nil"/>
            </w:tcBorders>
            <w:shd w:val="clear" w:color="auto" w:fill="auto"/>
            <w:noWrap/>
            <w:vAlign w:val="center"/>
          </w:tcPr>
          <w:p w14:paraId="0843B706" w14:textId="7E65C6C3" w:rsidR="00082EBA" w:rsidRPr="00E20D21" w:rsidRDefault="00540E4C" w:rsidP="00082EBA">
            <w:pPr>
              <w:jc w:val="right"/>
              <w:rPr>
                <w:rFonts w:ascii="CAIXA Std Book" w:hAnsi="CAIXA Std Book" w:cs="Arial"/>
                <w:color w:val="005CA9"/>
                <w:sz w:val="16"/>
                <w:szCs w:val="16"/>
              </w:rPr>
            </w:pPr>
            <w:r w:rsidRPr="00E20D21">
              <w:rPr>
                <w:rFonts w:ascii="CAIXA Std Book" w:hAnsi="CAIXA Std Book" w:cs="Arial"/>
                <w:bCs/>
                <w:color w:val="005CA9"/>
                <w:sz w:val="16"/>
                <w:szCs w:val="16"/>
              </w:rPr>
              <w:t>3.791.649</w:t>
            </w:r>
          </w:p>
        </w:tc>
        <w:tc>
          <w:tcPr>
            <w:tcW w:w="415" w:type="pct"/>
            <w:tcBorders>
              <w:top w:val="nil"/>
              <w:left w:val="nil"/>
              <w:bottom w:val="nil"/>
              <w:right w:val="nil"/>
            </w:tcBorders>
            <w:shd w:val="clear" w:color="auto" w:fill="auto"/>
            <w:noWrap/>
            <w:vAlign w:val="center"/>
            <w:hideMark/>
          </w:tcPr>
          <w:p w14:paraId="28D12930" w14:textId="79850BB2" w:rsidR="00082EBA" w:rsidRPr="00E20D21" w:rsidRDefault="00082EBA" w:rsidP="00082EBA">
            <w:pPr>
              <w:jc w:val="right"/>
              <w:rPr>
                <w:rFonts w:ascii="CAIXA Std Book" w:hAnsi="CAIXA Std Book" w:cs="Arial"/>
                <w:color w:val="005CA9"/>
                <w:sz w:val="16"/>
                <w:szCs w:val="16"/>
              </w:rPr>
            </w:pPr>
            <w:r w:rsidRPr="00E20D21">
              <w:rPr>
                <w:rFonts w:ascii="CAIXA Std Book" w:hAnsi="CAIXA Std Book" w:cs="Arial"/>
                <w:color w:val="005CA9"/>
                <w:sz w:val="16"/>
                <w:szCs w:val="16"/>
              </w:rPr>
              <w:t>4.621.334</w:t>
            </w:r>
          </w:p>
        </w:tc>
        <w:tc>
          <w:tcPr>
            <w:tcW w:w="356" w:type="pct"/>
            <w:tcBorders>
              <w:top w:val="nil"/>
              <w:left w:val="nil"/>
              <w:bottom w:val="nil"/>
              <w:right w:val="nil"/>
            </w:tcBorders>
            <w:shd w:val="clear" w:color="auto" w:fill="auto"/>
            <w:noWrap/>
            <w:vAlign w:val="center"/>
            <w:hideMark/>
          </w:tcPr>
          <w:p w14:paraId="7B25DF44" w14:textId="3238C678"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80.880</w:t>
            </w:r>
          </w:p>
        </w:tc>
        <w:tc>
          <w:tcPr>
            <w:tcW w:w="414" w:type="pct"/>
            <w:tcBorders>
              <w:top w:val="nil"/>
              <w:left w:val="nil"/>
              <w:bottom w:val="nil"/>
              <w:right w:val="nil"/>
            </w:tcBorders>
            <w:shd w:val="clear" w:color="auto" w:fill="auto"/>
            <w:noWrap/>
            <w:vAlign w:val="center"/>
            <w:hideMark/>
          </w:tcPr>
          <w:p w14:paraId="76F322D2" w14:textId="17F32473" w:rsidR="00082EBA" w:rsidRPr="00E20D21" w:rsidRDefault="00082EBA" w:rsidP="00082EBA">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4.702.214</w:t>
            </w:r>
          </w:p>
        </w:tc>
      </w:tr>
      <w:tr w:rsidR="00540E4C" w:rsidRPr="00E20D21" w14:paraId="27BB0FD5" w14:textId="77777777" w:rsidTr="001E7C5D">
        <w:trPr>
          <w:trHeight w:val="283"/>
        </w:trPr>
        <w:tc>
          <w:tcPr>
            <w:tcW w:w="1014" w:type="pct"/>
            <w:tcBorders>
              <w:top w:val="nil"/>
              <w:left w:val="nil"/>
              <w:bottom w:val="nil"/>
              <w:right w:val="nil"/>
            </w:tcBorders>
            <w:shd w:val="clear" w:color="auto" w:fill="auto"/>
            <w:vAlign w:val="center"/>
          </w:tcPr>
          <w:p w14:paraId="2D489110" w14:textId="12E951C9" w:rsidR="00540E4C" w:rsidRPr="00E20D21" w:rsidRDefault="001245FF" w:rsidP="00540E4C">
            <w:pPr>
              <w:ind w:firstLineChars="100" w:firstLine="180"/>
              <w:rPr>
                <w:rFonts w:ascii="CAIXA Std Book" w:eastAsia="Times New Roman" w:hAnsi="CAIXA Std Book" w:cs="Arial"/>
                <w:color w:val="005CA9"/>
                <w:sz w:val="16"/>
                <w:szCs w:val="16"/>
              </w:rPr>
            </w:pPr>
            <w:r w:rsidRPr="00E20D21">
              <w:rPr>
                <w:rFonts w:ascii="CAIXA Std Book" w:eastAsia="Times New Roman" w:hAnsi="CAIXA Std Book" w:cs="Arial"/>
                <w:color w:val="005CA9"/>
                <w:sz w:val="18"/>
                <w:szCs w:val="18"/>
              </w:rPr>
              <w:t xml:space="preserve">Notas </w:t>
            </w:r>
            <w:r w:rsidR="00704567" w:rsidRPr="00E20D21">
              <w:rPr>
                <w:rFonts w:ascii="CAIXA Std Book" w:eastAsia="Times New Roman" w:hAnsi="CAIXA Std Book" w:cs="Arial"/>
                <w:color w:val="005CA9"/>
                <w:sz w:val="18"/>
                <w:szCs w:val="18"/>
              </w:rPr>
              <w:t>c</w:t>
            </w:r>
            <w:r w:rsidRPr="00E20D21">
              <w:rPr>
                <w:rFonts w:ascii="CAIXA Std Book" w:eastAsia="Times New Roman" w:hAnsi="CAIXA Std Book" w:cs="Arial"/>
                <w:color w:val="005CA9"/>
                <w:sz w:val="18"/>
                <w:szCs w:val="18"/>
              </w:rPr>
              <w:t>omerciais</w:t>
            </w:r>
          </w:p>
        </w:tc>
        <w:tc>
          <w:tcPr>
            <w:tcW w:w="340" w:type="pct"/>
            <w:tcBorders>
              <w:top w:val="nil"/>
              <w:left w:val="nil"/>
              <w:bottom w:val="nil"/>
              <w:right w:val="nil"/>
            </w:tcBorders>
            <w:shd w:val="clear" w:color="auto" w:fill="auto"/>
            <w:noWrap/>
            <w:vAlign w:val="center"/>
          </w:tcPr>
          <w:p w14:paraId="53F1ECE0" w14:textId="62340E34" w:rsidR="00540E4C" w:rsidRPr="00E20D21" w:rsidRDefault="00540E4C" w:rsidP="00540E4C">
            <w:pPr>
              <w:jc w:val="center"/>
              <w:rPr>
                <w:rFonts w:ascii="CAIXA Std Book" w:hAnsi="CAIXA Std Book" w:cs="Arial"/>
                <w:bCs/>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vAlign w:val="center"/>
          </w:tcPr>
          <w:p w14:paraId="031933F5" w14:textId="0211DE79" w:rsidR="00540E4C" w:rsidRPr="00E20D21" w:rsidRDefault="00540E4C" w:rsidP="00540E4C">
            <w:pPr>
              <w:jc w:val="center"/>
              <w:rPr>
                <w:rFonts w:ascii="CAIXA Std Book" w:hAnsi="CAIXA Std Book" w:cs="Arial"/>
                <w:bCs/>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noWrap/>
            <w:vAlign w:val="center"/>
          </w:tcPr>
          <w:p w14:paraId="78EAE4AA" w14:textId="02908BEC" w:rsidR="00540E4C" w:rsidRPr="00E20D21" w:rsidRDefault="00540E4C" w:rsidP="00540E4C">
            <w:pPr>
              <w:jc w:val="center"/>
              <w:rPr>
                <w:rFonts w:ascii="CAIXA Std Book" w:hAnsi="CAIXA Std Book" w:cs="Arial"/>
                <w:bCs/>
                <w:color w:val="005CA9"/>
                <w:sz w:val="16"/>
                <w:szCs w:val="16"/>
              </w:rPr>
            </w:pPr>
            <w:r w:rsidRPr="00E20D21">
              <w:rPr>
                <w:rFonts w:ascii="CAIXA Std Book" w:hAnsi="CAIXA Std Book" w:cs="Arial"/>
                <w:bCs/>
                <w:color w:val="005CA9"/>
                <w:sz w:val="16"/>
                <w:szCs w:val="16"/>
              </w:rPr>
              <w:t>-</w:t>
            </w:r>
          </w:p>
        </w:tc>
        <w:tc>
          <w:tcPr>
            <w:tcW w:w="285" w:type="pct"/>
            <w:tcBorders>
              <w:top w:val="nil"/>
              <w:left w:val="nil"/>
              <w:bottom w:val="nil"/>
              <w:right w:val="nil"/>
            </w:tcBorders>
            <w:shd w:val="clear" w:color="auto" w:fill="auto"/>
            <w:vAlign w:val="center"/>
          </w:tcPr>
          <w:p w14:paraId="66534378" w14:textId="7E54868B" w:rsidR="00540E4C" w:rsidRPr="00E20D21" w:rsidRDefault="00540E4C" w:rsidP="00540E4C">
            <w:pPr>
              <w:jc w:val="center"/>
              <w:rPr>
                <w:rFonts w:ascii="CAIXA Std Book" w:hAnsi="CAIXA Std Book" w:cs="Arial"/>
                <w:bCs/>
                <w:color w:val="005CA9"/>
                <w:sz w:val="16"/>
                <w:szCs w:val="16"/>
              </w:rPr>
            </w:pPr>
            <w:r w:rsidRPr="00E20D21">
              <w:rPr>
                <w:rFonts w:ascii="CAIXA Std Book" w:hAnsi="CAIXA Std Book" w:cs="Arial"/>
                <w:bCs/>
                <w:color w:val="005CA9"/>
                <w:sz w:val="16"/>
                <w:szCs w:val="16"/>
              </w:rPr>
              <w:t>-</w:t>
            </w:r>
          </w:p>
        </w:tc>
        <w:tc>
          <w:tcPr>
            <w:tcW w:w="415" w:type="pct"/>
            <w:tcBorders>
              <w:top w:val="nil"/>
              <w:left w:val="nil"/>
              <w:bottom w:val="nil"/>
              <w:right w:val="nil"/>
            </w:tcBorders>
            <w:shd w:val="clear" w:color="auto" w:fill="auto"/>
            <w:vAlign w:val="center"/>
          </w:tcPr>
          <w:p w14:paraId="23505126" w14:textId="3076B604" w:rsidR="00540E4C" w:rsidRPr="00E20D21" w:rsidRDefault="00540E4C" w:rsidP="00540E4C">
            <w:pPr>
              <w:jc w:val="right"/>
              <w:rPr>
                <w:rFonts w:ascii="CAIXA Std Book" w:hAnsi="CAIXA Std Book" w:cs="Arial"/>
                <w:bCs/>
                <w:color w:val="005CA9"/>
                <w:sz w:val="16"/>
                <w:szCs w:val="16"/>
              </w:rPr>
            </w:pPr>
            <w:r w:rsidRPr="00E20D21">
              <w:rPr>
                <w:rFonts w:ascii="CAIXA Std Book" w:hAnsi="CAIXA Std Book" w:cs="Arial"/>
                <w:bCs/>
                <w:color w:val="005CA9"/>
                <w:sz w:val="16"/>
                <w:szCs w:val="16"/>
              </w:rPr>
              <w:t>518.862</w:t>
            </w:r>
          </w:p>
        </w:tc>
        <w:tc>
          <w:tcPr>
            <w:tcW w:w="415" w:type="pct"/>
            <w:tcBorders>
              <w:top w:val="nil"/>
              <w:left w:val="nil"/>
              <w:bottom w:val="nil"/>
              <w:right w:val="nil"/>
            </w:tcBorders>
            <w:shd w:val="clear" w:color="auto" w:fill="auto"/>
            <w:noWrap/>
            <w:vAlign w:val="center"/>
          </w:tcPr>
          <w:p w14:paraId="5B45F0A0" w14:textId="5531878D" w:rsidR="00540E4C" w:rsidRPr="00E20D21" w:rsidRDefault="00540E4C" w:rsidP="00540E4C">
            <w:pPr>
              <w:jc w:val="right"/>
              <w:rPr>
                <w:rFonts w:ascii="CAIXA Std Book" w:hAnsi="CAIXA Std Book" w:cs="Arial"/>
                <w:bCs/>
                <w:color w:val="005CA9"/>
                <w:sz w:val="16"/>
                <w:szCs w:val="16"/>
              </w:rPr>
            </w:pPr>
            <w:r w:rsidRPr="00E20D21">
              <w:rPr>
                <w:rFonts w:ascii="CAIXA Std Book" w:hAnsi="CAIXA Std Book" w:cs="Arial"/>
                <w:bCs/>
                <w:color w:val="005CA9"/>
                <w:sz w:val="16"/>
                <w:szCs w:val="16"/>
              </w:rPr>
              <w:t>514.595</w:t>
            </w:r>
          </w:p>
        </w:tc>
        <w:tc>
          <w:tcPr>
            <w:tcW w:w="356" w:type="pct"/>
            <w:tcBorders>
              <w:top w:val="nil"/>
              <w:left w:val="nil"/>
              <w:bottom w:val="nil"/>
              <w:right w:val="nil"/>
            </w:tcBorders>
            <w:shd w:val="clear" w:color="auto" w:fill="auto"/>
            <w:noWrap/>
            <w:vAlign w:val="center"/>
          </w:tcPr>
          <w:p w14:paraId="252D1174" w14:textId="56036492" w:rsidR="00540E4C" w:rsidRPr="00E20D21" w:rsidRDefault="00540E4C" w:rsidP="00540E4C">
            <w:pPr>
              <w:jc w:val="right"/>
              <w:rPr>
                <w:rFonts w:ascii="CAIXA Std Book" w:hAnsi="CAIXA Std Book" w:cs="Arial"/>
                <w:bCs/>
                <w:color w:val="005CA9"/>
                <w:sz w:val="16"/>
                <w:szCs w:val="16"/>
              </w:rPr>
            </w:pPr>
            <w:r w:rsidRPr="00E20D21">
              <w:rPr>
                <w:rFonts w:ascii="CAIXA Std Book" w:hAnsi="CAIXA Std Book" w:cs="Arial"/>
                <w:bCs/>
                <w:color w:val="005CA9"/>
                <w:sz w:val="16"/>
                <w:szCs w:val="16"/>
              </w:rPr>
              <w:t>4.267</w:t>
            </w:r>
          </w:p>
        </w:tc>
        <w:tc>
          <w:tcPr>
            <w:tcW w:w="420" w:type="pct"/>
            <w:tcBorders>
              <w:top w:val="nil"/>
              <w:left w:val="nil"/>
              <w:bottom w:val="nil"/>
              <w:right w:val="nil"/>
            </w:tcBorders>
            <w:shd w:val="clear" w:color="auto" w:fill="auto"/>
            <w:noWrap/>
            <w:vAlign w:val="center"/>
          </w:tcPr>
          <w:p w14:paraId="4D035520" w14:textId="4621A5AD" w:rsidR="00540E4C" w:rsidRPr="00E20D21" w:rsidRDefault="00540E4C" w:rsidP="00540E4C">
            <w:pPr>
              <w:jc w:val="right"/>
              <w:rPr>
                <w:rFonts w:ascii="CAIXA Std Book" w:hAnsi="CAIXA Std Book" w:cs="Arial"/>
                <w:bCs/>
                <w:color w:val="005CA9"/>
                <w:sz w:val="16"/>
                <w:szCs w:val="16"/>
              </w:rPr>
            </w:pPr>
            <w:r w:rsidRPr="00E20D21">
              <w:rPr>
                <w:rFonts w:ascii="CAIXA Std Book" w:hAnsi="CAIXA Std Book" w:cs="Arial"/>
                <w:bCs/>
                <w:color w:val="005CA9"/>
                <w:sz w:val="16"/>
                <w:szCs w:val="16"/>
              </w:rPr>
              <w:t>518.862</w:t>
            </w:r>
          </w:p>
        </w:tc>
        <w:tc>
          <w:tcPr>
            <w:tcW w:w="415" w:type="pct"/>
            <w:tcBorders>
              <w:top w:val="nil"/>
              <w:left w:val="nil"/>
              <w:bottom w:val="nil"/>
              <w:right w:val="nil"/>
            </w:tcBorders>
            <w:shd w:val="clear" w:color="auto" w:fill="auto"/>
            <w:noWrap/>
            <w:vAlign w:val="center"/>
          </w:tcPr>
          <w:p w14:paraId="13E57921" w14:textId="40417349" w:rsidR="00540E4C" w:rsidRPr="00E20D21" w:rsidRDefault="00540E4C" w:rsidP="00540E4C">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356" w:type="pct"/>
            <w:tcBorders>
              <w:top w:val="nil"/>
              <w:left w:val="nil"/>
              <w:bottom w:val="nil"/>
              <w:right w:val="nil"/>
            </w:tcBorders>
            <w:shd w:val="clear" w:color="auto" w:fill="auto"/>
            <w:noWrap/>
            <w:vAlign w:val="center"/>
          </w:tcPr>
          <w:p w14:paraId="6564ABEC" w14:textId="29F094CF" w:rsidR="00540E4C" w:rsidRPr="00E20D21" w:rsidRDefault="00540E4C" w:rsidP="00540E4C">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c>
          <w:tcPr>
            <w:tcW w:w="414" w:type="pct"/>
            <w:tcBorders>
              <w:top w:val="nil"/>
              <w:left w:val="nil"/>
              <w:bottom w:val="nil"/>
              <w:right w:val="nil"/>
            </w:tcBorders>
            <w:shd w:val="clear" w:color="auto" w:fill="auto"/>
            <w:noWrap/>
            <w:vAlign w:val="center"/>
          </w:tcPr>
          <w:p w14:paraId="62245AC5" w14:textId="0D898226" w:rsidR="00540E4C" w:rsidRPr="00E20D21" w:rsidRDefault="00540E4C" w:rsidP="00540E4C">
            <w:pPr>
              <w:jc w:val="center"/>
              <w:rPr>
                <w:rFonts w:ascii="CAIXA Std Book" w:hAnsi="CAIXA Std Book" w:cs="Arial"/>
                <w:color w:val="005CA9"/>
                <w:sz w:val="16"/>
                <w:szCs w:val="16"/>
              </w:rPr>
            </w:pPr>
            <w:r w:rsidRPr="00E20D21">
              <w:rPr>
                <w:rFonts w:ascii="CAIXA Std Book" w:hAnsi="CAIXA Std Book" w:cs="Arial"/>
                <w:bCs/>
                <w:color w:val="005CA9"/>
                <w:sz w:val="16"/>
                <w:szCs w:val="16"/>
              </w:rPr>
              <w:t>-</w:t>
            </w:r>
          </w:p>
        </w:tc>
      </w:tr>
      <w:tr w:rsidR="00082EBA" w:rsidRPr="00E20D21" w14:paraId="33DEF59F" w14:textId="77777777" w:rsidTr="001E7C5D">
        <w:trPr>
          <w:trHeight w:val="283"/>
        </w:trPr>
        <w:tc>
          <w:tcPr>
            <w:tcW w:w="1014" w:type="pct"/>
            <w:tcBorders>
              <w:top w:val="single" w:sz="4" w:space="0" w:color="F39200"/>
              <w:left w:val="nil"/>
              <w:bottom w:val="single" w:sz="4" w:space="0" w:color="F39200"/>
              <w:right w:val="nil"/>
            </w:tcBorders>
            <w:shd w:val="clear" w:color="auto" w:fill="auto"/>
            <w:noWrap/>
            <w:vAlign w:val="center"/>
            <w:hideMark/>
          </w:tcPr>
          <w:p w14:paraId="50045AA9" w14:textId="77777777" w:rsidR="00082EBA" w:rsidRPr="00E20D21" w:rsidRDefault="00082EBA" w:rsidP="00082EBA">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w:t>
            </w:r>
          </w:p>
        </w:tc>
        <w:tc>
          <w:tcPr>
            <w:tcW w:w="340" w:type="pct"/>
            <w:tcBorders>
              <w:top w:val="single" w:sz="4" w:space="0" w:color="F39200"/>
              <w:left w:val="nil"/>
              <w:bottom w:val="single" w:sz="4" w:space="0" w:color="F39200"/>
              <w:right w:val="nil"/>
            </w:tcBorders>
            <w:shd w:val="clear" w:color="auto" w:fill="auto"/>
            <w:noWrap/>
            <w:vAlign w:val="center"/>
          </w:tcPr>
          <w:p w14:paraId="5216F111" w14:textId="39A0A659"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2.652.464</w:t>
            </w:r>
          </w:p>
        </w:tc>
        <w:tc>
          <w:tcPr>
            <w:tcW w:w="285" w:type="pct"/>
            <w:tcBorders>
              <w:top w:val="single" w:sz="4" w:space="0" w:color="F39200"/>
              <w:left w:val="nil"/>
              <w:bottom w:val="single" w:sz="4" w:space="0" w:color="F39200"/>
              <w:right w:val="nil"/>
            </w:tcBorders>
            <w:vAlign w:val="center"/>
          </w:tcPr>
          <w:p w14:paraId="420B3C6C" w14:textId="06C0F9B1"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289.987</w:t>
            </w:r>
          </w:p>
        </w:tc>
        <w:tc>
          <w:tcPr>
            <w:tcW w:w="285" w:type="pct"/>
            <w:tcBorders>
              <w:top w:val="single" w:sz="4" w:space="0" w:color="F39200"/>
              <w:left w:val="nil"/>
              <w:bottom w:val="single" w:sz="4" w:space="0" w:color="F39200"/>
              <w:right w:val="nil"/>
            </w:tcBorders>
            <w:shd w:val="clear" w:color="auto" w:fill="auto"/>
            <w:noWrap/>
            <w:vAlign w:val="center"/>
          </w:tcPr>
          <w:p w14:paraId="552AF3B0" w14:textId="56A6408F"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426.049</w:t>
            </w:r>
          </w:p>
        </w:tc>
        <w:tc>
          <w:tcPr>
            <w:tcW w:w="285" w:type="pct"/>
            <w:tcBorders>
              <w:top w:val="single" w:sz="4" w:space="0" w:color="F39200"/>
              <w:left w:val="nil"/>
              <w:bottom w:val="single" w:sz="4" w:space="0" w:color="F39200"/>
              <w:right w:val="nil"/>
            </w:tcBorders>
            <w:shd w:val="clear" w:color="auto" w:fill="auto"/>
            <w:noWrap/>
            <w:vAlign w:val="center"/>
          </w:tcPr>
          <w:p w14:paraId="6BD390F5" w14:textId="7E851A89"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894.85</w:t>
            </w:r>
            <w:r w:rsidR="00A32D34" w:rsidRPr="00E20D21">
              <w:rPr>
                <w:rFonts w:ascii="CAIXA Std Book" w:hAnsi="CAIXA Std Book" w:cs="Arial"/>
                <w:b/>
                <w:color w:val="005CA9"/>
                <w:sz w:val="16"/>
                <w:szCs w:val="16"/>
              </w:rPr>
              <w:t>2</w:t>
            </w:r>
          </w:p>
        </w:tc>
        <w:tc>
          <w:tcPr>
            <w:tcW w:w="415" w:type="pct"/>
            <w:tcBorders>
              <w:top w:val="single" w:sz="4" w:space="0" w:color="F39200"/>
              <w:left w:val="nil"/>
              <w:bottom w:val="single" w:sz="4" w:space="0" w:color="F39200"/>
              <w:right w:val="nil"/>
            </w:tcBorders>
            <w:shd w:val="clear" w:color="auto" w:fill="auto"/>
            <w:noWrap/>
            <w:vAlign w:val="center"/>
          </w:tcPr>
          <w:p w14:paraId="2E6D0808" w14:textId="6E82CC22"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166.805.17</w:t>
            </w:r>
            <w:r w:rsidR="00A32D34" w:rsidRPr="00E20D21">
              <w:rPr>
                <w:rFonts w:ascii="CAIXA Std Book" w:hAnsi="CAIXA Std Book" w:cs="Arial"/>
                <w:b/>
                <w:color w:val="005CA9"/>
                <w:sz w:val="16"/>
                <w:szCs w:val="16"/>
              </w:rPr>
              <w:t>5</w:t>
            </w:r>
          </w:p>
        </w:tc>
        <w:tc>
          <w:tcPr>
            <w:tcW w:w="415" w:type="pct"/>
            <w:tcBorders>
              <w:top w:val="single" w:sz="4" w:space="0" w:color="F39200"/>
              <w:left w:val="nil"/>
              <w:bottom w:val="single" w:sz="4" w:space="0" w:color="F39200"/>
              <w:right w:val="nil"/>
            </w:tcBorders>
            <w:shd w:val="clear" w:color="auto" w:fill="auto"/>
            <w:noWrap/>
            <w:vAlign w:val="center"/>
          </w:tcPr>
          <w:p w14:paraId="27D9ECA8" w14:textId="1FD179CE"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170.155.688</w:t>
            </w:r>
          </w:p>
        </w:tc>
        <w:tc>
          <w:tcPr>
            <w:tcW w:w="356" w:type="pct"/>
            <w:tcBorders>
              <w:top w:val="single" w:sz="4" w:space="0" w:color="F39200"/>
              <w:left w:val="nil"/>
              <w:bottom w:val="single" w:sz="4" w:space="0" w:color="F39200"/>
              <w:right w:val="nil"/>
            </w:tcBorders>
            <w:shd w:val="clear" w:color="auto" w:fill="auto"/>
            <w:noWrap/>
            <w:vAlign w:val="center"/>
          </w:tcPr>
          <w:p w14:paraId="6E58A306" w14:textId="5BA4EB61"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912.839</w:t>
            </w:r>
          </w:p>
        </w:tc>
        <w:tc>
          <w:tcPr>
            <w:tcW w:w="420" w:type="pct"/>
            <w:tcBorders>
              <w:top w:val="single" w:sz="4" w:space="0" w:color="F39200"/>
              <w:left w:val="nil"/>
              <w:bottom w:val="single" w:sz="4" w:space="0" w:color="F39200"/>
              <w:right w:val="nil"/>
            </w:tcBorders>
            <w:shd w:val="clear" w:color="auto" w:fill="auto"/>
            <w:noWrap/>
            <w:vAlign w:val="center"/>
          </w:tcPr>
          <w:p w14:paraId="59730DA5" w14:textId="100F26AC" w:rsidR="00082EBA" w:rsidRPr="00E20D21" w:rsidRDefault="00540E4C"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171.068.527</w:t>
            </w:r>
          </w:p>
        </w:tc>
        <w:tc>
          <w:tcPr>
            <w:tcW w:w="415" w:type="pct"/>
            <w:tcBorders>
              <w:top w:val="single" w:sz="4" w:space="0" w:color="F39200"/>
              <w:left w:val="nil"/>
              <w:bottom w:val="single" w:sz="4" w:space="0" w:color="F39200"/>
              <w:right w:val="nil"/>
            </w:tcBorders>
            <w:shd w:val="clear" w:color="auto" w:fill="auto"/>
            <w:noWrap/>
            <w:vAlign w:val="center"/>
            <w:hideMark/>
          </w:tcPr>
          <w:p w14:paraId="2DDF6582" w14:textId="1591DC42" w:rsidR="00082EBA" w:rsidRPr="00E20D21" w:rsidRDefault="00082EBA"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135.938.704</w:t>
            </w:r>
          </w:p>
        </w:tc>
        <w:tc>
          <w:tcPr>
            <w:tcW w:w="356" w:type="pct"/>
            <w:tcBorders>
              <w:top w:val="single" w:sz="4" w:space="0" w:color="F39200"/>
              <w:left w:val="nil"/>
              <w:bottom w:val="single" w:sz="4" w:space="0" w:color="F39200"/>
              <w:right w:val="nil"/>
            </w:tcBorders>
            <w:shd w:val="clear" w:color="auto" w:fill="auto"/>
            <w:noWrap/>
            <w:vAlign w:val="center"/>
            <w:hideMark/>
          </w:tcPr>
          <w:p w14:paraId="6E45FBA6" w14:textId="101EE5C6" w:rsidR="00082EBA" w:rsidRPr="00E20D21" w:rsidRDefault="00082EBA"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1.157.184</w:t>
            </w:r>
          </w:p>
        </w:tc>
        <w:tc>
          <w:tcPr>
            <w:tcW w:w="414" w:type="pct"/>
            <w:tcBorders>
              <w:top w:val="single" w:sz="4" w:space="0" w:color="F39200"/>
              <w:left w:val="nil"/>
              <w:bottom w:val="single" w:sz="4" w:space="0" w:color="F39200"/>
              <w:right w:val="nil"/>
            </w:tcBorders>
            <w:shd w:val="clear" w:color="auto" w:fill="auto"/>
            <w:noWrap/>
            <w:vAlign w:val="center"/>
            <w:hideMark/>
          </w:tcPr>
          <w:p w14:paraId="0DD3FDD4" w14:textId="14C5A4C7" w:rsidR="00082EBA" w:rsidRPr="00E20D21" w:rsidRDefault="00082EBA" w:rsidP="00082EBA">
            <w:pPr>
              <w:jc w:val="right"/>
              <w:rPr>
                <w:rFonts w:ascii="CAIXA Std Book" w:hAnsi="CAIXA Std Book" w:cs="Arial"/>
                <w:b/>
                <w:color w:val="005CA9"/>
                <w:sz w:val="16"/>
                <w:szCs w:val="16"/>
              </w:rPr>
            </w:pPr>
            <w:r w:rsidRPr="00E20D21">
              <w:rPr>
                <w:rFonts w:ascii="CAIXA Std Book" w:hAnsi="CAIXA Std Book" w:cs="Arial"/>
                <w:b/>
                <w:color w:val="005CA9"/>
                <w:sz w:val="16"/>
                <w:szCs w:val="16"/>
              </w:rPr>
              <w:t>137.095.888</w:t>
            </w:r>
          </w:p>
        </w:tc>
      </w:tr>
    </w:tbl>
    <w:p w14:paraId="4934383F" w14:textId="1916B9A8" w:rsidR="00903613" w:rsidRPr="00E20D21" w:rsidRDefault="00903613">
      <w:pPr>
        <w:rPr>
          <w:rFonts w:ascii="CAIXA Std Book" w:hAnsi="CAIXA Std Book"/>
          <w:color w:val="005CA9"/>
        </w:rPr>
      </w:pPr>
    </w:p>
    <w:p w14:paraId="17DD3401" w14:textId="77777777" w:rsidR="00903613" w:rsidRPr="00E20D21" w:rsidRDefault="00903613">
      <w:pPr>
        <w:rPr>
          <w:rFonts w:ascii="CAIXA Std Book" w:hAnsi="CAIXA Std Book"/>
          <w:color w:val="005CA9"/>
        </w:rPr>
      </w:pPr>
      <w:r w:rsidRPr="00E20D21">
        <w:rPr>
          <w:rFonts w:ascii="CAIXA Std Book" w:hAnsi="CAIXA Std Book"/>
          <w:color w:val="005CA9"/>
        </w:rPr>
        <w:br w:type="page"/>
      </w:r>
    </w:p>
    <w:tbl>
      <w:tblPr>
        <w:tblW w:w="5000" w:type="pct"/>
        <w:tblCellMar>
          <w:left w:w="70" w:type="dxa"/>
          <w:right w:w="70" w:type="dxa"/>
        </w:tblCellMar>
        <w:tblLook w:val="04A0" w:firstRow="1" w:lastRow="0" w:firstColumn="1" w:lastColumn="0" w:noHBand="0" w:noVBand="1"/>
      </w:tblPr>
      <w:tblGrid>
        <w:gridCol w:w="2977"/>
        <w:gridCol w:w="990"/>
        <w:gridCol w:w="851"/>
        <w:gridCol w:w="851"/>
        <w:gridCol w:w="851"/>
        <w:gridCol w:w="1134"/>
        <w:gridCol w:w="1134"/>
        <w:gridCol w:w="1134"/>
        <w:gridCol w:w="1311"/>
        <w:gridCol w:w="1169"/>
        <w:gridCol w:w="997"/>
        <w:gridCol w:w="1172"/>
      </w:tblGrid>
      <w:tr w:rsidR="00A47C19" w:rsidRPr="00E20D21" w14:paraId="34A7A113" w14:textId="77777777" w:rsidTr="004B17A0">
        <w:trPr>
          <w:trHeight w:val="283"/>
        </w:trPr>
        <w:tc>
          <w:tcPr>
            <w:tcW w:w="5000" w:type="pct"/>
            <w:gridSpan w:val="12"/>
            <w:tcBorders>
              <w:top w:val="single" w:sz="4" w:space="0" w:color="F39200"/>
              <w:left w:val="nil"/>
              <w:bottom w:val="single" w:sz="4" w:space="0" w:color="F39200"/>
              <w:right w:val="nil"/>
            </w:tcBorders>
            <w:shd w:val="clear" w:color="auto" w:fill="auto"/>
            <w:vAlign w:val="center"/>
            <w:hideMark/>
          </w:tcPr>
          <w:p w14:paraId="35FFE2AC" w14:textId="229F029E"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hAnsi="CAIXA Std Book"/>
                <w:color w:val="005CA9"/>
                <w:sz w:val="16"/>
                <w:szCs w:val="16"/>
              </w:rPr>
              <w:lastRenderedPageBreak/>
              <w:br w:type="page"/>
            </w:r>
            <w:r w:rsidRPr="00E20D21">
              <w:rPr>
                <w:rFonts w:ascii="CAIXA Std Book" w:eastAsia="Times New Roman" w:hAnsi="CAIXA Std Book" w:cs="Arial"/>
                <w:b/>
                <w:color w:val="005CA9"/>
                <w:sz w:val="16"/>
                <w:szCs w:val="16"/>
              </w:rPr>
              <w:t>CONSOLIDADO</w:t>
            </w:r>
          </w:p>
        </w:tc>
      </w:tr>
      <w:tr w:rsidR="00A47C19" w:rsidRPr="00E20D21" w14:paraId="1B5F4E2F" w14:textId="77777777" w:rsidTr="001E7C5D">
        <w:trPr>
          <w:trHeight w:val="283"/>
        </w:trPr>
        <w:tc>
          <w:tcPr>
            <w:tcW w:w="1022" w:type="pct"/>
            <w:vMerge w:val="restart"/>
            <w:tcBorders>
              <w:top w:val="nil"/>
              <w:left w:val="nil"/>
              <w:bottom w:val="single" w:sz="4" w:space="0" w:color="F39200"/>
              <w:right w:val="nil"/>
            </w:tcBorders>
            <w:shd w:val="clear" w:color="auto" w:fill="auto"/>
            <w:vAlign w:val="center"/>
            <w:hideMark/>
          </w:tcPr>
          <w:p w14:paraId="1DDB1F69" w14:textId="77777777"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Descrição</w:t>
            </w:r>
          </w:p>
        </w:tc>
        <w:tc>
          <w:tcPr>
            <w:tcW w:w="2833" w:type="pct"/>
            <w:gridSpan w:val="8"/>
            <w:tcBorders>
              <w:top w:val="single" w:sz="4" w:space="0" w:color="F39200"/>
              <w:left w:val="nil"/>
              <w:bottom w:val="single" w:sz="4" w:space="0" w:color="F39200"/>
              <w:right w:val="nil"/>
            </w:tcBorders>
            <w:shd w:val="clear" w:color="auto" w:fill="auto"/>
            <w:noWrap/>
            <w:vAlign w:val="center"/>
            <w:hideMark/>
          </w:tcPr>
          <w:p w14:paraId="7A50B9E3" w14:textId="11DF7469" w:rsidR="00AE5670" w:rsidRPr="00E20D21" w:rsidRDefault="007C4E69"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30/06/2024</w:t>
            </w:r>
          </w:p>
        </w:tc>
        <w:tc>
          <w:tcPr>
            <w:tcW w:w="1145" w:type="pct"/>
            <w:gridSpan w:val="3"/>
            <w:tcBorders>
              <w:top w:val="single" w:sz="4" w:space="0" w:color="F39200"/>
              <w:left w:val="nil"/>
              <w:bottom w:val="single" w:sz="4" w:space="0" w:color="F39200"/>
              <w:right w:val="nil"/>
            </w:tcBorders>
            <w:shd w:val="clear" w:color="auto" w:fill="auto"/>
            <w:noWrap/>
            <w:vAlign w:val="center"/>
            <w:hideMark/>
          </w:tcPr>
          <w:p w14:paraId="05F822E5" w14:textId="2555B3A1"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31/12/202</w:t>
            </w:r>
            <w:r w:rsidR="007C4E69" w:rsidRPr="00E20D21">
              <w:rPr>
                <w:rFonts w:ascii="CAIXA Std Book" w:eastAsia="Times New Roman" w:hAnsi="CAIXA Std Book" w:cs="Arial"/>
                <w:b/>
                <w:color w:val="005CA9"/>
                <w:sz w:val="16"/>
                <w:szCs w:val="16"/>
              </w:rPr>
              <w:t>3</w:t>
            </w:r>
          </w:p>
        </w:tc>
      </w:tr>
      <w:tr w:rsidR="00A47C19" w:rsidRPr="00E20D21" w14:paraId="77A7BE2E" w14:textId="77777777" w:rsidTr="001E7C5D">
        <w:trPr>
          <w:trHeight w:val="283"/>
        </w:trPr>
        <w:tc>
          <w:tcPr>
            <w:tcW w:w="1022" w:type="pct"/>
            <w:vMerge/>
            <w:tcBorders>
              <w:top w:val="nil"/>
              <w:left w:val="nil"/>
              <w:bottom w:val="single" w:sz="4" w:space="0" w:color="F39200"/>
              <w:right w:val="nil"/>
            </w:tcBorders>
            <w:vAlign w:val="center"/>
            <w:hideMark/>
          </w:tcPr>
          <w:p w14:paraId="3247343F" w14:textId="77777777" w:rsidR="00AE5670" w:rsidRPr="00E20D21" w:rsidRDefault="00AE5670" w:rsidP="00AE5670">
            <w:pPr>
              <w:jc w:val="center"/>
              <w:rPr>
                <w:rFonts w:ascii="CAIXA Std Book" w:eastAsia="Times New Roman" w:hAnsi="CAIXA Std Book" w:cs="Arial"/>
                <w:b/>
                <w:color w:val="005CA9"/>
                <w:sz w:val="16"/>
                <w:szCs w:val="16"/>
              </w:rPr>
            </w:pPr>
          </w:p>
        </w:tc>
        <w:tc>
          <w:tcPr>
            <w:tcW w:w="340" w:type="pct"/>
            <w:tcBorders>
              <w:top w:val="nil"/>
              <w:left w:val="nil"/>
              <w:bottom w:val="single" w:sz="4" w:space="0" w:color="F39200"/>
              <w:right w:val="nil"/>
            </w:tcBorders>
            <w:shd w:val="clear" w:color="auto" w:fill="auto"/>
            <w:vAlign w:val="center"/>
            <w:hideMark/>
          </w:tcPr>
          <w:p w14:paraId="70AC2030" w14:textId="77777777"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Sem vencimento</w:t>
            </w:r>
          </w:p>
        </w:tc>
        <w:tc>
          <w:tcPr>
            <w:tcW w:w="292" w:type="pct"/>
            <w:tcBorders>
              <w:top w:val="nil"/>
              <w:left w:val="nil"/>
              <w:bottom w:val="single" w:sz="4" w:space="0" w:color="F39200"/>
              <w:right w:val="nil"/>
            </w:tcBorders>
            <w:shd w:val="clear" w:color="auto" w:fill="auto"/>
            <w:vAlign w:val="center"/>
            <w:hideMark/>
          </w:tcPr>
          <w:p w14:paraId="165BC056" w14:textId="7D0C086C" w:rsidR="00AE5670" w:rsidRPr="00E20D21" w:rsidRDefault="00D808A5"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01</w:t>
            </w:r>
            <w:r w:rsidR="00AE5670" w:rsidRPr="00E20D21">
              <w:rPr>
                <w:rFonts w:ascii="CAIXA Std Book" w:eastAsia="Times New Roman" w:hAnsi="CAIXA Std Book" w:cs="Arial"/>
                <w:b/>
                <w:color w:val="005CA9"/>
                <w:sz w:val="16"/>
                <w:szCs w:val="16"/>
              </w:rPr>
              <w:t xml:space="preserve"> a </w:t>
            </w:r>
            <w:r w:rsidRPr="00E20D21">
              <w:rPr>
                <w:rFonts w:ascii="CAIXA Std Book" w:eastAsia="Times New Roman" w:hAnsi="CAIXA Std Book" w:cs="Arial"/>
                <w:b/>
                <w:color w:val="005CA9"/>
                <w:sz w:val="16"/>
                <w:szCs w:val="16"/>
              </w:rPr>
              <w:t>90</w:t>
            </w:r>
            <w:r w:rsidR="00AE5670" w:rsidRPr="00E20D21">
              <w:rPr>
                <w:rFonts w:ascii="CAIXA Std Book" w:eastAsia="Times New Roman" w:hAnsi="CAIXA Std Book" w:cs="Arial"/>
                <w:b/>
                <w:color w:val="005CA9"/>
                <w:sz w:val="16"/>
                <w:szCs w:val="16"/>
              </w:rPr>
              <w:t xml:space="preserve"> dias</w:t>
            </w:r>
          </w:p>
        </w:tc>
        <w:tc>
          <w:tcPr>
            <w:tcW w:w="292" w:type="pct"/>
            <w:tcBorders>
              <w:top w:val="nil"/>
              <w:left w:val="nil"/>
              <w:bottom w:val="single" w:sz="4" w:space="0" w:color="F79646" w:themeColor="accent6"/>
              <w:right w:val="nil"/>
            </w:tcBorders>
            <w:vAlign w:val="center"/>
          </w:tcPr>
          <w:p w14:paraId="5FB12406" w14:textId="7B1BD1D8" w:rsidR="00D808A5" w:rsidRPr="00E20D21" w:rsidRDefault="00D808A5" w:rsidP="00EC461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91 a 180 dias</w:t>
            </w:r>
          </w:p>
        </w:tc>
        <w:tc>
          <w:tcPr>
            <w:tcW w:w="292" w:type="pct"/>
            <w:tcBorders>
              <w:top w:val="nil"/>
              <w:left w:val="nil"/>
              <w:bottom w:val="single" w:sz="4" w:space="0" w:color="F39200"/>
              <w:right w:val="nil"/>
            </w:tcBorders>
            <w:shd w:val="clear" w:color="auto" w:fill="auto"/>
            <w:vAlign w:val="center"/>
            <w:hideMark/>
          </w:tcPr>
          <w:p w14:paraId="58EE501F" w14:textId="77777777"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181 a 360 dias</w:t>
            </w:r>
          </w:p>
        </w:tc>
        <w:tc>
          <w:tcPr>
            <w:tcW w:w="389" w:type="pct"/>
            <w:tcBorders>
              <w:top w:val="nil"/>
              <w:left w:val="nil"/>
              <w:bottom w:val="single" w:sz="4" w:space="0" w:color="F39200"/>
              <w:right w:val="nil"/>
            </w:tcBorders>
            <w:shd w:val="clear" w:color="auto" w:fill="auto"/>
            <w:vAlign w:val="center"/>
            <w:hideMark/>
          </w:tcPr>
          <w:p w14:paraId="4984ADE5" w14:textId="77777777"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Acima de 360 dias</w:t>
            </w:r>
          </w:p>
        </w:tc>
        <w:tc>
          <w:tcPr>
            <w:tcW w:w="389" w:type="pct"/>
            <w:tcBorders>
              <w:top w:val="nil"/>
              <w:left w:val="nil"/>
              <w:bottom w:val="single" w:sz="4" w:space="0" w:color="F39200"/>
              <w:right w:val="nil"/>
            </w:tcBorders>
            <w:shd w:val="clear" w:color="auto" w:fill="auto"/>
            <w:vAlign w:val="center"/>
            <w:hideMark/>
          </w:tcPr>
          <w:p w14:paraId="021014F8" w14:textId="43697D00"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Custo</w:t>
            </w:r>
          </w:p>
        </w:tc>
        <w:tc>
          <w:tcPr>
            <w:tcW w:w="389" w:type="pct"/>
            <w:tcBorders>
              <w:top w:val="nil"/>
              <w:left w:val="nil"/>
              <w:bottom w:val="single" w:sz="4" w:space="0" w:color="F39200"/>
              <w:right w:val="nil"/>
            </w:tcBorders>
            <w:shd w:val="clear" w:color="auto" w:fill="auto"/>
            <w:vAlign w:val="center"/>
            <w:hideMark/>
          </w:tcPr>
          <w:p w14:paraId="3E011B5A" w14:textId="77777777"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patrimônio líquido</w:t>
            </w:r>
          </w:p>
        </w:tc>
        <w:tc>
          <w:tcPr>
            <w:tcW w:w="450" w:type="pct"/>
            <w:tcBorders>
              <w:top w:val="nil"/>
              <w:left w:val="nil"/>
              <w:bottom w:val="single" w:sz="4" w:space="0" w:color="F39200"/>
              <w:right w:val="nil"/>
            </w:tcBorders>
            <w:shd w:val="clear" w:color="auto" w:fill="auto"/>
            <w:vAlign w:val="center"/>
            <w:hideMark/>
          </w:tcPr>
          <w:p w14:paraId="4B831A72" w14:textId="77777777"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de mercado</w:t>
            </w:r>
          </w:p>
        </w:tc>
        <w:tc>
          <w:tcPr>
            <w:tcW w:w="401" w:type="pct"/>
            <w:tcBorders>
              <w:top w:val="nil"/>
              <w:left w:val="nil"/>
              <w:bottom w:val="single" w:sz="4" w:space="0" w:color="F39200"/>
              <w:right w:val="nil"/>
            </w:tcBorders>
            <w:shd w:val="clear" w:color="auto" w:fill="auto"/>
            <w:vAlign w:val="center"/>
            <w:hideMark/>
          </w:tcPr>
          <w:p w14:paraId="7F9A7495" w14:textId="40ED519A"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Custo</w:t>
            </w:r>
          </w:p>
        </w:tc>
        <w:tc>
          <w:tcPr>
            <w:tcW w:w="342" w:type="pct"/>
            <w:tcBorders>
              <w:top w:val="nil"/>
              <w:left w:val="nil"/>
              <w:bottom w:val="single" w:sz="4" w:space="0" w:color="F39200"/>
              <w:right w:val="nil"/>
            </w:tcBorders>
            <w:shd w:val="clear" w:color="auto" w:fill="auto"/>
            <w:vAlign w:val="center"/>
            <w:hideMark/>
          </w:tcPr>
          <w:p w14:paraId="63776AEB" w14:textId="77777777"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patrimônio líquido</w:t>
            </w:r>
          </w:p>
        </w:tc>
        <w:tc>
          <w:tcPr>
            <w:tcW w:w="402" w:type="pct"/>
            <w:tcBorders>
              <w:top w:val="nil"/>
              <w:left w:val="nil"/>
              <w:bottom w:val="single" w:sz="4" w:space="0" w:color="F39200"/>
              <w:right w:val="nil"/>
            </w:tcBorders>
            <w:shd w:val="clear" w:color="auto" w:fill="auto"/>
            <w:vAlign w:val="center"/>
            <w:hideMark/>
          </w:tcPr>
          <w:p w14:paraId="774D9DB2" w14:textId="77777777" w:rsidR="00AE5670" w:rsidRPr="00E20D21" w:rsidRDefault="00AE5670" w:rsidP="00AE5670">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de mercado</w:t>
            </w:r>
          </w:p>
        </w:tc>
      </w:tr>
      <w:tr w:rsidR="00A47C19" w:rsidRPr="00E20D21" w14:paraId="3EE82FD0" w14:textId="77777777" w:rsidTr="001E7C5D">
        <w:trPr>
          <w:trHeight w:val="283"/>
        </w:trPr>
        <w:tc>
          <w:tcPr>
            <w:tcW w:w="1022" w:type="pct"/>
            <w:tcBorders>
              <w:top w:val="single" w:sz="4" w:space="0" w:color="F79646" w:themeColor="accent6"/>
              <w:left w:val="nil"/>
              <w:bottom w:val="nil"/>
              <w:right w:val="nil"/>
            </w:tcBorders>
            <w:shd w:val="clear" w:color="auto" w:fill="auto"/>
            <w:vAlign w:val="center"/>
            <w:hideMark/>
          </w:tcPr>
          <w:p w14:paraId="03BA1515" w14:textId="77777777" w:rsidR="007C4E69" w:rsidRPr="00E20D21" w:rsidRDefault="007C4E69" w:rsidP="007C4E6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públicos</w:t>
            </w:r>
          </w:p>
        </w:tc>
        <w:tc>
          <w:tcPr>
            <w:tcW w:w="340" w:type="pct"/>
            <w:tcBorders>
              <w:top w:val="single" w:sz="4" w:space="0" w:color="F79646" w:themeColor="accent6"/>
              <w:left w:val="nil"/>
              <w:bottom w:val="nil"/>
              <w:right w:val="nil"/>
            </w:tcBorders>
            <w:shd w:val="clear" w:color="auto" w:fill="auto"/>
            <w:noWrap/>
            <w:vAlign w:val="center"/>
          </w:tcPr>
          <w:p w14:paraId="14C78BB7" w14:textId="59EB835D" w:rsidR="007C4E69" w:rsidRPr="00E20D21" w:rsidRDefault="00652EDC" w:rsidP="007C4E69">
            <w:pPr>
              <w:jc w:val="center"/>
              <w:rPr>
                <w:rFonts w:ascii="CAIXA Std Book" w:hAnsi="CAIXA Std Book" w:cs="Arial"/>
                <w:b/>
                <w:color w:val="005CA9"/>
                <w:sz w:val="16"/>
                <w:szCs w:val="16"/>
              </w:rPr>
            </w:pPr>
            <w:r w:rsidRPr="00E20D21">
              <w:rPr>
                <w:rFonts w:ascii="CAIXA Std Book" w:hAnsi="CAIXA Std Book" w:cs="Arial"/>
                <w:b/>
                <w:bCs/>
                <w:color w:val="005CA9"/>
                <w:sz w:val="16"/>
                <w:szCs w:val="16"/>
              </w:rPr>
              <w:t>-</w:t>
            </w:r>
          </w:p>
        </w:tc>
        <w:tc>
          <w:tcPr>
            <w:tcW w:w="292" w:type="pct"/>
            <w:tcBorders>
              <w:top w:val="single" w:sz="4" w:space="0" w:color="F79646" w:themeColor="accent6"/>
              <w:left w:val="nil"/>
              <w:bottom w:val="nil"/>
              <w:right w:val="nil"/>
            </w:tcBorders>
            <w:shd w:val="clear" w:color="auto" w:fill="auto"/>
            <w:noWrap/>
            <w:vAlign w:val="center"/>
          </w:tcPr>
          <w:p w14:paraId="4647B117" w14:textId="264235AF" w:rsidR="007C4E69" w:rsidRPr="00E20D21" w:rsidRDefault="00652EDC" w:rsidP="00652EDC">
            <w:pPr>
              <w:jc w:val="center"/>
              <w:rPr>
                <w:rFonts w:ascii="CAIXA Std Book" w:hAnsi="CAIXA Std Book" w:cs="Arial"/>
                <w:b/>
                <w:color w:val="005CA9"/>
                <w:sz w:val="16"/>
                <w:szCs w:val="16"/>
              </w:rPr>
            </w:pPr>
            <w:r w:rsidRPr="00E20D21">
              <w:rPr>
                <w:rFonts w:ascii="CAIXA Std Book" w:hAnsi="CAIXA Std Book" w:cs="Arial"/>
                <w:b/>
                <w:bCs/>
                <w:color w:val="005CA9"/>
                <w:sz w:val="16"/>
                <w:szCs w:val="16"/>
              </w:rPr>
              <w:t>-</w:t>
            </w:r>
          </w:p>
        </w:tc>
        <w:tc>
          <w:tcPr>
            <w:tcW w:w="292" w:type="pct"/>
            <w:tcBorders>
              <w:top w:val="single" w:sz="4" w:space="0" w:color="F79646" w:themeColor="accent6"/>
              <w:left w:val="nil"/>
              <w:bottom w:val="nil"/>
              <w:right w:val="nil"/>
            </w:tcBorders>
            <w:vAlign w:val="center"/>
          </w:tcPr>
          <w:p w14:paraId="1370D511" w14:textId="390CB166" w:rsidR="007C4E69" w:rsidRPr="00E20D21" w:rsidRDefault="00652EDC" w:rsidP="007C4E69">
            <w:pPr>
              <w:jc w:val="center"/>
              <w:rPr>
                <w:rFonts w:ascii="CAIXA Std Book" w:hAnsi="CAIXA Std Book" w:cs="Arial"/>
                <w:b/>
                <w:color w:val="005CA9"/>
                <w:sz w:val="16"/>
                <w:szCs w:val="16"/>
              </w:rPr>
            </w:pPr>
            <w:r w:rsidRPr="00E20D21">
              <w:rPr>
                <w:rFonts w:ascii="CAIXA Std Book" w:hAnsi="CAIXA Std Book" w:cs="Arial"/>
                <w:b/>
                <w:bCs/>
                <w:color w:val="005CA9"/>
                <w:sz w:val="16"/>
                <w:szCs w:val="16"/>
              </w:rPr>
              <w:t>-</w:t>
            </w:r>
          </w:p>
        </w:tc>
        <w:tc>
          <w:tcPr>
            <w:tcW w:w="292" w:type="pct"/>
            <w:tcBorders>
              <w:top w:val="nil"/>
              <w:left w:val="nil"/>
              <w:bottom w:val="nil"/>
              <w:right w:val="nil"/>
            </w:tcBorders>
            <w:shd w:val="clear" w:color="auto" w:fill="auto"/>
            <w:noWrap/>
            <w:vAlign w:val="center"/>
          </w:tcPr>
          <w:p w14:paraId="47618F61" w14:textId="59B89A21" w:rsidR="007C4E69" w:rsidRPr="00E20D21" w:rsidRDefault="00652EDC" w:rsidP="007C4E69">
            <w:pPr>
              <w:jc w:val="center"/>
              <w:rPr>
                <w:rFonts w:ascii="CAIXA Std Book" w:hAnsi="CAIXA Std Book" w:cs="Arial"/>
                <w:b/>
                <w:color w:val="005CA9"/>
                <w:sz w:val="16"/>
                <w:szCs w:val="16"/>
              </w:rPr>
            </w:pPr>
            <w:r w:rsidRPr="00E20D21">
              <w:rPr>
                <w:rFonts w:ascii="CAIXA Std Book" w:hAnsi="CAIXA Std Book" w:cs="Arial"/>
                <w:b/>
                <w:bCs/>
                <w:color w:val="005CA9"/>
                <w:sz w:val="16"/>
                <w:szCs w:val="16"/>
              </w:rPr>
              <w:t>-</w:t>
            </w:r>
          </w:p>
        </w:tc>
        <w:tc>
          <w:tcPr>
            <w:tcW w:w="389" w:type="pct"/>
            <w:tcBorders>
              <w:top w:val="nil"/>
              <w:left w:val="nil"/>
              <w:bottom w:val="nil"/>
              <w:right w:val="nil"/>
            </w:tcBorders>
            <w:shd w:val="clear" w:color="auto" w:fill="auto"/>
            <w:noWrap/>
            <w:vAlign w:val="center"/>
          </w:tcPr>
          <w:p w14:paraId="04C655C8" w14:textId="3978FC62"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156.692.401</w:t>
            </w:r>
          </w:p>
        </w:tc>
        <w:tc>
          <w:tcPr>
            <w:tcW w:w="389" w:type="pct"/>
            <w:tcBorders>
              <w:top w:val="nil"/>
              <w:left w:val="nil"/>
              <w:bottom w:val="nil"/>
              <w:right w:val="nil"/>
            </w:tcBorders>
            <w:shd w:val="clear" w:color="auto" w:fill="auto"/>
            <w:noWrap/>
            <w:vAlign w:val="center"/>
          </w:tcPr>
          <w:p w14:paraId="47D58F74" w14:textId="7E8D1818"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156.881.603</w:t>
            </w:r>
          </w:p>
        </w:tc>
        <w:tc>
          <w:tcPr>
            <w:tcW w:w="389" w:type="pct"/>
            <w:tcBorders>
              <w:top w:val="nil"/>
              <w:left w:val="nil"/>
              <w:bottom w:val="nil"/>
              <w:right w:val="nil"/>
            </w:tcBorders>
            <w:shd w:val="clear" w:color="auto" w:fill="auto"/>
            <w:noWrap/>
            <w:vAlign w:val="center"/>
          </w:tcPr>
          <w:p w14:paraId="66ED3F03" w14:textId="05E24097"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(189.202)</w:t>
            </w:r>
          </w:p>
        </w:tc>
        <w:tc>
          <w:tcPr>
            <w:tcW w:w="450" w:type="pct"/>
            <w:tcBorders>
              <w:top w:val="nil"/>
              <w:left w:val="nil"/>
              <w:bottom w:val="nil"/>
              <w:right w:val="nil"/>
            </w:tcBorders>
            <w:shd w:val="clear" w:color="auto" w:fill="auto"/>
            <w:noWrap/>
            <w:vAlign w:val="center"/>
          </w:tcPr>
          <w:p w14:paraId="3697492E" w14:textId="1E6505E1"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156.692.401</w:t>
            </w:r>
          </w:p>
        </w:tc>
        <w:tc>
          <w:tcPr>
            <w:tcW w:w="401" w:type="pct"/>
            <w:tcBorders>
              <w:top w:val="nil"/>
              <w:left w:val="nil"/>
              <w:bottom w:val="nil"/>
              <w:right w:val="nil"/>
            </w:tcBorders>
            <w:shd w:val="clear" w:color="auto" w:fill="auto"/>
            <w:noWrap/>
            <w:vAlign w:val="center"/>
            <w:hideMark/>
          </w:tcPr>
          <w:p w14:paraId="64DF438C" w14:textId="1BF0611B" w:rsidR="007C4E69" w:rsidRPr="00E20D21" w:rsidRDefault="007C4E69" w:rsidP="007C4E69">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123.552.099</w:t>
            </w:r>
          </w:p>
        </w:tc>
        <w:tc>
          <w:tcPr>
            <w:tcW w:w="342" w:type="pct"/>
            <w:tcBorders>
              <w:top w:val="nil"/>
              <w:left w:val="nil"/>
              <w:bottom w:val="nil"/>
              <w:right w:val="nil"/>
            </w:tcBorders>
            <w:shd w:val="clear" w:color="auto" w:fill="auto"/>
            <w:noWrap/>
            <w:vAlign w:val="center"/>
            <w:hideMark/>
          </w:tcPr>
          <w:p w14:paraId="642F49E5" w14:textId="33DD42D0" w:rsidR="007C4E69" w:rsidRPr="00E20D21" w:rsidRDefault="007C4E69" w:rsidP="007C4E69">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47.071</w:t>
            </w:r>
          </w:p>
        </w:tc>
        <w:tc>
          <w:tcPr>
            <w:tcW w:w="402" w:type="pct"/>
            <w:tcBorders>
              <w:top w:val="nil"/>
              <w:left w:val="nil"/>
              <w:bottom w:val="nil"/>
              <w:right w:val="nil"/>
            </w:tcBorders>
            <w:shd w:val="clear" w:color="auto" w:fill="auto"/>
            <w:noWrap/>
            <w:vAlign w:val="center"/>
            <w:hideMark/>
          </w:tcPr>
          <w:p w14:paraId="0532AF96" w14:textId="50A4829C" w:rsidR="007C4E69" w:rsidRPr="00E20D21" w:rsidRDefault="007C4E69" w:rsidP="007C4E69">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123.599.170</w:t>
            </w:r>
          </w:p>
        </w:tc>
      </w:tr>
      <w:tr w:rsidR="00A47C19" w:rsidRPr="00E20D21" w14:paraId="6E03842A" w14:textId="77777777" w:rsidTr="001E7C5D">
        <w:trPr>
          <w:trHeight w:val="283"/>
        </w:trPr>
        <w:tc>
          <w:tcPr>
            <w:tcW w:w="1022" w:type="pct"/>
            <w:tcBorders>
              <w:top w:val="nil"/>
              <w:left w:val="nil"/>
              <w:bottom w:val="nil"/>
              <w:right w:val="nil"/>
            </w:tcBorders>
            <w:shd w:val="clear" w:color="auto" w:fill="auto"/>
            <w:vAlign w:val="center"/>
            <w:hideMark/>
          </w:tcPr>
          <w:p w14:paraId="6C7F0A8A" w14:textId="77777777" w:rsidR="007C4E69" w:rsidRPr="00E20D21" w:rsidRDefault="007C4E69" w:rsidP="007C4E69">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 do tesouro</w:t>
            </w:r>
          </w:p>
        </w:tc>
        <w:tc>
          <w:tcPr>
            <w:tcW w:w="340" w:type="pct"/>
            <w:tcBorders>
              <w:top w:val="nil"/>
              <w:left w:val="nil"/>
              <w:bottom w:val="nil"/>
              <w:right w:val="nil"/>
            </w:tcBorders>
            <w:shd w:val="clear" w:color="auto" w:fill="auto"/>
            <w:vAlign w:val="center"/>
          </w:tcPr>
          <w:p w14:paraId="60C43103" w14:textId="0E7C3D22"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noWrap/>
            <w:vAlign w:val="center"/>
          </w:tcPr>
          <w:p w14:paraId="61993B0C" w14:textId="34035087"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66A14517" w14:textId="57A6C5D7"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4E7B17F8" w14:textId="1B8E4084"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6353726A" w14:textId="2F758423"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146.751.124</w:t>
            </w:r>
          </w:p>
        </w:tc>
        <w:tc>
          <w:tcPr>
            <w:tcW w:w="389" w:type="pct"/>
            <w:tcBorders>
              <w:top w:val="nil"/>
              <w:left w:val="nil"/>
              <w:bottom w:val="nil"/>
              <w:right w:val="nil"/>
            </w:tcBorders>
            <w:shd w:val="clear" w:color="auto" w:fill="auto"/>
            <w:noWrap/>
            <w:vAlign w:val="center"/>
          </w:tcPr>
          <w:p w14:paraId="135926E0" w14:textId="1D7FA8FE"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146.681.823</w:t>
            </w:r>
          </w:p>
        </w:tc>
        <w:tc>
          <w:tcPr>
            <w:tcW w:w="389" w:type="pct"/>
            <w:tcBorders>
              <w:top w:val="nil"/>
              <w:left w:val="nil"/>
              <w:bottom w:val="nil"/>
              <w:right w:val="nil"/>
            </w:tcBorders>
            <w:shd w:val="clear" w:color="auto" w:fill="auto"/>
            <w:noWrap/>
            <w:vAlign w:val="center"/>
          </w:tcPr>
          <w:p w14:paraId="5E351519" w14:textId="45901944"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69.301</w:t>
            </w:r>
          </w:p>
        </w:tc>
        <w:tc>
          <w:tcPr>
            <w:tcW w:w="450" w:type="pct"/>
            <w:tcBorders>
              <w:top w:val="nil"/>
              <w:left w:val="nil"/>
              <w:bottom w:val="nil"/>
              <w:right w:val="nil"/>
            </w:tcBorders>
            <w:shd w:val="clear" w:color="auto" w:fill="auto"/>
            <w:noWrap/>
            <w:vAlign w:val="center"/>
          </w:tcPr>
          <w:p w14:paraId="357742FD" w14:textId="079A51E5"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146.751.124</w:t>
            </w:r>
          </w:p>
        </w:tc>
        <w:tc>
          <w:tcPr>
            <w:tcW w:w="401" w:type="pct"/>
            <w:tcBorders>
              <w:top w:val="nil"/>
              <w:left w:val="nil"/>
              <w:bottom w:val="nil"/>
              <w:right w:val="nil"/>
            </w:tcBorders>
            <w:shd w:val="clear" w:color="auto" w:fill="auto"/>
            <w:noWrap/>
            <w:vAlign w:val="center"/>
            <w:hideMark/>
          </w:tcPr>
          <w:p w14:paraId="3B51B4C2" w14:textId="1CFDC0C3"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121.199.664</w:t>
            </w:r>
          </w:p>
        </w:tc>
        <w:tc>
          <w:tcPr>
            <w:tcW w:w="342" w:type="pct"/>
            <w:tcBorders>
              <w:top w:val="nil"/>
              <w:left w:val="nil"/>
              <w:bottom w:val="nil"/>
              <w:right w:val="nil"/>
            </w:tcBorders>
            <w:shd w:val="clear" w:color="auto" w:fill="auto"/>
            <w:noWrap/>
            <w:vAlign w:val="center"/>
            <w:hideMark/>
          </w:tcPr>
          <w:p w14:paraId="48904FF1" w14:textId="0E0C5D72"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35.037</w:t>
            </w:r>
          </w:p>
        </w:tc>
        <w:tc>
          <w:tcPr>
            <w:tcW w:w="402" w:type="pct"/>
            <w:tcBorders>
              <w:top w:val="nil"/>
              <w:left w:val="nil"/>
              <w:bottom w:val="nil"/>
              <w:right w:val="nil"/>
            </w:tcBorders>
            <w:shd w:val="clear" w:color="auto" w:fill="auto"/>
            <w:noWrap/>
            <w:vAlign w:val="center"/>
            <w:hideMark/>
          </w:tcPr>
          <w:p w14:paraId="6357A5BE" w14:textId="6A1A8000"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121.234.701</w:t>
            </w:r>
          </w:p>
        </w:tc>
      </w:tr>
      <w:tr w:rsidR="00A47C19" w:rsidRPr="00E20D21" w14:paraId="4A5EC017" w14:textId="77777777" w:rsidTr="001E7C5D">
        <w:trPr>
          <w:trHeight w:val="283"/>
        </w:trPr>
        <w:tc>
          <w:tcPr>
            <w:tcW w:w="1022" w:type="pct"/>
            <w:tcBorders>
              <w:top w:val="nil"/>
              <w:left w:val="nil"/>
              <w:bottom w:val="nil"/>
              <w:right w:val="nil"/>
            </w:tcBorders>
            <w:shd w:val="clear" w:color="auto" w:fill="auto"/>
            <w:vAlign w:val="center"/>
            <w:hideMark/>
          </w:tcPr>
          <w:p w14:paraId="17F242FC" w14:textId="77777777" w:rsidR="007C4E69" w:rsidRPr="00E20D21" w:rsidRDefault="007C4E69" w:rsidP="007C4E69">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do tesouro Nacional</w:t>
            </w:r>
          </w:p>
        </w:tc>
        <w:tc>
          <w:tcPr>
            <w:tcW w:w="340" w:type="pct"/>
            <w:tcBorders>
              <w:top w:val="nil"/>
              <w:left w:val="nil"/>
              <w:bottom w:val="nil"/>
              <w:right w:val="nil"/>
            </w:tcBorders>
            <w:shd w:val="clear" w:color="auto" w:fill="auto"/>
            <w:vAlign w:val="center"/>
          </w:tcPr>
          <w:p w14:paraId="44007D9C" w14:textId="48C9D5D0"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noWrap/>
            <w:vAlign w:val="center"/>
          </w:tcPr>
          <w:p w14:paraId="61DFAF1F" w14:textId="173247DA" w:rsidR="007C4E69" w:rsidRPr="00E20D21" w:rsidRDefault="00652EDC" w:rsidP="00652EDC">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2DF8E6A6" w14:textId="045255F9"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5D4E3637" w14:textId="02AEE56E"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1C82C2C9" w14:textId="5DFAC709" w:rsidR="007C4E69" w:rsidRPr="00E20D21" w:rsidRDefault="00652EDC" w:rsidP="00652EDC">
            <w:pPr>
              <w:jc w:val="right"/>
              <w:rPr>
                <w:rFonts w:ascii="CAIXA Std Book" w:hAnsi="CAIXA Std Book" w:cs="Arial"/>
                <w:color w:val="005CA9"/>
                <w:sz w:val="16"/>
                <w:szCs w:val="16"/>
              </w:rPr>
            </w:pPr>
            <w:r w:rsidRPr="00E20D21">
              <w:rPr>
                <w:rFonts w:ascii="CAIXA Std Book" w:hAnsi="CAIXA Std Book" w:cs="Arial"/>
                <w:color w:val="005CA9"/>
                <w:sz w:val="16"/>
                <w:szCs w:val="16"/>
              </w:rPr>
              <w:t>7.177.297</w:t>
            </w:r>
          </w:p>
        </w:tc>
        <w:tc>
          <w:tcPr>
            <w:tcW w:w="389" w:type="pct"/>
            <w:tcBorders>
              <w:top w:val="nil"/>
              <w:left w:val="nil"/>
              <w:bottom w:val="nil"/>
              <w:right w:val="nil"/>
            </w:tcBorders>
            <w:shd w:val="clear" w:color="auto" w:fill="auto"/>
            <w:vAlign w:val="center"/>
          </w:tcPr>
          <w:p w14:paraId="5F775496" w14:textId="73460633"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7.316.486</w:t>
            </w:r>
          </w:p>
        </w:tc>
        <w:tc>
          <w:tcPr>
            <w:tcW w:w="389" w:type="pct"/>
            <w:tcBorders>
              <w:top w:val="nil"/>
              <w:left w:val="nil"/>
              <w:bottom w:val="nil"/>
              <w:right w:val="nil"/>
            </w:tcBorders>
            <w:shd w:val="clear" w:color="auto" w:fill="auto"/>
            <w:vAlign w:val="center"/>
          </w:tcPr>
          <w:p w14:paraId="7FF4E7D6" w14:textId="6068C34B"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(139.189)</w:t>
            </w:r>
          </w:p>
        </w:tc>
        <w:tc>
          <w:tcPr>
            <w:tcW w:w="450" w:type="pct"/>
            <w:tcBorders>
              <w:top w:val="nil"/>
              <w:left w:val="nil"/>
              <w:bottom w:val="nil"/>
              <w:right w:val="nil"/>
            </w:tcBorders>
            <w:shd w:val="clear" w:color="auto" w:fill="auto"/>
            <w:vAlign w:val="center"/>
          </w:tcPr>
          <w:p w14:paraId="716F0BC7" w14:textId="0F94BB18"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7.177.297</w:t>
            </w:r>
          </w:p>
        </w:tc>
        <w:tc>
          <w:tcPr>
            <w:tcW w:w="401" w:type="pct"/>
            <w:tcBorders>
              <w:top w:val="nil"/>
              <w:left w:val="nil"/>
              <w:bottom w:val="nil"/>
              <w:right w:val="nil"/>
            </w:tcBorders>
            <w:shd w:val="clear" w:color="auto" w:fill="auto"/>
            <w:noWrap/>
            <w:vAlign w:val="center"/>
            <w:hideMark/>
          </w:tcPr>
          <w:p w14:paraId="4C23C80E" w14:textId="3A44B1C6"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1.149.723</w:t>
            </w:r>
          </w:p>
        </w:tc>
        <w:tc>
          <w:tcPr>
            <w:tcW w:w="342" w:type="pct"/>
            <w:tcBorders>
              <w:top w:val="nil"/>
              <w:left w:val="nil"/>
              <w:bottom w:val="nil"/>
              <w:right w:val="nil"/>
            </w:tcBorders>
            <w:shd w:val="clear" w:color="auto" w:fill="auto"/>
            <w:noWrap/>
            <w:vAlign w:val="center"/>
            <w:hideMark/>
          </w:tcPr>
          <w:p w14:paraId="13BE972E" w14:textId="4CB1FB5D"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(226)</w:t>
            </w:r>
          </w:p>
        </w:tc>
        <w:tc>
          <w:tcPr>
            <w:tcW w:w="402" w:type="pct"/>
            <w:tcBorders>
              <w:top w:val="nil"/>
              <w:left w:val="nil"/>
              <w:bottom w:val="nil"/>
              <w:right w:val="nil"/>
            </w:tcBorders>
            <w:shd w:val="clear" w:color="auto" w:fill="auto"/>
            <w:noWrap/>
            <w:vAlign w:val="center"/>
            <w:hideMark/>
          </w:tcPr>
          <w:p w14:paraId="11BA8E3D" w14:textId="4EF6F87D"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1.149.497</w:t>
            </w:r>
          </w:p>
        </w:tc>
      </w:tr>
      <w:tr w:rsidR="00A47C19" w:rsidRPr="00E20D21" w14:paraId="5EA71D4E" w14:textId="77777777" w:rsidTr="001E7C5D">
        <w:trPr>
          <w:trHeight w:val="283"/>
        </w:trPr>
        <w:tc>
          <w:tcPr>
            <w:tcW w:w="1022" w:type="pct"/>
            <w:tcBorders>
              <w:top w:val="nil"/>
              <w:left w:val="nil"/>
              <w:bottom w:val="nil"/>
              <w:right w:val="nil"/>
            </w:tcBorders>
            <w:shd w:val="clear" w:color="auto" w:fill="auto"/>
            <w:vAlign w:val="center"/>
            <w:hideMark/>
          </w:tcPr>
          <w:p w14:paraId="2FFC14BD" w14:textId="77777777" w:rsidR="007C4E69" w:rsidRPr="00E20D21" w:rsidRDefault="007C4E69" w:rsidP="007C4E69">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 do tesouro nacional</w:t>
            </w:r>
          </w:p>
        </w:tc>
        <w:tc>
          <w:tcPr>
            <w:tcW w:w="340" w:type="pct"/>
            <w:tcBorders>
              <w:top w:val="nil"/>
              <w:left w:val="nil"/>
              <w:bottom w:val="nil"/>
              <w:right w:val="nil"/>
            </w:tcBorders>
            <w:shd w:val="clear" w:color="auto" w:fill="auto"/>
            <w:vAlign w:val="center"/>
          </w:tcPr>
          <w:p w14:paraId="74B45D17" w14:textId="6D70988E"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noWrap/>
            <w:vAlign w:val="center"/>
          </w:tcPr>
          <w:p w14:paraId="466431AB" w14:textId="7E222FAB"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641A4431" w14:textId="085D407F"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0CD23FC5" w14:textId="52DC4A9E"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78E52973" w14:textId="49EEE6FD"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2.478.905</w:t>
            </w:r>
          </w:p>
        </w:tc>
        <w:tc>
          <w:tcPr>
            <w:tcW w:w="389" w:type="pct"/>
            <w:tcBorders>
              <w:top w:val="nil"/>
              <w:left w:val="nil"/>
              <w:bottom w:val="nil"/>
              <w:right w:val="nil"/>
            </w:tcBorders>
            <w:shd w:val="clear" w:color="auto" w:fill="auto"/>
            <w:noWrap/>
            <w:vAlign w:val="center"/>
          </w:tcPr>
          <w:p w14:paraId="0A742C86" w14:textId="0C6B7EBC"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2.585.140</w:t>
            </w:r>
          </w:p>
        </w:tc>
        <w:tc>
          <w:tcPr>
            <w:tcW w:w="389" w:type="pct"/>
            <w:tcBorders>
              <w:top w:val="nil"/>
              <w:left w:val="nil"/>
              <w:bottom w:val="nil"/>
              <w:right w:val="nil"/>
            </w:tcBorders>
            <w:shd w:val="clear" w:color="auto" w:fill="auto"/>
            <w:noWrap/>
            <w:vAlign w:val="center"/>
          </w:tcPr>
          <w:p w14:paraId="25DCBB04" w14:textId="12E9AFF7"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(106.235)</w:t>
            </w:r>
          </w:p>
        </w:tc>
        <w:tc>
          <w:tcPr>
            <w:tcW w:w="450" w:type="pct"/>
            <w:tcBorders>
              <w:top w:val="nil"/>
              <w:left w:val="nil"/>
              <w:bottom w:val="nil"/>
              <w:right w:val="nil"/>
            </w:tcBorders>
            <w:shd w:val="clear" w:color="auto" w:fill="auto"/>
            <w:noWrap/>
            <w:vAlign w:val="center"/>
          </w:tcPr>
          <w:p w14:paraId="1FFF53FC" w14:textId="50CD2477"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2.478.905</w:t>
            </w:r>
          </w:p>
        </w:tc>
        <w:tc>
          <w:tcPr>
            <w:tcW w:w="401" w:type="pct"/>
            <w:tcBorders>
              <w:top w:val="nil"/>
              <w:left w:val="nil"/>
              <w:bottom w:val="nil"/>
              <w:right w:val="nil"/>
            </w:tcBorders>
            <w:shd w:val="clear" w:color="auto" w:fill="auto"/>
            <w:noWrap/>
            <w:vAlign w:val="center"/>
            <w:hideMark/>
          </w:tcPr>
          <w:p w14:paraId="2145A19F" w14:textId="03B0F649"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1.008.253</w:t>
            </w:r>
          </w:p>
        </w:tc>
        <w:tc>
          <w:tcPr>
            <w:tcW w:w="342" w:type="pct"/>
            <w:tcBorders>
              <w:top w:val="nil"/>
              <w:left w:val="nil"/>
              <w:bottom w:val="nil"/>
              <w:right w:val="nil"/>
            </w:tcBorders>
            <w:shd w:val="clear" w:color="auto" w:fill="auto"/>
            <w:noWrap/>
            <w:vAlign w:val="center"/>
            <w:hideMark/>
          </w:tcPr>
          <w:p w14:paraId="075617A6" w14:textId="0C61D01A"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17.570</w:t>
            </w:r>
          </w:p>
        </w:tc>
        <w:tc>
          <w:tcPr>
            <w:tcW w:w="402" w:type="pct"/>
            <w:tcBorders>
              <w:top w:val="nil"/>
              <w:left w:val="nil"/>
              <w:bottom w:val="nil"/>
              <w:right w:val="nil"/>
            </w:tcBorders>
            <w:shd w:val="clear" w:color="auto" w:fill="auto"/>
            <w:noWrap/>
            <w:vAlign w:val="center"/>
            <w:hideMark/>
          </w:tcPr>
          <w:p w14:paraId="0CD5E857" w14:textId="0845DED7"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1.025.823</w:t>
            </w:r>
          </w:p>
        </w:tc>
      </w:tr>
      <w:tr w:rsidR="00A47C19" w:rsidRPr="00E20D21" w14:paraId="68B8D597" w14:textId="77777777" w:rsidTr="001E7C5D">
        <w:trPr>
          <w:trHeight w:val="283"/>
        </w:trPr>
        <w:tc>
          <w:tcPr>
            <w:tcW w:w="1022" w:type="pct"/>
            <w:tcBorders>
              <w:top w:val="nil"/>
              <w:left w:val="nil"/>
              <w:bottom w:val="nil"/>
              <w:right w:val="nil"/>
            </w:tcBorders>
            <w:shd w:val="clear" w:color="auto" w:fill="auto"/>
            <w:vAlign w:val="center"/>
            <w:hideMark/>
          </w:tcPr>
          <w:p w14:paraId="4C1C3411" w14:textId="57E81740" w:rsidR="007C4E69" w:rsidRPr="00E20D21" w:rsidRDefault="007C4E69" w:rsidP="007C4E69">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Tesouro nacional/securitizados</w:t>
            </w:r>
          </w:p>
        </w:tc>
        <w:tc>
          <w:tcPr>
            <w:tcW w:w="340" w:type="pct"/>
            <w:tcBorders>
              <w:top w:val="nil"/>
              <w:left w:val="nil"/>
              <w:bottom w:val="nil"/>
              <w:right w:val="nil"/>
            </w:tcBorders>
            <w:shd w:val="clear" w:color="auto" w:fill="auto"/>
            <w:vAlign w:val="center"/>
          </w:tcPr>
          <w:p w14:paraId="71065E3E" w14:textId="43F9B988"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noWrap/>
            <w:vAlign w:val="center"/>
          </w:tcPr>
          <w:p w14:paraId="1C5A6A36" w14:textId="26392D97"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35492198" w14:textId="040B2A75"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53A94C7E" w14:textId="31AD63C1"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20E8646D" w14:textId="0C17F6DA"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285.075</w:t>
            </w:r>
          </w:p>
        </w:tc>
        <w:tc>
          <w:tcPr>
            <w:tcW w:w="389" w:type="pct"/>
            <w:tcBorders>
              <w:top w:val="nil"/>
              <w:left w:val="nil"/>
              <w:bottom w:val="nil"/>
              <w:right w:val="nil"/>
            </w:tcBorders>
            <w:shd w:val="clear" w:color="auto" w:fill="auto"/>
            <w:noWrap/>
            <w:vAlign w:val="center"/>
          </w:tcPr>
          <w:p w14:paraId="0E617D98" w14:textId="7076DEFB"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298.154</w:t>
            </w:r>
          </w:p>
        </w:tc>
        <w:tc>
          <w:tcPr>
            <w:tcW w:w="389" w:type="pct"/>
            <w:tcBorders>
              <w:top w:val="nil"/>
              <w:left w:val="nil"/>
              <w:bottom w:val="nil"/>
              <w:right w:val="nil"/>
            </w:tcBorders>
            <w:shd w:val="clear" w:color="auto" w:fill="auto"/>
            <w:noWrap/>
            <w:vAlign w:val="center"/>
          </w:tcPr>
          <w:p w14:paraId="4D1BFB72" w14:textId="1B55378D"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(13.079)</w:t>
            </w:r>
          </w:p>
        </w:tc>
        <w:tc>
          <w:tcPr>
            <w:tcW w:w="450" w:type="pct"/>
            <w:tcBorders>
              <w:top w:val="nil"/>
              <w:left w:val="nil"/>
              <w:bottom w:val="nil"/>
              <w:right w:val="nil"/>
            </w:tcBorders>
            <w:shd w:val="clear" w:color="auto" w:fill="auto"/>
            <w:noWrap/>
            <w:vAlign w:val="center"/>
          </w:tcPr>
          <w:p w14:paraId="458A2C57" w14:textId="64F111C0"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285.075</w:t>
            </w:r>
          </w:p>
        </w:tc>
        <w:tc>
          <w:tcPr>
            <w:tcW w:w="401" w:type="pct"/>
            <w:tcBorders>
              <w:top w:val="nil"/>
              <w:left w:val="nil"/>
              <w:bottom w:val="nil"/>
              <w:right w:val="nil"/>
            </w:tcBorders>
            <w:shd w:val="clear" w:color="auto" w:fill="auto"/>
            <w:noWrap/>
            <w:vAlign w:val="center"/>
            <w:hideMark/>
          </w:tcPr>
          <w:p w14:paraId="60D3DCF8" w14:textId="58AAEEBC"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194.459</w:t>
            </w:r>
          </w:p>
        </w:tc>
        <w:tc>
          <w:tcPr>
            <w:tcW w:w="342" w:type="pct"/>
            <w:tcBorders>
              <w:top w:val="nil"/>
              <w:left w:val="nil"/>
              <w:bottom w:val="nil"/>
              <w:right w:val="nil"/>
            </w:tcBorders>
            <w:shd w:val="clear" w:color="auto" w:fill="auto"/>
            <w:noWrap/>
            <w:vAlign w:val="center"/>
            <w:hideMark/>
          </w:tcPr>
          <w:p w14:paraId="3AD10E5B" w14:textId="72E78F74"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(5.310)</w:t>
            </w:r>
          </w:p>
        </w:tc>
        <w:tc>
          <w:tcPr>
            <w:tcW w:w="402" w:type="pct"/>
            <w:tcBorders>
              <w:top w:val="nil"/>
              <w:left w:val="nil"/>
              <w:bottom w:val="nil"/>
              <w:right w:val="nil"/>
            </w:tcBorders>
            <w:shd w:val="clear" w:color="auto" w:fill="auto"/>
            <w:noWrap/>
            <w:vAlign w:val="center"/>
            <w:hideMark/>
          </w:tcPr>
          <w:p w14:paraId="012080FE" w14:textId="50BC54A2"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189.149</w:t>
            </w:r>
          </w:p>
        </w:tc>
      </w:tr>
      <w:tr w:rsidR="00A47C19" w:rsidRPr="00E20D21" w14:paraId="1098C909" w14:textId="77777777" w:rsidTr="001E7C5D">
        <w:trPr>
          <w:trHeight w:val="283"/>
        </w:trPr>
        <w:tc>
          <w:tcPr>
            <w:tcW w:w="1022" w:type="pct"/>
            <w:tcBorders>
              <w:top w:val="nil"/>
              <w:left w:val="nil"/>
              <w:bottom w:val="nil"/>
              <w:right w:val="nil"/>
            </w:tcBorders>
            <w:shd w:val="clear" w:color="auto" w:fill="auto"/>
            <w:vAlign w:val="center"/>
            <w:hideMark/>
          </w:tcPr>
          <w:p w14:paraId="15E6F519" w14:textId="77777777" w:rsidR="007C4E69" w:rsidRPr="00E20D21" w:rsidRDefault="007C4E69" w:rsidP="007C4E6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 empresas</w:t>
            </w:r>
          </w:p>
        </w:tc>
        <w:tc>
          <w:tcPr>
            <w:tcW w:w="340" w:type="pct"/>
            <w:tcBorders>
              <w:top w:val="nil"/>
              <w:left w:val="nil"/>
              <w:bottom w:val="nil"/>
              <w:right w:val="nil"/>
            </w:tcBorders>
            <w:shd w:val="clear" w:color="auto" w:fill="auto"/>
            <w:noWrap/>
            <w:vAlign w:val="center"/>
          </w:tcPr>
          <w:p w14:paraId="5855817E" w14:textId="10F48B6D"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1.636.459</w:t>
            </w:r>
          </w:p>
        </w:tc>
        <w:tc>
          <w:tcPr>
            <w:tcW w:w="292" w:type="pct"/>
            <w:tcBorders>
              <w:top w:val="nil"/>
              <w:left w:val="nil"/>
              <w:bottom w:val="nil"/>
              <w:right w:val="nil"/>
            </w:tcBorders>
            <w:shd w:val="clear" w:color="auto" w:fill="auto"/>
            <w:noWrap/>
            <w:vAlign w:val="center"/>
          </w:tcPr>
          <w:p w14:paraId="6355AE91" w14:textId="55EDB76A"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289.987</w:t>
            </w:r>
          </w:p>
        </w:tc>
        <w:tc>
          <w:tcPr>
            <w:tcW w:w="292" w:type="pct"/>
            <w:tcBorders>
              <w:top w:val="nil"/>
              <w:left w:val="nil"/>
              <w:bottom w:val="nil"/>
              <w:right w:val="nil"/>
            </w:tcBorders>
            <w:vAlign w:val="center"/>
          </w:tcPr>
          <w:p w14:paraId="364222F2" w14:textId="3BAA868E"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426.049</w:t>
            </w:r>
          </w:p>
        </w:tc>
        <w:tc>
          <w:tcPr>
            <w:tcW w:w="292" w:type="pct"/>
            <w:tcBorders>
              <w:top w:val="nil"/>
              <w:left w:val="nil"/>
              <w:bottom w:val="nil"/>
              <w:right w:val="nil"/>
            </w:tcBorders>
            <w:shd w:val="clear" w:color="auto" w:fill="auto"/>
            <w:noWrap/>
            <w:vAlign w:val="center"/>
          </w:tcPr>
          <w:p w14:paraId="6916CAD0" w14:textId="246302AA"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894.85</w:t>
            </w:r>
            <w:r w:rsidR="00A32D34" w:rsidRPr="00E20D21">
              <w:rPr>
                <w:rFonts w:ascii="CAIXA Std Book" w:hAnsi="CAIXA Std Book" w:cs="Arial"/>
                <w:b/>
                <w:bCs/>
                <w:color w:val="005CA9"/>
                <w:sz w:val="16"/>
                <w:szCs w:val="16"/>
              </w:rPr>
              <w:t>2</w:t>
            </w:r>
          </w:p>
        </w:tc>
        <w:tc>
          <w:tcPr>
            <w:tcW w:w="389" w:type="pct"/>
            <w:tcBorders>
              <w:top w:val="nil"/>
              <w:left w:val="nil"/>
              <w:bottom w:val="nil"/>
              <w:right w:val="nil"/>
            </w:tcBorders>
            <w:shd w:val="clear" w:color="auto" w:fill="auto"/>
            <w:noWrap/>
            <w:vAlign w:val="center"/>
          </w:tcPr>
          <w:p w14:paraId="2A6F7B1C" w14:textId="0E380372"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10.112.77</w:t>
            </w:r>
            <w:r w:rsidR="00A32D34" w:rsidRPr="00E20D21">
              <w:rPr>
                <w:rFonts w:ascii="CAIXA Std Book" w:hAnsi="CAIXA Std Book" w:cs="Arial"/>
                <w:b/>
                <w:bCs/>
                <w:color w:val="005CA9"/>
                <w:sz w:val="16"/>
                <w:szCs w:val="16"/>
              </w:rPr>
              <w:t>4</w:t>
            </w:r>
          </w:p>
        </w:tc>
        <w:tc>
          <w:tcPr>
            <w:tcW w:w="389" w:type="pct"/>
            <w:tcBorders>
              <w:top w:val="nil"/>
              <w:left w:val="nil"/>
              <w:bottom w:val="nil"/>
              <w:right w:val="nil"/>
            </w:tcBorders>
            <w:shd w:val="clear" w:color="auto" w:fill="auto"/>
            <w:noWrap/>
            <w:vAlign w:val="center"/>
          </w:tcPr>
          <w:p w14:paraId="11D2AA15" w14:textId="1C4BC9CB"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12.274.085</w:t>
            </w:r>
          </w:p>
        </w:tc>
        <w:tc>
          <w:tcPr>
            <w:tcW w:w="389" w:type="pct"/>
            <w:tcBorders>
              <w:top w:val="nil"/>
              <w:left w:val="nil"/>
              <w:bottom w:val="nil"/>
              <w:right w:val="nil"/>
            </w:tcBorders>
            <w:shd w:val="clear" w:color="auto" w:fill="auto"/>
            <w:noWrap/>
            <w:vAlign w:val="center"/>
          </w:tcPr>
          <w:p w14:paraId="59D390FD" w14:textId="06196406"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1.086.036</w:t>
            </w:r>
          </w:p>
        </w:tc>
        <w:tc>
          <w:tcPr>
            <w:tcW w:w="450" w:type="pct"/>
            <w:tcBorders>
              <w:top w:val="nil"/>
              <w:left w:val="nil"/>
              <w:bottom w:val="nil"/>
              <w:right w:val="nil"/>
            </w:tcBorders>
            <w:shd w:val="clear" w:color="auto" w:fill="auto"/>
            <w:noWrap/>
            <w:vAlign w:val="center"/>
          </w:tcPr>
          <w:p w14:paraId="246E1DF1" w14:textId="1961EE44"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13.360.121</w:t>
            </w:r>
          </w:p>
        </w:tc>
        <w:tc>
          <w:tcPr>
            <w:tcW w:w="401" w:type="pct"/>
            <w:tcBorders>
              <w:top w:val="nil"/>
              <w:left w:val="nil"/>
              <w:bottom w:val="nil"/>
              <w:right w:val="nil"/>
            </w:tcBorders>
            <w:shd w:val="clear" w:color="auto" w:fill="auto"/>
            <w:noWrap/>
            <w:vAlign w:val="center"/>
            <w:hideMark/>
          </w:tcPr>
          <w:p w14:paraId="2F7F6CD6" w14:textId="17EC21F2" w:rsidR="007C4E69" w:rsidRPr="00E20D21" w:rsidRDefault="007C4E69" w:rsidP="007C4E6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11.386.605</w:t>
            </w:r>
          </w:p>
        </w:tc>
        <w:tc>
          <w:tcPr>
            <w:tcW w:w="342" w:type="pct"/>
            <w:tcBorders>
              <w:top w:val="nil"/>
              <w:left w:val="nil"/>
              <w:bottom w:val="nil"/>
              <w:right w:val="nil"/>
            </w:tcBorders>
            <w:shd w:val="clear" w:color="auto" w:fill="auto"/>
            <w:noWrap/>
            <w:vAlign w:val="center"/>
            <w:hideMark/>
          </w:tcPr>
          <w:p w14:paraId="467F0FC1" w14:textId="7CC28CF4" w:rsidR="007C4E69" w:rsidRPr="00E20D21" w:rsidRDefault="007C4E69" w:rsidP="007C4E6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1.092.593</w:t>
            </w:r>
          </w:p>
        </w:tc>
        <w:tc>
          <w:tcPr>
            <w:tcW w:w="402" w:type="pct"/>
            <w:tcBorders>
              <w:top w:val="nil"/>
              <w:left w:val="nil"/>
              <w:bottom w:val="nil"/>
              <w:right w:val="nil"/>
            </w:tcBorders>
            <w:shd w:val="clear" w:color="auto" w:fill="auto"/>
            <w:noWrap/>
            <w:vAlign w:val="center"/>
            <w:hideMark/>
          </w:tcPr>
          <w:p w14:paraId="138C39EE" w14:textId="60825976" w:rsidR="007C4E69" w:rsidRPr="00E20D21" w:rsidRDefault="007C4E69" w:rsidP="007C4E69">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12.479.198</w:t>
            </w:r>
          </w:p>
        </w:tc>
      </w:tr>
      <w:tr w:rsidR="00A47C19" w:rsidRPr="00E20D21" w14:paraId="34D92EDA" w14:textId="77777777" w:rsidTr="001E7C5D">
        <w:trPr>
          <w:trHeight w:val="283"/>
        </w:trPr>
        <w:tc>
          <w:tcPr>
            <w:tcW w:w="1022" w:type="pct"/>
            <w:tcBorders>
              <w:top w:val="nil"/>
              <w:left w:val="nil"/>
              <w:bottom w:val="nil"/>
              <w:right w:val="nil"/>
            </w:tcBorders>
            <w:shd w:val="clear" w:color="auto" w:fill="auto"/>
            <w:vAlign w:val="center"/>
            <w:hideMark/>
          </w:tcPr>
          <w:p w14:paraId="50650B00" w14:textId="77777777" w:rsidR="007C4E69" w:rsidRPr="00E20D21" w:rsidRDefault="007C4E69" w:rsidP="007C4E69">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Debêntures</w:t>
            </w:r>
          </w:p>
        </w:tc>
        <w:tc>
          <w:tcPr>
            <w:tcW w:w="340" w:type="pct"/>
            <w:tcBorders>
              <w:top w:val="nil"/>
              <w:left w:val="nil"/>
              <w:bottom w:val="nil"/>
              <w:right w:val="nil"/>
            </w:tcBorders>
            <w:shd w:val="clear" w:color="auto" w:fill="auto"/>
            <w:vAlign w:val="center"/>
          </w:tcPr>
          <w:p w14:paraId="4F63E9B3" w14:textId="25ADFEAF"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noWrap/>
            <w:vAlign w:val="center"/>
          </w:tcPr>
          <w:p w14:paraId="470944AE" w14:textId="50DE6DB5"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3B4DB77A" w14:textId="6E48D392" w:rsidR="007C4E69" w:rsidRPr="00E20D21" w:rsidRDefault="00652EDC" w:rsidP="00652EDC">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499C9A15" w14:textId="5DCE5B10" w:rsidR="007C4E69" w:rsidRPr="00E20D21" w:rsidRDefault="00652EDC" w:rsidP="00652EDC">
            <w:pPr>
              <w:jc w:val="right"/>
              <w:rPr>
                <w:rFonts w:ascii="CAIXA Std Book" w:hAnsi="CAIXA Std Book" w:cs="Arial"/>
                <w:color w:val="005CA9"/>
                <w:sz w:val="16"/>
                <w:szCs w:val="16"/>
              </w:rPr>
            </w:pPr>
            <w:r w:rsidRPr="00E20D21">
              <w:rPr>
                <w:rFonts w:ascii="CAIXA Std Book" w:hAnsi="CAIXA Std Book" w:cs="Arial"/>
                <w:color w:val="005CA9"/>
                <w:sz w:val="16"/>
                <w:szCs w:val="16"/>
              </w:rPr>
              <w:t>25.14</w:t>
            </w:r>
            <w:r w:rsidR="00A32D34" w:rsidRPr="00E20D21">
              <w:rPr>
                <w:rFonts w:ascii="CAIXA Std Book" w:hAnsi="CAIXA Std Book" w:cs="Arial"/>
                <w:color w:val="005CA9"/>
                <w:sz w:val="16"/>
                <w:szCs w:val="16"/>
              </w:rPr>
              <w:t>9</w:t>
            </w:r>
          </w:p>
        </w:tc>
        <w:tc>
          <w:tcPr>
            <w:tcW w:w="389" w:type="pct"/>
            <w:tcBorders>
              <w:top w:val="nil"/>
              <w:left w:val="nil"/>
              <w:bottom w:val="nil"/>
              <w:right w:val="nil"/>
            </w:tcBorders>
            <w:shd w:val="clear" w:color="auto" w:fill="auto"/>
            <w:vAlign w:val="center"/>
          </w:tcPr>
          <w:p w14:paraId="17CFED6D" w14:textId="1D09971F"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5.856.27</w:t>
            </w:r>
            <w:r w:rsidR="00A32D34" w:rsidRPr="00E20D21">
              <w:rPr>
                <w:rFonts w:ascii="CAIXA Std Book" w:hAnsi="CAIXA Std Book" w:cs="Arial"/>
                <w:color w:val="005CA9"/>
                <w:sz w:val="16"/>
                <w:szCs w:val="16"/>
              </w:rPr>
              <w:t>7</w:t>
            </w:r>
          </w:p>
        </w:tc>
        <w:tc>
          <w:tcPr>
            <w:tcW w:w="389" w:type="pct"/>
            <w:tcBorders>
              <w:top w:val="nil"/>
              <w:left w:val="nil"/>
              <w:bottom w:val="nil"/>
              <w:right w:val="nil"/>
            </w:tcBorders>
            <w:shd w:val="clear" w:color="auto" w:fill="auto"/>
            <w:noWrap/>
            <w:vAlign w:val="center"/>
          </w:tcPr>
          <w:p w14:paraId="1ED42140" w14:textId="126639BD"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5.821.424</w:t>
            </w:r>
          </w:p>
        </w:tc>
        <w:tc>
          <w:tcPr>
            <w:tcW w:w="389" w:type="pct"/>
            <w:tcBorders>
              <w:top w:val="nil"/>
              <w:left w:val="nil"/>
              <w:bottom w:val="nil"/>
              <w:right w:val="nil"/>
            </w:tcBorders>
            <w:shd w:val="clear" w:color="auto" w:fill="auto"/>
            <w:noWrap/>
            <w:vAlign w:val="center"/>
          </w:tcPr>
          <w:p w14:paraId="4B0C65FF" w14:textId="01E45780"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60.002</w:t>
            </w:r>
          </w:p>
        </w:tc>
        <w:tc>
          <w:tcPr>
            <w:tcW w:w="450" w:type="pct"/>
            <w:tcBorders>
              <w:top w:val="nil"/>
              <w:left w:val="nil"/>
              <w:bottom w:val="nil"/>
              <w:right w:val="nil"/>
            </w:tcBorders>
            <w:shd w:val="clear" w:color="auto" w:fill="auto"/>
            <w:noWrap/>
            <w:vAlign w:val="center"/>
          </w:tcPr>
          <w:p w14:paraId="35B1C7FF" w14:textId="2D343787"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5.881.426</w:t>
            </w:r>
          </w:p>
        </w:tc>
        <w:tc>
          <w:tcPr>
            <w:tcW w:w="401" w:type="pct"/>
            <w:tcBorders>
              <w:top w:val="nil"/>
              <w:left w:val="nil"/>
              <w:bottom w:val="nil"/>
              <w:right w:val="nil"/>
            </w:tcBorders>
            <w:shd w:val="clear" w:color="auto" w:fill="auto"/>
            <w:noWrap/>
            <w:vAlign w:val="center"/>
            <w:hideMark/>
          </w:tcPr>
          <w:p w14:paraId="00524BBF" w14:textId="66C9D6EF"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4.928.436</w:t>
            </w:r>
          </w:p>
        </w:tc>
        <w:tc>
          <w:tcPr>
            <w:tcW w:w="342" w:type="pct"/>
            <w:tcBorders>
              <w:top w:val="nil"/>
              <w:left w:val="nil"/>
              <w:bottom w:val="nil"/>
              <w:right w:val="nil"/>
            </w:tcBorders>
            <w:shd w:val="clear" w:color="auto" w:fill="auto"/>
            <w:noWrap/>
            <w:vAlign w:val="center"/>
            <w:hideMark/>
          </w:tcPr>
          <w:p w14:paraId="70308426" w14:textId="17086D9D"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(2.511)</w:t>
            </w:r>
          </w:p>
        </w:tc>
        <w:tc>
          <w:tcPr>
            <w:tcW w:w="402" w:type="pct"/>
            <w:tcBorders>
              <w:top w:val="nil"/>
              <w:left w:val="nil"/>
              <w:bottom w:val="nil"/>
              <w:right w:val="nil"/>
            </w:tcBorders>
            <w:shd w:val="clear" w:color="auto" w:fill="auto"/>
            <w:noWrap/>
            <w:vAlign w:val="center"/>
            <w:hideMark/>
          </w:tcPr>
          <w:p w14:paraId="104A94A1" w14:textId="79DF300B"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4.925.925</w:t>
            </w:r>
          </w:p>
        </w:tc>
      </w:tr>
      <w:tr w:rsidR="00A47C19" w:rsidRPr="00E20D21" w14:paraId="1E275825" w14:textId="77777777" w:rsidTr="001E7C5D">
        <w:trPr>
          <w:trHeight w:val="283"/>
        </w:trPr>
        <w:tc>
          <w:tcPr>
            <w:tcW w:w="1022" w:type="pct"/>
            <w:tcBorders>
              <w:top w:val="nil"/>
              <w:left w:val="nil"/>
              <w:bottom w:val="nil"/>
              <w:right w:val="nil"/>
            </w:tcBorders>
            <w:shd w:val="clear" w:color="auto" w:fill="auto"/>
            <w:vAlign w:val="center"/>
            <w:hideMark/>
          </w:tcPr>
          <w:p w14:paraId="0AE72F80" w14:textId="77777777" w:rsidR="007C4E69" w:rsidRPr="00E20D21" w:rsidRDefault="007C4E69" w:rsidP="007C4E69">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 Promissória</w:t>
            </w:r>
          </w:p>
        </w:tc>
        <w:tc>
          <w:tcPr>
            <w:tcW w:w="340" w:type="pct"/>
            <w:tcBorders>
              <w:top w:val="nil"/>
              <w:left w:val="nil"/>
              <w:bottom w:val="nil"/>
              <w:right w:val="nil"/>
            </w:tcBorders>
            <w:shd w:val="clear" w:color="auto" w:fill="auto"/>
            <w:vAlign w:val="center"/>
          </w:tcPr>
          <w:p w14:paraId="6215EDDB" w14:textId="700AA232"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noWrap/>
            <w:vAlign w:val="center"/>
          </w:tcPr>
          <w:p w14:paraId="7E52D8C6" w14:textId="2CBAF9E5"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2C8F038A" w14:textId="6732F2BF"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4B532B8D" w14:textId="54B7C35E"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50BA915F" w14:textId="2207AED0"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240.620</w:t>
            </w:r>
          </w:p>
        </w:tc>
        <w:tc>
          <w:tcPr>
            <w:tcW w:w="389" w:type="pct"/>
            <w:tcBorders>
              <w:top w:val="nil"/>
              <w:left w:val="nil"/>
              <w:bottom w:val="nil"/>
              <w:right w:val="nil"/>
            </w:tcBorders>
            <w:shd w:val="clear" w:color="auto" w:fill="auto"/>
            <w:noWrap/>
            <w:vAlign w:val="center"/>
          </w:tcPr>
          <w:p w14:paraId="2067B87D" w14:textId="36E8A084"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239.467</w:t>
            </w:r>
          </w:p>
        </w:tc>
        <w:tc>
          <w:tcPr>
            <w:tcW w:w="389" w:type="pct"/>
            <w:tcBorders>
              <w:top w:val="nil"/>
              <w:left w:val="nil"/>
              <w:bottom w:val="nil"/>
              <w:right w:val="nil"/>
            </w:tcBorders>
            <w:shd w:val="clear" w:color="auto" w:fill="auto"/>
            <w:noWrap/>
            <w:vAlign w:val="center"/>
          </w:tcPr>
          <w:p w14:paraId="461D581F" w14:textId="069212DD"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1.153</w:t>
            </w:r>
          </w:p>
        </w:tc>
        <w:tc>
          <w:tcPr>
            <w:tcW w:w="450" w:type="pct"/>
            <w:tcBorders>
              <w:top w:val="nil"/>
              <w:left w:val="nil"/>
              <w:bottom w:val="nil"/>
              <w:right w:val="nil"/>
            </w:tcBorders>
            <w:shd w:val="clear" w:color="auto" w:fill="auto"/>
            <w:noWrap/>
            <w:vAlign w:val="center"/>
          </w:tcPr>
          <w:p w14:paraId="6ECA6664" w14:textId="377B663E"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240.620</w:t>
            </w:r>
          </w:p>
        </w:tc>
        <w:tc>
          <w:tcPr>
            <w:tcW w:w="401" w:type="pct"/>
            <w:tcBorders>
              <w:top w:val="nil"/>
              <w:left w:val="nil"/>
              <w:bottom w:val="nil"/>
              <w:right w:val="nil"/>
            </w:tcBorders>
            <w:shd w:val="clear" w:color="auto" w:fill="auto"/>
            <w:noWrap/>
            <w:vAlign w:val="center"/>
            <w:hideMark/>
          </w:tcPr>
          <w:p w14:paraId="65C6EEF4" w14:textId="5FDA752D"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224.261</w:t>
            </w:r>
          </w:p>
        </w:tc>
        <w:tc>
          <w:tcPr>
            <w:tcW w:w="342" w:type="pct"/>
            <w:tcBorders>
              <w:top w:val="nil"/>
              <w:left w:val="nil"/>
              <w:bottom w:val="nil"/>
              <w:right w:val="nil"/>
            </w:tcBorders>
            <w:shd w:val="clear" w:color="auto" w:fill="auto"/>
            <w:noWrap/>
            <w:vAlign w:val="center"/>
            <w:hideMark/>
          </w:tcPr>
          <w:p w14:paraId="1BCA04BF" w14:textId="31D9B5E5"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1.000</w:t>
            </w:r>
          </w:p>
        </w:tc>
        <w:tc>
          <w:tcPr>
            <w:tcW w:w="402" w:type="pct"/>
            <w:tcBorders>
              <w:top w:val="nil"/>
              <w:left w:val="nil"/>
              <w:bottom w:val="nil"/>
              <w:right w:val="nil"/>
            </w:tcBorders>
            <w:shd w:val="clear" w:color="auto" w:fill="auto"/>
            <w:noWrap/>
            <w:vAlign w:val="center"/>
            <w:hideMark/>
          </w:tcPr>
          <w:p w14:paraId="3024E1C3" w14:textId="64034D82"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225.261</w:t>
            </w:r>
          </w:p>
        </w:tc>
      </w:tr>
      <w:tr w:rsidR="00A47C19" w:rsidRPr="00E20D21" w14:paraId="5036B910" w14:textId="77777777" w:rsidTr="001E7C5D">
        <w:trPr>
          <w:trHeight w:val="283"/>
        </w:trPr>
        <w:tc>
          <w:tcPr>
            <w:tcW w:w="1022" w:type="pct"/>
            <w:tcBorders>
              <w:top w:val="nil"/>
              <w:left w:val="nil"/>
              <w:bottom w:val="nil"/>
              <w:right w:val="nil"/>
            </w:tcBorders>
            <w:shd w:val="clear" w:color="auto" w:fill="auto"/>
            <w:vAlign w:val="center"/>
            <w:hideMark/>
          </w:tcPr>
          <w:p w14:paraId="666D3EB5" w14:textId="77777777" w:rsidR="007C4E69" w:rsidRPr="00E20D21" w:rsidRDefault="007C4E69" w:rsidP="007C4E69">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Cotas de fundos</w:t>
            </w:r>
          </w:p>
        </w:tc>
        <w:tc>
          <w:tcPr>
            <w:tcW w:w="340" w:type="pct"/>
            <w:tcBorders>
              <w:top w:val="nil"/>
              <w:left w:val="nil"/>
              <w:bottom w:val="nil"/>
              <w:right w:val="nil"/>
            </w:tcBorders>
            <w:shd w:val="clear" w:color="auto" w:fill="auto"/>
            <w:vAlign w:val="center"/>
          </w:tcPr>
          <w:p w14:paraId="080B9999" w14:textId="7F950C9E"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1.628.756</w:t>
            </w:r>
          </w:p>
        </w:tc>
        <w:tc>
          <w:tcPr>
            <w:tcW w:w="292" w:type="pct"/>
            <w:tcBorders>
              <w:top w:val="nil"/>
              <w:left w:val="nil"/>
              <w:bottom w:val="nil"/>
              <w:right w:val="nil"/>
            </w:tcBorders>
            <w:shd w:val="clear" w:color="auto" w:fill="auto"/>
            <w:noWrap/>
            <w:vAlign w:val="center"/>
          </w:tcPr>
          <w:p w14:paraId="40102F04" w14:textId="12C50D98"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5A96EA9C" w14:textId="281A86F2"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47E87B47" w14:textId="5097EDBA"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3CCE2FEE" w14:textId="48F8F3CF" w:rsidR="007C4E69" w:rsidRPr="00E20D21" w:rsidRDefault="00652EDC" w:rsidP="001E7C5D">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noWrap/>
            <w:vAlign w:val="center"/>
          </w:tcPr>
          <w:p w14:paraId="4D118ED5" w14:textId="5F01F5CE"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612.302</w:t>
            </w:r>
          </w:p>
        </w:tc>
        <w:tc>
          <w:tcPr>
            <w:tcW w:w="389" w:type="pct"/>
            <w:tcBorders>
              <w:top w:val="nil"/>
              <w:left w:val="nil"/>
              <w:bottom w:val="nil"/>
              <w:right w:val="nil"/>
            </w:tcBorders>
            <w:shd w:val="clear" w:color="auto" w:fill="auto"/>
            <w:noWrap/>
            <w:vAlign w:val="center"/>
          </w:tcPr>
          <w:p w14:paraId="35A16542" w14:textId="50AB4683"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1.016.454</w:t>
            </w:r>
          </w:p>
        </w:tc>
        <w:tc>
          <w:tcPr>
            <w:tcW w:w="450" w:type="pct"/>
            <w:tcBorders>
              <w:top w:val="nil"/>
              <w:left w:val="nil"/>
              <w:bottom w:val="nil"/>
              <w:right w:val="nil"/>
            </w:tcBorders>
            <w:shd w:val="clear" w:color="auto" w:fill="auto"/>
            <w:noWrap/>
            <w:vAlign w:val="center"/>
          </w:tcPr>
          <w:p w14:paraId="0BB673B0" w14:textId="4ECF0A8B"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1.628.756</w:t>
            </w:r>
          </w:p>
        </w:tc>
        <w:tc>
          <w:tcPr>
            <w:tcW w:w="401" w:type="pct"/>
            <w:tcBorders>
              <w:top w:val="nil"/>
              <w:left w:val="nil"/>
              <w:bottom w:val="nil"/>
              <w:right w:val="nil"/>
            </w:tcBorders>
            <w:shd w:val="clear" w:color="auto" w:fill="auto"/>
            <w:noWrap/>
            <w:vAlign w:val="center"/>
            <w:hideMark/>
          </w:tcPr>
          <w:p w14:paraId="7180F130" w14:textId="300FC37B"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270.709</w:t>
            </w:r>
          </w:p>
        </w:tc>
        <w:tc>
          <w:tcPr>
            <w:tcW w:w="342" w:type="pct"/>
            <w:tcBorders>
              <w:top w:val="nil"/>
              <w:left w:val="nil"/>
              <w:bottom w:val="nil"/>
              <w:right w:val="nil"/>
            </w:tcBorders>
            <w:shd w:val="clear" w:color="auto" w:fill="auto"/>
            <w:noWrap/>
            <w:vAlign w:val="center"/>
            <w:hideMark/>
          </w:tcPr>
          <w:p w14:paraId="7AB1BEDD" w14:textId="757135C4"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970.025</w:t>
            </w:r>
          </w:p>
        </w:tc>
        <w:tc>
          <w:tcPr>
            <w:tcW w:w="402" w:type="pct"/>
            <w:tcBorders>
              <w:top w:val="nil"/>
              <w:left w:val="nil"/>
              <w:bottom w:val="nil"/>
              <w:right w:val="nil"/>
            </w:tcBorders>
            <w:shd w:val="clear" w:color="auto" w:fill="auto"/>
            <w:noWrap/>
            <w:vAlign w:val="center"/>
            <w:hideMark/>
          </w:tcPr>
          <w:p w14:paraId="0FF40B04" w14:textId="149975D4"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1.240.734</w:t>
            </w:r>
          </w:p>
        </w:tc>
      </w:tr>
      <w:tr w:rsidR="00A47C19" w:rsidRPr="00E20D21" w14:paraId="35DEB8AC" w14:textId="77777777" w:rsidTr="001E7C5D">
        <w:trPr>
          <w:trHeight w:val="283"/>
        </w:trPr>
        <w:tc>
          <w:tcPr>
            <w:tcW w:w="1022" w:type="pct"/>
            <w:tcBorders>
              <w:top w:val="nil"/>
              <w:left w:val="nil"/>
              <w:bottom w:val="nil"/>
              <w:right w:val="nil"/>
            </w:tcBorders>
            <w:shd w:val="clear" w:color="auto" w:fill="auto"/>
            <w:vAlign w:val="center"/>
            <w:hideMark/>
          </w:tcPr>
          <w:p w14:paraId="5E667EFD" w14:textId="77777777" w:rsidR="007C4E69" w:rsidRPr="00E20D21" w:rsidRDefault="007C4E69" w:rsidP="007C4E69">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Certificado de recebíveis imobiliários</w:t>
            </w:r>
          </w:p>
        </w:tc>
        <w:tc>
          <w:tcPr>
            <w:tcW w:w="340" w:type="pct"/>
            <w:tcBorders>
              <w:top w:val="nil"/>
              <w:left w:val="nil"/>
              <w:bottom w:val="nil"/>
              <w:right w:val="nil"/>
            </w:tcBorders>
            <w:shd w:val="clear" w:color="auto" w:fill="auto"/>
            <w:noWrap/>
            <w:vAlign w:val="center"/>
          </w:tcPr>
          <w:p w14:paraId="1D22AA7F" w14:textId="254ED99C" w:rsidR="007C4E69" w:rsidRPr="00E20D21" w:rsidRDefault="00652EDC" w:rsidP="001E7C5D">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noWrap/>
            <w:vAlign w:val="center"/>
          </w:tcPr>
          <w:p w14:paraId="55F383E8" w14:textId="3B4B9C94"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73753971" w14:textId="6F0C4BFF"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7A1836D7" w14:textId="4B25C0A7"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0DFCD4F6" w14:textId="35B49657"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1.291.105</w:t>
            </w:r>
          </w:p>
        </w:tc>
        <w:tc>
          <w:tcPr>
            <w:tcW w:w="389" w:type="pct"/>
            <w:tcBorders>
              <w:top w:val="nil"/>
              <w:left w:val="nil"/>
              <w:bottom w:val="nil"/>
              <w:right w:val="nil"/>
            </w:tcBorders>
            <w:shd w:val="clear" w:color="auto" w:fill="auto"/>
            <w:noWrap/>
            <w:vAlign w:val="center"/>
          </w:tcPr>
          <w:p w14:paraId="3782A8C6" w14:textId="31C52657"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1.334.899</w:t>
            </w:r>
          </w:p>
        </w:tc>
        <w:tc>
          <w:tcPr>
            <w:tcW w:w="389" w:type="pct"/>
            <w:tcBorders>
              <w:top w:val="nil"/>
              <w:left w:val="nil"/>
              <w:bottom w:val="nil"/>
              <w:right w:val="nil"/>
            </w:tcBorders>
            <w:shd w:val="clear" w:color="auto" w:fill="auto"/>
            <w:noWrap/>
            <w:vAlign w:val="center"/>
          </w:tcPr>
          <w:p w14:paraId="2A9191BE" w14:textId="735CB557"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(43.794)</w:t>
            </w:r>
          </w:p>
        </w:tc>
        <w:tc>
          <w:tcPr>
            <w:tcW w:w="450" w:type="pct"/>
            <w:tcBorders>
              <w:top w:val="nil"/>
              <w:left w:val="nil"/>
              <w:bottom w:val="nil"/>
              <w:right w:val="nil"/>
            </w:tcBorders>
            <w:shd w:val="clear" w:color="auto" w:fill="auto"/>
            <w:noWrap/>
            <w:vAlign w:val="center"/>
          </w:tcPr>
          <w:p w14:paraId="2D90E963" w14:textId="5CF88BD8"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1.291.105</w:t>
            </w:r>
          </w:p>
        </w:tc>
        <w:tc>
          <w:tcPr>
            <w:tcW w:w="401" w:type="pct"/>
            <w:tcBorders>
              <w:top w:val="nil"/>
              <w:left w:val="nil"/>
              <w:bottom w:val="nil"/>
              <w:right w:val="nil"/>
            </w:tcBorders>
            <w:shd w:val="clear" w:color="auto" w:fill="auto"/>
            <w:noWrap/>
            <w:vAlign w:val="center"/>
            <w:hideMark/>
          </w:tcPr>
          <w:p w14:paraId="2B5639C2" w14:textId="5A8FDEEE"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1.317.659</w:t>
            </w:r>
          </w:p>
        </w:tc>
        <w:tc>
          <w:tcPr>
            <w:tcW w:w="342" w:type="pct"/>
            <w:tcBorders>
              <w:top w:val="nil"/>
              <w:left w:val="nil"/>
              <w:bottom w:val="nil"/>
              <w:right w:val="nil"/>
            </w:tcBorders>
            <w:shd w:val="clear" w:color="auto" w:fill="auto"/>
            <w:noWrap/>
            <w:vAlign w:val="center"/>
            <w:hideMark/>
          </w:tcPr>
          <w:p w14:paraId="25F28332" w14:textId="26141C27"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53.361</w:t>
            </w:r>
          </w:p>
        </w:tc>
        <w:tc>
          <w:tcPr>
            <w:tcW w:w="402" w:type="pct"/>
            <w:tcBorders>
              <w:top w:val="nil"/>
              <w:left w:val="nil"/>
              <w:bottom w:val="nil"/>
              <w:right w:val="nil"/>
            </w:tcBorders>
            <w:shd w:val="clear" w:color="auto" w:fill="auto"/>
            <w:noWrap/>
            <w:vAlign w:val="center"/>
            <w:hideMark/>
          </w:tcPr>
          <w:p w14:paraId="639FE616" w14:textId="54EE5B9F"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1.371.020</w:t>
            </w:r>
          </w:p>
        </w:tc>
      </w:tr>
      <w:tr w:rsidR="00A47C19" w:rsidRPr="00E20D21" w14:paraId="06EA433B" w14:textId="77777777" w:rsidTr="001E7C5D">
        <w:trPr>
          <w:trHeight w:val="283"/>
        </w:trPr>
        <w:tc>
          <w:tcPr>
            <w:tcW w:w="1022" w:type="pct"/>
            <w:tcBorders>
              <w:top w:val="nil"/>
              <w:left w:val="nil"/>
              <w:bottom w:val="nil"/>
              <w:right w:val="nil"/>
            </w:tcBorders>
            <w:shd w:val="clear" w:color="auto" w:fill="auto"/>
            <w:vAlign w:val="center"/>
            <w:hideMark/>
          </w:tcPr>
          <w:p w14:paraId="3C5F667E" w14:textId="77777777" w:rsidR="007C4E69" w:rsidRPr="00E20D21" w:rsidRDefault="007C4E69" w:rsidP="007C4E69">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Ações</w:t>
            </w:r>
          </w:p>
        </w:tc>
        <w:tc>
          <w:tcPr>
            <w:tcW w:w="340" w:type="pct"/>
            <w:tcBorders>
              <w:top w:val="nil"/>
              <w:left w:val="nil"/>
              <w:bottom w:val="nil"/>
              <w:right w:val="nil"/>
            </w:tcBorders>
            <w:shd w:val="clear" w:color="auto" w:fill="auto"/>
            <w:vAlign w:val="center"/>
          </w:tcPr>
          <w:p w14:paraId="32EBB89B" w14:textId="66DE9DBC"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7.703</w:t>
            </w:r>
          </w:p>
        </w:tc>
        <w:tc>
          <w:tcPr>
            <w:tcW w:w="292" w:type="pct"/>
            <w:tcBorders>
              <w:top w:val="nil"/>
              <w:left w:val="nil"/>
              <w:bottom w:val="nil"/>
              <w:right w:val="nil"/>
            </w:tcBorders>
            <w:shd w:val="clear" w:color="auto" w:fill="auto"/>
            <w:noWrap/>
            <w:vAlign w:val="center"/>
          </w:tcPr>
          <w:p w14:paraId="1815DB11" w14:textId="55BFB326"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277351B4" w14:textId="18B8BAEB"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1981DCF7" w14:textId="2AEF2883"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2606B5A4" w14:textId="63024398" w:rsidR="007C4E69" w:rsidRPr="00E20D21" w:rsidRDefault="00652EDC" w:rsidP="001E7C5D">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noWrap/>
            <w:vAlign w:val="center"/>
          </w:tcPr>
          <w:p w14:paraId="6A731A1C" w14:textId="2B936A87"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13.585</w:t>
            </w:r>
          </w:p>
        </w:tc>
        <w:tc>
          <w:tcPr>
            <w:tcW w:w="389" w:type="pct"/>
            <w:tcBorders>
              <w:top w:val="nil"/>
              <w:left w:val="nil"/>
              <w:bottom w:val="nil"/>
              <w:right w:val="nil"/>
            </w:tcBorders>
            <w:shd w:val="clear" w:color="auto" w:fill="auto"/>
            <w:noWrap/>
            <w:vAlign w:val="center"/>
          </w:tcPr>
          <w:p w14:paraId="5CBD9397" w14:textId="516A96BB"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(5.882)</w:t>
            </w:r>
          </w:p>
        </w:tc>
        <w:tc>
          <w:tcPr>
            <w:tcW w:w="450" w:type="pct"/>
            <w:tcBorders>
              <w:top w:val="nil"/>
              <w:left w:val="nil"/>
              <w:bottom w:val="nil"/>
              <w:right w:val="nil"/>
            </w:tcBorders>
            <w:shd w:val="clear" w:color="auto" w:fill="auto"/>
            <w:noWrap/>
            <w:vAlign w:val="center"/>
          </w:tcPr>
          <w:p w14:paraId="6FD3E583" w14:textId="13FB0A8A"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7.703</w:t>
            </w:r>
          </w:p>
        </w:tc>
        <w:tc>
          <w:tcPr>
            <w:tcW w:w="401" w:type="pct"/>
            <w:tcBorders>
              <w:top w:val="nil"/>
              <w:left w:val="nil"/>
              <w:bottom w:val="nil"/>
              <w:right w:val="nil"/>
            </w:tcBorders>
            <w:shd w:val="clear" w:color="auto" w:fill="auto"/>
            <w:noWrap/>
            <w:vAlign w:val="center"/>
            <w:hideMark/>
          </w:tcPr>
          <w:p w14:paraId="2F18D4BE" w14:textId="75AA3AED"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24.206</w:t>
            </w:r>
          </w:p>
        </w:tc>
        <w:tc>
          <w:tcPr>
            <w:tcW w:w="342" w:type="pct"/>
            <w:tcBorders>
              <w:top w:val="nil"/>
              <w:left w:val="nil"/>
              <w:bottom w:val="nil"/>
              <w:right w:val="nil"/>
            </w:tcBorders>
            <w:shd w:val="clear" w:color="auto" w:fill="auto"/>
            <w:noWrap/>
            <w:vAlign w:val="center"/>
            <w:hideMark/>
          </w:tcPr>
          <w:p w14:paraId="66A64421" w14:textId="0331AC16"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(10.162)</w:t>
            </w:r>
          </w:p>
        </w:tc>
        <w:tc>
          <w:tcPr>
            <w:tcW w:w="402" w:type="pct"/>
            <w:tcBorders>
              <w:top w:val="nil"/>
              <w:left w:val="nil"/>
              <w:bottom w:val="nil"/>
              <w:right w:val="nil"/>
            </w:tcBorders>
            <w:shd w:val="clear" w:color="auto" w:fill="auto"/>
            <w:noWrap/>
            <w:vAlign w:val="center"/>
            <w:hideMark/>
          </w:tcPr>
          <w:p w14:paraId="13908E4B" w14:textId="54344034" w:rsidR="007C4E69" w:rsidRPr="00E20D21" w:rsidRDefault="007C4E69" w:rsidP="007C4E6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14.044</w:t>
            </w:r>
          </w:p>
        </w:tc>
      </w:tr>
      <w:tr w:rsidR="00540E4C" w:rsidRPr="00E20D21" w14:paraId="1369441B" w14:textId="77777777" w:rsidTr="001E7C5D">
        <w:trPr>
          <w:trHeight w:val="283"/>
        </w:trPr>
        <w:tc>
          <w:tcPr>
            <w:tcW w:w="1022" w:type="pct"/>
            <w:tcBorders>
              <w:top w:val="nil"/>
              <w:left w:val="nil"/>
              <w:bottom w:val="nil"/>
              <w:right w:val="nil"/>
            </w:tcBorders>
            <w:shd w:val="clear" w:color="auto" w:fill="auto"/>
            <w:vAlign w:val="center"/>
          </w:tcPr>
          <w:p w14:paraId="401755B9" w14:textId="7020EF2F" w:rsidR="00540E4C" w:rsidRPr="00E20D21" w:rsidRDefault="00540E4C" w:rsidP="00540E4C">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w:t>
            </w:r>
          </w:p>
        </w:tc>
        <w:tc>
          <w:tcPr>
            <w:tcW w:w="340" w:type="pct"/>
            <w:tcBorders>
              <w:top w:val="nil"/>
              <w:left w:val="nil"/>
              <w:bottom w:val="nil"/>
              <w:right w:val="nil"/>
            </w:tcBorders>
            <w:shd w:val="clear" w:color="auto" w:fill="auto"/>
            <w:vAlign w:val="center"/>
          </w:tcPr>
          <w:p w14:paraId="5A4061EA" w14:textId="6B0CC7F8" w:rsidR="00540E4C" w:rsidRPr="00E20D21" w:rsidRDefault="00652EDC" w:rsidP="00540E4C">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noWrap/>
            <w:vAlign w:val="center"/>
          </w:tcPr>
          <w:p w14:paraId="72F92153" w14:textId="5E4C6242" w:rsidR="00540E4C" w:rsidRPr="00E20D21" w:rsidRDefault="00652ED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289.987</w:t>
            </w:r>
          </w:p>
        </w:tc>
        <w:tc>
          <w:tcPr>
            <w:tcW w:w="292" w:type="pct"/>
            <w:tcBorders>
              <w:top w:val="nil"/>
              <w:left w:val="nil"/>
              <w:bottom w:val="nil"/>
              <w:right w:val="nil"/>
            </w:tcBorders>
            <w:vAlign w:val="center"/>
          </w:tcPr>
          <w:p w14:paraId="5A806CC1" w14:textId="63CEE50C" w:rsidR="00540E4C" w:rsidRPr="00E20D21" w:rsidRDefault="00652ED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426.049</w:t>
            </w:r>
          </w:p>
        </w:tc>
        <w:tc>
          <w:tcPr>
            <w:tcW w:w="292" w:type="pct"/>
            <w:tcBorders>
              <w:top w:val="nil"/>
              <w:left w:val="nil"/>
              <w:bottom w:val="nil"/>
              <w:right w:val="nil"/>
            </w:tcBorders>
            <w:shd w:val="clear" w:color="auto" w:fill="auto"/>
            <w:vAlign w:val="center"/>
          </w:tcPr>
          <w:p w14:paraId="0BD90ED8" w14:textId="149EA4EB" w:rsidR="00540E4C" w:rsidRPr="00E20D21" w:rsidRDefault="00652ED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869.703</w:t>
            </w:r>
          </w:p>
        </w:tc>
        <w:tc>
          <w:tcPr>
            <w:tcW w:w="389" w:type="pct"/>
            <w:tcBorders>
              <w:top w:val="nil"/>
              <w:left w:val="nil"/>
              <w:bottom w:val="nil"/>
              <w:right w:val="nil"/>
            </w:tcBorders>
            <w:shd w:val="clear" w:color="auto" w:fill="auto"/>
            <w:vAlign w:val="center"/>
          </w:tcPr>
          <w:p w14:paraId="211B2912" w14:textId="42B50ADC" w:rsidR="00540E4C" w:rsidRPr="00E20D21" w:rsidRDefault="00652ED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2.205.910</w:t>
            </w:r>
          </w:p>
        </w:tc>
        <w:tc>
          <w:tcPr>
            <w:tcW w:w="389" w:type="pct"/>
            <w:tcBorders>
              <w:top w:val="nil"/>
              <w:left w:val="nil"/>
              <w:bottom w:val="nil"/>
              <w:right w:val="nil"/>
            </w:tcBorders>
            <w:shd w:val="clear" w:color="auto" w:fill="auto"/>
            <w:noWrap/>
            <w:vAlign w:val="center"/>
          </w:tcPr>
          <w:p w14:paraId="2A035EA6" w14:textId="45DA7755" w:rsidR="00540E4C" w:rsidRPr="00E20D21" w:rsidRDefault="00652ED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3.737.813</w:t>
            </w:r>
          </w:p>
        </w:tc>
        <w:tc>
          <w:tcPr>
            <w:tcW w:w="389" w:type="pct"/>
            <w:tcBorders>
              <w:top w:val="nil"/>
              <w:left w:val="nil"/>
              <w:bottom w:val="nil"/>
              <w:right w:val="nil"/>
            </w:tcBorders>
            <w:shd w:val="clear" w:color="auto" w:fill="auto"/>
            <w:noWrap/>
            <w:vAlign w:val="center"/>
          </w:tcPr>
          <w:p w14:paraId="5E52C83D" w14:textId="2A14BD49" w:rsidR="00540E4C" w:rsidRPr="00E20D21" w:rsidRDefault="00652ED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53.836</w:t>
            </w:r>
          </w:p>
        </w:tc>
        <w:tc>
          <w:tcPr>
            <w:tcW w:w="450" w:type="pct"/>
            <w:tcBorders>
              <w:top w:val="nil"/>
              <w:left w:val="nil"/>
              <w:bottom w:val="nil"/>
              <w:right w:val="nil"/>
            </w:tcBorders>
            <w:shd w:val="clear" w:color="auto" w:fill="auto"/>
            <w:noWrap/>
            <w:vAlign w:val="center"/>
          </w:tcPr>
          <w:p w14:paraId="28D8C65F" w14:textId="563091BE" w:rsidR="00540E4C" w:rsidRPr="00E20D21" w:rsidRDefault="00652ED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3.791.649</w:t>
            </w:r>
          </w:p>
        </w:tc>
        <w:tc>
          <w:tcPr>
            <w:tcW w:w="401" w:type="pct"/>
            <w:tcBorders>
              <w:top w:val="nil"/>
              <w:left w:val="nil"/>
              <w:bottom w:val="nil"/>
              <w:right w:val="nil"/>
            </w:tcBorders>
            <w:shd w:val="clear" w:color="auto" w:fill="auto"/>
            <w:noWrap/>
            <w:vAlign w:val="center"/>
          </w:tcPr>
          <w:p w14:paraId="1F3EE7CE" w14:textId="3A84BF68" w:rsidR="00540E4C" w:rsidRPr="00E20D21" w:rsidRDefault="00540E4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4.621.334</w:t>
            </w:r>
          </w:p>
        </w:tc>
        <w:tc>
          <w:tcPr>
            <w:tcW w:w="342" w:type="pct"/>
            <w:tcBorders>
              <w:top w:val="nil"/>
              <w:left w:val="nil"/>
              <w:bottom w:val="nil"/>
              <w:right w:val="nil"/>
            </w:tcBorders>
            <w:shd w:val="clear" w:color="auto" w:fill="auto"/>
            <w:noWrap/>
            <w:vAlign w:val="center"/>
          </w:tcPr>
          <w:p w14:paraId="4B4F93A4" w14:textId="11AFD0D3" w:rsidR="00540E4C" w:rsidRPr="00E20D21" w:rsidRDefault="00540E4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80.880</w:t>
            </w:r>
          </w:p>
        </w:tc>
        <w:tc>
          <w:tcPr>
            <w:tcW w:w="402" w:type="pct"/>
            <w:tcBorders>
              <w:top w:val="nil"/>
              <w:left w:val="nil"/>
              <w:bottom w:val="nil"/>
              <w:right w:val="nil"/>
            </w:tcBorders>
            <w:shd w:val="clear" w:color="auto" w:fill="auto"/>
            <w:noWrap/>
            <w:vAlign w:val="center"/>
          </w:tcPr>
          <w:p w14:paraId="46DFD132" w14:textId="20EAF28A" w:rsidR="00540E4C" w:rsidRPr="00E20D21" w:rsidRDefault="00540E4C" w:rsidP="00540E4C">
            <w:pPr>
              <w:jc w:val="right"/>
              <w:rPr>
                <w:rFonts w:ascii="CAIXA Std Book" w:hAnsi="CAIXA Std Book" w:cs="Arial"/>
                <w:color w:val="005CA9"/>
                <w:sz w:val="16"/>
                <w:szCs w:val="16"/>
              </w:rPr>
            </w:pPr>
            <w:r w:rsidRPr="00E20D21">
              <w:rPr>
                <w:rFonts w:ascii="CAIXA Std Book" w:hAnsi="CAIXA Std Book" w:cs="Arial"/>
                <w:color w:val="005CA9"/>
                <w:sz w:val="16"/>
                <w:szCs w:val="16"/>
              </w:rPr>
              <w:t>4.702.214</w:t>
            </w:r>
          </w:p>
        </w:tc>
      </w:tr>
      <w:tr w:rsidR="00A47C19" w:rsidRPr="00E20D21" w14:paraId="60A179CF" w14:textId="77777777" w:rsidTr="001E7C5D">
        <w:trPr>
          <w:trHeight w:val="283"/>
        </w:trPr>
        <w:tc>
          <w:tcPr>
            <w:tcW w:w="1022" w:type="pct"/>
            <w:tcBorders>
              <w:top w:val="nil"/>
              <w:left w:val="nil"/>
              <w:bottom w:val="nil"/>
              <w:right w:val="nil"/>
            </w:tcBorders>
            <w:shd w:val="clear" w:color="auto" w:fill="auto"/>
            <w:vAlign w:val="center"/>
            <w:hideMark/>
          </w:tcPr>
          <w:p w14:paraId="6421D1DF" w14:textId="6041C100" w:rsidR="007C4E69" w:rsidRPr="00E20D21" w:rsidRDefault="001245FF" w:rsidP="007C4E69">
            <w:pPr>
              <w:ind w:firstLineChars="100" w:firstLine="180"/>
              <w:rPr>
                <w:rFonts w:ascii="CAIXA Std Book" w:eastAsia="Times New Roman" w:hAnsi="CAIXA Std Book" w:cs="Arial"/>
                <w:color w:val="005CA9"/>
                <w:sz w:val="16"/>
                <w:szCs w:val="16"/>
              </w:rPr>
            </w:pPr>
            <w:r w:rsidRPr="00E20D21">
              <w:rPr>
                <w:rFonts w:ascii="CAIXA Std Book" w:eastAsia="Times New Roman" w:hAnsi="CAIXA Std Book" w:cs="Arial"/>
                <w:color w:val="005CA9"/>
                <w:sz w:val="18"/>
                <w:szCs w:val="18"/>
              </w:rPr>
              <w:t xml:space="preserve">Notas </w:t>
            </w:r>
            <w:r w:rsidR="00704567" w:rsidRPr="00E20D21">
              <w:rPr>
                <w:rFonts w:ascii="CAIXA Std Book" w:eastAsia="Times New Roman" w:hAnsi="CAIXA Std Book" w:cs="Arial"/>
                <w:color w:val="005CA9"/>
                <w:sz w:val="18"/>
                <w:szCs w:val="18"/>
              </w:rPr>
              <w:t>c</w:t>
            </w:r>
            <w:r w:rsidRPr="00E20D21">
              <w:rPr>
                <w:rFonts w:ascii="CAIXA Std Book" w:eastAsia="Times New Roman" w:hAnsi="CAIXA Std Book" w:cs="Arial"/>
                <w:color w:val="005CA9"/>
                <w:sz w:val="18"/>
                <w:szCs w:val="18"/>
              </w:rPr>
              <w:t>omerciais</w:t>
            </w:r>
          </w:p>
        </w:tc>
        <w:tc>
          <w:tcPr>
            <w:tcW w:w="340" w:type="pct"/>
            <w:tcBorders>
              <w:top w:val="nil"/>
              <w:left w:val="nil"/>
              <w:bottom w:val="nil"/>
              <w:right w:val="nil"/>
            </w:tcBorders>
            <w:shd w:val="clear" w:color="auto" w:fill="auto"/>
            <w:vAlign w:val="center"/>
          </w:tcPr>
          <w:p w14:paraId="007D54FF" w14:textId="517A53BB" w:rsidR="007C4E69" w:rsidRPr="00E20D21" w:rsidRDefault="00652EDC" w:rsidP="007C4E69">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noWrap/>
            <w:vAlign w:val="center"/>
          </w:tcPr>
          <w:p w14:paraId="63326D36" w14:textId="431301B3" w:rsidR="007C4E69" w:rsidRPr="00E20D21" w:rsidRDefault="00652EDC" w:rsidP="00652EDC">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vAlign w:val="center"/>
          </w:tcPr>
          <w:p w14:paraId="3C823854" w14:textId="4DD68F2A" w:rsidR="007C4E69" w:rsidRPr="00E20D21" w:rsidRDefault="00652EDC" w:rsidP="00652EDC">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292" w:type="pct"/>
            <w:tcBorders>
              <w:top w:val="nil"/>
              <w:left w:val="nil"/>
              <w:bottom w:val="nil"/>
              <w:right w:val="nil"/>
            </w:tcBorders>
            <w:shd w:val="clear" w:color="auto" w:fill="auto"/>
            <w:vAlign w:val="center"/>
          </w:tcPr>
          <w:p w14:paraId="2094A1C3" w14:textId="7DEB4FFE" w:rsidR="007C4E69" w:rsidRPr="00E20D21" w:rsidRDefault="00652EDC" w:rsidP="00652EDC">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010E7F6C" w14:textId="1925B0D0"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518.862</w:t>
            </w:r>
          </w:p>
        </w:tc>
        <w:tc>
          <w:tcPr>
            <w:tcW w:w="389" w:type="pct"/>
            <w:tcBorders>
              <w:top w:val="nil"/>
              <w:left w:val="nil"/>
              <w:bottom w:val="nil"/>
              <w:right w:val="nil"/>
            </w:tcBorders>
            <w:shd w:val="clear" w:color="auto" w:fill="auto"/>
            <w:noWrap/>
            <w:vAlign w:val="center"/>
          </w:tcPr>
          <w:p w14:paraId="243B13F3" w14:textId="5E5D6747"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514.595</w:t>
            </w:r>
          </w:p>
        </w:tc>
        <w:tc>
          <w:tcPr>
            <w:tcW w:w="389" w:type="pct"/>
            <w:tcBorders>
              <w:top w:val="nil"/>
              <w:left w:val="nil"/>
              <w:bottom w:val="nil"/>
              <w:right w:val="nil"/>
            </w:tcBorders>
            <w:shd w:val="clear" w:color="auto" w:fill="auto"/>
            <w:noWrap/>
            <w:vAlign w:val="center"/>
          </w:tcPr>
          <w:p w14:paraId="09791039" w14:textId="573FE221"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4.267</w:t>
            </w:r>
          </w:p>
        </w:tc>
        <w:tc>
          <w:tcPr>
            <w:tcW w:w="450" w:type="pct"/>
            <w:tcBorders>
              <w:top w:val="nil"/>
              <w:left w:val="nil"/>
              <w:bottom w:val="nil"/>
              <w:right w:val="nil"/>
            </w:tcBorders>
            <w:shd w:val="clear" w:color="auto" w:fill="auto"/>
            <w:noWrap/>
            <w:vAlign w:val="center"/>
          </w:tcPr>
          <w:p w14:paraId="04700981" w14:textId="620EF66A" w:rsidR="007C4E69" w:rsidRPr="00E20D21" w:rsidRDefault="00652EDC" w:rsidP="007C4E69">
            <w:pPr>
              <w:jc w:val="right"/>
              <w:rPr>
                <w:rFonts w:ascii="CAIXA Std Book" w:hAnsi="CAIXA Std Book" w:cs="Arial"/>
                <w:color w:val="005CA9"/>
                <w:sz w:val="16"/>
                <w:szCs w:val="16"/>
              </w:rPr>
            </w:pPr>
            <w:r w:rsidRPr="00E20D21">
              <w:rPr>
                <w:rFonts w:ascii="CAIXA Std Book" w:hAnsi="CAIXA Std Book" w:cs="Arial"/>
                <w:color w:val="005CA9"/>
                <w:sz w:val="16"/>
                <w:szCs w:val="16"/>
              </w:rPr>
              <w:t>518.862</w:t>
            </w:r>
          </w:p>
        </w:tc>
        <w:tc>
          <w:tcPr>
            <w:tcW w:w="401" w:type="pct"/>
            <w:tcBorders>
              <w:top w:val="nil"/>
              <w:left w:val="nil"/>
              <w:bottom w:val="nil"/>
              <w:right w:val="nil"/>
            </w:tcBorders>
            <w:shd w:val="clear" w:color="auto" w:fill="auto"/>
            <w:noWrap/>
            <w:vAlign w:val="center"/>
            <w:hideMark/>
          </w:tcPr>
          <w:p w14:paraId="59294AD4" w14:textId="162ED407" w:rsidR="007C4E69" w:rsidRPr="00E20D21" w:rsidRDefault="00540E4C" w:rsidP="00540E4C">
            <w:pPr>
              <w:jc w:val="center"/>
              <w:rPr>
                <w:rFonts w:ascii="CAIXA Std Book" w:eastAsia="Times New Roman" w:hAnsi="CAIXA Std Book" w:cs="Arial"/>
                <w:color w:val="005CA9"/>
                <w:sz w:val="16"/>
                <w:szCs w:val="16"/>
              </w:rPr>
            </w:pPr>
            <w:r w:rsidRPr="00E20D21">
              <w:rPr>
                <w:rFonts w:ascii="CAIXA Std Book" w:hAnsi="CAIXA Std Book" w:cs="Arial"/>
                <w:bCs/>
                <w:color w:val="005CA9"/>
                <w:sz w:val="16"/>
                <w:szCs w:val="16"/>
              </w:rPr>
              <w:t>-</w:t>
            </w:r>
          </w:p>
        </w:tc>
        <w:tc>
          <w:tcPr>
            <w:tcW w:w="342" w:type="pct"/>
            <w:tcBorders>
              <w:top w:val="nil"/>
              <w:left w:val="nil"/>
              <w:bottom w:val="nil"/>
              <w:right w:val="nil"/>
            </w:tcBorders>
            <w:shd w:val="clear" w:color="auto" w:fill="auto"/>
            <w:noWrap/>
            <w:vAlign w:val="center"/>
            <w:hideMark/>
          </w:tcPr>
          <w:p w14:paraId="2028889D" w14:textId="1D88D5EE" w:rsidR="007C4E69" w:rsidRPr="00E20D21" w:rsidRDefault="00540E4C" w:rsidP="00540E4C">
            <w:pPr>
              <w:jc w:val="center"/>
              <w:rPr>
                <w:rFonts w:ascii="CAIXA Std Book" w:eastAsia="Times New Roman" w:hAnsi="CAIXA Std Book" w:cs="Arial"/>
                <w:color w:val="005CA9"/>
                <w:sz w:val="16"/>
                <w:szCs w:val="16"/>
              </w:rPr>
            </w:pPr>
            <w:r w:rsidRPr="00E20D21">
              <w:rPr>
                <w:rFonts w:ascii="CAIXA Std Book" w:hAnsi="CAIXA Std Book" w:cs="Arial"/>
                <w:bCs/>
                <w:color w:val="005CA9"/>
                <w:sz w:val="16"/>
                <w:szCs w:val="16"/>
              </w:rPr>
              <w:t>-</w:t>
            </w:r>
          </w:p>
        </w:tc>
        <w:tc>
          <w:tcPr>
            <w:tcW w:w="402" w:type="pct"/>
            <w:tcBorders>
              <w:top w:val="nil"/>
              <w:left w:val="nil"/>
              <w:bottom w:val="nil"/>
              <w:right w:val="nil"/>
            </w:tcBorders>
            <w:shd w:val="clear" w:color="auto" w:fill="auto"/>
            <w:noWrap/>
            <w:vAlign w:val="center"/>
            <w:hideMark/>
          </w:tcPr>
          <w:p w14:paraId="4E0DA5E2" w14:textId="2583C695" w:rsidR="007C4E69" w:rsidRPr="00E20D21" w:rsidRDefault="00540E4C" w:rsidP="00540E4C">
            <w:pPr>
              <w:jc w:val="center"/>
              <w:rPr>
                <w:rFonts w:ascii="CAIXA Std Book" w:eastAsia="Times New Roman" w:hAnsi="CAIXA Std Book" w:cs="Arial"/>
                <w:color w:val="005CA9"/>
                <w:sz w:val="16"/>
                <w:szCs w:val="16"/>
              </w:rPr>
            </w:pPr>
            <w:r w:rsidRPr="00E20D21">
              <w:rPr>
                <w:rFonts w:ascii="CAIXA Std Book" w:hAnsi="CAIXA Std Book" w:cs="Arial"/>
                <w:bCs/>
                <w:color w:val="005CA9"/>
                <w:sz w:val="16"/>
                <w:szCs w:val="16"/>
              </w:rPr>
              <w:t>-</w:t>
            </w:r>
          </w:p>
        </w:tc>
      </w:tr>
      <w:tr w:rsidR="00A47C19" w:rsidRPr="00E20D21" w14:paraId="2DBA5E20" w14:textId="77777777" w:rsidTr="001E7C5D">
        <w:trPr>
          <w:trHeight w:val="283"/>
        </w:trPr>
        <w:tc>
          <w:tcPr>
            <w:tcW w:w="1022" w:type="pct"/>
            <w:tcBorders>
              <w:top w:val="single" w:sz="4" w:space="0" w:color="F39200"/>
              <w:left w:val="nil"/>
              <w:bottom w:val="single" w:sz="4" w:space="0" w:color="F39200"/>
              <w:right w:val="nil"/>
            </w:tcBorders>
            <w:shd w:val="clear" w:color="auto" w:fill="auto"/>
            <w:noWrap/>
            <w:vAlign w:val="center"/>
            <w:hideMark/>
          </w:tcPr>
          <w:p w14:paraId="2DCAD96F" w14:textId="77777777" w:rsidR="007C4E69" w:rsidRPr="00E20D21" w:rsidRDefault="007C4E69" w:rsidP="007C4E6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w:t>
            </w:r>
          </w:p>
        </w:tc>
        <w:tc>
          <w:tcPr>
            <w:tcW w:w="340" w:type="pct"/>
            <w:tcBorders>
              <w:top w:val="single" w:sz="4" w:space="0" w:color="F39200"/>
              <w:left w:val="nil"/>
              <w:bottom w:val="single" w:sz="4" w:space="0" w:color="F39200"/>
              <w:right w:val="nil"/>
            </w:tcBorders>
            <w:shd w:val="clear" w:color="auto" w:fill="auto"/>
            <w:noWrap/>
            <w:vAlign w:val="center"/>
          </w:tcPr>
          <w:p w14:paraId="5A044BFE" w14:textId="4C28B5FF"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1.636.459</w:t>
            </w:r>
          </w:p>
        </w:tc>
        <w:tc>
          <w:tcPr>
            <w:tcW w:w="292" w:type="pct"/>
            <w:tcBorders>
              <w:top w:val="single" w:sz="4" w:space="0" w:color="F39200"/>
              <w:left w:val="nil"/>
              <w:bottom w:val="single" w:sz="4" w:space="0" w:color="F39200"/>
              <w:right w:val="nil"/>
            </w:tcBorders>
            <w:shd w:val="clear" w:color="auto" w:fill="auto"/>
            <w:noWrap/>
            <w:vAlign w:val="center"/>
          </w:tcPr>
          <w:p w14:paraId="71E432DA" w14:textId="73AEDD7E"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289.987</w:t>
            </w:r>
          </w:p>
        </w:tc>
        <w:tc>
          <w:tcPr>
            <w:tcW w:w="292" w:type="pct"/>
            <w:tcBorders>
              <w:top w:val="single" w:sz="4" w:space="0" w:color="F39200"/>
              <w:left w:val="nil"/>
              <w:bottom w:val="single" w:sz="4" w:space="0" w:color="F39200"/>
              <w:right w:val="nil"/>
            </w:tcBorders>
            <w:vAlign w:val="center"/>
          </w:tcPr>
          <w:p w14:paraId="53825C29" w14:textId="7FCA1FC6"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426.049</w:t>
            </w:r>
          </w:p>
        </w:tc>
        <w:tc>
          <w:tcPr>
            <w:tcW w:w="292" w:type="pct"/>
            <w:tcBorders>
              <w:top w:val="single" w:sz="4" w:space="0" w:color="F39200"/>
              <w:left w:val="nil"/>
              <w:bottom w:val="single" w:sz="4" w:space="0" w:color="F39200"/>
              <w:right w:val="nil"/>
            </w:tcBorders>
            <w:shd w:val="clear" w:color="auto" w:fill="auto"/>
            <w:noWrap/>
            <w:vAlign w:val="center"/>
          </w:tcPr>
          <w:p w14:paraId="5A7FBE65" w14:textId="4B099845"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894.85</w:t>
            </w:r>
            <w:r w:rsidR="00A32D34" w:rsidRPr="00E20D21">
              <w:rPr>
                <w:rFonts w:ascii="CAIXA Std Book" w:hAnsi="CAIXA Std Book" w:cs="Arial"/>
                <w:b/>
                <w:bCs/>
                <w:color w:val="005CA9"/>
                <w:sz w:val="16"/>
                <w:szCs w:val="16"/>
              </w:rPr>
              <w:t>2</w:t>
            </w:r>
          </w:p>
        </w:tc>
        <w:tc>
          <w:tcPr>
            <w:tcW w:w="389" w:type="pct"/>
            <w:tcBorders>
              <w:top w:val="single" w:sz="4" w:space="0" w:color="F39200"/>
              <w:left w:val="nil"/>
              <w:bottom w:val="single" w:sz="4" w:space="0" w:color="F39200"/>
              <w:right w:val="nil"/>
            </w:tcBorders>
            <w:shd w:val="clear" w:color="auto" w:fill="auto"/>
            <w:noWrap/>
            <w:vAlign w:val="center"/>
          </w:tcPr>
          <w:p w14:paraId="71B8036D" w14:textId="4C6AF338"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166.805.17</w:t>
            </w:r>
            <w:r w:rsidR="00A32D34" w:rsidRPr="00E20D21">
              <w:rPr>
                <w:rFonts w:ascii="CAIXA Std Book" w:hAnsi="CAIXA Std Book" w:cs="Arial"/>
                <w:b/>
                <w:bCs/>
                <w:color w:val="005CA9"/>
                <w:sz w:val="16"/>
                <w:szCs w:val="16"/>
              </w:rPr>
              <w:t>5</w:t>
            </w:r>
          </w:p>
        </w:tc>
        <w:tc>
          <w:tcPr>
            <w:tcW w:w="389" w:type="pct"/>
            <w:tcBorders>
              <w:top w:val="single" w:sz="4" w:space="0" w:color="F39200"/>
              <w:left w:val="nil"/>
              <w:bottom w:val="single" w:sz="4" w:space="0" w:color="F39200"/>
              <w:right w:val="nil"/>
            </w:tcBorders>
            <w:shd w:val="clear" w:color="auto" w:fill="auto"/>
            <w:noWrap/>
            <w:vAlign w:val="center"/>
          </w:tcPr>
          <w:p w14:paraId="3B686B87" w14:textId="60935532"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169.155.688</w:t>
            </w:r>
          </w:p>
        </w:tc>
        <w:tc>
          <w:tcPr>
            <w:tcW w:w="389" w:type="pct"/>
            <w:tcBorders>
              <w:top w:val="single" w:sz="4" w:space="0" w:color="F39200"/>
              <w:left w:val="nil"/>
              <w:bottom w:val="single" w:sz="4" w:space="0" w:color="F39200"/>
              <w:right w:val="nil"/>
            </w:tcBorders>
            <w:shd w:val="clear" w:color="auto" w:fill="auto"/>
            <w:noWrap/>
            <w:vAlign w:val="center"/>
          </w:tcPr>
          <w:p w14:paraId="2FF1E87F" w14:textId="7F92D79F"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896.834</w:t>
            </w:r>
          </w:p>
        </w:tc>
        <w:tc>
          <w:tcPr>
            <w:tcW w:w="450" w:type="pct"/>
            <w:tcBorders>
              <w:top w:val="single" w:sz="4" w:space="0" w:color="F39200"/>
              <w:left w:val="nil"/>
              <w:bottom w:val="single" w:sz="4" w:space="0" w:color="F39200"/>
              <w:right w:val="nil"/>
            </w:tcBorders>
            <w:shd w:val="clear" w:color="auto" w:fill="auto"/>
            <w:noWrap/>
            <w:vAlign w:val="center"/>
          </w:tcPr>
          <w:p w14:paraId="6E710A6E" w14:textId="68BF8483" w:rsidR="007C4E69" w:rsidRPr="00E20D21" w:rsidRDefault="00652EDC" w:rsidP="007C4E69">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170.052.522</w:t>
            </w:r>
          </w:p>
        </w:tc>
        <w:tc>
          <w:tcPr>
            <w:tcW w:w="401" w:type="pct"/>
            <w:tcBorders>
              <w:top w:val="single" w:sz="4" w:space="0" w:color="F39200"/>
              <w:left w:val="nil"/>
              <w:bottom w:val="single" w:sz="4" w:space="0" w:color="F39200"/>
              <w:right w:val="nil"/>
            </w:tcBorders>
            <w:shd w:val="clear" w:color="auto" w:fill="auto"/>
            <w:noWrap/>
            <w:vAlign w:val="center"/>
            <w:hideMark/>
          </w:tcPr>
          <w:p w14:paraId="01AA03F1" w14:textId="36266832" w:rsidR="007C4E69" w:rsidRPr="00E20D21" w:rsidRDefault="007C4E69" w:rsidP="007C4E69">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134.</w:t>
            </w:r>
            <w:r w:rsidRPr="00E20D21">
              <w:rPr>
                <w:rFonts w:ascii="CAIXA Std Book" w:hAnsi="CAIXA Std Book" w:cs="Arial"/>
                <w:b/>
                <w:bCs/>
                <w:color w:val="005CA9"/>
                <w:sz w:val="16"/>
                <w:szCs w:val="16"/>
              </w:rPr>
              <w:t>938.704</w:t>
            </w:r>
          </w:p>
        </w:tc>
        <w:tc>
          <w:tcPr>
            <w:tcW w:w="342" w:type="pct"/>
            <w:tcBorders>
              <w:top w:val="single" w:sz="4" w:space="0" w:color="F39200"/>
              <w:left w:val="nil"/>
              <w:bottom w:val="single" w:sz="4" w:space="0" w:color="F39200"/>
              <w:right w:val="nil"/>
            </w:tcBorders>
            <w:shd w:val="clear" w:color="auto" w:fill="auto"/>
            <w:noWrap/>
            <w:vAlign w:val="center"/>
            <w:hideMark/>
          </w:tcPr>
          <w:p w14:paraId="7265F044" w14:textId="6D79431C" w:rsidR="007C4E69" w:rsidRPr="00E20D21" w:rsidRDefault="007C4E69" w:rsidP="007C4E6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1.139.664</w:t>
            </w:r>
          </w:p>
        </w:tc>
        <w:tc>
          <w:tcPr>
            <w:tcW w:w="402" w:type="pct"/>
            <w:tcBorders>
              <w:top w:val="single" w:sz="4" w:space="0" w:color="F39200"/>
              <w:left w:val="nil"/>
              <w:bottom w:val="single" w:sz="4" w:space="0" w:color="F39200"/>
              <w:right w:val="nil"/>
            </w:tcBorders>
            <w:shd w:val="clear" w:color="auto" w:fill="auto"/>
            <w:noWrap/>
            <w:vAlign w:val="center"/>
            <w:hideMark/>
          </w:tcPr>
          <w:p w14:paraId="4BBF57FD" w14:textId="72599D50" w:rsidR="007C4E69" w:rsidRPr="00E20D21" w:rsidRDefault="007C4E69" w:rsidP="007C4E69">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136.078.368</w:t>
            </w:r>
          </w:p>
        </w:tc>
      </w:tr>
    </w:tbl>
    <w:p w14:paraId="09E1ACE4" w14:textId="4B35C5E2" w:rsidR="005F303D" w:rsidRPr="00E20D21" w:rsidRDefault="00847D9F" w:rsidP="00EE51FA">
      <w:pPr>
        <w:rPr>
          <w:rFonts w:ascii="CAIXA Std Book" w:hAnsi="CAIXA Std Book"/>
          <w:b/>
          <w:color w:val="005CA9"/>
          <w:sz w:val="20"/>
          <w:szCs w:val="20"/>
        </w:rPr>
      </w:pPr>
      <w:r w:rsidRPr="00E20D21">
        <w:rPr>
          <w:rFonts w:ascii="CAIXA Std Book" w:hAnsi="CAIXA Std Book"/>
          <w:color w:val="005CA9"/>
        </w:rPr>
        <w:br w:type="page"/>
      </w:r>
      <w:r w:rsidR="005F303D" w:rsidRPr="00E20D21">
        <w:rPr>
          <w:rFonts w:ascii="CAIXA Std Book" w:hAnsi="CAIXA Std Book"/>
          <w:b/>
          <w:color w:val="005CA9"/>
          <w:sz w:val="20"/>
          <w:szCs w:val="20"/>
        </w:rPr>
        <w:lastRenderedPageBreak/>
        <w:t>(c.3)</w:t>
      </w:r>
      <w:r w:rsidR="005F303D" w:rsidRPr="00E20D21">
        <w:rPr>
          <w:rFonts w:ascii="CAIXA Std Book" w:hAnsi="CAIXA Std Book"/>
          <w:b/>
          <w:color w:val="005CA9"/>
          <w:sz w:val="20"/>
          <w:szCs w:val="20"/>
        </w:rPr>
        <w:tab/>
        <w:t>Categoria III - Títulos mantidos até o vencimen</w:t>
      </w:r>
      <w:r w:rsidR="00662021" w:rsidRPr="00E20D21">
        <w:rPr>
          <w:rFonts w:ascii="CAIXA Std Book" w:hAnsi="CAIXA Std Book"/>
          <w:b/>
          <w:color w:val="005CA9"/>
          <w:sz w:val="20"/>
          <w:szCs w:val="20"/>
        </w:rPr>
        <w:t>to</w:t>
      </w:r>
    </w:p>
    <w:p w14:paraId="67F5B0E3" w14:textId="0DF5AFF9" w:rsidR="00B45612" w:rsidRPr="00E20D21" w:rsidRDefault="00190F88" w:rsidP="00BE1017">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títulos e valores mobiliários classificados nesta categoria são passíveis </w:t>
      </w:r>
      <w:r w:rsidR="00BE1017" w:rsidRPr="00E20D21">
        <w:rPr>
          <w:rFonts w:ascii="CAIXA Std Book" w:hAnsi="CAIXA Std Book"/>
          <w:color w:val="005CA9"/>
          <w:sz w:val="20"/>
          <w:szCs w:val="20"/>
        </w:rPr>
        <w:t xml:space="preserve">de aplicação de testes de </w:t>
      </w:r>
      <w:r w:rsidR="00BE1017" w:rsidRPr="00E20D21">
        <w:rPr>
          <w:rFonts w:ascii="CAIXA Std Book" w:hAnsi="CAIXA Std Book"/>
          <w:i/>
          <w:color w:val="005CA9"/>
          <w:sz w:val="20"/>
          <w:szCs w:val="20"/>
        </w:rPr>
        <w:t>impairment</w:t>
      </w:r>
      <w:r w:rsidR="00BE1017" w:rsidRPr="00E20D21">
        <w:rPr>
          <w:rFonts w:ascii="CAIXA Std Book" w:hAnsi="CAIXA Std Book"/>
          <w:color w:val="005CA9"/>
          <w:sz w:val="20"/>
          <w:szCs w:val="20"/>
        </w:rPr>
        <w:t xml:space="preserve"> periódicos, conforme estabelece a Circular B</w:t>
      </w:r>
      <w:r w:rsidR="00FC561C" w:rsidRPr="00E20D21">
        <w:rPr>
          <w:rFonts w:ascii="CAIXA Std Book" w:hAnsi="CAIXA Std Book"/>
          <w:color w:val="005CA9"/>
          <w:sz w:val="20"/>
          <w:szCs w:val="20"/>
        </w:rPr>
        <w:t>CB</w:t>
      </w:r>
      <w:r w:rsidR="00BE1017" w:rsidRPr="00E20D21">
        <w:rPr>
          <w:rFonts w:ascii="CAIXA Std Book" w:hAnsi="CAIXA Std Book"/>
          <w:color w:val="005CA9"/>
          <w:sz w:val="20"/>
          <w:szCs w:val="20"/>
        </w:rPr>
        <w:t xml:space="preserve"> nº 3.068/2001</w:t>
      </w:r>
      <w:r w:rsidR="00B45612" w:rsidRPr="00E20D21">
        <w:rPr>
          <w:rFonts w:ascii="CAIXA Std Book" w:hAnsi="CAIXA Std Book"/>
          <w:color w:val="005CA9"/>
          <w:sz w:val="20"/>
          <w:szCs w:val="20"/>
        </w:rPr>
        <w:t>.</w:t>
      </w:r>
    </w:p>
    <w:p w14:paraId="4E632AEC" w14:textId="3E5EC43A" w:rsidR="006243C6" w:rsidRPr="00E20D21" w:rsidRDefault="006243C6" w:rsidP="006243C6">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papeis que compõem a carteira de TVM mantidos até o vencimento não sofreram ajustes por perda no valor recuperável </w:t>
      </w:r>
      <w:r w:rsidRPr="00E20D21">
        <w:rPr>
          <w:rFonts w:ascii="CAIXA Std Book" w:hAnsi="CAIXA Std Book"/>
          <w:i/>
          <w:color w:val="005CA9"/>
          <w:sz w:val="20"/>
          <w:szCs w:val="20"/>
        </w:rPr>
        <w:t>(Impairment</w:t>
      </w:r>
      <w:r w:rsidRPr="00E20D21">
        <w:rPr>
          <w:rFonts w:ascii="CAIXA Std Book" w:hAnsi="CAIXA Std Book"/>
          <w:color w:val="005CA9"/>
          <w:sz w:val="20"/>
          <w:szCs w:val="20"/>
        </w:rPr>
        <w:t>) no 1º semestre de 2024 e 2023.</w:t>
      </w:r>
    </w:p>
    <w:p w14:paraId="1B101236" w14:textId="69B2D62A" w:rsidR="00A23072" w:rsidRPr="00E20D21" w:rsidRDefault="006D7818" w:rsidP="00A23072">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Os títulos desta categoria foram marcados a mercado exclusivamente para fins de divulgação e análise, não produzindo efeitos no Resultado ou no Patrimônio Líquido.</w:t>
      </w:r>
      <w:r w:rsidR="00673199" w:rsidRPr="00E20D21">
        <w:rPr>
          <w:rFonts w:ascii="CAIXA Std Book" w:hAnsi="CAIXA Std Book"/>
          <w:color w:val="005CA9"/>
          <w:sz w:val="20"/>
          <w:szCs w:val="20"/>
        </w:rPr>
        <w:t xml:space="preserve"> </w:t>
      </w:r>
      <w:r w:rsidR="00A23072" w:rsidRPr="00E20D21">
        <w:rPr>
          <w:rFonts w:ascii="CAIXA Std Book" w:hAnsi="CAIXA Std Book"/>
          <w:color w:val="005CA9"/>
          <w:sz w:val="20"/>
          <w:szCs w:val="20"/>
        </w:rPr>
        <w:t>Os ativos desta</w:t>
      </w:r>
      <w:r w:rsidR="003B7517" w:rsidRPr="00E20D21">
        <w:rPr>
          <w:rFonts w:ascii="CAIXA Std Book" w:hAnsi="CAIXA Std Book"/>
          <w:color w:val="005CA9"/>
          <w:sz w:val="20"/>
          <w:szCs w:val="20"/>
        </w:rPr>
        <w:t xml:space="preserve"> categoria sensibilizam o balanço d</w:t>
      </w:r>
      <w:r w:rsidR="001C17C1" w:rsidRPr="00E20D21">
        <w:rPr>
          <w:rFonts w:ascii="CAIXA Std Book" w:hAnsi="CAIXA Std Book"/>
          <w:color w:val="005CA9"/>
          <w:sz w:val="20"/>
          <w:szCs w:val="20"/>
        </w:rPr>
        <w:t>a</w:t>
      </w:r>
      <w:r w:rsidR="003B7517" w:rsidRPr="00E20D21">
        <w:rPr>
          <w:rFonts w:ascii="CAIXA Std Book" w:hAnsi="CAIXA Std Book"/>
          <w:color w:val="005CA9"/>
          <w:sz w:val="20"/>
          <w:szCs w:val="20"/>
        </w:rPr>
        <w:t xml:space="preserve"> CAIXA com o seu valor </w:t>
      </w:r>
      <w:r w:rsidR="00084317" w:rsidRPr="00E20D21">
        <w:rPr>
          <w:rFonts w:ascii="CAIXA Std Book" w:hAnsi="CAIXA Std Book"/>
          <w:color w:val="005CA9"/>
          <w:sz w:val="20"/>
          <w:szCs w:val="20"/>
        </w:rPr>
        <w:t>de custo amortizado</w:t>
      </w:r>
      <w:r w:rsidR="003B7517" w:rsidRPr="00E20D21">
        <w:rPr>
          <w:rFonts w:ascii="CAIXA Std Book" w:hAnsi="CAIXA Std Book"/>
          <w:color w:val="005CA9"/>
          <w:sz w:val="20"/>
          <w:szCs w:val="20"/>
        </w:rPr>
        <w:t>.</w:t>
      </w:r>
    </w:p>
    <w:p w14:paraId="05C2E718" w14:textId="77777777" w:rsidR="009232C1" w:rsidRPr="00E20D21" w:rsidRDefault="009232C1" w:rsidP="00A23072">
      <w:pPr>
        <w:autoSpaceDE w:val="0"/>
        <w:autoSpaceDN w:val="0"/>
        <w:adjustRightInd w:val="0"/>
        <w:spacing w:before="120" w:after="120"/>
        <w:jc w:val="both"/>
        <w:rPr>
          <w:rFonts w:ascii="CAIXA Std Book" w:hAnsi="CAIXA Std Book"/>
          <w:color w:val="005CA9"/>
          <w:sz w:val="20"/>
          <w:szCs w:val="20"/>
        </w:rPr>
      </w:pPr>
    </w:p>
    <w:tbl>
      <w:tblPr>
        <w:tblW w:w="5000" w:type="pct"/>
        <w:tblCellMar>
          <w:left w:w="70" w:type="dxa"/>
          <w:right w:w="70" w:type="dxa"/>
        </w:tblCellMar>
        <w:tblLook w:val="04A0" w:firstRow="1" w:lastRow="0" w:firstColumn="1" w:lastColumn="0" w:noHBand="0" w:noVBand="1"/>
      </w:tblPr>
      <w:tblGrid>
        <w:gridCol w:w="3717"/>
        <w:gridCol w:w="1551"/>
        <w:gridCol w:w="1550"/>
        <w:gridCol w:w="1550"/>
        <w:gridCol w:w="1550"/>
        <w:gridCol w:w="1550"/>
        <w:gridCol w:w="1550"/>
        <w:gridCol w:w="1553"/>
      </w:tblGrid>
      <w:tr w:rsidR="00825718" w:rsidRPr="00E20D21" w14:paraId="15D015CD" w14:textId="77777777" w:rsidTr="00825718">
        <w:trPr>
          <w:trHeight w:val="283"/>
        </w:trPr>
        <w:tc>
          <w:tcPr>
            <w:tcW w:w="5000" w:type="pct"/>
            <w:gridSpan w:val="8"/>
            <w:tcBorders>
              <w:top w:val="single" w:sz="4" w:space="0" w:color="F39200"/>
              <w:left w:val="nil"/>
              <w:bottom w:val="single" w:sz="4" w:space="0" w:color="F39200"/>
              <w:right w:val="nil"/>
            </w:tcBorders>
            <w:vAlign w:val="center"/>
          </w:tcPr>
          <w:p w14:paraId="05512A4A" w14:textId="77777777" w:rsidR="00825718" w:rsidRPr="00E20D21" w:rsidRDefault="00825718" w:rsidP="0082571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INDIVIDUAL / CONSOLIDADO</w:t>
            </w:r>
          </w:p>
        </w:tc>
      </w:tr>
      <w:tr w:rsidR="00825718" w:rsidRPr="00E20D21" w14:paraId="40D44A2C" w14:textId="77777777" w:rsidTr="00825718">
        <w:trPr>
          <w:trHeight w:val="283"/>
        </w:trPr>
        <w:tc>
          <w:tcPr>
            <w:tcW w:w="1275" w:type="pct"/>
            <w:vMerge w:val="restart"/>
            <w:tcBorders>
              <w:top w:val="nil"/>
              <w:left w:val="nil"/>
              <w:bottom w:val="single" w:sz="4" w:space="0" w:color="F39200"/>
              <w:right w:val="nil"/>
            </w:tcBorders>
            <w:shd w:val="clear" w:color="auto" w:fill="auto"/>
            <w:vAlign w:val="center"/>
            <w:hideMark/>
          </w:tcPr>
          <w:p w14:paraId="6AE126CC" w14:textId="77777777" w:rsidR="00825718" w:rsidRPr="00E20D21" w:rsidRDefault="00825718" w:rsidP="00A27B85">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Descrição</w:t>
            </w:r>
          </w:p>
        </w:tc>
        <w:tc>
          <w:tcPr>
            <w:tcW w:w="2660" w:type="pct"/>
            <w:gridSpan w:val="5"/>
            <w:tcBorders>
              <w:top w:val="nil"/>
              <w:left w:val="nil"/>
              <w:bottom w:val="nil"/>
              <w:right w:val="nil"/>
            </w:tcBorders>
            <w:vAlign w:val="center"/>
          </w:tcPr>
          <w:p w14:paraId="5A9A4B55" w14:textId="6948D151" w:rsidR="00825718" w:rsidRPr="00E20D21" w:rsidRDefault="00825718" w:rsidP="0082571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30/06/2024</w:t>
            </w:r>
          </w:p>
        </w:tc>
        <w:tc>
          <w:tcPr>
            <w:tcW w:w="1065" w:type="pct"/>
            <w:gridSpan w:val="2"/>
            <w:tcBorders>
              <w:top w:val="nil"/>
              <w:left w:val="nil"/>
              <w:bottom w:val="nil"/>
              <w:right w:val="nil"/>
            </w:tcBorders>
            <w:shd w:val="clear" w:color="auto" w:fill="auto"/>
            <w:vAlign w:val="center"/>
            <w:hideMark/>
          </w:tcPr>
          <w:p w14:paraId="6C48D305" w14:textId="192190A6" w:rsidR="00825718" w:rsidRPr="00E20D21" w:rsidRDefault="00825718" w:rsidP="0082571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31/12/2023</w:t>
            </w:r>
          </w:p>
        </w:tc>
      </w:tr>
      <w:tr w:rsidR="00A47C19" w:rsidRPr="00E20D21" w14:paraId="36F8F224" w14:textId="77777777" w:rsidTr="00825718">
        <w:trPr>
          <w:trHeight w:val="283"/>
        </w:trPr>
        <w:tc>
          <w:tcPr>
            <w:tcW w:w="1275" w:type="pct"/>
            <w:vMerge/>
            <w:tcBorders>
              <w:top w:val="nil"/>
              <w:left w:val="nil"/>
              <w:bottom w:val="single" w:sz="4" w:space="0" w:color="F39200"/>
              <w:right w:val="nil"/>
            </w:tcBorders>
            <w:vAlign w:val="center"/>
            <w:hideMark/>
          </w:tcPr>
          <w:p w14:paraId="2B2E4E6E" w14:textId="77777777" w:rsidR="00A27B85" w:rsidRPr="00E20D21" w:rsidRDefault="00A27B85" w:rsidP="00A27B85">
            <w:pPr>
              <w:rPr>
                <w:rFonts w:ascii="CAIXA Std Book" w:eastAsia="Times New Roman" w:hAnsi="CAIXA Std Book" w:cs="Calibri"/>
                <w:b/>
                <w:color w:val="005CA9"/>
                <w:sz w:val="18"/>
                <w:szCs w:val="18"/>
              </w:rPr>
            </w:pPr>
          </w:p>
        </w:tc>
        <w:tc>
          <w:tcPr>
            <w:tcW w:w="532" w:type="pct"/>
            <w:tcBorders>
              <w:top w:val="single" w:sz="4" w:space="0" w:color="F39200"/>
              <w:left w:val="nil"/>
              <w:bottom w:val="single" w:sz="4" w:space="0" w:color="F39200"/>
              <w:right w:val="nil"/>
            </w:tcBorders>
            <w:shd w:val="clear" w:color="auto" w:fill="auto"/>
            <w:vAlign w:val="center"/>
            <w:hideMark/>
          </w:tcPr>
          <w:p w14:paraId="2A83A0A3" w14:textId="15058D1B" w:rsidR="00A27B85" w:rsidRPr="00E20D21" w:rsidRDefault="008A2E0F" w:rsidP="00A27B85">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Sem vencimento</w:t>
            </w:r>
          </w:p>
        </w:tc>
        <w:tc>
          <w:tcPr>
            <w:tcW w:w="532" w:type="pct"/>
            <w:tcBorders>
              <w:top w:val="single" w:sz="4" w:space="0" w:color="F39200"/>
              <w:left w:val="nil"/>
              <w:bottom w:val="single" w:sz="4" w:space="0" w:color="F39200"/>
              <w:right w:val="nil"/>
            </w:tcBorders>
            <w:shd w:val="clear" w:color="auto" w:fill="auto"/>
            <w:vAlign w:val="center"/>
            <w:hideMark/>
          </w:tcPr>
          <w:p w14:paraId="16B65C6B" w14:textId="1A0A23C7" w:rsidR="00A27B85" w:rsidRPr="00E20D21" w:rsidRDefault="008A2E0F" w:rsidP="00A27B85">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181 a</w:t>
            </w:r>
            <w:r w:rsidR="00A27B85" w:rsidRPr="00E20D21">
              <w:rPr>
                <w:rFonts w:ascii="CAIXA Std Book" w:eastAsia="Times New Roman" w:hAnsi="CAIXA Std Book" w:cs="Calibri"/>
                <w:b/>
                <w:color w:val="005CA9"/>
                <w:sz w:val="18"/>
                <w:szCs w:val="18"/>
              </w:rPr>
              <w:t xml:space="preserve"> 360 dias</w:t>
            </w:r>
          </w:p>
        </w:tc>
        <w:tc>
          <w:tcPr>
            <w:tcW w:w="532" w:type="pct"/>
            <w:tcBorders>
              <w:top w:val="single" w:sz="4" w:space="0" w:color="F39200"/>
              <w:left w:val="nil"/>
              <w:bottom w:val="single" w:sz="4" w:space="0" w:color="F39200"/>
              <w:right w:val="nil"/>
            </w:tcBorders>
          </w:tcPr>
          <w:p w14:paraId="42B74BC0" w14:textId="0F9052C6" w:rsidR="008A2E0F" w:rsidRPr="00E20D21" w:rsidRDefault="008A2E0F" w:rsidP="00A27B85">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Acima de 360 dias</w:t>
            </w:r>
          </w:p>
        </w:tc>
        <w:tc>
          <w:tcPr>
            <w:tcW w:w="532" w:type="pct"/>
            <w:tcBorders>
              <w:top w:val="single" w:sz="4" w:space="0" w:color="F39200"/>
              <w:left w:val="nil"/>
              <w:bottom w:val="single" w:sz="4" w:space="0" w:color="F39200"/>
              <w:right w:val="nil"/>
            </w:tcBorders>
            <w:shd w:val="clear" w:color="auto" w:fill="auto"/>
            <w:vAlign w:val="center"/>
            <w:hideMark/>
          </w:tcPr>
          <w:p w14:paraId="6D04281F" w14:textId="77777777" w:rsidR="00A27B85" w:rsidRPr="00E20D21" w:rsidRDefault="00A27B85" w:rsidP="00A27B85">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xml:space="preserve">Custo </w:t>
            </w:r>
          </w:p>
        </w:tc>
        <w:tc>
          <w:tcPr>
            <w:tcW w:w="532" w:type="pct"/>
            <w:tcBorders>
              <w:top w:val="single" w:sz="4" w:space="0" w:color="F39200"/>
              <w:left w:val="nil"/>
              <w:bottom w:val="single" w:sz="4" w:space="0" w:color="F39200"/>
              <w:right w:val="nil"/>
            </w:tcBorders>
            <w:shd w:val="clear" w:color="auto" w:fill="auto"/>
            <w:vAlign w:val="center"/>
            <w:hideMark/>
          </w:tcPr>
          <w:p w14:paraId="53841064" w14:textId="77777777" w:rsidR="00A27B85" w:rsidRPr="00E20D21" w:rsidRDefault="00A27B85" w:rsidP="00A27B85">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Valor de mercado</w:t>
            </w:r>
          </w:p>
        </w:tc>
        <w:tc>
          <w:tcPr>
            <w:tcW w:w="532" w:type="pct"/>
            <w:tcBorders>
              <w:top w:val="single" w:sz="4" w:space="0" w:color="F39200"/>
              <w:left w:val="nil"/>
              <w:bottom w:val="single" w:sz="4" w:space="0" w:color="F39200"/>
              <w:right w:val="nil"/>
            </w:tcBorders>
            <w:shd w:val="clear" w:color="auto" w:fill="auto"/>
            <w:vAlign w:val="center"/>
            <w:hideMark/>
          </w:tcPr>
          <w:p w14:paraId="0C75B229" w14:textId="77777777" w:rsidR="00A27B85" w:rsidRPr="00E20D21" w:rsidRDefault="00A27B85" w:rsidP="00A27B85">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xml:space="preserve">Custo </w:t>
            </w:r>
          </w:p>
        </w:tc>
        <w:tc>
          <w:tcPr>
            <w:tcW w:w="533" w:type="pct"/>
            <w:tcBorders>
              <w:top w:val="single" w:sz="4" w:space="0" w:color="F39200"/>
              <w:left w:val="nil"/>
              <w:bottom w:val="single" w:sz="4" w:space="0" w:color="F39200"/>
              <w:right w:val="nil"/>
            </w:tcBorders>
            <w:shd w:val="clear" w:color="auto" w:fill="auto"/>
            <w:vAlign w:val="center"/>
            <w:hideMark/>
          </w:tcPr>
          <w:p w14:paraId="1A407C9A" w14:textId="77777777" w:rsidR="00A27B85" w:rsidRPr="00E20D21" w:rsidRDefault="00A27B85" w:rsidP="00A27B85">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Valor de mercado</w:t>
            </w:r>
          </w:p>
        </w:tc>
      </w:tr>
      <w:tr w:rsidR="00D83353" w:rsidRPr="00E20D21" w14:paraId="0C3EE476" w14:textId="77777777" w:rsidTr="00D83353">
        <w:trPr>
          <w:trHeight w:val="283"/>
        </w:trPr>
        <w:tc>
          <w:tcPr>
            <w:tcW w:w="1275" w:type="pct"/>
            <w:tcBorders>
              <w:top w:val="nil"/>
              <w:left w:val="nil"/>
              <w:bottom w:val="nil"/>
              <w:right w:val="nil"/>
            </w:tcBorders>
            <w:shd w:val="clear" w:color="auto" w:fill="auto"/>
            <w:vAlign w:val="center"/>
            <w:hideMark/>
          </w:tcPr>
          <w:p w14:paraId="076E32E3" w14:textId="77777777" w:rsidR="00D83353" w:rsidRPr="00E20D21" w:rsidRDefault="00D83353" w:rsidP="00D83353">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Títulos públicos</w:t>
            </w:r>
          </w:p>
        </w:tc>
        <w:tc>
          <w:tcPr>
            <w:tcW w:w="532" w:type="pct"/>
            <w:tcBorders>
              <w:top w:val="nil"/>
              <w:left w:val="nil"/>
              <w:bottom w:val="nil"/>
              <w:right w:val="nil"/>
            </w:tcBorders>
            <w:shd w:val="clear" w:color="auto" w:fill="auto"/>
            <w:noWrap/>
            <w:vAlign w:val="center"/>
          </w:tcPr>
          <w:p w14:paraId="29A2DFD8" w14:textId="0048F126" w:rsidR="00D83353" w:rsidRPr="00E20D21" w:rsidRDefault="00D83353" w:rsidP="00D83353">
            <w:pPr>
              <w:jc w:val="center"/>
              <w:rPr>
                <w:rFonts w:ascii="CAIXA Std Book" w:eastAsia="Times New Roman" w:hAnsi="CAIXA Std Book" w:cs="Calibri"/>
                <w:b/>
                <w:color w:val="005CA9"/>
                <w:sz w:val="18"/>
                <w:szCs w:val="18"/>
              </w:rPr>
            </w:pPr>
            <w:r w:rsidRPr="00E20D21">
              <w:rPr>
                <w:rFonts w:ascii="CAIXA Std Book" w:hAnsi="CAIXA Std Book" w:cs="Arial"/>
                <w:b/>
                <w:bCs/>
                <w:color w:val="005CA9"/>
                <w:sz w:val="18"/>
                <w:szCs w:val="18"/>
              </w:rPr>
              <w:t>-</w:t>
            </w:r>
          </w:p>
        </w:tc>
        <w:tc>
          <w:tcPr>
            <w:tcW w:w="532" w:type="pct"/>
            <w:tcBorders>
              <w:top w:val="nil"/>
              <w:left w:val="nil"/>
              <w:bottom w:val="nil"/>
              <w:right w:val="nil"/>
            </w:tcBorders>
            <w:shd w:val="clear" w:color="auto" w:fill="auto"/>
            <w:noWrap/>
            <w:vAlign w:val="center"/>
          </w:tcPr>
          <w:p w14:paraId="68722FD7" w14:textId="72E537A1" w:rsidR="00D83353" w:rsidRPr="00E20D21" w:rsidRDefault="00D83353" w:rsidP="00D83353">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1.530.563</w:t>
            </w:r>
          </w:p>
        </w:tc>
        <w:tc>
          <w:tcPr>
            <w:tcW w:w="532" w:type="pct"/>
            <w:tcBorders>
              <w:top w:val="nil"/>
              <w:left w:val="nil"/>
              <w:bottom w:val="nil"/>
              <w:right w:val="nil"/>
            </w:tcBorders>
            <w:vAlign w:val="center"/>
          </w:tcPr>
          <w:p w14:paraId="51DA30F4" w14:textId="5E9823F7" w:rsidR="00D83353" w:rsidRPr="00E20D21" w:rsidRDefault="00D83353" w:rsidP="00C82179">
            <w:pPr>
              <w:jc w:val="center"/>
              <w:rPr>
                <w:rFonts w:ascii="CAIXA Std Book" w:hAnsi="CAIXA Std Book" w:cs="Arial"/>
                <w:b/>
                <w:bCs/>
                <w:color w:val="005CA9"/>
                <w:sz w:val="18"/>
                <w:szCs w:val="18"/>
              </w:rPr>
            </w:pPr>
            <w:r w:rsidRPr="00E20D21">
              <w:rPr>
                <w:rFonts w:ascii="CAIXA Std Book" w:hAnsi="CAIXA Std Book" w:cs="Arial"/>
                <w:b/>
                <w:bCs/>
                <w:color w:val="005CA9"/>
                <w:sz w:val="18"/>
                <w:szCs w:val="18"/>
              </w:rPr>
              <w:t>-</w:t>
            </w:r>
          </w:p>
        </w:tc>
        <w:tc>
          <w:tcPr>
            <w:tcW w:w="532" w:type="pct"/>
            <w:tcBorders>
              <w:top w:val="nil"/>
              <w:left w:val="nil"/>
              <w:bottom w:val="nil"/>
              <w:right w:val="nil"/>
            </w:tcBorders>
            <w:shd w:val="clear" w:color="auto" w:fill="auto"/>
            <w:noWrap/>
            <w:vAlign w:val="center"/>
          </w:tcPr>
          <w:p w14:paraId="7FA24B28" w14:textId="4E5B7D42" w:rsidR="00D83353" w:rsidRPr="00E20D21" w:rsidRDefault="00D83353" w:rsidP="00D83353">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1.530.563</w:t>
            </w:r>
          </w:p>
        </w:tc>
        <w:tc>
          <w:tcPr>
            <w:tcW w:w="532" w:type="pct"/>
            <w:tcBorders>
              <w:top w:val="nil"/>
              <w:left w:val="nil"/>
              <w:bottom w:val="nil"/>
              <w:right w:val="nil"/>
            </w:tcBorders>
            <w:shd w:val="clear" w:color="auto" w:fill="auto"/>
            <w:noWrap/>
            <w:vAlign w:val="center"/>
          </w:tcPr>
          <w:p w14:paraId="102A27A2" w14:textId="28A61A10" w:rsidR="00D83353" w:rsidRPr="00E20D21" w:rsidRDefault="00D83353" w:rsidP="00D83353">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1.534.916</w:t>
            </w:r>
          </w:p>
        </w:tc>
        <w:tc>
          <w:tcPr>
            <w:tcW w:w="532" w:type="pct"/>
            <w:tcBorders>
              <w:top w:val="nil"/>
              <w:left w:val="nil"/>
              <w:bottom w:val="nil"/>
              <w:right w:val="nil"/>
            </w:tcBorders>
            <w:shd w:val="clear" w:color="auto" w:fill="auto"/>
            <w:noWrap/>
            <w:vAlign w:val="center"/>
            <w:hideMark/>
          </w:tcPr>
          <w:p w14:paraId="3C3F2D1F" w14:textId="0880515D" w:rsidR="00D83353" w:rsidRPr="00E20D21" w:rsidRDefault="00D83353" w:rsidP="00D83353">
            <w:pPr>
              <w:jc w:val="right"/>
              <w:rPr>
                <w:rFonts w:ascii="CAIXA Std Book" w:eastAsia="Times New Roman" w:hAnsi="CAIXA Std Book" w:cs="Calibri"/>
                <w:b/>
                <w:color w:val="005CA9"/>
                <w:sz w:val="18"/>
                <w:szCs w:val="18"/>
              </w:rPr>
            </w:pPr>
            <w:r w:rsidRPr="00E20D21">
              <w:rPr>
                <w:rFonts w:ascii="CAIXA Std Book" w:eastAsia="Times New Roman" w:hAnsi="CAIXA Std Book" w:cs="Arial"/>
                <w:b/>
                <w:color w:val="005CA9"/>
                <w:sz w:val="18"/>
                <w:szCs w:val="18"/>
              </w:rPr>
              <w:t>1.520.045</w:t>
            </w:r>
          </w:p>
        </w:tc>
        <w:tc>
          <w:tcPr>
            <w:tcW w:w="533" w:type="pct"/>
            <w:tcBorders>
              <w:top w:val="nil"/>
              <w:left w:val="nil"/>
              <w:bottom w:val="nil"/>
              <w:right w:val="nil"/>
            </w:tcBorders>
            <w:shd w:val="clear" w:color="auto" w:fill="auto"/>
            <w:noWrap/>
            <w:vAlign w:val="center"/>
            <w:hideMark/>
          </w:tcPr>
          <w:p w14:paraId="5EB2CBBC" w14:textId="3E889743" w:rsidR="00D83353" w:rsidRPr="00E20D21" w:rsidRDefault="00D83353" w:rsidP="00D83353">
            <w:pPr>
              <w:jc w:val="right"/>
              <w:rPr>
                <w:rFonts w:ascii="CAIXA Std Book" w:eastAsia="Times New Roman" w:hAnsi="CAIXA Std Book" w:cs="Calibri"/>
                <w:b/>
                <w:color w:val="005CA9"/>
                <w:sz w:val="18"/>
                <w:szCs w:val="18"/>
              </w:rPr>
            </w:pPr>
            <w:r w:rsidRPr="00E20D21">
              <w:rPr>
                <w:rFonts w:ascii="CAIXA Std Book" w:eastAsia="Times New Roman" w:hAnsi="CAIXA Std Book" w:cs="Arial"/>
                <w:b/>
                <w:color w:val="005CA9"/>
                <w:sz w:val="18"/>
                <w:szCs w:val="18"/>
              </w:rPr>
              <w:t>1.542.391</w:t>
            </w:r>
          </w:p>
        </w:tc>
      </w:tr>
      <w:tr w:rsidR="00D83353" w:rsidRPr="00E20D21" w14:paraId="25B47EEE" w14:textId="77777777" w:rsidTr="00D83353">
        <w:trPr>
          <w:trHeight w:val="283"/>
        </w:trPr>
        <w:tc>
          <w:tcPr>
            <w:tcW w:w="1275" w:type="pct"/>
            <w:tcBorders>
              <w:top w:val="nil"/>
              <w:left w:val="nil"/>
              <w:bottom w:val="nil"/>
              <w:right w:val="nil"/>
            </w:tcBorders>
            <w:shd w:val="clear" w:color="auto" w:fill="auto"/>
            <w:vAlign w:val="center"/>
            <w:hideMark/>
          </w:tcPr>
          <w:p w14:paraId="63CF2B54" w14:textId="77777777" w:rsidR="00D83353" w:rsidRPr="00E20D21" w:rsidRDefault="00D83353" w:rsidP="00D83353">
            <w:pPr>
              <w:ind w:firstLineChars="100" w:firstLine="18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Notas do tesouro nacional</w:t>
            </w:r>
          </w:p>
        </w:tc>
        <w:tc>
          <w:tcPr>
            <w:tcW w:w="532" w:type="pct"/>
            <w:tcBorders>
              <w:top w:val="nil"/>
              <w:left w:val="nil"/>
              <w:bottom w:val="nil"/>
              <w:right w:val="nil"/>
            </w:tcBorders>
            <w:shd w:val="clear" w:color="auto" w:fill="auto"/>
            <w:vAlign w:val="center"/>
          </w:tcPr>
          <w:p w14:paraId="1DBE12A7" w14:textId="0957F0EF" w:rsidR="00D83353" w:rsidRPr="00E20D21" w:rsidRDefault="00D83353" w:rsidP="00D83353">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w:t>
            </w:r>
          </w:p>
        </w:tc>
        <w:tc>
          <w:tcPr>
            <w:tcW w:w="532" w:type="pct"/>
            <w:tcBorders>
              <w:top w:val="nil"/>
              <w:left w:val="nil"/>
              <w:bottom w:val="nil"/>
              <w:right w:val="nil"/>
            </w:tcBorders>
            <w:shd w:val="clear" w:color="auto" w:fill="auto"/>
            <w:noWrap/>
            <w:vAlign w:val="center"/>
          </w:tcPr>
          <w:p w14:paraId="1FDE620B" w14:textId="229FA937" w:rsidR="00D83353" w:rsidRPr="00E20D21" w:rsidRDefault="00D83353" w:rsidP="00D83353">
            <w:pPr>
              <w:ind w:firstLineChars="100" w:firstLine="18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1.530.563</w:t>
            </w:r>
          </w:p>
        </w:tc>
        <w:tc>
          <w:tcPr>
            <w:tcW w:w="532" w:type="pct"/>
            <w:tcBorders>
              <w:top w:val="nil"/>
              <w:left w:val="nil"/>
              <w:bottom w:val="nil"/>
              <w:right w:val="nil"/>
            </w:tcBorders>
            <w:vAlign w:val="center"/>
          </w:tcPr>
          <w:p w14:paraId="0C7DCE7B" w14:textId="1AC24F66" w:rsidR="00D83353" w:rsidRPr="00E20D21" w:rsidRDefault="00D83353" w:rsidP="00C82179">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532" w:type="pct"/>
            <w:tcBorders>
              <w:top w:val="nil"/>
              <w:left w:val="nil"/>
              <w:bottom w:val="nil"/>
              <w:right w:val="nil"/>
            </w:tcBorders>
            <w:shd w:val="clear" w:color="auto" w:fill="auto"/>
            <w:noWrap/>
            <w:vAlign w:val="center"/>
          </w:tcPr>
          <w:p w14:paraId="3163FD83" w14:textId="1F77DC33" w:rsidR="00D83353" w:rsidRPr="00E20D21" w:rsidRDefault="00D83353" w:rsidP="00D83353">
            <w:pPr>
              <w:jc w:val="right"/>
              <w:rPr>
                <w:rFonts w:ascii="CAIXA Std Book" w:hAnsi="CAIXA Std Book" w:cs="Arial"/>
                <w:color w:val="005CA9"/>
                <w:sz w:val="18"/>
                <w:szCs w:val="18"/>
              </w:rPr>
            </w:pPr>
            <w:r w:rsidRPr="00E20D21">
              <w:rPr>
                <w:rFonts w:ascii="CAIXA Std Book" w:hAnsi="CAIXA Std Book" w:cs="Arial"/>
                <w:color w:val="005CA9"/>
                <w:sz w:val="18"/>
                <w:szCs w:val="18"/>
              </w:rPr>
              <w:t>1.530.563</w:t>
            </w:r>
          </w:p>
        </w:tc>
        <w:tc>
          <w:tcPr>
            <w:tcW w:w="532" w:type="pct"/>
            <w:tcBorders>
              <w:top w:val="nil"/>
              <w:left w:val="nil"/>
              <w:bottom w:val="nil"/>
              <w:right w:val="nil"/>
            </w:tcBorders>
            <w:shd w:val="clear" w:color="auto" w:fill="auto"/>
            <w:noWrap/>
            <w:vAlign w:val="center"/>
          </w:tcPr>
          <w:p w14:paraId="6401694C" w14:textId="50334791" w:rsidR="00D83353" w:rsidRPr="00E20D21" w:rsidRDefault="00D83353" w:rsidP="00D83353">
            <w:pPr>
              <w:jc w:val="right"/>
              <w:rPr>
                <w:rFonts w:ascii="CAIXA Std Book" w:hAnsi="CAIXA Std Book" w:cs="Arial"/>
                <w:color w:val="005CA9"/>
                <w:sz w:val="18"/>
                <w:szCs w:val="18"/>
              </w:rPr>
            </w:pPr>
            <w:r w:rsidRPr="00E20D21">
              <w:rPr>
                <w:rFonts w:ascii="CAIXA Std Book" w:hAnsi="CAIXA Std Book" w:cs="Arial"/>
                <w:color w:val="005CA9"/>
                <w:sz w:val="18"/>
                <w:szCs w:val="18"/>
              </w:rPr>
              <w:t>1.534.916</w:t>
            </w:r>
          </w:p>
        </w:tc>
        <w:tc>
          <w:tcPr>
            <w:tcW w:w="532" w:type="pct"/>
            <w:tcBorders>
              <w:top w:val="nil"/>
              <w:left w:val="nil"/>
              <w:bottom w:val="nil"/>
              <w:right w:val="nil"/>
            </w:tcBorders>
            <w:shd w:val="clear" w:color="auto" w:fill="auto"/>
            <w:noWrap/>
            <w:vAlign w:val="center"/>
            <w:hideMark/>
          </w:tcPr>
          <w:p w14:paraId="2531793B" w14:textId="73E1A344" w:rsidR="00D83353" w:rsidRPr="00E20D21" w:rsidRDefault="00D83353" w:rsidP="00D83353">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1.520.045</w:t>
            </w:r>
          </w:p>
        </w:tc>
        <w:tc>
          <w:tcPr>
            <w:tcW w:w="533" w:type="pct"/>
            <w:tcBorders>
              <w:top w:val="nil"/>
              <w:left w:val="nil"/>
              <w:bottom w:val="nil"/>
              <w:right w:val="nil"/>
            </w:tcBorders>
            <w:shd w:val="clear" w:color="auto" w:fill="auto"/>
            <w:noWrap/>
            <w:vAlign w:val="center"/>
            <w:hideMark/>
          </w:tcPr>
          <w:p w14:paraId="76048022" w14:textId="100B7A2D" w:rsidR="00D83353" w:rsidRPr="00E20D21" w:rsidRDefault="00D83353" w:rsidP="00D83353">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1.542.391</w:t>
            </w:r>
          </w:p>
        </w:tc>
      </w:tr>
      <w:tr w:rsidR="00BC1B8E" w:rsidRPr="00E20D21" w14:paraId="7FA933CB" w14:textId="77777777" w:rsidTr="00BC1B8E">
        <w:trPr>
          <w:trHeight w:val="283"/>
        </w:trPr>
        <w:tc>
          <w:tcPr>
            <w:tcW w:w="1275" w:type="pct"/>
            <w:tcBorders>
              <w:top w:val="nil"/>
              <w:left w:val="nil"/>
              <w:bottom w:val="nil"/>
              <w:right w:val="nil"/>
            </w:tcBorders>
            <w:shd w:val="clear" w:color="auto" w:fill="auto"/>
            <w:vAlign w:val="center"/>
            <w:hideMark/>
          </w:tcPr>
          <w:p w14:paraId="18763D91" w14:textId="77777777" w:rsidR="00BC1B8E" w:rsidRPr="00E20D21" w:rsidRDefault="00BC1B8E" w:rsidP="00BC1B8E">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Títulos – empresas</w:t>
            </w:r>
          </w:p>
        </w:tc>
        <w:tc>
          <w:tcPr>
            <w:tcW w:w="532" w:type="pct"/>
            <w:tcBorders>
              <w:top w:val="nil"/>
              <w:left w:val="nil"/>
              <w:bottom w:val="nil"/>
              <w:right w:val="nil"/>
            </w:tcBorders>
            <w:shd w:val="clear" w:color="auto" w:fill="auto"/>
            <w:noWrap/>
            <w:vAlign w:val="center"/>
          </w:tcPr>
          <w:p w14:paraId="0B2493A2" w14:textId="518F7F83" w:rsidR="00BC1B8E" w:rsidRPr="00E20D21" w:rsidRDefault="00BC1B8E" w:rsidP="00BC1B8E">
            <w:pPr>
              <w:jc w:val="center"/>
              <w:rPr>
                <w:rFonts w:ascii="CAIXA Std Book" w:eastAsia="Times New Roman" w:hAnsi="CAIXA Std Book" w:cs="Calibri"/>
                <w:b/>
                <w:color w:val="005CA9"/>
                <w:sz w:val="18"/>
                <w:szCs w:val="18"/>
              </w:rPr>
            </w:pPr>
            <w:r w:rsidRPr="00E20D21">
              <w:rPr>
                <w:rFonts w:ascii="CAIXA Std Book" w:hAnsi="CAIXA Std Book" w:cs="Arial"/>
                <w:color w:val="005CA9"/>
                <w:sz w:val="18"/>
                <w:szCs w:val="18"/>
              </w:rPr>
              <w:t>-</w:t>
            </w:r>
          </w:p>
        </w:tc>
        <w:tc>
          <w:tcPr>
            <w:tcW w:w="532" w:type="pct"/>
            <w:tcBorders>
              <w:top w:val="nil"/>
              <w:left w:val="nil"/>
              <w:bottom w:val="nil"/>
              <w:right w:val="nil"/>
            </w:tcBorders>
            <w:shd w:val="clear" w:color="auto" w:fill="auto"/>
            <w:noWrap/>
            <w:vAlign w:val="center"/>
          </w:tcPr>
          <w:p w14:paraId="15406AEC" w14:textId="093556F6" w:rsidR="00BC1B8E" w:rsidRPr="00E20D21" w:rsidRDefault="00BC1B8E" w:rsidP="00BC1B8E">
            <w:pPr>
              <w:jc w:val="center"/>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w:t>
            </w:r>
          </w:p>
        </w:tc>
        <w:tc>
          <w:tcPr>
            <w:tcW w:w="532" w:type="pct"/>
            <w:tcBorders>
              <w:top w:val="nil"/>
              <w:left w:val="nil"/>
              <w:bottom w:val="nil"/>
              <w:right w:val="nil"/>
            </w:tcBorders>
            <w:vAlign w:val="center"/>
          </w:tcPr>
          <w:p w14:paraId="7FE667B2" w14:textId="4CA5F27F" w:rsidR="00BC1B8E" w:rsidRPr="00E20D21" w:rsidRDefault="00BC1B8E" w:rsidP="00BC1B8E">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3.463.491</w:t>
            </w:r>
          </w:p>
        </w:tc>
        <w:tc>
          <w:tcPr>
            <w:tcW w:w="532" w:type="pct"/>
            <w:tcBorders>
              <w:top w:val="nil"/>
              <w:left w:val="nil"/>
              <w:bottom w:val="nil"/>
              <w:right w:val="nil"/>
            </w:tcBorders>
            <w:shd w:val="clear" w:color="auto" w:fill="auto"/>
            <w:noWrap/>
            <w:vAlign w:val="center"/>
          </w:tcPr>
          <w:p w14:paraId="635294A2" w14:textId="51D91D31" w:rsidR="00BC1B8E" w:rsidRPr="00E20D21" w:rsidRDefault="00BC1B8E" w:rsidP="00BC1B8E">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3.463.491</w:t>
            </w:r>
          </w:p>
        </w:tc>
        <w:tc>
          <w:tcPr>
            <w:tcW w:w="532" w:type="pct"/>
            <w:tcBorders>
              <w:top w:val="nil"/>
              <w:left w:val="nil"/>
              <w:bottom w:val="nil"/>
              <w:right w:val="nil"/>
            </w:tcBorders>
            <w:shd w:val="clear" w:color="auto" w:fill="auto"/>
            <w:noWrap/>
            <w:vAlign w:val="center"/>
          </w:tcPr>
          <w:p w14:paraId="721CEDD4" w14:textId="21BEC458" w:rsidR="00BC1B8E" w:rsidRPr="00E20D21" w:rsidRDefault="00BC1B8E" w:rsidP="00BC1B8E">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2.821.028</w:t>
            </w:r>
          </w:p>
        </w:tc>
        <w:tc>
          <w:tcPr>
            <w:tcW w:w="532" w:type="pct"/>
            <w:tcBorders>
              <w:top w:val="nil"/>
              <w:left w:val="nil"/>
              <w:bottom w:val="nil"/>
              <w:right w:val="nil"/>
            </w:tcBorders>
            <w:shd w:val="clear" w:color="auto" w:fill="auto"/>
            <w:noWrap/>
            <w:vAlign w:val="center"/>
            <w:hideMark/>
          </w:tcPr>
          <w:p w14:paraId="5ADCDC32" w14:textId="6BB86B97" w:rsidR="00BC1B8E" w:rsidRPr="00E20D21" w:rsidRDefault="00BC1B8E" w:rsidP="00BC1B8E">
            <w:pPr>
              <w:jc w:val="right"/>
              <w:rPr>
                <w:rFonts w:ascii="CAIXA Std Book" w:eastAsia="Times New Roman" w:hAnsi="CAIXA Std Book" w:cs="Calibri"/>
                <w:b/>
                <w:color w:val="005CA9"/>
                <w:sz w:val="18"/>
                <w:szCs w:val="18"/>
              </w:rPr>
            </w:pPr>
            <w:r w:rsidRPr="00E20D21">
              <w:rPr>
                <w:rFonts w:ascii="CAIXA Std Book" w:hAnsi="CAIXA Std Book" w:cs="Arial"/>
                <w:b/>
                <w:color w:val="005CA9"/>
                <w:sz w:val="18"/>
                <w:szCs w:val="18"/>
              </w:rPr>
              <w:t>3.404.601</w:t>
            </w:r>
          </w:p>
        </w:tc>
        <w:tc>
          <w:tcPr>
            <w:tcW w:w="533" w:type="pct"/>
            <w:tcBorders>
              <w:top w:val="nil"/>
              <w:left w:val="nil"/>
              <w:bottom w:val="nil"/>
              <w:right w:val="nil"/>
            </w:tcBorders>
            <w:shd w:val="clear" w:color="auto" w:fill="auto"/>
            <w:noWrap/>
            <w:vAlign w:val="center"/>
            <w:hideMark/>
          </w:tcPr>
          <w:p w14:paraId="65F83F81" w14:textId="4E029008" w:rsidR="00BC1B8E" w:rsidRPr="00E20D21" w:rsidRDefault="00BC1B8E" w:rsidP="00BC1B8E">
            <w:pPr>
              <w:jc w:val="right"/>
              <w:rPr>
                <w:rFonts w:ascii="CAIXA Std Book" w:eastAsia="Times New Roman" w:hAnsi="CAIXA Std Book" w:cs="Calibri"/>
                <w:b/>
                <w:color w:val="005CA9"/>
                <w:sz w:val="18"/>
                <w:szCs w:val="18"/>
              </w:rPr>
            </w:pPr>
            <w:r w:rsidRPr="00E20D21">
              <w:rPr>
                <w:rFonts w:ascii="CAIXA Std Book" w:hAnsi="CAIXA Std Book" w:cs="Arial"/>
                <w:b/>
                <w:color w:val="005CA9"/>
                <w:sz w:val="18"/>
                <w:szCs w:val="18"/>
              </w:rPr>
              <w:t>2.996.058</w:t>
            </w:r>
          </w:p>
        </w:tc>
      </w:tr>
      <w:tr w:rsidR="00BC1B8E" w:rsidRPr="00E20D21" w14:paraId="1A13F4CC" w14:textId="77777777" w:rsidTr="00BC1B8E">
        <w:trPr>
          <w:trHeight w:val="283"/>
        </w:trPr>
        <w:tc>
          <w:tcPr>
            <w:tcW w:w="1275" w:type="pct"/>
            <w:tcBorders>
              <w:top w:val="nil"/>
              <w:left w:val="nil"/>
              <w:bottom w:val="nil"/>
              <w:right w:val="nil"/>
            </w:tcBorders>
            <w:shd w:val="clear" w:color="auto" w:fill="auto"/>
            <w:vAlign w:val="center"/>
            <w:hideMark/>
          </w:tcPr>
          <w:p w14:paraId="1934DD39" w14:textId="77777777" w:rsidR="00BC1B8E" w:rsidRPr="00E20D21" w:rsidRDefault="00BC1B8E" w:rsidP="00BC1B8E">
            <w:pPr>
              <w:ind w:firstLineChars="100" w:firstLine="18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Debêntures</w:t>
            </w:r>
          </w:p>
        </w:tc>
        <w:tc>
          <w:tcPr>
            <w:tcW w:w="532" w:type="pct"/>
            <w:tcBorders>
              <w:top w:val="nil"/>
              <w:left w:val="nil"/>
              <w:bottom w:val="nil"/>
              <w:right w:val="nil"/>
            </w:tcBorders>
            <w:shd w:val="clear" w:color="auto" w:fill="auto"/>
            <w:vAlign w:val="center"/>
          </w:tcPr>
          <w:p w14:paraId="1C178B88" w14:textId="031B3954" w:rsidR="00BC1B8E" w:rsidRPr="00E20D21" w:rsidRDefault="00BC1B8E" w:rsidP="00BC1B8E">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w:t>
            </w:r>
          </w:p>
        </w:tc>
        <w:tc>
          <w:tcPr>
            <w:tcW w:w="532" w:type="pct"/>
            <w:tcBorders>
              <w:top w:val="nil"/>
              <w:left w:val="nil"/>
              <w:bottom w:val="nil"/>
              <w:right w:val="nil"/>
            </w:tcBorders>
            <w:shd w:val="clear" w:color="auto" w:fill="auto"/>
            <w:noWrap/>
            <w:vAlign w:val="center"/>
          </w:tcPr>
          <w:p w14:paraId="4E50A03F" w14:textId="5E55D463" w:rsidR="00BC1B8E" w:rsidRPr="00E20D21" w:rsidRDefault="00BC1B8E" w:rsidP="00BC1B8E">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532" w:type="pct"/>
            <w:tcBorders>
              <w:top w:val="nil"/>
              <w:left w:val="nil"/>
              <w:bottom w:val="nil"/>
              <w:right w:val="nil"/>
            </w:tcBorders>
            <w:vAlign w:val="center"/>
          </w:tcPr>
          <w:p w14:paraId="3DEEC078" w14:textId="03BBB542" w:rsidR="00BC1B8E" w:rsidRPr="00E20D21" w:rsidRDefault="00BC1B8E" w:rsidP="00BC1B8E">
            <w:pPr>
              <w:jc w:val="right"/>
              <w:rPr>
                <w:rFonts w:ascii="CAIXA Std Book" w:hAnsi="CAIXA Std Book" w:cs="Arial"/>
                <w:color w:val="005CA9"/>
                <w:sz w:val="18"/>
                <w:szCs w:val="18"/>
              </w:rPr>
            </w:pPr>
            <w:r w:rsidRPr="00E20D21">
              <w:rPr>
                <w:rFonts w:ascii="CAIXA Std Book" w:hAnsi="CAIXA Std Book" w:cs="Arial"/>
                <w:color w:val="005CA9"/>
                <w:sz w:val="18"/>
                <w:szCs w:val="18"/>
              </w:rPr>
              <w:t>1.274.511</w:t>
            </w:r>
          </w:p>
        </w:tc>
        <w:tc>
          <w:tcPr>
            <w:tcW w:w="532" w:type="pct"/>
            <w:tcBorders>
              <w:top w:val="nil"/>
              <w:left w:val="nil"/>
              <w:bottom w:val="nil"/>
              <w:right w:val="nil"/>
            </w:tcBorders>
            <w:shd w:val="clear" w:color="auto" w:fill="auto"/>
            <w:noWrap/>
            <w:vAlign w:val="center"/>
          </w:tcPr>
          <w:p w14:paraId="06206170" w14:textId="6395B0CC" w:rsidR="00BC1B8E" w:rsidRPr="00E20D21" w:rsidRDefault="00BC1B8E" w:rsidP="00BC1B8E">
            <w:pPr>
              <w:jc w:val="right"/>
              <w:rPr>
                <w:rFonts w:ascii="CAIXA Std Book" w:hAnsi="CAIXA Std Book" w:cs="Arial"/>
                <w:color w:val="005CA9"/>
                <w:sz w:val="18"/>
                <w:szCs w:val="18"/>
              </w:rPr>
            </w:pPr>
            <w:r w:rsidRPr="00E20D21">
              <w:rPr>
                <w:rFonts w:ascii="CAIXA Std Book" w:hAnsi="CAIXA Std Book" w:cs="Arial"/>
                <w:color w:val="005CA9"/>
                <w:sz w:val="18"/>
                <w:szCs w:val="18"/>
              </w:rPr>
              <w:t>1.274.511</w:t>
            </w:r>
          </w:p>
        </w:tc>
        <w:tc>
          <w:tcPr>
            <w:tcW w:w="532" w:type="pct"/>
            <w:tcBorders>
              <w:top w:val="nil"/>
              <w:left w:val="nil"/>
              <w:bottom w:val="nil"/>
              <w:right w:val="nil"/>
            </w:tcBorders>
            <w:shd w:val="clear" w:color="auto" w:fill="auto"/>
            <w:noWrap/>
            <w:vAlign w:val="center"/>
          </w:tcPr>
          <w:p w14:paraId="2346C348" w14:textId="739A598B" w:rsidR="00BC1B8E" w:rsidRPr="00E20D21" w:rsidRDefault="00BC1B8E" w:rsidP="00BC1B8E">
            <w:pPr>
              <w:jc w:val="right"/>
              <w:rPr>
                <w:rFonts w:ascii="CAIXA Std Book" w:hAnsi="CAIXA Std Book" w:cs="Arial"/>
                <w:color w:val="005CA9"/>
                <w:sz w:val="18"/>
                <w:szCs w:val="18"/>
              </w:rPr>
            </w:pPr>
            <w:r w:rsidRPr="00E20D21">
              <w:rPr>
                <w:rFonts w:ascii="CAIXA Std Book" w:hAnsi="CAIXA Std Book" w:cs="Arial"/>
                <w:color w:val="005CA9"/>
                <w:sz w:val="18"/>
                <w:szCs w:val="18"/>
              </w:rPr>
              <w:t>476.601</w:t>
            </w:r>
          </w:p>
        </w:tc>
        <w:tc>
          <w:tcPr>
            <w:tcW w:w="532" w:type="pct"/>
            <w:tcBorders>
              <w:top w:val="nil"/>
              <w:left w:val="nil"/>
              <w:bottom w:val="nil"/>
              <w:right w:val="nil"/>
            </w:tcBorders>
            <w:shd w:val="clear" w:color="auto" w:fill="auto"/>
            <w:noWrap/>
            <w:vAlign w:val="center"/>
            <w:hideMark/>
          </w:tcPr>
          <w:p w14:paraId="6CBE6078" w14:textId="176D936F" w:rsidR="00BC1B8E" w:rsidRPr="00E20D21" w:rsidRDefault="00BC1B8E" w:rsidP="00BC1B8E">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1.223.657</w:t>
            </w:r>
          </w:p>
        </w:tc>
        <w:tc>
          <w:tcPr>
            <w:tcW w:w="533" w:type="pct"/>
            <w:tcBorders>
              <w:top w:val="nil"/>
              <w:left w:val="nil"/>
              <w:bottom w:val="nil"/>
              <w:right w:val="nil"/>
            </w:tcBorders>
            <w:shd w:val="clear" w:color="auto" w:fill="auto"/>
            <w:noWrap/>
            <w:vAlign w:val="center"/>
            <w:hideMark/>
          </w:tcPr>
          <w:p w14:paraId="5E87C817" w14:textId="4A4B1040" w:rsidR="00BC1B8E" w:rsidRPr="00E20D21" w:rsidRDefault="00BC1B8E" w:rsidP="00BC1B8E">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471.727</w:t>
            </w:r>
          </w:p>
        </w:tc>
      </w:tr>
      <w:tr w:rsidR="00BC1B8E" w:rsidRPr="00E20D21" w14:paraId="3D778A2F" w14:textId="77777777" w:rsidTr="00BC1B8E">
        <w:trPr>
          <w:trHeight w:val="283"/>
        </w:trPr>
        <w:tc>
          <w:tcPr>
            <w:tcW w:w="1275" w:type="pct"/>
            <w:tcBorders>
              <w:top w:val="nil"/>
              <w:left w:val="nil"/>
              <w:bottom w:val="nil"/>
              <w:right w:val="nil"/>
            </w:tcBorders>
            <w:shd w:val="clear" w:color="auto" w:fill="auto"/>
            <w:vAlign w:val="center"/>
            <w:hideMark/>
          </w:tcPr>
          <w:p w14:paraId="0AA2F2CE" w14:textId="77777777" w:rsidR="00BC1B8E" w:rsidRPr="00E20D21" w:rsidRDefault="00BC1B8E" w:rsidP="00BC1B8E">
            <w:pPr>
              <w:ind w:firstLineChars="100" w:firstLine="18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Certificado de recebíveis imobiliários</w:t>
            </w:r>
          </w:p>
        </w:tc>
        <w:tc>
          <w:tcPr>
            <w:tcW w:w="532" w:type="pct"/>
            <w:tcBorders>
              <w:top w:val="nil"/>
              <w:left w:val="nil"/>
              <w:bottom w:val="nil"/>
              <w:right w:val="nil"/>
            </w:tcBorders>
            <w:shd w:val="clear" w:color="auto" w:fill="auto"/>
            <w:vAlign w:val="center"/>
          </w:tcPr>
          <w:p w14:paraId="28498142" w14:textId="5473684F" w:rsidR="00BC1B8E" w:rsidRPr="00E20D21" w:rsidRDefault="00BC1B8E" w:rsidP="00BC1B8E">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w:t>
            </w:r>
          </w:p>
        </w:tc>
        <w:tc>
          <w:tcPr>
            <w:tcW w:w="532" w:type="pct"/>
            <w:tcBorders>
              <w:top w:val="nil"/>
              <w:left w:val="nil"/>
              <w:bottom w:val="nil"/>
              <w:right w:val="nil"/>
            </w:tcBorders>
            <w:shd w:val="clear" w:color="auto" w:fill="auto"/>
            <w:noWrap/>
            <w:vAlign w:val="center"/>
          </w:tcPr>
          <w:p w14:paraId="26F09233" w14:textId="1DC1BC93" w:rsidR="00BC1B8E" w:rsidRPr="00E20D21" w:rsidRDefault="00BC1B8E" w:rsidP="00BC1B8E">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532" w:type="pct"/>
            <w:tcBorders>
              <w:top w:val="nil"/>
              <w:left w:val="nil"/>
              <w:bottom w:val="nil"/>
              <w:right w:val="nil"/>
            </w:tcBorders>
            <w:vAlign w:val="center"/>
          </w:tcPr>
          <w:p w14:paraId="2848EE29" w14:textId="5B0428B5" w:rsidR="00BC1B8E" w:rsidRPr="00E20D21" w:rsidRDefault="00BC1B8E" w:rsidP="00BC1B8E">
            <w:pPr>
              <w:jc w:val="right"/>
              <w:rPr>
                <w:rFonts w:ascii="CAIXA Std Book" w:hAnsi="CAIXA Std Book" w:cs="Arial"/>
                <w:color w:val="005CA9"/>
                <w:sz w:val="18"/>
                <w:szCs w:val="18"/>
              </w:rPr>
            </w:pPr>
            <w:r w:rsidRPr="00E20D21">
              <w:rPr>
                <w:rFonts w:ascii="CAIXA Std Book" w:hAnsi="CAIXA Std Book" w:cs="Arial"/>
                <w:color w:val="005CA9"/>
                <w:sz w:val="18"/>
                <w:szCs w:val="18"/>
              </w:rPr>
              <w:t>2.188.980</w:t>
            </w:r>
          </w:p>
        </w:tc>
        <w:tc>
          <w:tcPr>
            <w:tcW w:w="532" w:type="pct"/>
            <w:tcBorders>
              <w:top w:val="nil"/>
              <w:left w:val="nil"/>
              <w:bottom w:val="nil"/>
              <w:right w:val="nil"/>
            </w:tcBorders>
            <w:shd w:val="clear" w:color="auto" w:fill="auto"/>
            <w:noWrap/>
            <w:vAlign w:val="center"/>
          </w:tcPr>
          <w:p w14:paraId="76258478" w14:textId="1A89986B" w:rsidR="00BC1B8E" w:rsidRPr="00E20D21" w:rsidRDefault="00BC1B8E" w:rsidP="00BC1B8E">
            <w:pPr>
              <w:jc w:val="right"/>
              <w:rPr>
                <w:rFonts w:ascii="CAIXA Std Book" w:hAnsi="CAIXA Std Book" w:cs="Arial"/>
                <w:color w:val="005CA9"/>
                <w:sz w:val="18"/>
                <w:szCs w:val="18"/>
              </w:rPr>
            </w:pPr>
            <w:r w:rsidRPr="00E20D21">
              <w:rPr>
                <w:rFonts w:ascii="CAIXA Std Book" w:hAnsi="CAIXA Std Book" w:cs="Arial"/>
                <w:color w:val="005CA9"/>
                <w:sz w:val="18"/>
                <w:szCs w:val="18"/>
              </w:rPr>
              <w:t>2.188.980</w:t>
            </w:r>
          </w:p>
        </w:tc>
        <w:tc>
          <w:tcPr>
            <w:tcW w:w="532" w:type="pct"/>
            <w:tcBorders>
              <w:top w:val="nil"/>
              <w:left w:val="nil"/>
              <w:bottom w:val="nil"/>
              <w:right w:val="nil"/>
            </w:tcBorders>
            <w:shd w:val="clear" w:color="auto" w:fill="auto"/>
            <w:noWrap/>
            <w:vAlign w:val="center"/>
          </w:tcPr>
          <w:p w14:paraId="1857D68C" w14:textId="0FD77C49" w:rsidR="00BC1B8E" w:rsidRPr="00E20D21" w:rsidRDefault="00BC1B8E" w:rsidP="00BC1B8E">
            <w:pPr>
              <w:jc w:val="right"/>
              <w:rPr>
                <w:rFonts w:ascii="CAIXA Std Book" w:hAnsi="CAIXA Std Book" w:cs="Arial"/>
                <w:color w:val="005CA9"/>
                <w:sz w:val="18"/>
                <w:szCs w:val="18"/>
              </w:rPr>
            </w:pPr>
            <w:r w:rsidRPr="00E20D21">
              <w:rPr>
                <w:rFonts w:ascii="CAIXA Std Book" w:hAnsi="CAIXA Std Book" w:cs="Arial"/>
                <w:color w:val="005CA9"/>
                <w:sz w:val="18"/>
                <w:szCs w:val="18"/>
              </w:rPr>
              <w:t>2.344.427</w:t>
            </w:r>
          </w:p>
        </w:tc>
        <w:tc>
          <w:tcPr>
            <w:tcW w:w="532" w:type="pct"/>
            <w:tcBorders>
              <w:top w:val="nil"/>
              <w:left w:val="nil"/>
              <w:bottom w:val="nil"/>
              <w:right w:val="nil"/>
            </w:tcBorders>
            <w:shd w:val="clear" w:color="auto" w:fill="auto"/>
            <w:noWrap/>
            <w:vAlign w:val="center"/>
            <w:hideMark/>
          </w:tcPr>
          <w:p w14:paraId="7CCE8283" w14:textId="79B0DF03" w:rsidR="00BC1B8E" w:rsidRPr="00E20D21" w:rsidRDefault="00BC1B8E" w:rsidP="00BC1B8E">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2.180.944</w:t>
            </w:r>
          </w:p>
        </w:tc>
        <w:tc>
          <w:tcPr>
            <w:tcW w:w="533" w:type="pct"/>
            <w:tcBorders>
              <w:top w:val="nil"/>
              <w:left w:val="nil"/>
              <w:bottom w:val="nil"/>
              <w:right w:val="nil"/>
            </w:tcBorders>
            <w:shd w:val="clear" w:color="auto" w:fill="auto"/>
            <w:noWrap/>
            <w:vAlign w:val="center"/>
            <w:hideMark/>
          </w:tcPr>
          <w:p w14:paraId="1971CAA3" w14:textId="6E0ADE60" w:rsidR="00BC1B8E" w:rsidRPr="00E20D21" w:rsidRDefault="00BC1B8E" w:rsidP="00BC1B8E">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2.524.331</w:t>
            </w:r>
          </w:p>
        </w:tc>
      </w:tr>
      <w:tr w:rsidR="00BC1B8E" w:rsidRPr="00E20D21" w14:paraId="4F4C1186" w14:textId="77777777" w:rsidTr="00BC1B8E">
        <w:trPr>
          <w:trHeight w:val="283"/>
        </w:trPr>
        <w:tc>
          <w:tcPr>
            <w:tcW w:w="1275" w:type="pct"/>
            <w:tcBorders>
              <w:top w:val="single" w:sz="4" w:space="0" w:color="F39200"/>
              <w:left w:val="nil"/>
              <w:bottom w:val="single" w:sz="4" w:space="0" w:color="F39200"/>
              <w:right w:val="nil"/>
            </w:tcBorders>
            <w:shd w:val="clear" w:color="auto" w:fill="auto"/>
            <w:vAlign w:val="center"/>
            <w:hideMark/>
          </w:tcPr>
          <w:p w14:paraId="2DFD050B" w14:textId="77777777" w:rsidR="00BC1B8E" w:rsidRPr="00E20D21" w:rsidRDefault="00BC1B8E" w:rsidP="00BC1B8E">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Total</w:t>
            </w:r>
          </w:p>
        </w:tc>
        <w:tc>
          <w:tcPr>
            <w:tcW w:w="532" w:type="pct"/>
            <w:tcBorders>
              <w:top w:val="single" w:sz="4" w:space="0" w:color="F39200"/>
              <w:left w:val="nil"/>
              <w:bottom w:val="single" w:sz="4" w:space="0" w:color="F39200"/>
              <w:right w:val="nil"/>
            </w:tcBorders>
            <w:shd w:val="clear" w:color="auto" w:fill="auto"/>
            <w:noWrap/>
            <w:vAlign w:val="center"/>
          </w:tcPr>
          <w:p w14:paraId="5EB733E9" w14:textId="636E105A" w:rsidR="00BC1B8E" w:rsidRPr="00E20D21" w:rsidRDefault="00BC1B8E" w:rsidP="00BC1B8E">
            <w:pPr>
              <w:jc w:val="center"/>
              <w:rPr>
                <w:rFonts w:ascii="CAIXA Std Book" w:eastAsia="Times New Roman" w:hAnsi="CAIXA Std Book" w:cs="Calibri"/>
                <w:b/>
                <w:color w:val="005CA9"/>
                <w:sz w:val="18"/>
                <w:szCs w:val="18"/>
              </w:rPr>
            </w:pPr>
            <w:r w:rsidRPr="00E20D21">
              <w:rPr>
                <w:rFonts w:ascii="CAIXA Std Book" w:hAnsi="CAIXA Std Book" w:cs="Arial"/>
                <w:color w:val="005CA9"/>
                <w:sz w:val="18"/>
                <w:szCs w:val="18"/>
              </w:rPr>
              <w:t>-</w:t>
            </w:r>
          </w:p>
        </w:tc>
        <w:tc>
          <w:tcPr>
            <w:tcW w:w="532" w:type="pct"/>
            <w:tcBorders>
              <w:top w:val="single" w:sz="4" w:space="0" w:color="F39200"/>
              <w:left w:val="nil"/>
              <w:bottom w:val="single" w:sz="4" w:space="0" w:color="F39200"/>
              <w:right w:val="nil"/>
            </w:tcBorders>
            <w:shd w:val="clear" w:color="auto" w:fill="auto"/>
            <w:noWrap/>
            <w:vAlign w:val="center"/>
          </w:tcPr>
          <w:p w14:paraId="354F6556" w14:textId="17616DFE" w:rsidR="00BC1B8E" w:rsidRPr="00E20D21" w:rsidRDefault="00BC1B8E" w:rsidP="00BC1B8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1.530.563</w:t>
            </w:r>
          </w:p>
        </w:tc>
        <w:tc>
          <w:tcPr>
            <w:tcW w:w="532" w:type="pct"/>
            <w:tcBorders>
              <w:top w:val="single" w:sz="4" w:space="0" w:color="F39200"/>
              <w:left w:val="nil"/>
              <w:bottom w:val="single" w:sz="4" w:space="0" w:color="F39200"/>
              <w:right w:val="nil"/>
            </w:tcBorders>
            <w:vAlign w:val="center"/>
          </w:tcPr>
          <w:p w14:paraId="5D18F9F1" w14:textId="49C61ABB" w:rsidR="00BC1B8E" w:rsidRPr="00E20D21" w:rsidRDefault="00BC1B8E" w:rsidP="00BC1B8E">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3.463.491</w:t>
            </w:r>
          </w:p>
        </w:tc>
        <w:tc>
          <w:tcPr>
            <w:tcW w:w="532" w:type="pct"/>
            <w:tcBorders>
              <w:top w:val="single" w:sz="4" w:space="0" w:color="F39200"/>
              <w:left w:val="nil"/>
              <w:bottom w:val="single" w:sz="4" w:space="0" w:color="F39200"/>
              <w:right w:val="nil"/>
            </w:tcBorders>
            <w:shd w:val="clear" w:color="auto" w:fill="auto"/>
            <w:noWrap/>
            <w:vAlign w:val="center"/>
          </w:tcPr>
          <w:p w14:paraId="41EF591A" w14:textId="01BA242A" w:rsidR="00BC1B8E" w:rsidRPr="00E20D21" w:rsidRDefault="00BC1B8E" w:rsidP="00BC1B8E">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4.994.054</w:t>
            </w:r>
          </w:p>
        </w:tc>
        <w:tc>
          <w:tcPr>
            <w:tcW w:w="532" w:type="pct"/>
            <w:tcBorders>
              <w:top w:val="single" w:sz="4" w:space="0" w:color="F39200"/>
              <w:left w:val="nil"/>
              <w:bottom w:val="single" w:sz="4" w:space="0" w:color="F39200"/>
              <w:right w:val="nil"/>
            </w:tcBorders>
            <w:shd w:val="clear" w:color="auto" w:fill="auto"/>
            <w:noWrap/>
            <w:vAlign w:val="center"/>
          </w:tcPr>
          <w:p w14:paraId="163A1184" w14:textId="651BF7E0" w:rsidR="00BC1B8E" w:rsidRPr="00E20D21" w:rsidRDefault="00BC1B8E" w:rsidP="00BC1B8E">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4.355.944</w:t>
            </w:r>
          </w:p>
        </w:tc>
        <w:tc>
          <w:tcPr>
            <w:tcW w:w="532" w:type="pct"/>
            <w:tcBorders>
              <w:top w:val="single" w:sz="4" w:space="0" w:color="F39200"/>
              <w:left w:val="nil"/>
              <w:bottom w:val="single" w:sz="4" w:space="0" w:color="F39200"/>
              <w:right w:val="nil"/>
            </w:tcBorders>
            <w:shd w:val="clear" w:color="auto" w:fill="auto"/>
            <w:noWrap/>
            <w:vAlign w:val="center"/>
            <w:hideMark/>
          </w:tcPr>
          <w:p w14:paraId="4CBEAAFA" w14:textId="1034D7D8" w:rsidR="00BC1B8E" w:rsidRPr="00E20D21" w:rsidRDefault="00BC1B8E" w:rsidP="00BC1B8E">
            <w:pPr>
              <w:jc w:val="right"/>
              <w:rPr>
                <w:rFonts w:ascii="CAIXA Std Book" w:eastAsia="Times New Roman" w:hAnsi="CAIXA Std Book" w:cs="Calibri"/>
                <w:b/>
                <w:bCs/>
                <w:color w:val="005CA9"/>
                <w:sz w:val="18"/>
                <w:szCs w:val="18"/>
              </w:rPr>
            </w:pPr>
            <w:r w:rsidRPr="00E20D21">
              <w:rPr>
                <w:rFonts w:ascii="CAIXA Std Book" w:hAnsi="CAIXA Std Book" w:cs="Arial"/>
                <w:b/>
                <w:bCs/>
                <w:color w:val="005CA9"/>
                <w:sz w:val="18"/>
                <w:szCs w:val="18"/>
              </w:rPr>
              <w:t>4.924.646</w:t>
            </w:r>
          </w:p>
        </w:tc>
        <w:tc>
          <w:tcPr>
            <w:tcW w:w="533" w:type="pct"/>
            <w:tcBorders>
              <w:top w:val="single" w:sz="4" w:space="0" w:color="F39200"/>
              <w:left w:val="nil"/>
              <w:bottom w:val="single" w:sz="4" w:space="0" w:color="F39200"/>
              <w:right w:val="nil"/>
            </w:tcBorders>
            <w:shd w:val="clear" w:color="auto" w:fill="auto"/>
            <w:noWrap/>
            <w:vAlign w:val="center"/>
            <w:hideMark/>
          </w:tcPr>
          <w:p w14:paraId="49B2113C" w14:textId="528A17D9" w:rsidR="00BC1B8E" w:rsidRPr="00E20D21" w:rsidRDefault="00BC1B8E" w:rsidP="00BC1B8E">
            <w:pPr>
              <w:jc w:val="right"/>
              <w:rPr>
                <w:rFonts w:ascii="CAIXA Std Book" w:eastAsia="Times New Roman" w:hAnsi="CAIXA Std Book" w:cs="Calibri"/>
                <w:b/>
                <w:bCs/>
                <w:color w:val="005CA9"/>
                <w:sz w:val="18"/>
                <w:szCs w:val="18"/>
              </w:rPr>
            </w:pPr>
            <w:r w:rsidRPr="00E20D21">
              <w:rPr>
                <w:rFonts w:ascii="CAIXA Std Book" w:hAnsi="CAIXA Std Book" w:cs="Arial"/>
                <w:b/>
                <w:bCs/>
                <w:color w:val="005CA9"/>
                <w:sz w:val="18"/>
                <w:szCs w:val="18"/>
              </w:rPr>
              <w:t>4.538.449</w:t>
            </w:r>
          </w:p>
        </w:tc>
      </w:tr>
    </w:tbl>
    <w:p w14:paraId="469A3CF2" w14:textId="17361C67" w:rsidR="005F303D" w:rsidRPr="00E20D21" w:rsidRDefault="00080967" w:rsidP="0048070B">
      <w:pPr>
        <w:spacing w:before="480" w:after="240"/>
        <w:rPr>
          <w:rFonts w:ascii="CAIXA Std Book" w:hAnsi="CAIXA Std Book"/>
          <w:b/>
          <w:color w:val="005CA9"/>
          <w:sz w:val="20"/>
          <w:szCs w:val="20"/>
        </w:rPr>
      </w:pPr>
      <w:r w:rsidRPr="00E20D21">
        <w:rPr>
          <w:rFonts w:ascii="CAIXA Std Book" w:hAnsi="CAIXA Std Book"/>
          <w:b/>
          <w:color w:val="005CA9"/>
          <w:sz w:val="20"/>
          <w:szCs w:val="20"/>
        </w:rPr>
        <w:t>(</w:t>
      </w:r>
      <w:r w:rsidR="005F303D" w:rsidRPr="00E20D21">
        <w:rPr>
          <w:rFonts w:ascii="CAIXA Std Book" w:hAnsi="CAIXA Std Book"/>
          <w:b/>
          <w:color w:val="005CA9"/>
          <w:sz w:val="20"/>
          <w:szCs w:val="20"/>
        </w:rPr>
        <w:t>d)</w:t>
      </w:r>
      <w:r w:rsidR="005F303D" w:rsidRPr="00E20D21">
        <w:rPr>
          <w:rFonts w:ascii="CAIXA Std Book" w:hAnsi="CAIXA Std Book"/>
          <w:b/>
          <w:color w:val="005CA9"/>
          <w:sz w:val="20"/>
          <w:szCs w:val="20"/>
        </w:rPr>
        <w:tab/>
        <w:t>Resultado com títulos e valores mobiliários</w:t>
      </w:r>
    </w:p>
    <w:tbl>
      <w:tblPr>
        <w:tblW w:w="5000" w:type="pct"/>
        <w:tblCellMar>
          <w:left w:w="70" w:type="dxa"/>
          <w:right w:w="70" w:type="dxa"/>
        </w:tblCellMar>
        <w:tblLook w:val="04A0" w:firstRow="1" w:lastRow="0" w:firstColumn="1" w:lastColumn="0" w:noHBand="0" w:noVBand="1"/>
      </w:tblPr>
      <w:tblGrid>
        <w:gridCol w:w="6065"/>
        <w:gridCol w:w="2128"/>
        <w:gridCol w:w="2127"/>
        <w:gridCol w:w="2127"/>
        <w:gridCol w:w="2124"/>
      </w:tblGrid>
      <w:tr w:rsidR="00BA0C1E" w:rsidRPr="00E20D21" w14:paraId="56AF69FA" w14:textId="77777777" w:rsidTr="00CC49F6">
        <w:trPr>
          <w:trHeight w:val="283"/>
        </w:trPr>
        <w:tc>
          <w:tcPr>
            <w:tcW w:w="2081" w:type="pct"/>
            <w:vMerge w:val="restart"/>
            <w:tcBorders>
              <w:top w:val="single" w:sz="4" w:space="0" w:color="F39200"/>
              <w:left w:val="nil"/>
              <w:right w:val="nil"/>
            </w:tcBorders>
            <w:shd w:val="clear" w:color="auto" w:fill="auto"/>
            <w:vAlign w:val="center"/>
            <w:hideMark/>
          </w:tcPr>
          <w:p w14:paraId="63EB9438" w14:textId="77777777" w:rsidR="00BA0C1E" w:rsidRPr="00E20D21" w:rsidRDefault="00BA0C1E" w:rsidP="00F8651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460" w:type="pct"/>
            <w:gridSpan w:val="2"/>
            <w:tcBorders>
              <w:top w:val="single" w:sz="4" w:space="0" w:color="F39200"/>
              <w:left w:val="nil"/>
              <w:bottom w:val="single" w:sz="4" w:space="0" w:color="F39200"/>
              <w:right w:val="nil"/>
            </w:tcBorders>
            <w:shd w:val="clear" w:color="auto" w:fill="auto"/>
            <w:vAlign w:val="center"/>
          </w:tcPr>
          <w:p w14:paraId="5FA2015B" w14:textId="77777777" w:rsidR="00BA0C1E" w:rsidRPr="00E20D21" w:rsidRDefault="00BA0C1E" w:rsidP="004267A2">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INDIVIDUAL</w:t>
            </w:r>
          </w:p>
        </w:tc>
        <w:tc>
          <w:tcPr>
            <w:tcW w:w="1459" w:type="pct"/>
            <w:gridSpan w:val="2"/>
            <w:tcBorders>
              <w:top w:val="single" w:sz="4" w:space="0" w:color="F39200"/>
              <w:left w:val="nil"/>
              <w:bottom w:val="single" w:sz="4" w:space="0" w:color="F39200"/>
            </w:tcBorders>
            <w:shd w:val="clear" w:color="auto" w:fill="auto"/>
            <w:vAlign w:val="center"/>
          </w:tcPr>
          <w:p w14:paraId="651AF82B" w14:textId="77777777" w:rsidR="00BA0C1E" w:rsidRPr="00E20D21" w:rsidRDefault="00BA0C1E" w:rsidP="004267A2">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CONSOLIDADO</w:t>
            </w:r>
          </w:p>
        </w:tc>
      </w:tr>
      <w:tr w:rsidR="00BA0C1E" w:rsidRPr="00E20D21" w14:paraId="2C1EEC49" w14:textId="77777777" w:rsidTr="00CC49F6">
        <w:trPr>
          <w:trHeight w:val="283"/>
        </w:trPr>
        <w:tc>
          <w:tcPr>
            <w:tcW w:w="2081" w:type="pct"/>
            <w:vMerge/>
            <w:tcBorders>
              <w:left w:val="nil"/>
              <w:right w:val="nil"/>
            </w:tcBorders>
            <w:vAlign w:val="center"/>
            <w:hideMark/>
          </w:tcPr>
          <w:p w14:paraId="22818C4A" w14:textId="77777777" w:rsidR="00BA0C1E" w:rsidRPr="00E20D21" w:rsidRDefault="00BA0C1E" w:rsidP="00F86511">
            <w:pPr>
              <w:jc w:val="both"/>
              <w:rPr>
                <w:rFonts w:ascii="CAIXA Std Book" w:eastAsia="Times New Roman" w:hAnsi="CAIXA Std Book" w:cs="Arial"/>
                <w:b/>
                <w:bCs/>
                <w:color w:val="005CA9"/>
                <w:sz w:val="18"/>
                <w:szCs w:val="18"/>
              </w:rPr>
            </w:pPr>
          </w:p>
        </w:tc>
        <w:tc>
          <w:tcPr>
            <w:tcW w:w="730" w:type="pct"/>
            <w:tcBorders>
              <w:top w:val="single" w:sz="4" w:space="0" w:color="F39200"/>
              <w:left w:val="nil"/>
              <w:bottom w:val="single" w:sz="4" w:space="0" w:color="F39200"/>
            </w:tcBorders>
            <w:vAlign w:val="center"/>
          </w:tcPr>
          <w:p w14:paraId="116A8F0E" w14:textId="77777777" w:rsidR="00BA0C1E" w:rsidRPr="00E20D21" w:rsidRDefault="00BA0C1E" w:rsidP="004267A2">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30" w:type="pct"/>
            <w:tcBorders>
              <w:top w:val="single" w:sz="4" w:space="0" w:color="F39200"/>
              <w:left w:val="nil"/>
              <w:bottom w:val="single" w:sz="4" w:space="0" w:color="F39200"/>
            </w:tcBorders>
            <w:vAlign w:val="center"/>
          </w:tcPr>
          <w:p w14:paraId="2E1647D5" w14:textId="55A76214" w:rsidR="00BA0C1E" w:rsidRPr="00E20D21" w:rsidRDefault="00BA0C1E" w:rsidP="004267A2">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730" w:type="pct"/>
            <w:tcBorders>
              <w:top w:val="single" w:sz="4" w:space="0" w:color="F39200"/>
              <w:left w:val="nil"/>
              <w:bottom w:val="single" w:sz="4" w:space="0" w:color="F39200"/>
            </w:tcBorders>
            <w:vAlign w:val="center"/>
          </w:tcPr>
          <w:p w14:paraId="073A9EAE" w14:textId="0E0DE7B0" w:rsidR="00BA0C1E" w:rsidRPr="00E20D21" w:rsidRDefault="00BA0C1E" w:rsidP="004267A2">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29" w:type="pct"/>
            <w:tcBorders>
              <w:top w:val="single" w:sz="4" w:space="0" w:color="F39200"/>
              <w:left w:val="nil"/>
              <w:bottom w:val="single" w:sz="4" w:space="0" w:color="F39200"/>
            </w:tcBorders>
            <w:vAlign w:val="center"/>
          </w:tcPr>
          <w:p w14:paraId="15BA6E1C" w14:textId="467E096D" w:rsidR="00BA0C1E" w:rsidRPr="00E20D21" w:rsidRDefault="00BA0C1E" w:rsidP="004267A2">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BA0C1E" w:rsidRPr="00E20D21" w14:paraId="31FC760B" w14:textId="77777777" w:rsidTr="00CC49F6">
        <w:trPr>
          <w:trHeight w:val="283"/>
        </w:trPr>
        <w:tc>
          <w:tcPr>
            <w:tcW w:w="2081" w:type="pct"/>
            <w:vMerge/>
            <w:tcBorders>
              <w:left w:val="nil"/>
              <w:bottom w:val="single" w:sz="4" w:space="0" w:color="F39200"/>
              <w:right w:val="nil"/>
            </w:tcBorders>
            <w:vAlign w:val="center"/>
            <w:hideMark/>
          </w:tcPr>
          <w:p w14:paraId="395B6444" w14:textId="77777777" w:rsidR="00BA0C1E" w:rsidRPr="00E20D21" w:rsidRDefault="00BA0C1E" w:rsidP="00F86511">
            <w:pPr>
              <w:rPr>
                <w:rFonts w:ascii="CAIXA Std Book" w:eastAsia="Times New Roman" w:hAnsi="CAIXA Std Book" w:cs="Arial"/>
                <w:b/>
                <w:bCs/>
                <w:color w:val="005CA9"/>
                <w:sz w:val="18"/>
                <w:szCs w:val="18"/>
              </w:rPr>
            </w:pPr>
          </w:p>
        </w:tc>
        <w:tc>
          <w:tcPr>
            <w:tcW w:w="730" w:type="pct"/>
            <w:tcBorders>
              <w:top w:val="single" w:sz="4" w:space="0" w:color="F39200"/>
              <w:left w:val="nil"/>
              <w:bottom w:val="single" w:sz="4" w:space="0" w:color="F39200"/>
            </w:tcBorders>
            <w:vAlign w:val="center"/>
          </w:tcPr>
          <w:p w14:paraId="485BBB6E" w14:textId="77777777" w:rsidR="00BA0C1E" w:rsidRPr="00E20D21" w:rsidRDefault="00BA0C1E" w:rsidP="004267A2">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30" w:type="pct"/>
            <w:tcBorders>
              <w:top w:val="single" w:sz="4" w:space="0" w:color="F39200"/>
              <w:left w:val="nil"/>
              <w:bottom w:val="single" w:sz="4" w:space="0" w:color="F39200"/>
            </w:tcBorders>
            <w:vAlign w:val="center"/>
          </w:tcPr>
          <w:p w14:paraId="5F580E1D" w14:textId="6C3C872B" w:rsidR="00BA0C1E" w:rsidRPr="00E20D21" w:rsidRDefault="00BA0C1E" w:rsidP="004267A2">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30" w:type="pct"/>
            <w:tcBorders>
              <w:top w:val="single" w:sz="4" w:space="0" w:color="F39200"/>
              <w:left w:val="nil"/>
              <w:bottom w:val="single" w:sz="4" w:space="0" w:color="F39200"/>
            </w:tcBorders>
            <w:vAlign w:val="center"/>
          </w:tcPr>
          <w:p w14:paraId="09929C56" w14:textId="4800BCCE" w:rsidR="00BA0C1E" w:rsidRPr="00E20D21" w:rsidRDefault="00BA0C1E" w:rsidP="004267A2">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29" w:type="pct"/>
            <w:tcBorders>
              <w:top w:val="single" w:sz="4" w:space="0" w:color="F39200"/>
              <w:left w:val="nil"/>
              <w:bottom w:val="single" w:sz="4" w:space="0" w:color="F39200"/>
            </w:tcBorders>
            <w:vAlign w:val="center"/>
          </w:tcPr>
          <w:p w14:paraId="18BD51EB" w14:textId="5C4621FC" w:rsidR="00BA0C1E" w:rsidRPr="00E20D21" w:rsidRDefault="00BA0C1E" w:rsidP="004267A2">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BA0C1E" w:rsidRPr="00E20D21" w14:paraId="663F6AAE" w14:textId="77777777" w:rsidTr="00CC49F6">
        <w:trPr>
          <w:trHeight w:val="283"/>
        </w:trPr>
        <w:tc>
          <w:tcPr>
            <w:tcW w:w="2081" w:type="pct"/>
            <w:tcBorders>
              <w:top w:val="nil"/>
              <w:left w:val="nil"/>
              <w:bottom w:val="nil"/>
              <w:right w:val="nil"/>
            </w:tcBorders>
            <w:shd w:val="clear" w:color="auto" w:fill="auto"/>
            <w:vAlign w:val="center"/>
            <w:hideMark/>
          </w:tcPr>
          <w:p w14:paraId="3D495D63" w14:textId="77777777" w:rsidR="00BA0C1E" w:rsidRPr="00E20D21" w:rsidRDefault="00BA0C1E" w:rsidP="00BA0C1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Ativos financeiros mantidos para negociação</w:t>
            </w:r>
          </w:p>
        </w:tc>
        <w:tc>
          <w:tcPr>
            <w:tcW w:w="730" w:type="pct"/>
            <w:tcBorders>
              <w:top w:val="nil"/>
              <w:left w:val="nil"/>
              <w:right w:val="nil"/>
            </w:tcBorders>
            <w:shd w:val="clear" w:color="auto" w:fill="auto"/>
            <w:vAlign w:val="center"/>
          </w:tcPr>
          <w:p w14:paraId="65EC810B" w14:textId="16B6312C" w:rsidR="00BA0C1E" w:rsidRPr="00E20D21" w:rsidRDefault="008A2E0F" w:rsidP="000672FD">
            <w:pPr>
              <w:jc w:val="right"/>
              <w:rPr>
                <w:rFonts w:ascii="CAIXA Std Book" w:hAnsi="CAIXA Std Book" w:cs="Arial"/>
                <w:color w:val="005CA9"/>
                <w:sz w:val="18"/>
                <w:szCs w:val="18"/>
              </w:rPr>
            </w:pPr>
            <w:r w:rsidRPr="00E20D21">
              <w:rPr>
                <w:rFonts w:ascii="CAIXA Std Book" w:hAnsi="CAIXA Std Book" w:cs="Arial"/>
                <w:color w:val="005CA9"/>
                <w:sz w:val="18"/>
                <w:szCs w:val="18"/>
              </w:rPr>
              <w:t>3.494.147</w:t>
            </w:r>
          </w:p>
        </w:tc>
        <w:tc>
          <w:tcPr>
            <w:tcW w:w="730" w:type="pct"/>
            <w:tcBorders>
              <w:top w:val="nil"/>
              <w:left w:val="nil"/>
              <w:right w:val="nil"/>
            </w:tcBorders>
            <w:shd w:val="clear" w:color="auto" w:fill="auto"/>
            <w:vAlign w:val="center"/>
          </w:tcPr>
          <w:p w14:paraId="165A7966" w14:textId="1CA234D3" w:rsidR="00BA0C1E" w:rsidRPr="00E20D21" w:rsidRDefault="00BA0C1E" w:rsidP="000672FD">
            <w:pPr>
              <w:jc w:val="right"/>
              <w:rPr>
                <w:rFonts w:ascii="CAIXA Std Book" w:hAnsi="CAIXA Std Book" w:cs="Arial"/>
                <w:color w:val="005CA9"/>
                <w:sz w:val="18"/>
                <w:szCs w:val="18"/>
              </w:rPr>
            </w:pPr>
            <w:r w:rsidRPr="00E20D21">
              <w:rPr>
                <w:rFonts w:ascii="CAIXA Std Book" w:hAnsi="CAIXA Std Book" w:cs="Arial"/>
                <w:color w:val="005CA9"/>
                <w:sz w:val="18"/>
                <w:szCs w:val="18"/>
              </w:rPr>
              <w:t>11.315.944</w:t>
            </w:r>
          </w:p>
        </w:tc>
        <w:tc>
          <w:tcPr>
            <w:tcW w:w="730" w:type="pct"/>
            <w:tcBorders>
              <w:top w:val="nil"/>
              <w:left w:val="nil"/>
              <w:right w:val="nil"/>
            </w:tcBorders>
            <w:shd w:val="clear" w:color="auto" w:fill="auto"/>
            <w:vAlign w:val="center"/>
          </w:tcPr>
          <w:p w14:paraId="5F63143A" w14:textId="5DA091EE" w:rsidR="00BA0C1E" w:rsidRPr="00E20D21" w:rsidRDefault="00CC49F6" w:rsidP="000672FD">
            <w:pPr>
              <w:jc w:val="right"/>
              <w:rPr>
                <w:rFonts w:ascii="CAIXA Std Book" w:hAnsi="CAIXA Std Book" w:cs="Arial"/>
                <w:color w:val="005CA9"/>
                <w:sz w:val="18"/>
                <w:szCs w:val="18"/>
              </w:rPr>
            </w:pPr>
            <w:r w:rsidRPr="00E20D21">
              <w:rPr>
                <w:rFonts w:ascii="CAIXA Std Book" w:hAnsi="CAIXA Std Book" w:cs="Arial"/>
                <w:color w:val="005CA9"/>
                <w:sz w:val="18"/>
                <w:szCs w:val="18"/>
              </w:rPr>
              <w:t>3.570.072</w:t>
            </w:r>
          </w:p>
        </w:tc>
        <w:tc>
          <w:tcPr>
            <w:tcW w:w="729" w:type="pct"/>
            <w:tcBorders>
              <w:top w:val="nil"/>
              <w:left w:val="nil"/>
              <w:right w:val="nil"/>
            </w:tcBorders>
            <w:shd w:val="clear" w:color="auto" w:fill="auto"/>
            <w:vAlign w:val="center"/>
          </w:tcPr>
          <w:p w14:paraId="3BF5F832" w14:textId="54749EC4" w:rsidR="00BA0C1E" w:rsidRPr="00E20D21" w:rsidRDefault="00BA0C1E" w:rsidP="000672F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11.419.453</w:t>
            </w:r>
          </w:p>
        </w:tc>
      </w:tr>
      <w:tr w:rsidR="00BA0C1E" w:rsidRPr="00E20D21" w14:paraId="7B0FE744" w14:textId="77777777" w:rsidTr="00CC49F6">
        <w:trPr>
          <w:trHeight w:val="283"/>
        </w:trPr>
        <w:tc>
          <w:tcPr>
            <w:tcW w:w="2081" w:type="pct"/>
            <w:tcBorders>
              <w:top w:val="nil"/>
              <w:left w:val="nil"/>
              <w:bottom w:val="nil"/>
              <w:right w:val="nil"/>
            </w:tcBorders>
            <w:shd w:val="clear" w:color="auto" w:fill="auto"/>
            <w:vAlign w:val="center"/>
            <w:hideMark/>
          </w:tcPr>
          <w:p w14:paraId="29EC9138" w14:textId="66B121F4" w:rsidR="00BA0C1E" w:rsidRPr="00E20D21" w:rsidRDefault="00BA0C1E" w:rsidP="00BA0C1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Ativos financeiros disponíveis para venda</w:t>
            </w:r>
          </w:p>
        </w:tc>
        <w:tc>
          <w:tcPr>
            <w:tcW w:w="730" w:type="pct"/>
            <w:tcBorders>
              <w:left w:val="nil"/>
              <w:right w:val="nil"/>
            </w:tcBorders>
            <w:shd w:val="clear" w:color="auto" w:fill="auto"/>
            <w:vAlign w:val="center"/>
          </w:tcPr>
          <w:p w14:paraId="4F1FF485" w14:textId="374AD835" w:rsidR="00BA0C1E" w:rsidRPr="00E20D21" w:rsidRDefault="008A2E0F" w:rsidP="000672FD">
            <w:pPr>
              <w:jc w:val="right"/>
              <w:rPr>
                <w:rFonts w:ascii="CAIXA Std Book" w:hAnsi="CAIXA Std Book" w:cs="Arial"/>
                <w:color w:val="005CA9"/>
                <w:sz w:val="18"/>
                <w:szCs w:val="18"/>
              </w:rPr>
            </w:pPr>
            <w:r w:rsidRPr="00E20D21">
              <w:rPr>
                <w:rFonts w:ascii="CAIXA Std Book" w:hAnsi="CAIXA Std Book" w:cs="Arial"/>
                <w:color w:val="005CA9"/>
                <w:sz w:val="18"/>
                <w:szCs w:val="18"/>
              </w:rPr>
              <w:t>7.942.026</w:t>
            </w:r>
          </w:p>
        </w:tc>
        <w:tc>
          <w:tcPr>
            <w:tcW w:w="730" w:type="pct"/>
            <w:tcBorders>
              <w:left w:val="nil"/>
              <w:right w:val="nil"/>
            </w:tcBorders>
            <w:shd w:val="clear" w:color="auto" w:fill="auto"/>
            <w:vAlign w:val="center"/>
          </w:tcPr>
          <w:p w14:paraId="17F47D51" w14:textId="15D14DA9" w:rsidR="00BA0C1E" w:rsidRPr="00E20D21" w:rsidRDefault="00BA0C1E" w:rsidP="000672FD">
            <w:pPr>
              <w:jc w:val="right"/>
              <w:rPr>
                <w:rFonts w:ascii="CAIXA Std Book" w:hAnsi="CAIXA Std Book" w:cs="Arial"/>
                <w:color w:val="005CA9"/>
                <w:sz w:val="18"/>
                <w:szCs w:val="18"/>
              </w:rPr>
            </w:pPr>
            <w:r w:rsidRPr="00E20D21">
              <w:rPr>
                <w:rFonts w:ascii="CAIXA Std Book" w:hAnsi="CAIXA Std Book" w:cs="Arial"/>
                <w:color w:val="005CA9"/>
                <w:sz w:val="18"/>
                <w:szCs w:val="18"/>
              </w:rPr>
              <w:t>7.345.215</w:t>
            </w:r>
          </w:p>
        </w:tc>
        <w:tc>
          <w:tcPr>
            <w:tcW w:w="730" w:type="pct"/>
            <w:tcBorders>
              <w:left w:val="nil"/>
              <w:right w:val="nil"/>
            </w:tcBorders>
            <w:shd w:val="clear" w:color="auto" w:fill="auto"/>
            <w:vAlign w:val="center"/>
          </w:tcPr>
          <w:p w14:paraId="19784E97" w14:textId="6FFE76A6" w:rsidR="00BA0C1E" w:rsidRPr="00E20D21" w:rsidRDefault="00CC49F6" w:rsidP="000672FD">
            <w:pPr>
              <w:jc w:val="right"/>
              <w:rPr>
                <w:rFonts w:ascii="CAIXA Std Book" w:hAnsi="CAIXA Std Book" w:cs="Arial"/>
                <w:color w:val="005CA9"/>
                <w:sz w:val="18"/>
                <w:szCs w:val="18"/>
              </w:rPr>
            </w:pPr>
            <w:r w:rsidRPr="00E20D21">
              <w:rPr>
                <w:rFonts w:ascii="CAIXA Std Book" w:hAnsi="CAIXA Std Book" w:cs="Arial"/>
                <w:color w:val="005CA9"/>
                <w:sz w:val="18"/>
                <w:szCs w:val="18"/>
              </w:rPr>
              <w:t>7.880.894</w:t>
            </w:r>
          </w:p>
        </w:tc>
        <w:tc>
          <w:tcPr>
            <w:tcW w:w="729" w:type="pct"/>
            <w:tcBorders>
              <w:left w:val="nil"/>
              <w:right w:val="nil"/>
            </w:tcBorders>
            <w:shd w:val="clear" w:color="auto" w:fill="auto"/>
            <w:vAlign w:val="center"/>
          </w:tcPr>
          <w:p w14:paraId="69ABB371" w14:textId="18FBB6F2" w:rsidR="00BA0C1E" w:rsidRPr="00E20D21" w:rsidRDefault="00BA0C1E" w:rsidP="000672F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7.316.443</w:t>
            </w:r>
          </w:p>
        </w:tc>
      </w:tr>
      <w:tr w:rsidR="00BA0C1E" w:rsidRPr="00E20D21" w14:paraId="49477471" w14:textId="77777777" w:rsidTr="00CC49F6">
        <w:trPr>
          <w:trHeight w:val="283"/>
        </w:trPr>
        <w:tc>
          <w:tcPr>
            <w:tcW w:w="2081" w:type="pct"/>
            <w:tcBorders>
              <w:top w:val="nil"/>
              <w:left w:val="nil"/>
              <w:bottom w:val="nil"/>
              <w:right w:val="nil"/>
            </w:tcBorders>
            <w:shd w:val="clear" w:color="auto" w:fill="auto"/>
            <w:vAlign w:val="center"/>
            <w:hideMark/>
          </w:tcPr>
          <w:p w14:paraId="2C280727" w14:textId="77777777" w:rsidR="00BA0C1E" w:rsidRPr="00E20D21" w:rsidRDefault="00BA0C1E" w:rsidP="00BA0C1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Ativos financeiros mantidos até o vencimento</w:t>
            </w:r>
          </w:p>
        </w:tc>
        <w:tc>
          <w:tcPr>
            <w:tcW w:w="730" w:type="pct"/>
            <w:tcBorders>
              <w:left w:val="nil"/>
              <w:right w:val="nil"/>
            </w:tcBorders>
            <w:shd w:val="clear" w:color="auto" w:fill="auto"/>
            <w:vAlign w:val="center"/>
          </w:tcPr>
          <w:p w14:paraId="540FCD87" w14:textId="5BBF3898" w:rsidR="00BA0C1E" w:rsidRPr="00E20D21" w:rsidRDefault="008A2E0F" w:rsidP="000672FD">
            <w:pPr>
              <w:jc w:val="right"/>
              <w:rPr>
                <w:rFonts w:ascii="CAIXA Std Book" w:hAnsi="CAIXA Std Book" w:cs="Arial"/>
                <w:color w:val="005CA9"/>
                <w:sz w:val="18"/>
                <w:szCs w:val="18"/>
              </w:rPr>
            </w:pPr>
            <w:r w:rsidRPr="00E20D21">
              <w:rPr>
                <w:rFonts w:ascii="CAIXA Std Book" w:hAnsi="CAIXA Std Book" w:cs="Arial"/>
                <w:color w:val="005CA9"/>
                <w:sz w:val="18"/>
                <w:szCs w:val="18"/>
              </w:rPr>
              <w:t>265.023</w:t>
            </w:r>
          </w:p>
        </w:tc>
        <w:tc>
          <w:tcPr>
            <w:tcW w:w="730" w:type="pct"/>
            <w:tcBorders>
              <w:left w:val="nil"/>
              <w:right w:val="nil"/>
            </w:tcBorders>
            <w:shd w:val="clear" w:color="auto" w:fill="auto"/>
            <w:vAlign w:val="center"/>
          </w:tcPr>
          <w:p w14:paraId="7D4C8B7B" w14:textId="199CF90E" w:rsidR="00BA0C1E" w:rsidRPr="00E20D21" w:rsidRDefault="00BA0C1E" w:rsidP="000672FD">
            <w:pPr>
              <w:jc w:val="right"/>
              <w:rPr>
                <w:rFonts w:ascii="CAIXA Std Book" w:hAnsi="CAIXA Std Book" w:cs="Arial"/>
                <w:color w:val="005CA9"/>
                <w:sz w:val="18"/>
                <w:szCs w:val="18"/>
              </w:rPr>
            </w:pPr>
            <w:r w:rsidRPr="00E20D21">
              <w:rPr>
                <w:rFonts w:ascii="CAIXA Std Book" w:hAnsi="CAIXA Std Book" w:cs="Arial"/>
                <w:color w:val="005CA9"/>
                <w:sz w:val="18"/>
                <w:szCs w:val="18"/>
              </w:rPr>
              <w:t>282.848</w:t>
            </w:r>
          </w:p>
        </w:tc>
        <w:tc>
          <w:tcPr>
            <w:tcW w:w="730" w:type="pct"/>
            <w:tcBorders>
              <w:left w:val="nil"/>
              <w:right w:val="nil"/>
            </w:tcBorders>
            <w:shd w:val="clear" w:color="auto" w:fill="auto"/>
            <w:vAlign w:val="center"/>
          </w:tcPr>
          <w:p w14:paraId="7C8FECE9" w14:textId="6B5666A1" w:rsidR="00BA0C1E" w:rsidRPr="00E20D21" w:rsidRDefault="00CC49F6" w:rsidP="000672FD">
            <w:pPr>
              <w:jc w:val="right"/>
              <w:rPr>
                <w:rFonts w:ascii="CAIXA Std Book" w:hAnsi="CAIXA Std Book" w:cs="Arial"/>
                <w:color w:val="005CA9"/>
                <w:sz w:val="18"/>
                <w:szCs w:val="18"/>
              </w:rPr>
            </w:pPr>
            <w:r w:rsidRPr="00E20D21">
              <w:rPr>
                <w:rFonts w:ascii="CAIXA Std Book" w:hAnsi="CAIXA Std Book" w:cs="Arial"/>
                <w:color w:val="005CA9"/>
                <w:sz w:val="18"/>
                <w:szCs w:val="18"/>
              </w:rPr>
              <w:t>265.023</w:t>
            </w:r>
          </w:p>
        </w:tc>
        <w:tc>
          <w:tcPr>
            <w:tcW w:w="729" w:type="pct"/>
            <w:tcBorders>
              <w:left w:val="nil"/>
              <w:right w:val="nil"/>
            </w:tcBorders>
            <w:shd w:val="clear" w:color="auto" w:fill="auto"/>
            <w:vAlign w:val="center"/>
          </w:tcPr>
          <w:p w14:paraId="5BDD064C" w14:textId="0BA6316B" w:rsidR="00BA0C1E" w:rsidRPr="00E20D21" w:rsidRDefault="00BA0C1E" w:rsidP="000672F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282.848</w:t>
            </w:r>
          </w:p>
        </w:tc>
      </w:tr>
      <w:tr w:rsidR="00BA0C1E" w:rsidRPr="00E20D21" w14:paraId="5AD38760" w14:textId="77777777" w:rsidTr="00CC49F6">
        <w:trPr>
          <w:trHeight w:val="283"/>
        </w:trPr>
        <w:tc>
          <w:tcPr>
            <w:tcW w:w="2081" w:type="pct"/>
            <w:tcBorders>
              <w:top w:val="single" w:sz="4" w:space="0" w:color="F39200"/>
              <w:left w:val="nil"/>
              <w:bottom w:val="single" w:sz="4" w:space="0" w:color="F79646" w:themeColor="accent6"/>
              <w:right w:val="nil"/>
            </w:tcBorders>
            <w:shd w:val="clear" w:color="auto" w:fill="auto"/>
            <w:vAlign w:val="center"/>
            <w:hideMark/>
          </w:tcPr>
          <w:p w14:paraId="3ACD899D" w14:textId="77777777" w:rsidR="00BA0C1E" w:rsidRPr="00E20D21" w:rsidRDefault="00BA0C1E" w:rsidP="00BA0C1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30" w:type="pct"/>
            <w:tcBorders>
              <w:top w:val="single" w:sz="4" w:space="0" w:color="F39200"/>
              <w:left w:val="nil"/>
              <w:bottom w:val="single" w:sz="4" w:space="0" w:color="F79646" w:themeColor="accent6"/>
              <w:right w:val="nil"/>
            </w:tcBorders>
            <w:shd w:val="clear" w:color="auto" w:fill="auto"/>
            <w:noWrap/>
            <w:vAlign w:val="center"/>
          </w:tcPr>
          <w:p w14:paraId="0602F8CA" w14:textId="42EDDBE5" w:rsidR="00BA0C1E" w:rsidRPr="00E20D21" w:rsidRDefault="008A2E0F" w:rsidP="000672FD">
            <w:pPr>
              <w:jc w:val="right"/>
              <w:rPr>
                <w:rFonts w:ascii="CAIXA Std Book" w:hAnsi="CAIXA Std Book" w:cs="Arial"/>
                <w:b/>
                <w:color w:val="005CA9"/>
                <w:sz w:val="18"/>
                <w:szCs w:val="18"/>
              </w:rPr>
            </w:pPr>
            <w:r w:rsidRPr="00E20D21">
              <w:rPr>
                <w:rFonts w:ascii="CAIXA Std Book" w:hAnsi="CAIXA Std Book" w:cs="Arial"/>
                <w:b/>
                <w:color w:val="005CA9"/>
                <w:sz w:val="18"/>
                <w:szCs w:val="18"/>
              </w:rPr>
              <w:t>11.701.196</w:t>
            </w:r>
          </w:p>
        </w:tc>
        <w:tc>
          <w:tcPr>
            <w:tcW w:w="730" w:type="pct"/>
            <w:tcBorders>
              <w:top w:val="single" w:sz="4" w:space="0" w:color="F39200"/>
              <w:left w:val="nil"/>
              <w:bottom w:val="single" w:sz="4" w:space="0" w:color="F79646" w:themeColor="accent6"/>
              <w:right w:val="nil"/>
            </w:tcBorders>
            <w:shd w:val="clear" w:color="auto" w:fill="auto"/>
            <w:vAlign w:val="center"/>
          </w:tcPr>
          <w:p w14:paraId="487AC1D7" w14:textId="42369512" w:rsidR="00BA0C1E" w:rsidRPr="00E20D21" w:rsidRDefault="00BA0C1E" w:rsidP="000672FD">
            <w:pPr>
              <w:jc w:val="right"/>
              <w:rPr>
                <w:rFonts w:ascii="CAIXA Std Book" w:hAnsi="CAIXA Std Book" w:cs="Arial"/>
                <w:b/>
                <w:color w:val="005CA9"/>
                <w:sz w:val="18"/>
                <w:szCs w:val="18"/>
              </w:rPr>
            </w:pPr>
            <w:r w:rsidRPr="00E20D21">
              <w:rPr>
                <w:rFonts w:ascii="CAIXA Std Book" w:hAnsi="CAIXA Std Book" w:cs="Arial"/>
                <w:b/>
                <w:color w:val="005CA9"/>
                <w:sz w:val="18"/>
                <w:szCs w:val="18"/>
              </w:rPr>
              <w:t>18.944.007</w:t>
            </w:r>
          </w:p>
        </w:tc>
        <w:tc>
          <w:tcPr>
            <w:tcW w:w="730" w:type="pct"/>
            <w:tcBorders>
              <w:top w:val="single" w:sz="4" w:space="0" w:color="F39200"/>
              <w:left w:val="nil"/>
              <w:bottom w:val="single" w:sz="4" w:space="0" w:color="F79646" w:themeColor="accent6"/>
              <w:right w:val="nil"/>
            </w:tcBorders>
            <w:shd w:val="clear" w:color="auto" w:fill="auto"/>
            <w:vAlign w:val="center"/>
          </w:tcPr>
          <w:p w14:paraId="286B3B3C" w14:textId="4EDA9C99" w:rsidR="00BA0C1E" w:rsidRPr="00E20D21" w:rsidRDefault="00CC49F6" w:rsidP="000672FD">
            <w:pPr>
              <w:jc w:val="right"/>
              <w:rPr>
                <w:rFonts w:ascii="CAIXA Std Book" w:hAnsi="CAIXA Std Book" w:cs="Arial"/>
                <w:b/>
                <w:color w:val="005CA9"/>
                <w:sz w:val="18"/>
                <w:szCs w:val="18"/>
              </w:rPr>
            </w:pPr>
            <w:r w:rsidRPr="00E20D21">
              <w:rPr>
                <w:rFonts w:ascii="CAIXA Std Book" w:hAnsi="CAIXA Std Book" w:cs="Arial"/>
                <w:b/>
                <w:color w:val="005CA9"/>
                <w:sz w:val="18"/>
                <w:szCs w:val="18"/>
              </w:rPr>
              <w:t>11.715.989</w:t>
            </w:r>
          </w:p>
        </w:tc>
        <w:tc>
          <w:tcPr>
            <w:tcW w:w="729" w:type="pct"/>
            <w:tcBorders>
              <w:top w:val="single" w:sz="4" w:space="0" w:color="F39200"/>
              <w:left w:val="nil"/>
              <w:bottom w:val="single" w:sz="4" w:space="0" w:color="F79646" w:themeColor="accent6"/>
              <w:right w:val="nil"/>
            </w:tcBorders>
            <w:shd w:val="clear" w:color="auto" w:fill="auto"/>
            <w:vAlign w:val="center"/>
          </w:tcPr>
          <w:p w14:paraId="7CE791DB" w14:textId="7670E28B" w:rsidR="00BA0C1E" w:rsidRPr="00E20D21" w:rsidRDefault="00BA0C1E" w:rsidP="000672FD">
            <w:pPr>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19.018.744</w:t>
            </w:r>
          </w:p>
        </w:tc>
      </w:tr>
    </w:tbl>
    <w:p w14:paraId="3F8EB3C6" w14:textId="4ED7DC30" w:rsidR="00B80E00" w:rsidRPr="00E20D21" w:rsidRDefault="00B80E00" w:rsidP="00A8208A">
      <w:pPr>
        <w:rPr>
          <w:rFonts w:ascii="CAIXA Std Book" w:hAnsi="CAIXA Std Book"/>
          <w:b/>
          <w:color w:val="005CA9"/>
          <w:sz w:val="20"/>
          <w:szCs w:val="20"/>
        </w:rPr>
        <w:sectPr w:rsidR="00B80E00" w:rsidRPr="00E20D21" w:rsidSect="001F0E96">
          <w:headerReference w:type="default" r:id="rId35"/>
          <w:footerReference w:type="default" r:id="rId36"/>
          <w:pgSz w:w="16840" w:h="11907" w:orient="landscape" w:code="9"/>
          <w:pgMar w:top="1418" w:right="1418" w:bottom="851" w:left="851" w:header="1134" w:footer="709" w:gutter="0"/>
          <w:cols w:space="708"/>
          <w:docGrid w:linePitch="360"/>
        </w:sectPr>
      </w:pPr>
      <w:bookmarkStart w:id="30" w:name="_Hlk31639697"/>
    </w:p>
    <w:p w14:paraId="6DCEAA3D" w14:textId="0D3DC23B" w:rsidR="0019155E" w:rsidRPr="00E20D21" w:rsidRDefault="004917F8" w:rsidP="00FD7768">
      <w:pPr>
        <w:pStyle w:val="Ttulo1"/>
      </w:pPr>
      <w:bookmarkStart w:id="31" w:name="_Toc175067948"/>
      <w:bookmarkEnd w:id="30"/>
      <w:r w:rsidRPr="00E20D21">
        <w:lastRenderedPageBreak/>
        <w:t xml:space="preserve">Nota   8 </w:t>
      </w:r>
      <w:r w:rsidR="001A7E67" w:rsidRPr="00E20D21">
        <w:t>–</w:t>
      </w:r>
      <w:r w:rsidRPr="00E20D21">
        <w:t xml:space="preserve"> </w:t>
      </w:r>
      <w:r w:rsidR="0019155E" w:rsidRPr="00E20D21">
        <w:t>Instrumentos financeiros derivativos</w:t>
      </w:r>
      <w:bookmarkEnd w:id="31"/>
    </w:p>
    <w:p w14:paraId="3437FC8B" w14:textId="7777777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hAnsi="CAIXA Std Book"/>
          <w:color w:val="005CA9"/>
          <w:sz w:val="20"/>
          <w:szCs w:val="20"/>
        </w:rPr>
        <w:t xml:space="preserve">A </w:t>
      </w:r>
      <w:r w:rsidRPr="00E20D21">
        <w:rPr>
          <w:rFonts w:ascii="CAIXA Std Book" w:eastAsiaTheme="minorHAnsi" w:hAnsi="CAIXA Std Book" w:cstheme="minorBidi"/>
          <w:color w:val="005CA9"/>
          <w:sz w:val="20"/>
          <w:szCs w:val="20"/>
          <w:lang w:eastAsia="en-US"/>
        </w:rPr>
        <w:t xml:space="preserve">CAIXA se utiliza de instrumentos financeiros derivativos (IFD), registrados em contas patrimoniais e contas de compensação, que se destinam a atender necessidades próprias para administrar a sua exposição </w:t>
      </w:r>
      <w:proofErr w:type="spellStart"/>
      <w:r w:rsidRPr="00E20D21">
        <w:rPr>
          <w:rFonts w:ascii="CAIXA Std Book" w:eastAsiaTheme="minorHAnsi" w:hAnsi="CAIXA Std Book" w:cstheme="minorBidi"/>
          <w:color w:val="005CA9"/>
          <w:sz w:val="20"/>
          <w:szCs w:val="20"/>
          <w:lang w:eastAsia="en-US"/>
        </w:rPr>
        <w:t>a</w:t>
      </w:r>
      <w:proofErr w:type="spellEnd"/>
      <w:r w:rsidRPr="00E20D21">
        <w:rPr>
          <w:rFonts w:ascii="CAIXA Std Book" w:eastAsiaTheme="minorHAnsi" w:hAnsi="CAIXA Std Book" w:cstheme="minorBidi"/>
          <w:color w:val="005CA9"/>
          <w:sz w:val="20"/>
          <w:szCs w:val="20"/>
          <w:lang w:eastAsia="en-US"/>
        </w:rPr>
        <w:t xml:space="preserve"> risco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Essas operações envolvem contratos futuros de DI, dólar, cupom cambial e contratos de swaps.</w:t>
      </w:r>
    </w:p>
    <w:p w14:paraId="4FE2BEA3" w14:textId="7777777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Os instrumentos financeiros derivativos, quando utilizados como instrumentos de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destinam-se à proteção contra variações cambiais e variações nas taxas de juros de ativos e passivos.</w:t>
      </w:r>
    </w:p>
    <w:p w14:paraId="62179C41" w14:textId="336C566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 CAIXA utiliza duas estratégias de atuação no mercado de instrumento</w:t>
      </w:r>
      <w:r w:rsidR="00400308" w:rsidRPr="00E20D21">
        <w:rPr>
          <w:rFonts w:ascii="CAIXA Std Book" w:eastAsiaTheme="minorHAnsi" w:hAnsi="CAIXA Std Book" w:cstheme="minorBidi"/>
          <w:color w:val="005CA9"/>
          <w:sz w:val="20"/>
          <w:szCs w:val="20"/>
          <w:lang w:eastAsia="en-US"/>
        </w:rPr>
        <w:t>s</w:t>
      </w:r>
      <w:r w:rsidRPr="00E20D21">
        <w:rPr>
          <w:rFonts w:ascii="CAIXA Std Book" w:eastAsiaTheme="minorHAnsi" w:hAnsi="CAIXA Std Book" w:cstheme="minorBidi"/>
          <w:color w:val="005CA9"/>
          <w:sz w:val="20"/>
          <w:szCs w:val="20"/>
          <w:lang w:eastAsia="en-US"/>
        </w:rPr>
        <w:t xml:space="preserve"> derivativos:</w:t>
      </w:r>
    </w:p>
    <w:p w14:paraId="27CDD8A3" w14:textId="3CDD83EC" w:rsidR="00A2008D" w:rsidRPr="00E20D21" w:rsidRDefault="00A2008D" w:rsidP="007273A0">
      <w:pPr>
        <w:pStyle w:val="PargrafodaLista"/>
        <w:numPr>
          <w:ilvl w:val="0"/>
          <w:numId w:val="20"/>
        </w:numPr>
        <w:spacing w:before="120" w:after="120"/>
        <w:contextualSpacing w:val="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de instrumentos financeiros tanto da carteira de negociação quanto da carteira bancária;</w:t>
      </w:r>
    </w:p>
    <w:p w14:paraId="1EFCA488" w14:textId="77777777" w:rsidR="00A2008D" w:rsidRPr="00E20D21" w:rsidRDefault="00A2008D" w:rsidP="007273A0">
      <w:pPr>
        <w:pStyle w:val="PargrafodaLista"/>
        <w:numPr>
          <w:ilvl w:val="0"/>
          <w:numId w:val="20"/>
        </w:numPr>
        <w:spacing w:before="120" w:after="120"/>
        <w:contextualSpacing w:val="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Rentabilização da carteira de negociação.</w:t>
      </w:r>
    </w:p>
    <w:p w14:paraId="17677793" w14:textId="7777777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principal risco de mercado associado à primeira estratégia, ligado ao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de valor justo das operações de crédito, é a exposição à variação da taxa de juros para a parcela inefetiva do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w:t>
      </w:r>
    </w:p>
    <w:p w14:paraId="2BE11A81" w14:textId="0B92149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Em relação à segunda estratégia, o principal risco de mercado é associado </w:t>
      </w:r>
      <w:r w:rsidR="00A36500" w:rsidRPr="00E20D21">
        <w:rPr>
          <w:rFonts w:ascii="CAIXA Std Book" w:eastAsiaTheme="minorHAnsi" w:hAnsi="CAIXA Std Book" w:cstheme="minorBidi"/>
          <w:color w:val="005CA9"/>
          <w:sz w:val="20"/>
          <w:szCs w:val="20"/>
          <w:lang w:eastAsia="en-US"/>
        </w:rPr>
        <w:t>à</w:t>
      </w:r>
      <w:r w:rsidRPr="00E20D21">
        <w:rPr>
          <w:rFonts w:ascii="CAIXA Std Book" w:eastAsiaTheme="minorHAnsi" w:hAnsi="CAIXA Std Book" w:cstheme="minorBidi"/>
          <w:color w:val="005CA9"/>
          <w:sz w:val="20"/>
          <w:szCs w:val="20"/>
          <w:lang w:eastAsia="en-US"/>
        </w:rPr>
        <w:t xml:space="preserve"> variação no preço dos instrumentos derivativos. Essas variações são reconhecidas no resultado do exercício.</w:t>
      </w:r>
    </w:p>
    <w:p w14:paraId="455439CE" w14:textId="7777777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 CAIXA atualmente não opera com derivativos sujeitos a variações de preços não lineares, o que torna essas variações menos amplas.</w:t>
      </w:r>
    </w:p>
    <w:p w14:paraId="1CE74801" w14:textId="7777777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 Instituição gerencia o risco de mercado no contexto da carteira de negociação, objetivando controlar a exposição a esse risco, a perda esperada e o consumo de capital para cobrir esse risco.</w:t>
      </w:r>
    </w:p>
    <w:p w14:paraId="015D2051" w14:textId="7777777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Diariamente são apuradas a exposição líquida a risco de mercado, o </w:t>
      </w:r>
      <w:proofErr w:type="spellStart"/>
      <w:r w:rsidRPr="00E20D21">
        <w:rPr>
          <w:rFonts w:ascii="CAIXA Std Book" w:eastAsiaTheme="minorHAnsi" w:hAnsi="CAIXA Std Book" w:cstheme="minorBidi"/>
          <w:color w:val="005CA9"/>
          <w:sz w:val="20"/>
          <w:szCs w:val="20"/>
          <w:lang w:eastAsia="en-US"/>
        </w:rPr>
        <w:t>VaR</w:t>
      </w:r>
      <w:proofErr w:type="spellEnd"/>
      <w:r w:rsidRPr="00E20D21">
        <w:rPr>
          <w:rFonts w:ascii="CAIXA Std Book" w:eastAsiaTheme="minorHAnsi" w:hAnsi="CAIXA Std Book" w:cstheme="minorBidi"/>
          <w:color w:val="005CA9"/>
          <w:sz w:val="20"/>
          <w:szCs w:val="20"/>
          <w:lang w:eastAsia="en-US"/>
        </w:rPr>
        <w:t xml:space="preserve"> – </w:t>
      </w:r>
      <w:proofErr w:type="spellStart"/>
      <w:r w:rsidRPr="00E20D21">
        <w:rPr>
          <w:rFonts w:ascii="CAIXA Std Book" w:eastAsiaTheme="minorHAnsi" w:hAnsi="CAIXA Std Book" w:cstheme="minorBidi"/>
          <w:i/>
          <w:color w:val="005CA9"/>
          <w:sz w:val="20"/>
          <w:szCs w:val="20"/>
          <w:lang w:eastAsia="en-US"/>
        </w:rPr>
        <w:t>Value</w:t>
      </w:r>
      <w:proofErr w:type="spellEnd"/>
      <w:r w:rsidRPr="00E20D21">
        <w:rPr>
          <w:rFonts w:ascii="CAIXA Std Book" w:eastAsiaTheme="minorHAnsi" w:hAnsi="CAIXA Std Book" w:cstheme="minorBidi"/>
          <w:i/>
          <w:color w:val="005CA9"/>
          <w:sz w:val="20"/>
          <w:szCs w:val="20"/>
          <w:lang w:eastAsia="en-US"/>
        </w:rPr>
        <w:t xml:space="preserve"> </w:t>
      </w:r>
      <w:proofErr w:type="spellStart"/>
      <w:r w:rsidRPr="00E20D21">
        <w:rPr>
          <w:rFonts w:ascii="CAIXA Std Book" w:eastAsiaTheme="minorHAnsi" w:hAnsi="CAIXA Std Book" w:cstheme="minorBidi"/>
          <w:i/>
          <w:color w:val="005CA9"/>
          <w:sz w:val="20"/>
          <w:szCs w:val="20"/>
          <w:lang w:eastAsia="en-US"/>
        </w:rPr>
        <w:t>at</w:t>
      </w:r>
      <w:proofErr w:type="spellEnd"/>
      <w:r w:rsidRPr="00E20D21">
        <w:rPr>
          <w:rFonts w:ascii="CAIXA Std Book" w:eastAsiaTheme="minorHAnsi" w:hAnsi="CAIXA Std Book" w:cstheme="minorBidi"/>
          <w:i/>
          <w:color w:val="005CA9"/>
          <w:sz w:val="20"/>
          <w:szCs w:val="20"/>
          <w:lang w:eastAsia="en-US"/>
        </w:rPr>
        <w:t xml:space="preserve"> Risk</w:t>
      </w:r>
      <w:r w:rsidRPr="00E20D21">
        <w:rPr>
          <w:rFonts w:ascii="CAIXA Std Book" w:eastAsiaTheme="minorHAnsi" w:hAnsi="CAIXA Std Book" w:cstheme="minorBidi"/>
          <w:color w:val="005CA9"/>
          <w:sz w:val="20"/>
          <w:szCs w:val="20"/>
          <w:lang w:eastAsia="en-US"/>
        </w:rPr>
        <w:t xml:space="preserve">, a concentração em fatores de risco, a estrutura a termo, a </w:t>
      </w:r>
      <w:proofErr w:type="spellStart"/>
      <w:r w:rsidRPr="00E20D21">
        <w:rPr>
          <w:rFonts w:ascii="CAIXA Std Book" w:eastAsiaTheme="minorHAnsi" w:hAnsi="CAIXA Std Book" w:cstheme="minorBidi"/>
          <w:i/>
          <w:color w:val="005CA9"/>
          <w:sz w:val="20"/>
          <w:szCs w:val="20"/>
          <w:lang w:eastAsia="en-US"/>
        </w:rPr>
        <w:t>duration</w:t>
      </w:r>
      <w:proofErr w:type="spellEnd"/>
      <w:r w:rsidRPr="00E20D21">
        <w:rPr>
          <w:rFonts w:ascii="CAIXA Std Book" w:eastAsiaTheme="minorHAnsi" w:hAnsi="CAIXA Std Book" w:cstheme="minorBidi"/>
          <w:color w:val="005CA9"/>
          <w:sz w:val="20"/>
          <w:szCs w:val="20"/>
          <w:lang w:eastAsia="en-US"/>
        </w:rPr>
        <w:t xml:space="preserve"> e a alocação de capital da carteira de negociação. Além disso, semanalmente são realizados testes de estresse.</w:t>
      </w:r>
    </w:p>
    <w:p w14:paraId="5383E6F0" w14:textId="7777777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 CAIXA possui uma estrutura de limites para esses indicadores, que são acompanhados diariamente e reportados à governança de riscos quando ocorre alguma extrapolação.</w:t>
      </w:r>
    </w:p>
    <w:p w14:paraId="4A274A74" w14:textId="7777777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Os derivativos geralmente representam compromissos futuros para trocar moedas ou indexadores, ou para comprar/vender outros instrumentos financeiros nos termos e datas especificadas nos contratos. Os contratos de </w:t>
      </w:r>
      <w:r w:rsidRPr="00E20D21">
        <w:rPr>
          <w:rFonts w:ascii="CAIXA Std Book" w:eastAsiaTheme="minorHAnsi" w:hAnsi="CAIXA Std Book" w:cstheme="minorBidi"/>
          <w:i/>
          <w:color w:val="005CA9"/>
          <w:sz w:val="20"/>
          <w:szCs w:val="20"/>
          <w:lang w:eastAsia="en-US"/>
        </w:rPr>
        <w:t>swap</w:t>
      </w:r>
      <w:r w:rsidRPr="00E20D21">
        <w:rPr>
          <w:rFonts w:ascii="CAIXA Std Book" w:eastAsiaTheme="minorHAnsi" w:hAnsi="CAIXA Std Book" w:cstheme="minorBidi"/>
          <w:color w:val="005CA9"/>
          <w:sz w:val="20"/>
          <w:szCs w:val="20"/>
          <w:lang w:eastAsia="en-US"/>
        </w:rPr>
        <w:t xml:space="preserve"> são registrados com ou sem garantia na B3.</w:t>
      </w:r>
    </w:p>
    <w:p w14:paraId="62E3B26C" w14:textId="77777777"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No caso do registro com garantia, há uma </w:t>
      </w:r>
      <w:proofErr w:type="spellStart"/>
      <w:r w:rsidRPr="00E20D21">
        <w:rPr>
          <w:rFonts w:ascii="CAIXA Std Book" w:eastAsiaTheme="minorHAnsi" w:hAnsi="CAIXA Std Book" w:cstheme="minorBidi"/>
          <w:i/>
          <w:color w:val="005CA9"/>
          <w:sz w:val="20"/>
          <w:szCs w:val="20"/>
          <w:lang w:eastAsia="en-US"/>
        </w:rPr>
        <w:t>clearing</w:t>
      </w:r>
      <w:proofErr w:type="spellEnd"/>
      <w:r w:rsidRPr="00E20D21">
        <w:rPr>
          <w:rFonts w:ascii="CAIXA Std Book" w:eastAsiaTheme="minorHAnsi" w:hAnsi="CAIXA Std Book" w:cstheme="minorBidi"/>
          <w:color w:val="005CA9"/>
          <w:sz w:val="20"/>
          <w:szCs w:val="20"/>
          <w:lang w:eastAsia="en-US"/>
        </w:rPr>
        <w:t xml:space="preserve"> que fica responsável pelo cálculo dos ajustes diários e da margem de garantia a ser depositada para o pagamento em caso de </w:t>
      </w:r>
      <w:r w:rsidRPr="00E20D21">
        <w:rPr>
          <w:rFonts w:ascii="CAIXA Std Book" w:eastAsiaTheme="minorHAnsi" w:hAnsi="CAIXA Std Book" w:cstheme="minorBidi"/>
          <w:i/>
          <w:color w:val="005CA9"/>
          <w:sz w:val="20"/>
          <w:szCs w:val="20"/>
          <w:lang w:eastAsia="en-US"/>
        </w:rPr>
        <w:t>default</w:t>
      </w:r>
      <w:r w:rsidRPr="00E20D21">
        <w:rPr>
          <w:rFonts w:ascii="CAIXA Std Book" w:eastAsiaTheme="minorHAnsi" w:hAnsi="CAIXA Std Book" w:cstheme="minorBidi"/>
          <w:color w:val="005CA9"/>
          <w:sz w:val="20"/>
          <w:szCs w:val="20"/>
          <w:lang w:eastAsia="en-US"/>
        </w:rPr>
        <w:t xml:space="preserve"> de alguma das partes. Assim, é a </w:t>
      </w:r>
      <w:proofErr w:type="spellStart"/>
      <w:r w:rsidRPr="00E20D21">
        <w:rPr>
          <w:rFonts w:ascii="CAIXA Std Book" w:eastAsiaTheme="minorHAnsi" w:hAnsi="CAIXA Std Book" w:cstheme="minorBidi"/>
          <w:i/>
          <w:color w:val="005CA9"/>
          <w:sz w:val="20"/>
          <w:szCs w:val="20"/>
          <w:lang w:eastAsia="en-US"/>
        </w:rPr>
        <w:t>clearing</w:t>
      </w:r>
      <w:proofErr w:type="spellEnd"/>
      <w:r w:rsidRPr="00E20D21">
        <w:rPr>
          <w:rFonts w:ascii="CAIXA Std Book" w:eastAsiaTheme="minorHAnsi" w:hAnsi="CAIXA Std Book" w:cstheme="minorBidi"/>
          <w:color w:val="005CA9"/>
          <w:sz w:val="20"/>
          <w:szCs w:val="20"/>
          <w:lang w:eastAsia="en-US"/>
        </w:rPr>
        <w:t xml:space="preserve"> que se torna contraparte dos contratos. Neste tipo de registro, portanto, não há risco de crédito.</w:t>
      </w:r>
    </w:p>
    <w:p w14:paraId="53E01205" w14:textId="6C5AA698"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No caso de registro sem garantia, não há uma </w:t>
      </w:r>
      <w:proofErr w:type="spellStart"/>
      <w:r w:rsidRPr="00E20D21">
        <w:rPr>
          <w:rFonts w:ascii="CAIXA Std Book" w:eastAsiaTheme="minorHAnsi" w:hAnsi="CAIXA Std Book" w:cstheme="minorBidi"/>
          <w:i/>
          <w:color w:val="005CA9"/>
          <w:sz w:val="20"/>
          <w:szCs w:val="20"/>
          <w:lang w:eastAsia="en-US"/>
        </w:rPr>
        <w:t>clearing</w:t>
      </w:r>
      <w:proofErr w:type="spellEnd"/>
      <w:r w:rsidRPr="00E20D21">
        <w:rPr>
          <w:rFonts w:ascii="CAIXA Std Book" w:eastAsiaTheme="minorHAnsi" w:hAnsi="CAIXA Std Book" w:cstheme="minorBidi"/>
          <w:color w:val="005CA9"/>
          <w:sz w:val="20"/>
          <w:szCs w:val="20"/>
          <w:lang w:eastAsia="en-US"/>
        </w:rPr>
        <w:t xml:space="preserve"> que calcula os ajustes diários e garante os pagamentos; os valores são calculados entre as partes. Nestes casos, porém, há a possibilidade de assinatura de contratos (Contrato Global de Derivativos – CGD e Cessão Fiduciária) onde são estabelecidas cláusulas que garantem o pagamento entre as partes. Inclusive, nesta modalidade, há um limite de crédito definido que, quando ultrapassado, requer a necessidade de depósito de ativos em conta de garantia, que é administrada pelas partes. Neste caso, há risco de crédito até o limite estabelecido em contrato.</w:t>
      </w:r>
    </w:p>
    <w:p w14:paraId="6174504C" w14:textId="77777777" w:rsidR="00081950"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As posições dos contratos futuros têm os seus valores referenciais registrados em contas de compensação e os ajustes em contas patrimoniais.</w:t>
      </w:r>
    </w:p>
    <w:p w14:paraId="59F84C04" w14:textId="5C1E0716" w:rsidR="00A2008D" w:rsidRPr="00E20D21" w:rsidRDefault="00A2008D" w:rsidP="001D2145">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A CAIXA não possui instrumento derivativo que tenha ganhos ou perdas registradas em conta destacada do patrimônio líquido, fato que ocorre somente em estruturas de </w:t>
      </w:r>
      <w:r w:rsidRPr="00E20D21">
        <w:rPr>
          <w:rFonts w:ascii="CAIXA Std Book" w:eastAsiaTheme="minorHAnsi" w:hAnsi="CAIXA Std Book" w:cstheme="minorBidi"/>
          <w:i/>
          <w:iCs/>
          <w:color w:val="005CA9"/>
          <w:sz w:val="20"/>
          <w:szCs w:val="20"/>
          <w:lang w:eastAsia="en-US"/>
        </w:rPr>
        <w:t xml:space="preserve">hedge </w:t>
      </w:r>
      <w:proofErr w:type="spellStart"/>
      <w:r w:rsidRPr="00E20D21">
        <w:rPr>
          <w:rFonts w:ascii="CAIXA Std Book" w:eastAsiaTheme="minorHAnsi" w:hAnsi="CAIXA Std Book" w:cstheme="minorBidi"/>
          <w:i/>
          <w:iCs/>
          <w:color w:val="005CA9"/>
          <w:sz w:val="20"/>
          <w:szCs w:val="20"/>
          <w:lang w:eastAsia="en-US"/>
        </w:rPr>
        <w:t>account</w:t>
      </w:r>
      <w:proofErr w:type="spellEnd"/>
      <w:r w:rsidRPr="00E20D21">
        <w:rPr>
          <w:rFonts w:ascii="CAIXA Std Book" w:eastAsiaTheme="minorHAnsi" w:hAnsi="CAIXA Std Book" w:cstheme="minorBidi"/>
          <w:color w:val="005CA9"/>
          <w:sz w:val="20"/>
          <w:szCs w:val="20"/>
          <w:lang w:eastAsia="en-US"/>
        </w:rPr>
        <w:t xml:space="preserve"> de fluxo de caixa. </w:t>
      </w:r>
    </w:p>
    <w:p w14:paraId="28B2EDDE" w14:textId="085B2E9B" w:rsidR="00864629" w:rsidRPr="00E20D21" w:rsidRDefault="00864629" w:rsidP="00864629">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lastRenderedPageBreak/>
        <w:t xml:space="preserve">A Caixa Econômica Federal, na qualidade de agente operador do Fundo de Garantia do Tempo de Serviço – FGTS, é responsável pela operacionalização dos ativos e passivos do Fundo, prestando garantia de </w:t>
      </w:r>
      <w:r w:rsidR="00F02AF4" w:rsidRPr="00E20D21">
        <w:rPr>
          <w:rFonts w:ascii="CAIXA Std Book" w:eastAsiaTheme="minorHAnsi" w:hAnsi="CAIXA Std Book" w:cstheme="minorBidi"/>
          <w:color w:val="005CA9"/>
          <w:sz w:val="20"/>
          <w:szCs w:val="20"/>
          <w:lang w:eastAsia="en-US"/>
        </w:rPr>
        <w:t xml:space="preserve">rentabilidade </w:t>
      </w:r>
      <w:r w:rsidRPr="00E20D21">
        <w:rPr>
          <w:rFonts w:ascii="CAIXA Std Book" w:eastAsiaTheme="minorHAnsi" w:hAnsi="CAIXA Std Book" w:cstheme="minorBidi"/>
          <w:color w:val="005CA9"/>
          <w:sz w:val="20"/>
          <w:szCs w:val="20"/>
          <w:lang w:eastAsia="en-US"/>
        </w:rPr>
        <w:t>mínima aos ativos do FGTS nos termos da Lei n° 8.036/1990</w:t>
      </w:r>
      <w:r w:rsidR="001E2721" w:rsidRPr="00E20D21">
        <w:rPr>
          <w:rFonts w:ascii="CAIXA Std Book" w:eastAsiaTheme="minorHAnsi" w:hAnsi="CAIXA Std Book" w:cstheme="minorBidi"/>
          <w:color w:val="005CA9"/>
          <w:sz w:val="20"/>
          <w:szCs w:val="20"/>
          <w:lang w:eastAsia="en-US"/>
        </w:rPr>
        <w:t xml:space="preserve"> </w:t>
      </w:r>
      <w:r w:rsidRPr="00E20D21">
        <w:rPr>
          <w:rFonts w:ascii="CAIXA Std Book" w:eastAsiaTheme="minorHAnsi" w:hAnsi="CAIXA Std Book" w:cstheme="minorBidi"/>
          <w:color w:val="005CA9"/>
          <w:sz w:val="20"/>
          <w:szCs w:val="20"/>
          <w:lang w:eastAsia="en-US"/>
        </w:rPr>
        <w:t>e das Resoluções do Conselho Curador</w:t>
      </w:r>
      <w:r w:rsidR="000266FA" w:rsidRPr="00E20D21">
        <w:rPr>
          <w:rFonts w:ascii="CAIXA Std Book" w:eastAsiaTheme="minorHAnsi" w:hAnsi="CAIXA Std Book" w:cstheme="minorBidi"/>
          <w:color w:val="005CA9"/>
          <w:sz w:val="20"/>
          <w:szCs w:val="20"/>
          <w:lang w:eastAsia="en-US"/>
        </w:rPr>
        <w:t xml:space="preserve"> </w:t>
      </w:r>
      <w:r w:rsidRPr="00E20D21">
        <w:rPr>
          <w:rFonts w:ascii="CAIXA Std Book" w:eastAsiaTheme="minorHAnsi" w:hAnsi="CAIXA Std Book" w:cstheme="minorBidi"/>
          <w:color w:val="005CA9"/>
          <w:sz w:val="20"/>
          <w:szCs w:val="20"/>
          <w:lang w:eastAsia="en-US"/>
        </w:rPr>
        <w:t>do FGTS n</w:t>
      </w:r>
      <w:r w:rsidR="00C80936" w:rsidRPr="00E20D21">
        <w:rPr>
          <w:rFonts w:ascii="CAIXA Std Book" w:eastAsiaTheme="minorHAnsi" w:hAnsi="CAIXA Std Book" w:cstheme="minorBidi"/>
          <w:color w:val="005CA9"/>
          <w:sz w:val="20"/>
          <w:szCs w:val="20"/>
          <w:lang w:eastAsia="en-US"/>
        </w:rPr>
        <w:t>º</w:t>
      </w:r>
      <w:r w:rsidRPr="00E20D21">
        <w:rPr>
          <w:rFonts w:ascii="CAIXA Std Book" w:eastAsiaTheme="minorHAnsi" w:hAnsi="CAIXA Std Book" w:cstheme="minorBidi"/>
          <w:color w:val="005CA9"/>
          <w:sz w:val="20"/>
          <w:szCs w:val="20"/>
          <w:lang w:eastAsia="en-US"/>
        </w:rPr>
        <w:t xml:space="preserve"> 681/2012, 764/2014, 553/2007, 633/2010, 295/1998</w:t>
      </w:r>
      <w:r w:rsidR="00F22971" w:rsidRPr="00E20D21">
        <w:rPr>
          <w:rFonts w:ascii="CAIXA Std Book" w:eastAsiaTheme="minorHAnsi" w:hAnsi="CAIXA Std Book" w:cstheme="minorBidi"/>
          <w:color w:val="005CA9"/>
          <w:sz w:val="20"/>
          <w:szCs w:val="20"/>
          <w:lang w:eastAsia="en-US"/>
        </w:rPr>
        <w:t xml:space="preserve"> e</w:t>
      </w:r>
      <w:r w:rsidRPr="00E20D21">
        <w:rPr>
          <w:rFonts w:ascii="CAIXA Std Book" w:eastAsiaTheme="minorHAnsi" w:hAnsi="CAIXA Std Book" w:cstheme="minorBidi"/>
          <w:color w:val="005CA9"/>
          <w:sz w:val="20"/>
          <w:szCs w:val="20"/>
          <w:lang w:eastAsia="en-US"/>
        </w:rPr>
        <w:t xml:space="preserve"> 649/2010.</w:t>
      </w:r>
    </w:p>
    <w:p w14:paraId="735C22A8" w14:textId="30A7FEE5" w:rsidR="00864629" w:rsidRPr="00E20D21" w:rsidRDefault="00864629" w:rsidP="00864629">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Dada sua obrigação legal e conforme regramento contábil vigente, a CAIXA deve mensurar, no mínimo anualmente, o valor contábil a ser reconhecido referente à garantia de </w:t>
      </w:r>
      <w:r w:rsidR="00F02AF4" w:rsidRPr="00E20D21">
        <w:rPr>
          <w:rFonts w:ascii="CAIXA Std Book" w:eastAsiaTheme="minorHAnsi" w:hAnsi="CAIXA Std Book" w:cstheme="minorBidi"/>
          <w:color w:val="005CA9"/>
          <w:sz w:val="20"/>
          <w:szCs w:val="20"/>
          <w:lang w:eastAsia="en-US"/>
        </w:rPr>
        <w:t>rentabilidade</w:t>
      </w:r>
      <w:r w:rsidRPr="00E20D21">
        <w:rPr>
          <w:rFonts w:ascii="CAIXA Std Book" w:eastAsiaTheme="minorHAnsi" w:hAnsi="CAIXA Std Book" w:cstheme="minorBidi"/>
          <w:color w:val="005CA9"/>
          <w:sz w:val="20"/>
          <w:szCs w:val="20"/>
          <w:lang w:eastAsia="en-US"/>
        </w:rPr>
        <w:t xml:space="preserve"> mínima assumida com o FGTS.</w:t>
      </w:r>
    </w:p>
    <w:p w14:paraId="30AA6C09" w14:textId="0767E601" w:rsidR="00864629" w:rsidRPr="00E20D21" w:rsidRDefault="00864629" w:rsidP="00864629">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Tendo em vista que a CAIXA presta ao FGTS uma garantia financeira cuja obrigação mínima será zero caso a remuneração mínima seja atingida e não há benefício caso a performance seja superior ao acordado, a present</w:t>
      </w:r>
      <w:r w:rsidR="00F02AF4" w:rsidRPr="00E20D21">
        <w:rPr>
          <w:rFonts w:ascii="CAIXA Std Book" w:eastAsiaTheme="minorHAnsi" w:hAnsi="CAIXA Std Book" w:cstheme="minorBidi"/>
          <w:color w:val="005CA9"/>
          <w:sz w:val="20"/>
          <w:szCs w:val="20"/>
          <w:lang w:eastAsia="en-US"/>
        </w:rPr>
        <w:t>e</w:t>
      </w:r>
      <w:r w:rsidRPr="00E20D21">
        <w:rPr>
          <w:rFonts w:ascii="CAIXA Std Book" w:eastAsiaTheme="minorHAnsi" w:hAnsi="CAIXA Std Book" w:cstheme="minorBidi"/>
          <w:color w:val="005CA9"/>
          <w:sz w:val="20"/>
          <w:szCs w:val="20"/>
          <w:lang w:eastAsia="en-US"/>
        </w:rPr>
        <w:t xml:space="preserve"> obrigação se caracteriza como um derivativo passivo decorrente das obrigações previstas para a administração do FGTS. </w:t>
      </w:r>
    </w:p>
    <w:p w14:paraId="14FF696B" w14:textId="55B2B816" w:rsidR="00864629" w:rsidRPr="00E20D21" w:rsidRDefault="00864629" w:rsidP="00864629">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Dessa forma o Derivativo FGTS visa reconhecer </w:t>
      </w:r>
      <w:r w:rsidR="009F2FEE" w:rsidRPr="00E20D21">
        <w:rPr>
          <w:rFonts w:ascii="CAIXA Std Book" w:eastAsiaTheme="minorHAnsi" w:hAnsi="CAIXA Std Book" w:cstheme="minorBidi"/>
          <w:color w:val="005CA9"/>
          <w:sz w:val="20"/>
          <w:szCs w:val="20"/>
          <w:lang w:eastAsia="en-US"/>
        </w:rPr>
        <w:t xml:space="preserve">contabilmente </w:t>
      </w:r>
      <w:r w:rsidRPr="00E20D21">
        <w:rPr>
          <w:rFonts w:ascii="CAIXA Std Book" w:eastAsiaTheme="minorHAnsi" w:hAnsi="CAIXA Std Book" w:cstheme="minorBidi"/>
          <w:color w:val="005CA9"/>
          <w:sz w:val="20"/>
          <w:szCs w:val="20"/>
          <w:lang w:eastAsia="en-US"/>
        </w:rPr>
        <w:t xml:space="preserve">nas demonstrações </w:t>
      </w:r>
      <w:r w:rsidR="00CD1EBB" w:rsidRPr="00E20D21">
        <w:rPr>
          <w:rFonts w:ascii="CAIXA Std Book" w:eastAsiaTheme="minorHAnsi" w:hAnsi="CAIXA Std Book" w:cstheme="minorBidi"/>
          <w:color w:val="005CA9"/>
          <w:sz w:val="20"/>
          <w:szCs w:val="20"/>
          <w:lang w:eastAsia="en-US"/>
        </w:rPr>
        <w:t>contábeis</w:t>
      </w:r>
      <w:r w:rsidRPr="00E20D21">
        <w:rPr>
          <w:rFonts w:ascii="CAIXA Std Book" w:eastAsiaTheme="minorHAnsi" w:hAnsi="CAIXA Std Book" w:cstheme="minorBidi"/>
          <w:color w:val="005CA9"/>
          <w:sz w:val="20"/>
          <w:szCs w:val="20"/>
          <w:lang w:eastAsia="en-US"/>
        </w:rPr>
        <w:t xml:space="preserve"> da CAIXA o valor contábil a título de garantia de rentabilidade mínima assumida frente ao FGTS, o qual deverá corresponder à estimativa de perda real dos investimentos realizados, consideradas as devidas compensações previstas na norma.</w:t>
      </w:r>
    </w:p>
    <w:p w14:paraId="5F34A66E" w14:textId="1CA279E9" w:rsidR="00FA21CB" w:rsidRPr="00E20D21" w:rsidRDefault="00FA21CB" w:rsidP="00CF6D80">
      <w:pPr>
        <w:tabs>
          <w:tab w:val="left" w:pos="567"/>
        </w:tabs>
        <w:spacing w:before="240" w:after="240"/>
        <w:jc w:val="both"/>
        <w:rPr>
          <w:rFonts w:ascii="CAIXA Std Book" w:hAnsi="CAIXA Std Book"/>
          <w:b/>
          <w:color w:val="005CA9"/>
          <w:sz w:val="20"/>
          <w:szCs w:val="20"/>
        </w:rPr>
      </w:pPr>
      <w:r w:rsidRPr="00E20D21">
        <w:rPr>
          <w:rFonts w:ascii="CAIXA Std Book" w:hAnsi="CAIXA Std Book"/>
          <w:b/>
          <w:color w:val="005CA9"/>
          <w:sz w:val="20"/>
          <w:szCs w:val="20"/>
        </w:rPr>
        <w:t>(</w:t>
      </w:r>
      <w:r w:rsidR="001D2145" w:rsidRPr="00E20D21">
        <w:rPr>
          <w:rFonts w:ascii="CAIXA Std Book" w:hAnsi="CAIXA Std Book"/>
          <w:b/>
          <w:color w:val="005CA9"/>
          <w:sz w:val="20"/>
          <w:szCs w:val="20"/>
        </w:rPr>
        <w:t>a</w:t>
      </w:r>
      <w:r w:rsidRPr="00E20D21">
        <w:rPr>
          <w:rFonts w:ascii="CAIXA Std Book" w:hAnsi="CAIXA Std Book"/>
          <w:b/>
          <w:color w:val="005CA9"/>
          <w:sz w:val="20"/>
          <w:szCs w:val="20"/>
        </w:rPr>
        <w:t>)</w:t>
      </w:r>
      <w:r w:rsidRPr="00E20D21">
        <w:rPr>
          <w:rFonts w:ascii="CAIXA Std Book" w:hAnsi="CAIXA Std Book"/>
          <w:b/>
          <w:color w:val="005CA9"/>
          <w:sz w:val="20"/>
          <w:szCs w:val="20"/>
        </w:rPr>
        <w:tab/>
      </w:r>
      <w:r w:rsidRPr="00E20D21">
        <w:rPr>
          <w:rFonts w:ascii="CAIXA Std Book" w:hAnsi="CAIXA Std Book"/>
          <w:b/>
          <w:i/>
          <w:color w:val="005CA9"/>
          <w:sz w:val="20"/>
          <w:szCs w:val="20"/>
        </w:rPr>
        <w:t>Hedge</w:t>
      </w:r>
      <w:r w:rsidRPr="00E20D21">
        <w:rPr>
          <w:rFonts w:ascii="CAIXA Std Book" w:hAnsi="CAIXA Std Book"/>
          <w:b/>
          <w:color w:val="005CA9"/>
          <w:sz w:val="20"/>
          <w:szCs w:val="20"/>
        </w:rPr>
        <w:t xml:space="preserve"> Contábil</w:t>
      </w:r>
    </w:p>
    <w:p w14:paraId="0EFE7B46" w14:textId="20686833" w:rsidR="00A2008D" w:rsidRPr="00E20D21" w:rsidRDefault="00A2008D" w:rsidP="00BB7CF3">
      <w:pPr>
        <w:rPr>
          <w:rFonts w:ascii="CAIXA Std Book" w:eastAsiaTheme="minorHAnsi" w:hAnsi="CAIXA Std Book" w:cstheme="minorBidi"/>
          <w:color w:val="005CA9"/>
          <w:sz w:val="20"/>
          <w:szCs w:val="20"/>
          <w:lang w:eastAsia="en-US"/>
        </w:rPr>
      </w:pPr>
      <w:r w:rsidRPr="00E20D21">
        <w:rPr>
          <w:rFonts w:ascii="CAIXA Std Book" w:hAnsi="CAIXA Std Book"/>
          <w:color w:val="005CA9"/>
          <w:sz w:val="20"/>
          <w:szCs w:val="20"/>
        </w:rPr>
        <w:t xml:space="preserve">A </w:t>
      </w:r>
      <w:r w:rsidRPr="00E20D21">
        <w:rPr>
          <w:rFonts w:ascii="CAIXA Std Book" w:eastAsiaTheme="minorHAnsi" w:hAnsi="CAIXA Std Book" w:cstheme="minorBidi"/>
          <w:color w:val="005CA9"/>
          <w:sz w:val="20"/>
          <w:szCs w:val="20"/>
          <w:lang w:eastAsia="en-US"/>
        </w:rPr>
        <w:t xml:space="preserve">CAIXA estabeleceu estruturas de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de valor justo para proteger-se da exposição à variação no risco de mercado no pagamento de juros e principal das emissões em letras financeiras indexadas ao IPCA e para proteção da variação da taxa de juros para as operações de crédito.</w:t>
      </w:r>
    </w:p>
    <w:p w14:paraId="10381E5A" w14:textId="77777777" w:rsidR="00A2008D" w:rsidRPr="00E20D21" w:rsidRDefault="00A2008D" w:rsidP="001D2145">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contábil estruturado para as letras financeiras indexadas ao IPCA tem como objetivo a proteção da variação do IPCA e do cupom de IPCA, objeto do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e a proteção ocorre por meio de contratos de </w:t>
      </w:r>
      <w:r w:rsidRPr="00E20D21">
        <w:rPr>
          <w:rFonts w:ascii="CAIXA Std Book" w:eastAsiaTheme="minorHAnsi" w:hAnsi="CAIXA Std Book" w:cstheme="minorBidi"/>
          <w:i/>
          <w:color w:val="005CA9"/>
          <w:sz w:val="20"/>
          <w:szCs w:val="20"/>
          <w:lang w:eastAsia="en-US"/>
        </w:rPr>
        <w:t>swap</w:t>
      </w:r>
      <w:r w:rsidRPr="00E20D21">
        <w:rPr>
          <w:rFonts w:ascii="CAIXA Std Book" w:eastAsiaTheme="minorHAnsi" w:hAnsi="CAIXA Std Book" w:cstheme="minorBidi"/>
          <w:color w:val="005CA9"/>
          <w:sz w:val="20"/>
          <w:szCs w:val="20"/>
          <w:lang w:eastAsia="en-US"/>
        </w:rPr>
        <w:t>, conforme descrito:</w:t>
      </w:r>
    </w:p>
    <w:p w14:paraId="53F10A08" w14:textId="77777777" w:rsidR="00A2008D" w:rsidRPr="00E20D21" w:rsidRDefault="00A2008D" w:rsidP="00F31C31">
      <w:pPr>
        <w:pStyle w:val="PargrafodaLista"/>
        <w:numPr>
          <w:ilvl w:val="0"/>
          <w:numId w:val="3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 xml:space="preserve">Ponta Ativa </w:t>
      </w:r>
      <w:r w:rsidRPr="00E20D21">
        <w:rPr>
          <w:rFonts w:ascii="CAIXA Std Book" w:eastAsiaTheme="minorEastAsia" w:hAnsi="CAIXA Std Book" w:cstheme="minorBidi"/>
          <w:i/>
          <w:color w:val="005CA9"/>
          <w:sz w:val="20"/>
          <w:szCs w:val="20"/>
          <w:lang w:eastAsia="en-US"/>
        </w:rPr>
        <w:t>Swap</w:t>
      </w:r>
      <w:r w:rsidRPr="00E20D21">
        <w:rPr>
          <w:rFonts w:ascii="CAIXA Std Book" w:eastAsiaTheme="minorEastAsia" w:hAnsi="CAIXA Std Book" w:cstheme="minorBidi"/>
          <w:color w:val="005CA9"/>
          <w:sz w:val="20"/>
          <w:szCs w:val="20"/>
          <w:lang w:eastAsia="en-US"/>
        </w:rPr>
        <w:t>: variação do IPCA + cupom;</w:t>
      </w:r>
    </w:p>
    <w:p w14:paraId="611ABC9B" w14:textId="77777777" w:rsidR="00A2008D" w:rsidRPr="00E20D21" w:rsidRDefault="00A2008D" w:rsidP="00F31C31">
      <w:pPr>
        <w:pStyle w:val="PargrafodaLista"/>
        <w:numPr>
          <w:ilvl w:val="0"/>
          <w:numId w:val="3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 xml:space="preserve">Ponta Passiva </w:t>
      </w:r>
      <w:r w:rsidRPr="00E20D21">
        <w:rPr>
          <w:rFonts w:ascii="CAIXA Std Book" w:eastAsiaTheme="minorEastAsia" w:hAnsi="CAIXA Std Book" w:cstheme="minorBidi"/>
          <w:i/>
          <w:color w:val="005CA9"/>
          <w:sz w:val="20"/>
          <w:szCs w:val="20"/>
          <w:lang w:eastAsia="en-US"/>
        </w:rPr>
        <w:t>Swap</w:t>
      </w:r>
      <w:r w:rsidRPr="00E20D21">
        <w:rPr>
          <w:rFonts w:ascii="CAIXA Std Book" w:eastAsiaTheme="minorEastAsia" w:hAnsi="CAIXA Std Book" w:cstheme="minorBidi"/>
          <w:color w:val="005CA9"/>
          <w:sz w:val="20"/>
          <w:szCs w:val="20"/>
          <w:lang w:eastAsia="en-US"/>
        </w:rPr>
        <w:t>: % da variação do DI.</w:t>
      </w:r>
    </w:p>
    <w:p w14:paraId="59C26F22" w14:textId="77777777" w:rsidR="00A2008D" w:rsidRPr="00E20D21" w:rsidRDefault="00A2008D" w:rsidP="001D2145">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contábil estruturado para as operações de crédito ativas, denominado Macro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da carteira bancária, tem como objetivo a proteção do valor de mercado de contratos de crédito, e a proteção ocorre por meio de contratos de futuros DI, conforme descrito:</w:t>
      </w:r>
    </w:p>
    <w:p w14:paraId="132E499D" w14:textId="77777777" w:rsidR="00A2008D" w:rsidRPr="00E20D21" w:rsidRDefault="00A2008D" w:rsidP="007273A0">
      <w:pPr>
        <w:pStyle w:val="PargrafodaLista"/>
        <w:numPr>
          <w:ilvl w:val="0"/>
          <w:numId w:val="19"/>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Ponta Ativa Futuro de DI: % da variação do DI;</w:t>
      </w:r>
    </w:p>
    <w:p w14:paraId="71CAD2D7" w14:textId="77777777" w:rsidR="00A2008D" w:rsidRPr="00E20D21" w:rsidRDefault="00A2008D" w:rsidP="007273A0">
      <w:pPr>
        <w:pStyle w:val="PargrafodaLista"/>
        <w:numPr>
          <w:ilvl w:val="0"/>
          <w:numId w:val="19"/>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Ponta Passiva Futuro de DI: Taxa pré-fixada.</w:t>
      </w:r>
    </w:p>
    <w:p w14:paraId="0D0774E6" w14:textId="07805590" w:rsidR="00A2008D" w:rsidRPr="00E20D21" w:rsidRDefault="00A2008D" w:rsidP="001D2145">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Pelo fato de haver o casamento dos fluxos futuros do objeto do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no caso das letras financeiras, e da ponta ativa do </w:t>
      </w:r>
      <w:r w:rsidRPr="00E20D21">
        <w:rPr>
          <w:rFonts w:ascii="CAIXA Std Book" w:eastAsiaTheme="minorHAnsi" w:hAnsi="CAIXA Std Book" w:cstheme="minorBidi"/>
          <w:i/>
          <w:color w:val="005CA9"/>
          <w:sz w:val="20"/>
          <w:szCs w:val="20"/>
          <w:lang w:eastAsia="en-US"/>
        </w:rPr>
        <w:t>swap</w:t>
      </w:r>
      <w:r w:rsidRPr="00E20D21">
        <w:rPr>
          <w:rFonts w:ascii="CAIXA Std Book" w:eastAsiaTheme="minorHAnsi" w:hAnsi="CAIXA Std Book" w:cstheme="minorBidi"/>
          <w:color w:val="005CA9"/>
          <w:sz w:val="20"/>
          <w:szCs w:val="20"/>
          <w:lang w:eastAsia="en-US"/>
        </w:rPr>
        <w:t>, a efetividade das operações se mantém próxima de 100%, dentro do intervalo de 80% e 125% estabelecido na Circular B</w:t>
      </w:r>
      <w:r w:rsidR="00FC561C" w:rsidRPr="00E20D21">
        <w:rPr>
          <w:rFonts w:ascii="CAIXA Std Book" w:eastAsiaTheme="minorHAnsi" w:hAnsi="CAIXA Std Book" w:cstheme="minorBidi"/>
          <w:color w:val="005CA9"/>
          <w:sz w:val="20"/>
          <w:szCs w:val="20"/>
          <w:lang w:eastAsia="en-US"/>
        </w:rPr>
        <w:t>CB</w:t>
      </w:r>
      <w:r w:rsidRPr="00E20D21">
        <w:rPr>
          <w:rFonts w:ascii="CAIXA Std Book" w:eastAsiaTheme="minorHAnsi" w:hAnsi="CAIXA Std Book" w:cstheme="minorBidi"/>
          <w:color w:val="005CA9"/>
          <w:sz w:val="20"/>
          <w:szCs w:val="20"/>
          <w:lang w:eastAsia="en-US"/>
        </w:rPr>
        <w:t xml:space="preserve"> n° 3.082/2002. </w:t>
      </w:r>
    </w:p>
    <w:p w14:paraId="3863A22F" w14:textId="77777777" w:rsidR="00AD1795" w:rsidRPr="00E20D21" w:rsidRDefault="00AD1795" w:rsidP="00AD1795">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mesmo patamar de efetividade é observado no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das operações de crédito.</w:t>
      </w:r>
    </w:p>
    <w:p w14:paraId="683DA79E" w14:textId="61245A3B" w:rsidR="00AD1795" w:rsidRPr="00E20D21" w:rsidRDefault="00AD1795" w:rsidP="001D2145">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item Ajuste a Valor de Mercado dos instrumentos de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consiste no ajuste acumulado dos contratos de </w:t>
      </w:r>
      <w:r w:rsidRPr="00E20D21">
        <w:rPr>
          <w:rFonts w:ascii="CAIXA Std Book" w:eastAsiaTheme="minorHAnsi" w:hAnsi="CAIXA Std Book" w:cstheme="minorBidi"/>
          <w:i/>
          <w:color w:val="005CA9"/>
          <w:sz w:val="20"/>
          <w:szCs w:val="20"/>
          <w:lang w:eastAsia="en-US"/>
        </w:rPr>
        <w:t>swap</w:t>
      </w:r>
      <w:r w:rsidRPr="00E20D21">
        <w:rPr>
          <w:rFonts w:ascii="CAIXA Std Book" w:eastAsiaTheme="minorHAnsi" w:hAnsi="CAIXA Std Book" w:cstheme="minorBidi"/>
          <w:color w:val="005CA9"/>
          <w:sz w:val="20"/>
          <w:szCs w:val="20"/>
          <w:lang w:eastAsia="en-US"/>
        </w:rPr>
        <w:t xml:space="preserve"> e futuros DI.</w:t>
      </w:r>
    </w:p>
    <w:p w14:paraId="20ADAB24" w14:textId="40B8B4E1" w:rsidR="00FD6A6D" w:rsidRPr="00E20D21" w:rsidRDefault="00FD6A6D" w:rsidP="00A2008D">
      <w:pPr>
        <w:tabs>
          <w:tab w:val="left" w:pos="1134"/>
        </w:tabs>
        <w:spacing w:before="120" w:after="120"/>
        <w:jc w:val="both"/>
        <w:rPr>
          <w:rFonts w:ascii="CAIXA Std Book" w:eastAsia="MS Gothic" w:hAnsi="CAIXA Std Book"/>
          <w:color w:val="005CA9"/>
          <w:sz w:val="20"/>
          <w:szCs w:val="20"/>
          <w:lang w:eastAsia="en-US"/>
        </w:rPr>
        <w:sectPr w:rsidR="00FD6A6D" w:rsidRPr="00E20D21" w:rsidSect="001F0E96">
          <w:headerReference w:type="default" r:id="rId37"/>
          <w:footerReference w:type="default" r:id="rId38"/>
          <w:pgSz w:w="11907" w:h="16840" w:code="9"/>
          <w:pgMar w:top="1418" w:right="851" w:bottom="851" w:left="1418" w:header="1134" w:footer="709" w:gutter="0"/>
          <w:cols w:space="708"/>
          <w:docGrid w:linePitch="360"/>
        </w:sectPr>
      </w:pPr>
    </w:p>
    <w:p w14:paraId="37E60E4E" w14:textId="000FB42C" w:rsidR="006B37AA" w:rsidRPr="00E20D21" w:rsidRDefault="006B37AA" w:rsidP="00A761D3">
      <w:pPr>
        <w:tabs>
          <w:tab w:val="left" w:pos="567"/>
          <w:tab w:val="left" w:pos="2742"/>
        </w:tabs>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lastRenderedPageBreak/>
        <w:t>(</w:t>
      </w:r>
      <w:r w:rsidR="003B2426" w:rsidRPr="00E20D21">
        <w:rPr>
          <w:rFonts w:ascii="CAIXA Std Book" w:hAnsi="CAIXA Std Book"/>
          <w:b/>
          <w:color w:val="005CA9"/>
          <w:sz w:val="20"/>
          <w:szCs w:val="20"/>
        </w:rPr>
        <w:t>a</w:t>
      </w:r>
      <w:r w:rsidRPr="00E20D21">
        <w:rPr>
          <w:rFonts w:ascii="CAIXA Std Book" w:hAnsi="CAIXA Std Book"/>
          <w:b/>
          <w:color w:val="005CA9"/>
          <w:sz w:val="20"/>
          <w:szCs w:val="20"/>
        </w:rPr>
        <w:t>.1)</w:t>
      </w:r>
      <w:r w:rsidRPr="00E20D21">
        <w:rPr>
          <w:rFonts w:ascii="CAIXA Std Book" w:hAnsi="CAIXA Std Book"/>
          <w:b/>
          <w:color w:val="005CA9"/>
          <w:sz w:val="20"/>
          <w:szCs w:val="20"/>
        </w:rPr>
        <w:tab/>
      </w:r>
      <w:r w:rsidRPr="00E20D21">
        <w:rPr>
          <w:rFonts w:ascii="CAIXA Std Book" w:hAnsi="CAIXA Std Book"/>
          <w:b/>
          <w:i/>
          <w:color w:val="005CA9"/>
          <w:sz w:val="20"/>
          <w:szCs w:val="20"/>
        </w:rPr>
        <w:t>Hedge</w:t>
      </w:r>
      <w:r w:rsidRPr="00E20D21">
        <w:rPr>
          <w:rFonts w:ascii="CAIXA Std Book" w:hAnsi="CAIXA Std Book"/>
          <w:b/>
          <w:color w:val="005CA9"/>
          <w:sz w:val="20"/>
          <w:szCs w:val="20"/>
        </w:rPr>
        <w:t xml:space="preserve"> Contábil</w:t>
      </w:r>
    </w:p>
    <w:tbl>
      <w:tblPr>
        <w:tblW w:w="5000" w:type="pct"/>
        <w:tblCellMar>
          <w:left w:w="70" w:type="dxa"/>
          <w:right w:w="70" w:type="dxa"/>
        </w:tblCellMar>
        <w:tblLook w:val="04A0" w:firstRow="1" w:lastRow="0" w:firstColumn="1" w:lastColumn="0" w:noHBand="0" w:noVBand="1"/>
      </w:tblPr>
      <w:tblGrid>
        <w:gridCol w:w="3119"/>
        <w:gridCol w:w="1985"/>
        <w:gridCol w:w="1215"/>
        <w:gridCol w:w="1011"/>
        <w:gridCol w:w="1247"/>
        <w:gridCol w:w="1206"/>
        <w:gridCol w:w="1244"/>
        <w:gridCol w:w="1113"/>
        <w:gridCol w:w="1227"/>
        <w:gridCol w:w="1204"/>
      </w:tblGrid>
      <w:tr w:rsidR="00A47C19" w:rsidRPr="00E20D21" w14:paraId="06E6CA24" w14:textId="77777777" w:rsidTr="00B87E38">
        <w:trPr>
          <w:trHeight w:val="283"/>
        </w:trPr>
        <w:tc>
          <w:tcPr>
            <w:tcW w:w="5000" w:type="pct"/>
            <w:gridSpan w:val="10"/>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4245B2BD"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INDIVIDUAL / CONSOLIDADO</w:t>
            </w:r>
          </w:p>
        </w:tc>
      </w:tr>
      <w:tr w:rsidR="00A47C19" w:rsidRPr="00E20D21" w14:paraId="6D6C1D50" w14:textId="77777777" w:rsidTr="00B87E38">
        <w:trPr>
          <w:trHeight w:val="283"/>
        </w:trPr>
        <w:tc>
          <w:tcPr>
            <w:tcW w:w="1751" w:type="pct"/>
            <w:gridSpan w:val="2"/>
            <w:vMerge w:val="restart"/>
            <w:tcBorders>
              <w:top w:val="single" w:sz="4" w:space="0" w:color="F79646"/>
              <w:left w:val="nil"/>
              <w:bottom w:val="single" w:sz="8" w:space="0" w:color="F79646"/>
              <w:right w:val="nil"/>
            </w:tcBorders>
            <w:shd w:val="clear" w:color="auto" w:fill="auto"/>
            <w:noWrap/>
            <w:tcMar>
              <w:top w:w="15" w:type="dxa"/>
              <w:left w:w="15" w:type="dxa"/>
              <w:bottom w:w="0" w:type="dxa"/>
              <w:right w:w="15" w:type="dxa"/>
            </w:tcMar>
            <w:vAlign w:val="center"/>
            <w:hideMark/>
          </w:tcPr>
          <w:p w14:paraId="5EE57382"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Estratégia</w:t>
            </w:r>
          </w:p>
        </w:tc>
        <w:tc>
          <w:tcPr>
            <w:tcW w:w="1606" w:type="pct"/>
            <w:gridSpan w:val="4"/>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238D376B" w14:textId="449B7C38" w:rsidR="009C1F9F" w:rsidRPr="00E20D21" w:rsidRDefault="00963492">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30/06/2024</w:t>
            </w:r>
          </w:p>
        </w:tc>
        <w:tc>
          <w:tcPr>
            <w:tcW w:w="1643" w:type="pct"/>
            <w:gridSpan w:val="4"/>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7B93BAA4" w14:textId="7450E9DC"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31/12/202</w:t>
            </w:r>
            <w:r w:rsidR="00963492" w:rsidRPr="00E20D21">
              <w:rPr>
                <w:rFonts w:ascii="CAIXA Std Book" w:hAnsi="CAIXA Std Book" w:cs="Calibri"/>
                <w:b/>
                <w:bCs/>
                <w:color w:val="005CA9"/>
                <w:sz w:val="18"/>
                <w:szCs w:val="18"/>
              </w:rPr>
              <w:t>3</w:t>
            </w:r>
          </w:p>
        </w:tc>
      </w:tr>
      <w:tr w:rsidR="00A47C19" w:rsidRPr="00E20D21" w14:paraId="01B43CCE" w14:textId="77777777" w:rsidTr="00B87E38">
        <w:trPr>
          <w:trHeight w:val="283"/>
        </w:trPr>
        <w:tc>
          <w:tcPr>
            <w:tcW w:w="1751" w:type="pct"/>
            <w:gridSpan w:val="2"/>
            <w:vMerge/>
            <w:tcBorders>
              <w:top w:val="single" w:sz="4" w:space="0" w:color="F79646"/>
              <w:left w:val="nil"/>
              <w:bottom w:val="single" w:sz="8" w:space="0" w:color="F79646"/>
              <w:right w:val="nil"/>
            </w:tcBorders>
            <w:vAlign w:val="center"/>
            <w:hideMark/>
          </w:tcPr>
          <w:p w14:paraId="67AD6A17" w14:textId="77777777" w:rsidR="009C1F9F" w:rsidRPr="00E20D21" w:rsidRDefault="009C1F9F">
            <w:pPr>
              <w:rPr>
                <w:rFonts w:ascii="CAIXA Std Book" w:hAnsi="CAIXA Std Book" w:cs="Calibri"/>
                <w:b/>
                <w:bCs/>
                <w:color w:val="005CA9"/>
                <w:sz w:val="18"/>
                <w:szCs w:val="18"/>
              </w:rPr>
            </w:pPr>
          </w:p>
        </w:tc>
        <w:tc>
          <w:tcPr>
            <w:tcW w:w="764"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02CBE115"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 xml:space="preserve">Instrumentos de </w:t>
            </w:r>
            <w:r w:rsidRPr="00E20D21">
              <w:rPr>
                <w:rFonts w:ascii="CAIXA Std Book" w:hAnsi="CAIXA Std Book" w:cs="Calibri"/>
                <w:b/>
                <w:bCs/>
                <w:i/>
                <w:iCs/>
                <w:color w:val="005CA9"/>
                <w:sz w:val="18"/>
                <w:szCs w:val="18"/>
              </w:rPr>
              <w:t>Hedge</w:t>
            </w:r>
          </w:p>
        </w:tc>
        <w:tc>
          <w:tcPr>
            <w:tcW w:w="842"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286853E"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 xml:space="preserve">Objeto de </w:t>
            </w:r>
            <w:r w:rsidRPr="00E20D21">
              <w:rPr>
                <w:rFonts w:ascii="CAIXA Std Book" w:hAnsi="CAIXA Std Book" w:cs="Calibri"/>
                <w:b/>
                <w:bCs/>
                <w:i/>
                <w:iCs/>
                <w:color w:val="005CA9"/>
                <w:sz w:val="18"/>
                <w:szCs w:val="18"/>
              </w:rPr>
              <w:t>Hedge</w:t>
            </w:r>
          </w:p>
        </w:tc>
        <w:tc>
          <w:tcPr>
            <w:tcW w:w="809"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5DB29894"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 xml:space="preserve">Instrumentos de </w:t>
            </w:r>
            <w:r w:rsidRPr="00E20D21">
              <w:rPr>
                <w:rFonts w:ascii="CAIXA Std Book" w:hAnsi="CAIXA Std Book" w:cs="Calibri"/>
                <w:b/>
                <w:bCs/>
                <w:i/>
                <w:iCs/>
                <w:color w:val="005CA9"/>
                <w:sz w:val="18"/>
                <w:szCs w:val="18"/>
              </w:rPr>
              <w:t>Hedge</w:t>
            </w:r>
          </w:p>
        </w:tc>
        <w:tc>
          <w:tcPr>
            <w:tcW w:w="834"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27945CAE"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 xml:space="preserve">Objeto de </w:t>
            </w:r>
            <w:r w:rsidRPr="00E20D21">
              <w:rPr>
                <w:rFonts w:ascii="CAIXA Std Book" w:hAnsi="CAIXA Std Book" w:cs="Calibri"/>
                <w:b/>
                <w:bCs/>
                <w:i/>
                <w:iCs/>
                <w:color w:val="005CA9"/>
                <w:sz w:val="18"/>
                <w:szCs w:val="18"/>
              </w:rPr>
              <w:t>Hedge</w:t>
            </w:r>
          </w:p>
        </w:tc>
      </w:tr>
      <w:tr w:rsidR="00A47C19" w:rsidRPr="00E20D21" w14:paraId="7F19213E" w14:textId="77777777" w:rsidTr="00B87E38">
        <w:trPr>
          <w:trHeight w:val="283"/>
        </w:trPr>
        <w:tc>
          <w:tcPr>
            <w:tcW w:w="1751" w:type="pct"/>
            <w:gridSpan w:val="2"/>
            <w:vMerge/>
            <w:tcBorders>
              <w:top w:val="nil"/>
              <w:left w:val="nil"/>
              <w:bottom w:val="single" w:sz="4" w:space="0" w:color="F79646"/>
              <w:right w:val="nil"/>
            </w:tcBorders>
            <w:vAlign w:val="center"/>
            <w:hideMark/>
          </w:tcPr>
          <w:p w14:paraId="7A8D6A26" w14:textId="77777777" w:rsidR="009C1F9F" w:rsidRPr="00E20D21" w:rsidRDefault="009C1F9F">
            <w:pPr>
              <w:rPr>
                <w:rFonts w:ascii="CAIXA Std Book" w:hAnsi="CAIXA Std Book" w:cs="Calibri"/>
                <w:b/>
                <w:bCs/>
                <w:color w:val="005CA9"/>
                <w:sz w:val="18"/>
                <w:szCs w:val="18"/>
              </w:rPr>
            </w:pPr>
          </w:p>
        </w:tc>
        <w:tc>
          <w:tcPr>
            <w:tcW w:w="417"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1E2E204E"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Valor Principal</w:t>
            </w:r>
          </w:p>
        </w:tc>
        <w:tc>
          <w:tcPr>
            <w:tcW w:w="347"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A9A1B7D"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Variação de Valor de Mercado</w:t>
            </w:r>
          </w:p>
        </w:tc>
        <w:tc>
          <w:tcPr>
            <w:tcW w:w="428"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351D6B5E"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Valor de Mercado</w:t>
            </w:r>
          </w:p>
        </w:tc>
        <w:tc>
          <w:tcPr>
            <w:tcW w:w="414"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44ACD0A3"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Ajuste de Marcação a Mercado</w:t>
            </w:r>
          </w:p>
        </w:tc>
        <w:tc>
          <w:tcPr>
            <w:tcW w:w="427"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34CCCEBD"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Valor Principal</w:t>
            </w:r>
          </w:p>
        </w:tc>
        <w:tc>
          <w:tcPr>
            <w:tcW w:w="382"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3023F41D"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Variação de Valor de Mercado</w:t>
            </w:r>
          </w:p>
        </w:tc>
        <w:tc>
          <w:tcPr>
            <w:tcW w:w="421"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E58D300"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Valor de Mercado</w:t>
            </w:r>
          </w:p>
        </w:tc>
        <w:tc>
          <w:tcPr>
            <w:tcW w:w="413"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0A3985D" w14:textId="77777777" w:rsidR="009C1F9F" w:rsidRPr="00E20D21" w:rsidRDefault="009C1F9F">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Ajuste de Marcação a Mercado</w:t>
            </w:r>
          </w:p>
        </w:tc>
      </w:tr>
      <w:tr w:rsidR="00A47C19" w:rsidRPr="00E20D21" w14:paraId="508F9DE1" w14:textId="77777777" w:rsidTr="00B87E38">
        <w:trPr>
          <w:trHeight w:val="283"/>
        </w:trPr>
        <w:tc>
          <w:tcPr>
            <w:tcW w:w="1751" w:type="pct"/>
            <w:gridSpan w:val="2"/>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021D323A" w14:textId="1817D2C3" w:rsidR="009C1F9F" w:rsidRPr="00E20D21" w:rsidRDefault="009C1F9F">
            <w:pPr>
              <w:rPr>
                <w:rFonts w:ascii="CAIXA Std Book" w:hAnsi="CAIXA Std Book" w:cs="Calibri"/>
                <w:b/>
                <w:bCs/>
                <w:color w:val="005CA9"/>
                <w:sz w:val="18"/>
                <w:szCs w:val="18"/>
              </w:rPr>
            </w:pPr>
            <w:r w:rsidRPr="00E20D21">
              <w:rPr>
                <w:rFonts w:ascii="CAIXA Std Book" w:hAnsi="CAIXA Std Book" w:cs="Calibri"/>
                <w:b/>
                <w:bCs/>
                <w:color w:val="005CA9"/>
                <w:sz w:val="18"/>
                <w:szCs w:val="18"/>
              </w:rPr>
              <w:t>Risco de taxa de juros</w:t>
            </w:r>
            <w:r w:rsidR="00E5152C" w:rsidRPr="00E20D21">
              <w:rPr>
                <w:rFonts w:ascii="CAIXA Std Book" w:hAnsi="CAIXA Std Book" w:cs="Calibri"/>
                <w:b/>
                <w:bCs/>
                <w:color w:val="005CA9"/>
                <w:sz w:val="18"/>
                <w:szCs w:val="18"/>
              </w:rPr>
              <w:t xml:space="preserve"> (1)</w:t>
            </w:r>
          </w:p>
        </w:tc>
        <w:tc>
          <w:tcPr>
            <w:tcW w:w="417"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351C815C" w14:textId="77777777" w:rsidR="009C1F9F" w:rsidRPr="00E20D21" w:rsidRDefault="009C1F9F">
            <w:pPr>
              <w:rPr>
                <w:rFonts w:ascii="CAIXA Std Book" w:hAnsi="CAIXA Std Book" w:cs="Calibri"/>
                <w:b/>
                <w:bCs/>
                <w:color w:val="005CA9"/>
                <w:sz w:val="18"/>
                <w:szCs w:val="18"/>
              </w:rPr>
            </w:pPr>
          </w:p>
        </w:tc>
        <w:tc>
          <w:tcPr>
            <w:tcW w:w="347"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219B794C" w14:textId="77777777" w:rsidR="009C1F9F" w:rsidRPr="00E20D21" w:rsidRDefault="009C1F9F">
            <w:pPr>
              <w:rPr>
                <w:rFonts w:ascii="CAIXA Std Book" w:hAnsi="CAIXA Std Book"/>
                <w:color w:val="005CA9"/>
                <w:sz w:val="18"/>
                <w:szCs w:val="18"/>
              </w:rPr>
            </w:pPr>
          </w:p>
        </w:tc>
        <w:tc>
          <w:tcPr>
            <w:tcW w:w="428"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64891F0A" w14:textId="77777777" w:rsidR="009C1F9F" w:rsidRPr="00E20D21" w:rsidRDefault="009C1F9F">
            <w:pPr>
              <w:rPr>
                <w:rFonts w:ascii="CAIXA Std Book" w:hAnsi="CAIXA Std Book"/>
                <w:color w:val="005CA9"/>
                <w:sz w:val="18"/>
                <w:szCs w:val="18"/>
              </w:rPr>
            </w:pPr>
          </w:p>
        </w:tc>
        <w:tc>
          <w:tcPr>
            <w:tcW w:w="414"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7B78B8F1" w14:textId="77777777" w:rsidR="009C1F9F" w:rsidRPr="00E20D21" w:rsidRDefault="009C1F9F">
            <w:pPr>
              <w:rPr>
                <w:rFonts w:ascii="CAIXA Std Book" w:hAnsi="CAIXA Std Book"/>
                <w:color w:val="005CA9"/>
                <w:sz w:val="18"/>
                <w:szCs w:val="18"/>
              </w:rPr>
            </w:pPr>
          </w:p>
        </w:tc>
        <w:tc>
          <w:tcPr>
            <w:tcW w:w="427"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615BEE7C" w14:textId="77777777" w:rsidR="009C1F9F" w:rsidRPr="00E20D21" w:rsidRDefault="009C1F9F">
            <w:pPr>
              <w:rPr>
                <w:rFonts w:ascii="CAIXA Std Book" w:hAnsi="CAIXA Std Book"/>
                <w:color w:val="005CA9"/>
                <w:sz w:val="18"/>
                <w:szCs w:val="18"/>
              </w:rPr>
            </w:pPr>
          </w:p>
        </w:tc>
        <w:tc>
          <w:tcPr>
            <w:tcW w:w="382"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1ED8EB7B" w14:textId="77777777" w:rsidR="009C1F9F" w:rsidRPr="00E20D21" w:rsidRDefault="009C1F9F">
            <w:pPr>
              <w:rPr>
                <w:rFonts w:ascii="CAIXA Std Book" w:hAnsi="CAIXA Std Book"/>
                <w:color w:val="005CA9"/>
                <w:sz w:val="18"/>
                <w:szCs w:val="18"/>
              </w:rPr>
            </w:pPr>
          </w:p>
        </w:tc>
        <w:tc>
          <w:tcPr>
            <w:tcW w:w="421"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02CE9EC3" w14:textId="77777777" w:rsidR="009C1F9F" w:rsidRPr="00E20D21" w:rsidRDefault="009C1F9F">
            <w:pPr>
              <w:rPr>
                <w:rFonts w:ascii="CAIXA Std Book" w:hAnsi="CAIXA Std Book"/>
                <w:color w:val="005CA9"/>
                <w:sz w:val="18"/>
                <w:szCs w:val="18"/>
              </w:rPr>
            </w:pPr>
          </w:p>
        </w:tc>
        <w:tc>
          <w:tcPr>
            <w:tcW w:w="413"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4BAD407B" w14:textId="77777777" w:rsidR="009C1F9F" w:rsidRPr="00E20D21" w:rsidRDefault="009C1F9F">
            <w:pPr>
              <w:rPr>
                <w:rFonts w:ascii="CAIXA Std Book" w:hAnsi="CAIXA Std Book"/>
                <w:color w:val="005CA9"/>
                <w:sz w:val="18"/>
                <w:szCs w:val="18"/>
              </w:rPr>
            </w:pPr>
          </w:p>
        </w:tc>
      </w:tr>
      <w:tr w:rsidR="00A47C19" w:rsidRPr="00E20D21" w14:paraId="2469C880" w14:textId="77777777" w:rsidTr="00342340">
        <w:trPr>
          <w:trHeight w:val="283"/>
        </w:trPr>
        <w:tc>
          <w:tcPr>
            <w:tcW w:w="1070" w:type="pct"/>
            <w:tcBorders>
              <w:top w:val="single" w:sz="4" w:space="0" w:color="F79646"/>
              <w:left w:val="nil"/>
              <w:right w:val="nil"/>
            </w:tcBorders>
            <w:shd w:val="clear" w:color="auto" w:fill="auto"/>
            <w:tcMar>
              <w:top w:w="15" w:type="dxa"/>
              <w:left w:w="225" w:type="dxa"/>
              <w:bottom w:w="0" w:type="dxa"/>
              <w:right w:w="15" w:type="dxa"/>
            </w:tcMar>
            <w:vAlign w:val="center"/>
            <w:hideMark/>
          </w:tcPr>
          <w:p w14:paraId="67FBAD50" w14:textId="1E4CFCC1" w:rsidR="00963492" w:rsidRPr="00E20D21" w:rsidRDefault="00963492" w:rsidP="00963492">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Hedge da carteira de crédito</w:t>
            </w:r>
          </w:p>
        </w:tc>
        <w:tc>
          <w:tcPr>
            <w:tcW w:w="681" w:type="pct"/>
            <w:tcBorders>
              <w:top w:val="single" w:sz="4" w:space="0" w:color="F79646"/>
              <w:left w:val="nil"/>
              <w:right w:val="nil"/>
            </w:tcBorders>
            <w:shd w:val="clear" w:color="auto" w:fill="auto"/>
            <w:vAlign w:val="center"/>
          </w:tcPr>
          <w:p w14:paraId="30A8A07F" w14:textId="6560C1D3" w:rsidR="00963492" w:rsidRPr="00E20D21" w:rsidRDefault="00963492" w:rsidP="00963492">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Contrato futuro (2)</w:t>
            </w:r>
          </w:p>
        </w:tc>
        <w:tc>
          <w:tcPr>
            <w:tcW w:w="417" w:type="pct"/>
            <w:tcBorders>
              <w:top w:val="nil"/>
              <w:left w:val="nil"/>
              <w:right w:val="nil"/>
            </w:tcBorders>
            <w:shd w:val="clear" w:color="auto" w:fill="auto"/>
            <w:noWrap/>
            <w:tcMar>
              <w:top w:w="15" w:type="dxa"/>
              <w:left w:w="15" w:type="dxa"/>
              <w:bottom w:w="0" w:type="dxa"/>
              <w:right w:w="15" w:type="dxa"/>
            </w:tcMar>
            <w:vAlign w:val="center"/>
          </w:tcPr>
          <w:p w14:paraId="50220738" w14:textId="60FDDB3F" w:rsidR="00963492" w:rsidRPr="00E20D21" w:rsidRDefault="00A942DD" w:rsidP="00963492">
            <w:pPr>
              <w:jc w:val="right"/>
              <w:rPr>
                <w:rFonts w:ascii="CAIXA Std Book" w:hAnsi="CAIXA Std Book" w:cs="Calibri"/>
                <w:color w:val="005CA9"/>
                <w:sz w:val="18"/>
                <w:szCs w:val="18"/>
              </w:rPr>
            </w:pPr>
            <w:r w:rsidRPr="00E20D21">
              <w:rPr>
                <w:rFonts w:ascii="CAIXA Std Book" w:hAnsi="CAIXA Std Book" w:cs="Arial"/>
                <w:color w:val="005CA9"/>
                <w:sz w:val="18"/>
                <w:szCs w:val="18"/>
              </w:rPr>
              <w:t>24.223.758</w:t>
            </w:r>
          </w:p>
        </w:tc>
        <w:tc>
          <w:tcPr>
            <w:tcW w:w="347" w:type="pct"/>
            <w:tcBorders>
              <w:top w:val="nil"/>
              <w:left w:val="nil"/>
              <w:right w:val="nil"/>
            </w:tcBorders>
            <w:shd w:val="clear" w:color="auto" w:fill="auto"/>
            <w:noWrap/>
            <w:tcMar>
              <w:top w:w="15" w:type="dxa"/>
              <w:left w:w="15" w:type="dxa"/>
              <w:bottom w:w="0" w:type="dxa"/>
              <w:right w:w="15" w:type="dxa"/>
            </w:tcMar>
            <w:vAlign w:val="center"/>
          </w:tcPr>
          <w:p w14:paraId="447BDC70" w14:textId="05D0F1B5" w:rsidR="00963492" w:rsidRPr="00E20D21" w:rsidRDefault="00A942DD" w:rsidP="00963492">
            <w:pPr>
              <w:jc w:val="right"/>
              <w:rPr>
                <w:rFonts w:ascii="CAIXA Std Book" w:hAnsi="CAIXA Std Book" w:cs="Calibri"/>
                <w:color w:val="005CA9"/>
                <w:sz w:val="18"/>
                <w:szCs w:val="18"/>
              </w:rPr>
            </w:pPr>
            <w:r w:rsidRPr="00E20D21">
              <w:rPr>
                <w:rFonts w:ascii="CAIXA Std Book" w:hAnsi="CAIXA Std Book" w:cs="Arial"/>
                <w:color w:val="005CA9"/>
                <w:sz w:val="18"/>
                <w:szCs w:val="18"/>
              </w:rPr>
              <w:t>545.923</w:t>
            </w:r>
          </w:p>
        </w:tc>
        <w:tc>
          <w:tcPr>
            <w:tcW w:w="428" w:type="pct"/>
            <w:tcBorders>
              <w:top w:val="nil"/>
              <w:left w:val="nil"/>
              <w:right w:val="nil"/>
            </w:tcBorders>
            <w:shd w:val="clear" w:color="auto" w:fill="auto"/>
            <w:noWrap/>
            <w:tcMar>
              <w:top w:w="15" w:type="dxa"/>
              <w:left w:w="15" w:type="dxa"/>
              <w:bottom w:w="0" w:type="dxa"/>
              <w:right w:w="15" w:type="dxa"/>
            </w:tcMar>
            <w:vAlign w:val="center"/>
          </w:tcPr>
          <w:p w14:paraId="5EC4A082" w14:textId="3BD55CDC" w:rsidR="00963492" w:rsidRPr="00E20D21" w:rsidRDefault="00A942DD" w:rsidP="00963492">
            <w:pPr>
              <w:jc w:val="right"/>
              <w:rPr>
                <w:rFonts w:ascii="CAIXA Std Book" w:hAnsi="CAIXA Std Book" w:cs="Calibri"/>
                <w:color w:val="005CA9"/>
                <w:sz w:val="18"/>
                <w:szCs w:val="18"/>
              </w:rPr>
            </w:pPr>
            <w:r w:rsidRPr="00E20D21">
              <w:rPr>
                <w:rFonts w:ascii="CAIXA Std Book" w:hAnsi="CAIXA Std Book" w:cs="Arial"/>
                <w:color w:val="005CA9"/>
                <w:sz w:val="18"/>
                <w:szCs w:val="18"/>
              </w:rPr>
              <w:t>21.718.667</w:t>
            </w:r>
          </w:p>
        </w:tc>
        <w:tc>
          <w:tcPr>
            <w:tcW w:w="414" w:type="pct"/>
            <w:tcBorders>
              <w:top w:val="nil"/>
              <w:left w:val="nil"/>
              <w:right w:val="nil"/>
            </w:tcBorders>
            <w:shd w:val="clear" w:color="auto" w:fill="auto"/>
            <w:noWrap/>
            <w:tcMar>
              <w:top w:w="15" w:type="dxa"/>
              <w:left w:w="15" w:type="dxa"/>
              <w:bottom w:w="0" w:type="dxa"/>
              <w:right w:w="15" w:type="dxa"/>
            </w:tcMar>
            <w:vAlign w:val="center"/>
          </w:tcPr>
          <w:p w14:paraId="384E83AD" w14:textId="047DB0F0" w:rsidR="00963492" w:rsidRPr="00E20D21" w:rsidRDefault="00A942DD" w:rsidP="00963492">
            <w:pPr>
              <w:jc w:val="right"/>
              <w:rPr>
                <w:rFonts w:ascii="CAIXA Std Book" w:hAnsi="CAIXA Std Book" w:cs="Calibri"/>
                <w:color w:val="005CA9"/>
                <w:sz w:val="18"/>
                <w:szCs w:val="18"/>
              </w:rPr>
            </w:pPr>
            <w:r w:rsidRPr="00E20D21">
              <w:rPr>
                <w:rFonts w:ascii="CAIXA Std Book" w:hAnsi="CAIXA Std Book" w:cs="Arial"/>
                <w:color w:val="005CA9"/>
                <w:sz w:val="18"/>
                <w:szCs w:val="18"/>
              </w:rPr>
              <w:t>(516.811)</w:t>
            </w:r>
          </w:p>
        </w:tc>
        <w:tc>
          <w:tcPr>
            <w:tcW w:w="427"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371E65A1" w14:textId="35A34584" w:rsidR="00963492" w:rsidRPr="00E20D21" w:rsidRDefault="00963492" w:rsidP="00963492">
            <w:pPr>
              <w:jc w:val="right"/>
              <w:rPr>
                <w:rFonts w:ascii="CAIXA Std Book" w:hAnsi="CAIXA Std Book" w:cs="Calibri"/>
                <w:color w:val="005CA9"/>
                <w:sz w:val="18"/>
                <w:szCs w:val="18"/>
              </w:rPr>
            </w:pPr>
            <w:r w:rsidRPr="00E20D21">
              <w:rPr>
                <w:rFonts w:ascii="CAIXA Std Book" w:hAnsi="CAIXA Std Book" w:cs="Calibri"/>
                <w:color w:val="005CA9"/>
                <w:sz w:val="18"/>
                <w:szCs w:val="18"/>
              </w:rPr>
              <w:t>18.360.702</w:t>
            </w:r>
          </w:p>
        </w:tc>
        <w:tc>
          <w:tcPr>
            <w:tcW w:w="382"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242DACE7" w14:textId="6DB24293" w:rsidR="00963492" w:rsidRPr="00E20D21" w:rsidRDefault="00963492" w:rsidP="00963492">
            <w:pPr>
              <w:jc w:val="right"/>
              <w:rPr>
                <w:rFonts w:ascii="CAIXA Std Book" w:hAnsi="CAIXA Std Book" w:cs="Calibri"/>
                <w:color w:val="005CA9"/>
                <w:sz w:val="18"/>
                <w:szCs w:val="18"/>
              </w:rPr>
            </w:pPr>
            <w:r w:rsidRPr="00E20D21">
              <w:rPr>
                <w:rFonts w:ascii="CAIXA Std Book" w:hAnsi="CAIXA Std Book" w:cs="Calibri"/>
                <w:color w:val="005CA9"/>
                <w:sz w:val="18"/>
                <w:szCs w:val="18"/>
              </w:rPr>
              <w:t>(77.309)</w:t>
            </w:r>
          </w:p>
        </w:tc>
        <w:tc>
          <w:tcPr>
            <w:tcW w:w="421"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074EE47A" w14:textId="20FC8710" w:rsidR="00963492" w:rsidRPr="00E20D21" w:rsidRDefault="00963492" w:rsidP="00963492">
            <w:pPr>
              <w:jc w:val="right"/>
              <w:rPr>
                <w:rFonts w:ascii="CAIXA Std Book" w:hAnsi="CAIXA Std Book" w:cs="Calibri"/>
                <w:color w:val="005CA9"/>
                <w:sz w:val="18"/>
                <w:szCs w:val="18"/>
              </w:rPr>
            </w:pPr>
            <w:r w:rsidRPr="00E20D21">
              <w:rPr>
                <w:rFonts w:ascii="CAIXA Std Book" w:hAnsi="CAIXA Std Book" w:cs="Calibri"/>
                <w:color w:val="005CA9"/>
                <w:sz w:val="18"/>
                <w:szCs w:val="18"/>
              </w:rPr>
              <w:t>15.982.990</w:t>
            </w:r>
          </w:p>
        </w:tc>
        <w:tc>
          <w:tcPr>
            <w:tcW w:w="413"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789FC587" w14:textId="3CC2167A" w:rsidR="00963492" w:rsidRPr="00E20D21" w:rsidRDefault="00963492" w:rsidP="00963492">
            <w:pPr>
              <w:jc w:val="right"/>
              <w:rPr>
                <w:rFonts w:ascii="CAIXA Std Book" w:hAnsi="CAIXA Std Book" w:cs="Calibri"/>
                <w:color w:val="005CA9"/>
                <w:sz w:val="18"/>
                <w:szCs w:val="18"/>
              </w:rPr>
            </w:pPr>
            <w:r w:rsidRPr="00E20D21">
              <w:rPr>
                <w:rFonts w:ascii="CAIXA Std Book" w:hAnsi="CAIXA Std Book" w:cs="Calibri"/>
                <w:color w:val="005CA9"/>
                <w:sz w:val="18"/>
                <w:szCs w:val="18"/>
              </w:rPr>
              <w:t>80.116</w:t>
            </w:r>
          </w:p>
        </w:tc>
      </w:tr>
      <w:tr w:rsidR="00A47C19" w:rsidRPr="00E20D21" w14:paraId="032447D9" w14:textId="77777777" w:rsidTr="00342340">
        <w:trPr>
          <w:trHeight w:val="283"/>
        </w:trPr>
        <w:tc>
          <w:tcPr>
            <w:tcW w:w="1070" w:type="pct"/>
            <w:tcBorders>
              <w:top w:val="nil"/>
              <w:left w:val="nil"/>
              <w:bottom w:val="single" w:sz="4" w:space="0" w:color="F79646" w:themeColor="accent6"/>
              <w:right w:val="nil"/>
            </w:tcBorders>
            <w:shd w:val="clear" w:color="auto" w:fill="auto"/>
            <w:noWrap/>
            <w:tcMar>
              <w:top w:w="15" w:type="dxa"/>
              <w:left w:w="225" w:type="dxa"/>
              <w:bottom w:w="0" w:type="dxa"/>
              <w:right w:w="15" w:type="dxa"/>
            </w:tcMar>
            <w:vAlign w:val="center"/>
            <w:hideMark/>
          </w:tcPr>
          <w:p w14:paraId="157B03B6" w14:textId="4FC9E5F0" w:rsidR="00963492" w:rsidRPr="00E20D21" w:rsidRDefault="00963492" w:rsidP="00963492">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Hedge de letras financeiras</w:t>
            </w:r>
          </w:p>
        </w:tc>
        <w:tc>
          <w:tcPr>
            <w:tcW w:w="681" w:type="pct"/>
            <w:tcBorders>
              <w:top w:val="nil"/>
              <w:left w:val="nil"/>
              <w:bottom w:val="single" w:sz="4" w:space="0" w:color="F79646" w:themeColor="accent6"/>
              <w:right w:val="nil"/>
            </w:tcBorders>
            <w:shd w:val="clear" w:color="auto" w:fill="auto"/>
            <w:vAlign w:val="center"/>
          </w:tcPr>
          <w:p w14:paraId="093DA51A" w14:textId="1AE4F070" w:rsidR="00963492" w:rsidRPr="00E20D21" w:rsidRDefault="00963492" w:rsidP="00963492">
            <w:pPr>
              <w:ind w:firstLineChars="100" w:firstLine="180"/>
              <w:rPr>
                <w:rFonts w:ascii="CAIXA Std Book" w:hAnsi="CAIXA Std Book" w:cs="Calibri"/>
                <w:color w:val="005CA9"/>
                <w:sz w:val="18"/>
                <w:szCs w:val="18"/>
              </w:rPr>
            </w:pPr>
            <w:r w:rsidRPr="00E20D21">
              <w:rPr>
                <w:rFonts w:ascii="CAIXA Std Book" w:hAnsi="CAIXA Std Book" w:cs="Calibri"/>
                <w:i/>
                <w:iCs/>
                <w:color w:val="005CA9"/>
                <w:sz w:val="18"/>
                <w:szCs w:val="18"/>
              </w:rPr>
              <w:t>Swap</w:t>
            </w:r>
            <w:r w:rsidRPr="00E20D21">
              <w:rPr>
                <w:rFonts w:ascii="CAIXA Std Book" w:hAnsi="CAIXA Std Book" w:cs="Calibri"/>
                <w:color w:val="005CA9"/>
                <w:sz w:val="18"/>
                <w:szCs w:val="18"/>
              </w:rPr>
              <w:t xml:space="preserve"> (3)</w:t>
            </w:r>
          </w:p>
        </w:tc>
        <w:tc>
          <w:tcPr>
            <w:tcW w:w="417"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tcPr>
          <w:p w14:paraId="1CF39EAE" w14:textId="690D0D1E" w:rsidR="00963492" w:rsidRPr="00E20D21" w:rsidRDefault="00A942DD" w:rsidP="00963492">
            <w:pPr>
              <w:jc w:val="right"/>
              <w:rPr>
                <w:rFonts w:ascii="CAIXA Std Book" w:hAnsi="CAIXA Std Book" w:cs="Calibri"/>
                <w:color w:val="005CA9"/>
                <w:sz w:val="18"/>
                <w:szCs w:val="18"/>
              </w:rPr>
            </w:pPr>
            <w:r w:rsidRPr="00E20D21">
              <w:rPr>
                <w:rFonts w:ascii="CAIXA Std Book" w:hAnsi="CAIXA Std Book" w:cs="Arial"/>
                <w:color w:val="005CA9"/>
                <w:sz w:val="18"/>
                <w:szCs w:val="18"/>
              </w:rPr>
              <w:t>10.650</w:t>
            </w:r>
          </w:p>
        </w:tc>
        <w:tc>
          <w:tcPr>
            <w:tcW w:w="347"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tcPr>
          <w:p w14:paraId="491B3095" w14:textId="34BD1BA1" w:rsidR="00963492" w:rsidRPr="00E20D21" w:rsidRDefault="00A942DD" w:rsidP="00963492">
            <w:pPr>
              <w:jc w:val="right"/>
              <w:rPr>
                <w:rFonts w:ascii="CAIXA Std Book" w:hAnsi="CAIXA Std Book" w:cs="Calibri"/>
                <w:color w:val="005CA9"/>
                <w:sz w:val="18"/>
                <w:szCs w:val="18"/>
              </w:rPr>
            </w:pPr>
            <w:r w:rsidRPr="00E20D21">
              <w:rPr>
                <w:rFonts w:ascii="CAIXA Std Book" w:hAnsi="CAIXA Std Book" w:cs="Arial"/>
                <w:color w:val="005CA9"/>
                <w:sz w:val="18"/>
                <w:szCs w:val="18"/>
              </w:rPr>
              <w:t>22.328</w:t>
            </w:r>
          </w:p>
        </w:tc>
        <w:tc>
          <w:tcPr>
            <w:tcW w:w="428"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tcPr>
          <w:p w14:paraId="3323A6E3" w14:textId="55D9C043" w:rsidR="00963492" w:rsidRPr="00E20D21" w:rsidRDefault="00A942DD" w:rsidP="00963492">
            <w:pPr>
              <w:jc w:val="right"/>
              <w:rPr>
                <w:rFonts w:ascii="CAIXA Std Book" w:hAnsi="CAIXA Std Book" w:cs="Calibri"/>
                <w:color w:val="005CA9"/>
                <w:sz w:val="18"/>
                <w:szCs w:val="18"/>
              </w:rPr>
            </w:pPr>
            <w:r w:rsidRPr="00E20D21">
              <w:rPr>
                <w:rFonts w:ascii="CAIXA Std Book" w:hAnsi="CAIXA Std Book" w:cs="Arial"/>
                <w:color w:val="005CA9"/>
                <w:sz w:val="18"/>
                <w:szCs w:val="18"/>
              </w:rPr>
              <w:t>32.978</w:t>
            </w:r>
          </w:p>
        </w:tc>
        <w:tc>
          <w:tcPr>
            <w:tcW w:w="414"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tcPr>
          <w:p w14:paraId="79C6155F" w14:textId="1DB19CD7" w:rsidR="00963492" w:rsidRPr="00E20D21" w:rsidRDefault="00A942DD" w:rsidP="00963492">
            <w:pPr>
              <w:jc w:val="right"/>
              <w:rPr>
                <w:rFonts w:ascii="CAIXA Std Book" w:hAnsi="CAIXA Std Book" w:cs="Calibri"/>
                <w:color w:val="005CA9"/>
                <w:sz w:val="18"/>
                <w:szCs w:val="18"/>
              </w:rPr>
            </w:pPr>
            <w:r w:rsidRPr="00E20D21">
              <w:rPr>
                <w:rFonts w:ascii="CAIXA Std Book" w:hAnsi="CAIXA Std Book" w:cs="Arial"/>
                <w:color w:val="005CA9"/>
                <w:sz w:val="18"/>
                <w:szCs w:val="18"/>
              </w:rPr>
              <w:t>32.978</w:t>
            </w:r>
          </w:p>
        </w:tc>
        <w:tc>
          <w:tcPr>
            <w:tcW w:w="427"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hideMark/>
          </w:tcPr>
          <w:p w14:paraId="3F2EE595" w14:textId="7CB67A92" w:rsidR="00963492" w:rsidRPr="00E20D21" w:rsidRDefault="00963492" w:rsidP="00963492">
            <w:pPr>
              <w:jc w:val="right"/>
              <w:rPr>
                <w:rFonts w:ascii="CAIXA Std Book" w:hAnsi="CAIXA Std Book" w:cs="Calibri"/>
                <w:color w:val="005CA9"/>
                <w:sz w:val="18"/>
                <w:szCs w:val="18"/>
              </w:rPr>
            </w:pPr>
            <w:r w:rsidRPr="00E20D21">
              <w:rPr>
                <w:rFonts w:ascii="CAIXA Std Book" w:hAnsi="CAIXA Std Book" w:cs="Calibri"/>
                <w:color w:val="005CA9"/>
                <w:sz w:val="18"/>
                <w:szCs w:val="18"/>
              </w:rPr>
              <w:t>210.650</w:t>
            </w:r>
          </w:p>
        </w:tc>
        <w:tc>
          <w:tcPr>
            <w:tcW w:w="382"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hideMark/>
          </w:tcPr>
          <w:p w14:paraId="052A5994" w14:textId="4F570E0F" w:rsidR="00963492" w:rsidRPr="00E20D21" w:rsidRDefault="00963492" w:rsidP="00963492">
            <w:pPr>
              <w:jc w:val="right"/>
              <w:rPr>
                <w:rFonts w:ascii="CAIXA Std Book" w:hAnsi="CAIXA Std Book" w:cs="Calibri"/>
                <w:color w:val="005CA9"/>
                <w:sz w:val="18"/>
                <w:szCs w:val="18"/>
              </w:rPr>
            </w:pPr>
            <w:r w:rsidRPr="00E20D21">
              <w:rPr>
                <w:rFonts w:ascii="CAIXA Std Book" w:hAnsi="CAIXA Std Book" w:cs="Calibri"/>
                <w:color w:val="005CA9"/>
                <w:sz w:val="18"/>
                <w:szCs w:val="18"/>
              </w:rPr>
              <w:t>482.687</w:t>
            </w:r>
          </w:p>
        </w:tc>
        <w:tc>
          <w:tcPr>
            <w:tcW w:w="421"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hideMark/>
          </w:tcPr>
          <w:p w14:paraId="44BB2B14" w14:textId="332A56D4" w:rsidR="00963492" w:rsidRPr="00E20D21" w:rsidRDefault="00963492" w:rsidP="00963492">
            <w:pPr>
              <w:jc w:val="right"/>
              <w:rPr>
                <w:rFonts w:ascii="CAIXA Std Book" w:hAnsi="CAIXA Std Book" w:cs="Calibri"/>
                <w:color w:val="005CA9"/>
                <w:sz w:val="18"/>
                <w:szCs w:val="18"/>
              </w:rPr>
            </w:pPr>
            <w:r w:rsidRPr="00E20D21">
              <w:rPr>
                <w:rFonts w:ascii="CAIXA Std Book" w:hAnsi="CAIXA Std Book" w:cs="Calibri"/>
                <w:color w:val="005CA9"/>
                <w:sz w:val="18"/>
                <w:szCs w:val="18"/>
              </w:rPr>
              <w:t>693.337</w:t>
            </w:r>
          </w:p>
        </w:tc>
        <w:tc>
          <w:tcPr>
            <w:tcW w:w="413"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hideMark/>
          </w:tcPr>
          <w:p w14:paraId="5B706D77" w14:textId="2E95F1A2" w:rsidR="00963492" w:rsidRPr="00E20D21" w:rsidRDefault="00963492" w:rsidP="00963492">
            <w:pPr>
              <w:jc w:val="right"/>
              <w:rPr>
                <w:rFonts w:ascii="CAIXA Std Book" w:hAnsi="CAIXA Std Book" w:cs="Calibri"/>
                <w:color w:val="005CA9"/>
                <w:sz w:val="18"/>
                <w:szCs w:val="18"/>
              </w:rPr>
            </w:pPr>
            <w:r w:rsidRPr="00E20D21">
              <w:rPr>
                <w:rFonts w:ascii="CAIXA Std Book" w:hAnsi="CAIXA Std Book" w:cs="Calibri"/>
                <w:color w:val="005CA9"/>
                <w:sz w:val="18"/>
                <w:szCs w:val="18"/>
              </w:rPr>
              <w:t>(482.687)</w:t>
            </w:r>
          </w:p>
        </w:tc>
      </w:tr>
    </w:tbl>
    <w:p w14:paraId="25866739" w14:textId="4BE18881" w:rsidR="001D3ABB" w:rsidRPr="00E20D21" w:rsidRDefault="001D3ABB" w:rsidP="00EF0D12">
      <w:pPr>
        <w:pStyle w:val="PargrafodaLista"/>
        <w:numPr>
          <w:ilvl w:val="0"/>
          <w:numId w:val="36"/>
        </w:numPr>
        <w:tabs>
          <w:tab w:val="left" w:pos="284"/>
          <w:tab w:val="left" w:pos="5529"/>
        </w:tabs>
        <w:spacing w:after="240"/>
        <w:jc w:val="both"/>
        <w:rPr>
          <w:rFonts w:ascii="CAIXA Std Book" w:hAnsi="CAIXA Std Book"/>
          <w:bCs/>
          <w:color w:val="005CA9"/>
          <w:sz w:val="16"/>
          <w:szCs w:val="16"/>
        </w:rPr>
      </w:pPr>
      <w:r w:rsidRPr="00E20D21">
        <w:rPr>
          <w:rFonts w:ascii="CAIXA Std Book" w:hAnsi="CAIXA Std Book"/>
          <w:bCs/>
          <w:color w:val="005CA9"/>
          <w:sz w:val="16"/>
          <w:szCs w:val="16"/>
        </w:rPr>
        <w:t xml:space="preserve">A efetividade verificada na carteira de hedge encontra-se em conformidade com o estabelecido na Circular </w:t>
      </w:r>
      <w:r w:rsidR="004575E7" w:rsidRPr="00E20D21">
        <w:rPr>
          <w:rFonts w:ascii="CAIXA Std Book" w:hAnsi="CAIXA Std Book"/>
          <w:bCs/>
          <w:color w:val="005CA9"/>
          <w:sz w:val="16"/>
          <w:szCs w:val="16"/>
        </w:rPr>
        <w:t xml:space="preserve">BCB </w:t>
      </w:r>
      <w:r w:rsidRPr="00E20D21">
        <w:rPr>
          <w:rFonts w:ascii="CAIXA Std Book" w:hAnsi="CAIXA Std Book"/>
          <w:bCs/>
          <w:color w:val="005CA9"/>
          <w:sz w:val="16"/>
          <w:szCs w:val="16"/>
        </w:rPr>
        <w:t>nº 3.082/02.</w:t>
      </w:r>
    </w:p>
    <w:p w14:paraId="413615FC" w14:textId="195D25F8" w:rsidR="001D3ABB" w:rsidRPr="00E20D21" w:rsidRDefault="001D3ABB" w:rsidP="00EF0D12">
      <w:pPr>
        <w:pStyle w:val="PargrafodaLista"/>
        <w:numPr>
          <w:ilvl w:val="0"/>
          <w:numId w:val="36"/>
        </w:numPr>
        <w:tabs>
          <w:tab w:val="left" w:pos="284"/>
          <w:tab w:val="left" w:pos="5529"/>
        </w:tabs>
        <w:spacing w:after="240"/>
        <w:jc w:val="both"/>
        <w:rPr>
          <w:rFonts w:ascii="CAIXA Std Book" w:hAnsi="CAIXA Std Book"/>
          <w:bCs/>
          <w:color w:val="005CA9"/>
          <w:sz w:val="16"/>
          <w:szCs w:val="16"/>
        </w:rPr>
      </w:pPr>
      <w:r w:rsidRPr="00E20D21">
        <w:rPr>
          <w:rFonts w:ascii="CAIXA Std Book" w:hAnsi="CAIXA Std Book"/>
          <w:bCs/>
          <w:color w:val="005CA9"/>
          <w:sz w:val="16"/>
          <w:szCs w:val="16"/>
        </w:rPr>
        <w:t>Instrumento liquidado em D+1.</w:t>
      </w:r>
    </w:p>
    <w:p w14:paraId="4422BE83" w14:textId="2C2D6C09" w:rsidR="001D3ABB" w:rsidRPr="00E20D21" w:rsidRDefault="001D3ABB" w:rsidP="00EF0D12">
      <w:pPr>
        <w:pStyle w:val="PargrafodaLista"/>
        <w:numPr>
          <w:ilvl w:val="0"/>
          <w:numId w:val="36"/>
        </w:numPr>
        <w:tabs>
          <w:tab w:val="left" w:pos="284"/>
          <w:tab w:val="left" w:pos="5529"/>
        </w:tabs>
        <w:spacing w:after="240"/>
        <w:jc w:val="both"/>
        <w:rPr>
          <w:rFonts w:ascii="CAIXA Std Book" w:hAnsi="CAIXA Std Book"/>
          <w:bCs/>
          <w:color w:val="005CA9"/>
          <w:sz w:val="16"/>
          <w:szCs w:val="16"/>
        </w:rPr>
      </w:pPr>
      <w:r w:rsidRPr="00E20D21">
        <w:rPr>
          <w:rFonts w:ascii="CAIXA Std Book" w:hAnsi="CAIXA Std Book"/>
          <w:bCs/>
          <w:color w:val="005CA9"/>
          <w:sz w:val="16"/>
          <w:szCs w:val="16"/>
        </w:rPr>
        <w:t xml:space="preserve">Ajuste a receber ou a pagar do instrumento é registrado na rubrica </w:t>
      </w:r>
      <w:r w:rsidR="003140EB" w:rsidRPr="00E20D21">
        <w:rPr>
          <w:rFonts w:ascii="CAIXA Std Book" w:hAnsi="CAIXA Std Book"/>
          <w:bCs/>
          <w:color w:val="005CA9"/>
          <w:sz w:val="16"/>
          <w:szCs w:val="16"/>
        </w:rPr>
        <w:t xml:space="preserve">de </w:t>
      </w:r>
      <w:r w:rsidRPr="00E20D21">
        <w:rPr>
          <w:rFonts w:ascii="CAIXA Std Book" w:hAnsi="CAIXA Std Book"/>
          <w:bCs/>
          <w:color w:val="005CA9"/>
          <w:sz w:val="16"/>
          <w:szCs w:val="16"/>
        </w:rPr>
        <w:t>instrumentos financeiros derivativos.</w:t>
      </w:r>
    </w:p>
    <w:p w14:paraId="347429A0" w14:textId="65A89DA8" w:rsidR="00687883" w:rsidRPr="00E20D21" w:rsidRDefault="001E31B8" w:rsidP="00A761D3">
      <w:pPr>
        <w:tabs>
          <w:tab w:val="left" w:pos="567"/>
          <w:tab w:val="left" w:pos="5529"/>
        </w:tabs>
        <w:spacing w:after="240"/>
        <w:jc w:val="both"/>
        <w:rPr>
          <w:rFonts w:ascii="CAIXA Std Book" w:hAnsi="CAIXA Std Book"/>
          <w:b/>
          <w:color w:val="005CA9"/>
          <w:sz w:val="20"/>
          <w:szCs w:val="20"/>
        </w:rPr>
      </w:pPr>
      <w:r w:rsidRPr="00E20D21">
        <w:rPr>
          <w:rFonts w:ascii="CAIXA Std Book" w:hAnsi="CAIXA Std Book"/>
          <w:b/>
          <w:color w:val="005CA9"/>
          <w:sz w:val="20"/>
          <w:szCs w:val="20"/>
        </w:rPr>
        <w:t>(a.</w:t>
      </w:r>
      <w:r w:rsidR="006F5AD2" w:rsidRPr="00E20D21">
        <w:rPr>
          <w:rFonts w:ascii="CAIXA Std Book" w:hAnsi="CAIXA Std Book"/>
          <w:b/>
          <w:color w:val="005CA9"/>
          <w:sz w:val="20"/>
          <w:szCs w:val="20"/>
        </w:rPr>
        <w:t>2</w:t>
      </w:r>
      <w:r w:rsidRPr="00E20D21">
        <w:rPr>
          <w:rFonts w:ascii="CAIXA Std Book" w:hAnsi="CAIXA Std Book"/>
          <w:b/>
          <w:color w:val="005CA9"/>
          <w:sz w:val="20"/>
          <w:szCs w:val="20"/>
        </w:rPr>
        <w:t>)</w:t>
      </w:r>
      <w:r w:rsidR="0000246F" w:rsidRPr="00E20D21">
        <w:rPr>
          <w:rFonts w:ascii="CAIXA Std Book" w:hAnsi="CAIXA Std Book"/>
          <w:b/>
          <w:color w:val="005CA9"/>
          <w:sz w:val="20"/>
          <w:szCs w:val="20"/>
        </w:rPr>
        <w:tab/>
        <w:t>Estrutura temporal do hedge</w:t>
      </w:r>
    </w:p>
    <w:tbl>
      <w:tblPr>
        <w:tblW w:w="5000" w:type="pct"/>
        <w:tblCellMar>
          <w:left w:w="70" w:type="dxa"/>
          <w:right w:w="70" w:type="dxa"/>
        </w:tblCellMar>
        <w:tblLook w:val="04A0" w:firstRow="1" w:lastRow="0" w:firstColumn="1" w:lastColumn="0" w:noHBand="0" w:noVBand="1"/>
      </w:tblPr>
      <w:tblGrid>
        <w:gridCol w:w="2960"/>
        <w:gridCol w:w="2902"/>
        <w:gridCol w:w="2903"/>
        <w:gridCol w:w="2903"/>
        <w:gridCol w:w="2903"/>
      </w:tblGrid>
      <w:tr w:rsidR="00A47C19" w:rsidRPr="00E20D21" w14:paraId="2E76622C" w14:textId="77777777" w:rsidTr="00244A04">
        <w:trPr>
          <w:trHeight w:val="283"/>
        </w:trPr>
        <w:tc>
          <w:tcPr>
            <w:tcW w:w="5000" w:type="pct"/>
            <w:gridSpan w:val="5"/>
            <w:tcBorders>
              <w:top w:val="single" w:sz="4" w:space="0" w:color="F79646"/>
              <w:left w:val="nil"/>
              <w:bottom w:val="single" w:sz="4" w:space="0" w:color="F79646"/>
              <w:right w:val="nil"/>
            </w:tcBorders>
            <w:shd w:val="clear" w:color="auto" w:fill="auto"/>
            <w:vAlign w:val="center"/>
            <w:hideMark/>
          </w:tcPr>
          <w:p w14:paraId="5F21CB05" w14:textId="77777777" w:rsidR="008A64ED" w:rsidRPr="00E20D21" w:rsidRDefault="008A64ED" w:rsidP="008A64ED">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INDIVIDUAL / CONSOLIDADO</w:t>
            </w:r>
          </w:p>
        </w:tc>
      </w:tr>
      <w:tr w:rsidR="00A47C19" w:rsidRPr="00E20D21" w14:paraId="1F691FB8" w14:textId="77777777" w:rsidTr="00244A04">
        <w:trPr>
          <w:trHeight w:val="283"/>
        </w:trPr>
        <w:tc>
          <w:tcPr>
            <w:tcW w:w="1016" w:type="pct"/>
            <w:vMerge w:val="restart"/>
            <w:tcBorders>
              <w:top w:val="single" w:sz="4" w:space="0" w:color="F79646"/>
              <w:left w:val="nil"/>
              <w:bottom w:val="single" w:sz="4" w:space="0" w:color="F79646"/>
              <w:right w:val="nil"/>
            </w:tcBorders>
            <w:shd w:val="clear" w:color="auto" w:fill="auto"/>
            <w:vAlign w:val="center"/>
            <w:hideMark/>
          </w:tcPr>
          <w:p w14:paraId="0EA10648" w14:textId="77777777" w:rsidR="008A64ED" w:rsidRPr="00E20D21" w:rsidRDefault="008A64ED" w:rsidP="008A64ED">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Vencimento</w:t>
            </w:r>
          </w:p>
        </w:tc>
        <w:tc>
          <w:tcPr>
            <w:tcW w:w="1992" w:type="pct"/>
            <w:gridSpan w:val="2"/>
            <w:tcBorders>
              <w:top w:val="single" w:sz="4" w:space="0" w:color="F79646"/>
              <w:left w:val="nil"/>
              <w:bottom w:val="single" w:sz="4" w:space="0" w:color="F79646"/>
              <w:right w:val="nil"/>
            </w:tcBorders>
            <w:shd w:val="clear" w:color="auto" w:fill="auto"/>
            <w:vAlign w:val="center"/>
            <w:hideMark/>
          </w:tcPr>
          <w:p w14:paraId="527AB8E5" w14:textId="77777777" w:rsidR="008A64ED" w:rsidRPr="00E20D21" w:rsidRDefault="008A64ED" w:rsidP="008A64ED">
            <w:pPr>
              <w:jc w:val="center"/>
              <w:rPr>
                <w:rFonts w:ascii="CAIXA Std Book" w:eastAsia="Times New Roman" w:hAnsi="CAIXA Std Book" w:cs="Calibri"/>
                <w:b/>
                <w:bCs/>
                <w:i/>
                <w:iCs/>
                <w:color w:val="005CA9"/>
                <w:sz w:val="18"/>
                <w:szCs w:val="18"/>
              </w:rPr>
            </w:pPr>
            <w:r w:rsidRPr="00E20D21">
              <w:rPr>
                <w:rFonts w:ascii="CAIXA Std Book" w:eastAsia="Times New Roman" w:hAnsi="CAIXA Std Book" w:cs="Calibri"/>
                <w:b/>
                <w:bCs/>
                <w:i/>
                <w:iCs/>
                <w:color w:val="005CA9"/>
                <w:sz w:val="18"/>
                <w:szCs w:val="18"/>
              </w:rPr>
              <w:t>Hedge</w:t>
            </w:r>
            <w:r w:rsidRPr="00E20D21">
              <w:rPr>
                <w:rFonts w:ascii="CAIXA Std Book" w:eastAsia="Times New Roman" w:hAnsi="CAIXA Std Book" w:cs="Calibri"/>
                <w:b/>
                <w:bCs/>
                <w:color w:val="005CA9"/>
                <w:sz w:val="18"/>
                <w:szCs w:val="18"/>
              </w:rPr>
              <w:t xml:space="preserve"> da Carteira Bancária</w:t>
            </w:r>
          </w:p>
        </w:tc>
        <w:tc>
          <w:tcPr>
            <w:tcW w:w="1992" w:type="pct"/>
            <w:gridSpan w:val="2"/>
            <w:tcBorders>
              <w:top w:val="single" w:sz="4" w:space="0" w:color="F79646"/>
              <w:left w:val="nil"/>
              <w:bottom w:val="single" w:sz="4" w:space="0" w:color="F79646"/>
              <w:right w:val="nil"/>
            </w:tcBorders>
            <w:shd w:val="clear" w:color="auto" w:fill="auto"/>
            <w:vAlign w:val="center"/>
            <w:hideMark/>
          </w:tcPr>
          <w:p w14:paraId="491400A2" w14:textId="77777777" w:rsidR="008A64ED" w:rsidRPr="00E20D21" w:rsidRDefault="008A64ED" w:rsidP="008A64ED">
            <w:pPr>
              <w:jc w:val="center"/>
              <w:rPr>
                <w:rFonts w:ascii="CAIXA Std Book" w:eastAsia="Times New Roman" w:hAnsi="CAIXA Std Book" w:cs="Calibri"/>
                <w:b/>
                <w:bCs/>
                <w:i/>
                <w:iCs/>
                <w:color w:val="005CA9"/>
                <w:sz w:val="18"/>
                <w:szCs w:val="18"/>
              </w:rPr>
            </w:pPr>
            <w:r w:rsidRPr="00E20D21">
              <w:rPr>
                <w:rFonts w:ascii="CAIXA Std Book" w:eastAsia="Times New Roman" w:hAnsi="CAIXA Std Book" w:cs="Calibri"/>
                <w:b/>
                <w:bCs/>
                <w:i/>
                <w:iCs/>
                <w:color w:val="005CA9"/>
                <w:sz w:val="18"/>
                <w:szCs w:val="18"/>
              </w:rPr>
              <w:t>Hedge</w:t>
            </w:r>
            <w:r w:rsidRPr="00E20D21">
              <w:rPr>
                <w:rFonts w:ascii="CAIXA Std Book" w:eastAsia="Times New Roman" w:hAnsi="CAIXA Std Book" w:cs="Calibri"/>
                <w:b/>
                <w:bCs/>
                <w:color w:val="005CA9"/>
                <w:sz w:val="18"/>
                <w:szCs w:val="18"/>
              </w:rPr>
              <w:t xml:space="preserve"> de Letras Financeiras</w:t>
            </w:r>
          </w:p>
        </w:tc>
      </w:tr>
      <w:tr w:rsidR="00A47C19" w:rsidRPr="00E20D21" w14:paraId="6F8E4785" w14:textId="77777777" w:rsidTr="00244A04">
        <w:trPr>
          <w:trHeight w:val="283"/>
        </w:trPr>
        <w:tc>
          <w:tcPr>
            <w:tcW w:w="1016" w:type="pct"/>
            <w:vMerge/>
            <w:tcBorders>
              <w:top w:val="single" w:sz="8" w:space="0" w:color="F79646"/>
              <w:left w:val="nil"/>
              <w:bottom w:val="single" w:sz="4" w:space="0" w:color="F79646"/>
              <w:right w:val="nil"/>
            </w:tcBorders>
            <w:vAlign w:val="center"/>
            <w:hideMark/>
          </w:tcPr>
          <w:p w14:paraId="1EF299A8" w14:textId="77777777" w:rsidR="00713CBA" w:rsidRPr="00E20D21" w:rsidRDefault="00713CBA" w:rsidP="00713CBA">
            <w:pPr>
              <w:rPr>
                <w:rFonts w:ascii="CAIXA Std Book" w:eastAsia="Times New Roman" w:hAnsi="CAIXA Std Book" w:cs="Calibri"/>
                <w:b/>
                <w:bCs/>
                <w:color w:val="005CA9"/>
                <w:sz w:val="18"/>
                <w:szCs w:val="18"/>
              </w:rPr>
            </w:pPr>
          </w:p>
        </w:tc>
        <w:tc>
          <w:tcPr>
            <w:tcW w:w="996" w:type="pct"/>
            <w:tcBorders>
              <w:top w:val="single" w:sz="4" w:space="0" w:color="F79646"/>
              <w:left w:val="nil"/>
              <w:bottom w:val="single" w:sz="4" w:space="0" w:color="F79646"/>
              <w:right w:val="nil"/>
            </w:tcBorders>
            <w:shd w:val="clear" w:color="auto" w:fill="auto"/>
            <w:vAlign w:val="center"/>
            <w:hideMark/>
          </w:tcPr>
          <w:p w14:paraId="5BFD8444" w14:textId="0C488DF7" w:rsidR="00713CBA" w:rsidRPr="00E20D21" w:rsidRDefault="00713CBA" w:rsidP="00713CBA">
            <w:pPr>
              <w:jc w:val="center"/>
              <w:rPr>
                <w:rFonts w:ascii="CAIXA Std Book" w:eastAsia="Times New Roman" w:hAnsi="CAIXA Std Book" w:cs="Calibri"/>
                <w:b/>
                <w:bCs/>
                <w:color w:val="005CA9"/>
                <w:sz w:val="18"/>
                <w:szCs w:val="18"/>
              </w:rPr>
            </w:pPr>
            <w:r w:rsidRPr="00E20D21">
              <w:rPr>
                <w:rFonts w:ascii="CAIXA Std Book" w:hAnsi="CAIXA Std Book" w:cs="Calibri"/>
                <w:b/>
                <w:bCs/>
                <w:color w:val="005CA9"/>
                <w:sz w:val="18"/>
                <w:szCs w:val="18"/>
              </w:rPr>
              <w:t>30/06/2024</w:t>
            </w:r>
          </w:p>
        </w:tc>
        <w:tc>
          <w:tcPr>
            <w:tcW w:w="996" w:type="pct"/>
            <w:tcBorders>
              <w:top w:val="single" w:sz="4" w:space="0" w:color="F79646"/>
              <w:left w:val="nil"/>
              <w:bottom w:val="single" w:sz="4" w:space="0" w:color="F79646"/>
              <w:right w:val="nil"/>
            </w:tcBorders>
            <w:shd w:val="clear" w:color="auto" w:fill="auto"/>
            <w:vAlign w:val="center"/>
            <w:hideMark/>
          </w:tcPr>
          <w:p w14:paraId="27C8146C" w14:textId="586486B2" w:rsidR="00713CBA" w:rsidRPr="00E20D21" w:rsidRDefault="00713CBA" w:rsidP="00713CBA">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31/12/2023</w:t>
            </w:r>
          </w:p>
        </w:tc>
        <w:tc>
          <w:tcPr>
            <w:tcW w:w="996" w:type="pct"/>
            <w:tcBorders>
              <w:top w:val="single" w:sz="4" w:space="0" w:color="F79646"/>
              <w:left w:val="nil"/>
              <w:bottom w:val="single" w:sz="4" w:space="0" w:color="F79646"/>
              <w:right w:val="nil"/>
            </w:tcBorders>
            <w:shd w:val="clear" w:color="auto" w:fill="auto"/>
            <w:vAlign w:val="center"/>
            <w:hideMark/>
          </w:tcPr>
          <w:p w14:paraId="41C44668" w14:textId="43E283FF" w:rsidR="00713CBA" w:rsidRPr="00E20D21" w:rsidRDefault="00713CBA" w:rsidP="00713CBA">
            <w:pPr>
              <w:jc w:val="center"/>
              <w:rPr>
                <w:rFonts w:ascii="CAIXA Std Book" w:eastAsia="Times New Roman" w:hAnsi="CAIXA Std Book" w:cs="Calibri"/>
                <w:b/>
                <w:bCs/>
                <w:color w:val="005CA9"/>
                <w:sz w:val="18"/>
                <w:szCs w:val="18"/>
              </w:rPr>
            </w:pPr>
            <w:r w:rsidRPr="00E20D21">
              <w:rPr>
                <w:rFonts w:ascii="CAIXA Std Book" w:hAnsi="CAIXA Std Book" w:cs="Calibri"/>
                <w:b/>
                <w:bCs/>
                <w:color w:val="005CA9"/>
                <w:sz w:val="18"/>
                <w:szCs w:val="18"/>
              </w:rPr>
              <w:t>30/06/2024</w:t>
            </w:r>
          </w:p>
        </w:tc>
        <w:tc>
          <w:tcPr>
            <w:tcW w:w="996" w:type="pct"/>
            <w:tcBorders>
              <w:top w:val="single" w:sz="4" w:space="0" w:color="F79646"/>
              <w:left w:val="nil"/>
              <w:bottom w:val="single" w:sz="4" w:space="0" w:color="F79646"/>
              <w:right w:val="nil"/>
            </w:tcBorders>
            <w:shd w:val="clear" w:color="auto" w:fill="auto"/>
            <w:vAlign w:val="center"/>
            <w:hideMark/>
          </w:tcPr>
          <w:p w14:paraId="21CDCF16" w14:textId="78EB54E6" w:rsidR="00713CBA" w:rsidRPr="00E20D21" w:rsidRDefault="00713CBA" w:rsidP="00713CBA">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31/12/2023</w:t>
            </w:r>
          </w:p>
        </w:tc>
      </w:tr>
      <w:tr w:rsidR="00A47C19" w:rsidRPr="00E20D21" w14:paraId="0844A1A5" w14:textId="77777777" w:rsidTr="00244A04">
        <w:trPr>
          <w:trHeight w:val="283"/>
        </w:trPr>
        <w:tc>
          <w:tcPr>
            <w:tcW w:w="1016" w:type="pct"/>
            <w:tcBorders>
              <w:top w:val="nil"/>
              <w:left w:val="nil"/>
              <w:bottom w:val="nil"/>
              <w:right w:val="nil"/>
            </w:tcBorders>
            <w:shd w:val="clear" w:color="auto" w:fill="auto"/>
            <w:vAlign w:val="center"/>
            <w:hideMark/>
          </w:tcPr>
          <w:p w14:paraId="77A775D7" w14:textId="77777777"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2024</w:t>
            </w:r>
          </w:p>
        </w:tc>
        <w:tc>
          <w:tcPr>
            <w:tcW w:w="996" w:type="pct"/>
            <w:tcBorders>
              <w:top w:val="nil"/>
              <w:left w:val="nil"/>
              <w:bottom w:val="nil"/>
              <w:right w:val="nil"/>
            </w:tcBorders>
            <w:shd w:val="clear" w:color="auto" w:fill="auto"/>
            <w:vAlign w:val="center"/>
          </w:tcPr>
          <w:p w14:paraId="6E60BE40" w14:textId="5F4656C3"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2.360.623</w:t>
            </w:r>
          </w:p>
        </w:tc>
        <w:tc>
          <w:tcPr>
            <w:tcW w:w="996" w:type="pct"/>
            <w:tcBorders>
              <w:top w:val="nil"/>
              <w:left w:val="nil"/>
              <w:bottom w:val="nil"/>
              <w:right w:val="nil"/>
            </w:tcBorders>
            <w:shd w:val="clear" w:color="auto" w:fill="auto"/>
            <w:vAlign w:val="center"/>
            <w:hideMark/>
          </w:tcPr>
          <w:p w14:paraId="106F94EA" w14:textId="57FEA23D"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8.569.139</w:t>
            </w:r>
          </w:p>
        </w:tc>
        <w:tc>
          <w:tcPr>
            <w:tcW w:w="996" w:type="pct"/>
            <w:tcBorders>
              <w:top w:val="nil"/>
              <w:left w:val="nil"/>
              <w:bottom w:val="nil"/>
              <w:right w:val="nil"/>
            </w:tcBorders>
            <w:shd w:val="clear" w:color="auto" w:fill="auto"/>
            <w:vAlign w:val="center"/>
          </w:tcPr>
          <w:p w14:paraId="23B08BA2" w14:textId="31939913"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3.450</w:t>
            </w:r>
          </w:p>
        </w:tc>
        <w:tc>
          <w:tcPr>
            <w:tcW w:w="996" w:type="pct"/>
            <w:tcBorders>
              <w:top w:val="nil"/>
              <w:left w:val="nil"/>
              <w:bottom w:val="nil"/>
              <w:right w:val="nil"/>
            </w:tcBorders>
            <w:shd w:val="clear" w:color="auto" w:fill="auto"/>
            <w:vAlign w:val="center"/>
            <w:hideMark/>
          </w:tcPr>
          <w:p w14:paraId="46E98949" w14:textId="5F94546D"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203.450</w:t>
            </w:r>
          </w:p>
        </w:tc>
      </w:tr>
      <w:tr w:rsidR="00A47C19" w:rsidRPr="00E20D21" w14:paraId="4992EDEB" w14:textId="77777777" w:rsidTr="00244A04">
        <w:trPr>
          <w:trHeight w:val="283"/>
        </w:trPr>
        <w:tc>
          <w:tcPr>
            <w:tcW w:w="1016" w:type="pct"/>
            <w:tcBorders>
              <w:top w:val="nil"/>
              <w:left w:val="nil"/>
              <w:bottom w:val="nil"/>
              <w:right w:val="nil"/>
            </w:tcBorders>
            <w:shd w:val="clear" w:color="auto" w:fill="auto"/>
            <w:vAlign w:val="center"/>
            <w:hideMark/>
          </w:tcPr>
          <w:p w14:paraId="4BF9EE8A" w14:textId="77777777"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2025</w:t>
            </w:r>
          </w:p>
        </w:tc>
        <w:tc>
          <w:tcPr>
            <w:tcW w:w="996" w:type="pct"/>
            <w:tcBorders>
              <w:top w:val="nil"/>
              <w:left w:val="nil"/>
              <w:bottom w:val="nil"/>
              <w:right w:val="nil"/>
            </w:tcBorders>
            <w:shd w:val="clear" w:color="auto" w:fill="auto"/>
            <w:vAlign w:val="center"/>
          </w:tcPr>
          <w:p w14:paraId="4E40F56E" w14:textId="287B6D14"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8.541.682</w:t>
            </w:r>
          </w:p>
        </w:tc>
        <w:tc>
          <w:tcPr>
            <w:tcW w:w="996" w:type="pct"/>
            <w:tcBorders>
              <w:top w:val="nil"/>
              <w:left w:val="nil"/>
              <w:bottom w:val="nil"/>
              <w:right w:val="nil"/>
            </w:tcBorders>
            <w:shd w:val="clear" w:color="auto" w:fill="auto"/>
            <w:vAlign w:val="center"/>
            <w:hideMark/>
          </w:tcPr>
          <w:p w14:paraId="2D1459E0" w14:textId="44BAC070"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4.194.816</w:t>
            </w:r>
          </w:p>
        </w:tc>
        <w:tc>
          <w:tcPr>
            <w:tcW w:w="996" w:type="pct"/>
            <w:tcBorders>
              <w:top w:val="nil"/>
              <w:left w:val="nil"/>
              <w:bottom w:val="nil"/>
              <w:right w:val="nil"/>
            </w:tcBorders>
            <w:shd w:val="clear" w:color="auto" w:fill="auto"/>
            <w:vAlign w:val="center"/>
          </w:tcPr>
          <w:p w14:paraId="00C8A2D9" w14:textId="066440DA"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7.200</w:t>
            </w:r>
          </w:p>
        </w:tc>
        <w:tc>
          <w:tcPr>
            <w:tcW w:w="996" w:type="pct"/>
            <w:tcBorders>
              <w:top w:val="nil"/>
              <w:left w:val="nil"/>
              <w:bottom w:val="nil"/>
              <w:right w:val="nil"/>
            </w:tcBorders>
            <w:shd w:val="clear" w:color="auto" w:fill="auto"/>
            <w:vAlign w:val="center"/>
            <w:hideMark/>
          </w:tcPr>
          <w:p w14:paraId="2C1C0259" w14:textId="0536C9D3"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7.200</w:t>
            </w:r>
          </w:p>
        </w:tc>
      </w:tr>
      <w:tr w:rsidR="00A47C19" w:rsidRPr="00E20D21" w14:paraId="6259E0B8" w14:textId="77777777" w:rsidTr="00244A04">
        <w:trPr>
          <w:trHeight w:val="283"/>
        </w:trPr>
        <w:tc>
          <w:tcPr>
            <w:tcW w:w="1016" w:type="pct"/>
            <w:tcBorders>
              <w:top w:val="nil"/>
              <w:left w:val="nil"/>
              <w:bottom w:val="nil"/>
              <w:right w:val="nil"/>
            </w:tcBorders>
            <w:shd w:val="clear" w:color="auto" w:fill="auto"/>
            <w:vAlign w:val="center"/>
            <w:hideMark/>
          </w:tcPr>
          <w:p w14:paraId="24BE30B2" w14:textId="77777777"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2026</w:t>
            </w:r>
          </w:p>
        </w:tc>
        <w:tc>
          <w:tcPr>
            <w:tcW w:w="996" w:type="pct"/>
            <w:tcBorders>
              <w:top w:val="nil"/>
              <w:left w:val="nil"/>
              <w:bottom w:val="nil"/>
              <w:right w:val="nil"/>
            </w:tcBorders>
            <w:shd w:val="clear" w:color="auto" w:fill="auto"/>
            <w:vAlign w:val="center"/>
          </w:tcPr>
          <w:p w14:paraId="2F5ED011" w14:textId="221463DF"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7.790.008</w:t>
            </w:r>
          </w:p>
        </w:tc>
        <w:tc>
          <w:tcPr>
            <w:tcW w:w="996" w:type="pct"/>
            <w:tcBorders>
              <w:top w:val="nil"/>
              <w:left w:val="nil"/>
              <w:bottom w:val="nil"/>
              <w:right w:val="nil"/>
            </w:tcBorders>
            <w:shd w:val="clear" w:color="auto" w:fill="auto"/>
            <w:vAlign w:val="center"/>
            <w:hideMark/>
          </w:tcPr>
          <w:p w14:paraId="6360E6E1" w14:textId="70EE8FCF"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3.594.046</w:t>
            </w:r>
          </w:p>
        </w:tc>
        <w:tc>
          <w:tcPr>
            <w:tcW w:w="996" w:type="pct"/>
            <w:tcBorders>
              <w:top w:val="nil"/>
              <w:left w:val="nil"/>
              <w:bottom w:val="nil"/>
              <w:right w:val="nil"/>
            </w:tcBorders>
            <w:shd w:val="clear" w:color="auto" w:fill="auto"/>
            <w:vAlign w:val="center"/>
          </w:tcPr>
          <w:p w14:paraId="17862340" w14:textId="1B79C265" w:rsidR="00713CBA" w:rsidRPr="00E20D21" w:rsidRDefault="008724C5"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c>
          <w:tcPr>
            <w:tcW w:w="996" w:type="pct"/>
            <w:tcBorders>
              <w:top w:val="nil"/>
              <w:left w:val="nil"/>
              <w:bottom w:val="nil"/>
              <w:right w:val="nil"/>
            </w:tcBorders>
            <w:shd w:val="clear" w:color="auto" w:fill="auto"/>
            <w:vAlign w:val="center"/>
            <w:hideMark/>
          </w:tcPr>
          <w:p w14:paraId="10031C1B" w14:textId="124441B2"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r>
      <w:tr w:rsidR="00A47C19" w:rsidRPr="00E20D21" w14:paraId="74457C98" w14:textId="77777777" w:rsidTr="00244A04">
        <w:trPr>
          <w:trHeight w:val="283"/>
        </w:trPr>
        <w:tc>
          <w:tcPr>
            <w:tcW w:w="1016" w:type="pct"/>
            <w:tcBorders>
              <w:top w:val="nil"/>
              <w:left w:val="nil"/>
              <w:bottom w:val="nil"/>
              <w:right w:val="nil"/>
            </w:tcBorders>
            <w:shd w:val="clear" w:color="auto" w:fill="auto"/>
            <w:vAlign w:val="center"/>
            <w:hideMark/>
          </w:tcPr>
          <w:p w14:paraId="2D0ED36E" w14:textId="77777777"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2027</w:t>
            </w:r>
          </w:p>
        </w:tc>
        <w:tc>
          <w:tcPr>
            <w:tcW w:w="996" w:type="pct"/>
            <w:tcBorders>
              <w:top w:val="nil"/>
              <w:left w:val="nil"/>
              <w:bottom w:val="nil"/>
              <w:right w:val="nil"/>
            </w:tcBorders>
            <w:shd w:val="clear" w:color="auto" w:fill="auto"/>
            <w:vAlign w:val="center"/>
          </w:tcPr>
          <w:p w14:paraId="2CD1DB9C" w14:textId="0348200E"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4.918.986</w:t>
            </w:r>
          </w:p>
        </w:tc>
        <w:tc>
          <w:tcPr>
            <w:tcW w:w="996" w:type="pct"/>
            <w:tcBorders>
              <w:top w:val="nil"/>
              <w:left w:val="nil"/>
              <w:bottom w:val="nil"/>
              <w:right w:val="nil"/>
            </w:tcBorders>
            <w:shd w:val="clear" w:color="auto" w:fill="auto"/>
            <w:vAlign w:val="center"/>
            <w:hideMark/>
          </w:tcPr>
          <w:p w14:paraId="09E2AF71" w14:textId="032ED20A"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1.986.132</w:t>
            </w:r>
          </w:p>
        </w:tc>
        <w:tc>
          <w:tcPr>
            <w:tcW w:w="996" w:type="pct"/>
            <w:tcBorders>
              <w:top w:val="nil"/>
              <w:left w:val="nil"/>
              <w:bottom w:val="nil"/>
              <w:right w:val="nil"/>
            </w:tcBorders>
            <w:shd w:val="clear" w:color="auto" w:fill="auto"/>
            <w:vAlign w:val="center"/>
          </w:tcPr>
          <w:p w14:paraId="58712544" w14:textId="29235C28" w:rsidR="00713CBA" w:rsidRPr="00E20D21" w:rsidRDefault="008724C5"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c>
          <w:tcPr>
            <w:tcW w:w="996" w:type="pct"/>
            <w:tcBorders>
              <w:top w:val="nil"/>
              <w:left w:val="nil"/>
              <w:bottom w:val="nil"/>
              <w:right w:val="nil"/>
            </w:tcBorders>
            <w:shd w:val="clear" w:color="auto" w:fill="auto"/>
            <w:vAlign w:val="center"/>
            <w:hideMark/>
          </w:tcPr>
          <w:p w14:paraId="07AF89C8" w14:textId="0AC6E4AB"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r>
      <w:tr w:rsidR="00A47C19" w:rsidRPr="00E20D21" w14:paraId="67386391" w14:textId="77777777" w:rsidTr="00244A04">
        <w:trPr>
          <w:trHeight w:val="283"/>
        </w:trPr>
        <w:tc>
          <w:tcPr>
            <w:tcW w:w="1016" w:type="pct"/>
            <w:tcBorders>
              <w:top w:val="nil"/>
              <w:left w:val="nil"/>
              <w:bottom w:val="nil"/>
              <w:right w:val="nil"/>
            </w:tcBorders>
            <w:shd w:val="clear" w:color="auto" w:fill="auto"/>
            <w:vAlign w:val="center"/>
            <w:hideMark/>
          </w:tcPr>
          <w:p w14:paraId="28C9C33D" w14:textId="04677B66"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2028</w:t>
            </w:r>
          </w:p>
        </w:tc>
        <w:tc>
          <w:tcPr>
            <w:tcW w:w="996" w:type="pct"/>
            <w:tcBorders>
              <w:top w:val="nil"/>
              <w:left w:val="nil"/>
              <w:bottom w:val="nil"/>
              <w:right w:val="nil"/>
            </w:tcBorders>
            <w:shd w:val="clear" w:color="auto" w:fill="auto"/>
            <w:vAlign w:val="center"/>
          </w:tcPr>
          <w:p w14:paraId="5F53C3EA" w14:textId="01027BDA"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596.699</w:t>
            </w:r>
          </w:p>
        </w:tc>
        <w:tc>
          <w:tcPr>
            <w:tcW w:w="996" w:type="pct"/>
            <w:tcBorders>
              <w:top w:val="nil"/>
              <w:left w:val="nil"/>
              <w:bottom w:val="nil"/>
              <w:right w:val="nil"/>
            </w:tcBorders>
            <w:shd w:val="clear" w:color="auto" w:fill="auto"/>
            <w:vAlign w:val="center"/>
            <w:hideMark/>
          </w:tcPr>
          <w:p w14:paraId="2B8FD029" w14:textId="594B3E7B" w:rsidR="00713CBA" w:rsidRPr="00E20D21" w:rsidRDefault="008724C5"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c>
          <w:tcPr>
            <w:tcW w:w="996" w:type="pct"/>
            <w:tcBorders>
              <w:top w:val="nil"/>
              <w:left w:val="nil"/>
              <w:bottom w:val="nil"/>
              <w:right w:val="nil"/>
            </w:tcBorders>
            <w:shd w:val="clear" w:color="auto" w:fill="auto"/>
            <w:vAlign w:val="center"/>
          </w:tcPr>
          <w:p w14:paraId="47317ACD" w14:textId="4C933E9A" w:rsidR="00713CBA" w:rsidRPr="00E20D21" w:rsidRDefault="008724C5"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c>
          <w:tcPr>
            <w:tcW w:w="996" w:type="pct"/>
            <w:tcBorders>
              <w:top w:val="nil"/>
              <w:left w:val="nil"/>
              <w:bottom w:val="nil"/>
              <w:right w:val="nil"/>
            </w:tcBorders>
            <w:shd w:val="clear" w:color="auto" w:fill="auto"/>
            <w:vAlign w:val="center"/>
            <w:hideMark/>
          </w:tcPr>
          <w:p w14:paraId="5040F65E" w14:textId="1146659A"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r>
      <w:tr w:rsidR="00A47C19" w:rsidRPr="00E20D21" w14:paraId="1AC5B2B7" w14:textId="77777777" w:rsidTr="00244A04">
        <w:trPr>
          <w:trHeight w:val="283"/>
        </w:trPr>
        <w:tc>
          <w:tcPr>
            <w:tcW w:w="1016" w:type="pct"/>
            <w:tcBorders>
              <w:top w:val="nil"/>
              <w:left w:val="nil"/>
              <w:right w:val="nil"/>
            </w:tcBorders>
            <w:shd w:val="clear" w:color="auto" w:fill="auto"/>
            <w:vAlign w:val="center"/>
            <w:hideMark/>
          </w:tcPr>
          <w:p w14:paraId="79508F55" w14:textId="05642FE4"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2029</w:t>
            </w:r>
          </w:p>
        </w:tc>
        <w:tc>
          <w:tcPr>
            <w:tcW w:w="996" w:type="pct"/>
            <w:tcBorders>
              <w:top w:val="nil"/>
              <w:left w:val="nil"/>
              <w:bottom w:val="nil"/>
              <w:right w:val="nil"/>
            </w:tcBorders>
            <w:shd w:val="clear" w:color="auto" w:fill="auto"/>
            <w:vAlign w:val="center"/>
          </w:tcPr>
          <w:p w14:paraId="2297B208" w14:textId="5756079A"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hAnsi="CAIXA Std Book" w:cs="Arial"/>
                <w:color w:val="005CA9"/>
                <w:sz w:val="18"/>
                <w:szCs w:val="18"/>
              </w:rPr>
              <w:t>12.479</w:t>
            </w:r>
          </w:p>
        </w:tc>
        <w:tc>
          <w:tcPr>
            <w:tcW w:w="996" w:type="pct"/>
            <w:tcBorders>
              <w:top w:val="nil"/>
              <w:left w:val="nil"/>
              <w:right w:val="nil"/>
            </w:tcBorders>
            <w:shd w:val="clear" w:color="auto" w:fill="auto"/>
            <w:vAlign w:val="center"/>
          </w:tcPr>
          <w:p w14:paraId="3095A404" w14:textId="77466C5F"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13.027</w:t>
            </w:r>
          </w:p>
        </w:tc>
        <w:tc>
          <w:tcPr>
            <w:tcW w:w="996" w:type="pct"/>
            <w:tcBorders>
              <w:top w:val="nil"/>
              <w:left w:val="nil"/>
              <w:right w:val="nil"/>
            </w:tcBorders>
            <w:shd w:val="clear" w:color="auto" w:fill="auto"/>
            <w:vAlign w:val="center"/>
          </w:tcPr>
          <w:p w14:paraId="77C1EF63" w14:textId="47D56C24" w:rsidR="00713CBA" w:rsidRPr="00E20D21" w:rsidRDefault="008724C5"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c>
          <w:tcPr>
            <w:tcW w:w="996" w:type="pct"/>
            <w:tcBorders>
              <w:top w:val="nil"/>
              <w:left w:val="nil"/>
              <w:right w:val="nil"/>
            </w:tcBorders>
            <w:shd w:val="clear" w:color="auto" w:fill="auto"/>
            <w:vAlign w:val="center"/>
            <w:hideMark/>
          </w:tcPr>
          <w:p w14:paraId="6609A32C" w14:textId="2B2ED0E4"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r>
      <w:tr w:rsidR="00A47C19" w:rsidRPr="00E20D21" w14:paraId="329E093E" w14:textId="77777777" w:rsidTr="00244A04">
        <w:trPr>
          <w:trHeight w:val="283"/>
        </w:trPr>
        <w:tc>
          <w:tcPr>
            <w:tcW w:w="1016" w:type="pct"/>
            <w:tcBorders>
              <w:top w:val="nil"/>
              <w:left w:val="nil"/>
              <w:bottom w:val="single" w:sz="4" w:space="0" w:color="F79646"/>
              <w:right w:val="nil"/>
            </w:tcBorders>
            <w:shd w:val="clear" w:color="auto" w:fill="auto"/>
            <w:vAlign w:val="center"/>
            <w:hideMark/>
          </w:tcPr>
          <w:p w14:paraId="2D65E741" w14:textId="77777777"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2031</w:t>
            </w:r>
          </w:p>
        </w:tc>
        <w:tc>
          <w:tcPr>
            <w:tcW w:w="996" w:type="pct"/>
            <w:tcBorders>
              <w:top w:val="nil"/>
              <w:left w:val="nil"/>
              <w:bottom w:val="single" w:sz="4" w:space="0" w:color="F79646"/>
              <w:right w:val="nil"/>
            </w:tcBorders>
            <w:shd w:val="clear" w:color="auto" w:fill="auto"/>
            <w:vAlign w:val="center"/>
          </w:tcPr>
          <w:p w14:paraId="39657B1C" w14:textId="76B23874" w:rsidR="00713CBA" w:rsidRPr="00E20D21" w:rsidRDefault="00D23191"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3.281</w:t>
            </w:r>
          </w:p>
        </w:tc>
        <w:tc>
          <w:tcPr>
            <w:tcW w:w="996" w:type="pct"/>
            <w:tcBorders>
              <w:top w:val="nil"/>
              <w:left w:val="nil"/>
              <w:bottom w:val="single" w:sz="4" w:space="0" w:color="F79646"/>
              <w:right w:val="nil"/>
            </w:tcBorders>
            <w:shd w:val="clear" w:color="auto" w:fill="auto"/>
            <w:vAlign w:val="center"/>
            <w:hideMark/>
          </w:tcPr>
          <w:p w14:paraId="0530BA7E" w14:textId="34497C56"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3.542</w:t>
            </w:r>
          </w:p>
        </w:tc>
        <w:tc>
          <w:tcPr>
            <w:tcW w:w="996" w:type="pct"/>
            <w:tcBorders>
              <w:top w:val="nil"/>
              <w:left w:val="nil"/>
              <w:bottom w:val="single" w:sz="4" w:space="0" w:color="F79646"/>
              <w:right w:val="nil"/>
            </w:tcBorders>
            <w:shd w:val="clear" w:color="auto" w:fill="auto"/>
            <w:vAlign w:val="center"/>
          </w:tcPr>
          <w:p w14:paraId="396F14AB" w14:textId="61A284E2" w:rsidR="00713CBA" w:rsidRPr="00E20D21" w:rsidRDefault="008724C5"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c>
          <w:tcPr>
            <w:tcW w:w="996" w:type="pct"/>
            <w:tcBorders>
              <w:top w:val="nil"/>
              <w:left w:val="nil"/>
              <w:bottom w:val="single" w:sz="4" w:space="0" w:color="F79646"/>
              <w:right w:val="nil"/>
            </w:tcBorders>
            <w:shd w:val="clear" w:color="auto" w:fill="auto"/>
            <w:vAlign w:val="center"/>
            <w:hideMark/>
          </w:tcPr>
          <w:p w14:paraId="7578B3FE" w14:textId="19476249" w:rsidR="00713CBA" w:rsidRPr="00E20D21" w:rsidRDefault="00713CBA" w:rsidP="00713CBA">
            <w:pPr>
              <w:jc w:val="cente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w:t>
            </w:r>
          </w:p>
        </w:tc>
      </w:tr>
      <w:tr w:rsidR="00A47C19" w:rsidRPr="00E20D21" w14:paraId="69B818B8" w14:textId="77777777" w:rsidTr="00244A04">
        <w:trPr>
          <w:trHeight w:val="283"/>
        </w:trPr>
        <w:tc>
          <w:tcPr>
            <w:tcW w:w="1016" w:type="pct"/>
            <w:tcBorders>
              <w:top w:val="single" w:sz="4" w:space="0" w:color="F79646"/>
              <w:left w:val="nil"/>
              <w:bottom w:val="single" w:sz="4" w:space="0" w:color="F79646"/>
              <w:right w:val="nil"/>
            </w:tcBorders>
            <w:shd w:val="clear" w:color="auto" w:fill="auto"/>
            <w:vAlign w:val="center"/>
            <w:hideMark/>
          </w:tcPr>
          <w:p w14:paraId="73D54DA3" w14:textId="77777777" w:rsidR="00713CBA" w:rsidRPr="00E20D21" w:rsidRDefault="00713CBA" w:rsidP="00713CBA">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 xml:space="preserve">Total </w:t>
            </w:r>
          </w:p>
        </w:tc>
        <w:tc>
          <w:tcPr>
            <w:tcW w:w="996" w:type="pct"/>
            <w:tcBorders>
              <w:top w:val="single" w:sz="4" w:space="0" w:color="F79646"/>
              <w:left w:val="nil"/>
              <w:bottom w:val="single" w:sz="4" w:space="0" w:color="F79646"/>
              <w:right w:val="nil"/>
            </w:tcBorders>
            <w:shd w:val="clear" w:color="auto" w:fill="auto"/>
            <w:vAlign w:val="center"/>
          </w:tcPr>
          <w:p w14:paraId="5910564E" w14:textId="17A79B0D" w:rsidR="00713CBA" w:rsidRPr="00E20D21" w:rsidRDefault="00D23191" w:rsidP="00713CBA">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24.223.758</w:t>
            </w:r>
          </w:p>
        </w:tc>
        <w:tc>
          <w:tcPr>
            <w:tcW w:w="996" w:type="pct"/>
            <w:tcBorders>
              <w:top w:val="single" w:sz="4" w:space="0" w:color="F79646"/>
              <w:left w:val="nil"/>
              <w:bottom w:val="single" w:sz="4" w:space="0" w:color="F79646"/>
              <w:right w:val="nil"/>
            </w:tcBorders>
            <w:shd w:val="clear" w:color="auto" w:fill="auto"/>
            <w:vAlign w:val="center"/>
            <w:hideMark/>
          </w:tcPr>
          <w:p w14:paraId="62CBE459" w14:textId="7E4BE34E" w:rsidR="00713CBA" w:rsidRPr="00E20D21" w:rsidRDefault="00713CBA" w:rsidP="00713CBA">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color w:val="005CA9"/>
                <w:sz w:val="18"/>
                <w:szCs w:val="18"/>
              </w:rPr>
              <w:t>18.360.702</w:t>
            </w:r>
          </w:p>
        </w:tc>
        <w:tc>
          <w:tcPr>
            <w:tcW w:w="996" w:type="pct"/>
            <w:tcBorders>
              <w:top w:val="single" w:sz="4" w:space="0" w:color="F79646"/>
              <w:left w:val="nil"/>
              <w:bottom w:val="single" w:sz="4" w:space="0" w:color="F79646"/>
              <w:right w:val="nil"/>
            </w:tcBorders>
            <w:shd w:val="clear" w:color="auto" w:fill="auto"/>
            <w:vAlign w:val="center"/>
          </w:tcPr>
          <w:p w14:paraId="43040765" w14:textId="4BDF34EB" w:rsidR="00713CBA" w:rsidRPr="00E20D21" w:rsidRDefault="00F6000A" w:rsidP="00713CBA">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10.650</w:t>
            </w:r>
          </w:p>
        </w:tc>
        <w:tc>
          <w:tcPr>
            <w:tcW w:w="996" w:type="pct"/>
            <w:tcBorders>
              <w:top w:val="single" w:sz="4" w:space="0" w:color="F79646"/>
              <w:left w:val="nil"/>
              <w:bottom w:val="single" w:sz="4" w:space="0" w:color="F79646"/>
              <w:right w:val="nil"/>
            </w:tcBorders>
            <w:shd w:val="clear" w:color="auto" w:fill="auto"/>
            <w:vAlign w:val="center"/>
            <w:hideMark/>
          </w:tcPr>
          <w:p w14:paraId="0C9C7819" w14:textId="1F0AF531" w:rsidR="00713CBA" w:rsidRPr="00E20D21" w:rsidRDefault="00713CBA" w:rsidP="00713CBA">
            <w:pPr>
              <w:jc w:val="center"/>
              <w:rPr>
                <w:rFonts w:ascii="CAIXA Std Book" w:eastAsia="Times New Roman" w:hAnsi="CAIXA Std Book" w:cs="Calibri"/>
                <w:b/>
                <w:bCs/>
                <w:color w:val="005CA9"/>
                <w:sz w:val="18"/>
                <w:szCs w:val="18"/>
              </w:rPr>
            </w:pPr>
            <w:r w:rsidRPr="00E20D21">
              <w:rPr>
                <w:rFonts w:ascii="CAIXA Std Book" w:eastAsia="Times New Roman" w:hAnsi="CAIXA Std Book" w:cs="Arial"/>
                <w:b/>
                <w:bCs/>
                <w:color w:val="005CA9"/>
                <w:sz w:val="18"/>
                <w:szCs w:val="18"/>
              </w:rPr>
              <w:t>210.650</w:t>
            </w:r>
          </w:p>
        </w:tc>
      </w:tr>
    </w:tbl>
    <w:p w14:paraId="30EEAD10" w14:textId="39EBE8D8" w:rsidR="00A546B5" w:rsidRPr="00E20D21" w:rsidRDefault="00A546B5" w:rsidP="0034534B">
      <w:pPr>
        <w:keepNext/>
        <w:tabs>
          <w:tab w:val="left" w:pos="567"/>
        </w:tabs>
        <w:spacing w:before="480" w:after="240"/>
        <w:ind w:right="112"/>
        <w:jc w:val="both"/>
        <w:rPr>
          <w:rFonts w:ascii="CAIXA Std Book" w:hAnsi="CAIXA Std Book"/>
          <w:b/>
          <w:color w:val="005CA9"/>
          <w:sz w:val="20"/>
          <w:szCs w:val="20"/>
        </w:rPr>
      </w:pPr>
      <w:r w:rsidRPr="00E20D21">
        <w:rPr>
          <w:rFonts w:ascii="CAIXA Std Book" w:hAnsi="CAIXA Std Book"/>
          <w:b/>
          <w:color w:val="005CA9"/>
          <w:sz w:val="20"/>
          <w:szCs w:val="20"/>
        </w:rPr>
        <w:lastRenderedPageBreak/>
        <w:t>(</w:t>
      </w:r>
      <w:r w:rsidR="003B2426" w:rsidRPr="00E20D21">
        <w:rPr>
          <w:rFonts w:ascii="CAIXA Std Book" w:hAnsi="CAIXA Std Book"/>
          <w:b/>
          <w:color w:val="005CA9"/>
          <w:sz w:val="20"/>
          <w:szCs w:val="20"/>
        </w:rPr>
        <w:t>b</w:t>
      </w:r>
      <w:r w:rsidRPr="00E20D21">
        <w:rPr>
          <w:rFonts w:ascii="CAIXA Std Book" w:hAnsi="CAIXA Std Book"/>
          <w:b/>
          <w:color w:val="005CA9"/>
          <w:sz w:val="20"/>
          <w:szCs w:val="20"/>
        </w:rPr>
        <w:t>)</w:t>
      </w:r>
      <w:r w:rsidRPr="00E20D21">
        <w:rPr>
          <w:rFonts w:ascii="CAIXA Std Book" w:hAnsi="CAIXA Std Book"/>
          <w:b/>
          <w:color w:val="005CA9"/>
          <w:sz w:val="20"/>
          <w:szCs w:val="20"/>
        </w:rPr>
        <w:tab/>
        <w:t>Composição da carteira de instrumentos financeiros derivativos por indexador, tipo de instrumento e prazo, demonstrada pelo seu valor referencial em contas de compensação</w:t>
      </w:r>
    </w:p>
    <w:tbl>
      <w:tblPr>
        <w:tblW w:w="5000" w:type="pct"/>
        <w:tblCellMar>
          <w:left w:w="70" w:type="dxa"/>
          <w:right w:w="70" w:type="dxa"/>
        </w:tblCellMar>
        <w:tblLook w:val="04A0" w:firstRow="1" w:lastRow="0" w:firstColumn="1" w:lastColumn="0" w:noHBand="0" w:noVBand="1"/>
      </w:tblPr>
      <w:tblGrid>
        <w:gridCol w:w="3677"/>
        <w:gridCol w:w="1809"/>
        <w:gridCol w:w="1807"/>
        <w:gridCol w:w="7"/>
        <w:gridCol w:w="1810"/>
        <w:gridCol w:w="6"/>
        <w:gridCol w:w="1827"/>
        <w:gridCol w:w="1830"/>
        <w:gridCol w:w="1798"/>
      </w:tblGrid>
      <w:tr w:rsidR="00A47C19" w:rsidRPr="00E20D21" w14:paraId="31B895C0" w14:textId="77777777" w:rsidTr="00764383">
        <w:trPr>
          <w:trHeight w:val="227"/>
        </w:trPr>
        <w:tc>
          <w:tcPr>
            <w:tcW w:w="5000" w:type="pct"/>
            <w:gridSpan w:val="9"/>
            <w:tcBorders>
              <w:top w:val="single" w:sz="4" w:space="0" w:color="F79646"/>
              <w:left w:val="nil"/>
              <w:bottom w:val="single" w:sz="4" w:space="0" w:color="F79646"/>
              <w:right w:val="nil"/>
            </w:tcBorders>
            <w:shd w:val="clear" w:color="auto" w:fill="auto"/>
            <w:vAlign w:val="center"/>
            <w:hideMark/>
          </w:tcPr>
          <w:p w14:paraId="1F4EEBCB" w14:textId="78386A11"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INDIVIDUAL</w:t>
            </w:r>
          </w:p>
        </w:tc>
      </w:tr>
      <w:tr w:rsidR="00A47C19" w:rsidRPr="00E20D21" w14:paraId="20C49E4C" w14:textId="77777777" w:rsidTr="00764383">
        <w:trPr>
          <w:trHeight w:val="227"/>
        </w:trPr>
        <w:tc>
          <w:tcPr>
            <w:tcW w:w="5000" w:type="pct"/>
            <w:gridSpan w:val="9"/>
            <w:tcBorders>
              <w:top w:val="single" w:sz="4" w:space="0" w:color="F79646"/>
              <w:left w:val="nil"/>
              <w:bottom w:val="single" w:sz="4" w:space="0" w:color="F79646"/>
              <w:right w:val="nil"/>
            </w:tcBorders>
            <w:shd w:val="clear" w:color="auto" w:fill="auto"/>
            <w:vAlign w:val="center"/>
            <w:hideMark/>
          </w:tcPr>
          <w:p w14:paraId="1155B9C6"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Valor Referencial</w:t>
            </w:r>
          </w:p>
        </w:tc>
      </w:tr>
      <w:tr w:rsidR="00A47C19" w:rsidRPr="00E20D21" w14:paraId="64765C4F" w14:textId="77777777" w:rsidTr="004165E2">
        <w:trPr>
          <w:trHeight w:val="227"/>
        </w:trPr>
        <w:tc>
          <w:tcPr>
            <w:tcW w:w="1262" w:type="pct"/>
            <w:vMerge w:val="restart"/>
            <w:tcBorders>
              <w:top w:val="single" w:sz="4" w:space="0" w:color="F79646"/>
              <w:left w:val="nil"/>
              <w:bottom w:val="single" w:sz="8" w:space="0" w:color="F79646"/>
              <w:right w:val="nil"/>
            </w:tcBorders>
            <w:shd w:val="clear" w:color="auto" w:fill="auto"/>
            <w:vAlign w:val="center"/>
            <w:hideMark/>
          </w:tcPr>
          <w:p w14:paraId="31F99A62"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Descrição</w:t>
            </w:r>
          </w:p>
        </w:tc>
        <w:tc>
          <w:tcPr>
            <w:tcW w:w="3121" w:type="pct"/>
            <w:gridSpan w:val="7"/>
            <w:tcBorders>
              <w:top w:val="single" w:sz="4" w:space="0" w:color="F79646"/>
              <w:left w:val="nil"/>
              <w:bottom w:val="single" w:sz="4" w:space="0" w:color="F79646"/>
              <w:right w:val="nil"/>
            </w:tcBorders>
            <w:shd w:val="clear" w:color="auto" w:fill="auto"/>
            <w:vAlign w:val="center"/>
            <w:hideMark/>
          </w:tcPr>
          <w:p w14:paraId="4FA47419" w14:textId="350483ED" w:rsidR="001A1B4D" w:rsidRPr="00E20D21" w:rsidRDefault="00043876" w:rsidP="001A1B4D">
            <w:pPr>
              <w:jc w:val="center"/>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30/06/2024</w:t>
            </w:r>
          </w:p>
        </w:tc>
        <w:tc>
          <w:tcPr>
            <w:tcW w:w="617" w:type="pct"/>
            <w:tcBorders>
              <w:top w:val="single" w:sz="4" w:space="0" w:color="F79646"/>
              <w:left w:val="nil"/>
              <w:bottom w:val="single" w:sz="4" w:space="0" w:color="F79646"/>
              <w:right w:val="nil"/>
            </w:tcBorders>
            <w:shd w:val="clear" w:color="auto" w:fill="auto"/>
            <w:vAlign w:val="center"/>
            <w:hideMark/>
          </w:tcPr>
          <w:p w14:paraId="7306BC65" w14:textId="3D371865"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w:t>
            </w:r>
            <w:r w:rsidR="00043876" w:rsidRPr="00E20D21">
              <w:rPr>
                <w:rFonts w:ascii="CAIXA Std Book" w:eastAsia="Times New Roman" w:hAnsi="CAIXA Std Book" w:cs="Calibri"/>
                <w:b/>
                <w:color w:val="005CA9"/>
                <w:sz w:val="16"/>
                <w:szCs w:val="16"/>
              </w:rPr>
              <w:t>3</w:t>
            </w:r>
          </w:p>
        </w:tc>
      </w:tr>
      <w:tr w:rsidR="00A47C19" w:rsidRPr="00E20D21" w14:paraId="03C5C982" w14:textId="77777777" w:rsidTr="004165E2">
        <w:trPr>
          <w:trHeight w:val="227"/>
        </w:trPr>
        <w:tc>
          <w:tcPr>
            <w:tcW w:w="1262" w:type="pct"/>
            <w:vMerge/>
            <w:tcBorders>
              <w:top w:val="nil"/>
              <w:left w:val="nil"/>
              <w:bottom w:val="single" w:sz="4" w:space="0" w:color="F79646"/>
              <w:right w:val="nil"/>
            </w:tcBorders>
            <w:vAlign w:val="center"/>
            <w:hideMark/>
          </w:tcPr>
          <w:p w14:paraId="2BC03903" w14:textId="77777777" w:rsidR="001A1B4D" w:rsidRPr="00E20D21" w:rsidRDefault="001A1B4D" w:rsidP="001A1B4D">
            <w:pPr>
              <w:rPr>
                <w:rFonts w:ascii="CAIXA Std Book" w:eastAsia="Times New Roman" w:hAnsi="CAIXA Std Book" w:cs="Calibri"/>
                <w:b/>
                <w:color w:val="005CA9"/>
                <w:sz w:val="16"/>
                <w:szCs w:val="16"/>
              </w:rPr>
            </w:pPr>
          </w:p>
        </w:tc>
        <w:tc>
          <w:tcPr>
            <w:tcW w:w="621" w:type="pct"/>
            <w:tcBorders>
              <w:top w:val="single" w:sz="4" w:space="0" w:color="F79646"/>
              <w:left w:val="nil"/>
              <w:bottom w:val="single" w:sz="4" w:space="0" w:color="F79646"/>
              <w:right w:val="nil"/>
            </w:tcBorders>
            <w:shd w:val="clear" w:color="auto" w:fill="auto"/>
            <w:vAlign w:val="center"/>
            <w:hideMark/>
          </w:tcPr>
          <w:p w14:paraId="0857FAAA"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01 a 90 dias</w:t>
            </w:r>
          </w:p>
        </w:tc>
        <w:tc>
          <w:tcPr>
            <w:tcW w:w="620" w:type="pct"/>
            <w:tcBorders>
              <w:top w:val="single" w:sz="4" w:space="0" w:color="F79646"/>
              <w:left w:val="nil"/>
              <w:bottom w:val="single" w:sz="4" w:space="0" w:color="F79646"/>
              <w:right w:val="nil"/>
            </w:tcBorders>
            <w:shd w:val="clear" w:color="auto" w:fill="auto"/>
            <w:vAlign w:val="center"/>
            <w:hideMark/>
          </w:tcPr>
          <w:p w14:paraId="323805AE"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91 a 180 dias</w:t>
            </w:r>
          </w:p>
        </w:tc>
        <w:tc>
          <w:tcPr>
            <w:tcW w:w="623" w:type="pct"/>
            <w:gridSpan w:val="2"/>
            <w:tcBorders>
              <w:top w:val="single" w:sz="4" w:space="0" w:color="F79646"/>
              <w:left w:val="nil"/>
              <w:bottom w:val="single" w:sz="4" w:space="0" w:color="F79646"/>
              <w:right w:val="nil"/>
            </w:tcBorders>
            <w:shd w:val="clear" w:color="auto" w:fill="auto"/>
            <w:vAlign w:val="center"/>
            <w:hideMark/>
          </w:tcPr>
          <w:p w14:paraId="2A3EA759"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181 a 360 dias</w:t>
            </w:r>
          </w:p>
        </w:tc>
        <w:tc>
          <w:tcPr>
            <w:tcW w:w="629" w:type="pct"/>
            <w:gridSpan w:val="2"/>
            <w:tcBorders>
              <w:top w:val="single" w:sz="4" w:space="0" w:color="F79646"/>
              <w:left w:val="nil"/>
              <w:bottom w:val="single" w:sz="4" w:space="0" w:color="F79646"/>
              <w:right w:val="nil"/>
            </w:tcBorders>
            <w:shd w:val="clear" w:color="auto" w:fill="auto"/>
            <w:vAlign w:val="center"/>
            <w:hideMark/>
          </w:tcPr>
          <w:p w14:paraId="40A6D195"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Acima de 360 dias</w:t>
            </w:r>
          </w:p>
        </w:tc>
        <w:tc>
          <w:tcPr>
            <w:tcW w:w="628" w:type="pct"/>
            <w:tcBorders>
              <w:top w:val="single" w:sz="4" w:space="0" w:color="F79646"/>
              <w:left w:val="nil"/>
              <w:bottom w:val="single" w:sz="4" w:space="0" w:color="F79646"/>
              <w:right w:val="nil"/>
            </w:tcBorders>
            <w:shd w:val="clear" w:color="auto" w:fill="auto"/>
            <w:vAlign w:val="center"/>
            <w:hideMark/>
          </w:tcPr>
          <w:p w14:paraId="5AC30935"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Valor de Mercado</w:t>
            </w:r>
          </w:p>
        </w:tc>
        <w:tc>
          <w:tcPr>
            <w:tcW w:w="617" w:type="pct"/>
            <w:tcBorders>
              <w:top w:val="single" w:sz="4" w:space="0" w:color="F79646"/>
              <w:left w:val="nil"/>
              <w:bottom w:val="single" w:sz="4" w:space="0" w:color="F79646"/>
              <w:right w:val="nil"/>
            </w:tcBorders>
            <w:shd w:val="clear" w:color="auto" w:fill="auto"/>
            <w:vAlign w:val="center"/>
            <w:hideMark/>
          </w:tcPr>
          <w:p w14:paraId="07452C6B"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Valor de Mercado</w:t>
            </w:r>
          </w:p>
        </w:tc>
      </w:tr>
      <w:tr w:rsidR="00A47C19" w:rsidRPr="00E20D21" w14:paraId="318FB8B7" w14:textId="77777777" w:rsidTr="00764383">
        <w:trPr>
          <w:trHeight w:val="227"/>
        </w:trPr>
        <w:tc>
          <w:tcPr>
            <w:tcW w:w="5000" w:type="pct"/>
            <w:gridSpan w:val="9"/>
            <w:tcBorders>
              <w:top w:val="single" w:sz="4" w:space="0" w:color="F79646"/>
              <w:left w:val="nil"/>
              <w:bottom w:val="single" w:sz="4" w:space="0" w:color="F79646"/>
              <w:right w:val="nil"/>
            </w:tcBorders>
            <w:shd w:val="clear" w:color="auto" w:fill="auto"/>
            <w:noWrap/>
            <w:vAlign w:val="center"/>
            <w:hideMark/>
          </w:tcPr>
          <w:p w14:paraId="55D04263"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Contratos de futuros</w:t>
            </w:r>
          </w:p>
        </w:tc>
      </w:tr>
      <w:tr w:rsidR="00A47C19" w:rsidRPr="00E20D21" w14:paraId="29C56AA4" w14:textId="77777777" w:rsidTr="004165E2">
        <w:trPr>
          <w:trHeight w:val="227"/>
        </w:trPr>
        <w:tc>
          <w:tcPr>
            <w:tcW w:w="1262" w:type="pct"/>
            <w:tcBorders>
              <w:top w:val="single" w:sz="4" w:space="0" w:color="F79646"/>
              <w:left w:val="nil"/>
              <w:bottom w:val="nil"/>
              <w:right w:val="nil"/>
            </w:tcBorders>
            <w:shd w:val="clear" w:color="auto" w:fill="auto"/>
            <w:noWrap/>
            <w:vAlign w:val="center"/>
            <w:hideMark/>
          </w:tcPr>
          <w:p w14:paraId="71AE1BC5" w14:textId="77777777" w:rsidR="00043876" w:rsidRPr="00E20D21" w:rsidRDefault="00043876" w:rsidP="00043876">
            <w:pP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Compromissos de compra</w:t>
            </w:r>
          </w:p>
        </w:tc>
        <w:tc>
          <w:tcPr>
            <w:tcW w:w="621" w:type="pct"/>
            <w:tcBorders>
              <w:top w:val="single" w:sz="4" w:space="0" w:color="F79646"/>
              <w:left w:val="nil"/>
              <w:bottom w:val="nil"/>
              <w:right w:val="nil"/>
            </w:tcBorders>
            <w:shd w:val="clear" w:color="auto" w:fill="auto"/>
            <w:noWrap/>
            <w:vAlign w:val="center"/>
          </w:tcPr>
          <w:p w14:paraId="3F6C45DC" w14:textId="2383BC53" w:rsidR="00043876" w:rsidRPr="00E20D21" w:rsidRDefault="00EC45EC" w:rsidP="00043876">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w:t>
            </w:r>
          </w:p>
        </w:tc>
        <w:tc>
          <w:tcPr>
            <w:tcW w:w="620" w:type="pct"/>
            <w:tcBorders>
              <w:top w:val="nil"/>
              <w:left w:val="nil"/>
              <w:bottom w:val="nil"/>
              <w:right w:val="nil"/>
            </w:tcBorders>
            <w:shd w:val="clear" w:color="auto" w:fill="auto"/>
            <w:noWrap/>
            <w:vAlign w:val="center"/>
          </w:tcPr>
          <w:p w14:paraId="37C0D4FA" w14:textId="0433C9CF" w:rsidR="00043876" w:rsidRPr="00E20D21" w:rsidRDefault="00EC45EC" w:rsidP="00043876">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28.046</w:t>
            </w:r>
          </w:p>
        </w:tc>
        <w:tc>
          <w:tcPr>
            <w:tcW w:w="623" w:type="pct"/>
            <w:gridSpan w:val="2"/>
            <w:tcBorders>
              <w:top w:val="nil"/>
              <w:left w:val="nil"/>
              <w:bottom w:val="nil"/>
              <w:right w:val="nil"/>
            </w:tcBorders>
            <w:shd w:val="clear" w:color="auto" w:fill="auto"/>
            <w:noWrap/>
            <w:vAlign w:val="center"/>
          </w:tcPr>
          <w:p w14:paraId="7BB73C4E" w14:textId="7E578C7E" w:rsidR="00043876" w:rsidRPr="00E20D21" w:rsidRDefault="00EC45EC" w:rsidP="00043876">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3.347.430</w:t>
            </w:r>
          </w:p>
        </w:tc>
        <w:tc>
          <w:tcPr>
            <w:tcW w:w="629" w:type="pct"/>
            <w:gridSpan w:val="2"/>
            <w:tcBorders>
              <w:top w:val="nil"/>
              <w:left w:val="nil"/>
              <w:bottom w:val="nil"/>
              <w:right w:val="nil"/>
            </w:tcBorders>
            <w:shd w:val="clear" w:color="auto" w:fill="auto"/>
            <w:noWrap/>
            <w:vAlign w:val="center"/>
          </w:tcPr>
          <w:p w14:paraId="3F917319" w14:textId="7724B9D3" w:rsidR="00043876" w:rsidRPr="00E20D21" w:rsidRDefault="00EC45EC" w:rsidP="00043876">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3.290.332</w:t>
            </w:r>
          </w:p>
        </w:tc>
        <w:tc>
          <w:tcPr>
            <w:tcW w:w="628" w:type="pct"/>
            <w:tcBorders>
              <w:top w:val="nil"/>
              <w:left w:val="nil"/>
              <w:bottom w:val="nil"/>
              <w:right w:val="nil"/>
            </w:tcBorders>
            <w:shd w:val="clear" w:color="auto" w:fill="auto"/>
            <w:noWrap/>
            <w:vAlign w:val="center"/>
          </w:tcPr>
          <w:p w14:paraId="49F95C2D" w14:textId="2C1FAC96" w:rsidR="00043876" w:rsidRPr="00E20D21" w:rsidRDefault="00EC45EC" w:rsidP="00043876">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6.665.808</w:t>
            </w:r>
          </w:p>
        </w:tc>
        <w:tc>
          <w:tcPr>
            <w:tcW w:w="617" w:type="pct"/>
            <w:tcBorders>
              <w:top w:val="single" w:sz="4" w:space="0" w:color="F79646"/>
              <w:left w:val="nil"/>
              <w:bottom w:val="nil"/>
              <w:right w:val="nil"/>
            </w:tcBorders>
            <w:shd w:val="clear" w:color="auto" w:fill="auto"/>
            <w:noWrap/>
            <w:vAlign w:val="center"/>
            <w:hideMark/>
          </w:tcPr>
          <w:p w14:paraId="7E51F8DE" w14:textId="5901DF7B" w:rsidR="00043876" w:rsidRPr="00E20D21" w:rsidRDefault="00043876" w:rsidP="00043876">
            <w:pPr>
              <w:jc w:val="right"/>
              <w:rPr>
                <w:rFonts w:ascii="CAIXA Std Book" w:eastAsia="Times New Roman" w:hAnsi="CAIXA Std Book" w:cs="Calibri"/>
                <w:b/>
                <w:color w:val="005CA9"/>
                <w:sz w:val="16"/>
                <w:szCs w:val="16"/>
              </w:rPr>
            </w:pPr>
            <w:r w:rsidRPr="00E20D21">
              <w:rPr>
                <w:rFonts w:ascii="CAIXA Std Book" w:eastAsia="Times New Roman" w:hAnsi="CAIXA Std Book" w:cs="Arial"/>
                <w:b/>
                <w:color w:val="005CA9"/>
                <w:sz w:val="16"/>
                <w:szCs w:val="16"/>
              </w:rPr>
              <w:t>356.144</w:t>
            </w:r>
          </w:p>
        </w:tc>
      </w:tr>
      <w:tr w:rsidR="00A47C19" w:rsidRPr="00E20D21" w14:paraId="3526B0FE" w14:textId="77777777" w:rsidTr="004165E2">
        <w:trPr>
          <w:trHeight w:val="227"/>
        </w:trPr>
        <w:tc>
          <w:tcPr>
            <w:tcW w:w="1262" w:type="pct"/>
            <w:tcBorders>
              <w:top w:val="nil"/>
              <w:left w:val="nil"/>
              <w:bottom w:val="nil"/>
              <w:right w:val="nil"/>
            </w:tcBorders>
            <w:shd w:val="clear" w:color="auto" w:fill="auto"/>
            <w:noWrap/>
            <w:vAlign w:val="center"/>
            <w:hideMark/>
          </w:tcPr>
          <w:p w14:paraId="1598D126" w14:textId="77777777" w:rsidR="00043876" w:rsidRPr="00E20D21" w:rsidRDefault="00043876" w:rsidP="00043876">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Mercado interfinanceiro</w:t>
            </w:r>
          </w:p>
        </w:tc>
        <w:tc>
          <w:tcPr>
            <w:tcW w:w="621" w:type="pct"/>
            <w:tcBorders>
              <w:top w:val="nil"/>
              <w:left w:val="nil"/>
              <w:bottom w:val="nil"/>
              <w:right w:val="nil"/>
            </w:tcBorders>
            <w:shd w:val="clear" w:color="auto" w:fill="auto"/>
            <w:noWrap/>
            <w:vAlign w:val="center"/>
          </w:tcPr>
          <w:p w14:paraId="229C61CB" w14:textId="0FDC93E6" w:rsidR="00043876" w:rsidRPr="00E20D21" w:rsidRDefault="00EC45EC" w:rsidP="0004387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64606B0E" w14:textId="2325DB48"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28.046</w:t>
            </w:r>
          </w:p>
        </w:tc>
        <w:tc>
          <w:tcPr>
            <w:tcW w:w="623" w:type="pct"/>
            <w:gridSpan w:val="2"/>
            <w:tcBorders>
              <w:top w:val="nil"/>
              <w:left w:val="nil"/>
              <w:bottom w:val="nil"/>
              <w:right w:val="nil"/>
            </w:tcBorders>
            <w:shd w:val="clear" w:color="auto" w:fill="auto"/>
            <w:noWrap/>
            <w:vAlign w:val="center"/>
          </w:tcPr>
          <w:p w14:paraId="61F7EEC5" w14:textId="19F13C65" w:rsidR="00043876" w:rsidRPr="00E20D21" w:rsidRDefault="00EC45EC" w:rsidP="00043876">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3.347.430</w:t>
            </w:r>
          </w:p>
        </w:tc>
        <w:tc>
          <w:tcPr>
            <w:tcW w:w="629" w:type="pct"/>
            <w:gridSpan w:val="2"/>
            <w:tcBorders>
              <w:top w:val="nil"/>
              <w:left w:val="nil"/>
              <w:bottom w:val="nil"/>
              <w:right w:val="nil"/>
            </w:tcBorders>
            <w:shd w:val="clear" w:color="auto" w:fill="auto"/>
            <w:vAlign w:val="center"/>
          </w:tcPr>
          <w:p w14:paraId="7F8FF0FA" w14:textId="702304F2"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3.290.332</w:t>
            </w:r>
          </w:p>
        </w:tc>
        <w:tc>
          <w:tcPr>
            <w:tcW w:w="628" w:type="pct"/>
            <w:tcBorders>
              <w:top w:val="nil"/>
              <w:left w:val="nil"/>
              <w:bottom w:val="nil"/>
              <w:right w:val="nil"/>
            </w:tcBorders>
            <w:shd w:val="clear" w:color="auto" w:fill="auto"/>
            <w:noWrap/>
            <w:vAlign w:val="center"/>
          </w:tcPr>
          <w:p w14:paraId="501C98DC" w14:textId="0F9E7DB2"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6.665.808</w:t>
            </w:r>
          </w:p>
        </w:tc>
        <w:tc>
          <w:tcPr>
            <w:tcW w:w="617" w:type="pct"/>
            <w:tcBorders>
              <w:top w:val="nil"/>
              <w:left w:val="nil"/>
              <w:bottom w:val="nil"/>
              <w:right w:val="nil"/>
            </w:tcBorders>
            <w:shd w:val="clear" w:color="auto" w:fill="auto"/>
            <w:vAlign w:val="center"/>
            <w:hideMark/>
          </w:tcPr>
          <w:p w14:paraId="74211B71" w14:textId="3FBF000D" w:rsidR="00043876" w:rsidRPr="00E20D21" w:rsidRDefault="00043876" w:rsidP="00043876">
            <w:pPr>
              <w:jc w:val="right"/>
              <w:rPr>
                <w:rFonts w:ascii="CAIXA Std Book" w:eastAsia="Times New Roman" w:hAnsi="CAIXA Std Book" w:cs="Calibri"/>
                <w:color w:val="005CA9"/>
                <w:sz w:val="16"/>
                <w:szCs w:val="16"/>
              </w:rPr>
            </w:pPr>
            <w:r w:rsidRPr="00E20D21">
              <w:rPr>
                <w:rFonts w:ascii="CAIXA Std Book" w:eastAsia="Times New Roman" w:hAnsi="CAIXA Std Book" w:cs="Arial"/>
                <w:color w:val="005CA9"/>
                <w:sz w:val="16"/>
                <w:szCs w:val="16"/>
              </w:rPr>
              <w:t>356.144</w:t>
            </w:r>
          </w:p>
        </w:tc>
      </w:tr>
      <w:tr w:rsidR="00A47C19" w:rsidRPr="00E20D21" w14:paraId="4D6CBB02" w14:textId="77777777" w:rsidTr="004165E2">
        <w:trPr>
          <w:trHeight w:val="227"/>
        </w:trPr>
        <w:tc>
          <w:tcPr>
            <w:tcW w:w="1262" w:type="pct"/>
            <w:tcBorders>
              <w:top w:val="nil"/>
              <w:left w:val="nil"/>
              <w:bottom w:val="nil"/>
              <w:right w:val="nil"/>
            </w:tcBorders>
            <w:shd w:val="clear" w:color="auto" w:fill="auto"/>
            <w:noWrap/>
            <w:vAlign w:val="center"/>
            <w:hideMark/>
          </w:tcPr>
          <w:p w14:paraId="2860CC54" w14:textId="77777777" w:rsidR="00043876" w:rsidRPr="00E20D21" w:rsidRDefault="00043876" w:rsidP="00043876">
            <w:pP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Compromissos de venda</w:t>
            </w:r>
          </w:p>
        </w:tc>
        <w:tc>
          <w:tcPr>
            <w:tcW w:w="621" w:type="pct"/>
            <w:tcBorders>
              <w:top w:val="nil"/>
              <w:left w:val="nil"/>
              <w:bottom w:val="nil"/>
              <w:right w:val="nil"/>
            </w:tcBorders>
            <w:shd w:val="clear" w:color="auto" w:fill="auto"/>
            <w:noWrap/>
            <w:vAlign w:val="center"/>
          </w:tcPr>
          <w:p w14:paraId="248B7401" w14:textId="48053D59" w:rsidR="00043876" w:rsidRPr="00E20D21" w:rsidRDefault="00EC45EC" w:rsidP="00043876">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4.228.294</w:t>
            </w:r>
          </w:p>
        </w:tc>
        <w:tc>
          <w:tcPr>
            <w:tcW w:w="620" w:type="pct"/>
            <w:tcBorders>
              <w:top w:val="nil"/>
              <w:left w:val="nil"/>
              <w:bottom w:val="nil"/>
              <w:right w:val="nil"/>
            </w:tcBorders>
            <w:shd w:val="clear" w:color="auto" w:fill="auto"/>
            <w:noWrap/>
            <w:vAlign w:val="center"/>
          </w:tcPr>
          <w:p w14:paraId="14EE1AC4" w14:textId="7DCC3BC6" w:rsidR="00043876" w:rsidRPr="00E20D21" w:rsidRDefault="00EC45EC" w:rsidP="00043876">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950.441</w:t>
            </w:r>
          </w:p>
        </w:tc>
        <w:tc>
          <w:tcPr>
            <w:tcW w:w="623" w:type="pct"/>
            <w:gridSpan w:val="2"/>
            <w:tcBorders>
              <w:top w:val="nil"/>
              <w:left w:val="nil"/>
              <w:bottom w:val="nil"/>
              <w:right w:val="nil"/>
            </w:tcBorders>
            <w:shd w:val="clear" w:color="auto" w:fill="auto"/>
            <w:noWrap/>
            <w:vAlign w:val="center"/>
          </w:tcPr>
          <w:p w14:paraId="0D8580DC" w14:textId="39FF01B9" w:rsidR="00043876" w:rsidRPr="00E20D21" w:rsidRDefault="00EC45EC" w:rsidP="00043876">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3.712.510</w:t>
            </w:r>
          </w:p>
        </w:tc>
        <w:tc>
          <w:tcPr>
            <w:tcW w:w="629" w:type="pct"/>
            <w:gridSpan w:val="2"/>
            <w:tcBorders>
              <w:top w:val="nil"/>
              <w:left w:val="nil"/>
              <w:bottom w:val="nil"/>
              <w:right w:val="nil"/>
            </w:tcBorders>
            <w:shd w:val="clear" w:color="auto" w:fill="auto"/>
            <w:noWrap/>
            <w:vAlign w:val="center"/>
          </w:tcPr>
          <w:p w14:paraId="55AD3F7A" w14:textId="0EA7282F" w:rsidR="00043876" w:rsidRPr="00E20D21" w:rsidRDefault="00EC45EC" w:rsidP="00043876">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60.742.582</w:t>
            </w:r>
          </w:p>
        </w:tc>
        <w:tc>
          <w:tcPr>
            <w:tcW w:w="628" w:type="pct"/>
            <w:tcBorders>
              <w:top w:val="nil"/>
              <w:left w:val="nil"/>
              <w:bottom w:val="nil"/>
              <w:right w:val="nil"/>
            </w:tcBorders>
            <w:shd w:val="clear" w:color="auto" w:fill="auto"/>
            <w:noWrap/>
            <w:vAlign w:val="center"/>
          </w:tcPr>
          <w:p w14:paraId="72691710" w14:textId="005917F2" w:rsidR="00043876" w:rsidRPr="00E20D21" w:rsidRDefault="00EC45EC" w:rsidP="00043876">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69.633.827</w:t>
            </w:r>
          </w:p>
        </w:tc>
        <w:tc>
          <w:tcPr>
            <w:tcW w:w="617" w:type="pct"/>
            <w:tcBorders>
              <w:top w:val="nil"/>
              <w:left w:val="nil"/>
              <w:bottom w:val="nil"/>
              <w:right w:val="nil"/>
            </w:tcBorders>
            <w:shd w:val="clear" w:color="auto" w:fill="auto"/>
            <w:noWrap/>
            <w:vAlign w:val="center"/>
            <w:hideMark/>
          </w:tcPr>
          <w:p w14:paraId="44A6C8A8" w14:textId="2F5D3D88" w:rsidR="00043876" w:rsidRPr="00E20D21" w:rsidRDefault="00043876" w:rsidP="00043876">
            <w:pPr>
              <w:jc w:val="right"/>
              <w:rPr>
                <w:rFonts w:ascii="CAIXA Std Book" w:eastAsia="Times New Roman" w:hAnsi="CAIXA Std Book" w:cs="Calibri"/>
                <w:b/>
                <w:color w:val="005CA9"/>
                <w:sz w:val="16"/>
                <w:szCs w:val="16"/>
              </w:rPr>
            </w:pPr>
            <w:r w:rsidRPr="00E20D21">
              <w:rPr>
                <w:rFonts w:ascii="CAIXA Std Book" w:eastAsia="Times New Roman" w:hAnsi="CAIXA Std Book" w:cs="Arial"/>
                <w:b/>
                <w:color w:val="005CA9"/>
                <w:sz w:val="16"/>
                <w:szCs w:val="16"/>
              </w:rPr>
              <w:t>113.188.649</w:t>
            </w:r>
          </w:p>
        </w:tc>
      </w:tr>
      <w:tr w:rsidR="00A47C19" w:rsidRPr="00E20D21" w14:paraId="0915BAC1" w14:textId="77777777" w:rsidTr="004165E2">
        <w:trPr>
          <w:trHeight w:val="227"/>
        </w:trPr>
        <w:tc>
          <w:tcPr>
            <w:tcW w:w="1262" w:type="pct"/>
            <w:tcBorders>
              <w:top w:val="nil"/>
              <w:left w:val="nil"/>
              <w:right w:val="nil"/>
            </w:tcBorders>
            <w:shd w:val="clear" w:color="auto" w:fill="auto"/>
            <w:noWrap/>
            <w:vAlign w:val="center"/>
            <w:hideMark/>
          </w:tcPr>
          <w:p w14:paraId="5F4F1DBB" w14:textId="77777777" w:rsidR="00043876" w:rsidRPr="00E20D21" w:rsidRDefault="00043876" w:rsidP="00043876">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Mercado interfinanceiro</w:t>
            </w:r>
          </w:p>
        </w:tc>
        <w:tc>
          <w:tcPr>
            <w:tcW w:w="621" w:type="pct"/>
            <w:tcBorders>
              <w:top w:val="nil"/>
              <w:left w:val="nil"/>
              <w:bottom w:val="nil"/>
              <w:right w:val="nil"/>
            </w:tcBorders>
            <w:shd w:val="clear" w:color="auto" w:fill="auto"/>
            <w:noWrap/>
            <w:vAlign w:val="center"/>
          </w:tcPr>
          <w:p w14:paraId="79347F3F" w14:textId="1E8D084A"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3.884.974</w:t>
            </w:r>
          </w:p>
        </w:tc>
        <w:tc>
          <w:tcPr>
            <w:tcW w:w="620" w:type="pct"/>
            <w:tcBorders>
              <w:top w:val="nil"/>
              <w:left w:val="nil"/>
              <w:bottom w:val="nil"/>
              <w:right w:val="nil"/>
            </w:tcBorders>
            <w:shd w:val="clear" w:color="auto" w:fill="auto"/>
            <w:noWrap/>
            <w:vAlign w:val="center"/>
          </w:tcPr>
          <w:p w14:paraId="6E029ECD" w14:textId="51C6DE87"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950.441</w:t>
            </w:r>
          </w:p>
        </w:tc>
        <w:tc>
          <w:tcPr>
            <w:tcW w:w="623" w:type="pct"/>
            <w:gridSpan w:val="2"/>
            <w:tcBorders>
              <w:top w:val="nil"/>
              <w:left w:val="nil"/>
              <w:bottom w:val="nil"/>
              <w:right w:val="nil"/>
            </w:tcBorders>
            <w:shd w:val="clear" w:color="auto" w:fill="auto"/>
            <w:noWrap/>
            <w:vAlign w:val="center"/>
          </w:tcPr>
          <w:p w14:paraId="759315AE" w14:textId="2EFD4276"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3.712.510</w:t>
            </w:r>
          </w:p>
        </w:tc>
        <w:tc>
          <w:tcPr>
            <w:tcW w:w="629" w:type="pct"/>
            <w:gridSpan w:val="2"/>
            <w:tcBorders>
              <w:top w:val="nil"/>
              <w:left w:val="nil"/>
              <w:bottom w:val="nil"/>
              <w:right w:val="nil"/>
            </w:tcBorders>
            <w:shd w:val="clear" w:color="auto" w:fill="auto"/>
            <w:noWrap/>
            <w:vAlign w:val="center"/>
          </w:tcPr>
          <w:p w14:paraId="26B3B41E" w14:textId="3DBD42BB"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60.742.582</w:t>
            </w:r>
          </w:p>
        </w:tc>
        <w:tc>
          <w:tcPr>
            <w:tcW w:w="628" w:type="pct"/>
            <w:tcBorders>
              <w:top w:val="nil"/>
              <w:left w:val="nil"/>
              <w:bottom w:val="nil"/>
              <w:right w:val="nil"/>
            </w:tcBorders>
            <w:shd w:val="clear" w:color="auto" w:fill="auto"/>
            <w:noWrap/>
            <w:vAlign w:val="center"/>
          </w:tcPr>
          <w:p w14:paraId="571198C5" w14:textId="74F85203"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69.290.507</w:t>
            </w:r>
          </w:p>
        </w:tc>
        <w:tc>
          <w:tcPr>
            <w:tcW w:w="617" w:type="pct"/>
            <w:tcBorders>
              <w:top w:val="nil"/>
              <w:left w:val="nil"/>
              <w:bottom w:val="nil"/>
              <w:right w:val="nil"/>
            </w:tcBorders>
            <w:shd w:val="clear" w:color="auto" w:fill="auto"/>
            <w:vAlign w:val="center"/>
            <w:hideMark/>
          </w:tcPr>
          <w:p w14:paraId="591EAE68" w14:textId="6D67FF39" w:rsidR="00043876" w:rsidRPr="00E20D21" w:rsidRDefault="00043876" w:rsidP="00043876">
            <w:pPr>
              <w:jc w:val="right"/>
              <w:rPr>
                <w:rFonts w:ascii="CAIXA Std Book" w:eastAsia="Times New Roman" w:hAnsi="CAIXA Std Book" w:cs="Calibri"/>
                <w:color w:val="005CA9"/>
                <w:sz w:val="16"/>
                <w:szCs w:val="16"/>
              </w:rPr>
            </w:pPr>
            <w:r w:rsidRPr="00E20D21">
              <w:rPr>
                <w:rFonts w:ascii="CAIXA Std Book" w:eastAsia="Times New Roman" w:hAnsi="CAIXA Std Book" w:cs="Arial"/>
                <w:color w:val="005CA9"/>
                <w:sz w:val="16"/>
                <w:szCs w:val="16"/>
              </w:rPr>
              <w:t>112.796.692</w:t>
            </w:r>
          </w:p>
        </w:tc>
      </w:tr>
      <w:tr w:rsidR="00A47C19" w:rsidRPr="00E20D21" w14:paraId="14023890" w14:textId="77777777" w:rsidTr="004165E2">
        <w:trPr>
          <w:trHeight w:val="227"/>
        </w:trPr>
        <w:tc>
          <w:tcPr>
            <w:tcW w:w="1262" w:type="pct"/>
            <w:tcBorders>
              <w:top w:val="nil"/>
              <w:left w:val="nil"/>
              <w:bottom w:val="single" w:sz="4" w:space="0" w:color="F79646"/>
              <w:right w:val="nil"/>
            </w:tcBorders>
            <w:shd w:val="clear" w:color="auto" w:fill="auto"/>
            <w:noWrap/>
            <w:vAlign w:val="center"/>
            <w:hideMark/>
          </w:tcPr>
          <w:p w14:paraId="21AA31F7" w14:textId="77777777" w:rsidR="00043876" w:rsidRPr="00E20D21" w:rsidRDefault="00043876" w:rsidP="00043876">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Moeda estrangeira</w:t>
            </w:r>
          </w:p>
        </w:tc>
        <w:tc>
          <w:tcPr>
            <w:tcW w:w="621" w:type="pct"/>
            <w:tcBorders>
              <w:top w:val="nil"/>
              <w:left w:val="nil"/>
              <w:bottom w:val="nil"/>
              <w:right w:val="nil"/>
            </w:tcBorders>
            <w:shd w:val="clear" w:color="auto" w:fill="auto"/>
            <w:noWrap/>
            <w:vAlign w:val="center"/>
          </w:tcPr>
          <w:p w14:paraId="194B9EE2" w14:textId="44B454F5"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343.320</w:t>
            </w:r>
          </w:p>
        </w:tc>
        <w:tc>
          <w:tcPr>
            <w:tcW w:w="620" w:type="pct"/>
            <w:tcBorders>
              <w:top w:val="nil"/>
              <w:left w:val="nil"/>
              <w:bottom w:val="single" w:sz="4" w:space="0" w:color="F79646"/>
              <w:right w:val="nil"/>
            </w:tcBorders>
            <w:shd w:val="clear" w:color="auto" w:fill="auto"/>
            <w:noWrap/>
            <w:vAlign w:val="center"/>
          </w:tcPr>
          <w:p w14:paraId="051B08E4" w14:textId="51D1CBB0" w:rsidR="00043876" w:rsidRPr="00E20D21" w:rsidRDefault="00EC45EC" w:rsidP="0004387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23" w:type="pct"/>
            <w:gridSpan w:val="2"/>
            <w:tcBorders>
              <w:top w:val="nil"/>
              <w:left w:val="nil"/>
              <w:bottom w:val="single" w:sz="4" w:space="0" w:color="F79646"/>
              <w:right w:val="nil"/>
            </w:tcBorders>
            <w:shd w:val="clear" w:color="auto" w:fill="auto"/>
            <w:noWrap/>
            <w:vAlign w:val="center"/>
          </w:tcPr>
          <w:p w14:paraId="7930BC8F" w14:textId="7FBF9AAC" w:rsidR="00043876" w:rsidRPr="00E20D21" w:rsidRDefault="0085335F" w:rsidP="0004387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29" w:type="pct"/>
            <w:gridSpan w:val="2"/>
            <w:tcBorders>
              <w:top w:val="nil"/>
              <w:left w:val="nil"/>
              <w:bottom w:val="single" w:sz="4" w:space="0" w:color="F79646"/>
              <w:right w:val="nil"/>
            </w:tcBorders>
            <w:shd w:val="clear" w:color="auto" w:fill="auto"/>
            <w:vAlign w:val="center"/>
          </w:tcPr>
          <w:p w14:paraId="5DBEC0D2" w14:textId="749DBA55" w:rsidR="00043876" w:rsidRPr="00E20D21" w:rsidRDefault="0085335F" w:rsidP="0004387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28" w:type="pct"/>
            <w:tcBorders>
              <w:top w:val="nil"/>
              <w:left w:val="nil"/>
              <w:bottom w:val="nil"/>
              <w:right w:val="nil"/>
            </w:tcBorders>
            <w:shd w:val="clear" w:color="auto" w:fill="auto"/>
            <w:noWrap/>
            <w:vAlign w:val="center"/>
          </w:tcPr>
          <w:p w14:paraId="79F81054" w14:textId="756F38A5" w:rsidR="00043876" w:rsidRPr="00E20D21" w:rsidRDefault="00EC45EC" w:rsidP="0004387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343.320</w:t>
            </w:r>
          </w:p>
        </w:tc>
        <w:tc>
          <w:tcPr>
            <w:tcW w:w="617" w:type="pct"/>
            <w:tcBorders>
              <w:top w:val="nil"/>
              <w:left w:val="nil"/>
              <w:bottom w:val="single" w:sz="4" w:space="0" w:color="F79646"/>
              <w:right w:val="nil"/>
            </w:tcBorders>
            <w:shd w:val="clear" w:color="auto" w:fill="auto"/>
            <w:vAlign w:val="center"/>
            <w:hideMark/>
          </w:tcPr>
          <w:p w14:paraId="3C9750C4" w14:textId="0EBA6B66" w:rsidR="00043876" w:rsidRPr="00E20D21" w:rsidRDefault="00043876" w:rsidP="00043876">
            <w:pPr>
              <w:jc w:val="right"/>
              <w:rPr>
                <w:rFonts w:ascii="CAIXA Std Book" w:eastAsia="Times New Roman" w:hAnsi="CAIXA Std Book" w:cs="Calibri"/>
                <w:color w:val="005CA9"/>
                <w:sz w:val="16"/>
                <w:szCs w:val="16"/>
              </w:rPr>
            </w:pPr>
            <w:r w:rsidRPr="00E20D21">
              <w:rPr>
                <w:rFonts w:ascii="CAIXA Std Book" w:eastAsia="Times New Roman" w:hAnsi="CAIXA Std Book" w:cs="Arial"/>
                <w:color w:val="005CA9"/>
                <w:sz w:val="16"/>
                <w:szCs w:val="16"/>
              </w:rPr>
              <w:t>391.957</w:t>
            </w:r>
          </w:p>
        </w:tc>
      </w:tr>
      <w:tr w:rsidR="00A47C19" w:rsidRPr="00E20D21" w14:paraId="2D3F0591" w14:textId="77777777" w:rsidTr="00764383">
        <w:trPr>
          <w:trHeight w:val="227"/>
        </w:trPr>
        <w:tc>
          <w:tcPr>
            <w:tcW w:w="5000" w:type="pct"/>
            <w:gridSpan w:val="9"/>
            <w:tcBorders>
              <w:top w:val="single" w:sz="4" w:space="0" w:color="F79646"/>
              <w:left w:val="nil"/>
              <w:bottom w:val="single" w:sz="4" w:space="0" w:color="F79646"/>
              <w:right w:val="nil"/>
            </w:tcBorders>
            <w:shd w:val="clear" w:color="auto" w:fill="auto"/>
            <w:noWrap/>
            <w:vAlign w:val="center"/>
            <w:hideMark/>
          </w:tcPr>
          <w:p w14:paraId="3440991F"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Contratos de Swaps</w:t>
            </w:r>
          </w:p>
        </w:tc>
      </w:tr>
      <w:tr w:rsidR="00A47C19" w:rsidRPr="00E20D21" w14:paraId="485313DE" w14:textId="77777777" w:rsidTr="004165E2">
        <w:trPr>
          <w:trHeight w:val="227"/>
        </w:trPr>
        <w:tc>
          <w:tcPr>
            <w:tcW w:w="1262" w:type="pct"/>
            <w:tcBorders>
              <w:top w:val="single" w:sz="4" w:space="0" w:color="F79646"/>
              <w:left w:val="nil"/>
              <w:bottom w:val="nil"/>
              <w:right w:val="nil"/>
            </w:tcBorders>
            <w:shd w:val="clear" w:color="auto" w:fill="auto"/>
            <w:noWrap/>
            <w:vAlign w:val="center"/>
            <w:hideMark/>
          </w:tcPr>
          <w:p w14:paraId="65C55434" w14:textId="77777777" w:rsidR="00043876" w:rsidRPr="00E20D21" w:rsidRDefault="00043876" w:rsidP="00043876">
            <w:pPr>
              <w:rPr>
                <w:rFonts w:ascii="CAIXA Std Book" w:eastAsia="Times New Roman" w:hAnsi="CAIXA Std Book" w:cs="Calibri"/>
                <w:b/>
                <w:i/>
                <w:color w:val="005CA9"/>
                <w:sz w:val="16"/>
                <w:szCs w:val="16"/>
              </w:rPr>
            </w:pPr>
            <w:r w:rsidRPr="00E20D21">
              <w:rPr>
                <w:rFonts w:ascii="CAIXA Std Book" w:eastAsia="Times New Roman" w:hAnsi="CAIXA Std Book" w:cs="Calibri"/>
                <w:b/>
                <w:i/>
                <w:color w:val="005CA9"/>
                <w:sz w:val="16"/>
                <w:szCs w:val="16"/>
              </w:rPr>
              <w:t>Swaps</w:t>
            </w:r>
          </w:p>
        </w:tc>
        <w:tc>
          <w:tcPr>
            <w:tcW w:w="621" w:type="pct"/>
            <w:tcBorders>
              <w:top w:val="nil"/>
              <w:left w:val="nil"/>
              <w:bottom w:val="nil"/>
              <w:right w:val="nil"/>
            </w:tcBorders>
            <w:shd w:val="clear" w:color="auto" w:fill="auto"/>
            <w:noWrap/>
            <w:vAlign w:val="center"/>
            <w:hideMark/>
          </w:tcPr>
          <w:p w14:paraId="5E3C487F" w14:textId="1F2D0ECF" w:rsidR="00043876" w:rsidRPr="00E20D21" w:rsidRDefault="006071EE" w:rsidP="006071EE">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3.450</w:t>
            </w:r>
          </w:p>
        </w:tc>
        <w:tc>
          <w:tcPr>
            <w:tcW w:w="622" w:type="pct"/>
            <w:gridSpan w:val="2"/>
            <w:tcBorders>
              <w:top w:val="single" w:sz="4" w:space="0" w:color="F79646"/>
              <w:left w:val="nil"/>
              <w:bottom w:val="nil"/>
              <w:right w:val="nil"/>
            </w:tcBorders>
            <w:shd w:val="clear" w:color="auto" w:fill="auto"/>
            <w:noWrap/>
            <w:vAlign w:val="center"/>
          </w:tcPr>
          <w:p w14:paraId="49B628C5" w14:textId="49B4B02F" w:rsidR="00043876" w:rsidRPr="00E20D21" w:rsidRDefault="006071EE" w:rsidP="006071EE">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623" w:type="pct"/>
            <w:gridSpan w:val="2"/>
            <w:tcBorders>
              <w:top w:val="nil"/>
              <w:left w:val="nil"/>
              <w:bottom w:val="nil"/>
              <w:right w:val="nil"/>
            </w:tcBorders>
            <w:shd w:val="clear" w:color="auto" w:fill="auto"/>
            <w:noWrap/>
            <w:vAlign w:val="center"/>
          </w:tcPr>
          <w:p w14:paraId="6C46F856" w14:textId="5703A4E7" w:rsidR="00043876" w:rsidRPr="00E20D21" w:rsidRDefault="006071EE" w:rsidP="00043876">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7.200</w:t>
            </w:r>
          </w:p>
        </w:tc>
        <w:tc>
          <w:tcPr>
            <w:tcW w:w="627" w:type="pct"/>
            <w:tcBorders>
              <w:top w:val="single" w:sz="4" w:space="0" w:color="F79646"/>
              <w:left w:val="nil"/>
              <w:bottom w:val="nil"/>
              <w:right w:val="nil"/>
            </w:tcBorders>
            <w:shd w:val="clear" w:color="auto" w:fill="auto"/>
            <w:noWrap/>
            <w:vAlign w:val="center"/>
          </w:tcPr>
          <w:p w14:paraId="79B1F539" w14:textId="1D338055" w:rsidR="00043876" w:rsidRPr="00E20D21" w:rsidRDefault="006071EE" w:rsidP="006071EE">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628" w:type="pct"/>
            <w:tcBorders>
              <w:top w:val="single" w:sz="4" w:space="0" w:color="F79646"/>
              <w:left w:val="nil"/>
              <w:bottom w:val="nil"/>
              <w:right w:val="nil"/>
            </w:tcBorders>
            <w:shd w:val="clear" w:color="auto" w:fill="auto"/>
            <w:noWrap/>
            <w:vAlign w:val="center"/>
          </w:tcPr>
          <w:p w14:paraId="3B1980D2" w14:textId="07B1D630" w:rsidR="00043876" w:rsidRPr="00E20D21" w:rsidRDefault="00D76B50" w:rsidP="00043876">
            <w:pPr>
              <w:jc w:val="right"/>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10.650</w:t>
            </w:r>
          </w:p>
        </w:tc>
        <w:tc>
          <w:tcPr>
            <w:tcW w:w="617" w:type="pct"/>
            <w:tcBorders>
              <w:top w:val="single" w:sz="4" w:space="0" w:color="F79646"/>
              <w:left w:val="nil"/>
              <w:bottom w:val="nil"/>
              <w:right w:val="nil"/>
            </w:tcBorders>
            <w:shd w:val="clear" w:color="auto" w:fill="auto"/>
            <w:noWrap/>
            <w:vAlign w:val="center"/>
            <w:hideMark/>
          </w:tcPr>
          <w:p w14:paraId="5C6FCE88" w14:textId="09890749" w:rsidR="00043876" w:rsidRPr="00E20D21" w:rsidRDefault="00043876" w:rsidP="00043876">
            <w:pPr>
              <w:jc w:val="right"/>
              <w:rPr>
                <w:rFonts w:ascii="CAIXA Std Book" w:eastAsia="Times New Roman" w:hAnsi="CAIXA Std Book" w:cs="Calibri"/>
                <w:b/>
                <w:color w:val="005CA9"/>
                <w:sz w:val="16"/>
                <w:szCs w:val="16"/>
              </w:rPr>
            </w:pPr>
            <w:r w:rsidRPr="00E20D21">
              <w:rPr>
                <w:rFonts w:ascii="CAIXA Std Book" w:eastAsia="Times New Roman" w:hAnsi="CAIXA Std Book" w:cs="Arial"/>
                <w:b/>
                <w:color w:val="005CA9"/>
                <w:sz w:val="16"/>
                <w:szCs w:val="16"/>
              </w:rPr>
              <w:t>210.650</w:t>
            </w:r>
          </w:p>
        </w:tc>
      </w:tr>
      <w:tr w:rsidR="00A47C19" w:rsidRPr="00E20D21" w14:paraId="75702FF7" w14:textId="77777777" w:rsidTr="004165E2">
        <w:trPr>
          <w:trHeight w:val="227"/>
        </w:trPr>
        <w:tc>
          <w:tcPr>
            <w:tcW w:w="1262" w:type="pct"/>
            <w:tcBorders>
              <w:top w:val="nil"/>
              <w:left w:val="nil"/>
              <w:bottom w:val="single" w:sz="4" w:space="0" w:color="F79646"/>
              <w:right w:val="nil"/>
            </w:tcBorders>
            <w:shd w:val="clear" w:color="auto" w:fill="auto"/>
            <w:noWrap/>
            <w:vAlign w:val="center"/>
            <w:hideMark/>
          </w:tcPr>
          <w:p w14:paraId="362E0B08" w14:textId="77777777" w:rsidR="00043876" w:rsidRPr="00E20D21" w:rsidRDefault="00043876" w:rsidP="00043876">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Índices</w:t>
            </w:r>
          </w:p>
        </w:tc>
        <w:tc>
          <w:tcPr>
            <w:tcW w:w="621" w:type="pct"/>
            <w:tcBorders>
              <w:top w:val="nil"/>
              <w:left w:val="nil"/>
              <w:bottom w:val="nil"/>
              <w:right w:val="nil"/>
            </w:tcBorders>
            <w:shd w:val="clear" w:color="auto" w:fill="auto"/>
            <w:vAlign w:val="center"/>
            <w:hideMark/>
          </w:tcPr>
          <w:p w14:paraId="1F6A1484" w14:textId="05F64F67" w:rsidR="00043876" w:rsidRPr="00E20D21" w:rsidRDefault="006071EE" w:rsidP="006071EE">
            <w:pPr>
              <w:ind w:firstLineChars="100" w:firstLine="160"/>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3.450</w:t>
            </w:r>
          </w:p>
        </w:tc>
        <w:tc>
          <w:tcPr>
            <w:tcW w:w="622" w:type="pct"/>
            <w:gridSpan w:val="2"/>
            <w:tcBorders>
              <w:top w:val="nil"/>
              <w:left w:val="nil"/>
              <w:bottom w:val="single" w:sz="4" w:space="0" w:color="F79646"/>
              <w:right w:val="nil"/>
            </w:tcBorders>
            <w:shd w:val="clear" w:color="auto" w:fill="auto"/>
            <w:noWrap/>
            <w:vAlign w:val="center"/>
          </w:tcPr>
          <w:p w14:paraId="43A1C0ED" w14:textId="33D7D238" w:rsidR="00043876" w:rsidRPr="00E20D21" w:rsidRDefault="006071EE" w:rsidP="006071EE">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623" w:type="pct"/>
            <w:gridSpan w:val="2"/>
            <w:tcBorders>
              <w:top w:val="nil"/>
              <w:left w:val="nil"/>
              <w:bottom w:val="nil"/>
              <w:right w:val="nil"/>
            </w:tcBorders>
            <w:shd w:val="clear" w:color="auto" w:fill="auto"/>
            <w:vAlign w:val="center"/>
          </w:tcPr>
          <w:p w14:paraId="2F732E0C" w14:textId="593F0F7B" w:rsidR="00043876" w:rsidRPr="00E20D21" w:rsidRDefault="006071EE" w:rsidP="00043876">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7.200</w:t>
            </w:r>
          </w:p>
        </w:tc>
        <w:tc>
          <w:tcPr>
            <w:tcW w:w="627" w:type="pct"/>
            <w:tcBorders>
              <w:top w:val="nil"/>
              <w:left w:val="nil"/>
              <w:bottom w:val="single" w:sz="4" w:space="0" w:color="F79646"/>
              <w:right w:val="nil"/>
            </w:tcBorders>
            <w:shd w:val="clear" w:color="auto" w:fill="auto"/>
            <w:noWrap/>
            <w:vAlign w:val="center"/>
          </w:tcPr>
          <w:p w14:paraId="70BA560D" w14:textId="5BCEFA8B" w:rsidR="00043876" w:rsidRPr="00E20D21" w:rsidRDefault="006071EE" w:rsidP="006071EE">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628" w:type="pct"/>
            <w:tcBorders>
              <w:top w:val="nil"/>
              <w:left w:val="nil"/>
              <w:bottom w:val="single" w:sz="4" w:space="0" w:color="F79646"/>
              <w:right w:val="nil"/>
            </w:tcBorders>
            <w:shd w:val="clear" w:color="auto" w:fill="auto"/>
            <w:noWrap/>
            <w:vAlign w:val="center"/>
          </w:tcPr>
          <w:p w14:paraId="37842CCE" w14:textId="49C81818" w:rsidR="00043876" w:rsidRPr="00E20D21" w:rsidRDefault="00D76B50" w:rsidP="00043876">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10.650</w:t>
            </w:r>
          </w:p>
        </w:tc>
        <w:tc>
          <w:tcPr>
            <w:tcW w:w="617" w:type="pct"/>
            <w:tcBorders>
              <w:top w:val="nil"/>
              <w:left w:val="nil"/>
              <w:bottom w:val="single" w:sz="4" w:space="0" w:color="F79646"/>
              <w:right w:val="nil"/>
            </w:tcBorders>
            <w:shd w:val="clear" w:color="auto" w:fill="auto"/>
            <w:vAlign w:val="center"/>
            <w:hideMark/>
          </w:tcPr>
          <w:p w14:paraId="64B7ACE1" w14:textId="575D600C" w:rsidR="00043876" w:rsidRPr="00E20D21" w:rsidRDefault="00043876" w:rsidP="00043876">
            <w:pPr>
              <w:jc w:val="right"/>
              <w:rPr>
                <w:rFonts w:ascii="CAIXA Std Book" w:eastAsia="Times New Roman" w:hAnsi="CAIXA Std Book" w:cs="Calibri"/>
                <w:color w:val="005CA9"/>
                <w:sz w:val="16"/>
                <w:szCs w:val="16"/>
              </w:rPr>
            </w:pPr>
            <w:r w:rsidRPr="00E20D21">
              <w:rPr>
                <w:rFonts w:ascii="CAIXA Std Book" w:eastAsia="Times New Roman" w:hAnsi="CAIXA Std Book" w:cs="Arial"/>
                <w:color w:val="005CA9"/>
                <w:sz w:val="16"/>
                <w:szCs w:val="16"/>
              </w:rPr>
              <w:t>210.650</w:t>
            </w:r>
          </w:p>
        </w:tc>
      </w:tr>
      <w:tr w:rsidR="00A47C19" w:rsidRPr="00E20D21" w14:paraId="028155F8" w14:textId="77777777" w:rsidTr="00764383">
        <w:trPr>
          <w:trHeight w:val="227"/>
        </w:trPr>
        <w:tc>
          <w:tcPr>
            <w:tcW w:w="5000" w:type="pct"/>
            <w:gridSpan w:val="9"/>
            <w:tcBorders>
              <w:top w:val="single" w:sz="4" w:space="0" w:color="F79646"/>
              <w:left w:val="nil"/>
              <w:bottom w:val="single" w:sz="4" w:space="0" w:color="F79646"/>
              <w:right w:val="nil"/>
            </w:tcBorders>
            <w:shd w:val="clear" w:color="auto" w:fill="auto"/>
            <w:noWrap/>
            <w:vAlign w:val="center"/>
            <w:hideMark/>
          </w:tcPr>
          <w:p w14:paraId="6BED1D13" w14:textId="77777777" w:rsidR="001A1B4D" w:rsidRPr="00E20D21" w:rsidRDefault="001A1B4D" w:rsidP="001A1B4D">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Outros derivativos</w:t>
            </w:r>
          </w:p>
        </w:tc>
      </w:tr>
      <w:tr w:rsidR="00043876" w:rsidRPr="00E20D21" w14:paraId="42C80D8F" w14:textId="77777777" w:rsidTr="004165E2">
        <w:trPr>
          <w:trHeight w:val="227"/>
        </w:trPr>
        <w:tc>
          <w:tcPr>
            <w:tcW w:w="1262" w:type="pct"/>
            <w:tcBorders>
              <w:top w:val="single" w:sz="4" w:space="0" w:color="F79646"/>
              <w:left w:val="nil"/>
              <w:bottom w:val="single" w:sz="4" w:space="0" w:color="F79646"/>
              <w:right w:val="nil"/>
            </w:tcBorders>
            <w:shd w:val="clear" w:color="auto" w:fill="auto"/>
            <w:noWrap/>
            <w:vAlign w:val="center"/>
            <w:hideMark/>
          </w:tcPr>
          <w:p w14:paraId="36CBCC82" w14:textId="77777777" w:rsidR="00043876" w:rsidRPr="00E20D21" w:rsidRDefault="00043876" w:rsidP="00043876">
            <w:pP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Derivativo FGTS</w:t>
            </w:r>
            <w:r w:rsidRPr="00E20D21">
              <w:rPr>
                <w:rFonts w:ascii="CAIXA Std Book" w:eastAsia="Times New Roman" w:hAnsi="CAIXA Std Book" w:cs="Calibri"/>
                <w:color w:val="005CA9"/>
                <w:sz w:val="16"/>
                <w:szCs w:val="16"/>
              </w:rPr>
              <w:t> </w:t>
            </w:r>
          </w:p>
        </w:tc>
        <w:tc>
          <w:tcPr>
            <w:tcW w:w="621" w:type="pct"/>
            <w:tcBorders>
              <w:top w:val="single" w:sz="4" w:space="0" w:color="F79646"/>
              <w:left w:val="nil"/>
              <w:bottom w:val="single" w:sz="4" w:space="0" w:color="F79646"/>
              <w:right w:val="nil"/>
            </w:tcBorders>
            <w:shd w:val="clear" w:color="auto" w:fill="auto"/>
            <w:noWrap/>
            <w:vAlign w:val="center"/>
            <w:hideMark/>
          </w:tcPr>
          <w:p w14:paraId="437160A9" w14:textId="31C2ADB0" w:rsidR="00043876" w:rsidRPr="00E20D21" w:rsidRDefault="00043876" w:rsidP="00043876">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w:t>
            </w:r>
          </w:p>
        </w:tc>
        <w:tc>
          <w:tcPr>
            <w:tcW w:w="622" w:type="pct"/>
            <w:gridSpan w:val="2"/>
            <w:tcBorders>
              <w:top w:val="single" w:sz="4" w:space="0" w:color="F79646"/>
              <w:left w:val="nil"/>
              <w:bottom w:val="single" w:sz="4" w:space="0" w:color="F79646"/>
              <w:right w:val="nil"/>
            </w:tcBorders>
            <w:shd w:val="clear" w:color="auto" w:fill="auto"/>
            <w:noWrap/>
            <w:vAlign w:val="center"/>
            <w:hideMark/>
          </w:tcPr>
          <w:p w14:paraId="6F95FE2C" w14:textId="148E1088" w:rsidR="00043876" w:rsidRPr="00E20D21" w:rsidRDefault="00043876" w:rsidP="00043876">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w:t>
            </w:r>
          </w:p>
        </w:tc>
        <w:tc>
          <w:tcPr>
            <w:tcW w:w="623" w:type="pct"/>
            <w:gridSpan w:val="2"/>
            <w:tcBorders>
              <w:top w:val="single" w:sz="4" w:space="0" w:color="F79646"/>
              <w:left w:val="nil"/>
              <w:bottom w:val="single" w:sz="4" w:space="0" w:color="F79646"/>
              <w:right w:val="nil"/>
            </w:tcBorders>
            <w:shd w:val="clear" w:color="auto" w:fill="auto"/>
            <w:noWrap/>
            <w:vAlign w:val="center"/>
            <w:hideMark/>
          </w:tcPr>
          <w:p w14:paraId="6844C276" w14:textId="291CF1D9" w:rsidR="00043876" w:rsidRPr="00E20D21" w:rsidRDefault="00043876" w:rsidP="00043876">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w:t>
            </w:r>
          </w:p>
        </w:tc>
        <w:tc>
          <w:tcPr>
            <w:tcW w:w="627" w:type="pct"/>
            <w:tcBorders>
              <w:top w:val="single" w:sz="4" w:space="0" w:color="F79646"/>
              <w:left w:val="nil"/>
              <w:bottom w:val="single" w:sz="4" w:space="0" w:color="F79646"/>
              <w:right w:val="nil"/>
            </w:tcBorders>
            <w:shd w:val="clear" w:color="auto" w:fill="auto"/>
            <w:noWrap/>
            <w:vAlign w:val="center"/>
            <w:hideMark/>
          </w:tcPr>
          <w:p w14:paraId="30E51909" w14:textId="01EF5B74" w:rsidR="00043876" w:rsidRPr="00E20D21" w:rsidRDefault="00D76B50" w:rsidP="0085335F">
            <w:pPr>
              <w:jc w:val="right"/>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3.525.885</w:t>
            </w:r>
          </w:p>
        </w:tc>
        <w:tc>
          <w:tcPr>
            <w:tcW w:w="628" w:type="pct"/>
            <w:tcBorders>
              <w:top w:val="single" w:sz="4" w:space="0" w:color="F79646"/>
              <w:left w:val="nil"/>
              <w:bottom w:val="single" w:sz="4" w:space="0" w:color="F79646"/>
              <w:right w:val="nil"/>
            </w:tcBorders>
            <w:shd w:val="clear" w:color="auto" w:fill="auto"/>
            <w:noWrap/>
            <w:vAlign w:val="center"/>
          </w:tcPr>
          <w:p w14:paraId="5FFE44E3" w14:textId="737515B5" w:rsidR="00043876" w:rsidRPr="00E20D21" w:rsidRDefault="00D76B50" w:rsidP="00043876">
            <w:pPr>
              <w:jc w:val="right"/>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3.525.885</w:t>
            </w:r>
          </w:p>
        </w:tc>
        <w:tc>
          <w:tcPr>
            <w:tcW w:w="617" w:type="pct"/>
            <w:tcBorders>
              <w:top w:val="single" w:sz="4" w:space="0" w:color="F79646"/>
              <w:left w:val="nil"/>
              <w:bottom w:val="single" w:sz="4" w:space="0" w:color="F79646"/>
              <w:right w:val="nil"/>
            </w:tcBorders>
            <w:shd w:val="clear" w:color="auto" w:fill="auto"/>
            <w:noWrap/>
            <w:vAlign w:val="center"/>
            <w:hideMark/>
          </w:tcPr>
          <w:p w14:paraId="38A59168" w14:textId="19B4F36D" w:rsidR="00043876" w:rsidRPr="00E20D21" w:rsidRDefault="00043876" w:rsidP="00043876">
            <w:pPr>
              <w:jc w:val="right"/>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3.526.810</w:t>
            </w:r>
          </w:p>
        </w:tc>
      </w:tr>
    </w:tbl>
    <w:p w14:paraId="077D9B96" w14:textId="77777777" w:rsidR="00764383" w:rsidRPr="00E20D21" w:rsidRDefault="00764383" w:rsidP="00495BFD">
      <w:pPr>
        <w:tabs>
          <w:tab w:val="left" w:pos="1650"/>
        </w:tabs>
        <w:jc w:val="both"/>
        <w:rPr>
          <w:rFonts w:ascii="CAIXA Std Book" w:hAnsi="CAIXA Std Book"/>
          <w:b/>
          <w:color w:val="005CA9"/>
          <w:sz w:val="20"/>
          <w:szCs w:val="20"/>
        </w:rPr>
      </w:pPr>
    </w:p>
    <w:p w14:paraId="725536DF" w14:textId="77777777" w:rsidR="00841ABA" w:rsidRPr="00E20D21" w:rsidRDefault="00841ABA" w:rsidP="00495BFD">
      <w:pPr>
        <w:tabs>
          <w:tab w:val="left" w:pos="1650"/>
        </w:tabs>
        <w:jc w:val="both"/>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3668"/>
        <w:gridCol w:w="1803"/>
        <w:gridCol w:w="1807"/>
        <w:gridCol w:w="7"/>
        <w:gridCol w:w="1810"/>
        <w:gridCol w:w="9"/>
        <w:gridCol w:w="1821"/>
        <w:gridCol w:w="6"/>
        <w:gridCol w:w="1836"/>
        <w:gridCol w:w="1804"/>
      </w:tblGrid>
      <w:tr w:rsidR="00A47C19" w:rsidRPr="00E20D21" w14:paraId="66099E14" w14:textId="77777777" w:rsidTr="00764383">
        <w:trPr>
          <w:trHeight w:val="227"/>
        </w:trPr>
        <w:tc>
          <w:tcPr>
            <w:tcW w:w="5000" w:type="pct"/>
            <w:gridSpan w:val="10"/>
            <w:tcBorders>
              <w:top w:val="single" w:sz="4" w:space="0" w:color="F79646"/>
              <w:left w:val="nil"/>
              <w:bottom w:val="single" w:sz="4" w:space="0" w:color="F79646"/>
              <w:right w:val="nil"/>
            </w:tcBorders>
            <w:shd w:val="clear" w:color="auto" w:fill="auto"/>
            <w:vAlign w:val="center"/>
            <w:hideMark/>
          </w:tcPr>
          <w:p w14:paraId="1A8E7420" w14:textId="70305CB9"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CONSOLIDADO</w:t>
            </w:r>
          </w:p>
        </w:tc>
      </w:tr>
      <w:tr w:rsidR="00A47C19" w:rsidRPr="00E20D21" w14:paraId="66C8179D" w14:textId="77777777" w:rsidTr="00764383">
        <w:trPr>
          <w:trHeight w:val="227"/>
        </w:trPr>
        <w:tc>
          <w:tcPr>
            <w:tcW w:w="5000" w:type="pct"/>
            <w:gridSpan w:val="10"/>
            <w:tcBorders>
              <w:top w:val="single" w:sz="4" w:space="0" w:color="F79646"/>
              <w:left w:val="nil"/>
              <w:bottom w:val="single" w:sz="4" w:space="0" w:color="F79646"/>
              <w:right w:val="nil"/>
            </w:tcBorders>
            <w:shd w:val="clear" w:color="auto" w:fill="auto"/>
            <w:vAlign w:val="center"/>
            <w:hideMark/>
          </w:tcPr>
          <w:p w14:paraId="1A0256C9" w14:textId="77777777"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Referencial</w:t>
            </w:r>
          </w:p>
        </w:tc>
      </w:tr>
      <w:tr w:rsidR="00A47C19" w:rsidRPr="00E20D21" w14:paraId="355CCB83" w14:textId="77777777" w:rsidTr="00EC3E09">
        <w:trPr>
          <w:trHeight w:val="227"/>
        </w:trPr>
        <w:tc>
          <w:tcPr>
            <w:tcW w:w="1259" w:type="pct"/>
            <w:vMerge w:val="restart"/>
            <w:tcBorders>
              <w:top w:val="single" w:sz="4" w:space="0" w:color="F79646"/>
              <w:left w:val="nil"/>
              <w:bottom w:val="single" w:sz="8" w:space="0" w:color="F79646"/>
              <w:right w:val="nil"/>
            </w:tcBorders>
            <w:shd w:val="clear" w:color="auto" w:fill="auto"/>
            <w:vAlign w:val="center"/>
            <w:hideMark/>
          </w:tcPr>
          <w:p w14:paraId="253EBD86" w14:textId="77777777"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Descrição</w:t>
            </w:r>
          </w:p>
        </w:tc>
        <w:tc>
          <w:tcPr>
            <w:tcW w:w="3121" w:type="pct"/>
            <w:gridSpan w:val="8"/>
            <w:tcBorders>
              <w:top w:val="single" w:sz="4" w:space="0" w:color="F79646"/>
              <w:left w:val="nil"/>
              <w:bottom w:val="single" w:sz="4" w:space="0" w:color="F79646"/>
              <w:right w:val="nil"/>
            </w:tcBorders>
            <w:shd w:val="clear" w:color="auto" w:fill="auto"/>
            <w:vAlign w:val="center"/>
            <w:hideMark/>
          </w:tcPr>
          <w:p w14:paraId="72F98F33" w14:textId="4F3CA13E" w:rsidR="00764383" w:rsidRPr="00E20D21" w:rsidRDefault="00C043FB" w:rsidP="00764383">
            <w:pPr>
              <w:jc w:val="center"/>
              <w:rPr>
                <w:rFonts w:ascii="CAIXA Std Book" w:eastAsia="Times New Roman" w:hAnsi="CAIXA Std Book" w:cs="Calibri"/>
                <w:b/>
                <w:bCs/>
                <w:color w:val="005CA9"/>
                <w:sz w:val="16"/>
                <w:szCs w:val="16"/>
              </w:rPr>
            </w:pPr>
            <w:r w:rsidRPr="00E20D21">
              <w:rPr>
                <w:rFonts w:ascii="CAIXA Std Book" w:hAnsi="CAIXA Std Book" w:cs="Calibri"/>
                <w:b/>
                <w:bCs/>
                <w:color w:val="005CA9"/>
                <w:sz w:val="16"/>
                <w:szCs w:val="16"/>
              </w:rPr>
              <w:t>30/06/2024</w:t>
            </w:r>
          </w:p>
        </w:tc>
        <w:tc>
          <w:tcPr>
            <w:tcW w:w="620" w:type="pct"/>
            <w:tcBorders>
              <w:top w:val="single" w:sz="4" w:space="0" w:color="F79646"/>
              <w:left w:val="nil"/>
              <w:bottom w:val="single" w:sz="4" w:space="0" w:color="F79646"/>
              <w:right w:val="nil"/>
            </w:tcBorders>
            <w:shd w:val="clear" w:color="auto" w:fill="auto"/>
            <w:vAlign w:val="center"/>
            <w:hideMark/>
          </w:tcPr>
          <w:p w14:paraId="6AF78957" w14:textId="2D6279DD"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31/12/202</w:t>
            </w:r>
            <w:r w:rsidR="00C043FB" w:rsidRPr="00E20D21">
              <w:rPr>
                <w:rFonts w:ascii="CAIXA Std Book" w:eastAsia="Times New Roman" w:hAnsi="CAIXA Std Book" w:cs="Calibri"/>
                <w:b/>
                <w:bCs/>
                <w:color w:val="005CA9"/>
                <w:sz w:val="16"/>
                <w:szCs w:val="16"/>
              </w:rPr>
              <w:t>3</w:t>
            </w:r>
          </w:p>
        </w:tc>
      </w:tr>
      <w:tr w:rsidR="00A47C19" w:rsidRPr="00E20D21" w14:paraId="5DF6AA6D" w14:textId="77777777" w:rsidTr="00E72089">
        <w:trPr>
          <w:trHeight w:val="227"/>
        </w:trPr>
        <w:tc>
          <w:tcPr>
            <w:tcW w:w="1259" w:type="pct"/>
            <w:vMerge/>
            <w:tcBorders>
              <w:top w:val="nil"/>
              <w:left w:val="nil"/>
              <w:bottom w:val="single" w:sz="4" w:space="0" w:color="F79646"/>
              <w:right w:val="nil"/>
            </w:tcBorders>
            <w:vAlign w:val="center"/>
            <w:hideMark/>
          </w:tcPr>
          <w:p w14:paraId="43F832A3" w14:textId="77777777" w:rsidR="00764383" w:rsidRPr="00E20D21" w:rsidRDefault="00764383" w:rsidP="00764383">
            <w:pPr>
              <w:rPr>
                <w:rFonts w:ascii="CAIXA Std Book" w:eastAsia="Times New Roman" w:hAnsi="CAIXA Std Book" w:cs="Calibri"/>
                <w:b/>
                <w:bCs/>
                <w:color w:val="005CA9"/>
                <w:sz w:val="16"/>
                <w:szCs w:val="16"/>
              </w:rPr>
            </w:pPr>
          </w:p>
        </w:tc>
        <w:tc>
          <w:tcPr>
            <w:tcW w:w="619" w:type="pct"/>
            <w:tcBorders>
              <w:top w:val="single" w:sz="4" w:space="0" w:color="F79646"/>
              <w:left w:val="nil"/>
              <w:bottom w:val="single" w:sz="4" w:space="0" w:color="F79646"/>
              <w:right w:val="nil"/>
            </w:tcBorders>
            <w:shd w:val="clear" w:color="auto" w:fill="auto"/>
            <w:vAlign w:val="center"/>
            <w:hideMark/>
          </w:tcPr>
          <w:p w14:paraId="23BB6D16" w14:textId="77777777"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01 a 90 dias</w:t>
            </w:r>
          </w:p>
        </w:tc>
        <w:tc>
          <w:tcPr>
            <w:tcW w:w="620" w:type="pct"/>
            <w:tcBorders>
              <w:top w:val="single" w:sz="4" w:space="0" w:color="F79646"/>
              <w:left w:val="nil"/>
              <w:bottom w:val="single" w:sz="4" w:space="0" w:color="F79646"/>
              <w:right w:val="nil"/>
            </w:tcBorders>
            <w:shd w:val="clear" w:color="auto" w:fill="auto"/>
            <w:vAlign w:val="center"/>
            <w:hideMark/>
          </w:tcPr>
          <w:p w14:paraId="68549E9C" w14:textId="77777777"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91 a 180 dias</w:t>
            </w:r>
          </w:p>
        </w:tc>
        <w:tc>
          <w:tcPr>
            <w:tcW w:w="623" w:type="pct"/>
            <w:gridSpan w:val="2"/>
            <w:tcBorders>
              <w:top w:val="single" w:sz="4" w:space="0" w:color="F79646"/>
              <w:left w:val="nil"/>
              <w:bottom w:val="single" w:sz="4" w:space="0" w:color="F79646"/>
              <w:right w:val="nil"/>
            </w:tcBorders>
            <w:shd w:val="clear" w:color="auto" w:fill="auto"/>
            <w:vAlign w:val="center"/>
            <w:hideMark/>
          </w:tcPr>
          <w:p w14:paraId="1155BAAA" w14:textId="77777777"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181 a 360 dias</w:t>
            </w:r>
          </w:p>
        </w:tc>
        <w:tc>
          <w:tcPr>
            <w:tcW w:w="628" w:type="pct"/>
            <w:gridSpan w:val="2"/>
            <w:tcBorders>
              <w:top w:val="single" w:sz="4" w:space="0" w:color="F79646"/>
              <w:left w:val="nil"/>
              <w:bottom w:val="single" w:sz="4" w:space="0" w:color="F79646"/>
              <w:right w:val="nil"/>
            </w:tcBorders>
            <w:shd w:val="clear" w:color="auto" w:fill="auto"/>
            <w:vAlign w:val="center"/>
            <w:hideMark/>
          </w:tcPr>
          <w:p w14:paraId="20E6C621" w14:textId="77777777"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Acima de 360 dias</w:t>
            </w:r>
          </w:p>
        </w:tc>
        <w:tc>
          <w:tcPr>
            <w:tcW w:w="632" w:type="pct"/>
            <w:gridSpan w:val="2"/>
            <w:tcBorders>
              <w:top w:val="single" w:sz="4" w:space="0" w:color="F79646"/>
              <w:left w:val="nil"/>
              <w:bottom w:val="single" w:sz="4" w:space="0" w:color="F79646"/>
              <w:right w:val="nil"/>
            </w:tcBorders>
            <w:shd w:val="clear" w:color="auto" w:fill="auto"/>
            <w:vAlign w:val="center"/>
            <w:hideMark/>
          </w:tcPr>
          <w:p w14:paraId="504BA692" w14:textId="77777777"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de Mercado</w:t>
            </w:r>
          </w:p>
        </w:tc>
        <w:tc>
          <w:tcPr>
            <w:tcW w:w="620" w:type="pct"/>
            <w:tcBorders>
              <w:top w:val="single" w:sz="4" w:space="0" w:color="F79646"/>
              <w:left w:val="nil"/>
              <w:bottom w:val="single" w:sz="4" w:space="0" w:color="F79646"/>
              <w:right w:val="nil"/>
            </w:tcBorders>
            <w:shd w:val="clear" w:color="auto" w:fill="auto"/>
            <w:vAlign w:val="center"/>
            <w:hideMark/>
          </w:tcPr>
          <w:p w14:paraId="01420CEE" w14:textId="77777777"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de Mercado</w:t>
            </w:r>
          </w:p>
        </w:tc>
      </w:tr>
      <w:tr w:rsidR="00A47C19" w:rsidRPr="00E20D21" w14:paraId="02F3266A" w14:textId="77777777" w:rsidTr="00764383">
        <w:trPr>
          <w:trHeight w:val="227"/>
        </w:trPr>
        <w:tc>
          <w:tcPr>
            <w:tcW w:w="5000" w:type="pct"/>
            <w:gridSpan w:val="10"/>
            <w:tcBorders>
              <w:top w:val="single" w:sz="4" w:space="0" w:color="F79646"/>
              <w:left w:val="nil"/>
              <w:bottom w:val="single" w:sz="4" w:space="0" w:color="F79646"/>
              <w:right w:val="nil"/>
            </w:tcBorders>
            <w:shd w:val="clear" w:color="auto" w:fill="auto"/>
            <w:noWrap/>
            <w:vAlign w:val="center"/>
            <w:hideMark/>
          </w:tcPr>
          <w:p w14:paraId="5AF4F8A1" w14:textId="77777777" w:rsidR="00764383" w:rsidRPr="00E20D21" w:rsidRDefault="00764383" w:rsidP="0076438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Contratos de futuros</w:t>
            </w:r>
          </w:p>
        </w:tc>
      </w:tr>
      <w:tr w:rsidR="00E72089" w:rsidRPr="00E20D21" w14:paraId="3F76F959" w14:textId="77777777" w:rsidTr="00E72089">
        <w:trPr>
          <w:trHeight w:val="227"/>
        </w:trPr>
        <w:tc>
          <w:tcPr>
            <w:tcW w:w="1259" w:type="pct"/>
            <w:tcBorders>
              <w:top w:val="single" w:sz="4" w:space="0" w:color="F79646"/>
              <w:left w:val="nil"/>
              <w:bottom w:val="nil"/>
              <w:right w:val="nil"/>
            </w:tcBorders>
            <w:shd w:val="clear" w:color="auto" w:fill="auto"/>
            <w:noWrap/>
            <w:vAlign w:val="center"/>
            <w:hideMark/>
          </w:tcPr>
          <w:p w14:paraId="45154F87" w14:textId="77777777" w:rsidR="00E72089" w:rsidRPr="00E20D21" w:rsidRDefault="00E72089" w:rsidP="00E72089">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Compromissos de compra</w:t>
            </w:r>
          </w:p>
        </w:tc>
        <w:tc>
          <w:tcPr>
            <w:tcW w:w="619" w:type="pct"/>
            <w:tcBorders>
              <w:top w:val="nil"/>
              <w:left w:val="nil"/>
              <w:bottom w:val="nil"/>
              <w:right w:val="nil"/>
            </w:tcBorders>
            <w:shd w:val="clear" w:color="auto" w:fill="auto"/>
            <w:noWrap/>
            <w:vAlign w:val="center"/>
          </w:tcPr>
          <w:p w14:paraId="5D98CF87" w14:textId="342F4853" w:rsidR="00E72089" w:rsidRPr="00E20D21" w:rsidRDefault="00E72089" w:rsidP="00E72089">
            <w:pPr>
              <w:jc w:val="center"/>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w:t>
            </w:r>
          </w:p>
        </w:tc>
        <w:tc>
          <w:tcPr>
            <w:tcW w:w="620" w:type="pct"/>
            <w:tcBorders>
              <w:top w:val="nil"/>
              <w:left w:val="nil"/>
              <w:bottom w:val="nil"/>
              <w:right w:val="nil"/>
            </w:tcBorders>
            <w:shd w:val="clear" w:color="auto" w:fill="auto"/>
            <w:noWrap/>
            <w:vAlign w:val="center"/>
          </w:tcPr>
          <w:p w14:paraId="4A5E4496" w14:textId="44BAA732"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8"/>
                <w:szCs w:val="18"/>
              </w:rPr>
              <w:t>280.069</w:t>
            </w:r>
          </w:p>
        </w:tc>
        <w:tc>
          <w:tcPr>
            <w:tcW w:w="623" w:type="pct"/>
            <w:gridSpan w:val="2"/>
            <w:tcBorders>
              <w:top w:val="nil"/>
              <w:left w:val="nil"/>
              <w:bottom w:val="nil"/>
              <w:right w:val="nil"/>
            </w:tcBorders>
            <w:shd w:val="clear" w:color="auto" w:fill="auto"/>
            <w:noWrap/>
            <w:vAlign w:val="center"/>
          </w:tcPr>
          <w:p w14:paraId="1D7A0077" w14:textId="7E213859" w:rsidR="00E72089" w:rsidRPr="00E20D21" w:rsidRDefault="00EB2B31"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3.529.785</w:t>
            </w:r>
          </w:p>
        </w:tc>
        <w:tc>
          <w:tcPr>
            <w:tcW w:w="628" w:type="pct"/>
            <w:gridSpan w:val="2"/>
            <w:tcBorders>
              <w:top w:val="nil"/>
              <w:left w:val="nil"/>
              <w:bottom w:val="nil"/>
              <w:right w:val="nil"/>
            </w:tcBorders>
            <w:shd w:val="clear" w:color="auto" w:fill="auto"/>
            <w:noWrap/>
            <w:vAlign w:val="center"/>
          </w:tcPr>
          <w:p w14:paraId="6C70A421" w14:textId="02D534C8"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3.290.332</w:t>
            </w:r>
          </w:p>
        </w:tc>
        <w:tc>
          <w:tcPr>
            <w:tcW w:w="632" w:type="pct"/>
            <w:gridSpan w:val="2"/>
            <w:tcBorders>
              <w:top w:val="nil"/>
              <w:left w:val="nil"/>
              <w:bottom w:val="nil"/>
              <w:right w:val="nil"/>
            </w:tcBorders>
            <w:shd w:val="clear" w:color="auto" w:fill="auto"/>
            <w:noWrap/>
            <w:vAlign w:val="center"/>
          </w:tcPr>
          <w:p w14:paraId="38556A18" w14:textId="21EFF4AC" w:rsidR="00E72089" w:rsidRPr="00E20D21" w:rsidRDefault="00973FE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7.100.186</w:t>
            </w:r>
          </w:p>
        </w:tc>
        <w:tc>
          <w:tcPr>
            <w:tcW w:w="620" w:type="pct"/>
            <w:tcBorders>
              <w:top w:val="single" w:sz="4" w:space="0" w:color="F79646"/>
              <w:left w:val="nil"/>
              <w:bottom w:val="nil"/>
              <w:right w:val="nil"/>
            </w:tcBorders>
            <w:shd w:val="clear" w:color="auto" w:fill="auto"/>
            <w:noWrap/>
            <w:vAlign w:val="center"/>
            <w:hideMark/>
          </w:tcPr>
          <w:p w14:paraId="3FD3E7F8" w14:textId="43F1CE56"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838.766</w:t>
            </w:r>
          </w:p>
        </w:tc>
      </w:tr>
      <w:tr w:rsidR="00E72089" w:rsidRPr="00E20D21" w14:paraId="7491171C" w14:textId="77777777" w:rsidTr="00E72089">
        <w:trPr>
          <w:trHeight w:val="227"/>
        </w:trPr>
        <w:tc>
          <w:tcPr>
            <w:tcW w:w="1259" w:type="pct"/>
            <w:tcBorders>
              <w:top w:val="nil"/>
              <w:left w:val="nil"/>
              <w:bottom w:val="nil"/>
              <w:right w:val="nil"/>
            </w:tcBorders>
            <w:shd w:val="clear" w:color="auto" w:fill="auto"/>
            <w:noWrap/>
            <w:vAlign w:val="center"/>
            <w:hideMark/>
          </w:tcPr>
          <w:p w14:paraId="5248A685" w14:textId="77777777" w:rsidR="00E72089" w:rsidRPr="00E20D21" w:rsidRDefault="00E72089" w:rsidP="00E72089">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Mercado interfinanceiro</w:t>
            </w:r>
          </w:p>
        </w:tc>
        <w:tc>
          <w:tcPr>
            <w:tcW w:w="619" w:type="pct"/>
            <w:tcBorders>
              <w:top w:val="nil"/>
              <w:left w:val="nil"/>
              <w:bottom w:val="nil"/>
              <w:right w:val="nil"/>
            </w:tcBorders>
            <w:shd w:val="clear" w:color="auto" w:fill="auto"/>
            <w:noWrap/>
            <w:vAlign w:val="center"/>
          </w:tcPr>
          <w:p w14:paraId="48291854" w14:textId="4BDF21B2" w:rsidR="00E72089" w:rsidRPr="00E20D21" w:rsidRDefault="00E72089" w:rsidP="00E72089">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620" w:type="pct"/>
            <w:tcBorders>
              <w:top w:val="nil"/>
              <w:left w:val="nil"/>
              <w:bottom w:val="nil"/>
              <w:right w:val="nil"/>
            </w:tcBorders>
            <w:shd w:val="clear" w:color="auto" w:fill="auto"/>
            <w:noWrap/>
            <w:vAlign w:val="center"/>
          </w:tcPr>
          <w:p w14:paraId="6B972A73" w14:textId="5D5DDEA5"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8"/>
                <w:szCs w:val="18"/>
              </w:rPr>
              <w:t>280.069</w:t>
            </w:r>
          </w:p>
        </w:tc>
        <w:tc>
          <w:tcPr>
            <w:tcW w:w="623" w:type="pct"/>
            <w:gridSpan w:val="2"/>
            <w:tcBorders>
              <w:top w:val="nil"/>
              <w:left w:val="nil"/>
              <w:bottom w:val="nil"/>
              <w:right w:val="nil"/>
            </w:tcBorders>
            <w:shd w:val="clear" w:color="auto" w:fill="auto"/>
            <w:noWrap/>
            <w:vAlign w:val="center"/>
          </w:tcPr>
          <w:p w14:paraId="2144791D" w14:textId="3ED119B7" w:rsidR="00E72089" w:rsidRPr="00E20D21" w:rsidRDefault="00EB2B31" w:rsidP="00E7208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3.529.785</w:t>
            </w:r>
          </w:p>
        </w:tc>
        <w:tc>
          <w:tcPr>
            <w:tcW w:w="628" w:type="pct"/>
            <w:gridSpan w:val="2"/>
            <w:tcBorders>
              <w:top w:val="nil"/>
              <w:left w:val="nil"/>
              <w:bottom w:val="nil"/>
              <w:right w:val="nil"/>
            </w:tcBorders>
            <w:shd w:val="clear" w:color="auto" w:fill="auto"/>
            <w:vAlign w:val="center"/>
          </w:tcPr>
          <w:p w14:paraId="5AE70069" w14:textId="1613BA04"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3.290.332</w:t>
            </w:r>
          </w:p>
        </w:tc>
        <w:tc>
          <w:tcPr>
            <w:tcW w:w="632" w:type="pct"/>
            <w:gridSpan w:val="2"/>
            <w:tcBorders>
              <w:top w:val="nil"/>
              <w:left w:val="nil"/>
              <w:bottom w:val="nil"/>
              <w:right w:val="nil"/>
            </w:tcBorders>
            <w:shd w:val="clear" w:color="auto" w:fill="auto"/>
            <w:noWrap/>
            <w:vAlign w:val="center"/>
          </w:tcPr>
          <w:p w14:paraId="6B07A2CB" w14:textId="71074067" w:rsidR="00E72089" w:rsidRPr="00E20D21" w:rsidRDefault="00973FE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7.100.186</w:t>
            </w:r>
          </w:p>
        </w:tc>
        <w:tc>
          <w:tcPr>
            <w:tcW w:w="620" w:type="pct"/>
            <w:tcBorders>
              <w:top w:val="nil"/>
              <w:left w:val="nil"/>
              <w:bottom w:val="nil"/>
              <w:right w:val="nil"/>
            </w:tcBorders>
            <w:shd w:val="clear" w:color="auto" w:fill="auto"/>
            <w:vAlign w:val="center"/>
            <w:hideMark/>
          </w:tcPr>
          <w:p w14:paraId="1EFD401B" w14:textId="556E1E0B"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838.766</w:t>
            </w:r>
          </w:p>
        </w:tc>
      </w:tr>
      <w:tr w:rsidR="00E72089" w:rsidRPr="00E20D21" w14:paraId="37CD9FF4" w14:textId="77777777" w:rsidTr="00E72089">
        <w:trPr>
          <w:trHeight w:val="227"/>
        </w:trPr>
        <w:tc>
          <w:tcPr>
            <w:tcW w:w="1259" w:type="pct"/>
            <w:tcBorders>
              <w:top w:val="nil"/>
              <w:left w:val="nil"/>
              <w:bottom w:val="nil"/>
              <w:right w:val="nil"/>
            </w:tcBorders>
            <w:shd w:val="clear" w:color="auto" w:fill="auto"/>
            <w:noWrap/>
            <w:vAlign w:val="center"/>
            <w:hideMark/>
          </w:tcPr>
          <w:p w14:paraId="7D307C10" w14:textId="77777777" w:rsidR="00E72089" w:rsidRPr="00E20D21" w:rsidRDefault="00E72089" w:rsidP="00E72089">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Compromissos de venda</w:t>
            </w:r>
          </w:p>
        </w:tc>
        <w:tc>
          <w:tcPr>
            <w:tcW w:w="619" w:type="pct"/>
            <w:tcBorders>
              <w:top w:val="nil"/>
              <w:left w:val="nil"/>
              <w:bottom w:val="nil"/>
              <w:right w:val="nil"/>
            </w:tcBorders>
            <w:shd w:val="clear" w:color="auto" w:fill="auto"/>
            <w:noWrap/>
            <w:vAlign w:val="center"/>
          </w:tcPr>
          <w:p w14:paraId="48146B6C" w14:textId="6C8AA2A9"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4.228.294</w:t>
            </w:r>
          </w:p>
        </w:tc>
        <w:tc>
          <w:tcPr>
            <w:tcW w:w="620" w:type="pct"/>
            <w:tcBorders>
              <w:top w:val="nil"/>
              <w:left w:val="nil"/>
              <w:bottom w:val="nil"/>
              <w:right w:val="nil"/>
            </w:tcBorders>
            <w:shd w:val="clear" w:color="auto" w:fill="auto"/>
            <w:noWrap/>
            <w:vAlign w:val="center"/>
          </w:tcPr>
          <w:p w14:paraId="5269E094" w14:textId="28CAF0D4"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950.441</w:t>
            </w:r>
          </w:p>
        </w:tc>
        <w:tc>
          <w:tcPr>
            <w:tcW w:w="623" w:type="pct"/>
            <w:gridSpan w:val="2"/>
            <w:tcBorders>
              <w:top w:val="nil"/>
              <w:left w:val="nil"/>
              <w:bottom w:val="nil"/>
              <w:right w:val="nil"/>
            </w:tcBorders>
            <w:shd w:val="clear" w:color="auto" w:fill="auto"/>
            <w:noWrap/>
            <w:vAlign w:val="center"/>
          </w:tcPr>
          <w:p w14:paraId="42D97F82" w14:textId="118D4BE6"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3.712.510</w:t>
            </w:r>
          </w:p>
        </w:tc>
        <w:tc>
          <w:tcPr>
            <w:tcW w:w="628" w:type="pct"/>
            <w:gridSpan w:val="2"/>
            <w:tcBorders>
              <w:top w:val="nil"/>
              <w:left w:val="nil"/>
              <w:bottom w:val="nil"/>
              <w:right w:val="nil"/>
            </w:tcBorders>
            <w:shd w:val="clear" w:color="auto" w:fill="auto"/>
            <w:noWrap/>
            <w:vAlign w:val="center"/>
          </w:tcPr>
          <w:p w14:paraId="2CFD6DBA" w14:textId="72965E0E"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60.742.582</w:t>
            </w:r>
          </w:p>
        </w:tc>
        <w:tc>
          <w:tcPr>
            <w:tcW w:w="632" w:type="pct"/>
            <w:gridSpan w:val="2"/>
            <w:tcBorders>
              <w:top w:val="nil"/>
              <w:left w:val="nil"/>
              <w:bottom w:val="nil"/>
              <w:right w:val="nil"/>
            </w:tcBorders>
            <w:shd w:val="clear" w:color="auto" w:fill="auto"/>
            <w:noWrap/>
            <w:vAlign w:val="center"/>
          </w:tcPr>
          <w:p w14:paraId="116747B3" w14:textId="772C8A49"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69.633.827</w:t>
            </w:r>
          </w:p>
        </w:tc>
        <w:tc>
          <w:tcPr>
            <w:tcW w:w="620" w:type="pct"/>
            <w:tcBorders>
              <w:top w:val="nil"/>
              <w:left w:val="nil"/>
              <w:bottom w:val="nil"/>
              <w:right w:val="nil"/>
            </w:tcBorders>
            <w:shd w:val="clear" w:color="auto" w:fill="auto"/>
            <w:noWrap/>
            <w:vAlign w:val="center"/>
            <w:hideMark/>
          </w:tcPr>
          <w:p w14:paraId="42364A4F" w14:textId="5699236A"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eastAsia="Times New Roman" w:hAnsi="CAIXA Std Book" w:cs="Arial"/>
                <w:b/>
                <w:bCs/>
                <w:color w:val="005CA9"/>
                <w:sz w:val="16"/>
                <w:szCs w:val="16"/>
              </w:rPr>
              <w:t>113.188.649</w:t>
            </w:r>
          </w:p>
        </w:tc>
      </w:tr>
      <w:tr w:rsidR="00E72089" w:rsidRPr="00E20D21" w14:paraId="2AE70B07" w14:textId="77777777" w:rsidTr="00E72089">
        <w:trPr>
          <w:trHeight w:val="227"/>
        </w:trPr>
        <w:tc>
          <w:tcPr>
            <w:tcW w:w="1259" w:type="pct"/>
            <w:tcBorders>
              <w:top w:val="nil"/>
              <w:left w:val="nil"/>
              <w:right w:val="nil"/>
            </w:tcBorders>
            <w:shd w:val="clear" w:color="auto" w:fill="auto"/>
            <w:noWrap/>
            <w:vAlign w:val="center"/>
            <w:hideMark/>
          </w:tcPr>
          <w:p w14:paraId="667E12A7" w14:textId="77777777" w:rsidR="00E72089" w:rsidRPr="00E20D21" w:rsidRDefault="00E72089" w:rsidP="00E72089">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Mercado interfinanceiro</w:t>
            </w:r>
          </w:p>
        </w:tc>
        <w:tc>
          <w:tcPr>
            <w:tcW w:w="619" w:type="pct"/>
            <w:tcBorders>
              <w:top w:val="nil"/>
              <w:left w:val="nil"/>
              <w:bottom w:val="nil"/>
              <w:right w:val="nil"/>
            </w:tcBorders>
            <w:shd w:val="clear" w:color="auto" w:fill="auto"/>
            <w:noWrap/>
            <w:vAlign w:val="center"/>
          </w:tcPr>
          <w:p w14:paraId="0D9E87A8" w14:textId="610DFCC3"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3.884.974</w:t>
            </w:r>
          </w:p>
        </w:tc>
        <w:tc>
          <w:tcPr>
            <w:tcW w:w="620" w:type="pct"/>
            <w:tcBorders>
              <w:top w:val="nil"/>
              <w:left w:val="nil"/>
              <w:bottom w:val="nil"/>
              <w:right w:val="nil"/>
            </w:tcBorders>
            <w:shd w:val="clear" w:color="auto" w:fill="auto"/>
            <w:noWrap/>
            <w:vAlign w:val="center"/>
          </w:tcPr>
          <w:p w14:paraId="15C6FC98" w14:textId="047A9C33"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950.441</w:t>
            </w:r>
          </w:p>
        </w:tc>
        <w:tc>
          <w:tcPr>
            <w:tcW w:w="623" w:type="pct"/>
            <w:gridSpan w:val="2"/>
            <w:tcBorders>
              <w:top w:val="nil"/>
              <w:left w:val="nil"/>
              <w:bottom w:val="nil"/>
              <w:right w:val="nil"/>
            </w:tcBorders>
            <w:shd w:val="clear" w:color="auto" w:fill="auto"/>
            <w:noWrap/>
            <w:vAlign w:val="center"/>
          </w:tcPr>
          <w:p w14:paraId="0DD50E6A" w14:textId="3A657FCF"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3.712.510</w:t>
            </w:r>
          </w:p>
        </w:tc>
        <w:tc>
          <w:tcPr>
            <w:tcW w:w="628" w:type="pct"/>
            <w:gridSpan w:val="2"/>
            <w:tcBorders>
              <w:top w:val="nil"/>
              <w:left w:val="nil"/>
              <w:bottom w:val="nil"/>
              <w:right w:val="nil"/>
            </w:tcBorders>
            <w:shd w:val="clear" w:color="auto" w:fill="auto"/>
            <w:noWrap/>
            <w:vAlign w:val="center"/>
          </w:tcPr>
          <w:p w14:paraId="4196BF04" w14:textId="0DA32B83"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60.742.582</w:t>
            </w:r>
          </w:p>
        </w:tc>
        <w:tc>
          <w:tcPr>
            <w:tcW w:w="632" w:type="pct"/>
            <w:gridSpan w:val="2"/>
            <w:tcBorders>
              <w:top w:val="nil"/>
              <w:left w:val="nil"/>
              <w:bottom w:val="nil"/>
              <w:right w:val="nil"/>
            </w:tcBorders>
            <w:shd w:val="clear" w:color="auto" w:fill="auto"/>
            <w:noWrap/>
            <w:vAlign w:val="center"/>
          </w:tcPr>
          <w:p w14:paraId="4F2AD35F" w14:textId="02C2029E"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69.290.507</w:t>
            </w:r>
          </w:p>
        </w:tc>
        <w:tc>
          <w:tcPr>
            <w:tcW w:w="620" w:type="pct"/>
            <w:tcBorders>
              <w:top w:val="nil"/>
              <w:left w:val="nil"/>
              <w:bottom w:val="nil"/>
              <w:right w:val="nil"/>
            </w:tcBorders>
            <w:shd w:val="clear" w:color="auto" w:fill="auto"/>
            <w:vAlign w:val="center"/>
            <w:hideMark/>
          </w:tcPr>
          <w:p w14:paraId="38FBB1F6" w14:textId="6520D100"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eastAsia="Times New Roman" w:hAnsi="CAIXA Std Book" w:cs="Arial"/>
                <w:color w:val="005CA9"/>
                <w:sz w:val="16"/>
                <w:szCs w:val="16"/>
              </w:rPr>
              <w:t>112.796.692</w:t>
            </w:r>
          </w:p>
        </w:tc>
      </w:tr>
      <w:tr w:rsidR="00E72089" w:rsidRPr="00E20D21" w14:paraId="65F4A8BA" w14:textId="77777777" w:rsidTr="00E72089">
        <w:trPr>
          <w:trHeight w:val="227"/>
        </w:trPr>
        <w:tc>
          <w:tcPr>
            <w:tcW w:w="1259" w:type="pct"/>
            <w:tcBorders>
              <w:top w:val="nil"/>
              <w:left w:val="nil"/>
              <w:bottom w:val="single" w:sz="4" w:space="0" w:color="F79646"/>
              <w:right w:val="nil"/>
            </w:tcBorders>
            <w:shd w:val="clear" w:color="auto" w:fill="auto"/>
            <w:noWrap/>
            <w:vAlign w:val="center"/>
            <w:hideMark/>
          </w:tcPr>
          <w:p w14:paraId="7C9ECB27" w14:textId="77777777" w:rsidR="00E72089" w:rsidRPr="00E20D21" w:rsidRDefault="00E72089" w:rsidP="00E72089">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Moeda estrangeira</w:t>
            </w:r>
          </w:p>
        </w:tc>
        <w:tc>
          <w:tcPr>
            <w:tcW w:w="619" w:type="pct"/>
            <w:tcBorders>
              <w:top w:val="nil"/>
              <w:left w:val="nil"/>
              <w:bottom w:val="nil"/>
              <w:right w:val="nil"/>
            </w:tcBorders>
            <w:shd w:val="clear" w:color="auto" w:fill="auto"/>
            <w:noWrap/>
            <w:vAlign w:val="center"/>
          </w:tcPr>
          <w:p w14:paraId="72E49F89" w14:textId="14C1A734"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343.320</w:t>
            </w:r>
          </w:p>
        </w:tc>
        <w:tc>
          <w:tcPr>
            <w:tcW w:w="620" w:type="pct"/>
            <w:tcBorders>
              <w:top w:val="nil"/>
              <w:left w:val="nil"/>
              <w:bottom w:val="single" w:sz="4" w:space="0" w:color="F79646"/>
              <w:right w:val="nil"/>
            </w:tcBorders>
            <w:shd w:val="clear" w:color="auto" w:fill="auto"/>
            <w:noWrap/>
            <w:vAlign w:val="center"/>
          </w:tcPr>
          <w:p w14:paraId="47C93B16" w14:textId="30E12540" w:rsidR="00E72089" w:rsidRPr="00E20D21" w:rsidRDefault="00E72089" w:rsidP="00E72089">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23" w:type="pct"/>
            <w:gridSpan w:val="2"/>
            <w:tcBorders>
              <w:top w:val="nil"/>
              <w:left w:val="nil"/>
              <w:bottom w:val="single" w:sz="4" w:space="0" w:color="F79646"/>
              <w:right w:val="nil"/>
            </w:tcBorders>
            <w:shd w:val="clear" w:color="auto" w:fill="auto"/>
            <w:noWrap/>
            <w:vAlign w:val="center"/>
          </w:tcPr>
          <w:p w14:paraId="0DEC9FA0" w14:textId="485ED294" w:rsidR="00E72089" w:rsidRPr="00E20D21" w:rsidRDefault="00E72089" w:rsidP="00E72089">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28" w:type="pct"/>
            <w:gridSpan w:val="2"/>
            <w:tcBorders>
              <w:top w:val="nil"/>
              <w:left w:val="nil"/>
              <w:bottom w:val="single" w:sz="4" w:space="0" w:color="F79646"/>
              <w:right w:val="nil"/>
            </w:tcBorders>
            <w:shd w:val="clear" w:color="auto" w:fill="auto"/>
            <w:vAlign w:val="center"/>
          </w:tcPr>
          <w:p w14:paraId="49B46E6D" w14:textId="02A8C8F1" w:rsidR="00E72089" w:rsidRPr="00E20D21" w:rsidRDefault="00E72089" w:rsidP="00E72089">
            <w:pPr>
              <w:ind w:left="873"/>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32" w:type="pct"/>
            <w:gridSpan w:val="2"/>
            <w:tcBorders>
              <w:top w:val="nil"/>
              <w:left w:val="nil"/>
              <w:bottom w:val="nil"/>
              <w:right w:val="nil"/>
            </w:tcBorders>
            <w:shd w:val="clear" w:color="auto" w:fill="auto"/>
            <w:noWrap/>
            <w:vAlign w:val="center"/>
          </w:tcPr>
          <w:p w14:paraId="29FD395F" w14:textId="67EB10AF"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343.320</w:t>
            </w:r>
          </w:p>
        </w:tc>
        <w:tc>
          <w:tcPr>
            <w:tcW w:w="620" w:type="pct"/>
            <w:tcBorders>
              <w:top w:val="nil"/>
              <w:left w:val="nil"/>
              <w:bottom w:val="single" w:sz="4" w:space="0" w:color="F79646"/>
              <w:right w:val="nil"/>
            </w:tcBorders>
            <w:shd w:val="clear" w:color="auto" w:fill="auto"/>
            <w:vAlign w:val="center"/>
            <w:hideMark/>
          </w:tcPr>
          <w:p w14:paraId="728EA8F5" w14:textId="6780B361"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eastAsia="Times New Roman" w:hAnsi="CAIXA Std Book" w:cs="Arial"/>
                <w:color w:val="005CA9"/>
                <w:sz w:val="16"/>
                <w:szCs w:val="16"/>
              </w:rPr>
              <w:t>391.957</w:t>
            </w:r>
          </w:p>
        </w:tc>
      </w:tr>
      <w:tr w:rsidR="00E72089" w:rsidRPr="00E20D21" w14:paraId="0B32972A" w14:textId="77777777" w:rsidTr="00764383">
        <w:trPr>
          <w:trHeight w:val="227"/>
        </w:trPr>
        <w:tc>
          <w:tcPr>
            <w:tcW w:w="5000" w:type="pct"/>
            <w:gridSpan w:val="10"/>
            <w:tcBorders>
              <w:top w:val="single" w:sz="4" w:space="0" w:color="F79646"/>
              <w:left w:val="nil"/>
              <w:bottom w:val="single" w:sz="4" w:space="0" w:color="F79646"/>
              <w:right w:val="nil"/>
            </w:tcBorders>
            <w:shd w:val="clear" w:color="auto" w:fill="auto"/>
            <w:noWrap/>
            <w:vAlign w:val="center"/>
            <w:hideMark/>
          </w:tcPr>
          <w:p w14:paraId="75F9CCCC" w14:textId="77777777" w:rsidR="00E72089" w:rsidRPr="00E20D21" w:rsidRDefault="00E72089" w:rsidP="00E7208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Contratos de Swaps</w:t>
            </w:r>
          </w:p>
        </w:tc>
      </w:tr>
      <w:tr w:rsidR="00E72089" w:rsidRPr="00E20D21" w14:paraId="33CBDF0E" w14:textId="77777777" w:rsidTr="00E72089">
        <w:trPr>
          <w:trHeight w:val="227"/>
        </w:trPr>
        <w:tc>
          <w:tcPr>
            <w:tcW w:w="1259" w:type="pct"/>
            <w:tcBorders>
              <w:top w:val="single" w:sz="4" w:space="0" w:color="F79646"/>
              <w:left w:val="nil"/>
              <w:bottom w:val="nil"/>
              <w:right w:val="nil"/>
            </w:tcBorders>
            <w:shd w:val="clear" w:color="auto" w:fill="auto"/>
            <w:noWrap/>
            <w:vAlign w:val="center"/>
            <w:hideMark/>
          </w:tcPr>
          <w:p w14:paraId="2EDDCCD9" w14:textId="77777777" w:rsidR="00E72089" w:rsidRPr="00E20D21" w:rsidRDefault="00E72089" w:rsidP="00E72089">
            <w:pPr>
              <w:rPr>
                <w:rFonts w:ascii="CAIXA Std Book" w:eastAsia="Times New Roman" w:hAnsi="CAIXA Std Book" w:cs="Calibri"/>
                <w:b/>
                <w:bCs/>
                <w:i/>
                <w:iCs/>
                <w:color w:val="005CA9"/>
                <w:sz w:val="16"/>
                <w:szCs w:val="16"/>
              </w:rPr>
            </w:pPr>
            <w:r w:rsidRPr="00E20D21">
              <w:rPr>
                <w:rFonts w:ascii="CAIXA Std Book" w:eastAsia="Times New Roman" w:hAnsi="CAIXA Std Book" w:cs="Calibri"/>
                <w:b/>
                <w:bCs/>
                <w:i/>
                <w:iCs/>
                <w:color w:val="005CA9"/>
                <w:sz w:val="16"/>
                <w:szCs w:val="16"/>
              </w:rPr>
              <w:t>Swaps</w:t>
            </w:r>
          </w:p>
        </w:tc>
        <w:tc>
          <w:tcPr>
            <w:tcW w:w="619" w:type="pct"/>
            <w:tcBorders>
              <w:top w:val="nil"/>
              <w:left w:val="nil"/>
              <w:bottom w:val="nil"/>
              <w:right w:val="nil"/>
            </w:tcBorders>
            <w:shd w:val="clear" w:color="auto" w:fill="auto"/>
            <w:noWrap/>
            <w:vAlign w:val="center"/>
          </w:tcPr>
          <w:p w14:paraId="0E086937" w14:textId="108A05F4" w:rsidR="00E72089" w:rsidRPr="00E20D21" w:rsidRDefault="00FB12D0" w:rsidP="00E72089">
            <w:pPr>
              <w:jc w:val="right"/>
              <w:rPr>
                <w:rFonts w:ascii="CAIXA Std Book" w:eastAsia="Times New Roman" w:hAnsi="CAIXA Std Book" w:cs="Calibri"/>
                <w:b/>
                <w:color w:val="005CA9"/>
                <w:sz w:val="16"/>
                <w:szCs w:val="16"/>
              </w:rPr>
            </w:pPr>
            <w:r w:rsidRPr="00E20D21">
              <w:rPr>
                <w:rFonts w:ascii="CAIXA Std Book" w:hAnsi="CAIXA Std Book" w:cs="Arial"/>
                <w:b/>
                <w:bCs/>
                <w:color w:val="005CA9"/>
                <w:sz w:val="16"/>
                <w:szCs w:val="16"/>
              </w:rPr>
              <w:t>801.432</w:t>
            </w:r>
          </w:p>
        </w:tc>
        <w:tc>
          <w:tcPr>
            <w:tcW w:w="622" w:type="pct"/>
            <w:gridSpan w:val="2"/>
            <w:tcBorders>
              <w:top w:val="single" w:sz="4" w:space="0" w:color="F79646"/>
              <w:left w:val="nil"/>
              <w:bottom w:val="nil"/>
              <w:right w:val="nil"/>
            </w:tcBorders>
            <w:shd w:val="clear" w:color="auto" w:fill="auto"/>
            <w:noWrap/>
            <w:vAlign w:val="center"/>
          </w:tcPr>
          <w:p w14:paraId="73B92849" w14:textId="65D8CC98" w:rsidR="00E72089" w:rsidRPr="00E20D21" w:rsidRDefault="004736D8" w:rsidP="004736D8">
            <w:pPr>
              <w:jc w:val="right"/>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210.236</w:t>
            </w:r>
          </w:p>
        </w:tc>
        <w:tc>
          <w:tcPr>
            <w:tcW w:w="624" w:type="pct"/>
            <w:gridSpan w:val="2"/>
            <w:tcBorders>
              <w:top w:val="nil"/>
              <w:left w:val="nil"/>
              <w:bottom w:val="nil"/>
              <w:right w:val="nil"/>
            </w:tcBorders>
            <w:shd w:val="clear" w:color="auto" w:fill="auto"/>
            <w:noWrap/>
            <w:vAlign w:val="center"/>
          </w:tcPr>
          <w:p w14:paraId="214B7966" w14:textId="5AA00C1A" w:rsidR="00E72089" w:rsidRPr="00E20D21" w:rsidRDefault="00132040" w:rsidP="00E7208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20.652</w:t>
            </w:r>
          </w:p>
        </w:tc>
        <w:tc>
          <w:tcPr>
            <w:tcW w:w="627" w:type="pct"/>
            <w:gridSpan w:val="2"/>
            <w:tcBorders>
              <w:top w:val="single" w:sz="4" w:space="0" w:color="F79646"/>
              <w:left w:val="nil"/>
              <w:bottom w:val="nil"/>
              <w:right w:val="nil"/>
            </w:tcBorders>
            <w:shd w:val="clear" w:color="auto" w:fill="auto"/>
            <w:noWrap/>
            <w:vAlign w:val="center"/>
          </w:tcPr>
          <w:p w14:paraId="677D01B6" w14:textId="1F7950A5" w:rsidR="00E72089" w:rsidRPr="00E20D21" w:rsidRDefault="00E72089" w:rsidP="00E72089">
            <w:pPr>
              <w:ind w:left="863"/>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630" w:type="pct"/>
            <w:tcBorders>
              <w:top w:val="nil"/>
              <w:left w:val="nil"/>
              <w:bottom w:val="nil"/>
              <w:right w:val="nil"/>
            </w:tcBorders>
            <w:shd w:val="clear" w:color="auto" w:fill="auto"/>
            <w:noWrap/>
            <w:vAlign w:val="center"/>
          </w:tcPr>
          <w:p w14:paraId="41B7A425" w14:textId="6FE0CB81" w:rsidR="00E72089" w:rsidRPr="00E20D21" w:rsidRDefault="00132040" w:rsidP="00E7208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1.032.320</w:t>
            </w:r>
          </w:p>
        </w:tc>
        <w:tc>
          <w:tcPr>
            <w:tcW w:w="620" w:type="pct"/>
            <w:tcBorders>
              <w:top w:val="single" w:sz="4" w:space="0" w:color="F79646"/>
              <w:left w:val="nil"/>
              <w:bottom w:val="nil"/>
              <w:right w:val="nil"/>
            </w:tcBorders>
            <w:shd w:val="clear" w:color="auto" w:fill="auto"/>
            <w:noWrap/>
            <w:vAlign w:val="center"/>
            <w:hideMark/>
          </w:tcPr>
          <w:p w14:paraId="3D20F10A" w14:textId="75E0F853"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eastAsia="Times New Roman" w:hAnsi="CAIXA Std Book" w:cs="Arial"/>
                <w:b/>
                <w:color w:val="005CA9"/>
                <w:sz w:val="16"/>
                <w:szCs w:val="16"/>
              </w:rPr>
              <w:t>892.701</w:t>
            </w:r>
          </w:p>
        </w:tc>
      </w:tr>
      <w:tr w:rsidR="00E72089" w:rsidRPr="00E20D21" w14:paraId="4EF919C1" w14:textId="77777777" w:rsidTr="00E72089">
        <w:trPr>
          <w:trHeight w:val="227"/>
        </w:trPr>
        <w:tc>
          <w:tcPr>
            <w:tcW w:w="1259" w:type="pct"/>
            <w:tcBorders>
              <w:top w:val="nil"/>
              <w:left w:val="nil"/>
              <w:bottom w:val="single" w:sz="4" w:space="0" w:color="F79646"/>
              <w:right w:val="nil"/>
            </w:tcBorders>
            <w:shd w:val="clear" w:color="auto" w:fill="auto"/>
            <w:noWrap/>
            <w:vAlign w:val="center"/>
            <w:hideMark/>
          </w:tcPr>
          <w:p w14:paraId="2F38EE6F" w14:textId="77777777" w:rsidR="00E72089" w:rsidRPr="00E20D21" w:rsidRDefault="00E72089" w:rsidP="00E72089">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Índices</w:t>
            </w:r>
          </w:p>
        </w:tc>
        <w:tc>
          <w:tcPr>
            <w:tcW w:w="619" w:type="pct"/>
            <w:tcBorders>
              <w:top w:val="nil"/>
              <w:left w:val="nil"/>
              <w:bottom w:val="nil"/>
              <w:right w:val="nil"/>
            </w:tcBorders>
            <w:shd w:val="clear" w:color="auto" w:fill="auto"/>
            <w:vAlign w:val="center"/>
          </w:tcPr>
          <w:p w14:paraId="361FE3B4" w14:textId="1D7C1E51" w:rsidR="00E72089" w:rsidRPr="00E20D21" w:rsidRDefault="004736D8" w:rsidP="00E72089">
            <w:pPr>
              <w:ind w:firstLineChars="100" w:firstLine="160"/>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801.432</w:t>
            </w:r>
          </w:p>
        </w:tc>
        <w:tc>
          <w:tcPr>
            <w:tcW w:w="622" w:type="pct"/>
            <w:gridSpan w:val="2"/>
            <w:tcBorders>
              <w:top w:val="nil"/>
              <w:left w:val="nil"/>
              <w:bottom w:val="single" w:sz="4" w:space="0" w:color="F79646"/>
              <w:right w:val="nil"/>
            </w:tcBorders>
            <w:shd w:val="clear" w:color="auto" w:fill="auto"/>
            <w:noWrap/>
            <w:vAlign w:val="center"/>
          </w:tcPr>
          <w:p w14:paraId="006F3FE5" w14:textId="6E183FC1" w:rsidR="00E72089" w:rsidRPr="00E20D21" w:rsidRDefault="004736D8" w:rsidP="004736D8">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210.236</w:t>
            </w:r>
          </w:p>
        </w:tc>
        <w:tc>
          <w:tcPr>
            <w:tcW w:w="624" w:type="pct"/>
            <w:gridSpan w:val="2"/>
            <w:tcBorders>
              <w:top w:val="nil"/>
              <w:left w:val="nil"/>
              <w:bottom w:val="nil"/>
              <w:right w:val="nil"/>
            </w:tcBorders>
            <w:shd w:val="clear" w:color="auto" w:fill="auto"/>
            <w:vAlign w:val="center"/>
          </w:tcPr>
          <w:p w14:paraId="46F2DCF4" w14:textId="300F2203" w:rsidR="00E72089" w:rsidRPr="00E20D21" w:rsidRDefault="00132040" w:rsidP="00E7208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20.652</w:t>
            </w:r>
          </w:p>
        </w:tc>
        <w:tc>
          <w:tcPr>
            <w:tcW w:w="627" w:type="pct"/>
            <w:gridSpan w:val="2"/>
            <w:tcBorders>
              <w:top w:val="nil"/>
              <w:left w:val="nil"/>
              <w:bottom w:val="single" w:sz="4" w:space="0" w:color="F79646"/>
              <w:right w:val="nil"/>
            </w:tcBorders>
            <w:shd w:val="clear" w:color="auto" w:fill="auto"/>
            <w:noWrap/>
            <w:vAlign w:val="center"/>
          </w:tcPr>
          <w:p w14:paraId="6E134F49" w14:textId="0C179519" w:rsidR="00E72089" w:rsidRPr="00E20D21" w:rsidRDefault="00E72089" w:rsidP="00E72089">
            <w:pPr>
              <w:ind w:left="863"/>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630" w:type="pct"/>
            <w:tcBorders>
              <w:top w:val="nil"/>
              <w:left w:val="nil"/>
              <w:bottom w:val="nil"/>
              <w:right w:val="nil"/>
            </w:tcBorders>
            <w:shd w:val="clear" w:color="auto" w:fill="auto"/>
            <w:noWrap/>
            <w:vAlign w:val="center"/>
          </w:tcPr>
          <w:p w14:paraId="75D5963B" w14:textId="612CE0C6" w:rsidR="00E72089" w:rsidRPr="00E20D21" w:rsidRDefault="00132040" w:rsidP="00E7208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1.032.320</w:t>
            </w:r>
          </w:p>
        </w:tc>
        <w:tc>
          <w:tcPr>
            <w:tcW w:w="620" w:type="pct"/>
            <w:tcBorders>
              <w:top w:val="nil"/>
              <w:left w:val="nil"/>
              <w:bottom w:val="single" w:sz="4" w:space="0" w:color="F79646"/>
              <w:right w:val="nil"/>
            </w:tcBorders>
            <w:shd w:val="clear" w:color="auto" w:fill="auto"/>
            <w:vAlign w:val="center"/>
            <w:hideMark/>
          </w:tcPr>
          <w:p w14:paraId="1DF1593C" w14:textId="648AF5A2" w:rsidR="00E72089" w:rsidRPr="00E20D21" w:rsidRDefault="00E72089" w:rsidP="00E72089">
            <w:pPr>
              <w:jc w:val="right"/>
              <w:rPr>
                <w:rFonts w:ascii="CAIXA Std Book" w:eastAsia="Times New Roman" w:hAnsi="CAIXA Std Book" w:cs="Calibri"/>
                <w:color w:val="005CA9"/>
                <w:sz w:val="16"/>
                <w:szCs w:val="16"/>
              </w:rPr>
            </w:pPr>
            <w:r w:rsidRPr="00E20D21">
              <w:rPr>
                <w:rFonts w:ascii="CAIXA Std Book" w:eastAsia="Times New Roman" w:hAnsi="CAIXA Std Book" w:cs="Arial"/>
                <w:color w:val="005CA9"/>
                <w:sz w:val="16"/>
                <w:szCs w:val="16"/>
              </w:rPr>
              <w:t>892.701</w:t>
            </w:r>
          </w:p>
        </w:tc>
      </w:tr>
      <w:tr w:rsidR="00E72089" w:rsidRPr="00E20D21" w14:paraId="3CB9B368" w14:textId="77777777" w:rsidTr="00764383">
        <w:trPr>
          <w:trHeight w:val="227"/>
        </w:trPr>
        <w:tc>
          <w:tcPr>
            <w:tcW w:w="5000" w:type="pct"/>
            <w:gridSpan w:val="10"/>
            <w:tcBorders>
              <w:top w:val="single" w:sz="4" w:space="0" w:color="F79646"/>
              <w:left w:val="nil"/>
              <w:bottom w:val="single" w:sz="4" w:space="0" w:color="F79646"/>
              <w:right w:val="nil"/>
            </w:tcBorders>
            <w:shd w:val="clear" w:color="auto" w:fill="auto"/>
            <w:noWrap/>
            <w:vAlign w:val="center"/>
            <w:hideMark/>
          </w:tcPr>
          <w:p w14:paraId="455DDB7A" w14:textId="77777777" w:rsidR="00E72089" w:rsidRPr="00E20D21" w:rsidRDefault="00E72089" w:rsidP="00E7208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Outros derivativos</w:t>
            </w:r>
          </w:p>
        </w:tc>
      </w:tr>
      <w:tr w:rsidR="00E72089" w:rsidRPr="00E20D21" w14:paraId="29F5E365" w14:textId="77777777" w:rsidTr="00E72089">
        <w:trPr>
          <w:trHeight w:val="227"/>
        </w:trPr>
        <w:tc>
          <w:tcPr>
            <w:tcW w:w="1259" w:type="pct"/>
            <w:tcBorders>
              <w:top w:val="single" w:sz="4" w:space="0" w:color="F79646"/>
              <w:left w:val="nil"/>
              <w:bottom w:val="single" w:sz="4" w:space="0" w:color="F79646"/>
              <w:right w:val="nil"/>
            </w:tcBorders>
            <w:shd w:val="clear" w:color="auto" w:fill="auto"/>
            <w:noWrap/>
            <w:vAlign w:val="center"/>
            <w:hideMark/>
          </w:tcPr>
          <w:p w14:paraId="3B247FB0" w14:textId="77777777" w:rsidR="00E72089" w:rsidRPr="00E20D21" w:rsidRDefault="00E72089" w:rsidP="00E72089">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Derivativo FGTS</w:t>
            </w:r>
            <w:r w:rsidRPr="00E20D21">
              <w:rPr>
                <w:rFonts w:ascii="CAIXA Std Book" w:eastAsia="Times New Roman" w:hAnsi="CAIXA Std Book" w:cs="Calibri"/>
                <w:color w:val="005CA9"/>
                <w:sz w:val="16"/>
                <w:szCs w:val="16"/>
              </w:rPr>
              <w:t> </w:t>
            </w:r>
          </w:p>
        </w:tc>
        <w:tc>
          <w:tcPr>
            <w:tcW w:w="619" w:type="pct"/>
            <w:tcBorders>
              <w:top w:val="single" w:sz="4" w:space="0" w:color="F79646"/>
              <w:left w:val="nil"/>
              <w:bottom w:val="single" w:sz="4" w:space="0" w:color="F79646"/>
              <w:right w:val="nil"/>
            </w:tcBorders>
            <w:shd w:val="clear" w:color="auto" w:fill="auto"/>
            <w:noWrap/>
            <w:vAlign w:val="center"/>
            <w:hideMark/>
          </w:tcPr>
          <w:p w14:paraId="024353CA" w14:textId="77777777" w:rsidR="00E72089" w:rsidRPr="00E20D21" w:rsidRDefault="00E72089" w:rsidP="00E7208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w:t>
            </w:r>
          </w:p>
        </w:tc>
        <w:tc>
          <w:tcPr>
            <w:tcW w:w="622" w:type="pct"/>
            <w:gridSpan w:val="2"/>
            <w:tcBorders>
              <w:top w:val="single" w:sz="4" w:space="0" w:color="F79646"/>
              <w:left w:val="nil"/>
              <w:bottom w:val="single" w:sz="4" w:space="0" w:color="F79646"/>
              <w:right w:val="nil"/>
            </w:tcBorders>
            <w:shd w:val="clear" w:color="auto" w:fill="auto"/>
            <w:noWrap/>
            <w:vAlign w:val="center"/>
            <w:hideMark/>
          </w:tcPr>
          <w:p w14:paraId="6BF21F7B" w14:textId="77777777" w:rsidR="00E72089" w:rsidRPr="00E20D21" w:rsidRDefault="00E72089" w:rsidP="00E7208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w:t>
            </w:r>
          </w:p>
        </w:tc>
        <w:tc>
          <w:tcPr>
            <w:tcW w:w="624" w:type="pct"/>
            <w:gridSpan w:val="2"/>
            <w:tcBorders>
              <w:top w:val="single" w:sz="4" w:space="0" w:color="F79646"/>
              <w:left w:val="nil"/>
              <w:bottom w:val="single" w:sz="4" w:space="0" w:color="F79646"/>
              <w:right w:val="nil"/>
            </w:tcBorders>
            <w:shd w:val="clear" w:color="auto" w:fill="auto"/>
            <w:noWrap/>
            <w:vAlign w:val="center"/>
            <w:hideMark/>
          </w:tcPr>
          <w:p w14:paraId="42AEAD3E" w14:textId="77777777" w:rsidR="00E72089" w:rsidRPr="00E20D21" w:rsidRDefault="00E72089" w:rsidP="00E7208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w:t>
            </w:r>
          </w:p>
        </w:tc>
        <w:tc>
          <w:tcPr>
            <w:tcW w:w="627" w:type="pct"/>
            <w:gridSpan w:val="2"/>
            <w:tcBorders>
              <w:top w:val="single" w:sz="4" w:space="0" w:color="F79646"/>
              <w:left w:val="nil"/>
              <w:bottom w:val="single" w:sz="4" w:space="0" w:color="F79646"/>
              <w:right w:val="nil"/>
            </w:tcBorders>
            <w:shd w:val="clear" w:color="auto" w:fill="auto"/>
            <w:noWrap/>
            <w:vAlign w:val="center"/>
            <w:hideMark/>
          </w:tcPr>
          <w:p w14:paraId="42390228" w14:textId="07AD0AFF"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3.525.885</w:t>
            </w:r>
          </w:p>
        </w:tc>
        <w:tc>
          <w:tcPr>
            <w:tcW w:w="630" w:type="pct"/>
            <w:tcBorders>
              <w:top w:val="single" w:sz="4" w:space="0" w:color="F79646"/>
              <w:left w:val="nil"/>
              <w:bottom w:val="single" w:sz="4" w:space="0" w:color="F79646"/>
              <w:right w:val="nil"/>
            </w:tcBorders>
            <w:shd w:val="clear" w:color="auto" w:fill="auto"/>
            <w:noWrap/>
            <w:vAlign w:val="center"/>
          </w:tcPr>
          <w:p w14:paraId="2014A22F" w14:textId="148B851C"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3.525.885</w:t>
            </w:r>
          </w:p>
        </w:tc>
        <w:tc>
          <w:tcPr>
            <w:tcW w:w="620" w:type="pct"/>
            <w:tcBorders>
              <w:top w:val="single" w:sz="4" w:space="0" w:color="F79646"/>
              <w:left w:val="nil"/>
              <w:bottom w:val="single" w:sz="4" w:space="0" w:color="F79646"/>
              <w:right w:val="nil"/>
            </w:tcBorders>
            <w:shd w:val="clear" w:color="auto" w:fill="auto"/>
            <w:noWrap/>
            <w:vAlign w:val="center"/>
            <w:hideMark/>
          </w:tcPr>
          <w:p w14:paraId="529E9CE5" w14:textId="4DAE2624" w:rsidR="00E72089" w:rsidRPr="00E20D21" w:rsidRDefault="00E72089" w:rsidP="00E72089">
            <w:pPr>
              <w:jc w:val="right"/>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3.526.810</w:t>
            </w:r>
          </w:p>
        </w:tc>
      </w:tr>
    </w:tbl>
    <w:p w14:paraId="51147761" w14:textId="2A781963" w:rsidR="00FD4A4A" w:rsidRPr="00E20D21" w:rsidRDefault="002A6ADD" w:rsidP="00FF5A1D">
      <w:pPr>
        <w:keepNext/>
        <w:tabs>
          <w:tab w:val="left" w:pos="567"/>
        </w:tabs>
        <w:spacing w:before="480" w:after="240"/>
        <w:ind w:right="112"/>
        <w:jc w:val="both"/>
        <w:rPr>
          <w:rFonts w:ascii="CAIXA Std Book" w:hAnsi="CAIXA Std Book"/>
          <w:b/>
          <w:color w:val="005CA9"/>
          <w:sz w:val="20"/>
          <w:szCs w:val="20"/>
        </w:rPr>
      </w:pPr>
      <w:r w:rsidRPr="00E20D21">
        <w:rPr>
          <w:rFonts w:ascii="CAIXA Std Book" w:hAnsi="CAIXA Std Book"/>
          <w:b/>
          <w:color w:val="005CA9"/>
          <w:sz w:val="20"/>
          <w:szCs w:val="20"/>
        </w:rPr>
        <w:br w:type="page"/>
      </w:r>
      <w:r w:rsidR="00FF5A1D" w:rsidRPr="00E20D21">
        <w:rPr>
          <w:rFonts w:ascii="CAIXA Std Book" w:hAnsi="CAIXA Std Book"/>
          <w:b/>
          <w:color w:val="005CA9"/>
          <w:sz w:val="20"/>
          <w:szCs w:val="20"/>
        </w:rPr>
        <w:lastRenderedPageBreak/>
        <w:t>(c)</w:t>
      </w:r>
      <w:r w:rsidR="00FF5A1D" w:rsidRPr="00E20D21">
        <w:rPr>
          <w:rFonts w:ascii="CAIXA Std Book" w:hAnsi="CAIXA Std Book"/>
          <w:b/>
          <w:color w:val="005CA9"/>
          <w:sz w:val="20"/>
          <w:szCs w:val="20"/>
        </w:rPr>
        <w:tab/>
      </w:r>
      <w:r w:rsidR="0025738F" w:rsidRPr="00E20D21">
        <w:rPr>
          <w:rFonts w:ascii="CAIXA Std Book" w:hAnsi="CAIXA Std Book"/>
          <w:b/>
          <w:color w:val="005CA9"/>
          <w:sz w:val="20"/>
          <w:szCs w:val="20"/>
        </w:rPr>
        <w:t xml:space="preserve">Composição da carteira de instrumentos financeiros derivativos por </w:t>
      </w:r>
      <w:r w:rsidR="005450FE" w:rsidRPr="00E20D21">
        <w:rPr>
          <w:rFonts w:ascii="CAIXA Std Book" w:hAnsi="CAIXA Std Book"/>
          <w:b/>
          <w:color w:val="005CA9"/>
          <w:sz w:val="20"/>
          <w:szCs w:val="20"/>
        </w:rPr>
        <w:t xml:space="preserve">tipo de instrumento, </w:t>
      </w:r>
      <w:r w:rsidR="00603467" w:rsidRPr="00E20D21">
        <w:rPr>
          <w:rFonts w:ascii="CAIXA Std Book" w:hAnsi="CAIXA Std Book"/>
          <w:b/>
          <w:color w:val="005CA9"/>
          <w:sz w:val="20"/>
          <w:szCs w:val="20"/>
        </w:rPr>
        <w:t>contraparte</w:t>
      </w:r>
      <w:r w:rsidR="0025738F" w:rsidRPr="00E20D21">
        <w:rPr>
          <w:rFonts w:ascii="CAIXA Std Book" w:hAnsi="CAIXA Std Book"/>
          <w:b/>
          <w:color w:val="005CA9"/>
          <w:sz w:val="20"/>
          <w:szCs w:val="20"/>
        </w:rPr>
        <w:t xml:space="preserve"> e prazo de vencimento, demonstrada pelo seu valor patrimonial</w:t>
      </w:r>
    </w:p>
    <w:tbl>
      <w:tblPr>
        <w:tblW w:w="5000" w:type="pct"/>
        <w:tblCellMar>
          <w:left w:w="70" w:type="dxa"/>
          <w:right w:w="70" w:type="dxa"/>
        </w:tblCellMar>
        <w:tblLook w:val="04A0" w:firstRow="1" w:lastRow="0" w:firstColumn="1" w:lastColumn="0" w:noHBand="0" w:noVBand="1"/>
      </w:tblPr>
      <w:tblGrid>
        <w:gridCol w:w="5016"/>
        <w:gridCol w:w="1920"/>
        <w:gridCol w:w="1623"/>
        <w:gridCol w:w="1623"/>
        <w:gridCol w:w="1472"/>
        <w:gridCol w:w="1477"/>
        <w:gridCol w:w="1440"/>
      </w:tblGrid>
      <w:tr w:rsidR="006575CB" w:rsidRPr="00E20D21" w14:paraId="515A3D62" w14:textId="77777777" w:rsidTr="002A0A1C">
        <w:trPr>
          <w:trHeight w:val="283"/>
        </w:trPr>
        <w:tc>
          <w:tcPr>
            <w:tcW w:w="5000" w:type="pct"/>
            <w:gridSpan w:val="7"/>
            <w:tcBorders>
              <w:top w:val="single" w:sz="8" w:space="0" w:color="F79646"/>
              <w:left w:val="nil"/>
              <w:bottom w:val="single" w:sz="8" w:space="0" w:color="F79646"/>
              <w:right w:val="nil"/>
            </w:tcBorders>
            <w:shd w:val="clear" w:color="auto" w:fill="auto"/>
            <w:vAlign w:val="center"/>
            <w:hideMark/>
          </w:tcPr>
          <w:p w14:paraId="61A350A9"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INDIVIDUAL</w:t>
            </w:r>
          </w:p>
        </w:tc>
      </w:tr>
      <w:tr w:rsidR="006575CB" w:rsidRPr="00E20D21" w14:paraId="4C651F6B" w14:textId="77777777" w:rsidTr="002A0A1C">
        <w:trPr>
          <w:trHeight w:val="283"/>
        </w:trPr>
        <w:tc>
          <w:tcPr>
            <w:tcW w:w="1721" w:type="pct"/>
            <w:vMerge w:val="restart"/>
            <w:tcBorders>
              <w:top w:val="nil"/>
              <w:left w:val="nil"/>
              <w:bottom w:val="single" w:sz="8" w:space="0" w:color="F79646"/>
              <w:right w:val="nil"/>
            </w:tcBorders>
            <w:shd w:val="clear" w:color="auto" w:fill="auto"/>
            <w:vAlign w:val="center"/>
            <w:hideMark/>
          </w:tcPr>
          <w:p w14:paraId="0DF1B837"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Descrição</w:t>
            </w:r>
          </w:p>
        </w:tc>
        <w:tc>
          <w:tcPr>
            <w:tcW w:w="2785" w:type="pct"/>
            <w:gridSpan w:val="5"/>
            <w:tcBorders>
              <w:top w:val="single" w:sz="8" w:space="0" w:color="F79646"/>
              <w:left w:val="nil"/>
              <w:bottom w:val="single" w:sz="8" w:space="0" w:color="F79646"/>
              <w:right w:val="nil"/>
            </w:tcBorders>
            <w:shd w:val="clear" w:color="auto" w:fill="auto"/>
            <w:vAlign w:val="center"/>
            <w:hideMark/>
          </w:tcPr>
          <w:p w14:paraId="0D34C0C5"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30/06/2024</w:t>
            </w:r>
          </w:p>
        </w:tc>
        <w:tc>
          <w:tcPr>
            <w:tcW w:w="494" w:type="pct"/>
            <w:tcBorders>
              <w:top w:val="nil"/>
              <w:left w:val="nil"/>
              <w:bottom w:val="nil"/>
              <w:right w:val="nil"/>
            </w:tcBorders>
            <w:shd w:val="clear" w:color="auto" w:fill="auto"/>
            <w:vAlign w:val="center"/>
            <w:hideMark/>
          </w:tcPr>
          <w:p w14:paraId="3BD3EE2E"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31/12/2023</w:t>
            </w:r>
          </w:p>
        </w:tc>
      </w:tr>
      <w:tr w:rsidR="006575CB" w:rsidRPr="00E20D21" w14:paraId="5FB7A643" w14:textId="77777777" w:rsidTr="002A0A1C">
        <w:trPr>
          <w:trHeight w:val="283"/>
        </w:trPr>
        <w:tc>
          <w:tcPr>
            <w:tcW w:w="1721" w:type="pct"/>
            <w:vMerge/>
            <w:tcBorders>
              <w:top w:val="nil"/>
              <w:left w:val="nil"/>
              <w:bottom w:val="single" w:sz="8" w:space="0" w:color="F79646"/>
              <w:right w:val="nil"/>
            </w:tcBorders>
            <w:vAlign w:val="center"/>
            <w:hideMark/>
          </w:tcPr>
          <w:p w14:paraId="5E733B5D" w14:textId="77777777" w:rsidR="006575CB" w:rsidRPr="00E20D21" w:rsidRDefault="006575CB" w:rsidP="006575CB">
            <w:pPr>
              <w:rPr>
                <w:rFonts w:ascii="CAIXA Std Book" w:eastAsia="Times New Roman" w:hAnsi="CAIXA Std Book" w:cs="Arial"/>
                <w:b/>
                <w:bCs/>
                <w:color w:val="005CA9"/>
                <w:sz w:val="16"/>
                <w:szCs w:val="16"/>
              </w:rPr>
            </w:pPr>
          </w:p>
        </w:tc>
        <w:tc>
          <w:tcPr>
            <w:tcW w:w="659" w:type="pct"/>
            <w:tcBorders>
              <w:top w:val="nil"/>
              <w:left w:val="nil"/>
              <w:bottom w:val="single" w:sz="8" w:space="0" w:color="F79646"/>
              <w:right w:val="nil"/>
            </w:tcBorders>
            <w:shd w:val="clear" w:color="auto" w:fill="auto"/>
            <w:vAlign w:val="center"/>
            <w:hideMark/>
          </w:tcPr>
          <w:p w14:paraId="05B9436B"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Valor Patrimonial a Receber (Recebido)/ A Pagar (Pago)</w:t>
            </w:r>
          </w:p>
        </w:tc>
        <w:tc>
          <w:tcPr>
            <w:tcW w:w="557" w:type="pct"/>
            <w:tcBorders>
              <w:top w:val="nil"/>
              <w:left w:val="nil"/>
              <w:bottom w:val="single" w:sz="8" w:space="0" w:color="F79646"/>
              <w:right w:val="nil"/>
            </w:tcBorders>
            <w:shd w:val="clear" w:color="auto" w:fill="auto"/>
            <w:vAlign w:val="center"/>
            <w:hideMark/>
          </w:tcPr>
          <w:p w14:paraId="2F5C112D"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Ajuste ao Valor de Mercado no Resultado</w:t>
            </w:r>
          </w:p>
        </w:tc>
        <w:tc>
          <w:tcPr>
            <w:tcW w:w="557" w:type="pct"/>
            <w:tcBorders>
              <w:top w:val="nil"/>
              <w:left w:val="nil"/>
              <w:bottom w:val="nil"/>
              <w:right w:val="nil"/>
            </w:tcBorders>
            <w:shd w:val="clear" w:color="auto" w:fill="auto"/>
            <w:vAlign w:val="center"/>
            <w:hideMark/>
          </w:tcPr>
          <w:p w14:paraId="7A0BB2C0"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1 a 90 dias</w:t>
            </w:r>
          </w:p>
        </w:tc>
        <w:tc>
          <w:tcPr>
            <w:tcW w:w="505" w:type="pct"/>
            <w:tcBorders>
              <w:top w:val="nil"/>
              <w:left w:val="nil"/>
              <w:bottom w:val="single" w:sz="8" w:space="0" w:color="F79646"/>
              <w:right w:val="nil"/>
            </w:tcBorders>
            <w:shd w:val="clear" w:color="auto" w:fill="auto"/>
            <w:vAlign w:val="center"/>
            <w:hideMark/>
          </w:tcPr>
          <w:p w14:paraId="2DD573ED"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181 a 360 dias</w:t>
            </w:r>
          </w:p>
        </w:tc>
        <w:tc>
          <w:tcPr>
            <w:tcW w:w="507" w:type="pct"/>
            <w:tcBorders>
              <w:top w:val="nil"/>
              <w:left w:val="nil"/>
              <w:bottom w:val="nil"/>
              <w:right w:val="nil"/>
            </w:tcBorders>
            <w:shd w:val="clear" w:color="auto" w:fill="auto"/>
            <w:vAlign w:val="center"/>
            <w:hideMark/>
          </w:tcPr>
          <w:p w14:paraId="70CD0E75"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Valor Patrimonial</w:t>
            </w:r>
          </w:p>
        </w:tc>
        <w:tc>
          <w:tcPr>
            <w:tcW w:w="494" w:type="pct"/>
            <w:tcBorders>
              <w:top w:val="single" w:sz="8" w:space="0" w:color="F79646"/>
              <w:left w:val="nil"/>
              <w:bottom w:val="single" w:sz="8" w:space="0" w:color="F79646"/>
              <w:right w:val="nil"/>
            </w:tcBorders>
            <w:shd w:val="clear" w:color="auto" w:fill="auto"/>
            <w:vAlign w:val="center"/>
            <w:hideMark/>
          </w:tcPr>
          <w:p w14:paraId="05B083A9"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Valor Patrimonial</w:t>
            </w:r>
          </w:p>
        </w:tc>
      </w:tr>
      <w:tr w:rsidR="006575CB" w:rsidRPr="00E20D21" w14:paraId="6FBC77B7" w14:textId="77777777" w:rsidTr="002A0A1C">
        <w:trPr>
          <w:trHeight w:val="283"/>
        </w:trPr>
        <w:tc>
          <w:tcPr>
            <w:tcW w:w="5000" w:type="pct"/>
            <w:gridSpan w:val="7"/>
            <w:tcBorders>
              <w:top w:val="single" w:sz="8" w:space="0" w:color="F79646"/>
              <w:left w:val="nil"/>
              <w:bottom w:val="single" w:sz="8" w:space="0" w:color="F79646"/>
              <w:right w:val="nil"/>
            </w:tcBorders>
            <w:shd w:val="clear" w:color="auto" w:fill="auto"/>
            <w:noWrap/>
            <w:vAlign w:val="center"/>
            <w:hideMark/>
          </w:tcPr>
          <w:p w14:paraId="23723733" w14:textId="77777777" w:rsidR="006575CB" w:rsidRPr="00E20D21" w:rsidRDefault="006575CB"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Posição Ativa</w:t>
            </w:r>
          </w:p>
        </w:tc>
      </w:tr>
      <w:tr w:rsidR="006575CB" w:rsidRPr="00E20D21" w14:paraId="38F8F931" w14:textId="77777777" w:rsidTr="002A0A1C">
        <w:trPr>
          <w:trHeight w:val="283"/>
        </w:trPr>
        <w:tc>
          <w:tcPr>
            <w:tcW w:w="1721" w:type="pct"/>
            <w:tcBorders>
              <w:top w:val="nil"/>
              <w:left w:val="nil"/>
              <w:bottom w:val="nil"/>
              <w:right w:val="nil"/>
            </w:tcBorders>
            <w:shd w:val="clear" w:color="auto" w:fill="auto"/>
            <w:noWrap/>
            <w:vAlign w:val="center"/>
            <w:hideMark/>
          </w:tcPr>
          <w:p w14:paraId="2C499FAB" w14:textId="77777777" w:rsidR="006575CB" w:rsidRPr="00E20D21" w:rsidRDefault="006575CB" w:rsidP="006575CB">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Contratos de Swaps - Ajuste a Receber</w:t>
            </w:r>
          </w:p>
        </w:tc>
        <w:tc>
          <w:tcPr>
            <w:tcW w:w="659" w:type="pct"/>
            <w:tcBorders>
              <w:top w:val="nil"/>
              <w:left w:val="nil"/>
              <w:bottom w:val="nil"/>
              <w:right w:val="nil"/>
            </w:tcBorders>
            <w:shd w:val="clear" w:color="auto" w:fill="auto"/>
            <w:noWrap/>
            <w:vAlign w:val="center"/>
            <w:hideMark/>
          </w:tcPr>
          <w:p w14:paraId="1F7F2416" w14:textId="77777777" w:rsidR="006575CB" w:rsidRPr="00E20D21" w:rsidRDefault="006575CB" w:rsidP="006575CB">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6.936</w:t>
            </w:r>
          </w:p>
        </w:tc>
        <w:tc>
          <w:tcPr>
            <w:tcW w:w="557" w:type="pct"/>
            <w:tcBorders>
              <w:top w:val="nil"/>
              <w:left w:val="nil"/>
              <w:bottom w:val="nil"/>
              <w:right w:val="nil"/>
            </w:tcBorders>
            <w:shd w:val="clear" w:color="auto" w:fill="auto"/>
            <w:noWrap/>
            <w:vAlign w:val="center"/>
            <w:hideMark/>
          </w:tcPr>
          <w:p w14:paraId="6B9825F9" w14:textId="77777777" w:rsidR="006575CB" w:rsidRPr="00E20D21" w:rsidRDefault="006575CB" w:rsidP="006575CB">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312</w:t>
            </w:r>
          </w:p>
        </w:tc>
        <w:tc>
          <w:tcPr>
            <w:tcW w:w="557" w:type="pct"/>
            <w:tcBorders>
              <w:top w:val="nil"/>
              <w:left w:val="nil"/>
              <w:bottom w:val="nil"/>
              <w:right w:val="nil"/>
            </w:tcBorders>
            <w:shd w:val="clear" w:color="auto" w:fill="auto"/>
            <w:noWrap/>
            <w:vAlign w:val="center"/>
            <w:hideMark/>
          </w:tcPr>
          <w:p w14:paraId="46F5B452" w14:textId="77777777" w:rsidR="006575CB" w:rsidRPr="00E20D21" w:rsidRDefault="006575CB" w:rsidP="006575CB">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2.071</w:t>
            </w:r>
          </w:p>
        </w:tc>
        <w:tc>
          <w:tcPr>
            <w:tcW w:w="505" w:type="pct"/>
            <w:tcBorders>
              <w:top w:val="nil"/>
              <w:left w:val="nil"/>
              <w:bottom w:val="nil"/>
              <w:right w:val="nil"/>
            </w:tcBorders>
            <w:shd w:val="clear" w:color="auto" w:fill="auto"/>
            <w:noWrap/>
            <w:vAlign w:val="center"/>
            <w:hideMark/>
          </w:tcPr>
          <w:p w14:paraId="5B139929" w14:textId="77777777" w:rsidR="006575CB" w:rsidRPr="00E20D21" w:rsidRDefault="006575CB" w:rsidP="006575CB">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5.177</w:t>
            </w:r>
          </w:p>
        </w:tc>
        <w:tc>
          <w:tcPr>
            <w:tcW w:w="507" w:type="pct"/>
            <w:tcBorders>
              <w:top w:val="nil"/>
              <w:left w:val="nil"/>
              <w:bottom w:val="nil"/>
              <w:right w:val="nil"/>
            </w:tcBorders>
            <w:shd w:val="clear" w:color="auto" w:fill="auto"/>
            <w:noWrap/>
            <w:vAlign w:val="center"/>
            <w:hideMark/>
          </w:tcPr>
          <w:p w14:paraId="19E79EE7" w14:textId="77777777" w:rsidR="006575CB" w:rsidRPr="00E20D21" w:rsidRDefault="006575CB" w:rsidP="006575CB">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7.248</w:t>
            </w:r>
          </w:p>
        </w:tc>
        <w:tc>
          <w:tcPr>
            <w:tcW w:w="494" w:type="pct"/>
            <w:tcBorders>
              <w:top w:val="nil"/>
              <w:left w:val="nil"/>
              <w:bottom w:val="nil"/>
              <w:right w:val="nil"/>
            </w:tcBorders>
            <w:shd w:val="clear" w:color="auto" w:fill="auto"/>
            <w:noWrap/>
            <w:vAlign w:val="center"/>
            <w:hideMark/>
          </w:tcPr>
          <w:p w14:paraId="65C7B1B2" w14:textId="77777777" w:rsidR="006575CB" w:rsidRPr="00E20D21" w:rsidRDefault="006575CB" w:rsidP="006575CB">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163.206</w:t>
            </w:r>
          </w:p>
        </w:tc>
      </w:tr>
      <w:tr w:rsidR="006575CB" w:rsidRPr="00E20D21" w14:paraId="3A5D24F0" w14:textId="77777777" w:rsidTr="002A0A1C">
        <w:trPr>
          <w:trHeight w:val="283"/>
        </w:trPr>
        <w:tc>
          <w:tcPr>
            <w:tcW w:w="1721" w:type="pct"/>
            <w:tcBorders>
              <w:top w:val="nil"/>
              <w:left w:val="nil"/>
              <w:bottom w:val="single" w:sz="8" w:space="0" w:color="F79646"/>
              <w:right w:val="nil"/>
            </w:tcBorders>
            <w:shd w:val="clear" w:color="auto" w:fill="auto"/>
            <w:vAlign w:val="center"/>
            <w:hideMark/>
          </w:tcPr>
          <w:p w14:paraId="427CAC7C" w14:textId="77777777" w:rsidR="006575CB" w:rsidRPr="00E20D21" w:rsidRDefault="006575CB" w:rsidP="006575C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Índices/B3 </w:t>
            </w:r>
          </w:p>
        </w:tc>
        <w:tc>
          <w:tcPr>
            <w:tcW w:w="659" w:type="pct"/>
            <w:tcBorders>
              <w:top w:val="nil"/>
              <w:left w:val="nil"/>
              <w:bottom w:val="single" w:sz="8" w:space="0" w:color="F79646"/>
              <w:right w:val="nil"/>
            </w:tcBorders>
            <w:shd w:val="clear" w:color="auto" w:fill="auto"/>
            <w:noWrap/>
            <w:vAlign w:val="center"/>
            <w:hideMark/>
          </w:tcPr>
          <w:p w14:paraId="43F1E92A" w14:textId="77777777" w:rsidR="006575CB" w:rsidRPr="00E20D21" w:rsidRDefault="006575CB" w:rsidP="006575C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6.936</w:t>
            </w:r>
          </w:p>
        </w:tc>
        <w:tc>
          <w:tcPr>
            <w:tcW w:w="557" w:type="pct"/>
            <w:tcBorders>
              <w:top w:val="nil"/>
              <w:left w:val="nil"/>
              <w:bottom w:val="single" w:sz="8" w:space="0" w:color="F79646"/>
              <w:right w:val="nil"/>
            </w:tcBorders>
            <w:shd w:val="clear" w:color="auto" w:fill="auto"/>
            <w:noWrap/>
            <w:vAlign w:val="center"/>
            <w:hideMark/>
          </w:tcPr>
          <w:p w14:paraId="328ABB1D" w14:textId="77777777" w:rsidR="006575CB" w:rsidRPr="00E20D21" w:rsidRDefault="006575CB" w:rsidP="006575C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312</w:t>
            </w:r>
          </w:p>
        </w:tc>
        <w:tc>
          <w:tcPr>
            <w:tcW w:w="557" w:type="pct"/>
            <w:tcBorders>
              <w:top w:val="nil"/>
              <w:left w:val="nil"/>
              <w:bottom w:val="single" w:sz="8" w:space="0" w:color="F79646"/>
              <w:right w:val="nil"/>
            </w:tcBorders>
            <w:shd w:val="clear" w:color="auto" w:fill="auto"/>
            <w:noWrap/>
            <w:vAlign w:val="center"/>
            <w:hideMark/>
          </w:tcPr>
          <w:p w14:paraId="0F390C9F" w14:textId="77777777" w:rsidR="006575CB" w:rsidRPr="00E20D21" w:rsidRDefault="006575CB" w:rsidP="006575C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2.071</w:t>
            </w:r>
          </w:p>
        </w:tc>
        <w:tc>
          <w:tcPr>
            <w:tcW w:w="505" w:type="pct"/>
            <w:tcBorders>
              <w:top w:val="nil"/>
              <w:left w:val="nil"/>
              <w:bottom w:val="single" w:sz="8" w:space="0" w:color="F79646"/>
              <w:right w:val="nil"/>
            </w:tcBorders>
            <w:shd w:val="clear" w:color="auto" w:fill="auto"/>
            <w:noWrap/>
            <w:vAlign w:val="center"/>
            <w:hideMark/>
          </w:tcPr>
          <w:p w14:paraId="1AA5F55F" w14:textId="77777777" w:rsidR="006575CB" w:rsidRPr="00E20D21" w:rsidRDefault="006575CB" w:rsidP="006575C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5.177</w:t>
            </w:r>
          </w:p>
        </w:tc>
        <w:tc>
          <w:tcPr>
            <w:tcW w:w="507" w:type="pct"/>
            <w:tcBorders>
              <w:top w:val="nil"/>
              <w:left w:val="nil"/>
              <w:bottom w:val="nil"/>
              <w:right w:val="nil"/>
            </w:tcBorders>
            <w:shd w:val="clear" w:color="auto" w:fill="auto"/>
            <w:noWrap/>
            <w:vAlign w:val="center"/>
            <w:hideMark/>
          </w:tcPr>
          <w:p w14:paraId="6BC30D88" w14:textId="77777777" w:rsidR="006575CB" w:rsidRPr="00E20D21" w:rsidRDefault="006575CB" w:rsidP="006575C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7.248</w:t>
            </w:r>
          </w:p>
        </w:tc>
        <w:tc>
          <w:tcPr>
            <w:tcW w:w="494" w:type="pct"/>
            <w:tcBorders>
              <w:top w:val="nil"/>
              <w:left w:val="nil"/>
              <w:bottom w:val="single" w:sz="8" w:space="0" w:color="F79646"/>
              <w:right w:val="nil"/>
            </w:tcBorders>
            <w:shd w:val="clear" w:color="auto" w:fill="auto"/>
            <w:noWrap/>
            <w:vAlign w:val="center"/>
            <w:hideMark/>
          </w:tcPr>
          <w:p w14:paraId="34EB1A4F" w14:textId="77777777" w:rsidR="006575CB" w:rsidRPr="00E20D21" w:rsidRDefault="006575CB" w:rsidP="006575C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163.206</w:t>
            </w:r>
          </w:p>
        </w:tc>
      </w:tr>
      <w:tr w:rsidR="006575CB" w:rsidRPr="00E20D21" w14:paraId="7B58A6BE" w14:textId="77777777" w:rsidTr="002A0A1C">
        <w:trPr>
          <w:trHeight w:val="283"/>
        </w:trPr>
        <w:tc>
          <w:tcPr>
            <w:tcW w:w="1721" w:type="pct"/>
            <w:tcBorders>
              <w:top w:val="nil"/>
              <w:left w:val="nil"/>
              <w:bottom w:val="nil"/>
              <w:right w:val="nil"/>
            </w:tcBorders>
            <w:shd w:val="clear" w:color="auto" w:fill="auto"/>
            <w:noWrap/>
            <w:vAlign w:val="center"/>
            <w:hideMark/>
          </w:tcPr>
          <w:p w14:paraId="225ED5AB" w14:textId="77777777" w:rsidR="006575CB" w:rsidRPr="00E20D21" w:rsidRDefault="006575CB" w:rsidP="006575CB">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Ativo circulante</w:t>
            </w:r>
          </w:p>
        </w:tc>
        <w:tc>
          <w:tcPr>
            <w:tcW w:w="659" w:type="pct"/>
            <w:tcBorders>
              <w:top w:val="nil"/>
              <w:left w:val="nil"/>
              <w:bottom w:val="nil"/>
              <w:right w:val="nil"/>
            </w:tcBorders>
            <w:shd w:val="clear" w:color="auto" w:fill="auto"/>
            <w:noWrap/>
            <w:vAlign w:val="center"/>
            <w:hideMark/>
          </w:tcPr>
          <w:p w14:paraId="2B37C9BA" w14:textId="77777777" w:rsidR="006575CB" w:rsidRPr="00E20D21" w:rsidRDefault="006575CB" w:rsidP="006575CB">
            <w:pPr>
              <w:rPr>
                <w:rFonts w:ascii="CAIXA Std Book" w:eastAsia="Times New Roman" w:hAnsi="CAIXA Std Book" w:cs="Arial"/>
                <w:color w:val="005CA9"/>
                <w:sz w:val="16"/>
                <w:szCs w:val="16"/>
              </w:rPr>
            </w:pPr>
          </w:p>
        </w:tc>
        <w:tc>
          <w:tcPr>
            <w:tcW w:w="557" w:type="pct"/>
            <w:tcBorders>
              <w:top w:val="nil"/>
              <w:left w:val="nil"/>
              <w:bottom w:val="nil"/>
              <w:right w:val="nil"/>
            </w:tcBorders>
            <w:shd w:val="clear" w:color="auto" w:fill="auto"/>
            <w:noWrap/>
            <w:vAlign w:val="center"/>
            <w:hideMark/>
          </w:tcPr>
          <w:p w14:paraId="1642BEC9" w14:textId="77777777" w:rsidR="006575CB" w:rsidRPr="00E20D21" w:rsidRDefault="006575CB" w:rsidP="006575CB">
            <w:pPr>
              <w:jc w:val="right"/>
              <w:rPr>
                <w:rFonts w:ascii="CAIXA Std Book" w:eastAsia="Times New Roman" w:hAnsi="CAIXA Std Book" w:cs="Arial"/>
                <w:color w:val="005CA9"/>
                <w:sz w:val="16"/>
                <w:szCs w:val="16"/>
              </w:rPr>
            </w:pPr>
          </w:p>
        </w:tc>
        <w:tc>
          <w:tcPr>
            <w:tcW w:w="557" w:type="pct"/>
            <w:tcBorders>
              <w:top w:val="nil"/>
              <w:left w:val="nil"/>
              <w:bottom w:val="nil"/>
              <w:right w:val="nil"/>
            </w:tcBorders>
            <w:shd w:val="clear" w:color="auto" w:fill="auto"/>
            <w:vAlign w:val="center"/>
            <w:hideMark/>
          </w:tcPr>
          <w:p w14:paraId="199DF32C" w14:textId="77777777" w:rsidR="006575CB" w:rsidRPr="00E20D21" w:rsidRDefault="006575CB" w:rsidP="006575CB">
            <w:pPr>
              <w:jc w:val="right"/>
              <w:rPr>
                <w:rFonts w:ascii="CAIXA Std Book" w:eastAsia="Times New Roman" w:hAnsi="CAIXA Std Book" w:cs="Arial"/>
                <w:color w:val="005CA9"/>
                <w:sz w:val="16"/>
                <w:szCs w:val="16"/>
              </w:rPr>
            </w:pPr>
          </w:p>
        </w:tc>
        <w:tc>
          <w:tcPr>
            <w:tcW w:w="505" w:type="pct"/>
            <w:tcBorders>
              <w:top w:val="nil"/>
              <w:left w:val="nil"/>
              <w:bottom w:val="nil"/>
              <w:right w:val="nil"/>
            </w:tcBorders>
            <w:shd w:val="clear" w:color="auto" w:fill="auto"/>
            <w:noWrap/>
            <w:vAlign w:val="center"/>
            <w:hideMark/>
          </w:tcPr>
          <w:p w14:paraId="5B86A3C4" w14:textId="77777777" w:rsidR="006575CB" w:rsidRPr="00E20D21" w:rsidRDefault="006575CB" w:rsidP="006575CB">
            <w:pPr>
              <w:jc w:val="right"/>
              <w:rPr>
                <w:rFonts w:ascii="CAIXA Std Book" w:eastAsia="Times New Roman" w:hAnsi="CAIXA Std Book" w:cs="Arial"/>
                <w:color w:val="005CA9"/>
                <w:sz w:val="16"/>
                <w:szCs w:val="16"/>
              </w:rPr>
            </w:pPr>
          </w:p>
        </w:tc>
        <w:tc>
          <w:tcPr>
            <w:tcW w:w="507" w:type="pct"/>
            <w:tcBorders>
              <w:top w:val="single" w:sz="8" w:space="0" w:color="F79646"/>
              <w:left w:val="nil"/>
              <w:bottom w:val="nil"/>
              <w:right w:val="nil"/>
            </w:tcBorders>
            <w:shd w:val="clear" w:color="auto" w:fill="auto"/>
            <w:noWrap/>
            <w:vAlign w:val="center"/>
            <w:hideMark/>
          </w:tcPr>
          <w:p w14:paraId="57458CAA" w14:textId="77777777" w:rsidR="006575CB" w:rsidRPr="00E20D21" w:rsidRDefault="006575CB" w:rsidP="006575C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7.248</w:t>
            </w:r>
          </w:p>
        </w:tc>
        <w:tc>
          <w:tcPr>
            <w:tcW w:w="494" w:type="pct"/>
            <w:tcBorders>
              <w:top w:val="nil"/>
              <w:left w:val="nil"/>
              <w:bottom w:val="nil"/>
              <w:right w:val="nil"/>
            </w:tcBorders>
            <w:shd w:val="clear" w:color="auto" w:fill="auto"/>
            <w:noWrap/>
            <w:vAlign w:val="center"/>
            <w:hideMark/>
          </w:tcPr>
          <w:p w14:paraId="22323645" w14:textId="77777777" w:rsidR="006575CB" w:rsidRPr="00E20D21" w:rsidRDefault="006575CB" w:rsidP="006575C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157.809</w:t>
            </w:r>
          </w:p>
        </w:tc>
      </w:tr>
      <w:tr w:rsidR="006575CB" w:rsidRPr="00E20D21" w14:paraId="69C90100" w14:textId="77777777" w:rsidTr="002A0A1C">
        <w:trPr>
          <w:trHeight w:val="283"/>
        </w:trPr>
        <w:tc>
          <w:tcPr>
            <w:tcW w:w="1721" w:type="pct"/>
            <w:tcBorders>
              <w:top w:val="nil"/>
              <w:left w:val="nil"/>
              <w:bottom w:val="single" w:sz="8" w:space="0" w:color="F79646"/>
              <w:right w:val="nil"/>
            </w:tcBorders>
            <w:shd w:val="clear" w:color="auto" w:fill="auto"/>
            <w:noWrap/>
            <w:vAlign w:val="center"/>
            <w:hideMark/>
          </w:tcPr>
          <w:p w14:paraId="1301B146" w14:textId="77777777" w:rsidR="006575CB" w:rsidRPr="00E20D21" w:rsidRDefault="006575CB" w:rsidP="006575CB">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Ativo não circulante</w:t>
            </w:r>
          </w:p>
        </w:tc>
        <w:tc>
          <w:tcPr>
            <w:tcW w:w="659" w:type="pct"/>
            <w:tcBorders>
              <w:top w:val="nil"/>
              <w:left w:val="nil"/>
              <w:bottom w:val="single" w:sz="8" w:space="0" w:color="F79646"/>
              <w:right w:val="nil"/>
            </w:tcBorders>
            <w:shd w:val="clear" w:color="auto" w:fill="auto"/>
            <w:noWrap/>
            <w:vAlign w:val="center"/>
            <w:hideMark/>
          </w:tcPr>
          <w:p w14:paraId="42FA93C9" w14:textId="6C7C775C" w:rsidR="006575CB" w:rsidRPr="00E20D21" w:rsidRDefault="006575CB" w:rsidP="00B04DD6">
            <w:pPr>
              <w:jc w:val="right"/>
              <w:rPr>
                <w:rFonts w:ascii="CAIXA Std Book" w:eastAsia="Times New Roman" w:hAnsi="CAIXA Std Book" w:cs="Arial"/>
                <w:color w:val="005CA9"/>
                <w:sz w:val="16"/>
                <w:szCs w:val="16"/>
              </w:rPr>
            </w:pPr>
          </w:p>
        </w:tc>
        <w:tc>
          <w:tcPr>
            <w:tcW w:w="557" w:type="pct"/>
            <w:tcBorders>
              <w:top w:val="nil"/>
              <w:left w:val="nil"/>
              <w:bottom w:val="single" w:sz="8" w:space="0" w:color="F79646"/>
              <w:right w:val="nil"/>
            </w:tcBorders>
            <w:shd w:val="clear" w:color="auto" w:fill="auto"/>
            <w:noWrap/>
            <w:vAlign w:val="center"/>
            <w:hideMark/>
          </w:tcPr>
          <w:p w14:paraId="22045931" w14:textId="7DFBE53A" w:rsidR="006575CB" w:rsidRPr="00E20D21" w:rsidRDefault="006575CB" w:rsidP="00B04DD6">
            <w:pPr>
              <w:jc w:val="right"/>
              <w:rPr>
                <w:rFonts w:ascii="CAIXA Std Book" w:eastAsia="Times New Roman" w:hAnsi="CAIXA Std Book" w:cs="Arial"/>
                <w:color w:val="005CA9"/>
                <w:sz w:val="16"/>
                <w:szCs w:val="16"/>
              </w:rPr>
            </w:pPr>
          </w:p>
        </w:tc>
        <w:tc>
          <w:tcPr>
            <w:tcW w:w="557" w:type="pct"/>
            <w:tcBorders>
              <w:top w:val="nil"/>
              <w:left w:val="nil"/>
              <w:bottom w:val="single" w:sz="8" w:space="0" w:color="F79646"/>
              <w:right w:val="nil"/>
            </w:tcBorders>
            <w:shd w:val="clear" w:color="auto" w:fill="auto"/>
            <w:vAlign w:val="center"/>
            <w:hideMark/>
          </w:tcPr>
          <w:p w14:paraId="1BDE781B" w14:textId="4395D5FC" w:rsidR="006575CB" w:rsidRPr="00E20D21" w:rsidRDefault="006575CB" w:rsidP="00B04DD6">
            <w:pPr>
              <w:jc w:val="right"/>
              <w:rPr>
                <w:rFonts w:ascii="CAIXA Std Book" w:eastAsia="Times New Roman" w:hAnsi="CAIXA Std Book" w:cs="Arial"/>
                <w:color w:val="005CA9"/>
                <w:sz w:val="16"/>
                <w:szCs w:val="16"/>
              </w:rPr>
            </w:pPr>
          </w:p>
        </w:tc>
        <w:tc>
          <w:tcPr>
            <w:tcW w:w="505" w:type="pct"/>
            <w:tcBorders>
              <w:top w:val="nil"/>
              <w:left w:val="nil"/>
              <w:bottom w:val="single" w:sz="8" w:space="0" w:color="F79646"/>
              <w:right w:val="nil"/>
            </w:tcBorders>
            <w:shd w:val="clear" w:color="auto" w:fill="auto"/>
            <w:noWrap/>
            <w:vAlign w:val="center"/>
            <w:hideMark/>
          </w:tcPr>
          <w:p w14:paraId="40B26C57" w14:textId="663EFE62" w:rsidR="006575CB" w:rsidRPr="00E20D21" w:rsidRDefault="006575CB" w:rsidP="00B04DD6">
            <w:pPr>
              <w:jc w:val="right"/>
              <w:rPr>
                <w:rFonts w:ascii="CAIXA Std Book" w:eastAsia="Times New Roman" w:hAnsi="CAIXA Std Book" w:cs="Arial"/>
                <w:color w:val="005CA9"/>
                <w:sz w:val="16"/>
                <w:szCs w:val="16"/>
              </w:rPr>
            </w:pPr>
          </w:p>
        </w:tc>
        <w:tc>
          <w:tcPr>
            <w:tcW w:w="507" w:type="pct"/>
            <w:tcBorders>
              <w:top w:val="nil"/>
              <w:left w:val="nil"/>
              <w:bottom w:val="single" w:sz="8" w:space="0" w:color="F79646"/>
              <w:right w:val="nil"/>
            </w:tcBorders>
            <w:shd w:val="clear" w:color="auto" w:fill="auto"/>
            <w:noWrap/>
            <w:vAlign w:val="center"/>
            <w:hideMark/>
          </w:tcPr>
          <w:p w14:paraId="17F318DB" w14:textId="1ACAADDB" w:rsidR="006575CB" w:rsidRPr="00E20D21" w:rsidRDefault="00B04DD6" w:rsidP="00B04DD6">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94" w:type="pct"/>
            <w:tcBorders>
              <w:top w:val="nil"/>
              <w:left w:val="nil"/>
              <w:bottom w:val="single" w:sz="8" w:space="0" w:color="F79646"/>
              <w:right w:val="nil"/>
            </w:tcBorders>
            <w:shd w:val="clear" w:color="auto" w:fill="auto"/>
            <w:noWrap/>
            <w:vAlign w:val="center"/>
            <w:hideMark/>
          </w:tcPr>
          <w:p w14:paraId="640D3577" w14:textId="77777777" w:rsidR="006575CB" w:rsidRPr="00E20D21" w:rsidRDefault="006575CB" w:rsidP="006575CB">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5.397</w:t>
            </w:r>
          </w:p>
        </w:tc>
      </w:tr>
    </w:tbl>
    <w:p w14:paraId="1027CC28" w14:textId="77777777" w:rsidR="00CE25EB" w:rsidRPr="00E20D21" w:rsidRDefault="00CE25EB" w:rsidP="00703CEA">
      <w:pPr>
        <w:tabs>
          <w:tab w:val="left" w:pos="1650"/>
        </w:tabs>
        <w:jc w:val="both"/>
        <w:rPr>
          <w:rFonts w:ascii="CAIXA Std Book" w:hAnsi="CAIXA Std Book"/>
          <w:b/>
          <w:color w:val="005CA9"/>
          <w:sz w:val="16"/>
          <w:szCs w:val="16"/>
        </w:rPr>
      </w:pPr>
    </w:p>
    <w:p w14:paraId="361403E8" w14:textId="77777777" w:rsidR="006B5697" w:rsidRPr="00E20D21" w:rsidRDefault="006B5697" w:rsidP="00703CEA">
      <w:pPr>
        <w:tabs>
          <w:tab w:val="left" w:pos="1650"/>
        </w:tabs>
        <w:jc w:val="both"/>
        <w:rPr>
          <w:rFonts w:ascii="CAIXA Std Book" w:hAnsi="CAIXA Std Book"/>
          <w:b/>
          <w:color w:val="005CA9"/>
          <w:sz w:val="16"/>
          <w:szCs w:val="16"/>
        </w:rPr>
      </w:pPr>
    </w:p>
    <w:p w14:paraId="06C7AC0A" w14:textId="77777777" w:rsidR="006B5697" w:rsidRPr="00E20D21" w:rsidRDefault="006B5697" w:rsidP="00703CEA">
      <w:pPr>
        <w:tabs>
          <w:tab w:val="left" w:pos="1650"/>
        </w:tabs>
        <w:jc w:val="both"/>
        <w:rPr>
          <w:rFonts w:ascii="CAIXA Std Book" w:hAnsi="CAIXA Std Book"/>
          <w:b/>
          <w:color w:val="005CA9"/>
          <w:sz w:val="16"/>
          <w:szCs w:val="16"/>
        </w:rPr>
      </w:pPr>
    </w:p>
    <w:tbl>
      <w:tblPr>
        <w:tblW w:w="5000" w:type="pct"/>
        <w:tblCellMar>
          <w:left w:w="70" w:type="dxa"/>
          <w:right w:w="70" w:type="dxa"/>
        </w:tblCellMar>
        <w:tblLook w:val="04A0" w:firstRow="1" w:lastRow="0" w:firstColumn="1" w:lastColumn="0" w:noHBand="0" w:noVBand="1"/>
      </w:tblPr>
      <w:tblGrid>
        <w:gridCol w:w="4675"/>
        <w:gridCol w:w="1986"/>
        <w:gridCol w:w="1417"/>
        <w:gridCol w:w="1233"/>
        <w:gridCol w:w="1177"/>
        <w:gridCol w:w="1276"/>
        <w:gridCol w:w="1373"/>
        <w:gridCol w:w="1434"/>
      </w:tblGrid>
      <w:tr w:rsidR="00953ADD" w:rsidRPr="00E20D21" w14:paraId="1974E5F6" w14:textId="77777777" w:rsidTr="00125BF5">
        <w:trPr>
          <w:trHeight w:val="283"/>
        </w:trPr>
        <w:tc>
          <w:tcPr>
            <w:tcW w:w="4999" w:type="pct"/>
            <w:gridSpan w:val="8"/>
            <w:tcBorders>
              <w:top w:val="single" w:sz="8" w:space="0" w:color="F79646"/>
              <w:left w:val="nil"/>
              <w:bottom w:val="single" w:sz="8" w:space="0" w:color="F79646"/>
              <w:right w:val="nil"/>
            </w:tcBorders>
            <w:shd w:val="clear" w:color="auto" w:fill="auto"/>
            <w:vAlign w:val="center"/>
            <w:hideMark/>
          </w:tcPr>
          <w:p w14:paraId="3FBEE571" w14:textId="1E89AE0B" w:rsidR="00953ADD" w:rsidRPr="00E20D21" w:rsidRDefault="00953ADD" w:rsidP="00953AD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CONSOLIDADO</w:t>
            </w:r>
          </w:p>
        </w:tc>
      </w:tr>
      <w:tr w:rsidR="00953ADD" w:rsidRPr="00E20D21" w14:paraId="24BF45D6" w14:textId="77777777" w:rsidTr="00125BF5">
        <w:trPr>
          <w:trHeight w:val="283"/>
        </w:trPr>
        <w:tc>
          <w:tcPr>
            <w:tcW w:w="1604" w:type="pct"/>
            <w:vMerge w:val="restart"/>
            <w:tcBorders>
              <w:top w:val="nil"/>
              <w:left w:val="nil"/>
              <w:bottom w:val="single" w:sz="8" w:space="0" w:color="F79646"/>
              <w:right w:val="nil"/>
            </w:tcBorders>
            <w:shd w:val="clear" w:color="auto" w:fill="auto"/>
            <w:vAlign w:val="center"/>
            <w:hideMark/>
          </w:tcPr>
          <w:p w14:paraId="34A6D3E7" w14:textId="77777777" w:rsidR="00953ADD" w:rsidRPr="00E20D21" w:rsidRDefault="00953ADD" w:rsidP="00953AD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Descrição</w:t>
            </w:r>
          </w:p>
        </w:tc>
        <w:tc>
          <w:tcPr>
            <w:tcW w:w="2902" w:type="pct"/>
            <w:gridSpan w:val="6"/>
            <w:tcBorders>
              <w:top w:val="single" w:sz="8" w:space="0" w:color="F79646"/>
              <w:left w:val="nil"/>
              <w:bottom w:val="single" w:sz="8" w:space="0" w:color="F79646"/>
              <w:right w:val="nil"/>
            </w:tcBorders>
            <w:shd w:val="clear" w:color="auto" w:fill="auto"/>
            <w:vAlign w:val="center"/>
            <w:hideMark/>
          </w:tcPr>
          <w:p w14:paraId="7F1C0DF8" w14:textId="77777777" w:rsidR="00953ADD" w:rsidRPr="00E20D21" w:rsidRDefault="00953ADD" w:rsidP="00953AD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30/06/2024</w:t>
            </w:r>
          </w:p>
        </w:tc>
        <w:tc>
          <w:tcPr>
            <w:tcW w:w="492" w:type="pct"/>
            <w:tcBorders>
              <w:top w:val="nil"/>
              <w:left w:val="nil"/>
              <w:bottom w:val="single" w:sz="8" w:space="0" w:color="F79646"/>
              <w:right w:val="nil"/>
            </w:tcBorders>
            <w:shd w:val="clear" w:color="auto" w:fill="auto"/>
            <w:vAlign w:val="center"/>
            <w:hideMark/>
          </w:tcPr>
          <w:p w14:paraId="7250E71D" w14:textId="77777777" w:rsidR="00953ADD" w:rsidRPr="00E20D21" w:rsidRDefault="00953ADD" w:rsidP="006575CB">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31/12/2023</w:t>
            </w:r>
          </w:p>
        </w:tc>
      </w:tr>
      <w:tr w:rsidR="00953ADD" w:rsidRPr="00E20D21" w14:paraId="0000E313" w14:textId="77777777" w:rsidTr="00125BF5">
        <w:trPr>
          <w:trHeight w:val="283"/>
        </w:trPr>
        <w:tc>
          <w:tcPr>
            <w:tcW w:w="1604" w:type="pct"/>
            <w:vMerge/>
            <w:tcBorders>
              <w:top w:val="nil"/>
              <w:left w:val="nil"/>
              <w:bottom w:val="single" w:sz="8" w:space="0" w:color="F79646"/>
              <w:right w:val="nil"/>
            </w:tcBorders>
            <w:vAlign w:val="center"/>
            <w:hideMark/>
          </w:tcPr>
          <w:p w14:paraId="58E6F7C9" w14:textId="77777777" w:rsidR="00953ADD" w:rsidRPr="00E20D21" w:rsidRDefault="00953ADD" w:rsidP="00953ADD">
            <w:pPr>
              <w:rPr>
                <w:rFonts w:ascii="CAIXA Std Book" w:eastAsia="Times New Roman" w:hAnsi="CAIXA Std Book" w:cs="Arial"/>
                <w:b/>
                <w:bCs/>
                <w:color w:val="005CA9"/>
                <w:sz w:val="16"/>
                <w:szCs w:val="16"/>
              </w:rPr>
            </w:pPr>
          </w:p>
        </w:tc>
        <w:tc>
          <w:tcPr>
            <w:tcW w:w="681" w:type="pct"/>
            <w:tcBorders>
              <w:top w:val="nil"/>
              <w:left w:val="nil"/>
              <w:bottom w:val="single" w:sz="8" w:space="0" w:color="F79646"/>
              <w:right w:val="nil"/>
            </w:tcBorders>
            <w:shd w:val="clear" w:color="auto" w:fill="auto"/>
            <w:vAlign w:val="center"/>
            <w:hideMark/>
          </w:tcPr>
          <w:p w14:paraId="2FBCBA14" w14:textId="77777777" w:rsidR="00953ADD" w:rsidRPr="00E20D21" w:rsidRDefault="00953ADD" w:rsidP="00953AD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Valor Patrimonial a Receber (Recebido)/ A Pagar (Pago)</w:t>
            </w:r>
          </w:p>
        </w:tc>
        <w:tc>
          <w:tcPr>
            <w:tcW w:w="486" w:type="pct"/>
            <w:tcBorders>
              <w:top w:val="nil"/>
              <w:left w:val="nil"/>
              <w:bottom w:val="single" w:sz="8" w:space="0" w:color="F79646"/>
              <w:right w:val="nil"/>
            </w:tcBorders>
            <w:shd w:val="clear" w:color="auto" w:fill="auto"/>
            <w:vAlign w:val="center"/>
            <w:hideMark/>
          </w:tcPr>
          <w:p w14:paraId="763B65DB" w14:textId="77777777" w:rsidR="00953ADD" w:rsidRPr="00E20D21" w:rsidRDefault="00953ADD" w:rsidP="00953AD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Ajuste ao Valor de Mercado no Resultado</w:t>
            </w:r>
          </w:p>
        </w:tc>
        <w:tc>
          <w:tcPr>
            <w:tcW w:w="423" w:type="pct"/>
            <w:tcBorders>
              <w:top w:val="nil"/>
              <w:left w:val="nil"/>
              <w:bottom w:val="single" w:sz="8" w:space="0" w:color="F79646"/>
              <w:right w:val="nil"/>
            </w:tcBorders>
            <w:shd w:val="clear" w:color="auto" w:fill="auto"/>
            <w:vAlign w:val="center"/>
            <w:hideMark/>
          </w:tcPr>
          <w:p w14:paraId="5FBF8588" w14:textId="77777777" w:rsidR="00953ADD" w:rsidRPr="00E20D21" w:rsidRDefault="00953ADD" w:rsidP="00A83C1A">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1 a 90 dias</w:t>
            </w:r>
          </w:p>
        </w:tc>
        <w:tc>
          <w:tcPr>
            <w:tcW w:w="404" w:type="pct"/>
            <w:tcBorders>
              <w:top w:val="nil"/>
              <w:left w:val="nil"/>
              <w:bottom w:val="single" w:sz="8" w:space="0" w:color="F79646"/>
              <w:right w:val="nil"/>
            </w:tcBorders>
            <w:shd w:val="clear" w:color="auto" w:fill="auto"/>
            <w:vAlign w:val="center"/>
            <w:hideMark/>
          </w:tcPr>
          <w:p w14:paraId="51729FBA" w14:textId="77777777" w:rsidR="00953ADD" w:rsidRPr="00E20D21" w:rsidRDefault="00953ADD" w:rsidP="00A83C1A">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91 a 180 dias</w:t>
            </w:r>
          </w:p>
        </w:tc>
        <w:tc>
          <w:tcPr>
            <w:tcW w:w="438" w:type="pct"/>
            <w:tcBorders>
              <w:top w:val="nil"/>
              <w:left w:val="nil"/>
              <w:bottom w:val="single" w:sz="8" w:space="0" w:color="F79646"/>
              <w:right w:val="nil"/>
            </w:tcBorders>
            <w:shd w:val="clear" w:color="auto" w:fill="auto"/>
            <w:vAlign w:val="center"/>
            <w:hideMark/>
          </w:tcPr>
          <w:p w14:paraId="35667CEF" w14:textId="77777777" w:rsidR="00953ADD" w:rsidRPr="00E20D21" w:rsidRDefault="00953ADD" w:rsidP="00A83C1A">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181 a 360 dias</w:t>
            </w:r>
          </w:p>
        </w:tc>
        <w:tc>
          <w:tcPr>
            <w:tcW w:w="471" w:type="pct"/>
            <w:tcBorders>
              <w:top w:val="nil"/>
              <w:left w:val="nil"/>
              <w:bottom w:val="single" w:sz="8" w:space="0" w:color="F79646"/>
              <w:right w:val="nil"/>
            </w:tcBorders>
            <w:shd w:val="clear" w:color="auto" w:fill="auto"/>
            <w:vAlign w:val="center"/>
            <w:hideMark/>
          </w:tcPr>
          <w:p w14:paraId="37D3B8E9" w14:textId="77777777" w:rsidR="00953ADD" w:rsidRPr="00E20D21" w:rsidRDefault="00953ADD" w:rsidP="00A83C1A">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Valor Patrimonial</w:t>
            </w:r>
          </w:p>
        </w:tc>
        <w:tc>
          <w:tcPr>
            <w:tcW w:w="492" w:type="pct"/>
            <w:tcBorders>
              <w:top w:val="nil"/>
              <w:left w:val="nil"/>
              <w:bottom w:val="single" w:sz="8" w:space="0" w:color="F79646"/>
              <w:right w:val="nil"/>
            </w:tcBorders>
            <w:shd w:val="clear" w:color="auto" w:fill="auto"/>
            <w:vAlign w:val="center"/>
            <w:hideMark/>
          </w:tcPr>
          <w:p w14:paraId="5069A58D" w14:textId="77777777" w:rsidR="00953ADD" w:rsidRPr="00E20D21" w:rsidRDefault="00953ADD" w:rsidP="00A83C1A">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Valor Patrimonial</w:t>
            </w:r>
          </w:p>
        </w:tc>
      </w:tr>
      <w:tr w:rsidR="00953ADD" w:rsidRPr="00E20D21" w14:paraId="43C4128F" w14:textId="77777777" w:rsidTr="00125BF5">
        <w:trPr>
          <w:trHeight w:val="283"/>
        </w:trPr>
        <w:tc>
          <w:tcPr>
            <w:tcW w:w="4999" w:type="pct"/>
            <w:gridSpan w:val="8"/>
            <w:tcBorders>
              <w:top w:val="single" w:sz="8" w:space="0" w:color="F79646"/>
              <w:left w:val="nil"/>
              <w:bottom w:val="single" w:sz="8" w:space="0" w:color="F79646"/>
              <w:right w:val="nil"/>
            </w:tcBorders>
            <w:shd w:val="clear" w:color="auto" w:fill="auto"/>
            <w:noWrap/>
            <w:vAlign w:val="center"/>
            <w:hideMark/>
          </w:tcPr>
          <w:p w14:paraId="3D140301" w14:textId="77777777" w:rsidR="00953ADD" w:rsidRPr="00E20D21" w:rsidRDefault="00953ADD" w:rsidP="00953AD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Posição Ativa</w:t>
            </w:r>
          </w:p>
        </w:tc>
      </w:tr>
      <w:tr w:rsidR="00953ADD" w:rsidRPr="00E20D21" w14:paraId="17CF549D" w14:textId="77777777" w:rsidTr="00125BF5">
        <w:trPr>
          <w:trHeight w:val="283"/>
        </w:trPr>
        <w:tc>
          <w:tcPr>
            <w:tcW w:w="1604" w:type="pct"/>
            <w:tcBorders>
              <w:top w:val="nil"/>
              <w:left w:val="nil"/>
              <w:bottom w:val="nil"/>
              <w:right w:val="nil"/>
            </w:tcBorders>
            <w:shd w:val="clear" w:color="auto" w:fill="auto"/>
            <w:noWrap/>
            <w:vAlign w:val="center"/>
            <w:hideMark/>
          </w:tcPr>
          <w:p w14:paraId="5408CD5E" w14:textId="77777777" w:rsidR="00953ADD" w:rsidRPr="00E20D21" w:rsidRDefault="00953ADD" w:rsidP="00953ADD">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Contratos de Swaps - Ajuste a Receber</w:t>
            </w:r>
          </w:p>
        </w:tc>
        <w:tc>
          <w:tcPr>
            <w:tcW w:w="681" w:type="pct"/>
            <w:tcBorders>
              <w:top w:val="nil"/>
              <w:left w:val="nil"/>
              <w:bottom w:val="nil"/>
              <w:right w:val="nil"/>
            </w:tcBorders>
            <w:shd w:val="clear" w:color="auto" w:fill="auto"/>
            <w:noWrap/>
            <w:vAlign w:val="center"/>
            <w:hideMark/>
          </w:tcPr>
          <w:p w14:paraId="70BB6BAF" w14:textId="77777777" w:rsidR="00953ADD" w:rsidRPr="00E20D21" w:rsidRDefault="00953ADD" w:rsidP="00953ADD">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6.850</w:t>
            </w:r>
          </w:p>
        </w:tc>
        <w:tc>
          <w:tcPr>
            <w:tcW w:w="486" w:type="pct"/>
            <w:tcBorders>
              <w:top w:val="nil"/>
              <w:left w:val="nil"/>
              <w:bottom w:val="nil"/>
              <w:right w:val="nil"/>
            </w:tcBorders>
            <w:shd w:val="clear" w:color="auto" w:fill="auto"/>
            <w:noWrap/>
            <w:vAlign w:val="center"/>
            <w:hideMark/>
          </w:tcPr>
          <w:p w14:paraId="611EFEED" w14:textId="77777777" w:rsidR="00953ADD" w:rsidRPr="00E20D21" w:rsidRDefault="00953ADD" w:rsidP="00953ADD">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587</w:t>
            </w:r>
          </w:p>
        </w:tc>
        <w:tc>
          <w:tcPr>
            <w:tcW w:w="423" w:type="pct"/>
            <w:tcBorders>
              <w:top w:val="nil"/>
              <w:left w:val="nil"/>
              <w:bottom w:val="nil"/>
              <w:right w:val="nil"/>
            </w:tcBorders>
            <w:shd w:val="clear" w:color="auto" w:fill="auto"/>
            <w:noWrap/>
            <w:vAlign w:val="center"/>
            <w:hideMark/>
          </w:tcPr>
          <w:p w14:paraId="7D26A8BB" w14:textId="2C9813B2" w:rsidR="00953ADD" w:rsidRPr="00E20D21" w:rsidRDefault="00953ADD" w:rsidP="00953ADD">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2</w:t>
            </w:r>
            <w:r w:rsidR="006575CB" w:rsidRPr="00E20D21">
              <w:rPr>
                <w:rFonts w:ascii="CAIXA Std Book" w:eastAsia="Times New Roman" w:hAnsi="CAIXA Std Book" w:cs="Arial"/>
                <w:b/>
                <w:bCs/>
                <w:color w:val="005CA9"/>
                <w:sz w:val="16"/>
                <w:szCs w:val="16"/>
              </w:rPr>
              <w:t>.</w:t>
            </w:r>
            <w:r w:rsidRPr="00E20D21">
              <w:rPr>
                <w:rFonts w:ascii="CAIXA Std Book" w:eastAsia="Times New Roman" w:hAnsi="CAIXA Std Book" w:cs="Arial"/>
                <w:b/>
                <w:bCs/>
                <w:color w:val="005CA9"/>
                <w:sz w:val="16"/>
                <w:szCs w:val="16"/>
              </w:rPr>
              <w:t>208</w:t>
            </w:r>
          </w:p>
        </w:tc>
        <w:tc>
          <w:tcPr>
            <w:tcW w:w="404" w:type="pct"/>
            <w:tcBorders>
              <w:top w:val="nil"/>
              <w:left w:val="nil"/>
              <w:bottom w:val="nil"/>
              <w:right w:val="nil"/>
            </w:tcBorders>
            <w:shd w:val="clear" w:color="auto" w:fill="auto"/>
            <w:noWrap/>
            <w:vAlign w:val="center"/>
            <w:hideMark/>
          </w:tcPr>
          <w:p w14:paraId="4F23F795" w14:textId="77777777" w:rsidR="00953ADD" w:rsidRPr="00E20D21" w:rsidRDefault="00953ADD" w:rsidP="00953ADD">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47</w:t>
            </w:r>
          </w:p>
        </w:tc>
        <w:tc>
          <w:tcPr>
            <w:tcW w:w="438" w:type="pct"/>
            <w:tcBorders>
              <w:top w:val="nil"/>
              <w:left w:val="nil"/>
              <w:bottom w:val="nil"/>
              <w:right w:val="nil"/>
            </w:tcBorders>
            <w:shd w:val="clear" w:color="auto" w:fill="auto"/>
            <w:noWrap/>
            <w:vAlign w:val="center"/>
            <w:hideMark/>
          </w:tcPr>
          <w:p w14:paraId="31DDED77" w14:textId="77777777" w:rsidR="00953ADD" w:rsidRPr="00E20D21" w:rsidRDefault="00953ADD" w:rsidP="00953ADD">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5.182</w:t>
            </w:r>
          </w:p>
        </w:tc>
        <w:tc>
          <w:tcPr>
            <w:tcW w:w="471" w:type="pct"/>
            <w:tcBorders>
              <w:top w:val="nil"/>
              <w:left w:val="nil"/>
              <w:bottom w:val="nil"/>
              <w:right w:val="nil"/>
            </w:tcBorders>
            <w:shd w:val="clear" w:color="auto" w:fill="auto"/>
            <w:noWrap/>
            <w:vAlign w:val="center"/>
            <w:hideMark/>
          </w:tcPr>
          <w:p w14:paraId="29EBBC02" w14:textId="77777777" w:rsidR="00953ADD" w:rsidRPr="00E20D21" w:rsidRDefault="00953ADD" w:rsidP="00953ADD">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7.437</w:t>
            </w:r>
          </w:p>
        </w:tc>
        <w:tc>
          <w:tcPr>
            <w:tcW w:w="492" w:type="pct"/>
            <w:tcBorders>
              <w:top w:val="nil"/>
              <w:left w:val="nil"/>
              <w:bottom w:val="nil"/>
              <w:right w:val="nil"/>
            </w:tcBorders>
            <w:shd w:val="clear" w:color="auto" w:fill="auto"/>
            <w:noWrap/>
            <w:vAlign w:val="center"/>
            <w:hideMark/>
          </w:tcPr>
          <w:p w14:paraId="53986108" w14:textId="77777777" w:rsidR="00953ADD" w:rsidRPr="00E20D21" w:rsidRDefault="00953ADD" w:rsidP="00953ADD">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163.206</w:t>
            </w:r>
          </w:p>
        </w:tc>
      </w:tr>
      <w:tr w:rsidR="00953ADD" w:rsidRPr="00E20D21" w14:paraId="33128FE0" w14:textId="77777777" w:rsidTr="00125BF5">
        <w:trPr>
          <w:trHeight w:val="283"/>
        </w:trPr>
        <w:tc>
          <w:tcPr>
            <w:tcW w:w="1604" w:type="pct"/>
            <w:tcBorders>
              <w:top w:val="nil"/>
              <w:left w:val="nil"/>
              <w:bottom w:val="nil"/>
              <w:right w:val="nil"/>
            </w:tcBorders>
            <w:shd w:val="clear" w:color="auto" w:fill="auto"/>
            <w:vAlign w:val="center"/>
            <w:hideMark/>
          </w:tcPr>
          <w:p w14:paraId="07EDC34F" w14:textId="77777777" w:rsidR="00953ADD" w:rsidRPr="00E20D21" w:rsidRDefault="00953ADD" w:rsidP="00953ADD">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Índices/B3 </w:t>
            </w:r>
          </w:p>
        </w:tc>
        <w:tc>
          <w:tcPr>
            <w:tcW w:w="681" w:type="pct"/>
            <w:tcBorders>
              <w:top w:val="nil"/>
              <w:left w:val="nil"/>
              <w:bottom w:val="nil"/>
              <w:right w:val="nil"/>
            </w:tcBorders>
            <w:shd w:val="clear" w:color="auto" w:fill="auto"/>
            <w:noWrap/>
            <w:vAlign w:val="center"/>
            <w:hideMark/>
          </w:tcPr>
          <w:p w14:paraId="476A70FC"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6.850</w:t>
            </w:r>
          </w:p>
        </w:tc>
        <w:tc>
          <w:tcPr>
            <w:tcW w:w="486" w:type="pct"/>
            <w:tcBorders>
              <w:top w:val="nil"/>
              <w:left w:val="nil"/>
              <w:bottom w:val="nil"/>
              <w:right w:val="nil"/>
            </w:tcBorders>
            <w:shd w:val="clear" w:color="auto" w:fill="auto"/>
            <w:noWrap/>
            <w:vAlign w:val="center"/>
            <w:hideMark/>
          </w:tcPr>
          <w:p w14:paraId="597D51BB"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587</w:t>
            </w:r>
          </w:p>
        </w:tc>
        <w:tc>
          <w:tcPr>
            <w:tcW w:w="423" w:type="pct"/>
            <w:tcBorders>
              <w:top w:val="nil"/>
              <w:left w:val="nil"/>
              <w:bottom w:val="single" w:sz="8" w:space="0" w:color="F79646"/>
              <w:right w:val="nil"/>
            </w:tcBorders>
            <w:shd w:val="clear" w:color="auto" w:fill="auto"/>
            <w:noWrap/>
            <w:vAlign w:val="center"/>
            <w:hideMark/>
          </w:tcPr>
          <w:p w14:paraId="37B55923" w14:textId="613858AC"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2</w:t>
            </w:r>
            <w:r w:rsidR="006575CB" w:rsidRPr="00E20D21">
              <w:rPr>
                <w:rFonts w:ascii="CAIXA Std Book" w:eastAsia="Times New Roman" w:hAnsi="CAIXA Std Book" w:cs="Arial"/>
                <w:color w:val="005CA9"/>
                <w:sz w:val="16"/>
                <w:szCs w:val="16"/>
              </w:rPr>
              <w:t>.</w:t>
            </w:r>
            <w:r w:rsidRPr="00E20D21">
              <w:rPr>
                <w:rFonts w:ascii="CAIXA Std Book" w:eastAsia="Times New Roman" w:hAnsi="CAIXA Std Book" w:cs="Arial"/>
                <w:color w:val="005CA9"/>
                <w:sz w:val="16"/>
                <w:szCs w:val="16"/>
              </w:rPr>
              <w:t>208</w:t>
            </w:r>
          </w:p>
        </w:tc>
        <w:tc>
          <w:tcPr>
            <w:tcW w:w="404" w:type="pct"/>
            <w:tcBorders>
              <w:top w:val="nil"/>
              <w:left w:val="nil"/>
              <w:bottom w:val="single" w:sz="8" w:space="0" w:color="F79646"/>
              <w:right w:val="nil"/>
            </w:tcBorders>
            <w:shd w:val="clear" w:color="auto" w:fill="auto"/>
            <w:noWrap/>
            <w:vAlign w:val="center"/>
            <w:hideMark/>
          </w:tcPr>
          <w:p w14:paraId="43296443"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47</w:t>
            </w:r>
          </w:p>
        </w:tc>
        <w:tc>
          <w:tcPr>
            <w:tcW w:w="438" w:type="pct"/>
            <w:tcBorders>
              <w:top w:val="nil"/>
              <w:left w:val="nil"/>
              <w:bottom w:val="single" w:sz="8" w:space="0" w:color="F79646"/>
              <w:right w:val="nil"/>
            </w:tcBorders>
            <w:shd w:val="clear" w:color="auto" w:fill="auto"/>
            <w:noWrap/>
            <w:vAlign w:val="center"/>
            <w:hideMark/>
          </w:tcPr>
          <w:p w14:paraId="25F8424C"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5.182</w:t>
            </w:r>
          </w:p>
        </w:tc>
        <w:tc>
          <w:tcPr>
            <w:tcW w:w="471" w:type="pct"/>
            <w:tcBorders>
              <w:top w:val="nil"/>
              <w:left w:val="nil"/>
              <w:bottom w:val="single" w:sz="8" w:space="0" w:color="F79646"/>
              <w:right w:val="nil"/>
            </w:tcBorders>
            <w:shd w:val="clear" w:color="auto" w:fill="auto"/>
            <w:noWrap/>
            <w:vAlign w:val="center"/>
            <w:hideMark/>
          </w:tcPr>
          <w:p w14:paraId="40141CED"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7.437</w:t>
            </w:r>
          </w:p>
        </w:tc>
        <w:tc>
          <w:tcPr>
            <w:tcW w:w="492" w:type="pct"/>
            <w:tcBorders>
              <w:top w:val="nil"/>
              <w:left w:val="nil"/>
              <w:bottom w:val="single" w:sz="8" w:space="0" w:color="F79646"/>
              <w:right w:val="nil"/>
            </w:tcBorders>
            <w:shd w:val="clear" w:color="auto" w:fill="auto"/>
            <w:noWrap/>
            <w:vAlign w:val="center"/>
            <w:hideMark/>
          </w:tcPr>
          <w:p w14:paraId="5EA6763B"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163.206</w:t>
            </w:r>
          </w:p>
        </w:tc>
      </w:tr>
      <w:tr w:rsidR="00953ADD" w:rsidRPr="00E20D21" w14:paraId="74A03DBB" w14:textId="77777777" w:rsidTr="00125BF5">
        <w:trPr>
          <w:trHeight w:val="283"/>
        </w:trPr>
        <w:tc>
          <w:tcPr>
            <w:tcW w:w="1604" w:type="pct"/>
            <w:tcBorders>
              <w:top w:val="single" w:sz="8" w:space="0" w:color="F79646"/>
              <w:left w:val="nil"/>
              <w:bottom w:val="nil"/>
              <w:right w:val="nil"/>
            </w:tcBorders>
            <w:shd w:val="clear" w:color="auto" w:fill="auto"/>
            <w:noWrap/>
            <w:vAlign w:val="center"/>
            <w:hideMark/>
          </w:tcPr>
          <w:p w14:paraId="6A264111"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Ativo circulante</w:t>
            </w:r>
          </w:p>
        </w:tc>
        <w:tc>
          <w:tcPr>
            <w:tcW w:w="681" w:type="pct"/>
            <w:tcBorders>
              <w:top w:val="single" w:sz="8" w:space="0" w:color="F79646"/>
              <w:left w:val="nil"/>
              <w:bottom w:val="nil"/>
              <w:right w:val="nil"/>
            </w:tcBorders>
            <w:shd w:val="clear" w:color="auto" w:fill="auto"/>
            <w:noWrap/>
            <w:vAlign w:val="center"/>
            <w:hideMark/>
          </w:tcPr>
          <w:p w14:paraId="589B07F5"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86" w:type="pct"/>
            <w:tcBorders>
              <w:top w:val="single" w:sz="8" w:space="0" w:color="F79646"/>
              <w:left w:val="nil"/>
              <w:bottom w:val="nil"/>
              <w:right w:val="nil"/>
            </w:tcBorders>
            <w:shd w:val="clear" w:color="auto" w:fill="auto"/>
            <w:noWrap/>
            <w:vAlign w:val="center"/>
            <w:hideMark/>
          </w:tcPr>
          <w:p w14:paraId="4E8D3997"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23" w:type="pct"/>
            <w:tcBorders>
              <w:top w:val="nil"/>
              <w:left w:val="nil"/>
              <w:bottom w:val="nil"/>
              <w:right w:val="nil"/>
            </w:tcBorders>
            <w:shd w:val="clear" w:color="auto" w:fill="auto"/>
            <w:vAlign w:val="center"/>
            <w:hideMark/>
          </w:tcPr>
          <w:p w14:paraId="1AE72BCD"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04" w:type="pct"/>
            <w:tcBorders>
              <w:top w:val="nil"/>
              <w:left w:val="nil"/>
              <w:bottom w:val="nil"/>
              <w:right w:val="nil"/>
            </w:tcBorders>
            <w:shd w:val="clear" w:color="auto" w:fill="auto"/>
            <w:noWrap/>
            <w:vAlign w:val="center"/>
            <w:hideMark/>
          </w:tcPr>
          <w:p w14:paraId="31881810"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38" w:type="pct"/>
            <w:tcBorders>
              <w:top w:val="nil"/>
              <w:left w:val="nil"/>
              <w:bottom w:val="nil"/>
              <w:right w:val="nil"/>
            </w:tcBorders>
            <w:shd w:val="clear" w:color="auto" w:fill="auto"/>
            <w:noWrap/>
            <w:vAlign w:val="center"/>
            <w:hideMark/>
          </w:tcPr>
          <w:p w14:paraId="4D0FE751"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71" w:type="pct"/>
            <w:tcBorders>
              <w:top w:val="nil"/>
              <w:left w:val="nil"/>
              <w:bottom w:val="nil"/>
              <w:right w:val="nil"/>
            </w:tcBorders>
            <w:shd w:val="clear" w:color="auto" w:fill="auto"/>
            <w:noWrap/>
            <w:vAlign w:val="center"/>
            <w:hideMark/>
          </w:tcPr>
          <w:p w14:paraId="7629EF88"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7.437</w:t>
            </w:r>
          </w:p>
        </w:tc>
        <w:tc>
          <w:tcPr>
            <w:tcW w:w="492" w:type="pct"/>
            <w:tcBorders>
              <w:top w:val="nil"/>
              <w:left w:val="nil"/>
              <w:bottom w:val="nil"/>
              <w:right w:val="nil"/>
            </w:tcBorders>
            <w:shd w:val="clear" w:color="auto" w:fill="auto"/>
            <w:noWrap/>
            <w:vAlign w:val="center"/>
            <w:hideMark/>
          </w:tcPr>
          <w:p w14:paraId="41D71DD5"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157.809</w:t>
            </w:r>
          </w:p>
        </w:tc>
      </w:tr>
      <w:tr w:rsidR="00953ADD" w:rsidRPr="00E20D21" w14:paraId="2345ED17" w14:textId="77777777" w:rsidTr="00125BF5">
        <w:trPr>
          <w:trHeight w:val="283"/>
        </w:trPr>
        <w:tc>
          <w:tcPr>
            <w:tcW w:w="1604" w:type="pct"/>
            <w:tcBorders>
              <w:top w:val="nil"/>
              <w:left w:val="nil"/>
              <w:bottom w:val="single" w:sz="8" w:space="0" w:color="F79646"/>
              <w:right w:val="nil"/>
            </w:tcBorders>
            <w:shd w:val="clear" w:color="auto" w:fill="auto"/>
            <w:noWrap/>
            <w:vAlign w:val="center"/>
            <w:hideMark/>
          </w:tcPr>
          <w:p w14:paraId="426D2878"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Ativo não circulante</w:t>
            </w:r>
          </w:p>
        </w:tc>
        <w:tc>
          <w:tcPr>
            <w:tcW w:w="681" w:type="pct"/>
            <w:tcBorders>
              <w:top w:val="nil"/>
              <w:left w:val="nil"/>
              <w:bottom w:val="single" w:sz="8" w:space="0" w:color="F79646"/>
              <w:right w:val="nil"/>
            </w:tcBorders>
            <w:shd w:val="clear" w:color="auto" w:fill="auto"/>
            <w:noWrap/>
            <w:vAlign w:val="center"/>
            <w:hideMark/>
          </w:tcPr>
          <w:p w14:paraId="70B64F0B"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86" w:type="pct"/>
            <w:tcBorders>
              <w:top w:val="nil"/>
              <w:left w:val="nil"/>
              <w:bottom w:val="single" w:sz="8" w:space="0" w:color="F79646"/>
              <w:right w:val="nil"/>
            </w:tcBorders>
            <w:shd w:val="clear" w:color="auto" w:fill="auto"/>
            <w:noWrap/>
            <w:vAlign w:val="center"/>
            <w:hideMark/>
          </w:tcPr>
          <w:p w14:paraId="1D0355D4"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23" w:type="pct"/>
            <w:tcBorders>
              <w:top w:val="nil"/>
              <w:left w:val="nil"/>
              <w:bottom w:val="single" w:sz="8" w:space="0" w:color="F79646"/>
              <w:right w:val="nil"/>
            </w:tcBorders>
            <w:shd w:val="clear" w:color="auto" w:fill="auto"/>
            <w:vAlign w:val="center"/>
            <w:hideMark/>
          </w:tcPr>
          <w:p w14:paraId="2400712C"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04" w:type="pct"/>
            <w:tcBorders>
              <w:top w:val="nil"/>
              <w:left w:val="nil"/>
              <w:bottom w:val="single" w:sz="8" w:space="0" w:color="F79646"/>
              <w:right w:val="nil"/>
            </w:tcBorders>
            <w:shd w:val="clear" w:color="auto" w:fill="auto"/>
            <w:noWrap/>
            <w:vAlign w:val="center"/>
            <w:hideMark/>
          </w:tcPr>
          <w:p w14:paraId="40025F94"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38" w:type="pct"/>
            <w:tcBorders>
              <w:top w:val="nil"/>
              <w:left w:val="nil"/>
              <w:bottom w:val="single" w:sz="8" w:space="0" w:color="F79646"/>
              <w:right w:val="nil"/>
            </w:tcBorders>
            <w:shd w:val="clear" w:color="auto" w:fill="auto"/>
            <w:noWrap/>
            <w:vAlign w:val="center"/>
            <w:hideMark/>
          </w:tcPr>
          <w:p w14:paraId="36198C41"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71" w:type="pct"/>
            <w:tcBorders>
              <w:top w:val="nil"/>
              <w:left w:val="nil"/>
              <w:bottom w:val="single" w:sz="8" w:space="0" w:color="F79646"/>
              <w:right w:val="nil"/>
            </w:tcBorders>
            <w:shd w:val="clear" w:color="auto" w:fill="auto"/>
            <w:noWrap/>
            <w:vAlign w:val="center"/>
            <w:hideMark/>
          </w:tcPr>
          <w:p w14:paraId="0D266B24" w14:textId="3C6097BE" w:rsidR="00953ADD" w:rsidRPr="00E20D21" w:rsidRDefault="0085335F" w:rsidP="0085335F">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92" w:type="pct"/>
            <w:tcBorders>
              <w:top w:val="nil"/>
              <w:left w:val="nil"/>
              <w:bottom w:val="single" w:sz="8" w:space="0" w:color="F79646"/>
              <w:right w:val="nil"/>
            </w:tcBorders>
            <w:shd w:val="clear" w:color="auto" w:fill="auto"/>
            <w:noWrap/>
            <w:vAlign w:val="center"/>
            <w:hideMark/>
          </w:tcPr>
          <w:p w14:paraId="15E8E92C"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5.397</w:t>
            </w:r>
          </w:p>
        </w:tc>
      </w:tr>
      <w:tr w:rsidR="00953ADD" w:rsidRPr="00E20D21" w14:paraId="7DEEDA70" w14:textId="77777777" w:rsidTr="00125BF5">
        <w:trPr>
          <w:trHeight w:val="283"/>
        </w:trPr>
        <w:tc>
          <w:tcPr>
            <w:tcW w:w="4999" w:type="pct"/>
            <w:gridSpan w:val="8"/>
            <w:tcBorders>
              <w:top w:val="single" w:sz="8" w:space="0" w:color="F79646"/>
              <w:left w:val="nil"/>
              <w:bottom w:val="single" w:sz="8" w:space="0" w:color="F79646"/>
              <w:right w:val="nil"/>
            </w:tcBorders>
            <w:shd w:val="clear" w:color="auto" w:fill="auto"/>
            <w:noWrap/>
            <w:vAlign w:val="center"/>
            <w:hideMark/>
          </w:tcPr>
          <w:p w14:paraId="4CA5565C" w14:textId="77777777" w:rsidR="00953ADD" w:rsidRPr="00E20D21" w:rsidRDefault="00953ADD" w:rsidP="00953AD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Posição Passiva</w:t>
            </w:r>
          </w:p>
        </w:tc>
      </w:tr>
      <w:tr w:rsidR="00953ADD" w:rsidRPr="00E20D21" w14:paraId="6EB1081C" w14:textId="77777777" w:rsidTr="00125BF5">
        <w:trPr>
          <w:trHeight w:val="283"/>
        </w:trPr>
        <w:tc>
          <w:tcPr>
            <w:tcW w:w="1604" w:type="pct"/>
            <w:tcBorders>
              <w:top w:val="nil"/>
              <w:left w:val="nil"/>
              <w:bottom w:val="nil"/>
              <w:right w:val="nil"/>
            </w:tcBorders>
            <w:shd w:val="clear" w:color="auto" w:fill="auto"/>
            <w:noWrap/>
            <w:vAlign w:val="center"/>
            <w:hideMark/>
          </w:tcPr>
          <w:p w14:paraId="4F3F04C8"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Contratos de Swaps - Ajuste a Pagar</w:t>
            </w:r>
          </w:p>
        </w:tc>
        <w:tc>
          <w:tcPr>
            <w:tcW w:w="681" w:type="pct"/>
            <w:tcBorders>
              <w:top w:val="nil"/>
              <w:left w:val="nil"/>
              <w:bottom w:val="nil"/>
              <w:right w:val="nil"/>
            </w:tcBorders>
            <w:shd w:val="clear" w:color="auto" w:fill="auto"/>
            <w:noWrap/>
            <w:vAlign w:val="center"/>
            <w:hideMark/>
          </w:tcPr>
          <w:p w14:paraId="3FA73D81" w14:textId="1D14EFB6" w:rsidR="00953ADD" w:rsidRPr="00E20D21" w:rsidRDefault="00996AEC" w:rsidP="00996AE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486" w:type="pct"/>
            <w:tcBorders>
              <w:top w:val="single" w:sz="8" w:space="0" w:color="F79646"/>
              <w:left w:val="nil"/>
              <w:bottom w:val="nil"/>
              <w:right w:val="nil"/>
            </w:tcBorders>
            <w:shd w:val="clear" w:color="auto" w:fill="auto"/>
            <w:noWrap/>
            <w:vAlign w:val="center"/>
            <w:hideMark/>
          </w:tcPr>
          <w:p w14:paraId="74A815CA" w14:textId="473CD403" w:rsidR="00420964" w:rsidRPr="00E20D21" w:rsidRDefault="00996AEC" w:rsidP="00996AE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w:t>
            </w:r>
          </w:p>
        </w:tc>
        <w:tc>
          <w:tcPr>
            <w:tcW w:w="423" w:type="pct"/>
            <w:tcBorders>
              <w:top w:val="single" w:sz="8" w:space="0" w:color="F79646"/>
              <w:left w:val="nil"/>
              <w:bottom w:val="nil"/>
              <w:right w:val="nil"/>
            </w:tcBorders>
            <w:shd w:val="clear" w:color="auto" w:fill="auto"/>
            <w:vAlign w:val="center"/>
          </w:tcPr>
          <w:p w14:paraId="0DEF5755" w14:textId="4209525B" w:rsidR="00953ADD" w:rsidRPr="00E20D21" w:rsidRDefault="00996AEC" w:rsidP="00996AE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w:t>
            </w:r>
          </w:p>
        </w:tc>
        <w:tc>
          <w:tcPr>
            <w:tcW w:w="404" w:type="pct"/>
            <w:tcBorders>
              <w:top w:val="nil"/>
              <w:left w:val="nil"/>
              <w:bottom w:val="nil"/>
              <w:right w:val="nil"/>
            </w:tcBorders>
            <w:shd w:val="clear" w:color="auto" w:fill="auto"/>
            <w:noWrap/>
            <w:vAlign w:val="center"/>
            <w:hideMark/>
          </w:tcPr>
          <w:p w14:paraId="31F606B6" w14:textId="039E4817" w:rsidR="00953ADD" w:rsidRPr="00E20D21" w:rsidRDefault="00996AEC" w:rsidP="00996AE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w:t>
            </w:r>
          </w:p>
        </w:tc>
        <w:tc>
          <w:tcPr>
            <w:tcW w:w="438" w:type="pct"/>
            <w:tcBorders>
              <w:top w:val="nil"/>
              <w:left w:val="nil"/>
              <w:bottom w:val="nil"/>
              <w:right w:val="nil"/>
            </w:tcBorders>
            <w:shd w:val="clear" w:color="auto" w:fill="auto"/>
            <w:noWrap/>
            <w:vAlign w:val="center"/>
            <w:hideMark/>
          </w:tcPr>
          <w:p w14:paraId="466C3BC0" w14:textId="6A405B64" w:rsidR="00953ADD" w:rsidRPr="00E20D21" w:rsidRDefault="00996AEC" w:rsidP="00996AE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471" w:type="pct"/>
            <w:tcBorders>
              <w:top w:val="nil"/>
              <w:left w:val="nil"/>
              <w:bottom w:val="nil"/>
              <w:right w:val="nil"/>
            </w:tcBorders>
            <w:shd w:val="clear" w:color="auto" w:fill="auto"/>
            <w:noWrap/>
            <w:vAlign w:val="center"/>
            <w:hideMark/>
          </w:tcPr>
          <w:p w14:paraId="413D011A" w14:textId="5F976CC3" w:rsidR="00953ADD" w:rsidRPr="00E20D21" w:rsidRDefault="00420964" w:rsidP="00996AEC">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492" w:type="pct"/>
            <w:tcBorders>
              <w:top w:val="nil"/>
              <w:left w:val="nil"/>
              <w:bottom w:val="nil"/>
              <w:right w:val="nil"/>
            </w:tcBorders>
            <w:shd w:val="clear" w:color="auto" w:fill="auto"/>
            <w:noWrap/>
            <w:vAlign w:val="center"/>
            <w:hideMark/>
          </w:tcPr>
          <w:p w14:paraId="5C601FCE" w14:textId="77777777" w:rsidR="00953ADD" w:rsidRPr="00E20D21" w:rsidRDefault="00953ADD" w:rsidP="00953ADD">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87</w:t>
            </w:r>
          </w:p>
        </w:tc>
      </w:tr>
      <w:tr w:rsidR="00953ADD" w:rsidRPr="00E20D21" w14:paraId="216156DF" w14:textId="77777777" w:rsidTr="00125BF5">
        <w:trPr>
          <w:trHeight w:val="283"/>
        </w:trPr>
        <w:tc>
          <w:tcPr>
            <w:tcW w:w="1604" w:type="pct"/>
            <w:tcBorders>
              <w:top w:val="nil"/>
              <w:left w:val="nil"/>
              <w:bottom w:val="single" w:sz="8" w:space="0" w:color="F79646"/>
              <w:right w:val="nil"/>
            </w:tcBorders>
            <w:shd w:val="clear" w:color="auto" w:fill="auto"/>
            <w:noWrap/>
            <w:vAlign w:val="center"/>
            <w:hideMark/>
          </w:tcPr>
          <w:p w14:paraId="1891180E"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Índices/B3</w:t>
            </w:r>
          </w:p>
        </w:tc>
        <w:tc>
          <w:tcPr>
            <w:tcW w:w="681" w:type="pct"/>
            <w:tcBorders>
              <w:top w:val="nil"/>
              <w:left w:val="nil"/>
              <w:bottom w:val="single" w:sz="8" w:space="0" w:color="F79646"/>
              <w:right w:val="nil"/>
            </w:tcBorders>
            <w:shd w:val="clear" w:color="auto" w:fill="auto"/>
            <w:noWrap/>
            <w:vAlign w:val="center"/>
            <w:hideMark/>
          </w:tcPr>
          <w:p w14:paraId="11548A8F" w14:textId="41FEFEA5" w:rsidR="00953ADD" w:rsidRPr="00E20D21" w:rsidRDefault="00996AEC" w:rsidP="00996AEC">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86" w:type="pct"/>
            <w:tcBorders>
              <w:top w:val="nil"/>
              <w:left w:val="nil"/>
              <w:bottom w:val="nil"/>
              <w:right w:val="nil"/>
            </w:tcBorders>
            <w:shd w:val="clear" w:color="auto" w:fill="auto"/>
            <w:noWrap/>
            <w:vAlign w:val="center"/>
            <w:hideMark/>
          </w:tcPr>
          <w:p w14:paraId="33EC1E6A" w14:textId="57F36DFD" w:rsidR="00420964" w:rsidRPr="00E20D21" w:rsidRDefault="00996AEC" w:rsidP="00996AEC">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23" w:type="pct"/>
            <w:tcBorders>
              <w:top w:val="nil"/>
              <w:left w:val="nil"/>
              <w:bottom w:val="nil"/>
              <w:right w:val="nil"/>
            </w:tcBorders>
            <w:shd w:val="clear" w:color="auto" w:fill="auto"/>
            <w:vAlign w:val="center"/>
          </w:tcPr>
          <w:p w14:paraId="73544FA3" w14:textId="4A41C370" w:rsidR="00953ADD" w:rsidRPr="00E20D21" w:rsidRDefault="00996AEC" w:rsidP="00996AEC">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04" w:type="pct"/>
            <w:tcBorders>
              <w:top w:val="nil"/>
              <w:left w:val="nil"/>
              <w:bottom w:val="nil"/>
              <w:right w:val="nil"/>
            </w:tcBorders>
            <w:shd w:val="clear" w:color="auto" w:fill="auto"/>
            <w:noWrap/>
            <w:vAlign w:val="center"/>
            <w:hideMark/>
          </w:tcPr>
          <w:p w14:paraId="04800931" w14:textId="743C597B" w:rsidR="00953ADD" w:rsidRPr="00E20D21" w:rsidRDefault="00996AEC" w:rsidP="00996AEC">
            <w:pPr>
              <w:jc w:val="center"/>
              <w:rPr>
                <w:rFonts w:ascii="CAIXA Std Book" w:eastAsia="Times New Roman" w:hAnsi="CAIXA Std Book" w:cs="Times New Roman"/>
                <w:sz w:val="16"/>
                <w:szCs w:val="16"/>
              </w:rPr>
            </w:pPr>
            <w:r w:rsidRPr="00E20D21">
              <w:rPr>
                <w:rFonts w:ascii="CAIXA Std Book" w:eastAsia="Times New Roman" w:hAnsi="CAIXA Std Book" w:cs="Times New Roman"/>
                <w:sz w:val="16"/>
                <w:szCs w:val="16"/>
              </w:rPr>
              <w:t>-</w:t>
            </w:r>
          </w:p>
        </w:tc>
        <w:tc>
          <w:tcPr>
            <w:tcW w:w="438" w:type="pct"/>
            <w:tcBorders>
              <w:top w:val="nil"/>
              <w:left w:val="nil"/>
              <w:bottom w:val="nil"/>
              <w:right w:val="nil"/>
            </w:tcBorders>
            <w:shd w:val="clear" w:color="auto" w:fill="auto"/>
            <w:noWrap/>
            <w:vAlign w:val="center"/>
            <w:hideMark/>
          </w:tcPr>
          <w:p w14:paraId="3EED62B6" w14:textId="308B8A10" w:rsidR="00953ADD" w:rsidRPr="00E20D21" w:rsidRDefault="00996AEC" w:rsidP="00996AEC">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71" w:type="pct"/>
            <w:tcBorders>
              <w:top w:val="nil"/>
              <w:left w:val="nil"/>
              <w:bottom w:val="nil"/>
              <w:right w:val="nil"/>
            </w:tcBorders>
            <w:shd w:val="clear" w:color="auto" w:fill="auto"/>
            <w:noWrap/>
            <w:vAlign w:val="center"/>
            <w:hideMark/>
          </w:tcPr>
          <w:p w14:paraId="33F0A5A7" w14:textId="4B56687E" w:rsidR="00953ADD" w:rsidRPr="00E20D21" w:rsidRDefault="00420964" w:rsidP="00996AEC">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92" w:type="pct"/>
            <w:tcBorders>
              <w:top w:val="nil"/>
              <w:left w:val="nil"/>
              <w:bottom w:val="nil"/>
              <w:right w:val="nil"/>
            </w:tcBorders>
            <w:shd w:val="clear" w:color="auto" w:fill="auto"/>
            <w:noWrap/>
            <w:vAlign w:val="center"/>
            <w:hideMark/>
          </w:tcPr>
          <w:p w14:paraId="320FC0B9"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87</w:t>
            </w:r>
          </w:p>
        </w:tc>
      </w:tr>
      <w:tr w:rsidR="00953ADD" w:rsidRPr="00E20D21" w14:paraId="37FFE6A9" w14:textId="77777777" w:rsidTr="00125BF5">
        <w:trPr>
          <w:trHeight w:val="283"/>
        </w:trPr>
        <w:tc>
          <w:tcPr>
            <w:tcW w:w="1604" w:type="pct"/>
            <w:tcBorders>
              <w:top w:val="nil"/>
              <w:left w:val="nil"/>
              <w:bottom w:val="nil"/>
              <w:right w:val="nil"/>
            </w:tcBorders>
            <w:shd w:val="clear" w:color="auto" w:fill="auto"/>
            <w:vAlign w:val="center"/>
            <w:hideMark/>
          </w:tcPr>
          <w:p w14:paraId="2E4E5E70"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circulante</w:t>
            </w:r>
          </w:p>
        </w:tc>
        <w:tc>
          <w:tcPr>
            <w:tcW w:w="681" w:type="pct"/>
            <w:tcBorders>
              <w:top w:val="nil"/>
              <w:left w:val="nil"/>
              <w:bottom w:val="nil"/>
              <w:right w:val="nil"/>
            </w:tcBorders>
            <w:shd w:val="clear" w:color="auto" w:fill="auto"/>
            <w:vAlign w:val="center"/>
            <w:hideMark/>
          </w:tcPr>
          <w:p w14:paraId="0F89B5B9" w14:textId="77777777" w:rsidR="00953ADD" w:rsidRPr="00E20D21" w:rsidRDefault="00953ADD" w:rsidP="00953ADD">
            <w:pPr>
              <w:rPr>
                <w:rFonts w:ascii="CAIXA Std Book" w:eastAsia="Times New Roman" w:hAnsi="CAIXA Std Book" w:cs="Arial"/>
                <w:color w:val="005CA9"/>
                <w:sz w:val="16"/>
                <w:szCs w:val="16"/>
              </w:rPr>
            </w:pPr>
          </w:p>
        </w:tc>
        <w:tc>
          <w:tcPr>
            <w:tcW w:w="486" w:type="pct"/>
            <w:tcBorders>
              <w:top w:val="single" w:sz="8" w:space="0" w:color="F79646"/>
              <w:left w:val="nil"/>
              <w:right w:val="nil"/>
            </w:tcBorders>
            <w:shd w:val="clear" w:color="auto" w:fill="auto"/>
            <w:vAlign w:val="center"/>
            <w:hideMark/>
          </w:tcPr>
          <w:p w14:paraId="1450A3A3" w14:textId="77777777" w:rsidR="00420964" w:rsidRPr="00E20D21" w:rsidRDefault="00420964"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23" w:type="pct"/>
            <w:tcBorders>
              <w:top w:val="single" w:sz="8" w:space="0" w:color="F79646"/>
              <w:left w:val="nil"/>
              <w:right w:val="nil"/>
            </w:tcBorders>
            <w:shd w:val="clear" w:color="auto" w:fill="auto"/>
            <w:vAlign w:val="center"/>
          </w:tcPr>
          <w:p w14:paraId="310D352D" w14:textId="19595CFA"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04" w:type="pct"/>
            <w:tcBorders>
              <w:top w:val="single" w:sz="8" w:space="0" w:color="F79646"/>
              <w:left w:val="nil"/>
              <w:bottom w:val="nil"/>
              <w:right w:val="nil"/>
            </w:tcBorders>
            <w:shd w:val="clear" w:color="auto" w:fill="auto"/>
            <w:vAlign w:val="center"/>
            <w:hideMark/>
          </w:tcPr>
          <w:p w14:paraId="62BDD750"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38" w:type="pct"/>
            <w:tcBorders>
              <w:top w:val="single" w:sz="8" w:space="0" w:color="F79646"/>
              <w:left w:val="nil"/>
              <w:bottom w:val="nil"/>
              <w:right w:val="nil"/>
            </w:tcBorders>
            <w:shd w:val="clear" w:color="auto" w:fill="auto"/>
            <w:vAlign w:val="center"/>
            <w:hideMark/>
          </w:tcPr>
          <w:p w14:paraId="27F9FB58"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71" w:type="pct"/>
            <w:tcBorders>
              <w:top w:val="single" w:sz="8" w:space="0" w:color="F79646"/>
              <w:left w:val="nil"/>
              <w:bottom w:val="nil"/>
              <w:right w:val="nil"/>
            </w:tcBorders>
            <w:shd w:val="clear" w:color="auto" w:fill="auto"/>
            <w:vAlign w:val="center"/>
            <w:hideMark/>
          </w:tcPr>
          <w:p w14:paraId="3C2C2C4C" w14:textId="4F345ECA" w:rsidR="00953ADD" w:rsidRPr="00E20D21" w:rsidRDefault="00420964" w:rsidP="00A97AC4">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92" w:type="pct"/>
            <w:tcBorders>
              <w:top w:val="single" w:sz="8" w:space="0" w:color="F79646"/>
              <w:left w:val="nil"/>
              <w:bottom w:val="nil"/>
              <w:right w:val="nil"/>
            </w:tcBorders>
            <w:shd w:val="clear" w:color="auto" w:fill="auto"/>
            <w:vAlign w:val="center"/>
            <w:hideMark/>
          </w:tcPr>
          <w:p w14:paraId="05AC2479" w14:textId="77777777" w:rsidR="00953ADD" w:rsidRPr="00E20D21" w:rsidRDefault="00953ADD" w:rsidP="00953ADD">
            <w:pPr>
              <w:jc w:val="right"/>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87</w:t>
            </w:r>
          </w:p>
        </w:tc>
      </w:tr>
      <w:tr w:rsidR="00953ADD" w:rsidRPr="00E20D21" w14:paraId="2CB4A51F" w14:textId="77777777" w:rsidTr="00125BF5">
        <w:trPr>
          <w:trHeight w:val="283"/>
        </w:trPr>
        <w:tc>
          <w:tcPr>
            <w:tcW w:w="1604" w:type="pct"/>
            <w:tcBorders>
              <w:top w:val="nil"/>
              <w:left w:val="nil"/>
              <w:bottom w:val="single" w:sz="8" w:space="0" w:color="F79646"/>
              <w:right w:val="nil"/>
            </w:tcBorders>
            <w:shd w:val="clear" w:color="auto" w:fill="auto"/>
            <w:vAlign w:val="center"/>
            <w:hideMark/>
          </w:tcPr>
          <w:p w14:paraId="6F40BDC7"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não circulante</w:t>
            </w:r>
          </w:p>
        </w:tc>
        <w:tc>
          <w:tcPr>
            <w:tcW w:w="681" w:type="pct"/>
            <w:tcBorders>
              <w:top w:val="nil"/>
              <w:left w:val="nil"/>
              <w:bottom w:val="single" w:sz="8" w:space="0" w:color="F79646"/>
              <w:right w:val="nil"/>
            </w:tcBorders>
            <w:shd w:val="clear" w:color="auto" w:fill="auto"/>
            <w:vAlign w:val="center"/>
            <w:hideMark/>
          </w:tcPr>
          <w:p w14:paraId="21BD7A13"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86" w:type="pct"/>
            <w:tcBorders>
              <w:left w:val="nil"/>
              <w:bottom w:val="single" w:sz="8" w:space="0" w:color="F79646"/>
              <w:right w:val="nil"/>
            </w:tcBorders>
            <w:shd w:val="clear" w:color="auto" w:fill="auto"/>
            <w:vAlign w:val="center"/>
            <w:hideMark/>
          </w:tcPr>
          <w:p w14:paraId="207FB139" w14:textId="77777777" w:rsidR="00420964" w:rsidRPr="00E20D21" w:rsidRDefault="00420964" w:rsidP="00953ADD">
            <w:pPr>
              <w:rPr>
                <w:rFonts w:ascii="CAIXA Std Book" w:eastAsia="Times New Roman" w:hAnsi="CAIXA Std Book" w:cs="Arial"/>
                <w:color w:val="005CA9"/>
                <w:sz w:val="16"/>
                <w:szCs w:val="16"/>
              </w:rPr>
            </w:pPr>
          </w:p>
        </w:tc>
        <w:tc>
          <w:tcPr>
            <w:tcW w:w="423" w:type="pct"/>
            <w:tcBorders>
              <w:left w:val="nil"/>
              <w:bottom w:val="single" w:sz="8" w:space="0" w:color="F79646"/>
              <w:right w:val="nil"/>
            </w:tcBorders>
            <w:shd w:val="clear" w:color="auto" w:fill="auto"/>
            <w:vAlign w:val="center"/>
          </w:tcPr>
          <w:p w14:paraId="7D00EB43" w14:textId="38A4ACA3" w:rsidR="00953ADD" w:rsidRPr="00E20D21" w:rsidRDefault="00953ADD" w:rsidP="00953ADD">
            <w:pPr>
              <w:rPr>
                <w:rFonts w:ascii="CAIXA Std Book" w:eastAsia="Times New Roman" w:hAnsi="CAIXA Std Book" w:cs="Arial"/>
                <w:color w:val="005CA9"/>
                <w:sz w:val="16"/>
                <w:szCs w:val="16"/>
              </w:rPr>
            </w:pPr>
          </w:p>
        </w:tc>
        <w:tc>
          <w:tcPr>
            <w:tcW w:w="404" w:type="pct"/>
            <w:tcBorders>
              <w:top w:val="nil"/>
              <w:left w:val="nil"/>
              <w:bottom w:val="single" w:sz="8" w:space="0" w:color="F79646"/>
              <w:right w:val="nil"/>
            </w:tcBorders>
            <w:shd w:val="clear" w:color="auto" w:fill="auto"/>
            <w:vAlign w:val="center"/>
            <w:hideMark/>
          </w:tcPr>
          <w:p w14:paraId="274E6AAB"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38" w:type="pct"/>
            <w:tcBorders>
              <w:top w:val="nil"/>
              <w:left w:val="nil"/>
              <w:bottom w:val="single" w:sz="8" w:space="0" w:color="F79646"/>
              <w:right w:val="nil"/>
            </w:tcBorders>
            <w:shd w:val="clear" w:color="auto" w:fill="auto"/>
            <w:vAlign w:val="center"/>
            <w:hideMark/>
          </w:tcPr>
          <w:p w14:paraId="065EE962" w14:textId="77777777" w:rsidR="00953ADD" w:rsidRPr="00E20D21" w:rsidRDefault="00953ADD" w:rsidP="00953ADD">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w:t>
            </w:r>
          </w:p>
        </w:tc>
        <w:tc>
          <w:tcPr>
            <w:tcW w:w="471" w:type="pct"/>
            <w:tcBorders>
              <w:top w:val="nil"/>
              <w:left w:val="nil"/>
              <w:bottom w:val="single" w:sz="8" w:space="0" w:color="F79646"/>
              <w:right w:val="nil"/>
            </w:tcBorders>
            <w:shd w:val="clear" w:color="auto" w:fill="auto"/>
            <w:vAlign w:val="center"/>
            <w:hideMark/>
          </w:tcPr>
          <w:p w14:paraId="022BFE1E" w14:textId="27253F14" w:rsidR="00953ADD" w:rsidRPr="00E20D21" w:rsidRDefault="00420964" w:rsidP="00A97AC4">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c>
          <w:tcPr>
            <w:tcW w:w="492" w:type="pct"/>
            <w:tcBorders>
              <w:top w:val="nil"/>
              <w:left w:val="nil"/>
              <w:bottom w:val="single" w:sz="8" w:space="0" w:color="F79646"/>
              <w:right w:val="nil"/>
            </w:tcBorders>
            <w:shd w:val="clear" w:color="auto" w:fill="auto"/>
            <w:vAlign w:val="center"/>
            <w:hideMark/>
          </w:tcPr>
          <w:p w14:paraId="6CC06A23" w14:textId="5AF1B7FB" w:rsidR="00953ADD" w:rsidRPr="00E20D21" w:rsidRDefault="00420964" w:rsidP="00A97AC4">
            <w:pPr>
              <w:jc w:val="cente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w:t>
            </w:r>
          </w:p>
        </w:tc>
      </w:tr>
    </w:tbl>
    <w:p w14:paraId="1DAC4A09" w14:textId="77777777" w:rsidR="00895E22" w:rsidRPr="00E20D21" w:rsidRDefault="00895E22">
      <w:pPr>
        <w:rPr>
          <w:rFonts w:ascii="CAIXA Std Book" w:eastAsiaTheme="minorHAnsi" w:hAnsi="CAIXA Std Book" w:cstheme="minorBidi"/>
          <w:b/>
          <w:color w:val="005CA9"/>
          <w:sz w:val="16"/>
          <w:szCs w:val="16"/>
          <w:lang w:eastAsia="en-US"/>
        </w:rPr>
      </w:pPr>
      <w:r w:rsidRPr="00E20D21">
        <w:rPr>
          <w:rFonts w:ascii="CAIXA Std Book" w:eastAsiaTheme="minorHAnsi" w:hAnsi="CAIXA Std Book" w:cstheme="minorBidi"/>
          <w:b/>
          <w:color w:val="005CA9"/>
          <w:sz w:val="16"/>
          <w:szCs w:val="16"/>
          <w:lang w:eastAsia="en-US"/>
        </w:rPr>
        <w:br w:type="page"/>
      </w:r>
    </w:p>
    <w:p w14:paraId="3702DC69" w14:textId="0D1D8CD3" w:rsidR="00495BFD" w:rsidRPr="00E20D21" w:rsidRDefault="00495BFD" w:rsidP="00495BFD">
      <w:pPr>
        <w:spacing w:after="240"/>
        <w:ind w:left="567" w:hanging="567"/>
        <w:rPr>
          <w:rFonts w:ascii="CAIXA Std Book" w:hAnsi="CAIXA Std Book"/>
          <w:b/>
          <w:color w:val="005CA9"/>
          <w:sz w:val="20"/>
          <w:szCs w:val="20"/>
        </w:rPr>
      </w:pPr>
      <w:r w:rsidRPr="00E20D21">
        <w:rPr>
          <w:rFonts w:ascii="CAIXA Std Book" w:hAnsi="CAIXA Std Book"/>
          <w:b/>
          <w:color w:val="005CA9"/>
          <w:sz w:val="20"/>
          <w:szCs w:val="20"/>
        </w:rPr>
        <w:lastRenderedPageBreak/>
        <w:t>(d)</w:t>
      </w:r>
      <w:r w:rsidRPr="00E20D21">
        <w:rPr>
          <w:rFonts w:ascii="CAIXA Std Book" w:hAnsi="CAIXA Std Book"/>
          <w:b/>
          <w:color w:val="005CA9"/>
          <w:sz w:val="20"/>
          <w:szCs w:val="20"/>
        </w:rPr>
        <w:tab/>
        <w:t>Resultado na carteira de instrumentos financeiros derivativos</w:t>
      </w:r>
    </w:p>
    <w:tbl>
      <w:tblPr>
        <w:tblW w:w="5000" w:type="pct"/>
        <w:tblCellMar>
          <w:left w:w="70" w:type="dxa"/>
          <w:right w:w="70" w:type="dxa"/>
        </w:tblCellMar>
        <w:tblLook w:val="04A0" w:firstRow="1" w:lastRow="0" w:firstColumn="1" w:lastColumn="0" w:noHBand="0" w:noVBand="1"/>
      </w:tblPr>
      <w:tblGrid>
        <w:gridCol w:w="6235"/>
        <w:gridCol w:w="2084"/>
        <w:gridCol w:w="2084"/>
        <w:gridCol w:w="2084"/>
        <w:gridCol w:w="2084"/>
      </w:tblGrid>
      <w:tr w:rsidR="00495BFD" w:rsidRPr="00E20D21" w14:paraId="3BEF9000" w14:textId="77777777" w:rsidTr="00431040">
        <w:trPr>
          <w:trHeight w:val="283"/>
        </w:trPr>
        <w:tc>
          <w:tcPr>
            <w:tcW w:w="2140" w:type="pct"/>
            <w:vMerge w:val="restart"/>
            <w:tcBorders>
              <w:top w:val="single" w:sz="4" w:space="0" w:color="F79646"/>
              <w:left w:val="nil"/>
              <w:right w:val="nil"/>
            </w:tcBorders>
            <w:vAlign w:val="center"/>
          </w:tcPr>
          <w:p w14:paraId="4EA1B7F6" w14:textId="1DE56416" w:rsidR="00495BFD" w:rsidRPr="00E20D21" w:rsidRDefault="00495BFD"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430" w:type="pct"/>
            <w:gridSpan w:val="2"/>
            <w:tcBorders>
              <w:top w:val="single" w:sz="4" w:space="0" w:color="F79646"/>
              <w:left w:val="nil"/>
              <w:bottom w:val="single" w:sz="4" w:space="0" w:color="F79646"/>
              <w:right w:val="nil"/>
            </w:tcBorders>
            <w:vAlign w:val="center"/>
          </w:tcPr>
          <w:p w14:paraId="1D02C5A1" w14:textId="1B971522"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430" w:type="pct"/>
            <w:gridSpan w:val="2"/>
            <w:tcBorders>
              <w:top w:val="single" w:sz="4" w:space="0" w:color="F79646"/>
              <w:left w:val="nil"/>
              <w:bottom w:val="single" w:sz="4" w:space="0" w:color="F79646"/>
              <w:right w:val="nil"/>
            </w:tcBorders>
            <w:vAlign w:val="center"/>
          </w:tcPr>
          <w:p w14:paraId="0E646125" w14:textId="77777777"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495BFD" w:rsidRPr="00E20D21" w14:paraId="1D018BCB" w14:textId="77777777" w:rsidTr="00431040">
        <w:trPr>
          <w:trHeight w:val="283"/>
        </w:trPr>
        <w:tc>
          <w:tcPr>
            <w:tcW w:w="2140" w:type="pct"/>
            <w:vMerge/>
            <w:tcBorders>
              <w:left w:val="nil"/>
              <w:right w:val="nil"/>
            </w:tcBorders>
            <w:shd w:val="clear" w:color="auto" w:fill="auto"/>
            <w:vAlign w:val="center"/>
            <w:hideMark/>
          </w:tcPr>
          <w:p w14:paraId="70741562" w14:textId="4350E346" w:rsidR="00495BFD" w:rsidRPr="00E20D21" w:rsidRDefault="00495BFD" w:rsidP="001A1D35">
            <w:pPr>
              <w:jc w:val="center"/>
              <w:rPr>
                <w:rFonts w:ascii="CAIXA Std Book" w:eastAsia="Times New Roman" w:hAnsi="CAIXA Std Book" w:cs="Arial"/>
                <w:b/>
                <w:bCs/>
                <w:color w:val="005CA9"/>
                <w:sz w:val="18"/>
                <w:szCs w:val="18"/>
              </w:rPr>
            </w:pPr>
          </w:p>
        </w:tc>
        <w:tc>
          <w:tcPr>
            <w:tcW w:w="715" w:type="pct"/>
            <w:tcBorders>
              <w:top w:val="single" w:sz="4" w:space="0" w:color="F79646"/>
              <w:left w:val="nil"/>
              <w:bottom w:val="single" w:sz="4" w:space="0" w:color="F79646"/>
              <w:right w:val="nil"/>
            </w:tcBorders>
            <w:shd w:val="clear" w:color="auto" w:fill="auto"/>
            <w:vAlign w:val="center"/>
            <w:hideMark/>
          </w:tcPr>
          <w:p w14:paraId="30653216" w14:textId="77777777"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15" w:type="pct"/>
            <w:tcBorders>
              <w:top w:val="single" w:sz="4" w:space="0" w:color="F79646"/>
              <w:left w:val="nil"/>
              <w:bottom w:val="single" w:sz="4" w:space="0" w:color="F79646"/>
              <w:right w:val="nil"/>
            </w:tcBorders>
            <w:vAlign w:val="center"/>
          </w:tcPr>
          <w:p w14:paraId="353F359B" w14:textId="77777777"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715" w:type="pct"/>
            <w:tcBorders>
              <w:top w:val="single" w:sz="4" w:space="0" w:color="F79646"/>
              <w:left w:val="nil"/>
              <w:bottom w:val="single" w:sz="4" w:space="0" w:color="F79646"/>
              <w:right w:val="nil"/>
            </w:tcBorders>
            <w:vAlign w:val="center"/>
          </w:tcPr>
          <w:p w14:paraId="54F85D50" w14:textId="77777777"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15" w:type="pct"/>
            <w:tcBorders>
              <w:top w:val="single" w:sz="4" w:space="0" w:color="F79646"/>
              <w:left w:val="nil"/>
              <w:bottom w:val="single" w:sz="4" w:space="0" w:color="F79646"/>
              <w:right w:val="nil"/>
            </w:tcBorders>
            <w:shd w:val="clear" w:color="auto" w:fill="auto"/>
            <w:vAlign w:val="center"/>
          </w:tcPr>
          <w:p w14:paraId="5720B661" w14:textId="77777777"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495BFD" w:rsidRPr="00E20D21" w14:paraId="79D43948" w14:textId="77777777" w:rsidTr="00431040">
        <w:trPr>
          <w:trHeight w:val="283"/>
        </w:trPr>
        <w:tc>
          <w:tcPr>
            <w:tcW w:w="2140" w:type="pct"/>
            <w:vMerge/>
            <w:tcBorders>
              <w:left w:val="nil"/>
              <w:bottom w:val="single" w:sz="4" w:space="0" w:color="F79646"/>
              <w:right w:val="nil"/>
            </w:tcBorders>
            <w:vAlign w:val="center"/>
            <w:hideMark/>
          </w:tcPr>
          <w:p w14:paraId="5F5CBB71" w14:textId="77777777" w:rsidR="00495BFD" w:rsidRPr="00E20D21" w:rsidRDefault="00495BFD" w:rsidP="001A1D35">
            <w:pPr>
              <w:rPr>
                <w:rFonts w:ascii="CAIXA Std Book" w:eastAsia="Times New Roman" w:hAnsi="CAIXA Std Book" w:cs="Arial"/>
                <w:b/>
                <w:bCs/>
                <w:color w:val="005CA9"/>
                <w:sz w:val="18"/>
                <w:szCs w:val="18"/>
              </w:rPr>
            </w:pPr>
          </w:p>
        </w:tc>
        <w:tc>
          <w:tcPr>
            <w:tcW w:w="715" w:type="pct"/>
            <w:tcBorders>
              <w:top w:val="single" w:sz="4" w:space="0" w:color="F79646"/>
              <w:left w:val="nil"/>
              <w:bottom w:val="single" w:sz="4" w:space="0" w:color="F79646"/>
              <w:right w:val="nil"/>
            </w:tcBorders>
            <w:shd w:val="clear" w:color="auto" w:fill="auto"/>
            <w:vAlign w:val="center"/>
            <w:hideMark/>
          </w:tcPr>
          <w:p w14:paraId="038FCFF2" w14:textId="77777777"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w:t>
            </w:r>
            <w:proofErr w:type="gramStart"/>
            <w:r w:rsidRPr="00E20D21">
              <w:rPr>
                <w:rFonts w:ascii="CAIXA Std Book" w:eastAsia="Times New Roman" w:hAnsi="CAIXA Std Book" w:cs="Arial"/>
                <w:b/>
                <w:bCs/>
                <w:color w:val="005CA9"/>
                <w:sz w:val="18"/>
                <w:szCs w:val="18"/>
              </w:rPr>
              <w:t>º  semestre</w:t>
            </w:r>
            <w:proofErr w:type="gramEnd"/>
          </w:p>
        </w:tc>
        <w:tc>
          <w:tcPr>
            <w:tcW w:w="715" w:type="pct"/>
            <w:tcBorders>
              <w:top w:val="single" w:sz="4" w:space="0" w:color="F79646"/>
              <w:left w:val="nil"/>
              <w:bottom w:val="single" w:sz="4" w:space="0" w:color="F79646"/>
              <w:right w:val="nil"/>
            </w:tcBorders>
            <w:vAlign w:val="center"/>
          </w:tcPr>
          <w:p w14:paraId="3F292DFD" w14:textId="77777777"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w:t>
            </w:r>
            <w:proofErr w:type="gramStart"/>
            <w:r w:rsidRPr="00E20D21">
              <w:rPr>
                <w:rFonts w:ascii="CAIXA Std Book" w:eastAsia="Times New Roman" w:hAnsi="CAIXA Std Book" w:cs="Arial"/>
                <w:b/>
                <w:bCs/>
                <w:color w:val="005CA9"/>
                <w:sz w:val="18"/>
                <w:szCs w:val="18"/>
              </w:rPr>
              <w:t>º  semestre</w:t>
            </w:r>
            <w:proofErr w:type="gramEnd"/>
          </w:p>
        </w:tc>
        <w:tc>
          <w:tcPr>
            <w:tcW w:w="715" w:type="pct"/>
            <w:tcBorders>
              <w:top w:val="single" w:sz="4" w:space="0" w:color="F79646"/>
              <w:left w:val="nil"/>
              <w:bottom w:val="single" w:sz="4" w:space="0" w:color="F79646"/>
              <w:right w:val="nil"/>
            </w:tcBorders>
            <w:vAlign w:val="center"/>
          </w:tcPr>
          <w:p w14:paraId="29D609CB" w14:textId="77777777"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w:t>
            </w:r>
            <w:proofErr w:type="gramStart"/>
            <w:r w:rsidRPr="00E20D21">
              <w:rPr>
                <w:rFonts w:ascii="CAIXA Std Book" w:eastAsia="Times New Roman" w:hAnsi="CAIXA Std Book" w:cs="Arial"/>
                <w:b/>
                <w:bCs/>
                <w:color w:val="005CA9"/>
                <w:sz w:val="18"/>
                <w:szCs w:val="18"/>
              </w:rPr>
              <w:t>º  semestre</w:t>
            </w:r>
            <w:proofErr w:type="gramEnd"/>
          </w:p>
        </w:tc>
        <w:tc>
          <w:tcPr>
            <w:tcW w:w="715" w:type="pct"/>
            <w:tcBorders>
              <w:top w:val="single" w:sz="4" w:space="0" w:color="F79646"/>
              <w:left w:val="nil"/>
              <w:bottom w:val="single" w:sz="4" w:space="0" w:color="F79646"/>
              <w:right w:val="nil"/>
            </w:tcBorders>
            <w:vAlign w:val="center"/>
          </w:tcPr>
          <w:p w14:paraId="13428425" w14:textId="77777777" w:rsidR="00495BFD" w:rsidRPr="00E20D21" w:rsidRDefault="00495BFD" w:rsidP="00495BF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w:t>
            </w:r>
            <w:proofErr w:type="gramStart"/>
            <w:r w:rsidRPr="00E20D21">
              <w:rPr>
                <w:rFonts w:ascii="CAIXA Std Book" w:eastAsia="Times New Roman" w:hAnsi="CAIXA Std Book" w:cs="Arial"/>
                <w:b/>
                <w:bCs/>
                <w:color w:val="005CA9"/>
                <w:sz w:val="18"/>
                <w:szCs w:val="18"/>
              </w:rPr>
              <w:t>º  semestre</w:t>
            </w:r>
            <w:proofErr w:type="gramEnd"/>
          </w:p>
        </w:tc>
      </w:tr>
      <w:tr w:rsidR="00495BFD" w:rsidRPr="00E20D21" w14:paraId="178695B2" w14:textId="77777777" w:rsidTr="00431040">
        <w:trPr>
          <w:trHeight w:val="283"/>
        </w:trPr>
        <w:tc>
          <w:tcPr>
            <w:tcW w:w="2140" w:type="pct"/>
            <w:tcBorders>
              <w:top w:val="single" w:sz="4" w:space="0" w:color="F79646"/>
              <w:left w:val="nil"/>
              <w:bottom w:val="nil"/>
              <w:right w:val="nil"/>
            </w:tcBorders>
            <w:shd w:val="clear" w:color="auto" w:fill="auto"/>
            <w:noWrap/>
            <w:vAlign w:val="center"/>
            <w:hideMark/>
          </w:tcPr>
          <w:p w14:paraId="5DA6880C" w14:textId="77777777" w:rsidR="00495BFD" w:rsidRPr="00E20D21" w:rsidRDefault="00495BFD" w:rsidP="001A1D35">
            <w:pPr>
              <w:rPr>
                <w:rFonts w:ascii="CAIXA Std Book" w:eastAsia="Times New Roman" w:hAnsi="CAIXA Std Book" w:cs="Arial"/>
                <w:i/>
                <w:iCs/>
                <w:color w:val="005CA9"/>
                <w:sz w:val="18"/>
                <w:szCs w:val="18"/>
              </w:rPr>
            </w:pPr>
            <w:r w:rsidRPr="00E20D21">
              <w:rPr>
                <w:rFonts w:ascii="CAIXA Std Book" w:eastAsia="Times New Roman" w:hAnsi="CAIXA Std Book" w:cs="Arial"/>
                <w:i/>
                <w:iCs/>
                <w:color w:val="005CA9"/>
                <w:sz w:val="18"/>
                <w:szCs w:val="18"/>
              </w:rPr>
              <w:t xml:space="preserve">Swap </w:t>
            </w:r>
          </w:p>
        </w:tc>
        <w:tc>
          <w:tcPr>
            <w:tcW w:w="715" w:type="pct"/>
            <w:tcBorders>
              <w:top w:val="nil"/>
              <w:left w:val="nil"/>
              <w:bottom w:val="nil"/>
              <w:right w:val="nil"/>
            </w:tcBorders>
            <w:shd w:val="clear" w:color="auto" w:fill="auto"/>
            <w:vAlign w:val="center"/>
          </w:tcPr>
          <w:p w14:paraId="58BE2F2A" w14:textId="26371A50" w:rsidR="00495BFD" w:rsidRPr="00E20D21" w:rsidRDefault="00AF1BEA" w:rsidP="001A1D35">
            <w:pPr>
              <w:jc w:val="right"/>
              <w:rPr>
                <w:rFonts w:ascii="CAIXA Std Book" w:hAnsi="CAIXA Std Book" w:cs="Arial"/>
                <w:color w:val="005CA9"/>
                <w:sz w:val="18"/>
                <w:szCs w:val="18"/>
              </w:rPr>
            </w:pPr>
            <w:r w:rsidRPr="00E20D21">
              <w:rPr>
                <w:rFonts w:ascii="CAIXA Std Book" w:hAnsi="CAIXA Std Book" w:cs="Arial"/>
                <w:color w:val="005CA9"/>
                <w:sz w:val="18"/>
                <w:szCs w:val="18"/>
              </w:rPr>
              <w:t>2.087</w:t>
            </w:r>
          </w:p>
        </w:tc>
        <w:tc>
          <w:tcPr>
            <w:tcW w:w="715" w:type="pct"/>
            <w:tcBorders>
              <w:top w:val="nil"/>
              <w:left w:val="nil"/>
              <w:bottom w:val="nil"/>
              <w:right w:val="nil"/>
            </w:tcBorders>
            <w:shd w:val="clear" w:color="auto" w:fill="auto"/>
            <w:vAlign w:val="center"/>
          </w:tcPr>
          <w:p w14:paraId="1324534D" w14:textId="77777777" w:rsidR="00495BFD" w:rsidRPr="00E20D21" w:rsidRDefault="00495BFD" w:rsidP="001A1D35">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33.806</w:t>
            </w:r>
          </w:p>
        </w:tc>
        <w:tc>
          <w:tcPr>
            <w:tcW w:w="715" w:type="pct"/>
            <w:tcBorders>
              <w:top w:val="nil"/>
              <w:left w:val="nil"/>
              <w:bottom w:val="nil"/>
              <w:right w:val="nil"/>
            </w:tcBorders>
            <w:shd w:val="clear" w:color="auto" w:fill="auto"/>
            <w:vAlign w:val="center"/>
          </w:tcPr>
          <w:p w14:paraId="739C59CE" w14:textId="3EB4980E" w:rsidR="00495BFD" w:rsidRPr="00E20D21" w:rsidRDefault="00897200" w:rsidP="001A1D3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2.140</w:t>
            </w:r>
          </w:p>
        </w:tc>
        <w:tc>
          <w:tcPr>
            <w:tcW w:w="715" w:type="pct"/>
            <w:tcBorders>
              <w:top w:val="nil"/>
              <w:left w:val="nil"/>
              <w:bottom w:val="nil"/>
              <w:right w:val="nil"/>
            </w:tcBorders>
            <w:shd w:val="clear" w:color="auto" w:fill="auto"/>
            <w:vAlign w:val="center"/>
          </w:tcPr>
          <w:p w14:paraId="502E33D0" w14:textId="77777777" w:rsidR="00495BFD" w:rsidRPr="00E20D21" w:rsidRDefault="00495BFD" w:rsidP="001A1D35">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33.806</w:t>
            </w:r>
          </w:p>
        </w:tc>
      </w:tr>
      <w:tr w:rsidR="00495BFD" w:rsidRPr="00E20D21" w14:paraId="6D9A8174" w14:textId="77777777" w:rsidTr="00431040">
        <w:trPr>
          <w:trHeight w:val="283"/>
        </w:trPr>
        <w:tc>
          <w:tcPr>
            <w:tcW w:w="2140" w:type="pct"/>
            <w:tcBorders>
              <w:top w:val="nil"/>
              <w:left w:val="nil"/>
              <w:bottom w:val="nil"/>
              <w:right w:val="nil"/>
            </w:tcBorders>
            <w:shd w:val="clear" w:color="auto" w:fill="auto"/>
            <w:noWrap/>
            <w:vAlign w:val="center"/>
            <w:hideMark/>
          </w:tcPr>
          <w:p w14:paraId="21298D0E" w14:textId="77777777" w:rsidR="00495BFD" w:rsidRPr="00E20D21" w:rsidRDefault="00495BFD" w:rsidP="001A1D35">
            <w:pPr>
              <w:jc w:val="both"/>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Futuro </w:t>
            </w:r>
          </w:p>
        </w:tc>
        <w:tc>
          <w:tcPr>
            <w:tcW w:w="715" w:type="pct"/>
            <w:tcBorders>
              <w:top w:val="nil"/>
              <w:left w:val="nil"/>
              <w:bottom w:val="nil"/>
              <w:right w:val="nil"/>
            </w:tcBorders>
            <w:shd w:val="clear" w:color="auto" w:fill="auto"/>
            <w:vAlign w:val="center"/>
          </w:tcPr>
          <w:p w14:paraId="52151F30" w14:textId="4940CF2C" w:rsidR="00495BFD" w:rsidRPr="00E20D21" w:rsidRDefault="00AF1BEA" w:rsidP="001A1D35">
            <w:pPr>
              <w:jc w:val="right"/>
              <w:rPr>
                <w:rFonts w:ascii="CAIXA Std Book" w:hAnsi="CAIXA Std Book" w:cs="Arial"/>
                <w:color w:val="005CA9"/>
                <w:sz w:val="18"/>
                <w:szCs w:val="18"/>
              </w:rPr>
            </w:pPr>
            <w:r w:rsidRPr="00E20D21">
              <w:rPr>
                <w:rFonts w:ascii="CAIXA Std Book" w:hAnsi="CAIXA Std Book" w:cs="Arial"/>
                <w:color w:val="005CA9"/>
                <w:sz w:val="18"/>
                <w:szCs w:val="18"/>
              </w:rPr>
              <w:t>3.225.164</w:t>
            </w:r>
          </w:p>
        </w:tc>
        <w:tc>
          <w:tcPr>
            <w:tcW w:w="715" w:type="pct"/>
            <w:tcBorders>
              <w:top w:val="nil"/>
              <w:left w:val="nil"/>
              <w:bottom w:val="nil"/>
              <w:right w:val="nil"/>
            </w:tcBorders>
            <w:shd w:val="clear" w:color="auto" w:fill="auto"/>
            <w:vAlign w:val="center"/>
          </w:tcPr>
          <w:p w14:paraId="0F5A4AC2" w14:textId="77777777" w:rsidR="00495BFD" w:rsidRPr="00E20D21" w:rsidRDefault="00495BFD" w:rsidP="001A1D35">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(3.165.216)</w:t>
            </w:r>
          </w:p>
        </w:tc>
        <w:tc>
          <w:tcPr>
            <w:tcW w:w="715" w:type="pct"/>
            <w:tcBorders>
              <w:top w:val="nil"/>
              <w:left w:val="nil"/>
              <w:bottom w:val="nil"/>
              <w:right w:val="nil"/>
            </w:tcBorders>
            <w:shd w:val="clear" w:color="auto" w:fill="auto"/>
            <w:vAlign w:val="center"/>
          </w:tcPr>
          <w:p w14:paraId="15F2B18C" w14:textId="313A14F9" w:rsidR="00495BFD" w:rsidRPr="00E20D21" w:rsidRDefault="00897200" w:rsidP="001A1D3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3.223.493</w:t>
            </w:r>
          </w:p>
        </w:tc>
        <w:tc>
          <w:tcPr>
            <w:tcW w:w="715" w:type="pct"/>
            <w:tcBorders>
              <w:top w:val="nil"/>
              <w:left w:val="nil"/>
              <w:bottom w:val="nil"/>
              <w:right w:val="nil"/>
            </w:tcBorders>
            <w:shd w:val="clear" w:color="auto" w:fill="auto"/>
            <w:vAlign w:val="center"/>
          </w:tcPr>
          <w:p w14:paraId="1A91FCC3" w14:textId="77777777" w:rsidR="00495BFD" w:rsidRPr="00E20D21" w:rsidRDefault="00495BFD" w:rsidP="001A1D35">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(3.165.216)</w:t>
            </w:r>
          </w:p>
        </w:tc>
      </w:tr>
      <w:tr w:rsidR="00495BFD" w:rsidRPr="00E20D21" w14:paraId="17A32B01" w14:textId="77777777" w:rsidTr="00431040">
        <w:trPr>
          <w:trHeight w:val="283"/>
        </w:trPr>
        <w:tc>
          <w:tcPr>
            <w:tcW w:w="2140" w:type="pct"/>
            <w:tcBorders>
              <w:top w:val="nil"/>
              <w:left w:val="nil"/>
              <w:bottom w:val="single" w:sz="4" w:space="0" w:color="F79646"/>
              <w:right w:val="nil"/>
            </w:tcBorders>
            <w:shd w:val="clear" w:color="auto" w:fill="auto"/>
            <w:noWrap/>
            <w:vAlign w:val="center"/>
            <w:hideMark/>
          </w:tcPr>
          <w:p w14:paraId="5B653D52" w14:textId="77777777" w:rsidR="00495BFD" w:rsidRPr="00E20D21" w:rsidRDefault="00495BFD" w:rsidP="001A1D35">
            <w:pPr>
              <w:jc w:val="both"/>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FGTS </w:t>
            </w:r>
          </w:p>
        </w:tc>
        <w:tc>
          <w:tcPr>
            <w:tcW w:w="715" w:type="pct"/>
            <w:tcBorders>
              <w:top w:val="nil"/>
              <w:left w:val="nil"/>
              <w:bottom w:val="single" w:sz="8" w:space="0" w:color="F79646"/>
              <w:right w:val="nil"/>
            </w:tcBorders>
            <w:shd w:val="clear" w:color="auto" w:fill="auto"/>
            <w:vAlign w:val="center"/>
          </w:tcPr>
          <w:p w14:paraId="55EE4822" w14:textId="1A59B056" w:rsidR="00495BFD" w:rsidRPr="00E20D21" w:rsidRDefault="00FC05EF" w:rsidP="00FC05EF">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715" w:type="pct"/>
            <w:tcBorders>
              <w:top w:val="nil"/>
              <w:left w:val="nil"/>
              <w:bottom w:val="nil"/>
              <w:right w:val="nil"/>
            </w:tcBorders>
            <w:shd w:val="clear" w:color="auto" w:fill="auto"/>
            <w:vAlign w:val="center"/>
          </w:tcPr>
          <w:p w14:paraId="315215EC" w14:textId="77777777" w:rsidR="00495BFD" w:rsidRPr="00E20D21" w:rsidRDefault="00495BFD" w:rsidP="001A1D35">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(18.570)</w:t>
            </w:r>
          </w:p>
        </w:tc>
        <w:tc>
          <w:tcPr>
            <w:tcW w:w="715" w:type="pct"/>
            <w:tcBorders>
              <w:top w:val="nil"/>
              <w:left w:val="nil"/>
              <w:bottom w:val="single" w:sz="8" w:space="0" w:color="F79646"/>
              <w:right w:val="nil"/>
            </w:tcBorders>
            <w:shd w:val="clear" w:color="auto" w:fill="auto"/>
            <w:vAlign w:val="center"/>
          </w:tcPr>
          <w:p w14:paraId="351FC2D8" w14:textId="4B88AF1B" w:rsidR="00495BFD" w:rsidRPr="00E20D21" w:rsidRDefault="0085335F" w:rsidP="0085335F">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715" w:type="pct"/>
            <w:tcBorders>
              <w:top w:val="nil"/>
              <w:left w:val="nil"/>
              <w:bottom w:val="nil"/>
              <w:right w:val="nil"/>
            </w:tcBorders>
            <w:shd w:val="clear" w:color="auto" w:fill="auto"/>
            <w:vAlign w:val="center"/>
          </w:tcPr>
          <w:p w14:paraId="1E82B695" w14:textId="77777777" w:rsidR="00495BFD" w:rsidRPr="00E20D21" w:rsidRDefault="00495BFD" w:rsidP="001A1D35">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(18.570)</w:t>
            </w:r>
          </w:p>
        </w:tc>
      </w:tr>
      <w:tr w:rsidR="00495BFD" w:rsidRPr="00E20D21" w14:paraId="34AF8F73" w14:textId="77777777" w:rsidTr="00431040">
        <w:trPr>
          <w:trHeight w:val="283"/>
        </w:trPr>
        <w:tc>
          <w:tcPr>
            <w:tcW w:w="2140" w:type="pct"/>
            <w:tcBorders>
              <w:top w:val="single" w:sz="4" w:space="0" w:color="F79646"/>
              <w:left w:val="nil"/>
              <w:bottom w:val="single" w:sz="4" w:space="0" w:color="F79646"/>
              <w:right w:val="nil"/>
            </w:tcBorders>
            <w:shd w:val="clear" w:color="auto" w:fill="auto"/>
            <w:noWrap/>
            <w:vAlign w:val="center"/>
            <w:hideMark/>
          </w:tcPr>
          <w:p w14:paraId="69B573AB" w14:textId="77777777" w:rsidR="00495BFD" w:rsidRPr="00E20D21" w:rsidRDefault="00495BFD" w:rsidP="001A1D35">
            <w:pPr>
              <w:jc w:val="both"/>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realizado</w:t>
            </w:r>
          </w:p>
        </w:tc>
        <w:tc>
          <w:tcPr>
            <w:tcW w:w="715" w:type="pct"/>
            <w:tcBorders>
              <w:top w:val="nil"/>
              <w:left w:val="nil"/>
              <w:bottom w:val="single" w:sz="8" w:space="0" w:color="F79646"/>
              <w:right w:val="nil"/>
            </w:tcBorders>
            <w:shd w:val="clear" w:color="auto" w:fill="auto"/>
            <w:vAlign w:val="center"/>
          </w:tcPr>
          <w:p w14:paraId="71234AB3" w14:textId="0F9251BB" w:rsidR="00495BFD" w:rsidRPr="00E20D21" w:rsidRDefault="00AF1BEA" w:rsidP="001A1D35">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3.227.251</w:t>
            </w:r>
          </w:p>
        </w:tc>
        <w:tc>
          <w:tcPr>
            <w:tcW w:w="715" w:type="pct"/>
            <w:tcBorders>
              <w:top w:val="single" w:sz="4" w:space="0" w:color="F79646"/>
              <w:left w:val="nil"/>
              <w:bottom w:val="single" w:sz="4" w:space="0" w:color="F79646"/>
              <w:right w:val="nil"/>
            </w:tcBorders>
            <w:shd w:val="clear" w:color="auto" w:fill="auto"/>
            <w:vAlign w:val="center"/>
          </w:tcPr>
          <w:p w14:paraId="71F59E39" w14:textId="77777777" w:rsidR="00495BFD" w:rsidRPr="00E20D21" w:rsidRDefault="00495BFD" w:rsidP="001A1D3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(3.149.980)</w:t>
            </w:r>
          </w:p>
        </w:tc>
        <w:tc>
          <w:tcPr>
            <w:tcW w:w="715" w:type="pct"/>
            <w:tcBorders>
              <w:top w:val="nil"/>
              <w:left w:val="nil"/>
              <w:bottom w:val="single" w:sz="8" w:space="0" w:color="F79646"/>
              <w:right w:val="nil"/>
            </w:tcBorders>
            <w:shd w:val="clear" w:color="auto" w:fill="auto"/>
            <w:vAlign w:val="center"/>
          </w:tcPr>
          <w:p w14:paraId="76C3F1CE" w14:textId="5F6D07FD" w:rsidR="00495BFD" w:rsidRPr="00E20D21" w:rsidRDefault="00897200" w:rsidP="001A1D3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3.225.633</w:t>
            </w:r>
          </w:p>
        </w:tc>
        <w:tc>
          <w:tcPr>
            <w:tcW w:w="715" w:type="pct"/>
            <w:tcBorders>
              <w:top w:val="single" w:sz="4" w:space="0" w:color="F79646"/>
              <w:left w:val="nil"/>
              <w:bottom w:val="single" w:sz="4" w:space="0" w:color="F79646"/>
              <w:right w:val="nil"/>
            </w:tcBorders>
            <w:shd w:val="clear" w:color="auto" w:fill="auto"/>
            <w:vAlign w:val="center"/>
          </w:tcPr>
          <w:p w14:paraId="56206AD7" w14:textId="77777777" w:rsidR="00495BFD" w:rsidRPr="00E20D21" w:rsidRDefault="00495BFD" w:rsidP="001A1D3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(3.149.980)</w:t>
            </w:r>
          </w:p>
        </w:tc>
      </w:tr>
    </w:tbl>
    <w:p w14:paraId="139A3E8A" w14:textId="09198D14" w:rsidR="00495BFD" w:rsidRPr="00E20D21" w:rsidRDefault="00495BFD" w:rsidP="00495BFD">
      <w:pPr>
        <w:tabs>
          <w:tab w:val="left" w:pos="1650"/>
        </w:tabs>
        <w:spacing w:before="120" w:after="120"/>
        <w:jc w:val="both"/>
        <w:rPr>
          <w:rFonts w:ascii="CAIXA Std Book" w:eastAsiaTheme="minorHAnsi" w:hAnsi="CAIXA Std Book" w:cstheme="minorBidi"/>
          <w:color w:val="005CA9"/>
          <w:sz w:val="20"/>
          <w:szCs w:val="20"/>
          <w:lang w:eastAsia="en-US"/>
        </w:rPr>
        <w:sectPr w:rsidR="00495BFD" w:rsidRPr="00E20D21" w:rsidSect="001F0E96">
          <w:headerReference w:type="default" r:id="rId39"/>
          <w:footerReference w:type="default" r:id="rId40"/>
          <w:headerReference w:type="first" r:id="rId41"/>
          <w:footerReference w:type="first" r:id="rId42"/>
          <w:pgSz w:w="16840" w:h="11907" w:orient="landscape" w:code="9"/>
          <w:pgMar w:top="1418" w:right="851" w:bottom="851" w:left="1418" w:header="1134" w:footer="709" w:gutter="0"/>
          <w:cols w:space="708"/>
          <w:titlePg/>
          <w:docGrid w:linePitch="360"/>
        </w:sectPr>
      </w:pPr>
    </w:p>
    <w:p w14:paraId="7CE4F865" w14:textId="66D0AD36" w:rsidR="005F303D" w:rsidRPr="00E20D21" w:rsidRDefault="005F303D" w:rsidP="00FD7768">
      <w:pPr>
        <w:pStyle w:val="Ttulo1"/>
      </w:pPr>
      <w:bookmarkStart w:id="32" w:name="_Toc175067949"/>
      <w:r w:rsidRPr="00E20D21">
        <w:lastRenderedPageBreak/>
        <w:t xml:space="preserve">Nota   </w:t>
      </w:r>
      <w:r w:rsidR="004917F8" w:rsidRPr="00E20D21">
        <w:t>9</w:t>
      </w:r>
      <w:r w:rsidRPr="00E20D21">
        <w:t xml:space="preserve"> – Carteira de crédito</w:t>
      </w:r>
      <w:bookmarkEnd w:id="32"/>
    </w:p>
    <w:p w14:paraId="12F77F10" w14:textId="4D1900DD" w:rsidR="009D0D37" w:rsidRPr="00E20D21" w:rsidRDefault="009D0D37" w:rsidP="00180B11">
      <w:pPr>
        <w:pStyle w:val="PargrafodaLista"/>
        <w:numPr>
          <w:ilvl w:val="0"/>
          <w:numId w:val="9"/>
        </w:numPr>
        <w:spacing w:after="120"/>
        <w:ind w:left="0" w:firstLine="0"/>
        <w:contextualSpacing w:val="0"/>
        <w:jc w:val="both"/>
        <w:rPr>
          <w:rFonts w:ascii="CAIXA Std Book" w:hAnsi="CAIXA Std Book"/>
          <w:b/>
          <w:bCs/>
          <w:color w:val="005CA9"/>
          <w:sz w:val="20"/>
          <w:szCs w:val="20"/>
        </w:rPr>
      </w:pPr>
      <w:r w:rsidRPr="00E20D21">
        <w:rPr>
          <w:rFonts w:ascii="CAIXA Std Book" w:hAnsi="CAIXA Std Book"/>
          <w:b/>
          <w:bCs/>
          <w:color w:val="005CA9"/>
          <w:sz w:val="20"/>
          <w:szCs w:val="20"/>
        </w:rPr>
        <w:t>Composição da carteira de crédito por modalidades e níveis de risco</w:t>
      </w:r>
    </w:p>
    <w:p w14:paraId="5342F92C" w14:textId="546E88DB" w:rsidR="00CD3A67" w:rsidRPr="00E20D21" w:rsidRDefault="00CD3A67" w:rsidP="00BC7A90">
      <w:pPr>
        <w:spacing w:after="120"/>
        <w:ind w:right="112"/>
        <w:jc w:val="both"/>
        <w:rPr>
          <w:rFonts w:ascii="CAIXA Std Book" w:hAnsi="CAIXA Std Book"/>
          <w:color w:val="005CA9"/>
          <w:sz w:val="20"/>
          <w:szCs w:val="20"/>
        </w:rPr>
      </w:pPr>
      <w:r w:rsidRPr="00E20D21">
        <w:rPr>
          <w:rFonts w:ascii="CAIXA Std Book" w:hAnsi="CAIXA Std Book"/>
          <w:color w:val="005CA9"/>
          <w:sz w:val="20"/>
          <w:szCs w:val="20"/>
        </w:rPr>
        <w:t>A Carteira de crédito apresentou variação entre o Individual e o Consolidado de R$</w:t>
      </w:r>
      <w:r w:rsidR="00906ADC" w:rsidRPr="00E20D21">
        <w:rPr>
          <w:rFonts w:ascii="CAIXA Std Book" w:hAnsi="CAIXA Std Book"/>
          <w:color w:val="005CA9"/>
          <w:sz w:val="20"/>
          <w:szCs w:val="20"/>
        </w:rPr>
        <w:t xml:space="preserve"> </w:t>
      </w:r>
      <w:r w:rsidR="00A268CA" w:rsidRPr="00E20D21">
        <w:rPr>
          <w:rFonts w:ascii="CAIXA Std Book" w:hAnsi="CAIXA Std Book"/>
          <w:color w:val="005CA9"/>
          <w:sz w:val="20"/>
          <w:szCs w:val="20"/>
        </w:rPr>
        <w:t>1.046.077</w:t>
      </w:r>
      <w:r w:rsidR="006F6A32" w:rsidRPr="00E20D21">
        <w:rPr>
          <w:rFonts w:ascii="CAIXA Std Book" w:hAnsi="CAIXA Std Book"/>
          <w:color w:val="005CA9"/>
          <w:sz w:val="20"/>
          <w:szCs w:val="20"/>
        </w:rPr>
        <w:t xml:space="preserve">em </w:t>
      </w:r>
      <w:r w:rsidR="00545E38" w:rsidRPr="00E20D21">
        <w:rPr>
          <w:rFonts w:ascii="CAIXA Std Book" w:hAnsi="CAIXA Std Book"/>
          <w:color w:val="005CA9"/>
          <w:sz w:val="20"/>
          <w:szCs w:val="20"/>
        </w:rPr>
        <w:t>3</w:t>
      </w:r>
      <w:r w:rsidR="001F5A4D" w:rsidRPr="00E20D21">
        <w:rPr>
          <w:rFonts w:ascii="CAIXA Std Book" w:hAnsi="CAIXA Std Book"/>
          <w:color w:val="005CA9"/>
          <w:sz w:val="20"/>
          <w:szCs w:val="20"/>
        </w:rPr>
        <w:t>0/06/2024</w:t>
      </w:r>
      <w:r w:rsidRPr="00E20D21">
        <w:rPr>
          <w:rFonts w:ascii="CAIXA Std Book" w:hAnsi="CAIXA Std Book"/>
          <w:color w:val="005CA9"/>
          <w:sz w:val="20"/>
          <w:szCs w:val="20"/>
        </w:rPr>
        <w:t xml:space="preserve"> </w:t>
      </w:r>
      <w:r w:rsidR="00A71D0B" w:rsidRPr="00E20D21">
        <w:rPr>
          <w:rFonts w:ascii="CAIXA Std Book" w:hAnsi="CAIXA Std Book"/>
          <w:color w:val="005CA9"/>
          <w:sz w:val="20"/>
          <w:szCs w:val="20"/>
        </w:rPr>
        <w:t>(</w:t>
      </w:r>
      <w:r w:rsidR="00891ADE" w:rsidRPr="00E20D21">
        <w:rPr>
          <w:rFonts w:ascii="CAIXA Std Book" w:hAnsi="CAIXA Std Book"/>
          <w:color w:val="005CA9"/>
          <w:sz w:val="20"/>
          <w:szCs w:val="20"/>
        </w:rPr>
        <w:t>31/12/202</w:t>
      </w:r>
      <w:r w:rsidR="00562F8E" w:rsidRPr="00E20D21">
        <w:rPr>
          <w:rFonts w:ascii="CAIXA Std Book" w:hAnsi="CAIXA Std Book"/>
          <w:color w:val="005CA9"/>
          <w:sz w:val="20"/>
          <w:szCs w:val="20"/>
        </w:rPr>
        <w:t>3</w:t>
      </w:r>
      <w:r w:rsidR="00921A15" w:rsidRPr="00E20D21">
        <w:rPr>
          <w:rFonts w:ascii="CAIXA Std Book" w:hAnsi="CAIXA Std Book"/>
          <w:color w:val="005CA9"/>
          <w:sz w:val="20"/>
          <w:szCs w:val="20"/>
        </w:rPr>
        <w:t xml:space="preserve"> </w:t>
      </w:r>
      <w:r w:rsidR="00A71D0B" w:rsidRPr="00E20D21">
        <w:rPr>
          <w:rFonts w:ascii="CAIXA Std Book" w:hAnsi="CAIXA Std Book"/>
          <w:color w:val="005CA9"/>
          <w:sz w:val="20"/>
          <w:szCs w:val="20"/>
        </w:rPr>
        <w:t xml:space="preserve">– R$ </w:t>
      </w:r>
      <w:r w:rsidR="0075279A" w:rsidRPr="00E20D21">
        <w:rPr>
          <w:rFonts w:ascii="CAIXA Std Book" w:hAnsi="CAIXA Std Book"/>
          <w:color w:val="005CA9"/>
          <w:sz w:val="20"/>
          <w:szCs w:val="20"/>
        </w:rPr>
        <w:t>1.047.591</w:t>
      </w:r>
      <w:r w:rsidR="00967756" w:rsidRPr="00E20D21">
        <w:rPr>
          <w:rFonts w:ascii="CAIXA Std Book" w:hAnsi="CAIXA Std Book"/>
          <w:color w:val="005CA9"/>
          <w:sz w:val="20"/>
          <w:szCs w:val="20"/>
        </w:rPr>
        <w:t>)</w:t>
      </w:r>
      <w:r w:rsidR="00A71D0B" w:rsidRPr="00E20D21">
        <w:rPr>
          <w:rFonts w:ascii="CAIXA Std Book" w:hAnsi="CAIXA Std Book"/>
          <w:color w:val="005CA9"/>
          <w:sz w:val="20"/>
          <w:szCs w:val="20"/>
        </w:rPr>
        <w:t xml:space="preserve"> </w:t>
      </w:r>
      <w:r w:rsidRPr="00E20D21">
        <w:rPr>
          <w:rFonts w:ascii="CAIXA Std Book" w:hAnsi="CAIXA Std Book"/>
          <w:color w:val="005CA9"/>
          <w:sz w:val="20"/>
          <w:szCs w:val="20"/>
        </w:rPr>
        <w:t>decorrente das operações com Empréstimos e títulos descontados rating AA do</w:t>
      </w:r>
      <w:r w:rsidR="00DC5C61" w:rsidRPr="00E20D21">
        <w:rPr>
          <w:rFonts w:ascii="CAIXA Std Book" w:hAnsi="CAIXA Std Book"/>
          <w:color w:val="005CA9"/>
          <w:sz w:val="20"/>
          <w:szCs w:val="20"/>
        </w:rPr>
        <w:t>s</w:t>
      </w:r>
      <w:r w:rsidRPr="00E20D21">
        <w:rPr>
          <w:rFonts w:ascii="CAIXA Std Book" w:hAnsi="CAIXA Std Book"/>
          <w:color w:val="005CA9"/>
          <w:sz w:val="20"/>
          <w:szCs w:val="20"/>
        </w:rPr>
        <w:t xml:space="preserve"> Fundo</w:t>
      </w:r>
      <w:r w:rsidR="00DC5C61" w:rsidRPr="00E20D21">
        <w:rPr>
          <w:rFonts w:ascii="CAIXA Std Book" w:hAnsi="CAIXA Std Book"/>
          <w:color w:val="005CA9"/>
          <w:sz w:val="20"/>
          <w:szCs w:val="20"/>
        </w:rPr>
        <w:t>s</w:t>
      </w:r>
      <w:r w:rsidRPr="00E20D21">
        <w:rPr>
          <w:rFonts w:ascii="CAIXA Std Book" w:hAnsi="CAIXA Std Book"/>
          <w:color w:val="005CA9"/>
          <w:sz w:val="20"/>
          <w:szCs w:val="20"/>
        </w:rPr>
        <w:t xml:space="preserve"> FIDC.</w:t>
      </w:r>
    </w:p>
    <w:tbl>
      <w:tblPr>
        <w:tblW w:w="5000" w:type="pct"/>
        <w:tblLayout w:type="fixed"/>
        <w:tblCellMar>
          <w:left w:w="70" w:type="dxa"/>
          <w:right w:w="70" w:type="dxa"/>
        </w:tblCellMar>
        <w:tblLook w:val="04A0" w:firstRow="1" w:lastRow="0" w:firstColumn="1" w:lastColumn="0" w:noHBand="0" w:noVBand="1"/>
      </w:tblPr>
      <w:tblGrid>
        <w:gridCol w:w="3260"/>
        <w:gridCol w:w="990"/>
        <w:gridCol w:w="994"/>
        <w:gridCol w:w="994"/>
        <w:gridCol w:w="991"/>
        <w:gridCol w:w="994"/>
        <w:gridCol w:w="991"/>
        <w:gridCol w:w="982"/>
        <w:gridCol w:w="994"/>
        <w:gridCol w:w="991"/>
        <w:gridCol w:w="1137"/>
        <w:gridCol w:w="1253"/>
      </w:tblGrid>
      <w:tr w:rsidR="00446191" w:rsidRPr="00E20D21" w14:paraId="3D3D46E1" w14:textId="77777777" w:rsidTr="00962D75">
        <w:trPr>
          <w:trHeight w:val="255"/>
        </w:trPr>
        <w:tc>
          <w:tcPr>
            <w:tcW w:w="5000" w:type="pct"/>
            <w:gridSpan w:val="12"/>
            <w:tcBorders>
              <w:top w:val="single" w:sz="4" w:space="0" w:color="F39200"/>
              <w:left w:val="nil"/>
              <w:bottom w:val="single" w:sz="4" w:space="0" w:color="F39200"/>
              <w:right w:val="nil"/>
            </w:tcBorders>
            <w:vAlign w:val="center"/>
          </w:tcPr>
          <w:p w14:paraId="45BEA142"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INDIVIDUAL</w:t>
            </w:r>
          </w:p>
        </w:tc>
      </w:tr>
      <w:tr w:rsidR="0005492B" w:rsidRPr="00E20D21" w14:paraId="1BC83A19" w14:textId="77777777" w:rsidTr="00962D75">
        <w:trPr>
          <w:trHeight w:val="255"/>
        </w:trPr>
        <w:tc>
          <w:tcPr>
            <w:tcW w:w="1119" w:type="pct"/>
            <w:tcBorders>
              <w:top w:val="single" w:sz="4" w:space="0" w:color="F39200"/>
              <w:left w:val="nil"/>
              <w:bottom w:val="single" w:sz="4" w:space="0" w:color="F39200"/>
              <w:right w:val="nil"/>
            </w:tcBorders>
            <w:shd w:val="clear" w:color="auto" w:fill="auto"/>
            <w:noWrap/>
            <w:vAlign w:val="center"/>
            <w:hideMark/>
          </w:tcPr>
          <w:p w14:paraId="72D500C6" w14:textId="77777777" w:rsidR="00446191" w:rsidRPr="00E20D21" w:rsidRDefault="00446191">
            <w:pPr>
              <w:rPr>
                <w:rFonts w:ascii="CAIXA Std Book" w:hAnsi="CAIXA Std Book"/>
                <w:b/>
                <w:color w:val="005CA9"/>
                <w:sz w:val="14"/>
                <w:szCs w:val="14"/>
              </w:rPr>
            </w:pPr>
            <w:r w:rsidRPr="00E20D21">
              <w:rPr>
                <w:rFonts w:ascii="CAIXA Std Book" w:hAnsi="CAIXA Std Book"/>
                <w:b/>
                <w:color w:val="005CA9"/>
                <w:sz w:val="14"/>
                <w:szCs w:val="14"/>
              </w:rPr>
              <w:t>Carteira de crédito</w:t>
            </w:r>
          </w:p>
        </w:tc>
        <w:tc>
          <w:tcPr>
            <w:tcW w:w="340" w:type="pct"/>
            <w:tcBorders>
              <w:top w:val="single" w:sz="4" w:space="0" w:color="F39200"/>
              <w:left w:val="nil"/>
              <w:bottom w:val="single" w:sz="4" w:space="0" w:color="F39200"/>
              <w:right w:val="nil"/>
            </w:tcBorders>
            <w:shd w:val="clear" w:color="auto" w:fill="auto"/>
            <w:noWrap/>
            <w:vAlign w:val="center"/>
            <w:hideMark/>
          </w:tcPr>
          <w:p w14:paraId="708BA05E"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AA</w:t>
            </w:r>
          </w:p>
        </w:tc>
        <w:tc>
          <w:tcPr>
            <w:tcW w:w="341" w:type="pct"/>
            <w:tcBorders>
              <w:top w:val="single" w:sz="4" w:space="0" w:color="F39200"/>
              <w:left w:val="nil"/>
              <w:bottom w:val="single" w:sz="4" w:space="0" w:color="F39200"/>
              <w:right w:val="nil"/>
            </w:tcBorders>
            <w:shd w:val="clear" w:color="auto" w:fill="auto"/>
            <w:noWrap/>
            <w:vAlign w:val="center"/>
            <w:hideMark/>
          </w:tcPr>
          <w:p w14:paraId="37941A7A"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A</w:t>
            </w:r>
          </w:p>
        </w:tc>
        <w:tc>
          <w:tcPr>
            <w:tcW w:w="341" w:type="pct"/>
            <w:tcBorders>
              <w:top w:val="single" w:sz="4" w:space="0" w:color="F39200"/>
              <w:left w:val="nil"/>
              <w:bottom w:val="single" w:sz="4" w:space="0" w:color="F39200"/>
              <w:right w:val="nil"/>
            </w:tcBorders>
            <w:shd w:val="clear" w:color="auto" w:fill="auto"/>
            <w:noWrap/>
            <w:vAlign w:val="center"/>
            <w:hideMark/>
          </w:tcPr>
          <w:p w14:paraId="47C89C8D"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B</w:t>
            </w:r>
          </w:p>
        </w:tc>
        <w:tc>
          <w:tcPr>
            <w:tcW w:w="340" w:type="pct"/>
            <w:tcBorders>
              <w:top w:val="single" w:sz="4" w:space="0" w:color="F39200"/>
              <w:left w:val="nil"/>
              <w:bottom w:val="single" w:sz="4" w:space="0" w:color="F39200"/>
              <w:right w:val="nil"/>
            </w:tcBorders>
            <w:shd w:val="clear" w:color="auto" w:fill="auto"/>
            <w:noWrap/>
            <w:vAlign w:val="center"/>
            <w:hideMark/>
          </w:tcPr>
          <w:p w14:paraId="762AAC14"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C</w:t>
            </w:r>
          </w:p>
        </w:tc>
        <w:tc>
          <w:tcPr>
            <w:tcW w:w="341" w:type="pct"/>
            <w:tcBorders>
              <w:top w:val="single" w:sz="4" w:space="0" w:color="F39200"/>
              <w:left w:val="nil"/>
              <w:bottom w:val="single" w:sz="4" w:space="0" w:color="F39200"/>
              <w:right w:val="nil"/>
            </w:tcBorders>
            <w:shd w:val="clear" w:color="auto" w:fill="auto"/>
            <w:noWrap/>
            <w:vAlign w:val="center"/>
            <w:hideMark/>
          </w:tcPr>
          <w:p w14:paraId="5E1879D1" w14:textId="77777777" w:rsidR="00446191" w:rsidRPr="00E20D21" w:rsidRDefault="00446191">
            <w:pPr>
              <w:ind w:right="379"/>
              <w:jc w:val="center"/>
              <w:rPr>
                <w:rFonts w:ascii="CAIXA Std Book" w:hAnsi="CAIXA Std Book"/>
                <w:b/>
                <w:color w:val="005CA9"/>
                <w:sz w:val="14"/>
                <w:szCs w:val="14"/>
              </w:rPr>
            </w:pPr>
            <w:r w:rsidRPr="00E20D21">
              <w:rPr>
                <w:rFonts w:ascii="CAIXA Std Book" w:hAnsi="CAIXA Std Book"/>
                <w:b/>
                <w:color w:val="005CA9"/>
                <w:sz w:val="14"/>
                <w:szCs w:val="14"/>
              </w:rPr>
              <w:t>D</w:t>
            </w:r>
          </w:p>
        </w:tc>
        <w:tc>
          <w:tcPr>
            <w:tcW w:w="340" w:type="pct"/>
            <w:tcBorders>
              <w:top w:val="single" w:sz="4" w:space="0" w:color="F39200"/>
              <w:left w:val="nil"/>
              <w:bottom w:val="single" w:sz="4" w:space="0" w:color="F39200"/>
              <w:right w:val="nil"/>
            </w:tcBorders>
            <w:shd w:val="clear" w:color="auto" w:fill="auto"/>
            <w:noWrap/>
            <w:vAlign w:val="center"/>
            <w:hideMark/>
          </w:tcPr>
          <w:p w14:paraId="6C063F2F"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E</w:t>
            </w:r>
          </w:p>
        </w:tc>
        <w:tc>
          <w:tcPr>
            <w:tcW w:w="337" w:type="pct"/>
            <w:tcBorders>
              <w:top w:val="single" w:sz="4" w:space="0" w:color="F39200"/>
              <w:left w:val="nil"/>
              <w:bottom w:val="single" w:sz="4" w:space="0" w:color="F39200"/>
              <w:right w:val="nil"/>
            </w:tcBorders>
            <w:shd w:val="clear" w:color="auto" w:fill="auto"/>
            <w:noWrap/>
            <w:vAlign w:val="center"/>
            <w:hideMark/>
          </w:tcPr>
          <w:p w14:paraId="46B2DC5E"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F</w:t>
            </w:r>
          </w:p>
        </w:tc>
        <w:tc>
          <w:tcPr>
            <w:tcW w:w="341" w:type="pct"/>
            <w:tcBorders>
              <w:top w:val="single" w:sz="4" w:space="0" w:color="F39200"/>
              <w:left w:val="nil"/>
              <w:bottom w:val="single" w:sz="4" w:space="0" w:color="F39200"/>
              <w:right w:val="nil"/>
            </w:tcBorders>
            <w:shd w:val="clear" w:color="auto" w:fill="auto"/>
            <w:noWrap/>
            <w:vAlign w:val="center"/>
            <w:hideMark/>
          </w:tcPr>
          <w:p w14:paraId="56BCEA5F"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G</w:t>
            </w:r>
          </w:p>
        </w:tc>
        <w:tc>
          <w:tcPr>
            <w:tcW w:w="340" w:type="pct"/>
            <w:tcBorders>
              <w:top w:val="single" w:sz="4" w:space="0" w:color="F39200"/>
              <w:left w:val="nil"/>
              <w:bottom w:val="single" w:sz="4" w:space="0" w:color="F39200"/>
              <w:right w:val="nil"/>
            </w:tcBorders>
            <w:shd w:val="clear" w:color="auto" w:fill="auto"/>
            <w:noWrap/>
            <w:vAlign w:val="center"/>
            <w:hideMark/>
          </w:tcPr>
          <w:p w14:paraId="287831C1"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H</w:t>
            </w:r>
          </w:p>
        </w:tc>
        <w:tc>
          <w:tcPr>
            <w:tcW w:w="390" w:type="pct"/>
            <w:tcBorders>
              <w:top w:val="single" w:sz="4" w:space="0" w:color="F39200"/>
              <w:left w:val="nil"/>
              <w:bottom w:val="single" w:sz="4" w:space="0" w:color="F39200"/>
              <w:right w:val="nil"/>
            </w:tcBorders>
            <w:shd w:val="clear" w:color="auto" w:fill="auto"/>
            <w:noWrap/>
            <w:vAlign w:val="center"/>
          </w:tcPr>
          <w:p w14:paraId="26197A87"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30/06/2024</w:t>
            </w:r>
          </w:p>
        </w:tc>
        <w:tc>
          <w:tcPr>
            <w:tcW w:w="430" w:type="pct"/>
            <w:tcBorders>
              <w:top w:val="single" w:sz="4" w:space="0" w:color="F39200"/>
              <w:left w:val="nil"/>
              <w:bottom w:val="single" w:sz="4" w:space="0" w:color="F39200"/>
              <w:right w:val="nil"/>
            </w:tcBorders>
            <w:vAlign w:val="center"/>
          </w:tcPr>
          <w:p w14:paraId="3A7E5679" w14:textId="77777777" w:rsidR="00446191" w:rsidRPr="00E20D21" w:rsidRDefault="00446191">
            <w:pPr>
              <w:jc w:val="center"/>
              <w:rPr>
                <w:rFonts w:ascii="CAIXA Std Book" w:hAnsi="CAIXA Std Book"/>
                <w:b/>
                <w:color w:val="005CA9"/>
                <w:sz w:val="14"/>
                <w:szCs w:val="14"/>
              </w:rPr>
            </w:pPr>
            <w:r w:rsidRPr="00E20D21">
              <w:rPr>
                <w:rFonts w:ascii="CAIXA Std Book" w:hAnsi="CAIXA Std Book"/>
                <w:b/>
                <w:color w:val="005CA9"/>
                <w:sz w:val="14"/>
                <w:szCs w:val="14"/>
              </w:rPr>
              <w:t>31/12/2023</w:t>
            </w:r>
          </w:p>
        </w:tc>
      </w:tr>
      <w:tr w:rsidR="0005492B" w:rsidRPr="00E20D21" w14:paraId="5986F586" w14:textId="77777777" w:rsidTr="00962D75">
        <w:trPr>
          <w:trHeight w:val="255"/>
        </w:trPr>
        <w:tc>
          <w:tcPr>
            <w:tcW w:w="1119" w:type="pct"/>
            <w:tcBorders>
              <w:top w:val="nil"/>
              <w:left w:val="nil"/>
              <w:bottom w:val="nil"/>
              <w:right w:val="nil"/>
            </w:tcBorders>
            <w:shd w:val="clear" w:color="auto" w:fill="auto"/>
            <w:noWrap/>
            <w:vAlign w:val="center"/>
            <w:hideMark/>
          </w:tcPr>
          <w:p w14:paraId="6B699843" w14:textId="77777777" w:rsidR="00446191" w:rsidRPr="00E20D21" w:rsidRDefault="00446191">
            <w:pPr>
              <w:rPr>
                <w:rFonts w:ascii="CAIXA Std Book" w:hAnsi="CAIXA Std Book"/>
                <w:b/>
                <w:color w:val="005CA9"/>
                <w:sz w:val="14"/>
                <w:szCs w:val="14"/>
              </w:rPr>
            </w:pPr>
            <w:r w:rsidRPr="00E20D21">
              <w:rPr>
                <w:rFonts w:ascii="CAIXA Std Book" w:hAnsi="CAIXA Std Book"/>
                <w:b/>
                <w:color w:val="005CA9"/>
                <w:sz w:val="14"/>
                <w:szCs w:val="14"/>
              </w:rPr>
              <w:t>Operações de crédito</w:t>
            </w:r>
          </w:p>
        </w:tc>
        <w:tc>
          <w:tcPr>
            <w:tcW w:w="340" w:type="pct"/>
            <w:tcBorders>
              <w:top w:val="nil"/>
              <w:left w:val="nil"/>
              <w:bottom w:val="nil"/>
              <w:right w:val="nil"/>
            </w:tcBorders>
            <w:shd w:val="clear" w:color="auto" w:fill="auto"/>
            <w:noWrap/>
            <w:vAlign w:val="center"/>
          </w:tcPr>
          <w:p w14:paraId="4D03319C"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583.446.002</w:t>
            </w:r>
          </w:p>
        </w:tc>
        <w:tc>
          <w:tcPr>
            <w:tcW w:w="341" w:type="pct"/>
            <w:tcBorders>
              <w:top w:val="nil"/>
              <w:left w:val="nil"/>
              <w:bottom w:val="nil"/>
              <w:right w:val="nil"/>
            </w:tcBorders>
            <w:shd w:val="clear" w:color="auto" w:fill="auto"/>
            <w:noWrap/>
            <w:vAlign w:val="center"/>
          </w:tcPr>
          <w:p w14:paraId="0E92FD79"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167.184.340</w:t>
            </w:r>
          </w:p>
        </w:tc>
        <w:tc>
          <w:tcPr>
            <w:tcW w:w="341" w:type="pct"/>
            <w:tcBorders>
              <w:top w:val="nil"/>
              <w:left w:val="nil"/>
              <w:bottom w:val="nil"/>
              <w:right w:val="nil"/>
            </w:tcBorders>
            <w:shd w:val="clear" w:color="auto" w:fill="auto"/>
            <w:noWrap/>
            <w:vAlign w:val="center"/>
          </w:tcPr>
          <w:p w14:paraId="3812CF98"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195.728.685</w:t>
            </w:r>
          </w:p>
        </w:tc>
        <w:tc>
          <w:tcPr>
            <w:tcW w:w="340" w:type="pct"/>
            <w:tcBorders>
              <w:top w:val="nil"/>
              <w:left w:val="nil"/>
              <w:bottom w:val="nil"/>
              <w:right w:val="nil"/>
            </w:tcBorders>
            <w:shd w:val="clear" w:color="auto" w:fill="auto"/>
            <w:noWrap/>
            <w:vAlign w:val="center"/>
          </w:tcPr>
          <w:p w14:paraId="44B2BC61"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135.139.988</w:t>
            </w:r>
          </w:p>
        </w:tc>
        <w:tc>
          <w:tcPr>
            <w:tcW w:w="341" w:type="pct"/>
            <w:tcBorders>
              <w:top w:val="nil"/>
              <w:left w:val="nil"/>
              <w:bottom w:val="nil"/>
              <w:right w:val="nil"/>
            </w:tcBorders>
            <w:shd w:val="clear" w:color="auto" w:fill="auto"/>
            <w:noWrap/>
            <w:vAlign w:val="center"/>
          </w:tcPr>
          <w:p w14:paraId="17F1BDFE"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26.283.667</w:t>
            </w:r>
          </w:p>
        </w:tc>
        <w:tc>
          <w:tcPr>
            <w:tcW w:w="340" w:type="pct"/>
            <w:tcBorders>
              <w:top w:val="nil"/>
              <w:left w:val="nil"/>
              <w:bottom w:val="nil"/>
              <w:right w:val="nil"/>
            </w:tcBorders>
            <w:shd w:val="clear" w:color="auto" w:fill="auto"/>
            <w:noWrap/>
            <w:vAlign w:val="center"/>
          </w:tcPr>
          <w:p w14:paraId="30126A34"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15.292.117</w:t>
            </w:r>
          </w:p>
        </w:tc>
        <w:tc>
          <w:tcPr>
            <w:tcW w:w="337" w:type="pct"/>
            <w:tcBorders>
              <w:top w:val="nil"/>
              <w:left w:val="nil"/>
              <w:bottom w:val="nil"/>
              <w:right w:val="nil"/>
            </w:tcBorders>
            <w:shd w:val="clear" w:color="auto" w:fill="auto"/>
            <w:noWrap/>
            <w:vAlign w:val="center"/>
          </w:tcPr>
          <w:p w14:paraId="4D8117D2"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8.786.596</w:t>
            </w:r>
          </w:p>
        </w:tc>
        <w:tc>
          <w:tcPr>
            <w:tcW w:w="341" w:type="pct"/>
            <w:tcBorders>
              <w:top w:val="nil"/>
              <w:left w:val="nil"/>
              <w:bottom w:val="nil"/>
              <w:right w:val="nil"/>
            </w:tcBorders>
            <w:shd w:val="clear" w:color="auto" w:fill="auto"/>
            <w:noWrap/>
            <w:vAlign w:val="center"/>
          </w:tcPr>
          <w:p w14:paraId="6C7B9F57" w14:textId="29C6107B"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11.597.</w:t>
            </w:r>
            <w:r w:rsidR="001C6D82" w:rsidRPr="00E20D21">
              <w:rPr>
                <w:rFonts w:ascii="CAIXA Std Book" w:hAnsi="CAIXA Std Book" w:cs="Arial"/>
                <w:b/>
                <w:color w:val="005CA9"/>
                <w:sz w:val="14"/>
                <w:szCs w:val="14"/>
              </w:rPr>
              <w:t>102</w:t>
            </w:r>
          </w:p>
        </w:tc>
        <w:tc>
          <w:tcPr>
            <w:tcW w:w="340" w:type="pct"/>
            <w:tcBorders>
              <w:top w:val="nil"/>
              <w:left w:val="nil"/>
              <w:bottom w:val="nil"/>
              <w:right w:val="nil"/>
            </w:tcBorders>
            <w:shd w:val="clear" w:color="auto" w:fill="auto"/>
            <w:noWrap/>
            <w:vAlign w:val="center"/>
          </w:tcPr>
          <w:p w14:paraId="5D9CB474" w14:textId="5D6C1A2D"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16.534.00</w:t>
            </w:r>
            <w:r w:rsidR="00B23CDF" w:rsidRPr="00E20D21">
              <w:rPr>
                <w:rFonts w:ascii="CAIXA Std Book" w:hAnsi="CAIXA Std Book" w:cs="Arial"/>
                <w:b/>
                <w:color w:val="005CA9"/>
                <w:sz w:val="14"/>
                <w:szCs w:val="14"/>
              </w:rPr>
              <w:t>6</w:t>
            </w:r>
          </w:p>
        </w:tc>
        <w:tc>
          <w:tcPr>
            <w:tcW w:w="390" w:type="pct"/>
            <w:tcBorders>
              <w:top w:val="nil"/>
              <w:left w:val="nil"/>
              <w:bottom w:val="nil"/>
              <w:right w:val="nil"/>
            </w:tcBorders>
            <w:shd w:val="clear" w:color="auto" w:fill="auto"/>
            <w:noWrap/>
            <w:vAlign w:val="center"/>
          </w:tcPr>
          <w:p w14:paraId="5FC3BD0D"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1.159.992.503</w:t>
            </w:r>
          </w:p>
        </w:tc>
        <w:tc>
          <w:tcPr>
            <w:tcW w:w="430" w:type="pct"/>
            <w:tcBorders>
              <w:top w:val="nil"/>
              <w:left w:val="nil"/>
              <w:bottom w:val="nil"/>
              <w:right w:val="nil"/>
            </w:tcBorders>
            <w:vAlign w:val="center"/>
          </w:tcPr>
          <w:p w14:paraId="73387FAD"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1.105.230.960</w:t>
            </w:r>
          </w:p>
        </w:tc>
      </w:tr>
      <w:tr w:rsidR="0005492B" w:rsidRPr="00E20D21" w14:paraId="50E44AC6" w14:textId="77777777" w:rsidTr="00962D75">
        <w:trPr>
          <w:trHeight w:val="255"/>
        </w:trPr>
        <w:tc>
          <w:tcPr>
            <w:tcW w:w="1119" w:type="pct"/>
            <w:tcBorders>
              <w:top w:val="nil"/>
              <w:left w:val="nil"/>
              <w:bottom w:val="nil"/>
              <w:right w:val="nil"/>
            </w:tcBorders>
            <w:shd w:val="clear" w:color="auto" w:fill="auto"/>
            <w:noWrap/>
            <w:vAlign w:val="center"/>
          </w:tcPr>
          <w:p w14:paraId="29860241"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Financiamentos imobiliários</w:t>
            </w:r>
          </w:p>
        </w:tc>
        <w:tc>
          <w:tcPr>
            <w:tcW w:w="340" w:type="pct"/>
            <w:tcBorders>
              <w:top w:val="nil"/>
              <w:left w:val="nil"/>
              <w:bottom w:val="nil"/>
              <w:right w:val="nil"/>
            </w:tcBorders>
            <w:shd w:val="clear" w:color="auto" w:fill="auto"/>
            <w:noWrap/>
            <w:vAlign w:val="center"/>
          </w:tcPr>
          <w:p w14:paraId="151132A9"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521.235.434</w:t>
            </w:r>
          </w:p>
        </w:tc>
        <w:tc>
          <w:tcPr>
            <w:tcW w:w="341" w:type="pct"/>
            <w:tcBorders>
              <w:top w:val="nil"/>
              <w:left w:val="nil"/>
              <w:bottom w:val="nil"/>
              <w:right w:val="nil"/>
            </w:tcBorders>
            <w:shd w:val="clear" w:color="auto" w:fill="auto"/>
            <w:noWrap/>
            <w:vAlign w:val="center"/>
          </w:tcPr>
          <w:p w14:paraId="4FD135F7"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71.373.993</w:t>
            </w:r>
          </w:p>
        </w:tc>
        <w:tc>
          <w:tcPr>
            <w:tcW w:w="341" w:type="pct"/>
            <w:tcBorders>
              <w:top w:val="nil"/>
              <w:left w:val="nil"/>
              <w:bottom w:val="nil"/>
              <w:right w:val="nil"/>
            </w:tcBorders>
            <w:shd w:val="clear" w:color="auto" w:fill="auto"/>
            <w:noWrap/>
            <w:vAlign w:val="center"/>
          </w:tcPr>
          <w:p w14:paraId="281023E4"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93.233.991</w:t>
            </w:r>
          </w:p>
        </w:tc>
        <w:tc>
          <w:tcPr>
            <w:tcW w:w="340" w:type="pct"/>
            <w:tcBorders>
              <w:top w:val="nil"/>
              <w:left w:val="nil"/>
              <w:bottom w:val="nil"/>
              <w:right w:val="nil"/>
            </w:tcBorders>
            <w:shd w:val="clear" w:color="auto" w:fill="auto"/>
            <w:noWrap/>
            <w:vAlign w:val="center"/>
          </w:tcPr>
          <w:p w14:paraId="0E3DAF88"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62.887.083</w:t>
            </w:r>
          </w:p>
        </w:tc>
        <w:tc>
          <w:tcPr>
            <w:tcW w:w="341" w:type="pct"/>
            <w:tcBorders>
              <w:top w:val="nil"/>
              <w:left w:val="nil"/>
              <w:bottom w:val="nil"/>
              <w:right w:val="nil"/>
            </w:tcBorders>
            <w:shd w:val="clear" w:color="auto" w:fill="auto"/>
            <w:noWrap/>
            <w:vAlign w:val="center"/>
          </w:tcPr>
          <w:p w14:paraId="6F83B5BE"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9.797.676</w:t>
            </w:r>
          </w:p>
        </w:tc>
        <w:tc>
          <w:tcPr>
            <w:tcW w:w="340" w:type="pct"/>
            <w:tcBorders>
              <w:top w:val="nil"/>
              <w:left w:val="nil"/>
              <w:bottom w:val="nil"/>
              <w:right w:val="nil"/>
            </w:tcBorders>
            <w:shd w:val="clear" w:color="auto" w:fill="auto"/>
            <w:noWrap/>
            <w:vAlign w:val="center"/>
          </w:tcPr>
          <w:p w14:paraId="2AE022DA"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7.307.660</w:t>
            </w:r>
          </w:p>
        </w:tc>
        <w:tc>
          <w:tcPr>
            <w:tcW w:w="337" w:type="pct"/>
            <w:tcBorders>
              <w:top w:val="nil"/>
              <w:left w:val="nil"/>
              <w:bottom w:val="nil"/>
              <w:right w:val="nil"/>
            </w:tcBorders>
            <w:shd w:val="clear" w:color="auto" w:fill="auto"/>
            <w:noWrap/>
            <w:vAlign w:val="center"/>
          </w:tcPr>
          <w:p w14:paraId="73A5BD2A"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2.572.938</w:t>
            </w:r>
          </w:p>
        </w:tc>
        <w:tc>
          <w:tcPr>
            <w:tcW w:w="341" w:type="pct"/>
            <w:tcBorders>
              <w:top w:val="nil"/>
              <w:left w:val="nil"/>
              <w:bottom w:val="nil"/>
              <w:right w:val="nil"/>
            </w:tcBorders>
            <w:shd w:val="clear" w:color="auto" w:fill="auto"/>
            <w:noWrap/>
            <w:vAlign w:val="center"/>
          </w:tcPr>
          <w:p w14:paraId="3856E866" w14:textId="26E0DB45"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4.920.62</w:t>
            </w:r>
            <w:r w:rsidR="00322DDD" w:rsidRPr="00E20D21">
              <w:rPr>
                <w:rFonts w:ascii="CAIXA Std Book" w:hAnsi="CAIXA Std Book" w:cs="Arial"/>
                <w:color w:val="005CA9"/>
                <w:sz w:val="14"/>
                <w:szCs w:val="14"/>
              </w:rPr>
              <w:t>3</w:t>
            </w:r>
          </w:p>
        </w:tc>
        <w:tc>
          <w:tcPr>
            <w:tcW w:w="340" w:type="pct"/>
            <w:tcBorders>
              <w:top w:val="nil"/>
              <w:left w:val="nil"/>
              <w:bottom w:val="nil"/>
              <w:right w:val="nil"/>
            </w:tcBorders>
            <w:shd w:val="clear" w:color="auto" w:fill="auto"/>
            <w:noWrap/>
            <w:vAlign w:val="center"/>
          </w:tcPr>
          <w:p w14:paraId="791E5982" w14:textId="4FF509C4"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4.123.7</w:t>
            </w:r>
            <w:r w:rsidR="00322DDD" w:rsidRPr="00E20D21">
              <w:rPr>
                <w:rFonts w:ascii="CAIXA Std Book" w:hAnsi="CAIXA Std Book" w:cs="Arial"/>
                <w:color w:val="005CA9"/>
                <w:sz w:val="14"/>
                <w:szCs w:val="14"/>
              </w:rPr>
              <w:t>57</w:t>
            </w:r>
          </w:p>
        </w:tc>
        <w:tc>
          <w:tcPr>
            <w:tcW w:w="390" w:type="pct"/>
            <w:tcBorders>
              <w:top w:val="nil"/>
              <w:left w:val="nil"/>
              <w:bottom w:val="nil"/>
              <w:right w:val="nil"/>
            </w:tcBorders>
            <w:shd w:val="clear" w:color="auto" w:fill="auto"/>
            <w:noWrap/>
            <w:vAlign w:val="center"/>
          </w:tcPr>
          <w:p w14:paraId="1C5CC2DF"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777.453.155</w:t>
            </w:r>
          </w:p>
        </w:tc>
        <w:tc>
          <w:tcPr>
            <w:tcW w:w="430" w:type="pct"/>
            <w:tcBorders>
              <w:top w:val="nil"/>
              <w:left w:val="nil"/>
              <w:bottom w:val="nil"/>
              <w:right w:val="nil"/>
            </w:tcBorders>
            <w:vAlign w:val="center"/>
          </w:tcPr>
          <w:p w14:paraId="2DAC9531"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727.800.413</w:t>
            </w:r>
          </w:p>
        </w:tc>
      </w:tr>
      <w:tr w:rsidR="0005492B" w:rsidRPr="00E20D21" w14:paraId="724B9A56" w14:textId="77777777" w:rsidTr="00962D75">
        <w:trPr>
          <w:trHeight w:val="255"/>
        </w:trPr>
        <w:tc>
          <w:tcPr>
            <w:tcW w:w="1119" w:type="pct"/>
            <w:tcBorders>
              <w:top w:val="nil"/>
              <w:left w:val="nil"/>
              <w:bottom w:val="nil"/>
              <w:right w:val="nil"/>
            </w:tcBorders>
            <w:shd w:val="clear" w:color="auto" w:fill="auto"/>
            <w:noWrap/>
            <w:vAlign w:val="center"/>
          </w:tcPr>
          <w:p w14:paraId="61155CD4" w14:textId="77777777" w:rsidR="00446191" w:rsidRPr="00E20D21" w:rsidRDefault="00446191">
            <w:pPr>
              <w:rPr>
                <w:rFonts w:ascii="CAIXA Std Book" w:hAnsi="CAIXA Std Book"/>
                <w:b/>
                <w:color w:val="005CA9"/>
                <w:sz w:val="14"/>
                <w:szCs w:val="14"/>
              </w:rPr>
            </w:pPr>
            <w:r w:rsidRPr="00E20D21">
              <w:rPr>
                <w:rFonts w:ascii="CAIXA Std Book" w:hAnsi="CAIXA Std Book"/>
                <w:color w:val="005CA9"/>
                <w:sz w:val="14"/>
                <w:szCs w:val="14"/>
              </w:rPr>
              <w:t>Empréstimos e títulos descontados</w:t>
            </w:r>
          </w:p>
        </w:tc>
        <w:tc>
          <w:tcPr>
            <w:tcW w:w="340" w:type="pct"/>
            <w:tcBorders>
              <w:top w:val="nil"/>
              <w:left w:val="nil"/>
              <w:bottom w:val="nil"/>
              <w:right w:val="nil"/>
            </w:tcBorders>
            <w:shd w:val="clear" w:color="auto" w:fill="auto"/>
            <w:noWrap/>
            <w:vAlign w:val="center"/>
          </w:tcPr>
          <w:p w14:paraId="0B971520" w14:textId="77777777" w:rsidR="00446191" w:rsidRPr="00E20D21" w:rsidRDefault="00446191" w:rsidP="00BC7A90">
            <w:pPr>
              <w:jc w:val="right"/>
              <w:rPr>
                <w:rFonts w:ascii="CAIXA Std Book" w:hAnsi="CAIXA Std Book" w:cs="Arial Unicode MS"/>
                <w:b/>
                <w:color w:val="005CA9"/>
                <w:sz w:val="14"/>
                <w:szCs w:val="14"/>
              </w:rPr>
            </w:pPr>
            <w:r w:rsidRPr="00E20D21">
              <w:rPr>
                <w:rFonts w:ascii="CAIXA Std Book" w:hAnsi="CAIXA Std Book" w:cs="Arial"/>
                <w:color w:val="005CA9"/>
                <w:sz w:val="14"/>
                <w:szCs w:val="14"/>
              </w:rPr>
              <w:t>14.485.000</w:t>
            </w:r>
          </w:p>
        </w:tc>
        <w:tc>
          <w:tcPr>
            <w:tcW w:w="341" w:type="pct"/>
            <w:tcBorders>
              <w:top w:val="nil"/>
              <w:left w:val="nil"/>
              <w:bottom w:val="nil"/>
              <w:right w:val="nil"/>
            </w:tcBorders>
            <w:shd w:val="clear" w:color="auto" w:fill="auto"/>
            <w:noWrap/>
            <w:vAlign w:val="center"/>
          </w:tcPr>
          <w:p w14:paraId="3E121383" w14:textId="77777777" w:rsidR="00446191" w:rsidRPr="00E20D21" w:rsidRDefault="00446191" w:rsidP="00BC7A90">
            <w:pPr>
              <w:jc w:val="right"/>
              <w:rPr>
                <w:rFonts w:ascii="CAIXA Std Book" w:hAnsi="CAIXA Std Book" w:cs="Arial Unicode MS"/>
                <w:b/>
                <w:color w:val="005CA9"/>
                <w:sz w:val="14"/>
                <w:szCs w:val="14"/>
              </w:rPr>
            </w:pPr>
            <w:r w:rsidRPr="00E20D21">
              <w:rPr>
                <w:rFonts w:ascii="CAIXA Std Book" w:hAnsi="CAIXA Std Book" w:cs="Arial"/>
                <w:color w:val="005CA9"/>
                <w:sz w:val="14"/>
                <w:szCs w:val="14"/>
              </w:rPr>
              <w:t>19.719.022</w:t>
            </w:r>
          </w:p>
        </w:tc>
        <w:tc>
          <w:tcPr>
            <w:tcW w:w="341" w:type="pct"/>
            <w:tcBorders>
              <w:top w:val="nil"/>
              <w:left w:val="nil"/>
              <w:bottom w:val="nil"/>
              <w:right w:val="nil"/>
            </w:tcBorders>
            <w:shd w:val="clear" w:color="auto" w:fill="auto"/>
            <w:noWrap/>
            <w:vAlign w:val="center"/>
          </w:tcPr>
          <w:p w14:paraId="56836CD8" w14:textId="77777777" w:rsidR="00446191" w:rsidRPr="00E20D21" w:rsidRDefault="00446191" w:rsidP="00BC7A90">
            <w:pPr>
              <w:jc w:val="right"/>
              <w:rPr>
                <w:rFonts w:ascii="CAIXA Std Book" w:hAnsi="CAIXA Std Book" w:cs="Arial Unicode MS"/>
                <w:b/>
                <w:color w:val="005CA9"/>
                <w:sz w:val="14"/>
                <w:szCs w:val="14"/>
              </w:rPr>
            </w:pPr>
            <w:r w:rsidRPr="00E20D21">
              <w:rPr>
                <w:rFonts w:ascii="CAIXA Std Book" w:hAnsi="CAIXA Std Book" w:cs="Arial"/>
                <w:color w:val="005CA9"/>
                <w:sz w:val="14"/>
                <w:szCs w:val="14"/>
              </w:rPr>
              <w:t>83.035.336</w:t>
            </w:r>
          </w:p>
        </w:tc>
        <w:tc>
          <w:tcPr>
            <w:tcW w:w="340" w:type="pct"/>
            <w:tcBorders>
              <w:top w:val="nil"/>
              <w:left w:val="nil"/>
              <w:bottom w:val="nil"/>
              <w:right w:val="nil"/>
            </w:tcBorders>
            <w:shd w:val="clear" w:color="auto" w:fill="auto"/>
            <w:noWrap/>
            <w:vAlign w:val="center"/>
          </w:tcPr>
          <w:p w14:paraId="0AF375A9" w14:textId="77777777" w:rsidR="00446191" w:rsidRPr="00E20D21" w:rsidRDefault="00446191" w:rsidP="00BC7A90">
            <w:pPr>
              <w:jc w:val="right"/>
              <w:rPr>
                <w:rFonts w:ascii="CAIXA Std Book" w:hAnsi="CAIXA Std Book" w:cs="Arial Unicode MS"/>
                <w:b/>
                <w:color w:val="005CA9"/>
                <w:sz w:val="14"/>
                <w:szCs w:val="14"/>
              </w:rPr>
            </w:pPr>
            <w:r w:rsidRPr="00E20D21">
              <w:rPr>
                <w:rFonts w:ascii="CAIXA Std Book" w:hAnsi="CAIXA Std Book" w:cs="Arial"/>
                <w:color w:val="005CA9"/>
                <w:sz w:val="14"/>
                <w:szCs w:val="14"/>
              </w:rPr>
              <w:t>55.098.498</w:t>
            </w:r>
          </w:p>
        </w:tc>
        <w:tc>
          <w:tcPr>
            <w:tcW w:w="341" w:type="pct"/>
            <w:tcBorders>
              <w:top w:val="nil"/>
              <w:left w:val="nil"/>
              <w:bottom w:val="nil"/>
              <w:right w:val="nil"/>
            </w:tcBorders>
            <w:shd w:val="clear" w:color="auto" w:fill="auto"/>
            <w:noWrap/>
            <w:vAlign w:val="center"/>
          </w:tcPr>
          <w:p w14:paraId="38F58A0B" w14:textId="77777777" w:rsidR="00446191" w:rsidRPr="00E20D21" w:rsidRDefault="00446191" w:rsidP="00BC7A90">
            <w:pPr>
              <w:jc w:val="right"/>
              <w:rPr>
                <w:rFonts w:ascii="CAIXA Std Book" w:hAnsi="CAIXA Std Book" w:cs="Arial Unicode MS"/>
                <w:b/>
                <w:color w:val="005CA9"/>
                <w:sz w:val="14"/>
                <w:szCs w:val="14"/>
              </w:rPr>
            </w:pPr>
            <w:r w:rsidRPr="00E20D21">
              <w:rPr>
                <w:rFonts w:ascii="CAIXA Std Book" w:hAnsi="CAIXA Std Book" w:cs="Arial"/>
                <w:color w:val="005CA9"/>
                <w:sz w:val="14"/>
                <w:szCs w:val="14"/>
              </w:rPr>
              <w:t>13.763.834</w:t>
            </w:r>
          </w:p>
        </w:tc>
        <w:tc>
          <w:tcPr>
            <w:tcW w:w="340" w:type="pct"/>
            <w:tcBorders>
              <w:top w:val="nil"/>
              <w:left w:val="nil"/>
              <w:bottom w:val="nil"/>
              <w:right w:val="nil"/>
            </w:tcBorders>
            <w:shd w:val="clear" w:color="auto" w:fill="auto"/>
            <w:noWrap/>
            <w:vAlign w:val="center"/>
          </w:tcPr>
          <w:p w14:paraId="3EBDA3EF" w14:textId="77777777" w:rsidR="00446191" w:rsidRPr="00E20D21" w:rsidRDefault="00446191" w:rsidP="00BC7A90">
            <w:pPr>
              <w:jc w:val="right"/>
              <w:rPr>
                <w:rFonts w:ascii="CAIXA Std Book" w:hAnsi="CAIXA Std Book" w:cs="Arial Unicode MS"/>
                <w:b/>
                <w:color w:val="005CA9"/>
                <w:sz w:val="14"/>
                <w:szCs w:val="14"/>
              </w:rPr>
            </w:pPr>
            <w:r w:rsidRPr="00E20D21">
              <w:rPr>
                <w:rFonts w:ascii="CAIXA Std Book" w:hAnsi="CAIXA Std Book" w:cs="Arial"/>
                <w:color w:val="005CA9"/>
                <w:sz w:val="14"/>
                <w:szCs w:val="14"/>
              </w:rPr>
              <w:t>6.489.978</w:t>
            </w:r>
          </w:p>
        </w:tc>
        <w:tc>
          <w:tcPr>
            <w:tcW w:w="337" w:type="pct"/>
            <w:tcBorders>
              <w:top w:val="nil"/>
              <w:left w:val="nil"/>
              <w:bottom w:val="nil"/>
              <w:right w:val="nil"/>
            </w:tcBorders>
            <w:shd w:val="clear" w:color="auto" w:fill="auto"/>
            <w:noWrap/>
            <w:vAlign w:val="center"/>
          </w:tcPr>
          <w:p w14:paraId="0C46DCCC" w14:textId="77777777" w:rsidR="00446191" w:rsidRPr="00E20D21" w:rsidRDefault="00446191" w:rsidP="00BC7A90">
            <w:pPr>
              <w:jc w:val="right"/>
              <w:rPr>
                <w:rFonts w:ascii="CAIXA Std Book" w:hAnsi="CAIXA Std Book" w:cs="Arial Unicode MS"/>
                <w:b/>
                <w:color w:val="005CA9"/>
                <w:sz w:val="14"/>
                <w:szCs w:val="14"/>
              </w:rPr>
            </w:pPr>
            <w:r w:rsidRPr="00E20D21">
              <w:rPr>
                <w:rFonts w:ascii="CAIXA Std Book" w:hAnsi="CAIXA Std Book" w:cs="Arial"/>
                <w:color w:val="005CA9"/>
                <w:sz w:val="14"/>
                <w:szCs w:val="14"/>
              </w:rPr>
              <w:t>5.855.196</w:t>
            </w:r>
          </w:p>
        </w:tc>
        <w:tc>
          <w:tcPr>
            <w:tcW w:w="341" w:type="pct"/>
            <w:tcBorders>
              <w:top w:val="nil"/>
              <w:left w:val="nil"/>
              <w:bottom w:val="nil"/>
              <w:right w:val="nil"/>
            </w:tcBorders>
            <w:shd w:val="clear" w:color="auto" w:fill="auto"/>
            <w:noWrap/>
            <w:vAlign w:val="center"/>
          </w:tcPr>
          <w:p w14:paraId="159130D7"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1.809.416</w:t>
            </w:r>
          </w:p>
        </w:tc>
        <w:tc>
          <w:tcPr>
            <w:tcW w:w="340" w:type="pct"/>
            <w:tcBorders>
              <w:top w:val="nil"/>
              <w:left w:val="nil"/>
              <w:bottom w:val="nil"/>
              <w:right w:val="nil"/>
            </w:tcBorders>
            <w:shd w:val="clear" w:color="auto" w:fill="auto"/>
            <w:noWrap/>
            <w:vAlign w:val="center"/>
          </w:tcPr>
          <w:p w14:paraId="7E0B5A74"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10.396.621</w:t>
            </w:r>
          </w:p>
        </w:tc>
        <w:tc>
          <w:tcPr>
            <w:tcW w:w="390" w:type="pct"/>
            <w:tcBorders>
              <w:top w:val="nil"/>
              <w:left w:val="nil"/>
              <w:bottom w:val="nil"/>
              <w:right w:val="nil"/>
            </w:tcBorders>
            <w:shd w:val="clear" w:color="auto" w:fill="auto"/>
            <w:noWrap/>
            <w:vAlign w:val="center"/>
          </w:tcPr>
          <w:p w14:paraId="149A16BE"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210.652.901</w:t>
            </w:r>
          </w:p>
        </w:tc>
        <w:tc>
          <w:tcPr>
            <w:tcW w:w="430" w:type="pct"/>
            <w:tcBorders>
              <w:top w:val="nil"/>
              <w:left w:val="nil"/>
              <w:bottom w:val="nil"/>
              <w:right w:val="nil"/>
            </w:tcBorders>
            <w:vAlign w:val="center"/>
          </w:tcPr>
          <w:p w14:paraId="76674193" w14:textId="77777777" w:rsidR="00446191" w:rsidRPr="00E20D21" w:rsidRDefault="00446191" w:rsidP="00BC7A90">
            <w:pPr>
              <w:jc w:val="right"/>
              <w:rPr>
                <w:rFonts w:ascii="CAIXA Std Book" w:hAnsi="CAIXA Std Book" w:cs="Arial Unicode MS"/>
                <w:b/>
                <w:color w:val="005CA9"/>
                <w:sz w:val="14"/>
                <w:szCs w:val="14"/>
              </w:rPr>
            </w:pPr>
            <w:r w:rsidRPr="00E20D21">
              <w:rPr>
                <w:rFonts w:ascii="CAIXA Std Book" w:hAnsi="CAIXA Std Book" w:cs="Arial"/>
                <w:color w:val="005CA9"/>
                <w:sz w:val="14"/>
                <w:szCs w:val="14"/>
              </w:rPr>
              <w:t>212.529.231</w:t>
            </w:r>
          </w:p>
        </w:tc>
      </w:tr>
      <w:tr w:rsidR="0005492B" w:rsidRPr="00E20D21" w14:paraId="7735F65F" w14:textId="77777777" w:rsidTr="00962D75">
        <w:trPr>
          <w:trHeight w:val="255"/>
        </w:trPr>
        <w:tc>
          <w:tcPr>
            <w:tcW w:w="1119" w:type="pct"/>
            <w:tcBorders>
              <w:top w:val="nil"/>
              <w:left w:val="nil"/>
              <w:bottom w:val="nil"/>
              <w:right w:val="nil"/>
            </w:tcBorders>
            <w:shd w:val="clear" w:color="auto" w:fill="auto"/>
            <w:noWrap/>
            <w:vAlign w:val="center"/>
            <w:hideMark/>
          </w:tcPr>
          <w:p w14:paraId="596CD1D9"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Financiamentos de infraestrutura</w:t>
            </w:r>
          </w:p>
        </w:tc>
        <w:tc>
          <w:tcPr>
            <w:tcW w:w="340" w:type="pct"/>
            <w:tcBorders>
              <w:top w:val="nil"/>
              <w:left w:val="nil"/>
              <w:bottom w:val="nil"/>
              <w:right w:val="nil"/>
            </w:tcBorders>
            <w:shd w:val="clear" w:color="auto" w:fill="auto"/>
            <w:noWrap/>
            <w:vAlign w:val="center"/>
          </w:tcPr>
          <w:p w14:paraId="3EBB4E5E"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28.526.509</w:t>
            </w:r>
          </w:p>
        </w:tc>
        <w:tc>
          <w:tcPr>
            <w:tcW w:w="341" w:type="pct"/>
            <w:tcBorders>
              <w:top w:val="nil"/>
              <w:left w:val="nil"/>
              <w:bottom w:val="nil"/>
              <w:right w:val="nil"/>
            </w:tcBorders>
            <w:shd w:val="clear" w:color="auto" w:fill="auto"/>
            <w:noWrap/>
            <w:vAlign w:val="center"/>
          </w:tcPr>
          <w:p w14:paraId="32BA5280"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57.664.000</w:t>
            </w:r>
          </w:p>
        </w:tc>
        <w:tc>
          <w:tcPr>
            <w:tcW w:w="341" w:type="pct"/>
            <w:tcBorders>
              <w:top w:val="nil"/>
              <w:left w:val="nil"/>
              <w:bottom w:val="nil"/>
              <w:right w:val="nil"/>
            </w:tcBorders>
            <w:shd w:val="clear" w:color="auto" w:fill="auto"/>
            <w:noWrap/>
            <w:vAlign w:val="center"/>
          </w:tcPr>
          <w:p w14:paraId="30FBD6FC"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4.722.034</w:t>
            </w:r>
          </w:p>
        </w:tc>
        <w:tc>
          <w:tcPr>
            <w:tcW w:w="340" w:type="pct"/>
            <w:tcBorders>
              <w:top w:val="nil"/>
              <w:left w:val="nil"/>
              <w:bottom w:val="nil"/>
              <w:right w:val="nil"/>
            </w:tcBorders>
            <w:shd w:val="clear" w:color="auto" w:fill="auto"/>
            <w:noWrap/>
            <w:vAlign w:val="center"/>
          </w:tcPr>
          <w:p w14:paraId="48735D42"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3.930.814</w:t>
            </w:r>
          </w:p>
        </w:tc>
        <w:tc>
          <w:tcPr>
            <w:tcW w:w="341" w:type="pct"/>
            <w:tcBorders>
              <w:top w:val="nil"/>
              <w:left w:val="nil"/>
              <w:bottom w:val="nil"/>
              <w:right w:val="nil"/>
            </w:tcBorders>
            <w:shd w:val="clear" w:color="auto" w:fill="auto"/>
            <w:noWrap/>
            <w:vAlign w:val="center"/>
          </w:tcPr>
          <w:p w14:paraId="0CCD9368"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1.041.366</w:t>
            </w:r>
          </w:p>
        </w:tc>
        <w:tc>
          <w:tcPr>
            <w:tcW w:w="340" w:type="pct"/>
            <w:tcBorders>
              <w:top w:val="nil"/>
              <w:left w:val="nil"/>
              <w:bottom w:val="nil"/>
              <w:right w:val="nil"/>
            </w:tcBorders>
            <w:shd w:val="clear" w:color="auto" w:fill="auto"/>
            <w:noWrap/>
            <w:vAlign w:val="center"/>
          </w:tcPr>
          <w:p w14:paraId="459CBBDF"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75.973</w:t>
            </w:r>
          </w:p>
        </w:tc>
        <w:tc>
          <w:tcPr>
            <w:tcW w:w="337" w:type="pct"/>
            <w:tcBorders>
              <w:top w:val="nil"/>
              <w:left w:val="nil"/>
              <w:bottom w:val="nil"/>
              <w:right w:val="nil"/>
            </w:tcBorders>
            <w:shd w:val="clear" w:color="auto" w:fill="auto"/>
            <w:noWrap/>
            <w:vAlign w:val="center"/>
          </w:tcPr>
          <w:p w14:paraId="28E0319B" w14:textId="77777777" w:rsidR="00446191" w:rsidRPr="00E20D21" w:rsidRDefault="00446191" w:rsidP="00BC7A90">
            <w:pPr>
              <w:jc w:val="center"/>
              <w:rPr>
                <w:rFonts w:ascii="CAIXA Std Book" w:hAnsi="CAIXA Std Book"/>
                <w:color w:val="005CA9"/>
                <w:sz w:val="14"/>
                <w:szCs w:val="14"/>
              </w:rPr>
            </w:pPr>
            <w:r w:rsidRPr="00E20D21">
              <w:rPr>
                <w:rFonts w:ascii="CAIXA Std Book" w:hAnsi="CAIXA Std Book"/>
                <w:color w:val="005CA9"/>
                <w:sz w:val="14"/>
                <w:szCs w:val="14"/>
              </w:rPr>
              <w:t>-</w:t>
            </w:r>
          </w:p>
        </w:tc>
        <w:tc>
          <w:tcPr>
            <w:tcW w:w="341" w:type="pct"/>
            <w:tcBorders>
              <w:top w:val="nil"/>
              <w:left w:val="nil"/>
              <w:bottom w:val="nil"/>
              <w:right w:val="nil"/>
            </w:tcBorders>
            <w:shd w:val="clear" w:color="auto" w:fill="auto"/>
            <w:noWrap/>
            <w:vAlign w:val="center"/>
          </w:tcPr>
          <w:p w14:paraId="3BDBC7BF"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4.702.176</w:t>
            </w:r>
          </w:p>
        </w:tc>
        <w:tc>
          <w:tcPr>
            <w:tcW w:w="340" w:type="pct"/>
            <w:tcBorders>
              <w:top w:val="nil"/>
              <w:left w:val="nil"/>
              <w:bottom w:val="nil"/>
              <w:right w:val="nil"/>
            </w:tcBorders>
            <w:shd w:val="clear" w:color="auto" w:fill="auto"/>
            <w:noWrap/>
            <w:vAlign w:val="center"/>
          </w:tcPr>
          <w:p w14:paraId="798ACC51"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1.040.386</w:t>
            </w:r>
          </w:p>
        </w:tc>
        <w:tc>
          <w:tcPr>
            <w:tcW w:w="390" w:type="pct"/>
            <w:tcBorders>
              <w:top w:val="nil"/>
              <w:left w:val="nil"/>
              <w:bottom w:val="nil"/>
              <w:right w:val="nil"/>
            </w:tcBorders>
            <w:shd w:val="clear" w:color="auto" w:fill="auto"/>
            <w:noWrap/>
            <w:vAlign w:val="center"/>
          </w:tcPr>
          <w:p w14:paraId="5CCD28C6"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101.703.258</w:t>
            </w:r>
          </w:p>
        </w:tc>
        <w:tc>
          <w:tcPr>
            <w:tcW w:w="430" w:type="pct"/>
            <w:tcBorders>
              <w:top w:val="nil"/>
              <w:left w:val="nil"/>
              <w:bottom w:val="nil"/>
              <w:right w:val="nil"/>
            </w:tcBorders>
            <w:vAlign w:val="center"/>
          </w:tcPr>
          <w:p w14:paraId="45A21CC1"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98.232.241</w:t>
            </w:r>
          </w:p>
        </w:tc>
      </w:tr>
      <w:tr w:rsidR="0005492B" w:rsidRPr="00E20D21" w14:paraId="7AD13191" w14:textId="77777777" w:rsidTr="00962D75">
        <w:trPr>
          <w:trHeight w:val="255"/>
        </w:trPr>
        <w:tc>
          <w:tcPr>
            <w:tcW w:w="1119" w:type="pct"/>
            <w:tcBorders>
              <w:top w:val="nil"/>
              <w:left w:val="nil"/>
              <w:bottom w:val="nil"/>
              <w:right w:val="nil"/>
            </w:tcBorders>
            <w:shd w:val="clear" w:color="auto" w:fill="auto"/>
            <w:noWrap/>
            <w:vAlign w:val="center"/>
          </w:tcPr>
          <w:p w14:paraId="6C3987AE"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Financiamentos rurais e agroindustriais</w:t>
            </w:r>
          </w:p>
        </w:tc>
        <w:tc>
          <w:tcPr>
            <w:tcW w:w="340" w:type="pct"/>
            <w:tcBorders>
              <w:top w:val="nil"/>
              <w:left w:val="nil"/>
              <w:bottom w:val="nil"/>
              <w:right w:val="nil"/>
            </w:tcBorders>
            <w:shd w:val="clear" w:color="auto" w:fill="auto"/>
            <w:noWrap/>
            <w:vAlign w:val="center"/>
          </w:tcPr>
          <w:p w14:paraId="76171113"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15.093.854</w:t>
            </w:r>
          </w:p>
        </w:tc>
        <w:tc>
          <w:tcPr>
            <w:tcW w:w="341" w:type="pct"/>
            <w:tcBorders>
              <w:top w:val="nil"/>
              <w:left w:val="nil"/>
              <w:bottom w:val="nil"/>
              <w:right w:val="nil"/>
            </w:tcBorders>
            <w:shd w:val="clear" w:color="auto" w:fill="auto"/>
            <w:noWrap/>
            <w:vAlign w:val="center"/>
          </w:tcPr>
          <w:p w14:paraId="6DF6F146"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15.719.592</w:t>
            </w:r>
          </w:p>
        </w:tc>
        <w:tc>
          <w:tcPr>
            <w:tcW w:w="341" w:type="pct"/>
            <w:tcBorders>
              <w:top w:val="nil"/>
              <w:left w:val="nil"/>
              <w:bottom w:val="nil"/>
              <w:right w:val="nil"/>
            </w:tcBorders>
            <w:shd w:val="clear" w:color="auto" w:fill="auto"/>
            <w:noWrap/>
            <w:vAlign w:val="center"/>
          </w:tcPr>
          <w:p w14:paraId="3592EF82"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12.236.196</w:t>
            </w:r>
          </w:p>
        </w:tc>
        <w:tc>
          <w:tcPr>
            <w:tcW w:w="340" w:type="pct"/>
            <w:tcBorders>
              <w:top w:val="nil"/>
              <w:left w:val="nil"/>
              <w:bottom w:val="nil"/>
              <w:right w:val="nil"/>
            </w:tcBorders>
            <w:shd w:val="clear" w:color="auto" w:fill="auto"/>
            <w:noWrap/>
            <w:vAlign w:val="center"/>
          </w:tcPr>
          <w:p w14:paraId="60FB296A"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12.236.258</w:t>
            </w:r>
          </w:p>
        </w:tc>
        <w:tc>
          <w:tcPr>
            <w:tcW w:w="341" w:type="pct"/>
            <w:tcBorders>
              <w:top w:val="nil"/>
              <w:left w:val="nil"/>
              <w:bottom w:val="nil"/>
              <w:right w:val="nil"/>
            </w:tcBorders>
            <w:shd w:val="clear" w:color="auto" w:fill="auto"/>
            <w:noWrap/>
            <w:vAlign w:val="center"/>
          </w:tcPr>
          <w:p w14:paraId="1E70A386"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1.315.437</w:t>
            </w:r>
          </w:p>
        </w:tc>
        <w:tc>
          <w:tcPr>
            <w:tcW w:w="340" w:type="pct"/>
            <w:tcBorders>
              <w:top w:val="nil"/>
              <w:left w:val="nil"/>
              <w:bottom w:val="nil"/>
              <w:right w:val="nil"/>
            </w:tcBorders>
            <w:shd w:val="clear" w:color="auto" w:fill="auto"/>
            <w:noWrap/>
            <w:vAlign w:val="center"/>
          </w:tcPr>
          <w:p w14:paraId="623E0140"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1.138.469</w:t>
            </w:r>
          </w:p>
        </w:tc>
        <w:tc>
          <w:tcPr>
            <w:tcW w:w="337" w:type="pct"/>
            <w:tcBorders>
              <w:top w:val="nil"/>
              <w:left w:val="nil"/>
              <w:bottom w:val="nil"/>
              <w:right w:val="nil"/>
            </w:tcBorders>
            <w:shd w:val="clear" w:color="auto" w:fill="auto"/>
            <w:noWrap/>
            <w:vAlign w:val="center"/>
          </w:tcPr>
          <w:p w14:paraId="7FC2EF94"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216.118</w:t>
            </w:r>
          </w:p>
        </w:tc>
        <w:tc>
          <w:tcPr>
            <w:tcW w:w="341" w:type="pct"/>
            <w:tcBorders>
              <w:top w:val="nil"/>
              <w:left w:val="nil"/>
              <w:bottom w:val="nil"/>
              <w:right w:val="nil"/>
            </w:tcBorders>
            <w:shd w:val="clear" w:color="auto" w:fill="auto"/>
            <w:noWrap/>
            <w:vAlign w:val="center"/>
          </w:tcPr>
          <w:p w14:paraId="746E0037"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113.805</w:t>
            </w:r>
          </w:p>
        </w:tc>
        <w:tc>
          <w:tcPr>
            <w:tcW w:w="340" w:type="pct"/>
            <w:tcBorders>
              <w:top w:val="nil"/>
              <w:left w:val="nil"/>
              <w:bottom w:val="nil"/>
              <w:right w:val="nil"/>
            </w:tcBorders>
            <w:shd w:val="clear" w:color="auto" w:fill="auto"/>
            <w:noWrap/>
            <w:vAlign w:val="center"/>
          </w:tcPr>
          <w:p w14:paraId="3B0B3D22"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612.847</w:t>
            </w:r>
          </w:p>
        </w:tc>
        <w:tc>
          <w:tcPr>
            <w:tcW w:w="390" w:type="pct"/>
            <w:tcBorders>
              <w:top w:val="nil"/>
              <w:left w:val="nil"/>
              <w:bottom w:val="nil"/>
              <w:right w:val="nil"/>
            </w:tcBorders>
            <w:shd w:val="clear" w:color="auto" w:fill="auto"/>
            <w:noWrap/>
            <w:vAlign w:val="center"/>
          </w:tcPr>
          <w:p w14:paraId="393524A2"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58.682.576</w:t>
            </w:r>
          </w:p>
        </w:tc>
        <w:tc>
          <w:tcPr>
            <w:tcW w:w="430" w:type="pct"/>
            <w:tcBorders>
              <w:top w:val="nil"/>
              <w:left w:val="nil"/>
              <w:bottom w:val="nil"/>
              <w:right w:val="nil"/>
            </w:tcBorders>
            <w:vAlign w:val="center"/>
          </w:tcPr>
          <w:p w14:paraId="46CB282D"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56.071.207</w:t>
            </w:r>
          </w:p>
        </w:tc>
      </w:tr>
      <w:tr w:rsidR="0005492B" w:rsidRPr="00E20D21" w14:paraId="3C0D1AC4" w14:textId="77777777" w:rsidTr="00962D75">
        <w:trPr>
          <w:trHeight w:val="255"/>
        </w:trPr>
        <w:tc>
          <w:tcPr>
            <w:tcW w:w="1119" w:type="pct"/>
            <w:tcBorders>
              <w:top w:val="nil"/>
              <w:left w:val="nil"/>
              <w:bottom w:val="nil"/>
              <w:right w:val="nil"/>
            </w:tcBorders>
            <w:shd w:val="clear" w:color="auto" w:fill="auto"/>
            <w:noWrap/>
            <w:vAlign w:val="center"/>
          </w:tcPr>
          <w:p w14:paraId="4667851B"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Financiamentos</w:t>
            </w:r>
          </w:p>
        </w:tc>
        <w:tc>
          <w:tcPr>
            <w:tcW w:w="340" w:type="pct"/>
            <w:tcBorders>
              <w:top w:val="nil"/>
              <w:left w:val="nil"/>
              <w:bottom w:val="nil"/>
              <w:right w:val="nil"/>
            </w:tcBorders>
            <w:shd w:val="clear" w:color="auto" w:fill="auto"/>
            <w:noWrap/>
            <w:vAlign w:val="center"/>
          </w:tcPr>
          <w:p w14:paraId="0C6A3959"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832.189</w:t>
            </w:r>
          </w:p>
        </w:tc>
        <w:tc>
          <w:tcPr>
            <w:tcW w:w="341" w:type="pct"/>
            <w:tcBorders>
              <w:top w:val="nil"/>
              <w:left w:val="nil"/>
              <w:bottom w:val="nil"/>
              <w:right w:val="nil"/>
            </w:tcBorders>
            <w:shd w:val="clear" w:color="auto" w:fill="auto"/>
            <w:noWrap/>
            <w:vAlign w:val="center"/>
          </w:tcPr>
          <w:p w14:paraId="6226CB52"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2.617.858</w:t>
            </w:r>
          </w:p>
        </w:tc>
        <w:tc>
          <w:tcPr>
            <w:tcW w:w="341" w:type="pct"/>
            <w:tcBorders>
              <w:top w:val="nil"/>
              <w:left w:val="nil"/>
              <w:bottom w:val="nil"/>
              <w:right w:val="nil"/>
            </w:tcBorders>
            <w:shd w:val="clear" w:color="auto" w:fill="auto"/>
            <w:noWrap/>
            <w:vAlign w:val="center"/>
          </w:tcPr>
          <w:p w14:paraId="0552E747"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2.293.738</w:t>
            </w:r>
          </w:p>
        </w:tc>
        <w:tc>
          <w:tcPr>
            <w:tcW w:w="340" w:type="pct"/>
            <w:tcBorders>
              <w:top w:val="nil"/>
              <w:left w:val="nil"/>
              <w:bottom w:val="nil"/>
              <w:right w:val="nil"/>
            </w:tcBorders>
            <w:shd w:val="clear" w:color="auto" w:fill="auto"/>
            <w:noWrap/>
            <w:vAlign w:val="center"/>
          </w:tcPr>
          <w:p w14:paraId="587F4424"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906.137</w:t>
            </w:r>
          </w:p>
        </w:tc>
        <w:tc>
          <w:tcPr>
            <w:tcW w:w="341" w:type="pct"/>
            <w:tcBorders>
              <w:top w:val="nil"/>
              <w:left w:val="nil"/>
              <w:bottom w:val="nil"/>
              <w:right w:val="nil"/>
            </w:tcBorders>
            <w:shd w:val="clear" w:color="auto" w:fill="auto"/>
            <w:noWrap/>
            <w:vAlign w:val="center"/>
          </w:tcPr>
          <w:p w14:paraId="2565FF82"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341.658</w:t>
            </w:r>
          </w:p>
        </w:tc>
        <w:tc>
          <w:tcPr>
            <w:tcW w:w="340" w:type="pct"/>
            <w:tcBorders>
              <w:top w:val="nil"/>
              <w:left w:val="nil"/>
              <w:bottom w:val="nil"/>
              <w:right w:val="nil"/>
            </w:tcBorders>
            <w:shd w:val="clear" w:color="auto" w:fill="auto"/>
            <w:noWrap/>
            <w:vAlign w:val="center"/>
          </w:tcPr>
          <w:p w14:paraId="5507DD51"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266.633</w:t>
            </w:r>
          </w:p>
        </w:tc>
        <w:tc>
          <w:tcPr>
            <w:tcW w:w="337" w:type="pct"/>
            <w:tcBorders>
              <w:top w:val="nil"/>
              <w:left w:val="nil"/>
              <w:bottom w:val="nil"/>
              <w:right w:val="nil"/>
            </w:tcBorders>
            <w:shd w:val="clear" w:color="auto" w:fill="auto"/>
            <w:noWrap/>
            <w:vAlign w:val="center"/>
          </w:tcPr>
          <w:p w14:paraId="29C24405"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132.356</w:t>
            </w:r>
          </w:p>
        </w:tc>
        <w:tc>
          <w:tcPr>
            <w:tcW w:w="341" w:type="pct"/>
            <w:tcBorders>
              <w:top w:val="nil"/>
              <w:left w:val="nil"/>
              <w:bottom w:val="nil"/>
              <w:right w:val="nil"/>
            </w:tcBorders>
            <w:shd w:val="clear" w:color="auto" w:fill="auto"/>
            <w:noWrap/>
            <w:vAlign w:val="center"/>
          </w:tcPr>
          <w:p w14:paraId="1CB83442"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44.906</w:t>
            </w:r>
          </w:p>
        </w:tc>
        <w:tc>
          <w:tcPr>
            <w:tcW w:w="340" w:type="pct"/>
            <w:tcBorders>
              <w:top w:val="nil"/>
              <w:left w:val="nil"/>
              <w:bottom w:val="nil"/>
              <w:right w:val="nil"/>
            </w:tcBorders>
            <w:shd w:val="clear" w:color="auto" w:fill="auto"/>
            <w:noWrap/>
            <w:vAlign w:val="center"/>
          </w:tcPr>
          <w:p w14:paraId="61B9838B"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338.008</w:t>
            </w:r>
          </w:p>
        </w:tc>
        <w:tc>
          <w:tcPr>
            <w:tcW w:w="390" w:type="pct"/>
            <w:tcBorders>
              <w:top w:val="nil"/>
              <w:left w:val="nil"/>
              <w:bottom w:val="nil"/>
              <w:right w:val="nil"/>
            </w:tcBorders>
            <w:shd w:val="clear" w:color="auto" w:fill="auto"/>
            <w:noWrap/>
            <w:vAlign w:val="center"/>
          </w:tcPr>
          <w:p w14:paraId="24F854D9"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7.773.483</w:t>
            </w:r>
          </w:p>
        </w:tc>
        <w:tc>
          <w:tcPr>
            <w:tcW w:w="430" w:type="pct"/>
            <w:tcBorders>
              <w:top w:val="nil"/>
              <w:left w:val="nil"/>
              <w:bottom w:val="nil"/>
              <w:right w:val="nil"/>
            </w:tcBorders>
            <w:vAlign w:val="center"/>
          </w:tcPr>
          <w:p w14:paraId="65DBCB24"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6.506.622</w:t>
            </w:r>
          </w:p>
        </w:tc>
      </w:tr>
      <w:tr w:rsidR="0005492B" w:rsidRPr="00E20D21" w14:paraId="7BA01C93" w14:textId="77777777" w:rsidTr="00962D75">
        <w:trPr>
          <w:trHeight w:val="255"/>
        </w:trPr>
        <w:tc>
          <w:tcPr>
            <w:tcW w:w="1119" w:type="pct"/>
            <w:tcBorders>
              <w:top w:val="nil"/>
              <w:left w:val="nil"/>
              <w:bottom w:val="nil"/>
              <w:right w:val="nil"/>
            </w:tcBorders>
            <w:shd w:val="clear" w:color="auto" w:fill="auto"/>
            <w:noWrap/>
            <w:vAlign w:val="center"/>
            <w:hideMark/>
          </w:tcPr>
          <w:p w14:paraId="5DC8A040"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Cessão de créditos</w:t>
            </w:r>
          </w:p>
        </w:tc>
        <w:tc>
          <w:tcPr>
            <w:tcW w:w="340" w:type="pct"/>
            <w:tcBorders>
              <w:top w:val="nil"/>
              <w:left w:val="nil"/>
              <w:bottom w:val="nil"/>
              <w:right w:val="nil"/>
            </w:tcBorders>
            <w:shd w:val="clear" w:color="auto" w:fill="auto"/>
            <w:noWrap/>
            <w:vAlign w:val="center"/>
          </w:tcPr>
          <w:p w14:paraId="74B8A94A"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3.273.016</w:t>
            </w:r>
          </w:p>
        </w:tc>
        <w:tc>
          <w:tcPr>
            <w:tcW w:w="341" w:type="pct"/>
            <w:tcBorders>
              <w:top w:val="nil"/>
              <w:left w:val="nil"/>
              <w:bottom w:val="nil"/>
              <w:right w:val="nil"/>
            </w:tcBorders>
            <w:shd w:val="clear" w:color="auto" w:fill="auto"/>
            <w:noWrap/>
            <w:vAlign w:val="center"/>
          </w:tcPr>
          <w:p w14:paraId="6B436741"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89.875</w:t>
            </w:r>
          </w:p>
        </w:tc>
        <w:tc>
          <w:tcPr>
            <w:tcW w:w="341" w:type="pct"/>
            <w:tcBorders>
              <w:top w:val="nil"/>
              <w:left w:val="nil"/>
              <w:bottom w:val="nil"/>
              <w:right w:val="nil"/>
            </w:tcBorders>
            <w:shd w:val="clear" w:color="auto" w:fill="auto"/>
            <w:noWrap/>
            <w:vAlign w:val="center"/>
          </w:tcPr>
          <w:p w14:paraId="13DD0DB2"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207.390</w:t>
            </w:r>
          </w:p>
        </w:tc>
        <w:tc>
          <w:tcPr>
            <w:tcW w:w="340" w:type="pct"/>
            <w:tcBorders>
              <w:top w:val="nil"/>
              <w:left w:val="nil"/>
              <w:bottom w:val="nil"/>
              <w:right w:val="nil"/>
            </w:tcBorders>
            <w:shd w:val="clear" w:color="auto" w:fill="auto"/>
            <w:noWrap/>
            <w:vAlign w:val="center"/>
          </w:tcPr>
          <w:p w14:paraId="22631A7E"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81.198</w:t>
            </w:r>
          </w:p>
        </w:tc>
        <w:tc>
          <w:tcPr>
            <w:tcW w:w="341" w:type="pct"/>
            <w:tcBorders>
              <w:top w:val="nil"/>
              <w:left w:val="nil"/>
              <w:bottom w:val="nil"/>
              <w:right w:val="nil"/>
            </w:tcBorders>
            <w:shd w:val="clear" w:color="auto" w:fill="auto"/>
            <w:noWrap/>
            <w:vAlign w:val="center"/>
          </w:tcPr>
          <w:p w14:paraId="4EFC096C"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23.696</w:t>
            </w:r>
          </w:p>
        </w:tc>
        <w:tc>
          <w:tcPr>
            <w:tcW w:w="340" w:type="pct"/>
            <w:tcBorders>
              <w:top w:val="nil"/>
              <w:left w:val="nil"/>
              <w:bottom w:val="nil"/>
              <w:right w:val="nil"/>
            </w:tcBorders>
            <w:shd w:val="clear" w:color="auto" w:fill="auto"/>
            <w:noWrap/>
            <w:vAlign w:val="center"/>
          </w:tcPr>
          <w:p w14:paraId="3602502C"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13.404</w:t>
            </w:r>
          </w:p>
        </w:tc>
        <w:tc>
          <w:tcPr>
            <w:tcW w:w="337" w:type="pct"/>
            <w:tcBorders>
              <w:top w:val="nil"/>
              <w:left w:val="nil"/>
              <w:bottom w:val="nil"/>
              <w:right w:val="nil"/>
            </w:tcBorders>
            <w:shd w:val="clear" w:color="auto" w:fill="auto"/>
            <w:noWrap/>
            <w:vAlign w:val="center"/>
          </w:tcPr>
          <w:p w14:paraId="11CA7CF5"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9.988</w:t>
            </w:r>
          </w:p>
        </w:tc>
        <w:tc>
          <w:tcPr>
            <w:tcW w:w="341" w:type="pct"/>
            <w:tcBorders>
              <w:top w:val="nil"/>
              <w:left w:val="nil"/>
              <w:bottom w:val="nil"/>
              <w:right w:val="nil"/>
            </w:tcBorders>
            <w:shd w:val="clear" w:color="auto" w:fill="auto"/>
            <w:noWrap/>
            <w:vAlign w:val="center"/>
          </w:tcPr>
          <w:p w14:paraId="202875BC"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6.176</w:t>
            </w:r>
          </w:p>
        </w:tc>
        <w:tc>
          <w:tcPr>
            <w:tcW w:w="340" w:type="pct"/>
            <w:tcBorders>
              <w:top w:val="nil"/>
              <w:left w:val="nil"/>
              <w:bottom w:val="nil"/>
              <w:right w:val="nil"/>
            </w:tcBorders>
            <w:shd w:val="clear" w:color="auto" w:fill="auto"/>
            <w:noWrap/>
            <w:vAlign w:val="center"/>
          </w:tcPr>
          <w:p w14:paraId="4B395FA6"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22.387</w:t>
            </w:r>
          </w:p>
        </w:tc>
        <w:tc>
          <w:tcPr>
            <w:tcW w:w="390" w:type="pct"/>
            <w:tcBorders>
              <w:top w:val="nil"/>
              <w:left w:val="nil"/>
              <w:bottom w:val="nil"/>
              <w:right w:val="nil"/>
            </w:tcBorders>
            <w:shd w:val="clear" w:color="auto" w:fill="auto"/>
            <w:noWrap/>
            <w:vAlign w:val="center"/>
          </w:tcPr>
          <w:p w14:paraId="73173F8A"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3.727.130</w:t>
            </w:r>
          </w:p>
        </w:tc>
        <w:tc>
          <w:tcPr>
            <w:tcW w:w="430" w:type="pct"/>
            <w:tcBorders>
              <w:top w:val="nil"/>
              <w:left w:val="nil"/>
              <w:bottom w:val="nil"/>
              <w:right w:val="nil"/>
            </w:tcBorders>
            <w:vAlign w:val="center"/>
          </w:tcPr>
          <w:p w14:paraId="5DED81F9"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4.091.246</w:t>
            </w:r>
          </w:p>
        </w:tc>
      </w:tr>
      <w:tr w:rsidR="0005492B" w:rsidRPr="00E20D21" w14:paraId="5FD6DE0C" w14:textId="77777777" w:rsidTr="00962D75">
        <w:trPr>
          <w:trHeight w:val="255"/>
        </w:trPr>
        <w:tc>
          <w:tcPr>
            <w:tcW w:w="1119" w:type="pct"/>
            <w:tcBorders>
              <w:top w:val="nil"/>
              <w:left w:val="nil"/>
              <w:bottom w:val="nil"/>
              <w:right w:val="nil"/>
            </w:tcBorders>
            <w:shd w:val="clear" w:color="auto" w:fill="auto"/>
            <w:noWrap/>
            <w:vAlign w:val="center"/>
            <w:hideMark/>
          </w:tcPr>
          <w:p w14:paraId="48751B8D" w14:textId="52230098" w:rsidR="00446191" w:rsidRPr="00E20D21" w:rsidRDefault="00446191">
            <w:pPr>
              <w:rPr>
                <w:rFonts w:ascii="CAIXA Std Book" w:hAnsi="CAIXA Std Book"/>
                <w:b/>
                <w:color w:val="005CA9"/>
                <w:sz w:val="14"/>
                <w:szCs w:val="14"/>
              </w:rPr>
            </w:pPr>
            <w:r w:rsidRPr="00E20D21">
              <w:rPr>
                <w:rFonts w:ascii="CAIXA Std Book" w:hAnsi="CAIXA Std Book"/>
                <w:b/>
                <w:color w:val="005CA9"/>
                <w:sz w:val="14"/>
                <w:szCs w:val="14"/>
              </w:rPr>
              <w:t xml:space="preserve">Outros créditos com característica de concessão de </w:t>
            </w:r>
            <w:r w:rsidR="00BC7A90" w:rsidRPr="00E20D21">
              <w:rPr>
                <w:rFonts w:ascii="CAIXA Std Book" w:hAnsi="CAIXA Std Book"/>
                <w:b/>
                <w:color w:val="005CA9"/>
                <w:sz w:val="14"/>
                <w:szCs w:val="14"/>
              </w:rPr>
              <w:t>c</w:t>
            </w:r>
            <w:r w:rsidRPr="00E20D21">
              <w:rPr>
                <w:rFonts w:ascii="CAIXA Std Book" w:hAnsi="CAIXA Std Book"/>
                <w:b/>
                <w:color w:val="005CA9"/>
                <w:sz w:val="14"/>
                <w:szCs w:val="14"/>
              </w:rPr>
              <w:t>rédito</w:t>
            </w:r>
          </w:p>
        </w:tc>
        <w:tc>
          <w:tcPr>
            <w:tcW w:w="340" w:type="pct"/>
            <w:tcBorders>
              <w:top w:val="nil"/>
              <w:left w:val="nil"/>
              <w:bottom w:val="nil"/>
              <w:right w:val="nil"/>
            </w:tcBorders>
            <w:shd w:val="clear" w:color="auto" w:fill="auto"/>
            <w:noWrap/>
            <w:vAlign w:val="center"/>
          </w:tcPr>
          <w:p w14:paraId="4FAEDCA5"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819.127</w:t>
            </w:r>
          </w:p>
        </w:tc>
        <w:tc>
          <w:tcPr>
            <w:tcW w:w="341" w:type="pct"/>
            <w:tcBorders>
              <w:top w:val="nil"/>
              <w:left w:val="nil"/>
              <w:bottom w:val="nil"/>
              <w:right w:val="nil"/>
            </w:tcBorders>
            <w:shd w:val="clear" w:color="auto" w:fill="auto"/>
            <w:noWrap/>
            <w:vAlign w:val="center"/>
          </w:tcPr>
          <w:p w14:paraId="0253796A"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7.635.997</w:t>
            </w:r>
          </w:p>
        </w:tc>
        <w:tc>
          <w:tcPr>
            <w:tcW w:w="341" w:type="pct"/>
            <w:tcBorders>
              <w:top w:val="nil"/>
              <w:left w:val="nil"/>
              <w:bottom w:val="nil"/>
              <w:right w:val="nil"/>
            </w:tcBorders>
            <w:shd w:val="clear" w:color="auto" w:fill="auto"/>
            <w:noWrap/>
            <w:vAlign w:val="center"/>
          </w:tcPr>
          <w:p w14:paraId="57659852"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1.911.843</w:t>
            </w:r>
          </w:p>
        </w:tc>
        <w:tc>
          <w:tcPr>
            <w:tcW w:w="340" w:type="pct"/>
            <w:tcBorders>
              <w:top w:val="nil"/>
              <w:left w:val="nil"/>
              <w:bottom w:val="nil"/>
              <w:right w:val="nil"/>
            </w:tcBorders>
            <w:shd w:val="clear" w:color="auto" w:fill="auto"/>
            <w:noWrap/>
            <w:vAlign w:val="center"/>
          </w:tcPr>
          <w:p w14:paraId="6F916033"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3.023.502</w:t>
            </w:r>
          </w:p>
        </w:tc>
        <w:tc>
          <w:tcPr>
            <w:tcW w:w="341" w:type="pct"/>
            <w:tcBorders>
              <w:top w:val="nil"/>
              <w:left w:val="nil"/>
              <w:bottom w:val="nil"/>
              <w:right w:val="nil"/>
            </w:tcBorders>
            <w:shd w:val="clear" w:color="auto" w:fill="auto"/>
            <w:noWrap/>
            <w:vAlign w:val="center"/>
          </w:tcPr>
          <w:p w14:paraId="37247046"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534.553</w:t>
            </w:r>
          </w:p>
        </w:tc>
        <w:tc>
          <w:tcPr>
            <w:tcW w:w="340" w:type="pct"/>
            <w:tcBorders>
              <w:top w:val="nil"/>
              <w:left w:val="nil"/>
              <w:bottom w:val="nil"/>
              <w:right w:val="nil"/>
            </w:tcBorders>
            <w:shd w:val="clear" w:color="auto" w:fill="auto"/>
            <w:noWrap/>
            <w:vAlign w:val="center"/>
          </w:tcPr>
          <w:p w14:paraId="0BF40F11"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270.694</w:t>
            </w:r>
          </w:p>
        </w:tc>
        <w:tc>
          <w:tcPr>
            <w:tcW w:w="337" w:type="pct"/>
            <w:tcBorders>
              <w:top w:val="nil"/>
              <w:left w:val="nil"/>
              <w:bottom w:val="nil"/>
              <w:right w:val="nil"/>
            </w:tcBorders>
            <w:shd w:val="clear" w:color="auto" w:fill="auto"/>
            <w:noWrap/>
            <w:vAlign w:val="center"/>
          </w:tcPr>
          <w:p w14:paraId="2CF2A64A"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111.922</w:t>
            </w:r>
          </w:p>
        </w:tc>
        <w:tc>
          <w:tcPr>
            <w:tcW w:w="341" w:type="pct"/>
            <w:tcBorders>
              <w:top w:val="nil"/>
              <w:left w:val="nil"/>
              <w:bottom w:val="nil"/>
              <w:right w:val="nil"/>
            </w:tcBorders>
            <w:shd w:val="clear" w:color="auto" w:fill="auto"/>
            <w:noWrap/>
            <w:vAlign w:val="center"/>
          </w:tcPr>
          <w:p w14:paraId="73E237AD"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48.695</w:t>
            </w:r>
          </w:p>
        </w:tc>
        <w:tc>
          <w:tcPr>
            <w:tcW w:w="340" w:type="pct"/>
            <w:tcBorders>
              <w:top w:val="nil"/>
              <w:left w:val="nil"/>
              <w:bottom w:val="nil"/>
              <w:right w:val="nil"/>
            </w:tcBorders>
            <w:shd w:val="clear" w:color="auto" w:fill="auto"/>
            <w:noWrap/>
            <w:vAlign w:val="center"/>
          </w:tcPr>
          <w:p w14:paraId="487EDD09"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347.323</w:t>
            </w:r>
          </w:p>
        </w:tc>
        <w:tc>
          <w:tcPr>
            <w:tcW w:w="390" w:type="pct"/>
            <w:tcBorders>
              <w:top w:val="nil"/>
              <w:left w:val="nil"/>
              <w:bottom w:val="nil"/>
              <w:right w:val="nil"/>
            </w:tcBorders>
            <w:shd w:val="clear" w:color="auto" w:fill="auto"/>
            <w:noWrap/>
            <w:vAlign w:val="center"/>
          </w:tcPr>
          <w:p w14:paraId="45F27F68"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14.703.656</w:t>
            </w:r>
          </w:p>
        </w:tc>
        <w:tc>
          <w:tcPr>
            <w:tcW w:w="430" w:type="pct"/>
            <w:tcBorders>
              <w:top w:val="nil"/>
              <w:left w:val="nil"/>
              <w:bottom w:val="nil"/>
              <w:right w:val="nil"/>
            </w:tcBorders>
            <w:vAlign w:val="center"/>
          </w:tcPr>
          <w:p w14:paraId="030E8A28" w14:textId="77777777" w:rsidR="00446191" w:rsidRPr="00E20D21" w:rsidRDefault="00446191"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14.509.182</w:t>
            </w:r>
          </w:p>
        </w:tc>
      </w:tr>
      <w:tr w:rsidR="0005492B" w:rsidRPr="00E20D21" w14:paraId="426733C8" w14:textId="77777777" w:rsidTr="00962D75">
        <w:trPr>
          <w:trHeight w:val="255"/>
        </w:trPr>
        <w:tc>
          <w:tcPr>
            <w:tcW w:w="1119" w:type="pct"/>
            <w:tcBorders>
              <w:top w:val="nil"/>
              <w:left w:val="nil"/>
              <w:bottom w:val="nil"/>
              <w:right w:val="nil"/>
            </w:tcBorders>
            <w:shd w:val="clear" w:color="auto" w:fill="auto"/>
            <w:noWrap/>
            <w:vAlign w:val="center"/>
            <w:hideMark/>
          </w:tcPr>
          <w:p w14:paraId="51115112"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Cartão de crédito</w:t>
            </w:r>
          </w:p>
        </w:tc>
        <w:tc>
          <w:tcPr>
            <w:tcW w:w="340" w:type="pct"/>
            <w:tcBorders>
              <w:top w:val="nil"/>
              <w:left w:val="nil"/>
              <w:bottom w:val="nil"/>
              <w:right w:val="nil"/>
            </w:tcBorders>
            <w:shd w:val="clear" w:color="auto" w:fill="auto"/>
            <w:noWrap/>
            <w:vAlign w:val="center"/>
          </w:tcPr>
          <w:p w14:paraId="206000CC"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492.063</w:t>
            </w:r>
          </w:p>
        </w:tc>
        <w:tc>
          <w:tcPr>
            <w:tcW w:w="341" w:type="pct"/>
            <w:tcBorders>
              <w:top w:val="nil"/>
              <w:left w:val="nil"/>
              <w:bottom w:val="nil"/>
              <w:right w:val="nil"/>
            </w:tcBorders>
            <w:shd w:val="clear" w:color="auto" w:fill="auto"/>
            <w:noWrap/>
            <w:vAlign w:val="center"/>
          </w:tcPr>
          <w:p w14:paraId="1E0B631C"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7.264.153</w:t>
            </w:r>
          </w:p>
        </w:tc>
        <w:tc>
          <w:tcPr>
            <w:tcW w:w="341" w:type="pct"/>
            <w:tcBorders>
              <w:top w:val="nil"/>
              <w:left w:val="nil"/>
              <w:bottom w:val="nil"/>
              <w:right w:val="nil"/>
            </w:tcBorders>
            <w:shd w:val="clear" w:color="auto" w:fill="auto"/>
            <w:noWrap/>
            <w:vAlign w:val="center"/>
          </w:tcPr>
          <w:p w14:paraId="35E5EA36"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1.149.864</w:t>
            </w:r>
          </w:p>
        </w:tc>
        <w:tc>
          <w:tcPr>
            <w:tcW w:w="340" w:type="pct"/>
            <w:tcBorders>
              <w:top w:val="nil"/>
              <w:left w:val="nil"/>
              <w:bottom w:val="nil"/>
              <w:right w:val="nil"/>
            </w:tcBorders>
            <w:shd w:val="clear" w:color="auto" w:fill="auto"/>
            <w:noWrap/>
            <w:vAlign w:val="center"/>
          </w:tcPr>
          <w:p w14:paraId="5056E691"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2.445.653</w:t>
            </w:r>
          </w:p>
        </w:tc>
        <w:tc>
          <w:tcPr>
            <w:tcW w:w="341" w:type="pct"/>
            <w:tcBorders>
              <w:top w:val="nil"/>
              <w:left w:val="nil"/>
              <w:bottom w:val="nil"/>
              <w:right w:val="nil"/>
            </w:tcBorders>
            <w:shd w:val="clear" w:color="auto" w:fill="auto"/>
            <w:noWrap/>
            <w:vAlign w:val="center"/>
          </w:tcPr>
          <w:p w14:paraId="30D8376C"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518.829</w:t>
            </w:r>
          </w:p>
        </w:tc>
        <w:tc>
          <w:tcPr>
            <w:tcW w:w="340" w:type="pct"/>
            <w:tcBorders>
              <w:top w:val="nil"/>
              <w:left w:val="nil"/>
              <w:bottom w:val="nil"/>
              <w:right w:val="nil"/>
            </w:tcBorders>
            <w:shd w:val="clear" w:color="auto" w:fill="auto"/>
            <w:noWrap/>
            <w:vAlign w:val="center"/>
          </w:tcPr>
          <w:p w14:paraId="71D2EF8A"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260.011</w:t>
            </w:r>
          </w:p>
        </w:tc>
        <w:tc>
          <w:tcPr>
            <w:tcW w:w="337" w:type="pct"/>
            <w:tcBorders>
              <w:top w:val="nil"/>
              <w:left w:val="nil"/>
              <w:bottom w:val="nil"/>
              <w:right w:val="nil"/>
            </w:tcBorders>
            <w:shd w:val="clear" w:color="auto" w:fill="auto"/>
            <w:noWrap/>
            <w:vAlign w:val="center"/>
          </w:tcPr>
          <w:p w14:paraId="443C8202"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93.510</w:t>
            </w:r>
          </w:p>
        </w:tc>
        <w:tc>
          <w:tcPr>
            <w:tcW w:w="341" w:type="pct"/>
            <w:tcBorders>
              <w:top w:val="nil"/>
              <w:left w:val="nil"/>
              <w:bottom w:val="nil"/>
              <w:right w:val="nil"/>
            </w:tcBorders>
            <w:shd w:val="clear" w:color="auto" w:fill="auto"/>
            <w:noWrap/>
            <w:vAlign w:val="center"/>
          </w:tcPr>
          <w:p w14:paraId="605470C0"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34.951</w:t>
            </w:r>
          </w:p>
        </w:tc>
        <w:tc>
          <w:tcPr>
            <w:tcW w:w="340" w:type="pct"/>
            <w:tcBorders>
              <w:top w:val="nil"/>
              <w:left w:val="nil"/>
              <w:bottom w:val="nil"/>
              <w:right w:val="nil"/>
            </w:tcBorders>
            <w:shd w:val="clear" w:color="auto" w:fill="auto"/>
            <w:noWrap/>
            <w:vAlign w:val="center"/>
          </w:tcPr>
          <w:p w14:paraId="2276506A"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197.217</w:t>
            </w:r>
          </w:p>
        </w:tc>
        <w:tc>
          <w:tcPr>
            <w:tcW w:w="390" w:type="pct"/>
            <w:tcBorders>
              <w:top w:val="nil"/>
              <w:left w:val="nil"/>
              <w:bottom w:val="nil"/>
              <w:right w:val="nil"/>
            </w:tcBorders>
            <w:shd w:val="clear" w:color="auto" w:fill="auto"/>
            <w:noWrap/>
            <w:vAlign w:val="center"/>
          </w:tcPr>
          <w:p w14:paraId="2FF7C41B"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12.456.251</w:t>
            </w:r>
          </w:p>
        </w:tc>
        <w:tc>
          <w:tcPr>
            <w:tcW w:w="430" w:type="pct"/>
            <w:tcBorders>
              <w:top w:val="nil"/>
              <w:left w:val="nil"/>
              <w:bottom w:val="nil"/>
              <w:right w:val="nil"/>
            </w:tcBorders>
            <w:vAlign w:val="center"/>
          </w:tcPr>
          <w:p w14:paraId="4F2B123B"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12.088.660</w:t>
            </w:r>
          </w:p>
        </w:tc>
      </w:tr>
      <w:tr w:rsidR="0005492B" w:rsidRPr="00E20D21" w14:paraId="6F6F0FC4" w14:textId="77777777" w:rsidTr="00962D75">
        <w:trPr>
          <w:trHeight w:val="255"/>
        </w:trPr>
        <w:tc>
          <w:tcPr>
            <w:tcW w:w="1119" w:type="pct"/>
            <w:tcBorders>
              <w:top w:val="nil"/>
              <w:left w:val="nil"/>
              <w:bottom w:val="nil"/>
              <w:right w:val="nil"/>
            </w:tcBorders>
            <w:shd w:val="clear" w:color="auto" w:fill="auto"/>
            <w:noWrap/>
            <w:vAlign w:val="center"/>
            <w:hideMark/>
          </w:tcPr>
          <w:p w14:paraId="0C3A4B0A"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 xml:space="preserve">Adiantamento de contratos de câmbio </w:t>
            </w:r>
          </w:p>
        </w:tc>
        <w:tc>
          <w:tcPr>
            <w:tcW w:w="340" w:type="pct"/>
            <w:tcBorders>
              <w:top w:val="nil"/>
              <w:left w:val="nil"/>
              <w:bottom w:val="nil"/>
              <w:right w:val="nil"/>
            </w:tcBorders>
            <w:shd w:val="clear" w:color="auto" w:fill="auto"/>
            <w:noWrap/>
            <w:vAlign w:val="center"/>
          </w:tcPr>
          <w:p w14:paraId="335D67C5"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294.071</w:t>
            </w:r>
          </w:p>
        </w:tc>
        <w:tc>
          <w:tcPr>
            <w:tcW w:w="341" w:type="pct"/>
            <w:tcBorders>
              <w:top w:val="nil"/>
              <w:left w:val="nil"/>
              <w:bottom w:val="nil"/>
              <w:right w:val="nil"/>
            </w:tcBorders>
            <w:shd w:val="clear" w:color="auto" w:fill="auto"/>
            <w:noWrap/>
            <w:vAlign w:val="center"/>
          </w:tcPr>
          <w:p w14:paraId="2162BFB1"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333.374</w:t>
            </w:r>
          </w:p>
        </w:tc>
        <w:tc>
          <w:tcPr>
            <w:tcW w:w="341" w:type="pct"/>
            <w:tcBorders>
              <w:top w:val="nil"/>
              <w:left w:val="nil"/>
              <w:bottom w:val="nil"/>
              <w:right w:val="nil"/>
            </w:tcBorders>
            <w:shd w:val="clear" w:color="auto" w:fill="auto"/>
            <w:noWrap/>
            <w:vAlign w:val="center"/>
          </w:tcPr>
          <w:p w14:paraId="6460BBF2"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748.801</w:t>
            </w:r>
          </w:p>
        </w:tc>
        <w:tc>
          <w:tcPr>
            <w:tcW w:w="340" w:type="pct"/>
            <w:tcBorders>
              <w:top w:val="nil"/>
              <w:left w:val="nil"/>
              <w:bottom w:val="nil"/>
              <w:right w:val="nil"/>
            </w:tcBorders>
            <w:shd w:val="clear" w:color="auto" w:fill="auto"/>
            <w:noWrap/>
            <w:vAlign w:val="center"/>
          </w:tcPr>
          <w:p w14:paraId="6E171A2A"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273.682</w:t>
            </w:r>
          </w:p>
        </w:tc>
        <w:tc>
          <w:tcPr>
            <w:tcW w:w="341" w:type="pct"/>
            <w:tcBorders>
              <w:top w:val="nil"/>
              <w:left w:val="nil"/>
              <w:bottom w:val="nil"/>
              <w:right w:val="nil"/>
            </w:tcBorders>
            <w:shd w:val="clear" w:color="auto" w:fill="auto"/>
            <w:noWrap/>
            <w:vAlign w:val="center"/>
          </w:tcPr>
          <w:p w14:paraId="0753A2A4"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14.120</w:t>
            </w:r>
          </w:p>
        </w:tc>
        <w:tc>
          <w:tcPr>
            <w:tcW w:w="340" w:type="pct"/>
            <w:tcBorders>
              <w:top w:val="nil"/>
              <w:left w:val="nil"/>
              <w:bottom w:val="nil"/>
              <w:right w:val="nil"/>
            </w:tcBorders>
            <w:shd w:val="clear" w:color="auto" w:fill="auto"/>
            <w:noWrap/>
            <w:vAlign w:val="center"/>
          </w:tcPr>
          <w:p w14:paraId="2E9317EA"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8.526</w:t>
            </w:r>
          </w:p>
        </w:tc>
        <w:tc>
          <w:tcPr>
            <w:tcW w:w="337" w:type="pct"/>
            <w:tcBorders>
              <w:top w:val="nil"/>
              <w:left w:val="nil"/>
              <w:bottom w:val="nil"/>
              <w:right w:val="nil"/>
            </w:tcBorders>
            <w:shd w:val="clear" w:color="auto" w:fill="auto"/>
            <w:noWrap/>
            <w:vAlign w:val="center"/>
          </w:tcPr>
          <w:p w14:paraId="5C093789" w14:textId="77777777" w:rsidR="00446191" w:rsidRPr="00E20D21" w:rsidRDefault="00446191" w:rsidP="00BC7A90">
            <w:pPr>
              <w:jc w:val="right"/>
              <w:rPr>
                <w:rFonts w:ascii="CAIXA Std Book" w:hAnsi="CAIXA Std Book"/>
                <w:color w:val="005CA9"/>
                <w:sz w:val="14"/>
                <w:szCs w:val="14"/>
                <w:highlight w:val="yellow"/>
              </w:rPr>
            </w:pPr>
            <w:r w:rsidRPr="00E20D21">
              <w:rPr>
                <w:rFonts w:ascii="CAIXA Std Book" w:hAnsi="CAIXA Std Book" w:cs="Arial"/>
                <w:color w:val="005CA9"/>
                <w:sz w:val="14"/>
                <w:szCs w:val="14"/>
              </w:rPr>
              <w:t>17586</w:t>
            </w:r>
          </w:p>
        </w:tc>
        <w:tc>
          <w:tcPr>
            <w:tcW w:w="341" w:type="pct"/>
            <w:tcBorders>
              <w:top w:val="nil"/>
              <w:left w:val="nil"/>
              <w:bottom w:val="nil"/>
              <w:right w:val="nil"/>
            </w:tcBorders>
            <w:shd w:val="clear" w:color="auto" w:fill="auto"/>
            <w:noWrap/>
            <w:vAlign w:val="center"/>
          </w:tcPr>
          <w:p w14:paraId="68A46034" w14:textId="77777777" w:rsidR="00446191" w:rsidRPr="00E20D21" w:rsidRDefault="00446191" w:rsidP="00BC7A90">
            <w:pPr>
              <w:jc w:val="right"/>
              <w:rPr>
                <w:rFonts w:ascii="CAIXA Std Book" w:hAnsi="CAIXA Std Book" w:cs="Arial Unicode MS"/>
                <w:color w:val="005CA9"/>
                <w:sz w:val="14"/>
                <w:szCs w:val="14"/>
                <w:highlight w:val="yellow"/>
              </w:rPr>
            </w:pPr>
            <w:r w:rsidRPr="00E20D21">
              <w:rPr>
                <w:rFonts w:ascii="CAIXA Std Book" w:hAnsi="CAIXA Std Book" w:cs="Arial"/>
                <w:color w:val="005CA9"/>
                <w:sz w:val="14"/>
                <w:szCs w:val="14"/>
              </w:rPr>
              <w:t>12296</w:t>
            </w:r>
          </w:p>
        </w:tc>
        <w:tc>
          <w:tcPr>
            <w:tcW w:w="340" w:type="pct"/>
            <w:tcBorders>
              <w:top w:val="nil"/>
              <w:left w:val="nil"/>
              <w:bottom w:val="nil"/>
              <w:right w:val="nil"/>
            </w:tcBorders>
            <w:shd w:val="clear" w:color="auto" w:fill="auto"/>
            <w:noWrap/>
            <w:vAlign w:val="center"/>
          </w:tcPr>
          <w:p w14:paraId="050B9824"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3.458</w:t>
            </w:r>
          </w:p>
        </w:tc>
        <w:tc>
          <w:tcPr>
            <w:tcW w:w="390" w:type="pct"/>
            <w:tcBorders>
              <w:top w:val="nil"/>
              <w:left w:val="nil"/>
              <w:bottom w:val="nil"/>
              <w:right w:val="nil"/>
            </w:tcBorders>
            <w:shd w:val="clear" w:color="auto" w:fill="auto"/>
            <w:noWrap/>
            <w:vAlign w:val="center"/>
          </w:tcPr>
          <w:p w14:paraId="28D84A1D"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1.705.914</w:t>
            </w:r>
          </w:p>
        </w:tc>
        <w:tc>
          <w:tcPr>
            <w:tcW w:w="430" w:type="pct"/>
            <w:tcBorders>
              <w:top w:val="nil"/>
              <w:left w:val="nil"/>
              <w:bottom w:val="nil"/>
              <w:right w:val="nil"/>
            </w:tcBorders>
            <w:vAlign w:val="center"/>
          </w:tcPr>
          <w:p w14:paraId="0C9FF462"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1.738.220</w:t>
            </w:r>
          </w:p>
        </w:tc>
      </w:tr>
      <w:tr w:rsidR="0005492B" w:rsidRPr="00E20D21" w14:paraId="47218D19" w14:textId="77777777" w:rsidTr="00962D75">
        <w:trPr>
          <w:trHeight w:val="255"/>
        </w:trPr>
        <w:tc>
          <w:tcPr>
            <w:tcW w:w="1119" w:type="pct"/>
            <w:tcBorders>
              <w:top w:val="nil"/>
              <w:left w:val="nil"/>
              <w:bottom w:val="nil"/>
              <w:right w:val="nil"/>
            </w:tcBorders>
            <w:shd w:val="clear" w:color="auto" w:fill="auto"/>
            <w:noWrap/>
            <w:vAlign w:val="center"/>
            <w:hideMark/>
          </w:tcPr>
          <w:p w14:paraId="12BCCCF0"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Créditos adquiridos (1)</w:t>
            </w:r>
          </w:p>
        </w:tc>
        <w:tc>
          <w:tcPr>
            <w:tcW w:w="340" w:type="pct"/>
            <w:tcBorders>
              <w:top w:val="nil"/>
              <w:left w:val="nil"/>
              <w:bottom w:val="nil"/>
              <w:right w:val="nil"/>
            </w:tcBorders>
            <w:shd w:val="clear" w:color="auto" w:fill="auto"/>
            <w:noWrap/>
            <w:vAlign w:val="center"/>
          </w:tcPr>
          <w:p w14:paraId="700EDB0B" w14:textId="77777777" w:rsidR="00446191" w:rsidRPr="00E20D21" w:rsidRDefault="00446191" w:rsidP="00BC7A90">
            <w:pPr>
              <w:jc w:val="center"/>
              <w:rPr>
                <w:rFonts w:ascii="CAIXA Std Book" w:hAnsi="CAIXA Std Book"/>
                <w:color w:val="005CA9"/>
                <w:sz w:val="14"/>
                <w:szCs w:val="14"/>
              </w:rPr>
            </w:pPr>
            <w:r w:rsidRPr="00E20D21">
              <w:rPr>
                <w:rFonts w:ascii="CAIXA Std Book" w:hAnsi="CAIXA Std Book"/>
                <w:color w:val="005CA9"/>
                <w:sz w:val="14"/>
                <w:szCs w:val="14"/>
              </w:rPr>
              <w:t>-</w:t>
            </w:r>
          </w:p>
        </w:tc>
        <w:tc>
          <w:tcPr>
            <w:tcW w:w="341" w:type="pct"/>
            <w:tcBorders>
              <w:top w:val="nil"/>
              <w:left w:val="nil"/>
              <w:bottom w:val="nil"/>
              <w:right w:val="nil"/>
            </w:tcBorders>
            <w:shd w:val="clear" w:color="auto" w:fill="auto"/>
            <w:noWrap/>
            <w:vAlign w:val="center"/>
          </w:tcPr>
          <w:p w14:paraId="04F61642"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33.235</w:t>
            </w:r>
          </w:p>
        </w:tc>
        <w:tc>
          <w:tcPr>
            <w:tcW w:w="341" w:type="pct"/>
            <w:tcBorders>
              <w:top w:val="nil"/>
              <w:left w:val="nil"/>
              <w:bottom w:val="nil"/>
              <w:right w:val="nil"/>
            </w:tcBorders>
            <w:shd w:val="clear" w:color="auto" w:fill="auto"/>
            <w:noWrap/>
            <w:vAlign w:val="center"/>
          </w:tcPr>
          <w:p w14:paraId="6FC08CC2" w14:textId="77777777" w:rsidR="00446191" w:rsidRPr="00E20D21" w:rsidRDefault="00446191" w:rsidP="00BC7A90">
            <w:pPr>
              <w:jc w:val="center"/>
              <w:rPr>
                <w:rFonts w:ascii="CAIXA Std Book" w:hAnsi="CAIXA Std Book"/>
                <w:color w:val="005CA9"/>
                <w:sz w:val="14"/>
                <w:szCs w:val="14"/>
              </w:rPr>
            </w:pPr>
            <w:r w:rsidRPr="00E20D21">
              <w:rPr>
                <w:rFonts w:ascii="CAIXA Std Book" w:hAnsi="CAIXA Std Book"/>
                <w:color w:val="005CA9"/>
                <w:sz w:val="14"/>
                <w:szCs w:val="14"/>
              </w:rPr>
              <w:t>-</w:t>
            </w:r>
          </w:p>
        </w:tc>
        <w:tc>
          <w:tcPr>
            <w:tcW w:w="340" w:type="pct"/>
            <w:tcBorders>
              <w:top w:val="nil"/>
              <w:left w:val="nil"/>
              <w:bottom w:val="nil"/>
              <w:right w:val="nil"/>
            </w:tcBorders>
            <w:shd w:val="clear" w:color="auto" w:fill="auto"/>
            <w:noWrap/>
            <w:vAlign w:val="center"/>
          </w:tcPr>
          <w:p w14:paraId="48E4E3D0"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275.712</w:t>
            </w:r>
          </w:p>
        </w:tc>
        <w:tc>
          <w:tcPr>
            <w:tcW w:w="341" w:type="pct"/>
            <w:tcBorders>
              <w:top w:val="nil"/>
              <w:left w:val="nil"/>
              <w:bottom w:val="nil"/>
              <w:right w:val="nil"/>
            </w:tcBorders>
            <w:shd w:val="clear" w:color="auto" w:fill="auto"/>
            <w:noWrap/>
            <w:vAlign w:val="center"/>
          </w:tcPr>
          <w:p w14:paraId="10048DCA" w14:textId="77777777" w:rsidR="00446191" w:rsidRPr="00E20D21" w:rsidRDefault="00446191" w:rsidP="00BC7A90">
            <w:pPr>
              <w:jc w:val="center"/>
              <w:rPr>
                <w:rFonts w:ascii="CAIXA Std Book" w:hAnsi="CAIXA Std Book"/>
                <w:color w:val="005CA9"/>
                <w:sz w:val="14"/>
                <w:szCs w:val="14"/>
              </w:rPr>
            </w:pPr>
            <w:r w:rsidRPr="00E20D21">
              <w:rPr>
                <w:rFonts w:ascii="CAIXA Std Book" w:hAnsi="CAIXA Std Book"/>
                <w:color w:val="005CA9"/>
                <w:sz w:val="14"/>
                <w:szCs w:val="14"/>
              </w:rPr>
              <w:t>-</w:t>
            </w:r>
          </w:p>
        </w:tc>
        <w:tc>
          <w:tcPr>
            <w:tcW w:w="340" w:type="pct"/>
            <w:tcBorders>
              <w:top w:val="nil"/>
              <w:left w:val="nil"/>
              <w:bottom w:val="nil"/>
              <w:right w:val="nil"/>
            </w:tcBorders>
            <w:shd w:val="clear" w:color="auto" w:fill="auto"/>
            <w:noWrap/>
            <w:vAlign w:val="center"/>
          </w:tcPr>
          <w:p w14:paraId="19C02F17" w14:textId="77777777" w:rsidR="00446191" w:rsidRPr="00E20D21" w:rsidRDefault="00446191" w:rsidP="00BC7A90">
            <w:pPr>
              <w:jc w:val="center"/>
              <w:rPr>
                <w:rFonts w:ascii="CAIXA Std Book" w:hAnsi="CAIXA Std Book"/>
                <w:color w:val="005CA9"/>
                <w:sz w:val="14"/>
                <w:szCs w:val="14"/>
              </w:rPr>
            </w:pPr>
            <w:r w:rsidRPr="00E20D21">
              <w:rPr>
                <w:rFonts w:ascii="CAIXA Std Book" w:hAnsi="CAIXA Std Book"/>
                <w:color w:val="005CA9"/>
                <w:sz w:val="14"/>
                <w:szCs w:val="14"/>
              </w:rPr>
              <w:t>-</w:t>
            </w:r>
          </w:p>
        </w:tc>
        <w:tc>
          <w:tcPr>
            <w:tcW w:w="337" w:type="pct"/>
            <w:tcBorders>
              <w:top w:val="nil"/>
              <w:left w:val="nil"/>
              <w:bottom w:val="nil"/>
              <w:right w:val="nil"/>
            </w:tcBorders>
            <w:shd w:val="clear" w:color="auto" w:fill="auto"/>
            <w:noWrap/>
            <w:vAlign w:val="center"/>
          </w:tcPr>
          <w:p w14:paraId="7CDB3B60" w14:textId="77777777" w:rsidR="00446191" w:rsidRPr="00E20D21" w:rsidRDefault="00446191" w:rsidP="00BC7A90">
            <w:pPr>
              <w:jc w:val="center"/>
              <w:rPr>
                <w:rFonts w:ascii="CAIXA Std Book" w:hAnsi="CAIXA Std Book"/>
                <w:color w:val="005CA9"/>
                <w:sz w:val="14"/>
                <w:szCs w:val="14"/>
              </w:rPr>
            </w:pPr>
            <w:r w:rsidRPr="00E20D21">
              <w:rPr>
                <w:rFonts w:ascii="CAIXA Std Book" w:hAnsi="CAIXA Std Book"/>
                <w:color w:val="005CA9"/>
                <w:sz w:val="14"/>
                <w:szCs w:val="14"/>
              </w:rPr>
              <w:t>-</w:t>
            </w:r>
          </w:p>
        </w:tc>
        <w:tc>
          <w:tcPr>
            <w:tcW w:w="341" w:type="pct"/>
            <w:tcBorders>
              <w:top w:val="nil"/>
              <w:left w:val="nil"/>
              <w:bottom w:val="nil"/>
              <w:right w:val="nil"/>
            </w:tcBorders>
            <w:shd w:val="clear" w:color="auto" w:fill="auto"/>
            <w:noWrap/>
            <w:vAlign w:val="center"/>
          </w:tcPr>
          <w:p w14:paraId="0181D0A8" w14:textId="77777777" w:rsidR="00446191" w:rsidRPr="00E20D21" w:rsidRDefault="00446191" w:rsidP="00BC7A90">
            <w:pPr>
              <w:jc w:val="center"/>
              <w:rPr>
                <w:rFonts w:ascii="CAIXA Std Book" w:hAnsi="CAIXA Std Book" w:cs="Arial Unicode MS"/>
                <w:color w:val="005CA9"/>
                <w:sz w:val="14"/>
                <w:szCs w:val="14"/>
              </w:rPr>
            </w:pPr>
            <w:r w:rsidRPr="00E20D21">
              <w:rPr>
                <w:rFonts w:ascii="CAIXA Std Book" w:hAnsi="CAIXA Std Book" w:cs="Arial Unicode MS"/>
                <w:color w:val="005CA9"/>
                <w:sz w:val="14"/>
                <w:szCs w:val="14"/>
              </w:rPr>
              <w:t>-</w:t>
            </w:r>
          </w:p>
        </w:tc>
        <w:tc>
          <w:tcPr>
            <w:tcW w:w="340" w:type="pct"/>
            <w:tcBorders>
              <w:top w:val="nil"/>
              <w:left w:val="nil"/>
              <w:bottom w:val="nil"/>
              <w:right w:val="nil"/>
            </w:tcBorders>
            <w:shd w:val="clear" w:color="auto" w:fill="auto"/>
            <w:noWrap/>
            <w:vAlign w:val="center"/>
          </w:tcPr>
          <w:p w14:paraId="6C2E7D64" w14:textId="77777777" w:rsidR="00446191" w:rsidRPr="00E20D21" w:rsidRDefault="00446191" w:rsidP="00BC7A90">
            <w:pPr>
              <w:jc w:val="center"/>
              <w:rPr>
                <w:rFonts w:ascii="CAIXA Std Book" w:hAnsi="CAIXA Std Book" w:cs="Arial Unicode MS"/>
                <w:color w:val="005CA9"/>
                <w:sz w:val="14"/>
                <w:szCs w:val="14"/>
              </w:rPr>
            </w:pPr>
            <w:r w:rsidRPr="00E20D21">
              <w:rPr>
                <w:rFonts w:ascii="CAIXA Std Book" w:hAnsi="CAIXA Std Book" w:cs="Arial Unicode MS"/>
                <w:color w:val="005CA9"/>
                <w:sz w:val="14"/>
                <w:szCs w:val="14"/>
              </w:rPr>
              <w:t>-</w:t>
            </w:r>
          </w:p>
        </w:tc>
        <w:tc>
          <w:tcPr>
            <w:tcW w:w="390" w:type="pct"/>
            <w:tcBorders>
              <w:top w:val="nil"/>
              <w:left w:val="nil"/>
              <w:bottom w:val="nil"/>
              <w:right w:val="nil"/>
            </w:tcBorders>
            <w:shd w:val="clear" w:color="auto" w:fill="auto"/>
            <w:noWrap/>
            <w:vAlign w:val="center"/>
          </w:tcPr>
          <w:p w14:paraId="4E8D66A8"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308.947</w:t>
            </w:r>
          </w:p>
        </w:tc>
        <w:tc>
          <w:tcPr>
            <w:tcW w:w="430" w:type="pct"/>
            <w:tcBorders>
              <w:top w:val="nil"/>
              <w:left w:val="nil"/>
              <w:bottom w:val="nil"/>
              <w:right w:val="nil"/>
            </w:tcBorders>
            <w:vAlign w:val="center"/>
          </w:tcPr>
          <w:p w14:paraId="21A80DAE"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455.853</w:t>
            </w:r>
          </w:p>
        </w:tc>
      </w:tr>
      <w:tr w:rsidR="0005492B" w:rsidRPr="00E20D21" w14:paraId="4FD3B265" w14:textId="77777777" w:rsidTr="00962D75">
        <w:trPr>
          <w:trHeight w:val="255"/>
        </w:trPr>
        <w:tc>
          <w:tcPr>
            <w:tcW w:w="1119" w:type="pct"/>
            <w:tcBorders>
              <w:top w:val="nil"/>
              <w:left w:val="nil"/>
              <w:bottom w:val="nil"/>
              <w:right w:val="nil"/>
            </w:tcBorders>
            <w:shd w:val="clear" w:color="auto" w:fill="auto"/>
            <w:noWrap/>
            <w:vAlign w:val="center"/>
            <w:hideMark/>
          </w:tcPr>
          <w:p w14:paraId="6D2EDD75"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Diversos</w:t>
            </w:r>
          </w:p>
        </w:tc>
        <w:tc>
          <w:tcPr>
            <w:tcW w:w="340" w:type="pct"/>
            <w:tcBorders>
              <w:top w:val="nil"/>
              <w:left w:val="nil"/>
              <w:bottom w:val="nil"/>
              <w:right w:val="nil"/>
            </w:tcBorders>
            <w:shd w:val="clear" w:color="auto" w:fill="auto"/>
            <w:noWrap/>
            <w:vAlign w:val="center"/>
          </w:tcPr>
          <w:p w14:paraId="39F2C87E"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32.993</w:t>
            </w:r>
          </w:p>
        </w:tc>
        <w:tc>
          <w:tcPr>
            <w:tcW w:w="341" w:type="pct"/>
            <w:tcBorders>
              <w:top w:val="nil"/>
              <w:left w:val="nil"/>
              <w:bottom w:val="nil"/>
              <w:right w:val="nil"/>
            </w:tcBorders>
            <w:shd w:val="clear" w:color="auto" w:fill="auto"/>
            <w:noWrap/>
            <w:vAlign w:val="center"/>
          </w:tcPr>
          <w:p w14:paraId="32024E56"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5.235</w:t>
            </w:r>
          </w:p>
        </w:tc>
        <w:tc>
          <w:tcPr>
            <w:tcW w:w="341" w:type="pct"/>
            <w:tcBorders>
              <w:top w:val="nil"/>
              <w:left w:val="nil"/>
              <w:bottom w:val="nil"/>
              <w:right w:val="nil"/>
            </w:tcBorders>
            <w:shd w:val="clear" w:color="auto" w:fill="auto"/>
            <w:noWrap/>
            <w:vAlign w:val="center"/>
          </w:tcPr>
          <w:p w14:paraId="1D83F470"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13.178</w:t>
            </w:r>
          </w:p>
        </w:tc>
        <w:tc>
          <w:tcPr>
            <w:tcW w:w="340" w:type="pct"/>
            <w:tcBorders>
              <w:top w:val="nil"/>
              <w:left w:val="nil"/>
              <w:bottom w:val="nil"/>
              <w:right w:val="nil"/>
            </w:tcBorders>
            <w:shd w:val="clear" w:color="auto" w:fill="auto"/>
            <w:noWrap/>
            <w:vAlign w:val="center"/>
          </w:tcPr>
          <w:p w14:paraId="6A453331"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28.455</w:t>
            </w:r>
          </w:p>
        </w:tc>
        <w:tc>
          <w:tcPr>
            <w:tcW w:w="341" w:type="pct"/>
            <w:tcBorders>
              <w:top w:val="nil"/>
              <w:left w:val="nil"/>
              <w:bottom w:val="nil"/>
              <w:right w:val="nil"/>
            </w:tcBorders>
            <w:shd w:val="clear" w:color="auto" w:fill="auto"/>
            <w:noWrap/>
            <w:vAlign w:val="center"/>
          </w:tcPr>
          <w:p w14:paraId="7BC9DC14"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1.604</w:t>
            </w:r>
          </w:p>
        </w:tc>
        <w:tc>
          <w:tcPr>
            <w:tcW w:w="340" w:type="pct"/>
            <w:tcBorders>
              <w:top w:val="nil"/>
              <w:left w:val="nil"/>
              <w:bottom w:val="nil"/>
              <w:right w:val="nil"/>
            </w:tcBorders>
            <w:shd w:val="clear" w:color="auto" w:fill="auto"/>
            <w:noWrap/>
            <w:vAlign w:val="center"/>
          </w:tcPr>
          <w:p w14:paraId="0A0CE015"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2.157</w:t>
            </w:r>
          </w:p>
        </w:tc>
        <w:tc>
          <w:tcPr>
            <w:tcW w:w="337" w:type="pct"/>
            <w:tcBorders>
              <w:top w:val="nil"/>
              <w:left w:val="nil"/>
              <w:bottom w:val="nil"/>
              <w:right w:val="nil"/>
            </w:tcBorders>
            <w:shd w:val="clear" w:color="auto" w:fill="auto"/>
            <w:noWrap/>
            <w:vAlign w:val="center"/>
          </w:tcPr>
          <w:p w14:paraId="2AFD4000"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826</w:t>
            </w:r>
          </w:p>
        </w:tc>
        <w:tc>
          <w:tcPr>
            <w:tcW w:w="341" w:type="pct"/>
            <w:tcBorders>
              <w:top w:val="nil"/>
              <w:left w:val="nil"/>
              <w:bottom w:val="nil"/>
              <w:right w:val="nil"/>
            </w:tcBorders>
            <w:shd w:val="clear" w:color="auto" w:fill="auto"/>
            <w:noWrap/>
            <w:vAlign w:val="center"/>
          </w:tcPr>
          <w:p w14:paraId="508D0695"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1.448</w:t>
            </w:r>
          </w:p>
        </w:tc>
        <w:tc>
          <w:tcPr>
            <w:tcW w:w="340" w:type="pct"/>
            <w:tcBorders>
              <w:top w:val="nil"/>
              <w:left w:val="nil"/>
              <w:bottom w:val="nil"/>
              <w:right w:val="nil"/>
            </w:tcBorders>
            <w:shd w:val="clear" w:color="auto" w:fill="auto"/>
            <w:noWrap/>
            <w:vAlign w:val="center"/>
          </w:tcPr>
          <w:p w14:paraId="4D426003" w14:textId="7777777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146.648</w:t>
            </w:r>
          </w:p>
        </w:tc>
        <w:tc>
          <w:tcPr>
            <w:tcW w:w="390" w:type="pct"/>
            <w:tcBorders>
              <w:top w:val="nil"/>
              <w:left w:val="nil"/>
              <w:bottom w:val="nil"/>
              <w:right w:val="nil"/>
            </w:tcBorders>
            <w:shd w:val="clear" w:color="auto" w:fill="auto"/>
            <w:noWrap/>
            <w:vAlign w:val="center"/>
          </w:tcPr>
          <w:p w14:paraId="066A43C9"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232.544</w:t>
            </w:r>
          </w:p>
        </w:tc>
        <w:tc>
          <w:tcPr>
            <w:tcW w:w="430" w:type="pct"/>
            <w:tcBorders>
              <w:top w:val="nil"/>
              <w:left w:val="nil"/>
              <w:bottom w:val="nil"/>
              <w:right w:val="nil"/>
            </w:tcBorders>
            <w:vAlign w:val="center"/>
          </w:tcPr>
          <w:p w14:paraId="35B730B0" w14:textId="77777777" w:rsidR="00446191" w:rsidRPr="00E20D21" w:rsidRDefault="00446191" w:rsidP="00BC7A90">
            <w:pPr>
              <w:jc w:val="right"/>
              <w:rPr>
                <w:rFonts w:ascii="CAIXA Std Book" w:hAnsi="CAIXA Std Book"/>
                <w:color w:val="005CA9"/>
                <w:sz w:val="14"/>
                <w:szCs w:val="14"/>
              </w:rPr>
            </w:pPr>
            <w:r w:rsidRPr="00E20D21">
              <w:rPr>
                <w:rFonts w:ascii="CAIXA Std Book" w:hAnsi="CAIXA Std Book" w:cs="Arial"/>
                <w:color w:val="005CA9"/>
                <w:sz w:val="14"/>
                <w:szCs w:val="14"/>
              </w:rPr>
              <w:t>226.449</w:t>
            </w:r>
          </w:p>
        </w:tc>
      </w:tr>
      <w:tr w:rsidR="0005492B" w:rsidRPr="00E20D21" w14:paraId="108CE422" w14:textId="77777777" w:rsidTr="00962D75">
        <w:trPr>
          <w:trHeight w:val="255"/>
        </w:trPr>
        <w:tc>
          <w:tcPr>
            <w:tcW w:w="1119" w:type="pct"/>
            <w:tcBorders>
              <w:top w:val="single" w:sz="4" w:space="0" w:color="F39200"/>
              <w:left w:val="nil"/>
              <w:bottom w:val="single" w:sz="4" w:space="0" w:color="F39200"/>
              <w:right w:val="nil"/>
            </w:tcBorders>
            <w:shd w:val="clear" w:color="auto" w:fill="auto"/>
            <w:noWrap/>
            <w:vAlign w:val="center"/>
            <w:hideMark/>
          </w:tcPr>
          <w:p w14:paraId="076F9A19" w14:textId="77777777" w:rsidR="00446191" w:rsidRPr="00E20D21" w:rsidRDefault="00446191">
            <w:pPr>
              <w:rPr>
                <w:rFonts w:ascii="CAIXA Std Book" w:hAnsi="CAIXA Std Book"/>
                <w:b/>
                <w:color w:val="005CA9"/>
                <w:sz w:val="14"/>
                <w:szCs w:val="14"/>
              </w:rPr>
            </w:pPr>
            <w:r w:rsidRPr="00E20D21">
              <w:rPr>
                <w:rFonts w:ascii="CAIXA Std Book" w:hAnsi="CAIXA Std Book" w:cs="Arial Unicode MS"/>
                <w:b/>
                <w:color w:val="005CA9"/>
                <w:sz w:val="14"/>
                <w:szCs w:val="14"/>
              </w:rPr>
              <w:t>Subtotal</w:t>
            </w:r>
          </w:p>
        </w:tc>
        <w:tc>
          <w:tcPr>
            <w:tcW w:w="340" w:type="pct"/>
            <w:tcBorders>
              <w:top w:val="single" w:sz="4" w:space="0" w:color="F39200"/>
              <w:left w:val="nil"/>
              <w:bottom w:val="single" w:sz="4" w:space="0" w:color="F39200"/>
              <w:right w:val="nil"/>
            </w:tcBorders>
            <w:shd w:val="clear" w:color="auto" w:fill="auto"/>
            <w:noWrap/>
            <w:vAlign w:val="center"/>
          </w:tcPr>
          <w:p w14:paraId="5F77568B"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584.265.129</w:t>
            </w:r>
          </w:p>
        </w:tc>
        <w:tc>
          <w:tcPr>
            <w:tcW w:w="341" w:type="pct"/>
            <w:tcBorders>
              <w:top w:val="single" w:sz="4" w:space="0" w:color="F39200"/>
              <w:left w:val="nil"/>
              <w:bottom w:val="single" w:sz="4" w:space="0" w:color="F39200"/>
              <w:right w:val="nil"/>
            </w:tcBorders>
            <w:shd w:val="clear" w:color="auto" w:fill="auto"/>
            <w:noWrap/>
            <w:vAlign w:val="center"/>
          </w:tcPr>
          <w:p w14:paraId="00400BCF"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174.820.337</w:t>
            </w:r>
          </w:p>
        </w:tc>
        <w:tc>
          <w:tcPr>
            <w:tcW w:w="341" w:type="pct"/>
            <w:tcBorders>
              <w:top w:val="single" w:sz="4" w:space="0" w:color="F39200"/>
              <w:left w:val="nil"/>
              <w:bottom w:val="single" w:sz="4" w:space="0" w:color="F39200"/>
              <w:right w:val="nil"/>
            </w:tcBorders>
            <w:shd w:val="clear" w:color="auto" w:fill="auto"/>
            <w:noWrap/>
            <w:vAlign w:val="center"/>
          </w:tcPr>
          <w:p w14:paraId="3411BA99"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197.640.528</w:t>
            </w:r>
          </w:p>
        </w:tc>
        <w:tc>
          <w:tcPr>
            <w:tcW w:w="340" w:type="pct"/>
            <w:tcBorders>
              <w:top w:val="single" w:sz="4" w:space="0" w:color="F39200"/>
              <w:left w:val="nil"/>
              <w:bottom w:val="single" w:sz="4" w:space="0" w:color="F39200"/>
              <w:right w:val="nil"/>
            </w:tcBorders>
            <w:shd w:val="clear" w:color="auto" w:fill="auto"/>
            <w:noWrap/>
            <w:vAlign w:val="center"/>
          </w:tcPr>
          <w:p w14:paraId="2730547B"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138.163.490</w:t>
            </w:r>
          </w:p>
        </w:tc>
        <w:tc>
          <w:tcPr>
            <w:tcW w:w="341" w:type="pct"/>
            <w:tcBorders>
              <w:top w:val="single" w:sz="4" w:space="0" w:color="F39200"/>
              <w:left w:val="nil"/>
              <w:bottom w:val="single" w:sz="4" w:space="0" w:color="F39200"/>
              <w:right w:val="nil"/>
            </w:tcBorders>
            <w:shd w:val="clear" w:color="auto" w:fill="auto"/>
            <w:noWrap/>
            <w:vAlign w:val="center"/>
          </w:tcPr>
          <w:p w14:paraId="0425ACD5"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26.818.220</w:t>
            </w:r>
          </w:p>
        </w:tc>
        <w:tc>
          <w:tcPr>
            <w:tcW w:w="340" w:type="pct"/>
            <w:tcBorders>
              <w:top w:val="single" w:sz="4" w:space="0" w:color="F39200"/>
              <w:left w:val="nil"/>
              <w:bottom w:val="single" w:sz="4" w:space="0" w:color="F39200"/>
              <w:right w:val="nil"/>
            </w:tcBorders>
            <w:shd w:val="clear" w:color="auto" w:fill="auto"/>
            <w:noWrap/>
            <w:vAlign w:val="center"/>
          </w:tcPr>
          <w:p w14:paraId="3464190F"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15.562.811</w:t>
            </w:r>
          </w:p>
        </w:tc>
        <w:tc>
          <w:tcPr>
            <w:tcW w:w="337" w:type="pct"/>
            <w:tcBorders>
              <w:top w:val="single" w:sz="4" w:space="0" w:color="F39200"/>
              <w:left w:val="nil"/>
              <w:bottom w:val="single" w:sz="4" w:space="0" w:color="F39200"/>
              <w:right w:val="nil"/>
            </w:tcBorders>
            <w:shd w:val="clear" w:color="auto" w:fill="auto"/>
            <w:noWrap/>
            <w:vAlign w:val="center"/>
          </w:tcPr>
          <w:p w14:paraId="7F221855"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8.898.518</w:t>
            </w:r>
          </w:p>
        </w:tc>
        <w:tc>
          <w:tcPr>
            <w:tcW w:w="341" w:type="pct"/>
            <w:tcBorders>
              <w:top w:val="single" w:sz="4" w:space="0" w:color="F39200"/>
              <w:left w:val="nil"/>
              <w:bottom w:val="single" w:sz="4" w:space="0" w:color="F39200"/>
              <w:right w:val="nil"/>
            </w:tcBorders>
            <w:shd w:val="clear" w:color="auto" w:fill="auto"/>
            <w:noWrap/>
            <w:vAlign w:val="center"/>
          </w:tcPr>
          <w:p w14:paraId="5A0C6472" w14:textId="0CBDA9AE"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11.645.79</w:t>
            </w:r>
            <w:r w:rsidR="001C6D82" w:rsidRPr="00E20D21">
              <w:rPr>
                <w:rFonts w:ascii="CAIXA Std Book" w:hAnsi="CAIXA Std Book" w:cs="Arial"/>
                <w:b/>
                <w:color w:val="005CA9"/>
                <w:sz w:val="14"/>
                <w:szCs w:val="14"/>
              </w:rPr>
              <w:t>7</w:t>
            </w:r>
          </w:p>
        </w:tc>
        <w:tc>
          <w:tcPr>
            <w:tcW w:w="340" w:type="pct"/>
            <w:tcBorders>
              <w:top w:val="single" w:sz="4" w:space="0" w:color="F39200"/>
              <w:left w:val="nil"/>
              <w:bottom w:val="single" w:sz="4" w:space="0" w:color="F39200"/>
              <w:right w:val="nil"/>
            </w:tcBorders>
            <w:shd w:val="clear" w:color="auto" w:fill="auto"/>
            <w:noWrap/>
            <w:vAlign w:val="center"/>
          </w:tcPr>
          <w:p w14:paraId="28765516" w14:textId="5F657D49"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16.881.3</w:t>
            </w:r>
            <w:r w:rsidR="00B23CDF" w:rsidRPr="00E20D21">
              <w:rPr>
                <w:rFonts w:ascii="CAIXA Std Book" w:hAnsi="CAIXA Std Book" w:cs="Arial"/>
                <w:b/>
                <w:color w:val="005CA9"/>
                <w:sz w:val="14"/>
                <w:szCs w:val="14"/>
              </w:rPr>
              <w:t>29</w:t>
            </w:r>
          </w:p>
        </w:tc>
        <w:tc>
          <w:tcPr>
            <w:tcW w:w="390" w:type="pct"/>
            <w:tcBorders>
              <w:top w:val="single" w:sz="4" w:space="0" w:color="F39200"/>
              <w:left w:val="nil"/>
              <w:bottom w:val="single" w:sz="4" w:space="0" w:color="F39200"/>
              <w:right w:val="nil"/>
            </w:tcBorders>
            <w:shd w:val="clear" w:color="auto" w:fill="auto"/>
            <w:noWrap/>
            <w:vAlign w:val="center"/>
          </w:tcPr>
          <w:p w14:paraId="5EAB0781"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1.174.696.159</w:t>
            </w:r>
          </w:p>
        </w:tc>
        <w:tc>
          <w:tcPr>
            <w:tcW w:w="430" w:type="pct"/>
            <w:tcBorders>
              <w:top w:val="single" w:sz="4" w:space="0" w:color="F39200"/>
              <w:left w:val="nil"/>
              <w:bottom w:val="single" w:sz="4" w:space="0" w:color="F39200"/>
              <w:right w:val="nil"/>
            </w:tcBorders>
            <w:vAlign w:val="center"/>
          </w:tcPr>
          <w:p w14:paraId="624BC9E3"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1.119.740.142</w:t>
            </w:r>
          </w:p>
        </w:tc>
      </w:tr>
      <w:tr w:rsidR="0005492B" w:rsidRPr="00E20D21" w14:paraId="68762439" w14:textId="77777777" w:rsidTr="00962D75">
        <w:trPr>
          <w:trHeight w:val="255"/>
        </w:trPr>
        <w:tc>
          <w:tcPr>
            <w:tcW w:w="1119" w:type="pct"/>
            <w:tcBorders>
              <w:top w:val="nil"/>
              <w:left w:val="nil"/>
              <w:bottom w:val="single" w:sz="4" w:space="0" w:color="F39200"/>
              <w:right w:val="nil"/>
            </w:tcBorders>
            <w:shd w:val="clear" w:color="auto" w:fill="auto"/>
            <w:noWrap/>
            <w:vAlign w:val="center"/>
          </w:tcPr>
          <w:p w14:paraId="08189797" w14:textId="77777777" w:rsidR="00446191" w:rsidRPr="00E20D21" w:rsidRDefault="00446191">
            <w:pPr>
              <w:rPr>
                <w:rFonts w:ascii="CAIXA Std Book" w:hAnsi="CAIXA Std Book"/>
                <w:b/>
                <w:color w:val="005CA9"/>
                <w:sz w:val="14"/>
                <w:szCs w:val="14"/>
              </w:rPr>
            </w:pPr>
            <w:r w:rsidRPr="00E20D21">
              <w:rPr>
                <w:rFonts w:ascii="CAIXA Std Book" w:hAnsi="CAIXA Std Book" w:cs="Arial Unicode MS"/>
                <w:i/>
                <w:color w:val="005CA9"/>
                <w:sz w:val="14"/>
                <w:szCs w:val="14"/>
              </w:rPr>
              <w:t>Hedge</w:t>
            </w:r>
            <w:r w:rsidRPr="00E20D21">
              <w:rPr>
                <w:rFonts w:ascii="CAIXA Std Book" w:hAnsi="CAIXA Std Book" w:cs="Arial Unicode MS"/>
                <w:color w:val="005CA9"/>
                <w:sz w:val="14"/>
                <w:szCs w:val="14"/>
              </w:rPr>
              <w:t xml:space="preserve"> da carteira de crédito</w:t>
            </w:r>
          </w:p>
        </w:tc>
        <w:tc>
          <w:tcPr>
            <w:tcW w:w="340" w:type="pct"/>
            <w:tcBorders>
              <w:top w:val="nil"/>
              <w:left w:val="nil"/>
              <w:bottom w:val="single" w:sz="4" w:space="0" w:color="F39200"/>
              <w:right w:val="nil"/>
            </w:tcBorders>
            <w:shd w:val="clear" w:color="auto" w:fill="auto"/>
            <w:noWrap/>
            <w:vAlign w:val="center"/>
          </w:tcPr>
          <w:p w14:paraId="327C27EA" w14:textId="106D414D" w:rsidR="00446191" w:rsidRPr="00E20D21" w:rsidRDefault="00446191" w:rsidP="00BC7A90">
            <w:pPr>
              <w:jc w:val="right"/>
              <w:rPr>
                <w:rFonts w:ascii="CAIXA Std Book" w:hAnsi="CAIXA Std Book" w:cs="Arial"/>
                <w:b/>
                <w:color w:val="005CA9"/>
                <w:sz w:val="14"/>
                <w:szCs w:val="14"/>
              </w:rPr>
            </w:pPr>
          </w:p>
        </w:tc>
        <w:tc>
          <w:tcPr>
            <w:tcW w:w="341" w:type="pct"/>
            <w:tcBorders>
              <w:top w:val="nil"/>
              <w:left w:val="nil"/>
              <w:bottom w:val="single" w:sz="4" w:space="0" w:color="F39200"/>
              <w:right w:val="nil"/>
            </w:tcBorders>
            <w:shd w:val="clear" w:color="auto" w:fill="auto"/>
            <w:noWrap/>
            <w:vAlign w:val="center"/>
          </w:tcPr>
          <w:p w14:paraId="60140E5A" w14:textId="4A6EF07A" w:rsidR="00446191" w:rsidRPr="00E20D21" w:rsidRDefault="00446191" w:rsidP="00BC7A90">
            <w:pPr>
              <w:jc w:val="right"/>
              <w:rPr>
                <w:rFonts w:ascii="CAIXA Std Book" w:hAnsi="CAIXA Std Book" w:cs="Arial"/>
                <w:b/>
                <w:color w:val="005CA9"/>
                <w:sz w:val="14"/>
                <w:szCs w:val="14"/>
              </w:rPr>
            </w:pPr>
          </w:p>
        </w:tc>
        <w:tc>
          <w:tcPr>
            <w:tcW w:w="341" w:type="pct"/>
            <w:tcBorders>
              <w:top w:val="nil"/>
              <w:left w:val="nil"/>
              <w:bottom w:val="single" w:sz="4" w:space="0" w:color="F39200"/>
              <w:right w:val="nil"/>
            </w:tcBorders>
            <w:shd w:val="clear" w:color="auto" w:fill="auto"/>
            <w:noWrap/>
            <w:vAlign w:val="center"/>
          </w:tcPr>
          <w:p w14:paraId="7C77846F" w14:textId="1D0C596E" w:rsidR="00446191" w:rsidRPr="00E20D21" w:rsidRDefault="00446191" w:rsidP="00BC7A90">
            <w:pPr>
              <w:jc w:val="right"/>
              <w:rPr>
                <w:rFonts w:ascii="CAIXA Std Book" w:hAnsi="CAIXA Std Book" w:cs="Arial"/>
                <w:b/>
                <w:color w:val="005CA9"/>
                <w:sz w:val="14"/>
                <w:szCs w:val="14"/>
              </w:rPr>
            </w:pPr>
          </w:p>
        </w:tc>
        <w:tc>
          <w:tcPr>
            <w:tcW w:w="340" w:type="pct"/>
            <w:tcBorders>
              <w:top w:val="nil"/>
              <w:left w:val="nil"/>
              <w:bottom w:val="single" w:sz="4" w:space="0" w:color="F39200"/>
              <w:right w:val="nil"/>
            </w:tcBorders>
            <w:shd w:val="clear" w:color="auto" w:fill="auto"/>
            <w:noWrap/>
            <w:vAlign w:val="center"/>
          </w:tcPr>
          <w:p w14:paraId="10208C31" w14:textId="7DCF9405" w:rsidR="00446191" w:rsidRPr="00E20D21" w:rsidRDefault="00446191" w:rsidP="00BC7A90">
            <w:pPr>
              <w:jc w:val="right"/>
              <w:rPr>
                <w:rFonts w:ascii="CAIXA Std Book" w:hAnsi="CAIXA Std Book" w:cs="Arial"/>
                <w:b/>
                <w:color w:val="005CA9"/>
                <w:sz w:val="14"/>
                <w:szCs w:val="14"/>
              </w:rPr>
            </w:pPr>
          </w:p>
        </w:tc>
        <w:tc>
          <w:tcPr>
            <w:tcW w:w="341" w:type="pct"/>
            <w:tcBorders>
              <w:top w:val="nil"/>
              <w:left w:val="nil"/>
              <w:bottom w:val="single" w:sz="4" w:space="0" w:color="F39200"/>
              <w:right w:val="nil"/>
            </w:tcBorders>
            <w:shd w:val="clear" w:color="auto" w:fill="auto"/>
            <w:noWrap/>
            <w:vAlign w:val="center"/>
          </w:tcPr>
          <w:p w14:paraId="4BAEDCA3" w14:textId="1F6E7376" w:rsidR="00446191" w:rsidRPr="00E20D21" w:rsidRDefault="00446191" w:rsidP="00BC7A90">
            <w:pPr>
              <w:jc w:val="right"/>
              <w:rPr>
                <w:rFonts w:ascii="CAIXA Std Book" w:hAnsi="CAIXA Std Book" w:cs="Arial"/>
                <w:b/>
                <w:color w:val="005CA9"/>
                <w:sz w:val="14"/>
                <w:szCs w:val="14"/>
              </w:rPr>
            </w:pPr>
          </w:p>
        </w:tc>
        <w:tc>
          <w:tcPr>
            <w:tcW w:w="340" w:type="pct"/>
            <w:tcBorders>
              <w:top w:val="nil"/>
              <w:left w:val="nil"/>
              <w:bottom w:val="single" w:sz="4" w:space="0" w:color="F39200"/>
              <w:right w:val="nil"/>
            </w:tcBorders>
            <w:shd w:val="clear" w:color="auto" w:fill="auto"/>
            <w:noWrap/>
            <w:vAlign w:val="center"/>
          </w:tcPr>
          <w:p w14:paraId="0E5332D5" w14:textId="6B504238" w:rsidR="00446191" w:rsidRPr="00E20D21" w:rsidRDefault="00446191" w:rsidP="00BC7A90">
            <w:pPr>
              <w:jc w:val="right"/>
              <w:rPr>
                <w:rFonts w:ascii="CAIXA Std Book" w:hAnsi="CAIXA Std Book" w:cs="Arial"/>
                <w:b/>
                <w:color w:val="005CA9"/>
                <w:sz w:val="14"/>
                <w:szCs w:val="14"/>
              </w:rPr>
            </w:pPr>
          </w:p>
        </w:tc>
        <w:tc>
          <w:tcPr>
            <w:tcW w:w="337" w:type="pct"/>
            <w:tcBorders>
              <w:top w:val="nil"/>
              <w:left w:val="nil"/>
              <w:bottom w:val="single" w:sz="4" w:space="0" w:color="F39200"/>
              <w:right w:val="nil"/>
            </w:tcBorders>
            <w:shd w:val="clear" w:color="auto" w:fill="auto"/>
            <w:noWrap/>
            <w:vAlign w:val="center"/>
          </w:tcPr>
          <w:p w14:paraId="28D1D226" w14:textId="01093BB5" w:rsidR="00446191" w:rsidRPr="00E20D21" w:rsidRDefault="00446191" w:rsidP="00BC7A90">
            <w:pPr>
              <w:jc w:val="right"/>
              <w:rPr>
                <w:rFonts w:ascii="CAIXA Std Book" w:hAnsi="CAIXA Std Book" w:cs="Arial"/>
                <w:b/>
                <w:color w:val="005CA9"/>
                <w:sz w:val="14"/>
                <w:szCs w:val="14"/>
              </w:rPr>
            </w:pPr>
          </w:p>
        </w:tc>
        <w:tc>
          <w:tcPr>
            <w:tcW w:w="341" w:type="pct"/>
            <w:tcBorders>
              <w:top w:val="nil"/>
              <w:left w:val="nil"/>
              <w:bottom w:val="single" w:sz="4" w:space="0" w:color="F39200"/>
              <w:right w:val="nil"/>
            </w:tcBorders>
            <w:shd w:val="clear" w:color="auto" w:fill="auto"/>
            <w:noWrap/>
            <w:vAlign w:val="center"/>
          </w:tcPr>
          <w:p w14:paraId="1477BB32" w14:textId="5A444ED1" w:rsidR="00446191" w:rsidRPr="00E20D21" w:rsidRDefault="00446191" w:rsidP="00BC7A90">
            <w:pPr>
              <w:jc w:val="right"/>
              <w:rPr>
                <w:rFonts w:ascii="CAIXA Std Book" w:hAnsi="CAIXA Std Book" w:cs="Arial"/>
                <w:b/>
                <w:color w:val="005CA9"/>
                <w:sz w:val="14"/>
                <w:szCs w:val="14"/>
              </w:rPr>
            </w:pPr>
          </w:p>
        </w:tc>
        <w:tc>
          <w:tcPr>
            <w:tcW w:w="340" w:type="pct"/>
            <w:tcBorders>
              <w:top w:val="nil"/>
              <w:left w:val="nil"/>
              <w:bottom w:val="single" w:sz="4" w:space="0" w:color="F39200"/>
              <w:right w:val="nil"/>
            </w:tcBorders>
            <w:shd w:val="clear" w:color="auto" w:fill="auto"/>
            <w:noWrap/>
            <w:vAlign w:val="center"/>
          </w:tcPr>
          <w:p w14:paraId="50553A44" w14:textId="09908D62" w:rsidR="00446191" w:rsidRPr="00E20D21" w:rsidRDefault="00446191" w:rsidP="00BC7A90">
            <w:pPr>
              <w:jc w:val="right"/>
              <w:rPr>
                <w:rFonts w:ascii="CAIXA Std Book" w:hAnsi="CAIXA Std Book" w:cs="Arial"/>
                <w:b/>
                <w:color w:val="005CA9"/>
                <w:sz w:val="14"/>
                <w:szCs w:val="14"/>
              </w:rPr>
            </w:pPr>
          </w:p>
        </w:tc>
        <w:tc>
          <w:tcPr>
            <w:tcW w:w="390" w:type="pct"/>
            <w:tcBorders>
              <w:top w:val="nil"/>
              <w:left w:val="nil"/>
              <w:bottom w:val="single" w:sz="4" w:space="0" w:color="F39200"/>
              <w:right w:val="nil"/>
            </w:tcBorders>
            <w:shd w:val="clear" w:color="auto" w:fill="auto"/>
            <w:noWrap/>
            <w:vAlign w:val="center"/>
          </w:tcPr>
          <w:p w14:paraId="70A91905"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(516.811)</w:t>
            </w:r>
          </w:p>
        </w:tc>
        <w:tc>
          <w:tcPr>
            <w:tcW w:w="430" w:type="pct"/>
            <w:tcBorders>
              <w:top w:val="nil"/>
              <w:left w:val="nil"/>
              <w:bottom w:val="single" w:sz="4" w:space="0" w:color="F39200"/>
              <w:right w:val="nil"/>
            </w:tcBorders>
            <w:vAlign w:val="center"/>
          </w:tcPr>
          <w:p w14:paraId="2231B840"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80.116</w:t>
            </w:r>
          </w:p>
        </w:tc>
      </w:tr>
      <w:tr w:rsidR="0005492B" w:rsidRPr="00E20D21" w14:paraId="2447EAA4" w14:textId="77777777" w:rsidTr="00962D75">
        <w:trPr>
          <w:trHeight w:val="255"/>
        </w:trPr>
        <w:tc>
          <w:tcPr>
            <w:tcW w:w="1119" w:type="pct"/>
            <w:tcBorders>
              <w:top w:val="nil"/>
              <w:left w:val="nil"/>
              <w:bottom w:val="single" w:sz="4" w:space="0" w:color="F39200"/>
              <w:right w:val="nil"/>
            </w:tcBorders>
            <w:shd w:val="clear" w:color="auto" w:fill="auto"/>
            <w:noWrap/>
            <w:vAlign w:val="center"/>
          </w:tcPr>
          <w:p w14:paraId="175888A9" w14:textId="77777777" w:rsidR="00446191" w:rsidRPr="00E20D21" w:rsidRDefault="00446191">
            <w:pPr>
              <w:rPr>
                <w:rFonts w:ascii="CAIXA Std Book" w:hAnsi="CAIXA Std Book"/>
                <w:b/>
                <w:color w:val="005CA9"/>
                <w:sz w:val="14"/>
                <w:szCs w:val="14"/>
              </w:rPr>
            </w:pPr>
            <w:r w:rsidRPr="00E20D21">
              <w:rPr>
                <w:rFonts w:ascii="CAIXA Std Book" w:hAnsi="CAIXA Std Book" w:cs="Arial Unicode MS"/>
                <w:b/>
                <w:color w:val="005CA9"/>
                <w:sz w:val="14"/>
                <w:szCs w:val="14"/>
              </w:rPr>
              <w:t xml:space="preserve">Total </w:t>
            </w:r>
          </w:p>
        </w:tc>
        <w:tc>
          <w:tcPr>
            <w:tcW w:w="340" w:type="pct"/>
            <w:tcBorders>
              <w:top w:val="nil"/>
              <w:left w:val="nil"/>
              <w:bottom w:val="single" w:sz="4" w:space="0" w:color="F39200"/>
              <w:right w:val="nil"/>
            </w:tcBorders>
            <w:shd w:val="clear" w:color="auto" w:fill="auto"/>
            <w:noWrap/>
            <w:vAlign w:val="center"/>
          </w:tcPr>
          <w:p w14:paraId="3A7F68BA"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584.265.129</w:t>
            </w:r>
          </w:p>
        </w:tc>
        <w:tc>
          <w:tcPr>
            <w:tcW w:w="341" w:type="pct"/>
            <w:tcBorders>
              <w:top w:val="nil"/>
              <w:left w:val="nil"/>
              <w:bottom w:val="single" w:sz="4" w:space="0" w:color="F39200"/>
              <w:right w:val="nil"/>
            </w:tcBorders>
            <w:shd w:val="clear" w:color="auto" w:fill="auto"/>
            <w:noWrap/>
            <w:vAlign w:val="center"/>
          </w:tcPr>
          <w:p w14:paraId="44E17D4A"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174.820.337</w:t>
            </w:r>
          </w:p>
        </w:tc>
        <w:tc>
          <w:tcPr>
            <w:tcW w:w="341" w:type="pct"/>
            <w:tcBorders>
              <w:top w:val="nil"/>
              <w:left w:val="nil"/>
              <w:bottom w:val="single" w:sz="4" w:space="0" w:color="F39200"/>
              <w:right w:val="nil"/>
            </w:tcBorders>
            <w:shd w:val="clear" w:color="auto" w:fill="auto"/>
            <w:noWrap/>
            <w:vAlign w:val="center"/>
          </w:tcPr>
          <w:p w14:paraId="199051EF"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197.640.528</w:t>
            </w:r>
          </w:p>
        </w:tc>
        <w:tc>
          <w:tcPr>
            <w:tcW w:w="340" w:type="pct"/>
            <w:tcBorders>
              <w:top w:val="nil"/>
              <w:left w:val="nil"/>
              <w:bottom w:val="single" w:sz="4" w:space="0" w:color="F39200"/>
              <w:right w:val="nil"/>
            </w:tcBorders>
            <w:shd w:val="clear" w:color="auto" w:fill="auto"/>
            <w:noWrap/>
            <w:vAlign w:val="center"/>
          </w:tcPr>
          <w:p w14:paraId="50A3ED54"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138.163.490</w:t>
            </w:r>
          </w:p>
        </w:tc>
        <w:tc>
          <w:tcPr>
            <w:tcW w:w="341" w:type="pct"/>
            <w:tcBorders>
              <w:top w:val="nil"/>
              <w:left w:val="nil"/>
              <w:bottom w:val="single" w:sz="4" w:space="0" w:color="F39200"/>
              <w:right w:val="nil"/>
            </w:tcBorders>
            <w:shd w:val="clear" w:color="auto" w:fill="auto"/>
            <w:noWrap/>
            <w:vAlign w:val="center"/>
          </w:tcPr>
          <w:p w14:paraId="3BD48F80"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26.818.220</w:t>
            </w:r>
          </w:p>
        </w:tc>
        <w:tc>
          <w:tcPr>
            <w:tcW w:w="340" w:type="pct"/>
            <w:tcBorders>
              <w:top w:val="nil"/>
              <w:left w:val="nil"/>
              <w:bottom w:val="single" w:sz="4" w:space="0" w:color="F39200"/>
              <w:right w:val="nil"/>
            </w:tcBorders>
            <w:shd w:val="clear" w:color="auto" w:fill="auto"/>
            <w:noWrap/>
            <w:vAlign w:val="center"/>
          </w:tcPr>
          <w:p w14:paraId="6491EF20"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15.562.811</w:t>
            </w:r>
          </w:p>
        </w:tc>
        <w:tc>
          <w:tcPr>
            <w:tcW w:w="337" w:type="pct"/>
            <w:tcBorders>
              <w:top w:val="nil"/>
              <w:left w:val="nil"/>
              <w:bottom w:val="single" w:sz="4" w:space="0" w:color="F39200"/>
              <w:right w:val="nil"/>
            </w:tcBorders>
            <w:shd w:val="clear" w:color="auto" w:fill="auto"/>
            <w:noWrap/>
            <w:vAlign w:val="center"/>
          </w:tcPr>
          <w:p w14:paraId="4D8F7F5B"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8.898.518</w:t>
            </w:r>
          </w:p>
        </w:tc>
        <w:tc>
          <w:tcPr>
            <w:tcW w:w="341" w:type="pct"/>
            <w:tcBorders>
              <w:top w:val="nil"/>
              <w:left w:val="nil"/>
              <w:bottom w:val="single" w:sz="4" w:space="0" w:color="F39200"/>
              <w:right w:val="nil"/>
            </w:tcBorders>
            <w:shd w:val="clear" w:color="auto" w:fill="auto"/>
            <w:noWrap/>
            <w:vAlign w:val="center"/>
          </w:tcPr>
          <w:p w14:paraId="1515B302" w14:textId="572A724A"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11.645.79</w:t>
            </w:r>
            <w:r w:rsidR="001C6D82" w:rsidRPr="00E20D21">
              <w:rPr>
                <w:rFonts w:ascii="CAIXA Std Book" w:hAnsi="CAIXA Std Book" w:cs="Arial"/>
                <w:b/>
                <w:color w:val="005CA9"/>
                <w:sz w:val="14"/>
                <w:szCs w:val="14"/>
              </w:rPr>
              <w:t>7</w:t>
            </w:r>
          </w:p>
        </w:tc>
        <w:tc>
          <w:tcPr>
            <w:tcW w:w="340" w:type="pct"/>
            <w:tcBorders>
              <w:top w:val="nil"/>
              <w:left w:val="nil"/>
              <w:bottom w:val="single" w:sz="4" w:space="0" w:color="F39200"/>
              <w:right w:val="nil"/>
            </w:tcBorders>
            <w:shd w:val="clear" w:color="auto" w:fill="auto"/>
            <w:noWrap/>
            <w:vAlign w:val="center"/>
          </w:tcPr>
          <w:p w14:paraId="7C810B3F" w14:textId="31D1C0E1"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16.881.3</w:t>
            </w:r>
            <w:r w:rsidR="00B23CDF" w:rsidRPr="00E20D21">
              <w:rPr>
                <w:rFonts w:ascii="CAIXA Std Book" w:hAnsi="CAIXA Std Book" w:cs="Arial"/>
                <w:b/>
                <w:color w:val="005CA9"/>
                <w:sz w:val="14"/>
                <w:szCs w:val="14"/>
              </w:rPr>
              <w:t>29</w:t>
            </w:r>
          </w:p>
        </w:tc>
        <w:tc>
          <w:tcPr>
            <w:tcW w:w="390" w:type="pct"/>
            <w:tcBorders>
              <w:top w:val="nil"/>
              <w:left w:val="nil"/>
              <w:bottom w:val="single" w:sz="4" w:space="0" w:color="F39200"/>
              <w:right w:val="nil"/>
            </w:tcBorders>
            <w:shd w:val="clear" w:color="auto" w:fill="auto"/>
            <w:noWrap/>
            <w:vAlign w:val="center"/>
          </w:tcPr>
          <w:p w14:paraId="7D996093"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1.174.179.348</w:t>
            </w:r>
          </w:p>
        </w:tc>
        <w:tc>
          <w:tcPr>
            <w:tcW w:w="430" w:type="pct"/>
            <w:tcBorders>
              <w:top w:val="nil"/>
              <w:left w:val="nil"/>
              <w:bottom w:val="single" w:sz="4" w:space="0" w:color="F39200"/>
              <w:right w:val="nil"/>
            </w:tcBorders>
            <w:vAlign w:val="center"/>
          </w:tcPr>
          <w:p w14:paraId="001AEECD" w14:textId="77777777" w:rsidR="00446191" w:rsidRPr="00E20D21" w:rsidRDefault="00446191"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1.119.820.258</w:t>
            </w:r>
          </w:p>
        </w:tc>
      </w:tr>
      <w:tr w:rsidR="0005492B" w:rsidRPr="00E20D21" w14:paraId="01B15244" w14:textId="77777777" w:rsidTr="00962D75">
        <w:trPr>
          <w:trHeight w:val="255"/>
        </w:trPr>
        <w:tc>
          <w:tcPr>
            <w:tcW w:w="1119" w:type="pct"/>
            <w:tcBorders>
              <w:top w:val="nil"/>
              <w:left w:val="nil"/>
              <w:bottom w:val="single" w:sz="4" w:space="0" w:color="F39200"/>
              <w:right w:val="nil"/>
            </w:tcBorders>
            <w:shd w:val="clear" w:color="auto" w:fill="auto"/>
            <w:noWrap/>
            <w:vAlign w:val="center"/>
          </w:tcPr>
          <w:p w14:paraId="760169F2" w14:textId="77777777" w:rsidR="007C028D" w:rsidRPr="00E20D21" w:rsidRDefault="007C028D" w:rsidP="007C028D">
            <w:pPr>
              <w:rPr>
                <w:rFonts w:ascii="CAIXA Std Book" w:hAnsi="CAIXA Std Book"/>
                <w:color w:val="005CA9"/>
                <w:sz w:val="14"/>
                <w:szCs w:val="14"/>
              </w:rPr>
            </w:pPr>
            <w:r w:rsidRPr="00E20D21">
              <w:rPr>
                <w:rFonts w:ascii="CAIXA Std Book" w:hAnsi="CAIXA Std Book"/>
                <w:color w:val="005CA9"/>
                <w:sz w:val="14"/>
                <w:szCs w:val="14"/>
              </w:rPr>
              <w:t>Provisão mínima regulamentar</w:t>
            </w:r>
          </w:p>
        </w:tc>
        <w:tc>
          <w:tcPr>
            <w:tcW w:w="340" w:type="pct"/>
            <w:tcBorders>
              <w:top w:val="nil"/>
              <w:left w:val="nil"/>
              <w:bottom w:val="single" w:sz="4" w:space="0" w:color="F39200"/>
              <w:right w:val="nil"/>
            </w:tcBorders>
            <w:shd w:val="clear" w:color="auto" w:fill="auto"/>
            <w:noWrap/>
            <w:vAlign w:val="center"/>
          </w:tcPr>
          <w:p w14:paraId="2F4A655F" w14:textId="437FE835" w:rsidR="007C028D" w:rsidRPr="00E20D21" w:rsidRDefault="007C028D" w:rsidP="00BC7A90">
            <w:pPr>
              <w:jc w:val="center"/>
              <w:rPr>
                <w:rFonts w:ascii="CAIXA Std Book" w:hAnsi="CAIXA Std Book" w:cs="Arial"/>
                <w:color w:val="005CA9"/>
                <w:sz w:val="14"/>
                <w:szCs w:val="14"/>
              </w:rPr>
            </w:pPr>
            <w:r w:rsidRPr="00E20D21">
              <w:rPr>
                <w:rFonts w:ascii="CAIXA Std Book" w:hAnsi="CAIXA Std Book" w:cs="Arial"/>
                <w:color w:val="005CA9"/>
                <w:sz w:val="14"/>
                <w:szCs w:val="14"/>
              </w:rPr>
              <w:t>-</w:t>
            </w:r>
          </w:p>
        </w:tc>
        <w:tc>
          <w:tcPr>
            <w:tcW w:w="341" w:type="pct"/>
            <w:tcBorders>
              <w:top w:val="nil"/>
              <w:left w:val="nil"/>
              <w:bottom w:val="single" w:sz="4" w:space="0" w:color="F39200"/>
              <w:right w:val="nil"/>
            </w:tcBorders>
            <w:shd w:val="clear" w:color="auto" w:fill="auto"/>
            <w:noWrap/>
            <w:vAlign w:val="center"/>
          </w:tcPr>
          <w:p w14:paraId="541FBC1C" w14:textId="631FF92F"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(874.101)</w:t>
            </w:r>
          </w:p>
        </w:tc>
        <w:tc>
          <w:tcPr>
            <w:tcW w:w="341" w:type="pct"/>
            <w:tcBorders>
              <w:top w:val="nil"/>
              <w:left w:val="nil"/>
              <w:bottom w:val="single" w:sz="4" w:space="0" w:color="F39200"/>
              <w:right w:val="nil"/>
            </w:tcBorders>
            <w:shd w:val="clear" w:color="auto" w:fill="auto"/>
            <w:noWrap/>
            <w:vAlign w:val="center"/>
          </w:tcPr>
          <w:p w14:paraId="60806CC4" w14:textId="5CA77D21"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(1.976.405)</w:t>
            </w:r>
          </w:p>
        </w:tc>
        <w:tc>
          <w:tcPr>
            <w:tcW w:w="340" w:type="pct"/>
            <w:tcBorders>
              <w:top w:val="nil"/>
              <w:left w:val="nil"/>
              <w:bottom w:val="single" w:sz="4" w:space="0" w:color="F39200"/>
              <w:right w:val="nil"/>
            </w:tcBorders>
            <w:shd w:val="clear" w:color="auto" w:fill="auto"/>
            <w:noWrap/>
            <w:vAlign w:val="center"/>
          </w:tcPr>
          <w:p w14:paraId="39D978F0" w14:textId="20783AE6"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(4.144.904)</w:t>
            </w:r>
          </w:p>
        </w:tc>
        <w:tc>
          <w:tcPr>
            <w:tcW w:w="341" w:type="pct"/>
            <w:tcBorders>
              <w:top w:val="nil"/>
              <w:left w:val="nil"/>
              <w:bottom w:val="single" w:sz="4" w:space="0" w:color="F39200"/>
              <w:right w:val="nil"/>
            </w:tcBorders>
            <w:shd w:val="clear" w:color="auto" w:fill="auto"/>
            <w:noWrap/>
            <w:vAlign w:val="center"/>
          </w:tcPr>
          <w:p w14:paraId="670171F1" w14:textId="3F785036"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(2.681.823)</w:t>
            </w:r>
          </w:p>
        </w:tc>
        <w:tc>
          <w:tcPr>
            <w:tcW w:w="340" w:type="pct"/>
            <w:tcBorders>
              <w:top w:val="nil"/>
              <w:left w:val="nil"/>
              <w:bottom w:val="single" w:sz="4" w:space="0" w:color="F39200"/>
              <w:right w:val="nil"/>
            </w:tcBorders>
            <w:shd w:val="clear" w:color="auto" w:fill="auto"/>
            <w:noWrap/>
            <w:vAlign w:val="center"/>
          </w:tcPr>
          <w:p w14:paraId="3D7D13D3" w14:textId="05AA0C79"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(4.668.843)</w:t>
            </w:r>
          </w:p>
        </w:tc>
        <w:tc>
          <w:tcPr>
            <w:tcW w:w="337" w:type="pct"/>
            <w:tcBorders>
              <w:top w:val="nil"/>
              <w:left w:val="nil"/>
              <w:bottom w:val="single" w:sz="4" w:space="0" w:color="F39200"/>
              <w:right w:val="nil"/>
            </w:tcBorders>
            <w:shd w:val="clear" w:color="auto" w:fill="auto"/>
            <w:noWrap/>
            <w:vAlign w:val="center"/>
          </w:tcPr>
          <w:p w14:paraId="026E675D" w14:textId="67AD442A"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(4.449.259)</w:t>
            </w:r>
          </w:p>
        </w:tc>
        <w:tc>
          <w:tcPr>
            <w:tcW w:w="341" w:type="pct"/>
            <w:tcBorders>
              <w:top w:val="nil"/>
              <w:left w:val="nil"/>
              <w:bottom w:val="single" w:sz="4" w:space="0" w:color="F39200"/>
              <w:right w:val="nil"/>
            </w:tcBorders>
            <w:shd w:val="clear" w:color="auto" w:fill="auto"/>
            <w:noWrap/>
            <w:vAlign w:val="center"/>
          </w:tcPr>
          <w:p w14:paraId="608008DD" w14:textId="7D1CE0A9"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(8.152.056)</w:t>
            </w:r>
          </w:p>
        </w:tc>
        <w:tc>
          <w:tcPr>
            <w:tcW w:w="340" w:type="pct"/>
            <w:tcBorders>
              <w:top w:val="nil"/>
              <w:left w:val="nil"/>
              <w:bottom w:val="single" w:sz="4" w:space="0" w:color="F39200"/>
              <w:right w:val="nil"/>
            </w:tcBorders>
            <w:shd w:val="clear" w:color="auto" w:fill="auto"/>
            <w:noWrap/>
            <w:vAlign w:val="center"/>
          </w:tcPr>
          <w:p w14:paraId="2AE0FB54" w14:textId="57E3B8B1"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(16.881.329)</w:t>
            </w:r>
          </w:p>
        </w:tc>
        <w:tc>
          <w:tcPr>
            <w:tcW w:w="390" w:type="pct"/>
            <w:tcBorders>
              <w:top w:val="nil"/>
              <w:left w:val="nil"/>
              <w:bottom w:val="single" w:sz="4" w:space="0" w:color="F39200"/>
              <w:right w:val="nil"/>
            </w:tcBorders>
            <w:shd w:val="clear" w:color="auto" w:fill="auto"/>
            <w:noWrap/>
            <w:vAlign w:val="center"/>
          </w:tcPr>
          <w:p w14:paraId="1416855C" w14:textId="56313D89"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(43.828.720)</w:t>
            </w:r>
          </w:p>
        </w:tc>
        <w:tc>
          <w:tcPr>
            <w:tcW w:w="430" w:type="pct"/>
            <w:tcBorders>
              <w:top w:val="nil"/>
              <w:left w:val="nil"/>
              <w:bottom w:val="single" w:sz="4" w:space="0" w:color="F39200"/>
              <w:right w:val="nil"/>
            </w:tcBorders>
            <w:vAlign w:val="center"/>
          </w:tcPr>
          <w:p w14:paraId="3F06C49B" w14:textId="77777777" w:rsidR="007C028D" w:rsidRPr="00E20D21" w:rsidRDefault="007C028D"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(43.268.244)</w:t>
            </w:r>
          </w:p>
        </w:tc>
      </w:tr>
      <w:tr w:rsidR="0005492B" w:rsidRPr="00E20D21" w14:paraId="1A9CD2EE" w14:textId="77777777" w:rsidTr="00962D75">
        <w:trPr>
          <w:trHeight w:val="255"/>
        </w:trPr>
        <w:tc>
          <w:tcPr>
            <w:tcW w:w="1119" w:type="pct"/>
            <w:tcBorders>
              <w:top w:val="nil"/>
              <w:left w:val="nil"/>
              <w:bottom w:val="single" w:sz="4" w:space="0" w:color="F39200"/>
              <w:right w:val="nil"/>
            </w:tcBorders>
            <w:shd w:val="clear" w:color="auto" w:fill="auto"/>
            <w:noWrap/>
            <w:vAlign w:val="center"/>
          </w:tcPr>
          <w:p w14:paraId="0AADBA05" w14:textId="77777777" w:rsidR="007C028D" w:rsidRPr="00E20D21" w:rsidRDefault="007C028D" w:rsidP="007C028D">
            <w:pPr>
              <w:rPr>
                <w:rFonts w:ascii="CAIXA Std Book" w:hAnsi="CAIXA Std Book"/>
                <w:color w:val="005CA9"/>
                <w:sz w:val="14"/>
                <w:szCs w:val="14"/>
              </w:rPr>
            </w:pPr>
            <w:r w:rsidRPr="00E20D21">
              <w:rPr>
                <w:rFonts w:ascii="CAIXA Std Book" w:hAnsi="CAIXA Std Book"/>
                <w:color w:val="005CA9"/>
                <w:sz w:val="14"/>
                <w:szCs w:val="14"/>
              </w:rPr>
              <w:t>Provisão complementar (2)</w:t>
            </w:r>
          </w:p>
        </w:tc>
        <w:tc>
          <w:tcPr>
            <w:tcW w:w="340" w:type="pct"/>
            <w:tcBorders>
              <w:top w:val="nil"/>
              <w:left w:val="nil"/>
              <w:bottom w:val="single" w:sz="4" w:space="0" w:color="F39200"/>
              <w:right w:val="nil"/>
            </w:tcBorders>
            <w:shd w:val="clear" w:color="auto" w:fill="auto"/>
            <w:noWrap/>
            <w:vAlign w:val="center"/>
          </w:tcPr>
          <w:p w14:paraId="45C617F4" w14:textId="3A128570"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(891.664)</w:t>
            </w:r>
          </w:p>
        </w:tc>
        <w:tc>
          <w:tcPr>
            <w:tcW w:w="341" w:type="pct"/>
            <w:tcBorders>
              <w:top w:val="nil"/>
              <w:left w:val="nil"/>
              <w:bottom w:val="single" w:sz="4" w:space="0" w:color="F39200"/>
              <w:right w:val="nil"/>
            </w:tcBorders>
            <w:shd w:val="clear" w:color="auto" w:fill="auto"/>
            <w:noWrap/>
            <w:vAlign w:val="center"/>
          </w:tcPr>
          <w:p w14:paraId="5B91B6B5" w14:textId="7395FD44"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(180.499)</w:t>
            </w:r>
          </w:p>
        </w:tc>
        <w:tc>
          <w:tcPr>
            <w:tcW w:w="341" w:type="pct"/>
            <w:tcBorders>
              <w:top w:val="nil"/>
              <w:left w:val="nil"/>
              <w:bottom w:val="single" w:sz="4" w:space="0" w:color="F39200"/>
              <w:right w:val="nil"/>
            </w:tcBorders>
            <w:shd w:val="clear" w:color="auto" w:fill="auto"/>
            <w:noWrap/>
            <w:vAlign w:val="center"/>
          </w:tcPr>
          <w:p w14:paraId="001B2ED3" w14:textId="5C2202E7"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(1.453.901)</w:t>
            </w:r>
          </w:p>
        </w:tc>
        <w:tc>
          <w:tcPr>
            <w:tcW w:w="340" w:type="pct"/>
            <w:tcBorders>
              <w:top w:val="nil"/>
              <w:left w:val="nil"/>
              <w:bottom w:val="single" w:sz="4" w:space="0" w:color="F39200"/>
              <w:right w:val="nil"/>
            </w:tcBorders>
            <w:shd w:val="clear" w:color="auto" w:fill="auto"/>
            <w:noWrap/>
            <w:vAlign w:val="center"/>
          </w:tcPr>
          <w:p w14:paraId="2DE00BCD" w14:textId="1FD632A9"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(1.882.622)</w:t>
            </w:r>
          </w:p>
        </w:tc>
        <w:tc>
          <w:tcPr>
            <w:tcW w:w="341" w:type="pct"/>
            <w:tcBorders>
              <w:top w:val="nil"/>
              <w:left w:val="nil"/>
              <w:bottom w:val="single" w:sz="4" w:space="0" w:color="F39200"/>
              <w:right w:val="nil"/>
            </w:tcBorders>
            <w:shd w:val="clear" w:color="auto" w:fill="auto"/>
            <w:noWrap/>
            <w:vAlign w:val="center"/>
          </w:tcPr>
          <w:p w14:paraId="07318554" w14:textId="77622F98"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(1.007.979)</w:t>
            </w:r>
          </w:p>
        </w:tc>
        <w:tc>
          <w:tcPr>
            <w:tcW w:w="340" w:type="pct"/>
            <w:tcBorders>
              <w:top w:val="nil"/>
              <w:left w:val="nil"/>
              <w:bottom w:val="single" w:sz="4" w:space="0" w:color="F39200"/>
              <w:right w:val="nil"/>
            </w:tcBorders>
            <w:shd w:val="clear" w:color="auto" w:fill="auto"/>
            <w:noWrap/>
            <w:vAlign w:val="center"/>
          </w:tcPr>
          <w:p w14:paraId="11D49ED1" w14:textId="0CC8CEE3"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(843.979)</w:t>
            </w:r>
          </w:p>
        </w:tc>
        <w:tc>
          <w:tcPr>
            <w:tcW w:w="337" w:type="pct"/>
            <w:tcBorders>
              <w:top w:val="nil"/>
              <w:left w:val="nil"/>
              <w:bottom w:val="single" w:sz="4" w:space="0" w:color="F39200"/>
              <w:right w:val="nil"/>
            </w:tcBorders>
            <w:shd w:val="clear" w:color="auto" w:fill="auto"/>
            <w:noWrap/>
            <w:vAlign w:val="center"/>
          </w:tcPr>
          <w:p w14:paraId="24DD6D5A" w14:textId="0EB586E7"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(418.172)</w:t>
            </w:r>
          </w:p>
        </w:tc>
        <w:tc>
          <w:tcPr>
            <w:tcW w:w="341" w:type="pct"/>
            <w:tcBorders>
              <w:top w:val="nil"/>
              <w:left w:val="nil"/>
              <w:bottom w:val="single" w:sz="4" w:space="0" w:color="F39200"/>
              <w:right w:val="nil"/>
            </w:tcBorders>
            <w:shd w:val="clear" w:color="auto" w:fill="auto"/>
            <w:noWrap/>
            <w:vAlign w:val="center"/>
          </w:tcPr>
          <w:p w14:paraId="5DB8DCBA" w14:textId="6504F461"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(14.900)</w:t>
            </w:r>
          </w:p>
        </w:tc>
        <w:tc>
          <w:tcPr>
            <w:tcW w:w="340" w:type="pct"/>
            <w:tcBorders>
              <w:top w:val="nil"/>
              <w:left w:val="nil"/>
              <w:bottom w:val="single" w:sz="4" w:space="0" w:color="F39200"/>
              <w:right w:val="nil"/>
            </w:tcBorders>
            <w:shd w:val="clear" w:color="auto" w:fill="auto"/>
            <w:noWrap/>
            <w:vAlign w:val="center"/>
          </w:tcPr>
          <w:p w14:paraId="17F8ACE8" w14:textId="1A016B59" w:rsidR="007C028D" w:rsidRPr="00E20D21" w:rsidRDefault="007C028D" w:rsidP="00BC7A90">
            <w:pPr>
              <w:jc w:val="center"/>
              <w:rPr>
                <w:rFonts w:ascii="CAIXA Std Book" w:hAnsi="CAIXA Std Book" w:cs="Arial"/>
                <w:color w:val="005CA9"/>
                <w:sz w:val="14"/>
                <w:szCs w:val="14"/>
              </w:rPr>
            </w:pPr>
            <w:r w:rsidRPr="00E20D21">
              <w:rPr>
                <w:rFonts w:ascii="CAIXA Std Book" w:hAnsi="CAIXA Std Book" w:cs="Arial"/>
                <w:color w:val="005CA9"/>
                <w:sz w:val="14"/>
                <w:szCs w:val="14"/>
              </w:rPr>
              <w:t>-</w:t>
            </w:r>
          </w:p>
        </w:tc>
        <w:tc>
          <w:tcPr>
            <w:tcW w:w="390" w:type="pct"/>
            <w:tcBorders>
              <w:top w:val="nil"/>
              <w:left w:val="nil"/>
              <w:bottom w:val="single" w:sz="4" w:space="0" w:color="F39200"/>
              <w:right w:val="nil"/>
            </w:tcBorders>
            <w:shd w:val="clear" w:color="auto" w:fill="auto"/>
            <w:noWrap/>
            <w:vAlign w:val="center"/>
          </w:tcPr>
          <w:p w14:paraId="3A0DF1E2" w14:textId="0A3AD640" w:rsidR="007C028D" w:rsidRPr="00E20D21" w:rsidRDefault="007C028D"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(6.693.716)</w:t>
            </w:r>
          </w:p>
        </w:tc>
        <w:tc>
          <w:tcPr>
            <w:tcW w:w="430" w:type="pct"/>
            <w:tcBorders>
              <w:top w:val="nil"/>
              <w:left w:val="nil"/>
              <w:bottom w:val="single" w:sz="4" w:space="0" w:color="F39200"/>
              <w:right w:val="nil"/>
            </w:tcBorders>
            <w:vAlign w:val="center"/>
          </w:tcPr>
          <w:p w14:paraId="44054E62" w14:textId="77777777" w:rsidR="007C028D" w:rsidRPr="00E20D21" w:rsidRDefault="007C028D"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(6.574.280)</w:t>
            </w:r>
          </w:p>
        </w:tc>
      </w:tr>
      <w:tr w:rsidR="0005492B" w:rsidRPr="00E20D21" w14:paraId="4A37D529" w14:textId="77777777" w:rsidTr="00962D75">
        <w:trPr>
          <w:trHeight w:val="255"/>
        </w:trPr>
        <w:tc>
          <w:tcPr>
            <w:tcW w:w="1119" w:type="pct"/>
            <w:tcBorders>
              <w:top w:val="nil"/>
              <w:left w:val="nil"/>
              <w:bottom w:val="single" w:sz="4" w:space="0" w:color="F39200"/>
              <w:right w:val="nil"/>
            </w:tcBorders>
            <w:shd w:val="clear" w:color="auto" w:fill="auto"/>
            <w:noWrap/>
            <w:vAlign w:val="center"/>
            <w:hideMark/>
          </w:tcPr>
          <w:p w14:paraId="0D54B953" w14:textId="77777777" w:rsidR="007C028D" w:rsidRPr="00E20D21" w:rsidRDefault="007C028D" w:rsidP="007C028D">
            <w:pPr>
              <w:rPr>
                <w:rFonts w:ascii="CAIXA Std Book" w:hAnsi="CAIXA Std Book"/>
                <w:color w:val="005CA9"/>
                <w:sz w:val="14"/>
                <w:szCs w:val="14"/>
              </w:rPr>
            </w:pPr>
            <w:r w:rsidRPr="00E20D21">
              <w:rPr>
                <w:rFonts w:ascii="CAIXA Std Book" w:hAnsi="CAIXA Std Book"/>
                <w:b/>
                <w:color w:val="005CA9"/>
                <w:sz w:val="14"/>
                <w:szCs w:val="14"/>
              </w:rPr>
              <w:t>Total de provisões</w:t>
            </w:r>
          </w:p>
        </w:tc>
        <w:tc>
          <w:tcPr>
            <w:tcW w:w="340" w:type="pct"/>
            <w:tcBorders>
              <w:top w:val="nil"/>
              <w:left w:val="nil"/>
              <w:bottom w:val="single" w:sz="4" w:space="0" w:color="F39200"/>
              <w:right w:val="nil"/>
            </w:tcBorders>
            <w:shd w:val="clear" w:color="auto" w:fill="auto"/>
            <w:noWrap/>
            <w:vAlign w:val="center"/>
          </w:tcPr>
          <w:p w14:paraId="065655DC" w14:textId="0E3A12C5"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(891.664)</w:t>
            </w:r>
          </w:p>
        </w:tc>
        <w:tc>
          <w:tcPr>
            <w:tcW w:w="341" w:type="pct"/>
            <w:tcBorders>
              <w:top w:val="nil"/>
              <w:left w:val="nil"/>
              <w:bottom w:val="single" w:sz="4" w:space="0" w:color="F39200"/>
              <w:right w:val="nil"/>
            </w:tcBorders>
            <w:shd w:val="clear" w:color="auto" w:fill="auto"/>
            <w:noWrap/>
            <w:vAlign w:val="center"/>
          </w:tcPr>
          <w:p w14:paraId="39288EF2" w14:textId="64EEC7E9"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(1.054.600)</w:t>
            </w:r>
          </w:p>
        </w:tc>
        <w:tc>
          <w:tcPr>
            <w:tcW w:w="341" w:type="pct"/>
            <w:tcBorders>
              <w:top w:val="nil"/>
              <w:left w:val="nil"/>
              <w:bottom w:val="single" w:sz="4" w:space="0" w:color="F39200"/>
              <w:right w:val="nil"/>
            </w:tcBorders>
            <w:shd w:val="clear" w:color="auto" w:fill="auto"/>
            <w:noWrap/>
            <w:vAlign w:val="center"/>
          </w:tcPr>
          <w:p w14:paraId="6400B254" w14:textId="37782643"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(3.430.306)</w:t>
            </w:r>
          </w:p>
        </w:tc>
        <w:tc>
          <w:tcPr>
            <w:tcW w:w="340" w:type="pct"/>
            <w:tcBorders>
              <w:top w:val="nil"/>
              <w:left w:val="nil"/>
              <w:bottom w:val="single" w:sz="4" w:space="0" w:color="F39200"/>
              <w:right w:val="nil"/>
            </w:tcBorders>
            <w:shd w:val="clear" w:color="auto" w:fill="auto"/>
            <w:noWrap/>
            <w:vAlign w:val="center"/>
          </w:tcPr>
          <w:p w14:paraId="09C6273F" w14:textId="1760B268"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(6.027.526)</w:t>
            </w:r>
          </w:p>
        </w:tc>
        <w:tc>
          <w:tcPr>
            <w:tcW w:w="341" w:type="pct"/>
            <w:tcBorders>
              <w:top w:val="nil"/>
              <w:left w:val="nil"/>
              <w:bottom w:val="single" w:sz="4" w:space="0" w:color="F39200"/>
              <w:right w:val="nil"/>
            </w:tcBorders>
            <w:shd w:val="clear" w:color="auto" w:fill="auto"/>
            <w:noWrap/>
            <w:vAlign w:val="center"/>
          </w:tcPr>
          <w:p w14:paraId="11DC507D" w14:textId="73A8FFFE"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(3.689.802)</w:t>
            </w:r>
          </w:p>
        </w:tc>
        <w:tc>
          <w:tcPr>
            <w:tcW w:w="340" w:type="pct"/>
            <w:tcBorders>
              <w:top w:val="nil"/>
              <w:left w:val="nil"/>
              <w:bottom w:val="single" w:sz="4" w:space="0" w:color="F39200"/>
              <w:right w:val="nil"/>
            </w:tcBorders>
            <w:shd w:val="clear" w:color="auto" w:fill="auto"/>
            <w:noWrap/>
            <w:vAlign w:val="center"/>
          </w:tcPr>
          <w:p w14:paraId="4C089284" w14:textId="3571A6AA"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(5.512.822)</w:t>
            </w:r>
          </w:p>
        </w:tc>
        <w:tc>
          <w:tcPr>
            <w:tcW w:w="337" w:type="pct"/>
            <w:tcBorders>
              <w:top w:val="nil"/>
              <w:left w:val="nil"/>
              <w:bottom w:val="single" w:sz="4" w:space="0" w:color="F39200"/>
              <w:right w:val="nil"/>
            </w:tcBorders>
            <w:shd w:val="clear" w:color="auto" w:fill="auto"/>
            <w:noWrap/>
            <w:vAlign w:val="center"/>
          </w:tcPr>
          <w:p w14:paraId="7FE9BA40" w14:textId="6413971B"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(4.867.431)</w:t>
            </w:r>
          </w:p>
        </w:tc>
        <w:tc>
          <w:tcPr>
            <w:tcW w:w="341" w:type="pct"/>
            <w:tcBorders>
              <w:top w:val="nil"/>
              <w:left w:val="nil"/>
              <w:bottom w:val="single" w:sz="4" w:space="0" w:color="F39200"/>
              <w:right w:val="nil"/>
            </w:tcBorders>
            <w:shd w:val="clear" w:color="auto" w:fill="auto"/>
            <w:noWrap/>
            <w:vAlign w:val="center"/>
          </w:tcPr>
          <w:p w14:paraId="449B2375" w14:textId="5E98CE5C"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(8.166.956)</w:t>
            </w:r>
          </w:p>
        </w:tc>
        <w:tc>
          <w:tcPr>
            <w:tcW w:w="340" w:type="pct"/>
            <w:tcBorders>
              <w:top w:val="nil"/>
              <w:left w:val="nil"/>
              <w:bottom w:val="single" w:sz="4" w:space="0" w:color="F39200"/>
              <w:right w:val="nil"/>
            </w:tcBorders>
            <w:shd w:val="clear" w:color="auto" w:fill="auto"/>
            <w:noWrap/>
            <w:vAlign w:val="center"/>
          </w:tcPr>
          <w:p w14:paraId="0EAC233D" w14:textId="27317A50"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(16.881.329)</w:t>
            </w:r>
          </w:p>
        </w:tc>
        <w:tc>
          <w:tcPr>
            <w:tcW w:w="390" w:type="pct"/>
            <w:tcBorders>
              <w:top w:val="nil"/>
              <w:left w:val="nil"/>
              <w:bottom w:val="single" w:sz="4" w:space="0" w:color="F39200"/>
              <w:right w:val="nil"/>
            </w:tcBorders>
            <w:shd w:val="clear" w:color="auto" w:fill="auto"/>
            <w:noWrap/>
            <w:vAlign w:val="center"/>
          </w:tcPr>
          <w:p w14:paraId="7CD08591" w14:textId="302E0F34" w:rsidR="007C028D" w:rsidRPr="00E20D21" w:rsidRDefault="007C028D"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(50.522.436)</w:t>
            </w:r>
          </w:p>
        </w:tc>
        <w:tc>
          <w:tcPr>
            <w:tcW w:w="430" w:type="pct"/>
            <w:tcBorders>
              <w:top w:val="nil"/>
              <w:left w:val="nil"/>
              <w:bottom w:val="single" w:sz="4" w:space="0" w:color="F39200"/>
              <w:right w:val="nil"/>
            </w:tcBorders>
            <w:vAlign w:val="center"/>
          </w:tcPr>
          <w:p w14:paraId="66A10488" w14:textId="77777777" w:rsidR="007C028D" w:rsidRPr="00E20D21" w:rsidRDefault="007C028D" w:rsidP="00BC7A90">
            <w:pPr>
              <w:jc w:val="right"/>
              <w:rPr>
                <w:rFonts w:ascii="CAIXA Std Book" w:hAnsi="CAIXA Std Book"/>
                <w:color w:val="005CA9"/>
                <w:sz w:val="14"/>
                <w:szCs w:val="14"/>
              </w:rPr>
            </w:pPr>
            <w:r w:rsidRPr="00E20D21">
              <w:rPr>
                <w:rFonts w:ascii="CAIXA Std Book" w:hAnsi="CAIXA Std Book" w:cs="Arial"/>
                <w:b/>
                <w:color w:val="005CA9"/>
                <w:sz w:val="14"/>
                <w:szCs w:val="14"/>
              </w:rPr>
              <w:t>(49.842.524)</w:t>
            </w:r>
          </w:p>
        </w:tc>
      </w:tr>
      <w:tr w:rsidR="0005492B" w:rsidRPr="00E20D21" w14:paraId="3E12DC76" w14:textId="77777777" w:rsidTr="00962D75">
        <w:trPr>
          <w:trHeight w:val="255"/>
        </w:trPr>
        <w:tc>
          <w:tcPr>
            <w:tcW w:w="1119" w:type="pct"/>
            <w:tcBorders>
              <w:top w:val="single" w:sz="4" w:space="0" w:color="F39200"/>
              <w:left w:val="nil"/>
              <w:bottom w:val="single" w:sz="4" w:space="0" w:color="F79646" w:themeColor="accent6"/>
              <w:right w:val="nil"/>
            </w:tcBorders>
            <w:shd w:val="clear" w:color="auto" w:fill="auto"/>
            <w:noWrap/>
            <w:vAlign w:val="center"/>
            <w:hideMark/>
          </w:tcPr>
          <w:p w14:paraId="5AF9541E" w14:textId="77777777" w:rsidR="00C917EC" w:rsidRPr="00E20D21" w:rsidRDefault="00C917EC" w:rsidP="00C917EC">
            <w:pPr>
              <w:rPr>
                <w:rFonts w:ascii="CAIXA Std Book" w:hAnsi="CAIXA Std Book"/>
                <w:b/>
                <w:color w:val="005CA9"/>
                <w:sz w:val="14"/>
                <w:szCs w:val="14"/>
              </w:rPr>
            </w:pPr>
            <w:r w:rsidRPr="00E20D21">
              <w:rPr>
                <w:rFonts w:ascii="CAIXA Std Book" w:hAnsi="CAIXA Std Book"/>
                <w:b/>
                <w:color w:val="005CA9"/>
                <w:sz w:val="14"/>
                <w:szCs w:val="14"/>
              </w:rPr>
              <w:t>Total líquido de provisões</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2A1CF504" w14:textId="3F256B5C" w:rsidR="00C917EC" w:rsidRPr="00E20D21" w:rsidRDefault="00C917EC"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583.373.465</w:t>
            </w:r>
          </w:p>
        </w:tc>
        <w:tc>
          <w:tcPr>
            <w:tcW w:w="341" w:type="pct"/>
            <w:tcBorders>
              <w:top w:val="single" w:sz="4" w:space="0" w:color="F39200"/>
              <w:left w:val="nil"/>
              <w:bottom w:val="single" w:sz="4" w:space="0" w:color="F79646" w:themeColor="accent6"/>
              <w:right w:val="nil"/>
            </w:tcBorders>
            <w:shd w:val="clear" w:color="auto" w:fill="auto"/>
            <w:noWrap/>
            <w:vAlign w:val="center"/>
          </w:tcPr>
          <w:p w14:paraId="33F0666E" w14:textId="19947946" w:rsidR="00C917EC" w:rsidRPr="00E20D21" w:rsidRDefault="00C917EC"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173.765.737</w:t>
            </w:r>
          </w:p>
        </w:tc>
        <w:tc>
          <w:tcPr>
            <w:tcW w:w="341" w:type="pct"/>
            <w:tcBorders>
              <w:top w:val="single" w:sz="4" w:space="0" w:color="F39200"/>
              <w:left w:val="nil"/>
              <w:bottom w:val="single" w:sz="4" w:space="0" w:color="F79646" w:themeColor="accent6"/>
              <w:right w:val="nil"/>
            </w:tcBorders>
            <w:shd w:val="clear" w:color="auto" w:fill="auto"/>
            <w:noWrap/>
            <w:vAlign w:val="center"/>
          </w:tcPr>
          <w:p w14:paraId="28966AD8" w14:textId="6FFD2587" w:rsidR="00C917EC" w:rsidRPr="00E20D21" w:rsidRDefault="00C917EC"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194.210.222</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2D8DB4FD" w14:textId="5D95A799" w:rsidR="00C917EC" w:rsidRPr="00E20D21" w:rsidRDefault="00C917EC"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132.135.964</w:t>
            </w:r>
          </w:p>
        </w:tc>
        <w:tc>
          <w:tcPr>
            <w:tcW w:w="341" w:type="pct"/>
            <w:tcBorders>
              <w:top w:val="single" w:sz="4" w:space="0" w:color="F39200"/>
              <w:left w:val="nil"/>
              <w:bottom w:val="single" w:sz="4" w:space="0" w:color="F79646" w:themeColor="accent6"/>
              <w:right w:val="nil"/>
            </w:tcBorders>
            <w:shd w:val="clear" w:color="auto" w:fill="auto"/>
            <w:noWrap/>
            <w:vAlign w:val="center"/>
          </w:tcPr>
          <w:p w14:paraId="3065238E" w14:textId="514B86A7" w:rsidR="00C917EC" w:rsidRPr="00E20D21" w:rsidRDefault="00C917EC"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23.128.418</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3311C9AA" w14:textId="597987FD" w:rsidR="00C917EC" w:rsidRPr="00E20D21" w:rsidRDefault="00C917EC"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10.049.989</w:t>
            </w:r>
          </w:p>
        </w:tc>
        <w:tc>
          <w:tcPr>
            <w:tcW w:w="337" w:type="pct"/>
            <w:tcBorders>
              <w:top w:val="single" w:sz="4" w:space="0" w:color="F39200"/>
              <w:left w:val="nil"/>
              <w:bottom w:val="single" w:sz="4" w:space="0" w:color="F79646" w:themeColor="accent6"/>
              <w:right w:val="nil"/>
            </w:tcBorders>
            <w:shd w:val="clear" w:color="auto" w:fill="auto"/>
            <w:noWrap/>
            <w:vAlign w:val="center"/>
          </w:tcPr>
          <w:p w14:paraId="4C7258BF" w14:textId="2662CE27" w:rsidR="00C917EC" w:rsidRPr="00E20D21" w:rsidRDefault="00C917EC"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4.031.087</w:t>
            </w:r>
          </w:p>
        </w:tc>
        <w:tc>
          <w:tcPr>
            <w:tcW w:w="341" w:type="pct"/>
            <w:tcBorders>
              <w:top w:val="single" w:sz="4" w:space="0" w:color="F39200"/>
              <w:left w:val="nil"/>
              <w:bottom w:val="single" w:sz="4" w:space="0" w:color="F79646" w:themeColor="accent6"/>
              <w:right w:val="nil"/>
            </w:tcBorders>
            <w:shd w:val="clear" w:color="auto" w:fill="auto"/>
            <w:noWrap/>
            <w:vAlign w:val="center"/>
          </w:tcPr>
          <w:p w14:paraId="59C376FE" w14:textId="378B6E75" w:rsidR="00C917EC" w:rsidRPr="00E20D21" w:rsidRDefault="00C917EC"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3.478.841</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3AB8E5C9" w14:textId="3E362E9F" w:rsidR="00C917EC" w:rsidRPr="00E20D21" w:rsidRDefault="00C917EC" w:rsidP="008169A1">
            <w:pPr>
              <w:jc w:val="center"/>
              <w:rPr>
                <w:rFonts w:ascii="CAIXA Std Book" w:hAnsi="CAIXA Std Book" w:cs="Arial"/>
                <w:b/>
                <w:color w:val="005CA9"/>
                <w:sz w:val="14"/>
                <w:szCs w:val="14"/>
              </w:rPr>
            </w:pPr>
            <w:r w:rsidRPr="00E20D21">
              <w:rPr>
                <w:rFonts w:ascii="CAIXA Std Book" w:hAnsi="CAIXA Std Book" w:cs="Arial"/>
                <w:b/>
                <w:color w:val="005CA9"/>
                <w:sz w:val="14"/>
                <w:szCs w:val="14"/>
              </w:rPr>
              <w:t>-</w:t>
            </w:r>
          </w:p>
        </w:tc>
        <w:tc>
          <w:tcPr>
            <w:tcW w:w="390" w:type="pct"/>
            <w:tcBorders>
              <w:top w:val="single" w:sz="4" w:space="0" w:color="F39200"/>
              <w:left w:val="nil"/>
              <w:bottom w:val="single" w:sz="4" w:space="0" w:color="F79646" w:themeColor="accent6"/>
              <w:right w:val="nil"/>
            </w:tcBorders>
            <w:shd w:val="clear" w:color="auto" w:fill="auto"/>
            <w:noWrap/>
            <w:vAlign w:val="center"/>
          </w:tcPr>
          <w:p w14:paraId="62541EFE" w14:textId="157EC3BB" w:rsidR="00C917EC" w:rsidRPr="00E20D21" w:rsidRDefault="00C917EC" w:rsidP="00BC7A90">
            <w:pPr>
              <w:jc w:val="right"/>
              <w:rPr>
                <w:rFonts w:ascii="CAIXA Std Book" w:hAnsi="CAIXA Std Book" w:cs="Arial"/>
                <w:b/>
                <w:color w:val="005CA9"/>
                <w:sz w:val="14"/>
                <w:szCs w:val="14"/>
              </w:rPr>
            </w:pPr>
            <w:r w:rsidRPr="00E20D21">
              <w:rPr>
                <w:rFonts w:ascii="CAIXA Std Book" w:hAnsi="CAIXA Std Book" w:cs="Arial"/>
                <w:b/>
                <w:color w:val="005CA9"/>
                <w:sz w:val="14"/>
                <w:szCs w:val="14"/>
              </w:rPr>
              <w:t>1.123.656.912</w:t>
            </w:r>
          </w:p>
        </w:tc>
        <w:tc>
          <w:tcPr>
            <w:tcW w:w="430" w:type="pct"/>
            <w:tcBorders>
              <w:top w:val="single" w:sz="4" w:space="0" w:color="F39200"/>
              <w:left w:val="nil"/>
              <w:bottom w:val="single" w:sz="4" w:space="0" w:color="F79646" w:themeColor="accent6"/>
              <w:right w:val="nil"/>
            </w:tcBorders>
            <w:vAlign w:val="center"/>
          </w:tcPr>
          <w:p w14:paraId="5035E158" w14:textId="77777777" w:rsidR="00C917EC" w:rsidRPr="00E20D21" w:rsidRDefault="00C917EC" w:rsidP="00BC7A90">
            <w:pPr>
              <w:jc w:val="right"/>
              <w:rPr>
                <w:rFonts w:ascii="CAIXA Std Book" w:hAnsi="CAIXA Std Book"/>
                <w:b/>
                <w:color w:val="005CA9"/>
                <w:sz w:val="14"/>
                <w:szCs w:val="14"/>
              </w:rPr>
            </w:pPr>
            <w:r w:rsidRPr="00E20D21">
              <w:rPr>
                <w:rFonts w:ascii="CAIXA Std Book" w:hAnsi="CAIXA Std Book" w:cs="Arial"/>
                <w:b/>
                <w:color w:val="005CA9"/>
                <w:sz w:val="14"/>
                <w:szCs w:val="14"/>
              </w:rPr>
              <w:t>1.069.977.734</w:t>
            </w:r>
          </w:p>
        </w:tc>
      </w:tr>
      <w:tr w:rsidR="0005492B" w:rsidRPr="00E20D21" w14:paraId="1EA1D5A7" w14:textId="77777777" w:rsidTr="00962D75">
        <w:trPr>
          <w:trHeight w:val="255"/>
        </w:trPr>
        <w:tc>
          <w:tcPr>
            <w:tcW w:w="1119" w:type="pct"/>
            <w:tcBorders>
              <w:top w:val="single" w:sz="4" w:space="0" w:color="F79646" w:themeColor="accent6"/>
              <w:left w:val="nil"/>
              <w:right w:val="nil"/>
            </w:tcBorders>
            <w:shd w:val="clear" w:color="auto" w:fill="auto"/>
            <w:noWrap/>
            <w:vAlign w:val="center"/>
          </w:tcPr>
          <w:p w14:paraId="74A07F7E" w14:textId="77777777" w:rsidR="00446191" w:rsidRPr="00E20D21" w:rsidRDefault="00446191">
            <w:pPr>
              <w:rPr>
                <w:rFonts w:ascii="CAIXA Std Book" w:hAnsi="CAIXA Std Book"/>
                <w:b/>
                <w:color w:val="005CA9"/>
                <w:sz w:val="14"/>
                <w:szCs w:val="14"/>
              </w:rPr>
            </w:pPr>
            <w:r w:rsidRPr="00E20D21">
              <w:rPr>
                <w:rFonts w:ascii="CAIXA Std Book" w:hAnsi="CAIXA Std Book"/>
                <w:color w:val="005CA9"/>
                <w:sz w:val="14"/>
                <w:szCs w:val="14"/>
              </w:rPr>
              <w:t>Ativo circulante</w:t>
            </w:r>
          </w:p>
        </w:tc>
        <w:tc>
          <w:tcPr>
            <w:tcW w:w="340" w:type="pct"/>
            <w:tcBorders>
              <w:top w:val="single" w:sz="4" w:space="0" w:color="F79646" w:themeColor="accent6"/>
              <w:left w:val="nil"/>
              <w:right w:val="nil"/>
            </w:tcBorders>
            <w:shd w:val="clear" w:color="auto" w:fill="auto"/>
            <w:noWrap/>
            <w:vAlign w:val="center"/>
          </w:tcPr>
          <w:p w14:paraId="4C4802CD" w14:textId="77777777" w:rsidR="00446191" w:rsidRPr="00E20D21" w:rsidRDefault="00446191" w:rsidP="00BC7A90">
            <w:pPr>
              <w:jc w:val="right"/>
              <w:rPr>
                <w:rFonts w:ascii="CAIXA Std Book" w:hAnsi="CAIXA Std Book"/>
                <w:b/>
                <w:color w:val="005CA9"/>
                <w:sz w:val="14"/>
                <w:szCs w:val="14"/>
              </w:rPr>
            </w:pPr>
          </w:p>
        </w:tc>
        <w:tc>
          <w:tcPr>
            <w:tcW w:w="341" w:type="pct"/>
            <w:tcBorders>
              <w:top w:val="single" w:sz="4" w:space="0" w:color="F79646" w:themeColor="accent6"/>
              <w:left w:val="nil"/>
              <w:right w:val="nil"/>
            </w:tcBorders>
            <w:shd w:val="clear" w:color="auto" w:fill="auto"/>
            <w:noWrap/>
            <w:vAlign w:val="center"/>
          </w:tcPr>
          <w:p w14:paraId="01A06066" w14:textId="77777777" w:rsidR="00446191" w:rsidRPr="00E20D21" w:rsidRDefault="00446191" w:rsidP="00BC7A90">
            <w:pPr>
              <w:jc w:val="right"/>
              <w:rPr>
                <w:rFonts w:ascii="CAIXA Std Book" w:hAnsi="CAIXA Std Book"/>
                <w:b/>
                <w:color w:val="005CA9"/>
                <w:sz w:val="14"/>
                <w:szCs w:val="14"/>
              </w:rPr>
            </w:pPr>
          </w:p>
        </w:tc>
        <w:tc>
          <w:tcPr>
            <w:tcW w:w="341" w:type="pct"/>
            <w:tcBorders>
              <w:top w:val="single" w:sz="4" w:space="0" w:color="F79646" w:themeColor="accent6"/>
              <w:left w:val="nil"/>
              <w:right w:val="nil"/>
            </w:tcBorders>
            <w:shd w:val="clear" w:color="auto" w:fill="auto"/>
            <w:noWrap/>
            <w:vAlign w:val="center"/>
          </w:tcPr>
          <w:p w14:paraId="009EC814" w14:textId="77777777" w:rsidR="00446191" w:rsidRPr="00E20D21" w:rsidRDefault="00446191" w:rsidP="00BC7A90">
            <w:pPr>
              <w:jc w:val="right"/>
              <w:rPr>
                <w:rFonts w:ascii="CAIXA Std Book" w:hAnsi="CAIXA Std Book"/>
                <w:b/>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666E6262" w14:textId="77777777" w:rsidR="00446191" w:rsidRPr="00E20D21" w:rsidRDefault="00446191" w:rsidP="00BC7A90">
            <w:pPr>
              <w:jc w:val="right"/>
              <w:rPr>
                <w:rFonts w:ascii="CAIXA Std Book" w:hAnsi="CAIXA Std Book"/>
                <w:b/>
                <w:color w:val="005CA9"/>
                <w:sz w:val="14"/>
                <w:szCs w:val="14"/>
              </w:rPr>
            </w:pPr>
          </w:p>
        </w:tc>
        <w:tc>
          <w:tcPr>
            <w:tcW w:w="341" w:type="pct"/>
            <w:tcBorders>
              <w:top w:val="single" w:sz="4" w:space="0" w:color="F79646" w:themeColor="accent6"/>
              <w:left w:val="nil"/>
              <w:right w:val="nil"/>
            </w:tcBorders>
            <w:shd w:val="clear" w:color="auto" w:fill="auto"/>
            <w:noWrap/>
            <w:vAlign w:val="center"/>
          </w:tcPr>
          <w:p w14:paraId="33C13B01" w14:textId="77777777" w:rsidR="00446191" w:rsidRPr="00E20D21" w:rsidRDefault="00446191" w:rsidP="00BC7A90">
            <w:pPr>
              <w:jc w:val="right"/>
              <w:rPr>
                <w:rFonts w:ascii="CAIXA Std Book" w:hAnsi="CAIXA Std Book"/>
                <w:b/>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17016816" w14:textId="77777777" w:rsidR="00446191" w:rsidRPr="00E20D21" w:rsidRDefault="00446191" w:rsidP="00BC7A90">
            <w:pPr>
              <w:jc w:val="right"/>
              <w:rPr>
                <w:rFonts w:ascii="CAIXA Std Book" w:hAnsi="CAIXA Std Book"/>
                <w:b/>
                <w:color w:val="005CA9"/>
                <w:sz w:val="14"/>
                <w:szCs w:val="14"/>
              </w:rPr>
            </w:pPr>
          </w:p>
        </w:tc>
        <w:tc>
          <w:tcPr>
            <w:tcW w:w="337" w:type="pct"/>
            <w:tcBorders>
              <w:top w:val="single" w:sz="4" w:space="0" w:color="F79646" w:themeColor="accent6"/>
              <w:left w:val="nil"/>
              <w:right w:val="nil"/>
            </w:tcBorders>
            <w:shd w:val="clear" w:color="auto" w:fill="auto"/>
            <w:noWrap/>
            <w:vAlign w:val="center"/>
          </w:tcPr>
          <w:p w14:paraId="2C02DBDA" w14:textId="77777777" w:rsidR="00446191" w:rsidRPr="00E20D21" w:rsidRDefault="00446191" w:rsidP="00BC7A90">
            <w:pPr>
              <w:jc w:val="right"/>
              <w:rPr>
                <w:rFonts w:ascii="CAIXA Std Book" w:hAnsi="CAIXA Std Book"/>
                <w:b/>
                <w:color w:val="005CA9"/>
                <w:sz w:val="14"/>
                <w:szCs w:val="14"/>
              </w:rPr>
            </w:pPr>
          </w:p>
        </w:tc>
        <w:tc>
          <w:tcPr>
            <w:tcW w:w="341" w:type="pct"/>
            <w:tcBorders>
              <w:top w:val="single" w:sz="4" w:space="0" w:color="F79646" w:themeColor="accent6"/>
              <w:left w:val="nil"/>
              <w:right w:val="nil"/>
            </w:tcBorders>
            <w:shd w:val="clear" w:color="auto" w:fill="auto"/>
            <w:noWrap/>
            <w:vAlign w:val="center"/>
          </w:tcPr>
          <w:p w14:paraId="04B8F518" w14:textId="77777777" w:rsidR="00446191" w:rsidRPr="00E20D21" w:rsidRDefault="00446191" w:rsidP="00BC7A90">
            <w:pPr>
              <w:jc w:val="right"/>
              <w:rPr>
                <w:rFonts w:ascii="CAIXA Std Book" w:hAnsi="CAIXA Std Book"/>
                <w:b/>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469F445A" w14:textId="77777777" w:rsidR="00446191" w:rsidRPr="00E20D21" w:rsidRDefault="00446191" w:rsidP="00BC7A90">
            <w:pPr>
              <w:jc w:val="right"/>
              <w:rPr>
                <w:rFonts w:ascii="CAIXA Std Book" w:hAnsi="CAIXA Std Book"/>
                <w:b/>
                <w:color w:val="005CA9"/>
                <w:sz w:val="14"/>
                <w:szCs w:val="14"/>
              </w:rPr>
            </w:pPr>
          </w:p>
        </w:tc>
        <w:tc>
          <w:tcPr>
            <w:tcW w:w="390" w:type="pct"/>
            <w:tcBorders>
              <w:top w:val="single" w:sz="4" w:space="0" w:color="F79646" w:themeColor="accent6"/>
              <w:left w:val="nil"/>
              <w:right w:val="nil"/>
            </w:tcBorders>
            <w:shd w:val="clear" w:color="auto" w:fill="auto"/>
            <w:noWrap/>
            <w:vAlign w:val="center"/>
          </w:tcPr>
          <w:p w14:paraId="670E1818" w14:textId="4071DCC3" w:rsidR="00446191" w:rsidRPr="00E20D21" w:rsidRDefault="00017ACF"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218.046</w:t>
            </w:r>
            <w:r w:rsidR="00B35CDB" w:rsidRPr="00E20D21">
              <w:rPr>
                <w:rFonts w:ascii="CAIXA Std Book" w:hAnsi="CAIXA Std Book" w:cs="Arial"/>
                <w:color w:val="005CA9"/>
                <w:sz w:val="14"/>
                <w:szCs w:val="14"/>
              </w:rPr>
              <w:t>.469</w:t>
            </w:r>
          </w:p>
        </w:tc>
        <w:tc>
          <w:tcPr>
            <w:tcW w:w="430" w:type="pct"/>
            <w:tcBorders>
              <w:top w:val="single" w:sz="4" w:space="0" w:color="F79646" w:themeColor="accent6"/>
              <w:left w:val="nil"/>
              <w:right w:val="nil"/>
            </w:tcBorders>
            <w:vAlign w:val="center"/>
          </w:tcPr>
          <w:p w14:paraId="22BF4409" w14:textId="73AE0D07" w:rsidR="00446191" w:rsidRPr="00E20D21" w:rsidRDefault="00446191" w:rsidP="00BC7A90">
            <w:pPr>
              <w:jc w:val="right"/>
              <w:rPr>
                <w:rFonts w:ascii="CAIXA Std Book" w:hAnsi="CAIXA Std Book" w:cs="Arial Unicode MS"/>
                <w:color w:val="005CA9"/>
                <w:sz w:val="14"/>
                <w:szCs w:val="14"/>
              </w:rPr>
            </w:pPr>
            <w:r w:rsidRPr="00E20D21">
              <w:rPr>
                <w:rFonts w:ascii="CAIXA Std Book" w:hAnsi="CAIXA Std Book" w:cs="Arial"/>
                <w:color w:val="005CA9"/>
                <w:sz w:val="14"/>
                <w:szCs w:val="14"/>
              </w:rPr>
              <w:t>209.242.821</w:t>
            </w:r>
          </w:p>
        </w:tc>
      </w:tr>
      <w:tr w:rsidR="0005492B" w:rsidRPr="00E20D21" w14:paraId="7397FEA1" w14:textId="77777777" w:rsidTr="00962D75">
        <w:trPr>
          <w:trHeight w:val="255"/>
        </w:trPr>
        <w:tc>
          <w:tcPr>
            <w:tcW w:w="1119" w:type="pct"/>
            <w:tcBorders>
              <w:left w:val="nil"/>
              <w:bottom w:val="single" w:sz="4" w:space="0" w:color="F39200"/>
              <w:right w:val="nil"/>
            </w:tcBorders>
            <w:shd w:val="clear" w:color="auto" w:fill="auto"/>
            <w:noWrap/>
            <w:vAlign w:val="center"/>
          </w:tcPr>
          <w:p w14:paraId="418E2CFA" w14:textId="77777777" w:rsidR="00446191" w:rsidRPr="00E20D21" w:rsidRDefault="00446191">
            <w:pPr>
              <w:rPr>
                <w:rFonts w:ascii="CAIXA Std Book" w:hAnsi="CAIXA Std Book"/>
                <w:color w:val="005CA9"/>
                <w:sz w:val="14"/>
                <w:szCs w:val="14"/>
              </w:rPr>
            </w:pPr>
            <w:r w:rsidRPr="00E20D21">
              <w:rPr>
                <w:rFonts w:ascii="CAIXA Std Book" w:hAnsi="CAIXA Std Book"/>
                <w:color w:val="005CA9"/>
                <w:sz w:val="14"/>
                <w:szCs w:val="14"/>
              </w:rPr>
              <w:t>Ativo não circulante</w:t>
            </w:r>
          </w:p>
        </w:tc>
        <w:tc>
          <w:tcPr>
            <w:tcW w:w="340" w:type="pct"/>
            <w:tcBorders>
              <w:left w:val="nil"/>
              <w:bottom w:val="single" w:sz="4" w:space="0" w:color="F39200"/>
              <w:right w:val="nil"/>
            </w:tcBorders>
            <w:shd w:val="clear" w:color="auto" w:fill="auto"/>
            <w:noWrap/>
            <w:vAlign w:val="center"/>
          </w:tcPr>
          <w:p w14:paraId="06604D56" w14:textId="77777777" w:rsidR="00446191" w:rsidRPr="00E20D21" w:rsidRDefault="00446191">
            <w:pPr>
              <w:jc w:val="right"/>
              <w:rPr>
                <w:rFonts w:ascii="CAIXA Std Book" w:hAnsi="CAIXA Std Book"/>
                <w:b/>
                <w:color w:val="005CA9"/>
                <w:sz w:val="14"/>
                <w:szCs w:val="14"/>
              </w:rPr>
            </w:pPr>
          </w:p>
        </w:tc>
        <w:tc>
          <w:tcPr>
            <w:tcW w:w="341" w:type="pct"/>
            <w:tcBorders>
              <w:left w:val="nil"/>
              <w:bottom w:val="single" w:sz="4" w:space="0" w:color="F39200"/>
              <w:right w:val="nil"/>
            </w:tcBorders>
            <w:shd w:val="clear" w:color="auto" w:fill="auto"/>
            <w:noWrap/>
            <w:vAlign w:val="center"/>
          </w:tcPr>
          <w:p w14:paraId="37839FE7" w14:textId="77777777" w:rsidR="00446191" w:rsidRPr="00E20D21" w:rsidRDefault="00446191">
            <w:pPr>
              <w:jc w:val="right"/>
              <w:rPr>
                <w:rFonts w:ascii="CAIXA Std Book" w:hAnsi="CAIXA Std Book"/>
                <w:b/>
                <w:color w:val="005CA9"/>
                <w:sz w:val="14"/>
                <w:szCs w:val="14"/>
              </w:rPr>
            </w:pPr>
          </w:p>
        </w:tc>
        <w:tc>
          <w:tcPr>
            <w:tcW w:w="341" w:type="pct"/>
            <w:tcBorders>
              <w:left w:val="nil"/>
              <w:bottom w:val="single" w:sz="4" w:space="0" w:color="F39200"/>
              <w:right w:val="nil"/>
            </w:tcBorders>
            <w:shd w:val="clear" w:color="auto" w:fill="auto"/>
            <w:noWrap/>
            <w:vAlign w:val="center"/>
          </w:tcPr>
          <w:p w14:paraId="4F9A3B95" w14:textId="77777777" w:rsidR="00446191" w:rsidRPr="00E20D21" w:rsidRDefault="00446191">
            <w:pPr>
              <w:jc w:val="right"/>
              <w:rPr>
                <w:rFonts w:ascii="CAIXA Std Book" w:hAnsi="CAIXA Std Book"/>
                <w:b/>
                <w:color w:val="005CA9"/>
                <w:sz w:val="14"/>
                <w:szCs w:val="14"/>
              </w:rPr>
            </w:pPr>
          </w:p>
        </w:tc>
        <w:tc>
          <w:tcPr>
            <w:tcW w:w="340" w:type="pct"/>
            <w:tcBorders>
              <w:left w:val="nil"/>
              <w:bottom w:val="single" w:sz="4" w:space="0" w:color="F39200"/>
              <w:right w:val="nil"/>
            </w:tcBorders>
            <w:shd w:val="clear" w:color="auto" w:fill="auto"/>
            <w:noWrap/>
            <w:vAlign w:val="center"/>
          </w:tcPr>
          <w:p w14:paraId="6AEC94B9" w14:textId="77777777" w:rsidR="00446191" w:rsidRPr="00E20D21" w:rsidRDefault="00446191">
            <w:pPr>
              <w:jc w:val="right"/>
              <w:rPr>
                <w:rFonts w:ascii="CAIXA Std Book" w:hAnsi="CAIXA Std Book"/>
                <w:b/>
                <w:color w:val="005CA9"/>
                <w:sz w:val="14"/>
                <w:szCs w:val="14"/>
              </w:rPr>
            </w:pPr>
          </w:p>
        </w:tc>
        <w:tc>
          <w:tcPr>
            <w:tcW w:w="341" w:type="pct"/>
            <w:tcBorders>
              <w:left w:val="nil"/>
              <w:bottom w:val="single" w:sz="4" w:space="0" w:color="F39200"/>
              <w:right w:val="nil"/>
            </w:tcBorders>
            <w:shd w:val="clear" w:color="auto" w:fill="auto"/>
            <w:noWrap/>
            <w:vAlign w:val="center"/>
          </w:tcPr>
          <w:p w14:paraId="111275FF" w14:textId="77777777" w:rsidR="00446191" w:rsidRPr="00E20D21" w:rsidRDefault="00446191">
            <w:pPr>
              <w:jc w:val="right"/>
              <w:rPr>
                <w:rFonts w:ascii="CAIXA Std Book" w:hAnsi="CAIXA Std Book"/>
                <w:b/>
                <w:color w:val="005CA9"/>
                <w:sz w:val="14"/>
                <w:szCs w:val="14"/>
              </w:rPr>
            </w:pPr>
          </w:p>
        </w:tc>
        <w:tc>
          <w:tcPr>
            <w:tcW w:w="340" w:type="pct"/>
            <w:tcBorders>
              <w:left w:val="nil"/>
              <w:bottom w:val="single" w:sz="4" w:space="0" w:color="F39200"/>
              <w:right w:val="nil"/>
            </w:tcBorders>
            <w:shd w:val="clear" w:color="auto" w:fill="auto"/>
            <w:noWrap/>
            <w:vAlign w:val="center"/>
          </w:tcPr>
          <w:p w14:paraId="0C4563A0" w14:textId="77777777" w:rsidR="00446191" w:rsidRPr="00E20D21" w:rsidRDefault="00446191">
            <w:pPr>
              <w:jc w:val="right"/>
              <w:rPr>
                <w:rFonts w:ascii="CAIXA Std Book" w:hAnsi="CAIXA Std Book"/>
                <w:b/>
                <w:color w:val="005CA9"/>
                <w:sz w:val="14"/>
                <w:szCs w:val="14"/>
              </w:rPr>
            </w:pPr>
          </w:p>
        </w:tc>
        <w:tc>
          <w:tcPr>
            <w:tcW w:w="337" w:type="pct"/>
            <w:tcBorders>
              <w:left w:val="nil"/>
              <w:bottom w:val="single" w:sz="4" w:space="0" w:color="F39200"/>
              <w:right w:val="nil"/>
            </w:tcBorders>
            <w:shd w:val="clear" w:color="auto" w:fill="auto"/>
            <w:noWrap/>
            <w:vAlign w:val="center"/>
          </w:tcPr>
          <w:p w14:paraId="5D0B9623" w14:textId="77777777" w:rsidR="00446191" w:rsidRPr="00E20D21" w:rsidRDefault="00446191">
            <w:pPr>
              <w:jc w:val="right"/>
              <w:rPr>
                <w:rFonts w:ascii="CAIXA Std Book" w:hAnsi="CAIXA Std Book"/>
                <w:b/>
                <w:color w:val="005CA9"/>
                <w:sz w:val="14"/>
                <w:szCs w:val="14"/>
              </w:rPr>
            </w:pPr>
          </w:p>
        </w:tc>
        <w:tc>
          <w:tcPr>
            <w:tcW w:w="341" w:type="pct"/>
            <w:tcBorders>
              <w:left w:val="nil"/>
              <w:bottom w:val="single" w:sz="4" w:space="0" w:color="F39200"/>
              <w:right w:val="nil"/>
            </w:tcBorders>
            <w:shd w:val="clear" w:color="auto" w:fill="auto"/>
            <w:noWrap/>
            <w:vAlign w:val="center"/>
          </w:tcPr>
          <w:p w14:paraId="208BB294" w14:textId="77777777" w:rsidR="00446191" w:rsidRPr="00E20D21" w:rsidRDefault="00446191">
            <w:pPr>
              <w:jc w:val="right"/>
              <w:rPr>
                <w:rFonts w:ascii="CAIXA Std Book" w:hAnsi="CAIXA Std Book"/>
                <w:b/>
                <w:color w:val="005CA9"/>
                <w:sz w:val="14"/>
                <w:szCs w:val="14"/>
              </w:rPr>
            </w:pPr>
          </w:p>
        </w:tc>
        <w:tc>
          <w:tcPr>
            <w:tcW w:w="340" w:type="pct"/>
            <w:tcBorders>
              <w:left w:val="nil"/>
              <w:bottom w:val="single" w:sz="4" w:space="0" w:color="F39200"/>
              <w:right w:val="nil"/>
            </w:tcBorders>
            <w:shd w:val="clear" w:color="auto" w:fill="auto"/>
            <w:noWrap/>
            <w:vAlign w:val="center"/>
          </w:tcPr>
          <w:p w14:paraId="2A4EA6E4" w14:textId="77777777" w:rsidR="00446191" w:rsidRPr="00E20D21" w:rsidRDefault="00446191" w:rsidP="002E09B7">
            <w:pPr>
              <w:jc w:val="right"/>
              <w:rPr>
                <w:rFonts w:ascii="CAIXA Std Book" w:hAnsi="CAIXA Std Book"/>
                <w:b/>
                <w:color w:val="005CA9"/>
                <w:sz w:val="14"/>
                <w:szCs w:val="14"/>
              </w:rPr>
            </w:pPr>
          </w:p>
        </w:tc>
        <w:tc>
          <w:tcPr>
            <w:tcW w:w="390" w:type="pct"/>
            <w:tcBorders>
              <w:left w:val="nil"/>
              <w:bottom w:val="single" w:sz="4" w:space="0" w:color="F39200"/>
              <w:right w:val="nil"/>
            </w:tcBorders>
            <w:shd w:val="clear" w:color="auto" w:fill="auto"/>
            <w:noWrap/>
            <w:vAlign w:val="center"/>
          </w:tcPr>
          <w:p w14:paraId="26654B7A" w14:textId="5C2F987A" w:rsidR="00446191" w:rsidRPr="00E20D21" w:rsidRDefault="00B35CDB"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956.132.879</w:t>
            </w:r>
          </w:p>
        </w:tc>
        <w:tc>
          <w:tcPr>
            <w:tcW w:w="430" w:type="pct"/>
            <w:tcBorders>
              <w:left w:val="nil"/>
              <w:bottom w:val="single" w:sz="4" w:space="0" w:color="F39200"/>
              <w:right w:val="nil"/>
            </w:tcBorders>
            <w:vAlign w:val="center"/>
          </w:tcPr>
          <w:p w14:paraId="170D4836" w14:textId="77777777" w:rsidR="00446191" w:rsidRPr="00E20D21" w:rsidRDefault="00446191" w:rsidP="00BC7A90">
            <w:pPr>
              <w:jc w:val="right"/>
              <w:rPr>
                <w:rFonts w:ascii="CAIXA Std Book" w:hAnsi="CAIXA Std Book" w:cs="Arial"/>
                <w:color w:val="005CA9"/>
                <w:sz w:val="14"/>
                <w:szCs w:val="14"/>
              </w:rPr>
            </w:pPr>
            <w:r w:rsidRPr="00E20D21">
              <w:rPr>
                <w:rFonts w:ascii="CAIXA Std Book" w:hAnsi="CAIXA Std Book" w:cs="Arial"/>
                <w:color w:val="005CA9"/>
                <w:sz w:val="14"/>
                <w:szCs w:val="14"/>
              </w:rPr>
              <w:t>910.577.437</w:t>
            </w:r>
          </w:p>
        </w:tc>
      </w:tr>
    </w:tbl>
    <w:p w14:paraId="7B675238" w14:textId="7AD52773" w:rsidR="00342448" w:rsidRPr="00E20D21" w:rsidRDefault="00F81EC2" w:rsidP="00F81EC2">
      <w:pPr>
        <w:jc w:val="both"/>
        <w:rPr>
          <w:rFonts w:ascii="CAIXA Std Book" w:hAnsi="CAIXA Std Book"/>
          <w:color w:val="005CA9"/>
          <w:sz w:val="14"/>
          <w:szCs w:val="14"/>
        </w:rPr>
      </w:pPr>
      <w:r w:rsidRPr="00E20D21">
        <w:rPr>
          <w:rFonts w:ascii="CAIXA Std Book" w:hAnsi="CAIXA Std Book"/>
          <w:color w:val="005CA9"/>
          <w:sz w:val="14"/>
          <w:szCs w:val="14"/>
        </w:rPr>
        <w:t xml:space="preserve">(1) </w:t>
      </w:r>
      <w:r w:rsidR="00BA44FA" w:rsidRPr="00E20D21">
        <w:rPr>
          <w:rFonts w:ascii="CAIXA Std Book" w:hAnsi="CAIXA Std Book"/>
          <w:color w:val="005CA9"/>
          <w:sz w:val="14"/>
          <w:szCs w:val="14"/>
        </w:rPr>
        <w:t>Créditos adquiridos com coobrigação dos Bancos</w:t>
      </w:r>
      <w:r w:rsidR="004939BF" w:rsidRPr="00E20D21">
        <w:rPr>
          <w:rFonts w:ascii="CAIXA Std Book" w:hAnsi="CAIXA Std Book"/>
          <w:color w:val="005CA9"/>
          <w:sz w:val="14"/>
          <w:szCs w:val="14"/>
        </w:rPr>
        <w:t xml:space="preserve"> </w:t>
      </w:r>
      <w:r w:rsidR="00BA44FA" w:rsidRPr="00E20D21">
        <w:rPr>
          <w:rFonts w:ascii="CAIXA Std Book" w:hAnsi="CAIXA Std Book"/>
          <w:color w:val="005CA9"/>
          <w:sz w:val="14"/>
          <w:szCs w:val="14"/>
        </w:rPr>
        <w:t>BMG</w:t>
      </w:r>
      <w:r w:rsidR="00F84146" w:rsidRPr="00E20D21">
        <w:rPr>
          <w:rFonts w:ascii="CAIXA Std Book" w:hAnsi="CAIXA Std Book"/>
          <w:color w:val="005CA9"/>
          <w:sz w:val="14"/>
          <w:szCs w:val="14"/>
        </w:rPr>
        <w:t xml:space="preserve"> e</w:t>
      </w:r>
      <w:r w:rsidR="004939BF" w:rsidRPr="00E20D21">
        <w:rPr>
          <w:rFonts w:ascii="CAIXA Std Book" w:hAnsi="CAIXA Std Book"/>
          <w:color w:val="005CA9"/>
          <w:sz w:val="14"/>
          <w:szCs w:val="14"/>
        </w:rPr>
        <w:t xml:space="preserve"> Mercantil</w:t>
      </w:r>
      <w:r w:rsidR="00BA44FA" w:rsidRPr="00E20D21">
        <w:rPr>
          <w:rFonts w:ascii="CAIXA Std Book" w:hAnsi="CAIXA Std Book"/>
          <w:color w:val="005CA9"/>
          <w:sz w:val="14"/>
          <w:szCs w:val="14"/>
        </w:rPr>
        <w:t>.</w:t>
      </w:r>
    </w:p>
    <w:p w14:paraId="0D9128B7" w14:textId="7B760AC5" w:rsidR="009B1E28" w:rsidRPr="00E20D21" w:rsidRDefault="009B1E28" w:rsidP="00B26858">
      <w:pPr>
        <w:jc w:val="both"/>
        <w:rPr>
          <w:rFonts w:ascii="CAIXA Std Book" w:hAnsi="CAIXA Std Book"/>
          <w:color w:val="005CA9"/>
          <w:sz w:val="14"/>
          <w:szCs w:val="14"/>
        </w:rPr>
      </w:pPr>
      <w:r w:rsidRPr="00E20D21">
        <w:rPr>
          <w:rFonts w:ascii="CAIXA Std Book" w:hAnsi="CAIXA Std Book"/>
          <w:color w:val="005CA9"/>
          <w:sz w:val="14"/>
          <w:szCs w:val="14"/>
        </w:rPr>
        <w:t>(2) Refere-se à provisão complementar aos percentuais mínimos requeridos pela Resolução CMN nº 2.682/1999, utilizando-se da metodologia de perda esperada, adotada na gestão de risco de crédito da instituição.</w:t>
      </w:r>
    </w:p>
    <w:p w14:paraId="7A99DE47" w14:textId="60AC6706" w:rsidR="00495BFD" w:rsidRPr="00E20D21" w:rsidRDefault="00495BFD">
      <w:pPr>
        <w:rPr>
          <w:rFonts w:ascii="CAIXA Std Book" w:hAnsi="CAIXA Std Book"/>
          <w:color w:val="005CA9"/>
          <w:sz w:val="14"/>
          <w:szCs w:val="14"/>
        </w:rPr>
      </w:pPr>
      <w:r w:rsidRPr="00E20D21">
        <w:rPr>
          <w:rFonts w:ascii="CAIXA Std Book" w:hAnsi="CAIXA Std Book"/>
          <w:color w:val="005CA9"/>
          <w:sz w:val="14"/>
          <w:szCs w:val="14"/>
        </w:rPr>
        <w:br w:type="page"/>
      </w:r>
    </w:p>
    <w:p w14:paraId="5EABD5CD" w14:textId="52F37398" w:rsidR="00BA44FA" w:rsidRPr="00E20D21" w:rsidRDefault="00785E32" w:rsidP="00785E32">
      <w:pPr>
        <w:tabs>
          <w:tab w:val="left" w:pos="709"/>
          <w:tab w:val="left" w:pos="1418"/>
          <w:tab w:val="left" w:pos="2127"/>
          <w:tab w:val="left" w:pos="2836"/>
          <w:tab w:val="left" w:pos="3545"/>
          <w:tab w:val="left" w:pos="4254"/>
          <w:tab w:val="left" w:pos="4963"/>
          <w:tab w:val="left" w:pos="5985"/>
        </w:tabs>
        <w:spacing w:before="480" w:after="240"/>
        <w:rPr>
          <w:rFonts w:ascii="CAIXA Std Book" w:hAnsi="CAIXA Std Book"/>
          <w:b/>
          <w:bCs/>
          <w:color w:val="005CA9"/>
          <w:sz w:val="20"/>
          <w:szCs w:val="20"/>
        </w:rPr>
      </w:pPr>
      <w:r w:rsidRPr="00E20D21">
        <w:rPr>
          <w:rFonts w:ascii="CAIXA Std Book" w:hAnsi="CAIXA Std Book"/>
          <w:b/>
          <w:color w:val="005CA9"/>
          <w:sz w:val="20"/>
          <w:szCs w:val="20"/>
        </w:rPr>
        <w:lastRenderedPageBreak/>
        <w:t>(</w:t>
      </w:r>
      <w:r w:rsidRPr="00E20D21">
        <w:rPr>
          <w:rFonts w:ascii="CAIXA Std Book" w:hAnsi="CAIXA Std Book"/>
          <w:b/>
          <w:bCs/>
          <w:color w:val="005CA9"/>
          <w:sz w:val="20"/>
          <w:szCs w:val="20"/>
        </w:rPr>
        <w:t>b)</w:t>
      </w:r>
      <w:r w:rsidRPr="00E20D21">
        <w:rPr>
          <w:rFonts w:ascii="CAIXA Std Book" w:hAnsi="CAIXA Std Book"/>
          <w:b/>
          <w:bCs/>
          <w:color w:val="005CA9"/>
          <w:sz w:val="20"/>
          <w:szCs w:val="20"/>
        </w:rPr>
        <w:tab/>
      </w:r>
      <w:r w:rsidR="00BA44FA" w:rsidRPr="00E20D21">
        <w:rPr>
          <w:rFonts w:ascii="CAIXA Std Book" w:hAnsi="CAIXA Std Book"/>
          <w:b/>
          <w:bCs/>
          <w:color w:val="005CA9"/>
          <w:sz w:val="20"/>
          <w:szCs w:val="20"/>
        </w:rPr>
        <w:t>Composição por faixas de vencimento e níveis de risco</w:t>
      </w:r>
    </w:p>
    <w:tbl>
      <w:tblPr>
        <w:tblW w:w="5000" w:type="pct"/>
        <w:tblCellMar>
          <w:left w:w="70" w:type="dxa"/>
          <w:right w:w="70" w:type="dxa"/>
        </w:tblCellMar>
        <w:tblLook w:val="04A0" w:firstRow="1" w:lastRow="0" w:firstColumn="1" w:lastColumn="0" w:noHBand="0" w:noVBand="1"/>
      </w:tblPr>
      <w:tblGrid>
        <w:gridCol w:w="1873"/>
        <w:gridCol w:w="1130"/>
        <w:gridCol w:w="1128"/>
        <w:gridCol w:w="1131"/>
        <w:gridCol w:w="1131"/>
        <w:gridCol w:w="1119"/>
        <w:gridCol w:w="1134"/>
        <w:gridCol w:w="1128"/>
        <w:gridCol w:w="1128"/>
        <w:gridCol w:w="1128"/>
        <w:gridCol w:w="1285"/>
        <w:gridCol w:w="1256"/>
      </w:tblGrid>
      <w:tr w:rsidR="00A47C19" w:rsidRPr="00E20D21" w14:paraId="6F72BA2A" w14:textId="77777777" w:rsidTr="0064419B">
        <w:trPr>
          <w:trHeight w:val="255"/>
        </w:trPr>
        <w:tc>
          <w:tcPr>
            <w:tcW w:w="5000" w:type="pct"/>
            <w:gridSpan w:val="12"/>
            <w:tcBorders>
              <w:top w:val="single" w:sz="4" w:space="0" w:color="F39200"/>
              <w:left w:val="nil"/>
              <w:bottom w:val="nil"/>
              <w:right w:val="nil"/>
            </w:tcBorders>
            <w:vAlign w:val="center"/>
          </w:tcPr>
          <w:p w14:paraId="3084BDD1" w14:textId="77777777" w:rsidR="00DA43EF" w:rsidRPr="00E20D21" w:rsidRDefault="00DA43EF">
            <w:pPr>
              <w:jc w:val="center"/>
              <w:rPr>
                <w:rFonts w:ascii="CAIXA Std Book" w:hAnsi="CAIXA Std Book"/>
                <w:b/>
                <w:color w:val="005CA9"/>
                <w:sz w:val="16"/>
                <w:szCs w:val="16"/>
              </w:rPr>
            </w:pPr>
            <w:r w:rsidRPr="00E20D21">
              <w:rPr>
                <w:rFonts w:ascii="CAIXA Std Book" w:hAnsi="CAIXA Std Book"/>
                <w:b/>
                <w:color w:val="005CA9"/>
                <w:sz w:val="16"/>
                <w:szCs w:val="16"/>
              </w:rPr>
              <w:t>INDIVIDUAL / CONSOLIDADO</w:t>
            </w:r>
          </w:p>
        </w:tc>
      </w:tr>
      <w:tr w:rsidR="00A47C19" w:rsidRPr="00E20D21" w14:paraId="44A977A7" w14:textId="77777777" w:rsidTr="0064419B">
        <w:trPr>
          <w:trHeight w:val="255"/>
        </w:trPr>
        <w:tc>
          <w:tcPr>
            <w:tcW w:w="5000" w:type="pct"/>
            <w:gridSpan w:val="12"/>
            <w:tcBorders>
              <w:top w:val="single" w:sz="4" w:space="0" w:color="F39200"/>
              <w:left w:val="nil"/>
              <w:bottom w:val="nil"/>
              <w:right w:val="nil"/>
            </w:tcBorders>
            <w:vAlign w:val="center"/>
          </w:tcPr>
          <w:p w14:paraId="1F5CC2CA" w14:textId="77777777" w:rsidR="00DA43EF" w:rsidRPr="00E20D21" w:rsidRDefault="00DA43EF">
            <w:pPr>
              <w:jc w:val="center"/>
              <w:rPr>
                <w:rFonts w:ascii="CAIXA Std Book" w:hAnsi="CAIXA Std Book"/>
                <w:b/>
                <w:color w:val="005CA9"/>
                <w:sz w:val="16"/>
                <w:szCs w:val="16"/>
              </w:rPr>
            </w:pPr>
            <w:r w:rsidRPr="00E20D21">
              <w:rPr>
                <w:rFonts w:ascii="CAIXA Std Book" w:hAnsi="CAIXA Std Book"/>
                <w:b/>
                <w:color w:val="005CA9"/>
                <w:sz w:val="16"/>
                <w:szCs w:val="16"/>
              </w:rPr>
              <w:t>Carteira de crédito em curso normal</w:t>
            </w:r>
          </w:p>
        </w:tc>
      </w:tr>
      <w:tr w:rsidR="00A47C19" w:rsidRPr="00E20D21" w14:paraId="36527B6D" w14:textId="77777777" w:rsidTr="0064419B">
        <w:trPr>
          <w:trHeight w:val="255"/>
        </w:trPr>
        <w:tc>
          <w:tcPr>
            <w:tcW w:w="643" w:type="pct"/>
            <w:tcBorders>
              <w:top w:val="single" w:sz="4" w:space="0" w:color="F39200"/>
              <w:left w:val="nil"/>
              <w:bottom w:val="nil"/>
              <w:right w:val="nil"/>
            </w:tcBorders>
            <w:shd w:val="clear" w:color="auto" w:fill="auto"/>
            <w:noWrap/>
            <w:vAlign w:val="center"/>
            <w:hideMark/>
          </w:tcPr>
          <w:p w14:paraId="34602B51"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Descrição</w:t>
            </w:r>
          </w:p>
        </w:tc>
        <w:tc>
          <w:tcPr>
            <w:tcW w:w="388" w:type="pct"/>
            <w:tcBorders>
              <w:top w:val="single" w:sz="4" w:space="0" w:color="F39200"/>
              <w:left w:val="nil"/>
              <w:bottom w:val="nil"/>
              <w:right w:val="nil"/>
            </w:tcBorders>
            <w:shd w:val="clear" w:color="auto" w:fill="auto"/>
            <w:noWrap/>
            <w:vAlign w:val="center"/>
            <w:hideMark/>
          </w:tcPr>
          <w:p w14:paraId="686AA09C"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AA</w:t>
            </w:r>
          </w:p>
        </w:tc>
        <w:tc>
          <w:tcPr>
            <w:tcW w:w="387" w:type="pct"/>
            <w:tcBorders>
              <w:top w:val="single" w:sz="4" w:space="0" w:color="F39200"/>
              <w:left w:val="nil"/>
              <w:bottom w:val="nil"/>
              <w:right w:val="nil"/>
            </w:tcBorders>
            <w:shd w:val="clear" w:color="auto" w:fill="auto"/>
            <w:noWrap/>
            <w:vAlign w:val="center"/>
            <w:hideMark/>
          </w:tcPr>
          <w:p w14:paraId="5DA066DF"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A</w:t>
            </w:r>
          </w:p>
        </w:tc>
        <w:tc>
          <w:tcPr>
            <w:tcW w:w="388" w:type="pct"/>
            <w:tcBorders>
              <w:top w:val="single" w:sz="4" w:space="0" w:color="F39200"/>
              <w:left w:val="nil"/>
              <w:bottom w:val="nil"/>
              <w:right w:val="nil"/>
            </w:tcBorders>
            <w:shd w:val="clear" w:color="auto" w:fill="auto"/>
            <w:noWrap/>
            <w:vAlign w:val="center"/>
            <w:hideMark/>
          </w:tcPr>
          <w:p w14:paraId="6D976FEC" w14:textId="77777777" w:rsidR="00C84319" w:rsidRPr="00E20D21" w:rsidRDefault="00C84319" w:rsidP="00C84319">
            <w:pPr>
              <w:ind w:left="-366" w:firstLine="366"/>
              <w:jc w:val="center"/>
              <w:rPr>
                <w:rFonts w:ascii="CAIXA Std Book" w:hAnsi="CAIXA Std Book"/>
                <w:b/>
                <w:color w:val="005CA9"/>
                <w:sz w:val="16"/>
                <w:szCs w:val="16"/>
              </w:rPr>
            </w:pPr>
            <w:r w:rsidRPr="00E20D21">
              <w:rPr>
                <w:rFonts w:ascii="CAIXA Std Book" w:hAnsi="CAIXA Std Book"/>
                <w:b/>
                <w:color w:val="005CA9"/>
                <w:sz w:val="16"/>
                <w:szCs w:val="16"/>
              </w:rPr>
              <w:t>B</w:t>
            </w:r>
          </w:p>
        </w:tc>
        <w:tc>
          <w:tcPr>
            <w:tcW w:w="388" w:type="pct"/>
            <w:tcBorders>
              <w:top w:val="single" w:sz="4" w:space="0" w:color="F39200"/>
              <w:left w:val="nil"/>
              <w:bottom w:val="nil"/>
              <w:right w:val="nil"/>
            </w:tcBorders>
            <w:shd w:val="clear" w:color="auto" w:fill="auto"/>
            <w:noWrap/>
            <w:vAlign w:val="center"/>
            <w:hideMark/>
          </w:tcPr>
          <w:p w14:paraId="65AD94B0"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C</w:t>
            </w:r>
          </w:p>
        </w:tc>
        <w:tc>
          <w:tcPr>
            <w:tcW w:w="384" w:type="pct"/>
            <w:tcBorders>
              <w:top w:val="single" w:sz="4" w:space="0" w:color="F39200"/>
              <w:left w:val="nil"/>
              <w:bottom w:val="nil"/>
              <w:right w:val="nil"/>
            </w:tcBorders>
            <w:shd w:val="clear" w:color="auto" w:fill="auto"/>
            <w:noWrap/>
            <w:vAlign w:val="center"/>
            <w:hideMark/>
          </w:tcPr>
          <w:p w14:paraId="4F2E09C4"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D</w:t>
            </w:r>
          </w:p>
        </w:tc>
        <w:tc>
          <w:tcPr>
            <w:tcW w:w="389" w:type="pct"/>
            <w:tcBorders>
              <w:top w:val="single" w:sz="4" w:space="0" w:color="F39200"/>
              <w:left w:val="nil"/>
              <w:bottom w:val="nil"/>
              <w:right w:val="nil"/>
            </w:tcBorders>
            <w:shd w:val="clear" w:color="auto" w:fill="auto"/>
            <w:noWrap/>
            <w:vAlign w:val="center"/>
            <w:hideMark/>
          </w:tcPr>
          <w:p w14:paraId="34397846"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E</w:t>
            </w:r>
          </w:p>
        </w:tc>
        <w:tc>
          <w:tcPr>
            <w:tcW w:w="387" w:type="pct"/>
            <w:tcBorders>
              <w:top w:val="single" w:sz="4" w:space="0" w:color="F39200"/>
              <w:left w:val="nil"/>
              <w:bottom w:val="nil"/>
              <w:right w:val="nil"/>
            </w:tcBorders>
            <w:shd w:val="clear" w:color="auto" w:fill="auto"/>
            <w:noWrap/>
            <w:vAlign w:val="center"/>
            <w:hideMark/>
          </w:tcPr>
          <w:p w14:paraId="1BC7E7A1"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F</w:t>
            </w:r>
          </w:p>
        </w:tc>
        <w:tc>
          <w:tcPr>
            <w:tcW w:w="387" w:type="pct"/>
            <w:tcBorders>
              <w:top w:val="single" w:sz="4" w:space="0" w:color="F39200"/>
              <w:left w:val="nil"/>
              <w:bottom w:val="nil"/>
              <w:right w:val="nil"/>
            </w:tcBorders>
            <w:shd w:val="clear" w:color="auto" w:fill="auto"/>
            <w:noWrap/>
            <w:vAlign w:val="center"/>
            <w:hideMark/>
          </w:tcPr>
          <w:p w14:paraId="5F0DC8EE"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G</w:t>
            </w:r>
          </w:p>
        </w:tc>
        <w:tc>
          <w:tcPr>
            <w:tcW w:w="387" w:type="pct"/>
            <w:tcBorders>
              <w:top w:val="single" w:sz="4" w:space="0" w:color="F39200"/>
              <w:left w:val="nil"/>
              <w:bottom w:val="nil"/>
              <w:right w:val="nil"/>
            </w:tcBorders>
            <w:shd w:val="clear" w:color="auto" w:fill="auto"/>
            <w:noWrap/>
            <w:vAlign w:val="center"/>
            <w:hideMark/>
          </w:tcPr>
          <w:p w14:paraId="2EE22A34"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H</w:t>
            </w:r>
          </w:p>
        </w:tc>
        <w:tc>
          <w:tcPr>
            <w:tcW w:w="441" w:type="pct"/>
            <w:tcBorders>
              <w:top w:val="single" w:sz="4" w:space="0" w:color="F39200"/>
              <w:left w:val="nil"/>
              <w:bottom w:val="nil"/>
              <w:right w:val="nil"/>
            </w:tcBorders>
            <w:vAlign w:val="center"/>
          </w:tcPr>
          <w:p w14:paraId="3579DB44" w14:textId="0E23E3A3"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30/06/2024</w:t>
            </w:r>
          </w:p>
        </w:tc>
        <w:tc>
          <w:tcPr>
            <w:tcW w:w="431" w:type="pct"/>
            <w:tcBorders>
              <w:top w:val="single" w:sz="4" w:space="0" w:color="F39200"/>
              <w:left w:val="nil"/>
              <w:bottom w:val="nil"/>
              <w:right w:val="nil"/>
            </w:tcBorders>
            <w:shd w:val="clear" w:color="auto" w:fill="auto"/>
            <w:noWrap/>
            <w:vAlign w:val="center"/>
            <w:hideMark/>
          </w:tcPr>
          <w:p w14:paraId="1EDD9965" w14:textId="7198396B"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31/12/2023</w:t>
            </w:r>
          </w:p>
        </w:tc>
      </w:tr>
      <w:tr w:rsidR="00504B3F" w:rsidRPr="00E20D21" w14:paraId="490800FD" w14:textId="77777777" w:rsidTr="0064419B">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1555E63B" w14:textId="77777777" w:rsidR="00504B3F" w:rsidRPr="00E20D21" w:rsidRDefault="00504B3F" w:rsidP="00504B3F">
            <w:pPr>
              <w:rPr>
                <w:rFonts w:ascii="CAIXA Std Book" w:hAnsi="CAIXA Std Book"/>
                <w:b/>
                <w:color w:val="005CA9"/>
                <w:sz w:val="16"/>
                <w:szCs w:val="16"/>
              </w:rPr>
            </w:pPr>
            <w:r w:rsidRPr="00E20D21">
              <w:rPr>
                <w:rFonts w:ascii="CAIXA Std Book" w:hAnsi="CAIXA Std Book"/>
                <w:b/>
                <w:color w:val="005CA9"/>
                <w:sz w:val="16"/>
                <w:szCs w:val="16"/>
              </w:rPr>
              <w:t>Parcelas vincendas</w:t>
            </w:r>
          </w:p>
        </w:tc>
        <w:tc>
          <w:tcPr>
            <w:tcW w:w="388" w:type="pct"/>
            <w:tcBorders>
              <w:top w:val="single" w:sz="4" w:space="0" w:color="F39200"/>
              <w:left w:val="nil"/>
              <w:bottom w:val="single" w:sz="4" w:space="0" w:color="F39200"/>
              <w:right w:val="nil"/>
            </w:tcBorders>
            <w:shd w:val="clear" w:color="auto" w:fill="auto"/>
            <w:noWrap/>
            <w:vAlign w:val="center"/>
          </w:tcPr>
          <w:p w14:paraId="1B6E32E9" w14:textId="7FA00AF1" w:rsidR="00504B3F" w:rsidRPr="00E20D21" w:rsidRDefault="00504B3F" w:rsidP="00504B3F">
            <w:pPr>
              <w:jc w:val="right"/>
              <w:rPr>
                <w:rFonts w:ascii="CAIXA Std Book" w:hAnsi="CAIXA Std Book"/>
                <w:b/>
                <w:bCs/>
                <w:color w:val="005CA9"/>
                <w:sz w:val="16"/>
                <w:szCs w:val="16"/>
              </w:rPr>
            </w:pPr>
            <w:r w:rsidRPr="00E20D21">
              <w:rPr>
                <w:rFonts w:ascii="CAIXA Std Book" w:hAnsi="CAIXA Std Book"/>
                <w:b/>
                <w:bCs/>
                <w:color w:val="005CA9"/>
                <w:sz w:val="16"/>
                <w:szCs w:val="16"/>
              </w:rPr>
              <w:t>584.123.965</w:t>
            </w:r>
          </w:p>
        </w:tc>
        <w:tc>
          <w:tcPr>
            <w:tcW w:w="387" w:type="pct"/>
            <w:tcBorders>
              <w:top w:val="single" w:sz="4" w:space="0" w:color="F39200"/>
              <w:left w:val="nil"/>
              <w:bottom w:val="single" w:sz="4" w:space="0" w:color="F39200"/>
              <w:right w:val="nil"/>
            </w:tcBorders>
            <w:shd w:val="clear" w:color="auto" w:fill="auto"/>
            <w:noWrap/>
            <w:vAlign w:val="center"/>
          </w:tcPr>
          <w:p w14:paraId="6DA3E770" w14:textId="39D0ACA6" w:rsidR="00504B3F" w:rsidRPr="00E20D21" w:rsidRDefault="00504B3F" w:rsidP="00504B3F">
            <w:pPr>
              <w:ind w:hanging="211"/>
              <w:jc w:val="right"/>
              <w:rPr>
                <w:rFonts w:ascii="CAIXA Std Book" w:hAnsi="CAIXA Std Book"/>
                <w:b/>
                <w:bCs/>
                <w:color w:val="005CA9"/>
                <w:sz w:val="16"/>
                <w:szCs w:val="16"/>
              </w:rPr>
            </w:pPr>
            <w:r w:rsidRPr="00E20D21">
              <w:rPr>
                <w:rFonts w:ascii="CAIXA Std Book" w:hAnsi="CAIXA Std Book"/>
                <w:b/>
                <w:bCs/>
                <w:color w:val="005CA9"/>
                <w:sz w:val="16"/>
                <w:szCs w:val="16"/>
              </w:rPr>
              <w:t>174.473.979</w:t>
            </w:r>
          </w:p>
        </w:tc>
        <w:tc>
          <w:tcPr>
            <w:tcW w:w="388" w:type="pct"/>
            <w:tcBorders>
              <w:top w:val="single" w:sz="4" w:space="0" w:color="F39200"/>
              <w:left w:val="nil"/>
              <w:bottom w:val="single" w:sz="4" w:space="0" w:color="F39200"/>
              <w:right w:val="nil"/>
            </w:tcBorders>
            <w:shd w:val="clear" w:color="auto" w:fill="auto"/>
            <w:noWrap/>
            <w:vAlign w:val="center"/>
          </w:tcPr>
          <w:p w14:paraId="43F2A8E0" w14:textId="157C21C4" w:rsidR="00504B3F" w:rsidRPr="00E20D21" w:rsidRDefault="00504B3F" w:rsidP="00504B3F">
            <w:pPr>
              <w:jc w:val="right"/>
              <w:rPr>
                <w:rFonts w:ascii="CAIXA Std Book" w:hAnsi="CAIXA Std Book"/>
                <w:b/>
                <w:bCs/>
                <w:color w:val="005CA9"/>
                <w:sz w:val="16"/>
                <w:szCs w:val="16"/>
              </w:rPr>
            </w:pPr>
            <w:r w:rsidRPr="00E20D21">
              <w:rPr>
                <w:rFonts w:ascii="CAIXA Std Book" w:hAnsi="CAIXA Std Book"/>
                <w:b/>
                <w:bCs/>
                <w:color w:val="005CA9"/>
                <w:sz w:val="16"/>
                <w:szCs w:val="16"/>
              </w:rPr>
              <w:t>179.054.932</w:t>
            </w:r>
          </w:p>
        </w:tc>
        <w:tc>
          <w:tcPr>
            <w:tcW w:w="388" w:type="pct"/>
            <w:tcBorders>
              <w:top w:val="single" w:sz="4" w:space="0" w:color="F39200"/>
              <w:left w:val="nil"/>
              <w:bottom w:val="single" w:sz="4" w:space="0" w:color="F39200"/>
              <w:right w:val="nil"/>
            </w:tcBorders>
            <w:shd w:val="clear" w:color="auto" w:fill="auto"/>
            <w:noWrap/>
            <w:vAlign w:val="center"/>
          </w:tcPr>
          <w:p w14:paraId="4F457683" w14:textId="23BF816F" w:rsidR="00504B3F" w:rsidRPr="00E20D21" w:rsidRDefault="00504B3F" w:rsidP="00504B3F">
            <w:pPr>
              <w:jc w:val="right"/>
              <w:rPr>
                <w:rFonts w:ascii="CAIXA Std Book" w:hAnsi="CAIXA Std Book"/>
                <w:b/>
                <w:bCs/>
                <w:color w:val="005CA9"/>
                <w:sz w:val="16"/>
                <w:szCs w:val="16"/>
              </w:rPr>
            </w:pPr>
            <w:r w:rsidRPr="00E20D21">
              <w:rPr>
                <w:rFonts w:ascii="CAIXA Std Book" w:hAnsi="CAIXA Std Book"/>
                <w:b/>
                <w:bCs/>
                <w:color w:val="005CA9"/>
                <w:sz w:val="16"/>
                <w:szCs w:val="16"/>
              </w:rPr>
              <w:t>105.220.79</w:t>
            </w:r>
            <w:r w:rsidR="00E76FF9" w:rsidRPr="00E20D21">
              <w:rPr>
                <w:rFonts w:ascii="CAIXA Std Book" w:hAnsi="CAIXA Std Book"/>
                <w:b/>
                <w:bCs/>
                <w:color w:val="005CA9"/>
                <w:sz w:val="16"/>
                <w:szCs w:val="16"/>
              </w:rPr>
              <w:t>2</w:t>
            </w:r>
          </w:p>
        </w:tc>
        <w:tc>
          <w:tcPr>
            <w:tcW w:w="384" w:type="pct"/>
            <w:tcBorders>
              <w:top w:val="single" w:sz="4" w:space="0" w:color="F39200"/>
              <w:left w:val="nil"/>
              <w:bottom w:val="single" w:sz="4" w:space="0" w:color="F39200"/>
              <w:right w:val="nil"/>
            </w:tcBorders>
            <w:shd w:val="clear" w:color="auto" w:fill="auto"/>
            <w:noWrap/>
            <w:vAlign w:val="center"/>
          </w:tcPr>
          <w:p w14:paraId="36E050F6" w14:textId="5C1EDEAA" w:rsidR="00504B3F" w:rsidRPr="00E20D21" w:rsidRDefault="00504B3F" w:rsidP="00504B3F">
            <w:pPr>
              <w:jc w:val="right"/>
              <w:rPr>
                <w:rFonts w:ascii="CAIXA Std Book" w:hAnsi="CAIXA Std Book"/>
                <w:b/>
                <w:bCs/>
                <w:color w:val="005CA9"/>
                <w:sz w:val="16"/>
                <w:szCs w:val="16"/>
              </w:rPr>
            </w:pPr>
            <w:r w:rsidRPr="00E20D21">
              <w:rPr>
                <w:rFonts w:ascii="CAIXA Std Book" w:hAnsi="CAIXA Std Book"/>
                <w:b/>
                <w:bCs/>
                <w:color w:val="005CA9"/>
                <w:sz w:val="16"/>
                <w:szCs w:val="16"/>
              </w:rPr>
              <w:t>17.476.013</w:t>
            </w:r>
          </w:p>
        </w:tc>
        <w:tc>
          <w:tcPr>
            <w:tcW w:w="389" w:type="pct"/>
            <w:tcBorders>
              <w:top w:val="single" w:sz="4" w:space="0" w:color="F39200"/>
              <w:left w:val="nil"/>
              <w:bottom w:val="single" w:sz="4" w:space="0" w:color="F39200"/>
              <w:right w:val="nil"/>
            </w:tcBorders>
            <w:shd w:val="clear" w:color="auto" w:fill="auto"/>
            <w:noWrap/>
            <w:vAlign w:val="center"/>
          </w:tcPr>
          <w:p w14:paraId="568ED13F" w14:textId="2750FB2C" w:rsidR="00504B3F" w:rsidRPr="00E20D21" w:rsidRDefault="00504B3F" w:rsidP="00504B3F">
            <w:pPr>
              <w:jc w:val="right"/>
              <w:rPr>
                <w:rFonts w:ascii="CAIXA Std Book" w:hAnsi="CAIXA Std Book"/>
                <w:b/>
                <w:bCs/>
                <w:color w:val="005CA9"/>
                <w:sz w:val="16"/>
                <w:szCs w:val="16"/>
              </w:rPr>
            </w:pPr>
            <w:r w:rsidRPr="00E20D21">
              <w:rPr>
                <w:rFonts w:ascii="CAIXA Std Book" w:hAnsi="CAIXA Std Book"/>
                <w:b/>
                <w:bCs/>
                <w:color w:val="005CA9"/>
                <w:sz w:val="16"/>
                <w:szCs w:val="16"/>
              </w:rPr>
              <w:t>7.002.453</w:t>
            </w:r>
          </w:p>
        </w:tc>
        <w:tc>
          <w:tcPr>
            <w:tcW w:w="387" w:type="pct"/>
            <w:tcBorders>
              <w:top w:val="single" w:sz="4" w:space="0" w:color="F39200"/>
              <w:left w:val="nil"/>
              <w:bottom w:val="single" w:sz="4" w:space="0" w:color="F39200"/>
              <w:right w:val="nil"/>
            </w:tcBorders>
            <w:shd w:val="clear" w:color="auto" w:fill="auto"/>
            <w:noWrap/>
            <w:vAlign w:val="center"/>
          </w:tcPr>
          <w:p w14:paraId="3FFE3C99" w14:textId="68C09189" w:rsidR="00504B3F" w:rsidRPr="00E20D21" w:rsidRDefault="00504B3F" w:rsidP="00504B3F">
            <w:pPr>
              <w:jc w:val="right"/>
              <w:rPr>
                <w:rFonts w:ascii="CAIXA Std Book" w:hAnsi="CAIXA Std Book"/>
                <w:b/>
                <w:bCs/>
                <w:color w:val="005CA9"/>
                <w:sz w:val="16"/>
                <w:szCs w:val="16"/>
              </w:rPr>
            </w:pPr>
            <w:r w:rsidRPr="00E20D21">
              <w:rPr>
                <w:rFonts w:ascii="CAIXA Std Book" w:hAnsi="CAIXA Std Book"/>
                <w:b/>
                <w:bCs/>
                <w:color w:val="005CA9"/>
                <w:sz w:val="16"/>
                <w:szCs w:val="16"/>
              </w:rPr>
              <w:t>2.917.354</w:t>
            </w:r>
          </w:p>
        </w:tc>
        <w:tc>
          <w:tcPr>
            <w:tcW w:w="387" w:type="pct"/>
            <w:tcBorders>
              <w:top w:val="single" w:sz="4" w:space="0" w:color="F39200"/>
              <w:left w:val="nil"/>
              <w:bottom w:val="single" w:sz="4" w:space="0" w:color="F39200"/>
              <w:right w:val="nil"/>
            </w:tcBorders>
            <w:shd w:val="clear" w:color="auto" w:fill="auto"/>
            <w:noWrap/>
            <w:vAlign w:val="center"/>
          </w:tcPr>
          <w:p w14:paraId="176783D7" w14:textId="3E9C2AB5" w:rsidR="00504B3F" w:rsidRPr="00E20D21" w:rsidRDefault="00504B3F" w:rsidP="00504B3F">
            <w:pPr>
              <w:jc w:val="right"/>
              <w:rPr>
                <w:rFonts w:ascii="CAIXA Std Book" w:hAnsi="CAIXA Std Book"/>
                <w:b/>
                <w:bCs/>
                <w:color w:val="005CA9"/>
                <w:sz w:val="16"/>
                <w:szCs w:val="16"/>
              </w:rPr>
            </w:pPr>
            <w:r w:rsidRPr="00E20D21">
              <w:rPr>
                <w:rFonts w:ascii="CAIXA Std Book" w:hAnsi="CAIXA Std Book"/>
                <w:b/>
                <w:bCs/>
                <w:color w:val="005CA9"/>
                <w:sz w:val="16"/>
                <w:szCs w:val="16"/>
              </w:rPr>
              <w:t>8.614.824</w:t>
            </w:r>
          </w:p>
        </w:tc>
        <w:tc>
          <w:tcPr>
            <w:tcW w:w="387" w:type="pct"/>
            <w:tcBorders>
              <w:top w:val="single" w:sz="4" w:space="0" w:color="F39200"/>
              <w:left w:val="nil"/>
              <w:bottom w:val="single" w:sz="4" w:space="0" w:color="F39200"/>
              <w:right w:val="nil"/>
            </w:tcBorders>
            <w:shd w:val="clear" w:color="auto" w:fill="auto"/>
            <w:noWrap/>
            <w:vAlign w:val="center"/>
          </w:tcPr>
          <w:p w14:paraId="793982CE" w14:textId="081F37DA" w:rsidR="00504B3F" w:rsidRPr="00E20D21" w:rsidRDefault="00504B3F" w:rsidP="00504B3F">
            <w:pPr>
              <w:jc w:val="right"/>
              <w:rPr>
                <w:rFonts w:ascii="CAIXA Std Book" w:hAnsi="CAIXA Std Book"/>
                <w:b/>
                <w:bCs/>
                <w:color w:val="005CA9"/>
                <w:sz w:val="16"/>
                <w:szCs w:val="16"/>
              </w:rPr>
            </w:pPr>
            <w:r w:rsidRPr="00E20D21">
              <w:rPr>
                <w:rFonts w:ascii="CAIXA Std Book" w:hAnsi="CAIXA Std Book"/>
                <w:b/>
                <w:bCs/>
                <w:color w:val="005CA9"/>
                <w:sz w:val="16"/>
                <w:szCs w:val="16"/>
              </w:rPr>
              <w:t>5.145.530</w:t>
            </w:r>
          </w:p>
        </w:tc>
        <w:tc>
          <w:tcPr>
            <w:tcW w:w="441" w:type="pct"/>
            <w:tcBorders>
              <w:top w:val="single" w:sz="4" w:space="0" w:color="F39200"/>
              <w:left w:val="nil"/>
              <w:bottom w:val="single" w:sz="4" w:space="0" w:color="F39200"/>
              <w:right w:val="nil"/>
            </w:tcBorders>
            <w:vAlign w:val="center"/>
          </w:tcPr>
          <w:p w14:paraId="2E5BFF6A" w14:textId="4990DB5A" w:rsidR="00504B3F" w:rsidRPr="00E20D21" w:rsidRDefault="00504B3F" w:rsidP="00504B3F">
            <w:pPr>
              <w:jc w:val="right"/>
              <w:rPr>
                <w:rFonts w:ascii="CAIXA Std Book" w:hAnsi="CAIXA Std Book"/>
                <w:b/>
                <w:bCs/>
                <w:color w:val="005CA9"/>
                <w:sz w:val="16"/>
                <w:szCs w:val="16"/>
              </w:rPr>
            </w:pPr>
            <w:r w:rsidRPr="00E20D21">
              <w:rPr>
                <w:rFonts w:ascii="CAIXA Std Book" w:hAnsi="CAIXA Std Book"/>
                <w:b/>
                <w:bCs/>
                <w:color w:val="005CA9"/>
                <w:sz w:val="16"/>
                <w:szCs w:val="16"/>
              </w:rPr>
              <w:t>1.084.029.84</w:t>
            </w:r>
            <w:r w:rsidR="00FA23F2" w:rsidRPr="00E20D21">
              <w:rPr>
                <w:rFonts w:ascii="CAIXA Std Book" w:hAnsi="CAIXA Std Book"/>
                <w:b/>
                <w:bCs/>
                <w:color w:val="005CA9"/>
                <w:sz w:val="16"/>
                <w:szCs w:val="16"/>
              </w:rPr>
              <w:t>2</w:t>
            </w:r>
          </w:p>
        </w:tc>
        <w:tc>
          <w:tcPr>
            <w:tcW w:w="431" w:type="pct"/>
            <w:tcBorders>
              <w:top w:val="single" w:sz="4" w:space="0" w:color="F39200"/>
              <w:left w:val="nil"/>
              <w:bottom w:val="single" w:sz="4" w:space="0" w:color="F39200"/>
              <w:right w:val="nil"/>
            </w:tcBorders>
            <w:shd w:val="clear" w:color="auto" w:fill="auto"/>
            <w:noWrap/>
            <w:vAlign w:val="center"/>
          </w:tcPr>
          <w:p w14:paraId="1A62529D" w14:textId="7DB2CC0F" w:rsidR="00504B3F" w:rsidRPr="00E20D21" w:rsidRDefault="00504B3F" w:rsidP="00504B3F">
            <w:pPr>
              <w:jc w:val="right"/>
              <w:rPr>
                <w:rFonts w:ascii="CAIXA Std Book" w:hAnsi="CAIXA Std Book" w:cs="Arial Unicode MS"/>
                <w:b/>
                <w:color w:val="005CA9"/>
                <w:sz w:val="16"/>
                <w:szCs w:val="16"/>
              </w:rPr>
            </w:pPr>
            <w:r w:rsidRPr="00E20D21">
              <w:rPr>
                <w:rFonts w:ascii="CAIXA Std Book" w:hAnsi="CAIXA Std Book"/>
                <w:b/>
                <w:bCs/>
                <w:color w:val="005CA9"/>
                <w:sz w:val="16"/>
                <w:szCs w:val="16"/>
              </w:rPr>
              <w:t>1.032.642.836</w:t>
            </w:r>
          </w:p>
        </w:tc>
      </w:tr>
      <w:tr w:rsidR="00504B3F" w:rsidRPr="00E20D21" w14:paraId="54935194" w14:textId="77777777" w:rsidTr="0064419B">
        <w:trPr>
          <w:trHeight w:val="255"/>
        </w:trPr>
        <w:tc>
          <w:tcPr>
            <w:tcW w:w="643" w:type="pct"/>
            <w:tcBorders>
              <w:top w:val="nil"/>
              <w:left w:val="nil"/>
              <w:bottom w:val="nil"/>
              <w:right w:val="nil"/>
            </w:tcBorders>
            <w:shd w:val="clear" w:color="auto" w:fill="auto"/>
            <w:noWrap/>
            <w:vAlign w:val="center"/>
            <w:hideMark/>
          </w:tcPr>
          <w:p w14:paraId="531ACD57" w14:textId="77777777" w:rsidR="00504B3F" w:rsidRPr="00E20D21" w:rsidRDefault="00504B3F" w:rsidP="00504B3F">
            <w:pPr>
              <w:rPr>
                <w:rFonts w:ascii="CAIXA Std Book" w:hAnsi="CAIXA Std Book"/>
                <w:color w:val="005CA9"/>
                <w:sz w:val="16"/>
                <w:szCs w:val="16"/>
              </w:rPr>
            </w:pPr>
            <w:r w:rsidRPr="00E20D21">
              <w:rPr>
                <w:rFonts w:ascii="CAIXA Std Book" w:hAnsi="CAIXA Std Book" w:cs="Arial"/>
                <w:color w:val="005CA9"/>
                <w:sz w:val="16"/>
                <w:szCs w:val="16"/>
              </w:rPr>
              <w:t>01 a 30 dias</w:t>
            </w:r>
          </w:p>
        </w:tc>
        <w:tc>
          <w:tcPr>
            <w:tcW w:w="388" w:type="pct"/>
            <w:tcBorders>
              <w:top w:val="nil"/>
              <w:left w:val="nil"/>
              <w:bottom w:val="nil"/>
              <w:right w:val="nil"/>
            </w:tcBorders>
            <w:shd w:val="clear" w:color="auto" w:fill="auto"/>
            <w:noWrap/>
            <w:vAlign w:val="center"/>
          </w:tcPr>
          <w:p w14:paraId="46445DDE" w14:textId="2A00E0B0"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6.989.380</w:t>
            </w:r>
          </w:p>
        </w:tc>
        <w:tc>
          <w:tcPr>
            <w:tcW w:w="387" w:type="pct"/>
            <w:tcBorders>
              <w:top w:val="nil"/>
              <w:left w:val="nil"/>
              <w:bottom w:val="nil"/>
              <w:right w:val="nil"/>
            </w:tcBorders>
            <w:shd w:val="clear" w:color="auto" w:fill="auto"/>
            <w:noWrap/>
            <w:vAlign w:val="center"/>
          </w:tcPr>
          <w:p w14:paraId="47D1F0A1" w14:textId="7EB87B6D" w:rsidR="00504B3F" w:rsidRPr="00E20D21" w:rsidRDefault="00504B3F" w:rsidP="00504B3F">
            <w:pPr>
              <w:ind w:left="639" w:hanging="657"/>
              <w:jc w:val="right"/>
              <w:rPr>
                <w:rFonts w:ascii="CAIXA Std Book" w:hAnsi="CAIXA Std Book"/>
                <w:color w:val="005CA9"/>
                <w:sz w:val="16"/>
                <w:szCs w:val="16"/>
              </w:rPr>
            </w:pPr>
            <w:r w:rsidRPr="00E20D21">
              <w:rPr>
                <w:rFonts w:ascii="CAIXA Std Book" w:hAnsi="CAIXA Std Book"/>
                <w:color w:val="005CA9"/>
                <w:sz w:val="16"/>
                <w:szCs w:val="16"/>
              </w:rPr>
              <w:t>7.957.313</w:t>
            </w:r>
          </w:p>
        </w:tc>
        <w:tc>
          <w:tcPr>
            <w:tcW w:w="388" w:type="pct"/>
            <w:tcBorders>
              <w:top w:val="nil"/>
              <w:left w:val="nil"/>
              <w:bottom w:val="nil"/>
              <w:right w:val="nil"/>
            </w:tcBorders>
            <w:shd w:val="clear" w:color="auto" w:fill="auto"/>
            <w:noWrap/>
            <w:vAlign w:val="center"/>
          </w:tcPr>
          <w:p w14:paraId="5C09284E" w14:textId="06640D58"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5.493.914</w:t>
            </w:r>
          </w:p>
        </w:tc>
        <w:tc>
          <w:tcPr>
            <w:tcW w:w="388" w:type="pct"/>
            <w:tcBorders>
              <w:top w:val="nil"/>
              <w:left w:val="nil"/>
              <w:bottom w:val="nil"/>
              <w:right w:val="nil"/>
            </w:tcBorders>
            <w:shd w:val="clear" w:color="auto" w:fill="auto"/>
            <w:noWrap/>
            <w:vAlign w:val="center"/>
          </w:tcPr>
          <w:p w14:paraId="665C0DAD" w14:textId="4760AF7A"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4.467.573</w:t>
            </w:r>
          </w:p>
        </w:tc>
        <w:tc>
          <w:tcPr>
            <w:tcW w:w="384" w:type="pct"/>
            <w:tcBorders>
              <w:top w:val="nil"/>
              <w:left w:val="nil"/>
              <w:bottom w:val="nil"/>
              <w:right w:val="nil"/>
            </w:tcBorders>
            <w:shd w:val="clear" w:color="auto" w:fill="auto"/>
            <w:noWrap/>
            <w:vAlign w:val="center"/>
          </w:tcPr>
          <w:p w14:paraId="7485A1C7" w14:textId="6338B23C"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1.344.257</w:t>
            </w:r>
          </w:p>
        </w:tc>
        <w:tc>
          <w:tcPr>
            <w:tcW w:w="389" w:type="pct"/>
            <w:tcBorders>
              <w:top w:val="nil"/>
              <w:left w:val="nil"/>
              <w:bottom w:val="nil"/>
              <w:right w:val="nil"/>
            </w:tcBorders>
            <w:shd w:val="clear" w:color="auto" w:fill="auto"/>
            <w:noWrap/>
            <w:vAlign w:val="center"/>
          </w:tcPr>
          <w:p w14:paraId="459C39C4" w14:textId="111A9C9D"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558.360</w:t>
            </w:r>
          </w:p>
        </w:tc>
        <w:tc>
          <w:tcPr>
            <w:tcW w:w="387" w:type="pct"/>
            <w:tcBorders>
              <w:top w:val="nil"/>
              <w:left w:val="nil"/>
              <w:bottom w:val="nil"/>
              <w:right w:val="nil"/>
            </w:tcBorders>
            <w:shd w:val="clear" w:color="auto" w:fill="auto"/>
            <w:noWrap/>
            <w:vAlign w:val="center"/>
          </w:tcPr>
          <w:p w14:paraId="1560F264" w14:textId="44F6ED54"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230.139</w:t>
            </w:r>
          </w:p>
        </w:tc>
        <w:tc>
          <w:tcPr>
            <w:tcW w:w="387" w:type="pct"/>
            <w:tcBorders>
              <w:top w:val="nil"/>
              <w:left w:val="nil"/>
              <w:bottom w:val="nil"/>
              <w:right w:val="nil"/>
            </w:tcBorders>
            <w:shd w:val="clear" w:color="auto" w:fill="auto"/>
            <w:noWrap/>
            <w:vAlign w:val="center"/>
          </w:tcPr>
          <w:p w14:paraId="433FA62B" w14:textId="4FFB957E"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165.756</w:t>
            </w:r>
          </w:p>
        </w:tc>
        <w:tc>
          <w:tcPr>
            <w:tcW w:w="387" w:type="pct"/>
            <w:tcBorders>
              <w:top w:val="nil"/>
              <w:left w:val="nil"/>
              <w:bottom w:val="nil"/>
              <w:right w:val="nil"/>
            </w:tcBorders>
            <w:shd w:val="clear" w:color="auto" w:fill="auto"/>
            <w:noWrap/>
            <w:vAlign w:val="center"/>
          </w:tcPr>
          <w:p w14:paraId="7BD6902A" w14:textId="01A2E4C9"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535.386</w:t>
            </w:r>
          </w:p>
        </w:tc>
        <w:tc>
          <w:tcPr>
            <w:tcW w:w="441" w:type="pct"/>
            <w:tcBorders>
              <w:top w:val="nil"/>
              <w:left w:val="nil"/>
              <w:bottom w:val="nil"/>
              <w:right w:val="nil"/>
            </w:tcBorders>
            <w:vAlign w:val="center"/>
          </w:tcPr>
          <w:p w14:paraId="7165A593" w14:textId="612F969C"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27.742.078</w:t>
            </w:r>
          </w:p>
        </w:tc>
        <w:tc>
          <w:tcPr>
            <w:tcW w:w="431" w:type="pct"/>
            <w:tcBorders>
              <w:top w:val="nil"/>
              <w:left w:val="nil"/>
              <w:bottom w:val="nil"/>
              <w:right w:val="nil"/>
            </w:tcBorders>
            <w:shd w:val="clear" w:color="auto" w:fill="auto"/>
            <w:noWrap/>
            <w:vAlign w:val="center"/>
          </w:tcPr>
          <w:p w14:paraId="638DDE3A" w14:textId="4F4B519C" w:rsidR="00504B3F" w:rsidRPr="00E20D21" w:rsidRDefault="00504B3F" w:rsidP="00504B3F">
            <w:pPr>
              <w:jc w:val="right"/>
              <w:rPr>
                <w:rFonts w:ascii="CAIXA Std Book" w:hAnsi="CAIXA Std Book" w:cs="Arial Unicode MS"/>
                <w:color w:val="005CA9"/>
                <w:sz w:val="16"/>
                <w:szCs w:val="16"/>
              </w:rPr>
            </w:pPr>
            <w:r w:rsidRPr="00E20D21">
              <w:rPr>
                <w:rFonts w:ascii="CAIXA Std Book" w:hAnsi="CAIXA Std Book"/>
                <w:color w:val="005CA9"/>
                <w:sz w:val="16"/>
                <w:szCs w:val="16"/>
              </w:rPr>
              <w:t>25.456.866</w:t>
            </w:r>
          </w:p>
        </w:tc>
      </w:tr>
      <w:tr w:rsidR="00504B3F" w:rsidRPr="00E20D21" w14:paraId="5881A361" w14:textId="77777777" w:rsidTr="0064419B">
        <w:trPr>
          <w:trHeight w:val="255"/>
        </w:trPr>
        <w:tc>
          <w:tcPr>
            <w:tcW w:w="643" w:type="pct"/>
            <w:tcBorders>
              <w:top w:val="nil"/>
              <w:left w:val="nil"/>
              <w:bottom w:val="nil"/>
              <w:right w:val="nil"/>
            </w:tcBorders>
            <w:shd w:val="clear" w:color="auto" w:fill="auto"/>
            <w:noWrap/>
            <w:vAlign w:val="center"/>
            <w:hideMark/>
          </w:tcPr>
          <w:p w14:paraId="32AD73EE" w14:textId="77777777" w:rsidR="00504B3F" w:rsidRPr="00E20D21" w:rsidRDefault="00504B3F" w:rsidP="00504B3F">
            <w:pPr>
              <w:rPr>
                <w:rFonts w:ascii="CAIXA Std Book" w:hAnsi="CAIXA Std Book"/>
                <w:color w:val="005CA9"/>
                <w:sz w:val="16"/>
                <w:szCs w:val="16"/>
              </w:rPr>
            </w:pPr>
            <w:r w:rsidRPr="00E20D21">
              <w:rPr>
                <w:rFonts w:ascii="CAIXA Std Book" w:hAnsi="CAIXA Std Book" w:cs="Arial"/>
                <w:color w:val="005CA9"/>
                <w:sz w:val="16"/>
                <w:szCs w:val="16"/>
              </w:rPr>
              <w:t>31 a 60 dias</w:t>
            </w:r>
          </w:p>
        </w:tc>
        <w:tc>
          <w:tcPr>
            <w:tcW w:w="388" w:type="pct"/>
            <w:tcBorders>
              <w:top w:val="nil"/>
              <w:left w:val="nil"/>
              <w:bottom w:val="nil"/>
              <w:right w:val="nil"/>
            </w:tcBorders>
            <w:shd w:val="clear" w:color="auto" w:fill="auto"/>
            <w:noWrap/>
            <w:vAlign w:val="center"/>
          </w:tcPr>
          <w:p w14:paraId="43455125" w14:textId="79B1C339"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6.942.187</w:t>
            </w:r>
          </w:p>
        </w:tc>
        <w:tc>
          <w:tcPr>
            <w:tcW w:w="387" w:type="pct"/>
            <w:tcBorders>
              <w:top w:val="nil"/>
              <w:left w:val="nil"/>
              <w:bottom w:val="nil"/>
              <w:right w:val="nil"/>
            </w:tcBorders>
            <w:shd w:val="clear" w:color="auto" w:fill="auto"/>
            <w:noWrap/>
            <w:vAlign w:val="center"/>
          </w:tcPr>
          <w:p w14:paraId="5546D08E" w14:textId="339B643C" w:rsidR="00504B3F" w:rsidRPr="00E20D21" w:rsidRDefault="00504B3F" w:rsidP="00504B3F">
            <w:pPr>
              <w:ind w:hanging="211"/>
              <w:jc w:val="right"/>
              <w:rPr>
                <w:rFonts w:ascii="CAIXA Std Book" w:hAnsi="CAIXA Std Book"/>
                <w:color w:val="005CA9"/>
                <w:sz w:val="16"/>
                <w:szCs w:val="16"/>
              </w:rPr>
            </w:pPr>
            <w:r w:rsidRPr="00E20D21">
              <w:rPr>
                <w:rFonts w:ascii="CAIXA Std Book" w:hAnsi="CAIXA Std Book"/>
                <w:color w:val="005CA9"/>
                <w:sz w:val="16"/>
                <w:szCs w:val="16"/>
              </w:rPr>
              <w:t>4.275.105</w:t>
            </w:r>
          </w:p>
        </w:tc>
        <w:tc>
          <w:tcPr>
            <w:tcW w:w="388" w:type="pct"/>
            <w:tcBorders>
              <w:top w:val="nil"/>
              <w:left w:val="nil"/>
              <w:bottom w:val="nil"/>
              <w:right w:val="nil"/>
            </w:tcBorders>
            <w:shd w:val="clear" w:color="auto" w:fill="auto"/>
            <w:noWrap/>
            <w:vAlign w:val="center"/>
          </w:tcPr>
          <w:p w14:paraId="18BBC8CE" w14:textId="6B611574"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3.703.526</w:t>
            </w:r>
          </w:p>
        </w:tc>
        <w:tc>
          <w:tcPr>
            <w:tcW w:w="388" w:type="pct"/>
            <w:tcBorders>
              <w:top w:val="nil"/>
              <w:left w:val="nil"/>
              <w:bottom w:val="nil"/>
              <w:right w:val="nil"/>
            </w:tcBorders>
            <w:shd w:val="clear" w:color="auto" w:fill="auto"/>
            <w:noWrap/>
            <w:vAlign w:val="center"/>
          </w:tcPr>
          <w:p w14:paraId="77134BEB" w14:textId="0681042C"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2.748.177</w:t>
            </w:r>
          </w:p>
        </w:tc>
        <w:tc>
          <w:tcPr>
            <w:tcW w:w="384" w:type="pct"/>
            <w:tcBorders>
              <w:top w:val="nil"/>
              <w:left w:val="nil"/>
              <w:bottom w:val="nil"/>
              <w:right w:val="nil"/>
            </w:tcBorders>
            <w:shd w:val="clear" w:color="auto" w:fill="auto"/>
            <w:noWrap/>
            <w:vAlign w:val="center"/>
          </w:tcPr>
          <w:p w14:paraId="3A546258" w14:textId="1E89B75F"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684.779</w:t>
            </w:r>
          </w:p>
        </w:tc>
        <w:tc>
          <w:tcPr>
            <w:tcW w:w="389" w:type="pct"/>
            <w:tcBorders>
              <w:top w:val="nil"/>
              <w:left w:val="nil"/>
              <w:bottom w:val="nil"/>
              <w:right w:val="nil"/>
            </w:tcBorders>
            <w:shd w:val="clear" w:color="auto" w:fill="auto"/>
            <w:noWrap/>
            <w:vAlign w:val="center"/>
          </w:tcPr>
          <w:p w14:paraId="524D9A11" w14:textId="244C7182"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240.650</w:t>
            </w:r>
          </w:p>
        </w:tc>
        <w:tc>
          <w:tcPr>
            <w:tcW w:w="387" w:type="pct"/>
            <w:tcBorders>
              <w:top w:val="nil"/>
              <w:left w:val="nil"/>
              <w:bottom w:val="nil"/>
              <w:right w:val="nil"/>
            </w:tcBorders>
            <w:shd w:val="clear" w:color="auto" w:fill="auto"/>
            <w:noWrap/>
            <w:vAlign w:val="center"/>
          </w:tcPr>
          <w:p w14:paraId="061C5EB0" w14:textId="23AB5255"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90.047</w:t>
            </w:r>
          </w:p>
        </w:tc>
        <w:tc>
          <w:tcPr>
            <w:tcW w:w="387" w:type="pct"/>
            <w:tcBorders>
              <w:top w:val="nil"/>
              <w:left w:val="nil"/>
              <w:bottom w:val="nil"/>
              <w:right w:val="nil"/>
            </w:tcBorders>
            <w:shd w:val="clear" w:color="auto" w:fill="auto"/>
            <w:noWrap/>
            <w:vAlign w:val="center"/>
          </w:tcPr>
          <w:p w14:paraId="0969379E" w14:textId="7E825301"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89.598</w:t>
            </w:r>
          </w:p>
        </w:tc>
        <w:tc>
          <w:tcPr>
            <w:tcW w:w="387" w:type="pct"/>
            <w:tcBorders>
              <w:top w:val="nil"/>
              <w:left w:val="nil"/>
              <w:bottom w:val="nil"/>
              <w:right w:val="nil"/>
            </w:tcBorders>
            <w:shd w:val="clear" w:color="auto" w:fill="auto"/>
            <w:noWrap/>
            <w:vAlign w:val="center"/>
          </w:tcPr>
          <w:p w14:paraId="24876C49" w14:textId="68B73C2E"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150.770</w:t>
            </w:r>
          </w:p>
        </w:tc>
        <w:tc>
          <w:tcPr>
            <w:tcW w:w="441" w:type="pct"/>
            <w:tcBorders>
              <w:top w:val="nil"/>
              <w:left w:val="nil"/>
              <w:bottom w:val="nil"/>
              <w:right w:val="nil"/>
            </w:tcBorders>
            <w:vAlign w:val="center"/>
          </w:tcPr>
          <w:p w14:paraId="7A51F5B9" w14:textId="588CA36D"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18.924.839</w:t>
            </w:r>
          </w:p>
        </w:tc>
        <w:tc>
          <w:tcPr>
            <w:tcW w:w="431" w:type="pct"/>
            <w:tcBorders>
              <w:top w:val="nil"/>
              <w:left w:val="nil"/>
              <w:bottom w:val="nil"/>
              <w:right w:val="nil"/>
            </w:tcBorders>
            <w:shd w:val="clear" w:color="auto" w:fill="auto"/>
            <w:noWrap/>
            <w:vAlign w:val="center"/>
          </w:tcPr>
          <w:p w14:paraId="354CA5CE" w14:textId="1786B8BF" w:rsidR="00504B3F" w:rsidRPr="00E20D21" w:rsidRDefault="00504B3F" w:rsidP="00504B3F">
            <w:pPr>
              <w:jc w:val="right"/>
              <w:rPr>
                <w:rFonts w:ascii="CAIXA Std Book" w:hAnsi="CAIXA Std Book" w:cs="Arial Unicode MS"/>
                <w:color w:val="005CA9"/>
                <w:sz w:val="16"/>
                <w:szCs w:val="16"/>
              </w:rPr>
            </w:pPr>
            <w:r w:rsidRPr="00E20D21">
              <w:rPr>
                <w:rFonts w:ascii="CAIXA Std Book" w:hAnsi="CAIXA Std Book"/>
                <w:color w:val="005CA9"/>
                <w:sz w:val="16"/>
                <w:szCs w:val="16"/>
              </w:rPr>
              <w:t>16.182.292</w:t>
            </w:r>
          </w:p>
        </w:tc>
      </w:tr>
      <w:tr w:rsidR="00504B3F" w:rsidRPr="00E20D21" w14:paraId="74F2FEC1" w14:textId="77777777" w:rsidTr="0064419B">
        <w:trPr>
          <w:trHeight w:val="255"/>
        </w:trPr>
        <w:tc>
          <w:tcPr>
            <w:tcW w:w="643" w:type="pct"/>
            <w:tcBorders>
              <w:top w:val="nil"/>
              <w:left w:val="nil"/>
              <w:bottom w:val="nil"/>
              <w:right w:val="nil"/>
            </w:tcBorders>
            <w:shd w:val="clear" w:color="auto" w:fill="auto"/>
            <w:noWrap/>
            <w:vAlign w:val="center"/>
            <w:hideMark/>
          </w:tcPr>
          <w:p w14:paraId="0065AE63" w14:textId="77777777" w:rsidR="00504B3F" w:rsidRPr="00E20D21" w:rsidRDefault="00504B3F" w:rsidP="00504B3F">
            <w:pPr>
              <w:rPr>
                <w:rFonts w:ascii="CAIXA Std Book" w:hAnsi="CAIXA Std Book"/>
                <w:color w:val="005CA9"/>
                <w:sz w:val="16"/>
                <w:szCs w:val="16"/>
              </w:rPr>
            </w:pPr>
            <w:r w:rsidRPr="00E20D21">
              <w:rPr>
                <w:rFonts w:ascii="CAIXA Std Book" w:hAnsi="CAIXA Std Book" w:cs="Arial"/>
                <w:color w:val="005CA9"/>
                <w:sz w:val="16"/>
                <w:szCs w:val="16"/>
              </w:rPr>
              <w:t>61 a 90 dias</w:t>
            </w:r>
          </w:p>
        </w:tc>
        <w:tc>
          <w:tcPr>
            <w:tcW w:w="388" w:type="pct"/>
            <w:tcBorders>
              <w:top w:val="nil"/>
              <w:left w:val="nil"/>
              <w:bottom w:val="nil"/>
              <w:right w:val="nil"/>
            </w:tcBorders>
            <w:shd w:val="clear" w:color="auto" w:fill="auto"/>
            <w:noWrap/>
            <w:vAlign w:val="center"/>
          </w:tcPr>
          <w:p w14:paraId="57DFBFE4" w14:textId="266669F6"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6.529.310</w:t>
            </w:r>
          </w:p>
        </w:tc>
        <w:tc>
          <w:tcPr>
            <w:tcW w:w="387" w:type="pct"/>
            <w:tcBorders>
              <w:top w:val="nil"/>
              <w:left w:val="nil"/>
              <w:bottom w:val="nil"/>
              <w:right w:val="nil"/>
            </w:tcBorders>
            <w:shd w:val="clear" w:color="auto" w:fill="auto"/>
            <w:noWrap/>
            <w:vAlign w:val="center"/>
          </w:tcPr>
          <w:p w14:paraId="3DD162F3" w14:textId="41FBC248" w:rsidR="00504B3F" w:rsidRPr="00E20D21" w:rsidRDefault="00504B3F" w:rsidP="00504B3F">
            <w:pPr>
              <w:ind w:hanging="211"/>
              <w:jc w:val="right"/>
              <w:rPr>
                <w:rFonts w:ascii="CAIXA Std Book" w:hAnsi="CAIXA Std Book"/>
                <w:color w:val="005CA9"/>
                <w:sz w:val="16"/>
                <w:szCs w:val="16"/>
              </w:rPr>
            </w:pPr>
            <w:r w:rsidRPr="00E20D21">
              <w:rPr>
                <w:rFonts w:ascii="CAIXA Std Book" w:hAnsi="CAIXA Std Book"/>
                <w:color w:val="005CA9"/>
                <w:sz w:val="16"/>
                <w:szCs w:val="16"/>
              </w:rPr>
              <w:t>3.753.940</w:t>
            </w:r>
          </w:p>
        </w:tc>
        <w:tc>
          <w:tcPr>
            <w:tcW w:w="388" w:type="pct"/>
            <w:tcBorders>
              <w:top w:val="nil"/>
              <w:left w:val="nil"/>
              <w:bottom w:val="nil"/>
              <w:right w:val="nil"/>
            </w:tcBorders>
            <w:shd w:val="clear" w:color="auto" w:fill="auto"/>
            <w:noWrap/>
            <w:vAlign w:val="center"/>
          </w:tcPr>
          <w:p w14:paraId="24CDD354" w14:textId="72591BAB"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3.113.039</w:t>
            </w:r>
          </w:p>
        </w:tc>
        <w:tc>
          <w:tcPr>
            <w:tcW w:w="388" w:type="pct"/>
            <w:tcBorders>
              <w:top w:val="nil"/>
              <w:left w:val="nil"/>
              <w:bottom w:val="nil"/>
              <w:right w:val="nil"/>
            </w:tcBorders>
            <w:shd w:val="clear" w:color="auto" w:fill="auto"/>
            <w:noWrap/>
            <w:vAlign w:val="center"/>
          </w:tcPr>
          <w:p w14:paraId="07310932" w14:textId="5F877551"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2.478.390</w:t>
            </w:r>
          </w:p>
        </w:tc>
        <w:tc>
          <w:tcPr>
            <w:tcW w:w="384" w:type="pct"/>
            <w:tcBorders>
              <w:top w:val="nil"/>
              <w:left w:val="nil"/>
              <w:bottom w:val="nil"/>
              <w:right w:val="nil"/>
            </w:tcBorders>
            <w:shd w:val="clear" w:color="auto" w:fill="auto"/>
            <w:noWrap/>
            <w:vAlign w:val="center"/>
          </w:tcPr>
          <w:p w14:paraId="7F3A882B" w14:textId="6AAC8A8D"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634.237</w:t>
            </w:r>
          </w:p>
        </w:tc>
        <w:tc>
          <w:tcPr>
            <w:tcW w:w="389" w:type="pct"/>
            <w:tcBorders>
              <w:top w:val="nil"/>
              <w:left w:val="nil"/>
              <w:bottom w:val="nil"/>
              <w:right w:val="nil"/>
            </w:tcBorders>
            <w:shd w:val="clear" w:color="auto" w:fill="auto"/>
            <w:noWrap/>
            <w:vAlign w:val="center"/>
          </w:tcPr>
          <w:p w14:paraId="0386E4FE" w14:textId="784C332A"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220.793</w:t>
            </w:r>
          </w:p>
        </w:tc>
        <w:tc>
          <w:tcPr>
            <w:tcW w:w="387" w:type="pct"/>
            <w:tcBorders>
              <w:top w:val="nil"/>
              <w:left w:val="nil"/>
              <w:bottom w:val="nil"/>
              <w:right w:val="nil"/>
            </w:tcBorders>
            <w:shd w:val="clear" w:color="auto" w:fill="auto"/>
            <w:noWrap/>
            <w:vAlign w:val="center"/>
          </w:tcPr>
          <w:p w14:paraId="690B920D" w14:textId="1E53BA56"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86.169</w:t>
            </w:r>
          </w:p>
        </w:tc>
        <w:tc>
          <w:tcPr>
            <w:tcW w:w="387" w:type="pct"/>
            <w:tcBorders>
              <w:top w:val="nil"/>
              <w:left w:val="nil"/>
              <w:bottom w:val="nil"/>
              <w:right w:val="nil"/>
            </w:tcBorders>
            <w:shd w:val="clear" w:color="auto" w:fill="auto"/>
            <w:noWrap/>
            <w:vAlign w:val="center"/>
          </w:tcPr>
          <w:p w14:paraId="7BEEFC3F" w14:textId="0D203443"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85.781</w:t>
            </w:r>
          </w:p>
        </w:tc>
        <w:tc>
          <w:tcPr>
            <w:tcW w:w="387" w:type="pct"/>
            <w:tcBorders>
              <w:top w:val="nil"/>
              <w:left w:val="nil"/>
              <w:bottom w:val="nil"/>
              <w:right w:val="nil"/>
            </w:tcBorders>
            <w:shd w:val="clear" w:color="auto" w:fill="auto"/>
            <w:noWrap/>
            <w:vAlign w:val="center"/>
          </w:tcPr>
          <w:p w14:paraId="1A5002F0" w14:textId="2781989A"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129.906</w:t>
            </w:r>
          </w:p>
        </w:tc>
        <w:tc>
          <w:tcPr>
            <w:tcW w:w="441" w:type="pct"/>
            <w:tcBorders>
              <w:top w:val="nil"/>
              <w:left w:val="nil"/>
              <w:bottom w:val="nil"/>
              <w:right w:val="nil"/>
            </w:tcBorders>
            <w:vAlign w:val="center"/>
          </w:tcPr>
          <w:p w14:paraId="0A8D6305" w14:textId="31C81082"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17.031.565</w:t>
            </w:r>
          </w:p>
        </w:tc>
        <w:tc>
          <w:tcPr>
            <w:tcW w:w="431" w:type="pct"/>
            <w:tcBorders>
              <w:top w:val="nil"/>
              <w:left w:val="nil"/>
              <w:bottom w:val="nil"/>
              <w:right w:val="nil"/>
            </w:tcBorders>
            <w:shd w:val="clear" w:color="auto" w:fill="auto"/>
            <w:noWrap/>
            <w:vAlign w:val="center"/>
          </w:tcPr>
          <w:p w14:paraId="6D1C6246" w14:textId="266A4085" w:rsidR="00504B3F" w:rsidRPr="00E20D21" w:rsidRDefault="00504B3F" w:rsidP="00504B3F">
            <w:pPr>
              <w:jc w:val="right"/>
              <w:rPr>
                <w:rFonts w:ascii="CAIXA Std Book" w:hAnsi="CAIXA Std Book" w:cs="Arial Unicode MS"/>
                <w:color w:val="005CA9"/>
                <w:sz w:val="16"/>
                <w:szCs w:val="16"/>
              </w:rPr>
            </w:pPr>
            <w:r w:rsidRPr="00E20D21">
              <w:rPr>
                <w:rFonts w:ascii="CAIXA Std Book" w:hAnsi="CAIXA Std Book"/>
                <w:color w:val="005CA9"/>
                <w:sz w:val="16"/>
                <w:szCs w:val="16"/>
              </w:rPr>
              <w:t>16.740.888</w:t>
            </w:r>
          </w:p>
        </w:tc>
      </w:tr>
      <w:tr w:rsidR="00504B3F" w:rsidRPr="00E20D21" w14:paraId="58391266" w14:textId="77777777" w:rsidTr="0064419B">
        <w:trPr>
          <w:trHeight w:val="255"/>
        </w:trPr>
        <w:tc>
          <w:tcPr>
            <w:tcW w:w="643" w:type="pct"/>
            <w:tcBorders>
              <w:top w:val="nil"/>
              <w:left w:val="nil"/>
              <w:bottom w:val="nil"/>
              <w:right w:val="nil"/>
            </w:tcBorders>
            <w:shd w:val="clear" w:color="auto" w:fill="auto"/>
            <w:noWrap/>
            <w:vAlign w:val="center"/>
            <w:hideMark/>
          </w:tcPr>
          <w:p w14:paraId="29241E89" w14:textId="77777777" w:rsidR="00504B3F" w:rsidRPr="00E20D21" w:rsidRDefault="00504B3F" w:rsidP="00504B3F">
            <w:pPr>
              <w:rPr>
                <w:rFonts w:ascii="CAIXA Std Book" w:hAnsi="CAIXA Std Book"/>
                <w:color w:val="005CA9"/>
                <w:sz w:val="16"/>
                <w:szCs w:val="16"/>
              </w:rPr>
            </w:pPr>
            <w:r w:rsidRPr="00E20D21">
              <w:rPr>
                <w:rFonts w:ascii="CAIXA Std Book" w:hAnsi="CAIXA Std Book" w:cs="Arial"/>
                <w:color w:val="005CA9"/>
                <w:sz w:val="16"/>
                <w:szCs w:val="16"/>
              </w:rPr>
              <w:t>91 a 180 dias</w:t>
            </w:r>
          </w:p>
        </w:tc>
        <w:tc>
          <w:tcPr>
            <w:tcW w:w="388" w:type="pct"/>
            <w:tcBorders>
              <w:top w:val="nil"/>
              <w:left w:val="nil"/>
              <w:bottom w:val="nil"/>
              <w:right w:val="nil"/>
            </w:tcBorders>
            <w:shd w:val="clear" w:color="auto" w:fill="auto"/>
            <w:noWrap/>
            <w:vAlign w:val="center"/>
          </w:tcPr>
          <w:p w14:paraId="69B44150" w14:textId="632E066B"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18.047.171</w:t>
            </w:r>
          </w:p>
        </w:tc>
        <w:tc>
          <w:tcPr>
            <w:tcW w:w="387" w:type="pct"/>
            <w:tcBorders>
              <w:top w:val="nil"/>
              <w:left w:val="nil"/>
              <w:bottom w:val="nil"/>
              <w:right w:val="nil"/>
            </w:tcBorders>
            <w:shd w:val="clear" w:color="auto" w:fill="auto"/>
            <w:noWrap/>
            <w:vAlign w:val="center"/>
          </w:tcPr>
          <w:p w14:paraId="433A8835" w14:textId="77B923BD" w:rsidR="00504B3F" w:rsidRPr="00E20D21" w:rsidRDefault="00504B3F" w:rsidP="00504B3F">
            <w:pPr>
              <w:ind w:hanging="211"/>
              <w:jc w:val="right"/>
              <w:rPr>
                <w:rFonts w:ascii="CAIXA Std Book" w:hAnsi="CAIXA Std Book"/>
                <w:color w:val="005CA9"/>
                <w:sz w:val="16"/>
                <w:szCs w:val="16"/>
              </w:rPr>
            </w:pPr>
            <w:r w:rsidRPr="00E20D21">
              <w:rPr>
                <w:rFonts w:ascii="CAIXA Std Book" w:hAnsi="CAIXA Std Book"/>
                <w:color w:val="005CA9"/>
                <w:sz w:val="16"/>
                <w:szCs w:val="16"/>
              </w:rPr>
              <w:t>8.633.957</w:t>
            </w:r>
          </w:p>
        </w:tc>
        <w:tc>
          <w:tcPr>
            <w:tcW w:w="388" w:type="pct"/>
            <w:tcBorders>
              <w:top w:val="nil"/>
              <w:left w:val="nil"/>
              <w:bottom w:val="nil"/>
              <w:right w:val="nil"/>
            </w:tcBorders>
            <w:shd w:val="clear" w:color="auto" w:fill="auto"/>
            <w:noWrap/>
            <w:vAlign w:val="center"/>
          </w:tcPr>
          <w:p w14:paraId="3788338B" w14:textId="149D06F1"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8.520.478</w:t>
            </w:r>
          </w:p>
        </w:tc>
        <w:tc>
          <w:tcPr>
            <w:tcW w:w="388" w:type="pct"/>
            <w:tcBorders>
              <w:top w:val="nil"/>
              <w:left w:val="nil"/>
              <w:bottom w:val="nil"/>
              <w:right w:val="nil"/>
            </w:tcBorders>
            <w:shd w:val="clear" w:color="auto" w:fill="auto"/>
            <w:noWrap/>
            <w:vAlign w:val="center"/>
          </w:tcPr>
          <w:p w14:paraId="7F2E309C" w14:textId="67201A00"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5.979.580</w:t>
            </w:r>
          </w:p>
        </w:tc>
        <w:tc>
          <w:tcPr>
            <w:tcW w:w="384" w:type="pct"/>
            <w:tcBorders>
              <w:top w:val="nil"/>
              <w:left w:val="nil"/>
              <w:bottom w:val="nil"/>
              <w:right w:val="nil"/>
            </w:tcBorders>
            <w:shd w:val="clear" w:color="auto" w:fill="auto"/>
            <w:noWrap/>
            <w:vAlign w:val="center"/>
          </w:tcPr>
          <w:p w14:paraId="2A0BDE10" w14:textId="559252A8"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1.547.200</w:t>
            </w:r>
          </w:p>
        </w:tc>
        <w:tc>
          <w:tcPr>
            <w:tcW w:w="389" w:type="pct"/>
            <w:tcBorders>
              <w:top w:val="nil"/>
              <w:left w:val="nil"/>
              <w:bottom w:val="nil"/>
              <w:right w:val="nil"/>
            </w:tcBorders>
            <w:shd w:val="clear" w:color="auto" w:fill="auto"/>
            <w:noWrap/>
            <w:vAlign w:val="center"/>
          </w:tcPr>
          <w:p w14:paraId="2452DC5D" w14:textId="6979DD02"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510.857</w:t>
            </w:r>
          </w:p>
        </w:tc>
        <w:tc>
          <w:tcPr>
            <w:tcW w:w="387" w:type="pct"/>
            <w:tcBorders>
              <w:top w:val="nil"/>
              <w:left w:val="nil"/>
              <w:bottom w:val="nil"/>
              <w:right w:val="nil"/>
            </w:tcBorders>
            <w:shd w:val="clear" w:color="auto" w:fill="auto"/>
            <w:noWrap/>
            <w:vAlign w:val="center"/>
          </w:tcPr>
          <w:p w14:paraId="19DC9961" w14:textId="032077BD"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228.905</w:t>
            </w:r>
          </w:p>
        </w:tc>
        <w:tc>
          <w:tcPr>
            <w:tcW w:w="387" w:type="pct"/>
            <w:tcBorders>
              <w:top w:val="nil"/>
              <w:left w:val="nil"/>
              <w:bottom w:val="nil"/>
              <w:right w:val="nil"/>
            </w:tcBorders>
            <w:shd w:val="clear" w:color="auto" w:fill="auto"/>
            <w:noWrap/>
            <w:vAlign w:val="center"/>
          </w:tcPr>
          <w:p w14:paraId="3EF4DD8E" w14:textId="0F9E3141"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256.882</w:t>
            </w:r>
          </w:p>
        </w:tc>
        <w:tc>
          <w:tcPr>
            <w:tcW w:w="387" w:type="pct"/>
            <w:tcBorders>
              <w:top w:val="nil"/>
              <w:left w:val="nil"/>
              <w:bottom w:val="nil"/>
              <w:right w:val="nil"/>
            </w:tcBorders>
            <w:shd w:val="clear" w:color="auto" w:fill="auto"/>
            <w:noWrap/>
            <w:vAlign w:val="center"/>
          </w:tcPr>
          <w:p w14:paraId="52E456B8" w14:textId="42D448CE"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315.853</w:t>
            </w:r>
          </w:p>
        </w:tc>
        <w:tc>
          <w:tcPr>
            <w:tcW w:w="441" w:type="pct"/>
            <w:tcBorders>
              <w:top w:val="nil"/>
              <w:left w:val="nil"/>
              <w:bottom w:val="nil"/>
              <w:right w:val="nil"/>
            </w:tcBorders>
            <w:vAlign w:val="center"/>
          </w:tcPr>
          <w:p w14:paraId="1CDFAB49" w14:textId="64F9EE89"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44.040.883</w:t>
            </w:r>
          </w:p>
        </w:tc>
        <w:tc>
          <w:tcPr>
            <w:tcW w:w="431" w:type="pct"/>
            <w:tcBorders>
              <w:top w:val="nil"/>
              <w:left w:val="nil"/>
              <w:bottom w:val="nil"/>
              <w:right w:val="nil"/>
            </w:tcBorders>
            <w:shd w:val="clear" w:color="auto" w:fill="auto"/>
            <w:noWrap/>
            <w:vAlign w:val="center"/>
          </w:tcPr>
          <w:p w14:paraId="4BBACC36" w14:textId="5539EC95" w:rsidR="00504B3F" w:rsidRPr="00E20D21" w:rsidRDefault="00504B3F" w:rsidP="00504B3F">
            <w:pPr>
              <w:jc w:val="right"/>
              <w:rPr>
                <w:rFonts w:ascii="CAIXA Std Book" w:hAnsi="CAIXA Std Book" w:cs="Arial Unicode MS"/>
                <w:color w:val="005CA9"/>
                <w:sz w:val="16"/>
                <w:szCs w:val="16"/>
              </w:rPr>
            </w:pPr>
            <w:r w:rsidRPr="00E20D21">
              <w:rPr>
                <w:rFonts w:ascii="CAIXA Std Book" w:hAnsi="CAIXA Std Book"/>
                <w:color w:val="005CA9"/>
                <w:sz w:val="16"/>
                <w:szCs w:val="16"/>
              </w:rPr>
              <w:t>48.209.753</w:t>
            </w:r>
          </w:p>
        </w:tc>
      </w:tr>
      <w:tr w:rsidR="00504B3F" w:rsidRPr="00E20D21" w14:paraId="54C32667" w14:textId="77777777" w:rsidTr="0064419B">
        <w:trPr>
          <w:trHeight w:val="255"/>
        </w:trPr>
        <w:tc>
          <w:tcPr>
            <w:tcW w:w="643" w:type="pct"/>
            <w:tcBorders>
              <w:top w:val="nil"/>
              <w:left w:val="nil"/>
              <w:bottom w:val="nil"/>
              <w:right w:val="nil"/>
            </w:tcBorders>
            <w:shd w:val="clear" w:color="auto" w:fill="auto"/>
            <w:noWrap/>
            <w:vAlign w:val="center"/>
            <w:hideMark/>
          </w:tcPr>
          <w:p w14:paraId="2083CAA4" w14:textId="77777777" w:rsidR="00504B3F" w:rsidRPr="00E20D21" w:rsidRDefault="00504B3F" w:rsidP="00504B3F">
            <w:pPr>
              <w:rPr>
                <w:rFonts w:ascii="CAIXA Std Book" w:hAnsi="CAIXA Std Book"/>
                <w:color w:val="005CA9"/>
                <w:sz w:val="16"/>
                <w:szCs w:val="16"/>
              </w:rPr>
            </w:pPr>
            <w:r w:rsidRPr="00E20D21">
              <w:rPr>
                <w:rFonts w:ascii="CAIXA Std Book" w:hAnsi="CAIXA Std Book" w:cs="Arial"/>
                <w:color w:val="005CA9"/>
                <w:sz w:val="16"/>
                <w:szCs w:val="16"/>
              </w:rPr>
              <w:t>181 a 360 dias</w:t>
            </w:r>
          </w:p>
        </w:tc>
        <w:tc>
          <w:tcPr>
            <w:tcW w:w="388" w:type="pct"/>
            <w:tcBorders>
              <w:top w:val="nil"/>
              <w:left w:val="nil"/>
              <w:bottom w:val="nil"/>
              <w:right w:val="nil"/>
            </w:tcBorders>
            <w:shd w:val="clear" w:color="auto" w:fill="auto"/>
            <w:noWrap/>
            <w:vAlign w:val="center"/>
          </w:tcPr>
          <w:p w14:paraId="7B01CB85" w14:textId="6340E698"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34.366.929</w:t>
            </w:r>
          </w:p>
        </w:tc>
        <w:tc>
          <w:tcPr>
            <w:tcW w:w="387" w:type="pct"/>
            <w:tcBorders>
              <w:top w:val="nil"/>
              <w:left w:val="nil"/>
              <w:bottom w:val="nil"/>
              <w:right w:val="nil"/>
            </w:tcBorders>
            <w:shd w:val="clear" w:color="auto" w:fill="auto"/>
            <w:noWrap/>
            <w:vAlign w:val="center"/>
          </w:tcPr>
          <w:p w14:paraId="0EE99445" w14:textId="4BDB337A" w:rsidR="00504B3F" w:rsidRPr="00E20D21" w:rsidRDefault="00504B3F" w:rsidP="00504B3F">
            <w:pPr>
              <w:ind w:hanging="211"/>
              <w:jc w:val="right"/>
              <w:rPr>
                <w:rFonts w:ascii="CAIXA Std Book" w:hAnsi="CAIXA Std Book"/>
                <w:color w:val="005CA9"/>
                <w:sz w:val="16"/>
                <w:szCs w:val="16"/>
              </w:rPr>
            </w:pPr>
            <w:r w:rsidRPr="00E20D21">
              <w:rPr>
                <w:rFonts w:ascii="CAIXA Std Book" w:hAnsi="CAIXA Std Book"/>
                <w:color w:val="005CA9"/>
                <w:sz w:val="16"/>
                <w:szCs w:val="16"/>
              </w:rPr>
              <w:t>15.721.014</w:t>
            </w:r>
          </w:p>
        </w:tc>
        <w:tc>
          <w:tcPr>
            <w:tcW w:w="388" w:type="pct"/>
            <w:tcBorders>
              <w:top w:val="nil"/>
              <w:left w:val="nil"/>
              <w:bottom w:val="nil"/>
              <w:right w:val="nil"/>
            </w:tcBorders>
            <w:shd w:val="clear" w:color="auto" w:fill="auto"/>
            <w:noWrap/>
            <w:vAlign w:val="center"/>
          </w:tcPr>
          <w:p w14:paraId="31E9E4B9" w14:textId="3352BC7E"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16.964.674</w:t>
            </w:r>
          </w:p>
        </w:tc>
        <w:tc>
          <w:tcPr>
            <w:tcW w:w="388" w:type="pct"/>
            <w:tcBorders>
              <w:top w:val="nil"/>
              <w:left w:val="nil"/>
              <w:bottom w:val="nil"/>
              <w:right w:val="nil"/>
            </w:tcBorders>
            <w:shd w:val="clear" w:color="auto" w:fill="auto"/>
            <w:noWrap/>
            <w:vAlign w:val="center"/>
          </w:tcPr>
          <w:p w14:paraId="74F855E2" w14:textId="0815FA34"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10.178.574</w:t>
            </w:r>
          </w:p>
        </w:tc>
        <w:tc>
          <w:tcPr>
            <w:tcW w:w="384" w:type="pct"/>
            <w:tcBorders>
              <w:top w:val="nil"/>
              <w:left w:val="nil"/>
              <w:bottom w:val="nil"/>
              <w:right w:val="nil"/>
            </w:tcBorders>
            <w:shd w:val="clear" w:color="auto" w:fill="auto"/>
            <w:noWrap/>
            <w:vAlign w:val="center"/>
          </w:tcPr>
          <w:p w14:paraId="7603C6A5" w14:textId="4E2C5ADB"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2.279.294</w:t>
            </w:r>
          </w:p>
        </w:tc>
        <w:tc>
          <w:tcPr>
            <w:tcW w:w="389" w:type="pct"/>
            <w:tcBorders>
              <w:top w:val="nil"/>
              <w:left w:val="nil"/>
              <w:bottom w:val="nil"/>
              <w:right w:val="nil"/>
            </w:tcBorders>
            <w:shd w:val="clear" w:color="auto" w:fill="auto"/>
            <w:noWrap/>
            <w:vAlign w:val="center"/>
          </w:tcPr>
          <w:p w14:paraId="09E8986A" w14:textId="16A665B8"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824.542</w:t>
            </w:r>
          </w:p>
        </w:tc>
        <w:tc>
          <w:tcPr>
            <w:tcW w:w="387" w:type="pct"/>
            <w:tcBorders>
              <w:top w:val="nil"/>
              <w:left w:val="nil"/>
              <w:bottom w:val="nil"/>
              <w:right w:val="nil"/>
            </w:tcBorders>
            <w:shd w:val="clear" w:color="auto" w:fill="auto"/>
            <w:noWrap/>
            <w:vAlign w:val="center"/>
          </w:tcPr>
          <w:p w14:paraId="3B2BC059" w14:textId="0898F560"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388.173</w:t>
            </w:r>
          </w:p>
        </w:tc>
        <w:tc>
          <w:tcPr>
            <w:tcW w:w="387" w:type="pct"/>
            <w:tcBorders>
              <w:top w:val="nil"/>
              <w:left w:val="nil"/>
              <w:bottom w:val="nil"/>
              <w:right w:val="nil"/>
            </w:tcBorders>
            <w:shd w:val="clear" w:color="auto" w:fill="auto"/>
            <w:noWrap/>
            <w:vAlign w:val="center"/>
          </w:tcPr>
          <w:p w14:paraId="187EE5C2" w14:textId="6F0A19D2"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477.983</w:t>
            </w:r>
          </w:p>
        </w:tc>
        <w:tc>
          <w:tcPr>
            <w:tcW w:w="387" w:type="pct"/>
            <w:tcBorders>
              <w:top w:val="nil"/>
              <w:left w:val="nil"/>
              <w:bottom w:val="nil"/>
              <w:right w:val="nil"/>
            </w:tcBorders>
            <w:shd w:val="clear" w:color="auto" w:fill="auto"/>
            <w:noWrap/>
            <w:vAlign w:val="center"/>
          </w:tcPr>
          <w:p w14:paraId="57410BA2" w14:textId="718D8519"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467.245</w:t>
            </w:r>
          </w:p>
        </w:tc>
        <w:tc>
          <w:tcPr>
            <w:tcW w:w="441" w:type="pct"/>
            <w:tcBorders>
              <w:top w:val="nil"/>
              <w:left w:val="nil"/>
              <w:bottom w:val="nil"/>
              <w:right w:val="nil"/>
            </w:tcBorders>
            <w:vAlign w:val="center"/>
          </w:tcPr>
          <w:p w14:paraId="75681C9E" w14:textId="5D37FB01"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81.668.428</w:t>
            </w:r>
          </w:p>
        </w:tc>
        <w:tc>
          <w:tcPr>
            <w:tcW w:w="431" w:type="pct"/>
            <w:tcBorders>
              <w:top w:val="nil"/>
              <w:left w:val="nil"/>
              <w:bottom w:val="nil"/>
              <w:right w:val="nil"/>
            </w:tcBorders>
            <w:shd w:val="clear" w:color="auto" w:fill="auto"/>
            <w:noWrap/>
            <w:vAlign w:val="center"/>
          </w:tcPr>
          <w:p w14:paraId="361EC047" w14:textId="2A35E7CC" w:rsidR="00504B3F" w:rsidRPr="00E20D21" w:rsidRDefault="00504B3F" w:rsidP="00504B3F">
            <w:pPr>
              <w:jc w:val="right"/>
              <w:rPr>
                <w:rFonts w:ascii="CAIXA Std Book" w:hAnsi="CAIXA Std Book" w:cs="Arial Unicode MS"/>
                <w:color w:val="005CA9"/>
                <w:sz w:val="16"/>
                <w:szCs w:val="16"/>
              </w:rPr>
            </w:pPr>
            <w:r w:rsidRPr="00E20D21">
              <w:rPr>
                <w:rFonts w:ascii="CAIXA Std Book" w:hAnsi="CAIXA Std Book"/>
                <w:color w:val="005CA9"/>
                <w:sz w:val="16"/>
                <w:szCs w:val="16"/>
              </w:rPr>
              <w:t>78.715.001</w:t>
            </w:r>
          </w:p>
        </w:tc>
      </w:tr>
      <w:tr w:rsidR="00504B3F" w:rsidRPr="00E20D21" w14:paraId="08ED75A2" w14:textId="77777777" w:rsidTr="0064419B">
        <w:trPr>
          <w:trHeight w:val="255"/>
        </w:trPr>
        <w:tc>
          <w:tcPr>
            <w:tcW w:w="643" w:type="pct"/>
            <w:tcBorders>
              <w:top w:val="nil"/>
              <w:left w:val="nil"/>
              <w:bottom w:val="nil"/>
              <w:right w:val="nil"/>
            </w:tcBorders>
            <w:shd w:val="clear" w:color="auto" w:fill="auto"/>
            <w:noWrap/>
            <w:vAlign w:val="center"/>
            <w:hideMark/>
          </w:tcPr>
          <w:p w14:paraId="5DA5299D" w14:textId="77777777" w:rsidR="00504B3F" w:rsidRPr="00E20D21" w:rsidRDefault="00504B3F" w:rsidP="00504B3F">
            <w:pPr>
              <w:rPr>
                <w:rFonts w:ascii="CAIXA Std Book" w:hAnsi="CAIXA Std Book"/>
                <w:color w:val="005CA9"/>
                <w:sz w:val="16"/>
                <w:szCs w:val="16"/>
              </w:rPr>
            </w:pPr>
            <w:r w:rsidRPr="00E20D21">
              <w:rPr>
                <w:rFonts w:ascii="CAIXA Std Book" w:hAnsi="CAIXA Std Book" w:cs="Arial"/>
                <w:color w:val="005CA9"/>
                <w:sz w:val="16"/>
                <w:szCs w:val="16"/>
              </w:rPr>
              <w:t>Acima de 360 dias</w:t>
            </w:r>
          </w:p>
        </w:tc>
        <w:tc>
          <w:tcPr>
            <w:tcW w:w="388" w:type="pct"/>
            <w:tcBorders>
              <w:top w:val="nil"/>
              <w:left w:val="nil"/>
              <w:bottom w:val="nil"/>
              <w:right w:val="nil"/>
            </w:tcBorders>
            <w:shd w:val="clear" w:color="auto" w:fill="auto"/>
            <w:noWrap/>
            <w:vAlign w:val="center"/>
          </w:tcPr>
          <w:p w14:paraId="243A50F7" w14:textId="47A536FF"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511.248.988</w:t>
            </w:r>
          </w:p>
        </w:tc>
        <w:tc>
          <w:tcPr>
            <w:tcW w:w="387" w:type="pct"/>
            <w:tcBorders>
              <w:top w:val="nil"/>
              <w:left w:val="nil"/>
              <w:bottom w:val="nil"/>
              <w:right w:val="nil"/>
            </w:tcBorders>
            <w:shd w:val="clear" w:color="auto" w:fill="auto"/>
            <w:noWrap/>
            <w:vAlign w:val="center"/>
          </w:tcPr>
          <w:p w14:paraId="6C40E0E7" w14:textId="283BA21D" w:rsidR="00504B3F" w:rsidRPr="00E20D21" w:rsidRDefault="00504B3F" w:rsidP="00504B3F">
            <w:pPr>
              <w:ind w:hanging="211"/>
              <w:jc w:val="right"/>
              <w:rPr>
                <w:rFonts w:ascii="CAIXA Std Book" w:hAnsi="CAIXA Std Book"/>
                <w:color w:val="005CA9"/>
                <w:sz w:val="16"/>
                <w:szCs w:val="16"/>
              </w:rPr>
            </w:pPr>
            <w:r w:rsidRPr="00E20D21">
              <w:rPr>
                <w:rFonts w:ascii="CAIXA Std Book" w:hAnsi="CAIXA Std Book"/>
                <w:color w:val="005CA9"/>
                <w:sz w:val="16"/>
                <w:szCs w:val="16"/>
              </w:rPr>
              <w:t>134.132.650</w:t>
            </w:r>
          </w:p>
        </w:tc>
        <w:tc>
          <w:tcPr>
            <w:tcW w:w="388" w:type="pct"/>
            <w:tcBorders>
              <w:top w:val="nil"/>
              <w:left w:val="nil"/>
              <w:bottom w:val="nil"/>
              <w:right w:val="nil"/>
            </w:tcBorders>
            <w:shd w:val="clear" w:color="auto" w:fill="auto"/>
            <w:noWrap/>
            <w:vAlign w:val="center"/>
          </w:tcPr>
          <w:p w14:paraId="10010192" w14:textId="12C70556"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141.259.301</w:t>
            </w:r>
          </w:p>
        </w:tc>
        <w:tc>
          <w:tcPr>
            <w:tcW w:w="388" w:type="pct"/>
            <w:tcBorders>
              <w:top w:val="nil"/>
              <w:left w:val="nil"/>
              <w:bottom w:val="nil"/>
              <w:right w:val="nil"/>
            </w:tcBorders>
            <w:shd w:val="clear" w:color="auto" w:fill="auto"/>
            <w:noWrap/>
            <w:vAlign w:val="center"/>
          </w:tcPr>
          <w:p w14:paraId="11A5F710" w14:textId="03FA9D43"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79.368.49</w:t>
            </w:r>
            <w:r w:rsidR="00A86469" w:rsidRPr="00E20D21">
              <w:rPr>
                <w:rFonts w:ascii="CAIXA Std Book" w:hAnsi="CAIXA Std Book"/>
                <w:color w:val="005CA9"/>
                <w:sz w:val="16"/>
                <w:szCs w:val="16"/>
              </w:rPr>
              <w:t>8</w:t>
            </w:r>
          </w:p>
        </w:tc>
        <w:tc>
          <w:tcPr>
            <w:tcW w:w="384" w:type="pct"/>
            <w:tcBorders>
              <w:top w:val="nil"/>
              <w:left w:val="nil"/>
              <w:bottom w:val="nil"/>
              <w:right w:val="nil"/>
            </w:tcBorders>
            <w:shd w:val="clear" w:color="auto" w:fill="auto"/>
            <w:noWrap/>
            <w:vAlign w:val="center"/>
          </w:tcPr>
          <w:p w14:paraId="2703DD0F" w14:textId="26054287"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10.986.246</w:t>
            </w:r>
          </w:p>
        </w:tc>
        <w:tc>
          <w:tcPr>
            <w:tcW w:w="389" w:type="pct"/>
            <w:tcBorders>
              <w:top w:val="nil"/>
              <w:left w:val="nil"/>
              <w:bottom w:val="nil"/>
              <w:right w:val="nil"/>
            </w:tcBorders>
            <w:shd w:val="clear" w:color="auto" w:fill="auto"/>
            <w:noWrap/>
            <w:vAlign w:val="center"/>
          </w:tcPr>
          <w:p w14:paraId="5A443D6C" w14:textId="32D6067E"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4.647.251</w:t>
            </w:r>
          </w:p>
        </w:tc>
        <w:tc>
          <w:tcPr>
            <w:tcW w:w="387" w:type="pct"/>
            <w:tcBorders>
              <w:top w:val="nil"/>
              <w:left w:val="nil"/>
              <w:bottom w:val="nil"/>
              <w:right w:val="nil"/>
            </w:tcBorders>
            <w:shd w:val="clear" w:color="auto" w:fill="auto"/>
            <w:noWrap/>
            <w:vAlign w:val="center"/>
          </w:tcPr>
          <w:p w14:paraId="06F54230" w14:textId="57C3D442"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1.893.921</w:t>
            </w:r>
          </w:p>
        </w:tc>
        <w:tc>
          <w:tcPr>
            <w:tcW w:w="387" w:type="pct"/>
            <w:tcBorders>
              <w:top w:val="nil"/>
              <w:left w:val="nil"/>
              <w:bottom w:val="nil"/>
              <w:right w:val="nil"/>
            </w:tcBorders>
            <w:shd w:val="clear" w:color="auto" w:fill="auto"/>
            <w:noWrap/>
            <w:vAlign w:val="center"/>
          </w:tcPr>
          <w:p w14:paraId="09F8D8C6" w14:textId="0EB2C291"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7.538.824</w:t>
            </w:r>
          </w:p>
        </w:tc>
        <w:tc>
          <w:tcPr>
            <w:tcW w:w="387" w:type="pct"/>
            <w:tcBorders>
              <w:top w:val="nil"/>
              <w:left w:val="nil"/>
              <w:bottom w:val="nil"/>
              <w:right w:val="nil"/>
            </w:tcBorders>
            <w:shd w:val="clear" w:color="auto" w:fill="auto"/>
            <w:noWrap/>
            <w:vAlign w:val="center"/>
          </w:tcPr>
          <w:p w14:paraId="2AA0D349" w14:textId="7ADEFF4D"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3.546.370</w:t>
            </w:r>
          </w:p>
        </w:tc>
        <w:tc>
          <w:tcPr>
            <w:tcW w:w="441" w:type="pct"/>
            <w:tcBorders>
              <w:top w:val="nil"/>
              <w:left w:val="nil"/>
              <w:bottom w:val="nil"/>
              <w:right w:val="nil"/>
            </w:tcBorders>
            <w:vAlign w:val="center"/>
          </w:tcPr>
          <w:p w14:paraId="76D66990" w14:textId="4AFB813C" w:rsidR="00504B3F" w:rsidRPr="00E20D21" w:rsidRDefault="00504B3F" w:rsidP="00504B3F">
            <w:pPr>
              <w:jc w:val="right"/>
              <w:rPr>
                <w:rFonts w:ascii="CAIXA Std Book" w:hAnsi="CAIXA Std Book"/>
                <w:color w:val="005CA9"/>
                <w:sz w:val="16"/>
                <w:szCs w:val="16"/>
              </w:rPr>
            </w:pPr>
            <w:r w:rsidRPr="00E20D21">
              <w:rPr>
                <w:rFonts w:ascii="CAIXA Std Book" w:hAnsi="CAIXA Std Book"/>
                <w:color w:val="005CA9"/>
                <w:sz w:val="16"/>
                <w:szCs w:val="16"/>
              </w:rPr>
              <w:t>894.622.0</w:t>
            </w:r>
            <w:r w:rsidR="008C63E8" w:rsidRPr="00E20D21">
              <w:rPr>
                <w:rFonts w:ascii="CAIXA Std Book" w:hAnsi="CAIXA Std Book"/>
                <w:color w:val="005CA9"/>
                <w:sz w:val="16"/>
                <w:szCs w:val="16"/>
              </w:rPr>
              <w:t>49</w:t>
            </w:r>
          </w:p>
        </w:tc>
        <w:tc>
          <w:tcPr>
            <w:tcW w:w="431" w:type="pct"/>
            <w:tcBorders>
              <w:top w:val="nil"/>
              <w:left w:val="nil"/>
              <w:bottom w:val="nil"/>
              <w:right w:val="nil"/>
            </w:tcBorders>
            <w:shd w:val="clear" w:color="auto" w:fill="auto"/>
            <w:noWrap/>
            <w:vAlign w:val="center"/>
          </w:tcPr>
          <w:p w14:paraId="1A9CB58C" w14:textId="710A4483" w:rsidR="00504B3F" w:rsidRPr="00E20D21" w:rsidRDefault="00504B3F" w:rsidP="00504B3F">
            <w:pPr>
              <w:jc w:val="right"/>
              <w:rPr>
                <w:rFonts w:ascii="CAIXA Std Book" w:hAnsi="CAIXA Std Book" w:cs="Arial Unicode MS"/>
                <w:color w:val="005CA9"/>
                <w:sz w:val="16"/>
                <w:szCs w:val="16"/>
              </w:rPr>
            </w:pPr>
            <w:r w:rsidRPr="00E20D21">
              <w:rPr>
                <w:rFonts w:ascii="CAIXA Std Book" w:hAnsi="CAIXA Std Book"/>
                <w:color w:val="005CA9"/>
                <w:sz w:val="16"/>
                <w:szCs w:val="16"/>
              </w:rPr>
              <w:t>847.338.036</w:t>
            </w:r>
          </w:p>
        </w:tc>
      </w:tr>
      <w:tr w:rsidR="007B1273" w:rsidRPr="00E20D21" w14:paraId="58343106" w14:textId="77777777" w:rsidTr="0064419B">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18C67D0E" w14:textId="77777777" w:rsidR="007B1273" w:rsidRPr="00E20D21" w:rsidRDefault="007B1273" w:rsidP="007B1273">
            <w:pPr>
              <w:rPr>
                <w:rFonts w:ascii="CAIXA Std Book" w:hAnsi="CAIXA Std Book"/>
                <w:b/>
                <w:color w:val="005CA9"/>
                <w:sz w:val="16"/>
                <w:szCs w:val="16"/>
              </w:rPr>
            </w:pPr>
            <w:r w:rsidRPr="00E20D21">
              <w:rPr>
                <w:rFonts w:ascii="CAIXA Std Book" w:hAnsi="CAIXA Std Book" w:cs="Arial"/>
                <w:b/>
                <w:color w:val="005CA9"/>
                <w:sz w:val="16"/>
                <w:szCs w:val="16"/>
              </w:rPr>
              <w:t>Parcelas vencidas</w:t>
            </w:r>
          </w:p>
        </w:tc>
        <w:tc>
          <w:tcPr>
            <w:tcW w:w="388" w:type="pct"/>
            <w:tcBorders>
              <w:top w:val="single" w:sz="4" w:space="0" w:color="F39200"/>
              <w:left w:val="nil"/>
              <w:bottom w:val="single" w:sz="4" w:space="0" w:color="F39200"/>
              <w:right w:val="nil"/>
            </w:tcBorders>
            <w:shd w:val="clear" w:color="auto" w:fill="auto"/>
            <w:noWrap/>
            <w:vAlign w:val="center"/>
          </w:tcPr>
          <w:p w14:paraId="11B83437" w14:textId="19CF270E" w:rsidR="007B1273" w:rsidRPr="00E20D21" w:rsidRDefault="007B1273" w:rsidP="007B1273">
            <w:pPr>
              <w:jc w:val="right"/>
              <w:rPr>
                <w:rFonts w:ascii="CAIXA Std Book" w:hAnsi="CAIXA Std Book"/>
                <w:b/>
                <w:color w:val="005CA9"/>
                <w:sz w:val="16"/>
                <w:szCs w:val="16"/>
              </w:rPr>
            </w:pPr>
            <w:r w:rsidRPr="00E20D21">
              <w:rPr>
                <w:rFonts w:ascii="CAIXA Std Book" w:hAnsi="CAIXA Std Book" w:cs="Arial"/>
                <w:b/>
                <w:bCs/>
                <w:color w:val="005CA9"/>
                <w:sz w:val="16"/>
                <w:szCs w:val="16"/>
              </w:rPr>
              <w:t>91.956</w:t>
            </w:r>
          </w:p>
        </w:tc>
        <w:tc>
          <w:tcPr>
            <w:tcW w:w="387" w:type="pct"/>
            <w:tcBorders>
              <w:top w:val="single" w:sz="4" w:space="0" w:color="F39200"/>
              <w:left w:val="nil"/>
              <w:bottom w:val="single" w:sz="4" w:space="0" w:color="F39200"/>
              <w:right w:val="nil"/>
            </w:tcBorders>
            <w:shd w:val="clear" w:color="auto" w:fill="auto"/>
            <w:noWrap/>
            <w:vAlign w:val="center"/>
          </w:tcPr>
          <w:p w14:paraId="62B7E94F" w14:textId="3B1A14A2" w:rsidR="007B1273" w:rsidRPr="00E20D21" w:rsidRDefault="007B1273" w:rsidP="007B1273">
            <w:pPr>
              <w:ind w:hanging="211"/>
              <w:jc w:val="right"/>
              <w:rPr>
                <w:rFonts w:ascii="CAIXA Std Book" w:hAnsi="CAIXA Std Book"/>
                <w:b/>
                <w:color w:val="005CA9"/>
                <w:sz w:val="16"/>
                <w:szCs w:val="16"/>
              </w:rPr>
            </w:pPr>
            <w:r w:rsidRPr="00E20D21">
              <w:rPr>
                <w:rFonts w:ascii="CAIXA Std Book" w:hAnsi="CAIXA Std Book" w:cs="Arial"/>
                <w:b/>
                <w:bCs/>
                <w:color w:val="005CA9"/>
                <w:sz w:val="16"/>
                <w:szCs w:val="16"/>
              </w:rPr>
              <w:t>198.466</w:t>
            </w:r>
          </w:p>
        </w:tc>
        <w:tc>
          <w:tcPr>
            <w:tcW w:w="388" w:type="pct"/>
            <w:tcBorders>
              <w:top w:val="single" w:sz="4" w:space="0" w:color="F39200"/>
              <w:left w:val="nil"/>
              <w:bottom w:val="single" w:sz="4" w:space="0" w:color="F39200"/>
              <w:right w:val="nil"/>
            </w:tcBorders>
            <w:shd w:val="clear" w:color="auto" w:fill="auto"/>
            <w:noWrap/>
            <w:vAlign w:val="center"/>
          </w:tcPr>
          <w:p w14:paraId="447E78E8" w14:textId="72966ECE" w:rsidR="007B1273" w:rsidRPr="00E20D21" w:rsidRDefault="007B1273" w:rsidP="007B1273">
            <w:pPr>
              <w:jc w:val="right"/>
              <w:rPr>
                <w:rFonts w:ascii="CAIXA Std Book" w:hAnsi="CAIXA Std Book"/>
                <w:b/>
                <w:color w:val="005CA9"/>
                <w:sz w:val="16"/>
                <w:szCs w:val="16"/>
              </w:rPr>
            </w:pPr>
            <w:r w:rsidRPr="00E20D21">
              <w:rPr>
                <w:rFonts w:ascii="CAIXA Std Book" w:hAnsi="CAIXA Std Book" w:cs="Arial"/>
                <w:b/>
                <w:bCs/>
                <w:color w:val="005CA9"/>
                <w:sz w:val="16"/>
                <w:szCs w:val="16"/>
              </w:rPr>
              <w:t>229.592</w:t>
            </w:r>
          </w:p>
        </w:tc>
        <w:tc>
          <w:tcPr>
            <w:tcW w:w="388" w:type="pct"/>
            <w:tcBorders>
              <w:top w:val="single" w:sz="4" w:space="0" w:color="F39200"/>
              <w:left w:val="nil"/>
              <w:bottom w:val="single" w:sz="4" w:space="0" w:color="F39200"/>
              <w:right w:val="nil"/>
            </w:tcBorders>
            <w:shd w:val="clear" w:color="auto" w:fill="auto"/>
            <w:noWrap/>
            <w:vAlign w:val="center"/>
          </w:tcPr>
          <w:p w14:paraId="42F123C3" w14:textId="1025BA84" w:rsidR="007B1273" w:rsidRPr="00E20D21" w:rsidRDefault="007B1273" w:rsidP="007B1273">
            <w:pPr>
              <w:jc w:val="right"/>
              <w:rPr>
                <w:rFonts w:ascii="CAIXA Std Book" w:hAnsi="CAIXA Std Book"/>
                <w:b/>
                <w:color w:val="005CA9"/>
                <w:sz w:val="16"/>
                <w:szCs w:val="16"/>
              </w:rPr>
            </w:pPr>
            <w:r w:rsidRPr="00E20D21">
              <w:rPr>
                <w:rFonts w:ascii="CAIXA Std Book" w:hAnsi="CAIXA Std Book" w:cs="Arial"/>
                <w:b/>
                <w:bCs/>
                <w:color w:val="005CA9"/>
                <w:sz w:val="16"/>
                <w:szCs w:val="16"/>
              </w:rPr>
              <w:t>203.577</w:t>
            </w:r>
          </w:p>
        </w:tc>
        <w:tc>
          <w:tcPr>
            <w:tcW w:w="384" w:type="pct"/>
            <w:tcBorders>
              <w:top w:val="single" w:sz="4" w:space="0" w:color="F39200"/>
              <w:left w:val="nil"/>
              <w:bottom w:val="single" w:sz="4" w:space="0" w:color="F39200"/>
              <w:right w:val="nil"/>
            </w:tcBorders>
            <w:shd w:val="clear" w:color="auto" w:fill="auto"/>
            <w:noWrap/>
            <w:vAlign w:val="center"/>
          </w:tcPr>
          <w:p w14:paraId="37F5D49F" w14:textId="1271202A" w:rsidR="007B1273" w:rsidRPr="00E20D21" w:rsidRDefault="007B1273" w:rsidP="007B1273">
            <w:pPr>
              <w:jc w:val="right"/>
              <w:rPr>
                <w:rFonts w:ascii="CAIXA Std Book" w:hAnsi="CAIXA Std Book"/>
                <w:b/>
                <w:color w:val="005CA9"/>
                <w:sz w:val="16"/>
                <w:szCs w:val="16"/>
              </w:rPr>
            </w:pPr>
            <w:r w:rsidRPr="00E20D21">
              <w:rPr>
                <w:rFonts w:ascii="CAIXA Std Book" w:hAnsi="CAIXA Std Book" w:cs="Arial"/>
                <w:b/>
                <w:bCs/>
                <w:color w:val="005CA9"/>
                <w:sz w:val="16"/>
                <w:szCs w:val="16"/>
              </w:rPr>
              <w:t>62.105</w:t>
            </w:r>
          </w:p>
        </w:tc>
        <w:tc>
          <w:tcPr>
            <w:tcW w:w="389" w:type="pct"/>
            <w:tcBorders>
              <w:top w:val="single" w:sz="4" w:space="0" w:color="F39200"/>
              <w:left w:val="nil"/>
              <w:bottom w:val="single" w:sz="4" w:space="0" w:color="F39200"/>
              <w:right w:val="nil"/>
            </w:tcBorders>
            <w:shd w:val="clear" w:color="auto" w:fill="auto"/>
            <w:noWrap/>
            <w:vAlign w:val="center"/>
          </w:tcPr>
          <w:p w14:paraId="6CEA9700" w14:textId="18EBA64E" w:rsidR="007B1273" w:rsidRPr="00E20D21" w:rsidRDefault="007B1273" w:rsidP="007B1273">
            <w:pPr>
              <w:jc w:val="right"/>
              <w:rPr>
                <w:rFonts w:ascii="CAIXA Std Book" w:hAnsi="CAIXA Std Book"/>
                <w:b/>
                <w:color w:val="005CA9"/>
                <w:sz w:val="16"/>
                <w:szCs w:val="16"/>
              </w:rPr>
            </w:pPr>
            <w:r w:rsidRPr="00E20D21">
              <w:rPr>
                <w:rFonts w:ascii="CAIXA Std Book" w:hAnsi="CAIXA Std Book" w:cs="Arial"/>
                <w:b/>
                <w:bCs/>
                <w:color w:val="005CA9"/>
                <w:sz w:val="16"/>
                <w:szCs w:val="16"/>
              </w:rPr>
              <w:t>34.661</w:t>
            </w:r>
          </w:p>
        </w:tc>
        <w:tc>
          <w:tcPr>
            <w:tcW w:w="387" w:type="pct"/>
            <w:tcBorders>
              <w:top w:val="single" w:sz="4" w:space="0" w:color="F39200"/>
              <w:left w:val="nil"/>
              <w:bottom w:val="single" w:sz="4" w:space="0" w:color="F39200"/>
              <w:right w:val="nil"/>
            </w:tcBorders>
            <w:shd w:val="clear" w:color="auto" w:fill="auto"/>
            <w:noWrap/>
            <w:vAlign w:val="center"/>
          </w:tcPr>
          <w:p w14:paraId="7EAFC086" w14:textId="2357B6E9" w:rsidR="007B1273" w:rsidRPr="00E20D21" w:rsidRDefault="007B1273" w:rsidP="007B1273">
            <w:pPr>
              <w:jc w:val="right"/>
              <w:rPr>
                <w:rFonts w:ascii="CAIXA Std Book" w:hAnsi="CAIXA Std Book"/>
                <w:b/>
                <w:color w:val="005CA9"/>
                <w:sz w:val="16"/>
                <w:szCs w:val="16"/>
              </w:rPr>
            </w:pPr>
            <w:r w:rsidRPr="00E20D21">
              <w:rPr>
                <w:rFonts w:ascii="CAIXA Std Book" w:hAnsi="CAIXA Std Book" w:cs="Arial"/>
                <w:b/>
                <w:bCs/>
                <w:color w:val="005CA9"/>
                <w:sz w:val="16"/>
                <w:szCs w:val="16"/>
              </w:rPr>
              <w:t>19.292</w:t>
            </w:r>
          </w:p>
        </w:tc>
        <w:tc>
          <w:tcPr>
            <w:tcW w:w="387" w:type="pct"/>
            <w:tcBorders>
              <w:top w:val="single" w:sz="4" w:space="0" w:color="F39200"/>
              <w:left w:val="nil"/>
              <w:bottom w:val="single" w:sz="4" w:space="0" w:color="F39200"/>
              <w:right w:val="nil"/>
            </w:tcBorders>
            <w:shd w:val="clear" w:color="auto" w:fill="auto"/>
            <w:noWrap/>
            <w:vAlign w:val="center"/>
          </w:tcPr>
          <w:p w14:paraId="3779D9AE" w14:textId="7710C170" w:rsidR="007B1273" w:rsidRPr="00E20D21" w:rsidRDefault="007B1273" w:rsidP="007B1273">
            <w:pPr>
              <w:jc w:val="right"/>
              <w:rPr>
                <w:rFonts w:ascii="CAIXA Std Book" w:hAnsi="CAIXA Std Book"/>
                <w:b/>
                <w:color w:val="005CA9"/>
                <w:sz w:val="16"/>
                <w:szCs w:val="16"/>
              </w:rPr>
            </w:pPr>
            <w:r w:rsidRPr="00E20D21">
              <w:rPr>
                <w:rFonts w:ascii="CAIXA Std Book" w:hAnsi="CAIXA Std Book" w:cs="Arial"/>
                <w:b/>
                <w:bCs/>
                <w:color w:val="005CA9"/>
                <w:sz w:val="16"/>
                <w:szCs w:val="16"/>
              </w:rPr>
              <w:t>4.630</w:t>
            </w:r>
          </w:p>
        </w:tc>
        <w:tc>
          <w:tcPr>
            <w:tcW w:w="387" w:type="pct"/>
            <w:tcBorders>
              <w:top w:val="single" w:sz="4" w:space="0" w:color="F39200"/>
              <w:left w:val="nil"/>
              <w:bottom w:val="single" w:sz="4" w:space="0" w:color="F39200"/>
              <w:right w:val="nil"/>
            </w:tcBorders>
            <w:shd w:val="clear" w:color="auto" w:fill="auto"/>
            <w:noWrap/>
            <w:vAlign w:val="center"/>
          </w:tcPr>
          <w:p w14:paraId="58A0AB92" w14:textId="58D9D9C0" w:rsidR="007B1273" w:rsidRPr="00E20D21" w:rsidRDefault="007B1273" w:rsidP="007B1273">
            <w:pPr>
              <w:jc w:val="right"/>
              <w:rPr>
                <w:rFonts w:ascii="CAIXA Std Book" w:hAnsi="CAIXA Std Book"/>
                <w:b/>
                <w:color w:val="005CA9"/>
                <w:sz w:val="16"/>
                <w:szCs w:val="16"/>
              </w:rPr>
            </w:pPr>
            <w:r w:rsidRPr="00E20D21">
              <w:rPr>
                <w:rFonts w:ascii="CAIXA Std Book" w:hAnsi="CAIXA Std Book" w:cs="Arial"/>
                <w:b/>
                <w:bCs/>
                <w:color w:val="005CA9"/>
                <w:sz w:val="16"/>
                <w:szCs w:val="16"/>
              </w:rPr>
              <w:t>18.220</w:t>
            </w:r>
          </w:p>
        </w:tc>
        <w:tc>
          <w:tcPr>
            <w:tcW w:w="441" w:type="pct"/>
            <w:tcBorders>
              <w:top w:val="single" w:sz="4" w:space="0" w:color="F39200"/>
              <w:left w:val="nil"/>
              <w:bottom w:val="single" w:sz="4" w:space="0" w:color="F39200"/>
              <w:right w:val="nil"/>
            </w:tcBorders>
            <w:vAlign w:val="center"/>
          </w:tcPr>
          <w:p w14:paraId="26E2E532" w14:textId="38838287" w:rsidR="007B1273" w:rsidRPr="00E20D21" w:rsidRDefault="007B1273" w:rsidP="007B1273">
            <w:pPr>
              <w:jc w:val="right"/>
              <w:rPr>
                <w:rFonts w:ascii="CAIXA Std Book" w:hAnsi="CAIXA Std Book"/>
                <w:b/>
                <w:color w:val="005CA9"/>
                <w:sz w:val="16"/>
                <w:szCs w:val="16"/>
              </w:rPr>
            </w:pPr>
            <w:r w:rsidRPr="00E20D21">
              <w:rPr>
                <w:rFonts w:ascii="CAIXA Std Book" w:hAnsi="CAIXA Std Book" w:cs="Arial"/>
                <w:b/>
                <w:bCs/>
                <w:color w:val="005CA9"/>
                <w:sz w:val="16"/>
                <w:szCs w:val="16"/>
              </w:rPr>
              <w:t>862.499</w:t>
            </w:r>
          </w:p>
        </w:tc>
        <w:tc>
          <w:tcPr>
            <w:tcW w:w="431" w:type="pct"/>
            <w:tcBorders>
              <w:top w:val="single" w:sz="4" w:space="0" w:color="F39200"/>
              <w:left w:val="nil"/>
              <w:bottom w:val="single" w:sz="4" w:space="0" w:color="F39200"/>
              <w:right w:val="nil"/>
            </w:tcBorders>
            <w:shd w:val="clear" w:color="auto" w:fill="auto"/>
            <w:noWrap/>
            <w:vAlign w:val="center"/>
          </w:tcPr>
          <w:p w14:paraId="697F6AE1" w14:textId="31F359C4" w:rsidR="007B1273" w:rsidRPr="00E20D21" w:rsidRDefault="007B1273" w:rsidP="007B1273">
            <w:pPr>
              <w:jc w:val="right"/>
              <w:rPr>
                <w:rFonts w:ascii="CAIXA Std Book" w:hAnsi="CAIXA Std Book" w:cs="Arial Unicode MS"/>
                <w:b/>
                <w:color w:val="005CA9"/>
                <w:sz w:val="16"/>
                <w:szCs w:val="16"/>
              </w:rPr>
            </w:pPr>
            <w:r w:rsidRPr="00E20D21">
              <w:rPr>
                <w:rFonts w:ascii="CAIXA Std Book" w:hAnsi="CAIXA Std Book"/>
                <w:b/>
                <w:bCs/>
                <w:color w:val="005CA9"/>
                <w:sz w:val="16"/>
                <w:szCs w:val="16"/>
              </w:rPr>
              <w:t>768.920</w:t>
            </w:r>
          </w:p>
        </w:tc>
      </w:tr>
      <w:tr w:rsidR="007B1273" w:rsidRPr="00E20D21" w14:paraId="51283CCF" w14:textId="77777777" w:rsidTr="0064419B">
        <w:trPr>
          <w:trHeight w:val="255"/>
        </w:trPr>
        <w:tc>
          <w:tcPr>
            <w:tcW w:w="643" w:type="pct"/>
            <w:tcBorders>
              <w:top w:val="nil"/>
              <w:left w:val="nil"/>
              <w:bottom w:val="nil"/>
              <w:right w:val="nil"/>
            </w:tcBorders>
            <w:shd w:val="clear" w:color="auto" w:fill="auto"/>
            <w:noWrap/>
            <w:vAlign w:val="center"/>
            <w:hideMark/>
          </w:tcPr>
          <w:p w14:paraId="6549939C" w14:textId="77777777" w:rsidR="007B1273" w:rsidRPr="00E20D21" w:rsidRDefault="007B1273" w:rsidP="007B1273">
            <w:pPr>
              <w:rPr>
                <w:rFonts w:ascii="CAIXA Std Book" w:hAnsi="CAIXA Std Book"/>
                <w:color w:val="005CA9"/>
                <w:sz w:val="16"/>
                <w:szCs w:val="16"/>
              </w:rPr>
            </w:pPr>
            <w:r w:rsidRPr="00E20D21">
              <w:rPr>
                <w:rFonts w:ascii="CAIXA Std Book" w:hAnsi="CAIXA Std Book" w:cs="Arial"/>
                <w:color w:val="005CA9"/>
                <w:sz w:val="16"/>
                <w:szCs w:val="16"/>
              </w:rPr>
              <w:t>01 a 14 dias</w:t>
            </w:r>
          </w:p>
        </w:tc>
        <w:tc>
          <w:tcPr>
            <w:tcW w:w="388" w:type="pct"/>
            <w:tcBorders>
              <w:top w:val="nil"/>
              <w:left w:val="nil"/>
              <w:bottom w:val="nil"/>
              <w:right w:val="nil"/>
            </w:tcBorders>
            <w:shd w:val="clear" w:color="auto" w:fill="auto"/>
            <w:noWrap/>
            <w:vAlign w:val="center"/>
          </w:tcPr>
          <w:p w14:paraId="52B0BF1B" w14:textId="28333E79" w:rsidR="007B1273" w:rsidRPr="00E20D21" w:rsidRDefault="007B1273" w:rsidP="007B1273">
            <w:pPr>
              <w:jc w:val="right"/>
              <w:rPr>
                <w:rFonts w:ascii="CAIXA Std Book" w:hAnsi="CAIXA Std Book"/>
                <w:color w:val="005CA9"/>
                <w:sz w:val="16"/>
                <w:szCs w:val="16"/>
              </w:rPr>
            </w:pPr>
            <w:r w:rsidRPr="00E20D21">
              <w:rPr>
                <w:rFonts w:ascii="CAIXA Std Book" w:hAnsi="CAIXA Std Book" w:cs="Arial"/>
                <w:color w:val="005CA9"/>
                <w:sz w:val="16"/>
                <w:szCs w:val="16"/>
              </w:rPr>
              <w:t>91.956</w:t>
            </w:r>
          </w:p>
        </w:tc>
        <w:tc>
          <w:tcPr>
            <w:tcW w:w="387" w:type="pct"/>
            <w:tcBorders>
              <w:top w:val="nil"/>
              <w:left w:val="nil"/>
              <w:bottom w:val="nil"/>
              <w:right w:val="nil"/>
            </w:tcBorders>
            <w:shd w:val="clear" w:color="auto" w:fill="auto"/>
            <w:noWrap/>
            <w:vAlign w:val="center"/>
          </w:tcPr>
          <w:p w14:paraId="61A05D2D" w14:textId="50F08218" w:rsidR="007B1273" w:rsidRPr="00E20D21" w:rsidRDefault="007B1273" w:rsidP="007B1273">
            <w:pPr>
              <w:ind w:hanging="211"/>
              <w:jc w:val="right"/>
              <w:rPr>
                <w:rFonts w:ascii="CAIXA Std Book" w:hAnsi="CAIXA Std Book"/>
                <w:color w:val="005CA9"/>
                <w:sz w:val="16"/>
                <w:szCs w:val="16"/>
              </w:rPr>
            </w:pPr>
            <w:r w:rsidRPr="00E20D21">
              <w:rPr>
                <w:rFonts w:ascii="CAIXA Std Book" w:hAnsi="CAIXA Std Book" w:cs="Arial"/>
                <w:color w:val="005CA9"/>
                <w:sz w:val="16"/>
                <w:szCs w:val="16"/>
              </w:rPr>
              <w:t>198.466</w:t>
            </w:r>
          </w:p>
        </w:tc>
        <w:tc>
          <w:tcPr>
            <w:tcW w:w="388" w:type="pct"/>
            <w:tcBorders>
              <w:top w:val="nil"/>
              <w:left w:val="nil"/>
              <w:bottom w:val="nil"/>
              <w:right w:val="nil"/>
            </w:tcBorders>
            <w:shd w:val="clear" w:color="auto" w:fill="auto"/>
            <w:noWrap/>
            <w:vAlign w:val="center"/>
          </w:tcPr>
          <w:p w14:paraId="6023768A" w14:textId="35BBC044" w:rsidR="007B1273" w:rsidRPr="00E20D21" w:rsidRDefault="007B1273" w:rsidP="007B1273">
            <w:pPr>
              <w:jc w:val="right"/>
              <w:rPr>
                <w:rFonts w:ascii="CAIXA Std Book" w:hAnsi="CAIXA Std Book"/>
                <w:color w:val="005CA9"/>
                <w:sz w:val="16"/>
                <w:szCs w:val="16"/>
              </w:rPr>
            </w:pPr>
            <w:r w:rsidRPr="00E20D21">
              <w:rPr>
                <w:rFonts w:ascii="CAIXA Std Book" w:hAnsi="CAIXA Std Book" w:cs="Arial"/>
                <w:color w:val="005CA9"/>
                <w:sz w:val="16"/>
                <w:szCs w:val="16"/>
              </w:rPr>
              <w:t>229.592</w:t>
            </w:r>
          </w:p>
        </w:tc>
        <w:tc>
          <w:tcPr>
            <w:tcW w:w="388" w:type="pct"/>
            <w:tcBorders>
              <w:top w:val="nil"/>
              <w:left w:val="nil"/>
              <w:bottom w:val="nil"/>
              <w:right w:val="nil"/>
            </w:tcBorders>
            <w:shd w:val="clear" w:color="auto" w:fill="auto"/>
            <w:noWrap/>
            <w:vAlign w:val="center"/>
          </w:tcPr>
          <w:p w14:paraId="4B877B40" w14:textId="7ECBB99B" w:rsidR="007B1273" w:rsidRPr="00E20D21" w:rsidRDefault="007B1273" w:rsidP="007B1273">
            <w:pPr>
              <w:jc w:val="right"/>
              <w:rPr>
                <w:rFonts w:ascii="CAIXA Std Book" w:hAnsi="CAIXA Std Book"/>
                <w:color w:val="005CA9"/>
                <w:sz w:val="16"/>
                <w:szCs w:val="16"/>
              </w:rPr>
            </w:pPr>
            <w:r w:rsidRPr="00E20D21">
              <w:rPr>
                <w:rFonts w:ascii="CAIXA Std Book" w:hAnsi="CAIXA Std Book" w:cs="Arial"/>
                <w:color w:val="005CA9"/>
                <w:sz w:val="16"/>
                <w:szCs w:val="16"/>
              </w:rPr>
              <w:t>203.577</w:t>
            </w:r>
          </w:p>
        </w:tc>
        <w:tc>
          <w:tcPr>
            <w:tcW w:w="384" w:type="pct"/>
            <w:tcBorders>
              <w:top w:val="nil"/>
              <w:left w:val="nil"/>
              <w:bottom w:val="nil"/>
              <w:right w:val="nil"/>
            </w:tcBorders>
            <w:shd w:val="clear" w:color="auto" w:fill="auto"/>
            <w:noWrap/>
            <w:vAlign w:val="center"/>
          </w:tcPr>
          <w:p w14:paraId="27902E67" w14:textId="689C6565" w:rsidR="007B1273" w:rsidRPr="00E20D21" w:rsidRDefault="007B1273" w:rsidP="007B1273">
            <w:pPr>
              <w:jc w:val="right"/>
              <w:rPr>
                <w:rFonts w:ascii="CAIXA Std Book" w:hAnsi="CAIXA Std Book"/>
                <w:color w:val="005CA9"/>
                <w:sz w:val="16"/>
                <w:szCs w:val="16"/>
              </w:rPr>
            </w:pPr>
            <w:r w:rsidRPr="00E20D21">
              <w:rPr>
                <w:rFonts w:ascii="CAIXA Std Book" w:hAnsi="CAIXA Std Book" w:cs="Arial"/>
                <w:color w:val="005CA9"/>
                <w:sz w:val="16"/>
                <w:szCs w:val="16"/>
              </w:rPr>
              <w:t>62.105</w:t>
            </w:r>
          </w:p>
        </w:tc>
        <w:tc>
          <w:tcPr>
            <w:tcW w:w="389" w:type="pct"/>
            <w:tcBorders>
              <w:top w:val="nil"/>
              <w:left w:val="nil"/>
              <w:bottom w:val="nil"/>
              <w:right w:val="nil"/>
            </w:tcBorders>
            <w:shd w:val="clear" w:color="auto" w:fill="auto"/>
            <w:noWrap/>
            <w:vAlign w:val="center"/>
          </w:tcPr>
          <w:p w14:paraId="6150EB53" w14:textId="52EAB7B8" w:rsidR="007B1273" w:rsidRPr="00E20D21" w:rsidRDefault="007B1273" w:rsidP="007B1273">
            <w:pPr>
              <w:jc w:val="right"/>
              <w:rPr>
                <w:rFonts w:ascii="CAIXA Std Book" w:hAnsi="CAIXA Std Book"/>
                <w:color w:val="005CA9"/>
                <w:sz w:val="16"/>
                <w:szCs w:val="16"/>
              </w:rPr>
            </w:pPr>
            <w:r w:rsidRPr="00E20D21">
              <w:rPr>
                <w:rFonts w:ascii="CAIXA Std Book" w:hAnsi="CAIXA Std Book" w:cs="Arial"/>
                <w:color w:val="005CA9"/>
                <w:sz w:val="16"/>
                <w:szCs w:val="16"/>
              </w:rPr>
              <w:t>34.661</w:t>
            </w:r>
          </w:p>
        </w:tc>
        <w:tc>
          <w:tcPr>
            <w:tcW w:w="387" w:type="pct"/>
            <w:tcBorders>
              <w:top w:val="nil"/>
              <w:left w:val="nil"/>
              <w:bottom w:val="nil"/>
              <w:right w:val="nil"/>
            </w:tcBorders>
            <w:shd w:val="clear" w:color="auto" w:fill="auto"/>
            <w:noWrap/>
            <w:vAlign w:val="center"/>
          </w:tcPr>
          <w:p w14:paraId="7860BB0C" w14:textId="1196FA7E" w:rsidR="007B1273" w:rsidRPr="00E20D21" w:rsidRDefault="007B1273" w:rsidP="007B1273">
            <w:pPr>
              <w:jc w:val="right"/>
              <w:rPr>
                <w:rFonts w:ascii="CAIXA Std Book" w:hAnsi="CAIXA Std Book"/>
                <w:color w:val="005CA9"/>
                <w:sz w:val="16"/>
                <w:szCs w:val="16"/>
              </w:rPr>
            </w:pPr>
            <w:r w:rsidRPr="00E20D21">
              <w:rPr>
                <w:rFonts w:ascii="CAIXA Std Book" w:hAnsi="CAIXA Std Book" w:cs="Arial"/>
                <w:color w:val="005CA9"/>
                <w:sz w:val="16"/>
                <w:szCs w:val="16"/>
              </w:rPr>
              <w:t>19.292</w:t>
            </w:r>
          </w:p>
        </w:tc>
        <w:tc>
          <w:tcPr>
            <w:tcW w:w="387" w:type="pct"/>
            <w:tcBorders>
              <w:top w:val="nil"/>
              <w:left w:val="nil"/>
              <w:bottom w:val="nil"/>
              <w:right w:val="nil"/>
            </w:tcBorders>
            <w:shd w:val="clear" w:color="auto" w:fill="auto"/>
            <w:noWrap/>
            <w:vAlign w:val="center"/>
          </w:tcPr>
          <w:p w14:paraId="31F4AAC7" w14:textId="681475C8" w:rsidR="007B1273" w:rsidRPr="00E20D21" w:rsidRDefault="007B1273" w:rsidP="007B1273">
            <w:pPr>
              <w:jc w:val="right"/>
              <w:rPr>
                <w:rFonts w:ascii="CAIXA Std Book" w:hAnsi="CAIXA Std Book"/>
                <w:color w:val="005CA9"/>
                <w:sz w:val="16"/>
                <w:szCs w:val="16"/>
              </w:rPr>
            </w:pPr>
            <w:r w:rsidRPr="00E20D21">
              <w:rPr>
                <w:rFonts w:ascii="CAIXA Std Book" w:hAnsi="CAIXA Std Book" w:cs="Arial"/>
                <w:color w:val="005CA9"/>
                <w:sz w:val="16"/>
                <w:szCs w:val="16"/>
              </w:rPr>
              <w:t>4.630</w:t>
            </w:r>
          </w:p>
        </w:tc>
        <w:tc>
          <w:tcPr>
            <w:tcW w:w="387" w:type="pct"/>
            <w:tcBorders>
              <w:top w:val="nil"/>
              <w:left w:val="nil"/>
              <w:bottom w:val="nil"/>
              <w:right w:val="nil"/>
            </w:tcBorders>
            <w:shd w:val="clear" w:color="auto" w:fill="auto"/>
            <w:noWrap/>
            <w:vAlign w:val="center"/>
          </w:tcPr>
          <w:p w14:paraId="12487208" w14:textId="73F77AD4" w:rsidR="007B1273" w:rsidRPr="00E20D21" w:rsidRDefault="007B1273" w:rsidP="007B1273">
            <w:pPr>
              <w:jc w:val="right"/>
              <w:rPr>
                <w:rFonts w:ascii="CAIXA Std Book" w:hAnsi="CAIXA Std Book"/>
                <w:color w:val="005CA9"/>
                <w:sz w:val="16"/>
                <w:szCs w:val="16"/>
              </w:rPr>
            </w:pPr>
            <w:r w:rsidRPr="00E20D21">
              <w:rPr>
                <w:rFonts w:ascii="CAIXA Std Book" w:hAnsi="CAIXA Std Book" w:cs="Arial"/>
                <w:color w:val="005CA9"/>
                <w:sz w:val="16"/>
                <w:szCs w:val="16"/>
              </w:rPr>
              <w:t>18.220</w:t>
            </w:r>
          </w:p>
        </w:tc>
        <w:tc>
          <w:tcPr>
            <w:tcW w:w="441" w:type="pct"/>
            <w:tcBorders>
              <w:top w:val="nil"/>
              <w:left w:val="nil"/>
              <w:bottom w:val="nil"/>
              <w:right w:val="nil"/>
            </w:tcBorders>
            <w:vAlign w:val="center"/>
          </w:tcPr>
          <w:p w14:paraId="004B594D" w14:textId="78301CE9" w:rsidR="007B1273" w:rsidRPr="00E20D21" w:rsidRDefault="007B1273" w:rsidP="007B1273">
            <w:pPr>
              <w:jc w:val="right"/>
              <w:rPr>
                <w:rFonts w:ascii="CAIXA Std Book" w:hAnsi="CAIXA Std Book"/>
                <w:color w:val="005CA9"/>
                <w:sz w:val="16"/>
                <w:szCs w:val="16"/>
              </w:rPr>
            </w:pPr>
            <w:r w:rsidRPr="00E20D21">
              <w:rPr>
                <w:rFonts w:ascii="CAIXA Std Book" w:hAnsi="CAIXA Std Book" w:cs="Arial"/>
                <w:color w:val="005CA9"/>
                <w:sz w:val="16"/>
                <w:szCs w:val="16"/>
              </w:rPr>
              <w:t>862.499</w:t>
            </w:r>
          </w:p>
        </w:tc>
        <w:tc>
          <w:tcPr>
            <w:tcW w:w="431" w:type="pct"/>
            <w:tcBorders>
              <w:top w:val="nil"/>
              <w:left w:val="nil"/>
              <w:bottom w:val="nil"/>
              <w:right w:val="nil"/>
            </w:tcBorders>
            <w:shd w:val="clear" w:color="auto" w:fill="auto"/>
            <w:noWrap/>
            <w:vAlign w:val="center"/>
          </w:tcPr>
          <w:p w14:paraId="65ADA1E2" w14:textId="5FC77790" w:rsidR="007B1273" w:rsidRPr="00E20D21" w:rsidRDefault="007B1273" w:rsidP="007B1273">
            <w:pPr>
              <w:jc w:val="right"/>
              <w:rPr>
                <w:rFonts w:ascii="CAIXA Std Book" w:hAnsi="CAIXA Std Book" w:cs="Arial Unicode MS"/>
                <w:color w:val="005CA9"/>
                <w:sz w:val="16"/>
                <w:szCs w:val="16"/>
              </w:rPr>
            </w:pPr>
            <w:r w:rsidRPr="00E20D21">
              <w:rPr>
                <w:rFonts w:ascii="CAIXA Std Book" w:hAnsi="CAIXA Std Book"/>
                <w:color w:val="005CA9"/>
                <w:sz w:val="16"/>
                <w:szCs w:val="16"/>
              </w:rPr>
              <w:t>768.920</w:t>
            </w:r>
          </w:p>
        </w:tc>
      </w:tr>
      <w:tr w:rsidR="00F80171" w:rsidRPr="00E20D21" w14:paraId="5985204D" w14:textId="77777777" w:rsidTr="0064419B">
        <w:trPr>
          <w:trHeight w:val="255"/>
        </w:trPr>
        <w:tc>
          <w:tcPr>
            <w:tcW w:w="643" w:type="pct"/>
            <w:tcBorders>
              <w:top w:val="single" w:sz="4" w:space="0" w:color="F39200"/>
              <w:left w:val="nil"/>
              <w:bottom w:val="single" w:sz="4" w:space="0" w:color="F39200"/>
              <w:right w:val="nil"/>
            </w:tcBorders>
            <w:shd w:val="clear" w:color="auto" w:fill="auto"/>
            <w:noWrap/>
            <w:vAlign w:val="center"/>
          </w:tcPr>
          <w:p w14:paraId="0FB1B408" w14:textId="77777777" w:rsidR="00F80171" w:rsidRPr="00E20D21" w:rsidRDefault="00F80171" w:rsidP="00F80171">
            <w:pPr>
              <w:rPr>
                <w:rFonts w:ascii="CAIXA Std Book" w:hAnsi="CAIXA Std Book"/>
                <w:b/>
                <w:color w:val="005CA9"/>
                <w:sz w:val="16"/>
                <w:szCs w:val="16"/>
              </w:rPr>
            </w:pPr>
            <w:r w:rsidRPr="00E20D21">
              <w:rPr>
                <w:rFonts w:ascii="CAIXA Std Book" w:hAnsi="CAIXA Std Book"/>
                <w:b/>
                <w:color w:val="005CA9"/>
                <w:sz w:val="16"/>
                <w:szCs w:val="16"/>
              </w:rPr>
              <w:t>Total</w:t>
            </w:r>
          </w:p>
        </w:tc>
        <w:tc>
          <w:tcPr>
            <w:tcW w:w="388" w:type="pct"/>
            <w:tcBorders>
              <w:top w:val="single" w:sz="4" w:space="0" w:color="F39200"/>
              <w:left w:val="nil"/>
              <w:bottom w:val="single" w:sz="4" w:space="0" w:color="F39200"/>
              <w:right w:val="nil"/>
            </w:tcBorders>
            <w:shd w:val="clear" w:color="auto" w:fill="auto"/>
            <w:noWrap/>
            <w:vAlign w:val="center"/>
          </w:tcPr>
          <w:p w14:paraId="2F5460C9" w14:textId="749ECFD1" w:rsidR="00F80171" w:rsidRPr="00E20D21" w:rsidRDefault="00F80171" w:rsidP="00F80171">
            <w:pPr>
              <w:jc w:val="right"/>
              <w:rPr>
                <w:rFonts w:ascii="CAIXA Std Book" w:hAnsi="CAIXA Std Book" w:cs="Arial Unicode MS"/>
                <w:b/>
                <w:color w:val="005CA9"/>
                <w:sz w:val="16"/>
                <w:szCs w:val="16"/>
              </w:rPr>
            </w:pPr>
            <w:r w:rsidRPr="00E20D21">
              <w:rPr>
                <w:rFonts w:ascii="CAIXA Std Book" w:hAnsi="CAIXA Std Book" w:cs="Arial"/>
                <w:b/>
                <w:bCs/>
                <w:color w:val="005CA9"/>
                <w:sz w:val="16"/>
                <w:szCs w:val="16"/>
              </w:rPr>
              <w:t>584.215.921</w:t>
            </w:r>
          </w:p>
        </w:tc>
        <w:tc>
          <w:tcPr>
            <w:tcW w:w="387" w:type="pct"/>
            <w:tcBorders>
              <w:top w:val="single" w:sz="4" w:space="0" w:color="F39200"/>
              <w:left w:val="nil"/>
              <w:bottom w:val="single" w:sz="4" w:space="0" w:color="F39200"/>
              <w:right w:val="nil"/>
            </w:tcBorders>
            <w:shd w:val="clear" w:color="auto" w:fill="auto"/>
            <w:noWrap/>
            <w:vAlign w:val="center"/>
          </w:tcPr>
          <w:p w14:paraId="5311DC9B" w14:textId="0B978847" w:rsidR="00F80171" w:rsidRPr="00E20D21" w:rsidRDefault="00F80171" w:rsidP="00F80171">
            <w:pPr>
              <w:ind w:hanging="211"/>
              <w:jc w:val="right"/>
              <w:rPr>
                <w:rFonts w:ascii="CAIXA Std Book" w:hAnsi="CAIXA Std Book" w:cs="Arial Unicode MS"/>
                <w:b/>
                <w:color w:val="005CA9"/>
                <w:sz w:val="16"/>
                <w:szCs w:val="16"/>
              </w:rPr>
            </w:pPr>
            <w:r w:rsidRPr="00E20D21">
              <w:rPr>
                <w:rFonts w:ascii="CAIXA Std Book" w:hAnsi="CAIXA Std Book" w:cs="Arial"/>
                <w:b/>
                <w:bCs/>
                <w:color w:val="005CA9"/>
                <w:sz w:val="16"/>
                <w:szCs w:val="16"/>
              </w:rPr>
              <w:t>174.672.445</w:t>
            </w:r>
          </w:p>
        </w:tc>
        <w:tc>
          <w:tcPr>
            <w:tcW w:w="388" w:type="pct"/>
            <w:tcBorders>
              <w:top w:val="single" w:sz="4" w:space="0" w:color="F39200"/>
              <w:left w:val="nil"/>
              <w:bottom w:val="single" w:sz="4" w:space="0" w:color="F39200"/>
              <w:right w:val="nil"/>
            </w:tcBorders>
            <w:shd w:val="clear" w:color="auto" w:fill="auto"/>
            <w:noWrap/>
            <w:vAlign w:val="center"/>
          </w:tcPr>
          <w:p w14:paraId="6F48FB20" w14:textId="4F53CF4E" w:rsidR="00F80171" w:rsidRPr="00E20D21" w:rsidRDefault="00F80171" w:rsidP="00F80171">
            <w:pPr>
              <w:jc w:val="right"/>
              <w:rPr>
                <w:rFonts w:ascii="CAIXA Std Book" w:hAnsi="CAIXA Std Book" w:cs="Arial Unicode MS"/>
                <w:b/>
                <w:color w:val="005CA9"/>
                <w:sz w:val="16"/>
                <w:szCs w:val="16"/>
              </w:rPr>
            </w:pPr>
            <w:r w:rsidRPr="00E20D21">
              <w:rPr>
                <w:rFonts w:ascii="CAIXA Std Book" w:hAnsi="CAIXA Std Book" w:cs="Arial"/>
                <w:b/>
                <w:bCs/>
                <w:color w:val="005CA9"/>
                <w:sz w:val="16"/>
                <w:szCs w:val="16"/>
              </w:rPr>
              <w:t>179.284.524</w:t>
            </w:r>
          </w:p>
        </w:tc>
        <w:tc>
          <w:tcPr>
            <w:tcW w:w="388" w:type="pct"/>
            <w:tcBorders>
              <w:top w:val="single" w:sz="4" w:space="0" w:color="F39200"/>
              <w:left w:val="nil"/>
              <w:bottom w:val="single" w:sz="4" w:space="0" w:color="F39200"/>
              <w:right w:val="nil"/>
            </w:tcBorders>
            <w:shd w:val="clear" w:color="auto" w:fill="auto"/>
            <w:noWrap/>
            <w:vAlign w:val="center"/>
          </w:tcPr>
          <w:p w14:paraId="5DD6EC24" w14:textId="25044E38" w:rsidR="00F80171" w:rsidRPr="00E20D21" w:rsidRDefault="00F80171" w:rsidP="00F80171">
            <w:pPr>
              <w:jc w:val="right"/>
              <w:rPr>
                <w:rFonts w:ascii="CAIXA Std Book" w:hAnsi="CAIXA Std Book" w:cs="Arial Unicode MS"/>
                <w:b/>
                <w:color w:val="005CA9"/>
                <w:sz w:val="16"/>
                <w:szCs w:val="16"/>
              </w:rPr>
            </w:pPr>
            <w:r w:rsidRPr="00E20D21">
              <w:rPr>
                <w:rFonts w:ascii="CAIXA Std Book" w:hAnsi="CAIXA Std Book" w:cs="Arial"/>
                <w:b/>
                <w:bCs/>
                <w:color w:val="005CA9"/>
                <w:sz w:val="16"/>
                <w:szCs w:val="16"/>
              </w:rPr>
              <w:t>105.424.3</w:t>
            </w:r>
            <w:r w:rsidR="00A86469" w:rsidRPr="00E20D21">
              <w:rPr>
                <w:rFonts w:ascii="CAIXA Std Book" w:hAnsi="CAIXA Std Book" w:cs="Arial"/>
                <w:b/>
                <w:bCs/>
                <w:color w:val="005CA9"/>
                <w:sz w:val="16"/>
                <w:szCs w:val="16"/>
              </w:rPr>
              <w:t>69</w:t>
            </w:r>
          </w:p>
        </w:tc>
        <w:tc>
          <w:tcPr>
            <w:tcW w:w="384" w:type="pct"/>
            <w:tcBorders>
              <w:top w:val="single" w:sz="4" w:space="0" w:color="F39200"/>
              <w:left w:val="nil"/>
              <w:bottom w:val="single" w:sz="4" w:space="0" w:color="F39200"/>
              <w:right w:val="nil"/>
            </w:tcBorders>
            <w:shd w:val="clear" w:color="auto" w:fill="auto"/>
            <w:noWrap/>
            <w:vAlign w:val="center"/>
          </w:tcPr>
          <w:p w14:paraId="192E021D" w14:textId="2F232FA7" w:rsidR="00F80171" w:rsidRPr="00E20D21" w:rsidRDefault="00F80171" w:rsidP="00F80171">
            <w:pPr>
              <w:jc w:val="right"/>
              <w:rPr>
                <w:rFonts w:ascii="CAIXA Std Book" w:hAnsi="CAIXA Std Book" w:cs="Arial Unicode MS"/>
                <w:b/>
                <w:color w:val="005CA9"/>
                <w:sz w:val="16"/>
                <w:szCs w:val="16"/>
              </w:rPr>
            </w:pPr>
            <w:r w:rsidRPr="00E20D21">
              <w:rPr>
                <w:rFonts w:ascii="CAIXA Std Book" w:hAnsi="CAIXA Std Book" w:cs="Arial"/>
                <w:b/>
                <w:bCs/>
                <w:color w:val="005CA9"/>
                <w:sz w:val="16"/>
                <w:szCs w:val="16"/>
              </w:rPr>
              <w:t>17.538.118</w:t>
            </w:r>
          </w:p>
        </w:tc>
        <w:tc>
          <w:tcPr>
            <w:tcW w:w="389" w:type="pct"/>
            <w:tcBorders>
              <w:top w:val="single" w:sz="4" w:space="0" w:color="F39200"/>
              <w:left w:val="nil"/>
              <w:bottom w:val="single" w:sz="4" w:space="0" w:color="F39200"/>
              <w:right w:val="nil"/>
            </w:tcBorders>
            <w:shd w:val="clear" w:color="auto" w:fill="auto"/>
            <w:noWrap/>
            <w:vAlign w:val="center"/>
          </w:tcPr>
          <w:p w14:paraId="1513CEA1" w14:textId="73E7EB56" w:rsidR="00F80171" w:rsidRPr="00E20D21" w:rsidRDefault="00F80171" w:rsidP="00F80171">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7.037.114</w:t>
            </w:r>
          </w:p>
        </w:tc>
        <w:tc>
          <w:tcPr>
            <w:tcW w:w="387" w:type="pct"/>
            <w:tcBorders>
              <w:top w:val="single" w:sz="4" w:space="0" w:color="F39200"/>
              <w:left w:val="nil"/>
              <w:bottom w:val="single" w:sz="4" w:space="0" w:color="F39200"/>
              <w:right w:val="nil"/>
            </w:tcBorders>
            <w:shd w:val="clear" w:color="auto" w:fill="auto"/>
            <w:noWrap/>
            <w:vAlign w:val="center"/>
          </w:tcPr>
          <w:p w14:paraId="33EAC3E4" w14:textId="233C41FF" w:rsidR="00F80171" w:rsidRPr="00E20D21" w:rsidRDefault="00F80171" w:rsidP="00F80171">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2.936.646</w:t>
            </w:r>
          </w:p>
        </w:tc>
        <w:tc>
          <w:tcPr>
            <w:tcW w:w="387" w:type="pct"/>
            <w:tcBorders>
              <w:top w:val="single" w:sz="4" w:space="0" w:color="F39200"/>
              <w:left w:val="nil"/>
              <w:bottom w:val="single" w:sz="4" w:space="0" w:color="F39200"/>
              <w:right w:val="nil"/>
            </w:tcBorders>
            <w:shd w:val="clear" w:color="auto" w:fill="auto"/>
            <w:noWrap/>
            <w:vAlign w:val="center"/>
          </w:tcPr>
          <w:p w14:paraId="5069CDA8" w14:textId="59BCA1EF" w:rsidR="00F80171" w:rsidRPr="00E20D21" w:rsidRDefault="00F80171" w:rsidP="00F80171">
            <w:pPr>
              <w:jc w:val="right"/>
              <w:rPr>
                <w:rFonts w:ascii="CAIXA Std Book" w:hAnsi="CAIXA Std Book" w:cs="Arial Unicode MS"/>
                <w:b/>
                <w:color w:val="005CA9"/>
                <w:sz w:val="16"/>
                <w:szCs w:val="16"/>
              </w:rPr>
            </w:pPr>
            <w:r w:rsidRPr="00E20D21">
              <w:rPr>
                <w:rFonts w:ascii="CAIXA Std Book" w:hAnsi="CAIXA Std Book" w:cs="Arial"/>
                <w:b/>
                <w:bCs/>
                <w:color w:val="005CA9"/>
                <w:sz w:val="16"/>
                <w:szCs w:val="16"/>
              </w:rPr>
              <w:t>8.619.454</w:t>
            </w:r>
          </w:p>
        </w:tc>
        <w:tc>
          <w:tcPr>
            <w:tcW w:w="387" w:type="pct"/>
            <w:tcBorders>
              <w:top w:val="single" w:sz="4" w:space="0" w:color="F39200"/>
              <w:left w:val="nil"/>
              <w:bottom w:val="single" w:sz="4" w:space="0" w:color="F39200"/>
              <w:right w:val="nil"/>
            </w:tcBorders>
            <w:shd w:val="clear" w:color="auto" w:fill="auto"/>
            <w:noWrap/>
            <w:vAlign w:val="center"/>
          </w:tcPr>
          <w:p w14:paraId="060378FB" w14:textId="349D46E9" w:rsidR="00F80171" w:rsidRPr="00E20D21" w:rsidRDefault="00F80171" w:rsidP="00F80171">
            <w:pPr>
              <w:jc w:val="right"/>
              <w:rPr>
                <w:rFonts w:ascii="CAIXA Std Book" w:hAnsi="CAIXA Std Book" w:cs="Arial Unicode MS"/>
                <w:b/>
                <w:color w:val="005CA9"/>
                <w:sz w:val="16"/>
                <w:szCs w:val="16"/>
              </w:rPr>
            </w:pPr>
            <w:r w:rsidRPr="00E20D21">
              <w:rPr>
                <w:rFonts w:ascii="CAIXA Std Book" w:hAnsi="CAIXA Std Book" w:cs="Arial"/>
                <w:b/>
                <w:bCs/>
                <w:color w:val="005CA9"/>
                <w:sz w:val="16"/>
                <w:szCs w:val="16"/>
              </w:rPr>
              <w:t>5.163.750</w:t>
            </w:r>
          </w:p>
        </w:tc>
        <w:tc>
          <w:tcPr>
            <w:tcW w:w="441" w:type="pct"/>
            <w:tcBorders>
              <w:top w:val="single" w:sz="4" w:space="0" w:color="F39200"/>
              <w:left w:val="nil"/>
              <w:bottom w:val="single" w:sz="4" w:space="0" w:color="F39200"/>
              <w:right w:val="nil"/>
            </w:tcBorders>
            <w:vAlign w:val="center"/>
          </w:tcPr>
          <w:p w14:paraId="4E44EB95" w14:textId="38999C36" w:rsidR="00F80171" w:rsidRPr="00E20D21" w:rsidRDefault="00F80171" w:rsidP="00F80171">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1.084.892.34</w:t>
            </w:r>
            <w:r w:rsidR="00FA23F2" w:rsidRPr="00E20D21">
              <w:rPr>
                <w:rFonts w:ascii="CAIXA Std Book" w:hAnsi="CAIXA Std Book" w:cs="Arial"/>
                <w:b/>
                <w:bCs/>
                <w:color w:val="005CA9"/>
                <w:sz w:val="16"/>
                <w:szCs w:val="16"/>
              </w:rPr>
              <w:t>1</w:t>
            </w:r>
          </w:p>
        </w:tc>
        <w:tc>
          <w:tcPr>
            <w:tcW w:w="431" w:type="pct"/>
            <w:tcBorders>
              <w:top w:val="single" w:sz="4" w:space="0" w:color="F39200"/>
              <w:left w:val="nil"/>
              <w:bottom w:val="single" w:sz="4" w:space="0" w:color="F39200"/>
              <w:right w:val="nil"/>
            </w:tcBorders>
            <w:shd w:val="clear" w:color="auto" w:fill="auto"/>
            <w:noWrap/>
            <w:vAlign w:val="center"/>
          </w:tcPr>
          <w:p w14:paraId="450E8806" w14:textId="0242B478" w:rsidR="00F80171" w:rsidRPr="00E20D21" w:rsidRDefault="00F80171" w:rsidP="00F80171">
            <w:pPr>
              <w:jc w:val="right"/>
              <w:rPr>
                <w:rFonts w:ascii="CAIXA Std Book" w:hAnsi="CAIXA Std Book" w:cs="Arial"/>
                <w:b/>
                <w:color w:val="005CA9"/>
                <w:sz w:val="16"/>
                <w:szCs w:val="16"/>
              </w:rPr>
            </w:pPr>
            <w:r w:rsidRPr="00E20D21">
              <w:rPr>
                <w:rFonts w:ascii="CAIXA Std Book" w:hAnsi="CAIXA Std Book"/>
                <w:b/>
                <w:bCs/>
                <w:color w:val="005CA9"/>
                <w:sz w:val="16"/>
                <w:szCs w:val="16"/>
              </w:rPr>
              <w:t>1.033.411.756</w:t>
            </w:r>
          </w:p>
        </w:tc>
      </w:tr>
      <w:tr w:rsidR="00A47C19" w:rsidRPr="00E20D21" w14:paraId="04530F11" w14:textId="77777777" w:rsidTr="0064419B">
        <w:trPr>
          <w:trHeight w:val="255"/>
        </w:trPr>
        <w:tc>
          <w:tcPr>
            <w:tcW w:w="5000" w:type="pct"/>
            <w:gridSpan w:val="12"/>
            <w:tcBorders>
              <w:top w:val="single" w:sz="4" w:space="0" w:color="F39200"/>
              <w:left w:val="nil"/>
              <w:bottom w:val="nil"/>
              <w:right w:val="nil"/>
            </w:tcBorders>
            <w:vAlign w:val="center"/>
          </w:tcPr>
          <w:p w14:paraId="633506CF" w14:textId="77777777" w:rsidR="00DA43EF" w:rsidRPr="00E20D21" w:rsidRDefault="00DA43EF">
            <w:pPr>
              <w:jc w:val="center"/>
              <w:rPr>
                <w:rFonts w:ascii="CAIXA Std Book" w:hAnsi="CAIXA Std Book"/>
                <w:b/>
                <w:color w:val="005CA9"/>
                <w:sz w:val="16"/>
                <w:szCs w:val="16"/>
              </w:rPr>
            </w:pPr>
            <w:r w:rsidRPr="00E20D21">
              <w:rPr>
                <w:rFonts w:ascii="CAIXA Std Book" w:hAnsi="CAIXA Std Book"/>
                <w:b/>
                <w:color w:val="005CA9"/>
                <w:sz w:val="16"/>
                <w:szCs w:val="16"/>
              </w:rPr>
              <w:t>Carteira de crédito em curso anormal</w:t>
            </w:r>
          </w:p>
        </w:tc>
      </w:tr>
      <w:tr w:rsidR="00A47C19" w:rsidRPr="00E20D21" w14:paraId="785BCF7A" w14:textId="77777777" w:rsidTr="0064419B">
        <w:trPr>
          <w:trHeight w:val="255"/>
        </w:trPr>
        <w:tc>
          <w:tcPr>
            <w:tcW w:w="643" w:type="pct"/>
            <w:tcBorders>
              <w:top w:val="single" w:sz="4" w:space="0" w:color="F39200"/>
              <w:left w:val="nil"/>
              <w:bottom w:val="nil"/>
              <w:right w:val="nil"/>
            </w:tcBorders>
            <w:shd w:val="clear" w:color="auto" w:fill="auto"/>
            <w:noWrap/>
            <w:vAlign w:val="center"/>
            <w:hideMark/>
          </w:tcPr>
          <w:p w14:paraId="0175A6D1" w14:textId="77777777" w:rsidR="00C84319" w:rsidRPr="00E20D21" w:rsidRDefault="00C84319" w:rsidP="00C84319">
            <w:pPr>
              <w:rPr>
                <w:rFonts w:ascii="CAIXA Std Book" w:hAnsi="CAIXA Std Book"/>
                <w:b/>
                <w:color w:val="005CA9"/>
                <w:sz w:val="16"/>
                <w:szCs w:val="16"/>
              </w:rPr>
            </w:pPr>
            <w:r w:rsidRPr="00E20D21">
              <w:rPr>
                <w:rFonts w:ascii="CAIXA Std Book" w:hAnsi="CAIXA Std Book"/>
                <w:b/>
                <w:color w:val="005CA9"/>
                <w:sz w:val="16"/>
                <w:szCs w:val="16"/>
              </w:rPr>
              <w:t>Descrição</w:t>
            </w:r>
          </w:p>
        </w:tc>
        <w:tc>
          <w:tcPr>
            <w:tcW w:w="388" w:type="pct"/>
            <w:tcBorders>
              <w:top w:val="single" w:sz="4" w:space="0" w:color="F39200"/>
              <w:left w:val="nil"/>
              <w:bottom w:val="nil"/>
              <w:right w:val="nil"/>
            </w:tcBorders>
            <w:shd w:val="clear" w:color="auto" w:fill="auto"/>
            <w:noWrap/>
            <w:vAlign w:val="center"/>
            <w:hideMark/>
          </w:tcPr>
          <w:p w14:paraId="198D56C7"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AA</w:t>
            </w:r>
          </w:p>
        </w:tc>
        <w:tc>
          <w:tcPr>
            <w:tcW w:w="387" w:type="pct"/>
            <w:tcBorders>
              <w:top w:val="single" w:sz="4" w:space="0" w:color="F39200"/>
              <w:left w:val="nil"/>
              <w:bottom w:val="nil"/>
              <w:right w:val="nil"/>
            </w:tcBorders>
            <w:shd w:val="clear" w:color="auto" w:fill="auto"/>
            <w:noWrap/>
            <w:vAlign w:val="center"/>
            <w:hideMark/>
          </w:tcPr>
          <w:p w14:paraId="5E46C245"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A</w:t>
            </w:r>
          </w:p>
        </w:tc>
        <w:tc>
          <w:tcPr>
            <w:tcW w:w="388" w:type="pct"/>
            <w:tcBorders>
              <w:top w:val="single" w:sz="4" w:space="0" w:color="F39200"/>
              <w:left w:val="nil"/>
              <w:bottom w:val="nil"/>
              <w:right w:val="nil"/>
            </w:tcBorders>
            <w:shd w:val="clear" w:color="auto" w:fill="auto"/>
            <w:noWrap/>
            <w:vAlign w:val="center"/>
            <w:hideMark/>
          </w:tcPr>
          <w:p w14:paraId="5B97BC53"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B</w:t>
            </w:r>
          </w:p>
        </w:tc>
        <w:tc>
          <w:tcPr>
            <w:tcW w:w="388" w:type="pct"/>
            <w:tcBorders>
              <w:top w:val="single" w:sz="4" w:space="0" w:color="F39200"/>
              <w:left w:val="nil"/>
              <w:bottom w:val="nil"/>
              <w:right w:val="nil"/>
            </w:tcBorders>
            <w:shd w:val="clear" w:color="auto" w:fill="auto"/>
            <w:noWrap/>
            <w:vAlign w:val="center"/>
            <w:hideMark/>
          </w:tcPr>
          <w:p w14:paraId="6720A9D8"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C</w:t>
            </w:r>
          </w:p>
        </w:tc>
        <w:tc>
          <w:tcPr>
            <w:tcW w:w="384" w:type="pct"/>
            <w:tcBorders>
              <w:top w:val="single" w:sz="4" w:space="0" w:color="F39200"/>
              <w:left w:val="nil"/>
              <w:bottom w:val="nil"/>
              <w:right w:val="nil"/>
            </w:tcBorders>
            <w:shd w:val="clear" w:color="auto" w:fill="auto"/>
            <w:noWrap/>
            <w:vAlign w:val="center"/>
            <w:hideMark/>
          </w:tcPr>
          <w:p w14:paraId="6B20C0AC"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D</w:t>
            </w:r>
          </w:p>
        </w:tc>
        <w:tc>
          <w:tcPr>
            <w:tcW w:w="389" w:type="pct"/>
            <w:tcBorders>
              <w:top w:val="single" w:sz="4" w:space="0" w:color="F39200"/>
              <w:left w:val="nil"/>
              <w:bottom w:val="nil"/>
              <w:right w:val="nil"/>
            </w:tcBorders>
            <w:shd w:val="clear" w:color="auto" w:fill="auto"/>
            <w:noWrap/>
            <w:vAlign w:val="center"/>
            <w:hideMark/>
          </w:tcPr>
          <w:p w14:paraId="628C7454"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E</w:t>
            </w:r>
          </w:p>
        </w:tc>
        <w:tc>
          <w:tcPr>
            <w:tcW w:w="387" w:type="pct"/>
            <w:tcBorders>
              <w:top w:val="single" w:sz="4" w:space="0" w:color="F39200"/>
              <w:left w:val="nil"/>
              <w:bottom w:val="nil"/>
              <w:right w:val="nil"/>
            </w:tcBorders>
            <w:shd w:val="clear" w:color="auto" w:fill="auto"/>
            <w:noWrap/>
            <w:vAlign w:val="center"/>
            <w:hideMark/>
          </w:tcPr>
          <w:p w14:paraId="41579F72"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F</w:t>
            </w:r>
          </w:p>
        </w:tc>
        <w:tc>
          <w:tcPr>
            <w:tcW w:w="387" w:type="pct"/>
            <w:tcBorders>
              <w:top w:val="single" w:sz="4" w:space="0" w:color="F39200"/>
              <w:left w:val="nil"/>
              <w:bottom w:val="nil"/>
              <w:right w:val="nil"/>
            </w:tcBorders>
            <w:shd w:val="clear" w:color="auto" w:fill="auto"/>
            <w:noWrap/>
            <w:vAlign w:val="center"/>
            <w:hideMark/>
          </w:tcPr>
          <w:p w14:paraId="598CA597"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G</w:t>
            </w:r>
          </w:p>
        </w:tc>
        <w:tc>
          <w:tcPr>
            <w:tcW w:w="387" w:type="pct"/>
            <w:tcBorders>
              <w:top w:val="single" w:sz="4" w:space="0" w:color="F39200"/>
              <w:left w:val="nil"/>
              <w:bottom w:val="nil"/>
              <w:right w:val="nil"/>
            </w:tcBorders>
            <w:shd w:val="clear" w:color="auto" w:fill="auto"/>
            <w:noWrap/>
            <w:vAlign w:val="center"/>
            <w:hideMark/>
          </w:tcPr>
          <w:p w14:paraId="03B96F25" w14:textId="77777777"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H</w:t>
            </w:r>
          </w:p>
        </w:tc>
        <w:tc>
          <w:tcPr>
            <w:tcW w:w="441" w:type="pct"/>
            <w:tcBorders>
              <w:top w:val="single" w:sz="4" w:space="0" w:color="F39200"/>
              <w:left w:val="nil"/>
              <w:bottom w:val="nil"/>
              <w:right w:val="nil"/>
            </w:tcBorders>
            <w:vAlign w:val="center"/>
          </w:tcPr>
          <w:p w14:paraId="7BE99762" w14:textId="3569AC84"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30/06/2024</w:t>
            </w:r>
          </w:p>
        </w:tc>
        <w:tc>
          <w:tcPr>
            <w:tcW w:w="431" w:type="pct"/>
            <w:tcBorders>
              <w:top w:val="single" w:sz="4" w:space="0" w:color="F39200"/>
              <w:left w:val="nil"/>
              <w:bottom w:val="nil"/>
              <w:right w:val="nil"/>
            </w:tcBorders>
            <w:shd w:val="clear" w:color="auto" w:fill="auto"/>
            <w:noWrap/>
            <w:vAlign w:val="center"/>
            <w:hideMark/>
          </w:tcPr>
          <w:p w14:paraId="4B618C9A" w14:textId="1228513A" w:rsidR="00C84319" w:rsidRPr="00E20D21" w:rsidRDefault="00C84319" w:rsidP="00C84319">
            <w:pPr>
              <w:jc w:val="center"/>
              <w:rPr>
                <w:rFonts w:ascii="CAIXA Std Book" w:hAnsi="CAIXA Std Book"/>
                <w:b/>
                <w:color w:val="005CA9"/>
                <w:sz w:val="16"/>
                <w:szCs w:val="16"/>
              </w:rPr>
            </w:pPr>
            <w:r w:rsidRPr="00E20D21">
              <w:rPr>
                <w:rFonts w:ascii="CAIXA Std Book" w:hAnsi="CAIXA Std Book"/>
                <w:b/>
                <w:color w:val="005CA9"/>
                <w:sz w:val="16"/>
                <w:szCs w:val="16"/>
              </w:rPr>
              <w:t>31/12/2023</w:t>
            </w:r>
          </w:p>
        </w:tc>
      </w:tr>
      <w:tr w:rsidR="001232DC" w:rsidRPr="00E20D21" w14:paraId="5CC33656" w14:textId="77777777" w:rsidTr="0064419B">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75336BDC" w14:textId="77777777" w:rsidR="001232DC" w:rsidRPr="00E20D21" w:rsidRDefault="001232DC" w:rsidP="001232DC">
            <w:pPr>
              <w:rPr>
                <w:rFonts w:ascii="CAIXA Std Book" w:hAnsi="CAIXA Std Book"/>
                <w:b/>
                <w:color w:val="005CA9"/>
                <w:sz w:val="16"/>
                <w:szCs w:val="16"/>
              </w:rPr>
            </w:pPr>
            <w:r w:rsidRPr="00E20D21">
              <w:rPr>
                <w:rFonts w:ascii="CAIXA Std Book" w:hAnsi="CAIXA Std Book"/>
                <w:b/>
                <w:color w:val="005CA9"/>
                <w:sz w:val="16"/>
                <w:szCs w:val="16"/>
              </w:rPr>
              <w:t>Parcelas vincendas</w:t>
            </w:r>
          </w:p>
        </w:tc>
        <w:tc>
          <w:tcPr>
            <w:tcW w:w="388" w:type="pct"/>
            <w:tcBorders>
              <w:top w:val="single" w:sz="4" w:space="0" w:color="F39200"/>
              <w:left w:val="nil"/>
              <w:bottom w:val="single" w:sz="4" w:space="0" w:color="F39200"/>
              <w:right w:val="nil"/>
            </w:tcBorders>
            <w:shd w:val="clear" w:color="auto" w:fill="auto"/>
            <w:noWrap/>
            <w:vAlign w:val="center"/>
          </w:tcPr>
          <w:p w14:paraId="50BDD088"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single" w:sz="4" w:space="0" w:color="F39200"/>
              <w:left w:val="nil"/>
              <w:bottom w:val="single" w:sz="4" w:space="0" w:color="F39200"/>
              <w:right w:val="nil"/>
            </w:tcBorders>
            <w:shd w:val="clear" w:color="auto" w:fill="auto"/>
            <w:noWrap/>
            <w:vAlign w:val="center"/>
          </w:tcPr>
          <w:p w14:paraId="1CF5C3C1"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single" w:sz="4" w:space="0" w:color="F39200"/>
              <w:left w:val="nil"/>
              <w:bottom w:val="single" w:sz="4" w:space="0" w:color="F39200"/>
              <w:right w:val="nil"/>
            </w:tcBorders>
            <w:shd w:val="clear" w:color="auto" w:fill="auto"/>
            <w:noWrap/>
            <w:vAlign w:val="center"/>
          </w:tcPr>
          <w:p w14:paraId="1B638E7E" w14:textId="575851CF" w:rsidR="001232DC" w:rsidRPr="00E20D21" w:rsidRDefault="001232DC" w:rsidP="001232DC">
            <w:pPr>
              <w:jc w:val="right"/>
              <w:rPr>
                <w:rFonts w:ascii="CAIXA Std Book" w:hAnsi="CAIXA Std Book"/>
                <w:b/>
                <w:color w:val="005CA9"/>
                <w:sz w:val="16"/>
                <w:szCs w:val="16"/>
              </w:rPr>
            </w:pPr>
            <w:r w:rsidRPr="00E20D21">
              <w:rPr>
                <w:rFonts w:ascii="CAIXA Std Book" w:hAnsi="CAIXA Std Book" w:cs="Arial"/>
                <w:b/>
                <w:bCs/>
                <w:color w:val="005CA9"/>
                <w:sz w:val="16"/>
                <w:szCs w:val="16"/>
              </w:rPr>
              <w:t>17.477.</w:t>
            </w:r>
            <w:r w:rsidR="00BB3640" w:rsidRPr="00E20D21">
              <w:rPr>
                <w:rFonts w:ascii="CAIXA Std Book" w:hAnsi="CAIXA Std Book" w:cs="Arial"/>
                <w:b/>
                <w:bCs/>
                <w:color w:val="005CA9"/>
                <w:sz w:val="16"/>
                <w:szCs w:val="16"/>
              </w:rPr>
              <w:t>708</w:t>
            </w:r>
          </w:p>
        </w:tc>
        <w:tc>
          <w:tcPr>
            <w:tcW w:w="388" w:type="pct"/>
            <w:tcBorders>
              <w:top w:val="single" w:sz="4" w:space="0" w:color="F39200"/>
              <w:left w:val="nil"/>
              <w:bottom w:val="single" w:sz="4" w:space="0" w:color="F39200"/>
              <w:right w:val="nil"/>
            </w:tcBorders>
            <w:shd w:val="clear" w:color="auto" w:fill="auto"/>
            <w:noWrap/>
            <w:vAlign w:val="center"/>
          </w:tcPr>
          <w:p w14:paraId="555E4745" w14:textId="3633F6AC" w:rsidR="001232DC" w:rsidRPr="00E20D21" w:rsidRDefault="001232DC" w:rsidP="001232DC">
            <w:pPr>
              <w:jc w:val="right"/>
              <w:rPr>
                <w:rFonts w:ascii="CAIXA Std Book" w:hAnsi="CAIXA Std Book"/>
                <w:b/>
                <w:color w:val="005CA9"/>
                <w:sz w:val="16"/>
                <w:szCs w:val="16"/>
              </w:rPr>
            </w:pPr>
            <w:r w:rsidRPr="00E20D21">
              <w:rPr>
                <w:rFonts w:ascii="CAIXA Std Book" w:hAnsi="CAIXA Std Book" w:cs="Arial"/>
                <w:b/>
                <w:bCs/>
                <w:color w:val="005CA9"/>
                <w:sz w:val="16"/>
                <w:szCs w:val="16"/>
              </w:rPr>
              <w:t>30.731.754</w:t>
            </w:r>
          </w:p>
        </w:tc>
        <w:tc>
          <w:tcPr>
            <w:tcW w:w="384" w:type="pct"/>
            <w:tcBorders>
              <w:top w:val="single" w:sz="4" w:space="0" w:color="F39200"/>
              <w:left w:val="nil"/>
              <w:bottom w:val="single" w:sz="4" w:space="0" w:color="F39200"/>
              <w:right w:val="nil"/>
            </w:tcBorders>
            <w:shd w:val="clear" w:color="auto" w:fill="auto"/>
            <w:noWrap/>
            <w:vAlign w:val="center"/>
          </w:tcPr>
          <w:p w14:paraId="1CE1178E" w14:textId="2A653B27" w:rsidR="001232DC" w:rsidRPr="00E20D21" w:rsidRDefault="001232DC" w:rsidP="001232DC">
            <w:pPr>
              <w:jc w:val="right"/>
              <w:rPr>
                <w:rFonts w:ascii="CAIXA Std Book" w:hAnsi="CAIXA Std Book"/>
                <w:b/>
                <w:color w:val="005CA9"/>
                <w:sz w:val="16"/>
                <w:szCs w:val="16"/>
              </w:rPr>
            </w:pPr>
            <w:r w:rsidRPr="00E20D21">
              <w:rPr>
                <w:rFonts w:ascii="CAIXA Std Book" w:hAnsi="CAIXA Std Book" w:cs="Arial"/>
                <w:b/>
                <w:bCs/>
                <w:color w:val="005CA9"/>
                <w:sz w:val="16"/>
                <w:szCs w:val="16"/>
              </w:rPr>
              <w:t>7.142.469</w:t>
            </w:r>
          </w:p>
        </w:tc>
        <w:tc>
          <w:tcPr>
            <w:tcW w:w="389" w:type="pct"/>
            <w:tcBorders>
              <w:top w:val="single" w:sz="4" w:space="0" w:color="F39200"/>
              <w:left w:val="nil"/>
              <w:bottom w:val="single" w:sz="4" w:space="0" w:color="F39200"/>
              <w:right w:val="nil"/>
            </w:tcBorders>
            <w:shd w:val="clear" w:color="auto" w:fill="auto"/>
            <w:noWrap/>
            <w:vAlign w:val="center"/>
          </w:tcPr>
          <w:p w14:paraId="0251753C" w14:textId="3F34D618" w:rsidR="001232DC" w:rsidRPr="00E20D21" w:rsidRDefault="001232DC" w:rsidP="001232DC">
            <w:pPr>
              <w:jc w:val="right"/>
              <w:rPr>
                <w:rFonts w:ascii="CAIXA Std Book" w:hAnsi="CAIXA Std Book"/>
                <w:b/>
                <w:color w:val="005CA9"/>
                <w:sz w:val="16"/>
                <w:szCs w:val="16"/>
              </w:rPr>
            </w:pPr>
            <w:r w:rsidRPr="00E20D21">
              <w:rPr>
                <w:rFonts w:ascii="CAIXA Std Book" w:hAnsi="CAIXA Std Book" w:cs="Arial"/>
                <w:b/>
                <w:bCs/>
                <w:color w:val="005CA9"/>
                <w:sz w:val="16"/>
                <w:szCs w:val="16"/>
              </w:rPr>
              <w:t>6.066.298</w:t>
            </w:r>
          </w:p>
        </w:tc>
        <w:tc>
          <w:tcPr>
            <w:tcW w:w="387" w:type="pct"/>
            <w:tcBorders>
              <w:top w:val="single" w:sz="4" w:space="0" w:color="F39200"/>
              <w:left w:val="nil"/>
              <w:bottom w:val="single" w:sz="4" w:space="0" w:color="F39200"/>
              <w:right w:val="nil"/>
            </w:tcBorders>
            <w:shd w:val="clear" w:color="auto" w:fill="auto"/>
            <w:noWrap/>
            <w:vAlign w:val="center"/>
          </w:tcPr>
          <w:p w14:paraId="0A0B3FB0" w14:textId="2FCEF51C" w:rsidR="001232DC" w:rsidRPr="00E20D21" w:rsidRDefault="001232DC" w:rsidP="001232DC">
            <w:pPr>
              <w:jc w:val="right"/>
              <w:rPr>
                <w:rFonts w:ascii="CAIXA Std Book" w:hAnsi="CAIXA Std Book"/>
                <w:b/>
                <w:color w:val="005CA9"/>
                <w:sz w:val="16"/>
                <w:szCs w:val="16"/>
              </w:rPr>
            </w:pPr>
            <w:r w:rsidRPr="00E20D21">
              <w:rPr>
                <w:rFonts w:ascii="CAIXA Std Book" w:hAnsi="CAIXA Std Book" w:cs="Arial"/>
                <w:b/>
                <w:bCs/>
                <w:color w:val="005CA9"/>
                <w:sz w:val="16"/>
                <w:szCs w:val="16"/>
              </w:rPr>
              <w:t>3.264.450</w:t>
            </w:r>
          </w:p>
        </w:tc>
        <w:tc>
          <w:tcPr>
            <w:tcW w:w="387" w:type="pct"/>
            <w:tcBorders>
              <w:top w:val="single" w:sz="4" w:space="0" w:color="F39200"/>
              <w:left w:val="nil"/>
              <w:bottom w:val="single" w:sz="4" w:space="0" w:color="F39200"/>
              <w:right w:val="nil"/>
            </w:tcBorders>
            <w:shd w:val="clear" w:color="auto" w:fill="auto"/>
            <w:noWrap/>
            <w:vAlign w:val="center"/>
          </w:tcPr>
          <w:p w14:paraId="6C9701F4" w14:textId="17351FF7" w:rsidR="001232DC" w:rsidRPr="00E20D21" w:rsidRDefault="001232DC" w:rsidP="001232DC">
            <w:pPr>
              <w:jc w:val="right"/>
              <w:rPr>
                <w:rFonts w:ascii="CAIXA Std Book" w:hAnsi="CAIXA Std Book"/>
                <w:b/>
                <w:color w:val="005CA9"/>
                <w:sz w:val="16"/>
                <w:szCs w:val="16"/>
              </w:rPr>
            </w:pPr>
            <w:r w:rsidRPr="00E20D21">
              <w:rPr>
                <w:rFonts w:ascii="CAIXA Std Book" w:hAnsi="CAIXA Std Book" w:cs="Arial"/>
                <w:b/>
                <w:bCs/>
                <w:color w:val="005CA9"/>
                <w:sz w:val="16"/>
                <w:szCs w:val="16"/>
              </w:rPr>
              <w:t>1.944.817</w:t>
            </w:r>
          </w:p>
        </w:tc>
        <w:tc>
          <w:tcPr>
            <w:tcW w:w="387" w:type="pct"/>
            <w:tcBorders>
              <w:top w:val="single" w:sz="4" w:space="0" w:color="F39200"/>
              <w:left w:val="nil"/>
              <w:bottom w:val="single" w:sz="4" w:space="0" w:color="F39200"/>
              <w:right w:val="nil"/>
            </w:tcBorders>
            <w:shd w:val="clear" w:color="auto" w:fill="auto"/>
            <w:noWrap/>
            <w:vAlign w:val="center"/>
          </w:tcPr>
          <w:p w14:paraId="7832D541" w14:textId="6DD58136" w:rsidR="001232DC" w:rsidRPr="00E20D21" w:rsidRDefault="001232DC" w:rsidP="001232DC">
            <w:pPr>
              <w:jc w:val="right"/>
              <w:rPr>
                <w:rFonts w:ascii="CAIXA Std Book" w:hAnsi="CAIXA Std Book"/>
                <w:b/>
                <w:color w:val="005CA9"/>
                <w:sz w:val="16"/>
                <w:szCs w:val="16"/>
              </w:rPr>
            </w:pPr>
            <w:r w:rsidRPr="00E20D21">
              <w:rPr>
                <w:rFonts w:ascii="CAIXA Std Book" w:hAnsi="CAIXA Std Book" w:cs="Arial"/>
                <w:b/>
                <w:bCs/>
                <w:color w:val="005CA9"/>
                <w:sz w:val="16"/>
                <w:szCs w:val="16"/>
              </w:rPr>
              <w:t>5.256.239</w:t>
            </w:r>
          </w:p>
        </w:tc>
        <w:tc>
          <w:tcPr>
            <w:tcW w:w="441" w:type="pct"/>
            <w:tcBorders>
              <w:top w:val="single" w:sz="4" w:space="0" w:color="F39200"/>
              <w:left w:val="nil"/>
              <w:bottom w:val="single" w:sz="4" w:space="0" w:color="F39200"/>
              <w:right w:val="nil"/>
            </w:tcBorders>
            <w:vAlign w:val="center"/>
          </w:tcPr>
          <w:p w14:paraId="512C179F" w14:textId="2A7EA352" w:rsidR="001232DC" w:rsidRPr="00E20D21" w:rsidRDefault="001232DC" w:rsidP="001232DC">
            <w:pPr>
              <w:jc w:val="right"/>
              <w:rPr>
                <w:rFonts w:ascii="CAIXA Std Book" w:hAnsi="CAIXA Std Book"/>
                <w:b/>
                <w:color w:val="005CA9"/>
                <w:sz w:val="16"/>
                <w:szCs w:val="16"/>
              </w:rPr>
            </w:pPr>
            <w:r w:rsidRPr="00E20D21">
              <w:rPr>
                <w:rFonts w:ascii="CAIXA Std Book" w:hAnsi="CAIXA Std Book" w:cs="Arial"/>
                <w:b/>
                <w:bCs/>
                <w:color w:val="005CA9"/>
                <w:sz w:val="16"/>
                <w:szCs w:val="16"/>
              </w:rPr>
              <w:t>71.883.</w:t>
            </w:r>
            <w:r w:rsidR="00BB3640" w:rsidRPr="00E20D21">
              <w:rPr>
                <w:rFonts w:ascii="CAIXA Std Book" w:hAnsi="CAIXA Std Book" w:cs="Arial"/>
                <w:b/>
                <w:bCs/>
                <w:color w:val="005CA9"/>
                <w:sz w:val="16"/>
                <w:szCs w:val="16"/>
              </w:rPr>
              <w:t>735</w:t>
            </w:r>
          </w:p>
        </w:tc>
        <w:tc>
          <w:tcPr>
            <w:tcW w:w="431" w:type="pct"/>
            <w:tcBorders>
              <w:top w:val="single" w:sz="4" w:space="0" w:color="F39200"/>
              <w:left w:val="nil"/>
              <w:bottom w:val="single" w:sz="4" w:space="0" w:color="F39200"/>
              <w:right w:val="nil"/>
            </w:tcBorders>
            <w:shd w:val="clear" w:color="auto" w:fill="auto"/>
            <w:noWrap/>
            <w:vAlign w:val="center"/>
          </w:tcPr>
          <w:p w14:paraId="23931617" w14:textId="04C643C7" w:rsidR="001232DC" w:rsidRPr="00E20D21" w:rsidRDefault="001232DC" w:rsidP="001232DC">
            <w:pPr>
              <w:jc w:val="right"/>
              <w:rPr>
                <w:rFonts w:ascii="CAIXA Std Book" w:hAnsi="CAIXA Std Book"/>
                <w:b/>
                <w:color w:val="005CA9"/>
                <w:sz w:val="16"/>
                <w:szCs w:val="16"/>
              </w:rPr>
            </w:pPr>
            <w:r w:rsidRPr="00E20D21">
              <w:rPr>
                <w:rFonts w:ascii="CAIXA Std Book" w:hAnsi="CAIXA Std Book"/>
                <w:b/>
                <w:bCs/>
                <w:color w:val="005CA9"/>
                <w:sz w:val="16"/>
                <w:szCs w:val="16"/>
              </w:rPr>
              <w:t>75.491.021</w:t>
            </w:r>
          </w:p>
        </w:tc>
      </w:tr>
      <w:tr w:rsidR="001232DC" w:rsidRPr="00E20D21" w14:paraId="7FD84D22" w14:textId="77777777" w:rsidTr="0064419B">
        <w:trPr>
          <w:trHeight w:val="255"/>
        </w:trPr>
        <w:tc>
          <w:tcPr>
            <w:tcW w:w="643" w:type="pct"/>
            <w:tcBorders>
              <w:top w:val="nil"/>
              <w:left w:val="nil"/>
              <w:bottom w:val="nil"/>
              <w:right w:val="nil"/>
            </w:tcBorders>
            <w:shd w:val="clear" w:color="auto" w:fill="auto"/>
            <w:noWrap/>
            <w:vAlign w:val="center"/>
            <w:hideMark/>
          </w:tcPr>
          <w:p w14:paraId="4808741B" w14:textId="77777777" w:rsidR="001232DC" w:rsidRPr="00E20D21" w:rsidRDefault="001232DC" w:rsidP="001232DC">
            <w:pPr>
              <w:rPr>
                <w:rFonts w:ascii="CAIXA Std Book" w:hAnsi="CAIXA Std Book"/>
                <w:color w:val="005CA9"/>
                <w:sz w:val="16"/>
                <w:szCs w:val="16"/>
              </w:rPr>
            </w:pPr>
            <w:r w:rsidRPr="00E20D21">
              <w:rPr>
                <w:rFonts w:ascii="CAIXA Std Book" w:hAnsi="CAIXA Std Book"/>
                <w:color w:val="005CA9"/>
                <w:sz w:val="16"/>
                <w:szCs w:val="16"/>
              </w:rPr>
              <w:t>01 a 30 dias</w:t>
            </w:r>
          </w:p>
        </w:tc>
        <w:tc>
          <w:tcPr>
            <w:tcW w:w="388" w:type="pct"/>
            <w:tcBorders>
              <w:top w:val="nil"/>
              <w:left w:val="nil"/>
              <w:bottom w:val="nil"/>
              <w:right w:val="nil"/>
            </w:tcBorders>
            <w:shd w:val="clear" w:color="auto" w:fill="auto"/>
            <w:noWrap/>
            <w:vAlign w:val="center"/>
          </w:tcPr>
          <w:p w14:paraId="075B1B1C"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4D2BB8D8"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215F0EBD" w14:textId="23F36A0E"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199.</w:t>
            </w:r>
            <w:r w:rsidR="00BB3640" w:rsidRPr="00E20D21">
              <w:rPr>
                <w:rFonts w:ascii="CAIXA Std Book" w:hAnsi="CAIXA Std Book"/>
                <w:color w:val="005CA9"/>
                <w:sz w:val="16"/>
                <w:szCs w:val="16"/>
              </w:rPr>
              <w:t>071</w:t>
            </w:r>
          </w:p>
        </w:tc>
        <w:tc>
          <w:tcPr>
            <w:tcW w:w="388" w:type="pct"/>
            <w:tcBorders>
              <w:top w:val="nil"/>
              <w:left w:val="nil"/>
              <w:bottom w:val="nil"/>
              <w:right w:val="nil"/>
            </w:tcBorders>
            <w:shd w:val="clear" w:color="auto" w:fill="auto"/>
            <w:noWrap/>
            <w:vAlign w:val="center"/>
          </w:tcPr>
          <w:p w14:paraId="56C51B16" w14:textId="29D3FD56"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325.375</w:t>
            </w:r>
          </w:p>
        </w:tc>
        <w:tc>
          <w:tcPr>
            <w:tcW w:w="384" w:type="pct"/>
            <w:tcBorders>
              <w:top w:val="nil"/>
              <w:left w:val="nil"/>
              <w:bottom w:val="nil"/>
              <w:right w:val="nil"/>
            </w:tcBorders>
            <w:shd w:val="clear" w:color="auto" w:fill="auto"/>
            <w:noWrap/>
            <w:vAlign w:val="center"/>
          </w:tcPr>
          <w:p w14:paraId="62ACFE32" w14:textId="5EFD8477"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152.850</w:t>
            </w:r>
          </w:p>
        </w:tc>
        <w:tc>
          <w:tcPr>
            <w:tcW w:w="389" w:type="pct"/>
            <w:tcBorders>
              <w:top w:val="nil"/>
              <w:left w:val="nil"/>
              <w:bottom w:val="nil"/>
              <w:right w:val="nil"/>
            </w:tcBorders>
            <w:shd w:val="clear" w:color="auto" w:fill="auto"/>
            <w:noWrap/>
            <w:vAlign w:val="center"/>
          </w:tcPr>
          <w:p w14:paraId="21A0B0E3" w14:textId="43BA6125"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104.144</w:t>
            </w:r>
          </w:p>
        </w:tc>
        <w:tc>
          <w:tcPr>
            <w:tcW w:w="387" w:type="pct"/>
            <w:tcBorders>
              <w:top w:val="nil"/>
              <w:left w:val="nil"/>
              <w:bottom w:val="nil"/>
              <w:right w:val="nil"/>
            </w:tcBorders>
            <w:shd w:val="clear" w:color="auto" w:fill="auto"/>
            <w:noWrap/>
            <w:vAlign w:val="center"/>
          </w:tcPr>
          <w:p w14:paraId="2CAEBD72" w14:textId="505025FE"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83.197</w:t>
            </w:r>
          </w:p>
        </w:tc>
        <w:tc>
          <w:tcPr>
            <w:tcW w:w="387" w:type="pct"/>
            <w:tcBorders>
              <w:top w:val="nil"/>
              <w:left w:val="nil"/>
              <w:bottom w:val="nil"/>
              <w:right w:val="nil"/>
            </w:tcBorders>
            <w:shd w:val="clear" w:color="auto" w:fill="auto"/>
            <w:noWrap/>
            <w:vAlign w:val="center"/>
          </w:tcPr>
          <w:p w14:paraId="46A6951B" w14:textId="62EE7DA9"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40.878</w:t>
            </w:r>
          </w:p>
        </w:tc>
        <w:tc>
          <w:tcPr>
            <w:tcW w:w="387" w:type="pct"/>
            <w:tcBorders>
              <w:top w:val="nil"/>
              <w:left w:val="nil"/>
              <w:bottom w:val="nil"/>
              <w:right w:val="nil"/>
            </w:tcBorders>
            <w:shd w:val="clear" w:color="auto" w:fill="auto"/>
            <w:noWrap/>
            <w:vAlign w:val="center"/>
          </w:tcPr>
          <w:p w14:paraId="7FB30CB7" w14:textId="25C9665C"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158.269</w:t>
            </w:r>
          </w:p>
        </w:tc>
        <w:tc>
          <w:tcPr>
            <w:tcW w:w="441" w:type="pct"/>
            <w:tcBorders>
              <w:top w:val="nil"/>
              <w:left w:val="nil"/>
              <w:bottom w:val="nil"/>
              <w:right w:val="nil"/>
            </w:tcBorders>
            <w:vAlign w:val="center"/>
          </w:tcPr>
          <w:p w14:paraId="12FBB581" w14:textId="581E25CB"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1.063.</w:t>
            </w:r>
            <w:r w:rsidR="00BB3640" w:rsidRPr="00E20D21">
              <w:rPr>
                <w:rFonts w:ascii="CAIXA Std Book" w:hAnsi="CAIXA Std Book" w:cs="Arial"/>
                <w:color w:val="005CA9"/>
                <w:sz w:val="16"/>
                <w:szCs w:val="16"/>
              </w:rPr>
              <w:t>784</w:t>
            </w:r>
          </w:p>
        </w:tc>
        <w:tc>
          <w:tcPr>
            <w:tcW w:w="431" w:type="pct"/>
            <w:tcBorders>
              <w:top w:val="nil"/>
              <w:left w:val="nil"/>
              <w:bottom w:val="nil"/>
              <w:right w:val="nil"/>
            </w:tcBorders>
            <w:shd w:val="clear" w:color="auto" w:fill="auto"/>
            <w:noWrap/>
            <w:vAlign w:val="center"/>
          </w:tcPr>
          <w:p w14:paraId="5D6ED46D" w14:textId="4522DF77"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1.213.174</w:t>
            </w:r>
          </w:p>
        </w:tc>
      </w:tr>
      <w:tr w:rsidR="001232DC" w:rsidRPr="00E20D21" w14:paraId="4EB474C0" w14:textId="77777777" w:rsidTr="0064419B">
        <w:trPr>
          <w:trHeight w:val="255"/>
        </w:trPr>
        <w:tc>
          <w:tcPr>
            <w:tcW w:w="643" w:type="pct"/>
            <w:tcBorders>
              <w:top w:val="nil"/>
              <w:left w:val="nil"/>
              <w:bottom w:val="nil"/>
              <w:right w:val="nil"/>
            </w:tcBorders>
            <w:shd w:val="clear" w:color="auto" w:fill="auto"/>
            <w:noWrap/>
            <w:vAlign w:val="center"/>
            <w:hideMark/>
          </w:tcPr>
          <w:p w14:paraId="28141501" w14:textId="77777777" w:rsidR="001232DC" w:rsidRPr="00E20D21" w:rsidRDefault="001232DC" w:rsidP="001232DC">
            <w:pPr>
              <w:rPr>
                <w:rFonts w:ascii="CAIXA Std Book" w:hAnsi="CAIXA Std Book"/>
                <w:color w:val="005CA9"/>
                <w:sz w:val="16"/>
                <w:szCs w:val="16"/>
              </w:rPr>
            </w:pPr>
            <w:r w:rsidRPr="00E20D21">
              <w:rPr>
                <w:rFonts w:ascii="CAIXA Std Book" w:hAnsi="CAIXA Std Book"/>
                <w:color w:val="005CA9"/>
                <w:sz w:val="16"/>
                <w:szCs w:val="16"/>
              </w:rPr>
              <w:t>31 a 60 dias</w:t>
            </w:r>
          </w:p>
        </w:tc>
        <w:tc>
          <w:tcPr>
            <w:tcW w:w="388" w:type="pct"/>
            <w:tcBorders>
              <w:top w:val="nil"/>
              <w:left w:val="nil"/>
              <w:bottom w:val="nil"/>
              <w:right w:val="nil"/>
            </w:tcBorders>
            <w:shd w:val="clear" w:color="auto" w:fill="auto"/>
            <w:noWrap/>
            <w:vAlign w:val="center"/>
          </w:tcPr>
          <w:p w14:paraId="25768063"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4E281235"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724F5697" w14:textId="74D2CA9B"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191.310</w:t>
            </w:r>
          </w:p>
        </w:tc>
        <w:tc>
          <w:tcPr>
            <w:tcW w:w="388" w:type="pct"/>
            <w:tcBorders>
              <w:top w:val="nil"/>
              <w:left w:val="nil"/>
              <w:bottom w:val="nil"/>
              <w:right w:val="nil"/>
            </w:tcBorders>
            <w:shd w:val="clear" w:color="auto" w:fill="auto"/>
            <w:noWrap/>
            <w:vAlign w:val="center"/>
          </w:tcPr>
          <w:p w14:paraId="68B9C8CD" w14:textId="65406E14"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296.594</w:t>
            </w:r>
          </w:p>
        </w:tc>
        <w:tc>
          <w:tcPr>
            <w:tcW w:w="384" w:type="pct"/>
            <w:tcBorders>
              <w:top w:val="nil"/>
              <w:left w:val="nil"/>
              <w:bottom w:val="nil"/>
              <w:right w:val="nil"/>
            </w:tcBorders>
            <w:shd w:val="clear" w:color="auto" w:fill="auto"/>
            <w:noWrap/>
            <w:vAlign w:val="center"/>
          </w:tcPr>
          <w:p w14:paraId="3A595AAE" w14:textId="6F3954EE"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147.718</w:t>
            </w:r>
          </w:p>
        </w:tc>
        <w:tc>
          <w:tcPr>
            <w:tcW w:w="389" w:type="pct"/>
            <w:tcBorders>
              <w:top w:val="nil"/>
              <w:left w:val="nil"/>
              <w:bottom w:val="nil"/>
              <w:right w:val="nil"/>
            </w:tcBorders>
            <w:shd w:val="clear" w:color="auto" w:fill="auto"/>
            <w:noWrap/>
            <w:vAlign w:val="center"/>
          </w:tcPr>
          <w:p w14:paraId="10F8A8DE" w14:textId="08B7FA44"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95.515</w:t>
            </w:r>
          </w:p>
        </w:tc>
        <w:tc>
          <w:tcPr>
            <w:tcW w:w="387" w:type="pct"/>
            <w:tcBorders>
              <w:top w:val="nil"/>
              <w:left w:val="nil"/>
              <w:bottom w:val="nil"/>
              <w:right w:val="nil"/>
            </w:tcBorders>
            <w:shd w:val="clear" w:color="auto" w:fill="auto"/>
            <w:noWrap/>
            <w:vAlign w:val="center"/>
          </w:tcPr>
          <w:p w14:paraId="2E731674" w14:textId="0B24EA2B"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78.605</w:t>
            </w:r>
          </w:p>
        </w:tc>
        <w:tc>
          <w:tcPr>
            <w:tcW w:w="387" w:type="pct"/>
            <w:tcBorders>
              <w:top w:val="nil"/>
              <w:left w:val="nil"/>
              <w:bottom w:val="nil"/>
              <w:right w:val="nil"/>
            </w:tcBorders>
            <w:shd w:val="clear" w:color="auto" w:fill="auto"/>
            <w:noWrap/>
            <w:vAlign w:val="center"/>
          </w:tcPr>
          <w:p w14:paraId="103136C3" w14:textId="62237A84"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36.385</w:t>
            </w:r>
          </w:p>
        </w:tc>
        <w:tc>
          <w:tcPr>
            <w:tcW w:w="387" w:type="pct"/>
            <w:tcBorders>
              <w:top w:val="nil"/>
              <w:left w:val="nil"/>
              <w:bottom w:val="nil"/>
              <w:right w:val="nil"/>
            </w:tcBorders>
            <w:shd w:val="clear" w:color="auto" w:fill="auto"/>
            <w:noWrap/>
            <w:vAlign w:val="center"/>
          </w:tcPr>
          <w:p w14:paraId="4B0E896B" w14:textId="15090B34"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143.199</w:t>
            </w:r>
          </w:p>
        </w:tc>
        <w:tc>
          <w:tcPr>
            <w:tcW w:w="441" w:type="pct"/>
            <w:tcBorders>
              <w:top w:val="nil"/>
              <w:left w:val="nil"/>
              <w:bottom w:val="nil"/>
              <w:right w:val="nil"/>
            </w:tcBorders>
            <w:vAlign w:val="center"/>
          </w:tcPr>
          <w:p w14:paraId="07BA98A7" w14:textId="62B5AE1A"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989.326</w:t>
            </w:r>
          </w:p>
        </w:tc>
        <w:tc>
          <w:tcPr>
            <w:tcW w:w="431" w:type="pct"/>
            <w:tcBorders>
              <w:top w:val="nil"/>
              <w:left w:val="nil"/>
              <w:bottom w:val="nil"/>
              <w:right w:val="nil"/>
            </w:tcBorders>
            <w:shd w:val="clear" w:color="auto" w:fill="auto"/>
            <w:noWrap/>
            <w:vAlign w:val="center"/>
          </w:tcPr>
          <w:p w14:paraId="1C7EFCC9" w14:textId="65E3BE95"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1.095.032</w:t>
            </w:r>
          </w:p>
        </w:tc>
      </w:tr>
      <w:tr w:rsidR="001232DC" w:rsidRPr="00E20D21" w14:paraId="52691CB3" w14:textId="77777777" w:rsidTr="0064419B">
        <w:trPr>
          <w:trHeight w:val="255"/>
        </w:trPr>
        <w:tc>
          <w:tcPr>
            <w:tcW w:w="643" w:type="pct"/>
            <w:tcBorders>
              <w:top w:val="nil"/>
              <w:left w:val="nil"/>
              <w:bottom w:val="nil"/>
              <w:right w:val="nil"/>
            </w:tcBorders>
            <w:shd w:val="clear" w:color="auto" w:fill="auto"/>
            <w:noWrap/>
            <w:vAlign w:val="center"/>
            <w:hideMark/>
          </w:tcPr>
          <w:p w14:paraId="7BEFB965" w14:textId="77777777" w:rsidR="001232DC" w:rsidRPr="00E20D21" w:rsidRDefault="001232DC" w:rsidP="001232DC">
            <w:pPr>
              <w:rPr>
                <w:rFonts w:ascii="CAIXA Std Book" w:hAnsi="CAIXA Std Book"/>
                <w:color w:val="005CA9"/>
                <w:sz w:val="16"/>
                <w:szCs w:val="16"/>
              </w:rPr>
            </w:pPr>
            <w:r w:rsidRPr="00E20D21">
              <w:rPr>
                <w:rFonts w:ascii="CAIXA Std Book" w:hAnsi="CAIXA Std Book"/>
                <w:color w:val="005CA9"/>
                <w:sz w:val="16"/>
                <w:szCs w:val="16"/>
              </w:rPr>
              <w:t>61 a 90 dias</w:t>
            </w:r>
          </w:p>
        </w:tc>
        <w:tc>
          <w:tcPr>
            <w:tcW w:w="388" w:type="pct"/>
            <w:tcBorders>
              <w:top w:val="nil"/>
              <w:left w:val="nil"/>
              <w:bottom w:val="nil"/>
              <w:right w:val="nil"/>
            </w:tcBorders>
            <w:shd w:val="clear" w:color="auto" w:fill="auto"/>
            <w:noWrap/>
            <w:vAlign w:val="center"/>
          </w:tcPr>
          <w:p w14:paraId="36A85B1E"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73BC5873"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1B9A29B8" w14:textId="64D8B2B1"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169.352</w:t>
            </w:r>
          </w:p>
        </w:tc>
        <w:tc>
          <w:tcPr>
            <w:tcW w:w="388" w:type="pct"/>
            <w:tcBorders>
              <w:top w:val="nil"/>
              <w:left w:val="nil"/>
              <w:bottom w:val="nil"/>
              <w:right w:val="nil"/>
            </w:tcBorders>
            <w:shd w:val="clear" w:color="auto" w:fill="auto"/>
            <w:noWrap/>
            <w:vAlign w:val="center"/>
          </w:tcPr>
          <w:p w14:paraId="043F27BA" w14:textId="4C3E69EF"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279.230</w:t>
            </w:r>
          </w:p>
        </w:tc>
        <w:tc>
          <w:tcPr>
            <w:tcW w:w="384" w:type="pct"/>
            <w:tcBorders>
              <w:top w:val="nil"/>
              <w:left w:val="nil"/>
              <w:bottom w:val="nil"/>
              <w:right w:val="nil"/>
            </w:tcBorders>
            <w:shd w:val="clear" w:color="auto" w:fill="auto"/>
            <w:noWrap/>
            <w:vAlign w:val="center"/>
          </w:tcPr>
          <w:p w14:paraId="05E3C0AC" w14:textId="7D2AF7B4"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134.619</w:t>
            </w:r>
          </w:p>
        </w:tc>
        <w:tc>
          <w:tcPr>
            <w:tcW w:w="389" w:type="pct"/>
            <w:tcBorders>
              <w:top w:val="nil"/>
              <w:left w:val="nil"/>
              <w:bottom w:val="nil"/>
              <w:right w:val="nil"/>
            </w:tcBorders>
            <w:shd w:val="clear" w:color="auto" w:fill="auto"/>
            <w:noWrap/>
            <w:vAlign w:val="center"/>
          </w:tcPr>
          <w:p w14:paraId="0D633F82" w14:textId="2C46648A"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89.755</w:t>
            </w:r>
          </w:p>
        </w:tc>
        <w:tc>
          <w:tcPr>
            <w:tcW w:w="387" w:type="pct"/>
            <w:tcBorders>
              <w:top w:val="nil"/>
              <w:left w:val="nil"/>
              <w:bottom w:val="nil"/>
              <w:right w:val="nil"/>
            </w:tcBorders>
            <w:shd w:val="clear" w:color="auto" w:fill="auto"/>
            <w:noWrap/>
            <w:vAlign w:val="center"/>
          </w:tcPr>
          <w:p w14:paraId="33881A78" w14:textId="47C1EE49"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78.408</w:t>
            </w:r>
          </w:p>
        </w:tc>
        <w:tc>
          <w:tcPr>
            <w:tcW w:w="387" w:type="pct"/>
            <w:tcBorders>
              <w:top w:val="nil"/>
              <w:left w:val="nil"/>
              <w:bottom w:val="nil"/>
              <w:right w:val="nil"/>
            </w:tcBorders>
            <w:shd w:val="clear" w:color="auto" w:fill="auto"/>
            <w:noWrap/>
            <w:vAlign w:val="center"/>
          </w:tcPr>
          <w:p w14:paraId="076C48EF" w14:textId="0E8CF3ED"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34.708</w:t>
            </w:r>
          </w:p>
        </w:tc>
        <w:tc>
          <w:tcPr>
            <w:tcW w:w="387" w:type="pct"/>
            <w:tcBorders>
              <w:top w:val="nil"/>
              <w:left w:val="nil"/>
              <w:bottom w:val="nil"/>
              <w:right w:val="nil"/>
            </w:tcBorders>
            <w:shd w:val="clear" w:color="auto" w:fill="auto"/>
            <w:noWrap/>
            <w:vAlign w:val="center"/>
          </w:tcPr>
          <w:p w14:paraId="6036BC68" w14:textId="706EF634"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136.950</w:t>
            </w:r>
          </w:p>
        </w:tc>
        <w:tc>
          <w:tcPr>
            <w:tcW w:w="441" w:type="pct"/>
            <w:tcBorders>
              <w:top w:val="nil"/>
              <w:left w:val="nil"/>
              <w:bottom w:val="nil"/>
              <w:right w:val="nil"/>
            </w:tcBorders>
            <w:vAlign w:val="center"/>
          </w:tcPr>
          <w:p w14:paraId="2EE6DBD7" w14:textId="44BC8C9F"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923.022</w:t>
            </w:r>
          </w:p>
        </w:tc>
        <w:tc>
          <w:tcPr>
            <w:tcW w:w="431" w:type="pct"/>
            <w:tcBorders>
              <w:top w:val="nil"/>
              <w:left w:val="nil"/>
              <w:bottom w:val="nil"/>
              <w:right w:val="nil"/>
            </w:tcBorders>
            <w:shd w:val="clear" w:color="auto" w:fill="auto"/>
            <w:noWrap/>
            <w:vAlign w:val="center"/>
          </w:tcPr>
          <w:p w14:paraId="698C9CD2" w14:textId="6D13389C"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1.055.606</w:t>
            </w:r>
          </w:p>
        </w:tc>
      </w:tr>
      <w:tr w:rsidR="001232DC" w:rsidRPr="00E20D21" w14:paraId="3F5B89CE" w14:textId="77777777" w:rsidTr="0064419B">
        <w:trPr>
          <w:trHeight w:val="255"/>
        </w:trPr>
        <w:tc>
          <w:tcPr>
            <w:tcW w:w="643" w:type="pct"/>
            <w:tcBorders>
              <w:top w:val="nil"/>
              <w:left w:val="nil"/>
              <w:bottom w:val="nil"/>
              <w:right w:val="nil"/>
            </w:tcBorders>
            <w:shd w:val="clear" w:color="auto" w:fill="auto"/>
            <w:noWrap/>
            <w:vAlign w:val="center"/>
            <w:hideMark/>
          </w:tcPr>
          <w:p w14:paraId="257ED4E6" w14:textId="77777777" w:rsidR="001232DC" w:rsidRPr="00E20D21" w:rsidRDefault="001232DC" w:rsidP="001232DC">
            <w:pPr>
              <w:rPr>
                <w:rFonts w:ascii="CAIXA Std Book" w:hAnsi="CAIXA Std Book"/>
                <w:color w:val="005CA9"/>
                <w:sz w:val="16"/>
                <w:szCs w:val="16"/>
              </w:rPr>
            </w:pPr>
            <w:r w:rsidRPr="00E20D21">
              <w:rPr>
                <w:rFonts w:ascii="CAIXA Std Book" w:hAnsi="CAIXA Std Book"/>
                <w:color w:val="005CA9"/>
                <w:sz w:val="16"/>
                <w:szCs w:val="16"/>
              </w:rPr>
              <w:t>91 a 180 dias</w:t>
            </w:r>
          </w:p>
        </w:tc>
        <w:tc>
          <w:tcPr>
            <w:tcW w:w="388" w:type="pct"/>
            <w:tcBorders>
              <w:top w:val="nil"/>
              <w:left w:val="nil"/>
              <w:bottom w:val="nil"/>
              <w:right w:val="nil"/>
            </w:tcBorders>
            <w:shd w:val="clear" w:color="auto" w:fill="auto"/>
            <w:noWrap/>
            <w:vAlign w:val="center"/>
          </w:tcPr>
          <w:p w14:paraId="0DBA352E"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3B96CCF9"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23424D31" w14:textId="0770F74B"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499.840</w:t>
            </w:r>
          </w:p>
        </w:tc>
        <w:tc>
          <w:tcPr>
            <w:tcW w:w="388" w:type="pct"/>
            <w:tcBorders>
              <w:top w:val="nil"/>
              <w:left w:val="nil"/>
              <w:bottom w:val="nil"/>
              <w:right w:val="nil"/>
            </w:tcBorders>
            <w:shd w:val="clear" w:color="auto" w:fill="auto"/>
            <w:noWrap/>
            <w:vAlign w:val="center"/>
          </w:tcPr>
          <w:p w14:paraId="41981762" w14:textId="0A7E87BE"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802.329</w:t>
            </w:r>
          </w:p>
        </w:tc>
        <w:tc>
          <w:tcPr>
            <w:tcW w:w="384" w:type="pct"/>
            <w:tcBorders>
              <w:top w:val="nil"/>
              <w:left w:val="nil"/>
              <w:bottom w:val="nil"/>
              <w:right w:val="nil"/>
            </w:tcBorders>
            <w:shd w:val="clear" w:color="auto" w:fill="auto"/>
            <w:noWrap/>
            <w:vAlign w:val="center"/>
          </w:tcPr>
          <w:p w14:paraId="02C5E87E" w14:textId="737DD3BE"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343.321</w:t>
            </w:r>
          </w:p>
        </w:tc>
        <w:tc>
          <w:tcPr>
            <w:tcW w:w="389" w:type="pct"/>
            <w:tcBorders>
              <w:top w:val="nil"/>
              <w:left w:val="nil"/>
              <w:bottom w:val="nil"/>
              <w:right w:val="nil"/>
            </w:tcBorders>
            <w:shd w:val="clear" w:color="auto" w:fill="auto"/>
            <w:noWrap/>
            <w:vAlign w:val="center"/>
          </w:tcPr>
          <w:p w14:paraId="7D74CDBC" w14:textId="1D38CAA7"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248.480</w:t>
            </w:r>
          </w:p>
        </w:tc>
        <w:tc>
          <w:tcPr>
            <w:tcW w:w="387" w:type="pct"/>
            <w:tcBorders>
              <w:top w:val="nil"/>
              <w:left w:val="nil"/>
              <w:bottom w:val="nil"/>
              <w:right w:val="nil"/>
            </w:tcBorders>
            <w:shd w:val="clear" w:color="auto" w:fill="auto"/>
            <w:noWrap/>
            <w:vAlign w:val="center"/>
          </w:tcPr>
          <w:p w14:paraId="0505ACB3" w14:textId="2794182C"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211.293</w:t>
            </w:r>
          </w:p>
        </w:tc>
        <w:tc>
          <w:tcPr>
            <w:tcW w:w="387" w:type="pct"/>
            <w:tcBorders>
              <w:top w:val="nil"/>
              <w:left w:val="nil"/>
              <w:bottom w:val="nil"/>
              <w:right w:val="nil"/>
            </w:tcBorders>
            <w:shd w:val="clear" w:color="auto" w:fill="auto"/>
            <w:noWrap/>
            <w:vAlign w:val="center"/>
          </w:tcPr>
          <w:p w14:paraId="45BEFBC2" w14:textId="2485BAE3"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95.006</w:t>
            </w:r>
          </w:p>
        </w:tc>
        <w:tc>
          <w:tcPr>
            <w:tcW w:w="387" w:type="pct"/>
            <w:tcBorders>
              <w:top w:val="nil"/>
              <w:left w:val="nil"/>
              <w:bottom w:val="nil"/>
              <w:right w:val="nil"/>
            </w:tcBorders>
            <w:shd w:val="clear" w:color="auto" w:fill="auto"/>
            <w:noWrap/>
            <w:vAlign w:val="center"/>
          </w:tcPr>
          <w:p w14:paraId="4ACD2C2D" w14:textId="1B254BE0"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371.171</w:t>
            </w:r>
          </w:p>
        </w:tc>
        <w:tc>
          <w:tcPr>
            <w:tcW w:w="441" w:type="pct"/>
            <w:tcBorders>
              <w:top w:val="nil"/>
              <w:left w:val="nil"/>
              <w:bottom w:val="nil"/>
              <w:right w:val="nil"/>
            </w:tcBorders>
            <w:vAlign w:val="center"/>
          </w:tcPr>
          <w:p w14:paraId="3C248700" w14:textId="2972B492"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2.571.440</w:t>
            </w:r>
          </w:p>
        </w:tc>
        <w:tc>
          <w:tcPr>
            <w:tcW w:w="431" w:type="pct"/>
            <w:tcBorders>
              <w:top w:val="nil"/>
              <w:left w:val="nil"/>
              <w:bottom w:val="nil"/>
              <w:right w:val="nil"/>
            </w:tcBorders>
            <w:shd w:val="clear" w:color="auto" w:fill="auto"/>
            <w:noWrap/>
            <w:vAlign w:val="center"/>
          </w:tcPr>
          <w:p w14:paraId="605BDDDE" w14:textId="156FBAC0"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3.127.843</w:t>
            </w:r>
          </w:p>
        </w:tc>
      </w:tr>
      <w:tr w:rsidR="001232DC" w:rsidRPr="00E20D21" w14:paraId="59E669C3" w14:textId="77777777" w:rsidTr="0064419B">
        <w:trPr>
          <w:trHeight w:val="255"/>
        </w:trPr>
        <w:tc>
          <w:tcPr>
            <w:tcW w:w="643" w:type="pct"/>
            <w:tcBorders>
              <w:top w:val="nil"/>
              <w:left w:val="nil"/>
              <w:bottom w:val="nil"/>
              <w:right w:val="nil"/>
            </w:tcBorders>
            <w:shd w:val="clear" w:color="auto" w:fill="auto"/>
            <w:noWrap/>
            <w:vAlign w:val="center"/>
            <w:hideMark/>
          </w:tcPr>
          <w:p w14:paraId="35C27CDA" w14:textId="77777777" w:rsidR="001232DC" w:rsidRPr="00E20D21" w:rsidRDefault="001232DC" w:rsidP="001232DC">
            <w:pPr>
              <w:rPr>
                <w:rFonts w:ascii="CAIXA Std Book" w:hAnsi="CAIXA Std Book"/>
                <w:color w:val="005CA9"/>
                <w:sz w:val="16"/>
                <w:szCs w:val="16"/>
              </w:rPr>
            </w:pPr>
            <w:r w:rsidRPr="00E20D21">
              <w:rPr>
                <w:rFonts w:ascii="CAIXA Std Book" w:hAnsi="CAIXA Std Book"/>
                <w:color w:val="005CA9"/>
                <w:sz w:val="16"/>
                <w:szCs w:val="16"/>
              </w:rPr>
              <w:t>181 a 360 dias</w:t>
            </w:r>
          </w:p>
        </w:tc>
        <w:tc>
          <w:tcPr>
            <w:tcW w:w="388" w:type="pct"/>
            <w:tcBorders>
              <w:top w:val="nil"/>
              <w:left w:val="nil"/>
              <w:bottom w:val="nil"/>
              <w:right w:val="nil"/>
            </w:tcBorders>
            <w:shd w:val="clear" w:color="auto" w:fill="auto"/>
            <w:noWrap/>
            <w:vAlign w:val="center"/>
          </w:tcPr>
          <w:p w14:paraId="013C88F2"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0A5E65EA" w14:textId="77777777" w:rsidR="001232DC" w:rsidRPr="00E20D21" w:rsidRDefault="001232DC" w:rsidP="001232DC">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627865BF" w14:textId="244FFB6E"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957.929</w:t>
            </w:r>
          </w:p>
        </w:tc>
        <w:tc>
          <w:tcPr>
            <w:tcW w:w="388" w:type="pct"/>
            <w:tcBorders>
              <w:top w:val="nil"/>
              <w:left w:val="nil"/>
              <w:bottom w:val="nil"/>
              <w:right w:val="nil"/>
            </w:tcBorders>
            <w:shd w:val="clear" w:color="auto" w:fill="auto"/>
            <w:noWrap/>
            <w:vAlign w:val="center"/>
          </w:tcPr>
          <w:p w14:paraId="3FE44E61" w14:textId="2265DB67"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1.444.843</w:t>
            </w:r>
          </w:p>
        </w:tc>
        <w:tc>
          <w:tcPr>
            <w:tcW w:w="384" w:type="pct"/>
            <w:tcBorders>
              <w:top w:val="nil"/>
              <w:left w:val="nil"/>
              <w:bottom w:val="nil"/>
              <w:right w:val="nil"/>
            </w:tcBorders>
            <w:shd w:val="clear" w:color="auto" w:fill="auto"/>
            <w:noWrap/>
            <w:vAlign w:val="center"/>
          </w:tcPr>
          <w:p w14:paraId="349FB64E" w14:textId="3DF9DED2"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414.529</w:t>
            </w:r>
          </w:p>
        </w:tc>
        <w:tc>
          <w:tcPr>
            <w:tcW w:w="389" w:type="pct"/>
            <w:tcBorders>
              <w:top w:val="nil"/>
              <w:left w:val="nil"/>
              <w:bottom w:val="nil"/>
              <w:right w:val="nil"/>
            </w:tcBorders>
            <w:shd w:val="clear" w:color="auto" w:fill="auto"/>
            <w:noWrap/>
            <w:vAlign w:val="center"/>
          </w:tcPr>
          <w:p w14:paraId="6E21AAB8" w14:textId="52A938F2"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420.953</w:t>
            </w:r>
          </w:p>
        </w:tc>
        <w:tc>
          <w:tcPr>
            <w:tcW w:w="387" w:type="pct"/>
            <w:tcBorders>
              <w:top w:val="nil"/>
              <w:left w:val="nil"/>
              <w:bottom w:val="nil"/>
              <w:right w:val="nil"/>
            </w:tcBorders>
            <w:shd w:val="clear" w:color="auto" w:fill="auto"/>
            <w:noWrap/>
            <w:vAlign w:val="center"/>
          </w:tcPr>
          <w:p w14:paraId="1C9F53A0" w14:textId="61FA7080"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330.308</w:t>
            </w:r>
          </w:p>
        </w:tc>
        <w:tc>
          <w:tcPr>
            <w:tcW w:w="387" w:type="pct"/>
            <w:tcBorders>
              <w:top w:val="nil"/>
              <w:left w:val="nil"/>
              <w:bottom w:val="nil"/>
              <w:right w:val="nil"/>
            </w:tcBorders>
            <w:shd w:val="clear" w:color="auto" w:fill="auto"/>
            <w:noWrap/>
            <w:vAlign w:val="center"/>
          </w:tcPr>
          <w:p w14:paraId="2757E17E" w14:textId="1D4C6498"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147.514</w:t>
            </w:r>
          </w:p>
        </w:tc>
        <w:tc>
          <w:tcPr>
            <w:tcW w:w="387" w:type="pct"/>
            <w:tcBorders>
              <w:top w:val="nil"/>
              <w:left w:val="nil"/>
              <w:bottom w:val="nil"/>
              <w:right w:val="nil"/>
            </w:tcBorders>
            <w:shd w:val="clear" w:color="auto" w:fill="auto"/>
            <w:noWrap/>
            <w:vAlign w:val="center"/>
          </w:tcPr>
          <w:p w14:paraId="7172535F" w14:textId="3F28E680"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592.120</w:t>
            </w:r>
          </w:p>
        </w:tc>
        <w:tc>
          <w:tcPr>
            <w:tcW w:w="441" w:type="pct"/>
            <w:tcBorders>
              <w:top w:val="nil"/>
              <w:left w:val="nil"/>
              <w:bottom w:val="nil"/>
              <w:right w:val="nil"/>
            </w:tcBorders>
            <w:vAlign w:val="center"/>
          </w:tcPr>
          <w:p w14:paraId="49F550FB" w14:textId="16EEDAC7"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4.308.196</w:t>
            </w:r>
          </w:p>
        </w:tc>
        <w:tc>
          <w:tcPr>
            <w:tcW w:w="431" w:type="pct"/>
            <w:tcBorders>
              <w:top w:val="nil"/>
              <w:left w:val="nil"/>
              <w:bottom w:val="nil"/>
              <w:right w:val="nil"/>
            </w:tcBorders>
            <w:shd w:val="clear" w:color="auto" w:fill="auto"/>
            <w:noWrap/>
            <w:vAlign w:val="center"/>
          </w:tcPr>
          <w:p w14:paraId="6330958F" w14:textId="7A5C17CF"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5.839.755</w:t>
            </w:r>
          </w:p>
        </w:tc>
      </w:tr>
      <w:tr w:rsidR="001232DC" w:rsidRPr="00E20D21" w14:paraId="444AA9CD" w14:textId="77777777" w:rsidTr="0064419B">
        <w:trPr>
          <w:trHeight w:val="255"/>
        </w:trPr>
        <w:tc>
          <w:tcPr>
            <w:tcW w:w="643" w:type="pct"/>
            <w:tcBorders>
              <w:top w:val="nil"/>
              <w:left w:val="nil"/>
              <w:bottom w:val="nil"/>
              <w:right w:val="nil"/>
            </w:tcBorders>
            <w:shd w:val="clear" w:color="auto" w:fill="auto"/>
            <w:noWrap/>
            <w:vAlign w:val="center"/>
            <w:hideMark/>
          </w:tcPr>
          <w:p w14:paraId="77743D5F" w14:textId="77777777" w:rsidR="001232DC" w:rsidRPr="00E20D21" w:rsidRDefault="001232DC" w:rsidP="001232DC">
            <w:pPr>
              <w:rPr>
                <w:rFonts w:ascii="CAIXA Std Book" w:hAnsi="CAIXA Std Book"/>
                <w:color w:val="005CA9"/>
                <w:sz w:val="16"/>
                <w:szCs w:val="16"/>
              </w:rPr>
            </w:pPr>
            <w:r w:rsidRPr="00E20D21">
              <w:rPr>
                <w:rFonts w:ascii="CAIXA Std Book" w:hAnsi="CAIXA Std Book"/>
                <w:color w:val="005CA9"/>
                <w:sz w:val="16"/>
                <w:szCs w:val="16"/>
              </w:rPr>
              <w:t>Acima de 360 dias</w:t>
            </w:r>
          </w:p>
        </w:tc>
        <w:tc>
          <w:tcPr>
            <w:tcW w:w="388" w:type="pct"/>
            <w:tcBorders>
              <w:top w:val="nil"/>
              <w:left w:val="nil"/>
              <w:bottom w:val="nil"/>
              <w:right w:val="nil"/>
            </w:tcBorders>
            <w:shd w:val="clear" w:color="auto" w:fill="auto"/>
            <w:noWrap/>
            <w:vAlign w:val="center"/>
          </w:tcPr>
          <w:p w14:paraId="4163560E" w14:textId="77777777" w:rsidR="001232DC" w:rsidRPr="00E20D21" w:rsidRDefault="001232DC" w:rsidP="001232DC">
            <w:pPr>
              <w:jc w:val="center"/>
              <w:rPr>
                <w:rFonts w:ascii="CAIXA Std Book" w:hAnsi="CAIXA Std Book" w:cs="Arial"/>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1AE92A55" w14:textId="77777777" w:rsidR="001232DC" w:rsidRPr="00E20D21" w:rsidRDefault="001232DC" w:rsidP="001232DC">
            <w:pPr>
              <w:jc w:val="center"/>
              <w:rPr>
                <w:rFonts w:ascii="CAIXA Std Book" w:hAnsi="CAIXA Std Book" w:cs="Arial"/>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7E09D126" w14:textId="46BEFEC8"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15.460.206</w:t>
            </w:r>
          </w:p>
        </w:tc>
        <w:tc>
          <w:tcPr>
            <w:tcW w:w="388" w:type="pct"/>
            <w:tcBorders>
              <w:top w:val="nil"/>
              <w:left w:val="nil"/>
              <w:bottom w:val="nil"/>
              <w:right w:val="nil"/>
            </w:tcBorders>
            <w:shd w:val="clear" w:color="auto" w:fill="auto"/>
            <w:noWrap/>
            <w:vAlign w:val="center"/>
          </w:tcPr>
          <w:p w14:paraId="59A98994" w14:textId="66AE56C7" w:rsidR="001232DC" w:rsidRPr="00E20D21" w:rsidRDefault="001232DC" w:rsidP="001232DC">
            <w:pPr>
              <w:jc w:val="right"/>
              <w:rPr>
                <w:rFonts w:ascii="CAIXA Std Book" w:hAnsi="CAIXA Std Book" w:cs="Arial"/>
                <w:color w:val="005CA9"/>
                <w:sz w:val="16"/>
                <w:szCs w:val="16"/>
              </w:rPr>
            </w:pPr>
            <w:r w:rsidRPr="00E20D21">
              <w:rPr>
                <w:rFonts w:ascii="CAIXA Std Book" w:hAnsi="CAIXA Std Book" w:cs="Arial"/>
                <w:color w:val="005CA9"/>
                <w:sz w:val="16"/>
                <w:szCs w:val="16"/>
              </w:rPr>
              <w:t>27.583.383</w:t>
            </w:r>
          </w:p>
        </w:tc>
        <w:tc>
          <w:tcPr>
            <w:tcW w:w="384" w:type="pct"/>
            <w:tcBorders>
              <w:top w:val="nil"/>
              <w:left w:val="nil"/>
              <w:bottom w:val="nil"/>
              <w:right w:val="nil"/>
            </w:tcBorders>
            <w:shd w:val="clear" w:color="auto" w:fill="auto"/>
            <w:noWrap/>
            <w:vAlign w:val="center"/>
          </w:tcPr>
          <w:p w14:paraId="580FC676" w14:textId="50906875" w:rsidR="001232DC" w:rsidRPr="00E20D21" w:rsidRDefault="001232DC" w:rsidP="001232DC">
            <w:pPr>
              <w:jc w:val="right"/>
              <w:rPr>
                <w:rFonts w:ascii="CAIXA Std Book" w:hAnsi="CAIXA Std Book" w:cs="Arial"/>
                <w:color w:val="005CA9"/>
                <w:sz w:val="16"/>
                <w:szCs w:val="16"/>
              </w:rPr>
            </w:pPr>
            <w:r w:rsidRPr="00E20D21">
              <w:rPr>
                <w:rFonts w:ascii="CAIXA Std Book" w:hAnsi="CAIXA Std Book" w:cs="Arial"/>
                <w:color w:val="005CA9"/>
                <w:sz w:val="16"/>
                <w:szCs w:val="16"/>
              </w:rPr>
              <w:t>5.949.432</w:t>
            </w:r>
          </w:p>
        </w:tc>
        <w:tc>
          <w:tcPr>
            <w:tcW w:w="389" w:type="pct"/>
            <w:tcBorders>
              <w:top w:val="nil"/>
              <w:left w:val="nil"/>
              <w:bottom w:val="nil"/>
              <w:right w:val="nil"/>
            </w:tcBorders>
            <w:shd w:val="clear" w:color="auto" w:fill="auto"/>
            <w:noWrap/>
            <w:vAlign w:val="center"/>
          </w:tcPr>
          <w:p w14:paraId="703D7295" w14:textId="706B8606" w:rsidR="001232DC" w:rsidRPr="00E20D21" w:rsidRDefault="001232DC" w:rsidP="001232DC">
            <w:pPr>
              <w:jc w:val="right"/>
              <w:rPr>
                <w:rFonts w:ascii="CAIXA Std Book" w:hAnsi="CAIXA Std Book" w:cs="Arial"/>
                <w:color w:val="005CA9"/>
                <w:sz w:val="16"/>
                <w:szCs w:val="16"/>
              </w:rPr>
            </w:pPr>
            <w:r w:rsidRPr="00E20D21">
              <w:rPr>
                <w:rFonts w:ascii="CAIXA Std Book" w:hAnsi="CAIXA Std Book" w:cs="Arial"/>
                <w:color w:val="005CA9"/>
                <w:sz w:val="16"/>
                <w:szCs w:val="16"/>
              </w:rPr>
              <w:t>5.107.451</w:t>
            </w:r>
          </w:p>
        </w:tc>
        <w:tc>
          <w:tcPr>
            <w:tcW w:w="387" w:type="pct"/>
            <w:tcBorders>
              <w:top w:val="nil"/>
              <w:left w:val="nil"/>
              <w:bottom w:val="nil"/>
              <w:right w:val="nil"/>
            </w:tcBorders>
            <w:shd w:val="clear" w:color="auto" w:fill="auto"/>
            <w:noWrap/>
            <w:vAlign w:val="center"/>
          </w:tcPr>
          <w:p w14:paraId="0061B68B" w14:textId="1C228DE8" w:rsidR="001232DC" w:rsidRPr="00E20D21" w:rsidRDefault="001232DC" w:rsidP="001232DC">
            <w:pPr>
              <w:jc w:val="right"/>
              <w:rPr>
                <w:rFonts w:ascii="CAIXA Std Book" w:hAnsi="CAIXA Std Book" w:cs="Arial"/>
                <w:color w:val="005CA9"/>
                <w:sz w:val="16"/>
                <w:szCs w:val="16"/>
              </w:rPr>
            </w:pPr>
            <w:r w:rsidRPr="00E20D21">
              <w:rPr>
                <w:rFonts w:ascii="CAIXA Std Book" w:hAnsi="CAIXA Std Book" w:cs="Arial"/>
                <w:color w:val="005CA9"/>
                <w:sz w:val="16"/>
                <w:szCs w:val="16"/>
              </w:rPr>
              <w:t>2.482.639</w:t>
            </w:r>
          </w:p>
        </w:tc>
        <w:tc>
          <w:tcPr>
            <w:tcW w:w="387" w:type="pct"/>
            <w:tcBorders>
              <w:top w:val="nil"/>
              <w:left w:val="nil"/>
              <w:bottom w:val="nil"/>
              <w:right w:val="nil"/>
            </w:tcBorders>
            <w:shd w:val="clear" w:color="auto" w:fill="auto"/>
            <w:noWrap/>
            <w:vAlign w:val="center"/>
          </w:tcPr>
          <w:p w14:paraId="3FA4A213" w14:textId="532675D4" w:rsidR="001232DC" w:rsidRPr="00E20D21" w:rsidRDefault="001232DC" w:rsidP="001232DC">
            <w:pPr>
              <w:jc w:val="right"/>
              <w:rPr>
                <w:rFonts w:ascii="CAIXA Std Book" w:hAnsi="CAIXA Std Book" w:cs="Arial"/>
                <w:color w:val="005CA9"/>
                <w:sz w:val="16"/>
                <w:szCs w:val="16"/>
              </w:rPr>
            </w:pPr>
            <w:r w:rsidRPr="00E20D21">
              <w:rPr>
                <w:rFonts w:ascii="CAIXA Std Book" w:hAnsi="CAIXA Std Book" w:cs="Arial"/>
                <w:color w:val="005CA9"/>
                <w:sz w:val="16"/>
                <w:szCs w:val="16"/>
              </w:rPr>
              <w:t>1.590.326</w:t>
            </w:r>
          </w:p>
        </w:tc>
        <w:tc>
          <w:tcPr>
            <w:tcW w:w="387" w:type="pct"/>
            <w:tcBorders>
              <w:top w:val="nil"/>
              <w:left w:val="nil"/>
              <w:bottom w:val="nil"/>
              <w:right w:val="nil"/>
            </w:tcBorders>
            <w:shd w:val="clear" w:color="auto" w:fill="auto"/>
            <w:noWrap/>
            <w:vAlign w:val="center"/>
          </w:tcPr>
          <w:p w14:paraId="29EA99DB" w14:textId="14A30CA0" w:rsidR="001232DC" w:rsidRPr="00E20D21" w:rsidRDefault="001232DC" w:rsidP="001232DC">
            <w:pPr>
              <w:jc w:val="right"/>
              <w:rPr>
                <w:rFonts w:ascii="CAIXA Std Book" w:hAnsi="CAIXA Std Book" w:cs="Arial"/>
                <w:color w:val="005CA9"/>
                <w:sz w:val="16"/>
                <w:szCs w:val="16"/>
              </w:rPr>
            </w:pPr>
            <w:r w:rsidRPr="00E20D21">
              <w:rPr>
                <w:rFonts w:ascii="CAIXA Std Book" w:hAnsi="CAIXA Std Book" w:cs="Arial"/>
                <w:color w:val="005CA9"/>
                <w:sz w:val="16"/>
                <w:szCs w:val="16"/>
              </w:rPr>
              <w:t>3.854.530</w:t>
            </w:r>
          </w:p>
        </w:tc>
        <w:tc>
          <w:tcPr>
            <w:tcW w:w="441" w:type="pct"/>
            <w:tcBorders>
              <w:top w:val="nil"/>
              <w:left w:val="nil"/>
              <w:bottom w:val="nil"/>
              <w:right w:val="nil"/>
            </w:tcBorders>
            <w:vAlign w:val="center"/>
          </w:tcPr>
          <w:p w14:paraId="281D3E74" w14:textId="7526FB06" w:rsidR="001232DC" w:rsidRPr="00E20D21" w:rsidRDefault="001232DC" w:rsidP="001232DC">
            <w:pPr>
              <w:jc w:val="right"/>
              <w:rPr>
                <w:rFonts w:ascii="CAIXA Std Book" w:hAnsi="CAIXA Std Book"/>
                <w:color w:val="005CA9"/>
                <w:sz w:val="16"/>
                <w:szCs w:val="16"/>
              </w:rPr>
            </w:pPr>
            <w:r w:rsidRPr="00E20D21">
              <w:rPr>
                <w:rFonts w:ascii="CAIXA Std Book" w:hAnsi="CAIXA Std Book" w:cs="Arial"/>
                <w:color w:val="005CA9"/>
                <w:sz w:val="16"/>
                <w:szCs w:val="16"/>
              </w:rPr>
              <w:t>62.027.967</w:t>
            </w:r>
          </w:p>
        </w:tc>
        <w:tc>
          <w:tcPr>
            <w:tcW w:w="431" w:type="pct"/>
            <w:tcBorders>
              <w:top w:val="nil"/>
              <w:left w:val="nil"/>
              <w:bottom w:val="nil"/>
              <w:right w:val="nil"/>
            </w:tcBorders>
            <w:shd w:val="clear" w:color="auto" w:fill="auto"/>
            <w:noWrap/>
            <w:vAlign w:val="center"/>
          </w:tcPr>
          <w:p w14:paraId="04F19E18" w14:textId="3A0A6C04" w:rsidR="001232DC" w:rsidRPr="00E20D21" w:rsidRDefault="001232DC" w:rsidP="001232DC">
            <w:pPr>
              <w:jc w:val="right"/>
              <w:rPr>
                <w:rFonts w:ascii="CAIXA Std Book" w:hAnsi="CAIXA Std Book"/>
                <w:color w:val="005CA9"/>
                <w:sz w:val="16"/>
                <w:szCs w:val="16"/>
              </w:rPr>
            </w:pPr>
            <w:r w:rsidRPr="00E20D21">
              <w:rPr>
                <w:rFonts w:ascii="CAIXA Std Book" w:hAnsi="CAIXA Std Book"/>
                <w:color w:val="005CA9"/>
                <w:sz w:val="16"/>
                <w:szCs w:val="16"/>
              </w:rPr>
              <w:t>63.159.611</w:t>
            </w:r>
          </w:p>
        </w:tc>
      </w:tr>
      <w:tr w:rsidR="00737703" w:rsidRPr="00E20D21" w14:paraId="6CDBA726" w14:textId="77777777" w:rsidTr="0064419B">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7F610851" w14:textId="77777777" w:rsidR="00737703" w:rsidRPr="00E20D21" w:rsidRDefault="00737703" w:rsidP="00737703">
            <w:pPr>
              <w:rPr>
                <w:rFonts w:ascii="CAIXA Std Book" w:hAnsi="CAIXA Std Book"/>
                <w:b/>
                <w:color w:val="005CA9"/>
                <w:sz w:val="16"/>
                <w:szCs w:val="16"/>
              </w:rPr>
            </w:pPr>
            <w:r w:rsidRPr="00E20D21">
              <w:rPr>
                <w:rFonts w:ascii="CAIXA Std Book" w:hAnsi="CAIXA Std Book"/>
                <w:b/>
                <w:color w:val="005CA9"/>
                <w:sz w:val="16"/>
                <w:szCs w:val="16"/>
              </w:rPr>
              <w:t>Parcelas vencidas</w:t>
            </w:r>
          </w:p>
        </w:tc>
        <w:tc>
          <w:tcPr>
            <w:tcW w:w="388" w:type="pct"/>
            <w:tcBorders>
              <w:top w:val="single" w:sz="4" w:space="0" w:color="F39200"/>
              <w:left w:val="nil"/>
              <w:bottom w:val="single" w:sz="4" w:space="0" w:color="F39200"/>
              <w:right w:val="nil"/>
            </w:tcBorders>
            <w:shd w:val="clear" w:color="auto" w:fill="auto"/>
            <w:noWrap/>
            <w:vAlign w:val="center"/>
          </w:tcPr>
          <w:p w14:paraId="48890C61"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single" w:sz="4" w:space="0" w:color="F39200"/>
              <w:left w:val="nil"/>
              <w:bottom w:val="single" w:sz="4" w:space="0" w:color="F39200"/>
              <w:right w:val="nil"/>
            </w:tcBorders>
            <w:shd w:val="clear" w:color="auto" w:fill="auto"/>
            <w:noWrap/>
            <w:vAlign w:val="center"/>
          </w:tcPr>
          <w:p w14:paraId="4CACAFF1"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single" w:sz="4" w:space="0" w:color="F39200"/>
              <w:left w:val="nil"/>
              <w:bottom w:val="single" w:sz="4" w:space="0" w:color="F39200"/>
              <w:right w:val="nil"/>
            </w:tcBorders>
            <w:shd w:val="clear" w:color="auto" w:fill="auto"/>
            <w:noWrap/>
            <w:vAlign w:val="center"/>
          </w:tcPr>
          <w:p w14:paraId="17E68E10" w14:textId="72920ECB"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1.075.39</w:t>
            </w:r>
            <w:r w:rsidR="009D1189" w:rsidRPr="00E20D21">
              <w:rPr>
                <w:rFonts w:ascii="CAIXA Std Book" w:hAnsi="CAIXA Std Book" w:cs="Arial"/>
                <w:b/>
                <w:bCs/>
                <w:color w:val="005CA9"/>
                <w:sz w:val="16"/>
                <w:szCs w:val="16"/>
              </w:rPr>
              <w:t>6</w:t>
            </w:r>
          </w:p>
        </w:tc>
        <w:tc>
          <w:tcPr>
            <w:tcW w:w="388" w:type="pct"/>
            <w:tcBorders>
              <w:top w:val="single" w:sz="4" w:space="0" w:color="F39200"/>
              <w:left w:val="nil"/>
              <w:bottom w:val="single" w:sz="4" w:space="0" w:color="F39200"/>
              <w:right w:val="nil"/>
            </w:tcBorders>
            <w:shd w:val="clear" w:color="auto" w:fill="auto"/>
            <w:noWrap/>
            <w:vAlign w:val="center"/>
          </w:tcPr>
          <w:p w14:paraId="02E4C9AB" w14:textId="53FF4F7F"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2.007.36</w:t>
            </w:r>
            <w:r w:rsidR="00903645" w:rsidRPr="00E20D21">
              <w:rPr>
                <w:rFonts w:ascii="CAIXA Std Book" w:hAnsi="CAIXA Std Book" w:cs="Arial"/>
                <w:b/>
                <w:bCs/>
                <w:color w:val="005CA9"/>
                <w:sz w:val="16"/>
                <w:szCs w:val="16"/>
              </w:rPr>
              <w:t>7</w:t>
            </w:r>
          </w:p>
        </w:tc>
        <w:tc>
          <w:tcPr>
            <w:tcW w:w="384" w:type="pct"/>
            <w:tcBorders>
              <w:top w:val="single" w:sz="4" w:space="0" w:color="F39200"/>
              <w:left w:val="nil"/>
              <w:bottom w:val="single" w:sz="4" w:space="0" w:color="F39200"/>
              <w:right w:val="nil"/>
            </w:tcBorders>
            <w:shd w:val="clear" w:color="auto" w:fill="auto"/>
            <w:noWrap/>
            <w:vAlign w:val="center"/>
          </w:tcPr>
          <w:p w14:paraId="1E194E09" w14:textId="411C5FF5"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2.137.633</w:t>
            </w:r>
          </w:p>
        </w:tc>
        <w:tc>
          <w:tcPr>
            <w:tcW w:w="389" w:type="pct"/>
            <w:tcBorders>
              <w:top w:val="single" w:sz="4" w:space="0" w:color="F39200"/>
              <w:left w:val="nil"/>
              <w:bottom w:val="single" w:sz="4" w:space="0" w:color="F39200"/>
              <w:right w:val="nil"/>
            </w:tcBorders>
            <w:shd w:val="clear" w:color="auto" w:fill="auto"/>
            <w:noWrap/>
            <w:vAlign w:val="center"/>
          </w:tcPr>
          <w:p w14:paraId="4BD3697E" w14:textId="789A090D"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2.459.399</w:t>
            </w:r>
          </w:p>
        </w:tc>
        <w:tc>
          <w:tcPr>
            <w:tcW w:w="387" w:type="pct"/>
            <w:tcBorders>
              <w:top w:val="single" w:sz="4" w:space="0" w:color="F39200"/>
              <w:left w:val="nil"/>
              <w:bottom w:val="single" w:sz="4" w:space="0" w:color="F39200"/>
              <w:right w:val="nil"/>
            </w:tcBorders>
            <w:shd w:val="clear" w:color="auto" w:fill="auto"/>
            <w:noWrap/>
            <w:vAlign w:val="center"/>
          </w:tcPr>
          <w:p w14:paraId="0882D66D" w14:textId="485A29C3"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2.697.422</w:t>
            </w:r>
          </w:p>
        </w:tc>
        <w:tc>
          <w:tcPr>
            <w:tcW w:w="387" w:type="pct"/>
            <w:tcBorders>
              <w:top w:val="single" w:sz="4" w:space="0" w:color="F39200"/>
              <w:left w:val="nil"/>
              <w:bottom w:val="single" w:sz="4" w:space="0" w:color="F39200"/>
              <w:right w:val="nil"/>
            </w:tcBorders>
            <w:shd w:val="clear" w:color="auto" w:fill="auto"/>
            <w:noWrap/>
            <w:vAlign w:val="center"/>
          </w:tcPr>
          <w:p w14:paraId="1E68CA4C" w14:textId="4601095D"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1.081.526</w:t>
            </w:r>
          </w:p>
        </w:tc>
        <w:tc>
          <w:tcPr>
            <w:tcW w:w="387" w:type="pct"/>
            <w:tcBorders>
              <w:top w:val="single" w:sz="4" w:space="0" w:color="F39200"/>
              <w:left w:val="nil"/>
              <w:bottom w:val="single" w:sz="4" w:space="0" w:color="F39200"/>
              <w:right w:val="nil"/>
            </w:tcBorders>
            <w:shd w:val="clear" w:color="auto" w:fill="auto"/>
            <w:noWrap/>
            <w:vAlign w:val="center"/>
          </w:tcPr>
          <w:p w14:paraId="35259004" w14:textId="30D1015D"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6.461.340</w:t>
            </w:r>
          </w:p>
        </w:tc>
        <w:tc>
          <w:tcPr>
            <w:tcW w:w="441" w:type="pct"/>
            <w:tcBorders>
              <w:top w:val="single" w:sz="4" w:space="0" w:color="F39200"/>
              <w:left w:val="nil"/>
              <w:bottom w:val="single" w:sz="4" w:space="0" w:color="F39200"/>
              <w:right w:val="nil"/>
            </w:tcBorders>
            <w:vAlign w:val="center"/>
          </w:tcPr>
          <w:p w14:paraId="7D12AB16" w14:textId="5D2E18B0"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17.920.083</w:t>
            </w:r>
          </w:p>
        </w:tc>
        <w:tc>
          <w:tcPr>
            <w:tcW w:w="431" w:type="pct"/>
            <w:tcBorders>
              <w:top w:val="single" w:sz="4" w:space="0" w:color="F39200"/>
              <w:left w:val="nil"/>
              <w:bottom w:val="single" w:sz="4" w:space="0" w:color="F39200"/>
              <w:right w:val="nil"/>
            </w:tcBorders>
            <w:shd w:val="clear" w:color="auto" w:fill="auto"/>
            <w:noWrap/>
            <w:vAlign w:val="center"/>
          </w:tcPr>
          <w:p w14:paraId="503A6FB1" w14:textId="3CDEAD32" w:rsidR="00737703" w:rsidRPr="00E20D21" w:rsidRDefault="00737703" w:rsidP="00737703">
            <w:pPr>
              <w:jc w:val="right"/>
              <w:rPr>
                <w:rFonts w:ascii="CAIXA Std Book" w:hAnsi="CAIXA Std Book"/>
                <w:b/>
                <w:color w:val="005CA9"/>
                <w:sz w:val="16"/>
                <w:szCs w:val="16"/>
              </w:rPr>
            </w:pPr>
            <w:r w:rsidRPr="00E20D21">
              <w:rPr>
                <w:rFonts w:ascii="CAIXA Std Book" w:hAnsi="CAIXA Std Book"/>
                <w:b/>
                <w:bCs/>
                <w:color w:val="005CA9"/>
                <w:sz w:val="16"/>
                <w:szCs w:val="16"/>
              </w:rPr>
              <w:t>10.837.365</w:t>
            </w:r>
          </w:p>
        </w:tc>
      </w:tr>
      <w:tr w:rsidR="00737703" w:rsidRPr="00E20D21" w14:paraId="6B52E64A" w14:textId="77777777" w:rsidTr="0064419B">
        <w:trPr>
          <w:trHeight w:val="255"/>
        </w:trPr>
        <w:tc>
          <w:tcPr>
            <w:tcW w:w="643" w:type="pct"/>
            <w:tcBorders>
              <w:top w:val="nil"/>
              <w:left w:val="nil"/>
              <w:bottom w:val="nil"/>
              <w:right w:val="nil"/>
            </w:tcBorders>
            <w:shd w:val="clear" w:color="auto" w:fill="auto"/>
            <w:noWrap/>
            <w:vAlign w:val="center"/>
            <w:hideMark/>
          </w:tcPr>
          <w:p w14:paraId="41A85271" w14:textId="77777777" w:rsidR="00737703" w:rsidRPr="00E20D21" w:rsidRDefault="00737703" w:rsidP="00737703">
            <w:pPr>
              <w:rPr>
                <w:rFonts w:ascii="CAIXA Std Book" w:hAnsi="CAIXA Std Book"/>
                <w:b/>
                <w:color w:val="005CA9"/>
                <w:sz w:val="16"/>
                <w:szCs w:val="16"/>
              </w:rPr>
            </w:pPr>
            <w:r w:rsidRPr="00E20D21">
              <w:rPr>
                <w:rFonts w:ascii="CAIXA Std Book" w:hAnsi="CAIXA Std Book"/>
                <w:color w:val="005CA9"/>
                <w:sz w:val="16"/>
                <w:szCs w:val="16"/>
              </w:rPr>
              <w:t>01 a 30 dias</w:t>
            </w:r>
          </w:p>
        </w:tc>
        <w:tc>
          <w:tcPr>
            <w:tcW w:w="388" w:type="pct"/>
            <w:tcBorders>
              <w:top w:val="nil"/>
              <w:left w:val="nil"/>
              <w:bottom w:val="nil"/>
              <w:right w:val="nil"/>
            </w:tcBorders>
            <w:shd w:val="clear" w:color="auto" w:fill="auto"/>
            <w:noWrap/>
            <w:vAlign w:val="center"/>
          </w:tcPr>
          <w:p w14:paraId="716F99C8"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616B7A9A" w14:textId="77777777" w:rsidR="00737703" w:rsidRPr="00E20D21" w:rsidRDefault="00737703" w:rsidP="0073770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8" w:type="pct"/>
            <w:tcBorders>
              <w:top w:val="nil"/>
              <w:left w:val="nil"/>
              <w:bottom w:val="nil"/>
              <w:right w:val="nil"/>
            </w:tcBorders>
            <w:shd w:val="clear" w:color="auto" w:fill="auto"/>
            <w:noWrap/>
            <w:vAlign w:val="center"/>
          </w:tcPr>
          <w:p w14:paraId="734B43FA" w14:textId="4C75F1DA"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794.135</w:t>
            </w:r>
          </w:p>
        </w:tc>
        <w:tc>
          <w:tcPr>
            <w:tcW w:w="388" w:type="pct"/>
            <w:tcBorders>
              <w:top w:val="nil"/>
              <w:left w:val="nil"/>
              <w:bottom w:val="nil"/>
              <w:right w:val="nil"/>
            </w:tcBorders>
            <w:shd w:val="clear" w:color="auto" w:fill="auto"/>
            <w:noWrap/>
            <w:vAlign w:val="center"/>
          </w:tcPr>
          <w:p w14:paraId="297BCC73" w14:textId="63CC10D5"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898.307</w:t>
            </w:r>
          </w:p>
        </w:tc>
        <w:tc>
          <w:tcPr>
            <w:tcW w:w="384" w:type="pct"/>
            <w:tcBorders>
              <w:top w:val="nil"/>
              <w:left w:val="nil"/>
              <w:bottom w:val="nil"/>
              <w:right w:val="nil"/>
            </w:tcBorders>
            <w:shd w:val="clear" w:color="auto" w:fill="auto"/>
            <w:noWrap/>
            <w:vAlign w:val="center"/>
          </w:tcPr>
          <w:p w14:paraId="0D5F30B8" w14:textId="26AEB703"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761.421</w:t>
            </w:r>
          </w:p>
        </w:tc>
        <w:tc>
          <w:tcPr>
            <w:tcW w:w="389" w:type="pct"/>
            <w:tcBorders>
              <w:top w:val="nil"/>
              <w:left w:val="nil"/>
              <w:bottom w:val="nil"/>
              <w:right w:val="nil"/>
            </w:tcBorders>
            <w:shd w:val="clear" w:color="auto" w:fill="auto"/>
            <w:noWrap/>
            <w:vAlign w:val="center"/>
          </w:tcPr>
          <w:p w14:paraId="17DCCDA0" w14:textId="17AFBCB1"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645.621</w:t>
            </w:r>
          </w:p>
        </w:tc>
        <w:tc>
          <w:tcPr>
            <w:tcW w:w="387" w:type="pct"/>
            <w:tcBorders>
              <w:top w:val="nil"/>
              <w:left w:val="nil"/>
              <w:bottom w:val="nil"/>
              <w:right w:val="nil"/>
            </w:tcBorders>
            <w:shd w:val="clear" w:color="auto" w:fill="auto"/>
            <w:noWrap/>
            <w:vAlign w:val="center"/>
          </w:tcPr>
          <w:p w14:paraId="0CC9313E" w14:textId="4BE69A88"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597.084</w:t>
            </w:r>
          </w:p>
        </w:tc>
        <w:tc>
          <w:tcPr>
            <w:tcW w:w="387" w:type="pct"/>
            <w:tcBorders>
              <w:top w:val="nil"/>
              <w:left w:val="nil"/>
              <w:bottom w:val="nil"/>
              <w:right w:val="nil"/>
            </w:tcBorders>
            <w:shd w:val="clear" w:color="auto" w:fill="auto"/>
            <w:noWrap/>
            <w:vAlign w:val="center"/>
          </w:tcPr>
          <w:p w14:paraId="1D72E141" w14:textId="68C33124"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129.641</w:t>
            </w:r>
          </w:p>
        </w:tc>
        <w:tc>
          <w:tcPr>
            <w:tcW w:w="387" w:type="pct"/>
            <w:tcBorders>
              <w:top w:val="nil"/>
              <w:left w:val="nil"/>
              <w:bottom w:val="nil"/>
              <w:right w:val="nil"/>
            </w:tcBorders>
            <w:shd w:val="clear" w:color="auto" w:fill="auto"/>
            <w:noWrap/>
            <w:vAlign w:val="center"/>
          </w:tcPr>
          <w:p w14:paraId="5B384A43" w14:textId="234114D6"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671.488</w:t>
            </w:r>
          </w:p>
        </w:tc>
        <w:tc>
          <w:tcPr>
            <w:tcW w:w="441" w:type="pct"/>
            <w:tcBorders>
              <w:top w:val="nil"/>
              <w:left w:val="nil"/>
              <w:bottom w:val="nil"/>
              <w:right w:val="nil"/>
            </w:tcBorders>
            <w:vAlign w:val="center"/>
          </w:tcPr>
          <w:p w14:paraId="1985C967" w14:textId="12C918A8"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4.497.697</w:t>
            </w:r>
          </w:p>
        </w:tc>
        <w:tc>
          <w:tcPr>
            <w:tcW w:w="431" w:type="pct"/>
            <w:tcBorders>
              <w:top w:val="nil"/>
              <w:left w:val="nil"/>
              <w:bottom w:val="nil"/>
              <w:right w:val="nil"/>
            </w:tcBorders>
            <w:shd w:val="clear" w:color="auto" w:fill="auto"/>
            <w:noWrap/>
            <w:vAlign w:val="center"/>
          </w:tcPr>
          <w:p w14:paraId="3C8C3ED3" w14:textId="45A7258A" w:rsidR="00737703" w:rsidRPr="00E20D21" w:rsidRDefault="00737703" w:rsidP="00737703">
            <w:pPr>
              <w:jc w:val="right"/>
              <w:rPr>
                <w:rFonts w:ascii="CAIXA Std Book" w:hAnsi="CAIXA Std Book"/>
                <w:color w:val="005CA9"/>
                <w:sz w:val="16"/>
                <w:szCs w:val="16"/>
              </w:rPr>
            </w:pPr>
            <w:r w:rsidRPr="00E20D21">
              <w:rPr>
                <w:rFonts w:ascii="CAIXA Std Book" w:hAnsi="CAIXA Std Book"/>
                <w:color w:val="005CA9"/>
                <w:sz w:val="16"/>
                <w:szCs w:val="16"/>
              </w:rPr>
              <w:t>2.446.902</w:t>
            </w:r>
          </w:p>
        </w:tc>
      </w:tr>
      <w:tr w:rsidR="00737703" w:rsidRPr="00E20D21" w14:paraId="65488399" w14:textId="77777777" w:rsidTr="0064419B">
        <w:trPr>
          <w:trHeight w:val="255"/>
        </w:trPr>
        <w:tc>
          <w:tcPr>
            <w:tcW w:w="643" w:type="pct"/>
            <w:tcBorders>
              <w:top w:val="nil"/>
              <w:left w:val="nil"/>
              <w:bottom w:val="nil"/>
              <w:right w:val="nil"/>
            </w:tcBorders>
            <w:shd w:val="clear" w:color="auto" w:fill="auto"/>
            <w:noWrap/>
            <w:vAlign w:val="center"/>
            <w:hideMark/>
          </w:tcPr>
          <w:p w14:paraId="66598337" w14:textId="77777777" w:rsidR="00737703" w:rsidRPr="00E20D21" w:rsidRDefault="00737703" w:rsidP="00737703">
            <w:pPr>
              <w:rPr>
                <w:rFonts w:ascii="CAIXA Std Book" w:hAnsi="CAIXA Std Book"/>
                <w:color w:val="005CA9"/>
                <w:sz w:val="16"/>
                <w:szCs w:val="16"/>
              </w:rPr>
            </w:pPr>
            <w:r w:rsidRPr="00E20D21">
              <w:rPr>
                <w:rFonts w:ascii="CAIXA Std Book" w:hAnsi="CAIXA Std Book"/>
                <w:color w:val="005CA9"/>
                <w:sz w:val="16"/>
                <w:szCs w:val="16"/>
              </w:rPr>
              <w:t>31 a 60 dias</w:t>
            </w:r>
          </w:p>
        </w:tc>
        <w:tc>
          <w:tcPr>
            <w:tcW w:w="388" w:type="pct"/>
            <w:tcBorders>
              <w:top w:val="nil"/>
              <w:left w:val="nil"/>
              <w:bottom w:val="nil"/>
              <w:right w:val="nil"/>
            </w:tcBorders>
            <w:shd w:val="clear" w:color="auto" w:fill="auto"/>
            <w:noWrap/>
            <w:vAlign w:val="center"/>
          </w:tcPr>
          <w:p w14:paraId="130BC933"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46325270" w14:textId="77777777" w:rsidR="00737703" w:rsidRPr="00E20D21" w:rsidRDefault="00737703" w:rsidP="00737703">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388" w:type="pct"/>
            <w:tcBorders>
              <w:top w:val="nil"/>
              <w:left w:val="nil"/>
              <w:bottom w:val="nil"/>
              <w:right w:val="nil"/>
            </w:tcBorders>
            <w:shd w:val="clear" w:color="auto" w:fill="auto"/>
            <w:noWrap/>
            <w:vAlign w:val="center"/>
          </w:tcPr>
          <w:p w14:paraId="13917346" w14:textId="47C3A060"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281.258</w:t>
            </w:r>
          </w:p>
        </w:tc>
        <w:tc>
          <w:tcPr>
            <w:tcW w:w="388" w:type="pct"/>
            <w:tcBorders>
              <w:top w:val="nil"/>
              <w:left w:val="nil"/>
              <w:bottom w:val="nil"/>
              <w:right w:val="nil"/>
            </w:tcBorders>
            <w:shd w:val="clear" w:color="auto" w:fill="auto"/>
            <w:noWrap/>
            <w:vAlign w:val="center"/>
          </w:tcPr>
          <w:p w14:paraId="4DFFFD13" w14:textId="36EC5752"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902.904</w:t>
            </w:r>
          </w:p>
        </w:tc>
        <w:tc>
          <w:tcPr>
            <w:tcW w:w="384" w:type="pct"/>
            <w:tcBorders>
              <w:top w:val="nil"/>
              <w:left w:val="nil"/>
              <w:bottom w:val="nil"/>
              <w:right w:val="nil"/>
            </w:tcBorders>
            <w:shd w:val="clear" w:color="auto" w:fill="auto"/>
            <w:noWrap/>
            <w:vAlign w:val="center"/>
          </w:tcPr>
          <w:p w14:paraId="709CA807" w14:textId="23DEB377"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590.919</w:t>
            </w:r>
          </w:p>
        </w:tc>
        <w:tc>
          <w:tcPr>
            <w:tcW w:w="389" w:type="pct"/>
            <w:tcBorders>
              <w:top w:val="nil"/>
              <w:left w:val="nil"/>
              <w:bottom w:val="nil"/>
              <w:right w:val="nil"/>
            </w:tcBorders>
            <w:shd w:val="clear" w:color="auto" w:fill="auto"/>
            <w:noWrap/>
            <w:vAlign w:val="center"/>
          </w:tcPr>
          <w:p w14:paraId="44E7047C" w14:textId="3197AB6E"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710.776</w:t>
            </w:r>
          </w:p>
        </w:tc>
        <w:tc>
          <w:tcPr>
            <w:tcW w:w="387" w:type="pct"/>
            <w:tcBorders>
              <w:top w:val="nil"/>
              <w:left w:val="nil"/>
              <w:bottom w:val="nil"/>
              <w:right w:val="nil"/>
            </w:tcBorders>
            <w:shd w:val="clear" w:color="auto" w:fill="auto"/>
            <w:noWrap/>
            <w:vAlign w:val="center"/>
          </w:tcPr>
          <w:p w14:paraId="6DA3F145" w14:textId="22987494"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695.810</w:t>
            </w:r>
          </w:p>
        </w:tc>
        <w:tc>
          <w:tcPr>
            <w:tcW w:w="387" w:type="pct"/>
            <w:tcBorders>
              <w:top w:val="nil"/>
              <w:left w:val="nil"/>
              <w:bottom w:val="nil"/>
              <w:right w:val="nil"/>
            </w:tcBorders>
            <w:shd w:val="clear" w:color="auto" w:fill="auto"/>
            <w:noWrap/>
            <w:vAlign w:val="center"/>
          </w:tcPr>
          <w:p w14:paraId="456BD74E" w14:textId="4DBD0E88"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135.853</w:t>
            </w:r>
          </w:p>
        </w:tc>
        <w:tc>
          <w:tcPr>
            <w:tcW w:w="387" w:type="pct"/>
            <w:tcBorders>
              <w:top w:val="nil"/>
              <w:left w:val="nil"/>
              <w:bottom w:val="nil"/>
              <w:right w:val="nil"/>
            </w:tcBorders>
            <w:shd w:val="clear" w:color="auto" w:fill="auto"/>
            <w:noWrap/>
            <w:vAlign w:val="center"/>
          </w:tcPr>
          <w:p w14:paraId="552FB343" w14:textId="68E35D28"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713.414</w:t>
            </w:r>
          </w:p>
        </w:tc>
        <w:tc>
          <w:tcPr>
            <w:tcW w:w="441" w:type="pct"/>
            <w:tcBorders>
              <w:top w:val="nil"/>
              <w:left w:val="nil"/>
              <w:bottom w:val="nil"/>
              <w:right w:val="nil"/>
            </w:tcBorders>
            <w:vAlign w:val="center"/>
          </w:tcPr>
          <w:p w14:paraId="21FCE8B5" w14:textId="7579BAFE"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4.030.934</w:t>
            </w:r>
          </w:p>
        </w:tc>
        <w:tc>
          <w:tcPr>
            <w:tcW w:w="431" w:type="pct"/>
            <w:tcBorders>
              <w:top w:val="nil"/>
              <w:left w:val="nil"/>
              <w:bottom w:val="nil"/>
              <w:right w:val="nil"/>
            </w:tcBorders>
            <w:shd w:val="clear" w:color="auto" w:fill="auto"/>
            <w:noWrap/>
            <w:vAlign w:val="center"/>
          </w:tcPr>
          <w:p w14:paraId="7E7839A6" w14:textId="3857F8D3" w:rsidR="00737703" w:rsidRPr="00E20D21" w:rsidRDefault="00737703" w:rsidP="00737703">
            <w:pPr>
              <w:jc w:val="right"/>
              <w:rPr>
                <w:rFonts w:ascii="CAIXA Std Book" w:hAnsi="CAIXA Std Book"/>
                <w:color w:val="005CA9"/>
                <w:sz w:val="16"/>
                <w:szCs w:val="16"/>
              </w:rPr>
            </w:pPr>
            <w:r w:rsidRPr="00E20D21">
              <w:rPr>
                <w:rFonts w:ascii="CAIXA Std Book" w:hAnsi="CAIXA Std Book"/>
                <w:color w:val="005CA9"/>
                <w:sz w:val="16"/>
                <w:szCs w:val="16"/>
              </w:rPr>
              <w:t>1.682.101</w:t>
            </w:r>
          </w:p>
        </w:tc>
      </w:tr>
      <w:tr w:rsidR="00737703" w:rsidRPr="00E20D21" w14:paraId="1DF3F2DC" w14:textId="77777777" w:rsidTr="0064419B">
        <w:trPr>
          <w:trHeight w:val="255"/>
        </w:trPr>
        <w:tc>
          <w:tcPr>
            <w:tcW w:w="643" w:type="pct"/>
            <w:tcBorders>
              <w:top w:val="nil"/>
              <w:left w:val="nil"/>
              <w:bottom w:val="nil"/>
              <w:right w:val="nil"/>
            </w:tcBorders>
            <w:shd w:val="clear" w:color="auto" w:fill="auto"/>
            <w:noWrap/>
            <w:vAlign w:val="center"/>
            <w:hideMark/>
          </w:tcPr>
          <w:p w14:paraId="29ED6CCF" w14:textId="77777777" w:rsidR="00737703" w:rsidRPr="00E20D21" w:rsidRDefault="00737703" w:rsidP="00737703">
            <w:pPr>
              <w:rPr>
                <w:rFonts w:ascii="CAIXA Std Book" w:hAnsi="CAIXA Std Book"/>
                <w:color w:val="005CA9"/>
                <w:sz w:val="16"/>
                <w:szCs w:val="16"/>
              </w:rPr>
            </w:pPr>
            <w:r w:rsidRPr="00E20D21">
              <w:rPr>
                <w:rFonts w:ascii="CAIXA Std Book" w:hAnsi="CAIXA Std Book"/>
                <w:color w:val="005CA9"/>
                <w:sz w:val="16"/>
                <w:szCs w:val="16"/>
              </w:rPr>
              <w:t>61 a 90 dias</w:t>
            </w:r>
          </w:p>
        </w:tc>
        <w:tc>
          <w:tcPr>
            <w:tcW w:w="388" w:type="pct"/>
            <w:tcBorders>
              <w:top w:val="nil"/>
              <w:left w:val="nil"/>
              <w:bottom w:val="nil"/>
              <w:right w:val="nil"/>
            </w:tcBorders>
            <w:shd w:val="clear" w:color="auto" w:fill="auto"/>
            <w:noWrap/>
            <w:vAlign w:val="center"/>
          </w:tcPr>
          <w:p w14:paraId="14740E14"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434CD6AE"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75D49AA3" w14:textId="0808BB69" w:rsidR="00737703" w:rsidRPr="00E20D21" w:rsidRDefault="009D1189" w:rsidP="00737703">
            <w:pPr>
              <w:jc w:val="center"/>
              <w:rPr>
                <w:rFonts w:ascii="CAIXA Std Book" w:hAnsi="CAIXA Std Book" w:cs="Arial"/>
                <w:color w:val="005CA9"/>
                <w:sz w:val="16"/>
                <w:szCs w:val="16"/>
              </w:rPr>
            </w:pPr>
            <w:r w:rsidRPr="00E20D21">
              <w:rPr>
                <w:rFonts w:ascii="CAIXA Std Book" w:hAnsi="CAIXA Std Book" w:cs="Arial"/>
                <w:color w:val="005CA9"/>
                <w:sz w:val="16"/>
                <w:szCs w:val="16"/>
              </w:rPr>
              <w:t>3</w:t>
            </w:r>
          </w:p>
        </w:tc>
        <w:tc>
          <w:tcPr>
            <w:tcW w:w="388" w:type="pct"/>
            <w:tcBorders>
              <w:top w:val="nil"/>
              <w:left w:val="nil"/>
              <w:bottom w:val="nil"/>
              <w:right w:val="nil"/>
            </w:tcBorders>
            <w:shd w:val="clear" w:color="auto" w:fill="auto"/>
            <w:noWrap/>
            <w:vAlign w:val="center"/>
          </w:tcPr>
          <w:p w14:paraId="783D5FB7" w14:textId="7169DA11"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164.812</w:t>
            </w:r>
          </w:p>
        </w:tc>
        <w:tc>
          <w:tcPr>
            <w:tcW w:w="384" w:type="pct"/>
            <w:tcBorders>
              <w:top w:val="nil"/>
              <w:left w:val="nil"/>
              <w:bottom w:val="nil"/>
              <w:right w:val="nil"/>
            </w:tcBorders>
            <w:shd w:val="clear" w:color="auto" w:fill="auto"/>
            <w:noWrap/>
            <w:vAlign w:val="center"/>
          </w:tcPr>
          <w:p w14:paraId="658DDD19" w14:textId="04DFBFCE"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624.380</w:t>
            </w:r>
          </w:p>
        </w:tc>
        <w:tc>
          <w:tcPr>
            <w:tcW w:w="389" w:type="pct"/>
            <w:tcBorders>
              <w:top w:val="nil"/>
              <w:left w:val="nil"/>
              <w:bottom w:val="nil"/>
              <w:right w:val="nil"/>
            </w:tcBorders>
            <w:shd w:val="clear" w:color="auto" w:fill="auto"/>
            <w:noWrap/>
            <w:vAlign w:val="center"/>
          </w:tcPr>
          <w:p w14:paraId="0E67FE66" w14:textId="16CDFE9B"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445.312</w:t>
            </w:r>
          </w:p>
        </w:tc>
        <w:tc>
          <w:tcPr>
            <w:tcW w:w="387" w:type="pct"/>
            <w:tcBorders>
              <w:top w:val="nil"/>
              <w:left w:val="nil"/>
              <w:bottom w:val="nil"/>
              <w:right w:val="nil"/>
            </w:tcBorders>
            <w:shd w:val="clear" w:color="auto" w:fill="auto"/>
            <w:noWrap/>
            <w:vAlign w:val="center"/>
          </w:tcPr>
          <w:p w14:paraId="46973B43" w14:textId="77AD3FB2"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394.582</w:t>
            </w:r>
          </w:p>
        </w:tc>
        <w:tc>
          <w:tcPr>
            <w:tcW w:w="387" w:type="pct"/>
            <w:tcBorders>
              <w:top w:val="nil"/>
              <w:left w:val="nil"/>
              <w:bottom w:val="nil"/>
              <w:right w:val="nil"/>
            </w:tcBorders>
            <w:shd w:val="clear" w:color="auto" w:fill="auto"/>
            <w:noWrap/>
            <w:vAlign w:val="center"/>
          </w:tcPr>
          <w:p w14:paraId="32C959A0" w14:textId="4C718321"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107.307</w:t>
            </w:r>
          </w:p>
        </w:tc>
        <w:tc>
          <w:tcPr>
            <w:tcW w:w="387" w:type="pct"/>
            <w:tcBorders>
              <w:top w:val="nil"/>
              <w:left w:val="nil"/>
              <w:bottom w:val="nil"/>
              <w:right w:val="nil"/>
            </w:tcBorders>
            <w:shd w:val="clear" w:color="auto" w:fill="auto"/>
            <w:noWrap/>
            <w:vAlign w:val="center"/>
          </w:tcPr>
          <w:p w14:paraId="71801242" w14:textId="39C05F62" w:rsidR="00737703" w:rsidRPr="00E20D21" w:rsidRDefault="00737703" w:rsidP="00737703">
            <w:pPr>
              <w:jc w:val="right"/>
              <w:rPr>
                <w:rFonts w:ascii="CAIXA Std Book" w:hAnsi="CAIXA Std Book" w:cs="Arial"/>
                <w:color w:val="005CA9"/>
                <w:sz w:val="16"/>
                <w:szCs w:val="16"/>
              </w:rPr>
            </w:pPr>
            <w:r w:rsidRPr="00E20D21">
              <w:rPr>
                <w:rFonts w:ascii="CAIXA Std Book" w:hAnsi="CAIXA Std Book" w:cs="Arial"/>
                <w:color w:val="005CA9"/>
                <w:sz w:val="16"/>
                <w:szCs w:val="16"/>
              </w:rPr>
              <w:t>574.908</w:t>
            </w:r>
          </w:p>
        </w:tc>
        <w:tc>
          <w:tcPr>
            <w:tcW w:w="441" w:type="pct"/>
            <w:tcBorders>
              <w:top w:val="nil"/>
              <w:left w:val="nil"/>
              <w:bottom w:val="nil"/>
              <w:right w:val="nil"/>
            </w:tcBorders>
            <w:vAlign w:val="center"/>
          </w:tcPr>
          <w:p w14:paraId="59496496" w14:textId="2417F6A3"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2.311.304</w:t>
            </w:r>
          </w:p>
        </w:tc>
        <w:tc>
          <w:tcPr>
            <w:tcW w:w="431" w:type="pct"/>
            <w:tcBorders>
              <w:top w:val="nil"/>
              <w:left w:val="nil"/>
              <w:bottom w:val="nil"/>
              <w:right w:val="nil"/>
            </w:tcBorders>
            <w:shd w:val="clear" w:color="auto" w:fill="auto"/>
            <w:noWrap/>
            <w:vAlign w:val="center"/>
          </w:tcPr>
          <w:p w14:paraId="6FA4BD02" w14:textId="21F17A64" w:rsidR="00737703" w:rsidRPr="00E20D21" w:rsidRDefault="00737703" w:rsidP="00737703">
            <w:pPr>
              <w:jc w:val="right"/>
              <w:rPr>
                <w:rFonts w:ascii="CAIXA Std Book" w:hAnsi="CAIXA Std Book"/>
                <w:color w:val="005CA9"/>
                <w:sz w:val="16"/>
                <w:szCs w:val="16"/>
              </w:rPr>
            </w:pPr>
            <w:r w:rsidRPr="00E20D21">
              <w:rPr>
                <w:rFonts w:ascii="CAIXA Std Book" w:hAnsi="CAIXA Std Book"/>
                <w:color w:val="005CA9"/>
                <w:sz w:val="16"/>
                <w:szCs w:val="16"/>
              </w:rPr>
              <w:t>1.162.926</w:t>
            </w:r>
          </w:p>
        </w:tc>
      </w:tr>
      <w:tr w:rsidR="00737703" w:rsidRPr="00E20D21" w14:paraId="605C5C73" w14:textId="77777777" w:rsidTr="0064419B">
        <w:trPr>
          <w:trHeight w:val="255"/>
        </w:trPr>
        <w:tc>
          <w:tcPr>
            <w:tcW w:w="643" w:type="pct"/>
            <w:tcBorders>
              <w:top w:val="nil"/>
              <w:left w:val="nil"/>
              <w:bottom w:val="nil"/>
              <w:right w:val="nil"/>
            </w:tcBorders>
            <w:shd w:val="clear" w:color="auto" w:fill="auto"/>
            <w:noWrap/>
            <w:vAlign w:val="center"/>
            <w:hideMark/>
          </w:tcPr>
          <w:p w14:paraId="32B8A296" w14:textId="77777777" w:rsidR="00737703" w:rsidRPr="00E20D21" w:rsidRDefault="00737703" w:rsidP="00737703">
            <w:pPr>
              <w:rPr>
                <w:rFonts w:ascii="CAIXA Std Book" w:hAnsi="CAIXA Std Book"/>
                <w:color w:val="005CA9"/>
                <w:sz w:val="16"/>
                <w:szCs w:val="16"/>
              </w:rPr>
            </w:pPr>
            <w:r w:rsidRPr="00E20D21">
              <w:rPr>
                <w:rFonts w:ascii="CAIXA Std Book" w:hAnsi="CAIXA Std Book"/>
                <w:color w:val="005CA9"/>
                <w:sz w:val="16"/>
                <w:szCs w:val="16"/>
              </w:rPr>
              <w:t>91 a 180 dias</w:t>
            </w:r>
          </w:p>
        </w:tc>
        <w:tc>
          <w:tcPr>
            <w:tcW w:w="388" w:type="pct"/>
            <w:tcBorders>
              <w:top w:val="nil"/>
              <w:left w:val="nil"/>
              <w:bottom w:val="nil"/>
              <w:right w:val="nil"/>
            </w:tcBorders>
            <w:shd w:val="clear" w:color="auto" w:fill="auto"/>
            <w:noWrap/>
            <w:vAlign w:val="center"/>
          </w:tcPr>
          <w:p w14:paraId="704224F6"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3490F4B8"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3808FA5B" w14:textId="0DEA08BA" w:rsidR="00737703" w:rsidRPr="00E20D21" w:rsidRDefault="00823311"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4B7941C9" w14:textId="40AC9231"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39.55</w:t>
            </w:r>
            <w:r w:rsidR="008A0BB3" w:rsidRPr="00E20D21">
              <w:rPr>
                <w:rFonts w:ascii="CAIXA Std Book" w:hAnsi="CAIXA Std Book" w:cs="Arial"/>
                <w:color w:val="005CA9"/>
                <w:sz w:val="16"/>
                <w:szCs w:val="16"/>
              </w:rPr>
              <w:t>3</w:t>
            </w:r>
          </w:p>
        </w:tc>
        <w:tc>
          <w:tcPr>
            <w:tcW w:w="384" w:type="pct"/>
            <w:tcBorders>
              <w:top w:val="nil"/>
              <w:left w:val="nil"/>
              <w:bottom w:val="nil"/>
              <w:right w:val="nil"/>
            </w:tcBorders>
            <w:shd w:val="clear" w:color="auto" w:fill="auto"/>
            <w:noWrap/>
            <w:vAlign w:val="center"/>
          </w:tcPr>
          <w:p w14:paraId="05DD95DD" w14:textId="21C196CE"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160.431</w:t>
            </w:r>
          </w:p>
        </w:tc>
        <w:tc>
          <w:tcPr>
            <w:tcW w:w="389" w:type="pct"/>
            <w:tcBorders>
              <w:top w:val="nil"/>
              <w:left w:val="nil"/>
              <w:bottom w:val="nil"/>
              <w:right w:val="nil"/>
            </w:tcBorders>
            <w:shd w:val="clear" w:color="auto" w:fill="auto"/>
            <w:noWrap/>
            <w:vAlign w:val="center"/>
          </w:tcPr>
          <w:p w14:paraId="20CAEA99" w14:textId="1AC31D94"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596.200</w:t>
            </w:r>
          </w:p>
        </w:tc>
        <w:tc>
          <w:tcPr>
            <w:tcW w:w="387" w:type="pct"/>
            <w:tcBorders>
              <w:top w:val="nil"/>
              <w:left w:val="nil"/>
              <w:bottom w:val="nil"/>
              <w:right w:val="nil"/>
            </w:tcBorders>
            <w:shd w:val="clear" w:color="auto" w:fill="auto"/>
            <w:noWrap/>
            <w:vAlign w:val="center"/>
          </w:tcPr>
          <w:p w14:paraId="2396A29C" w14:textId="4A5267D8"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899.542</w:t>
            </w:r>
          </w:p>
        </w:tc>
        <w:tc>
          <w:tcPr>
            <w:tcW w:w="387" w:type="pct"/>
            <w:tcBorders>
              <w:top w:val="nil"/>
              <w:left w:val="nil"/>
              <w:bottom w:val="nil"/>
              <w:right w:val="nil"/>
            </w:tcBorders>
            <w:shd w:val="clear" w:color="auto" w:fill="auto"/>
            <w:noWrap/>
            <w:vAlign w:val="center"/>
          </w:tcPr>
          <w:p w14:paraId="64E908E5" w14:textId="5666A255"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607.111</w:t>
            </w:r>
          </w:p>
        </w:tc>
        <w:tc>
          <w:tcPr>
            <w:tcW w:w="387" w:type="pct"/>
            <w:tcBorders>
              <w:top w:val="nil"/>
              <w:left w:val="nil"/>
              <w:bottom w:val="nil"/>
              <w:right w:val="nil"/>
            </w:tcBorders>
            <w:shd w:val="clear" w:color="auto" w:fill="auto"/>
            <w:noWrap/>
            <w:vAlign w:val="center"/>
          </w:tcPr>
          <w:p w14:paraId="5B072B4E" w14:textId="3A6E810E"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1.273.522</w:t>
            </w:r>
          </w:p>
        </w:tc>
        <w:tc>
          <w:tcPr>
            <w:tcW w:w="441" w:type="pct"/>
            <w:tcBorders>
              <w:top w:val="nil"/>
              <w:left w:val="nil"/>
              <w:bottom w:val="nil"/>
              <w:right w:val="nil"/>
            </w:tcBorders>
            <w:vAlign w:val="center"/>
          </w:tcPr>
          <w:p w14:paraId="3D1541AD" w14:textId="3C59B853"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3.576.359</w:t>
            </w:r>
          </w:p>
        </w:tc>
        <w:tc>
          <w:tcPr>
            <w:tcW w:w="431" w:type="pct"/>
            <w:tcBorders>
              <w:top w:val="nil"/>
              <w:left w:val="nil"/>
              <w:bottom w:val="nil"/>
              <w:right w:val="nil"/>
            </w:tcBorders>
            <w:shd w:val="clear" w:color="auto" w:fill="auto"/>
            <w:noWrap/>
            <w:vAlign w:val="center"/>
          </w:tcPr>
          <w:p w14:paraId="73856ABA" w14:textId="47F10999" w:rsidR="00737703" w:rsidRPr="00E20D21" w:rsidRDefault="00737703" w:rsidP="00737703">
            <w:pPr>
              <w:jc w:val="right"/>
              <w:rPr>
                <w:rFonts w:ascii="CAIXA Std Book" w:hAnsi="CAIXA Std Book"/>
                <w:color w:val="005CA9"/>
                <w:sz w:val="16"/>
                <w:szCs w:val="16"/>
              </w:rPr>
            </w:pPr>
            <w:r w:rsidRPr="00E20D21">
              <w:rPr>
                <w:rFonts w:ascii="CAIXA Std Book" w:hAnsi="CAIXA Std Book"/>
                <w:color w:val="005CA9"/>
                <w:sz w:val="16"/>
                <w:szCs w:val="16"/>
              </w:rPr>
              <w:t>2.155.463</w:t>
            </w:r>
          </w:p>
        </w:tc>
      </w:tr>
      <w:tr w:rsidR="00737703" w:rsidRPr="00E20D21" w14:paraId="35FF4B32" w14:textId="77777777" w:rsidTr="0064419B">
        <w:trPr>
          <w:trHeight w:val="255"/>
        </w:trPr>
        <w:tc>
          <w:tcPr>
            <w:tcW w:w="643" w:type="pct"/>
            <w:tcBorders>
              <w:top w:val="nil"/>
              <w:left w:val="nil"/>
              <w:bottom w:val="nil"/>
              <w:right w:val="nil"/>
            </w:tcBorders>
            <w:shd w:val="clear" w:color="auto" w:fill="auto"/>
            <w:noWrap/>
            <w:vAlign w:val="center"/>
            <w:hideMark/>
          </w:tcPr>
          <w:p w14:paraId="5253A3C8" w14:textId="77777777" w:rsidR="00737703" w:rsidRPr="00E20D21" w:rsidRDefault="00737703" w:rsidP="00737703">
            <w:pPr>
              <w:rPr>
                <w:rFonts w:ascii="CAIXA Std Book" w:hAnsi="CAIXA Std Book"/>
                <w:color w:val="005CA9"/>
                <w:sz w:val="16"/>
                <w:szCs w:val="16"/>
              </w:rPr>
            </w:pPr>
            <w:r w:rsidRPr="00E20D21">
              <w:rPr>
                <w:rFonts w:ascii="CAIXA Std Book" w:hAnsi="CAIXA Std Book"/>
                <w:color w:val="005CA9"/>
                <w:sz w:val="16"/>
                <w:szCs w:val="16"/>
              </w:rPr>
              <w:t>181 a 360 dias</w:t>
            </w:r>
          </w:p>
        </w:tc>
        <w:tc>
          <w:tcPr>
            <w:tcW w:w="388" w:type="pct"/>
            <w:tcBorders>
              <w:top w:val="nil"/>
              <w:left w:val="nil"/>
              <w:bottom w:val="nil"/>
              <w:right w:val="nil"/>
            </w:tcBorders>
            <w:shd w:val="clear" w:color="auto" w:fill="auto"/>
            <w:noWrap/>
            <w:vAlign w:val="center"/>
          </w:tcPr>
          <w:p w14:paraId="6DBF2118"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58659612" w14:textId="77777777"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4C3B1039" w14:textId="4002C518" w:rsidR="00737703" w:rsidRPr="00E20D21" w:rsidRDefault="00737703" w:rsidP="00737703">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388" w:type="pct"/>
            <w:tcBorders>
              <w:top w:val="nil"/>
              <w:left w:val="nil"/>
              <w:bottom w:val="nil"/>
              <w:right w:val="nil"/>
            </w:tcBorders>
            <w:shd w:val="clear" w:color="auto" w:fill="auto"/>
            <w:noWrap/>
            <w:vAlign w:val="center"/>
          </w:tcPr>
          <w:p w14:paraId="10EA32D3" w14:textId="19097B66"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1.791</w:t>
            </w:r>
          </w:p>
        </w:tc>
        <w:tc>
          <w:tcPr>
            <w:tcW w:w="384" w:type="pct"/>
            <w:tcBorders>
              <w:top w:val="nil"/>
              <w:left w:val="nil"/>
              <w:bottom w:val="nil"/>
              <w:right w:val="nil"/>
            </w:tcBorders>
            <w:shd w:val="clear" w:color="auto" w:fill="auto"/>
            <w:noWrap/>
            <w:vAlign w:val="center"/>
          </w:tcPr>
          <w:p w14:paraId="03AC9382" w14:textId="1BCFC35C"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482</w:t>
            </w:r>
          </w:p>
        </w:tc>
        <w:tc>
          <w:tcPr>
            <w:tcW w:w="389" w:type="pct"/>
            <w:tcBorders>
              <w:top w:val="nil"/>
              <w:left w:val="nil"/>
              <w:bottom w:val="nil"/>
              <w:right w:val="nil"/>
            </w:tcBorders>
            <w:shd w:val="clear" w:color="auto" w:fill="auto"/>
            <w:noWrap/>
            <w:vAlign w:val="center"/>
          </w:tcPr>
          <w:p w14:paraId="0EA3A750" w14:textId="0C8668F5"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61.490</w:t>
            </w:r>
          </w:p>
        </w:tc>
        <w:tc>
          <w:tcPr>
            <w:tcW w:w="387" w:type="pct"/>
            <w:tcBorders>
              <w:top w:val="nil"/>
              <w:left w:val="nil"/>
              <w:bottom w:val="nil"/>
              <w:right w:val="nil"/>
            </w:tcBorders>
            <w:shd w:val="clear" w:color="auto" w:fill="auto"/>
            <w:noWrap/>
            <w:vAlign w:val="center"/>
          </w:tcPr>
          <w:p w14:paraId="37566DAC" w14:textId="1B752BE3"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110.404</w:t>
            </w:r>
          </w:p>
        </w:tc>
        <w:tc>
          <w:tcPr>
            <w:tcW w:w="387" w:type="pct"/>
            <w:tcBorders>
              <w:top w:val="nil"/>
              <w:left w:val="nil"/>
              <w:bottom w:val="nil"/>
              <w:right w:val="nil"/>
            </w:tcBorders>
            <w:shd w:val="clear" w:color="auto" w:fill="auto"/>
            <w:noWrap/>
            <w:vAlign w:val="center"/>
          </w:tcPr>
          <w:p w14:paraId="09BA2F83" w14:textId="792175BC"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101.614</w:t>
            </w:r>
          </w:p>
        </w:tc>
        <w:tc>
          <w:tcPr>
            <w:tcW w:w="387" w:type="pct"/>
            <w:tcBorders>
              <w:top w:val="nil"/>
              <w:left w:val="nil"/>
              <w:bottom w:val="nil"/>
              <w:right w:val="nil"/>
            </w:tcBorders>
            <w:shd w:val="clear" w:color="auto" w:fill="auto"/>
            <w:noWrap/>
            <w:vAlign w:val="center"/>
          </w:tcPr>
          <w:p w14:paraId="46BD67C4" w14:textId="13AE9813"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2.912.853</w:t>
            </w:r>
          </w:p>
        </w:tc>
        <w:tc>
          <w:tcPr>
            <w:tcW w:w="441" w:type="pct"/>
            <w:tcBorders>
              <w:top w:val="nil"/>
              <w:left w:val="nil"/>
              <w:bottom w:val="nil"/>
              <w:right w:val="nil"/>
            </w:tcBorders>
            <w:vAlign w:val="center"/>
          </w:tcPr>
          <w:p w14:paraId="6B42A65D" w14:textId="2C0CBE3C"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3.188.634</w:t>
            </w:r>
          </w:p>
        </w:tc>
        <w:tc>
          <w:tcPr>
            <w:tcW w:w="431" w:type="pct"/>
            <w:tcBorders>
              <w:top w:val="nil"/>
              <w:left w:val="nil"/>
              <w:bottom w:val="nil"/>
              <w:right w:val="nil"/>
            </w:tcBorders>
            <w:shd w:val="clear" w:color="auto" w:fill="auto"/>
            <w:noWrap/>
            <w:vAlign w:val="center"/>
          </w:tcPr>
          <w:p w14:paraId="76F527A8" w14:textId="050A0010" w:rsidR="00737703" w:rsidRPr="00E20D21" w:rsidRDefault="00737703" w:rsidP="00737703">
            <w:pPr>
              <w:jc w:val="right"/>
              <w:rPr>
                <w:rFonts w:ascii="CAIXA Std Book" w:hAnsi="CAIXA Std Book"/>
                <w:color w:val="005CA9"/>
                <w:sz w:val="16"/>
                <w:szCs w:val="16"/>
              </w:rPr>
            </w:pPr>
            <w:r w:rsidRPr="00E20D21">
              <w:rPr>
                <w:rFonts w:ascii="CAIXA Std Book" w:hAnsi="CAIXA Std Book"/>
                <w:color w:val="005CA9"/>
                <w:sz w:val="16"/>
                <w:szCs w:val="16"/>
              </w:rPr>
              <w:t>3.038.355</w:t>
            </w:r>
          </w:p>
        </w:tc>
      </w:tr>
      <w:tr w:rsidR="00737703" w:rsidRPr="00E20D21" w14:paraId="73F4DEA0" w14:textId="77777777" w:rsidTr="0064419B">
        <w:trPr>
          <w:trHeight w:val="255"/>
        </w:trPr>
        <w:tc>
          <w:tcPr>
            <w:tcW w:w="643" w:type="pct"/>
            <w:tcBorders>
              <w:top w:val="nil"/>
              <w:left w:val="nil"/>
              <w:bottom w:val="nil"/>
              <w:right w:val="nil"/>
            </w:tcBorders>
            <w:shd w:val="clear" w:color="auto" w:fill="auto"/>
            <w:noWrap/>
            <w:vAlign w:val="center"/>
            <w:hideMark/>
          </w:tcPr>
          <w:p w14:paraId="1DF49E0C" w14:textId="77777777" w:rsidR="00737703" w:rsidRPr="00E20D21" w:rsidRDefault="00737703" w:rsidP="00737703">
            <w:pPr>
              <w:rPr>
                <w:rFonts w:ascii="CAIXA Std Book" w:hAnsi="CAIXA Std Book"/>
                <w:color w:val="005CA9"/>
                <w:sz w:val="16"/>
                <w:szCs w:val="16"/>
              </w:rPr>
            </w:pPr>
            <w:r w:rsidRPr="00E20D21">
              <w:rPr>
                <w:rFonts w:ascii="CAIXA Std Book" w:hAnsi="CAIXA Std Book"/>
                <w:color w:val="005CA9"/>
                <w:sz w:val="16"/>
                <w:szCs w:val="16"/>
              </w:rPr>
              <w:t>Acima de 360 dias</w:t>
            </w:r>
          </w:p>
        </w:tc>
        <w:tc>
          <w:tcPr>
            <w:tcW w:w="388" w:type="pct"/>
            <w:tcBorders>
              <w:top w:val="nil"/>
              <w:left w:val="nil"/>
              <w:bottom w:val="nil"/>
              <w:right w:val="nil"/>
            </w:tcBorders>
            <w:shd w:val="clear" w:color="auto" w:fill="auto"/>
            <w:noWrap/>
            <w:vAlign w:val="center"/>
          </w:tcPr>
          <w:p w14:paraId="4C6006E1" w14:textId="501F7CE2" w:rsidR="00737703" w:rsidRPr="00E20D21" w:rsidRDefault="00737703" w:rsidP="00737703">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387" w:type="pct"/>
            <w:tcBorders>
              <w:top w:val="nil"/>
              <w:left w:val="nil"/>
              <w:bottom w:val="nil"/>
              <w:right w:val="nil"/>
            </w:tcBorders>
            <w:shd w:val="clear" w:color="auto" w:fill="auto"/>
            <w:noWrap/>
            <w:vAlign w:val="center"/>
          </w:tcPr>
          <w:p w14:paraId="1AF4BB62" w14:textId="6306CD74" w:rsidR="00737703" w:rsidRPr="00E20D21" w:rsidRDefault="00737703" w:rsidP="00737703">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388" w:type="pct"/>
            <w:tcBorders>
              <w:top w:val="nil"/>
              <w:left w:val="nil"/>
              <w:bottom w:val="nil"/>
              <w:right w:val="nil"/>
            </w:tcBorders>
            <w:shd w:val="clear" w:color="auto" w:fill="auto"/>
            <w:noWrap/>
            <w:vAlign w:val="center"/>
          </w:tcPr>
          <w:p w14:paraId="39C569AE" w14:textId="4A24088D" w:rsidR="00737703" w:rsidRPr="00E20D21" w:rsidRDefault="00737703" w:rsidP="00737703">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388" w:type="pct"/>
            <w:tcBorders>
              <w:top w:val="nil"/>
              <w:left w:val="nil"/>
              <w:bottom w:val="nil"/>
              <w:right w:val="nil"/>
            </w:tcBorders>
            <w:shd w:val="clear" w:color="auto" w:fill="auto"/>
            <w:noWrap/>
            <w:vAlign w:val="center"/>
          </w:tcPr>
          <w:p w14:paraId="65741233" w14:textId="186574EE" w:rsidR="00737703" w:rsidRPr="00E20D21" w:rsidRDefault="00737703" w:rsidP="00737703">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384" w:type="pct"/>
            <w:tcBorders>
              <w:top w:val="nil"/>
              <w:left w:val="nil"/>
              <w:bottom w:val="nil"/>
              <w:right w:val="nil"/>
            </w:tcBorders>
            <w:shd w:val="clear" w:color="auto" w:fill="auto"/>
            <w:noWrap/>
            <w:vAlign w:val="center"/>
          </w:tcPr>
          <w:p w14:paraId="30EB0E23" w14:textId="18972DD8" w:rsidR="00737703" w:rsidRPr="00E20D21" w:rsidRDefault="00737703" w:rsidP="00737703">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noWrap/>
            <w:vAlign w:val="center"/>
          </w:tcPr>
          <w:p w14:paraId="448A25DD" w14:textId="38D269A3" w:rsidR="00737703" w:rsidRPr="00E20D21" w:rsidRDefault="00E2595C" w:rsidP="00737703">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387" w:type="pct"/>
            <w:tcBorders>
              <w:top w:val="nil"/>
              <w:left w:val="nil"/>
              <w:bottom w:val="nil"/>
              <w:right w:val="nil"/>
            </w:tcBorders>
            <w:shd w:val="clear" w:color="auto" w:fill="auto"/>
            <w:noWrap/>
            <w:vAlign w:val="center"/>
          </w:tcPr>
          <w:p w14:paraId="02DB5E43" w14:textId="4B7B6B28" w:rsidR="00737703" w:rsidRPr="00E20D21" w:rsidRDefault="00E2595C" w:rsidP="00737703">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387" w:type="pct"/>
            <w:tcBorders>
              <w:top w:val="nil"/>
              <w:left w:val="nil"/>
              <w:bottom w:val="nil"/>
              <w:right w:val="nil"/>
            </w:tcBorders>
            <w:shd w:val="clear" w:color="auto" w:fill="auto"/>
            <w:noWrap/>
            <w:vAlign w:val="center"/>
          </w:tcPr>
          <w:p w14:paraId="34BBF50D" w14:textId="71D8A0FA" w:rsidR="00737703" w:rsidRPr="00E20D21" w:rsidRDefault="00E2595C" w:rsidP="00737703">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387" w:type="pct"/>
            <w:tcBorders>
              <w:top w:val="nil"/>
              <w:left w:val="nil"/>
              <w:bottom w:val="nil"/>
              <w:right w:val="nil"/>
            </w:tcBorders>
            <w:shd w:val="clear" w:color="auto" w:fill="auto"/>
            <w:noWrap/>
            <w:vAlign w:val="center"/>
          </w:tcPr>
          <w:p w14:paraId="29B4BCDB" w14:textId="2003BBFC"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315.155</w:t>
            </w:r>
          </w:p>
        </w:tc>
        <w:tc>
          <w:tcPr>
            <w:tcW w:w="441" w:type="pct"/>
            <w:tcBorders>
              <w:top w:val="nil"/>
              <w:left w:val="nil"/>
              <w:bottom w:val="nil"/>
              <w:right w:val="nil"/>
            </w:tcBorders>
            <w:vAlign w:val="center"/>
          </w:tcPr>
          <w:p w14:paraId="15BDF2D4" w14:textId="4A4F7010" w:rsidR="00737703" w:rsidRPr="00E20D21" w:rsidRDefault="00737703" w:rsidP="00737703">
            <w:pPr>
              <w:jc w:val="right"/>
              <w:rPr>
                <w:rFonts w:ascii="CAIXA Std Book" w:hAnsi="CAIXA Std Book"/>
                <w:color w:val="005CA9"/>
                <w:sz w:val="16"/>
                <w:szCs w:val="16"/>
              </w:rPr>
            </w:pPr>
            <w:r w:rsidRPr="00E20D21">
              <w:rPr>
                <w:rFonts w:ascii="CAIXA Std Book" w:hAnsi="CAIXA Std Book" w:cs="Arial"/>
                <w:color w:val="005CA9"/>
                <w:sz w:val="16"/>
                <w:szCs w:val="16"/>
              </w:rPr>
              <w:t>315.155</w:t>
            </w:r>
          </w:p>
        </w:tc>
        <w:tc>
          <w:tcPr>
            <w:tcW w:w="431" w:type="pct"/>
            <w:tcBorders>
              <w:top w:val="nil"/>
              <w:left w:val="nil"/>
              <w:bottom w:val="nil"/>
              <w:right w:val="nil"/>
            </w:tcBorders>
            <w:shd w:val="clear" w:color="auto" w:fill="auto"/>
            <w:noWrap/>
            <w:vAlign w:val="center"/>
          </w:tcPr>
          <w:p w14:paraId="33197D9E" w14:textId="6BB1123E" w:rsidR="00737703" w:rsidRPr="00E20D21" w:rsidRDefault="00737703" w:rsidP="00737703">
            <w:pPr>
              <w:jc w:val="right"/>
              <w:rPr>
                <w:rFonts w:ascii="CAIXA Std Book" w:hAnsi="CAIXA Std Book"/>
                <w:color w:val="005CA9"/>
                <w:sz w:val="16"/>
                <w:szCs w:val="16"/>
              </w:rPr>
            </w:pPr>
            <w:r w:rsidRPr="00E20D21">
              <w:rPr>
                <w:rFonts w:ascii="CAIXA Std Book" w:hAnsi="CAIXA Std Book"/>
                <w:color w:val="005CA9"/>
                <w:sz w:val="16"/>
                <w:szCs w:val="16"/>
              </w:rPr>
              <w:t>351.618</w:t>
            </w:r>
          </w:p>
        </w:tc>
      </w:tr>
      <w:tr w:rsidR="00737703" w:rsidRPr="00E20D21" w14:paraId="6A3C84B7" w14:textId="77777777" w:rsidTr="0064419B">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140DA43A" w14:textId="77777777" w:rsidR="00737703" w:rsidRPr="00E20D21" w:rsidRDefault="00737703" w:rsidP="00737703">
            <w:pPr>
              <w:rPr>
                <w:rFonts w:ascii="CAIXA Std Book" w:hAnsi="CAIXA Std Book"/>
                <w:b/>
                <w:color w:val="005CA9"/>
                <w:sz w:val="16"/>
                <w:szCs w:val="16"/>
              </w:rPr>
            </w:pPr>
            <w:r w:rsidRPr="00E20D21">
              <w:rPr>
                <w:rFonts w:ascii="CAIXA Std Book" w:hAnsi="CAIXA Std Book"/>
                <w:b/>
                <w:color w:val="005CA9"/>
                <w:sz w:val="16"/>
                <w:szCs w:val="16"/>
              </w:rPr>
              <w:t>Total</w:t>
            </w:r>
          </w:p>
        </w:tc>
        <w:tc>
          <w:tcPr>
            <w:tcW w:w="388" w:type="pct"/>
            <w:tcBorders>
              <w:top w:val="single" w:sz="4" w:space="0" w:color="F39200"/>
              <w:left w:val="nil"/>
              <w:bottom w:val="single" w:sz="4" w:space="0" w:color="F39200"/>
              <w:right w:val="nil"/>
            </w:tcBorders>
            <w:shd w:val="clear" w:color="auto" w:fill="auto"/>
            <w:noWrap/>
            <w:vAlign w:val="center"/>
          </w:tcPr>
          <w:p w14:paraId="6A620189" w14:textId="752DAC0A" w:rsidR="00737703" w:rsidRPr="00E20D21" w:rsidRDefault="00737703" w:rsidP="00737703">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387" w:type="pct"/>
            <w:tcBorders>
              <w:top w:val="single" w:sz="4" w:space="0" w:color="F39200"/>
              <w:left w:val="nil"/>
              <w:bottom w:val="single" w:sz="4" w:space="0" w:color="F39200"/>
              <w:right w:val="nil"/>
            </w:tcBorders>
            <w:shd w:val="clear" w:color="auto" w:fill="auto"/>
            <w:noWrap/>
            <w:vAlign w:val="center"/>
          </w:tcPr>
          <w:p w14:paraId="4CE1D503" w14:textId="742DE9C6" w:rsidR="00737703" w:rsidRPr="00E20D21" w:rsidRDefault="00737703" w:rsidP="00737703">
            <w:pPr>
              <w:jc w:val="center"/>
              <w:rPr>
                <w:rFonts w:ascii="CAIXA Std Book" w:hAnsi="CAIXA Std Book" w:cs="Arial"/>
                <w:b/>
                <w:color w:val="005CA9"/>
                <w:sz w:val="16"/>
                <w:szCs w:val="16"/>
              </w:rPr>
            </w:pPr>
            <w:r w:rsidRPr="00E20D21">
              <w:rPr>
                <w:rFonts w:ascii="CAIXA Std Book" w:hAnsi="CAIXA Std Book" w:cs="Arial"/>
                <w:b/>
                <w:color w:val="005CA9"/>
                <w:sz w:val="16"/>
                <w:szCs w:val="16"/>
              </w:rPr>
              <w:t>-</w:t>
            </w:r>
          </w:p>
        </w:tc>
        <w:tc>
          <w:tcPr>
            <w:tcW w:w="388" w:type="pct"/>
            <w:tcBorders>
              <w:top w:val="single" w:sz="4" w:space="0" w:color="F39200"/>
              <w:left w:val="nil"/>
              <w:bottom w:val="single" w:sz="4" w:space="0" w:color="F39200"/>
              <w:right w:val="nil"/>
            </w:tcBorders>
            <w:shd w:val="clear" w:color="auto" w:fill="auto"/>
            <w:noWrap/>
            <w:vAlign w:val="center"/>
          </w:tcPr>
          <w:p w14:paraId="0EB5B1AE" w14:textId="084532E1" w:rsidR="00737703" w:rsidRPr="00E20D21" w:rsidRDefault="00737703" w:rsidP="0073770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18.553.104</w:t>
            </w:r>
          </w:p>
        </w:tc>
        <w:tc>
          <w:tcPr>
            <w:tcW w:w="388" w:type="pct"/>
            <w:tcBorders>
              <w:top w:val="single" w:sz="4" w:space="0" w:color="F39200"/>
              <w:left w:val="nil"/>
              <w:bottom w:val="single" w:sz="4" w:space="0" w:color="F39200"/>
              <w:right w:val="nil"/>
            </w:tcBorders>
            <w:shd w:val="clear" w:color="auto" w:fill="auto"/>
            <w:noWrap/>
            <w:vAlign w:val="center"/>
          </w:tcPr>
          <w:p w14:paraId="6B6E0EAA" w14:textId="148D3A21"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32.739.12</w:t>
            </w:r>
            <w:r w:rsidR="00903645" w:rsidRPr="00E20D21">
              <w:rPr>
                <w:rFonts w:ascii="CAIXA Std Book" w:hAnsi="CAIXA Std Book" w:cs="Arial"/>
                <w:b/>
                <w:bCs/>
                <w:color w:val="005CA9"/>
                <w:sz w:val="16"/>
                <w:szCs w:val="16"/>
              </w:rPr>
              <w:t>1</w:t>
            </w:r>
          </w:p>
        </w:tc>
        <w:tc>
          <w:tcPr>
            <w:tcW w:w="384" w:type="pct"/>
            <w:tcBorders>
              <w:top w:val="single" w:sz="4" w:space="0" w:color="F39200"/>
              <w:left w:val="nil"/>
              <w:bottom w:val="single" w:sz="4" w:space="0" w:color="F39200"/>
              <w:right w:val="nil"/>
            </w:tcBorders>
            <w:shd w:val="clear" w:color="auto" w:fill="auto"/>
            <w:noWrap/>
            <w:vAlign w:val="center"/>
          </w:tcPr>
          <w:p w14:paraId="78358145" w14:textId="6A52E4E3"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9.280.102</w:t>
            </w:r>
          </w:p>
        </w:tc>
        <w:tc>
          <w:tcPr>
            <w:tcW w:w="389" w:type="pct"/>
            <w:tcBorders>
              <w:top w:val="single" w:sz="4" w:space="0" w:color="F39200"/>
              <w:left w:val="nil"/>
              <w:bottom w:val="single" w:sz="4" w:space="0" w:color="F39200"/>
              <w:right w:val="nil"/>
            </w:tcBorders>
            <w:shd w:val="clear" w:color="auto" w:fill="auto"/>
            <w:noWrap/>
            <w:vAlign w:val="center"/>
          </w:tcPr>
          <w:p w14:paraId="37AD3B76" w14:textId="0923BF0C"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8.525.697</w:t>
            </w:r>
          </w:p>
        </w:tc>
        <w:tc>
          <w:tcPr>
            <w:tcW w:w="387" w:type="pct"/>
            <w:tcBorders>
              <w:top w:val="single" w:sz="4" w:space="0" w:color="F39200"/>
              <w:left w:val="nil"/>
              <w:bottom w:val="single" w:sz="4" w:space="0" w:color="F39200"/>
              <w:right w:val="nil"/>
            </w:tcBorders>
            <w:shd w:val="clear" w:color="auto" w:fill="auto"/>
            <w:noWrap/>
            <w:vAlign w:val="center"/>
          </w:tcPr>
          <w:p w14:paraId="0BCF0067" w14:textId="3B64D606"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5.961.872</w:t>
            </w:r>
          </w:p>
        </w:tc>
        <w:tc>
          <w:tcPr>
            <w:tcW w:w="387" w:type="pct"/>
            <w:tcBorders>
              <w:top w:val="single" w:sz="4" w:space="0" w:color="F39200"/>
              <w:left w:val="nil"/>
              <w:bottom w:val="single" w:sz="4" w:space="0" w:color="F39200"/>
              <w:right w:val="nil"/>
            </w:tcBorders>
            <w:shd w:val="clear" w:color="auto" w:fill="auto"/>
            <w:noWrap/>
            <w:vAlign w:val="center"/>
          </w:tcPr>
          <w:p w14:paraId="1F4F1D6D" w14:textId="26737388"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3.026.343</w:t>
            </w:r>
          </w:p>
        </w:tc>
        <w:tc>
          <w:tcPr>
            <w:tcW w:w="387" w:type="pct"/>
            <w:tcBorders>
              <w:top w:val="single" w:sz="4" w:space="0" w:color="F39200"/>
              <w:left w:val="nil"/>
              <w:bottom w:val="single" w:sz="4" w:space="0" w:color="F39200"/>
              <w:right w:val="nil"/>
            </w:tcBorders>
            <w:shd w:val="clear" w:color="auto" w:fill="auto"/>
            <w:noWrap/>
            <w:vAlign w:val="center"/>
          </w:tcPr>
          <w:p w14:paraId="3928A64E" w14:textId="3623E998" w:rsidR="00737703" w:rsidRPr="00E20D21" w:rsidRDefault="00737703" w:rsidP="00737703">
            <w:pPr>
              <w:jc w:val="right"/>
              <w:rPr>
                <w:rFonts w:ascii="CAIXA Std Book" w:hAnsi="CAIXA Std Book"/>
                <w:b/>
                <w:color w:val="005CA9"/>
                <w:sz w:val="16"/>
                <w:szCs w:val="16"/>
              </w:rPr>
            </w:pPr>
            <w:r w:rsidRPr="00E20D21">
              <w:rPr>
                <w:rFonts w:ascii="CAIXA Std Book" w:hAnsi="CAIXA Std Book" w:cs="Arial"/>
                <w:b/>
                <w:bCs/>
                <w:color w:val="005CA9"/>
                <w:sz w:val="16"/>
                <w:szCs w:val="16"/>
              </w:rPr>
              <w:t>11.717.579</w:t>
            </w:r>
          </w:p>
        </w:tc>
        <w:tc>
          <w:tcPr>
            <w:tcW w:w="441" w:type="pct"/>
            <w:tcBorders>
              <w:top w:val="single" w:sz="4" w:space="0" w:color="F39200"/>
              <w:left w:val="nil"/>
              <w:bottom w:val="single" w:sz="4" w:space="0" w:color="F39200"/>
              <w:right w:val="nil"/>
            </w:tcBorders>
            <w:vAlign w:val="center"/>
          </w:tcPr>
          <w:p w14:paraId="6780D1A7" w14:textId="4386D654" w:rsidR="00737703" w:rsidRPr="00E20D21" w:rsidRDefault="00737703" w:rsidP="00737703">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89.803.81</w:t>
            </w:r>
            <w:r w:rsidR="00A12CDE" w:rsidRPr="00E20D21">
              <w:rPr>
                <w:rFonts w:ascii="CAIXA Std Book" w:hAnsi="CAIXA Std Book" w:cs="Arial"/>
                <w:b/>
                <w:bCs/>
                <w:color w:val="005CA9"/>
                <w:sz w:val="16"/>
                <w:szCs w:val="16"/>
              </w:rPr>
              <w:t>8</w:t>
            </w:r>
          </w:p>
        </w:tc>
        <w:tc>
          <w:tcPr>
            <w:tcW w:w="431" w:type="pct"/>
            <w:tcBorders>
              <w:top w:val="single" w:sz="4" w:space="0" w:color="F39200"/>
              <w:left w:val="nil"/>
              <w:bottom w:val="single" w:sz="4" w:space="0" w:color="F39200"/>
              <w:right w:val="nil"/>
            </w:tcBorders>
            <w:shd w:val="clear" w:color="auto" w:fill="auto"/>
            <w:noWrap/>
            <w:vAlign w:val="center"/>
          </w:tcPr>
          <w:p w14:paraId="53F7F345" w14:textId="0315C9B7" w:rsidR="00737703" w:rsidRPr="00E20D21" w:rsidRDefault="00737703" w:rsidP="00737703">
            <w:pPr>
              <w:jc w:val="right"/>
              <w:rPr>
                <w:rFonts w:ascii="CAIXA Std Book" w:hAnsi="CAIXA Std Book"/>
                <w:b/>
                <w:color w:val="005CA9"/>
                <w:sz w:val="16"/>
                <w:szCs w:val="16"/>
              </w:rPr>
            </w:pPr>
            <w:r w:rsidRPr="00E20D21">
              <w:rPr>
                <w:rFonts w:ascii="CAIXA Std Book" w:hAnsi="CAIXA Std Book"/>
                <w:b/>
                <w:bCs/>
                <w:color w:val="005CA9"/>
                <w:sz w:val="16"/>
                <w:szCs w:val="16"/>
              </w:rPr>
              <w:t>86.328.386</w:t>
            </w:r>
          </w:p>
        </w:tc>
      </w:tr>
    </w:tbl>
    <w:p w14:paraId="6C22CCEF" w14:textId="16C5F32A" w:rsidR="00BA44FA" w:rsidRPr="00E20D21" w:rsidRDefault="00BA44FA" w:rsidP="009D580F">
      <w:pPr>
        <w:tabs>
          <w:tab w:val="left" w:pos="1035"/>
        </w:tabs>
        <w:rPr>
          <w:rFonts w:ascii="CAIXA Std Book" w:hAnsi="CAIXA Std Book"/>
          <w:color w:val="005CA9"/>
          <w:sz w:val="20"/>
          <w:szCs w:val="20"/>
        </w:rPr>
        <w:sectPr w:rsidR="00BA44FA" w:rsidRPr="00E20D21" w:rsidSect="001F0E96">
          <w:headerReference w:type="default" r:id="rId43"/>
          <w:footerReference w:type="default" r:id="rId44"/>
          <w:headerReference w:type="first" r:id="rId45"/>
          <w:footerReference w:type="first" r:id="rId46"/>
          <w:pgSz w:w="16840" w:h="11907" w:orient="landscape" w:code="9"/>
          <w:pgMar w:top="1418" w:right="1418" w:bottom="851" w:left="851" w:header="1134" w:footer="709" w:gutter="0"/>
          <w:cols w:space="708"/>
          <w:titlePg/>
          <w:docGrid w:linePitch="360"/>
        </w:sectPr>
      </w:pPr>
    </w:p>
    <w:p w14:paraId="06DD95F2" w14:textId="3CBCB3D1" w:rsidR="00BA44FA" w:rsidRPr="00E20D21" w:rsidRDefault="00BA44FA" w:rsidP="00112BDB">
      <w:p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lastRenderedPageBreak/>
        <w:t>(</w:t>
      </w:r>
      <w:r w:rsidR="00DA43EF" w:rsidRPr="00E20D21">
        <w:rPr>
          <w:rFonts w:ascii="CAIXA Std Book" w:hAnsi="CAIXA Std Book"/>
          <w:b/>
          <w:color w:val="005CA9"/>
          <w:sz w:val="20"/>
          <w:szCs w:val="20"/>
        </w:rPr>
        <w:t>c</w:t>
      </w:r>
      <w:r w:rsidRPr="00E20D21">
        <w:rPr>
          <w:rFonts w:ascii="CAIXA Std Book" w:hAnsi="CAIXA Std Book"/>
          <w:b/>
          <w:color w:val="005CA9"/>
          <w:sz w:val="20"/>
          <w:szCs w:val="20"/>
        </w:rPr>
        <w:t>)</w:t>
      </w:r>
      <w:r w:rsidRPr="00E20D21">
        <w:rPr>
          <w:rFonts w:ascii="CAIXA Std Book" w:hAnsi="CAIXA Std Book"/>
          <w:b/>
          <w:color w:val="005CA9"/>
          <w:sz w:val="20"/>
          <w:szCs w:val="20"/>
        </w:rPr>
        <w:tab/>
        <w:t>Composição da carteira de crédito por setor de atividade</w:t>
      </w:r>
    </w:p>
    <w:tbl>
      <w:tblPr>
        <w:tblW w:w="5000" w:type="pct"/>
        <w:tblCellMar>
          <w:left w:w="70" w:type="dxa"/>
          <w:right w:w="70" w:type="dxa"/>
        </w:tblCellMar>
        <w:tblLook w:val="04A0" w:firstRow="1" w:lastRow="0" w:firstColumn="1" w:lastColumn="0" w:noHBand="0" w:noVBand="1"/>
      </w:tblPr>
      <w:tblGrid>
        <w:gridCol w:w="4950"/>
        <w:gridCol w:w="1458"/>
        <w:gridCol w:w="878"/>
        <w:gridCol w:w="1522"/>
        <w:gridCol w:w="830"/>
      </w:tblGrid>
      <w:tr w:rsidR="00A47C19" w:rsidRPr="00E20D21" w14:paraId="67849ABF" w14:textId="77777777" w:rsidTr="00523B7A">
        <w:trPr>
          <w:trHeight w:val="283"/>
        </w:trPr>
        <w:tc>
          <w:tcPr>
            <w:tcW w:w="5000" w:type="pct"/>
            <w:gridSpan w:val="5"/>
            <w:tcBorders>
              <w:top w:val="single" w:sz="4" w:space="0" w:color="F39200"/>
              <w:left w:val="nil"/>
              <w:bottom w:val="nil"/>
              <w:right w:val="nil"/>
            </w:tcBorders>
            <w:vAlign w:val="center"/>
          </w:tcPr>
          <w:p w14:paraId="7DCE1EE8" w14:textId="7FBFF4A6" w:rsidR="00421F2E" w:rsidRPr="00E20D21" w:rsidRDefault="00421F2E" w:rsidP="00421F2E">
            <w:pPr>
              <w:jc w:val="center"/>
              <w:rPr>
                <w:rFonts w:ascii="CAIXA Std Book" w:hAnsi="CAIXA Std Book"/>
                <w:b/>
                <w:color w:val="005CA9"/>
                <w:sz w:val="18"/>
                <w:szCs w:val="18"/>
              </w:rPr>
            </w:pPr>
            <w:r w:rsidRPr="00E20D21">
              <w:rPr>
                <w:rFonts w:ascii="CAIXA Std Book" w:hAnsi="CAIXA Std Book"/>
                <w:b/>
                <w:color w:val="005CA9"/>
                <w:sz w:val="18"/>
                <w:szCs w:val="18"/>
              </w:rPr>
              <w:t>INDIVIDUAL / CONSOLIDADO</w:t>
            </w:r>
          </w:p>
        </w:tc>
      </w:tr>
      <w:tr w:rsidR="00A47C19" w:rsidRPr="00E20D21" w14:paraId="451706A5" w14:textId="77777777" w:rsidTr="00785232">
        <w:trPr>
          <w:trHeight w:val="283"/>
        </w:trPr>
        <w:tc>
          <w:tcPr>
            <w:tcW w:w="2572" w:type="pct"/>
            <w:tcBorders>
              <w:top w:val="single" w:sz="4" w:space="0" w:color="F39200"/>
              <w:left w:val="nil"/>
              <w:bottom w:val="nil"/>
              <w:right w:val="nil"/>
            </w:tcBorders>
            <w:shd w:val="clear" w:color="auto" w:fill="auto"/>
            <w:noWrap/>
            <w:vAlign w:val="center"/>
            <w:hideMark/>
          </w:tcPr>
          <w:p w14:paraId="653183F3" w14:textId="77777777" w:rsidR="006F0703" w:rsidRPr="00E20D21" w:rsidRDefault="006F0703" w:rsidP="006F0703">
            <w:pPr>
              <w:jc w:val="center"/>
              <w:rPr>
                <w:rFonts w:ascii="CAIXA Std Book" w:hAnsi="CAIXA Std Book"/>
                <w:b/>
                <w:color w:val="005CA9"/>
                <w:sz w:val="18"/>
                <w:szCs w:val="18"/>
              </w:rPr>
            </w:pPr>
            <w:r w:rsidRPr="00E20D21">
              <w:rPr>
                <w:rFonts w:ascii="CAIXA Std Book" w:hAnsi="CAIXA Std Book"/>
                <w:b/>
                <w:color w:val="005CA9"/>
                <w:sz w:val="18"/>
                <w:szCs w:val="18"/>
              </w:rPr>
              <w:t>Descrição</w:t>
            </w:r>
          </w:p>
        </w:tc>
        <w:tc>
          <w:tcPr>
            <w:tcW w:w="760" w:type="pct"/>
            <w:tcBorders>
              <w:top w:val="single" w:sz="4" w:space="0" w:color="F39200"/>
              <w:left w:val="nil"/>
              <w:bottom w:val="nil"/>
              <w:right w:val="nil"/>
            </w:tcBorders>
            <w:shd w:val="clear" w:color="auto" w:fill="auto"/>
            <w:noWrap/>
            <w:vAlign w:val="center"/>
          </w:tcPr>
          <w:p w14:paraId="379FF711" w14:textId="4A07A102" w:rsidR="006F0703" w:rsidRPr="00E20D21" w:rsidRDefault="00C84319" w:rsidP="006F0703">
            <w:pPr>
              <w:jc w:val="center"/>
              <w:rPr>
                <w:rFonts w:ascii="CAIXA Std Book" w:hAnsi="CAIXA Std Book"/>
                <w:b/>
                <w:color w:val="005CA9"/>
                <w:sz w:val="18"/>
                <w:szCs w:val="18"/>
              </w:rPr>
            </w:pPr>
            <w:r w:rsidRPr="00E20D21">
              <w:rPr>
                <w:rFonts w:ascii="CAIXA Std Book" w:hAnsi="CAIXA Std Book"/>
                <w:b/>
                <w:color w:val="005CA9"/>
                <w:sz w:val="18"/>
                <w:szCs w:val="18"/>
              </w:rPr>
              <w:t>30/06/2024</w:t>
            </w:r>
          </w:p>
        </w:tc>
        <w:tc>
          <w:tcPr>
            <w:tcW w:w="441" w:type="pct"/>
            <w:tcBorders>
              <w:top w:val="single" w:sz="4" w:space="0" w:color="F39200"/>
              <w:left w:val="nil"/>
              <w:bottom w:val="nil"/>
              <w:right w:val="nil"/>
            </w:tcBorders>
          </w:tcPr>
          <w:p w14:paraId="3555AB57" w14:textId="5316AEDB" w:rsidR="006F0703" w:rsidRPr="00E20D21" w:rsidRDefault="006F0703" w:rsidP="006F0703">
            <w:pPr>
              <w:jc w:val="center"/>
              <w:rPr>
                <w:rFonts w:ascii="CAIXA Std Book" w:hAnsi="CAIXA Std Book"/>
                <w:b/>
                <w:color w:val="005CA9"/>
                <w:sz w:val="18"/>
                <w:szCs w:val="18"/>
              </w:rPr>
            </w:pPr>
            <w:r w:rsidRPr="00E20D21">
              <w:rPr>
                <w:rFonts w:ascii="CAIXA Std Book" w:hAnsi="CAIXA Std Book"/>
                <w:b/>
                <w:color w:val="005CA9"/>
                <w:sz w:val="18"/>
                <w:szCs w:val="18"/>
              </w:rPr>
              <w:t>%</w:t>
            </w:r>
          </w:p>
        </w:tc>
        <w:tc>
          <w:tcPr>
            <w:tcW w:w="793" w:type="pct"/>
            <w:tcBorders>
              <w:top w:val="single" w:sz="4" w:space="0" w:color="F39200"/>
              <w:left w:val="nil"/>
              <w:bottom w:val="nil"/>
              <w:right w:val="nil"/>
            </w:tcBorders>
            <w:vAlign w:val="center"/>
          </w:tcPr>
          <w:p w14:paraId="5732B6A1" w14:textId="45089098" w:rsidR="006F0703" w:rsidRPr="00E20D21" w:rsidRDefault="006F0703" w:rsidP="006F0703">
            <w:pPr>
              <w:jc w:val="center"/>
              <w:rPr>
                <w:rFonts w:ascii="CAIXA Std Book" w:hAnsi="CAIXA Std Book"/>
                <w:b/>
                <w:color w:val="005CA9"/>
                <w:sz w:val="18"/>
                <w:szCs w:val="18"/>
              </w:rPr>
            </w:pPr>
            <w:r w:rsidRPr="00E20D21">
              <w:rPr>
                <w:rFonts w:ascii="CAIXA Std Book" w:hAnsi="CAIXA Std Book"/>
                <w:b/>
                <w:color w:val="005CA9"/>
                <w:sz w:val="18"/>
                <w:szCs w:val="18"/>
              </w:rPr>
              <w:t>31/12/202</w:t>
            </w:r>
            <w:r w:rsidR="00C84319" w:rsidRPr="00E20D21">
              <w:rPr>
                <w:rFonts w:ascii="CAIXA Std Book" w:hAnsi="CAIXA Std Book"/>
                <w:b/>
                <w:color w:val="005CA9"/>
                <w:sz w:val="18"/>
                <w:szCs w:val="18"/>
              </w:rPr>
              <w:t>3</w:t>
            </w:r>
          </w:p>
        </w:tc>
        <w:tc>
          <w:tcPr>
            <w:tcW w:w="434" w:type="pct"/>
            <w:tcBorders>
              <w:top w:val="single" w:sz="4" w:space="0" w:color="F39200"/>
              <w:left w:val="nil"/>
              <w:bottom w:val="nil"/>
              <w:right w:val="nil"/>
            </w:tcBorders>
          </w:tcPr>
          <w:p w14:paraId="0ED60F56" w14:textId="1EAB4ACC" w:rsidR="006F0703" w:rsidRPr="00E20D21" w:rsidRDefault="006F0703" w:rsidP="006F0703">
            <w:pPr>
              <w:jc w:val="center"/>
              <w:rPr>
                <w:rFonts w:ascii="CAIXA Std Book" w:hAnsi="CAIXA Std Book"/>
                <w:b/>
                <w:color w:val="005CA9"/>
                <w:sz w:val="18"/>
                <w:szCs w:val="18"/>
              </w:rPr>
            </w:pPr>
            <w:r w:rsidRPr="00E20D21">
              <w:rPr>
                <w:rFonts w:ascii="CAIXA Std Book" w:hAnsi="CAIXA Std Book"/>
                <w:b/>
                <w:color w:val="005CA9"/>
                <w:sz w:val="18"/>
                <w:szCs w:val="18"/>
              </w:rPr>
              <w:t>%</w:t>
            </w:r>
          </w:p>
        </w:tc>
      </w:tr>
      <w:tr w:rsidR="00A47C19" w:rsidRPr="00E20D21" w14:paraId="1049C7CA" w14:textId="77777777" w:rsidTr="00785232">
        <w:trPr>
          <w:trHeight w:val="283"/>
        </w:trPr>
        <w:tc>
          <w:tcPr>
            <w:tcW w:w="2572" w:type="pct"/>
            <w:tcBorders>
              <w:top w:val="single" w:sz="4" w:space="0" w:color="F39200"/>
              <w:left w:val="nil"/>
              <w:bottom w:val="single" w:sz="4" w:space="0" w:color="F39200"/>
              <w:right w:val="nil"/>
            </w:tcBorders>
            <w:shd w:val="clear" w:color="auto" w:fill="auto"/>
            <w:noWrap/>
            <w:vAlign w:val="center"/>
            <w:hideMark/>
          </w:tcPr>
          <w:p w14:paraId="1F66CED2" w14:textId="77777777" w:rsidR="00785232" w:rsidRPr="00E20D21" w:rsidRDefault="00785232" w:rsidP="00785232">
            <w:pPr>
              <w:rPr>
                <w:rFonts w:ascii="CAIXA Std Book" w:hAnsi="CAIXA Std Book"/>
                <w:b/>
                <w:color w:val="005CA9"/>
                <w:sz w:val="18"/>
                <w:szCs w:val="18"/>
              </w:rPr>
            </w:pPr>
            <w:r w:rsidRPr="00E20D21">
              <w:rPr>
                <w:rFonts w:ascii="CAIXA Std Book" w:hAnsi="CAIXA Std Book"/>
                <w:b/>
                <w:color w:val="005CA9"/>
                <w:sz w:val="18"/>
                <w:szCs w:val="18"/>
              </w:rPr>
              <w:t>SETOR PÚBLICO</w:t>
            </w:r>
          </w:p>
        </w:tc>
        <w:tc>
          <w:tcPr>
            <w:tcW w:w="760" w:type="pct"/>
            <w:tcBorders>
              <w:top w:val="single" w:sz="4" w:space="0" w:color="F39200"/>
              <w:left w:val="nil"/>
              <w:bottom w:val="single" w:sz="4" w:space="0" w:color="F39200"/>
              <w:right w:val="nil"/>
            </w:tcBorders>
            <w:shd w:val="clear" w:color="auto" w:fill="auto"/>
            <w:noWrap/>
            <w:vAlign w:val="center"/>
          </w:tcPr>
          <w:p w14:paraId="461910D3" w14:textId="1105E5FD" w:rsidR="00785232" w:rsidRPr="00E20D21" w:rsidRDefault="009266CF" w:rsidP="00785232">
            <w:pPr>
              <w:jc w:val="right"/>
              <w:rPr>
                <w:rFonts w:ascii="CAIXA Std Book" w:hAnsi="CAIXA Std Book"/>
                <w:b/>
                <w:color w:val="005CA9"/>
                <w:sz w:val="18"/>
                <w:szCs w:val="18"/>
              </w:rPr>
            </w:pPr>
            <w:r w:rsidRPr="00E20D21">
              <w:rPr>
                <w:rFonts w:ascii="CAIXA Std Book" w:hAnsi="CAIXA Std Book" w:cs="Arial"/>
                <w:b/>
                <w:bCs/>
                <w:color w:val="005CA9"/>
                <w:sz w:val="18"/>
                <w:szCs w:val="18"/>
              </w:rPr>
              <w:t>76.244.093</w:t>
            </w:r>
          </w:p>
        </w:tc>
        <w:tc>
          <w:tcPr>
            <w:tcW w:w="441" w:type="pct"/>
            <w:tcBorders>
              <w:top w:val="single" w:sz="4" w:space="0" w:color="F39200"/>
              <w:left w:val="nil"/>
              <w:bottom w:val="single" w:sz="4" w:space="0" w:color="F39200"/>
              <w:right w:val="nil"/>
            </w:tcBorders>
            <w:vAlign w:val="center"/>
          </w:tcPr>
          <w:p w14:paraId="7F3B26C6" w14:textId="177DB6C4" w:rsidR="00785232" w:rsidRPr="00E20D21" w:rsidRDefault="009266CF" w:rsidP="00785232">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6,50</w:t>
            </w:r>
          </w:p>
        </w:tc>
        <w:tc>
          <w:tcPr>
            <w:tcW w:w="793" w:type="pct"/>
            <w:tcBorders>
              <w:top w:val="single" w:sz="4" w:space="0" w:color="F39200"/>
              <w:left w:val="nil"/>
              <w:bottom w:val="single" w:sz="4" w:space="0" w:color="F39200"/>
              <w:right w:val="nil"/>
            </w:tcBorders>
            <w:vAlign w:val="center"/>
          </w:tcPr>
          <w:p w14:paraId="280966B6" w14:textId="07621F82"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74.536.562</w:t>
            </w:r>
          </w:p>
        </w:tc>
        <w:tc>
          <w:tcPr>
            <w:tcW w:w="434" w:type="pct"/>
            <w:tcBorders>
              <w:top w:val="single" w:sz="4" w:space="0" w:color="F39200"/>
              <w:left w:val="nil"/>
              <w:bottom w:val="single" w:sz="4" w:space="0" w:color="F39200"/>
              <w:right w:val="nil"/>
            </w:tcBorders>
            <w:vAlign w:val="center"/>
          </w:tcPr>
          <w:p w14:paraId="4AA753E1" w14:textId="5A5F7E37"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6,66</w:t>
            </w:r>
          </w:p>
        </w:tc>
      </w:tr>
      <w:tr w:rsidR="00A47C19" w:rsidRPr="00E20D21" w14:paraId="13D2536F" w14:textId="77777777" w:rsidTr="00785232">
        <w:trPr>
          <w:trHeight w:val="283"/>
        </w:trPr>
        <w:tc>
          <w:tcPr>
            <w:tcW w:w="2572" w:type="pct"/>
            <w:tcBorders>
              <w:top w:val="nil"/>
              <w:left w:val="nil"/>
              <w:bottom w:val="nil"/>
              <w:right w:val="nil"/>
            </w:tcBorders>
            <w:shd w:val="clear" w:color="auto" w:fill="auto"/>
            <w:noWrap/>
            <w:vAlign w:val="center"/>
            <w:hideMark/>
          </w:tcPr>
          <w:p w14:paraId="79825D2E"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olor w:val="005CA9"/>
                <w:sz w:val="18"/>
                <w:szCs w:val="18"/>
              </w:rPr>
              <w:t>Administração direta</w:t>
            </w:r>
          </w:p>
        </w:tc>
        <w:tc>
          <w:tcPr>
            <w:tcW w:w="760" w:type="pct"/>
            <w:tcBorders>
              <w:top w:val="nil"/>
              <w:left w:val="nil"/>
              <w:bottom w:val="nil"/>
              <w:right w:val="nil"/>
            </w:tcBorders>
            <w:shd w:val="clear" w:color="auto" w:fill="auto"/>
            <w:noWrap/>
            <w:vAlign w:val="center"/>
          </w:tcPr>
          <w:p w14:paraId="193DB4E2" w14:textId="2A54CF83" w:rsidR="00785232" w:rsidRPr="00E20D21" w:rsidRDefault="009266CF" w:rsidP="00785232">
            <w:pPr>
              <w:jc w:val="right"/>
              <w:rPr>
                <w:rFonts w:ascii="CAIXA Std Book" w:hAnsi="CAIXA Std Book"/>
                <w:color w:val="005CA9"/>
                <w:sz w:val="18"/>
                <w:szCs w:val="18"/>
              </w:rPr>
            </w:pPr>
            <w:r w:rsidRPr="00E20D21">
              <w:rPr>
                <w:rFonts w:ascii="CAIXA Std Book" w:hAnsi="CAIXA Std Book" w:cs="Arial"/>
                <w:color w:val="005CA9"/>
                <w:sz w:val="18"/>
                <w:szCs w:val="18"/>
              </w:rPr>
              <w:t>66.064.757</w:t>
            </w:r>
          </w:p>
        </w:tc>
        <w:tc>
          <w:tcPr>
            <w:tcW w:w="441" w:type="pct"/>
            <w:tcBorders>
              <w:top w:val="nil"/>
              <w:left w:val="nil"/>
              <w:bottom w:val="nil"/>
              <w:right w:val="nil"/>
            </w:tcBorders>
            <w:vAlign w:val="center"/>
          </w:tcPr>
          <w:p w14:paraId="37F58EFB" w14:textId="4307F690" w:rsidR="00785232" w:rsidRPr="00E20D21" w:rsidRDefault="009266CF" w:rsidP="00785232">
            <w:pPr>
              <w:jc w:val="right"/>
              <w:rPr>
                <w:rFonts w:ascii="CAIXA Std Book" w:hAnsi="CAIXA Std Book"/>
                <w:color w:val="005CA9"/>
                <w:sz w:val="18"/>
                <w:szCs w:val="18"/>
              </w:rPr>
            </w:pPr>
            <w:r w:rsidRPr="00E20D21">
              <w:rPr>
                <w:rFonts w:ascii="CAIXA Std Book" w:hAnsi="CAIXA Std Book" w:cs="Arial"/>
                <w:color w:val="005CA9"/>
                <w:sz w:val="18"/>
                <w:szCs w:val="18"/>
              </w:rPr>
              <w:t>5,63</w:t>
            </w:r>
          </w:p>
        </w:tc>
        <w:tc>
          <w:tcPr>
            <w:tcW w:w="793" w:type="pct"/>
            <w:tcBorders>
              <w:top w:val="nil"/>
              <w:left w:val="nil"/>
              <w:bottom w:val="nil"/>
              <w:right w:val="nil"/>
            </w:tcBorders>
            <w:vAlign w:val="center"/>
          </w:tcPr>
          <w:p w14:paraId="660E0D2F" w14:textId="1C79E278"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62.655.778</w:t>
            </w:r>
          </w:p>
        </w:tc>
        <w:tc>
          <w:tcPr>
            <w:tcW w:w="434" w:type="pct"/>
            <w:tcBorders>
              <w:top w:val="nil"/>
              <w:left w:val="nil"/>
              <w:bottom w:val="nil"/>
              <w:right w:val="nil"/>
            </w:tcBorders>
            <w:vAlign w:val="center"/>
          </w:tcPr>
          <w:p w14:paraId="6F510FA6" w14:textId="0AF1CAF2"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5,60</w:t>
            </w:r>
          </w:p>
        </w:tc>
      </w:tr>
      <w:tr w:rsidR="00A47C19" w:rsidRPr="00E20D21" w14:paraId="4FDB92DE" w14:textId="77777777" w:rsidTr="00785232">
        <w:trPr>
          <w:trHeight w:val="283"/>
        </w:trPr>
        <w:tc>
          <w:tcPr>
            <w:tcW w:w="2572" w:type="pct"/>
            <w:tcBorders>
              <w:top w:val="nil"/>
              <w:left w:val="nil"/>
              <w:bottom w:val="nil"/>
              <w:right w:val="nil"/>
            </w:tcBorders>
            <w:shd w:val="clear" w:color="auto" w:fill="auto"/>
            <w:noWrap/>
            <w:vAlign w:val="center"/>
            <w:hideMark/>
          </w:tcPr>
          <w:p w14:paraId="06D7942E"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olor w:val="005CA9"/>
                <w:sz w:val="18"/>
                <w:szCs w:val="18"/>
              </w:rPr>
              <w:t>Administração indireta – saneamento e infraestrutura</w:t>
            </w:r>
          </w:p>
        </w:tc>
        <w:tc>
          <w:tcPr>
            <w:tcW w:w="760" w:type="pct"/>
            <w:tcBorders>
              <w:top w:val="nil"/>
              <w:left w:val="nil"/>
              <w:bottom w:val="nil"/>
              <w:right w:val="nil"/>
            </w:tcBorders>
            <w:shd w:val="clear" w:color="auto" w:fill="auto"/>
            <w:noWrap/>
            <w:vAlign w:val="center"/>
          </w:tcPr>
          <w:p w14:paraId="175C6DCC" w14:textId="12A99BB3" w:rsidR="00785232" w:rsidRPr="00E20D21" w:rsidRDefault="009266CF" w:rsidP="00785232">
            <w:pPr>
              <w:jc w:val="right"/>
              <w:rPr>
                <w:rFonts w:ascii="CAIXA Std Book" w:hAnsi="CAIXA Std Book"/>
                <w:color w:val="005CA9"/>
                <w:sz w:val="18"/>
                <w:szCs w:val="18"/>
              </w:rPr>
            </w:pPr>
            <w:r w:rsidRPr="00E20D21">
              <w:rPr>
                <w:rFonts w:ascii="CAIXA Std Book" w:hAnsi="CAIXA Std Book" w:cs="Arial"/>
                <w:color w:val="005CA9"/>
                <w:sz w:val="18"/>
                <w:szCs w:val="18"/>
              </w:rPr>
              <w:t>6.556.184</w:t>
            </w:r>
          </w:p>
        </w:tc>
        <w:tc>
          <w:tcPr>
            <w:tcW w:w="441" w:type="pct"/>
            <w:tcBorders>
              <w:top w:val="nil"/>
              <w:left w:val="nil"/>
              <w:bottom w:val="nil"/>
              <w:right w:val="nil"/>
            </w:tcBorders>
            <w:vAlign w:val="center"/>
          </w:tcPr>
          <w:p w14:paraId="24D7DA8E" w14:textId="20FD0C5D" w:rsidR="00785232" w:rsidRPr="00E20D21" w:rsidRDefault="009266CF" w:rsidP="00785232">
            <w:pPr>
              <w:jc w:val="right"/>
              <w:rPr>
                <w:rFonts w:ascii="CAIXA Std Book" w:hAnsi="CAIXA Std Book"/>
                <w:color w:val="005CA9"/>
                <w:sz w:val="18"/>
                <w:szCs w:val="18"/>
              </w:rPr>
            </w:pPr>
            <w:r w:rsidRPr="00E20D21">
              <w:rPr>
                <w:rFonts w:ascii="CAIXA Std Book" w:hAnsi="CAIXA Std Book" w:cs="Arial"/>
                <w:color w:val="005CA9"/>
                <w:sz w:val="18"/>
                <w:szCs w:val="18"/>
              </w:rPr>
              <w:t>0,56</w:t>
            </w:r>
          </w:p>
        </w:tc>
        <w:tc>
          <w:tcPr>
            <w:tcW w:w="793" w:type="pct"/>
            <w:tcBorders>
              <w:top w:val="nil"/>
              <w:left w:val="nil"/>
              <w:bottom w:val="nil"/>
              <w:right w:val="nil"/>
            </w:tcBorders>
            <w:vAlign w:val="center"/>
          </w:tcPr>
          <w:p w14:paraId="1C0AA757" w14:textId="790365F9"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6.481.045</w:t>
            </w:r>
          </w:p>
        </w:tc>
        <w:tc>
          <w:tcPr>
            <w:tcW w:w="434" w:type="pct"/>
            <w:tcBorders>
              <w:top w:val="nil"/>
              <w:left w:val="nil"/>
              <w:bottom w:val="nil"/>
              <w:right w:val="nil"/>
            </w:tcBorders>
            <w:vAlign w:val="center"/>
          </w:tcPr>
          <w:p w14:paraId="4FECF0B8" w14:textId="126C0D47"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0,58</w:t>
            </w:r>
          </w:p>
        </w:tc>
      </w:tr>
      <w:tr w:rsidR="00A47C19" w:rsidRPr="00E20D21" w14:paraId="1FBB6D3C" w14:textId="77777777" w:rsidTr="00785232">
        <w:trPr>
          <w:trHeight w:val="283"/>
        </w:trPr>
        <w:tc>
          <w:tcPr>
            <w:tcW w:w="2572" w:type="pct"/>
            <w:tcBorders>
              <w:top w:val="nil"/>
              <w:left w:val="nil"/>
              <w:bottom w:val="nil"/>
              <w:right w:val="nil"/>
            </w:tcBorders>
            <w:shd w:val="clear" w:color="auto" w:fill="auto"/>
            <w:noWrap/>
            <w:vAlign w:val="center"/>
            <w:hideMark/>
          </w:tcPr>
          <w:p w14:paraId="359E2830"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olor w:val="005CA9"/>
                <w:sz w:val="18"/>
                <w:szCs w:val="18"/>
              </w:rPr>
              <w:t>Administração indireta – outros</w:t>
            </w:r>
          </w:p>
        </w:tc>
        <w:tc>
          <w:tcPr>
            <w:tcW w:w="760" w:type="pct"/>
            <w:tcBorders>
              <w:top w:val="nil"/>
              <w:left w:val="nil"/>
              <w:bottom w:val="nil"/>
              <w:right w:val="nil"/>
            </w:tcBorders>
            <w:shd w:val="clear" w:color="auto" w:fill="auto"/>
            <w:noWrap/>
            <w:vAlign w:val="center"/>
          </w:tcPr>
          <w:p w14:paraId="0F78959A" w14:textId="0FC6E3F8" w:rsidR="00785232" w:rsidRPr="00E20D21" w:rsidRDefault="009266CF" w:rsidP="00785232">
            <w:pPr>
              <w:jc w:val="right"/>
              <w:rPr>
                <w:rFonts w:ascii="CAIXA Std Book" w:hAnsi="CAIXA Std Book"/>
                <w:color w:val="005CA9"/>
                <w:sz w:val="18"/>
                <w:szCs w:val="18"/>
              </w:rPr>
            </w:pPr>
            <w:r w:rsidRPr="00E20D21">
              <w:rPr>
                <w:rFonts w:ascii="CAIXA Std Book" w:hAnsi="CAIXA Std Book" w:cs="Arial"/>
                <w:color w:val="005CA9"/>
                <w:sz w:val="18"/>
                <w:szCs w:val="18"/>
              </w:rPr>
              <w:t>3.623.152</w:t>
            </w:r>
          </w:p>
        </w:tc>
        <w:tc>
          <w:tcPr>
            <w:tcW w:w="441" w:type="pct"/>
            <w:tcBorders>
              <w:top w:val="nil"/>
              <w:left w:val="nil"/>
              <w:bottom w:val="nil"/>
              <w:right w:val="nil"/>
            </w:tcBorders>
            <w:vAlign w:val="center"/>
          </w:tcPr>
          <w:p w14:paraId="7157AD82" w14:textId="1940684F" w:rsidR="00785232" w:rsidRPr="00E20D21" w:rsidRDefault="009266CF" w:rsidP="00785232">
            <w:pPr>
              <w:jc w:val="right"/>
              <w:rPr>
                <w:rFonts w:ascii="CAIXA Std Book" w:hAnsi="CAIXA Std Book"/>
                <w:color w:val="005CA9"/>
                <w:sz w:val="18"/>
                <w:szCs w:val="18"/>
              </w:rPr>
            </w:pPr>
            <w:r w:rsidRPr="00E20D21">
              <w:rPr>
                <w:rFonts w:ascii="CAIXA Std Book" w:hAnsi="CAIXA Std Book" w:cs="Arial"/>
                <w:color w:val="005CA9"/>
                <w:sz w:val="18"/>
                <w:szCs w:val="18"/>
              </w:rPr>
              <w:t>0,31</w:t>
            </w:r>
          </w:p>
        </w:tc>
        <w:tc>
          <w:tcPr>
            <w:tcW w:w="793" w:type="pct"/>
            <w:tcBorders>
              <w:top w:val="nil"/>
              <w:left w:val="nil"/>
              <w:bottom w:val="nil"/>
              <w:right w:val="nil"/>
            </w:tcBorders>
            <w:vAlign w:val="center"/>
          </w:tcPr>
          <w:p w14:paraId="44BD2A26" w14:textId="56460E2B"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5.399.739</w:t>
            </w:r>
          </w:p>
        </w:tc>
        <w:tc>
          <w:tcPr>
            <w:tcW w:w="434" w:type="pct"/>
            <w:tcBorders>
              <w:top w:val="nil"/>
              <w:left w:val="nil"/>
              <w:bottom w:val="nil"/>
              <w:right w:val="nil"/>
            </w:tcBorders>
            <w:vAlign w:val="center"/>
          </w:tcPr>
          <w:p w14:paraId="200FF875" w14:textId="589A7C5C"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0,48</w:t>
            </w:r>
          </w:p>
        </w:tc>
      </w:tr>
      <w:tr w:rsidR="00A47C19" w:rsidRPr="00E20D21" w14:paraId="25AF1EB6" w14:textId="77777777" w:rsidTr="00785232">
        <w:trPr>
          <w:trHeight w:val="283"/>
        </w:trPr>
        <w:tc>
          <w:tcPr>
            <w:tcW w:w="2572" w:type="pct"/>
            <w:tcBorders>
              <w:top w:val="single" w:sz="4" w:space="0" w:color="F39200"/>
              <w:left w:val="nil"/>
              <w:bottom w:val="single" w:sz="4" w:space="0" w:color="F39200"/>
              <w:right w:val="nil"/>
            </w:tcBorders>
            <w:shd w:val="clear" w:color="auto" w:fill="auto"/>
            <w:noWrap/>
            <w:vAlign w:val="center"/>
            <w:hideMark/>
          </w:tcPr>
          <w:p w14:paraId="745A4A45" w14:textId="77777777" w:rsidR="00785232" w:rsidRPr="00E20D21" w:rsidRDefault="00785232" w:rsidP="00785232">
            <w:pPr>
              <w:rPr>
                <w:rFonts w:ascii="CAIXA Std Book" w:hAnsi="CAIXA Std Book"/>
                <w:b/>
                <w:color w:val="005CA9"/>
                <w:sz w:val="18"/>
                <w:szCs w:val="18"/>
              </w:rPr>
            </w:pPr>
            <w:r w:rsidRPr="00E20D21">
              <w:rPr>
                <w:rFonts w:ascii="CAIXA Std Book" w:hAnsi="CAIXA Std Book"/>
                <w:b/>
                <w:color w:val="005CA9"/>
                <w:sz w:val="18"/>
                <w:szCs w:val="18"/>
              </w:rPr>
              <w:t>SETOR PRIVADO</w:t>
            </w:r>
          </w:p>
        </w:tc>
        <w:tc>
          <w:tcPr>
            <w:tcW w:w="760" w:type="pct"/>
            <w:tcBorders>
              <w:top w:val="single" w:sz="4" w:space="0" w:color="F39200"/>
              <w:left w:val="nil"/>
              <w:bottom w:val="single" w:sz="4" w:space="0" w:color="F39200"/>
              <w:right w:val="nil"/>
            </w:tcBorders>
            <w:shd w:val="clear" w:color="auto" w:fill="auto"/>
            <w:noWrap/>
            <w:vAlign w:val="center"/>
          </w:tcPr>
          <w:p w14:paraId="46E0311A" w14:textId="5C244E93" w:rsidR="00785232" w:rsidRPr="00E20D21" w:rsidRDefault="009266CF" w:rsidP="00785232">
            <w:pPr>
              <w:jc w:val="right"/>
              <w:rPr>
                <w:rFonts w:ascii="CAIXA Std Book" w:hAnsi="CAIXA Std Book"/>
                <w:b/>
                <w:color w:val="005CA9"/>
                <w:sz w:val="18"/>
                <w:szCs w:val="18"/>
              </w:rPr>
            </w:pPr>
            <w:r w:rsidRPr="00E20D21">
              <w:rPr>
                <w:rFonts w:ascii="CAIXA Std Book" w:hAnsi="CAIXA Std Book" w:cs="Arial"/>
                <w:b/>
                <w:bCs/>
                <w:color w:val="005CA9"/>
                <w:sz w:val="18"/>
                <w:szCs w:val="18"/>
              </w:rPr>
              <w:t>1.097.935.255</w:t>
            </w:r>
          </w:p>
        </w:tc>
        <w:tc>
          <w:tcPr>
            <w:tcW w:w="441" w:type="pct"/>
            <w:tcBorders>
              <w:top w:val="single" w:sz="4" w:space="0" w:color="F39200"/>
              <w:left w:val="nil"/>
              <w:bottom w:val="single" w:sz="4" w:space="0" w:color="F39200"/>
              <w:right w:val="nil"/>
            </w:tcBorders>
            <w:vAlign w:val="center"/>
          </w:tcPr>
          <w:p w14:paraId="10F5D194" w14:textId="12FB15AF" w:rsidR="00785232" w:rsidRPr="00E20D21" w:rsidRDefault="009266CF" w:rsidP="00785232">
            <w:pPr>
              <w:jc w:val="right"/>
              <w:rPr>
                <w:rFonts w:ascii="CAIXA Std Book" w:hAnsi="CAIXA Std Book"/>
                <w:b/>
                <w:color w:val="005CA9"/>
                <w:sz w:val="18"/>
                <w:szCs w:val="18"/>
              </w:rPr>
            </w:pPr>
            <w:r w:rsidRPr="00E20D21">
              <w:rPr>
                <w:rFonts w:ascii="CAIXA Std Book" w:hAnsi="CAIXA Std Book" w:cs="Arial"/>
                <w:b/>
                <w:bCs/>
                <w:color w:val="005CA9"/>
                <w:sz w:val="18"/>
                <w:szCs w:val="18"/>
              </w:rPr>
              <w:t>93,50</w:t>
            </w:r>
          </w:p>
        </w:tc>
        <w:tc>
          <w:tcPr>
            <w:tcW w:w="793" w:type="pct"/>
            <w:tcBorders>
              <w:top w:val="single" w:sz="4" w:space="0" w:color="F39200"/>
              <w:left w:val="nil"/>
              <w:bottom w:val="single" w:sz="4" w:space="0" w:color="F39200"/>
              <w:right w:val="nil"/>
            </w:tcBorders>
            <w:vAlign w:val="center"/>
          </w:tcPr>
          <w:p w14:paraId="271D6F59" w14:textId="39A1AF1D"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1.045.283.696</w:t>
            </w:r>
          </w:p>
        </w:tc>
        <w:tc>
          <w:tcPr>
            <w:tcW w:w="434" w:type="pct"/>
            <w:tcBorders>
              <w:top w:val="single" w:sz="4" w:space="0" w:color="F39200"/>
              <w:left w:val="nil"/>
              <w:bottom w:val="single" w:sz="4" w:space="0" w:color="F39200"/>
              <w:right w:val="nil"/>
            </w:tcBorders>
            <w:vAlign w:val="center"/>
          </w:tcPr>
          <w:p w14:paraId="21C88BFD" w14:textId="0AC7AF46"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93,34</w:t>
            </w:r>
          </w:p>
        </w:tc>
      </w:tr>
      <w:tr w:rsidR="00A47C19" w:rsidRPr="00E20D21" w14:paraId="2C1064F6" w14:textId="77777777" w:rsidTr="00785232">
        <w:trPr>
          <w:trHeight w:val="283"/>
        </w:trPr>
        <w:tc>
          <w:tcPr>
            <w:tcW w:w="2572" w:type="pct"/>
            <w:tcBorders>
              <w:top w:val="nil"/>
              <w:left w:val="nil"/>
              <w:bottom w:val="single" w:sz="4" w:space="0" w:color="F39200"/>
              <w:right w:val="nil"/>
            </w:tcBorders>
            <w:shd w:val="clear" w:color="auto" w:fill="auto"/>
            <w:noWrap/>
            <w:vAlign w:val="center"/>
            <w:hideMark/>
          </w:tcPr>
          <w:p w14:paraId="4A39EFA1" w14:textId="77777777" w:rsidR="00785232" w:rsidRPr="00E20D21" w:rsidRDefault="00785232" w:rsidP="005F4104">
            <w:pPr>
              <w:ind w:left="209"/>
              <w:rPr>
                <w:rFonts w:ascii="CAIXA Std Book" w:hAnsi="CAIXA Std Book"/>
                <w:b/>
                <w:color w:val="005CA9"/>
                <w:sz w:val="18"/>
                <w:szCs w:val="18"/>
              </w:rPr>
            </w:pPr>
            <w:r w:rsidRPr="00E20D21">
              <w:rPr>
                <w:rFonts w:ascii="CAIXA Std Book" w:hAnsi="CAIXA Std Book"/>
                <w:b/>
                <w:color w:val="005CA9"/>
                <w:sz w:val="18"/>
                <w:szCs w:val="18"/>
              </w:rPr>
              <w:t>PESSOA JURÍDICA</w:t>
            </w:r>
          </w:p>
        </w:tc>
        <w:tc>
          <w:tcPr>
            <w:tcW w:w="760" w:type="pct"/>
            <w:tcBorders>
              <w:top w:val="nil"/>
              <w:left w:val="nil"/>
              <w:bottom w:val="single" w:sz="4" w:space="0" w:color="F39200"/>
              <w:right w:val="nil"/>
            </w:tcBorders>
            <w:shd w:val="clear" w:color="auto" w:fill="auto"/>
            <w:noWrap/>
            <w:vAlign w:val="center"/>
          </w:tcPr>
          <w:p w14:paraId="2BAAC037" w14:textId="77E7410E" w:rsidR="00785232" w:rsidRPr="00E20D21" w:rsidRDefault="009266CF" w:rsidP="00785232">
            <w:pPr>
              <w:jc w:val="right"/>
              <w:rPr>
                <w:rFonts w:ascii="CAIXA Std Book" w:hAnsi="CAIXA Std Book"/>
                <w:b/>
                <w:color w:val="005CA9"/>
                <w:sz w:val="18"/>
                <w:szCs w:val="18"/>
              </w:rPr>
            </w:pPr>
            <w:r w:rsidRPr="00E20D21">
              <w:rPr>
                <w:rFonts w:ascii="CAIXA Std Book" w:hAnsi="CAIXA Std Book" w:cs="Arial"/>
                <w:b/>
                <w:bCs/>
                <w:color w:val="005CA9"/>
                <w:sz w:val="18"/>
                <w:szCs w:val="18"/>
              </w:rPr>
              <w:t>118.793.654</w:t>
            </w:r>
          </w:p>
        </w:tc>
        <w:tc>
          <w:tcPr>
            <w:tcW w:w="441" w:type="pct"/>
            <w:tcBorders>
              <w:top w:val="nil"/>
              <w:left w:val="nil"/>
              <w:bottom w:val="single" w:sz="4" w:space="0" w:color="F39200"/>
              <w:right w:val="nil"/>
            </w:tcBorders>
            <w:vAlign w:val="center"/>
          </w:tcPr>
          <w:p w14:paraId="62756FAA" w14:textId="1CCF84DB" w:rsidR="00785232" w:rsidRPr="00E20D21" w:rsidRDefault="009266CF" w:rsidP="00785232">
            <w:pPr>
              <w:jc w:val="right"/>
              <w:rPr>
                <w:rFonts w:ascii="CAIXA Std Book" w:hAnsi="CAIXA Std Book"/>
                <w:b/>
                <w:color w:val="005CA9"/>
                <w:sz w:val="18"/>
                <w:szCs w:val="18"/>
              </w:rPr>
            </w:pPr>
            <w:r w:rsidRPr="00E20D21">
              <w:rPr>
                <w:rFonts w:ascii="CAIXA Std Book" w:hAnsi="CAIXA Std Book" w:cs="Arial"/>
                <w:b/>
                <w:bCs/>
                <w:color w:val="005CA9"/>
                <w:sz w:val="18"/>
                <w:szCs w:val="18"/>
              </w:rPr>
              <w:t>10,10</w:t>
            </w:r>
          </w:p>
        </w:tc>
        <w:tc>
          <w:tcPr>
            <w:tcW w:w="793" w:type="pct"/>
            <w:tcBorders>
              <w:top w:val="nil"/>
              <w:left w:val="nil"/>
              <w:bottom w:val="single" w:sz="4" w:space="0" w:color="F39200"/>
              <w:right w:val="nil"/>
            </w:tcBorders>
            <w:vAlign w:val="center"/>
          </w:tcPr>
          <w:p w14:paraId="183926FF" w14:textId="299BCBB3"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120.719.779</w:t>
            </w:r>
          </w:p>
        </w:tc>
        <w:tc>
          <w:tcPr>
            <w:tcW w:w="434" w:type="pct"/>
            <w:tcBorders>
              <w:top w:val="nil"/>
              <w:left w:val="nil"/>
              <w:bottom w:val="single" w:sz="4" w:space="0" w:color="F39200"/>
              <w:right w:val="nil"/>
            </w:tcBorders>
            <w:vAlign w:val="center"/>
          </w:tcPr>
          <w:p w14:paraId="509CD7D2" w14:textId="58E25F81"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10,77</w:t>
            </w:r>
          </w:p>
        </w:tc>
      </w:tr>
      <w:tr w:rsidR="00A47C19" w:rsidRPr="00E20D21" w14:paraId="1D9D1F80" w14:textId="77777777" w:rsidTr="00785232">
        <w:trPr>
          <w:trHeight w:val="283"/>
        </w:trPr>
        <w:tc>
          <w:tcPr>
            <w:tcW w:w="2572" w:type="pct"/>
            <w:tcBorders>
              <w:top w:val="nil"/>
              <w:left w:val="nil"/>
              <w:bottom w:val="nil"/>
              <w:right w:val="nil"/>
            </w:tcBorders>
            <w:shd w:val="clear" w:color="auto" w:fill="auto"/>
            <w:noWrap/>
            <w:vAlign w:val="center"/>
            <w:hideMark/>
          </w:tcPr>
          <w:p w14:paraId="15CEC37B"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Comércio varejista</w:t>
            </w:r>
          </w:p>
        </w:tc>
        <w:tc>
          <w:tcPr>
            <w:tcW w:w="760" w:type="pct"/>
            <w:tcBorders>
              <w:top w:val="nil"/>
              <w:left w:val="nil"/>
              <w:bottom w:val="nil"/>
              <w:right w:val="nil"/>
            </w:tcBorders>
            <w:shd w:val="clear" w:color="auto" w:fill="auto"/>
            <w:noWrap/>
            <w:vAlign w:val="center"/>
          </w:tcPr>
          <w:p w14:paraId="382DF38A" w14:textId="7B90E633"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18.301.687</w:t>
            </w:r>
          </w:p>
        </w:tc>
        <w:tc>
          <w:tcPr>
            <w:tcW w:w="441" w:type="pct"/>
            <w:tcBorders>
              <w:top w:val="nil"/>
              <w:left w:val="nil"/>
              <w:bottom w:val="nil"/>
              <w:right w:val="nil"/>
            </w:tcBorders>
            <w:vAlign w:val="center"/>
          </w:tcPr>
          <w:p w14:paraId="55E4D544" w14:textId="0E27E3E2"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1,56</w:t>
            </w:r>
          </w:p>
        </w:tc>
        <w:tc>
          <w:tcPr>
            <w:tcW w:w="793" w:type="pct"/>
            <w:tcBorders>
              <w:top w:val="nil"/>
              <w:left w:val="nil"/>
              <w:bottom w:val="nil"/>
              <w:right w:val="nil"/>
            </w:tcBorders>
            <w:vAlign w:val="center"/>
          </w:tcPr>
          <w:p w14:paraId="46D66D44" w14:textId="7F76AAA8"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20.370.720</w:t>
            </w:r>
          </w:p>
        </w:tc>
        <w:tc>
          <w:tcPr>
            <w:tcW w:w="434" w:type="pct"/>
            <w:tcBorders>
              <w:top w:val="nil"/>
              <w:left w:val="nil"/>
              <w:bottom w:val="nil"/>
              <w:right w:val="nil"/>
            </w:tcBorders>
            <w:vAlign w:val="center"/>
          </w:tcPr>
          <w:p w14:paraId="2B2AA232" w14:textId="067DE439"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1,82</w:t>
            </w:r>
          </w:p>
        </w:tc>
      </w:tr>
      <w:tr w:rsidR="00A47C19" w:rsidRPr="00E20D21" w14:paraId="4E4D5431" w14:textId="77777777" w:rsidTr="00785232">
        <w:trPr>
          <w:trHeight w:val="283"/>
        </w:trPr>
        <w:tc>
          <w:tcPr>
            <w:tcW w:w="2572" w:type="pct"/>
            <w:tcBorders>
              <w:top w:val="nil"/>
              <w:left w:val="nil"/>
              <w:bottom w:val="nil"/>
              <w:right w:val="nil"/>
            </w:tcBorders>
            <w:shd w:val="clear" w:color="auto" w:fill="auto"/>
            <w:noWrap/>
            <w:vAlign w:val="center"/>
            <w:hideMark/>
          </w:tcPr>
          <w:p w14:paraId="2FCE21FB"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Construção civil</w:t>
            </w:r>
          </w:p>
        </w:tc>
        <w:tc>
          <w:tcPr>
            <w:tcW w:w="760" w:type="pct"/>
            <w:tcBorders>
              <w:top w:val="nil"/>
              <w:left w:val="nil"/>
              <w:bottom w:val="nil"/>
              <w:right w:val="nil"/>
            </w:tcBorders>
            <w:shd w:val="clear" w:color="auto" w:fill="auto"/>
            <w:noWrap/>
            <w:vAlign w:val="center"/>
          </w:tcPr>
          <w:p w14:paraId="11FA61AB" w14:textId="00DC234C"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17.337.380</w:t>
            </w:r>
          </w:p>
        </w:tc>
        <w:tc>
          <w:tcPr>
            <w:tcW w:w="441" w:type="pct"/>
            <w:tcBorders>
              <w:top w:val="nil"/>
              <w:left w:val="nil"/>
              <w:bottom w:val="nil"/>
              <w:right w:val="nil"/>
            </w:tcBorders>
            <w:vAlign w:val="center"/>
          </w:tcPr>
          <w:p w14:paraId="4D819B89" w14:textId="4FA19CC7"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1,48</w:t>
            </w:r>
          </w:p>
        </w:tc>
        <w:tc>
          <w:tcPr>
            <w:tcW w:w="793" w:type="pct"/>
            <w:tcBorders>
              <w:top w:val="nil"/>
              <w:left w:val="nil"/>
              <w:bottom w:val="nil"/>
              <w:right w:val="nil"/>
            </w:tcBorders>
            <w:vAlign w:val="center"/>
          </w:tcPr>
          <w:p w14:paraId="0038BC60" w14:textId="26A9157B"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17.559.077</w:t>
            </w:r>
          </w:p>
        </w:tc>
        <w:tc>
          <w:tcPr>
            <w:tcW w:w="434" w:type="pct"/>
            <w:tcBorders>
              <w:top w:val="nil"/>
              <w:left w:val="nil"/>
              <w:bottom w:val="nil"/>
              <w:right w:val="nil"/>
            </w:tcBorders>
            <w:vAlign w:val="center"/>
          </w:tcPr>
          <w:p w14:paraId="1B9F6E0B" w14:textId="3FA9E10E"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1,57</w:t>
            </w:r>
          </w:p>
        </w:tc>
      </w:tr>
      <w:tr w:rsidR="00A47C19" w:rsidRPr="00E20D21" w14:paraId="6EA25291" w14:textId="77777777" w:rsidTr="00785232">
        <w:trPr>
          <w:trHeight w:val="283"/>
        </w:trPr>
        <w:tc>
          <w:tcPr>
            <w:tcW w:w="2572" w:type="pct"/>
            <w:tcBorders>
              <w:top w:val="nil"/>
              <w:left w:val="nil"/>
              <w:bottom w:val="nil"/>
              <w:right w:val="nil"/>
            </w:tcBorders>
            <w:shd w:val="clear" w:color="auto" w:fill="auto"/>
            <w:noWrap/>
            <w:vAlign w:val="center"/>
            <w:hideMark/>
          </w:tcPr>
          <w:p w14:paraId="07A3CCDF"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Energia elétrica</w:t>
            </w:r>
          </w:p>
        </w:tc>
        <w:tc>
          <w:tcPr>
            <w:tcW w:w="760" w:type="pct"/>
            <w:tcBorders>
              <w:top w:val="nil"/>
              <w:left w:val="nil"/>
              <w:bottom w:val="nil"/>
              <w:right w:val="nil"/>
            </w:tcBorders>
            <w:shd w:val="clear" w:color="auto" w:fill="auto"/>
            <w:noWrap/>
            <w:vAlign w:val="center"/>
          </w:tcPr>
          <w:p w14:paraId="31F73E29" w14:textId="1842DC53"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12.697.629</w:t>
            </w:r>
          </w:p>
        </w:tc>
        <w:tc>
          <w:tcPr>
            <w:tcW w:w="441" w:type="pct"/>
            <w:tcBorders>
              <w:top w:val="nil"/>
              <w:left w:val="nil"/>
              <w:bottom w:val="nil"/>
              <w:right w:val="nil"/>
            </w:tcBorders>
            <w:vAlign w:val="center"/>
          </w:tcPr>
          <w:p w14:paraId="751878BE" w14:textId="0783550A"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1,08</w:t>
            </w:r>
          </w:p>
        </w:tc>
        <w:tc>
          <w:tcPr>
            <w:tcW w:w="793" w:type="pct"/>
            <w:tcBorders>
              <w:top w:val="nil"/>
              <w:left w:val="nil"/>
              <w:bottom w:val="nil"/>
              <w:right w:val="nil"/>
            </w:tcBorders>
            <w:vAlign w:val="center"/>
          </w:tcPr>
          <w:p w14:paraId="46DD06A9" w14:textId="732BB9F6"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12.740.298</w:t>
            </w:r>
          </w:p>
        </w:tc>
        <w:tc>
          <w:tcPr>
            <w:tcW w:w="434" w:type="pct"/>
            <w:tcBorders>
              <w:top w:val="nil"/>
              <w:left w:val="nil"/>
              <w:bottom w:val="nil"/>
              <w:right w:val="nil"/>
            </w:tcBorders>
            <w:vAlign w:val="center"/>
          </w:tcPr>
          <w:p w14:paraId="28556221" w14:textId="6F8A1770"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1,14</w:t>
            </w:r>
          </w:p>
        </w:tc>
      </w:tr>
      <w:tr w:rsidR="00A47C19" w:rsidRPr="00E20D21" w14:paraId="3C18B594" w14:textId="77777777" w:rsidTr="00785232">
        <w:trPr>
          <w:trHeight w:val="283"/>
        </w:trPr>
        <w:tc>
          <w:tcPr>
            <w:tcW w:w="2572" w:type="pct"/>
            <w:tcBorders>
              <w:top w:val="nil"/>
              <w:left w:val="nil"/>
              <w:bottom w:val="nil"/>
              <w:right w:val="nil"/>
            </w:tcBorders>
            <w:shd w:val="clear" w:color="auto" w:fill="auto"/>
            <w:noWrap/>
            <w:vAlign w:val="center"/>
            <w:hideMark/>
          </w:tcPr>
          <w:p w14:paraId="644688EC"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Comércio atacadista</w:t>
            </w:r>
          </w:p>
        </w:tc>
        <w:tc>
          <w:tcPr>
            <w:tcW w:w="760" w:type="pct"/>
            <w:tcBorders>
              <w:top w:val="nil"/>
              <w:left w:val="nil"/>
              <w:bottom w:val="nil"/>
              <w:right w:val="nil"/>
            </w:tcBorders>
            <w:shd w:val="clear" w:color="auto" w:fill="auto"/>
            <w:noWrap/>
            <w:vAlign w:val="center"/>
          </w:tcPr>
          <w:p w14:paraId="00FFB681" w14:textId="580B1B18"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12.447.485</w:t>
            </w:r>
          </w:p>
        </w:tc>
        <w:tc>
          <w:tcPr>
            <w:tcW w:w="441" w:type="pct"/>
            <w:tcBorders>
              <w:top w:val="nil"/>
              <w:left w:val="nil"/>
              <w:bottom w:val="nil"/>
              <w:right w:val="nil"/>
            </w:tcBorders>
            <w:vAlign w:val="center"/>
          </w:tcPr>
          <w:p w14:paraId="6D09347F" w14:textId="50657675"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1,06</w:t>
            </w:r>
          </w:p>
        </w:tc>
        <w:tc>
          <w:tcPr>
            <w:tcW w:w="793" w:type="pct"/>
            <w:tcBorders>
              <w:top w:val="nil"/>
              <w:left w:val="nil"/>
              <w:bottom w:val="nil"/>
              <w:right w:val="nil"/>
            </w:tcBorders>
            <w:vAlign w:val="center"/>
          </w:tcPr>
          <w:p w14:paraId="152FF0D7" w14:textId="1FB2144F"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12.369.007</w:t>
            </w:r>
          </w:p>
        </w:tc>
        <w:tc>
          <w:tcPr>
            <w:tcW w:w="434" w:type="pct"/>
            <w:tcBorders>
              <w:top w:val="nil"/>
              <w:left w:val="nil"/>
              <w:bottom w:val="nil"/>
              <w:right w:val="nil"/>
            </w:tcBorders>
            <w:vAlign w:val="center"/>
          </w:tcPr>
          <w:p w14:paraId="6B371B21" w14:textId="0DC1CE7A"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1,10</w:t>
            </w:r>
          </w:p>
        </w:tc>
      </w:tr>
      <w:tr w:rsidR="00A47C19" w:rsidRPr="00E20D21" w14:paraId="0C1A5E2B" w14:textId="77777777" w:rsidTr="00785232">
        <w:trPr>
          <w:trHeight w:val="283"/>
        </w:trPr>
        <w:tc>
          <w:tcPr>
            <w:tcW w:w="2572" w:type="pct"/>
            <w:tcBorders>
              <w:top w:val="nil"/>
              <w:left w:val="nil"/>
              <w:bottom w:val="nil"/>
              <w:right w:val="nil"/>
            </w:tcBorders>
            <w:shd w:val="clear" w:color="auto" w:fill="auto"/>
            <w:noWrap/>
            <w:vAlign w:val="center"/>
            <w:hideMark/>
          </w:tcPr>
          <w:p w14:paraId="1AFABA85"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Transporte</w:t>
            </w:r>
          </w:p>
        </w:tc>
        <w:tc>
          <w:tcPr>
            <w:tcW w:w="760" w:type="pct"/>
            <w:tcBorders>
              <w:top w:val="nil"/>
              <w:left w:val="nil"/>
              <w:bottom w:val="nil"/>
              <w:right w:val="nil"/>
            </w:tcBorders>
            <w:shd w:val="clear" w:color="auto" w:fill="auto"/>
            <w:noWrap/>
            <w:vAlign w:val="center"/>
          </w:tcPr>
          <w:p w14:paraId="1FD24C4C" w14:textId="3D1B3CE0"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10.126.503</w:t>
            </w:r>
          </w:p>
        </w:tc>
        <w:tc>
          <w:tcPr>
            <w:tcW w:w="441" w:type="pct"/>
            <w:tcBorders>
              <w:top w:val="nil"/>
              <w:left w:val="nil"/>
              <w:bottom w:val="nil"/>
              <w:right w:val="nil"/>
            </w:tcBorders>
            <w:vAlign w:val="center"/>
          </w:tcPr>
          <w:p w14:paraId="61C5BA20" w14:textId="0A32193D"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0,86</w:t>
            </w:r>
          </w:p>
        </w:tc>
        <w:tc>
          <w:tcPr>
            <w:tcW w:w="793" w:type="pct"/>
            <w:tcBorders>
              <w:top w:val="nil"/>
              <w:left w:val="nil"/>
              <w:bottom w:val="nil"/>
              <w:right w:val="nil"/>
            </w:tcBorders>
            <w:vAlign w:val="center"/>
          </w:tcPr>
          <w:p w14:paraId="79825881" w14:textId="5F1AE580"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10.111.240</w:t>
            </w:r>
          </w:p>
        </w:tc>
        <w:tc>
          <w:tcPr>
            <w:tcW w:w="434" w:type="pct"/>
            <w:tcBorders>
              <w:top w:val="nil"/>
              <w:left w:val="nil"/>
              <w:bottom w:val="nil"/>
              <w:right w:val="nil"/>
            </w:tcBorders>
            <w:vAlign w:val="center"/>
          </w:tcPr>
          <w:p w14:paraId="188A48DF" w14:textId="25E34EC5"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0,90</w:t>
            </w:r>
          </w:p>
        </w:tc>
      </w:tr>
      <w:tr w:rsidR="00A47C19" w:rsidRPr="00E20D21" w14:paraId="5C37AB42" w14:textId="77777777" w:rsidTr="00785232">
        <w:trPr>
          <w:trHeight w:val="283"/>
        </w:trPr>
        <w:tc>
          <w:tcPr>
            <w:tcW w:w="2572" w:type="pct"/>
            <w:tcBorders>
              <w:top w:val="nil"/>
              <w:left w:val="nil"/>
              <w:bottom w:val="nil"/>
              <w:right w:val="nil"/>
            </w:tcBorders>
            <w:shd w:val="clear" w:color="auto" w:fill="auto"/>
            <w:noWrap/>
            <w:vAlign w:val="center"/>
            <w:hideMark/>
          </w:tcPr>
          <w:p w14:paraId="6A9B5236"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Saneamento e infraestrutura</w:t>
            </w:r>
          </w:p>
        </w:tc>
        <w:tc>
          <w:tcPr>
            <w:tcW w:w="760" w:type="pct"/>
            <w:tcBorders>
              <w:top w:val="nil"/>
              <w:left w:val="nil"/>
              <w:bottom w:val="nil"/>
              <w:right w:val="nil"/>
            </w:tcBorders>
            <w:shd w:val="clear" w:color="auto" w:fill="auto"/>
            <w:noWrap/>
            <w:vAlign w:val="center"/>
          </w:tcPr>
          <w:p w14:paraId="63ADE377" w14:textId="58FB34BD"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8.015.446</w:t>
            </w:r>
          </w:p>
        </w:tc>
        <w:tc>
          <w:tcPr>
            <w:tcW w:w="441" w:type="pct"/>
            <w:tcBorders>
              <w:top w:val="nil"/>
              <w:left w:val="nil"/>
              <w:bottom w:val="nil"/>
              <w:right w:val="nil"/>
            </w:tcBorders>
            <w:vAlign w:val="center"/>
          </w:tcPr>
          <w:p w14:paraId="20FC441E" w14:textId="54D19A7F"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0,68</w:t>
            </w:r>
          </w:p>
        </w:tc>
        <w:tc>
          <w:tcPr>
            <w:tcW w:w="793" w:type="pct"/>
            <w:tcBorders>
              <w:top w:val="nil"/>
              <w:left w:val="nil"/>
              <w:bottom w:val="nil"/>
              <w:right w:val="nil"/>
            </w:tcBorders>
            <w:vAlign w:val="center"/>
          </w:tcPr>
          <w:p w14:paraId="08CDFE5B" w14:textId="1C51AB4B"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7.760.305</w:t>
            </w:r>
          </w:p>
        </w:tc>
        <w:tc>
          <w:tcPr>
            <w:tcW w:w="434" w:type="pct"/>
            <w:tcBorders>
              <w:top w:val="nil"/>
              <w:left w:val="nil"/>
              <w:bottom w:val="nil"/>
              <w:right w:val="nil"/>
            </w:tcBorders>
            <w:vAlign w:val="center"/>
          </w:tcPr>
          <w:p w14:paraId="61A39929" w14:textId="042519EB"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0,69</w:t>
            </w:r>
          </w:p>
        </w:tc>
      </w:tr>
      <w:tr w:rsidR="00A47C19" w:rsidRPr="00E20D21" w14:paraId="39F5B9E3" w14:textId="77777777" w:rsidTr="00785232">
        <w:trPr>
          <w:trHeight w:val="283"/>
        </w:trPr>
        <w:tc>
          <w:tcPr>
            <w:tcW w:w="2572" w:type="pct"/>
            <w:tcBorders>
              <w:top w:val="nil"/>
              <w:left w:val="nil"/>
              <w:bottom w:val="nil"/>
              <w:right w:val="nil"/>
            </w:tcBorders>
            <w:shd w:val="clear" w:color="auto" w:fill="auto"/>
            <w:noWrap/>
            <w:vAlign w:val="center"/>
            <w:hideMark/>
          </w:tcPr>
          <w:p w14:paraId="5EB1FC5C"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Saúde</w:t>
            </w:r>
          </w:p>
        </w:tc>
        <w:tc>
          <w:tcPr>
            <w:tcW w:w="760" w:type="pct"/>
            <w:tcBorders>
              <w:top w:val="nil"/>
              <w:left w:val="nil"/>
              <w:bottom w:val="nil"/>
              <w:right w:val="nil"/>
            </w:tcBorders>
            <w:shd w:val="clear" w:color="auto" w:fill="auto"/>
            <w:noWrap/>
            <w:vAlign w:val="center"/>
          </w:tcPr>
          <w:p w14:paraId="6D2B3926" w14:textId="38232EEC"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6.340.195</w:t>
            </w:r>
          </w:p>
        </w:tc>
        <w:tc>
          <w:tcPr>
            <w:tcW w:w="441" w:type="pct"/>
            <w:tcBorders>
              <w:top w:val="nil"/>
              <w:left w:val="nil"/>
              <w:bottom w:val="nil"/>
              <w:right w:val="nil"/>
            </w:tcBorders>
            <w:vAlign w:val="center"/>
          </w:tcPr>
          <w:p w14:paraId="2E3C5DF1" w14:textId="72452364"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0,54</w:t>
            </w:r>
          </w:p>
        </w:tc>
        <w:tc>
          <w:tcPr>
            <w:tcW w:w="793" w:type="pct"/>
            <w:tcBorders>
              <w:top w:val="nil"/>
              <w:left w:val="nil"/>
              <w:bottom w:val="nil"/>
              <w:right w:val="nil"/>
            </w:tcBorders>
            <w:vAlign w:val="center"/>
          </w:tcPr>
          <w:p w14:paraId="5CECB932" w14:textId="1E5FEC4B"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6.298.583</w:t>
            </w:r>
          </w:p>
        </w:tc>
        <w:tc>
          <w:tcPr>
            <w:tcW w:w="434" w:type="pct"/>
            <w:tcBorders>
              <w:top w:val="nil"/>
              <w:left w:val="nil"/>
              <w:bottom w:val="nil"/>
              <w:right w:val="nil"/>
            </w:tcBorders>
            <w:vAlign w:val="center"/>
          </w:tcPr>
          <w:p w14:paraId="00899A6B" w14:textId="60F8BB42"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0,56</w:t>
            </w:r>
          </w:p>
        </w:tc>
      </w:tr>
      <w:tr w:rsidR="00A47C19" w:rsidRPr="00E20D21" w14:paraId="7352AE40" w14:textId="77777777" w:rsidTr="00785232">
        <w:trPr>
          <w:trHeight w:val="283"/>
        </w:trPr>
        <w:tc>
          <w:tcPr>
            <w:tcW w:w="2572" w:type="pct"/>
            <w:tcBorders>
              <w:top w:val="nil"/>
              <w:left w:val="nil"/>
              <w:bottom w:val="nil"/>
              <w:right w:val="nil"/>
            </w:tcBorders>
            <w:shd w:val="clear" w:color="auto" w:fill="auto"/>
            <w:noWrap/>
            <w:vAlign w:val="center"/>
            <w:hideMark/>
          </w:tcPr>
          <w:p w14:paraId="22E90A17"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Agronegócio e extrativismo</w:t>
            </w:r>
          </w:p>
        </w:tc>
        <w:tc>
          <w:tcPr>
            <w:tcW w:w="760" w:type="pct"/>
            <w:tcBorders>
              <w:top w:val="nil"/>
              <w:left w:val="nil"/>
              <w:bottom w:val="nil"/>
              <w:right w:val="nil"/>
            </w:tcBorders>
            <w:shd w:val="clear" w:color="auto" w:fill="auto"/>
            <w:noWrap/>
            <w:vAlign w:val="center"/>
          </w:tcPr>
          <w:p w14:paraId="6134E461" w14:textId="38CBDBAB"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4.695.701</w:t>
            </w:r>
          </w:p>
        </w:tc>
        <w:tc>
          <w:tcPr>
            <w:tcW w:w="441" w:type="pct"/>
            <w:tcBorders>
              <w:top w:val="nil"/>
              <w:left w:val="nil"/>
              <w:bottom w:val="nil"/>
              <w:right w:val="nil"/>
            </w:tcBorders>
            <w:vAlign w:val="center"/>
          </w:tcPr>
          <w:p w14:paraId="452A36C7" w14:textId="782184C6"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0,40</w:t>
            </w:r>
          </w:p>
        </w:tc>
        <w:tc>
          <w:tcPr>
            <w:tcW w:w="793" w:type="pct"/>
            <w:tcBorders>
              <w:top w:val="nil"/>
              <w:left w:val="nil"/>
              <w:bottom w:val="nil"/>
              <w:right w:val="nil"/>
            </w:tcBorders>
            <w:vAlign w:val="center"/>
          </w:tcPr>
          <w:p w14:paraId="7F844C74" w14:textId="4134ADCA"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4.646.013</w:t>
            </w:r>
          </w:p>
        </w:tc>
        <w:tc>
          <w:tcPr>
            <w:tcW w:w="434" w:type="pct"/>
            <w:tcBorders>
              <w:top w:val="nil"/>
              <w:left w:val="nil"/>
              <w:bottom w:val="nil"/>
              <w:right w:val="nil"/>
            </w:tcBorders>
            <w:vAlign w:val="center"/>
          </w:tcPr>
          <w:p w14:paraId="1175E804" w14:textId="1CFBFDEB"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0,41</w:t>
            </w:r>
          </w:p>
        </w:tc>
      </w:tr>
      <w:tr w:rsidR="00A47C19" w:rsidRPr="00E20D21" w14:paraId="10F0A7B3" w14:textId="77777777" w:rsidTr="00785232">
        <w:trPr>
          <w:trHeight w:val="283"/>
        </w:trPr>
        <w:tc>
          <w:tcPr>
            <w:tcW w:w="2572" w:type="pct"/>
            <w:tcBorders>
              <w:top w:val="nil"/>
              <w:left w:val="nil"/>
              <w:bottom w:val="nil"/>
              <w:right w:val="nil"/>
            </w:tcBorders>
            <w:shd w:val="clear" w:color="auto" w:fill="auto"/>
            <w:noWrap/>
            <w:vAlign w:val="center"/>
            <w:hideMark/>
          </w:tcPr>
          <w:p w14:paraId="45F3D46C"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Outras indústrias</w:t>
            </w:r>
          </w:p>
        </w:tc>
        <w:tc>
          <w:tcPr>
            <w:tcW w:w="760" w:type="pct"/>
            <w:tcBorders>
              <w:top w:val="nil"/>
              <w:left w:val="nil"/>
              <w:bottom w:val="nil"/>
              <w:right w:val="nil"/>
            </w:tcBorders>
            <w:shd w:val="clear" w:color="auto" w:fill="auto"/>
            <w:noWrap/>
            <w:vAlign w:val="center"/>
          </w:tcPr>
          <w:p w14:paraId="362900C9" w14:textId="7FB6F0FB"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4.388.624</w:t>
            </w:r>
          </w:p>
        </w:tc>
        <w:tc>
          <w:tcPr>
            <w:tcW w:w="441" w:type="pct"/>
            <w:tcBorders>
              <w:top w:val="nil"/>
              <w:left w:val="nil"/>
              <w:bottom w:val="nil"/>
              <w:right w:val="nil"/>
            </w:tcBorders>
            <w:vAlign w:val="center"/>
          </w:tcPr>
          <w:p w14:paraId="5E0FF8C8" w14:textId="5A1BBE7A"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0,37</w:t>
            </w:r>
          </w:p>
        </w:tc>
        <w:tc>
          <w:tcPr>
            <w:tcW w:w="793" w:type="pct"/>
            <w:tcBorders>
              <w:top w:val="nil"/>
              <w:left w:val="nil"/>
              <w:bottom w:val="nil"/>
              <w:right w:val="nil"/>
            </w:tcBorders>
            <w:vAlign w:val="center"/>
          </w:tcPr>
          <w:p w14:paraId="25C801BA" w14:textId="0A48EA8E"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4.594.062</w:t>
            </w:r>
          </w:p>
        </w:tc>
        <w:tc>
          <w:tcPr>
            <w:tcW w:w="434" w:type="pct"/>
            <w:tcBorders>
              <w:top w:val="nil"/>
              <w:left w:val="nil"/>
              <w:bottom w:val="nil"/>
              <w:right w:val="nil"/>
            </w:tcBorders>
            <w:vAlign w:val="center"/>
          </w:tcPr>
          <w:p w14:paraId="04F6F3B9" w14:textId="2A5AF652"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0,41</w:t>
            </w:r>
          </w:p>
        </w:tc>
      </w:tr>
      <w:tr w:rsidR="00A47C19" w:rsidRPr="00E20D21" w14:paraId="4991FBD3" w14:textId="77777777" w:rsidTr="00785232">
        <w:trPr>
          <w:trHeight w:val="283"/>
        </w:trPr>
        <w:tc>
          <w:tcPr>
            <w:tcW w:w="2572" w:type="pct"/>
            <w:tcBorders>
              <w:top w:val="nil"/>
              <w:left w:val="nil"/>
              <w:bottom w:val="nil"/>
              <w:right w:val="nil"/>
            </w:tcBorders>
            <w:shd w:val="clear" w:color="auto" w:fill="auto"/>
            <w:noWrap/>
            <w:vAlign w:val="center"/>
            <w:hideMark/>
          </w:tcPr>
          <w:p w14:paraId="7B5E26EF"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Alimentação</w:t>
            </w:r>
          </w:p>
        </w:tc>
        <w:tc>
          <w:tcPr>
            <w:tcW w:w="760" w:type="pct"/>
            <w:tcBorders>
              <w:top w:val="nil"/>
              <w:left w:val="nil"/>
              <w:bottom w:val="nil"/>
              <w:right w:val="nil"/>
            </w:tcBorders>
            <w:shd w:val="clear" w:color="auto" w:fill="auto"/>
            <w:noWrap/>
            <w:vAlign w:val="center"/>
          </w:tcPr>
          <w:p w14:paraId="6608A5C5" w14:textId="2847C06D"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3.074.401</w:t>
            </w:r>
          </w:p>
        </w:tc>
        <w:tc>
          <w:tcPr>
            <w:tcW w:w="441" w:type="pct"/>
            <w:tcBorders>
              <w:top w:val="nil"/>
              <w:left w:val="nil"/>
              <w:bottom w:val="nil"/>
              <w:right w:val="nil"/>
            </w:tcBorders>
            <w:vAlign w:val="center"/>
          </w:tcPr>
          <w:p w14:paraId="74CC55A6" w14:textId="12BB9037"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0,26</w:t>
            </w:r>
          </w:p>
        </w:tc>
        <w:tc>
          <w:tcPr>
            <w:tcW w:w="793" w:type="pct"/>
            <w:tcBorders>
              <w:top w:val="nil"/>
              <w:left w:val="nil"/>
              <w:bottom w:val="nil"/>
              <w:right w:val="nil"/>
            </w:tcBorders>
            <w:vAlign w:val="center"/>
          </w:tcPr>
          <w:p w14:paraId="5DFEAE66" w14:textId="7EA86C1F"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3.321.471</w:t>
            </w:r>
          </w:p>
        </w:tc>
        <w:tc>
          <w:tcPr>
            <w:tcW w:w="434" w:type="pct"/>
            <w:tcBorders>
              <w:top w:val="nil"/>
              <w:left w:val="nil"/>
              <w:bottom w:val="nil"/>
              <w:right w:val="nil"/>
            </w:tcBorders>
            <w:vAlign w:val="center"/>
          </w:tcPr>
          <w:p w14:paraId="0E756AE1" w14:textId="1E48D447"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0,30</w:t>
            </w:r>
          </w:p>
        </w:tc>
      </w:tr>
      <w:tr w:rsidR="00A47C19" w:rsidRPr="00E20D21" w14:paraId="26468A02" w14:textId="77777777" w:rsidTr="00785232">
        <w:trPr>
          <w:trHeight w:val="283"/>
        </w:trPr>
        <w:tc>
          <w:tcPr>
            <w:tcW w:w="2572" w:type="pct"/>
            <w:tcBorders>
              <w:top w:val="nil"/>
              <w:left w:val="nil"/>
              <w:bottom w:val="nil"/>
              <w:right w:val="nil"/>
            </w:tcBorders>
            <w:shd w:val="clear" w:color="auto" w:fill="auto"/>
            <w:noWrap/>
            <w:vAlign w:val="center"/>
            <w:hideMark/>
          </w:tcPr>
          <w:p w14:paraId="0076AF70"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Siderurgia e metalurgia</w:t>
            </w:r>
          </w:p>
        </w:tc>
        <w:tc>
          <w:tcPr>
            <w:tcW w:w="760" w:type="pct"/>
            <w:tcBorders>
              <w:top w:val="nil"/>
              <w:left w:val="nil"/>
              <w:bottom w:val="nil"/>
              <w:right w:val="nil"/>
            </w:tcBorders>
            <w:shd w:val="clear" w:color="auto" w:fill="auto"/>
            <w:noWrap/>
            <w:vAlign w:val="center"/>
          </w:tcPr>
          <w:p w14:paraId="643510BC" w14:textId="63ADD728"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2.745.610</w:t>
            </w:r>
          </w:p>
        </w:tc>
        <w:tc>
          <w:tcPr>
            <w:tcW w:w="441" w:type="pct"/>
            <w:tcBorders>
              <w:top w:val="nil"/>
              <w:left w:val="nil"/>
              <w:bottom w:val="nil"/>
              <w:right w:val="nil"/>
            </w:tcBorders>
            <w:vAlign w:val="center"/>
          </w:tcPr>
          <w:p w14:paraId="62CFED37" w14:textId="2C75B2C8"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0,23</w:t>
            </w:r>
          </w:p>
        </w:tc>
        <w:tc>
          <w:tcPr>
            <w:tcW w:w="793" w:type="pct"/>
            <w:tcBorders>
              <w:top w:val="nil"/>
              <w:left w:val="nil"/>
              <w:bottom w:val="nil"/>
              <w:right w:val="nil"/>
            </w:tcBorders>
            <w:vAlign w:val="center"/>
          </w:tcPr>
          <w:p w14:paraId="5DCC3204" w14:textId="6B047ABC"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2.883.984</w:t>
            </w:r>
          </w:p>
        </w:tc>
        <w:tc>
          <w:tcPr>
            <w:tcW w:w="434" w:type="pct"/>
            <w:tcBorders>
              <w:top w:val="nil"/>
              <w:left w:val="nil"/>
              <w:bottom w:val="nil"/>
              <w:right w:val="nil"/>
            </w:tcBorders>
            <w:vAlign w:val="center"/>
          </w:tcPr>
          <w:p w14:paraId="7DA7B7E3" w14:textId="25E5816C"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0,26</w:t>
            </w:r>
          </w:p>
        </w:tc>
      </w:tr>
      <w:tr w:rsidR="00A47C19" w:rsidRPr="00E20D21" w14:paraId="5823B20E" w14:textId="77777777" w:rsidTr="00785232">
        <w:trPr>
          <w:trHeight w:val="283"/>
        </w:trPr>
        <w:tc>
          <w:tcPr>
            <w:tcW w:w="2572" w:type="pct"/>
            <w:tcBorders>
              <w:top w:val="nil"/>
              <w:left w:val="nil"/>
              <w:bottom w:val="nil"/>
              <w:right w:val="nil"/>
            </w:tcBorders>
            <w:shd w:val="clear" w:color="auto" w:fill="auto"/>
            <w:noWrap/>
            <w:vAlign w:val="center"/>
            <w:hideMark/>
          </w:tcPr>
          <w:p w14:paraId="7B294305"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Petroquímico</w:t>
            </w:r>
          </w:p>
        </w:tc>
        <w:tc>
          <w:tcPr>
            <w:tcW w:w="760" w:type="pct"/>
            <w:tcBorders>
              <w:top w:val="nil"/>
              <w:left w:val="nil"/>
              <w:bottom w:val="nil"/>
              <w:right w:val="nil"/>
            </w:tcBorders>
            <w:shd w:val="clear" w:color="auto" w:fill="auto"/>
            <w:noWrap/>
            <w:vAlign w:val="center"/>
          </w:tcPr>
          <w:p w14:paraId="78FCFDEA" w14:textId="1F241743"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1.593.646</w:t>
            </w:r>
          </w:p>
        </w:tc>
        <w:tc>
          <w:tcPr>
            <w:tcW w:w="441" w:type="pct"/>
            <w:tcBorders>
              <w:top w:val="nil"/>
              <w:left w:val="nil"/>
              <w:bottom w:val="nil"/>
              <w:right w:val="nil"/>
            </w:tcBorders>
            <w:vAlign w:val="center"/>
          </w:tcPr>
          <w:p w14:paraId="1CA5F7D1" w14:textId="6BDB91C7"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0,14</w:t>
            </w:r>
          </w:p>
        </w:tc>
        <w:tc>
          <w:tcPr>
            <w:tcW w:w="793" w:type="pct"/>
            <w:tcBorders>
              <w:top w:val="nil"/>
              <w:left w:val="nil"/>
              <w:bottom w:val="nil"/>
              <w:right w:val="nil"/>
            </w:tcBorders>
            <w:vAlign w:val="center"/>
          </w:tcPr>
          <w:p w14:paraId="2620BF81" w14:textId="70A2E146"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1.800.436</w:t>
            </w:r>
          </w:p>
        </w:tc>
        <w:tc>
          <w:tcPr>
            <w:tcW w:w="434" w:type="pct"/>
            <w:tcBorders>
              <w:top w:val="nil"/>
              <w:left w:val="nil"/>
              <w:bottom w:val="nil"/>
              <w:right w:val="nil"/>
            </w:tcBorders>
            <w:vAlign w:val="center"/>
          </w:tcPr>
          <w:p w14:paraId="515F82A4" w14:textId="33A940DA"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0,16</w:t>
            </w:r>
          </w:p>
        </w:tc>
      </w:tr>
      <w:tr w:rsidR="00A47C19" w:rsidRPr="00E20D21" w14:paraId="46BB37D5" w14:textId="77777777" w:rsidTr="00785232">
        <w:trPr>
          <w:trHeight w:val="283"/>
        </w:trPr>
        <w:tc>
          <w:tcPr>
            <w:tcW w:w="2572" w:type="pct"/>
            <w:tcBorders>
              <w:top w:val="nil"/>
              <w:left w:val="nil"/>
              <w:bottom w:val="nil"/>
              <w:right w:val="nil"/>
            </w:tcBorders>
            <w:shd w:val="clear" w:color="auto" w:fill="auto"/>
            <w:noWrap/>
            <w:vAlign w:val="center"/>
            <w:hideMark/>
          </w:tcPr>
          <w:p w14:paraId="6C72B32D"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Têxtil</w:t>
            </w:r>
          </w:p>
        </w:tc>
        <w:tc>
          <w:tcPr>
            <w:tcW w:w="760" w:type="pct"/>
            <w:tcBorders>
              <w:top w:val="nil"/>
              <w:left w:val="nil"/>
              <w:bottom w:val="nil"/>
              <w:right w:val="nil"/>
            </w:tcBorders>
            <w:shd w:val="clear" w:color="auto" w:fill="auto"/>
            <w:noWrap/>
            <w:vAlign w:val="center"/>
          </w:tcPr>
          <w:p w14:paraId="0750BB5D" w14:textId="469D373D"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1.427.554</w:t>
            </w:r>
          </w:p>
        </w:tc>
        <w:tc>
          <w:tcPr>
            <w:tcW w:w="441" w:type="pct"/>
            <w:tcBorders>
              <w:top w:val="nil"/>
              <w:left w:val="nil"/>
              <w:bottom w:val="nil"/>
              <w:right w:val="nil"/>
            </w:tcBorders>
            <w:vAlign w:val="center"/>
          </w:tcPr>
          <w:p w14:paraId="3F30958F" w14:textId="4A7D5D37"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0,12</w:t>
            </w:r>
          </w:p>
        </w:tc>
        <w:tc>
          <w:tcPr>
            <w:tcW w:w="793" w:type="pct"/>
            <w:tcBorders>
              <w:top w:val="nil"/>
              <w:left w:val="nil"/>
              <w:bottom w:val="nil"/>
              <w:right w:val="nil"/>
            </w:tcBorders>
            <w:vAlign w:val="center"/>
          </w:tcPr>
          <w:p w14:paraId="45E66052" w14:textId="7F29BFF0"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1.637.433</w:t>
            </w:r>
          </w:p>
        </w:tc>
        <w:tc>
          <w:tcPr>
            <w:tcW w:w="434" w:type="pct"/>
            <w:tcBorders>
              <w:top w:val="nil"/>
              <w:left w:val="nil"/>
              <w:bottom w:val="nil"/>
              <w:right w:val="nil"/>
            </w:tcBorders>
            <w:vAlign w:val="center"/>
          </w:tcPr>
          <w:p w14:paraId="320A0DAB" w14:textId="7FB544BB"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0,15</w:t>
            </w:r>
          </w:p>
        </w:tc>
      </w:tr>
      <w:tr w:rsidR="00A47C19" w:rsidRPr="00E20D21" w14:paraId="6F95AC4E" w14:textId="77777777" w:rsidTr="00785232">
        <w:trPr>
          <w:trHeight w:val="283"/>
        </w:trPr>
        <w:tc>
          <w:tcPr>
            <w:tcW w:w="2572" w:type="pct"/>
            <w:tcBorders>
              <w:top w:val="nil"/>
              <w:left w:val="nil"/>
              <w:bottom w:val="nil"/>
              <w:right w:val="nil"/>
            </w:tcBorders>
            <w:shd w:val="clear" w:color="auto" w:fill="auto"/>
            <w:noWrap/>
            <w:vAlign w:val="center"/>
            <w:hideMark/>
          </w:tcPr>
          <w:p w14:paraId="1759B0A3"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Comunicação</w:t>
            </w:r>
          </w:p>
        </w:tc>
        <w:tc>
          <w:tcPr>
            <w:tcW w:w="760" w:type="pct"/>
            <w:tcBorders>
              <w:top w:val="nil"/>
              <w:left w:val="nil"/>
              <w:bottom w:val="nil"/>
              <w:right w:val="nil"/>
            </w:tcBorders>
            <w:shd w:val="clear" w:color="auto" w:fill="auto"/>
            <w:noWrap/>
            <w:vAlign w:val="center"/>
          </w:tcPr>
          <w:p w14:paraId="66DA10EA" w14:textId="185CE718"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1.113.720</w:t>
            </w:r>
          </w:p>
        </w:tc>
        <w:tc>
          <w:tcPr>
            <w:tcW w:w="441" w:type="pct"/>
            <w:tcBorders>
              <w:top w:val="nil"/>
              <w:left w:val="nil"/>
              <w:bottom w:val="nil"/>
              <w:right w:val="nil"/>
            </w:tcBorders>
            <w:vAlign w:val="center"/>
          </w:tcPr>
          <w:p w14:paraId="56C7C795" w14:textId="007C0849"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0,09</w:t>
            </w:r>
          </w:p>
        </w:tc>
        <w:tc>
          <w:tcPr>
            <w:tcW w:w="793" w:type="pct"/>
            <w:tcBorders>
              <w:top w:val="nil"/>
              <w:left w:val="nil"/>
              <w:bottom w:val="nil"/>
              <w:right w:val="nil"/>
            </w:tcBorders>
            <w:vAlign w:val="center"/>
          </w:tcPr>
          <w:p w14:paraId="49409285" w14:textId="681AC586"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1.161.492</w:t>
            </w:r>
          </w:p>
        </w:tc>
        <w:tc>
          <w:tcPr>
            <w:tcW w:w="434" w:type="pct"/>
            <w:tcBorders>
              <w:top w:val="nil"/>
              <w:left w:val="nil"/>
              <w:bottom w:val="nil"/>
              <w:right w:val="nil"/>
            </w:tcBorders>
            <w:vAlign w:val="center"/>
          </w:tcPr>
          <w:p w14:paraId="4D41C7AA" w14:textId="66188ECD"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0,10</w:t>
            </w:r>
          </w:p>
        </w:tc>
      </w:tr>
      <w:tr w:rsidR="00A47C19" w:rsidRPr="00E20D21" w14:paraId="763F08D2" w14:textId="77777777" w:rsidTr="00785232">
        <w:trPr>
          <w:trHeight w:val="283"/>
        </w:trPr>
        <w:tc>
          <w:tcPr>
            <w:tcW w:w="2572" w:type="pct"/>
            <w:tcBorders>
              <w:top w:val="nil"/>
              <w:left w:val="nil"/>
              <w:bottom w:val="nil"/>
              <w:right w:val="nil"/>
            </w:tcBorders>
            <w:shd w:val="clear" w:color="auto" w:fill="auto"/>
            <w:noWrap/>
            <w:vAlign w:val="center"/>
            <w:hideMark/>
          </w:tcPr>
          <w:p w14:paraId="5C002D96"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Serviços financeiros</w:t>
            </w:r>
          </w:p>
        </w:tc>
        <w:tc>
          <w:tcPr>
            <w:tcW w:w="760" w:type="pct"/>
            <w:tcBorders>
              <w:top w:val="nil"/>
              <w:left w:val="nil"/>
              <w:bottom w:val="nil"/>
              <w:right w:val="nil"/>
            </w:tcBorders>
            <w:shd w:val="clear" w:color="auto" w:fill="auto"/>
            <w:noWrap/>
            <w:vAlign w:val="center"/>
          </w:tcPr>
          <w:p w14:paraId="0DE1BA13" w14:textId="3F1A4595"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808.642</w:t>
            </w:r>
          </w:p>
        </w:tc>
        <w:tc>
          <w:tcPr>
            <w:tcW w:w="441" w:type="pct"/>
            <w:tcBorders>
              <w:top w:val="nil"/>
              <w:left w:val="nil"/>
              <w:bottom w:val="nil"/>
              <w:right w:val="nil"/>
            </w:tcBorders>
            <w:vAlign w:val="center"/>
          </w:tcPr>
          <w:p w14:paraId="27AC1191" w14:textId="5DECC256"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0,07</w:t>
            </w:r>
          </w:p>
        </w:tc>
        <w:tc>
          <w:tcPr>
            <w:tcW w:w="793" w:type="pct"/>
            <w:tcBorders>
              <w:top w:val="nil"/>
              <w:left w:val="nil"/>
              <w:bottom w:val="nil"/>
              <w:right w:val="nil"/>
            </w:tcBorders>
            <w:vAlign w:val="center"/>
          </w:tcPr>
          <w:p w14:paraId="0F2AB707" w14:textId="572B489B"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934.403</w:t>
            </w:r>
          </w:p>
        </w:tc>
        <w:tc>
          <w:tcPr>
            <w:tcW w:w="434" w:type="pct"/>
            <w:tcBorders>
              <w:top w:val="nil"/>
              <w:left w:val="nil"/>
              <w:bottom w:val="nil"/>
              <w:right w:val="nil"/>
            </w:tcBorders>
            <w:vAlign w:val="center"/>
          </w:tcPr>
          <w:p w14:paraId="74BC48BA" w14:textId="328D3EFF"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0,08</w:t>
            </w:r>
          </w:p>
        </w:tc>
      </w:tr>
      <w:tr w:rsidR="00A47C19" w:rsidRPr="00E20D21" w14:paraId="4D9F9739" w14:textId="77777777" w:rsidTr="00785232">
        <w:trPr>
          <w:trHeight w:val="283"/>
        </w:trPr>
        <w:tc>
          <w:tcPr>
            <w:tcW w:w="2572" w:type="pct"/>
            <w:tcBorders>
              <w:top w:val="nil"/>
              <w:left w:val="nil"/>
              <w:bottom w:val="nil"/>
              <w:right w:val="nil"/>
            </w:tcBorders>
            <w:shd w:val="clear" w:color="auto" w:fill="auto"/>
            <w:noWrap/>
            <w:vAlign w:val="center"/>
            <w:hideMark/>
          </w:tcPr>
          <w:p w14:paraId="6B4246DD" w14:textId="777777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Serviços pessoais</w:t>
            </w:r>
          </w:p>
        </w:tc>
        <w:tc>
          <w:tcPr>
            <w:tcW w:w="760" w:type="pct"/>
            <w:tcBorders>
              <w:top w:val="nil"/>
              <w:left w:val="nil"/>
              <w:bottom w:val="nil"/>
              <w:right w:val="nil"/>
            </w:tcBorders>
            <w:shd w:val="clear" w:color="auto" w:fill="auto"/>
            <w:noWrap/>
            <w:vAlign w:val="center"/>
          </w:tcPr>
          <w:p w14:paraId="68A57FBF" w14:textId="6DEC3201"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258.582</w:t>
            </w:r>
          </w:p>
        </w:tc>
        <w:tc>
          <w:tcPr>
            <w:tcW w:w="441" w:type="pct"/>
            <w:tcBorders>
              <w:top w:val="nil"/>
              <w:left w:val="nil"/>
              <w:bottom w:val="nil"/>
              <w:right w:val="nil"/>
            </w:tcBorders>
            <w:vAlign w:val="center"/>
          </w:tcPr>
          <w:p w14:paraId="3022BF25" w14:textId="11D5F151"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0,02</w:t>
            </w:r>
          </w:p>
        </w:tc>
        <w:tc>
          <w:tcPr>
            <w:tcW w:w="793" w:type="pct"/>
            <w:tcBorders>
              <w:top w:val="nil"/>
              <w:left w:val="nil"/>
              <w:bottom w:val="nil"/>
              <w:right w:val="nil"/>
            </w:tcBorders>
            <w:vAlign w:val="center"/>
          </w:tcPr>
          <w:p w14:paraId="400BB27A" w14:textId="6FB68A8F"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287.740</w:t>
            </w:r>
          </w:p>
        </w:tc>
        <w:tc>
          <w:tcPr>
            <w:tcW w:w="434" w:type="pct"/>
            <w:tcBorders>
              <w:top w:val="nil"/>
              <w:left w:val="nil"/>
              <w:bottom w:val="nil"/>
              <w:right w:val="nil"/>
            </w:tcBorders>
            <w:vAlign w:val="center"/>
          </w:tcPr>
          <w:p w14:paraId="1BCAC977" w14:textId="48EE8C8E" w:rsidR="00785232" w:rsidRPr="00E20D21" w:rsidRDefault="00785232" w:rsidP="00896787">
            <w:pPr>
              <w:jc w:val="right"/>
              <w:rPr>
                <w:rFonts w:ascii="CAIXA Std Book" w:hAnsi="CAIXA Std Book"/>
                <w:color w:val="005CA9"/>
                <w:sz w:val="18"/>
                <w:szCs w:val="18"/>
              </w:rPr>
            </w:pPr>
            <w:r w:rsidRPr="00E20D21">
              <w:rPr>
                <w:rFonts w:ascii="CAIXA Std Book" w:hAnsi="CAIXA Std Book"/>
                <w:color w:val="005CA9"/>
                <w:sz w:val="18"/>
                <w:szCs w:val="18"/>
              </w:rPr>
              <w:t>0,03</w:t>
            </w:r>
          </w:p>
        </w:tc>
      </w:tr>
      <w:tr w:rsidR="00A47C19" w:rsidRPr="00E20D21" w14:paraId="26F93E47" w14:textId="77777777" w:rsidTr="00785232">
        <w:trPr>
          <w:trHeight w:val="283"/>
        </w:trPr>
        <w:tc>
          <w:tcPr>
            <w:tcW w:w="2572" w:type="pct"/>
            <w:tcBorders>
              <w:top w:val="nil"/>
              <w:left w:val="nil"/>
              <w:bottom w:val="nil"/>
              <w:right w:val="nil"/>
            </w:tcBorders>
            <w:shd w:val="clear" w:color="auto" w:fill="auto"/>
            <w:noWrap/>
            <w:vAlign w:val="center"/>
            <w:hideMark/>
          </w:tcPr>
          <w:p w14:paraId="458D35E2" w14:textId="30C91077" w:rsidR="00785232" w:rsidRPr="00E20D21" w:rsidRDefault="00785232" w:rsidP="005F4104">
            <w:pPr>
              <w:ind w:left="209"/>
              <w:rPr>
                <w:rFonts w:ascii="CAIXA Std Book" w:hAnsi="CAIXA Std Book"/>
                <w:color w:val="005CA9"/>
                <w:sz w:val="18"/>
                <w:szCs w:val="18"/>
              </w:rPr>
            </w:pPr>
            <w:r w:rsidRPr="00E20D21">
              <w:rPr>
                <w:rFonts w:ascii="CAIXA Std Book" w:hAnsi="CAIXA Std Book" w:cs="Arial"/>
                <w:color w:val="005CA9"/>
                <w:sz w:val="18"/>
                <w:szCs w:val="18"/>
              </w:rPr>
              <w:t>Outros serviços</w:t>
            </w:r>
          </w:p>
        </w:tc>
        <w:tc>
          <w:tcPr>
            <w:tcW w:w="760" w:type="pct"/>
            <w:tcBorders>
              <w:top w:val="nil"/>
              <w:left w:val="nil"/>
              <w:bottom w:val="nil"/>
              <w:right w:val="nil"/>
            </w:tcBorders>
            <w:shd w:val="clear" w:color="auto" w:fill="auto"/>
            <w:noWrap/>
            <w:vAlign w:val="center"/>
          </w:tcPr>
          <w:p w14:paraId="5558E90E" w14:textId="19473824" w:rsidR="00785232" w:rsidRPr="00E20D21" w:rsidRDefault="00C14A50" w:rsidP="00785232">
            <w:pPr>
              <w:jc w:val="right"/>
              <w:rPr>
                <w:rFonts w:ascii="CAIXA Std Book" w:hAnsi="CAIXA Std Book"/>
                <w:color w:val="005CA9"/>
                <w:sz w:val="18"/>
                <w:szCs w:val="18"/>
              </w:rPr>
            </w:pPr>
            <w:r w:rsidRPr="00E20D21">
              <w:rPr>
                <w:rFonts w:ascii="CAIXA Std Book" w:hAnsi="CAIXA Std Book" w:cs="Arial"/>
                <w:color w:val="2F75B5"/>
                <w:sz w:val="18"/>
                <w:szCs w:val="18"/>
              </w:rPr>
              <w:t>13.420.849</w:t>
            </w:r>
          </w:p>
        </w:tc>
        <w:tc>
          <w:tcPr>
            <w:tcW w:w="441" w:type="pct"/>
            <w:tcBorders>
              <w:top w:val="nil"/>
              <w:left w:val="nil"/>
              <w:bottom w:val="nil"/>
              <w:right w:val="nil"/>
            </w:tcBorders>
            <w:vAlign w:val="center"/>
          </w:tcPr>
          <w:p w14:paraId="253DD1E6" w14:textId="673F16CF" w:rsidR="00785232" w:rsidRPr="00E20D21" w:rsidRDefault="00601C87" w:rsidP="00785232">
            <w:pPr>
              <w:ind w:firstLineChars="200" w:firstLine="360"/>
              <w:jc w:val="right"/>
              <w:rPr>
                <w:rFonts w:ascii="CAIXA Std Book" w:hAnsi="CAIXA Std Book"/>
                <w:color w:val="005CA9"/>
                <w:sz w:val="18"/>
                <w:szCs w:val="18"/>
              </w:rPr>
            </w:pPr>
            <w:r w:rsidRPr="00E20D21">
              <w:rPr>
                <w:rFonts w:ascii="CAIXA Std Book" w:hAnsi="CAIXA Std Book" w:cs="Arial"/>
                <w:color w:val="2F75B5"/>
                <w:sz w:val="18"/>
                <w:szCs w:val="18"/>
              </w:rPr>
              <w:t>1,14</w:t>
            </w:r>
          </w:p>
        </w:tc>
        <w:tc>
          <w:tcPr>
            <w:tcW w:w="793" w:type="pct"/>
            <w:tcBorders>
              <w:top w:val="nil"/>
              <w:left w:val="nil"/>
              <w:bottom w:val="nil"/>
              <w:right w:val="nil"/>
            </w:tcBorders>
            <w:vAlign w:val="center"/>
          </w:tcPr>
          <w:p w14:paraId="6777EC2D" w14:textId="02930020" w:rsidR="00785232" w:rsidRPr="00E20D21" w:rsidRDefault="00785232" w:rsidP="00785232">
            <w:pPr>
              <w:ind w:firstLineChars="200" w:firstLine="360"/>
              <w:jc w:val="right"/>
              <w:rPr>
                <w:rFonts w:ascii="CAIXA Std Book" w:hAnsi="CAIXA Std Book"/>
                <w:color w:val="005CA9"/>
                <w:sz w:val="18"/>
                <w:szCs w:val="18"/>
              </w:rPr>
            </w:pPr>
            <w:r w:rsidRPr="00E20D21">
              <w:rPr>
                <w:rFonts w:ascii="CAIXA Std Book" w:hAnsi="CAIXA Std Book"/>
                <w:color w:val="005CA9"/>
                <w:sz w:val="18"/>
                <w:szCs w:val="18"/>
              </w:rPr>
              <w:t>12.243.515</w:t>
            </w:r>
          </w:p>
        </w:tc>
        <w:tc>
          <w:tcPr>
            <w:tcW w:w="434" w:type="pct"/>
            <w:tcBorders>
              <w:top w:val="nil"/>
              <w:left w:val="nil"/>
              <w:bottom w:val="nil"/>
              <w:right w:val="nil"/>
            </w:tcBorders>
            <w:vAlign w:val="center"/>
          </w:tcPr>
          <w:p w14:paraId="4EF1A2A4" w14:textId="5C788B9D" w:rsidR="00785232" w:rsidRPr="00E20D21" w:rsidRDefault="00785232" w:rsidP="00785232">
            <w:pPr>
              <w:jc w:val="right"/>
              <w:rPr>
                <w:rFonts w:ascii="CAIXA Std Book" w:hAnsi="CAIXA Std Book"/>
                <w:color w:val="005CA9"/>
                <w:sz w:val="18"/>
                <w:szCs w:val="18"/>
              </w:rPr>
            </w:pPr>
            <w:r w:rsidRPr="00E20D21">
              <w:rPr>
                <w:rFonts w:ascii="CAIXA Std Book" w:hAnsi="CAIXA Std Book"/>
                <w:color w:val="005CA9"/>
                <w:sz w:val="18"/>
                <w:szCs w:val="18"/>
              </w:rPr>
              <w:t>1,09</w:t>
            </w:r>
          </w:p>
        </w:tc>
      </w:tr>
      <w:tr w:rsidR="00A47C19" w:rsidRPr="00E20D21" w14:paraId="3FCD0709" w14:textId="77777777" w:rsidTr="00785232">
        <w:trPr>
          <w:trHeight w:val="283"/>
        </w:trPr>
        <w:tc>
          <w:tcPr>
            <w:tcW w:w="2572" w:type="pct"/>
            <w:tcBorders>
              <w:top w:val="single" w:sz="4" w:space="0" w:color="F39200"/>
              <w:left w:val="nil"/>
              <w:bottom w:val="single" w:sz="4" w:space="0" w:color="F39200"/>
              <w:right w:val="nil"/>
            </w:tcBorders>
            <w:shd w:val="clear" w:color="auto" w:fill="auto"/>
            <w:noWrap/>
            <w:vAlign w:val="center"/>
            <w:hideMark/>
          </w:tcPr>
          <w:p w14:paraId="42D6F552" w14:textId="77777777" w:rsidR="00785232" w:rsidRPr="00E20D21" w:rsidRDefault="00785232" w:rsidP="005F4104">
            <w:pPr>
              <w:ind w:left="209"/>
              <w:rPr>
                <w:rFonts w:ascii="CAIXA Std Book" w:hAnsi="CAIXA Std Book"/>
                <w:b/>
                <w:color w:val="005CA9"/>
                <w:sz w:val="18"/>
                <w:szCs w:val="18"/>
              </w:rPr>
            </w:pPr>
            <w:r w:rsidRPr="00E20D21">
              <w:rPr>
                <w:rFonts w:ascii="CAIXA Std Book" w:hAnsi="CAIXA Std Book"/>
                <w:b/>
                <w:color w:val="005CA9"/>
                <w:sz w:val="18"/>
                <w:szCs w:val="18"/>
              </w:rPr>
              <w:t>PESSOA FÍSICA</w:t>
            </w:r>
          </w:p>
        </w:tc>
        <w:tc>
          <w:tcPr>
            <w:tcW w:w="760" w:type="pct"/>
            <w:tcBorders>
              <w:top w:val="single" w:sz="4" w:space="0" w:color="F39200"/>
              <w:left w:val="nil"/>
              <w:bottom w:val="single" w:sz="4" w:space="0" w:color="F39200"/>
              <w:right w:val="nil"/>
            </w:tcBorders>
            <w:shd w:val="clear" w:color="auto" w:fill="auto"/>
            <w:noWrap/>
            <w:vAlign w:val="center"/>
          </w:tcPr>
          <w:p w14:paraId="4B8E2839" w14:textId="5C418695" w:rsidR="00785232" w:rsidRPr="00E20D21" w:rsidRDefault="00C14A50" w:rsidP="00785232">
            <w:pPr>
              <w:jc w:val="right"/>
              <w:rPr>
                <w:rFonts w:ascii="CAIXA Std Book" w:hAnsi="CAIXA Std Book" w:cs="Arial Unicode MS"/>
                <w:b/>
                <w:color w:val="005CA9"/>
                <w:sz w:val="18"/>
                <w:szCs w:val="18"/>
              </w:rPr>
            </w:pPr>
            <w:r w:rsidRPr="00E20D21">
              <w:rPr>
                <w:rFonts w:ascii="CAIXA Std Book" w:hAnsi="CAIXA Std Book" w:cs="Arial"/>
                <w:b/>
                <w:bCs/>
                <w:color w:val="2F75B5"/>
                <w:sz w:val="18"/>
                <w:szCs w:val="18"/>
              </w:rPr>
              <w:t>979.141.601</w:t>
            </w:r>
          </w:p>
        </w:tc>
        <w:tc>
          <w:tcPr>
            <w:tcW w:w="441" w:type="pct"/>
            <w:tcBorders>
              <w:top w:val="single" w:sz="4" w:space="0" w:color="F39200"/>
              <w:left w:val="nil"/>
              <w:bottom w:val="single" w:sz="4" w:space="0" w:color="F39200"/>
              <w:right w:val="nil"/>
            </w:tcBorders>
            <w:vAlign w:val="center"/>
          </w:tcPr>
          <w:p w14:paraId="4C79D04B" w14:textId="0FF1DFDA" w:rsidR="00785232" w:rsidRPr="00E20D21" w:rsidRDefault="00601C87" w:rsidP="00785232">
            <w:pPr>
              <w:jc w:val="right"/>
              <w:rPr>
                <w:rFonts w:ascii="CAIXA Std Book" w:hAnsi="CAIXA Std Book"/>
                <w:b/>
                <w:color w:val="005CA9"/>
                <w:sz w:val="18"/>
                <w:szCs w:val="18"/>
              </w:rPr>
            </w:pPr>
            <w:r w:rsidRPr="00E20D21">
              <w:rPr>
                <w:rFonts w:ascii="CAIXA Std Book" w:hAnsi="CAIXA Std Book" w:cs="Arial"/>
                <w:b/>
                <w:bCs/>
                <w:color w:val="005CA9"/>
                <w:sz w:val="18"/>
                <w:szCs w:val="18"/>
              </w:rPr>
              <w:t>83,40</w:t>
            </w:r>
          </w:p>
        </w:tc>
        <w:tc>
          <w:tcPr>
            <w:tcW w:w="793" w:type="pct"/>
            <w:tcBorders>
              <w:top w:val="single" w:sz="4" w:space="0" w:color="F39200"/>
              <w:left w:val="nil"/>
              <w:bottom w:val="single" w:sz="4" w:space="0" w:color="F39200"/>
              <w:right w:val="nil"/>
            </w:tcBorders>
            <w:vAlign w:val="center"/>
          </w:tcPr>
          <w:p w14:paraId="34FE1D69" w14:textId="1790E486"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924.563.917</w:t>
            </w:r>
          </w:p>
        </w:tc>
        <w:tc>
          <w:tcPr>
            <w:tcW w:w="434" w:type="pct"/>
            <w:tcBorders>
              <w:top w:val="single" w:sz="4" w:space="0" w:color="F39200"/>
              <w:left w:val="nil"/>
              <w:bottom w:val="single" w:sz="4" w:space="0" w:color="F39200"/>
              <w:right w:val="nil"/>
            </w:tcBorders>
            <w:vAlign w:val="center"/>
          </w:tcPr>
          <w:p w14:paraId="27A9FFF4" w14:textId="2C9BB508"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82,57</w:t>
            </w:r>
          </w:p>
        </w:tc>
      </w:tr>
      <w:tr w:rsidR="00A47C19" w:rsidRPr="00E20D21" w14:paraId="72007361" w14:textId="77777777" w:rsidTr="00785232">
        <w:trPr>
          <w:trHeight w:val="283"/>
        </w:trPr>
        <w:tc>
          <w:tcPr>
            <w:tcW w:w="2572" w:type="pct"/>
            <w:tcBorders>
              <w:top w:val="nil"/>
              <w:left w:val="nil"/>
              <w:bottom w:val="single" w:sz="4" w:space="0" w:color="F39200"/>
              <w:right w:val="nil"/>
            </w:tcBorders>
            <w:shd w:val="clear" w:color="auto" w:fill="auto"/>
            <w:noWrap/>
            <w:vAlign w:val="center"/>
            <w:hideMark/>
          </w:tcPr>
          <w:p w14:paraId="3793C47A" w14:textId="77777777" w:rsidR="00785232" w:rsidRPr="00E20D21" w:rsidRDefault="00785232" w:rsidP="00785232">
            <w:pPr>
              <w:rPr>
                <w:rFonts w:ascii="CAIXA Std Book" w:hAnsi="CAIXA Std Book"/>
                <w:b/>
                <w:color w:val="005CA9"/>
                <w:sz w:val="18"/>
                <w:szCs w:val="18"/>
              </w:rPr>
            </w:pPr>
            <w:r w:rsidRPr="00E20D21">
              <w:rPr>
                <w:rFonts w:ascii="CAIXA Std Book" w:hAnsi="CAIXA Std Book"/>
                <w:b/>
                <w:color w:val="005CA9"/>
                <w:sz w:val="18"/>
                <w:szCs w:val="18"/>
              </w:rPr>
              <w:t>Total</w:t>
            </w:r>
          </w:p>
        </w:tc>
        <w:tc>
          <w:tcPr>
            <w:tcW w:w="760" w:type="pct"/>
            <w:tcBorders>
              <w:top w:val="nil"/>
              <w:left w:val="nil"/>
              <w:bottom w:val="single" w:sz="4" w:space="0" w:color="F39200"/>
              <w:right w:val="nil"/>
            </w:tcBorders>
            <w:shd w:val="clear" w:color="auto" w:fill="auto"/>
            <w:noWrap/>
            <w:vAlign w:val="center"/>
          </w:tcPr>
          <w:p w14:paraId="3AE55EDA" w14:textId="58D4E33C" w:rsidR="00785232" w:rsidRPr="00E20D21" w:rsidRDefault="00C14A50" w:rsidP="00785232">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1.174.179.348</w:t>
            </w:r>
          </w:p>
        </w:tc>
        <w:tc>
          <w:tcPr>
            <w:tcW w:w="441" w:type="pct"/>
            <w:tcBorders>
              <w:top w:val="nil"/>
              <w:left w:val="nil"/>
              <w:bottom w:val="single" w:sz="4" w:space="0" w:color="F39200"/>
              <w:right w:val="nil"/>
            </w:tcBorders>
            <w:vAlign w:val="center"/>
          </w:tcPr>
          <w:p w14:paraId="2F2FB705" w14:textId="30A4B830" w:rsidR="00785232" w:rsidRPr="00E20D21" w:rsidRDefault="00601C87" w:rsidP="00785232">
            <w:pPr>
              <w:jc w:val="right"/>
              <w:rPr>
                <w:rFonts w:ascii="CAIXA Std Book" w:hAnsi="CAIXA Std Book"/>
                <w:b/>
                <w:color w:val="005CA9"/>
                <w:sz w:val="18"/>
                <w:szCs w:val="18"/>
              </w:rPr>
            </w:pPr>
            <w:r w:rsidRPr="00E20D21">
              <w:rPr>
                <w:rFonts w:ascii="CAIXA Std Book" w:hAnsi="CAIXA Std Book" w:cs="Arial"/>
                <w:b/>
                <w:bCs/>
                <w:color w:val="005CA9"/>
                <w:sz w:val="18"/>
                <w:szCs w:val="18"/>
              </w:rPr>
              <w:t>100,00</w:t>
            </w:r>
          </w:p>
        </w:tc>
        <w:tc>
          <w:tcPr>
            <w:tcW w:w="793" w:type="pct"/>
            <w:tcBorders>
              <w:top w:val="nil"/>
              <w:left w:val="nil"/>
              <w:bottom w:val="single" w:sz="4" w:space="0" w:color="F39200"/>
              <w:right w:val="nil"/>
            </w:tcBorders>
            <w:vAlign w:val="center"/>
          </w:tcPr>
          <w:p w14:paraId="0C3EBF9F" w14:textId="6C7CD144"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1.119.820.258</w:t>
            </w:r>
          </w:p>
        </w:tc>
        <w:tc>
          <w:tcPr>
            <w:tcW w:w="434" w:type="pct"/>
            <w:tcBorders>
              <w:top w:val="nil"/>
              <w:left w:val="nil"/>
              <w:bottom w:val="single" w:sz="4" w:space="0" w:color="F39200"/>
              <w:right w:val="nil"/>
            </w:tcBorders>
            <w:vAlign w:val="center"/>
          </w:tcPr>
          <w:p w14:paraId="0C74A591" w14:textId="0B7503FC" w:rsidR="00785232" w:rsidRPr="00E20D21" w:rsidRDefault="00785232" w:rsidP="00785232">
            <w:pPr>
              <w:jc w:val="right"/>
              <w:rPr>
                <w:rFonts w:ascii="CAIXA Std Book" w:hAnsi="CAIXA Std Book"/>
                <w:b/>
                <w:color w:val="005CA9"/>
                <w:sz w:val="18"/>
                <w:szCs w:val="18"/>
              </w:rPr>
            </w:pPr>
            <w:r w:rsidRPr="00E20D21">
              <w:rPr>
                <w:rFonts w:ascii="CAIXA Std Book" w:hAnsi="CAIXA Std Book"/>
                <w:b/>
                <w:bCs/>
                <w:color w:val="005CA9"/>
                <w:sz w:val="18"/>
                <w:szCs w:val="18"/>
              </w:rPr>
              <w:t>100,00</w:t>
            </w:r>
          </w:p>
        </w:tc>
      </w:tr>
    </w:tbl>
    <w:p w14:paraId="4348C16C" w14:textId="70DA8288" w:rsidR="00BA44FA" w:rsidRPr="00E20D21" w:rsidRDefault="00B86255" w:rsidP="00B03B5B">
      <w:pPr>
        <w:spacing w:before="480"/>
        <w:jc w:val="both"/>
        <w:rPr>
          <w:rFonts w:ascii="CAIXA Std Book" w:hAnsi="CAIXA Std Book"/>
          <w:b/>
          <w:color w:val="005CA9"/>
          <w:sz w:val="20"/>
          <w:szCs w:val="20"/>
        </w:rPr>
      </w:pPr>
      <w:r w:rsidRPr="00E20D21">
        <w:rPr>
          <w:rFonts w:ascii="CAIXA Std Book" w:hAnsi="CAIXA Std Book"/>
          <w:b/>
          <w:color w:val="005CA9"/>
          <w:sz w:val="20"/>
          <w:szCs w:val="20"/>
        </w:rPr>
        <w:t>(d)</w:t>
      </w:r>
      <w:r w:rsidR="001F3E89" w:rsidRPr="00E20D21">
        <w:rPr>
          <w:rFonts w:ascii="CAIXA Std Book" w:hAnsi="CAIXA Std Book"/>
          <w:b/>
          <w:color w:val="005CA9"/>
          <w:sz w:val="20"/>
          <w:szCs w:val="20"/>
        </w:rPr>
        <w:tab/>
      </w:r>
      <w:r w:rsidR="009865A7" w:rsidRPr="00E20D21">
        <w:rPr>
          <w:rFonts w:ascii="CAIXA Std Book" w:hAnsi="CAIXA Std Book"/>
          <w:b/>
          <w:color w:val="005CA9"/>
          <w:sz w:val="20"/>
          <w:szCs w:val="20"/>
        </w:rPr>
        <w:t xml:space="preserve">Receita da </w:t>
      </w:r>
      <w:r w:rsidR="005B2F30" w:rsidRPr="00E20D21">
        <w:rPr>
          <w:rFonts w:ascii="CAIXA Std Book" w:hAnsi="CAIXA Std Book"/>
          <w:b/>
          <w:color w:val="005CA9"/>
          <w:sz w:val="20"/>
          <w:szCs w:val="20"/>
        </w:rPr>
        <w:t>c</w:t>
      </w:r>
      <w:r w:rsidR="009865A7" w:rsidRPr="00E20D21">
        <w:rPr>
          <w:rFonts w:ascii="CAIXA Std Book" w:hAnsi="CAIXA Std Book"/>
          <w:b/>
          <w:color w:val="005CA9"/>
          <w:sz w:val="20"/>
          <w:szCs w:val="20"/>
        </w:rPr>
        <w:t>arteira de crédito</w:t>
      </w:r>
    </w:p>
    <w:p w14:paraId="6F87F00F" w14:textId="050C3C4D" w:rsidR="00DB1D6F" w:rsidRPr="00E20D21" w:rsidRDefault="000D0BDE" w:rsidP="005B2F30">
      <w:pPr>
        <w:spacing w:before="240" w:after="240"/>
        <w:jc w:val="both"/>
        <w:rPr>
          <w:rFonts w:ascii="CAIXA Std Book" w:hAnsi="CAIXA Std Book"/>
          <w:color w:val="005CA9"/>
          <w:sz w:val="20"/>
          <w:szCs w:val="20"/>
        </w:rPr>
      </w:pPr>
      <w:r w:rsidRPr="00E20D21">
        <w:rPr>
          <w:rFonts w:ascii="CAIXA Std Book" w:hAnsi="CAIXA Std Book"/>
          <w:color w:val="005CA9"/>
          <w:sz w:val="20"/>
          <w:szCs w:val="20"/>
        </w:rPr>
        <w:t xml:space="preserve">A receita da Carteira de crédito apresentou variação entre o individual e o consolidado de R$ </w:t>
      </w:r>
      <w:r w:rsidR="00363FB8" w:rsidRPr="00E20D21">
        <w:rPr>
          <w:rFonts w:ascii="CAIXA Std Book" w:hAnsi="CAIXA Std Book"/>
          <w:color w:val="005CA9"/>
          <w:sz w:val="20"/>
          <w:szCs w:val="20"/>
        </w:rPr>
        <w:t>63.165</w:t>
      </w:r>
      <w:r w:rsidRPr="00E20D21">
        <w:rPr>
          <w:rFonts w:ascii="CAIXA Std Book" w:hAnsi="CAIXA Std Book"/>
          <w:color w:val="005CA9"/>
          <w:sz w:val="20"/>
          <w:szCs w:val="20"/>
        </w:rPr>
        <w:t xml:space="preserve"> no </w:t>
      </w:r>
      <w:r w:rsidR="00BB13EE" w:rsidRPr="00E20D21">
        <w:rPr>
          <w:rFonts w:ascii="CAIXA Std Book" w:hAnsi="CAIXA Std Book"/>
          <w:color w:val="005CA9"/>
          <w:sz w:val="20"/>
          <w:szCs w:val="20"/>
        </w:rPr>
        <w:t xml:space="preserve">1º semestre </w:t>
      </w:r>
      <w:proofErr w:type="gramStart"/>
      <w:r w:rsidR="00BB13EE" w:rsidRPr="00E20D21">
        <w:rPr>
          <w:rFonts w:ascii="CAIXA Std Book" w:hAnsi="CAIXA Std Book"/>
          <w:color w:val="005CA9"/>
          <w:sz w:val="20"/>
          <w:szCs w:val="20"/>
        </w:rPr>
        <w:t xml:space="preserve">de </w:t>
      </w:r>
      <w:r w:rsidRPr="00E20D21">
        <w:rPr>
          <w:rFonts w:ascii="CAIXA Std Book" w:hAnsi="CAIXA Std Book"/>
          <w:color w:val="005CA9"/>
          <w:sz w:val="20"/>
          <w:szCs w:val="20"/>
        </w:rPr>
        <w:t xml:space="preserve"> 202</w:t>
      </w:r>
      <w:r w:rsidR="00BB13EE" w:rsidRPr="00E20D21">
        <w:rPr>
          <w:rFonts w:ascii="CAIXA Std Book" w:hAnsi="CAIXA Std Book"/>
          <w:color w:val="005CA9"/>
          <w:sz w:val="20"/>
          <w:szCs w:val="20"/>
        </w:rPr>
        <w:t>4</w:t>
      </w:r>
      <w:proofErr w:type="gramEnd"/>
      <w:r w:rsidR="00BB13EE"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 (R$ </w:t>
      </w:r>
      <w:r w:rsidR="00560041" w:rsidRPr="00E20D21">
        <w:rPr>
          <w:rFonts w:ascii="CAIXA Std Book" w:hAnsi="CAIXA Std Book"/>
          <w:color w:val="005CA9"/>
          <w:sz w:val="20"/>
          <w:szCs w:val="20"/>
        </w:rPr>
        <w:t>51.745</w:t>
      </w:r>
      <w:r w:rsidRPr="00E20D21">
        <w:rPr>
          <w:rFonts w:ascii="CAIXA Std Book" w:hAnsi="CAIXA Std Book"/>
          <w:color w:val="005CA9"/>
          <w:sz w:val="20"/>
          <w:szCs w:val="20"/>
        </w:rPr>
        <w:t xml:space="preserve"> no </w:t>
      </w:r>
      <w:r w:rsidR="00813D7E" w:rsidRPr="00E20D21">
        <w:rPr>
          <w:rFonts w:ascii="CAIXA Std Book" w:hAnsi="CAIXA Std Book"/>
          <w:color w:val="005CA9"/>
          <w:sz w:val="20"/>
          <w:szCs w:val="20"/>
        </w:rPr>
        <w:t>1º semestre</w:t>
      </w:r>
      <w:r w:rsidRPr="00E20D21">
        <w:rPr>
          <w:rFonts w:ascii="CAIXA Std Book" w:hAnsi="CAIXA Std Book"/>
          <w:color w:val="005CA9"/>
          <w:sz w:val="20"/>
          <w:szCs w:val="20"/>
        </w:rPr>
        <w:t xml:space="preserve"> de 202</w:t>
      </w:r>
      <w:r w:rsidR="00813D7E" w:rsidRPr="00E20D21">
        <w:rPr>
          <w:rFonts w:ascii="CAIXA Std Book" w:hAnsi="CAIXA Std Book"/>
          <w:color w:val="005CA9"/>
          <w:sz w:val="20"/>
          <w:szCs w:val="20"/>
        </w:rPr>
        <w:t>3</w:t>
      </w:r>
      <w:r w:rsidRPr="00E20D21">
        <w:rPr>
          <w:rFonts w:ascii="CAIXA Std Book" w:hAnsi="CAIXA Std Book"/>
          <w:color w:val="005CA9"/>
          <w:sz w:val="20"/>
          <w:szCs w:val="20"/>
        </w:rPr>
        <w:t>)</w:t>
      </w:r>
      <w:r w:rsidR="00451986" w:rsidRPr="00E20D21">
        <w:rPr>
          <w:rFonts w:ascii="CAIXA Std Book" w:hAnsi="CAIXA Std Book"/>
          <w:color w:val="005CA9"/>
          <w:sz w:val="20"/>
          <w:szCs w:val="20"/>
        </w:rPr>
        <w:t>.</w:t>
      </w:r>
    </w:p>
    <w:tbl>
      <w:tblPr>
        <w:tblW w:w="5000" w:type="pct"/>
        <w:tblCellMar>
          <w:left w:w="70" w:type="dxa"/>
          <w:right w:w="70" w:type="dxa"/>
        </w:tblCellMar>
        <w:tblLook w:val="04A0" w:firstRow="1" w:lastRow="0" w:firstColumn="1" w:lastColumn="0" w:noHBand="0" w:noVBand="1"/>
      </w:tblPr>
      <w:tblGrid>
        <w:gridCol w:w="6095"/>
        <w:gridCol w:w="1808"/>
        <w:gridCol w:w="1735"/>
      </w:tblGrid>
      <w:tr w:rsidR="00A47C19" w:rsidRPr="00E20D21" w14:paraId="34E8BCBF" w14:textId="77777777" w:rsidTr="00495BFD">
        <w:trPr>
          <w:trHeight w:val="283"/>
        </w:trPr>
        <w:tc>
          <w:tcPr>
            <w:tcW w:w="5000" w:type="pct"/>
            <w:gridSpan w:val="3"/>
            <w:tcBorders>
              <w:top w:val="single" w:sz="4" w:space="0" w:color="F79646"/>
              <w:left w:val="nil"/>
              <w:bottom w:val="single" w:sz="4" w:space="0" w:color="F79646"/>
              <w:right w:val="nil"/>
            </w:tcBorders>
          </w:tcPr>
          <w:p w14:paraId="5A95CBB6" w14:textId="1FBD2BA0" w:rsidR="00F65B5D" w:rsidRPr="00E20D21" w:rsidRDefault="00F65B5D" w:rsidP="005E4170">
            <w:pPr>
              <w:jc w:val="center"/>
              <w:rPr>
                <w:rFonts w:ascii="CAIXA Std Book" w:hAnsi="CAIXA Std Book"/>
                <w:b/>
                <w:color w:val="005CA9"/>
                <w:sz w:val="18"/>
                <w:szCs w:val="18"/>
              </w:rPr>
            </w:pPr>
            <w:r w:rsidRPr="00E20D21">
              <w:rPr>
                <w:rFonts w:ascii="CAIXA Std Book" w:hAnsi="CAIXA Std Book"/>
                <w:b/>
                <w:color w:val="005CA9"/>
                <w:sz w:val="18"/>
                <w:szCs w:val="18"/>
              </w:rPr>
              <w:t>INDIVIDUAL</w:t>
            </w:r>
          </w:p>
        </w:tc>
      </w:tr>
      <w:tr w:rsidR="00A47C19" w:rsidRPr="00E20D21" w14:paraId="794E79F3" w14:textId="77777777" w:rsidTr="00561A05">
        <w:trPr>
          <w:trHeight w:val="283"/>
        </w:trPr>
        <w:tc>
          <w:tcPr>
            <w:tcW w:w="3162" w:type="pct"/>
            <w:vMerge w:val="restart"/>
            <w:tcBorders>
              <w:top w:val="single" w:sz="4" w:space="0" w:color="F79646"/>
              <w:left w:val="nil"/>
              <w:bottom w:val="single" w:sz="4" w:space="0" w:color="F79646"/>
              <w:right w:val="nil"/>
            </w:tcBorders>
            <w:shd w:val="clear" w:color="auto" w:fill="auto"/>
            <w:vAlign w:val="center"/>
            <w:hideMark/>
          </w:tcPr>
          <w:p w14:paraId="5F9DBAF5" w14:textId="5E90AD0E" w:rsidR="00F65B5D" w:rsidRPr="00E20D21" w:rsidRDefault="00F65B5D" w:rsidP="00E46E1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938" w:type="pct"/>
            <w:tcBorders>
              <w:top w:val="single" w:sz="4" w:space="0" w:color="F79646"/>
              <w:left w:val="nil"/>
              <w:bottom w:val="single" w:sz="4" w:space="0" w:color="F79646"/>
              <w:right w:val="nil"/>
            </w:tcBorders>
            <w:shd w:val="clear" w:color="auto" w:fill="auto"/>
            <w:vAlign w:val="center"/>
            <w:hideMark/>
          </w:tcPr>
          <w:p w14:paraId="629DFBE2" w14:textId="6A951413" w:rsidR="00F65B5D" w:rsidRPr="00E20D21" w:rsidRDefault="00F65B5D" w:rsidP="00813D7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900" w:type="pct"/>
            <w:tcBorders>
              <w:top w:val="single" w:sz="4" w:space="0" w:color="F79646"/>
              <w:left w:val="nil"/>
              <w:bottom w:val="single" w:sz="4" w:space="0" w:color="F79646"/>
              <w:right w:val="nil"/>
            </w:tcBorders>
            <w:shd w:val="clear" w:color="auto" w:fill="auto"/>
            <w:vAlign w:val="center"/>
          </w:tcPr>
          <w:p w14:paraId="119E949F" w14:textId="74BCA7C5" w:rsidR="00F65B5D" w:rsidRPr="00E20D21" w:rsidRDefault="00F65B5D" w:rsidP="00813D7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A47C19" w:rsidRPr="00E20D21" w14:paraId="36E1539B" w14:textId="77777777" w:rsidTr="00561A05">
        <w:trPr>
          <w:trHeight w:val="283"/>
        </w:trPr>
        <w:tc>
          <w:tcPr>
            <w:tcW w:w="3162" w:type="pct"/>
            <w:vMerge/>
            <w:tcBorders>
              <w:top w:val="single" w:sz="4" w:space="0" w:color="F79646"/>
              <w:left w:val="nil"/>
              <w:bottom w:val="single" w:sz="4" w:space="0" w:color="F79646"/>
              <w:right w:val="nil"/>
            </w:tcBorders>
            <w:vAlign w:val="center"/>
            <w:hideMark/>
          </w:tcPr>
          <w:p w14:paraId="52A9677F" w14:textId="77777777" w:rsidR="00F65B5D" w:rsidRPr="00E20D21" w:rsidRDefault="00F65B5D" w:rsidP="00F65B5D">
            <w:pPr>
              <w:jc w:val="center"/>
              <w:rPr>
                <w:rFonts w:ascii="CAIXA Std Book" w:eastAsia="Times New Roman" w:hAnsi="CAIXA Std Book" w:cs="Arial"/>
                <w:b/>
                <w:bCs/>
                <w:color w:val="005CA9"/>
                <w:sz w:val="18"/>
                <w:szCs w:val="18"/>
              </w:rPr>
            </w:pPr>
          </w:p>
        </w:tc>
        <w:tc>
          <w:tcPr>
            <w:tcW w:w="938" w:type="pct"/>
            <w:tcBorders>
              <w:top w:val="single" w:sz="4" w:space="0" w:color="F79646"/>
              <w:left w:val="nil"/>
              <w:bottom w:val="single" w:sz="4" w:space="0" w:color="F79646"/>
              <w:right w:val="nil"/>
            </w:tcBorders>
            <w:shd w:val="clear" w:color="auto" w:fill="auto"/>
            <w:noWrap/>
            <w:vAlign w:val="center"/>
          </w:tcPr>
          <w:p w14:paraId="47F455AB" w14:textId="3EEDDA3B" w:rsidR="00F65B5D" w:rsidRPr="00E20D21" w:rsidRDefault="00F65B5D" w:rsidP="00F65B5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900" w:type="pct"/>
            <w:tcBorders>
              <w:top w:val="single" w:sz="4" w:space="0" w:color="F79646"/>
              <w:left w:val="nil"/>
              <w:bottom w:val="single" w:sz="4" w:space="0" w:color="F79646"/>
              <w:right w:val="nil"/>
            </w:tcBorders>
            <w:vAlign w:val="center"/>
          </w:tcPr>
          <w:p w14:paraId="5961218B" w14:textId="191590F8" w:rsidR="00F65B5D" w:rsidRPr="00E20D21" w:rsidRDefault="00F65B5D" w:rsidP="00F65B5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AA5F67" w:rsidRPr="00E20D21" w14:paraId="5A83199B" w14:textId="77777777" w:rsidTr="00561A05">
        <w:trPr>
          <w:trHeight w:val="283"/>
        </w:trPr>
        <w:tc>
          <w:tcPr>
            <w:tcW w:w="3162" w:type="pct"/>
            <w:tcBorders>
              <w:top w:val="nil"/>
              <w:left w:val="nil"/>
              <w:right w:val="nil"/>
            </w:tcBorders>
            <w:shd w:val="clear" w:color="auto" w:fill="auto"/>
            <w:noWrap/>
            <w:vAlign w:val="center"/>
            <w:hideMark/>
          </w:tcPr>
          <w:p w14:paraId="2B8888AD" w14:textId="77777777" w:rsidR="00AA5F67" w:rsidRPr="00E20D21" w:rsidRDefault="00AA5F67" w:rsidP="00AA5F6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Financiamentos imobiliários</w:t>
            </w:r>
          </w:p>
        </w:tc>
        <w:tc>
          <w:tcPr>
            <w:tcW w:w="938" w:type="pct"/>
            <w:tcBorders>
              <w:top w:val="nil"/>
              <w:left w:val="nil"/>
              <w:right w:val="nil"/>
            </w:tcBorders>
            <w:shd w:val="clear" w:color="auto" w:fill="auto"/>
            <w:noWrap/>
            <w:vAlign w:val="center"/>
          </w:tcPr>
          <w:p w14:paraId="2FF012D1" w14:textId="152E5C9C"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30.748.521</w:t>
            </w:r>
          </w:p>
        </w:tc>
        <w:tc>
          <w:tcPr>
            <w:tcW w:w="900" w:type="pct"/>
            <w:tcBorders>
              <w:top w:val="nil"/>
              <w:left w:val="nil"/>
              <w:right w:val="nil"/>
            </w:tcBorders>
            <w:vAlign w:val="center"/>
          </w:tcPr>
          <w:p w14:paraId="280E97B8" w14:textId="45F0E081"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30.307.319</w:t>
            </w:r>
          </w:p>
        </w:tc>
      </w:tr>
      <w:tr w:rsidR="00AA5F67" w:rsidRPr="00E20D21" w14:paraId="3C3B881A" w14:textId="77777777" w:rsidTr="00561A05">
        <w:trPr>
          <w:trHeight w:val="283"/>
        </w:trPr>
        <w:tc>
          <w:tcPr>
            <w:tcW w:w="3162" w:type="pct"/>
            <w:tcBorders>
              <w:left w:val="nil"/>
              <w:bottom w:val="nil"/>
              <w:right w:val="nil"/>
            </w:tcBorders>
            <w:shd w:val="clear" w:color="auto" w:fill="auto"/>
            <w:vAlign w:val="center"/>
            <w:hideMark/>
          </w:tcPr>
          <w:p w14:paraId="727A471E" w14:textId="77777777" w:rsidR="00AA5F67" w:rsidRPr="00E20D21" w:rsidRDefault="00AA5F67" w:rsidP="00AA5F6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Empréstimos, títulos descontados e financiamentos</w:t>
            </w:r>
          </w:p>
        </w:tc>
        <w:tc>
          <w:tcPr>
            <w:tcW w:w="938" w:type="pct"/>
            <w:tcBorders>
              <w:left w:val="nil"/>
              <w:bottom w:val="nil"/>
              <w:right w:val="nil"/>
            </w:tcBorders>
            <w:shd w:val="clear" w:color="auto" w:fill="auto"/>
            <w:noWrap/>
            <w:vAlign w:val="center"/>
          </w:tcPr>
          <w:p w14:paraId="580734BF" w14:textId="2EA38971"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20.856.671</w:t>
            </w:r>
          </w:p>
        </w:tc>
        <w:tc>
          <w:tcPr>
            <w:tcW w:w="900" w:type="pct"/>
            <w:tcBorders>
              <w:left w:val="nil"/>
              <w:bottom w:val="nil"/>
              <w:right w:val="nil"/>
            </w:tcBorders>
            <w:vAlign w:val="center"/>
          </w:tcPr>
          <w:p w14:paraId="277F5E20" w14:textId="5D5B6D73"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21.552.372</w:t>
            </w:r>
          </w:p>
        </w:tc>
      </w:tr>
      <w:tr w:rsidR="00AA5F67" w:rsidRPr="00E20D21" w14:paraId="50E3D451" w14:textId="77777777" w:rsidTr="00561A05">
        <w:trPr>
          <w:trHeight w:val="283"/>
        </w:trPr>
        <w:tc>
          <w:tcPr>
            <w:tcW w:w="3162" w:type="pct"/>
            <w:tcBorders>
              <w:top w:val="nil"/>
              <w:left w:val="nil"/>
              <w:bottom w:val="nil"/>
              <w:right w:val="nil"/>
            </w:tcBorders>
            <w:shd w:val="clear" w:color="auto" w:fill="auto"/>
            <w:noWrap/>
            <w:vAlign w:val="center"/>
            <w:hideMark/>
          </w:tcPr>
          <w:p w14:paraId="52E1202A" w14:textId="77777777" w:rsidR="00AA5F67" w:rsidRPr="00E20D21" w:rsidRDefault="00AA5F67" w:rsidP="00AA5F6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Financiamentos de infraestrutura e desenvolvimento</w:t>
            </w:r>
          </w:p>
        </w:tc>
        <w:tc>
          <w:tcPr>
            <w:tcW w:w="938" w:type="pct"/>
            <w:tcBorders>
              <w:top w:val="nil"/>
              <w:left w:val="nil"/>
              <w:bottom w:val="nil"/>
              <w:right w:val="nil"/>
            </w:tcBorders>
            <w:shd w:val="clear" w:color="auto" w:fill="auto"/>
            <w:noWrap/>
            <w:vAlign w:val="center"/>
          </w:tcPr>
          <w:p w14:paraId="219BD97B" w14:textId="52DC7370"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4.841.660</w:t>
            </w:r>
          </w:p>
        </w:tc>
        <w:tc>
          <w:tcPr>
            <w:tcW w:w="900" w:type="pct"/>
            <w:tcBorders>
              <w:top w:val="nil"/>
              <w:left w:val="nil"/>
              <w:bottom w:val="nil"/>
              <w:right w:val="nil"/>
            </w:tcBorders>
            <w:vAlign w:val="center"/>
          </w:tcPr>
          <w:p w14:paraId="72F2FE93" w14:textId="7C740F04"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5.418.150</w:t>
            </w:r>
          </w:p>
        </w:tc>
      </w:tr>
      <w:tr w:rsidR="00AA5F67" w:rsidRPr="00E20D21" w14:paraId="3DBB146F" w14:textId="77777777" w:rsidTr="00561A05">
        <w:trPr>
          <w:trHeight w:val="283"/>
        </w:trPr>
        <w:tc>
          <w:tcPr>
            <w:tcW w:w="3162" w:type="pct"/>
            <w:tcBorders>
              <w:top w:val="nil"/>
              <w:left w:val="nil"/>
              <w:right w:val="nil"/>
            </w:tcBorders>
            <w:shd w:val="clear" w:color="auto" w:fill="auto"/>
            <w:vAlign w:val="center"/>
            <w:hideMark/>
          </w:tcPr>
          <w:p w14:paraId="4F54FB6B" w14:textId="77777777" w:rsidR="00AA5F67" w:rsidRPr="00E20D21" w:rsidRDefault="00AA5F67" w:rsidP="00AA5F6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Financiamentos rurais e agroindustriais</w:t>
            </w:r>
          </w:p>
        </w:tc>
        <w:tc>
          <w:tcPr>
            <w:tcW w:w="938" w:type="pct"/>
            <w:tcBorders>
              <w:top w:val="nil"/>
              <w:left w:val="nil"/>
              <w:right w:val="nil"/>
            </w:tcBorders>
            <w:shd w:val="clear" w:color="auto" w:fill="auto"/>
            <w:noWrap/>
            <w:vAlign w:val="center"/>
          </w:tcPr>
          <w:p w14:paraId="0A3E2977" w14:textId="6E458326"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3.133.603</w:t>
            </w:r>
          </w:p>
        </w:tc>
        <w:tc>
          <w:tcPr>
            <w:tcW w:w="900" w:type="pct"/>
            <w:tcBorders>
              <w:top w:val="nil"/>
              <w:left w:val="nil"/>
              <w:right w:val="nil"/>
            </w:tcBorders>
            <w:vAlign w:val="center"/>
          </w:tcPr>
          <w:p w14:paraId="0DC97BCC" w14:textId="08653D14"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2.635.342</w:t>
            </w:r>
          </w:p>
        </w:tc>
      </w:tr>
      <w:tr w:rsidR="00AA5F67" w:rsidRPr="00E20D21" w14:paraId="1B5405CD" w14:textId="77777777" w:rsidTr="00561A05">
        <w:trPr>
          <w:trHeight w:val="283"/>
        </w:trPr>
        <w:tc>
          <w:tcPr>
            <w:tcW w:w="3162" w:type="pct"/>
            <w:tcBorders>
              <w:top w:val="nil"/>
              <w:left w:val="nil"/>
              <w:right w:val="nil"/>
            </w:tcBorders>
            <w:shd w:val="clear" w:color="auto" w:fill="auto"/>
            <w:noWrap/>
            <w:vAlign w:val="center"/>
            <w:hideMark/>
          </w:tcPr>
          <w:p w14:paraId="4D0BAE41" w14:textId="77777777" w:rsidR="00AA5F67" w:rsidRPr="00E20D21" w:rsidRDefault="00AA5F67" w:rsidP="00AA5F6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Resultado da venda ou transferência de ativos financeiros</w:t>
            </w:r>
          </w:p>
        </w:tc>
        <w:tc>
          <w:tcPr>
            <w:tcW w:w="938" w:type="pct"/>
            <w:tcBorders>
              <w:top w:val="nil"/>
              <w:left w:val="nil"/>
              <w:right w:val="nil"/>
            </w:tcBorders>
            <w:shd w:val="clear" w:color="auto" w:fill="auto"/>
            <w:noWrap/>
            <w:vAlign w:val="center"/>
          </w:tcPr>
          <w:p w14:paraId="5428DBD6" w14:textId="7BC5457B"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12.101</w:t>
            </w:r>
          </w:p>
        </w:tc>
        <w:tc>
          <w:tcPr>
            <w:tcW w:w="900" w:type="pct"/>
            <w:tcBorders>
              <w:top w:val="nil"/>
              <w:left w:val="nil"/>
              <w:right w:val="nil"/>
            </w:tcBorders>
            <w:vAlign w:val="center"/>
          </w:tcPr>
          <w:p w14:paraId="3E8693FB" w14:textId="6943F0C2" w:rsidR="00AA5F67" w:rsidRPr="00E20D21" w:rsidRDefault="00643E15"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25.360</w:t>
            </w:r>
          </w:p>
        </w:tc>
      </w:tr>
      <w:tr w:rsidR="00AA5F67" w:rsidRPr="00E20D21" w14:paraId="09C76FB6" w14:textId="77777777" w:rsidTr="00561A05">
        <w:trPr>
          <w:trHeight w:val="283"/>
        </w:trPr>
        <w:tc>
          <w:tcPr>
            <w:tcW w:w="3162" w:type="pct"/>
            <w:tcBorders>
              <w:left w:val="nil"/>
              <w:bottom w:val="single" w:sz="4" w:space="0" w:color="F79646"/>
              <w:right w:val="nil"/>
            </w:tcBorders>
            <w:shd w:val="clear" w:color="auto" w:fill="auto"/>
            <w:noWrap/>
            <w:vAlign w:val="center"/>
            <w:hideMark/>
          </w:tcPr>
          <w:p w14:paraId="016F3D41" w14:textId="77777777" w:rsidR="00AA5F67" w:rsidRPr="00E20D21" w:rsidRDefault="00AA5F67" w:rsidP="00AA5F6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Créditos por avais e fiança</w:t>
            </w:r>
          </w:p>
        </w:tc>
        <w:tc>
          <w:tcPr>
            <w:tcW w:w="938" w:type="pct"/>
            <w:tcBorders>
              <w:left w:val="nil"/>
              <w:bottom w:val="single" w:sz="4" w:space="0" w:color="F79646"/>
              <w:right w:val="nil"/>
            </w:tcBorders>
            <w:shd w:val="clear" w:color="auto" w:fill="auto"/>
            <w:noWrap/>
            <w:vAlign w:val="center"/>
          </w:tcPr>
          <w:p w14:paraId="238D876F" w14:textId="5A07897A" w:rsidR="00AA5F67" w:rsidRPr="00E20D21" w:rsidRDefault="00AA5F67"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2.848</w:t>
            </w:r>
          </w:p>
        </w:tc>
        <w:tc>
          <w:tcPr>
            <w:tcW w:w="900" w:type="pct"/>
            <w:tcBorders>
              <w:left w:val="nil"/>
              <w:bottom w:val="single" w:sz="4" w:space="0" w:color="F79646"/>
              <w:right w:val="nil"/>
            </w:tcBorders>
            <w:vAlign w:val="center"/>
          </w:tcPr>
          <w:p w14:paraId="0791763C" w14:textId="08A6CC50" w:rsidR="00AA5F67" w:rsidRPr="00E20D21" w:rsidRDefault="00643E15" w:rsidP="00AA5F67">
            <w:pPr>
              <w:ind w:firstLineChars="200" w:firstLine="360"/>
              <w:jc w:val="right"/>
              <w:rPr>
                <w:rFonts w:ascii="CAIXA Std Book" w:hAnsi="CAIXA Std Book" w:cs="Arial"/>
                <w:color w:val="005CA9"/>
                <w:sz w:val="18"/>
                <w:szCs w:val="18"/>
              </w:rPr>
            </w:pPr>
            <w:r w:rsidRPr="00E20D21">
              <w:rPr>
                <w:rFonts w:ascii="CAIXA Std Book" w:hAnsi="CAIXA Std Book" w:cs="Arial"/>
                <w:color w:val="005CA9"/>
                <w:sz w:val="18"/>
                <w:szCs w:val="18"/>
              </w:rPr>
              <w:t>3.503</w:t>
            </w:r>
          </w:p>
        </w:tc>
      </w:tr>
      <w:tr w:rsidR="00AA5F67" w:rsidRPr="00E20D21" w14:paraId="608B0ED8" w14:textId="77777777" w:rsidTr="00561A05">
        <w:trPr>
          <w:trHeight w:val="283"/>
        </w:trPr>
        <w:tc>
          <w:tcPr>
            <w:tcW w:w="3162" w:type="pct"/>
            <w:tcBorders>
              <w:top w:val="single" w:sz="4" w:space="0" w:color="F79646"/>
              <w:left w:val="nil"/>
              <w:bottom w:val="single" w:sz="4" w:space="0" w:color="F79646" w:themeColor="accent6"/>
              <w:right w:val="nil"/>
            </w:tcBorders>
            <w:shd w:val="clear" w:color="auto" w:fill="auto"/>
            <w:noWrap/>
            <w:vAlign w:val="center"/>
            <w:hideMark/>
          </w:tcPr>
          <w:p w14:paraId="54E00B1D" w14:textId="77777777" w:rsidR="00AA5F67" w:rsidRPr="00E20D21" w:rsidRDefault="00AA5F67" w:rsidP="00AA5F6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938" w:type="pct"/>
            <w:tcBorders>
              <w:top w:val="single" w:sz="4" w:space="0" w:color="F79646"/>
              <w:left w:val="nil"/>
              <w:bottom w:val="single" w:sz="4" w:space="0" w:color="F79646" w:themeColor="accent6"/>
              <w:right w:val="nil"/>
            </w:tcBorders>
            <w:shd w:val="clear" w:color="auto" w:fill="auto"/>
            <w:noWrap/>
            <w:vAlign w:val="center"/>
          </w:tcPr>
          <w:p w14:paraId="32174BE6" w14:textId="6E31E8A8" w:rsidR="00AA5F67" w:rsidRPr="00E20D21" w:rsidRDefault="00AA5F67" w:rsidP="00AA5F67">
            <w:pPr>
              <w:jc w:val="right"/>
              <w:rPr>
                <w:rFonts w:ascii="CAIXA Std Book" w:hAnsi="CAIXA Std Book" w:cs="Arial"/>
                <w:b/>
                <w:color w:val="005CA9"/>
                <w:sz w:val="18"/>
                <w:szCs w:val="18"/>
              </w:rPr>
            </w:pPr>
            <w:r w:rsidRPr="00E20D21">
              <w:rPr>
                <w:rFonts w:ascii="CAIXA Std Book" w:hAnsi="CAIXA Std Book" w:cs="Arial"/>
                <w:b/>
                <w:color w:val="005CA9"/>
                <w:sz w:val="18"/>
                <w:szCs w:val="18"/>
              </w:rPr>
              <w:t>59.595.404</w:t>
            </w:r>
          </w:p>
        </w:tc>
        <w:tc>
          <w:tcPr>
            <w:tcW w:w="900" w:type="pct"/>
            <w:tcBorders>
              <w:top w:val="single" w:sz="4" w:space="0" w:color="F79646"/>
              <w:left w:val="nil"/>
              <w:bottom w:val="single" w:sz="4" w:space="0" w:color="F79646" w:themeColor="accent6"/>
              <w:right w:val="nil"/>
            </w:tcBorders>
            <w:vAlign w:val="center"/>
          </w:tcPr>
          <w:p w14:paraId="335AF9A5" w14:textId="1D164652" w:rsidR="00AA5F67" w:rsidRPr="00E20D21" w:rsidRDefault="00AA5F67" w:rsidP="00AA5F67">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59.942.046</w:t>
            </w:r>
          </w:p>
        </w:tc>
      </w:tr>
    </w:tbl>
    <w:p w14:paraId="7E40E427" w14:textId="627F6A08" w:rsidR="00366B84" w:rsidRPr="00E20D21" w:rsidRDefault="00366B84" w:rsidP="00112BDB">
      <w:pPr>
        <w:pStyle w:val="PargrafodaLista"/>
        <w:keepNext/>
        <w:numPr>
          <w:ilvl w:val="0"/>
          <w:numId w:val="11"/>
        </w:numPr>
        <w:spacing w:before="480" w:after="240"/>
        <w:ind w:left="709" w:hanging="709"/>
        <w:contextualSpacing w:val="0"/>
        <w:jc w:val="both"/>
        <w:rPr>
          <w:rFonts w:ascii="CAIXA Std Book" w:hAnsi="CAIXA Std Book"/>
          <w:b/>
          <w:color w:val="005CA9"/>
          <w:sz w:val="20"/>
          <w:szCs w:val="20"/>
        </w:rPr>
      </w:pPr>
      <w:r w:rsidRPr="00E20D21">
        <w:rPr>
          <w:rFonts w:ascii="CAIXA Std Book" w:hAnsi="CAIXA Std Book"/>
          <w:b/>
          <w:color w:val="005CA9"/>
          <w:sz w:val="20"/>
          <w:szCs w:val="20"/>
        </w:rPr>
        <w:lastRenderedPageBreak/>
        <w:t>Operações de venda ou transferência de ativos financeiros</w:t>
      </w:r>
    </w:p>
    <w:p w14:paraId="735A3337" w14:textId="3FD1B6BF" w:rsidR="00EC2DBB" w:rsidRPr="00E20D21" w:rsidRDefault="00366B84" w:rsidP="00470CF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Resolução CMN nº 3.533/2008 estabelece procedimentos para a classificação, registro contábil e divulgação das operações de venda ou de transferência de ativos financeiros</w:t>
      </w:r>
      <w:r w:rsidR="00646077" w:rsidRPr="00E20D21">
        <w:rPr>
          <w:rFonts w:ascii="CAIXA Std Book" w:hAnsi="CAIXA Std Book"/>
          <w:color w:val="005CA9"/>
          <w:sz w:val="20"/>
          <w:szCs w:val="20"/>
        </w:rPr>
        <w:t xml:space="preserve">. </w:t>
      </w:r>
    </w:p>
    <w:p w14:paraId="5F270AA7" w14:textId="51BCDDE1" w:rsidR="00421F2E" w:rsidRPr="00E20D21" w:rsidRDefault="00421F2E" w:rsidP="00112BDB">
      <w:p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w:t>
      </w:r>
      <w:r w:rsidR="00B03B5B" w:rsidRPr="00E20D21">
        <w:rPr>
          <w:rFonts w:ascii="CAIXA Std Book" w:hAnsi="CAIXA Std Book"/>
          <w:b/>
          <w:color w:val="005CA9"/>
          <w:sz w:val="20"/>
          <w:szCs w:val="20"/>
        </w:rPr>
        <w:t>e</w:t>
      </w:r>
      <w:r w:rsidRPr="00E20D21">
        <w:rPr>
          <w:rFonts w:ascii="CAIXA Std Book" w:hAnsi="CAIXA Std Book"/>
          <w:b/>
          <w:color w:val="005CA9"/>
          <w:sz w:val="20"/>
          <w:szCs w:val="20"/>
        </w:rPr>
        <w:t>.1)</w:t>
      </w:r>
      <w:r w:rsidRPr="00E20D21">
        <w:rPr>
          <w:rFonts w:ascii="CAIXA Std Book" w:hAnsi="CAIXA Std Book"/>
          <w:b/>
          <w:color w:val="005CA9"/>
          <w:sz w:val="20"/>
          <w:szCs w:val="20"/>
        </w:rPr>
        <w:tab/>
        <w:t>Rendas vinculadas a aquisição de carteiras de crédito</w:t>
      </w:r>
      <w:r w:rsidR="00FC344A" w:rsidRPr="00E20D21">
        <w:rPr>
          <w:rFonts w:ascii="CAIXA Std Book" w:hAnsi="CAIXA Std Book"/>
          <w:b/>
          <w:color w:val="005CA9"/>
          <w:sz w:val="20"/>
          <w:szCs w:val="20"/>
        </w:rPr>
        <w:t xml:space="preserve"> </w:t>
      </w:r>
    </w:p>
    <w:tbl>
      <w:tblPr>
        <w:tblW w:w="5000" w:type="pct"/>
        <w:tblCellMar>
          <w:left w:w="70" w:type="dxa"/>
          <w:right w:w="70" w:type="dxa"/>
        </w:tblCellMar>
        <w:tblLook w:val="04A0" w:firstRow="1" w:lastRow="0" w:firstColumn="1" w:lastColumn="0" w:noHBand="0" w:noVBand="1"/>
      </w:tblPr>
      <w:tblGrid>
        <w:gridCol w:w="5920"/>
        <w:gridCol w:w="1858"/>
        <w:gridCol w:w="1860"/>
      </w:tblGrid>
      <w:tr w:rsidR="000E169B" w:rsidRPr="00E20D21" w14:paraId="081C65D4" w14:textId="77777777" w:rsidTr="009F7391">
        <w:trPr>
          <w:trHeight w:val="283"/>
        </w:trPr>
        <w:tc>
          <w:tcPr>
            <w:tcW w:w="5000" w:type="pct"/>
            <w:gridSpan w:val="3"/>
            <w:tcBorders>
              <w:top w:val="single" w:sz="4" w:space="0" w:color="F79646"/>
              <w:left w:val="nil"/>
              <w:bottom w:val="single" w:sz="4" w:space="0" w:color="F79646"/>
              <w:right w:val="nil"/>
            </w:tcBorders>
            <w:vAlign w:val="center"/>
          </w:tcPr>
          <w:p w14:paraId="216DB097" w14:textId="2A79515F" w:rsidR="000E169B" w:rsidRPr="00E20D21" w:rsidRDefault="000E169B">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INDIVIDUAL</w:t>
            </w:r>
            <w:r w:rsidR="00E20D21">
              <w:rPr>
                <w:rFonts w:ascii="CAIXA Std Book" w:eastAsia="Times New Roman" w:hAnsi="CAIXA Std Book" w:cs="Arial"/>
                <w:b/>
                <w:color w:val="005CA9"/>
                <w:sz w:val="18"/>
                <w:szCs w:val="18"/>
              </w:rPr>
              <w:t xml:space="preserve"> </w:t>
            </w:r>
            <w:r w:rsidRPr="00E20D21">
              <w:rPr>
                <w:rFonts w:ascii="CAIXA Std Book" w:eastAsia="Times New Roman" w:hAnsi="CAIXA Std Book" w:cs="Arial"/>
                <w:b/>
                <w:color w:val="005CA9"/>
                <w:sz w:val="18"/>
                <w:szCs w:val="18"/>
              </w:rPr>
              <w:t>/</w:t>
            </w:r>
            <w:r w:rsidR="00E20D21">
              <w:rPr>
                <w:rFonts w:ascii="CAIXA Std Book" w:eastAsia="Times New Roman" w:hAnsi="CAIXA Std Book" w:cs="Arial"/>
                <w:b/>
                <w:color w:val="005CA9"/>
                <w:sz w:val="18"/>
                <w:szCs w:val="18"/>
              </w:rPr>
              <w:t xml:space="preserve"> </w:t>
            </w:r>
            <w:r w:rsidRPr="00E20D21">
              <w:rPr>
                <w:rFonts w:ascii="CAIXA Std Book" w:eastAsia="Times New Roman" w:hAnsi="CAIXA Std Book" w:cs="Arial"/>
                <w:b/>
                <w:color w:val="005CA9"/>
                <w:sz w:val="18"/>
                <w:szCs w:val="18"/>
              </w:rPr>
              <w:t>CONSOLIDADO</w:t>
            </w:r>
          </w:p>
        </w:tc>
      </w:tr>
      <w:tr w:rsidR="000E169B" w:rsidRPr="00E20D21" w14:paraId="5EDE5908" w14:textId="77777777" w:rsidTr="009F7391">
        <w:trPr>
          <w:trHeight w:val="283"/>
        </w:trPr>
        <w:tc>
          <w:tcPr>
            <w:tcW w:w="3071" w:type="pct"/>
            <w:vMerge w:val="restart"/>
            <w:tcBorders>
              <w:top w:val="single" w:sz="4" w:space="0" w:color="F79646"/>
              <w:left w:val="nil"/>
              <w:bottom w:val="single" w:sz="4" w:space="0" w:color="F79646"/>
              <w:right w:val="nil"/>
            </w:tcBorders>
            <w:shd w:val="clear" w:color="auto" w:fill="auto"/>
            <w:vAlign w:val="center"/>
            <w:hideMark/>
          </w:tcPr>
          <w:p w14:paraId="447B28BE" w14:textId="77777777" w:rsidR="000E169B" w:rsidRPr="00E20D21" w:rsidRDefault="000E169B">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Descrição</w:t>
            </w:r>
          </w:p>
        </w:tc>
        <w:tc>
          <w:tcPr>
            <w:tcW w:w="964" w:type="pct"/>
            <w:tcBorders>
              <w:top w:val="single" w:sz="4" w:space="0" w:color="F79646"/>
              <w:left w:val="nil"/>
              <w:bottom w:val="single" w:sz="4" w:space="0" w:color="F79646"/>
              <w:right w:val="nil"/>
            </w:tcBorders>
            <w:shd w:val="clear" w:color="auto" w:fill="auto"/>
            <w:vAlign w:val="center"/>
            <w:hideMark/>
          </w:tcPr>
          <w:p w14:paraId="43D6D9BD" w14:textId="77777777" w:rsidR="000E169B" w:rsidRPr="00E20D21" w:rsidRDefault="000E169B">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2024</w:t>
            </w:r>
          </w:p>
        </w:tc>
        <w:tc>
          <w:tcPr>
            <w:tcW w:w="965" w:type="pct"/>
            <w:tcBorders>
              <w:top w:val="single" w:sz="4" w:space="0" w:color="F79646"/>
              <w:left w:val="nil"/>
              <w:bottom w:val="single" w:sz="4" w:space="0" w:color="F79646"/>
              <w:right w:val="nil"/>
            </w:tcBorders>
            <w:shd w:val="clear" w:color="auto" w:fill="auto"/>
            <w:vAlign w:val="center"/>
          </w:tcPr>
          <w:p w14:paraId="246C03E6" w14:textId="77777777" w:rsidR="000E169B" w:rsidRPr="00E20D21" w:rsidRDefault="000E169B">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2023</w:t>
            </w:r>
          </w:p>
        </w:tc>
      </w:tr>
      <w:tr w:rsidR="000E169B" w:rsidRPr="00E20D21" w14:paraId="783BB582" w14:textId="77777777" w:rsidTr="009F7391">
        <w:trPr>
          <w:trHeight w:val="283"/>
        </w:trPr>
        <w:tc>
          <w:tcPr>
            <w:tcW w:w="3071" w:type="pct"/>
            <w:vMerge/>
            <w:tcBorders>
              <w:top w:val="single" w:sz="4" w:space="0" w:color="F79646"/>
              <w:left w:val="nil"/>
              <w:bottom w:val="single" w:sz="4" w:space="0" w:color="F79646"/>
              <w:right w:val="nil"/>
            </w:tcBorders>
            <w:vAlign w:val="center"/>
            <w:hideMark/>
          </w:tcPr>
          <w:p w14:paraId="130A76E1" w14:textId="77777777" w:rsidR="000E169B" w:rsidRPr="00E20D21" w:rsidRDefault="000E169B">
            <w:pPr>
              <w:jc w:val="center"/>
              <w:rPr>
                <w:rFonts w:ascii="CAIXA Std Book" w:eastAsia="Times New Roman" w:hAnsi="CAIXA Std Book" w:cs="Arial"/>
                <w:b/>
                <w:color w:val="005CA9"/>
                <w:sz w:val="18"/>
                <w:szCs w:val="18"/>
              </w:rPr>
            </w:pPr>
          </w:p>
        </w:tc>
        <w:tc>
          <w:tcPr>
            <w:tcW w:w="964" w:type="pct"/>
            <w:tcBorders>
              <w:top w:val="single" w:sz="4" w:space="0" w:color="F79646"/>
              <w:left w:val="nil"/>
              <w:bottom w:val="single" w:sz="4" w:space="0" w:color="F79646"/>
              <w:right w:val="nil"/>
            </w:tcBorders>
            <w:shd w:val="clear" w:color="auto" w:fill="auto"/>
            <w:noWrap/>
            <w:vAlign w:val="center"/>
          </w:tcPr>
          <w:p w14:paraId="137F4997" w14:textId="77777777" w:rsidR="000E169B" w:rsidRPr="00E20D21" w:rsidRDefault="000E169B">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1º semestre</w:t>
            </w:r>
          </w:p>
        </w:tc>
        <w:tc>
          <w:tcPr>
            <w:tcW w:w="965" w:type="pct"/>
            <w:tcBorders>
              <w:top w:val="single" w:sz="4" w:space="0" w:color="F79646"/>
              <w:left w:val="nil"/>
              <w:bottom w:val="single" w:sz="4" w:space="0" w:color="F79646"/>
              <w:right w:val="nil"/>
            </w:tcBorders>
            <w:vAlign w:val="center"/>
          </w:tcPr>
          <w:p w14:paraId="1536F402" w14:textId="77777777" w:rsidR="000E169B" w:rsidRPr="00E20D21" w:rsidRDefault="000E169B">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1º semestre</w:t>
            </w:r>
          </w:p>
        </w:tc>
      </w:tr>
      <w:tr w:rsidR="00220CF1" w:rsidRPr="00E20D21" w14:paraId="31FF0948" w14:textId="77777777" w:rsidTr="009F7391">
        <w:trPr>
          <w:trHeight w:val="283"/>
        </w:trPr>
        <w:tc>
          <w:tcPr>
            <w:tcW w:w="3071" w:type="pct"/>
            <w:tcBorders>
              <w:top w:val="single" w:sz="4" w:space="0" w:color="F79646"/>
              <w:left w:val="nil"/>
              <w:right w:val="nil"/>
            </w:tcBorders>
            <w:shd w:val="clear" w:color="auto" w:fill="auto"/>
            <w:vAlign w:val="center"/>
          </w:tcPr>
          <w:p w14:paraId="25AF32B1" w14:textId="615C85FB" w:rsidR="00220CF1" w:rsidRPr="00E20D21" w:rsidRDefault="00220CF1" w:rsidP="00220CF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Carteiras adquiridas com coobrigação</w:t>
            </w:r>
          </w:p>
        </w:tc>
        <w:tc>
          <w:tcPr>
            <w:tcW w:w="964" w:type="pct"/>
            <w:tcBorders>
              <w:top w:val="single" w:sz="4" w:space="0" w:color="F79646"/>
              <w:left w:val="nil"/>
              <w:right w:val="nil"/>
            </w:tcBorders>
            <w:shd w:val="clear" w:color="auto" w:fill="auto"/>
            <w:vAlign w:val="center"/>
          </w:tcPr>
          <w:p w14:paraId="4D386A85" w14:textId="0A1C590F" w:rsidR="00220CF1" w:rsidRPr="00E20D21" w:rsidRDefault="00220CF1" w:rsidP="009F7391">
            <w:pPr>
              <w:jc w:val="right"/>
              <w:rPr>
                <w:rFonts w:ascii="CAIXA Std Book" w:eastAsia="Times New Roman" w:hAnsi="CAIXA Std Book" w:cs="Arial"/>
                <w:b/>
                <w:color w:val="005CA9"/>
                <w:sz w:val="18"/>
                <w:szCs w:val="18"/>
              </w:rPr>
            </w:pPr>
            <w:r w:rsidRPr="00E20D21">
              <w:rPr>
                <w:rFonts w:ascii="CAIXA Std Book" w:hAnsi="CAIXA Std Book" w:cs="Arial"/>
                <w:color w:val="005CA9"/>
                <w:sz w:val="18"/>
                <w:szCs w:val="18"/>
              </w:rPr>
              <w:t>23.458</w:t>
            </w:r>
          </w:p>
        </w:tc>
        <w:tc>
          <w:tcPr>
            <w:tcW w:w="965" w:type="pct"/>
            <w:tcBorders>
              <w:top w:val="single" w:sz="4" w:space="0" w:color="F79646"/>
              <w:left w:val="nil"/>
              <w:right w:val="nil"/>
            </w:tcBorders>
            <w:vAlign w:val="center"/>
          </w:tcPr>
          <w:p w14:paraId="085B4F54" w14:textId="491685AC" w:rsidR="00220CF1" w:rsidRPr="00E20D21" w:rsidRDefault="00220CF1" w:rsidP="00220CF1">
            <w:pPr>
              <w:jc w:val="right"/>
              <w:rPr>
                <w:rFonts w:ascii="CAIXA Std Book" w:eastAsia="Times New Roman" w:hAnsi="CAIXA Std Book" w:cs="Arial"/>
                <w:b/>
                <w:color w:val="005CA9"/>
                <w:sz w:val="18"/>
                <w:szCs w:val="18"/>
              </w:rPr>
            </w:pPr>
            <w:r w:rsidRPr="00E20D21">
              <w:rPr>
                <w:rFonts w:ascii="CAIXA Std Book" w:hAnsi="CAIXA Std Book" w:cs="Arial"/>
                <w:color w:val="005CA9"/>
                <w:sz w:val="18"/>
                <w:szCs w:val="18"/>
              </w:rPr>
              <w:t>46.519</w:t>
            </w:r>
          </w:p>
        </w:tc>
      </w:tr>
      <w:tr w:rsidR="00220CF1" w:rsidRPr="00E20D21" w14:paraId="37150495" w14:textId="77777777" w:rsidTr="009F7391">
        <w:trPr>
          <w:trHeight w:val="283"/>
        </w:trPr>
        <w:tc>
          <w:tcPr>
            <w:tcW w:w="3071" w:type="pct"/>
            <w:tcBorders>
              <w:left w:val="nil"/>
              <w:bottom w:val="single" w:sz="4" w:space="0" w:color="F79646"/>
              <w:right w:val="nil"/>
            </w:tcBorders>
            <w:shd w:val="clear" w:color="auto" w:fill="auto"/>
            <w:vAlign w:val="center"/>
          </w:tcPr>
          <w:p w14:paraId="2013D8BD" w14:textId="44F84B0E" w:rsidR="00220CF1" w:rsidRPr="00E20D21" w:rsidRDefault="00220CF1" w:rsidP="00220CF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Carteiras adquiridas sem coobrigação</w:t>
            </w:r>
          </w:p>
        </w:tc>
        <w:tc>
          <w:tcPr>
            <w:tcW w:w="964" w:type="pct"/>
            <w:tcBorders>
              <w:left w:val="nil"/>
              <w:bottom w:val="single" w:sz="4" w:space="0" w:color="F79646"/>
              <w:right w:val="nil"/>
            </w:tcBorders>
            <w:shd w:val="clear" w:color="auto" w:fill="auto"/>
            <w:vAlign w:val="center"/>
          </w:tcPr>
          <w:p w14:paraId="346E8C60" w14:textId="7C914094" w:rsidR="00220CF1" w:rsidRPr="00E20D21" w:rsidRDefault="00220CF1" w:rsidP="009F7391">
            <w:pPr>
              <w:jc w:val="right"/>
              <w:rPr>
                <w:rFonts w:ascii="CAIXA Std Book" w:eastAsia="Times New Roman" w:hAnsi="CAIXA Std Book" w:cs="Arial"/>
                <w:b/>
                <w:color w:val="005CA9"/>
                <w:sz w:val="18"/>
                <w:szCs w:val="18"/>
              </w:rPr>
            </w:pPr>
            <w:r w:rsidRPr="00E20D21">
              <w:rPr>
                <w:rFonts w:ascii="CAIXA Std Book" w:hAnsi="CAIXA Std Book" w:cs="Arial"/>
                <w:color w:val="005CA9"/>
                <w:sz w:val="18"/>
                <w:szCs w:val="18"/>
              </w:rPr>
              <w:t>947.484</w:t>
            </w:r>
          </w:p>
        </w:tc>
        <w:tc>
          <w:tcPr>
            <w:tcW w:w="965" w:type="pct"/>
            <w:tcBorders>
              <w:left w:val="nil"/>
              <w:bottom w:val="single" w:sz="4" w:space="0" w:color="F79646"/>
              <w:right w:val="nil"/>
            </w:tcBorders>
            <w:vAlign w:val="center"/>
          </w:tcPr>
          <w:p w14:paraId="100BFDD1" w14:textId="15828440" w:rsidR="00220CF1" w:rsidRPr="00E20D21" w:rsidRDefault="00220CF1" w:rsidP="00220CF1">
            <w:pPr>
              <w:jc w:val="right"/>
              <w:rPr>
                <w:rFonts w:ascii="CAIXA Std Book" w:eastAsia="Times New Roman" w:hAnsi="CAIXA Std Book" w:cs="Arial"/>
                <w:b/>
                <w:color w:val="005CA9"/>
                <w:sz w:val="18"/>
                <w:szCs w:val="18"/>
              </w:rPr>
            </w:pPr>
            <w:r w:rsidRPr="00E20D21">
              <w:rPr>
                <w:rFonts w:ascii="CAIXA Std Book" w:hAnsi="CAIXA Std Book" w:cs="Arial"/>
                <w:color w:val="005CA9"/>
                <w:sz w:val="18"/>
                <w:szCs w:val="18"/>
              </w:rPr>
              <w:t>1.079.843</w:t>
            </w:r>
          </w:p>
        </w:tc>
      </w:tr>
    </w:tbl>
    <w:p w14:paraId="61783AE5" w14:textId="64A72A31" w:rsidR="00D630EC" w:rsidRPr="00E20D21" w:rsidRDefault="00421F2E" w:rsidP="0039014D">
      <w:p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w:t>
      </w:r>
      <w:r w:rsidR="00B03B5B" w:rsidRPr="00E20D21">
        <w:rPr>
          <w:rFonts w:ascii="CAIXA Std Book" w:hAnsi="CAIXA Std Book"/>
          <w:b/>
          <w:color w:val="005CA9"/>
          <w:sz w:val="20"/>
          <w:szCs w:val="20"/>
        </w:rPr>
        <w:t>e</w:t>
      </w:r>
      <w:r w:rsidRPr="00E20D21">
        <w:rPr>
          <w:rFonts w:ascii="CAIXA Std Book" w:hAnsi="CAIXA Std Book"/>
          <w:b/>
          <w:color w:val="005CA9"/>
          <w:sz w:val="20"/>
          <w:szCs w:val="20"/>
        </w:rPr>
        <w:t>.</w:t>
      </w:r>
      <w:r w:rsidR="00635DC3" w:rsidRPr="00E20D21">
        <w:rPr>
          <w:rFonts w:ascii="CAIXA Std Book" w:hAnsi="CAIXA Std Book"/>
          <w:b/>
          <w:color w:val="005CA9"/>
          <w:sz w:val="20"/>
          <w:szCs w:val="20"/>
        </w:rPr>
        <w:t>2</w:t>
      </w:r>
      <w:r w:rsidRPr="00E20D21">
        <w:rPr>
          <w:rFonts w:ascii="CAIXA Std Book" w:hAnsi="CAIXA Std Book"/>
          <w:b/>
          <w:color w:val="005CA9"/>
          <w:sz w:val="20"/>
          <w:szCs w:val="20"/>
        </w:rPr>
        <w:t>)</w:t>
      </w:r>
      <w:r w:rsidR="006521AE" w:rsidRPr="00E20D21">
        <w:rPr>
          <w:rFonts w:ascii="CAIXA Std Book" w:hAnsi="CAIXA Std Book"/>
          <w:b/>
          <w:color w:val="005CA9"/>
          <w:sz w:val="20"/>
          <w:szCs w:val="20"/>
        </w:rPr>
        <w:tab/>
      </w:r>
      <w:r w:rsidR="00C27641" w:rsidRPr="00E20D21">
        <w:rPr>
          <w:rFonts w:ascii="CAIXA Std Book" w:hAnsi="CAIXA Std Book"/>
          <w:b/>
          <w:color w:val="005CA9"/>
          <w:sz w:val="20"/>
          <w:szCs w:val="20"/>
        </w:rPr>
        <w:t>Resultado</w:t>
      </w:r>
      <w:r w:rsidRPr="00E20D21">
        <w:rPr>
          <w:rFonts w:ascii="CAIXA Std Book" w:hAnsi="CAIXA Std Book"/>
          <w:b/>
          <w:color w:val="005CA9"/>
          <w:sz w:val="20"/>
          <w:szCs w:val="20"/>
        </w:rPr>
        <w:t xml:space="preserve"> vincula</w:t>
      </w:r>
      <w:r w:rsidR="00C27641" w:rsidRPr="00E20D21">
        <w:rPr>
          <w:rFonts w:ascii="CAIXA Std Book" w:hAnsi="CAIXA Std Book"/>
          <w:b/>
          <w:color w:val="005CA9"/>
          <w:sz w:val="20"/>
          <w:szCs w:val="20"/>
        </w:rPr>
        <w:t>do</w:t>
      </w:r>
      <w:r w:rsidRPr="00E20D21">
        <w:rPr>
          <w:rFonts w:ascii="CAIXA Std Book" w:hAnsi="CAIXA Std Book"/>
          <w:b/>
          <w:color w:val="005CA9"/>
          <w:sz w:val="20"/>
          <w:szCs w:val="20"/>
        </w:rPr>
        <w:t xml:space="preserve"> a cessão de carteiras de crédito</w:t>
      </w:r>
    </w:p>
    <w:tbl>
      <w:tblPr>
        <w:tblW w:w="5000" w:type="pct"/>
        <w:tblCellMar>
          <w:left w:w="70" w:type="dxa"/>
          <w:right w:w="70" w:type="dxa"/>
        </w:tblCellMar>
        <w:tblLook w:val="04A0" w:firstRow="1" w:lastRow="0" w:firstColumn="1" w:lastColumn="0" w:noHBand="0" w:noVBand="1"/>
      </w:tblPr>
      <w:tblGrid>
        <w:gridCol w:w="5920"/>
        <w:gridCol w:w="1858"/>
        <w:gridCol w:w="1860"/>
      </w:tblGrid>
      <w:tr w:rsidR="00A47C19" w:rsidRPr="00E20D21" w14:paraId="337CB961" w14:textId="77777777" w:rsidTr="00495BFD">
        <w:trPr>
          <w:trHeight w:val="283"/>
        </w:trPr>
        <w:tc>
          <w:tcPr>
            <w:tcW w:w="5000" w:type="pct"/>
            <w:gridSpan w:val="3"/>
            <w:tcBorders>
              <w:top w:val="single" w:sz="4" w:space="0" w:color="F79646"/>
              <w:left w:val="nil"/>
              <w:bottom w:val="single" w:sz="4" w:space="0" w:color="F79646"/>
              <w:right w:val="nil"/>
            </w:tcBorders>
            <w:vAlign w:val="center"/>
          </w:tcPr>
          <w:p w14:paraId="65BD8AA5" w14:textId="4F68C637" w:rsidR="003C7D2C" w:rsidRPr="00E20D21" w:rsidRDefault="003C7D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CONSOLIDADO</w:t>
            </w:r>
          </w:p>
        </w:tc>
      </w:tr>
      <w:tr w:rsidR="00A47C19" w:rsidRPr="00E20D21" w14:paraId="717090B0" w14:textId="77777777" w:rsidTr="00495BFD">
        <w:trPr>
          <w:trHeight w:val="283"/>
        </w:trPr>
        <w:tc>
          <w:tcPr>
            <w:tcW w:w="3071" w:type="pct"/>
            <w:vMerge w:val="restart"/>
            <w:tcBorders>
              <w:top w:val="single" w:sz="4" w:space="0" w:color="F79646"/>
              <w:left w:val="nil"/>
              <w:bottom w:val="single" w:sz="4" w:space="0" w:color="F79646"/>
              <w:right w:val="nil"/>
            </w:tcBorders>
            <w:shd w:val="clear" w:color="auto" w:fill="auto"/>
            <w:vAlign w:val="center"/>
            <w:hideMark/>
          </w:tcPr>
          <w:p w14:paraId="52E0851F" w14:textId="77777777" w:rsidR="003C7D2C" w:rsidRPr="00E20D21" w:rsidRDefault="003C7D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964" w:type="pct"/>
            <w:tcBorders>
              <w:top w:val="single" w:sz="4" w:space="0" w:color="F79646"/>
              <w:left w:val="nil"/>
              <w:bottom w:val="single" w:sz="4" w:space="0" w:color="F79646"/>
              <w:right w:val="nil"/>
            </w:tcBorders>
            <w:shd w:val="clear" w:color="auto" w:fill="auto"/>
            <w:vAlign w:val="center"/>
            <w:hideMark/>
          </w:tcPr>
          <w:p w14:paraId="0A5FC9A9" w14:textId="7E1C3508" w:rsidR="003C7D2C" w:rsidRPr="00E20D21" w:rsidRDefault="003C7D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w:t>
            </w:r>
            <w:r w:rsidR="006B4F77" w:rsidRPr="00E20D21">
              <w:rPr>
                <w:rFonts w:ascii="CAIXA Std Book" w:eastAsia="Times New Roman" w:hAnsi="CAIXA Std Book" w:cs="Arial"/>
                <w:b/>
                <w:bCs/>
                <w:color w:val="005CA9"/>
                <w:sz w:val="18"/>
                <w:szCs w:val="18"/>
              </w:rPr>
              <w:t>4</w:t>
            </w:r>
          </w:p>
        </w:tc>
        <w:tc>
          <w:tcPr>
            <w:tcW w:w="965" w:type="pct"/>
            <w:tcBorders>
              <w:top w:val="single" w:sz="4" w:space="0" w:color="F79646"/>
              <w:left w:val="nil"/>
              <w:bottom w:val="single" w:sz="4" w:space="0" w:color="F79646"/>
              <w:right w:val="nil"/>
            </w:tcBorders>
            <w:shd w:val="clear" w:color="auto" w:fill="auto"/>
            <w:vAlign w:val="center"/>
          </w:tcPr>
          <w:p w14:paraId="17C8123E" w14:textId="05006A7F" w:rsidR="003C7D2C" w:rsidRPr="00E20D21" w:rsidRDefault="003C7D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w:t>
            </w:r>
            <w:r w:rsidR="006B4F77" w:rsidRPr="00E20D21">
              <w:rPr>
                <w:rFonts w:ascii="CAIXA Std Book" w:eastAsia="Times New Roman" w:hAnsi="CAIXA Std Book" w:cs="Arial"/>
                <w:b/>
                <w:bCs/>
                <w:color w:val="005CA9"/>
                <w:sz w:val="18"/>
                <w:szCs w:val="18"/>
              </w:rPr>
              <w:t>3</w:t>
            </w:r>
          </w:p>
        </w:tc>
      </w:tr>
      <w:tr w:rsidR="00A47C19" w:rsidRPr="00E20D21" w14:paraId="6159C16E" w14:textId="77777777" w:rsidTr="00495BFD">
        <w:trPr>
          <w:trHeight w:val="283"/>
        </w:trPr>
        <w:tc>
          <w:tcPr>
            <w:tcW w:w="3071" w:type="pct"/>
            <w:vMerge/>
            <w:tcBorders>
              <w:top w:val="single" w:sz="4" w:space="0" w:color="F79646"/>
              <w:left w:val="nil"/>
              <w:bottom w:val="single" w:sz="4" w:space="0" w:color="F79646"/>
              <w:right w:val="nil"/>
            </w:tcBorders>
            <w:vAlign w:val="center"/>
            <w:hideMark/>
          </w:tcPr>
          <w:p w14:paraId="066BAAAD" w14:textId="77777777" w:rsidR="003C7D2C" w:rsidRPr="00E20D21" w:rsidRDefault="003C7D2C" w:rsidP="00FB4C6F">
            <w:pPr>
              <w:jc w:val="center"/>
              <w:rPr>
                <w:rFonts w:ascii="CAIXA Std Book" w:eastAsia="Times New Roman" w:hAnsi="CAIXA Std Book" w:cs="Arial"/>
                <w:b/>
                <w:bCs/>
                <w:color w:val="005CA9"/>
                <w:sz w:val="18"/>
                <w:szCs w:val="18"/>
              </w:rPr>
            </w:pPr>
          </w:p>
        </w:tc>
        <w:tc>
          <w:tcPr>
            <w:tcW w:w="964" w:type="pct"/>
            <w:tcBorders>
              <w:top w:val="single" w:sz="4" w:space="0" w:color="F79646"/>
              <w:left w:val="nil"/>
              <w:bottom w:val="single" w:sz="4" w:space="0" w:color="F79646"/>
              <w:right w:val="nil"/>
            </w:tcBorders>
            <w:shd w:val="clear" w:color="auto" w:fill="auto"/>
            <w:noWrap/>
            <w:vAlign w:val="center"/>
          </w:tcPr>
          <w:p w14:paraId="6B7F5057" w14:textId="77777777" w:rsidR="003C7D2C" w:rsidRPr="00E20D21" w:rsidRDefault="003C7D2C" w:rsidP="00FB4C6F">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965" w:type="pct"/>
            <w:tcBorders>
              <w:top w:val="single" w:sz="4" w:space="0" w:color="F79646"/>
              <w:left w:val="nil"/>
              <w:bottom w:val="single" w:sz="4" w:space="0" w:color="F79646"/>
              <w:right w:val="nil"/>
            </w:tcBorders>
            <w:vAlign w:val="center"/>
          </w:tcPr>
          <w:p w14:paraId="0E39FADE" w14:textId="77777777" w:rsidR="003C7D2C" w:rsidRPr="00E20D21" w:rsidRDefault="003C7D2C" w:rsidP="00FB4C6F">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D764C0" w:rsidRPr="00E20D21" w14:paraId="0E139C06" w14:textId="77777777" w:rsidTr="00495BFD">
        <w:trPr>
          <w:trHeight w:val="283"/>
        </w:trPr>
        <w:tc>
          <w:tcPr>
            <w:tcW w:w="3071" w:type="pct"/>
            <w:tcBorders>
              <w:top w:val="single" w:sz="4" w:space="0" w:color="F79646"/>
              <w:left w:val="nil"/>
              <w:right w:val="nil"/>
            </w:tcBorders>
            <w:shd w:val="clear" w:color="auto" w:fill="auto"/>
            <w:vAlign w:val="center"/>
          </w:tcPr>
          <w:p w14:paraId="4B5E8E4C" w14:textId="26A5E9FF" w:rsidR="00D764C0" w:rsidRPr="00E20D21" w:rsidRDefault="00D764C0" w:rsidP="00D764C0">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Receitas vinculadas </w:t>
            </w:r>
            <w:proofErr w:type="gramStart"/>
            <w:r w:rsidRPr="00E20D21">
              <w:rPr>
                <w:rFonts w:ascii="CAIXA Std Book" w:eastAsia="Times New Roman" w:hAnsi="CAIXA Std Book" w:cs="Arial"/>
                <w:color w:val="005CA9"/>
                <w:sz w:val="18"/>
                <w:szCs w:val="18"/>
              </w:rPr>
              <w:t>à</w:t>
            </w:r>
            <w:proofErr w:type="gramEnd"/>
            <w:r w:rsidRPr="00E20D21">
              <w:rPr>
                <w:rFonts w:ascii="CAIXA Std Book" w:eastAsia="Times New Roman" w:hAnsi="CAIXA Std Book" w:cs="Arial"/>
                <w:color w:val="005CA9"/>
                <w:sz w:val="18"/>
                <w:szCs w:val="18"/>
              </w:rPr>
              <w:t xml:space="preserve"> </w:t>
            </w:r>
            <w:r w:rsidR="00631CB8" w:rsidRPr="00E20D21">
              <w:rPr>
                <w:rFonts w:ascii="CAIXA Std Book" w:eastAsia="Times New Roman" w:hAnsi="CAIXA Std Book" w:cs="Arial"/>
                <w:color w:val="005CA9"/>
                <w:sz w:val="18"/>
                <w:szCs w:val="18"/>
              </w:rPr>
              <w:t>c</w:t>
            </w:r>
            <w:r w:rsidRPr="00E20D21">
              <w:rPr>
                <w:rFonts w:ascii="CAIXA Std Book" w:eastAsia="Times New Roman" w:hAnsi="CAIXA Std Book" w:cs="Arial"/>
                <w:color w:val="005CA9"/>
                <w:sz w:val="18"/>
                <w:szCs w:val="18"/>
              </w:rPr>
              <w:t>arteiras cedidas com coobrigação</w:t>
            </w:r>
          </w:p>
        </w:tc>
        <w:tc>
          <w:tcPr>
            <w:tcW w:w="964" w:type="pct"/>
            <w:tcBorders>
              <w:top w:val="single" w:sz="4" w:space="0" w:color="F79646"/>
              <w:left w:val="nil"/>
              <w:right w:val="nil"/>
            </w:tcBorders>
            <w:shd w:val="clear" w:color="auto" w:fill="auto"/>
            <w:vAlign w:val="center"/>
          </w:tcPr>
          <w:p w14:paraId="0585E4B0" w14:textId="6A43F31D" w:rsidR="00D764C0" w:rsidRPr="00E20D21" w:rsidRDefault="00D764C0" w:rsidP="009F7391">
            <w:pPr>
              <w:jc w:val="right"/>
              <w:rPr>
                <w:rFonts w:ascii="CAIXA Std Book" w:eastAsia="Times New Roman" w:hAnsi="CAIXA Std Book" w:cs="Arial"/>
                <w:b/>
                <w:bCs/>
                <w:color w:val="005CA9"/>
                <w:sz w:val="18"/>
                <w:szCs w:val="18"/>
              </w:rPr>
            </w:pPr>
            <w:r w:rsidRPr="00E20D21">
              <w:rPr>
                <w:rFonts w:ascii="CAIXA Std Book" w:hAnsi="CAIXA Std Book" w:cs="Arial"/>
                <w:color w:val="005CA9"/>
                <w:sz w:val="18"/>
                <w:szCs w:val="18"/>
              </w:rPr>
              <w:t>171.515</w:t>
            </w:r>
          </w:p>
        </w:tc>
        <w:tc>
          <w:tcPr>
            <w:tcW w:w="965" w:type="pct"/>
            <w:tcBorders>
              <w:top w:val="single" w:sz="4" w:space="0" w:color="F79646"/>
              <w:left w:val="nil"/>
              <w:right w:val="nil"/>
            </w:tcBorders>
            <w:vAlign w:val="center"/>
          </w:tcPr>
          <w:p w14:paraId="7CA2D6B3" w14:textId="1A90EC48" w:rsidR="00D764C0" w:rsidRPr="00E20D21" w:rsidRDefault="00D764C0" w:rsidP="00D764C0">
            <w:pPr>
              <w:jc w:val="right"/>
              <w:rPr>
                <w:rFonts w:ascii="CAIXA Std Book" w:eastAsia="Times New Roman" w:hAnsi="CAIXA Std Book" w:cs="Arial"/>
                <w:b/>
                <w:bCs/>
                <w:color w:val="005CA9"/>
                <w:sz w:val="18"/>
                <w:szCs w:val="18"/>
              </w:rPr>
            </w:pPr>
            <w:r w:rsidRPr="00E20D21">
              <w:rPr>
                <w:rFonts w:ascii="CAIXA Std Book" w:hAnsi="CAIXA Std Book" w:cs="Arial"/>
                <w:color w:val="005CA9"/>
                <w:sz w:val="18"/>
                <w:szCs w:val="18"/>
              </w:rPr>
              <w:t>235.305</w:t>
            </w:r>
          </w:p>
        </w:tc>
      </w:tr>
      <w:tr w:rsidR="00D764C0" w:rsidRPr="00E20D21" w14:paraId="08621235" w14:textId="77777777" w:rsidTr="00495BFD">
        <w:trPr>
          <w:trHeight w:val="283"/>
        </w:trPr>
        <w:tc>
          <w:tcPr>
            <w:tcW w:w="3071" w:type="pct"/>
            <w:tcBorders>
              <w:left w:val="nil"/>
              <w:bottom w:val="single" w:sz="4" w:space="0" w:color="F79646"/>
              <w:right w:val="nil"/>
            </w:tcBorders>
            <w:shd w:val="clear" w:color="auto" w:fill="auto"/>
            <w:vAlign w:val="center"/>
          </w:tcPr>
          <w:p w14:paraId="2155438F" w14:textId="3C57E660" w:rsidR="00D764C0" w:rsidRPr="00E20D21" w:rsidRDefault="00D764C0" w:rsidP="00D764C0">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Despesas vinculadas </w:t>
            </w:r>
            <w:proofErr w:type="gramStart"/>
            <w:r w:rsidRPr="00E20D21">
              <w:rPr>
                <w:rFonts w:ascii="CAIXA Std Book" w:eastAsia="Times New Roman" w:hAnsi="CAIXA Std Book" w:cs="Arial"/>
                <w:color w:val="005CA9"/>
                <w:sz w:val="18"/>
                <w:szCs w:val="18"/>
              </w:rPr>
              <w:t>à</w:t>
            </w:r>
            <w:proofErr w:type="gramEnd"/>
            <w:r w:rsidRPr="00E20D21">
              <w:rPr>
                <w:rFonts w:ascii="CAIXA Std Book" w:eastAsia="Times New Roman" w:hAnsi="CAIXA Std Book" w:cs="Arial"/>
                <w:color w:val="005CA9"/>
                <w:sz w:val="18"/>
                <w:szCs w:val="18"/>
              </w:rPr>
              <w:t xml:space="preserve"> </w:t>
            </w:r>
            <w:r w:rsidR="00631CB8" w:rsidRPr="00E20D21">
              <w:rPr>
                <w:rFonts w:ascii="CAIXA Std Book" w:eastAsia="Times New Roman" w:hAnsi="CAIXA Std Book" w:cs="Arial"/>
                <w:color w:val="005CA9"/>
                <w:sz w:val="18"/>
                <w:szCs w:val="18"/>
              </w:rPr>
              <w:t>c</w:t>
            </w:r>
            <w:r w:rsidRPr="00E20D21">
              <w:rPr>
                <w:rFonts w:ascii="CAIXA Std Book" w:eastAsia="Times New Roman" w:hAnsi="CAIXA Std Book" w:cs="Arial"/>
                <w:color w:val="005CA9"/>
                <w:sz w:val="18"/>
                <w:szCs w:val="18"/>
              </w:rPr>
              <w:t>arteiras cedidas com coobrigação</w:t>
            </w:r>
          </w:p>
        </w:tc>
        <w:tc>
          <w:tcPr>
            <w:tcW w:w="964" w:type="pct"/>
            <w:tcBorders>
              <w:left w:val="nil"/>
              <w:bottom w:val="single" w:sz="4" w:space="0" w:color="F79646"/>
              <w:right w:val="nil"/>
            </w:tcBorders>
            <w:shd w:val="clear" w:color="auto" w:fill="auto"/>
            <w:vAlign w:val="center"/>
          </w:tcPr>
          <w:p w14:paraId="5F0D9353" w14:textId="208CE113" w:rsidR="00D764C0" w:rsidRPr="00E20D21" w:rsidRDefault="00D764C0" w:rsidP="009F7391">
            <w:pPr>
              <w:jc w:val="right"/>
              <w:rPr>
                <w:rFonts w:ascii="CAIXA Std Book" w:eastAsia="Times New Roman" w:hAnsi="CAIXA Std Book" w:cs="Arial"/>
                <w:b/>
                <w:bCs/>
                <w:color w:val="005CA9"/>
                <w:sz w:val="18"/>
                <w:szCs w:val="18"/>
              </w:rPr>
            </w:pPr>
            <w:r w:rsidRPr="00E20D21">
              <w:rPr>
                <w:rFonts w:ascii="CAIXA Std Book" w:hAnsi="CAIXA Std Book" w:cs="Arial"/>
                <w:color w:val="005CA9"/>
                <w:sz w:val="18"/>
                <w:szCs w:val="18"/>
              </w:rPr>
              <w:t>(182.872)</w:t>
            </w:r>
          </w:p>
        </w:tc>
        <w:tc>
          <w:tcPr>
            <w:tcW w:w="965" w:type="pct"/>
            <w:tcBorders>
              <w:left w:val="nil"/>
              <w:bottom w:val="single" w:sz="4" w:space="0" w:color="F79646"/>
              <w:right w:val="nil"/>
            </w:tcBorders>
            <w:vAlign w:val="center"/>
          </w:tcPr>
          <w:p w14:paraId="26D9B0D8" w14:textId="44C54386" w:rsidR="00D764C0" w:rsidRPr="00E20D21" w:rsidRDefault="00D764C0" w:rsidP="00D764C0">
            <w:pPr>
              <w:jc w:val="right"/>
              <w:rPr>
                <w:rFonts w:ascii="CAIXA Std Book" w:eastAsia="Times New Roman" w:hAnsi="CAIXA Std Book" w:cs="Arial"/>
                <w:b/>
                <w:bCs/>
                <w:color w:val="005CA9"/>
                <w:sz w:val="18"/>
                <w:szCs w:val="18"/>
              </w:rPr>
            </w:pPr>
            <w:r w:rsidRPr="00E20D21">
              <w:rPr>
                <w:rFonts w:ascii="CAIXA Std Book" w:hAnsi="CAIXA Std Book" w:cs="Arial"/>
                <w:color w:val="005CA9"/>
                <w:sz w:val="18"/>
                <w:szCs w:val="18"/>
              </w:rPr>
              <w:t>(256.464)</w:t>
            </w:r>
          </w:p>
        </w:tc>
      </w:tr>
      <w:tr w:rsidR="00D764C0" w:rsidRPr="00E20D21" w14:paraId="6CB6D26A" w14:textId="77777777" w:rsidTr="00336861">
        <w:trPr>
          <w:trHeight w:val="283"/>
        </w:trPr>
        <w:tc>
          <w:tcPr>
            <w:tcW w:w="3071" w:type="pct"/>
            <w:tcBorders>
              <w:top w:val="single" w:sz="4" w:space="0" w:color="F79646"/>
              <w:left w:val="nil"/>
              <w:bottom w:val="single" w:sz="4" w:space="0" w:color="F79646" w:themeColor="accent6"/>
              <w:right w:val="nil"/>
            </w:tcBorders>
            <w:shd w:val="clear" w:color="auto" w:fill="auto"/>
            <w:vAlign w:val="center"/>
          </w:tcPr>
          <w:p w14:paraId="35613686" w14:textId="77777777" w:rsidR="00D764C0" w:rsidRPr="00E20D21" w:rsidRDefault="00D764C0" w:rsidP="00D764C0">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964" w:type="pct"/>
            <w:tcBorders>
              <w:top w:val="single" w:sz="4" w:space="0" w:color="F79646"/>
              <w:left w:val="nil"/>
              <w:bottom w:val="single" w:sz="4" w:space="0" w:color="F79646" w:themeColor="accent6"/>
              <w:right w:val="nil"/>
            </w:tcBorders>
            <w:shd w:val="clear" w:color="auto" w:fill="auto"/>
            <w:vAlign w:val="center"/>
          </w:tcPr>
          <w:p w14:paraId="6D758027" w14:textId="67CBA3E9" w:rsidR="00D764C0" w:rsidRPr="00E20D21" w:rsidRDefault="00D764C0" w:rsidP="009F7391">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color w:val="005CA9"/>
                <w:sz w:val="18"/>
                <w:szCs w:val="18"/>
              </w:rPr>
              <w:t>(11.357)</w:t>
            </w:r>
          </w:p>
        </w:tc>
        <w:tc>
          <w:tcPr>
            <w:tcW w:w="965" w:type="pct"/>
            <w:tcBorders>
              <w:top w:val="single" w:sz="4" w:space="0" w:color="F79646"/>
              <w:left w:val="nil"/>
              <w:bottom w:val="single" w:sz="4" w:space="0" w:color="F79646" w:themeColor="accent6"/>
              <w:right w:val="nil"/>
            </w:tcBorders>
            <w:vAlign w:val="center"/>
          </w:tcPr>
          <w:p w14:paraId="4FC25154" w14:textId="5EBC3C73" w:rsidR="00D764C0" w:rsidRPr="00E20D21" w:rsidRDefault="00D764C0" w:rsidP="00D764C0">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(21.159)</w:t>
            </w:r>
          </w:p>
        </w:tc>
      </w:tr>
    </w:tbl>
    <w:p w14:paraId="39D6D39F" w14:textId="2B4808C7" w:rsidR="00235CD5" w:rsidRPr="00E20D21" w:rsidRDefault="00BA44FA" w:rsidP="00235CD5">
      <w:p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w:t>
      </w:r>
      <w:r w:rsidR="00B03B5B" w:rsidRPr="00E20D21">
        <w:rPr>
          <w:rFonts w:ascii="CAIXA Std Book" w:hAnsi="CAIXA Std Book"/>
          <w:b/>
          <w:color w:val="005CA9"/>
          <w:sz w:val="20"/>
          <w:szCs w:val="20"/>
        </w:rPr>
        <w:t>f</w:t>
      </w:r>
      <w:r w:rsidRPr="00E20D21">
        <w:rPr>
          <w:rFonts w:ascii="CAIXA Std Book" w:hAnsi="CAIXA Std Book"/>
          <w:b/>
          <w:color w:val="005CA9"/>
          <w:sz w:val="20"/>
          <w:szCs w:val="20"/>
        </w:rPr>
        <w:t>)</w:t>
      </w:r>
      <w:r w:rsidRPr="00E20D21">
        <w:rPr>
          <w:rFonts w:ascii="CAIXA Std Book" w:hAnsi="CAIXA Std Book"/>
          <w:b/>
          <w:color w:val="005CA9"/>
          <w:sz w:val="20"/>
          <w:szCs w:val="20"/>
        </w:rPr>
        <w:tab/>
        <w:t>Créditos recuperados</w:t>
      </w:r>
      <w:r w:rsidR="00235CD5" w:rsidRPr="00E20D21">
        <w:rPr>
          <w:rFonts w:ascii="CAIXA Std Book" w:hAnsi="CAIXA Std Book"/>
          <w:b/>
          <w:color w:val="005CA9"/>
          <w:sz w:val="20"/>
          <w:szCs w:val="20"/>
        </w:rPr>
        <w:t xml:space="preserve"> e renegociados</w:t>
      </w:r>
    </w:p>
    <w:tbl>
      <w:tblPr>
        <w:tblW w:w="5000" w:type="pct"/>
        <w:tblCellMar>
          <w:left w:w="70" w:type="dxa"/>
          <w:right w:w="70" w:type="dxa"/>
        </w:tblCellMar>
        <w:tblLook w:val="04A0" w:firstRow="1" w:lastRow="0" w:firstColumn="1" w:lastColumn="0" w:noHBand="0" w:noVBand="1"/>
      </w:tblPr>
      <w:tblGrid>
        <w:gridCol w:w="5922"/>
        <w:gridCol w:w="1931"/>
        <w:gridCol w:w="1785"/>
      </w:tblGrid>
      <w:tr w:rsidR="00A47C19" w:rsidRPr="00E20D21" w14:paraId="01DEC5AD" w14:textId="77777777" w:rsidTr="00495BFD">
        <w:trPr>
          <w:trHeight w:val="283"/>
        </w:trPr>
        <w:tc>
          <w:tcPr>
            <w:tcW w:w="5000" w:type="pct"/>
            <w:gridSpan w:val="3"/>
            <w:tcBorders>
              <w:top w:val="single" w:sz="4" w:space="0" w:color="F79646"/>
              <w:left w:val="nil"/>
              <w:bottom w:val="single" w:sz="4" w:space="0" w:color="F79646"/>
              <w:right w:val="nil"/>
            </w:tcBorders>
            <w:vAlign w:val="center"/>
          </w:tcPr>
          <w:p w14:paraId="19378465" w14:textId="024388DC" w:rsidR="004D6C04" w:rsidRPr="00E20D21" w:rsidRDefault="004D6C0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CONSOLIDADO</w:t>
            </w:r>
          </w:p>
        </w:tc>
      </w:tr>
      <w:tr w:rsidR="00A47C19" w:rsidRPr="00E20D21" w14:paraId="232EA6F6" w14:textId="77777777" w:rsidTr="00495BFD">
        <w:trPr>
          <w:trHeight w:val="283"/>
        </w:trPr>
        <w:tc>
          <w:tcPr>
            <w:tcW w:w="3072" w:type="pct"/>
            <w:vMerge w:val="restart"/>
            <w:tcBorders>
              <w:top w:val="single" w:sz="4" w:space="0" w:color="F79646"/>
              <w:left w:val="nil"/>
              <w:bottom w:val="single" w:sz="4" w:space="0" w:color="F79646"/>
              <w:right w:val="nil"/>
            </w:tcBorders>
            <w:shd w:val="clear" w:color="auto" w:fill="auto"/>
            <w:vAlign w:val="center"/>
            <w:hideMark/>
          </w:tcPr>
          <w:p w14:paraId="5A522D0D" w14:textId="77777777" w:rsidR="004D6C04" w:rsidRPr="00E20D21" w:rsidRDefault="004D6C0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Descrição </w:t>
            </w:r>
          </w:p>
        </w:tc>
        <w:tc>
          <w:tcPr>
            <w:tcW w:w="1002" w:type="pct"/>
            <w:tcBorders>
              <w:top w:val="single" w:sz="4" w:space="0" w:color="F79646"/>
              <w:left w:val="nil"/>
              <w:bottom w:val="single" w:sz="4" w:space="0" w:color="F79646"/>
              <w:right w:val="nil"/>
            </w:tcBorders>
            <w:shd w:val="clear" w:color="auto" w:fill="auto"/>
            <w:vAlign w:val="center"/>
            <w:hideMark/>
          </w:tcPr>
          <w:p w14:paraId="1D973633" w14:textId="5833700D" w:rsidR="004D6C04" w:rsidRPr="00E20D21" w:rsidRDefault="004D6C0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926" w:type="pct"/>
            <w:tcBorders>
              <w:top w:val="single" w:sz="4" w:space="0" w:color="F79646"/>
              <w:left w:val="nil"/>
              <w:bottom w:val="single" w:sz="4" w:space="0" w:color="F79646"/>
              <w:right w:val="nil"/>
            </w:tcBorders>
            <w:vAlign w:val="center"/>
          </w:tcPr>
          <w:p w14:paraId="4D071147" w14:textId="2FBAFF0A" w:rsidR="004D6C04" w:rsidRPr="00E20D21" w:rsidRDefault="004D6C0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A47C19" w:rsidRPr="00E20D21" w14:paraId="308B91E0" w14:textId="77777777" w:rsidTr="00495BFD">
        <w:trPr>
          <w:trHeight w:val="283"/>
        </w:trPr>
        <w:tc>
          <w:tcPr>
            <w:tcW w:w="3072" w:type="pct"/>
            <w:vMerge/>
            <w:tcBorders>
              <w:top w:val="single" w:sz="4" w:space="0" w:color="F79646"/>
              <w:left w:val="nil"/>
              <w:bottom w:val="single" w:sz="4" w:space="0" w:color="F79646"/>
              <w:right w:val="nil"/>
            </w:tcBorders>
            <w:vAlign w:val="center"/>
            <w:hideMark/>
          </w:tcPr>
          <w:p w14:paraId="4FC800DC" w14:textId="77777777" w:rsidR="004D6C04" w:rsidRPr="00E20D21" w:rsidRDefault="004D6C04">
            <w:pPr>
              <w:rPr>
                <w:rFonts w:ascii="CAIXA Std Book" w:eastAsia="Times New Roman" w:hAnsi="CAIXA Std Book" w:cs="Arial"/>
                <w:b/>
                <w:bCs/>
                <w:color w:val="005CA9"/>
                <w:sz w:val="18"/>
                <w:szCs w:val="18"/>
              </w:rPr>
            </w:pPr>
          </w:p>
        </w:tc>
        <w:tc>
          <w:tcPr>
            <w:tcW w:w="1002" w:type="pct"/>
            <w:tcBorders>
              <w:top w:val="single" w:sz="4" w:space="0" w:color="F79646"/>
              <w:left w:val="nil"/>
              <w:bottom w:val="single" w:sz="4" w:space="0" w:color="F79646"/>
              <w:right w:val="nil"/>
            </w:tcBorders>
            <w:shd w:val="clear" w:color="auto" w:fill="auto"/>
            <w:vAlign w:val="center"/>
          </w:tcPr>
          <w:p w14:paraId="46D5DB6D" w14:textId="77777777" w:rsidR="004D6C04" w:rsidRPr="00E20D21" w:rsidRDefault="004D6C0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926" w:type="pct"/>
            <w:tcBorders>
              <w:top w:val="single" w:sz="4" w:space="0" w:color="F79646"/>
              <w:left w:val="nil"/>
              <w:bottom w:val="single" w:sz="4" w:space="0" w:color="F79646"/>
              <w:right w:val="nil"/>
            </w:tcBorders>
            <w:vAlign w:val="center"/>
          </w:tcPr>
          <w:p w14:paraId="154FC6D5" w14:textId="77777777" w:rsidR="004D6C04" w:rsidRPr="00E20D21" w:rsidRDefault="004D6C0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B310DC" w:rsidRPr="00E20D21" w14:paraId="34E6C837" w14:textId="77777777" w:rsidTr="00495BFD">
        <w:trPr>
          <w:trHeight w:val="283"/>
        </w:trPr>
        <w:tc>
          <w:tcPr>
            <w:tcW w:w="3072" w:type="pct"/>
            <w:tcBorders>
              <w:top w:val="single" w:sz="4" w:space="0" w:color="F79646"/>
              <w:left w:val="nil"/>
              <w:bottom w:val="nil"/>
              <w:right w:val="nil"/>
            </w:tcBorders>
            <w:shd w:val="clear" w:color="auto" w:fill="auto"/>
            <w:noWrap/>
            <w:vAlign w:val="center"/>
          </w:tcPr>
          <w:p w14:paraId="75681690" w14:textId="77777777" w:rsidR="00B310DC" w:rsidRPr="00E20D21" w:rsidRDefault="00B310DC" w:rsidP="00B310D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Créditos Recuperados</w:t>
            </w:r>
          </w:p>
        </w:tc>
        <w:tc>
          <w:tcPr>
            <w:tcW w:w="1002" w:type="pct"/>
            <w:tcBorders>
              <w:top w:val="single" w:sz="4" w:space="0" w:color="F79646"/>
              <w:left w:val="nil"/>
              <w:bottom w:val="nil"/>
              <w:right w:val="nil"/>
            </w:tcBorders>
            <w:shd w:val="clear" w:color="auto" w:fill="auto"/>
            <w:vAlign w:val="center"/>
          </w:tcPr>
          <w:p w14:paraId="35368A80" w14:textId="1A653AB8" w:rsidR="00B310DC" w:rsidRPr="00E20D21" w:rsidRDefault="00B310DC" w:rsidP="00B310DC">
            <w:pPr>
              <w:jc w:val="right"/>
              <w:rPr>
                <w:rFonts w:ascii="CAIXA Std Book" w:hAnsi="CAIXA Std Book" w:cs="Arial"/>
                <w:color w:val="005CA9"/>
                <w:sz w:val="18"/>
                <w:szCs w:val="18"/>
              </w:rPr>
            </w:pPr>
            <w:r w:rsidRPr="00E20D21">
              <w:rPr>
                <w:rFonts w:ascii="CAIXA Std Book" w:hAnsi="CAIXA Std Book" w:cs="Arial"/>
                <w:b/>
                <w:bCs/>
                <w:color w:val="005CA9"/>
                <w:sz w:val="18"/>
                <w:szCs w:val="18"/>
              </w:rPr>
              <w:t>2.923.603</w:t>
            </w:r>
          </w:p>
        </w:tc>
        <w:tc>
          <w:tcPr>
            <w:tcW w:w="926" w:type="pct"/>
            <w:tcBorders>
              <w:top w:val="single" w:sz="4" w:space="0" w:color="F79646"/>
              <w:left w:val="nil"/>
              <w:bottom w:val="nil"/>
              <w:right w:val="nil"/>
            </w:tcBorders>
            <w:vAlign w:val="center"/>
          </w:tcPr>
          <w:p w14:paraId="086C1177" w14:textId="0EA126B5" w:rsidR="00B310DC" w:rsidRPr="00E20D21" w:rsidRDefault="00B310DC" w:rsidP="00B310DC">
            <w:pPr>
              <w:jc w:val="right"/>
              <w:rPr>
                <w:rFonts w:ascii="CAIXA Std Book" w:hAnsi="CAIXA Std Book" w:cs="Arial"/>
                <w:color w:val="005CA9"/>
                <w:sz w:val="18"/>
                <w:szCs w:val="18"/>
              </w:rPr>
            </w:pPr>
            <w:r w:rsidRPr="00E20D21">
              <w:rPr>
                <w:rFonts w:ascii="CAIXA Std Book" w:hAnsi="CAIXA Std Book" w:cs="Arial"/>
                <w:b/>
                <w:bCs/>
                <w:color w:val="005CA9"/>
                <w:sz w:val="18"/>
                <w:szCs w:val="18"/>
              </w:rPr>
              <w:t>2.475.265</w:t>
            </w:r>
          </w:p>
        </w:tc>
      </w:tr>
      <w:tr w:rsidR="00B310DC" w:rsidRPr="00E20D21" w14:paraId="121A469D" w14:textId="77777777" w:rsidTr="00495BFD">
        <w:trPr>
          <w:trHeight w:val="283"/>
        </w:trPr>
        <w:tc>
          <w:tcPr>
            <w:tcW w:w="3072" w:type="pct"/>
            <w:tcBorders>
              <w:top w:val="single" w:sz="4" w:space="0" w:color="F79646"/>
              <w:left w:val="nil"/>
              <w:bottom w:val="nil"/>
              <w:right w:val="nil"/>
            </w:tcBorders>
            <w:shd w:val="clear" w:color="auto" w:fill="auto"/>
            <w:noWrap/>
            <w:vAlign w:val="center"/>
            <w:hideMark/>
          </w:tcPr>
          <w:p w14:paraId="149BB27C" w14:textId="77777777" w:rsidR="00B310DC" w:rsidRPr="00E20D21" w:rsidRDefault="00B310DC" w:rsidP="00B310DC">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Operações comerciais</w:t>
            </w:r>
          </w:p>
        </w:tc>
        <w:tc>
          <w:tcPr>
            <w:tcW w:w="1002" w:type="pct"/>
            <w:tcBorders>
              <w:top w:val="single" w:sz="4" w:space="0" w:color="F79646"/>
              <w:left w:val="nil"/>
              <w:bottom w:val="nil"/>
              <w:right w:val="nil"/>
            </w:tcBorders>
            <w:shd w:val="clear" w:color="auto" w:fill="auto"/>
            <w:vAlign w:val="center"/>
          </w:tcPr>
          <w:p w14:paraId="341B03FB" w14:textId="388A6B21" w:rsidR="00B310DC" w:rsidRPr="00E20D21" w:rsidRDefault="00B310DC" w:rsidP="00B310DC">
            <w:pPr>
              <w:jc w:val="right"/>
              <w:rPr>
                <w:rFonts w:ascii="CAIXA Std Book" w:hAnsi="CAIXA Std Book" w:cs="Arial"/>
                <w:color w:val="005CA9"/>
                <w:sz w:val="18"/>
                <w:szCs w:val="18"/>
              </w:rPr>
            </w:pPr>
            <w:r w:rsidRPr="00E20D21">
              <w:rPr>
                <w:rFonts w:ascii="CAIXA Std Book" w:hAnsi="CAIXA Std Book" w:cs="Arial"/>
                <w:color w:val="005CA9"/>
                <w:sz w:val="18"/>
                <w:szCs w:val="18"/>
              </w:rPr>
              <w:t>1.219.775</w:t>
            </w:r>
          </w:p>
        </w:tc>
        <w:tc>
          <w:tcPr>
            <w:tcW w:w="926" w:type="pct"/>
            <w:tcBorders>
              <w:top w:val="single" w:sz="4" w:space="0" w:color="F79646"/>
              <w:left w:val="nil"/>
              <w:bottom w:val="nil"/>
              <w:right w:val="nil"/>
            </w:tcBorders>
            <w:vAlign w:val="center"/>
          </w:tcPr>
          <w:p w14:paraId="0B749239" w14:textId="57569B62" w:rsidR="00B310DC" w:rsidRPr="00E20D21" w:rsidRDefault="00B310DC" w:rsidP="00B310DC">
            <w:pPr>
              <w:jc w:val="right"/>
              <w:rPr>
                <w:rFonts w:ascii="CAIXA Std Book" w:hAnsi="CAIXA Std Book" w:cs="Arial"/>
                <w:color w:val="005CA9"/>
                <w:sz w:val="18"/>
                <w:szCs w:val="18"/>
              </w:rPr>
            </w:pPr>
            <w:r w:rsidRPr="00E20D21">
              <w:rPr>
                <w:rFonts w:ascii="CAIXA Std Book" w:hAnsi="CAIXA Std Book" w:cs="Arial"/>
                <w:color w:val="005CA9"/>
                <w:sz w:val="18"/>
                <w:szCs w:val="18"/>
              </w:rPr>
              <w:t>1.134.343</w:t>
            </w:r>
          </w:p>
        </w:tc>
      </w:tr>
      <w:tr w:rsidR="00B310DC" w:rsidRPr="00E20D21" w14:paraId="75027B51" w14:textId="77777777" w:rsidTr="00495BFD">
        <w:trPr>
          <w:trHeight w:val="283"/>
        </w:trPr>
        <w:tc>
          <w:tcPr>
            <w:tcW w:w="3072" w:type="pct"/>
            <w:tcBorders>
              <w:top w:val="nil"/>
              <w:left w:val="nil"/>
              <w:bottom w:val="single" w:sz="4" w:space="0" w:color="F79646"/>
              <w:right w:val="nil"/>
            </w:tcBorders>
            <w:shd w:val="clear" w:color="auto" w:fill="auto"/>
            <w:noWrap/>
            <w:vAlign w:val="center"/>
            <w:hideMark/>
          </w:tcPr>
          <w:p w14:paraId="1513A777" w14:textId="77777777" w:rsidR="00B310DC" w:rsidRPr="00E20D21" w:rsidRDefault="00B310DC" w:rsidP="00B310DC">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Operações habitacionais</w:t>
            </w:r>
          </w:p>
        </w:tc>
        <w:tc>
          <w:tcPr>
            <w:tcW w:w="1002" w:type="pct"/>
            <w:tcBorders>
              <w:top w:val="nil"/>
              <w:left w:val="nil"/>
              <w:bottom w:val="single" w:sz="4" w:space="0" w:color="F79646"/>
              <w:right w:val="nil"/>
            </w:tcBorders>
            <w:shd w:val="clear" w:color="auto" w:fill="auto"/>
            <w:vAlign w:val="center"/>
          </w:tcPr>
          <w:p w14:paraId="2E0C3D13" w14:textId="313C9300" w:rsidR="00B310DC" w:rsidRPr="00E20D21" w:rsidRDefault="00B310DC" w:rsidP="00B310DC">
            <w:pPr>
              <w:jc w:val="right"/>
              <w:rPr>
                <w:rFonts w:ascii="CAIXA Std Book" w:hAnsi="CAIXA Std Book" w:cs="Arial"/>
                <w:color w:val="005CA9"/>
                <w:sz w:val="18"/>
                <w:szCs w:val="18"/>
              </w:rPr>
            </w:pPr>
            <w:r w:rsidRPr="00E20D21">
              <w:rPr>
                <w:rFonts w:ascii="CAIXA Std Book" w:hAnsi="CAIXA Std Book" w:cs="Arial"/>
                <w:color w:val="005CA9"/>
                <w:sz w:val="18"/>
                <w:szCs w:val="18"/>
              </w:rPr>
              <w:t>1.703.828</w:t>
            </w:r>
          </w:p>
        </w:tc>
        <w:tc>
          <w:tcPr>
            <w:tcW w:w="926" w:type="pct"/>
            <w:tcBorders>
              <w:top w:val="nil"/>
              <w:left w:val="nil"/>
              <w:bottom w:val="single" w:sz="4" w:space="0" w:color="F79646"/>
              <w:right w:val="nil"/>
            </w:tcBorders>
            <w:vAlign w:val="center"/>
          </w:tcPr>
          <w:p w14:paraId="268FC843" w14:textId="3093F032" w:rsidR="00B310DC" w:rsidRPr="00E20D21" w:rsidRDefault="00B310DC" w:rsidP="00B310DC">
            <w:pPr>
              <w:jc w:val="right"/>
              <w:rPr>
                <w:rFonts w:ascii="CAIXA Std Book" w:hAnsi="CAIXA Std Book" w:cs="Arial"/>
                <w:color w:val="005CA9"/>
                <w:sz w:val="18"/>
                <w:szCs w:val="18"/>
              </w:rPr>
            </w:pPr>
            <w:r w:rsidRPr="00E20D21">
              <w:rPr>
                <w:rFonts w:ascii="CAIXA Std Book" w:hAnsi="CAIXA Std Book" w:cs="Arial"/>
                <w:color w:val="005CA9"/>
                <w:sz w:val="18"/>
                <w:szCs w:val="18"/>
              </w:rPr>
              <w:t>1.340.922</w:t>
            </w:r>
          </w:p>
        </w:tc>
      </w:tr>
      <w:tr w:rsidR="00B310DC" w:rsidRPr="00E20D21" w14:paraId="357B41FE" w14:textId="77777777" w:rsidTr="00495BFD">
        <w:trPr>
          <w:trHeight w:val="283"/>
        </w:trPr>
        <w:tc>
          <w:tcPr>
            <w:tcW w:w="3072" w:type="pct"/>
            <w:tcBorders>
              <w:top w:val="single" w:sz="4" w:space="0" w:color="F79646"/>
              <w:left w:val="nil"/>
              <w:bottom w:val="single" w:sz="4" w:space="0" w:color="F79646"/>
              <w:right w:val="nil"/>
            </w:tcBorders>
            <w:shd w:val="clear" w:color="auto" w:fill="auto"/>
            <w:noWrap/>
            <w:vAlign w:val="center"/>
          </w:tcPr>
          <w:p w14:paraId="7B41CF7A" w14:textId="77777777" w:rsidR="00B310DC" w:rsidRPr="00E20D21" w:rsidRDefault="00B310DC" w:rsidP="00B310D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Créditos Renegociados</w:t>
            </w:r>
          </w:p>
        </w:tc>
        <w:tc>
          <w:tcPr>
            <w:tcW w:w="1002" w:type="pct"/>
            <w:tcBorders>
              <w:top w:val="single" w:sz="4" w:space="0" w:color="F79646"/>
              <w:left w:val="nil"/>
              <w:bottom w:val="single" w:sz="4" w:space="0" w:color="F79646"/>
              <w:right w:val="nil"/>
            </w:tcBorders>
            <w:shd w:val="clear" w:color="auto" w:fill="auto"/>
            <w:vAlign w:val="center"/>
          </w:tcPr>
          <w:p w14:paraId="26C181AB" w14:textId="42FA9CC4" w:rsidR="00B310DC" w:rsidRPr="00E20D21" w:rsidRDefault="009805A5" w:rsidP="00B310DC">
            <w:pPr>
              <w:ind w:firstLineChars="200" w:firstLine="360"/>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33.650.954</w:t>
            </w:r>
          </w:p>
        </w:tc>
        <w:tc>
          <w:tcPr>
            <w:tcW w:w="926" w:type="pct"/>
            <w:tcBorders>
              <w:top w:val="single" w:sz="4" w:space="0" w:color="F79646"/>
              <w:left w:val="nil"/>
              <w:bottom w:val="single" w:sz="4" w:space="0" w:color="F79646"/>
              <w:right w:val="nil"/>
            </w:tcBorders>
            <w:vAlign w:val="center"/>
          </w:tcPr>
          <w:p w14:paraId="68984AD2" w14:textId="36726FBA" w:rsidR="00B310DC" w:rsidRPr="00E20D21" w:rsidRDefault="00B310DC" w:rsidP="00B310DC">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21.646.588</w:t>
            </w:r>
          </w:p>
        </w:tc>
      </w:tr>
      <w:tr w:rsidR="00B310DC" w:rsidRPr="00E20D21" w14:paraId="52BEC7E7" w14:textId="77777777" w:rsidTr="00495BFD">
        <w:trPr>
          <w:trHeight w:val="283"/>
        </w:trPr>
        <w:tc>
          <w:tcPr>
            <w:tcW w:w="3072" w:type="pct"/>
            <w:tcBorders>
              <w:top w:val="single" w:sz="4" w:space="0" w:color="F79646"/>
              <w:left w:val="nil"/>
              <w:right w:val="nil"/>
            </w:tcBorders>
            <w:shd w:val="clear" w:color="auto" w:fill="auto"/>
            <w:noWrap/>
            <w:vAlign w:val="center"/>
          </w:tcPr>
          <w:p w14:paraId="549F6FBC" w14:textId="77777777" w:rsidR="00B310DC" w:rsidRPr="00E20D21" w:rsidRDefault="00B310DC" w:rsidP="00B310DC">
            <w:pPr>
              <w:rPr>
                <w:rFonts w:ascii="CAIXA Std Book" w:eastAsia="Times New Roman" w:hAnsi="CAIXA Std Book" w:cs="Arial"/>
                <w:b/>
                <w:bCs/>
                <w:color w:val="005CA9"/>
                <w:sz w:val="18"/>
                <w:szCs w:val="18"/>
              </w:rPr>
            </w:pPr>
            <w:r w:rsidRPr="00E20D21">
              <w:rPr>
                <w:rFonts w:ascii="CAIXA Std Book" w:eastAsia="Times New Roman" w:hAnsi="CAIXA Std Book" w:cs="Arial"/>
                <w:color w:val="005CA9"/>
                <w:sz w:val="18"/>
                <w:szCs w:val="18"/>
              </w:rPr>
              <w:t>Operações comerciais</w:t>
            </w:r>
          </w:p>
        </w:tc>
        <w:tc>
          <w:tcPr>
            <w:tcW w:w="1002" w:type="pct"/>
            <w:tcBorders>
              <w:top w:val="single" w:sz="4" w:space="0" w:color="F79646"/>
              <w:left w:val="nil"/>
              <w:right w:val="nil"/>
            </w:tcBorders>
            <w:shd w:val="clear" w:color="auto" w:fill="auto"/>
            <w:vAlign w:val="center"/>
          </w:tcPr>
          <w:p w14:paraId="038E5D90" w14:textId="235CDA08" w:rsidR="00B310DC" w:rsidRPr="00E20D21" w:rsidRDefault="009805A5" w:rsidP="00B310DC">
            <w:pPr>
              <w:ind w:firstLineChars="200" w:firstLine="360"/>
              <w:jc w:val="right"/>
              <w:rPr>
                <w:rFonts w:ascii="CAIXA Std Book" w:hAnsi="CAIXA Std Book" w:cs="Arial"/>
                <w:b/>
                <w:bCs/>
                <w:color w:val="005CA9"/>
                <w:sz w:val="18"/>
                <w:szCs w:val="18"/>
              </w:rPr>
            </w:pPr>
            <w:r w:rsidRPr="00E20D21">
              <w:rPr>
                <w:rFonts w:ascii="CAIXA Std Book" w:hAnsi="CAIXA Std Book" w:cs="Arial"/>
                <w:color w:val="2F75B5"/>
                <w:sz w:val="18"/>
                <w:szCs w:val="18"/>
              </w:rPr>
              <w:t>459.127</w:t>
            </w:r>
          </w:p>
        </w:tc>
        <w:tc>
          <w:tcPr>
            <w:tcW w:w="926" w:type="pct"/>
            <w:tcBorders>
              <w:top w:val="single" w:sz="4" w:space="0" w:color="F79646"/>
              <w:left w:val="nil"/>
              <w:right w:val="nil"/>
            </w:tcBorders>
            <w:vAlign w:val="center"/>
          </w:tcPr>
          <w:p w14:paraId="07A7FDC3" w14:textId="5F3509EF" w:rsidR="00B310DC" w:rsidRPr="00E20D21" w:rsidRDefault="00B310DC" w:rsidP="00B310DC">
            <w:pPr>
              <w:jc w:val="right"/>
              <w:rPr>
                <w:rFonts w:ascii="CAIXA Std Book" w:hAnsi="CAIXA Std Book" w:cs="Arial"/>
                <w:b/>
                <w:bCs/>
                <w:color w:val="005CA9"/>
                <w:sz w:val="18"/>
                <w:szCs w:val="18"/>
              </w:rPr>
            </w:pPr>
            <w:r w:rsidRPr="00E20D21">
              <w:rPr>
                <w:rFonts w:ascii="CAIXA Std Book" w:hAnsi="CAIXA Std Book" w:cs="Arial"/>
                <w:color w:val="005CA9"/>
                <w:sz w:val="18"/>
                <w:szCs w:val="18"/>
              </w:rPr>
              <w:t>282.614</w:t>
            </w:r>
          </w:p>
        </w:tc>
      </w:tr>
      <w:tr w:rsidR="00B310DC" w:rsidRPr="00E20D21" w14:paraId="3E233585" w14:textId="77777777" w:rsidTr="006901B1">
        <w:trPr>
          <w:trHeight w:val="283"/>
        </w:trPr>
        <w:tc>
          <w:tcPr>
            <w:tcW w:w="3072" w:type="pct"/>
            <w:tcBorders>
              <w:left w:val="nil"/>
              <w:bottom w:val="single" w:sz="4" w:space="0" w:color="F79646"/>
              <w:right w:val="nil"/>
            </w:tcBorders>
            <w:shd w:val="clear" w:color="auto" w:fill="auto"/>
            <w:noWrap/>
            <w:vAlign w:val="center"/>
          </w:tcPr>
          <w:p w14:paraId="7C07CD3E" w14:textId="0F1EA937" w:rsidR="00B310DC" w:rsidRPr="00E20D21" w:rsidRDefault="00B310DC" w:rsidP="00B310DC">
            <w:pPr>
              <w:rPr>
                <w:rFonts w:ascii="CAIXA Std Book" w:eastAsia="Times New Roman" w:hAnsi="CAIXA Std Book" w:cs="Arial"/>
                <w:b/>
                <w:bCs/>
                <w:color w:val="005CA9"/>
                <w:sz w:val="18"/>
                <w:szCs w:val="18"/>
              </w:rPr>
            </w:pPr>
            <w:r w:rsidRPr="00E20D21">
              <w:rPr>
                <w:rFonts w:ascii="CAIXA Std Book" w:eastAsia="Times New Roman" w:hAnsi="CAIXA Std Book" w:cs="Arial"/>
                <w:color w:val="005CA9"/>
                <w:sz w:val="18"/>
                <w:szCs w:val="18"/>
              </w:rPr>
              <w:t>Operações habitacionais</w:t>
            </w:r>
            <w:r w:rsidR="00CC7421" w:rsidRPr="00E20D21">
              <w:rPr>
                <w:rFonts w:ascii="CAIXA Std Book" w:eastAsia="Times New Roman" w:hAnsi="CAIXA Std Book" w:cs="Arial"/>
                <w:color w:val="005CA9"/>
                <w:sz w:val="18"/>
                <w:szCs w:val="18"/>
              </w:rPr>
              <w:t xml:space="preserve"> (1)</w:t>
            </w:r>
          </w:p>
        </w:tc>
        <w:tc>
          <w:tcPr>
            <w:tcW w:w="1002" w:type="pct"/>
            <w:tcBorders>
              <w:left w:val="nil"/>
              <w:bottom w:val="single" w:sz="4" w:space="0" w:color="F79646"/>
              <w:right w:val="nil"/>
            </w:tcBorders>
            <w:shd w:val="clear" w:color="auto" w:fill="auto"/>
            <w:vAlign w:val="center"/>
          </w:tcPr>
          <w:p w14:paraId="5259CC0B" w14:textId="76A3B394" w:rsidR="00B310DC" w:rsidRPr="00E20D21" w:rsidRDefault="00095841" w:rsidP="006901B1">
            <w:pPr>
              <w:jc w:val="right"/>
              <w:rPr>
                <w:rFonts w:ascii="CAIXA Std Book" w:hAnsi="CAIXA Std Book" w:cs="Arial"/>
                <w:color w:val="2F75B5"/>
                <w:sz w:val="18"/>
                <w:szCs w:val="18"/>
              </w:rPr>
            </w:pPr>
            <w:r w:rsidRPr="00E20D21">
              <w:rPr>
                <w:rFonts w:ascii="CAIXA Std Book" w:hAnsi="CAIXA Std Book" w:cs="Arial"/>
                <w:color w:val="2F75B5"/>
                <w:sz w:val="18"/>
                <w:szCs w:val="18"/>
              </w:rPr>
              <w:t>33.191.827</w:t>
            </w:r>
          </w:p>
        </w:tc>
        <w:tc>
          <w:tcPr>
            <w:tcW w:w="926" w:type="pct"/>
            <w:tcBorders>
              <w:left w:val="nil"/>
              <w:bottom w:val="single" w:sz="4" w:space="0" w:color="F79646"/>
              <w:right w:val="nil"/>
            </w:tcBorders>
            <w:vAlign w:val="center"/>
          </w:tcPr>
          <w:p w14:paraId="59F59A09" w14:textId="10CB0E16" w:rsidR="00B310DC" w:rsidRPr="00E20D21" w:rsidRDefault="00B310DC" w:rsidP="006901B1">
            <w:pPr>
              <w:jc w:val="right"/>
              <w:rPr>
                <w:rFonts w:ascii="CAIXA Std Book" w:hAnsi="CAIXA Std Book" w:cs="Arial"/>
                <w:b/>
                <w:bCs/>
                <w:color w:val="005CA9"/>
                <w:sz w:val="18"/>
                <w:szCs w:val="18"/>
              </w:rPr>
            </w:pPr>
            <w:r w:rsidRPr="00E20D21">
              <w:rPr>
                <w:rFonts w:ascii="CAIXA Std Book" w:hAnsi="CAIXA Std Book" w:cs="Arial"/>
                <w:color w:val="005CA9"/>
                <w:sz w:val="18"/>
                <w:szCs w:val="18"/>
              </w:rPr>
              <w:t>21.363.974</w:t>
            </w:r>
          </w:p>
        </w:tc>
      </w:tr>
    </w:tbl>
    <w:p w14:paraId="7810D06F" w14:textId="4C7BCB0E" w:rsidR="00CC7421" w:rsidRPr="00E20D21" w:rsidRDefault="00CC7421" w:rsidP="00CC7421">
      <w:pPr>
        <w:jc w:val="both"/>
        <w:rPr>
          <w:rFonts w:ascii="CAIXA Std Book" w:hAnsi="CAIXA Std Book"/>
          <w:b/>
          <w:color w:val="005CA9"/>
          <w:sz w:val="20"/>
          <w:szCs w:val="20"/>
        </w:rPr>
      </w:pPr>
      <w:r w:rsidRPr="00E20D21">
        <w:rPr>
          <w:rFonts w:ascii="CAIXA Std Book" w:hAnsi="CAIXA Std Book"/>
          <w:color w:val="005CA9"/>
          <w:sz w:val="16"/>
          <w:szCs w:val="16"/>
        </w:rPr>
        <w:t>(1) Incremento</w:t>
      </w:r>
      <w:r w:rsidR="00F02C97" w:rsidRPr="00E20D21">
        <w:rPr>
          <w:rFonts w:ascii="CAIXA Std Book" w:hAnsi="CAIXA Std Book"/>
          <w:color w:val="005CA9"/>
          <w:sz w:val="16"/>
          <w:szCs w:val="16"/>
        </w:rPr>
        <w:t xml:space="preserve"> de contratos renegociados </w:t>
      </w:r>
      <w:r w:rsidR="00BE0B8C" w:rsidRPr="00E20D21">
        <w:rPr>
          <w:rFonts w:ascii="CAIXA Std Book" w:hAnsi="CAIXA Std Book"/>
          <w:color w:val="005CA9"/>
          <w:sz w:val="16"/>
          <w:szCs w:val="16"/>
        </w:rPr>
        <w:t>decorrente</w:t>
      </w:r>
      <w:r w:rsidR="00DF6FE7" w:rsidRPr="00E20D21">
        <w:rPr>
          <w:rFonts w:ascii="CAIXA Std Book" w:hAnsi="CAIXA Std Book"/>
          <w:color w:val="005CA9"/>
          <w:sz w:val="16"/>
          <w:szCs w:val="16"/>
        </w:rPr>
        <w:t>s</w:t>
      </w:r>
      <w:r w:rsidR="00BE0B8C" w:rsidRPr="00E20D21">
        <w:rPr>
          <w:rFonts w:ascii="CAIXA Std Book" w:hAnsi="CAIXA Std Book"/>
          <w:color w:val="005CA9"/>
          <w:sz w:val="16"/>
          <w:szCs w:val="16"/>
        </w:rPr>
        <w:t xml:space="preserve"> da</w:t>
      </w:r>
      <w:r w:rsidR="00F02C97" w:rsidRPr="00E20D21">
        <w:rPr>
          <w:rFonts w:ascii="CAIXA Std Book" w:hAnsi="CAIXA Std Book"/>
          <w:color w:val="005CA9"/>
          <w:sz w:val="16"/>
          <w:szCs w:val="16"/>
        </w:rPr>
        <w:t xml:space="preserve"> calamidade do Rio Grande do Sul.</w:t>
      </w:r>
    </w:p>
    <w:p w14:paraId="77A1A3CE" w14:textId="45701635" w:rsidR="00F8586F" w:rsidRPr="00E20D21" w:rsidRDefault="00F8586F" w:rsidP="00BF7D51">
      <w:p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w:t>
      </w:r>
      <w:r w:rsidR="000047BD" w:rsidRPr="00E20D21">
        <w:rPr>
          <w:rFonts w:ascii="CAIXA Std Book" w:hAnsi="CAIXA Std Book"/>
          <w:b/>
          <w:color w:val="005CA9"/>
          <w:sz w:val="20"/>
          <w:szCs w:val="20"/>
        </w:rPr>
        <w:t>g</w:t>
      </w:r>
      <w:r w:rsidRPr="00E20D21">
        <w:rPr>
          <w:rFonts w:ascii="CAIXA Std Book" w:hAnsi="CAIXA Std Book"/>
          <w:b/>
          <w:color w:val="005CA9"/>
          <w:sz w:val="20"/>
          <w:szCs w:val="20"/>
        </w:rPr>
        <w:t>)</w:t>
      </w:r>
      <w:r w:rsidRPr="00E20D21">
        <w:rPr>
          <w:rFonts w:ascii="CAIXA Std Book" w:hAnsi="CAIXA Std Book"/>
          <w:b/>
          <w:color w:val="005CA9"/>
          <w:sz w:val="20"/>
          <w:szCs w:val="20"/>
        </w:rPr>
        <w:tab/>
      </w:r>
      <w:r w:rsidR="00BA44FA" w:rsidRPr="00E20D21">
        <w:rPr>
          <w:rFonts w:ascii="CAIXA Std Book" w:hAnsi="CAIXA Std Book"/>
          <w:b/>
          <w:color w:val="005CA9"/>
          <w:sz w:val="20"/>
          <w:szCs w:val="20"/>
        </w:rPr>
        <w:t xml:space="preserve">Movimentação da provisão para </w:t>
      </w:r>
      <w:r w:rsidR="00C06DA5" w:rsidRPr="00E20D21">
        <w:rPr>
          <w:rFonts w:ascii="CAIXA Std Book" w:hAnsi="CAIXA Std Book"/>
          <w:b/>
          <w:color w:val="005CA9"/>
          <w:sz w:val="20"/>
          <w:szCs w:val="20"/>
        </w:rPr>
        <w:t>perdas associadas ao risco de crédito</w:t>
      </w:r>
    </w:p>
    <w:tbl>
      <w:tblPr>
        <w:tblW w:w="5000" w:type="pct"/>
        <w:tblCellMar>
          <w:left w:w="70" w:type="dxa"/>
          <w:right w:w="70" w:type="dxa"/>
        </w:tblCellMar>
        <w:tblLook w:val="04A0" w:firstRow="1" w:lastRow="0" w:firstColumn="1" w:lastColumn="0" w:noHBand="0" w:noVBand="1"/>
      </w:tblPr>
      <w:tblGrid>
        <w:gridCol w:w="5954"/>
        <w:gridCol w:w="1843"/>
        <w:gridCol w:w="1841"/>
      </w:tblGrid>
      <w:tr w:rsidR="00A47C19" w:rsidRPr="00E20D21" w14:paraId="16F752B0" w14:textId="77777777" w:rsidTr="009B5DAD">
        <w:trPr>
          <w:trHeight w:val="283"/>
        </w:trPr>
        <w:tc>
          <w:tcPr>
            <w:tcW w:w="5000" w:type="pct"/>
            <w:gridSpan w:val="3"/>
            <w:tcBorders>
              <w:top w:val="single" w:sz="4" w:space="0" w:color="F79646"/>
              <w:left w:val="nil"/>
              <w:bottom w:val="single" w:sz="4" w:space="0" w:color="F79646"/>
              <w:right w:val="nil"/>
            </w:tcBorders>
            <w:vAlign w:val="center"/>
          </w:tcPr>
          <w:p w14:paraId="60EA48CA" w14:textId="5C385096" w:rsidR="000B4F31" w:rsidRPr="00E20D21" w:rsidRDefault="000B4F3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CONSOLIDADO</w:t>
            </w:r>
          </w:p>
        </w:tc>
      </w:tr>
      <w:tr w:rsidR="00A47C19" w:rsidRPr="00E20D21" w14:paraId="2F9E1AB1" w14:textId="77777777" w:rsidTr="002A730F">
        <w:trPr>
          <w:trHeight w:val="283"/>
        </w:trPr>
        <w:tc>
          <w:tcPr>
            <w:tcW w:w="3089" w:type="pct"/>
            <w:vMerge w:val="restart"/>
            <w:tcBorders>
              <w:top w:val="single" w:sz="4" w:space="0" w:color="F79646"/>
              <w:left w:val="nil"/>
              <w:bottom w:val="single" w:sz="4" w:space="0" w:color="F39200"/>
              <w:right w:val="nil"/>
            </w:tcBorders>
            <w:shd w:val="clear" w:color="auto" w:fill="auto"/>
            <w:noWrap/>
            <w:vAlign w:val="center"/>
            <w:hideMark/>
          </w:tcPr>
          <w:p w14:paraId="292BF398" w14:textId="77777777" w:rsidR="000B4F31" w:rsidRPr="00E20D21" w:rsidRDefault="000B4F3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Descrição </w:t>
            </w:r>
          </w:p>
        </w:tc>
        <w:tc>
          <w:tcPr>
            <w:tcW w:w="956" w:type="pct"/>
            <w:tcBorders>
              <w:top w:val="single" w:sz="4" w:space="0" w:color="F79646"/>
              <w:left w:val="nil"/>
              <w:bottom w:val="single" w:sz="4" w:space="0" w:color="F79646"/>
              <w:right w:val="nil"/>
            </w:tcBorders>
            <w:shd w:val="clear" w:color="auto" w:fill="auto"/>
            <w:noWrap/>
            <w:vAlign w:val="center"/>
            <w:hideMark/>
          </w:tcPr>
          <w:p w14:paraId="162CD6E7" w14:textId="33E32C53" w:rsidR="000B4F31" w:rsidRPr="00E20D21" w:rsidRDefault="000B4F3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955" w:type="pct"/>
            <w:tcBorders>
              <w:top w:val="single" w:sz="4" w:space="0" w:color="F79646"/>
              <w:left w:val="nil"/>
              <w:bottom w:val="single" w:sz="4" w:space="0" w:color="F79646"/>
              <w:right w:val="nil"/>
            </w:tcBorders>
            <w:shd w:val="clear" w:color="auto" w:fill="auto"/>
            <w:vAlign w:val="center"/>
          </w:tcPr>
          <w:p w14:paraId="513D16BC" w14:textId="7D962CFE" w:rsidR="000B4F31" w:rsidRPr="00E20D21" w:rsidRDefault="000B4F3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A47C19" w:rsidRPr="00E20D21" w14:paraId="3CFCFE57" w14:textId="77777777" w:rsidTr="002A730F">
        <w:trPr>
          <w:trHeight w:val="283"/>
        </w:trPr>
        <w:tc>
          <w:tcPr>
            <w:tcW w:w="3089" w:type="pct"/>
            <w:vMerge/>
            <w:tcBorders>
              <w:top w:val="single" w:sz="4" w:space="0" w:color="F79646"/>
              <w:left w:val="nil"/>
              <w:bottom w:val="single" w:sz="4" w:space="0" w:color="F39200"/>
              <w:right w:val="nil"/>
            </w:tcBorders>
            <w:vAlign w:val="center"/>
            <w:hideMark/>
          </w:tcPr>
          <w:p w14:paraId="5F72BD75" w14:textId="77777777" w:rsidR="000B4F31" w:rsidRPr="00E20D21" w:rsidRDefault="000B4F31">
            <w:pPr>
              <w:rPr>
                <w:rFonts w:ascii="CAIXA Std Book" w:eastAsia="Times New Roman" w:hAnsi="CAIXA Std Book" w:cs="Arial"/>
                <w:b/>
                <w:bCs/>
                <w:color w:val="005CA9"/>
                <w:sz w:val="18"/>
                <w:szCs w:val="18"/>
              </w:rPr>
            </w:pPr>
          </w:p>
        </w:tc>
        <w:tc>
          <w:tcPr>
            <w:tcW w:w="956" w:type="pct"/>
            <w:tcBorders>
              <w:top w:val="single" w:sz="4" w:space="0" w:color="F79646"/>
              <w:left w:val="nil"/>
              <w:bottom w:val="single" w:sz="4" w:space="0" w:color="F79646"/>
              <w:right w:val="nil"/>
            </w:tcBorders>
            <w:shd w:val="clear" w:color="auto" w:fill="auto"/>
            <w:vAlign w:val="center"/>
          </w:tcPr>
          <w:p w14:paraId="4FDB2471" w14:textId="77777777" w:rsidR="000B4F31" w:rsidRPr="00E20D21" w:rsidRDefault="000B4F3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955" w:type="pct"/>
            <w:tcBorders>
              <w:top w:val="single" w:sz="4" w:space="0" w:color="F79646"/>
              <w:left w:val="nil"/>
              <w:bottom w:val="single" w:sz="4" w:space="0" w:color="F79646"/>
              <w:right w:val="nil"/>
            </w:tcBorders>
            <w:vAlign w:val="center"/>
          </w:tcPr>
          <w:p w14:paraId="2511F552" w14:textId="77777777" w:rsidR="000B4F31" w:rsidRPr="00E20D21" w:rsidRDefault="000B4F31">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9D1D90" w:rsidRPr="00E20D21" w14:paraId="064E17A9" w14:textId="77777777" w:rsidTr="002A730F">
        <w:trPr>
          <w:trHeight w:val="283"/>
        </w:trPr>
        <w:tc>
          <w:tcPr>
            <w:tcW w:w="3089" w:type="pct"/>
            <w:tcBorders>
              <w:top w:val="nil"/>
              <w:left w:val="nil"/>
              <w:bottom w:val="single" w:sz="4" w:space="0" w:color="F79646"/>
              <w:right w:val="nil"/>
            </w:tcBorders>
            <w:shd w:val="clear" w:color="auto" w:fill="auto"/>
            <w:noWrap/>
            <w:vAlign w:val="center"/>
            <w:hideMark/>
          </w:tcPr>
          <w:p w14:paraId="50B6283F" w14:textId="77777777" w:rsidR="009D1D90" w:rsidRPr="00E20D21" w:rsidRDefault="009D1D90" w:rsidP="009D1D90">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Saldo inicial</w:t>
            </w:r>
          </w:p>
        </w:tc>
        <w:tc>
          <w:tcPr>
            <w:tcW w:w="956" w:type="pct"/>
            <w:tcBorders>
              <w:top w:val="single" w:sz="4" w:space="0" w:color="F79646"/>
              <w:left w:val="nil"/>
              <w:bottom w:val="single" w:sz="4" w:space="0" w:color="F79646"/>
              <w:right w:val="nil"/>
            </w:tcBorders>
            <w:shd w:val="clear" w:color="auto" w:fill="auto"/>
            <w:vAlign w:val="center"/>
          </w:tcPr>
          <w:p w14:paraId="7732CE27" w14:textId="0524BEBF" w:rsidR="009D1D90" w:rsidRPr="00E20D21" w:rsidRDefault="009D1D90" w:rsidP="009D1D90">
            <w:pPr>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(49.842.524)</w:t>
            </w:r>
          </w:p>
        </w:tc>
        <w:tc>
          <w:tcPr>
            <w:tcW w:w="955" w:type="pct"/>
            <w:tcBorders>
              <w:top w:val="single" w:sz="4" w:space="0" w:color="F79646"/>
              <w:left w:val="nil"/>
              <w:bottom w:val="single" w:sz="4" w:space="0" w:color="F79646"/>
              <w:right w:val="nil"/>
            </w:tcBorders>
            <w:vAlign w:val="center"/>
          </w:tcPr>
          <w:p w14:paraId="731BA321" w14:textId="74938A41" w:rsidR="009D1D90" w:rsidRPr="00E20D21" w:rsidRDefault="009D1D90" w:rsidP="009D1D90">
            <w:pPr>
              <w:jc w:val="right"/>
              <w:rPr>
                <w:rFonts w:ascii="CAIXA Std Book" w:eastAsia="Times New Roman" w:hAnsi="CAIXA Std Book" w:cs="Times New Roman"/>
                <w:color w:val="005CA9"/>
                <w:sz w:val="18"/>
                <w:szCs w:val="18"/>
              </w:rPr>
            </w:pPr>
            <w:r w:rsidRPr="00E20D21">
              <w:rPr>
                <w:rFonts w:ascii="CAIXA Std Book" w:hAnsi="CAIXA Std Book" w:cs="Arial"/>
                <w:b/>
                <w:bCs/>
                <w:color w:val="005CA9"/>
                <w:sz w:val="18"/>
                <w:szCs w:val="18"/>
              </w:rPr>
              <w:t>(46.427.588)</w:t>
            </w:r>
          </w:p>
        </w:tc>
      </w:tr>
      <w:tr w:rsidR="009D1D90" w:rsidRPr="00E20D21" w14:paraId="039E1A90" w14:textId="77777777" w:rsidTr="002A730F">
        <w:trPr>
          <w:trHeight w:val="283"/>
        </w:trPr>
        <w:tc>
          <w:tcPr>
            <w:tcW w:w="3089" w:type="pct"/>
            <w:tcBorders>
              <w:top w:val="single" w:sz="4" w:space="0" w:color="F79646"/>
              <w:left w:val="nil"/>
              <w:bottom w:val="nil"/>
              <w:right w:val="nil"/>
            </w:tcBorders>
            <w:shd w:val="clear" w:color="auto" w:fill="auto"/>
            <w:noWrap/>
            <w:vAlign w:val="center"/>
            <w:hideMark/>
          </w:tcPr>
          <w:p w14:paraId="7CEE6CCE" w14:textId="77777777" w:rsidR="009D1D90" w:rsidRPr="00E20D21" w:rsidRDefault="009D1D90" w:rsidP="009D1D90">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Constituição/Reversão de provisão no período</w:t>
            </w:r>
          </w:p>
        </w:tc>
        <w:tc>
          <w:tcPr>
            <w:tcW w:w="956" w:type="pct"/>
            <w:tcBorders>
              <w:top w:val="single" w:sz="4" w:space="0" w:color="F79646"/>
              <w:left w:val="nil"/>
              <w:bottom w:val="nil"/>
              <w:right w:val="nil"/>
            </w:tcBorders>
            <w:shd w:val="clear" w:color="auto" w:fill="auto"/>
            <w:vAlign w:val="center"/>
          </w:tcPr>
          <w:p w14:paraId="61D126CD" w14:textId="6DB651D1" w:rsidR="009D1D90" w:rsidRPr="00E20D21" w:rsidRDefault="009D1D90" w:rsidP="009D1D90">
            <w:pPr>
              <w:jc w:val="right"/>
              <w:rPr>
                <w:rFonts w:ascii="CAIXA Std Book" w:eastAsia="Times New Roman" w:hAnsi="CAIXA Std Book" w:cs="Arial"/>
                <w:color w:val="005CA9"/>
                <w:sz w:val="18"/>
                <w:szCs w:val="18"/>
              </w:rPr>
            </w:pPr>
            <w:r w:rsidRPr="00E20D21">
              <w:rPr>
                <w:rFonts w:ascii="CAIXA Std Book" w:hAnsi="CAIXA Std Book" w:cs="Arial"/>
                <w:bCs/>
                <w:color w:val="005CA9"/>
                <w:sz w:val="18"/>
                <w:szCs w:val="18"/>
              </w:rPr>
              <w:t>(9.344.280)</w:t>
            </w:r>
          </w:p>
        </w:tc>
        <w:tc>
          <w:tcPr>
            <w:tcW w:w="955" w:type="pct"/>
            <w:tcBorders>
              <w:top w:val="single" w:sz="4" w:space="0" w:color="F79646"/>
              <w:left w:val="nil"/>
              <w:bottom w:val="nil"/>
              <w:right w:val="nil"/>
            </w:tcBorders>
            <w:vAlign w:val="center"/>
          </w:tcPr>
          <w:p w14:paraId="2FCA6C00" w14:textId="5B2BCC08" w:rsidR="009D1D90" w:rsidRPr="00E20D21" w:rsidRDefault="009D1D90" w:rsidP="009D1D9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(9.741.803)</w:t>
            </w:r>
          </w:p>
        </w:tc>
      </w:tr>
      <w:tr w:rsidR="009D1D90" w:rsidRPr="00E20D21" w14:paraId="1F22A479" w14:textId="77777777" w:rsidTr="002A730F">
        <w:trPr>
          <w:trHeight w:val="283"/>
        </w:trPr>
        <w:tc>
          <w:tcPr>
            <w:tcW w:w="3089" w:type="pct"/>
            <w:tcBorders>
              <w:top w:val="nil"/>
              <w:left w:val="nil"/>
              <w:bottom w:val="single" w:sz="4" w:space="0" w:color="F79646"/>
              <w:right w:val="nil"/>
            </w:tcBorders>
            <w:shd w:val="clear" w:color="auto" w:fill="auto"/>
            <w:noWrap/>
            <w:vAlign w:val="center"/>
            <w:hideMark/>
          </w:tcPr>
          <w:p w14:paraId="636DC2A1" w14:textId="77777777" w:rsidR="009D1D90" w:rsidRPr="00E20D21" w:rsidRDefault="009D1D90" w:rsidP="009D1D90">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Transferência para prejuízo</w:t>
            </w:r>
          </w:p>
        </w:tc>
        <w:tc>
          <w:tcPr>
            <w:tcW w:w="956" w:type="pct"/>
            <w:tcBorders>
              <w:top w:val="nil"/>
              <w:left w:val="nil"/>
              <w:bottom w:val="single" w:sz="4" w:space="0" w:color="F79646"/>
              <w:right w:val="nil"/>
            </w:tcBorders>
            <w:shd w:val="clear" w:color="auto" w:fill="auto"/>
            <w:vAlign w:val="center"/>
          </w:tcPr>
          <w:p w14:paraId="04D07CCC" w14:textId="066DB41E" w:rsidR="009D1D90" w:rsidRPr="00E20D21" w:rsidRDefault="009D1D90" w:rsidP="009D1D90">
            <w:pPr>
              <w:jc w:val="right"/>
              <w:rPr>
                <w:rFonts w:ascii="CAIXA Std Book" w:eastAsia="Times New Roman" w:hAnsi="CAIXA Std Book" w:cs="Arial"/>
                <w:color w:val="005CA9"/>
                <w:sz w:val="18"/>
                <w:szCs w:val="18"/>
              </w:rPr>
            </w:pPr>
            <w:r w:rsidRPr="00E20D21">
              <w:rPr>
                <w:rFonts w:ascii="CAIXA Std Book" w:hAnsi="CAIXA Std Book" w:cs="Arial"/>
                <w:bCs/>
                <w:color w:val="005CA9"/>
                <w:sz w:val="18"/>
                <w:szCs w:val="18"/>
              </w:rPr>
              <w:t>8.664.368</w:t>
            </w:r>
          </w:p>
        </w:tc>
        <w:tc>
          <w:tcPr>
            <w:tcW w:w="955" w:type="pct"/>
            <w:tcBorders>
              <w:top w:val="nil"/>
              <w:left w:val="nil"/>
              <w:bottom w:val="single" w:sz="4" w:space="0" w:color="F79646"/>
              <w:right w:val="nil"/>
            </w:tcBorders>
            <w:vAlign w:val="center"/>
          </w:tcPr>
          <w:p w14:paraId="4D505D93" w14:textId="3A3F48D1" w:rsidR="009D1D90" w:rsidRPr="00E20D21" w:rsidRDefault="009D1D90" w:rsidP="009D1D90">
            <w:pPr>
              <w:jc w:val="right"/>
              <w:rPr>
                <w:rFonts w:ascii="CAIXA Std Book" w:eastAsia="Times New Roman" w:hAnsi="CAIXA Std Book" w:cs="Times New Roman"/>
                <w:color w:val="005CA9"/>
                <w:sz w:val="18"/>
                <w:szCs w:val="18"/>
              </w:rPr>
            </w:pPr>
            <w:r w:rsidRPr="00E20D21">
              <w:rPr>
                <w:rFonts w:ascii="CAIXA Std Book" w:hAnsi="CAIXA Std Book" w:cs="Arial"/>
                <w:color w:val="005CA9"/>
                <w:sz w:val="18"/>
                <w:szCs w:val="18"/>
              </w:rPr>
              <w:t>5.888.991</w:t>
            </w:r>
          </w:p>
        </w:tc>
      </w:tr>
      <w:tr w:rsidR="009D1D90" w:rsidRPr="00E20D21" w14:paraId="367F75FA" w14:textId="77777777" w:rsidTr="002A730F">
        <w:trPr>
          <w:trHeight w:val="283"/>
        </w:trPr>
        <w:tc>
          <w:tcPr>
            <w:tcW w:w="3089" w:type="pct"/>
            <w:tcBorders>
              <w:top w:val="single" w:sz="4" w:space="0" w:color="F79646"/>
              <w:left w:val="nil"/>
              <w:bottom w:val="single" w:sz="4" w:space="0" w:color="F79646"/>
              <w:right w:val="nil"/>
            </w:tcBorders>
            <w:shd w:val="clear" w:color="auto" w:fill="auto"/>
            <w:noWrap/>
            <w:vAlign w:val="center"/>
            <w:hideMark/>
          </w:tcPr>
          <w:p w14:paraId="0F0C8828" w14:textId="77777777" w:rsidR="009D1D90" w:rsidRPr="00E20D21" w:rsidRDefault="009D1D90" w:rsidP="009D1D90">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Saldo final</w:t>
            </w:r>
          </w:p>
        </w:tc>
        <w:tc>
          <w:tcPr>
            <w:tcW w:w="956" w:type="pct"/>
            <w:tcBorders>
              <w:top w:val="single" w:sz="4" w:space="0" w:color="F79646"/>
              <w:left w:val="nil"/>
              <w:bottom w:val="single" w:sz="4" w:space="0" w:color="F79646"/>
              <w:right w:val="nil"/>
            </w:tcBorders>
            <w:shd w:val="clear" w:color="auto" w:fill="auto"/>
            <w:vAlign w:val="center"/>
          </w:tcPr>
          <w:p w14:paraId="6ED023F8" w14:textId="39A399AC" w:rsidR="009D1D90" w:rsidRPr="00E20D21" w:rsidRDefault="009D1D90" w:rsidP="009D1D90">
            <w:pPr>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(50.522.436)</w:t>
            </w:r>
          </w:p>
        </w:tc>
        <w:tc>
          <w:tcPr>
            <w:tcW w:w="955" w:type="pct"/>
            <w:tcBorders>
              <w:top w:val="single" w:sz="4" w:space="0" w:color="F79646"/>
              <w:left w:val="nil"/>
              <w:bottom w:val="single" w:sz="4" w:space="0" w:color="F79646"/>
              <w:right w:val="nil"/>
            </w:tcBorders>
            <w:vAlign w:val="center"/>
          </w:tcPr>
          <w:p w14:paraId="4200DF33" w14:textId="28D941B5" w:rsidR="009D1D90" w:rsidRPr="00E20D21" w:rsidRDefault="009D1D90" w:rsidP="009D1D90">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(50.280.400)</w:t>
            </w:r>
          </w:p>
        </w:tc>
      </w:tr>
    </w:tbl>
    <w:p w14:paraId="58FBEC0B" w14:textId="77777777" w:rsidR="00E3677A" w:rsidRPr="00E20D21" w:rsidRDefault="00E3677A">
      <w:pPr>
        <w:rPr>
          <w:rFonts w:ascii="CAIXA Std Book" w:hAnsi="CAIXA Std Book"/>
          <w:b/>
          <w:color w:val="005CA9"/>
          <w:sz w:val="20"/>
          <w:szCs w:val="20"/>
        </w:rPr>
      </w:pPr>
      <w:r w:rsidRPr="00E20D21">
        <w:rPr>
          <w:rFonts w:ascii="CAIXA Std Book" w:hAnsi="CAIXA Std Book"/>
          <w:b/>
          <w:color w:val="005CA9"/>
          <w:sz w:val="20"/>
          <w:szCs w:val="20"/>
        </w:rPr>
        <w:br w:type="page"/>
      </w:r>
    </w:p>
    <w:p w14:paraId="1948DA97" w14:textId="36619773" w:rsidR="00BA44FA" w:rsidRPr="00E20D21" w:rsidRDefault="00112BDB" w:rsidP="00112BDB">
      <w:p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lastRenderedPageBreak/>
        <w:t>(</w:t>
      </w:r>
      <w:r w:rsidR="003A5E17" w:rsidRPr="00E20D21">
        <w:rPr>
          <w:rFonts w:ascii="CAIXA Std Book" w:hAnsi="CAIXA Std Book"/>
          <w:b/>
          <w:color w:val="005CA9"/>
          <w:sz w:val="20"/>
          <w:szCs w:val="20"/>
        </w:rPr>
        <w:t>h</w:t>
      </w:r>
      <w:r w:rsidR="00BA44FA" w:rsidRPr="00E20D21">
        <w:rPr>
          <w:rFonts w:ascii="CAIXA Std Book" w:hAnsi="CAIXA Std Book"/>
          <w:b/>
          <w:color w:val="005CA9"/>
          <w:sz w:val="20"/>
          <w:szCs w:val="20"/>
        </w:rPr>
        <w:t>)</w:t>
      </w:r>
      <w:r w:rsidR="00BA44FA" w:rsidRPr="00E20D21">
        <w:rPr>
          <w:rFonts w:ascii="CAIXA Std Book" w:hAnsi="CAIXA Std Book"/>
          <w:b/>
          <w:color w:val="005CA9"/>
          <w:sz w:val="20"/>
          <w:szCs w:val="20"/>
        </w:rPr>
        <w:tab/>
        <w:t xml:space="preserve">Concentração dos principais devedores </w:t>
      </w:r>
    </w:p>
    <w:tbl>
      <w:tblPr>
        <w:tblW w:w="5000" w:type="pct"/>
        <w:tblCellMar>
          <w:left w:w="70" w:type="dxa"/>
          <w:right w:w="70" w:type="dxa"/>
        </w:tblCellMar>
        <w:tblLook w:val="04A0" w:firstRow="1" w:lastRow="0" w:firstColumn="1" w:lastColumn="0" w:noHBand="0" w:noVBand="1"/>
      </w:tblPr>
      <w:tblGrid>
        <w:gridCol w:w="3878"/>
        <w:gridCol w:w="1648"/>
        <w:gridCol w:w="1232"/>
        <w:gridCol w:w="1650"/>
        <w:gridCol w:w="1230"/>
      </w:tblGrid>
      <w:tr w:rsidR="00A47C19" w:rsidRPr="00E20D21" w14:paraId="306E7F93" w14:textId="77777777" w:rsidTr="00495BFD">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tcPr>
          <w:p w14:paraId="3C0F4247" w14:textId="63EF7D0B" w:rsidR="006178EE" w:rsidRPr="00E20D21" w:rsidRDefault="006178EE" w:rsidP="00FE3E84">
            <w:pPr>
              <w:jc w:val="center"/>
              <w:rPr>
                <w:rFonts w:ascii="CAIXA Std Book" w:hAnsi="CAIXA Std Book"/>
                <w:b/>
                <w:color w:val="005CA9"/>
                <w:sz w:val="18"/>
                <w:szCs w:val="18"/>
              </w:rPr>
            </w:pPr>
            <w:r w:rsidRPr="00E20D21">
              <w:rPr>
                <w:rFonts w:ascii="CAIXA Std Book" w:hAnsi="CAIXA Std Book"/>
                <w:b/>
                <w:color w:val="005CA9"/>
                <w:sz w:val="18"/>
                <w:szCs w:val="18"/>
              </w:rPr>
              <w:t>INDIVIDUAL</w:t>
            </w:r>
            <w:r w:rsidR="00E20D21">
              <w:rPr>
                <w:rFonts w:ascii="CAIXA Std Book" w:hAnsi="CAIXA Std Book"/>
                <w:b/>
                <w:color w:val="005CA9"/>
                <w:sz w:val="18"/>
                <w:szCs w:val="18"/>
              </w:rPr>
              <w:t xml:space="preserve"> </w:t>
            </w:r>
            <w:r w:rsidRPr="00E20D21">
              <w:rPr>
                <w:rFonts w:ascii="CAIXA Std Book" w:hAnsi="CAIXA Std Book"/>
                <w:b/>
                <w:color w:val="005CA9"/>
                <w:sz w:val="18"/>
                <w:szCs w:val="18"/>
              </w:rPr>
              <w:t>/</w:t>
            </w:r>
            <w:r w:rsidR="00E20D21">
              <w:rPr>
                <w:rFonts w:ascii="CAIXA Std Book" w:hAnsi="CAIXA Std Book"/>
                <w:b/>
                <w:color w:val="005CA9"/>
                <w:sz w:val="18"/>
                <w:szCs w:val="18"/>
              </w:rPr>
              <w:t xml:space="preserve"> </w:t>
            </w:r>
            <w:r w:rsidRPr="00E20D21">
              <w:rPr>
                <w:rFonts w:ascii="CAIXA Std Book" w:hAnsi="CAIXA Std Book"/>
                <w:b/>
                <w:color w:val="005CA9"/>
                <w:sz w:val="18"/>
                <w:szCs w:val="18"/>
              </w:rPr>
              <w:t>CONSOLIDADO</w:t>
            </w:r>
          </w:p>
        </w:tc>
      </w:tr>
      <w:tr w:rsidR="00A47C19" w:rsidRPr="00E20D21" w14:paraId="3A1EBB38" w14:textId="77777777" w:rsidTr="00495BFD">
        <w:trPr>
          <w:trHeight w:val="283"/>
        </w:trPr>
        <w:tc>
          <w:tcPr>
            <w:tcW w:w="2012" w:type="pct"/>
            <w:tcBorders>
              <w:top w:val="single" w:sz="4" w:space="0" w:color="F39200"/>
              <w:left w:val="nil"/>
              <w:bottom w:val="single" w:sz="4" w:space="0" w:color="F39200"/>
              <w:right w:val="nil"/>
            </w:tcBorders>
            <w:shd w:val="clear" w:color="auto" w:fill="auto"/>
            <w:noWrap/>
            <w:vAlign w:val="center"/>
            <w:hideMark/>
          </w:tcPr>
          <w:p w14:paraId="1A2105D1" w14:textId="77777777" w:rsidR="00DD4D38" w:rsidRPr="00E20D21" w:rsidRDefault="00DD4D38" w:rsidP="00DD4D38">
            <w:pPr>
              <w:jc w:val="center"/>
              <w:rPr>
                <w:rFonts w:ascii="CAIXA Std Book" w:hAnsi="CAIXA Std Book"/>
                <w:b/>
                <w:color w:val="005CA9"/>
                <w:sz w:val="18"/>
                <w:szCs w:val="18"/>
              </w:rPr>
            </w:pPr>
            <w:r w:rsidRPr="00E20D21">
              <w:rPr>
                <w:rFonts w:ascii="CAIXA Std Book" w:hAnsi="CAIXA Std Book"/>
                <w:b/>
                <w:color w:val="005CA9"/>
                <w:sz w:val="18"/>
                <w:szCs w:val="18"/>
              </w:rPr>
              <w:t>Descrição</w:t>
            </w:r>
          </w:p>
        </w:tc>
        <w:tc>
          <w:tcPr>
            <w:tcW w:w="855" w:type="pct"/>
            <w:tcBorders>
              <w:top w:val="single" w:sz="4" w:space="0" w:color="F39200"/>
              <w:left w:val="nil"/>
              <w:bottom w:val="single" w:sz="4" w:space="0" w:color="F39200"/>
              <w:right w:val="nil"/>
            </w:tcBorders>
            <w:vAlign w:val="center"/>
          </w:tcPr>
          <w:p w14:paraId="7FE8ED7A" w14:textId="50010311" w:rsidR="00DD4D38" w:rsidRPr="00E20D21" w:rsidRDefault="004632B0" w:rsidP="00DD4D38">
            <w:pPr>
              <w:jc w:val="center"/>
              <w:rPr>
                <w:rFonts w:ascii="CAIXA Std Book" w:hAnsi="CAIXA Std Book"/>
                <w:b/>
                <w:color w:val="005CA9"/>
                <w:sz w:val="18"/>
                <w:szCs w:val="18"/>
              </w:rPr>
            </w:pPr>
            <w:r w:rsidRPr="00E20D21">
              <w:rPr>
                <w:rFonts w:ascii="CAIXA Std Book" w:hAnsi="CAIXA Std Book"/>
                <w:b/>
                <w:color w:val="005CA9"/>
                <w:sz w:val="18"/>
                <w:szCs w:val="18"/>
              </w:rPr>
              <w:t>30/06/2024</w:t>
            </w:r>
          </w:p>
        </w:tc>
        <w:tc>
          <w:tcPr>
            <w:tcW w:w="639" w:type="pct"/>
            <w:tcBorders>
              <w:top w:val="single" w:sz="4" w:space="0" w:color="F39200"/>
              <w:left w:val="nil"/>
              <w:bottom w:val="single" w:sz="4" w:space="0" w:color="F39200"/>
              <w:right w:val="nil"/>
            </w:tcBorders>
            <w:vAlign w:val="center"/>
          </w:tcPr>
          <w:p w14:paraId="25EB5742" w14:textId="77777777" w:rsidR="00DD4D38" w:rsidRPr="00E20D21" w:rsidRDefault="00DD4D38" w:rsidP="00DD4D38">
            <w:pPr>
              <w:jc w:val="center"/>
              <w:rPr>
                <w:rFonts w:ascii="CAIXA Std Book" w:hAnsi="CAIXA Std Book"/>
                <w:b/>
                <w:color w:val="005CA9"/>
                <w:sz w:val="18"/>
                <w:szCs w:val="18"/>
              </w:rPr>
            </w:pPr>
            <w:r w:rsidRPr="00E20D21">
              <w:rPr>
                <w:rFonts w:ascii="CAIXA Std Book" w:hAnsi="CAIXA Std Book"/>
                <w:b/>
                <w:color w:val="005CA9"/>
                <w:sz w:val="18"/>
                <w:szCs w:val="18"/>
              </w:rPr>
              <w:t>%</w:t>
            </w:r>
          </w:p>
        </w:tc>
        <w:tc>
          <w:tcPr>
            <w:tcW w:w="856" w:type="pct"/>
            <w:tcBorders>
              <w:top w:val="single" w:sz="4" w:space="0" w:color="F39200"/>
              <w:left w:val="nil"/>
              <w:bottom w:val="single" w:sz="4" w:space="0" w:color="F39200"/>
              <w:right w:val="nil"/>
            </w:tcBorders>
            <w:shd w:val="clear" w:color="auto" w:fill="auto"/>
            <w:noWrap/>
            <w:vAlign w:val="center"/>
            <w:hideMark/>
          </w:tcPr>
          <w:p w14:paraId="507F5538" w14:textId="1F6693BA" w:rsidR="00DD4D38" w:rsidRPr="00E20D21" w:rsidRDefault="00DD4D38" w:rsidP="00DD4D38">
            <w:pPr>
              <w:jc w:val="center"/>
              <w:rPr>
                <w:rFonts w:ascii="CAIXA Std Book" w:hAnsi="CAIXA Std Book"/>
                <w:b/>
                <w:color w:val="005CA9"/>
                <w:sz w:val="18"/>
                <w:szCs w:val="18"/>
              </w:rPr>
            </w:pPr>
            <w:r w:rsidRPr="00E20D21">
              <w:rPr>
                <w:rFonts w:ascii="CAIXA Std Book" w:hAnsi="CAIXA Std Book"/>
                <w:b/>
                <w:color w:val="005CA9"/>
                <w:sz w:val="18"/>
                <w:szCs w:val="18"/>
              </w:rPr>
              <w:t>31/12/202</w:t>
            </w:r>
            <w:r w:rsidR="004632B0" w:rsidRPr="00E20D21">
              <w:rPr>
                <w:rFonts w:ascii="CAIXA Std Book" w:hAnsi="CAIXA Std Book"/>
                <w:b/>
                <w:color w:val="005CA9"/>
                <w:sz w:val="18"/>
                <w:szCs w:val="18"/>
              </w:rPr>
              <w:t>3</w:t>
            </w:r>
          </w:p>
        </w:tc>
        <w:tc>
          <w:tcPr>
            <w:tcW w:w="638" w:type="pct"/>
            <w:tcBorders>
              <w:top w:val="single" w:sz="4" w:space="0" w:color="F39200"/>
              <w:left w:val="nil"/>
              <w:bottom w:val="single" w:sz="4" w:space="0" w:color="F39200"/>
              <w:right w:val="nil"/>
            </w:tcBorders>
            <w:shd w:val="clear" w:color="auto" w:fill="auto"/>
            <w:noWrap/>
            <w:vAlign w:val="center"/>
            <w:hideMark/>
          </w:tcPr>
          <w:p w14:paraId="3FF521CE" w14:textId="58F31974" w:rsidR="00DD4D38" w:rsidRPr="00E20D21" w:rsidRDefault="00DD4D38" w:rsidP="00DD4D38">
            <w:pPr>
              <w:jc w:val="center"/>
              <w:rPr>
                <w:rFonts w:ascii="CAIXA Std Book" w:hAnsi="CAIXA Std Book"/>
                <w:b/>
                <w:color w:val="005CA9"/>
                <w:sz w:val="18"/>
                <w:szCs w:val="18"/>
              </w:rPr>
            </w:pPr>
            <w:r w:rsidRPr="00E20D21">
              <w:rPr>
                <w:rFonts w:ascii="CAIXA Std Book" w:hAnsi="CAIXA Std Book"/>
                <w:b/>
                <w:color w:val="005CA9"/>
                <w:sz w:val="18"/>
                <w:szCs w:val="18"/>
              </w:rPr>
              <w:t>%</w:t>
            </w:r>
          </w:p>
        </w:tc>
      </w:tr>
      <w:tr w:rsidR="00A47C19" w:rsidRPr="00E20D21" w14:paraId="7BDCB559" w14:textId="77777777" w:rsidTr="00495BFD">
        <w:trPr>
          <w:trHeight w:val="283"/>
        </w:trPr>
        <w:tc>
          <w:tcPr>
            <w:tcW w:w="2012" w:type="pct"/>
            <w:tcBorders>
              <w:top w:val="nil"/>
              <w:left w:val="nil"/>
              <w:bottom w:val="nil"/>
              <w:right w:val="nil"/>
            </w:tcBorders>
            <w:shd w:val="clear" w:color="auto" w:fill="auto"/>
            <w:noWrap/>
            <w:vAlign w:val="center"/>
            <w:hideMark/>
          </w:tcPr>
          <w:p w14:paraId="480135F3" w14:textId="77777777" w:rsidR="002075B2" w:rsidRPr="00E20D21" w:rsidRDefault="002075B2" w:rsidP="002075B2">
            <w:pPr>
              <w:rPr>
                <w:rFonts w:ascii="CAIXA Std Book" w:hAnsi="CAIXA Std Book"/>
                <w:color w:val="005CA9"/>
                <w:sz w:val="18"/>
                <w:szCs w:val="18"/>
              </w:rPr>
            </w:pPr>
            <w:r w:rsidRPr="00E20D21">
              <w:rPr>
                <w:rFonts w:ascii="CAIXA Std Book" w:hAnsi="CAIXA Std Book"/>
                <w:color w:val="005CA9"/>
                <w:sz w:val="18"/>
                <w:szCs w:val="18"/>
              </w:rPr>
              <w:t>Principal devedor</w:t>
            </w:r>
          </w:p>
        </w:tc>
        <w:tc>
          <w:tcPr>
            <w:tcW w:w="855" w:type="pct"/>
            <w:tcBorders>
              <w:top w:val="nil"/>
              <w:left w:val="nil"/>
              <w:bottom w:val="nil"/>
              <w:right w:val="nil"/>
            </w:tcBorders>
            <w:vAlign w:val="center"/>
          </w:tcPr>
          <w:p w14:paraId="717F869D" w14:textId="15963112" w:rsidR="002075B2" w:rsidRPr="00E20D21" w:rsidRDefault="004F4501" w:rsidP="002075B2">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9.208.524</w:t>
            </w:r>
          </w:p>
        </w:tc>
        <w:tc>
          <w:tcPr>
            <w:tcW w:w="639" w:type="pct"/>
            <w:tcBorders>
              <w:top w:val="nil"/>
              <w:left w:val="nil"/>
              <w:bottom w:val="nil"/>
              <w:right w:val="nil"/>
            </w:tcBorders>
            <w:vAlign w:val="center"/>
          </w:tcPr>
          <w:p w14:paraId="445C1EFC" w14:textId="3ACA98EE" w:rsidR="002075B2" w:rsidRPr="00E20D21" w:rsidRDefault="004F4501" w:rsidP="003E3506">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0,78</w:t>
            </w:r>
          </w:p>
        </w:tc>
        <w:tc>
          <w:tcPr>
            <w:tcW w:w="856" w:type="pct"/>
            <w:tcBorders>
              <w:top w:val="nil"/>
              <w:left w:val="nil"/>
              <w:bottom w:val="nil"/>
              <w:right w:val="nil"/>
            </w:tcBorders>
            <w:shd w:val="clear" w:color="auto" w:fill="auto"/>
            <w:noWrap/>
            <w:vAlign w:val="center"/>
          </w:tcPr>
          <w:p w14:paraId="1D1D7D65" w14:textId="3EBBE889" w:rsidR="002075B2" w:rsidRPr="00E20D21" w:rsidRDefault="005659F6" w:rsidP="002075B2">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9.297.320</w:t>
            </w:r>
          </w:p>
        </w:tc>
        <w:tc>
          <w:tcPr>
            <w:tcW w:w="638" w:type="pct"/>
            <w:tcBorders>
              <w:top w:val="nil"/>
              <w:left w:val="nil"/>
              <w:bottom w:val="nil"/>
              <w:right w:val="nil"/>
            </w:tcBorders>
            <w:shd w:val="clear" w:color="auto" w:fill="auto"/>
            <w:noWrap/>
            <w:vAlign w:val="center"/>
          </w:tcPr>
          <w:p w14:paraId="0F6048FC" w14:textId="5E6B00CF" w:rsidR="002075B2" w:rsidRPr="00E20D21" w:rsidRDefault="005659F6" w:rsidP="003E3506">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0,83</w:t>
            </w:r>
          </w:p>
        </w:tc>
      </w:tr>
      <w:tr w:rsidR="00A47C19" w:rsidRPr="00E20D21" w14:paraId="31D91DDC" w14:textId="77777777" w:rsidTr="00495BFD">
        <w:trPr>
          <w:trHeight w:val="283"/>
        </w:trPr>
        <w:tc>
          <w:tcPr>
            <w:tcW w:w="2012" w:type="pct"/>
            <w:tcBorders>
              <w:top w:val="nil"/>
              <w:left w:val="nil"/>
              <w:bottom w:val="nil"/>
              <w:right w:val="nil"/>
            </w:tcBorders>
            <w:shd w:val="clear" w:color="auto" w:fill="auto"/>
            <w:noWrap/>
            <w:vAlign w:val="center"/>
            <w:hideMark/>
          </w:tcPr>
          <w:p w14:paraId="5D261450" w14:textId="77777777" w:rsidR="002075B2" w:rsidRPr="00E20D21" w:rsidRDefault="002075B2" w:rsidP="002075B2">
            <w:pPr>
              <w:rPr>
                <w:rFonts w:ascii="CAIXA Std Book" w:hAnsi="CAIXA Std Book"/>
                <w:color w:val="005CA9"/>
                <w:sz w:val="18"/>
                <w:szCs w:val="18"/>
              </w:rPr>
            </w:pPr>
            <w:r w:rsidRPr="00E20D21">
              <w:rPr>
                <w:rFonts w:ascii="CAIXA Std Book" w:hAnsi="CAIXA Std Book"/>
                <w:color w:val="005CA9"/>
                <w:sz w:val="18"/>
                <w:szCs w:val="18"/>
              </w:rPr>
              <w:t>10 maiores devedores</w:t>
            </w:r>
          </w:p>
        </w:tc>
        <w:tc>
          <w:tcPr>
            <w:tcW w:w="855" w:type="pct"/>
            <w:tcBorders>
              <w:top w:val="nil"/>
              <w:left w:val="nil"/>
              <w:bottom w:val="nil"/>
              <w:right w:val="nil"/>
            </w:tcBorders>
            <w:vAlign w:val="center"/>
          </w:tcPr>
          <w:p w14:paraId="18E61A01" w14:textId="1D89AAA0" w:rsidR="002075B2" w:rsidRPr="00E20D21" w:rsidRDefault="004F4501" w:rsidP="002075B2">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35.827.783</w:t>
            </w:r>
          </w:p>
        </w:tc>
        <w:tc>
          <w:tcPr>
            <w:tcW w:w="639" w:type="pct"/>
            <w:tcBorders>
              <w:top w:val="nil"/>
              <w:left w:val="nil"/>
              <w:bottom w:val="nil"/>
              <w:right w:val="nil"/>
            </w:tcBorders>
            <w:vAlign w:val="center"/>
          </w:tcPr>
          <w:p w14:paraId="4E806324" w14:textId="0959C78B" w:rsidR="002075B2" w:rsidRPr="00E20D21" w:rsidRDefault="004F4501" w:rsidP="003E3506">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3,05</w:t>
            </w:r>
          </w:p>
        </w:tc>
        <w:tc>
          <w:tcPr>
            <w:tcW w:w="856" w:type="pct"/>
            <w:tcBorders>
              <w:top w:val="nil"/>
              <w:left w:val="nil"/>
              <w:bottom w:val="nil"/>
              <w:right w:val="nil"/>
            </w:tcBorders>
            <w:shd w:val="clear" w:color="auto" w:fill="auto"/>
            <w:noWrap/>
            <w:vAlign w:val="center"/>
          </w:tcPr>
          <w:p w14:paraId="2E68408F" w14:textId="6DE9C672" w:rsidR="002075B2" w:rsidRPr="00E20D21" w:rsidRDefault="007D2E36" w:rsidP="002075B2">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35.128.250</w:t>
            </w:r>
          </w:p>
        </w:tc>
        <w:tc>
          <w:tcPr>
            <w:tcW w:w="638" w:type="pct"/>
            <w:tcBorders>
              <w:top w:val="nil"/>
              <w:left w:val="nil"/>
              <w:bottom w:val="nil"/>
              <w:right w:val="nil"/>
            </w:tcBorders>
            <w:shd w:val="clear" w:color="auto" w:fill="auto"/>
            <w:noWrap/>
            <w:vAlign w:val="center"/>
          </w:tcPr>
          <w:p w14:paraId="708177AD" w14:textId="7CE2465B" w:rsidR="002075B2" w:rsidRPr="00E20D21" w:rsidRDefault="007D2E36" w:rsidP="003E3506">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3,14</w:t>
            </w:r>
          </w:p>
        </w:tc>
      </w:tr>
      <w:tr w:rsidR="00A47C19" w:rsidRPr="00E20D21" w14:paraId="114C4FE6" w14:textId="77777777" w:rsidTr="00495BFD">
        <w:trPr>
          <w:trHeight w:val="283"/>
        </w:trPr>
        <w:tc>
          <w:tcPr>
            <w:tcW w:w="2012" w:type="pct"/>
            <w:tcBorders>
              <w:top w:val="nil"/>
              <w:left w:val="nil"/>
              <w:bottom w:val="nil"/>
              <w:right w:val="nil"/>
            </w:tcBorders>
            <w:shd w:val="clear" w:color="auto" w:fill="auto"/>
            <w:noWrap/>
            <w:vAlign w:val="center"/>
            <w:hideMark/>
          </w:tcPr>
          <w:p w14:paraId="715B5E0E" w14:textId="77777777" w:rsidR="002075B2" w:rsidRPr="00E20D21" w:rsidRDefault="002075B2" w:rsidP="002075B2">
            <w:pPr>
              <w:rPr>
                <w:rFonts w:ascii="CAIXA Std Book" w:hAnsi="CAIXA Std Book"/>
                <w:color w:val="005CA9"/>
                <w:sz w:val="18"/>
                <w:szCs w:val="18"/>
              </w:rPr>
            </w:pPr>
            <w:r w:rsidRPr="00E20D21">
              <w:rPr>
                <w:rFonts w:ascii="CAIXA Std Book" w:hAnsi="CAIXA Std Book"/>
                <w:color w:val="005CA9"/>
                <w:sz w:val="18"/>
                <w:szCs w:val="18"/>
              </w:rPr>
              <w:t>20 maiores devedores</w:t>
            </w:r>
          </w:p>
        </w:tc>
        <w:tc>
          <w:tcPr>
            <w:tcW w:w="855" w:type="pct"/>
            <w:tcBorders>
              <w:top w:val="nil"/>
              <w:left w:val="nil"/>
              <w:bottom w:val="nil"/>
              <w:right w:val="nil"/>
            </w:tcBorders>
            <w:vAlign w:val="center"/>
          </w:tcPr>
          <w:p w14:paraId="593436D2" w14:textId="17188671" w:rsidR="002075B2" w:rsidRPr="00E20D21" w:rsidRDefault="004F4501" w:rsidP="002075B2">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50.719.947</w:t>
            </w:r>
          </w:p>
        </w:tc>
        <w:tc>
          <w:tcPr>
            <w:tcW w:w="639" w:type="pct"/>
            <w:tcBorders>
              <w:top w:val="nil"/>
              <w:left w:val="nil"/>
              <w:bottom w:val="nil"/>
              <w:right w:val="nil"/>
            </w:tcBorders>
            <w:vAlign w:val="center"/>
          </w:tcPr>
          <w:p w14:paraId="4327FA52" w14:textId="5448D43F" w:rsidR="002075B2" w:rsidRPr="00E20D21" w:rsidRDefault="004F4501" w:rsidP="003E3506">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4,32</w:t>
            </w:r>
          </w:p>
        </w:tc>
        <w:tc>
          <w:tcPr>
            <w:tcW w:w="856" w:type="pct"/>
            <w:tcBorders>
              <w:top w:val="nil"/>
              <w:left w:val="nil"/>
              <w:bottom w:val="nil"/>
              <w:right w:val="nil"/>
            </w:tcBorders>
            <w:shd w:val="clear" w:color="auto" w:fill="auto"/>
            <w:noWrap/>
            <w:vAlign w:val="center"/>
          </w:tcPr>
          <w:p w14:paraId="6FBAE212" w14:textId="1C511FED" w:rsidR="002075B2" w:rsidRPr="00E20D21" w:rsidRDefault="007D2E36" w:rsidP="002075B2">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50.270</w:t>
            </w:r>
            <w:r w:rsidR="00855339" w:rsidRPr="00E20D21">
              <w:rPr>
                <w:rFonts w:ascii="CAIXA Std Book" w:hAnsi="CAIXA Std Book" w:cs="Arial Unicode MS"/>
                <w:color w:val="005CA9"/>
                <w:sz w:val="18"/>
                <w:szCs w:val="18"/>
              </w:rPr>
              <w:t>.246</w:t>
            </w:r>
          </w:p>
        </w:tc>
        <w:tc>
          <w:tcPr>
            <w:tcW w:w="638" w:type="pct"/>
            <w:tcBorders>
              <w:top w:val="nil"/>
              <w:left w:val="nil"/>
              <w:bottom w:val="nil"/>
              <w:right w:val="nil"/>
            </w:tcBorders>
            <w:shd w:val="clear" w:color="auto" w:fill="auto"/>
            <w:noWrap/>
            <w:vAlign w:val="center"/>
          </w:tcPr>
          <w:p w14:paraId="6F7FB4E9" w14:textId="0F58EA81" w:rsidR="002075B2" w:rsidRPr="00E20D21" w:rsidRDefault="00855339" w:rsidP="003E3506">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4,49</w:t>
            </w:r>
          </w:p>
        </w:tc>
      </w:tr>
      <w:tr w:rsidR="00A47C19" w:rsidRPr="00E20D21" w14:paraId="429CD095" w14:textId="77777777" w:rsidTr="00495BFD">
        <w:trPr>
          <w:trHeight w:val="283"/>
        </w:trPr>
        <w:tc>
          <w:tcPr>
            <w:tcW w:w="2012" w:type="pct"/>
            <w:tcBorders>
              <w:top w:val="nil"/>
              <w:left w:val="nil"/>
              <w:bottom w:val="nil"/>
              <w:right w:val="nil"/>
            </w:tcBorders>
            <w:shd w:val="clear" w:color="auto" w:fill="auto"/>
            <w:noWrap/>
            <w:vAlign w:val="center"/>
            <w:hideMark/>
          </w:tcPr>
          <w:p w14:paraId="37A1EAC5" w14:textId="77777777" w:rsidR="002075B2" w:rsidRPr="00E20D21" w:rsidRDefault="002075B2" w:rsidP="002075B2">
            <w:pPr>
              <w:rPr>
                <w:rFonts w:ascii="CAIXA Std Book" w:hAnsi="CAIXA Std Book"/>
                <w:color w:val="005CA9"/>
                <w:sz w:val="18"/>
                <w:szCs w:val="18"/>
              </w:rPr>
            </w:pPr>
            <w:r w:rsidRPr="00E20D21">
              <w:rPr>
                <w:rFonts w:ascii="CAIXA Std Book" w:hAnsi="CAIXA Std Book"/>
                <w:color w:val="005CA9"/>
                <w:sz w:val="18"/>
                <w:szCs w:val="18"/>
              </w:rPr>
              <w:t>50 maiores devedores</w:t>
            </w:r>
          </w:p>
        </w:tc>
        <w:tc>
          <w:tcPr>
            <w:tcW w:w="855" w:type="pct"/>
            <w:tcBorders>
              <w:top w:val="nil"/>
              <w:left w:val="nil"/>
              <w:bottom w:val="nil"/>
              <w:right w:val="nil"/>
            </w:tcBorders>
            <w:vAlign w:val="center"/>
          </w:tcPr>
          <w:p w14:paraId="59B85497" w14:textId="13E64849" w:rsidR="002075B2" w:rsidRPr="00E20D21" w:rsidRDefault="004F4501" w:rsidP="002075B2">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68.915.329</w:t>
            </w:r>
          </w:p>
        </w:tc>
        <w:tc>
          <w:tcPr>
            <w:tcW w:w="639" w:type="pct"/>
            <w:tcBorders>
              <w:top w:val="nil"/>
              <w:left w:val="nil"/>
              <w:bottom w:val="nil"/>
              <w:right w:val="nil"/>
            </w:tcBorders>
            <w:vAlign w:val="center"/>
          </w:tcPr>
          <w:p w14:paraId="0F921A92" w14:textId="090349EF" w:rsidR="002075B2" w:rsidRPr="00E20D21" w:rsidRDefault="004F4501" w:rsidP="003E3506">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5,87</w:t>
            </w:r>
          </w:p>
        </w:tc>
        <w:tc>
          <w:tcPr>
            <w:tcW w:w="856" w:type="pct"/>
            <w:tcBorders>
              <w:top w:val="nil"/>
              <w:left w:val="nil"/>
              <w:bottom w:val="nil"/>
              <w:right w:val="nil"/>
            </w:tcBorders>
            <w:shd w:val="clear" w:color="auto" w:fill="auto"/>
            <w:noWrap/>
            <w:vAlign w:val="center"/>
          </w:tcPr>
          <w:p w14:paraId="73121439" w14:textId="5DDF3B12" w:rsidR="002075B2" w:rsidRPr="00E20D21" w:rsidRDefault="00E83CB9" w:rsidP="002075B2">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68.649.276</w:t>
            </w:r>
          </w:p>
        </w:tc>
        <w:tc>
          <w:tcPr>
            <w:tcW w:w="638" w:type="pct"/>
            <w:tcBorders>
              <w:top w:val="nil"/>
              <w:left w:val="nil"/>
              <w:bottom w:val="nil"/>
              <w:right w:val="nil"/>
            </w:tcBorders>
            <w:shd w:val="clear" w:color="auto" w:fill="auto"/>
            <w:noWrap/>
            <w:vAlign w:val="center"/>
          </w:tcPr>
          <w:p w14:paraId="179ECFF6" w14:textId="671B0F9E" w:rsidR="002075B2" w:rsidRPr="00E20D21" w:rsidRDefault="00640D47" w:rsidP="003E3506">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6,13</w:t>
            </w:r>
          </w:p>
        </w:tc>
      </w:tr>
      <w:tr w:rsidR="00A47C19" w:rsidRPr="00E20D21" w14:paraId="03CE1662" w14:textId="77777777" w:rsidTr="00495BFD">
        <w:trPr>
          <w:trHeight w:val="283"/>
        </w:trPr>
        <w:tc>
          <w:tcPr>
            <w:tcW w:w="2012" w:type="pct"/>
            <w:tcBorders>
              <w:top w:val="nil"/>
              <w:left w:val="nil"/>
              <w:bottom w:val="single" w:sz="4" w:space="0" w:color="F39200"/>
              <w:right w:val="nil"/>
            </w:tcBorders>
            <w:shd w:val="clear" w:color="auto" w:fill="auto"/>
            <w:noWrap/>
            <w:vAlign w:val="center"/>
            <w:hideMark/>
          </w:tcPr>
          <w:p w14:paraId="14FAB128" w14:textId="77777777" w:rsidR="002075B2" w:rsidRPr="00E20D21" w:rsidRDefault="002075B2" w:rsidP="002075B2">
            <w:pPr>
              <w:rPr>
                <w:rFonts w:ascii="CAIXA Std Book" w:hAnsi="CAIXA Std Book"/>
                <w:color w:val="005CA9"/>
                <w:sz w:val="18"/>
                <w:szCs w:val="18"/>
              </w:rPr>
            </w:pPr>
            <w:r w:rsidRPr="00E20D21">
              <w:rPr>
                <w:rFonts w:ascii="CAIXA Std Book" w:hAnsi="CAIXA Std Book"/>
                <w:color w:val="005CA9"/>
                <w:sz w:val="18"/>
                <w:szCs w:val="18"/>
              </w:rPr>
              <w:t>100 maiores devedores</w:t>
            </w:r>
          </w:p>
        </w:tc>
        <w:tc>
          <w:tcPr>
            <w:tcW w:w="855" w:type="pct"/>
            <w:tcBorders>
              <w:top w:val="nil"/>
              <w:left w:val="nil"/>
              <w:bottom w:val="single" w:sz="4" w:space="0" w:color="F39200"/>
              <w:right w:val="nil"/>
            </w:tcBorders>
            <w:vAlign w:val="center"/>
          </w:tcPr>
          <w:p w14:paraId="706B1AE1" w14:textId="5008C646" w:rsidR="002075B2" w:rsidRPr="00E20D21" w:rsidRDefault="004F4501" w:rsidP="002075B2">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85.634.946</w:t>
            </w:r>
          </w:p>
        </w:tc>
        <w:tc>
          <w:tcPr>
            <w:tcW w:w="639" w:type="pct"/>
            <w:tcBorders>
              <w:top w:val="nil"/>
              <w:left w:val="nil"/>
              <w:bottom w:val="single" w:sz="4" w:space="0" w:color="F39200"/>
              <w:right w:val="nil"/>
            </w:tcBorders>
            <w:vAlign w:val="center"/>
          </w:tcPr>
          <w:p w14:paraId="57F3114A" w14:textId="5E380F84" w:rsidR="002075B2" w:rsidRPr="00E20D21" w:rsidRDefault="004F4501" w:rsidP="003E3506">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7,29</w:t>
            </w:r>
          </w:p>
        </w:tc>
        <w:tc>
          <w:tcPr>
            <w:tcW w:w="856" w:type="pct"/>
            <w:tcBorders>
              <w:top w:val="nil"/>
              <w:left w:val="nil"/>
              <w:bottom w:val="single" w:sz="4" w:space="0" w:color="F39200"/>
              <w:right w:val="nil"/>
            </w:tcBorders>
            <w:shd w:val="clear" w:color="auto" w:fill="auto"/>
            <w:noWrap/>
            <w:vAlign w:val="center"/>
          </w:tcPr>
          <w:p w14:paraId="22EB1EEC" w14:textId="5C3A45F5" w:rsidR="002075B2" w:rsidRPr="00E20D21" w:rsidRDefault="00640D47" w:rsidP="002075B2">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84</w:t>
            </w:r>
            <w:r w:rsidR="00351636" w:rsidRPr="00E20D21">
              <w:rPr>
                <w:rFonts w:ascii="CAIXA Std Book" w:hAnsi="CAIXA Std Book" w:cs="Arial Unicode MS"/>
                <w:color w:val="005CA9"/>
                <w:sz w:val="18"/>
                <w:szCs w:val="18"/>
              </w:rPr>
              <w:t>.</w:t>
            </w:r>
            <w:r w:rsidRPr="00E20D21">
              <w:rPr>
                <w:rFonts w:ascii="CAIXA Std Book" w:hAnsi="CAIXA Std Book" w:cs="Arial Unicode MS"/>
                <w:color w:val="005CA9"/>
                <w:sz w:val="18"/>
                <w:szCs w:val="18"/>
              </w:rPr>
              <w:t>811</w:t>
            </w:r>
            <w:r w:rsidR="00351636" w:rsidRPr="00E20D21">
              <w:rPr>
                <w:rFonts w:ascii="CAIXA Std Book" w:hAnsi="CAIXA Std Book" w:cs="Arial Unicode MS"/>
                <w:color w:val="005CA9"/>
                <w:sz w:val="18"/>
                <w:szCs w:val="18"/>
              </w:rPr>
              <w:t>.</w:t>
            </w:r>
            <w:r w:rsidRPr="00E20D21">
              <w:rPr>
                <w:rFonts w:ascii="CAIXA Std Book" w:hAnsi="CAIXA Std Book" w:cs="Arial Unicode MS"/>
                <w:color w:val="005CA9"/>
                <w:sz w:val="18"/>
                <w:szCs w:val="18"/>
              </w:rPr>
              <w:t>872</w:t>
            </w:r>
          </w:p>
        </w:tc>
        <w:tc>
          <w:tcPr>
            <w:tcW w:w="638" w:type="pct"/>
            <w:tcBorders>
              <w:top w:val="nil"/>
              <w:left w:val="nil"/>
              <w:bottom w:val="single" w:sz="4" w:space="0" w:color="F39200"/>
              <w:right w:val="nil"/>
            </w:tcBorders>
            <w:shd w:val="clear" w:color="auto" w:fill="auto"/>
            <w:noWrap/>
            <w:vAlign w:val="center"/>
          </w:tcPr>
          <w:p w14:paraId="310E11D0" w14:textId="4DD7FC5D" w:rsidR="002075B2" w:rsidRPr="00E20D21" w:rsidRDefault="006A13DA" w:rsidP="003E3506">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7,57</w:t>
            </w:r>
          </w:p>
        </w:tc>
      </w:tr>
    </w:tbl>
    <w:p w14:paraId="43D66275" w14:textId="50ED3F4C" w:rsidR="004944AB" w:rsidRPr="00E20D21" w:rsidRDefault="004944AB" w:rsidP="00373C59">
      <w:p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w:t>
      </w:r>
      <w:r w:rsidR="003A5E17" w:rsidRPr="00E20D21">
        <w:rPr>
          <w:rFonts w:ascii="CAIXA Std Book" w:hAnsi="CAIXA Std Book"/>
          <w:b/>
          <w:color w:val="005CA9"/>
          <w:sz w:val="20"/>
          <w:szCs w:val="20"/>
        </w:rPr>
        <w:t>i</w:t>
      </w:r>
      <w:r w:rsidRPr="00E20D21">
        <w:rPr>
          <w:rFonts w:ascii="CAIXA Std Book" w:hAnsi="CAIXA Std Book"/>
          <w:b/>
          <w:color w:val="005CA9"/>
          <w:sz w:val="20"/>
          <w:szCs w:val="20"/>
        </w:rPr>
        <w:t>)</w:t>
      </w:r>
      <w:r w:rsidR="00567240" w:rsidRPr="00E20D21">
        <w:rPr>
          <w:rFonts w:ascii="CAIXA Std Book" w:hAnsi="CAIXA Std Book"/>
          <w:b/>
          <w:color w:val="005CA9"/>
          <w:sz w:val="20"/>
          <w:szCs w:val="20"/>
        </w:rPr>
        <w:tab/>
      </w:r>
      <w:r w:rsidRPr="00E20D21">
        <w:rPr>
          <w:rFonts w:ascii="CAIXA Std Book" w:hAnsi="CAIXA Std Book"/>
          <w:b/>
          <w:color w:val="005CA9"/>
          <w:sz w:val="20"/>
          <w:szCs w:val="20"/>
        </w:rPr>
        <w:t>Programas Governamentais para a Concessão de Crédito</w:t>
      </w:r>
    </w:p>
    <w:tbl>
      <w:tblPr>
        <w:tblW w:w="5000" w:type="pct"/>
        <w:tblCellMar>
          <w:left w:w="70" w:type="dxa"/>
          <w:right w:w="70" w:type="dxa"/>
        </w:tblCellMar>
        <w:tblLook w:val="04A0" w:firstRow="1" w:lastRow="0" w:firstColumn="1" w:lastColumn="0" w:noHBand="0" w:noVBand="1"/>
      </w:tblPr>
      <w:tblGrid>
        <w:gridCol w:w="6251"/>
        <w:gridCol w:w="1704"/>
        <w:gridCol w:w="1683"/>
      </w:tblGrid>
      <w:tr w:rsidR="00A47C19" w:rsidRPr="00E20D21" w14:paraId="494E3853" w14:textId="77777777" w:rsidTr="00495BFD">
        <w:trPr>
          <w:trHeight w:val="283"/>
        </w:trPr>
        <w:tc>
          <w:tcPr>
            <w:tcW w:w="5000" w:type="pct"/>
            <w:gridSpan w:val="3"/>
            <w:tcBorders>
              <w:top w:val="single" w:sz="4" w:space="0" w:color="F39200"/>
              <w:left w:val="nil"/>
              <w:bottom w:val="single" w:sz="4" w:space="0" w:color="F79646"/>
              <w:right w:val="nil"/>
            </w:tcBorders>
            <w:shd w:val="clear" w:color="auto" w:fill="auto"/>
            <w:vAlign w:val="center"/>
            <w:hideMark/>
          </w:tcPr>
          <w:p w14:paraId="7D0BD097" w14:textId="246B7411" w:rsidR="004944AB" w:rsidRPr="00E20D21" w:rsidRDefault="004944AB" w:rsidP="004944A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CONSOLIDADO</w:t>
            </w:r>
          </w:p>
        </w:tc>
      </w:tr>
      <w:tr w:rsidR="00A47C19" w:rsidRPr="00E20D21" w14:paraId="1F78D18C" w14:textId="77777777" w:rsidTr="00495BFD">
        <w:trPr>
          <w:trHeight w:val="283"/>
        </w:trPr>
        <w:tc>
          <w:tcPr>
            <w:tcW w:w="3243" w:type="pct"/>
            <w:tcBorders>
              <w:top w:val="single" w:sz="4" w:space="0" w:color="F79646"/>
              <w:left w:val="nil"/>
              <w:bottom w:val="single" w:sz="4" w:space="0" w:color="F79646"/>
              <w:right w:val="nil"/>
            </w:tcBorders>
            <w:vAlign w:val="center"/>
            <w:hideMark/>
          </w:tcPr>
          <w:p w14:paraId="3CB7BDD1" w14:textId="32A8629A" w:rsidR="00DD4D38" w:rsidRPr="00E20D21" w:rsidRDefault="00DD4D38" w:rsidP="00722441">
            <w:pPr>
              <w:jc w:val="center"/>
              <w:rPr>
                <w:rFonts w:ascii="CAIXA Std Book" w:eastAsia="Times New Roman" w:hAnsi="CAIXA Std Book" w:cs="Arial"/>
                <w:b/>
                <w:bCs/>
                <w:color w:val="005CA9"/>
                <w:sz w:val="18"/>
                <w:szCs w:val="18"/>
              </w:rPr>
            </w:pPr>
            <w:r w:rsidRPr="00E20D21">
              <w:rPr>
                <w:rFonts w:ascii="CAIXA Std Book" w:hAnsi="CAIXA Std Book"/>
                <w:b/>
                <w:color w:val="005CA9"/>
                <w:sz w:val="18"/>
                <w:szCs w:val="18"/>
              </w:rPr>
              <w:t>Descrição</w:t>
            </w:r>
          </w:p>
        </w:tc>
        <w:tc>
          <w:tcPr>
            <w:tcW w:w="884" w:type="pct"/>
            <w:tcBorders>
              <w:top w:val="single" w:sz="4" w:space="0" w:color="F79646"/>
              <w:left w:val="nil"/>
              <w:bottom w:val="single" w:sz="4" w:space="0" w:color="F39200"/>
              <w:right w:val="nil"/>
            </w:tcBorders>
            <w:shd w:val="clear" w:color="auto" w:fill="auto"/>
            <w:noWrap/>
            <w:vAlign w:val="center"/>
          </w:tcPr>
          <w:p w14:paraId="6FF9D1B1" w14:textId="4DD2D207" w:rsidR="00DD4D38" w:rsidRPr="00E20D21" w:rsidRDefault="003B7757" w:rsidP="00DD4D3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873" w:type="pct"/>
            <w:tcBorders>
              <w:top w:val="single" w:sz="4" w:space="0" w:color="F79646"/>
              <w:left w:val="nil"/>
              <w:bottom w:val="single" w:sz="4" w:space="0" w:color="F39200"/>
              <w:right w:val="nil"/>
            </w:tcBorders>
            <w:shd w:val="clear" w:color="auto" w:fill="auto"/>
            <w:noWrap/>
            <w:vAlign w:val="center"/>
            <w:hideMark/>
          </w:tcPr>
          <w:p w14:paraId="5DEE712E" w14:textId="25973FA4" w:rsidR="00DD4D38" w:rsidRPr="00E20D21" w:rsidRDefault="00DD4D38" w:rsidP="00DD4D38">
            <w:pPr>
              <w:jc w:val="center"/>
              <w:rPr>
                <w:rFonts w:ascii="CAIXA Std Book" w:eastAsia="Times New Roman" w:hAnsi="CAIXA Std Book" w:cs="Arial"/>
                <w:b/>
                <w:bCs/>
                <w:color w:val="005CA9"/>
                <w:sz w:val="18"/>
                <w:szCs w:val="18"/>
              </w:rPr>
            </w:pPr>
            <w:r w:rsidRPr="00E20D21">
              <w:rPr>
                <w:rFonts w:ascii="CAIXA Std Book" w:eastAsia="Times New Roman" w:hAnsi="CAIXA Std Book" w:cs="Calibri"/>
                <w:b/>
                <w:bCs/>
                <w:color w:val="005CA9"/>
                <w:sz w:val="18"/>
                <w:szCs w:val="18"/>
              </w:rPr>
              <w:t>31/12/202</w:t>
            </w:r>
            <w:r w:rsidR="003B7757" w:rsidRPr="00E20D21">
              <w:rPr>
                <w:rFonts w:ascii="CAIXA Std Book" w:eastAsia="Times New Roman" w:hAnsi="CAIXA Std Book" w:cs="Calibri"/>
                <w:b/>
                <w:bCs/>
                <w:color w:val="005CA9"/>
                <w:sz w:val="18"/>
                <w:szCs w:val="18"/>
              </w:rPr>
              <w:t>3</w:t>
            </w:r>
          </w:p>
        </w:tc>
      </w:tr>
      <w:tr w:rsidR="00065BED" w:rsidRPr="00E20D21" w14:paraId="4CB9E520" w14:textId="77777777" w:rsidTr="00495BFD">
        <w:trPr>
          <w:trHeight w:val="283"/>
        </w:trPr>
        <w:tc>
          <w:tcPr>
            <w:tcW w:w="3243" w:type="pct"/>
            <w:tcBorders>
              <w:top w:val="nil"/>
              <w:left w:val="nil"/>
              <w:bottom w:val="nil"/>
              <w:right w:val="nil"/>
            </w:tcBorders>
            <w:shd w:val="clear" w:color="auto" w:fill="auto"/>
            <w:vAlign w:val="center"/>
            <w:hideMark/>
          </w:tcPr>
          <w:p w14:paraId="155C32D7" w14:textId="77777777" w:rsidR="00065BED" w:rsidRPr="00E20D21" w:rsidRDefault="00065BED" w:rsidP="00065BED">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Giro Caixa e microcrédito PRONAMPE</w:t>
            </w:r>
          </w:p>
        </w:tc>
        <w:tc>
          <w:tcPr>
            <w:tcW w:w="884" w:type="pct"/>
            <w:tcBorders>
              <w:top w:val="nil"/>
              <w:left w:val="nil"/>
              <w:bottom w:val="nil"/>
              <w:right w:val="nil"/>
            </w:tcBorders>
            <w:shd w:val="clear" w:color="auto" w:fill="auto"/>
            <w:vAlign w:val="center"/>
          </w:tcPr>
          <w:p w14:paraId="0D170DDE" w14:textId="0B5173A4" w:rsidR="00065BED" w:rsidRPr="00E20D21" w:rsidRDefault="00065BED" w:rsidP="00065BE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23.960.569</w:t>
            </w:r>
          </w:p>
        </w:tc>
        <w:tc>
          <w:tcPr>
            <w:tcW w:w="873" w:type="pct"/>
            <w:tcBorders>
              <w:top w:val="nil"/>
              <w:left w:val="nil"/>
              <w:bottom w:val="nil"/>
              <w:right w:val="nil"/>
            </w:tcBorders>
            <w:shd w:val="clear" w:color="auto" w:fill="auto"/>
            <w:vAlign w:val="center"/>
          </w:tcPr>
          <w:p w14:paraId="487BB41F" w14:textId="3CC0E3FE" w:rsidR="00065BED" w:rsidRPr="00E20D21" w:rsidRDefault="00065BED" w:rsidP="00065BED">
            <w:pPr>
              <w:jc w:val="right"/>
              <w:rPr>
                <w:rFonts w:ascii="CAIXA Std Book" w:eastAsia="Times New Roman" w:hAnsi="CAIXA Std Book" w:cs="Arial"/>
                <w:color w:val="005CA9"/>
                <w:sz w:val="18"/>
                <w:szCs w:val="18"/>
              </w:rPr>
            </w:pPr>
            <w:r w:rsidRPr="00E20D21">
              <w:rPr>
                <w:rFonts w:ascii="CAIXA Std Book" w:hAnsi="CAIXA Std Book"/>
                <w:color w:val="005CA9"/>
                <w:sz w:val="18"/>
                <w:szCs w:val="18"/>
              </w:rPr>
              <w:t>25.790.315</w:t>
            </w:r>
          </w:p>
        </w:tc>
      </w:tr>
      <w:tr w:rsidR="00065BED" w:rsidRPr="00E20D21" w14:paraId="21ACE3E4" w14:textId="77777777" w:rsidTr="00495BFD">
        <w:trPr>
          <w:trHeight w:val="283"/>
        </w:trPr>
        <w:tc>
          <w:tcPr>
            <w:tcW w:w="3243" w:type="pct"/>
            <w:tcBorders>
              <w:top w:val="nil"/>
              <w:left w:val="nil"/>
              <w:bottom w:val="nil"/>
              <w:right w:val="nil"/>
            </w:tcBorders>
            <w:shd w:val="clear" w:color="auto" w:fill="auto"/>
            <w:vAlign w:val="center"/>
            <w:hideMark/>
          </w:tcPr>
          <w:p w14:paraId="1297CAA1" w14:textId="77777777" w:rsidR="00065BED" w:rsidRPr="00E20D21" w:rsidRDefault="00065BED" w:rsidP="00065BED">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Giro Caixa FGI</w:t>
            </w:r>
          </w:p>
        </w:tc>
        <w:tc>
          <w:tcPr>
            <w:tcW w:w="884" w:type="pct"/>
            <w:tcBorders>
              <w:top w:val="nil"/>
              <w:left w:val="nil"/>
              <w:bottom w:val="nil"/>
              <w:right w:val="nil"/>
            </w:tcBorders>
            <w:shd w:val="clear" w:color="auto" w:fill="auto"/>
            <w:vAlign w:val="center"/>
          </w:tcPr>
          <w:p w14:paraId="64453955" w14:textId="4ECE091C" w:rsidR="00065BED" w:rsidRPr="00E20D21" w:rsidRDefault="00065BED" w:rsidP="00065BE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9.240.545</w:t>
            </w:r>
          </w:p>
        </w:tc>
        <w:tc>
          <w:tcPr>
            <w:tcW w:w="873" w:type="pct"/>
            <w:tcBorders>
              <w:top w:val="nil"/>
              <w:left w:val="nil"/>
              <w:bottom w:val="nil"/>
              <w:right w:val="nil"/>
            </w:tcBorders>
            <w:shd w:val="clear" w:color="auto" w:fill="auto"/>
            <w:noWrap/>
            <w:vAlign w:val="center"/>
          </w:tcPr>
          <w:p w14:paraId="4EB57095" w14:textId="4EF75DBD" w:rsidR="00065BED" w:rsidRPr="00E20D21" w:rsidRDefault="00065BED" w:rsidP="00065BED">
            <w:pPr>
              <w:jc w:val="right"/>
              <w:rPr>
                <w:rFonts w:ascii="CAIXA Std Book" w:eastAsia="Times New Roman" w:hAnsi="CAIXA Std Book" w:cs="Arial"/>
                <w:color w:val="005CA9"/>
                <w:sz w:val="18"/>
                <w:szCs w:val="18"/>
              </w:rPr>
            </w:pPr>
            <w:r w:rsidRPr="00E20D21">
              <w:rPr>
                <w:rFonts w:ascii="CAIXA Std Book" w:hAnsi="CAIXA Std Book"/>
                <w:color w:val="005CA9"/>
                <w:sz w:val="18"/>
                <w:szCs w:val="18"/>
              </w:rPr>
              <w:t>8.896.668</w:t>
            </w:r>
          </w:p>
        </w:tc>
      </w:tr>
      <w:tr w:rsidR="00065BED" w:rsidRPr="00E20D21" w14:paraId="3266CFC8" w14:textId="77777777" w:rsidTr="00495BFD">
        <w:trPr>
          <w:trHeight w:val="283"/>
        </w:trPr>
        <w:tc>
          <w:tcPr>
            <w:tcW w:w="3243" w:type="pct"/>
            <w:tcBorders>
              <w:top w:val="nil"/>
              <w:left w:val="nil"/>
              <w:bottom w:val="nil"/>
              <w:right w:val="nil"/>
            </w:tcBorders>
            <w:shd w:val="clear" w:color="auto" w:fill="auto"/>
            <w:vAlign w:val="center"/>
            <w:hideMark/>
          </w:tcPr>
          <w:p w14:paraId="00AF5A8E" w14:textId="77777777" w:rsidR="00065BED" w:rsidRPr="00E20D21" w:rsidRDefault="00065BED" w:rsidP="00065BED">
            <w:pPr>
              <w:rPr>
                <w:rFonts w:ascii="CAIXA Std Book" w:eastAsia="Times New Roman" w:hAnsi="CAIXA Std Book" w:cs="Arial"/>
                <w:color w:val="005CA9"/>
                <w:sz w:val="18"/>
                <w:szCs w:val="18"/>
              </w:rPr>
            </w:pPr>
            <w:r w:rsidRPr="00E20D21">
              <w:rPr>
                <w:rFonts w:ascii="CAIXA Std Book" w:eastAsia="Times New Roman" w:hAnsi="CAIXA Std Book"/>
                <w:color w:val="005CA9"/>
                <w:sz w:val="18"/>
                <w:szCs w:val="18"/>
              </w:rPr>
              <w:t>Crédito especial empresa</w:t>
            </w:r>
            <w:r w:rsidRPr="00E20D21">
              <w:rPr>
                <w:rFonts w:ascii="CAIXA Std Book" w:eastAsia="Times New Roman" w:hAnsi="CAIXA Std Book" w:cs="Arial"/>
                <w:color w:val="005CA9"/>
                <w:sz w:val="18"/>
                <w:szCs w:val="18"/>
              </w:rPr>
              <w:t xml:space="preserve"> FAMPE</w:t>
            </w:r>
          </w:p>
        </w:tc>
        <w:tc>
          <w:tcPr>
            <w:tcW w:w="884" w:type="pct"/>
            <w:tcBorders>
              <w:top w:val="nil"/>
              <w:left w:val="nil"/>
              <w:bottom w:val="nil"/>
              <w:right w:val="nil"/>
            </w:tcBorders>
            <w:shd w:val="clear" w:color="auto" w:fill="auto"/>
            <w:vAlign w:val="center"/>
          </w:tcPr>
          <w:p w14:paraId="623199F4" w14:textId="5140494B" w:rsidR="00065BED" w:rsidRPr="00E20D21" w:rsidRDefault="00065BED" w:rsidP="00065BE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5.399.173</w:t>
            </w:r>
          </w:p>
        </w:tc>
        <w:tc>
          <w:tcPr>
            <w:tcW w:w="873" w:type="pct"/>
            <w:tcBorders>
              <w:top w:val="nil"/>
              <w:left w:val="nil"/>
              <w:bottom w:val="nil"/>
              <w:right w:val="nil"/>
            </w:tcBorders>
            <w:shd w:val="clear" w:color="auto" w:fill="auto"/>
            <w:vAlign w:val="center"/>
          </w:tcPr>
          <w:p w14:paraId="23EC1177" w14:textId="02D40D08" w:rsidR="00065BED" w:rsidRPr="00E20D21" w:rsidRDefault="00065BED" w:rsidP="00065BED">
            <w:pPr>
              <w:jc w:val="right"/>
              <w:rPr>
                <w:rFonts w:ascii="CAIXA Std Book" w:eastAsia="Times New Roman" w:hAnsi="CAIXA Std Book" w:cs="Arial"/>
                <w:color w:val="005CA9"/>
                <w:sz w:val="18"/>
                <w:szCs w:val="18"/>
              </w:rPr>
            </w:pPr>
            <w:r w:rsidRPr="00E20D21">
              <w:rPr>
                <w:rFonts w:ascii="CAIXA Std Book" w:hAnsi="CAIXA Std Book"/>
                <w:color w:val="005CA9"/>
                <w:sz w:val="18"/>
                <w:szCs w:val="18"/>
              </w:rPr>
              <w:t>7.010.874</w:t>
            </w:r>
          </w:p>
        </w:tc>
      </w:tr>
      <w:tr w:rsidR="00065BED" w:rsidRPr="00E20D21" w14:paraId="250F3EE1" w14:textId="77777777" w:rsidTr="00495BFD">
        <w:trPr>
          <w:trHeight w:val="283"/>
        </w:trPr>
        <w:tc>
          <w:tcPr>
            <w:tcW w:w="3243" w:type="pct"/>
            <w:tcBorders>
              <w:top w:val="nil"/>
              <w:left w:val="nil"/>
              <w:bottom w:val="single" w:sz="4" w:space="0" w:color="F39200"/>
              <w:right w:val="nil"/>
            </w:tcBorders>
            <w:shd w:val="clear" w:color="auto" w:fill="auto"/>
            <w:vAlign w:val="center"/>
            <w:hideMark/>
          </w:tcPr>
          <w:p w14:paraId="2D3E056C" w14:textId="77777777" w:rsidR="00065BED" w:rsidRPr="00E20D21" w:rsidRDefault="00065BED" w:rsidP="00065BED">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Microcrédito produtivo orientado - MPO</w:t>
            </w:r>
          </w:p>
        </w:tc>
        <w:tc>
          <w:tcPr>
            <w:tcW w:w="884" w:type="pct"/>
            <w:tcBorders>
              <w:top w:val="nil"/>
              <w:left w:val="nil"/>
              <w:bottom w:val="nil"/>
              <w:right w:val="nil"/>
            </w:tcBorders>
            <w:shd w:val="clear" w:color="auto" w:fill="auto"/>
            <w:vAlign w:val="center"/>
          </w:tcPr>
          <w:p w14:paraId="3F62CAF0" w14:textId="2A489F15" w:rsidR="00065BED" w:rsidRPr="00E20D21" w:rsidRDefault="00065BED" w:rsidP="00065BE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58.569</w:t>
            </w:r>
          </w:p>
        </w:tc>
        <w:tc>
          <w:tcPr>
            <w:tcW w:w="873" w:type="pct"/>
            <w:tcBorders>
              <w:top w:val="nil"/>
              <w:left w:val="nil"/>
              <w:bottom w:val="nil"/>
              <w:right w:val="nil"/>
            </w:tcBorders>
            <w:shd w:val="clear" w:color="auto" w:fill="auto"/>
            <w:noWrap/>
            <w:vAlign w:val="center"/>
          </w:tcPr>
          <w:p w14:paraId="4C1036B3" w14:textId="1C049891" w:rsidR="00065BED" w:rsidRPr="00E20D21" w:rsidRDefault="00065BED" w:rsidP="00065BED">
            <w:pPr>
              <w:jc w:val="right"/>
              <w:rPr>
                <w:rFonts w:ascii="CAIXA Std Book" w:eastAsia="Times New Roman" w:hAnsi="CAIXA Std Book" w:cs="Arial"/>
                <w:color w:val="005CA9"/>
                <w:sz w:val="18"/>
                <w:szCs w:val="18"/>
              </w:rPr>
            </w:pPr>
            <w:r w:rsidRPr="00E20D21">
              <w:rPr>
                <w:rFonts w:ascii="CAIXA Std Book" w:hAnsi="CAIXA Std Book"/>
                <w:color w:val="005CA9"/>
                <w:sz w:val="18"/>
                <w:szCs w:val="18"/>
              </w:rPr>
              <w:t>285.451</w:t>
            </w:r>
          </w:p>
        </w:tc>
      </w:tr>
      <w:tr w:rsidR="00065BED" w:rsidRPr="00E20D21" w14:paraId="4CC7002F" w14:textId="77777777" w:rsidTr="00495BFD">
        <w:trPr>
          <w:trHeight w:val="283"/>
        </w:trPr>
        <w:tc>
          <w:tcPr>
            <w:tcW w:w="3243" w:type="pct"/>
            <w:tcBorders>
              <w:top w:val="nil"/>
              <w:left w:val="nil"/>
              <w:bottom w:val="single" w:sz="4" w:space="0" w:color="F39200"/>
              <w:right w:val="nil"/>
            </w:tcBorders>
            <w:shd w:val="clear" w:color="auto" w:fill="auto"/>
            <w:vAlign w:val="center"/>
            <w:hideMark/>
          </w:tcPr>
          <w:p w14:paraId="266B84B2" w14:textId="77777777" w:rsidR="00065BED" w:rsidRPr="00E20D21" w:rsidRDefault="00065BED" w:rsidP="00065BED">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84" w:type="pct"/>
            <w:tcBorders>
              <w:top w:val="single" w:sz="4" w:space="0" w:color="F39200"/>
              <w:left w:val="nil"/>
              <w:bottom w:val="single" w:sz="4" w:space="0" w:color="F39200"/>
              <w:right w:val="nil"/>
            </w:tcBorders>
            <w:shd w:val="clear" w:color="auto" w:fill="auto"/>
            <w:noWrap/>
            <w:vAlign w:val="center"/>
          </w:tcPr>
          <w:p w14:paraId="05CE6D78" w14:textId="3F0BC47E" w:rsidR="00065BED" w:rsidRPr="00E20D21" w:rsidRDefault="00065BED" w:rsidP="00065BED">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38.658.856</w:t>
            </w:r>
          </w:p>
        </w:tc>
        <w:tc>
          <w:tcPr>
            <w:tcW w:w="873" w:type="pct"/>
            <w:tcBorders>
              <w:top w:val="single" w:sz="4" w:space="0" w:color="F39200"/>
              <w:left w:val="nil"/>
              <w:bottom w:val="single" w:sz="4" w:space="0" w:color="F39200"/>
              <w:right w:val="nil"/>
            </w:tcBorders>
            <w:shd w:val="clear" w:color="auto" w:fill="auto"/>
            <w:noWrap/>
            <w:vAlign w:val="center"/>
          </w:tcPr>
          <w:p w14:paraId="5B4A4F09" w14:textId="775DB00B" w:rsidR="00065BED" w:rsidRPr="00E20D21" w:rsidRDefault="00065BED" w:rsidP="00065BED">
            <w:pPr>
              <w:jc w:val="right"/>
              <w:rPr>
                <w:rFonts w:ascii="CAIXA Std Book" w:eastAsia="Times New Roman" w:hAnsi="CAIXA Std Book" w:cs="Arial"/>
                <w:b/>
                <w:bCs/>
                <w:color w:val="005CA9"/>
                <w:sz w:val="18"/>
                <w:szCs w:val="18"/>
              </w:rPr>
            </w:pPr>
            <w:r w:rsidRPr="00E20D21">
              <w:rPr>
                <w:rFonts w:ascii="CAIXA Std Book" w:hAnsi="CAIXA Std Book"/>
                <w:b/>
                <w:bCs/>
                <w:color w:val="005CA9"/>
                <w:sz w:val="18"/>
                <w:szCs w:val="18"/>
              </w:rPr>
              <w:t>41.983.308</w:t>
            </w:r>
          </w:p>
        </w:tc>
      </w:tr>
    </w:tbl>
    <w:p w14:paraId="3AA9ED7A" w14:textId="2D6A5B0D" w:rsidR="00657973" w:rsidRPr="00E20D21" w:rsidRDefault="00657973" w:rsidP="00FD7768">
      <w:pPr>
        <w:pStyle w:val="Ttulo1"/>
      </w:pPr>
      <w:bookmarkStart w:id="33" w:name="_Toc175067950"/>
      <w:r w:rsidRPr="00E20D21">
        <w:t>Nota</w:t>
      </w:r>
      <w:r w:rsidR="004917F8" w:rsidRPr="00E20D21">
        <w:t xml:space="preserve"> 10 </w:t>
      </w:r>
      <w:r w:rsidRPr="00E20D21">
        <w:t xml:space="preserve">– Outros </w:t>
      </w:r>
      <w:r w:rsidR="00B80DDD" w:rsidRPr="00E20D21">
        <w:t>ativos financeiros</w:t>
      </w:r>
      <w:bookmarkEnd w:id="33"/>
      <w:r w:rsidR="00ED1F0B" w:rsidRPr="00E20D21">
        <w:rPr>
          <w:rFonts w:cs="MS Gothic"/>
          <w:sz w:val="16"/>
          <w:szCs w:val="16"/>
        </w:rPr>
        <w:t xml:space="preserve"> </w:t>
      </w:r>
    </w:p>
    <w:p w14:paraId="0CBA37D5" w14:textId="6F3727CD" w:rsidR="005664DE" w:rsidRPr="00E20D21" w:rsidRDefault="005664DE" w:rsidP="00C23CE6">
      <w:pPr>
        <w:pStyle w:val="PargrafodaLista"/>
        <w:numPr>
          <w:ilvl w:val="0"/>
          <w:numId w:val="24"/>
        </w:numPr>
        <w:spacing w:before="480" w:after="240"/>
        <w:ind w:left="567" w:hanging="567"/>
        <w:contextualSpacing w:val="0"/>
        <w:rPr>
          <w:rStyle w:val="Nmerodepgina"/>
          <w:rFonts w:ascii="CAIXA Std Book" w:hAnsi="CAIXA Std Book" w:cs="Arial Unicode MS"/>
          <w:b/>
          <w:color w:val="005CA9"/>
          <w:sz w:val="20"/>
          <w:szCs w:val="20"/>
        </w:rPr>
      </w:pPr>
      <w:r w:rsidRPr="00E20D21">
        <w:rPr>
          <w:rStyle w:val="Nmerodepgina"/>
          <w:rFonts w:ascii="CAIXA Std Book" w:hAnsi="CAIXA Std Book" w:cs="Arial Unicode MS"/>
          <w:b/>
          <w:color w:val="005CA9"/>
          <w:sz w:val="20"/>
          <w:szCs w:val="20"/>
        </w:rPr>
        <w:t>Composição</w:t>
      </w:r>
    </w:p>
    <w:tbl>
      <w:tblPr>
        <w:tblW w:w="5000" w:type="pct"/>
        <w:tblCellMar>
          <w:left w:w="0" w:type="dxa"/>
          <w:right w:w="28" w:type="dxa"/>
        </w:tblCellMar>
        <w:tblLook w:val="04A0" w:firstRow="1" w:lastRow="0" w:firstColumn="1" w:lastColumn="0" w:noHBand="0" w:noVBand="1"/>
      </w:tblPr>
      <w:tblGrid>
        <w:gridCol w:w="4964"/>
        <w:gridCol w:w="1168"/>
        <w:gridCol w:w="1168"/>
        <w:gridCol w:w="1168"/>
        <w:gridCol w:w="1170"/>
      </w:tblGrid>
      <w:tr w:rsidR="00A47C19" w:rsidRPr="00E20D21" w14:paraId="62C7F0B6" w14:textId="77777777" w:rsidTr="00E17B3D">
        <w:trPr>
          <w:trHeight w:val="283"/>
        </w:trPr>
        <w:tc>
          <w:tcPr>
            <w:tcW w:w="2575" w:type="pct"/>
            <w:vMerge w:val="restart"/>
            <w:tcBorders>
              <w:top w:val="single" w:sz="4" w:space="0" w:color="F79646" w:themeColor="accent6"/>
              <w:left w:val="nil"/>
              <w:right w:val="nil"/>
            </w:tcBorders>
            <w:shd w:val="clear" w:color="auto" w:fill="auto"/>
            <w:noWrap/>
            <w:vAlign w:val="center"/>
          </w:tcPr>
          <w:p w14:paraId="4BB2D3D6" w14:textId="77777777" w:rsidR="007120DB" w:rsidRPr="00E20D21" w:rsidRDefault="007120DB" w:rsidP="006D093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1212" w:type="pct"/>
            <w:gridSpan w:val="2"/>
            <w:tcBorders>
              <w:top w:val="single" w:sz="4" w:space="0" w:color="F79646" w:themeColor="accent6"/>
              <w:left w:val="nil"/>
              <w:bottom w:val="single" w:sz="4" w:space="0" w:color="F79646" w:themeColor="accent6"/>
              <w:right w:val="nil"/>
            </w:tcBorders>
            <w:shd w:val="clear" w:color="auto" w:fill="auto"/>
            <w:vAlign w:val="center"/>
          </w:tcPr>
          <w:p w14:paraId="6A2A3BC4" w14:textId="568816E3" w:rsidR="007120DB" w:rsidRPr="00E20D21" w:rsidRDefault="007120DB" w:rsidP="006D093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p>
        </w:tc>
        <w:tc>
          <w:tcPr>
            <w:tcW w:w="1213" w:type="pct"/>
            <w:gridSpan w:val="2"/>
            <w:tcBorders>
              <w:top w:val="single" w:sz="4" w:space="0" w:color="F79646" w:themeColor="accent6"/>
              <w:left w:val="nil"/>
              <w:bottom w:val="single" w:sz="4" w:space="0" w:color="F79646" w:themeColor="accent6"/>
              <w:right w:val="nil"/>
            </w:tcBorders>
            <w:shd w:val="clear" w:color="auto" w:fill="auto"/>
            <w:vAlign w:val="center"/>
          </w:tcPr>
          <w:p w14:paraId="46631921" w14:textId="05E320DA" w:rsidR="007120DB" w:rsidRPr="00E20D21" w:rsidRDefault="007120DB" w:rsidP="006D093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CONSOLIDADO</w:t>
            </w:r>
          </w:p>
        </w:tc>
      </w:tr>
      <w:tr w:rsidR="00AE63BA" w:rsidRPr="00E20D21" w14:paraId="07F226EB" w14:textId="0F60A294" w:rsidTr="006B55E9">
        <w:trPr>
          <w:trHeight w:val="283"/>
        </w:trPr>
        <w:tc>
          <w:tcPr>
            <w:tcW w:w="2575" w:type="pct"/>
            <w:vMerge/>
            <w:tcBorders>
              <w:left w:val="nil"/>
              <w:bottom w:val="single" w:sz="4" w:space="0" w:color="F79646" w:themeColor="accent6"/>
            </w:tcBorders>
            <w:shd w:val="clear" w:color="auto" w:fill="auto"/>
            <w:vAlign w:val="center"/>
            <w:hideMark/>
          </w:tcPr>
          <w:p w14:paraId="339E20A9" w14:textId="2BE09C3C" w:rsidR="00AE63BA" w:rsidRPr="00E20D21" w:rsidRDefault="00AE63BA" w:rsidP="00AE63BA">
            <w:pPr>
              <w:jc w:val="center"/>
              <w:rPr>
                <w:rFonts w:ascii="CAIXA Std Book" w:hAnsi="CAIXA Std Book" w:cs="MS Gothic"/>
                <w:b/>
                <w:color w:val="005CA9"/>
                <w:sz w:val="18"/>
                <w:szCs w:val="18"/>
              </w:rPr>
            </w:pPr>
          </w:p>
        </w:tc>
        <w:tc>
          <w:tcPr>
            <w:tcW w:w="606" w:type="pct"/>
            <w:tcBorders>
              <w:top w:val="single" w:sz="4" w:space="0" w:color="F79646" w:themeColor="accent6"/>
              <w:bottom w:val="single" w:sz="4" w:space="0" w:color="F79646" w:themeColor="accent6"/>
            </w:tcBorders>
            <w:shd w:val="clear" w:color="auto" w:fill="auto"/>
            <w:noWrap/>
            <w:vAlign w:val="center"/>
            <w:hideMark/>
          </w:tcPr>
          <w:p w14:paraId="5457C0F2" w14:textId="49B214D8" w:rsidR="00AE63BA" w:rsidRPr="00E20D21" w:rsidRDefault="00AE63BA" w:rsidP="00AE63BA">
            <w:pPr>
              <w:jc w:val="center"/>
              <w:rPr>
                <w:rFonts w:ascii="CAIXA Std Book" w:hAnsi="CAIXA Std Book" w:cs="MS Gothic"/>
                <w:b/>
                <w:color w:val="005CA9"/>
                <w:sz w:val="18"/>
                <w:szCs w:val="18"/>
              </w:rPr>
            </w:pPr>
            <w:r w:rsidRPr="00E20D21">
              <w:rPr>
                <w:rFonts w:ascii="CAIXA Std Book" w:eastAsia="Times New Roman" w:hAnsi="CAIXA Std Book" w:cs="Arial"/>
                <w:b/>
                <w:bCs/>
                <w:color w:val="005CA9"/>
                <w:sz w:val="18"/>
                <w:szCs w:val="18"/>
              </w:rPr>
              <w:t>30/06/2024</w:t>
            </w:r>
          </w:p>
        </w:tc>
        <w:tc>
          <w:tcPr>
            <w:tcW w:w="606" w:type="pct"/>
            <w:tcBorders>
              <w:top w:val="single" w:sz="4" w:space="0" w:color="F79646" w:themeColor="accent6"/>
              <w:bottom w:val="single" w:sz="4" w:space="0" w:color="F79646" w:themeColor="accent6"/>
            </w:tcBorders>
            <w:shd w:val="clear" w:color="auto" w:fill="auto"/>
            <w:noWrap/>
            <w:vAlign w:val="center"/>
          </w:tcPr>
          <w:p w14:paraId="4591DDAE" w14:textId="248E613D" w:rsidR="00AE63BA" w:rsidRPr="00E20D21" w:rsidRDefault="00AE63BA" w:rsidP="00AE63B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606" w:type="pct"/>
            <w:tcBorders>
              <w:top w:val="single" w:sz="4" w:space="0" w:color="F79646" w:themeColor="accent6"/>
              <w:bottom w:val="single" w:sz="4" w:space="0" w:color="F79646" w:themeColor="accent6"/>
            </w:tcBorders>
            <w:vAlign w:val="center"/>
          </w:tcPr>
          <w:p w14:paraId="3F6DFB20" w14:textId="742C2032" w:rsidR="00AE63BA" w:rsidRPr="00E20D21" w:rsidRDefault="00AE63BA" w:rsidP="00AE63BA">
            <w:pPr>
              <w:jc w:val="center"/>
              <w:rPr>
                <w:rFonts w:ascii="CAIXA Std Book" w:hAnsi="CAIXA Std Book" w:cs="MS Gothic"/>
                <w:b/>
                <w:color w:val="005CA9"/>
                <w:sz w:val="18"/>
                <w:szCs w:val="18"/>
              </w:rPr>
            </w:pPr>
            <w:r w:rsidRPr="00E20D21">
              <w:rPr>
                <w:rFonts w:ascii="CAIXA Std Book" w:eastAsia="Times New Roman" w:hAnsi="CAIXA Std Book" w:cs="Arial"/>
                <w:b/>
                <w:bCs/>
                <w:color w:val="005CA9"/>
                <w:sz w:val="18"/>
                <w:szCs w:val="18"/>
              </w:rPr>
              <w:t>30/06/2024</w:t>
            </w:r>
          </w:p>
        </w:tc>
        <w:tc>
          <w:tcPr>
            <w:tcW w:w="607" w:type="pct"/>
            <w:tcBorders>
              <w:top w:val="single" w:sz="4" w:space="0" w:color="F79646" w:themeColor="accent6"/>
              <w:bottom w:val="single" w:sz="4" w:space="0" w:color="F79646" w:themeColor="accent6"/>
              <w:right w:val="nil"/>
            </w:tcBorders>
            <w:vAlign w:val="center"/>
          </w:tcPr>
          <w:p w14:paraId="7947BFA1" w14:textId="0F1225C2" w:rsidR="00AE63BA" w:rsidRPr="00E20D21" w:rsidRDefault="00AE63BA" w:rsidP="00AE63B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3F7821" w:rsidRPr="00E20D21" w14:paraId="5978643B" w14:textId="77777777" w:rsidTr="003F7821">
        <w:trPr>
          <w:trHeight w:val="283"/>
        </w:trPr>
        <w:tc>
          <w:tcPr>
            <w:tcW w:w="2575" w:type="pct"/>
            <w:tcBorders>
              <w:top w:val="single" w:sz="4" w:space="0" w:color="F79646" w:themeColor="accent6"/>
              <w:left w:val="nil"/>
              <w:bottom w:val="nil"/>
            </w:tcBorders>
            <w:shd w:val="clear" w:color="auto" w:fill="auto"/>
            <w:noWrap/>
            <w:vAlign w:val="center"/>
            <w:hideMark/>
          </w:tcPr>
          <w:p w14:paraId="369C3EA9" w14:textId="0DEFB9C1"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Créditos vinculados ao SFH (c)</w:t>
            </w:r>
          </w:p>
        </w:tc>
        <w:tc>
          <w:tcPr>
            <w:tcW w:w="606" w:type="pct"/>
            <w:tcBorders>
              <w:top w:val="single" w:sz="4" w:space="0" w:color="F79646" w:themeColor="accent6"/>
              <w:bottom w:val="nil"/>
            </w:tcBorders>
            <w:shd w:val="clear" w:color="auto" w:fill="auto"/>
            <w:vAlign w:val="center"/>
          </w:tcPr>
          <w:p w14:paraId="231CA17A" w14:textId="79F080E3"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30.626.261</w:t>
            </w:r>
          </w:p>
        </w:tc>
        <w:tc>
          <w:tcPr>
            <w:tcW w:w="606" w:type="pct"/>
            <w:tcBorders>
              <w:top w:val="single" w:sz="4" w:space="0" w:color="F79646" w:themeColor="accent6"/>
              <w:bottom w:val="nil"/>
            </w:tcBorders>
            <w:shd w:val="clear" w:color="auto" w:fill="auto"/>
            <w:noWrap/>
            <w:vAlign w:val="center"/>
          </w:tcPr>
          <w:p w14:paraId="1C6B951F" w14:textId="64453644"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32.051.579</w:t>
            </w:r>
          </w:p>
        </w:tc>
        <w:tc>
          <w:tcPr>
            <w:tcW w:w="606" w:type="pct"/>
            <w:tcBorders>
              <w:top w:val="single" w:sz="4" w:space="0" w:color="F79646" w:themeColor="accent6"/>
              <w:bottom w:val="nil"/>
            </w:tcBorders>
            <w:shd w:val="clear" w:color="auto" w:fill="auto"/>
            <w:vAlign w:val="center"/>
          </w:tcPr>
          <w:p w14:paraId="66448AE5" w14:textId="3BDBF6C5"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30.626.261</w:t>
            </w:r>
          </w:p>
        </w:tc>
        <w:tc>
          <w:tcPr>
            <w:tcW w:w="607" w:type="pct"/>
            <w:tcBorders>
              <w:top w:val="single" w:sz="4" w:space="0" w:color="F79646" w:themeColor="accent6"/>
              <w:bottom w:val="nil"/>
              <w:right w:val="nil"/>
            </w:tcBorders>
            <w:shd w:val="clear" w:color="auto" w:fill="auto"/>
            <w:noWrap/>
            <w:vAlign w:val="center"/>
          </w:tcPr>
          <w:p w14:paraId="6E915BB7" w14:textId="06902B67"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32.051.579</w:t>
            </w:r>
          </w:p>
        </w:tc>
      </w:tr>
      <w:tr w:rsidR="003F7821" w:rsidRPr="00E20D21" w14:paraId="1E068236" w14:textId="77777777" w:rsidTr="003F7821">
        <w:trPr>
          <w:trHeight w:val="283"/>
        </w:trPr>
        <w:tc>
          <w:tcPr>
            <w:tcW w:w="2575" w:type="pct"/>
            <w:tcBorders>
              <w:top w:val="nil"/>
              <w:left w:val="nil"/>
              <w:bottom w:val="nil"/>
            </w:tcBorders>
            <w:shd w:val="clear" w:color="auto" w:fill="auto"/>
            <w:noWrap/>
            <w:vAlign w:val="center"/>
            <w:hideMark/>
          </w:tcPr>
          <w:p w14:paraId="7AAA02DF" w14:textId="77777777"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Devedores por depósitos em garantia (Nota 19 (g))</w:t>
            </w:r>
          </w:p>
        </w:tc>
        <w:tc>
          <w:tcPr>
            <w:tcW w:w="606" w:type="pct"/>
            <w:tcBorders>
              <w:top w:val="nil"/>
              <w:bottom w:val="nil"/>
            </w:tcBorders>
            <w:shd w:val="clear" w:color="auto" w:fill="auto"/>
            <w:vAlign w:val="center"/>
          </w:tcPr>
          <w:p w14:paraId="673D243D" w14:textId="40C8B5A5"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21.123.125</w:t>
            </w:r>
          </w:p>
        </w:tc>
        <w:tc>
          <w:tcPr>
            <w:tcW w:w="606" w:type="pct"/>
            <w:tcBorders>
              <w:top w:val="nil"/>
              <w:bottom w:val="nil"/>
            </w:tcBorders>
            <w:shd w:val="clear" w:color="auto" w:fill="auto"/>
            <w:noWrap/>
            <w:vAlign w:val="center"/>
          </w:tcPr>
          <w:p w14:paraId="2FA4227C" w14:textId="008710BE"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20.751.842</w:t>
            </w:r>
          </w:p>
        </w:tc>
        <w:tc>
          <w:tcPr>
            <w:tcW w:w="606" w:type="pct"/>
            <w:tcBorders>
              <w:top w:val="nil"/>
              <w:bottom w:val="nil"/>
            </w:tcBorders>
            <w:shd w:val="clear" w:color="auto" w:fill="auto"/>
            <w:vAlign w:val="center"/>
          </w:tcPr>
          <w:p w14:paraId="46CBBF38" w14:textId="332F01F8"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21.123.125</w:t>
            </w:r>
          </w:p>
        </w:tc>
        <w:tc>
          <w:tcPr>
            <w:tcW w:w="607" w:type="pct"/>
            <w:tcBorders>
              <w:top w:val="nil"/>
              <w:bottom w:val="nil"/>
              <w:right w:val="nil"/>
            </w:tcBorders>
            <w:shd w:val="clear" w:color="auto" w:fill="auto"/>
            <w:noWrap/>
            <w:vAlign w:val="center"/>
          </w:tcPr>
          <w:p w14:paraId="1173AED3" w14:textId="4EB1B0DC"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20.751.842</w:t>
            </w:r>
          </w:p>
        </w:tc>
      </w:tr>
      <w:tr w:rsidR="003F7821" w:rsidRPr="00E20D21" w14:paraId="796777AB" w14:textId="77777777" w:rsidTr="003F7821">
        <w:trPr>
          <w:trHeight w:val="283"/>
        </w:trPr>
        <w:tc>
          <w:tcPr>
            <w:tcW w:w="2575" w:type="pct"/>
            <w:tcBorders>
              <w:top w:val="nil"/>
              <w:left w:val="nil"/>
              <w:bottom w:val="nil"/>
            </w:tcBorders>
            <w:shd w:val="clear" w:color="auto" w:fill="auto"/>
            <w:noWrap/>
            <w:vAlign w:val="center"/>
          </w:tcPr>
          <w:p w14:paraId="7ABE15E0" w14:textId="497DB10E"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Créditos por diferença de cessão (b)</w:t>
            </w:r>
          </w:p>
        </w:tc>
        <w:tc>
          <w:tcPr>
            <w:tcW w:w="606" w:type="pct"/>
            <w:tcBorders>
              <w:top w:val="nil"/>
              <w:bottom w:val="nil"/>
            </w:tcBorders>
            <w:shd w:val="clear" w:color="auto" w:fill="auto"/>
            <w:vAlign w:val="center"/>
          </w:tcPr>
          <w:p w14:paraId="695A1E6B" w14:textId="236F9C18"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2.289.271</w:t>
            </w:r>
          </w:p>
        </w:tc>
        <w:tc>
          <w:tcPr>
            <w:tcW w:w="606" w:type="pct"/>
            <w:tcBorders>
              <w:top w:val="nil"/>
              <w:bottom w:val="nil"/>
            </w:tcBorders>
            <w:shd w:val="clear" w:color="auto" w:fill="auto"/>
            <w:noWrap/>
            <w:vAlign w:val="center"/>
          </w:tcPr>
          <w:p w14:paraId="414DEC60" w14:textId="2641EEA2" w:rsidR="003F7821" w:rsidRPr="00E20D21" w:rsidRDefault="003F7821"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2.315.019</w:t>
            </w:r>
          </w:p>
        </w:tc>
        <w:tc>
          <w:tcPr>
            <w:tcW w:w="606" w:type="pct"/>
            <w:tcBorders>
              <w:top w:val="nil"/>
              <w:bottom w:val="nil"/>
            </w:tcBorders>
            <w:shd w:val="clear" w:color="auto" w:fill="auto"/>
            <w:vAlign w:val="center"/>
          </w:tcPr>
          <w:p w14:paraId="6572023A" w14:textId="0B3350D9"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2.289.271</w:t>
            </w:r>
          </w:p>
        </w:tc>
        <w:tc>
          <w:tcPr>
            <w:tcW w:w="607" w:type="pct"/>
            <w:tcBorders>
              <w:top w:val="nil"/>
              <w:bottom w:val="nil"/>
              <w:right w:val="nil"/>
            </w:tcBorders>
            <w:shd w:val="clear" w:color="auto" w:fill="auto"/>
            <w:noWrap/>
            <w:vAlign w:val="center"/>
          </w:tcPr>
          <w:p w14:paraId="61CC65BA" w14:textId="13504499" w:rsidR="003F7821" w:rsidRPr="00E20D21" w:rsidRDefault="003F7821" w:rsidP="001C4E6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2.315.019</w:t>
            </w:r>
          </w:p>
        </w:tc>
      </w:tr>
      <w:tr w:rsidR="003F7821" w:rsidRPr="00E20D21" w14:paraId="21E86F36" w14:textId="77777777" w:rsidTr="003F7821">
        <w:trPr>
          <w:trHeight w:val="283"/>
        </w:trPr>
        <w:tc>
          <w:tcPr>
            <w:tcW w:w="2575" w:type="pct"/>
            <w:tcBorders>
              <w:top w:val="nil"/>
              <w:left w:val="nil"/>
              <w:bottom w:val="nil"/>
            </w:tcBorders>
            <w:shd w:val="clear" w:color="auto" w:fill="auto"/>
            <w:noWrap/>
            <w:vAlign w:val="center"/>
            <w:hideMark/>
          </w:tcPr>
          <w:p w14:paraId="1166D8EE" w14:textId="77777777"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Prêmio em aquisição de carteiras</w:t>
            </w:r>
          </w:p>
        </w:tc>
        <w:tc>
          <w:tcPr>
            <w:tcW w:w="606" w:type="pct"/>
            <w:tcBorders>
              <w:top w:val="nil"/>
              <w:bottom w:val="nil"/>
            </w:tcBorders>
            <w:shd w:val="clear" w:color="auto" w:fill="auto"/>
            <w:vAlign w:val="center"/>
          </w:tcPr>
          <w:p w14:paraId="319CD50A" w14:textId="7CEF2FF7"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1.745.784</w:t>
            </w:r>
          </w:p>
        </w:tc>
        <w:tc>
          <w:tcPr>
            <w:tcW w:w="606" w:type="pct"/>
            <w:tcBorders>
              <w:top w:val="nil"/>
              <w:bottom w:val="nil"/>
            </w:tcBorders>
            <w:shd w:val="clear" w:color="auto" w:fill="auto"/>
            <w:noWrap/>
            <w:vAlign w:val="center"/>
          </w:tcPr>
          <w:p w14:paraId="68A5AB69" w14:textId="3F010276"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2.268.334</w:t>
            </w:r>
          </w:p>
        </w:tc>
        <w:tc>
          <w:tcPr>
            <w:tcW w:w="606" w:type="pct"/>
            <w:tcBorders>
              <w:top w:val="nil"/>
              <w:bottom w:val="nil"/>
            </w:tcBorders>
            <w:shd w:val="clear" w:color="auto" w:fill="auto"/>
            <w:vAlign w:val="center"/>
          </w:tcPr>
          <w:p w14:paraId="36ADBFA0" w14:textId="0CA77207"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1.745.784</w:t>
            </w:r>
          </w:p>
        </w:tc>
        <w:tc>
          <w:tcPr>
            <w:tcW w:w="607" w:type="pct"/>
            <w:tcBorders>
              <w:top w:val="nil"/>
              <w:bottom w:val="nil"/>
              <w:right w:val="nil"/>
            </w:tcBorders>
            <w:shd w:val="clear" w:color="auto" w:fill="auto"/>
            <w:noWrap/>
            <w:vAlign w:val="center"/>
          </w:tcPr>
          <w:p w14:paraId="429D26DB" w14:textId="6908F327"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2.268.334</w:t>
            </w:r>
          </w:p>
        </w:tc>
      </w:tr>
      <w:tr w:rsidR="003F7821" w:rsidRPr="00E20D21" w14:paraId="586DFE67" w14:textId="77777777" w:rsidTr="003F7821">
        <w:trPr>
          <w:trHeight w:val="283"/>
        </w:trPr>
        <w:tc>
          <w:tcPr>
            <w:tcW w:w="2575" w:type="pct"/>
            <w:tcBorders>
              <w:top w:val="nil"/>
              <w:left w:val="nil"/>
              <w:bottom w:val="nil"/>
            </w:tcBorders>
            <w:shd w:val="clear" w:color="auto" w:fill="auto"/>
            <w:noWrap/>
            <w:vAlign w:val="center"/>
            <w:hideMark/>
          </w:tcPr>
          <w:p w14:paraId="6CFF2150" w14:textId="77777777"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Rendas a receber do setor público</w:t>
            </w:r>
          </w:p>
        </w:tc>
        <w:tc>
          <w:tcPr>
            <w:tcW w:w="606" w:type="pct"/>
            <w:tcBorders>
              <w:top w:val="nil"/>
              <w:bottom w:val="nil"/>
            </w:tcBorders>
            <w:shd w:val="clear" w:color="auto" w:fill="auto"/>
            <w:vAlign w:val="center"/>
          </w:tcPr>
          <w:p w14:paraId="12ADEAD5" w14:textId="24E57C40"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1.931.032</w:t>
            </w:r>
          </w:p>
        </w:tc>
        <w:tc>
          <w:tcPr>
            <w:tcW w:w="606" w:type="pct"/>
            <w:tcBorders>
              <w:top w:val="nil"/>
              <w:bottom w:val="nil"/>
            </w:tcBorders>
            <w:shd w:val="clear" w:color="auto" w:fill="auto"/>
            <w:noWrap/>
            <w:vAlign w:val="center"/>
          </w:tcPr>
          <w:p w14:paraId="3516AF18" w14:textId="315DAF4F" w:rsidR="003F7821" w:rsidRPr="00E20D21" w:rsidRDefault="003F7821" w:rsidP="003F7821">
            <w:pPr>
              <w:jc w:val="right"/>
              <w:rPr>
                <w:rFonts w:ascii="CAIXA Std Book" w:hAnsi="CAIXA Std Book" w:cs="Arial"/>
                <w:color w:val="005CA9"/>
                <w:sz w:val="18"/>
                <w:szCs w:val="18"/>
              </w:rPr>
            </w:pPr>
            <w:r w:rsidRPr="00E20D21">
              <w:rPr>
                <w:rFonts w:ascii="CAIXA Std Book" w:hAnsi="CAIXA Std Book" w:cs="Arial"/>
                <w:color w:val="005CA9"/>
                <w:sz w:val="18"/>
                <w:szCs w:val="18"/>
              </w:rPr>
              <w:t>1.911.136</w:t>
            </w:r>
          </w:p>
        </w:tc>
        <w:tc>
          <w:tcPr>
            <w:tcW w:w="606" w:type="pct"/>
            <w:tcBorders>
              <w:top w:val="nil"/>
              <w:bottom w:val="nil"/>
            </w:tcBorders>
            <w:shd w:val="clear" w:color="auto" w:fill="auto"/>
            <w:vAlign w:val="center"/>
          </w:tcPr>
          <w:p w14:paraId="4247EAA9" w14:textId="170C2988"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1.931.032</w:t>
            </w:r>
          </w:p>
        </w:tc>
        <w:tc>
          <w:tcPr>
            <w:tcW w:w="607" w:type="pct"/>
            <w:tcBorders>
              <w:top w:val="nil"/>
              <w:bottom w:val="nil"/>
              <w:right w:val="nil"/>
            </w:tcBorders>
            <w:shd w:val="clear" w:color="auto" w:fill="auto"/>
            <w:noWrap/>
            <w:vAlign w:val="center"/>
          </w:tcPr>
          <w:p w14:paraId="5C021F0C" w14:textId="1C911B46" w:rsidR="003F7821" w:rsidRPr="00E20D21" w:rsidRDefault="003F7821" w:rsidP="003F7821">
            <w:pPr>
              <w:jc w:val="right"/>
              <w:rPr>
                <w:rFonts w:ascii="CAIXA Std Book" w:hAnsi="CAIXA Std Book" w:cs="Arial"/>
                <w:color w:val="005CA9"/>
                <w:sz w:val="18"/>
                <w:szCs w:val="18"/>
              </w:rPr>
            </w:pPr>
            <w:r w:rsidRPr="00E20D21">
              <w:rPr>
                <w:rFonts w:ascii="CAIXA Std Book" w:hAnsi="CAIXA Std Book" w:cs="Arial"/>
                <w:color w:val="005CA9"/>
                <w:sz w:val="18"/>
                <w:szCs w:val="18"/>
              </w:rPr>
              <w:t>1.911.136</w:t>
            </w:r>
          </w:p>
        </w:tc>
      </w:tr>
      <w:tr w:rsidR="003F7821" w:rsidRPr="00E20D21" w14:paraId="7777A9EF" w14:textId="77777777" w:rsidTr="003F7821">
        <w:trPr>
          <w:trHeight w:val="283"/>
        </w:trPr>
        <w:tc>
          <w:tcPr>
            <w:tcW w:w="2575" w:type="pct"/>
            <w:tcBorders>
              <w:top w:val="nil"/>
              <w:left w:val="nil"/>
              <w:bottom w:val="nil"/>
            </w:tcBorders>
            <w:shd w:val="clear" w:color="auto" w:fill="auto"/>
            <w:noWrap/>
            <w:vAlign w:val="center"/>
            <w:hideMark/>
          </w:tcPr>
          <w:p w14:paraId="0EC5969A" w14:textId="1DEDF0E5"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Carteira de câmbio (d)</w:t>
            </w:r>
          </w:p>
        </w:tc>
        <w:tc>
          <w:tcPr>
            <w:tcW w:w="606" w:type="pct"/>
            <w:tcBorders>
              <w:top w:val="nil"/>
              <w:bottom w:val="nil"/>
            </w:tcBorders>
            <w:shd w:val="clear" w:color="auto" w:fill="auto"/>
            <w:vAlign w:val="center"/>
          </w:tcPr>
          <w:p w14:paraId="4D2F5BF9" w14:textId="2AE3A4A4"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1.930.842</w:t>
            </w:r>
          </w:p>
        </w:tc>
        <w:tc>
          <w:tcPr>
            <w:tcW w:w="606" w:type="pct"/>
            <w:tcBorders>
              <w:top w:val="nil"/>
              <w:bottom w:val="nil"/>
            </w:tcBorders>
            <w:shd w:val="clear" w:color="auto" w:fill="auto"/>
            <w:noWrap/>
            <w:vAlign w:val="center"/>
          </w:tcPr>
          <w:p w14:paraId="2CE84AFB" w14:textId="16718B0E"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1.815.157</w:t>
            </w:r>
          </w:p>
        </w:tc>
        <w:tc>
          <w:tcPr>
            <w:tcW w:w="606" w:type="pct"/>
            <w:tcBorders>
              <w:top w:val="nil"/>
              <w:bottom w:val="nil"/>
            </w:tcBorders>
            <w:shd w:val="clear" w:color="auto" w:fill="auto"/>
            <w:vAlign w:val="center"/>
          </w:tcPr>
          <w:p w14:paraId="66914BC2" w14:textId="0D1B1550"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1.930.842</w:t>
            </w:r>
          </w:p>
        </w:tc>
        <w:tc>
          <w:tcPr>
            <w:tcW w:w="607" w:type="pct"/>
            <w:tcBorders>
              <w:top w:val="nil"/>
              <w:bottom w:val="nil"/>
              <w:right w:val="nil"/>
            </w:tcBorders>
            <w:shd w:val="clear" w:color="auto" w:fill="auto"/>
            <w:noWrap/>
            <w:vAlign w:val="center"/>
          </w:tcPr>
          <w:p w14:paraId="6F1443BD" w14:textId="19B5A0A4"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1.815.157</w:t>
            </w:r>
          </w:p>
        </w:tc>
      </w:tr>
      <w:tr w:rsidR="003F7821" w:rsidRPr="00E20D21" w14:paraId="4A999A22" w14:textId="77777777" w:rsidTr="003F7821">
        <w:trPr>
          <w:trHeight w:val="283"/>
        </w:trPr>
        <w:tc>
          <w:tcPr>
            <w:tcW w:w="2575" w:type="pct"/>
            <w:tcBorders>
              <w:top w:val="nil"/>
              <w:left w:val="nil"/>
              <w:bottom w:val="nil"/>
            </w:tcBorders>
            <w:shd w:val="clear" w:color="auto" w:fill="auto"/>
            <w:noWrap/>
            <w:vAlign w:val="center"/>
            <w:hideMark/>
          </w:tcPr>
          <w:p w14:paraId="44BF34D4" w14:textId="77777777"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Cartão de crédito</w:t>
            </w:r>
          </w:p>
        </w:tc>
        <w:tc>
          <w:tcPr>
            <w:tcW w:w="606" w:type="pct"/>
            <w:tcBorders>
              <w:top w:val="nil"/>
              <w:bottom w:val="nil"/>
            </w:tcBorders>
            <w:shd w:val="clear" w:color="auto" w:fill="auto"/>
            <w:vAlign w:val="center"/>
          </w:tcPr>
          <w:p w14:paraId="765A7E5B" w14:textId="19FBEDDD"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217.353</w:t>
            </w:r>
          </w:p>
        </w:tc>
        <w:tc>
          <w:tcPr>
            <w:tcW w:w="606" w:type="pct"/>
            <w:tcBorders>
              <w:top w:val="nil"/>
              <w:bottom w:val="nil"/>
            </w:tcBorders>
            <w:shd w:val="clear" w:color="auto" w:fill="auto"/>
            <w:noWrap/>
            <w:vAlign w:val="center"/>
          </w:tcPr>
          <w:p w14:paraId="08AE64FE" w14:textId="4BCE8B1E"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962.105</w:t>
            </w:r>
          </w:p>
        </w:tc>
        <w:tc>
          <w:tcPr>
            <w:tcW w:w="606" w:type="pct"/>
            <w:tcBorders>
              <w:top w:val="nil"/>
              <w:bottom w:val="nil"/>
            </w:tcBorders>
            <w:shd w:val="clear" w:color="auto" w:fill="auto"/>
            <w:vAlign w:val="center"/>
          </w:tcPr>
          <w:p w14:paraId="25652889" w14:textId="143CA76F"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217.353</w:t>
            </w:r>
          </w:p>
        </w:tc>
        <w:tc>
          <w:tcPr>
            <w:tcW w:w="607" w:type="pct"/>
            <w:tcBorders>
              <w:top w:val="nil"/>
              <w:bottom w:val="nil"/>
              <w:right w:val="nil"/>
            </w:tcBorders>
            <w:shd w:val="clear" w:color="auto" w:fill="auto"/>
            <w:noWrap/>
            <w:vAlign w:val="center"/>
          </w:tcPr>
          <w:p w14:paraId="34D0D574" w14:textId="2B6D6141"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962.105</w:t>
            </w:r>
          </w:p>
        </w:tc>
      </w:tr>
      <w:tr w:rsidR="003F7821" w:rsidRPr="00E20D21" w14:paraId="3E6C0D28" w14:textId="77777777" w:rsidTr="003F7821">
        <w:trPr>
          <w:trHeight w:val="283"/>
        </w:trPr>
        <w:tc>
          <w:tcPr>
            <w:tcW w:w="2575" w:type="pct"/>
            <w:tcBorders>
              <w:top w:val="nil"/>
              <w:left w:val="nil"/>
              <w:bottom w:val="nil"/>
            </w:tcBorders>
            <w:shd w:val="clear" w:color="auto" w:fill="auto"/>
            <w:noWrap/>
            <w:vAlign w:val="center"/>
            <w:hideMark/>
          </w:tcPr>
          <w:p w14:paraId="01BADFC6" w14:textId="77777777"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Direitos sobre royalties</w:t>
            </w:r>
          </w:p>
        </w:tc>
        <w:tc>
          <w:tcPr>
            <w:tcW w:w="606" w:type="pct"/>
            <w:tcBorders>
              <w:top w:val="nil"/>
              <w:bottom w:val="nil"/>
            </w:tcBorders>
            <w:shd w:val="clear" w:color="auto" w:fill="auto"/>
            <w:vAlign w:val="center"/>
          </w:tcPr>
          <w:p w14:paraId="7927651A" w14:textId="003C0546"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736.579</w:t>
            </w:r>
          </w:p>
        </w:tc>
        <w:tc>
          <w:tcPr>
            <w:tcW w:w="606" w:type="pct"/>
            <w:tcBorders>
              <w:top w:val="nil"/>
              <w:bottom w:val="nil"/>
            </w:tcBorders>
            <w:shd w:val="clear" w:color="auto" w:fill="auto"/>
            <w:noWrap/>
            <w:vAlign w:val="center"/>
          </w:tcPr>
          <w:p w14:paraId="775E7CCC" w14:textId="3D35DDF7"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755.565</w:t>
            </w:r>
          </w:p>
        </w:tc>
        <w:tc>
          <w:tcPr>
            <w:tcW w:w="606" w:type="pct"/>
            <w:tcBorders>
              <w:top w:val="nil"/>
              <w:bottom w:val="nil"/>
            </w:tcBorders>
            <w:shd w:val="clear" w:color="auto" w:fill="auto"/>
            <w:vAlign w:val="center"/>
          </w:tcPr>
          <w:p w14:paraId="7EE693AB" w14:textId="13082DE6"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736.579</w:t>
            </w:r>
          </w:p>
        </w:tc>
        <w:tc>
          <w:tcPr>
            <w:tcW w:w="607" w:type="pct"/>
            <w:tcBorders>
              <w:top w:val="nil"/>
              <w:bottom w:val="nil"/>
              <w:right w:val="nil"/>
            </w:tcBorders>
            <w:shd w:val="clear" w:color="auto" w:fill="auto"/>
            <w:noWrap/>
            <w:vAlign w:val="center"/>
          </w:tcPr>
          <w:p w14:paraId="6EBC072C" w14:textId="01A36133"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755.565</w:t>
            </w:r>
          </w:p>
        </w:tc>
      </w:tr>
      <w:tr w:rsidR="003F7821" w:rsidRPr="00E20D21" w14:paraId="1780CD40" w14:textId="77777777" w:rsidTr="003F7821">
        <w:trPr>
          <w:trHeight w:val="283"/>
        </w:trPr>
        <w:tc>
          <w:tcPr>
            <w:tcW w:w="2575" w:type="pct"/>
            <w:tcBorders>
              <w:top w:val="nil"/>
              <w:left w:val="nil"/>
              <w:bottom w:val="nil"/>
            </w:tcBorders>
            <w:shd w:val="clear" w:color="auto" w:fill="auto"/>
            <w:noWrap/>
            <w:vAlign w:val="center"/>
            <w:hideMark/>
          </w:tcPr>
          <w:p w14:paraId="5241A035" w14:textId="77777777"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Rendas a receber do setor privado</w:t>
            </w:r>
          </w:p>
        </w:tc>
        <w:tc>
          <w:tcPr>
            <w:tcW w:w="606" w:type="pct"/>
            <w:tcBorders>
              <w:top w:val="nil"/>
              <w:bottom w:val="nil"/>
            </w:tcBorders>
            <w:shd w:val="clear" w:color="auto" w:fill="auto"/>
            <w:vAlign w:val="center"/>
          </w:tcPr>
          <w:p w14:paraId="3AABE194" w14:textId="1D6A7482"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311.528</w:t>
            </w:r>
          </w:p>
        </w:tc>
        <w:tc>
          <w:tcPr>
            <w:tcW w:w="606" w:type="pct"/>
            <w:tcBorders>
              <w:top w:val="nil"/>
              <w:bottom w:val="nil"/>
            </w:tcBorders>
            <w:shd w:val="clear" w:color="auto" w:fill="auto"/>
            <w:noWrap/>
            <w:vAlign w:val="center"/>
          </w:tcPr>
          <w:p w14:paraId="6EF9B9D0" w14:textId="1B13EE9C" w:rsidR="003F7821" w:rsidRPr="00E20D21" w:rsidRDefault="003F7821" w:rsidP="003F7821">
            <w:pPr>
              <w:jc w:val="right"/>
              <w:rPr>
                <w:rFonts w:ascii="CAIXA Std Book" w:hAnsi="CAIXA Std Book" w:cs="Arial"/>
                <w:color w:val="005CA9"/>
                <w:sz w:val="18"/>
                <w:szCs w:val="18"/>
              </w:rPr>
            </w:pPr>
            <w:r w:rsidRPr="00E20D21">
              <w:rPr>
                <w:rFonts w:ascii="CAIXA Std Book" w:hAnsi="CAIXA Std Book" w:cs="Arial"/>
                <w:color w:val="005CA9"/>
                <w:sz w:val="18"/>
                <w:szCs w:val="18"/>
              </w:rPr>
              <w:t>262.808</w:t>
            </w:r>
          </w:p>
        </w:tc>
        <w:tc>
          <w:tcPr>
            <w:tcW w:w="606" w:type="pct"/>
            <w:tcBorders>
              <w:top w:val="nil"/>
              <w:bottom w:val="nil"/>
            </w:tcBorders>
            <w:shd w:val="clear" w:color="auto" w:fill="auto"/>
            <w:vAlign w:val="center"/>
          </w:tcPr>
          <w:p w14:paraId="7D5A529A" w14:textId="09D23199"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438.348</w:t>
            </w:r>
          </w:p>
        </w:tc>
        <w:tc>
          <w:tcPr>
            <w:tcW w:w="607" w:type="pct"/>
            <w:tcBorders>
              <w:top w:val="nil"/>
              <w:bottom w:val="nil"/>
              <w:right w:val="nil"/>
            </w:tcBorders>
            <w:shd w:val="clear" w:color="auto" w:fill="auto"/>
            <w:noWrap/>
            <w:vAlign w:val="center"/>
          </w:tcPr>
          <w:p w14:paraId="0D1FC979" w14:textId="3F7BC0FB" w:rsidR="003F7821" w:rsidRPr="00E20D21" w:rsidRDefault="003F7821" w:rsidP="003F7821">
            <w:pPr>
              <w:jc w:val="right"/>
              <w:rPr>
                <w:rFonts w:ascii="CAIXA Std Book" w:hAnsi="CAIXA Std Book" w:cs="Arial"/>
                <w:color w:val="005CA9"/>
                <w:sz w:val="18"/>
                <w:szCs w:val="18"/>
              </w:rPr>
            </w:pPr>
            <w:r w:rsidRPr="00E20D21">
              <w:rPr>
                <w:rFonts w:ascii="CAIXA Std Book" w:hAnsi="CAIXA Std Book" w:cs="Arial"/>
                <w:color w:val="005CA9"/>
                <w:sz w:val="18"/>
                <w:szCs w:val="18"/>
              </w:rPr>
              <w:t>389.665</w:t>
            </w:r>
          </w:p>
        </w:tc>
      </w:tr>
      <w:tr w:rsidR="003F7821" w:rsidRPr="00E20D21" w14:paraId="48729870" w14:textId="20BE91C9" w:rsidTr="003F7821">
        <w:trPr>
          <w:trHeight w:val="283"/>
        </w:trPr>
        <w:tc>
          <w:tcPr>
            <w:tcW w:w="2575" w:type="pct"/>
            <w:tcBorders>
              <w:top w:val="nil"/>
              <w:left w:val="nil"/>
            </w:tcBorders>
            <w:shd w:val="clear" w:color="auto" w:fill="auto"/>
            <w:noWrap/>
            <w:vAlign w:val="center"/>
            <w:hideMark/>
          </w:tcPr>
          <w:p w14:paraId="3DBF8AFC" w14:textId="050BA70C" w:rsidR="003F7821" w:rsidRPr="00E20D21" w:rsidRDefault="003F7821" w:rsidP="003F782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Demais</w:t>
            </w:r>
            <w:r w:rsidR="00DA3CD0" w:rsidRPr="00E20D21">
              <w:rPr>
                <w:rFonts w:ascii="CAIXA Std Book" w:eastAsia="Times New Roman" w:hAnsi="CAIXA Std Book" w:cs="Arial"/>
                <w:color w:val="005CA9"/>
                <w:sz w:val="18"/>
                <w:szCs w:val="18"/>
              </w:rPr>
              <w:t xml:space="preserve"> (1)</w:t>
            </w:r>
          </w:p>
        </w:tc>
        <w:tc>
          <w:tcPr>
            <w:tcW w:w="606" w:type="pct"/>
            <w:tcBorders>
              <w:top w:val="nil"/>
            </w:tcBorders>
            <w:shd w:val="clear" w:color="auto" w:fill="auto"/>
            <w:noWrap/>
            <w:vAlign w:val="center"/>
          </w:tcPr>
          <w:p w14:paraId="7843B079" w14:textId="7CA4F1EA"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698.734</w:t>
            </w:r>
          </w:p>
        </w:tc>
        <w:tc>
          <w:tcPr>
            <w:tcW w:w="606" w:type="pct"/>
            <w:tcBorders>
              <w:top w:val="nil"/>
            </w:tcBorders>
            <w:shd w:val="clear" w:color="auto" w:fill="auto"/>
            <w:noWrap/>
            <w:vAlign w:val="center"/>
          </w:tcPr>
          <w:p w14:paraId="57D6045F" w14:textId="5D36E8D6"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355.073</w:t>
            </w:r>
          </w:p>
        </w:tc>
        <w:tc>
          <w:tcPr>
            <w:tcW w:w="606" w:type="pct"/>
            <w:tcBorders>
              <w:top w:val="nil"/>
            </w:tcBorders>
            <w:vAlign w:val="center"/>
          </w:tcPr>
          <w:p w14:paraId="534096F2" w14:textId="352FFAB5" w:rsidR="003F7821" w:rsidRPr="00E20D21" w:rsidRDefault="001514F6" w:rsidP="001C4E6F">
            <w:pPr>
              <w:jc w:val="right"/>
              <w:rPr>
                <w:rFonts w:ascii="CAIXA Std Book" w:hAnsi="CAIXA Std Book" w:cs="Arial"/>
                <w:color w:val="005CA9"/>
                <w:sz w:val="18"/>
                <w:szCs w:val="18"/>
              </w:rPr>
            </w:pPr>
            <w:r w:rsidRPr="00E20D21">
              <w:rPr>
                <w:rFonts w:ascii="CAIXA Std Book" w:hAnsi="CAIXA Std Book" w:cs="Arial"/>
                <w:color w:val="005CA9"/>
                <w:sz w:val="18"/>
                <w:szCs w:val="18"/>
              </w:rPr>
              <w:t>707.300</w:t>
            </w:r>
          </w:p>
        </w:tc>
        <w:tc>
          <w:tcPr>
            <w:tcW w:w="607" w:type="pct"/>
            <w:tcBorders>
              <w:top w:val="nil"/>
              <w:right w:val="nil"/>
            </w:tcBorders>
            <w:vAlign w:val="center"/>
          </w:tcPr>
          <w:p w14:paraId="6FEB9EE6" w14:textId="70BCDE6A"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388.560</w:t>
            </w:r>
          </w:p>
        </w:tc>
      </w:tr>
      <w:tr w:rsidR="003F7821" w:rsidRPr="00E20D21" w14:paraId="21E2816B" w14:textId="683EDD0F" w:rsidTr="003F7821">
        <w:trPr>
          <w:trHeight w:val="283"/>
        </w:trPr>
        <w:tc>
          <w:tcPr>
            <w:tcW w:w="2575" w:type="pct"/>
            <w:tcBorders>
              <w:left w:val="nil"/>
              <w:bottom w:val="single" w:sz="4" w:space="0" w:color="F39200"/>
              <w:right w:val="nil"/>
            </w:tcBorders>
            <w:shd w:val="clear" w:color="auto" w:fill="auto"/>
            <w:noWrap/>
            <w:vAlign w:val="center"/>
            <w:hideMark/>
          </w:tcPr>
          <w:p w14:paraId="6F4ED80D" w14:textId="77777777" w:rsidR="003F7821" w:rsidRPr="00E20D21" w:rsidRDefault="003F7821" w:rsidP="003F7821">
            <w:pPr>
              <w:rPr>
                <w:rFonts w:ascii="CAIXA Std Book" w:hAnsi="CAIXA Std Book" w:cs="MS Gothic"/>
                <w:b/>
                <w:color w:val="005CA9"/>
                <w:sz w:val="18"/>
                <w:szCs w:val="18"/>
              </w:rPr>
            </w:pPr>
            <w:r w:rsidRPr="00E20D21">
              <w:rPr>
                <w:rFonts w:ascii="CAIXA Std Book" w:hAnsi="CAIXA Std Book" w:cs="MS Gothic"/>
                <w:b/>
                <w:color w:val="005CA9"/>
                <w:sz w:val="18"/>
                <w:szCs w:val="18"/>
              </w:rPr>
              <w:t>Total</w:t>
            </w:r>
          </w:p>
        </w:tc>
        <w:tc>
          <w:tcPr>
            <w:tcW w:w="606" w:type="pct"/>
            <w:tcBorders>
              <w:left w:val="nil"/>
              <w:bottom w:val="single" w:sz="4" w:space="0" w:color="F39200"/>
              <w:right w:val="nil"/>
            </w:tcBorders>
            <w:shd w:val="clear" w:color="auto" w:fill="auto"/>
            <w:noWrap/>
            <w:vAlign w:val="center"/>
          </w:tcPr>
          <w:p w14:paraId="3EC362FC" w14:textId="118AA344" w:rsidR="003F7821" w:rsidRPr="00E20D21" w:rsidRDefault="00D14EAC" w:rsidP="00D14EAC">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61.610.509</w:t>
            </w:r>
          </w:p>
        </w:tc>
        <w:tc>
          <w:tcPr>
            <w:tcW w:w="606" w:type="pct"/>
            <w:tcBorders>
              <w:left w:val="nil"/>
              <w:bottom w:val="single" w:sz="4" w:space="0" w:color="F39200"/>
              <w:right w:val="nil"/>
            </w:tcBorders>
            <w:shd w:val="clear" w:color="auto" w:fill="auto"/>
            <w:noWrap/>
            <w:vAlign w:val="center"/>
          </w:tcPr>
          <w:p w14:paraId="68B9258D" w14:textId="7B387911" w:rsidR="003F7821" w:rsidRPr="00E20D21" w:rsidRDefault="003F7821" w:rsidP="003F7821">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63.448.618</w:t>
            </w:r>
          </w:p>
        </w:tc>
        <w:tc>
          <w:tcPr>
            <w:tcW w:w="606" w:type="pct"/>
            <w:tcBorders>
              <w:left w:val="nil"/>
              <w:bottom w:val="single" w:sz="4" w:space="0" w:color="F39200"/>
              <w:right w:val="nil"/>
            </w:tcBorders>
            <w:vAlign w:val="center"/>
          </w:tcPr>
          <w:p w14:paraId="525C73C3" w14:textId="19FF2D5D" w:rsidR="003F7821" w:rsidRPr="00E20D21" w:rsidRDefault="001514F6" w:rsidP="001C4E6F">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61.745.895</w:t>
            </w:r>
          </w:p>
        </w:tc>
        <w:tc>
          <w:tcPr>
            <w:tcW w:w="607" w:type="pct"/>
            <w:tcBorders>
              <w:left w:val="nil"/>
              <w:bottom w:val="single" w:sz="4" w:space="0" w:color="F39200"/>
              <w:right w:val="nil"/>
            </w:tcBorders>
            <w:vAlign w:val="center"/>
          </w:tcPr>
          <w:p w14:paraId="3FD1DCC0" w14:textId="54797ED4" w:rsidR="003F7821" w:rsidRPr="00E20D21" w:rsidRDefault="003F7821" w:rsidP="003F7821">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63.608.962</w:t>
            </w:r>
          </w:p>
        </w:tc>
      </w:tr>
      <w:tr w:rsidR="003F7821" w:rsidRPr="00E20D21" w14:paraId="4EB8BBEC" w14:textId="7B23D549" w:rsidTr="003F7821">
        <w:trPr>
          <w:trHeight w:val="283"/>
        </w:trPr>
        <w:tc>
          <w:tcPr>
            <w:tcW w:w="2575" w:type="pct"/>
            <w:tcBorders>
              <w:top w:val="nil"/>
              <w:left w:val="nil"/>
              <w:bottom w:val="single" w:sz="4" w:space="0" w:color="F39200"/>
              <w:right w:val="nil"/>
            </w:tcBorders>
            <w:shd w:val="clear" w:color="auto" w:fill="auto"/>
            <w:noWrap/>
            <w:vAlign w:val="center"/>
            <w:hideMark/>
          </w:tcPr>
          <w:p w14:paraId="098BAEA1" w14:textId="570CCA38" w:rsidR="003F7821" w:rsidRPr="00E20D21" w:rsidRDefault="003F7821" w:rsidP="003F7821">
            <w:pPr>
              <w:rPr>
                <w:rFonts w:ascii="CAIXA Std Book" w:hAnsi="CAIXA Std Book" w:cs="MS Gothic"/>
                <w:color w:val="005CA9"/>
                <w:sz w:val="18"/>
                <w:szCs w:val="18"/>
              </w:rPr>
            </w:pPr>
            <w:r w:rsidRPr="00E20D21">
              <w:rPr>
                <w:rFonts w:ascii="CAIXA Std Book" w:hAnsi="CAIXA Std Book" w:cs="MS Gothic"/>
                <w:color w:val="005CA9"/>
                <w:sz w:val="18"/>
                <w:szCs w:val="18"/>
              </w:rPr>
              <w:t>Perdas por redução ao valor recuperável (b)</w:t>
            </w:r>
          </w:p>
        </w:tc>
        <w:tc>
          <w:tcPr>
            <w:tcW w:w="606" w:type="pct"/>
            <w:tcBorders>
              <w:top w:val="nil"/>
              <w:left w:val="nil"/>
              <w:bottom w:val="single" w:sz="4" w:space="0" w:color="F39200"/>
              <w:right w:val="nil"/>
            </w:tcBorders>
            <w:shd w:val="clear" w:color="auto" w:fill="auto"/>
            <w:noWrap/>
            <w:vAlign w:val="center"/>
          </w:tcPr>
          <w:p w14:paraId="4EB71846" w14:textId="0EA61B1B" w:rsidR="003F7821" w:rsidRPr="00E20D21" w:rsidRDefault="00D14EAC" w:rsidP="00D14EAC">
            <w:pPr>
              <w:jc w:val="right"/>
              <w:rPr>
                <w:rFonts w:ascii="CAIXA Std Book" w:hAnsi="CAIXA Std Book" w:cs="Arial"/>
                <w:color w:val="005CA9"/>
                <w:sz w:val="18"/>
                <w:szCs w:val="18"/>
              </w:rPr>
            </w:pPr>
            <w:r w:rsidRPr="00E20D21">
              <w:rPr>
                <w:rFonts w:ascii="CAIXA Std Book" w:hAnsi="CAIXA Std Book" w:cs="Arial"/>
                <w:color w:val="005CA9"/>
                <w:sz w:val="18"/>
                <w:szCs w:val="18"/>
              </w:rPr>
              <w:t>(2.715.444)</w:t>
            </w:r>
          </w:p>
        </w:tc>
        <w:tc>
          <w:tcPr>
            <w:tcW w:w="606" w:type="pct"/>
            <w:tcBorders>
              <w:top w:val="nil"/>
              <w:left w:val="nil"/>
              <w:bottom w:val="single" w:sz="4" w:space="0" w:color="F39200"/>
              <w:right w:val="nil"/>
            </w:tcBorders>
            <w:shd w:val="clear" w:color="auto" w:fill="auto"/>
            <w:noWrap/>
            <w:vAlign w:val="center"/>
          </w:tcPr>
          <w:p w14:paraId="612B21B3" w14:textId="7651F6B0" w:rsidR="003F7821" w:rsidRPr="00E20D21" w:rsidRDefault="003F7821" w:rsidP="003F7821">
            <w:pPr>
              <w:jc w:val="right"/>
              <w:rPr>
                <w:rFonts w:ascii="CAIXA Std Book" w:hAnsi="CAIXA Std Book" w:cs="MS Gothic"/>
                <w:color w:val="005CA9"/>
                <w:sz w:val="18"/>
                <w:szCs w:val="18"/>
              </w:rPr>
            </w:pPr>
            <w:r w:rsidRPr="00E20D21">
              <w:rPr>
                <w:rFonts w:ascii="CAIXA Std Book" w:hAnsi="CAIXA Std Book" w:cs="Arial"/>
                <w:color w:val="005CA9"/>
                <w:sz w:val="18"/>
                <w:szCs w:val="18"/>
              </w:rPr>
              <w:t>(2.741.191)</w:t>
            </w:r>
          </w:p>
        </w:tc>
        <w:tc>
          <w:tcPr>
            <w:tcW w:w="606" w:type="pct"/>
            <w:tcBorders>
              <w:top w:val="nil"/>
              <w:left w:val="nil"/>
              <w:bottom w:val="single" w:sz="4" w:space="0" w:color="F39200"/>
              <w:right w:val="nil"/>
            </w:tcBorders>
            <w:vAlign w:val="center"/>
          </w:tcPr>
          <w:p w14:paraId="15C445A0" w14:textId="6D7BF55D" w:rsidR="003F7821" w:rsidRPr="00E20D21" w:rsidRDefault="001514F6" w:rsidP="001C4E6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(2.715.444)</w:t>
            </w:r>
          </w:p>
        </w:tc>
        <w:tc>
          <w:tcPr>
            <w:tcW w:w="607" w:type="pct"/>
            <w:tcBorders>
              <w:top w:val="nil"/>
              <w:left w:val="nil"/>
              <w:bottom w:val="single" w:sz="4" w:space="0" w:color="F39200"/>
              <w:right w:val="nil"/>
            </w:tcBorders>
            <w:vAlign w:val="center"/>
          </w:tcPr>
          <w:p w14:paraId="25AFCE0A" w14:textId="230A02AB" w:rsidR="003F7821" w:rsidRPr="00E20D21" w:rsidRDefault="003F7821" w:rsidP="003F7821">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(2.741.191)</w:t>
            </w:r>
          </w:p>
        </w:tc>
      </w:tr>
      <w:tr w:rsidR="003F7821" w:rsidRPr="00E20D21" w14:paraId="699A0EDE" w14:textId="2DC1D3D1" w:rsidTr="003F7821">
        <w:trPr>
          <w:trHeight w:val="283"/>
        </w:trPr>
        <w:tc>
          <w:tcPr>
            <w:tcW w:w="2575" w:type="pct"/>
            <w:tcBorders>
              <w:top w:val="nil"/>
              <w:left w:val="nil"/>
              <w:bottom w:val="single" w:sz="4" w:space="0" w:color="F39200"/>
              <w:right w:val="nil"/>
            </w:tcBorders>
            <w:shd w:val="clear" w:color="auto" w:fill="auto"/>
            <w:noWrap/>
            <w:vAlign w:val="center"/>
            <w:hideMark/>
          </w:tcPr>
          <w:p w14:paraId="200E3C28" w14:textId="77777777" w:rsidR="003F7821" w:rsidRPr="00E20D21" w:rsidRDefault="003F7821" w:rsidP="003F7821">
            <w:pPr>
              <w:rPr>
                <w:rFonts w:ascii="CAIXA Std Book" w:hAnsi="CAIXA Std Book" w:cs="MS Gothic"/>
                <w:b/>
                <w:color w:val="005CA9"/>
                <w:sz w:val="18"/>
                <w:szCs w:val="18"/>
              </w:rPr>
            </w:pPr>
            <w:r w:rsidRPr="00E20D21">
              <w:rPr>
                <w:rFonts w:ascii="CAIXA Std Book" w:hAnsi="CAIXA Std Book" w:cs="MS Gothic"/>
                <w:b/>
                <w:color w:val="005CA9"/>
                <w:sz w:val="18"/>
                <w:szCs w:val="18"/>
              </w:rPr>
              <w:t>Total líquido de provisão</w:t>
            </w:r>
          </w:p>
        </w:tc>
        <w:tc>
          <w:tcPr>
            <w:tcW w:w="606" w:type="pct"/>
            <w:tcBorders>
              <w:top w:val="nil"/>
              <w:left w:val="nil"/>
              <w:bottom w:val="single" w:sz="4" w:space="0" w:color="F39200"/>
              <w:right w:val="nil"/>
            </w:tcBorders>
            <w:shd w:val="clear" w:color="auto" w:fill="auto"/>
            <w:noWrap/>
            <w:vAlign w:val="center"/>
          </w:tcPr>
          <w:p w14:paraId="5D2681D4" w14:textId="375C701A" w:rsidR="003F7821" w:rsidRPr="00E20D21" w:rsidRDefault="00D14EAC" w:rsidP="00D14EAC">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58.895.065</w:t>
            </w:r>
          </w:p>
        </w:tc>
        <w:tc>
          <w:tcPr>
            <w:tcW w:w="606" w:type="pct"/>
            <w:tcBorders>
              <w:top w:val="nil"/>
              <w:left w:val="nil"/>
              <w:bottom w:val="single" w:sz="4" w:space="0" w:color="F39200"/>
              <w:right w:val="nil"/>
            </w:tcBorders>
            <w:shd w:val="clear" w:color="auto" w:fill="auto"/>
            <w:noWrap/>
            <w:vAlign w:val="center"/>
          </w:tcPr>
          <w:p w14:paraId="294F7DCE" w14:textId="4425166A" w:rsidR="003F7821" w:rsidRPr="00E20D21" w:rsidRDefault="003F7821" w:rsidP="003F7821">
            <w:pPr>
              <w:jc w:val="right"/>
              <w:rPr>
                <w:rFonts w:ascii="CAIXA Std Book" w:hAnsi="CAIXA Std Book" w:cs="MS Gothic"/>
                <w:b/>
                <w:color w:val="005CA9"/>
                <w:sz w:val="18"/>
                <w:szCs w:val="18"/>
              </w:rPr>
            </w:pPr>
            <w:r w:rsidRPr="00E20D21">
              <w:rPr>
                <w:rFonts w:ascii="CAIXA Std Book" w:hAnsi="CAIXA Std Book" w:cs="Arial"/>
                <w:b/>
                <w:bCs/>
                <w:color w:val="005CA9"/>
                <w:sz w:val="18"/>
                <w:szCs w:val="18"/>
              </w:rPr>
              <w:t>60.707.427</w:t>
            </w:r>
          </w:p>
        </w:tc>
        <w:tc>
          <w:tcPr>
            <w:tcW w:w="606" w:type="pct"/>
            <w:tcBorders>
              <w:top w:val="nil"/>
              <w:left w:val="nil"/>
              <w:bottom w:val="single" w:sz="4" w:space="0" w:color="F39200"/>
              <w:right w:val="nil"/>
            </w:tcBorders>
            <w:vAlign w:val="center"/>
          </w:tcPr>
          <w:p w14:paraId="002C2E71" w14:textId="391A06B0" w:rsidR="003F7821" w:rsidRPr="00E20D21" w:rsidRDefault="001514F6" w:rsidP="001C4E6F">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59.030.451</w:t>
            </w:r>
          </w:p>
        </w:tc>
        <w:tc>
          <w:tcPr>
            <w:tcW w:w="607" w:type="pct"/>
            <w:tcBorders>
              <w:top w:val="nil"/>
              <w:left w:val="nil"/>
              <w:bottom w:val="single" w:sz="4" w:space="0" w:color="F39200"/>
              <w:right w:val="nil"/>
            </w:tcBorders>
            <w:vAlign w:val="center"/>
          </w:tcPr>
          <w:p w14:paraId="39FE584D" w14:textId="11F01C1F" w:rsidR="003F7821" w:rsidRPr="00E20D21" w:rsidRDefault="003F7821" w:rsidP="003F7821">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60.867.771</w:t>
            </w:r>
          </w:p>
        </w:tc>
      </w:tr>
      <w:tr w:rsidR="006A3179" w:rsidRPr="00E20D21" w14:paraId="1F233E65" w14:textId="23C38C13" w:rsidTr="006A3179">
        <w:trPr>
          <w:trHeight w:val="283"/>
        </w:trPr>
        <w:tc>
          <w:tcPr>
            <w:tcW w:w="2575" w:type="pct"/>
            <w:tcBorders>
              <w:top w:val="nil"/>
              <w:left w:val="nil"/>
              <w:bottom w:val="nil"/>
              <w:right w:val="nil"/>
            </w:tcBorders>
            <w:shd w:val="clear" w:color="auto" w:fill="auto"/>
            <w:noWrap/>
            <w:vAlign w:val="center"/>
            <w:hideMark/>
          </w:tcPr>
          <w:p w14:paraId="56393BFB" w14:textId="23DAB76F" w:rsidR="006A3179" w:rsidRPr="00E20D21" w:rsidRDefault="006A3179" w:rsidP="006A3179">
            <w:pPr>
              <w:rPr>
                <w:rFonts w:ascii="CAIXA Std Book" w:hAnsi="CAIXA Std Book" w:cs="MS Gothic"/>
                <w:color w:val="005CA9"/>
                <w:sz w:val="18"/>
                <w:szCs w:val="18"/>
              </w:rPr>
            </w:pPr>
            <w:r w:rsidRPr="00E20D21">
              <w:rPr>
                <w:rFonts w:ascii="CAIXA Std Book" w:hAnsi="CAIXA Std Book" w:cs="MS Gothic"/>
                <w:color w:val="005CA9"/>
                <w:sz w:val="18"/>
                <w:szCs w:val="18"/>
              </w:rPr>
              <w:t>Ativo circulante</w:t>
            </w:r>
          </w:p>
        </w:tc>
        <w:tc>
          <w:tcPr>
            <w:tcW w:w="606" w:type="pct"/>
            <w:tcBorders>
              <w:top w:val="nil"/>
              <w:left w:val="nil"/>
              <w:bottom w:val="nil"/>
              <w:right w:val="nil"/>
            </w:tcBorders>
            <w:shd w:val="clear" w:color="auto" w:fill="auto"/>
            <w:noWrap/>
            <w:vAlign w:val="center"/>
          </w:tcPr>
          <w:p w14:paraId="6CBEE426" w14:textId="0398476B" w:rsidR="006A3179" w:rsidRPr="00E20D21" w:rsidRDefault="006A3179" w:rsidP="006A317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5.395.370</w:t>
            </w:r>
          </w:p>
        </w:tc>
        <w:tc>
          <w:tcPr>
            <w:tcW w:w="606" w:type="pct"/>
            <w:tcBorders>
              <w:top w:val="nil"/>
              <w:left w:val="nil"/>
              <w:right w:val="nil"/>
            </w:tcBorders>
            <w:shd w:val="clear" w:color="auto" w:fill="auto"/>
            <w:noWrap/>
            <w:vAlign w:val="center"/>
          </w:tcPr>
          <w:p w14:paraId="72436915" w14:textId="03396C3E" w:rsidR="006A3179" w:rsidRPr="00E20D21" w:rsidRDefault="006A3179" w:rsidP="006A317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4.860.580</w:t>
            </w:r>
          </w:p>
        </w:tc>
        <w:tc>
          <w:tcPr>
            <w:tcW w:w="606" w:type="pct"/>
            <w:tcBorders>
              <w:top w:val="nil"/>
              <w:left w:val="nil"/>
              <w:right w:val="nil"/>
            </w:tcBorders>
            <w:vAlign w:val="center"/>
          </w:tcPr>
          <w:p w14:paraId="6BEB8A8D" w14:textId="51ABA43B" w:rsidR="006A3179" w:rsidRPr="00E20D21" w:rsidRDefault="001514F6" w:rsidP="006A3179">
            <w:pPr>
              <w:jc w:val="right"/>
              <w:rPr>
                <w:rFonts w:ascii="CAIXA Std Book" w:hAnsi="CAIXA Std Book" w:cs="Arial"/>
                <w:color w:val="005CA9"/>
                <w:sz w:val="18"/>
                <w:szCs w:val="18"/>
              </w:rPr>
            </w:pPr>
            <w:r w:rsidRPr="00E20D21">
              <w:rPr>
                <w:rFonts w:ascii="CAIXA Std Book" w:hAnsi="CAIXA Std Book" w:cs="Arial"/>
                <w:color w:val="005CA9"/>
                <w:sz w:val="18"/>
                <w:szCs w:val="18"/>
              </w:rPr>
              <w:t>5.535.283</w:t>
            </w:r>
          </w:p>
        </w:tc>
        <w:tc>
          <w:tcPr>
            <w:tcW w:w="607" w:type="pct"/>
            <w:tcBorders>
              <w:top w:val="nil"/>
              <w:left w:val="nil"/>
              <w:right w:val="nil"/>
            </w:tcBorders>
            <w:vAlign w:val="center"/>
          </w:tcPr>
          <w:p w14:paraId="462F4021" w14:textId="41EEB5E0" w:rsidR="006A3179" w:rsidRPr="00E20D21" w:rsidRDefault="006A3179" w:rsidP="006A317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5.020.924</w:t>
            </w:r>
          </w:p>
        </w:tc>
      </w:tr>
      <w:tr w:rsidR="006A3179" w:rsidRPr="00E20D21" w14:paraId="3360C28B" w14:textId="2AA1C460" w:rsidTr="006A3179">
        <w:trPr>
          <w:trHeight w:val="283"/>
        </w:trPr>
        <w:tc>
          <w:tcPr>
            <w:tcW w:w="2575" w:type="pct"/>
            <w:tcBorders>
              <w:top w:val="nil"/>
              <w:left w:val="nil"/>
              <w:bottom w:val="single" w:sz="4" w:space="0" w:color="F39200"/>
              <w:right w:val="nil"/>
            </w:tcBorders>
            <w:shd w:val="clear" w:color="auto" w:fill="auto"/>
            <w:noWrap/>
            <w:vAlign w:val="center"/>
            <w:hideMark/>
          </w:tcPr>
          <w:p w14:paraId="261D7498" w14:textId="77777777" w:rsidR="006A3179" w:rsidRPr="00E20D21" w:rsidRDefault="006A3179" w:rsidP="006A3179">
            <w:pPr>
              <w:rPr>
                <w:rFonts w:ascii="CAIXA Std Book" w:hAnsi="CAIXA Std Book" w:cs="MS Gothic"/>
                <w:color w:val="005CA9"/>
                <w:sz w:val="18"/>
                <w:szCs w:val="18"/>
              </w:rPr>
            </w:pPr>
            <w:r w:rsidRPr="00E20D21">
              <w:rPr>
                <w:rFonts w:ascii="CAIXA Std Book" w:hAnsi="CAIXA Std Book" w:cs="MS Gothic"/>
                <w:color w:val="005CA9"/>
                <w:sz w:val="18"/>
                <w:szCs w:val="18"/>
              </w:rPr>
              <w:t>Ativo não circulante</w:t>
            </w:r>
          </w:p>
        </w:tc>
        <w:tc>
          <w:tcPr>
            <w:tcW w:w="606" w:type="pct"/>
            <w:tcBorders>
              <w:top w:val="nil"/>
              <w:left w:val="nil"/>
              <w:bottom w:val="single" w:sz="4" w:space="0" w:color="F39200"/>
              <w:right w:val="nil"/>
            </w:tcBorders>
            <w:shd w:val="clear" w:color="auto" w:fill="auto"/>
            <w:noWrap/>
            <w:vAlign w:val="center"/>
          </w:tcPr>
          <w:p w14:paraId="530EC522" w14:textId="72D73732" w:rsidR="006A3179" w:rsidRPr="00E20D21" w:rsidRDefault="006A3179" w:rsidP="006A317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53.499.695</w:t>
            </w:r>
          </w:p>
        </w:tc>
        <w:tc>
          <w:tcPr>
            <w:tcW w:w="606" w:type="pct"/>
            <w:tcBorders>
              <w:top w:val="nil"/>
              <w:left w:val="nil"/>
              <w:bottom w:val="single" w:sz="4" w:space="0" w:color="F39200"/>
              <w:right w:val="nil"/>
            </w:tcBorders>
            <w:shd w:val="clear" w:color="auto" w:fill="auto"/>
            <w:noWrap/>
            <w:vAlign w:val="center"/>
          </w:tcPr>
          <w:p w14:paraId="78AD81FD" w14:textId="37563AC0" w:rsidR="006A3179" w:rsidRPr="00E20D21" w:rsidRDefault="006A3179" w:rsidP="006A317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55.846.847</w:t>
            </w:r>
          </w:p>
        </w:tc>
        <w:tc>
          <w:tcPr>
            <w:tcW w:w="606" w:type="pct"/>
            <w:tcBorders>
              <w:top w:val="nil"/>
              <w:left w:val="nil"/>
              <w:bottom w:val="single" w:sz="4" w:space="0" w:color="F39200"/>
              <w:right w:val="nil"/>
            </w:tcBorders>
            <w:vAlign w:val="center"/>
          </w:tcPr>
          <w:p w14:paraId="2CD281A8" w14:textId="5E80BB51" w:rsidR="006A3179" w:rsidRPr="00E20D21" w:rsidRDefault="001514F6" w:rsidP="006A3179">
            <w:pPr>
              <w:jc w:val="right"/>
              <w:rPr>
                <w:rFonts w:ascii="CAIXA Std Book" w:hAnsi="CAIXA Std Book" w:cs="Arial"/>
                <w:color w:val="005CA9"/>
                <w:sz w:val="18"/>
                <w:szCs w:val="18"/>
              </w:rPr>
            </w:pPr>
            <w:r w:rsidRPr="00E20D21">
              <w:rPr>
                <w:rFonts w:ascii="CAIXA Std Book" w:hAnsi="CAIXA Std Book" w:cs="Arial"/>
                <w:color w:val="005CA9"/>
                <w:sz w:val="18"/>
                <w:szCs w:val="18"/>
              </w:rPr>
              <w:t>53.495.168</w:t>
            </w:r>
          </w:p>
        </w:tc>
        <w:tc>
          <w:tcPr>
            <w:tcW w:w="607" w:type="pct"/>
            <w:tcBorders>
              <w:top w:val="nil"/>
              <w:left w:val="nil"/>
              <w:bottom w:val="single" w:sz="4" w:space="0" w:color="F39200"/>
              <w:right w:val="nil"/>
            </w:tcBorders>
            <w:vAlign w:val="center"/>
          </w:tcPr>
          <w:p w14:paraId="22C4C467" w14:textId="69936F24" w:rsidR="006A3179" w:rsidRPr="00E20D21" w:rsidRDefault="006A3179" w:rsidP="006A3179">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55.846.847</w:t>
            </w:r>
          </w:p>
        </w:tc>
      </w:tr>
    </w:tbl>
    <w:p w14:paraId="27EAE8D3" w14:textId="0228F30E" w:rsidR="00E3677A" w:rsidRPr="00E20D21" w:rsidRDefault="00DA3CD0" w:rsidP="00665625">
      <w:pPr>
        <w:jc w:val="both"/>
        <w:rPr>
          <w:rStyle w:val="Nmerodepgina"/>
          <w:rFonts w:ascii="CAIXA Std Book" w:hAnsi="CAIXA Std Book" w:cs="Arial Unicode MS"/>
          <w:b/>
          <w:color w:val="005CA9"/>
          <w:sz w:val="20"/>
          <w:szCs w:val="20"/>
        </w:rPr>
      </w:pPr>
      <w:r w:rsidRPr="00E20D21">
        <w:rPr>
          <w:rFonts w:ascii="CAIXA Std Book" w:hAnsi="CAIXA Std Book"/>
          <w:color w:val="005CA9"/>
          <w:sz w:val="16"/>
          <w:szCs w:val="16"/>
        </w:rPr>
        <w:t xml:space="preserve">(1) Inclui valores a receber de </w:t>
      </w:r>
      <w:r w:rsidR="00665625" w:rsidRPr="00E20D21">
        <w:rPr>
          <w:rFonts w:ascii="CAIXA Std Book" w:hAnsi="CAIXA Std Book"/>
          <w:color w:val="005CA9"/>
          <w:sz w:val="16"/>
          <w:szCs w:val="16"/>
        </w:rPr>
        <w:t xml:space="preserve">R$ </w:t>
      </w:r>
      <w:r w:rsidR="00E371FB" w:rsidRPr="00E20D21">
        <w:rPr>
          <w:rFonts w:ascii="CAIXA Std Book" w:hAnsi="CAIXA Std Book"/>
          <w:color w:val="005CA9"/>
          <w:sz w:val="16"/>
          <w:szCs w:val="16"/>
        </w:rPr>
        <w:t>192.081</w:t>
      </w:r>
      <w:r w:rsidR="00665625" w:rsidRPr="00E20D21">
        <w:rPr>
          <w:rFonts w:ascii="CAIXA Std Book" w:hAnsi="CAIXA Std Book"/>
          <w:color w:val="005CA9"/>
          <w:sz w:val="16"/>
          <w:szCs w:val="16"/>
        </w:rPr>
        <w:t xml:space="preserve">, referentes </w:t>
      </w:r>
      <w:r w:rsidR="00E243D1">
        <w:rPr>
          <w:rFonts w:ascii="CAIXA Std Book" w:hAnsi="CAIXA Std Book"/>
          <w:color w:val="005CA9"/>
          <w:sz w:val="16"/>
          <w:szCs w:val="16"/>
        </w:rPr>
        <w:t xml:space="preserve">à </w:t>
      </w:r>
      <w:r w:rsidR="00665625" w:rsidRPr="00E20D21">
        <w:rPr>
          <w:rFonts w:ascii="CAIXA Std Book" w:hAnsi="CAIXA Std Book"/>
          <w:color w:val="005CA9"/>
          <w:sz w:val="16"/>
          <w:szCs w:val="16"/>
        </w:rPr>
        <w:t>subvenção econômica concedida às operações do PRONAMPE – Estado do Rio Grande do Sul, para auxílio às empresas da região atingidas pelos eventos climáticos extremos ocorridos no estado em abril de 2024.</w:t>
      </w:r>
    </w:p>
    <w:p w14:paraId="70C9B3B4" w14:textId="77777777" w:rsidR="00E3677A" w:rsidRPr="00E20D21" w:rsidRDefault="00E3677A">
      <w:pPr>
        <w:rPr>
          <w:rStyle w:val="Nmerodepgina"/>
          <w:rFonts w:ascii="CAIXA Std Book" w:hAnsi="CAIXA Std Book" w:cs="Arial Unicode MS"/>
          <w:b/>
          <w:color w:val="005CA9"/>
          <w:sz w:val="20"/>
          <w:szCs w:val="20"/>
        </w:rPr>
      </w:pPr>
      <w:r w:rsidRPr="00E20D21">
        <w:rPr>
          <w:rStyle w:val="Nmerodepgina"/>
          <w:rFonts w:ascii="CAIXA Std Book" w:hAnsi="CAIXA Std Book" w:cs="Arial Unicode MS"/>
          <w:b/>
          <w:color w:val="005CA9"/>
          <w:sz w:val="20"/>
          <w:szCs w:val="20"/>
        </w:rPr>
        <w:br w:type="page"/>
      </w:r>
    </w:p>
    <w:p w14:paraId="143CF4AE" w14:textId="79F2C057" w:rsidR="006851E1" w:rsidRPr="00E20D21" w:rsidRDefault="002554BA" w:rsidP="006851E1">
      <w:pPr>
        <w:pStyle w:val="PargrafodaLista"/>
        <w:numPr>
          <w:ilvl w:val="0"/>
          <w:numId w:val="24"/>
        </w:numPr>
        <w:spacing w:before="480" w:after="240"/>
        <w:ind w:left="567" w:hanging="567"/>
        <w:contextualSpacing w:val="0"/>
        <w:rPr>
          <w:rStyle w:val="Nmerodepgina"/>
          <w:rFonts w:ascii="CAIXA Std Book" w:hAnsi="CAIXA Std Book" w:cs="Arial Unicode MS"/>
          <w:b/>
          <w:color w:val="005CA9"/>
          <w:sz w:val="20"/>
          <w:szCs w:val="20"/>
        </w:rPr>
      </w:pPr>
      <w:r w:rsidRPr="00E20D21">
        <w:rPr>
          <w:rStyle w:val="Nmerodepgina"/>
          <w:rFonts w:ascii="CAIXA Std Book" w:hAnsi="CAIXA Std Book" w:cs="Arial Unicode MS"/>
          <w:b/>
          <w:color w:val="005CA9"/>
          <w:sz w:val="20"/>
          <w:szCs w:val="20"/>
        </w:rPr>
        <w:lastRenderedPageBreak/>
        <w:t>D</w:t>
      </w:r>
      <w:r w:rsidR="006851E1" w:rsidRPr="00E20D21">
        <w:rPr>
          <w:rStyle w:val="Nmerodepgina"/>
          <w:rFonts w:ascii="CAIXA Std Book" w:hAnsi="CAIXA Std Book" w:cs="Arial Unicode MS"/>
          <w:b/>
          <w:color w:val="005CA9"/>
          <w:sz w:val="20"/>
          <w:szCs w:val="20"/>
        </w:rPr>
        <w:t>iferença de cessão</w:t>
      </w:r>
    </w:p>
    <w:p w14:paraId="1E666BB2" w14:textId="3DBF9708" w:rsidR="002F454E" w:rsidRPr="00E20D21" w:rsidRDefault="002F454E" w:rsidP="00F769D0">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contratos de cessão de carteiras imobiliárias cedidos à CAIXA por outros agentes financeiros possuem cláusula pró-solvendo, segundo a qual o agente cedente se compromete a ressarcir à CAIXA eventuais diferenças apuradas, resultantes do processo de depuração e validação dos contratos cedidos pelo Conselho Curador do FCVS</w:t>
      </w:r>
      <w:r w:rsidR="00C10733" w:rsidRPr="00E20D21">
        <w:rPr>
          <w:rFonts w:ascii="CAIXA Std Book" w:hAnsi="CAIXA Std Book"/>
          <w:color w:val="005CA9"/>
          <w:sz w:val="20"/>
          <w:szCs w:val="20"/>
        </w:rPr>
        <w:t>.</w:t>
      </w:r>
    </w:p>
    <w:p w14:paraId="76B1040E" w14:textId="77777777" w:rsidR="00935CCE" w:rsidRPr="00E20D21" w:rsidRDefault="00935CCE" w:rsidP="00935CCE">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Diferença de Cessão é o resultado apurado entre o valor informado por cada agente financeiro cedente no respectivo instrumento de cessão de contratos habitacionais com cobertura do FCVS à CAIXA, e o valor efetivamente apurado junto à Administradora do FCVS como passível de novação.</w:t>
      </w:r>
    </w:p>
    <w:p w14:paraId="7FF58CFC" w14:textId="77777777" w:rsidR="00935CCE" w:rsidRPr="00E20D21" w:rsidRDefault="00935CCE" w:rsidP="00935CCE">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Após análise dos créditos FCVS relacionados a diferenças de cessão e sua recuperabilidade, conclui-se que tais valores representam direito da CAIXA com o Agente Financeiro cedente, contratualmente comprometido com o ressarcimento à CAIXA dos valores não cobertos pelo FCVS.</w:t>
      </w:r>
    </w:p>
    <w:p w14:paraId="3A0F565C" w14:textId="579301F9" w:rsidR="00935CCE" w:rsidRPr="00E20D21" w:rsidRDefault="00935CCE" w:rsidP="00935CCE">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Desse modo, considerando que os ativos de diferença de cessão seriam separados dos créditos FCVS próprios, restou necessária sua reclassificação</w:t>
      </w:r>
      <w:r w:rsidR="00C10733" w:rsidRPr="00E20D21">
        <w:rPr>
          <w:rFonts w:ascii="CAIXA Std Book" w:hAnsi="CAIXA Std Book"/>
          <w:color w:val="005CA9"/>
          <w:sz w:val="20"/>
          <w:szCs w:val="20"/>
        </w:rPr>
        <w:t xml:space="preserve"> dentro de Outros ativos financeiros</w:t>
      </w:r>
      <w:r w:rsidRPr="00E20D21">
        <w:rPr>
          <w:rFonts w:ascii="CAIXA Std Book" w:hAnsi="CAIXA Std Book"/>
          <w:color w:val="005CA9"/>
          <w:sz w:val="20"/>
          <w:szCs w:val="20"/>
        </w:rPr>
        <w:t xml:space="preserve"> da rubrica </w:t>
      </w:r>
      <w:r w:rsidR="00C10733" w:rsidRPr="00E20D21">
        <w:rPr>
          <w:rFonts w:ascii="CAIXA Std Book" w:hAnsi="CAIXA Std Book"/>
          <w:color w:val="005CA9"/>
          <w:sz w:val="20"/>
          <w:szCs w:val="20"/>
        </w:rPr>
        <w:t>“</w:t>
      </w:r>
      <w:r w:rsidRPr="00E20D21">
        <w:rPr>
          <w:rFonts w:ascii="CAIXA Std Book" w:hAnsi="CAIXA Std Book"/>
          <w:color w:val="005CA9"/>
          <w:sz w:val="20"/>
          <w:szCs w:val="20"/>
        </w:rPr>
        <w:t xml:space="preserve">Créditos </w:t>
      </w:r>
      <w:r w:rsidR="00C10733" w:rsidRPr="00E20D21">
        <w:rPr>
          <w:rFonts w:ascii="CAIXA Std Book" w:hAnsi="CAIXA Std Book"/>
          <w:color w:val="005CA9"/>
          <w:sz w:val="20"/>
          <w:szCs w:val="20"/>
        </w:rPr>
        <w:t>v</w:t>
      </w:r>
      <w:r w:rsidRPr="00E20D21">
        <w:rPr>
          <w:rFonts w:ascii="CAIXA Std Book" w:hAnsi="CAIXA Std Book"/>
          <w:color w:val="005CA9"/>
          <w:sz w:val="20"/>
          <w:szCs w:val="20"/>
        </w:rPr>
        <w:t xml:space="preserve">inculados </w:t>
      </w:r>
      <w:r w:rsidR="00C10733" w:rsidRPr="00E20D21">
        <w:rPr>
          <w:rFonts w:ascii="CAIXA Std Book" w:hAnsi="CAIXA Std Book"/>
          <w:color w:val="005CA9"/>
          <w:sz w:val="20"/>
          <w:szCs w:val="20"/>
        </w:rPr>
        <w:t xml:space="preserve">ao SFH (c)” </w:t>
      </w:r>
      <w:r w:rsidRPr="00E20D21">
        <w:rPr>
          <w:rFonts w:ascii="CAIXA Std Book" w:hAnsi="CAIXA Std Book"/>
          <w:color w:val="005CA9"/>
          <w:sz w:val="20"/>
          <w:szCs w:val="20"/>
        </w:rPr>
        <w:t xml:space="preserve">para a rubrica </w:t>
      </w:r>
      <w:r w:rsidR="00C10733" w:rsidRPr="00E20D21">
        <w:rPr>
          <w:rFonts w:ascii="CAIXA Std Book" w:hAnsi="CAIXA Std Book"/>
          <w:color w:val="005CA9"/>
          <w:sz w:val="20"/>
          <w:szCs w:val="20"/>
        </w:rPr>
        <w:t>“Créditos por diferença de cessão”</w:t>
      </w:r>
      <w:r w:rsidRPr="00E20D21">
        <w:rPr>
          <w:rFonts w:ascii="CAIXA Std Book" w:hAnsi="CAIXA Std Book"/>
          <w:color w:val="005CA9"/>
          <w:sz w:val="20"/>
          <w:szCs w:val="20"/>
        </w:rPr>
        <w:t>.</w:t>
      </w:r>
    </w:p>
    <w:p w14:paraId="78F4CABA" w14:textId="006F1333" w:rsidR="00935CCE" w:rsidRPr="00E20D21" w:rsidRDefault="00935CCE" w:rsidP="00935CCE">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Assim, sopesando a baixa probabilidade de ressarcimentos desses valores pelos Agentes Financeiros cedentes, haja vista o tempo decorrido e o histórico de ações judiciais em andamento, decidiu-se pela aplicação do teste de </w:t>
      </w:r>
      <w:r w:rsidRPr="00E20D21">
        <w:rPr>
          <w:rFonts w:ascii="CAIXA Std Book" w:hAnsi="CAIXA Std Book"/>
          <w:i/>
          <w:iCs/>
          <w:color w:val="005CA9"/>
          <w:sz w:val="20"/>
          <w:szCs w:val="20"/>
        </w:rPr>
        <w:t>impairment</w:t>
      </w:r>
      <w:r w:rsidR="007D7424"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sobre a totalidade dos créditos </w:t>
      </w:r>
      <w:r w:rsidR="00967244" w:rsidRPr="00E20D21">
        <w:rPr>
          <w:rFonts w:ascii="CAIXA Std Book" w:hAnsi="CAIXA Std Book"/>
          <w:color w:val="005CA9"/>
          <w:sz w:val="20"/>
          <w:szCs w:val="20"/>
        </w:rPr>
        <w:t xml:space="preserve">R$ </w:t>
      </w:r>
      <w:r w:rsidR="00967244" w:rsidRPr="00E20D21">
        <w:rPr>
          <w:rFonts w:ascii="CAIXA Std Book" w:hAnsi="CAIXA Std Book" w:cs="Arial"/>
          <w:color w:val="005CA9"/>
          <w:sz w:val="20"/>
          <w:szCs w:val="20"/>
        </w:rPr>
        <w:t>2.289.271</w:t>
      </w:r>
      <w:r w:rsidR="00967244" w:rsidRPr="00E20D21">
        <w:rPr>
          <w:rFonts w:ascii="CAIXA Std Book" w:hAnsi="CAIXA Std Book"/>
          <w:color w:val="005CA9"/>
          <w:sz w:val="20"/>
          <w:szCs w:val="20"/>
        </w:rPr>
        <w:t xml:space="preserve"> em 30/06/2024 </w:t>
      </w:r>
      <w:r w:rsidRPr="00E20D21">
        <w:rPr>
          <w:rFonts w:ascii="CAIXA Std Book" w:hAnsi="CAIXA Std Book"/>
          <w:color w:val="005CA9"/>
          <w:sz w:val="20"/>
          <w:szCs w:val="20"/>
        </w:rPr>
        <w:t>(R$ 2.315.019</w:t>
      </w:r>
      <w:r w:rsidR="00967244" w:rsidRPr="00E20D21">
        <w:rPr>
          <w:rFonts w:ascii="CAIXA Std Book" w:hAnsi="CAIXA Std Book"/>
          <w:color w:val="005CA9"/>
          <w:sz w:val="20"/>
          <w:szCs w:val="20"/>
        </w:rPr>
        <w:t xml:space="preserve"> em 31/12/202</w:t>
      </w:r>
      <w:r w:rsidR="00342B3D" w:rsidRPr="00E20D21">
        <w:rPr>
          <w:rFonts w:ascii="CAIXA Std Book" w:hAnsi="CAIXA Std Book"/>
          <w:color w:val="005CA9"/>
          <w:sz w:val="20"/>
          <w:szCs w:val="20"/>
        </w:rPr>
        <w:t>3</w:t>
      </w:r>
      <w:r w:rsidRPr="00E20D21">
        <w:rPr>
          <w:rFonts w:ascii="CAIXA Std Book" w:hAnsi="CAIXA Std Book"/>
          <w:color w:val="005CA9"/>
          <w:sz w:val="20"/>
          <w:szCs w:val="20"/>
        </w:rPr>
        <w:t>).</w:t>
      </w:r>
    </w:p>
    <w:p w14:paraId="772E7BE1" w14:textId="7177B591" w:rsidR="005664DE" w:rsidRPr="00E20D21" w:rsidRDefault="005664DE" w:rsidP="00DA6A0C">
      <w:pPr>
        <w:pStyle w:val="PargrafodaLista"/>
        <w:numPr>
          <w:ilvl w:val="0"/>
          <w:numId w:val="24"/>
        </w:numPr>
        <w:spacing w:before="480" w:after="240"/>
        <w:ind w:left="567" w:hanging="567"/>
        <w:contextualSpacing w:val="0"/>
        <w:rPr>
          <w:rStyle w:val="Nmerodepgina"/>
          <w:rFonts w:ascii="CAIXA Std Book" w:hAnsi="CAIXA Std Book" w:cs="Arial Unicode MS"/>
          <w:b/>
          <w:color w:val="005CA9"/>
          <w:sz w:val="20"/>
          <w:szCs w:val="20"/>
        </w:rPr>
      </w:pPr>
      <w:r w:rsidRPr="00E20D21">
        <w:rPr>
          <w:rStyle w:val="Nmerodepgina"/>
          <w:rFonts w:ascii="CAIXA Std Book" w:hAnsi="CAIXA Std Book" w:cs="Arial Unicode MS"/>
          <w:b/>
          <w:color w:val="005CA9"/>
          <w:sz w:val="20"/>
          <w:szCs w:val="20"/>
        </w:rPr>
        <w:t>Créditos Vinculados - Sistema Financeiro da Habitação (SFH)</w:t>
      </w:r>
    </w:p>
    <w:p w14:paraId="0C95B304" w14:textId="2F8C44EF" w:rsidR="00254FD0" w:rsidRPr="00E20D21" w:rsidRDefault="00254FD0" w:rsidP="00254FD0">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FCVS é um fundo público de natureza contábil e financeira, criado no âmbito do Sistema Financeiro da Habitação (SFH) </w:t>
      </w:r>
      <w:r w:rsidR="00753CFD" w:rsidRPr="00E20D21">
        <w:rPr>
          <w:rFonts w:ascii="CAIXA Std Book" w:hAnsi="CAIXA Std Book"/>
          <w:color w:val="005CA9"/>
          <w:sz w:val="20"/>
          <w:szCs w:val="20"/>
        </w:rPr>
        <w:t>pela Resolução nº 25</w:t>
      </w:r>
      <w:r w:rsidRPr="00E20D21">
        <w:rPr>
          <w:rFonts w:ascii="CAIXA Std Book" w:hAnsi="CAIXA Std Book"/>
          <w:color w:val="005CA9"/>
          <w:sz w:val="20"/>
          <w:szCs w:val="20"/>
        </w:rPr>
        <w:t xml:space="preserve"> de </w:t>
      </w:r>
      <w:r w:rsidR="00753CFD" w:rsidRPr="00E20D21">
        <w:rPr>
          <w:rFonts w:ascii="CAIXA Std Book" w:hAnsi="CAIXA Std Book"/>
          <w:color w:val="005CA9"/>
          <w:sz w:val="20"/>
          <w:szCs w:val="20"/>
        </w:rPr>
        <w:t>1967 do Conselho</w:t>
      </w:r>
      <w:r w:rsidRPr="00E20D21">
        <w:rPr>
          <w:rFonts w:ascii="CAIXA Std Book" w:hAnsi="CAIXA Std Book"/>
          <w:color w:val="005CA9"/>
          <w:sz w:val="20"/>
          <w:szCs w:val="20"/>
        </w:rPr>
        <w:t xml:space="preserve"> de </w:t>
      </w:r>
      <w:r w:rsidR="00753CFD" w:rsidRPr="00E20D21">
        <w:rPr>
          <w:rFonts w:ascii="CAIXA Std Book" w:hAnsi="CAIXA Std Book"/>
          <w:color w:val="005CA9"/>
          <w:sz w:val="20"/>
          <w:szCs w:val="20"/>
        </w:rPr>
        <w:t>Administração do BNH (Banco Nacional</w:t>
      </w:r>
      <w:r w:rsidRPr="00E20D21">
        <w:rPr>
          <w:rFonts w:ascii="CAIXA Std Book" w:hAnsi="CAIXA Std Book"/>
          <w:color w:val="005CA9"/>
          <w:sz w:val="20"/>
          <w:szCs w:val="20"/>
        </w:rPr>
        <w:t xml:space="preserve"> de </w:t>
      </w:r>
      <w:r w:rsidR="00753CFD" w:rsidRPr="00E20D21">
        <w:rPr>
          <w:rFonts w:ascii="CAIXA Std Book" w:hAnsi="CAIXA Std Book"/>
          <w:color w:val="005CA9"/>
          <w:sz w:val="20"/>
          <w:szCs w:val="20"/>
        </w:rPr>
        <w:t>Habitação).</w:t>
      </w:r>
    </w:p>
    <w:p w14:paraId="1B0B716F" w14:textId="20C14679" w:rsidR="00214236" w:rsidRPr="00E20D21" w:rsidRDefault="00214236" w:rsidP="004D6270">
      <w:pPr>
        <w:rPr>
          <w:rFonts w:ascii="CAIXA Std Book" w:hAnsi="CAIXA Std Book"/>
          <w:color w:val="005CA9"/>
          <w:sz w:val="20"/>
          <w:szCs w:val="20"/>
        </w:rPr>
      </w:pPr>
      <w:r w:rsidRPr="00E20D21">
        <w:rPr>
          <w:rFonts w:ascii="CAIXA Std Book" w:hAnsi="CAIXA Std Book"/>
          <w:color w:val="005CA9"/>
          <w:sz w:val="20"/>
          <w:szCs w:val="20"/>
        </w:rPr>
        <w:t xml:space="preserve">A responsabilidade institucional do FCVS apresenta-se nas seguintes finalidades: </w:t>
      </w:r>
    </w:p>
    <w:p w14:paraId="210B7D54" w14:textId="77777777" w:rsidR="00214236" w:rsidRPr="00E20D21" w:rsidRDefault="00214236" w:rsidP="00214236">
      <w:pPr>
        <w:spacing w:before="120" w:after="120"/>
        <w:jc w:val="both"/>
        <w:rPr>
          <w:rFonts w:ascii="CAIXA Std Book" w:hAnsi="CAIXA Std Book"/>
          <w:color w:val="005CA9"/>
          <w:sz w:val="20"/>
          <w:szCs w:val="20"/>
        </w:rPr>
      </w:pPr>
      <w:r w:rsidRPr="00E20D21">
        <w:rPr>
          <w:rFonts w:ascii="Arial" w:hAnsi="Arial" w:cs="Arial"/>
          <w:color w:val="005CA9"/>
          <w:sz w:val="20"/>
          <w:szCs w:val="20"/>
        </w:rPr>
        <w:t>▪</w:t>
      </w:r>
      <w:r w:rsidRPr="00E20D21">
        <w:rPr>
          <w:rFonts w:ascii="CAIXA Std Book" w:hAnsi="CAIXA Std Book"/>
          <w:color w:val="005CA9"/>
          <w:sz w:val="20"/>
          <w:szCs w:val="20"/>
        </w:rPr>
        <w:t xml:space="preserve"> Garantir o limite de prazo para a amortização dos financiamentos habitacionais, contraídos pelos mutuários no âmbito do SFH, assumindo, em nome do mutuário, o saldo devedor residual no decurso do prazo de financiamento contratado; </w:t>
      </w:r>
    </w:p>
    <w:p w14:paraId="50D3B65D" w14:textId="77777777" w:rsidR="00214236" w:rsidRPr="00E20D21" w:rsidRDefault="00214236" w:rsidP="00214236">
      <w:pPr>
        <w:spacing w:before="120" w:after="120"/>
        <w:jc w:val="both"/>
        <w:rPr>
          <w:rFonts w:ascii="CAIXA Std Book" w:hAnsi="CAIXA Std Book"/>
          <w:color w:val="005CA9"/>
          <w:sz w:val="20"/>
          <w:szCs w:val="20"/>
        </w:rPr>
      </w:pPr>
      <w:r w:rsidRPr="00E20D21">
        <w:rPr>
          <w:rFonts w:ascii="Arial" w:hAnsi="Arial" w:cs="Arial"/>
          <w:color w:val="005CA9"/>
          <w:sz w:val="20"/>
          <w:szCs w:val="20"/>
        </w:rPr>
        <w:t>▪</w:t>
      </w:r>
      <w:r w:rsidRPr="00E20D21">
        <w:rPr>
          <w:rFonts w:ascii="CAIXA Std Book" w:hAnsi="CAIXA Std Book"/>
          <w:color w:val="005CA9"/>
          <w:sz w:val="20"/>
          <w:szCs w:val="20"/>
        </w:rPr>
        <w:t xml:space="preserve"> Assumir, em nome do mutuário, os descontos concedidos nas liquidações antecipadas, nas renegociações e nas transferências de contratos de financiamento habitacional, observada a legislação de regência; </w:t>
      </w:r>
    </w:p>
    <w:p w14:paraId="6507E620" w14:textId="06A0AEA4" w:rsidR="00214236" w:rsidRPr="00E20D21" w:rsidRDefault="00214236" w:rsidP="00214236">
      <w:pPr>
        <w:spacing w:before="120" w:after="120"/>
        <w:jc w:val="both"/>
        <w:rPr>
          <w:rFonts w:ascii="CAIXA Std Book" w:hAnsi="CAIXA Std Book"/>
          <w:color w:val="005CA9"/>
          <w:sz w:val="20"/>
          <w:szCs w:val="20"/>
        </w:rPr>
      </w:pPr>
      <w:r w:rsidRPr="00E20D21">
        <w:rPr>
          <w:rFonts w:ascii="Arial" w:hAnsi="Arial" w:cs="Arial"/>
          <w:color w:val="005CA9"/>
          <w:sz w:val="20"/>
          <w:szCs w:val="20"/>
        </w:rPr>
        <w:t>▪</w:t>
      </w:r>
      <w:r w:rsidRPr="00E20D21">
        <w:rPr>
          <w:rFonts w:ascii="CAIXA Std Book" w:hAnsi="CAIXA Std Book"/>
          <w:color w:val="005CA9"/>
          <w:sz w:val="20"/>
          <w:szCs w:val="20"/>
        </w:rPr>
        <w:t xml:space="preserve"> Assumir, em razão da Lei nº 12.409, de 2011, o saldo devedor de financiamento habitacional, total ou parcial, em caso de morte ou invalidez permanente, e assumir, também, as despesas de recuperação ou indenização decorrentes de </w:t>
      </w:r>
      <w:r w:rsidR="008958DF" w:rsidRPr="00E20D21">
        <w:rPr>
          <w:rFonts w:ascii="CAIXA Std Book" w:hAnsi="CAIXA Std Book"/>
          <w:color w:val="005CA9"/>
          <w:sz w:val="20"/>
          <w:szCs w:val="20"/>
        </w:rPr>
        <w:t>d</w:t>
      </w:r>
      <w:r w:rsidRPr="00E20D21">
        <w:rPr>
          <w:rFonts w:ascii="CAIXA Std Book" w:hAnsi="CAIXA Std Book"/>
          <w:color w:val="005CA9"/>
          <w:sz w:val="20"/>
          <w:szCs w:val="20"/>
        </w:rPr>
        <w:t xml:space="preserve">anos </w:t>
      </w:r>
      <w:r w:rsidR="008958DF" w:rsidRPr="00E20D21">
        <w:rPr>
          <w:rFonts w:ascii="CAIXA Std Book" w:hAnsi="CAIXA Std Book"/>
          <w:color w:val="005CA9"/>
          <w:sz w:val="20"/>
          <w:szCs w:val="20"/>
        </w:rPr>
        <w:t>f</w:t>
      </w:r>
      <w:r w:rsidRPr="00E20D21">
        <w:rPr>
          <w:rFonts w:ascii="CAIXA Std Book" w:hAnsi="CAIXA Std Book"/>
          <w:color w:val="005CA9"/>
          <w:sz w:val="20"/>
          <w:szCs w:val="20"/>
        </w:rPr>
        <w:t xml:space="preserve">ísicos do </w:t>
      </w:r>
      <w:r w:rsidR="008958DF" w:rsidRPr="00E20D21">
        <w:rPr>
          <w:rFonts w:ascii="CAIXA Std Book" w:hAnsi="CAIXA Std Book"/>
          <w:color w:val="005CA9"/>
          <w:sz w:val="20"/>
          <w:szCs w:val="20"/>
        </w:rPr>
        <w:t>i</w:t>
      </w:r>
      <w:r w:rsidRPr="00E20D21">
        <w:rPr>
          <w:rFonts w:ascii="CAIXA Std Book" w:hAnsi="CAIXA Std Book"/>
          <w:color w:val="005CA9"/>
          <w:sz w:val="20"/>
          <w:szCs w:val="20"/>
        </w:rPr>
        <w:t xml:space="preserve">móvel e as perdas de </w:t>
      </w:r>
      <w:r w:rsidR="008958DF" w:rsidRPr="00E20D21">
        <w:rPr>
          <w:rFonts w:ascii="CAIXA Std Book" w:hAnsi="CAIXA Std Book"/>
          <w:color w:val="005CA9"/>
          <w:sz w:val="20"/>
          <w:szCs w:val="20"/>
        </w:rPr>
        <w:t>r</w:t>
      </w:r>
      <w:r w:rsidRPr="00E20D21">
        <w:rPr>
          <w:rFonts w:ascii="CAIXA Std Book" w:hAnsi="CAIXA Std Book"/>
          <w:color w:val="005CA9"/>
          <w:sz w:val="20"/>
          <w:szCs w:val="20"/>
        </w:rPr>
        <w:t xml:space="preserve">esponsabilidade </w:t>
      </w:r>
      <w:r w:rsidR="008958DF" w:rsidRPr="00E20D21">
        <w:rPr>
          <w:rFonts w:ascii="CAIXA Std Book" w:hAnsi="CAIXA Std Book"/>
          <w:color w:val="005CA9"/>
          <w:sz w:val="20"/>
          <w:szCs w:val="20"/>
        </w:rPr>
        <w:t>c</w:t>
      </w:r>
      <w:r w:rsidRPr="00E20D21">
        <w:rPr>
          <w:rFonts w:ascii="CAIXA Std Book" w:hAnsi="CAIXA Std Book"/>
          <w:color w:val="005CA9"/>
          <w:sz w:val="20"/>
          <w:szCs w:val="20"/>
        </w:rPr>
        <w:t xml:space="preserve">ivil do </w:t>
      </w:r>
      <w:r w:rsidR="008958DF" w:rsidRPr="00E20D21">
        <w:rPr>
          <w:rFonts w:ascii="CAIXA Std Book" w:hAnsi="CAIXA Std Book"/>
          <w:color w:val="005CA9"/>
          <w:sz w:val="20"/>
          <w:szCs w:val="20"/>
        </w:rPr>
        <w:t>c</w:t>
      </w:r>
      <w:r w:rsidRPr="00E20D21">
        <w:rPr>
          <w:rFonts w:ascii="CAIXA Std Book" w:hAnsi="CAIXA Std Book"/>
          <w:color w:val="005CA9"/>
          <w:sz w:val="20"/>
          <w:szCs w:val="20"/>
        </w:rPr>
        <w:t xml:space="preserve">onstrutor; e </w:t>
      </w:r>
    </w:p>
    <w:p w14:paraId="7B143961" w14:textId="672E942B" w:rsidR="00214236" w:rsidRPr="00E20D21" w:rsidRDefault="00214236" w:rsidP="00214236">
      <w:pPr>
        <w:spacing w:before="120" w:after="120"/>
        <w:jc w:val="both"/>
        <w:rPr>
          <w:rFonts w:ascii="CAIXA Std Book" w:hAnsi="CAIXA Std Book"/>
          <w:color w:val="005CA9"/>
          <w:sz w:val="20"/>
          <w:szCs w:val="20"/>
        </w:rPr>
      </w:pPr>
      <w:r w:rsidRPr="00E20D21">
        <w:rPr>
          <w:rFonts w:ascii="Arial" w:hAnsi="Arial" w:cs="Arial"/>
          <w:color w:val="005CA9"/>
          <w:sz w:val="20"/>
          <w:szCs w:val="20"/>
        </w:rPr>
        <w:t>▪</w:t>
      </w:r>
      <w:r w:rsidRPr="00E20D21">
        <w:rPr>
          <w:rFonts w:ascii="CAIXA Std Book" w:hAnsi="CAIXA Std Book"/>
          <w:color w:val="005CA9"/>
          <w:sz w:val="20"/>
          <w:szCs w:val="20"/>
        </w:rPr>
        <w:t xml:space="preserve"> Liquidar as operações remanescentes do extinto </w:t>
      </w:r>
      <w:r w:rsidR="008958DF" w:rsidRPr="00E20D21">
        <w:rPr>
          <w:rFonts w:ascii="CAIXA Std Book" w:hAnsi="CAIXA Std Book"/>
          <w:color w:val="005CA9"/>
          <w:sz w:val="20"/>
          <w:szCs w:val="20"/>
        </w:rPr>
        <w:t>s</w:t>
      </w:r>
      <w:r w:rsidRPr="00E20D21">
        <w:rPr>
          <w:rFonts w:ascii="CAIXA Std Book" w:hAnsi="CAIXA Std Book"/>
          <w:color w:val="005CA9"/>
          <w:sz w:val="20"/>
          <w:szCs w:val="20"/>
        </w:rPr>
        <w:t xml:space="preserve">eguro de </w:t>
      </w:r>
      <w:r w:rsidR="008958DF" w:rsidRPr="00E20D21">
        <w:rPr>
          <w:rFonts w:ascii="CAIXA Std Book" w:hAnsi="CAIXA Std Book"/>
          <w:color w:val="005CA9"/>
          <w:sz w:val="20"/>
          <w:szCs w:val="20"/>
        </w:rPr>
        <w:t>c</w:t>
      </w:r>
      <w:r w:rsidRPr="00E20D21">
        <w:rPr>
          <w:rFonts w:ascii="CAIXA Std Book" w:hAnsi="CAIXA Std Book"/>
          <w:color w:val="005CA9"/>
          <w:sz w:val="20"/>
          <w:szCs w:val="20"/>
        </w:rPr>
        <w:t xml:space="preserve">rédito ao </w:t>
      </w:r>
      <w:r w:rsidR="008958DF" w:rsidRPr="00E20D21">
        <w:rPr>
          <w:rFonts w:ascii="CAIXA Std Book" w:hAnsi="CAIXA Std Book"/>
          <w:color w:val="005CA9"/>
          <w:sz w:val="20"/>
          <w:szCs w:val="20"/>
        </w:rPr>
        <w:t>a</w:t>
      </w:r>
      <w:r w:rsidRPr="00E20D21">
        <w:rPr>
          <w:rFonts w:ascii="CAIXA Std Book" w:hAnsi="CAIXA Std Book"/>
          <w:color w:val="005CA9"/>
          <w:sz w:val="20"/>
          <w:szCs w:val="20"/>
        </w:rPr>
        <w:t>dquirente.</w:t>
      </w:r>
    </w:p>
    <w:p w14:paraId="5CF1F823" w14:textId="6D028947" w:rsidR="00254FD0" w:rsidRPr="00E20D21" w:rsidRDefault="00254FD0" w:rsidP="00254FD0">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Destaca-se que o FCVS se relaciona exclusivamente com o agente financeiro, visto que a habilitação somente ocorre após cessada a relação do mutuário com a instituição financiadora do contrato. Assim, eventuais inconformidades relacionadas a um contrato habitacional com cobertura do FCVS, tais como a inobservância da legislação pertinente ou inconformidades identificadas na concessão ou manutenção do contrato, pelo agente financeiro, podem acarretar negativas de cobertura pelo agente operador do FCVS, o que implica em perdas para o agente financeiro.</w:t>
      </w:r>
    </w:p>
    <w:p w14:paraId="6D25AFCA" w14:textId="4291903F" w:rsidR="00162420" w:rsidRPr="00E20D21" w:rsidRDefault="00674DA4" w:rsidP="005F7C47">
      <w:pPr>
        <w:spacing w:after="240"/>
        <w:jc w:val="both"/>
        <w:rPr>
          <w:rFonts w:ascii="CAIXA Std Book" w:hAnsi="CAIXA Std Book"/>
          <w:color w:val="005CA9"/>
          <w:sz w:val="20"/>
          <w:szCs w:val="20"/>
        </w:rPr>
      </w:pPr>
      <w:r w:rsidRPr="00E20D21">
        <w:rPr>
          <w:rFonts w:ascii="CAIXA Std Book" w:hAnsi="CAIXA Std Book"/>
          <w:color w:val="005CA9"/>
          <w:sz w:val="20"/>
          <w:szCs w:val="20"/>
        </w:rPr>
        <w:t>O quadro abaixo inclui</w:t>
      </w:r>
      <w:r w:rsidR="00CD4045" w:rsidRPr="00E20D21">
        <w:rPr>
          <w:rFonts w:ascii="CAIXA Std Book" w:hAnsi="CAIXA Std Book"/>
          <w:color w:val="005CA9"/>
          <w:sz w:val="20"/>
          <w:szCs w:val="20"/>
        </w:rPr>
        <w:t xml:space="preserve"> os status</w:t>
      </w:r>
      <w:r w:rsidR="00A628DF" w:rsidRPr="00E20D21">
        <w:rPr>
          <w:rFonts w:ascii="CAIXA Std Book" w:hAnsi="CAIXA Std Book"/>
          <w:color w:val="005CA9"/>
          <w:sz w:val="20"/>
          <w:szCs w:val="20"/>
        </w:rPr>
        <w:t xml:space="preserve"> nas quais </w:t>
      </w:r>
      <w:r w:rsidR="00254B8B" w:rsidRPr="00E20D21">
        <w:rPr>
          <w:rFonts w:ascii="CAIXA Std Book" w:hAnsi="CAIXA Std Book"/>
          <w:color w:val="005CA9"/>
          <w:sz w:val="20"/>
          <w:szCs w:val="20"/>
        </w:rPr>
        <w:t>se encontram os processos</w:t>
      </w:r>
      <w:r w:rsidR="00591E74" w:rsidRPr="00E20D21">
        <w:rPr>
          <w:rFonts w:ascii="CAIXA Std Book" w:hAnsi="CAIXA Std Book"/>
          <w:color w:val="005CA9"/>
          <w:sz w:val="20"/>
          <w:szCs w:val="20"/>
        </w:rPr>
        <w:t>,</w:t>
      </w:r>
      <w:r w:rsidR="006952D3" w:rsidRPr="00E20D21">
        <w:rPr>
          <w:rFonts w:ascii="CAIXA Std Book" w:hAnsi="CAIXA Std Book"/>
          <w:color w:val="005CA9"/>
          <w:sz w:val="20"/>
          <w:szCs w:val="20"/>
        </w:rPr>
        <w:t xml:space="preserve"> </w:t>
      </w:r>
      <w:r w:rsidR="006011CC" w:rsidRPr="00E20D21">
        <w:rPr>
          <w:rFonts w:ascii="CAIXA Std Book" w:hAnsi="CAIXA Std Book"/>
          <w:color w:val="005CA9"/>
          <w:sz w:val="20"/>
          <w:szCs w:val="20"/>
        </w:rPr>
        <w:t>objeto de novação</w:t>
      </w:r>
      <w:r w:rsidR="00E1466D" w:rsidRPr="00E20D21">
        <w:rPr>
          <w:rFonts w:ascii="CAIXA Std Book" w:hAnsi="CAIXA Std Book"/>
          <w:color w:val="005CA9"/>
          <w:sz w:val="20"/>
          <w:szCs w:val="20"/>
        </w:rPr>
        <w:t xml:space="preserve"> com o </w:t>
      </w:r>
      <w:r w:rsidR="00775CB2" w:rsidRPr="00E20D21">
        <w:rPr>
          <w:rFonts w:ascii="CAIXA Std Book" w:hAnsi="CAIXA Std Book"/>
          <w:color w:val="005CA9"/>
          <w:sz w:val="20"/>
          <w:szCs w:val="20"/>
        </w:rPr>
        <w:t>fundo</w:t>
      </w:r>
      <w:r w:rsidR="00263AF5" w:rsidRPr="00E20D21">
        <w:rPr>
          <w:rFonts w:ascii="CAIXA Std Book" w:hAnsi="CAIXA Std Book"/>
          <w:color w:val="005CA9"/>
          <w:sz w:val="20"/>
          <w:szCs w:val="20"/>
        </w:rPr>
        <w:t xml:space="preserve">, </w:t>
      </w:r>
      <w:r w:rsidR="005F7C47" w:rsidRPr="00E20D21">
        <w:rPr>
          <w:rFonts w:ascii="CAIXA Std Book" w:hAnsi="CAIXA Std Book"/>
          <w:color w:val="005CA9"/>
          <w:sz w:val="20"/>
          <w:szCs w:val="20"/>
        </w:rPr>
        <w:t>sendo que, a metodologia de provisão leva em consideração a probabilidade de eventuais sinistros na apresentação da documentação requerida</w:t>
      </w:r>
      <w:r w:rsidR="00823B98" w:rsidRPr="00E20D21">
        <w:rPr>
          <w:rFonts w:ascii="CAIXA Std Book" w:hAnsi="CAIXA Std Book"/>
          <w:color w:val="005CA9"/>
          <w:sz w:val="20"/>
          <w:szCs w:val="20"/>
        </w:rPr>
        <w:t>:</w:t>
      </w:r>
    </w:p>
    <w:p w14:paraId="297540A3" w14:textId="7EF40DB3" w:rsidR="001B1CB3" w:rsidRPr="00E20D21" w:rsidRDefault="001B1CB3" w:rsidP="00F31C31">
      <w:pPr>
        <w:pStyle w:val="PargrafodaLista"/>
        <w:numPr>
          <w:ilvl w:val="0"/>
          <w:numId w:val="30"/>
        </w:numPr>
        <w:tabs>
          <w:tab w:val="left" w:pos="1650"/>
        </w:tabs>
        <w:spacing w:before="120" w:after="120"/>
        <w:ind w:left="426" w:hanging="426"/>
        <w:contextualSpacing w:val="0"/>
        <w:jc w:val="both"/>
        <w:rPr>
          <w:rFonts w:ascii="CAIXA Std Book" w:hAnsi="CAIXA Std Book"/>
          <w:color w:val="005CA9"/>
          <w:sz w:val="20"/>
          <w:szCs w:val="20"/>
        </w:rPr>
      </w:pPr>
      <w:r w:rsidRPr="00E20D21">
        <w:rPr>
          <w:rFonts w:ascii="CAIXA Std Book" w:hAnsi="CAIXA Std Book"/>
          <w:color w:val="005CA9"/>
          <w:sz w:val="20"/>
          <w:szCs w:val="20"/>
        </w:rPr>
        <w:lastRenderedPageBreak/>
        <w:t>Habilitado - Cadastro do contrato pel</w:t>
      </w:r>
      <w:r w:rsidR="000B0963" w:rsidRPr="00E20D21">
        <w:rPr>
          <w:rFonts w:ascii="CAIXA Std Book" w:hAnsi="CAIXA Std Book"/>
          <w:color w:val="005CA9"/>
          <w:sz w:val="20"/>
          <w:szCs w:val="20"/>
        </w:rPr>
        <w:t>a CAIXA</w:t>
      </w:r>
      <w:r w:rsidRPr="00E20D21">
        <w:rPr>
          <w:rFonts w:ascii="CAIXA Std Book" w:hAnsi="CAIXA Std Book"/>
          <w:color w:val="005CA9"/>
          <w:sz w:val="20"/>
          <w:szCs w:val="20"/>
        </w:rPr>
        <w:t xml:space="preserve"> </w:t>
      </w:r>
      <w:r w:rsidR="000B0963" w:rsidRPr="00E20D21">
        <w:rPr>
          <w:rFonts w:ascii="CAIXA Std Book" w:hAnsi="CAIXA Std Book"/>
          <w:color w:val="005CA9"/>
          <w:sz w:val="20"/>
          <w:szCs w:val="20"/>
        </w:rPr>
        <w:t>a</w:t>
      </w:r>
      <w:r w:rsidRPr="00E20D21">
        <w:rPr>
          <w:rFonts w:ascii="CAIXA Std Book" w:hAnsi="CAIXA Std Book"/>
          <w:color w:val="005CA9"/>
          <w:sz w:val="20"/>
          <w:szCs w:val="20"/>
        </w:rPr>
        <w:t xml:space="preserve">gente </w:t>
      </w:r>
      <w:r w:rsidR="000B0963" w:rsidRPr="00E20D21">
        <w:rPr>
          <w:rFonts w:ascii="CAIXA Std Book" w:hAnsi="CAIXA Std Book"/>
          <w:color w:val="005CA9"/>
          <w:sz w:val="20"/>
          <w:szCs w:val="20"/>
        </w:rPr>
        <w:t>f</w:t>
      </w:r>
      <w:r w:rsidRPr="00E20D21">
        <w:rPr>
          <w:rFonts w:ascii="CAIXA Std Book" w:hAnsi="CAIXA Std Book"/>
          <w:color w:val="005CA9"/>
          <w:sz w:val="20"/>
          <w:szCs w:val="20"/>
        </w:rPr>
        <w:t xml:space="preserve">inanceiro junto ao sistema do </w:t>
      </w:r>
      <w:r w:rsidR="00C13EDF" w:rsidRPr="00E20D21">
        <w:rPr>
          <w:rFonts w:ascii="CAIXA Std Book" w:hAnsi="CAIXA Std Book"/>
          <w:color w:val="005CA9"/>
          <w:sz w:val="20"/>
          <w:szCs w:val="20"/>
        </w:rPr>
        <w:t>FCVS</w:t>
      </w:r>
      <w:r w:rsidR="000B0963" w:rsidRPr="00E20D21">
        <w:rPr>
          <w:rFonts w:ascii="CAIXA Std Book" w:hAnsi="CAIXA Std Book"/>
          <w:color w:val="005CA9"/>
          <w:sz w:val="20"/>
          <w:szCs w:val="20"/>
        </w:rPr>
        <w:t xml:space="preserve"> (CAIXA </w:t>
      </w:r>
      <w:r w:rsidRPr="00E20D21">
        <w:rPr>
          <w:rFonts w:ascii="CAIXA Std Book" w:hAnsi="CAIXA Std Book"/>
          <w:color w:val="005CA9"/>
          <w:sz w:val="20"/>
          <w:szCs w:val="20"/>
        </w:rPr>
        <w:t>Agente Operador</w:t>
      </w:r>
      <w:r w:rsidR="000B0963" w:rsidRPr="00E20D21">
        <w:rPr>
          <w:rFonts w:ascii="CAIXA Std Book" w:hAnsi="CAIXA Std Book"/>
          <w:color w:val="005CA9"/>
          <w:sz w:val="20"/>
          <w:szCs w:val="20"/>
        </w:rPr>
        <w:t>)</w:t>
      </w:r>
      <w:r w:rsidRPr="00E20D21">
        <w:rPr>
          <w:rFonts w:ascii="CAIXA Std Book" w:hAnsi="CAIXA Std Book"/>
          <w:color w:val="005CA9"/>
          <w:sz w:val="20"/>
          <w:szCs w:val="20"/>
        </w:rPr>
        <w:t>;</w:t>
      </w:r>
    </w:p>
    <w:p w14:paraId="39123049" w14:textId="56A3D0FF" w:rsidR="00D31C30" w:rsidRPr="00E20D21" w:rsidRDefault="00D31C30" w:rsidP="00F31C31">
      <w:pPr>
        <w:pStyle w:val="PargrafodaLista"/>
        <w:numPr>
          <w:ilvl w:val="0"/>
          <w:numId w:val="30"/>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Não habilitado</w:t>
      </w:r>
      <w:r w:rsidR="007D62A2" w:rsidRPr="00E20D21">
        <w:rPr>
          <w:rFonts w:ascii="CAIXA Std Book" w:eastAsiaTheme="minorEastAsia" w:hAnsi="CAIXA Std Book" w:cstheme="minorBidi"/>
          <w:color w:val="005CA9"/>
          <w:sz w:val="20"/>
          <w:szCs w:val="20"/>
          <w:lang w:eastAsia="en-US"/>
        </w:rPr>
        <w:t xml:space="preserve"> </w:t>
      </w:r>
      <w:r w:rsidR="00195420" w:rsidRPr="00E20D21">
        <w:rPr>
          <w:rFonts w:ascii="CAIXA Std Book" w:eastAsiaTheme="minorEastAsia" w:hAnsi="CAIXA Std Book" w:cstheme="minorBidi"/>
          <w:color w:val="005CA9"/>
          <w:sz w:val="20"/>
          <w:szCs w:val="20"/>
          <w:lang w:eastAsia="en-US"/>
        </w:rPr>
        <w:t>–</w:t>
      </w:r>
      <w:r w:rsidR="007D62A2" w:rsidRPr="00E20D21">
        <w:rPr>
          <w:rFonts w:ascii="CAIXA Std Book" w:eastAsiaTheme="minorEastAsia" w:hAnsi="CAIXA Std Book" w:cstheme="minorBidi"/>
          <w:color w:val="005CA9"/>
          <w:sz w:val="20"/>
          <w:szCs w:val="20"/>
          <w:lang w:eastAsia="en-US"/>
        </w:rPr>
        <w:t xml:space="preserve"> </w:t>
      </w:r>
      <w:r w:rsidR="00195420" w:rsidRPr="00E20D21">
        <w:rPr>
          <w:rFonts w:ascii="CAIXA Std Book" w:eastAsiaTheme="minorEastAsia" w:hAnsi="CAIXA Std Book" w:cstheme="minorBidi"/>
          <w:color w:val="005CA9"/>
          <w:sz w:val="20"/>
          <w:szCs w:val="20"/>
          <w:lang w:eastAsia="en-US"/>
        </w:rPr>
        <w:t>Contratos em análise pela CAIXA Agente Financeiro para os procedimentos de habilitação junto ao FCVS</w:t>
      </w:r>
      <w:r w:rsidR="00B648D8" w:rsidRPr="00E20D21">
        <w:rPr>
          <w:rFonts w:ascii="CAIXA Std Book" w:eastAsiaTheme="minorEastAsia" w:hAnsi="CAIXA Std Book" w:cstheme="minorBidi"/>
          <w:color w:val="005CA9"/>
          <w:sz w:val="20"/>
          <w:szCs w:val="20"/>
          <w:lang w:eastAsia="en-US"/>
        </w:rPr>
        <w:t>;</w:t>
      </w:r>
    </w:p>
    <w:p w14:paraId="3C685916" w14:textId="33355BF0" w:rsidR="00D31C30" w:rsidRPr="00E20D21" w:rsidRDefault="00D31C30" w:rsidP="00F31C31">
      <w:pPr>
        <w:pStyle w:val="PargrafodaLista"/>
        <w:numPr>
          <w:ilvl w:val="0"/>
          <w:numId w:val="30"/>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Habilitado e não homologado</w:t>
      </w:r>
      <w:r w:rsidR="007D62A2" w:rsidRPr="00E20D21">
        <w:rPr>
          <w:rFonts w:ascii="CAIXA Std Book" w:eastAsiaTheme="minorEastAsia" w:hAnsi="CAIXA Std Book" w:cstheme="minorBidi"/>
          <w:color w:val="005CA9"/>
          <w:sz w:val="20"/>
          <w:szCs w:val="20"/>
          <w:lang w:eastAsia="en-US"/>
        </w:rPr>
        <w:t xml:space="preserve"> </w:t>
      </w:r>
      <w:r w:rsidR="00B648D8" w:rsidRPr="00E20D21">
        <w:rPr>
          <w:rFonts w:ascii="CAIXA Std Book" w:eastAsiaTheme="minorEastAsia" w:hAnsi="CAIXA Std Book" w:cstheme="minorBidi"/>
          <w:color w:val="005CA9"/>
          <w:sz w:val="20"/>
          <w:szCs w:val="20"/>
          <w:lang w:eastAsia="en-US"/>
        </w:rPr>
        <w:t>–</w:t>
      </w:r>
      <w:r w:rsidR="007D62A2" w:rsidRPr="00E20D21">
        <w:rPr>
          <w:rFonts w:ascii="CAIXA Std Book" w:eastAsiaTheme="minorEastAsia" w:hAnsi="CAIXA Std Book" w:cstheme="minorBidi"/>
          <w:color w:val="005CA9"/>
          <w:sz w:val="20"/>
          <w:szCs w:val="20"/>
          <w:lang w:eastAsia="en-US"/>
        </w:rPr>
        <w:t xml:space="preserve"> </w:t>
      </w:r>
      <w:r w:rsidR="00B648D8" w:rsidRPr="00E20D21">
        <w:rPr>
          <w:rFonts w:ascii="CAIXA Std Book" w:eastAsiaTheme="minorEastAsia" w:hAnsi="CAIXA Std Book" w:cstheme="minorBidi"/>
          <w:color w:val="005CA9"/>
          <w:sz w:val="20"/>
          <w:szCs w:val="20"/>
          <w:lang w:eastAsia="en-US"/>
        </w:rPr>
        <w:t xml:space="preserve">Contratos </w:t>
      </w:r>
      <w:r w:rsidR="001B1CB3" w:rsidRPr="00E20D21">
        <w:rPr>
          <w:rFonts w:ascii="CAIXA Std Book" w:eastAsiaTheme="minorEastAsia" w:hAnsi="CAIXA Std Book" w:cstheme="minorBidi"/>
          <w:color w:val="005CA9"/>
          <w:sz w:val="20"/>
          <w:szCs w:val="20"/>
          <w:lang w:eastAsia="en-US"/>
        </w:rPr>
        <w:t>habilitados e</w:t>
      </w:r>
      <w:r w:rsidR="00B648D8" w:rsidRPr="00E20D21">
        <w:rPr>
          <w:rFonts w:ascii="CAIXA Std Book" w:eastAsiaTheme="minorEastAsia" w:hAnsi="CAIXA Std Book" w:cstheme="minorBidi"/>
          <w:color w:val="005CA9"/>
          <w:sz w:val="20"/>
          <w:szCs w:val="20"/>
          <w:lang w:eastAsia="en-US"/>
        </w:rPr>
        <w:t xml:space="preserve"> ainda não analisados pel</w:t>
      </w:r>
      <w:r w:rsidR="00D319ED" w:rsidRPr="00E20D21">
        <w:rPr>
          <w:rFonts w:ascii="CAIXA Std Book" w:eastAsiaTheme="minorEastAsia" w:hAnsi="CAIXA Std Book" w:cstheme="minorBidi"/>
          <w:color w:val="005CA9"/>
          <w:sz w:val="20"/>
          <w:szCs w:val="20"/>
          <w:lang w:eastAsia="en-US"/>
        </w:rPr>
        <w:t>o</w:t>
      </w:r>
      <w:r w:rsidR="00443DE3" w:rsidRPr="00E20D21">
        <w:rPr>
          <w:rFonts w:ascii="CAIXA Std Book" w:eastAsiaTheme="minorEastAsia" w:hAnsi="CAIXA Std Book" w:cstheme="minorBidi"/>
          <w:color w:val="005CA9"/>
          <w:sz w:val="20"/>
          <w:szCs w:val="20"/>
          <w:lang w:eastAsia="en-US"/>
        </w:rPr>
        <w:t xml:space="preserve"> FCVS;</w:t>
      </w:r>
    </w:p>
    <w:p w14:paraId="766041EA" w14:textId="3E3EF2D4" w:rsidR="001B1CB3" w:rsidRPr="00E20D21" w:rsidRDefault="009F643F" w:rsidP="00F31C31">
      <w:pPr>
        <w:pStyle w:val="PargrafodaLista"/>
        <w:numPr>
          <w:ilvl w:val="0"/>
          <w:numId w:val="30"/>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Homologado com re</w:t>
      </w:r>
      <w:r w:rsidR="007E767C" w:rsidRPr="00E20D21">
        <w:rPr>
          <w:rFonts w:ascii="CAIXA Std Book" w:eastAsiaTheme="minorEastAsia" w:hAnsi="CAIXA Std Book" w:cstheme="minorBidi"/>
          <w:color w:val="005CA9"/>
          <w:sz w:val="20"/>
          <w:szCs w:val="20"/>
          <w:lang w:eastAsia="en-US"/>
        </w:rPr>
        <w:t>c</w:t>
      </w:r>
      <w:r w:rsidRPr="00E20D21">
        <w:rPr>
          <w:rFonts w:ascii="CAIXA Std Book" w:eastAsiaTheme="minorEastAsia" w:hAnsi="CAIXA Std Book" w:cstheme="minorBidi"/>
          <w:color w:val="005CA9"/>
          <w:sz w:val="20"/>
          <w:szCs w:val="20"/>
          <w:lang w:eastAsia="en-US"/>
        </w:rPr>
        <w:t>urso – Contratos com re</w:t>
      </w:r>
      <w:r w:rsidR="007E767C" w:rsidRPr="00E20D21">
        <w:rPr>
          <w:rFonts w:ascii="CAIXA Std Book" w:eastAsiaTheme="minorEastAsia" w:hAnsi="CAIXA Std Book" w:cstheme="minorBidi"/>
          <w:color w:val="005CA9"/>
          <w:sz w:val="20"/>
          <w:szCs w:val="20"/>
          <w:lang w:eastAsia="en-US"/>
        </w:rPr>
        <w:t>cur</w:t>
      </w:r>
      <w:r w:rsidRPr="00E20D21">
        <w:rPr>
          <w:rFonts w:ascii="CAIXA Std Book" w:eastAsiaTheme="minorEastAsia" w:hAnsi="CAIXA Std Book" w:cstheme="minorBidi"/>
          <w:color w:val="005CA9"/>
          <w:sz w:val="20"/>
          <w:szCs w:val="20"/>
          <w:lang w:eastAsia="en-US"/>
        </w:rPr>
        <w:t xml:space="preserve">so emitido pela CAIXA agente </w:t>
      </w:r>
      <w:r w:rsidR="00E2192E" w:rsidRPr="00E20D21">
        <w:rPr>
          <w:rFonts w:ascii="CAIXA Std Book" w:eastAsiaTheme="minorEastAsia" w:hAnsi="CAIXA Std Book" w:cstheme="minorBidi"/>
          <w:color w:val="005CA9"/>
          <w:sz w:val="20"/>
          <w:szCs w:val="20"/>
          <w:lang w:eastAsia="en-US"/>
        </w:rPr>
        <w:t>f</w:t>
      </w:r>
      <w:r w:rsidR="007E767C" w:rsidRPr="00E20D21">
        <w:rPr>
          <w:rFonts w:ascii="CAIXA Std Book" w:eastAsiaTheme="minorEastAsia" w:hAnsi="CAIXA Std Book" w:cstheme="minorBidi"/>
          <w:color w:val="005CA9"/>
          <w:sz w:val="20"/>
          <w:szCs w:val="20"/>
          <w:lang w:eastAsia="en-US"/>
        </w:rPr>
        <w:t>inanceiro e ainda não analisados pel</w:t>
      </w:r>
      <w:r w:rsidR="00D319ED" w:rsidRPr="00E20D21">
        <w:rPr>
          <w:rFonts w:ascii="CAIXA Std Book" w:eastAsiaTheme="minorEastAsia" w:hAnsi="CAIXA Std Book" w:cstheme="minorBidi"/>
          <w:color w:val="005CA9"/>
          <w:sz w:val="20"/>
          <w:szCs w:val="20"/>
          <w:lang w:eastAsia="en-US"/>
        </w:rPr>
        <w:t>o</w:t>
      </w:r>
      <w:r w:rsidR="007E767C" w:rsidRPr="00E20D21">
        <w:rPr>
          <w:rFonts w:ascii="CAIXA Std Book" w:eastAsiaTheme="minorEastAsia" w:hAnsi="CAIXA Std Book" w:cstheme="minorBidi"/>
          <w:color w:val="005CA9"/>
          <w:sz w:val="20"/>
          <w:szCs w:val="20"/>
          <w:lang w:eastAsia="en-US"/>
        </w:rPr>
        <w:t xml:space="preserve"> FCVS</w:t>
      </w:r>
      <w:r w:rsidR="00173E8A" w:rsidRPr="00E20D21">
        <w:rPr>
          <w:rFonts w:ascii="CAIXA Std Book" w:eastAsiaTheme="minorEastAsia" w:hAnsi="CAIXA Std Book" w:cstheme="minorBidi"/>
          <w:color w:val="005CA9"/>
          <w:sz w:val="20"/>
          <w:szCs w:val="20"/>
          <w:lang w:eastAsia="en-US"/>
        </w:rPr>
        <w:t xml:space="preserve">, com </w:t>
      </w:r>
      <w:r w:rsidR="007E767C" w:rsidRPr="00E20D21">
        <w:rPr>
          <w:rFonts w:ascii="CAIXA Std Book" w:eastAsiaTheme="minorEastAsia" w:hAnsi="CAIXA Std Book" w:cstheme="minorBidi"/>
          <w:color w:val="005CA9"/>
          <w:sz w:val="20"/>
          <w:szCs w:val="20"/>
          <w:lang w:eastAsia="en-US"/>
        </w:rPr>
        <w:t>divergência de valores;</w:t>
      </w:r>
    </w:p>
    <w:p w14:paraId="7BD3B3FD" w14:textId="25FFAA5F" w:rsidR="009F643F" w:rsidRPr="00E20D21" w:rsidRDefault="009F643F" w:rsidP="00F31C31">
      <w:pPr>
        <w:pStyle w:val="PargrafodaLista"/>
        <w:numPr>
          <w:ilvl w:val="0"/>
          <w:numId w:val="30"/>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 xml:space="preserve">Homologado sem recurso </w:t>
      </w:r>
      <w:r w:rsidR="00FA6B75" w:rsidRPr="00E20D21">
        <w:rPr>
          <w:rFonts w:ascii="CAIXA Std Book" w:eastAsiaTheme="minorEastAsia" w:hAnsi="CAIXA Std Book" w:cstheme="minorBidi"/>
          <w:color w:val="005CA9"/>
          <w:sz w:val="20"/>
          <w:szCs w:val="20"/>
          <w:lang w:eastAsia="en-US"/>
        </w:rPr>
        <w:t>–</w:t>
      </w:r>
      <w:r w:rsidRPr="00E20D21">
        <w:rPr>
          <w:rFonts w:ascii="CAIXA Std Book" w:eastAsiaTheme="minorEastAsia" w:hAnsi="CAIXA Std Book" w:cstheme="minorBidi"/>
          <w:color w:val="005CA9"/>
          <w:sz w:val="20"/>
          <w:szCs w:val="20"/>
          <w:lang w:eastAsia="en-US"/>
        </w:rPr>
        <w:t xml:space="preserve"> </w:t>
      </w:r>
      <w:r w:rsidR="00FA6B75" w:rsidRPr="00E20D21">
        <w:rPr>
          <w:rFonts w:ascii="CAIXA Std Book" w:eastAsiaTheme="minorEastAsia" w:hAnsi="CAIXA Std Book" w:cstheme="minorBidi"/>
          <w:color w:val="005CA9"/>
          <w:sz w:val="20"/>
          <w:szCs w:val="20"/>
          <w:lang w:eastAsia="en-US"/>
        </w:rPr>
        <w:t xml:space="preserve">Contratos em análise pela CAIXA </w:t>
      </w:r>
      <w:r w:rsidR="00173E8A" w:rsidRPr="00E20D21">
        <w:rPr>
          <w:rFonts w:ascii="CAIXA Std Book" w:eastAsiaTheme="minorEastAsia" w:hAnsi="CAIXA Std Book" w:cstheme="minorBidi"/>
          <w:color w:val="005CA9"/>
          <w:sz w:val="20"/>
          <w:szCs w:val="20"/>
          <w:lang w:eastAsia="en-US"/>
        </w:rPr>
        <w:t>a</w:t>
      </w:r>
      <w:r w:rsidR="00FA6B75" w:rsidRPr="00E20D21">
        <w:rPr>
          <w:rFonts w:ascii="CAIXA Std Book" w:eastAsiaTheme="minorEastAsia" w:hAnsi="CAIXA Std Book" w:cstheme="minorBidi"/>
          <w:color w:val="005CA9"/>
          <w:sz w:val="20"/>
          <w:szCs w:val="20"/>
          <w:lang w:eastAsia="en-US"/>
        </w:rPr>
        <w:t xml:space="preserve">gente </w:t>
      </w:r>
      <w:r w:rsidR="00173E8A" w:rsidRPr="00E20D21">
        <w:rPr>
          <w:rFonts w:ascii="CAIXA Std Book" w:eastAsiaTheme="minorEastAsia" w:hAnsi="CAIXA Std Book" w:cstheme="minorBidi"/>
          <w:color w:val="005CA9"/>
          <w:sz w:val="20"/>
          <w:szCs w:val="20"/>
          <w:lang w:eastAsia="en-US"/>
        </w:rPr>
        <w:t>f</w:t>
      </w:r>
      <w:r w:rsidR="00FA6B75" w:rsidRPr="00E20D21">
        <w:rPr>
          <w:rFonts w:ascii="CAIXA Std Book" w:eastAsiaTheme="minorEastAsia" w:hAnsi="CAIXA Std Book" w:cstheme="minorBidi"/>
          <w:color w:val="005CA9"/>
          <w:sz w:val="20"/>
          <w:szCs w:val="20"/>
          <w:lang w:eastAsia="en-US"/>
        </w:rPr>
        <w:t>inanceiro para validação junto ao FCVS</w:t>
      </w:r>
      <w:r w:rsidR="00F10DBA" w:rsidRPr="00E20D21">
        <w:rPr>
          <w:rFonts w:ascii="CAIXA Std Book" w:eastAsiaTheme="minorEastAsia" w:hAnsi="CAIXA Std Book" w:cstheme="minorBidi"/>
          <w:color w:val="005CA9"/>
          <w:sz w:val="20"/>
          <w:szCs w:val="20"/>
          <w:lang w:eastAsia="en-US"/>
        </w:rPr>
        <w:t>, para emissão ou não de recurso</w:t>
      </w:r>
      <w:r w:rsidR="005C6CD5" w:rsidRPr="00E20D21">
        <w:rPr>
          <w:rFonts w:ascii="CAIXA Std Book" w:eastAsiaTheme="minorEastAsia" w:hAnsi="CAIXA Std Book" w:cstheme="minorBidi"/>
          <w:color w:val="005CA9"/>
          <w:sz w:val="20"/>
          <w:szCs w:val="20"/>
          <w:lang w:eastAsia="en-US"/>
        </w:rPr>
        <w:t>;</w:t>
      </w:r>
    </w:p>
    <w:p w14:paraId="68B38A53" w14:textId="118ABEF8" w:rsidR="00A47C19" w:rsidRPr="00E20D21" w:rsidRDefault="005F783B" w:rsidP="00461EA7">
      <w:pPr>
        <w:pStyle w:val="PargrafodaLista"/>
        <w:numPr>
          <w:ilvl w:val="0"/>
          <w:numId w:val="30"/>
        </w:numPr>
        <w:tabs>
          <w:tab w:val="left" w:pos="1650"/>
        </w:tabs>
        <w:spacing w:before="240" w:after="240"/>
        <w:ind w:left="425" w:hanging="425"/>
        <w:contextualSpacing w:val="0"/>
        <w:jc w:val="both"/>
        <w:rPr>
          <w:rFonts w:ascii="CAIXA Std Book" w:hAnsi="CAIXA Std Book"/>
          <w:color w:val="005CA9"/>
          <w:sz w:val="20"/>
          <w:szCs w:val="20"/>
        </w:rPr>
      </w:pPr>
      <w:r w:rsidRPr="00E20D21">
        <w:rPr>
          <w:rFonts w:ascii="CAIXA Std Book" w:eastAsiaTheme="minorEastAsia" w:hAnsi="CAIXA Std Book" w:cstheme="minorBidi"/>
          <w:color w:val="005CA9"/>
          <w:sz w:val="20"/>
          <w:szCs w:val="20"/>
          <w:lang w:eastAsia="en-US"/>
        </w:rPr>
        <w:t>Negativa</w:t>
      </w:r>
      <w:r w:rsidRPr="00E20D21">
        <w:rPr>
          <w:rFonts w:ascii="CAIXA Std Book" w:hAnsi="CAIXA Std Book"/>
          <w:color w:val="005CA9"/>
          <w:sz w:val="20"/>
          <w:szCs w:val="20"/>
        </w:rPr>
        <w:t xml:space="preserve"> de cobertura</w:t>
      </w:r>
      <w:r w:rsidR="007D62A2" w:rsidRPr="00E20D21">
        <w:rPr>
          <w:rFonts w:ascii="CAIXA Std Book" w:hAnsi="CAIXA Std Book"/>
          <w:color w:val="005CA9"/>
          <w:sz w:val="20"/>
          <w:szCs w:val="20"/>
        </w:rPr>
        <w:t xml:space="preserve"> </w:t>
      </w:r>
      <w:r w:rsidR="00BB4EDB" w:rsidRPr="00E20D21">
        <w:rPr>
          <w:rFonts w:ascii="CAIXA Std Book" w:hAnsi="CAIXA Std Book"/>
          <w:color w:val="005CA9"/>
          <w:sz w:val="20"/>
          <w:szCs w:val="20"/>
        </w:rPr>
        <w:t>–</w:t>
      </w:r>
      <w:r w:rsidR="007D62A2" w:rsidRPr="00E20D21">
        <w:rPr>
          <w:rFonts w:ascii="CAIXA Std Book" w:hAnsi="CAIXA Std Book"/>
          <w:color w:val="005CA9"/>
          <w:sz w:val="20"/>
          <w:szCs w:val="20"/>
        </w:rPr>
        <w:t xml:space="preserve"> </w:t>
      </w:r>
      <w:r w:rsidR="00BB4EDB" w:rsidRPr="00E20D21">
        <w:rPr>
          <w:rFonts w:ascii="CAIXA Std Book" w:hAnsi="CAIXA Std Book"/>
          <w:color w:val="005CA9"/>
          <w:sz w:val="20"/>
          <w:szCs w:val="20"/>
        </w:rPr>
        <w:t xml:space="preserve">Contempla contratos com negativa de cobertura com e </w:t>
      </w:r>
      <w:r w:rsidR="00D319ED" w:rsidRPr="00E20D21">
        <w:rPr>
          <w:rFonts w:ascii="CAIXA Std Book" w:hAnsi="CAIXA Std Book"/>
          <w:color w:val="005CA9"/>
          <w:sz w:val="20"/>
          <w:szCs w:val="20"/>
        </w:rPr>
        <w:t>sem recurso</w:t>
      </w:r>
      <w:r w:rsidR="007E127C" w:rsidRPr="00E20D21">
        <w:rPr>
          <w:rFonts w:ascii="CAIXA Std Book" w:hAnsi="CAIXA Std Book"/>
          <w:color w:val="005CA9"/>
          <w:sz w:val="20"/>
          <w:szCs w:val="20"/>
        </w:rPr>
        <w:t xml:space="preserve">, e </w:t>
      </w:r>
      <w:r w:rsidR="00EF63DA" w:rsidRPr="00E20D21">
        <w:rPr>
          <w:rFonts w:ascii="CAIXA Std Book" w:hAnsi="CAIXA Std Book"/>
          <w:color w:val="005CA9"/>
          <w:sz w:val="20"/>
          <w:szCs w:val="20"/>
        </w:rPr>
        <w:t xml:space="preserve">contratos que </w:t>
      </w:r>
      <w:r w:rsidR="007E127C" w:rsidRPr="00E20D21">
        <w:rPr>
          <w:rFonts w:ascii="CAIXA Std Book" w:hAnsi="CAIXA Std Book"/>
          <w:color w:val="005CA9"/>
          <w:sz w:val="20"/>
          <w:szCs w:val="20"/>
        </w:rPr>
        <w:t xml:space="preserve">não </w:t>
      </w:r>
      <w:r w:rsidR="00EF63DA" w:rsidRPr="00E20D21">
        <w:rPr>
          <w:rFonts w:ascii="CAIXA Std Book" w:hAnsi="CAIXA Std Book"/>
          <w:color w:val="005CA9"/>
          <w:sz w:val="20"/>
          <w:szCs w:val="20"/>
        </w:rPr>
        <w:t>c</w:t>
      </w:r>
      <w:r w:rsidR="007E127C" w:rsidRPr="00E20D21">
        <w:rPr>
          <w:rFonts w:ascii="CAIXA Std Book" w:hAnsi="CAIXA Std Book"/>
          <w:color w:val="005CA9"/>
          <w:sz w:val="20"/>
          <w:szCs w:val="20"/>
        </w:rPr>
        <w:t>abe</w:t>
      </w:r>
      <w:r w:rsidR="00EF63DA" w:rsidRPr="00E20D21">
        <w:rPr>
          <w:rFonts w:ascii="CAIXA Std Book" w:hAnsi="CAIXA Std Book"/>
          <w:color w:val="005CA9"/>
          <w:sz w:val="20"/>
          <w:szCs w:val="20"/>
        </w:rPr>
        <w:t>m</w:t>
      </w:r>
      <w:r w:rsidR="007E127C" w:rsidRPr="00E20D21">
        <w:rPr>
          <w:rFonts w:ascii="CAIXA Std Book" w:hAnsi="CAIXA Std Book"/>
          <w:color w:val="005CA9"/>
          <w:sz w:val="20"/>
          <w:szCs w:val="20"/>
        </w:rPr>
        <w:t xml:space="preserve"> recurso</w:t>
      </w:r>
      <w:r w:rsidR="00EF63DA" w:rsidRPr="00E20D21">
        <w:rPr>
          <w:rFonts w:ascii="CAIXA Std Book" w:hAnsi="CAIXA Std Book"/>
          <w:color w:val="005CA9"/>
          <w:sz w:val="20"/>
          <w:szCs w:val="20"/>
        </w:rPr>
        <w:t xml:space="preserve"> pelo</w:t>
      </w:r>
      <w:r w:rsidR="00BB4B8D" w:rsidRPr="00E20D21">
        <w:rPr>
          <w:rFonts w:ascii="CAIXA Std Book" w:hAnsi="CAIXA Std Book"/>
          <w:color w:val="005CA9"/>
          <w:sz w:val="20"/>
          <w:szCs w:val="20"/>
        </w:rPr>
        <w:t xml:space="preserve"> esgota</w:t>
      </w:r>
      <w:r w:rsidR="00EF63DA" w:rsidRPr="00E20D21">
        <w:rPr>
          <w:rFonts w:ascii="CAIXA Std Book" w:hAnsi="CAIXA Std Book"/>
          <w:color w:val="005CA9"/>
          <w:sz w:val="20"/>
          <w:szCs w:val="20"/>
        </w:rPr>
        <w:t>mento d</w:t>
      </w:r>
      <w:r w:rsidR="00BB4B8D" w:rsidRPr="00E20D21">
        <w:rPr>
          <w:rFonts w:ascii="CAIXA Std Book" w:hAnsi="CAIXA Std Book"/>
          <w:color w:val="005CA9"/>
          <w:sz w:val="20"/>
          <w:szCs w:val="20"/>
        </w:rPr>
        <w:t>as possibilidades de reversão da negativa,</w:t>
      </w:r>
      <w:r w:rsidR="00D319ED" w:rsidRPr="00E20D21">
        <w:rPr>
          <w:rFonts w:ascii="CAIXA Std Book" w:hAnsi="CAIXA Std Book"/>
          <w:color w:val="005CA9"/>
          <w:sz w:val="20"/>
          <w:szCs w:val="20"/>
        </w:rPr>
        <w:t xml:space="preserve"> </w:t>
      </w:r>
      <w:r w:rsidR="00F31C31" w:rsidRPr="00E20D21">
        <w:rPr>
          <w:rFonts w:ascii="CAIXA Std Book" w:hAnsi="CAIXA Std Book"/>
          <w:color w:val="005CA9"/>
          <w:sz w:val="20"/>
          <w:szCs w:val="20"/>
        </w:rPr>
        <w:t>pelo</w:t>
      </w:r>
      <w:r w:rsidR="00D319ED" w:rsidRPr="00E20D21">
        <w:rPr>
          <w:rFonts w:ascii="CAIXA Std Book" w:hAnsi="CAIXA Std Book"/>
          <w:color w:val="005CA9"/>
          <w:sz w:val="20"/>
          <w:szCs w:val="20"/>
        </w:rPr>
        <w:t xml:space="preserve"> FCVS</w:t>
      </w:r>
      <w:r w:rsidR="00705633" w:rsidRPr="00E20D21">
        <w:rPr>
          <w:rFonts w:ascii="CAIXA Std Book" w:hAnsi="CAIXA Std Book"/>
          <w:color w:val="005CA9"/>
          <w:sz w:val="20"/>
          <w:szCs w:val="20"/>
        </w:rPr>
        <w:t>.</w:t>
      </w:r>
    </w:p>
    <w:tbl>
      <w:tblPr>
        <w:tblW w:w="5000" w:type="pct"/>
        <w:tblLayout w:type="fixed"/>
        <w:tblCellMar>
          <w:left w:w="70" w:type="dxa"/>
          <w:right w:w="70" w:type="dxa"/>
        </w:tblCellMar>
        <w:tblLook w:val="04A0" w:firstRow="1" w:lastRow="0" w:firstColumn="1" w:lastColumn="0" w:noHBand="0" w:noVBand="1"/>
      </w:tblPr>
      <w:tblGrid>
        <w:gridCol w:w="2836"/>
        <w:gridCol w:w="1134"/>
        <w:gridCol w:w="1134"/>
        <w:gridCol w:w="1133"/>
        <w:gridCol w:w="1133"/>
        <w:gridCol w:w="1133"/>
        <w:gridCol w:w="1135"/>
      </w:tblGrid>
      <w:tr w:rsidR="00A47C19" w:rsidRPr="00E20D21" w14:paraId="32BEC347" w14:textId="77777777" w:rsidTr="00F5454F">
        <w:trPr>
          <w:trHeight w:val="288"/>
        </w:trPr>
        <w:tc>
          <w:tcPr>
            <w:tcW w:w="5000" w:type="pct"/>
            <w:gridSpan w:val="7"/>
            <w:tcBorders>
              <w:top w:val="single" w:sz="4" w:space="0" w:color="F39200"/>
              <w:left w:val="nil"/>
              <w:bottom w:val="single" w:sz="4" w:space="0" w:color="F39200"/>
              <w:right w:val="nil"/>
            </w:tcBorders>
            <w:shd w:val="clear" w:color="auto" w:fill="auto"/>
            <w:noWrap/>
            <w:vAlign w:val="center"/>
            <w:hideMark/>
          </w:tcPr>
          <w:p w14:paraId="261946D3" w14:textId="2C22CE4F" w:rsidR="00552961" w:rsidRPr="00E20D21" w:rsidRDefault="00552961" w:rsidP="0055296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INDIVIDUAL</w:t>
            </w:r>
            <w:r w:rsidR="00E20D21">
              <w:rPr>
                <w:rFonts w:ascii="CAIXA Std Book" w:eastAsia="Times New Roman" w:hAnsi="CAIXA Std Book" w:cs="Arial"/>
                <w:b/>
                <w:color w:val="005CA9"/>
                <w:sz w:val="16"/>
                <w:szCs w:val="16"/>
              </w:rPr>
              <w:t xml:space="preserve"> </w:t>
            </w:r>
            <w:r w:rsidRPr="00E20D21">
              <w:rPr>
                <w:rFonts w:ascii="CAIXA Std Book" w:eastAsia="Times New Roman" w:hAnsi="CAIXA Std Book" w:cs="Arial"/>
                <w:b/>
                <w:color w:val="005CA9"/>
                <w:sz w:val="16"/>
                <w:szCs w:val="16"/>
              </w:rPr>
              <w:t>/</w:t>
            </w:r>
            <w:r w:rsidR="00E20D21">
              <w:rPr>
                <w:rFonts w:ascii="CAIXA Std Book" w:eastAsia="Times New Roman" w:hAnsi="CAIXA Std Book" w:cs="Arial"/>
                <w:b/>
                <w:color w:val="005CA9"/>
                <w:sz w:val="16"/>
                <w:szCs w:val="16"/>
              </w:rPr>
              <w:t xml:space="preserve"> </w:t>
            </w:r>
            <w:r w:rsidRPr="00E20D21">
              <w:rPr>
                <w:rFonts w:ascii="CAIXA Std Book" w:eastAsia="Times New Roman" w:hAnsi="CAIXA Std Book" w:cs="Arial"/>
                <w:b/>
                <w:color w:val="005CA9"/>
                <w:sz w:val="16"/>
                <w:szCs w:val="16"/>
              </w:rPr>
              <w:t>CONSOLIDADO</w:t>
            </w:r>
          </w:p>
        </w:tc>
      </w:tr>
      <w:tr w:rsidR="00A47C19" w:rsidRPr="00E20D21" w14:paraId="105FC624" w14:textId="77777777" w:rsidTr="00F5454F">
        <w:trPr>
          <w:trHeight w:val="288"/>
        </w:trPr>
        <w:tc>
          <w:tcPr>
            <w:tcW w:w="1471" w:type="pct"/>
            <w:vMerge w:val="restart"/>
            <w:tcBorders>
              <w:top w:val="single" w:sz="4" w:space="0" w:color="F39200"/>
              <w:left w:val="nil"/>
              <w:bottom w:val="single" w:sz="8" w:space="0" w:color="F39200"/>
              <w:right w:val="nil"/>
            </w:tcBorders>
            <w:shd w:val="clear" w:color="auto" w:fill="auto"/>
            <w:vAlign w:val="center"/>
            <w:hideMark/>
          </w:tcPr>
          <w:p w14:paraId="5B563E3A" w14:textId="77777777" w:rsidR="00552961" w:rsidRPr="00E20D21" w:rsidRDefault="00552961" w:rsidP="0055296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Descrição</w:t>
            </w:r>
          </w:p>
        </w:tc>
        <w:tc>
          <w:tcPr>
            <w:tcW w:w="1764" w:type="pct"/>
            <w:gridSpan w:val="3"/>
            <w:tcBorders>
              <w:top w:val="single" w:sz="4" w:space="0" w:color="F39200"/>
              <w:left w:val="nil"/>
              <w:bottom w:val="single" w:sz="4" w:space="0" w:color="F39200"/>
              <w:right w:val="nil"/>
            </w:tcBorders>
            <w:shd w:val="clear" w:color="auto" w:fill="auto"/>
            <w:vAlign w:val="center"/>
            <w:hideMark/>
          </w:tcPr>
          <w:p w14:paraId="169E2332" w14:textId="7C307DB7" w:rsidR="006C22D3" w:rsidRPr="00E20D21" w:rsidRDefault="000006BC" w:rsidP="006C22D3">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30/06/2024</w:t>
            </w:r>
          </w:p>
        </w:tc>
        <w:tc>
          <w:tcPr>
            <w:tcW w:w="1764" w:type="pct"/>
            <w:gridSpan w:val="3"/>
            <w:tcBorders>
              <w:top w:val="single" w:sz="4" w:space="0" w:color="F39200"/>
              <w:left w:val="nil"/>
              <w:bottom w:val="single" w:sz="4" w:space="0" w:color="F39200"/>
              <w:right w:val="nil"/>
            </w:tcBorders>
            <w:shd w:val="clear" w:color="auto" w:fill="auto"/>
            <w:vAlign w:val="center"/>
          </w:tcPr>
          <w:p w14:paraId="4BB8ECC3" w14:textId="68387FEA" w:rsidR="00552961" w:rsidRPr="00E20D21" w:rsidRDefault="00802404" w:rsidP="0055296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31/12/202</w:t>
            </w:r>
            <w:r w:rsidR="000006BC" w:rsidRPr="00E20D21">
              <w:rPr>
                <w:rFonts w:ascii="CAIXA Std Book" w:eastAsia="Times New Roman" w:hAnsi="CAIXA Std Book" w:cs="Arial"/>
                <w:b/>
                <w:color w:val="005CA9"/>
                <w:sz w:val="16"/>
                <w:szCs w:val="16"/>
              </w:rPr>
              <w:t>3</w:t>
            </w:r>
          </w:p>
        </w:tc>
      </w:tr>
      <w:tr w:rsidR="00F5454F" w:rsidRPr="00E20D21" w14:paraId="310FE9A4" w14:textId="77777777" w:rsidTr="0033167A">
        <w:trPr>
          <w:trHeight w:val="288"/>
        </w:trPr>
        <w:tc>
          <w:tcPr>
            <w:tcW w:w="1471" w:type="pct"/>
            <w:vMerge/>
            <w:tcBorders>
              <w:top w:val="nil"/>
              <w:left w:val="nil"/>
              <w:bottom w:val="single" w:sz="4" w:space="0" w:color="F39200"/>
              <w:right w:val="nil"/>
            </w:tcBorders>
            <w:vAlign w:val="center"/>
            <w:hideMark/>
          </w:tcPr>
          <w:p w14:paraId="454109A0" w14:textId="77777777" w:rsidR="00802404" w:rsidRPr="00E20D21" w:rsidRDefault="00802404" w:rsidP="00802404">
            <w:pPr>
              <w:rPr>
                <w:rFonts w:ascii="CAIXA Std Book" w:eastAsia="Times New Roman" w:hAnsi="CAIXA Std Book" w:cs="Arial"/>
                <w:b/>
                <w:color w:val="005CA9"/>
                <w:sz w:val="16"/>
                <w:szCs w:val="16"/>
              </w:rPr>
            </w:pPr>
          </w:p>
        </w:tc>
        <w:tc>
          <w:tcPr>
            <w:tcW w:w="588" w:type="pct"/>
            <w:tcBorders>
              <w:top w:val="single" w:sz="4" w:space="0" w:color="F39200"/>
              <w:left w:val="nil"/>
              <w:bottom w:val="single" w:sz="4" w:space="0" w:color="F39200"/>
              <w:right w:val="nil"/>
            </w:tcBorders>
            <w:shd w:val="clear" w:color="auto" w:fill="auto"/>
            <w:vAlign w:val="center"/>
          </w:tcPr>
          <w:p w14:paraId="6B1B21F4" w14:textId="6FF625B8" w:rsidR="00802404" w:rsidRPr="00E20D21" w:rsidRDefault="00802404" w:rsidP="00802404">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 xml:space="preserve">Saldo Base </w:t>
            </w:r>
          </w:p>
        </w:tc>
        <w:tc>
          <w:tcPr>
            <w:tcW w:w="588" w:type="pct"/>
            <w:tcBorders>
              <w:top w:val="single" w:sz="4" w:space="0" w:color="F39200"/>
              <w:left w:val="nil"/>
              <w:bottom w:val="single" w:sz="4" w:space="0" w:color="F39200"/>
              <w:right w:val="nil"/>
            </w:tcBorders>
            <w:shd w:val="clear" w:color="auto" w:fill="auto"/>
            <w:vAlign w:val="center"/>
          </w:tcPr>
          <w:p w14:paraId="0AF27DE3" w14:textId="5111F9DB" w:rsidR="00802404" w:rsidRPr="00E20D21" w:rsidRDefault="00802404" w:rsidP="00802404">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Saldo Provisão</w:t>
            </w:r>
          </w:p>
        </w:tc>
        <w:tc>
          <w:tcPr>
            <w:tcW w:w="588" w:type="pct"/>
            <w:tcBorders>
              <w:top w:val="single" w:sz="4" w:space="0" w:color="F39200"/>
              <w:left w:val="nil"/>
              <w:bottom w:val="single" w:sz="4" w:space="0" w:color="F39200"/>
              <w:right w:val="nil"/>
            </w:tcBorders>
            <w:shd w:val="clear" w:color="auto" w:fill="auto"/>
            <w:vAlign w:val="center"/>
          </w:tcPr>
          <w:p w14:paraId="13D424D7" w14:textId="39AB23B2" w:rsidR="00802404" w:rsidRPr="00E20D21" w:rsidRDefault="00802404" w:rsidP="00802404">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Saldo Líquido</w:t>
            </w:r>
          </w:p>
        </w:tc>
        <w:tc>
          <w:tcPr>
            <w:tcW w:w="588" w:type="pct"/>
            <w:tcBorders>
              <w:top w:val="single" w:sz="4" w:space="0" w:color="F39200"/>
              <w:left w:val="nil"/>
              <w:bottom w:val="single" w:sz="4" w:space="0" w:color="F39200"/>
              <w:right w:val="nil"/>
            </w:tcBorders>
            <w:shd w:val="clear" w:color="auto" w:fill="auto"/>
            <w:vAlign w:val="center"/>
          </w:tcPr>
          <w:p w14:paraId="4C96087F" w14:textId="0B14AA38" w:rsidR="00802404" w:rsidRPr="00E20D21" w:rsidRDefault="00802404" w:rsidP="00802404">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 xml:space="preserve">Saldo Base </w:t>
            </w:r>
          </w:p>
        </w:tc>
        <w:tc>
          <w:tcPr>
            <w:tcW w:w="588" w:type="pct"/>
            <w:tcBorders>
              <w:top w:val="single" w:sz="4" w:space="0" w:color="F39200"/>
              <w:left w:val="nil"/>
              <w:bottom w:val="single" w:sz="4" w:space="0" w:color="F39200"/>
              <w:right w:val="nil"/>
            </w:tcBorders>
            <w:shd w:val="clear" w:color="auto" w:fill="auto"/>
            <w:vAlign w:val="center"/>
          </w:tcPr>
          <w:p w14:paraId="32D0D969" w14:textId="03474EE4" w:rsidR="00802404" w:rsidRPr="00E20D21" w:rsidRDefault="00802404" w:rsidP="00802404">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Saldo Provisão</w:t>
            </w:r>
          </w:p>
        </w:tc>
        <w:tc>
          <w:tcPr>
            <w:tcW w:w="589" w:type="pct"/>
            <w:tcBorders>
              <w:top w:val="single" w:sz="4" w:space="0" w:color="F39200"/>
              <w:left w:val="nil"/>
              <w:bottom w:val="single" w:sz="4" w:space="0" w:color="F39200"/>
              <w:right w:val="nil"/>
            </w:tcBorders>
            <w:shd w:val="clear" w:color="auto" w:fill="auto"/>
            <w:vAlign w:val="center"/>
          </w:tcPr>
          <w:p w14:paraId="113172DB" w14:textId="50246AD6" w:rsidR="00802404" w:rsidRPr="00E20D21" w:rsidRDefault="00802404" w:rsidP="00802404">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Saldo Líquido</w:t>
            </w:r>
          </w:p>
        </w:tc>
      </w:tr>
      <w:tr w:rsidR="00F5454F" w:rsidRPr="00E20D21" w14:paraId="6E4CE36B" w14:textId="77777777" w:rsidTr="0033167A">
        <w:trPr>
          <w:trHeight w:val="288"/>
        </w:trPr>
        <w:tc>
          <w:tcPr>
            <w:tcW w:w="1471" w:type="pct"/>
            <w:tcBorders>
              <w:top w:val="single" w:sz="4" w:space="0" w:color="F39200"/>
              <w:left w:val="nil"/>
              <w:bottom w:val="nil"/>
              <w:right w:val="nil"/>
            </w:tcBorders>
            <w:shd w:val="clear" w:color="auto" w:fill="auto"/>
            <w:noWrap/>
            <w:vAlign w:val="center"/>
            <w:hideMark/>
          </w:tcPr>
          <w:p w14:paraId="4A830741" w14:textId="7AE373A5" w:rsidR="005A3801" w:rsidRPr="00E20D21" w:rsidRDefault="005A3801" w:rsidP="005A3801">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FCVS a receber</w:t>
            </w:r>
          </w:p>
        </w:tc>
        <w:tc>
          <w:tcPr>
            <w:tcW w:w="588" w:type="pct"/>
            <w:tcBorders>
              <w:top w:val="single" w:sz="4" w:space="0" w:color="F39200"/>
              <w:left w:val="nil"/>
              <w:bottom w:val="nil"/>
              <w:right w:val="nil"/>
            </w:tcBorders>
            <w:shd w:val="clear" w:color="auto" w:fill="auto"/>
            <w:noWrap/>
            <w:vAlign w:val="center"/>
          </w:tcPr>
          <w:p w14:paraId="1FBA17D1" w14:textId="32360B84" w:rsidR="005A3801" w:rsidRPr="00E20D21" w:rsidRDefault="00BF12B5" w:rsidP="00F5454F">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41.049.921</w:t>
            </w:r>
          </w:p>
        </w:tc>
        <w:tc>
          <w:tcPr>
            <w:tcW w:w="588" w:type="pct"/>
            <w:tcBorders>
              <w:top w:val="single" w:sz="4" w:space="0" w:color="F39200"/>
              <w:left w:val="nil"/>
              <w:bottom w:val="nil"/>
              <w:right w:val="nil"/>
            </w:tcBorders>
            <w:shd w:val="clear" w:color="auto" w:fill="auto"/>
            <w:noWrap/>
            <w:vAlign w:val="center"/>
          </w:tcPr>
          <w:p w14:paraId="4130602D" w14:textId="5E64951A" w:rsidR="005A3801" w:rsidRPr="00E20D21" w:rsidRDefault="00BF12B5" w:rsidP="00F5454F">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(10.449.791)</w:t>
            </w:r>
          </w:p>
        </w:tc>
        <w:tc>
          <w:tcPr>
            <w:tcW w:w="588" w:type="pct"/>
            <w:tcBorders>
              <w:top w:val="single" w:sz="4" w:space="0" w:color="F39200"/>
              <w:left w:val="nil"/>
              <w:bottom w:val="nil"/>
              <w:right w:val="nil"/>
            </w:tcBorders>
            <w:shd w:val="clear" w:color="auto" w:fill="auto"/>
            <w:noWrap/>
            <w:vAlign w:val="center"/>
          </w:tcPr>
          <w:p w14:paraId="77E6817A" w14:textId="79192450" w:rsidR="005A3801" w:rsidRPr="00E20D21" w:rsidRDefault="00BF12B5" w:rsidP="00F5454F">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30.600.130</w:t>
            </w:r>
          </w:p>
        </w:tc>
        <w:tc>
          <w:tcPr>
            <w:tcW w:w="588" w:type="pct"/>
            <w:tcBorders>
              <w:top w:val="single" w:sz="4" w:space="0" w:color="F39200"/>
              <w:left w:val="nil"/>
              <w:bottom w:val="nil"/>
              <w:right w:val="nil"/>
            </w:tcBorders>
            <w:shd w:val="clear" w:color="auto" w:fill="auto"/>
            <w:noWrap/>
            <w:vAlign w:val="center"/>
          </w:tcPr>
          <w:p w14:paraId="61020B12" w14:textId="01EB625B" w:rsidR="005A3801" w:rsidRPr="00E20D21" w:rsidRDefault="005A3801" w:rsidP="00F5454F">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41.379.122</w:t>
            </w:r>
          </w:p>
        </w:tc>
        <w:tc>
          <w:tcPr>
            <w:tcW w:w="588" w:type="pct"/>
            <w:tcBorders>
              <w:top w:val="single" w:sz="4" w:space="0" w:color="F39200"/>
              <w:left w:val="nil"/>
              <w:bottom w:val="nil"/>
              <w:right w:val="nil"/>
            </w:tcBorders>
            <w:shd w:val="clear" w:color="auto" w:fill="auto"/>
            <w:noWrap/>
            <w:vAlign w:val="center"/>
          </w:tcPr>
          <w:p w14:paraId="266FA528" w14:textId="41A3C056" w:rsidR="005A3801" w:rsidRPr="00E20D21" w:rsidRDefault="005A3801" w:rsidP="00F5454F">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(9.363.775)</w:t>
            </w:r>
          </w:p>
        </w:tc>
        <w:tc>
          <w:tcPr>
            <w:tcW w:w="589" w:type="pct"/>
            <w:tcBorders>
              <w:top w:val="single" w:sz="4" w:space="0" w:color="F39200"/>
              <w:left w:val="nil"/>
              <w:bottom w:val="nil"/>
              <w:right w:val="nil"/>
            </w:tcBorders>
            <w:shd w:val="clear" w:color="auto" w:fill="auto"/>
            <w:noWrap/>
            <w:vAlign w:val="center"/>
          </w:tcPr>
          <w:p w14:paraId="241FAD6D" w14:textId="717EFAAE" w:rsidR="005A3801" w:rsidRPr="00E20D21" w:rsidRDefault="005A3801" w:rsidP="00F5454F">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32.015.346</w:t>
            </w:r>
          </w:p>
        </w:tc>
      </w:tr>
      <w:tr w:rsidR="00F5454F" w:rsidRPr="00E20D21" w14:paraId="12FACDE9" w14:textId="77777777" w:rsidTr="0033167A">
        <w:trPr>
          <w:trHeight w:val="288"/>
        </w:trPr>
        <w:tc>
          <w:tcPr>
            <w:tcW w:w="1471" w:type="pct"/>
            <w:tcBorders>
              <w:top w:val="nil"/>
              <w:left w:val="nil"/>
              <w:bottom w:val="nil"/>
              <w:right w:val="nil"/>
            </w:tcBorders>
            <w:shd w:val="clear" w:color="auto" w:fill="auto"/>
            <w:noWrap/>
            <w:vAlign w:val="center"/>
            <w:hideMark/>
          </w:tcPr>
          <w:p w14:paraId="16BD8240" w14:textId="77777777" w:rsidR="005A3801" w:rsidRPr="00E20D21" w:rsidRDefault="005A3801" w:rsidP="005A3801">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Não habilitado</w:t>
            </w:r>
          </w:p>
        </w:tc>
        <w:tc>
          <w:tcPr>
            <w:tcW w:w="588" w:type="pct"/>
            <w:tcBorders>
              <w:top w:val="nil"/>
              <w:left w:val="nil"/>
              <w:bottom w:val="nil"/>
              <w:right w:val="nil"/>
            </w:tcBorders>
            <w:shd w:val="clear" w:color="auto" w:fill="auto"/>
            <w:noWrap/>
            <w:vAlign w:val="center"/>
          </w:tcPr>
          <w:p w14:paraId="7F3A86D2" w14:textId="2A0A03DE"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45.181</w:t>
            </w:r>
          </w:p>
        </w:tc>
        <w:tc>
          <w:tcPr>
            <w:tcW w:w="588" w:type="pct"/>
            <w:tcBorders>
              <w:top w:val="nil"/>
              <w:left w:val="nil"/>
              <w:bottom w:val="nil"/>
              <w:right w:val="nil"/>
            </w:tcBorders>
            <w:shd w:val="clear" w:color="auto" w:fill="auto"/>
            <w:noWrap/>
            <w:vAlign w:val="center"/>
          </w:tcPr>
          <w:p w14:paraId="035321A0" w14:textId="5D431F88"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(22.812)</w:t>
            </w:r>
          </w:p>
        </w:tc>
        <w:tc>
          <w:tcPr>
            <w:tcW w:w="588" w:type="pct"/>
            <w:tcBorders>
              <w:top w:val="nil"/>
              <w:left w:val="nil"/>
              <w:bottom w:val="nil"/>
              <w:right w:val="nil"/>
            </w:tcBorders>
            <w:shd w:val="clear" w:color="auto" w:fill="auto"/>
            <w:noWrap/>
            <w:vAlign w:val="center"/>
          </w:tcPr>
          <w:p w14:paraId="273DAA01" w14:textId="50C2A30E"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22.369</w:t>
            </w:r>
          </w:p>
        </w:tc>
        <w:tc>
          <w:tcPr>
            <w:tcW w:w="588" w:type="pct"/>
            <w:tcBorders>
              <w:top w:val="nil"/>
              <w:left w:val="nil"/>
              <w:bottom w:val="nil"/>
              <w:right w:val="nil"/>
            </w:tcBorders>
            <w:shd w:val="clear" w:color="auto" w:fill="auto"/>
            <w:vAlign w:val="center"/>
          </w:tcPr>
          <w:p w14:paraId="03AFA8A8" w14:textId="25D52BB9"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92.066</w:t>
            </w:r>
          </w:p>
        </w:tc>
        <w:tc>
          <w:tcPr>
            <w:tcW w:w="588" w:type="pct"/>
            <w:tcBorders>
              <w:top w:val="nil"/>
              <w:left w:val="nil"/>
              <w:bottom w:val="nil"/>
              <w:right w:val="nil"/>
            </w:tcBorders>
            <w:shd w:val="clear" w:color="auto" w:fill="auto"/>
            <w:vAlign w:val="center"/>
          </w:tcPr>
          <w:p w14:paraId="04E5F9AB" w14:textId="2618466D"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(18.447)</w:t>
            </w:r>
          </w:p>
        </w:tc>
        <w:tc>
          <w:tcPr>
            <w:tcW w:w="589" w:type="pct"/>
            <w:tcBorders>
              <w:top w:val="nil"/>
              <w:left w:val="nil"/>
              <w:bottom w:val="nil"/>
              <w:right w:val="nil"/>
            </w:tcBorders>
            <w:shd w:val="clear" w:color="auto" w:fill="auto"/>
            <w:vAlign w:val="center"/>
          </w:tcPr>
          <w:p w14:paraId="05A7D749" w14:textId="5407D60E"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73.619</w:t>
            </w:r>
          </w:p>
        </w:tc>
      </w:tr>
      <w:tr w:rsidR="00F5454F" w:rsidRPr="00E20D21" w14:paraId="150AF654" w14:textId="77777777" w:rsidTr="0033167A">
        <w:trPr>
          <w:trHeight w:val="288"/>
        </w:trPr>
        <w:tc>
          <w:tcPr>
            <w:tcW w:w="1471" w:type="pct"/>
            <w:tcBorders>
              <w:top w:val="nil"/>
              <w:left w:val="nil"/>
              <w:bottom w:val="nil"/>
              <w:right w:val="nil"/>
            </w:tcBorders>
            <w:shd w:val="clear" w:color="auto" w:fill="auto"/>
            <w:noWrap/>
            <w:vAlign w:val="center"/>
            <w:hideMark/>
          </w:tcPr>
          <w:p w14:paraId="3ABA1493" w14:textId="77777777" w:rsidR="005A3801" w:rsidRPr="00E20D21" w:rsidRDefault="005A3801" w:rsidP="005A3801">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Habilitado e não homologado</w:t>
            </w:r>
          </w:p>
        </w:tc>
        <w:tc>
          <w:tcPr>
            <w:tcW w:w="588" w:type="pct"/>
            <w:tcBorders>
              <w:top w:val="nil"/>
              <w:left w:val="nil"/>
              <w:bottom w:val="nil"/>
              <w:right w:val="nil"/>
            </w:tcBorders>
            <w:shd w:val="clear" w:color="auto" w:fill="auto"/>
            <w:noWrap/>
            <w:vAlign w:val="center"/>
          </w:tcPr>
          <w:p w14:paraId="0FB41655" w14:textId="5EC1C5A2"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399.955</w:t>
            </w:r>
          </w:p>
        </w:tc>
        <w:tc>
          <w:tcPr>
            <w:tcW w:w="588" w:type="pct"/>
            <w:tcBorders>
              <w:top w:val="nil"/>
              <w:left w:val="nil"/>
              <w:bottom w:val="nil"/>
              <w:right w:val="nil"/>
            </w:tcBorders>
            <w:shd w:val="clear" w:color="auto" w:fill="auto"/>
            <w:noWrap/>
            <w:vAlign w:val="center"/>
          </w:tcPr>
          <w:p w14:paraId="0AC986EF" w14:textId="4AC7B224"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(177.921)</w:t>
            </w:r>
          </w:p>
        </w:tc>
        <w:tc>
          <w:tcPr>
            <w:tcW w:w="588" w:type="pct"/>
            <w:tcBorders>
              <w:top w:val="nil"/>
              <w:left w:val="nil"/>
              <w:bottom w:val="nil"/>
              <w:right w:val="nil"/>
            </w:tcBorders>
            <w:shd w:val="clear" w:color="auto" w:fill="auto"/>
            <w:noWrap/>
            <w:vAlign w:val="center"/>
          </w:tcPr>
          <w:p w14:paraId="704A404F" w14:textId="18843931"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222.034</w:t>
            </w:r>
          </w:p>
        </w:tc>
        <w:tc>
          <w:tcPr>
            <w:tcW w:w="588" w:type="pct"/>
            <w:tcBorders>
              <w:top w:val="nil"/>
              <w:left w:val="nil"/>
              <w:bottom w:val="nil"/>
              <w:right w:val="nil"/>
            </w:tcBorders>
            <w:shd w:val="clear" w:color="auto" w:fill="auto"/>
            <w:vAlign w:val="center"/>
          </w:tcPr>
          <w:p w14:paraId="6B920D75" w14:textId="153EFF4E"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525.259</w:t>
            </w:r>
          </w:p>
        </w:tc>
        <w:tc>
          <w:tcPr>
            <w:tcW w:w="588" w:type="pct"/>
            <w:tcBorders>
              <w:top w:val="nil"/>
              <w:left w:val="nil"/>
              <w:bottom w:val="nil"/>
              <w:right w:val="nil"/>
            </w:tcBorders>
            <w:shd w:val="clear" w:color="auto" w:fill="auto"/>
            <w:vAlign w:val="center"/>
          </w:tcPr>
          <w:p w14:paraId="5D1B3DF5" w14:textId="06FF825F"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(73.066)</w:t>
            </w:r>
          </w:p>
        </w:tc>
        <w:tc>
          <w:tcPr>
            <w:tcW w:w="589" w:type="pct"/>
            <w:tcBorders>
              <w:top w:val="nil"/>
              <w:left w:val="nil"/>
              <w:bottom w:val="nil"/>
              <w:right w:val="nil"/>
            </w:tcBorders>
            <w:shd w:val="clear" w:color="auto" w:fill="auto"/>
            <w:vAlign w:val="center"/>
          </w:tcPr>
          <w:p w14:paraId="7924D4F7" w14:textId="134BDDBD"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452.193</w:t>
            </w:r>
          </w:p>
        </w:tc>
      </w:tr>
      <w:tr w:rsidR="00F5454F" w:rsidRPr="00E20D21" w14:paraId="4E7C773E" w14:textId="77777777" w:rsidTr="0033167A">
        <w:trPr>
          <w:trHeight w:val="288"/>
        </w:trPr>
        <w:tc>
          <w:tcPr>
            <w:tcW w:w="1471" w:type="pct"/>
            <w:tcBorders>
              <w:top w:val="nil"/>
              <w:left w:val="nil"/>
              <w:bottom w:val="nil"/>
              <w:right w:val="nil"/>
            </w:tcBorders>
            <w:shd w:val="clear" w:color="auto" w:fill="auto"/>
            <w:noWrap/>
            <w:vAlign w:val="center"/>
            <w:hideMark/>
          </w:tcPr>
          <w:p w14:paraId="6098ABE3" w14:textId="5E0C8E36" w:rsidR="005A3801" w:rsidRPr="00E20D21" w:rsidRDefault="005A3801" w:rsidP="005A3801">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Homologado com e sem recurso ou manifestação</w:t>
            </w:r>
          </w:p>
        </w:tc>
        <w:tc>
          <w:tcPr>
            <w:tcW w:w="588" w:type="pct"/>
            <w:tcBorders>
              <w:top w:val="nil"/>
              <w:left w:val="nil"/>
              <w:bottom w:val="nil"/>
              <w:right w:val="nil"/>
            </w:tcBorders>
            <w:shd w:val="clear" w:color="auto" w:fill="auto"/>
            <w:noWrap/>
            <w:vAlign w:val="center"/>
          </w:tcPr>
          <w:p w14:paraId="5C070638" w14:textId="543FA36A"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6.797.688</w:t>
            </w:r>
          </w:p>
        </w:tc>
        <w:tc>
          <w:tcPr>
            <w:tcW w:w="588" w:type="pct"/>
            <w:tcBorders>
              <w:top w:val="nil"/>
              <w:left w:val="nil"/>
              <w:bottom w:val="nil"/>
              <w:right w:val="nil"/>
            </w:tcBorders>
            <w:shd w:val="clear" w:color="auto" w:fill="auto"/>
            <w:noWrap/>
            <w:vAlign w:val="center"/>
          </w:tcPr>
          <w:p w14:paraId="14867B9F" w14:textId="286D034F"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(2.021.213)</w:t>
            </w:r>
          </w:p>
        </w:tc>
        <w:tc>
          <w:tcPr>
            <w:tcW w:w="588" w:type="pct"/>
            <w:tcBorders>
              <w:top w:val="nil"/>
              <w:left w:val="nil"/>
              <w:bottom w:val="nil"/>
              <w:right w:val="nil"/>
            </w:tcBorders>
            <w:shd w:val="clear" w:color="auto" w:fill="auto"/>
            <w:noWrap/>
            <w:vAlign w:val="center"/>
          </w:tcPr>
          <w:p w14:paraId="06413E1C" w14:textId="10056D78"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4.776.475</w:t>
            </w:r>
          </w:p>
        </w:tc>
        <w:tc>
          <w:tcPr>
            <w:tcW w:w="588" w:type="pct"/>
            <w:tcBorders>
              <w:top w:val="nil"/>
              <w:left w:val="nil"/>
              <w:bottom w:val="nil"/>
              <w:right w:val="nil"/>
            </w:tcBorders>
            <w:shd w:val="clear" w:color="auto" w:fill="auto"/>
            <w:noWrap/>
            <w:vAlign w:val="center"/>
          </w:tcPr>
          <w:p w14:paraId="0FF86642" w14:textId="1F2E9A01"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7.072.961</w:t>
            </w:r>
          </w:p>
        </w:tc>
        <w:tc>
          <w:tcPr>
            <w:tcW w:w="588" w:type="pct"/>
            <w:tcBorders>
              <w:top w:val="nil"/>
              <w:left w:val="nil"/>
              <w:bottom w:val="nil"/>
              <w:right w:val="nil"/>
            </w:tcBorders>
            <w:shd w:val="clear" w:color="auto" w:fill="auto"/>
            <w:noWrap/>
            <w:vAlign w:val="center"/>
          </w:tcPr>
          <w:p w14:paraId="47779A4A" w14:textId="23DD602C"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(2.005.941)</w:t>
            </w:r>
          </w:p>
        </w:tc>
        <w:tc>
          <w:tcPr>
            <w:tcW w:w="589" w:type="pct"/>
            <w:tcBorders>
              <w:top w:val="nil"/>
              <w:left w:val="nil"/>
              <w:bottom w:val="nil"/>
              <w:right w:val="nil"/>
            </w:tcBorders>
            <w:shd w:val="clear" w:color="auto" w:fill="auto"/>
            <w:noWrap/>
            <w:vAlign w:val="center"/>
          </w:tcPr>
          <w:p w14:paraId="5266D815" w14:textId="086E8E79"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5.067.019</w:t>
            </w:r>
          </w:p>
        </w:tc>
      </w:tr>
      <w:tr w:rsidR="00F5454F" w:rsidRPr="00E20D21" w14:paraId="16C07581" w14:textId="77777777" w:rsidTr="0033167A">
        <w:trPr>
          <w:trHeight w:val="288"/>
        </w:trPr>
        <w:tc>
          <w:tcPr>
            <w:tcW w:w="1471" w:type="pct"/>
            <w:tcBorders>
              <w:top w:val="nil"/>
              <w:left w:val="nil"/>
              <w:bottom w:val="nil"/>
              <w:right w:val="nil"/>
            </w:tcBorders>
            <w:shd w:val="clear" w:color="auto" w:fill="auto"/>
            <w:noWrap/>
            <w:vAlign w:val="center"/>
            <w:hideMark/>
          </w:tcPr>
          <w:p w14:paraId="17F768A8" w14:textId="77777777" w:rsidR="005A3801" w:rsidRPr="00E20D21" w:rsidRDefault="005A3801" w:rsidP="005A3801">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Homologados validados e em novação</w:t>
            </w:r>
          </w:p>
        </w:tc>
        <w:tc>
          <w:tcPr>
            <w:tcW w:w="588" w:type="pct"/>
            <w:tcBorders>
              <w:top w:val="nil"/>
              <w:left w:val="nil"/>
              <w:bottom w:val="nil"/>
              <w:right w:val="nil"/>
            </w:tcBorders>
            <w:shd w:val="clear" w:color="auto" w:fill="auto"/>
            <w:noWrap/>
            <w:vAlign w:val="center"/>
          </w:tcPr>
          <w:p w14:paraId="0976B46D" w14:textId="6AA8BAB1"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20.414.609</w:t>
            </w:r>
          </w:p>
        </w:tc>
        <w:tc>
          <w:tcPr>
            <w:tcW w:w="588" w:type="pct"/>
            <w:tcBorders>
              <w:top w:val="nil"/>
              <w:left w:val="nil"/>
              <w:bottom w:val="nil"/>
              <w:right w:val="nil"/>
            </w:tcBorders>
            <w:shd w:val="clear" w:color="auto" w:fill="auto"/>
            <w:noWrap/>
            <w:vAlign w:val="center"/>
          </w:tcPr>
          <w:p w14:paraId="29F46056" w14:textId="660F1940"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(236.848)</w:t>
            </w:r>
          </w:p>
        </w:tc>
        <w:tc>
          <w:tcPr>
            <w:tcW w:w="588" w:type="pct"/>
            <w:tcBorders>
              <w:top w:val="nil"/>
              <w:left w:val="nil"/>
              <w:bottom w:val="nil"/>
              <w:right w:val="nil"/>
            </w:tcBorders>
            <w:shd w:val="clear" w:color="auto" w:fill="auto"/>
            <w:noWrap/>
            <w:vAlign w:val="center"/>
          </w:tcPr>
          <w:p w14:paraId="1F209990" w14:textId="38C52A11"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20.177.761</w:t>
            </w:r>
          </w:p>
        </w:tc>
        <w:tc>
          <w:tcPr>
            <w:tcW w:w="588" w:type="pct"/>
            <w:tcBorders>
              <w:top w:val="nil"/>
              <w:left w:val="nil"/>
              <w:bottom w:val="nil"/>
              <w:right w:val="nil"/>
            </w:tcBorders>
            <w:shd w:val="clear" w:color="auto" w:fill="auto"/>
            <w:noWrap/>
            <w:vAlign w:val="center"/>
          </w:tcPr>
          <w:p w14:paraId="40AFE661" w14:textId="377E5F6A"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20.821.224</w:t>
            </w:r>
          </w:p>
        </w:tc>
        <w:tc>
          <w:tcPr>
            <w:tcW w:w="588" w:type="pct"/>
            <w:tcBorders>
              <w:top w:val="nil"/>
              <w:left w:val="nil"/>
              <w:bottom w:val="nil"/>
              <w:right w:val="nil"/>
            </w:tcBorders>
            <w:shd w:val="clear" w:color="auto" w:fill="auto"/>
            <w:noWrap/>
            <w:vAlign w:val="center"/>
          </w:tcPr>
          <w:p w14:paraId="3725F280" w14:textId="73C8F94D"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(315.937)</w:t>
            </w:r>
          </w:p>
        </w:tc>
        <w:tc>
          <w:tcPr>
            <w:tcW w:w="589" w:type="pct"/>
            <w:tcBorders>
              <w:top w:val="nil"/>
              <w:left w:val="nil"/>
              <w:bottom w:val="nil"/>
              <w:right w:val="nil"/>
            </w:tcBorders>
            <w:shd w:val="clear" w:color="auto" w:fill="auto"/>
            <w:noWrap/>
            <w:vAlign w:val="center"/>
          </w:tcPr>
          <w:p w14:paraId="45D4FB7B" w14:textId="23E9D7D3"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20.505.287</w:t>
            </w:r>
          </w:p>
        </w:tc>
      </w:tr>
      <w:tr w:rsidR="00F5454F" w:rsidRPr="00E20D21" w14:paraId="6F262056" w14:textId="77777777" w:rsidTr="0033167A">
        <w:trPr>
          <w:trHeight w:val="288"/>
        </w:trPr>
        <w:tc>
          <w:tcPr>
            <w:tcW w:w="1471" w:type="pct"/>
            <w:tcBorders>
              <w:top w:val="nil"/>
              <w:left w:val="nil"/>
              <w:bottom w:val="nil"/>
              <w:right w:val="nil"/>
            </w:tcBorders>
            <w:shd w:val="clear" w:color="auto" w:fill="auto"/>
            <w:noWrap/>
            <w:vAlign w:val="center"/>
            <w:hideMark/>
          </w:tcPr>
          <w:p w14:paraId="706884D7" w14:textId="3902D960" w:rsidR="005A3801" w:rsidRPr="00E20D21" w:rsidRDefault="005A3801" w:rsidP="005A3801">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Negativa de cobertura (1)</w:t>
            </w:r>
          </w:p>
        </w:tc>
        <w:tc>
          <w:tcPr>
            <w:tcW w:w="588" w:type="pct"/>
            <w:tcBorders>
              <w:top w:val="nil"/>
              <w:left w:val="nil"/>
              <w:bottom w:val="nil"/>
              <w:right w:val="nil"/>
            </w:tcBorders>
            <w:shd w:val="clear" w:color="auto" w:fill="auto"/>
            <w:noWrap/>
            <w:vAlign w:val="center"/>
          </w:tcPr>
          <w:p w14:paraId="74BD2809" w14:textId="306E8093"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13.392.488</w:t>
            </w:r>
          </w:p>
        </w:tc>
        <w:tc>
          <w:tcPr>
            <w:tcW w:w="588" w:type="pct"/>
            <w:tcBorders>
              <w:top w:val="nil"/>
              <w:left w:val="nil"/>
              <w:bottom w:val="nil"/>
              <w:right w:val="nil"/>
            </w:tcBorders>
            <w:shd w:val="clear" w:color="auto" w:fill="auto"/>
            <w:noWrap/>
            <w:vAlign w:val="center"/>
          </w:tcPr>
          <w:p w14:paraId="17B5CBE5" w14:textId="1A47678A"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(7.990.997)</w:t>
            </w:r>
          </w:p>
        </w:tc>
        <w:tc>
          <w:tcPr>
            <w:tcW w:w="588" w:type="pct"/>
            <w:tcBorders>
              <w:top w:val="nil"/>
              <w:left w:val="nil"/>
              <w:bottom w:val="nil"/>
              <w:right w:val="nil"/>
            </w:tcBorders>
            <w:shd w:val="clear" w:color="auto" w:fill="auto"/>
            <w:noWrap/>
            <w:vAlign w:val="center"/>
          </w:tcPr>
          <w:p w14:paraId="345BD5F3" w14:textId="1D076B5F" w:rsidR="005A3801" w:rsidRPr="00E20D21" w:rsidRDefault="00BF12B5"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5.401.491</w:t>
            </w:r>
          </w:p>
        </w:tc>
        <w:tc>
          <w:tcPr>
            <w:tcW w:w="588" w:type="pct"/>
            <w:tcBorders>
              <w:top w:val="nil"/>
              <w:left w:val="nil"/>
              <w:bottom w:val="nil"/>
              <w:right w:val="nil"/>
            </w:tcBorders>
            <w:shd w:val="clear" w:color="auto" w:fill="auto"/>
            <w:noWrap/>
            <w:vAlign w:val="center"/>
          </w:tcPr>
          <w:p w14:paraId="422BA93D" w14:textId="5191DD6C"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12.867.612</w:t>
            </w:r>
          </w:p>
        </w:tc>
        <w:tc>
          <w:tcPr>
            <w:tcW w:w="588" w:type="pct"/>
            <w:tcBorders>
              <w:top w:val="nil"/>
              <w:left w:val="nil"/>
              <w:bottom w:val="nil"/>
              <w:right w:val="nil"/>
            </w:tcBorders>
            <w:shd w:val="clear" w:color="auto" w:fill="auto"/>
            <w:noWrap/>
            <w:vAlign w:val="center"/>
          </w:tcPr>
          <w:p w14:paraId="20085A76" w14:textId="615123B4"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(6.950.384)</w:t>
            </w:r>
          </w:p>
        </w:tc>
        <w:tc>
          <w:tcPr>
            <w:tcW w:w="589" w:type="pct"/>
            <w:tcBorders>
              <w:top w:val="nil"/>
              <w:left w:val="nil"/>
              <w:bottom w:val="nil"/>
              <w:right w:val="nil"/>
            </w:tcBorders>
            <w:shd w:val="clear" w:color="auto" w:fill="auto"/>
            <w:noWrap/>
            <w:vAlign w:val="center"/>
          </w:tcPr>
          <w:p w14:paraId="7B831769" w14:textId="519E063F" w:rsidR="005A3801" w:rsidRPr="00E20D21" w:rsidRDefault="005A3801" w:rsidP="00F5454F">
            <w:pPr>
              <w:jc w:val="right"/>
              <w:rPr>
                <w:rFonts w:ascii="CAIXA Std Book" w:hAnsi="CAIXA Std Book" w:cs="Arial"/>
                <w:color w:val="005CA9"/>
                <w:sz w:val="16"/>
                <w:szCs w:val="16"/>
              </w:rPr>
            </w:pPr>
            <w:r w:rsidRPr="00E20D21">
              <w:rPr>
                <w:rFonts w:ascii="CAIXA Std Book" w:hAnsi="CAIXA Std Book" w:cs="Arial"/>
                <w:color w:val="005CA9"/>
                <w:sz w:val="16"/>
                <w:szCs w:val="16"/>
              </w:rPr>
              <w:t>5.917.228</w:t>
            </w:r>
          </w:p>
        </w:tc>
      </w:tr>
      <w:tr w:rsidR="00F5454F" w:rsidRPr="00E20D21" w14:paraId="0F53B038" w14:textId="77777777" w:rsidTr="0033167A">
        <w:trPr>
          <w:trHeight w:val="288"/>
        </w:trPr>
        <w:tc>
          <w:tcPr>
            <w:tcW w:w="1471" w:type="pct"/>
            <w:tcBorders>
              <w:top w:val="nil"/>
              <w:left w:val="nil"/>
              <w:bottom w:val="single" w:sz="4" w:space="0" w:color="F39200"/>
              <w:right w:val="nil"/>
            </w:tcBorders>
            <w:shd w:val="clear" w:color="auto" w:fill="auto"/>
            <w:noWrap/>
            <w:vAlign w:val="center"/>
            <w:hideMark/>
          </w:tcPr>
          <w:p w14:paraId="24B37390" w14:textId="77777777" w:rsidR="005A3801" w:rsidRPr="00E20D21" w:rsidRDefault="005A3801" w:rsidP="005A3801">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FGTS a ressarcir</w:t>
            </w:r>
          </w:p>
        </w:tc>
        <w:tc>
          <w:tcPr>
            <w:tcW w:w="588" w:type="pct"/>
            <w:tcBorders>
              <w:top w:val="nil"/>
              <w:left w:val="nil"/>
              <w:bottom w:val="single" w:sz="4" w:space="0" w:color="F39200"/>
              <w:right w:val="nil"/>
            </w:tcBorders>
            <w:shd w:val="clear" w:color="auto" w:fill="auto"/>
            <w:noWrap/>
            <w:vAlign w:val="center"/>
          </w:tcPr>
          <w:p w14:paraId="13651995" w14:textId="10414F50" w:rsidR="005A3801" w:rsidRPr="00E20D21" w:rsidRDefault="00BF12B5" w:rsidP="00F5454F">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26.131</w:t>
            </w:r>
          </w:p>
        </w:tc>
        <w:tc>
          <w:tcPr>
            <w:tcW w:w="588" w:type="pct"/>
            <w:tcBorders>
              <w:top w:val="nil"/>
              <w:left w:val="nil"/>
              <w:bottom w:val="single" w:sz="4" w:space="0" w:color="F39200"/>
              <w:right w:val="nil"/>
            </w:tcBorders>
            <w:shd w:val="clear" w:color="auto" w:fill="auto"/>
            <w:noWrap/>
            <w:vAlign w:val="center"/>
          </w:tcPr>
          <w:p w14:paraId="28931A6F" w14:textId="0BD2F447" w:rsidR="005A3801" w:rsidRPr="00E20D21" w:rsidRDefault="00BF12B5" w:rsidP="00F5454F">
            <w:pPr>
              <w:jc w:val="center"/>
              <w:rPr>
                <w:rFonts w:ascii="CAIXA Std Book" w:hAnsi="CAIXA Std Book" w:cs="Arial"/>
                <w:b/>
                <w:color w:val="005CA9"/>
                <w:sz w:val="16"/>
                <w:szCs w:val="16"/>
              </w:rPr>
            </w:pPr>
            <w:r w:rsidRPr="00E20D21">
              <w:rPr>
                <w:rFonts w:ascii="CAIXA Std Book" w:hAnsi="CAIXA Std Book" w:cs="Arial"/>
                <w:b/>
                <w:bCs/>
                <w:color w:val="005CA9"/>
                <w:sz w:val="16"/>
                <w:szCs w:val="16"/>
              </w:rPr>
              <w:t>-</w:t>
            </w:r>
          </w:p>
        </w:tc>
        <w:tc>
          <w:tcPr>
            <w:tcW w:w="588" w:type="pct"/>
            <w:tcBorders>
              <w:top w:val="nil"/>
              <w:left w:val="nil"/>
              <w:bottom w:val="single" w:sz="4" w:space="0" w:color="F39200"/>
              <w:right w:val="nil"/>
            </w:tcBorders>
            <w:shd w:val="clear" w:color="auto" w:fill="auto"/>
            <w:noWrap/>
            <w:vAlign w:val="center"/>
          </w:tcPr>
          <w:p w14:paraId="2E69DBBB" w14:textId="7E04A36E" w:rsidR="005A3801" w:rsidRPr="00E20D21" w:rsidRDefault="00BF12B5" w:rsidP="00F5454F">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26.131</w:t>
            </w:r>
          </w:p>
        </w:tc>
        <w:tc>
          <w:tcPr>
            <w:tcW w:w="588" w:type="pct"/>
            <w:tcBorders>
              <w:top w:val="nil"/>
              <w:left w:val="nil"/>
              <w:bottom w:val="single" w:sz="4" w:space="0" w:color="F39200"/>
              <w:right w:val="nil"/>
            </w:tcBorders>
            <w:shd w:val="clear" w:color="auto" w:fill="auto"/>
            <w:vAlign w:val="center"/>
          </w:tcPr>
          <w:p w14:paraId="2E1F72BF" w14:textId="7CE35C00" w:rsidR="005A3801" w:rsidRPr="00E20D21" w:rsidRDefault="005A3801" w:rsidP="00F5454F">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36.233</w:t>
            </w:r>
          </w:p>
        </w:tc>
        <w:tc>
          <w:tcPr>
            <w:tcW w:w="588" w:type="pct"/>
            <w:tcBorders>
              <w:top w:val="nil"/>
              <w:left w:val="nil"/>
              <w:bottom w:val="single" w:sz="4" w:space="0" w:color="F39200"/>
              <w:right w:val="nil"/>
            </w:tcBorders>
            <w:shd w:val="clear" w:color="auto" w:fill="auto"/>
            <w:vAlign w:val="center"/>
          </w:tcPr>
          <w:p w14:paraId="0781CCC0" w14:textId="6BBE074E" w:rsidR="005A3801" w:rsidRPr="00E20D21" w:rsidRDefault="005A3801" w:rsidP="00F5454F">
            <w:pPr>
              <w:jc w:val="center"/>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w:t>
            </w:r>
          </w:p>
        </w:tc>
        <w:tc>
          <w:tcPr>
            <w:tcW w:w="589" w:type="pct"/>
            <w:tcBorders>
              <w:top w:val="nil"/>
              <w:left w:val="nil"/>
              <w:bottom w:val="single" w:sz="4" w:space="0" w:color="F39200"/>
              <w:right w:val="nil"/>
            </w:tcBorders>
            <w:shd w:val="clear" w:color="auto" w:fill="auto"/>
            <w:vAlign w:val="center"/>
          </w:tcPr>
          <w:p w14:paraId="1998A08B" w14:textId="384D5DAE" w:rsidR="005A3801" w:rsidRPr="00E20D21" w:rsidRDefault="005A3801" w:rsidP="00F5454F">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36.233</w:t>
            </w:r>
          </w:p>
        </w:tc>
      </w:tr>
      <w:tr w:rsidR="00F5454F" w:rsidRPr="00E20D21" w14:paraId="2BE01DA8" w14:textId="77777777" w:rsidTr="0033167A">
        <w:trPr>
          <w:trHeight w:val="288"/>
        </w:trPr>
        <w:tc>
          <w:tcPr>
            <w:tcW w:w="1471" w:type="pct"/>
            <w:tcBorders>
              <w:top w:val="single" w:sz="4" w:space="0" w:color="F39200"/>
              <w:left w:val="nil"/>
              <w:bottom w:val="single" w:sz="4" w:space="0" w:color="F39200"/>
              <w:right w:val="nil"/>
            </w:tcBorders>
            <w:shd w:val="clear" w:color="auto" w:fill="auto"/>
            <w:noWrap/>
            <w:vAlign w:val="center"/>
            <w:hideMark/>
          </w:tcPr>
          <w:p w14:paraId="189BFEE8" w14:textId="77777777" w:rsidR="005A3801" w:rsidRPr="00E20D21" w:rsidRDefault="005A3801" w:rsidP="005A3801">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 (líquido de provisão)</w:t>
            </w:r>
          </w:p>
        </w:tc>
        <w:tc>
          <w:tcPr>
            <w:tcW w:w="588" w:type="pct"/>
            <w:tcBorders>
              <w:top w:val="single" w:sz="4" w:space="0" w:color="F39200"/>
              <w:left w:val="nil"/>
              <w:bottom w:val="single" w:sz="4" w:space="0" w:color="F39200"/>
              <w:right w:val="nil"/>
            </w:tcBorders>
            <w:shd w:val="clear" w:color="auto" w:fill="auto"/>
            <w:noWrap/>
            <w:vAlign w:val="center"/>
          </w:tcPr>
          <w:p w14:paraId="338EC45A" w14:textId="50E13BEE" w:rsidR="005A3801" w:rsidRPr="00E20D21" w:rsidRDefault="00BF12B5" w:rsidP="00F5454F">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41.076.052</w:t>
            </w:r>
          </w:p>
        </w:tc>
        <w:tc>
          <w:tcPr>
            <w:tcW w:w="588" w:type="pct"/>
            <w:tcBorders>
              <w:top w:val="single" w:sz="4" w:space="0" w:color="F39200"/>
              <w:left w:val="nil"/>
              <w:bottom w:val="single" w:sz="4" w:space="0" w:color="F39200"/>
              <w:right w:val="nil"/>
            </w:tcBorders>
            <w:shd w:val="clear" w:color="auto" w:fill="auto"/>
            <w:noWrap/>
            <w:vAlign w:val="center"/>
          </w:tcPr>
          <w:p w14:paraId="070F81C6" w14:textId="6BC509B3" w:rsidR="005A3801" w:rsidRPr="00E20D21" w:rsidRDefault="00BF12B5" w:rsidP="00F5454F">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(10.449.791)</w:t>
            </w:r>
          </w:p>
        </w:tc>
        <w:tc>
          <w:tcPr>
            <w:tcW w:w="588" w:type="pct"/>
            <w:tcBorders>
              <w:top w:val="single" w:sz="4" w:space="0" w:color="F39200"/>
              <w:left w:val="nil"/>
              <w:bottom w:val="single" w:sz="4" w:space="0" w:color="F39200"/>
              <w:right w:val="nil"/>
            </w:tcBorders>
            <w:shd w:val="clear" w:color="auto" w:fill="auto"/>
            <w:noWrap/>
            <w:vAlign w:val="center"/>
          </w:tcPr>
          <w:p w14:paraId="78F22A92" w14:textId="2EC81AB7" w:rsidR="005A3801" w:rsidRPr="00E20D21" w:rsidRDefault="00BF12B5" w:rsidP="00F5454F">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30.626.261</w:t>
            </w:r>
          </w:p>
        </w:tc>
        <w:tc>
          <w:tcPr>
            <w:tcW w:w="588" w:type="pct"/>
            <w:tcBorders>
              <w:top w:val="single" w:sz="4" w:space="0" w:color="F39200"/>
              <w:left w:val="nil"/>
              <w:bottom w:val="single" w:sz="4" w:space="0" w:color="F39200"/>
              <w:right w:val="nil"/>
            </w:tcBorders>
            <w:shd w:val="clear" w:color="auto" w:fill="auto"/>
            <w:vAlign w:val="center"/>
          </w:tcPr>
          <w:p w14:paraId="7D58123B" w14:textId="71020DD8" w:rsidR="005A3801" w:rsidRPr="00E20D21" w:rsidRDefault="005A3801" w:rsidP="00F5454F">
            <w:pPr>
              <w:jc w:val="right"/>
              <w:rPr>
                <w:rFonts w:ascii="CAIXA Std Book" w:hAnsi="CAIXA Std Book" w:cs="Arial"/>
                <w:b/>
                <w:color w:val="005CA9"/>
                <w:sz w:val="16"/>
                <w:szCs w:val="16"/>
              </w:rPr>
            </w:pPr>
            <w:r w:rsidRPr="00E20D21">
              <w:rPr>
                <w:rFonts w:ascii="CAIXA Std Book" w:hAnsi="CAIXA Std Book" w:cs="Arial"/>
                <w:b/>
                <w:color w:val="005CA9"/>
                <w:sz w:val="16"/>
                <w:szCs w:val="16"/>
              </w:rPr>
              <w:t>41.415.355</w:t>
            </w:r>
          </w:p>
        </w:tc>
        <w:tc>
          <w:tcPr>
            <w:tcW w:w="588" w:type="pct"/>
            <w:tcBorders>
              <w:top w:val="single" w:sz="4" w:space="0" w:color="F39200"/>
              <w:left w:val="nil"/>
              <w:bottom w:val="single" w:sz="4" w:space="0" w:color="F39200"/>
              <w:right w:val="nil"/>
            </w:tcBorders>
            <w:shd w:val="clear" w:color="auto" w:fill="auto"/>
            <w:vAlign w:val="center"/>
          </w:tcPr>
          <w:p w14:paraId="36C0508E" w14:textId="2843ADCD" w:rsidR="005A3801" w:rsidRPr="00E20D21" w:rsidRDefault="005A3801" w:rsidP="00F5454F">
            <w:pPr>
              <w:jc w:val="right"/>
              <w:rPr>
                <w:rFonts w:ascii="CAIXA Std Book" w:hAnsi="CAIXA Std Book" w:cs="Arial"/>
                <w:b/>
                <w:color w:val="005CA9"/>
                <w:sz w:val="16"/>
                <w:szCs w:val="16"/>
              </w:rPr>
            </w:pPr>
            <w:r w:rsidRPr="00E20D21">
              <w:rPr>
                <w:rFonts w:ascii="CAIXA Std Book" w:hAnsi="CAIXA Std Book" w:cs="Arial"/>
                <w:b/>
                <w:color w:val="005CA9"/>
                <w:sz w:val="16"/>
                <w:szCs w:val="16"/>
              </w:rPr>
              <w:t>(9.363.775)</w:t>
            </w:r>
          </w:p>
        </w:tc>
        <w:tc>
          <w:tcPr>
            <w:tcW w:w="589" w:type="pct"/>
            <w:tcBorders>
              <w:top w:val="single" w:sz="4" w:space="0" w:color="F39200"/>
              <w:left w:val="nil"/>
              <w:bottom w:val="single" w:sz="4" w:space="0" w:color="F39200"/>
              <w:right w:val="nil"/>
            </w:tcBorders>
            <w:shd w:val="clear" w:color="auto" w:fill="auto"/>
            <w:noWrap/>
            <w:vAlign w:val="center"/>
          </w:tcPr>
          <w:p w14:paraId="0ADF1974" w14:textId="1680843D" w:rsidR="005A3801" w:rsidRPr="00E20D21" w:rsidRDefault="005A3801" w:rsidP="00F5454F">
            <w:pPr>
              <w:jc w:val="right"/>
              <w:rPr>
                <w:rFonts w:ascii="CAIXA Std Book" w:hAnsi="CAIXA Std Book" w:cs="Arial"/>
                <w:b/>
                <w:color w:val="005CA9"/>
                <w:sz w:val="16"/>
                <w:szCs w:val="16"/>
              </w:rPr>
            </w:pPr>
            <w:r w:rsidRPr="00E20D21">
              <w:rPr>
                <w:rFonts w:ascii="CAIXA Std Book" w:hAnsi="CAIXA Std Book" w:cs="Arial"/>
                <w:b/>
                <w:color w:val="005CA9"/>
                <w:sz w:val="16"/>
                <w:szCs w:val="16"/>
              </w:rPr>
              <w:t>32.051.579</w:t>
            </w:r>
          </w:p>
        </w:tc>
      </w:tr>
    </w:tbl>
    <w:p w14:paraId="209B28F7" w14:textId="1A630533" w:rsidR="007D2F06" w:rsidRPr="00E20D21" w:rsidRDefault="001F3E89" w:rsidP="008B2811">
      <w:pPr>
        <w:jc w:val="both"/>
        <w:rPr>
          <w:rFonts w:ascii="CAIXA Std Book" w:eastAsia="Times New Roman" w:hAnsi="CAIXA Std Book" w:cs="Arial"/>
          <w:color w:val="005CA9"/>
          <w:sz w:val="18"/>
          <w:szCs w:val="18"/>
        </w:rPr>
      </w:pPr>
      <w:r w:rsidRPr="00E20D21">
        <w:rPr>
          <w:rFonts w:ascii="CAIXA Std Book" w:hAnsi="CAIXA Std Book"/>
          <w:color w:val="005CA9"/>
          <w:sz w:val="16"/>
          <w:szCs w:val="16"/>
        </w:rPr>
        <w:t>(</w:t>
      </w:r>
      <w:r w:rsidR="005B129E" w:rsidRPr="00E20D21">
        <w:rPr>
          <w:rFonts w:ascii="CAIXA Std Book" w:hAnsi="CAIXA Std Book"/>
          <w:color w:val="005CA9"/>
          <w:sz w:val="16"/>
          <w:szCs w:val="16"/>
        </w:rPr>
        <w:t>1</w:t>
      </w:r>
      <w:r w:rsidR="007D2F06" w:rsidRPr="00E20D21">
        <w:rPr>
          <w:rFonts w:ascii="CAIXA Std Book" w:hAnsi="CAIXA Std Book"/>
          <w:color w:val="005CA9"/>
          <w:sz w:val="16"/>
          <w:szCs w:val="16"/>
        </w:rPr>
        <w:t>) Inclui o valor de negativa por multiplicidade de CADMUT no montante de R$</w:t>
      </w:r>
      <w:r w:rsidR="00B471CE" w:rsidRPr="00E20D21">
        <w:rPr>
          <w:rFonts w:ascii="CAIXA Std Book" w:hAnsi="CAIXA Std Book"/>
          <w:color w:val="005CA9"/>
          <w:sz w:val="16"/>
          <w:szCs w:val="16"/>
        </w:rPr>
        <w:t xml:space="preserve"> 3.698.199.317</w:t>
      </w:r>
      <w:r w:rsidR="007E6DA4" w:rsidRPr="00E20D21">
        <w:rPr>
          <w:rFonts w:ascii="CAIXA Std Book" w:hAnsi="CAIXA Std Book"/>
          <w:color w:val="005CA9"/>
          <w:sz w:val="16"/>
          <w:szCs w:val="16"/>
        </w:rPr>
        <w:t xml:space="preserve"> </w:t>
      </w:r>
      <w:r w:rsidR="005F61B2" w:rsidRPr="00E20D21">
        <w:rPr>
          <w:rFonts w:ascii="CAIXA Std Book" w:hAnsi="CAIXA Std Book"/>
          <w:color w:val="005CA9"/>
          <w:sz w:val="16"/>
          <w:szCs w:val="16"/>
        </w:rPr>
        <w:t>(</w:t>
      </w:r>
      <w:r w:rsidR="003548DB" w:rsidRPr="00E20D21">
        <w:rPr>
          <w:rFonts w:ascii="CAIXA Std Book" w:hAnsi="CAIXA Std Book"/>
          <w:color w:val="005CA9"/>
          <w:sz w:val="16"/>
          <w:szCs w:val="16"/>
        </w:rPr>
        <w:t>31/12/202</w:t>
      </w:r>
      <w:r w:rsidR="00A42714" w:rsidRPr="00E20D21">
        <w:rPr>
          <w:rFonts w:ascii="CAIXA Std Book" w:hAnsi="CAIXA Std Book"/>
          <w:color w:val="005CA9"/>
          <w:sz w:val="16"/>
          <w:szCs w:val="16"/>
        </w:rPr>
        <w:t>3</w:t>
      </w:r>
      <w:r w:rsidR="003548DB" w:rsidRPr="00E20D21">
        <w:rPr>
          <w:rFonts w:ascii="CAIXA Std Book" w:hAnsi="CAIXA Std Book"/>
          <w:color w:val="005CA9"/>
          <w:sz w:val="16"/>
          <w:szCs w:val="16"/>
        </w:rPr>
        <w:t xml:space="preserve"> - </w:t>
      </w:r>
      <w:r w:rsidR="005F61B2" w:rsidRPr="00E20D21">
        <w:rPr>
          <w:rFonts w:ascii="CAIXA Std Book" w:hAnsi="CAIXA Std Book"/>
          <w:color w:val="005CA9"/>
          <w:sz w:val="16"/>
          <w:szCs w:val="16"/>
        </w:rPr>
        <w:t xml:space="preserve">R$ </w:t>
      </w:r>
      <w:r w:rsidR="00F42AB8" w:rsidRPr="00E20D21">
        <w:rPr>
          <w:rFonts w:ascii="CAIXA Std Book" w:hAnsi="CAIXA Std Book"/>
          <w:color w:val="005CA9"/>
          <w:sz w:val="16"/>
          <w:szCs w:val="16"/>
        </w:rPr>
        <w:t>4.249.366.151</w:t>
      </w:r>
      <w:r w:rsidR="003548DB" w:rsidRPr="00E20D21">
        <w:rPr>
          <w:rFonts w:ascii="CAIXA Std Book" w:hAnsi="CAIXA Std Book"/>
          <w:color w:val="005CA9"/>
          <w:sz w:val="16"/>
          <w:szCs w:val="16"/>
        </w:rPr>
        <w:t>)</w:t>
      </w:r>
      <w:r w:rsidR="007E6DA4" w:rsidRPr="00E20D21">
        <w:rPr>
          <w:rFonts w:ascii="CAIXA Std Book" w:hAnsi="CAIXA Std Book"/>
          <w:color w:val="005CA9"/>
          <w:sz w:val="16"/>
          <w:szCs w:val="16"/>
        </w:rPr>
        <w:t xml:space="preserve"> </w:t>
      </w:r>
      <w:r w:rsidR="007D2F06" w:rsidRPr="00E20D21">
        <w:rPr>
          <w:rFonts w:ascii="CAIXA Std Book" w:hAnsi="CAIXA Std Book"/>
          <w:color w:val="005CA9"/>
          <w:sz w:val="16"/>
          <w:szCs w:val="16"/>
        </w:rPr>
        <w:t>líquido de provisão. O CADMUT é o cadastro para registro das informações dos contratos de financiamento habitacional, ativos e inativos, firmados no âmbito do Sistema Financeiro da Habitação - SFH e dos programas habitacionais e sociais do governo federal, conforme disposto na Lei nº 10.150, de 21/12/2000.</w:t>
      </w:r>
    </w:p>
    <w:p w14:paraId="67FD890D" w14:textId="118E834F" w:rsidR="00E3677A" w:rsidRPr="00E20D21" w:rsidRDefault="005664DE" w:rsidP="005664DE">
      <w:pPr>
        <w:spacing w:before="240" w:after="120"/>
        <w:jc w:val="both"/>
        <w:rPr>
          <w:rFonts w:ascii="CAIXA Std Book" w:hAnsi="CAIXA Std Book"/>
          <w:color w:val="005CA9"/>
          <w:sz w:val="20"/>
          <w:szCs w:val="20"/>
        </w:rPr>
      </w:pPr>
      <w:r w:rsidRPr="00E20D21">
        <w:rPr>
          <w:rFonts w:ascii="CAIXA Std Book" w:hAnsi="CAIXA Std Book"/>
          <w:color w:val="005CA9"/>
          <w:sz w:val="20"/>
          <w:szCs w:val="20"/>
        </w:rPr>
        <w:t>Os contratos a serem ressarcidos pelo FCVS rendem juros de até 6,17% ao ano e são atualizados monetariamente de acordo com a variação da Taxa Referencial de Juros (TR)</w:t>
      </w:r>
      <w:r w:rsidR="007368C7" w:rsidRPr="00E20D21">
        <w:rPr>
          <w:rFonts w:ascii="CAIXA Std Book" w:hAnsi="CAIXA Std Book"/>
          <w:color w:val="005CA9"/>
          <w:sz w:val="20"/>
          <w:szCs w:val="20"/>
        </w:rPr>
        <w:t xml:space="preserve"> </w:t>
      </w:r>
      <w:r w:rsidR="009E4F45" w:rsidRPr="00E20D21">
        <w:rPr>
          <w:rFonts w:ascii="CAIXA Std Book" w:hAnsi="CAIXA Std Book"/>
          <w:color w:val="005CA9"/>
          <w:sz w:val="20"/>
          <w:szCs w:val="20"/>
        </w:rPr>
        <w:t xml:space="preserve">de acordo com a </w:t>
      </w:r>
      <w:r w:rsidR="00E967D9" w:rsidRPr="00E20D21">
        <w:rPr>
          <w:rFonts w:ascii="CAIXA Std Book" w:hAnsi="CAIXA Std Book"/>
          <w:color w:val="005CA9"/>
          <w:sz w:val="20"/>
          <w:szCs w:val="20"/>
        </w:rPr>
        <w:t xml:space="preserve">Lei nº 10.150, de </w:t>
      </w:r>
      <w:r w:rsidR="00D43546" w:rsidRPr="00E20D21">
        <w:rPr>
          <w:rFonts w:ascii="CAIXA Std Book" w:hAnsi="CAIXA Std Book"/>
          <w:color w:val="005CA9"/>
          <w:sz w:val="20"/>
          <w:szCs w:val="20"/>
        </w:rPr>
        <w:t>21</w:t>
      </w:r>
      <w:r w:rsidR="00E967D9" w:rsidRPr="00E20D21">
        <w:rPr>
          <w:rFonts w:ascii="CAIXA Std Book" w:hAnsi="CAIXA Std Book"/>
          <w:color w:val="005CA9"/>
          <w:sz w:val="20"/>
          <w:szCs w:val="20"/>
        </w:rPr>
        <w:t xml:space="preserve"> de </w:t>
      </w:r>
      <w:r w:rsidR="00D43546" w:rsidRPr="00E20D21">
        <w:rPr>
          <w:rFonts w:ascii="CAIXA Std Book" w:hAnsi="CAIXA Std Book"/>
          <w:color w:val="005CA9"/>
          <w:sz w:val="20"/>
          <w:szCs w:val="20"/>
        </w:rPr>
        <w:t xml:space="preserve">dezembro de 2000, alterada pela Lei nº </w:t>
      </w:r>
      <w:r w:rsidR="001500DD" w:rsidRPr="00E20D21">
        <w:rPr>
          <w:rFonts w:ascii="CAIXA Std Book" w:hAnsi="CAIXA Std Book"/>
          <w:color w:val="005CA9"/>
          <w:sz w:val="20"/>
          <w:szCs w:val="20"/>
        </w:rPr>
        <w:t>13.932</w:t>
      </w:r>
      <w:r w:rsidR="00D43546" w:rsidRPr="00E20D21">
        <w:rPr>
          <w:rFonts w:ascii="CAIXA Std Book" w:hAnsi="CAIXA Std Book"/>
          <w:color w:val="005CA9"/>
          <w:sz w:val="20"/>
          <w:szCs w:val="20"/>
        </w:rPr>
        <w:t xml:space="preserve">, de </w:t>
      </w:r>
      <w:r w:rsidR="008D2146" w:rsidRPr="00E20D21">
        <w:rPr>
          <w:rFonts w:ascii="CAIXA Std Book" w:hAnsi="CAIXA Std Book"/>
          <w:color w:val="005CA9"/>
          <w:sz w:val="20"/>
          <w:szCs w:val="20"/>
        </w:rPr>
        <w:t>11</w:t>
      </w:r>
      <w:r w:rsidR="00D43546" w:rsidRPr="00E20D21">
        <w:rPr>
          <w:rFonts w:ascii="CAIXA Std Book" w:hAnsi="CAIXA Std Book"/>
          <w:color w:val="005CA9"/>
          <w:sz w:val="20"/>
          <w:szCs w:val="20"/>
        </w:rPr>
        <w:t xml:space="preserve"> de dezembro de </w:t>
      </w:r>
      <w:r w:rsidR="008D2146" w:rsidRPr="00E20D21">
        <w:rPr>
          <w:rFonts w:ascii="CAIXA Std Book" w:hAnsi="CAIXA Std Book"/>
          <w:color w:val="005CA9"/>
          <w:sz w:val="20"/>
          <w:szCs w:val="20"/>
        </w:rPr>
        <w:t>2019</w:t>
      </w:r>
      <w:r w:rsidRPr="00E20D21">
        <w:rPr>
          <w:rFonts w:ascii="CAIXA Std Book" w:hAnsi="CAIXA Std Book"/>
          <w:color w:val="005CA9"/>
          <w:sz w:val="20"/>
          <w:szCs w:val="20"/>
        </w:rPr>
        <w:t>. A efetiva realização desses créditos depende da aderência a um conjunto de normas e procedimentos definidos em regulamentação emitida pelo FCVS.</w:t>
      </w:r>
    </w:p>
    <w:p w14:paraId="296B3E6A" w14:textId="5112932C" w:rsidR="005B5D77" w:rsidRPr="00E20D21" w:rsidRDefault="0023305D" w:rsidP="005664DE">
      <w:pPr>
        <w:spacing w:before="240" w:after="120"/>
        <w:jc w:val="both"/>
        <w:rPr>
          <w:rFonts w:ascii="CAIXA Std Book" w:hAnsi="CAIXA Std Book"/>
          <w:color w:val="005CA9"/>
          <w:sz w:val="20"/>
          <w:szCs w:val="20"/>
        </w:rPr>
      </w:pPr>
      <w:r w:rsidRPr="00E20D21">
        <w:rPr>
          <w:rFonts w:ascii="CAIXA Std Book" w:hAnsi="CAIXA Std Book"/>
          <w:color w:val="005CA9"/>
          <w:sz w:val="20"/>
          <w:szCs w:val="20"/>
        </w:rPr>
        <w:t xml:space="preserve">A apuração da provisão para o ativo do FCVS é realizada por metodologia estatística, atualizada em janeiro de 2024, e baseada em conceitos de risco operacional, uma vez que a novação dos créditos depende da documentação dos contratos, </w:t>
      </w:r>
      <w:r w:rsidR="00D53EA2" w:rsidRPr="00E20D21">
        <w:rPr>
          <w:rFonts w:ascii="CAIXA Std Book" w:hAnsi="CAIXA Std Book"/>
          <w:color w:val="005CA9"/>
          <w:sz w:val="20"/>
          <w:szCs w:val="20"/>
        </w:rPr>
        <w:t xml:space="preserve">e </w:t>
      </w:r>
      <w:r w:rsidRPr="00E20D21">
        <w:rPr>
          <w:rFonts w:ascii="CAIXA Std Book" w:hAnsi="CAIXA Std Book"/>
          <w:color w:val="005CA9"/>
          <w:sz w:val="20"/>
          <w:szCs w:val="20"/>
        </w:rPr>
        <w:t>não há processo de crédito envolvido, ou seja, a constituição da provisão é para fazer frente às perdas esperadas decorrentes do processo de novação dos contratos cobertos pelo FCVS.</w:t>
      </w:r>
    </w:p>
    <w:p w14:paraId="23501DCE" w14:textId="77777777" w:rsidR="00E3677A" w:rsidRPr="00E20D21" w:rsidRDefault="00E3677A">
      <w:pPr>
        <w:rPr>
          <w:rFonts w:ascii="CAIXA Std Book" w:hAnsi="CAIXA Std Book"/>
          <w:color w:val="005CA9"/>
          <w:sz w:val="20"/>
          <w:szCs w:val="20"/>
        </w:rPr>
      </w:pPr>
      <w:r w:rsidRPr="00E20D21">
        <w:rPr>
          <w:rFonts w:ascii="CAIXA Std Book" w:hAnsi="CAIXA Std Book"/>
          <w:color w:val="005CA9"/>
          <w:sz w:val="20"/>
          <w:szCs w:val="20"/>
        </w:rPr>
        <w:br w:type="page"/>
      </w:r>
    </w:p>
    <w:p w14:paraId="1DCF6FCD" w14:textId="330C5BAD" w:rsidR="005664DE" w:rsidRPr="00E20D21" w:rsidRDefault="005664DE" w:rsidP="00461EA7">
      <w:pPr>
        <w:pStyle w:val="PargrafodaLista"/>
        <w:numPr>
          <w:ilvl w:val="0"/>
          <w:numId w:val="24"/>
        </w:numPr>
        <w:spacing w:before="360" w:after="240"/>
        <w:ind w:left="567" w:hanging="567"/>
        <w:contextualSpacing w:val="0"/>
        <w:rPr>
          <w:rFonts w:ascii="CAIXA Std Book" w:hAnsi="CAIXA Std Book"/>
          <w:b/>
          <w:color w:val="005CA9"/>
          <w:sz w:val="20"/>
          <w:szCs w:val="20"/>
        </w:rPr>
      </w:pPr>
      <w:bookmarkStart w:id="34" w:name="_Hlk39157449"/>
      <w:r w:rsidRPr="00E20D21">
        <w:rPr>
          <w:rFonts w:ascii="CAIXA Std Book" w:hAnsi="CAIXA Std Book"/>
          <w:b/>
          <w:color w:val="005CA9"/>
          <w:sz w:val="20"/>
          <w:szCs w:val="20"/>
        </w:rPr>
        <w:lastRenderedPageBreak/>
        <w:t>Carteira de câmbio</w:t>
      </w:r>
    </w:p>
    <w:tbl>
      <w:tblPr>
        <w:tblW w:w="5000" w:type="pct"/>
        <w:tblCellMar>
          <w:left w:w="0" w:type="dxa"/>
          <w:right w:w="28" w:type="dxa"/>
        </w:tblCellMar>
        <w:tblLook w:val="04A0" w:firstRow="1" w:lastRow="0" w:firstColumn="1" w:lastColumn="0" w:noHBand="0" w:noVBand="1"/>
      </w:tblPr>
      <w:tblGrid>
        <w:gridCol w:w="6496"/>
        <w:gridCol w:w="1569"/>
        <w:gridCol w:w="1573"/>
      </w:tblGrid>
      <w:tr w:rsidR="00A47C19" w:rsidRPr="00E20D21" w14:paraId="4E280E38" w14:textId="77777777" w:rsidTr="004B1B5B">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bookmarkEnd w:id="34"/>
          <w:p w14:paraId="3A00DCEC" w14:textId="23A1277C" w:rsidR="005664DE" w:rsidRPr="00E20D21" w:rsidRDefault="005664DE" w:rsidP="006D093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 xml:space="preserve">CONSOLIDADO </w:t>
            </w:r>
          </w:p>
        </w:tc>
      </w:tr>
      <w:tr w:rsidR="00A47C19" w:rsidRPr="00E20D21" w14:paraId="3839BA9F" w14:textId="77777777" w:rsidTr="000A3882">
        <w:trPr>
          <w:trHeight w:val="283"/>
        </w:trPr>
        <w:tc>
          <w:tcPr>
            <w:tcW w:w="3370" w:type="pct"/>
            <w:tcBorders>
              <w:top w:val="nil"/>
              <w:left w:val="nil"/>
              <w:bottom w:val="single" w:sz="4" w:space="0" w:color="F39200"/>
              <w:right w:val="nil"/>
            </w:tcBorders>
            <w:shd w:val="clear" w:color="auto" w:fill="auto"/>
            <w:noWrap/>
            <w:vAlign w:val="center"/>
            <w:hideMark/>
          </w:tcPr>
          <w:p w14:paraId="71B654EE" w14:textId="77777777" w:rsidR="005664DE" w:rsidRPr="00E20D21" w:rsidRDefault="005664DE" w:rsidP="006D093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814" w:type="pct"/>
            <w:tcBorders>
              <w:top w:val="nil"/>
              <w:left w:val="nil"/>
              <w:bottom w:val="single" w:sz="4" w:space="0" w:color="F39200"/>
              <w:right w:val="nil"/>
            </w:tcBorders>
            <w:shd w:val="clear" w:color="auto" w:fill="auto"/>
            <w:noWrap/>
            <w:vAlign w:val="center"/>
            <w:hideMark/>
          </w:tcPr>
          <w:p w14:paraId="7AE51F73" w14:textId="6266D573" w:rsidR="005664DE" w:rsidRPr="00E20D21" w:rsidRDefault="007709AB" w:rsidP="006D093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816" w:type="pct"/>
            <w:tcBorders>
              <w:top w:val="nil"/>
              <w:left w:val="nil"/>
              <w:bottom w:val="single" w:sz="4" w:space="0" w:color="F39200"/>
              <w:right w:val="nil"/>
            </w:tcBorders>
            <w:shd w:val="clear" w:color="auto" w:fill="auto"/>
            <w:noWrap/>
            <w:vAlign w:val="center"/>
            <w:hideMark/>
          </w:tcPr>
          <w:p w14:paraId="42F47BAF" w14:textId="203CD099" w:rsidR="005664DE" w:rsidRPr="00E20D21" w:rsidRDefault="00802404" w:rsidP="006D093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w:t>
            </w:r>
            <w:r w:rsidR="007709AB" w:rsidRPr="00E20D21">
              <w:rPr>
                <w:rFonts w:ascii="CAIXA Std Book" w:hAnsi="CAIXA Std Book" w:cs="MS Gothic"/>
                <w:b/>
                <w:color w:val="005CA9"/>
                <w:sz w:val="18"/>
                <w:szCs w:val="18"/>
              </w:rPr>
              <w:t>3</w:t>
            </w:r>
          </w:p>
        </w:tc>
      </w:tr>
      <w:tr w:rsidR="00A47C19" w:rsidRPr="00E20D21" w14:paraId="059D2EDD"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D8E4295" w14:textId="749038B7" w:rsidR="008108AC" w:rsidRPr="00E20D21" w:rsidRDefault="008108AC" w:rsidP="008108AC">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Ativ</w:t>
            </w:r>
            <w:r w:rsidR="00C827C0" w:rsidRPr="00E20D21">
              <w:rPr>
                <w:rFonts w:ascii="CAIXA Std Book" w:hAnsi="CAIXA Std Book" w:cs="MS Gothic"/>
                <w:b/>
                <w:color w:val="005CA9"/>
                <w:sz w:val="18"/>
                <w:szCs w:val="18"/>
              </w:rPr>
              <w:t>o</w:t>
            </w:r>
          </w:p>
        </w:tc>
      </w:tr>
      <w:tr w:rsidR="005A3801" w:rsidRPr="00E20D21" w14:paraId="1B8ACA16" w14:textId="77777777" w:rsidTr="005A3801">
        <w:trPr>
          <w:trHeight w:val="283"/>
        </w:trPr>
        <w:tc>
          <w:tcPr>
            <w:tcW w:w="3370" w:type="pct"/>
            <w:tcBorders>
              <w:top w:val="nil"/>
              <w:left w:val="nil"/>
              <w:bottom w:val="nil"/>
              <w:right w:val="nil"/>
            </w:tcBorders>
            <w:shd w:val="clear" w:color="auto" w:fill="auto"/>
            <w:noWrap/>
            <w:vAlign w:val="center"/>
            <w:hideMark/>
          </w:tcPr>
          <w:p w14:paraId="3C872B7B" w14:textId="77777777"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Câmbio comprado a liquidar – moeda estrangeira</w:t>
            </w:r>
          </w:p>
        </w:tc>
        <w:tc>
          <w:tcPr>
            <w:tcW w:w="814" w:type="pct"/>
            <w:tcBorders>
              <w:top w:val="nil"/>
              <w:left w:val="nil"/>
              <w:bottom w:val="nil"/>
              <w:right w:val="nil"/>
            </w:tcBorders>
            <w:shd w:val="clear" w:color="auto" w:fill="auto"/>
            <w:noWrap/>
            <w:vAlign w:val="center"/>
          </w:tcPr>
          <w:p w14:paraId="289BE2BB" w14:textId="2FA1D09C" w:rsidR="005A3801" w:rsidRPr="00E20D21" w:rsidRDefault="00C2469D" w:rsidP="00C2469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1.894.980</w:t>
            </w:r>
          </w:p>
        </w:tc>
        <w:tc>
          <w:tcPr>
            <w:tcW w:w="816" w:type="pct"/>
            <w:tcBorders>
              <w:top w:val="nil"/>
              <w:left w:val="nil"/>
              <w:bottom w:val="nil"/>
              <w:right w:val="nil"/>
            </w:tcBorders>
            <w:shd w:val="clear" w:color="auto" w:fill="auto"/>
            <w:noWrap/>
            <w:vAlign w:val="center"/>
          </w:tcPr>
          <w:p w14:paraId="7F55D9A0" w14:textId="6C03DAE4"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Unicode MS"/>
                <w:color w:val="005CA9"/>
                <w:sz w:val="18"/>
                <w:szCs w:val="18"/>
              </w:rPr>
              <w:t>1.813.106</w:t>
            </w:r>
          </w:p>
        </w:tc>
      </w:tr>
      <w:tr w:rsidR="005A3801" w:rsidRPr="00E20D21" w14:paraId="587A56A4" w14:textId="77777777" w:rsidTr="005A3801">
        <w:trPr>
          <w:trHeight w:val="283"/>
        </w:trPr>
        <w:tc>
          <w:tcPr>
            <w:tcW w:w="3370" w:type="pct"/>
            <w:tcBorders>
              <w:top w:val="nil"/>
              <w:left w:val="nil"/>
              <w:bottom w:val="nil"/>
              <w:right w:val="nil"/>
            </w:tcBorders>
            <w:shd w:val="clear" w:color="auto" w:fill="auto"/>
            <w:noWrap/>
            <w:vAlign w:val="center"/>
          </w:tcPr>
          <w:p w14:paraId="7BB19064" w14:textId="4263AF59"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Rendas a receber de adiantamentos concedidos - ACC/ACE (Nota 9 (a))</w:t>
            </w:r>
          </w:p>
        </w:tc>
        <w:tc>
          <w:tcPr>
            <w:tcW w:w="814" w:type="pct"/>
            <w:tcBorders>
              <w:top w:val="nil"/>
              <w:left w:val="nil"/>
              <w:bottom w:val="nil"/>
              <w:right w:val="nil"/>
            </w:tcBorders>
            <w:shd w:val="clear" w:color="auto" w:fill="auto"/>
            <w:noWrap/>
            <w:vAlign w:val="center"/>
          </w:tcPr>
          <w:p w14:paraId="65FD39F2" w14:textId="60F57E21" w:rsidR="005A3801" w:rsidRPr="00E20D21" w:rsidRDefault="00C2469D" w:rsidP="00C2469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81.708</w:t>
            </w:r>
          </w:p>
        </w:tc>
        <w:tc>
          <w:tcPr>
            <w:tcW w:w="816" w:type="pct"/>
            <w:tcBorders>
              <w:top w:val="nil"/>
              <w:left w:val="nil"/>
              <w:bottom w:val="nil"/>
              <w:right w:val="nil"/>
            </w:tcBorders>
            <w:shd w:val="clear" w:color="auto" w:fill="auto"/>
            <w:noWrap/>
            <w:vAlign w:val="center"/>
          </w:tcPr>
          <w:p w14:paraId="3EA4EF3A" w14:textId="488DAD73" w:rsidR="005A3801" w:rsidRPr="00E20D21" w:rsidRDefault="005A3801" w:rsidP="005A3801">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77.160</w:t>
            </w:r>
          </w:p>
        </w:tc>
      </w:tr>
      <w:tr w:rsidR="005A3801" w:rsidRPr="00E20D21" w14:paraId="1DE3CAA7" w14:textId="77777777" w:rsidTr="005A3801">
        <w:trPr>
          <w:trHeight w:val="283"/>
        </w:trPr>
        <w:tc>
          <w:tcPr>
            <w:tcW w:w="3370" w:type="pct"/>
            <w:tcBorders>
              <w:top w:val="nil"/>
              <w:left w:val="nil"/>
              <w:bottom w:val="nil"/>
              <w:right w:val="nil"/>
            </w:tcBorders>
            <w:shd w:val="clear" w:color="auto" w:fill="auto"/>
            <w:noWrap/>
            <w:vAlign w:val="center"/>
          </w:tcPr>
          <w:p w14:paraId="36776451" w14:textId="054AC5B9"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Direitos sobre vendas de câmbio – moeda nacional</w:t>
            </w:r>
          </w:p>
        </w:tc>
        <w:tc>
          <w:tcPr>
            <w:tcW w:w="814" w:type="pct"/>
            <w:tcBorders>
              <w:top w:val="nil"/>
              <w:left w:val="nil"/>
              <w:bottom w:val="nil"/>
              <w:right w:val="nil"/>
            </w:tcBorders>
            <w:shd w:val="clear" w:color="auto" w:fill="auto"/>
            <w:noWrap/>
            <w:vAlign w:val="center"/>
          </w:tcPr>
          <w:p w14:paraId="1D50455B" w14:textId="752F47D3" w:rsidR="005A3801" w:rsidRPr="00E20D21" w:rsidRDefault="00C2469D" w:rsidP="00C2469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42.588</w:t>
            </w:r>
          </w:p>
        </w:tc>
        <w:tc>
          <w:tcPr>
            <w:tcW w:w="816" w:type="pct"/>
            <w:tcBorders>
              <w:top w:val="nil"/>
              <w:left w:val="nil"/>
              <w:bottom w:val="nil"/>
              <w:right w:val="nil"/>
            </w:tcBorders>
            <w:shd w:val="clear" w:color="auto" w:fill="auto"/>
            <w:noWrap/>
            <w:vAlign w:val="center"/>
          </w:tcPr>
          <w:p w14:paraId="2B8163F0" w14:textId="0E797CD5" w:rsidR="005A3801" w:rsidRPr="00E20D21" w:rsidRDefault="005A3801" w:rsidP="005A3801">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14.894</w:t>
            </w:r>
          </w:p>
        </w:tc>
      </w:tr>
      <w:tr w:rsidR="005A3801" w:rsidRPr="00E20D21" w14:paraId="054E7021" w14:textId="77777777" w:rsidTr="005A3801">
        <w:trPr>
          <w:trHeight w:val="283"/>
        </w:trPr>
        <w:tc>
          <w:tcPr>
            <w:tcW w:w="3370" w:type="pct"/>
            <w:tcBorders>
              <w:top w:val="nil"/>
              <w:left w:val="nil"/>
              <w:bottom w:val="nil"/>
              <w:right w:val="nil"/>
            </w:tcBorders>
            <w:shd w:val="clear" w:color="auto" w:fill="auto"/>
            <w:noWrap/>
            <w:vAlign w:val="center"/>
            <w:hideMark/>
          </w:tcPr>
          <w:p w14:paraId="4F40DE9B" w14:textId="77777777"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 xml:space="preserve">(-) Adiantamentos recebidos – moeda nacional </w:t>
            </w:r>
          </w:p>
        </w:tc>
        <w:tc>
          <w:tcPr>
            <w:tcW w:w="814" w:type="pct"/>
            <w:tcBorders>
              <w:top w:val="nil"/>
              <w:left w:val="nil"/>
              <w:bottom w:val="nil"/>
              <w:right w:val="nil"/>
            </w:tcBorders>
            <w:shd w:val="clear" w:color="auto" w:fill="auto"/>
            <w:noWrap/>
            <w:vAlign w:val="center"/>
          </w:tcPr>
          <w:p w14:paraId="06A8AF96" w14:textId="31E353D4" w:rsidR="005A3801" w:rsidRPr="00E20D21" w:rsidRDefault="00C2469D" w:rsidP="00C2469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(6.511)</w:t>
            </w:r>
          </w:p>
        </w:tc>
        <w:tc>
          <w:tcPr>
            <w:tcW w:w="816" w:type="pct"/>
            <w:tcBorders>
              <w:top w:val="nil"/>
              <w:left w:val="nil"/>
              <w:bottom w:val="nil"/>
              <w:right w:val="nil"/>
            </w:tcBorders>
            <w:shd w:val="clear" w:color="auto" w:fill="auto"/>
            <w:noWrap/>
            <w:vAlign w:val="center"/>
          </w:tcPr>
          <w:p w14:paraId="1064C7B7" w14:textId="2E494843"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Unicode MS"/>
                <w:color w:val="005CA9"/>
                <w:sz w:val="18"/>
                <w:szCs w:val="18"/>
              </w:rPr>
              <w:t>(12.353)</w:t>
            </w:r>
          </w:p>
        </w:tc>
      </w:tr>
      <w:tr w:rsidR="005A3801" w:rsidRPr="00E20D21" w14:paraId="2CA1A5CC" w14:textId="77777777" w:rsidTr="005A3801">
        <w:trPr>
          <w:trHeight w:val="283"/>
        </w:trPr>
        <w:tc>
          <w:tcPr>
            <w:tcW w:w="3370" w:type="pct"/>
            <w:tcBorders>
              <w:top w:val="nil"/>
              <w:left w:val="nil"/>
              <w:bottom w:val="nil"/>
              <w:right w:val="nil"/>
            </w:tcBorders>
            <w:shd w:val="clear" w:color="auto" w:fill="auto"/>
            <w:noWrap/>
            <w:vAlign w:val="center"/>
          </w:tcPr>
          <w:p w14:paraId="683385A8" w14:textId="66500212"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 Adiantamentos recebidos – moeda estrangeira</w:t>
            </w:r>
          </w:p>
        </w:tc>
        <w:tc>
          <w:tcPr>
            <w:tcW w:w="814" w:type="pct"/>
            <w:tcBorders>
              <w:top w:val="nil"/>
              <w:left w:val="nil"/>
              <w:bottom w:val="nil"/>
              <w:right w:val="nil"/>
            </w:tcBorders>
            <w:shd w:val="clear" w:color="auto" w:fill="auto"/>
            <w:noWrap/>
            <w:vAlign w:val="center"/>
          </w:tcPr>
          <w:p w14:paraId="1B9B5ED7" w14:textId="7913AE53" w:rsidR="005A3801" w:rsidRPr="00E20D21" w:rsidRDefault="00C2469D" w:rsidP="00C2469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(215)</w:t>
            </w:r>
          </w:p>
        </w:tc>
        <w:tc>
          <w:tcPr>
            <w:tcW w:w="816" w:type="pct"/>
            <w:tcBorders>
              <w:top w:val="nil"/>
              <w:left w:val="nil"/>
              <w:bottom w:val="nil"/>
              <w:right w:val="nil"/>
            </w:tcBorders>
            <w:shd w:val="clear" w:color="auto" w:fill="auto"/>
            <w:noWrap/>
            <w:vAlign w:val="center"/>
          </w:tcPr>
          <w:p w14:paraId="32922BA8" w14:textId="0180D74D"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Unicode MS"/>
                <w:color w:val="005CA9"/>
                <w:sz w:val="18"/>
                <w:szCs w:val="18"/>
              </w:rPr>
              <w:t>(490)</w:t>
            </w:r>
          </w:p>
        </w:tc>
      </w:tr>
      <w:tr w:rsidR="005A3801" w:rsidRPr="00E20D21" w14:paraId="1CDC402E" w14:textId="77777777" w:rsidTr="005A3801">
        <w:trPr>
          <w:trHeight w:val="283"/>
        </w:trPr>
        <w:tc>
          <w:tcPr>
            <w:tcW w:w="3370" w:type="pct"/>
            <w:tcBorders>
              <w:top w:val="nil"/>
              <w:left w:val="nil"/>
              <w:bottom w:val="single" w:sz="4" w:space="0" w:color="F39200"/>
              <w:right w:val="nil"/>
            </w:tcBorders>
            <w:shd w:val="clear" w:color="auto" w:fill="auto"/>
            <w:noWrap/>
            <w:vAlign w:val="center"/>
            <w:hideMark/>
          </w:tcPr>
          <w:p w14:paraId="2D3061C1" w14:textId="77777777" w:rsidR="005A3801" w:rsidRPr="00E20D21" w:rsidRDefault="005A3801" w:rsidP="005A3801">
            <w:pPr>
              <w:rPr>
                <w:rFonts w:ascii="CAIXA Std Book" w:hAnsi="CAIXA Std Book" w:cs="MS Gothic"/>
                <w:b/>
                <w:color w:val="005CA9"/>
                <w:sz w:val="18"/>
                <w:szCs w:val="18"/>
              </w:rPr>
            </w:pPr>
            <w:r w:rsidRPr="00E20D21">
              <w:rPr>
                <w:rFonts w:ascii="CAIXA Std Book" w:hAnsi="CAIXA Std Book" w:cs="MS Gothic"/>
                <w:b/>
                <w:color w:val="005CA9"/>
                <w:sz w:val="18"/>
                <w:szCs w:val="18"/>
              </w:rPr>
              <w:t>Ativo circulante</w:t>
            </w:r>
          </w:p>
        </w:tc>
        <w:tc>
          <w:tcPr>
            <w:tcW w:w="814" w:type="pct"/>
            <w:tcBorders>
              <w:top w:val="nil"/>
              <w:left w:val="nil"/>
              <w:bottom w:val="single" w:sz="4" w:space="0" w:color="F39200"/>
              <w:right w:val="nil"/>
            </w:tcBorders>
            <w:shd w:val="clear" w:color="auto" w:fill="auto"/>
            <w:noWrap/>
            <w:vAlign w:val="center"/>
          </w:tcPr>
          <w:p w14:paraId="3422F2B2" w14:textId="2AC956FE" w:rsidR="005A3801" w:rsidRPr="00E20D21" w:rsidRDefault="00C2469D" w:rsidP="00C2469D">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2.012.550</w:t>
            </w:r>
          </w:p>
        </w:tc>
        <w:tc>
          <w:tcPr>
            <w:tcW w:w="816" w:type="pct"/>
            <w:tcBorders>
              <w:top w:val="nil"/>
              <w:left w:val="nil"/>
              <w:bottom w:val="single" w:sz="4" w:space="0" w:color="F39200"/>
              <w:right w:val="nil"/>
            </w:tcBorders>
            <w:shd w:val="clear" w:color="auto" w:fill="auto"/>
            <w:noWrap/>
            <w:vAlign w:val="center"/>
          </w:tcPr>
          <w:p w14:paraId="3BC55860" w14:textId="424580CB" w:rsidR="005A3801" w:rsidRPr="00E20D21" w:rsidRDefault="005A3801" w:rsidP="005A3801">
            <w:pPr>
              <w:jc w:val="right"/>
              <w:rPr>
                <w:rFonts w:ascii="CAIXA Std Book" w:hAnsi="CAIXA Std Book" w:cs="Arial Unicode MS"/>
                <w:b/>
                <w:color w:val="005CA9"/>
                <w:sz w:val="18"/>
                <w:szCs w:val="18"/>
              </w:rPr>
            </w:pPr>
            <w:r w:rsidRPr="00E20D21">
              <w:rPr>
                <w:rFonts w:ascii="CAIXA Std Book" w:hAnsi="CAIXA Std Book" w:cs="Arial Unicode MS"/>
                <w:b/>
                <w:color w:val="005CA9"/>
                <w:sz w:val="18"/>
                <w:szCs w:val="18"/>
              </w:rPr>
              <w:t>1.892.317</w:t>
            </w:r>
          </w:p>
        </w:tc>
      </w:tr>
      <w:tr w:rsidR="00A47C19" w:rsidRPr="00E20D21" w14:paraId="59D1B08E"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F1A2A32" w14:textId="636D562F" w:rsidR="00905AA4" w:rsidRPr="00E20D21" w:rsidRDefault="00905AA4" w:rsidP="00905AA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Passivo</w:t>
            </w:r>
          </w:p>
        </w:tc>
      </w:tr>
      <w:tr w:rsidR="005A3801" w:rsidRPr="00E20D21" w14:paraId="52EBE791" w14:textId="77777777" w:rsidTr="005A3801">
        <w:trPr>
          <w:trHeight w:val="283"/>
        </w:trPr>
        <w:tc>
          <w:tcPr>
            <w:tcW w:w="3370" w:type="pct"/>
            <w:tcBorders>
              <w:top w:val="nil"/>
              <w:left w:val="nil"/>
              <w:bottom w:val="nil"/>
              <w:right w:val="nil"/>
            </w:tcBorders>
            <w:shd w:val="clear" w:color="auto" w:fill="auto"/>
            <w:noWrap/>
            <w:vAlign w:val="center"/>
            <w:hideMark/>
          </w:tcPr>
          <w:p w14:paraId="73710902" w14:textId="77777777"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Obrigações por compras de câmbio – moeda nacional</w:t>
            </w:r>
          </w:p>
        </w:tc>
        <w:tc>
          <w:tcPr>
            <w:tcW w:w="814" w:type="pct"/>
            <w:tcBorders>
              <w:top w:val="nil"/>
              <w:left w:val="nil"/>
              <w:bottom w:val="nil"/>
              <w:right w:val="nil"/>
            </w:tcBorders>
            <w:shd w:val="clear" w:color="auto" w:fill="auto"/>
            <w:noWrap/>
            <w:vAlign w:val="center"/>
          </w:tcPr>
          <w:p w14:paraId="5273789A" w14:textId="0A79F971" w:rsidR="005A3801" w:rsidRPr="00E20D21" w:rsidRDefault="00C2469D" w:rsidP="00C2469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1.710.163</w:t>
            </w:r>
          </w:p>
        </w:tc>
        <w:tc>
          <w:tcPr>
            <w:tcW w:w="816" w:type="pct"/>
            <w:tcBorders>
              <w:top w:val="nil"/>
              <w:left w:val="nil"/>
              <w:bottom w:val="nil"/>
              <w:right w:val="nil"/>
            </w:tcBorders>
            <w:shd w:val="clear" w:color="auto" w:fill="auto"/>
            <w:noWrap/>
            <w:vAlign w:val="center"/>
          </w:tcPr>
          <w:p w14:paraId="32E694EC" w14:textId="1EBCBCC6" w:rsidR="005A3801" w:rsidRPr="00E20D21" w:rsidRDefault="005A3801" w:rsidP="005A3801">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1.837.664</w:t>
            </w:r>
          </w:p>
        </w:tc>
      </w:tr>
      <w:tr w:rsidR="005A3801" w:rsidRPr="00E20D21" w14:paraId="5F543730" w14:textId="77777777" w:rsidTr="005A3801">
        <w:trPr>
          <w:trHeight w:val="283"/>
        </w:trPr>
        <w:tc>
          <w:tcPr>
            <w:tcW w:w="3370" w:type="pct"/>
            <w:tcBorders>
              <w:top w:val="nil"/>
              <w:left w:val="nil"/>
              <w:bottom w:val="nil"/>
              <w:right w:val="nil"/>
            </w:tcBorders>
            <w:shd w:val="clear" w:color="auto" w:fill="auto"/>
            <w:noWrap/>
            <w:vAlign w:val="center"/>
            <w:hideMark/>
          </w:tcPr>
          <w:p w14:paraId="3F1F8A9B" w14:textId="77777777"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 xml:space="preserve">Câmbio vendido a liquidar – moeda estrangeira </w:t>
            </w:r>
          </w:p>
        </w:tc>
        <w:tc>
          <w:tcPr>
            <w:tcW w:w="814" w:type="pct"/>
            <w:tcBorders>
              <w:top w:val="nil"/>
              <w:left w:val="nil"/>
              <w:bottom w:val="nil"/>
              <w:right w:val="nil"/>
            </w:tcBorders>
            <w:shd w:val="clear" w:color="auto" w:fill="auto"/>
            <w:noWrap/>
            <w:vAlign w:val="center"/>
          </w:tcPr>
          <w:p w14:paraId="3815297C" w14:textId="68A7266B" w:rsidR="005A3801" w:rsidRPr="00E20D21" w:rsidRDefault="00C2469D" w:rsidP="00C2469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42.794</w:t>
            </w:r>
          </w:p>
        </w:tc>
        <w:tc>
          <w:tcPr>
            <w:tcW w:w="816" w:type="pct"/>
            <w:tcBorders>
              <w:top w:val="nil"/>
              <w:left w:val="nil"/>
              <w:bottom w:val="nil"/>
              <w:right w:val="nil"/>
            </w:tcBorders>
            <w:shd w:val="clear" w:color="auto" w:fill="auto"/>
            <w:noWrap/>
            <w:vAlign w:val="center"/>
          </w:tcPr>
          <w:p w14:paraId="1EE55756" w14:textId="027F3079" w:rsidR="005A3801" w:rsidRPr="00E20D21" w:rsidRDefault="005A3801" w:rsidP="005A3801">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14.724</w:t>
            </w:r>
          </w:p>
        </w:tc>
      </w:tr>
      <w:tr w:rsidR="005A3801" w:rsidRPr="00E20D21" w14:paraId="15FE4534" w14:textId="77777777" w:rsidTr="005A3801">
        <w:trPr>
          <w:trHeight w:val="283"/>
        </w:trPr>
        <w:tc>
          <w:tcPr>
            <w:tcW w:w="3370" w:type="pct"/>
            <w:tcBorders>
              <w:top w:val="nil"/>
              <w:left w:val="nil"/>
              <w:bottom w:val="nil"/>
              <w:right w:val="nil"/>
            </w:tcBorders>
            <w:shd w:val="clear" w:color="auto" w:fill="auto"/>
            <w:noWrap/>
            <w:vAlign w:val="center"/>
            <w:hideMark/>
          </w:tcPr>
          <w:p w14:paraId="6FB4445A" w14:textId="77777777"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 Adiantamentos sobre contratos de câmbio - ACC/ACE (Nota 9 (a))</w:t>
            </w:r>
          </w:p>
        </w:tc>
        <w:tc>
          <w:tcPr>
            <w:tcW w:w="814" w:type="pct"/>
            <w:tcBorders>
              <w:top w:val="nil"/>
              <w:left w:val="nil"/>
              <w:bottom w:val="nil"/>
              <w:right w:val="nil"/>
            </w:tcBorders>
            <w:shd w:val="clear" w:color="auto" w:fill="auto"/>
            <w:noWrap/>
            <w:vAlign w:val="center"/>
          </w:tcPr>
          <w:p w14:paraId="71AF36AA" w14:textId="6F79D3C6" w:rsidR="005A3801" w:rsidRPr="00E20D21" w:rsidRDefault="00C2469D" w:rsidP="00C2469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(1.624.206)</w:t>
            </w:r>
          </w:p>
        </w:tc>
        <w:tc>
          <w:tcPr>
            <w:tcW w:w="816" w:type="pct"/>
            <w:tcBorders>
              <w:top w:val="nil"/>
              <w:left w:val="nil"/>
              <w:bottom w:val="nil"/>
              <w:right w:val="nil"/>
            </w:tcBorders>
            <w:shd w:val="clear" w:color="auto" w:fill="auto"/>
            <w:noWrap/>
            <w:vAlign w:val="center"/>
          </w:tcPr>
          <w:p w14:paraId="69D11ACE" w14:textId="33A9171B" w:rsidR="005A3801" w:rsidRPr="00E20D21" w:rsidRDefault="005A3801" w:rsidP="005A3801">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(1.661.060)</w:t>
            </w:r>
          </w:p>
        </w:tc>
      </w:tr>
      <w:tr w:rsidR="005A3801" w:rsidRPr="00E20D21" w14:paraId="668A91B5" w14:textId="77777777" w:rsidTr="005A3801">
        <w:trPr>
          <w:trHeight w:val="283"/>
        </w:trPr>
        <w:tc>
          <w:tcPr>
            <w:tcW w:w="3370" w:type="pct"/>
            <w:tcBorders>
              <w:top w:val="nil"/>
              <w:left w:val="nil"/>
              <w:bottom w:val="single" w:sz="4" w:space="0" w:color="F39200"/>
              <w:right w:val="nil"/>
            </w:tcBorders>
            <w:shd w:val="clear" w:color="auto" w:fill="auto"/>
            <w:noWrap/>
            <w:vAlign w:val="center"/>
            <w:hideMark/>
          </w:tcPr>
          <w:p w14:paraId="56B192BD" w14:textId="77777777" w:rsidR="005A3801" w:rsidRPr="00E20D21" w:rsidRDefault="005A3801" w:rsidP="005A3801">
            <w:pPr>
              <w:rPr>
                <w:rFonts w:ascii="CAIXA Std Book" w:hAnsi="CAIXA Std Book" w:cs="MS Gothic"/>
                <w:b/>
                <w:color w:val="005CA9"/>
                <w:sz w:val="18"/>
                <w:szCs w:val="18"/>
              </w:rPr>
            </w:pPr>
            <w:r w:rsidRPr="00E20D21">
              <w:rPr>
                <w:rFonts w:ascii="CAIXA Std Book" w:hAnsi="CAIXA Std Book" w:cs="MS Gothic"/>
                <w:b/>
                <w:color w:val="005CA9"/>
                <w:sz w:val="18"/>
                <w:szCs w:val="18"/>
              </w:rPr>
              <w:t xml:space="preserve">Passivo circulante </w:t>
            </w:r>
          </w:p>
        </w:tc>
        <w:tc>
          <w:tcPr>
            <w:tcW w:w="814" w:type="pct"/>
            <w:tcBorders>
              <w:top w:val="nil"/>
              <w:left w:val="nil"/>
              <w:bottom w:val="single" w:sz="4" w:space="0" w:color="F39200"/>
              <w:right w:val="nil"/>
            </w:tcBorders>
            <w:shd w:val="clear" w:color="auto" w:fill="auto"/>
            <w:noWrap/>
            <w:vAlign w:val="center"/>
          </w:tcPr>
          <w:p w14:paraId="755734FF" w14:textId="1C765F6A" w:rsidR="005A3801" w:rsidRPr="00E20D21" w:rsidRDefault="00C2469D" w:rsidP="00C2469D">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128.751</w:t>
            </w:r>
          </w:p>
        </w:tc>
        <w:tc>
          <w:tcPr>
            <w:tcW w:w="816" w:type="pct"/>
            <w:tcBorders>
              <w:top w:val="nil"/>
              <w:left w:val="nil"/>
              <w:bottom w:val="single" w:sz="4" w:space="0" w:color="F39200"/>
              <w:right w:val="nil"/>
            </w:tcBorders>
            <w:shd w:val="clear" w:color="auto" w:fill="auto"/>
            <w:noWrap/>
            <w:vAlign w:val="center"/>
          </w:tcPr>
          <w:p w14:paraId="2D9920C3" w14:textId="7EDFEAAD" w:rsidR="005A3801" w:rsidRPr="00E20D21" w:rsidRDefault="005A3801" w:rsidP="005A3801">
            <w:pPr>
              <w:jc w:val="right"/>
              <w:rPr>
                <w:rFonts w:ascii="CAIXA Std Book" w:hAnsi="CAIXA Std Book" w:cs="Arial Unicode MS"/>
                <w:b/>
                <w:color w:val="005CA9"/>
                <w:sz w:val="18"/>
                <w:szCs w:val="18"/>
              </w:rPr>
            </w:pPr>
            <w:r w:rsidRPr="00E20D21">
              <w:rPr>
                <w:rFonts w:ascii="CAIXA Std Book" w:hAnsi="CAIXA Std Book" w:cs="Arial Unicode MS"/>
                <w:b/>
                <w:color w:val="005CA9"/>
                <w:sz w:val="18"/>
                <w:szCs w:val="18"/>
              </w:rPr>
              <w:t>191.328</w:t>
            </w:r>
          </w:p>
        </w:tc>
      </w:tr>
      <w:tr w:rsidR="005A3801" w:rsidRPr="00E20D21" w14:paraId="3DC4E657" w14:textId="77777777" w:rsidTr="005A3801">
        <w:trPr>
          <w:trHeight w:val="283"/>
        </w:trPr>
        <w:tc>
          <w:tcPr>
            <w:tcW w:w="3370" w:type="pct"/>
            <w:tcBorders>
              <w:top w:val="nil"/>
              <w:left w:val="nil"/>
              <w:bottom w:val="single" w:sz="4" w:space="0" w:color="F39200"/>
              <w:right w:val="nil"/>
            </w:tcBorders>
            <w:shd w:val="clear" w:color="auto" w:fill="auto"/>
            <w:noWrap/>
            <w:vAlign w:val="center"/>
            <w:hideMark/>
          </w:tcPr>
          <w:p w14:paraId="6D04C7C9" w14:textId="77777777" w:rsidR="005A3801" w:rsidRPr="00E20D21" w:rsidRDefault="005A3801" w:rsidP="005A3801">
            <w:pPr>
              <w:rPr>
                <w:rFonts w:ascii="CAIXA Std Book" w:hAnsi="CAIXA Std Book" w:cs="MS Gothic"/>
                <w:b/>
                <w:color w:val="005CA9"/>
                <w:sz w:val="18"/>
                <w:szCs w:val="18"/>
              </w:rPr>
            </w:pPr>
            <w:r w:rsidRPr="00E20D21">
              <w:rPr>
                <w:rFonts w:ascii="CAIXA Std Book" w:hAnsi="CAIXA Std Book" w:cs="MS Gothic"/>
                <w:b/>
                <w:color w:val="005CA9"/>
                <w:sz w:val="18"/>
                <w:szCs w:val="18"/>
              </w:rPr>
              <w:t>Carteira líquida de câmbio</w:t>
            </w:r>
          </w:p>
        </w:tc>
        <w:tc>
          <w:tcPr>
            <w:tcW w:w="814" w:type="pct"/>
            <w:tcBorders>
              <w:top w:val="nil"/>
              <w:left w:val="nil"/>
              <w:bottom w:val="single" w:sz="4" w:space="0" w:color="F39200"/>
              <w:right w:val="nil"/>
            </w:tcBorders>
            <w:shd w:val="clear" w:color="auto" w:fill="auto"/>
            <w:noWrap/>
            <w:vAlign w:val="center"/>
          </w:tcPr>
          <w:p w14:paraId="6B714D99" w14:textId="04373636" w:rsidR="005A3801" w:rsidRPr="00E20D21" w:rsidRDefault="00C2469D" w:rsidP="00C2469D">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1.883.799</w:t>
            </w:r>
          </w:p>
        </w:tc>
        <w:tc>
          <w:tcPr>
            <w:tcW w:w="816" w:type="pct"/>
            <w:tcBorders>
              <w:top w:val="nil"/>
              <w:left w:val="nil"/>
              <w:bottom w:val="single" w:sz="4" w:space="0" w:color="F39200"/>
              <w:right w:val="nil"/>
            </w:tcBorders>
            <w:shd w:val="clear" w:color="auto" w:fill="auto"/>
            <w:noWrap/>
            <w:vAlign w:val="center"/>
          </w:tcPr>
          <w:p w14:paraId="74BACFDA" w14:textId="401D380F" w:rsidR="005A3801" w:rsidRPr="00E20D21" w:rsidRDefault="005A3801" w:rsidP="005A3801">
            <w:pPr>
              <w:jc w:val="right"/>
              <w:rPr>
                <w:rFonts w:ascii="CAIXA Std Book" w:hAnsi="CAIXA Std Book" w:cs="Arial Unicode MS"/>
                <w:b/>
                <w:color w:val="005CA9"/>
                <w:sz w:val="18"/>
                <w:szCs w:val="18"/>
              </w:rPr>
            </w:pPr>
            <w:r w:rsidRPr="00E20D21">
              <w:rPr>
                <w:rFonts w:ascii="CAIXA Std Book" w:hAnsi="CAIXA Std Book" w:cs="Arial Unicode MS"/>
                <w:b/>
                <w:color w:val="005CA9"/>
                <w:sz w:val="18"/>
                <w:szCs w:val="18"/>
              </w:rPr>
              <w:t>1.700.989</w:t>
            </w:r>
          </w:p>
        </w:tc>
      </w:tr>
    </w:tbl>
    <w:p w14:paraId="0E15A314" w14:textId="0A142A3E" w:rsidR="00BF7D51" w:rsidRPr="00E20D21" w:rsidRDefault="00BF7D51" w:rsidP="006851E1">
      <w:pPr>
        <w:pStyle w:val="PargrafodaLista"/>
        <w:numPr>
          <w:ilvl w:val="0"/>
          <w:numId w:val="24"/>
        </w:numPr>
        <w:spacing w:before="360" w:after="240"/>
        <w:ind w:left="567" w:hanging="567"/>
        <w:contextualSpacing w:val="0"/>
        <w:rPr>
          <w:rFonts w:ascii="CAIXA Std Book" w:hAnsi="CAIXA Std Book"/>
          <w:b/>
          <w:color w:val="005CA9"/>
          <w:sz w:val="20"/>
          <w:szCs w:val="20"/>
        </w:rPr>
      </w:pPr>
      <w:r w:rsidRPr="00E20D21">
        <w:rPr>
          <w:rFonts w:ascii="CAIXA Std Book" w:hAnsi="CAIXA Std Book"/>
          <w:b/>
          <w:color w:val="005CA9"/>
          <w:sz w:val="20"/>
          <w:szCs w:val="20"/>
        </w:rPr>
        <w:t>Resultado de outros ativos financeiros</w:t>
      </w:r>
    </w:p>
    <w:tbl>
      <w:tblPr>
        <w:tblW w:w="5000" w:type="pct"/>
        <w:tblCellMar>
          <w:left w:w="70" w:type="dxa"/>
          <w:right w:w="70" w:type="dxa"/>
        </w:tblCellMar>
        <w:tblLook w:val="04A0" w:firstRow="1" w:lastRow="0" w:firstColumn="1" w:lastColumn="0" w:noHBand="0" w:noVBand="1"/>
      </w:tblPr>
      <w:tblGrid>
        <w:gridCol w:w="3244"/>
        <w:gridCol w:w="1600"/>
        <w:gridCol w:w="1598"/>
        <w:gridCol w:w="1598"/>
        <w:gridCol w:w="1598"/>
      </w:tblGrid>
      <w:tr w:rsidR="001B4770" w:rsidRPr="00E20D21" w14:paraId="59B45D4C" w14:textId="77777777" w:rsidTr="001B4770">
        <w:trPr>
          <w:trHeight w:val="276"/>
        </w:trPr>
        <w:tc>
          <w:tcPr>
            <w:tcW w:w="1683" w:type="pct"/>
            <w:vMerge w:val="restart"/>
            <w:tcBorders>
              <w:top w:val="single" w:sz="4" w:space="0" w:color="F39200"/>
              <w:left w:val="nil"/>
              <w:right w:val="nil"/>
            </w:tcBorders>
            <w:vAlign w:val="center"/>
          </w:tcPr>
          <w:p w14:paraId="37B2C0BC" w14:textId="60BB97D7" w:rsidR="001B4770" w:rsidRPr="00E20D21" w:rsidRDefault="001B4770" w:rsidP="001B4770">
            <w:pPr>
              <w:jc w:val="center"/>
              <w:rPr>
                <w:rFonts w:ascii="CAIXA Std Book" w:hAnsi="CAIXA Std Book"/>
                <w:b/>
                <w:color w:val="005CA9"/>
                <w:sz w:val="20"/>
                <w:szCs w:val="20"/>
              </w:rPr>
            </w:pPr>
            <w:r w:rsidRPr="00E20D21">
              <w:rPr>
                <w:rFonts w:ascii="CAIXA Std Book" w:hAnsi="CAIXA Std Book" w:cs="Calibri"/>
                <w:b/>
                <w:color w:val="005CA9"/>
                <w:sz w:val="18"/>
                <w:szCs w:val="18"/>
              </w:rPr>
              <w:t>Descrição</w:t>
            </w:r>
          </w:p>
        </w:tc>
        <w:tc>
          <w:tcPr>
            <w:tcW w:w="1659" w:type="pct"/>
            <w:gridSpan w:val="2"/>
            <w:tcBorders>
              <w:top w:val="single" w:sz="4" w:space="0" w:color="F39200"/>
              <w:left w:val="nil"/>
              <w:bottom w:val="single" w:sz="4" w:space="0" w:color="F39200"/>
              <w:right w:val="nil"/>
            </w:tcBorders>
            <w:vAlign w:val="center"/>
          </w:tcPr>
          <w:p w14:paraId="268A0E2F" w14:textId="481686BD" w:rsidR="001B4770" w:rsidRPr="00E20D21" w:rsidRDefault="001B4770" w:rsidP="001B4770">
            <w:pPr>
              <w:jc w:val="center"/>
              <w:rPr>
                <w:rFonts w:ascii="CAIXA Std Book" w:hAnsi="CAIXA Std Book" w:cs="Calibri"/>
                <w:b/>
                <w:color w:val="005CA9"/>
                <w:sz w:val="18"/>
                <w:szCs w:val="18"/>
              </w:rPr>
            </w:pPr>
            <w:r w:rsidRPr="00E20D21">
              <w:rPr>
                <w:rFonts w:ascii="CAIXA Std Book" w:hAnsi="CAIXA Std Book"/>
                <w:b/>
                <w:color w:val="005CA9"/>
                <w:sz w:val="20"/>
                <w:szCs w:val="20"/>
              </w:rPr>
              <w:br w:type="page"/>
            </w:r>
            <w:r w:rsidRPr="00E20D21">
              <w:rPr>
                <w:rFonts w:ascii="CAIXA Std Book" w:hAnsi="CAIXA Std Book" w:cs="MS Gothic"/>
                <w:b/>
                <w:color w:val="005CA9"/>
                <w:sz w:val="18"/>
                <w:szCs w:val="18"/>
              </w:rPr>
              <w:t>INDIVIDUAL</w:t>
            </w:r>
          </w:p>
        </w:tc>
        <w:tc>
          <w:tcPr>
            <w:tcW w:w="1658" w:type="pct"/>
            <w:gridSpan w:val="2"/>
            <w:tcBorders>
              <w:top w:val="single" w:sz="4" w:space="0" w:color="F39200"/>
              <w:left w:val="nil"/>
              <w:bottom w:val="single" w:sz="4" w:space="0" w:color="F39200"/>
              <w:right w:val="nil"/>
            </w:tcBorders>
            <w:vAlign w:val="center"/>
          </w:tcPr>
          <w:p w14:paraId="4CACAC39" w14:textId="1CAA3095" w:rsidR="001B4770" w:rsidRPr="00E20D21" w:rsidRDefault="001B4770" w:rsidP="00484736">
            <w:pPr>
              <w:jc w:val="center"/>
              <w:rPr>
                <w:rFonts w:ascii="CAIXA Std Book" w:hAnsi="CAIXA Std Book" w:cs="Calibri"/>
                <w:b/>
                <w:color w:val="005CA9"/>
                <w:sz w:val="18"/>
                <w:szCs w:val="18"/>
              </w:rPr>
            </w:pPr>
            <w:r w:rsidRPr="00E20D21">
              <w:rPr>
                <w:rFonts w:ascii="CAIXA Std Book" w:hAnsi="CAIXA Std Book" w:cs="MS Gothic"/>
                <w:b/>
                <w:color w:val="005CA9"/>
                <w:sz w:val="18"/>
                <w:szCs w:val="18"/>
              </w:rPr>
              <w:t>CONSOLIDADO</w:t>
            </w:r>
          </w:p>
        </w:tc>
      </w:tr>
      <w:tr w:rsidR="001B4770" w:rsidRPr="00E20D21" w14:paraId="71B77548" w14:textId="77777777" w:rsidTr="00524145">
        <w:trPr>
          <w:trHeight w:val="276"/>
        </w:trPr>
        <w:tc>
          <w:tcPr>
            <w:tcW w:w="1683" w:type="pct"/>
            <w:vMerge/>
            <w:tcBorders>
              <w:left w:val="nil"/>
              <w:right w:val="nil"/>
            </w:tcBorders>
            <w:shd w:val="clear" w:color="auto" w:fill="auto"/>
            <w:vAlign w:val="center"/>
          </w:tcPr>
          <w:p w14:paraId="776C1EB9" w14:textId="4C471811" w:rsidR="001B4770" w:rsidRPr="00E20D21" w:rsidRDefault="001B4770" w:rsidP="00F57867">
            <w:pPr>
              <w:jc w:val="center"/>
              <w:rPr>
                <w:rFonts w:ascii="CAIXA Std Book" w:hAnsi="CAIXA Std Book" w:cs="Calibri"/>
                <w:b/>
                <w:color w:val="005CA9"/>
                <w:sz w:val="18"/>
                <w:szCs w:val="18"/>
              </w:rPr>
            </w:pPr>
          </w:p>
        </w:tc>
        <w:tc>
          <w:tcPr>
            <w:tcW w:w="830" w:type="pct"/>
            <w:tcBorders>
              <w:top w:val="single" w:sz="4" w:space="0" w:color="F39200"/>
              <w:left w:val="nil"/>
              <w:bottom w:val="single" w:sz="4" w:space="0" w:color="F39200"/>
              <w:right w:val="nil"/>
            </w:tcBorders>
            <w:shd w:val="clear" w:color="auto" w:fill="auto"/>
            <w:noWrap/>
            <w:vAlign w:val="center"/>
          </w:tcPr>
          <w:p w14:paraId="19C96988" w14:textId="7F3C5119" w:rsidR="001B4770" w:rsidRPr="00E20D21" w:rsidRDefault="001B4770" w:rsidP="00F57867">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2024</w:t>
            </w:r>
          </w:p>
        </w:tc>
        <w:tc>
          <w:tcPr>
            <w:tcW w:w="829" w:type="pct"/>
            <w:tcBorders>
              <w:top w:val="single" w:sz="4" w:space="0" w:color="F39200"/>
              <w:left w:val="nil"/>
              <w:bottom w:val="single" w:sz="4" w:space="0" w:color="F39200"/>
              <w:right w:val="nil"/>
            </w:tcBorders>
            <w:vAlign w:val="center"/>
          </w:tcPr>
          <w:p w14:paraId="008D0279" w14:textId="3289D859" w:rsidR="001B4770" w:rsidRPr="00E20D21" w:rsidRDefault="001B4770" w:rsidP="00F57867">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2023</w:t>
            </w:r>
          </w:p>
        </w:tc>
        <w:tc>
          <w:tcPr>
            <w:tcW w:w="829" w:type="pct"/>
            <w:tcBorders>
              <w:top w:val="single" w:sz="4" w:space="0" w:color="F39200"/>
              <w:left w:val="nil"/>
              <w:bottom w:val="single" w:sz="4" w:space="0" w:color="F39200"/>
              <w:right w:val="nil"/>
            </w:tcBorders>
            <w:vAlign w:val="center"/>
          </w:tcPr>
          <w:p w14:paraId="423AE57D" w14:textId="58BD1E9F" w:rsidR="001B4770" w:rsidRPr="00E20D21" w:rsidRDefault="001B4770" w:rsidP="00F57867">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2024</w:t>
            </w:r>
          </w:p>
        </w:tc>
        <w:tc>
          <w:tcPr>
            <w:tcW w:w="829" w:type="pct"/>
            <w:tcBorders>
              <w:top w:val="single" w:sz="4" w:space="0" w:color="F39200"/>
              <w:left w:val="nil"/>
              <w:bottom w:val="single" w:sz="4" w:space="0" w:color="F39200"/>
              <w:right w:val="nil"/>
            </w:tcBorders>
            <w:shd w:val="clear" w:color="auto" w:fill="auto"/>
            <w:vAlign w:val="center"/>
          </w:tcPr>
          <w:p w14:paraId="33E810CC" w14:textId="21011978" w:rsidR="001B4770" w:rsidRPr="00E20D21" w:rsidRDefault="001B4770" w:rsidP="00F57867">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2023</w:t>
            </w:r>
          </w:p>
        </w:tc>
      </w:tr>
      <w:tr w:rsidR="001B4770" w:rsidRPr="00E20D21" w14:paraId="462B17AC" w14:textId="77777777" w:rsidTr="00524145">
        <w:trPr>
          <w:trHeight w:val="276"/>
        </w:trPr>
        <w:tc>
          <w:tcPr>
            <w:tcW w:w="1683" w:type="pct"/>
            <w:vMerge/>
            <w:tcBorders>
              <w:left w:val="nil"/>
              <w:bottom w:val="single" w:sz="4" w:space="0" w:color="F39200"/>
              <w:right w:val="nil"/>
            </w:tcBorders>
            <w:shd w:val="clear" w:color="auto" w:fill="auto"/>
            <w:vAlign w:val="center"/>
            <w:hideMark/>
          </w:tcPr>
          <w:p w14:paraId="261B3F12" w14:textId="77777777" w:rsidR="001B4770" w:rsidRPr="00E20D21" w:rsidRDefault="001B4770" w:rsidP="00524145">
            <w:pPr>
              <w:jc w:val="center"/>
              <w:rPr>
                <w:rFonts w:ascii="CAIXA Std Book" w:hAnsi="CAIXA Std Book" w:cs="Calibri"/>
                <w:b/>
                <w:color w:val="005CA9"/>
                <w:sz w:val="18"/>
                <w:szCs w:val="18"/>
              </w:rPr>
            </w:pPr>
          </w:p>
        </w:tc>
        <w:tc>
          <w:tcPr>
            <w:tcW w:w="830" w:type="pct"/>
            <w:tcBorders>
              <w:top w:val="nil"/>
              <w:left w:val="nil"/>
              <w:bottom w:val="single" w:sz="4" w:space="0" w:color="F39200"/>
              <w:right w:val="nil"/>
            </w:tcBorders>
            <w:shd w:val="clear" w:color="auto" w:fill="auto"/>
            <w:noWrap/>
            <w:vAlign w:val="center"/>
            <w:hideMark/>
          </w:tcPr>
          <w:p w14:paraId="7E4F6F60" w14:textId="31C88446" w:rsidR="001B4770" w:rsidRPr="00E20D21" w:rsidRDefault="001B4770" w:rsidP="00F57867">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1º semestre</w:t>
            </w:r>
          </w:p>
        </w:tc>
        <w:tc>
          <w:tcPr>
            <w:tcW w:w="829" w:type="pct"/>
            <w:tcBorders>
              <w:top w:val="nil"/>
              <w:left w:val="nil"/>
              <w:bottom w:val="single" w:sz="4" w:space="0" w:color="F39200"/>
              <w:right w:val="nil"/>
            </w:tcBorders>
            <w:vAlign w:val="center"/>
          </w:tcPr>
          <w:p w14:paraId="1A9285BD" w14:textId="6D3D91EA" w:rsidR="001B4770" w:rsidRPr="00E20D21" w:rsidRDefault="001B4770" w:rsidP="00F57867">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1º semestre</w:t>
            </w:r>
          </w:p>
        </w:tc>
        <w:tc>
          <w:tcPr>
            <w:tcW w:w="829" w:type="pct"/>
            <w:tcBorders>
              <w:top w:val="nil"/>
              <w:left w:val="nil"/>
              <w:bottom w:val="single" w:sz="4" w:space="0" w:color="F39200"/>
              <w:right w:val="nil"/>
            </w:tcBorders>
            <w:vAlign w:val="center"/>
          </w:tcPr>
          <w:p w14:paraId="1EA8D61E" w14:textId="35084D84" w:rsidR="001B4770" w:rsidRPr="00E20D21" w:rsidRDefault="001B4770" w:rsidP="00F57867">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1º semestre</w:t>
            </w:r>
          </w:p>
        </w:tc>
        <w:tc>
          <w:tcPr>
            <w:tcW w:w="829" w:type="pct"/>
            <w:tcBorders>
              <w:top w:val="nil"/>
              <w:left w:val="nil"/>
              <w:bottom w:val="single" w:sz="4" w:space="0" w:color="F39200"/>
              <w:right w:val="nil"/>
            </w:tcBorders>
            <w:vAlign w:val="center"/>
          </w:tcPr>
          <w:p w14:paraId="5CFBC037" w14:textId="3C4ADA63" w:rsidR="001B4770" w:rsidRPr="00E20D21" w:rsidRDefault="001B4770" w:rsidP="00F57867">
            <w:pPr>
              <w:jc w:val="center"/>
              <w:rPr>
                <w:rFonts w:ascii="CAIXA Std Book" w:eastAsia="Times New Roman" w:hAnsi="CAIXA Std Book" w:cs="Arial"/>
                <w:b/>
                <w:color w:val="005CA9"/>
                <w:sz w:val="18"/>
                <w:szCs w:val="18"/>
              </w:rPr>
            </w:pPr>
            <w:r w:rsidRPr="00E20D21">
              <w:rPr>
                <w:rFonts w:ascii="CAIXA Std Book" w:hAnsi="CAIXA Std Book" w:cs="Calibri"/>
                <w:b/>
                <w:color w:val="005CA9"/>
                <w:sz w:val="18"/>
                <w:szCs w:val="18"/>
              </w:rPr>
              <w:t>1º semestre</w:t>
            </w:r>
          </w:p>
        </w:tc>
      </w:tr>
      <w:tr w:rsidR="005A3801" w:rsidRPr="00E20D21" w14:paraId="3E8F286C" w14:textId="77777777" w:rsidTr="005A3801">
        <w:trPr>
          <w:trHeight w:val="276"/>
        </w:trPr>
        <w:tc>
          <w:tcPr>
            <w:tcW w:w="1683" w:type="pct"/>
            <w:tcBorders>
              <w:top w:val="nil"/>
              <w:left w:val="nil"/>
              <w:bottom w:val="nil"/>
              <w:right w:val="nil"/>
            </w:tcBorders>
            <w:shd w:val="clear" w:color="auto" w:fill="auto"/>
            <w:noWrap/>
            <w:vAlign w:val="center"/>
            <w:hideMark/>
          </w:tcPr>
          <w:p w14:paraId="7E37EE35" w14:textId="4B6DEB88" w:rsidR="005A3801" w:rsidRPr="00E20D21" w:rsidRDefault="005A3801" w:rsidP="005A3801">
            <w:pPr>
              <w:rPr>
                <w:rFonts w:ascii="CAIXA Std Book" w:hAnsi="CAIXA Std Book" w:cs="Calibri"/>
                <w:color w:val="005CA9"/>
                <w:sz w:val="18"/>
                <w:szCs w:val="18"/>
              </w:rPr>
            </w:pPr>
            <w:bookmarkStart w:id="35" w:name="OLE_LINK3" w:colFirst="1" w:colLast="4"/>
            <w:r w:rsidRPr="00E20D21">
              <w:rPr>
                <w:rFonts w:ascii="CAIXA Std Book" w:hAnsi="CAIXA Std Book" w:cs="Calibri"/>
                <w:color w:val="005CA9"/>
                <w:sz w:val="18"/>
                <w:szCs w:val="18"/>
              </w:rPr>
              <w:t>Créditos vinculados ao SFH</w:t>
            </w:r>
          </w:p>
        </w:tc>
        <w:tc>
          <w:tcPr>
            <w:tcW w:w="830" w:type="pct"/>
            <w:tcBorders>
              <w:top w:val="nil"/>
              <w:left w:val="nil"/>
              <w:bottom w:val="nil"/>
              <w:right w:val="nil"/>
            </w:tcBorders>
            <w:shd w:val="clear" w:color="auto" w:fill="auto"/>
            <w:noWrap/>
            <w:vAlign w:val="center"/>
          </w:tcPr>
          <w:p w14:paraId="42BA6775" w14:textId="5F627E8E" w:rsidR="005A3801" w:rsidRPr="00E20D21" w:rsidRDefault="00524B73" w:rsidP="00524145">
            <w:pPr>
              <w:jc w:val="right"/>
              <w:rPr>
                <w:rFonts w:ascii="CAIXA Std Book" w:hAnsi="CAIXA Std Book" w:cs="Calibri"/>
                <w:color w:val="005CA9"/>
                <w:sz w:val="18"/>
                <w:szCs w:val="18"/>
              </w:rPr>
            </w:pPr>
            <w:r w:rsidRPr="00E20D21">
              <w:rPr>
                <w:rFonts w:ascii="CAIXA Std Book" w:hAnsi="CAIXA Std Book" w:cs="Arial"/>
                <w:color w:val="005CA9"/>
                <w:sz w:val="18"/>
                <w:szCs w:val="18"/>
              </w:rPr>
              <w:t>1.263.679</w:t>
            </w:r>
          </w:p>
        </w:tc>
        <w:tc>
          <w:tcPr>
            <w:tcW w:w="829" w:type="pct"/>
            <w:tcBorders>
              <w:top w:val="nil"/>
              <w:left w:val="nil"/>
              <w:bottom w:val="nil"/>
              <w:right w:val="nil"/>
            </w:tcBorders>
            <w:vAlign w:val="center"/>
          </w:tcPr>
          <w:p w14:paraId="4EA00BBE" w14:textId="57BCC0EB" w:rsidR="005A3801" w:rsidRPr="00E20D21" w:rsidRDefault="005A3801" w:rsidP="005A3801">
            <w:pPr>
              <w:jc w:val="right"/>
              <w:rPr>
                <w:rFonts w:ascii="CAIXA Std Book" w:hAnsi="CAIXA Std Book" w:cs="Calibri"/>
                <w:color w:val="005CA9"/>
                <w:sz w:val="18"/>
                <w:szCs w:val="18"/>
              </w:rPr>
            </w:pPr>
            <w:r w:rsidRPr="00E20D21">
              <w:rPr>
                <w:rFonts w:ascii="CAIXA Std Book" w:hAnsi="CAIXA Std Book" w:cs="Calibri"/>
                <w:color w:val="005CA9"/>
                <w:sz w:val="18"/>
                <w:szCs w:val="18"/>
              </w:rPr>
              <w:t>1.624.443</w:t>
            </w:r>
          </w:p>
        </w:tc>
        <w:tc>
          <w:tcPr>
            <w:tcW w:w="829" w:type="pct"/>
            <w:tcBorders>
              <w:top w:val="nil"/>
              <w:left w:val="nil"/>
              <w:bottom w:val="nil"/>
              <w:right w:val="nil"/>
            </w:tcBorders>
            <w:vAlign w:val="center"/>
          </w:tcPr>
          <w:p w14:paraId="01CB4C51" w14:textId="7B20F611" w:rsidR="005A3801" w:rsidRPr="00E20D21" w:rsidRDefault="00504B77" w:rsidP="00524145">
            <w:pPr>
              <w:jc w:val="right"/>
              <w:rPr>
                <w:rFonts w:ascii="CAIXA Std Book" w:hAnsi="CAIXA Std Book" w:cs="Calibri"/>
                <w:color w:val="005CA9"/>
                <w:sz w:val="18"/>
                <w:szCs w:val="18"/>
              </w:rPr>
            </w:pPr>
            <w:r w:rsidRPr="00E20D21">
              <w:rPr>
                <w:rFonts w:ascii="CAIXA Std Book" w:hAnsi="CAIXA Std Book" w:cs="Arial"/>
                <w:color w:val="005CA9"/>
                <w:sz w:val="18"/>
                <w:szCs w:val="18"/>
              </w:rPr>
              <w:t>1.263.679</w:t>
            </w:r>
          </w:p>
        </w:tc>
        <w:tc>
          <w:tcPr>
            <w:tcW w:w="829" w:type="pct"/>
            <w:tcBorders>
              <w:top w:val="nil"/>
              <w:left w:val="nil"/>
              <w:bottom w:val="nil"/>
              <w:right w:val="nil"/>
            </w:tcBorders>
            <w:vAlign w:val="center"/>
          </w:tcPr>
          <w:p w14:paraId="4A12A725" w14:textId="698698C2" w:rsidR="005A3801" w:rsidRPr="00E20D21" w:rsidRDefault="005A3801" w:rsidP="005A3801">
            <w:pPr>
              <w:jc w:val="right"/>
              <w:rPr>
                <w:rFonts w:ascii="CAIXA Std Book" w:hAnsi="CAIXA Std Book" w:cs="Calibri"/>
                <w:color w:val="005CA9"/>
                <w:sz w:val="18"/>
                <w:szCs w:val="18"/>
              </w:rPr>
            </w:pPr>
            <w:r w:rsidRPr="00E20D21">
              <w:rPr>
                <w:rFonts w:ascii="CAIXA Std Book" w:hAnsi="CAIXA Std Book" w:cs="Arial"/>
                <w:color w:val="005CA9"/>
                <w:sz w:val="18"/>
                <w:szCs w:val="18"/>
              </w:rPr>
              <w:t>1.624.443</w:t>
            </w:r>
          </w:p>
        </w:tc>
      </w:tr>
      <w:tr w:rsidR="005A3801" w:rsidRPr="00E20D21" w14:paraId="5F9F954C" w14:textId="77777777" w:rsidTr="005A3801">
        <w:trPr>
          <w:trHeight w:val="276"/>
        </w:trPr>
        <w:tc>
          <w:tcPr>
            <w:tcW w:w="1683" w:type="pct"/>
            <w:tcBorders>
              <w:top w:val="nil"/>
              <w:left w:val="nil"/>
              <w:bottom w:val="nil"/>
              <w:right w:val="nil"/>
            </w:tcBorders>
            <w:shd w:val="clear" w:color="auto" w:fill="auto"/>
            <w:noWrap/>
            <w:vAlign w:val="center"/>
            <w:hideMark/>
          </w:tcPr>
          <w:p w14:paraId="150E7FB1" w14:textId="6B922477" w:rsidR="005A3801" w:rsidRPr="00E20D21" w:rsidRDefault="005A3801" w:rsidP="005A3801">
            <w:pPr>
              <w:rPr>
                <w:rFonts w:ascii="CAIXA Std Book" w:hAnsi="CAIXA Std Book" w:cs="Calibri"/>
                <w:color w:val="005CA9"/>
                <w:sz w:val="18"/>
                <w:szCs w:val="18"/>
              </w:rPr>
            </w:pPr>
            <w:r w:rsidRPr="00E20D21">
              <w:rPr>
                <w:rFonts w:ascii="CAIXA Std Book" w:hAnsi="CAIXA Std Book" w:cs="Calibri"/>
                <w:color w:val="005CA9"/>
                <w:sz w:val="18"/>
                <w:szCs w:val="18"/>
              </w:rPr>
              <w:t>Resultado de câmbio</w:t>
            </w:r>
          </w:p>
        </w:tc>
        <w:tc>
          <w:tcPr>
            <w:tcW w:w="830" w:type="pct"/>
            <w:tcBorders>
              <w:top w:val="nil"/>
              <w:left w:val="nil"/>
              <w:bottom w:val="nil"/>
              <w:right w:val="nil"/>
            </w:tcBorders>
            <w:shd w:val="clear" w:color="auto" w:fill="auto"/>
            <w:noWrap/>
            <w:vAlign w:val="center"/>
          </w:tcPr>
          <w:p w14:paraId="68457593" w14:textId="27D7AED6" w:rsidR="005A3801" w:rsidRPr="00E20D21" w:rsidRDefault="00524B73" w:rsidP="00524145">
            <w:pPr>
              <w:jc w:val="right"/>
              <w:rPr>
                <w:rFonts w:ascii="CAIXA Std Book" w:hAnsi="CAIXA Std Book" w:cs="Calibri"/>
                <w:color w:val="005CA9"/>
                <w:sz w:val="18"/>
                <w:szCs w:val="18"/>
              </w:rPr>
            </w:pPr>
            <w:r w:rsidRPr="00E20D21">
              <w:rPr>
                <w:rFonts w:ascii="CAIXA Std Book" w:hAnsi="CAIXA Std Book" w:cs="Arial"/>
                <w:color w:val="005CA9"/>
                <w:sz w:val="18"/>
                <w:szCs w:val="18"/>
              </w:rPr>
              <w:t>352.322</w:t>
            </w:r>
          </w:p>
        </w:tc>
        <w:tc>
          <w:tcPr>
            <w:tcW w:w="829" w:type="pct"/>
            <w:tcBorders>
              <w:top w:val="nil"/>
              <w:left w:val="nil"/>
              <w:bottom w:val="nil"/>
              <w:right w:val="nil"/>
            </w:tcBorders>
            <w:vAlign w:val="center"/>
          </w:tcPr>
          <w:p w14:paraId="71594F0D" w14:textId="7F41E86F" w:rsidR="005A3801" w:rsidRPr="00E20D21" w:rsidRDefault="005A3801" w:rsidP="005A3801">
            <w:pPr>
              <w:jc w:val="right"/>
              <w:rPr>
                <w:rFonts w:ascii="CAIXA Std Book" w:hAnsi="CAIXA Std Book" w:cs="Calibri"/>
                <w:color w:val="005CA9"/>
                <w:sz w:val="18"/>
                <w:szCs w:val="18"/>
              </w:rPr>
            </w:pPr>
            <w:r w:rsidRPr="00E20D21">
              <w:rPr>
                <w:rFonts w:ascii="CAIXA Std Book" w:hAnsi="CAIXA Std Book" w:cs="Calibri"/>
                <w:color w:val="005CA9"/>
                <w:sz w:val="18"/>
                <w:szCs w:val="18"/>
              </w:rPr>
              <w:t>(85.719)</w:t>
            </w:r>
          </w:p>
        </w:tc>
        <w:tc>
          <w:tcPr>
            <w:tcW w:w="829" w:type="pct"/>
            <w:tcBorders>
              <w:top w:val="nil"/>
              <w:left w:val="nil"/>
              <w:bottom w:val="nil"/>
              <w:right w:val="nil"/>
            </w:tcBorders>
            <w:vAlign w:val="center"/>
          </w:tcPr>
          <w:p w14:paraId="523B06D0" w14:textId="4C3ECF04" w:rsidR="005A3801" w:rsidRPr="00E20D21" w:rsidRDefault="00504B77" w:rsidP="00524145">
            <w:pPr>
              <w:jc w:val="right"/>
              <w:rPr>
                <w:rFonts w:ascii="CAIXA Std Book" w:hAnsi="CAIXA Std Book" w:cs="Calibri"/>
                <w:color w:val="005CA9"/>
                <w:sz w:val="18"/>
                <w:szCs w:val="18"/>
              </w:rPr>
            </w:pPr>
            <w:r w:rsidRPr="00E20D21">
              <w:rPr>
                <w:rFonts w:ascii="CAIXA Std Book" w:hAnsi="CAIXA Std Book" w:cs="Arial"/>
                <w:color w:val="005CA9"/>
                <w:sz w:val="18"/>
                <w:szCs w:val="18"/>
              </w:rPr>
              <w:t>352.322</w:t>
            </w:r>
          </w:p>
        </w:tc>
        <w:tc>
          <w:tcPr>
            <w:tcW w:w="829" w:type="pct"/>
            <w:tcBorders>
              <w:top w:val="nil"/>
              <w:left w:val="nil"/>
              <w:bottom w:val="nil"/>
              <w:right w:val="nil"/>
            </w:tcBorders>
            <w:vAlign w:val="center"/>
          </w:tcPr>
          <w:p w14:paraId="0DDB2F05" w14:textId="4E8B3AE2" w:rsidR="005A3801" w:rsidRPr="00E20D21" w:rsidRDefault="00A55714" w:rsidP="005A3801">
            <w:pPr>
              <w:jc w:val="right"/>
              <w:rPr>
                <w:rFonts w:ascii="CAIXA Std Book" w:hAnsi="CAIXA Std Book" w:cs="Calibri"/>
                <w:color w:val="005CA9"/>
                <w:sz w:val="18"/>
                <w:szCs w:val="18"/>
              </w:rPr>
            </w:pPr>
            <w:r w:rsidRPr="00E20D21">
              <w:rPr>
                <w:rFonts w:ascii="CAIXA Std Book" w:hAnsi="CAIXA Std Book" w:cs="Arial"/>
                <w:color w:val="005CA9"/>
                <w:sz w:val="18"/>
                <w:szCs w:val="18"/>
              </w:rPr>
              <w:t>(</w:t>
            </w:r>
            <w:r w:rsidR="00524145" w:rsidRPr="00E20D21">
              <w:rPr>
                <w:rFonts w:ascii="CAIXA Std Book" w:hAnsi="CAIXA Std Book" w:cs="Arial"/>
                <w:color w:val="005CA9"/>
                <w:sz w:val="18"/>
                <w:szCs w:val="18"/>
              </w:rPr>
              <w:t>93.694</w:t>
            </w:r>
            <w:r w:rsidRPr="00E20D21">
              <w:rPr>
                <w:rFonts w:ascii="CAIXA Std Book" w:hAnsi="CAIXA Std Book" w:cs="Arial"/>
                <w:color w:val="005CA9"/>
                <w:sz w:val="18"/>
                <w:szCs w:val="18"/>
              </w:rPr>
              <w:t>)</w:t>
            </w:r>
          </w:p>
        </w:tc>
      </w:tr>
      <w:tr w:rsidR="005A3801" w:rsidRPr="00E20D21" w14:paraId="7EB3527D" w14:textId="77777777" w:rsidTr="005A3801">
        <w:trPr>
          <w:trHeight w:val="276"/>
        </w:trPr>
        <w:tc>
          <w:tcPr>
            <w:tcW w:w="1683" w:type="pct"/>
            <w:tcBorders>
              <w:top w:val="single" w:sz="4" w:space="0" w:color="F39200"/>
              <w:left w:val="nil"/>
              <w:bottom w:val="single" w:sz="4" w:space="0" w:color="F39200"/>
              <w:right w:val="nil"/>
            </w:tcBorders>
            <w:shd w:val="clear" w:color="auto" w:fill="auto"/>
            <w:noWrap/>
            <w:vAlign w:val="center"/>
            <w:hideMark/>
          </w:tcPr>
          <w:p w14:paraId="082F7F45" w14:textId="77777777" w:rsidR="005A3801" w:rsidRPr="00E20D21" w:rsidRDefault="005A3801" w:rsidP="005A3801">
            <w:pPr>
              <w:rPr>
                <w:rFonts w:ascii="CAIXA Std Book" w:hAnsi="CAIXA Std Book" w:cs="Calibri"/>
                <w:b/>
                <w:color w:val="005CA9"/>
                <w:sz w:val="18"/>
                <w:szCs w:val="18"/>
              </w:rPr>
            </w:pPr>
            <w:r w:rsidRPr="00E20D21">
              <w:rPr>
                <w:rFonts w:ascii="CAIXA Std Book" w:hAnsi="CAIXA Std Book" w:cs="Calibri"/>
                <w:b/>
                <w:color w:val="005CA9"/>
                <w:sz w:val="18"/>
                <w:szCs w:val="18"/>
              </w:rPr>
              <w:t>Total</w:t>
            </w:r>
          </w:p>
        </w:tc>
        <w:tc>
          <w:tcPr>
            <w:tcW w:w="830" w:type="pct"/>
            <w:tcBorders>
              <w:top w:val="single" w:sz="4" w:space="0" w:color="F39200"/>
              <w:left w:val="nil"/>
              <w:bottom w:val="single" w:sz="4" w:space="0" w:color="F39200"/>
              <w:right w:val="nil"/>
            </w:tcBorders>
            <w:shd w:val="clear" w:color="auto" w:fill="auto"/>
            <w:noWrap/>
            <w:vAlign w:val="center"/>
          </w:tcPr>
          <w:p w14:paraId="21323ACF" w14:textId="7894C049" w:rsidR="005A3801" w:rsidRPr="00E20D21" w:rsidRDefault="00524B73" w:rsidP="00524145">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1.616.001</w:t>
            </w:r>
          </w:p>
        </w:tc>
        <w:tc>
          <w:tcPr>
            <w:tcW w:w="829" w:type="pct"/>
            <w:tcBorders>
              <w:top w:val="single" w:sz="4" w:space="0" w:color="F39200"/>
              <w:left w:val="nil"/>
              <w:bottom w:val="single" w:sz="4" w:space="0" w:color="F39200"/>
              <w:right w:val="nil"/>
            </w:tcBorders>
            <w:vAlign w:val="center"/>
          </w:tcPr>
          <w:p w14:paraId="3B5AEC56" w14:textId="1E7EEE33" w:rsidR="005A3801" w:rsidRPr="00E20D21" w:rsidRDefault="005A3801" w:rsidP="005A3801">
            <w:pPr>
              <w:jc w:val="right"/>
              <w:rPr>
                <w:rFonts w:ascii="CAIXA Std Book" w:hAnsi="CAIXA Std Book" w:cs="Calibri"/>
                <w:b/>
                <w:color w:val="005CA9"/>
                <w:sz w:val="18"/>
                <w:szCs w:val="18"/>
              </w:rPr>
            </w:pPr>
            <w:r w:rsidRPr="00E20D21">
              <w:rPr>
                <w:rFonts w:ascii="CAIXA Std Book" w:hAnsi="CAIXA Std Book" w:cs="Calibri"/>
                <w:b/>
                <w:bCs/>
                <w:color w:val="005CA9"/>
                <w:sz w:val="18"/>
                <w:szCs w:val="18"/>
              </w:rPr>
              <w:t>1.538.724</w:t>
            </w:r>
          </w:p>
        </w:tc>
        <w:tc>
          <w:tcPr>
            <w:tcW w:w="829" w:type="pct"/>
            <w:tcBorders>
              <w:top w:val="single" w:sz="4" w:space="0" w:color="F39200"/>
              <w:left w:val="nil"/>
              <w:bottom w:val="single" w:sz="4" w:space="0" w:color="F39200"/>
              <w:right w:val="nil"/>
            </w:tcBorders>
            <w:vAlign w:val="center"/>
          </w:tcPr>
          <w:p w14:paraId="4DD10DCB" w14:textId="1E74D749" w:rsidR="005A3801" w:rsidRPr="00E20D21" w:rsidRDefault="00504B77" w:rsidP="00524145">
            <w:pPr>
              <w:jc w:val="right"/>
              <w:rPr>
                <w:rFonts w:ascii="CAIXA Std Book" w:hAnsi="CAIXA Std Book" w:cs="Calibri"/>
                <w:b/>
                <w:color w:val="005CA9"/>
                <w:sz w:val="18"/>
                <w:szCs w:val="18"/>
              </w:rPr>
            </w:pPr>
            <w:r w:rsidRPr="00E20D21">
              <w:rPr>
                <w:rFonts w:ascii="CAIXA Std Book" w:hAnsi="CAIXA Std Book" w:cs="Arial"/>
                <w:b/>
                <w:bCs/>
                <w:color w:val="005CA9"/>
                <w:sz w:val="18"/>
                <w:szCs w:val="18"/>
              </w:rPr>
              <w:t>1.616.001</w:t>
            </w:r>
          </w:p>
        </w:tc>
        <w:tc>
          <w:tcPr>
            <w:tcW w:w="829" w:type="pct"/>
            <w:tcBorders>
              <w:top w:val="single" w:sz="4" w:space="0" w:color="F39200"/>
              <w:left w:val="nil"/>
              <w:bottom w:val="single" w:sz="4" w:space="0" w:color="F39200"/>
              <w:right w:val="nil"/>
            </w:tcBorders>
            <w:vAlign w:val="center"/>
          </w:tcPr>
          <w:p w14:paraId="121D1F9F" w14:textId="26DA6430" w:rsidR="005A3801" w:rsidRPr="00E20D21" w:rsidRDefault="002F5270" w:rsidP="005A3801">
            <w:pPr>
              <w:jc w:val="right"/>
              <w:rPr>
                <w:rFonts w:ascii="CAIXA Std Book" w:hAnsi="CAIXA Std Book" w:cs="Calibri"/>
                <w:b/>
                <w:color w:val="005CA9"/>
                <w:sz w:val="18"/>
                <w:szCs w:val="18"/>
              </w:rPr>
            </w:pPr>
            <w:r w:rsidRPr="00E20D21">
              <w:rPr>
                <w:rFonts w:ascii="CAIXA Std Book" w:hAnsi="CAIXA Std Book" w:cs="Arial"/>
                <w:b/>
                <w:bCs/>
                <w:color w:val="005CA9"/>
                <w:sz w:val="18"/>
                <w:szCs w:val="18"/>
              </w:rPr>
              <w:t>1.530.749</w:t>
            </w:r>
          </w:p>
        </w:tc>
      </w:tr>
    </w:tbl>
    <w:p w14:paraId="5A29593D" w14:textId="77777777" w:rsidR="00DF1B37" w:rsidRPr="00E20D21" w:rsidRDefault="00DF1B37" w:rsidP="009D00F5">
      <w:pPr>
        <w:jc w:val="both"/>
        <w:rPr>
          <w:rFonts w:ascii="CAIXA Std Book" w:hAnsi="CAIXA Std Book"/>
          <w:color w:val="005CA9"/>
          <w:sz w:val="16"/>
          <w:szCs w:val="16"/>
        </w:rPr>
      </w:pPr>
      <w:bookmarkStart w:id="36" w:name="_Hlk102580140"/>
      <w:bookmarkEnd w:id="35"/>
    </w:p>
    <w:p w14:paraId="26B2A75E" w14:textId="5E14BC2F" w:rsidR="00E625FB" w:rsidRPr="00E20D21" w:rsidRDefault="00E625FB" w:rsidP="00FD7768">
      <w:pPr>
        <w:pStyle w:val="Ttulo1"/>
      </w:pPr>
      <w:bookmarkStart w:id="37" w:name="_Toc175067951"/>
      <w:bookmarkEnd w:id="36"/>
      <w:r w:rsidRPr="00E20D21">
        <w:t>Nota</w:t>
      </w:r>
      <w:r w:rsidR="004917F8" w:rsidRPr="00E20D21">
        <w:t xml:space="preserve"> </w:t>
      </w:r>
      <w:r w:rsidRPr="00E20D21">
        <w:t>1</w:t>
      </w:r>
      <w:r w:rsidR="004917F8" w:rsidRPr="00E20D21">
        <w:t>1</w:t>
      </w:r>
      <w:r w:rsidRPr="00E20D21">
        <w:t xml:space="preserve"> – Investimentos</w:t>
      </w:r>
      <w:bookmarkEnd w:id="37"/>
    </w:p>
    <w:p w14:paraId="01CD40B2" w14:textId="6F4D96F7" w:rsidR="00605DF8" w:rsidRPr="00E20D21" w:rsidRDefault="00605DF8" w:rsidP="00AD270F">
      <w:pPr>
        <w:spacing w:before="120" w:after="120"/>
        <w:jc w:val="both"/>
        <w:rPr>
          <w:rFonts w:ascii="CAIXA Std Book" w:hAnsi="CAIXA Std Book"/>
          <w:color w:val="005CA9"/>
          <w:sz w:val="20"/>
          <w:szCs w:val="20"/>
        </w:rPr>
      </w:pPr>
      <w:bookmarkStart w:id="38" w:name="_Hlk54796483"/>
      <w:r w:rsidRPr="00E20D21">
        <w:rPr>
          <w:rFonts w:ascii="CAIXA Std Book" w:hAnsi="CAIXA Std Book"/>
          <w:color w:val="005CA9"/>
          <w:sz w:val="20"/>
          <w:szCs w:val="20"/>
        </w:rPr>
        <w:t>A carteira de investimento consolidada é composta por e</w:t>
      </w:r>
      <w:r w:rsidR="00FB4C01" w:rsidRPr="00E20D21">
        <w:rPr>
          <w:rFonts w:ascii="CAIXA Std Book" w:hAnsi="CAIXA Std Book"/>
          <w:color w:val="005CA9"/>
          <w:sz w:val="20"/>
          <w:szCs w:val="20"/>
        </w:rPr>
        <w:t>mpresas</w:t>
      </w:r>
      <w:r w:rsidRPr="00E20D21">
        <w:rPr>
          <w:rFonts w:ascii="CAIXA Std Book" w:hAnsi="CAIXA Std Book"/>
          <w:color w:val="005CA9"/>
          <w:sz w:val="20"/>
          <w:szCs w:val="20"/>
        </w:rPr>
        <w:t xml:space="preserve"> controladas, coligadas e com controle conjunto, sobre as quais a CAIXA, C</w:t>
      </w:r>
      <w:r w:rsidR="00140B92" w:rsidRPr="00E20D21">
        <w:rPr>
          <w:rFonts w:ascii="CAIXA Std Book" w:hAnsi="CAIXA Std Book"/>
          <w:color w:val="005CA9"/>
          <w:sz w:val="20"/>
          <w:szCs w:val="20"/>
        </w:rPr>
        <w:t>aixa</w:t>
      </w:r>
      <w:r w:rsidRPr="00E20D21">
        <w:rPr>
          <w:rFonts w:ascii="CAIXA Std Book" w:hAnsi="CAIXA Std Book"/>
          <w:color w:val="005CA9"/>
          <w:sz w:val="20"/>
          <w:szCs w:val="20"/>
        </w:rPr>
        <w:t xml:space="preserve"> Cartões, C</w:t>
      </w:r>
      <w:r w:rsidR="00140B92" w:rsidRPr="00E20D21">
        <w:rPr>
          <w:rFonts w:ascii="CAIXA Std Book" w:hAnsi="CAIXA Std Book"/>
          <w:color w:val="005CA9"/>
          <w:sz w:val="20"/>
          <w:szCs w:val="20"/>
        </w:rPr>
        <w:t>aixa</w:t>
      </w:r>
      <w:r w:rsidRPr="00E20D21">
        <w:rPr>
          <w:rFonts w:ascii="CAIXA Std Book" w:hAnsi="CAIXA Std Book"/>
          <w:color w:val="005CA9"/>
          <w:sz w:val="20"/>
          <w:szCs w:val="20"/>
        </w:rPr>
        <w:t xml:space="preserve"> Loterias</w:t>
      </w:r>
      <w:r w:rsidR="009704B1" w:rsidRPr="00E20D21">
        <w:rPr>
          <w:rFonts w:ascii="CAIXA Std Book" w:hAnsi="CAIXA Std Book"/>
          <w:color w:val="005CA9"/>
          <w:sz w:val="20"/>
          <w:szCs w:val="20"/>
        </w:rPr>
        <w:t>, C</w:t>
      </w:r>
      <w:r w:rsidR="00140B92" w:rsidRPr="00E20D21">
        <w:rPr>
          <w:rFonts w:ascii="CAIXA Std Book" w:hAnsi="CAIXA Std Book"/>
          <w:color w:val="005CA9"/>
          <w:sz w:val="20"/>
          <w:szCs w:val="20"/>
        </w:rPr>
        <w:t>aixa</w:t>
      </w:r>
      <w:r w:rsidR="009704B1" w:rsidRPr="00E20D21">
        <w:rPr>
          <w:rFonts w:ascii="CAIXA Std Book" w:hAnsi="CAIXA Std Book"/>
          <w:color w:val="005CA9"/>
          <w:sz w:val="20"/>
          <w:szCs w:val="20"/>
        </w:rPr>
        <w:t xml:space="preserve"> </w:t>
      </w:r>
      <w:proofErr w:type="spellStart"/>
      <w:r w:rsidR="0003156F" w:rsidRPr="00E20D21">
        <w:rPr>
          <w:rFonts w:ascii="CAIXA Std Book" w:hAnsi="CAIXA Std Book"/>
          <w:color w:val="005CA9"/>
          <w:sz w:val="20"/>
          <w:szCs w:val="20"/>
        </w:rPr>
        <w:t>Asset</w:t>
      </w:r>
      <w:proofErr w:type="spellEnd"/>
      <w:r w:rsidR="00FB4C01" w:rsidRPr="00E20D21">
        <w:rPr>
          <w:rFonts w:ascii="CAIXA Std Book" w:hAnsi="CAIXA Std Book"/>
          <w:color w:val="005CA9"/>
          <w:sz w:val="20"/>
          <w:szCs w:val="20"/>
        </w:rPr>
        <w:t xml:space="preserve"> e</w:t>
      </w:r>
      <w:r w:rsidRPr="00E20D21">
        <w:rPr>
          <w:rFonts w:ascii="CAIXA Std Book" w:hAnsi="CAIXA Std Book"/>
          <w:color w:val="005CA9"/>
          <w:sz w:val="20"/>
          <w:szCs w:val="20"/>
        </w:rPr>
        <w:t xml:space="preserve"> </w:t>
      </w:r>
      <w:r w:rsidR="00060796" w:rsidRPr="00E20D21">
        <w:rPr>
          <w:rFonts w:ascii="CAIXA Std Book" w:hAnsi="CAIXA Std Book"/>
          <w:color w:val="005CA9"/>
          <w:sz w:val="20"/>
          <w:szCs w:val="20"/>
        </w:rPr>
        <w:t>a</w:t>
      </w:r>
      <w:r w:rsidRPr="00E20D21">
        <w:rPr>
          <w:rFonts w:ascii="CAIXA Std Book" w:hAnsi="CAIXA Std Book"/>
          <w:color w:val="005CA9"/>
          <w:sz w:val="20"/>
          <w:szCs w:val="20"/>
        </w:rPr>
        <w:t xml:space="preserve"> C</w:t>
      </w:r>
      <w:r w:rsidR="00140B92" w:rsidRPr="00E20D21">
        <w:rPr>
          <w:rFonts w:ascii="CAIXA Std Book" w:hAnsi="CAIXA Std Book"/>
          <w:color w:val="005CA9"/>
          <w:sz w:val="20"/>
          <w:szCs w:val="20"/>
        </w:rPr>
        <w:t>aixa</w:t>
      </w:r>
      <w:r w:rsidRPr="00E20D21">
        <w:rPr>
          <w:rFonts w:ascii="CAIXA Std Book" w:hAnsi="CAIXA Std Book"/>
          <w:color w:val="005CA9"/>
          <w:sz w:val="20"/>
          <w:szCs w:val="20"/>
        </w:rPr>
        <w:t xml:space="preserve"> Seguridade exercem controle, influência significativa ou possuam controle compartilhado.</w:t>
      </w:r>
    </w:p>
    <w:p w14:paraId="3A37A83C" w14:textId="2C5ECC06" w:rsidR="00605DF8" w:rsidRPr="00E20D21" w:rsidRDefault="00605DF8" w:rsidP="00AD27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participações na qual a CAIXA detenha o controle</w:t>
      </w:r>
      <w:r w:rsidR="00C37B99" w:rsidRPr="00E20D21">
        <w:rPr>
          <w:rFonts w:ascii="CAIXA Std Book" w:hAnsi="CAIXA Std Book"/>
          <w:color w:val="005CA9"/>
          <w:sz w:val="20"/>
          <w:szCs w:val="20"/>
        </w:rPr>
        <w:t>, direta ou indiretamente,</w:t>
      </w:r>
      <w:r w:rsidR="00060796" w:rsidRPr="00E20D21">
        <w:rPr>
          <w:rFonts w:ascii="CAIXA Std Book" w:hAnsi="CAIXA Std Book"/>
          <w:color w:val="005CA9"/>
          <w:sz w:val="20"/>
          <w:szCs w:val="20"/>
        </w:rPr>
        <w:t xml:space="preserve"> </w:t>
      </w:r>
      <w:r w:rsidRPr="00E20D21">
        <w:rPr>
          <w:rFonts w:ascii="CAIXA Std Book" w:hAnsi="CAIXA Std Book"/>
          <w:color w:val="005CA9"/>
          <w:sz w:val="20"/>
          <w:szCs w:val="20"/>
        </w:rPr>
        <w:t>são consolidadas</w:t>
      </w:r>
      <w:r w:rsidR="00060796"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na elaboração das </w:t>
      </w:r>
      <w:r w:rsidR="00B85278" w:rsidRPr="00E20D21">
        <w:rPr>
          <w:rFonts w:ascii="CAIXA Std Book" w:hAnsi="CAIXA Std Book"/>
          <w:color w:val="005CA9"/>
          <w:sz w:val="20"/>
          <w:szCs w:val="20"/>
        </w:rPr>
        <w:t>D</w:t>
      </w:r>
      <w:r w:rsidRPr="00E20D21">
        <w:rPr>
          <w:rFonts w:ascii="CAIXA Std Book" w:hAnsi="CAIXA Std Book"/>
          <w:color w:val="005CA9"/>
          <w:sz w:val="20"/>
          <w:szCs w:val="20"/>
        </w:rPr>
        <w:t xml:space="preserve">emonstrações </w:t>
      </w:r>
      <w:r w:rsidR="00B85278" w:rsidRPr="00E20D21">
        <w:rPr>
          <w:rFonts w:ascii="CAIXA Std Book" w:hAnsi="CAIXA Std Book"/>
          <w:color w:val="005CA9"/>
          <w:sz w:val="20"/>
          <w:szCs w:val="20"/>
        </w:rPr>
        <w:t>C</w:t>
      </w:r>
      <w:r w:rsidRPr="00E20D21">
        <w:rPr>
          <w:rFonts w:ascii="CAIXA Std Book" w:hAnsi="CAIXA Std Book"/>
          <w:color w:val="005CA9"/>
          <w:sz w:val="20"/>
          <w:szCs w:val="20"/>
        </w:rPr>
        <w:t xml:space="preserve">ontábeis </w:t>
      </w:r>
      <w:r w:rsidR="00B85278" w:rsidRPr="00E20D21">
        <w:rPr>
          <w:rFonts w:ascii="CAIXA Std Book" w:hAnsi="CAIXA Std Book"/>
          <w:color w:val="005CA9"/>
          <w:sz w:val="20"/>
          <w:szCs w:val="20"/>
        </w:rPr>
        <w:t>C</w:t>
      </w:r>
      <w:r w:rsidRPr="00E20D21">
        <w:rPr>
          <w:rFonts w:ascii="CAIXA Std Book" w:hAnsi="CAIXA Std Book"/>
          <w:color w:val="005CA9"/>
          <w:sz w:val="20"/>
          <w:szCs w:val="20"/>
        </w:rPr>
        <w:t>onsolidadas do Conglomerado CAIXA.</w:t>
      </w:r>
    </w:p>
    <w:p w14:paraId="6876E3F2" w14:textId="77777777" w:rsidR="0015370F" w:rsidRPr="00E20D21" w:rsidRDefault="0015370F" w:rsidP="00101596">
      <w:pPr>
        <w:spacing w:before="480" w:after="240"/>
        <w:rPr>
          <w:rFonts w:ascii="CAIXA Std Book" w:eastAsia="Times New Roman" w:hAnsi="CAIXA Std Book" w:cs="Arial"/>
          <w:b/>
          <w:color w:val="005CA9"/>
          <w:sz w:val="20"/>
          <w:szCs w:val="20"/>
        </w:rPr>
      </w:pPr>
    </w:p>
    <w:p w14:paraId="453C1B73" w14:textId="498BC7E3" w:rsidR="00A47C19" w:rsidRPr="00E20D21" w:rsidRDefault="00A47C19" w:rsidP="00101596">
      <w:pPr>
        <w:spacing w:before="480" w:after="240"/>
        <w:rPr>
          <w:rFonts w:ascii="CAIXA Std Book" w:eastAsia="Times New Roman" w:hAnsi="CAIXA Std Book" w:cs="Arial"/>
          <w:b/>
          <w:color w:val="005CA9"/>
          <w:sz w:val="20"/>
          <w:szCs w:val="20"/>
        </w:rPr>
        <w:sectPr w:rsidR="00A47C19" w:rsidRPr="00E20D21" w:rsidSect="001F0E96">
          <w:headerReference w:type="default" r:id="rId47"/>
          <w:footerReference w:type="default" r:id="rId48"/>
          <w:headerReference w:type="first" r:id="rId49"/>
          <w:footerReference w:type="first" r:id="rId50"/>
          <w:pgSz w:w="11907" w:h="16840" w:code="9"/>
          <w:pgMar w:top="1418" w:right="851" w:bottom="1418" w:left="1418" w:header="1134" w:footer="709" w:gutter="0"/>
          <w:cols w:space="708"/>
          <w:titlePg/>
          <w:docGrid w:linePitch="360"/>
        </w:sectPr>
      </w:pPr>
    </w:p>
    <w:p w14:paraId="1955A319" w14:textId="6AE88EFC" w:rsidR="00E259C0" w:rsidRPr="00E20D21" w:rsidRDefault="00E259C0" w:rsidP="00E259C0">
      <w:pPr>
        <w:spacing w:before="120" w:after="240"/>
        <w:jc w:val="both"/>
        <w:rPr>
          <w:rFonts w:ascii="CAIXA Std Book" w:hAnsi="CAIXA Std Book"/>
          <w:color w:val="005CA9"/>
          <w:sz w:val="20"/>
          <w:szCs w:val="20"/>
        </w:rPr>
      </w:pPr>
      <w:r w:rsidRPr="00E20D21">
        <w:rPr>
          <w:rFonts w:ascii="CAIXA Std Book" w:hAnsi="CAIXA Std Book"/>
          <w:color w:val="005CA9"/>
          <w:sz w:val="20"/>
          <w:szCs w:val="20"/>
        </w:rPr>
        <w:lastRenderedPageBreak/>
        <w:t>A tabela a seguir apresenta as participações em controladas, controladas em conjunto e coligadas do conglomerado CAIXA.</w:t>
      </w:r>
    </w:p>
    <w:tbl>
      <w:tblPr>
        <w:tblW w:w="5000" w:type="pct"/>
        <w:tblCellMar>
          <w:left w:w="0" w:type="dxa"/>
          <w:right w:w="0" w:type="dxa"/>
        </w:tblCellMar>
        <w:tblLook w:val="04A0" w:firstRow="1" w:lastRow="0" w:firstColumn="1" w:lastColumn="0" w:noHBand="0" w:noVBand="1"/>
      </w:tblPr>
      <w:tblGrid>
        <w:gridCol w:w="2434"/>
        <w:gridCol w:w="1253"/>
        <w:gridCol w:w="1938"/>
        <w:gridCol w:w="2576"/>
        <w:gridCol w:w="5123"/>
        <w:gridCol w:w="1247"/>
      </w:tblGrid>
      <w:tr w:rsidR="00A47C19" w:rsidRPr="00E20D21" w14:paraId="23CF350E" w14:textId="77777777" w:rsidTr="00977F0B">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2C730E2F" w14:textId="77777777" w:rsidR="001D44DF" w:rsidRPr="00E20D21" w:rsidRDefault="001D44DF" w:rsidP="001D44DF">
            <w:pPr>
              <w:jc w:val="center"/>
              <w:rPr>
                <w:rFonts w:ascii="CAIXA Std Book" w:eastAsia="Calibri" w:hAnsi="CAIXA Std Book" w:cs="Arial"/>
                <w:b/>
                <w:color w:val="005CA9"/>
                <w:sz w:val="18"/>
                <w:szCs w:val="18"/>
              </w:rPr>
            </w:pPr>
            <w:bookmarkStart w:id="39" w:name="_Hlk54796496"/>
            <w:bookmarkEnd w:id="38"/>
            <w:r w:rsidRPr="00E20D21">
              <w:rPr>
                <w:rFonts w:ascii="CAIXA Std Book" w:eastAsia="Calibri" w:hAnsi="CAIXA Std Book" w:cs="Arial"/>
                <w:b/>
                <w:color w:val="005CA9"/>
                <w:sz w:val="18"/>
                <w:szCs w:val="18"/>
                <w:lang w:eastAsia="en-US"/>
              </w:rPr>
              <w:t>Empresa (1)</w:t>
            </w:r>
          </w:p>
        </w:tc>
        <w:tc>
          <w:tcPr>
            <w:tcW w:w="430" w:type="pct"/>
            <w:tcBorders>
              <w:top w:val="single" w:sz="4" w:space="0" w:color="F79646" w:themeColor="accent6"/>
              <w:left w:val="nil"/>
              <w:bottom w:val="single" w:sz="4" w:space="0" w:color="F79646" w:themeColor="accent6"/>
              <w:right w:val="nil"/>
            </w:tcBorders>
            <w:shd w:val="clear" w:color="auto" w:fill="auto"/>
            <w:vAlign w:val="center"/>
            <w:hideMark/>
          </w:tcPr>
          <w:p w14:paraId="54F3F1C5" w14:textId="77777777" w:rsidR="001D44DF" w:rsidRPr="00E20D21" w:rsidRDefault="001D44DF" w:rsidP="001D44DF">
            <w:pPr>
              <w:jc w:val="cente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País de constituição</w:t>
            </w:r>
          </w:p>
        </w:tc>
        <w:tc>
          <w:tcPr>
            <w:tcW w:w="665" w:type="pct"/>
            <w:tcBorders>
              <w:top w:val="single" w:sz="4" w:space="0" w:color="F79646" w:themeColor="accent6"/>
              <w:left w:val="nil"/>
              <w:bottom w:val="single" w:sz="4" w:space="0" w:color="F79646" w:themeColor="accent6"/>
              <w:right w:val="nil"/>
            </w:tcBorders>
            <w:shd w:val="clear" w:color="auto" w:fill="auto"/>
            <w:vAlign w:val="center"/>
            <w:hideMark/>
          </w:tcPr>
          <w:p w14:paraId="2D8F0475" w14:textId="77777777" w:rsidR="001D44DF" w:rsidRPr="00E20D21" w:rsidRDefault="001D44DF" w:rsidP="001D44DF">
            <w:pPr>
              <w:jc w:val="cente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Sede</w:t>
            </w:r>
          </w:p>
        </w:tc>
        <w:tc>
          <w:tcPr>
            <w:tcW w:w="884" w:type="pct"/>
            <w:tcBorders>
              <w:top w:val="single" w:sz="4" w:space="0" w:color="F79646" w:themeColor="accent6"/>
              <w:left w:val="nil"/>
              <w:bottom w:val="single" w:sz="4" w:space="0" w:color="F79646" w:themeColor="accent6"/>
              <w:right w:val="nil"/>
            </w:tcBorders>
            <w:shd w:val="clear" w:color="auto" w:fill="auto"/>
            <w:vAlign w:val="center"/>
            <w:hideMark/>
          </w:tcPr>
          <w:p w14:paraId="62AAD9F0" w14:textId="77777777" w:rsidR="001D44DF" w:rsidRPr="00E20D21" w:rsidRDefault="001D44DF" w:rsidP="001D44DF">
            <w:pPr>
              <w:jc w:val="cente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Natureza do relacionamento</w:t>
            </w:r>
          </w:p>
        </w:tc>
        <w:tc>
          <w:tcPr>
            <w:tcW w:w="1758" w:type="pct"/>
            <w:tcBorders>
              <w:top w:val="single" w:sz="4" w:space="0" w:color="F79646" w:themeColor="accent6"/>
              <w:left w:val="nil"/>
              <w:bottom w:val="single" w:sz="4" w:space="0" w:color="F79646" w:themeColor="accent6"/>
              <w:right w:val="nil"/>
            </w:tcBorders>
            <w:shd w:val="clear" w:color="auto" w:fill="auto"/>
            <w:vAlign w:val="center"/>
            <w:hideMark/>
          </w:tcPr>
          <w:p w14:paraId="4F77B96F" w14:textId="77777777" w:rsidR="001D44DF" w:rsidRPr="00E20D21" w:rsidRDefault="001D44DF" w:rsidP="001D44DF">
            <w:pPr>
              <w:jc w:val="cente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Atividade</w:t>
            </w:r>
          </w:p>
        </w:tc>
        <w:tc>
          <w:tcPr>
            <w:tcW w:w="428" w:type="pct"/>
            <w:tcBorders>
              <w:top w:val="single" w:sz="4" w:space="0" w:color="F79646" w:themeColor="accent6"/>
              <w:left w:val="nil"/>
              <w:bottom w:val="single" w:sz="4" w:space="0" w:color="F79646" w:themeColor="accent6"/>
              <w:right w:val="nil"/>
            </w:tcBorders>
            <w:shd w:val="clear" w:color="auto" w:fill="auto"/>
            <w:vAlign w:val="center"/>
            <w:hideMark/>
          </w:tcPr>
          <w:p w14:paraId="3F11AAB8" w14:textId="77777777" w:rsidR="001D44DF" w:rsidRPr="00E20D21" w:rsidRDefault="001D44DF" w:rsidP="001D44DF">
            <w:pPr>
              <w:jc w:val="cente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Participação estratégica (2)</w:t>
            </w:r>
          </w:p>
        </w:tc>
      </w:tr>
      <w:tr w:rsidR="00A47C19" w:rsidRPr="00E20D21" w14:paraId="040B78B1" w14:textId="77777777" w:rsidTr="00977F0B">
        <w:trPr>
          <w:trHeight w:val="283"/>
        </w:trPr>
        <w:tc>
          <w:tcPr>
            <w:tcW w:w="835" w:type="pct"/>
            <w:tcBorders>
              <w:top w:val="nil"/>
              <w:left w:val="nil"/>
              <w:bottom w:val="single" w:sz="4" w:space="0" w:color="F79646" w:themeColor="accent6"/>
              <w:right w:val="nil"/>
            </w:tcBorders>
            <w:shd w:val="clear" w:color="auto" w:fill="auto"/>
            <w:vAlign w:val="center"/>
            <w:hideMark/>
          </w:tcPr>
          <w:p w14:paraId="5F331640"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CAIXA</w:t>
            </w:r>
          </w:p>
        </w:tc>
        <w:tc>
          <w:tcPr>
            <w:tcW w:w="430" w:type="pct"/>
            <w:tcBorders>
              <w:top w:val="nil"/>
              <w:left w:val="nil"/>
              <w:bottom w:val="single" w:sz="4" w:space="0" w:color="F79646" w:themeColor="accent6"/>
              <w:right w:val="nil"/>
            </w:tcBorders>
            <w:shd w:val="clear" w:color="auto" w:fill="auto"/>
            <w:noWrap/>
            <w:vAlign w:val="center"/>
            <w:hideMark/>
          </w:tcPr>
          <w:p w14:paraId="45E98FFC"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Brasil</w:t>
            </w:r>
          </w:p>
        </w:tc>
        <w:tc>
          <w:tcPr>
            <w:tcW w:w="665" w:type="pct"/>
            <w:tcBorders>
              <w:top w:val="nil"/>
              <w:left w:val="nil"/>
              <w:bottom w:val="single" w:sz="4" w:space="0" w:color="F79646" w:themeColor="accent6"/>
              <w:right w:val="nil"/>
            </w:tcBorders>
            <w:shd w:val="clear" w:color="auto" w:fill="auto"/>
            <w:noWrap/>
            <w:vAlign w:val="center"/>
            <w:hideMark/>
          </w:tcPr>
          <w:p w14:paraId="2C457E41"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Brasília (DF)</w:t>
            </w:r>
          </w:p>
        </w:tc>
        <w:tc>
          <w:tcPr>
            <w:tcW w:w="884" w:type="pct"/>
            <w:tcBorders>
              <w:top w:val="nil"/>
              <w:left w:val="nil"/>
              <w:bottom w:val="single" w:sz="4" w:space="0" w:color="F79646" w:themeColor="accent6"/>
              <w:right w:val="nil"/>
            </w:tcBorders>
            <w:shd w:val="clear" w:color="auto" w:fill="auto"/>
            <w:noWrap/>
            <w:vAlign w:val="center"/>
            <w:hideMark/>
          </w:tcPr>
          <w:p w14:paraId="010956F0"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Líd</w:t>
            </w:r>
            <w:r w:rsidR="00BF07B4" w:rsidRPr="00E20D21">
              <w:rPr>
                <w:rFonts w:ascii="CAIXA Std Book" w:eastAsia="Calibri" w:hAnsi="CAIXA Std Book" w:cs="Arial"/>
                <w:b/>
                <w:color w:val="005CA9"/>
                <w:sz w:val="18"/>
                <w:szCs w:val="18"/>
                <w:lang w:eastAsia="en-US"/>
              </w:rPr>
              <w:t>er do Conglomerado</w:t>
            </w:r>
          </w:p>
        </w:tc>
        <w:tc>
          <w:tcPr>
            <w:tcW w:w="1758" w:type="pct"/>
            <w:tcBorders>
              <w:top w:val="nil"/>
              <w:left w:val="nil"/>
              <w:bottom w:val="single" w:sz="4" w:space="0" w:color="F79646" w:themeColor="accent6"/>
              <w:right w:val="nil"/>
            </w:tcBorders>
            <w:shd w:val="clear" w:color="auto" w:fill="auto"/>
            <w:noWrap/>
            <w:vAlign w:val="center"/>
            <w:hideMark/>
          </w:tcPr>
          <w:p w14:paraId="5E58E810" w14:textId="77777777" w:rsidR="001D44DF" w:rsidRPr="00E20D21" w:rsidRDefault="18D2B3E5"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Caixa Eco</w:t>
            </w:r>
            <w:r w:rsidR="615EBF43" w:rsidRPr="00E20D21">
              <w:rPr>
                <w:rFonts w:ascii="CAIXA Std Book" w:eastAsia="Calibri" w:hAnsi="CAIXA Std Book" w:cs="Arial"/>
                <w:b/>
                <w:color w:val="005CA9"/>
                <w:sz w:val="18"/>
                <w:szCs w:val="18"/>
                <w:lang w:eastAsia="en-US"/>
              </w:rPr>
              <w:t>n</w:t>
            </w:r>
            <w:r w:rsidRPr="00E20D21">
              <w:rPr>
                <w:rFonts w:ascii="CAIXA Std Book" w:eastAsia="Calibri" w:hAnsi="CAIXA Std Book" w:cs="Arial"/>
                <w:b/>
                <w:color w:val="005CA9"/>
                <w:sz w:val="18"/>
                <w:szCs w:val="18"/>
                <w:lang w:eastAsia="en-US"/>
              </w:rPr>
              <w:t>ômica Federal</w:t>
            </w:r>
          </w:p>
        </w:tc>
        <w:tc>
          <w:tcPr>
            <w:tcW w:w="428" w:type="pct"/>
            <w:tcBorders>
              <w:top w:val="nil"/>
              <w:left w:val="nil"/>
              <w:bottom w:val="single" w:sz="4" w:space="0" w:color="F79646" w:themeColor="accent6"/>
              <w:right w:val="nil"/>
            </w:tcBorders>
            <w:shd w:val="clear" w:color="auto" w:fill="auto"/>
            <w:noWrap/>
            <w:vAlign w:val="center"/>
            <w:hideMark/>
          </w:tcPr>
          <w:p w14:paraId="13CB9478"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 </w:t>
            </w:r>
          </w:p>
        </w:tc>
      </w:tr>
      <w:tr w:rsidR="00A47C19" w:rsidRPr="00E20D21" w14:paraId="23472553" w14:textId="77777777" w:rsidTr="00977F0B">
        <w:trPr>
          <w:trHeight w:val="283"/>
        </w:trPr>
        <w:tc>
          <w:tcPr>
            <w:tcW w:w="835" w:type="pct"/>
            <w:tcBorders>
              <w:top w:val="nil"/>
              <w:left w:val="nil"/>
              <w:bottom w:val="nil"/>
              <w:right w:val="nil"/>
            </w:tcBorders>
            <w:shd w:val="clear" w:color="auto" w:fill="auto"/>
            <w:vAlign w:val="center"/>
            <w:hideMark/>
          </w:tcPr>
          <w:p w14:paraId="4721E183"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TecBan</w:t>
            </w:r>
          </w:p>
        </w:tc>
        <w:tc>
          <w:tcPr>
            <w:tcW w:w="430" w:type="pct"/>
            <w:tcBorders>
              <w:top w:val="nil"/>
              <w:left w:val="nil"/>
              <w:bottom w:val="nil"/>
              <w:right w:val="nil"/>
            </w:tcBorders>
            <w:shd w:val="clear" w:color="auto" w:fill="auto"/>
            <w:noWrap/>
            <w:vAlign w:val="center"/>
            <w:hideMark/>
          </w:tcPr>
          <w:p w14:paraId="79D535CE"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037E0A2A"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15589725" w14:textId="48F33C7E"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w:t>
            </w:r>
            <w:r w:rsidR="00791784" w:rsidRPr="00E20D21">
              <w:rPr>
                <w:rFonts w:ascii="CAIXA Std Book" w:eastAsia="Calibri" w:hAnsi="CAIXA Std Book" w:cs="Arial"/>
                <w:color w:val="005CA9"/>
                <w:sz w:val="18"/>
                <w:szCs w:val="18"/>
                <w:lang w:eastAsia="en-US"/>
              </w:rPr>
              <w:t>ligada</w:t>
            </w:r>
          </w:p>
        </w:tc>
        <w:tc>
          <w:tcPr>
            <w:tcW w:w="1758" w:type="pct"/>
            <w:tcBorders>
              <w:top w:val="nil"/>
              <w:left w:val="nil"/>
              <w:bottom w:val="nil"/>
              <w:right w:val="nil"/>
            </w:tcBorders>
            <w:shd w:val="clear" w:color="auto" w:fill="auto"/>
            <w:noWrap/>
            <w:vAlign w:val="center"/>
            <w:hideMark/>
          </w:tcPr>
          <w:p w14:paraId="02AB2E87"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Tecnologia bancária</w:t>
            </w:r>
          </w:p>
        </w:tc>
        <w:tc>
          <w:tcPr>
            <w:tcW w:w="428" w:type="pct"/>
            <w:tcBorders>
              <w:top w:val="nil"/>
              <w:left w:val="nil"/>
              <w:bottom w:val="nil"/>
              <w:right w:val="nil"/>
            </w:tcBorders>
            <w:shd w:val="clear" w:color="auto" w:fill="auto"/>
            <w:noWrap/>
            <w:vAlign w:val="center"/>
            <w:hideMark/>
          </w:tcPr>
          <w:p w14:paraId="7C249A7A"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592D05FA" w14:textId="77777777" w:rsidTr="00977F0B">
        <w:trPr>
          <w:trHeight w:val="283"/>
        </w:trPr>
        <w:tc>
          <w:tcPr>
            <w:tcW w:w="835" w:type="pct"/>
            <w:tcBorders>
              <w:top w:val="nil"/>
              <w:left w:val="nil"/>
              <w:bottom w:val="nil"/>
              <w:right w:val="nil"/>
            </w:tcBorders>
            <w:shd w:val="clear" w:color="auto" w:fill="auto"/>
            <w:vAlign w:val="center"/>
            <w:hideMark/>
          </w:tcPr>
          <w:p w14:paraId="7B6F9406"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Quod</w:t>
            </w:r>
          </w:p>
        </w:tc>
        <w:tc>
          <w:tcPr>
            <w:tcW w:w="430" w:type="pct"/>
            <w:tcBorders>
              <w:top w:val="nil"/>
              <w:left w:val="nil"/>
              <w:bottom w:val="nil"/>
              <w:right w:val="nil"/>
            </w:tcBorders>
            <w:shd w:val="clear" w:color="auto" w:fill="auto"/>
            <w:noWrap/>
            <w:vAlign w:val="center"/>
            <w:hideMark/>
          </w:tcPr>
          <w:p w14:paraId="028EB733"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816CD4F"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5DCF28DD" w14:textId="728DD9BB"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w:t>
            </w:r>
            <w:r w:rsidR="009D6E2F" w:rsidRPr="00E20D21">
              <w:rPr>
                <w:rFonts w:ascii="CAIXA Std Book" w:eastAsia="Calibri" w:hAnsi="CAIXA Std Book" w:cs="Arial"/>
                <w:color w:val="005CA9"/>
                <w:sz w:val="18"/>
                <w:szCs w:val="18"/>
                <w:lang w:eastAsia="en-US"/>
              </w:rPr>
              <w:t>ligada</w:t>
            </w:r>
          </w:p>
        </w:tc>
        <w:tc>
          <w:tcPr>
            <w:tcW w:w="1758" w:type="pct"/>
            <w:tcBorders>
              <w:top w:val="nil"/>
              <w:left w:val="nil"/>
              <w:bottom w:val="nil"/>
              <w:right w:val="nil"/>
            </w:tcBorders>
            <w:shd w:val="clear" w:color="auto" w:fill="auto"/>
            <w:noWrap/>
            <w:vAlign w:val="center"/>
            <w:hideMark/>
          </w:tcPr>
          <w:p w14:paraId="6F5F9CF8"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Birô de crédito</w:t>
            </w:r>
          </w:p>
        </w:tc>
        <w:tc>
          <w:tcPr>
            <w:tcW w:w="428" w:type="pct"/>
            <w:tcBorders>
              <w:top w:val="nil"/>
              <w:left w:val="nil"/>
              <w:bottom w:val="nil"/>
              <w:right w:val="nil"/>
            </w:tcBorders>
            <w:shd w:val="clear" w:color="auto" w:fill="auto"/>
            <w:noWrap/>
            <w:vAlign w:val="center"/>
            <w:hideMark/>
          </w:tcPr>
          <w:p w14:paraId="4215CB82"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35D11442" w14:textId="77777777" w:rsidTr="00977F0B">
        <w:trPr>
          <w:trHeight w:val="283"/>
        </w:trPr>
        <w:tc>
          <w:tcPr>
            <w:tcW w:w="835" w:type="pct"/>
            <w:tcBorders>
              <w:top w:val="nil"/>
              <w:left w:val="nil"/>
              <w:bottom w:val="nil"/>
              <w:right w:val="nil"/>
            </w:tcBorders>
            <w:shd w:val="clear" w:color="auto" w:fill="auto"/>
            <w:vAlign w:val="center"/>
            <w:hideMark/>
          </w:tcPr>
          <w:p w14:paraId="2F4B3A2A"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Galgo Sistemas de Informações</w:t>
            </w:r>
          </w:p>
        </w:tc>
        <w:tc>
          <w:tcPr>
            <w:tcW w:w="430" w:type="pct"/>
            <w:tcBorders>
              <w:top w:val="nil"/>
              <w:left w:val="nil"/>
              <w:bottom w:val="nil"/>
              <w:right w:val="nil"/>
            </w:tcBorders>
            <w:shd w:val="clear" w:color="auto" w:fill="auto"/>
            <w:noWrap/>
            <w:vAlign w:val="center"/>
            <w:hideMark/>
          </w:tcPr>
          <w:p w14:paraId="740317C6" w14:textId="77777777" w:rsidR="001D44DF" w:rsidRPr="00E20D21" w:rsidRDefault="006C4E63"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5B401D0"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55B65E34" w14:textId="77777777" w:rsidR="001D44DF" w:rsidRPr="00E20D21" w:rsidRDefault="002C7FF7"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5048E255"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Outras atividades</w:t>
            </w:r>
          </w:p>
        </w:tc>
        <w:tc>
          <w:tcPr>
            <w:tcW w:w="428" w:type="pct"/>
            <w:tcBorders>
              <w:top w:val="nil"/>
              <w:left w:val="nil"/>
              <w:bottom w:val="nil"/>
              <w:right w:val="nil"/>
            </w:tcBorders>
            <w:shd w:val="clear" w:color="auto" w:fill="auto"/>
            <w:noWrap/>
            <w:vAlign w:val="center"/>
            <w:hideMark/>
          </w:tcPr>
          <w:p w14:paraId="171FB0DF"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20837FB2" w14:textId="77777777" w:rsidTr="00977F0B">
        <w:trPr>
          <w:trHeight w:val="283"/>
        </w:trPr>
        <w:tc>
          <w:tcPr>
            <w:tcW w:w="835" w:type="pct"/>
            <w:tcBorders>
              <w:top w:val="nil"/>
              <w:left w:val="nil"/>
              <w:bottom w:val="nil"/>
              <w:right w:val="nil"/>
            </w:tcBorders>
            <w:shd w:val="clear" w:color="auto" w:fill="auto"/>
            <w:vAlign w:val="center"/>
          </w:tcPr>
          <w:p w14:paraId="3102F920" w14:textId="679B8822" w:rsidR="006C4E63" w:rsidRPr="00E20D21" w:rsidRDefault="009E7E33" w:rsidP="001D44DF">
            <w:pPr>
              <w:rPr>
                <w:rFonts w:ascii="CAIXA Std Book" w:eastAsia="Calibri" w:hAnsi="CAIXA Std Book" w:cs="Arial"/>
                <w:color w:val="005CA9"/>
                <w:sz w:val="18"/>
                <w:szCs w:val="18"/>
                <w:lang w:eastAsia="en-US"/>
              </w:rPr>
            </w:pPr>
            <w:proofErr w:type="spellStart"/>
            <w:r w:rsidRPr="00E20D21">
              <w:rPr>
                <w:rFonts w:ascii="CAIXA Std Book" w:eastAsia="Calibri" w:hAnsi="CAIXA Std Book" w:cs="Arial"/>
                <w:color w:val="005CA9"/>
                <w:sz w:val="18"/>
                <w:szCs w:val="18"/>
                <w:lang w:eastAsia="en-US"/>
              </w:rPr>
              <w:t>Núclea</w:t>
            </w:r>
            <w:proofErr w:type="spellEnd"/>
          </w:p>
        </w:tc>
        <w:tc>
          <w:tcPr>
            <w:tcW w:w="430" w:type="pct"/>
            <w:tcBorders>
              <w:top w:val="nil"/>
              <w:left w:val="nil"/>
              <w:bottom w:val="nil"/>
              <w:right w:val="nil"/>
            </w:tcBorders>
            <w:shd w:val="clear" w:color="auto" w:fill="auto"/>
            <w:noWrap/>
            <w:vAlign w:val="center"/>
          </w:tcPr>
          <w:p w14:paraId="5A1C0F99" w14:textId="77777777" w:rsidR="006C4E63" w:rsidRPr="00E20D21" w:rsidRDefault="006C4E63"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tcPr>
          <w:p w14:paraId="018F4BA9" w14:textId="77777777" w:rsidR="006C4E63" w:rsidRPr="00E20D21" w:rsidRDefault="006C4E63"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tcPr>
          <w:p w14:paraId="71563529" w14:textId="77777777" w:rsidR="006C4E63" w:rsidRPr="00E20D21" w:rsidRDefault="006C4E63"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w:t>
            </w:r>
            <w:r w:rsidR="006815CB" w:rsidRPr="00E20D21">
              <w:rPr>
                <w:rFonts w:ascii="CAIXA Std Book" w:eastAsia="Calibri" w:hAnsi="CAIXA Std Book" w:cs="Arial"/>
                <w:color w:val="005CA9"/>
                <w:sz w:val="18"/>
                <w:szCs w:val="18"/>
                <w:lang w:eastAsia="en-US"/>
              </w:rPr>
              <w:t>ligada</w:t>
            </w:r>
          </w:p>
        </w:tc>
        <w:tc>
          <w:tcPr>
            <w:tcW w:w="1758" w:type="pct"/>
            <w:tcBorders>
              <w:top w:val="nil"/>
              <w:left w:val="nil"/>
              <w:bottom w:val="nil"/>
              <w:right w:val="nil"/>
            </w:tcBorders>
            <w:shd w:val="clear" w:color="auto" w:fill="auto"/>
            <w:noWrap/>
            <w:vAlign w:val="center"/>
          </w:tcPr>
          <w:p w14:paraId="13424A87" w14:textId="77777777" w:rsidR="006C4E63" w:rsidRPr="00E20D21" w:rsidRDefault="006C4E63"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Outras atividades</w:t>
            </w:r>
          </w:p>
        </w:tc>
        <w:tc>
          <w:tcPr>
            <w:tcW w:w="428" w:type="pct"/>
            <w:tcBorders>
              <w:top w:val="nil"/>
              <w:left w:val="nil"/>
              <w:bottom w:val="nil"/>
              <w:right w:val="nil"/>
            </w:tcBorders>
            <w:shd w:val="clear" w:color="auto" w:fill="auto"/>
            <w:noWrap/>
            <w:vAlign w:val="center"/>
          </w:tcPr>
          <w:p w14:paraId="7131D9F5" w14:textId="77777777" w:rsidR="006C4E63" w:rsidRPr="00E20D21" w:rsidRDefault="006C4E63"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4A86E955" w14:textId="77777777" w:rsidTr="00977F0B">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6FC69485" w14:textId="0205A940"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C</w:t>
            </w:r>
            <w:r w:rsidR="00140B92" w:rsidRPr="00E20D21">
              <w:rPr>
                <w:rFonts w:ascii="CAIXA Std Book" w:eastAsia="Calibri" w:hAnsi="CAIXA Std Book" w:cs="Arial"/>
                <w:b/>
                <w:color w:val="005CA9"/>
                <w:sz w:val="18"/>
                <w:szCs w:val="18"/>
                <w:lang w:eastAsia="en-US"/>
              </w:rPr>
              <w:t>aixa</w:t>
            </w:r>
            <w:r w:rsidRPr="00E20D21">
              <w:rPr>
                <w:rFonts w:ascii="CAIXA Std Book" w:eastAsia="Calibri" w:hAnsi="CAIXA Std Book" w:cs="Arial"/>
                <w:b/>
                <w:color w:val="005CA9"/>
                <w:sz w:val="18"/>
                <w:szCs w:val="18"/>
                <w:lang w:eastAsia="en-US"/>
              </w:rPr>
              <w:t xml:space="preserve"> Seguridade</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303CAFBF"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Brasi</w:t>
            </w:r>
            <w:r w:rsidRPr="00E20D21">
              <w:rPr>
                <w:rFonts w:ascii="CAIXA Std Book" w:eastAsia="Calibri" w:hAnsi="CAIXA Std Book" w:cs="Arial"/>
                <w:color w:val="005CA9"/>
                <w:sz w:val="18"/>
                <w:szCs w:val="18"/>
                <w:lang w:eastAsia="en-US"/>
              </w:rPr>
              <w:t>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232F0EED"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5F5C5A16" w14:textId="77777777" w:rsidR="001D44DF" w:rsidRPr="00E20D21" w:rsidRDefault="00F14CA0"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Controlada</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74F8DC79"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0A2F1009" w14:textId="77777777" w:rsidR="001D44DF" w:rsidRPr="00E20D21" w:rsidRDefault="001D44DF" w:rsidP="001D44DF">
            <w:pPr>
              <w:jc w:val="cente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Sim</w:t>
            </w:r>
          </w:p>
        </w:tc>
      </w:tr>
      <w:tr w:rsidR="00A47C19" w:rsidRPr="00E20D21" w14:paraId="4DEE74F9" w14:textId="77777777" w:rsidTr="00977F0B">
        <w:trPr>
          <w:trHeight w:val="283"/>
        </w:trPr>
        <w:tc>
          <w:tcPr>
            <w:tcW w:w="835" w:type="pct"/>
            <w:tcBorders>
              <w:top w:val="nil"/>
              <w:left w:val="nil"/>
              <w:bottom w:val="nil"/>
              <w:right w:val="nil"/>
            </w:tcBorders>
            <w:shd w:val="clear" w:color="auto" w:fill="auto"/>
            <w:vAlign w:val="center"/>
            <w:hideMark/>
          </w:tcPr>
          <w:p w14:paraId="34B24755" w14:textId="4D7BF3AA"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Caixa Holding</w:t>
            </w:r>
            <w:r w:rsidR="00D96898" w:rsidRPr="00E20D21">
              <w:rPr>
                <w:rFonts w:ascii="CAIXA Std Book" w:eastAsia="Calibri" w:hAnsi="CAIXA Std Book" w:cs="Arial"/>
                <w:color w:val="005CA9"/>
                <w:sz w:val="18"/>
                <w:szCs w:val="18"/>
                <w:lang w:eastAsia="en-US"/>
              </w:rPr>
              <w:t xml:space="preserve"> </w:t>
            </w:r>
          </w:p>
        </w:tc>
        <w:tc>
          <w:tcPr>
            <w:tcW w:w="430" w:type="pct"/>
            <w:tcBorders>
              <w:top w:val="nil"/>
              <w:left w:val="nil"/>
              <w:bottom w:val="nil"/>
              <w:right w:val="nil"/>
            </w:tcBorders>
            <w:shd w:val="clear" w:color="auto" w:fill="auto"/>
            <w:noWrap/>
            <w:vAlign w:val="center"/>
            <w:hideMark/>
          </w:tcPr>
          <w:p w14:paraId="36675F79"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6C66565"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42CB59F"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Controlada</w:t>
            </w:r>
          </w:p>
        </w:tc>
        <w:tc>
          <w:tcPr>
            <w:tcW w:w="1758" w:type="pct"/>
            <w:tcBorders>
              <w:top w:val="nil"/>
              <w:left w:val="nil"/>
              <w:bottom w:val="nil"/>
              <w:right w:val="nil"/>
            </w:tcBorders>
            <w:shd w:val="clear" w:color="auto" w:fill="auto"/>
            <w:noWrap/>
            <w:vAlign w:val="center"/>
            <w:hideMark/>
          </w:tcPr>
          <w:p w14:paraId="72407E1C"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2F32E0FF"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31E7548B" w14:textId="77777777" w:rsidTr="00977F0B">
        <w:trPr>
          <w:trHeight w:val="283"/>
        </w:trPr>
        <w:tc>
          <w:tcPr>
            <w:tcW w:w="835" w:type="pct"/>
            <w:tcBorders>
              <w:top w:val="nil"/>
              <w:left w:val="nil"/>
              <w:bottom w:val="nil"/>
              <w:right w:val="nil"/>
            </w:tcBorders>
            <w:shd w:val="clear" w:color="auto" w:fill="auto"/>
            <w:vAlign w:val="center"/>
            <w:hideMark/>
          </w:tcPr>
          <w:p w14:paraId="500A423B" w14:textId="0A2662CC"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w:t>
            </w:r>
            <w:r w:rsidR="00140B92" w:rsidRPr="00E20D21">
              <w:rPr>
                <w:rFonts w:ascii="CAIXA Std Book" w:eastAsia="Calibri" w:hAnsi="CAIXA Std Book" w:cs="Arial"/>
                <w:color w:val="005CA9"/>
                <w:sz w:val="18"/>
                <w:szCs w:val="18"/>
                <w:lang w:eastAsia="en-US"/>
              </w:rPr>
              <w:t>aixa</w:t>
            </w:r>
            <w:r w:rsidRPr="00E20D21">
              <w:rPr>
                <w:rFonts w:ascii="CAIXA Std Book" w:eastAsia="Calibri" w:hAnsi="CAIXA Std Book" w:cs="Arial"/>
                <w:color w:val="005CA9"/>
                <w:sz w:val="18"/>
                <w:szCs w:val="18"/>
                <w:lang w:eastAsia="en-US"/>
              </w:rPr>
              <w:t xml:space="preserve"> Corretora</w:t>
            </w:r>
          </w:p>
        </w:tc>
        <w:tc>
          <w:tcPr>
            <w:tcW w:w="430" w:type="pct"/>
            <w:tcBorders>
              <w:top w:val="nil"/>
              <w:left w:val="nil"/>
              <w:bottom w:val="nil"/>
              <w:right w:val="nil"/>
            </w:tcBorders>
            <w:shd w:val="clear" w:color="auto" w:fill="auto"/>
            <w:noWrap/>
            <w:vAlign w:val="center"/>
            <w:hideMark/>
          </w:tcPr>
          <w:p w14:paraId="349BC01B"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56258A26" w14:textId="77777777" w:rsidR="001D44DF" w:rsidRPr="00E20D21" w:rsidRDefault="00607367"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931B270"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Controlada</w:t>
            </w:r>
          </w:p>
        </w:tc>
        <w:tc>
          <w:tcPr>
            <w:tcW w:w="1758" w:type="pct"/>
            <w:tcBorders>
              <w:top w:val="nil"/>
              <w:left w:val="nil"/>
              <w:bottom w:val="nil"/>
              <w:right w:val="nil"/>
            </w:tcBorders>
            <w:shd w:val="clear" w:color="auto" w:fill="auto"/>
            <w:noWrap/>
            <w:vAlign w:val="center"/>
            <w:hideMark/>
          </w:tcPr>
          <w:p w14:paraId="02975C57"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Corretora de seguros</w:t>
            </w:r>
          </w:p>
        </w:tc>
        <w:tc>
          <w:tcPr>
            <w:tcW w:w="428" w:type="pct"/>
            <w:tcBorders>
              <w:top w:val="nil"/>
              <w:left w:val="nil"/>
              <w:bottom w:val="nil"/>
              <w:right w:val="nil"/>
            </w:tcBorders>
            <w:shd w:val="clear" w:color="auto" w:fill="auto"/>
            <w:noWrap/>
            <w:vAlign w:val="center"/>
            <w:hideMark/>
          </w:tcPr>
          <w:p w14:paraId="03BE2D95"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37ED3E33" w14:textId="77777777" w:rsidTr="00977F0B">
        <w:trPr>
          <w:trHeight w:val="283"/>
        </w:trPr>
        <w:tc>
          <w:tcPr>
            <w:tcW w:w="835" w:type="pct"/>
            <w:tcBorders>
              <w:top w:val="nil"/>
              <w:left w:val="nil"/>
              <w:bottom w:val="nil"/>
              <w:right w:val="nil"/>
            </w:tcBorders>
            <w:shd w:val="clear" w:color="auto" w:fill="auto"/>
            <w:vAlign w:val="center"/>
            <w:hideMark/>
          </w:tcPr>
          <w:p w14:paraId="12A337CC"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Too Seguros</w:t>
            </w:r>
          </w:p>
        </w:tc>
        <w:tc>
          <w:tcPr>
            <w:tcW w:w="430" w:type="pct"/>
            <w:tcBorders>
              <w:top w:val="nil"/>
              <w:left w:val="nil"/>
              <w:bottom w:val="nil"/>
              <w:right w:val="nil"/>
            </w:tcBorders>
            <w:shd w:val="clear" w:color="auto" w:fill="auto"/>
            <w:noWrap/>
            <w:vAlign w:val="center"/>
            <w:hideMark/>
          </w:tcPr>
          <w:p w14:paraId="1AA05980"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1496512B"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65B4894A"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5A03D9F3"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Seguradora</w:t>
            </w:r>
          </w:p>
        </w:tc>
        <w:tc>
          <w:tcPr>
            <w:tcW w:w="428" w:type="pct"/>
            <w:tcBorders>
              <w:top w:val="nil"/>
              <w:left w:val="nil"/>
              <w:bottom w:val="nil"/>
              <w:right w:val="nil"/>
            </w:tcBorders>
            <w:shd w:val="clear" w:color="auto" w:fill="auto"/>
            <w:noWrap/>
            <w:vAlign w:val="center"/>
            <w:hideMark/>
          </w:tcPr>
          <w:p w14:paraId="60CD1D63" w14:textId="77777777" w:rsidR="001D44DF" w:rsidRPr="00E20D21" w:rsidRDefault="00607367"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Não</w:t>
            </w:r>
          </w:p>
        </w:tc>
      </w:tr>
      <w:tr w:rsidR="00A47C19" w:rsidRPr="00E20D21" w14:paraId="26560AC5" w14:textId="77777777" w:rsidTr="00977F0B">
        <w:trPr>
          <w:trHeight w:val="283"/>
        </w:trPr>
        <w:tc>
          <w:tcPr>
            <w:tcW w:w="835" w:type="pct"/>
            <w:tcBorders>
              <w:top w:val="nil"/>
              <w:left w:val="nil"/>
              <w:bottom w:val="nil"/>
              <w:right w:val="nil"/>
            </w:tcBorders>
            <w:shd w:val="clear" w:color="auto" w:fill="auto"/>
            <w:vAlign w:val="center"/>
            <w:hideMark/>
          </w:tcPr>
          <w:p w14:paraId="2377FF33"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PAN Corretora</w:t>
            </w:r>
          </w:p>
        </w:tc>
        <w:tc>
          <w:tcPr>
            <w:tcW w:w="430" w:type="pct"/>
            <w:tcBorders>
              <w:top w:val="nil"/>
              <w:left w:val="nil"/>
              <w:bottom w:val="nil"/>
              <w:right w:val="nil"/>
            </w:tcBorders>
            <w:shd w:val="clear" w:color="auto" w:fill="auto"/>
            <w:noWrap/>
            <w:vAlign w:val="center"/>
            <w:hideMark/>
          </w:tcPr>
          <w:p w14:paraId="4D8604BE"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2970D639" w14:textId="77777777" w:rsidR="001D44DF" w:rsidRPr="00E20D21" w:rsidRDefault="00370698"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68D72371"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2077A4FB"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Corretora</w:t>
            </w:r>
          </w:p>
        </w:tc>
        <w:tc>
          <w:tcPr>
            <w:tcW w:w="428" w:type="pct"/>
            <w:tcBorders>
              <w:top w:val="nil"/>
              <w:left w:val="nil"/>
              <w:bottom w:val="nil"/>
              <w:right w:val="nil"/>
            </w:tcBorders>
            <w:shd w:val="clear" w:color="auto" w:fill="auto"/>
            <w:noWrap/>
            <w:vAlign w:val="center"/>
            <w:hideMark/>
          </w:tcPr>
          <w:p w14:paraId="2900FF7C" w14:textId="77777777" w:rsidR="001D44DF" w:rsidRPr="00E20D21" w:rsidRDefault="0075139A"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Não</w:t>
            </w:r>
          </w:p>
        </w:tc>
      </w:tr>
      <w:tr w:rsidR="00A47C19" w:rsidRPr="00E20D21" w14:paraId="0033867C" w14:textId="77777777" w:rsidTr="00977F0B">
        <w:trPr>
          <w:trHeight w:val="283"/>
        </w:trPr>
        <w:tc>
          <w:tcPr>
            <w:tcW w:w="835" w:type="pct"/>
            <w:tcBorders>
              <w:top w:val="nil"/>
              <w:left w:val="nil"/>
              <w:bottom w:val="nil"/>
              <w:right w:val="nil"/>
            </w:tcBorders>
            <w:shd w:val="clear" w:color="auto" w:fill="auto"/>
            <w:vAlign w:val="center"/>
            <w:hideMark/>
          </w:tcPr>
          <w:p w14:paraId="4DE7EF6C"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XS3 Seguros</w:t>
            </w:r>
          </w:p>
        </w:tc>
        <w:tc>
          <w:tcPr>
            <w:tcW w:w="430" w:type="pct"/>
            <w:tcBorders>
              <w:top w:val="nil"/>
              <w:left w:val="nil"/>
              <w:bottom w:val="nil"/>
              <w:right w:val="nil"/>
            </w:tcBorders>
            <w:shd w:val="clear" w:color="auto" w:fill="auto"/>
            <w:noWrap/>
            <w:vAlign w:val="center"/>
            <w:hideMark/>
          </w:tcPr>
          <w:p w14:paraId="55D8E37E"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7C9C29C4" w14:textId="77777777" w:rsidR="001D44DF" w:rsidRPr="00E20D21" w:rsidRDefault="00370698"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0DFB51F9"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7D84640B"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Seguros</w:t>
            </w:r>
          </w:p>
        </w:tc>
        <w:tc>
          <w:tcPr>
            <w:tcW w:w="428" w:type="pct"/>
            <w:tcBorders>
              <w:top w:val="nil"/>
              <w:left w:val="nil"/>
              <w:bottom w:val="nil"/>
              <w:right w:val="nil"/>
            </w:tcBorders>
            <w:shd w:val="clear" w:color="auto" w:fill="auto"/>
            <w:noWrap/>
            <w:vAlign w:val="center"/>
            <w:hideMark/>
          </w:tcPr>
          <w:p w14:paraId="5AFEE8BD"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566FE04C" w14:textId="77777777" w:rsidTr="00977F0B">
        <w:trPr>
          <w:trHeight w:val="283"/>
        </w:trPr>
        <w:tc>
          <w:tcPr>
            <w:tcW w:w="835" w:type="pct"/>
            <w:tcBorders>
              <w:top w:val="nil"/>
              <w:left w:val="nil"/>
              <w:bottom w:val="nil"/>
              <w:right w:val="nil"/>
            </w:tcBorders>
            <w:shd w:val="clear" w:color="auto" w:fill="auto"/>
            <w:vAlign w:val="center"/>
            <w:hideMark/>
          </w:tcPr>
          <w:p w14:paraId="53BB0522"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XS4 Capitalização</w:t>
            </w:r>
          </w:p>
        </w:tc>
        <w:tc>
          <w:tcPr>
            <w:tcW w:w="430" w:type="pct"/>
            <w:tcBorders>
              <w:top w:val="nil"/>
              <w:left w:val="nil"/>
              <w:bottom w:val="nil"/>
              <w:right w:val="nil"/>
            </w:tcBorders>
            <w:shd w:val="clear" w:color="auto" w:fill="auto"/>
            <w:noWrap/>
            <w:vAlign w:val="center"/>
            <w:hideMark/>
          </w:tcPr>
          <w:p w14:paraId="48C0CB22"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273DC127"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Rio de Janeiro (RJ)</w:t>
            </w:r>
          </w:p>
        </w:tc>
        <w:tc>
          <w:tcPr>
            <w:tcW w:w="884" w:type="pct"/>
            <w:tcBorders>
              <w:top w:val="nil"/>
              <w:left w:val="nil"/>
              <w:bottom w:val="nil"/>
              <w:right w:val="nil"/>
            </w:tcBorders>
            <w:shd w:val="clear" w:color="auto" w:fill="auto"/>
            <w:noWrap/>
            <w:vAlign w:val="center"/>
            <w:hideMark/>
          </w:tcPr>
          <w:p w14:paraId="0727BAEE"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1A3AF40F"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Capitalização</w:t>
            </w:r>
          </w:p>
        </w:tc>
        <w:tc>
          <w:tcPr>
            <w:tcW w:w="428" w:type="pct"/>
            <w:tcBorders>
              <w:top w:val="nil"/>
              <w:left w:val="nil"/>
              <w:bottom w:val="nil"/>
              <w:right w:val="nil"/>
            </w:tcBorders>
            <w:shd w:val="clear" w:color="auto" w:fill="auto"/>
            <w:noWrap/>
            <w:vAlign w:val="center"/>
            <w:hideMark/>
          </w:tcPr>
          <w:p w14:paraId="62B1B4BF"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64A276F7" w14:textId="77777777" w:rsidTr="00977F0B">
        <w:trPr>
          <w:trHeight w:val="283"/>
        </w:trPr>
        <w:tc>
          <w:tcPr>
            <w:tcW w:w="835" w:type="pct"/>
            <w:tcBorders>
              <w:top w:val="nil"/>
              <w:left w:val="nil"/>
              <w:bottom w:val="nil"/>
              <w:right w:val="nil"/>
            </w:tcBorders>
            <w:shd w:val="clear" w:color="auto" w:fill="auto"/>
            <w:vAlign w:val="center"/>
            <w:hideMark/>
          </w:tcPr>
          <w:p w14:paraId="1CFCA671"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XS5 Consórcios</w:t>
            </w:r>
          </w:p>
        </w:tc>
        <w:tc>
          <w:tcPr>
            <w:tcW w:w="430" w:type="pct"/>
            <w:tcBorders>
              <w:top w:val="nil"/>
              <w:left w:val="nil"/>
              <w:bottom w:val="nil"/>
              <w:right w:val="nil"/>
            </w:tcBorders>
            <w:shd w:val="clear" w:color="auto" w:fill="auto"/>
            <w:noWrap/>
            <w:vAlign w:val="center"/>
            <w:hideMark/>
          </w:tcPr>
          <w:p w14:paraId="238A06EF"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0138B60D" w14:textId="77777777" w:rsidR="001D44DF" w:rsidRPr="00E20D21" w:rsidRDefault="00A0189D"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77ACBF2D"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392F12DE"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Consórcios</w:t>
            </w:r>
          </w:p>
        </w:tc>
        <w:tc>
          <w:tcPr>
            <w:tcW w:w="428" w:type="pct"/>
            <w:tcBorders>
              <w:top w:val="nil"/>
              <w:left w:val="nil"/>
              <w:bottom w:val="nil"/>
              <w:right w:val="nil"/>
            </w:tcBorders>
            <w:shd w:val="clear" w:color="auto" w:fill="auto"/>
            <w:noWrap/>
            <w:vAlign w:val="center"/>
            <w:hideMark/>
          </w:tcPr>
          <w:p w14:paraId="5DF394DB"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61D5E3F3" w14:textId="77777777" w:rsidTr="00977F0B">
        <w:trPr>
          <w:trHeight w:val="283"/>
        </w:trPr>
        <w:tc>
          <w:tcPr>
            <w:tcW w:w="835" w:type="pct"/>
            <w:tcBorders>
              <w:top w:val="nil"/>
              <w:left w:val="nil"/>
              <w:bottom w:val="nil"/>
              <w:right w:val="nil"/>
            </w:tcBorders>
            <w:shd w:val="clear" w:color="auto" w:fill="auto"/>
            <w:vAlign w:val="center"/>
            <w:hideMark/>
          </w:tcPr>
          <w:p w14:paraId="47BAC0AA"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XS6 Assistência</w:t>
            </w:r>
          </w:p>
        </w:tc>
        <w:tc>
          <w:tcPr>
            <w:tcW w:w="430" w:type="pct"/>
            <w:tcBorders>
              <w:top w:val="nil"/>
              <w:left w:val="nil"/>
              <w:bottom w:val="nil"/>
              <w:right w:val="nil"/>
            </w:tcBorders>
            <w:shd w:val="clear" w:color="auto" w:fill="auto"/>
            <w:noWrap/>
            <w:vAlign w:val="center"/>
            <w:hideMark/>
          </w:tcPr>
          <w:p w14:paraId="627E18EA"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1A8EBD13" w14:textId="77777777" w:rsidR="001D44DF" w:rsidRPr="00E20D21" w:rsidRDefault="003D5A7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70F8433D"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7F3863FB"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Serviços assistenciais</w:t>
            </w:r>
          </w:p>
        </w:tc>
        <w:tc>
          <w:tcPr>
            <w:tcW w:w="428" w:type="pct"/>
            <w:tcBorders>
              <w:top w:val="nil"/>
              <w:left w:val="nil"/>
              <w:bottom w:val="nil"/>
              <w:right w:val="nil"/>
            </w:tcBorders>
            <w:shd w:val="clear" w:color="auto" w:fill="auto"/>
            <w:noWrap/>
            <w:vAlign w:val="center"/>
            <w:hideMark/>
          </w:tcPr>
          <w:p w14:paraId="316098E2"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0D41E739" w14:textId="77777777" w:rsidTr="00977F0B">
        <w:trPr>
          <w:trHeight w:val="283"/>
        </w:trPr>
        <w:tc>
          <w:tcPr>
            <w:tcW w:w="835" w:type="pct"/>
            <w:tcBorders>
              <w:top w:val="nil"/>
              <w:left w:val="nil"/>
              <w:bottom w:val="nil"/>
              <w:right w:val="nil"/>
            </w:tcBorders>
            <w:shd w:val="clear" w:color="auto" w:fill="auto"/>
            <w:vAlign w:val="center"/>
            <w:hideMark/>
          </w:tcPr>
          <w:p w14:paraId="6596D6EA"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CNP Brasil</w:t>
            </w:r>
          </w:p>
        </w:tc>
        <w:tc>
          <w:tcPr>
            <w:tcW w:w="430" w:type="pct"/>
            <w:tcBorders>
              <w:top w:val="nil"/>
              <w:left w:val="nil"/>
              <w:bottom w:val="nil"/>
              <w:right w:val="nil"/>
            </w:tcBorders>
            <w:shd w:val="clear" w:color="auto" w:fill="auto"/>
            <w:noWrap/>
            <w:vAlign w:val="center"/>
            <w:hideMark/>
          </w:tcPr>
          <w:p w14:paraId="66BFAF97"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62C012DD"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DA08E69"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13844217"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53E82E37"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2F9BDA91" w14:textId="77777777" w:rsidTr="00977F0B">
        <w:trPr>
          <w:trHeight w:val="283"/>
        </w:trPr>
        <w:tc>
          <w:tcPr>
            <w:tcW w:w="835" w:type="pct"/>
            <w:tcBorders>
              <w:top w:val="nil"/>
              <w:left w:val="nil"/>
              <w:bottom w:val="nil"/>
              <w:right w:val="nil"/>
            </w:tcBorders>
            <w:shd w:val="clear" w:color="auto" w:fill="auto"/>
            <w:vAlign w:val="center"/>
            <w:hideMark/>
          </w:tcPr>
          <w:p w14:paraId="3450371F"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Holding XS1</w:t>
            </w:r>
          </w:p>
        </w:tc>
        <w:tc>
          <w:tcPr>
            <w:tcW w:w="430" w:type="pct"/>
            <w:tcBorders>
              <w:top w:val="nil"/>
              <w:left w:val="nil"/>
              <w:bottom w:val="nil"/>
              <w:right w:val="nil"/>
            </w:tcBorders>
            <w:shd w:val="clear" w:color="auto" w:fill="auto"/>
            <w:noWrap/>
            <w:vAlign w:val="center"/>
            <w:hideMark/>
          </w:tcPr>
          <w:p w14:paraId="045F69B2"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5B668570" w14:textId="77777777" w:rsidR="001D44DF" w:rsidRPr="00E20D21" w:rsidRDefault="00741A6A"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071A073D"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0C9451B5"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310F361E"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35A30C96" w14:textId="77777777" w:rsidTr="00977F0B">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091CB2F6" w14:textId="02EC521C"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C</w:t>
            </w:r>
            <w:r w:rsidR="00140B92" w:rsidRPr="00E20D21">
              <w:rPr>
                <w:rFonts w:ascii="CAIXA Std Book" w:eastAsia="Calibri" w:hAnsi="CAIXA Std Book" w:cs="Arial"/>
                <w:b/>
                <w:color w:val="005CA9"/>
                <w:sz w:val="18"/>
                <w:szCs w:val="18"/>
                <w:lang w:eastAsia="en-US"/>
              </w:rPr>
              <w:t>aixa</w:t>
            </w:r>
            <w:r w:rsidRPr="00E20D21">
              <w:rPr>
                <w:rFonts w:ascii="CAIXA Std Book" w:eastAsia="Calibri" w:hAnsi="CAIXA Std Book" w:cs="Arial"/>
                <w:b/>
                <w:color w:val="005CA9"/>
                <w:sz w:val="18"/>
                <w:szCs w:val="18"/>
                <w:lang w:eastAsia="en-US"/>
              </w:rPr>
              <w:t xml:space="preserve"> Cartões</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2D0A4961"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Brasil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7EADE90C"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70D27741"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Subsidiária integral</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5535E93B"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10415693" w14:textId="77777777" w:rsidR="001D44DF" w:rsidRPr="00E20D21" w:rsidRDefault="001D44DF" w:rsidP="001D44DF">
            <w:pPr>
              <w:jc w:val="cente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Sim</w:t>
            </w:r>
          </w:p>
        </w:tc>
      </w:tr>
      <w:tr w:rsidR="00A47C19" w:rsidRPr="00E20D21" w14:paraId="21B98D83" w14:textId="77777777" w:rsidTr="00977F0B">
        <w:trPr>
          <w:trHeight w:val="283"/>
        </w:trPr>
        <w:tc>
          <w:tcPr>
            <w:tcW w:w="835" w:type="pct"/>
            <w:tcBorders>
              <w:top w:val="nil"/>
              <w:left w:val="nil"/>
              <w:bottom w:val="nil"/>
              <w:right w:val="nil"/>
            </w:tcBorders>
            <w:shd w:val="clear" w:color="auto" w:fill="auto"/>
            <w:vAlign w:val="center"/>
            <w:hideMark/>
          </w:tcPr>
          <w:p w14:paraId="4B269F66"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Elo Serviços</w:t>
            </w:r>
          </w:p>
        </w:tc>
        <w:tc>
          <w:tcPr>
            <w:tcW w:w="430" w:type="pct"/>
            <w:tcBorders>
              <w:top w:val="nil"/>
              <w:left w:val="nil"/>
              <w:bottom w:val="nil"/>
              <w:right w:val="nil"/>
            </w:tcBorders>
            <w:shd w:val="clear" w:color="auto" w:fill="auto"/>
            <w:noWrap/>
            <w:vAlign w:val="center"/>
            <w:hideMark/>
          </w:tcPr>
          <w:p w14:paraId="23BDDBC8"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45A54552"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7061476F"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5EFE55B3" w14:textId="77777777" w:rsidR="001D44DF" w:rsidRPr="00E20D21" w:rsidRDefault="001D44DF"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Instituição de pagamento</w:t>
            </w:r>
          </w:p>
        </w:tc>
        <w:tc>
          <w:tcPr>
            <w:tcW w:w="428" w:type="pct"/>
            <w:tcBorders>
              <w:top w:val="nil"/>
              <w:left w:val="nil"/>
              <w:bottom w:val="nil"/>
              <w:right w:val="nil"/>
            </w:tcBorders>
            <w:shd w:val="clear" w:color="auto" w:fill="auto"/>
            <w:noWrap/>
            <w:vAlign w:val="center"/>
            <w:hideMark/>
          </w:tcPr>
          <w:p w14:paraId="5E2A8EEA" w14:textId="77777777" w:rsidR="001D44DF" w:rsidRPr="00E20D21" w:rsidRDefault="001D44DF"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0956984F" w14:textId="77777777" w:rsidTr="00977F0B">
        <w:trPr>
          <w:trHeight w:val="283"/>
        </w:trPr>
        <w:tc>
          <w:tcPr>
            <w:tcW w:w="835" w:type="pct"/>
            <w:tcBorders>
              <w:top w:val="nil"/>
              <w:left w:val="nil"/>
              <w:bottom w:val="nil"/>
              <w:right w:val="nil"/>
            </w:tcBorders>
            <w:shd w:val="clear" w:color="auto" w:fill="auto"/>
            <w:vAlign w:val="center"/>
          </w:tcPr>
          <w:p w14:paraId="6676A0A5" w14:textId="5B53284B" w:rsidR="001D79B2" w:rsidRPr="00E20D21" w:rsidRDefault="00087A09"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C</w:t>
            </w:r>
            <w:r w:rsidR="00140B92" w:rsidRPr="00E20D21">
              <w:rPr>
                <w:rFonts w:ascii="CAIXA Std Book" w:eastAsia="Calibri" w:hAnsi="CAIXA Std Book" w:cs="Arial"/>
                <w:color w:val="005CA9"/>
                <w:sz w:val="18"/>
                <w:szCs w:val="18"/>
                <w:lang w:eastAsia="en-US"/>
              </w:rPr>
              <w:t>aixa</w:t>
            </w:r>
            <w:r w:rsidRPr="00E20D21">
              <w:rPr>
                <w:rFonts w:ascii="CAIXA Std Book" w:eastAsia="Calibri" w:hAnsi="CAIXA Std Book" w:cs="Arial"/>
                <w:color w:val="005CA9"/>
                <w:sz w:val="18"/>
                <w:szCs w:val="18"/>
                <w:lang w:eastAsia="en-US"/>
              </w:rPr>
              <w:t xml:space="preserve"> Cartões Pré-Pagos</w:t>
            </w:r>
          </w:p>
        </w:tc>
        <w:tc>
          <w:tcPr>
            <w:tcW w:w="430" w:type="pct"/>
            <w:tcBorders>
              <w:top w:val="nil"/>
              <w:left w:val="nil"/>
              <w:bottom w:val="nil"/>
              <w:right w:val="nil"/>
            </w:tcBorders>
            <w:shd w:val="clear" w:color="auto" w:fill="auto"/>
            <w:noWrap/>
            <w:vAlign w:val="center"/>
          </w:tcPr>
          <w:p w14:paraId="6FFDD3C6" w14:textId="77777777" w:rsidR="001D79B2" w:rsidRPr="00E20D21" w:rsidRDefault="00087A09"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tcPr>
          <w:p w14:paraId="77B23A1A" w14:textId="77777777" w:rsidR="001D79B2" w:rsidRPr="00E20D21" w:rsidRDefault="00E01CCB"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tcPr>
          <w:p w14:paraId="0B6BFC4C" w14:textId="77777777" w:rsidR="001D79B2" w:rsidRPr="00E20D21" w:rsidRDefault="006A29C7"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 xml:space="preserve">Controle </w:t>
            </w:r>
            <w:r w:rsidR="005C7932" w:rsidRPr="00E20D21">
              <w:rPr>
                <w:rFonts w:ascii="CAIXA Std Book" w:eastAsia="Calibri" w:hAnsi="CAIXA Std Book" w:cs="Arial"/>
                <w:color w:val="005CA9"/>
                <w:sz w:val="18"/>
                <w:szCs w:val="18"/>
                <w:lang w:eastAsia="en-US"/>
              </w:rPr>
              <w:t>c</w:t>
            </w:r>
            <w:r w:rsidRPr="00E20D21">
              <w:rPr>
                <w:rFonts w:ascii="CAIXA Std Book" w:eastAsia="Calibri" w:hAnsi="CAIXA Std Book" w:cs="Arial"/>
                <w:color w:val="005CA9"/>
                <w:sz w:val="18"/>
                <w:szCs w:val="18"/>
                <w:lang w:eastAsia="en-US"/>
              </w:rPr>
              <w:t>onjunto</w:t>
            </w:r>
          </w:p>
        </w:tc>
        <w:tc>
          <w:tcPr>
            <w:tcW w:w="1758" w:type="pct"/>
            <w:tcBorders>
              <w:top w:val="nil"/>
              <w:left w:val="nil"/>
              <w:bottom w:val="nil"/>
              <w:right w:val="nil"/>
            </w:tcBorders>
            <w:shd w:val="clear" w:color="auto" w:fill="auto"/>
            <w:noWrap/>
            <w:vAlign w:val="center"/>
          </w:tcPr>
          <w:p w14:paraId="48BAA508" w14:textId="77777777" w:rsidR="001D79B2" w:rsidRPr="00E20D21" w:rsidRDefault="00D7280C" w:rsidP="001D44DF">
            <w:pP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 xml:space="preserve">Emissão de vales-alimentação, </w:t>
            </w:r>
            <w:proofErr w:type="spellStart"/>
            <w:r w:rsidRPr="00E20D21">
              <w:rPr>
                <w:rFonts w:ascii="CAIXA Std Book" w:eastAsia="Calibri" w:hAnsi="CAIXA Std Book" w:cs="Arial"/>
                <w:color w:val="005CA9"/>
                <w:sz w:val="18"/>
                <w:szCs w:val="18"/>
                <w:lang w:eastAsia="en-US"/>
              </w:rPr>
              <w:t>vales-transporte</w:t>
            </w:r>
            <w:proofErr w:type="spellEnd"/>
            <w:r w:rsidRPr="00E20D21">
              <w:rPr>
                <w:rFonts w:ascii="CAIXA Std Book" w:eastAsia="Calibri" w:hAnsi="CAIXA Std Book" w:cs="Arial"/>
                <w:color w:val="005CA9"/>
                <w:sz w:val="18"/>
                <w:szCs w:val="18"/>
                <w:lang w:eastAsia="en-US"/>
              </w:rPr>
              <w:t xml:space="preserve"> e similares</w:t>
            </w:r>
          </w:p>
        </w:tc>
        <w:tc>
          <w:tcPr>
            <w:tcW w:w="428" w:type="pct"/>
            <w:tcBorders>
              <w:top w:val="nil"/>
              <w:left w:val="nil"/>
              <w:bottom w:val="nil"/>
              <w:right w:val="nil"/>
            </w:tcBorders>
            <w:shd w:val="clear" w:color="auto" w:fill="auto"/>
            <w:noWrap/>
            <w:vAlign w:val="center"/>
          </w:tcPr>
          <w:p w14:paraId="3B5A114D" w14:textId="77777777" w:rsidR="001D79B2" w:rsidRPr="00E20D21" w:rsidRDefault="00D7280C" w:rsidP="001D44DF">
            <w:pPr>
              <w:jc w:val="center"/>
              <w:rPr>
                <w:rFonts w:ascii="CAIXA Std Book" w:eastAsia="Calibri" w:hAnsi="CAIXA Std Book" w:cs="Arial"/>
                <w:color w:val="005CA9"/>
                <w:sz w:val="18"/>
                <w:szCs w:val="18"/>
                <w:lang w:eastAsia="en-US"/>
              </w:rPr>
            </w:pPr>
            <w:r w:rsidRPr="00E20D21">
              <w:rPr>
                <w:rFonts w:ascii="CAIXA Std Book" w:eastAsia="Calibri" w:hAnsi="CAIXA Std Book" w:cs="Arial"/>
                <w:color w:val="005CA9"/>
                <w:sz w:val="18"/>
                <w:szCs w:val="18"/>
                <w:lang w:eastAsia="en-US"/>
              </w:rPr>
              <w:t>Sim</w:t>
            </w:r>
          </w:p>
        </w:tc>
      </w:tr>
      <w:tr w:rsidR="00A47C19" w:rsidRPr="00E20D21" w14:paraId="5ED9CAC7" w14:textId="77777777" w:rsidTr="00977F0B">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5A1DC04D" w14:textId="64A2F311"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C</w:t>
            </w:r>
            <w:r w:rsidR="00140B92" w:rsidRPr="00E20D21">
              <w:rPr>
                <w:rFonts w:ascii="CAIXA Std Book" w:eastAsia="Calibri" w:hAnsi="CAIXA Std Book" w:cs="Arial"/>
                <w:b/>
                <w:color w:val="005CA9"/>
                <w:sz w:val="18"/>
                <w:szCs w:val="18"/>
                <w:lang w:eastAsia="en-US"/>
              </w:rPr>
              <w:t>aixa</w:t>
            </w:r>
            <w:r w:rsidRPr="00E20D21">
              <w:rPr>
                <w:rFonts w:ascii="CAIXA Std Book" w:eastAsia="Calibri" w:hAnsi="CAIXA Std Book" w:cs="Arial"/>
                <w:b/>
                <w:color w:val="005CA9"/>
                <w:sz w:val="18"/>
                <w:szCs w:val="18"/>
                <w:lang w:eastAsia="en-US"/>
              </w:rPr>
              <w:t xml:space="preserve"> Loterias</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42672D41"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Brasil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0B3FE3F1"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2D185969"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Subsidiária integral</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1A2AE837"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7B1B3C00" w14:textId="77777777" w:rsidR="001D44DF" w:rsidRPr="00E20D21" w:rsidRDefault="001D44DF" w:rsidP="001D44DF">
            <w:pPr>
              <w:jc w:val="cente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Sim</w:t>
            </w:r>
          </w:p>
        </w:tc>
      </w:tr>
      <w:tr w:rsidR="00A47C19" w:rsidRPr="00E20D21" w14:paraId="33A82422" w14:textId="77777777" w:rsidTr="00977F0B">
        <w:trPr>
          <w:trHeight w:val="283"/>
        </w:trPr>
        <w:tc>
          <w:tcPr>
            <w:tcW w:w="835" w:type="pct"/>
            <w:tcBorders>
              <w:top w:val="single" w:sz="4" w:space="0" w:color="F79646" w:themeColor="accent6"/>
              <w:left w:val="nil"/>
              <w:bottom w:val="single" w:sz="4" w:space="0" w:color="F79646"/>
              <w:right w:val="nil"/>
            </w:tcBorders>
            <w:shd w:val="clear" w:color="auto" w:fill="auto"/>
            <w:vAlign w:val="center"/>
            <w:hideMark/>
          </w:tcPr>
          <w:p w14:paraId="64451B05" w14:textId="7A58C500"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C</w:t>
            </w:r>
            <w:r w:rsidR="00140B92" w:rsidRPr="00E20D21">
              <w:rPr>
                <w:rFonts w:ascii="CAIXA Std Book" w:eastAsia="Calibri" w:hAnsi="CAIXA Std Book" w:cs="Arial"/>
                <w:b/>
                <w:color w:val="005CA9"/>
                <w:sz w:val="18"/>
                <w:szCs w:val="18"/>
                <w:lang w:eastAsia="en-US"/>
              </w:rPr>
              <w:t>aixa</w:t>
            </w:r>
            <w:r w:rsidRPr="00E20D21">
              <w:rPr>
                <w:rFonts w:ascii="CAIXA Std Book" w:eastAsia="Calibri" w:hAnsi="CAIXA Std Book" w:cs="Arial"/>
                <w:b/>
                <w:color w:val="005CA9"/>
                <w:sz w:val="18"/>
                <w:szCs w:val="18"/>
                <w:lang w:eastAsia="en-US"/>
              </w:rPr>
              <w:t xml:space="preserve"> </w:t>
            </w:r>
            <w:proofErr w:type="spellStart"/>
            <w:r w:rsidR="0003156F" w:rsidRPr="00E20D21">
              <w:rPr>
                <w:rFonts w:ascii="CAIXA Std Book" w:eastAsia="Calibri" w:hAnsi="CAIXA Std Book" w:cs="Arial"/>
                <w:b/>
                <w:color w:val="005CA9"/>
                <w:sz w:val="18"/>
                <w:szCs w:val="18"/>
                <w:lang w:eastAsia="en-US"/>
              </w:rPr>
              <w:t>Asset</w:t>
            </w:r>
            <w:proofErr w:type="spellEnd"/>
          </w:p>
        </w:tc>
        <w:tc>
          <w:tcPr>
            <w:tcW w:w="430" w:type="pct"/>
            <w:tcBorders>
              <w:top w:val="single" w:sz="4" w:space="0" w:color="F79646" w:themeColor="accent6"/>
              <w:left w:val="nil"/>
              <w:bottom w:val="single" w:sz="4" w:space="0" w:color="F79646"/>
              <w:right w:val="nil"/>
            </w:tcBorders>
            <w:shd w:val="clear" w:color="auto" w:fill="auto"/>
            <w:noWrap/>
            <w:vAlign w:val="center"/>
            <w:hideMark/>
          </w:tcPr>
          <w:p w14:paraId="4A2A69C7"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Brasil</w:t>
            </w:r>
          </w:p>
        </w:tc>
        <w:tc>
          <w:tcPr>
            <w:tcW w:w="665" w:type="pct"/>
            <w:tcBorders>
              <w:top w:val="single" w:sz="4" w:space="0" w:color="F79646" w:themeColor="accent6"/>
              <w:left w:val="nil"/>
              <w:bottom w:val="single" w:sz="4" w:space="0" w:color="F79646"/>
              <w:right w:val="nil"/>
            </w:tcBorders>
            <w:shd w:val="clear" w:color="auto" w:fill="auto"/>
            <w:noWrap/>
            <w:vAlign w:val="center"/>
            <w:hideMark/>
          </w:tcPr>
          <w:p w14:paraId="5828E4C3"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right w:val="nil"/>
            </w:tcBorders>
            <w:shd w:val="clear" w:color="auto" w:fill="auto"/>
            <w:noWrap/>
            <w:vAlign w:val="center"/>
            <w:hideMark/>
          </w:tcPr>
          <w:p w14:paraId="33DCF524" w14:textId="77777777" w:rsidR="001D44DF" w:rsidRPr="00E20D21" w:rsidRDefault="001D44DF" w:rsidP="001D44DF">
            <w:pP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Subsidiária integral</w:t>
            </w:r>
          </w:p>
        </w:tc>
        <w:tc>
          <w:tcPr>
            <w:tcW w:w="1758" w:type="pct"/>
            <w:tcBorders>
              <w:top w:val="single" w:sz="4" w:space="0" w:color="F79646" w:themeColor="accent6"/>
              <w:left w:val="nil"/>
              <w:bottom w:val="single" w:sz="4" w:space="0" w:color="F79646"/>
              <w:right w:val="nil"/>
            </w:tcBorders>
            <w:shd w:val="clear" w:color="auto" w:fill="auto"/>
            <w:noWrap/>
            <w:vAlign w:val="center"/>
            <w:hideMark/>
          </w:tcPr>
          <w:p w14:paraId="3EB539EC" w14:textId="77777777" w:rsidR="001D44DF" w:rsidRPr="00E20D21" w:rsidRDefault="001D44DF" w:rsidP="001D44DF">
            <w:pPr>
              <w:rPr>
                <w:rFonts w:ascii="CAIXA Std Book" w:eastAsia="Calibri" w:hAnsi="CAIXA Std Book" w:cs="Arial"/>
                <w:b/>
                <w:color w:val="005CA9"/>
                <w:sz w:val="18"/>
                <w:szCs w:val="18"/>
                <w:lang w:eastAsia="en-US"/>
              </w:rPr>
            </w:pPr>
            <w:proofErr w:type="spellStart"/>
            <w:r w:rsidRPr="00E20D21">
              <w:rPr>
                <w:rFonts w:ascii="CAIXA Std Book" w:eastAsia="Calibri" w:hAnsi="CAIXA Std Book" w:cs="Arial"/>
                <w:b/>
                <w:color w:val="005CA9"/>
                <w:sz w:val="18"/>
                <w:szCs w:val="18"/>
                <w:lang w:eastAsia="en-US"/>
              </w:rPr>
              <w:t>Distrib</w:t>
            </w:r>
            <w:proofErr w:type="spellEnd"/>
            <w:r w:rsidRPr="00E20D21">
              <w:rPr>
                <w:rFonts w:ascii="CAIXA Std Book" w:eastAsia="Calibri" w:hAnsi="CAIXA Std Book" w:cs="Arial"/>
                <w:b/>
                <w:color w:val="005CA9"/>
                <w:sz w:val="18"/>
                <w:szCs w:val="18"/>
                <w:lang w:eastAsia="en-US"/>
              </w:rPr>
              <w:t>. de títulos e valores mobiliários</w:t>
            </w:r>
          </w:p>
        </w:tc>
        <w:tc>
          <w:tcPr>
            <w:tcW w:w="428" w:type="pct"/>
            <w:tcBorders>
              <w:top w:val="single" w:sz="4" w:space="0" w:color="F79646" w:themeColor="accent6"/>
              <w:left w:val="nil"/>
              <w:bottom w:val="single" w:sz="4" w:space="0" w:color="F79646"/>
              <w:right w:val="nil"/>
            </w:tcBorders>
            <w:shd w:val="clear" w:color="auto" w:fill="auto"/>
            <w:noWrap/>
            <w:vAlign w:val="center"/>
            <w:hideMark/>
          </w:tcPr>
          <w:p w14:paraId="497BF664" w14:textId="77777777" w:rsidR="001D44DF" w:rsidRPr="00E20D21" w:rsidRDefault="001D44DF" w:rsidP="001D44DF">
            <w:pPr>
              <w:jc w:val="center"/>
              <w:rPr>
                <w:rFonts w:ascii="CAIXA Std Book" w:eastAsia="Calibri" w:hAnsi="CAIXA Std Book" w:cs="Arial"/>
                <w:b/>
                <w:color w:val="005CA9"/>
                <w:sz w:val="18"/>
                <w:szCs w:val="18"/>
                <w:lang w:eastAsia="en-US"/>
              </w:rPr>
            </w:pPr>
            <w:r w:rsidRPr="00E20D21">
              <w:rPr>
                <w:rFonts w:ascii="CAIXA Std Book" w:eastAsia="Calibri" w:hAnsi="CAIXA Std Book" w:cs="Arial"/>
                <w:b/>
                <w:color w:val="005CA9"/>
                <w:sz w:val="18"/>
                <w:szCs w:val="18"/>
                <w:lang w:eastAsia="en-US"/>
              </w:rPr>
              <w:t>Sim</w:t>
            </w:r>
          </w:p>
        </w:tc>
      </w:tr>
    </w:tbl>
    <w:p w14:paraId="1CE5C2F7" w14:textId="7B6325F9" w:rsidR="00936563" w:rsidRPr="00E20D21" w:rsidRDefault="00936563" w:rsidP="00705633">
      <w:pPr>
        <w:jc w:val="both"/>
        <w:rPr>
          <w:rFonts w:ascii="CAIXA Std Book" w:hAnsi="CAIXA Std Book"/>
          <w:color w:val="005CA9"/>
          <w:sz w:val="16"/>
          <w:szCs w:val="16"/>
        </w:rPr>
      </w:pPr>
      <w:r w:rsidRPr="00E20D21">
        <w:rPr>
          <w:rFonts w:ascii="CAIXA Std Book" w:hAnsi="CAIXA Std Book"/>
          <w:color w:val="005CA9"/>
          <w:sz w:val="16"/>
          <w:szCs w:val="16"/>
        </w:rPr>
        <w:t>(1) Todas as empresas mencionadas adotam o Real como moeda funcional.</w:t>
      </w:r>
    </w:p>
    <w:p w14:paraId="35754AD5" w14:textId="692ABA62" w:rsidR="009345B4" w:rsidRPr="00E20D21" w:rsidRDefault="00936563" w:rsidP="00705633">
      <w:pPr>
        <w:jc w:val="both"/>
        <w:rPr>
          <w:rFonts w:ascii="CAIXA Std Book" w:hAnsi="CAIXA Std Book"/>
          <w:color w:val="005CA9"/>
          <w:sz w:val="16"/>
          <w:szCs w:val="16"/>
        </w:rPr>
      </w:pPr>
      <w:r w:rsidRPr="00E20D21">
        <w:rPr>
          <w:rFonts w:ascii="CAIXA Std Book" w:hAnsi="CAIXA Std Book"/>
          <w:color w:val="005CA9"/>
          <w:sz w:val="16"/>
          <w:szCs w:val="16"/>
        </w:rPr>
        <w:t xml:space="preserve">(2) Consideram-se participações estratégicas os investimentos em sociedades cujas atividades complementam ou dão suporte </w:t>
      </w:r>
      <w:r w:rsidR="007C537D" w:rsidRPr="00E20D21">
        <w:rPr>
          <w:rFonts w:ascii="CAIXA Std Book" w:hAnsi="CAIXA Std Book"/>
          <w:color w:val="005CA9"/>
          <w:sz w:val="16"/>
          <w:szCs w:val="16"/>
        </w:rPr>
        <w:t>à</w:t>
      </w:r>
      <w:r w:rsidRPr="00E20D21">
        <w:rPr>
          <w:rFonts w:ascii="CAIXA Std Book" w:hAnsi="CAIXA Std Book"/>
          <w:color w:val="005CA9"/>
          <w:sz w:val="16"/>
          <w:szCs w:val="16"/>
        </w:rPr>
        <w:t>s atividades do banco.</w:t>
      </w:r>
    </w:p>
    <w:p w14:paraId="1C0149E4" w14:textId="6C21A4F2" w:rsidR="009345B4" w:rsidRPr="00E20D21" w:rsidRDefault="009345B4">
      <w:pPr>
        <w:rPr>
          <w:rFonts w:ascii="CAIXA Std Book" w:hAnsi="CAIXA Std Book"/>
          <w:color w:val="005CA9"/>
          <w:sz w:val="16"/>
          <w:szCs w:val="16"/>
        </w:rPr>
      </w:pPr>
      <w:r w:rsidRPr="00E20D21">
        <w:rPr>
          <w:rFonts w:ascii="CAIXA Std Book" w:hAnsi="CAIXA Std Book"/>
          <w:color w:val="005CA9"/>
          <w:sz w:val="16"/>
          <w:szCs w:val="16"/>
        </w:rPr>
        <w:br w:type="page"/>
      </w:r>
    </w:p>
    <w:p w14:paraId="2A5F74EE" w14:textId="226EEA03" w:rsidR="00EC1023" w:rsidRPr="00E20D21" w:rsidRDefault="00EC1023" w:rsidP="00F31C31">
      <w:pPr>
        <w:pStyle w:val="PargrafodaLista"/>
        <w:numPr>
          <w:ilvl w:val="0"/>
          <w:numId w:val="28"/>
        </w:numPr>
        <w:spacing w:before="480" w:after="240"/>
        <w:ind w:hanging="644"/>
        <w:rPr>
          <w:rFonts w:ascii="CAIXA Std Book" w:hAnsi="CAIXA Std Book"/>
          <w:b/>
          <w:color w:val="005CA9"/>
          <w:sz w:val="20"/>
          <w:szCs w:val="20"/>
        </w:rPr>
      </w:pPr>
      <w:r w:rsidRPr="00E20D21">
        <w:rPr>
          <w:rFonts w:ascii="CAIXA Std Book" w:hAnsi="CAIXA Std Book"/>
          <w:b/>
          <w:color w:val="005CA9"/>
          <w:sz w:val="20"/>
          <w:szCs w:val="20"/>
        </w:rPr>
        <w:lastRenderedPageBreak/>
        <w:t>Composição do investimento e do resultado de equivalência patrimonial</w:t>
      </w:r>
    </w:p>
    <w:tbl>
      <w:tblPr>
        <w:tblW w:w="5000" w:type="pct"/>
        <w:tblCellMar>
          <w:left w:w="70" w:type="dxa"/>
          <w:right w:w="70" w:type="dxa"/>
        </w:tblCellMar>
        <w:tblLook w:val="04A0" w:firstRow="1" w:lastRow="0" w:firstColumn="1" w:lastColumn="0" w:noHBand="0" w:noVBand="1"/>
      </w:tblPr>
      <w:tblGrid>
        <w:gridCol w:w="1835"/>
        <w:gridCol w:w="1013"/>
        <w:gridCol w:w="1110"/>
        <w:gridCol w:w="912"/>
        <w:gridCol w:w="935"/>
        <w:gridCol w:w="1104"/>
        <w:gridCol w:w="1163"/>
        <w:gridCol w:w="1128"/>
        <w:gridCol w:w="1017"/>
        <w:gridCol w:w="1014"/>
        <w:gridCol w:w="1084"/>
        <w:gridCol w:w="1134"/>
        <w:gridCol w:w="1122"/>
      </w:tblGrid>
      <w:tr w:rsidR="00A47C19" w:rsidRPr="00E20D21" w14:paraId="4913C2A1" w14:textId="77777777" w:rsidTr="00673695">
        <w:trPr>
          <w:trHeight w:val="315"/>
        </w:trPr>
        <w:tc>
          <w:tcPr>
            <w:tcW w:w="5000" w:type="pct"/>
            <w:gridSpan w:val="13"/>
            <w:tcBorders>
              <w:top w:val="single" w:sz="4" w:space="0" w:color="ED7D31"/>
              <w:left w:val="nil"/>
              <w:bottom w:val="single" w:sz="4" w:space="0" w:color="ED7D31"/>
              <w:right w:val="nil"/>
            </w:tcBorders>
            <w:shd w:val="clear" w:color="auto" w:fill="auto"/>
            <w:vAlign w:val="center"/>
            <w:hideMark/>
          </w:tcPr>
          <w:p w14:paraId="26529466" w14:textId="77777777" w:rsidR="00576123" w:rsidRPr="00E20D21" w:rsidRDefault="00576123"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INDIVIDUAL</w:t>
            </w:r>
          </w:p>
        </w:tc>
      </w:tr>
      <w:tr w:rsidR="00A47C19" w:rsidRPr="00E20D21" w14:paraId="1F5ABC4C" w14:textId="77777777" w:rsidTr="00673695">
        <w:trPr>
          <w:trHeight w:val="300"/>
        </w:trPr>
        <w:tc>
          <w:tcPr>
            <w:tcW w:w="630" w:type="pct"/>
            <w:vMerge w:val="restart"/>
            <w:tcBorders>
              <w:top w:val="nil"/>
              <w:left w:val="nil"/>
              <w:bottom w:val="nil"/>
              <w:right w:val="nil"/>
            </w:tcBorders>
            <w:shd w:val="clear" w:color="auto" w:fill="auto"/>
            <w:vAlign w:val="center"/>
            <w:hideMark/>
          </w:tcPr>
          <w:p w14:paraId="161E6F76" w14:textId="77777777" w:rsidR="00576123" w:rsidRPr="00E20D21" w:rsidRDefault="00576123"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Empresa</w:t>
            </w:r>
          </w:p>
        </w:tc>
        <w:tc>
          <w:tcPr>
            <w:tcW w:w="1362" w:type="pct"/>
            <w:gridSpan w:val="4"/>
            <w:tcBorders>
              <w:top w:val="single" w:sz="4" w:space="0" w:color="ED7D31"/>
              <w:left w:val="nil"/>
              <w:bottom w:val="single" w:sz="4" w:space="0" w:color="ED7D31"/>
              <w:right w:val="nil"/>
            </w:tcBorders>
            <w:shd w:val="clear" w:color="auto" w:fill="auto"/>
            <w:vAlign w:val="center"/>
            <w:hideMark/>
          </w:tcPr>
          <w:p w14:paraId="28A6B498" w14:textId="77777777" w:rsidR="00576123" w:rsidRPr="00E20D21" w:rsidRDefault="00576123"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de participação</w:t>
            </w:r>
          </w:p>
        </w:tc>
        <w:tc>
          <w:tcPr>
            <w:tcW w:w="778" w:type="pct"/>
            <w:gridSpan w:val="2"/>
            <w:vMerge w:val="restart"/>
            <w:tcBorders>
              <w:top w:val="single" w:sz="4" w:space="0" w:color="ED7D31"/>
              <w:left w:val="nil"/>
              <w:bottom w:val="single" w:sz="4" w:space="0" w:color="ED7D31"/>
              <w:right w:val="nil"/>
            </w:tcBorders>
            <w:shd w:val="clear" w:color="auto" w:fill="auto"/>
            <w:vAlign w:val="center"/>
            <w:hideMark/>
          </w:tcPr>
          <w:p w14:paraId="1E6B03F0" w14:textId="77777777" w:rsidR="00576123" w:rsidRPr="00E20D21" w:rsidRDefault="00576123"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Patrimônio Líquido</w:t>
            </w:r>
          </w:p>
        </w:tc>
        <w:tc>
          <w:tcPr>
            <w:tcW w:w="387" w:type="pct"/>
            <w:vMerge w:val="restart"/>
            <w:tcBorders>
              <w:top w:val="nil"/>
              <w:left w:val="nil"/>
              <w:bottom w:val="single" w:sz="4" w:space="0" w:color="ED7D31"/>
              <w:right w:val="nil"/>
            </w:tcBorders>
            <w:shd w:val="clear" w:color="auto" w:fill="auto"/>
            <w:vAlign w:val="center"/>
            <w:hideMark/>
          </w:tcPr>
          <w:p w14:paraId="0A82C411" w14:textId="77777777" w:rsidR="00576123" w:rsidRPr="00E20D21" w:rsidRDefault="00576123"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contábil</w:t>
            </w:r>
          </w:p>
        </w:tc>
        <w:tc>
          <w:tcPr>
            <w:tcW w:w="1069" w:type="pct"/>
            <w:gridSpan w:val="3"/>
            <w:vMerge w:val="restart"/>
            <w:tcBorders>
              <w:top w:val="single" w:sz="4" w:space="0" w:color="ED7D31"/>
              <w:left w:val="nil"/>
              <w:bottom w:val="single" w:sz="4" w:space="0" w:color="ED7D31"/>
              <w:right w:val="nil"/>
            </w:tcBorders>
            <w:shd w:val="clear" w:color="auto" w:fill="auto"/>
            <w:vAlign w:val="center"/>
            <w:hideMark/>
          </w:tcPr>
          <w:p w14:paraId="55A8644A" w14:textId="77777777" w:rsidR="00576123" w:rsidRPr="00E20D21" w:rsidRDefault="00576123"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Movimentação</w:t>
            </w:r>
          </w:p>
        </w:tc>
        <w:tc>
          <w:tcPr>
            <w:tcW w:w="389" w:type="pct"/>
            <w:vMerge w:val="restart"/>
            <w:tcBorders>
              <w:top w:val="nil"/>
              <w:left w:val="nil"/>
              <w:bottom w:val="single" w:sz="4" w:space="0" w:color="ED7D31"/>
              <w:right w:val="nil"/>
            </w:tcBorders>
            <w:shd w:val="clear" w:color="auto" w:fill="auto"/>
            <w:vAlign w:val="center"/>
            <w:hideMark/>
          </w:tcPr>
          <w:p w14:paraId="381C59DA" w14:textId="77777777" w:rsidR="00576123" w:rsidRPr="00E20D21" w:rsidRDefault="00576123"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contábil</w:t>
            </w:r>
          </w:p>
        </w:tc>
        <w:tc>
          <w:tcPr>
            <w:tcW w:w="385" w:type="pct"/>
            <w:vMerge w:val="restart"/>
            <w:tcBorders>
              <w:top w:val="nil"/>
              <w:left w:val="nil"/>
              <w:bottom w:val="single" w:sz="4" w:space="0" w:color="ED7D31"/>
              <w:right w:val="nil"/>
            </w:tcBorders>
            <w:shd w:val="clear" w:color="auto" w:fill="auto"/>
            <w:vAlign w:val="center"/>
            <w:hideMark/>
          </w:tcPr>
          <w:p w14:paraId="32AFDA69" w14:textId="77777777" w:rsidR="00576123" w:rsidRPr="00E20D21" w:rsidRDefault="00576123"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Resultado MEP</w:t>
            </w:r>
          </w:p>
        </w:tc>
      </w:tr>
      <w:tr w:rsidR="00A47C19" w:rsidRPr="00E20D21" w14:paraId="2EC3AFBD" w14:textId="77777777" w:rsidTr="00673695">
        <w:trPr>
          <w:trHeight w:val="300"/>
        </w:trPr>
        <w:tc>
          <w:tcPr>
            <w:tcW w:w="630" w:type="pct"/>
            <w:vMerge/>
            <w:tcBorders>
              <w:top w:val="nil"/>
              <w:left w:val="nil"/>
              <w:bottom w:val="nil"/>
              <w:right w:val="nil"/>
            </w:tcBorders>
            <w:vAlign w:val="center"/>
            <w:hideMark/>
          </w:tcPr>
          <w:p w14:paraId="76F67464" w14:textId="77777777" w:rsidR="00576123" w:rsidRPr="00E20D21" w:rsidRDefault="00576123" w:rsidP="00711413">
            <w:pPr>
              <w:rPr>
                <w:rFonts w:ascii="CAIXA Std Book" w:eastAsia="Times New Roman" w:hAnsi="CAIXA Std Book" w:cs="Calibri"/>
                <w:b/>
                <w:bCs/>
                <w:color w:val="005CA9"/>
                <w:sz w:val="16"/>
                <w:szCs w:val="16"/>
              </w:rPr>
            </w:pPr>
          </w:p>
        </w:tc>
        <w:tc>
          <w:tcPr>
            <w:tcW w:w="729" w:type="pct"/>
            <w:gridSpan w:val="2"/>
            <w:tcBorders>
              <w:top w:val="single" w:sz="4" w:space="0" w:color="ED7D31"/>
              <w:left w:val="nil"/>
              <w:bottom w:val="single" w:sz="4" w:space="0" w:color="ED7D31"/>
              <w:right w:val="nil"/>
            </w:tcBorders>
            <w:shd w:val="clear" w:color="auto" w:fill="auto"/>
            <w:vAlign w:val="center"/>
            <w:hideMark/>
          </w:tcPr>
          <w:p w14:paraId="67DC16CA" w14:textId="77673CC1" w:rsidR="00576123" w:rsidRPr="00E20D21" w:rsidRDefault="00A47C19"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30/06/2024</w:t>
            </w:r>
          </w:p>
        </w:tc>
        <w:tc>
          <w:tcPr>
            <w:tcW w:w="633" w:type="pct"/>
            <w:gridSpan w:val="2"/>
            <w:tcBorders>
              <w:top w:val="nil"/>
              <w:left w:val="nil"/>
              <w:bottom w:val="nil"/>
              <w:right w:val="nil"/>
            </w:tcBorders>
            <w:shd w:val="clear" w:color="auto" w:fill="auto"/>
            <w:vAlign w:val="center"/>
            <w:hideMark/>
          </w:tcPr>
          <w:p w14:paraId="016323F8" w14:textId="32880044" w:rsidR="00576123" w:rsidRPr="00E20D21" w:rsidRDefault="00576123" w:rsidP="00711413">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31/12/202</w:t>
            </w:r>
            <w:r w:rsidR="00A47C19" w:rsidRPr="00E20D21">
              <w:rPr>
                <w:rFonts w:ascii="CAIXA Std Book" w:eastAsia="Times New Roman" w:hAnsi="CAIXA Std Book" w:cs="Calibri"/>
                <w:b/>
                <w:bCs/>
                <w:color w:val="005CA9"/>
                <w:sz w:val="16"/>
                <w:szCs w:val="16"/>
              </w:rPr>
              <w:t>3</w:t>
            </w:r>
          </w:p>
        </w:tc>
        <w:tc>
          <w:tcPr>
            <w:tcW w:w="778" w:type="pct"/>
            <w:gridSpan w:val="2"/>
            <w:vMerge/>
            <w:tcBorders>
              <w:top w:val="single" w:sz="4" w:space="0" w:color="ED7D31"/>
              <w:left w:val="nil"/>
              <w:bottom w:val="single" w:sz="4" w:space="0" w:color="ED7D31"/>
              <w:right w:val="nil"/>
            </w:tcBorders>
            <w:vAlign w:val="center"/>
            <w:hideMark/>
          </w:tcPr>
          <w:p w14:paraId="536799BD" w14:textId="77777777" w:rsidR="00576123" w:rsidRPr="00E20D21" w:rsidRDefault="00576123" w:rsidP="00711413">
            <w:pPr>
              <w:rPr>
                <w:rFonts w:ascii="CAIXA Std Book" w:eastAsia="Times New Roman" w:hAnsi="CAIXA Std Book" w:cs="Calibri"/>
                <w:b/>
                <w:bCs/>
                <w:color w:val="005CA9"/>
                <w:sz w:val="16"/>
                <w:szCs w:val="16"/>
              </w:rPr>
            </w:pPr>
          </w:p>
        </w:tc>
        <w:tc>
          <w:tcPr>
            <w:tcW w:w="387" w:type="pct"/>
            <w:vMerge/>
            <w:tcBorders>
              <w:top w:val="nil"/>
              <w:left w:val="nil"/>
              <w:bottom w:val="single" w:sz="4" w:space="0" w:color="ED7D31"/>
              <w:right w:val="nil"/>
            </w:tcBorders>
            <w:vAlign w:val="center"/>
            <w:hideMark/>
          </w:tcPr>
          <w:p w14:paraId="4881CDCA" w14:textId="77777777" w:rsidR="00576123" w:rsidRPr="00E20D21" w:rsidRDefault="00576123" w:rsidP="00711413">
            <w:pPr>
              <w:rPr>
                <w:rFonts w:ascii="CAIXA Std Book" w:eastAsia="Times New Roman" w:hAnsi="CAIXA Std Book" w:cs="Calibri"/>
                <w:b/>
                <w:bCs/>
                <w:color w:val="005CA9"/>
                <w:sz w:val="16"/>
                <w:szCs w:val="16"/>
              </w:rPr>
            </w:pPr>
          </w:p>
        </w:tc>
        <w:tc>
          <w:tcPr>
            <w:tcW w:w="1069" w:type="pct"/>
            <w:gridSpan w:val="3"/>
            <w:vMerge/>
            <w:tcBorders>
              <w:top w:val="single" w:sz="4" w:space="0" w:color="ED7D31"/>
              <w:left w:val="nil"/>
              <w:bottom w:val="single" w:sz="4" w:space="0" w:color="ED7D31"/>
              <w:right w:val="nil"/>
            </w:tcBorders>
            <w:vAlign w:val="center"/>
            <w:hideMark/>
          </w:tcPr>
          <w:p w14:paraId="36C0936D" w14:textId="77777777" w:rsidR="00576123" w:rsidRPr="00E20D21" w:rsidRDefault="00576123" w:rsidP="00711413">
            <w:pPr>
              <w:rPr>
                <w:rFonts w:ascii="CAIXA Std Book" w:eastAsia="Times New Roman" w:hAnsi="CAIXA Std Book" w:cs="Calibri"/>
                <w:b/>
                <w:bCs/>
                <w:color w:val="005CA9"/>
                <w:sz w:val="16"/>
                <w:szCs w:val="16"/>
              </w:rPr>
            </w:pPr>
          </w:p>
        </w:tc>
        <w:tc>
          <w:tcPr>
            <w:tcW w:w="389" w:type="pct"/>
            <w:vMerge/>
            <w:tcBorders>
              <w:top w:val="nil"/>
              <w:left w:val="nil"/>
              <w:bottom w:val="single" w:sz="4" w:space="0" w:color="ED7D31"/>
              <w:right w:val="nil"/>
            </w:tcBorders>
            <w:vAlign w:val="center"/>
            <w:hideMark/>
          </w:tcPr>
          <w:p w14:paraId="14E49CA9" w14:textId="77777777" w:rsidR="00576123" w:rsidRPr="00E20D21" w:rsidRDefault="00576123" w:rsidP="00711413">
            <w:pPr>
              <w:rPr>
                <w:rFonts w:ascii="CAIXA Std Book" w:eastAsia="Times New Roman" w:hAnsi="CAIXA Std Book" w:cs="Calibri"/>
                <w:b/>
                <w:bCs/>
                <w:color w:val="005CA9"/>
                <w:sz w:val="16"/>
                <w:szCs w:val="16"/>
              </w:rPr>
            </w:pPr>
          </w:p>
        </w:tc>
        <w:tc>
          <w:tcPr>
            <w:tcW w:w="385" w:type="pct"/>
            <w:vMerge/>
            <w:tcBorders>
              <w:top w:val="nil"/>
              <w:left w:val="nil"/>
              <w:bottom w:val="single" w:sz="4" w:space="0" w:color="ED7D31"/>
              <w:right w:val="nil"/>
            </w:tcBorders>
            <w:vAlign w:val="center"/>
            <w:hideMark/>
          </w:tcPr>
          <w:p w14:paraId="215AADA1" w14:textId="77777777" w:rsidR="00576123" w:rsidRPr="00E20D21" w:rsidRDefault="00576123" w:rsidP="00711413">
            <w:pPr>
              <w:rPr>
                <w:rFonts w:ascii="CAIXA Std Book" w:eastAsia="Times New Roman" w:hAnsi="CAIXA Std Book" w:cs="Calibri"/>
                <w:b/>
                <w:bCs/>
                <w:color w:val="005CA9"/>
                <w:sz w:val="16"/>
                <w:szCs w:val="16"/>
              </w:rPr>
            </w:pPr>
          </w:p>
        </w:tc>
      </w:tr>
      <w:tr w:rsidR="00A47C19" w:rsidRPr="00E20D21" w14:paraId="20A73717" w14:textId="77777777" w:rsidTr="00673695">
        <w:trPr>
          <w:trHeight w:val="315"/>
        </w:trPr>
        <w:tc>
          <w:tcPr>
            <w:tcW w:w="630" w:type="pct"/>
            <w:vMerge/>
            <w:tcBorders>
              <w:top w:val="nil"/>
              <w:left w:val="nil"/>
              <w:bottom w:val="nil"/>
              <w:right w:val="nil"/>
            </w:tcBorders>
            <w:vAlign w:val="center"/>
            <w:hideMark/>
          </w:tcPr>
          <w:p w14:paraId="2439AC9F" w14:textId="77777777" w:rsidR="00A47C19" w:rsidRPr="00E20D21" w:rsidRDefault="00A47C19" w:rsidP="00A47C19">
            <w:pPr>
              <w:rPr>
                <w:rFonts w:ascii="CAIXA Std Book" w:eastAsia="Times New Roman" w:hAnsi="CAIXA Std Book" w:cs="Calibri"/>
                <w:b/>
                <w:bCs/>
                <w:color w:val="005CA9"/>
                <w:sz w:val="16"/>
                <w:szCs w:val="16"/>
              </w:rPr>
            </w:pPr>
          </w:p>
        </w:tc>
        <w:tc>
          <w:tcPr>
            <w:tcW w:w="348" w:type="pct"/>
            <w:vMerge w:val="restart"/>
            <w:tcBorders>
              <w:top w:val="nil"/>
              <w:left w:val="nil"/>
              <w:bottom w:val="nil"/>
              <w:right w:val="nil"/>
            </w:tcBorders>
            <w:shd w:val="clear" w:color="auto" w:fill="auto"/>
            <w:vAlign w:val="center"/>
            <w:hideMark/>
          </w:tcPr>
          <w:p w14:paraId="53A003C3" w14:textId="77777777"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Total</w:t>
            </w:r>
          </w:p>
        </w:tc>
        <w:tc>
          <w:tcPr>
            <w:tcW w:w="381" w:type="pct"/>
            <w:tcBorders>
              <w:top w:val="nil"/>
              <w:left w:val="nil"/>
              <w:bottom w:val="nil"/>
              <w:right w:val="nil"/>
            </w:tcBorders>
            <w:shd w:val="clear" w:color="auto" w:fill="auto"/>
            <w:vAlign w:val="center"/>
            <w:hideMark/>
          </w:tcPr>
          <w:p w14:paraId="3CBD2BED" w14:textId="77777777"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Ações</w:t>
            </w:r>
          </w:p>
        </w:tc>
        <w:tc>
          <w:tcPr>
            <w:tcW w:w="313" w:type="pct"/>
            <w:vMerge w:val="restart"/>
            <w:tcBorders>
              <w:top w:val="single" w:sz="4" w:space="0" w:color="ED7D31"/>
              <w:left w:val="nil"/>
              <w:bottom w:val="nil"/>
              <w:right w:val="nil"/>
            </w:tcBorders>
            <w:shd w:val="clear" w:color="auto" w:fill="auto"/>
            <w:vAlign w:val="center"/>
            <w:hideMark/>
          </w:tcPr>
          <w:p w14:paraId="404B0601" w14:textId="77777777"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Total</w:t>
            </w:r>
          </w:p>
        </w:tc>
        <w:tc>
          <w:tcPr>
            <w:tcW w:w="320" w:type="pct"/>
            <w:tcBorders>
              <w:top w:val="single" w:sz="4" w:space="0" w:color="ED7D31"/>
              <w:left w:val="nil"/>
              <w:bottom w:val="nil"/>
              <w:right w:val="nil"/>
            </w:tcBorders>
            <w:shd w:val="clear" w:color="auto" w:fill="auto"/>
            <w:vAlign w:val="center"/>
            <w:hideMark/>
          </w:tcPr>
          <w:p w14:paraId="19322537" w14:textId="77777777"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Ações</w:t>
            </w:r>
          </w:p>
        </w:tc>
        <w:tc>
          <w:tcPr>
            <w:tcW w:w="379" w:type="pct"/>
            <w:vMerge w:val="restart"/>
            <w:tcBorders>
              <w:top w:val="nil"/>
              <w:left w:val="nil"/>
              <w:bottom w:val="single" w:sz="4" w:space="0" w:color="ED7D31"/>
              <w:right w:val="nil"/>
            </w:tcBorders>
            <w:shd w:val="clear" w:color="auto" w:fill="auto"/>
            <w:vAlign w:val="center"/>
            <w:hideMark/>
          </w:tcPr>
          <w:p w14:paraId="33CA6215" w14:textId="3F7419AF"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30/06/2024</w:t>
            </w:r>
          </w:p>
        </w:tc>
        <w:tc>
          <w:tcPr>
            <w:tcW w:w="399" w:type="pct"/>
            <w:vMerge w:val="restart"/>
            <w:tcBorders>
              <w:top w:val="nil"/>
              <w:left w:val="nil"/>
              <w:bottom w:val="single" w:sz="4" w:space="0" w:color="ED7D31"/>
              <w:right w:val="nil"/>
            </w:tcBorders>
            <w:shd w:val="clear" w:color="auto" w:fill="auto"/>
            <w:vAlign w:val="center"/>
            <w:hideMark/>
          </w:tcPr>
          <w:p w14:paraId="762194D2" w14:textId="51F8EF37"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31/12/2023</w:t>
            </w:r>
          </w:p>
        </w:tc>
        <w:tc>
          <w:tcPr>
            <w:tcW w:w="387" w:type="pct"/>
            <w:vMerge w:val="restart"/>
            <w:tcBorders>
              <w:top w:val="nil"/>
              <w:left w:val="nil"/>
              <w:bottom w:val="single" w:sz="4" w:space="0" w:color="ED7D31"/>
              <w:right w:val="nil"/>
            </w:tcBorders>
            <w:shd w:val="clear" w:color="auto" w:fill="auto"/>
            <w:vAlign w:val="center"/>
            <w:hideMark/>
          </w:tcPr>
          <w:p w14:paraId="01572A4A" w14:textId="4F862F05"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31/12/2023</w:t>
            </w:r>
          </w:p>
        </w:tc>
        <w:tc>
          <w:tcPr>
            <w:tcW w:w="349" w:type="pct"/>
            <w:vMerge w:val="restart"/>
            <w:tcBorders>
              <w:top w:val="nil"/>
              <w:left w:val="nil"/>
              <w:bottom w:val="single" w:sz="4" w:space="0" w:color="ED7D31"/>
              <w:right w:val="nil"/>
            </w:tcBorders>
            <w:shd w:val="clear" w:color="auto" w:fill="auto"/>
            <w:vAlign w:val="center"/>
            <w:hideMark/>
          </w:tcPr>
          <w:p w14:paraId="07FDFEE0" w14:textId="77777777"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Resultado MEP</w:t>
            </w:r>
          </w:p>
        </w:tc>
        <w:tc>
          <w:tcPr>
            <w:tcW w:w="348" w:type="pct"/>
            <w:vMerge w:val="restart"/>
            <w:tcBorders>
              <w:top w:val="nil"/>
              <w:left w:val="nil"/>
              <w:bottom w:val="single" w:sz="4" w:space="0" w:color="ED7D31"/>
              <w:right w:val="nil"/>
            </w:tcBorders>
            <w:shd w:val="clear" w:color="auto" w:fill="auto"/>
            <w:vAlign w:val="center"/>
            <w:hideMark/>
          </w:tcPr>
          <w:p w14:paraId="36278E60" w14:textId="39FC69F2"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Dividendos e JCP (</w:t>
            </w:r>
            <w:r w:rsidR="00C07930" w:rsidRPr="00E20D21">
              <w:rPr>
                <w:rFonts w:ascii="CAIXA Std Book" w:eastAsia="Times New Roman" w:hAnsi="CAIXA Std Book" w:cs="Calibri"/>
                <w:b/>
                <w:bCs/>
                <w:color w:val="005CA9"/>
                <w:sz w:val="16"/>
                <w:szCs w:val="16"/>
              </w:rPr>
              <w:t>2</w:t>
            </w:r>
            <w:r w:rsidRPr="00E20D21">
              <w:rPr>
                <w:rFonts w:ascii="CAIXA Std Book" w:eastAsia="Times New Roman" w:hAnsi="CAIXA Std Book" w:cs="Calibri"/>
                <w:b/>
                <w:bCs/>
                <w:color w:val="005CA9"/>
                <w:sz w:val="16"/>
                <w:szCs w:val="16"/>
              </w:rPr>
              <w:t>)</w:t>
            </w:r>
          </w:p>
        </w:tc>
        <w:tc>
          <w:tcPr>
            <w:tcW w:w="372" w:type="pct"/>
            <w:vMerge w:val="restart"/>
            <w:tcBorders>
              <w:top w:val="nil"/>
              <w:left w:val="nil"/>
              <w:bottom w:val="single" w:sz="4" w:space="0" w:color="ED7D31"/>
              <w:right w:val="nil"/>
            </w:tcBorders>
            <w:shd w:val="clear" w:color="auto" w:fill="auto"/>
            <w:vAlign w:val="center"/>
            <w:hideMark/>
          </w:tcPr>
          <w:p w14:paraId="268DC44B" w14:textId="655C1A4A"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Outros</w:t>
            </w:r>
          </w:p>
        </w:tc>
        <w:tc>
          <w:tcPr>
            <w:tcW w:w="389" w:type="pct"/>
            <w:vMerge w:val="restart"/>
            <w:tcBorders>
              <w:top w:val="nil"/>
              <w:left w:val="nil"/>
              <w:bottom w:val="single" w:sz="4" w:space="0" w:color="ED7D31"/>
              <w:right w:val="nil"/>
            </w:tcBorders>
            <w:shd w:val="clear" w:color="auto" w:fill="auto"/>
            <w:vAlign w:val="center"/>
            <w:hideMark/>
          </w:tcPr>
          <w:p w14:paraId="27B03116" w14:textId="755B5372"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30/06/2024</w:t>
            </w:r>
          </w:p>
        </w:tc>
        <w:tc>
          <w:tcPr>
            <w:tcW w:w="385" w:type="pct"/>
            <w:tcBorders>
              <w:top w:val="nil"/>
              <w:left w:val="nil"/>
              <w:right w:val="nil"/>
            </w:tcBorders>
            <w:shd w:val="clear" w:color="auto" w:fill="auto"/>
            <w:vAlign w:val="center"/>
            <w:hideMark/>
          </w:tcPr>
          <w:p w14:paraId="2D57E98B" w14:textId="0662E3E7"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2023</w:t>
            </w:r>
          </w:p>
        </w:tc>
      </w:tr>
      <w:tr w:rsidR="00A47C19" w:rsidRPr="00E20D21" w14:paraId="386DAD2E" w14:textId="77777777" w:rsidTr="00673695">
        <w:trPr>
          <w:trHeight w:val="300"/>
        </w:trPr>
        <w:tc>
          <w:tcPr>
            <w:tcW w:w="630" w:type="pct"/>
            <w:vMerge/>
            <w:tcBorders>
              <w:top w:val="nil"/>
              <w:left w:val="nil"/>
              <w:bottom w:val="single" w:sz="4" w:space="0" w:color="F79646" w:themeColor="accent6"/>
              <w:right w:val="nil"/>
            </w:tcBorders>
            <w:vAlign w:val="center"/>
            <w:hideMark/>
          </w:tcPr>
          <w:p w14:paraId="49F92CAB" w14:textId="77777777" w:rsidR="00A47C19" w:rsidRPr="00E20D21" w:rsidRDefault="00A47C19" w:rsidP="00A47C19">
            <w:pPr>
              <w:rPr>
                <w:rFonts w:ascii="CAIXA Std Book" w:eastAsia="Times New Roman" w:hAnsi="CAIXA Std Book" w:cs="Calibri"/>
                <w:b/>
                <w:bCs/>
                <w:color w:val="005CA9"/>
                <w:sz w:val="16"/>
                <w:szCs w:val="16"/>
              </w:rPr>
            </w:pPr>
          </w:p>
        </w:tc>
        <w:tc>
          <w:tcPr>
            <w:tcW w:w="348" w:type="pct"/>
            <w:vMerge/>
            <w:tcBorders>
              <w:top w:val="nil"/>
              <w:left w:val="nil"/>
              <w:bottom w:val="single" w:sz="4" w:space="0" w:color="F79646" w:themeColor="accent6"/>
              <w:right w:val="nil"/>
            </w:tcBorders>
            <w:vAlign w:val="center"/>
            <w:hideMark/>
          </w:tcPr>
          <w:p w14:paraId="7733889D" w14:textId="77777777" w:rsidR="00A47C19" w:rsidRPr="00E20D21" w:rsidRDefault="00A47C19" w:rsidP="00A47C19">
            <w:pPr>
              <w:rPr>
                <w:rFonts w:ascii="CAIXA Std Book" w:eastAsia="Times New Roman" w:hAnsi="CAIXA Std Book" w:cs="Calibri"/>
                <w:b/>
                <w:bCs/>
                <w:color w:val="005CA9"/>
                <w:sz w:val="16"/>
                <w:szCs w:val="16"/>
              </w:rPr>
            </w:pPr>
          </w:p>
        </w:tc>
        <w:tc>
          <w:tcPr>
            <w:tcW w:w="381" w:type="pct"/>
            <w:tcBorders>
              <w:top w:val="nil"/>
              <w:left w:val="nil"/>
              <w:bottom w:val="single" w:sz="4" w:space="0" w:color="F79646" w:themeColor="accent6"/>
              <w:right w:val="nil"/>
            </w:tcBorders>
            <w:shd w:val="clear" w:color="auto" w:fill="auto"/>
            <w:vAlign w:val="center"/>
            <w:hideMark/>
          </w:tcPr>
          <w:p w14:paraId="0F0CEFD7" w14:textId="77777777"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Ordinárias</w:t>
            </w:r>
          </w:p>
        </w:tc>
        <w:tc>
          <w:tcPr>
            <w:tcW w:w="313" w:type="pct"/>
            <w:vMerge/>
            <w:tcBorders>
              <w:top w:val="single" w:sz="4" w:space="0" w:color="ED7D31"/>
              <w:left w:val="nil"/>
              <w:bottom w:val="single" w:sz="4" w:space="0" w:color="F79646" w:themeColor="accent6"/>
              <w:right w:val="nil"/>
            </w:tcBorders>
            <w:vAlign w:val="center"/>
            <w:hideMark/>
          </w:tcPr>
          <w:p w14:paraId="7E59C7DE" w14:textId="77777777" w:rsidR="00A47C19" w:rsidRPr="00E20D21" w:rsidRDefault="00A47C19" w:rsidP="00A47C19">
            <w:pPr>
              <w:rPr>
                <w:rFonts w:ascii="CAIXA Std Book" w:eastAsia="Times New Roman" w:hAnsi="CAIXA Std Book" w:cs="Calibri"/>
                <w:b/>
                <w:bCs/>
                <w:color w:val="005CA9"/>
                <w:sz w:val="16"/>
                <w:szCs w:val="16"/>
              </w:rPr>
            </w:pPr>
          </w:p>
        </w:tc>
        <w:tc>
          <w:tcPr>
            <w:tcW w:w="320" w:type="pct"/>
            <w:tcBorders>
              <w:top w:val="nil"/>
              <w:left w:val="nil"/>
              <w:bottom w:val="single" w:sz="4" w:space="0" w:color="F79646" w:themeColor="accent6"/>
              <w:right w:val="nil"/>
            </w:tcBorders>
            <w:shd w:val="clear" w:color="auto" w:fill="auto"/>
            <w:vAlign w:val="center"/>
            <w:hideMark/>
          </w:tcPr>
          <w:p w14:paraId="55559BC3" w14:textId="6E55EFE8"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Ordinária</w:t>
            </w:r>
            <w:r w:rsidR="00CF50ED" w:rsidRPr="00E20D21">
              <w:rPr>
                <w:rFonts w:ascii="CAIXA Std Book" w:eastAsia="Times New Roman" w:hAnsi="CAIXA Std Book" w:cs="Calibri"/>
                <w:b/>
                <w:bCs/>
                <w:color w:val="005CA9"/>
                <w:sz w:val="16"/>
                <w:szCs w:val="16"/>
              </w:rPr>
              <w:t>s</w:t>
            </w:r>
          </w:p>
        </w:tc>
        <w:tc>
          <w:tcPr>
            <w:tcW w:w="379" w:type="pct"/>
            <w:vMerge/>
            <w:tcBorders>
              <w:top w:val="nil"/>
              <w:left w:val="nil"/>
              <w:bottom w:val="single" w:sz="4" w:space="0" w:color="F79646" w:themeColor="accent6"/>
              <w:right w:val="nil"/>
            </w:tcBorders>
            <w:vAlign w:val="center"/>
            <w:hideMark/>
          </w:tcPr>
          <w:p w14:paraId="50457B74" w14:textId="77777777" w:rsidR="00A47C19" w:rsidRPr="00E20D21" w:rsidRDefault="00A47C19" w:rsidP="00A47C19">
            <w:pPr>
              <w:rPr>
                <w:rFonts w:ascii="CAIXA Std Book" w:eastAsia="Times New Roman" w:hAnsi="CAIXA Std Book" w:cs="Calibri"/>
                <w:b/>
                <w:bCs/>
                <w:color w:val="005CA9"/>
                <w:sz w:val="16"/>
                <w:szCs w:val="16"/>
              </w:rPr>
            </w:pPr>
          </w:p>
        </w:tc>
        <w:tc>
          <w:tcPr>
            <w:tcW w:w="399" w:type="pct"/>
            <w:vMerge/>
            <w:tcBorders>
              <w:top w:val="nil"/>
              <w:left w:val="nil"/>
              <w:bottom w:val="single" w:sz="4" w:space="0" w:color="F79646" w:themeColor="accent6"/>
              <w:right w:val="nil"/>
            </w:tcBorders>
            <w:vAlign w:val="center"/>
            <w:hideMark/>
          </w:tcPr>
          <w:p w14:paraId="149DF566" w14:textId="77777777" w:rsidR="00A47C19" w:rsidRPr="00E20D21" w:rsidRDefault="00A47C19" w:rsidP="00A47C19">
            <w:pPr>
              <w:rPr>
                <w:rFonts w:ascii="CAIXA Std Book" w:eastAsia="Times New Roman" w:hAnsi="CAIXA Std Book" w:cs="Calibri"/>
                <w:b/>
                <w:bCs/>
                <w:color w:val="005CA9"/>
                <w:sz w:val="16"/>
                <w:szCs w:val="16"/>
              </w:rPr>
            </w:pPr>
          </w:p>
        </w:tc>
        <w:tc>
          <w:tcPr>
            <w:tcW w:w="387" w:type="pct"/>
            <w:vMerge/>
            <w:tcBorders>
              <w:top w:val="nil"/>
              <w:left w:val="nil"/>
              <w:bottom w:val="single" w:sz="4" w:space="0" w:color="F79646" w:themeColor="accent6"/>
              <w:right w:val="nil"/>
            </w:tcBorders>
            <w:vAlign w:val="center"/>
            <w:hideMark/>
          </w:tcPr>
          <w:p w14:paraId="0ADBFEE2" w14:textId="77777777" w:rsidR="00A47C19" w:rsidRPr="00E20D21" w:rsidRDefault="00A47C19" w:rsidP="00A47C19">
            <w:pPr>
              <w:rPr>
                <w:rFonts w:ascii="CAIXA Std Book" w:eastAsia="Times New Roman" w:hAnsi="CAIXA Std Book" w:cs="Calibri"/>
                <w:b/>
                <w:bCs/>
                <w:color w:val="005CA9"/>
                <w:sz w:val="16"/>
                <w:szCs w:val="16"/>
              </w:rPr>
            </w:pPr>
          </w:p>
        </w:tc>
        <w:tc>
          <w:tcPr>
            <w:tcW w:w="349" w:type="pct"/>
            <w:vMerge/>
            <w:tcBorders>
              <w:top w:val="nil"/>
              <w:left w:val="nil"/>
              <w:bottom w:val="single" w:sz="4" w:space="0" w:color="F79646" w:themeColor="accent6"/>
              <w:right w:val="nil"/>
            </w:tcBorders>
            <w:vAlign w:val="center"/>
            <w:hideMark/>
          </w:tcPr>
          <w:p w14:paraId="34CDD9C0" w14:textId="77777777" w:rsidR="00A47C19" w:rsidRPr="00E20D21" w:rsidRDefault="00A47C19" w:rsidP="00A47C19">
            <w:pPr>
              <w:rPr>
                <w:rFonts w:ascii="CAIXA Std Book" w:eastAsia="Times New Roman" w:hAnsi="CAIXA Std Book" w:cs="Calibri"/>
                <w:b/>
                <w:bCs/>
                <w:color w:val="005CA9"/>
                <w:sz w:val="16"/>
                <w:szCs w:val="16"/>
              </w:rPr>
            </w:pPr>
          </w:p>
        </w:tc>
        <w:tc>
          <w:tcPr>
            <w:tcW w:w="348" w:type="pct"/>
            <w:vMerge/>
            <w:tcBorders>
              <w:top w:val="nil"/>
              <w:left w:val="nil"/>
              <w:bottom w:val="single" w:sz="4" w:space="0" w:color="F79646" w:themeColor="accent6"/>
              <w:right w:val="nil"/>
            </w:tcBorders>
            <w:vAlign w:val="center"/>
            <w:hideMark/>
          </w:tcPr>
          <w:p w14:paraId="582776B0" w14:textId="77777777" w:rsidR="00A47C19" w:rsidRPr="00E20D21" w:rsidRDefault="00A47C19" w:rsidP="00A47C19">
            <w:pPr>
              <w:rPr>
                <w:rFonts w:ascii="CAIXA Std Book" w:eastAsia="Times New Roman" w:hAnsi="CAIXA Std Book" w:cs="Calibri"/>
                <w:b/>
                <w:bCs/>
                <w:color w:val="005CA9"/>
                <w:sz w:val="16"/>
                <w:szCs w:val="16"/>
              </w:rPr>
            </w:pPr>
          </w:p>
        </w:tc>
        <w:tc>
          <w:tcPr>
            <w:tcW w:w="372" w:type="pct"/>
            <w:vMerge/>
            <w:tcBorders>
              <w:top w:val="nil"/>
              <w:left w:val="nil"/>
              <w:bottom w:val="single" w:sz="4" w:space="0" w:color="F79646" w:themeColor="accent6"/>
              <w:right w:val="nil"/>
            </w:tcBorders>
            <w:vAlign w:val="center"/>
            <w:hideMark/>
          </w:tcPr>
          <w:p w14:paraId="7D0112E7" w14:textId="77777777" w:rsidR="00A47C19" w:rsidRPr="00E20D21" w:rsidRDefault="00A47C19" w:rsidP="00A47C19">
            <w:pPr>
              <w:rPr>
                <w:rFonts w:ascii="CAIXA Std Book" w:eastAsia="Times New Roman" w:hAnsi="CAIXA Std Book" w:cs="Calibri"/>
                <w:b/>
                <w:bCs/>
                <w:color w:val="005CA9"/>
                <w:sz w:val="16"/>
                <w:szCs w:val="16"/>
              </w:rPr>
            </w:pPr>
          </w:p>
        </w:tc>
        <w:tc>
          <w:tcPr>
            <w:tcW w:w="389" w:type="pct"/>
            <w:vMerge/>
            <w:tcBorders>
              <w:top w:val="nil"/>
              <w:left w:val="nil"/>
              <w:bottom w:val="single" w:sz="4" w:space="0" w:color="F79646" w:themeColor="accent6"/>
              <w:right w:val="nil"/>
            </w:tcBorders>
            <w:vAlign w:val="center"/>
            <w:hideMark/>
          </w:tcPr>
          <w:p w14:paraId="2D3F275F" w14:textId="77777777" w:rsidR="00A47C19" w:rsidRPr="00E20D21" w:rsidRDefault="00A47C19" w:rsidP="00A47C19">
            <w:pPr>
              <w:rPr>
                <w:rFonts w:ascii="CAIXA Std Book" w:eastAsia="Times New Roman" w:hAnsi="CAIXA Std Book" w:cs="Calibri"/>
                <w:b/>
                <w:bCs/>
                <w:color w:val="005CA9"/>
                <w:sz w:val="16"/>
                <w:szCs w:val="16"/>
              </w:rPr>
            </w:pPr>
          </w:p>
        </w:tc>
        <w:tc>
          <w:tcPr>
            <w:tcW w:w="385" w:type="pct"/>
            <w:tcBorders>
              <w:left w:val="nil"/>
              <w:bottom w:val="single" w:sz="4" w:space="0" w:color="F79646" w:themeColor="accent6"/>
              <w:right w:val="nil"/>
            </w:tcBorders>
            <w:shd w:val="clear" w:color="auto" w:fill="auto"/>
            <w:vAlign w:val="center"/>
            <w:hideMark/>
          </w:tcPr>
          <w:p w14:paraId="6AD6404D" w14:textId="1BD11CEF" w:rsidR="00A47C19" w:rsidRPr="00E20D21" w:rsidRDefault="00A47C19" w:rsidP="00A47C19">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1º semestre</w:t>
            </w:r>
          </w:p>
        </w:tc>
      </w:tr>
      <w:tr w:rsidR="00ED2FA6" w:rsidRPr="00E20D21" w14:paraId="277E469B" w14:textId="77777777" w:rsidTr="00673695">
        <w:trPr>
          <w:trHeight w:val="300"/>
        </w:trPr>
        <w:tc>
          <w:tcPr>
            <w:tcW w:w="630" w:type="pct"/>
            <w:tcBorders>
              <w:top w:val="single" w:sz="4" w:space="0" w:color="F79646" w:themeColor="accent6"/>
              <w:left w:val="nil"/>
              <w:bottom w:val="nil"/>
              <w:right w:val="nil"/>
            </w:tcBorders>
            <w:shd w:val="clear" w:color="auto" w:fill="auto"/>
            <w:vAlign w:val="center"/>
            <w:hideMark/>
          </w:tcPr>
          <w:p w14:paraId="62998411" w14:textId="0EA53195" w:rsidR="00ED2FA6" w:rsidRPr="00E20D21" w:rsidRDefault="00ED2FA6" w:rsidP="00ED2FA6">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Caixa Seguridade (</w:t>
            </w:r>
            <w:r w:rsidR="00C07930" w:rsidRPr="00E20D21">
              <w:rPr>
                <w:rFonts w:ascii="CAIXA Std Book" w:eastAsia="Times New Roman" w:hAnsi="CAIXA Std Book" w:cs="Calibri"/>
                <w:color w:val="005CA9"/>
                <w:sz w:val="16"/>
                <w:szCs w:val="16"/>
              </w:rPr>
              <w:t>1</w:t>
            </w:r>
            <w:r w:rsidRPr="00E20D21">
              <w:rPr>
                <w:rFonts w:ascii="CAIXA Std Book" w:eastAsia="Times New Roman" w:hAnsi="CAIXA Std Book" w:cs="Calibri"/>
                <w:color w:val="005CA9"/>
                <w:sz w:val="16"/>
                <w:szCs w:val="16"/>
              </w:rPr>
              <w:t>)</w:t>
            </w:r>
          </w:p>
        </w:tc>
        <w:tc>
          <w:tcPr>
            <w:tcW w:w="348" w:type="pct"/>
            <w:tcBorders>
              <w:top w:val="single" w:sz="4" w:space="0" w:color="F79646" w:themeColor="accent6"/>
              <w:left w:val="nil"/>
              <w:bottom w:val="nil"/>
              <w:right w:val="nil"/>
            </w:tcBorders>
            <w:shd w:val="clear" w:color="auto" w:fill="auto"/>
            <w:noWrap/>
            <w:vAlign w:val="center"/>
            <w:hideMark/>
          </w:tcPr>
          <w:p w14:paraId="366C6F85"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82,75%</w:t>
            </w:r>
          </w:p>
        </w:tc>
        <w:tc>
          <w:tcPr>
            <w:tcW w:w="381" w:type="pct"/>
            <w:tcBorders>
              <w:top w:val="single" w:sz="4" w:space="0" w:color="F79646" w:themeColor="accent6"/>
              <w:left w:val="nil"/>
              <w:bottom w:val="nil"/>
              <w:right w:val="nil"/>
            </w:tcBorders>
            <w:shd w:val="clear" w:color="auto" w:fill="auto"/>
            <w:vAlign w:val="center"/>
            <w:hideMark/>
          </w:tcPr>
          <w:p w14:paraId="78FF1801"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82,75%</w:t>
            </w:r>
          </w:p>
        </w:tc>
        <w:tc>
          <w:tcPr>
            <w:tcW w:w="313" w:type="pct"/>
            <w:tcBorders>
              <w:top w:val="single" w:sz="4" w:space="0" w:color="F79646" w:themeColor="accent6"/>
              <w:left w:val="nil"/>
              <w:bottom w:val="nil"/>
              <w:right w:val="nil"/>
            </w:tcBorders>
            <w:shd w:val="clear" w:color="auto" w:fill="auto"/>
            <w:noWrap/>
            <w:vAlign w:val="center"/>
            <w:hideMark/>
          </w:tcPr>
          <w:p w14:paraId="6D48E4A2" w14:textId="656A7E88"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82,75%</w:t>
            </w:r>
          </w:p>
        </w:tc>
        <w:tc>
          <w:tcPr>
            <w:tcW w:w="320" w:type="pct"/>
            <w:tcBorders>
              <w:top w:val="single" w:sz="4" w:space="0" w:color="F79646" w:themeColor="accent6"/>
              <w:left w:val="nil"/>
              <w:bottom w:val="nil"/>
              <w:right w:val="nil"/>
            </w:tcBorders>
            <w:shd w:val="clear" w:color="auto" w:fill="auto"/>
            <w:vAlign w:val="center"/>
            <w:hideMark/>
          </w:tcPr>
          <w:p w14:paraId="207807E0" w14:textId="2B842666"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82,75%</w:t>
            </w:r>
          </w:p>
        </w:tc>
        <w:tc>
          <w:tcPr>
            <w:tcW w:w="379" w:type="pct"/>
            <w:tcBorders>
              <w:top w:val="single" w:sz="4" w:space="0" w:color="F79646" w:themeColor="accent6"/>
              <w:left w:val="nil"/>
              <w:bottom w:val="nil"/>
              <w:right w:val="nil"/>
            </w:tcBorders>
            <w:shd w:val="clear" w:color="auto" w:fill="auto"/>
            <w:noWrap/>
            <w:vAlign w:val="center"/>
          </w:tcPr>
          <w:p w14:paraId="37D2DAF1" w14:textId="7D5B4ECB" w:rsidR="00ED2FA6" w:rsidRPr="00E20D21" w:rsidRDefault="007E49C1" w:rsidP="00ED2FA6">
            <w:pPr>
              <w:jc w:val="right"/>
              <w:rPr>
                <w:rFonts w:ascii="CAIXA Std Book" w:eastAsia="Times New Roman" w:hAnsi="CAIXA Std Book" w:cs="Calibri"/>
                <w:color w:val="005CA9"/>
                <w:sz w:val="16"/>
                <w:szCs w:val="16"/>
                <w:highlight w:val="yellow"/>
              </w:rPr>
            </w:pPr>
            <w:r w:rsidRPr="00E20D21">
              <w:rPr>
                <w:rFonts w:ascii="CAIXA Std Book" w:hAnsi="CAIXA Std Book" w:cs="Arial"/>
                <w:color w:val="005CA9"/>
                <w:sz w:val="16"/>
                <w:szCs w:val="16"/>
              </w:rPr>
              <w:t>12.690.432</w:t>
            </w:r>
          </w:p>
        </w:tc>
        <w:tc>
          <w:tcPr>
            <w:tcW w:w="399" w:type="pct"/>
            <w:tcBorders>
              <w:top w:val="single" w:sz="4" w:space="0" w:color="F79646" w:themeColor="accent6"/>
              <w:left w:val="nil"/>
              <w:bottom w:val="nil"/>
              <w:right w:val="nil"/>
            </w:tcBorders>
            <w:shd w:val="clear" w:color="auto" w:fill="auto"/>
            <w:noWrap/>
            <w:vAlign w:val="center"/>
            <w:hideMark/>
          </w:tcPr>
          <w:p w14:paraId="2F261CBA" w14:textId="0AE997A9"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12.610.606</w:t>
            </w:r>
          </w:p>
        </w:tc>
        <w:tc>
          <w:tcPr>
            <w:tcW w:w="387" w:type="pct"/>
            <w:tcBorders>
              <w:top w:val="single" w:sz="4" w:space="0" w:color="F79646" w:themeColor="accent6"/>
              <w:left w:val="nil"/>
              <w:bottom w:val="nil"/>
              <w:right w:val="nil"/>
            </w:tcBorders>
            <w:shd w:val="clear" w:color="auto" w:fill="auto"/>
            <w:noWrap/>
            <w:vAlign w:val="center"/>
            <w:hideMark/>
          </w:tcPr>
          <w:p w14:paraId="6428E8DB" w14:textId="7B0BD85C"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10.435.277</w:t>
            </w:r>
          </w:p>
        </w:tc>
        <w:tc>
          <w:tcPr>
            <w:tcW w:w="349" w:type="pct"/>
            <w:tcBorders>
              <w:top w:val="single" w:sz="4" w:space="0" w:color="F79646" w:themeColor="accent6"/>
              <w:left w:val="nil"/>
              <w:bottom w:val="nil"/>
              <w:right w:val="nil"/>
            </w:tcBorders>
            <w:shd w:val="clear" w:color="auto" w:fill="auto"/>
            <w:noWrap/>
            <w:vAlign w:val="center"/>
          </w:tcPr>
          <w:p w14:paraId="1079F8DF" w14:textId="7B91FFE9"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1.162.977</w:t>
            </w:r>
          </w:p>
        </w:tc>
        <w:tc>
          <w:tcPr>
            <w:tcW w:w="348" w:type="pct"/>
            <w:tcBorders>
              <w:top w:val="single" w:sz="4" w:space="0" w:color="F79646" w:themeColor="accent6"/>
              <w:left w:val="nil"/>
              <w:bottom w:val="nil"/>
              <w:right w:val="nil"/>
            </w:tcBorders>
            <w:shd w:val="clear" w:color="auto" w:fill="auto"/>
            <w:noWrap/>
            <w:vAlign w:val="center"/>
          </w:tcPr>
          <w:p w14:paraId="324D3849" w14:textId="2B13756C"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(982.555)</w:t>
            </w:r>
          </w:p>
        </w:tc>
        <w:tc>
          <w:tcPr>
            <w:tcW w:w="372" w:type="pct"/>
            <w:tcBorders>
              <w:top w:val="single" w:sz="4" w:space="0" w:color="F79646" w:themeColor="accent6"/>
              <w:left w:val="nil"/>
              <w:bottom w:val="nil"/>
              <w:right w:val="nil"/>
            </w:tcBorders>
            <w:shd w:val="clear" w:color="auto" w:fill="auto"/>
            <w:noWrap/>
            <w:vAlign w:val="center"/>
          </w:tcPr>
          <w:p w14:paraId="577527FA" w14:textId="248C79BE"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(114.367)</w:t>
            </w:r>
          </w:p>
        </w:tc>
        <w:tc>
          <w:tcPr>
            <w:tcW w:w="389" w:type="pct"/>
            <w:tcBorders>
              <w:top w:val="single" w:sz="4" w:space="0" w:color="F79646" w:themeColor="accent6"/>
              <w:left w:val="nil"/>
              <w:bottom w:val="nil"/>
              <w:right w:val="nil"/>
            </w:tcBorders>
            <w:shd w:val="clear" w:color="auto" w:fill="auto"/>
            <w:noWrap/>
            <w:vAlign w:val="center"/>
          </w:tcPr>
          <w:p w14:paraId="448B8B65" w14:textId="4553D0A1"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10.501.332</w:t>
            </w:r>
          </w:p>
        </w:tc>
        <w:tc>
          <w:tcPr>
            <w:tcW w:w="385" w:type="pct"/>
            <w:tcBorders>
              <w:top w:val="single" w:sz="4" w:space="0" w:color="F79646" w:themeColor="accent6"/>
              <w:left w:val="nil"/>
              <w:bottom w:val="nil"/>
              <w:right w:val="nil"/>
            </w:tcBorders>
            <w:shd w:val="clear" w:color="auto" w:fill="auto"/>
            <w:noWrap/>
            <w:vAlign w:val="center"/>
          </w:tcPr>
          <w:p w14:paraId="386F78E9" w14:textId="52D4F15D"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1.376.090</w:t>
            </w:r>
          </w:p>
        </w:tc>
      </w:tr>
      <w:tr w:rsidR="00ED2FA6" w:rsidRPr="00E20D21" w14:paraId="4FF61B87" w14:textId="77777777" w:rsidTr="00673695">
        <w:trPr>
          <w:trHeight w:val="300"/>
        </w:trPr>
        <w:tc>
          <w:tcPr>
            <w:tcW w:w="630" w:type="pct"/>
            <w:tcBorders>
              <w:top w:val="nil"/>
              <w:left w:val="nil"/>
              <w:bottom w:val="nil"/>
              <w:right w:val="nil"/>
            </w:tcBorders>
            <w:shd w:val="clear" w:color="auto" w:fill="auto"/>
            <w:vAlign w:val="center"/>
            <w:hideMark/>
          </w:tcPr>
          <w:p w14:paraId="3267787C" w14:textId="04712AF1" w:rsidR="00ED2FA6" w:rsidRPr="00E20D21" w:rsidRDefault="00ED2FA6" w:rsidP="00ED2FA6">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 xml:space="preserve">Caixa Cartões </w:t>
            </w:r>
          </w:p>
        </w:tc>
        <w:tc>
          <w:tcPr>
            <w:tcW w:w="348" w:type="pct"/>
            <w:tcBorders>
              <w:top w:val="nil"/>
              <w:left w:val="nil"/>
              <w:bottom w:val="nil"/>
              <w:right w:val="nil"/>
            </w:tcBorders>
            <w:shd w:val="clear" w:color="auto" w:fill="auto"/>
            <w:noWrap/>
            <w:vAlign w:val="center"/>
          </w:tcPr>
          <w:p w14:paraId="4685EE29"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81" w:type="pct"/>
            <w:tcBorders>
              <w:top w:val="nil"/>
              <w:left w:val="nil"/>
              <w:bottom w:val="nil"/>
              <w:right w:val="nil"/>
            </w:tcBorders>
            <w:shd w:val="clear" w:color="auto" w:fill="auto"/>
            <w:vAlign w:val="center"/>
          </w:tcPr>
          <w:p w14:paraId="1B0E6ED1"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13" w:type="pct"/>
            <w:tcBorders>
              <w:top w:val="nil"/>
              <w:left w:val="nil"/>
              <w:bottom w:val="nil"/>
              <w:right w:val="nil"/>
            </w:tcBorders>
            <w:shd w:val="clear" w:color="auto" w:fill="auto"/>
            <w:noWrap/>
            <w:vAlign w:val="center"/>
            <w:hideMark/>
          </w:tcPr>
          <w:p w14:paraId="13BE0C30" w14:textId="336EF374"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20" w:type="pct"/>
            <w:tcBorders>
              <w:top w:val="nil"/>
              <w:left w:val="nil"/>
              <w:bottom w:val="nil"/>
              <w:right w:val="nil"/>
            </w:tcBorders>
            <w:shd w:val="clear" w:color="auto" w:fill="auto"/>
            <w:vAlign w:val="center"/>
            <w:hideMark/>
          </w:tcPr>
          <w:p w14:paraId="7CE6531E" w14:textId="0AC9E4FB"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79" w:type="pct"/>
            <w:tcBorders>
              <w:top w:val="nil"/>
              <w:left w:val="nil"/>
              <w:bottom w:val="nil"/>
              <w:right w:val="nil"/>
            </w:tcBorders>
            <w:shd w:val="clear" w:color="auto" w:fill="auto"/>
            <w:noWrap/>
            <w:vAlign w:val="center"/>
          </w:tcPr>
          <w:p w14:paraId="2B0FA341" w14:textId="704539DF" w:rsidR="00ED2FA6" w:rsidRPr="00E20D21" w:rsidRDefault="007E49C1" w:rsidP="00ED2FA6">
            <w:pPr>
              <w:jc w:val="right"/>
              <w:rPr>
                <w:rFonts w:ascii="CAIXA Std Book" w:eastAsia="Times New Roman" w:hAnsi="CAIXA Std Book" w:cs="Calibri"/>
                <w:color w:val="005CA9"/>
                <w:sz w:val="16"/>
                <w:szCs w:val="16"/>
                <w:highlight w:val="yellow"/>
              </w:rPr>
            </w:pPr>
            <w:r w:rsidRPr="00E20D21">
              <w:rPr>
                <w:rFonts w:ascii="CAIXA Std Book" w:hAnsi="CAIXA Std Book" w:cs="Arial"/>
                <w:color w:val="005CA9"/>
                <w:sz w:val="16"/>
                <w:szCs w:val="16"/>
              </w:rPr>
              <w:t>894.935</w:t>
            </w:r>
          </w:p>
        </w:tc>
        <w:tc>
          <w:tcPr>
            <w:tcW w:w="399" w:type="pct"/>
            <w:tcBorders>
              <w:top w:val="nil"/>
              <w:left w:val="nil"/>
              <w:bottom w:val="nil"/>
              <w:right w:val="nil"/>
            </w:tcBorders>
            <w:shd w:val="clear" w:color="auto" w:fill="auto"/>
            <w:noWrap/>
            <w:vAlign w:val="center"/>
            <w:hideMark/>
          </w:tcPr>
          <w:p w14:paraId="11F6CA1C" w14:textId="4C7A1189"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829.861</w:t>
            </w:r>
          </w:p>
        </w:tc>
        <w:tc>
          <w:tcPr>
            <w:tcW w:w="387" w:type="pct"/>
            <w:tcBorders>
              <w:top w:val="nil"/>
              <w:left w:val="nil"/>
              <w:bottom w:val="nil"/>
              <w:right w:val="nil"/>
            </w:tcBorders>
            <w:shd w:val="clear" w:color="auto" w:fill="auto"/>
            <w:noWrap/>
            <w:vAlign w:val="center"/>
            <w:hideMark/>
          </w:tcPr>
          <w:p w14:paraId="43B45150" w14:textId="6F8EB379"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829.861</w:t>
            </w:r>
          </w:p>
        </w:tc>
        <w:tc>
          <w:tcPr>
            <w:tcW w:w="349" w:type="pct"/>
            <w:tcBorders>
              <w:top w:val="nil"/>
              <w:left w:val="nil"/>
              <w:bottom w:val="nil"/>
              <w:right w:val="nil"/>
            </w:tcBorders>
            <w:shd w:val="clear" w:color="auto" w:fill="auto"/>
            <w:noWrap/>
            <w:vAlign w:val="center"/>
          </w:tcPr>
          <w:p w14:paraId="77A04C4A" w14:textId="718746C4"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243.769</w:t>
            </w:r>
          </w:p>
        </w:tc>
        <w:tc>
          <w:tcPr>
            <w:tcW w:w="348" w:type="pct"/>
            <w:tcBorders>
              <w:top w:val="nil"/>
              <w:left w:val="nil"/>
              <w:bottom w:val="nil"/>
              <w:right w:val="nil"/>
            </w:tcBorders>
            <w:shd w:val="clear" w:color="auto" w:fill="auto"/>
            <w:noWrap/>
            <w:vAlign w:val="center"/>
          </w:tcPr>
          <w:p w14:paraId="5B9BB81B" w14:textId="6DB2C2FD"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(175.313)</w:t>
            </w:r>
          </w:p>
        </w:tc>
        <w:tc>
          <w:tcPr>
            <w:tcW w:w="372" w:type="pct"/>
            <w:tcBorders>
              <w:top w:val="nil"/>
              <w:left w:val="nil"/>
              <w:bottom w:val="nil"/>
              <w:right w:val="nil"/>
            </w:tcBorders>
            <w:shd w:val="clear" w:color="auto" w:fill="auto"/>
            <w:noWrap/>
            <w:vAlign w:val="center"/>
          </w:tcPr>
          <w:p w14:paraId="7FF2BC25" w14:textId="7DEF526D"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(3.382)</w:t>
            </w:r>
          </w:p>
        </w:tc>
        <w:tc>
          <w:tcPr>
            <w:tcW w:w="389" w:type="pct"/>
            <w:tcBorders>
              <w:top w:val="nil"/>
              <w:left w:val="nil"/>
              <w:bottom w:val="nil"/>
              <w:right w:val="nil"/>
            </w:tcBorders>
            <w:shd w:val="clear" w:color="auto" w:fill="auto"/>
            <w:noWrap/>
            <w:vAlign w:val="center"/>
          </w:tcPr>
          <w:p w14:paraId="1E28DD91" w14:textId="0D6FD265"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894.935</w:t>
            </w:r>
          </w:p>
        </w:tc>
        <w:tc>
          <w:tcPr>
            <w:tcW w:w="385" w:type="pct"/>
            <w:tcBorders>
              <w:top w:val="nil"/>
              <w:left w:val="nil"/>
              <w:bottom w:val="nil"/>
              <w:right w:val="nil"/>
            </w:tcBorders>
            <w:shd w:val="clear" w:color="auto" w:fill="auto"/>
            <w:noWrap/>
            <w:vAlign w:val="center"/>
          </w:tcPr>
          <w:p w14:paraId="20C8BC8C" w14:textId="7E40EDDC"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100.248</w:t>
            </w:r>
          </w:p>
        </w:tc>
      </w:tr>
      <w:tr w:rsidR="00ED2FA6" w:rsidRPr="00E20D21" w14:paraId="12921AD4" w14:textId="77777777" w:rsidTr="00673695">
        <w:trPr>
          <w:trHeight w:val="300"/>
        </w:trPr>
        <w:tc>
          <w:tcPr>
            <w:tcW w:w="630" w:type="pct"/>
            <w:tcBorders>
              <w:top w:val="nil"/>
              <w:left w:val="nil"/>
              <w:bottom w:val="nil"/>
              <w:right w:val="nil"/>
            </w:tcBorders>
            <w:shd w:val="clear" w:color="auto" w:fill="auto"/>
            <w:vAlign w:val="center"/>
            <w:hideMark/>
          </w:tcPr>
          <w:p w14:paraId="2F8AEDA0" w14:textId="29690F36" w:rsidR="00ED2FA6" w:rsidRPr="00E20D21" w:rsidRDefault="00ED2FA6" w:rsidP="00ED2FA6">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Caixa Loterias</w:t>
            </w:r>
          </w:p>
        </w:tc>
        <w:tc>
          <w:tcPr>
            <w:tcW w:w="348" w:type="pct"/>
            <w:tcBorders>
              <w:top w:val="nil"/>
              <w:left w:val="nil"/>
              <w:bottom w:val="nil"/>
              <w:right w:val="nil"/>
            </w:tcBorders>
            <w:shd w:val="clear" w:color="auto" w:fill="auto"/>
            <w:noWrap/>
            <w:vAlign w:val="center"/>
          </w:tcPr>
          <w:p w14:paraId="7FCAD5F5"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81" w:type="pct"/>
            <w:tcBorders>
              <w:top w:val="nil"/>
              <w:left w:val="nil"/>
              <w:bottom w:val="nil"/>
              <w:right w:val="nil"/>
            </w:tcBorders>
            <w:shd w:val="clear" w:color="auto" w:fill="auto"/>
            <w:vAlign w:val="center"/>
          </w:tcPr>
          <w:p w14:paraId="237F191C"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13" w:type="pct"/>
            <w:tcBorders>
              <w:top w:val="nil"/>
              <w:left w:val="nil"/>
              <w:bottom w:val="nil"/>
              <w:right w:val="nil"/>
            </w:tcBorders>
            <w:shd w:val="clear" w:color="auto" w:fill="auto"/>
            <w:noWrap/>
            <w:vAlign w:val="center"/>
            <w:hideMark/>
          </w:tcPr>
          <w:p w14:paraId="5DF2F972" w14:textId="14CC489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20" w:type="pct"/>
            <w:tcBorders>
              <w:top w:val="nil"/>
              <w:left w:val="nil"/>
              <w:bottom w:val="nil"/>
              <w:right w:val="nil"/>
            </w:tcBorders>
            <w:shd w:val="clear" w:color="auto" w:fill="auto"/>
            <w:vAlign w:val="center"/>
            <w:hideMark/>
          </w:tcPr>
          <w:p w14:paraId="4D58860C" w14:textId="12472250"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79" w:type="pct"/>
            <w:tcBorders>
              <w:top w:val="nil"/>
              <w:left w:val="nil"/>
              <w:bottom w:val="nil"/>
              <w:right w:val="nil"/>
            </w:tcBorders>
            <w:shd w:val="clear" w:color="auto" w:fill="auto"/>
            <w:noWrap/>
            <w:vAlign w:val="center"/>
          </w:tcPr>
          <w:p w14:paraId="581B48F5" w14:textId="2420B3BC" w:rsidR="00ED2FA6" w:rsidRPr="00E20D21" w:rsidRDefault="007E49C1" w:rsidP="00ED2FA6">
            <w:pPr>
              <w:jc w:val="right"/>
              <w:rPr>
                <w:rFonts w:ascii="CAIXA Std Book" w:eastAsia="Times New Roman" w:hAnsi="CAIXA Std Book" w:cs="Calibri"/>
                <w:color w:val="005CA9"/>
                <w:sz w:val="16"/>
                <w:szCs w:val="16"/>
                <w:highlight w:val="yellow"/>
              </w:rPr>
            </w:pPr>
            <w:r w:rsidRPr="00E20D21">
              <w:rPr>
                <w:rFonts w:ascii="CAIXA Std Book" w:hAnsi="CAIXA Std Book" w:cs="Arial"/>
                <w:color w:val="005CA9"/>
                <w:sz w:val="16"/>
                <w:szCs w:val="16"/>
              </w:rPr>
              <w:t>22.585</w:t>
            </w:r>
          </w:p>
        </w:tc>
        <w:tc>
          <w:tcPr>
            <w:tcW w:w="399" w:type="pct"/>
            <w:tcBorders>
              <w:top w:val="nil"/>
              <w:left w:val="nil"/>
              <w:bottom w:val="nil"/>
              <w:right w:val="nil"/>
            </w:tcBorders>
            <w:shd w:val="clear" w:color="auto" w:fill="auto"/>
            <w:noWrap/>
            <w:vAlign w:val="center"/>
            <w:hideMark/>
          </w:tcPr>
          <w:p w14:paraId="29CACD9A" w14:textId="455399BB"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335</w:t>
            </w:r>
          </w:p>
        </w:tc>
        <w:tc>
          <w:tcPr>
            <w:tcW w:w="387" w:type="pct"/>
            <w:tcBorders>
              <w:top w:val="nil"/>
              <w:left w:val="nil"/>
              <w:bottom w:val="nil"/>
              <w:right w:val="nil"/>
            </w:tcBorders>
            <w:shd w:val="clear" w:color="auto" w:fill="auto"/>
            <w:noWrap/>
            <w:vAlign w:val="center"/>
            <w:hideMark/>
          </w:tcPr>
          <w:p w14:paraId="643E4451" w14:textId="12803CFE"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335</w:t>
            </w:r>
          </w:p>
        </w:tc>
        <w:tc>
          <w:tcPr>
            <w:tcW w:w="349" w:type="pct"/>
            <w:tcBorders>
              <w:top w:val="nil"/>
              <w:left w:val="nil"/>
              <w:bottom w:val="nil"/>
              <w:right w:val="nil"/>
            </w:tcBorders>
            <w:shd w:val="clear" w:color="auto" w:fill="auto"/>
            <w:noWrap/>
            <w:vAlign w:val="center"/>
          </w:tcPr>
          <w:p w14:paraId="43CFBA2E" w14:textId="6178E462"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22.250</w:t>
            </w:r>
          </w:p>
        </w:tc>
        <w:tc>
          <w:tcPr>
            <w:tcW w:w="348" w:type="pct"/>
            <w:tcBorders>
              <w:top w:val="nil"/>
              <w:left w:val="nil"/>
              <w:bottom w:val="nil"/>
              <w:right w:val="nil"/>
            </w:tcBorders>
            <w:shd w:val="clear" w:color="auto" w:fill="auto"/>
            <w:noWrap/>
            <w:vAlign w:val="center"/>
          </w:tcPr>
          <w:p w14:paraId="13265FFD" w14:textId="708254E6" w:rsidR="00ED2FA6" w:rsidRPr="00E20D21" w:rsidRDefault="005050DF"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72" w:type="pct"/>
            <w:tcBorders>
              <w:top w:val="nil"/>
              <w:left w:val="nil"/>
              <w:bottom w:val="nil"/>
              <w:right w:val="nil"/>
            </w:tcBorders>
            <w:shd w:val="clear" w:color="auto" w:fill="auto"/>
            <w:noWrap/>
            <w:vAlign w:val="center"/>
          </w:tcPr>
          <w:p w14:paraId="423D2841" w14:textId="3FA9A766" w:rsidR="00ED2FA6" w:rsidRPr="00E20D21" w:rsidRDefault="005050DF"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noWrap/>
            <w:vAlign w:val="center"/>
          </w:tcPr>
          <w:p w14:paraId="3F3E1A0F" w14:textId="768840A5"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22.585</w:t>
            </w:r>
          </w:p>
        </w:tc>
        <w:tc>
          <w:tcPr>
            <w:tcW w:w="385" w:type="pct"/>
            <w:tcBorders>
              <w:top w:val="nil"/>
              <w:left w:val="nil"/>
              <w:bottom w:val="nil"/>
              <w:right w:val="nil"/>
            </w:tcBorders>
            <w:shd w:val="clear" w:color="auto" w:fill="auto"/>
            <w:noWrap/>
            <w:vAlign w:val="center"/>
          </w:tcPr>
          <w:p w14:paraId="4C7A8020" w14:textId="1BF208E2"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(2.329)</w:t>
            </w:r>
          </w:p>
        </w:tc>
      </w:tr>
      <w:tr w:rsidR="00ED2FA6" w:rsidRPr="00E20D21" w14:paraId="557651A3" w14:textId="77777777" w:rsidTr="00673695">
        <w:trPr>
          <w:trHeight w:val="300"/>
        </w:trPr>
        <w:tc>
          <w:tcPr>
            <w:tcW w:w="630" w:type="pct"/>
            <w:tcBorders>
              <w:top w:val="nil"/>
              <w:left w:val="nil"/>
              <w:bottom w:val="nil"/>
              <w:right w:val="nil"/>
            </w:tcBorders>
            <w:shd w:val="clear" w:color="auto" w:fill="auto"/>
            <w:vAlign w:val="center"/>
            <w:hideMark/>
          </w:tcPr>
          <w:p w14:paraId="0A1BEA45" w14:textId="7C54AAD8" w:rsidR="00ED2FA6" w:rsidRPr="00E20D21" w:rsidRDefault="00ED2FA6" w:rsidP="00ED2FA6">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 xml:space="preserve">Caixa </w:t>
            </w:r>
            <w:proofErr w:type="spellStart"/>
            <w:r w:rsidRPr="00E20D21">
              <w:rPr>
                <w:rFonts w:ascii="CAIXA Std Book" w:eastAsia="Times New Roman" w:hAnsi="CAIXA Std Book" w:cs="Calibri"/>
                <w:color w:val="005CA9"/>
                <w:sz w:val="16"/>
                <w:szCs w:val="16"/>
              </w:rPr>
              <w:t>Asset</w:t>
            </w:r>
            <w:proofErr w:type="spellEnd"/>
            <w:r w:rsidRPr="00E20D21">
              <w:rPr>
                <w:rFonts w:ascii="CAIXA Std Book" w:eastAsia="Times New Roman" w:hAnsi="CAIXA Std Book" w:cs="Calibri"/>
                <w:color w:val="005CA9"/>
                <w:sz w:val="16"/>
                <w:szCs w:val="16"/>
              </w:rPr>
              <w:t xml:space="preserve"> </w:t>
            </w:r>
          </w:p>
        </w:tc>
        <w:tc>
          <w:tcPr>
            <w:tcW w:w="348" w:type="pct"/>
            <w:tcBorders>
              <w:top w:val="nil"/>
              <w:left w:val="nil"/>
              <w:bottom w:val="nil"/>
              <w:right w:val="nil"/>
            </w:tcBorders>
            <w:shd w:val="clear" w:color="auto" w:fill="auto"/>
            <w:noWrap/>
            <w:vAlign w:val="center"/>
          </w:tcPr>
          <w:p w14:paraId="6BF715D5"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81" w:type="pct"/>
            <w:tcBorders>
              <w:top w:val="nil"/>
              <w:left w:val="nil"/>
              <w:bottom w:val="nil"/>
              <w:right w:val="nil"/>
            </w:tcBorders>
            <w:shd w:val="clear" w:color="auto" w:fill="auto"/>
            <w:vAlign w:val="center"/>
          </w:tcPr>
          <w:p w14:paraId="010D7223"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13" w:type="pct"/>
            <w:tcBorders>
              <w:top w:val="nil"/>
              <w:left w:val="nil"/>
              <w:bottom w:val="nil"/>
              <w:right w:val="nil"/>
            </w:tcBorders>
            <w:shd w:val="clear" w:color="auto" w:fill="auto"/>
            <w:noWrap/>
            <w:vAlign w:val="center"/>
            <w:hideMark/>
          </w:tcPr>
          <w:p w14:paraId="7BE04F99" w14:textId="5BB104D6"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20" w:type="pct"/>
            <w:tcBorders>
              <w:top w:val="nil"/>
              <w:left w:val="nil"/>
              <w:bottom w:val="nil"/>
              <w:right w:val="nil"/>
            </w:tcBorders>
            <w:shd w:val="clear" w:color="auto" w:fill="auto"/>
            <w:vAlign w:val="center"/>
            <w:hideMark/>
          </w:tcPr>
          <w:p w14:paraId="675AAB33" w14:textId="4ED96DB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100,00%</w:t>
            </w:r>
          </w:p>
        </w:tc>
        <w:tc>
          <w:tcPr>
            <w:tcW w:w="379" w:type="pct"/>
            <w:tcBorders>
              <w:top w:val="nil"/>
              <w:left w:val="nil"/>
              <w:bottom w:val="nil"/>
              <w:right w:val="nil"/>
            </w:tcBorders>
            <w:shd w:val="clear" w:color="auto" w:fill="auto"/>
            <w:noWrap/>
            <w:vAlign w:val="center"/>
          </w:tcPr>
          <w:p w14:paraId="1C66AA42" w14:textId="1E746C1B" w:rsidR="00ED2FA6" w:rsidRPr="00E20D21" w:rsidRDefault="007E49C1" w:rsidP="00ED2FA6">
            <w:pPr>
              <w:jc w:val="right"/>
              <w:rPr>
                <w:rFonts w:ascii="CAIXA Std Book" w:eastAsia="Times New Roman" w:hAnsi="CAIXA Std Book" w:cs="Calibri"/>
                <w:color w:val="005CA9"/>
                <w:sz w:val="16"/>
                <w:szCs w:val="16"/>
                <w:highlight w:val="yellow"/>
              </w:rPr>
            </w:pPr>
            <w:r w:rsidRPr="00E20D21">
              <w:rPr>
                <w:rFonts w:ascii="CAIXA Std Book" w:hAnsi="CAIXA Std Book" w:cs="Arial"/>
                <w:color w:val="005CA9"/>
                <w:sz w:val="16"/>
                <w:szCs w:val="16"/>
              </w:rPr>
              <w:t>583.441</w:t>
            </w:r>
          </w:p>
        </w:tc>
        <w:tc>
          <w:tcPr>
            <w:tcW w:w="399" w:type="pct"/>
            <w:tcBorders>
              <w:top w:val="nil"/>
              <w:left w:val="nil"/>
              <w:bottom w:val="nil"/>
              <w:right w:val="nil"/>
            </w:tcBorders>
            <w:shd w:val="clear" w:color="auto" w:fill="auto"/>
            <w:noWrap/>
            <w:vAlign w:val="center"/>
            <w:hideMark/>
          </w:tcPr>
          <w:p w14:paraId="299E5A94" w14:textId="56D86290"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859.063</w:t>
            </w:r>
          </w:p>
        </w:tc>
        <w:tc>
          <w:tcPr>
            <w:tcW w:w="387" w:type="pct"/>
            <w:tcBorders>
              <w:top w:val="nil"/>
              <w:left w:val="nil"/>
              <w:bottom w:val="nil"/>
              <w:right w:val="nil"/>
            </w:tcBorders>
            <w:shd w:val="clear" w:color="auto" w:fill="auto"/>
            <w:noWrap/>
            <w:vAlign w:val="center"/>
            <w:hideMark/>
          </w:tcPr>
          <w:p w14:paraId="3B05A6E0" w14:textId="7D819F2B"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859.063</w:t>
            </w:r>
          </w:p>
        </w:tc>
        <w:tc>
          <w:tcPr>
            <w:tcW w:w="349" w:type="pct"/>
            <w:tcBorders>
              <w:top w:val="nil"/>
              <w:left w:val="nil"/>
              <w:bottom w:val="nil"/>
              <w:right w:val="nil"/>
            </w:tcBorders>
            <w:shd w:val="clear" w:color="auto" w:fill="auto"/>
            <w:noWrap/>
            <w:vAlign w:val="center"/>
          </w:tcPr>
          <w:p w14:paraId="62DFA14F" w14:textId="79669191"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523.434</w:t>
            </w:r>
          </w:p>
        </w:tc>
        <w:tc>
          <w:tcPr>
            <w:tcW w:w="348" w:type="pct"/>
            <w:tcBorders>
              <w:top w:val="nil"/>
              <w:left w:val="nil"/>
              <w:bottom w:val="nil"/>
              <w:right w:val="nil"/>
            </w:tcBorders>
            <w:shd w:val="clear" w:color="auto" w:fill="auto"/>
            <w:noWrap/>
            <w:vAlign w:val="center"/>
          </w:tcPr>
          <w:p w14:paraId="383C4DE8" w14:textId="6EEB6900"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(799.056)</w:t>
            </w:r>
          </w:p>
        </w:tc>
        <w:tc>
          <w:tcPr>
            <w:tcW w:w="372" w:type="pct"/>
            <w:tcBorders>
              <w:top w:val="nil"/>
              <w:left w:val="nil"/>
              <w:bottom w:val="nil"/>
              <w:right w:val="nil"/>
            </w:tcBorders>
            <w:shd w:val="clear" w:color="auto" w:fill="auto"/>
            <w:noWrap/>
            <w:vAlign w:val="center"/>
          </w:tcPr>
          <w:p w14:paraId="7C85A0EF" w14:textId="145F2DB7" w:rsidR="00ED2FA6" w:rsidRPr="00E20D21" w:rsidRDefault="005050DF"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noWrap/>
            <w:vAlign w:val="center"/>
          </w:tcPr>
          <w:p w14:paraId="2D7BE0FE" w14:textId="423B4D38"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583.441</w:t>
            </w:r>
          </w:p>
        </w:tc>
        <w:tc>
          <w:tcPr>
            <w:tcW w:w="385" w:type="pct"/>
            <w:tcBorders>
              <w:top w:val="nil"/>
              <w:left w:val="nil"/>
              <w:bottom w:val="nil"/>
              <w:right w:val="nil"/>
            </w:tcBorders>
            <w:shd w:val="clear" w:color="auto" w:fill="auto"/>
            <w:noWrap/>
            <w:vAlign w:val="center"/>
          </w:tcPr>
          <w:p w14:paraId="047346F8" w14:textId="0229FEE7"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523.462</w:t>
            </w:r>
          </w:p>
        </w:tc>
      </w:tr>
      <w:tr w:rsidR="00ED2FA6" w:rsidRPr="00E20D21" w14:paraId="64E74F68" w14:textId="77777777" w:rsidTr="00673695">
        <w:trPr>
          <w:trHeight w:val="300"/>
        </w:trPr>
        <w:tc>
          <w:tcPr>
            <w:tcW w:w="630" w:type="pct"/>
            <w:tcBorders>
              <w:top w:val="nil"/>
              <w:left w:val="nil"/>
              <w:bottom w:val="nil"/>
              <w:right w:val="nil"/>
            </w:tcBorders>
            <w:shd w:val="clear" w:color="auto" w:fill="auto"/>
            <w:vAlign w:val="center"/>
            <w:hideMark/>
          </w:tcPr>
          <w:p w14:paraId="3726C73D" w14:textId="77777777" w:rsidR="00ED2FA6" w:rsidRPr="00E20D21" w:rsidRDefault="00ED2FA6" w:rsidP="00ED2FA6">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TecBan</w:t>
            </w:r>
          </w:p>
        </w:tc>
        <w:tc>
          <w:tcPr>
            <w:tcW w:w="348" w:type="pct"/>
            <w:tcBorders>
              <w:top w:val="nil"/>
              <w:left w:val="nil"/>
              <w:bottom w:val="nil"/>
              <w:right w:val="nil"/>
            </w:tcBorders>
            <w:shd w:val="clear" w:color="auto" w:fill="auto"/>
            <w:noWrap/>
            <w:vAlign w:val="center"/>
          </w:tcPr>
          <w:p w14:paraId="65B62DA6"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13,01%</w:t>
            </w:r>
          </w:p>
        </w:tc>
        <w:tc>
          <w:tcPr>
            <w:tcW w:w="381" w:type="pct"/>
            <w:tcBorders>
              <w:top w:val="nil"/>
              <w:left w:val="nil"/>
              <w:bottom w:val="nil"/>
              <w:right w:val="nil"/>
            </w:tcBorders>
            <w:shd w:val="clear" w:color="auto" w:fill="auto"/>
            <w:vAlign w:val="center"/>
          </w:tcPr>
          <w:p w14:paraId="190225E1"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11,61%</w:t>
            </w:r>
          </w:p>
        </w:tc>
        <w:tc>
          <w:tcPr>
            <w:tcW w:w="313" w:type="pct"/>
            <w:tcBorders>
              <w:top w:val="nil"/>
              <w:left w:val="nil"/>
              <w:bottom w:val="nil"/>
              <w:right w:val="nil"/>
            </w:tcBorders>
            <w:shd w:val="clear" w:color="auto" w:fill="auto"/>
            <w:noWrap/>
            <w:vAlign w:val="center"/>
            <w:hideMark/>
          </w:tcPr>
          <w:p w14:paraId="0273E3C9" w14:textId="34B599CE"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13,01%</w:t>
            </w:r>
          </w:p>
        </w:tc>
        <w:tc>
          <w:tcPr>
            <w:tcW w:w="320" w:type="pct"/>
            <w:tcBorders>
              <w:top w:val="nil"/>
              <w:left w:val="nil"/>
              <w:bottom w:val="nil"/>
              <w:right w:val="nil"/>
            </w:tcBorders>
            <w:shd w:val="clear" w:color="auto" w:fill="auto"/>
            <w:vAlign w:val="center"/>
            <w:hideMark/>
          </w:tcPr>
          <w:p w14:paraId="32F64E97" w14:textId="1394EF81"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11,61%</w:t>
            </w:r>
          </w:p>
        </w:tc>
        <w:tc>
          <w:tcPr>
            <w:tcW w:w="379" w:type="pct"/>
            <w:tcBorders>
              <w:top w:val="nil"/>
              <w:left w:val="nil"/>
              <w:bottom w:val="nil"/>
              <w:right w:val="nil"/>
            </w:tcBorders>
            <w:shd w:val="clear" w:color="auto" w:fill="auto"/>
            <w:noWrap/>
            <w:vAlign w:val="center"/>
          </w:tcPr>
          <w:p w14:paraId="2E31D605" w14:textId="5F134106" w:rsidR="00ED2FA6" w:rsidRPr="00E20D21" w:rsidRDefault="007E49C1" w:rsidP="00ED2FA6">
            <w:pPr>
              <w:jc w:val="right"/>
              <w:rPr>
                <w:rFonts w:ascii="CAIXA Std Book" w:eastAsia="Times New Roman" w:hAnsi="CAIXA Std Book" w:cs="Calibri"/>
                <w:color w:val="005CA9"/>
                <w:sz w:val="16"/>
                <w:szCs w:val="16"/>
                <w:highlight w:val="yellow"/>
              </w:rPr>
            </w:pPr>
            <w:r w:rsidRPr="00E20D21">
              <w:rPr>
                <w:rFonts w:ascii="CAIXA Std Book" w:hAnsi="CAIXA Std Book" w:cs="Arial"/>
                <w:color w:val="005CA9"/>
                <w:sz w:val="16"/>
                <w:szCs w:val="16"/>
              </w:rPr>
              <w:t>1.000.980</w:t>
            </w:r>
          </w:p>
        </w:tc>
        <w:tc>
          <w:tcPr>
            <w:tcW w:w="399" w:type="pct"/>
            <w:tcBorders>
              <w:top w:val="nil"/>
              <w:left w:val="nil"/>
              <w:bottom w:val="nil"/>
              <w:right w:val="nil"/>
            </w:tcBorders>
            <w:shd w:val="clear" w:color="auto" w:fill="auto"/>
            <w:noWrap/>
            <w:vAlign w:val="center"/>
            <w:hideMark/>
          </w:tcPr>
          <w:p w14:paraId="48EC3C28" w14:textId="214A104A"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976.260</w:t>
            </w:r>
          </w:p>
        </w:tc>
        <w:tc>
          <w:tcPr>
            <w:tcW w:w="387" w:type="pct"/>
            <w:tcBorders>
              <w:top w:val="nil"/>
              <w:left w:val="nil"/>
              <w:bottom w:val="nil"/>
              <w:right w:val="nil"/>
            </w:tcBorders>
            <w:shd w:val="clear" w:color="auto" w:fill="auto"/>
            <w:noWrap/>
            <w:vAlign w:val="center"/>
            <w:hideMark/>
          </w:tcPr>
          <w:p w14:paraId="29CCA92B" w14:textId="301D4BFE"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182.047</w:t>
            </w:r>
          </w:p>
        </w:tc>
        <w:tc>
          <w:tcPr>
            <w:tcW w:w="349" w:type="pct"/>
            <w:tcBorders>
              <w:top w:val="nil"/>
              <w:left w:val="nil"/>
              <w:bottom w:val="nil"/>
              <w:right w:val="nil"/>
            </w:tcBorders>
            <w:shd w:val="clear" w:color="auto" w:fill="auto"/>
            <w:noWrap/>
            <w:vAlign w:val="center"/>
          </w:tcPr>
          <w:p w14:paraId="2B8299E9" w14:textId="56C09CB7"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3.216</w:t>
            </w:r>
          </w:p>
        </w:tc>
        <w:tc>
          <w:tcPr>
            <w:tcW w:w="348" w:type="pct"/>
            <w:tcBorders>
              <w:top w:val="nil"/>
              <w:left w:val="nil"/>
              <w:bottom w:val="nil"/>
              <w:right w:val="nil"/>
            </w:tcBorders>
            <w:shd w:val="clear" w:color="auto" w:fill="auto"/>
            <w:noWrap/>
            <w:vAlign w:val="center"/>
          </w:tcPr>
          <w:p w14:paraId="4C573777" w14:textId="2A9E61C5" w:rsidR="00ED2FA6" w:rsidRPr="00E20D21" w:rsidRDefault="005050DF" w:rsidP="005050DF">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72" w:type="pct"/>
            <w:tcBorders>
              <w:top w:val="nil"/>
              <w:left w:val="nil"/>
              <w:bottom w:val="nil"/>
              <w:right w:val="nil"/>
            </w:tcBorders>
            <w:shd w:val="clear" w:color="auto" w:fill="auto"/>
            <w:noWrap/>
            <w:vAlign w:val="center"/>
          </w:tcPr>
          <w:p w14:paraId="48F7B66F" w14:textId="19198315"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(791)</w:t>
            </w:r>
          </w:p>
        </w:tc>
        <w:tc>
          <w:tcPr>
            <w:tcW w:w="389" w:type="pct"/>
            <w:tcBorders>
              <w:top w:val="nil"/>
              <w:left w:val="nil"/>
              <w:bottom w:val="nil"/>
              <w:right w:val="nil"/>
            </w:tcBorders>
            <w:shd w:val="clear" w:color="auto" w:fill="auto"/>
            <w:noWrap/>
            <w:vAlign w:val="center"/>
          </w:tcPr>
          <w:p w14:paraId="621E90DF" w14:textId="1409537D"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184.472</w:t>
            </w:r>
          </w:p>
        </w:tc>
        <w:tc>
          <w:tcPr>
            <w:tcW w:w="385" w:type="pct"/>
            <w:tcBorders>
              <w:top w:val="nil"/>
              <w:left w:val="nil"/>
              <w:bottom w:val="nil"/>
              <w:right w:val="nil"/>
            </w:tcBorders>
            <w:shd w:val="clear" w:color="auto" w:fill="auto"/>
            <w:noWrap/>
            <w:vAlign w:val="center"/>
          </w:tcPr>
          <w:p w14:paraId="49A89EF7" w14:textId="202484D0"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(6.392)</w:t>
            </w:r>
          </w:p>
        </w:tc>
      </w:tr>
      <w:tr w:rsidR="00ED2FA6" w:rsidRPr="00E20D21" w14:paraId="157F1271" w14:textId="77777777" w:rsidTr="00673695">
        <w:trPr>
          <w:trHeight w:val="300"/>
        </w:trPr>
        <w:tc>
          <w:tcPr>
            <w:tcW w:w="630" w:type="pct"/>
            <w:tcBorders>
              <w:top w:val="nil"/>
              <w:left w:val="nil"/>
              <w:bottom w:val="nil"/>
              <w:right w:val="nil"/>
            </w:tcBorders>
            <w:shd w:val="clear" w:color="auto" w:fill="auto"/>
            <w:vAlign w:val="center"/>
            <w:hideMark/>
          </w:tcPr>
          <w:p w14:paraId="18DE3548" w14:textId="77777777" w:rsidR="00ED2FA6" w:rsidRPr="00E20D21" w:rsidRDefault="00ED2FA6" w:rsidP="00ED2FA6">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Quod</w:t>
            </w:r>
          </w:p>
        </w:tc>
        <w:tc>
          <w:tcPr>
            <w:tcW w:w="348" w:type="pct"/>
            <w:tcBorders>
              <w:top w:val="nil"/>
              <w:left w:val="nil"/>
              <w:bottom w:val="nil"/>
              <w:right w:val="nil"/>
            </w:tcBorders>
            <w:shd w:val="clear" w:color="auto" w:fill="auto"/>
            <w:noWrap/>
            <w:vAlign w:val="center"/>
          </w:tcPr>
          <w:p w14:paraId="1FAEBF3C"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15,29%</w:t>
            </w:r>
          </w:p>
        </w:tc>
        <w:tc>
          <w:tcPr>
            <w:tcW w:w="381" w:type="pct"/>
            <w:tcBorders>
              <w:top w:val="nil"/>
              <w:left w:val="nil"/>
              <w:bottom w:val="nil"/>
              <w:right w:val="nil"/>
            </w:tcBorders>
            <w:shd w:val="clear" w:color="auto" w:fill="auto"/>
            <w:vAlign w:val="center"/>
          </w:tcPr>
          <w:p w14:paraId="0DEB1D7E"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16,00%</w:t>
            </w:r>
          </w:p>
        </w:tc>
        <w:tc>
          <w:tcPr>
            <w:tcW w:w="313" w:type="pct"/>
            <w:tcBorders>
              <w:top w:val="nil"/>
              <w:left w:val="nil"/>
              <w:bottom w:val="nil"/>
              <w:right w:val="nil"/>
            </w:tcBorders>
            <w:shd w:val="clear" w:color="auto" w:fill="auto"/>
            <w:noWrap/>
            <w:vAlign w:val="center"/>
            <w:hideMark/>
          </w:tcPr>
          <w:p w14:paraId="0FD72333" w14:textId="5E32548D"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15,29%</w:t>
            </w:r>
          </w:p>
        </w:tc>
        <w:tc>
          <w:tcPr>
            <w:tcW w:w="320" w:type="pct"/>
            <w:tcBorders>
              <w:top w:val="nil"/>
              <w:left w:val="nil"/>
              <w:bottom w:val="nil"/>
              <w:right w:val="nil"/>
            </w:tcBorders>
            <w:shd w:val="clear" w:color="auto" w:fill="auto"/>
            <w:vAlign w:val="center"/>
            <w:hideMark/>
          </w:tcPr>
          <w:p w14:paraId="4B6E0663" w14:textId="4ADB1E5D"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16,00%</w:t>
            </w:r>
          </w:p>
        </w:tc>
        <w:tc>
          <w:tcPr>
            <w:tcW w:w="379" w:type="pct"/>
            <w:tcBorders>
              <w:top w:val="nil"/>
              <w:left w:val="nil"/>
              <w:bottom w:val="nil"/>
              <w:right w:val="nil"/>
            </w:tcBorders>
            <w:shd w:val="clear" w:color="auto" w:fill="auto"/>
            <w:noWrap/>
            <w:vAlign w:val="center"/>
          </w:tcPr>
          <w:p w14:paraId="56F7D9E8" w14:textId="58E3353E" w:rsidR="00ED2FA6" w:rsidRPr="00E20D21" w:rsidRDefault="007E49C1" w:rsidP="00ED2FA6">
            <w:pPr>
              <w:jc w:val="right"/>
              <w:rPr>
                <w:rFonts w:ascii="CAIXA Std Book" w:eastAsia="Times New Roman" w:hAnsi="CAIXA Std Book" w:cs="Calibri"/>
                <w:color w:val="005CA9"/>
                <w:sz w:val="16"/>
                <w:szCs w:val="16"/>
                <w:highlight w:val="yellow"/>
              </w:rPr>
            </w:pPr>
            <w:r w:rsidRPr="00E20D21">
              <w:rPr>
                <w:rFonts w:ascii="CAIXA Std Book" w:hAnsi="CAIXA Std Book" w:cs="Arial"/>
                <w:color w:val="005CA9"/>
                <w:sz w:val="16"/>
                <w:szCs w:val="16"/>
              </w:rPr>
              <w:t>345.845</w:t>
            </w:r>
          </w:p>
        </w:tc>
        <w:tc>
          <w:tcPr>
            <w:tcW w:w="399" w:type="pct"/>
            <w:tcBorders>
              <w:top w:val="nil"/>
              <w:left w:val="nil"/>
              <w:bottom w:val="nil"/>
              <w:right w:val="nil"/>
            </w:tcBorders>
            <w:shd w:val="clear" w:color="auto" w:fill="auto"/>
            <w:noWrap/>
            <w:vAlign w:val="center"/>
            <w:hideMark/>
          </w:tcPr>
          <w:p w14:paraId="7D6F803B" w14:textId="3FB69ECC"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362.536</w:t>
            </w:r>
          </w:p>
        </w:tc>
        <w:tc>
          <w:tcPr>
            <w:tcW w:w="387" w:type="pct"/>
            <w:tcBorders>
              <w:top w:val="nil"/>
              <w:left w:val="nil"/>
              <w:bottom w:val="nil"/>
              <w:right w:val="nil"/>
            </w:tcBorders>
            <w:shd w:val="clear" w:color="auto" w:fill="auto"/>
            <w:noWrap/>
            <w:vAlign w:val="center"/>
            <w:hideMark/>
          </w:tcPr>
          <w:p w14:paraId="3997474D" w14:textId="65A5A67C"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55.432</w:t>
            </w:r>
          </w:p>
        </w:tc>
        <w:tc>
          <w:tcPr>
            <w:tcW w:w="349" w:type="pct"/>
            <w:tcBorders>
              <w:top w:val="nil"/>
              <w:left w:val="nil"/>
              <w:bottom w:val="nil"/>
              <w:right w:val="nil"/>
            </w:tcBorders>
            <w:shd w:val="clear" w:color="auto" w:fill="auto"/>
            <w:noWrap/>
            <w:vAlign w:val="center"/>
          </w:tcPr>
          <w:p w14:paraId="7B973627" w14:textId="44D4A519"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(2.552)</w:t>
            </w:r>
          </w:p>
        </w:tc>
        <w:tc>
          <w:tcPr>
            <w:tcW w:w="348" w:type="pct"/>
            <w:tcBorders>
              <w:top w:val="nil"/>
              <w:left w:val="nil"/>
              <w:bottom w:val="nil"/>
              <w:right w:val="nil"/>
            </w:tcBorders>
            <w:shd w:val="clear" w:color="auto" w:fill="auto"/>
            <w:noWrap/>
            <w:vAlign w:val="center"/>
          </w:tcPr>
          <w:p w14:paraId="7305668F" w14:textId="0C0C4336" w:rsidR="00ED2FA6" w:rsidRPr="00E20D21" w:rsidRDefault="005050DF"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72" w:type="pct"/>
            <w:tcBorders>
              <w:top w:val="nil"/>
              <w:left w:val="nil"/>
              <w:bottom w:val="nil"/>
              <w:right w:val="nil"/>
            </w:tcBorders>
            <w:shd w:val="clear" w:color="auto" w:fill="auto"/>
            <w:noWrap/>
            <w:vAlign w:val="center"/>
          </w:tcPr>
          <w:p w14:paraId="313C6779" w14:textId="061FF82E" w:rsidR="00ED2FA6" w:rsidRPr="00E20D21" w:rsidRDefault="005050DF" w:rsidP="005050DF">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noWrap/>
            <w:vAlign w:val="center"/>
          </w:tcPr>
          <w:p w14:paraId="755A599B" w14:textId="4D63B70C"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52.880</w:t>
            </w:r>
          </w:p>
        </w:tc>
        <w:tc>
          <w:tcPr>
            <w:tcW w:w="385" w:type="pct"/>
            <w:tcBorders>
              <w:top w:val="nil"/>
              <w:left w:val="nil"/>
              <w:bottom w:val="nil"/>
              <w:right w:val="nil"/>
            </w:tcBorders>
            <w:shd w:val="clear" w:color="auto" w:fill="auto"/>
            <w:noWrap/>
            <w:vAlign w:val="center"/>
          </w:tcPr>
          <w:p w14:paraId="262C888B" w14:textId="3407EF71"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(3.611)</w:t>
            </w:r>
          </w:p>
        </w:tc>
      </w:tr>
      <w:tr w:rsidR="00ED2FA6" w:rsidRPr="00E20D21" w14:paraId="6059F510" w14:textId="77777777" w:rsidTr="00673695">
        <w:trPr>
          <w:trHeight w:val="300"/>
        </w:trPr>
        <w:tc>
          <w:tcPr>
            <w:tcW w:w="630" w:type="pct"/>
            <w:tcBorders>
              <w:top w:val="nil"/>
              <w:left w:val="nil"/>
              <w:bottom w:val="nil"/>
              <w:right w:val="nil"/>
            </w:tcBorders>
            <w:shd w:val="clear" w:color="auto" w:fill="auto"/>
            <w:vAlign w:val="center"/>
            <w:hideMark/>
          </w:tcPr>
          <w:p w14:paraId="46F339A4" w14:textId="77777777" w:rsidR="00ED2FA6" w:rsidRPr="00E20D21" w:rsidRDefault="00ED2FA6" w:rsidP="00ED2FA6">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Galgo Sistemas de Informações</w:t>
            </w:r>
          </w:p>
        </w:tc>
        <w:tc>
          <w:tcPr>
            <w:tcW w:w="348" w:type="pct"/>
            <w:tcBorders>
              <w:top w:val="nil"/>
              <w:left w:val="nil"/>
              <w:bottom w:val="nil"/>
              <w:right w:val="nil"/>
            </w:tcBorders>
            <w:shd w:val="clear" w:color="auto" w:fill="auto"/>
            <w:noWrap/>
            <w:vAlign w:val="center"/>
          </w:tcPr>
          <w:p w14:paraId="7BF71214"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6,67%</w:t>
            </w:r>
          </w:p>
        </w:tc>
        <w:tc>
          <w:tcPr>
            <w:tcW w:w="381" w:type="pct"/>
            <w:tcBorders>
              <w:top w:val="nil"/>
              <w:left w:val="nil"/>
              <w:bottom w:val="nil"/>
              <w:right w:val="nil"/>
            </w:tcBorders>
            <w:shd w:val="clear" w:color="auto" w:fill="auto"/>
            <w:vAlign w:val="center"/>
          </w:tcPr>
          <w:p w14:paraId="507D90BC"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6,67%</w:t>
            </w:r>
          </w:p>
        </w:tc>
        <w:tc>
          <w:tcPr>
            <w:tcW w:w="313" w:type="pct"/>
            <w:tcBorders>
              <w:top w:val="nil"/>
              <w:left w:val="nil"/>
              <w:bottom w:val="nil"/>
              <w:right w:val="nil"/>
            </w:tcBorders>
            <w:shd w:val="clear" w:color="auto" w:fill="auto"/>
            <w:noWrap/>
            <w:vAlign w:val="center"/>
            <w:hideMark/>
          </w:tcPr>
          <w:p w14:paraId="7C2665B8" w14:textId="5C1CD0D4"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6,67%</w:t>
            </w:r>
          </w:p>
        </w:tc>
        <w:tc>
          <w:tcPr>
            <w:tcW w:w="320" w:type="pct"/>
            <w:tcBorders>
              <w:top w:val="nil"/>
              <w:left w:val="nil"/>
              <w:bottom w:val="nil"/>
              <w:right w:val="nil"/>
            </w:tcBorders>
            <w:shd w:val="clear" w:color="auto" w:fill="auto"/>
            <w:vAlign w:val="center"/>
            <w:hideMark/>
          </w:tcPr>
          <w:p w14:paraId="6819337C" w14:textId="643F7F9F"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6,67%</w:t>
            </w:r>
          </w:p>
        </w:tc>
        <w:tc>
          <w:tcPr>
            <w:tcW w:w="379" w:type="pct"/>
            <w:tcBorders>
              <w:top w:val="nil"/>
              <w:left w:val="nil"/>
              <w:bottom w:val="nil"/>
              <w:right w:val="nil"/>
            </w:tcBorders>
            <w:shd w:val="clear" w:color="auto" w:fill="auto"/>
            <w:noWrap/>
            <w:vAlign w:val="center"/>
          </w:tcPr>
          <w:p w14:paraId="29D90EC4" w14:textId="4F4E3A8F" w:rsidR="00ED2FA6" w:rsidRPr="00E20D21" w:rsidRDefault="007E49C1" w:rsidP="00ED2FA6">
            <w:pPr>
              <w:jc w:val="right"/>
              <w:rPr>
                <w:rFonts w:ascii="CAIXA Std Book" w:eastAsia="Times New Roman" w:hAnsi="CAIXA Std Book" w:cs="Calibri"/>
                <w:color w:val="005CA9"/>
                <w:sz w:val="16"/>
                <w:szCs w:val="16"/>
                <w:highlight w:val="yellow"/>
              </w:rPr>
            </w:pPr>
            <w:r w:rsidRPr="00E20D21">
              <w:rPr>
                <w:rFonts w:ascii="CAIXA Std Book" w:hAnsi="CAIXA Std Book" w:cs="Arial"/>
                <w:color w:val="005CA9"/>
                <w:sz w:val="16"/>
                <w:szCs w:val="16"/>
              </w:rPr>
              <w:t>36.414</w:t>
            </w:r>
          </w:p>
        </w:tc>
        <w:tc>
          <w:tcPr>
            <w:tcW w:w="399" w:type="pct"/>
            <w:tcBorders>
              <w:top w:val="nil"/>
              <w:left w:val="nil"/>
              <w:bottom w:val="nil"/>
              <w:right w:val="nil"/>
            </w:tcBorders>
            <w:shd w:val="clear" w:color="auto" w:fill="auto"/>
            <w:noWrap/>
            <w:vAlign w:val="center"/>
            <w:hideMark/>
          </w:tcPr>
          <w:p w14:paraId="07182C34" w14:textId="242F47FD"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34.550</w:t>
            </w:r>
          </w:p>
        </w:tc>
        <w:tc>
          <w:tcPr>
            <w:tcW w:w="387" w:type="pct"/>
            <w:tcBorders>
              <w:top w:val="nil"/>
              <w:left w:val="nil"/>
              <w:bottom w:val="nil"/>
              <w:right w:val="nil"/>
            </w:tcBorders>
            <w:shd w:val="clear" w:color="auto" w:fill="auto"/>
            <w:noWrap/>
            <w:vAlign w:val="center"/>
            <w:hideMark/>
          </w:tcPr>
          <w:p w14:paraId="456486CE" w14:textId="166E0C6A"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2.303</w:t>
            </w:r>
          </w:p>
        </w:tc>
        <w:tc>
          <w:tcPr>
            <w:tcW w:w="349" w:type="pct"/>
            <w:tcBorders>
              <w:top w:val="nil"/>
              <w:left w:val="nil"/>
              <w:bottom w:val="nil"/>
              <w:right w:val="nil"/>
            </w:tcBorders>
            <w:shd w:val="clear" w:color="auto" w:fill="auto"/>
            <w:noWrap/>
            <w:vAlign w:val="center"/>
          </w:tcPr>
          <w:p w14:paraId="3C94645A" w14:textId="0496288B"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232</w:t>
            </w:r>
          </w:p>
        </w:tc>
        <w:tc>
          <w:tcPr>
            <w:tcW w:w="348" w:type="pct"/>
            <w:tcBorders>
              <w:top w:val="nil"/>
              <w:left w:val="nil"/>
              <w:bottom w:val="nil"/>
              <w:right w:val="nil"/>
            </w:tcBorders>
            <w:shd w:val="clear" w:color="auto" w:fill="auto"/>
            <w:noWrap/>
            <w:vAlign w:val="center"/>
          </w:tcPr>
          <w:p w14:paraId="23DAB088" w14:textId="0F9E04F6"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(107)</w:t>
            </w:r>
          </w:p>
        </w:tc>
        <w:tc>
          <w:tcPr>
            <w:tcW w:w="372" w:type="pct"/>
            <w:tcBorders>
              <w:top w:val="nil"/>
              <w:left w:val="nil"/>
              <w:bottom w:val="nil"/>
              <w:right w:val="nil"/>
            </w:tcBorders>
            <w:shd w:val="clear" w:color="auto" w:fill="auto"/>
            <w:noWrap/>
            <w:vAlign w:val="center"/>
          </w:tcPr>
          <w:p w14:paraId="17B31119" w14:textId="40121E73" w:rsidR="00ED2FA6" w:rsidRPr="00E20D21" w:rsidRDefault="005050DF"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89" w:type="pct"/>
            <w:tcBorders>
              <w:top w:val="nil"/>
              <w:left w:val="nil"/>
              <w:bottom w:val="nil"/>
              <w:right w:val="nil"/>
            </w:tcBorders>
            <w:shd w:val="clear" w:color="auto" w:fill="auto"/>
            <w:noWrap/>
            <w:vAlign w:val="center"/>
          </w:tcPr>
          <w:p w14:paraId="4BA3AEB1" w14:textId="7E10DCBD"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2.428</w:t>
            </w:r>
          </w:p>
        </w:tc>
        <w:tc>
          <w:tcPr>
            <w:tcW w:w="385" w:type="pct"/>
            <w:tcBorders>
              <w:top w:val="nil"/>
              <w:left w:val="nil"/>
              <w:bottom w:val="nil"/>
              <w:right w:val="nil"/>
            </w:tcBorders>
            <w:shd w:val="clear" w:color="auto" w:fill="auto"/>
            <w:noWrap/>
            <w:vAlign w:val="center"/>
          </w:tcPr>
          <w:p w14:paraId="6171A87F" w14:textId="62EEDE95"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200</w:t>
            </w:r>
          </w:p>
        </w:tc>
      </w:tr>
      <w:tr w:rsidR="00ED2FA6" w:rsidRPr="00E20D21" w14:paraId="0C271E7A" w14:textId="77777777" w:rsidTr="00673695">
        <w:trPr>
          <w:trHeight w:val="300"/>
        </w:trPr>
        <w:tc>
          <w:tcPr>
            <w:tcW w:w="630" w:type="pct"/>
            <w:tcBorders>
              <w:top w:val="nil"/>
              <w:left w:val="nil"/>
              <w:bottom w:val="nil"/>
              <w:right w:val="nil"/>
            </w:tcBorders>
            <w:shd w:val="clear" w:color="auto" w:fill="auto"/>
            <w:vAlign w:val="center"/>
            <w:hideMark/>
          </w:tcPr>
          <w:p w14:paraId="761B5A59" w14:textId="18FD7A01" w:rsidR="00ED2FA6" w:rsidRPr="00E20D21" w:rsidRDefault="00ED2FA6" w:rsidP="00ED2FA6">
            <w:pPr>
              <w:rPr>
                <w:rFonts w:ascii="CAIXA Std Book" w:eastAsia="Times New Roman" w:hAnsi="CAIXA Std Book" w:cs="Calibri"/>
                <w:color w:val="005CA9"/>
                <w:sz w:val="16"/>
                <w:szCs w:val="16"/>
              </w:rPr>
            </w:pPr>
            <w:proofErr w:type="spellStart"/>
            <w:r w:rsidRPr="00E20D21">
              <w:rPr>
                <w:rFonts w:ascii="CAIXA Std Book" w:eastAsia="Times New Roman" w:hAnsi="CAIXA Std Book" w:cs="Calibri"/>
                <w:color w:val="005CA9"/>
                <w:sz w:val="16"/>
                <w:szCs w:val="16"/>
              </w:rPr>
              <w:t>N</w:t>
            </w:r>
            <w:r w:rsidR="00FC109C" w:rsidRPr="00E20D21">
              <w:rPr>
                <w:rFonts w:ascii="CAIXA Std Book" w:eastAsia="Times New Roman" w:hAnsi="CAIXA Std Book" w:cs="Calibri"/>
                <w:color w:val="005CA9"/>
                <w:sz w:val="16"/>
                <w:szCs w:val="16"/>
              </w:rPr>
              <w:t>ú</w:t>
            </w:r>
            <w:r w:rsidRPr="00E20D21">
              <w:rPr>
                <w:rFonts w:ascii="CAIXA Std Book" w:eastAsia="Times New Roman" w:hAnsi="CAIXA Std Book" w:cs="Calibri"/>
                <w:color w:val="005CA9"/>
                <w:sz w:val="16"/>
                <w:szCs w:val="16"/>
              </w:rPr>
              <w:t>clea</w:t>
            </w:r>
            <w:proofErr w:type="spellEnd"/>
          </w:p>
        </w:tc>
        <w:tc>
          <w:tcPr>
            <w:tcW w:w="348" w:type="pct"/>
            <w:tcBorders>
              <w:top w:val="nil"/>
              <w:left w:val="nil"/>
              <w:bottom w:val="nil"/>
              <w:right w:val="nil"/>
            </w:tcBorders>
            <w:shd w:val="clear" w:color="auto" w:fill="auto"/>
            <w:noWrap/>
            <w:vAlign w:val="center"/>
          </w:tcPr>
          <w:p w14:paraId="12660BFC" w14:textId="0A42A91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8,1</w:t>
            </w:r>
            <w:r w:rsidR="0064241D"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c>
          <w:tcPr>
            <w:tcW w:w="381" w:type="pct"/>
            <w:tcBorders>
              <w:top w:val="nil"/>
              <w:left w:val="nil"/>
              <w:bottom w:val="nil"/>
              <w:right w:val="nil"/>
            </w:tcBorders>
            <w:shd w:val="clear" w:color="auto" w:fill="auto"/>
            <w:vAlign w:val="center"/>
          </w:tcPr>
          <w:p w14:paraId="6FE67B91" w14:textId="2B01511F"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8,1</w:t>
            </w:r>
            <w:r w:rsidR="0064241D"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c>
          <w:tcPr>
            <w:tcW w:w="313" w:type="pct"/>
            <w:tcBorders>
              <w:top w:val="nil"/>
              <w:left w:val="nil"/>
              <w:bottom w:val="nil"/>
              <w:right w:val="nil"/>
            </w:tcBorders>
            <w:shd w:val="clear" w:color="auto" w:fill="auto"/>
            <w:noWrap/>
            <w:vAlign w:val="center"/>
            <w:hideMark/>
          </w:tcPr>
          <w:p w14:paraId="781F4C47" w14:textId="314A1F1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8,1</w:t>
            </w:r>
            <w:r w:rsidR="0064241D"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c>
          <w:tcPr>
            <w:tcW w:w="320" w:type="pct"/>
            <w:tcBorders>
              <w:top w:val="nil"/>
              <w:left w:val="nil"/>
              <w:bottom w:val="nil"/>
              <w:right w:val="nil"/>
            </w:tcBorders>
            <w:shd w:val="clear" w:color="auto" w:fill="auto"/>
            <w:vAlign w:val="center"/>
            <w:hideMark/>
          </w:tcPr>
          <w:p w14:paraId="63BE417E" w14:textId="659462E8"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8,1</w:t>
            </w:r>
            <w:r w:rsidR="0064241D"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c>
          <w:tcPr>
            <w:tcW w:w="379" w:type="pct"/>
            <w:tcBorders>
              <w:top w:val="nil"/>
              <w:left w:val="nil"/>
              <w:bottom w:val="nil"/>
              <w:right w:val="nil"/>
            </w:tcBorders>
            <w:shd w:val="clear" w:color="auto" w:fill="auto"/>
            <w:noWrap/>
            <w:vAlign w:val="center"/>
          </w:tcPr>
          <w:p w14:paraId="14E368CD" w14:textId="58524CF5" w:rsidR="00ED2FA6" w:rsidRPr="00E20D21" w:rsidRDefault="007E49C1" w:rsidP="00ED2FA6">
            <w:pPr>
              <w:jc w:val="right"/>
              <w:rPr>
                <w:rFonts w:ascii="CAIXA Std Book" w:eastAsia="Times New Roman" w:hAnsi="CAIXA Std Book" w:cs="Calibri"/>
                <w:color w:val="005CA9"/>
                <w:sz w:val="16"/>
                <w:szCs w:val="16"/>
                <w:highlight w:val="yellow"/>
              </w:rPr>
            </w:pPr>
            <w:r w:rsidRPr="00E20D21">
              <w:rPr>
                <w:rFonts w:ascii="CAIXA Std Book" w:hAnsi="CAIXA Std Book" w:cs="Arial"/>
                <w:color w:val="005CA9"/>
                <w:sz w:val="16"/>
                <w:szCs w:val="16"/>
              </w:rPr>
              <w:t>2.060.356</w:t>
            </w:r>
          </w:p>
        </w:tc>
        <w:tc>
          <w:tcPr>
            <w:tcW w:w="399" w:type="pct"/>
            <w:tcBorders>
              <w:top w:val="nil"/>
              <w:left w:val="nil"/>
              <w:bottom w:val="nil"/>
              <w:right w:val="nil"/>
            </w:tcBorders>
            <w:shd w:val="clear" w:color="auto" w:fill="auto"/>
            <w:noWrap/>
            <w:vAlign w:val="center"/>
            <w:hideMark/>
          </w:tcPr>
          <w:p w14:paraId="733834C5" w14:textId="4DC2FCAF"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1.783.796</w:t>
            </w:r>
          </w:p>
        </w:tc>
        <w:tc>
          <w:tcPr>
            <w:tcW w:w="387" w:type="pct"/>
            <w:tcBorders>
              <w:top w:val="nil"/>
              <w:left w:val="nil"/>
              <w:bottom w:val="nil"/>
              <w:right w:val="nil"/>
            </w:tcBorders>
            <w:shd w:val="clear" w:color="auto" w:fill="auto"/>
            <w:noWrap/>
            <w:vAlign w:val="center"/>
            <w:hideMark/>
          </w:tcPr>
          <w:p w14:paraId="4E4D6187" w14:textId="019FE61A"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145.833</w:t>
            </w:r>
          </w:p>
        </w:tc>
        <w:tc>
          <w:tcPr>
            <w:tcW w:w="349" w:type="pct"/>
            <w:tcBorders>
              <w:top w:val="nil"/>
              <w:left w:val="nil"/>
              <w:bottom w:val="nil"/>
              <w:right w:val="nil"/>
            </w:tcBorders>
            <w:shd w:val="clear" w:color="auto" w:fill="auto"/>
            <w:noWrap/>
            <w:vAlign w:val="center"/>
          </w:tcPr>
          <w:p w14:paraId="09A34A8B" w14:textId="2AAF90EF"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23.271</w:t>
            </w:r>
          </w:p>
        </w:tc>
        <w:tc>
          <w:tcPr>
            <w:tcW w:w="348" w:type="pct"/>
            <w:tcBorders>
              <w:top w:val="nil"/>
              <w:left w:val="nil"/>
              <w:bottom w:val="nil"/>
              <w:right w:val="nil"/>
            </w:tcBorders>
            <w:shd w:val="clear" w:color="auto" w:fill="auto"/>
            <w:noWrap/>
            <w:vAlign w:val="center"/>
          </w:tcPr>
          <w:p w14:paraId="586F6972" w14:textId="436C5DA2"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48</w:t>
            </w:r>
          </w:p>
        </w:tc>
        <w:tc>
          <w:tcPr>
            <w:tcW w:w="372" w:type="pct"/>
            <w:tcBorders>
              <w:top w:val="nil"/>
              <w:left w:val="nil"/>
              <w:bottom w:val="nil"/>
              <w:right w:val="nil"/>
            </w:tcBorders>
            <w:shd w:val="clear" w:color="auto" w:fill="auto"/>
            <w:noWrap/>
            <w:vAlign w:val="center"/>
          </w:tcPr>
          <w:p w14:paraId="452D2809" w14:textId="2F50DF94"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(709)</w:t>
            </w:r>
          </w:p>
        </w:tc>
        <w:tc>
          <w:tcPr>
            <w:tcW w:w="389" w:type="pct"/>
            <w:tcBorders>
              <w:top w:val="nil"/>
              <w:left w:val="nil"/>
              <w:bottom w:val="nil"/>
              <w:right w:val="nil"/>
            </w:tcBorders>
            <w:shd w:val="clear" w:color="auto" w:fill="auto"/>
            <w:noWrap/>
            <w:vAlign w:val="center"/>
          </w:tcPr>
          <w:p w14:paraId="7065B124" w14:textId="61D0DE9B"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168.443</w:t>
            </w:r>
          </w:p>
        </w:tc>
        <w:tc>
          <w:tcPr>
            <w:tcW w:w="385" w:type="pct"/>
            <w:tcBorders>
              <w:top w:val="nil"/>
              <w:left w:val="nil"/>
              <w:bottom w:val="nil"/>
              <w:right w:val="nil"/>
            </w:tcBorders>
            <w:shd w:val="clear" w:color="auto" w:fill="auto"/>
            <w:noWrap/>
            <w:vAlign w:val="center"/>
          </w:tcPr>
          <w:p w14:paraId="0849A40C" w14:textId="5B83A6F6"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22.898</w:t>
            </w:r>
          </w:p>
        </w:tc>
      </w:tr>
      <w:tr w:rsidR="00ED2FA6" w:rsidRPr="00E20D21" w14:paraId="283492EF" w14:textId="77777777" w:rsidTr="00673695">
        <w:trPr>
          <w:trHeight w:val="300"/>
        </w:trPr>
        <w:tc>
          <w:tcPr>
            <w:tcW w:w="630" w:type="pct"/>
            <w:tcBorders>
              <w:top w:val="nil"/>
              <w:left w:val="nil"/>
              <w:bottom w:val="single" w:sz="4" w:space="0" w:color="F79646" w:themeColor="accent6"/>
              <w:right w:val="nil"/>
            </w:tcBorders>
            <w:shd w:val="clear" w:color="auto" w:fill="auto"/>
            <w:vAlign w:val="center"/>
            <w:hideMark/>
          </w:tcPr>
          <w:p w14:paraId="53C8F80D" w14:textId="77777777" w:rsidR="00ED2FA6" w:rsidRPr="00E20D21" w:rsidRDefault="00ED2FA6" w:rsidP="00ED2FA6">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 xml:space="preserve">Outros Investimentos </w:t>
            </w:r>
          </w:p>
        </w:tc>
        <w:tc>
          <w:tcPr>
            <w:tcW w:w="348" w:type="pct"/>
            <w:tcBorders>
              <w:top w:val="nil"/>
              <w:left w:val="nil"/>
              <w:bottom w:val="single" w:sz="4" w:space="0" w:color="F79646" w:themeColor="accent6"/>
              <w:right w:val="nil"/>
            </w:tcBorders>
            <w:shd w:val="clear" w:color="auto" w:fill="auto"/>
            <w:noWrap/>
            <w:vAlign w:val="center"/>
            <w:hideMark/>
          </w:tcPr>
          <w:p w14:paraId="5FE0DA5F"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 -</w:t>
            </w:r>
          </w:p>
        </w:tc>
        <w:tc>
          <w:tcPr>
            <w:tcW w:w="381" w:type="pct"/>
            <w:tcBorders>
              <w:top w:val="nil"/>
              <w:left w:val="nil"/>
              <w:bottom w:val="single" w:sz="4" w:space="0" w:color="F79646" w:themeColor="accent6"/>
              <w:right w:val="nil"/>
            </w:tcBorders>
            <w:shd w:val="clear" w:color="auto" w:fill="auto"/>
            <w:vAlign w:val="center"/>
            <w:hideMark/>
          </w:tcPr>
          <w:p w14:paraId="50264B92"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313" w:type="pct"/>
            <w:tcBorders>
              <w:top w:val="nil"/>
              <w:left w:val="nil"/>
              <w:bottom w:val="single" w:sz="4" w:space="0" w:color="F79646" w:themeColor="accent6"/>
              <w:right w:val="nil"/>
            </w:tcBorders>
            <w:shd w:val="clear" w:color="auto" w:fill="auto"/>
            <w:noWrap/>
            <w:vAlign w:val="center"/>
            <w:hideMark/>
          </w:tcPr>
          <w:p w14:paraId="682E10CE" w14:textId="33ABB138"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320" w:type="pct"/>
            <w:tcBorders>
              <w:top w:val="nil"/>
              <w:left w:val="nil"/>
              <w:bottom w:val="single" w:sz="4" w:space="0" w:color="F79646" w:themeColor="accent6"/>
              <w:right w:val="nil"/>
            </w:tcBorders>
            <w:shd w:val="clear" w:color="auto" w:fill="auto"/>
            <w:vAlign w:val="center"/>
            <w:hideMark/>
          </w:tcPr>
          <w:p w14:paraId="4A4796D6" w14:textId="19F0E9A2"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379" w:type="pct"/>
            <w:tcBorders>
              <w:top w:val="nil"/>
              <w:left w:val="nil"/>
              <w:bottom w:val="single" w:sz="4" w:space="0" w:color="F79646" w:themeColor="accent6"/>
              <w:right w:val="nil"/>
            </w:tcBorders>
            <w:shd w:val="clear" w:color="auto" w:fill="auto"/>
            <w:noWrap/>
            <w:vAlign w:val="center"/>
          </w:tcPr>
          <w:p w14:paraId="37726E14" w14:textId="77777777"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399" w:type="pct"/>
            <w:tcBorders>
              <w:top w:val="nil"/>
              <w:left w:val="nil"/>
              <w:bottom w:val="single" w:sz="4" w:space="0" w:color="F79646" w:themeColor="accent6"/>
              <w:right w:val="nil"/>
            </w:tcBorders>
            <w:shd w:val="clear" w:color="auto" w:fill="auto"/>
            <w:noWrap/>
            <w:vAlign w:val="center"/>
            <w:hideMark/>
          </w:tcPr>
          <w:p w14:paraId="3BF5C30B" w14:textId="49560D6C" w:rsidR="00ED2FA6" w:rsidRPr="00E20D21" w:rsidRDefault="00ED2FA6" w:rsidP="00ED2FA6">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387" w:type="pct"/>
            <w:tcBorders>
              <w:top w:val="nil"/>
              <w:left w:val="nil"/>
              <w:bottom w:val="single" w:sz="4" w:space="0" w:color="F79646" w:themeColor="accent6"/>
              <w:right w:val="nil"/>
            </w:tcBorders>
            <w:shd w:val="clear" w:color="auto" w:fill="auto"/>
            <w:noWrap/>
            <w:vAlign w:val="center"/>
            <w:hideMark/>
          </w:tcPr>
          <w:p w14:paraId="5E48454D" w14:textId="55576F70" w:rsidR="00ED2FA6" w:rsidRPr="00E20D21" w:rsidRDefault="00ED2FA6"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1.492</w:t>
            </w:r>
          </w:p>
        </w:tc>
        <w:tc>
          <w:tcPr>
            <w:tcW w:w="349" w:type="pct"/>
            <w:tcBorders>
              <w:top w:val="nil"/>
              <w:left w:val="nil"/>
              <w:bottom w:val="single" w:sz="4" w:space="0" w:color="F79646" w:themeColor="accent6"/>
              <w:right w:val="nil"/>
            </w:tcBorders>
            <w:shd w:val="clear" w:color="auto" w:fill="auto"/>
            <w:noWrap/>
            <w:vAlign w:val="center"/>
          </w:tcPr>
          <w:p w14:paraId="15977FAE" w14:textId="7737BC62" w:rsidR="00ED2FA6" w:rsidRPr="00E20D21" w:rsidRDefault="005050DF" w:rsidP="005050DF">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48" w:type="pct"/>
            <w:tcBorders>
              <w:top w:val="nil"/>
              <w:left w:val="nil"/>
              <w:bottom w:val="single" w:sz="4" w:space="0" w:color="F79646" w:themeColor="accent6"/>
              <w:right w:val="nil"/>
            </w:tcBorders>
            <w:shd w:val="clear" w:color="auto" w:fill="auto"/>
            <w:noWrap/>
            <w:vAlign w:val="center"/>
          </w:tcPr>
          <w:p w14:paraId="7009EE7B" w14:textId="159D55C2" w:rsidR="00ED2FA6" w:rsidRPr="00E20D21" w:rsidRDefault="005050DF"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72" w:type="pct"/>
            <w:tcBorders>
              <w:top w:val="nil"/>
              <w:left w:val="nil"/>
              <w:bottom w:val="single" w:sz="4" w:space="0" w:color="F79646" w:themeColor="accent6"/>
              <w:right w:val="nil"/>
            </w:tcBorders>
            <w:shd w:val="clear" w:color="auto" w:fill="auto"/>
            <w:noWrap/>
            <w:vAlign w:val="center"/>
          </w:tcPr>
          <w:p w14:paraId="480ECE55" w14:textId="37ED4FED" w:rsidR="00ED2FA6" w:rsidRPr="00E20D21" w:rsidRDefault="005050DF" w:rsidP="00ED2FA6">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389" w:type="pct"/>
            <w:tcBorders>
              <w:top w:val="nil"/>
              <w:left w:val="nil"/>
              <w:bottom w:val="single" w:sz="4" w:space="0" w:color="F79646" w:themeColor="accent6"/>
              <w:right w:val="nil"/>
            </w:tcBorders>
            <w:shd w:val="clear" w:color="auto" w:fill="auto"/>
            <w:noWrap/>
            <w:vAlign w:val="center"/>
          </w:tcPr>
          <w:p w14:paraId="7B0E7136" w14:textId="354B0EFA" w:rsidR="00ED2FA6" w:rsidRPr="00E20D21" w:rsidRDefault="005050DF" w:rsidP="00ED2FA6">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1.492</w:t>
            </w:r>
          </w:p>
        </w:tc>
        <w:tc>
          <w:tcPr>
            <w:tcW w:w="385" w:type="pct"/>
            <w:tcBorders>
              <w:top w:val="nil"/>
              <w:left w:val="nil"/>
              <w:bottom w:val="single" w:sz="4" w:space="0" w:color="F79646" w:themeColor="accent6"/>
              <w:right w:val="nil"/>
            </w:tcBorders>
            <w:shd w:val="clear" w:color="auto" w:fill="auto"/>
            <w:noWrap/>
            <w:vAlign w:val="center"/>
          </w:tcPr>
          <w:p w14:paraId="741A18C1" w14:textId="429B8681" w:rsidR="00ED2FA6" w:rsidRPr="00E20D21" w:rsidRDefault="00ED2FA6" w:rsidP="005050DF">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r>
      <w:tr w:rsidR="00ED2FA6" w:rsidRPr="00E20D21" w14:paraId="73FC0769" w14:textId="77777777" w:rsidTr="00673695">
        <w:trPr>
          <w:trHeight w:val="300"/>
        </w:trPr>
        <w:tc>
          <w:tcPr>
            <w:tcW w:w="630" w:type="pct"/>
            <w:tcBorders>
              <w:top w:val="single" w:sz="4" w:space="0" w:color="F79646" w:themeColor="accent6"/>
              <w:left w:val="nil"/>
              <w:bottom w:val="single" w:sz="4" w:space="0" w:color="F79646" w:themeColor="accent6"/>
              <w:right w:val="nil"/>
            </w:tcBorders>
            <w:shd w:val="clear" w:color="auto" w:fill="auto"/>
            <w:vAlign w:val="center"/>
            <w:hideMark/>
          </w:tcPr>
          <w:p w14:paraId="03F5A72E" w14:textId="77777777" w:rsidR="00ED2FA6" w:rsidRPr="00E20D21" w:rsidRDefault="00ED2FA6" w:rsidP="00ED2FA6">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Total</w:t>
            </w:r>
          </w:p>
        </w:tc>
        <w:tc>
          <w:tcPr>
            <w:tcW w:w="348" w:type="pct"/>
            <w:tcBorders>
              <w:top w:val="single" w:sz="4" w:space="0" w:color="F79646" w:themeColor="accent6"/>
              <w:left w:val="nil"/>
              <w:bottom w:val="single" w:sz="4" w:space="0" w:color="F79646" w:themeColor="accent6"/>
              <w:right w:val="nil"/>
            </w:tcBorders>
            <w:shd w:val="clear" w:color="auto" w:fill="auto"/>
            <w:noWrap/>
            <w:vAlign w:val="center"/>
            <w:hideMark/>
          </w:tcPr>
          <w:p w14:paraId="021B46B6" w14:textId="77777777" w:rsidR="00ED2FA6" w:rsidRPr="00E20D21" w:rsidRDefault="00ED2FA6" w:rsidP="00ED2FA6">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w:t>
            </w:r>
          </w:p>
        </w:tc>
        <w:tc>
          <w:tcPr>
            <w:tcW w:w="381" w:type="pct"/>
            <w:tcBorders>
              <w:top w:val="single" w:sz="4" w:space="0" w:color="F79646" w:themeColor="accent6"/>
              <w:left w:val="nil"/>
              <w:bottom w:val="single" w:sz="4" w:space="0" w:color="F79646" w:themeColor="accent6"/>
              <w:right w:val="nil"/>
            </w:tcBorders>
            <w:shd w:val="clear" w:color="auto" w:fill="auto"/>
            <w:vAlign w:val="center"/>
            <w:hideMark/>
          </w:tcPr>
          <w:p w14:paraId="6B747407" w14:textId="77777777" w:rsidR="00ED2FA6" w:rsidRPr="00E20D21" w:rsidRDefault="00ED2FA6" w:rsidP="00ED2FA6">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w:t>
            </w:r>
          </w:p>
        </w:tc>
        <w:tc>
          <w:tcPr>
            <w:tcW w:w="313" w:type="pct"/>
            <w:tcBorders>
              <w:top w:val="single" w:sz="4" w:space="0" w:color="F79646" w:themeColor="accent6"/>
              <w:left w:val="nil"/>
              <w:bottom w:val="single" w:sz="4" w:space="0" w:color="F79646" w:themeColor="accent6"/>
              <w:right w:val="nil"/>
            </w:tcBorders>
            <w:shd w:val="clear" w:color="auto" w:fill="auto"/>
            <w:noWrap/>
            <w:vAlign w:val="center"/>
          </w:tcPr>
          <w:p w14:paraId="6D942E6C" w14:textId="77777777" w:rsidR="00ED2FA6" w:rsidRPr="00E20D21" w:rsidRDefault="00ED2FA6" w:rsidP="00ED2FA6">
            <w:pPr>
              <w:jc w:val="center"/>
              <w:rPr>
                <w:rFonts w:ascii="CAIXA Std Book" w:eastAsia="Times New Roman" w:hAnsi="CAIXA Std Book" w:cs="Calibri"/>
                <w:b/>
                <w:bCs/>
                <w:color w:val="005CA9"/>
                <w:sz w:val="16"/>
                <w:szCs w:val="16"/>
              </w:rPr>
            </w:pPr>
          </w:p>
        </w:tc>
        <w:tc>
          <w:tcPr>
            <w:tcW w:w="320" w:type="pct"/>
            <w:tcBorders>
              <w:top w:val="single" w:sz="4" w:space="0" w:color="F79646" w:themeColor="accent6"/>
              <w:left w:val="nil"/>
              <w:bottom w:val="single" w:sz="4" w:space="0" w:color="F79646" w:themeColor="accent6"/>
              <w:right w:val="nil"/>
            </w:tcBorders>
            <w:shd w:val="clear" w:color="auto" w:fill="auto"/>
            <w:vAlign w:val="center"/>
          </w:tcPr>
          <w:p w14:paraId="68C5DC25" w14:textId="77777777" w:rsidR="00ED2FA6" w:rsidRPr="00E20D21" w:rsidRDefault="00ED2FA6" w:rsidP="00ED2FA6">
            <w:pPr>
              <w:jc w:val="center"/>
              <w:rPr>
                <w:rFonts w:ascii="CAIXA Std Book" w:eastAsia="Times New Roman" w:hAnsi="CAIXA Std Book" w:cs="Calibri"/>
                <w:b/>
                <w:bCs/>
                <w:color w:val="005CA9"/>
                <w:sz w:val="16"/>
                <w:szCs w:val="16"/>
              </w:rPr>
            </w:pPr>
          </w:p>
        </w:tc>
        <w:tc>
          <w:tcPr>
            <w:tcW w:w="379" w:type="pct"/>
            <w:tcBorders>
              <w:top w:val="single" w:sz="4" w:space="0" w:color="F79646" w:themeColor="accent6"/>
              <w:left w:val="nil"/>
              <w:bottom w:val="single" w:sz="4" w:space="0" w:color="F79646" w:themeColor="accent6"/>
              <w:right w:val="nil"/>
            </w:tcBorders>
            <w:shd w:val="clear" w:color="auto" w:fill="auto"/>
            <w:noWrap/>
            <w:vAlign w:val="center"/>
          </w:tcPr>
          <w:p w14:paraId="099B5B79" w14:textId="77777777" w:rsidR="00ED2FA6" w:rsidRPr="00E20D21" w:rsidRDefault="00ED2FA6" w:rsidP="00ED2FA6">
            <w:pPr>
              <w:jc w:val="center"/>
              <w:rPr>
                <w:rFonts w:ascii="CAIXA Std Book" w:eastAsia="Times New Roman" w:hAnsi="CAIXA Std Book" w:cs="Calibri"/>
                <w:color w:val="005CA9"/>
                <w:sz w:val="16"/>
                <w:szCs w:val="16"/>
              </w:rPr>
            </w:pPr>
          </w:p>
        </w:tc>
        <w:tc>
          <w:tcPr>
            <w:tcW w:w="399" w:type="pct"/>
            <w:tcBorders>
              <w:top w:val="single" w:sz="4" w:space="0" w:color="F79646" w:themeColor="accent6"/>
              <w:left w:val="nil"/>
              <w:bottom w:val="single" w:sz="4" w:space="0" w:color="F79646" w:themeColor="accent6"/>
              <w:right w:val="nil"/>
            </w:tcBorders>
            <w:shd w:val="clear" w:color="auto" w:fill="auto"/>
            <w:noWrap/>
            <w:vAlign w:val="center"/>
          </w:tcPr>
          <w:p w14:paraId="2810F73E" w14:textId="77777777" w:rsidR="00ED2FA6" w:rsidRPr="00E20D21" w:rsidRDefault="00ED2FA6" w:rsidP="00ED2FA6">
            <w:pPr>
              <w:jc w:val="center"/>
              <w:rPr>
                <w:rFonts w:ascii="CAIXA Std Book" w:eastAsia="Times New Roman" w:hAnsi="CAIXA Std Book" w:cs="Calibri"/>
                <w:b/>
                <w:bCs/>
                <w:color w:val="005CA9"/>
                <w:sz w:val="16"/>
                <w:szCs w:val="16"/>
              </w:rPr>
            </w:pPr>
          </w:p>
        </w:tc>
        <w:tc>
          <w:tcPr>
            <w:tcW w:w="387" w:type="pct"/>
            <w:tcBorders>
              <w:top w:val="single" w:sz="4" w:space="0" w:color="F79646" w:themeColor="accent6"/>
              <w:left w:val="nil"/>
              <w:bottom w:val="single" w:sz="4" w:space="0" w:color="F79646" w:themeColor="accent6"/>
              <w:right w:val="nil"/>
            </w:tcBorders>
            <w:shd w:val="clear" w:color="auto" w:fill="auto"/>
            <w:noWrap/>
            <w:vAlign w:val="center"/>
            <w:hideMark/>
          </w:tcPr>
          <w:p w14:paraId="2DE9C789" w14:textId="3E7DE031" w:rsidR="00ED2FA6" w:rsidRPr="00E20D21" w:rsidRDefault="00ED2FA6" w:rsidP="00ED2FA6">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12.511.643</w:t>
            </w:r>
          </w:p>
        </w:tc>
        <w:tc>
          <w:tcPr>
            <w:tcW w:w="349" w:type="pct"/>
            <w:tcBorders>
              <w:top w:val="single" w:sz="4" w:space="0" w:color="F79646" w:themeColor="accent6"/>
              <w:left w:val="nil"/>
              <w:bottom w:val="single" w:sz="4" w:space="0" w:color="F79646" w:themeColor="accent6"/>
              <w:right w:val="nil"/>
            </w:tcBorders>
            <w:shd w:val="clear" w:color="auto" w:fill="auto"/>
            <w:noWrap/>
            <w:vAlign w:val="center"/>
          </w:tcPr>
          <w:p w14:paraId="7C98AD94" w14:textId="23DF7D9E" w:rsidR="00ED2FA6" w:rsidRPr="00E20D21" w:rsidRDefault="005050DF" w:rsidP="00ED2FA6">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1.976.597</w:t>
            </w:r>
          </w:p>
        </w:tc>
        <w:tc>
          <w:tcPr>
            <w:tcW w:w="348" w:type="pct"/>
            <w:tcBorders>
              <w:top w:val="single" w:sz="4" w:space="0" w:color="F79646" w:themeColor="accent6"/>
              <w:left w:val="nil"/>
              <w:bottom w:val="single" w:sz="4" w:space="0" w:color="F79646" w:themeColor="accent6"/>
              <w:right w:val="nil"/>
            </w:tcBorders>
            <w:shd w:val="clear" w:color="auto" w:fill="auto"/>
            <w:vAlign w:val="center"/>
          </w:tcPr>
          <w:p w14:paraId="08480CAB" w14:textId="4FE2D689" w:rsidR="00ED2FA6" w:rsidRPr="00E20D21" w:rsidRDefault="005050DF" w:rsidP="00ED2FA6">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(1.956.983)</w:t>
            </w:r>
          </w:p>
        </w:tc>
        <w:tc>
          <w:tcPr>
            <w:tcW w:w="372" w:type="pct"/>
            <w:tcBorders>
              <w:top w:val="single" w:sz="4" w:space="0" w:color="F79646" w:themeColor="accent6"/>
              <w:left w:val="nil"/>
              <w:bottom w:val="single" w:sz="4" w:space="0" w:color="F79646" w:themeColor="accent6"/>
              <w:right w:val="nil"/>
            </w:tcBorders>
            <w:shd w:val="clear" w:color="auto" w:fill="auto"/>
            <w:vAlign w:val="center"/>
          </w:tcPr>
          <w:p w14:paraId="4F1AA003" w14:textId="4C4D3231" w:rsidR="00ED2FA6" w:rsidRPr="00E20D21" w:rsidRDefault="005050DF" w:rsidP="00ED2FA6">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(119.249)</w:t>
            </w:r>
          </w:p>
        </w:tc>
        <w:tc>
          <w:tcPr>
            <w:tcW w:w="389" w:type="pct"/>
            <w:tcBorders>
              <w:top w:val="single" w:sz="4" w:space="0" w:color="F79646" w:themeColor="accent6"/>
              <w:left w:val="nil"/>
              <w:bottom w:val="single" w:sz="4" w:space="0" w:color="F79646" w:themeColor="accent6"/>
              <w:right w:val="nil"/>
            </w:tcBorders>
            <w:shd w:val="clear" w:color="auto" w:fill="auto"/>
            <w:vAlign w:val="center"/>
          </w:tcPr>
          <w:p w14:paraId="4B796D27" w14:textId="24531F3F" w:rsidR="00ED2FA6" w:rsidRPr="00E20D21" w:rsidRDefault="005050DF" w:rsidP="00ED2FA6">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12.412.008</w:t>
            </w:r>
          </w:p>
        </w:tc>
        <w:tc>
          <w:tcPr>
            <w:tcW w:w="385" w:type="pct"/>
            <w:tcBorders>
              <w:top w:val="single" w:sz="4" w:space="0" w:color="F79646" w:themeColor="accent6"/>
              <w:left w:val="nil"/>
              <w:bottom w:val="single" w:sz="4" w:space="0" w:color="F79646" w:themeColor="accent6"/>
              <w:right w:val="nil"/>
            </w:tcBorders>
            <w:shd w:val="clear" w:color="auto" w:fill="auto"/>
            <w:noWrap/>
            <w:vAlign w:val="center"/>
          </w:tcPr>
          <w:p w14:paraId="0C5D57C0" w14:textId="52EACBC1" w:rsidR="00ED2FA6" w:rsidRPr="00E20D21" w:rsidRDefault="00ED2FA6" w:rsidP="00ED2FA6">
            <w:pPr>
              <w:jc w:val="right"/>
              <w:rPr>
                <w:rFonts w:ascii="CAIXA Std Book" w:eastAsia="Times New Roman" w:hAnsi="CAIXA Std Book" w:cs="Calibri"/>
                <w:b/>
                <w:bCs/>
                <w:color w:val="005CA9"/>
                <w:sz w:val="16"/>
                <w:szCs w:val="16"/>
              </w:rPr>
            </w:pPr>
            <w:r w:rsidRPr="00E20D21">
              <w:rPr>
                <w:rFonts w:ascii="CAIXA Std Book" w:hAnsi="CAIXA Std Book" w:cs="Arial"/>
                <w:b/>
                <w:bCs/>
                <w:color w:val="005CA9"/>
                <w:sz w:val="16"/>
                <w:szCs w:val="16"/>
              </w:rPr>
              <w:t>2.010.566</w:t>
            </w:r>
          </w:p>
        </w:tc>
      </w:tr>
    </w:tbl>
    <w:p w14:paraId="02D0F454" w14:textId="20F4AC3D" w:rsidR="00B06DD8" w:rsidRPr="00E20D21" w:rsidRDefault="00C07930" w:rsidP="00C07930">
      <w:pPr>
        <w:spacing w:before="40"/>
        <w:jc w:val="both"/>
        <w:rPr>
          <w:rFonts w:ascii="CAIXA Std Book" w:hAnsi="CAIXA Std Book"/>
          <w:color w:val="005CA9"/>
          <w:sz w:val="14"/>
          <w:szCs w:val="14"/>
        </w:rPr>
      </w:pPr>
      <w:r w:rsidRPr="00E20D21">
        <w:rPr>
          <w:rFonts w:ascii="CAIXA Std Book" w:hAnsi="CAIXA Std Book"/>
          <w:color w:val="005CA9"/>
          <w:sz w:val="14"/>
          <w:szCs w:val="14"/>
        </w:rPr>
        <w:t xml:space="preserve">(1) </w:t>
      </w:r>
      <w:r w:rsidR="004F23C9" w:rsidRPr="00E20D21">
        <w:rPr>
          <w:rFonts w:ascii="CAIXA Std Book" w:hAnsi="CAIXA Std Book"/>
          <w:color w:val="005CA9"/>
          <w:sz w:val="14"/>
          <w:szCs w:val="14"/>
        </w:rPr>
        <w:t xml:space="preserve">Inclui impacto negativo no resultado de equivalência da CAIXA em R$ 101.940 (82,75% de R$ 123.190 do MEP da Caixa Seguridade) </w:t>
      </w:r>
      <w:r w:rsidRPr="00E20D21">
        <w:rPr>
          <w:rFonts w:ascii="CAIXA Std Book" w:hAnsi="CAIXA Std Book"/>
          <w:color w:val="005CA9"/>
          <w:sz w:val="14"/>
          <w:szCs w:val="14"/>
        </w:rPr>
        <w:t>decorrente d</w:t>
      </w:r>
      <w:r w:rsidR="004F23C9" w:rsidRPr="00E20D21">
        <w:rPr>
          <w:rFonts w:ascii="CAIXA Std Book" w:hAnsi="CAIXA Std Book"/>
          <w:color w:val="005CA9"/>
          <w:sz w:val="14"/>
          <w:szCs w:val="14"/>
        </w:rPr>
        <w:t>os</w:t>
      </w:r>
      <w:r w:rsidRPr="00E20D21">
        <w:rPr>
          <w:rFonts w:ascii="CAIXA Std Book" w:hAnsi="CAIXA Std Book"/>
          <w:color w:val="005CA9"/>
          <w:sz w:val="14"/>
          <w:szCs w:val="14"/>
        </w:rPr>
        <w:t xml:space="preserve"> acionamento</w:t>
      </w:r>
      <w:r w:rsidR="002F31D8" w:rsidRPr="00E20D21">
        <w:rPr>
          <w:rFonts w:ascii="CAIXA Std Book" w:hAnsi="CAIXA Std Book"/>
          <w:color w:val="005CA9"/>
          <w:sz w:val="14"/>
          <w:szCs w:val="14"/>
        </w:rPr>
        <w:t>s</w:t>
      </w:r>
      <w:r w:rsidRPr="00E20D21">
        <w:rPr>
          <w:rFonts w:ascii="CAIXA Std Book" w:hAnsi="CAIXA Std Book"/>
          <w:color w:val="005CA9"/>
          <w:sz w:val="14"/>
          <w:szCs w:val="14"/>
        </w:rPr>
        <w:t xml:space="preserve"> do seguro prestamista, no 2º trimestre de 2024, conforme Fato Relevante </w:t>
      </w:r>
      <w:r w:rsidR="00FA5190" w:rsidRPr="00E20D21">
        <w:rPr>
          <w:rFonts w:ascii="CAIXA Std Book" w:hAnsi="CAIXA Std Book"/>
          <w:color w:val="005CA9"/>
          <w:sz w:val="14"/>
          <w:szCs w:val="14"/>
        </w:rPr>
        <w:t xml:space="preserve">divulgado </w:t>
      </w:r>
      <w:r w:rsidRPr="00E20D21">
        <w:rPr>
          <w:rFonts w:ascii="CAIXA Std Book" w:hAnsi="CAIXA Std Book"/>
          <w:color w:val="005CA9"/>
          <w:sz w:val="14"/>
          <w:szCs w:val="14"/>
        </w:rPr>
        <w:t>pela Caixa Seguridade em 08/07/2024 (Nota 35</w:t>
      </w:r>
      <w:r w:rsidR="00673695" w:rsidRPr="00E20D21">
        <w:rPr>
          <w:rFonts w:ascii="CAIXA Std Book" w:hAnsi="CAIXA Std Book"/>
          <w:color w:val="005CA9"/>
          <w:sz w:val="14"/>
          <w:szCs w:val="14"/>
        </w:rPr>
        <w:t xml:space="preserve"> (</w:t>
      </w:r>
      <w:r w:rsidR="00FE09CE">
        <w:rPr>
          <w:rFonts w:ascii="CAIXA Std Book" w:hAnsi="CAIXA Std Book"/>
          <w:color w:val="005CA9"/>
          <w:sz w:val="14"/>
          <w:szCs w:val="14"/>
        </w:rPr>
        <w:t>d</w:t>
      </w:r>
      <w:r w:rsidR="00673695" w:rsidRPr="00E20D21">
        <w:rPr>
          <w:rFonts w:ascii="CAIXA Std Book" w:hAnsi="CAIXA Std Book"/>
          <w:color w:val="005CA9"/>
          <w:sz w:val="14"/>
          <w:szCs w:val="14"/>
        </w:rPr>
        <w:t>)</w:t>
      </w:r>
      <w:r w:rsidRPr="00E20D21">
        <w:rPr>
          <w:rFonts w:ascii="CAIXA Std Book" w:hAnsi="CAIXA Std Book"/>
          <w:color w:val="005CA9"/>
          <w:sz w:val="14"/>
          <w:szCs w:val="14"/>
        </w:rPr>
        <w:t>).</w:t>
      </w:r>
    </w:p>
    <w:p w14:paraId="26B53CDC" w14:textId="29BAA498" w:rsidR="00576123" w:rsidRPr="00E20D21" w:rsidRDefault="00576123" w:rsidP="00576123">
      <w:pPr>
        <w:spacing w:before="40"/>
        <w:jc w:val="both"/>
        <w:rPr>
          <w:rFonts w:ascii="CAIXA Std Book" w:hAnsi="CAIXA Std Book"/>
          <w:color w:val="005CA9"/>
          <w:sz w:val="14"/>
          <w:szCs w:val="14"/>
        </w:rPr>
      </w:pPr>
      <w:r w:rsidRPr="00E20D21">
        <w:rPr>
          <w:rFonts w:ascii="CAIXA Std Book" w:hAnsi="CAIXA Std Book"/>
          <w:color w:val="005CA9"/>
          <w:sz w:val="14"/>
          <w:szCs w:val="14"/>
        </w:rPr>
        <w:t>(</w:t>
      </w:r>
      <w:r w:rsidR="00C07930" w:rsidRPr="00E20D21">
        <w:rPr>
          <w:rFonts w:ascii="CAIXA Std Book" w:hAnsi="CAIXA Std Book"/>
          <w:color w:val="005CA9"/>
          <w:sz w:val="14"/>
          <w:szCs w:val="14"/>
        </w:rPr>
        <w:t>2</w:t>
      </w:r>
      <w:r w:rsidRPr="00E20D21">
        <w:rPr>
          <w:rFonts w:ascii="CAIXA Std Book" w:hAnsi="CAIXA Std Book"/>
          <w:color w:val="005CA9"/>
          <w:sz w:val="14"/>
          <w:szCs w:val="14"/>
        </w:rPr>
        <w:t xml:space="preserve">) Dividendos e JCP efetivamente recebidos no período totalizaram R$ </w:t>
      </w:r>
      <w:r w:rsidR="003810CF" w:rsidRPr="00E20D21">
        <w:rPr>
          <w:rFonts w:ascii="CAIXA Std Book" w:hAnsi="CAIXA Std Book"/>
          <w:color w:val="005CA9"/>
          <w:sz w:val="14"/>
          <w:szCs w:val="14"/>
        </w:rPr>
        <w:t>2.670.</w:t>
      </w:r>
      <w:r w:rsidR="00531832" w:rsidRPr="00E20D21">
        <w:rPr>
          <w:rFonts w:ascii="CAIXA Std Book" w:hAnsi="CAIXA Std Book"/>
          <w:color w:val="005CA9"/>
          <w:sz w:val="14"/>
          <w:szCs w:val="14"/>
        </w:rPr>
        <w:t>447</w:t>
      </w:r>
      <w:r w:rsidRPr="00E20D21">
        <w:rPr>
          <w:rFonts w:ascii="CAIXA Std Book" w:hAnsi="CAIXA Std Book"/>
          <w:color w:val="005CA9"/>
          <w:sz w:val="14"/>
          <w:szCs w:val="14"/>
        </w:rPr>
        <w:t xml:space="preserve">, sendo R$ </w:t>
      </w:r>
      <w:r w:rsidR="00AE6803" w:rsidRPr="00E20D21">
        <w:rPr>
          <w:rFonts w:ascii="CAIXA Std Book" w:hAnsi="CAIXA Std Book"/>
          <w:color w:val="005CA9"/>
          <w:sz w:val="14"/>
          <w:szCs w:val="14"/>
        </w:rPr>
        <w:t>1.405.937</w:t>
      </w:r>
      <w:r w:rsidRPr="00E20D21">
        <w:rPr>
          <w:rFonts w:ascii="CAIXA Std Book" w:hAnsi="CAIXA Std Book"/>
          <w:color w:val="005CA9"/>
          <w:sz w:val="14"/>
          <w:szCs w:val="14"/>
        </w:rPr>
        <w:t xml:space="preserve"> da C</w:t>
      </w:r>
      <w:r w:rsidR="00140B92" w:rsidRPr="00E20D21">
        <w:rPr>
          <w:rFonts w:ascii="CAIXA Std Book" w:hAnsi="CAIXA Std Book"/>
          <w:color w:val="005CA9"/>
          <w:sz w:val="14"/>
          <w:szCs w:val="14"/>
        </w:rPr>
        <w:t>aixa</w:t>
      </w:r>
      <w:r w:rsidRPr="00E20D21">
        <w:rPr>
          <w:rFonts w:ascii="CAIXA Std Book" w:hAnsi="CAIXA Std Book"/>
          <w:color w:val="005CA9"/>
          <w:sz w:val="14"/>
          <w:szCs w:val="14"/>
        </w:rPr>
        <w:t xml:space="preserve"> Seguridade; R$ 1.</w:t>
      </w:r>
      <w:r w:rsidR="00AE6803" w:rsidRPr="00E20D21">
        <w:rPr>
          <w:rFonts w:ascii="CAIXA Std Book" w:hAnsi="CAIXA Std Book"/>
          <w:color w:val="005CA9"/>
          <w:sz w:val="14"/>
          <w:szCs w:val="14"/>
        </w:rPr>
        <w:t>075.787</w:t>
      </w:r>
      <w:r w:rsidRPr="00E20D21">
        <w:rPr>
          <w:rFonts w:ascii="CAIXA Std Book" w:hAnsi="CAIXA Std Book"/>
          <w:color w:val="005CA9"/>
          <w:sz w:val="14"/>
          <w:szCs w:val="14"/>
        </w:rPr>
        <w:t xml:space="preserve"> da C</w:t>
      </w:r>
      <w:r w:rsidR="00140B92" w:rsidRPr="00E20D21">
        <w:rPr>
          <w:rFonts w:ascii="CAIXA Std Book" w:hAnsi="CAIXA Std Book"/>
          <w:color w:val="005CA9"/>
          <w:sz w:val="14"/>
          <w:szCs w:val="14"/>
        </w:rPr>
        <w:t>aixa</w:t>
      </w:r>
      <w:r w:rsidRPr="00E20D21">
        <w:rPr>
          <w:rFonts w:ascii="CAIXA Std Book" w:hAnsi="CAIXA Std Book"/>
          <w:color w:val="005CA9"/>
          <w:sz w:val="14"/>
          <w:szCs w:val="14"/>
        </w:rPr>
        <w:t xml:space="preserve"> </w:t>
      </w:r>
      <w:proofErr w:type="spellStart"/>
      <w:r w:rsidRPr="00E20D21">
        <w:rPr>
          <w:rFonts w:ascii="CAIXA Std Book" w:hAnsi="CAIXA Std Book"/>
          <w:color w:val="005CA9"/>
          <w:sz w:val="14"/>
          <w:szCs w:val="14"/>
        </w:rPr>
        <w:t>Asset</w:t>
      </w:r>
      <w:proofErr w:type="spellEnd"/>
      <w:r w:rsidRPr="00E20D21">
        <w:rPr>
          <w:rFonts w:ascii="CAIXA Std Book" w:hAnsi="CAIXA Std Book"/>
          <w:color w:val="005CA9"/>
          <w:sz w:val="14"/>
          <w:szCs w:val="14"/>
        </w:rPr>
        <w:t xml:space="preserve">; R$ </w:t>
      </w:r>
      <w:r w:rsidR="00AE6803" w:rsidRPr="00E20D21">
        <w:rPr>
          <w:rFonts w:ascii="CAIXA Std Book" w:hAnsi="CAIXA Std Book"/>
          <w:color w:val="005CA9"/>
          <w:sz w:val="14"/>
          <w:szCs w:val="14"/>
        </w:rPr>
        <w:t>177.677</w:t>
      </w:r>
      <w:r w:rsidRPr="00E20D21">
        <w:rPr>
          <w:rFonts w:ascii="CAIXA Std Book" w:hAnsi="CAIXA Std Book"/>
          <w:color w:val="005CA9"/>
          <w:sz w:val="14"/>
          <w:szCs w:val="14"/>
        </w:rPr>
        <w:t xml:space="preserve"> da C</w:t>
      </w:r>
      <w:r w:rsidR="00140B92" w:rsidRPr="00E20D21">
        <w:rPr>
          <w:rFonts w:ascii="CAIXA Std Book" w:hAnsi="CAIXA Std Book"/>
          <w:color w:val="005CA9"/>
          <w:sz w:val="14"/>
          <w:szCs w:val="14"/>
        </w:rPr>
        <w:t>aixa</w:t>
      </w:r>
      <w:r w:rsidRPr="00E20D21">
        <w:rPr>
          <w:rFonts w:ascii="CAIXA Std Book" w:hAnsi="CAIXA Std Book"/>
          <w:color w:val="005CA9"/>
          <w:sz w:val="14"/>
          <w:szCs w:val="14"/>
        </w:rPr>
        <w:t xml:space="preserve"> Cartões; R$ </w:t>
      </w:r>
      <w:r w:rsidR="00AE6803" w:rsidRPr="00E20D21">
        <w:rPr>
          <w:rFonts w:ascii="CAIXA Std Book" w:hAnsi="CAIXA Std Book"/>
          <w:color w:val="005CA9"/>
          <w:sz w:val="14"/>
          <w:szCs w:val="14"/>
        </w:rPr>
        <w:t>10.938</w:t>
      </w:r>
      <w:r w:rsidRPr="00E20D21">
        <w:rPr>
          <w:rFonts w:ascii="CAIXA Std Book" w:hAnsi="CAIXA Std Book"/>
          <w:color w:val="005CA9"/>
          <w:sz w:val="14"/>
          <w:szCs w:val="14"/>
        </w:rPr>
        <w:t xml:space="preserve"> da </w:t>
      </w:r>
      <w:proofErr w:type="spellStart"/>
      <w:r w:rsidRPr="00E20D21">
        <w:rPr>
          <w:rFonts w:ascii="CAIXA Std Book" w:hAnsi="CAIXA Std Book"/>
          <w:color w:val="005CA9"/>
          <w:sz w:val="14"/>
          <w:szCs w:val="14"/>
        </w:rPr>
        <w:t>Nuclea</w:t>
      </w:r>
      <w:proofErr w:type="spellEnd"/>
      <w:r w:rsidRPr="00E20D21">
        <w:rPr>
          <w:rFonts w:ascii="CAIXA Std Book" w:hAnsi="CAIXA Std Book"/>
          <w:color w:val="005CA9"/>
          <w:sz w:val="14"/>
          <w:szCs w:val="14"/>
        </w:rPr>
        <w:t xml:space="preserve">; e R$ </w:t>
      </w:r>
      <w:r w:rsidR="00AE6803" w:rsidRPr="00E20D21">
        <w:rPr>
          <w:rFonts w:ascii="CAIXA Std Book" w:hAnsi="CAIXA Std Book"/>
          <w:color w:val="005CA9"/>
          <w:sz w:val="14"/>
          <w:szCs w:val="14"/>
        </w:rPr>
        <w:t>108</w:t>
      </w:r>
      <w:r w:rsidRPr="00E20D21">
        <w:rPr>
          <w:rFonts w:ascii="CAIXA Std Book" w:hAnsi="CAIXA Std Book"/>
          <w:color w:val="005CA9"/>
          <w:sz w:val="14"/>
          <w:szCs w:val="14"/>
        </w:rPr>
        <w:t xml:space="preserve"> da Galgo.</w:t>
      </w:r>
    </w:p>
    <w:p w14:paraId="709481D6" w14:textId="3C088C14" w:rsidR="00182EB9" w:rsidRPr="00E20D21" w:rsidRDefault="00182EB9" w:rsidP="00576123">
      <w:pPr>
        <w:spacing w:before="40"/>
        <w:jc w:val="both"/>
        <w:rPr>
          <w:rFonts w:ascii="CAIXA Std Book" w:hAnsi="CAIXA Std Book"/>
          <w:color w:val="005CA9"/>
          <w:sz w:val="14"/>
          <w:szCs w:val="14"/>
        </w:rPr>
      </w:pPr>
    </w:p>
    <w:p w14:paraId="1492FB38" w14:textId="113853E6" w:rsidR="00B23C1D" w:rsidRPr="00E20D21" w:rsidRDefault="005C233A" w:rsidP="00851148">
      <w:pPr>
        <w:rPr>
          <w:rFonts w:ascii="CAIXA Std Book" w:hAnsi="CAIXA Std Book"/>
          <w:color w:val="005CA9"/>
          <w:sz w:val="16"/>
          <w:szCs w:val="16"/>
        </w:rPr>
      </w:pPr>
      <w:bookmarkStart w:id="40" w:name="_Hlk70609860"/>
      <w:bookmarkEnd w:id="39"/>
      <w:r w:rsidRPr="00E20D21">
        <w:rPr>
          <w:rFonts w:ascii="CAIXA Std Book" w:hAnsi="CAIXA Std Book"/>
          <w:color w:val="005CA9"/>
          <w:sz w:val="16"/>
          <w:szCs w:val="16"/>
        </w:rPr>
        <w:br w:type="page"/>
      </w:r>
    </w:p>
    <w:tbl>
      <w:tblPr>
        <w:tblW w:w="5000" w:type="pct"/>
        <w:tblCellMar>
          <w:left w:w="70" w:type="dxa"/>
          <w:right w:w="70" w:type="dxa"/>
        </w:tblCellMar>
        <w:tblLook w:val="04A0" w:firstRow="1" w:lastRow="0" w:firstColumn="1" w:lastColumn="0" w:noHBand="0" w:noVBand="1"/>
      </w:tblPr>
      <w:tblGrid>
        <w:gridCol w:w="2099"/>
        <w:gridCol w:w="677"/>
        <w:gridCol w:w="962"/>
        <w:gridCol w:w="781"/>
        <w:gridCol w:w="988"/>
        <w:gridCol w:w="1139"/>
        <w:gridCol w:w="1075"/>
        <w:gridCol w:w="1139"/>
        <w:gridCol w:w="1075"/>
        <w:gridCol w:w="988"/>
        <w:gridCol w:w="991"/>
        <w:gridCol w:w="1139"/>
        <w:gridCol w:w="1518"/>
      </w:tblGrid>
      <w:tr w:rsidR="00A47C19" w:rsidRPr="00E20D21" w14:paraId="53D88D7F" w14:textId="77777777" w:rsidTr="00711413">
        <w:trPr>
          <w:trHeight w:val="283"/>
        </w:trPr>
        <w:tc>
          <w:tcPr>
            <w:tcW w:w="5000" w:type="pct"/>
            <w:gridSpan w:val="13"/>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3C97D4C"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lastRenderedPageBreak/>
              <w:t>CONSOLIDADO</w:t>
            </w:r>
          </w:p>
        </w:tc>
      </w:tr>
      <w:tr w:rsidR="00A47C19" w:rsidRPr="00E20D21" w14:paraId="7E26F9F5" w14:textId="77777777" w:rsidTr="00B06DD8">
        <w:trPr>
          <w:trHeight w:val="283"/>
        </w:trPr>
        <w:tc>
          <w:tcPr>
            <w:tcW w:w="720"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5B92684"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Empresa</w:t>
            </w:r>
          </w:p>
        </w:tc>
        <w:tc>
          <w:tcPr>
            <w:tcW w:w="1169" w:type="pct"/>
            <w:gridSpan w:val="4"/>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1B076694"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 de participação (1)</w:t>
            </w:r>
          </w:p>
        </w:tc>
        <w:tc>
          <w:tcPr>
            <w:tcW w:w="760" w:type="pct"/>
            <w:gridSpan w:val="2"/>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05F70054"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Patrimônio Líquido</w:t>
            </w:r>
          </w:p>
        </w:tc>
        <w:tc>
          <w:tcPr>
            <w:tcW w:w="391"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6FD451B5"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eastAsia="Times New Roman" w:hAnsi="CAIXA Std Book" w:cs="Calibri"/>
                <w:b/>
                <w:bCs/>
                <w:color w:val="005CA9"/>
                <w:sz w:val="16"/>
                <w:szCs w:val="16"/>
              </w:rPr>
              <w:t>Valor contábil</w:t>
            </w:r>
          </w:p>
        </w:tc>
        <w:tc>
          <w:tcPr>
            <w:tcW w:w="1048" w:type="pct"/>
            <w:gridSpan w:val="3"/>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F4F79A0"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Movimentação</w:t>
            </w:r>
          </w:p>
        </w:tc>
        <w:tc>
          <w:tcPr>
            <w:tcW w:w="391"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66F9C61D"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eastAsia="Times New Roman" w:hAnsi="CAIXA Std Book" w:cs="Calibri"/>
                <w:b/>
                <w:bCs/>
                <w:color w:val="005CA9"/>
                <w:sz w:val="16"/>
                <w:szCs w:val="16"/>
              </w:rPr>
              <w:t>Valor contábil</w:t>
            </w:r>
          </w:p>
        </w:tc>
        <w:tc>
          <w:tcPr>
            <w:tcW w:w="521"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17324252"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Resultado MEP</w:t>
            </w:r>
          </w:p>
        </w:tc>
      </w:tr>
      <w:tr w:rsidR="00A47C19" w:rsidRPr="00E20D21" w14:paraId="3ACB5AED" w14:textId="77777777" w:rsidTr="00B06DD8">
        <w:trPr>
          <w:trHeight w:val="283"/>
        </w:trPr>
        <w:tc>
          <w:tcPr>
            <w:tcW w:w="720" w:type="pct"/>
            <w:vMerge/>
            <w:tcBorders>
              <w:top w:val="single" w:sz="8" w:space="0" w:color="ED7D31"/>
              <w:left w:val="nil"/>
              <w:bottom w:val="single" w:sz="4" w:space="0" w:color="ED7D31"/>
              <w:right w:val="nil"/>
            </w:tcBorders>
            <w:vAlign w:val="center"/>
            <w:hideMark/>
          </w:tcPr>
          <w:p w14:paraId="385038B8" w14:textId="77777777" w:rsidR="00576123" w:rsidRPr="00E20D21" w:rsidRDefault="00576123" w:rsidP="00711413">
            <w:pPr>
              <w:rPr>
                <w:rFonts w:ascii="CAIXA Std Book" w:hAnsi="CAIXA Std Book" w:cs="Calibri"/>
                <w:b/>
                <w:bCs/>
                <w:color w:val="005CA9"/>
                <w:sz w:val="16"/>
                <w:szCs w:val="16"/>
              </w:rPr>
            </w:pPr>
          </w:p>
        </w:tc>
        <w:tc>
          <w:tcPr>
            <w:tcW w:w="562" w:type="pct"/>
            <w:gridSpan w:val="2"/>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789CC97A" w14:textId="7928370C" w:rsidR="00576123" w:rsidRPr="00E20D21" w:rsidRDefault="00A47C19"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30/06/2024</w:t>
            </w:r>
          </w:p>
        </w:tc>
        <w:tc>
          <w:tcPr>
            <w:tcW w:w="607" w:type="pct"/>
            <w:gridSpan w:val="2"/>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1EA36F8" w14:textId="5F2F9369"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31/12/202</w:t>
            </w:r>
            <w:r w:rsidR="00A47C19" w:rsidRPr="00E20D21">
              <w:rPr>
                <w:rFonts w:ascii="CAIXA Std Book" w:hAnsi="CAIXA Std Book" w:cs="Calibri"/>
                <w:b/>
                <w:bCs/>
                <w:color w:val="005CA9"/>
                <w:sz w:val="16"/>
                <w:szCs w:val="16"/>
              </w:rPr>
              <w:t>3</w:t>
            </w:r>
          </w:p>
        </w:tc>
        <w:tc>
          <w:tcPr>
            <w:tcW w:w="760" w:type="pct"/>
            <w:gridSpan w:val="2"/>
            <w:vMerge/>
            <w:tcBorders>
              <w:left w:val="nil"/>
              <w:bottom w:val="single" w:sz="4" w:space="0" w:color="ED7D31"/>
              <w:right w:val="nil"/>
            </w:tcBorders>
            <w:vAlign w:val="center"/>
            <w:hideMark/>
          </w:tcPr>
          <w:p w14:paraId="014BA66F" w14:textId="77777777" w:rsidR="00576123" w:rsidRPr="00E20D21" w:rsidRDefault="00576123" w:rsidP="00711413">
            <w:pPr>
              <w:rPr>
                <w:rFonts w:ascii="CAIXA Std Book" w:hAnsi="CAIXA Std Book" w:cs="Calibri"/>
                <w:b/>
                <w:bCs/>
                <w:color w:val="005CA9"/>
                <w:sz w:val="16"/>
                <w:szCs w:val="16"/>
              </w:rPr>
            </w:pPr>
          </w:p>
        </w:tc>
        <w:tc>
          <w:tcPr>
            <w:tcW w:w="391" w:type="pct"/>
            <w:vMerge/>
            <w:tcBorders>
              <w:left w:val="nil"/>
              <w:bottom w:val="single" w:sz="4" w:space="0" w:color="ED7D31"/>
              <w:right w:val="nil"/>
            </w:tcBorders>
            <w:vAlign w:val="center"/>
            <w:hideMark/>
          </w:tcPr>
          <w:p w14:paraId="4E3C97BC" w14:textId="77777777" w:rsidR="00576123" w:rsidRPr="00E20D21" w:rsidRDefault="00576123" w:rsidP="00711413">
            <w:pPr>
              <w:rPr>
                <w:rFonts w:ascii="CAIXA Std Book" w:hAnsi="CAIXA Std Book" w:cs="Calibri"/>
                <w:b/>
                <w:bCs/>
                <w:color w:val="005CA9"/>
                <w:sz w:val="16"/>
                <w:szCs w:val="16"/>
              </w:rPr>
            </w:pPr>
          </w:p>
        </w:tc>
        <w:tc>
          <w:tcPr>
            <w:tcW w:w="1048" w:type="pct"/>
            <w:gridSpan w:val="3"/>
            <w:vMerge/>
            <w:tcBorders>
              <w:left w:val="nil"/>
              <w:bottom w:val="single" w:sz="4" w:space="0" w:color="ED7D31"/>
              <w:right w:val="nil"/>
            </w:tcBorders>
            <w:vAlign w:val="center"/>
            <w:hideMark/>
          </w:tcPr>
          <w:p w14:paraId="0595F5F9" w14:textId="77777777" w:rsidR="00576123" w:rsidRPr="00E20D21" w:rsidRDefault="00576123" w:rsidP="00711413">
            <w:pPr>
              <w:rPr>
                <w:rFonts w:ascii="CAIXA Std Book" w:hAnsi="CAIXA Std Book" w:cs="Calibri"/>
                <w:b/>
                <w:bCs/>
                <w:color w:val="005CA9"/>
                <w:sz w:val="16"/>
                <w:szCs w:val="16"/>
              </w:rPr>
            </w:pPr>
          </w:p>
        </w:tc>
        <w:tc>
          <w:tcPr>
            <w:tcW w:w="391" w:type="pct"/>
            <w:vMerge/>
            <w:tcBorders>
              <w:left w:val="nil"/>
              <w:bottom w:val="single" w:sz="4" w:space="0" w:color="ED7D31"/>
              <w:right w:val="nil"/>
            </w:tcBorders>
            <w:vAlign w:val="center"/>
            <w:hideMark/>
          </w:tcPr>
          <w:p w14:paraId="6509F4E5" w14:textId="77777777" w:rsidR="00576123" w:rsidRPr="00E20D21" w:rsidRDefault="00576123" w:rsidP="00711413">
            <w:pPr>
              <w:rPr>
                <w:rFonts w:ascii="CAIXA Std Book" w:hAnsi="CAIXA Std Book" w:cs="Calibri"/>
                <w:b/>
                <w:bCs/>
                <w:color w:val="005CA9"/>
                <w:sz w:val="16"/>
                <w:szCs w:val="16"/>
              </w:rPr>
            </w:pPr>
          </w:p>
        </w:tc>
        <w:tc>
          <w:tcPr>
            <w:tcW w:w="521" w:type="pct"/>
            <w:vMerge/>
            <w:tcBorders>
              <w:left w:val="nil"/>
              <w:bottom w:val="single" w:sz="4" w:space="0" w:color="ED7D31"/>
              <w:right w:val="nil"/>
            </w:tcBorders>
            <w:vAlign w:val="center"/>
            <w:hideMark/>
          </w:tcPr>
          <w:p w14:paraId="4A04F22C" w14:textId="77777777" w:rsidR="00576123" w:rsidRPr="00E20D21" w:rsidRDefault="00576123" w:rsidP="00711413">
            <w:pPr>
              <w:rPr>
                <w:rFonts w:ascii="CAIXA Std Book" w:hAnsi="CAIXA Std Book" w:cs="Calibri"/>
                <w:b/>
                <w:bCs/>
                <w:color w:val="005CA9"/>
                <w:sz w:val="16"/>
                <w:szCs w:val="16"/>
              </w:rPr>
            </w:pPr>
          </w:p>
        </w:tc>
      </w:tr>
      <w:tr w:rsidR="008D0ABA" w:rsidRPr="00E20D21" w14:paraId="77F844BF" w14:textId="77777777" w:rsidTr="00B06DD8">
        <w:trPr>
          <w:trHeight w:val="283"/>
        </w:trPr>
        <w:tc>
          <w:tcPr>
            <w:tcW w:w="720" w:type="pct"/>
            <w:vMerge/>
            <w:tcBorders>
              <w:top w:val="single" w:sz="8" w:space="0" w:color="ED7D31"/>
              <w:left w:val="nil"/>
              <w:bottom w:val="single" w:sz="4" w:space="0" w:color="ED7D31"/>
              <w:right w:val="nil"/>
            </w:tcBorders>
            <w:vAlign w:val="center"/>
            <w:hideMark/>
          </w:tcPr>
          <w:p w14:paraId="266C00E1" w14:textId="77777777" w:rsidR="00576123" w:rsidRPr="00E20D21" w:rsidRDefault="00576123" w:rsidP="00711413">
            <w:pPr>
              <w:rPr>
                <w:rFonts w:ascii="CAIXA Std Book" w:hAnsi="CAIXA Std Book" w:cs="Calibri"/>
                <w:b/>
                <w:bCs/>
                <w:color w:val="005CA9"/>
                <w:sz w:val="16"/>
                <w:szCs w:val="16"/>
              </w:rPr>
            </w:pPr>
          </w:p>
        </w:tc>
        <w:tc>
          <w:tcPr>
            <w:tcW w:w="232"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186A75DB"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Total</w:t>
            </w:r>
          </w:p>
        </w:tc>
        <w:tc>
          <w:tcPr>
            <w:tcW w:w="330"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47381C4A"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Ações</w:t>
            </w:r>
          </w:p>
        </w:tc>
        <w:tc>
          <w:tcPr>
            <w:tcW w:w="268"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4EA21288"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Total</w:t>
            </w:r>
          </w:p>
        </w:tc>
        <w:tc>
          <w:tcPr>
            <w:tcW w:w="339"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AADC878"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Ações</w:t>
            </w:r>
          </w:p>
        </w:tc>
        <w:tc>
          <w:tcPr>
            <w:tcW w:w="391"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37F06E00" w14:textId="278ED728" w:rsidR="00576123" w:rsidRPr="00E20D21" w:rsidRDefault="00A47C19"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30/06/2024</w:t>
            </w:r>
          </w:p>
        </w:tc>
        <w:tc>
          <w:tcPr>
            <w:tcW w:w="369"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1DB8B7A4" w14:textId="6D5D43F1"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31/12/202</w:t>
            </w:r>
            <w:r w:rsidR="00A47C19" w:rsidRPr="00E20D21">
              <w:rPr>
                <w:rFonts w:ascii="CAIXA Std Book" w:hAnsi="CAIXA Std Book" w:cs="Calibri"/>
                <w:b/>
                <w:bCs/>
                <w:color w:val="005CA9"/>
                <w:sz w:val="16"/>
                <w:szCs w:val="16"/>
              </w:rPr>
              <w:t>3</w:t>
            </w:r>
          </w:p>
        </w:tc>
        <w:tc>
          <w:tcPr>
            <w:tcW w:w="391" w:type="pct"/>
            <w:vMerge w:val="restart"/>
            <w:tcBorders>
              <w:top w:val="single" w:sz="4" w:space="0" w:color="ED7D31"/>
              <w:left w:val="nil"/>
              <w:bottom w:val="single" w:sz="8" w:space="0" w:color="ED7D31"/>
              <w:right w:val="nil"/>
            </w:tcBorders>
            <w:shd w:val="clear" w:color="auto" w:fill="auto"/>
            <w:vAlign w:val="center"/>
            <w:hideMark/>
          </w:tcPr>
          <w:p w14:paraId="5269C68C" w14:textId="12208E63"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31/12/202</w:t>
            </w:r>
            <w:r w:rsidR="00A47C19" w:rsidRPr="00E20D21">
              <w:rPr>
                <w:rFonts w:ascii="CAIXA Std Book" w:hAnsi="CAIXA Std Book" w:cs="Calibri"/>
                <w:b/>
                <w:bCs/>
                <w:color w:val="005CA9"/>
                <w:sz w:val="16"/>
                <w:szCs w:val="16"/>
              </w:rPr>
              <w:t>3</w:t>
            </w:r>
          </w:p>
        </w:tc>
        <w:tc>
          <w:tcPr>
            <w:tcW w:w="369"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3EF2DD00"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Resultado MEP</w:t>
            </w:r>
          </w:p>
        </w:tc>
        <w:tc>
          <w:tcPr>
            <w:tcW w:w="339"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0615114F" w14:textId="221C7E59"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Dividendos e JCP</w:t>
            </w:r>
            <w:r w:rsidR="004E4330" w:rsidRPr="00E20D21">
              <w:rPr>
                <w:rFonts w:ascii="CAIXA Std Book" w:hAnsi="CAIXA Std Book" w:cs="Calibri"/>
                <w:b/>
                <w:bCs/>
                <w:color w:val="005CA9"/>
                <w:sz w:val="16"/>
                <w:szCs w:val="16"/>
              </w:rPr>
              <w:t xml:space="preserve"> (4)</w:t>
            </w:r>
          </w:p>
        </w:tc>
        <w:tc>
          <w:tcPr>
            <w:tcW w:w="340"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7145C209"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Outros</w:t>
            </w:r>
          </w:p>
        </w:tc>
        <w:tc>
          <w:tcPr>
            <w:tcW w:w="391" w:type="pct"/>
            <w:vMerge w:val="restart"/>
            <w:tcBorders>
              <w:top w:val="single" w:sz="4" w:space="0" w:color="ED7D31"/>
              <w:left w:val="nil"/>
              <w:bottom w:val="single" w:sz="8" w:space="0" w:color="ED7D31"/>
              <w:right w:val="nil"/>
            </w:tcBorders>
            <w:shd w:val="clear" w:color="auto" w:fill="auto"/>
            <w:vAlign w:val="center"/>
            <w:hideMark/>
          </w:tcPr>
          <w:p w14:paraId="1C31D845" w14:textId="37C07B49" w:rsidR="00576123" w:rsidRPr="00E20D21" w:rsidRDefault="00A47C19"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30/06/2024</w:t>
            </w:r>
          </w:p>
        </w:tc>
        <w:tc>
          <w:tcPr>
            <w:tcW w:w="521"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F42926D" w14:textId="2323851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202</w:t>
            </w:r>
            <w:r w:rsidR="00A47C19" w:rsidRPr="00E20D21">
              <w:rPr>
                <w:rFonts w:ascii="CAIXA Std Book" w:hAnsi="CAIXA Std Book" w:cs="Calibri"/>
                <w:b/>
                <w:bCs/>
                <w:color w:val="005CA9"/>
                <w:sz w:val="16"/>
                <w:szCs w:val="16"/>
              </w:rPr>
              <w:t>3</w:t>
            </w:r>
          </w:p>
        </w:tc>
      </w:tr>
      <w:tr w:rsidR="00A47C19" w:rsidRPr="00E20D21" w14:paraId="7AE15E94" w14:textId="77777777" w:rsidTr="00B06DD8">
        <w:trPr>
          <w:trHeight w:val="283"/>
        </w:trPr>
        <w:tc>
          <w:tcPr>
            <w:tcW w:w="720" w:type="pct"/>
            <w:vMerge/>
            <w:tcBorders>
              <w:top w:val="single" w:sz="8" w:space="0" w:color="ED7D31"/>
              <w:left w:val="nil"/>
              <w:bottom w:val="single" w:sz="4" w:space="0" w:color="ED7D31"/>
              <w:right w:val="nil"/>
            </w:tcBorders>
            <w:vAlign w:val="center"/>
            <w:hideMark/>
          </w:tcPr>
          <w:p w14:paraId="0A725BD6" w14:textId="77777777" w:rsidR="00576123" w:rsidRPr="00E20D21" w:rsidRDefault="00576123" w:rsidP="00711413">
            <w:pPr>
              <w:rPr>
                <w:rFonts w:ascii="CAIXA Std Book" w:hAnsi="CAIXA Std Book" w:cs="Calibri"/>
                <w:b/>
                <w:bCs/>
                <w:color w:val="005CA9"/>
                <w:sz w:val="16"/>
                <w:szCs w:val="16"/>
              </w:rPr>
            </w:pPr>
          </w:p>
        </w:tc>
        <w:tc>
          <w:tcPr>
            <w:tcW w:w="232" w:type="pct"/>
            <w:vMerge/>
            <w:tcBorders>
              <w:top w:val="nil"/>
              <w:left w:val="nil"/>
              <w:bottom w:val="single" w:sz="4" w:space="0" w:color="ED7D31"/>
              <w:right w:val="nil"/>
            </w:tcBorders>
            <w:vAlign w:val="center"/>
            <w:hideMark/>
          </w:tcPr>
          <w:p w14:paraId="6039CB60" w14:textId="77777777" w:rsidR="00576123" w:rsidRPr="00E20D21" w:rsidRDefault="00576123" w:rsidP="00711413">
            <w:pPr>
              <w:rPr>
                <w:rFonts w:ascii="CAIXA Std Book" w:hAnsi="CAIXA Std Book" w:cs="Calibri"/>
                <w:b/>
                <w:bCs/>
                <w:color w:val="005CA9"/>
                <w:sz w:val="16"/>
                <w:szCs w:val="16"/>
              </w:rPr>
            </w:pPr>
          </w:p>
        </w:tc>
        <w:tc>
          <w:tcPr>
            <w:tcW w:w="330"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243C0947"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Ordinárias</w:t>
            </w:r>
          </w:p>
        </w:tc>
        <w:tc>
          <w:tcPr>
            <w:tcW w:w="268" w:type="pct"/>
            <w:vMerge/>
            <w:tcBorders>
              <w:top w:val="nil"/>
              <w:left w:val="nil"/>
              <w:bottom w:val="single" w:sz="4" w:space="0" w:color="ED7D31"/>
              <w:right w:val="nil"/>
            </w:tcBorders>
            <w:vAlign w:val="center"/>
            <w:hideMark/>
          </w:tcPr>
          <w:p w14:paraId="2E3CB5BF" w14:textId="77777777" w:rsidR="00576123" w:rsidRPr="00E20D21" w:rsidRDefault="00576123" w:rsidP="00711413">
            <w:pPr>
              <w:rPr>
                <w:rFonts w:ascii="CAIXA Std Book" w:hAnsi="CAIXA Std Book" w:cs="Calibri"/>
                <w:b/>
                <w:bCs/>
                <w:color w:val="005CA9"/>
                <w:sz w:val="16"/>
                <w:szCs w:val="16"/>
              </w:rPr>
            </w:pPr>
          </w:p>
        </w:tc>
        <w:tc>
          <w:tcPr>
            <w:tcW w:w="339"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6A1528C4" w14:textId="77777777" w:rsidR="00576123" w:rsidRPr="00E20D21" w:rsidRDefault="00576123"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Ordinárias</w:t>
            </w:r>
          </w:p>
        </w:tc>
        <w:tc>
          <w:tcPr>
            <w:tcW w:w="391" w:type="pct"/>
            <w:vMerge/>
            <w:tcBorders>
              <w:top w:val="nil"/>
              <w:left w:val="nil"/>
              <w:bottom w:val="single" w:sz="4" w:space="0" w:color="ED7D31"/>
              <w:right w:val="nil"/>
            </w:tcBorders>
            <w:vAlign w:val="center"/>
            <w:hideMark/>
          </w:tcPr>
          <w:p w14:paraId="48C9D2E0" w14:textId="77777777" w:rsidR="00576123" w:rsidRPr="00E20D21" w:rsidRDefault="00576123" w:rsidP="00711413">
            <w:pPr>
              <w:rPr>
                <w:rFonts w:ascii="CAIXA Std Book" w:hAnsi="CAIXA Std Book" w:cs="Calibri"/>
                <w:b/>
                <w:bCs/>
                <w:color w:val="005CA9"/>
                <w:sz w:val="16"/>
                <w:szCs w:val="16"/>
              </w:rPr>
            </w:pPr>
          </w:p>
        </w:tc>
        <w:tc>
          <w:tcPr>
            <w:tcW w:w="369" w:type="pct"/>
            <w:vMerge/>
            <w:tcBorders>
              <w:top w:val="nil"/>
              <w:left w:val="nil"/>
              <w:bottom w:val="single" w:sz="4" w:space="0" w:color="ED7D31"/>
              <w:right w:val="nil"/>
            </w:tcBorders>
            <w:vAlign w:val="center"/>
            <w:hideMark/>
          </w:tcPr>
          <w:p w14:paraId="01ABB5E4" w14:textId="77777777" w:rsidR="00576123" w:rsidRPr="00E20D21" w:rsidRDefault="00576123" w:rsidP="00711413">
            <w:pPr>
              <w:rPr>
                <w:rFonts w:ascii="CAIXA Std Book" w:hAnsi="CAIXA Std Book" w:cs="Calibri"/>
                <w:b/>
                <w:bCs/>
                <w:color w:val="005CA9"/>
                <w:sz w:val="16"/>
                <w:szCs w:val="16"/>
              </w:rPr>
            </w:pPr>
          </w:p>
        </w:tc>
        <w:tc>
          <w:tcPr>
            <w:tcW w:w="391" w:type="pct"/>
            <w:vMerge/>
            <w:tcBorders>
              <w:top w:val="nil"/>
              <w:left w:val="nil"/>
              <w:bottom w:val="single" w:sz="4" w:space="0" w:color="ED7D31"/>
              <w:right w:val="nil"/>
            </w:tcBorders>
            <w:vAlign w:val="center"/>
            <w:hideMark/>
          </w:tcPr>
          <w:p w14:paraId="336DAF7D" w14:textId="77777777" w:rsidR="00576123" w:rsidRPr="00E20D21" w:rsidRDefault="00576123" w:rsidP="00711413">
            <w:pPr>
              <w:rPr>
                <w:rFonts w:ascii="CAIXA Std Book" w:hAnsi="CAIXA Std Book" w:cs="Calibri"/>
                <w:b/>
                <w:bCs/>
                <w:color w:val="005CA9"/>
                <w:sz w:val="16"/>
                <w:szCs w:val="16"/>
              </w:rPr>
            </w:pPr>
          </w:p>
        </w:tc>
        <w:tc>
          <w:tcPr>
            <w:tcW w:w="369" w:type="pct"/>
            <w:vMerge/>
            <w:tcBorders>
              <w:top w:val="nil"/>
              <w:left w:val="nil"/>
              <w:bottom w:val="single" w:sz="4" w:space="0" w:color="ED7D31"/>
              <w:right w:val="nil"/>
            </w:tcBorders>
            <w:vAlign w:val="center"/>
            <w:hideMark/>
          </w:tcPr>
          <w:p w14:paraId="11F22914" w14:textId="77777777" w:rsidR="00576123" w:rsidRPr="00E20D21" w:rsidRDefault="00576123" w:rsidP="00711413">
            <w:pPr>
              <w:rPr>
                <w:rFonts w:ascii="CAIXA Std Book" w:hAnsi="CAIXA Std Book" w:cs="Calibri"/>
                <w:b/>
                <w:bCs/>
                <w:color w:val="005CA9"/>
                <w:sz w:val="16"/>
                <w:szCs w:val="16"/>
              </w:rPr>
            </w:pPr>
          </w:p>
        </w:tc>
        <w:tc>
          <w:tcPr>
            <w:tcW w:w="339" w:type="pct"/>
            <w:vMerge/>
            <w:tcBorders>
              <w:top w:val="nil"/>
              <w:left w:val="nil"/>
              <w:bottom w:val="single" w:sz="4" w:space="0" w:color="ED7D31"/>
              <w:right w:val="nil"/>
            </w:tcBorders>
            <w:vAlign w:val="center"/>
            <w:hideMark/>
          </w:tcPr>
          <w:p w14:paraId="121EA681" w14:textId="77777777" w:rsidR="00576123" w:rsidRPr="00E20D21" w:rsidRDefault="00576123" w:rsidP="00711413">
            <w:pPr>
              <w:rPr>
                <w:rFonts w:ascii="CAIXA Std Book" w:hAnsi="CAIXA Std Book" w:cs="Calibri"/>
                <w:b/>
                <w:bCs/>
                <w:color w:val="005CA9"/>
                <w:sz w:val="16"/>
                <w:szCs w:val="16"/>
              </w:rPr>
            </w:pPr>
          </w:p>
        </w:tc>
        <w:tc>
          <w:tcPr>
            <w:tcW w:w="340" w:type="pct"/>
            <w:vMerge/>
            <w:tcBorders>
              <w:top w:val="nil"/>
              <w:left w:val="nil"/>
              <w:bottom w:val="single" w:sz="4" w:space="0" w:color="ED7D31"/>
              <w:right w:val="nil"/>
            </w:tcBorders>
            <w:vAlign w:val="center"/>
            <w:hideMark/>
          </w:tcPr>
          <w:p w14:paraId="3CE66C38" w14:textId="77777777" w:rsidR="00576123" w:rsidRPr="00E20D21" w:rsidRDefault="00576123" w:rsidP="00711413">
            <w:pPr>
              <w:rPr>
                <w:rFonts w:ascii="CAIXA Std Book" w:hAnsi="CAIXA Std Book" w:cs="Calibri"/>
                <w:b/>
                <w:bCs/>
                <w:color w:val="005CA9"/>
                <w:sz w:val="16"/>
                <w:szCs w:val="16"/>
              </w:rPr>
            </w:pPr>
          </w:p>
        </w:tc>
        <w:tc>
          <w:tcPr>
            <w:tcW w:w="391" w:type="pct"/>
            <w:vMerge/>
            <w:tcBorders>
              <w:top w:val="nil"/>
              <w:left w:val="nil"/>
              <w:bottom w:val="single" w:sz="4" w:space="0" w:color="ED7D31"/>
              <w:right w:val="nil"/>
            </w:tcBorders>
            <w:vAlign w:val="center"/>
            <w:hideMark/>
          </w:tcPr>
          <w:p w14:paraId="6ED27383" w14:textId="77777777" w:rsidR="00576123" w:rsidRPr="00E20D21" w:rsidRDefault="00576123" w:rsidP="00711413">
            <w:pPr>
              <w:rPr>
                <w:rFonts w:ascii="CAIXA Std Book" w:hAnsi="CAIXA Std Book" w:cs="Calibri"/>
                <w:b/>
                <w:bCs/>
                <w:color w:val="005CA9"/>
                <w:sz w:val="16"/>
                <w:szCs w:val="16"/>
              </w:rPr>
            </w:pPr>
          </w:p>
        </w:tc>
        <w:tc>
          <w:tcPr>
            <w:tcW w:w="521"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1AA65A42" w14:textId="4B3835CF" w:rsidR="00576123" w:rsidRPr="00E20D21" w:rsidRDefault="00A47C19" w:rsidP="00711413">
            <w:pPr>
              <w:jc w:val="center"/>
              <w:rPr>
                <w:rFonts w:ascii="CAIXA Std Book" w:hAnsi="CAIXA Std Book" w:cs="Calibri"/>
                <w:b/>
                <w:bCs/>
                <w:color w:val="005CA9"/>
                <w:sz w:val="16"/>
                <w:szCs w:val="16"/>
              </w:rPr>
            </w:pPr>
            <w:r w:rsidRPr="00E20D21">
              <w:rPr>
                <w:rFonts w:ascii="CAIXA Std Book" w:hAnsi="CAIXA Std Book" w:cs="Calibri"/>
                <w:b/>
                <w:bCs/>
                <w:color w:val="005CA9"/>
                <w:sz w:val="16"/>
                <w:szCs w:val="16"/>
              </w:rPr>
              <w:t>1º semestre</w:t>
            </w:r>
          </w:p>
        </w:tc>
      </w:tr>
      <w:tr w:rsidR="00A47C19" w:rsidRPr="00E20D21" w14:paraId="6A76629A" w14:textId="77777777" w:rsidTr="00B06DD8">
        <w:trPr>
          <w:trHeight w:val="283"/>
        </w:trPr>
        <w:tc>
          <w:tcPr>
            <w:tcW w:w="720"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2F65458"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 xml:space="preserve">Holding XS1 </w:t>
            </w:r>
          </w:p>
        </w:tc>
        <w:tc>
          <w:tcPr>
            <w:tcW w:w="232"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2F0E821F"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60,00%</w:t>
            </w:r>
          </w:p>
        </w:tc>
        <w:tc>
          <w:tcPr>
            <w:tcW w:w="330" w:type="pct"/>
            <w:tcBorders>
              <w:top w:val="single" w:sz="4" w:space="0" w:color="ED7D31"/>
              <w:left w:val="nil"/>
              <w:bottom w:val="nil"/>
              <w:right w:val="nil"/>
            </w:tcBorders>
            <w:shd w:val="clear" w:color="auto" w:fill="auto"/>
            <w:tcMar>
              <w:top w:w="15" w:type="dxa"/>
              <w:left w:w="15" w:type="dxa"/>
              <w:bottom w:w="0" w:type="dxa"/>
              <w:right w:w="15" w:type="dxa"/>
            </w:tcMar>
            <w:vAlign w:val="center"/>
          </w:tcPr>
          <w:p w14:paraId="5AA2A40B"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268" w:type="pct"/>
            <w:tcBorders>
              <w:top w:val="single" w:sz="4" w:space="0" w:color="ED7D31"/>
              <w:left w:val="nil"/>
              <w:bottom w:val="nil"/>
              <w:right w:val="nil"/>
            </w:tcBorders>
            <w:shd w:val="clear" w:color="auto" w:fill="auto"/>
            <w:noWrap/>
            <w:tcMar>
              <w:top w:w="15" w:type="dxa"/>
              <w:left w:w="15" w:type="dxa"/>
              <w:bottom w:w="0" w:type="dxa"/>
              <w:right w:w="15" w:type="dxa"/>
            </w:tcMar>
            <w:vAlign w:val="center"/>
            <w:hideMark/>
          </w:tcPr>
          <w:p w14:paraId="2C7C3076" w14:textId="0B9F9C9E"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60,00%</w:t>
            </w:r>
          </w:p>
        </w:tc>
        <w:tc>
          <w:tcPr>
            <w:tcW w:w="339"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35BD903" w14:textId="3A5065F5"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391"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65A12021" w14:textId="4DC270D2"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11.836.368</w:t>
            </w:r>
          </w:p>
        </w:tc>
        <w:tc>
          <w:tcPr>
            <w:tcW w:w="369" w:type="pct"/>
            <w:tcBorders>
              <w:top w:val="single" w:sz="4" w:space="0" w:color="ED7D31"/>
              <w:left w:val="nil"/>
              <w:bottom w:val="nil"/>
              <w:right w:val="nil"/>
            </w:tcBorders>
            <w:shd w:val="clear" w:color="auto" w:fill="auto"/>
            <w:noWrap/>
            <w:tcMar>
              <w:top w:w="15" w:type="dxa"/>
              <w:left w:w="15" w:type="dxa"/>
              <w:bottom w:w="0" w:type="dxa"/>
              <w:right w:w="15" w:type="dxa"/>
            </w:tcMar>
            <w:vAlign w:val="center"/>
            <w:hideMark/>
          </w:tcPr>
          <w:p w14:paraId="715A7C3C" w14:textId="099CB444"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12.510.633</w:t>
            </w:r>
          </w:p>
        </w:tc>
        <w:tc>
          <w:tcPr>
            <w:tcW w:w="391" w:type="pct"/>
            <w:tcBorders>
              <w:top w:val="single" w:sz="4" w:space="0" w:color="ED7D31"/>
              <w:left w:val="nil"/>
              <w:bottom w:val="nil"/>
              <w:right w:val="nil"/>
            </w:tcBorders>
            <w:shd w:val="clear" w:color="auto" w:fill="auto"/>
            <w:noWrap/>
            <w:tcMar>
              <w:top w:w="15" w:type="dxa"/>
              <w:left w:w="15" w:type="dxa"/>
              <w:bottom w:w="0" w:type="dxa"/>
              <w:right w:w="15" w:type="dxa"/>
            </w:tcMar>
            <w:vAlign w:val="center"/>
            <w:hideMark/>
          </w:tcPr>
          <w:p w14:paraId="375CF95E" w14:textId="26C2E6DA"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7.574.688</w:t>
            </w:r>
          </w:p>
        </w:tc>
        <w:tc>
          <w:tcPr>
            <w:tcW w:w="369"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04D75076" w14:textId="2E620D48"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423.488</w:t>
            </w:r>
          </w:p>
        </w:tc>
        <w:tc>
          <w:tcPr>
            <w:tcW w:w="339"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53367304" w14:textId="02A44ADE"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(763.245)</w:t>
            </w:r>
          </w:p>
        </w:tc>
        <w:tc>
          <w:tcPr>
            <w:tcW w:w="340"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6AE74A79" w14:textId="73D8D39A"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(61.218)</w:t>
            </w:r>
          </w:p>
        </w:tc>
        <w:tc>
          <w:tcPr>
            <w:tcW w:w="391"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462104FC" w14:textId="603ABA8D"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7.173.713</w:t>
            </w:r>
          </w:p>
        </w:tc>
        <w:tc>
          <w:tcPr>
            <w:tcW w:w="521"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7BC9094A" w14:textId="791DD3DA"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667.973</w:t>
            </w:r>
          </w:p>
        </w:tc>
      </w:tr>
      <w:tr w:rsidR="00A47C19" w:rsidRPr="00E20D21" w14:paraId="53BFAC0D"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5AB19E90"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 xml:space="preserve">CNP Brasil </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6B1CD460"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48,25%</w:t>
            </w:r>
          </w:p>
        </w:tc>
        <w:tc>
          <w:tcPr>
            <w:tcW w:w="330" w:type="pct"/>
            <w:tcBorders>
              <w:top w:val="nil"/>
              <w:left w:val="nil"/>
              <w:bottom w:val="nil"/>
              <w:right w:val="nil"/>
            </w:tcBorders>
            <w:shd w:val="clear" w:color="auto" w:fill="auto"/>
            <w:tcMar>
              <w:top w:w="15" w:type="dxa"/>
              <w:left w:w="15" w:type="dxa"/>
              <w:bottom w:w="0" w:type="dxa"/>
              <w:right w:w="15" w:type="dxa"/>
            </w:tcMar>
            <w:vAlign w:val="center"/>
          </w:tcPr>
          <w:p w14:paraId="4C0C4D74"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48,25%</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0F04283F" w14:textId="57194350"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48,25%</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2D88A8D8" w14:textId="2843143B"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48,25%</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6EC22388" w14:textId="36A09575"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5.069.767</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28DA1A09" w14:textId="62E76A56"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4.801.026</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52258809" w14:textId="24BD84E6"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2.316.495</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04E0A707" w14:textId="48138A84"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222.042</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39745E48" w14:textId="30B5B4E2"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(203.566)</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4051C679" w14:textId="45E90E27"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111.191</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1C37F364" w14:textId="18D0D605"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2.446.162</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2980F83B" w14:textId="48C04D69"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231.222</w:t>
            </w:r>
          </w:p>
        </w:tc>
      </w:tr>
      <w:tr w:rsidR="00A47C19" w:rsidRPr="00E20D21" w14:paraId="1D4592A5"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7B384689"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 xml:space="preserve">XS3 Seguros </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38F6F17A"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749AAAF6"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49,99%</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6C9D90CE" w14:textId="36B366DD"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73C92F56" w14:textId="4C229248"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49,99%</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0829E3DE" w14:textId="135B68F0"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1.883.522</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4A17653C" w14:textId="5E5D23ED"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1.910.462</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7E93815D" w14:textId="3C9F32E3"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1.432.776</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7BD6D36E" w14:textId="1EAF4E38"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51.466</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7B7A0C88" w14:textId="46586A00"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(71.670)</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143FBB10" w14:textId="48E7498E" w:rsidR="00A47C19" w:rsidRPr="00E20D21" w:rsidRDefault="000945BC" w:rsidP="000945BC">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6BF81FD0" w14:textId="6BFDB855"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1.412.572</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28E967F3" w14:textId="3CF591D1"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126.171</w:t>
            </w:r>
          </w:p>
        </w:tc>
      </w:tr>
      <w:tr w:rsidR="00A47C19" w:rsidRPr="00E20D21" w14:paraId="7C480B05"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111794B8"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XS4 Capitalização</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50B102FA"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31CC0A23"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49,99%</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7BADA7F8" w14:textId="2EB36F4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5011CB54" w14:textId="61B503AE"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49,99%</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55B247A1" w14:textId="7E9F12C4"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350.395</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3372DDD4" w14:textId="22DB1217"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312.402</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58B4EEE6" w14:textId="5DD63733"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234.286</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303DC213" w14:textId="7F95765B"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73.809</w:t>
            </w:r>
          </w:p>
        </w:tc>
        <w:tc>
          <w:tcPr>
            <w:tcW w:w="339" w:type="pct"/>
            <w:tcBorders>
              <w:top w:val="nil"/>
              <w:left w:val="nil"/>
              <w:bottom w:val="nil"/>
              <w:right w:val="nil"/>
            </w:tcBorders>
            <w:shd w:val="clear" w:color="auto" w:fill="auto"/>
            <w:noWrap/>
            <w:tcMar>
              <w:top w:w="15" w:type="dxa"/>
              <w:left w:w="15" w:type="dxa"/>
              <w:bottom w:w="0" w:type="dxa"/>
              <w:right w:w="15" w:type="dxa"/>
            </w:tcMar>
            <w:vAlign w:val="center"/>
          </w:tcPr>
          <w:p w14:paraId="4C4B288C" w14:textId="23EA8D67"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(29.933)</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7A5F4DEF" w14:textId="783F6422"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(15.382)</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353DCA2D" w14:textId="32F163A3"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262.780</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1E820009" w14:textId="5D62EC2E"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57.900</w:t>
            </w:r>
          </w:p>
        </w:tc>
      </w:tr>
      <w:tr w:rsidR="00A47C19" w:rsidRPr="00E20D21" w14:paraId="11C1ED13"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72DBB008"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XS5 Consórcios</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70FD0E6D"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371F5E9D"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49,99%</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497D7FFB" w14:textId="59DC142F"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6EA39CF1" w14:textId="5952F05E"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49,99%</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15C8C4D0" w14:textId="0DEF3F57"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605.927</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52330B65" w14:textId="6225FE42"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501.630</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0B490580" w14:textId="58BC6071"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376.209</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0B64B0E2" w14:textId="718844A5"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78.221</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30E2761D" w14:textId="13BE6561"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7ADA1039" w14:textId="0A440266" w:rsidR="00A47C19" w:rsidRPr="00E20D21" w:rsidRDefault="000945BC" w:rsidP="000945BC">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1AAD44CF" w14:textId="6E1CB375"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454.427</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04357479" w14:textId="50381013"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32.649</w:t>
            </w:r>
          </w:p>
        </w:tc>
      </w:tr>
      <w:tr w:rsidR="00A47C19" w:rsidRPr="00E20D21" w14:paraId="3D0B99C8"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57B09E55"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XS6 Assistência</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2DB71811"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6423214F"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49,99%</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32C1CB70" w14:textId="64E5CEFD"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4FA64534" w14:textId="1BB1CE2A"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49,99%</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38B9BA9A" w14:textId="5A0C6934"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48.645</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48387033" w14:textId="7477B0D3"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41.854</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38352E98" w14:textId="3F780480"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31.390</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6B493D6E" w14:textId="5E1D7661"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9.281</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73C69859" w14:textId="2B535037"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(4.187)</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24CF840C" w14:textId="363913D1" w:rsidR="00A47C19" w:rsidRPr="00E20D21" w:rsidRDefault="000945BC"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4809819F" w14:textId="46B9F77E"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36.484</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2FBE929F" w14:textId="125A3901"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7.196</w:t>
            </w:r>
          </w:p>
        </w:tc>
      </w:tr>
      <w:tr w:rsidR="00A47C19" w:rsidRPr="00E20D21" w14:paraId="0CF33407"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01175418"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Elo Serviços</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7701C64D"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41,41%</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1A2170E9"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0,01%</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0FF5601B" w14:textId="77998BCB"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41,41%</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5374ADE5" w14:textId="64E673EF"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0,01%</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3E400BF9" w14:textId="37DEEA1D"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1.070.977</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3A182ADF" w14:textId="34ACC82D"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891.852</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4C317791" w14:textId="230AA80E"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369.360</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20C4C540" w14:textId="675869F3"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220.494</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37CFFE58" w14:textId="45E56C90" w:rsidR="00A47C19" w:rsidRPr="00E20D21" w:rsidRDefault="000945BC"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(146.310)</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415D447E" w14:textId="0D82AFA0" w:rsidR="00A47C19" w:rsidRPr="00E20D21" w:rsidRDefault="000945BC"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32197D67" w14:textId="69984266"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443.544</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16EC93EA" w14:textId="6222097A"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94.806</w:t>
            </w:r>
          </w:p>
        </w:tc>
      </w:tr>
      <w:tr w:rsidR="00A47C19" w:rsidRPr="00E20D21" w14:paraId="663091AE"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691FB6F9" w14:textId="0A42FB6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Caixa Cartões Pré-Pagos</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00BB64C6"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3015AC24"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50%-1</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4A799B00" w14:textId="6273840D"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75,00%</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363C1DA3" w14:textId="35BA05EA"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50%-1</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3B49D513" w14:textId="02691141"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406.013</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1A801218" w14:textId="7CF96445"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400.310</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3E42F48A" w14:textId="5ED3C015"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300.233</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29AC3976" w14:textId="11382284"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7.710</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4F2529DA" w14:textId="3190E52A" w:rsidR="00A47C19" w:rsidRPr="00E20D21" w:rsidRDefault="000945BC"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5FC35CB2" w14:textId="1EB4537A"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(3.383)</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64C803F6" w14:textId="06F33349"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304.560</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684CD266" w14:textId="4ED268E2"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(6.568)</w:t>
            </w:r>
          </w:p>
        </w:tc>
      </w:tr>
      <w:tr w:rsidR="00A47C19" w:rsidRPr="00E20D21" w14:paraId="1FE00869"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7051BF5D"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 xml:space="preserve">Too Seguros </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0B2735FE"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7A4F17A1"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474A6AD5" w14:textId="545030B3"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0CF14439" w14:textId="11C1CB1E"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1ED30631" w14:textId="69344A9E"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956.089</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20A14438" w14:textId="43DD2AB6"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909.513</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65C2D795" w14:textId="59DE23D9"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443.179</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7ED554A7" w14:textId="3B032155"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94.525</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591D8F97" w14:textId="02227AFF"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(32.055)</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5E1A76AF" w14:textId="7FD53631"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(39.648)</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384807D1" w14:textId="318CE06D"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466.001</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3E60BA83" w14:textId="3C1B548D"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81.232</w:t>
            </w:r>
          </w:p>
        </w:tc>
      </w:tr>
      <w:tr w:rsidR="00A47C19" w:rsidRPr="00E20D21" w14:paraId="40F5211F"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59EEC898"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PAN Corretora (2)</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389251AD" w14:textId="551470B0"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6054273F" w14:textId="5ACC5CCD"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17728E15" w14:textId="787CEE25"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20C16837" w14:textId="1898F0F8"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49,00%</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36C7BC61" w14:textId="51DDCF40"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73.748</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2792AA22" w14:textId="56AA4748"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61.900</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4095AC79" w14:textId="66BE8C26"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30.331</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49067ACB" w14:textId="048A924A"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13.232</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18A1999C" w14:textId="531AC872"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(7.426)</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0A8EC3AD" w14:textId="458893A8" w:rsidR="00A47C19" w:rsidRPr="00E20D21" w:rsidRDefault="000945BC"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21F57AB3" w14:textId="2395707F"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36.137</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6170D701" w14:textId="7F877C10"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(6.392)</w:t>
            </w:r>
          </w:p>
        </w:tc>
      </w:tr>
      <w:tr w:rsidR="00A47C19" w:rsidRPr="00E20D21" w14:paraId="72931D0A"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70AF6F4C"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Tecban</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154D9792" w14:textId="38EA08B0"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13,01%</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5CBC7150" w14:textId="66B826AB" w:rsidR="00A47C19" w:rsidRPr="00E20D21" w:rsidRDefault="00002D66"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11,61</w:t>
            </w:r>
            <w:r w:rsidR="00A47C19" w:rsidRPr="00E20D21">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4453E985" w14:textId="2C97689C"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13,01%</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62327CE3" w14:textId="00B2FB3A" w:rsidR="00A47C19" w:rsidRPr="00E20D21" w:rsidRDefault="00002D66"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11,61</w:t>
            </w:r>
            <w:r w:rsidR="00A47C19" w:rsidRPr="00E20D21">
              <w:rPr>
                <w:rFonts w:ascii="CAIXA Std Book" w:hAnsi="CAIXA Std Book" w:cs="Arial"/>
                <w:color w:val="005CA9"/>
                <w:sz w:val="16"/>
                <w:szCs w:val="16"/>
              </w:rPr>
              <w:t>%</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45EE0E0B" w14:textId="3FBE8620"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1.000.980</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589DA651" w14:textId="345F2D09"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976.260</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330267F7" w14:textId="01F70E87"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182.047</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7E5B2FD7" w14:textId="37097128"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3.216</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0B474564" w14:textId="0046EE24" w:rsidR="00A47C19" w:rsidRPr="00E20D21" w:rsidRDefault="000945BC" w:rsidP="000945BC">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483DD196" w14:textId="3C2A900E"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(791)</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069E538B" w14:textId="47E52CAC"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184.472</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02F7AC21" w14:textId="61F594F5"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13.744</w:t>
            </w:r>
          </w:p>
        </w:tc>
      </w:tr>
      <w:tr w:rsidR="00A47C19" w:rsidRPr="00E20D21" w14:paraId="2BECFD81"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4E1A64FC"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Quod</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65A0FC8C"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15,29%</w:t>
            </w:r>
          </w:p>
        </w:tc>
        <w:tc>
          <w:tcPr>
            <w:tcW w:w="330" w:type="pct"/>
            <w:tcBorders>
              <w:top w:val="nil"/>
              <w:left w:val="nil"/>
              <w:bottom w:val="nil"/>
              <w:right w:val="nil"/>
            </w:tcBorders>
            <w:shd w:val="clear" w:color="auto" w:fill="auto"/>
            <w:tcMar>
              <w:top w:w="0" w:type="dxa"/>
              <w:left w:w="15" w:type="dxa"/>
              <w:bottom w:w="0" w:type="dxa"/>
              <w:right w:w="15" w:type="dxa"/>
            </w:tcMar>
            <w:vAlign w:val="center"/>
          </w:tcPr>
          <w:p w14:paraId="6C05815D"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16,00%</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2A40CC51" w14:textId="77FF02EC"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15,29%</w:t>
            </w:r>
          </w:p>
        </w:tc>
        <w:tc>
          <w:tcPr>
            <w:tcW w:w="339" w:type="pct"/>
            <w:tcBorders>
              <w:top w:val="nil"/>
              <w:left w:val="nil"/>
              <w:bottom w:val="nil"/>
              <w:right w:val="nil"/>
            </w:tcBorders>
            <w:shd w:val="clear" w:color="auto" w:fill="auto"/>
            <w:tcMar>
              <w:top w:w="0" w:type="dxa"/>
              <w:left w:w="15" w:type="dxa"/>
              <w:bottom w:w="0" w:type="dxa"/>
              <w:right w:w="15" w:type="dxa"/>
            </w:tcMar>
            <w:vAlign w:val="center"/>
            <w:hideMark/>
          </w:tcPr>
          <w:p w14:paraId="12EAF8E6" w14:textId="1F8E8E9D"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16,00%</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5B5B4F3E" w14:textId="3CCD41F3"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345.845</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58FBE67F" w14:textId="0117FBD7"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362.536</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52C68255" w14:textId="39EF48AF"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55.432</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2482DBCF" w14:textId="3DEFA491"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(2.552)</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4B376160" w14:textId="2D891F9A" w:rsidR="00A47C19" w:rsidRPr="00E20D21" w:rsidRDefault="000945BC"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269F7D2A" w14:textId="008E1105" w:rsidR="00A47C19" w:rsidRPr="00E20D21" w:rsidRDefault="000945BC" w:rsidP="000945BC">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4F916D34" w14:textId="652F9786"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52.880</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19173F88" w14:textId="25606E8C"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(3.611)</w:t>
            </w:r>
          </w:p>
        </w:tc>
      </w:tr>
      <w:tr w:rsidR="00A47C19" w:rsidRPr="00E20D21" w14:paraId="25B8F391" w14:textId="77777777" w:rsidTr="00B06DD8">
        <w:trPr>
          <w:trHeight w:val="283"/>
        </w:trPr>
        <w:tc>
          <w:tcPr>
            <w:tcW w:w="720" w:type="pct"/>
            <w:tcBorders>
              <w:top w:val="nil"/>
              <w:left w:val="nil"/>
              <w:bottom w:val="nil"/>
              <w:right w:val="nil"/>
            </w:tcBorders>
            <w:shd w:val="clear" w:color="auto" w:fill="auto"/>
            <w:tcMar>
              <w:top w:w="0" w:type="dxa"/>
              <w:left w:w="15" w:type="dxa"/>
              <w:bottom w:w="0" w:type="dxa"/>
              <w:right w:w="15" w:type="dxa"/>
            </w:tcMar>
            <w:vAlign w:val="center"/>
            <w:hideMark/>
          </w:tcPr>
          <w:p w14:paraId="3DC60113"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Galgo Sistemas de Informações</w:t>
            </w:r>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70240D1E"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6,67%</w:t>
            </w:r>
          </w:p>
        </w:tc>
        <w:tc>
          <w:tcPr>
            <w:tcW w:w="330" w:type="pct"/>
            <w:tcBorders>
              <w:top w:val="nil"/>
              <w:left w:val="nil"/>
              <w:bottom w:val="nil"/>
              <w:right w:val="nil"/>
            </w:tcBorders>
            <w:shd w:val="clear" w:color="auto" w:fill="auto"/>
            <w:noWrap/>
            <w:tcMar>
              <w:top w:w="0" w:type="dxa"/>
              <w:left w:w="15" w:type="dxa"/>
              <w:bottom w:w="0" w:type="dxa"/>
              <w:right w:w="15" w:type="dxa"/>
            </w:tcMar>
            <w:vAlign w:val="center"/>
          </w:tcPr>
          <w:p w14:paraId="32182239"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6,67%</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62E5B4F4" w14:textId="53383A44"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6,67%</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hideMark/>
          </w:tcPr>
          <w:p w14:paraId="215BE316" w14:textId="7D94F66F"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6,67%</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5D2392CA" w14:textId="0F204580"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36.414</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38C33A62" w14:textId="78828E6E"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34.550</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34A383C4" w14:textId="20E071ED"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2.303</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0002B898" w14:textId="6DD4DE0C"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232</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03705027" w14:textId="1A576D05"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(107)</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06BF8CBD" w14:textId="26FE19A2" w:rsidR="00A47C19" w:rsidRPr="00E20D21" w:rsidRDefault="000945BC"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7D86E22E" w14:textId="7D2A13E5"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2.428</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3A9FF64E" w14:textId="129A82F8"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200</w:t>
            </w:r>
          </w:p>
        </w:tc>
      </w:tr>
      <w:tr w:rsidR="00A47C19" w:rsidRPr="00E20D21" w14:paraId="0D13F383" w14:textId="77777777" w:rsidTr="00B06DD8">
        <w:trPr>
          <w:trHeight w:val="283"/>
        </w:trPr>
        <w:tc>
          <w:tcPr>
            <w:tcW w:w="720" w:type="pct"/>
            <w:tcBorders>
              <w:top w:val="nil"/>
              <w:left w:val="nil"/>
              <w:bottom w:val="nil"/>
              <w:right w:val="nil"/>
            </w:tcBorders>
            <w:shd w:val="clear" w:color="auto" w:fill="auto"/>
            <w:noWrap/>
            <w:tcMar>
              <w:top w:w="0" w:type="dxa"/>
              <w:left w:w="15" w:type="dxa"/>
              <w:bottom w:w="0" w:type="dxa"/>
              <w:right w:w="15" w:type="dxa"/>
            </w:tcMar>
            <w:vAlign w:val="center"/>
            <w:hideMark/>
          </w:tcPr>
          <w:p w14:paraId="4364C45D" w14:textId="46779679" w:rsidR="00A47C19" w:rsidRPr="00E20D21" w:rsidRDefault="00A47C19" w:rsidP="00A47C19">
            <w:pPr>
              <w:rPr>
                <w:rFonts w:ascii="CAIXA Std Book" w:hAnsi="CAIXA Std Book" w:cs="Calibri"/>
                <w:color w:val="005CA9"/>
                <w:sz w:val="16"/>
                <w:szCs w:val="16"/>
              </w:rPr>
            </w:pPr>
            <w:proofErr w:type="spellStart"/>
            <w:r w:rsidRPr="00E20D21">
              <w:rPr>
                <w:rFonts w:ascii="CAIXA Std Book" w:hAnsi="CAIXA Std Book" w:cs="Calibri"/>
                <w:color w:val="005CA9"/>
                <w:sz w:val="16"/>
                <w:szCs w:val="16"/>
              </w:rPr>
              <w:t>N</w:t>
            </w:r>
            <w:r w:rsidR="00FC109C" w:rsidRPr="00E20D21">
              <w:rPr>
                <w:rFonts w:ascii="CAIXA Std Book" w:hAnsi="CAIXA Std Book" w:cs="Calibri"/>
                <w:color w:val="005CA9"/>
                <w:sz w:val="16"/>
                <w:szCs w:val="16"/>
              </w:rPr>
              <w:t>ú</w:t>
            </w:r>
            <w:r w:rsidRPr="00E20D21">
              <w:rPr>
                <w:rFonts w:ascii="CAIXA Std Book" w:hAnsi="CAIXA Std Book" w:cs="Calibri"/>
                <w:color w:val="005CA9"/>
                <w:sz w:val="16"/>
                <w:szCs w:val="16"/>
              </w:rPr>
              <w:t>clea</w:t>
            </w:r>
            <w:proofErr w:type="spellEnd"/>
          </w:p>
        </w:tc>
        <w:tc>
          <w:tcPr>
            <w:tcW w:w="232" w:type="pct"/>
            <w:tcBorders>
              <w:top w:val="nil"/>
              <w:left w:val="nil"/>
              <w:bottom w:val="nil"/>
              <w:right w:val="nil"/>
            </w:tcBorders>
            <w:shd w:val="clear" w:color="auto" w:fill="auto"/>
            <w:noWrap/>
            <w:tcMar>
              <w:top w:w="0" w:type="dxa"/>
              <w:left w:w="15" w:type="dxa"/>
              <w:bottom w:w="0" w:type="dxa"/>
              <w:right w:w="15" w:type="dxa"/>
            </w:tcMar>
            <w:vAlign w:val="center"/>
          </w:tcPr>
          <w:p w14:paraId="0BCDF097" w14:textId="7C4A654A"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8,1</w:t>
            </w:r>
            <w:r w:rsidR="0064241D"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c>
          <w:tcPr>
            <w:tcW w:w="330" w:type="pct"/>
            <w:tcBorders>
              <w:top w:val="nil"/>
              <w:left w:val="nil"/>
              <w:bottom w:val="nil"/>
              <w:right w:val="nil"/>
            </w:tcBorders>
            <w:shd w:val="clear" w:color="auto" w:fill="auto"/>
            <w:noWrap/>
            <w:tcMar>
              <w:top w:w="0" w:type="dxa"/>
              <w:left w:w="15" w:type="dxa"/>
              <w:bottom w:w="0" w:type="dxa"/>
              <w:right w:w="15" w:type="dxa"/>
            </w:tcMar>
            <w:vAlign w:val="center"/>
          </w:tcPr>
          <w:p w14:paraId="76938B4C" w14:textId="60BF6D92"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8,1</w:t>
            </w:r>
            <w:r w:rsidR="0064241D"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tcMar>
              <w:top w:w="0" w:type="dxa"/>
              <w:left w:w="15" w:type="dxa"/>
              <w:bottom w:w="0" w:type="dxa"/>
              <w:right w:w="15" w:type="dxa"/>
            </w:tcMar>
            <w:vAlign w:val="center"/>
            <w:hideMark/>
          </w:tcPr>
          <w:p w14:paraId="1553D687" w14:textId="3CA63F78"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8,1</w:t>
            </w:r>
            <w:r w:rsidR="0064241D"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hideMark/>
          </w:tcPr>
          <w:p w14:paraId="4C59AC85" w14:textId="647DB18E"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8,1</w:t>
            </w:r>
            <w:r w:rsidR="0064241D"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tcPr>
          <w:p w14:paraId="273C3BFD" w14:textId="5EA81BAC" w:rsidR="00A47C19" w:rsidRPr="00E20D21" w:rsidRDefault="000945BC" w:rsidP="00A47C19">
            <w:pPr>
              <w:jc w:val="right"/>
              <w:rPr>
                <w:rFonts w:ascii="CAIXA Std Book" w:hAnsi="CAIXA Std Book" w:cs="Calibri"/>
                <w:color w:val="005CA9"/>
                <w:sz w:val="16"/>
                <w:szCs w:val="16"/>
                <w:highlight w:val="yellow"/>
              </w:rPr>
            </w:pPr>
            <w:r w:rsidRPr="00E20D21">
              <w:rPr>
                <w:rFonts w:ascii="CAIXA Std Book" w:hAnsi="CAIXA Std Book" w:cs="Arial"/>
                <w:color w:val="005CA9"/>
                <w:sz w:val="16"/>
                <w:szCs w:val="16"/>
              </w:rPr>
              <w:t>2.060.356</w:t>
            </w:r>
          </w:p>
        </w:tc>
        <w:tc>
          <w:tcPr>
            <w:tcW w:w="369" w:type="pct"/>
            <w:tcBorders>
              <w:top w:val="nil"/>
              <w:left w:val="nil"/>
              <w:bottom w:val="nil"/>
              <w:right w:val="nil"/>
            </w:tcBorders>
            <w:shd w:val="clear" w:color="auto" w:fill="auto"/>
            <w:noWrap/>
            <w:tcMar>
              <w:top w:w="0" w:type="dxa"/>
              <w:left w:w="15" w:type="dxa"/>
              <w:bottom w:w="0" w:type="dxa"/>
              <w:right w:w="15" w:type="dxa"/>
            </w:tcMar>
            <w:vAlign w:val="center"/>
            <w:hideMark/>
          </w:tcPr>
          <w:p w14:paraId="4CD6324D" w14:textId="49089136"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1.783.796</w:t>
            </w:r>
          </w:p>
        </w:tc>
        <w:tc>
          <w:tcPr>
            <w:tcW w:w="391" w:type="pct"/>
            <w:tcBorders>
              <w:top w:val="nil"/>
              <w:left w:val="nil"/>
              <w:bottom w:val="nil"/>
              <w:right w:val="nil"/>
            </w:tcBorders>
            <w:shd w:val="clear" w:color="auto" w:fill="auto"/>
            <w:noWrap/>
            <w:tcMar>
              <w:top w:w="0" w:type="dxa"/>
              <w:left w:w="15" w:type="dxa"/>
              <w:bottom w:w="0" w:type="dxa"/>
              <w:right w:w="15" w:type="dxa"/>
            </w:tcMar>
            <w:vAlign w:val="center"/>
            <w:hideMark/>
          </w:tcPr>
          <w:p w14:paraId="50548232" w14:textId="77CF7D8D"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145.833</w:t>
            </w:r>
          </w:p>
        </w:tc>
        <w:tc>
          <w:tcPr>
            <w:tcW w:w="369" w:type="pct"/>
            <w:tcBorders>
              <w:top w:val="nil"/>
              <w:left w:val="nil"/>
              <w:bottom w:val="nil"/>
              <w:right w:val="nil"/>
            </w:tcBorders>
            <w:shd w:val="clear" w:color="auto" w:fill="auto"/>
            <w:noWrap/>
            <w:tcMar>
              <w:top w:w="15" w:type="dxa"/>
              <w:left w:w="15" w:type="dxa"/>
              <w:bottom w:w="0" w:type="dxa"/>
              <w:right w:w="15" w:type="dxa"/>
            </w:tcMar>
            <w:vAlign w:val="center"/>
          </w:tcPr>
          <w:p w14:paraId="5513AA47" w14:textId="524A334C"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23.271</w:t>
            </w:r>
          </w:p>
        </w:tc>
        <w:tc>
          <w:tcPr>
            <w:tcW w:w="339" w:type="pct"/>
            <w:tcBorders>
              <w:top w:val="nil"/>
              <w:left w:val="nil"/>
              <w:bottom w:val="nil"/>
              <w:right w:val="nil"/>
            </w:tcBorders>
            <w:shd w:val="clear" w:color="auto" w:fill="auto"/>
            <w:noWrap/>
            <w:tcMar>
              <w:top w:w="0" w:type="dxa"/>
              <w:left w:w="15" w:type="dxa"/>
              <w:bottom w:w="0" w:type="dxa"/>
              <w:right w:w="15" w:type="dxa"/>
            </w:tcMar>
            <w:vAlign w:val="center"/>
          </w:tcPr>
          <w:p w14:paraId="6E785822" w14:textId="039ED53D"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48</w:t>
            </w:r>
          </w:p>
        </w:tc>
        <w:tc>
          <w:tcPr>
            <w:tcW w:w="340" w:type="pct"/>
            <w:tcBorders>
              <w:top w:val="nil"/>
              <w:left w:val="nil"/>
              <w:bottom w:val="nil"/>
              <w:right w:val="nil"/>
            </w:tcBorders>
            <w:shd w:val="clear" w:color="auto" w:fill="auto"/>
            <w:noWrap/>
            <w:tcMar>
              <w:top w:w="15" w:type="dxa"/>
              <w:left w:w="15" w:type="dxa"/>
              <w:bottom w:w="0" w:type="dxa"/>
              <w:right w:w="15" w:type="dxa"/>
            </w:tcMar>
            <w:vAlign w:val="center"/>
          </w:tcPr>
          <w:p w14:paraId="19D9F13D" w14:textId="7F67247A"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(709)</w:t>
            </w:r>
          </w:p>
        </w:tc>
        <w:tc>
          <w:tcPr>
            <w:tcW w:w="391" w:type="pct"/>
            <w:tcBorders>
              <w:top w:val="nil"/>
              <w:left w:val="nil"/>
              <w:bottom w:val="nil"/>
              <w:right w:val="nil"/>
            </w:tcBorders>
            <w:shd w:val="clear" w:color="auto" w:fill="auto"/>
            <w:noWrap/>
            <w:tcMar>
              <w:top w:w="15" w:type="dxa"/>
              <w:left w:w="15" w:type="dxa"/>
              <w:bottom w:w="0" w:type="dxa"/>
              <w:right w:w="15" w:type="dxa"/>
            </w:tcMar>
            <w:vAlign w:val="center"/>
          </w:tcPr>
          <w:p w14:paraId="59085F64" w14:textId="32EF59AD" w:rsidR="00A47C19" w:rsidRPr="00E20D21" w:rsidRDefault="000945BC"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168.443</w:t>
            </w:r>
          </w:p>
        </w:tc>
        <w:tc>
          <w:tcPr>
            <w:tcW w:w="521" w:type="pct"/>
            <w:tcBorders>
              <w:top w:val="nil"/>
              <w:left w:val="nil"/>
              <w:bottom w:val="nil"/>
              <w:right w:val="nil"/>
            </w:tcBorders>
            <w:shd w:val="clear" w:color="auto" w:fill="auto"/>
            <w:noWrap/>
            <w:tcMar>
              <w:top w:w="15" w:type="dxa"/>
              <w:left w:w="15" w:type="dxa"/>
              <w:bottom w:w="0" w:type="dxa"/>
              <w:right w:w="15" w:type="dxa"/>
            </w:tcMar>
            <w:vAlign w:val="center"/>
          </w:tcPr>
          <w:p w14:paraId="31405BF1" w14:textId="0E9D0A9C" w:rsidR="00A47C19" w:rsidRPr="00E20D21" w:rsidRDefault="001334E8"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22.898</w:t>
            </w:r>
          </w:p>
        </w:tc>
      </w:tr>
      <w:tr w:rsidR="00A47C19" w:rsidRPr="00E20D21" w14:paraId="7DF4E4AA" w14:textId="77777777" w:rsidTr="00B06DD8">
        <w:trPr>
          <w:trHeight w:val="283"/>
        </w:trPr>
        <w:tc>
          <w:tcPr>
            <w:tcW w:w="720"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51719C97" w14:textId="77777777" w:rsidR="00A47C19" w:rsidRPr="00E20D21" w:rsidRDefault="00A47C19" w:rsidP="00A47C19">
            <w:pPr>
              <w:rPr>
                <w:rFonts w:ascii="CAIXA Std Book" w:hAnsi="CAIXA Std Book" w:cs="Calibri"/>
                <w:color w:val="005CA9"/>
                <w:sz w:val="16"/>
                <w:szCs w:val="16"/>
              </w:rPr>
            </w:pPr>
            <w:r w:rsidRPr="00E20D21">
              <w:rPr>
                <w:rFonts w:ascii="CAIXA Std Book" w:hAnsi="CAIXA Std Book" w:cs="Calibri"/>
                <w:color w:val="005CA9"/>
                <w:sz w:val="16"/>
                <w:szCs w:val="16"/>
              </w:rPr>
              <w:t xml:space="preserve">Outros investimentos (3) </w:t>
            </w:r>
          </w:p>
        </w:tc>
        <w:tc>
          <w:tcPr>
            <w:tcW w:w="232"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0E9128F2" w14:textId="77777777" w:rsidR="00A47C19" w:rsidRPr="00E20D21" w:rsidRDefault="00A47C19" w:rsidP="00A47C19">
            <w:pPr>
              <w:jc w:val="center"/>
              <w:rPr>
                <w:rFonts w:ascii="CAIXA Std Book" w:hAnsi="CAIXA Std Book" w:cs="Calibri"/>
                <w:color w:val="005CA9"/>
                <w:sz w:val="16"/>
                <w:szCs w:val="16"/>
              </w:rPr>
            </w:pPr>
          </w:p>
        </w:tc>
        <w:tc>
          <w:tcPr>
            <w:tcW w:w="330"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71DC8874" w14:textId="77777777" w:rsidR="00A47C19" w:rsidRPr="00E20D21" w:rsidRDefault="00A47C19" w:rsidP="00A47C19">
            <w:pPr>
              <w:jc w:val="center"/>
              <w:rPr>
                <w:rFonts w:ascii="CAIXA Std Book" w:hAnsi="CAIXA Std Book" w:cs="Calibri"/>
                <w:color w:val="005CA9"/>
                <w:sz w:val="16"/>
                <w:szCs w:val="16"/>
              </w:rPr>
            </w:pPr>
          </w:p>
        </w:tc>
        <w:tc>
          <w:tcPr>
            <w:tcW w:w="268"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346BC15A"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Calibri"/>
                <w:color w:val="005CA9"/>
                <w:sz w:val="16"/>
                <w:szCs w:val="16"/>
              </w:rPr>
              <w:t>-</w:t>
            </w:r>
          </w:p>
        </w:tc>
        <w:tc>
          <w:tcPr>
            <w:tcW w:w="339"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24E5733D"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Calibri"/>
                <w:color w:val="005CA9"/>
                <w:sz w:val="16"/>
                <w:szCs w:val="16"/>
              </w:rPr>
              <w:t>-</w:t>
            </w:r>
          </w:p>
        </w:tc>
        <w:tc>
          <w:tcPr>
            <w:tcW w:w="391"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1182A0F6"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Calibri"/>
                <w:color w:val="005CA9"/>
                <w:sz w:val="16"/>
                <w:szCs w:val="16"/>
              </w:rPr>
              <w:t>-</w:t>
            </w:r>
          </w:p>
        </w:tc>
        <w:tc>
          <w:tcPr>
            <w:tcW w:w="369"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5B65C0E0" w14:textId="77777777" w:rsidR="00A47C19" w:rsidRPr="00E20D21" w:rsidRDefault="00A47C19" w:rsidP="00A47C19">
            <w:pPr>
              <w:jc w:val="center"/>
              <w:rPr>
                <w:rFonts w:ascii="CAIXA Std Book" w:hAnsi="CAIXA Std Book" w:cs="Calibri"/>
                <w:color w:val="005CA9"/>
                <w:sz w:val="16"/>
                <w:szCs w:val="16"/>
              </w:rPr>
            </w:pPr>
            <w:r w:rsidRPr="00E20D21">
              <w:rPr>
                <w:rFonts w:ascii="CAIXA Std Book" w:hAnsi="CAIXA Std Book" w:cs="Calibri"/>
                <w:color w:val="005CA9"/>
                <w:sz w:val="16"/>
                <w:szCs w:val="16"/>
              </w:rPr>
              <w:t>-</w:t>
            </w:r>
          </w:p>
        </w:tc>
        <w:tc>
          <w:tcPr>
            <w:tcW w:w="391"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69A54476" w14:textId="0C2B02E2" w:rsidR="00A47C19" w:rsidRPr="00E20D21" w:rsidRDefault="00A47C19"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1.752</w:t>
            </w:r>
          </w:p>
        </w:tc>
        <w:tc>
          <w:tcPr>
            <w:tcW w:w="369"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04406313" w14:textId="4989013A" w:rsidR="00A47C19" w:rsidRPr="00E20D21" w:rsidRDefault="00A07982" w:rsidP="00A47C19">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c>
          <w:tcPr>
            <w:tcW w:w="339"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35257B36" w14:textId="330BDEDA" w:rsidR="00A47C19" w:rsidRPr="00E20D21" w:rsidRDefault="00A07982" w:rsidP="00A47C19">
            <w:pPr>
              <w:jc w:val="center"/>
              <w:rPr>
                <w:rFonts w:ascii="CAIXA Std Book" w:hAnsi="CAIXA Std Book" w:cs="Calibri"/>
                <w:color w:val="005CA9"/>
                <w:sz w:val="16"/>
                <w:szCs w:val="16"/>
              </w:rPr>
            </w:pPr>
            <w:r w:rsidRPr="00E20D21">
              <w:rPr>
                <w:rFonts w:ascii="CAIXA Std Book" w:hAnsi="CAIXA Std Book" w:cs="Calibri"/>
                <w:color w:val="005CA9"/>
                <w:sz w:val="16"/>
                <w:szCs w:val="16"/>
              </w:rPr>
              <w:t>-</w:t>
            </w:r>
          </w:p>
        </w:tc>
        <w:tc>
          <w:tcPr>
            <w:tcW w:w="340"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79F4A001" w14:textId="69711022" w:rsidR="00A47C19" w:rsidRPr="00E20D21" w:rsidRDefault="00A07982" w:rsidP="00A47C19">
            <w:pPr>
              <w:jc w:val="center"/>
              <w:rPr>
                <w:rFonts w:ascii="CAIXA Std Book" w:hAnsi="CAIXA Std Book" w:cs="Calibri"/>
                <w:color w:val="005CA9"/>
                <w:sz w:val="16"/>
                <w:szCs w:val="16"/>
              </w:rPr>
            </w:pPr>
            <w:r w:rsidRPr="00E20D21">
              <w:rPr>
                <w:rFonts w:ascii="CAIXA Std Book" w:hAnsi="CAIXA Std Book" w:cs="Calibri"/>
                <w:color w:val="005CA9"/>
                <w:sz w:val="16"/>
                <w:szCs w:val="16"/>
              </w:rPr>
              <w:t>-</w:t>
            </w:r>
          </w:p>
        </w:tc>
        <w:tc>
          <w:tcPr>
            <w:tcW w:w="391" w:type="pct"/>
            <w:tcBorders>
              <w:top w:val="nil"/>
              <w:left w:val="nil"/>
              <w:bottom w:val="single" w:sz="4" w:space="0" w:color="ED7D31"/>
              <w:right w:val="nil"/>
            </w:tcBorders>
            <w:shd w:val="clear" w:color="auto" w:fill="auto"/>
            <w:tcMar>
              <w:top w:w="15" w:type="dxa"/>
              <w:left w:w="15" w:type="dxa"/>
              <w:bottom w:w="0" w:type="dxa"/>
              <w:right w:w="15" w:type="dxa"/>
            </w:tcMar>
            <w:vAlign w:val="center"/>
          </w:tcPr>
          <w:p w14:paraId="38AB3AF4" w14:textId="2800E13E" w:rsidR="00A47C19" w:rsidRPr="00E20D21" w:rsidRDefault="00A07982" w:rsidP="00A47C19">
            <w:pPr>
              <w:jc w:val="right"/>
              <w:rPr>
                <w:rFonts w:ascii="CAIXA Std Book" w:hAnsi="CAIXA Std Book" w:cs="Calibri"/>
                <w:color w:val="005CA9"/>
                <w:sz w:val="16"/>
                <w:szCs w:val="16"/>
              </w:rPr>
            </w:pPr>
            <w:r w:rsidRPr="00E20D21">
              <w:rPr>
                <w:rFonts w:ascii="CAIXA Std Book" w:hAnsi="CAIXA Std Book" w:cs="Arial"/>
                <w:color w:val="005CA9"/>
                <w:sz w:val="16"/>
                <w:szCs w:val="16"/>
              </w:rPr>
              <w:t>1.752</w:t>
            </w:r>
          </w:p>
        </w:tc>
        <w:tc>
          <w:tcPr>
            <w:tcW w:w="521" w:type="pct"/>
            <w:tcBorders>
              <w:top w:val="nil"/>
              <w:left w:val="nil"/>
              <w:bottom w:val="single" w:sz="4" w:space="0" w:color="ED7D31"/>
              <w:right w:val="nil"/>
            </w:tcBorders>
            <w:shd w:val="clear" w:color="auto" w:fill="auto"/>
            <w:tcMar>
              <w:top w:w="15" w:type="dxa"/>
              <w:left w:w="15" w:type="dxa"/>
              <w:bottom w:w="0" w:type="dxa"/>
              <w:right w:w="15" w:type="dxa"/>
            </w:tcMar>
            <w:vAlign w:val="center"/>
          </w:tcPr>
          <w:p w14:paraId="1C016E65" w14:textId="34304652" w:rsidR="00A47C19" w:rsidRPr="00E20D21" w:rsidRDefault="001334E8" w:rsidP="00534320">
            <w:pPr>
              <w:jc w:val="center"/>
              <w:rPr>
                <w:rFonts w:ascii="CAIXA Std Book" w:hAnsi="CAIXA Std Book" w:cs="Calibri"/>
                <w:color w:val="005CA9"/>
                <w:sz w:val="16"/>
                <w:szCs w:val="16"/>
              </w:rPr>
            </w:pPr>
            <w:r w:rsidRPr="00E20D21">
              <w:rPr>
                <w:rFonts w:ascii="CAIXA Std Book" w:hAnsi="CAIXA Std Book" w:cs="Arial"/>
                <w:color w:val="005CA9"/>
                <w:sz w:val="16"/>
                <w:szCs w:val="16"/>
              </w:rPr>
              <w:t>-</w:t>
            </w:r>
          </w:p>
        </w:tc>
      </w:tr>
      <w:tr w:rsidR="00A47C19" w:rsidRPr="00E20D21" w14:paraId="358C2EFC" w14:textId="77777777" w:rsidTr="00B06DD8">
        <w:trPr>
          <w:trHeight w:val="283"/>
        </w:trPr>
        <w:tc>
          <w:tcPr>
            <w:tcW w:w="720" w:type="pc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6F55501" w14:textId="77777777" w:rsidR="00A47C19" w:rsidRPr="00E20D21" w:rsidRDefault="00A47C19" w:rsidP="00A47C19">
            <w:pPr>
              <w:rPr>
                <w:rFonts w:ascii="CAIXA Std Book" w:hAnsi="CAIXA Std Book" w:cs="Calibri"/>
                <w:b/>
                <w:bCs/>
                <w:color w:val="005CA9"/>
                <w:sz w:val="16"/>
                <w:szCs w:val="16"/>
              </w:rPr>
            </w:pPr>
            <w:r w:rsidRPr="00E20D21">
              <w:rPr>
                <w:rFonts w:ascii="CAIXA Std Book" w:hAnsi="CAIXA Std Book" w:cs="Calibri"/>
                <w:b/>
                <w:bCs/>
                <w:color w:val="005CA9"/>
                <w:sz w:val="16"/>
                <w:szCs w:val="16"/>
              </w:rPr>
              <w:t>Total</w:t>
            </w:r>
          </w:p>
        </w:tc>
        <w:tc>
          <w:tcPr>
            <w:tcW w:w="232"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7CCADBF4" w14:textId="77777777" w:rsidR="00A47C19" w:rsidRPr="00E20D21" w:rsidRDefault="00A47C19" w:rsidP="00A47C19">
            <w:pPr>
              <w:jc w:val="center"/>
              <w:rPr>
                <w:rFonts w:ascii="CAIXA Std Book" w:hAnsi="CAIXA Std Book" w:cs="Calibri"/>
                <w:b/>
                <w:bCs/>
                <w:color w:val="005CA9"/>
                <w:sz w:val="16"/>
                <w:szCs w:val="16"/>
              </w:rPr>
            </w:pPr>
          </w:p>
        </w:tc>
        <w:tc>
          <w:tcPr>
            <w:tcW w:w="330"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D65229E" w14:textId="77777777" w:rsidR="00A47C19" w:rsidRPr="00E20D21" w:rsidRDefault="00A47C19" w:rsidP="00A47C19">
            <w:pPr>
              <w:jc w:val="center"/>
              <w:rPr>
                <w:rFonts w:ascii="CAIXA Std Book" w:hAnsi="CAIXA Std Book" w:cs="Calibri"/>
                <w:b/>
                <w:bCs/>
                <w:color w:val="005CA9"/>
                <w:sz w:val="16"/>
                <w:szCs w:val="16"/>
              </w:rPr>
            </w:pPr>
          </w:p>
        </w:tc>
        <w:tc>
          <w:tcPr>
            <w:tcW w:w="268"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7BEDCE5A" w14:textId="77777777" w:rsidR="00A47C19" w:rsidRPr="00E20D21" w:rsidRDefault="00A47C19" w:rsidP="00A47C19">
            <w:pPr>
              <w:jc w:val="center"/>
              <w:rPr>
                <w:rFonts w:ascii="CAIXA Std Book" w:hAnsi="CAIXA Std Book" w:cs="Calibri"/>
                <w:b/>
                <w:bCs/>
                <w:color w:val="005CA9"/>
                <w:sz w:val="16"/>
                <w:szCs w:val="16"/>
              </w:rPr>
            </w:pPr>
          </w:p>
        </w:tc>
        <w:tc>
          <w:tcPr>
            <w:tcW w:w="339"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6D12536B" w14:textId="77777777" w:rsidR="00A47C19" w:rsidRPr="00E20D21" w:rsidRDefault="00A47C19" w:rsidP="00A47C19">
            <w:pPr>
              <w:jc w:val="center"/>
              <w:rPr>
                <w:rFonts w:ascii="CAIXA Std Book" w:hAnsi="CAIXA Std Book" w:cs="Calibri"/>
                <w:b/>
                <w:bCs/>
                <w:color w:val="005CA9"/>
                <w:sz w:val="16"/>
                <w:szCs w:val="16"/>
              </w:rPr>
            </w:pPr>
          </w:p>
        </w:tc>
        <w:tc>
          <w:tcPr>
            <w:tcW w:w="391"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73173278" w14:textId="77777777" w:rsidR="00A47C19" w:rsidRPr="00E20D21" w:rsidRDefault="00A47C19" w:rsidP="00A47C19">
            <w:pPr>
              <w:jc w:val="center"/>
              <w:rPr>
                <w:rFonts w:ascii="CAIXA Std Book" w:hAnsi="CAIXA Std Book" w:cs="Calibri"/>
                <w:b/>
                <w:bCs/>
                <w:color w:val="005CA9"/>
                <w:sz w:val="16"/>
                <w:szCs w:val="16"/>
              </w:rPr>
            </w:pPr>
          </w:p>
        </w:tc>
        <w:tc>
          <w:tcPr>
            <w:tcW w:w="369"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5BF81682" w14:textId="77777777" w:rsidR="00A47C19" w:rsidRPr="00E20D21" w:rsidRDefault="00A47C19" w:rsidP="00A47C19">
            <w:pPr>
              <w:jc w:val="center"/>
              <w:rPr>
                <w:rFonts w:ascii="CAIXA Std Book" w:hAnsi="CAIXA Std Book" w:cs="Calibri"/>
                <w:b/>
                <w:bCs/>
                <w:color w:val="005CA9"/>
                <w:sz w:val="16"/>
                <w:szCs w:val="16"/>
              </w:rPr>
            </w:pPr>
          </w:p>
        </w:tc>
        <w:tc>
          <w:tcPr>
            <w:tcW w:w="391"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hideMark/>
          </w:tcPr>
          <w:p w14:paraId="57846F3D" w14:textId="2FAD0BA1" w:rsidR="00A47C19" w:rsidRPr="00E20D21" w:rsidRDefault="00A47C19" w:rsidP="00A47C19">
            <w:pPr>
              <w:jc w:val="right"/>
              <w:rPr>
                <w:rFonts w:ascii="CAIXA Std Book" w:hAnsi="CAIXA Std Book" w:cs="Calibri"/>
                <w:b/>
                <w:bCs/>
                <w:color w:val="005CA9"/>
                <w:sz w:val="16"/>
                <w:szCs w:val="16"/>
              </w:rPr>
            </w:pPr>
            <w:r w:rsidRPr="00E20D21">
              <w:rPr>
                <w:rFonts w:ascii="CAIXA Std Book" w:hAnsi="CAIXA Std Book" w:cs="Arial"/>
                <w:b/>
                <w:bCs/>
                <w:color w:val="005CA9"/>
                <w:sz w:val="16"/>
                <w:szCs w:val="16"/>
              </w:rPr>
              <w:t>13.496.314</w:t>
            </w:r>
          </w:p>
        </w:tc>
        <w:tc>
          <w:tcPr>
            <w:tcW w:w="369"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EAC5439" w14:textId="44CDD2D4" w:rsidR="00A47C19" w:rsidRPr="00E20D21" w:rsidRDefault="00A07982" w:rsidP="00A47C19">
            <w:pPr>
              <w:jc w:val="right"/>
              <w:rPr>
                <w:rFonts w:ascii="CAIXA Std Book" w:hAnsi="CAIXA Std Book" w:cs="Calibri"/>
                <w:b/>
                <w:bCs/>
                <w:color w:val="005CA9"/>
                <w:sz w:val="16"/>
                <w:szCs w:val="16"/>
              </w:rPr>
            </w:pPr>
            <w:r w:rsidRPr="00E20D21">
              <w:rPr>
                <w:rFonts w:ascii="CAIXA Std Book" w:hAnsi="CAIXA Std Book" w:cs="Arial"/>
                <w:b/>
                <w:bCs/>
                <w:color w:val="005CA9"/>
                <w:sz w:val="16"/>
                <w:szCs w:val="16"/>
              </w:rPr>
              <w:t>1.218.435</w:t>
            </w:r>
          </w:p>
        </w:tc>
        <w:tc>
          <w:tcPr>
            <w:tcW w:w="339"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427D91D" w14:textId="271DD78C" w:rsidR="00A47C19" w:rsidRPr="00E20D21" w:rsidRDefault="00A07982" w:rsidP="00A47C19">
            <w:pPr>
              <w:jc w:val="right"/>
              <w:rPr>
                <w:rFonts w:ascii="CAIXA Std Book" w:hAnsi="CAIXA Std Book" w:cs="Calibri"/>
                <w:b/>
                <w:bCs/>
                <w:color w:val="005CA9"/>
                <w:sz w:val="16"/>
                <w:szCs w:val="16"/>
              </w:rPr>
            </w:pPr>
            <w:r w:rsidRPr="00E20D21">
              <w:rPr>
                <w:rFonts w:ascii="CAIXA Std Book" w:hAnsi="CAIXA Std Book" w:cs="Arial"/>
                <w:b/>
                <w:bCs/>
                <w:color w:val="005CA9"/>
                <w:sz w:val="16"/>
                <w:szCs w:val="16"/>
              </w:rPr>
              <w:t>(1.258.454)</w:t>
            </w:r>
          </w:p>
        </w:tc>
        <w:tc>
          <w:tcPr>
            <w:tcW w:w="340"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7C0EF2D" w14:textId="3EE2E91B" w:rsidR="00A47C19" w:rsidRPr="00E20D21" w:rsidRDefault="00A07982" w:rsidP="00A47C19">
            <w:pPr>
              <w:jc w:val="right"/>
              <w:rPr>
                <w:rFonts w:ascii="CAIXA Std Book" w:hAnsi="CAIXA Std Book" w:cs="Calibri"/>
                <w:b/>
                <w:bCs/>
                <w:color w:val="005CA9"/>
                <w:sz w:val="16"/>
                <w:szCs w:val="16"/>
              </w:rPr>
            </w:pPr>
            <w:r w:rsidRPr="00E20D21">
              <w:rPr>
                <w:rFonts w:ascii="CAIXA Std Book" w:hAnsi="CAIXA Std Book" w:cs="Arial"/>
                <w:b/>
                <w:bCs/>
                <w:color w:val="005CA9"/>
                <w:sz w:val="16"/>
                <w:szCs w:val="16"/>
              </w:rPr>
              <w:t>(9.940)</w:t>
            </w:r>
          </w:p>
        </w:tc>
        <w:tc>
          <w:tcPr>
            <w:tcW w:w="391" w:type="pc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tcPr>
          <w:p w14:paraId="0FA44953" w14:textId="22158315" w:rsidR="00A47C19" w:rsidRPr="00E20D21" w:rsidRDefault="00A07982" w:rsidP="00A47C19">
            <w:pPr>
              <w:jc w:val="right"/>
              <w:rPr>
                <w:rFonts w:ascii="CAIXA Std Book" w:hAnsi="CAIXA Std Book" w:cs="Calibri"/>
                <w:b/>
                <w:bCs/>
                <w:color w:val="005CA9"/>
                <w:sz w:val="16"/>
                <w:szCs w:val="16"/>
              </w:rPr>
            </w:pPr>
            <w:r w:rsidRPr="00E20D21">
              <w:rPr>
                <w:rFonts w:ascii="CAIXA Std Book" w:hAnsi="CAIXA Std Book" w:cs="Arial"/>
                <w:b/>
                <w:bCs/>
                <w:color w:val="005CA9"/>
                <w:sz w:val="16"/>
                <w:szCs w:val="16"/>
              </w:rPr>
              <w:t>13.446.355</w:t>
            </w:r>
          </w:p>
        </w:tc>
        <w:tc>
          <w:tcPr>
            <w:tcW w:w="521" w:type="pc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tcPr>
          <w:p w14:paraId="2C9D9C91" w14:textId="02C644ED" w:rsidR="00A47C19" w:rsidRPr="00E20D21" w:rsidRDefault="001334E8" w:rsidP="00A47C19">
            <w:pPr>
              <w:jc w:val="right"/>
              <w:rPr>
                <w:rFonts w:ascii="CAIXA Std Book" w:hAnsi="CAIXA Std Book" w:cs="Calibri"/>
                <w:b/>
                <w:bCs/>
                <w:color w:val="005CA9"/>
                <w:sz w:val="16"/>
                <w:szCs w:val="16"/>
              </w:rPr>
            </w:pPr>
            <w:r w:rsidRPr="00E20D21">
              <w:rPr>
                <w:rFonts w:ascii="CAIXA Std Book" w:hAnsi="CAIXA Std Book" w:cs="Arial"/>
                <w:b/>
                <w:bCs/>
                <w:color w:val="005CA9"/>
                <w:sz w:val="16"/>
                <w:szCs w:val="16"/>
              </w:rPr>
              <w:t>1.319.420</w:t>
            </w:r>
          </w:p>
        </w:tc>
      </w:tr>
    </w:tbl>
    <w:p w14:paraId="23968198" w14:textId="2CB37538" w:rsidR="00700A83" w:rsidRPr="00E20D21" w:rsidRDefault="00AF3FE9" w:rsidP="00F36354">
      <w:pPr>
        <w:jc w:val="both"/>
        <w:rPr>
          <w:rFonts w:ascii="CAIXA Std Book" w:hAnsi="CAIXA Std Book"/>
          <w:color w:val="005CA9"/>
          <w:sz w:val="14"/>
          <w:szCs w:val="14"/>
        </w:rPr>
      </w:pPr>
      <w:r w:rsidRPr="00E20D21">
        <w:rPr>
          <w:rFonts w:ascii="CAIXA Std Book" w:hAnsi="CAIXA Std Book"/>
          <w:color w:val="005CA9"/>
          <w:sz w:val="14"/>
          <w:szCs w:val="14"/>
        </w:rPr>
        <w:t>(1)</w:t>
      </w:r>
      <w:r w:rsidR="00B2418F" w:rsidRPr="00E20D21">
        <w:rPr>
          <w:rFonts w:ascii="CAIXA Std Book" w:hAnsi="CAIXA Std Book"/>
          <w:color w:val="005CA9"/>
          <w:sz w:val="14"/>
          <w:szCs w:val="14"/>
        </w:rPr>
        <w:t xml:space="preserve"> </w:t>
      </w:r>
      <w:r w:rsidR="00700A83" w:rsidRPr="00E20D21">
        <w:rPr>
          <w:rFonts w:ascii="CAIXA Std Book" w:hAnsi="CAIXA Std Book"/>
          <w:color w:val="005CA9"/>
          <w:sz w:val="14"/>
          <w:szCs w:val="14"/>
        </w:rPr>
        <w:t xml:space="preserve">O </w:t>
      </w:r>
      <w:r w:rsidR="005E446E" w:rsidRPr="00E20D21">
        <w:rPr>
          <w:rFonts w:ascii="CAIXA Std Book" w:hAnsi="CAIXA Std Book"/>
          <w:color w:val="005CA9"/>
          <w:sz w:val="14"/>
          <w:szCs w:val="14"/>
        </w:rPr>
        <w:t>percentual</w:t>
      </w:r>
      <w:r w:rsidR="00700A83" w:rsidRPr="00E20D21">
        <w:rPr>
          <w:rFonts w:ascii="CAIXA Std Book" w:hAnsi="CAIXA Std Book"/>
          <w:color w:val="005CA9"/>
          <w:sz w:val="14"/>
          <w:szCs w:val="14"/>
        </w:rPr>
        <w:t xml:space="preserve"> de participação na Holding XS1, CNP Brasil, XS3 Seguros, XS4 Capitalização, XS5 Consórcios, XS6 </w:t>
      </w:r>
      <w:r w:rsidR="2978FB64" w:rsidRPr="00E20D21">
        <w:rPr>
          <w:rFonts w:ascii="CAIXA Std Book" w:hAnsi="CAIXA Std Book"/>
          <w:color w:val="005CA9"/>
          <w:sz w:val="14"/>
          <w:szCs w:val="14"/>
        </w:rPr>
        <w:t>Assistência</w:t>
      </w:r>
      <w:r w:rsidR="00700A83" w:rsidRPr="00E20D21">
        <w:rPr>
          <w:rFonts w:ascii="CAIXA Std Book" w:hAnsi="CAIXA Std Book"/>
          <w:color w:val="005CA9"/>
          <w:sz w:val="14"/>
          <w:szCs w:val="14"/>
        </w:rPr>
        <w:t>, Too Seguros e Pan Corretora são demonstrados pela ótica da Controlada Caixa Seguridade.</w:t>
      </w:r>
    </w:p>
    <w:p w14:paraId="02F587E5" w14:textId="1DA357B1" w:rsidR="00AF3FE9" w:rsidRPr="00E20D21" w:rsidRDefault="00700A83" w:rsidP="00F36354">
      <w:pPr>
        <w:jc w:val="both"/>
        <w:rPr>
          <w:rFonts w:ascii="CAIXA Std Book" w:hAnsi="CAIXA Std Book"/>
          <w:color w:val="005CA9"/>
          <w:sz w:val="14"/>
          <w:szCs w:val="14"/>
        </w:rPr>
      </w:pPr>
      <w:r w:rsidRPr="00E20D21">
        <w:rPr>
          <w:rFonts w:ascii="CAIXA Std Book" w:hAnsi="CAIXA Std Book"/>
          <w:color w:val="005CA9"/>
          <w:sz w:val="14"/>
          <w:szCs w:val="14"/>
        </w:rPr>
        <w:t xml:space="preserve">(2) </w:t>
      </w:r>
      <w:r w:rsidR="003C633B" w:rsidRPr="00E20D21">
        <w:rPr>
          <w:rFonts w:ascii="CAIXA Std Book" w:hAnsi="CAIXA Std Book"/>
          <w:color w:val="005CA9"/>
          <w:sz w:val="14"/>
          <w:szCs w:val="14"/>
        </w:rPr>
        <w:t xml:space="preserve">Inclui uma perda por redução ao valor recuperável em </w:t>
      </w:r>
      <w:r w:rsidR="0063566A" w:rsidRPr="00E20D21">
        <w:rPr>
          <w:rFonts w:ascii="CAIXA Std Book" w:hAnsi="CAIXA Std Book"/>
          <w:color w:val="005CA9"/>
          <w:sz w:val="14"/>
          <w:szCs w:val="14"/>
        </w:rPr>
        <w:t>30/06/2024</w:t>
      </w:r>
      <w:r w:rsidR="003C633B" w:rsidRPr="00E20D21">
        <w:rPr>
          <w:rFonts w:ascii="CAIXA Std Book" w:hAnsi="CAIXA Std Book"/>
          <w:color w:val="005CA9"/>
          <w:sz w:val="14"/>
          <w:szCs w:val="14"/>
        </w:rPr>
        <w:t xml:space="preserve"> no valor de (R$ </w:t>
      </w:r>
      <w:r w:rsidR="00024595" w:rsidRPr="00E20D21">
        <w:rPr>
          <w:rFonts w:ascii="CAIXA Std Book" w:hAnsi="CAIXA Std Book"/>
          <w:color w:val="005CA9"/>
          <w:sz w:val="14"/>
          <w:szCs w:val="14"/>
        </w:rPr>
        <w:t>33</w:t>
      </w:r>
      <w:r w:rsidR="003C633B" w:rsidRPr="00E20D21">
        <w:rPr>
          <w:rFonts w:ascii="CAIXA Std Book" w:hAnsi="CAIXA Std Book"/>
          <w:color w:val="005CA9"/>
          <w:sz w:val="14"/>
          <w:szCs w:val="14"/>
        </w:rPr>
        <w:t>) (31/12/202</w:t>
      </w:r>
      <w:r w:rsidR="0065748B" w:rsidRPr="00E20D21">
        <w:rPr>
          <w:rFonts w:ascii="CAIXA Std Book" w:hAnsi="CAIXA Std Book"/>
          <w:color w:val="005CA9"/>
          <w:sz w:val="14"/>
          <w:szCs w:val="14"/>
        </w:rPr>
        <w:t>3</w:t>
      </w:r>
      <w:r w:rsidR="003C633B" w:rsidRPr="00E20D21">
        <w:rPr>
          <w:rFonts w:ascii="CAIXA Std Book" w:hAnsi="CAIXA Std Book"/>
          <w:color w:val="005CA9"/>
          <w:sz w:val="14"/>
          <w:szCs w:val="14"/>
        </w:rPr>
        <w:t xml:space="preserve"> – (R$ 3</w:t>
      </w:r>
      <w:r w:rsidR="00964994" w:rsidRPr="00E20D21">
        <w:rPr>
          <w:rFonts w:ascii="CAIXA Std Book" w:hAnsi="CAIXA Std Book"/>
          <w:color w:val="005CA9"/>
          <w:sz w:val="14"/>
          <w:szCs w:val="14"/>
        </w:rPr>
        <w:t>3</w:t>
      </w:r>
      <w:r w:rsidR="003C633B" w:rsidRPr="00E20D21">
        <w:rPr>
          <w:rFonts w:ascii="CAIXA Std Book" w:hAnsi="CAIXA Std Book"/>
          <w:color w:val="005CA9"/>
          <w:sz w:val="14"/>
          <w:szCs w:val="14"/>
        </w:rPr>
        <w:t>))</w:t>
      </w:r>
      <w:r w:rsidR="00303B74" w:rsidRPr="00E20D21">
        <w:rPr>
          <w:rFonts w:ascii="CAIXA Std Book" w:hAnsi="CAIXA Std Book"/>
          <w:color w:val="005CA9"/>
          <w:sz w:val="14"/>
          <w:szCs w:val="14"/>
        </w:rPr>
        <w:t>.</w:t>
      </w:r>
    </w:p>
    <w:p w14:paraId="7C6CF5A8" w14:textId="54CB2352" w:rsidR="00623D06" w:rsidRPr="00E20D21" w:rsidRDefault="008B5698" w:rsidP="00F36354">
      <w:pPr>
        <w:jc w:val="both"/>
        <w:rPr>
          <w:rFonts w:ascii="CAIXA Std Book" w:hAnsi="CAIXA Std Book"/>
          <w:color w:val="005CA9"/>
          <w:sz w:val="14"/>
          <w:szCs w:val="14"/>
        </w:rPr>
      </w:pPr>
      <w:r w:rsidRPr="00E20D21">
        <w:rPr>
          <w:rFonts w:ascii="CAIXA Std Book" w:hAnsi="CAIXA Std Book"/>
          <w:color w:val="005CA9"/>
          <w:sz w:val="14"/>
          <w:szCs w:val="14"/>
        </w:rPr>
        <w:t>(</w:t>
      </w:r>
      <w:r w:rsidR="00784FC4" w:rsidRPr="00E20D21">
        <w:rPr>
          <w:rFonts w:ascii="CAIXA Std Book" w:hAnsi="CAIXA Std Book"/>
          <w:color w:val="005CA9"/>
          <w:sz w:val="14"/>
          <w:szCs w:val="14"/>
        </w:rPr>
        <w:t>3</w:t>
      </w:r>
      <w:r w:rsidRPr="00E20D21">
        <w:rPr>
          <w:rFonts w:ascii="CAIXA Std Book" w:hAnsi="CAIXA Std Book"/>
          <w:color w:val="005CA9"/>
          <w:sz w:val="14"/>
          <w:szCs w:val="14"/>
        </w:rPr>
        <w:t xml:space="preserve">) </w:t>
      </w:r>
      <w:r w:rsidR="0009622B" w:rsidRPr="00E20D21">
        <w:rPr>
          <w:rFonts w:ascii="CAIXA Std Book" w:hAnsi="CAIXA Std Book"/>
          <w:color w:val="005CA9"/>
          <w:sz w:val="14"/>
          <w:szCs w:val="14"/>
        </w:rPr>
        <w:t xml:space="preserve">Inclui </w:t>
      </w:r>
      <w:r w:rsidR="00A054F8" w:rsidRPr="00E20D21">
        <w:rPr>
          <w:rFonts w:ascii="CAIXA Std Book" w:hAnsi="CAIXA Std Book"/>
          <w:color w:val="005CA9"/>
          <w:sz w:val="14"/>
          <w:szCs w:val="14"/>
        </w:rPr>
        <w:t>os</w:t>
      </w:r>
      <w:r w:rsidR="00F32980" w:rsidRPr="00E20D21">
        <w:rPr>
          <w:rFonts w:ascii="CAIXA Std Book" w:hAnsi="CAIXA Std Book"/>
          <w:color w:val="005CA9"/>
          <w:sz w:val="14"/>
          <w:szCs w:val="14"/>
        </w:rPr>
        <w:t xml:space="preserve"> inve</w:t>
      </w:r>
      <w:r w:rsidR="0009622B" w:rsidRPr="00E20D21">
        <w:rPr>
          <w:rFonts w:ascii="CAIXA Std Book" w:hAnsi="CAIXA Std Book"/>
          <w:color w:val="005CA9"/>
          <w:sz w:val="14"/>
          <w:szCs w:val="14"/>
        </w:rPr>
        <w:t>stimentos pré</w:t>
      </w:r>
      <w:r w:rsidR="006F2947" w:rsidRPr="00E20D21">
        <w:rPr>
          <w:rFonts w:ascii="CAIXA Std Book" w:hAnsi="CAIXA Std Book"/>
          <w:color w:val="005CA9"/>
          <w:sz w:val="14"/>
          <w:szCs w:val="14"/>
        </w:rPr>
        <w:t>-</w:t>
      </w:r>
      <w:r w:rsidR="0009622B" w:rsidRPr="00E20D21">
        <w:rPr>
          <w:rFonts w:ascii="CAIXA Std Book" w:hAnsi="CAIXA Std Book"/>
          <w:color w:val="005CA9"/>
          <w:sz w:val="14"/>
          <w:szCs w:val="14"/>
        </w:rPr>
        <w:t xml:space="preserve">operacionais: </w:t>
      </w:r>
      <w:r w:rsidR="00842F97" w:rsidRPr="00E20D21">
        <w:rPr>
          <w:rFonts w:ascii="CAIXA Std Book" w:hAnsi="CAIXA Std Book"/>
          <w:color w:val="005CA9"/>
          <w:sz w:val="14"/>
          <w:szCs w:val="14"/>
        </w:rPr>
        <w:t>Negócios Digitais</w:t>
      </w:r>
      <w:r w:rsidR="008200BB" w:rsidRPr="00E20D21">
        <w:rPr>
          <w:rFonts w:ascii="CAIXA Std Book" w:hAnsi="CAIXA Std Book"/>
          <w:color w:val="005CA9"/>
          <w:sz w:val="14"/>
          <w:szCs w:val="14"/>
        </w:rPr>
        <w:t>,</w:t>
      </w:r>
      <w:r w:rsidR="0009622B" w:rsidRPr="00E20D21">
        <w:rPr>
          <w:rFonts w:ascii="CAIXA Std Book" w:hAnsi="CAIXA Std Book"/>
          <w:color w:val="005CA9"/>
          <w:sz w:val="14"/>
          <w:szCs w:val="14"/>
        </w:rPr>
        <w:t xml:space="preserve"> </w:t>
      </w:r>
      <w:r w:rsidR="007D0EDC" w:rsidRPr="00E20D21">
        <w:rPr>
          <w:rFonts w:ascii="CAIXA Std Book" w:hAnsi="CAIXA Std Book"/>
          <w:color w:val="005CA9"/>
          <w:sz w:val="14"/>
          <w:szCs w:val="14"/>
        </w:rPr>
        <w:t>Caixa Imóveis</w:t>
      </w:r>
      <w:r w:rsidR="008200BB" w:rsidRPr="00E20D21">
        <w:rPr>
          <w:rFonts w:ascii="CAIXA Std Book" w:hAnsi="CAIXA Std Book"/>
          <w:color w:val="005CA9"/>
          <w:sz w:val="14"/>
          <w:szCs w:val="14"/>
        </w:rPr>
        <w:t>,</w:t>
      </w:r>
      <w:r w:rsidR="0009622B" w:rsidRPr="00E20D21">
        <w:rPr>
          <w:rFonts w:ascii="CAIXA Std Book" w:hAnsi="CAIXA Std Book"/>
          <w:color w:val="005CA9"/>
          <w:sz w:val="14"/>
          <w:szCs w:val="14"/>
        </w:rPr>
        <w:t xml:space="preserve"> C</w:t>
      </w:r>
      <w:r w:rsidR="00140B92" w:rsidRPr="00E20D21">
        <w:rPr>
          <w:rFonts w:ascii="CAIXA Std Book" w:hAnsi="CAIXA Std Book"/>
          <w:color w:val="005CA9"/>
          <w:sz w:val="14"/>
          <w:szCs w:val="14"/>
        </w:rPr>
        <w:t>aixa</w:t>
      </w:r>
      <w:r w:rsidR="0009622B" w:rsidRPr="00E20D21">
        <w:rPr>
          <w:rFonts w:ascii="CAIXA Std Book" w:hAnsi="CAIXA Std Book"/>
          <w:color w:val="005CA9"/>
          <w:sz w:val="14"/>
          <w:szCs w:val="14"/>
        </w:rPr>
        <w:t xml:space="preserve"> Cartões </w:t>
      </w:r>
      <w:proofErr w:type="spellStart"/>
      <w:proofErr w:type="gramStart"/>
      <w:r w:rsidR="0009622B" w:rsidRPr="00E20D21">
        <w:rPr>
          <w:rFonts w:ascii="CAIXA Std Book" w:hAnsi="CAIXA Std Book"/>
          <w:color w:val="005CA9"/>
          <w:sz w:val="14"/>
          <w:szCs w:val="14"/>
        </w:rPr>
        <w:t>Adquirência</w:t>
      </w:r>
      <w:proofErr w:type="spellEnd"/>
      <w:r w:rsidR="0009622B" w:rsidRPr="00E20D21">
        <w:rPr>
          <w:rFonts w:ascii="CAIXA Std Book" w:hAnsi="CAIXA Std Book"/>
          <w:color w:val="005CA9"/>
          <w:sz w:val="14"/>
          <w:szCs w:val="14"/>
        </w:rPr>
        <w:t>,  C</w:t>
      </w:r>
      <w:r w:rsidR="00140B92" w:rsidRPr="00E20D21">
        <w:rPr>
          <w:rFonts w:ascii="CAIXA Std Book" w:hAnsi="CAIXA Std Book"/>
          <w:color w:val="005CA9"/>
          <w:sz w:val="14"/>
          <w:szCs w:val="14"/>
        </w:rPr>
        <w:t>aixa</w:t>
      </w:r>
      <w:proofErr w:type="gramEnd"/>
      <w:r w:rsidR="0009622B" w:rsidRPr="00E20D21">
        <w:rPr>
          <w:rFonts w:ascii="CAIXA Std Book" w:hAnsi="CAIXA Std Book"/>
          <w:color w:val="005CA9"/>
          <w:sz w:val="14"/>
          <w:szCs w:val="14"/>
        </w:rPr>
        <w:t xml:space="preserve"> Cartões PAT, C</w:t>
      </w:r>
      <w:r w:rsidR="00140B92" w:rsidRPr="00E20D21">
        <w:rPr>
          <w:rFonts w:ascii="CAIXA Std Book" w:hAnsi="CAIXA Std Book"/>
          <w:color w:val="005CA9"/>
          <w:sz w:val="14"/>
          <w:szCs w:val="14"/>
        </w:rPr>
        <w:t>aixa</w:t>
      </w:r>
      <w:r w:rsidR="0009622B" w:rsidRPr="00E20D21">
        <w:rPr>
          <w:rFonts w:ascii="CAIXA Std Book" w:hAnsi="CAIXA Std Book"/>
          <w:color w:val="005CA9"/>
          <w:sz w:val="14"/>
          <w:szCs w:val="14"/>
        </w:rPr>
        <w:t xml:space="preserve"> Cartões Fidelidade, C</w:t>
      </w:r>
      <w:r w:rsidR="00140B92" w:rsidRPr="00E20D21">
        <w:rPr>
          <w:rFonts w:ascii="CAIXA Std Book" w:hAnsi="CAIXA Std Book"/>
          <w:color w:val="005CA9"/>
          <w:sz w:val="14"/>
          <w:szCs w:val="14"/>
        </w:rPr>
        <w:t>aixa</w:t>
      </w:r>
      <w:r w:rsidR="0009622B" w:rsidRPr="00E20D21">
        <w:rPr>
          <w:rFonts w:ascii="CAIXA Std Book" w:hAnsi="CAIXA Std Book"/>
          <w:color w:val="005CA9"/>
          <w:sz w:val="14"/>
          <w:szCs w:val="14"/>
        </w:rPr>
        <w:t xml:space="preserve"> Cartões Contas de Pagamento</w:t>
      </w:r>
      <w:r w:rsidR="00F32980" w:rsidRPr="00E20D21">
        <w:rPr>
          <w:rFonts w:ascii="CAIXA Std Book" w:hAnsi="CAIXA Std Book"/>
          <w:color w:val="005CA9"/>
          <w:sz w:val="14"/>
          <w:szCs w:val="14"/>
        </w:rPr>
        <w:t>.</w:t>
      </w:r>
    </w:p>
    <w:bookmarkEnd w:id="40"/>
    <w:p w14:paraId="664A8433" w14:textId="545F5E5A" w:rsidR="00321AAD" w:rsidRPr="00E20D21" w:rsidRDefault="004E4330" w:rsidP="00F36354">
      <w:pPr>
        <w:jc w:val="both"/>
        <w:rPr>
          <w:rFonts w:ascii="CAIXA Std Book" w:eastAsia="Times New Roman" w:hAnsi="CAIXA Std Book" w:cs="Arial"/>
          <w:b/>
          <w:color w:val="005CA9"/>
          <w:sz w:val="20"/>
          <w:szCs w:val="20"/>
        </w:rPr>
      </w:pPr>
      <w:r w:rsidRPr="00E20D21">
        <w:rPr>
          <w:rFonts w:ascii="CAIXA Std Book" w:hAnsi="CAIXA Std Book"/>
          <w:color w:val="005CA9"/>
          <w:sz w:val="14"/>
          <w:szCs w:val="14"/>
        </w:rPr>
        <w:t xml:space="preserve">(4) </w:t>
      </w:r>
      <w:r w:rsidR="00A90401" w:rsidRPr="00E20D21">
        <w:rPr>
          <w:rFonts w:ascii="CAIXA Std Book" w:hAnsi="CAIXA Std Book"/>
          <w:color w:val="005CA9"/>
          <w:sz w:val="14"/>
          <w:szCs w:val="14"/>
        </w:rPr>
        <w:t xml:space="preserve">Dividendos e JCP efetivamente recebidos no período totalizaram R$ </w:t>
      </w:r>
      <w:r w:rsidR="00600516" w:rsidRPr="00E20D21">
        <w:rPr>
          <w:rFonts w:ascii="CAIXA Std Book" w:hAnsi="CAIXA Std Book"/>
          <w:color w:val="005CA9"/>
          <w:sz w:val="14"/>
          <w:szCs w:val="14"/>
        </w:rPr>
        <w:t>1.357.453</w:t>
      </w:r>
      <w:r w:rsidR="00A90401" w:rsidRPr="00E20D21">
        <w:rPr>
          <w:rFonts w:ascii="CAIXA Std Book" w:hAnsi="CAIXA Std Book"/>
          <w:color w:val="005CA9"/>
          <w:sz w:val="14"/>
          <w:szCs w:val="14"/>
        </w:rPr>
        <w:t xml:space="preserve">, sendo R$ </w:t>
      </w:r>
      <w:r w:rsidR="00600516" w:rsidRPr="00E20D21">
        <w:rPr>
          <w:rFonts w:ascii="CAIXA Std Book" w:hAnsi="CAIXA Std Book"/>
          <w:color w:val="005CA9"/>
          <w:sz w:val="14"/>
          <w:szCs w:val="14"/>
        </w:rPr>
        <w:t>551.084</w:t>
      </w:r>
      <w:r w:rsidR="00A90401" w:rsidRPr="00E20D21">
        <w:rPr>
          <w:rFonts w:ascii="CAIXA Std Book" w:hAnsi="CAIXA Std Book"/>
          <w:color w:val="005CA9"/>
          <w:sz w:val="14"/>
          <w:szCs w:val="14"/>
        </w:rPr>
        <w:t xml:space="preserve"> da </w:t>
      </w:r>
      <w:r w:rsidR="00920473" w:rsidRPr="00E20D21">
        <w:rPr>
          <w:rFonts w:ascii="CAIXA Std Book" w:hAnsi="CAIXA Std Book"/>
          <w:color w:val="005CA9"/>
          <w:sz w:val="14"/>
          <w:szCs w:val="14"/>
        </w:rPr>
        <w:t>Holding XS1</w:t>
      </w:r>
      <w:r w:rsidR="00A90401" w:rsidRPr="00E20D21">
        <w:rPr>
          <w:rFonts w:ascii="CAIXA Std Book" w:hAnsi="CAIXA Std Book"/>
          <w:color w:val="005CA9"/>
          <w:sz w:val="14"/>
          <w:szCs w:val="14"/>
        </w:rPr>
        <w:t xml:space="preserve">; R$ </w:t>
      </w:r>
      <w:r w:rsidR="005652D7" w:rsidRPr="00E20D21">
        <w:rPr>
          <w:rFonts w:ascii="CAIXA Std Book" w:hAnsi="CAIXA Std Book"/>
          <w:color w:val="005CA9"/>
          <w:sz w:val="14"/>
          <w:szCs w:val="14"/>
        </w:rPr>
        <w:t>337.490</w:t>
      </w:r>
      <w:r w:rsidR="002635DC" w:rsidRPr="00E20D21">
        <w:rPr>
          <w:rFonts w:ascii="CAIXA Std Book" w:hAnsi="CAIXA Std Book"/>
          <w:color w:val="005CA9"/>
          <w:sz w:val="14"/>
          <w:szCs w:val="14"/>
        </w:rPr>
        <w:t xml:space="preserve"> da CNP </w:t>
      </w:r>
      <w:proofErr w:type="gramStart"/>
      <w:r w:rsidR="002635DC" w:rsidRPr="00E20D21">
        <w:rPr>
          <w:rFonts w:ascii="CAIXA Std Book" w:hAnsi="CAIXA Std Book"/>
          <w:color w:val="005CA9"/>
          <w:sz w:val="14"/>
          <w:szCs w:val="14"/>
        </w:rPr>
        <w:t xml:space="preserve">Brasil;  </w:t>
      </w:r>
      <w:r w:rsidR="00A90401" w:rsidRPr="00E20D21">
        <w:rPr>
          <w:rFonts w:ascii="CAIXA Std Book" w:hAnsi="CAIXA Std Book"/>
          <w:color w:val="005CA9"/>
          <w:sz w:val="14"/>
          <w:szCs w:val="14"/>
        </w:rPr>
        <w:t>R</w:t>
      </w:r>
      <w:proofErr w:type="gramEnd"/>
      <w:r w:rsidR="00A90401" w:rsidRPr="00E20D21">
        <w:rPr>
          <w:rFonts w:ascii="CAIXA Std Book" w:hAnsi="CAIXA Std Book"/>
          <w:color w:val="005CA9"/>
          <w:sz w:val="14"/>
          <w:szCs w:val="14"/>
        </w:rPr>
        <w:t xml:space="preserve">$ </w:t>
      </w:r>
      <w:r w:rsidR="00051113" w:rsidRPr="00E20D21">
        <w:rPr>
          <w:rFonts w:ascii="CAIXA Std Book" w:hAnsi="CAIXA Std Book"/>
          <w:color w:val="005CA9"/>
          <w:sz w:val="14"/>
          <w:szCs w:val="14"/>
        </w:rPr>
        <w:t>160.</w:t>
      </w:r>
      <w:r w:rsidR="000A517F" w:rsidRPr="00E20D21">
        <w:rPr>
          <w:rFonts w:ascii="CAIXA Std Book" w:hAnsi="CAIXA Std Book"/>
          <w:color w:val="005CA9"/>
          <w:sz w:val="14"/>
          <w:szCs w:val="14"/>
        </w:rPr>
        <w:t>507</w:t>
      </w:r>
      <w:r w:rsidR="00A90401" w:rsidRPr="00E20D21">
        <w:rPr>
          <w:rFonts w:ascii="CAIXA Std Book" w:hAnsi="CAIXA Std Book"/>
          <w:color w:val="005CA9"/>
          <w:sz w:val="14"/>
          <w:szCs w:val="14"/>
        </w:rPr>
        <w:t xml:space="preserve"> da </w:t>
      </w:r>
      <w:r w:rsidR="008F2ABC" w:rsidRPr="00E20D21">
        <w:rPr>
          <w:rFonts w:ascii="CAIXA Std Book" w:hAnsi="CAIXA Std Book"/>
          <w:color w:val="005CA9"/>
          <w:sz w:val="14"/>
          <w:szCs w:val="14"/>
        </w:rPr>
        <w:t>XS3 Seguros</w:t>
      </w:r>
      <w:r w:rsidR="00A90401" w:rsidRPr="00E20D21">
        <w:rPr>
          <w:rFonts w:ascii="CAIXA Std Book" w:hAnsi="CAIXA Std Book"/>
          <w:color w:val="005CA9"/>
          <w:sz w:val="14"/>
          <w:szCs w:val="14"/>
        </w:rPr>
        <w:t xml:space="preserve">; R$ </w:t>
      </w:r>
      <w:r w:rsidR="00885D04" w:rsidRPr="00E20D21">
        <w:rPr>
          <w:rFonts w:ascii="CAIXA Std Book" w:hAnsi="CAIXA Std Book"/>
          <w:color w:val="005CA9"/>
          <w:sz w:val="14"/>
          <w:szCs w:val="14"/>
        </w:rPr>
        <w:t>146.310</w:t>
      </w:r>
      <w:r w:rsidR="00B460A9" w:rsidRPr="00E20D21">
        <w:rPr>
          <w:rFonts w:ascii="CAIXA Std Book" w:hAnsi="CAIXA Std Book"/>
          <w:color w:val="005CA9"/>
          <w:sz w:val="14"/>
          <w:szCs w:val="14"/>
        </w:rPr>
        <w:t xml:space="preserve"> da Elo</w:t>
      </w:r>
      <w:r w:rsidR="00F54477" w:rsidRPr="00E20D21">
        <w:rPr>
          <w:rFonts w:ascii="CAIXA Std Book" w:hAnsi="CAIXA Std Book"/>
          <w:color w:val="005CA9"/>
          <w:sz w:val="14"/>
          <w:szCs w:val="14"/>
        </w:rPr>
        <w:t xml:space="preserve"> Serviços; </w:t>
      </w:r>
      <w:r w:rsidR="00A72EA7" w:rsidRPr="00E20D21">
        <w:rPr>
          <w:rFonts w:ascii="CAIXA Std Book" w:hAnsi="CAIXA Std Book"/>
          <w:color w:val="005CA9"/>
          <w:sz w:val="14"/>
          <w:szCs w:val="14"/>
        </w:rPr>
        <w:t xml:space="preserve">R$ </w:t>
      </w:r>
      <w:r w:rsidR="00457F6D" w:rsidRPr="00E20D21">
        <w:rPr>
          <w:rFonts w:ascii="CAIXA Std Book" w:hAnsi="CAIXA Std Book"/>
          <w:color w:val="005CA9"/>
          <w:sz w:val="14"/>
          <w:szCs w:val="14"/>
        </w:rPr>
        <w:t>61.</w:t>
      </w:r>
      <w:r w:rsidR="002557F3" w:rsidRPr="00E20D21">
        <w:rPr>
          <w:rFonts w:ascii="CAIXA Std Book" w:hAnsi="CAIXA Std Book"/>
          <w:color w:val="005CA9"/>
          <w:sz w:val="14"/>
          <w:szCs w:val="14"/>
        </w:rPr>
        <w:t>837</w:t>
      </w:r>
      <w:r w:rsidR="004A3477" w:rsidRPr="00E20D21">
        <w:rPr>
          <w:rFonts w:ascii="CAIXA Std Book" w:hAnsi="CAIXA Std Book"/>
          <w:color w:val="005CA9"/>
          <w:sz w:val="14"/>
          <w:szCs w:val="14"/>
        </w:rPr>
        <w:t xml:space="preserve"> da XS4 Capitalização; R$ </w:t>
      </w:r>
      <w:r w:rsidR="00323B97" w:rsidRPr="00E20D21">
        <w:rPr>
          <w:rFonts w:ascii="CAIXA Std Book" w:hAnsi="CAIXA Std Book"/>
          <w:color w:val="005CA9"/>
          <w:sz w:val="14"/>
          <w:szCs w:val="14"/>
        </w:rPr>
        <w:t xml:space="preserve">55.456 da XS5 </w:t>
      </w:r>
      <w:r w:rsidR="00806EAA" w:rsidRPr="00E20D21">
        <w:rPr>
          <w:rFonts w:ascii="CAIXA Std Book" w:hAnsi="CAIXA Std Book"/>
          <w:color w:val="005CA9"/>
          <w:sz w:val="14"/>
          <w:szCs w:val="14"/>
        </w:rPr>
        <w:t>Consórcios</w:t>
      </w:r>
      <w:r w:rsidR="00CB36D4" w:rsidRPr="00E20D21">
        <w:rPr>
          <w:rFonts w:ascii="CAIXA Std Book" w:hAnsi="CAIXA Std Book"/>
          <w:color w:val="005CA9"/>
          <w:sz w:val="14"/>
          <w:szCs w:val="14"/>
        </w:rPr>
        <w:t xml:space="preserve">; </w:t>
      </w:r>
      <w:r w:rsidR="004A3477" w:rsidRPr="00E20D21">
        <w:rPr>
          <w:rFonts w:ascii="CAIXA Std Book" w:hAnsi="CAIXA Std Book"/>
          <w:color w:val="005CA9"/>
          <w:sz w:val="14"/>
          <w:szCs w:val="14"/>
        </w:rPr>
        <w:t xml:space="preserve">R$ </w:t>
      </w:r>
      <w:r w:rsidR="00941530" w:rsidRPr="00E20D21">
        <w:rPr>
          <w:rFonts w:ascii="CAIXA Std Book" w:hAnsi="CAIXA Std Book"/>
          <w:color w:val="005CA9"/>
          <w:sz w:val="14"/>
          <w:szCs w:val="14"/>
        </w:rPr>
        <w:t>19.784</w:t>
      </w:r>
      <w:r w:rsidR="00F54477" w:rsidRPr="00E20D21">
        <w:rPr>
          <w:rFonts w:ascii="CAIXA Std Book" w:hAnsi="CAIXA Std Book"/>
          <w:color w:val="005CA9"/>
          <w:sz w:val="14"/>
          <w:szCs w:val="14"/>
        </w:rPr>
        <w:t xml:space="preserve"> da </w:t>
      </w:r>
      <w:r w:rsidR="00391778" w:rsidRPr="00E20D21">
        <w:rPr>
          <w:rFonts w:ascii="CAIXA Std Book" w:hAnsi="CAIXA Std Book"/>
          <w:color w:val="005CA9"/>
          <w:sz w:val="14"/>
          <w:szCs w:val="14"/>
        </w:rPr>
        <w:t xml:space="preserve">Too Seguros; </w:t>
      </w:r>
      <w:r w:rsidR="00B460A9" w:rsidRPr="00E20D21">
        <w:rPr>
          <w:rFonts w:ascii="CAIXA Std Book" w:hAnsi="CAIXA Std Book"/>
          <w:color w:val="005CA9"/>
          <w:sz w:val="14"/>
          <w:szCs w:val="14"/>
        </w:rPr>
        <w:t xml:space="preserve">R$ </w:t>
      </w:r>
      <w:r w:rsidR="004A3477" w:rsidRPr="00E20D21">
        <w:rPr>
          <w:rFonts w:ascii="CAIXA Std Book" w:hAnsi="CAIXA Std Book"/>
          <w:color w:val="005CA9"/>
          <w:sz w:val="14"/>
          <w:szCs w:val="14"/>
        </w:rPr>
        <w:t xml:space="preserve">R$ </w:t>
      </w:r>
      <w:r w:rsidR="00EF51BB" w:rsidRPr="00E20D21">
        <w:rPr>
          <w:rFonts w:ascii="CAIXA Std Book" w:hAnsi="CAIXA Std Book"/>
          <w:color w:val="005CA9"/>
          <w:sz w:val="14"/>
          <w:szCs w:val="14"/>
        </w:rPr>
        <w:t>10.938</w:t>
      </w:r>
      <w:r w:rsidR="00A90401" w:rsidRPr="00E20D21">
        <w:rPr>
          <w:rFonts w:ascii="CAIXA Std Book" w:hAnsi="CAIXA Std Book"/>
          <w:color w:val="005CA9"/>
          <w:sz w:val="14"/>
          <w:szCs w:val="14"/>
        </w:rPr>
        <w:t xml:space="preserve"> da </w:t>
      </w:r>
      <w:proofErr w:type="spellStart"/>
      <w:r w:rsidR="00A90401" w:rsidRPr="00E20D21">
        <w:rPr>
          <w:rFonts w:ascii="CAIXA Std Book" w:hAnsi="CAIXA Std Book"/>
          <w:color w:val="005CA9"/>
          <w:sz w:val="14"/>
          <w:szCs w:val="14"/>
        </w:rPr>
        <w:t>Nuclea</w:t>
      </w:r>
      <w:proofErr w:type="spellEnd"/>
      <w:r w:rsidR="00A90401" w:rsidRPr="00E20D21">
        <w:rPr>
          <w:rFonts w:ascii="CAIXA Std Book" w:hAnsi="CAIXA Std Book"/>
          <w:color w:val="005CA9"/>
          <w:sz w:val="14"/>
          <w:szCs w:val="14"/>
        </w:rPr>
        <w:t xml:space="preserve">; </w:t>
      </w:r>
      <w:r w:rsidR="005E44D2" w:rsidRPr="00E20D21">
        <w:rPr>
          <w:rFonts w:ascii="CAIXA Std Book" w:hAnsi="CAIXA Std Book"/>
          <w:color w:val="005CA9"/>
          <w:sz w:val="14"/>
          <w:szCs w:val="14"/>
        </w:rPr>
        <w:t xml:space="preserve">R$ </w:t>
      </w:r>
      <w:r w:rsidR="00591C63" w:rsidRPr="00E20D21">
        <w:rPr>
          <w:rFonts w:ascii="CAIXA Std Book" w:hAnsi="CAIXA Std Book"/>
          <w:color w:val="005CA9"/>
          <w:sz w:val="14"/>
          <w:szCs w:val="14"/>
        </w:rPr>
        <w:t>7.426</w:t>
      </w:r>
      <w:r w:rsidR="00DE2447" w:rsidRPr="00E20D21">
        <w:rPr>
          <w:rFonts w:ascii="CAIXA Std Book" w:hAnsi="CAIXA Std Book"/>
          <w:color w:val="005CA9"/>
          <w:sz w:val="14"/>
          <w:szCs w:val="14"/>
        </w:rPr>
        <w:t xml:space="preserve"> da Pan Corretora; </w:t>
      </w:r>
      <w:r w:rsidR="003771E3" w:rsidRPr="00E20D21">
        <w:rPr>
          <w:rFonts w:ascii="CAIXA Std Book" w:hAnsi="CAIXA Std Book"/>
          <w:color w:val="005CA9"/>
          <w:sz w:val="14"/>
          <w:szCs w:val="14"/>
        </w:rPr>
        <w:t xml:space="preserve">R$ </w:t>
      </w:r>
      <w:r w:rsidR="00BD5E0D" w:rsidRPr="00E20D21">
        <w:rPr>
          <w:rFonts w:ascii="CAIXA Std Book" w:hAnsi="CAIXA Std Book"/>
          <w:color w:val="005CA9"/>
          <w:sz w:val="14"/>
          <w:szCs w:val="14"/>
        </w:rPr>
        <w:t>6.513</w:t>
      </w:r>
      <w:r w:rsidR="00A90401" w:rsidRPr="00E20D21">
        <w:rPr>
          <w:rFonts w:ascii="CAIXA Std Book" w:hAnsi="CAIXA Std Book"/>
          <w:color w:val="005CA9"/>
          <w:sz w:val="14"/>
          <w:szCs w:val="14"/>
        </w:rPr>
        <w:t xml:space="preserve"> da </w:t>
      </w:r>
      <w:r w:rsidR="007B34A1" w:rsidRPr="00E20D21">
        <w:rPr>
          <w:rFonts w:ascii="CAIXA Std Book" w:hAnsi="CAIXA Std Book"/>
          <w:color w:val="005CA9"/>
          <w:sz w:val="14"/>
          <w:szCs w:val="14"/>
        </w:rPr>
        <w:t>XS</w:t>
      </w:r>
      <w:r w:rsidR="007E233A" w:rsidRPr="00E20D21">
        <w:rPr>
          <w:rFonts w:ascii="CAIXA Std Book" w:hAnsi="CAIXA Std Book"/>
          <w:color w:val="005CA9"/>
          <w:sz w:val="14"/>
          <w:szCs w:val="14"/>
        </w:rPr>
        <w:t xml:space="preserve">6 Assistência; </w:t>
      </w:r>
      <w:r w:rsidR="00A90401" w:rsidRPr="00E20D21">
        <w:rPr>
          <w:rFonts w:ascii="CAIXA Std Book" w:hAnsi="CAIXA Std Book"/>
          <w:color w:val="005CA9"/>
          <w:sz w:val="14"/>
          <w:szCs w:val="14"/>
        </w:rPr>
        <w:t xml:space="preserve">e R$ </w:t>
      </w:r>
      <w:r w:rsidR="00BD5E0D" w:rsidRPr="00E20D21">
        <w:rPr>
          <w:rFonts w:ascii="CAIXA Std Book" w:hAnsi="CAIXA Std Book"/>
          <w:color w:val="005CA9"/>
          <w:sz w:val="14"/>
          <w:szCs w:val="14"/>
        </w:rPr>
        <w:t>108</w:t>
      </w:r>
      <w:r w:rsidR="00A90401" w:rsidRPr="00E20D21">
        <w:rPr>
          <w:rFonts w:ascii="CAIXA Std Book" w:hAnsi="CAIXA Std Book"/>
          <w:color w:val="005CA9"/>
          <w:sz w:val="14"/>
          <w:szCs w:val="14"/>
        </w:rPr>
        <w:t xml:space="preserve"> da Galgo.</w:t>
      </w:r>
      <w:r w:rsidR="008B3AD1" w:rsidRPr="00E20D21">
        <w:rPr>
          <w:rFonts w:ascii="CAIXA Std Book" w:eastAsia="Times New Roman" w:hAnsi="CAIXA Std Book" w:cs="Arial"/>
          <w:b/>
          <w:bCs/>
          <w:color w:val="005CA9"/>
          <w:sz w:val="20"/>
          <w:szCs w:val="20"/>
        </w:rPr>
        <w:br w:type="page"/>
      </w:r>
    </w:p>
    <w:p w14:paraId="0C0681CD" w14:textId="2A68DEA9" w:rsidR="00810A82" w:rsidRPr="00E20D21" w:rsidRDefault="00810A82" w:rsidP="00F31C31">
      <w:pPr>
        <w:pStyle w:val="PargrafodaLista"/>
        <w:numPr>
          <w:ilvl w:val="0"/>
          <w:numId w:val="28"/>
        </w:numPr>
        <w:spacing w:before="480" w:after="240"/>
        <w:ind w:hanging="644"/>
        <w:rPr>
          <w:rFonts w:ascii="CAIXA Std Book" w:eastAsia="Times New Roman" w:hAnsi="CAIXA Std Book" w:cs="Arial"/>
          <w:b/>
          <w:bCs/>
          <w:color w:val="005CA9"/>
          <w:sz w:val="20"/>
          <w:szCs w:val="20"/>
        </w:rPr>
      </w:pPr>
      <w:r w:rsidRPr="00E20D21">
        <w:rPr>
          <w:rFonts w:ascii="CAIXA Std Book" w:eastAsia="Times New Roman" w:hAnsi="CAIXA Std Book" w:cs="Arial"/>
          <w:b/>
          <w:bCs/>
          <w:color w:val="005CA9"/>
          <w:sz w:val="20"/>
          <w:szCs w:val="20"/>
        </w:rPr>
        <w:lastRenderedPageBreak/>
        <w:t>Informações financeiras resumidas das coligadas e joint ventures não ajustadas pelos percentuais de participação detidos pel</w:t>
      </w:r>
      <w:r w:rsidR="001302E1" w:rsidRPr="00E20D21">
        <w:rPr>
          <w:rFonts w:ascii="CAIXA Std Book" w:eastAsia="Times New Roman" w:hAnsi="CAIXA Std Book" w:cs="Arial"/>
          <w:b/>
          <w:bCs/>
          <w:color w:val="005CA9"/>
          <w:sz w:val="20"/>
          <w:szCs w:val="20"/>
        </w:rPr>
        <w:t>a</w:t>
      </w:r>
      <w:r w:rsidRPr="00E20D21">
        <w:rPr>
          <w:rFonts w:ascii="CAIXA Std Book" w:eastAsia="Times New Roman" w:hAnsi="CAIXA Std Book" w:cs="Arial"/>
          <w:b/>
          <w:bCs/>
          <w:color w:val="005CA9"/>
          <w:sz w:val="20"/>
          <w:szCs w:val="20"/>
        </w:rPr>
        <w:t xml:space="preserve"> </w:t>
      </w:r>
      <w:r w:rsidR="001302E1" w:rsidRPr="00E20D21">
        <w:rPr>
          <w:rFonts w:ascii="CAIXA Std Book" w:eastAsia="Times New Roman" w:hAnsi="CAIXA Std Book" w:cs="Arial"/>
          <w:b/>
          <w:bCs/>
          <w:color w:val="005CA9"/>
          <w:sz w:val="20"/>
          <w:szCs w:val="20"/>
        </w:rPr>
        <w:t>CAIXA</w:t>
      </w:r>
      <w:r w:rsidRPr="00E20D21">
        <w:rPr>
          <w:rFonts w:ascii="CAIXA Std Book" w:eastAsia="Times New Roman" w:hAnsi="CAIXA Std Book" w:cs="Arial"/>
          <w:b/>
          <w:bCs/>
          <w:color w:val="005CA9"/>
          <w:sz w:val="20"/>
          <w:szCs w:val="20"/>
        </w:rPr>
        <w:t xml:space="preserve"> no segmento de seguros e capitalização</w:t>
      </w:r>
    </w:p>
    <w:tbl>
      <w:tblPr>
        <w:tblW w:w="5000" w:type="pct"/>
        <w:tblLayout w:type="fixed"/>
        <w:tblCellMar>
          <w:left w:w="70" w:type="dxa"/>
          <w:right w:w="70" w:type="dxa"/>
        </w:tblCellMar>
        <w:tblLook w:val="04A0" w:firstRow="1" w:lastRow="0" w:firstColumn="1" w:lastColumn="0" w:noHBand="0" w:noVBand="1"/>
      </w:tblPr>
      <w:tblGrid>
        <w:gridCol w:w="2962"/>
        <w:gridCol w:w="1452"/>
        <w:gridCol w:w="1451"/>
        <w:gridCol w:w="1451"/>
        <w:gridCol w:w="1451"/>
        <w:gridCol w:w="1451"/>
        <w:gridCol w:w="1451"/>
        <w:gridCol w:w="1451"/>
        <w:gridCol w:w="1451"/>
      </w:tblGrid>
      <w:tr w:rsidR="00A47C19" w:rsidRPr="00E20D21" w14:paraId="16A8AAC0" w14:textId="77777777" w:rsidTr="00711413">
        <w:trPr>
          <w:trHeight w:val="221"/>
        </w:trPr>
        <w:tc>
          <w:tcPr>
            <w:tcW w:w="1016" w:type="pct"/>
            <w:vMerge w:val="restart"/>
            <w:tcBorders>
              <w:top w:val="single" w:sz="4" w:space="0" w:color="F79646"/>
              <w:left w:val="nil"/>
              <w:bottom w:val="single" w:sz="4" w:space="0" w:color="F79646"/>
              <w:right w:val="nil"/>
            </w:tcBorders>
            <w:shd w:val="clear" w:color="auto" w:fill="auto"/>
            <w:vAlign w:val="center"/>
            <w:hideMark/>
          </w:tcPr>
          <w:p w14:paraId="0E8CF0FF" w14:textId="77777777" w:rsidR="00576123" w:rsidRPr="00E20D21" w:rsidRDefault="00576123" w:rsidP="00711413">
            <w:pPr>
              <w:jc w:val="center"/>
              <w:rPr>
                <w:rFonts w:ascii="CAIXA Std Book" w:eastAsia="Times New Roman" w:hAnsi="CAIXA Std Book" w:cs="Arial"/>
                <w:b/>
                <w:bCs/>
                <w:color w:val="005CA9"/>
                <w:sz w:val="16"/>
                <w:szCs w:val="16"/>
              </w:rPr>
            </w:pPr>
            <w:bookmarkStart w:id="41" w:name="_Hlk111130980"/>
            <w:r w:rsidRPr="00E20D21">
              <w:rPr>
                <w:rFonts w:ascii="CAIXA Std Book" w:eastAsia="Times New Roman" w:hAnsi="CAIXA Std Book" w:cs="Arial"/>
                <w:b/>
                <w:bCs/>
                <w:color w:val="005CA9"/>
                <w:sz w:val="16"/>
                <w:szCs w:val="16"/>
              </w:rPr>
              <w:t>Descrição</w:t>
            </w:r>
          </w:p>
        </w:tc>
        <w:tc>
          <w:tcPr>
            <w:tcW w:w="3984" w:type="pct"/>
            <w:gridSpan w:val="8"/>
            <w:tcBorders>
              <w:top w:val="single" w:sz="4" w:space="0" w:color="F79646"/>
              <w:left w:val="nil"/>
              <w:bottom w:val="single" w:sz="4" w:space="0" w:color="F79646"/>
              <w:right w:val="nil"/>
            </w:tcBorders>
            <w:shd w:val="clear" w:color="auto" w:fill="auto"/>
            <w:vAlign w:val="center"/>
            <w:hideMark/>
          </w:tcPr>
          <w:p w14:paraId="5006243A" w14:textId="69EA3879" w:rsidR="00576123" w:rsidRPr="00E20D21" w:rsidRDefault="00A47C19"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30/06/2024</w:t>
            </w:r>
          </w:p>
        </w:tc>
      </w:tr>
      <w:tr w:rsidR="00A47C19" w:rsidRPr="00E20D21" w14:paraId="1A12D55B" w14:textId="77777777" w:rsidTr="00711413">
        <w:trPr>
          <w:trHeight w:val="221"/>
        </w:trPr>
        <w:tc>
          <w:tcPr>
            <w:tcW w:w="1016" w:type="pct"/>
            <w:vMerge/>
            <w:tcBorders>
              <w:top w:val="single" w:sz="4" w:space="0" w:color="F79646"/>
              <w:left w:val="nil"/>
              <w:bottom w:val="single" w:sz="4" w:space="0" w:color="F79646"/>
              <w:right w:val="nil"/>
            </w:tcBorders>
            <w:vAlign w:val="center"/>
            <w:hideMark/>
          </w:tcPr>
          <w:p w14:paraId="5FAB4DE2" w14:textId="77777777" w:rsidR="00576123" w:rsidRPr="00E20D21" w:rsidRDefault="00576123" w:rsidP="00711413">
            <w:pPr>
              <w:jc w:val="right"/>
              <w:rPr>
                <w:rFonts w:ascii="CAIXA Std Book" w:eastAsia="Times New Roman" w:hAnsi="CAIXA Std Book" w:cs="Arial"/>
                <w:b/>
                <w:bCs/>
                <w:color w:val="005CA9"/>
                <w:sz w:val="16"/>
                <w:szCs w:val="16"/>
              </w:rPr>
            </w:pPr>
          </w:p>
        </w:tc>
        <w:tc>
          <w:tcPr>
            <w:tcW w:w="498" w:type="pct"/>
            <w:tcBorders>
              <w:top w:val="nil"/>
              <w:left w:val="nil"/>
              <w:bottom w:val="single" w:sz="4" w:space="0" w:color="F79646"/>
              <w:right w:val="nil"/>
            </w:tcBorders>
            <w:shd w:val="clear" w:color="auto" w:fill="auto"/>
            <w:vAlign w:val="center"/>
            <w:hideMark/>
          </w:tcPr>
          <w:p w14:paraId="49D7B18A"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Holding XS1</w:t>
            </w:r>
          </w:p>
        </w:tc>
        <w:tc>
          <w:tcPr>
            <w:tcW w:w="498" w:type="pct"/>
            <w:tcBorders>
              <w:top w:val="nil"/>
              <w:left w:val="nil"/>
              <w:bottom w:val="single" w:sz="4" w:space="0" w:color="F79646"/>
              <w:right w:val="nil"/>
            </w:tcBorders>
            <w:shd w:val="clear" w:color="auto" w:fill="auto"/>
            <w:vAlign w:val="center"/>
            <w:hideMark/>
          </w:tcPr>
          <w:p w14:paraId="72C2DE2F"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CNP Brasil</w:t>
            </w:r>
          </w:p>
        </w:tc>
        <w:tc>
          <w:tcPr>
            <w:tcW w:w="498" w:type="pct"/>
            <w:tcBorders>
              <w:top w:val="nil"/>
              <w:left w:val="nil"/>
              <w:bottom w:val="single" w:sz="4" w:space="0" w:color="F79646"/>
              <w:right w:val="nil"/>
            </w:tcBorders>
            <w:shd w:val="clear" w:color="auto" w:fill="auto"/>
            <w:vAlign w:val="center"/>
            <w:hideMark/>
          </w:tcPr>
          <w:p w14:paraId="38D2B639"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XS3 Seguros</w:t>
            </w:r>
          </w:p>
        </w:tc>
        <w:tc>
          <w:tcPr>
            <w:tcW w:w="498" w:type="pct"/>
            <w:tcBorders>
              <w:top w:val="nil"/>
              <w:left w:val="nil"/>
              <w:bottom w:val="single" w:sz="4" w:space="0" w:color="F79646"/>
              <w:right w:val="nil"/>
            </w:tcBorders>
            <w:shd w:val="clear" w:color="auto" w:fill="auto"/>
            <w:vAlign w:val="center"/>
            <w:hideMark/>
          </w:tcPr>
          <w:p w14:paraId="06A57A02"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XS4 Capitalização</w:t>
            </w:r>
          </w:p>
        </w:tc>
        <w:tc>
          <w:tcPr>
            <w:tcW w:w="498" w:type="pct"/>
            <w:tcBorders>
              <w:top w:val="nil"/>
              <w:left w:val="nil"/>
              <w:bottom w:val="single" w:sz="4" w:space="0" w:color="F79646"/>
              <w:right w:val="nil"/>
            </w:tcBorders>
            <w:shd w:val="clear" w:color="auto" w:fill="auto"/>
            <w:vAlign w:val="center"/>
            <w:hideMark/>
          </w:tcPr>
          <w:p w14:paraId="15465547"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XS5 Consórcios</w:t>
            </w:r>
          </w:p>
        </w:tc>
        <w:tc>
          <w:tcPr>
            <w:tcW w:w="498" w:type="pct"/>
            <w:tcBorders>
              <w:top w:val="nil"/>
              <w:left w:val="nil"/>
              <w:bottom w:val="single" w:sz="4" w:space="0" w:color="F79646"/>
              <w:right w:val="nil"/>
            </w:tcBorders>
            <w:shd w:val="clear" w:color="auto" w:fill="auto"/>
            <w:vAlign w:val="center"/>
            <w:hideMark/>
          </w:tcPr>
          <w:p w14:paraId="46424143"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XS6 Assistência</w:t>
            </w:r>
          </w:p>
        </w:tc>
        <w:tc>
          <w:tcPr>
            <w:tcW w:w="498" w:type="pct"/>
            <w:tcBorders>
              <w:top w:val="nil"/>
              <w:left w:val="nil"/>
              <w:bottom w:val="single" w:sz="4" w:space="0" w:color="F79646"/>
              <w:right w:val="nil"/>
            </w:tcBorders>
            <w:shd w:val="clear" w:color="auto" w:fill="auto"/>
            <w:vAlign w:val="center"/>
            <w:hideMark/>
          </w:tcPr>
          <w:p w14:paraId="76CE7137"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Too Seguros</w:t>
            </w:r>
          </w:p>
        </w:tc>
        <w:tc>
          <w:tcPr>
            <w:tcW w:w="498" w:type="pct"/>
            <w:tcBorders>
              <w:top w:val="nil"/>
              <w:left w:val="nil"/>
              <w:bottom w:val="single" w:sz="4" w:space="0" w:color="F79646"/>
              <w:right w:val="nil"/>
            </w:tcBorders>
            <w:shd w:val="clear" w:color="auto" w:fill="auto"/>
            <w:vAlign w:val="center"/>
            <w:hideMark/>
          </w:tcPr>
          <w:p w14:paraId="68DA4EED"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PAN Corretora</w:t>
            </w:r>
          </w:p>
        </w:tc>
      </w:tr>
      <w:tr w:rsidR="00A47C19" w:rsidRPr="00E20D21" w14:paraId="0113D8E3" w14:textId="77777777" w:rsidTr="00711413">
        <w:trPr>
          <w:trHeight w:val="221"/>
        </w:trPr>
        <w:tc>
          <w:tcPr>
            <w:tcW w:w="1016" w:type="pct"/>
            <w:tcBorders>
              <w:top w:val="nil"/>
              <w:left w:val="nil"/>
              <w:bottom w:val="nil"/>
              <w:right w:val="nil"/>
            </w:tcBorders>
            <w:shd w:val="clear" w:color="auto" w:fill="auto"/>
            <w:vAlign w:val="center"/>
            <w:hideMark/>
          </w:tcPr>
          <w:p w14:paraId="5F8FD62E" w14:textId="77777777" w:rsidR="00576123" w:rsidRPr="00E20D21" w:rsidRDefault="00576123" w:rsidP="00711413">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Ativo circulante</w:t>
            </w:r>
          </w:p>
        </w:tc>
        <w:tc>
          <w:tcPr>
            <w:tcW w:w="498" w:type="pct"/>
            <w:tcBorders>
              <w:top w:val="nil"/>
              <w:left w:val="nil"/>
              <w:bottom w:val="nil"/>
              <w:right w:val="nil"/>
            </w:tcBorders>
            <w:shd w:val="clear" w:color="auto" w:fill="auto"/>
            <w:noWrap/>
            <w:vAlign w:val="center"/>
          </w:tcPr>
          <w:p w14:paraId="2C187F8C" w14:textId="01625A0E"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166.482.728</w:t>
            </w:r>
          </w:p>
        </w:tc>
        <w:tc>
          <w:tcPr>
            <w:tcW w:w="498" w:type="pct"/>
            <w:tcBorders>
              <w:top w:val="nil"/>
              <w:left w:val="nil"/>
              <w:bottom w:val="nil"/>
              <w:right w:val="nil"/>
            </w:tcBorders>
            <w:shd w:val="clear" w:color="auto" w:fill="auto"/>
            <w:noWrap/>
            <w:vAlign w:val="center"/>
          </w:tcPr>
          <w:p w14:paraId="42E1F9B9" w14:textId="7CCB1115"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4.616.050</w:t>
            </w:r>
          </w:p>
        </w:tc>
        <w:tc>
          <w:tcPr>
            <w:tcW w:w="498" w:type="pct"/>
            <w:tcBorders>
              <w:top w:val="nil"/>
              <w:left w:val="nil"/>
              <w:bottom w:val="nil"/>
              <w:right w:val="nil"/>
            </w:tcBorders>
            <w:shd w:val="clear" w:color="auto" w:fill="auto"/>
            <w:noWrap/>
            <w:vAlign w:val="center"/>
          </w:tcPr>
          <w:p w14:paraId="7235FC34" w14:textId="6B339AD9"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1.612.226</w:t>
            </w:r>
          </w:p>
        </w:tc>
        <w:tc>
          <w:tcPr>
            <w:tcW w:w="498" w:type="pct"/>
            <w:tcBorders>
              <w:top w:val="nil"/>
              <w:left w:val="nil"/>
              <w:bottom w:val="nil"/>
              <w:right w:val="nil"/>
            </w:tcBorders>
            <w:shd w:val="clear" w:color="auto" w:fill="auto"/>
            <w:vAlign w:val="center"/>
          </w:tcPr>
          <w:p w14:paraId="1C195A78" w14:textId="62A5F2D1"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1.382.570</w:t>
            </w:r>
          </w:p>
        </w:tc>
        <w:tc>
          <w:tcPr>
            <w:tcW w:w="498" w:type="pct"/>
            <w:tcBorders>
              <w:top w:val="nil"/>
              <w:left w:val="nil"/>
              <w:bottom w:val="nil"/>
              <w:right w:val="nil"/>
            </w:tcBorders>
            <w:shd w:val="clear" w:color="auto" w:fill="auto"/>
            <w:noWrap/>
            <w:vAlign w:val="center"/>
          </w:tcPr>
          <w:p w14:paraId="13B05F93" w14:textId="1010E06B"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294.629</w:t>
            </w:r>
          </w:p>
        </w:tc>
        <w:tc>
          <w:tcPr>
            <w:tcW w:w="498" w:type="pct"/>
            <w:tcBorders>
              <w:top w:val="nil"/>
              <w:left w:val="nil"/>
              <w:bottom w:val="nil"/>
              <w:right w:val="nil"/>
            </w:tcBorders>
            <w:shd w:val="clear" w:color="auto" w:fill="auto"/>
            <w:noWrap/>
            <w:vAlign w:val="center"/>
          </w:tcPr>
          <w:p w14:paraId="704F43CB" w14:textId="6DDE13CD"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105.620</w:t>
            </w:r>
          </w:p>
        </w:tc>
        <w:tc>
          <w:tcPr>
            <w:tcW w:w="498" w:type="pct"/>
            <w:tcBorders>
              <w:top w:val="nil"/>
              <w:left w:val="nil"/>
              <w:bottom w:val="nil"/>
              <w:right w:val="nil"/>
            </w:tcBorders>
            <w:shd w:val="clear" w:color="auto" w:fill="auto"/>
            <w:noWrap/>
            <w:vAlign w:val="center"/>
          </w:tcPr>
          <w:p w14:paraId="2BE8C832" w14:textId="576133C6"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902.336</w:t>
            </w:r>
          </w:p>
        </w:tc>
        <w:tc>
          <w:tcPr>
            <w:tcW w:w="498" w:type="pct"/>
            <w:tcBorders>
              <w:top w:val="nil"/>
              <w:left w:val="nil"/>
              <w:bottom w:val="nil"/>
              <w:right w:val="nil"/>
            </w:tcBorders>
            <w:shd w:val="clear" w:color="auto" w:fill="auto"/>
            <w:noWrap/>
            <w:vAlign w:val="center"/>
          </w:tcPr>
          <w:p w14:paraId="1C54ECF9" w14:textId="33783D11"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79.464</w:t>
            </w:r>
          </w:p>
        </w:tc>
      </w:tr>
      <w:tr w:rsidR="00A47C19" w:rsidRPr="00E20D21" w14:paraId="187B0B40" w14:textId="77777777" w:rsidTr="00711413">
        <w:trPr>
          <w:trHeight w:val="221"/>
        </w:trPr>
        <w:tc>
          <w:tcPr>
            <w:tcW w:w="1016" w:type="pct"/>
            <w:tcBorders>
              <w:top w:val="nil"/>
              <w:left w:val="nil"/>
              <w:bottom w:val="nil"/>
              <w:right w:val="nil"/>
            </w:tcBorders>
            <w:shd w:val="clear" w:color="auto" w:fill="auto"/>
            <w:vAlign w:val="center"/>
            <w:hideMark/>
          </w:tcPr>
          <w:p w14:paraId="71743A6E" w14:textId="77777777" w:rsidR="00576123" w:rsidRPr="00E20D21" w:rsidRDefault="00576123" w:rsidP="00711413">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Ativo não circulante</w:t>
            </w:r>
          </w:p>
        </w:tc>
        <w:tc>
          <w:tcPr>
            <w:tcW w:w="498" w:type="pct"/>
            <w:tcBorders>
              <w:top w:val="nil"/>
              <w:left w:val="nil"/>
              <w:bottom w:val="nil"/>
              <w:right w:val="nil"/>
            </w:tcBorders>
            <w:shd w:val="clear" w:color="auto" w:fill="auto"/>
            <w:noWrap/>
            <w:vAlign w:val="center"/>
          </w:tcPr>
          <w:p w14:paraId="12F2701F" w14:textId="6B1A9409"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15.711.071</w:t>
            </w:r>
          </w:p>
        </w:tc>
        <w:tc>
          <w:tcPr>
            <w:tcW w:w="498" w:type="pct"/>
            <w:tcBorders>
              <w:top w:val="nil"/>
              <w:left w:val="nil"/>
              <w:bottom w:val="nil"/>
              <w:right w:val="nil"/>
            </w:tcBorders>
            <w:shd w:val="clear" w:color="auto" w:fill="auto"/>
            <w:noWrap/>
            <w:vAlign w:val="center"/>
          </w:tcPr>
          <w:p w14:paraId="79C41253" w14:textId="316E9692"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5.385.586</w:t>
            </w:r>
          </w:p>
        </w:tc>
        <w:tc>
          <w:tcPr>
            <w:tcW w:w="498" w:type="pct"/>
            <w:tcBorders>
              <w:top w:val="nil"/>
              <w:left w:val="nil"/>
              <w:bottom w:val="nil"/>
              <w:right w:val="nil"/>
            </w:tcBorders>
            <w:shd w:val="clear" w:color="auto" w:fill="auto"/>
            <w:noWrap/>
            <w:vAlign w:val="center"/>
          </w:tcPr>
          <w:p w14:paraId="71FFFBC7" w14:textId="7AFFF82B"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1.277.859</w:t>
            </w:r>
          </w:p>
        </w:tc>
        <w:tc>
          <w:tcPr>
            <w:tcW w:w="498" w:type="pct"/>
            <w:tcBorders>
              <w:top w:val="nil"/>
              <w:left w:val="nil"/>
              <w:bottom w:val="nil"/>
              <w:right w:val="nil"/>
            </w:tcBorders>
            <w:shd w:val="clear" w:color="auto" w:fill="auto"/>
            <w:vAlign w:val="center"/>
          </w:tcPr>
          <w:p w14:paraId="046AE46D" w14:textId="687EBC1F"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952.270</w:t>
            </w:r>
          </w:p>
        </w:tc>
        <w:tc>
          <w:tcPr>
            <w:tcW w:w="498" w:type="pct"/>
            <w:tcBorders>
              <w:top w:val="nil"/>
              <w:left w:val="nil"/>
              <w:bottom w:val="nil"/>
              <w:right w:val="nil"/>
            </w:tcBorders>
            <w:shd w:val="clear" w:color="auto" w:fill="auto"/>
            <w:noWrap/>
            <w:vAlign w:val="center"/>
          </w:tcPr>
          <w:p w14:paraId="13C9E911" w14:textId="6DEBE411"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616.212</w:t>
            </w:r>
          </w:p>
        </w:tc>
        <w:tc>
          <w:tcPr>
            <w:tcW w:w="498" w:type="pct"/>
            <w:tcBorders>
              <w:top w:val="nil"/>
              <w:left w:val="nil"/>
              <w:bottom w:val="nil"/>
              <w:right w:val="nil"/>
            </w:tcBorders>
            <w:shd w:val="clear" w:color="auto" w:fill="auto"/>
            <w:noWrap/>
            <w:vAlign w:val="center"/>
          </w:tcPr>
          <w:p w14:paraId="43FEDEE2" w14:textId="4CB7C194"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28.505</w:t>
            </w:r>
          </w:p>
        </w:tc>
        <w:tc>
          <w:tcPr>
            <w:tcW w:w="498" w:type="pct"/>
            <w:tcBorders>
              <w:top w:val="nil"/>
              <w:left w:val="nil"/>
              <w:bottom w:val="nil"/>
              <w:right w:val="nil"/>
            </w:tcBorders>
            <w:shd w:val="clear" w:color="auto" w:fill="auto"/>
            <w:noWrap/>
            <w:vAlign w:val="center"/>
          </w:tcPr>
          <w:p w14:paraId="23B9564D" w14:textId="0F4938DF"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1.558.332</w:t>
            </w:r>
          </w:p>
        </w:tc>
        <w:tc>
          <w:tcPr>
            <w:tcW w:w="498" w:type="pct"/>
            <w:tcBorders>
              <w:top w:val="nil"/>
              <w:left w:val="nil"/>
              <w:bottom w:val="nil"/>
              <w:right w:val="nil"/>
            </w:tcBorders>
            <w:shd w:val="clear" w:color="auto" w:fill="auto"/>
            <w:noWrap/>
            <w:vAlign w:val="center"/>
          </w:tcPr>
          <w:p w14:paraId="1830856B" w14:textId="2A9F45C8"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91</w:t>
            </w:r>
          </w:p>
        </w:tc>
      </w:tr>
      <w:tr w:rsidR="00A47C19" w:rsidRPr="00E20D21" w14:paraId="7701832A" w14:textId="77777777" w:rsidTr="00711413">
        <w:trPr>
          <w:trHeight w:val="221"/>
        </w:trPr>
        <w:tc>
          <w:tcPr>
            <w:tcW w:w="1016" w:type="pct"/>
            <w:tcBorders>
              <w:top w:val="nil"/>
              <w:left w:val="nil"/>
              <w:bottom w:val="nil"/>
              <w:right w:val="nil"/>
            </w:tcBorders>
            <w:shd w:val="clear" w:color="auto" w:fill="auto"/>
            <w:vAlign w:val="center"/>
            <w:hideMark/>
          </w:tcPr>
          <w:p w14:paraId="436B64A0" w14:textId="77777777" w:rsidR="00576123" w:rsidRPr="00E20D21" w:rsidRDefault="00576123" w:rsidP="00711413">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Passivo circulante</w:t>
            </w:r>
          </w:p>
        </w:tc>
        <w:tc>
          <w:tcPr>
            <w:tcW w:w="498" w:type="pct"/>
            <w:tcBorders>
              <w:top w:val="nil"/>
              <w:left w:val="nil"/>
              <w:bottom w:val="nil"/>
              <w:right w:val="nil"/>
            </w:tcBorders>
            <w:shd w:val="clear" w:color="auto" w:fill="auto"/>
            <w:noWrap/>
            <w:vAlign w:val="center"/>
          </w:tcPr>
          <w:p w14:paraId="0A0027D1" w14:textId="5A740C5B"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4.707.913</w:t>
            </w:r>
          </w:p>
        </w:tc>
        <w:tc>
          <w:tcPr>
            <w:tcW w:w="498" w:type="pct"/>
            <w:tcBorders>
              <w:top w:val="nil"/>
              <w:left w:val="nil"/>
              <w:bottom w:val="nil"/>
              <w:right w:val="nil"/>
            </w:tcBorders>
            <w:shd w:val="clear" w:color="auto" w:fill="auto"/>
            <w:noWrap/>
            <w:vAlign w:val="center"/>
          </w:tcPr>
          <w:p w14:paraId="430440A9" w14:textId="076F29E5"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436.255</w:t>
            </w:r>
          </w:p>
        </w:tc>
        <w:tc>
          <w:tcPr>
            <w:tcW w:w="498" w:type="pct"/>
            <w:tcBorders>
              <w:top w:val="nil"/>
              <w:left w:val="nil"/>
              <w:bottom w:val="nil"/>
              <w:right w:val="nil"/>
            </w:tcBorders>
            <w:shd w:val="clear" w:color="auto" w:fill="auto"/>
            <w:noWrap/>
            <w:vAlign w:val="center"/>
          </w:tcPr>
          <w:p w14:paraId="15317507" w14:textId="75702A81"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1.006.154</w:t>
            </w:r>
          </w:p>
        </w:tc>
        <w:tc>
          <w:tcPr>
            <w:tcW w:w="498" w:type="pct"/>
            <w:tcBorders>
              <w:top w:val="nil"/>
              <w:left w:val="nil"/>
              <w:bottom w:val="nil"/>
              <w:right w:val="nil"/>
            </w:tcBorders>
            <w:shd w:val="clear" w:color="auto" w:fill="auto"/>
            <w:vAlign w:val="center"/>
          </w:tcPr>
          <w:p w14:paraId="25635B05" w14:textId="1B402735"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1.983.371</w:t>
            </w:r>
          </w:p>
        </w:tc>
        <w:tc>
          <w:tcPr>
            <w:tcW w:w="498" w:type="pct"/>
            <w:tcBorders>
              <w:top w:val="nil"/>
              <w:left w:val="nil"/>
              <w:bottom w:val="nil"/>
              <w:right w:val="nil"/>
            </w:tcBorders>
            <w:shd w:val="clear" w:color="auto" w:fill="auto"/>
            <w:noWrap/>
            <w:vAlign w:val="center"/>
          </w:tcPr>
          <w:p w14:paraId="6FA7A19C" w14:textId="5CAB904B"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83.537</w:t>
            </w:r>
          </w:p>
        </w:tc>
        <w:tc>
          <w:tcPr>
            <w:tcW w:w="498" w:type="pct"/>
            <w:tcBorders>
              <w:top w:val="nil"/>
              <w:left w:val="nil"/>
              <w:bottom w:val="nil"/>
              <w:right w:val="nil"/>
            </w:tcBorders>
            <w:shd w:val="clear" w:color="auto" w:fill="auto"/>
            <w:noWrap/>
            <w:vAlign w:val="center"/>
          </w:tcPr>
          <w:p w14:paraId="0CEFD2DD" w14:textId="665A9954"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85.272</w:t>
            </w:r>
          </w:p>
        </w:tc>
        <w:tc>
          <w:tcPr>
            <w:tcW w:w="498" w:type="pct"/>
            <w:tcBorders>
              <w:top w:val="nil"/>
              <w:left w:val="nil"/>
              <w:bottom w:val="nil"/>
              <w:right w:val="nil"/>
            </w:tcBorders>
            <w:shd w:val="clear" w:color="auto" w:fill="auto"/>
            <w:noWrap/>
            <w:vAlign w:val="center"/>
          </w:tcPr>
          <w:p w14:paraId="67791F0E" w14:textId="24EC193F"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1.460.777</w:t>
            </w:r>
          </w:p>
        </w:tc>
        <w:tc>
          <w:tcPr>
            <w:tcW w:w="498" w:type="pct"/>
            <w:tcBorders>
              <w:top w:val="nil"/>
              <w:left w:val="nil"/>
              <w:bottom w:val="nil"/>
              <w:right w:val="nil"/>
            </w:tcBorders>
            <w:shd w:val="clear" w:color="auto" w:fill="auto"/>
            <w:vAlign w:val="center"/>
          </w:tcPr>
          <w:p w14:paraId="2CA953D3" w14:textId="2E863421"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5.807</w:t>
            </w:r>
          </w:p>
        </w:tc>
      </w:tr>
      <w:tr w:rsidR="00A47C19" w:rsidRPr="00E20D21" w14:paraId="62172619" w14:textId="77777777" w:rsidTr="00711413">
        <w:trPr>
          <w:trHeight w:val="221"/>
        </w:trPr>
        <w:tc>
          <w:tcPr>
            <w:tcW w:w="1016" w:type="pct"/>
            <w:tcBorders>
              <w:top w:val="nil"/>
              <w:left w:val="nil"/>
              <w:bottom w:val="nil"/>
              <w:right w:val="nil"/>
            </w:tcBorders>
            <w:shd w:val="clear" w:color="auto" w:fill="auto"/>
            <w:vAlign w:val="center"/>
            <w:hideMark/>
          </w:tcPr>
          <w:p w14:paraId="1011E755" w14:textId="77777777" w:rsidR="00576123" w:rsidRPr="00E20D21" w:rsidRDefault="00576123" w:rsidP="00711413">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Passivo não circulante</w:t>
            </w:r>
          </w:p>
        </w:tc>
        <w:tc>
          <w:tcPr>
            <w:tcW w:w="498" w:type="pct"/>
            <w:tcBorders>
              <w:top w:val="nil"/>
              <w:left w:val="nil"/>
              <w:bottom w:val="nil"/>
              <w:right w:val="nil"/>
            </w:tcBorders>
            <w:shd w:val="clear" w:color="auto" w:fill="auto"/>
            <w:noWrap/>
            <w:vAlign w:val="center"/>
          </w:tcPr>
          <w:p w14:paraId="19E47223" w14:textId="7CD8A610"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165.649.518</w:t>
            </w:r>
          </w:p>
        </w:tc>
        <w:tc>
          <w:tcPr>
            <w:tcW w:w="498" w:type="pct"/>
            <w:tcBorders>
              <w:top w:val="nil"/>
              <w:left w:val="nil"/>
              <w:bottom w:val="nil"/>
              <w:right w:val="nil"/>
            </w:tcBorders>
            <w:shd w:val="clear" w:color="auto" w:fill="auto"/>
            <w:noWrap/>
            <w:vAlign w:val="center"/>
          </w:tcPr>
          <w:p w14:paraId="6BFB5C6A" w14:textId="0B5AD03D"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4.495.614</w:t>
            </w:r>
          </w:p>
        </w:tc>
        <w:tc>
          <w:tcPr>
            <w:tcW w:w="498" w:type="pct"/>
            <w:tcBorders>
              <w:top w:val="nil"/>
              <w:left w:val="nil"/>
              <w:bottom w:val="nil"/>
              <w:right w:val="nil"/>
            </w:tcBorders>
            <w:shd w:val="clear" w:color="auto" w:fill="auto"/>
            <w:noWrap/>
            <w:vAlign w:val="center"/>
          </w:tcPr>
          <w:p w14:paraId="25153516" w14:textId="5606C7F2"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409</w:t>
            </w:r>
          </w:p>
        </w:tc>
        <w:tc>
          <w:tcPr>
            <w:tcW w:w="498" w:type="pct"/>
            <w:tcBorders>
              <w:top w:val="nil"/>
              <w:left w:val="nil"/>
              <w:bottom w:val="nil"/>
              <w:right w:val="nil"/>
            </w:tcBorders>
            <w:shd w:val="clear" w:color="auto" w:fill="auto"/>
            <w:vAlign w:val="center"/>
          </w:tcPr>
          <w:p w14:paraId="39A25A18" w14:textId="4DB74CD3"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1.074</w:t>
            </w:r>
          </w:p>
        </w:tc>
        <w:tc>
          <w:tcPr>
            <w:tcW w:w="498" w:type="pct"/>
            <w:tcBorders>
              <w:top w:val="nil"/>
              <w:left w:val="nil"/>
              <w:bottom w:val="nil"/>
              <w:right w:val="nil"/>
            </w:tcBorders>
            <w:shd w:val="clear" w:color="auto" w:fill="auto"/>
            <w:noWrap/>
            <w:vAlign w:val="center"/>
          </w:tcPr>
          <w:p w14:paraId="2467210A" w14:textId="21968681"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221.377</w:t>
            </w:r>
          </w:p>
        </w:tc>
        <w:tc>
          <w:tcPr>
            <w:tcW w:w="498" w:type="pct"/>
            <w:tcBorders>
              <w:top w:val="nil"/>
              <w:left w:val="nil"/>
              <w:bottom w:val="nil"/>
              <w:right w:val="nil"/>
            </w:tcBorders>
            <w:shd w:val="clear" w:color="auto" w:fill="auto"/>
            <w:noWrap/>
            <w:vAlign w:val="center"/>
          </w:tcPr>
          <w:p w14:paraId="236B39B4" w14:textId="364E1CA0"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208</w:t>
            </w:r>
          </w:p>
        </w:tc>
        <w:tc>
          <w:tcPr>
            <w:tcW w:w="498" w:type="pct"/>
            <w:tcBorders>
              <w:top w:val="nil"/>
              <w:left w:val="nil"/>
              <w:bottom w:val="nil"/>
              <w:right w:val="nil"/>
            </w:tcBorders>
            <w:shd w:val="clear" w:color="auto" w:fill="auto"/>
            <w:noWrap/>
            <w:vAlign w:val="center"/>
          </w:tcPr>
          <w:p w14:paraId="6391634A" w14:textId="1EA2B266"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43.803</w:t>
            </w:r>
          </w:p>
        </w:tc>
        <w:tc>
          <w:tcPr>
            <w:tcW w:w="498" w:type="pct"/>
            <w:tcBorders>
              <w:top w:val="nil"/>
              <w:left w:val="nil"/>
              <w:bottom w:val="nil"/>
              <w:right w:val="nil"/>
            </w:tcBorders>
            <w:shd w:val="clear" w:color="auto" w:fill="auto"/>
            <w:noWrap/>
            <w:vAlign w:val="center"/>
          </w:tcPr>
          <w:p w14:paraId="5B9AF0DD" w14:textId="18341A8B" w:rsidR="00576123" w:rsidRPr="00E20D21" w:rsidRDefault="001B1E08" w:rsidP="003B15DE">
            <w:pPr>
              <w:jc w:val="center"/>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w:t>
            </w:r>
          </w:p>
        </w:tc>
      </w:tr>
      <w:tr w:rsidR="00A47C19" w:rsidRPr="00E20D21" w14:paraId="18ADC718" w14:textId="77777777" w:rsidTr="00711413">
        <w:trPr>
          <w:trHeight w:val="221"/>
        </w:trPr>
        <w:tc>
          <w:tcPr>
            <w:tcW w:w="1016" w:type="pct"/>
            <w:tcBorders>
              <w:top w:val="nil"/>
              <w:left w:val="nil"/>
              <w:bottom w:val="nil"/>
              <w:right w:val="nil"/>
            </w:tcBorders>
            <w:shd w:val="clear" w:color="auto" w:fill="auto"/>
            <w:vAlign w:val="center"/>
            <w:hideMark/>
          </w:tcPr>
          <w:p w14:paraId="2D1D88CA"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contingente</w:t>
            </w:r>
          </w:p>
        </w:tc>
        <w:tc>
          <w:tcPr>
            <w:tcW w:w="498" w:type="pct"/>
            <w:tcBorders>
              <w:top w:val="nil"/>
              <w:left w:val="nil"/>
              <w:bottom w:val="nil"/>
              <w:right w:val="nil"/>
            </w:tcBorders>
            <w:shd w:val="clear" w:color="auto" w:fill="auto"/>
            <w:noWrap/>
            <w:vAlign w:val="center"/>
          </w:tcPr>
          <w:p w14:paraId="611582F3" w14:textId="4E6218AE"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904.506</w:t>
            </w:r>
          </w:p>
        </w:tc>
        <w:tc>
          <w:tcPr>
            <w:tcW w:w="498" w:type="pct"/>
            <w:tcBorders>
              <w:top w:val="nil"/>
              <w:left w:val="nil"/>
              <w:bottom w:val="nil"/>
              <w:right w:val="nil"/>
            </w:tcBorders>
            <w:shd w:val="clear" w:color="auto" w:fill="auto"/>
            <w:noWrap/>
            <w:vAlign w:val="center"/>
          </w:tcPr>
          <w:p w14:paraId="114D8EC1" w14:textId="1FB5E308" w:rsidR="00576123" w:rsidRPr="00E20D21" w:rsidRDefault="001B1E08" w:rsidP="003B15DE">
            <w:pPr>
              <w:jc w:val="center"/>
              <w:rPr>
                <w:rFonts w:ascii="CAIXA Std Book" w:eastAsia="Times New Roman" w:hAnsi="CAIXA Std Book" w:cs="Arial"/>
                <w:bCs/>
                <w:color w:val="005CA9"/>
                <w:sz w:val="16"/>
                <w:szCs w:val="16"/>
              </w:rPr>
            </w:pPr>
            <w:r w:rsidRPr="00E20D21">
              <w:rPr>
                <w:rFonts w:ascii="CAIXA Std Book" w:hAnsi="CAIXA Std Book" w:cs="Arial"/>
                <w:b/>
                <w:bCs/>
                <w:color w:val="005CA9"/>
                <w:sz w:val="16"/>
                <w:szCs w:val="16"/>
              </w:rPr>
              <w:t>-</w:t>
            </w:r>
          </w:p>
        </w:tc>
        <w:tc>
          <w:tcPr>
            <w:tcW w:w="498" w:type="pct"/>
            <w:tcBorders>
              <w:top w:val="nil"/>
              <w:left w:val="nil"/>
              <w:bottom w:val="nil"/>
              <w:right w:val="nil"/>
            </w:tcBorders>
            <w:shd w:val="clear" w:color="auto" w:fill="auto"/>
            <w:noWrap/>
            <w:vAlign w:val="center"/>
          </w:tcPr>
          <w:p w14:paraId="676A39DC" w14:textId="0EEB19A6"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409</w:t>
            </w:r>
          </w:p>
        </w:tc>
        <w:tc>
          <w:tcPr>
            <w:tcW w:w="498" w:type="pct"/>
            <w:tcBorders>
              <w:top w:val="nil"/>
              <w:left w:val="nil"/>
              <w:bottom w:val="nil"/>
              <w:right w:val="nil"/>
            </w:tcBorders>
            <w:shd w:val="clear" w:color="auto" w:fill="auto"/>
            <w:noWrap/>
            <w:vAlign w:val="center"/>
          </w:tcPr>
          <w:p w14:paraId="713A8C27" w14:textId="7E1E6AC0"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636</w:t>
            </w:r>
          </w:p>
        </w:tc>
        <w:tc>
          <w:tcPr>
            <w:tcW w:w="498" w:type="pct"/>
            <w:tcBorders>
              <w:top w:val="nil"/>
              <w:left w:val="nil"/>
              <w:bottom w:val="nil"/>
              <w:right w:val="nil"/>
            </w:tcBorders>
            <w:shd w:val="clear" w:color="auto" w:fill="auto"/>
            <w:noWrap/>
            <w:vAlign w:val="center"/>
          </w:tcPr>
          <w:p w14:paraId="6E1FAF33" w14:textId="3D6BA5A1" w:rsidR="00576123" w:rsidRPr="00E20D21" w:rsidRDefault="001B1E08" w:rsidP="003B15DE">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50911B42" w14:textId="4067594B" w:rsidR="00576123" w:rsidRPr="00E20D21" w:rsidRDefault="001B1E08" w:rsidP="003B15DE">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69CF83D2" w14:textId="4B3C97DA"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13.673</w:t>
            </w:r>
          </w:p>
        </w:tc>
        <w:tc>
          <w:tcPr>
            <w:tcW w:w="498" w:type="pct"/>
            <w:tcBorders>
              <w:top w:val="nil"/>
              <w:left w:val="nil"/>
              <w:bottom w:val="nil"/>
              <w:right w:val="nil"/>
            </w:tcBorders>
            <w:shd w:val="clear" w:color="auto" w:fill="auto"/>
            <w:noWrap/>
            <w:vAlign w:val="center"/>
          </w:tcPr>
          <w:p w14:paraId="59010F1E" w14:textId="362BEADF" w:rsidR="00576123" w:rsidRPr="00E20D21" w:rsidRDefault="001B1E08" w:rsidP="003B15DE">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r>
      <w:tr w:rsidR="00A47C19" w:rsidRPr="00E20D21" w14:paraId="65A867A0" w14:textId="77777777" w:rsidTr="00711413">
        <w:trPr>
          <w:trHeight w:val="221"/>
        </w:trPr>
        <w:tc>
          <w:tcPr>
            <w:tcW w:w="1016" w:type="pct"/>
            <w:tcBorders>
              <w:top w:val="nil"/>
              <w:left w:val="nil"/>
              <w:bottom w:val="nil"/>
              <w:right w:val="nil"/>
            </w:tcBorders>
            <w:shd w:val="clear" w:color="auto" w:fill="auto"/>
            <w:vAlign w:val="center"/>
            <w:hideMark/>
          </w:tcPr>
          <w:p w14:paraId="5DBBAB59"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Receitas</w:t>
            </w:r>
          </w:p>
        </w:tc>
        <w:tc>
          <w:tcPr>
            <w:tcW w:w="498" w:type="pct"/>
            <w:tcBorders>
              <w:top w:val="nil"/>
              <w:left w:val="nil"/>
              <w:bottom w:val="nil"/>
              <w:right w:val="nil"/>
            </w:tcBorders>
            <w:shd w:val="clear" w:color="auto" w:fill="auto"/>
            <w:noWrap/>
            <w:vAlign w:val="center"/>
          </w:tcPr>
          <w:p w14:paraId="03A9680D" w14:textId="5F9695CD"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10.647.884</w:t>
            </w:r>
          </w:p>
        </w:tc>
        <w:tc>
          <w:tcPr>
            <w:tcW w:w="498" w:type="pct"/>
            <w:tcBorders>
              <w:top w:val="nil"/>
              <w:left w:val="nil"/>
              <w:bottom w:val="nil"/>
              <w:right w:val="nil"/>
            </w:tcBorders>
            <w:shd w:val="clear" w:color="auto" w:fill="auto"/>
            <w:noWrap/>
            <w:vAlign w:val="center"/>
          </w:tcPr>
          <w:p w14:paraId="150971B9" w14:textId="5994EA8A"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1.833.314</w:t>
            </w:r>
          </w:p>
        </w:tc>
        <w:tc>
          <w:tcPr>
            <w:tcW w:w="498" w:type="pct"/>
            <w:tcBorders>
              <w:top w:val="nil"/>
              <w:left w:val="nil"/>
              <w:bottom w:val="nil"/>
              <w:right w:val="nil"/>
            </w:tcBorders>
            <w:shd w:val="clear" w:color="auto" w:fill="auto"/>
            <w:noWrap/>
            <w:vAlign w:val="center"/>
          </w:tcPr>
          <w:p w14:paraId="265C861F" w14:textId="4DB8DFE3"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100.788</w:t>
            </w:r>
          </w:p>
        </w:tc>
        <w:tc>
          <w:tcPr>
            <w:tcW w:w="498" w:type="pct"/>
            <w:tcBorders>
              <w:top w:val="nil"/>
              <w:left w:val="nil"/>
              <w:bottom w:val="nil"/>
              <w:right w:val="nil"/>
            </w:tcBorders>
            <w:shd w:val="clear" w:color="auto" w:fill="auto"/>
            <w:noWrap/>
            <w:vAlign w:val="center"/>
          </w:tcPr>
          <w:p w14:paraId="46922AC7" w14:textId="53B500D1"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299.422</w:t>
            </w:r>
          </w:p>
        </w:tc>
        <w:tc>
          <w:tcPr>
            <w:tcW w:w="498" w:type="pct"/>
            <w:tcBorders>
              <w:top w:val="nil"/>
              <w:left w:val="nil"/>
              <w:bottom w:val="nil"/>
              <w:right w:val="nil"/>
            </w:tcBorders>
            <w:shd w:val="clear" w:color="auto" w:fill="auto"/>
            <w:noWrap/>
            <w:vAlign w:val="center"/>
          </w:tcPr>
          <w:p w14:paraId="707FF420" w14:textId="65892F48"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423.126</w:t>
            </w:r>
          </w:p>
        </w:tc>
        <w:tc>
          <w:tcPr>
            <w:tcW w:w="498" w:type="pct"/>
            <w:tcBorders>
              <w:top w:val="nil"/>
              <w:left w:val="nil"/>
              <w:bottom w:val="nil"/>
              <w:right w:val="nil"/>
            </w:tcBorders>
            <w:shd w:val="clear" w:color="auto" w:fill="auto"/>
            <w:noWrap/>
            <w:vAlign w:val="center"/>
          </w:tcPr>
          <w:p w14:paraId="77C555AD" w14:textId="0BAB2987"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94.456</w:t>
            </w:r>
          </w:p>
        </w:tc>
        <w:tc>
          <w:tcPr>
            <w:tcW w:w="498" w:type="pct"/>
            <w:tcBorders>
              <w:top w:val="nil"/>
              <w:left w:val="nil"/>
              <w:bottom w:val="nil"/>
              <w:right w:val="nil"/>
            </w:tcBorders>
            <w:shd w:val="clear" w:color="auto" w:fill="auto"/>
            <w:noWrap/>
            <w:vAlign w:val="center"/>
          </w:tcPr>
          <w:p w14:paraId="6874B6F8" w14:textId="79F345E1"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792.993</w:t>
            </w:r>
          </w:p>
        </w:tc>
        <w:tc>
          <w:tcPr>
            <w:tcW w:w="498" w:type="pct"/>
            <w:tcBorders>
              <w:top w:val="nil"/>
              <w:left w:val="nil"/>
              <w:bottom w:val="nil"/>
              <w:right w:val="nil"/>
            </w:tcBorders>
            <w:shd w:val="clear" w:color="auto" w:fill="auto"/>
            <w:vAlign w:val="center"/>
          </w:tcPr>
          <w:p w14:paraId="609C424D" w14:textId="3C54792E"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33.574</w:t>
            </w:r>
          </w:p>
        </w:tc>
      </w:tr>
      <w:tr w:rsidR="00A47C19" w:rsidRPr="00E20D21" w14:paraId="4D99811C" w14:textId="77777777" w:rsidTr="00711413">
        <w:trPr>
          <w:trHeight w:val="221"/>
        </w:trPr>
        <w:tc>
          <w:tcPr>
            <w:tcW w:w="1016" w:type="pct"/>
            <w:tcBorders>
              <w:top w:val="nil"/>
              <w:left w:val="nil"/>
              <w:bottom w:val="nil"/>
              <w:right w:val="nil"/>
            </w:tcBorders>
            <w:shd w:val="clear" w:color="auto" w:fill="auto"/>
            <w:vAlign w:val="center"/>
            <w:hideMark/>
          </w:tcPr>
          <w:p w14:paraId="089C554C"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Despesas</w:t>
            </w:r>
          </w:p>
        </w:tc>
        <w:tc>
          <w:tcPr>
            <w:tcW w:w="498" w:type="pct"/>
            <w:tcBorders>
              <w:top w:val="nil"/>
              <w:left w:val="nil"/>
              <w:bottom w:val="nil"/>
              <w:right w:val="nil"/>
            </w:tcBorders>
            <w:shd w:val="clear" w:color="auto" w:fill="auto"/>
            <w:noWrap/>
            <w:vAlign w:val="center"/>
          </w:tcPr>
          <w:p w14:paraId="7080F4DC" w14:textId="0FB9BF9E"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(9.804.526)</w:t>
            </w:r>
          </w:p>
        </w:tc>
        <w:tc>
          <w:tcPr>
            <w:tcW w:w="498" w:type="pct"/>
            <w:tcBorders>
              <w:top w:val="nil"/>
              <w:left w:val="nil"/>
              <w:bottom w:val="nil"/>
              <w:right w:val="nil"/>
            </w:tcBorders>
            <w:shd w:val="clear" w:color="auto" w:fill="auto"/>
            <w:noWrap/>
            <w:vAlign w:val="center"/>
          </w:tcPr>
          <w:p w14:paraId="1E3E9B3A" w14:textId="63F8C512"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(1.342.984)</w:t>
            </w:r>
          </w:p>
        </w:tc>
        <w:tc>
          <w:tcPr>
            <w:tcW w:w="498" w:type="pct"/>
            <w:tcBorders>
              <w:top w:val="nil"/>
              <w:left w:val="nil"/>
              <w:bottom w:val="nil"/>
              <w:right w:val="nil"/>
            </w:tcBorders>
            <w:shd w:val="clear" w:color="auto" w:fill="auto"/>
            <w:noWrap/>
            <w:vAlign w:val="center"/>
          </w:tcPr>
          <w:p w14:paraId="62D5CAEC" w14:textId="59AD37FA"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(32.164)</w:t>
            </w:r>
          </w:p>
        </w:tc>
        <w:tc>
          <w:tcPr>
            <w:tcW w:w="498" w:type="pct"/>
            <w:tcBorders>
              <w:top w:val="nil"/>
              <w:left w:val="nil"/>
              <w:bottom w:val="nil"/>
              <w:right w:val="nil"/>
            </w:tcBorders>
            <w:shd w:val="clear" w:color="auto" w:fill="auto"/>
            <w:noWrap/>
            <w:vAlign w:val="center"/>
          </w:tcPr>
          <w:p w14:paraId="3ED6AB2F" w14:textId="654955FF"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(201.005)</w:t>
            </w:r>
          </w:p>
        </w:tc>
        <w:tc>
          <w:tcPr>
            <w:tcW w:w="498" w:type="pct"/>
            <w:tcBorders>
              <w:top w:val="nil"/>
              <w:left w:val="nil"/>
              <w:bottom w:val="nil"/>
              <w:right w:val="nil"/>
            </w:tcBorders>
            <w:shd w:val="clear" w:color="auto" w:fill="auto"/>
            <w:noWrap/>
            <w:vAlign w:val="center"/>
          </w:tcPr>
          <w:p w14:paraId="4C71EFAF" w14:textId="49751238"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(318.829)</w:t>
            </w:r>
          </w:p>
        </w:tc>
        <w:tc>
          <w:tcPr>
            <w:tcW w:w="498" w:type="pct"/>
            <w:tcBorders>
              <w:top w:val="nil"/>
              <w:left w:val="nil"/>
              <w:bottom w:val="nil"/>
              <w:right w:val="nil"/>
            </w:tcBorders>
            <w:shd w:val="clear" w:color="auto" w:fill="auto"/>
            <w:noWrap/>
            <w:vAlign w:val="center"/>
          </w:tcPr>
          <w:p w14:paraId="4A04DC99" w14:textId="2B48CE7A"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(82.081)</w:t>
            </w:r>
          </w:p>
        </w:tc>
        <w:tc>
          <w:tcPr>
            <w:tcW w:w="498" w:type="pct"/>
            <w:tcBorders>
              <w:top w:val="nil"/>
              <w:left w:val="nil"/>
              <w:bottom w:val="nil"/>
              <w:right w:val="nil"/>
            </w:tcBorders>
            <w:shd w:val="clear" w:color="auto" w:fill="auto"/>
            <w:noWrap/>
            <w:vAlign w:val="center"/>
          </w:tcPr>
          <w:p w14:paraId="378FB31F" w14:textId="2325F9E3"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(600.085)</w:t>
            </w:r>
          </w:p>
        </w:tc>
        <w:tc>
          <w:tcPr>
            <w:tcW w:w="498" w:type="pct"/>
            <w:tcBorders>
              <w:top w:val="nil"/>
              <w:left w:val="nil"/>
              <w:bottom w:val="nil"/>
              <w:right w:val="nil"/>
            </w:tcBorders>
            <w:shd w:val="clear" w:color="auto" w:fill="auto"/>
            <w:vAlign w:val="center"/>
          </w:tcPr>
          <w:p w14:paraId="1ED7886D" w14:textId="02F02B99"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(6.571)</w:t>
            </w:r>
          </w:p>
        </w:tc>
      </w:tr>
      <w:tr w:rsidR="00A47C19" w:rsidRPr="00E20D21" w14:paraId="4A487C20" w14:textId="77777777" w:rsidTr="00711413">
        <w:trPr>
          <w:trHeight w:val="221"/>
        </w:trPr>
        <w:tc>
          <w:tcPr>
            <w:tcW w:w="1016" w:type="pct"/>
            <w:tcBorders>
              <w:top w:val="nil"/>
              <w:left w:val="nil"/>
              <w:bottom w:val="nil"/>
              <w:right w:val="nil"/>
            </w:tcBorders>
            <w:shd w:val="clear" w:color="auto" w:fill="auto"/>
            <w:vAlign w:val="center"/>
            <w:hideMark/>
          </w:tcPr>
          <w:p w14:paraId="14FADBE7" w14:textId="77777777" w:rsidR="00576123" w:rsidRPr="00E20D21" w:rsidRDefault="00576123" w:rsidP="00711413">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Lucro/ Prejuízo do período</w:t>
            </w:r>
          </w:p>
        </w:tc>
        <w:tc>
          <w:tcPr>
            <w:tcW w:w="498" w:type="pct"/>
            <w:tcBorders>
              <w:top w:val="nil"/>
              <w:left w:val="nil"/>
              <w:bottom w:val="nil"/>
              <w:right w:val="nil"/>
            </w:tcBorders>
            <w:shd w:val="clear" w:color="auto" w:fill="auto"/>
            <w:noWrap/>
            <w:vAlign w:val="center"/>
          </w:tcPr>
          <w:p w14:paraId="76D2E064" w14:textId="71715110"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843.358</w:t>
            </w:r>
          </w:p>
        </w:tc>
        <w:tc>
          <w:tcPr>
            <w:tcW w:w="498" w:type="pct"/>
            <w:tcBorders>
              <w:top w:val="nil"/>
              <w:left w:val="nil"/>
              <w:bottom w:val="nil"/>
              <w:right w:val="nil"/>
            </w:tcBorders>
            <w:shd w:val="clear" w:color="auto" w:fill="auto"/>
            <w:noWrap/>
            <w:vAlign w:val="center"/>
          </w:tcPr>
          <w:p w14:paraId="12F7545E" w14:textId="63414A2E"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490.330</w:t>
            </w:r>
          </w:p>
        </w:tc>
        <w:tc>
          <w:tcPr>
            <w:tcW w:w="498" w:type="pct"/>
            <w:tcBorders>
              <w:top w:val="nil"/>
              <w:left w:val="nil"/>
              <w:bottom w:val="nil"/>
              <w:right w:val="nil"/>
            </w:tcBorders>
            <w:shd w:val="clear" w:color="auto" w:fill="auto"/>
            <w:noWrap/>
            <w:vAlign w:val="center"/>
          </w:tcPr>
          <w:p w14:paraId="356C4D53" w14:textId="3A555124"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68.624</w:t>
            </w:r>
          </w:p>
        </w:tc>
        <w:tc>
          <w:tcPr>
            <w:tcW w:w="498" w:type="pct"/>
            <w:tcBorders>
              <w:top w:val="nil"/>
              <w:left w:val="nil"/>
              <w:bottom w:val="nil"/>
              <w:right w:val="nil"/>
            </w:tcBorders>
            <w:shd w:val="clear" w:color="auto" w:fill="auto"/>
            <w:vAlign w:val="center"/>
          </w:tcPr>
          <w:p w14:paraId="16DF4551" w14:textId="5E864B46"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98.417</w:t>
            </w:r>
          </w:p>
        </w:tc>
        <w:tc>
          <w:tcPr>
            <w:tcW w:w="498" w:type="pct"/>
            <w:tcBorders>
              <w:top w:val="nil"/>
              <w:left w:val="nil"/>
              <w:bottom w:val="nil"/>
              <w:right w:val="nil"/>
            </w:tcBorders>
            <w:shd w:val="clear" w:color="auto" w:fill="auto"/>
            <w:noWrap/>
            <w:vAlign w:val="center"/>
          </w:tcPr>
          <w:p w14:paraId="0E72F7F1" w14:textId="3F2E39FE"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104.297</w:t>
            </w:r>
          </w:p>
        </w:tc>
        <w:tc>
          <w:tcPr>
            <w:tcW w:w="498" w:type="pct"/>
            <w:tcBorders>
              <w:top w:val="nil"/>
              <w:left w:val="nil"/>
              <w:bottom w:val="nil"/>
              <w:right w:val="nil"/>
            </w:tcBorders>
            <w:shd w:val="clear" w:color="auto" w:fill="auto"/>
            <w:noWrap/>
            <w:vAlign w:val="center"/>
          </w:tcPr>
          <w:p w14:paraId="6B9E7EE9" w14:textId="4CA3791B"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12.375</w:t>
            </w:r>
          </w:p>
        </w:tc>
        <w:tc>
          <w:tcPr>
            <w:tcW w:w="498" w:type="pct"/>
            <w:tcBorders>
              <w:top w:val="nil"/>
              <w:left w:val="nil"/>
              <w:bottom w:val="nil"/>
              <w:right w:val="nil"/>
            </w:tcBorders>
            <w:shd w:val="clear" w:color="auto" w:fill="auto"/>
            <w:noWrap/>
            <w:vAlign w:val="center"/>
          </w:tcPr>
          <w:p w14:paraId="3A77B0D9" w14:textId="153DEC42"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192.908</w:t>
            </w:r>
          </w:p>
        </w:tc>
        <w:tc>
          <w:tcPr>
            <w:tcW w:w="498" w:type="pct"/>
            <w:tcBorders>
              <w:top w:val="nil"/>
              <w:left w:val="nil"/>
              <w:bottom w:val="nil"/>
              <w:right w:val="nil"/>
            </w:tcBorders>
            <w:shd w:val="clear" w:color="auto" w:fill="auto"/>
            <w:vAlign w:val="center"/>
          </w:tcPr>
          <w:p w14:paraId="1CC84695" w14:textId="44CE23DE"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27.003</w:t>
            </w:r>
          </w:p>
        </w:tc>
      </w:tr>
      <w:tr w:rsidR="00A47C19" w:rsidRPr="00E20D21" w14:paraId="0F7EA7B1" w14:textId="77777777" w:rsidTr="00711413">
        <w:trPr>
          <w:trHeight w:val="221"/>
        </w:trPr>
        <w:tc>
          <w:tcPr>
            <w:tcW w:w="1016" w:type="pct"/>
            <w:tcBorders>
              <w:top w:val="nil"/>
              <w:left w:val="nil"/>
              <w:bottom w:val="nil"/>
              <w:right w:val="nil"/>
            </w:tcBorders>
            <w:shd w:val="clear" w:color="auto" w:fill="auto"/>
            <w:vAlign w:val="center"/>
            <w:hideMark/>
          </w:tcPr>
          <w:p w14:paraId="59CEA1BA"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resultados abrangentes</w:t>
            </w:r>
          </w:p>
        </w:tc>
        <w:tc>
          <w:tcPr>
            <w:tcW w:w="498" w:type="pct"/>
            <w:tcBorders>
              <w:top w:val="nil"/>
              <w:left w:val="nil"/>
              <w:bottom w:val="nil"/>
              <w:right w:val="nil"/>
            </w:tcBorders>
            <w:shd w:val="clear" w:color="auto" w:fill="auto"/>
            <w:noWrap/>
            <w:vAlign w:val="center"/>
          </w:tcPr>
          <w:p w14:paraId="671F4F0F" w14:textId="3250CCA4"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127.253</w:t>
            </w:r>
          </w:p>
        </w:tc>
        <w:tc>
          <w:tcPr>
            <w:tcW w:w="498" w:type="pct"/>
            <w:tcBorders>
              <w:top w:val="nil"/>
              <w:left w:val="nil"/>
              <w:bottom w:val="nil"/>
              <w:right w:val="nil"/>
            </w:tcBorders>
            <w:shd w:val="clear" w:color="auto" w:fill="auto"/>
            <w:noWrap/>
            <w:vAlign w:val="center"/>
          </w:tcPr>
          <w:p w14:paraId="3728E145" w14:textId="5FA539EC"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91.349</w:t>
            </w:r>
          </w:p>
        </w:tc>
        <w:tc>
          <w:tcPr>
            <w:tcW w:w="498" w:type="pct"/>
            <w:tcBorders>
              <w:top w:val="nil"/>
              <w:left w:val="nil"/>
              <w:bottom w:val="nil"/>
              <w:right w:val="nil"/>
            </w:tcBorders>
            <w:shd w:val="clear" w:color="auto" w:fill="auto"/>
            <w:noWrap/>
            <w:vAlign w:val="center"/>
          </w:tcPr>
          <w:p w14:paraId="3656E058" w14:textId="43CF9953" w:rsidR="00576123" w:rsidRPr="00E20D21" w:rsidRDefault="001B1E08" w:rsidP="00664026">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3DE9665D" w14:textId="0E39ECC8"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(16.464)</w:t>
            </w:r>
          </w:p>
        </w:tc>
        <w:tc>
          <w:tcPr>
            <w:tcW w:w="498" w:type="pct"/>
            <w:tcBorders>
              <w:top w:val="nil"/>
              <w:left w:val="nil"/>
              <w:bottom w:val="nil"/>
              <w:right w:val="nil"/>
            </w:tcBorders>
            <w:shd w:val="clear" w:color="auto" w:fill="auto"/>
            <w:noWrap/>
            <w:vAlign w:val="center"/>
          </w:tcPr>
          <w:p w14:paraId="3E08C1D2" w14:textId="5304442F" w:rsidR="00576123" w:rsidRPr="00E20D21" w:rsidRDefault="00CD50A1" w:rsidP="00CD50A1">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71006C6E" w14:textId="78A659F5" w:rsidR="00576123" w:rsidRPr="00E20D21" w:rsidRDefault="001B1E08" w:rsidP="00DB4817">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384C9B51" w14:textId="20D604F1"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(80.913)</w:t>
            </w:r>
          </w:p>
        </w:tc>
        <w:tc>
          <w:tcPr>
            <w:tcW w:w="498" w:type="pct"/>
            <w:tcBorders>
              <w:top w:val="nil"/>
              <w:left w:val="nil"/>
              <w:bottom w:val="nil"/>
              <w:right w:val="nil"/>
            </w:tcBorders>
            <w:shd w:val="clear" w:color="auto" w:fill="auto"/>
            <w:noWrap/>
            <w:vAlign w:val="center"/>
          </w:tcPr>
          <w:p w14:paraId="6DEF46DE" w14:textId="00C9E3D7" w:rsidR="00576123" w:rsidRPr="00E20D21" w:rsidRDefault="001B1E08" w:rsidP="00145C5F">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r>
      <w:tr w:rsidR="00A47C19" w:rsidRPr="00E20D21" w14:paraId="79A45F48" w14:textId="77777777" w:rsidTr="00711413">
        <w:trPr>
          <w:trHeight w:val="221"/>
        </w:trPr>
        <w:tc>
          <w:tcPr>
            <w:tcW w:w="1016" w:type="pct"/>
            <w:tcBorders>
              <w:top w:val="nil"/>
              <w:left w:val="nil"/>
              <w:bottom w:val="nil"/>
              <w:right w:val="nil"/>
            </w:tcBorders>
            <w:shd w:val="clear" w:color="auto" w:fill="auto"/>
            <w:vAlign w:val="center"/>
            <w:hideMark/>
          </w:tcPr>
          <w:p w14:paraId="08F3DA4A"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Resultado abrangente total</w:t>
            </w:r>
          </w:p>
        </w:tc>
        <w:tc>
          <w:tcPr>
            <w:tcW w:w="498" w:type="pct"/>
            <w:tcBorders>
              <w:top w:val="nil"/>
              <w:left w:val="nil"/>
              <w:bottom w:val="nil"/>
              <w:right w:val="nil"/>
            </w:tcBorders>
            <w:shd w:val="clear" w:color="auto" w:fill="auto"/>
            <w:noWrap/>
            <w:vAlign w:val="center"/>
          </w:tcPr>
          <w:p w14:paraId="0E0A0A13" w14:textId="2AC49E95"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970.611</w:t>
            </w:r>
          </w:p>
        </w:tc>
        <w:tc>
          <w:tcPr>
            <w:tcW w:w="498" w:type="pct"/>
            <w:tcBorders>
              <w:top w:val="nil"/>
              <w:left w:val="nil"/>
              <w:bottom w:val="nil"/>
              <w:right w:val="nil"/>
            </w:tcBorders>
            <w:shd w:val="clear" w:color="auto" w:fill="auto"/>
            <w:noWrap/>
            <w:vAlign w:val="center"/>
          </w:tcPr>
          <w:p w14:paraId="32312F6E" w14:textId="4DD5CC77"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581.679</w:t>
            </w:r>
          </w:p>
        </w:tc>
        <w:tc>
          <w:tcPr>
            <w:tcW w:w="498" w:type="pct"/>
            <w:tcBorders>
              <w:top w:val="nil"/>
              <w:left w:val="nil"/>
              <w:bottom w:val="nil"/>
              <w:right w:val="nil"/>
            </w:tcBorders>
            <w:shd w:val="clear" w:color="auto" w:fill="auto"/>
            <w:noWrap/>
            <w:vAlign w:val="center"/>
          </w:tcPr>
          <w:p w14:paraId="23F54F1A" w14:textId="2BEA603D"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68.624</w:t>
            </w:r>
          </w:p>
        </w:tc>
        <w:tc>
          <w:tcPr>
            <w:tcW w:w="498" w:type="pct"/>
            <w:tcBorders>
              <w:top w:val="nil"/>
              <w:left w:val="nil"/>
              <w:bottom w:val="nil"/>
              <w:right w:val="nil"/>
            </w:tcBorders>
            <w:shd w:val="clear" w:color="auto" w:fill="auto"/>
            <w:vAlign w:val="center"/>
          </w:tcPr>
          <w:p w14:paraId="14E85E82" w14:textId="56DD779D"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81.953</w:t>
            </w:r>
          </w:p>
        </w:tc>
        <w:tc>
          <w:tcPr>
            <w:tcW w:w="498" w:type="pct"/>
            <w:tcBorders>
              <w:top w:val="nil"/>
              <w:left w:val="nil"/>
              <w:bottom w:val="nil"/>
              <w:right w:val="nil"/>
            </w:tcBorders>
            <w:shd w:val="clear" w:color="auto" w:fill="auto"/>
            <w:noWrap/>
            <w:vAlign w:val="center"/>
          </w:tcPr>
          <w:p w14:paraId="317E4E56" w14:textId="5E622F84"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104.298</w:t>
            </w:r>
          </w:p>
        </w:tc>
        <w:tc>
          <w:tcPr>
            <w:tcW w:w="498" w:type="pct"/>
            <w:tcBorders>
              <w:top w:val="nil"/>
              <w:left w:val="nil"/>
              <w:bottom w:val="nil"/>
              <w:right w:val="nil"/>
            </w:tcBorders>
            <w:shd w:val="clear" w:color="auto" w:fill="auto"/>
            <w:noWrap/>
            <w:vAlign w:val="center"/>
          </w:tcPr>
          <w:p w14:paraId="558FFA0E" w14:textId="7878ED1C"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12.375</w:t>
            </w:r>
          </w:p>
        </w:tc>
        <w:tc>
          <w:tcPr>
            <w:tcW w:w="498" w:type="pct"/>
            <w:tcBorders>
              <w:top w:val="nil"/>
              <w:left w:val="nil"/>
              <w:bottom w:val="nil"/>
              <w:right w:val="nil"/>
            </w:tcBorders>
            <w:shd w:val="clear" w:color="auto" w:fill="auto"/>
            <w:noWrap/>
            <w:vAlign w:val="center"/>
          </w:tcPr>
          <w:p w14:paraId="0F78C980" w14:textId="2F696B59"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111.995</w:t>
            </w:r>
          </w:p>
        </w:tc>
        <w:tc>
          <w:tcPr>
            <w:tcW w:w="498" w:type="pct"/>
            <w:tcBorders>
              <w:top w:val="nil"/>
              <w:left w:val="nil"/>
              <w:bottom w:val="nil"/>
              <w:right w:val="nil"/>
            </w:tcBorders>
            <w:shd w:val="clear" w:color="auto" w:fill="auto"/>
            <w:vAlign w:val="center"/>
          </w:tcPr>
          <w:p w14:paraId="27D6E1E2" w14:textId="356D2B58" w:rsidR="00576123" w:rsidRPr="00E20D21" w:rsidRDefault="00CD50A1"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27.003</w:t>
            </w:r>
          </w:p>
        </w:tc>
      </w:tr>
      <w:tr w:rsidR="00A47C19" w:rsidRPr="00E20D21" w14:paraId="69956FB5" w14:textId="77777777" w:rsidTr="00711413">
        <w:trPr>
          <w:trHeight w:val="221"/>
        </w:trPr>
        <w:tc>
          <w:tcPr>
            <w:tcW w:w="1016" w:type="pct"/>
            <w:tcBorders>
              <w:top w:val="nil"/>
              <w:left w:val="nil"/>
              <w:bottom w:val="nil"/>
              <w:right w:val="nil"/>
            </w:tcBorders>
            <w:shd w:val="clear" w:color="auto" w:fill="auto"/>
            <w:vAlign w:val="center"/>
            <w:hideMark/>
          </w:tcPr>
          <w:p w14:paraId="31E85899" w14:textId="77777777" w:rsidR="00576123" w:rsidRPr="00E20D21" w:rsidRDefault="00576123" w:rsidP="00711413">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Patrimônio Líquido</w:t>
            </w:r>
          </w:p>
        </w:tc>
        <w:tc>
          <w:tcPr>
            <w:tcW w:w="498" w:type="pct"/>
            <w:tcBorders>
              <w:top w:val="nil"/>
              <w:left w:val="nil"/>
              <w:bottom w:val="nil"/>
              <w:right w:val="nil"/>
            </w:tcBorders>
            <w:shd w:val="clear" w:color="auto" w:fill="auto"/>
            <w:noWrap/>
            <w:vAlign w:val="center"/>
          </w:tcPr>
          <w:p w14:paraId="399BC0C5" w14:textId="42C1C319"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11.836.368</w:t>
            </w:r>
          </w:p>
        </w:tc>
        <w:tc>
          <w:tcPr>
            <w:tcW w:w="498" w:type="pct"/>
            <w:tcBorders>
              <w:top w:val="nil"/>
              <w:left w:val="nil"/>
              <w:bottom w:val="nil"/>
              <w:right w:val="nil"/>
            </w:tcBorders>
            <w:shd w:val="clear" w:color="auto" w:fill="auto"/>
            <w:noWrap/>
            <w:vAlign w:val="center"/>
          </w:tcPr>
          <w:p w14:paraId="273F2195" w14:textId="57CA05F8"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5.069.767</w:t>
            </w:r>
          </w:p>
        </w:tc>
        <w:tc>
          <w:tcPr>
            <w:tcW w:w="498" w:type="pct"/>
            <w:tcBorders>
              <w:top w:val="nil"/>
              <w:left w:val="nil"/>
              <w:bottom w:val="nil"/>
              <w:right w:val="nil"/>
            </w:tcBorders>
            <w:shd w:val="clear" w:color="auto" w:fill="auto"/>
            <w:noWrap/>
            <w:vAlign w:val="center"/>
          </w:tcPr>
          <w:p w14:paraId="3BF806B4" w14:textId="3A27A373"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1.883.522</w:t>
            </w:r>
          </w:p>
        </w:tc>
        <w:tc>
          <w:tcPr>
            <w:tcW w:w="498" w:type="pct"/>
            <w:tcBorders>
              <w:top w:val="nil"/>
              <w:left w:val="nil"/>
              <w:bottom w:val="nil"/>
              <w:right w:val="nil"/>
            </w:tcBorders>
            <w:shd w:val="clear" w:color="auto" w:fill="auto"/>
            <w:vAlign w:val="center"/>
          </w:tcPr>
          <w:p w14:paraId="3525FC5C" w14:textId="74F3E316"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350.395</w:t>
            </w:r>
          </w:p>
        </w:tc>
        <w:tc>
          <w:tcPr>
            <w:tcW w:w="498" w:type="pct"/>
            <w:tcBorders>
              <w:top w:val="nil"/>
              <w:left w:val="nil"/>
              <w:bottom w:val="nil"/>
              <w:right w:val="nil"/>
            </w:tcBorders>
            <w:shd w:val="clear" w:color="auto" w:fill="auto"/>
            <w:noWrap/>
            <w:vAlign w:val="center"/>
          </w:tcPr>
          <w:p w14:paraId="0D4F2E84" w14:textId="1856BE31"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605.927</w:t>
            </w:r>
          </w:p>
        </w:tc>
        <w:tc>
          <w:tcPr>
            <w:tcW w:w="498" w:type="pct"/>
            <w:tcBorders>
              <w:top w:val="nil"/>
              <w:left w:val="nil"/>
              <w:bottom w:val="nil"/>
              <w:right w:val="nil"/>
            </w:tcBorders>
            <w:shd w:val="clear" w:color="auto" w:fill="auto"/>
            <w:noWrap/>
            <w:vAlign w:val="center"/>
          </w:tcPr>
          <w:p w14:paraId="31B8304E" w14:textId="564B20F8"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48.645</w:t>
            </w:r>
          </w:p>
        </w:tc>
        <w:tc>
          <w:tcPr>
            <w:tcW w:w="498" w:type="pct"/>
            <w:tcBorders>
              <w:top w:val="nil"/>
              <w:left w:val="nil"/>
              <w:bottom w:val="nil"/>
              <w:right w:val="nil"/>
            </w:tcBorders>
            <w:shd w:val="clear" w:color="auto" w:fill="auto"/>
            <w:noWrap/>
            <w:vAlign w:val="center"/>
          </w:tcPr>
          <w:p w14:paraId="0221FC94" w14:textId="015E2E82"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956.088</w:t>
            </w:r>
          </w:p>
        </w:tc>
        <w:tc>
          <w:tcPr>
            <w:tcW w:w="498" w:type="pct"/>
            <w:tcBorders>
              <w:top w:val="nil"/>
              <w:left w:val="nil"/>
              <w:bottom w:val="nil"/>
              <w:right w:val="nil"/>
            </w:tcBorders>
            <w:shd w:val="clear" w:color="auto" w:fill="auto"/>
            <w:vAlign w:val="center"/>
          </w:tcPr>
          <w:p w14:paraId="6CE35DE1" w14:textId="28C2C882"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73.748</w:t>
            </w:r>
          </w:p>
        </w:tc>
      </w:tr>
      <w:tr w:rsidR="00A47C19" w:rsidRPr="00E20D21" w14:paraId="2DFAEF61" w14:textId="77777777" w:rsidTr="00711413">
        <w:trPr>
          <w:trHeight w:val="221"/>
        </w:trPr>
        <w:tc>
          <w:tcPr>
            <w:tcW w:w="1016" w:type="pct"/>
            <w:tcBorders>
              <w:top w:val="nil"/>
              <w:left w:val="nil"/>
              <w:bottom w:val="nil"/>
              <w:right w:val="nil"/>
            </w:tcBorders>
            <w:shd w:val="clear" w:color="auto" w:fill="auto"/>
            <w:vAlign w:val="center"/>
            <w:hideMark/>
          </w:tcPr>
          <w:p w14:paraId="24EB63F9"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de participação</w:t>
            </w:r>
          </w:p>
        </w:tc>
        <w:tc>
          <w:tcPr>
            <w:tcW w:w="498" w:type="pct"/>
            <w:tcBorders>
              <w:top w:val="nil"/>
              <w:left w:val="nil"/>
              <w:bottom w:val="nil"/>
              <w:right w:val="nil"/>
            </w:tcBorders>
            <w:shd w:val="clear" w:color="auto" w:fill="auto"/>
            <w:noWrap/>
            <w:vAlign w:val="center"/>
          </w:tcPr>
          <w:p w14:paraId="75670C8A" w14:textId="65DEAC61"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60,00%</w:t>
            </w:r>
          </w:p>
        </w:tc>
        <w:tc>
          <w:tcPr>
            <w:tcW w:w="498" w:type="pct"/>
            <w:tcBorders>
              <w:top w:val="nil"/>
              <w:left w:val="nil"/>
              <w:bottom w:val="nil"/>
              <w:right w:val="nil"/>
            </w:tcBorders>
            <w:shd w:val="clear" w:color="auto" w:fill="auto"/>
            <w:noWrap/>
            <w:vAlign w:val="center"/>
          </w:tcPr>
          <w:p w14:paraId="0D58F61C" w14:textId="2A8803A5"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48,25%</w:t>
            </w:r>
          </w:p>
        </w:tc>
        <w:tc>
          <w:tcPr>
            <w:tcW w:w="498" w:type="pct"/>
            <w:tcBorders>
              <w:top w:val="nil"/>
              <w:left w:val="nil"/>
              <w:bottom w:val="nil"/>
              <w:right w:val="nil"/>
            </w:tcBorders>
            <w:shd w:val="clear" w:color="auto" w:fill="auto"/>
            <w:noWrap/>
            <w:vAlign w:val="center"/>
          </w:tcPr>
          <w:p w14:paraId="28E639E9" w14:textId="3F0094D4"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vAlign w:val="center"/>
          </w:tcPr>
          <w:p w14:paraId="234859CA" w14:textId="145A5239"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29A9726D" w14:textId="681119F0"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6497837B" w14:textId="731D0618"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239BF541" w14:textId="3B7FB4DD"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49,00%</w:t>
            </w:r>
          </w:p>
        </w:tc>
        <w:tc>
          <w:tcPr>
            <w:tcW w:w="498" w:type="pct"/>
            <w:tcBorders>
              <w:top w:val="nil"/>
              <w:left w:val="nil"/>
              <w:bottom w:val="nil"/>
              <w:right w:val="nil"/>
            </w:tcBorders>
            <w:shd w:val="clear" w:color="auto" w:fill="auto"/>
            <w:vAlign w:val="center"/>
          </w:tcPr>
          <w:p w14:paraId="311C83D9" w14:textId="2D4A5CBA"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49,00%</w:t>
            </w:r>
          </w:p>
        </w:tc>
      </w:tr>
      <w:tr w:rsidR="00A47C19" w:rsidRPr="00E20D21" w14:paraId="650B1DDE" w14:textId="77777777" w:rsidTr="00711413">
        <w:trPr>
          <w:trHeight w:val="221"/>
        </w:trPr>
        <w:tc>
          <w:tcPr>
            <w:tcW w:w="1016" w:type="pct"/>
            <w:tcBorders>
              <w:top w:val="nil"/>
              <w:left w:val="nil"/>
              <w:bottom w:val="nil"/>
              <w:right w:val="nil"/>
            </w:tcBorders>
            <w:shd w:val="clear" w:color="auto" w:fill="auto"/>
            <w:vAlign w:val="center"/>
            <w:hideMark/>
          </w:tcPr>
          <w:p w14:paraId="0EBE2406" w14:textId="77777777" w:rsidR="00576123" w:rsidRPr="00E20D21" w:rsidRDefault="00576123" w:rsidP="00711413">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Saldo do investimento </w:t>
            </w:r>
          </w:p>
        </w:tc>
        <w:tc>
          <w:tcPr>
            <w:tcW w:w="498" w:type="pct"/>
            <w:tcBorders>
              <w:top w:val="nil"/>
              <w:left w:val="nil"/>
              <w:right w:val="nil"/>
            </w:tcBorders>
            <w:shd w:val="clear" w:color="auto" w:fill="auto"/>
            <w:noWrap/>
            <w:vAlign w:val="center"/>
          </w:tcPr>
          <w:p w14:paraId="2F78AE1B" w14:textId="4402B076"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7.101.821</w:t>
            </w:r>
          </w:p>
        </w:tc>
        <w:tc>
          <w:tcPr>
            <w:tcW w:w="498" w:type="pct"/>
            <w:tcBorders>
              <w:top w:val="nil"/>
              <w:left w:val="nil"/>
              <w:right w:val="nil"/>
            </w:tcBorders>
            <w:shd w:val="clear" w:color="auto" w:fill="auto"/>
            <w:noWrap/>
            <w:vAlign w:val="center"/>
          </w:tcPr>
          <w:p w14:paraId="43BC16ED" w14:textId="31785289"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2.446.163</w:t>
            </w:r>
          </w:p>
        </w:tc>
        <w:tc>
          <w:tcPr>
            <w:tcW w:w="498" w:type="pct"/>
            <w:tcBorders>
              <w:top w:val="nil"/>
              <w:left w:val="nil"/>
              <w:right w:val="nil"/>
            </w:tcBorders>
            <w:shd w:val="clear" w:color="auto" w:fill="auto"/>
            <w:noWrap/>
            <w:vAlign w:val="center"/>
          </w:tcPr>
          <w:p w14:paraId="21C86920" w14:textId="44877306"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1.412.572</w:t>
            </w:r>
          </w:p>
        </w:tc>
        <w:tc>
          <w:tcPr>
            <w:tcW w:w="498" w:type="pct"/>
            <w:tcBorders>
              <w:top w:val="nil"/>
              <w:left w:val="nil"/>
              <w:right w:val="nil"/>
            </w:tcBorders>
            <w:shd w:val="clear" w:color="auto" w:fill="auto"/>
            <w:vAlign w:val="center"/>
          </w:tcPr>
          <w:p w14:paraId="2075C11A" w14:textId="1705C2E2"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262.783</w:t>
            </w:r>
          </w:p>
        </w:tc>
        <w:tc>
          <w:tcPr>
            <w:tcW w:w="498" w:type="pct"/>
            <w:tcBorders>
              <w:top w:val="nil"/>
              <w:left w:val="nil"/>
              <w:right w:val="nil"/>
            </w:tcBorders>
            <w:shd w:val="clear" w:color="auto" w:fill="auto"/>
            <w:noWrap/>
            <w:vAlign w:val="center"/>
          </w:tcPr>
          <w:p w14:paraId="607DB911" w14:textId="7A74CED8"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454.428</w:t>
            </w:r>
          </w:p>
        </w:tc>
        <w:tc>
          <w:tcPr>
            <w:tcW w:w="498" w:type="pct"/>
            <w:tcBorders>
              <w:top w:val="nil"/>
              <w:left w:val="nil"/>
              <w:right w:val="nil"/>
            </w:tcBorders>
            <w:shd w:val="clear" w:color="auto" w:fill="auto"/>
            <w:noWrap/>
            <w:vAlign w:val="center"/>
          </w:tcPr>
          <w:p w14:paraId="5231AAF9" w14:textId="4742602F"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36.484</w:t>
            </w:r>
          </w:p>
        </w:tc>
        <w:tc>
          <w:tcPr>
            <w:tcW w:w="498" w:type="pct"/>
            <w:tcBorders>
              <w:top w:val="nil"/>
              <w:left w:val="nil"/>
              <w:right w:val="nil"/>
            </w:tcBorders>
            <w:shd w:val="clear" w:color="auto" w:fill="auto"/>
            <w:noWrap/>
            <w:vAlign w:val="center"/>
          </w:tcPr>
          <w:p w14:paraId="5678FE94" w14:textId="7972D459"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468.483</w:t>
            </w:r>
          </w:p>
        </w:tc>
        <w:tc>
          <w:tcPr>
            <w:tcW w:w="498" w:type="pct"/>
            <w:tcBorders>
              <w:top w:val="nil"/>
              <w:left w:val="nil"/>
              <w:right w:val="nil"/>
            </w:tcBorders>
            <w:shd w:val="clear" w:color="auto" w:fill="auto"/>
            <w:vAlign w:val="center"/>
          </w:tcPr>
          <w:p w14:paraId="7ACB51B9" w14:textId="2A7387E6"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36.137</w:t>
            </w:r>
          </w:p>
        </w:tc>
      </w:tr>
      <w:tr w:rsidR="00A47C19" w:rsidRPr="00E20D21" w14:paraId="59518EE1" w14:textId="77777777" w:rsidTr="00711413">
        <w:trPr>
          <w:trHeight w:val="221"/>
        </w:trPr>
        <w:tc>
          <w:tcPr>
            <w:tcW w:w="1016" w:type="pct"/>
            <w:tcBorders>
              <w:top w:val="nil"/>
              <w:left w:val="nil"/>
              <w:bottom w:val="single" w:sz="4" w:space="0" w:color="F79646"/>
              <w:right w:val="nil"/>
            </w:tcBorders>
            <w:shd w:val="clear" w:color="auto" w:fill="auto"/>
            <w:vAlign w:val="center"/>
            <w:hideMark/>
          </w:tcPr>
          <w:p w14:paraId="7685AAA2"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ajustes (1)</w:t>
            </w:r>
          </w:p>
        </w:tc>
        <w:tc>
          <w:tcPr>
            <w:tcW w:w="498" w:type="pct"/>
            <w:tcBorders>
              <w:top w:val="nil"/>
              <w:left w:val="nil"/>
              <w:bottom w:val="single" w:sz="4" w:space="0" w:color="F79646"/>
              <w:right w:val="nil"/>
            </w:tcBorders>
            <w:shd w:val="clear" w:color="auto" w:fill="auto"/>
            <w:noWrap/>
            <w:vAlign w:val="center"/>
          </w:tcPr>
          <w:p w14:paraId="00EFF2A8" w14:textId="54E137D8"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71.892</w:t>
            </w:r>
          </w:p>
        </w:tc>
        <w:tc>
          <w:tcPr>
            <w:tcW w:w="498" w:type="pct"/>
            <w:tcBorders>
              <w:top w:val="nil"/>
              <w:left w:val="nil"/>
              <w:bottom w:val="single" w:sz="4" w:space="0" w:color="F79646"/>
              <w:right w:val="nil"/>
            </w:tcBorders>
            <w:shd w:val="clear" w:color="auto" w:fill="auto"/>
            <w:noWrap/>
            <w:vAlign w:val="center"/>
          </w:tcPr>
          <w:p w14:paraId="103CB66E" w14:textId="24AF8A97" w:rsidR="00576123" w:rsidRPr="00E20D21" w:rsidRDefault="001B1E08" w:rsidP="003B15DE">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042F5190" w14:textId="12308BA6" w:rsidR="00576123" w:rsidRPr="00E20D21" w:rsidRDefault="001B1E08" w:rsidP="003B15DE">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2658B7C0" w14:textId="60BE048C" w:rsidR="00576123" w:rsidRPr="00E20D21" w:rsidRDefault="001B1E08" w:rsidP="00711413">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4</w:t>
            </w:r>
          </w:p>
        </w:tc>
        <w:tc>
          <w:tcPr>
            <w:tcW w:w="498" w:type="pct"/>
            <w:tcBorders>
              <w:top w:val="nil"/>
              <w:left w:val="nil"/>
              <w:bottom w:val="single" w:sz="4" w:space="0" w:color="F79646"/>
              <w:right w:val="nil"/>
            </w:tcBorders>
            <w:shd w:val="clear" w:color="auto" w:fill="auto"/>
            <w:noWrap/>
            <w:vAlign w:val="center"/>
          </w:tcPr>
          <w:p w14:paraId="348E05F3" w14:textId="3B22123F" w:rsidR="00576123" w:rsidRPr="00E20D21" w:rsidRDefault="001B1E08" w:rsidP="003B15DE">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4786F828" w14:textId="410BDA7D" w:rsidR="00576123" w:rsidRPr="00E20D21" w:rsidRDefault="001B1E08" w:rsidP="003B15DE">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1FEAF38F" w14:textId="7EC9C466" w:rsidR="00576123" w:rsidRPr="00E20D21" w:rsidRDefault="001B1E08"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(2.482)</w:t>
            </w:r>
          </w:p>
        </w:tc>
        <w:tc>
          <w:tcPr>
            <w:tcW w:w="498" w:type="pct"/>
            <w:tcBorders>
              <w:top w:val="nil"/>
              <w:left w:val="nil"/>
              <w:bottom w:val="single" w:sz="4" w:space="0" w:color="F79646"/>
              <w:right w:val="nil"/>
            </w:tcBorders>
            <w:shd w:val="clear" w:color="auto" w:fill="auto"/>
            <w:vAlign w:val="center"/>
          </w:tcPr>
          <w:p w14:paraId="138E68A7" w14:textId="64A88647" w:rsidR="00576123" w:rsidRPr="00E20D21" w:rsidRDefault="001B1E08" w:rsidP="003B15DE">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r>
    </w:tbl>
    <w:bookmarkEnd w:id="41"/>
    <w:p w14:paraId="28E34121" w14:textId="3B37FA15" w:rsidR="00576123" w:rsidRPr="00E20D21" w:rsidRDefault="00551D2A" w:rsidP="00B50F49">
      <w:pPr>
        <w:jc w:val="both"/>
        <w:rPr>
          <w:rFonts w:ascii="CAIXA Std Book" w:hAnsi="CAIXA Std Book"/>
          <w:color w:val="005CA9"/>
          <w:sz w:val="14"/>
          <w:szCs w:val="14"/>
        </w:rPr>
      </w:pPr>
      <w:r w:rsidRPr="00E20D21">
        <w:rPr>
          <w:rFonts w:ascii="CAIXA Std Book" w:hAnsi="CAIXA Std Book"/>
          <w:color w:val="005CA9"/>
          <w:sz w:val="14"/>
          <w:szCs w:val="14"/>
        </w:rPr>
        <w:t xml:space="preserve">(1) Holding XS1: </w:t>
      </w:r>
      <w:r w:rsidR="000842CA" w:rsidRPr="00E20D21">
        <w:rPr>
          <w:rFonts w:ascii="CAIXA Std Book" w:hAnsi="CAIXA Std Book"/>
          <w:color w:val="005CA9"/>
          <w:sz w:val="14"/>
          <w:szCs w:val="14"/>
        </w:rPr>
        <w:t>Valores relativos às</w:t>
      </w:r>
      <w:r w:rsidRPr="00E20D21">
        <w:rPr>
          <w:rFonts w:ascii="CAIXA Std Book" w:hAnsi="CAIXA Std Book"/>
          <w:color w:val="005CA9"/>
          <w:sz w:val="14"/>
          <w:szCs w:val="14"/>
        </w:rPr>
        <w:t xml:space="preserve"> operações de fusões/aquisições.</w:t>
      </w:r>
    </w:p>
    <w:p w14:paraId="31465E57" w14:textId="77777777" w:rsidR="00576123" w:rsidRPr="00E20D21" w:rsidRDefault="00576123" w:rsidP="00576123">
      <w:pPr>
        <w:rPr>
          <w:rFonts w:ascii="CAIXA Std Book" w:hAnsi="CAIXA Std Book"/>
          <w:color w:val="005CA9"/>
          <w:sz w:val="16"/>
          <w:szCs w:val="16"/>
        </w:rPr>
      </w:pPr>
    </w:p>
    <w:tbl>
      <w:tblPr>
        <w:tblW w:w="5000" w:type="pct"/>
        <w:tblLayout w:type="fixed"/>
        <w:tblCellMar>
          <w:left w:w="70" w:type="dxa"/>
          <w:right w:w="70" w:type="dxa"/>
        </w:tblCellMar>
        <w:tblLook w:val="04A0" w:firstRow="1" w:lastRow="0" w:firstColumn="1" w:lastColumn="0" w:noHBand="0" w:noVBand="1"/>
      </w:tblPr>
      <w:tblGrid>
        <w:gridCol w:w="2962"/>
        <w:gridCol w:w="1452"/>
        <w:gridCol w:w="1451"/>
        <w:gridCol w:w="1451"/>
        <w:gridCol w:w="1451"/>
        <w:gridCol w:w="1451"/>
        <w:gridCol w:w="1451"/>
        <w:gridCol w:w="1451"/>
        <w:gridCol w:w="1451"/>
      </w:tblGrid>
      <w:tr w:rsidR="00A47C19" w:rsidRPr="00E20D21" w14:paraId="12B75FD5" w14:textId="77777777">
        <w:trPr>
          <w:trHeight w:val="221"/>
        </w:trPr>
        <w:tc>
          <w:tcPr>
            <w:tcW w:w="1016" w:type="pct"/>
            <w:vMerge w:val="restart"/>
            <w:tcBorders>
              <w:top w:val="single" w:sz="4" w:space="0" w:color="F79646"/>
              <w:left w:val="nil"/>
              <w:bottom w:val="single" w:sz="4" w:space="0" w:color="F79646"/>
              <w:right w:val="nil"/>
            </w:tcBorders>
            <w:shd w:val="clear" w:color="auto" w:fill="auto"/>
            <w:vAlign w:val="center"/>
            <w:hideMark/>
          </w:tcPr>
          <w:p w14:paraId="0A919F7D"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Descrição</w:t>
            </w:r>
          </w:p>
        </w:tc>
        <w:tc>
          <w:tcPr>
            <w:tcW w:w="3984" w:type="pct"/>
            <w:gridSpan w:val="8"/>
            <w:tcBorders>
              <w:top w:val="single" w:sz="4" w:space="0" w:color="F79646"/>
              <w:left w:val="nil"/>
              <w:bottom w:val="single" w:sz="4" w:space="0" w:color="F79646"/>
              <w:right w:val="nil"/>
            </w:tcBorders>
            <w:shd w:val="clear" w:color="auto" w:fill="auto"/>
            <w:vAlign w:val="center"/>
            <w:hideMark/>
          </w:tcPr>
          <w:p w14:paraId="0FA04658"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31/12/2023</w:t>
            </w:r>
          </w:p>
        </w:tc>
      </w:tr>
      <w:tr w:rsidR="00A47C19" w:rsidRPr="00E20D21" w14:paraId="4FA1F9FA" w14:textId="77777777">
        <w:trPr>
          <w:trHeight w:val="221"/>
        </w:trPr>
        <w:tc>
          <w:tcPr>
            <w:tcW w:w="1016" w:type="pct"/>
            <w:vMerge/>
            <w:tcBorders>
              <w:top w:val="single" w:sz="4" w:space="0" w:color="F79646"/>
              <w:left w:val="nil"/>
              <w:bottom w:val="single" w:sz="4" w:space="0" w:color="F79646"/>
              <w:right w:val="nil"/>
            </w:tcBorders>
            <w:vAlign w:val="center"/>
            <w:hideMark/>
          </w:tcPr>
          <w:p w14:paraId="1FE43B42" w14:textId="77777777" w:rsidR="00A47C19" w:rsidRPr="00E20D21" w:rsidRDefault="00A47C19">
            <w:pPr>
              <w:jc w:val="right"/>
              <w:rPr>
                <w:rFonts w:ascii="CAIXA Std Book" w:eastAsia="Times New Roman" w:hAnsi="CAIXA Std Book" w:cs="Arial"/>
                <w:b/>
                <w:bCs/>
                <w:color w:val="005CA9"/>
                <w:sz w:val="16"/>
                <w:szCs w:val="16"/>
              </w:rPr>
            </w:pPr>
          </w:p>
        </w:tc>
        <w:tc>
          <w:tcPr>
            <w:tcW w:w="498" w:type="pct"/>
            <w:tcBorders>
              <w:top w:val="nil"/>
              <w:left w:val="nil"/>
              <w:bottom w:val="single" w:sz="4" w:space="0" w:color="F79646"/>
              <w:right w:val="nil"/>
            </w:tcBorders>
            <w:shd w:val="clear" w:color="auto" w:fill="auto"/>
            <w:vAlign w:val="center"/>
            <w:hideMark/>
          </w:tcPr>
          <w:p w14:paraId="11C21464"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Holding XS1</w:t>
            </w:r>
          </w:p>
        </w:tc>
        <w:tc>
          <w:tcPr>
            <w:tcW w:w="498" w:type="pct"/>
            <w:tcBorders>
              <w:top w:val="nil"/>
              <w:left w:val="nil"/>
              <w:bottom w:val="single" w:sz="4" w:space="0" w:color="F79646"/>
              <w:right w:val="nil"/>
            </w:tcBorders>
            <w:shd w:val="clear" w:color="auto" w:fill="auto"/>
            <w:vAlign w:val="center"/>
            <w:hideMark/>
          </w:tcPr>
          <w:p w14:paraId="5D9509C2"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CNP Brasil</w:t>
            </w:r>
          </w:p>
        </w:tc>
        <w:tc>
          <w:tcPr>
            <w:tcW w:w="498" w:type="pct"/>
            <w:tcBorders>
              <w:top w:val="nil"/>
              <w:left w:val="nil"/>
              <w:bottom w:val="single" w:sz="4" w:space="0" w:color="F79646"/>
              <w:right w:val="nil"/>
            </w:tcBorders>
            <w:shd w:val="clear" w:color="auto" w:fill="auto"/>
            <w:vAlign w:val="center"/>
            <w:hideMark/>
          </w:tcPr>
          <w:p w14:paraId="39A4319E"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XS3 Seguros</w:t>
            </w:r>
          </w:p>
        </w:tc>
        <w:tc>
          <w:tcPr>
            <w:tcW w:w="498" w:type="pct"/>
            <w:tcBorders>
              <w:top w:val="nil"/>
              <w:left w:val="nil"/>
              <w:bottom w:val="single" w:sz="4" w:space="0" w:color="F79646"/>
              <w:right w:val="nil"/>
            </w:tcBorders>
            <w:shd w:val="clear" w:color="auto" w:fill="auto"/>
            <w:vAlign w:val="center"/>
            <w:hideMark/>
          </w:tcPr>
          <w:p w14:paraId="6B104194"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XS4 Capitalização</w:t>
            </w:r>
          </w:p>
        </w:tc>
        <w:tc>
          <w:tcPr>
            <w:tcW w:w="498" w:type="pct"/>
            <w:tcBorders>
              <w:top w:val="nil"/>
              <w:left w:val="nil"/>
              <w:bottom w:val="single" w:sz="4" w:space="0" w:color="F79646"/>
              <w:right w:val="nil"/>
            </w:tcBorders>
            <w:shd w:val="clear" w:color="auto" w:fill="auto"/>
            <w:vAlign w:val="center"/>
            <w:hideMark/>
          </w:tcPr>
          <w:p w14:paraId="69B0BA08"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XS5 Consórcios</w:t>
            </w:r>
          </w:p>
        </w:tc>
        <w:tc>
          <w:tcPr>
            <w:tcW w:w="498" w:type="pct"/>
            <w:tcBorders>
              <w:top w:val="nil"/>
              <w:left w:val="nil"/>
              <w:bottom w:val="single" w:sz="4" w:space="0" w:color="F79646"/>
              <w:right w:val="nil"/>
            </w:tcBorders>
            <w:shd w:val="clear" w:color="auto" w:fill="auto"/>
            <w:vAlign w:val="center"/>
            <w:hideMark/>
          </w:tcPr>
          <w:p w14:paraId="3BDDBB12"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XS6 Assistência</w:t>
            </w:r>
          </w:p>
        </w:tc>
        <w:tc>
          <w:tcPr>
            <w:tcW w:w="498" w:type="pct"/>
            <w:tcBorders>
              <w:top w:val="nil"/>
              <w:left w:val="nil"/>
              <w:bottom w:val="single" w:sz="4" w:space="0" w:color="F79646"/>
              <w:right w:val="nil"/>
            </w:tcBorders>
            <w:shd w:val="clear" w:color="auto" w:fill="auto"/>
            <w:vAlign w:val="center"/>
            <w:hideMark/>
          </w:tcPr>
          <w:p w14:paraId="445E662C"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Too Seguros</w:t>
            </w:r>
          </w:p>
        </w:tc>
        <w:tc>
          <w:tcPr>
            <w:tcW w:w="498" w:type="pct"/>
            <w:tcBorders>
              <w:top w:val="nil"/>
              <w:left w:val="nil"/>
              <w:bottom w:val="single" w:sz="4" w:space="0" w:color="F79646"/>
              <w:right w:val="nil"/>
            </w:tcBorders>
            <w:shd w:val="clear" w:color="auto" w:fill="auto"/>
            <w:vAlign w:val="center"/>
            <w:hideMark/>
          </w:tcPr>
          <w:p w14:paraId="74828E82"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PAN Corretora</w:t>
            </w:r>
          </w:p>
        </w:tc>
      </w:tr>
      <w:tr w:rsidR="00A47C19" w:rsidRPr="00E20D21" w14:paraId="15154C23" w14:textId="77777777">
        <w:trPr>
          <w:trHeight w:val="221"/>
        </w:trPr>
        <w:tc>
          <w:tcPr>
            <w:tcW w:w="1016" w:type="pct"/>
            <w:tcBorders>
              <w:top w:val="nil"/>
              <w:left w:val="nil"/>
              <w:bottom w:val="nil"/>
              <w:right w:val="nil"/>
            </w:tcBorders>
            <w:shd w:val="clear" w:color="auto" w:fill="auto"/>
            <w:vAlign w:val="center"/>
            <w:hideMark/>
          </w:tcPr>
          <w:p w14:paraId="13FFC344" w14:textId="77777777" w:rsidR="00A47C19" w:rsidRPr="00E20D21" w:rsidRDefault="00A47C19">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Ativo circulante</w:t>
            </w:r>
          </w:p>
        </w:tc>
        <w:tc>
          <w:tcPr>
            <w:tcW w:w="498" w:type="pct"/>
            <w:tcBorders>
              <w:top w:val="nil"/>
              <w:left w:val="nil"/>
              <w:bottom w:val="nil"/>
              <w:right w:val="nil"/>
            </w:tcBorders>
            <w:shd w:val="clear" w:color="auto" w:fill="auto"/>
            <w:noWrap/>
            <w:vAlign w:val="center"/>
          </w:tcPr>
          <w:p w14:paraId="55F2BA34"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159.583.335</w:t>
            </w:r>
          </w:p>
        </w:tc>
        <w:tc>
          <w:tcPr>
            <w:tcW w:w="498" w:type="pct"/>
            <w:tcBorders>
              <w:top w:val="nil"/>
              <w:left w:val="nil"/>
              <w:bottom w:val="nil"/>
              <w:right w:val="nil"/>
            </w:tcBorders>
            <w:shd w:val="clear" w:color="auto" w:fill="auto"/>
            <w:noWrap/>
            <w:vAlign w:val="center"/>
          </w:tcPr>
          <w:p w14:paraId="5BDE4710"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598.715</w:t>
            </w:r>
          </w:p>
        </w:tc>
        <w:tc>
          <w:tcPr>
            <w:tcW w:w="498" w:type="pct"/>
            <w:tcBorders>
              <w:top w:val="nil"/>
              <w:left w:val="nil"/>
              <w:bottom w:val="nil"/>
              <w:right w:val="nil"/>
            </w:tcBorders>
            <w:shd w:val="clear" w:color="auto" w:fill="auto"/>
            <w:noWrap/>
            <w:vAlign w:val="center"/>
          </w:tcPr>
          <w:p w14:paraId="79591969"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1.762.756</w:t>
            </w:r>
          </w:p>
        </w:tc>
        <w:tc>
          <w:tcPr>
            <w:tcW w:w="498" w:type="pct"/>
            <w:tcBorders>
              <w:top w:val="nil"/>
              <w:left w:val="nil"/>
              <w:bottom w:val="nil"/>
              <w:right w:val="nil"/>
            </w:tcBorders>
            <w:shd w:val="clear" w:color="auto" w:fill="auto"/>
            <w:vAlign w:val="center"/>
          </w:tcPr>
          <w:p w14:paraId="6A30C0D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1.250.456</w:t>
            </w:r>
          </w:p>
        </w:tc>
        <w:tc>
          <w:tcPr>
            <w:tcW w:w="498" w:type="pct"/>
            <w:tcBorders>
              <w:top w:val="nil"/>
              <w:left w:val="nil"/>
              <w:bottom w:val="nil"/>
              <w:right w:val="nil"/>
            </w:tcBorders>
            <w:shd w:val="clear" w:color="auto" w:fill="auto"/>
            <w:noWrap/>
            <w:vAlign w:val="center"/>
          </w:tcPr>
          <w:p w14:paraId="6B63B187"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263.845</w:t>
            </w:r>
          </w:p>
        </w:tc>
        <w:tc>
          <w:tcPr>
            <w:tcW w:w="498" w:type="pct"/>
            <w:tcBorders>
              <w:top w:val="nil"/>
              <w:left w:val="nil"/>
              <w:bottom w:val="nil"/>
              <w:right w:val="nil"/>
            </w:tcBorders>
            <w:shd w:val="clear" w:color="auto" w:fill="auto"/>
            <w:noWrap/>
            <w:vAlign w:val="center"/>
          </w:tcPr>
          <w:p w14:paraId="6A9E80AD"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71.811</w:t>
            </w:r>
          </w:p>
        </w:tc>
        <w:tc>
          <w:tcPr>
            <w:tcW w:w="498" w:type="pct"/>
            <w:tcBorders>
              <w:top w:val="nil"/>
              <w:left w:val="nil"/>
              <w:bottom w:val="nil"/>
              <w:right w:val="nil"/>
            </w:tcBorders>
            <w:shd w:val="clear" w:color="auto" w:fill="auto"/>
            <w:noWrap/>
            <w:vAlign w:val="center"/>
          </w:tcPr>
          <w:p w14:paraId="5DBB57C5"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748.160</w:t>
            </w:r>
          </w:p>
        </w:tc>
        <w:tc>
          <w:tcPr>
            <w:tcW w:w="498" w:type="pct"/>
            <w:tcBorders>
              <w:top w:val="nil"/>
              <w:left w:val="nil"/>
              <w:bottom w:val="nil"/>
              <w:right w:val="nil"/>
            </w:tcBorders>
            <w:shd w:val="clear" w:color="auto" w:fill="auto"/>
            <w:noWrap/>
            <w:vAlign w:val="center"/>
          </w:tcPr>
          <w:p w14:paraId="7723021F"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69.982</w:t>
            </w:r>
          </w:p>
        </w:tc>
      </w:tr>
      <w:tr w:rsidR="00A47C19" w:rsidRPr="00E20D21" w14:paraId="2DC9808A" w14:textId="77777777">
        <w:trPr>
          <w:trHeight w:val="221"/>
        </w:trPr>
        <w:tc>
          <w:tcPr>
            <w:tcW w:w="1016" w:type="pct"/>
            <w:tcBorders>
              <w:top w:val="nil"/>
              <w:left w:val="nil"/>
              <w:bottom w:val="nil"/>
              <w:right w:val="nil"/>
            </w:tcBorders>
            <w:shd w:val="clear" w:color="auto" w:fill="auto"/>
            <w:vAlign w:val="center"/>
            <w:hideMark/>
          </w:tcPr>
          <w:p w14:paraId="6D168B57" w14:textId="77777777" w:rsidR="00A47C19" w:rsidRPr="00E20D21" w:rsidRDefault="00A47C19">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Ativo não circulante</w:t>
            </w:r>
          </w:p>
        </w:tc>
        <w:tc>
          <w:tcPr>
            <w:tcW w:w="498" w:type="pct"/>
            <w:tcBorders>
              <w:top w:val="nil"/>
              <w:left w:val="nil"/>
              <w:bottom w:val="nil"/>
              <w:right w:val="nil"/>
            </w:tcBorders>
            <w:shd w:val="clear" w:color="auto" w:fill="auto"/>
            <w:noWrap/>
            <w:vAlign w:val="center"/>
          </w:tcPr>
          <w:p w14:paraId="14EC8464"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14.471.420</w:t>
            </w:r>
          </w:p>
        </w:tc>
        <w:tc>
          <w:tcPr>
            <w:tcW w:w="498" w:type="pct"/>
            <w:tcBorders>
              <w:top w:val="nil"/>
              <w:left w:val="nil"/>
              <w:bottom w:val="nil"/>
              <w:right w:val="nil"/>
            </w:tcBorders>
            <w:shd w:val="clear" w:color="auto" w:fill="auto"/>
            <w:noWrap/>
            <w:vAlign w:val="center"/>
          </w:tcPr>
          <w:p w14:paraId="509FA680"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4.767.277</w:t>
            </w:r>
          </w:p>
        </w:tc>
        <w:tc>
          <w:tcPr>
            <w:tcW w:w="498" w:type="pct"/>
            <w:tcBorders>
              <w:top w:val="nil"/>
              <w:left w:val="nil"/>
              <w:bottom w:val="nil"/>
              <w:right w:val="nil"/>
            </w:tcBorders>
            <w:shd w:val="clear" w:color="auto" w:fill="auto"/>
            <w:noWrap/>
            <w:vAlign w:val="center"/>
          </w:tcPr>
          <w:p w14:paraId="17C362DB"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1.314.148</w:t>
            </w:r>
          </w:p>
        </w:tc>
        <w:tc>
          <w:tcPr>
            <w:tcW w:w="498" w:type="pct"/>
            <w:tcBorders>
              <w:top w:val="nil"/>
              <w:left w:val="nil"/>
              <w:bottom w:val="nil"/>
              <w:right w:val="nil"/>
            </w:tcBorders>
            <w:shd w:val="clear" w:color="auto" w:fill="auto"/>
            <w:vAlign w:val="center"/>
          </w:tcPr>
          <w:p w14:paraId="3DB423AE"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651.864</w:t>
            </w:r>
          </w:p>
        </w:tc>
        <w:tc>
          <w:tcPr>
            <w:tcW w:w="498" w:type="pct"/>
            <w:tcBorders>
              <w:top w:val="nil"/>
              <w:left w:val="nil"/>
              <w:bottom w:val="nil"/>
              <w:right w:val="nil"/>
            </w:tcBorders>
            <w:shd w:val="clear" w:color="auto" w:fill="auto"/>
            <w:noWrap/>
            <w:vAlign w:val="center"/>
          </w:tcPr>
          <w:p w14:paraId="42C9A5E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570.831</w:t>
            </w:r>
          </w:p>
        </w:tc>
        <w:tc>
          <w:tcPr>
            <w:tcW w:w="498" w:type="pct"/>
            <w:tcBorders>
              <w:top w:val="nil"/>
              <w:left w:val="nil"/>
              <w:bottom w:val="nil"/>
              <w:right w:val="nil"/>
            </w:tcBorders>
            <w:shd w:val="clear" w:color="auto" w:fill="auto"/>
            <w:noWrap/>
            <w:vAlign w:val="center"/>
          </w:tcPr>
          <w:p w14:paraId="4CEF3529"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29.308</w:t>
            </w:r>
          </w:p>
        </w:tc>
        <w:tc>
          <w:tcPr>
            <w:tcW w:w="498" w:type="pct"/>
            <w:tcBorders>
              <w:top w:val="nil"/>
              <w:left w:val="nil"/>
              <w:bottom w:val="nil"/>
              <w:right w:val="nil"/>
            </w:tcBorders>
            <w:shd w:val="clear" w:color="auto" w:fill="auto"/>
            <w:noWrap/>
            <w:vAlign w:val="center"/>
          </w:tcPr>
          <w:p w14:paraId="0FD74B5A"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1.594.120</w:t>
            </w:r>
          </w:p>
        </w:tc>
        <w:tc>
          <w:tcPr>
            <w:tcW w:w="498" w:type="pct"/>
            <w:tcBorders>
              <w:top w:val="nil"/>
              <w:left w:val="nil"/>
              <w:bottom w:val="nil"/>
              <w:right w:val="nil"/>
            </w:tcBorders>
            <w:shd w:val="clear" w:color="auto" w:fill="auto"/>
            <w:noWrap/>
            <w:vAlign w:val="center"/>
          </w:tcPr>
          <w:p w14:paraId="51726CE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105</w:t>
            </w:r>
          </w:p>
        </w:tc>
      </w:tr>
      <w:tr w:rsidR="00A47C19" w:rsidRPr="00E20D21" w14:paraId="158C019A" w14:textId="77777777">
        <w:trPr>
          <w:trHeight w:val="221"/>
        </w:trPr>
        <w:tc>
          <w:tcPr>
            <w:tcW w:w="1016" w:type="pct"/>
            <w:tcBorders>
              <w:top w:val="nil"/>
              <w:left w:val="nil"/>
              <w:bottom w:val="nil"/>
              <w:right w:val="nil"/>
            </w:tcBorders>
            <w:shd w:val="clear" w:color="auto" w:fill="auto"/>
            <w:vAlign w:val="center"/>
            <w:hideMark/>
          </w:tcPr>
          <w:p w14:paraId="2654E9B4" w14:textId="77777777" w:rsidR="00A47C19" w:rsidRPr="00E20D21" w:rsidRDefault="00A47C19">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Passivo circulante</w:t>
            </w:r>
          </w:p>
        </w:tc>
        <w:tc>
          <w:tcPr>
            <w:tcW w:w="498" w:type="pct"/>
            <w:tcBorders>
              <w:top w:val="nil"/>
              <w:left w:val="nil"/>
              <w:bottom w:val="nil"/>
              <w:right w:val="nil"/>
            </w:tcBorders>
            <w:shd w:val="clear" w:color="auto" w:fill="auto"/>
            <w:noWrap/>
            <w:vAlign w:val="center"/>
          </w:tcPr>
          <w:p w14:paraId="22966161"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159.549.283</w:t>
            </w:r>
          </w:p>
        </w:tc>
        <w:tc>
          <w:tcPr>
            <w:tcW w:w="498" w:type="pct"/>
            <w:tcBorders>
              <w:top w:val="nil"/>
              <w:left w:val="nil"/>
              <w:bottom w:val="nil"/>
              <w:right w:val="nil"/>
            </w:tcBorders>
            <w:shd w:val="clear" w:color="auto" w:fill="auto"/>
            <w:noWrap/>
            <w:vAlign w:val="center"/>
          </w:tcPr>
          <w:p w14:paraId="7E22888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564.918</w:t>
            </w:r>
          </w:p>
        </w:tc>
        <w:tc>
          <w:tcPr>
            <w:tcW w:w="498" w:type="pct"/>
            <w:tcBorders>
              <w:top w:val="nil"/>
              <w:left w:val="nil"/>
              <w:bottom w:val="nil"/>
              <w:right w:val="nil"/>
            </w:tcBorders>
            <w:shd w:val="clear" w:color="auto" w:fill="auto"/>
            <w:noWrap/>
            <w:vAlign w:val="center"/>
          </w:tcPr>
          <w:p w14:paraId="0DDD598D"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1.166.155</w:t>
            </w:r>
          </w:p>
        </w:tc>
        <w:tc>
          <w:tcPr>
            <w:tcW w:w="498" w:type="pct"/>
            <w:tcBorders>
              <w:top w:val="nil"/>
              <w:left w:val="nil"/>
              <w:bottom w:val="nil"/>
              <w:right w:val="nil"/>
            </w:tcBorders>
            <w:shd w:val="clear" w:color="auto" w:fill="auto"/>
            <w:vAlign w:val="center"/>
          </w:tcPr>
          <w:p w14:paraId="7FC11EE8"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1.586.049</w:t>
            </w:r>
          </w:p>
        </w:tc>
        <w:tc>
          <w:tcPr>
            <w:tcW w:w="498" w:type="pct"/>
            <w:tcBorders>
              <w:top w:val="nil"/>
              <w:left w:val="nil"/>
              <w:bottom w:val="nil"/>
              <w:right w:val="nil"/>
            </w:tcBorders>
            <w:shd w:val="clear" w:color="auto" w:fill="auto"/>
            <w:noWrap/>
            <w:vAlign w:val="center"/>
          </w:tcPr>
          <w:p w14:paraId="2ECB9C53"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165.821</w:t>
            </w:r>
          </w:p>
        </w:tc>
        <w:tc>
          <w:tcPr>
            <w:tcW w:w="498" w:type="pct"/>
            <w:tcBorders>
              <w:top w:val="nil"/>
              <w:left w:val="nil"/>
              <w:bottom w:val="nil"/>
              <w:right w:val="nil"/>
            </w:tcBorders>
            <w:shd w:val="clear" w:color="auto" w:fill="auto"/>
            <w:noWrap/>
            <w:vAlign w:val="center"/>
          </w:tcPr>
          <w:p w14:paraId="5438E14F"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58.954</w:t>
            </w:r>
          </w:p>
        </w:tc>
        <w:tc>
          <w:tcPr>
            <w:tcW w:w="498" w:type="pct"/>
            <w:tcBorders>
              <w:top w:val="nil"/>
              <w:left w:val="nil"/>
              <w:bottom w:val="nil"/>
              <w:right w:val="nil"/>
            </w:tcBorders>
            <w:shd w:val="clear" w:color="auto" w:fill="auto"/>
            <w:noWrap/>
            <w:vAlign w:val="center"/>
          </w:tcPr>
          <w:p w14:paraId="252886A4"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1.388.820</w:t>
            </w:r>
          </w:p>
        </w:tc>
        <w:tc>
          <w:tcPr>
            <w:tcW w:w="498" w:type="pct"/>
            <w:tcBorders>
              <w:top w:val="nil"/>
              <w:left w:val="nil"/>
              <w:bottom w:val="nil"/>
              <w:right w:val="nil"/>
            </w:tcBorders>
            <w:shd w:val="clear" w:color="auto" w:fill="auto"/>
            <w:vAlign w:val="center"/>
          </w:tcPr>
          <w:p w14:paraId="1EC20D7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8.187</w:t>
            </w:r>
          </w:p>
        </w:tc>
      </w:tr>
      <w:tr w:rsidR="00A47C19" w:rsidRPr="00E20D21" w14:paraId="77DE1648" w14:textId="77777777">
        <w:trPr>
          <w:trHeight w:val="221"/>
        </w:trPr>
        <w:tc>
          <w:tcPr>
            <w:tcW w:w="1016" w:type="pct"/>
            <w:tcBorders>
              <w:top w:val="nil"/>
              <w:left w:val="nil"/>
              <w:bottom w:val="nil"/>
              <w:right w:val="nil"/>
            </w:tcBorders>
            <w:shd w:val="clear" w:color="auto" w:fill="auto"/>
            <w:vAlign w:val="center"/>
            <w:hideMark/>
          </w:tcPr>
          <w:p w14:paraId="37262339" w14:textId="77777777" w:rsidR="00A47C19" w:rsidRPr="00E20D21" w:rsidRDefault="00A47C19">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Passivo não circulante</w:t>
            </w:r>
          </w:p>
        </w:tc>
        <w:tc>
          <w:tcPr>
            <w:tcW w:w="498" w:type="pct"/>
            <w:tcBorders>
              <w:top w:val="nil"/>
              <w:left w:val="nil"/>
              <w:bottom w:val="nil"/>
              <w:right w:val="nil"/>
            </w:tcBorders>
            <w:shd w:val="clear" w:color="auto" w:fill="auto"/>
            <w:noWrap/>
            <w:vAlign w:val="center"/>
          </w:tcPr>
          <w:p w14:paraId="4D2216FA"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1.994.839</w:t>
            </w:r>
          </w:p>
        </w:tc>
        <w:tc>
          <w:tcPr>
            <w:tcW w:w="498" w:type="pct"/>
            <w:tcBorders>
              <w:top w:val="nil"/>
              <w:left w:val="nil"/>
              <w:bottom w:val="nil"/>
              <w:right w:val="nil"/>
            </w:tcBorders>
            <w:shd w:val="clear" w:color="auto" w:fill="auto"/>
            <w:noWrap/>
            <w:vAlign w:val="center"/>
          </w:tcPr>
          <w:p w14:paraId="2FD8436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48</w:t>
            </w:r>
          </w:p>
        </w:tc>
        <w:tc>
          <w:tcPr>
            <w:tcW w:w="498" w:type="pct"/>
            <w:tcBorders>
              <w:top w:val="nil"/>
              <w:left w:val="nil"/>
              <w:bottom w:val="nil"/>
              <w:right w:val="nil"/>
            </w:tcBorders>
            <w:shd w:val="clear" w:color="auto" w:fill="auto"/>
            <w:noWrap/>
            <w:vAlign w:val="center"/>
          </w:tcPr>
          <w:p w14:paraId="169F4E78"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287</w:t>
            </w:r>
          </w:p>
        </w:tc>
        <w:tc>
          <w:tcPr>
            <w:tcW w:w="498" w:type="pct"/>
            <w:tcBorders>
              <w:top w:val="nil"/>
              <w:left w:val="nil"/>
              <w:bottom w:val="nil"/>
              <w:right w:val="nil"/>
            </w:tcBorders>
            <w:shd w:val="clear" w:color="auto" w:fill="auto"/>
            <w:vAlign w:val="center"/>
          </w:tcPr>
          <w:p w14:paraId="789208F6"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3.869</w:t>
            </w:r>
          </w:p>
        </w:tc>
        <w:tc>
          <w:tcPr>
            <w:tcW w:w="498" w:type="pct"/>
            <w:tcBorders>
              <w:top w:val="nil"/>
              <w:left w:val="nil"/>
              <w:bottom w:val="nil"/>
              <w:right w:val="nil"/>
            </w:tcBorders>
            <w:shd w:val="clear" w:color="auto" w:fill="auto"/>
            <w:noWrap/>
            <w:vAlign w:val="center"/>
          </w:tcPr>
          <w:p w14:paraId="156ECE7D"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167.225</w:t>
            </w:r>
          </w:p>
        </w:tc>
        <w:tc>
          <w:tcPr>
            <w:tcW w:w="498" w:type="pct"/>
            <w:tcBorders>
              <w:top w:val="nil"/>
              <w:left w:val="nil"/>
              <w:bottom w:val="nil"/>
              <w:right w:val="nil"/>
            </w:tcBorders>
            <w:shd w:val="clear" w:color="auto" w:fill="auto"/>
            <w:noWrap/>
            <w:vAlign w:val="center"/>
          </w:tcPr>
          <w:p w14:paraId="56F45478"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311</w:t>
            </w:r>
          </w:p>
        </w:tc>
        <w:tc>
          <w:tcPr>
            <w:tcW w:w="498" w:type="pct"/>
            <w:tcBorders>
              <w:top w:val="nil"/>
              <w:left w:val="nil"/>
              <w:bottom w:val="nil"/>
              <w:right w:val="nil"/>
            </w:tcBorders>
            <w:shd w:val="clear" w:color="auto" w:fill="auto"/>
            <w:noWrap/>
            <w:vAlign w:val="center"/>
          </w:tcPr>
          <w:p w14:paraId="76596F3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43.947</w:t>
            </w:r>
          </w:p>
        </w:tc>
        <w:tc>
          <w:tcPr>
            <w:tcW w:w="498" w:type="pct"/>
            <w:tcBorders>
              <w:top w:val="nil"/>
              <w:left w:val="nil"/>
              <w:bottom w:val="nil"/>
              <w:right w:val="nil"/>
            </w:tcBorders>
            <w:shd w:val="clear" w:color="auto" w:fill="auto"/>
            <w:noWrap/>
            <w:vAlign w:val="center"/>
          </w:tcPr>
          <w:p w14:paraId="600D435C"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w:t>
            </w:r>
          </w:p>
        </w:tc>
      </w:tr>
      <w:tr w:rsidR="00A47C19" w:rsidRPr="00E20D21" w14:paraId="733211EC" w14:textId="77777777">
        <w:trPr>
          <w:trHeight w:val="221"/>
        </w:trPr>
        <w:tc>
          <w:tcPr>
            <w:tcW w:w="1016" w:type="pct"/>
            <w:tcBorders>
              <w:top w:val="nil"/>
              <w:left w:val="nil"/>
              <w:bottom w:val="nil"/>
              <w:right w:val="nil"/>
            </w:tcBorders>
            <w:shd w:val="clear" w:color="auto" w:fill="auto"/>
            <w:vAlign w:val="center"/>
            <w:hideMark/>
          </w:tcPr>
          <w:p w14:paraId="1E09BDA5"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contingente</w:t>
            </w:r>
          </w:p>
        </w:tc>
        <w:tc>
          <w:tcPr>
            <w:tcW w:w="498" w:type="pct"/>
            <w:tcBorders>
              <w:top w:val="nil"/>
              <w:left w:val="nil"/>
              <w:bottom w:val="nil"/>
              <w:right w:val="nil"/>
            </w:tcBorders>
            <w:shd w:val="clear" w:color="auto" w:fill="auto"/>
            <w:noWrap/>
            <w:vAlign w:val="center"/>
          </w:tcPr>
          <w:p w14:paraId="76BD3596"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870.635</w:t>
            </w:r>
          </w:p>
        </w:tc>
        <w:tc>
          <w:tcPr>
            <w:tcW w:w="498" w:type="pct"/>
            <w:tcBorders>
              <w:top w:val="nil"/>
              <w:left w:val="nil"/>
              <w:bottom w:val="nil"/>
              <w:right w:val="nil"/>
            </w:tcBorders>
            <w:shd w:val="clear" w:color="auto" w:fill="auto"/>
            <w:noWrap/>
            <w:vAlign w:val="center"/>
          </w:tcPr>
          <w:p w14:paraId="53BDA2BE"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b/>
                <w:bCs/>
                <w:color w:val="005CA9"/>
                <w:sz w:val="16"/>
                <w:szCs w:val="16"/>
              </w:rPr>
              <w:t>-</w:t>
            </w:r>
          </w:p>
        </w:tc>
        <w:tc>
          <w:tcPr>
            <w:tcW w:w="498" w:type="pct"/>
            <w:tcBorders>
              <w:top w:val="nil"/>
              <w:left w:val="nil"/>
              <w:bottom w:val="nil"/>
              <w:right w:val="nil"/>
            </w:tcBorders>
            <w:shd w:val="clear" w:color="auto" w:fill="auto"/>
            <w:noWrap/>
            <w:vAlign w:val="center"/>
          </w:tcPr>
          <w:p w14:paraId="2D19388E"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387</w:t>
            </w:r>
          </w:p>
        </w:tc>
        <w:tc>
          <w:tcPr>
            <w:tcW w:w="498" w:type="pct"/>
            <w:tcBorders>
              <w:top w:val="nil"/>
              <w:left w:val="nil"/>
              <w:bottom w:val="nil"/>
              <w:right w:val="nil"/>
            </w:tcBorders>
            <w:shd w:val="clear" w:color="auto" w:fill="auto"/>
            <w:noWrap/>
            <w:vAlign w:val="center"/>
          </w:tcPr>
          <w:p w14:paraId="3B9B57C8"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360</w:t>
            </w:r>
          </w:p>
        </w:tc>
        <w:tc>
          <w:tcPr>
            <w:tcW w:w="498" w:type="pct"/>
            <w:tcBorders>
              <w:top w:val="nil"/>
              <w:left w:val="nil"/>
              <w:bottom w:val="nil"/>
              <w:right w:val="nil"/>
            </w:tcBorders>
            <w:shd w:val="clear" w:color="auto" w:fill="auto"/>
            <w:noWrap/>
            <w:vAlign w:val="center"/>
          </w:tcPr>
          <w:p w14:paraId="51837656" w14:textId="77777777" w:rsidR="00A47C19" w:rsidRPr="00E20D21" w:rsidRDefault="00A47C19">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3B5FA38C"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5F1217AF"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14.324</w:t>
            </w:r>
          </w:p>
        </w:tc>
        <w:tc>
          <w:tcPr>
            <w:tcW w:w="498" w:type="pct"/>
            <w:tcBorders>
              <w:top w:val="nil"/>
              <w:left w:val="nil"/>
              <w:bottom w:val="nil"/>
              <w:right w:val="nil"/>
            </w:tcBorders>
            <w:shd w:val="clear" w:color="auto" w:fill="auto"/>
            <w:noWrap/>
            <w:vAlign w:val="center"/>
          </w:tcPr>
          <w:p w14:paraId="54238F02"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r>
      <w:tr w:rsidR="00A47C19" w:rsidRPr="00E20D21" w14:paraId="6116F3AE" w14:textId="77777777">
        <w:trPr>
          <w:trHeight w:val="221"/>
        </w:trPr>
        <w:tc>
          <w:tcPr>
            <w:tcW w:w="1016" w:type="pct"/>
            <w:tcBorders>
              <w:top w:val="nil"/>
              <w:left w:val="nil"/>
              <w:bottom w:val="nil"/>
              <w:right w:val="nil"/>
            </w:tcBorders>
            <w:shd w:val="clear" w:color="auto" w:fill="auto"/>
            <w:vAlign w:val="center"/>
            <w:hideMark/>
          </w:tcPr>
          <w:p w14:paraId="62E66E89"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Receitas</w:t>
            </w:r>
          </w:p>
        </w:tc>
        <w:tc>
          <w:tcPr>
            <w:tcW w:w="498" w:type="pct"/>
            <w:tcBorders>
              <w:top w:val="nil"/>
              <w:left w:val="nil"/>
              <w:bottom w:val="nil"/>
              <w:right w:val="nil"/>
            </w:tcBorders>
            <w:shd w:val="clear" w:color="auto" w:fill="auto"/>
            <w:noWrap/>
            <w:vAlign w:val="center"/>
          </w:tcPr>
          <w:p w14:paraId="3D2B7BE0"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24.758.869</w:t>
            </w:r>
          </w:p>
        </w:tc>
        <w:tc>
          <w:tcPr>
            <w:tcW w:w="498" w:type="pct"/>
            <w:tcBorders>
              <w:top w:val="nil"/>
              <w:left w:val="nil"/>
              <w:bottom w:val="nil"/>
              <w:right w:val="nil"/>
            </w:tcBorders>
            <w:shd w:val="clear" w:color="auto" w:fill="auto"/>
            <w:noWrap/>
            <w:vAlign w:val="center"/>
          </w:tcPr>
          <w:p w14:paraId="483C0EC0"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1.202.305</w:t>
            </w:r>
          </w:p>
        </w:tc>
        <w:tc>
          <w:tcPr>
            <w:tcW w:w="498" w:type="pct"/>
            <w:tcBorders>
              <w:top w:val="nil"/>
              <w:left w:val="nil"/>
              <w:bottom w:val="nil"/>
              <w:right w:val="nil"/>
            </w:tcBorders>
            <w:shd w:val="clear" w:color="auto" w:fill="auto"/>
            <w:noWrap/>
            <w:vAlign w:val="center"/>
          </w:tcPr>
          <w:p w14:paraId="430EB570"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1.069.737</w:t>
            </w:r>
          </w:p>
        </w:tc>
        <w:tc>
          <w:tcPr>
            <w:tcW w:w="498" w:type="pct"/>
            <w:tcBorders>
              <w:top w:val="nil"/>
              <w:left w:val="nil"/>
              <w:bottom w:val="nil"/>
              <w:right w:val="nil"/>
            </w:tcBorders>
            <w:shd w:val="clear" w:color="auto" w:fill="auto"/>
            <w:noWrap/>
            <w:vAlign w:val="center"/>
          </w:tcPr>
          <w:p w14:paraId="265373CA"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545.796</w:t>
            </w:r>
          </w:p>
        </w:tc>
        <w:tc>
          <w:tcPr>
            <w:tcW w:w="498" w:type="pct"/>
            <w:tcBorders>
              <w:top w:val="nil"/>
              <w:left w:val="nil"/>
              <w:bottom w:val="nil"/>
              <w:right w:val="nil"/>
            </w:tcBorders>
            <w:shd w:val="clear" w:color="auto" w:fill="auto"/>
            <w:noWrap/>
            <w:vAlign w:val="center"/>
          </w:tcPr>
          <w:p w14:paraId="6A8DC7A6"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340.988</w:t>
            </w:r>
          </w:p>
        </w:tc>
        <w:tc>
          <w:tcPr>
            <w:tcW w:w="498" w:type="pct"/>
            <w:tcBorders>
              <w:top w:val="nil"/>
              <w:left w:val="nil"/>
              <w:bottom w:val="nil"/>
              <w:right w:val="nil"/>
            </w:tcBorders>
            <w:shd w:val="clear" w:color="auto" w:fill="auto"/>
            <w:noWrap/>
            <w:vAlign w:val="center"/>
          </w:tcPr>
          <w:p w14:paraId="5C311F24"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152.412</w:t>
            </w:r>
          </w:p>
        </w:tc>
        <w:tc>
          <w:tcPr>
            <w:tcW w:w="498" w:type="pct"/>
            <w:tcBorders>
              <w:top w:val="nil"/>
              <w:left w:val="nil"/>
              <w:bottom w:val="nil"/>
              <w:right w:val="nil"/>
            </w:tcBorders>
            <w:shd w:val="clear" w:color="auto" w:fill="auto"/>
            <w:noWrap/>
            <w:vAlign w:val="center"/>
          </w:tcPr>
          <w:p w14:paraId="6384A13C"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1.359.082</w:t>
            </w:r>
          </w:p>
        </w:tc>
        <w:tc>
          <w:tcPr>
            <w:tcW w:w="498" w:type="pct"/>
            <w:tcBorders>
              <w:top w:val="nil"/>
              <w:left w:val="nil"/>
              <w:bottom w:val="nil"/>
              <w:right w:val="nil"/>
            </w:tcBorders>
            <w:shd w:val="clear" w:color="auto" w:fill="auto"/>
            <w:vAlign w:val="center"/>
          </w:tcPr>
          <w:p w14:paraId="722A6FFB"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76.290</w:t>
            </w:r>
          </w:p>
        </w:tc>
      </w:tr>
      <w:tr w:rsidR="00A47C19" w:rsidRPr="00E20D21" w14:paraId="59236D7C" w14:textId="77777777">
        <w:trPr>
          <w:trHeight w:val="221"/>
        </w:trPr>
        <w:tc>
          <w:tcPr>
            <w:tcW w:w="1016" w:type="pct"/>
            <w:tcBorders>
              <w:top w:val="nil"/>
              <w:left w:val="nil"/>
              <w:bottom w:val="nil"/>
              <w:right w:val="nil"/>
            </w:tcBorders>
            <w:shd w:val="clear" w:color="auto" w:fill="auto"/>
            <w:vAlign w:val="center"/>
            <w:hideMark/>
          </w:tcPr>
          <w:p w14:paraId="488F5205"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Despesas</w:t>
            </w:r>
          </w:p>
        </w:tc>
        <w:tc>
          <w:tcPr>
            <w:tcW w:w="498" w:type="pct"/>
            <w:tcBorders>
              <w:top w:val="nil"/>
              <w:left w:val="nil"/>
              <w:bottom w:val="nil"/>
              <w:right w:val="nil"/>
            </w:tcBorders>
            <w:shd w:val="clear" w:color="auto" w:fill="auto"/>
            <w:noWrap/>
            <w:vAlign w:val="center"/>
          </w:tcPr>
          <w:p w14:paraId="3D4A74AA"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(22.487.606)</w:t>
            </w:r>
          </w:p>
        </w:tc>
        <w:tc>
          <w:tcPr>
            <w:tcW w:w="498" w:type="pct"/>
            <w:tcBorders>
              <w:top w:val="nil"/>
              <w:left w:val="nil"/>
              <w:bottom w:val="nil"/>
              <w:right w:val="nil"/>
            </w:tcBorders>
            <w:shd w:val="clear" w:color="auto" w:fill="auto"/>
            <w:noWrap/>
            <w:vAlign w:val="center"/>
          </w:tcPr>
          <w:p w14:paraId="6C6A7858"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(33.614)</w:t>
            </w:r>
          </w:p>
        </w:tc>
        <w:tc>
          <w:tcPr>
            <w:tcW w:w="498" w:type="pct"/>
            <w:tcBorders>
              <w:top w:val="nil"/>
              <w:left w:val="nil"/>
              <w:bottom w:val="nil"/>
              <w:right w:val="nil"/>
            </w:tcBorders>
            <w:shd w:val="clear" w:color="auto" w:fill="auto"/>
            <w:noWrap/>
            <w:vAlign w:val="center"/>
          </w:tcPr>
          <w:p w14:paraId="4B97B8F6"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(451.650)</w:t>
            </w:r>
          </w:p>
        </w:tc>
        <w:tc>
          <w:tcPr>
            <w:tcW w:w="498" w:type="pct"/>
            <w:tcBorders>
              <w:top w:val="nil"/>
              <w:left w:val="nil"/>
              <w:bottom w:val="nil"/>
              <w:right w:val="nil"/>
            </w:tcBorders>
            <w:shd w:val="clear" w:color="auto" w:fill="auto"/>
            <w:noWrap/>
            <w:vAlign w:val="center"/>
          </w:tcPr>
          <w:p w14:paraId="169F8BEA"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(377.736)</w:t>
            </w:r>
          </w:p>
        </w:tc>
        <w:tc>
          <w:tcPr>
            <w:tcW w:w="498" w:type="pct"/>
            <w:tcBorders>
              <w:top w:val="nil"/>
              <w:left w:val="nil"/>
              <w:bottom w:val="nil"/>
              <w:right w:val="nil"/>
            </w:tcBorders>
            <w:shd w:val="clear" w:color="auto" w:fill="auto"/>
            <w:noWrap/>
            <w:vAlign w:val="center"/>
          </w:tcPr>
          <w:p w14:paraId="01C73B9F"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(262.778)</w:t>
            </w:r>
          </w:p>
        </w:tc>
        <w:tc>
          <w:tcPr>
            <w:tcW w:w="498" w:type="pct"/>
            <w:tcBorders>
              <w:top w:val="nil"/>
              <w:left w:val="nil"/>
              <w:bottom w:val="nil"/>
              <w:right w:val="nil"/>
            </w:tcBorders>
            <w:shd w:val="clear" w:color="auto" w:fill="auto"/>
            <w:noWrap/>
            <w:vAlign w:val="center"/>
          </w:tcPr>
          <w:p w14:paraId="5346EB4C"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(128.907)</w:t>
            </w:r>
          </w:p>
        </w:tc>
        <w:tc>
          <w:tcPr>
            <w:tcW w:w="498" w:type="pct"/>
            <w:tcBorders>
              <w:top w:val="nil"/>
              <w:left w:val="nil"/>
              <w:bottom w:val="nil"/>
              <w:right w:val="nil"/>
            </w:tcBorders>
            <w:shd w:val="clear" w:color="auto" w:fill="auto"/>
            <w:noWrap/>
            <w:vAlign w:val="center"/>
          </w:tcPr>
          <w:p w14:paraId="62BDA6B7"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(1.040.862)</w:t>
            </w:r>
          </w:p>
        </w:tc>
        <w:tc>
          <w:tcPr>
            <w:tcW w:w="498" w:type="pct"/>
            <w:tcBorders>
              <w:top w:val="nil"/>
              <w:left w:val="nil"/>
              <w:bottom w:val="nil"/>
              <w:right w:val="nil"/>
            </w:tcBorders>
            <w:shd w:val="clear" w:color="auto" w:fill="auto"/>
            <w:vAlign w:val="center"/>
          </w:tcPr>
          <w:p w14:paraId="20B19EBD"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(15.668)</w:t>
            </w:r>
          </w:p>
        </w:tc>
      </w:tr>
      <w:tr w:rsidR="00A47C19" w:rsidRPr="00E20D21" w14:paraId="0734204E" w14:textId="77777777">
        <w:trPr>
          <w:trHeight w:val="221"/>
        </w:trPr>
        <w:tc>
          <w:tcPr>
            <w:tcW w:w="1016" w:type="pct"/>
            <w:tcBorders>
              <w:top w:val="nil"/>
              <w:left w:val="nil"/>
              <w:bottom w:val="nil"/>
              <w:right w:val="nil"/>
            </w:tcBorders>
            <w:shd w:val="clear" w:color="auto" w:fill="auto"/>
            <w:vAlign w:val="center"/>
            <w:hideMark/>
          </w:tcPr>
          <w:p w14:paraId="3F2C0A0F" w14:textId="77777777" w:rsidR="00A47C19" w:rsidRPr="00E20D21" w:rsidRDefault="00A47C19">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Lucro/ Prejuízo do período</w:t>
            </w:r>
          </w:p>
        </w:tc>
        <w:tc>
          <w:tcPr>
            <w:tcW w:w="498" w:type="pct"/>
            <w:tcBorders>
              <w:top w:val="nil"/>
              <w:left w:val="nil"/>
              <w:bottom w:val="nil"/>
              <w:right w:val="nil"/>
            </w:tcBorders>
            <w:shd w:val="clear" w:color="auto" w:fill="auto"/>
            <w:noWrap/>
            <w:vAlign w:val="center"/>
          </w:tcPr>
          <w:p w14:paraId="178ABD64"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2.271.263</w:t>
            </w:r>
          </w:p>
        </w:tc>
        <w:tc>
          <w:tcPr>
            <w:tcW w:w="498" w:type="pct"/>
            <w:tcBorders>
              <w:top w:val="nil"/>
              <w:left w:val="nil"/>
              <w:bottom w:val="nil"/>
              <w:right w:val="nil"/>
            </w:tcBorders>
            <w:shd w:val="clear" w:color="auto" w:fill="auto"/>
            <w:noWrap/>
            <w:vAlign w:val="center"/>
          </w:tcPr>
          <w:p w14:paraId="409053EF"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1.168.691</w:t>
            </w:r>
          </w:p>
        </w:tc>
        <w:tc>
          <w:tcPr>
            <w:tcW w:w="498" w:type="pct"/>
            <w:tcBorders>
              <w:top w:val="nil"/>
              <w:left w:val="nil"/>
              <w:bottom w:val="nil"/>
              <w:right w:val="nil"/>
            </w:tcBorders>
            <w:shd w:val="clear" w:color="auto" w:fill="auto"/>
            <w:noWrap/>
            <w:vAlign w:val="center"/>
          </w:tcPr>
          <w:p w14:paraId="7BF0D0E9"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618.087</w:t>
            </w:r>
          </w:p>
        </w:tc>
        <w:tc>
          <w:tcPr>
            <w:tcW w:w="498" w:type="pct"/>
            <w:tcBorders>
              <w:top w:val="nil"/>
              <w:left w:val="nil"/>
              <w:bottom w:val="nil"/>
              <w:right w:val="nil"/>
            </w:tcBorders>
            <w:shd w:val="clear" w:color="auto" w:fill="auto"/>
            <w:vAlign w:val="center"/>
          </w:tcPr>
          <w:p w14:paraId="608B79B9"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168.060</w:t>
            </w:r>
          </w:p>
        </w:tc>
        <w:tc>
          <w:tcPr>
            <w:tcW w:w="498" w:type="pct"/>
            <w:tcBorders>
              <w:top w:val="nil"/>
              <w:left w:val="nil"/>
              <w:bottom w:val="nil"/>
              <w:right w:val="nil"/>
            </w:tcBorders>
            <w:shd w:val="clear" w:color="auto" w:fill="auto"/>
            <w:noWrap/>
            <w:vAlign w:val="center"/>
          </w:tcPr>
          <w:p w14:paraId="61C98A71"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78.210</w:t>
            </w:r>
          </w:p>
        </w:tc>
        <w:tc>
          <w:tcPr>
            <w:tcW w:w="498" w:type="pct"/>
            <w:tcBorders>
              <w:top w:val="nil"/>
              <w:left w:val="nil"/>
              <w:bottom w:val="nil"/>
              <w:right w:val="nil"/>
            </w:tcBorders>
            <w:shd w:val="clear" w:color="auto" w:fill="auto"/>
            <w:noWrap/>
            <w:vAlign w:val="center"/>
          </w:tcPr>
          <w:p w14:paraId="0BD101E5"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23.505</w:t>
            </w:r>
          </w:p>
        </w:tc>
        <w:tc>
          <w:tcPr>
            <w:tcW w:w="498" w:type="pct"/>
            <w:tcBorders>
              <w:top w:val="nil"/>
              <w:left w:val="nil"/>
              <w:bottom w:val="nil"/>
              <w:right w:val="nil"/>
            </w:tcBorders>
            <w:shd w:val="clear" w:color="auto" w:fill="auto"/>
            <w:noWrap/>
            <w:vAlign w:val="center"/>
          </w:tcPr>
          <w:p w14:paraId="6C4276CB"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318.220</w:t>
            </w:r>
          </w:p>
        </w:tc>
        <w:tc>
          <w:tcPr>
            <w:tcW w:w="498" w:type="pct"/>
            <w:tcBorders>
              <w:top w:val="nil"/>
              <w:left w:val="nil"/>
              <w:bottom w:val="nil"/>
              <w:right w:val="nil"/>
            </w:tcBorders>
            <w:shd w:val="clear" w:color="auto" w:fill="auto"/>
            <w:vAlign w:val="center"/>
          </w:tcPr>
          <w:p w14:paraId="4CD44A53"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60.622</w:t>
            </w:r>
          </w:p>
        </w:tc>
      </w:tr>
      <w:tr w:rsidR="00A47C19" w:rsidRPr="00E20D21" w14:paraId="6F60EB98" w14:textId="77777777">
        <w:trPr>
          <w:trHeight w:val="221"/>
        </w:trPr>
        <w:tc>
          <w:tcPr>
            <w:tcW w:w="1016" w:type="pct"/>
            <w:tcBorders>
              <w:top w:val="nil"/>
              <w:left w:val="nil"/>
              <w:bottom w:val="nil"/>
              <w:right w:val="nil"/>
            </w:tcBorders>
            <w:shd w:val="clear" w:color="auto" w:fill="auto"/>
            <w:vAlign w:val="center"/>
            <w:hideMark/>
          </w:tcPr>
          <w:p w14:paraId="75C8151E"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resultados abrangentes</w:t>
            </w:r>
          </w:p>
        </w:tc>
        <w:tc>
          <w:tcPr>
            <w:tcW w:w="498" w:type="pct"/>
            <w:tcBorders>
              <w:top w:val="nil"/>
              <w:left w:val="nil"/>
              <w:bottom w:val="nil"/>
              <w:right w:val="nil"/>
            </w:tcBorders>
            <w:shd w:val="clear" w:color="auto" w:fill="auto"/>
            <w:noWrap/>
            <w:vAlign w:val="center"/>
          </w:tcPr>
          <w:p w14:paraId="17DF165D"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(96.046)</w:t>
            </w:r>
          </w:p>
        </w:tc>
        <w:tc>
          <w:tcPr>
            <w:tcW w:w="498" w:type="pct"/>
            <w:tcBorders>
              <w:top w:val="nil"/>
              <w:left w:val="nil"/>
              <w:bottom w:val="nil"/>
              <w:right w:val="nil"/>
            </w:tcBorders>
            <w:shd w:val="clear" w:color="auto" w:fill="auto"/>
            <w:noWrap/>
            <w:vAlign w:val="center"/>
          </w:tcPr>
          <w:p w14:paraId="6469A801"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348.503</w:t>
            </w:r>
          </w:p>
        </w:tc>
        <w:tc>
          <w:tcPr>
            <w:tcW w:w="498" w:type="pct"/>
            <w:tcBorders>
              <w:top w:val="nil"/>
              <w:left w:val="nil"/>
              <w:bottom w:val="nil"/>
              <w:right w:val="nil"/>
            </w:tcBorders>
            <w:shd w:val="clear" w:color="auto" w:fill="auto"/>
            <w:noWrap/>
            <w:vAlign w:val="center"/>
          </w:tcPr>
          <w:p w14:paraId="445F0D5F"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0D90DBA4"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4.046</w:t>
            </w:r>
          </w:p>
        </w:tc>
        <w:tc>
          <w:tcPr>
            <w:tcW w:w="498" w:type="pct"/>
            <w:tcBorders>
              <w:top w:val="nil"/>
              <w:left w:val="nil"/>
              <w:bottom w:val="nil"/>
              <w:right w:val="nil"/>
            </w:tcBorders>
            <w:shd w:val="clear" w:color="auto" w:fill="auto"/>
            <w:noWrap/>
            <w:vAlign w:val="center"/>
          </w:tcPr>
          <w:p w14:paraId="0946EC29"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w:t>
            </w:r>
          </w:p>
        </w:tc>
        <w:tc>
          <w:tcPr>
            <w:tcW w:w="498" w:type="pct"/>
            <w:tcBorders>
              <w:top w:val="nil"/>
              <w:left w:val="nil"/>
              <w:bottom w:val="nil"/>
              <w:right w:val="nil"/>
            </w:tcBorders>
            <w:shd w:val="clear" w:color="auto" w:fill="auto"/>
            <w:noWrap/>
            <w:vAlign w:val="center"/>
          </w:tcPr>
          <w:p w14:paraId="00DEA29C"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7810F99C"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38.609</w:t>
            </w:r>
          </w:p>
        </w:tc>
        <w:tc>
          <w:tcPr>
            <w:tcW w:w="498" w:type="pct"/>
            <w:tcBorders>
              <w:top w:val="nil"/>
              <w:left w:val="nil"/>
              <w:bottom w:val="nil"/>
              <w:right w:val="nil"/>
            </w:tcBorders>
            <w:shd w:val="clear" w:color="auto" w:fill="auto"/>
            <w:noWrap/>
            <w:vAlign w:val="center"/>
          </w:tcPr>
          <w:p w14:paraId="3E44C5B1"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r>
      <w:tr w:rsidR="00A47C19" w:rsidRPr="00E20D21" w14:paraId="6FE35111" w14:textId="77777777">
        <w:trPr>
          <w:trHeight w:val="221"/>
        </w:trPr>
        <w:tc>
          <w:tcPr>
            <w:tcW w:w="1016" w:type="pct"/>
            <w:tcBorders>
              <w:top w:val="nil"/>
              <w:left w:val="nil"/>
              <w:bottom w:val="nil"/>
              <w:right w:val="nil"/>
            </w:tcBorders>
            <w:shd w:val="clear" w:color="auto" w:fill="auto"/>
            <w:vAlign w:val="center"/>
            <w:hideMark/>
          </w:tcPr>
          <w:p w14:paraId="743B0D51"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Resultado abrangente total</w:t>
            </w:r>
          </w:p>
        </w:tc>
        <w:tc>
          <w:tcPr>
            <w:tcW w:w="498" w:type="pct"/>
            <w:tcBorders>
              <w:top w:val="nil"/>
              <w:left w:val="nil"/>
              <w:bottom w:val="nil"/>
              <w:right w:val="nil"/>
            </w:tcBorders>
            <w:shd w:val="clear" w:color="auto" w:fill="auto"/>
            <w:noWrap/>
            <w:vAlign w:val="center"/>
          </w:tcPr>
          <w:p w14:paraId="187ADA3C"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2.175.217</w:t>
            </w:r>
          </w:p>
        </w:tc>
        <w:tc>
          <w:tcPr>
            <w:tcW w:w="498" w:type="pct"/>
            <w:tcBorders>
              <w:top w:val="nil"/>
              <w:left w:val="nil"/>
              <w:bottom w:val="nil"/>
              <w:right w:val="nil"/>
            </w:tcBorders>
            <w:shd w:val="clear" w:color="auto" w:fill="auto"/>
            <w:noWrap/>
            <w:vAlign w:val="center"/>
          </w:tcPr>
          <w:p w14:paraId="3C12E260"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1.517.194</w:t>
            </w:r>
          </w:p>
        </w:tc>
        <w:tc>
          <w:tcPr>
            <w:tcW w:w="498" w:type="pct"/>
            <w:tcBorders>
              <w:top w:val="nil"/>
              <w:left w:val="nil"/>
              <w:bottom w:val="nil"/>
              <w:right w:val="nil"/>
            </w:tcBorders>
            <w:shd w:val="clear" w:color="auto" w:fill="auto"/>
            <w:noWrap/>
            <w:vAlign w:val="center"/>
          </w:tcPr>
          <w:p w14:paraId="3B8347A7"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618.087</w:t>
            </w:r>
          </w:p>
        </w:tc>
        <w:tc>
          <w:tcPr>
            <w:tcW w:w="498" w:type="pct"/>
            <w:tcBorders>
              <w:top w:val="nil"/>
              <w:left w:val="nil"/>
              <w:bottom w:val="nil"/>
              <w:right w:val="nil"/>
            </w:tcBorders>
            <w:shd w:val="clear" w:color="auto" w:fill="auto"/>
            <w:vAlign w:val="center"/>
          </w:tcPr>
          <w:p w14:paraId="3660B626"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172.106</w:t>
            </w:r>
          </w:p>
        </w:tc>
        <w:tc>
          <w:tcPr>
            <w:tcW w:w="498" w:type="pct"/>
            <w:tcBorders>
              <w:top w:val="nil"/>
              <w:left w:val="nil"/>
              <w:bottom w:val="nil"/>
              <w:right w:val="nil"/>
            </w:tcBorders>
            <w:shd w:val="clear" w:color="auto" w:fill="auto"/>
            <w:noWrap/>
            <w:vAlign w:val="center"/>
          </w:tcPr>
          <w:p w14:paraId="37389989"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78.215</w:t>
            </w:r>
          </w:p>
        </w:tc>
        <w:tc>
          <w:tcPr>
            <w:tcW w:w="498" w:type="pct"/>
            <w:tcBorders>
              <w:top w:val="nil"/>
              <w:left w:val="nil"/>
              <w:bottom w:val="nil"/>
              <w:right w:val="nil"/>
            </w:tcBorders>
            <w:shd w:val="clear" w:color="auto" w:fill="auto"/>
            <w:noWrap/>
            <w:vAlign w:val="center"/>
          </w:tcPr>
          <w:p w14:paraId="1166EC6C"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23.505</w:t>
            </w:r>
          </w:p>
        </w:tc>
        <w:tc>
          <w:tcPr>
            <w:tcW w:w="498" w:type="pct"/>
            <w:tcBorders>
              <w:top w:val="nil"/>
              <w:left w:val="nil"/>
              <w:bottom w:val="nil"/>
              <w:right w:val="nil"/>
            </w:tcBorders>
            <w:shd w:val="clear" w:color="auto" w:fill="auto"/>
            <w:noWrap/>
            <w:vAlign w:val="center"/>
          </w:tcPr>
          <w:p w14:paraId="3488A1EF"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356.829</w:t>
            </w:r>
          </w:p>
        </w:tc>
        <w:tc>
          <w:tcPr>
            <w:tcW w:w="498" w:type="pct"/>
            <w:tcBorders>
              <w:top w:val="nil"/>
              <w:left w:val="nil"/>
              <w:bottom w:val="nil"/>
              <w:right w:val="nil"/>
            </w:tcBorders>
            <w:shd w:val="clear" w:color="auto" w:fill="auto"/>
            <w:vAlign w:val="center"/>
          </w:tcPr>
          <w:p w14:paraId="78B9183A"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60.622</w:t>
            </w:r>
          </w:p>
        </w:tc>
      </w:tr>
      <w:tr w:rsidR="00A47C19" w:rsidRPr="00E20D21" w14:paraId="170A304A" w14:textId="77777777">
        <w:trPr>
          <w:trHeight w:val="221"/>
        </w:trPr>
        <w:tc>
          <w:tcPr>
            <w:tcW w:w="1016" w:type="pct"/>
            <w:tcBorders>
              <w:top w:val="nil"/>
              <w:left w:val="nil"/>
              <w:bottom w:val="nil"/>
              <w:right w:val="nil"/>
            </w:tcBorders>
            <w:shd w:val="clear" w:color="auto" w:fill="auto"/>
            <w:vAlign w:val="center"/>
            <w:hideMark/>
          </w:tcPr>
          <w:p w14:paraId="7EA9FDDF" w14:textId="77777777" w:rsidR="00A47C19" w:rsidRPr="00E20D21" w:rsidRDefault="00A47C19">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Patrimônio Líquido</w:t>
            </w:r>
          </w:p>
        </w:tc>
        <w:tc>
          <w:tcPr>
            <w:tcW w:w="498" w:type="pct"/>
            <w:tcBorders>
              <w:top w:val="nil"/>
              <w:left w:val="nil"/>
              <w:bottom w:val="nil"/>
              <w:right w:val="nil"/>
            </w:tcBorders>
            <w:shd w:val="clear" w:color="auto" w:fill="auto"/>
            <w:noWrap/>
            <w:vAlign w:val="center"/>
          </w:tcPr>
          <w:p w14:paraId="5A7D4839"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12.510.633</w:t>
            </w:r>
          </w:p>
        </w:tc>
        <w:tc>
          <w:tcPr>
            <w:tcW w:w="498" w:type="pct"/>
            <w:tcBorders>
              <w:top w:val="nil"/>
              <w:left w:val="nil"/>
              <w:bottom w:val="nil"/>
              <w:right w:val="nil"/>
            </w:tcBorders>
            <w:shd w:val="clear" w:color="auto" w:fill="auto"/>
            <w:noWrap/>
            <w:vAlign w:val="center"/>
          </w:tcPr>
          <w:p w14:paraId="1348A86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4.801.026</w:t>
            </w:r>
          </w:p>
        </w:tc>
        <w:tc>
          <w:tcPr>
            <w:tcW w:w="498" w:type="pct"/>
            <w:tcBorders>
              <w:top w:val="nil"/>
              <w:left w:val="nil"/>
              <w:bottom w:val="nil"/>
              <w:right w:val="nil"/>
            </w:tcBorders>
            <w:shd w:val="clear" w:color="auto" w:fill="auto"/>
            <w:noWrap/>
            <w:vAlign w:val="center"/>
          </w:tcPr>
          <w:p w14:paraId="6571F86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1.910.462</w:t>
            </w:r>
          </w:p>
        </w:tc>
        <w:tc>
          <w:tcPr>
            <w:tcW w:w="498" w:type="pct"/>
            <w:tcBorders>
              <w:top w:val="nil"/>
              <w:left w:val="nil"/>
              <w:bottom w:val="nil"/>
              <w:right w:val="nil"/>
            </w:tcBorders>
            <w:shd w:val="clear" w:color="auto" w:fill="auto"/>
            <w:vAlign w:val="center"/>
          </w:tcPr>
          <w:p w14:paraId="6054221F"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312.402</w:t>
            </w:r>
          </w:p>
        </w:tc>
        <w:tc>
          <w:tcPr>
            <w:tcW w:w="498" w:type="pct"/>
            <w:tcBorders>
              <w:top w:val="nil"/>
              <w:left w:val="nil"/>
              <w:bottom w:val="nil"/>
              <w:right w:val="nil"/>
            </w:tcBorders>
            <w:shd w:val="clear" w:color="auto" w:fill="auto"/>
            <w:noWrap/>
            <w:vAlign w:val="center"/>
          </w:tcPr>
          <w:p w14:paraId="16ADE5C4"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501.630</w:t>
            </w:r>
          </w:p>
        </w:tc>
        <w:tc>
          <w:tcPr>
            <w:tcW w:w="498" w:type="pct"/>
            <w:tcBorders>
              <w:top w:val="nil"/>
              <w:left w:val="nil"/>
              <w:bottom w:val="nil"/>
              <w:right w:val="nil"/>
            </w:tcBorders>
            <w:shd w:val="clear" w:color="auto" w:fill="auto"/>
            <w:noWrap/>
            <w:vAlign w:val="center"/>
          </w:tcPr>
          <w:p w14:paraId="28545643"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41.854</w:t>
            </w:r>
          </w:p>
        </w:tc>
        <w:tc>
          <w:tcPr>
            <w:tcW w:w="498" w:type="pct"/>
            <w:tcBorders>
              <w:top w:val="nil"/>
              <w:left w:val="nil"/>
              <w:bottom w:val="nil"/>
              <w:right w:val="nil"/>
            </w:tcBorders>
            <w:shd w:val="clear" w:color="auto" w:fill="auto"/>
            <w:noWrap/>
            <w:vAlign w:val="center"/>
          </w:tcPr>
          <w:p w14:paraId="467E1BCF"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909.513</w:t>
            </w:r>
          </w:p>
        </w:tc>
        <w:tc>
          <w:tcPr>
            <w:tcW w:w="498" w:type="pct"/>
            <w:tcBorders>
              <w:top w:val="nil"/>
              <w:left w:val="nil"/>
              <w:bottom w:val="nil"/>
              <w:right w:val="nil"/>
            </w:tcBorders>
            <w:shd w:val="clear" w:color="auto" w:fill="auto"/>
            <w:vAlign w:val="center"/>
          </w:tcPr>
          <w:p w14:paraId="6EFDBB5F"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61.900</w:t>
            </w:r>
          </w:p>
        </w:tc>
      </w:tr>
      <w:tr w:rsidR="00A47C19" w:rsidRPr="00E20D21" w14:paraId="2A573CDC" w14:textId="77777777">
        <w:trPr>
          <w:trHeight w:val="221"/>
        </w:trPr>
        <w:tc>
          <w:tcPr>
            <w:tcW w:w="1016" w:type="pct"/>
            <w:tcBorders>
              <w:top w:val="nil"/>
              <w:left w:val="nil"/>
              <w:bottom w:val="nil"/>
              <w:right w:val="nil"/>
            </w:tcBorders>
            <w:shd w:val="clear" w:color="auto" w:fill="auto"/>
            <w:vAlign w:val="center"/>
            <w:hideMark/>
          </w:tcPr>
          <w:p w14:paraId="7CEB3543"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de participação</w:t>
            </w:r>
          </w:p>
        </w:tc>
        <w:tc>
          <w:tcPr>
            <w:tcW w:w="498" w:type="pct"/>
            <w:tcBorders>
              <w:top w:val="nil"/>
              <w:left w:val="nil"/>
              <w:bottom w:val="nil"/>
              <w:right w:val="nil"/>
            </w:tcBorders>
            <w:shd w:val="clear" w:color="auto" w:fill="auto"/>
            <w:noWrap/>
            <w:vAlign w:val="center"/>
          </w:tcPr>
          <w:p w14:paraId="666735E3"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60,00%</w:t>
            </w:r>
          </w:p>
        </w:tc>
        <w:tc>
          <w:tcPr>
            <w:tcW w:w="498" w:type="pct"/>
            <w:tcBorders>
              <w:top w:val="nil"/>
              <w:left w:val="nil"/>
              <w:bottom w:val="nil"/>
              <w:right w:val="nil"/>
            </w:tcBorders>
            <w:shd w:val="clear" w:color="auto" w:fill="auto"/>
            <w:noWrap/>
            <w:vAlign w:val="center"/>
          </w:tcPr>
          <w:p w14:paraId="208B2AB2"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48,25%</w:t>
            </w:r>
          </w:p>
        </w:tc>
        <w:tc>
          <w:tcPr>
            <w:tcW w:w="498" w:type="pct"/>
            <w:tcBorders>
              <w:top w:val="nil"/>
              <w:left w:val="nil"/>
              <w:bottom w:val="nil"/>
              <w:right w:val="nil"/>
            </w:tcBorders>
            <w:shd w:val="clear" w:color="auto" w:fill="auto"/>
            <w:noWrap/>
            <w:vAlign w:val="center"/>
          </w:tcPr>
          <w:p w14:paraId="15F1B15A"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vAlign w:val="center"/>
          </w:tcPr>
          <w:p w14:paraId="742D967E"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13F366F2"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7BC11F76"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3AE0F1FF"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49,00%</w:t>
            </w:r>
          </w:p>
        </w:tc>
        <w:tc>
          <w:tcPr>
            <w:tcW w:w="498" w:type="pct"/>
            <w:tcBorders>
              <w:top w:val="nil"/>
              <w:left w:val="nil"/>
              <w:bottom w:val="nil"/>
              <w:right w:val="nil"/>
            </w:tcBorders>
            <w:shd w:val="clear" w:color="auto" w:fill="auto"/>
            <w:vAlign w:val="center"/>
          </w:tcPr>
          <w:p w14:paraId="62B08E7D"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49,00%</w:t>
            </w:r>
          </w:p>
        </w:tc>
      </w:tr>
      <w:tr w:rsidR="00A47C19" w:rsidRPr="00E20D21" w14:paraId="73610257" w14:textId="77777777">
        <w:trPr>
          <w:trHeight w:val="221"/>
        </w:trPr>
        <w:tc>
          <w:tcPr>
            <w:tcW w:w="1016" w:type="pct"/>
            <w:tcBorders>
              <w:top w:val="nil"/>
              <w:left w:val="nil"/>
              <w:bottom w:val="nil"/>
              <w:right w:val="nil"/>
            </w:tcBorders>
            <w:shd w:val="clear" w:color="auto" w:fill="auto"/>
            <w:vAlign w:val="center"/>
            <w:hideMark/>
          </w:tcPr>
          <w:p w14:paraId="6FC68987" w14:textId="77777777" w:rsidR="00A47C19" w:rsidRPr="00E20D21" w:rsidRDefault="00A47C19">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Saldo do investimento </w:t>
            </w:r>
          </w:p>
        </w:tc>
        <w:tc>
          <w:tcPr>
            <w:tcW w:w="498" w:type="pct"/>
            <w:tcBorders>
              <w:top w:val="nil"/>
              <w:left w:val="nil"/>
              <w:right w:val="nil"/>
            </w:tcBorders>
            <w:shd w:val="clear" w:color="auto" w:fill="auto"/>
            <w:noWrap/>
            <w:vAlign w:val="center"/>
          </w:tcPr>
          <w:p w14:paraId="2E96F66E"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7.506.380</w:t>
            </w:r>
          </w:p>
        </w:tc>
        <w:tc>
          <w:tcPr>
            <w:tcW w:w="498" w:type="pct"/>
            <w:tcBorders>
              <w:top w:val="nil"/>
              <w:left w:val="nil"/>
              <w:right w:val="nil"/>
            </w:tcBorders>
            <w:shd w:val="clear" w:color="auto" w:fill="auto"/>
            <w:noWrap/>
            <w:vAlign w:val="center"/>
          </w:tcPr>
          <w:p w14:paraId="7078B37F"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2.316.495</w:t>
            </w:r>
          </w:p>
        </w:tc>
        <w:tc>
          <w:tcPr>
            <w:tcW w:w="498" w:type="pct"/>
            <w:tcBorders>
              <w:top w:val="nil"/>
              <w:left w:val="nil"/>
              <w:right w:val="nil"/>
            </w:tcBorders>
            <w:shd w:val="clear" w:color="auto" w:fill="auto"/>
            <w:noWrap/>
            <w:vAlign w:val="center"/>
          </w:tcPr>
          <w:p w14:paraId="618B11A9"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1.432.776</w:t>
            </w:r>
          </w:p>
        </w:tc>
        <w:tc>
          <w:tcPr>
            <w:tcW w:w="498" w:type="pct"/>
            <w:tcBorders>
              <w:top w:val="nil"/>
              <w:left w:val="nil"/>
              <w:right w:val="nil"/>
            </w:tcBorders>
            <w:shd w:val="clear" w:color="auto" w:fill="auto"/>
            <w:vAlign w:val="center"/>
          </w:tcPr>
          <w:p w14:paraId="2F316A6B"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234.290</w:t>
            </w:r>
          </w:p>
        </w:tc>
        <w:tc>
          <w:tcPr>
            <w:tcW w:w="498" w:type="pct"/>
            <w:tcBorders>
              <w:top w:val="nil"/>
              <w:left w:val="nil"/>
              <w:right w:val="nil"/>
            </w:tcBorders>
            <w:shd w:val="clear" w:color="auto" w:fill="auto"/>
            <w:noWrap/>
            <w:vAlign w:val="center"/>
          </w:tcPr>
          <w:p w14:paraId="15CC658A"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376.209</w:t>
            </w:r>
          </w:p>
        </w:tc>
        <w:tc>
          <w:tcPr>
            <w:tcW w:w="498" w:type="pct"/>
            <w:tcBorders>
              <w:top w:val="nil"/>
              <w:left w:val="nil"/>
              <w:right w:val="nil"/>
            </w:tcBorders>
            <w:shd w:val="clear" w:color="auto" w:fill="auto"/>
            <w:noWrap/>
            <w:vAlign w:val="center"/>
          </w:tcPr>
          <w:p w14:paraId="5D600A5D"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31.390</w:t>
            </w:r>
          </w:p>
        </w:tc>
        <w:tc>
          <w:tcPr>
            <w:tcW w:w="498" w:type="pct"/>
            <w:tcBorders>
              <w:top w:val="nil"/>
              <w:left w:val="nil"/>
              <w:right w:val="nil"/>
            </w:tcBorders>
            <w:shd w:val="clear" w:color="auto" w:fill="auto"/>
            <w:noWrap/>
            <w:vAlign w:val="center"/>
          </w:tcPr>
          <w:p w14:paraId="487A8A92"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445.661</w:t>
            </w:r>
          </w:p>
        </w:tc>
        <w:tc>
          <w:tcPr>
            <w:tcW w:w="498" w:type="pct"/>
            <w:tcBorders>
              <w:top w:val="nil"/>
              <w:left w:val="nil"/>
              <w:right w:val="nil"/>
            </w:tcBorders>
            <w:shd w:val="clear" w:color="auto" w:fill="auto"/>
            <w:vAlign w:val="center"/>
          </w:tcPr>
          <w:p w14:paraId="2022D563"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30.331</w:t>
            </w:r>
          </w:p>
        </w:tc>
      </w:tr>
      <w:tr w:rsidR="00A47C19" w:rsidRPr="00E20D21" w14:paraId="6DBC1AF0" w14:textId="77777777">
        <w:trPr>
          <w:trHeight w:val="221"/>
        </w:trPr>
        <w:tc>
          <w:tcPr>
            <w:tcW w:w="1016" w:type="pct"/>
            <w:tcBorders>
              <w:top w:val="nil"/>
              <w:left w:val="nil"/>
              <w:bottom w:val="single" w:sz="4" w:space="0" w:color="F79646"/>
              <w:right w:val="nil"/>
            </w:tcBorders>
            <w:shd w:val="clear" w:color="auto" w:fill="auto"/>
            <w:vAlign w:val="center"/>
            <w:hideMark/>
          </w:tcPr>
          <w:p w14:paraId="6BA3B977"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ajustes (1)</w:t>
            </w:r>
          </w:p>
        </w:tc>
        <w:tc>
          <w:tcPr>
            <w:tcW w:w="498" w:type="pct"/>
            <w:tcBorders>
              <w:top w:val="nil"/>
              <w:left w:val="nil"/>
              <w:bottom w:val="single" w:sz="4" w:space="0" w:color="F79646"/>
              <w:right w:val="nil"/>
            </w:tcBorders>
            <w:shd w:val="clear" w:color="auto" w:fill="auto"/>
            <w:noWrap/>
            <w:vAlign w:val="center"/>
          </w:tcPr>
          <w:p w14:paraId="030EFFCC"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68.308</w:t>
            </w:r>
          </w:p>
        </w:tc>
        <w:tc>
          <w:tcPr>
            <w:tcW w:w="498" w:type="pct"/>
            <w:tcBorders>
              <w:top w:val="nil"/>
              <w:left w:val="nil"/>
              <w:bottom w:val="single" w:sz="4" w:space="0" w:color="F79646"/>
              <w:right w:val="nil"/>
            </w:tcBorders>
            <w:shd w:val="clear" w:color="auto" w:fill="auto"/>
            <w:noWrap/>
            <w:vAlign w:val="center"/>
          </w:tcPr>
          <w:p w14:paraId="7177E86F"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201CD46D"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0D0E2BF3"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4</w:t>
            </w:r>
          </w:p>
        </w:tc>
        <w:tc>
          <w:tcPr>
            <w:tcW w:w="498" w:type="pct"/>
            <w:tcBorders>
              <w:top w:val="nil"/>
              <w:left w:val="nil"/>
              <w:bottom w:val="single" w:sz="4" w:space="0" w:color="F79646"/>
              <w:right w:val="nil"/>
            </w:tcBorders>
            <w:shd w:val="clear" w:color="auto" w:fill="auto"/>
            <w:noWrap/>
            <w:vAlign w:val="center"/>
          </w:tcPr>
          <w:p w14:paraId="73B8AE4A"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0F0342C0"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0B246897"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(2.481)</w:t>
            </w:r>
          </w:p>
        </w:tc>
        <w:tc>
          <w:tcPr>
            <w:tcW w:w="498" w:type="pct"/>
            <w:tcBorders>
              <w:top w:val="nil"/>
              <w:left w:val="nil"/>
              <w:bottom w:val="single" w:sz="4" w:space="0" w:color="F79646"/>
              <w:right w:val="nil"/>
            </w:tcBorders>
            <w:shd w:val="clear" w:color="auto" w:fill="auto"/>
            <w:vAlign w:val="center"/>
          </w:tcPr>
          <w:p w14:paraId="0ECD1C1C"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r>
    </w:tbl>
    <w:p w14:paraId="0C7EE73B" w14:textId="77777777" w:rsidR="00E513E4" w:rsidRPr="00E20D21" w:rsidRDefault="00A47C19" w:rsidP="00E513E4">
      <w:pPr>
        <w:jc w:val="both"/>
        <w:rPr>
          <w:rFonts w:ascii="CAIXA Std Book" w:hAnsi="CAIXA Std Book"/>
          <w:color w:val="005CA9"/>
          <w:sz w:val="14"/>
          <w:szCs w:val="14"/>
        </w:rPr>
      </w:pPr>
      <w:r w:rsidRPr="00E20D21">
        <w:rPr>
          <w:rFonts w:ascii="CAIXA Std Book" w:hAnsi="CAIXA Std Book"/>
          <w:color w:val="005CA9"/>
          <w:sz w:val="14"/>
          <w:szCs w:val="14"/>
        </w:rPr>
        <w:t xml:space="preserve">(1) Holding XS1: </w:t>
      </w:r>
      <w:r w:rsidR="00E513E4" w:rsidRPr="00E20D21">
        <w:rPr>
          <w:rFonts w:ascii="CAIXA Std Book" w:hAnsi="CAIXA Std Book"/>
          <w:color w:val="005CA9"/>
          <w:sz w:val="14"/>
          <w:szCs w:val="14"/>
        </w:rPr>
        <w:t>Valores relativos às operações de fusões/aquisições.</w:t>
      </w:r>
    </w:p>
    <w:p w14:paraId="01F0116E" w14:textId="652DC4DC" w:rsidR="00BE799E" w:rsidRPr="00E20D21" w:rsidRDefault="00841794" w:rsidP="00F31C31">
      <w:pPr>
        <w:pStyle w:val="PargrafodaLista"/>
        <w:numPr>
          <w:ilvl w:val="0"/>
          <w:numId w:val="28"/>
        </w:numPr>
        <w:spacing w:before="480" w:after="240"/>
        <w:ind w:hanging="644"/>
        <w:rPr>
          <w:rFonts w:ascii="CAIXA Std Book" w:hAnsi="CAIXA Std Book"/>
          <w:b/>
          <w:color w:val="005CA9"/>
          <w:sz w:val="20"/>
          <w:szCs w:val="20"/>
        </w:rPr>
      </w:pPr>
      <w:r w:rsidRPr="00E20D21">
        <w:rPr>
          <w:rFonts w:ascii="CAIXA Std Book" w:hAnsi="CAIXA Std Book"/>
          <w:b/>
          <w:color w:val="005CA9"/>
          <w:sz w:val="20"/>
          <w:szCs w:val="20"/>
        </w:rPr>
        <w:lastRenderedPageBreak/>
        <w:t>Informações financeiras resumidas das coligadas e joint ventures não ajustadas pelos percentuais de participação detidos pel</w:t>
      </w:r>
      <w:r w:rsidR="00E73051" w:rsidRPr="00E20D21">
        <w:rPr>
          <w:rFonts w:ascii="CAIXA Std Book" w:hAnsi="CAIXA Std Book"/>
          <w:b/>
          <w:color w:val="005CA9"/>
          <w:sz w:val="20"/>
          <w:szCs w:val="20"/>
        </w:rPr>
        <w:t>a</w:t>
      </w:r>
      <w:r w:rsidRPr="00E20D21">
        <w:rPr>
          <w:rFonts w:ascii="CAIXA Std Book" w:hAnsi="CAIXA Std Book"/>
          <w:b/>
          <w:color w:val="005CA9"/>
          <w:sz w:val="20"/>
          <w:szCs w:val="20"/>
        </w:rPr>
        <w:t xml:space="preserve"> </w:t>
      </w:r>
      <w:r w:rsidR="00E73051" w:rsidRPr="00E20D21">
        <w:rPr>
          <w:rFonts w:ascii="CAIXA Std Book" w:hAnsi="CAIXA Std Book"/>
          <w:b/>
          <w:color w:val="005CA9"/>
          <w:sz w:val="20"/>
          <w:szCs w:val="20"/>
        </w:rPr>
        <w:t>CAIXA</w:t>
      </w:r>
      <w:r w:rsidRPr="00E20D21">
        <w:rPr>
          <w:rFonts w:ascii="CAIXA Std Book" w:hAnsi="CAIXA Std Book"/>
          <w:b/>
          <w:color w:val="005CA9"/>
          <w:sz w:val="20"/>
          <w:szCs w:val="20"/>
        </w:rPr>
        <w:t xml:space="preserve"> em outros segmentos</w:t>
      </w:r>
    </w:p>
    <w:tbl>
      <w:tblPr>
        <w:tblW w:w="5000" w:type="pct"/>
        <w:tblCellMar>
          <w:left w:w="70" w:type="dxa"/>
          <w:right w:w="70" w:type="dxa"/>
        </w:tblCellMar>
        <w:tblLook w:val="04A0" w:firstRow="1" w:lastRow="0" w:firstColumn="1" w:lastColumn="0" w:noHBand="0" w:noVBand="1"/>
      </w:tblPr>
      <w:tblGrid>
        <w:gridCol w:w="3567"/>
        <w:gridCol w:w="1833"/>
        <w:gridCol w:w="1833"/>
        <w:gridCol w:w="1833"/>
        <w:gridCol w:w="1833"/>
        <w:gridCol w:w="1833"/>
        <w:gridCol w:w="1839"/>
      </w:tblGrid>
      <w:tr w:rsidR="00A47C19" w:rsidRPr="00E20D21" w14:paraId="19AB0C47" w14:textId="77777777" w:rsidTr="00711413">
        <w:trPr>
          <w:trHeight w:val="227"/>
        </w:trPr>
        <w:tc>
          <w:tcPr>
            <w:tcW w:w="1224" w:type="pct"/>
            <w:vMerge w:val="restart"/>
            <w:tcBorders>
              <w:top w:val="single" w:sz="4" w:space="0" w:color="F79646"/>
              <w:left w:val="nil"/>
              <w:bottom w:val="single" w:sz="4" w:space="0" w:color="F79646"/>
              <w:right w:val="nil"/>
            </w:tcBorders>
            <w:shd w:val="clear" w:color="auto" w:fill="auto"/>
            <w:vAlign w:val="center"/>
            <w:hideMark/>
          </w:tcPr>
          <w:p w14:paraId="60210C29" w14:textId="77777777" w:rsidR="00576123" w:rsidRPr="00E20D21" w:rsidRDefault="00576123" w:rsidP="00711413">
            <w:pPr>
              <w:jc w:val="center"/>
              <w:rPr>
                <w:rFonts w:ascii="CAIXA Std Book" w:eastAsia="Times New Roman" w:hAnsi="CAIXA Std Book" w:cs="Arial"/>
                <w:b/>
                <w:bCs/>
                <w:color w:val="005CA9"/>
                <w:sz w:val="16"/>
                <w:szCs w:val="16"/>
              </w:rPr>
            </w:pPr>
            <w:bookmarkStart w:id="42" w:name="_Hlk135130225"/>
            <w:r w:rsidRPr="00E20D21">
              <w:rPr>
                <w:rFonts w:ascii="CAIXA Std Book" w:eastAsia="Times New Roman" w:hAnsi="CAIXA Std Book" w:cs="Arial"/>
                <w:b/>
                <w:bCs/>
                <w:color w:val="005CA9"/>
                <w:sz w:val="16"/>
                <w:szCs w:val="16"/>
              </w:rPr>
              <w:t>Descrição</w:t>
            </w:r>
          </w:p>
        </w:tc>
        <w:tc>
          <w:tcPr>
            <w:tcW w:w="3776" w:type="pct"/>
            <w:gridSpan w:val="6"/>
            <w:tcBorders>
              <w:top w:val="single" w:sz="4" w:space="0" w:color="F79646"/>
              <w:left w:val="nil"/>
              <w:bottom w:val="single" w:sz="4" w:space="0" w:color="F79646"/>
              <w:right w:val="nil"/>
            </w:tcBorders>
            <w:shd w:val="clear" w:color="auto" w:fill="auto"/>
            <w:vAlign w:val="center"/>
            <w:hideMark/>
          </w:tcPr>
          <w:p w14:paraId="6EDC6F69" w14:textId="69D3245D" w:rsidR="00576123" w:rsidRPr="00E20D21" w:rsidRDefault="00A47C19"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30/06/2024</w:t>
            </w:r>
          </w:p>
        </w:tc>
      </w:tr>
      <w:tr w:rsidR="00A47C19" w:rsidRPr="00E20D21" w14:paraId="33C20F89" w14:textId="77777777" w:rsidTr="00D76D32">
        <w:trPr>
          <w:trHeight w:val="227"/>
        </w:trPr>
        <w:tc>
          <w:tcPr>
            <w:tcW w:w="1224" w:type="pct"/>
            <w:vMerge/>
            <w:tcBorders>
              <w:top w:val="single" w:sz="8" w:space="0" w:color="F79646"/>
              <w:left w:val="nil"/>
              <w:bottom w:val="single" w:sz="4" w:space="0" w:color="F79646"/>
              <w:right w:val="nil"/>
            </w:tcBorders>
            <w:vAlign w:val="center"/>
            <w:hideMark/>
          </w:tcPr>
          <w:p w14:paraId="5202C075" w14:textId="77777777" w:rsidR="00576123" w:rsidRPr="00E20D21" w:rsidRDefault="00576123" w:rsidP="00711413">
            <w:pPr>
              <w:rPr>
                <w:rFonts w:ascii="CAIXA Std Book" w:eastAsia="Times New Roman" w:hAnsi="CAIXA Std Book" w:cs="Arial"/>
                <w:b/>
                <w:bCs/>
                <w:color w:val="005CA9"/>
                <w:sz w:val="16"/>
                <w:szCs w:val="16"/>
              </w:rPr>
            </w:pPr>
          </w:p>
        </w:tc>
        <w:tc>
          <w:tcPr>
            <w:tcW w:w="629" w:type="pct"/>
            <w:tcBorders>
              <w:top w:val="nil"/>
              <w:left w:val="nil"/>
              <w:bottom w:val="single" w:sz="4" w:space="0" w:color="F79646"/>
              <w:right w:val="nil"/>
            </w:tcBorders>
            <w:shd w:val="clear" w:color="auto" w:fill="auto"/>
            <w:vAlign w:val="center"/>
            <w:hideMark/>
          </w:tcPr>
          <w:p w14:paraId="4E9E18FA"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TecBan</w:t>
            </w:r>
          </w:p>
        </w:tc>
        <w:tc>
          <w:tcPr>
            <w:tcW w:w="629" w:type="pct"/>
            <w:tcBorders>
              <w:top w:val="nil"/>
              <w:left w:val="nil"/>
              <w:bottom w:val="single" w:sz="4" w:space="0" w:color="F79646"/>
              <w:right w:val="nil"/>
            </w:tcBorders>
            <w:shd w:val="clear" w:color="auto" w:fill="auto"/>
            <w:vAlign w:val="center"/>
            <w:hideMark/>
          </w:tcPr>
          <w:p w14:paraId="22310BCF"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Quod</w:t>
            </w:r>
          </w:p>
        </w:tc>
        <w:tc>
          <w:tcPr>
            <w:tcW w:w="629" w:type="pct"/>
            <w:tcBorders>
              <w:top w:val="nil"/>
              <w:left w:val="nil"/>
              <w:bottom w:val="single" w:sz="4" w:space="0" w:color="F79646"/>
              <w:right w:val="nil"/>
            </w:tcBorders>
            <w:shd w:val="clear" w:color="auto" w:fill="auto"/>
            <w:vAlign w:val="center"/>
            <w:hideMark/>
          </w:tcPr>
          <w:p w14:paraId="4E9EC7A2" w14:textId="7777777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Galgo</w:t>
            </w:r>
          </w:p>
        </w:tc>
        <w:tc>
          <w:tcPr>
            <w:tcW w:w="629" w:type="pct"/>
            <w:tcBorders>
              <w:top w:val="nil"/>
              <w:left w:val="nil"/>
              <w:bottom w:val="single" w:sz="4" w:space="0" w:color="F79646"/>
              <w:right w:val="nil"/>
            </w:tcBorders>
            <w:shd w:val="clear" w:color="auto" w:fill="auto"/>
            <w:vAlign w:val="center"/>
            <w:hideMark/>
          </w:tcPr>
          <w:p w14:paraId="3C5D7DF9" w14:textId="1500CC2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Elo Serviços</w:t>
            </w:r>
          </w:p>
        </w:tc>
        <w:tc>
          <w:tcPr>
            <w:tcW w:w="629" w:type="pct"/>
            <w:tcBorders>
              <w:top w:val="nil"/>
              <w:left w:val="nil"/>
              <w:bottom w:val="single" w:sz="4" w:space="0" w:color="F79646"/>
              <w:right w:val="nil"/>
            </w:tcBorders>
            <w:shd w:val="clear" w:color="auto" w:fill="auto"/>
            <w:vAlign w:val="center"/>
            <w:hideMark/>
          </w:tcPr>
          <w:p w14:paraId="0EDEE0D8" w14:textId="77777777" w:rsidR="00DC12FA" w:rsidRPr="00E20D21" w:rsidRDefault="00140B92"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Caixa</w:t>
            </w:r>
            <w:r w:rsidR="00576123" w:rsidRPr="00E20D21">
              <w:rPr>
                <w:rFonts w:ascii="CAIXA Std Book" w:eastAsia="Times New Roman" w:hAnsi="CAIXA Std Book" w:cs="Arial"/>
                <w:b/>
                <w:bCs/>
                <w:color w:val="005CA9"/>
                <w:sz w:val="16"/>
                <w:szCs w:val="16"/>
              </w:rPr>
              <w:t xml:space="preserve"> Cartões </w:t>
            </w:r>
          </w:p>
          <w:p w14:paraId="69B6976A" w14:textId="311F0A67" w:rsidR="00576123" w:rsidRPr="00E20D21" w:rsidRDefault="00576123" w:rsidP="0071141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Pré-Pagos</w:t>
            </w:r>
          </w:p>
        </w:tc>
        <w:tc>
          <w:tcPr>
            <w:tcW w:w="631" w:type="pct"/>
            <w:tcBorders>
              <w:top w:val="nil"/>
              <w:left w:val="nil"/>
              <w:bottom w:val="single" w:sz="4" w:space="0" w:color="F79646"/>
              <w:right w:val="nil"/>
            </w:tcBorders>
            <w:shd w:val="clear" w:color="auto" w:fill="auto"/>
            <w:vAlign w:val="center"/>
            <w:hideMark/>
          </w:tcPr>
          <w:p w14:paraId="1CDBB52C" w14:textId="6346BFD3" w:rsidR="00576123" w:rsidRPr="00E20D21" w:rsidRDefault="00576123" w:rsidP="00711413">
            <w:pPr>
              <w:jc w:val="center"/>
              <w:rPr>
                <w:rFonts w:ascii="CAIXA Std Book" w:eastAsia="Times New Roman" w:hAnsi="CAIXA Std Book" w:cs="Arial"/>
                <w:b/>
                <w:bCs/>
                <w:color w:val="005CA9"/>
                <w:sz w:val="16"/>
                <w:szCs w:val="16"/>
              </w:rPr>
            </w:pPr>
            <w:proofErr w:type="spellStart"/>
            <w:r w:rsidRPr="00E20D21">
              <w:rPr>
                <w:rFonts w:ascii="CAIXA Std Book" w:eastAsia="Times New Roman" w:hAnsi="CAIXA Std Book" w:cs="Arial"/>
                <w:b/>
                <w:bCs/>
                <w:color w:val="005CA9"/>
                <w:sz w:val="16"/>
                <w:szCs w:val="16"/>
              </w:rPr>
              <w:t>N</w:t>
            </w:r>
            <w:r w:rsidR="00FC109C" w:rsidRPr="00E20D21">
              <w:rPr>
                <w:rFonts w:ascii="CAIXA Std Book" w:eastAsia="Times New Roman" w:hAnsi="CAIXA Std Book" w:cs="Arial"/>
                <w:b/>
                <w:bCs/>
                <w:color w:val="005CA9"/>
                <w:sz w:val="16"/>
                <w:szCs w:val="16"/>
              </w:rPr>
              <w:t>ú</w:t>
            </w:r>
            <w:r w:rsidRPr="00E20D21">
              <w:rPr>
                <w:rFonts w:ascii="CAIXA Std Book" w:eastAsia="Times New Roman" w:hAnsi="CAIXA Std Book" w:cs="Arial"/>
                <w:b/>
                <w:bCs/>
                <w:color w:val="005CA9"/>
                <w:sz w:val="16"/>
                <w:szCs w:val="16"/>
              </w:rPr>
              <w:t>clea</w:t>
            </w:r>
            <w:proofErr w:type="spellEnd"/>
          </w:p>
        </w:tc>
      </w:tr>
      <w:tr w:rsidR="00A47C19" w:rsidRPr="00E20D21" w14:paraId="421FCFB7" w14:textId="77777777" w:rsidTr="00D76D32">
        <w:trPr>
          <w:trHeight w:val="227"/>
        </w:trPr>
        <w:tc>
          <w:tcPr>
            <w:tcW w:w="1224" w:type="pct"/>
            <w:tcBorders>
              <w:top w:val="single" w:sz="4" w:space="0" w:color="F79646"/>
              <w:left w:val="nil"/>
              <w:bottom w:val="nil"/>
              <w:right w:val="nil"/>
            </w:tcBorders>
            <w:shd w:val="clear" w:color="auto" w:fill="auto"/>
            <w:vAlign w:val="center"/>
            <w:hideMark/>
          </w:tcPr>
          <w:p w14:paraId="36DAB73D" w14:textId="77777777" w:rsidR="00576123" w:rsidRPr="00E20D21" w:rsidRDefault="00576123" w:rsidP="0071141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Ativo circulante</w:t>
            </w:r>
          </w:p>
        </w:tc>
        <w:tc>
          <w:tcPr>
            <w:tcW w:w="629" w:type="pct"/>
            <w:tcBorders>
              <w:top w:val="nil"/>
              <w:left w:val="nil"/>
              <w:bottom w:val="nil"/>
              <w:right w:val="nil"/>
            </w:tcBorders>
            <w:shd w:val="clear" w:color="auto" w:fill="auto"/>
            <w:noWrap/>
            <w:vAlign w:val="center"/>
          </w:tcPr>
          <w:p w14:paraId="7FB46909" w14:textId="1710FF80"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910.726</w:t>
            </w:r>
          </w:p>
        </w:tc>
        <w:tc>
          <w:tcPr>
            <w:tcW w:w="629" w:type="pct"/>
            <w:tcBorders>
              <w:top w:val="single" w:sz="4" w:space="0" w:color="F79646"/>
              <w:left w:val="nil"/>
              <w:bottom w:val="nil"/>
              <w:right w:val="nil"/>
            </w:tcBorders>
            <w:shd w:val="clear" w:color="auto" w:fill="auto"/>
            <w:noWrap/>
            <w:vAlign w:val="center"/>
          </w:tcPr>
          <w:p w14:paraId="472E8238" w14:textId="02269FBB"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128.331</w:t>
            </w:r>
          </w:p>
        </w:tc>
        <w:tc>
          <w:tcPr>
            <w:tcW w:w="629" w:type="pct"/>
            <w:tcBorders>
              <w:top w:val="nil"/>
              <w:left w:val="nil"/>
              <w:bottom w:val="nil"/>
              <w:right w:val="nil"/>
            </w:tcBorders>
            <w:shd w:val="clear" w:color="auto" w:fill="auto"/>
            <w:noWrap/>
            <w:vAlign w:val="center"/>
          </w:tcPr>
          <w:p w14:paraId="5E46733C" w14:textId="1ECA6E53"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20.932</w:t>
            </w:r>
          </w:p>
        </w:tc>
        <w:tc>
          <w:tcPr>
            <w:tcW w:w="629" w:type="pct"/>
            <w:tcBorders>
              <w:top w:val="single" w:sz="4" w:space="0" w:color="F79646"/>
              <w:left w:val="nil"/>
              <w:bottom w:val="nil"/>
              <w:right w:val="nil"/>
            </w:tcBorders>
            <w:shd w:val="clear" w:color="auto" w:fill="auto"/>
            <w:noWrap/>
            <w:vAlign w:val="center"/>
          </w:tcPr>
          <w:p w14:paraId="4FBFBD48" w14:textId="56F73222"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1.054.061</w:t>
            </w:r>
          </w:p>
        </w:tc>
        <w:tc>
          <w:tcPr>
            <w:tcW w:w="629" w:type="pct"/>
            <w:tcBorders>
              <w:top w:val="single" w:sz="4" w:space="0" w:color="F79646"/>
              <w:left w:val="nil"/>
              <w:bottom w:val="nil"/>
              <w:right w:val="nil"/>
            </w:tcBorders>
            <w:shd w:val="clear" w:color="auto" w:fill="auto"/>
            <w:noWrap/>
            <w:vAlign w:val="center"/>
          </w:tcPr>
          <w:p w14:paraId="09CD4FFF" w14:textId="644B13DF"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710.401</w:t>
            </w:r>
          </w:p>
        </w:tc>
        <w:tc>
          <w:tcPr>
            <w:tcW w:w="631" w:type="pct"/>
            <w:tcBorders>
              <w:top w:val="single" w:sz="4" w:space="0" w:color="F79646"/>
              <w:left w:val="nil"/>
              <w:bottom w:val="nil"/>
              <w:right w:val="nil"/>
            </w:tcBorders>
            <w:shd w:val="clear" w:color="auto" w:fill="auto"/>
            <w:noWrap/>
            <w:vAlign w:val="center"/>
          </w:tcPr>
          <w:p w14:paraId="24829F23" w14:textId="2F4643D4"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1.584.661</w:t>
            </w:r>
          </w:p>
        </w:tc>
      </w:tr>
      <w:tr w:rsidR="00A47C19" w:rsidRPr="00E20D21" w14:paraId="625BD4AC" w14:textId="77777777" w:rsidTr="00D76D32">
        <w:trPr>
          <w:trHeight w:val="227"/>
        </w:trPr>
        <w:tc>
          <w:tcPr>
            <w:tcW w:w="1224" w:type="pct"/>
            <w:tcBorders>
              <w:top w:val="nil"/>
              <w:left w:val="nil"/>
              <w:bottom w:val="nil"/>
              <w:right w:val="nil"/>
            </w:tcBorders>
            <w:shd w:val="clear" w:color="auto" w:fill="auto"/>
            <w:vAlign w:val="center"/>
            <w:hideMark/>
          </w:tcPr>
          <w:p w14:paraId="59707CB1" w14:textId="77777777" w:rsidR="00576123" w:rsidRPr="00E20D21" w:rsidRDefault="00576123" w:rsidP="0071141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Ativo não circulante</w:t>
            </w:r>
          </w:p>
        </w:tc>
        <w:tc>
          <w:tcPr>
            <w:tcW w:w="629" w:type="pct"/>
            <w:tcBorders>
              <w:top w:val="nil"/>
              <w:left w:val="nil"/>
              <w:bottom w:val="nil"/>
              <w:right w:val="nil"/>
            </w:tcBorders>
            <w:shd w:val="clear" w:color="auto" w:fill="auto"/>
            <w:noWrap/>
            <w:vAlign w:val="center"/>
          </w:tcPr>
          <w:p w14:paraId="4B6C6AA4" w14:textId="35A4F27C"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2.332.560</w:t>
            </w:r>
          </w:p>
        </w:tc>
        <w:tc>
          <w:tcPr>
            <w:tcW w:w="629" w:type="pct"/>
            <w:tcBorders>
              <w:top w:val="nil"/>
              <w:left w:val="nil"/>
              <w:bottom w:val="nil"/>
              <w:right w:val="nil"/>
            </w:tcBorders>
            <w:shd w:val="clear" w:color="auto" w:fill="auto"/>
            <w:noWrap/>
            <w:vAlign w:val="center"/>
          </w:tcPr>
          <w:p w14:paraId="1943F557" w14:textId="13F74A0E"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1.070.852</w:t>
            </w:r>
          </w:p>
        </w:tc>
        <w:tc>
          <w:tcPr>
            <w:tcW w:w="629" w:type="pct"/>
            <w:tcBorders>
              <w:top w:val="nil"/>
              <w:left w:val="nil"/>
              <w:bottom w:val="nil"/>
              <w:right w:val="nil"/>
            </w:tcBorders>
            <w:shd w:val="clear" w:color="auto" w:fill="auto"/>
            <w:noWrap/>
            <w:vAlign w:val="center"/>
          </w:tcPr>
          <w:p w14:paraId="5F27C353" w14:textId="10E0A7BF"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24.736</w:t>
            </w:r>
          </w:p>
        </w:tc>
        <w:tc>
          <w:tcPr>
            <w:tcW w:w="629" w:type="pct"/>
            <w:tcBorders>
              <w:top w:val="nil"/>
              <w:left w:val="nil"/>
              <w:bottom w:val="nil"/>
              <w:right w:val="nil"/>
            </w:tcBorders>
            <w:shd w:val="clear" w:color="auto" w:fill="auto"/>
            <w:noWrap/>
            <w:vAlign w:val="center"/>
          </w:tcPr>
          <w:p w14:paraId="137D3440" w14:textId="159007C2"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389.172</w:t>
            </w:r>
          </w:p>
        </w:tc>
        <w:tc>
          <w:tcPr>
            <w:tcW w:w="629" w:type="pct"/>
            <w:tcBorders>
              <w:top w:val="nil"/>
              <w:left w:val="nil"/>
              <w:bottom w:val="nil"/>
              <w:right w:val="nil"/>
            </w:tcBorders>
            <w:shd w:val="clear" w:color="auto" w:fill="auto"/>
            <w:noWrap/>
            <w:vAlign w:val="center"/>
          </w:tcPr>
          <w:p w14:paraId="454A40B5" w14:textId="518647E3"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386.094</w:t>
            </w:r>
          </w:p>
        </w:tc>
        <w:tc>
          <w:tcPr>
            <w:tcW w:w="631" w:type="pct"/>
            <w:tcBorders>
              <w:top w:val="nil"/>
              <w:left w:val="nil"/>
              <w:bottom w:val="nil"/>
              <w:right w:val="nil"/>
            </w:tcBorders>
            <w:shd w:val="clear" w:color="auto" w:fill="auto"/>
            <w:noWrap/>
            <w:vAlign w:val="center"/>
          </w:tcPr>
          <w:p w14:paraId="4CA14834" w14:textId="2780A1F6"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757.366</w:t>
            </w:r>
          </w:p>
        </w:tc>
      </w:tr>
      <w:tr w:rsidR="00A47C19" w:rsidRPr="00E20D21" w14:paraId="6F64B781" w14:textId="77777777" w:rsidTr="00D76D32">
        <w:trPr>
          <w:trHeight w:val="227"/>
        </w:trPr>
        <w:tc>
          <w:tcPr>
            <w:tcW w:w="1224" w:type="pct"/>
            <w:tcBorders>
              <w:top w:val="nil"/>
              <w:left w:val="nil"/>
              <w:bottom w:val="nil"/>
              <w:right w:val="nil"/>
            </w:tcBorders>
            <w:shd w:val="clear" w:color="auto" w:fill="auto"/>
            <w:vAlign w:val="center"/>
            <w:hideMark/>
          </w:tcPr>
          <w:p w14:paraId="77FAA5E5" w14:textId="77777777" w:rsidR="00576123" w:rsidRPr="00E20D21" w:rsidRDefault="00576123" w:rsidP="0071141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Passivo circulante</w:t>
            </w:r>
          </w:p>
        </w:tc>
        <w:tc>
          <w:tcPr>
            <w:tcW w:w="629" w:type="pct"/>
            <w:tcBorders>
              <w:top w:val="nil"/>
              <w:left w:val="nil"/>
              <w:bottom w:val="nil"/>
              <w:right w:val="nil"/>
            </w:tcBorders>
            <w:shd w:val="clear" w:color="auto" w:fill="auto"/>
            <w:noWrap/>
            <w:vAlign w:val="center"/>
          </w:tcPr>
          <w:p w14:paraId="65BB331B" w14:textId="0CD233AF"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441.155</w:t>
            </w:r>
          </w:p>
        </w:tc>
        <w:tc>
          <w:tcPr>
            <w:tcW w:w="629" w:type="pct"/>
            <w:tcBorders>
              <w:top w:val="nil"/>
              <w:left w:val="nil"/>
              <w:bottom w:val="nil"/>
              <w:right w:val="nil"/>
            </w:tcBorders>
            <w:shd w:val="clear" w:color="auto" w:fill="auto"/>
            <w:noWrap/>
            <w:vAlign w:val="center"/>
          </w:tcPr>
          <w:p w14:paraId="59A488D2" w14:textId="771587D4"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265.129</w:t>
            </w:r>
          </w:p>
        </w:tc>
        <w:tc>
          <w:tcPr>
            <w:tcW w:w="629" w:type="pct"/>
            <w:tcBorders>
              <w:top w:val="nil"/>
              <w:left w:val="nil"/>
              <w:bottom w:val="nil"/>
              <w:right w:val="nil"/>
            </w:tcBorders>
            <w:shd w:val="clear" w:color="auto" w:fill="auto"/>
            <w:noWrap/>
            <w:vAlign w:val="center"/>
          </w:tcPr>
          <w:p w14:paraId="1821BD5A" w14:textId="1008C641"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5.151</w:t>
            </w:r>
          </w:p>
        </w:tc>
        <w:tc>
          <w:tcPr>
            <w:tcW w:w="629" w:type="pct"/>
            <w:tcBorders>
              <w:top w:val="nil"/>
              <w:left w:val="nil"/>
              <w:bottom w:val="nil"/>
              <w:right w:val="nil"/>
            </w:tcBorders>
            <w:shd w:val="clear" w:color="auto" w:fill="auto"/>
            <w:noWrap/>
            <w:vAlign w:val="center"/>
          </w:tcPr>
          <w:p w14:paraId="6169F019" w14:textId="3BAA775E"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336.718</w:t>
            </w:r>
          </w:p>
        </w:tc>
        <w:tc>
          <w:tcPr>
            <w:tcW w:w="629" w:type="pct"/>
            <w:tcBorders>
              <w:top w:val="nil"/>
              <w:left w:val="nil"/>
              <w:bottom w:val="nil"/>
              <w:right w:val="nil"/>
            </w:tcBorders>
            <w:shd w:val="clear" w:color="auto" w:fill="auto"/>
            <w:noWrap/>
            <w:vAlign w:val="center"/>
          </w:tcPr>
          <w:p w14:paraId="382CD715" w14:textId="15B21D21"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690.482</w:t>
            </w:r>
          </w:p>
        </w:tc>
        <w:tc>
          <w:tcPr>
            <w:tcW w:w="631" w:type="pct"/>
            <w:tcBorders>
              <w:top w:val="nil"/>
              <w:left w:val="nil"/>
              <w:bottom w:val="nil"/>
              <w:right w:val="nil"/>
            </w:tcBorders>
            <w:shd w:val="clear" w:color="auto" w:fill="auto"/>
            <w:noWrap/>
            <w:vAlign w:val="center"/>
          </w:tcPr>
          <w:p w14:paraId="2B441EF7" w14:textId="6D143581"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265.622</w:t>
            </w:r>
          </w:p>
        </w:tc>
      </w:tr>
      <w:tr w:rsidR="00A47C19" w:rsidRPr="00E20D21" w14:paraId="55DA0DE5" w14:textId="77777777" w:rsidTr="00D76D32">
        <w:trPr>
          <w:trHeight w:val="227"/>
        </w:trPr>
        <w:tc>
          <w:tcPr>
            <w:tcW w:w="1224" w:type="pct"/>
            <w:tcBorders>
              <w:top w:val="nil"/>
              <w:left w:val="nil"/>
              <w:bottom w:val="nil"/>
              <w:right w:val="nil"/>
            </w:tcBorders>
            <w:shd w:val="clear" w:color="auto" w:fill="auto"/>
            <w:vAlign w:val="center"/>
            <w:hideMark/>
          </w:tcPr>
          <w:p w14:paraId="05E0BE89" w14:textId="77777777" w:rsidR="00576123" w:rsidRPr="00E20D21" w:rsidRDefault="00576123" w:rsidP="0071141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Passivo não circulante</w:t>
            </w:r>
          </w:p>
        </w:tc>
        <w:tc>
          <w:tcPr>
            <w:tcW w:w="629" w:type="pct"/>
            <w:tcBorders>
              <w:top w:val="nil"/>
              <w:left w:val="nil"/>
              <w:bottom w:val="nil"/>
              <w:right w:val="nil"/>
            </w:tcBorders>
            <w:shd w:val="clear" w:color="auto" w:fill="auto"/>
            <w:noWrap/>
            <w:vAlign w:val="center"/>
          </w:tcPr>
          <w:p w14:paraId="19FA4C30" w14:textId="3B5590BF"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1.801.151</w:t>
            </w:r>
          </w:p>
        </w:tc>
        <w:tc>
          <w:tcPr>
            <w:tcW w:w="629" w:type="pct"/>
            <w:tcBorders>
              <w:top w:val="nil"/>
              <w:left w:val="nil"/>
              <w:bottom w:val="nil"/>
              <w:right w:val="nil"/>
            </w:tcBorders>
            <w:shd w:val="clear" w:color="auto" w:fill="auto"/>
            <w:noWrap/>
            <w:vAlign w:val="center"/>
          </w:tcPr>
          <w:p w14:paraId="32498CAE" w14:textId="5C9EC507"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588.209</w:t>
            </w:r>
          </w:p>
        </w:tc>
        <w:tc>
          <w:tcPr>
            <w:tcW w:w="629" w:type="pct"/>
            <w:tcBorders>
              <w:top w:val="nil"/>
              <w:left w:val="nil"/>
              <w:bottom w:val="nil"/>
              <w:right w:val="nil"/>
            </w:tcBorders>
            <w:shd w:val="clear" w:color="auto" w:fill="auto"/>
            <w:noWrap/>
            <w:vAlign w:val="center"/>
          </w:tcPr>
          <w:p w14:paraId="4AA6AE60" w14:textId="51F98EFC"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4.103</w:t>
            </w:r>
          </w:p>
        </w:tc>
        <w:tc>
          <w:tcPr>
            <w:tcW w:w="629" w:type="pct"/>
            <w:tcBorders>
              <w:top w:val="nil"/>
              <w:left w:val="nil"/>
              <w:bottom w:val="nil"/>
              <w:right w:val="nil"/>
            </w:tcBorders>
            <w:shd w:val="clear" w:color="auto" w:fill="auto"/>
            <w:noWrap/>
            <w:vAlign w:val="center"/>
          </w:tcPr>
          <w:p w14:paraId="777C776E" w14:textId="6DEF3389"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35.538</w:t>
            </w:r>
          </w:p>
        </w:tc>
        <w:tc>
          <w:tcPr>
            <w:tcW w:w="629" w:type="pct"/>
            <w:tcBorders>
              <w:top w:val="nil"/>
              <w:left w:val="nil"/>
              <w:bottom w:val="nil"/>
              <w:right w:val="nil"/>
            </w:tcBorders>
            <w:shd w:val="clear" w:color="auto" w:fill="auto"/>
            <w:noWrap/>
            <w:vAlign w:val="center"/>
          </w:tcPr>
          <w:p w14:paraId="7CFEC000" w14:textId="4598E728" w:rsidR="00576123" w:rsidRPr="00E20D21" w:rsidRDefault="005A20D8" w:rsidP="005A20D8">
            <w:pPr>
              <w:jc w:val="center"/>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w:t>
            </w:r>
          </w:p>
        </w:tc>
        <w:tc>
          <w:tcPr>
            <w:tcW w:w="631" w:type="pct"/>
            <w:tcBorders>
              <w:top w:val="nil"/>
              <w:left w:val="nil"/>
              <w:bottom w:val="nil"/>
              <w:right w:val="nil"/>
            </w:tcBorders>
            <w:shd w:val="clear" w:color="auto" w:fill="auto"/>
            <w:noWrap/>
            <w:vAlign w:val="center"/>
          </w:tcPr>
          <w:p w14:paraId="5418C8BE" w14:textId="61FDD062"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16.049</w:t>
            </w:r>
          </w:p>
        </w:tc>
      </w:tr>
      <w:tr w:rsidR="00A47C19" w:rsidRPr="00E20D21" w14:paraId="7F84CE45" w14:textId="77777777" w:rsidTr="00D76D32">
        <w:trPr>
          <w:trHeight w:val="227"/>
        </w:trPr>
        <w:tc>
          <w:tcPr>
            <w:tcW w:w="1224" w:type="pct"/>
            <w:tcBorders>
              <w:top w:val="nil"/>
              <w:left w:val="nil"/>
              <w:bottom w:val="nil"/>
              <w:right w:val="nil"/>
            </w:tcBorders>
            <w:shd w:val="clear" w:color="auto" w:fill="auto"/>
            <w:vAlign w:val="center"/>
            <w:hideMark/>
          </w:tcPr>
          <w:p w14:paraId="2953E11C"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contingente</w:t>
            </w:r>
          </w:p>
        </w:tc>
        <w:tc>
          <w:tcPr>
            <w:tcW w:w="629" w:type="pct"/>
            <w:tcBorders>
              <w:top w:val="nil"/>
              <w:left w:val="nil"/>
              <w:bottom w:val="nil"/>
              <w:right w:val="nil"/>
            </w:tcBorders>
            <w:shd w:val="clear" w:color="auto" w:fill="auto"/>
            <w:noWrap/>
            <w:vAlign w:val="center"/>
          </w:tcPr>
          <w:p w14:paraId="11EFBDA0" w14:textId="6E5D4403" w:rsidR="00576123" w:rsidRPr="00E20D21" w:rsidRDefault="00D946F4" w:rsidP="005A20D8">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354A5D6C" w14:textId="38B6ECC1" w:rsidR="00576123" w:rsidRPr="00E20D21" w:rsidRDefault="00D946F4" w:rsidP="005A20D8">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00EEB7DA" w14:textId="4D6B1981" w:rsidR="00576123" w:rsidRPr="00E20D21" w:rsidRDefault="00D946F4" w:rsidP="005A20D8">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629" w:type="pct"/>
            <w:tcBorders>
              <w:top w:val="nil"/>
              <w:left w:val="nil"/>
              <w:bottom w:val="nil"/>
              <w:right w:val="nil"/>
            </w:tcBorders>
            <w:shd w:val="clear" w:color="auto" w:fill="auto"/>
            <w:noWrap/>
            <w:vAlign w:val="center"/>
          </w:tcPr>
          <w:p w14:paraId="610FE1D6" w14:textId="4E87FD39"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17.012</w:t>
            </w:r>
          </w:p>
        </w:tc>
        <w:tc>
          <w:tcPr>
            <w:tcW w:w="629" w:type="pct"/>
            <w:tcBorders>
              <w:top w:val="nil"/>
              <w:left w:val="nil"/>
              <w:bottom w:val="nil"/>
              <w:right w:val="nil"/>
            </w:tcBorders>
            <w:shd w:val="clear" w:color="auto" w:fill="auto"/>
            <w:noWrap/>
            <w:vAlign w:val="center"/>
          </w:tcPr>
          <w:p w14:paraId="3957BF10" w14:textId="1E98D9CE" w:rsidR="00576123" w:rsidRPr="00E20D21" w:rsidRDefault="005A20D8" w:rsidP="005A20D8">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631" w:type="pct"/>
            <w:tcBorders>
              <w:top w:val="nil"/>
              <w:left w:val="nil"/>
              <w:bottom w:val="nil"/>
              <w:right w:val="nil"/>
            </w:tcBorders>
            <w:shd w:val="clear" w:color="auto" w:fill="auto"/>
            <w:noWrap/>
            <w:vAlign w:val="center"/>
          </w:tcPr>
          <w:p w14:paraId="76499277" w14:textId="6FFD4926"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2.110</w:t>
            </w:r>
          </w:p>
        </w:tc>
      </w:tr>
      <w:tr w:rsidR="00A47C19" w:rsidRPr="00E20D21" w14:paraId="21D27B88" w14:textId="77777777" w:rsidTr="00D76D32">
        <w:trPr>
          <w:trHeight w:val="227"/>
        </w:trPr>
        <w:tc>
          <w:tcPr>
            <w:tcW w:w="1224" w:type="pct"/>
            <w:tcBorders>
              <w:top w:val="nil"/>
              <w:left w:val="nil"/>
              <w:bottom w:val="nil"/>
              <w:right w:val="nil"/>
            </w:tcBorders>
            <w:shd w:val="clear" w:color="auto" w:fill="auto"/>
            <w:vAlign w:val="center"/>
            <w:hideMark/>
          </w:tcPr>
          <w:p w14:paraId="24EA34C3"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Receitas</w:t>
            </w:r>
          </w:p>
        </w:tc>
        <w:tc>
          <w:tcPr>
            <w:tcW w:w="629" w:type="pct"/>
            <w:tcBorders>
              <w:top w:val="nil"/>
              <w:left w:val="nil"/>
              <w:bottom w:val="nil"/>
              <w:right w:val="nil"/>
            </w:tcBorders>
            <w:shd w:val="clear" w:color="auto" w:fill="auto"/>
            <w:noWrap/>
            <w:vAlign w:val="center"/>
          </w:tcPr>
          <w:p w14:paraId="47F6F4E1" w14:textId="62EC36DB"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1.428.709</w:t>
            </w:r>
          </w:p>
        </w:tc>
        <w:tc>
          <w:tcPr>
            <w:tcW w:w="629" w:type="pct"/>
            <w:tcBorders>
              <w:top w:val="nil"/>
              <w:left w:val="nil"/>
              <w:bottom w:val="nil"/>
              <w:right w:val="nil"/>
            </w:tcBorders>
            <w:shd w:val="clear" w:color="auto" w:fill="auto"/>
            <w:noWrap/>
            <w:vAlign w:val="center"/>
          </w:tcPr>
          <w:p w14:paraId="681D45FC" w14:textId="1B0159BC"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156.179</w:t>
            </w:r>
          </w:p>
        </w:tc>
        <w:tc>
          <w:tcPr>
            <w:tcW w:w="629" w:type="pct"/>
            <w:tcBorders>
              <w:top w:val="nil"/>
              <w:left w:val="nil"/>
              <w:bottom w:val="nil"/>
              <w:right w:val="nil"/>
            </w:tcBorders>
            <w:shd w:val="clear" w:color="auto" w:fill="auto"/>
            <w:noWrap/>
            <w:vAlign w:val="center"/>
          </w:tcPr>
          <w:p w14:paraId="4612C41D" w14:textId="1DDC4389"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9.762</w:t>
            </w:r>
          </w:p>
        </w:tc>
        <w:tc>
          <w:tcPr>
            <w:tcW w:w="629" w:type="pct"/>
            <w:tcBorders>
              <w:top w:val="nil"/>
              <w:left w:val="nil"/>
              <w:bottom w:val="nil"/>
              <w:right w:val="nil"/>
            </w:tcBorders>
            <w:shd w:val="clear" w:color="auto" w:fill="auto"/>
            <w:noWrap/>
            <w:vAlign w:val="center"/>
          </w:tcPr>
          <w:p w14:paraId="58FA7822" w14:textId="2617A820"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1.233.371</w:t>
            </w:r>
          </w:p>
        </w:tc>
        <w:tc>
          <w:tcPr>
            <w:tcW w:w="629" w:type="pct"/>
            <w:tcBorders>
              <w:top w:val="nil"/>
              <w:left w:val="nil"/>
              <w:bottom w:val="nil"/>
              <w:right w:val="nil"/>
            </w:tcBorders>
            <w:shd w:val="clear" w:color="auto" w:fill="auto"/>
            <w:noWrap/>
            <w:vAlign w:val="center"/>
          </w:tcPr>
          <w:p w14:paraId="1BDF83E6" w14:textId="7499A6CB"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128.652</w:t>
            </w:r>
          </w:p>
        </w:tc>
        <w:tc>
          <w:tcPr>
            <w:tcW w:w="631" w:type="pct"/>
            <w:tcBorders>
              <w:top w:val="nil"/>
              <w:left w:val="nil"/>
              <w:bottom w:val="nil"/>
              <w:right w:val="nil"/>
            </w:tcBorders>
            <w:shd w:val="clear" w:color="auto" w:fill="auto"/>
            <w:noWrap/>
            <w:vAlign w:val="center"/>
          </w:tcPr>
          <w:p w14:paraId="68D3D655" w14:textId="45A0AB6A"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760.842</w:t>
            </w:r>
          </w:p>
        </w:tc>
      </w:tr>
      <w:tr w:rsidR="00A47C19" w:rsidRPr="00E20D21" w14:paraId="2453E162" w14:textId="77777777" w:rsidTr="00D76D32">
        <w:trPr>
          <w:trHeight w:val="227"/>
        </w:trPr>
        <w:tc>
          <w:tcPr>
            <w:tcW w:w="1224" w:type="pct"/>
            <w:tcBorders>
              <w:top w:val="nil"/>
              <w:left w:val="nil"/>
              <w:bottom w:val="nil"/>
              <w:right w:val="nil"/>
            </w:tcBorders>
            <w:shd w:val="clear" w:color="auto" w:fill="auto"/>
            <w:vAlign w:val="center"/>
            <w:hideMark/>
          </w:tcPr>
          <w:p w14:paraId="22D9E587"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Despesas</w:t>
            </w:r>
          </w:p>
        </w:tc>
        <w:tc>
          <w:tcPr>
            <w:tcW w:w="629" w:type="pct"/>
            <w:tcBorders>
              <w:top w:val="nil"/>
              <w:left w:val="nil"/>
              <w:bottom w:val="nil"/>
              <w:right w:val="nil"/>
            </w:tcBorders>
            <w:shd w:val="clear" w:color="auto" w:fill="auto"/>
            <w:noWrap/>
            <w:vAlign w:val="center"/>
          </w:tcPr>
          <w:p w14:paraId="1C472CB5" w14:textId="3FDCCA1D"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(1.412.965)</w:t>
            </w:r>
          </w:p>
        </w:tc>
        <w:tc>
          <w:tcPr>
            <w:tcW w:w="629" w:type="pct"/>
            <w:tcBorders>
              <w:top w:val="nil"/>
              <w:left w:val="nil"/>
              <w:bottom w:val="nil"/>
              <w:right w:val="nil"/>
            </w:tcBorders>
            <w:shd w:val="clear" w:color="auto" w:fill="auto"/>
            <w:noWrap/>
            <w:vAlign w:val="center"/>
          </w:tcPr>
          <w:p w14:paraId="718AEC39" w14:textId="144294C0"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(172.870)</w:t>
            </w:r>
          </w:p>
        </w:tc>
        <w:tc>
          <w:tcPr>
            <w:tcW w:w="629" w:type="pct"/>
            <w:tcBorders>
              <w:top w:val="nil"/>
              <w:left w:val="nil"/>
              <w:bottom w:val="nil"/>
              <w:right w:val="nil"/>
            </w:tcBorders>
            <w:shd w:val="clear" w:color="auto" w:fill="auto"/>
            <w:noWrap/>
            <w:vAlign w:val="center"/>
          </w:tcPr>
          <w:p w14:paraId="79954A0E" w14:textId="595157E6"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(5.532)</w:t>
            </w:r>
          </w:p>
        </w:tc>
        <w:tc>
          <w:tcPr>
            <w:tcW w:w="629" w:type="pct"/>
            <w:tcBorders>
              <w:top w:val="nil"/>
              <w:left w:val="nil"/>
              <w:bottom w:val="nil"/>
              <w:right w:val="nil"/>
            </w:tcBorders>
            <w:shd w:val="clear" w:color="auto" w:fill="auto"/>
            <w:noWrap/>
            <w:vAlign w:val="center"/>
          </w:tcPr>
          <w:p w14:paraId="6F46E4F5" w14:textId="20A5FDB4"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(700.968)</w:t>
            </w:r>
          </w:p>
        </w:tc>
        <w:tc>
          <w:tcPr>
            <w:tcW w:w="629" w:type="pct"/>
            <w:tcBorders>
              <w:top w:val="nil"/>
              <w:left w:val="nil"/>
              <w:bottom w:val="nil"/>
              <w:right w:val="nil"/>
            </w:tcBorders>
            <w:shd w:val="clear" w:color="auto" w:fill="auto"/>
            <w:noWrap/>
            <w:vAlign w:val="center"/>
          </w:tcPr>
          <w:p w14:paraId="0DCA7E2C" w14:textId="1B02B27E"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(122.883)</w:t>
            </w:r>
          </w:p>
        </w:tc>
        <w:tc>
          <w:tcPr>
            <w:tcW w:w="631" w:type="pct"/>
            <w:tcBorders>
              <w:top w:val="nil"/>
              <w:left w:val="nil"/>
              <w:bottom w:val="nil"/>
              <w:right w:val="nil"/>
            </w:tcBorders>
            <w:shd w:val="clear" w:color="auto" w:fill="auto"/>
            <w:noWrap/>
            <w:vAlign w:val="center"/>
          </w:tcPr>
          <w:p w14:paraId="2C571881" w14:textId="518645EB"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(473.723)</w:t>
            </w:r>
          </w:p>
        </w:tc>
      </w:tr>
      <w:tr w:rsidR="00A47C19" w:rsidRPr="00E20D21" w14:paraId="5046FFFB" w14:textId="77777777" w:rsidTr="00D76D32">
        <w:trPr>
          <w:trHeight w:val="227"/>
        </w:trPr>
        <w:tc>
          <w:tcPr>
            <w:tcW w:w="1224" w:type="pct"/>
            <w:tcBorders>
              <w:top w:val="nil"/>
              <w:left w:val="nil"/>
              <w:bottom w:val="nil"/>
              <w:right w:val="nil"/>
            </w:tcBorders>
            <w:shd w:val="clear" w:color="auto" w:fill="auto"/>
            <w:vAlign w:val="center"/>
            <w:hideMark/>
          </w:tcPr>
          <w:p w14:paraId="40FA423F" w14:textId="77777777" w:rsidR="00576123" w:rsidRPr="00E20D21" w:rsidRDefault="00576123" w:rsidP="0071141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Lucro/ Prejuízo do período</w:t>
            </w:r>
          </w:p>
        </w:tc>
        <w:tc>
          <w:tcPr>
            <w:tcW w:w="629" w:type="pct"/>
            <w:tcBorders>
              <w:top w:val="nil"/>
              <w:left w:val="nil"/>
              <w:bottom w:val="nil"/>
              <w:right w:val="nil"/>
            </w:tcBorders>
            <w:shd w:val="clear" w:color="auto" w:fill="auto"/>
            <w:noWrap/>
            <w:vAlign w:val="center"/>
          </w:tcPr>
          <w:p w14:paraId="5BCC35F7" w14:textId="2735206A"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15.744</w:t>
            </w:r>
          </w:p>
        </w:tc>
        <w:tc>
          <w:tcPr>
            <w:tcW w:w="629" w:type="pct"/>
            <w:tcBorders>
              <w:top w:val="nil"/>
              <w:left w:val="nil"/>
              <w:bottom w:val="nil"/>
              <w:right w:val="nil"/>
            </w:tcBorders>
            <w:shd w:val="clear" w:color="auto" w:fill="auto"/>
            <w:noWrap/>
            <w:vAlign w:val="center"/>
          </w:tcPr>
          <w:p w14:paraId="443F1EB8" w14:textId="3C294665"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(16.691)</w:t>
            </w:r>
          </w:p>
        </w:tc>
        <w:tc>
          <w:tcPr>
            <w:tcW w:w="629" w:type="pct"/>
            <w:tcBorders>
              <w:top w:val="nil"/>
              <w:left w:val="nil"/>
              <w:bottom w:val="nil"/>
              <w:right w:val="nil"/>
            </w:tcBorders>
            <w:shd w:val="clear" w:color="auto" w:fill="auto"/>
            <w:noWrap/>
            <w:vAlign w:val="center"/>
          </w:tcPr>
          <w:p w14:paraId="448A5874" w14:textId="167E59E6"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4.230</w:t>
            </w:r>
          </w:p>
        </w:tc>
        <w:tc>
          <w:tcPr>
            <w:tcW w:w="629" w:type="pct"/>
            <w:tcBorders>
              <w:top w:val="nil"/>
              <w:left w:val="nil"/>
              <w:bottom w:val="nil"/>
              <w:right w:val="nil"/>
            </w:tcBorders>
            <w:shd w:val="clear" w:color="auto" w:fill="auto"/>
            <w:noWrap/>
            <w:vAlign w:val="center"/>
          </w:tcPr>
          <w:p w14:paraId="0A702B4B" w14:textId="084B91CB"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532.403</w:t>
            </w:r>
          </w:p>
        </w:tc>
        <w:tc>
          <w:tcPr>
            <w:tcW w:w="629" w:type="pct"/>
            <w:tcBorders>
              <w:top w:val="nil"/>
              <w:left w:val="nil"/>
              <w:bottom w:val="nil"/>
              <w:right w:val="nil"/>
            </w:tcBorders>
            <w:shd w:val="clear" w:color="auto" w:fill="auto"/>
            <w:noWrap/>
            <w:vAlign w:val="center"/>
          </w:tcPr>
          <w:p w14:paraId="0C3984DC" w14:textId="5624C5ED"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5.769</w:t>
            </w:r>
          </w:p>
        </w:tc>
        <w:tc>
          <w:tcPr>
            <w:tcW w:w="631" w:type="pct"/>
            <w:tcBorders>
              <w:top w:val="nil"/>
              <w:left w:val="nil"/>
              <w:bottom w:val="nil"/>
              <w:right w:val="nil"/>
            </w:tcBorders>
            <w:shd w:val="clear" w:color="auto" w:fill="auto"/>
            <w:noWrap/>
            <w:vAlign w:val="center"/>
          </w:tcPr>
          <w:p w14:paraId="15AAB0A2" w14:textId="5BCA033E"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287.119</w:t>
            </w:r>
          </w:p>
        </w:tc>
      </w:tr>
      <w:tr w:rsidR="00A47C19" w:rsidRPr="00E20D21" w14:paraId="67E0E71F" w14:textId="77777777" w:rsidTr="00D76D32">
        <w:trPr>
          <w:trHeight w:val="227"/>
        </w:trPr>
        <w:tc>
          <w:tcPr>
            <w:tcW w:w="1224" w:type="pct"/>
            <w:tcBorders>
              <w:top w:val="nil"/>
              <w:left w:val="nil"/>
              <w:bottom w:val="nil"/>
              <w:right w:val="nil"/>
            </w:tcBorders>
            <w:shd w:val="clear" w:color="auto" w:fill="auto"/>
            <w:vAlign w:val="center"/>
            <w:hideMark/>
          </w:tcPr>
          <w:p w14:paraId="4ED724D0"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resultados abrangentes</w:t>
            </w:r>
          </w:p>
        </w:tc>
        <w:tc>
          <w:tcPr>
            <w:tcW w:w="629" w:type="pct"/>
            <w:tcBorders>
              <w:top w:val="nil"/>
              <w:left w:val="nil"/>
              <w:bottom w:val="nil"/>
              <w:right w:val="nil"/>
            </w:tcBorders>
            <w:shd w:val="clear" w:color="auto" w:fill="auto"/>
            <w:noWrap/>
            <w:vAlign w:val="center"/>
          </w:tcPr>
          <w:p w14:paraId="2EAC173B" w14:textId="2B92648B" w:rsidR="00576123" w:rsidRPr="00E20D21" w:rsidRDefault="00D946F4" w:rsidP="005A20D8">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1B03F9D8" w14:textId="555A5518" w:rsidR="00576123" w:rsidRPr="00E20D21" w:rsidRDefault="00D946F4" w:rsidP="005A20D8">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02948AEB" w14:textId="3E775F38" w:rsidR="00576123" w:rsidRPr="00E20D21" w:rsidRDefault="00D946F4" w:rsidP="005A20D8">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17A21CBC" w14:textId="39E3D64D" w:rsidR="00576123" w:rsidRPr="00E20D21" w:rsidRDefault="005A20D8" w:rsidP="005A20D8">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41351717" w14:textId="620B97B8" w:rsidR="00576123" w:rsidRPr="00E20D21" w:rsidRDefault="005A20D8" w:rsidP="005A20D8">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31" w:type="pct"/>
            <w:tcBorders>
              <w:top w:val="nil"/>
              <w:left w:val="nil"/>
              <w:bottom w:val="nil"/>
              <w:right w:val="nil"/>
            </w:tcBorders>
            <w:shd w:val="clear" w:color="auto" w:fill="auto"/>
            <w:noWrap/>
            <w:vAlign w:val="center"/>
          </w:tcPr>
          <w:p w14:paraId="2CC3A014" w14:textId="2E3BB62D" w:rsidR="00576123" w:rsidRPr="00E20D21" w:rsidRDefault="005A20D8" w:rsidP="005A20D8">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r>
      <w:tr w:rsidR="00A47C19" w:rsidRPr="00E20D21" w14:paraId="798E9AB4" w14:textId="77777777" w:rsidTr="00D76D32">
        <w:trPr>
          <w:trHeight w:val="227"/>
        </w:trPr>
        <w:tc>
          <w:tcPr>
            <w:tcW w:w="1224" w:type="pct"/>
            <w:tcBorders>
              <w:top w:val="nil"/>
              <w:left w:val="nil"/>
              <w:bottom w:val="nil"/>
              <w:right w:val="nil"/>
            </w:tcBorders>
            <w:shd w:val="clear" w:color="auto" w:fill="auto"/>
            <w:vAlign w:val="center"/>
            <w:hideMark/>
          </w:tcPr>
          <w:p w14:paraId="3A0F7185"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Resultado abrangente total</w:t>
            </w:r>
          </w:p>
        </w:tc>
        <w:tc>
          <w:tcPr>
            <w:tcW w:w="629" w:type="pct"/>
            <w:tcBorders>
              <w:top w:val="nil"/>
              <w:left w:val="nil"/>
              <w:bottom w:val="nil"/>
              <w:right w:val="nil"/>
            </w:tcBorders>
            <w:shd w:val="clear" w:color="auto" w:fill="auto"/>
            <w:noWrap/>
            <w:vAlign w:val="center"/>
          </w:tcPr>
          <w:p w14:paraId="7D82CC4F" w14:textId="5C3C0B6C" w:rsidR="00576123" w:rsidRPr="00E20D21" w:rsidRDefault="00D946F4" w:rsidP="005A20D8">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1DE50077" w14:textId="03982563" w:rsidR="00576123" w:rsidRPr="00E20D21" w:rsidRDefault="00D946F4" w:rsidP="005A20D8">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754FA22E" w14:textId="24B41294" w:rsidR="00576123" w:rsidRPr="00E20D21" w:rsidRDefault="00D946F4" w:rsidP="005A20D8">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0B0DAD75" w14:textId="1E1F5404" w:rsidR="00576123" w:rsidRPr="00E20D21" w:rsidRDefault="00D946F4" w:rsidP="00E1220F">
            <w:pPr>
              <w:jc w:val="right"/>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532.403</w:t>
            </w:r>
          </w:p>
        </w:tc>
        <w:tc>
          <w:tcPr>
            <w:tcW w:w="629" w:type="pct"/>
            <w:tcBorders>
              <w:top w:val="nil"/>
              <w:left w:val="nil"/>
              <w:bottom w:val="nil"/>
              <w:right w:val="nil"/>
            </w:tcBorders>
            <w:shd w:val="clear" w:color="auto" w:fill="auto"/>
            <w:noWrap/>
            <w:vAlign w:val="center"/>
          </w:tcPr>
          <w:p w14:paraId="26C426F7" w14:textId="32E6E0E4" w:rsidR="00576123" w:rsidRPr="00E20D21" w:rsidRDefault="00D946F4" w:rsidP="00D946F4">
            <w:pPr>
              <w:jc w:val="right"/>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5.770</w:t>
            </w:r>
          </w:p>
        </w:tc>
        <w:tc>
          <w:tcPr>
            <w:tcW w:w="631" w:type="pct"/>
            <w:tcBorders>
              <w:top w:val="nil"/>
              <w:left w:val="nil"/>
              <w:bottom w:val="nil"/>
              <w:right w:val="nil"/>
            </w:tcBorders>
            <w:shd w:val="clear" w:color="auto" w:fill="auto"/>
            <w:noWrap/>
            <w:vAlign w:val="center"/>
          </w:tcPr>
          <w:p w14:paraId="4E1793D1" w14:textId="0247CC0D" w:rsidR="00576123" w:rsidRPr="00E20D21" w:rsidRDefault="005A20D8" w:rsidP="005A20D8">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r>
      <w:tr w:rsidR="00A47C19" w:rsidRPr="00E20D21" w14:paraId="4D8BDB2A" w14:textId="77777777" w:rsidTr="00D76D32">
        <w:trPr>
          <w:trHeight w:val="227"/>
        </w:trPr>
        <w:tc>
          <w:tcPr>
            <w:tcW w:w="1224" w:type="pct"/>
            <w:tcBorders>
              <w:top w:val="nil"/>
              <w:left w:val="nil"/>
              <w:bottom w:val="nil"/>
              <w:right w:val="nil"/>
            </w:tcBorders>
            <w:shd w:val="clear" w:color="auto" w:fill="auto"/>
            <w:vAlign w:val="center"/>
            <w:hideMark/>
          </w:tcPr>
          <w:p w14:paraId="6ED1ED2A" w14:textId="77777777" w:rsidR="00576123" w:rsidRPr="00E20D21" w:rsidRDefault="00576123" w:rsidP="0071141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Patrimônio Líquido</w:t>
            </w:r>
          </w:p>
        </w:tc>
        <w:tc>
          <w:tcPr>
            <w:tcW w:w="629" w:type="pct"/>
            <w:tcBorders>
              <w:top w:val="nil"/>
              <w:left w:val="nil"/>
              <w:bottom w:val="nil"/>
              <w:right w:val="nil"/>
            </w:tcBorders>
            <w:shd w:val="clear" w:color="auto" w:fill="auto"/>
            <w:noWrap/>
            <w:vAlign w:val="center"/>
          </w:tcPr>
          <w:p w14:paraId="0684552E" w14:textId="7D766873"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1.000.980</w:t>
            </w:r>
          </w:p>
        </w:tc>
        <w:tc>
          <w:tcPr>
            <w:tcW w:w="629" w:type="pct"/>
            <w:tcBorders>
              <w:top w:val="nil"/>
              <w:left w:val="nil"/>
              <w:bottom w:val="nil"/>
              <w:right w:val="nil"/>
            </w:tcBorders>
            <w:shd w:val="clear" w:color="auto" w:fill="auto"/>
            <w:noWrap/>
            <w:vAlign w:val="center"/>
          </w:tcPr>
          <w:p w14:paraId="1DC46F00" w14:textId="4291FB70"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345.845</w:t>
            </w:r>
          </w:p>
        </w:tc>
        <w:tc>
          <w:tcPr>
            <w:tcW w:w="629" w:type="pct"/>
            <w:tcBorders>
              <w:top w:val="nil"/>
              <w:left w:val="nil"/>
              <w:bottom w:val="nil"/>
              <w:right w:val="nil"/>
            </w:tcBorders>
            <w:shd w:val="clear" w:color="auto" w:fill="auto"/>
            <w:noWrap/>
            <w:vAlign w:val="center"/>
          </w:tcPr>
          <w:p w14:paraId="13E309B3" w14:textId="7567D4AC"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36.414</w:t>
            </w:r>
          </w:p>
        </w:tc>
        <w:tc>
          <w:tcPr>
            <w:tcW w:w="629" w:type="pct"/>
            <w:tcBorders>
              <w:top w:val="nil"/>
              <w:left w:val="nil"/>
              <w:bottom w:val="nil"/>
              <w:right w:val="nil"/>
            </w:tcBorders>
            <w:shd w:val="clear" w:color="auto" w:fill="auto"/>
            <w:noWrap/>
            <w:vAlign w:val="center"/>
          </w:tcPr>
          <w:p w14:paraId="07F7E26F" w14:textId="2B56B449"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1.070.977</w:t>
            </w:r>
          </w:p>
        </w:tc>
        <w:tc>
          <w:tcPr>
            <w:tcW w:w="629" w:type="pct"/>
            <w:tcBorders>
              <w:top w:val="nil"/>
              <w:left w:val="nil"/>
              <w:bottom w:val="nil"/>
              <w:right w:val="nil"/>
            </w:tcBorders>
            <w:shd w:val="clear" w:color="auto" w:fill="auto"/>
            <w:noWrap/>
            <w:vAlign w:val="center"/>
          </w:tcPr>
          <w:p w14:paraId="4BB67DF6" w14:textId="384F1A47"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406.013</w:t>
            </w:r>
          </w:p>
        </w:tc>
        <w:tc>
          <w:tcPr>
            <w:tcW w:w="631" w:type="pct"/>
            <w:tcBorders>
              <w:top w:val="nil"/>
              <w:left w:val="nil"/>
              <w:bottom w:val="nil"/>
              <w:right w:val="nil"/>
            </w:tcBorders>
            <w:shd w:val="clear" w:color="auto" w:fill="auto"/>
            <w:noWrap/>
            <w:vAlign w:val="center"/>
          </w:tcPr>
          <w:p w14:paraId="330B24B4" w14:textId="4DAFF3C1"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2.060.356</w:t>
            </w:r>
          </w:p>
        </w:tc>
      </w:tr>
      <w:tr w:rsidR="00A47C19" w:rsidRPr="00E20D21" w14:paraId="7AD02A7C" w14:textId="77777777" w:rsidTr="00D76D32">
        <w:trPr>
          <w:trHeight w:val="227"/>
        </w:trPr>
        <w:tc>
          <w:tcPr>
            <w:tcW w:w="1224" w:type="pct"/>
            <w:tcBorders>
              <w:top w:val="nil"/>
              <w:left w:val="nil"/>
              <w:bottom w:val="nil"/>
              <w:right w:val="nil"/>
            </w:tcBorders>
            <w:shd w:val="clear" w:color="auto" w:fill="auto"/>
            <w:vAlign w:val="center"/>
            <w:hideMark/>
          </w:tcPr>
          <w:p w14:paraId="0963C8EE" w14:textId="77777777" w:rsidR="00576123" w:rsidRPr="00E20D21" w:rsidRDefault="00576123" w:rsidP="00711413">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de participação</w:t>
            </w:r>
          </w:p>
        </w:tc>
        <w:tc>
          <w:tcPr>
            <w:tcW w:w="629" w:type="pct"/>
            <w:tcBorders>
              <w:top w:val="nil"/>
              <w:left w:val="nil"/>
              <w:bottom w:val="nil"/>
              <w:right w:val="nil"/>
            </w:tcBorders>
            <w:shd w:val="clear" w:color="auto" w:fill="auto"/>
            <w:noWrap/>
            <w:vAlign w:val="center"/>
          </w:tcPr>
          <w:p w14:paraId="542010CD" w14:textId="72270468"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13,01%</w:t>
            </w:r>
          </w:p>
        </w:tc>
        <w:tc>
          <w:tcPr>
            <w:tcW w:w="629" w:type="pct"/>
            <w:tcBorders>
              <w:top w:val="nil"/>
              <w:left w:val="nil"/>
              <w:bottom w:val="nil"/>
              <w:right w:val="nil"/>
            </w:tcBorders>
            <w:shd w:val="clear" w:color="auto" w:fill="auto"/>
            <w:noWrap/>
            <w:vAlign w:val="center"/>
          </w:tcPr>
          <w:p w14:paraId="6D31671B" w14:textId="5DE10D0E"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15,29%</w:t>
            </w:r>
          </w:p>
        </w:tc>
        <w:tc>
          <w:tcPr>
            <w:tcW w:w="629" w:type="pct"/>
            <w:tcBorders>
              <w:top w:val="nil"/>
              <w:left w:val="nil"/>
              <w:bottom w:val="nil"/>
              <w:right w:val="nil"/>
            </w:tcBorders>
            <w:shd w:val="clear" w:color="auto" w:fill="auto"/>
            <w:noWrap/>
            <w:vAlign w:val="center"/>
          </w:tcPr>
          <w:p w14:paraId="1B4D6076" w14:textId="1DBEB4EB"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6,67%</w:t>
            </w:r>
          </w:p>
        </w:tc>
        <w:tc>
          <w:tcPr>
            <w:tcW w:w="629" w:type="pct"/>
            <w:tcBorders>
              <w:top w:val="nil"/>
              <w:left w:val="nil"/>
              <w:bottom w:val="nil"/>
              <w:right w:val="nil"/>
            </w:tcBorders>
            <w:shd w:val="clear" w:color="auto" w:fill="auto"/>
            <w:noWrap/>
            <w:vAlign w:val="center"/>
          </w:tcPr>
          <w:p w14:paraId="027A46D8" w14:textId="382F6540"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41,41%</w:t>
            </w:r>
          </w:p>
        </w:tc>
        <w:tc>
          <w:tcPr>
            <w:tcW w:w="629" w:type="pct"/>
            <w:tcBorders>
              <w:top w:val="nil"/>
              <w:left w:val="nil"/>
              <w:bottom w:val="nil"/>
              <w:right w:val="nil"/>
            </w:tcBorders>
            <w:shd w:val="clear" w:color="auto" w:fill="auto"/>
            <w:noWrap/>
            <w:vAlign w:val="center"/>
          </w:tcPr>
          <w:p w14:paraId="27FC73E2" w14:textId="0D4C25D7"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631" w:type="pct"/>
            <w:tcBorders>
              <w:top w:val="nil"/>
              <w:left w:val="nil"/>
              <w:bottom w:val="nil"/>
              <w:right w:val="nil"/>
            </w:tcBorders>
            <w:shd w:val="clear" w:color="auto" w:fill="auto"/>
            <w:noWrap/>
            <w:vAlign w:val="center"/>
          </w:tcPr>
          <w:p w14:paraId="1AF66D6A" w14:textId="73F9D110"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8,1</w:t>
            </w:r>
            <w:r w:rsidR="00CD50A1"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r>
      <w:tr w:rsidR="00A47C19" w:rsidRPr="00E20D21" w14:paraId="6C9F7537" w14:textId="77777777" w:rsidTr="00D76D32">
        <w:trPr>
          <w:trHeight w:val="227"/>
        </w:trPr>
        <w:tc>
          <w:tcPr>
            <w:tcW w:w="1224" w:type="pct"/>
            <w:tcBorders>
              <w:top w:val="nil"/>
              <w:left w:val="nil"/>
              <w:right w:val="nil"/>
            </w:tcBorders>
            <w:shd w:val="clear" w:color="auto" w:fill="auto"/>
            <w:vAlign w:val="center"/>
            <w:hideMark/>
          </w:tcPr>
          <w:p w14:paraId="1EFAD2FB" w14:textId="77777777" w:rsidR="00576123" w:rsidRPr="00E20D21" w:rsidRDefault="00576123" w:rsidP="00711413">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Saldo do investimento</w:t>
            </w:r>
          </w:p>
        </w:tc>
        <w:tc>
          <w:tcPr>
            <w:tcW w:w="629" w:type="pct"/>
            <w:tcBorders>
              <w:top w:val="nil"/>
              <w:left w:val="nil"/>
              <w:right w:val="nil"/>
            </w:tcBorders>
            <w:shd w:val="clear" w:color="auto" w:fill="auto"/>
            <w:vAlign w:val="center"/>
          </w:tcPr>
          <w:p w14:paraId="177CAB72" w14:textId="67AFFA77"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130.227</w:t>
            </w:r>
          </w:p>
        </w:tc>
        <w:tc>
          <w:tcPr>
            <w:tcW w:w="629" w:type="pct"/>
            <w:tcBorders>
              <w:top w:val="nil"/>
              <w:left w:val="nil"/>
              <w:bottom w:val="nil"/>
              <w:right w:val="nil"/>
            </w:tcBorders>
            <w:shd w:val="clear" w:color="auto" w:fill="auto"/>
            <w:vAlign w:val="center"/>
          </w:tcPr>
          <w:p w14:paraId="24C9FA19" w14:textId="65288830"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52.880</w:t>
            </w:r>
          </w:p>
        </w:tc>
        <w:tc>
          <w:tcPr>
            <w:tcW w:w="629" w:type="pct"/>
            <w:tcBorders>
              <w:top w:val="nil"/>
              <w:left w:val="nil"/>
              <w:bottom w:val="nil"/>
              <w:right w:val="nil"/>
            </w:tcBorders>
            <w:shd w:val="clear" w:color="auto" w:fill="auto"/>
            <w:vAlign w:val="center"/>
          </w:tcPr>
          <w:p w14:paraId="738C6812" w14:textId="5EFD74EC"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2.428</w:t>
            </w:r>
          </w:p>
        </w:tc>
        <w:tc>
          <w:tcPr>
            <w:tcW w:w="629" w:type="pct"/>
            <w:tcBorders>
              <w:top w:val="nil"/>
              <w:left w:val="nil"/>
              <w:bottom w:val="nil"/>
              <w:right w:val="nil"/>
            </w:tcBorders>
            <w:shd w:val="clear" w:color="auto" w:fill="auto"/>
            <w:vAlign w:val="center"/>
          </w:tcPr>
          <w:p w14:paraId="6C817651" w14:textId="3C7B799F"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443.544</w:t>
            </w:r>
          </w:p>
        </w:tc>
        <w:tc>
          <w:tcPr>
            <w:tcW w:w="629" w:type="pct"/>
            <w:tcBorders>
              <w:top w:val="nil"/>
              <w:left w:val="nil"/>
              <w:bottom w:val="nil"/>
              <w:right w:val="nil"/>
            </w:tcBorders>
            <w:shd w:val="clear" w:color="auto" w:fill="auto"/>
            <w:vAlign w:val="center"/>
          </w:tcPr>
          <w:p w14:paraId="3DA50453" w14:textId="67F59436"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304.510</w:t>
            </w:r>
          </w:p>
        </w:tc>
        <w:tc>
          <w:tcPr>
            <w:tcW w:w="631" w:type="pct"/>
            <w:tcBorders>
              <w:top w:val="nil"/>
              <w:left w:val="nil"/>
              <w:bottom w:val="nil"/>
              <w:right w:val="nil"/>
            </w:tcBorders>
            <w:shd w:val="clear" w:color="auto" w:fill="auto"/>
            <w:vAlign w:val="center"/>
          </w:tcPr>
          <w:p w14:paraId="7EA3CA93" w14:textId="5343D872" w:rsidR="00576123" w:rsidRPr="00E20D21" w:rsidRDefault="00D946F4" w:rsidP="00711413">
            <w:pPr>
              <w:jc w:val="right"/>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168.443</w:t>
            </w:r>
          </w:p>
        </w:tc>
      </w:tr>
      <w:tr w:rsidR="00A47C19" w:rsidRPr="00E20D21" w14:paraId="0CBD3393" w14:textId="77777777" w:rsidTr="00D76D32">
        <w:trPr>
          <w:trHeight w:val="227"/>
        </w:trPr>
        <w:tc>
          <w:tcPr>
            <w:tcW w:w="1224" w:type="pct"/>
            <w:tcBorders>
              <w:top w:val="nil"/>
              <w:left w:val="nil"/>
              <w:bottom w:val="single" w:sz="4" w:space="0" w:color="F79646"/>
              <w:right w:val="nil"/>
            </w:tcBorders>
            <w:shd w:val="clear" w:color="auto" w:fill="auto"/>
            <w:vAlign w:val="center"/>
          </w:tcPr>
          <w:p w14:paraId="3C60BD16" w14:textId="77777777" w:rsidR="00576123" w:rsidRPr="00E20D21" w:rsidRDefault="00576123" w:rsidP="00711413">
            <w:pPr>
              <w:rPr>
                <w:rFonts w:ascii="CAIXA Std Book" w:eastAsia="Times New Roman" w:hAnsi="CAIXA Std Book" w:cs="Arial"/>
                <w:b/>
                <w:color w:val="005CA9"/>
                <w:sz w:val="16"/>
                <w:szCs w:val="16"/>
              </w:rPr>
            </w:pPr>
            <w:r w:rsidRPr="00E20D21">
              <w:rPr>
                <w:rFonts w:ascii="CAIXA Std Book" w:eastAsia="Times New Roman" w:hAnsi="CAIXA Std Book" w:cs="Arial"/>
                <w:color w:val="005CA9"/>
                <w:sz w:val="16"/>
                <w:szCs w:val="16"/>
              </w:rPr>
              <w:t>Outros ajustes (1)</w:t>
            </w:r>
          </w:p>
        </w:tc>
        <w:tc>
          <w:tcPr>
            <w:tcW w:w="629" w:type="pct"/>
            <w:tcBorders>
              <w:top w:val="nil"/>
              <w:left w:val="nil"/>
              <w:bottom w:val="single" w:sz="4" w:space="0" w:color="F79646"/>
              <w:right w:val="nil"/>
            </w:tcBorders>
            <w:shd w:val="clear" w:color="auto" w:fill="auto"/>
            <w:vAlign w:val="center"/>
          </w:tcPr>
          <w:p w14:paraId="6642C371" w14:textId="6CD37EC7" w:rsidR="00576123" w:rsidRPr="00E20D21" w:rsidRDefault="00D946F4" w:rsidP="00711413">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54.245</w:t>
            </w:r>
          </w:p>
        </w:tc>
        <w:tc>
          <w:tcPr>
            <w:tcW w:w="629" w:type="pct"/>
            <w:tcBorders>
              <w:top w:val="nil"/>
              <w:left w:val="nil"/>
              <w:bottom w:val="single" w:sz="4" w:space="0" w:color="F79646"/>
              <w:right w:val="nil"/>
            </w:tcBorders>
            <w:shd w:val="clear" w:color="auto" w:fill="auto"/>
            <w:vAlign w:val="center"/>
          </w:tcPr>
          <w:p w14:paraId="2A50A6B6" w14:textId="40A69A94" w:rsidR="00576123" w:rsidRPr="00E20D21" w:rsidRDefault="001B1E08" w:rsidP="001B1E08">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731853BB" w14:textId="5284F75B" w:rsidR="00576123" w:rsidRPr="00E20D21" w:rsidRDefault="001B1E08" w:rsidP="001B1E08">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07510EF2" w14:textId="521244DC" w:rsidR="00576123" w:rsidRPr="00E20D21" w:rsidRDefault="001B1E08" w:rsidP="001B1E08">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4BB6FD81" w14:textId="495EEBC7" w:rsidR="00576123" w:rsidRPr="00E20D21" w:rsidRDefault="00D946F4" w:rsidP="00E1220F">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50</w:t>
            </w:r>
          </w:p>
        </w:tc>
        <w:tc>
          <w:tcPr>
            <w:tcW w:w="631" w:type="pct"/>
            <w:tcBorders>
              <w:top w:val="nil"/>
              <w:left w:val="nil"/>
              <w:bottom w:val="single" w:sz="4" w:space="0" w:color="F79646"/>
              <w:right w:val="nil"/>
            </w:tcBorders>
            <w:shd w:val="clear" w:color="auto" w:fill="auto"/>
            <w:vAlign w:val="center"/>
          </w:tcPr>
          <w:p w14:paraId="4628226B" w14:textId="21E88DDB" w:rsidR="00576123" w:rsidRPr="00E20D21" w:rsidRDefault="001B1E08" w:rsidP="001B1E08">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r>
    </w:tbl>
    <w:bookmarkEnd w:id="42"/>
    <w:p w14:paraId="3604000A" w14:textId="224081C3" w:rsidR="00EA1828" w:rsidRPr="00E20D21" w:rsidRDefault="00EA1828" w:rsidP="00A47C19">
      <w:pPr>
        <w:spacing w:after="120"/>
        <w:rPr>
          <w:rFonts w:ascii="CAIXA Std Book" w:hAnsi="CAIXA Std Book"/>
          <w:color w:val="005CA9"/>
          <w:sz w:val="14"/>
          <w:szCs w:val="14"/>
        </w:rPr>
      </w:pPr>
      <w:r w:rsidRPr="00E20D21">
        <w:rPr>
          <w:rFonts w:ascii="CAIXA Std Book" w:hAnsi="CAIXA Std Book"/>
          <w:color w:val="005CA9"/>
          <w:sz w:val="14"/>
          <w:szCs w:val="14"/>
        </w:rPr>
        <w:t>(1)</w:t>
      </w:r>
      <w:r w:rsidR="00B82C28" w:rsidRPr="00E20D21">
        <w:rPr>
          <w:rFonts w:ascii="CAIXA Std Book" w:hAnsi="CAIXA Std Book"/>
          <w:color w:val="005CA9"/>
          <w:sz w:val="14"/>
          <w:szCs w:val="14"/>
        </w:rPr>
        <w:t xml:space="preserve"> </w:t>
      </w:r>
      <w:r w:rsidR="00331DA4" w:rsidRPr="00E20D21">
        <w:rPr>
          <w:rFonts w:ascii="CAIXA Std Book" w:hAnsi="CAIXA Std Book"/>
          <w:color w:val="005CA9"/>
          <w:sz w:val="14"/>
          <w:szCs w:val="14"/>
        </w:rPr>
        <w:t xml:space="preserve">Valores </w:t>
      </w:r>
      <w:r w:rsidR="00067AF2" w:rsidRPr="00E20D21">
        <w:rPr>
          <w:rFonts w:ascii="CAIXA Std Book" w:hAnsi="CAIXA Std Book"/>
          <w:color w:val="005CA9"/>
          <w:sz w:val="14"/>
          <w:szCs w:val="14"/>
        </w:rPr>
        <w:t>referentes ao</w:t>
      </w:r>
      <w:r w:rsidRPr="00E20D21">
        <w:rPr>
          <w:rFonts w:ascii="CAIXA Std Book" w:hAnsi="CAIXA Std Book"/>
          <w:color w:val="005CA9"/>
          <w:sz w:val="14"/>
          <w:szCs w:val="14"/>
        </w:rPr>
        <w:t xml:space="preserve"> ágio/intangível sobre investimento</w:t>
      </w:r>
      <w:r w:rsidR="00D759F7" w:rsidRPr="00E20D21">
        <w:rPr>
          <w:rFonts w:ascii="CAIXA Std Book" w:hAnsi="CAIXA Std Book"/>
          <w:color w:val="005CA9"/>
          <w:sz w:val="14"/>
          <w:szCs w:val="14"/>
        </w:rPr>
        <w:t xml:space="preserve"> na Tecban</w:t>
      </w:r>
      <w:r w:rsidR="005E7010" w:rsidRPr="00E20D21">
        <w:rPr>
          <w:rFonts w:ascii="CAIXA Std Book" w:hAnsi="CAIXA Std Book"/>
          <w:color w:val="005CA9"/>
          <w:sz w:val="14"/>
          <w:szCs w:val="14"/>
        </w:rPr>
        <w:t>.</w:t>
      </w:r>
    </w:p>
    <w:tbl>
      <w:tblPr>
        <w:tblW w:w="5000" w:type="pct"/>
        <w:tblCellMar>
          <w:left w:w="70" w:type="dxa"/>
          <w:right w:w="70" w:type="dxa"/>
        </w:tblCellMar>
        <w:tblLook w:val="04A0" w:firstRow="1" w:lastRow="0" w:firstColumn="1" w:lastColumn="0" w:noHBand="0" w:noVBand="1"/>
      </w:tblPr>
      <w:tblGrid>
        <w:gridCol w:w="3567"/>
        <w:gridCol w:w="1833"/>
        <w:gridCol w:w="1833"/>
        <w:gridCol w:w="1833"/>
        <w:gridCol w:w="1833"/>
        <w:gridCol w:w="1833"/>
        <w:gridCol w:w="1839"/>
      </w:tblGrid>
      <w:tr w:rsidR="00A47C19" w:rsidRPr="00E20D21" w14:paraId="1176A506" w14:textId="77777777">
        <w:trPr>
          <w:trHeight w:val="227"/>
        </w:trPr>
        <w:tc>
          <w:tcPr>
            <w:tcW w:w="1224" w:type="pct"/>
            <w:vMerge w:val="restart"/>
            <w:tcBorders>
              <w:top w:val="single" w:sz="4" w:space="0" w:color="F79646"/>
              <w:left w:val="nil"/>
              <w:bottom w:val="single" w:sz="4" w:space="0" w:color="F79646"/>
              <w:right w:val="nil"/>
            </w:tcBorders>
            <w:shd w:val="clear" w:color="auto" w:fill="auto"/>
            <w:vAlign w:val="center"/>
            <w:hideMark/>
          </w:tcPr>
          <w:p w14:paraId="7D7682D2"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Descrição</w:t>
            </w:r>
          </w:p>
        </w:tc>
        <w:tc>
          <w:tcPr>
            <w:tcW w:w="3776" w:type="pct"/>
            <w:gridSpan w:val="6"/>
            <w:tcBorders>
              <w:top w:val="single" w:sz="4" w:space="0" w:color="F79646"/>
              <w:left w:val="nil"/>
              <w:bottom w:val="single" w:sz="4" w:space="0" w:color="F79646"/>
              <w:right w:val="nil"/>
            </w:tcBorders>
            <w:shd w:val="clear" w:color="auto" w:fill="auto"/>
            <w:vAlign w:val="center"/>
            <w:hideMark/>
          </w:tcPr>
          <w:p w14:paraId="4685AE25"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31/12/2023</w:t>
            </w:r>
          </w:p>
        </w:tc>
      </w:tr>
      <w:tr w:rsidR="00A47C19" w:rsidRPr="00E20D21" w14:paraId="0FDBDE6D" w14:textId="77777777">
        <w:trPr>
          <w:trHeight w:val="227"/>
        </w:trPr>
        <w:tc>
          <w:tcPr>
            <w:tcW w:w="1224" w:type="pct"/>
            <w:vMerge/>
            <w:tcBorders>
              <w:top w:val="single" w:sz="8" w:space="0" w:color="F79646"/>
              <w:left w:val="nil"/>
              <w:bottom w:val="single" w:sz="4" w:space="0" w:color="F79646"/>
              <w:right w:val="nil"/>
            </w:tcBorders>
            <w:vAlign w:val="center"/>
            <w:hideMark/>
          </w:tcPr>
          <w:p w14:paraId="0FA59A05" w14:textId="77777777" w:rsidR="00A47C19" w:rsidRPr="00E20D21" w:rsidRDefault="00A47C19">
            <w:pPr>
              <w:rPr>
                <w:rFonts w:ascii="CAIXA Std Book" w:eastAsia="Times New Roman" w:hAnsi="CAIXA Std Book" w:cs="Arial"/>
                <w:b/>
                <w:bCs/>
                <w:color w:val="005CA9"/>
                <w:sz w:val="16"/>
                <w:szCs w:val="16"/>
              </w:rPr>
            </w:pPr>
          </w:p>
        </w:tc>
        <w:tc>
          <w:tcPr>
            <w:tcW w:w="629" w:type="pct"/>
            <w:tcBorders>
              <w:top w:val="nil"/>
              <w:left w:val="nil"/>
              <w:bottom w:val="single" w:sz="4" w:space="0" w:color="F79646"/>
              <w:right w:val="nil"/>
            </w:tcBorders>
            <w:shd w:val="clear" w:color="auto" w:fill="auto"/>
            <w:vAlign w:val="center"/>
            <w:hideMark/>
          </w:tcPr>
          <w:p w14:paraId="5F126631"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TecBan</w:t>
            </w:r>
          </w:p>
        </w:tc>
        <w:tc>
          <w:tcPr>
            <w:tcW w:w="629" w:type="pct"/>
            <w:tcBorders>
              <w:top w:val="nil"/>
              <w:left w:val="nil"/>
              <w:bottom w:val="single" w:sz="4" w:space="0" w:color="F79646"/>
              <w:right w:val="nil"/>
            </w:tcBorders>
            <w:shd w:val="clear" w:color="auto" w:fill="auto"/>
            <w:vAlign w:val="center"/>
            <w:hideMark/>
          </w:tcPr>
          <w:p w14:paraId="5FE73E5D"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Quod</w:t>
            </w:r>
          </w:p>
        </w:tc>
        <w:tc>
          <w:tcPr>
            <w:tcW w:w="629" w:type="pct"/>
            <w:tcBorders>
              <w:top w:val="nil"/>
              <w:left w:val="nil"/>
              <w:bottom w:val="single" w:sz="4" w:space="0" w:color="F79646"/>
              <w:right w:val="nil"/>
            </w:tcBorders>
            <w:shd w:val="clear" w:color="auto" w:fill="auto"/>
            <w:vAlign w:val="center"/>
            <w:hideMark/>
          </w:tcPr>
          <w:p w14:paraId="45506A73"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Galgo</w:t>
            </w:r>
          </w:p>
        </w:tc>
        <w:tc>
          <w:tcPr>
            <w:tcW w:w="629" w:type="pct"/>
            <w:tcBorders>
              <w:top w:val="nil"/>
              <w:left w:val="nil"/>
              <w:bottom w:val="single" w:sz="4" w:space="0" w:color="F79646"/>
              <w:right w:val="nil"/>
            </w:tcBorders>
            <w:shd w:val="clear" w:color="auto" w:fill="auto"/>
            <w:vAlign w:val="center"/>
            <w:hideMark/>
          </w:tcPr>
          <w:p w14:paraId="39109080" w14:textId="77777777"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Elo Serviços</w:t>
            </w:r>
          </w:p>
        </w:tc>
        <w:tc>
          <w:tcPr>
            <w:tcW w:w="629" w:type="pct"/>
            <w:tcBorders>
              <w:top w:val="nil"/>
              <w:left w:val="nil"/>
              <w:bottom w:val="single" w:sz="4" w:space="0" w:color="F79646"/>
              <w:right w:val="nil"/>
            </w:tcBorders>
            <w:shd w:val="clear" w:color="auto" w:fill="auto"/>
            <w:vAlign w:val="center"/>
            <w:hideMark/>
          </w:tcPr>
          <w:p w14:paraId="068D7EE5" w14:textId="77777777" w:rsidR="00DC12FA"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Caixa Cartões</w:t>
            </w:r>
          </w:p>
          <w:p w14:paraId="4B84465B" w14:textId="176486A1" w:rsidR="00A47C19" w:rsidRPr="00E20D21" w:rsidRDefault="00A47C19">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 Pré-Pagos</w:t>
            </w:r>
          </w:p>
        </w:tc>
        <w:tc>
          <w:tcPr>
            <w:tcW w:w="631" w:type="pct"/>
            <w:tcBorders>
              <w:top w:val="nil"/>
              <w:left w:val="nil"/>
              <w:bottom w:val="single" w:sz="4" w:space="0" w:color="F79646"/>
              <w:right w:val="nil"/>
            </w:tcBorders>
            <w:shd w:val="clear" w:color="auto" w:fill="auto"/>
            <w:vAlign w:val="center"/>
            <w:hideMark/>
          </w:tcPr>
          <w:p w14:paraId="2C8BF251" w14:textId="43BB1304" w:rsidR="00A47C19" w:rsidRPr="00E20D21" w:rsidRDefault="00A47C19">
            <w:pPr>
              <w:jc w:val="center"/>
              <w:rPr>
                <w:rFonts w:ascii="CAIXA Std Book" w:eastAsia="Times New Roman" w:hAnsi="CAIXA Std Book" w:cs="Arial"/>
                <w:b/>
                <w:bCs/>
                <w:color w:val="005CA9"/>
                <w:sz w:val="16"/>
                <w:szCs w:val="16"/>
              </w:rPr>
            </w:pPr>
            <w:proofErr w:type="spellStart"/>
            <w:r w:rsidRPr="00E20D21">
              <w:rPr>
                <w:rFonts w:ascii="CAIXA Std Book" w:eastAsia="Times New Roman" w:hAnsi="CAIXA Std Book" w:cs="Arial"/>
                <w:b/>
                <w:bCs/>
                <w:color w:val="005CA9"/>
                <w:sz w:val="16"/>
                <w:szCs w:val="16"/>
              </w:rPr>
              <w:t>N</w:t>
            </w:r>
            <w:r w:rsidR="00FC109C" w:rsidRPr="00E20D21">
              <w:rPr>
                <w:rFonts w:ascii="CAIXA Std Book" w:eastAsia="Times New Roman" w:hAnsi="CAIXA Std Book" w:cs="Arial"/>
                <w:b/>
                <w:bCs/>
                <w:color w:val="005CA9"/>
                <w:sz w:val="16"/>
                <w:szCs w:val="16"/>
              </w:rPr>
              <w:t>ú</w:t>
            </w:r>
            <w:r w:rsidRPr="00E20D21">
              <w:rPr>
                <w:rFonts w:ascii="CAIXA Std Book" w:eastAsia="Times New Roman" w:hAnsi="CAIXA Std Book" w:cs="Arial"/>
                <w:b/>
                <w:bCs/>
                <w:color w:val="005CA9"/>
                <w:sz w:val="16"/>
                <w:szCs w:val="16"/>
              </w:rPr>
              <w:t>clea</w:t>
            </w:r>
            <w:proofErr w:type="spellEnd"/>
          </w:p>
        </w:tc>
      </w:tr>
      <w:tr w:rsidR="00A47C19" w:rsidRPr="00E20D21" w14:paraId="1561F54B" w14:textId="77777777">
        <w:trPr>
          <w:trHeight w:val="227"/>
        </w:trPr>
        <w:tc>
          <w:tcPr>
            <w:tcW w:w="1224" w:type="pct"/>
            <w:tcBorders>
              <w:top w:val="single" w:sz="4" w:space="0" w:color="F79646"/>
              <w:left w:val="nil"/>
              <w:bottom w:val="nil"/>
              <w:right w:val="nil"/>
            </w:tcBorders>
            <w:shd w:val="clear" w:color="auto" w:fill="auto"/>
            <w:vAlign w:val="center"/>
            <w:hideMark/>
          </w:tcPr>
          <w:p w14:paraId="00F0BCA4" w14:textId="77777777" w:rsidR="00A47C19" w:rsidRPr="00E20D21" w:rsidRDefault="00A47C1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Ativo circulante</w:t>
            </w:r>
          </w:p>
        </w:tc>
        <w:tc>
          <w:tcPr>
            <w:tcW w:w="629" w:type="pct"/>
            <w:tcBorders>
              <w:top w:val="nil"/>
              <w:left w:val="nil"/>
              <w:bottom w:val="nil"/>
              <w:right w:val="nil"/>
            </w:tcBorders>
            <w:shd w:val="clear" w:color="auto" w:fill="auto"/>
            <w:noWrap/>
            <w:vAlign w:val="center"/>
          </w:tcPr>
          <w:p w14:paraId="2E81862B"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938.384</w:t>
            </w:r>
          </w:p>
        </w:tc>
        <w:tc>
          <w:tcPr>
            <w:tcW w:w="629" w:type="pct"/>
            <w:tcBorders>
              <w:top w:val="single" w:sz="4" w:space="0" w:color="F79646"/>
              <w:left w:val="nil"/>
              <w:bottom w:val="nil"/>
              <w:right w:val="nil"/>
            </w:tcBorders>
            <w:shd w:val="clear" w:color="auto" w:fill="auto"/>
            <w:noWrap/>
            <w:vAlign w:val="center"/>
          </w:tcPr>
          <w:p w14:paraId="3A04E801"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153.360</w:t>
            </w:r>
          </w:p>
        </w:tc>
        <w:tc>
          <w:tcPr>
            <w:tcW w:w="629" w:type="pct"/>
            <w:tcBorders>
              <w:top w:val="nil"/>
              <w:left w:val="nil"/>
              <w:bottom w:val="nil"/>
              <w:right w:val="nil"/>
            </w:tcBorders>
            <w:shd w:val="clear" w:color="auto" w:fill="auto"/>
            <w:noWrap/>
            <w:vAlign w:val="center"/>
          </w:tcPr>
          <w:p w14:paraId="69453F2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27.885</w:t>
            </w:r>
          </w:p>
        </w:tc>
        <w:tc>
          <w:tcPr>
            <w:tcW w:w="629" w:type="pct"/>
            <w:tcBorders>
              <w:top w:val="single" w:sz="4" w:space="0" w:color="F79646"/>
              <w:left w:val="nil"/>
              <w:bottom w:val="nil"/>
              <w:right w:val="nil"/>
            </w:tcBorders>
            <w:shd w:val="clear" w:color="auto" w:fill="auto"/>
            <w:noWrap/>
            <w:vAlign w:val="center"/>
          </w:tcPr>
          <w:p w14:paraId="20956430"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852.864</w:t>
            </w:r>
          </w:p>
        </w:tc>
        <w:tc>
          <w:tcPr>
            <w:tcW w:w="629" w:type="pct"/>
            <w:tcBorders>
              <w:top w:val="single" w:sz="4" w:space="0" w:color="F79646"/>
              <w:left w:val="nil"/>
              <w:bottom w:val="nil"/>
              <w:right w:val="nil"/>
            </w:tcBorders>
            <w:shd w:val="clear" w:color="auto" w:fill="auto"/>
            <w:noWrap/>
            <w:vAlign w:val="center"/>
          </w:tcPr>
          <w:p w14:paraId="1E3139D1"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660.292</w:t>
            </w:r>
          </w:p>
        </w:tc>
        <w:tc>
          <w:tcPr>
            <w:tcW w:w="631" w:type="pct"/>
            <w:tcBorders>
              <w:top w:val="single" w:sz="4" w:space="0" w:color="F79646"/>
              <w:left w:val="nil"/>
              <w:bottom w:val="nil"/>
              <w:right w:val="nil"/>
            </w:tcBorders>
            <w:shd w:val="clear" w:color="auto" w:fill="auto"/>
            <w:noWrap/>
            <w:vAlign w:val="center"/>
          </w:tcPr>
          <w:p w14:paraId="6183B920"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1.459.969</w:t>
            </w:r>
          </w:p>
        </w:tc>
      </w:tr>
      <w:tr w:rsidR="00A47C19" w:rsidRPr="00E20D21" w14:paraId="50C786DA" w14:textId="77777777">
        <w:trPr>
          <w:trHeight w:val="227"/>
        </w:trPr>
        <w:tc>
          <w:tcPr>
            <w:tcW w:w="1224" w:type="pct"/>
            <w:tcBorders>
              <w:top w:val="nil"/>
              <w:left w:val="nil"/>
              <w:bottom w:val="nil"/>
              <w:right w:val="nil"/>
            </w:tcBorders>
            <w:shd w:val="clear" w:color="auto" w:fill="auto"/>
            <w:vAlign w:val="center"/>
            <w:hideMark/>
          </w:tcPr>
          <w:p w14:paraId="6A0BEA9A" w14:textId="77777777" w:rsidR="00A47C19" w:rsidRPr="00E20D21" w:rsidRDefault="00A47C1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Ativo não circulante</w:t>
            </w:r>
          </w:p>
        </w:tc>
        <w:tc>
          <w:tcPr>
            <w:tcW w:w="629" w:type="pct"/>
            <w:tcBorders>
              <w:top w:val="nil"/>
              <w:left w:val="nil"/>
              <w:bottom w:val="nil"/>
              <w:right w:val="nil"/>
            </w:tcBorders>
            <w:shd w:val="clear" w:color="auto" w:fill="auto"/>
            <w:noWrap/>
            <w:vAlign w:val="center"/>
          </w:tcPr>
          <w:p w14:paraId="6634042A"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2.300.906</w:t>
            </w:r>
          </w:p>
        </w:tc>
        <w:tc>
          <w:tcPr>
            <w:tcW w:w="629" w:type="pct"/>
            <w:tcBorders>
              <w:top w:val="nil"/>
              <w:left w:val="nil"/>
              <w:bottom w:val="nil"/>
              <w:right w:val="nil"/>
            </w:tcBorders>
            <w:shd w:val="clear" w:color="auto" w:fill="auto"/>
            <w:noWrap/>
            <w:vAlign w:val="center"/>
          </w:tcPr>
          <w:p w14:paraId="7490A083"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1.092.647</w:t>
            </w:r>
          </w:p>
        </w:tc>
        <w:tc>
          <w:tcPr>
            <w:tcW w:w="629" w:type="pct"/>
            <w:tcBorders>
              <w:top w:val="nil"/>
              <w:left w:val="nil"/>
              <w:bottom w:val="nil"/>
              <w:right w:val="nil"/>
            </w:tcBorders>
            <w:shd w:val="clear" w:color="auto" w:fill="auto"/>
            <w:noWrap/>
            <w:vAlign w:val="center"/>
          </w:tcPr>
          <w:p w14:paraId="6B6AB8F3"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15.735</w:t>
            </w:r>
          </w:p>
        </w:tc>
        <w:tc>
          <w:tcPr>
            <w:tcW w:w="629" w:type="pct"/>
            <w:tcBorders>
              <w:top w:val="nil"/>
              <w:left w:val="nil"/>
              <w:bottom w:val="nil"/>
              <w:right w:val="nil"/>
            </w:tcBorders>
            <w:shd w:val="clear" w:color="auto" w:fill="auto"/>
            <w:noWrap/>
            <w:vAlign w:val="center"/>
          </w:tcPr>
          <w:p w14:paraId="784629C0"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417.818</w:t>
            </w:r>
          </w:p>
        </w:tc>
        <w:tc>
          <w:tcPr>
            <w:tcW w:w="629" w:type="pct"/>
            <w:tcBorders>
              <w:top w:val="nil"/>
              <w:left w:val="nil"/>
              <w:bottom w:val="nil"/>
              <w:right w:val="nil"/>
            </w:tcBorders>
            <w:shd w:val="clear" w:color="auto" w:fill="auto"/>
            <w:noWrap/>
            <w:vAlign w:val="center"/>
          </w:tcPr>
          <w:p w14:paraId="36BCA51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393.926</w:t>
            </w:r>
          </w:p>
        </w:tc>
        <w:tc>
          <w:tcPr>
            <w:tcW w:w="631" w:type="pct"/>
            <w:tcBorders>
              <w:top w:val="nil"/>
              <w:left w:val="nil"/>
              <w:bottom w:val="nil"/>
              <w:right w:val="nil"/>
            </w:tcBorders>
            <w:shd w:val="clear" w:color="auto" w:fill="auto"/>
            <w:noWrap/>
            <w:vAlign w:val="center"/>
          </w:tcPr>
          <w:p w14:paraId="7E16EE79"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685.157</w:t>
            </w:r>
          </w:p>
        </w:tc>
      </w:tr>
      <w:tr w:rsidR="00A47C19" w:rsidRPr="00E20D21" w14:paraId="0C028A49" w14:textId="77777777">
        <w:trPr>
          <w:trHeight w:val="227"/>
        </w:trPr>
        <w:tc>
          <w:tcPr>
            <w:tcW w:w="1224" w:type="pct"/>
            <w:tcBorders>
              <w:top w:val="nil"/>
              <w:left w:val="nil"/>
              <w:bottom w:val="nil"/>
              <w:right w:val="nil"/>
            </w:tcBorders>
            <w:shd w:val="clear" w:color="auto" w:fill="auto"/>
            <w:vAlign w:val="center"/>
            <w:hideMark/>
          </w:tcPr>
          <w:p w14:paraId="118D2C72" w14:textId="77777777" w:rsidR="00A47C19" w:rsidRPr="00E20D21" w:rsidRDefault="00A47C1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Passivo circulante</w:t>
            </w:r>
          </w:p>
        </w:tc>
        <w:tc>
          <w:tcPr>
            <w:tcW w:w="629" w:type="pct"/>
            <w:tcBorders>
              <w:top w:val="nil"/>
              <w:left w:val="nil"/>
              <w:bottom w:val="nil"/>
              <w:right w:val="nil"/>
            </w:tcBorders>
            <w:shd w:val="clear" w:color="auto" w:fill="auto"/>
            <w:noWrap/>
            <w:vAlign w:val="center"/>
          </w:tcPr>
          <w:p w14:paraId="6FEEBD52"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1.156.384</w:t>
            </w:r>
          </w:p>
        </w:tc>
        <w:tc>
          <w:tcPr>
            <w:tcW w:w="629" w:type="pct"/>
            <w:tcBorders>
              <w:top w:val="nil"/>
              <w:left w:val="nil"/>
              <w:bottom w:val="nil"/>
              <w:right w:val="nil"/>
            </w:tcBorders>
            <w:shd w:val="clear" w:color="auto" w:fill="auto"/>
            <w:noWrap/>
            <w:vAlign w:val="center"/>
          </w:tcPr>
          <w:p w14:paraId="34E1DD90"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269.606</w:t>
            </w:r>
          </w:p>
        </w:tc>
        <w:tc>
          <w:tcPr>
            <w:tcW w:w="629" w:type="pct"/>
            <w:tcBorders>
              <w:top w:val="nil"/>
              <w:left w:val="nil"/>
              <w:bottom w:val="nil"/>
              <w:right w:val="nil"/>
            </w:tcBorders>
            <w:shd w:val="clear" w:color="auto" w:fill="auto"/>
            <w:noWrap/>
            <w:vAlign w:val="center"/>
          </w:tcPr>
          <w:p w14:paraId="57FDB102"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5.804</w:t>
            </w:r>
          </w:p>
        </w:tc>
        <w:tc>
          <w:tcPr>
            <w:tcW w:w="629" w:type="pct"/>
            <w:tcBorders>
              <w:top w:val="nil"/>
              <w:left w:val="nil"/>
              <w:bottom w:val="nil"/>
              <w:right w:val="nil"/>
            </w:tcBorders>
            <w:shd w:val="clear" w:color="auto" w:fill="auto"/>
            <w:noWrap/>
            <w:vAlign w:val="center"/>
          </w:tcPr>
          <w:p w14:paraId="3A7C6F72"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339.749</w:t>
            </w:r>
          </w:p>
        </w:tc>
        <w:tc>
          <w:tcPr>
            <w:tcW w:w="629" w:type="pct"/>
            <w:tcBorders>
              <w:top w:val="nil"/>
              <w:left w:val="nil"/>
              <w:bottom w:val="nil"/>
              <w:right w:val="nil"/>
            </w:tcBorders>
            <w:shd w:val="clear" w:color="auto" w:fill="auto"/>
            <w:noWrap/>
            <w:vAlign w:val="center"/>
          </w:tcPr>
          <w:p w14:paraId="52CC3A76"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653.908</w:t>
            </w:r>
          </w:p>
        </w:tc>
        <w:tc>
          <w:tcPr>
            <w:tcW w:w="631" w:type="pct"/>
            <w:tcBorders>
              <w:top w:val="nil"/>
              <w:left w:val="nil"/>
              <w:bottom w:val="nil"/>
              <w:right w:val="nil"/>
            </w:tcBorders>
            <w:shd w:val="clear" w:color="auto" w:fill="auto"/>
            <w:noWrap/>
            <w:vAlign w:val="center"/>
          </w:tcPr>
          <w:p w14:paraId="7FEB96BB"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345.255</w:t>
            </w:r>
          </w:p>
        </w:tc>
      </w:tr>
      <w:tr w:rsidR="00A47C19" w:rsidRPr="00E20D21" w14:paraId="4F6018AC" w14:textId="77777777">
        <w:trPr>
          <w:trHeight w:val="227"/>
        </w:trPr>
        <w:tc>
          <w:tcPr>
            <w:tcW w:w="1224" w:type="pct"/>
            <w:tcBorders>
              <w:top w:val="nil"/>
              <w:left w:val="nil"/>
              <w:bottom w:val="nil"/>
              <w:right w:val="nil"/>
            </w:tcBorders>
            <w:shd w:val="clear" w:color="auto" w:fill="auto"/>
            <w:vAlign w:val="center"/>
            <w:hideMark/>
          </w:tcPr>
          <w:p w14:paraId="587FB9DB" w14:textId="77777777" w:rsidR="00A47C19" w:rsidRPr="00E20D21" w:rsidRDefault="00A47C1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Passivo não circulante</w:t>
            </w:r>
          </w:p>
        </w:tc>
        <w:tc>
          <w:tcPr>
            <w:tcW w:w="629" w:type="pct"/>
            <w:tcBorders>
              <w:top w:val="nil"/>
              <w:left w:val="nil"/>
              <w:bottom w:val="nil"/>
              <w:right w:val="nil"/>
            </w:tcBorders>
            <w:shd w:val="clear" w:color="auto" w:fill="auto"/>
            <w:noWrap/>
            <w:vAlign w:val="center"/>
          </w:tcPr>
          <w:p w14:paraId="3709EE43"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1.106.646</w:t>
            </w:r>
          </w:p>
        </w:tc>
        <w:tc>
          <w:tcPr>
            <w:tcW w:w="629" w:type="pct"/>
            <w:tcBorders>
              <w:top w:val="nil"/>
              <w:left w:val="nil"/>
              <w:bottom w:val="nil"/>
              <w:right w:val="nil"/>
            </w:tcBorders>
            <w:shd w:val="clear" w:color="auto" w:fill="auto"/>
            <w:noWrap/>
            <w:vAlign w:val="center"/>
          </w:tcPr>
          <w:p w14:paraId="130642CE"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613.865</w:t>
            </w:r>
          </w:p>
        </w:tc>
        <w:tc>
          <w:tcPr>
            <w:tcW w:w="629" w:type="pct"/>
            <w:tcBorders>
              <w:top w:val="nil"/>
              <w:left w:val="nil"/>
              <w:bottom w:val="nil"/>
              <w:right w:val="nil"/>
            </w:tcBorders>
            <w:shd w:val="clear" w:color="auto" w:fill="auto"/>
            <w:noWrap/>
            <w:vAlign w:val="center"/>
          </w:tcPr>
          <w:p w14:paraId="723D90BB"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3.266</w:t>
            </w:r>
          </w:p>
        </w:tc>
        <w:tc>
          <w:tcPr>
            <w:tcW w:w="629" w:type="pct"/>
            <w:tcBorders>
              <w:top w:val="nil"/>
              <w:left w:val="nil"/>
              <w:bottom w:val="nil"/>
              <w:right w:val="nil"/>
            </w:tcBorders>
            <w:shd w:val="clear" w:color="auto" w:fill="auto"/>
            <w:noWrap/>
            <w:vAlign w:val="center"/>
          </w:tcPr>
          <w:p w14:paraId="3EE6431B"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39.081</w:t>
            </w:r>
          </w:p>
        </w:tc>
        <w:tc>
          <w:tcPr>
            <w:tcW w:w="629" w:type="pct"/>
            <w:tcBorders>
              <w:top w:val="nil"/>
              <w:left w:val="nil"/>
              <w:bottom w:val="nil"/>
              <w:right w:val="nil"/>
            </w:tcBorders>
            <w:shd w:val="clear" w:color="auto" w:fill="auto"/>
            <w:noWrap/>
            <w:vAlign w:val="center"/>
          </w:tcPr>
          <w:p w14:paraId="22A92F50"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w:t>
            </w:r>
          </w:p>
        </w:tc>
        <w:tc>
          <w:tcPr>
            <w:tcW w:w="631" w:type="pct"/>
            <w:tcBorders>
              <w:top w:val="nil"/>
              <w:left w:val="nil"/>
              <w:bottom w:val="nil"/>
              <w:right w:val="nil"/>
            </w:tcBorders>
            <w:shd w:val="clear" w:color="auto" w:fill="auto"/>
            <w:noWrap/>
            <w:vAlign w:val="center"/>
          </w:tcPr>
          <w:p w14:paraId="4F88D4FF"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16.075</w:t>
            </w:r>
          </w:p>
        </w:tc>
      </w:tr>
      <w:tr w:rsidR="00A47C19" w:rsidRPr="00E20D21" w14:paraId="237AD9D5" w14:textId="77777777">
        <w:trPr>
          <w:trHeight w:val="227"/>
        </w:trPr>
        <w:tc>
          <w:tcPr>
            <w:tcW w:w="1224" w:type="pct"/>
            <w:tcBorders>
              <w:top w:val="nil"/>
              <w:left w:val="nil"/>
              <w:bottom w:val="nil"/>
              <w:right w:val="nil"/>
            </w:tcBorders>
            <w:shd w:val="clear" w:color="auto" w:fill="auto"/>
            <w:vAlign w:val="center"/>
            <w:hideMark/>
          </w:tcPr>
          <w:p w14:paraId="349F56C0"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contingente</w:t>
            </w:r>
          </w:p>
        </w:tc>
        <w:tc>
          <w:tcPr>
            <w:tcW w:w="629" w:type="pct"/>
            <w:tcBorders>
              <w:top w:val="nil"/>
              <w:left w:val="nil"/>
              <w:bottom w:val="nil"/>
              <w:right w:val="nil"/>
            </w:tcBorders>
            <w:shd w:val="clear" w:color="auto" w:fill="auto"/>
            <w:noWrap/>
            <w:vAlign w:val="center"/>
          </w:tcPr>
          <w:p w14:paraId="5FCFDC8A" w14:textId="77777777" w:rsidR="00A47C19" w:rsidRPr="00E20D21" w:rsidRDefault="00A47C19">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444C7D57"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457138F7"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23A324B6"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19.202</w:t>
            </w:r>
          </w:p>
        </w:tc>
        <w:tc>
          <w:tcPr>
            <w:tcW w:w="629" w:type="pct"/>
            <w:tcBorders>
              <w:top w:val="nil"/>
              <w:left w:val="nil"/>
              <w:bottom w:val="nil"/>
              <w:right w:val="nil"/>
            </w:tcBorders>
            <w:shd w:val="clear" w:color="auto" w:fill="auto"/>
            <w:noWrap/>
            <w:vAlign w:val="center"/>
          </w:tcPr>
          <w:p w14:paraId="44C430CF" w14:textId="77777777" w:rsidR="00A47C19" w:rsidRPr="00E20D21" w:rsidRDefault="00A47C19">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631" w:type="pct"/>
            <w:tcBorders>
              <w:top w:val="nil"/>
              <w:left w:val="nil"/>
              <w:bottom w:val="nil"/>
              <w:right w:val="nil"/>
            </w:tcBorders>
            <w:shd w:val="clear" w:color="auto" w:fill="auto"/>
            <w:noWrap/>
            <w:vAlign w:val="center"/>
          </w:tcPr>
          <w:p w14:paraId="3591551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2.048</w:t>
            </w:r>
          </w:p>
        </w:tc>
      </w:tr>
      <w:tr w:rsidR="00A47C19" w:rsidRPr="00E20D21" w14:paraId="5C7C6F03" w14:textId="77777777">
        <w:trPr>
          <w:trHeight w:val="227"/>
        </w:trPr>
        <w:tc>
          <w:tcPr>
            <w:tcW w:w="1224" w:type="pct"/>
            <w:tcBorders>
              <w:top w:val="nil"/>
              <w:left w:val="nil"/>
              <w:bottom w:val="nil"/>
              <w:right w:val="nil"/>
            </w:tcBorders>
            <w:shd w:val="clear" w:color="auto" w:fill="auto"/>
            <w:vAlign w:val="center"/>
            <w:hideMark/>
          </w:tcPr>
          <w:p w14:paraId="3B037EDF"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Receitas</w:t>
            </w:r>
          </w:p>
        </w:tc>
        <w:tc>
          <w:tcPr>
            <w:tcW w:w="629" w:type="pct"/>
            <w:tcBorders>
              <w:top w:val="nil"/>
              <w:left w:val="nil"/>
              <w:bottom w:val="nil"/>
              <w:right w:val="nil"/>
            </w:tcBorders>
            <w:shd w:val="clear" w:color="auto" w:fill="auto"/>
            <w:noWrap/>
            <w:vAlign w:val="center"/>
          </w:tcPr>
          <w:p w14:paraId="1026F739"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2.924.727</w:t>
            </w:r>
          </w:p>
        </w:tc>
        <w:tc>
          <w:tcPr>
            <w:tcW w:w="629" w:type="pct"/>
            <w:tcBorders>
              <w:top w:val="nil"/>
              <w:left w:val="nil"/>
              <w:bottom w:val="nil"/>
              <w:right w:val="nil"/>
            </w:tcBorders>
            <w:shd w:val="clear" w:color="auto" w:fill="auto"/>
            <w:noWrap/>
            <w:vAlign w:val="center"/>
          </w:tcPr>
          <w:p w14:paraId="41E700C0"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284.062</w:t>
            </w:r>
          </w:p>
        </w:tc>
        <w:tc>
          <w:tcPr>
            <w:tcW w:w="629" w:type="pct"/>
            <w:tcBorders>
              <w:top w:val="nil"/>
              <w:left w:val="nil"/>
              <w:bottom w:val="nil"/>
              <w:right w:val="nil"/>
            </w:tcBorders>
            <w:shd w:val="clear" w:color="auto" w:fill="auto"/>
            <w:noWrap/>
            <w:vAlign w:val="center"/>
          </w:tcPr>
          <w:p w14:paraId="5614A4AF"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2.942</w:t>
            </w:r>
          </w:p>
        </w:tc>
        <w:tc>
          <w:tcPr>
            <w:tcW w:w="629" w:type="pct"/>
            <w:tcBorders>
              <w:top w:val="nil"/>
              <w:left w:val="nil"/>
              <w:bottom w:val="nil"/>
              <w:right w:val="nil"/>
            </w:tcBorders>
            <w:shd w:val="clear" w:color="auto" w:fill="auto"/>
            <w:noWrap/>
            <w:vAlign w:val="center"/>
          </w:tcPr>
          <w:p w14:paraId="70FEACBB"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1.630.137</w:t>
            </w:r>
          </w:p>
        </w:tc>
        <w:tc>
          <w:tcPr>
            <w:tcW w:w="629" w:type="pct"/>
            <w:tcBorders>
              <w:top w:val="nil"/>
              <w:left w:val="nil"/>
              <w:bottom w:val="nil"/>
              <w:right w:val="nil"/>
            </w:tcBorders>
            <w:shd w:val="clear" w:color="auto" w:fill="auto"/>
            <w:noWrap/>
            <w:vAlign w:val="center"/>
          </w:tcPr>
          <w:p w14:paraId="753575FF"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193.175</w:t>
            </w:r>
          </w:p>
        </w:tc>
        <w:tc>
          <w:tcPr>
            <w:tcW w:w="631" w:type="pct"/>
            <w:tcBorders>
              <w:top w:val="nil"/>
              <w:left w:val="nil"/>
              <w:bottom w:val="nil"/>
              <w:right w:val="nil"/>
            </w:tcBorders>
            <w:shd w:val="clear" w:color="auto" w:fill="auto"/>
            <w:noWrap/>
            <w:vAlign w:val="center"/>
          </w:tcPr>
          <w:p w14:paraId="1EFC9F6A"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1.577.597</w:t>
            </w:r>
          </w:p>
        </w:tc>
      </w:tr>
      <w:tr w:rsidR="00A47C19" w:rsidRPr="00E20D21" w14:paraId="719F4378" w14:textId="77777777">
        <w:trPr>
          <w:trHeight w:val="227"/>
        </w:trPr>
        <w:tc>
          <w:tcPr>
            <w:tcW w:w="1224" w:type="pct"/>
            <w:tcBorders>
              <w:top w:val="nil"/>
              <w:left w:val="nil"/>
              <w:bottom w:val="nil"/>
              <w:right w:val="nil"/>
            </w:tcBorders>
            <w:shd w:val="clear" w:color="auto" w:fill="auto"/>
            <w:vAlign w:val="center"/>
            <w:hideMark/>
          </w:tcPr>
          <w:p w14:paraId="2CBBA733"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Despesas</w:t>
            </w:r>
          </w:p>
        </w:tc>
        <w:tc>
          <w:tcPr>
            <w:tcW w:w="629" w:type="pct"/>
            <w:tcBorders>
              <w:top w:val="nil"/>
              <w:left w:val="nil"/>
              <w:bottom w:val="nil"/>
              <w:right w:val="nil"/>
            </w:tcBorders>
            <w:shd w:val="clear" w:color="auto" w:fill="auto"/>
            <w:noWrap/>
            <w:vAlign w:val="center"/>
          </w:tcPr>
          <w:p w14:paraId="360A1297"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(2.886.935)</w:t>
            </w:r>
          </w:p>
        </w:tc>
        <w:tc>
          <w:tcPr>
            <w:tcW w:w="629" w:type="pct"/>
            <w:tcBorders>
              <w:top w:val="nil"/>
              <w:left w:val="nil"/>
              <w:bottom w:val="nil"/>
              <w:right w:val="nil"/>
            </w:tcBorders>
            <w:shd w:val="clear" w:color="auto" w:fill="auto"/>
            <w:noWrap/>
            <w:vAlign w:val="center"/>
          </w:tcPr>
          <w:p w14:paraId="3B77F423"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(322.634)</w:t>
            </w:r>
          </w:p>
        </w:tc>
        <w:tc>
          <w:tcPr>
            <w:tcW w:w="629" w:type="pct"/>
            <w:tcBorders>
              <w:top w:val="nil"/>
              <w:left w:val="nil"/>
              <w:bottom w:val="nil"/>
              <w:right w:val="nil"/>
            </w:tcBorders>
            <w:shd w:val="clear" w:color="auto" w:fill="auto"/>
            <w:noWrap/>
            <w:vAlign w:val="center"/>
          </w:tcPr>
          <w:p w14:paraId="03DDAEEC"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(1.198)</w:t>
            </w:r>
          </w:p>
        </w:tc>
        <w:tc>
          <w:tcPr>
            <w:tcW w:w="629" w:type="pct"/>
            <w:tcBorders>
              <w:top w:val="nil"/>
              <w:left w:val="nil"/>
              <w:bottom w:val="nil"/>
              <w:right w:val="nil"/>
            </w:tcBorders>
            <w:shd w:val="clear" w:color="auto" w:fill="auto"/>
            <w:noWrap/>
            <w:vAlign w:val="center"/>
          </w:tcPr>
          <w:p w14:paraId="6A8C3CCB"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(1.120.451)</w:t>
            </w:r>
          </w:p>
        </w:tc>
        <w:tc>
          <w:tcPr>
            <w:tcW w:w="629" w:type="pct"/>
            <w:tcBorders>
              <w:top w:val="nil"/>
              <w:left w:val="nil"/>
              <w:bottom w:val="nil"/>
              <w:right w:val="nil"/>
            </w:tcBorders>
            <w:shd w:val="clear" w:color="auto" w:fill="auto"/>
            <w:noWrap/>
            <w:vAlign w:val="center"/>
          </w:tcPr>
          <w:p w14:paraId="21052644"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(192.551)</w:t>
            </w:r>
          </w:p>
        </w:tc>
        <w:tc>
          <w:tcPr>
            <w:tcW w:w="631" w:type="pct"/>
            <w:tcBorders>
              <w:top w:val="nil"/>
              <w:left w:val="nil"/>
              <w:bottom w:val="nil"/>
              <w:right w:val="nil"/>
            </w:tcBorders>
            <w:shd w:val="clear" w:color="auto" w:fill="auto"/>
            <w:noWrap/>
            <w:vAlign w:val="center"/>
          </w:tcPr>
          <w:p w14:paraId="5D99D578"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(988.754)</w:t>
            </w:r>
          </w:p>
        </w:tc>
      </w:tr>
      <w:tr w:rsidR="00A47C19" w:rsidRPr="00E20D21" w14:paraId="25D4D90F" w14:textId="77777777">
        <w:trPr>
          <w:trHeight w:val="227"/>
        </w:trPr>
        <w:tc>
          <w:tcPr>
            <w:tcW w:w="1224" w:type="pct"/>
            <w:tcBorders>
              <w:top w:val="nil"/>
              <w:left w:val="nil"/>
              <w:bottom w:val="nil"/>
              <w:right w:val="nil"/>
            </w:tcBorders>
            <w:shd w:val="clear" w:color="auto" w:fill="auto"/>
            <w:vAlign w:val="center"/>
            <w:hideMark/>
          </w:tcPr>
          <w:p w14:paraId="05EC3B7F" w14:textId="77777777" w:rsidR="00A47C19" w:rsidRPr="00E20D21" w:rsidRDefault="00A47C1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Lucro/ Prejuízo do período</w:t>
            </w:r>
          </w:p>
        </w:tc>
        <w:tc>
          <w:tcPr>
            <w:tcW w:w="629" w:type="pct"/>
            <w:tcBorders>
              <w:top w:val="nil"/>
              <w:left w:val="nil"/>
              <w:bottom w:val="nil"/>
              <w:right w:val="nil"/>
            </w:tcBorders>
            <w:shd w:val="clear" w:color="auto" w:fill="auto"/>
            <w:noWrap/>
            <w:vAlign w:val="center"/>
          </w:tcPr>
          <w:p w14:paraId="52B33600"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37.792</w:t>
            </w:r>
          </w:p>
        </w:tc>
        <w:tc>
          <w:tcPr>
            <w:tcW w:w="629" w:type="pct"/>
            <w:tcBorders>
              <w:top w:val="nil"/>
              <w:left w:val="nil"/>
              <w:bottom w:val="nil"/>
              <w:right w:val="nil"/>
            </w:tcBorders>
            <w:shd w:val="clear" w:color="auto" w:fill="auto"/>
            <w:noWrap/>
            <w:vAlign w:val="center"/>
          </w:tcPr>
          <w:p w14:paraId="402B870D"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(38.572)</w:t>
            </w:r>
          </w:p>
        </w:tc>
        <w:tc>
          <w:tcPr>
            <w:tcW w:w="629" w:type="pct"/>
            <w:tcBorders>
              <w:top w:val="nil"/>
              <w:left w:val="nil"/>
              <w:bottom w:val="nil"/>
              <w:right w:val="nil"/>
            </w:tcBorders>
            <w:shd w:val="clear" w:color="auto" w:fill="auto"/>
            <w:noWrap/>
            <w:vAlign w:val="center"/>
          </w:tcPr>
          <w:p w14:paraId="60E8CA86"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1.744</w:t>
            </w:r>
          </w:p>
        </w:tc>
        <w:tc>
          <w:tcPr>
            <w:tcW w:w="629" w:type="pct"/>
            <w:tcBorders>
              <w:top w:val="nil"/>
              <w:left w:val="nil"/>
              <w:bottom w:val="nil"/>
              <w:right w:val="nil"/>
            </w:tcBorders>
            <w:shd w:val="clear" w:color="auto" w:fill="auto"/>
            <w:noWrap/>
            <w:vAlign w:val="center"/>
          </w:tcPr>
          <w:p w14:paraId="5DAE577C"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509.686</w:t>
            </w:r>
          </w:p>
        </w:tc>
        <w:tc>
          <w:tcPr>
            <w:tcW w:w="629" w:type="pct"/>
            <w:tcBorders>
              <w:top w:val="nil"/>
              <w:left w:val="nil"/>
              <w:bottom w:val="nil"/>
              <w:right w:val="nil"/>
            </w:tcBorders>
            <w:shd w:val="clear" w:color="auto" w:fill="auto"/>
            <w:noWrap/>
            <w:vAlign w:val="center"/>
          </w:tcPr>
          <w:p w14:paraId="045F23F7"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624</w:t>
            </w:r>
          </w:p>
        </w:tc>
        <w:tc>
          <w:tcPr>
            <w:tcW w:w="631" w:type="pct"/>
            <w:tcBorders>
              <w:top w:val="nil"/>
              <w:left w:val="nil"/>
              <w:bottom w:val="nil"/>
              <w:right w:val="nil"/>
            </w:tcBorders>
            <w:shd w:val="clear" w:color="auto" w:fill="auto"/>
            <w:noWrap/>
            <w:vAlign w:val="center"/>
          </w:tcPr>
          <w:p w14:paraId="50F36E21"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588.843</w:t>
            </w:r>
          </w:p>
        </w:tc>
      </w:tr>
      <w:tr w:rsidR="00A47C19" w:rsidRPr="00E20D21" w14:paraId="1A94B378" w14:textId="77777777">
        <w:trPr>
          <w:trHeight w:val="227"/>
        </w:trPr>
        <w:tc>
          <w:tcPr>
            <w:tcW w:w="1224" w:type="pct"/>
            <w:tcBorders>
              <w:top w:val="nil"/>
              <w:left w:val="nil"/>
              <w:bottom w:val="nil"/>
              <w:right w:val="nil"/>
            </w:tcBorders>
            <w:shd w:val="clear" w:color="auto" w:fill="auto"/>
            <w:vAlign w:val="center"/>
            <w:hideMark/>
          </w:tcPr>
          <w:p w14:paraId="7197CB98"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resultados abrangentes</w:t>
            </w:r>
          </w:p>
        </w:tc>
        <w:tc>
          <w:tcPr>
            <w:tcW w:w="629" w:type="pct"/>
            <w:tcBorders>
              <w:top w:val="nil"/>
              <w:left w:val="nil"/>
              <w:bottom w:val="nil"/>
              <w:right w:val="nil"/>
            </w:tcBorders>
            <w:shd w:val="clear" w:color="auto" w:fill="auto"/>
            <w:noWrap/>
            <w:vAlign w:val="center"/>
          </w:tcPr>
          <w:p w14:paraId="676A7A6E"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7AE7C3AC"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284A8509"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4DDE854F"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6CACF5C6"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31" w:type="pct"/>
            <w:tcBorders>
              <w:top w:val="nil"/>
              <w:left w:val="nil"/>
              <w:bottom w:val="nil"/>
              <w:right w:val="nil"/>
            </w:tcBorders>
            <w:shd w:val="clear" w:color="auto" w:fill="auto"/>
            <w:noWrap/>
            <w:vAlign w:val="center"/>
          </w:tcPr>
          <w:p w14:paraId="425D911C" w14:textId="77777777" w:rsidR="00A47C19" w:rsidRPr="00E20D21" w:rsidRDefault="00A47C19">
            <w:pPr>
              <w:jc w:val="center"/>
              <w:rPr>
                <w:rFonts w:ascii="CAIXA Std Book" w:eastAsia="Times New Roman" w:hAnsi="CAIXA Std Book" w:cs="Arial"/>
                <w:color w:val="005CA9"/>
                <w:sz w:val="16"/>
                <w:szCs w:val="16"/>
              </w:rPr>
            </w:pPr>
            <w:r w:rsidRPr="00E20D21">
              <w:rPr>
                <w:rFonts w:ascii="CAIXA Std Book" w:hAnsi="CAIXA Std Book" w:cs="Arial"/>
                <w:b/>
                <w:color w:val="005CA9"/>
                <w:sz w:val="16"/>
                <w:szCs w:val="16"/>
              </w:rPr>
              <w:t>-</w:t>
            </w:r>
          </w:p>
        </w:tc>
      </w:tr>
      <w:tr w:rsidR="00A47C19" w:rsidRPr="00E20D21" w14:paraId="45DE3A46" w14:textId="77777777">
        <w:trPr>
          <w:trHeight w:val="227"/>
        </w:trPr>
        <w:tc>
          <w:tcPr>
            <w:tcW w:w="1224" w:type="pct"/>
            <w:tcBorders>
              <w:top w:val="nil"/>
              <w:left w:val="nil"/>
              <w:bottom w:val="nil"/>
              <w:right w:val="nil"/>
            </w:tcBorders>
            <w:shd w:val="clear" w:color="auto" w:fill="auto"/>
            <w:vAlign w:val="center"/>
            <w:hideMark/>
          </w:tcPr>
          <w:p w14:paraId="55B5C355"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Resultado abrangente total</w:t>
            </w:r>
          </w:p>
        </w:tc>
        <w:tc>
          <w:tcPr>
            <w:tcW w:w="629" w:type="pct"/>
            <w:tcBorders>
              <w:top w:val="nil"/>
              <w:left w:val="nil"/>
              <w:bottom w:val="nil"/>
              <w:right w:val="nil"/>
            </w:tcBorders>
            <w:shd w:val="clear" w:color="auto" w:fill="auto"/>
            <w:noWrap/>
            <w:vAlign w:val="center"/>
          </w:tcPr>
          <w:p w14:paraId="39136B52"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390901A8"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29914DD8"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466419B5" w14:textId="77777777" w:rsidR="00A47C19" w:rsidRPr="00E20D21" w:rsidRDefault="00A47C19">
            <w:pPr>
              <w:jc w:val="right"/>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363.070</w:t>
            </w:r>
          </w:p>
        </w:tc>
        <w:tc>
          <w:tcPr>
            <w:tcW w:w="629" w:type="pct"/>
            <w:tcBorders>
              <w:top w:val="nil"/>
              <w:left w:val="nil"/>
              <w:bottom w:val="nil"/>
              <w:right w:val="nil"/>
            </w:tcBorders>
            <w:shd w:val="clear" w:color="auto" w:fill="auto"/>
            <w:noWrap/>
            <w:vAlign w:val="center"/>
          </w:tcPr>
          <w:p w14:paraId="093AFE1D"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31" w:type="pct"/>
            <w:tcBorders>
              <w:top w:val="nil"/>
              <w:left w:val="nil"/>
              <w:bottom w:val="nil"/>
              <w:right w:val="nil"/>
            </w:tcBorders>
            <w:shd w:val="clear" w:color="auto" w:fill="auto"/>
            <w:noWrap/>
            <w:vAlign w:val="center"/>
          </w:tcPr>
          <w:p w14:paraId="37334B58" w14:textId="77777777" w:rsidR="00A47C19" w:rsidRPr="00E20D21" w:rsidRDefault="00A47C19">
            <w:pPr>
              <w:jc w:val="center"/>
              <w:rPr>
                <w:rFonts w:ascii="CAIXA Std Book" w:eastAsia="Times New Roman" w:hAnsi="CAIXA Std Book" w:cs="Arial"/>
                <w:bCs/>
                <w:color w:val="005CA9"/>
                <w:sz w:val="16"/>
                <w:szCs w:val="16"/>
              </w:rPr>
            </w:pPr>
            <w:r w:rsidRPr="00E20D21">
              <w:rPr>
                <w:rFonts w:ascii="CAIXA Std Book" w:hAnsi="CAIXA Std Book" w:cs="Arial"/>
                <w:b/>
                <w:color w:val="005CA9"/>
                <w:sz w:val="16"/>
                <w:szCs w:val="16"/>
              </w:rPr>
              <w:t>-</w:t>
            </w:r>
          </w:p>
        </w:tc>
      </w:tr>
      <w:tr w:rsidR="00A47C19" w:rsidRPr="00E20D21" w14:paraId="0D82BEA1" w14:textId="77777777">
        <w:trPr>
          <w:trHeight w:val="227"/>
        </w:trPr>
        <w:tc>
          <w:tcPr>
            <w:tcW w:w="1224" w:type="pct"/>
            <w:tcBorders>
              <w:top w:val="nil"/>
              <w:left w:val="nil"/>
              <w:bottom w:val="nil"/>
              <w:right w:val="nil"/>
            </w:tcBorders>
            <w:shd w:val="clear" w:color="auto" w:fill="auto"/>
            <w:vAlign w:val="center"/>
            <w:hideMark/>
          </w:tcPr>
          <w:p w14:paraId="796E57F5" w14:textId="77777777" w:rsidR="00A47C19" w:rsidRPr="00E20D21" w:rsidRDefault="00A47C1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Patrimônio Líquido</w:t>
            </w:r>
          </w:p>
        </w:tc>
        <w:tc>
          <w:tcPr>
            <w:tcW w:w="629" w:type="pct"/>
            <w:tcBorders>
              <w:top w:val="nil"/>
              <w:left w:val="nil"/>
              <w:bottom w:val="nil"/>
              <w:right w:val="nil"/>
            </w:tcBorders>
            <w:shd w:val="clear" w:color="auto" w:fill="auto"/>
            <w:noWrap/>
            <w:vAlign w:val="center"/>
          </w:tcPr>
          <w:p w14:paraId="19314B9D"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976.260</w:t>
            </w:r>
          </w:p>
        </w:tc>
        <w:tc>
          <w:tcPr>
            <w:tcW w:w="629" w:type="pct"/>
            <w:tcBorders>
              <w:top w:val="nil"/>
              <w:left w:val="nil"/>
              <w:bottom w:val="nil"/>
              <w:right w:val="nil"/>
            </w:tcBorders>
            <w:shd w:val="clear" w:color="auto" w:fill="auto"/>
            <w:noWrap/>
            <w:vAlign w:val="center"/>
          </w:tcPr>
          <w:p w14:paraId="132E9862"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362.536</w:t>
            </w:r>
          </w:p>
        </w:tc>
        <w:tc>
          <w:tcPr>
            <w:tcW w:w="629" w:type="pct"/>
            <w:tcBorders>
              <w:top w:val="nil"/>
              <w:left w:val="nil"/>
              <w:bottom w:val="nil"/>
              <w:right w:val="nil"/>
            </w:tcBorders>
            <w:shd w:val="clear" w:color="auto" w:fill="auto"/>
            <w:noWrap/>
            <w:vAlign w:val="center"/>
          </w:tcPr>
          <w:p w14:paraId="7D98B2FA"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34.550</w:t>
            </w:r>
          </w:p>
        </w:tc>
        <w:tc>
          <w:tcPr>
            <w:tcW w:w="629" w:type="pct"/>
            <w:tcBorders>
              <w:top w:val="nil"/>
              <w:left w:val="nil"/>
              <w:bottom w:val="nil"/>
              <w:right w:val="nil"/>
            </w:tcBorders>
            <w:shd w:val="clear" w:color="auto" w:fill="auto"/>
            <w:noWrap/>
            <w:vAlign w:val="center"/>
          </w:tcPr>
          <w:p w14:paraId="661716AE"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891.852</w:t>
            </w:r>
          </w:p>
        </w:tc>
        <w:tc>
          <w:tcPr>
            <w:tcW w:w="629" w:type="pct"/>
            <w:tcBorders>
              <w:top w:val="nil"/>
              <w:left w:val="nil"/>
              <w:bottom w:val="nil"/>
              <w:right w:val="nil"/>
            </w:tcBorders>
            <w:shd w:val="clear" w:color="auto" w:fill="auto"/>
            <w:noWrap/>
            <w:vAlign w:val="center"/>
          </w:tcPr>
          <w:p w14:paraId="1ECE06C7"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400.310</w:t>
            </w:r>
          </w:p>
        </w:tc>
        <w:tc>
          <w:tcPr>
            <w:tcW w:w="631" w:type="pct"/>
            <w:tcBorders>
              <w:top w:val="nil"/>
              <w:left w:val="nil"/>
              <w:bottom w:val="nil"/>
              <w:right w:val="nil"/>
            </w:tcBorders>
            <w:shd w:val="clear" w:color="auto" w:fill="auto"/>
            <w:noWrap/>
            <w:vAlign w:val="center"/>
          </w:tcPr>
          <w:p w14:paraId="60E6B38B"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1.783.796</w:t>
            </w:r>
          </w:p>
        </w:tc>
      </w:tr>
      <w:tr w:rsidR="00A47C19" w:rsidRPr="00E20D21" w14:paraId="4090B117" w14:textId="77777777">
        <w:trPr>
          <w:trHeight w:val="227"/>
        </w:trPr>
        <w:tc>
          <w:tcPr>
            <w:tcW w:w="1224" w:type="pct"/>
            <w:tcBorders>
              <w:top w:val="nil"/>
              <w:left w:val="nil"/>
              <w:bottom w:val="nil"/>
              <w:right w:val="nil"/>
            </w:tcBorders>
            <w:shd w:val="clear" w:color="auto" w:fill="auto"/>
            <w:vAlign w:val="center"/>
            <w:hideMark/>
          </w:tcPr>
          <w:p w14:paraId="6BD7E5E0" w14:textId="77777777" w:rsidR="00A47C19" w:rsidRPr="00E20D21" w:rsidRDefault="00A47C19">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de participação</w:t>
            </w:r>
          </w:p>
        </w:tc>
        <w:tc>
          <w:tcPr>
            <w:tcW w:w="629" w:type="pct"/>
            <w:tcBorders>
              <w:top w:val="nil"/>
              <w:left w:val="nil"/>
              <w:bottom w:val="nil"/>
              <w:right w:val="nil"/>
            </w:tcBorders>
            <w:shd w:val="clear" w:color="auto" w:fill="auto"/>
            <w:noWrap/>
            <w:vAlign w:val="center"/>
          </w:tcPr>
          <w:p w14:paraId="549AB5D7"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13,01%</w:t>
            </w:r>
          </w:p>
        </w:tc>
        <w:tc>
          <w:tcPr>
            <w:tcW w:w="629" w:type="pct"/>
            <w:tcBorders>
              <w:top w:val="nil"/>
              <w:left w:val="nil"/>
              <w:bottom w:val="nil"/>
              <w:right w:val="nil"/>
            </w:tcBorders>
            <w:shd w:val="clear" w:color="auto" w:fill="auto"/>
            <w:noWrap/>
            <w:vAlign w:val="center"/>
          </w:tcPr>
          <w:p w14:paraId="4E3ECF7F"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15,29%</w:t>
            </w:r>
          </w:p>
        </w:tc>
        <w:tc>
          <w:tcPr>
            <w:tcW w:w="629" w:type="pct"/>
            <w:tcBorders>
              <w:top w:val="nil"/>
              <w:left w:val="nil"/>
              <w:bottom w:val="nil"/>
              <w:right w:val="nil"/>
            </w:tcBorders>
            <w:shd w:val="clear" w:color="auto" w:fill="auto"/>
            <w:noWrap/>
            <w:vAlign w:val="center"/>
          </w:tcPr>
          <w:p w14:paraId="5AAB2589"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6,67%</w:t>
            </w:r>
          </w:p>
        </w:tc>
        <w:tc>
          <w:tcPr>
            <w:tcW w:w="629" w:type="pct"/>
            <w:tcBorders>
              <w:top w:val="nil"/>
              <w:left w:val="nil"/>
              <w:bottom w:val="nil"/>
              <w:right w:val="nil"/>
            </w:tcBorders>
            <w:shd w:val="clear" w:color="auto" w:fill="auto"/>
            <w:noWrap/>
            <w:vAlign w:val="center"/>
          </w:tcPr>
          <w:p w14:paraId="72CBCFE9"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41,41%</w:t>
            </w:r>
          </w:p>
        </w:tc>
        <w:tc>
          <w:tcPr>
            <w:tcW w:w="629" w:type="pct"/>
            <w:tcBorders>
              <w:top w:val="nil"/>
              <w:left w:val="nil"/>
              <w:bottom w:val="nil"/>
              <w:right w:val="nil"/>
            </w:tcBorders>
            <w:shd w:val="clear" w:color="auto" w:fill="auto"/>
            <w:noWrap/>
            <w:vAlign w:val="center"/>
          </w:tcPr>
          <w:p w14:paraId="0FF40101"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631" w:type="pct"/>
            <w:tcBorders>
              <w:top w:val="nil"/>
              <w:left w:val="nil"/>
              <w:bottom w:val="nil"/>
              <w:right w:val="nil"/>
            </w:tcBorders>
            <w:shd w:val="clear" w:color="auto" w:fill="auto"/>
            <w:noWrap/>
            <w:vAlign w:val="center"/>
          </w:tcPr>
          <w:p w14:paraId="1ED73172" w14:textId="30748289"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8,1</w:t>
            </w:r>
            <w:r w:rsidR="00CD50A1" w:rsidRPr="00E20D21">
              <w:rPr>
                <w:rFonts w:ascii="CAIXA Std Book" w:hAnsi="CAIXA Std Book" w:cs="Arial"/>
                <w:color w:val="005CA9"/>
                <w:sz w:val="16"/>
                <w:szCs w:val="16"/>
              </w:rPr>
              <w:t>7</w:t>
            </w:r>
            <w:r w:rsidRPr="00E20D21">
              <w:rPr>
                <w:rFonts w:ascii="CAIXA Std Book" w:hAnsi="CAIXA Std Book" w:cs="Arial"/>
                <w:color w:val="005CA9"/>
                <w:sz w:val="16"/>
                <w:szCs w:val="16"/>
              </w:rPr>
              <w:t>%</w:t>
            </w:r>
          </w:p>
        </w:tc>
      </w:tr>
      <w:tr w:rsidR="00A47C19" w:rsidRPr="00E20D21" w14:paraId="43A2D30A" w14:textId="77777777">
        <w:trPr>
          <w:trHeight w:val="227"/>
        </w:trPr>
        <w:tc>
          <w:tcPr>
            <w:tcW w:w="1224" w:type="pct"/>
            <w:tcBorders>
              <w:top w:val="nil"/>
              <w:left w:val="nil"/>
              <w:right w:val="nil"/>
            </w:tcBorders>
            <w:shd w:val="clear" w:color="auto" w:fill="auto"/>
            <w:vAlign w:val="center"/>
            <w:hideMark/>
          </w:tcPr>
          <w:p w14:paraId="09E68E8F" w14:textId="77777777" w:rsidR="00A47C19" w:rsidRPr="00E20D21" w:rsidRDefault="00A47C19">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Saldo do investimento</w:t>
            </w:r>
          </w:p>
        </w:tc>
        <w:tc>
          <w:tcPr>
            <w:tcW w:w="629" w:type="pct"/>
            <w:tcBorders>
              <w:top w:val="nil"/>
              <w:left w:val="nil"/>
              <w:right w:val="nil"/>
            </w:tcBorders>
            <w:shd w:val="clear" w:color="auto" w:fill="auto"/>
            <w:vAlign w:val="center"/>
          </w:tcPr>
          <w:p w14:paraId="6CF7B733"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127.011</w:t>
            </w:r>
          </w:p>
        </w:tc>
        <w:tc>
          <w:tcPr>
            <w:tcW w:w="629" w:type="pct"/>
            <w:tcBorders>
              <w:top w:val="nil"/>
              <w:left w:val="nil"/>
              <w:bottom w:val="nil"/>
              <w:right w:val="nil"/>
            </w:tcBorders>
            <w:shd w:val="clear" w:color="auto" w:fill="auto"/>
            <w:vAlign w:val="center"/>
          </w:tcPr>
          <w:p w14:paraId="763C02A8"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55.432</w:t>
            </w:r>
          </w:p>
        </w:tc>
        <w:tc>
          <w:tcPr>
            <w:tcW w:w="629" w:type="pct"/>
            <w:tcBorders>
              <w:top w:val="nil"/>
              <w:left w:val="nil"/>
              <w:bottom w:val="nil"/>
              <w:right w:val="nil"/>
            </w:tcBorders>
            <w:shd w:val="clear" w:color="auto" w:fill="auto"/>
            <w:vAlign w:val="center"/>
          </w:tcPr>
          <w:p w14:paraId="773ECCDB"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2.303</w:t>
            </w:r>
          </w:p>
        </w:tc>
        <w:tc>
          <w:tcPr>
            <w:tcW w:w="629" w:type="pct"/>
            <w:tcBorders>
              <w:top w:val="nil"/>
              <w:left w:val="nil"/>
              <w:bottom w:val="nil"/>
              <w:right w:val="nil"/>
            </w:tcBorders>
            <w:shd w:val="clear" w:color="auto" w:fill="auto"/>
            <w:vAlign w:val="center"/>
          </w:tcPr>
          <w:p w14:paraId="3F45E811"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369.360</w:t>
            </w:r>
          </w:p>
        </w:tc>
        <w:tc>
          <w:tcPr>
            <w:tcW w:w="629" w:type="pct"/>
            <w:tcBorders>
              <w:top w:val="nil"/>
              <w:left w:val="nil"/>
              <w:bottom w:val="nil"/>
              <w:right w:val="nil"/>
            </w:tcBorders>
            <w:shd w:val="clear" w:color="auto" w:fill="auto"/>
            <w:vAlign w:val="center"/>
          </w:tcPr>
          <w:p w14:paraId="77E4AD6A"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300.233</w:t>
            </w:r>
          </w:p>
        </w:tc>
        <w:tc>
          <w:tcPr>
            <w:tcW w:w="631" w:type="pct"/>
            <w:tcBorders>
              <w:top w:val="nil"/>
              <w:left w:val="nil"/>
              <w:bottom w:val="nil"/>
              <w:right w:val="nil"/>
            </w:tcBorders>
            <w:shd w:val="clear" w:color="auto" w:fill="auto"/>
            <w:vAlign w:val="center"/>
          </w:tcPr>
          <w:p w14:paraId="1ADDA22A" w14:textId="77777777" w:rsidR="00A47C19" w:rsidRPr="00E20D21" w:rsidRDefault="00A47C19">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145.833</w:t>
            </w:r>
          </w:p>
        </w:tc>
      </w:tr>
      <w:tr w:rsidR="00A47C19" w:rsidRPr="00E20D21" w14:paraId="1CA84DF5" w14:textId="77777777">
        <w:trPr>
          <w:trHeight w:val="227"/>
        </w:trPr>
        <w:tc>
          <w:tcPr>
            <w:tcW w:w="1224" w:type="pct"/>
            <w:tcBorders>
              <w:top w:val="nil"/>
              <w:left w:val="nil"/>
              <w:bottom w:val="single" w:sz="4" w:space="0" w:color="F79646"/>
              <w:right w:val="nil"/>
            </w:tcBorders>
            <w:shd w:val="clear" w:color="auto" w:fill="auto"/>
            <w:vAlign w:val="center"/>
          </w:tcPr>
          <w:p w14:paraId="5886FFCC" w14:textId="77777777" w:rsidR="00A47C19" w:rsidRPr="00E20D21" w:rsidRDefault="00A47C19">
            <w:pPr>
              <w:rPr>
                <w:rFonts w:ascii="CAIXA Std Book" w:eastAsia="Times New Roman" w:hAnsi="CAIXA Std Book" w:cs="Arial"/>
                <w:b/>
                <w:color w:val="005CA9"/>
                <w:sz w:val="16"/>
                <w:szCs w:val="16"/>
              </w:rPr>
            </w:pPr>
            <w:r w:rsidRPr="00E20D21">
              <w:rPr>
                <w:rFonts w:ascii="CAIXA Std Book" w:eastAsia="Times New Roman" w:hAnsi="CAIXA Std Book" w:cs="Arial"/>
                <w:color w:val="005CA9"/>
                <w:sz w:val="16"/>
                <w:szCs w:val="16"/>
              </w:rPr>
              <w:t>Outros ajustes (1)</w:t>
            </w:r>
          </w:p>
        </w:tc>
        <w:tc>
          <w:tcPr>
            <w:tcW w:w="629" w:type="pct"/>
            <w:tcBorders>
              <w:top w:val="nil"/>
              <w:left w:val="nil"/>
              <w:bottom w:val="single" w:sz="4" w:space="0" w:color="F79646"/>
              <w:right w:val="nil"/>
            </w:tcBorders>
            <w:shd w:val="clear" w:color="auto" w:fill="auto"/>
            <w:vAlign w:val="center"/>
          </w:tcPr>
          <w:p w14:paraId="4E1014CB" w14:textId="77777777" w:rsidR="00A47C19" w:rsidRPr="00E20D21" w:rsidRDefault="00A47C19">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55.036</w:t>
            </w:r>
          </w:p>
        </w:tc>
        <w:tc>
          <w:tcPr>
            <w:tcW w:w="629" w:type="pct"/>
            <w:tcBorders>
              <w:top w:val="nil"/>
              <w:left w:val="nil"/>
              <w:bottom w:val="single" w:sz="4" w:space="0" w:color="F79646"/>
              <w:right w:val="nil"/>
            </w:tcBorders>
            <w:shd w:val="clear" w:color="auto" w:fill="auto"/>
            <w:vAlign w:val="center"/>
          </w:tcPr>
          <w:p w14:paraId="59FA87DC" w14:textId="7196CD8B" w:rsidR="00A47C19" w:rsidRPr="00E20D21" w:rsidRDefault="001B1E08" w:rsidP="001B1E08">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7B3AF423" w14:textId="4158362C" w:rsidR="00A47C19" w:rsidRPr="00E20D21" w:rsidRDefault="001B1E08" w:rsidP="001B1E08">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1FB4CE2A" w14:textId="70230661" w:rsidR="00A47C19" w:rsidRPr="00E20D21" w:rsidRDefault="001B1E08" w:rsidP="001B1E08">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7655E703" w14:textId="0AB8B39F" w:rsidR="00A47C19" w:rsidRPr="00E20D21" w:rsidRDefault="001B1E08" w:rsidP="001B1E08">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631" w:type="pct"/>
            <w:tcBorders>
              <w:top w:val="nil"/>
              <w:left w:val="nil"/>
              <w:bottom w:val="single" w:sz="4" w:space="0" w:color="F79646"/>
              <w:right w:val="nil"/>
            </w:tcBorders>
            <w:shd w:val="clear" w:color="auto" w:fill="auto"/>
            <w:vAlign w:val="center"/>
          </w:tcPr>
          <w:p w14:paraId="588C6269" w14:textId="6ACFA251" w:rsidR="00A47C19" w:rsidRPr="00E20D21" w:rsidRDefault="001B1E08" w:rsidP="001B1E08">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r>
    </w:tbl>
    <w:p w14:paraId="4E0EE11D" w14:textId="2062F313" w:rsidR="00067AF2" w:rsidRPr="00E20D21" w:rsidRDefault="00A47C19" w:rsidP="00067AF2">
      <w:pPr>
        <w:spacing w:after="120"/>
        <w:rPr>
          <w:rFonts w:ascii="CAIXA Std Book" w:hAnsi="CAIXA Std Book"/>
          <w:color w:val="005CA9"/>
          <w:sz w:val="14"/>
          <w:szCs w:val="14"/>
        </w:rPr>
      </w:pPr>
      <w:r w:rsidRPr="00E20D21">
        <w:rPr>
          <w:rFonts w:ascii="CAIXA Std Book" w:hAnsi="CAIXA Std Book"/>
          <w:color w:val="005CA9"/>
          <w:sz w:val="14"/>
          <w:szCs w:val="14"/>
        </w:rPr>
        <w:t xml:space="preserve">(1) </w:t>
      </w:r>
      <w:r w:rsidR="00067AF2" w:rsidRPr="00E20D21">
        <w:rPr>
          <w:rFonts w:ascii="CAIXA Std Book" w:hAnsi="CAIXA Std Book"/>
          <w:color w:val="005CA9"/>
          <w:sz w:val="14"/>
          <w:szCs w:val="14"/>
        </w:rPr>
        <w:t>Valores referentes ao</w:t>
      </w:r>
      <w:r w:rsidRPr="00E20D21">
        <w:rPr>
          <w:rFonts w:ascii="CAIXA Std Book" w:hAnsi="CAIXA Std Book"/>
          <w:color w:val="005CA9"/>
          <w:sz w:val="14"/>
          <w:szCs w:val="14"/>
        </w:rPr>
        <w:t xml:space="preserve"> ágio/intangível sobre investimento</w:t>
      </w:r>
      <w:r w:rsidR="00067AF2" w:rsidRPr="00E20D21">
        <w:rPr>
          <w:rFonts w:ascii="CAIXA Std Book" w:hAnsi="CAIXA Std Book"/>
          <w:color w:val="005CA9"/>
          <w:sz w:val="14"/>
          <w:szCs w:val="14"/>
        </w:rPr>
        <w:t xml:space="preserve"> na Tecban.</w:t>
      </w:r>
    </w:p>
    <w:p w14:paraId="55BE79BA" w14:textId="2BDEE32A" w:rsidR="00A47C19" w:rsidRPr="00E20D21" w:rsidRDefault="00A47C19" w:rsidP="00A47C19">
      <w:pPr>
        <w:spacing w:after="120"/>
        <w:rPr>
          <w:rFonts w:ascii="CAIXA Std Book" w:hAnsi="CAIXA Std Book"/>
          <w:color w:val="005CA9"/>
          <w:sz w:val="14"/>
          <w:szCs w:val="14"/>
        </w:rPr>
        <w:sectPr w:rsidR="00A47C19" w:rsidRPr="00E20D21" w:rsidSect="001F0E96">
          <w:headerReference w:type="default" r:id="rId51"/>
          <w:footerReference w:type="default" r:id="rId52"/>
          <w:headerReference w:type="first" r:id="rId53"/>
          <w:footerReference w:type="first" r:id="rId54"/>
          <w:pgSz w:w="16840" w:h="11907" w:orient="landscape" w:code="9"/>
          <w:pgMar w:top="1418" w:right="851" w:bottom="851" w:left="1418" w:header="1134" w:footer="709" w:gutter="0"/>
          <w:cols w:space="708"/>
          <w:titlePg/>
          <w:docGrid w:linePitch="360"/>
        </w:sectPr>
      </w:pPr>
    </w:p>
    <w:p w14:paraId="04FC5C36" w14:textId="0F75171C" w:rsidR="00AF6C4E" w:rsidRPr="00E20D21" w:rsidRDefault="00AF6C4E" w:rsidP="00FD7768">
      <w:pPr>
        <w:pStyle w:val="Ttulo1"/>
      </w:pPr>
      <w:bookmarkStart w:id="43" w:name="_Toc175067952"/>
      <w:r w:rsidRPr="00E20D21">
        <w:lastRenderedPageBreak/>
        <w:t>Nota 1</w:t>
      </w:r>
      <w:r w:rsidR="004917F8" w:rsidRPr="00E20D21">
        <w:t>2</w:t>
      </w:r>
      <w:r w:rsidRPr="00E20D21">
        <w:t xml:space="preserve"> – Imobilizado</w:t>
      </w:r>
      <w:r w:rsidR="00C679FC" w:rsidRPr="00E20D21">
        <w:t xml:space="preserve"> de uso</w:t>
      </w:r>
      <w:bookmarkEnd w:id="43"/>
    </w:p>
    <w:p w14:paraId="4D1BBAC2" w14:textId="65AF032A" w:rsidR="000816A6" w:rsidRPr="00E20D21" w:rsidRDefault="00D63FBE" w:rsidP="00AD270F">
      <w:pPr>
        <w:tabs>
          <w:tab w:val="left" w:pos="1650"/>
        </w:tabs>
        <w:spacing w:before="120" w:after="120"/>
        <w:jc w:val="both"/>
        <w:rPr>
          <w:rFonts w:ascii="CAIXA Std Book" w:hAnsi="CAIXA Std Book"/>
          <w:color w:val="005CA9"/>
          <w:sz w:val="20"/>
          <w:szCs w:val="20"/>
        </w:rPr>
      </w:pPr>
      <w:bookmarkStart w:id="44" w:name="_Hlk79055261"/>
      <w:r w:rsidRPr="00E20D21">
        <w:rPr>
          <w:rFonts w:ascii="CAIXA Std Book" w:hAnsi="CAIXA Std Book"/>
          <w:color w:val="005CA9"/>
          <w:sz w:val="20"/>
          <w:szCs w:val="20"/>
        </w:rPr>
        <w:t>O</w:t>
      </w:r>
      <w:r w:rsidR="00497908" w:rsidRPr="00E20D21">
        <w:rPr>
          <w:rFonts w:ascii="CAIXA Std Book" w:hAnsi="CAIXA Std Book"/>
          <w:color w:val="005CA9"/>
          <w:sz w:val="20"/>
          <w:szCs w:val="20"/>
        </w:rPr>
        <w:t xml:space="preserve"> índice de imobilização apurado </w:t>
      </w:r>
      <w:r w:rsidRPr="00E20D21">
        <w:rPr>
          <w:rFonts w:ascii="CAIXA Std Book" w:hAnsi="CAIXA Std Book"/>
          <w:color w:val="005CA9"/>
          <w:sz w:val="20"/>
          <w:szCs w:val="20"/>
        </w:rPr>
        <w:t xml:space="preserve">foi </w:t>
      </w:r>
      <w:r w:rsidR="00497908" w:rsidRPr="00E20D21">
        <w:rPr>
          <w:rFonts w:ascii="CAIXA Std Book" w:hAnsi="CAIXA Std Book"/>
          <w:color w:val="005CA9"/>
          <w:sz w:val="20"/>
          <w:szCs w:val="20"/>
        </w:rPr>
        <w:t>de</w:t>
      </w:r>
      <w:r w:rsidR="00F54DBD" w:rsidRPr="00E20D21">
        <w:rPr>
          <w:rFonts w:ascii="CAIXA Std Book" w:hAnsi="CAIXA Std Book"/>
          <w:color w:val="005CA9"/>
          <w:sz w:val="20"/>
          <w:szCs w:val="20"/>
        </w:rPr>
        <w:t xml:space="preserve"> </w:t>
      </w:r>
      <w:r w:rsidR="0050748F" w:rsidRPr="00E20D21">
        <w:rPr>
          <w:rFonts w:ascii="CAIXA Std Book" w:hAnsi="CAIXA Std Book"/>
          <w:color w:val="005CA9"/>
          <w:sz w:val="20"/>
          <w:szCs w:val="20"/>
        </w:rPr>
        <w:t>9,26%</w:t>
      </w:r>
      <w:r w:rsidR="00497908" w:rsidRPr="00E20D21">
        <w:rPr>
          <w:rFonts w:ascii="CAIXA Std Book" w:hAnsi="CAIXA Std Book"/>
          <w:color w:val="005CA9"/>
          <w:sz w:val="20"/>
          <w:szCs w:val="20"/>
        </w:rPr>
        <w:t xml:space="preserve"> </w:t>
      </w:r>
      <w:r w:rsidR="003E7E90" w:rsidRPr="00E20D21">
        <w:rPr>
          <w:rFonts w:ascii="CAIXA Std Book" w:hAnsi="CAIXA Std Book"/>
          <w:color w:val="005CA9"/>
          <w:sz w:val="20"/>
          <w:szCs w:val="20"/>
        </w:rPr>
        <w:t xml:space="preserve">em </w:t>
      </w:r>
      <w:r w:rsidR="00C50F4A" w:rsidRPr="00E20D21">
        <w:rPr>
          <w:rFonts w:ascii="CAIXA Std Book" w:hAnsi="CAIXA Std Book"/>
          <w:color w:val="005CA9"/>
          <w:sz w:val="20"/>
          <w:szCs w:val="20"/>
        </w:rPr>
        <w:t>30/06/2024</w:t>
      </w:r>
      <w:r w:rsidR="00F302CE" w:rsidRPr="00E20D21">
        <w:rPr>
          <w:rFonts w:ascii="CAIXA Std Book" w:hAnsi="CAIXA Std Book"/>
          <w:color w:val="005CA9"/>
          <w:sz w:val="20"/>
          <w:szCs w:val="20"/>
        </w:rPr>
        <w:t xml:space="preserve"> </w:t>
      </w:r>
      <w:r w:rsidR="00497908" w:rsidRPr="00E20D21">
        <w:rPr>
          <w:rFonts w:ascii="CAIXA Std Book" w:hAnsi="CAIXA Std Book"/>
          <w:color w:val="005CA9"/>
          <w:sz w:val="20"/>
          <w:szCs w:val="20"/>
        </w:rPr>
        <w:t>(31/12/20</w:t>
      </w:r>
      <w:r w:rsidR="00897C50" w:rsidRPr="00E20D21">
        <w:rPr>
          <w:rFonts w:ascii="CAIXA Std Book" w:hAnsi="CAIXA Std Book"/>
          <w:color w:val="005CA9"/>
          <w:sz w:val="20"/>
          <w:szCs w:val="20"/>
        </w:rPr>
        <w:t>2</w:t>
      </w:r>
      <w:r w:rsidR="00C50F4A" w:rsidRPr="00E20D21">
        <w:rPr>
          <w:rFonts w:ascii="CAIXA Std Book" w:hAnsi="CAIXA Std Book"/>
          <w:color w:val="005CA9"/>
          <w:sz w:val="20"/>
          <w:szCs w:val="20"/>
        </w:rPr>
        <w:t>3</w:t>
      </w:r>
      <w:r w:rsidR="003B697F" w:rsidRPr="00E20D21">
        <w:rPr>
          <w:rFonts w:ascii="CAIXA Std Book" w:hAnsi="CAIXA Std Book"/>
          <w:color w:val="005CA9"/>
          <w:sz w:val="20"/>
          <w:szCs w:val="20"/>
        </w:rPr>
        <w:t xml:space="preserve"> </w:t>
      </w:r>
      <w:r w:rsidR="00497908" w:rsidRPr="00E20D21">
        <w:rPr>
          <w:rFonts w:ascii="CAIXA Std Book" w:hAnsi="CAIXA Std Book"/>
          <w:color w:val="005CA9"/>
          <w:sz w:val="20"/>
          <w:szCs w:val="20"/>
        </w:rPr>
        <w:t xml:space="preserve">– </w:t>
      </w:r>
      <w:r w:rsidR="00C50F4A" w:rsidRPr="00E20D21">
        <w:rPr>
          <w:rFonts w:ascii="CAIXA Std Book" w:hAnsi="CAIXA Std Book"/>
          <w:color w:val="005CA9"/>
          <w:sz w:val="20"/>
          <w:szCs w:val="20"/>
        </w:rPr>
        <w:t>8,70</w:t>
      </w:r>
      <w:r w:rsidR="00CB4D03" w:rsidRPr="00E20D21">
        <w:rPr>
          <w:rFonts w:ascii="CAIXA Std Book" w:hAnsi="CAIXA Std Book"/>
          <w:color w:val="005CA9"/>
          <w:sz w:val="20"/>
          <w:szCs w:val="20"/>
        </w:rPr>
        <w:t>%</w:t>
      </w:r>
      <w:r w:rsidR="00497908" w:rsidRPr="00E20D21">
        <w:rPr>
          <w:rFonts w:ascii="CAIXA Std Book" w:hAnsi="CAIXA Std Book"/>
          <w:color w:val="005CA9"/>
          <w:sz w:val="20"/>
          <w:szCs w:val="20"/>
        </w:rPr>
        <w:t xml:space="preserve">), a CAIXA está enquadrada na forma definida pela Resolução CMN nº </w:t>
      </w:r>
      <w:r w:rsidR="00490F57" w:rsidRPr="00E20D21">
        <w:rPr>
          <w:rFonts w:ascii="CAIXA Std Book" w:hAnsi="CAIXA Std Book"/>
          <w:color w:val="005CA9"/>
          <w:sz w:val="20"/>
          <w:szCs w:val="20"/>
        </w:rPr>
        <w:t>4.957/2021</w:t>
      </w:r>
      <w:r w:rsidR="00497908" w:rsidRPr="00E20D21">
        <w:rPr>
          <w:rFonts w:ascii="CAIXA Std Book" w:hAnsi="CAIXA Std Book"/>
          <w:color w:val="005CA9"/>
          <w:sz w:val="20"/>
          <w:szCs w:val="20"/>
        </w:rPr>
        <w:t>, a qual estabelece o limite de 50% do Patrimônio de Referência.</w:t>
      </w:r>
    </w:p>
    <w:bookmarkEnd w:id="44"/>
    <w:p w14:paraId="383E74A8" w14:textId="753A23BA" w:rsidR="003D4E01" w:rsidRPr="00E20D21" w:rsidRDefault="00657973" w:rsidP="009E5E22">
      <w:pPr>
        <w:pStyle w:val="PargrafodaLista"/>
        <w:numPr>
          <w:ilvl w:val="1"/>
          <w:numId w:val="14"/>
        </w:numPr>
        <w:shd w:val="clear" w:color="auto" w:fill="FFFFFF" w:themeFill="background1"/>
        <w:spacing w:before="240" w:after="240"/>
        <w:ind w:left="567" w:right="-40" w:hanging="567"/>
        <w:contextualSpacing w:val="0"/>
        <w:jc w:val="both"/>
        <w:rPr>
          <w:rFonts w:ascii="CAIXA Std Book" w:hAnsi="CAIXA Std Book"/>
          <w:b/>
          <w:color w:val="005CA9"/>
          <w:sz w:val="20"/>
          <w:szCs w:val="20"/>
        </w:rPr>
      </w:pPr>
      <w:r w:rsidRPr="00E20D21">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118"/>
        <w:gridCol w:w="828"/>
        <w:gridCol w:w="1169"/>
        <w:gridCol w:w="1265"/>
        <w:gridCol w:w="1112"/>
        <w:gridCol w:w="1076"/>
        <w:gridCol w:w="1070"/>
      </w:tblGrid>
      <w:tr w:rsidR="00A47C19" w:rsidRPr="00E20D21" w14:paraId="15137C1A" w14:textId="77777777" w:rsidTr="001F3E89">
        <w:trPr>
          <w:trHeight w:val="283"/>
        </w:trPr>
        <w:tc>
          <w:tcPr>
            <w:tcW w:w="5000" w:type="pct"/>
            <w:gridSpan w:val="7"/>
            <w:tcBorders>
              <w:top w:val="single" w:sz="4" w:space="0" w:color="F39200"/>
              <w:left w:val="nil"/>
              <w:bottom w:val="single" w:sz="4" w:space="0" w:color="F39200"/>
              <w:right w:val="nil"/>
            </w:tcBorders>
            <w:shd w:val="clear" w:color="auto" w:fill="auto"/>
            <w:vAlign w:val="center"/>
            <w:hideMark/>
          </w:tcPr>
          <w:p w14:paraId="01437CB2" w14:textId="77777777" w:rsidR="00001CC8" w:rsidRPr="00E20D21" w:rsidRDefault="00001CC8" w:rsidP="003D64FC">
            <w:pPr>
              <w:jc w:val="center"/>
              <w:rPr>
                <w:rFonts w:ascii="CAIXA Std Book" w:hAnsi="CAIXA Std Book"/>
                <w:b/>
                <w:color w:val="005CA9"/>
                <w:sz w:val="16"/>
                <w:szCs w:val="16"/>
              </w:rPr>
            </w:pPr>
            <w:r w:rsidRPr="00E20D21">
              <w:rPr>
                <w:rFonts w:ascii="CAIXA Std Book" w:hAnsi="CAIXA Std Book"/>
                <w:b/>
                <w:color w:val="005CA9"/>
                <w:sz w:val="16"/>
                <w:szCs w:val="16"/>
              </w:rPr>
              <w:t>INDIVIDUAL</w:t>
            </w:r>
          </w:p>
        </w:tc>
      </w:tr>
      <w:tr w:rsidR="00A47C19" w:rsidRPr="00E20D21" w14:paraId="3F92B49D" w14:textId="77777777" w:rsidTr="001B24C3">
        <w:trPr>
          <w:trHeight w:val="283"/>
        </w:trPr>
        <w:tc>
          <w:tcPr>
            <w:tcW w:w="1618" w:type="pct"/>
            <w:vMerge w:val="restart"/>
            <w:tcBorders>
              <w:top w:val="nil"/>
              <w:left w:val="nil"/>
              <w:bottom w:val="single" w:sz="4" w:space="0" w:color="F39200"/>
              <w:right w:val="nil"/>
            </w:tcBorders>
            <w:shd w:val="clear" w:color="auto" w:fill="auto"/>
            <w:vAlign w:val="center"/>
            <w:hideMark/>
          </w:tcPr>
          <w:p w14:paraId="278CB735" w14:textId="77777777" w:rsidR="00001CC8" w:rsidRPr="00E20D21" w:rsidRDefault="00001CC8" w:rsidP="003D64FC">
            <w:pPr>
              <w:jc w:val="center"/>
              <w:rPr>
                <w:rFonts w:ascii="CAIXA Std Book" w:hAnsi="CAIXA Std Book"/>
                <w:b/>
                <w:color w:val="005CA9"/>
                <w:sz w:val="16"/>
                <w:szCs w:val="16"/>
              </w:rPr>
            </w:pPr>
            <w:r w:rsidRPr="00E20D21">
              <w:rPr>
                <w:rFonts w:ascii="CAIXA Std Book" w:hAnsi="CAIXA Std Book"/>
                <w:b/>
                <w:color w:val="005CA9"/>
                <w:sz w:val="16"/>
                <w:szCs w:val="16"/>
              </w:rPr>
              <w:t xml:space="preserve">Descrição </w:t>
            </w:r>
          </w:p>
        </w:tc>
        <w:tc>
          <w:tcPr>
            <w:tcW w:w="430" w:type="pct"/>
            <w:vMerge w:val="restart"/>
            <w:tcBorders>
              <w:top w:val="nil"/>
              <w:left w:val="nil"/>
              <w:bottom w:val="single" w:sz="4" w:space="0" w:color="F39200"/>
              <w:right w:val="nil"/>
            </w:tcBorders>
            <w:shd w:val="clear" w:color="auto" w:fill="auto"/>
            <w:vAlign w:val="center"/>
            <w:hideMark/>
          </w:tcPr>
          <w:p w14:paraId="5C5D2F5A" w14:textId="77777777" w:rsidR="00001CC8" w:rsidRPr="00E20D21" w:rsidRDefault="00001CC8" w:rsidP="003D64FC">
            <w:pPr>
              <w:jc w:val="center"/>
              <w:rPr>
                <w:rFonts w:ascii="CAIXA Std Book" w:hAnsi="CAIXA Std Book"/>
                <w:b/>
                <w:color w:val="005CA9"/>
                <w:sz w:val="16"/>
                <w:szCs w:val="16"/>
              </w:rPr>
            </w:pPr>
            <w:r w:rsidRPr="00E20D21">
              <w:rPr>
                <w:rFonts w:ascii="CAIXA Std Book" w:hAnsi="CAIXA Std Book"/>
                <w:b/>
                <w:color w:val="005CA9"/>
                <w:sz w:val="16"/>
                <w:szCs w:val="16"/>
              </w:rPr>
              <w:t>Vida útil (em anos)</w:t>
            </w:r>
          </w:p>
        </w:tc>
        <w:tc>
          <w:tcPr>
            <w:tcW w:w="2397" w:type="pct"/>
            <w:gridSpan w:val="4"/>
            <w:tcBorders>
              <w:top w:val="single" w:sz="4" w:space="0" w:color="F39200"/>
              <w:left w:val="nil"/>
              <w:bottom w:val="single" w:sz="4" w:space="0" w:color="F39200"/>
              <w:right w:val="nil"/>
            </w:tcBorders>
            <w:shd w:val="clear" w:color="auto" w:fill="auto"/>
            <w:vAlign w:val="center"/>
            <w:hideMark/>
          </w:tcPr>
          <w:p w14:paraId="7DEE6FA3" w14:textId="1AD30B29" w:rsidR="00001CC8" w:rsidRPr="00E20D21" w:rsidRDefault="00703A90" w:rsidP="003D64FC">
            <w:pPr>
              <w:jc w:val="center"/>
              <w:rPr>
                <w:rFonts w:ascii="CAIXA Std Book" w:hAnsi="CAIXA Std Book"/>
                <w:b/>
                <w:color w:val="005CA9"/>
                <w:sz w:val="16"/>
                <w:szCs w:val="16"/>
              </w:rPr>
            </w:pPr>
            <w:r w:rsidRPr="00E20D21">
              <w:rPr>
                <w:rFonts w:ascii="CAIXA Std Book" w:hAnsi="CAIXA Std Book"/>
                <w:b/>
                <w:color w:val="005CA9"/>
                <w:sz w:val="16"/>
                <w:szCs w:val="16"/>
              </w:rPr>
              <w:t>30/06/2024</w:t>
            </w:r>
          </w:p>
        </w:tc>
        <w:tc>
          <w:tcPr>
            <w:tcW w:w="555" w:type="pct"/>
            <w:tcBorders>
              <w:top w:val="nil"/>
              <w:left w:val="nil"/>
              <w:bottom w:val="single" w:sz="4" w:space="0" w:color="F39200"/>
              <w:right w:val="nil"/>
            </w:tcBorders>
            <w:shd w:val="clear" w:color="auto" w:fill="auto"/>
            <w:vAlign w:val="center"/>
            <w:hideMark/>
          </w:tcPr>
          <w:p w14:paraId="3F3DC3F0" w14:textId="62B8497B" w:rsidR="00001CC8" w:rsidRPr="00E20D21" w:rsidRDefault="00001CC8" w:rsidP="003D64FC">
            <w:pPr>
              <w:jc w:val="center"/>
              <w:rPr>
                <w:rFonts w:ascii="CAIXA Std Book" w:hAnsi="CAIXA Std Book"/>
                <w:b/>
                <w:color w:val="005CA9"/>
                <w:sz w:val="16"/>
                <w:szCs w:val="16"/>
              </w:rPr>
            </w:pPr>
            <w:r w:rsidRPr="00E20D21">
              <w:rPr>
                <w:rFonts w:ascii="CAIXA Std Book" w:hAnsi="CAIXA Std Book"/>
                <w:b/>
                <w:color w:val="005CA9"/>
                <w:sz w:val="16"/>
                <w:szCs w:val="16"/>
              </w:rPr>
              <w:t>31/12/202</w:t>
            </w:r>
            <w:r w:rsidR="00703A90" w:rsidRPr="00E20D21">
              <w:rPr>
                <w:rFonts w:ascii="CAIXA Std Book" w:hAnsi="CAIXA Std Book"/>
                <w:b/>
                <w:color w:val="005CA9"/>
                <w:sz w:val="16"/>
                <w:szCs w:val="16"/>
              </w:rPr>
              <w:t>3</w:t>
            </w:r>
          </w:p>
        </w:tc>
      </w:tr>
      <w:tr w:rsidR="001B24C3" w:rsidRPr="00E20D21" w14:paraId="2FD869C5" w14:textId="77777777" w:rsidTr="001B24C3">
        <w:trPr>
          <w:trHeight w:val="283"/>
        </w:trPr>
        <w:tc>
          <w:tcPr>
            <w:tcW w:w="1618" w:type="pct"/>
            <w:vMerge/>
            <w:tcBorders>
              <w:top w:val="nil"/>
              <w:left w:val="nil"/>
              <w:bottom w:val="single" w:sz="4" w:space="0" w:color="F39200"/>
              <w:right w:val="nil"/>
            </w:tcBorders>
            <w:vAlign w:val="center"/>
            <w:hideMark/>
          </w:tcPr>
          <w:p w14:paraId="7A27D07C" w14:textId="77777777" w:rsidR="00001CC8" w:rsidRPr="00E20D21" w:rsidRDefault="00001CC8" w:rsidP="003D64FC">
            <w:pPr>
              <w:rPr>
                <w:rFonts w:ascii="CAIXA Std Book" w:hAnsi="CAIXA Std Book"/>
                <w:b/>
                <w:color w:val="005CA9"/>
                <w:sz w:val="16"/>
                <w:szCs w:val="16"/>
              </w:rPr>
            </w:pPr>
          </w:p>
        </w:tc>
        <w:tc>
          <w:tcPr>
            <w:tcW w:w="430" w:type="pct"/>
            <w:vMerge/>
            <w:tcBorders>
              <w:top w:val="nil"/>
              <w:left w:val="nil"/>
              <w:bottom w:val="single" w:sz="4" w:space="0" w:color="F39200"/>
              <w:right w:val="nil"/>
            </w:tcBorders>
            <w:vAlign w:val="center"/>
            <w:hideMark/>
          </w:tcPr>
          <w:p w14:paraId="64762300" w14:textId="77777777" w:rsidR="00001CC8" w:rsidRPr="00E20D21" w:rsidRDefault="00001CC8" w:rsidP="003D64FC">
            <w:pPr>
              <w:jc w:val="center"/>
              <w:rPr>
                <w:rFonts w:ascii="CAIXA Std Book" w:hAnsi="CAIXA Std Book"/>
                <w:b/>
                <w:color w:val="005CA9"/>
                <w:sz w:val="16"/>
                <w:szCs w:val="16"/>
              </w:rPr>
            </w:pPr>
          </w:p>
        </w:tc>
        <w:tc>
          <w:tcPr>
            <w:tcW w:w="606" w:type="pct"/>
            <w:tcBorders>
              <w:top w:val="nil"/>
              <w:left w:val="nil"/>
              <w:bottom w:val="single" w:sz="4" w:space="0" w:color="F39200"/>
              <w:right w:val="nil"/>
            </w:tcBorders>
            <w:shd w:val="clear" w:color="auto" w:fill="auto"/>
            <w:vAlign w:val="center"/>
            <w:hideMark/>
          </w:tcPr>
          <w:p w14:paraId="23299DE1" w14:textId="77777777" w:rsidR="00001CC8" w:rsidRPr="00E20D21" w:rsidRDefault="00001CC8" w:rsidP="003D64FC">
            <w:pPr>
              <w:jc w:val="center"/>
              <w:rPr>
                <w:rFonts w:ascii="CAIXA Std Book" w:hAnsi="CAIXA Std Book"/>
                <w:b/>
                <w:color w:val="005CA9"/>
                <w:sz w:val="16"/>
                <w:szCs w:val="16"/>
              </w:rPr>
            </w:pPr>
            <w:r w:rsidRPr="00E20D21">
              <w:rPr>
                <w:rFonts w:ascii="CAIXA Std Book" w:hAnsi="CAIXA Std Book"/>
                <w:b/>
                <w:color w:val="005CA9"/>
                <w:sz w:val="16"/>
                <w:szCs w:val="16"/>
              </w:rPr>
              <w:t>Custo</w:t>
            </w:r>
          </w:p>
        </w:tc>
        <w:tc>
          <w:tcPr>
            <w:tcW w:w="656" w:type="pct"/>
            <w:tcBorders>
              <w:top w:val="nil"/>
              <w:left w:val="nil"/>
              <w:bottom w:val="single" w:sz="4" w:space="0" w:color="F39200"/>
              <w:right w:val="nil"/>
            </w:tcBorders>
            <w:shd w:val="clear" w:color="auto" w:fill="auto"/>
            <w:vAlign w:val="center"/>
            <w:hideMark/>
          </w:tcPr>
          <w:p w14:paraId="0E9A8347" w14:textId="77777777" w:rsidR="00001CC8" w:rsidRPr="00E20D21" w:rsidRDefault="00001CC8" w:rsidP="003D64FC">
            <w:pPr>
              <w:jc w:val="center"/>
              <w:rPr>
                <w:rFonts w:ascii="CAIXA Std Book" w:hAnsi="CAIXA Std Book"/>
                <w:b/>
                <w:color w:val="005CA9"/>
                <w:sz w:val="16"/>
                <w:szCs w:val="16"/>
              </w:rPr>
            </w:pPr>
            <w:r w:rsidRPr="00E20D21">
              <w:rPr>
                <w:rFonts w:ascii="CAIXA Std Book" w:hAnsi="CAIXA Std Book"/>
                <w:b/>
                <w:color w:val="005CA9"/>
                <w:sz w:val="16"/>
                <w:szCs w:val="16"/>
              </w:rPr>
              <w:t xml:space="preserve">Depreciação </w:t>
            </w:r>
          </w:p>
        </w:tc>
        <w:tc>
          <w:tcPr>
            <w:tcW w:w="577" w:type="pct"/>
            <w:tcBorders>
              <w:top w:val="nil"/>
              <w:left w:val="nil"/>
              <w:bottom w:val="single" w:sz="4" w:space="0" w:color="F39200"/>
              <w:right w:val="nil"/>
            </w:tcBorders>
            <w:shd w:val="clear" w:color="auto" w:fill="auto"/>
            <w:vAlign w:val="center"/>
            <w:hideMark/>
          </w:tcPr>
          <w:p w14:paraId="58AAF9A8" w14:textId="77777777" w:rsidR="00001CC8" w:rsidRPr="00E20D21" w:rsidRDefault="00001CC8" w:rsidP="003D64FC">
            <w:pPr>
              <w:jc w:val="center"/>
              <w:rPr>
                <w:rFonts w:ascii="CAIXA Std Book" w:hAnsi="CAIXA Std Book"/>
                <w:b/>
                <w:color w:val="005CA9"/>
                <w:sz w:val="16"/>
                <w:szCs w:val="16"/>
              </w:rPr>
            </w:pPr>
            <w:r w:rsidRPr="00E20D21">
              <w:rPr>
                <w:rFonts w:ascii="CAIXA Std Book" w:hAnsi="CAIXA Std Book"/>
                <w:b/>
                <w:color w:val="005CA9"/>
                <w:sz w:val="16"/>
                <w:szCs w:val="16"/>
              </w:rPr>
              <w:t>Redução ao valor recuperável</w:t>
            </w:r>
          </w:p>
        </w:tc>
        <w:tc>
          <w:tcPr>
            <w:tcW w:w="557" w:type="pct"/>
            <w:tcBorders>
              <w:top w:val="nil"/>
              <w:left w:val="nil"/>
              <w:bottom w:val="single" w:sz="4" w:space="0" w:color="F39200"/>
              <w:right w:val="nil"/>
            </w:tcBorders>
            <w:shd w:val="clear" w:color="auto" w:fill="auto"/>
            <w:vAlign w:val="center"/>
            <w:hideMark/>
          </w:tcPr>
          <w:p w14:paraId="32388B15" w14:textId="77777777" w:rsidR="00001CC8" w:rsidRPr="00E20D21" w:rsidRDefault="00001CC8" w:rsidP="003D64FC">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c>
          <w:tcPr>
            <w:tcW w:w="555" w:type="pct"/>
            <w:tcBorders>
              <w:top w:val="nil"/>
              <w:left w:val="nil"/>
              <w:bottom w:val="single" w:sz="4" w:space="0" w:color="F39200"/>
              <w:right w:val="nil"/>
            </w:tcBorders>
            <w:shd w:val="clear" w:color="auto" w:fill="auto"/>
            <w:vAlign w:val="center"/>
            <w:hideMark/>
          </w:tcPr>
          <w:p w14:paraId="3E3C716E" w14:textId="77777777" w:rsidR="00001CC8" w:rsidRPr="00E20D21" w:rsidRDefault="00001CC8" w:rsidP="003D64FC">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r>
      <w:tr w:rsidR="001B24C3" w:rsidRPr="00E20D21" w14:paraId="25233212" w14:textId="77777777" w:rsidTr="001B24C3">
        <w:trPr>
          <w:trHeight w:val="283"/>
        </w:trPr>
        <w:tc>
          <w:tcPr>
            <w:tcW w:w="1618" w:type="pct"/>
            <w:tcBorders>
              <w:top w:val="nil"/>
              <w:left w:val="nil"/>
              <w:bottom w:val="nil"/>
              <w:right w:val="nil"/>
            </w:tcBorders>
            <w:shd w:val="clear" w:color="auto" w:fill="auto"/>
            <w:vAlign w:val="center"/>
            <w:hideMark/>
          </w:tcPr>
          <w:p w14:paraId="1C5E781F"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 xml:space="preserve">Imóveis de uso </w:t>
            </w:r>
          </w:p>
        </w:tc>
        <w:tc>
          <w:tcPr>
            <w:tcW w:w="430" w:type="pct"/>
            <w:tcBorders>
              <w:top w:val="nil"/>
              <w:left w:val="nil"/>
              <w:bottom w:val="nil"/>
              <w:right w:val="nil"/>
            </w:tcBorders>
            <w:shd w:val="clear" w:color="auto" w:fill="auto"/>
            <w:vAlign w:val="center"/>
          </w:tcPr>
          <w:p w14:paraId="6F32F0A9" w14:textId="7AFEB886" w:rsidR="00703A90" w:rsidRPr="00E20D21" w:rsidRDefault="00D83CC3" w:rsidP="00703A90">
            <w:pPr>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606" w:type="pct"/>
            <w:tcBorders>
              <w:top w:val="nil"/>
              <w:left w:val="nil"/>
              <w:bottom w:val="nil"/>
              <w:right w:val="nil"/>
            </w:tcBorders>
            <w:shd w:val="clear" w:color="auto" w:fill="auto"/>
            <w:vAlign w:val="center"/>
          </w:tcPr>
          <w:p w14:paraId="10477477" w14:textId="18F9D3EF"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1.803.979</w:t>
            </w:r>
          </w:p>
        </w:tc>
        <w:tc>
          <w:tcPr>
            <w:tcW w:w="656" w:type="pct"/>
            <w:tcBorders>
              <w:top w:val="nil"/>
              <w:left w:val="nil"/>
              <w:bottom w:val="nil"/>
              <w:right w:val="nil"/>
            </w:tcBorders>
            <w:shd w:val="clear" w:color="auto" w:fill="auto"/>
            <w:vAlign w:val="center"/>
          </w:tcPr>
          <w:p w14:paraId="204BB074" w14:textId="434436FD"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(871.117)</w:t>
            </w:r>
          </w:p>
        </w:tc>
        <w:tc>
          <w:tcPr>
            <w:tcW w:w="577" w:type="pct"/>
            <w:tcBorders>
              <w:top w:val="nil"/>
              <w:left w:val="nil"/>
              <w:bottom w:val="nil"/>
              <w:right w:val="nil"/>
            </w:tcBorders>
            <w:shd w:val="clear" w:color="auto" w:fill="auto"/>
            <w:vAlign w:val="center"/>
          </w:tcPr>
          <w:p w14:paraId="12BD26F6" w14:textId="2AFE6679"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(30.245)</w:t>
            </w:r>
          </w:p>
        </w:tc>
        <w:tc>
          <w:tcPr>
            <w:tcW w:w="557" w:type="pct"/>
            <w:tcBorders>
              <w:top w:val="nil"/>
              <w:left w:val="nil"/>
              <w:bottom w:val="nil"/>
              <w:right w:val="nil"/>
            </w:tcBorders>
            <w:shd w:val="clear" w:color="auto" w:fill="auto"/>
            <w:vAlign w:val="center"/>
          </w:tcPr>
          <w:p w14:paraId="7D8C7684" w14:textId="7CADEC45"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902.617</w:t>
            </w:r>
          </w:p>
        </w:tc>
        <w:tc>
          <w:tcPr>
            <w:tcW w:w="555" w:type="pct"/>
            <w:tcBorders>
              <w:top w:val="nil"/>
              <w:left w:val="nil"/>
              <w:bottom w:val="nil"/>
              <w:right w:val="nil"/>
            </w:tcBorders>
            <w:shd w:val="clear" w:color="auto" w:fill="auto"/>
            <w:vAlign w:val="center"/>
          </w:tcPr>
          <w:p w14:paraId="10ABAD47" w14:textId="78EC424B" w:rsidR="00703A90" w:rsidRPr="00E20D21" w:rsidRDefault="00703A90"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908.144</w:t>
            </w:r>
          </w:p>
        </w:tc>
      </w:tr>
      <w:tr w:rsidR="001B24C3" w:rsidRPr="00E20D21" w14:paraId="6598E2F7" w14:textId="77777777" w:rsidTr="001B24C3">
        <w:trPr>
          <w:trHeight w:val="283"/>
        </w:trPr>
        <w:tc>
          <w:tcPr>
            <w:tcW w:w="1618" w:type="pct"/>
            <w:tcBorders>
              <w:top w:val="nil"/>
              <w:left w:val="nil"/>
              <w:bottom w:val="nil"/>
              <w:right w:val="nil"/>
            </w:tcBorders>
            <w:shd w:val="clear" w:color="auto" w:fill="auto"/>
            <w:vAlign w:val="center"/>
            <w:hideMark/>
          </w:tcPr>
          <w:p w14:paraId="524495A2" w14:textId="77777777" w:rsidR="00703A90" w:rsidRPr="00E20D21" w:rsidRDefault="00703A90" w:rsidP="00703A90">
            <w:pPr>
              <w:ind w:firstLineChars="100" w:firstLine="160"/>
              <w:rPr>
                <w:rFonts w:ascii="CAIXA Std Book" w:hAnsi="CAIXA Std Book"/>
                <w:color w:val="005CA9"/>
                <w:sz w:val="16"/>
                <w:szCs w:val="16"/>
              </w:rPr>
            </w:pPr>
            <w:r w:rsidRPr="00E20D21">
              <w:rPr>
                <w:rFonts w:ascii="CAIXA Std Book" w:hAnsi="CAIXA Std Book"/>
                <w:color w:val="005CA9"/>
                <w:sz w:val="16"/>
                <w:szCs w:val="16"/>
              </w:rPr>
              <w:t xml:space="preserve">Edificações </w:t>
            </w:r>
          </w:p>
        </w:tc>
        <w:tc>
          <w:tcPr>
            <w:tcW w:w="430" w:type="pct"/>
            <w:tcBorders>
              <w:top w:val="nil"/>
              <w:left w:val="nil"/>
              <w:bottom w:val="nil"/>
              <w:right w:val="nil"/>
            </w:tcBorders>
            <w:shd w:val="clear" w:color="auto" w:fill="auto"/>
            <w:vAlign w:val="center"/>
          </w:tcPr>
          <w:p w14:paraId="2C2D516D" w14:textId="374E1BBD" w:rsidR="00703A90" w:rsidRPr="00E20D21" w:rsidRDefault="00D83CC3" w:rsidP="00703A90">
            <w:pPr>
              <w:jc w:val="center"/>
              <w:rPr>
                <w:rFonts w:ascii="CAIXA Std Book" w:hAnsi="CAIXA Std Book"/>
                <w:color w:val="005CA9"/>
                <w:sz w:val="16"/>
                <w:szCs w:val="16"/>
              </w:rPr>
            </w:pPr>
            <w:r w:rsidRPr="00E20D21">
              <w:rPr>
                <w:rFonts w:ascii="CAIXA Std Book" w:hAnsi="CAIXA Std Book"/>
                <w:color w:val="005CA9"/>
                <w:sz w:val="16"/>
                <w:szCs w:val="16"/>
              </w:rPr>
              <w:t>25</w:t>
            </w:r>
          </w:p>
        </w:tc>
        <w:tc>
          <w:tcPr>
            <w:tcW w:w="606" w:type="pct"/>
            <w:tcBorders>
              <w:top w:val="nil"/>
              <w:left w:val="nil"/>
              <w:bottom w:val="nil"/>
              <w:right w:val="nil"/>
            </w:tcBorders>
            <w:shd w:val="clear" w:color="auto" w:fill="auto"/>
            <w:vAlign w:val="center"/>
          </w:tcPr>
          <w:p w14:paraId="619999D0" w14:textId="4A8AE120"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1.596.402</w:t>
            </w:r>
          </w:p>
        </w:tc>
        <w:tc>
          <w:tcPr>
            <w:tcW w:w="656" w:type="pct"/>
            <w:tcBorders>
              <w:top w:val="nil"/>
              <w:left w:val="nil"/>
              <w:bottom w:val="nil"/>
              <w:right w:val="nil"/>
            </w:tcBorders>
            <w:shd w:val="clear" w:color="auto" w:fill="auto"/>
            <w:vAlign w:val="center"/>
          </w:tcPr>
          <w:p w14:paraId="5CAEAAE2" w14:textId="4CEB5CB2"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(871.117)</w:t>
            </w:r>
          </w:p>
        </w:tc>
        <w:tc>
          <w:tcPr>
            <w:tcW w:w="577" w:type="pct"/>
            <w:tcBorders>
              <w:top w:val="nil"/>
              <w:left w:val="nil"/>
              <w:bottom w:val="nil"/>
              <w:right w:val="nil"/>
            </w:tcBorders>
            <w:shd w:val="clear" w:color="auto" w:fill="auto"/>
            <w:vAlign w:val="center"/>
          </w:tcPr>
          <w:p w14:paraId="33DE96A4" w14:textId="7C4FEADB"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(28.500)</w:t>
            </w:r>
          </w:p>
        </w:tc>
        <w:tc>
          <w:tcPr>
            <w:tcW w:w="557" w:type="pct"/>
            <w:tcBorders>
              <w:top w:val="nil"/>
              <w:left w:val="nil"/>
              <w:bottom w:val="nil"/>
              <w:right w:val="nil"/>
            </w:tcBorders>
            <w:shd w:val="clear" w:color="auto" w:fill="auto"/>
            <w:vAlign w:val="center"/>
          </w:tcPr>
          <w:p w14:paraId="7D45D2B0" w14:textId="20F1DDBB"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696.785</w:t>
            </w:r>
          </w:p>
        </w:tc>
        <w:tc>
          <w:tcPr>
            <w:tcW w:w="555" w:type="pct"/>
            <w:tcBorders>
              <w:top w:val="nil"/>
              <w:left w:val="nil"/>
              <w:bottom w:val="nil"/>
              <w:right w:val="nil"/>
            </w:tcBorders>
            <w:shd w:val="clear" w:color="auto" w:fill="auto"/>
            <w:vAlign w:val="center"/>
          </w:tcPr>
          <w:p w14:paraId="7AB0A438" w14:textId="29143E70" w:rsidR="00703A90" w:rsidRPr="00E20D21" w:rsidRDefault="00703A90"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701.690</w:t>
            </w:r>
          </w:p>
        </w:tc>
      </w:tr>
      <w:tr w:rsidR="001B24C3" w:rsidRPr="00E20D21" w14:paraId="242E5B9F" w14:textId="77777777" w:rsidTr="001B24C3">
        <w:trPr>
          <w:trHeight w:val="283"/>
        </w:trPr>
        <w:tc>
          <w:tcPr>
            <w:tcW w:w="1618" w:type="pct"/>
            <w:tcBorders>
              <w:top w:val="nil"/>
              <w:left w:val="nil"/>
              <w:bottom w:val="nil"/>
              <w:right w:val="nil"/>
            </w:tcBorders>
            <w:shd w:val="clear" w:color="auto" w:fill="auto"/>
            <w:vAlign w:val="center"/>
            <w:hideMark/>
          </w:tcPr>
          <w:p w14:paraId="354809DA" w14:textId="77777777" w:rsidR="00703A90" w:rsidRPr="00E20D21" w:rsidRDefault="00703A90" w:rsidP="00703A90">
            <w:pPr>
              <w:ind w:firstLineChars="100" w:firstLine="160"/>
              <w:rPr>
                <w:rFonts w:ascii="CAIXA Std Book" w:hAnsi="CAIXA Std Book"/>
                <w:color w:val="005CA9"/>
                <w:sz w:val="16"/>
                <w:szCs w:val="16"/>
              </w:rPr>
            </w:pPr>
            <w:r w:rsidRPr="00E20D21">
              <w:rPr>
                <w:rFonts w:ascii="CAIXA Std Book" w:hAnsi="CAIXA Std Book"/>
                <w:color w:val="005CA9"/>
                <w:sz w:val="16"/>
                <w:szCs w:val="16"/>
              </w:rPr>
              <w:t xml:space="preserve">Terrenos </w:t>
            </w:r>
          </w:p>
        </w:tc>
        <w:tc>
          <w:tcPr>
            <w:tcW w:w="430" w:type="pct"/>
            <w:tcBorders>
              <w:top w:val="nil"/>
              <w:left w:val="nil"/>
              <w:bottom w:val="nil"/>
              <w:right w:val="nil"/>
            </w:tcBorders>
            <w:shd w:val="clear" w:color="auto" w:fill="auto"/>
            <w:vAlign w:val="center"/>
          </w:tcPr>
          <w:p w14:paraId="27AECE28" w14:textId="79D4004F" w:rsidR="00703A90" w:rsidRPr="00E20D21" w:rsidRDefault="00D83CC3" w:rsidP="00703A90">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606" w:type="pct"/>
            <w:tcBorders>
              <w:top w:val="nil"/>
              <w:left w:val="nil"/>
              <w:bottom w:val="nil"/>
              <w:right w:val="nil"/>
            </w:tcBorders>
            <w:shd w:val="clear" w:color="auto" w:fill="auto"/>
            <w:vAlign w:val="center"/>
          </w:tcPr>
          <w:p w14:paraId="7827A5D3" w14:textId="551CCB70"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207.577</w:t>
            </w:r>
          </w:p>
        </w:tc>
        <w:tc>
          <w:tcPr>
            <w:tcW w:w="656" w:type="pct"/>
            <w:tcBorders>
              <w:top w:val="nil"/>
              <w:left w:val="nil"/>
              <w:bottom w:val="nil"/>
              <w:right w:val="nil"/>
            </w:tcBorders>
            <w:shd w:val="clear" w:color="auto" w:fill="auto"/>
            <w:vAlign w:val="center"/>
          </w:tcPr>
          <w:p w14:paraId="241192EE" w14:textId="7A5D8D29" w:rsidR="00703A90" w:rsidRPr="00E20D21" w:rsidRDefault="00924568" w:rsidP="00703A90">
            <w:pPr>
              <w:ind w:firstLineChars="100" w:firstLine="160"/>
              <w:jc w:val="center"/>
              <w:rPr>
                <w:rFonts w:ascii="CAIXA Std Book" w:hAnsi="CAIXA Std Book"/>
                <w:color w:val="005CA9"/>
                <w:sz w:val="16"/>
                <w:szCs w:val="16"/>
              </w:rPr>
            </w:pPr>
            <w:r w:rsidRPr="00E20D21">
              <w:rPr>
                <w:rFonts w:ascii="CAIXA Std Book" w:hAnsi="CAIXA Std Book"/>
                <w:bCs/>
                <w:color w:val="005CA9"/>
                <w:sz w:val="16"/>
                <w:szCs w:val="16"/>
              </w:rPr>
              <w:t>-</w:t>
            </w:r>
          </w:p>
        </w:tc>
        <w:tc>
          <w:tcPr>
            <w:tcW w:w="577" w:type="pct"/>
            <w:tcBorders>
              <w:top w:val="nil"/>
              <w:left w:val="nil"/>
              <w:bottom w:val="nil"/>
              <w:right w:val="nil"/>
            </w:tcBorders>
            <w:shd w:val="clear" w:color="auto" w:fill="auto"/>
            <w:vAlign w:val="center"/>
          </w:tcPr>
          <w:p w14:paraId="513E70ED" w14:textId="4CB56187"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(1.745)</w:t>
            </w:r>
          </w:p>
        </w:tc>
        <w:tc>
          <w:tcPr>
            <w:tcW w:w="557" w:type="pct"/>
            <w:tcBorders>
              <w:top w:val="nil"/>
              <w:left w:val="nil"/>
              <w:bottom w:val="nil"/>
              <w:right w:val="nil"/>
            </w:tcBorders>
            <w:shd w:val="clear" w:color="auto" w:fill="auto"/>
            <w:vAlign w:val="center"/>
          </w:tcPr>
          <w:p w14:paraId="637F2457" w14:textId="656B49B6"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205.832</w:t>
            </w:r>
          </w:p>
        </w:tc>
        <w:tc>
          <w:tcPr>
            <w:tcW w:w="555" w:type="pct"/>
            <w:tcBorders>
              <w:top w:val="nil"/>
              <w:left w:val="nil"/>
              <w:bottom w:val="nil"/>
              <w:right w:val="nil"/>
            </w:tcBorders>
            <w:shd w:val="clear" w:color="auto" w:fill="auto"/>
            <w:vAlign w:val="center"/>
          </w:tcPr>
          <w:p w14:paraId="1FA1FB31" w14:textId="4E68028D" w:rsidR="00703A90" w:rsidRPr="00E20D21" w:rsidRDefault="00703A90"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206.454</w:t>
            </w:r>
          </w:p>
        </w:tc>
      </w:tr>
      <w:tr w:rsidR="001B24C3" w:rsidRPr="00E20D21" w14:paraId="6C149EA0" w14:textId="77777777" w:rsidTr="001B24C3">
        <w:trPr>
          <w:trHeight w:val="283"/>
        </w:trPr>
        <w:tc>
          <w:tcPr>
            <w:tcW w:w="1618" w:type="pct"/>
            <w:tcBorders>
              <w:top w:val="nil"/>
              <w:left w:val="nil"/>
              <w:bottom w:val="nil"/>
              <w:right w:val="nil"/>
            </w:tcBorders>
            <w:shd w:val="clear" w:color="auto" w:fill="auto"/>
            <w:vAlign w:val="center"/>
            <w:hideMark/>
          </w:tcPr>
          <w:p w14:paraId="217DADEB"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Benfeitorias em imóveis de terceiros</w:t>
            </w:r>
          </w:p>
        </w:tc>
        <w:tc>
          <w:tcPr>
            <w:tcW w:w="430" w:type="pct"/>
            <w:tcBorders>
              <w:top w:val="nil"/>
              <w:left w:val="nil"/>
              <w:bottom w:val="nil"/>
              <w:right w:val="nil"/>
            </w:tcBorders>
            <w:shd w:val="clear" w:color="auto" w:fill="auto"/>
            <w:vAlign w:val="center"/>
          </w:tcPr>
          <w:p w14:paraId="6D85CAF6" w14:textId="5FF7CADE" w:rsidR="00703A90" w:rsidRPr="00E20D21" w:rsidRDefault="00D83CC3" w:rsidP="00703A90">
            <w:pPr>
              <w:jc w:val="center"/>
              <w:rPr>
                <w:rFonts w:ascii="CAIXA Std Book" w:hAnsi="CAIXA Std Book"/>
                <w:b/>
                <w:bCs/>
                <w:color w:val="005CA9"/>
                <w:sz w:val="16"/>
                <w:szCs w:val="16"/>
              </w:rPr>
            </w:pPr>
            <w:r w:rsidRPr="00E20D21">
              <w:rPr>
                <w:rFonts w:ascii="CAIXA Std Book" w:hAnsi="CAIXA Std Book"/>
                <w:b/>
                <w:bCs/>
                <w:color w:val="005CA9"/>
                <w:sz w:val="16"/>
                <w:szCs w:val="16"/>
              </w:rPr>
              <w:t>5</w:t>
            </w:r>
          </w:p>
        </w:tc>
        <w:tc>
          <w:tcPr>
            <w:tcW w:w="606" w:type="pct"/>
            <w:tcBorders>
              <w:top w:val="nil"/>
              <w:left w:val="nil"/>
              <w:bottom w:val="nil"/>
              <w:right w:val="nil"/>
            </w:tcBorders>
            <w:shd w:val="clear" w:color="auto" w:fill="auto"/>
            <w:vAlign w:val="center"/>
          </w:tcPr>
          <w:p w14:paraId="40C84138" w14:textId="402E9B3D"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2.464.955</w:t>
            </w:r>
          </w:p>
        </w:tc>
        <w:tc>
          <w:tcPr>
            <w:tcW w:w="656" w:type="pct"/>
            <w:tcBorders>
              <w:top w:val="nil"/>
              <w:left w:val="nil"/>
              <w:bottom w:val="nil"/>
              <w:right w:val="nil"/>
            </w:tcBorders>
            <w:shd w:val="clear" w:color="auto" w:fill="auto"/>
            <w:vAlign w:val="center"/>
          </w:tcPr>
          <w:p w14:paraId="5D7AD2F0" w14:textId="57063EE9"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(1.944.382)</w:t>
            </w:r>
          </w:p>
        </w:tc>
        <w:tc>
          <w:tcPr>
            <w:tcW w:w="577" w:type="pct"/>
            <w:tcBorders>
              <w:top w:val="nil"/>
              <w:left w:val="nil"/>
              <w:bottom w:val="nil"/>
              <w:right w:val="nil"/>
            </w:tcBorders>
            <w:shd w:val="clear" w:color="auto" w:fill="auto"/>
            <w:vAlign w:val="center"/>
          </w:tcPr>
          <w:p w14:paraId="4BFB39F9" w14:textId="25A862FD"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(143)</w:t>
            </w:r>
          </w:p>
        </w:tc>
        <w:tc>
          <w:tcPr>
            <w:tcW w:w="557" w:type="pct"/>
            <w:tcBorders>
              <w:top w:val="nil"/>
              <w:left w:val="nil"/>
              <w:bottom w:val="nil"/>
              <w:right w:val="nil"/>
            </w:tcBorders>
            <w:shd w:val="clear" w:color="auto" w:fill="auto"/>
            <w:vAlign w:val="center"/>
          </w:tcPr>
          <w:p w14:paraId="7FEBD7CD" w14:textId="47EA3E6E"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520.430</w:t>
            </w:r>
          </w:p>
        </w:tc>
        <w:tc>
          <w:tcPr>
            <w:tcW w:w="555" w:type="pct"/>
            <w:tcBorders>
              <w:top w:val="nil"/>
              <w:left w:val="nil"/>
              <w:bottom w:val="nil"/>
              <w:right w:val="nil"/>
            </w:tcBorders>
            <w:shd w:val="clear" w:color="auto" w:fill="auto"/>
            <w:vAlign w:val="center"/>
          </w:tcPr>
          <w:p w14:paraId="15C2C537" w14:textId="5B92F88A" w:rsidR="00703A90" w:rsidRPr="00E20D21" w:rsidRDefault="00703A90"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499.576</w:t>
            </w:r>
          </w:p>
        </w:tc>
      </w:tr>
      <w:tr w:rsidR="001B24C3" w:rsidRPr="00E20D21" w14:paraId="4852A693" w14:textId="77777777" w:rsidTr="001B24C3">
        <w:trPr>
          <w:trHeight w:val="283"/>
        </w:trPr>
        <w:tc>
          <w:tcPr>
            <w:tcW w:w="1618" w:type="pct"/>
            <w:tcBorders>
              <w:top w:val="nil"/>
              <w:left w:val="nil"/>
              <w:bottom w:val="nil"/>
              <w:right w:val="nil"/>
            </w:tcBorders>
            <w:shd w:val="clear" w:color="auto" w:fill="auto"/>
            <w:vAlign w:val="center"/>
            <w:hideMark/>
          </w:tcPr>
          <w:p w14:paraId="6E16638C"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Imobilizações em curso</w:t>
            </w:r>
          </w:p>
        </w:tc>
        <w:tc>
          <w:tcPr>
            <w:tcW w:w="430" w:type="pct"/>
            <w:tcBorders>
              <w:top w:val="nil"/>
              <w:left w:val="nil"/>
              <w:bottom w:val="nil"/>
              <w:right w:val="nil"/>
            </w:tcBorders>
            <w:shd w:val="clear" w:color="auto" w:fill="auto"/>
            <w:vAlign w:val="center"/>
          </w:tcPr>
          <w:p w14:paraId="6BF5E2C6" w14:textId="0069D67C" w:rsidR="00703A90" w:rsidRPr="00E20D21" w:rsidRDefault="00D83CC3" w:rsidP="00703A90">
            <w:pPr>
              <w:jc w:val="center"/>
              <w:rPr>
                <w:rFonts w:ascii="CAIXA Std Book" w:hAnsi="CAIXA Std Book"/>
                <w:b/>
                <w:bCs/>
                <w:color w:val="005CA9"/>
                <w:sz w:val="16"/>
                <w:szCs w:val="16"/>
              </w:rPr>
            </w:pPr>
            <w:r w:rsidRPr="00E20D21">
              <w:rPr>
                <w:rFonts w:ascii="CAIXA Std Book" w:hAnsi="CAIXA Std Book"/>
                <w:b/>
                <w:bCs/>
                <w:color w:val="005CA9"/>
                <w:sz w:val="16"/>
                <w:szCs w:val="16"/>
              </w:rPr>
              <w:t>-</w:t>
            </w:r>
          </w:p>
        </w:tc>
        <w:tc>
          <w:tcPr>
            <w:tcW w:w="606" w:type="pct"/>
            <w:tcBorders>
              <w:top w:val="nil"/>
              <w:left w:val="nil"/>
              <w:bottom w:val="nil"/>
              <w:right w:val="nil"/>
            </w:tcBorders>
            <w:shd w:val="clear" w:color="auto" w:fill="auto"/>
            <w:vAlign w:val="center"/>
          </w:tcPr>
          <w:p w14:paraId="5309BBF1" w14:textId="77560253"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294.029</w:t>
            </w:r>
          </w:p>
        </w:tc>
        <w:tc>
          <w:tcPr>
            <w:tcW w:w="656" w:type="pct"/>
            <w:tcBorders>
              <w:top w:val="nil"/>
              <w:left w:val="nil"/>
              <w:bottom w:val="nil"/>
              <w:right w:val="nil"/>
            </w:tcBorders>
            <w:shd w:val="clear" w:color="auto" w:fill="auto"/>
            <w:vAlign w:val="center"/>
          </w:tcPr>
          <w:p w14:paraId="377BE9B0" w14:textId="39A41B99" w:rsidR="00703A90" w:rsidRPr="00E20D21" w:rsidRDefault="00D83CC3" w:rsidP="00703A90">
            <w:pPr>
              <w:ind w:firstLineChars="100" w:firstLine="160"/>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77" w:type="pct"/>
            <w:tcBorders>
              <w:top w:val="nil"/>
              <w:left w:val="nil"/>
              <w:bottom w:val="nil"/>
              <w:right w:val="nil"/>
            </w:tcBorders>
            <w:shd w:val="clear" w:color="auto" w:fill="auto"/>
            <w:vAlign w:val="center"/>
          </w:tcPr>
          <w:p w14:paraId="27C0D650" w14:textId="67C37E97" w:rsidR="00703A90" w:rsidRPr="00E20D21" w:rsidRDefault="00D83CC3" w:rsidP="00703A90">
            <w:pPr>
              <w:ind w:firstLineChars="100" w:firstLine="160"/>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57" w:type="pct"/>
            <w:tcBorders>
              <w:top w:val="nil"/>
              <w:left w:val="nil"/>
              <w:bottom w:val="nil"/>
              <w:right w:val="nil"/>
            </w:tcBorders>
            <w:shd w:val="clear" w:color="auto" w:fill="auto"/>
            <w:vAlign w:val="center"/>
          </w:tcPr>
          <w:p w14:paraId="2BEA7895" w14:textId="51DC6808"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294.029</w:t>
            </w:r>
          </w:p>
        </w:tc>
        <w:tc>
          <w:tcPr>
            <w:tcW w:w="555" w:type="pct"/>
            <w:tcBorders>
              <w:top w:val="nil"/>
              <w:left w:val="nil"/>
              <w:bottom w:val="nil"/>
              <w:right w:val="nil"/>
            </w:tcBorders>
            <w:shd w:val="clear" w:color="auto" w:fill="auto"/>
            <w:vAlign w:val="center"/>
          </w:tcPr>
          <w:p w14:paraId="5D20A479" w14:textId="6284A6FF" w:rsidR="00703A90" w:rsidRPr="00E20D21" w:rsidRDefault="00703A90"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260.853</w:t>
            </w:r>
          </w:p>
        </w:tc>
      </w:tr>
      <w:tr w:rsidR="001B24C3" w:rsidRPr="00E20D21" w14:paraId="338B1622" w14:textId="77777777" w:rsidTr="001B24C3">
        <w:trPr>
          <w:trHeight w:val="283"/>
        </w:trPr>
        <w:tc>
          <w:tcPr>
            <w:tcW w:w="1618" w:type="pct"/>
            <w:tcBorders>
              <w:top w:val="nil"/>
              <w:left w:val="nil"/>
              <w:bottom w:val="nil"/>
              <w:right w:val="nil"/>
            </w:tcBorders>
            <w:shd w:val="clear" w:color="auto" w:fill="auto"/>
            <w:vAlign w:val="center"/>
            <w:hideMark/>
          </w:tcPr>
          <w:p w14:paraId="25CD2F78"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Móveis e equipamentos de uso</w:t>
            </w:r>
          </w:p>
        </w:tc>
        <w:tc>
          <w:tcPr>
            <w:tcW w:w="430" w:type="pct"/>
            <w:tcBorders>
              <w:top w:val="nil"/>
              <w:left w:val="nil"/>
              <w:bottom w:val="nil"/>
              <w:right w:val="nil"/>
            </w:tcBorders>
            <w:shd w:val="clear" w:color="auto" w:fill="auto"/>
            <w:vAlign w:val="center"/>
          </w:tcPr>
          <w:p w14:paraId="4BA2CECF" w14:textId="0F8FDA71" w:rsidR="00703A90" w:rsidRPr="00E20D21" w:rsidRDefault="00D83CC3" w:rsidP="00703A90">
            <w:pPr>
              <w:jc w:val="center"/>
              <w:rPr>
                <w:rFonts w:ascii="CAIXA Std Book" w:hAnsi="CAIXA Std Book"/>
                <w:b/>
                <w:bCs/>
                <w:color w:val="005CA9"/>
                <w:sz w:val="16"/>
                <w:szCs w:val="16"/>
              </w:rPr>
            </w:pPr>
            <w:r w:rsidRPr="00E20D21">
              <w:rPr>
                <w:rFonts w:ascii="CAIXA Std Book" w:hAnsi="CAIXA Std Book"/>
                <w:b/>
                <w:bCs/>
                <w:color w:val="005CA9"/>
                <w:sz w:val="16"/>
                <w:szCs w:val="16"/>
              </w:rPr>
              <w:t>-</w:t>
            </w:r>
          </w:p>
        </w:tc>
        <w:tc>
          <w:tcPr>
            <w:tcW w:w="606" w:type="pct"/>
            <w:tcBorders>
              <w:top w:val="nil"/>
              <w:left w:val="nil"/>
              <w:bottom w:val="nil"/>
              <w:right w:val="nil"/>
            </w:tcBorders>
            <w:shd w:val="clear" w:color="auto" w:fill="auto"/>
            <w:vAlign w:val="center"/>
          </w:tcPr>
          <w:p w14:paraId="3FE4A83A" w14:textId="1CBBEB3B"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6.436.816</w:t>
            </w:r>
          </w:p>
        </w:tc>
        <w:tc>
          <w:tcPr>
            <w:tcW w:w="656" w:type="pct"/>
            <w:tcBorders>
              <w:top w:val="nil"/>
              <w:left w:val="nil"/>
              <w:bottom w:val="nil"/>
              <w:right w:val="nil"/>
            </w:tcBorders>
            <w:shd w:val="clear" w:color="auto" w:fill="auto"/>
            <w:vAlign w:val="center"/>
          </w:tcPr>
          <w:p w14:paraId="4216886B" w14:textId="703C0987"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(5.310.861)</w:t>
            </w:r>
          </w:p>
        </w:tc>
        <w:tc>
          <w:tcPr>
            <w:tcW w:w="577" w:type="pct"/>
            <w:tcBorders>
              <w:top w:val="nil"/>
              <w:left w:val="nil"/>
              <w:bottom w:val="nil"/>
              <w:right w:val="nil"/>
            </w:tcBorders>
            <w:shd w:val="clear" w:color="auto" w:fill="auto"/>
            <w:vAlign w:val="center"/>
          </w:tcPr>
          <w:p w14:paraId="757C586B" w14:textId="4A466ABE" w:rsidR="00703A90" w:rsidRPr="00E20D21" w:rsidRDefault="00D83CC3" w:rsidP="00703A90">
            <w:pPr>
              <w:ind w:firstLineChars="100" w:firstLine="160"/>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57" w:type="pct"/>
            <w:tcBorders>
              <w:top w:val="nil"/>
              <w:left w:val="nil"/>
              <w:bottom w:val="nil"/>
              <w:right w:val="nil"/>
            </w:tcBorders>
            <w:shd w:val="clear" w:color="auto" w:fill="auto"/>
            <w:vAlign w:val="center"/>
          </w:tcPr>
          <w:p w14:paraId="3E59021F" w14:textId="0A79C7AE"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1.125.955</w:t>
            </w:r>
          </w:p>
        </w:tc>
        <w:tc>
          <w:tcPr>
            <w:tcW w:w="555" w:type="pct"/>
            <w:tcBorders>
              <w:top w:val="nil"/>
              <w:left w:val="nil"/>
              <w:bottom w:val="nil"/>
              <w:right w:val="nil"/>
            </w:tcBorders>
            <w:shd w:val="clear" w:color="auto" w:fill="auto"/>
            <w:vAlign w:val="center"/>
          </w:tcPr>
          <w:p w14:paraId="77B345D6" w14:textId="3383E2B6" w:rsidR="00703A90" w:rsidRPr="00E20D21" w:rsidRDefault="00703A90"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1.045.584</w:t>
            </w:r>
          </w:p>
        </w:tc>
      </w:tr>
      <w:tr w:rsidR="001B24C3" w:rsidRPr="00E20D21" w14:paraId="03875528" w14:textId="77777777" w:rsidTr="001B24C3">
        <w:trPr>
          <w:trHeight w:val="283"/>
        </w:trPr>
        <w:tc>
          <w:tcPr>
            <w:tcW w:w="1618" w:type="pct"/>
            <w:tcBorders>
              <w:top w:val="nil"/>
              <w:left w:val="nil"/>
              <w:bottom w:val="nil"/>
              <w:right w:val="nil"/>
            </w:tcBorders>
            <w:shd w:val="clear" w:color="auto" w:fill="auto"/>
            <w:vAlign w:val="center"/>
            <w:hideMark/>
          </w:tcPr>
          <w:p w14:paraId="79DCE5B3" w14:textId="5CBF9043" w:rsidR="00703A90" w:rsidRPr="00E20D21" w:rsidRDefault="00703A90" w:rsidP="00703A90">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comunicação e de segurança</w:t>
            </w:r>
          </w:p>
        </w:tc>
        <w:tc>
          <w:tcPr>
            <w:tcW w:w="430" w:type="pct"/>
            <w:tcBorders>
              <w:top w:val="nil"/>
              <w:left w:val="nil"/>
              <w:bottom w:val="nil"/>
              <w:right w:val="nil"/>
            </w:tcBorders>
            <w:shd w:val="clear" w:color="auto" w:fill="auto"/>
            <w:vAlign w:val="center"/>
          </w:tcPr>
          <w:p w14:paraId="2A64EB94" w14:textId="7CEE0AB7" w:rsidR="00703A90" w:rsidRPr="00E20D21" w:rsidRDefault="00D83CC3" w:rsidP="00703A90">
            <w:pPr>
              <w:jc w:val="center"/>
              <w:rPr>
                <w:rFonts w:ascii="CAIXA Std Book" w:hAnsi="CAIXA Std Book"/>
                <w:color w:val="005CA9"/>
                <w:sz w:val="16"/>
                <w:szCs w:val="16"/>
              </w:rPr>
            </w:pPr>
            <w:r w:rsidRPr="00E20D21">
              <w:rPr>
                <w:rFonts w:ascii="CAIXA Std Book" w:hAnsi="CAIXA Std Book"/>
                <w:color w:val="005CA9"/>
                <w:sz w:val="16"/>
                <w:szCs w:val="16"/>
              </w:rPr>
              <w:t>5 a 10</w:t>
            </w:r>
          </w:p>
        </w:tc>
        <w:tc>
          <w:tcPr>
            <w:tcW w:w="606" w:type="pct"/>
            <w:tcBorders>
              <w:top w:val="nil"/>
              <w:left w:val="nil"/>
              <w:bottom w:val="nil"/>
              <w:right w:val="nil"/>
            </w:tcBorders>
            <w:shd w:val="clear" w:color="auto" w:fill="auto"/>
            <w:vAlign w:val="center"/>
          </w:tcPr>
          <w:p w14:paraId="7CAE67CD" w14:textId="531E0AA3"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857.193</w:t>
            </w:r>
          </w:p>
        </w:tc>
        <w:tc>
          <w:tcPr>
            <w:tcW w:w="656" w:type="pct"/>
            <w:tcBorders>
              <w:top w:val="nil"/>
              <w:left w:val="nil"/>
              <w:bottom w:val="nil"/>
              <w:right w:val="nil"/>
            </w:tcBorders>
            <w:shd w:val="clear" w:color="auto" w:fill="auto"/>
            <w:vAlign w:val="center"/>
          </w:tcPr>
          <w:p w14:paraId="49D117E9" w14:textId="428AE84E"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(713.301)</w:t>
            </w:r>
          </w:p>
        </w:tc>
        <w:tc>
          <w:tcPr>
            <w:tcW w:w="577" w:type="pct"/>
            <w:tcBorders>
              <w:top w:val="nil"/>
              <w:left w:val="nil"/>
              <w:bottom w:val="nil"/>
              <w:right w:val="nil"/>
            </w:tcBorders>
            <w:shd w:val="clear" w:color="auto" w:fill="auto"/>
            <w:vAlign w:val="center"/>
          </w:tcPr>
          <w:p w14:paraId="758F29F8" w14:textId="65FED10D" w:rsidR="00703A90" w:rsidRPr="00E20D21" w:rsidRDefault="00D83CC3" w:rsidP="00703A90">
            <w:pPr>
              <w:ind w:firstLineChars="100" w:firstLine="160"/>
              <w:jc w:val="center"/>
              <w:rPr>
                <w:rFonts w:ascii="CAIXA Std Book" w:hAnsi="CAIXA Std Book"/>
                <w:color w:val="005CA9"/>
                <w:sz w:val="16"/>
                <w:szCs w:val="16"/>
              </w:rPr>
            </w:pPr>
            <w:r w:rsidRPr="00E20D21">
              <w:rPr>
                <w:rFonts w:ascii="CAIXA Std Book" w:hAnsi="CAIXA Std Book"/>
                <w:bCs/>
                <w:color w:val="005CA9"/>
                <w:sz w:val="16"/>
                <w:szCs w:val="16"/>
              </w:rPr>
              <w:t>-</w:t>
            </w:r>
          </w:p>
        </w:tc>
        <w:tc>
          <w:tcPr>
            <w:tcW w:w="557" w:type="pct"/>
            <w:tcBorders>
              <w:top w:val="nil"/>
              <w:left w:val="nil"/>
              <w:bottom w:val="nil"/>
              <w:right w:val="nil"/>
            </w:tcBorders>
            <w:shd w:val="clear" w:color="auto" w:fill="auto"/>
            <w:vAlign w:val="center"/>
          </w:tcPr>
          <w:p w14:paraId="104A179E" w14:textId="7BA6BBF5"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143.892</w:t>
            </w:r>
          </w:p>
        </w:tc>
        <w:tc>
          <w:tcPr>
            <w:tcW w:w="555" w:type="pct"/>
            <w:tcBorders>
              <w:top w:val="nil"/>
              <w:left w:val="nil"/>
              <w:bottom w:val="nil"/>
              <w:right w:val="nil"/>
            </w:tcBorders>
            <w:shd w:val="clear" w:color="auto" w:fill="auto"/>
            <w:vAlign w:val="center"/>
          </w:tcPr>
          <w:p w14:paraId="0578BA14" w14:textId="576CCFB9" w:rsidR="00703A90" w:rsidRPr="00E20D21" w:rsidRDefault="00703A90"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135.168</w:t>
            </w:r>
          </w:p>
        </w:tc>
      </w:tr>
      <w:tr w:rsidR="001B24C3" w:rsidRPr="00E20D21" w14:paraId="0E3C860D" w14:textId="77777777" w:rsidTr="001B24C3">
        <w:trPr>
          <w:trHeight w:val="283"/>
        </w:trPr>
        <w:tc>
          <w:tcPr>
            <w:tcW w:w="1618" w:type="pct"/>
            <w:tcBorders>
              <w:top w:val="nil"/>
              <w:left w:val="nil"/>
              <w:bottom w:val="nil"/>
              <w:right w:val="nil"/>
            </w:tcBorders>
            <w:shd w:val="clear" w:color="auto" w:fill="auto"/>
            <w:vAlign w:val="center"/>
            <w:hideMark/>
          </w:tcPr>
          <w:p w14:paraId="79DA825F" w14:textId="77777777" w:rsidR="00703A90" w:rsidRPr="00E20D21" w:rsidRDefault="00703A90" w:rsidP="00703A90">
            <w:pPr>
              <w:ind w:firstLineChars="100" w:firstLine="160"/>
              <w:rPr>
                <w:rFonts w:ascii="CAIXA Std Book" w:hAnsi="CAIXA Std Book"/>
                <w:color w:val="005CA9"/>
                <w:sz w:val="16"/>
                <w:szCs w:val="16"/>
              </w:rPr>
            </w:pPr>
            <w:r w:rsidRPr="00E20D21">
              <w:rPr>
                <w:rFonts w:ascii="CAIXA Std Book" w:hAnsi="CAIXA Std Book"/>
                <w:color w:val="005CA9"/>
                <w:sz w:val="16"/>
                <w:szCs w:val="16"/>
              </w:rPr>
              <w:t xml:space="preserve">Sistema de processamento de dados </w:t>
            </w:r>
          </w:p>
        </w:tc>
        <w:tc>
          <w:tcPr>
            <w:tcW w:w="430" w:type="pct"/>
            <w:tcBorders>
              <w:top w:val="nil"/>
              <w:left w:val="nil"/>
              <w:bottom w:val="nil"/>
              <w:right w:val="nil"/>
            </w:tcBorders>
            <w:shd w:val="clear" w:color="auto" w:fill="auto"/>
            <w:vAlign w:val="center"/>
          </w:tcPr>
          <w:p w14:paraId="4EC8621C" w14:textId="468596D9" w:rsidR="00703A90" w:rsidRPr="00E20D21" w:rsidRDefault="00D83CC3" w:rsidP="00703A90">
            <w:pPr>
              <w:jc w:val="center"/>
              <w:rPr>
                <w:rFonts w:ascii="CAIXA Std Book" w:hAnsi="CAIXA Std Book"/>
                <w:color w:val="005CA9"/>
                <w:sz w:val="16"/>
                <w:szCs w:val="16"/>
              </w:rPr>
            </w:pPr>
            <w:r w:rsidRPr="00E20D21">
              <w:rPr>
                <w:rFonts w:ascii="CAIXA Std Book" w:hAnsi="CAIXA Std Book"/>
                <w:color w:val="005CA9"/>
                <w:sz w:val="16"/>
                <w:szCs w:val="16"/>
              </w:rPr>
              <w:t>5</w:t>
            </w:r>
          </w:p>
        </w:tc>
        <w:tc>
          <w:tcPr>
            <w:tcW w:w="606" w:type="pct"/>
            <w:tcBorders>
              <w:top w:val="nil"/>
              <w:left w:val="nil"/>
              <w:bottom w:val="nil"/>
              <w:right w:val="nil"/>
            </w:tcBorders>
            <w:shd w:val="clear" w:color="auto" w:fill="auto"/>
            <w:vAlign w:val="center"/>
          </w:tcPr>
          <w:p w14:paraId="78689FB7" w14:textId="0DF8CB97"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5.579.623</w:t>
            </w:r>
          </w:p>
        </w:tc>
        <w:tc>
          <w:tcPr>
            <w:tcW w:w="656" w:type="pct"/>
            <w:tcBorders>
              <w:top w:val="nil"/>
              <w:left w:val="nil"/>
              <w:bottom w:val="nil"/>
              <w:right w:val="nil"/>
            </w:tcBorders>
            <w:shd w:val="clear" w:color="auto" w:fill="auto"/>
            <w:vAlign w:val="center"/>
          </w:tcPr>
          <w:p w14:paraId="60C41DA0" w14:textId="1CA721A5"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(4.597.560)</w:t>
            </w:r>
          </w:p>
        </w:tc>
        <w:tc>
          <w:tcPr>
            <w:tcW w:w="577" w:type="pct"/>
            <w:tcBorders>
              <w:top w:val="nil"/>
              <w:left w:val="nil"/>
              <w:bottom w:val="nil"/>
              <w:right w:val="nil"/>
            </w:tcBorders>
            <w:shd w:val="clear" w:color="auto" w:fill="auto"/>
            <w:vAlign w:val="center"/>
          </w:tcPr>
          <w:p w14:paraId="5EB15D90" w14:textId="52C27CD9" w:rsidR="00703A90" w:rsidRPr="00E20D21" w:rsidRDefault="00D83CC3" w:rsidP="00703A90">
            <w:pPr>
              <w:ind w:firstLineChars="100" w:firstLine="160"/>
              <w:jc w:val="center"/>
              <w:rPr>
                <w:rFonts w:ascii="CAIXA Std Book" w:hAnsi="CAIXA Std Book"/>
                <w:color w:val="005CA9"/>
                <w:sz w:val="16"/>
                <w:szCs w:val="16"/>
              </w:rPr>
            </w:pPr>
            <w:r w:rsidRPr="00E20D21">
              <w:rPr>
                <w:rFonts w:ascii="CAIXA Std Book" w:hAnsi="CAIXA Std Book"/>
                <w:bCs/>
                <w:color w:val="005CA9"/>
                <w:sz w:val="16"/>
                <w:szCs w:val="16"/>
              </w:rPr>
              <w:t>-</w:t>
            </w:r>
          </w:p>
        </w:tc>
        <w:tc>
          <w:tcPr>
            <w:tcW w:w="557" w:type="pct"/>
            <w:tcBorders>
              <w:top w:val="nil"/>
              <w:left w:val="nil"/>
              <w:bottom w:val="nil"/>
              <w:right w:val="nil"/>
            </w:tcBorders>
            <w:shd w:val="clear" w:color="auto" w:fill="auto"/>
            <w:vAlign w:val="center"/>
          </w:tcPr>
          <w:p w14:paraId="555F405E" w14:textId="0A3C7CBB" w:rsidR="00703A90" w:rsidRPr="00E20D21" w:rsidRDefault="00D83CC3" w:rsidP="00703A90">
            <w:pPr>
              <w:ind w:firstLineChars="100" w:firstLine="160"/>
              <w:jc w:val="right"/>
              <w:rPr>
                <w:rFonts w:ascii="CAIXA Std Book" w:hAnsi="CAIXA Std Book"/>
                <w:color w:val="005CA9"/>
                <w:sz w:val="16"/>
                <w:szCs w:val="16"/>
              </w:rPr>
            </w:pPr>
            <w:r w:rsidRPr="00E20D21">
              <w:rPr>
                <w:rFonts w:ascii="CAIXA Std Book" w:hAnsi="CAIXA Std Book"/>
                <w:bCs/>
                <w:color w:val="005CA9"/>
                <w:sz w:val="16"/>
                <w:szCs w:val="16"/>
              </w:rPr>
              <w:t>982.063</w:t>
            </w:r>
          </w:p>
        </w:tc>
        <w:tc>
          <w:tcPr>
            <w:tcW w:w="555" w:type="pct"/>
            <w:tcBorders>
              <w:top w:val="nil"/>
              <w:left w:val="nil"/>
              <w:bottom w:val="nil"/>
              <w:right w:val="nil"/>
            </w:tcBorders>
            <w:shd w:val="clear" w:color="auto" w:fill="auto"/>
            <w:vAlign w:val="center"/>
          </w:tcPr>
          <w:p w14:paraId="423534EF" w14:textId="6C1886EA" w:rsidR="00703A90" w:rsidRPr="00E20D21" w:rsidRDefault="00703A90"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910.416</w:t>
            </w:r>
          </w:p>
        </w:tc>
      </w:tr>
      <w:tr w:rsidR="001B24C3" w:rsidRPr="00E20D21" w14:paraId="017B8876" w14:textId="77777777" w:rsidTr="001B24C3">
        <w:trPr>
          <w:trHeight w:val="283"/>
        </w:trPr>
        <w:tc>
          <w:tcPr>
            <w:tcW w:w="1618" w:type="pct"/>
            <w:tcBorders>
              <w:top w:val="nil"/>
              <w:left w:val="nil"/>
              <w:bottom w:val="nil"/>
              <w:right w:val="nil"/>
            </w:tcBorders>
            <w:shd w:val="clear" w:color="auto" w:fill="auto"/>
            <w:vAlign w:val="center"/>
            <w:hideMark/>
          </w:tcPr>
          <w:p w14:paraId="44800D3C"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Móveis em estoque e outros equipamentos</w:t>
            </w:r>
          </w:p>
        </w:tc>
        <w:tc>
          <w:tcPr>
            <w:tcW w:w="430" w:type="pct"/>
            <w:tcBorders>
              <w:top w:val="nil"/>
              <w:left w:val="nil"/>
              <w:bottom w:val="nil"/>
              <w:right w:val="nil"/>
            </w:tcBorders>
            <w:shd w:val="clear" w:color="auto" w:fill="auto"/>
            <w:vAlign w:val="center"/>
          </w:tcPr>
          <w:p w14:paraId="7F887DAD" w14:textId="4D89DAFD" w:rsidR="00703A90" w:rsidRPr="00E20D21" w:rsidRDefault="00D83CC3" w:rsidP="00703A90">
            <w:pPr>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606" w:type="pct"/>
            <w:tcBorders>
              <w:top w:val="nil"/>
              <w:left w:val="nil"/>
              <w:bottom w:val="nil"/>
              <w:right w:val="nil"/>
            </w:tcBorders>
            <w:shd w:val="clear" w:color="auto" w:fill="auto"/>
            <w:vAlign w:val="center"/>
          </w:tcPr>
          <w:p w14:paraId="324A4F9B" w14:textId="3CA2F992"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787.309</w:t>
            </w:r>
          </w:p>
        </w:tc>
        <w:tc>
          <w:tcPr>
            <w:tcW w:w="656" w:type="pct"/>
            <w:tcBorders>
              <w:top w:val="nil"/>
              <w:left w:val="nil"/>
              <w:bottom w:val="nil"/>
              <w:right w:val="nil"/>
            </w:tcBorders>
            <w:shd w:val="clear" w:color="auto" w:fill="auto"/>
            <w:vAlign w:val="center"/>
          </w:tcPr>
          <w:p w14:paraId="67DCCD97" w14:textId="534D31D3"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(557.982)</w:t>
            </w:r>
          </w:p>
        </w:tc>
        <w:tc>
          <w:tcPr>
            <w:tcW w:w="577" w:type="pct"/>
            <w:tcBorders>
              <w:top w:val="nil"/>
              <w:left w:val="nil"/>
              <w:bottom w:val="nil"/>
              <w:right w:val="nil"/>
            </w:tcBorders>
            <w:shd w:val="clear" w:color="auto" w:fill="auto"/>
            <w:vAlign w:val="center"/>
          </w:tcPr>
          <w:p w14:paraId="1CC8035B" w14:textId="537D590C"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(9.087)</w:t>
            </w:r>
          </w:p>
        </w:tc>
        <w:tc>
          <w:tcPr>
            <w:tcW w:w="557" w:type="pct"/>
            <w:tcBorders>
              <w:top w:val="nil"/>
              <w:left w:val="nil"/>
              <w:bottom w:val="nil"/>
              <w:right w:val="nil"/>
            </w:tcBorders>
            <w:shd w:val="clear" w:color="auto" w:fill="auto"/>
            <w:vAlign w:val="center"/>
          </w:tcPr>
          <w:p w14:paraId="40358A4F" w14:textId="0ACE02B2"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220.240</w:t>
            </w:r>
          </w:p>
        </w:tc>
        <w:tc>
          <w:tcPr>
            <w:tcW w:w="555" w:type="pct"/>
            <w:tcBorders>
              <w:top w:val="nil"/>
              <w:left w:val="nil"/>
              <w:bottom w:val="single" w:sz="4" w:space="0" w:color="F39200"/>
              <w:right w:val="nil"/>
            </w:tcBorders>
            <w:shd w:val="clear" w:color="auto" w:fill="auto"/>
            <w:vAlign w:val="center"/>
          </w:tcPr>
          <w:p w14:paraId="6107C0C7" w14:textId="0D696408" w:rsidR="00703A90" w:rsidRPr="00E20D21" w:rsidRDefault="00703A90"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188.569</w:t>
            </w:r>
          </w:p>
        </w:tc>
      </w:tr>
      <w:tr w:rsidR="001B24C3" w:rsidRPr="00E20D21" w14:paraId="04CE47E3" w14:textId="77777777" w:rsidTr="001B24C3">
        <w:trPr>
          <w:trHeight w:val="283"/>
        </w:trPr>
        <w:tc>
          <w:tcPr>
            <w:tcW w:w="1618" w:type="pct"/>
            <w:tcBorders>
              <w:top w:val="single" w:sz="4" w:space="0" w:color="F39200"/>
              <w:left w:val="nil"/>
              <w:bottom w:val="single" w:sz="4" w:space="0" w:color="F39200"/>
              <w:right w:val="nil"/>
            </w:tcBorders>
            <w:shd w:val="clear" w:color="auto" w:fill="auto"/>
            <w:vAlign w:val="center"/>
            <w:hideMark/>
          </w:tcPr>
          <w:p w14:paraId="7B2EB523"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 xml:space="preserve">Total </w:t>
            </w:r>
          </w:p>
        </w:tc>
        <w:tc>
          <w:tcPr>
            <w:tcW w:w="430" w:type="pct"/>
            <w:tcBorders>
              <w:top w:val="single" w:sz="4" w:space="0" w:color="F39200"/>
              <w:left w:val="nil"/>
              <w:bottom w:val="single" w:sz="4" w:space="0" w:color="F39200"/>
              <w:right w:val="nil"/>
            </w:tcBorders>
            <w:shd w:val="clear" w:color="auto" w:fill="auto"/>
            <w:vAlign w:val="center"/>
          </w:tcPr>
          <w:p w14:paraId="49E7E83E" w14:textId="255D01DD" w:rsidR="00703A90" w:rsidRPr="00E20D21" w:rsidRDefault="00703A90" w:rsidP="00703A90">
            <w:pPr>
              <w:jc w:val="center"/>
              <w:rPr>
                <w:rFonts w:ascii="CAIXA Std Book" w:hAnsi="CAIXA Std Book"/>
                <w:b/>
                <w:color w:val="005CA9"/>
                <w:sz w:val="16"/>
                <w:szCs w:val="16"/>
              </w:rPr>
            </w:pPr>
          </w:p>
        </w:tc>
        <w:tc>
          <w:tcPr>
            <w:tcW w:w="606" w:type="pct"/>
            <w:tcBorders>
              <w:top w:val="single" w:sz="4" w:space="0" w:color="F39200"/>
              <w:left w:val="nil"/>
              <w:bottom w:val="single" w:sz="4" w:space="0" w:color="F39200"/>
              <w:right w:val="nil"/>
            </w:tcBorders>
            <w:shd w:val="clear" w:color="auto" w:fill="auto"/>
            <w:vAlign w:val="center"/>
          </w:tcPr>
          <w:p w14:paraId="60C56086" w14:textId="1C4A1845"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11.787.088</w:t>
            </w:r>
          </w:p>
        </w:tc>
        <w:tc>
          <w:tcPr>
            <w:tcW w:w="656" w:type="pct"/>
            <w:tcBorders>
              <w:top w:val="single" w:sz="4" w:space="0" w:color="F39200"/>
              <w:left w:val="nil"/>
              <w:bottom w:val="single" w:sz="4" w:space="0" w:color="F39200"/>
              <w:right w:val="nil"/>
            </w:tcBorders>
            <w:shd w:val="clear" w:color="auto" w:fill="auto"/>
            <w:vAlign w:val="center"/>
          </w:tcPr>
          <w:p w14:paraId="0F14D1E5" w14:textId="6191CBFB"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(8.684.342)</w:t>
            </w:r>
          </w:p>
        </w:tc>
        <w:tc>
          <w:tcPr>
            <w:tcW w:w="577" w:type="pct"/>
            <w:tcBorders>
              <w:top w:val="single" w:sz="4" w:space="0" w:color="F39200"/>
              <w:left w:val="nil"/>
              <w:bottom w:val="single" w:sz="4" w:space="0" w:color="F39200"/>
              <w:right w:val="nil"/>
            </w:tcBorders>
            <w:shd w:val="clear" w:color="auto" w:fill="auto"/>
            <w:vAlign w:val="center"/>
          </w:tcPr>
          <w:p w14:paraId="2CC4F02C" w14:textId="314B4FE0"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(39.475)</w:t>
            </w:r>
          </w:p>
        </w:tc>
        <w:tc>
          <w:tcPr>
            <w:tcW w:w="557" w:type="pct"/>
            <w:tcBorders>
              <w:top w:val="single" w:sz="4" w:space="0" w:color="F39200"/>
              <w:left w:val="nil"/>
              <w:bottom w:val="single" w:sz="4" w:space="0" w:color="F39200"/>
              <w:right w:val="nil"/>
            </w:tcBorders>
            <w:shd w:val="clear" w:color="auto" w:fill="auto"/>
            <w:vAlign w:val="center"/>
          </w:tcPr>
          <w:p w14:paraId="1A3E8162" w14:textId="3144093C" w:rsidR="00703A90" w:rsidRPr="00E20D21" w:rsidRDefault="00D83CC3" w:rsidP="00703A90">
            <w:pPr>
              <w:ind w:firstLineChars="100" w:firstLine="160"/>
              <w:jc w:val="right"/>
              <w:rPr>
                <w:rFonts w:ascii="CAIXA Std Book" w:hAnsi="CAIXA Std Book"/>
                <w:b/>
                <w:color w:val="005CA9"/>
                <w:sz w:val="16"/>
                <w:szCs w:val="16"/>
              </w:rPr>
            </w:pPr>
            <w:r w:rsidRPr="00E20D21">
              <w:rPr>
                <w:rFonts w:ascii="CAIXA Std Book" w:hAnsi="CAIXA Std Book"/>
                <w:b/>
                <w:color w:val="005CA9"/>
                <w:sz w:val="16"/>
                <w:szCs w:val="16"/>
              </w:rPr>
              <w:t>3.063.271</w:t>
            </w:r>
          </w:p>
        </w:tc>
        <w:tc>
          <w:tcPr>
            <w:tcW w:w="555" w:type="pct"/>
            <w:tcBorders>
              <w:top w:val="nil"/>
              <w:left w:val="nil"/>
              <w:bottom w:val="single" w:sz="4" w:space="0" w:color="F39200"/>
              <w:right w:val="nil"/>
            </w:tcBorders>
            <w:shd w:val="clear" w:color="auto" w:fill="auto"/>
            <w:vAlign w:val="center"/>
          </w:tcPr>
          <w:p w14:paraId="6AF64552" w14:textId="73862042" w:rsidR="00703A90" w:rsidRPr="00E20D21" w:rsidRDefault="00703A90"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2.902.726</w:t>
            </w:r>
          </w:p>
        </w:tc>
      </w:tr>
    </w:tbl>
    <w:p w14:paraId="01A60C39" w14:textId="77777777" w:rsidR="00E93A21" w:rsidRPr="00E20D21" w:rsidRDefault="00E93A21" w:rsidP="00E93A21">
      <w:pPr>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3116"/>
        <w:gridCol w:w="835"/>
        <w:gridCol w:w="1122"/>
        <w:gridCol w:w="1263"/>
        <w:gridCol w:w="1122"/>
        <w:gridCol w:w="1070"/>
        <w:gridCol w:w="1110"/>
      </w:tblGrid>
      <w:tr w:rsidR="00A47C19" w:rsidRPr="00E20D21" w14:paraId="414D1A37" w14:textId="77777777" w:rsidTr="00731DED">
        <w:trPr>
          <w:trHeight w:val="283"/>
        </w:trPr>
        <w:tc>
          <w:tcPr>
            <w:tcW w:w="5000" w:type="pct"/>
            <w:gridSpan w:val="7"/>
            <w:tcBorders>
              <w:top w:val="single" w:sz="4" w:space="0" w:color="F39200"/>
              <w:left w:val="nil"/>
              <w:bottom w:val="single" w:sz="4" w:space="0" w:color="F39200"/>
              <w:right w:val="nil"/>
            </w:tcBorders>
            <w:shd w:val="clear" w:color="auto" w:fill="auto"/>
            <w:vAlign w:val="center"/>
            <w:hideMark/>
          </w:tcPr>
          <w:p w14:paraId="37FB5DE0" w14:textId="77777777" w:rsidR="00E93A21" w:rsidRPr="00E20D21" w:rsidRDefault="00E93A21" w:rsidP="00441B2D">
            <w:pPr>
              <w:jc w:val="center"/>
              <w:rPr>
                <w:rFonts w:ascii="CAIXA Std Book" w:hAnsi="CAIXA Std Book"/>
                <w:b/>
                <w:color w:val="005CA9"/>
                <w:sz w:val="16"/>
                <w:szCs w:val="16"/>
              </w:rPr>
            </w:pPr>
            <w:r w:rsidRPr="00E20D21">
              <w:rPr>
                <w:rFonts w:ascii="CAIXA Std Book" w:hAnsi="CAIXA Std Book"/>
                <w:b/>
                <w:color w:val="005CA9"/>
                <w:sz w:val="16"/>
                <w:szCs w:val="16"/>
              </w:rPr>
              <w:t>CONSOLIDADO</w:t>
            </w:r>
          </w:p>
        </w:tc>
      </w:tr>
      <w:tr w:rsidR="00A47C19" w:rsidRPr="00E20D21" w14:paraId="55F2FF63" w14:textId="77777777" w:rsidTr="00731DED">
        <w:trPr>
          <w:trHeight w:val="283"/>
        </w:trPr>
        <w:tc>
          <w:tcPr>
            <w:tcW w:w="1617" w:type="pct"/>
            <w:vMerge w:val="restart"/>
            <w:tcBorders>
              <w:top w:val="nil"/>
              <w:left w:val="nil"/>
              <w:bottom w:val="single" w:sz="4" w:space="0" w:color="F39200"/>
              <w:right w:val="nil"/>
            </w:tcBorders>
            <w:shd w:val="clear" w:color="auto" w:fill="auto"/>
            <w:vAlign w:val="center"/>
            <w:hideMark/>
          </w:tcPr>
          <w:p w14:paraId="45F38087" w14:textId="77777777" w:rsidR="00E93A21" w:rsidRPr="00E20D21" w:rsidRDefault="00E93A21" w:rsidP="00441B2D">
            <w:pPr>
              <w:jc w:val="center"/>
              <w:rPr>
                <w:rFonts w:ascii="CAIXA Std Book" w:hAnsi="CAIXA Std Book"/>
                <w:b/>
                <w:color w:val="005CA9"/>
                <w:sz w:val="16"/>
                <w:szCs w:val="16"/>
              </w:rPr>
            </w:pPr>
            <w:r w:rsidRPr="00E20D21">
              <w:rPr>
                <w:rFonts w:ascii="CAIXA Std Book" w:hAnsi="CAIXA Std Book"/>
                <w:b/>
                <w:color w:val="005CA9"/>
                <w:sz w:val="16"/>
                <w:szCs w:val="16"/>
              </w:rPr>
              <w:t xml:space="preserve">Descrição </w:t>
            </w:r>
          </w:p>
        </w:tc>
        <w:tc>
          <w:tcPr>
            <w:tcW w:w="433" w:type="pct"/>
            <w:vMerge w:val="restart"/>
            <w:tcBorders>
              <w:top w:val="nil"/>
              <w:left w:val="nil"/>
              <w:bottom w:val="single" w:sz="4" w:space="0" w:color="F39200"/>
              <w:right w:val="nil"/>
            </w:tcBorders>
            <w:shd w:val="clear" w:color="auto" w:fill="auto"/>
            <w:vAlign w:val="center"/>
            <w:hideMark/>
          </w:tcPr>
          <w:p w14:paraId="29969F00" w14:textId="77777777" w:rsidR="00E93A21" w:rsidRPr="00E20D21" w:rsidRDefault="00E93A21" w:rsidP="00441B2D">
            <w:pPr>
              <w:jc w:val="center"/>
              <w:rPr>
                <w:rFonts w:ascii="CAIXA Std Book" w:hAnsi="CAIXA Std Book"/>
                <w:b/>
                <w:color w:val="005CA9"/>
                <w:sz w:val="16"/>
                <w:szCs w:val="16"/>
              </w:rPr>
            </w:pPr>
            <w:r w:rsidRPr="00E20D21">
              <w:rPr>
                <w:rFonts w:ascii="CAIXA Std Book" w:hAnsi="CAIXA Std Book"/>
                <w:b/>
                <w:color w:val="005CA9"/>
                <w:sz w:val="16"/>
                <w:szCs w:val="16"/>
              </w:rPr>
              <w:t>Vida útil (em anos)</w:t>
            </w:r>
          </w:p>
        </w:tc>
        <w:tc>
          <w:tcPr>
            <w:tcW w:w="2374" w:type="pct"/>
            <w:gridSpan w:val="4"/>
            <w:tcBorders>
              <w:top w:val="single" w:sz="4" w:space="0" w:color="F39200"/>
              <w:left w:val="nil"/>
              <w:bottom w:val="single" w:sz="4" w:space="0" w:color="F39200"/>
              <w:right w:val="nil"/>
            </w:tcBorders>
            <w:shd w:val="clear" w:color="auto" w:fill="auto"/>
            <w:vAlign w:val="center"/>
            <w:hideMark/>
          </w:tcPr>
          <w:p w14:paraId="125E8251" w14:textId="7AE7DC9D" w:rsidR="00E93A21" w:rsidRPr="00E20D21" w:rsidRDefault="00703A90" w:rsidP="00441B2D">
            <w:pPr>
              <w:jc w:val="center"/>
              <w:rPr>
                <w:rFonts w:ascii="CAIXA Std Book" w:hAnsi="CAIXA Std Book"/>
                <w:b/>
                <w:color w:val="005CA9"/>
                <w:sz w:val="16"/>
                <w:szCs w:val="16"/>
              </w:rPr>
            </w:pPr>
            <w:r w:rsidRPr="00E20D21">
              <w:rPr>
                <w:rFonts w:ascii="CAIXA Std Book" w:hAnsi="CAIXA Std Book"/>
                <w:b/>
                <w:color w:val="005CA9"/>
                <w:sz w:val="16"/>
                <w:szCs w:val="16"/>
              </w:rPr>
              <w:t>30/06/2024</w:t>
            </w:r>
          </w:p>
        </w:tc>
        <w:tc>
          <w:tcPr>
            <w:tcW w:w="576" w:type="pct"/>
            <w:tcBorders>
              <w:top w:val="nil"/>
              <w:left w:val="nil"/>
              <w:bottom w:val="single" w:sz="4" w:space="0" w:color="F39200"/>
              <w:right w:val="nil"/>
            </w:tcBorders>
            <w:shd w:val="clear" w:color="auto" w:fill="auto"/>
            <w:vAlign w:val="center"/>
            <w:hideMark/>
          </w:tcPr>
          <w:p w14:paraId="4EBA238F" w14:textId="771C47DE" w:rsidR="00E93A21" w:rsidRPr="00E20D21" w:rsidRDefault="00E93A21" w:rsidP="00441B2D">
            <w:pPr>
              <w:jc w:val="center"/>
              <w:rPr>
                <w:rFonts w:ascii="CAIXA Std Book" w:hAnsi="CAIXA Std Book"/>
                <w:b/>
                <w:color w:val="005CA9"/>
                <w:sz w:val="16"/>
                <w:szCs w:val="16"/>
              </w:rPr>
            </w:pPr>
            <w:r w:rsidRPr="00E20D21">
              <w:rPr>
                <w:rFonts w:ascii="CAIXA Std Book" w:hAnsi="CAIXA Std Book"/>
                <w:b/>
                <w:color w:val="005CA9"/>
                <w:sz w:val="16"/>
                <w:szCs w:val="16"/>
              </w:rPr>
              <w:t>31/12/202</w:t>
            </w:r>
            <w:r w:rsidR="00703A90" w:rsidRPr="00E20D21">
              <w:rPr>
                <w:rFonts w:ascii="CAIXA Std Book" w:hAnsi="CAIXA Std Book"/>
                <w:b/>
                <w:color w:val="005CA9"/>
                <w:sz w:val="16"/>
                <w:szCs w:val="16"/>
              </w:rPr>
              <w:t>3</w:t>
            </w:r>
          </w:p>
        </w:tc>
      </w:tr>
      <w:tr w:rsidR="00A47C19" w:rsidRPr="00E20D21" w14:paraId="418B59F1" w14:textId="77777777" w:rsidTr="00731DED">
        <w:trPr>
          <w:trHeight w:val="283"/>
        </w:trPr>
        <w:tc>
          <w:tcPr>
            <w:tcW w:w="1617" w:type="pct"/>
            <w:vMerge/>
            <w:tcBorders>
              <w:top w:val="nil"/>
              <w:left w:val="nil"/>
              <w:bottom w:val="single" w:sz="4" w:space="0" w:color="F39200"/>
              <w:right w:val="nil"/>
            </w:tcBorders>
            <w:vAlign w:val="center"/>
            <w:hideMark/>
          </w:tcPr>
          <w:p w14:paraId="663C5C05" w14:textId="77777777" w:rsidR="00E93A21" w:rsidRPr="00E20D21" w:rsidRDefault="00E93A21" w:rsidP="00441B2D">
            <w:pPr>
              <w:rPr>
                <w:rFonts w:ascii="CAIXA Std Book" w:hAnsi="CAIXA Std Book"/>
                <w:b/>
                <w:color w:val="005CA9"/>
                <w:sz w:val="16"/>
                <w:szCs w:val="16"/>
              </w:rPr>
            </w:pPr>
          </w:p>
        </w:tc>
        <w:tc>
          <w:tcPr>
            <w:tcW w:w="433" w:type="pct"/>
            <w:vMerge/>
            <w:tcBorders>
              <w:top w:val="nil"/>
              <w:left w:val="nil"/>
              <w:bottom w:val="single" w:sz="4" w:space="0" w:color="F39200"/>
              <w:right w:val="nil"/>
            </w:tcBorders>
            <w:vAlign w:val="center"/>
            <w:hideMark/>
          </w:tcPr>
          <w:p w14:paraId="34A30A9A" w14:textId="77777777" w:rsidR="00E93A21" w:rsidRPr="00E20D21" w:rsidRDefault="00E93A21" w:rsidP="00441B2D">
            <w:pPr>
              <w:jc w:val="center"/>
              <w:rPr>
                <w:rFonts w:ascii="CAIXA Std Book" w:hAnsi="CAIXA Std Book"/>
                <w:b/>
                <w:color w:val="005CA9"/>
                <w:sz w:val="16"/>
                <w:szCs w:val="16"/>
              </w:rPr>
            </w:pPr>
          </w:p>
        </w:tc>
        <w:tc>
          <w:tcPr>
            <w:tcW w:w="582" w:type="pct"/>
            <w:tcBorders>
              <w:top w:val="nil"/>
              <w:left w:val="nil"/>
              <w:bottom w:val="single" w:sz="4" w:space="0" w:color="F39200"/>
              <w:right w:val="nil"/>
            </w:tcBorders>
            <w:shd w:val="clear" w:color="auto" w:fill="auto"/>
            <w:vAlign w:val="center"/>
            <w:hideMark/>
          </w:tcPr>
          <w:p w14:paraId="6DDA872A" w14:textId="77777777" w:rsidR="00E93A21" w:rsidRPr="00E20D21" w:rsidRDefault="00E93A21" w:rsidP="00441B2D">
            <w:pPr>
              <w:jc w:val="center"/>
              <w:rPr>
                <w:rFonts w:ascii="CAIXA Std Book" w:hAnsi="CAIXA Std Book"/>
                <w:b/>
                <w:color w:val="005CA9"/>
                <w:sz w:val="16"/>
                <w:szCs w:val="16"/>
              </w:rPr>
            </w:pPr>
            <w:r w:rsidRPr="00E20D21">
              <w:rPr>
                <w:rFonts w:ascii="CAIXA Std Book" w:hAnsi="CAIXA Std Book"/>
                <w:b/>
                <w:color w:val="005CA9"/>
                <w:sz w:val="16"/>
                <w:szCs w:val="16"/>
              </w:rPr>
              <w:t>Custo</w:t>
            </w:r>
          </w:p>
        </w:tc>
        <w:tc>
          <w:tcPr>
            <w:tcW w:w="655" w:type="pct"/>
            <w:tcBorders>
              <w:top w:val="nil"/>
              <w:left w:val="nil"/>
              <w:bottom w:val="single" w:sz="4" w:space="0" w:color="F39200"/>
              <w:right w:val="nil"/>
            </w:tcBorders>
            <w:shd w:val="clear" w:color="auto" w:fill="auto"/>
            <w:vAlign w:val="center"/>
            <w:hideMark/>
          </w:tcPr>
          <w:p w14:paraId="73805290" w14:textId="77777777" w:rsidR="00E93A21" w:rsidRPr="00E20D21" w:rsidRDefault="00E93A21" w:rsidP="00441B2D">
            <w:pPr>
              <w:jc w:val="center"/>
              <w:rPr>
                <w:rFonts w:ascii="CAIXA Std Book" w:hAnsi="CAIXA Std Book"/>
                <w:b/>
                <w:color w:val="005CA9"/>
                <w:sz w:val="16"/>
                <w:szCs w:val="16"/>
              </w:rPr>
            </w:pPr>
            <w:r w:rsidRPr="00E20D21">
              <w:rPr>
                <w:rFonts w:ascii="CAIXA Std Book" w:hAnsi="CAIXA Std Book"/>
                <w:b/>
                <w:color w:val="005CA9"/>
                <w:sz w:val="16"/>
                <w:szCs w:val="16"/>
              </w:rPr>
              <w:t xml:space="preserve">Depreciação </w:t>
            </w:r>
          </w:p>
        </w:tc>
        <w:tc>
          <w:tcPr>
            <w:tcW w:w="582" w:type="pct"/>
            <w:tcBorders>
              <w:top w:val="nil"/>
              <w:left w:val="nil"/>
              <w:bottom w:val="single" w:sz="4" w:space="0" w:color="F39200"/>
              <w:right w:val="nil"/>
            </w:tcBorders>
            <w:shd w:val="clear" w:color="auto" w:fill="auto"/>
            <w:vAlign w:val="center"/>
            <w:hideMark/>
          </w:tcPr>
          <w:p w14:paraId="1CEC4557" w14:textId="77777777" w:rsidR="00E93A21" w:rsidRPr="00E20D21" w:rsidRDefault="00E93A21" w:rsidP="00441B2D">
            <w:pPr>
              <w:jc w:val="center"/>
              <w:rPr>
                <w:rFonts w:ascii="CAIXA Std Book" w:hAnsi="CAIXA Std Book"/>
                <w:b/>
                <w:color w:val="005CA9"/>
                <w:sz w:val="16"/>
                <w:szCs w:val="16"/>
              </w:rPr>
            </w:pPr>
            <w:r w:rsidRPr="00E20D21">
              <w:rPr>
                <w:rFonts w:ascii="CAIXA Std Book" w:hAnsi="CAIXA Std Book"/>
                <w:b/>
                <w:color w:val="005CA9"/>
                <w:sz w:val="16"/>
                <w:szCs w:val="16"/>
              </w:rPr>
              <w:t>Redução ao valor recuperável</w:t>
            </w:r>
          </w:p>
        </w:tc>
        <w:tc>
          <w:tcPr>
            <w:tcW w:w="555" w:type="pct"/>
            <w:tcBorders>
              <w:top w:val="nil"/>
              <w:left w:val="nil"/>
              <w:bottom w:val="single" w:sz="4" w:space="0" w:color="F39200"/>
              <w:right w:val="nil"/>
            </w:tcBorders>
            <w:shd w:val="clear" w:color="auto" w:fill="auto"/>
            <w:vAlign w:val="center"/>
            <w:hideMark/>
          </w:tcPr>
          <w:p w14:paraId="2F2CEB28" w14:textId="77777777" w:rsidR="00E93A21" w:rsidRPr="00E20D21" w:rsidRDefault="00E93A21" w:rsidP="00441B2D">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c>
          <w:tcPr>
            <w:tcW w:w="576" w:type="pct"/>
            <w:tcBorders>
              <w:top w:val="nil"/>
              <w:left w:val="nil"/>
              <w:bottom w:val="single" w:sz="4" w:space="0" w:color="F39200"/>
              <w:right w:val="nil"/>
            </w:tcBorders>
            <w:shd w:val="clear" w:color="auto" w:fill="auto"/>
            <w:vAlign w:val="center"/>
            <w:hideMark/>
          </w:tcPr>
          <w:p w14:paraId="69461B1F" w14:textId="77777777" w:rsidR="00E93A21" w:rsidRPr="00E20D21" w:rsidRDefault="00E93A21" w:rsidP="00441B2D">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r>
      <w:tr w:rsidR="00703A90" w:rsidRPr="00E20D21" w14:paraId="142E5593" w14:textId="77777777" w:rsidTr="00731DED">
        <w:trPr>
          <w:trHeight w:val="283"/>
        </w:trPr>
        <w:tc>
          <w:tcPr>
            <w:tcW w:w="1617" w:type="pct"/>
            <w:tcBorders>
              <w:top w:val="nil"/>
              <w:left w:val="nil"/>
              <w:bottom w:val="nil"/>
              <w:right w:val="nil"/>
            </w:tcBorders>
            <w:shd w:val="clear" w:color="auto" w:fill="auto"/>
            <w:vAlign w:val="center"/>
            <w:hideMark/>
          </w:tcPr>
          <w:p w14:paraId="1A0638B0" w14:textId="7E8E0906"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Imóveis de uso</w:t>
            </w:r>
          </w:p>
        </w:tc>
        <w:tc>
          <w:tcPr>
            <w:tcW w:w="433" w:type="pct"/>
            <w:tcBorders>
              <w:top w:val="nil"/>
              <w:left w:val="nil"/>
              <w:bottom w:val="nil"/>
              <w:right w:val="nil"/>
            </w:tcBorders>
            <w:shd w:val="clear" w:color="auto" w:fill="auto"/>
            <w:vAlign w:val="center"/>
          </w:tcPr>
          <w:p w14:paraId="7BB96C02" w14:textId="4168A1B7" w:rsidR="00703A90" w:rsidRPr="00E20D21" w:rsidRDefault="00D83CC3" w:rsidP="00703A90">
            <w:pPr>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82" w:type="pct"/>
            <w:tcBorders>
              <w:top w:val="nil"/>
              <w:left w:val="nil"/>
              <w:bottom w:val="nil"/>
              <w:right w:val="nil"/>
            </w:tcBorders>
            <w:shd w:val="clear" w:color="auto" w:fill="auto"/>
            <w:vAlign w:val="center"/>
          </w:tcPr>
          <w:p w14:paraId="13719226" w14:textId="5E0C5A0A"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1.803.979</w:t>
            </w:r>
          </w:p>
        </w:tc>
        <w:tc>
          <w:tcPr>
            <w:tcW w:w="655" w:type="pct"/>
            <w:tcBorders>
              <w:top w:val="nil"/>
              <w:left w:val="nil"/>
              <w:bottom w:val="nil"/>
              <w:right w:val="nil"/>
            </w:tcBorders>
            <w:shd w:val="clear" w:color="auto" w:fill="auto"/>
            <w:vAlign w:val="center"/>
          </w:tcPr>
          <w:p w14:paraId="07007461" w14:textId="69BAA458"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(871.117)</w:t>
            </w:r>
          </w:p>
        </w:tc>
        <w:tc>
          <w:tcPr>
            <w:tcW w:w="582" w:type="pct"/>
            <w:tcBorders>
              <w:top w:val="nil"/>
              <w:left w:val="nil"/>
              <w:bottom w:val="nil"/>
              <w:right w:val="nil"/>
            </w:tcBorders>
            <w:shd w:val="clear" w:color="auto" w:fill="auto"/>
            <w:vAlign w:val="center"/>
          </w:tcPr>
          <w:p w14:paraId="377D6609" w14:textId="1319E996"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(30.245)</w:t>
            </w:r>
          </w:p>
        </w:tc>
        <w:tc>
          <w:tcPr>
            <w:tcW w:w="555" w:type="pct"/>
            <w:tcBorders>
              <w:top w:val="nil"/>
              <w:left w:val="nil"/>
              <w:bottom w:val="nil"/>
              <w:right w:val="nil"/>
            </w:tcBorders>
            <w:shd w:val="clear" w:color="auto" w:fill="auto"/>
            <w:vAlign w:val="center"/>
          </w:tcPr>
          <w:p w14:paraId="60C034F8" w14:textId="4D99D961"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902.617</w:t>
            </w:r>
          </w:p>
        </w:tc>
        <w:tc>
          <w:tcPr>
            <w:tcW w:w="576" w:type="pct"/>
            <w:tcBorders>
              <w:top w:val="nil"/>
              <w:left w:val="nil"/>
              <w:bottom w:val="nil"/>
              <w:right w:val="nil"/>
            </w:tcBorders>
            <w:shd w:val="clear" w:color="auto" w:fill="auto"/>
            <w:vAlign w:val="center"/>
          </w:tcPr>
          <w:p w14:paraId="48BCF5CB" w14:textId="53668416" w:rsidR="00703A90" w:rsidRPr="00E20D21" w:rsidRDefault="00703A90"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908.144</w:t>
            </w:r>
          </w:p>
        </w:tc>
      </w:tr>
      <w:tr w:rsidR="00703A90" w:rsidRPr="00E20D21" w14:paraId="676D4053" w14:textId="77777777" w:rsidTr="00731DED">
        <w:trPr>
          <w:trHeight w:val="283"/>
        </w:trPr>
        <w:tc>
          <w:tcPr>
            <w:tcW w:w="1617" w:type="pct"/>
            <w:tcBorders>
              <w:top w:val="nil"/>
              <w:left w:val="nil"/>
              <w:bottom w:val="nil"/>
              <w:right w:val="nil"/>
            </w:tcBorders>
            <w:shd w:val="clear" w:color="auto" w:fill="auto"/>
            <w:vAlign w:val="center"/>
            <w:hideMark/>
          </w:tcPr>
          <w:p w14:paraId="5095A04C" w14:textId="29FD39C5" w:rsidR="00703A90" w:rsidRPr="00E20D21" w:rsidRDefault="00703A90" w:rsidP="00703A90">
            <w:pPr>
              <w:ind w:firstLineChars="100" w:firstLine="160"/>
              <w:rPr>
                <w:rFonts w:ascii="CAIXA Std Book" w:hAnsi="CAIXA Std Book"/>
                <w:color w:val="005CA9"/>
                <w:sz w:val="16"/>
                <w:szCs w:val="16"/>
              </w:rPr>
            </w:pPr>
            <w:r w:rsidRPr="00E20D21">
              <w:rPr>
                <w:rFonts w:ascii="CAIXA Std Book" w:hAnsi="CAIXA Std Book"/>
                <w:color w:val="005CA9"/>
                <w:sz w:val="16"/>
                <w:szCs w:val="16"/>
              </w:rPr>
              <w:t>Edificações</w:t>
            </w:r>
          </w:p>
        </w:tc>
        <w:tc>
          <w:tcPr>
            <w:tcW w:w="433" w:type="pct"/>
            <w:tcBorders>
              <w:top w:val="nil"/>
              <w:left w:val="nil"/>
              <w:bottom w:val="nil"/>
              <w:right w:val="nil"/>
            </w:tcBorders>
            <w:shd w:val="clear" w:color="auto" w:fill="auto"/>
            <w:vAlign w:val="center"/>
          </w:tcPr>
          <w:p w14:paraId="173370C8" w14:textId="6610CC3C" w:rsidR="00703A90" w:rsidRPr="00E20D21" w:rsidRDefault="00D83CC3" w:rsidP="00703A90">
            <w:pPr>
              <w:jc w:val="center"/>
              <w:rPr>
                <w:rFonts w:ascii="CAIXA Std Book" w:hAnsi="CAIXA Std Book"/>
                <w:color w:val="005CA9"/>
                <w:sz w:val="16"/>
                <w:szCs w:val="16"/>
              </w:rPr>
            </w:pPr>
            <w:r w:rsidRPr="00E20D21">
              <w:rPr>
                <w:rFonts w:ascii="CAIXA Std Book" w:hAnsi="CAIXA Std Book"/>
                <w:color w:val="005CA9"/>
                <w:sz w:val="16"/>
                <w:szCs w:val="16"/>
              </w:rPr>
              <w:t>25</w:t>
            </w:r>
          </w:p>
        </w:tc>
        <w:tc>
          <w:tcPr>
            <w:tcW w:w="582" w:type="pct"/>
            <w:tcBorders>
              <w:top w:val="nil"/>
              <w:left w:val="nil"/>
              <w:bottom w:val="nil"/>
              <w:right w:val="nil"/>
            </w:tcBorders>
            <w:shd w:val="clear" w:color="auto" w:fill="auto"/>
            <w:vAlign w:val="center"/>
          </w:tcPr>
          <w:p w14:paraId="2B7A7516" w14:textId="1AE7088D"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1.596.402</w:t>
            </w:r>
          </w:p>
        </w:tc>
        <w:tc>
          <w:tcPr>
            <w:tcW w:w="655" w:type="pct"/>
            <w:tcBorders>
              <w:top w:val="nil"/>
              <w:left w:val="nil"/>
              <w:bottom w:val="nil"/>
              <w:right w:val="nil"/>
            </w:tcBorders>
            <w:shd w:val="clear" w:color="auto" w:fill="auto"/>
            <w:vAlign w:val="center"/>
          </w:tcPr>
          <w:p w14:paraId="13EA8AF6" w14:textId="383FB0EA"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(871.117)</w:t>
            </w:r>
          </w:p>
        </w:tc>
        <w:tc>
          <w:tcPr>
            <w:tcW w:w="582" w:type="pct"/>
            <w:tcBorders>
              <w:top w:val="nil"/>
              <w:left w:val="nil"/>
              <w:bottom w:val="nil"/>
              <w:right w:val="nil"/>
            </w:tcBorders>
            <w:shd w:val="clear" w:color="auto" w:fill="auto"/>
            <w:vAlign w:val="center"/>
          </w:tcPr>
          <w:p w14:paraId="27E1BB29" w14:textId="6422E71F"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(28.500)</w:t>
            </w:r>
          </w:p>
        </w:tc>
        <w:tc>
          <w:tcPr>
            <w:tcW w:w="555" w:type="pct"/>
            <w:tcBorders>
              <w:top w:val="nil"/>
              <w:left w:val="nil"/>
              <w:bottom w:val="nil"/>
              <w:right w:val="nil"/>
            </w:tcBorders>
            <w:shd w:val="clear" w:color="auto" w:fill="auto"/>
            <w:vAlign w:val="center"/>
          </w:tcPr>
          <w:p w14:paraId="19D5EBCA" w14:textId="22354AF6"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696.785</w:t>
            </w:r>
          </w:p>
        </w:tc>
        <w:tc>
          <w:tcPr>
            <w:tcW w:w="576" w:type="pct"/>
            <w:tcBorders>
              <w:top w:val="nil"/>
              <w:left w:val="nil"/>
              <w:bottom w:val="nil"/>
              <w:right w:val="nil"/>
            </w:tcBorders>
            <w:shd w:val="clear" w:color="auto" w:fill="auto"/>
            <w:vAlign w:val="center"/>
          </w:tcPr>
          <w:p w14:paraId="3EC35A55" w14:textId="7B93DC65" w:rsidR="00703A90" w:rsidRPr="00E20D21" w:rsidRDefault="00703A90"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701.690</w:t>
            </w:r>
          </w:p>
        </w:tc>
      </w:tr>
      <w:tr w:rsidR="00703A90" w:rsidRPr="00E20D21" w14:paraId="167436CA" w14:textId="77777777" w:rsidTr="00731DED">
        <w:trPr>
          <w:trHeight w:val="283"/>
        </w:trPr>
        <w:tc>
          <w:tcPr>
            <w:tcW w:w="1617" w:type="pct"/>
            <w:tcBorders>
              <w:top w:val="nil"/>
              <w:left w:val="nil"/>
              <w:bottom w:val="nil"/>
              <w:right w:val="nil"/>
            </w:tcBorders>
            <w:shd w:val="clear" w:color="auto" w:fill="auto"/>
            <w:vAlign w:val="center"/>
            <w:hideMark/>
          </w:tcPr>
          <w:p w14:paraId="65499B00" w14:textId="729E0784" w:rsidR="00703A90" w:rsidRPr="00E20D21" w:rsidRDefault="00703A90" w:rsidP="00703A90">
            <w:pPr>
              <w:ind w:firstLineChars="100" w:firstLine="160"/>
              <w:rPr>
                <w:rFonts w:ascii="CAIXA Std Book" w:hAnsi="CAIXA Std Book"/>
                <w:color w:val="005CA9"/>
                <w:sz w:val="16"/>
                <w:szCs w:val="16"/>
              </w:rPr>
            </w:pPr>
            <w:r w:rsidRPr="00E20D21">
              <w:rPr>
                <w:rFonts w:ascii="CAIXA Std Book" w:hAnsi="CAIXA Std Book"/>
                <w:color w:val="005CA9"/>
                <w:sz w:val="16"/>
                <w:szCs w:val="16"/>
              </w:rPr>
              <w:t>Terrenos</w:t>
            </w:r>
          </w:p>
        </w:tc>
        <w:tc>
          <w:tcPr>
            <w:tcW w:w="433" w:type="pct"/>
            <w:tcBorders>
              <w:top w:val="nil"/>
              <w:left w:val="nil"/>
              <w:bottom w:val="nil"/>
              <w:right w:val="nil"/>
            </w:tcBorders>
            <w:shd w:val="clear" w:color="auto" w:fill="auto"/>
            <w:vAlign w:val="center"/>
          </w:tcPr>
          <w:p w14:paraId="53CC2996" w14:textId="2D780313" w:rsidR="00703A90" w:rsidRPr="00E20D21" w:rsidRDefault="00D83CC3" w:rsidP="00703A90">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82" w:type="pct"/>
            <w:tcBorders>
              <w:top w:val="nil"/>
              <w:left w:val="nil"/>
              <w:bottom w:val="nil"/>
              <w:right w:val="nil"/>
            </w:tcBorders>
            <w:shd w:val="clear" w:color="auto" w:fill="auto"/>
            <w:vAlign w:val="center"/>
          </w:tcPr>
          <w:p w14:paraId="5A64507C" w14:textId="2C3FD7AD"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207.577</w:t>
            </w:r>
          </w:p>
        </w:tc>
        <w:tc>
          <w:tcPr>
            <w:tcW w:w="655" w:type="pct"/>
            <w:tcBorders>
              <w:top w:val="nil"/>
              <w:left w:val="nil"/>
              <w:bottom w:val="nil"/>
              <w:right w:val="nil"/>
            </w:tcBorders>
            <w:shd w:val="clear" w:color="auto" w:fill="auto"/>
            <w:vAlign w:val="center"/>
          </w:tcPr>
          <w:p w14:paraId="55707B97" w14:textId="3682DB31" w:rsidR="00703A90" w:rsidRPr="00E20D21" w:rsidRDefault="00731DED" w:rsidP="00731DED">
            <w:pPr>
              <w:ind w:firstLineChars="100" w:firstLine="160"/>
              <w:jc w:val="center"/>
              <w:rPr>
                <w:rFonts w:ascii="CAIXA Std Book" w:hAnsi="CAIXA Std Book"/>
                <w:color w:val="005CA9"/>
                <w:sz w:val="16"/>
                <w:szCs w:val="16"/>
              </w:rPr>
            </w:pPr>
            <w:r w:rsidRPr="00E20D21">
              <w:rPr>
                <w:rFonts w:ascii="CAIXA Std Book" w:hAnsi="CAIXA Std Book"/>
                <w:color w:val="005CA9"/>
                <w:sz w:val="16"/>
                <w:szCs w:val="16"/>
              </w:rPr>
              <w:t>-</w:t>
            </w:r>
          </w:p>
        </w:tc>
        <w:tc>
          <w:tcPr>
            <w:tcW w:w="582" w:type="pct"/>
            <w:tcBorders>
              <w:top w:val="nil"/>
              <w:left w:val="nil"/>
              <w:bottom w:val="nil"/>
              <w:right w:val="nil"/>
            </w:tcBorders>
            <w:shd w:val="clear" w:color="auto" w:fill="auto"/>
            <w:vAlign w:val="center"/>
          </w:tcPr>
          <w:p w14:paraId="574221D3" w14:textId="2A0982FB"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(1.745)</w:t>
            </w:r>
          </w:p>
        </w:tc>
        <w:tc>
          <w:tcPr>
            <w:tcW w:w="555" w:type="pct"/>
            <w:tcBorders>
              <w:top w:val="nil"/>
              <w:left w:val="nil"/>
              <w:bottom w:val="nil"/>
              <w:right w:val="nil"/>
            </w:tcBorders>
            <w:shd w:val="clear" w:color="auto" w:fill="auto"/>
            <w:vAlign w:val="center"/>
          </w:tcPr>
          <w:p w14:paraId="1F1890EB" w14:textId="71898858"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205.832</w:t>
            </w:r>
          </w:p>
        </w:tc>
        <w:tc>
          <w:tcPr>
            <w:tcW w:w="576" w:type="pct"/>
            <w:tcBorders>
              <w:top w:val="nil"/>
              <w:left w:val="nil"/>
              <w:bottom w:val="nil"/>
              <w:right w:val="nil"/>
            </w:tcBorders>
            <w:shd w:val="clear" w:color="auto" w:fill="auto"/>
            <w:vAlign w:val="center"/>
          </w:tcPr>
          <w:p w14:paraId="0C7C451E" w14:textId="7390149C" w:rsidR="00703A90" w:rsidRPr="00E20D21" w:rsidRDefault="00703A90"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206.454</w:t>
            </w:r>
          </w:p>
        </w:tc>
      </w:tr>
      <w:tr w:rsidR="00703A90" w:rsidRPr="00E20D21" w14:paraId="26FE0FDC" w14:textId="77777777" w:rsidTr="00731DED">
        <w:trPr>
          <w:trHeight w:val="283"/>
        </w:trPr>
        <w:tc>
          <w:tcPr>
            <w:tcW w:w="1617" w:type="pct"/>
            <w:tcBorders>
              <w:top w:val="nil"/>
              <w:left w:val="nil"/>
              <w:bottom w:val="nil"/>
              <w:right w:val="nil"/>
            </w:tcBorders>
            <w:shd w:val="clear" w:color="auto" w:fill="auto"/>
            <w:vAlign w:val="center"/>
            <w:hideMark/>
          </w:tcPr>
          <w:p w14:paraId="0366A147"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Benfeitorias em imóveis de terceiros</w:t>
            </w:r>
          </w:p>
        </w:tc>
        <w:tc>
          <w:tcPr>
            <w:tcW w:w="433" w:type="pct"/>
            <w:tcBorders>
              <w:top w:val="nil"/>
              <w:left w:val="nil"/>
              <w:bottom w:val="nil"/>
              <w:right w:val="nil"/>
            </w:tcBorders>
            <w:shd w:val="clear" w:color="auto" w:fill="auto"/>
            <w:vAlign w:val="center"/>
          </w:tcPr>
          <w:p w14:paraId="1345D59F" w14:textId="701AAB3E" w:rsidR="00703A90" w:rsidRPr="00E20D21" w:rsidRDefault="00D83CC3" w:rsidP="00703A90">
            <w:pPr>
              <w:jc w:val="center"/>
              <w:rPr>
                <w:rFonts w:ascii="CAIXA Std Book" w:hAnsi="CAIXA Std Book"/>
                <w:b/>
                <w:bCs/>
                <w:color w:val="005CA9"/>
                <w:sz w:val="16"/>
                <w:szCs w:val="16"/>
              </w:rPr>
            </w:pPr>
            <w:r w:rsidRPr="00E20D21">
              <w:rPr>
                <w:rFonts w:ascii="CAIXA Std Book" w:hAnsi="CAIXA Std Book"/>
                <w:b/>
                <w:bCs/>
                <w:color w:val="005CA9"/>
                <w:sz w:val="16"/>
                <w:szCs w:val="16"/>
              </w:rPr>
              <w:t>5</w:t>
            </w:r>
          </w:p>
        </w:tc>
        <w:tc>
          <w:tcPr>
            <w:tcW w:w="582" w:type="pct"/>
            <w:tcBorders>
              <w:top w:val="nil"/>
              <w:left w:val="nil"/>
              <w:bottom w:val="nil"/>
              <w:right w:val="nil"/>
            </w:tcBorders>
            <w:shd w:val="clear" w:color="auto" w:fill="auto"/>
            <w:vAlign w:val="center"/>
          </w:tcPr>
          <w:p w14:paraId="7920EA68" w14:textId="2841C225"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2.464.955</w:t>
            </w:r>
          </w:p>
        </w:tc>
        <w:tc>
          <w:tcPr>
            <w:tcW w:w="655" w:type="pct"/>
            <w:tcBorders>
              <w:top w:val="nil"/>
              <w:left w:val="nil"/>
              <w:bottom w:val="nil"/>
              <w:right w:val="nil"/>
            </w:tcBorders>
            <w:shd w:val="clear" w:color="auto" w:fill="auto"/>
            <w:vAlign w:val="center"/>
          </w:tcPr>
          <w:p w14:paraId="7ECD9A14" w14:textId="7E72DEE4"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(1.944.382)</w:t>
            </w:r>
          </w:p>
        </w:tc>
        <w:tc>
          <w:tcPr>
            <w:tcW w:w="582" w:type="pct"/>
            <w:tcBorders>
              <w:top w:val="nil"/>
              <w:left w:val="nil"/>
              <w:bottom w:val="nil"/>
              <w:right w:val="nil"/>
            </w:tcBorders>
            <w:shd w:val="clear" w:color="auto" w:fill="auto"/>
            <w:vAlign w:val="center"/>
          </w:tcPr>
          <w:p w14:paraId="309CECAC" w14:textId="49F28E2E"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(143)</w:t>
            </w:r>
          </w:p>
        </w:tc>
        <w:tc>
          <w:tcPr>
            <w:tcW w:w="555" w:type="pct"/>
            <w:tcBorders>
              <w:top w:val="nil"/>
              <w:left w:val="nil"/>
              <w:bottom w:val="nil"/>
              <w:right w:val="nil"/>
            </w:tcBorders>
            <w:shd w:val="clear" w:color="auto" w:fill="auto"/>
            <w:vAlign w:val="center"/>
          </w:tcPr>
          <w:p w14:paraId="0F30629F" w14:textId="44409506"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520.430</w:t>
            </w:r>
          </w:p>
        </w:tc>
        <w:tc>
          <w:tcPr>
            <w:tcW w:w="576" w:type="pct"/>
            <w:tcBorders>
              <w:top w:val="nil"/>
              <w:left w:val="nil"/>
              <w:bottom w:val="nil"/>
              <w:right w:val="nil"/>
            </w:tcBorders>
            <w:shd w:val="clear" w:color="auto" w:fill="auto"/>
            <w:vAlign w:val="center"/>
          </w:tcPr>
          <w:p w14:paraId="4E4422F6" w14:textId="6574AC84" w:rsidR="00703A90" w:rsidRPr="00E20D21" w:rsidRDefault="00703A90"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499.576</w:t>
            </w:r>
          </w:p>
        </w:tc>
      </w:tr>
      <w:tr w:rsidR="00703A90" w:rsidRPr="00E20D21" w14:paraId="38E9D331" w14:textId="77777777" w:rsidTr="00731DED">
        <w:trPr>
          <w:trHeight w:val="283"/>
        </w:trPr>
        <w:tc>
          <w:tcPr>
            <w:tcW w:w="1617" w:type="pct"/>
            <w:tcBorders>
              <w:top w:val="nil"/>
              <w:left w:val="nil"/>
              <w:bottom w:val="nil"/>
              <w:right w:val="nil"/>
            </w:tcBorders>
            <w:shd w:val="clear" w:color="auto" w:fill="auto"/>
            <w:vAlign w:val="center"/>
            <w:hideMark/>
          </w:tcPr>
          <w:p w14:paraId="7BB33240"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Imobilizações em curso</w:t>
            </w:r>
          </w:p>
        </w:tc>
        <w:tc>
          <w:tcPr>
            <w:tcW w:w="433" w:type="pct"/>
            <w:tcBorders>
              <w:top w:val="nil"/>
              <w:left w:val="nil"/>
              <w:bottom w:val="nil"/>
              <w:right w:val="nil"/>
            </w:tcBorders>
            <w:shd w:val="clear" w:color="auto" w:fill="auto"/>
            <w:vAlign w:val="center"/>
          </w:tcPr>
          <w:p w14:paraId="249BBE75" w14:textId="4A286455" w:rsidR="00703A90" w:rsidRPr="00E20D21" w:rsidRDefault="00D83CC3" w:rsidP="00703A90">
            <w:pPr>
              <w:jc w:val="center"/>
              <w:rPr>
                <w:rFonts w:ascii="CAIXA Std Book" w:hAnsi="CAIXA Std Book"/>
                <w:b/>
                <w:bCs/>
                <w:color w:val="005CA9"/>
                <w:sz w:val="16"/>
                <w:szCs w:val="16"/>
              </w:rPr>
            </w:pPr>
            <w:r w:rsidRPr="00E20D21">
              <w:rPr>
                <w:rFonts w:ascii="CAIXA Std Book" w:hAnsi="CAIXA Std Book"/>
                <w:b/>
                <w:bCs/>
                <w:color w:val="005CA9"/>
                <w:sz w:val="16"/>
                <w:szCs w:val="16"/>
              </w:rPr>
              <w:t>-</w:t>
            </w:r>
          </w:p>
        </w:tc>
        <w:tc>
          <w:tcPr>
            <w:tcW w:w="582" w:type="pct"/>
            <w:tcBorders>
              <w:top w:val="nil"/>
              <w:left w:val="nil"/>
              <w:bottom w:val="nil"/>
              <w:right w:val="nil"/>
            </w:tcBorders>
            <w:shd w:val="clear" w:color="auto" w:fill="auto"/>
            <w:vAlign w:val="center"/>
          </w:tcPr>
          <w:p w14:paraId="05E65610" w14:textId="7DC1C50D"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294.029</w:t>
            </w:r>
          </w:p>
        </w:tc>
        <w:tc>
          <w:tcPr>
            <w:tcW w:w="655" w:type="pct"/>
            <w:tcBorders>
              <w:top w:val="nil"/>
              <w:left w:val="nil"/>
              <w:bottom w:val="nil"/>
              <w:right w:val="nil"/>
            </w:tcBorders>
            <w:shd w:val="clear" w:color="auto" w:fill="auto"/>
            <w:vAlign w:val="center"/>
          </w:tcPr>
          <w:p w14:paraId="70806932" w14:textId="347BF7E2" w:rsidR="00703A90" w:rsidRPr="00E20D21" w:rsidRDefault="00EA706D" w:rsidP="00703A90">
            <w:pPr>
              <w:ind w:firstLineChars="100" w:firstLine="157"/>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82" w:type="pct"/>
            <w:tcBorders>
              <w:top w:val="nil"/>
              <w:left w:val="nil"/>
              <w:bottom w:val="nil"/>
              <w:right w:val="nil"/>
            </w:tcBorders>
            <w:shd w:val="clear" w:color="auto" w:fill="auto"/>
            <w:vAlign w:val="center"/>
          </w:tcPr>
          <w:p w14:paraId="095084A6" w14:textId="27F9C80A" w:rsidR="00703A90" w:rsidRPr="00E20D21" w:rsidRDefault="00EA706D" w:rsidP="00703A90">
            <w:pPr>
              <w:ind w:firstLineChars="100" w:firstLine="157"/>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55" w:type="pct"/>
            <w:tcBorders>
              <w:top w:val="nil"/>
              <w:left w:val="nil"/>
              <w:bottom w:val="nil"/>
              <w:right w:val="nil"/>
            </w:tcBorders>
            <w:shd w:val="clear" w:color="auto" w:fill="auto"/>
            <w:vAlign w:val="center"/>
          </w:tcPr>
          <w:p w14:paraId="70FD93EB" w14:textId="7CA1E729"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294.029</w:t>
            </w:r>
          </w:p>
        </w:tc>
        <w:tc>
          <w:tcPr>
            <w:tcW w:w="576" w:type="pct"/>
            <w:tcBorders>
              <w:top w:val="nil"/>
              <w:left w:val="nil"/>
              <w:bottom w:val="nil"/>
              <w:right w:val="nil"/>
            </w:tcBorders>
            <w:shd w:val="clear" w:color="auto" w:fill="auto"/>
            <w:vAlign w:val="center"/>
          </w:tcPr>
          <w:p w14:paraId="4B208060" w14:textId="6F996E5C" w:rsidR="00703A90" w:rsidRPr="00E20D21" w:rsidRDefault="00703A90"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260.853</w:t>
            </w:r>
          </w:p>
        </w:tc>
      </w:tr>
      <w:tr w:rsidR="00703A90" w:rsidRPr="00E20D21" w14:paraId="0BDF35FC" w14:textId="77777777" w:rsidTr="00731DED">
        <w:trPr>
          <w:trHeight w:val="283"/>
        </w:trPr>
        <w:tc>
          <w:tcPr>
            <w:tcW w:w="1617" w:type="pct"/>
            <w:tcBorders>
              <w:top w:val="nil"/>
              <w:left w:val="nil"/>
              <w:bottom w:val="nil"/>
              <w:right w:val="nil"/>
            </w:tcBorders>
            <w:shd w:val="clear" w:color="auto" w:fill="auto"/>
            <w:vAlign w:val="center"/>
            <w:hideMark/>
          </w:tcPr>
          <w:p w14:paraId="7D57E35A"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Móveis e equipamentos de uso</w:t>
            </w:r>
          </w:p>
        </w:tc>
        <w:tc>
          <w:tcPr>
            <w:tcW w:w="433" w:type="pct"/>
            <w:tcBorders>
              <w:top w:val="nil"/>
              <w:left w:val="nil"/>
              <w:bottom w:val="nil"/>
              <w:right w:val="nil"/>
            </w:tcBorders>
            <w:shd w:val="clear" w:color="auto" w:fill="auto"/>
            <w:vAlign w:val="center"/>
          </w:tcPr>
          <w:p w14:paraId="2FB9EAC2" w14:textId="0A9DDFA2" w:rsidR="00703A90" w:rsidRPr="00E20D21" w:rsidRDefault="00D83CC3" w:rsidP="00703A90">
            <w:pPr>
              <w:jc w:val="center"/>
              <w:rPr>
                <w:rFonts w:ascii="CAIXA Std Book" w:hAnsi="CAIXA Std Book"/>
                <w:b/>
                <w:bCs/>
                <w:color w:val="005CA9"/>
                <w:sz w:val="16"/>
                <w:szCs w:val="16"/>
              </w:rPr>
            </w:pPr>
            <w:r w:rsidRPr="00E20D21">
              <w:rPr>
                <w:rFonts w:ascii="CAIXA Std Book" w:hAnsi="CAIXA Std Book"/>
                <w:b/>
                <w:bCs/>
                <w:color w:val="005CA9"/>
                <w:sz w:val="16"/>
                <w:szCs w:val="16"/>
              </w:rPr>
              <w:t>-</w:t>
            </w:r>
          </w:p>
        </w:tc>
        <w:tc>
          <w:tcPr>
            <w:tcW w:w="582" w:type="pct"/>
            <w:tcBorders>
              <w:top w:val="nil"/>
              <w:left w:val="nil"/>
              <w:bottom w:val="nil"/>
              <w:right w:val="nil"/>
            </w:tcBorders>
            <w:shd w:val="clear" w:color="auto" w:fill="auto"/>
            <w:vAlign w:val="center"/>
          </w:tcPr>
          <w:p w14:paraId="0A6FE015" w14:textId="0DB18C18"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6.436.875</w:t>
            </w:r>
          </w:p>
        </w:tc>
        <w:tc>
          <w:tcPr>
            <w:tcW w:w="655" w:type="pct"/>
            <w:tcBorders>
              <w:top w:val="nil"/>
              <w:left w:val="nil"/>
              <w:bottom w:val="nil"/>
              <w:right w:val="nil"/>
            </w:tcBorders>
            <w:shd w:val="clear" w:color="auto" w:fill="auto"/>
            <w:vAlign w:val="center"/>
          </w:tcPr>
          <w:p w14:paraId="00F443AC" w14:textId="17DDC186"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(5.310.911)</w:t>
            </w:r>
          </w:p>
        </w:tc>
        <w:tc>
          <w:tcPr>
            <w:tcW w:w="582" w:type="pct"/>
            <w:tcBorders>
              <w:top w:val="nil"/>
              <w:left w:val="nil"/>
              <w:bottom w:val="nil"/>
              <w:right w:val="nil"/>
            </w:tcBorders>
            <w:shd w:val="clear" w:color="auto" w:fill="auto"/>
            <w:vAlign w:val="center"/>
          </w:tcPr>
          <w:p w14:paraId="35D4E03F" w14:textId="794560FC" w:rsidR="00703A90" w:rsidRPr="00E20D21" w:rsidRDefault="00EA706D" w:rsidP="00703A90">
            <w:pPr>
              <w:ind w:firstLineChars="100" w:firstLine="157"/>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55" w:type="pct"/>
            <w:tcBorders>
              <w:top w:val="nil"/>
              <w:left w:val="nil"/>
              <w:bottom w:val="nil"/>
              <w:right w:val="nil"/>
            </w:tcBorders>
            <w:shd w:val="clear" w:color="auto" w:fill="auto"/>
            <w:vAlign w:val="center"/>
          </w:tcPr>
          <w:p w14:paraId="42ABA4A8" w14:textId="6A2E03E2"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1.125.964</w:t>
            </w:r>
          </w:p>
        </w:tc>
        <w:tc>
          <w:tcPr>
            <w:tcW w:w="576" w:type="pct"/>
            <w:tcBorders>
              <w:top w:val="nil"/>
              <w:left w:val="nil"/>
              <w:bottom w:val="nil"/>
              <w:right w:val="nil"/>
            </w:tcBorders>
            <w:shd w:val="clear" w:color="auto" w:fill="auto"/>
            <w:vAlign w:val="center"/>
          </w:tcPr>
          <w:p w14:paraId="4DD8A92E" w14:textId="656EAE5A" w:rsidR="00703A90" w:rsidRPr="00E20D21" w:rsidRDefault="00703A90"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1.045.595</w:t>
            </w:r>
          </w:p>
        </w:tc>
      </w:tr>
      <w:tr w:rsidR="00703A90" w:rsidRPr="00E20D21" w14:paraId="06F53A93" w14:textId="77777777" w:rsidTr="00731DED">
        <w:trPr>
          <w:trHeight w:val="283"/>
        </w:trPr>
        <w:tc>
          <w:tcPr>
            <w:tcW w:w="1617" w:type="pct"/>
            <w:tcBorders>
              <w:top w:val="nil"/>
              <w:left w:val="nil"/>
              <w:bottom w:val="nil"/>
              <w:right w:val="nil"/>
            </w:tcBorders>
            <w:shd w:val="clear" w:color="auto" w:fill="auto"/>
            <w:vAlign w:val="center"/>
            <w:hideMark/>
          </w:tcPr>
          <w:p w14:paraId="0D26CA15" w14:textId="77777777" w:rsidR="00703A90" w:rsidRPr="00E20D21" w:rsidRDefault="00703A90" w:rsidP="00703A90">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comunicação e de segurança</w:t>
            </w:r>
          </w:p>
        </w:tc>
        <w:tc>
          <w:tcPr>
            <w:tcW w:w="433" w:type="pct"/>
            <w:tcBorders>
              <w:top w:val="nil"/>
              <w:left w:val="nil"/>
              <w:bottom w:val="nil"/>
              <w:right w:val="nil"/>
            </w:tcBorders>
            <w:shd w:val="clear" w:color="auto" w:fill="auto"/>
            <w:vAlign w:val="center"/>
          </w:tcPr>
          <w:p w14:paraId="242350B0" w14:textId="6598F9A7" w:rsidR="00703A90" w:rsidRPr="00E20D21" w:rsidRDefault="00D83CC3" w:rsidP="00703A90">
            <w:pPr>
              <w:jc w:val="center"/>
              <w:rPr>
                <w:rFonts w:ascii="CAIXA Std Book" w:hAnsi="CAIXA Std Book"/>
                <w:color w:val="005CA9"/>
                <w:sz w:val="16"/>
                <w:szCs w:val="16"/>
              </w:rPr>
            </w:pPr>
            <w:r w:rsidRPr="00E20D21">
              <w:rPr>
                <w:rFonts w:ascii="CAIXA Std Book" w:hAnsi="CAIXA Std Book"/>
                <w:color w:val="005CA9"/>
                <w:sz w:val="16"/>
                <w:szCs w:val="16"/>
              </w:rPr>
              <w:t>5 a 10</w:t>
            </w:r>
          </w:p>
        </w:tc>
        <w:tc>
          <w:tcPr>
            <w:tcW w:w="582" w:type="pct"/>
            <w:tcBorders>
              <w:top w:val="nil"/>
              <w:left w:val="nil"/>
              <w:bottom w:val="nil"/>
              <w:right w:val="nil"/>
            </w:tcBorders>
            <w:shd w:val="clear" w:color="auto" w:fill="auto"/>
            <w:vAlign w:val="center"/>
          </w:tcPr>
          <w:p w14:paraId="79DB273B" w14:textId="6F583EAC"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857.213</w:t>
            </w:r>
          </w:p>
        </w:tc>
        <w:tc>
          <w:tcPr>
            <w:tcW w:w="655" w:type="pct"/>
            <w:tcBorders>
              <w:top w:val="nil"/>
              <w:left w:val="nil"/>
              <w:bottom w:val="nil"/>
              <w:right w:val="nil"/>
            </w:tcBorders>
            <w:shd w:val="clear" w:color="auto" w:fill="auto"/>
            <w:vAlign w:val="center"/>
          </w:tcPr>
          <w:p w14:paraId="677D0495" w14:textId="3155EC5A"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(713.321)</w:t>
            </w:r>
          </w:p>
        </w:tc>
        <w:tc>
          <w:tcPr>
            <w:tcW w:w="582" w:type="pct"/>
            <w:tcBorders>
              <w:top w:val="nil"/>
              <w:left w:val="nil"/>
              <w:bottom w:val="nil"/>
              <w:right w:val="nil"/>
            </w:tcBorders>
            <w:shd w:val="clear" w:color="auto" w:fill="auto"/>
            <w:vAlign w:val="center"/>
          </w:tcPr>
          <w:p w14:paraId="4225B599" w14:textId="3CC470E0" w:rsidR="00703A90" w:rsidRPr="00E20D21" w:rsidRDefault="00EA706D" w:rsidP="00EA706D">
            <w:pPr>
              <w:ind w:firstLineChars="100" w:firstLine="157"/>
              <w:jc w:val="center"/>
              <w:rPr>
                <w:rFonts w:ascii="CAIXA Std Book" w:hAnsi="CAIXA Std Book"/>
                <w:bCs/>
                <w:color w:val="005CA9"/>
                <w:sz w:val="16"/>
                <w:szCs w:val="16"/>
              </w:rPr>
            </w:pPr>
            <w:r w:rsidRPr="00E20D21">
              <w:rPr>
                <w:rFonts w:ascii="CAIXA Std Book" w:hAnsi="CAIXA Std Book"/>
                <w:b/>
                <w:color w:val="005CA9"/>
                <w:sz w:val="16"/>
                <w:szCs w:val="16"/>
              </w:rPr>
              <w:t>-</w:t>
            </w:r>
          </w:p>
        </w:tc>
        <w:tc>
          <w:tcPr>
            <w:tcW w:w="555" w:type="pct"/>
            <w:tcBorders>
              <w:top w:val="nil"/>
              <w:left w:val="nil"/>
              <w:bottom w:val="nil"/>
              <w:right w:val="nil"/>
            </w:tcBorders>
            <w:shd w:val="clear" w:color="auto" w:fill="auto"/>
            <w:vAlign w:val="center"/>
          </w:tcPr>
          <w:p w14:paraId="3BB496E2" w14:textId="0257D5D7"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143.892</w:t>
            </w:r>
          </w:p>
        </w:tc>
        <w:tc>
          <w:tcPr>
            <w:tcW w:w="576" w:type="pct"/>
            <w:tcBorders>
              <w:top w:val="nil"/>
              <w:left w:val="nil"/>
              <w:bottom w:val="nil"/>
              <w:right w:val="nil"/>
            </w:tcBorders>
            <w:shd w:val="clear" w:color="auto" w:fill="auto"/>
            <w:vAlign w:val="center"/>
          </w:tcPr>
          <w:p w14:paraId="1A0D2FF3" w14:textId="0D17844D" w:rsidR="00703A90" w:rsidRPr="00E20D21" w:rsidRDefault="00703A90"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135.168</w:t>
            </w:r>
          </w:p>
        </w:tc>
      </w:tr>
      <w:tr w:rsidR="00703A90" w:rsidRPr="00E20D21" w14:paraId="7F9C7DB9" w14:textId="77777777" w:rsidTr="00731DED">
        <w:trPr>
          <w:trHeight w:val="283"/>
        </w:trPr>
        <w:tc>
          <w:tcPr>
            <w:tcW w:w="1617" w:type="pct"/>
            <w:tcBorders>
              <w:top w:val="nil"/>
              <w:left w:val="nil"/>
              <w:bottom w:val="nil"/>
              <w:right w:val="nil"/>
            </w:tcBorders>
            <w:shd w:val="clear" w:color="auto" w:fill="auto"/>
            <w:vAlign w:val="center"/>
            <w:hideMark/>
          </w:tcPr>
          <w:p w14:paraId="08D4BCD9" w14:textId="339341B3" w:rsidR="00703A90" w:rsidRPr="00E20D21" w:rsidRDefault="00703A90" w:rsidP="00703A90">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processamento de dados</w:t>
            </w:r>
          </w:p>
        </w:tc>
        <w:tc>
          <w:tcPr>
            <w:tcW w:w="433" w:type="pct"/>
            <w:tcBorders>
              <w:top w:val="nil"/>
              <w:left w:val="nil"/>
              <w:bottom w:val="nil"/>
              <w:right w:val="nil"/>
            </w:tcBorders>
            <w:shd w:val="clear" w:color="auto" w:fill="auto"/>
            <w:vAlign w:val="center"/>
          </w:tcPr>
          <w:p w14:paraId="645D8115" w14:textId="38AE7786" w:rsidR="00703A90" w:rsidRPr="00E20D21" w:rsidRDefault="00D83CC3" w:rsidP="00703A90">
            <w:pPr>
              <w:jc w:val="center"/>
              <w:rPr>
                <w:rFonts w:ascii="CAIXA Std Book" w:hAnsi="CAIXA Std Book"/>
                <w:color w:val="005CA9"/>
                <w:sz w:val="16"/>
                <w:szCs w:val="16"/>
              </w:rPr>
            </w:pPr>
            <w:r w:rsidRPr="00E20D21">
              <w:rPr>
                <w:rFonts w:ascii="CAIXA Std Book" w:hAnsi="CAIXA Std Book"/>
                <w:color w:val="005CA9"/>
                <w:sz w:val="16"/>
                <w:szCs w:val="16"/>
              </w:rPr>
              <w:t>5</w:t>
            </w:r>
          </w:p>
        </w:tc>
        <w:tc>
          <w:tcPr>
            <w:tcW w:w="582" w:type="pct"/>
            <w:tcBorders>
              <w:top w:val="nil"/>
              <w:left w:val="nil"/>
              <w:bottom w:val="nil"/>
              <w:right w:val="nil"/>
            </w:tcBorders>
            <w:shd w:val="clear" w:color="auto" w:fill="auto"/>
            <w:vAlign w:val="center"/>
          </w:tcPr>
          <w:p w14:paraId="722E01EE" w14:textId="2769310A"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5.579.662</w:t>
            </w:r>
          </w:p>
        </w:tc>
        <w:tc>
          <w:tcPr>
            <w:tcW w:w="655" w:type="pct"/>
            <w:tcBorders>
              <w:top w:val="nil"/>
              <w:left w:val="nil"/>
              <w:bottom w:val="nil"/>
              <w:right w:val="nil"/>
            </w:tcBorders>
            <w:shd w:val="clear" w:color="auto" w:fill="auto"/>
            <w:vAlign w:val="center"/>
          </w:tcPr>
          <w:p w14:paraId="6A0CF89A" w14:textId="4858F4CA"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(4.597.590)</w:t>
            </w:r>
          </w:p>
        </w:tc>
        <w:tc>
          <w:tcPr>
            <w:tcW w:w="582" w:type="pct"/>
            <w:tcBorders>
              <w:top w:val="nil"/>
              <w:left w:val="nil"/>
              <w:bottom w:val="nil"/>
              <w:right w:val="nil"/>
            </w:tcBorders>
            <w:shd w:val="clear" w:color="auto" w:fill="auto"/>
            <w:vAlign w:val="center"/>
          </w:tcPr>
          <w:p w14:paraId="0EAA1094" w14:textId="572B0C27" w:rsidR="00703A90" w:rsidRPr="00E20D21" w:rsidRDefault="00EA706D" w:rsidP="00EA706D">
            <w:pPr>
              <w:ind w:firstLineChars="100" w:firstLine="157"/>
              <w:jc w:val="center"/>
              <w:rPr>
                <w:rFonts w:ascii="CAIXA Std Book" w:hAnsi="CAIXA Std Book"/>
                <w:bCs/>
                <w:color w:val="005CA9"/>
                <w:sz w:val="16"/>
                <w:szCs w:val="16"/>
              </w:rPr>
            </w:pPr>
            <w:r w:rsidRPr="00E20D21">
              <w:rPr>
                <w:rFonts w:ascii="CAIXA Std Book" w:hAnsi="CAIXA Std Book"/>
                <w:b/>
                <w:color w:val="005CA9"/>
                <w:sz w:val="16"/>
                <w:szCs w:val="16"/>
              </w:rPr>
              <w:t>-</w:t>
            </w:r>
          </w:p>
        </w:tc>
        <w:tc>
          <w:tcPr>
            <w:tcW w:w="555" w:type="pct"/>
            <w:tcBorders>
              <w:top w:val="nil"/>
              <w:left w:val="nil"/>
              <w:bottom w:val="nil"/>
              <w:right w:val="nil"/>
            </w:tcBorders>
            <w:shd w:val="clear" w:color="auto" w:fill="auto"/>
            <w:vAlign w:val="center"/>
          </w:tcPr>
          <w:p w14:paraId="2D4AAF12" w14:textId="7EB33952" w:rsidR="00703A90" w:rsidRPr="00E20D21" w:rsidRDefault="00EA706D"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982.072</w:t>
            </w:r>
          </w:p>
        </w:tc>
        <w:tc>
          <w:tcPr>
            <w:tcW w:w="576" w:type="pct"/>
            <w:tcBorders>
              <w:top w:val="nil"/>
              <w:left w:val="nil"/>
              <w:bottom w:val="nil"/>
              <w:right w:val="nil"/>
            </w:tcBorders>
            <w:shd w:val="clear" w:color="auto" w:fill="auto"/>
            <w:vAlign w:val="center"/>
          </w:tcPr>
          <w:p w14:paraId="252B0CF3" w14:textId="2CDC0F54" w:rsidR="00703A90" w:rsidRPr="00E20D21" w:rsidRDefault="00703A90" w:rsidP="00703A90">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910.427</w:t>
            </w:r>
          </w:p>
        </w:tc>
      </w:tr>
      <w:tr w:rsidR="00703A90" w:rsidRPr="00E20D21" w14:paraId="7CD930FA" w14:textId="77777777" w:rsidTr="00731DED">
        <w:trPr>
          <w:trHeight w:val="283"/>
        </w:trPr>
        <w:tc>
          <w:tcPr>
            <w:tcW w:w="1617" w:type="pct"/>
            <w:tcBorders>
              <w:top w:val="nil"/>
              <w:left w:val="nil"/>
              <w:bottom w:val="nil"/>
              <w:right w:val="nil"/>
            </w:tcBorders>
            <w:shd w:val="clear" w:color="auto" w:fill="auto"/>
            <w:vAlign w:val="center"/>
            <w:hideMark/>
          </w:tcPr>
          <w:p w14:paraId="31900BEF" w14:textId="77777777"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Móveis em estoque e outros equipamentos</w:t>
            </w:r>
          </w:p>
        </w:tc>
        <w:tc>
          <w:tcPr>
            <w:tcW w:w="433" w:type="pct"/>
            <w:tcBorders>
              <w:top w:val="nil"/>
              <w:left w:val="nil"/>
              <w:bottom w:val="nil"/>
              <w:right w:val="nil"/>
            </w:tcBorders>
            <w:shd w:val="clear" w:color="auto" w:fill="auto"/>
            <w:vAlign w:val="center"/>
          </w:tcPr>
          <w:p w14:paraId="7E268EB0" w14:textId="182C3330" w:rsidR="00703A90" w:rsidRPr="00E20D21" w:rsidRDefault="00D83CC3" w:rsidP="00703A90">
            <w:pPr>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82" w:type="pct"/>
            <w:tcBorders>
              <w:top w:val="nil"/>
              <w:left w:val="nil"/>
              <w:bottom w:val="nil"/>
              <w:right w:val="nil"/>
            </w:tcBorders>
            <w:shd w:val="clear" w:color="auto" w:fill="auto"/>
            <w:vAlign w:val="center"/>
          </w:tcPr>
          <w:p w14:paraId="283CDEFD" w14:textId="098B1D7C"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787.309</w:t>
            </w:r>
          </w:p>
        </w:tc>
        <w:tc>
          <w:tcPr>
            <w:tcW w:w="655" w:type="pct"/>
            <w:tcBorders>
              <w:top w:val="nil"/>
              <w:left w:val="nil"/>
              <w:bottom w:val="nil"/>
              <w:right w:val="nil"/>
            </w:tcBorders>
            <w:shd w:val="clear" w:color="auto" w:fill="auto"/>
            <w:vAlign w:val="center"/>
          </w:tcPr>
          <w:p w14:paraId="42435CDD" w14:textId="17B3B6C9"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(557.982)</w:t>
            </w:r>
          </w:p>
        </w:tc>
        <w:tc>
          <w:tcPr>
            <w:tcW w:w="582" w:type="pct"/>
            <w:tcBorders>
              <w:top w:val="nil"/>
              <w:left w:val="nil"/>
              <w:bottom w:val="nil"/>
              <w:right w:val="nil"/>
            </w:tcBorders>
            <w:shd w:val="clear" w:color="auto" w:fill="auto"/>
            <w:vAlign w:val="center"/>
          </w:tcPr>
          <w:p w14:paraId="2D4E52AB" w14:textId="75A6A16C"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(9.087)</w:t>
            </w:r>
          </w:p>
        </w:tc>
        <w:tc>
          <w:tcPr>
            <w:tcW w:w="555" w:type="pct"/>
            <w:tcBorders>
              <w:top w:val="nil"/>
              <w:left w:val="nil"/>
              <w:bottom w:val="nil"/>
              <w:right w:val="nil"/>
            </w:tcBorders>
            <w:shd w:val="clear" w:color="auto" w:fill="auto"/>
            <w:vAlign w:val="center"/>
          </w:tcPr>
          <w:p w14:paraId="30C62F6E" w14:textId="3CAB030A"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220.240</w:t>
            </w:r>
          </w:p>
        </w:tc>
        <w:tc>
          <w:tcPr>
            <w:tcW w:w="576" w:type="pct"/>
            <w:tcBorders>
              <w:top w:val="nil"/>
              <w:left w:val="nil"/>
              <w:bottom w:val="single" w:sz="4" w:space="0" w:color="F39200"/>
              <w:right w:val="nil"/>
            </w:tcBorders>
            <w:shd w:val="clear" w:color="auto" w:fill="auto"/>
            <w:vAlign w:val="center"/>
          </w:tcPr>
          <w:p w14:paraId="3E16697A" w14:textId="1962FC49" w:rsidR="00703A90" w:rsidRPr="00E20D21" w:rsidRDefault="00703A90"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188.569</w:t>
            </w:r>
          </w:p>
        </w:tc>
      </w:tr>
      <w:tr w:rsidR="00703A90" w:rsidRPr="00E20D21" w14:paraId="45BBE95C" w14:textId="77777777" w:rsidTr="00731DED">
        <w:trPr>
          <w:trHeight w:val="283"/>
        </w:trPr>
        <w:tc>
          <w:tcPr>
            <w:tcW w:w="1617" w:type="pct"/>
            <w:tcBorders>
              <w:top w:val="single" w:sz="4" w:space="0" w:color="F39200"/>
              <w:left w:val="nil"/>
              <w:bottom w:val="single" w:sz="4" w:space="0" w:color="F39200"/>
              <w:right w:val="nil"/>
            </w:tcBorders>
            <w:shd w:val="clear" w:color="auto" w:fill="auto"/>
            <w:vAlign w:val="center"/>
            <w:hideMark/>
          </w:tcPr>
          <w:p w14:paraId="3338E7D9" w14:textId="334C357D" w:rsidR="00703A90" w:rsidRPr="00E20D21" w:rsidRDefault="00703A90" w:rsidP="00703A90">
            <w:pPr>
              <w:rPr>
                <w:rFonts w:ascii="CAIXA Std Book" w:hAnsi="CAIXA Std Book"/>
                <w:b/>
                <w:color w:val="005CA9"/>
                <w:sz w:val="16"/>
                <w:szCs w:val="16"/>
              </w:rPr>
            </w:pPr>
            <w:r w:rsidRPr="00E20D21">
              <w:rPr>
                <w:rFonts w:ascii="CAIXA Std Book" w:hAnsi="CAIXA Std Book"/>
                <w:b/>
                <w:color w:val="005CA9"/>
                <w:sz w:val="16"/>
                <w:szCs w:val="16"/>
              </w:rPr>
              <w:t>Total</w:t>
            </w:r>
          </w:p>
        </w:tc>
        <w:tc>
          <w:tcPr>
            <w:tcW w:w="433" w:type="pct"/>
            <w:tcBorders>
              <w:top w:val="single" w:sz="4" w:space="0" w:color="F39200"/>
              <w:left w:val="nil"/>
              <w:bottom w:val="single" w:sz="4" w:space="0" w:color="F39200"/>
              <w:right w:val="nil"/>
            </w:tcBorders>
            <w:shd w:val="clear" w:color="auto" w:fill="auto"/>
            <w:vAlign w:val="center"/>
          </w:tcPr>
          <w:p w14:paraId="29234195" w14:textId="69B4AE62" w:rsidR="00703A90" w:rsidRPr="00E20D21" w:rsidRDefault="00703A90" w:rsidP="00703A90">
            <w:pPr>
              <w:jc w:val="center"/>
              <w:rPr>
                <w:rFonts w:ascii="CAIXA Std Book" w:hAnsi="CAIXA Std Book"/>
                <w:b/>
                <w:color w:val="005CA9"/>
                <w:sz w:val="16"/>
                <w:szCs w:val="16"/>
              </w:rPr>
            </w:pPr>
          </w:p>
        </w:tc>
        <w:tc>
          <w:tcPr>
            <w:tcW w:w="582" w:type="pct"/>
            <w:tcBorders>
              <w:top w:val="single" w:sz="4" w:space="0" w:color="F39200"/>
              <w:left w:val="nil"/>
              <w:bottom w:val="single" w:sz="4" w:space="0" w:color="F39200"/>
              <w:right w:val="nil"/>
            </w:tcBorders>
            <w:shd w:val="clear" w:color="auto" w:fill="auto"/>
            <w:vAlign w:val="center"/>
          </w:tcPr>
          <w:p w14:paraId="4897AB20" w14:textId="38F6D126" w:rsidR="00703A90" w:rsidRPr="00E20D21" w:rsidRDefault="00EA706D" w:rsidP="00D83CC3">
            <w:pPr>
              <w:jc w:val="right"/>
              <w:rPr>
                <w:rFonts w:ascii="CAIXA Std Book" w:hAnsi="CAIXA Std Book"/>
                <w:b/>
                <w:color w:val="005CA9"/>
                <w:sz w:val="16"/>
                <w:szCs w:val="16"/>
              </w:rPr>
            </w:pPr>
            <w:r w:rsidRPr="00E20D21">
              <w:rPr>
                <w:rFonts w:ascii="CAIXA Std Book" w:hAnsi="CAIXA Std Book"/>
                <w:b/>
                <w:color w:val="005CA9"/>
                <w:sz w:val="16"/>
                <w:szCs w:val="16"/>
              </w:rPr>
              <w:t>11.787.147</w:t>
            </w:r>
          </w:p>
        </w:tc>
        <w:tc>
          <w:tcPr>
            <w:tcW w:w="655" w:type="pct"/>
            <w:tcBorders>
              <w:top w:val="single" w:sz="4" w:space="0" w:color="F39200"/>
              <w:left w:val="nil"/>
              <w:bottom w:val="single" w:sz="4" w:space="0" w:color="F39200"/>
              <w:right w:val="nil"/>
            </w:tcBorders>
            <w:shd w:val="clear" w:color="auto" w:fill="auto"/>
            <w:vAlign w:val="center"/>
          </w:tcPr>
          <w:p w14:paraId="7D8CB4BA" w14:textId="647808D8"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(8.684.392)</w:t>
            </w:r>
          </w:p>
        </w:tc>
        <w:tc>
          <w:tcPr>
            <w:tcW w:w="582" w:type="pct"/>
            <w:tcBorders>
              <w:top w:val="single" w:sz="4" w:space="0" w:color="F39200"/>
              <w:left w:val="nil"/>
              <w:bottom w:val="single" w:sz="4" w:space="0" w:color="F39200"/>
              <w:right w:val="nil"/>
            </w:tcBorders>
            <w:shd w:val="clear" w:color="auto" w:fill="auto"/>
            <w:vAlign w:val="center"/>
          </w:tcPr>
          <w:p w14:paraId="19FE3610" w14:textId="148BB26F"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(39.475)</w:t>
            </w:r>
          </w:p>
        </w:tc>
        <w:tc>
          <w:tcPr>
            <w:tcW w:w="555" w:type="pct"/>
            <w:tcBorders>
              <w:top w:val="single" w:sz="4" w:space="0" w:color="F39200"/>
              <w:left w:val="nil"/>
              <w:bottom w:val="single" w:sz="4" w:space="0" w:color="F39200"/>
              <w:right w:val="nil"/>
            </w:tcBorders>
            <w:shd w:val="clear" w:color="auto" w:fill="auto"/>
            <w:vAlign w:val="center"/>
          </w:tcPr>
          <w:p w14:paraId="486CCC45" w14:textId="07A077F8" w:rsidR="00703A90" w:rsidRPr="00E20D21" w:rsidRDefault="00EA706D"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3.063.280</w:t>
            </w:r>
          </w:p>
        </w:tc>
        <w:tc>
          <w:tcPr>
            <w:tcW w:w="576" w:type="pct"/>
            <w:tcBorders>
              <w:top w:val="nil"/>
              <w:left w:val="nil"/>
              <w:bottom w:val="single" w:sz="4" w:space="0" w:color="F39200"/>
              <w:right w:val="nil"/>
            </w:tcBorders>
            <w:shd w:val="clear" w:color="auto" w:fill="auto"/>
            <w:vAlign w:val="center"/>
          </w:tcPr>
          <w:p w14:paraId="10E53F59" w14:textId="7FFDAA6B" w:rsidR="00703A90" w:rsidRPr="00E20D21" w:rsidRDefault="00703A90" w:rsidP="00703A90">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2.902.737</w:t>
            </w:r>
          </w:p>
        </w:tc>
      </w:tr>
    </w:tbl>
    <w:p w14:paraId="2B6889C6" w14:textId="77777777" w:rsidR="00E93A21" w:rsidRPr="00E20D21" w:rsidRDefault="00E93A21">
      <w:pPr>
        <w:rPr>
          <w:rFonts w:ascii="CAIXA Std Book" w:hAnsi="CAIXA Std Book"/>
          <w:b/>
          <w:color w:val="005CA9"/>
          <w:sz w:val="20"/>
          <w:szCs w:val="20"/>
        </w:rPr>
      </w:pPr>
      <w:r w:rsidRPr="00E20D21">
        <w:rPr>
          <w:rFonts w:ascii="CAIXA Std Book" w:hAnsi="CAIXA Std Book"/>
          <w:b/>
          <w:color w:val="005CA9"/>
          <w:sz w:val="20"/>
          <w:szCs w:val="20"/>
        </w:rPr>
        <w:br w:type="page"/>
      </w:r>
    </w:p>
    <w:p w14:paraId="17F4DAAF" w14:textId="354DB859" w:rsidR="00657973" w:rsidRPr="00E20D21" w:rsidRDefault="00657973" w:rsidP="00BB5675">
      <w:pPr>
        <w:pStyle w:val="PargrafodaLista"/>
        <w:numPr>
          <w:ilvl w:val="1"/>
          <w:numId w:val="14"/>
        </w:numPr>
        <w:tabs>
          <w:tab w:val="left" w:pos="3945"/>
        </w:tabs>
        <w:spacing w:before="360" w:after="240"/>
        <w:contextualSpacing w:val="0"/>
        <w:rPr>
          <w:rFonts w:ascii="CAIXA Std Book" w:hAnsi="CAIXA Std Book"/>
          <w:b/>
          <w:color w:val="005CA9"/>
          <w:sz w:val="20"/>
          <w:szCs w:val="20"/>
        </w:rPr>
      </w:pPr>
      <w:r w:rsidRPr="00E20D21">
        <w:rPr>
          <w:rFonts w:ascii="CAIXA Std Book" w:hAnsi="CAIXA Std Book"/>
          <w:b/>
          <w:color w:val="005CA9"/>
          <w:sz w:val="20"/>
          <w:szCs w:val="20"/>
        </w:rPr>
        <w:lastRenderedPageBreak/>
        <w:t>Movimentação</w:t>
      </w:r>
      <w:r w:rsidR="0021581D" w:rsidRPr="00E20D21">
        <w:rPr>
          <w:rFonts w:ascii="CAIXA Std Book" w:hAnsi="CAIXA Std Book"/>
          <w:b/>
          <w:color w:val="005CA9"/>
          <w:sz w:val="20"/>
          <w:szCs w:val="20"/>
        </w:rPr>
        <w:t xml:space="preserve"> </w:t>
      </w:r>
    </w:p>
    <w:tbl>
      <w:tblPr>
        <w:tblW w:w="5000" w:type="pct"/>
        <w:tblCellMar>
          <w:left w:w="70" w:type="dxa"/>
          <w:right w:w="70" w:type="dxa"/>
        </w:tblCellMar>
        <w:tblLook w:val="04A0" w:firstRow="1" w:lastRow="0" w:firstColumn="1" w:lastColumn="0" w:noHBand="0" w:noVBand="1"/>
      </w:tblPr>
      <w:tblGrid>
        <w:gridCol w:w="3401"/>
        <w:gridCol w:w="1110"/>
        <w:gridCol w:w="1066"/>
        <w:gridCol w:w="970"/>
        <w:gridCol w:w="865"/>
        <w:gridCol w:w="1114"/>
        <w:gridCol w:w="1112"/>
      </w:tblGrid>
      <w:tr w:rsidR="00A47C19" w:rsidRPr="00E20D21" w14:paraId="6E50232F" w14:textId="2D9ADFBD" w:rsidTr="001C39E4">
        <w:trPr>
          <w:trHeight w:val="271"/>
        </w:trPr>
        <w:tc>
          <w:tcPr>
            <w:tcW w:w="5000" w:type="pct"/>
            <w:gridSpan w:val="7"/>
            <w:tcBorders>
              <w:top w:val="single" w:sz="4" w:space="0" w:color="F39200"/>
              <w:left w:val="nil"/>
              <w:bottom w:val="single" w:sz="4" w:space="0" w:color="F39200"/>
              <w:right w:val="nil"/>
            </w:tcBorders>
            <w:vAlign w:val="center"/>
          </w:tcPr>
          <w:p w14:paraId="377DC089" w14:textId="72D421CB" w:rsidR="00803B06" w:rsidRPr="00E20D21" w:rsidRDefault="00803B06" w:rsidP="00803B06">
            <w:pPr>
              <w:jc w:val="center"/>
              <w:rPr>
                <w:rFonts w:ascii="CAIXA Std Book" w:hAnsi="CAIXA Std Book"/>
                <w:b/>
                <w:color w:val="005CA9"/>
                <w:sz w:val="16"/>
                <w:szCs w:val="16"/>
              </w:rPr>
            </w:pPr>
            <w:r w:rsidRPr="00E20D21">
              <w:rPr>
                <w:rFonts w:ascii="CAIXA Std Book" w:hAnsi="CAIXA Std Book"/>
                <w:b/>
                <w:color w:val="005CA9"/>
                <w:sz w:val="16"/>
                <w:szCs w:val="16"/>
              </w:rPr>
              <w:t>INDIVIDUAL</w:t>
            </w:r>
          </w:p>
        </w:tc>
      </w:tr>
      <w:tr w:rsidR="00A47C19" w:rsidRPr="00E20D21" w14:paraId="34200626" w14:textId="1DE71716" w:rsidTr="001C39E4">
        <w:trPr>
          <w:trHeight w:val="271"/>
        </w:trPr>
        <w:tc>
          <w:tcPr>
            <w:tcW w:w="1764" w:type="pct"/>
            <w:vMerge w:val="restart"/>
            <w:tcBorders>
              <w:top w:val="nil"/>
              <w:left w:val="nil"/>
              <w:bottom w:val="single" w:sz="4" w:space="0" w:color="F39200"/>
              <w:right w:val="nil"/>
            </w:tcBorders>
            <w:shd w:val="clear" w:color="auto" w:fill="auto"/>
            <w:vAlign w:val="center"/>
            <w:hideMark/>
          </w:tcPr>
          <w:p w14:paraId="1362A3A2" w14:textId="77777777" w:rsidR="00803B06" w:rsidRPr="00E20D21" w:rsidRDefault="00803B06" w:rsidP="007053FD">
            <w:pPr>
              <w:jc w:val="center"/>
              <w:rPr>
                <w:rFonts w:ascii="CAIXA Std Book" w:hAnsi="CAIXA Std Book"/>
                <w:b/>
                <w:color w:val="005CA9"/>
                <w:sz w:val="16"/>
                <w:szCs w:val="16"/>
              </w:rPr>
            </w:pPr>
            <w:r w:rsidRPr="00E20D21">
              <w:rPr>
                <w:rFonts w:ascii="CAIXA Std Book" w:hAnsi="CAIXA Std Book"/>
                <w:b/>
                <w:color w:val="005CA9"/>
                <w:sz w:val="16"/>
                <w:szCs w:val="16"/>
              </w:rPr>
              <w:t>Descrição</w:t>
            </w:r>
          </w:p>
        </w:tc>
        <w:tc>
          <w:tcPr>
            <w:tcW w:w="576" w:type="pct"/>
            <w:tcBorders>
              <w:top w:val="nil"/>
              <w:left w:val="nil"/>
              <w:bottom w:val="single" w:sz="4" w:space="0" w:color="F39200"/>
              <w:right w:val="nil"/>
            </w:tcBorders>
            <w:shd w:val="clear" w:color="auto" w:fill="auto"/>
            <w:vAlign w:val="center"/>
            <w:hideMark/>
          </w:tcPr>
          <w:p w14:paraId="4A2C4482" w14:textId="18C11106" w:rsidR="00803B06" w:rsidRPr="00E20D21" w:rsidRDefault="00803B06" w:rsidP="007053FD">
            <w:pPr>
              <w:jc w:val="center"/>
              <w:rPr>
                <w:rFonts w:ascii="CAIXA Std Book" w:hAnsi="CAIXA Std Book"/>
                <w:b/>
                <w:color w:val="005CA9"/>
                <w:sz w:val="16"/>
                <w:szCs w:val="16"/>
              </w:rPr>
            </w:pPr>
            <w:r w:rsidRPr="00E20D21">
              <w:rPr>
                <w:rFonts w:ascii="CAIXA Std Book" w:hAnsi="CAIXA Std Book"/>
                <w:b/>
                <w:color w:val="005CA9"/>
                <w:sz w:val="16"/>
                <w:szCs w:val="16"/>
              </w:rPr>
              <w:t>31/12/202</w:t>
            </w:r>
            <w:r w:rsidR="00673BE8" w:rsidRPr="00E20D21">
              <w:rPr>
                <w:rFonts w:ascii="CAIXA Std Book" w:hAnsi="CAIXA Std Book"/>
                <w:b/>
                <w:color w:val="005CA9"/>
                <w:sz w:val="16"/>
                <w:szCs w:val="16"/>
              </w:rPr>
              <w:t>3</w:t>
            </w:r>
          </w:p>
        </w:tc>
        <w:tc>
          <w:tcPr>
            <w:tcW w:w="2083" w:type="pct"/>
            <w:gridSpan w:val="4"/>
            <w:tcBorders>
              <w:top w:val="single" w:sz="4" w:space="0" w:color="F39200"/>
              <w:left w:val="nil"/>
              <w:bottom w:val="single" w:sz="4" w:space="0" w:color="F39200"/>
              <w:right w:val="nil"/>
            </w:tcBorders>
            <w:vAlign w:val="center"/>
          </w:tcPr>
          <w:p w14:paraId="1F4D1415" w14:textId="45C527C8" w:rsidR="00803B06" w:rsidRPr="00E20D21" w:rsidRDefault="00803B06" w:rsidP="00803B06">
            <w:pPr>
              <w:jc w:val="center"/>
              <w:rPr>
                <w:rFonts w:ascii="CAIXA Std Book" w:hAnsi="CAIXA Std Book"/>
                <w:b/>
                <w:color w:val="005CA9"/>
                <w:sz w:val="16"/>
                <w:szCs w:val="16"/>
              </w:rPr>
            </w:pPr>
            <w:r w:rsidRPr="00E20D21">
              <w:rPr>
                <w:rFonts w:ascii="CAIXA Std Book" w:hAnsi="CAIXA Std Book"/>
                <w:b/>
                <w:color w:val="005CA9"/>
                <w:sz w:val="16"/>
                <w:szCs w:val="16"/>
              </w:rPr>
              <w:t>Movimentação</w:t>
            </w:r>
          </w:p>
        </w:tc>
        <w:tc>
          <w:tcPr>
            <w:tcW w:w="577" w:type="pct"/>
            <w:tcBorders>
              <w:top w:val="nil"/>
              <w:left w:val="nil"/>
              <w:bottom w:val="single" w:sz="4" w:space="0" w:color="F39200"/>
              <w:right w:val="nil"/>
            </w:tcBorders>
            <w:vAlign w:val="center"/>
          </w:tcPr>
          <w:p w14:paraId="6EC3D030" w14:textId="62F6BC69" w:rsidR="00803B06" w:rsidRPr="00E20D21" w:rsidRDefault="00673BE8" w:rsidP="007053FD">
            <w:pPr>
              <w:jc w:val="center"/>
              <w:rPr>
                <w:rFonts w:ascii="CAIXA Std Book" w:hAnsi="CAIXA Std Book"/>
                <w:b/>
                <w:color w:val="005CA9"/>
                <w:sz w:val="16"/>
                <w:szCs w:val="16"/>
              </w:rPr>
            </w:pPr>
            <w:r w:rsidRPr="00E20D21">
              <w:rPr>
                <w:rFonts w:ascii="CAIXA Std Book" w:hAnsi="CAIXA Std Book"/>
                <w:b/>
                <w:color w:val="005CA9"/>
                <w:sz w:val="16"/>
                <w:szCs w:val="16"/>
              </w:rPr>
              <w:t>30/06/2024</w:t>
            </w:r>
          </w:p>
        </w:tc>
      </w:tr>
      <w:tr w:rsidR="00A47C19" w:rsidRPr="00E20D21" w14:paraId="53C4C772" w14:textId="19FE7301" w:rsidTr="001C39E4">
        <w:trPr>
          <w:trHeight w:val="271"/>
        </w:trPr>
        <w:tc>
          <w:tcPr>
            <w:tcW w:w="1764" w:type="pct"/>
            <w:vMerge/>
            <w:tcBorders>
              <w:top w:val="nil"/>
              <w:left w:val="nil"/>
              <w:bottom w:val="single" w:sz="4" w:space="0" w:color="F39200"/>
              <w:right w:val="nil"/>
            </w:tcBorders>
            <w:vAlign w:val="center"/>
            <w:hideMark/>
          </w:tcPr>
          <w:p w14:paraId="4B98BEBD" w14:textId="77777777" w:rsidR="00A20F81" w:rsidRPr="00E20D21" w:rsidRDefault="00A20F81" w:rsidP="007053FD">
            <w:pPr>
              <w:rPr>
                <w:rFonts w:ascii="CAIXA Std Book" w:hAnsi="CAIXA Std Book"/>
                <w:b/>
                <w:color w:val="005CA9"/>
                <w:sz w:val="16"/>
                <w:szCs w:val="16"/>
              </w:rPr>
            </w:pPr>
          </w:p>
        </w:tc>
        <w:tc>
          <w:tcPr>
            <w:tcW w:w="576" w:type="pct"/>
            <w:tcBorders>
              <w:top w:val="nil"/>
              <w:left w:val="nil"/>
              <w:bottom w:val="single" w:sz="4" w:space="0" w:color="F39200"/>
              <w:right w:val="nil"/>
            </w:tcBorders>
            <w:shd w:val="clear" w:color="auto" w:fill="auto"/>
            <w:vAlign w:val="center"/>
            <w:hideMark/>
          </w:tcPr>
          <w:p w14:paraId="3DDA37D2" w14:textId="77777777" w:rsidR="00A20F81" w:rsidRPr="00E20D21" w:rsidRDefault="00A20F81" w:rsidP="007053FD">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c>
          <w:tcPr>
            <w:tcW w:w="553" w:type="pct"/>
            <w:tcBorders>
              <w:top w:val="nil"/>
              <w:left w:val="nil"/>
              <w:bottom w:val="single" w:sz="4" w:space="0" w:color="F39200"/>
              <w:right w:val="nil"/>
            </w:tcBorders>
            <w:shd w:val="clear" w:color="auto" w:fill="auto"/>
            <w:vAlign w:val="center"/>
            <w:hideMark/>
          </w:tcPr>
          <w:p w14:paraId="779C40FD" w14:textId="77777777" w:rsidR="00A20F81" w:rsidRPr="00E20D21" w:rsidRDefault="00A20F81" w:rsidP="007053FD">
            <w:pPr>
              <w:jc w:val="center"/>
              <w:rPr>
                <w:rFonts w:ascii="CAIXA Std Book" w:hAnsi="CAIXA Std Book"/>
                <w:b/>
                <w:color w:val="005CA9"/>
                <w:sz w:val="16"/>
                <w:szCs w:val="16"/>
              </w:rPr>
            </w:pPr>
            <w:proofErr w:type="spellStart"/>
            <w:r w:rsidRPr="00E20D21">
              <w:rPr>
                <w:rFonts w:ascii="CAIXA Std Book" w:hAnsi="CAIXA Std Book"/>
                <w:b/>
                <w:color w:val="005CA9"/>
                <w:sz w:val="16"/>
                <w:szCs w:val="16"/>
              </w:rPr>
              <w:t>Transf</w:t>
            </w:r>
            <w:proofErr w:type="spellEnd"/>
            <w:r w:rsidRPr="00E20D21">
              <w:rPr>
                <w:rFonts w:ascii="CAIXA Std Book" w:hAnsi="CAIXA Std Book"/>
                <w:b/>
                <w:color w:val="005CA9"/>
                <w:sz w:val="16"/>
                <w:szCs w:val="16"/>
              </w:rPr>
              <w:t>.</w:t>
            </w:r>
          </w:p>
        </w:tc>
        <w:tc>
          <w:tcPr>
            <w:tcW w:w="503" w:type="pct"/>
            <w:tcBorders>
              <w:top w:val="nil"/>
              <w:left w:val="nil"/>
              <w:bottom w:val="single" w:sz="4" w:space="0" w:color="F39200"/>
              <w:right w:val="nil"/>
            </w:tcBorders>
            <w:shd w:val="clear" w:color="auto" w:fill="auto"/>
            <w:vAlign w:val="center"/>
            <w:hideMark/>
          </w:tcPr>
          <w:p w14:paraId="4076119C" w14:textId="77777777" w:rsidR="00A20F81" w:rsidRPr="00E20D21" w:rsidRDefault="00A20F81" w:rsidP="007053FD">
            <w:pPr>
              <w:jc w:val="center"/>
              <w:rPr>
                <w:rFonts w:ascii="CAIXA Std Book" w:hAnsi="CAIXA Std Book"/>
                <w:b/>
                <w:color w:val="005CA9"/>
                <w:sz w:val="16"/>
                <w:szCs w:val="16"/>
              </w:rPr>
            </w:pPr>
            <w:r w:rsidRPr="00E20D21">
              <w:rPr>
                <w:rFonts w:ascii="CAIXA Std Book" w:hAnsi="CAIXA Std Book"/>
                <w:b/>
                <w:color w:val="005CA9"/>
                <w:sz w:val="16"/>
                <w:szCs w:val="16"/>
              </w:rPr>
              <w:t>Adições</w:t>
            </w:r>
          </w:p>
        </w:tc>
        <w:tc>
          <w:tcPr>
            <w:tcW w:w="449" w:type="pct"/>
            <w:tcBorders>
              <w:top w:val="nil"/>
              <w:left w:val="nil"/>
              <w:bottom w:val="single" w:sz="4" w:space="0" w:color="F39200"/>
              <w:right w:val="nil"/>
            </w:tcBorders>
            <w:shd w:val="clear" w:color="auto" w:fill="auto"/>
            <w:vAlign w:val="center"/>
            <w:hideMark/>
          </w:tcPr>
          <w:p w14:paraId="0C8E7680" w14:textId="1069627E" w:rsidR="00A20F81" w:rsidRPr="00E20D21" w:rsidRDefault="00A20F81" w:rsidP="007053FD">
            <w:pPr>
              <w:jc w:val="center"/>
              <w:rPr>
                <w:rFonts w:ascii="CAIXA Std Book" w:hAnsi="CAIXA Std Book"/>
                <w:b/>
                <w:color w:val="005CA9"/>
                <w:sz w:val="16"/>
                <w:szCs w:val="16"/>
              </w:rPr>
            </w:pPr>
            <w:r w:rsidRPr="00E20D21">
              <w:rPr>
                <w:rFonts w:ascii="CAIXA Std Book" w:hAnsi="CAIXA Std Book"/>
                <w:b/>
                <w:color w:val="005CA9"/>
                <w:sz w:val="16"/>
                <w:szCs w:val="16"/>
              </w:rPr>
              <w:t>Baixas</w:t>
            </w:r>
          </w:p>
        </w:tc>
        <w:tc>
          <w:tcPr>
            <w:tcW w:w="578" w:type="pct"/>
            <w:tcBorders>
              <w:top w:val="nil"/>
              <w:left w:val="nil"/>
              <w:bottom w:val="single" w:sz="4" w:space="0" w:color="F39200"/>
              <w:right w:val="nil"/>
            </w:tcBorders>
            <w:shd w:val="clear" w:color="auto" w:fill="auto"/>
            <w:vAlign w:val="center"/>
            <w:hideMark/>
          </w:tcPr>
          <w:p w14:paraId="5064C465" w14:textId="77777777" w:rsidR="00A20F81" w:rsidRPr="00E20D21" w:rsidRDefault="00A20F81" w:rsidP="007053FD">
            <w:pPr>
              <w:jc w:val="center"/>
              <w:rPr>
                <w:rFonts w:ascii="CAIXA Std Book" w:hAnsi="CAIXA Std Book"/>
                <w:b/>
                <w:color w:val="005CA9"/>
                <w:sz w:val="16"/>
                <w:szCs w:val="16"/>
              </w:rPr>
            </w:pPr>
            <w:r w:rsidRPr="00E20D21">
              <w:rPr>
                <w:rFonts w:ascii="CAIXA Std Book" w:hAnsi="CAIXA Std Book"/>
                <w:b/>
                <w:color w:val="005CA9"/>
                <w:sz w:val="16"/>
                <w:szCs w:val="16"/>
              </w:rPr>
              <w:t>Depreciação</w:t>
            </w:r>
          </w:p>
        </w:tc>
        <w:tc>
          <w:tcPr>
            <w:tcW w:w="577" w:type="pct"/>
            <w:tcBorders>
              <w:top w:val="nil"/>
              <w:left w:val="nil"/>
              <w:bottom w:val="single" w:sz="4" w:space="0" w:color="F39200"/>
              <w:right w:val="nil"/>
            </w:tcBorders>
            <w:vAlign w:val="center"/>
          </w:tcPr>
          <w:p w14:paraId="4A671F45" w14:textId="22419256" w:rsidR="00A20F81" w:rsidRPr="00E20D21" w:rsidRDefault="00A20F81" w:rsidP="007053FD">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r>
      <w:tr w:rsidR="0090776C" w:rsidRPr="00E20D21" w14:paraId="64DAE2DC" w14:textId="44AA4394" w:rsidTr="001C39E4">
        <w:trPr>
          <w:trHeight w:val="271"/>
        </w:trPr>
        <w:tc>
          <w:tcPr>
            <w:tcW w:w="1764" w:type="pct"/>
            <w:tcBorders>
              <w:top w:val="nil"/>
              <w:left w:val="nil"/>
              <w:bottom w:val="nil"/>
              <w:right w:val="nil"/>
            </w:tcBorders>
            <w:shd w:val="clear" w:color="auto" w:fill="auto"/>
            <w:vAlign w:val="center"/>
            <w:hideMark/>
          </w:tcPr>
          <w:p w14:paraId="3F244292" w14:textId="77777777" w:rsidR="0090776C" w:rsidRPr="00E20D21" w:rsidRDefault="0090776C" w:rsidP="0090776C">
            <w:pPr>
              <w:rPr>
                <w:rFonts w:ascii="CAIXA Std Book" w:hAnsi="CAIXA Std Book"/>
                <w:b/>
                <w:color w:val="005CA9"/>
                <w:sz w:val="16"/>
                <w:szCs w:val="16"/>
              </w:rPr>
            </w:pPr>
            <w:r w:rsidRPr="00E20D21">
              <w:rPr>
                <w:rFonts w:ascii="CAIXA Std Book" w:hAnsi="CAIXA Std Book"/>
                <w:b/>
                <w:color w:val="005CA9"/>
                <w:sz w:val="16"/>
                <w:szCs w:val="16"/>
              </w:rPr>
              <w:t>Imóveis de uso</w:t>
            </w:r>
          </w:p>
        </w:tc>
        <w:tc>
          <w:tcPr>
            <w:tcW w:w="576" w:type="pct"/>
            <w:tcBorders>
              <w:top w:val="nil"/>
              <w:left w:val="nil"/>
              <w:bottom w:val="nil"/>
              <w:right w:val="nil"/>
            </w:tcBorders>
            <w:shd w:val="clear" w:color="auto" w:fill="auto"/>
            <w:vAlign w:val="center"/>
          </w:tcPr>
          <w:p w14:paraId="6D1AB2ED" w14:textId="1ED546F7"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908.144</w:t>
            </w:r>
          </w:p>
        </w:tc>
        <w:tc>
          <w:tcPr>
            <w:tcW w:w="553" w:type="pct"/>
            <w:tcBorders>
              <w:top w:val="nil"/>
              <w:left w:val="nil"/>
              <w:bottom w:val="nil"/>
              <w:right w:val="nil"/>
            </w:tcBorders>
            <w:shd w:val="clear" w:color="auto" w:fill="auto"/>
            <w:vAlign w:val="center"/>
          </w:tcPr>
          <w:p w14:paraId="344F30C6" w14:textId="77D32119"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19.322</w:t>
            </w:r>
          </w:p>
        </w:tc>
        <w:tc>
          <w:tcPr>
            <w:tcW w:w="503" w:type="pct"/>
            <w:tcBorders>
              <w:top w:val="nil"/>
              <w:left w:val="nil"/>
              <w:bottom w:val="nil"/>
              <w:right w:val="nil"/>
            </w:tcBorders>
            <w:shd w:val="clear" w:color="auto" w:fill="auto"/>
            <w:vAlign w:val="center"/>
          </w:tcPr>
          <w:p w14:paraId="5D0EED60" w14:textId="19C4A6F3" w:rsidR="0090776C" w:rsidRPr="00E20D21" w:rsidRDefault="0090776C" w:rsidP="0090776C">
            <w:pPr>
              <w:ind w:firstLineChars="100" w:firstLine="160"/>
              <w:jc w:val="center"/>
              <w:rPr>
                <w:rFonts w:ascii="CAIXA Std Book" w:hAnsi="CAIXA Std Book"/>
                <w:b/>
                <w:bCs/>
                <w:color w:val="005CA9"/>
                <w:sz w:val="16"/>
                <w:szCs w:val="16"/>
              </w:rPr>
            </w:pPr>
            <w:r w:rsidRPr="00E20D21">
              <w:rPr>
                <w:rFonts w:ascii="CAIXA Std Book" w:hAnsi="CAIXA Std Book"/>
                <w:b/>
                <w:bCs/>
                <w:color w:val="005CA9"/>
                <w:sz w:val="16"/>
                <w:szCs w:val="16"/>
              </w:rPr>
              <w:t>-</w:t>
            </w:r>
          </w:p>
        </w:tc>
        <w:tc>
          <w:tcPr>
            <w:tcW w:w="449" w:type="pct"/>
            <w:tcBorders>
              <w:top w:val="nil"/>
              <w:left w:val="nil"/>
              <w:bottom w:val="nil"/>
              <w:right w:val="nil"/>
            </w:tcBorders>
            <w:shd w:val="clear" w:color="auto" w:fill="auto"/>
            <w:vAlign w:val="center"/>
          </w:tcPr>
          <w:p w14:paraId="20B566BA" w14:textId="106D1A33" w:rsidR="0090776C" w:rsidRPr="00E20D21" w:rsidRDefault="0090776C" w:rsidP="0090776C">
            <w:pPr>
              <w:ind w:firstLineChars="100" w:firstLine="160"/>
              <w:jc w:val="center"/>
              <w:rPr>
                <w:rFonts w:ascii="CAIXA Std Book" w:hAnsi="CAIXA Std Book"/>
                <w:b/>
                <w:bCs/>
                <w:color w:val="005CA9"/>
                <w:sz w:val="16"/>
                <w:szCs w:val="16"/>
              </w:rPr>
            </w:pPr>
            <w:r w:rsidRPr="00E20D21">
              <w:rPr>
                <w:rFonts w:ascii="CAIXA Std Book" w:hAnsi="CAIXA Std Book"/>
                <w:b/>
                <w:bCs/>
                <w:color w:val="005CA9"/>
                <w:sz w:val="16"/>
                <w:szCs w:val="16"/>
              </w:rPr>
              <w:t>-</w:t>
            </w:r>
          </w:p>
        </w:tc>
        <w:tc>
          <w:tcPr>
            <w:tcW w:w="578" w:type="pct"/>
            <w:tcBorders>
              <w:top w:val="nil"/>
              <w:left w:val="nil"/>
              <w:bottom w:val="nil"/>
              <w:right w:val="nil"/>
            </w:tcBorders>
            <w:shd w:val="clear" w:color="auto" w:fill="auto"/>
            <w:vAlign w:val="center"/>
          </w:tcPr>
          <w:p w14:paraId="6A32A1CB" w14:textId="3CD71350"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(24.849)</w:t>
            </w:r>
          </w:p>
        </w:tc>
        <w:tc>
          <w:tcPr>
            <w:tcW w:w="577" w:type="pct"/>
            <w:tcBorders>
              <w:top w:val="nil"/>
              <w:left w:val="nil"/>
              <w:bottom w:val="nil"/>
              <w:right w:val="nil"/>
            </w:tcBorders>
            <w:vAlign w:val="center"/>
          </w:tcPr>
          <w:p w14:paraId="05395A32" w14:textId="503D5441"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902.617</w:t>
            </w:r>
          </w:p>
        </w:tc>
      </w:tr>
      <w:tr w:rsidR="0090776C" w:rsidRPr="00E20D21" w14:paraId="78841C10" w14:textId="14294283" w:rsidTr="001C39E4">
        <w:trPr>
          <w:trHeight w:val="271"/>
        </w:trPr>
        <w:tc>
          <w:tcPr>
            <w:tcW w:w="1764" w:type="pct"/>
            <w:tcBorders>
              <w:top w:val="nil"/>
              <w:left w:val="nil"/>
              <w:bottom w:val="nil"/>
              <w:right w:val="nil"/>
            </w:tcBorders>
            <w:shd w:val="clear" w:color="auto" w:fill="auto"/>
            <w:vAlign w:val="center"/>
            <w:hideMark/>
          </w:tcPr>
          <w:p w14:paraId="3C3E072F" w14:textId="77777777" w:rsidR="0090776C" w:rsidRPr="00E20D21" w:rsidRDefault="0090776C" w:rsidP="0090776C">
            <w:pPr>
              <w:ind w:firstLineChars="100" w:firstLine="160"/>
              <w:rPr>
                <w:rFonts w:ascii="CAIXA Std Book" w:hAnsi="CAIXA Std Book"/>
                <w:color w:val="005CA9"/>
                <w:sz w:val="16"/>
                <w:szCs w:val="16"/>
              </w:rPr>
            </w:pPr>
            <w:r w:rsidRPr="00E20D21">
              <w:rPr>
                <w:rFonts w:ascii="CAIXA Std Book" w:hAnsi="CAIXA Std Book"/>
                <w:color w:val="005CA9"/>
                <w:sz w:val="16"/>
                <w:szCs w:val="16"/>
              </w:rPr>
              <w:t>Edificações</w:t>
            </w:r>
          </w:p>
        </w:tc>
        <w:tc>
          <w:tcPr>
            <w:tcW w:w="576" w:type="pct"/>
            <w:tcBorders>
              <w:top w:val="nil"/>
              <w:left w:val="nil"/>
              <w:bottom w:val="nil"/>
              <w:right w:val="nil"/>
            </w:tcBorders>
            <w:shd w:val="clear" w:color="auto" w:fill="auto"/>
            <w:vAlign w:val="center"/>
          </w:tcPr>
          <w:p w14:paraId="32A67A2E" w14:textId="42420A7C" w:rsidR="0090776C" w:rsidRPr="00E20D21" w:rsidRDefault="0090776C" w:rsidP="0090776C">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701.690</w:t>
            </w:r>
          </w:p>
        </w:tc>
        <w:tc>
          <w:tcPr>
            <w:tcW w:w="553" w:type="pct"/>
            <w:tcBorders>
              <w:top w:val="nil"/>
              <w:left w:val="nil"/>
              <w:bottom w:val="nil"/>
              <w:right w:val="nil"/>
            </w:tcBorders>
            <w:shd w:val="clear" w:color="auto" w:fill="auto"/>
            <w:vAlign w:val="center"/>
          </w:tcPr>
          <w:p w14:paraId="37AA03F6" w14:textId="79A9BADC" w:rsidR="0090776C" w:rsidRPr="00E20D21" w:rsidRDefault="0090776C" w:rsidP="0090776C">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19.944</w:t>
            </w:r>
          </w:p>
        </w:tc>
        <w:tc>
          <w:tcPr>
            <w:tcW w:w="503" w:type="pct"/>
            <w:tcBorders>
              <w:top w:val="nil"/>
              <w:left w:val="nil"/>
              <w:bottom w:val="nil"/>
              <w:right w:val="nil"/>
            </w:tcBorders>
            <w:shd w:val="clear" w:color="auto" w:fill="auto"/>
            <w:vAlign w:val="center"/>
          </w:tcPr>
          <w:p w14:paraId="1066D8A0" w14:textId="26BBEDB5" w:rsidR="0090776C" w:rsidRPr="00E20D21" w:rsidRDefault="0090776C" w:rsidP="0090776C">
            <w:pPr>
              <w:ind w:firstLineChars="100" w:firstLine="160"/>
              <w:jc w:val="center"/>
              <w:rPr>
                <w:rFonts w:ascii="CAIXA Std Book" w:hAnsi="CAIXA Std Book"/>
                <w:color w:val="005CA9"/>
                <w:sz w:val="16"/>
                <w:szCs w:val="16"/>
              </w:rPr>
            </w:pPr>
            <w:r w:rsidRPr="00E20D21">
              <w:rPr>
                <w:rFonts w:ascii="CAIXA Std Book" w:hAnsi="CAIXA Std Book"/>
                <w:color w:val="005CA9"/>
                <w:sz w:val="16"/>
                <w:szCs w:val="16"/>
              </w:rPr>
              <w:t>-</w:t>
            </w:r>
          </w:p>
        </w:tc>
        <w:tc>
          <w:tcPr>
            <w:tcW w:w="449" w:type="pct"/>
            <w:tcBorders>
              <w:top w:val="nil"/>
              <w:left w:val="nil"/>
              <w:bottom w:val="nil"/>
              <w:right w:val="nil"/>
            </w:tcBorders>
            <w:shd w:val="clear" w:color="auto" w:fill="auto"/>
            <w:vAlign w:val="center"/>
          </w:tcPr>
          <w:p w14:paraId="549126F3" w14:textId="4492E102" w:rsidR="0090776C" w:rsidRPr="00E20D21" w:rsidRDefault="0090776C" w:rsidP="0090776C">
            <w:pPr>
              <w:ind w:firstLineChars="100" w:firstLine="160"/>
              <w:jc w:val="center"/>
              <w:rPr>
                <w:rFonts w:ascii="CAIXA Std Book" w:hAnsi="CAIXA Std Book"/>
                <w:color w:val="005CA9"/>
                <w:sz w:val="16"/>
                <w:szCs w:val="16"/>
              </w:rPr>
            </w:pPr>
            <w:r w:rsidRPr="00E20D21">
              <w:rPr>
                <w:rFonts w:ascii="CAIXA Std Book" w:hAnsi="CAIXA Std Book"/>
                <w:color w:val="005CA9"/>
                <w:sz w:val="16"/>
                <w:szCs w:val="16"/>
              </w:rPr>
              <w:t>-</w:t>
            </w:r>
          </w:p>
        </w:tc>
        <w:tc>
          <w:tcPr>
            <w:tcW w:w="578" w:type="pct"/>
            <w:tcBorders>
              <w:top w:val="nil"/>
              <w:left w:val="nil"/>
              <w:bottom w:val="nil"/>
              <w:right w:val="nil"/>
            </w:tcBorders>
            <w:shd w:val="clear" w:color="auto" w:fill="auto"/>
            <w:vAlign w:val="center"/>
          </w:tcPr>
          <w:p w14:paraId="5F90144A" w14:textId="220CBCDB" w:rsidR="0090776C" w:rsidRPr="00E20D21" w:rsidRDefault="0090776C" w:rsidP="0090776C">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(24.849)</w:t>
            </w:r>
          </w:p>
        </w:tc>
        <w:tc>
          <w:tcPr>
            <w:tcW w:w="577" w:type="pct"/>
            <w:tcBorders>
              <w:top w:val="nil"/>
              <w:left w:val="nil"/>
              <w:bottom w:val="nil"/>
              <w:right w:val="nil"/>
            </w:tcBorders>
            <w:vAlign w:val="center"/>
          </w:tcPr>
          <w:p w14:paraId="27626AF7" w14:textId="5BD6171B" w:rsidR="0090776C" w:rsidRPr="00E20D21" w:rsidRDefault="0090776C" w:rsidP="0090776C">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696.785</w:t>
            </w:r>
          </w:p>
        </w:tc>
      </w:tr>
      <w:tr w:rsidR="0090776C" w:rsidRPr="00E20D21" w14:paraId="6EF64DAA" w14:textId="270B5BE4" w:rsidTr="001C39E4">
        <w:trPr>
          <w:trHeight w:val="271"/>
        </w:trPr>
        <w:tc>
          <w:tcPr>
            <w:tcW w:w="1764" w:type="pct"/>
            <w:tcBorders>
              <w:top w:val="nil"/>
              <w:left w:val="nil"/>
              <w:bottom w:val="nil"/>
              <w:right w:val="nil"/>
            </w:tcBorders>
            <w:shd w:val="clear" w:color="auto" w:fill="auto"/>
            <w:vAlign w:val="center"/>
            <w:hideMark/>
          </w:tcPr>
          <w:p w14:paraId="7F3590E3" w14:textId="77777777" w:rsidR="0090776C" w:rsidRPr="00E20D21" w:rsidRDefault="0090776C" w:rsidP="0090776C">
            <w:pPr>
              <w:ind w:firstLineChars="100" w:firstLine="160"/>
              <w:rPr>
                <w:rFonts w:ascii="CAIXA Std Book" w:hAnsi="CAIXA Std Book"/>
                <w:color w:val="005CA9"/>
                <w:sz w:val="16"/>
                <w:szCs w:val="16"/>
              </w:rPr>
            </w:pPr>
            <w:r w:rsidRPr="00E20D21">
              <w:rPr>
                <w:rFonts w:ascii="CAIXA Std Book" w:hAnsi="CAIXA Std Book"/>
                <w:color w:val="005CA9"/>
                <w:sz w:val="16"/>
                <w:szCs w:val="16"/>
              </w:rPr>
              <w:t>Terrenos</w:t>
            </w:r>
          </w:p>
        </w:tc>
        <w:tc>
          <w:tcPr>
            <w:tcW w:w="576" w:type="pct"/>
            <w:tcBorders>
              <w:top w:val="nil"/>
              <w:left w:val="nil"/>
              <w:bottom w:val="nil"/>
              <w:right w:val="nil"/>
            </w:tcBorders>
            <w:shd w:val="clear" w:color="auto" w:fill="auto"/>
            <w:vAlign w:val="center"/>
          </w:tcPr>
          <w:p w14:paraId="45045711" w14:textId="5E041C4E" w:rsidR="0090776C" w:rsidRPr="00E20D21" w:rsidRDefault="0090776C" w:rsidP="0090776C">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206.454</w:t>
            </w:r>
          </w:p>
        </w:tc>
        <w:tc>
          <w:tcPr>
            <w:tcW w:w="553" w:type="pct"/>
            <w:tcBorders>
              <w:top w:val="nil"/>
              <w:left w:val="nil"/>
              <w:bottom w:val="nil"/>
              <w:right w:val="nil"/>
            </w:tcBorders>
            <w:shd w:val="clear" w:color="auto" w:fill="auto"/>
            <w:vAlign w:val="center"/>
          </w:tcPr>
          <w:p w14:paraId="528CF1BB" w14:textId="7F7270A5" w:rsidR="0090776C" w:rsidRPr="00E20D21" w:rsidRDefault="0090776C" w:rsidP="0090776C">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(622)</w:t>
            </w:r>
          </w:p>
        </w:tc>
        <w:tc>
          <w:tcPr>
            <w:tcW w:w="503" w:type="pct"/>
            <w:tcBorders>
              <w:top w:val="nil"/>
              <w:left w:val="nil"/>
              <w:bottom w:val="nil"/>
              <w:right w:val="nil"/>
            </w:tcBorders>
            <w:shd w:val="clear" w:color="auto" w:fill="auto"/>
            <w:vAlign w:val="center"/>
          </w:tcPr>
          <w:p w14:paraId="04226283" w14:textId="129B0CD4" w:rsidR="0090776C" w:rsidRPr="00E20D21" w:rsidRDefault="0090776C" w:rsidP="0090776C">
            <w:pPr>
              <w:ind w:firstLineChars="100" w:firstLine="160"/>
              <w:jc w:val="center"/>
              <w:rPr>
                <w:rFonts w:ascii="CAIXA Std Book" w:hAnsi="CAIXA Std Book"/>
                <w:color w:val="005CA9"/>
                <w:sz w:val="16"/>
                <w:szCs w:val="16"/>
              </w:rPr>
            </w:pPr>
            <w:r w:rsidRPr="00E20D21">
              <w:rPr>
                <w:rFonts w:ascii="CAIXA Std Book" w:hAnsi="CAIXA Std Book"/>
                <w:color w:val="005CA9"/>
                <w:sz w:val="16"/>
                <w:szCs w:val="16"/>
              </w:rPr>
              <w:t>-</w:t>
            </w:r>
          </w:p>
        </w:tc>
        <w:tc>
          <w:tcPr>
            <w:tcW w:w="449" w:type="pct"/>
            <w:tcBorders>
              <w:top w:val="nil"/>
              <w:left w:val="nil"/>
              <w:bottom w:val="nil"/>
              <w:right w:val="nil"/>
            </w:tcBorders>
            <w:shd w:val="clear" w:color="auto" w:fill="auto"/>
            <w:vAlign w:val="center"/>
          </w:tcPr>
          <w:p w14:paraId="3629EB52" w14:textId="0358C4CD" w:rsidR="0090776C" w:rsidRPr="00E20D21" w:rsidRDefault="0090776C" w:rsidP="0090776C">
            <w:pPr>
              <w:ind w:firstLineChars="100" w:firstLine="160"/>
              <w:jc w:val="center"/>
              <w:rPr>
                <w:rFonts w:ascii="CAIXA Std Book" w:hAnsi="CAIXA Std Book"/>
                <w:color w:val="005CA9"/>
                <w:sz w:val="16"/>
                <w:szCs w:val="16"/>
              </w:rPr>
            </w:pPr>
            <w:r w:rsidRPr="00E20D21">
              <w:rPr>
                <w:rFonts w:ascii="CAIXA Std Book" w:hAnsi="CAIXA Std Book"/>
                <w:color w:val="005CA9"/>
                <w:sz w:val="16"/>
                <w:szCs w:val="16"/>
              </w:rPr>
              <w:t>-</w:t>
            </w:r>
          </w:p>
        </w:tc>
        <w:tc>
          <w:tcPr>
            <w:tcW w:w="578" w:type="pct"/>
            <w:tcBorders>
              <w:top w:val="nil"/>
              <w:left w:val="nil"/>
              <w:bottom w:val="nil"/>
              <w:right w:val="nil"/>
            </w:tcBorders>
            <w:shd w:val="clear" w:color="auto" w:fill="auto"/>
            <w:vAlign w:val="center"/>
          </w:tcPr>
          <w:p w14:paraId="01357751" w14:textId="7F82978E" w:rsidR="0090776C" w:rsidRPr="00E20D21" w:rsidRDefault="0090776C" w:rsidP="0090776C">
            <w:pPr>
              <w:ind w:firstLineChars="100" w:firstLine="160"/>
              <w:jc w:val="center"/>
              <w:rPr>
                <w:rFonts w:ascii="CAIXA Std Book" w:hAnsi="CAIXA Std Book"/>
                <w:color w:val="005CA9"/>
                <w:sz w:val="16"/>
                <w:szCs w:val="16"/>
              </w:rPr>
            </w:pPr>
            <w:r w:rsidRPr="00E20D21">
              <w:rPr>
                <w:rFonts w:ascii="CAIXA Std Book" w:hAnsi="CAIXA Std Book"/>
                <w:color w:val="005CA9"/>
                <w:sz w:val="16"/>
                <w:szCs w:val="16"/>
              </w:rPr>
              <w:t>-</w:t>
            </w:r>
          </w:p>
        </w:tc>
        <w:tc>
          <w:tcPr>
            <w:tcW w:w="577" w:type="pct"/>
            <w:tcBorders>
              <w:top w:val="nil"/>
              <w:left w:val="nil"/>
              <w:bottom w:val="nil"/>
              <w:right w:val="nil"/>
            </w:tcBorders>
            <w:vAlign w:val="center"/>
          </w:tcPr>
          <w:p w14:paraId="401000F0" w14:textId="3F414A50" w:rsidR="0090776C" w:rsidRPr="00E20D21" w:rsidRDefault="0090776C" w:rsidP="0090776C">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205.832</w:t>
            </w:r>
          </w:p>
        </w:tc>
      </w:tr>
      <w:tr w:rsidR="0090776C" w:rsidRPr="00E20D21" w14:paraId="39CC8C46" w14:textId="5911A6D3" w:rsidTr="001C39E4">
        <w:trPr>
          <w:trHeight w:val="271"/>
        </w:trPr>
        <w:tc>
          <w:tcPr>
            <w:tcW w:w="1764" w:type="pct"/>
            <w:tcBorders>
              <w:top w:val="nil"/>
              <w:left w:val="nil"/>
              <w:bottom w:val="nil"/>
              <w:right w:val="nil"/>
            </w:tcBorders>
            <w:shd w:val="clear" w:color="auto" w:fill="auto"/>
            <w:vAlign w:val="center"/>
            <w:hideMark/>
          </w:tcPr>
          <w:p w14:paraId="7A0E5E80" w14:textId="77777777" w:rsidR="0090776C" w:rsidRPr="00E20D21" w:rsidRDefault="0090776C" w:rsidP="0090776C">
            <w:pPr>
              <w:rPr>
                <w:rFonts w:ascii="CAIXA Std Book" w:hAnsi="CAIXA Std Book"/>
                <w:b/>
                <w:color w:val="005CA9"/>
                <w:sz w:val="16"/>
                <w:szCs w:val="16"/>
              </w:rPr>
            </w:pPr>
            <w:r w:rsidRPr="00E20D21">
              <w:rPr>
                <w:rFonts w:ascii="CAIXA Std Book" w:hAnsi="CAIXA Std Book"/>
                <w:b/>
                <w:color w:val="005CA9"/>
                <w:sz w:val="16"/>
                <w:szCs w:val="16"/>
              </w:rPr>
              <w:t>Benfeitorias em imóveis de terceiros</w:t>
            </w:r>
          </w:p>
        </w:tc>
        <w:tc>
          <w:tcPr>
            <w:tcW w:w="576" w:type="pct"/>
            <w:tcBorders>
              <w:top w:val="nil"/>
              <w:left w:val="nil"/>
              <w:bottom w:val="nil"/>
              <w:right w:val="nil"/>
            </w:tcBorders>
            <w:shd w:val="clear" w:color="auto" w:fill="auto"/>
            <w:vAlign w:val="center"/>
          </w:tcPr>
          <w:p w14:paraId="144C5C7F" w14:textId="5A22772F"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499.576</w:t>
            </w:r>
          </w:p>
        </w:tc>
        <w:tc>
          <w:tcPr>
            <w:tcW w:w="553" w:type="pct"/>
            <w:tcBorders>
              <w:top w:val="nil"/>
              <w:left w:val="nil"/>
              <w:bottom w:val="nil"/>
              <w:right w:val="nil"/>
            </w:tcBorders>
            <w:shd w:val="clear" w:color="auto" w:fill="auto"/>
            <w:vAlign w:val="center"/>
          </w:tcPr>
          <w:p w14:paraId="508541B0" w14:textId="64586B57"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120.614</w:t>
            </w:r>
          </w:p>
        </w:tc>
        <w:tc>
          <w:tcPr>
            <w:tcW w:w="503" w:type="pct"/>
            <w:tcBorders>
              <w:top w:val="nil"/>
              <w:left w:val="nil"/>
              <w:bottom w:val="nil"/>
              <w:right w:val="nil"/>
            </w:tcBorders>
            <w:shd w:val="clear" w:color="auto" w:fill="auto"/>
            <w:vAlign w:val="center"/>
          </w:tcPr>
          <w:p w14:paraId="2335D6B4" w14:textId="6147CCD9" w:rsidR="0090776C" w:rsidRPr="00E20D21" w:rsidRDefault="0090776C" w:rsidP="0090776C">
            <w:pPr>
              <w:ind w:firstLineChars="100" w:firstLine="160"/>
              <w:jc w:val="center"/>
              <w:rPr>
                <w:rFonts w:ascii="CAIXA Std Book" w:hAnsi="CAIXA Std Book"/>
                <w:b/>
                <w:bCs/>
                <w:color w:val="005CA9"/>
                <w:sz w:val="16"/>
                <w:szCs w:val="16"/>
              </w:rPr>
            </w:pPr>
            <w:r w:rsidRPr="00E20D21">
              <w:rPr>
                <w:rFonts w:ascii="CAIXA Std Book" w:hAnsi="CAIXA Std Book"/>
                <w:b/>
                <w:bCs/>
                <w:color w:val="005CA9"/>
                <w:sz w:val="16"/>
                <w:szCs w:val="16"/>
              </w:rPr>
              <w:t>-</w:t>
            </w:r>
          </w:p>
        </w:tc>
        <w:tc>
          <w:tcPr>
            <w:tcW w:w="449" w:type="pct"/>
            <w:tcBorders>
              <w:top w:val="nil"/>
              <w:left w:val="nil"/>
              <w:bottom w:val="nil"/>
              <w:right w:val="nil"/>
            </w:tcBorders>
            <w:shd w:val="clear" w:color="auto" w:fill="auto"/>
            <w:vAlign w:val="center"/>
          </w:tcPr>
          <w:p w14:paraId="637A8218" w14:textId="0B51DFB1"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(166)</w:t>
            </w:r>
          </w:p>
        </w:tc>
        <w:tc>
          <w:tcPr>
            <w:tcW w:w="578" w:type="pct"/>
            <w:tcBorders>
              <w:top w:val="nil"/>
              <w:left w:val="nil"/>
              <w:bottom w:val="nil"/>
              <w:right w:val="nil"/>
            </w:tcBorders>
            <w:shd w:val="clear" w:color="auto" w:fill="auto"/>
            <w:vAlign w:val="center"/>
          </w:tcPr>
          <w:p w14:paraId="6DDDB03A" w14:textId="5DB5DA66"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(99.594)</w:t>
            </w:r>
          </w:p>
        </w:tc>
        <w:tc>
          <w:tcPr>
            <w:tcW w:w="577" w:type="pct"/>
            <w:tcBorders>
              <w:top w:val="nil"/>
              <w:left w:val="nil"/>
              <w:bottom w:val="nil"/>
              <w:right w:val="nil"/>
            </w:tcBorders>
            <w:vAlign w:val="center"/>
          </w:tcPr>
          <w:p w14:paraId="7B29B39C" w14:textId="46CCC14B"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520.430</w:t>
            </w:r>
          </w:p>
        </w:tc>
      </w:tr>
      <w:tr w:rsidR="0090776C" w:rsidRPr="00E20D21" w14:paraId="35410758" w14:textId="3D727C3A" w:rsidTr="001C39E4">
        <w:trPr>
          <w:trHeight w:val="271"/>
        </w:trPr>
        <w:tc>
          <w:tcPr>
            <w:tcW w:w="1764" w:type="pct"/>
            <w:tcBorders>
              <w:top w:val="nil"/>
              <w:left w:val="nil"/>
              <w:bottom w:val="nil"/>
              <w:right w:val="nil"/>
            </w:tcBorders>
            <w:shd w:val="clear" w:color="auto" w:fill="auto"/>
            <w:vAlign w:val="center"/>
            <w:hideMark/>
          </w:tcPr>
          <w:p w14:paraId="772E3B48" w14:textId="77777777" w:rsidR="0090776C" w:rsidRPr="00E20D21" w:rsidRDefault="0090776C" w:rsidP="0090776C">
            <w:pPr>
              <w:rPr>
                <w:rFonts w:ascii="CAIXA Std Book" w:hAnsi="CAIXA Std Book"/>
                <w:b/>
                <w:color w:val="005CA9"/>
                <w:sz w:val="16"/>
                <w:szCs w:val="16"/>
              </w:rPr>
            </w:pPr>
            <w:r w:rsidRPr="00E20D21">
              <w:rPr>
                <w:rFonts w:ascii="CAIXA Std Book" w:hAnsi="CAIXA Std Book"/>
                <w:b/>
                <w:color w:val="005CA9"/>
                <w:sz w:val="16"/>
                <w:szCs w:val="16"/>
              </w:rPr>
              <w:t>Imobilizações em curso</w:t>
            </w:r>
          </w:p>
        </w:tc>
        <w:tc>
          <w:tcPr>
            <w:tcW w:w="576" w:type="pct"/>
            <w:tcBorders>
              <w:top w:val="nil"/>
              <w:left w:val="nil"/>
              <w:bottom w:val="nil"/>
              <w:right w:val="nil"/>
            </w:tcBorders>
            <w:shd w:val="clear" w:color="auto" w:fill="auto"/>
            <w:vAlign w:val="center"/>
          </w:tcPr>
          <w:p w14:paraId="43A541E7" w14:textId="67B5C873"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260.853</w:t>
            </w:r>
          </w:p>
        </w:tc>
        <w:tc>
          <w:tcPr>
            <w:tcW w:w="553" w:type="pct"/>
            <w:tcBorders>
              <w:top w:val="nil"/>
              <w:left w:val="nil"/>
              <w:bottom w:val="nil"/>
              <w:right w:val="nil"/>
            </w:tcBorders>
            <w:shd w:val="clear" w:color="auto" w:fill="auto"/>
            <w:vAlign w:val="center"/>
          </w:tcPr>
          <w:p w14:paraId="35DE016D" w14:textId="2F1ADD1F"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(140.782)</w:t>
            </w:r>
          </w:p>
        </w:tc>
        <w:tc>
          <w:tcPr>
            <w:tcW w:w="503" w:type="pct"/>
            <w:tcBorders>
              <w:top w:val="nil"/>
              <w:left w:val="nil"/>
              <w:bottom w:val="nil"/>
              <w:right w:val="nil"/>
            </w:tcBorders>
            <w:shd w:val="clear" w:color="auto" w:fill="auto"/>
            <w:vAlign w:val="center"/>
          </w:tcPr>
          <w:p w14:paraId="20E98984" w14:textId="2A1608D9"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173.958</w:t>
            </w:r>
          </w:p>
        </w:tc>
        <w:tc>
          <w:tcPr>
            <w:tcW w:w="449" w:type="pct"/>
            <w:tcBorders>
              <w:top w:val="nil"/>
              <w:left w:val="nil"/>
              <w:bottom w:val="nil"/>
              <w:right w:val="nil"/>
            </w:tcBorders>
            <w:shd w:val="clear" w:color="auto" w:fill="auto"/>
            <w:vAlign w:val="center"/>
          </w:tcPr>
          <w:p w14:paraId="3A4D5B67" w14:textId="2DE5ACA4" w:rsidR="0090776C" w:rsidRPr="00E20D21" w:rsidRDefault="0090776C" w:rsidP="0090776C">
            <w:pPr>
              <w:ind w:firstLineChars="100" w:firstLine="160"/>
              <w:jc w:val="center"/>
              <w:rPr>
                <w:rFonts w:ascii="CAIXA Std Book" w:hAnsi="CAIXA Std Book"/>
                <w:b/>
                <w:bCs/>
                <w:color w:val="005CA9"/>
                <w:sz w:val="16"/>
                <w:szCs w:val="16"/>
              </w:rPr>
            </w:pPr>
            <w:r w:rsidRPr="00E20D21">
              <w:rPr>
                <w:rFonts w:ascii="CAIXA Std Book" w:hAnsi="CAIXA Std Book"/>
                <w:b/>
                <w:bCs/>
                <w:color w:val="005CA9"/>
                <w:sz w:val="16"/>
                <w:szCs w:val="16"/>
              </w:rPr>
              <w:t>-</w:t>
            </w:r>
          </w:p>
        </w:tc>
        <w:tc>
          <w:tcPr>
            <w:tcW w:w="578" w:type="pct"/>
            <w:tcBorders>
              <w:top w:val="nil"/>
              <w:left w:val="nil"/>
              <w:bottom w:val="nil"/>
              <w:right w:val="nil"/>
            </w:tcBorders>
            <w:shd w:val="clear" w:color="auto" w:fill="auto"/>
            <w:vAlign w:val="center"/>
          </w:tcPr>
          <w:p w14:paraId="44B85F13" w14:textId="5F1CD27D" w:rsidR="0090776C" w:rsidRPr="00E20D21" w:rsidRDefault="0090776C" w:rsidP="0090776C">
            <w:pPr>
              <w:ind w:firstLineChars="100" w:firstLine="160"/>
              <w:jc w:val="center"/>
              <w:rPr>
                <w:rFonts w:ascii="CAIXA Std Book" w:hAnsi="CAIXA Std Book"/>
                <w:b/>
                <w:bCs/>
                <w:color w:val="005CA9"/>
                <w:sz w:val="16"/>
                <w:szCs w:val="16"/>
              </w:rPr>
            </w:pPr>
            <w:r w:rsidRPr="00E20D21">
              <w:rPr>
                <w:rFonts w:ascii="CAIXA Std Book" w:hAnsi="CAIXA Std Book"/>
                <w:b/>
                <w:bCs/>
                <w:color w:val="005CA9"/>
                <w:sz w:val="16"/>
                <w:szCs w:val="16"/>
              </w:rPr>
              <w:t>-</w:t>
            </w:r>
          </w:p>
        </w:tc>
        <w:tc>
          <w:tcPr>
            <w:tcW w:w="577" w:type="pct"/>
            <w:tcBorders>
              <w:top w:val="nil"/>
              <w:left w:val="nil"/>
              <w:bottom w:val="nil"/>
              <w:right w:val="nil"/>
            </w:tcBorders>
            <w:vAlign w:val="center"/>
          </w:tcPr>
          <w:p w14:paraId="2E3DEC05" w14:textId="3820391B" w:rsidR="0090776C" w:rsidRPr="00E20D21" w:rsidRDefault="0090776C" w:rsidP="0090776C">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294.029</w:t>
            </w:r>
          </w:p>
        </w:tc>
      </w:tr>
      <w:tr w:rsidR="001C39E4" w:rsidRPr="00E20D21" w14:paraId="16205483" w14:textId="77777777" w:rsidTr="001C39E4">
        <w:trPr>
          <w:trHeight w:val="271"/>
        </w:trPr>
        <w:tc>
          <w:tcPr>
            <w:tcW w:w="1764" w:type="pct"/>
            <w:tcBorders>
              <w:top w:val="nil"/>
              <w:left w:val="nil"/>
              <w:bottom w:val="nil"/>
              <w:right w:val="nil"/>
            </w:tcBorders>
            <w:shd w:val="clear" w:color="auto" w:fill="auto"/>
            <w:vAlign w:val="center"/>
          </w:tcPr>
          <w:p w14:paraId="65F46E18" w14:textId="709D9A17" w:rsidR="001C39E4" w:rsidRPr="00E20D21" w:rsidRDefault="001C39E4" w:rsidP="001C39E4">
            <w:pPr>
              <w:rPr>
                <w:rFonts w:ascii="CAIXA Std Book" w:hAnsi="CAIXA Std Book"/>
                <w:color w:val="005CA9"/>
                <w:sz w:val="16"/>
                <w:szCs w:val="16"/>
              </w:rPr>
            </w:pPr>
            <w:r w:rsidRPr="00E20D21">
              <w:rPr>
                <w:rFonts w:ascii="CAIXA Std Book" w:hAnsi="CAIXA Std Book"/>
                <w:b/>
                <w:color w:val="005CA9"/>
                <w:sz w:val="16"/>
                <w:szCs w:val="16"/>
              </w:rPr>
              <w:t>Móveis e equipamentos de uso</w:t>
            </w:r>
          </w:p>
        </w:tc>
        <w:tc>
          <w:tcPr>
            <w:tcW w:w="576" w:type="pct"/>
            <w:tcBorders>
              <w:top w:val="nil"/>
              <w:left w:val="nil"/>
              <w:bottom w:val="nil"/>
              <w:right w:val="nil"/>
            </w:tcBorders>
            <w:shd w:val="clear" w:color="auto" w:fill="auto"/>
            <w:vAlign w:val="center"/>
          </w:tcPr>
          <w:p w14:paraId="6D307BBD" w14:textId="692D672E" w:rsidR="001C39E4" w:rsidRPr="00E20D21" w:rsidRDefault="001C39E4" w:rsidP="001C39E4">
            <w:pPr>
              <w:ind w:firstLineChars="100" w:firstLine="157"/>
              <w:jc w:val="right"/>
              <w:rPr>
                <w:rFonts w:ascii="CAIXA Std Book" w:hAnsi="CAIXA Std Book"/>
                <w:color w:val="005CA9"/>
                <w:sz w:val="16"/>
                <w:szCs w:val="16"/>
              </w:rPr>
            </w:pPr>
            <w:r w:rsidRPr="00E20D21">
              <w:rPr>
                <w:rFonts w:ascii="CAIXA Std Book" w:hAnsi="CAIXA Std Book"/>
                <w:b/>
                <w:bCs/>
                <w:color w:val="005CA9"/>
                <w:sz w:val="16"/>
                <w:szCs w:val="16"/>
              </w:rPr>
              <w:t>1.045.584</w:t>
            </w:r>
          </w:p>
        </w:tc>
        <w:tc>
          <w:tcPr>
            <w:tcW w:w="553" w:type="pct"/>
            <w:tcBorders>
              <w:top w:val="nil"/>
              <w:left w:val="nil"/>
              <w:bottom w:val="nil"/>
              <w:right w:val="nil"/>
            </w:tcBorders>
            <w:shd w:val="clear" w:color="auto" w:fill="auto"/>
            <w:vAlign w:val="center"/>
          </w:tcPr>
          <w:p w14:paraId="7807E683" w14:textId="0DDC2F3F" w:rsidR="001C39E4" w:rsidRPr="00E20D21" w:rsidRDefault="001C39E4" w:rsidP="001C39E4">
            <w:pPr>
              <w:ind w:firstLineChars="100" w:firstLine="157"/>
              <w:jc w:val="right"/>
              <w:rPr>
                <w:rFonts w:ascii="CAIXA Std Book" w:hAnsi="CAIXA Std Book"/>
                <w:color w:val="005CA9"/>
                <w:sz w:val="16"/>
                <w:szCs w:val="16"/>
              </w:rPr>
            </w:pPr>
            <w:r w:rsidRPr="00E20D21">
              <w:rPr>
                <w:rFonts w:ascii="CAIXA Std Book" w:hAnsi="CAIXA Std Book"/>
                <w:b/>
                <w:bCs/>
                <w:color w:val="005CA9"/>
                <w:sz w:val="16"/>
                <w:szCs w:val="16"/>
              </w:rPr>
              <w:t>3.915</w:t>
            </w:r>
          </w:p>
        </w:tc>
        <w:tc>
          <w:tcPr>
            <w:tcW w:w="503" w:type="pct"/>
            <w:tcBorders>
              <w:top w:val="nil"/>
              <w:left w:val="nil"/>
              <w:bottom w:val="nil"/>
              <w:right w:val="nil"/>
            </w:tcBorders>
            <w:shd w:val="clear" w:color="auto" w:fill="auto"/>
            <w:vAlign w:val="center"/>
          </w:tcPr>
          <w:p w14:paraId="62231C4F" w14:textId="530D4E11" w:rsidR="001C39E4" w:rsidRPr="00E20D21" w:rsidRDefault="001C39E4" w:rsidP="001C39E4">
            <w:pPr>
              <w:ind w:firstLineChars="100" w:firstLine="157"/>
              <w:jc w:val="right"/>
              <w:rPr>
                <w:rFonts w:ascii="CAIXA Std Book" w:hAnsi="CAIXA Std Book"/>
                <w:color w:val="005CA9"/>
                <w:sz w:val="16"/>
                <w:szCs w:val="16"/>
              </w:rPr>
            </w:pPr>
            <w:r w:rsidRPr="00E20D21">
              <w:rPr>
                <w:rFonts w:ascii="CAIXA Std Book" w:hAnsi="CAIXA Std Book"/>
                <w:b/>
                <w:bCs/>
                <w:color w:val="005CA9"/>
                <w:sz w:val="16"/>
                <w:szCs w:val="16"/>
              </w:rPr>
              <w:t>398.895</w:t>
            </w:r>
          </w:p>
        </w:tc>
        <w:tc>
          <w:tcPr>
            <w:tcW w:w="449" w:type="pct"/>
            <w:tcBorders>
              <w:top w:val="nil"/>
              <w:left w:val="nil"/>
              <w:bottom w:val="nil"/>
              <w:right w:val="nil"/>
            </w:tcBorders>
            <w:shd w:val="clear" w:color="auto" w:fill="auto"/>
            <w:vAlign w:val="center"/>
          </w:tcPr>
          <w:p w14:paraId="7801F21D" w14:textId="4078B546" w:rsidR="001C39E4" w:rsidRPr="00E20D21" w:rsidRDefault="001C39E4" w:rsidP="001C39E4">
            <w:pPr>
              <w:ind w:firstLineChars="100" w:firstLine="157"/>
              <w:jc w:val="right"/>
              <w:rPr>
                <w:rFonts w:ascii="CAIXA Std Book" w:hAnsi="CAIXA Std Book"/>
                <w:color w:val="005CA9"/>
                <w:sz w:val="16"/>
                <w:szCs w:val="16"/>
              </w:rPr>
            </w:pPr>
            <w:r w:rsidRPr="00E20D21">
              <w:rPr>
                <w:rFonts w:ascii="CAIXA Std Book" w:hAnsi="CAIXA Std Book"/>
                <w:b/>
                <w:bCs/>
                <w:color w:val="005CA9"/>
                <w:sz w:val="16"/>
                <w:szCs w:val="16"/>
              </w:rPr>
              <w:t>(56)</w:t>
            </w:r>
          </w:p>
        </w:tc>
        <w:tc>
          <w:tcPr>
            <w:tcW w:w="578" w:type="pct"/>
            <w:tcBorders>
              <w:top w:val="nil"/>
              <w:left w:val="nil"/>
              <w:bottom w:val="nil"/>
              <w:right w:val="nil"/>
            </w:tcBorders>
            <w:shd w:val="clear" w:color="auto" w:fill="auto"/>
            <w:vAlign w:val="center"/>
          </w:tcPr>
          <w:p w14:paraId="7DB2468E" w14:textId="71CF02C3" w:rsidR="001C39E4" w:rsidRPr="00E20D21" w:rsidRDefault="001C39E4" w:rsidP="001C39E4">
            <w:pPr>
              <w:ind w:firstLineChars="100" w:firstLine="157"/>
              <w:jc w:val="right"/>
              <w:rPr>
                <w:rFonts w:ascii="CAIXA Std Book" w:hAnsi="CAIXA Std Book"/>
                <w:color w:val="005CA9"/>
                <w:sz w:val="16"/>
                <w:szCs w:val="16"/>
              </w:rPr>
            </w:pPr>
            <w:r w:rsidRPr="00E20D21">
              <w:rPr>
                <w:rFonts w:ascii="CAIXA Std Book" w:hAnsi="CAIXA Std Book"/>
                <w:b/>
                <w:bCs/>
                <w:color w:val="005CA9"/>
                <w:sz w:val="16"/>
                <w:szCs w:val="16"/>
              </w:rPr>
              <w:t>(322.383)</w:t>
            </w:r>
          </w:p>
        </w:tc>
        <w:tc>
          <w:tcPr>
            <w:tcW w:w="577" w:type="pct"/>
            <w:tcBorders>
              <w:top w:val="nil"/>
              <w:left w:val="nil"/>
              <w:bottom w:val="nil"/>
              <w:right w:val="nil"/>
            </w:tcBorders>
            <w:vAlign w:val="center"/>
          </w:tcPr>
          <w:p w14:paraId="3B49B7E3" w14:textId="2DA9E5DB" w:rsidR="001C39E4" w:rsidRPr="00E20D21" w:rsidRDefault="001C39E4" w:rsidP="001C39E4">
            <w:pPr>
              <w:ind w:firstLineChars="100" w:firstLine="157"/>
              <w:jc w:val="right"/>
              <w:rPr>
                <w:rFonts w:ascii="CAIXA Std Book" w:hAnsi="CAIXA Std Book"/>
                <w:b/>
                <w:bCs/>
                <w:color w:val="005CA9"/>
                <w:sz w:val="16"/>
                <w:szCs w:val="16"/>
              </w:rPr>
            </w:pPr>
            <w:r w:rsidRPr="00E20D21">
              <w:rPr>
                <w:rFonts w:ascii="CAIXA Std Book" w:hAnsi="CAIXA Std Book"/>
                <w:b/>
                <w:bCs/>
                <w:color w:val="005CA9"/>
                <w:sz w:val="16"/>
                <w:szCs w:val="16"/>
              </w:rPr>
              <w:t>1.125.955</w:t>
            </w:r>
          </w:p>
        </w:tc>
      </w:tr>
      <w:tr w:rsidR="001C39E4" w:rsidRPr="00E20D21" w14:paraId="7E97A5AE" w14:textId="77777777" w:rsidTr="001C39E4">
        <w:trPr>
          <w:trHeight w:val="271"/>
        </w:trPr>
        <w:tc>
          <w:tcPr>
            <w:tcW w:w="1764" w:type="pct"/>
            <w:tcBorders>
              <w:top w:val="nil"/>
              <w:left w:val="nil"/>
              <w:bottom w:val="nil"/>
              <w:right w:val="nil"/>
            </w:tcBorders>
            <w:shd w:val="clear" w:color="auto" w:fill="auto"/>
            <w:vAlign w:val="center"/>
          </w:tcPr>
          <w:p w14:paraId="7D674E97" w14:textId="69E3D581" w:rsidR="001C39E4" w:rsidRPr="00E20D21" w:rsidRDefault="001C39E4" w:rsidP="001C39E4">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comunicação e de segurança</w:t>
            </w:r>
          </w:p>
        </w:tc>
        <w:tc>
          <w:tcPr>
            <w:tcW w:w="576" w:type="pct"/>
            <w:tcBorders>
              <w:top w:val="nil"/>
              <w:left w:val="nil"/>
              <w:bottom w:val="nil"/>
              <w:right w:val="nil"/>
            </w:tcBorders>
            <w:shd w:val="clear" w:color="auto" w:fill="auto"/>
            <w:vAlign w:val="center"/>
          </w:tcPr>
          <w:p w14:paraId="7F3EE599" w14:textId="6482929F"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135.168</w:t>
            </w:r>
          </w:p>
        </w:tc>
        <w:tc>
          <w:tcPr>
            <w:tcW w:w="553" w:type="pct"/>
            <w:tcBorders>
              <w:top w:val="nil"/>
              <w:left w:val="nil"/>
              <w:bottom w:val="nil"/>
              <w:right w:val="nil"/>
            </w:tcBorders>
            <w:shd w:val="clear" w:color="auto" w:fill="auto"/>
            <w:vAlign w:val="center"/>
          </w:tcPr>
          <w:p w14:paraId="2AFB0A68" w14:textId="003FD906"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10.050</w:t>
            </w:r>
          </w:p>
        </w:tc>
        <w:tc>
          <w:tcPr>
            <w:tcW w:w="503" w:type="pct"/>
            <w:tcBorders>
              <w:top w:val="nil"/>
              <w:left w:val="nil"/>
              <w:bottom w:val="nil"/>
              <w:right w:val="nil"/>
            </w:tcBorders>
            <w:shd w:val="clear" w:color="auto" w:fill="auto"/>
            <w:vAlign w:val="center"/>
          </w:tcPr>
          <w:p w14:paraId="7BCAF9F1" w14:textId="2C7566F0"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26.405</w:t>
            </w:r>
          </w:p>
        </w:tc>
        <w:tc>
          <w:tcPr>
            <w:tcW w:w="449" w:type="pct"/>
            <w:tcBorders>
              <w:top w:val="nil"/>
              <w:left w:val="nil"/>
              <w:bottom w:val="nil"/>
              <w:right w:val="nil"/>
            </w:tcBorders>
            <w:shd w:val="clear" w:color="auto" w:fill="auto"/>
            <w:vAlign w:val="center"/>
          </w:tcPr>
          <w:p w14:paraId="34E37B4D" w14:textId="2EFAE207"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(11)</w:t>
            </w:r>
          </w:p>
        </w:tc>
        <w:tc>
          <w:tcPr>
            <w:tcW w:w="578" w:type="pct"/>
            <w:tcBorders>
              <w:top w:val="nil"/>
              <w:left w:val="nil"/>
              <w:bottom w:val="nil"/>
              <w:right w:val="nil"/>
            </w:tcBorders>
            <w:shd w:val="clear" w:color="auto" w:fill="auto"/>
            <w:vAlign w:val="center"/>
          </w:tcPr>
          <w:p w14:paraId="15FE106B" w14:textId="69BDEA6D"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(27.720)</w:t>
            </w:r>
          </w:p>
        </w:tc>
        <w:tc>
          <w:tcPr>
            <w:tcW w:w="577" w:type="pct"/>
            <w:tcBorders>
              <w:top w:val="nil"/>
              <w:left w:val="nil"/>
              <w:bottom w:val="nil"/>
              <w:right w:val="nil"/>
            </w:tcBorders>
            <w:vAlign w:val="center"/>
          </w:tcPr>
          <w:p w14:paraId="4EC88B5F" w14:textId="35D7472B"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143.892</w:t>
            </w:r>
          </w:p>
        </w:tc>
      </w:tr>
      <w:tr w:rsidR="001C39E4" w:rsidRPr="00E20D21" w14:paraId="1B1DFF3B" w14:textId="23B4FF00" w:rsidTr="001C39E4">
        <w:trPr>
          <w:trHeight w:val="271"/>
        </w:trPr>
        <w:tc>
          <w:tcPr>
            <w:tcW w:w="1764" w:type="pct"/>
            <w:tcBorders>
              <w:top w:val="nil"/>
              <w:left w:val="nil"/>
              <w:bottom w:val="nil"/>
              <w:right w:val="nil"/>
            </w:tcBorders>
            <w:shd w:val="clear" w:color="auto" w:fill="auto"/>
            <w:vAlign w:val="center"/>
            <w:hideMark/>
          </w:tcPr>
          <w:p w14:paraId="310AE8FD" w14:textId="77777777" w:rsidR="001C39E4" w:rsidRPr="00E20D21" w:rsidRDefault="001C39E4" w:rsidP="001C39E4">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processamento de dados</w:t>
            </w:r>
          </w:p>
        </w:tc>
        <w:tc>
          <w:tcPr>
            <w:tcW w:w="576" w:type="pct"/>
            <w:tcBorders>
              <w:top w:val="nil"/>
              <w:left w:val="nil"/>
              <w:bottom w:val="nil"/>
              <w:right w:val="nil"/>
            </w:tcBorders>
            <w:shd w:val="clear" w:color="auto" w:fill="auto"/>
            <w:vAlign w:val="center"/>
          </w:tcPr>
          <w:p w14:paraId="0A98FD11" w14:textId="0C21AA3A"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910.416</w:t>
            </w:r>
          </w:p>
        </w:tc>
        <w:tc>
          <w:tcPr>
            <w:tcW w:w="553" w:type="pct"/>
            <w:tcBorders>
              <w:top w:val="nil"/>
              <w:left w:val="nil"/>
              <w:bottom w:val="nil"/>
              <w:right w:val="nil"/>
            </w:tcBorders>
            <w:shd w:val="clear" w:color="auto" w:fill="auto"/>
            <w:vAlign w:val="center"/>
          </w:tcPr>
          <w:p w14:paraId="2A312FC5" w14:textId="5BB1A003"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(6.135)</w:t>
            </w:r>
          </w:p>
        </w:tc>
        <w:tc>
          <w:tcPr>
            <w:tcW w:w="503" w:type="pct"/>
            <w:tcBorders>
              <w:top w:val="nil"/>
              <w:left w:val="nil"/>
              <w:bottom w:val="nil"/>
              <w:right w:val="nil"/>
            </w:tcBorders>
            <w:shd w:val="clear" w:color="auto" w:fill="auto"/>
            <w:vAlign w:val="center"/>
          </w:tcPr>
          <w:p w14:paraId="3C02740E" w14:textId="2B12F927"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372.490</w:t>
            </w:r>
          </w:p>
        </w:tc>
        <w:tc>
          <w:tcPr>
            <w:tcW w:w="449" w:type="pct"/>
            <w:tcBorders>
              <w:top w:val="nil"/>
              <w:left w:val="nil"/>
              <w:bottom w:val="nil"/>
              <w:right w:val="nil"/>
            </w:tcBorders>
            <w:shd w:val="clear" w:color="auto" w:fill="auto"/>
            <w:vAlign w:val="center"/>
          </w:tcPr>
          <w:p w14:paraId="452B0E9C" w14:textId="1B9F3277"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(45)</w:t>
            </w:r>
          </w:p>
        </w:tc>
        <w:tc>
          <w:tcPr>
            <w:tcW w:w="578" w:type="pct"/>
            <w:tcBorders>
              <w:top w:val="nil"/>
              <w:left w:val="nil"/>
              <w:bottom w:val="nil"/>
              <w:right w:val="nil"/>
            </w:tcBorders>
            <w:shd w:val="clear" w:color="auto" w:fill="auto"/>
            <w:vAlign w:val="center"/>
          </w:tcPr>
          <w:p w14:paraId="1FDC4221" w14:textId="08B78220"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(294.663)</w:t>
            </w:r>
          </w:p>
        </w:tc>
        <w:tc>
          <w:tcPr>
            <w:tcW w:w="577" w:type="pct"/>
            <w:tcBorders>
              <w:top w:val="nil"/>
              <w:left w:val="nil"/>
              <w:bottom w:val="nil"/>
              <w:right w:val="nil"/>
            </w:tcBorders>
            <w:vAlign w:val="center"/>
          </w:tcPr>
          <w:p w14:paraId="5FED42EE" w14:textId="6A9A6D9D"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982.063</w:t>
            </w:r>
          </w:p>
        </w:tc>
      </w:tr>
      <w:tr w:rsidR="001C39E4" w:rsidRPr="00E20D21" w14:paraId="79A0A0D3" w14:textId="20EF9B2A" w:rsidTr="001C39E4">
        <w:trPr>
          <w:trHeight w:val="271"/>
        </w:trPr>
        <w:tc>
          <w:tcPr>
            <w:tcW w:w="1764" w:type="pct"/>
            <w:tcBorders>
              <w:top w:val="nil"/>
              <w:left w:val="nil"/>
              <w:bottom w:val="single" w:sz="4" w:space="0" w:color="F39200"/>
              <w:right w:val="nil"/>
            </w:tcBorders>
            <w:shd w:val="clear" w:color="auto" w:fill="auto"/>
            <w:vAlign w:val="center"/>
            <w:hideMark/>
          </w:tcPr>
          <w:p w14:paraId="3E29269B" w14:textId="77777777" w:rsidR="001C39E4" w:rsidRPr="00E20D21" w:rsidRDefault="001C39E4" w:rsidP="001C39E4">
            <w:pPr>
              <w:rPr>
                <w:rFonts w:ascii="CAIXA Std Book" w:hAnsi="CAIXA Std Book"/>
                <w:b/>
                <w:color w:val="005CA9"/>
                <w:sz w:val="16"/>
                <w:szCs w:val="16"/>
              </w:rPr>
            </w:pPr>
            <w:r w:rsidRPr="00E20D21">
              <w:rPr>
                <w:rFonts w:ascii="CAIXA Std Book" w:hAnsi="CAIXA Std Book"/>
                <w:b/>
                <w:color w:val="005CA9"/>
                <w:sz w:val="16"/>
                <w:szCs w:val="16"/>
              </w:rPr>
              <w:t>Móveis em estoque e outros equipamentos</w:t>
            </w:r>
          </w:p>
        </w:tc>
        <w:tc>
          <w:tcPr>
            <w:tcW w:w="576" w:type="pct"/>
            <w:tcBorders>
              <w:top w:val="nil"/>
              <w:left w:val="nil"/>
              <w:bottom w:val="nil"/>
              <w:right w:val="nil"/>
            </w:tcBorders>
            <w:shd w:val="clear" w:color="auto" w:fill="auto"/>
            <w:vAlign w:val="center"/>
          </w:tcPr>
          <w:p w14:paraId="4BBADDF4" w14:textId="55705D60"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188.569</w:t>
            </w:r>
          </w:p>
        </w:tc>
        <w:tc>
          <w:tcPr>
            <w:tcW w:w="553" w:type="pct"/>
            <w:tcBorders>
              <w:top w:val="nil"/>
              <w:left w:val="nil"/>
              <w:bottom w:val="nil"/>
              <w:right w:val="nil"/>
            </w:tcBorders>
            <w:shd w:val="clear" w:color="auto" w:fill="auto"/>
            <w:vAlign w:val="center"/>
          </w:tcPr>
          <w:p w14:paraId="5AE1A4B8" w14:textId="48546B21"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(27.479)</w:t>
            </w:r>
          </w:p>
        </w:tc>
        <w:tc>
          <w:tcPr>
            <w:tcW w:w="503" w:type="pct"/>
            <w:tcBorders>
              <w:top w:val="nil"/>
              <w:left w:val="nil"/>
              <w:bottom w:val="nil"/>
              <w:right w:val="nil"/>
            </w:tcBorders>
            <w:shd w:val="clear" w:color="auto" w:fill="auto"/>
            <w:vAlign w:val="center"/>
          </w:tcPr>
          <w:p w14:paraId="1D7900D6" w14:textId="11ED146E"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82.350</w:t>
            </w:r>
          </w:p>
        </w:tc>
        <w:tc>
          <w:tcPr>
            <w:tcW w:w="449" w:type="pct"/>
            <w:tcBorders>
              <w:top w:val="nil"/>
              <w:left w:val="nil"/>
              <w:bottom w:val="nil"/>
              <w:right w:val="nil"/>
            </w:tcBorders>
            <w:shd w:val="clear" w:color="auto" w:fill="auto"/>
            <w:vAlign w:val="center"/>
          </w:tcPr>
          <w:p w14:paraId="4621CAFD" w14:textId="455FB7BA"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(1.931)</w:t>
            </w:r>
          </w:p>
        </w:tc>
        <w:tc>
          <w:tcPr>
            <w:tcW w:w="578" w:type="pct"/>
            <w:tcBorders>
              <w:top w:val="nil"/>
              <w:left w:val="nil"/>
              <w:bottom w:val="single" w:sz="4" w:space="0" w:color="F79646" w:themeColor="accent6"/>
              <w:right w:val="nil"/>
            </w:tcBorders>
            <w:shd w:val="clear" w:color="auto" w:fill="auto"/>
            <w:vAlign w:val="center"/>
          </w:tcPr>
          <w:p w14:paraId="19751D0F" w14:textId="0307BF2D"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(21.269)</w:t>
            </w:r>
          </w:p>
        </w:tc>
        <w:tc>
          <w:tcPr>
            <w:tcW w:w="577" w:type="pct"/>
            <w:tcBorders>
              <w:top w:val="nil"/>
              <w:left w:val="nil"/>
              <w:bottom w:val="single" w:sz="4" w:space="0" w:color="F79646" w:themeColor="accent6"/>
              <w:right w:val="nil"/>
            </w:tcBorders>
            <w:vAlign w:val="center"/>
          </w:tcPr>
          <w:p w14:paraId="2EDEBA88" w14:textId="416C0C62" w:rsidR="001C39E4" w:rsidRPr="00E20D21" w:rsidRDefault="001C39E4" w:rsidP="001C39E4">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220.240</w:t>
            </w:r>
          </w:p>
        </w:tc>
      </w:tr>
      <w:tr w:rsidR="001C39E4" w:rsidRPr="00E20D21" w14:paraId="0C0583F8" w14:textId="527ECA72" w:rsidTr="001C39E4">
        <w:trPr>
          <w:trHeight w:val="271"/>
        </w:trPr>
        <w:tc>
          <w:tcPr>
            <w:tcW w:w="1764" w:type="pct"/>
            <w:tcBorders>
              <w:top w:val="single" w:sz="4" w:space="0" w:color="F39200"/>
              <w:left w:val="nil"/>
              <w:bottom w:val="single" w:sz="4" w:space="0" w:color="F39200"/>
              <w:right w:val="nil"/>
            </w:tcBorders>
            <w:shd w:val="clear" w:color="auto" w:fill="auto"/>
            <w:vAlign w:val="center"/>
            <w:hideMark/>
          </w:tcPr>
          <w:p w14:paraId="2246C9A5" w14:textId="77777777" w:rsidR="001C39E4" w:rsidRPr="00E20D21" w:rsidRDefault="001C39E4" w:rsidP="001C39E4">
            <w:pPr>
              <w:rPr>
                <w:rFonts w:ascii="CAIXA Std Book" w:hAnsi="CAIXA Std Book"/>
                <w:b/>
                <w:color w:val="005CA9"/>
                <w:sz w:val="16"/>
                <w:szCs w:val="16"/>
              </w:rPr>
            </w:pPr>
            <w:r w:rsidRPr="00E20D21">
              <w:rPr>
                <w:rFonts w:ascii="CAIXA Std Book" w:hAnsi="CAIXA Std Book"/>
                <w:b/>
                <w:color w:val="005CA9"/>
                <w:sz w:val="16"/>
                <w:szCs w:val="16"/>
              </w:rPr>
              <w:t>Total</w:t>
            </w:r>
          </w:p>
        </w:tc>
        <w:tc>
          <w:tcPr>
            <w:tcW w:w="576" w:type="pct"/>
            <w:tcBorders>
              <w:top w:val="single" w:sz="4" w:space="0" w:color="F39200"/>
              <w:left w:val="nil"/>
              <w:bottom w:val="single" w:sz="4" w:space="0" w:color="F39200"/>
              <w:right w:val="nil"/>
            </w:tcBorders>
            <w:shd w:val="clear" w:color="auto" w:fill="auto"/>
            <w:vAlign w:val="center"/>
          </w:tcPr>
          <w:p w14:paraId="10B296B0" w14:textId="6DDC8EE0" w:rsidR="001C39E4" w:rsidRPr="00E20D21" w:rsidRDefault="001C39E4" w:rsidP="001C39E4">
            <w:pPr>
              <w:ind w:firstLineChars="100" w:firstLine="157"/>
              <w:jc w:val="right"/>
              <w:rPr>
                <w:rFonts w:ascii="CAIXA Std Book" w:hAnsi="CAIXA Std Book"/>
                <w:b/>
                <w:bCs/>
                <w:color w:val="005CA9"/>
                <w:sz w:val="16"/>
                <w:szCs w:val="16"/>
              </w:rPr>
            </w:pPr>
            <w:r w:rsidRPr="00E20D21">
              <w:rPr>
                <w:rFonts w:ascii="CAIXA Std Book" w:hAnsi="CAIXA Std Book"/>
                <w:b/>
                <w:bCs/>
                <w:color w:val="005CA9"/>
                <w:sz w:val="16"/>
                <w:szCs w:val="16"/>
              </w:rPr>
              <w:t>2.902.726</w:t>
            </w:r>
          </w:p>
        </w:tc>
        <w:tc>
          <w:tcPr>
            <w:tcW w:w="553" w:type="pct"/>
            <w:tcBorders>
              <w:top w:val="single" w:sz="4" w:space="0" w:color="F39200"/>
              <w:left w:val="nil"/>
              <w:bottom w:val="single" w:sz="4" w:space="0" w:color="F39200"/>
              <w:right w:val="nil"/>
            </w:tcBorders>
            <w:shd w:val="clear" w:color="auto" w:fill="auto"/>
            <w:vAlign w:val="center"/>
          </w:tcPr>
          <w:p w14:paraId="2E4B85F3" w14:textId="699EBB3C" w:rsidR="001C39E4" w:rsidRPr="00E20D21" w:rsidRDefault="001C39E4" w:rsidP="001C39E4">
            <w:pPr>
              <w:ind w:firstLineChars="100" w:firstLine="157"/>
              <w:jc w:val="right"/>
              <w:rPr>
                <w:rFonts w:ascii="CAIXA Std Book" w:hAnsi="CAIXA Std Book"/>
                <w:b/>
                <w:bCs/>
                <w:color w:val="005CA9"/>
                <w:sz w:val="16"/>
                <w:szCs w:val="16"/>
              </w:rPr>
            </w:pPr>
            <w:r w:rsidRPr="00E20D21">
              <w:rPr>
                <w:rFonts w:ascii="CAIXA Std Book" w:hAnsi="CAIXA Std Book"/>
                <w:b/>
                <w:bCs/>
                <w:color w:val="005CA9"/>
                <w:sz w:val="16"/>
                <w:szCs w:val="16"/>
              </w:rPr>
              <w:t>(24.410)</w:t>
            </w:r>
          </w:p>
        </w:tc>
        <w:tc>
          <w:tcPr>
            <w:tcW w:w="503" w:type="pct"/>
            <w:tcBorders>
              <w:top w:val="single" w:sz="4" w:space="0" w:color="F39200"/>
              <w:left w:val="nil"/>
              <w:bottom w:val="single" w:sz="4" w:space="0" w:color="F39200"/>
              <w:right w:val="nil"/>
            </w:tcBorders>
            <w:shd w:val="clear" w:color="auto" w:fill="auto"/>
            <w:vAlign w:val="center"/>
          </w:tcPr>
          <w:p w14:paraId="225E94F8" w14:textId="4F356978" w:rsidR="001C39E4" w:rsidRPr="00E20D21" w:rsidRDefault="001C39E4" w:rsidP="001C39E4">
            <w:pPr>
              <w:ind w:firstLineChars="100" w:firstLine="157"/>
              <w:jc w:val="right"/>
              <w:rPr>
                <w:rFonts w:ascii="CAIXA Std Book" w:hAnsi="CAIXA Std Book"/>
                <w:b/>
                <w:bCs/>
                <w:color w:val="005CA9"/>
                <w:sz w:val="16"/>
                <w:szCs w:val="16"/>
              </w:rPr>
            </w:pPr>
            <w:r w:rsidRPr="00E20D21">
              <w:rPr>
                <w:rFonts w:ascii="CAIXA Std Book" w:hAnsi="CAIXA Std Book"/>
                <w:b/>
                <w:bCs/>
                <w:color w:val="005CA9"/>
                <w:sz w:val="16"/>
                <w:szCs w:val="16"/>
              </w:rPr>
              <w:t>655.203</w:t>
            </w:r>
          </w:p>
        </w:tc>
        <w:tc>
          <w:tcPr>
            <w:tcW w:w="449" w:type="pct"/>
            <w:tcBorders>
              <w:top w:val="single" w:sz="4" w:space="0" w:color="F39200"/>
              <w:left w:val="nil"/>
              <w:bottom w:val="single" w:sz="4" w:space="0" w:color="F79646" w:themeColor="accent6"/>
              <w:right w:val="nil"/>
            </w:tcBorders>
            <w:shd w:val="clear" w:color="auto" w:fill="auto"/>
            <w:vAlign w:val="center"/>
          </w:tcPr>
          <w:p w14:paraId="2185B1D5" w14:textId="04184127" w:rsidR="001C39E4" w:rsidRPr="00E20D21" w:rsidRDefault="001C39E4" w:rsidP="001C39E4">
            <w:pPr>
              <w:ind w:firstLineChars="100" w:firstLine="157"/>
              <w:jc w:val="right"/>
              <w:rPr>
                <w:rFonts w:ascii="CAIXA Std Book" w:hAnsi="CAIXA Std Book"/>
                <w:b/>
                <w:bCs/>
                <w:color w:val="005CA9"/>
                <w:sz w:val="16"/>
                <w:szCs w:val="16"/>
              </w:rPr>
            </w:pPr>
            <w:r w:rsidRPr="00E20D21">
              <w:rPr>
                <w:rFonts w:ascii="CAIXA Std Book" w:hAnsi="CAIXA Std Book"/>
                <w:b/>
                <w:bCs/>
                <w:color w:val="005CA9"/>
                <w:sz w:val="16"/>
                <w:szCs w:val="16"/>
              </w:rPr>
              <w:t>(2.153)</w:t>
            </w:r>
          </w:p>
        </w:tc>
        <w:tc>
          <w:tcPr>
            <w:tcW w:w="578" w:type="pct"/>
            <w:tcBorders>
              <w:top w:val="single" w:sz="4" w:space="0" w:color="F79646" w:themeColor="accent6"/>
              <w:left w:val="nil"/>
              <w:bottom w:val="single" w:sz="4" w:space="0" w:color="F79646" w:themeColor="accent6"/>
              <w:right w:val="nil"/>
            </w:tcBorders>
            <w:shd w:val="clear" w:color="auto" w:fill="auto"/>
            <w:vAlign w:val="center"/>
          </w:tcPr>
          <w:p w14:paraId="2103F3A6" w14:textId="5B3DC1A4" w:rsidR="001C39E4" w:rsidRPr="00E20D21" w:rsidRDefault="001C39E4" w:rsidP="001C39E4">
            <w:pPr>
              <w:ind w:firstLineChars="100" w:firstLine="157"/>
              <w:jc w:val="right"/>
              <w:rPr>
                <w:rFonts w:ascii="CAIXA Std Book" w:hAnsi="CAIXA Std Book"/>
                <w:b/>
                <w:bCs/>
                <w:color w:val="005CA9"/>
                <w:sz w:val="16"/>
                <w:szCs w:val="16"/>
              </w:rPr>
            </w:pPr>
            <w:r w:rsidRPr="00E20D21">
              <w:rPr>
                <w:rFonts w:ascii="CAIXA Std Book" w:hAnsi="CAIXA Std Book"/>
                <w:b/>
                <w:bCs/>
                <w:color w:val="005CA9"/>
                <w:sz w:val="16"/>
                <w:szCs w:val="16"/>
              </w:rPr>
              <w:t>(468.095)</w:t>
            </w:r>
          </w:p>
        </w:tc>
        <w:tc>
          <w:tcPr>
            <w:tcW w:w="577" w:type="pct"/>
            <w:tcBorders>
              <w:top w:val="single" w:sz="4" w:space="0" w:color="F79646" w:themeColor="accent6"/>
              <w:left w:val="nil"/>
              <w:bottom w:val="single" w:sz="4" w:space="0" w:color="F79646" w:themeColor="accent6"/>
            </w:tcBorders>
            <w:vAlign w:val="center"/>
          </w:tcPr>
          <w:p w14:paraId="6B6CD96C" w14:textId="6923D81A" w:rsidR="001C39E4" w:rsidRPr="00E20D21" w:rsidRDefault="001C39E4" w:rsidP="001C39E4">
            <w:pPr>
              <w:ind w:firstLineChars="100" w:firstLine="157"/>
              <w:jc w:val="right"/>
              <w:rPr>
                <w:rFonts w:ascii="CAIXA Std Book" w:hAnsi="CAIXA Std Book"/>
                <w:b/>
                <w:bCs/>
                <w:color w:val="005CA9"/>
                <w:sz w:val="16"/>
                <w:szCs w:val="16"/>
              </w:rPr>
            </w:pPr>
            <w:r w:rsidRPr="00E20D21">
              <w:rPr>
                <w:rFonts w:ascii="CAIXA Std Book" w:hAnsi="CAIXA Std Book"/>
                <w:b/>
                <w:bCs/>
                <w:color w:val="005CA9"/>
                <w:sz w:val="16"/>
                <w:szCs w:val="16"/>
              </w:rPr>
              <w:t>3.063.271</w:t>
            </w:r>
          </w:p>
        </w:tc>
      </w:tr>
    </w:tbl>
    <w:p w14:paraId="0A3ACBD7" w14:textId="12D64F62" w:rsidR="00D67D88" w:rsidRPr="00E20D21" w:rsidRDefault="00D67D88">
      <w:pPr>
        <w:rPr>
          <w:rFonts w:ascii="CAIXA Std Book" w:hAnsi="CAIXA Std Book"/>
          <w:color w:val="005CA9"/>
        </w:rPr>
      </w:pPr>
    </w:p>
    <w:p w14:paraId="307FC533" w14:textId="280556B4" w:rsidR="001C39E4" w:rsidRPr="00E20D21" w:rsidRDefault="001C39E4">
      <w:pPr>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3406"/>
        <w:gridCol w:w="1108"/>
        <w:gridCol w:w="1068"/>
        <w:gridCol w:w="968"/>
        <w:gridCol w:w="864"/>
        <w:gridCol w:w="1114"/>
        <w:gridCol w:w="1110"/>
      </w:tblGrid>
      <w:tr w:rsidR="00A47C19" w:rsidRPr="00E20D21" w14:paraId="58BEE56D" w14:textId="77777777" w:rsidTr="001C39E4">
        <w:trPr>
          <w:trHeight w:val="283"/>
        </w:trPr>
        <w:tc>
          <w:tcPr>
            <w:tcW w:w="5000" w:type="pct"/>
            <w:gridSpan w:val="7"/>
            <w:tcBorders>
              <w:top w:val="single" w:sz="4" w:space="0" w:color="F39200"/>
              <w:left w:val="nil"/>
              <w:bottom w:val="single" w:sz="4" w:space="0" w:color="F39200"/>
              <w:right w:val="nil"/>
            </w:tcBorders>
            <w:vAlign w:val="center"/>
          </w:tcPr>
          <w:p w14:paraId="18A3A35D" w14:textId="638A8B73" w:rsidR="00FF6598" w:rsidRPr="00E20D21" w:rsidRDefault="00FF6598" w:rsidP="00441B2D">
            <w:pPr>
              <w:jc w:val="center"/>
              <w:rPr>
                <w:rFonts w:ascii="CAIXA Std Book" w:hAnsi="CAIXA Std Book"/>
                <w:b/>
                <w:color w:val="005CA9"/>
                <w:sz w:val="16"/>
                <w:szCs w:val="16"/>
              </w:rPr>
            </w:pPr>
            <w:r w:rsidRPr="00E20D21">
              <w:rPr>
                <w:rFonts w:ascii="CAIXA Std Book" w:hAnsi="CAIXA Std Book"/>
                <w:b/>
                <w:color w:val="005CA9"/>
                <w:sz w:val="16"/>
                <w:szCs w:val="16"/>
              </w:rPr>
              <w:t>CONSOLIDADO</w:t>
            </w:r>
          </w:p>
        </w:tc>
      </w:tr>
      <w:tr w:rsidR="00F56CE3" w:rsidRPr="00E20D21" w14:paraId="2E642A18" w14:textId="77777777" w:rsidTr="001C39E4">
        <w:trPr>
          <w:trHeight w:val="283"/>
        </w:trPr>
        <w:tc>
          <w:tcPr>
            <w:tcW w:w="1767" w:type="pct"/>
            <w:vMerge w:val="restart"/>
            <w:tcBorders>
              <w:top w:val="nil"/>
              <w:left w:val="nil"/>
              <w:bottom w:val="single" w:sz="4" w:space="0" w:color="F39200"/>
              <w:right w:val="nil"/>
            </w:tcBorders>
            <w:shd w:val="clear" w:color="auto" w:fill="auto"/>
            <w:vAlign w:val="center"/>
            <w:hideMark/>
          </w:tcPr>
          <w:p w14:paraId="2E745ABE" w14:textId="77777777" w:rsidR="00F56CE3" w:rsidRPr="00E20D21" w:rsidRDefault="00F56CE3" w:rsidP="00F56CE3">
            <w:pPr>
              <w:jc w:val="center"/>
              <w:rPr>
                <w:rFonts w:ascii="CAIXA Std Book" w:hAnsi="CAIXA Std Book"/>
                <w:b/>
                <w:color w:val="005CA9"/>
                <w:sz w:val="16"/>
                <w:szCs w:val="16"/>
              </w:rPr>
            </w:pPr>
            <w:r w:rsidRPr="00E20D21">
              <w:rPr>
                <w:rFonts w:ascii="CAIXA Std Book" w:hAnsi="CAIXA Std Book"/>
                <w:b/>
                <w:color w:val="005CA9"/>
                <w:sz w:val="16"/>
                <w:szCs w:val="16"/>
              </w:rPr>
              <w:t>Descrição</w:t>
            </w:r>
          </w:p>
        </w:tc>
        <w:tc>
          <w:tcPr>
            <w:tcW w:w="575" w:type="pct"/>
            <w:tcBorders>
              <w:top w:val="nil"/>
              <w:left w:val="nil"/>
              <w:bottom w:val="single" w:sz="4" w:space="0" w:color="F39200"/>
              <w:right w:val="nil"/>
            </w:tcBorders>
            <w:shd w:val="clear" w:color="auto" w:fill="auto"/>
            <w:vAlign w:val="center"/>
          </w:tcPr>
          <w:p w14:paraId="03B89144" w14:textId="170EEBCA" w:rsidR="00F56CE3" w:rsidRPr="00E20D21" w:rsidRDefault="00F56CE3" w:rsidP="00F56CE3">
            <w:pPr>
              <w:jc w:val="center"/>
              <w:rPr>
                <w:rFonts w:ascii="CAIXA Std Book" w:hAnsi="CAIXA Std Book"/>
                <w:b/>
                <w:color w:val="005CA9"/>
                <w:sz w:val="16"/>
                <w:szCs w:val="16"/>
              </w:rPr>
            </w:pPr>
            <w:r w:rsidRPr="00E20D21">
              <w:rPr>
                <w:rFonts w:ascii="CAIXA Std Book" w:hAnsi="CAIXA Std Book"/>
                <w:b/>
                <w:color w:val="005CA9"/>
                <w:sz w:val="16"/>
                <w:szCs w:val="16"/>
              </w:rPr>
              <w:t>31/12/2023</w:t>
            </w:r>
          </w:p>
        </w:tc>
        <w:tc>
          <w:tcPr>
            <w:tcW w:w="2082" w:type="pct"/>
            <w:gridSpan w:val="4"/>
            <w:tcBorders>
              <w:top w:val="nil"/>
              <w:left w:val="nil"/>
              <w:bottom w:val="single" w:sz="4" w:space="0" w:color="F39200"/>
              <w:right w:val="nil"/>
            </w:tcBorders>
            <w:shd w:val="clear" w:color="auto" w:fill="auto"/>
            <w:vAlign w:val="center"/>
          </w:tcPr>
          <w:p w14:paraId="6C6BA1E7" w14:textId="0146F832" w:rsidR="00F56CE3" w:rsidRPr="00E20D21" w:rsidRDefault="00F56CE3" w:rsidP="00F56CE3">
            <w:pPr>
              <w:jc w:val="center"/>
              <w:rPr>
                <w:rFonts w:ascii="CAIXA Std Book" w:hAnsi="CAIXA Std Book"/>
                <w:b/>
                <w:color w:val="005CA9"/>
                <w:sz w:val="16"/>
                <w:szCs w:val="16"/>
              </w:rPr>
            </w:pPr>
            <w:r w:rsidRPr="00E20D21">
              <w:rPr>
                <w:rFonts w:ascii="CAIXA Std Book" w:hAnsi="CAIXA Std Book"/>
                <w:b/>
                <w:color w:val="005CA9"/>
                <w:sz w:val="16"/>
                <w:szCs w:val="16"/>
              </w:rPr>
              <w:t>Movimentação</w:t>
            </w:r>
          </w:p>
        </w:tc>
        <w:tc>
          <w:tcPr>
            <w:tcW w:w="575" w:type="pct"/>
            <w:tcBorders>
              <w:top w:val="nil"/>
              <w:left w:val="nil"/>
              <w:bottom w:val="single" w:sz="4" w:space="0" w:color="F39200"/>
              <w:right w:val="nil"/>
            </w:tcBorders>
            <w:shd w:val="clear" w:color="auto" w:fill="auto"/>
            <w:vAlign w:val="center"/>
          </w:tcPr>
          <w:p w14:paraId="6B72CE60" w14:textId="790001F8" w:rsidR="00F56CE3" w:rsidRPr="00E20D21" w:rsidRDefault="00F56CE3" w:rsidP="00F56CE3">
            <w:pPr>
              <w:jc w:val="center"/>
              <w:rPr>
                <w:rFonts w:ascii="CAIXA Std Book" w:hAnsi="CAIXA Std Book"/>
                <w:b/>
                <w:color w:val="005CA9"/>
                <w:sz w:val="16"/>
                <w:szCs w:val="16"/>
              </w:rPr>
            </w:pPr>
            <w:r w:rsidRPr="00E20D21">
              <w:rPr>
                <w:rFonts w:ascii="CAIXA Std Book" w:hAnsi="CAIXA Std Book"/>
                <w:b/>
                <w:color w:val="005CA9"/>
                <w:sz w:val="16"/>
                <w:szCs w:val="16"/>
              </w:rPr>
              <w:t>30/06/2024</w:t>
            </w:r>
          </w:p>
        </w:tc>
      </w:tr>
      <w:tr w:rsidR="00F56CE3" w:rsidRPr="00E20D21" w14:paraId="22733A29" w14:textId="77777777" w:rsidTr="001C39E4">
        <w:trPr>
          <w:trHeight w:val="283"/>
        </w:trPr>
        <w:tc>
          <w:tcPr>
            <w:tcW w:w="1767" w:type="pct"/>
            <w:vMerge/>
            <w:tcBorders>
              <w:top w:val="nil"/>
              <w:left w:val="nil"/>
              <w:bottom w:val="single" w:sz="4" w:space="0" w:color="F39200"/>
              <w:right w:val="nil"/>
            </w:tcBorders>
            <w:vAlign w:val="center"/>
            <w:hideMark/>
          </w:tcPr>
          <w:p w14:paraId="53AF9FE0" w14:textId="77777777" w:rsidR="00F56CE3" w:rsidRPr="00E20D21" w:rsidRDefault="00F56CE3" w:rsidP="00F56CE3">
            <w:pPr>
              <w:rPr>
                <w:rFonts w:ascii="CAIXA Std Book" w:hAnsi="CAIXA Std Book"/>
                <w:b/>
                <w:color w:val="005CA9"/>
                <w:sz w:val="16"/>
                <w:szCs w:val="16"/>
              </w:rPr>
            </w:pPr>
          </w:p>
        </w:tc>
        <w:tc>
          <w:tcPr>
            <w:tcW w:w="575" w:type="pct"/>
            <w:tcBorders>
              <w:top w:val="nil"/>
              <w:left w:val="nil"/>
              <w:bottom w:val="single" w:sz="4" w:space="0" w:color="F39200"/>
              <w:right w:val="nil"/>
            </w:tcBorders>
            <w:shd w:val="clear" w:color="auto" w:fill="auto"/>
            <w:vAlign w:val="center"/>
            <w:hideMark/>
          </w:tcPr>
          <w:p w14:paraId="13954751" w14:textId="77777777" w:rsidR="00F56CE3" w:rsidRPr="00E20D21" w:rsidRDefault="00F56CE3" w:rsidP="00F56CE3">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c>
          <w:tcPr>
            <w:tcW w:w="554" w:type="pct"/>
            <w:tcBorders>
              <w:top w:val="nil"/>
              <w:left w:val="nil"/>
              <w:bottom w:val="single" w:sz="4" w:space="0" w:color="F39200"/>
              <w:right w:val="nil"/>
            </w:tcBorders>
            <w:shd w:val="clear" w:color="auto" w:fill="auto"/>
            <w:vAlign w:val="center"/>
            <w:hideMark/>
          </w:tcPr>
          <w:p w14:paraId="60DDBA54" w14:textId="77777777" w:rsidR="00F56CE3" w:rsidRPr="00E20D21" w:rsidRDefault="00F56CE3" w:rsidP="00F56CE3">
            <w:pPr>
              <w:jc w:val="center"/>
              <w:rPr>
                <w:rFonts w:ascii="CAIXA Std Book" w:hAnsi="CAIXA Std Book"/>
                <w:b/>
                <w:color w:val="005CA9"/>
                <w:sz w:val="16"/>
                <w:szCs w:val="16"/>
              </w:rPr>
            </w:pPr>
            <w:proofErr w:type="spellStart"/>
            <w:r w:rsidRPr="00E20D21">
              <w:rPr>
                <w:rFonts w:ascii="CAIXA Std Book" w:hAnsi="CAIXA Std Book"/>
                <w:b/>
                <w:color w:val="005CA9"/>
                <w:sz w:val="16"/>
                <w:szCs w:val="16"/>
              </w:rPr>
              <w:t>Transf</w:t>
            </w:r>
            <w:proofErr w:type="spellEnd"/>
            <w:r w:rsidRPr="00E20D21">
              <w:rPr>
                <w:rFonts w:ascii="CAIXA Std Book" w:hAnsi="CAIXA Std Book"/>
                <w:b/>
                <w:color w:val="005CA9"/>
                <w:sz w:val="16"/>
                <w:szCs w:val="16"/>
              </w:rPr>
              <w:t>.</w:t>
            </w:r>
          </w:p>
        </w:tc>
        <w:tc>
          <w:tcPr>
            <w:tcW w:w="502" w:type="pct"/>
            <w:tcBorders>
              <w:top w:val="nil"/>
              <w:left w:val="nil"/>
              <w:bottom w:val="single" w:sz="4" w:space="0" w:color="F39200"/>
              <w:right w:val="nil"/>
            </w:tcBorders>
            <w:shd w:val="clear" w:color="auto" w:fill="auto"/>
            <w:vAlign w:val="center"/>
            <w:hideMark/>
          </w:tcPr>
          <w:p w14:paraId="3542026E" w14:textId="77777777" w:rsidR="00F56CE3" w:rsidRPr="00E20D21" w:rsidRDefault="00F56CE3" w:rsidP="00F56CE3">
            <w:pPr>
              <w:jc w:val="center"/>
              <w:rPr>
                <w:rFonts w:ascii="CAIXA Std Book" w:hAnsi="CAIXA Std Book"/>
                <w:b/>
                <w:color w:val="005CA9"/>
                <w:sz w:val="16"/>
                <w:szCs w:val="16"/>
              </w:rPr>
            </w:pPr>
            <w:r w:rsidRPr="00E20D21">
              <w:rPr>
                <w:rFonts w:ascii="CAIXA Std Book" w:hAnsi="CAIXA Std Book"/>
                <w:b/>
                <w:color w:val="005CA9"/>
                <w:sz w:val="16"/>
                <w:szCs w:val="16"/>
              </w:rPr>
              <w:t>Adições</w:t>
            </w:r>
          </w:p>
        </w:tc>
        <w:tc>
          <w:tcPr>
            <w:tcW w:w="448" w:type="pct"/>
            <w:tcBorders>
              <w:top w:val="nil"/>
              <w:left w:val="nil"/>
              <w:bottom w:val="single" w:sz="4" w:space="0" w:color="F39200"/>
              <w:right w:val="nil"/>
            </w:tcBorders>
            <w:shd w:val="clear" w:color="auto" w:fill="auto"/>
            <w:vAlign w:val="center"/>
            <w:hideMark/>
          </w:tcPr>
          <w:p w14:paraId="40640E9A" w14:textId="77777777" w:rsidR="00F56CE3" w:rsidRPr="00E20D21" w:rsidRDefault="00F56CE3" w:rsidP="00F56CE3">
            <w:pPr>
              <w:jc w:val="center"/>
              <w:rPr>
                <w:rFonts w:ascii="CAIXA Std Book" w:hAnsi="CAIXA Std Book"/>
                <w:b/>
                <w:color w:val="005CA9"/>
                <w:sz w:val="16"/>
                <w:szCs w:val="16"/>
              </w:rPr>
            </w:pPr>
            <w:r w:rsidRPr="00E20D21">
              <w:rPr>
                <w:rFonts w:ascii="CAIXA Std Book" w:hAnsi="CAIXA Std Book"/>
                <w:b/>
                <w:color w:val="005CA9"/>
                <w:sz w:val="16"/>
                <w:szCs w:val="16"/>
              </w:rPr>
              <w:t>Baixas</w:t>
            </w:r>
          </w:p>
        </w:tc>
        <w:tc>
          <w:tcPr>
            <w:tcW w:w="578" w:type="pct"/>
            <w:tcBorders>
              <w:top w:val="nil"/>
              <w:left w:val="nil"/>
              <w:bottom w:val="single" w:sz="4" w:space="0" w:color="F39200"/>
              <w:right w:val="nil"/>
            </w:tcBorders>
            <w:shd w:val="clear" w:color="auto" w:fill="auto"/>
            <w:vAlign w:val="center"/>
            <w:hideMark/>
          </w:tcPr>
          <w:p w14:paraId="5990FF36" w14:textId="77777777" w:rsidR="00F56CE3" w:rsidRPr="00E20D21" w:rsidRDefault="00F56CE3" w:rsidP="00F56CE3">
            <w:pPr>
              <w:jc w:val="center"/>
              <w:rPr>
                <w:rFonts w:ascii="CAIXA Std Book" w:hAnsi="CAIXA Std Book"/>
                <w:b/>
                <w:color w:val="005CA9"/>
                <w:sz w:val="16"/>
                <w:szCs w:val="16"/>
              </w:rPr>
            </w:pPr>
            <w:r w:rsidRPr="00E20D21">
              <w:rPr>
                <w:rFonts w:ascii="CAIXA Std Book" w:hAnsi="CAIXA Std Book"/>
                <w:b/>
                <w:color w:val="005CA9"/>
                <w:sz w:val="16"/>
                <w:szCs w:val="16"/>
              </w:rPr>
              <w:t>Depreciação</w:t>
            </w:r>
          </w:p>
        </w:tc>
        <w:tc>
          <w:tcPr>
            <w:tcW w:w="575" w:type="pct"/>
            <w:tcBorders>
              <w:top w:val="nil"/>
              <w:left w:val="nil"/>
              <w:bottom w:val="single" w:sz="4" w:space="0" w:color="F39200"/>
              <w:right w:val="nil"/>
            </w:tcBorders>
            <w:vAlign w:val="center"/>
          </w:tcPr>
          <w:p w14:paraId="31ABAF5C" w14:textId="77777777" w:rsidR="00F56CE3" w:rsidRPr="00E20D21" w:rsidRDefault="00F56CE3" w:rsidP="00F56CE3">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r>
      <w:tr w:rsidR="00F56CE3" w:rsidRPr="00E20D21" w14:paraId="11A48E01" w14:textId="77777777" w:rsidTr="001C39E4">
        <w:trPr>
          <w:trHeight w:val="283"/>
        </w:trPr>
        <w:tc>
          <w:tcPr>
            <w:tcW w:w="1767" w:type="pct"/>
            <w:tcBorders>
              <w:top w:val="nil"/>
              <w:left w:val="nil"/>
              <w:bottom w:val="nil"/>
              <w:right w:val="nil"/>
            </w:tcBorders>
            <w:shd w:val="clear" w:color="auto" w:fill="auto"/>
            <w:vAlign w:val="center"/>
            <w:hideMark/>
          </w:tcPr>
          <w:p w14:paraId="398AF34A" w14:textId="77777777" w:rsidR="00F56CE3" w:rsidRPr="00E20D21" w:rsidRDefault="00F56CE3" w:rsidP="00F56CE3">
            <w:pPr>
              <w:rPr>
                <w:rFonts w:ascii="CAIXA Std Book" w:hAnsi="CAIXA Std Book"/>
                <w:b/>
                <w:color w:val="005CA9"/>
                <w:sz w:val="16"/>
                <w:szCs w:val="16"/>
              </w:rPr>
            </w:pPr>
            <w:r w:rsidRPr="00E20D21">
              <w:rPr>
                <w:rFonts w:ascii="CAIXA Std Book" w:hAnsi="CAIXA Std Book"/>
                <w:b/>
                <w:color w:val="005CA9"/>
                <w:sz w:val="16"/>
                <w:szCs w:val="16"/>
              </w:rPr>
              <w:t>Imóveis de uso</w:t>
            </w:r>
          </w:p>
        </w:tc>
        <w:tc>
          <w:tcPr>
            <w:tcW w:w="575" w:type="pct"/>
            <w:tcBorders>
              <w:top w:val="nil"/>
              <w:left w:val="nil"/>
              <w:bottom w:val="nil"/>
              <w:right w:val="nil"/>
            </w:tcBorders>
            <w:shd w:val="clear" w:color="auto" w:fill="auto"/>
            <w:vAlign w:val="center"/>
          </w:tcPr>
          <w:p w14:paraId="22A420CC" w14:textId="17313C00"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908.144</w:t>
            </w:r>
          </w:p>
        </w:tc>
        <w:tc>
          <w:tcPr>
            <w:tcW w:w="554" w:type="pct"/>
            <w:tcBorders>
              <w:top w:val="nil"/>
              <w:left w:val="nil"/>
              <w:bottom w:val="nil"/>
              <w:right w:val="nil"/>
            </w:tcBorders>
            <w:shd w:val="clear" w:color="auto" w:fill="auto"/>
            <w:vAlign w:val="center"/>
          </w:tcPr>
          <w:p w14:paraId="0D8AED75" w14:textId="32ACF1A6"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bCs/>
                <w:color w:val="005CA9"/>
                <w:sz w:val="16"/>
                <w:szCs w:val="16"/>
              </w:rPr>
              <w:t>19.322</w:t>
            </w:r>
          </w:p>
        </w:tc>
        <w:tc>
          <w:tcPr>
            <w:tcW w:w="502" w:type="pct"/>
            <w:tcBorders>
              <w:top w:val="nil"/>
              <w:left w:val="nil"/>
              <w:bottom w:val="nil"/>
              <w:right w:val="nil"/>
            </w:tcBorders>
            <w:shd w:val="clear" w:color="auto" w:fill="auto"/>
            <w:vAlign w:val="center"/>
          </w:tcPr>
          <w:p w14:paraId="25C44F96" w14:textId="2DC6F399" w:rsidR="00F56CE3" w:rsidRPr="00E20D21" w:rsidRDefault="00F56CE3" w:rsidP="00F56CE3">
            <w:pPr>
              <w:ind w:firstLineChars="100" w:firstLine="157"/>
              <w:jc w:val="center"/>
              <w:rPr>
                <w:rFonts w:ascii="CAIXA Std Book" w:hAnsi="CAIXA Std Book"/>
                <w:b/>
                <w:color w:val="005CA9"/>
                <w:sz w:val="16"/>
                <w:szCs w:val="16"/>
              </w:rPr>
            </w:pPr>
            <w:r w:rsidRPr="00E20D21">
              <w:rPr>
                <w:rFonts w:ascii="CAIXA Std Book" w:hAnsi="CAIXA Std Book"/>
                <w:b/>
                <w:bCs/>
                <w:color w:val="005CA9"/>
                <w:sz w:val="16"/>
                <w:szCs w:val="16"/>
              </w:rPr>
              <w:t>-</w:t>
            </w:r>
          </w:p>
        </w:tc>
        <w:tc>
          <w:tcPr>
            <w:tcW w:w="448" w:type="pct"/>
            <w:tcBorders>
              <w:top w:val="nil"/>
              <w:left w:val="nil"/>
              <w:bottom w:val="nil"/>
              <w:right w:val="nil"/>
            </w:tcBorders>
            <w:shd w:val="clear" w:color="auto" w:fill="auto"/>
            <w:vAlign w:val="center"/>
          </w:tcPr>
          <w:p w14:paraId="772DFC2A" w14:textId="20070032" w:rsidR="00F56CE3" w:rsidRPr="00E20D21" w:rsidRDefault="00F56CE3" w:rsidP="00F56CE3">
            <w:pPr>
              <w:ind w:firstLineChars="100" w:firstLine="157"/>
              <w:jc w:val="center"/>
              <w:rPr>
                <w:rFonts w:ascii="CAIXA Std Book" w:hAnsi="CAIXA Std Book"/>
                <w:b/>
                <w:color w:val="005CA9"/>
                <w:sz w:val="16"/>
                <w:szCs w:val="16"/>
              </w:rPr>
            </w:pPr>
            <w:r w:rsidRPr="00E20D21">
              <w:rPr>
                <w:rFonts w:ascii="CAIXA Std Book" w:hAnsi="CAIXA Std Book"/>
                <w:b/>
                <w:bCs/>
                <w:color w:val="005CA9"/>
                <w:sz w:val="16"/>
                <w:szCs w:val="16"/>
              </w:rPr>
              <w:t>-</w:t>
            </w:r>
          </w:p>
        </w:tc>
        <w:tc>
          <w:tcPr>
            <w:tcW w:w="578" w:type="pct"/>
            <w:tcBorders>
              <w:top w:val="nil"/>
              <w:left w:val="nil"/>
              <w:bottom w:val="nil"/>
              <w:right w:val="nil"/>
            </w:tcBorders>
            <w:shd w:val="clear" w:color="auto" w:fill="auto"/>
            <w:vAlign w:val="center"/>
          </w:tcPr>
          <w:p w14:paraId="3A2FCCD2" w14:textId="3886E44B"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bCs/>
                <w:color w:val="005CA9"/>
                <w:sz w:val="16"/>
                <w:szCs w:val="16"/>
              </w:rPr>
              <w:t>(24.849)</w:t>
            </w:r>
          </w:p>
        </w:tc>
        <w:tc>
          <w:tcPr>
            <w:tcW w:w="575" w:type="pct"/>
            <w:tcBorders>
              <w:top w:val="nil"/>
              <w:left w:val="nil"/>
              <w:bottom w:val="nil"/>
              <w:right w:val="nil"/>
            </w:tcBorders>
            <w:vAlign w:val="center"/>
          </w:tcPr>
          <w:p w14:paraId="3B74F9EB" w14:textId="039F5673"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bCs/>
                <w:color w:val="005CA9"/>
                <w:sz w:val="16"/>
                <w:szCs w:val="16"/>
              </w:rPr>
              <w:t>902.617</w:t>
            </w:r>
          </w:p>
        </w:tc>
      </w:tr>
      <w:tr w:rsidR="00F56CE3" w:rsidRPr="00E20D21" w14:paraId="7A55BEA3" w14:textId="77777777" w:rsidTr="001C39E4">
        <w:trPr>
          <w:trHeight w:val="283"/>
        </w:trPr>
        <w:tc>
          <w:tcPr>
            <w:tcW w:w="1767" w:type="pct"/>
            <w:tcBorders>
              <w:top w:val="nil"/>
              <w:left w:val="nil"/>
              <w:bottom w:val="nil"/>
              <w:right w:val="nil"/>
            </w:tcBorders>
            <w:shd w:val="clear" w:color="auto" w:fill="auto"/>
            <w:vAlign w:val="center"/>
            <w:hideMark/>
          </w:tcPr>
          <w:p w14:paraId="70E889D6" w14:textId="77777777" w:rsidR="00F56CE3" w:rsidRPr="00E20D21" w:rsidRDefault="00F56CE3" w:rsidP="00F56CE3">
            <w:pPr>
              <w:ind w:firstLineChars="100" w:firstLine="160"/>
              <w:rPr>
                <w:rFonts w:ascii="CAIXA Std Book" w:hAnsi="CAIXA Std Book"/>
                <w:color w:val="005CA9"/>
                <w:sz w:val="16"/>
                <w:szCs w:val="16"/>
              </w:rPr>
            </w:pPr>
            <w:r w:rsidRPr="00E20D21">
              <w:rPr>
                <w:rFonts w:ascii="CAIXA Std Book" w:hAnsi="CAIXA Std Book"/>
                <w:color w:val="005CA9"/>
                <w:sz w:val="16"/>
                <w:szCs w:val="16"/>
              </w:rPr>
              <w:t>Edificações</w:t>
            </w:r>
          </w:p>
        </w:tc>
        <w:tc>
          <w:tcPr>
            <w:tcW w:w="575" w:type="pct"/>
            <w:tcBorders>
              <w:top w:val="nil"/>
              <w:left w:val="nil"/>
              <w:bottom w:val="nil"/>
              <w:right w:val="nil"/>
            </w:tcBorders>
            <w:shd w:val="clear" w:color="auto" w:fill="auto"/>
            <w:vAlign w:val="center"/>
          </w:tcPr>
          <w:p w14:paraId="23FCCFE7" w14:textId="2710DCAA"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701.690</w:t>
            </w:r>
          </w:p>
        </w:tc>
        <w:tc>
          <w:tcPr>
            <w:tcW w:w="554" w:type="pct"/>
            <w:tcBorders>
              <w:top w:val="nil"/>
              <w:left w:val="nil"/>
              <w:bottom w:val="nil"/>
              <w:right w:val="nil"/>
            </w:tcBorders>
            <w:shd w:val="clear" w:color="auto" w:fill="auto"/>
            <w:vAlign w:val="center"/>
          </w:tcPr>
          <w:p w14:paraId="34C09FD2" w14:textId="2FBF39E2"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19.944</w:t>
            </w:r>
          </w:p>
        </w:tc>
        <w:tc>
          <w:tcPr>
            <w:tcW w:w="502" w:type="pct"/>
            <w:tcBorders>
              <w:top w:val="nil"/>
              <w:left w:val="nil"/>
              <w:bottom w:val="nil"/>
              <w:right w:val="nil"/>
            </w:tcBorders>
            <w:shd w:val="clear" w:color="auto" w:fill="auto"/>
            <w:vAlign w:val="center"/>
          </w:tcPr>
          <w:p w14:paraId="5CBFF907" w14:textId="447C0B46" w:rsidR="00F56CE3" w:rsidRPr="00E20D21" w:rsidRDefault="00F56CE3" w:rsidP="00F56CE3">
            <w:pPr>
              <w:ind w:firstLineChars="100" w:firstLine="160"/>
              <w:jc w:val="center"/>
              <w:rPr>
                <w:rFonts w:ascii="CAIXA Std Book" w:hAnsi="CAIXA Std Book"/>
                <w:color w:val="005CA9"/>
                <w:sz w:val="16"/>
                <w:szCs w:val="16"/>
              </w:rPr>
            </w:pPr>
            <w:r w:rsidRPr="00E20D21">
              <w:rPr>
                <w:rFonts w:ascii="CAIXA Std Book" w:hAnsi="CAIXA Std Book"/>
                <w:color w:val="005CA9"/>
                <w:sz w:val="16"/>
                <w:szCs w:val="16"/>
              </w:rPr>
              <w:t>-</w:t>
            </w:r>
          </w:p>
        </w:tc>
        <w:tc>
          <w:tcPr>
            <w:tcW w:w="448" w:type="pct"/>
            <w:tcBorders>
              <w:top w:val="nil"/>
              <w:left w:val="nil"/>
              <w:bottom w:val="nil"/>
              <w:right w:val="nil"/>
            </w:tcBorders>
            <w:shd w:val="clear" w:color="auto" w:fill="auto"/>
            <w:vAlign w:val="center"/>
          </w:tcPr>
          <w:p w14:paraId="4BC17528" w14:textId="479F3E28" w:rsidR="00F56CE3" w:rsidRPr="00E20D21" w:rsidRDefault="00F56CE3" w:rsidP="00F56CE3">
            <w:pPr>
              <w:ind w:firstLineChars="100" w:firstLine="160"/>
              <w:jc w:val="center"/>
              <w:rPr>
                <w:rFonts w:ascii="CAIXA Std Book" w:hAnsi="CAIXA Std Book"/>
                <w:color w:val="005CA9"/>
                <w:sz w:val="16"/>
                <w:szCs w:val="16"/>
              </w:rPr>
            </w:pPr>
            <w:r w:rsidRPr="00E20D21">
              <w:rPr>
                <w:rFonts w:ascii="CAIXA Std Book" w:hAnsi="CAIXA Std Book"/>
                <w:color w:val="005CA9"/>
                <w:sz w:val="16"/>
                <w:szCs w:val="16"/>
              </w:rPr>
              <w:t>-</w:t>
            </w:r>
          </w:p>
        </w:tc>
        <w:tc>
          <w:tcPr>
            <w:tcW w:w="578" w:type="pct"/>
            <w:tcBorders>
              <w:top w:val="nil"/>
              <w:left w:val="nil"/>
              <w:bottom w:val="nil"/>
              <w:right w:val="nil"/>
            </w:tcBorders>
            <w:shd w:val="clear" w:color="auto" w:fill="auto"/>
            <w:vAlign w:val="center"/>
          </w:tcPr>
          <w:p w14:paraId="57B863C9" w14:textId="29F0EE3C"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(24.849)</w:t>
            </w:r>
          </w:p>
        </w:tc>
        <w:tc>
          <w:tcPr>
            <w:tcW w:w="575" w:type="pct"/>
            <w:tcBorders>
              <w:top w:val="nil"/>
              <w:left w:val="nil"/>
              <w:bottom w:val="nil"/>
              <w:right w:val="nil"/>
            </w:tcBorders>
            <w:vAlign w:val="center"/>
          </w:tcPr>
          <w:p w14:paraId="38AA5A44" w14:textId="12C436FF"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696.785</w:t>
            </w:r>
          </w:p>
        </w:tc>
      </w:tr>
      <w:tr w:rsidR="00F56CE3" w:rsidRPr="00E20D21" w14:paraId="41844C2C" w14:textId="77777777" w:rsidTr="001C39E4">
        <w:trPr>
          <w:trHeight w:val="283"/>
        </w:trPr>
        <w:tc>
          <w:tcPr>
            <w:tcW w:w="1767" w:type="pct"/>
            <w:tcBorders>
              <w:top w:val="nil"/>
              <w:left w:val="nil"/>
              <w:bottom w:val="nil"/>
              <w:right w:val="nil"/>
            </w:tcBorders>
            <w:shd w:val="clear" w:color="auto" w:fill="auto"/>
            <w:vAlign w:val="center"/>
            <w:hideMark/>
          </w:tcPr>
          <w:p w14:paraId="467F6E8C" w14:textId="77777777" w:rsidR="00F56CE3" w:rsidRPr="00E20D21" w:rsidRDefault="00F56CE3" w:rsidP="00F56CE3">
            <w:pPr>
              <w:ind w:firstLineChars="100" w:firstLine="160"/>
              <w:rPr>
                <w:rFonts w:ascii="CAIXA Std Book" w:hAnsi="CAIXA Std Book"/>
                <w:color w:val="005CA9"/>
                <w:sz w:val="16"/>
                <w:szCs w:val="16"/>
              </w:rPr>
            </w:pPr>
            <w:r w:rsidRPr="00E20D21">
              <w:rPr>
                <w:rFonts w:ascii="CAIXA Std Book" w:hAnsi="CAIXA Std Book"/>
                <w:color w:val="005CA9"/>
                <w:sz w:val="16"/>
                <w:szCs w:val="16"/>
              </w:rPr>
              <w:t>Terrenos</w:t>
            </w:r>
          </w:p>
        </w:tc>
        <w:tc>
          <w:tcPr>
            <w:tcW w:w="575" w:type="pct"/>
            <w:tcBorders>
              <w:top w:val="nil"/>
              <w:left w:val="nil"/>
              <w:bottom w:val="nil"/>
              <w:right w:val="nil"/>
            </w:tcBorders>
            <w:shd w:val="clear" w:color="auto" w:fill="auto"/>
            <w:vAlign w:val="center"/>
          </w:tcPr>
          <w:p w14:paraId="21C0CA1A" w14:textId="660E5BAC"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206.454</w:t>
            </w:r>
          </w:p>
        </w:tc>
        <w:tc>
          <w:tcPr>
            <w:tcW w:w="554" w:type="pct"/>
            <w:tcBorders>
              <w:top w:val="nil"/>
              <w:left w:val="nil"/>
              <w:bottom w:val="nil"/>
              <w:right w:val="nil"/>
            </w:tcBorders>
            <w:shd w:val="clear" w:color="auto" w:fill="auto"/>
            <w:vAlign w:val="center"/>
          </w:tcPr>
          <w:p w14:paraId="7C1607BB" w14:textId="561C5F01"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(622)</w:t>
            </w:r>
          </w:p>
        </w:tc>
        <w:tc>
          <w:tcPr>
            <w:tcW w:w="502" w:type="pct"/>
            <w:tcBorders>
              <w:top w:val="nil"/>
              <w:left w:val="nil"/>
              <w:bottom w:val="nil"/>
              <w:right w:val="nil"/>
            </w:tcBorders>
            <w:shd w:val="clear" w:color="auto" w:fill="auto"/>
            <w:vAlign w:val="center"/>
          </w:tcPr>
          <w:p w14:paraId="74338B4A" w14:textId="65C95C56" w:rsidR="00F56CE3" w:rsidRPr="00E20D21" w:rsidRDefault="00F56CE3" w:rsidP="00F56CE3">
            <w:pPr>
              <w:ind w:firstLineChars="100" w:firstLine="160"/>
              <w:jc w:val="center"/>
              <w:rPr>
                <w:rFonts w:ascii="CAIXA Std Book" w:hAnsi="CAIXA Std Book"/>
                <w:color w:val="005CA9"/>
                <w:sz w:val="16"/>
                <w:szCs w:val="16"/>
              </w:rPr>
            </w:pPr>
            <w:r w:rsidRPr="00E20D21">
              <w:rPr>
                <w:rFonts w:ascii="CAIXA Std Book" w:hAnsi="CAIXA Std Book"/>
                <w:color w:val="005CA9"/>
                <w:sz w:val="16"/>
                <w:szCs w:val="16"/>
              </w:rPr>
              <w:t>-</w:t>
            </w:r>
          </w:p>
        </w:tc>
        <w:tc>
          <w:tcPr>
            <w:tcW w:w="448" w:type="pct"/>
            <w:tcBorders>
              <w:top w:val="nil"/>
              <w:left w:val="nil"/>
              <w:bottom w:val="nil"/>
              <w:right w:val="nil"/>
            </w:tcBorders>
            <w:shd w:val="clear" w:color="auto" w:fill="auto"/>
            <w:vAlign w:val="center"/>
          </w:tcPr>
          <w:p w14:paraId="7873878C" w14:textId="432053A8" w:rsidR="00F56CE3" w:rsidRPr="00E20D21" w:rsidRDefault="00F56CE3" w:rsidP="00F56CE3">
            <w:pPr>
              <w:ind w:firstLineChars="100" w:firstLine="160"/>
              <w:jc w:val="center"/>
              <w:rPr>
                <w:rFonts w:ascii="CAIXA Std Book" w:hAnsi="CAIXA Std Book"/>
                <w:bCs/>
                <w:color w:val="005CA9"/>
                <w:sz w:val="16"/>
                <w:szCs w:val="16"/>
              </w:rPr>
            </w:pPr>
            <w:r w:rsidRPr="00E20D21">
              <w:rPr>
                <w:rFonts w:ascii="CAIXA Std Book" w:hAnsi="CAIXA Std Book"/>
                <w:color w:val="005CA9"/>
                <w:sz w:val="16"/>
                <w:szCs w:val="16"/>
              </w:rPr>
              <w:t>-</w:t>
            </w:r>
          </w:p>
        </w:tc>
        <w:tc>
          <w:tcPr>
            <w:tcW w:w="578" w:type="pct"/>
            <w:tcBorders>
              <w:top w:val="nil"/>
              <w:left w:val="nil"/>
              <w:bottom w:val="nil"/>
              <w:right w:val="nil"/>
            </w:tcBorders>
            <w:shd w:val="clear" w:color="auto" w:fill="auto"/>
            <w:vAlign w:val="center"/>
          </w:tcPr>
          <w:p w14:paraId="0323F4D5" w14:textId="1AF0373C" w:rsidR="00F56CE3" w:rsidRPr="00E20D21" w:rsidRDefault="00F56CE3" w:rsidP="00F56CE3">
            <w:pPr>
              <w:ind w:firstLineChars="100" w:firstLine="160"/>
              <w:jc w:val="center"/>
              <w:rPr>
                <w:rFonts w:ascii="CAIXA Std Book" w:hAnsi="CAIXA Std Book"/>
                <w:bCs/>
                <w:color w:val="005CA9"/>
                <w:sz w:val="16"/>
                <w:szCs w:val="16"/>
              </w:rPr>
            </w:pPr>
            <w:r w:rsidRPr="00E20D21">
              <w:rPr>
                <w:rFonts w:ascii="CAIXA Std Book" w:hAnsi="CAIXA Std Book"/>
                <w:color w:val="005CA9"/>
                <w:sz w:val="16"/>
                <w:szCs w:val="16"/>
              </w:rPr>
              <w:t>-</w:t>
            </w:r>
          </w:p>
        </w:tc>
        <w:tc>
          <w:tcPr>
            <w:tcW w:w="575" w:type="pct"/>
            <w:tcBorders>
              <w:top w:val="nil"/>
              <w:left w:val="nil"/>
              <w:bottom w:val="nil"/>
              <w:right w:val="nil"/>
            </w:tcBorders>
            <w:vAlign w:val="center"/>
          </w:tcPr>
          <w:p w14:paraId="2846DC75" w14:textId="0C7E977A"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205.832</w:t>
            </w:r>
          </w:p>
        </w:tc>
      </w:tr>
      <w:tr w:rsidR="00F56CE3" w:rsidRPr="00E20D21" w14:paraId="62218BBA" w14:textId="77777777" w:rsidTr="001C39E4">
        <w:trPr>
          <w:trHeight w:val="283"/>
        </w:trPr>
        <w:tc>
          <w:tcPr>
            <w:tcW w:w="1767" w:type="pct"/>
            <w:tcBorders>
              <w:top w:val="nil"/>
              <w:left w:val="nil"/>
              <w:bottom w:val="nil"/>
              <w:right w:val="nil"/>
            </w:tcBorders>
            <w:shd w:val="clear" w:color="auto" w:fill="auto"/>
            <w:vAlign w:val="center"/>
            <w:hideMark/>
          </w:tcPr>
          <w:p w14:paraId="0B6AFB65" w14:textId="77777777" w:rsidR="00F56CE3" w:rsidRPr="00E20D21" w:rsidRDefault="00F56CE3" w:rsidP="00F56CE3">
            <w:pPr>
              <w:rPr>
                <w:rFonts w:ascii="CAIXA Std Book" w:hAnsi="CAIXA Std Book"/>
                <w:b/>
                <w:color w:val="005CA9"/>
                <w:sz w:val="16"/>
                <w:szCs w:val="16"/>
              </w:rPr>
            </w:pPr>
            <w:r w:rsidRPr="00E20D21">
              <w:rPr>
                <w:rFonts w:ascii="CAIXA Std Book" w:hAnsi="CAIXA Std Book"/>
                <w:b/>
                <w:color w:val="005CA9"/>
                <w:sz w:val="16"/>
                <w:szCs w:val="16"/>
              </w:rPr>
              <w:t>Benfeitorias em imóveis de terceiros</w:t>
            </w:r>
          </w:p>
        </w:tc>
        <w:tc>
          <w:tcPr>
            <w:tcW w:w="575" w:type="pct"/>
            <w:tcBorders>
              <w:top w:val="nil"/>
              <w:left w:val="nil"/>
              <w:bottom w:val="nil"/>
              <w:right w:val="nil"/>
            </w:tcBorders>
            <w:shd w:val="clear" w:color="auto" w:fill="auto"/>
            <w:vAlign w:val="center"/>
          </w:tcPr>
          <w:p w14:paraId="223B0924" w14:textId="5743E78F"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499.576</w:t>
            </w:r>
          </w:p>
        </w:tc>
        <w:tc>
          <w:tcPr>
            <w:tcW w:w="554" w:type="pct"/>
            <w:tcBorders>
              <w:top w:val="nil"/>
              <w:left w:val="nil"/>
              <w:bottom w:val="nil"/>
              <w:right w:val="nil"/>
            </w:tcBorders>
            <w:shd w:val="clear" w:color="auto" w:fill="auto"/>
            <w:vAlign w:val="center"/>
          </w:tcPr>
          <w:p w14:paraId="4DDA6D70" w14:textId="19758348"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120.614</w:t>
            </w:r>
          </w:p>
        </w:tc>
        <w:tc>
          <w:tcPr>
            <w:tcW w:w="502" w:type="pct"/>
            <w:tcBorders>
              <w:top w:val="nil"/>
              <w:left w:val="nil"/>
              <w:bottom w:val="nil"/>
              <w:right w:val="nil"/>
            </w:tcBorders>
            <w:shd w:val="clear" w:color="auto" w:fill="auto"/>
            <w:vAlign w:val="center"/>
          </w:tcPr>
          <w:p w14:paraId="4FA546D7" w14:textId="78E83C42" w:rsidR="00F56CE3" w:rsidRPr="00E20D21" w:rsidRDefault="00F56CE3" w:rsidP="00F56CE3">
            <w:pPr>
              <w:ind w:firstLineChars="100" w:firstLine="157"/>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448" w:type="pct"/>
            <w:tcBorders>
              <w:top w:val="nil"/>
              <w:left w:val="nil"/>
              <w:bottom w:val="nil"/>
              <w:right w:val="nil"/>
            </w:tcBorders>
            <w:shd w:val="clear" w:color="auto" w:fill="auto"/>
            <w:vAlign w:val="center"/>
          </w:tcPr>
          <w:p w14:paraId="129B8831" w14:textId="4A3626AD"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(166)</w:t>
            </w:r>
          </w:p>
        </w:tc>
        <w:tc>
          <w:tcPr>
            <w:tcW w:w="578" w:type="pct"/>
            <w:tcBorders>
              <w:top w:val="nil"/>
              <w:left w:val="nil"/>
              <w:bottom w:val="nil"/>
              <w:right w:val="nil"/>
            </w:tcBorders>
            <w:shd w:val="clear" w:color="auto" w:fill="auto"/>
            <w:vAlign w:val="center"/>
          </w:tcPr>
          <w:p w14:paraId="73C46A5B" w14:textId="0C83BE8F"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(99.594)</w:t>
            </w:r>
          </w:p>
        </w:tc>
        <w:tc>
          <w:tcPr>
            <w:tcW w:w="575" w:type="pct"/>
            <w:tcBorders>
              <w:top w:val="nil"/>
              <w:left w:val="nil"/>
              <w:bottom w:val="nil"/>
              <w:right w:val="nil"/>
            </w:tcBorders>
            <w:vAlign w:val="center"/>
          </w:tcPr>
          <w:p w14:paraId="666C41B4" w14:textId="6F85D7B1"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520.430</w:t>
            </w:r>
          </w:p>
        </w:tc>
      </w:tr>
      <w:tr w:rsidR="00F56CE3" w:rsidRPr="00E20D21" w14:paraId="7CF84BF5" w14:textId="77777777" w:rsidTr="001C39E4">
        <w:trPr>
          <w:trHeight w:val="283"/>
        </w:trPr>
        <w:tc>
          <w:tcPr>
            <w:tcW w:w="1767" w:type="pct"/>
            <w:tcBorders>
              <w:top w:val="nil"/>
              <w:left w:val="nil"/>
              <w:bottom w:val="nil"/>
              <w:right w:val="nil"/>
            </w:tcBorders>
            <w:shd w:val="clear" w:color="auto" w:fill="auto"/>
            <w:vAlign w:val="center"/>
            <w:hideMark/>
          </w:tcPr>
          <w:p w14:paraId="3BFA49A5" w14:textId="77777777" w:rsidR="00F56CE3" w:rsidRPr="00E20D21" w:rsidRDefault="00F56CE3" w:rsidP="00F56CE3">
            <w:pPr>
              <w:rPr>
                <w:rFonts w:ascii="CAIXA Std Book" w:hAnsi="CAIXA Std Book"/>
                <w:b/>
                <w:color w:val="005CA9"/>
                <w:sz w:val="16"/>
                <w:szCs w:val="16"/>
              </w:rPr>
            </w:pPr>
            <w:r w:rsidRPr="00E20D21">
              <w:rPr>
                <w:rFonts w:ascii="CAIXA Std Book" w:hAnsi="CAIXA Std Book"/>
                <w:b/>
                <w:color w:val="005CA9"/>
                <w:sz w:val="16"/>
                <w:szCs w:val="16"/>
              </w:rPr>
              <w:t>Imobilizações em curso</w:t>
            </w:r>
          </w:p>
        </w:tc>
        <w:tc>
          <w:tcPr>
            <w:tcW w:w="575" w:type="pct"/>
            <w:tcBorders>
              <w:top w:val="nil"/>
              <w:left w:val="nil"/>
              <w:bottom w:val="nil"/>
              <w:right w:val="nil"/>
            </w:tcBorders>
            <w:shd w:val="clear" w:color="auto" w:fill="auto"/>
            <w:vAlign w:val="center"/>
          </w:tcPr>
          <w:p w14:paraId="0BE80813" w14:textId="0E432731"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260.853</w:t>
            </w:r>
          </w:p>
        </w:tc>
        <w:tc>
          <w:tcPr>
            <w:tcW w:w="554" w:type="pct"/>
            <w:tcBorders>
              <w:top w:val="nil"/>
              <w:left w:val="nil"/>
              <w:bottom w:val="nil"/>
              <w:right w:val="nil"/>
            </w:tcBorders>
            <w:shd w:val="clear" w:color="auto" w:fill="auto"/>
            <w:vAlign w:val="center"/>
          </w:tcPr>
          <w:p w14:paraId="5F8A7F2B" w14:textId="4C3A136F"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(140.782)</w:t>
            </w:r>
          </w:p>
        </w:tc>
        <w:tc>
          <w:tcPr>
            <w:tcW w:w="502" w:type="pct"/>
            <w:tcBorders>
              <w:top w:val="nil"/>
              <w:left w:val="nil"/>
              <w:bottom w:val="nil"/>
              <w:right w:val="nil"/>
            </w:tcBorders>
            <w:shd w:val="clear" w:color="auto" w:fill="auto"/>
            <w:vAlign w:val="center"/>
          </w:tcPr>
          <w:p w14:paraId="5F3D6C49" w14:textId="005CBB33"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173.958</w:t>
            </w:r>
          </w:p>
        </w:tc>
        <w:tc>
          <w:tcPr>
            <w:tcW w:w="448" w:type="pct"/>
            <w:tcBorders>
              <w:top w:val="nil"/>
              <w:left w:val="nil"/>
              <w:bottom w:val="nil"/>
              <w:right w:val="nil"/>
            </w:tcBorders>
            <w:shd w:val="clear" w:color="auto" w:fill="auto"/>
            <w:vAlign w:val="center"/>
          </w:tcPr>
          <w:p w14:paraId="52701A4A" w14:textId="1A76A21A" w:rsidR="00F56CE3" w:rsidRPr="00E20D21" w:rsidRDefault="00F56CE3" w:rsidP="00F56CE3">
            <w:pPr>
              <w:ind w:firstLineChars="100" w:firstLine="157"/>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78" w:type="pct"/>
            <w:tcBorders>
              <w:top w:val="nil"/>
              <w:left w:val="nil"/>
              <w:bottom w:val="nil"/>
              <w:right w:val="nil"/>
            </w:tcBorders>
            <w:shd w:val="clear" w:color="auto" w:fill="auto"/>
            <w:vAlign w:val="center"/>
          </w:tcPr>
          <w:p w14:paraId="31AD66B2" w14:textId="35322B8C" w:rsidR="00F56CE3" w:rsidRPr="00E20D21" w:rsidRDefault="00F56CE3" w:rsidP="00F56CE3">
            <w:pPr>
              <w:ind w:firstLineChars="100" w:firstLine="157"/>
              <w:jc w:val="center"/>
              <w:rPr>
                <w:rFonts w:ascii="CAIXA Std Book" w:hAnsi="CAIXA Std Book"/>
                <w:b/>
                <w:color w:val="005CA9"/>
                <w:sz w:val="16"/>
                <w:szCs w:val="16"/>
              </w:rPr>
            </w:pPr>
            <w:r w:rsidRPr="00E20D21">
              <w:rPr>
                <w:rFonts w:ascii="CAIXA Std Book" w:hAnsi="CAIXA Std Book"/>
                <w:b/>
                <w:color w:val="005CA9"/>
                <w:sz w:val="16"/>
                <w:szCs w:val="16"/>
              </w:rPr>
              <w:t>-</w:t>
            </w:r>
          </w:p>
        </w:tc>
        <w:tc>
          <w:tcPr>
            <w:tcW w:w="575" w:type="pct"/>
            <w:tcBorders>
              <w:top w:val="nil"/>
              <w:left w:val="nil"/>
              <w:bottom w:val="nil"/>
              <w:right w:val="nil"/>
            </w:tcBorders>
            <w:vAlign w:val="center"/>
          </w:tcPr>
          <w:p w14:paraId="72749155" w14:textId="7CB0A03A"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294.029</w:t>
            </w:r>
          </w:p>
        </w:tc>
      </w:tr>
      <w:tr w:rsidR="00F56CE3" w:rsidRPr="00E20D21" w14:paraId="1253148A" w14:textId="77777777" w:rsidTr="001C39E4">
        <w:trPr>
          <w:trHeight w:val="283"/>
        </w:trPr>
        <w:tc>
          <w:tcPr>
            <w:tcW w:w="1767" w:type="pct"/>
            <w:tcBorders>
              <w:top w:val="nil"/>
              <w:left w:val="nil"/>
              <w:bottom w:val="nil"/>
              <w:right w:val="nil"/>
            </w:tcBorders>
            <w:shd w:val="clear" w:color="auto" w:fill="auto"/>
            <w:vAlign w:val="center"/>
            <w:hideMark/>
          </w:tcPr>
          <w:p w14:paraId="5C86ED5D" w14:textId="77777777" w:rsidR="00F56CE3" w:rsidRPr="00E20D21" w:rsidRDefault="00F56CE3" w:rsidP="00F56CE3">
            <w:pPr>
              <w:rPr>
                <w:rFonts w:ascii="CAIXA Std Book" w:hAnsi="CAIXA Std Book"/>
                <w:b/>
                <w:color w:val="005CA9"/>
                <w:sz w:val="16"/>
                <w:szCs w:val="16"/>
              </w:rPr>
            </w:pPr>
            <w:r w:rsidRPr="00E20D21">
              <w:rPr>
                <w:rFonts w:ascii="CAIXA Std Book" w:hAnsi="CAIXA Std Book"/>
                <w:b/>
                <w:color w:val="005CA9"/>
                <w:sz w:val="16"/>
                <w:szCs w:val="16"/>
              </w:rPr>
              <w:t>Móveis e equipamentos de uso</w:t>
            </w:r>
          </w:p>
        </w:tc>
        <w:tc>
          <w:tcPr>
            <w:tcW w:w="575" w:type="pct"/>
            <w:tcBorders>
              <w:top w:val="nil"/>
              <w:left w:val="nil"/>
              <w:bottom w:val="nil"/>
              <w:right w:val="nil"/>
            </w:tcBorders>
            <w:shd w:val="clear" w:color="auto" w:fill="auto"/>
            <w:vAlign w:val="center"/>
          </w:tcPr>
          <w:p w14:paraId="3F4CF043" w14:textId="4D6BB219"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1.045.595</w:t>
            </w:r>
          </w:p>
        </w:tc>
        <w:tc>
          <w:tcPr>
            <w:tcW w:w="554" w:type="pct"/>
            <w:tcBorders>
              <w:top w:val="nil"/>
              <w:left w:val="nil"/>
              <w:bottom w:val="nil"/>
              <w:right w:val="nil"/>
            </w:tcBorders>
            <w:shd w:val="clear" w:color="auto" w:fill="auto"/>
            <w:vAlign w:val="center"/>
          </w:tcPr>
          <w:p w14:paraId="05AA0E43" w14:textId="6B085E97"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3.915</w:t>
            </w:r>
          </w:p>
        </w:tc>
        <w:tc>
          <w:tcPr>
            <w:tcW w:w="502" w:type="pct"/>
            <w:tcBorders>
              <w:top w:val="nil"/>
              <w:left w:val="nil"/>
              <w:bottom w:val="nil"/>
              <w:right w:val="nil"/>
            </w:tcBorders>
            <w:shd w:val="clear" w:color="auto" w:fill="auto"/>
            <w:vAlign w:val="center"/>
          </w:tcPr>
          <w:p w14:paraId="67F1E499" w14:textId="00863387"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398.889</w:t>
            </w:r>
          </w:p>
        </w:tc>
        <w:tc>
          <w:tcPr>
            <w:tcW w:w="448" w:type="pct"/>
            <w:tcBorders>
              <w:top w:val="nil"/>
              <w:left w:val="nil"/>
              <w:bottom w:val="nil"/>
              <w:right w:val="nil"/>
            </w:tcBorders>
            <w:shd w:val="clear" w:color="auto" w:fill="auto"/>
            <w:vAlign w:val="center"/>
          </w:tcPr>
          <w:p w14:paraId="45DBADA1" w14:textId="54357E76"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(56)</w:t>
            </w:r>
          </w:p>
        </w:tc>
        <w:tc>
          <w:tcPr>
            <w:tcW w:w="578" w:type="pct"/>
            <w:tcBorders>
              <w:top w:val="nil"/>
              <w:left w:val="nil"/>
              <w:bottom w:val="nil"/>
              <w:right w:val="nil"/>
            </w:tcBorders>
            <w:shd w:val="clear" w:color="auto" w:fill="auto"/>
            <w:vAlign w:val="center"/>
          </w:tcPr>
          <w:p w14:paraId="17A0D07C" w14:textId="60BD6B28"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(322.379)</w:t>
            </w:r>
          </w:p>
        </w:tc>
        <w:tc>
          <w:tcPr>
            <w:tcW w:w="575" w:type="pct"/>
            <w:tcBorders>
              <w:top w:val="nil"/>
              <w:left w:val="nil"/>
              <w:bottom w:val="nil"/>
              <w:right w:val="nil"/>
            </w:tcBorders>
            <w:vAlign w:val="center"/>
          </w:tcPr>
          <w:p w14:paraId="1057C5FC" w14:textId="1EFFC5E3"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1.125.964</w:t>
            </w:r>
          </w:p>
        </w:tc>
      </w:tr>
      <w:tr w:rsidR="00F56CE3" w:rsidRPr="00E20D21" w14:paraId="0803AB4D" w14:textId="77777777" w:rsidTr="001C39E4">
        <w:trPr>
          <w:trHeight w:val="283"/>
        </w:trPr>
        <w:tc>
          <w:tcPr>
            <w:tcW w:w="1767" w:type="pct"/>
            <w:tcBorders>
              <w:top w:val="nil"/>
              <w:left w:val="nil"/>
              <w:bottom w:val="nil"/>
              <w:right w:val="nil"/>
            </w:tcBorders>
            <w:shd w:val="clear" w:color="auto" w:fill="auto"/>
            <w:vAlign w:val="center"/>
            <w:hideMark/>
          </w:tcPr>
          <w:p w14:paraId="1847AA42" w14:textId="77777777" w:rsidR="00F56CE3" w:rsidRPr="00E20D21" w:rsidRDefault="00F56CE3" w:rsidP="00F56CE3">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comunicação e de segurança</w:t>
            </w:r>
          </w:p>
        </w:tc>
        <w:tc>
          <w:tcPr>
            <w:tcW w:w="575" w:type="pct"/>
            <w:tcBorders>
              <w:top w:val="nil"/>
              <w:left w:val="nil"/>
              <w:bottom w:val="nil"/>
              <w:right w:val="nil"/>
            </w:tcBorders>
            <w:shd w:val="clear" w:color="auto" w:fill="auto"/>
            <w:vAlign w:val="center"/>
          </w:tcPr>
          <w:p w14:paraId="105B5B54" w14:textId="0252974E"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135.168</w:t>
            </w:r>
          </w:p>
        </w:tc>
        <w:tc>
          <w:tcPr>
            <w:tcW w:w="554" w:type="pct"/>
            <w:tcBorders>
              <w:top w:val="nil"/>
              <w:left w:val="nil"/>
              <w:bottom w:val="nil"/>
              <w:right w:val="nil"/>
            </w:tcBorders>
            <w:shd w:val="clear" w:color="auto" w:fill="auto"/>
            <w:vAlign w:val="center"/>
          </w:tcPr>
          <w:p w14:paraId="1BCB6595" w14:textId="3B21BBD2"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10.050</w:t>
            </w:r>
          </w:p>
        </w:tc>
        <w:tc>
          <w:tcPr>
            <w:tcW w:w="502" w:type="pct"/>
            <w:tcBorders>
              <w:top w:val="nil"/>
              <w:left w:val="nil"/>
              <w:bottom w:val="nil"/>
              <w:right w:val="nil"/>
            </w:tcBorders>
            <w:shd w:val="clear" w:color="auto" w:fill="auto"/>
            <w:vAlign w:val="center"/>
          </w:tcPr>
          <w:p w14:paraId="6504C437" w14:textId="377364AA"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26.405</w:t>
            </w:r>
          </w:p>
        </w:tc>
        <w:tc>
          <w:tcPr>
            <w:tcW w:w="448" w:type="pct"/>
            <w:tcBorders>
              <w:top w:val="nil"/>
              <w:left w:val="nil"/>
              <w:bottom w:val="nil"/>
              <w:right w:val="nil"/>
            </w:tcBorders>
            <w:shd w:val="clear" w:color="auto" w:fill="auto"/>
            <w:vAlign w:val="center"/>
          </w:tcPr>
          <w:p w14:paraId="02E86FF0" w14:textId="2341457E" w:rsidR="00F56CE3" w:rsidRPr="00E20D21" w:rsidRDefault="00F56CE3" w:rsidP="00F56CE3">
            <w:pPr>
              <w:ind w:firstLineChars="100" w:firstLine="160"/>
              <w:jc w:val="right"/>
              <w:rPr>
                <w:rFonts w:ascii="CAIXA Std Book" w:hAnsi="CAIXA Std Book"/>
                <w:bCs/>
                <w:color w:val="005CA9"/>
                <w:sz w:val="16"/>
                <w:szCs w:val="16"/>
              </w:rPr>
            </w:pPr>
            <w:r w:rsidRPr="00E20D21">
              <w:rPr>
                <w:rFonts w:ascii="CAIXA Std Book" w:hAnsi="CAIXA Std Book"/>
                <w:color w:val="005CA9"/>
                <w:sz w:val="16"/>
                <w:szCs w:val="16"/>
              </w:rPr>
              <w:t>(11)</w:t>
            </w:r>
          </w:p>
        </w:tc>
        <w:tc>
          <w:tcPr>
            <w:tcW w:w="578" w:type="pct"/>
            <w:tcBorders>
              <w:top w:val="nil"/>
              <w:left w:val="nil"/>
              <w:bottom w:val="nil"/>
              <w:right w:val="nil"/>
            </w:tcBorders>
            <w:shd w:val="clear" w:color="auto" w:fill="auto"/>
            <w:vAlign w:val="center"/>
          </w:tcPr>
          <w:p w14:paraId="2A1B0AA1" w14:textId="5DC4BA71"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(27.720)</w:t>
            </w:r>
          </w:p>
        </w:tc>
        <w:tc>
          <w:tcPr>
            <w:tcW w:w="575" w:type="pct"/>
            <w:tcBorders>
              <w:top w:val="nil"/>
              <w:left w:val="nil"/>
              <w:bottom w:val="nil"/>
              <w:right w:val="nil"/>
            </w:tcBorders>
            <w:vAlign w:val="center"/>
          </w:tcPr>
          <w:p w14:paraId="6BB7DF70" w14:textId="55574FD5"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143.892</w:t>
            </w:r>
          </w:p>
        </w:tc>
      </w:tr>
      <w:tr w:rsidR="00F56CE3" w:rsidRPr="00E20D21" w14:paraId="5C57E734" w14:textId="77777777" w:rsidTr="001C39E4">
        <w:trPr>
          <w:trHeight w:val="283"/>
        </w:trPr>
        <w:tc>
          <w:tcPr>
            <w:tcW w:w="1767" w:type="pct"/>
            <w:tcBorders>
              <w:top w:val="nil"/>
              <w:left w:val="nil"/>
              <w:bottom w:val="nil"/>
              <w:right w:val="nil"/>
            </w:tcBorders>
            <w:shd w:val="clear" w:color="auto" w:fill="auto"/>
            <w:vAlign w:val="center"/>
            <w:hideMark/>
          </w:tcPr>
          <w:p w14:paraId="0FCF53C3" w14:textId="77777777" w:rsidR="00F56CE3" w:rsidRPr="00E20D21" w:rsidRDefault="00F56CE3" w:rsidP="00F56CE3">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processamento de dados</w:t>
            </w:r>
          </w:p>
        </w:tc>
        <w:tc>
          <w:tcPr>
            <w:tcW w:w="575" w:type="pct"/>
            <w:tcBorders>
              <w:top w:val="nil"/>
              <w:left w:val="nil"/>
              <w:bottom w:val="nil"/>
              <w:right w:val="nil"/>
            </w:tcBorders>
            <w:shd w:val="clear" w:color="auto" w:fill="auto"/>
            <w:vAlign w:val="center"/>
          </w:tcPr>
          <w:p w14:paraId="1FCD0874" w14:textId="06C2C69A"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910.427</w:t>
            </w:r>
          </w:p>
        </w:tc>
        <w:tc>
          <w:tcPr>
            <w:tcW w:w="554" w:type="pct"/>
            <w:tcBorders>
              <w:top w:val="nil"/>
              <w:left w:val="nil"/>
              <w:bottom w:val="nil"/>
              <w:right w:val="nil"/>
            </w:tcBorders>
            <w:shd w:val="clear" w:color="auto" w:fill="auto"/>
            <w:vAlign w:val="center"/>
          </w:tcPr>
          <w:p w14:paraId="17CA0EDA" w14:textId="182F2F99"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(6.135)</w:t>
            </w:r>
          </w:p>
        </w:tc>
        <w:tc>
          <w:tcPr>
            <w:tcW w:w="502" w:type="pct"/>
            <w:tcBorders>
              <w:top w:val="nil"/>
              <w:left w:val="nil"/>
              <w:bottom w:val="nil"/>
              <w:right w:val="nil"/>
            </w:tcBorders>
            <w:shd w:val="clear" w:color="auto" w:fill="auto"/>
            <w:vAlign w:val="center"/>
          </w:tcPr>
          <w:p w14:paraId="3DA88A53" w14:textId="60E98C75"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372.484</w:t>
            </w:r>
          </w:p>
        </w:tc>
        <w:tc>
          <w:tcPr>
            <w:tcW w:w="448" w:type="pct"/>
            <w:tcBorders>
              <w:top w:val="nil"/>
              <w:left w:val="nil"/>
              <w:bottom w:val="nil"/>
              <w:right w:val="nil"/>
            </w:tcBorders>
            <w:shd w:val="clear" w:color="auto" w:fill="auto"/>
            <w:vAlign w:val="center"/>
          </w:tcPr>
          <w:p w14:paraId="05CF76C9" w14:textId="1A13B756" w:rsidR="00F56CE3" w:rsidRPr="00E20D21" w:rsidRDefault="00F56CE3" w:rsidP="00F56CE3">
            <w:pPr>
              <w:ind w:firstLineChars="100" w:firstLine="160"/>
              <w:jc w:val="right"/>
              <w:rPr>
                <w:rFonts w:ascii="CAIXA Std Book" w:hAnsi="CAIXA Std Book"/>
                <w:bCs/>
                <w:color w:val="005CA9"/>
                <w:sz w:val="16"/>
                <w:szCs w:val="16"/>
              </w:rPr>
            </w:pPr>
            <w:r w:rsidRPr="00E20D21">
              <w:rPr>
                <w:rFonts w:ascii="CAIXA Std Book" w:hAnsi="CAIXA Std Book"/>
                <w:color w:val="005CA9"/>
                <w:sz w:val="16"/>
                <w:szCs w:val="16"/>
              </w:rPr>
              <w:t>(45)</w:t>
            </w:r>
          </w:p>
        </w:tc>
        <w:tc>
          <w:tcPr>
            <w:tcW w:w="578" w:type="pct"/>
            <w:tcBorders>
              <w:top w:val="nil"/>
              <w:left w:val="nil"/>
              <w:bottom w:val="nil"/>
              <w:right w:val="nil"/>
            </w:tcBorders>
            <w:shd w:val="clear" w:color="auto" w:fill="auto"/>
            <w:vAlign w:val="center"/>
          </w:tcPr>
          <w:p w14:paraId="030CAE54" w14:textId="5F3163E1"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(294.659)</w:t>
            </w:r>
          </w:p>
        </w:tc>
        <w:tc>
          <w:tcPr>
            <w:tcW w:w="575" w:type="pct"/>
            <w:tcBorders>
              <w:top w:val="nil"/>
              <w:left w:val="nil"/>
              <w:bottom w:val="nil"/>
              <w:right w:val="nil"/>
            </w:tcBorders>
            <w:vAlign w:val="center"/>
          </w:tcPr>
          <w:p w14:paraId="44DFE4C3" w14:textId="119E8B54" w:rsidR="00F56CE3" w:rsidRPr="00E20D21" w:rsidRDefault="00F56CE3" w:rsidP="00F56CE3">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982.072</w:t>
            </w:r>
          </w:p>
        </w:tc>
      </w:tr>
      <w:tr w:rsidR="00F56CE3" w:rsidRPr="00E20D21" w14:paraId="1B00BED6" w14:textId="77777777" w:rsidTr="001C39E4">
        <w:trPr>
          <w:trHeight w:val="283"/>
        </w:trPr>
        <w:tc>
          <w:tcPr>
            <w:tcW w:w="1767" w:type="pct"/>
            <w:tcBorders>
              <w:top w:val="nil"/>
              <w:left w:val="nil"/>
              <w:bottom w:val="single" w:sz="4" w:space="0" w:color="F39200"/>
              <w:right w:val="nil"/>
            </w:tcBorders>
            <w:shd w:val="clear" w:color="auto" w:fill="auto"/>
            <w:vAlign w:val="center"/>
            <w:hideMark/>
          </w:tcPr>
          <w:p w14:paraId="334D91FB" w14:textId="77777777" w:rsidR="00F56CE3" w:rsidRPr="00E20D21" w:rsidRDefault="00F56CE3" w:rsidP="00F56CE3">
            <w:pPr>
              <w:rPr>
                <w:rFonts w:ascii="CAIXA Std Book" w:hAnsi="CAIXA Std Book"/>
                <w:b/>
                <w:color w:val="005CA9"/>
                <w:sz w:val="16"/>
                <w:szCs w:val="16"/>
              </w:rPr>
            </w:pPr>
            <w:r w:rsidRPr="00E20D21">
              <w:rPr>
                <w:rFonts w:ascii="CAIXA Std Book" w:hAnsi="CAIXA Std Book"/>
                <w:b/>
                <w:color w:val="005CA9"/>
                <w:sz w:val="16"/>
                <w:szCs w:val="16"/>
              </w:rPr>
              <w:t>Móveis em estoque e outros equipamentos</w:t>
            </w:r>
          </w:p>
        </w:tc>
        <w:tc>
          <w:tcPr>
            <w:tcW w:w="575" w:type="pct"/>
            <w:tcBorders>
              <w:top w:val="nil"/>
              <w:left w:val="nil"/>
              <w:bottom w:val="nil"/>
              <w:right w:val="nil"/>
            </w:tcBorders>
            <w:shd w:val="clear" w:color="auto" w:fill="auto"/>
            <w:vAlign w:val="center"/>
          </w:tcPr>
          <w:p w14:paraId="41E606BA" w14:textId="1DF248B1"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188.569</w:t>
            </w:r>
          </w:p>
        </w:tc>
        <w:tc>
          <w:tcPr>
            <w:tcW w:w="554" w:type="pct"/>
            <w:tcBorders>
              <w:top w:val="nil"/>
              <w:left w:val="nil"/>
              <w:bottom w:val="nil"/>
              <w:right w:val="nil"/>
            </w:tcBorders>
            <w:shd w:val="clear" w:color="auto" w:fill="auto"/>
            <w:vAlign w:val="center"/>
          </w:tcPr>
          <w:p w14:paraId="309CDE6B" w14:textId="6541BEEC"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(27.479)</w:t>
            </w:r>
          </w:p>
        </w:tc>
        <w:tc>
          <w:tcPr>
            <w:tcW w:w="502" w:type="pct"/>
            <w:tcBorders>
              <w:top w:val="nil"/>
              <w:left w:val="nil"/>
              <w:bottom w:val="nil"/>
              <w:right w:val="nil"/>
            </w:tcBorders>
            <w:shd w:val="clear" w:color="auto" w:fill="auto"/>
            <w:vAlign w:val="center"/>
          </w:tcPr>
          <w:p w14:paraId="0D0D8857" w14:textId="7ABE5A96"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82.350</w:t>
            </w:r>
          </w:p>
        </w:tc>
        <w:tc>
          <w:tcPr>
            <w:tcW w:w="448" w:type="pct"/>
            <w:tcBorders>
              <w:top w:val="nil"/>
              <w:left w:val="nil"/>
              <w:bottom w:val="nil"/>
              <w:right w:val="nil"/>
            </w:tcBorders>
            <w:shd w:val="clear" w:color="auto" w:fill="auto"/>
            <w:vAlign w:val="center"/>
          </w:tcPr>
          <w:p w14:paraId="5B34206F" w14:textId="016D1971"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(1.931)</w:t>
            </w:r>
          </w:p>
        </w:tc>
        <w:tc>
          <w:tcPr>
            <w:tcW w:w="578" w:type="pct"/>
            <w:tcBorders>
              <w:top w:val="nil"/>
              <w:left w:val="nil"/>
              <w:bottom w:val="single" w:sz="4" w:space="0" w:color="F79646" w:themeColor="accent6"/>
              <w:right w:val="nil"/>
            </w:tcBorders>
            <w:shd w:val="clear" w:color="auto" w:fill="auto"/>
            <w:vAlign w:val="center"/>
          </w:tcPr>
          <w:p w14:paraId="79CD3051" w14:textId="04D19EFC"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(21.269)</w:t>
            </w:r>
          </w:p>
        </w:tc>
        <w:tc>
          <w:tcPr>
            <w:tcW w:w="575" w:type="pct"/>
            <w:tcBorders>
              <w:top w:val="nil"/>
              <w:left w:val="nil"/>
              <w:bottom w:val="single" w:sz="4" w:space="0" w:color="F79646" w:themeColor="accent6"/>
              <w:right w:val="nil"/>
            </w:tcBorders>
            <w:vAlign w:val="center"/>
          </w:tcPr>
          <w:p w14:paraId="1AFDF084" w14:textId="0A53CD0B"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220.240</w:t>
            </w:r>
          </w:p>
        </w:tc>
      </w:tr>
      <w:tr w:rsidR="00F56CE3" w:rsidRPr="00E20D21" w14:paraId="78D53884" w14:textId="77777777" w:rsidTr="001C39E4">
        <w:trPr>
          <w:trHeight w:val="283"/>
        </w:trPr>
        <w:tc>
          <w:tcPr>
            <w:tcW w:w="1767" w:type="pct"/>
            <w:tcBorders>
              <w:top w:val="single" w:sz="4" w:space="0" w:color="F39200"/>
              <w:left w:val="nil"/>
              <w:bottom w:val="single" w:sz="4" w:space="0" w:color="F39200"/>
              <w:right w:val="nil"/>
            </w:tcBorders>
            <w:shd w:val="clear" w:color="auto" w:fill="auto"/>
            <w:vAlign w:val="center"/>
            <w:hideMark/>
          </w:tcPr>
          <w:p w14:paraId="06A5EB24" w14:textId="77777777" w:rsidR="00F56CE3" w:rsidRPr="00E20D21" w:rsidRDefault="00F56CE3" w:rsidP="00F56CE3">
            <w:pPr>
              <w:rPr>
                <w:rFonts w:ascii="CAIXA Std Book" w:hAnsi="CAIXA Std Book"/>
                <w:b/>
                <w:color w:val="005CA9"/>
                <w:sz w:val="16"/>
                <w:szCs w:val="16"/>
              </w:rPr>
            </w:pPr>
            <w:r w:rsidRPr="00E20D21">
              <w:rPr>
                <w:rFonts w:ascii="CAIXA Std Book" w:hAnsi="CAIXA Std Book"/>
                <w:b/>
                <w:color w:val="005CA9"/>
                <w:sz w:val="16"/>
                <w:szCs w:val="16"/>
              </w:rPr>
              <w:t>Total</w:t>
            </w:r>
          </w:p>
        </w:tc>
        <w:tc>
          <w:tcPr>
            <w:tcW w:w="575" w:type="pct"/>
            <w:tcBorders>
              <w:top w:val="single" w:sz="4" w:space="0" w:color="F39200"/>
              <w:left w:val="nil"/>
              <w:bottom w:val="single" w:sz="4" w:space="0" w:color="F39200"/>
              <w:right w:val="nil"/>
            </w:tcBorders>
            <w:shd w:val="clear" w:color="auto" w:fill="auto"/>
            <w:vAlign w:val="center"/>
          </w:tcPr>
          <w:p w14:paraId="263A7DED" w14:textId="65821E1E"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2.902.737</w:t>
            </w:r>
          </w:p>
        </w:tc>
        <w:tc>
          <w:tcPr>
            <w:tcW w:w="554" w:type="pct"/>
            <w:tcBorders>
              <w:top w:val="single" w:sz="4" w:space="0" w:color="F39200"/>
              <w:left w:val="nil"/>
              <w:bottom w:val="single" w:sz="4" w:space="0" w:color="F39200"/>
              <w:right w:val="nil"/>
            </w:tcBorders>
            <w:shd w:val="clear" w:color="auto" w:fill="auto"/>
            <w:vAlign w:val="center"/>
          </w:tcPr>
          <w:p w14:paraId="2CFDA944" w14:textId="2646425F"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(24.410)</w:t>
            </w:r>
          </w:p>
        </w:tc>
        <w:tc>
          <w:tcPr>
            <w:tcW w:w="502" w:type="pct"/>
            <w:tcBorders>
              <w:top w:val="single" w:sz="4" w:space="0" w:color="F39200"/>
              <w:left w:val="nil"/>
              <w:bottom w:val="single" w:sz="4" w:space="0" w:color="F39200"/>
              <w:right w:val="nil"/>
            </w:tcBorders>
            <w:shd w:val="clear" w:color="auto" w:fill="auto"/>
            <w:vAlign w:val="center"/>
          </w:tcPr>
          <w:p w14:paraId="1A536A13" w14:textId="73A636E2"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655.197</w:t>
            </w:r>
          </w:p>
        </w:tc>
        <w:tc>
          <w:tcPr>
            <w:tcW w:w="448" w:type="pct"/>
            <w:tcBorders>
              <w:top w:val="single" w:sz="4" w:space="0" w:color="F39200"/>
              <w:left w:val="nil"/>
              <w:bottom w:val="single" w:sz="4" w:space="0" w:color="F79646" w:themeColor="accent6"/>
              <w:right w:val="nil"/>
            </w:tcBorders>
            <w:shd w:val="clear" w:color="auto" w:fill="auto"/>
            <w:vAlign w:val="center"/>
          </w:tcPr>
          <w:p w14:paraId="0D19229D" w14:textId="5175A432"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(2.153)</w:t>
            </w:r>
          </w:p>
        </w:tc>
        <w:tc>
          <w:tcPr>
            <w:tcW w:w="578" w:type="pct"/>
            <w:tcBorders>
              <w:top w:val="single" w:sz="4" w:space="0" w:color="F79646" w:themeColor="accent6"/>
              <w:left w:val="nil"/>
              <w:bottom w:val="single" w:sz="4" w:space="0" w:color="F79646" w:themeColor="accent6"/>
              <w:right w:val="nil"/>
            </w:tcBorders>
            <w:shd w:val="clear" w:color="auto" w:fill="auto"/>
            <w:vAlign w:val="center"/>
          </w:tcPr>
          <w:p w14:paraId="18518DFF" w14:textId="78CCE0C4"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(468.091)</w:t>
            </w:r>
          </w:p>
        </w:tc>
        <w:tc>
          <w:tcPr>
            <w:tcW w:w="575" w:type="pct"/>
            <w:tcBorders>
              <w:top w:val="single" w:sz="4" w:space="0" w:color="F79646" w:themeColor="accent6"/>
              <w:left w:val="nil"/>
              <w:bottom w:val="single" w:sz="4" w:space="0" w:color="F79646" w:themeColor="accent6"/>
            </w:tcBorders>
            <w:vAlign w:val="center"/>
          </w:tcPr>
          <w:p w14:paraId="0B55E23F" w14:textId="4BEDC2F6" w:rsidR="00F56CE3" w:rsidRPr="00E20D21" w:rsidRDefault="00F56CE3" w:rsidP="00F56CE3">
            <w:pPr>
              <w:ind w:firstLineChars="100" w:firstLine="157"/>
              <w:jc w:val="right"/>
              <w:rPr>
                <w:rFonts w:ascii="CAIXA Std Book" w:hAnsi="CAIXA Std Book"/>
                <w:b/>
                <w:color w:val="005CA9"/>
                <w:sz w:val="16"/>
                <w:szCs w:val="16"/>
              </w:rPr>
            </w:pPr>
            <w:r w:rsidRPr="00E20D21">
              <w:rPr>
                <w:rFonts w:ascii="CAIXA Std Book" w:hAnsi="CAIXA Std Book"/>
                <w:b/>
                <w:color w:val="005CA9"/>
                <w:sz w:val="16"/>
                <w:szCs w:val="16"/>
              </w:rPr>
              <w:t>3.063.280</w:t>
            </w:r>
          </w:p>
        </w:tc>
      </w:tr>
    </w:tbl>
    <w:p w14:paraId="1026A788" w14:textId="77777777" w:rsidR="008534F0" w:rsidRPr="00E20D21" w:rsidRDefault="008534F0">
      <w:pPr>
        <w:rPr>
          <w:rFonts w:ascii="CAIXA Std Book" w:hAnsi="CAIXA Std Book"/>
          <w:b/>
          <w:color w:val="005CA9"/>
          <w:sz w:val="22"/>
          <w:szCs w:val="22"/>
        </w:rPr>
      </w:pPr>
      <w:r w:rsidRPr="00E20D21">
        <w:rPr>
          <w:rFonts w:ascii="CAIXA Std Book" w:hAnsi="CAIXA Std Book"/>
        </w:rPr>
        <w:br w:type="page"/>
      </w:r>
    </w:p>
    <w:p w14:paraId="0E915381" w14:textId="0B27C7BF" w:rsidR="00657973" w:rsidRPr="00E20D21" w:rsidRDefault="00657973" w:rsidP="00FD7768">
      <w:pPr>
        <w:pStyle w:val="Ttulo1"/>
      </w:pPr>
      <w:bookmarkStart w:id="45" w:name="_Toc175067953"/>
      <w:r w:rsidRPr="00E20D21">
        <w:lastRenderedPageBreak/>
        <w:t>Nota 1</w:t>
      </w:r>
      <w:r w:rsidR="004917F8" w:rsidRPr="00E20D21">
        <w:t>3</w:t>
      </w:r>
      <w:r w:rsidRPr="00E20D21">
        <w:t xml:space="preserve"> – Intangível</w:t>
      </w:r>
      <w:bookmarkEnd w:id="45"/>
    </w:p>
    <w:p w14:paraId="038FCA4F" w14:textId="1A537C4C" w:rsidR="00E952CE" w:rsidRPr="00E20D21" w:rsidRDefault="00657973" w:rsidP="00804CFC">
      <w:pPr>
        <w:pStyle w:val="PargrafodaLista"/>
        <w:numPr>
          <w:ilvl w:val="1"/>
          <w:numId w:val="13"/>
        </w:numPr>
        <w:shd w:val="clear" w:color="auto" w:fill="FFFFFF" w:themeFill="background1"/>
        <w:spacing w:before="240" w:after="240"/>
        <w:ind w:left="567" w:right="-40" w:hanging="567"/>
        <w:contextualSpacing w:val="0"/>
        <w:jc w:val="both"/>
        <w:rPr>
          <w:rFonts w:ascii="CAIXA Std Book" w:hAnsi="CAIXA Std Book"/>
          <w:b/>
          <w:color w:val="005CA9"/>
          <w:sz w:val="20"/>
          <w:szCs w:val="20"/>
        </w:rPr>
      </w:pPr>
      <w:r w:rsidRPr="00E20D21">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262"/>
        <w:gridCol w:w="1274"/>
        <w:gridCol w:w="1274"/>
        <w:gridCol w:w="1274"/>
        <w:gridCol w:w="1274"/>
        <w:gridCol w:w="1280"/>
      </w:tblGrid>
      <w:tr w:rsidR="00A47C19" w:rsidRPr="00E20D21" w14:paraId="08754F5C" w14:textId="77777777" w:rsidTr="002C6E9C">
        <w:trPr>
          <w:trHeight w:val="283"/>
        </w:trPr>
        <w:tc>
          <w:tcPr>
            <w:tcW w:w="5000" w:type="pct"/>
            <w:gridSpan w:val="6"/>
            <w:tcBorders>
              <w:top w:val="single" w:sz="4" w:space="0" w:color="F39200"/>
              <w:left w:val="nil"/>
              <w:bottom w:val="single" w:sz="4" w:space="0" w:color="F39200"/>
              <w:right w:val="nil"/>
            </w:tcBorders>
            <w:shd w:val="clear" w:color="auto" w:fill="auto"/>
            <w:vAlign w:val="center"/>
            <w:hideMark/>
          </w:tcPr>
          <w:p w14:paraId="421A5D2D" w14:textId="2BAAF1DD" w:rsidR="00001CC8" w:rsidRPr="00E20D21" w:rsidRDefault="00001CC8" w:rsidP="003D64FC">
            <w:pPr>
              <w:jc w:val="center"/>
              <w:rPr>
                <w:rFonts w:ascii="CAIXA Std Book" w:hAnsi="CAIXA Std Book"/>
                <w:b/>
                <w:color w:val="005CA9"/>
                <w:sz w:val="18"/>
                <w:szCs w:val="18"/>
              </w:rPr>
            </w:pPr>
            <w:bookmarkStart w:id="46" w:name="_Hlk64655346"/>
            <w:r w:rsidRPr="00E20D21">
              <w:rPr>
                <w:rFonts w:ascii="CAIXA Std Book" w:hAnsi="CAIXA Std Book"/>
                <w:b/>
                <w:color w:val="005CA9"/>
                <w:sz w:val="18"/>
                <w:szCs w:val="18"/>
              </w:rPr>
              <w:t>INDIVIDUAL</w:t>
            </w:r>
            <w:r w:rsidR="00E20D21">
              <w:rPr>
                <w:rFonts w:ascii="CAIXA Std Book" w:hAnsi="CAIXA Std Book"/>
                <w:b/>
                <w:color w:val="005CA9"/>
                <w:sz w:val="18"/>
                <w:szCs w:val="18"/>
              </w:rPr>
              <w:t xml:space="preserve"> </w:t>
            </w:r>
            <w:r w:rsidRPr="00E20D21">
              <w:rPr>
                <w:rFonts w:ascii="CAIXA Std Book" w:hAnsi="CAIXA Std Book"/>
                <w:b/>
                <w:color w:val="005CA9"/>
                <w:sz w:val="18"/>
                <w:szCs w:val="18"/>
              </w:rPr>
              <w:t>/</w:t>
            </w:r>
            <w:r w:rsidR="00E20D21">
              <w:rPr>
                <w:rFonts w:ascii="CAIXA Std Book" w:hAnsi="CAIXA Std Book"/>
                <w:b/>
                <w:color w:val="005CA9"/>
                <w:sz w:val="18"/>
                <w:szCs w:val="18"/>
              </w:rPr>
              <w:t xml:space="preserve"> </w:t>
            </w:r>
            <w:r w:rsidRPr="00E20D21">
              <w:rPr>
                <w:rFonts w:ascii="CAIXA Std Book" w:hAnsi="CAIXA Std Book"/>
                <w:b/>
                <w:color w:val="005CA9"/>
                <w:sz w:val="18"/>
                <w:szCs w:val="18"/>
              </w:rPr>
              <w:t>CONSOLIDADO</w:t>
            </w:r>
          </w:p>
        </w:tc>
      </w:tr>
      <w:tr w:rsidR="007F7322" w:rsidRPr="00E20D21" w14:paraId="56BABD10" w14:textId="77777777" w:rsidTr="003D4893">
        <w:trPr>
          <w:trHeight w:val="283"/>
        </w:trPr>
        <w:tc>
          <w:tcPr>
            <w:tcW w:w="1692" w:type="pct"/>
            <w:vMerge w:val="restart"/>
            <w:tcBorders>
              <w:top w:val="nil"/>
              <w:left w:val="nil"/>
              <w:bottom w:val="single" w:sz="4" w:space="0" w:color="F39200"/>
              <w:right w:val="nil"/>
            </w:tcBorders>
            <w:shd w:val="clear" w:color="auto" w:fill="auto"/>
            <w:vAlign w:val="center"/>
            <w:hideMark/>
          </w:tcPr>
          <w:p w14:paraId="17721EE4" w14:textId="77777777" w:rsidR="007F7322" w:rsidRPr="00E20D21" w:rsidRDefault="007F7322" w:rsidP="007F7322">
            <w:pPr>
              <w:jc w:val="center"/>
              <w:rPr>
                <w:rFonts w:ascii="CAIXA Std Book" w:hAnsi="CAIXA Std Book"/>
                <w:b/>
                <w:color w:val="005CA9"/>
                <w:sz w:val="18"/>
                <w:szCs w:val="18"/>
              </w:rPr>
            </w:pPr>
            <w:r w:rsidRPr="00E20D21">
              <w:rPr>
                <w:rFonts w:ascii="CAIXA Std Book" w:hAnsi="CAIXA Std Book"/>
                <w:b/>
                <w:color w:val="005CA9"/>
                <w:sz w:val="18"/>
                <w:szCs w:val="18"/>
              </w:rPr>
              <w:t>Descrição</w:t>
            </w:r>
          </w:p>
        </w:tc>
        <w:tc>
          <w:tcPr>
            <w:tcW w:w="2644" w:type="pct"/>
            <w:gridSpan w:val="4"/>
            <w:tcBorders>
              <w:top w:val="single" w:sz="4" w:space="0" w:color="F39200"/>
              <w:left w:val="nil"/>
              <w:bottom w:val="single" w:sz="4" w:space="0" w:color="F39200"/>
              <w:right w:val="nil"/>
            </w:tcBorders>
            <w:shd w:val="clear" w:color="auto" w:fill="auto"/>
            <w:vAlign w:val="center"/>
            <w:hideMark/>
          </w:tcPr>
          <w:p w14:paraId="1017D996" w14:textId="64AFAE11" w:rsidR="007F7322" w:rsidRPr="00E20D21" w:rsidRDefault="007F7322" w:rsidP="007F7322">
            <w:pPr>
              <w:jc w:val="center"/>
              <w:rPr>
                <w:rFonts w:ascii="CAIXA Std Book" w:hAnsi="CAIXA Std Book"/>
                <w:b/>
                <w:color w:val="005CA9"/>
                <w:sz w:val="18"/>
                <w:szCs w:val="18"/>
              </w:rPr>
            </w:pPr>
            <w:r w:rsidRPr="00E20D21">
              <w:rPr>
                <w:rFonts w:ascii="CAIXA Std Book" w:hAnsi="CAIXA Std Book"/>
                <w:b/>
                <w:color w:val="005CA9"/>
                <w:sz w:val="18"/>
                <w:szCs w:val="18"/>
              </w:rPr>
              <w:t>30/06/2024</w:t>
            </w:r>
          </w:p>
        </w:tc>
        <w:tc>
          <w:tcPr>
            <w:tcW w:w="664" w:type="pct"/>
            <w:tcBorders>
              <w:top w:val="nil"/>
              <w:left w:val="nil"/>
              <w:bottom w:val="single" w:sz="4" w:space="0" w:color="F39200"/>
              <w:right w:val="nil"/>
            </w:tcBorders>
            <w:shd w:val="clear" w:color="auto" w:fill="auto"/>
            <w:vAlign w:val="center"/>
            <w:hideMark/>
          </w:tcPr>
          <w:p w14:paraId="7E031147" w14:textId="7B14909B" w:rsidR="007F7322" w:rsidRPr="00E20D21" w:rsidRDefault="007F7322" w:rsidP="007F7322">
            <w:pPr>
              <w:jc w:val="center"/>
              <w:rPr>
                <w:rFonts w:ascii="CAIXA Std Book" w:hAnsi="CAIXA Std Book"/>
                <w:b/>
                <w:color w:val="005CA9"/>
                <w:sz w:val="18"/>
                <w:szCs w:val="18"/>
              </w:rPr>
            </w:pPr>
            <w:r w:rsidRPr="00E20D21">
              <w:rPr>
                <w:rFonts w:ascii="CAIXA Std Book" w:hAnsi="CAIXA Std Book"/>
                <w:b/>
                <w:color w:val="005CA9"/>
                <w:sz w:val="18"/>
                <w:szCs w:val="18"/>
              </w:rPr>
              <w:t>31/12/2023</w:t>
            </w:r>
          </w:p>
        </w:tc>
      </w:tr>
      <w:tr w:rsidR="007F7322" w:rsidRPr="00E20D21" w14:paraId="710D15EE" w14:textId="77777777" w:rsidTr="003D4893">
        <w:trPr>
          <w:trHeight w:val="283"/>
        </w:trPr>
        <w:tc>
          <w:tcPr>
            <w:tcW w:w="1692" w:type="pct"/>
            <w:vMerge/>
            <w:tcBorders>
              <w:top w:val="nil"/>
              <w:left w:val="nil"/>
              <w:bottom w:val="single" w:sz="4" w:space="0" w:color="F79646" w:themeColor="accent6"/>
              <w:right w:val="nil"/>
            </w:tcBorders>
            <w:vAlign w:val="center"/>
            <w:hideMark/>
          </w:tcPr>
          <w:p w14:paraId="54F3FAC9" w14:textId="77777777" w:rsidR="007F7322" w:rsidRPr="00E20D21" w:rsidRDefault="007F7322" w:rsidP="007F7322">
            <w:pPr>
              <w:rPr>
                <w:rFonts w:ascii="CAIXA Std Book" w:hAnsi="CAIXA Std Book"/>
                <w:b/>
                <w:color w:val="005CA9"/>
                <w:sz w:val="18"/>
                <w:szCs w:val="18"/>
              </w:rPr>
            </w:pPr>
          </w:p>
        </w:tc>
        <w:tc>
          <w:tcPr>
            <w:tcW w:w="661" w:type="pct"/>
            <w:tcBorders>
              <w:top w:val="nil"/>
              <w:left w:val="nil"/>
              <w:bottom w:val="single" w:sz="4" w:space="0" w:color="F79646" w:themeColor="accent6"/>
              <w:right w:val="nil"/>
            </w:tcBorders>
            <w:shd w:val="clear" w:color="auto" w:fill="auto"/>
            <w:vAlign w:val="center"/>
            <w:hideMark/>
          </w:tcPr>
          <w:p w14:paraId="2EE8C10B" w14:textId="77777777" w:rsidR="007F7322" w:rsidRPr="00E20D21" w:rsidRDefault="007F7322" w:rsidP="007F7322">
            <w:pPr>
              <w:jc w:val="center"/>
              <w:rPr>
                <w:rFonts w:ascii="CAIXA Std Book" w:hAnsi="CAIXA Std Book"/>
                <w:b/>
                <w:color w:val="005CA9"/>
                <w:sz w:val="18"/>
                <w:szCs w:val="18"/>
              </w:rPr>
            </w:pPr>
            <w:r w:rsidRPr="00E20D21">
              <w:rPr>
                <w:rFonts w:ascii="CAIXA Std Book" w:hAnsi="CAIXA Std Book"/>
                <w:b/>
                <w:color w:val="005CA9"/>
                <w:sz w:val="18"/>
                <w:szCs w:val="18"/>
              </w:rPr>
              <w:t>Custo</w:t>
            </w:r>
          </w:p>
        </w:tc>
        <w:tc>
          <w:tcPr>
            <w:tcW w:w="661" w:type="pct"/>
            <w:tcBorders>
              <w:top w:val="nil"/>
              <w:left w:val="nil"/>
              <w:bottom w:val="single" w:sz="4" w:space="0" w:color="F79646" w:themeColor="accent6"/>
              <w:right w:val="nil"/>
            </w:tcBorders>
            <w:shd w:val="clear" w:color="auto" w:fill="auto"/>
            <w:vAlign w:val="center"/>
            <w:hideMark/>
          </w:tcPr>
          <w:p w14:paraId="32429C89" w14:textId="77777777" w:rsidR="007F7322" w:rsidRPr="00E20D21" w:rsidRDefault="007F7322" w:rsidP="007F7322">
            <w:pPr>
              <w:jc w:val="center"/>
              <w:rPr>
                <w:rFonts w:ascii="CAIXA Std Book" w:hAnsi="CAIXA Std Book"/>
                <w:b/>
                <w:color w:val="005CA9"/>
                <w:sz w:val="18"/>
                <w:szCs w:val="18"/>
              </w:rPr>
            </w:pPr>
            <w:r w:rsidRPr="00E20D21">
              <w:rPr>
                <w:rFonts w:ascii="CAIXA Std Book" w:hAnsi="CAIXA Std Book"/>
                <w:b/>
                <w:color w:val="005CA9"/>
                <w:sz w:val="18"/>
                <w:szCs w:val="18"/>
              </w:rPr>
              <w:t>Amortização Acumulada</w:t>
            </w:r>
          </w:p>
        </w:tc>
        <w:tc>
          <w:tcPr>
            <w:tcW w:w="661" w:type="pct"/>
            <w:tcBorders>
              <w:top w:val="nil"/>
              <w:left w:val="nil"/>
              <w:bottom w:val="single" w:sz="4" w:space="0" w:color="F79646" w:themeColor="accent6"/>
              <w:right w:val="nil"/>
            </w:tcBorders>
            <w:shd w:val="clear" w:color="auto" w:fill="auto"/>
            <w:vAlign w:val="center"/>
            <w:hideMark/>
          </w:tcPr>
          <w:p w14:paraId="407C0FEE" w14:textId="77777777" w:rsidR="007F7322" w:rsidRPr="00E20D21" w:rsidRDefault="007F7322" w:rsidP="007F7322">
            <w:pPr>
              <w:jc w:val="center"/>
              <w:rPr>
                <w:rFonts w:ascii="CAIXA Std Book" w:hAnsi="CAIXA Std Book"/>
                <w:b/>
                <w:color w:val="005CA9"/>
                <w:sz w:val="18"/>
                <w:szCs w:val="18"/>
              </w:rPr>
            </w:pPr>
            <w:r w:rsidRPr="00E20D21">
              <w:rPr>
                <w:rFonts w:ascii="CAIXA Std Book" w:hAnsi="CAIXA Std Book"/>
                <w:b/>
                <w:color w:val="005CA9"/>
                <w:sz w:val="18"/>
                <w:szCs w:val="18"/>
              </w:rPr>
              <w:t>Redução ao valor recuperável</w:t>
            </w:r>
          </w:p>
        </w:tc>
        <w:tc>
          <w:tcPr>
            <w:tcW w:w="661" w:type="pct"/>
            <w:tcBorders>
              <w:top w:val="nil"/>
              <w:left w:val="nil"/>
              <w:bottom w:val="single" w:sz="4" w:space="0" w:color="F79646" w:themeColor="accent6"/>
              <w:right w:val="nil"/>
            </w:tcBorders>
            <w:shd w:val="clear" w:color="auto" w:fill="auto"/>
            <w:vAlign w:val="center"/>
            <w:hideMark/>
          </w:tcPr>
          <w:p w14:paraId="727C0755" w14:textId="77777777" w:rsidR="007F7322" w:rsidRPr="00E20D21" w:rsidRDefault="007F7322" w:rsidP="007F7322">
            <w:pPr>
              <w:jc w:val="center"/>
              <w:rPr>
                <w:rFonts w:ascii="CAIXA Std Book" w:hAnsi="CAIXA Std Book"/>
                <w:b/>
                <w:color w:val="005CA9"/>
                <w:sz w:val="18"/>
                <w:szCs w:val="18"/>
              </w:rPr>
            </w:pPr>
            <w:r w:rsidRPr="00E20D21">
              <w:rPr>
                <w:rFonts w:ascii="CAIXA Std Book" w:hAnsi="CAIXA Std Book"/>
                <w:b/>
                <w:color w:val="005CA9"/>
                <w:sz w:val="18"/>
                <w:szCs w:val="18"/>
              </w:rPr>
              <w:t>Líquido</w:t>
            </w:r>
          </w:p>
        </w:tc>
        <w:tc>
          <w:tcPr>
            <w:tcW w:w="664" w:type="pct"/>
            <w:tcBorders>
              <w:top w:val="nil"/>
              <w:left w:val="nil"/>
              <w:bottom w:val="single" w:sz="4" w:space="0" w:color="F79646" w:themeColor="accent6"/>
              <w:right w:val="nil"/>
            </w:tcBorders>
            <w:shd w:val="clear" w:color="auto" w:fill="auto"/>
            <w:vAlign w:val="center"/>
            <w:hideMark/>
          </w:tcPr>
          <w:p w14:paraId="1B323AF9" w14:textId="77777777" w:rsidR="007F7322" w:rsidRPr="00E20D21" w:rsidRDefault="007F7322" w:rsidP="007F7322">
            <w:pPr>
              <w:jc w:val="center"/>
              <w:rPr>
                <w:rFonts w:ascii="CAIXA Std Book" w:hAnsi="CAIXA Std Book"/>
                <w:b/>
                <w:color w:val="005CA9"/>
                <w:sz w:val="18"/>
                <w:szCs w:val="18"/>
              </w:rPr>
            </w:pPr>
            <w:r w:rsidRPr="00E20D21">
              <w:rPr>
                <w:rFonts w:ascii="CAIXA Std Book" w:hAnsi="CAIXA Std Book"/>
                <w:b/>
                <w:color w:val="005CA9"/>
                <w:sz w:val="18"/>
                <w:szCs w:val="18"/>
              </w:rPr>
              <w:t>Líquido</w:t>
            </w:r>
          </w:p>
        </w:tc>
      </w:tr>
      <w:tr w:rsidR="007F7322" w:rsidRPr="00E20D21" w14:paraId="791440D2" w14:textId="77777777" w:rsidTr="003D4893">
        <w:trPr>
          <w:trHeight w:val="283"/>
        </w:trPr>
        <w:tc>
          <w:tcPr>
            <w:tcW w:w="1692" w:type="pct"/>
            <w:tcBorders>
              <w:top w:val="single" w:sz="4" w:space="0" w:color="F79646" w:themeColor="accent6"/>
            </w:tcBorders>
            <w:shd w:val="clear" w:color="auto" w:fill="auto"/>
            <w:vAlign w:val="center"/>
            <w:hideMark/>
          </w:tcPr>
          <w:p w14:paraId="1E0F4380" w14:textId="77777777" w:rsidR="007F7322" w:rsidRPr="00E20D21" w:rsidRDefault="007F7322" w:rsidP="007F7322">
            <w:pPr>
              <w:rPr>
                <w:rFonts w:ascii="CAIXA Std Book" w:hAnsi="CAIXA Std Book"/>
                <w:color w:val="005CA9"/>
                <w:sz w:val="18"/>
                <w:szCs w:val="18"/>
              </w:rPr>
            </w:pPr>
            <w:r w:rsidRPr="00E20D21">
              <w:rPr>
                <w:rFonts w:ascii="CAIXA Std Book" w:hAnsi="CAIXA Std Book"/>
                <w:color w:val="005CA9"/>
                <w:sz w:val="18"/>
                <w:szCs w:val="18"/>
              </w:rPr>
              <w:t xml:space="preserve">Aquisição de folha de pagamento </w:t>
            </w:r>
          </w:p>
        </w:tc>
        <w:tc>
          <w:tcPr>
            <w:tcW w:w="661" w:type="pct"/>
            <w:tcBorders>
              <w:top w:val="nil"/>
              <w:left w:val="nil"/>
              <w:bottom w:val="nil"/>
              <w:right w:val="nil"/>
            </w:tcBorders>
            <w:shd w:val="clear" w:color="auto" w:fill="auto"/>
            <w:vAlign w:val="center"/>
          </w:tcPr>
          <w:p w14:paraId="4A9D38AD" w14:textId="6791DD48"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3.234.444</w:t>
            </w:r>
          </w:p>
        </w:tc>
        <w:tc>
          <w:tcPr>
            <w:tcW w:w="661" w:type="pct"/>
            <w:tcBorders>
              <w:top w:val="nil"/>
              <w:left w:val="nil"/>
              <w:bottom w:val="nil"/>
              <w:right w:val="nil"/>
            </w:tcBorders>
            <w:shd w:val="clear" w:color="auto" w:fill="auto"/>
            <w:vAlign w:val="center"/>
          </w:tcPr>
          <w:p w14:paraId="0C942103" w14:textId="61E2F011"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(1.473.766)</w:t>
            </w:r>
          </w:p>
        </w:tc>
        <w:tc>
          <w:tcPr>
            <w:tcW w:w="661" w:type="pct"/>
            <w:tcBorders>
              <w:top w:val="nil"/>
              <w:left w:val="nil"/>
              <w:bottom w:val="nil"/>
              <w:right w:val="nil"/>
            </w:tcBorders>
            <w:shd w:val="clear" w:color="auto" w:fill="auto"/>
            <w:vAlign w:val="center"/>
          </w:tcPr>
          <w:p w14:paraId="29C3339A" w14:textId="5A209F01" w:rsidR="007F7322" w:rsidRPr="00E20D21" w:rsidRDefault="00D83CC3" w:rsidP="007F7322">
            <w:pPr>
              <w:jc w:val="center"/>
              <w:rPr>
                <w:rFonts w:ascii="CAIXA Std Book" w:hAnsi="CAIXA Std Book"/>
                <w:color w:val="005CA9"/>
                <w:sz w:val="18"/>
                <w:szCs w:val="18"/>
              </w:rPr>
            </w:pPr>
            <w:r w:rsidRPr="00E20D21">
              <w:rPr>
                <w:rFonts w:ascii="CAIXA Std Book" w:hAnsi="CAIXA Std Book"/>
                <w:color w:val="005CA9"/>
                <w:sz w:val="18"/>
                <w:szCs w:val="18"/>
              </w:rPr>
              <w:t>-</w:t>
            </w:r>
          </w:p>
        </w:tc>
        <w:tc>
          <w:tcPr>
            <w:tcW w:w="661" w:type="pct"/>
            <w:tcBorders>
              <w:top w:val="nil"/>
              <w:left w:val="nil"/>
              <w:bottom w:val="nil"/>
              <w:right w:val="nil"/>
            </w:tcBorders>
            <w:shd w:val="clear" w:color="auto" w:fill="auto"/>
            <w:vAlign w:val="center"/>
          </w:tcPr>
          <w:p w14:paraId="409F67AC" w14:textId="3080D99B"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1.760.678</w:t>
            </w:r>
          </w:p>
        </w:tc>
        <w:tc>
          <w:tcPr>
            <w:tcW w:w="664" w:type="pct"/>
            <w:tcBorders>
              <w:top w:val="nil"/>
              <w:left w:val="nil"/>
              <w:bottom w:val="nil"/>
              <w:right w:val="nil"/>
            </w:tcBorders>
            <w:shd w:val="clear" w:color="auto" w:fill="auto"/>
            <w:vAlign w:val="center"/>
          </w:tcPr>
          <w:p w14:paraId="3E590B53" w14:textId="0D726500" w:rsidR="007F7322" w:rsidRPr="00E20D21" w:rsidRDefault="007F7322" w:rsidP="007F7322">
            <w:pPr>
              <w:jc w:val="right"/>
              <w:rPr>
                <w:rFonts w:ascii="CAIXA Std Book" w:hAnsi="CAIXA Std Book"/>
                <w:color w:val="005CA9"/>
                <w:sz w:val="18"/>
                <w:szCs w:val="18"/>
              </w:rPr>
            </w:pPr>
            <w:r w:rsidRPr="00E20D21">
              <w:rPr>
                <w:rFonts w:ascii="CAIXA Std Book" w:hAnsi="CAIXA Std Book"/>
                <w:color w:val="005CA9"/>
                <w:sz w:val="18"/>
                <w:szCs w:val="18"/>
              </w:rPr>
              <w:t>1.164.663</w:t>
            </w:r>
          </w:p>
        </w:tc>
      </w:tr>
      <w:tr w:rsidR="007F7322" w:rsidRPr="00E20D21" w14:paraId="0ADA2E89" w14:textId="77777777" w:rsidTr="003D4893">
        <w:trPr>
          <w:trHeight w:val="283"/>
        </w:trPr>
        <w:tc>
          <w:tcPr>
            <w:tcW w:w="1692" w:type="pct"/>
            <w:shd w:val="clear" w:color="auto" w:fill="auto"/>
            <w:vAlign w:val="center"/>
          </w:tcPr>
          <w:p w14:paraId="1907B80B" w14:textId="77777777" w:rsidR="007F7322" w:rsidRPr="00E20D21" w:rsidRDefault="007F7322" w:rsidP="007F7322">
            <w:pPr>
              <w:rPr>
                <w:rFonts w:ascii="CAIXA Std Book" w:hAnsi="CAIXA Std Book"/>
                <w:color w:val="005CA9"/>
                <w:sz w:val="18"/>
                <w:szCs w:val="18"/>
              </w:rPr>
            </w:pPr>
            <w:r w:rsidRPr="00E20D21">
              <w:rPr>
                <w:rFonts w:ascii="CAIXA Std Book" w:hAnsi="CAIXA Std Book"/>
                <w:color w:val="005CA9"/>
                <w:sz w:val="18"/>
                <w:szCs w:val="18"/>
              </w:rPr>
              <w:t xml:space="preserve">Projetos </w:t>
            </w:r>
            <w:proofErr w:type="spellStart"/>
            <w:r w:rsidRPr="00E20D21">
              <w:rPr>
                <w:rFonts w:ascii="CAIXA Std Book" w:hAnsi="CAIXA Std Book"/>
                <w:color w:val="005CA9"/>
                <w:sz w:val="18"/>
                <w:szCs w:val="18"/>
              </w:rPr>
              <w:t>logiciais</w:t>
            </w:r>
            <w:proofErr w:type="spellEnd"/>
            <w:r w:rsidRPr="00E20D21">
              <w:rPr>
                <w:rFonts w:ascii="CAIXA Std Book" w:hAnsi="CAIXA Std Book"/>
                <w:color w:val="005CA9"/>
                <w:sz w:val="18"/>
                <w:szCs w:val="18"/>
              </w:rPr>
              <w:t xml:space="preserve"> – software</w:t>
            </w:r>
          </w:p>
        </w:tc>
        <w:tc>
          <w:tcPr>
            <w:tcW w:w="661" w:type="pct"/>
            <w:tcBorders>
              <w:top w:val="nil"/>
              <w:left w:val="nil"/>
              <w:bottom w:val="nil"/>
              <w:right w:val="nil"/>
            </w:tcBorders>
            <w:shd w:val="clear" w:color="auto" w:fill="auto"/>
            <w:vAlign w:val="center"/>
          </w:tcPr>
          <w:p w14:paraId="582C4C4C" w14:textId="5A28ECE5"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2.704.535</w:t>
            </w:r>
          </w:p>
        </w:tc>
        <w:tc>
          <w:tcPr>
            <w:tcW w:w="661" w:type="pct"/>
            <w:tcBorders>
              <w:top w:val="nil"/>
              <w:left w:val="nil"/>
              <w:bottom w:val="nil"/>
              <w:right w:val="nil"/>
            </w:tcBorders>
            <w:shd w:val="clear" w:color="auto" w:fill="auto"/>
            <w:vAlign w:val="center"/>
          </w:tcPr>
          <w:p w14:paraId="3677D255" w14:textId="6F14E202"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(1.834.375)</w:t>
            </w:r>
          </w:p>
        </w:tc>
        <w:tc>
          <w:tcPr>
            <w:tcW w:w="661" w:type="pct"/>
            <w:tcBorders>
              <w:top w:val="nil"/>
              <w:left w:val="nil"/>
              <w:bottom w:val="nil"/>
              <w:right w:val="nil"/>
            </w:tcBorders>
            <w:shd w:val="clear" w:color="auto" w:fill="auto"/>
            <w:vAlign w:val="center"/>
          </w:tcPr>
          <w:p w14:paraId="2DCCCEBD" w14:textId="0F2F583F"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(26.551)</w:t>
            </w:r>
          </w:p>
        </w:tc>
        <w:tc>
          <w:tcPr>
            <w:tcW w:w="661" w:type="pct"/>
            <w:tcBorders>
              <w:top w:val="nil"/>
              <w:left w:val="nil"/>
              <w:bottom w:val="nil"/>
              <w:right w:val="nil"/>
            </w:tcBorders>
            <w:shd w:val="clear" w:color="auto" w:fill="auto"/>
            <w:vAlign w:val="center"/>
          </w:tcPr>
          <w:p w14:paraId="2523E38E" w14:textId="2659238F"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843.609</w:t>
            </w:r>
          </w:p>
        </w:tc>
        <w:tc>
          <w:tcPr>
            <w:tcW w:w="664" w:type="pct"/>
            <w:tcBorders>
              <w:top w:val="nil"/>
              <w:left w:val="nil"/>
              <w:bottom w:val="nil"/>
              <w:right w:val="nil"/>
            </w:tcBorders>
            <w:shd w:val="clear" w:color="auto" w:fill="auto"/>
            <w:vAlign w:val="center"/>
          </w:tcPr>
          <w:p w14:paraId="6CDD8F95" w14:textId="31B016F9" w:rsidR="007F7322" w:rsidRPr="00E20D21" w:rsidRDefault="007F7322" w:rsidP="007F7322">
            <w:pPr>
              <w:jc w:val="right"/>
              <w:rPr>
                <w:rFonts w:ascii="CAIXA Std Book" w:hAnsi="CAIXA Std Book"/>
                <w:color w:val="005CA9"/>
                <w:sz w:val="18"/>
                <w:szCs w:val="18"/>
              </w:rPr>
            </w:pPr>
            <w:r w:rsidRPr="00E20D21">
              <w:rPr>
                <w:rFonts w:ascii="CAIXA Std Book" w:hAnsi="CAIXA Std Book"/>
                <w:color w:val="005CA9"/>
                <w:sz w:val="18"/>
                <w:szCs w:val="18"/>
              </w:rPr>
              <w:t>971.851</w:t>
            </w:r>
          </w:p>
        </w:tc>
      </w:tr>
      <w:tr w:rsidR="007F7322" w:rsidRPr="00E20D21" w14:paraId="61585B91" w14:textId="77777777" w:rsidTr="003D4893">
        <w:trPr>
          <w:trHeight w:val="283"/>
        </w:trPr>
        <w:tc>
          <w:tcPr>
            <w:tcW w:w="1692" w:type="pct"/>
            <w:tcBorders>
              <w:top w:val="nil"/>
              <w:bottom w:val="single" w:sz="4" w:space="0" w:color="F39200"/>
            </w:tcBorders>
            <w:shd w:val="clear" w:color="auto" w:fill="auto"/>
            <w:vAlign w:val="center"/>
            <w:hideMark/>
          </w:tcPr>
          <w:p w14:paraId="6F37E45B" w14:textId="77777777" w:rsidR="007F7322" w:rsidRPr="00E20D21" w:rsidRDefault="007F7322" w:rsidP="007F7322">
            <w:pPr>
              <w:rPr>
                <w:rFonts w:ascii="CAIXA Std Book" w:hAnsi="CAIXA Std Book"/>
                <w:color w:val="005CA9"/>
                <w:sz w:val="18"/>
                <w:szCs w:val="18"/>
              </w:rPr>
            </w:pPr>
            <w:r w:rsidRPr="00E20D21">
              <w:rPr>
                <w:rFonts w:ascii="CAIXA Std Book" w:hAnsi="CAIXA Std Book"/>
                <w:color w:val="005CA9"/>
                <w:sz w:val="18"/>
                <w:szCs w:val="18"/>
              </w:rPr>
              <w:t>Outros intangíveis</w:t>
            </w:r>
          </w:p>
        </w:tc>
        <w:tc>
          <w:tcPr>
            <w:tcW w:w="661" w:type="pct"/>
            <w:tcBorders>
              <w:top w:val="nil"/>
              <w:left w:val="nil"/>
              <w:bottom w:val="single" w:sz="4" w:space="0" w:color="F39200"/>
              <w:right w:val="nil"/>
            </w:tcBorders>
            <w:shd w:val="clear" w:color="auto" w:fill="auto"/>
            <w:vAlign w:val="center"/>
          </w:tcPr>
          <w:p w14:paraId="4E4065CD" w14:textId="44B5E10B"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1.729.914</w:t>
            </w:r>
          </w:p>
        </w:tc>
        <w:tc>
          <w:tcPr>
            <w:tcW w:w="661" w:type="pct"/>
            <w:tcBorders>
              <w:top w:val="nil"/>
              <w:left w:val="nil"/>
              <w:bottom w:val="single" w:sz="4" w:space="0" w:color="F39200"/>
              <w:right w:val="nil"/>
            </w:tcBorders>
            <w:shd w:val="clear" w:color="auto" w:fill="auto"/>
            <w:vAlign w:val="center"/>
          </w:tcPr>
          <w:p w14:paraId="178E554C" w14:textId="10873066"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(1.096.133)</w:t>
            </w:r>
          </w:p>
        </w:tc>
        <w:tc>
          <w:tcPr>
            <w:tcW w:w="661" w:type="pct"/>
            <w:tcBorders>
              <w:top w:val="nil"/>
              <w:left w:val="nil"/>
              <w:bottom w:val="single" w:sz="4" w:space="0" w:color="F39200"/>
              <w:right w:val="nil"/>
            </w:tcBorders>
            <w:shd w:val="clear" w:color="auto" w:fill="auto"/>
            <w:vAlign w:val="center"/>
          </w:tcPr>
          <w:p w14:paraId="4A6B06B2" w14:textId="2D5884E2" w:rsidR="007F7322" w:rsidRPr="00E20D21" w:rsidRDefault="00D83CC3" w:rsidP="007F7322">
            <w:pPr>
              <w:jc w:val="center"/>
              <w:rPr>
                <w:rFonts w:ascii="CAIXA Std Book" w:hAnsi="CAIXA Std Book"/>
                <w:color w:val="005CA9"/>
                <w:sz w:val="18"/>
                <w:szCs w:val="18"/>
              </w:rPr>
            </w:pPr>
            <w:r w:rsidRPr="00E20D21">
              <w:rPr>
                <w:rFonts w:ascii="CAIXA Std Book" w:hAnsi="CAIXA Std Book"/>
                <w:color w:val="005CA9"/>
                <w:sz w:val="18"/>
                <w:szCs w:val="18"/>
              </w:rPr>
              <w:t>-</w:t>
            </w:r>
          </w:p>
        </w:tc>
        <w:tc>
          <w:tcPr>
            <w:tcW w:w="661" w:type="pct"/>
            <w:tcBorders>
              <w:top w:val="nil"/>
              <w:left w:val="nil"/>
              <w:bottom w:val="nil"/>
              <w:right w:val="nil"/>
            </w:tcBorders>
            <w:shd w:val="clear" w:color="auto" w:fill="auto"/>
            <w:vAlign w:val="center"/>
          </w:tcPr>
          <w:p w14:paraId="06ECBC73" w14:textId="37EEA50C" w:rsidR="007F7322" w:rsidRPr="00E20D21" w:rsidRDefault="00D83CC3" w:rsidP="007F7322">
            <w:pPr>
              <w:jc w:val="right"/>
              <w:rPr>
                <w:rFonts w:ascii="CAIXA Std Book" w:hAnsi="CAIXA Std Book"/>
                <w:color w:val="005CA9"/>
                <w:sz w:val="18"/>
                <w:szCs w:val="18"/>
              </w:rPr>
            </w:pPr>
            <w:r w:rsidRPr="00E20D21">
              <w:rPr>
                <w:rFonts w:ascii="CAIXA Std Book" w:hAnsi="CAIXA Std Book"/>
                <w:color w:val="005CA9"/>
                <w:sz w:val="18"/>
                <w:szCs w:val="18"/>
              </w:rPr>
              <w:t>633.781</w:t>
            </w:r>
          </w:p>
        </w:tc>
        <w:tc>
          <w:tcPr>
            <w:tcW w:w="664" w:type="pct"/>
            <w:tcBorders>
              <w:top w:val="nil"/>
              <w:left w:val="nil"/>
              <w:bottom w:val="single" w:sz="4" w:space="0" w:color="F39200"/>
              <w:right w:val="nil"/>
            </w:tcBorders>
            <w:shd w:val="clear" w:color="auto" w:fill="auto"/>
            <w:vAlign w:val="center"/>
          </w:tcPr>
          <w:p w14:paraId="43063CD4" w14:textId="5B494613" w:rsidR="007F7322" w:rsidRPr="00E20D21" w:rsidRDefault="007F7322" w:rsidP="007F7322">
            <w:pPr>
              <w:jc w:val="right"/>
              <w:rPr>
                <w:rFonts w:ascii="CAIXA Std Book" w:hAnsi="CAIXA Std Book"/>
                <w:color w:val="005CA9"/>
                <w:sz w:val="18"/>
                <w:szCs w:val="18"/>
              </w:rPr>
            </w:pPr>
            <w:r w:rsidRPr="00E20D21">
              <w:rPr>
                <w:rFonts w:ascii="CAIXA Std Book" w:hAnsi="CAIXA Std Book"/>
                <w:color w:val="005CA9"/>
                <w:sz w:val="18"/>
                <w:szCs w:val="18"/>
              </w:rPr>
              <w:t>863.417</w:t>
            </w:r>
          </w:p>
        </w:tc>
      </w:tr>
      <w:tr w:rsidR="007F7322" w:rsidRPr="00E20D21" w14:paraId="4F2CBA22" w14:textId="77777777" w:rsidTr="003D4893">
        <w:trPr>
          <w:trHeight w:val="283"/>
        </w:trPr>
        <w:tc>
          <w:tcPr>
            <w:tcW w:w="1692" w:type="pct"/>
            <w:tcBorders>
              <w:top w:val="single" w:sz="4" w:space="0" w:color="F39200"/>
              <w:left w:val="nil"/>
              <w:bottom w:val="single" w:sz="4" w:space="0" w:color="F39200"/>
            </w:tcBorders>
            <w:shd w:val="clear" w:color="auto" w:fill="auto"/>
            <w:vAlign w:val="center"/>
            <w:hideMark/>
          </w:tcPr>
          <w:p w14:paraId="15BDBF9E" w14:textId="77777777" w:rsidR="007F7322" w:rsidRPr="00E20D21" w:rsidRDefault="007F7322" w:rsidP="007F7322">
            <w:pPr>
              <w:rPr>
                <w:rFonts w:ascii="CAIXA Std Book" w:hAnsi="CAIXA Std Book"/>
                <w:b/>
                <w:color w:val="005CA9"/>
                <w:sz w:val="18"/>
                <w:szCs w:val="18"/>
              </w:rPr>
            </w:pPr>
            <w:r w:rsidRPr="00E20D21">
              <w:rPr>
                <w:rFonts w:ascii="CAIXA Std Book" w:hAnsi="CAIXA Std Book"/>
                <w:b/>
                <w:color w:val="005CA9"/>
                <w:sz w:val="18"/>
                <w:szCs w:val="18"/>
              </w:rPr>
              <w:t xml:space="preserve">Total </w:t>
            </w:r>
          </w:p>
        </w:tc>
        <w:tc>
          <w:tcPr>
            <w:tcW w:w="661" w:type="pct"/>
            <w:tcBorders>
              <w:top w:val="nil"/>
              <w:left w:val="nil"/>
              <w:bottom w:val="single" w:sz="4" w:space="0" w:color="F39200"/>
              <w:right w:val="nil"/>
            </w:tcBorders>
            <w:shd w:val="clear" w:color="auto" w:fill="auto"/>
            <w:vAlign w:val="center"/>
          </w:tcPr>
          <w:p w14:paraId="2B6CC021" w14:textId="593E9A1F" w:rsidR="007F7322" w:rsidRPr="00E20D21" w:rsidRDefault="00D83CC3" w:rsidP="007F7322">
            <w:pPr>
              <w:jc w:val="right"/>
              <w:rPr>
                <w:rFonts w:ascii="CAIXA Std Book" w:hAnsi="CAIXA Std Book"/>
                <w:b/>
                <w:color w:val="005CA9"/>
                <w:sz w:val="18"/>
                <w:szCs w:val="18"/>
              </w:rPr>
            </w:pPr>
            <w:r w:rsidRPr="00E20D21">
              <w:rPr>
                <w:rFonts w:ascii="CAIXA Std Book" w:hAnsi="CAIXA Std Book"/>
                <w:b/>
                <w:color w:val="005CA9"/>
                <w:sz w:val="18"/>
                <w:szCs w:val="18"/>
              </w:rPr>
              <w:t>7.668.893</w:t>
            </w:r>
          </w:p>
        </w:tc>
        <w:tc>
          <w:tcPr>
            <w:tcW w:w="661" w:type="pct"/>
            <w:tcBorders>
              <w:top w:val="nil"/>
              <w:left w:val="nil"/>
              <w:bottom w:val="single" w:sz="4" w:space="0" w:color="F39200"/>
              <w:right w:val="nil"/>
            </w:tcBorders>
            <w:shd w:val="clear" w:color="auto" w:fill="auto"/>
            <w:vAlign w:val="center"/>
          </w:tcPr>
          <w:p w14:paraId="06138084" w14:textId="51AB6C28" w:rsidR="007F7322" w:rsidRPr="00E20D21" w:rsidRDefault="00D83CC3" w:rsidP="007F7322">
            <w:pPr>
              <w:jc w:val="right"/>
              <w:rPr>
                <w:rFonts w:ascii="CAIXA Std Book" w:hAnsi="CAIXA Std Book"/>
                <w:b/>
                <w:color w:val="005CA9"/>
                <w:sz w:val="18"/>
                <w:szCs w:val="18"/>
              </w:rPr>
            </w:pPr>
            <w:r w:rsidRPr="00E20D21">
              <w:rPr>
                <w:rFonts w:ascii="CAIXA Std Book" w:hAnsi="CAIXA Std Book"/>
                <w:b/>
                <w:color w:val="005CA9"/>
                <w:sz w:val="18"/>
                <w:szCs w:val="18"/>
              </w:rPr>
              <w:t>(4.404.274)</w:t>
            </w:r>
          </w:p>
        </w:tc>
        <w:tc>
          <w:tcPr>
            <w:tcW w:w="661" w:type="pct"/>
            <w:tcBorders>
              <w:top w:val="nil"/>
              <w:left w:val="nil"/>
              <w:bottom w:val="single" w:sz="4" w:space="0" w:color="F39200"/>
              <w:right w:val="nil"/>
            </w:tcBorders>
            <w:shd w:val="clear" w:color="auto" w:fill="auto"/>
            <w:vAlign w:val="center"/>
          </w:tcPr>
          <w:p w14:paraId="35360937" w14:textId="38610CA7" w:rsidR="007F7322" w:rsidRPr="00E20D21" w:rsidRDefault="00D83CC3" w:rsidP="007F7322">
            <w:pPr>
              <w:jc w:val="right"/>
              <w:rPr>
                <w:rFonts w:ascii="CAIXA Std Book" w:hAnsi="CAIXA Std Book"/>
                <w:b/>
                <w:color w:val="005CA9"/>
                <w:sz w:val="18"/>
                <w:szCs w:val="18"/>
              </w:rPr>
            </w:pPr>
            <w:r w:rsidRPr="00E20D21">
              <w:rPr>
                <w:rFonts w:ascii="CAIXA Std Book" w:hAnsi="CAIXA Std Book"/>
                <w:b/>
                <w:color w:val="005CA9"/>
                <w:sz w:val="18"/>
                <w:szCs w:val="18"/>
              </w:rPr>
              <w:t>(26.551)</w:t>
            </w:r>
          </w:p>
        </w:tc>
        <w:tc>
          <w:tcPr>
            <w:tcW w:w="661" w:type="pct"/>
            <w:tcBorders>
              <w:top w:val="single" w:sz="4" w:space="0" w:color="F39200"/>
              <w:left w:val="nil"/>
              <w:bottom w:val="single" w:sz="4" w:space="0" w:color="F39200"/>
              <w:right w:val="nil"/>
            </w:tcBorders>
            <w:shd w:val="clear" w:color="auto" w:fill="auto"/>
            <w:vAlign w:val="center"/>
          </w:tcPr>
          <w:p w14:paraId="750C64D5" w14:textId="7E2F3F80" w:rsidR="007F7322" w:rsidRPr="00E20D21" w:rsidRDefault="00D83CC3" w:rsidP="007F7322">
            <w:pPr>
              <w:jc w:val="right"/>
              <w:rPr>
                <w:rFonts w:ascii="CAIXA Std Book" w:hAnsi="CAIXA Std Book"/>
                <w:b/>
                <w:color w:val="005CA9"/>
                <w:sz w:val="18"/>
                <w:szCs w:val="18"/>
              </w:rPr>
            </w:pPr>
            <w:r w:rsidRPr="00E20D21">
              <w:rPr>
                <w:rFonts w:ascii="CAIXA Std Book" w:hAnsi="CAIXA Std Book"/>
                <w:b/>
                <w:color w:val="005CA9"/>
                <w:sz w:val="18"/>
                <w:szCs w:val="18"/>
              </w:rPr>
              <w:t>3.238.068</w:t>
            </w:r>
          </w:p>
        </w:tc>
        <w:tc>
          <w:tcPr>
            <w:tcW w:w="664" w:type="pct"/>
            <w:tcBorders>
              <w:top w:val="nil"/>
              <w:left w:val="nil"/>
              <w:bottom w:val="single" w:sz="4" w:space="0" w:color="F39200"/>
              <w:right w:val="nil"/>
            </w:tcBorders>
            <w:shd w:val="clear" w:color="auto" w:fill="auto"/>
            <w:vAlign w:val="center"/>
          </w:tcPr>
          <w:p w14:paraId="7785481F" w14:textId="452E174C" w:rsidR="007F7322" w:rsidRPr="00E20D21" w:rsidRDefault="007F7322" w:rsidP="007F7322">
            <w:pPr>
              <w:jc w:val="right"/>
              <w:rPr>
                <w:rFonts w:ascii="CAIXA Std Book" w:hAnsi="CAIXA Std Book"/>
                <w:b/>
                <w:color w:val="005CA9"/>
                <w:sz w:val="18"/>
                <w:szCs w:val="18"/>
              </w:rPr>
            </w:pPr>
            <w:r w:rsidRPr="00E20D21">
              <w:rPr>
                <w:rFonts w:ascii="CAIXA Std Book" w:hAnsi="CAIXA Std Book"/>
                <w:b/>
                <w:color w:val="005CA9"/>
                <w:sz w:val="18"/>
                <w:szCs w:val="18"/>
              </w:rPr>
              <w:t>2.999.931</w:t>
            </w:r>
          </w:p>
        </w:tc>
      </w:tr>
    </w:tbl>
    <w:bookmarkEnd w:id="46"/>
    <w:p w14:paraId="23C6EF0C" w14:textId="739EF6A4" w:rsidR="009A16CA" w:rsidRPr="00E20D21" w:rsidRDefault="00657973" w:rsidP="00C6523F">
      <w:pPr>
        <w:pStyle w:val="PargrafodaLista"/>
        <w:numPr>
          <w:ilvl w:val="1"/>
          <w:numId w:val="13"/>
        </w:numPr>
        <w:shd w:val="clear" w:color="auto" w:fill="FFFFFF" w:themeFill="background1"/>
        <w:spacing w:before="240" w:after="240"/>
        <w:ind w:left="567" w:right="-40" w:hanging="567"/>
        <w:contextualSpacing w:val="0"/>
        <w:jc w:val="both"/>
        <w:rPr>
          <w:rFonts w:ascii="CAIXA Std Book" w:hAnsi="CAIXA Std Book"/>
          <w:color w:val="005CA9"/>
          <w:sz w:val="20"/>
          <w:szCs w:val="20"/>
        </w:rPr>
      </w:pPr>
      <w:r w:rsidRPr="00E20D21">
        <w:rPr>
          <w:rFonts w:ascii="CAIXA Std Book" w:hAnsi="CAIXA Std Book"/>
          <w:b/>
          <w:color w:val="005CA9"/>
          <w:sz w:val="20"/>
          <w:szCs w:val="20"/>
        </w:rPr>
        <w:t>Movimentação</w:t>
      </w:r>
    </w:p>
    <w:tbl>
      <w:tblPr>
        <w:tblW w:w="5000" w:type="pct"/>
        <w:tblCellMar>
          <w:left w:w="70" w:type="dxa"/>
          <w:right w:w="70" w:type="dxa"/>
        </w:tblCellMar>
        <w:tblLook w:val="04A0" w:firstRow="1" w:lastRow="0" w:firstColumn="1" w:lastColumn="0" w:noHBand="0" w:noVBand="1"/>
      </w:tblPr>
      <w:tblGrid>
        <w:gridCol w:w="3262"/>
        <w:gridCol w:w="1274"/>
        <w:gridCol w:w="1276"/>
        <w:gridCol w:w="1135"/>
        <w:gridCol w:w="1353"/>
        <w:gridCol w:w="1338"/>
      </w:tblGrid>
      <w:tr w:rsidR="00A47C19" w:rsidRPr="00E20D21" w14:paraId="2E6807CD" w14:textId="77777777" w:rsidTr="0018566A">
        <w:trPr>
          <w:trHeight w:val="283"/>
        </w:trPr>
        <w:tc>
          <w:tcPr>
            <w:tcW w:w="5000" w:type="pct"/>
            <w:gridSpan w:val="6"/>
            <w:tcBorders>
              <w:top w:val="single" w:sz="4" w:space="0" w:color="F39200"/>
              <w:left w:val="nil"/>
              <w:bottom w:val="single" w:sz="4" w:space="0" w:color="F39200"/>
              <w:right w:val="nil"/>
            </w:tcBorders>
            <w:vAlign w:val="center"/>
          </w:tcPr>
          <w:p w14:paraId="293697BD" w14:textId="174C0A3C" w:rsidR="001D5365" w:rsidRPr="00E20D21" w:rsidRDefault="001D5365" w:rsidP="009176B4">
            <w:pPr>
              <w:jc w:val="center"/>
              <w:rPr>
                <w:rFonts w:ascii="CAIXA Std Book" w:hAnsi="CAIXA Std Book" w:cs="MS Gothic"/>
                <w:b/>
                <w:color w:val="005CA9"/>
                <w:sz w:val="18"/>
                <w:szCs w:val="18"/>
              </w:rPr>
            </w:pPr>
            <w:r w:rsidRPr="00E20D21">
              <w:rPr>
                <w:rFonts w:ascii="CAIXA Std Book" w:hAnsi="CAIXA Std Book"/>
                <w:b/>
                <w:color w:val="005CA9"/>
                <w:sz w:val="18"/>
                <w:szCs w:val="18"/>
              </w:rPr>
              <w:t>INDIVIDUAL</w:t>
            </w:r>
            <w:r w:rsidR="00E20D21">
              <w:rPr>
                <w:rFonts w:ascii="CAIXA Std Book" w:hAnsi="CAIXA Std Book"/>
                <w:b/>
                <w:color w:val="005CA9"/>
                <w:sz w:val="18"/>
                <w:szCs w:val="18"/>
              </w:rPr>
              <w:t xml:space="preserve"> </w:t>
            </w:r>
            <w:r w:rsidRPr="00E20D21">
              <w:rPr>
                <w:rFonts w:ascii="CAIXA Std Book" w:hAnsi="CAIXA Std Book"/>
                <w:b/>
                <w:color w:val="005CA9"/>
                <w:sz w:val="18"/>
                <w:szCs w:val="18"/>
              </w:rPr>
              <w:t>/</w:t>
            </w:r>
            <w:r w:rsidR="00E20D21">
              <w:rPr>
                <w:rFonts w:ascii="CAIXA Std Book" w:hAnsi="CAIXA Std Book"/>
                <w:b/>
                <w:color w:val="005CA9"/>
                <w:sz w:val="18"/>
                <w:szCs w:val="18"/>
              </w:rPr>
              <w:t xml:space="preserve"> </w:t>
            </w:r>
            <w:r w:rsidRPr="00E20D21">
              <w:rPr>
                <w:rFonts w:ascii="CAIXA Std Book" w:hAnsi="CAIXA Std Book"/>
                <w:b/>
                <w:color w:val="005CA9"/>
                <w:sz w:val="18"/>
                <w:szCs w:val="18"/>
              </w:rPr>
              <w:t>CONSOLIDADO</w:t>
            </w:r>
          </w:p>
        </w:tc>
      </w:tr>
      <w:tr w:rsidR="00A47C19" w:rsidRPr="00E20D21" w14:paraId="340F44BD" w14:textId="6BB0A179" w:rsidTr="00EC3196">
        <w:trPr>
          <w:trHeight w:val="283"/>
        </w:trPr>
        <w:tc>
          <w:tcPr>
            <w:tcW w:w="1692" w:type="pct"/>
            <w:vMerge w:val="restart"/>
            <w:tcBorders>
              <w:top w:val="nil"/>
              <w:left w:val="nil"/>
              <w:bottom w:val="single" w:sz="4" w:space="0" w:color="F39200"/>
              <w:right w:val="nil"/>
            </w:tcBorders>
            <w:shd w:val="clear" w:color="auto" w:fill="auto"/>
            <w:vAlign w:val="center"/>
            <w:hideMark/>
          </w:tcPr>
          <w:p w14:paraId="3EC44F2F" w14:textId="77777777" w:rsidR="009176B4" w:rsidRPr="00E20D21" w:rsidRDefault="009176B4" w:rsidP="009176B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661" w:type="pct"/>
            <w:tcBorders>
              <w:top w:val="nil"/>
              <w:left w:val="nil"/>
              <w:bottom w:val="single" w:sz="4" w:space="0" w:color="F79646" w:themeColor="accent6"/>
              <w:right w:val="nil"/>
            </w:tcBorders>
            <w:shd w:val="clear" w:color="auto" w:fill="auto"/>
            <w:vAlign w:val="center"/>
            <w:hideMark/>
          </w:tcPr>
          <w:p w14:paraId="3A61C4C1" w14:textId="77777777" w:rsidR="002F0761" w:rsidRPr="00E20D21" w:rsidRDefault="002F0761" w:rsidP="009176B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1953" w:type="pct"/>
            <w:gridSpan w:val="3"/>
            <w:tcBorders>
              <w:top w:val="nil"/>
              <w:left w:val="nil"/>
              <w:bottom w:val="single" w:sz="4" w:space="0" w:color="F79646" w:themeColor="accent6"/>
              <w:right w:val="nil"/>
            </w:tcBorders>
            <w:shd w:val="clear" w:color="auto" w:fill="auto"/>
            <w:vAlign w:val="center"/>
          </w:tcPr>
          <w:p w14:paraId="6AA68FE4" w14:textId="6D4D9497" w:rsidR="00EC232B" w:rsidRPr="00E20D21" w:rsidRDefault="00EC232B" w:rsidP="009176B4">
            <w:pPr>
              <w:jc w:val="center"/>
              <w:rPr>
                <w:rFonts w:ascii="CAIXA Std Book" w:hAnsi="CAIXA Std Book"/>
                <w:b/>
                <w:color w:val="005CA9"/>
                <w:sz w:val="18"/>
                <w:szCs w:val="18"/>
              </w:rPr>
            </w:pPr>
            <w:r w:rsidRPr="00E20D21">
              <w:rPr>
                <w:rFonts w:ascii="CAIXA Std Book" w:hAnsi="CAIXA Std Book"/>
                <w:b/>
                <w:color w:val="005CA9"/>
                <w:sz w:val="18"/>
                <w:szCs w:val="18"/>
              </w:rPr>
              <w:t>Movimentação</w:t>
            </w:r>
          </w:p>
        </w:tc>
        <w:tc>
          <w:tcPr>
            <w:tcW w:w="694" w:type="pct"/>
            <w:tcBorders>
              <w:top w:val="single" w:sz="4" w:space="0" w:color="F39200"/>
              <w:left w:val="nil"/>
              <w:bottom w:val="single" w:sz="4" w:space="0" w:color="F79646" w:themeColor="accent6"/>
              <w:right w:val="nil"/>
            </w:tcBorders>
            <w:vAlign w:val="center"/>
          </w:tcPr>
          <w:p w14:paraId="1D9DC753" w14:textId="6F8F2758" w:rsidR="009176B4" w:rsidRPr="00E20D21" w:rsidRDefault="007F7322" w:rsidP="009176B4">
            <w:pPr>
              <w:jc w:val="center"/>
              <w:rPr>
                <w:rFonts w:ascii="CAIXA Std Book" w:hAnsi="CAIXA Std Book"/>
                <w:b/>
                <w:color w:val="005CA9"/>
                <w:sz w:val="18"/>
                <w:szCs w:val="18"/>
              </w:rPr>
            </w:pPr>
            <w:r w:rsidRPr="00E20D21">
              <w:rPr>
                <w:rFonts w:ascii="CAIXA Std Book" w:hAnsi="CAIXA Std Book"/>
                <w:b/>
                <w:color w:val="005CA9"/>
                <w:sz w:val="18"/>
                <w:szCs w:val="18"/>
              </w:rPr>
              <w:t>30/06/2024</w:t>
            </w:r>
          </w:p>
        </w:tc>
      </w:tr>
      <w:tr w:rsidR="00A47C19" w:rsidRPr="00E20D21" w14:paraId="39FA5EC7" w14:textId="572DE464" w:rsidTr="00EC3196">
        <w:trPr>
          <w:trHeight w:val="283"/>
        </w:trPr>
        <w:tc>
          <w:tcPr>
            <w:tcW w:w="1692" w:type="pct"/>
            <w:vMerge/>
            <w:tcBorders>
              <w:top w:val="nil"/>
              <w:left w:val="nil"/>
              <w:bottom w:val="single" w:sz="4" w:space="0" w:color="F79646" w:themeColor="accent6"/>
              <w:right w:val="nil"/>
            </w:tcBorders>
            <w:vAlign w:val="center"/>
            <w:hideMark/>
          </w:tcPr>
          <w:p w14:paraId="48CCD33D" w14:textId="77777777" w:rsidR="009176B4" w:rsidRPr="00E20D21" w:rsidRDefault="009176B4" w:rsidP="009176B4">
            <w:pPr>
              <w:jc w:val="right"/>
              <w:rPr>
                <w:rFonts w:ascii="CAIXA Std Book" w:hAnsi="CAIXA Std Book" w:cs="MS Gothic"/>
                <w:b/>
                <w:color w:val="005CA9"/>
                <w:sz w:val="18"/>
                <w:szCs w:val="18"/>
              </w:rPr>
            </w:pPr>
          </w:p>
        </w:tc>
        <w:tc>
          <w:tcPr>
            <w:tcW w:w="661" w:type="pct"/>
            <w:tcBorders>
              <w:top w:val="single" w:sz="4" w:space="0" w:color="F79646" w:themeColor="accent6"/>
              <w:left w:val="nil"/>
              <w:bottom w:val="single" w:sz="4" w:space="0" w:color="F79646" w:themeColor="accent6"/>
              <w:right w:val="nil"/>
            </w:tcBorders>
            <w:shd w:val="clear" w:color="auto" w:fill="auto"/>
            <w:vAlign w:val="center"/>
            <w:hideMark/>
          </w:tcPr>
          <w:p w14:paraId="74D0970F" w14:textId="77777777" w:rsidR="009176B4" w:rsidRPr="00E20D21" w:rsidRDefault="009176B4" w:rsidP="009176B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Líquido</w:t>
            </w:r>
          </w:p>
        </w:tc>
        <w:tc>
          <w:tcPr>
            <w:tcW w:w="662" w:type="pct"/>
            <w:tcBorders>
              <w:top w:val="single" w:sz="4" w:space="0" w:color="F79646" w:themeColor="accent6"/>
              <w:left w:val="nil"/>
              <w:bottom w:val="single" w:sz="4" w:space="0" w:color="F79646" w:themeColor="accent6"/>
              <w:right w:val="nil"/>
            </w:tcBorders>
            <w:shd w:val="clear" w:color="auto" w:fill="auto"/>
            <w:vAlign w:val="center"/>
            <w:hideMark/>
          </w:tcPr>
          <w:p w14:paraId="134E2A37" w14:textId="0A73A4E6" w:rsidR="009176B4" w:rsidRPr="00E20D21" w:rsidRDefault="009176B4" w:rsidP="009176B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Adições</w:t>
            </w:r>
          </w:p>
        </w:tc>
        <w:tc>
          <w:tcPr>
            <w:tcW w:w="589" w:type="pct"/>
            <w:tcBorders>
              <w:top w:val="single" w:sz="4" w:space="0" w:color="F79646" w:themeColor="accent6"/>
              <w:left w:val="nil"/>
              <w:bottom w:val="single" w:sz="4" w:space="0" w:color="F79646" w:themeColor="accent6"/>
              <w:right w:val="nil"/>
            </w:tcBorders>
            <w:shd w:val="clear" w:color="auto" w:fill="auto"/>
            <w:vAlign w:val="center"/>
            <w:hideMark/>
          </w:tcPr>
          <w:p w14:paraId="38B62EE3" w14:textId="77777777" w:rsidR="009176B4" w:rsidRPr="00E20D21" w:rsidRDefault="009176B4" w:rsidP="009176B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Baixas</w:t>
            </w:r>
          </w:p>
        </w:tc>
        <w:tc>
          <w:tcPr>
            <w:tcW w:w="702" w:type="pct"/>
            <w:tcBorders>
              <w:top w:val="single" w:sz="4" w:space="0" w:color="F79646" w:themeColor="accent6"/>
              <w:left w:val="nil"/>
              <w:bottom w:val="single" w:sz="4" w:space="0" w:color="F79646" w:themeColor="accent6"/>
              <w:right w:val="nil"/>
            </w:tcBorders>
            <w:shd w:val="clear" w:color="auto" w:fill="auto"/>
            <w:vAlign w:val="center"/>
            <w:hideMark/>
          </w:tcPr>
          <w:p w14:paraId="40319491" w14:textId="77777777" w:rsidR="009176B4" w:rsidRPr="00E20D21" w:rsidRDefault="009176B4" w:rsidP="009176B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Amortizações</w:t>
            </w:r>
          </w:p>
        </w:tc>
        <w:tc>
          <w:tcPr>
            <w:tcW w:w="694" w:type="pct"/>
            <w:tcBorders>
              <w:top w:val="nil"/>
              <w:left w:val="nil"/>
              <w:bottom w:val="single" w:sz="4" w:space="0" w:color="F79646" w:themeColor="accent6"/>
              <w:right w:val="nil"/>
            </w:tcBorders>
            <w:vAlign w:val="center"/>
          </w:tcPr>
          <w:p w14:paraId="73A4552A" w14:textId="4E83BD78" w:rsidR="009176B4" w:rsidRPr="00E20D21" w:rsidRDefault="009176B4" w:rsidP="009176B4">
            <w:pPr>
              <w:jc w:val="center"/>
              <w:rPr>
                <w:rFonts w:ascii="CAIXA Std Book" w:hAnsi="CAIXA Std Book" w:cs="Arial Unicode MS"/>
                <w:b/>
                <w:color w:val="005CA9"/>
                <w:sz w:val="18"/>
                <w:szCs w:val="18"/>
              </w:rPr>
            </w:pPr>
            <w:r w:rsidRPr="00E20D21">
              <w:rPr>
                <w:rFonts w:ascii="CAIXA Std Book" w:hAnsi="CAIXA Std Book" w:cs="Arial Unicode MS"/>
                <w:b/>
                <w:color w:val="005CA9"/>
                <w:sz w:val="18"/>
                <w:szCs w:val="18"/>
              </w:rPr>
              <w:t>L</w:t>
            </w:r>
            <w:r w:rsidRPr="00E20D21">
              <w:rPr>
                <w:rFonts w:ascii="CAIXA Std Book" w:hAnsi="CAIXA Std Book" w:cs="MS Gothic"/>
                <w:b/>
                <w:color w:val="005CA9"/>
                <w:sz w:val="18"/>
                <w:szCs w:val="18"/>
              </w:rPr>
              <w:t>íquido</w:t>
            </w:r>
          </w:p>
        </w:tc>
      </w:tr>
      <w:tr w:rsidR="007F7322" w:rsidRPr="00E20D21" w14:paraId="66C90734" w14:textId="217A2C1A" w:rsidTr="00EC3196">
        <w:trPr>
          <w:trHeight w:val="283"/>
        </w:trPr>
        <w:tc>
          <w:tcPr>
            <w:tcW w:w="1692" w:type="pct"/>
            <w:tcBorders>
              <w:top w:val="single" w:sz="4" w:space="0" w:color="F79646" w:themeColor="accent6"/>
              <w:left w:val="nil"/>
              <w:bottom w:val="nil"/>
              <w:right w:val="nil"/>
            </w:tcBorders>
            <w:shd w:val="clear" w:color="auto" w:fill="auto"/>
            <w:vAlign w:val="center"/>
            <w:hideMark/>
          </w:tcPr>
          <w:p w14:paraId="5512DE45" w14:textId="77777777" w:rsidR="007F7322" w:rsidRPr="00E20D21" w:rsidRDefault="007F7322" w:rsidP="007F7322">
            <w:pPr>
              <w:rPr>
                <w:rFonts w:ascii="CAIXA Std Book" w:hAnsi="CAIXA Std Book" w:cs="MS Gothic"/>
                <w:color w:val="005CA9"/>
                <w:sz w:val="18"/>
                <w:szCs w:val="18"/>
              </w:rPr>
            </w:pPr>
            <w:r w:rsidRPr="00E20D21">
              <w:rPr>
                <w:rFonts w:ascii="CAIXA Std Book" w:hAnsi="CAIXA Std Book" w:cs="MS Gothic"/>
                <w:color w:val="005CA9"/>
                <w:sz w:val="18"/>
                <w:szCs w:val="18"/>
              </w:rPr>
              <w:t>Aquisição de folha de pagamento</w:t>
            </w:r>
          </w:p>
        </w:tc>
        <w:tc>
          <w:tcPr>
            <w:tcW w:w="661" w:type="pct"/>
            <w:tcBorders>
              <w:top w:val="nil"/>
              <w:left w:val="nil"/>
              <w:bottom w:val="nil"/>
              <w:right w:val="nil"/>
            </w:tcBorders>
            <w:shd w:val="clear" w:color="auto" w:fill="auto"/>
            <w:vAlign w:val="center"/>
          </w:tcPr>
          <w:p w14:paraId="4FE5DF12" w14:textId="7952942A" w:rsidR="007F7322" w:rsidRPr="00E20D21" w:rsidRDefault="007F7322"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1.164.663</w:t>
            </w:r>
          </w:p>
        </w:tc>
        <w:tc>
          <w:tcPr>
            <w:tcW w:w="662" w:type="pct"/>
            <w:tcBorders>
              <w:top w:val="nil"/>
              <w:left w:val="nil"/>
              <w:bottom w:val="nil"/>
              <w:right w:val="nil"/>
            </w:tcBorders>
            <w:shd w:val="clear" w:color="auto" w:fill="auto"/>
            <w:vAlign w:val="center"/>
          </w:tcPr>
          <w:p w14:paraId="1406A71E" w14:textId="3E28E14E" w:rsidR="007F7322" w:rsidRPr="00E20D21" w:rsidRDefault="00A84B83"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832.759</w:t>
            </w:r>
          </w:p>
        </w:tc>
        <w:tc>
          <w:tcPr>
            <w:tcW w:w="589" w:type="pct"/>
            <w:tcBorders>
              <w:top w:val="nil"/>
              <w:left w:val="nil"/>
              <w:bottom w:val="nil"/>
              <w:right w:val="nil"/>
            </w:tcBorders>
            <w:shd w:val="clear" w:color="auto" w:fill="auto"/>
            <w:vAlign w:val="center"/>
          </w:tcPr>
          <w:p w14:paraId="5E45D43B" w14:textId="415842C1" w:rsidR="007F7322" w:rsidRPr="00E20D21" w:rsidRDefault="00A84B83"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(15.617)</w:t>
            </w:r>
          </w:p>
        </w:tc>
        <w:tc>
          <w:tcPr>
            <w:tcW w:w="702" w:type="pct"/>
            <w:tcBorders>
              <w:top w:val="nil"/>
              <w:left w:val="nil"/>
              <w:bottom w:val="nil"/>
              <w:right w:val="nil"/>
            </w:tcBorders>
            <w:shd w:val="clear" w:color="auto" w:fill="auto"/>
            <w:vAlign w:val="center"/>
          </w:tcPr>
          <w:p w14:paraId="37EBCD53" w14:textId="7205C2A6" w:rsidR="007F7322" w:rsidRPr="00E20D21" w:rsidRDefault="00A84B83"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(221.127)</w:t>
            </w:r>
          </w:p>
        </w:tc>
        <w:tc>
          <w:tcPr>
            <w:tcW w:w="694" w:type="pct"/>
            <w:tcBorders>
              <w:top w:val="nil"/>
              <w:left w:val="nil"/>
              <w:bottom w:val="nil"/>
              <w:right w:val="nil"/>
            </w:tcBorders>
            <w:vAlign w:val="center"/>
          </w:tcPr>
          <w:p w14:paraId="0A6157BE" w14:textId="620940A8" w:rsidR="007F7322" w:rsidRPr="00E20D21" w:rsidRDefault="00A84B83" w:rsidP="007F7322">
            <w:pPr>
              <w:jc w:val="right"/>
              <w:rPr>
                <w:rFonts w:ascii="CAIXA Std Book" w:hAnsi="CAIXA Std Book"/>
                <w:color w:val="005CA9"/>
                <w:sz w:val="18"/>
                <w:szCs w:val="18"/>
              </w:rPr>
            </w:pPr>
            <w:r w:rsidRPr="00E20D21">
              <w:rPr>
                <w:rFonts w:ascii="CAIXA Std Book" w:hAnsi="CAIXA Std Book" w:cs="Arial"/>
                <w:color w:val="005CA9"/>
                <w:sz w:val="18"/>
                <w:szCs w:val="18"/>
              </w:rPr>
              <w:t>1.760.678</w:t>
            </w:r>
          </w:p>
        </w:tc>
      </w:tr>
      <w:tr w:rsidR="007F7322" w:rsidRPr="00E20D21" w14:paraId="354FAB9C" w14:textId="7EECF4DA" w:rsidTr="00EC3196">
        <w:trPr>
          <w:trHeight w:val="283"/>
        </w:trPr>
        <w:tc>
          <w:tcPr>
            <w:tcW w:w="1692" w:type="pct"/>
            <w:tcBorders>
              <w:top w:val="nil"/>
              <w:left w:val="nil"/>
              <w:bottom w:val="nil"/>
              <w:right w:val="nil"/>
            </w:tcBorders>
            <w:shd w:val="clear" w:color="auto" w:fill="auto"/>
            <w:vAlign w:val="center"/>
            <w:hideMark/>
          </w:tcPr>
          <w:p w14:paraId="49264409" w14:textId="77777777" w:rsidR="007F7322" w:rsidRPr="00E20D21" w:rsidRDefault="007F7322" w:rsidP="007F7322">
            <w:pPr>
              <w:rPr>
                <w:rFonts w:ascii="CAIXA Std Book" w:hAnsi="CAIXA Std Book" w:cs="MS Gothic"/>
                <w:color w:val="005CA9"/>
                <w:sz w:val="18"/>
                <w:szCs w:val="18"/>
              </w:rPr>
            </w:pPr>
            <w:r w:rsidRPr="00E20D21">
              <w:rPr>
                <w:rFonts w:ascii="CAIXA Std Book" w:hAnsi="CAIXA Std Book" w:cs="MS Gothic"/>
                <w:color w:val="005CA9"/>
                <w:sz w:val="18"/>
                <w:szCs w:val="18"/>
              </w:rPr>
              <w:t xml:space="preserve">Projetos </w:t>
            </w:r>
            <w:proofErr w:type="spellStart"/>
            <w:r w:rsidRPr="00E20D21">
              <w:rPr>
                <w:rFonts w:ascii="CAIXA Std Book" w:hAnsi="CAIXA Std Book" w:cs="MS Gothic"/>
                <w:color w:val="005CA9"/>
                <w:sz w:val="18"/>
                <w:szCs w:val="18"/>
              </w:rPr>
              <w:t>logiciais</w:t>
            </w:r>
            <w:proofErr w:type="spellEnd"/>
            <w:r w:rsidRPr="00E20D21">
              <w:rPr>
                <w:rFonts w:ascii="CAIXA Std Book" w:hAnsi="CAIXA Std Book" w:cs="MS Gothic"/>
                <w:color w:val="005CA9"/>
                <w:sz w:val="18"/>
                <w:szCs w:val="18"/>
              </w:rPr>
              <w:t xml:space="preserve"> – software</w:t>
            </w:r>
          </w:p>
        </w:tc>
        <w:tc>
          <w:tcPr>
            <w:tcW w:w="661" w:type="pct"/>
            <w:tcBorders>
              <w:top w:val="nil"/>
              <w:left w:val="nil"/>
              <w:bottom w:val="nil"/>
              <w:right w:val="nil"/>
            </w:tcBorders>
            <w:shd w:val="clear" w:color="auto" w:fill="auto"/>
            <w:vAlign w:val="center"/>
          </w:tcPr>
          <w:p w14:paraId="5C0CE78F" w14:textId="71F5A3DA" w:rsidR="007F7322" w:rsidRPr="00E20D21" w:rsidRDefault="007F7322"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971.851</w:t>
            </w:r>
          </w:p>
        </w:tc>
        <w:tc>
          <w:tcPr>
            <w:tcW w:w="662" w:type="pct"/>
            <w:tcBorders>
              <w:top w:val="nil"/>
              <w:left w:val="nil"/>
              <w:bottom w:val="nil"/>
              <w:right w:val="nil"/>
            </w:tcBorders>
            <w:shd w:val="clear" w:color="auto" w:fill="auto"/>
            <w:vAlign w:val="center"/>
          </w:tcPr>
          <w:p w14:paraId="32202934" w14:textId="18024BAB" w:rsidR="007F7322" w:rsidRPr="00E20D21" w:rsidRDefault="00A84B83"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95.029</w:t>
            </w:r>
          </w:p>
        </w:tc>
        <w:tc>
          <w:tcPr>
            <w:tcW w:w="589" w:type="pct"/>
            <w:tcBorders>
              <w:top w:val="nil"/>
              <w:left w:val="nil"/>
              <w:bottom w:val="nil"/>
              <w:right w:val="nil"/>
            </w:tcBorders>
            <w:shd w:val="clear" w:color="auto" w:fill="auto"/>
            <w:vAlign w:val="center"/>
          </w:tcPr>
          <w:p w14:paraId="16D98071" w14:textId="2B1DA269" w:rsidR="007F7322" w:rsidRPr="00E20D21" w:rsidRDefault="00A84B83"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(58.435)</w:t>
            </w:r>
          </w:p>
        </w:tc>
        <w:tc>
          <w:tcPr>
            <w:tcW w:w="702" w:type="pct"/>
            <w:tcBorders>
              <w:top w:val="nil"/>
              <w:left w:val="nil"/>
              <w:bottom w:val="nil"/>
              <w:right w:val="nil"/>
            </w:tcBorders>
            <w:shd w:val="clear" w:color="auto" w:fill="auto"/>
            <w:vAlign w:val="center"/>
          </w:tcPr>
          <w:p w14:paraId="31212CA5" w14:textId="2AEC4DF8" w:rsidR="007F7322" w:rsidRPr="00E20D21" w:rsidRDefault="00A84B83"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(164.836)</w:t>
            </w:r>
          </w:p>
        </w:tc>
        <w:tc>
          <w:tcPr>
            <w:tcW w:w="694" w:type="pct"/>
            <w:tcBorders>
              <w:top w:val="nil"/>
              <w:left w:val="nil"/>
              <w:bottom w:val="nil"/>
              <w:right w:val="nil"/>
            </w:tcBorders>
            <w:vAlign w:val="center"/>
          </w:tcPr>
          <w:p w14:paraId="7515C4C0" w14:textId="4677E2EF" w:rsidR="007F7322" w:rsidRPr="00E20D21" w:rsidRDefault="00A84B83" w:rsidP="007F7322">
            <w:pPr>
              <w:jc w:val="right"/>
              <w:rPr>
                <w:rFonts w:ascii="CAIXA Std Book" w:hAnsi="CAIXA Std Book"/>
                <w:color w:val="005CA9"/>
                <w:sz w:val="18"/>
                <w:szCs w:val="18"/>
              </w:rPr>
            </w:pPr>
            <w:r w:rsidRPr="00E20D21">
              <w:rPr>
                <w:rFonts w:ascii="CAIXA Std Book" w:hAnsi="CAIXA Std Book" w:cs="Arial"/>
                <w:color w:val="005CA9"/>
                <w:sz w:val="18"/>
                <w:szCs w:val="18"/>
              </w:rPr>
              <w:t>843.609</w:t>
            </w:r>
          </w:p>
        </w:tc>
      </w:tr>
      <w:tr w:rsidR="007F7322" w:rsidRPr="00E20D21" w14:paraId="049D5F0B" w14:textId="174EF963" w:rsidTr="00EC3196">
        <w:trPr>
          <w:trHeight w:val="283"/>
        </w:trPr>
        <w:tc>
          <w:tcPr>
            <w:tcW w:w="1692" w:type="pct"/>
            <w:tcBorders>
              <w:top w:val="nil"/>
              <w:left w:val="nil"/>
              <w:bottom w:val="nil"/>
              <w:right w:val="nil"/>
            </w:tcBorders>
            <w:shd w:val="clear" w:color="auto" w:fill="auto"/>
            <w:vAlign w:val="center"/>
          </w:tcPr>
          <w:p w14:paraId="4C7762CD" w14:textId="77777777" w:rsidR="007F7322" w:rsidRPr="00E20D21" w:rsidRDefault="007F7322" w:rsidP="007F7322">
            <w:pPr>
              <w:rPr>
                <w:rFonts w:ascii="CAIXA Std Book" w:hAnsi="CAIXA Std Book" w:cs="MS Gothic"/>
                <w:color w:val="005CA9"/>
                <w:sz w:val="18"/>
                <w:szCs w:val="18"/>
              </w:rPr>
            </w:pPr>
            <w:r w:rsidRPr="00E20D21">
              <w:rPr>
                <w:rFonts w:ascii="CAIXA Std Book" w:hAnsi="CAIXA Std Book" w:cs="MS Gothic"/>
                <w:color w:val="005CA9"/>
                <w:sz w:val="18"/>
                <w:szCs w:val="18"/>
              </w:rPr>
              <w:t>Outros intangíveis</w:t>
            </w:r>
          </w:p>
        </w:tc>
        <w:tc>
          <w:tcPr>
            <w:tcW w:w="661" w:type="pct"/>
            <w:tcBorders>
              <w:top w:val="nil"/>
              <w:left w:val="nil"/>
              <w:bottom w:val="single" w:sz="4" w:space="0" w:color="F39200"/>
              <w:right w:val="nil"/>
            </w:tcBorders>
            <w:shd w:val="clear" w:color="auto" w:fill="auto"/>
            <w:vAlign w:val="center"/>
          </w:tcPr>
          <w:p w14:paraId="1B16383A" w14:textId="3107434A" w:rsidR="007F7322" w:rsidRPr="00E20D21" w:rsidRDefault="007F7322"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863.417</w:t>
            </w:r>
          </w:p>
        </w:tc>
        <w:tc>
          <w:tcPr>
            <w:tcW w:w="662" w:type="pct"/>
            <w:tcBorders>
              <w:top w:val="nil"/>
              <w:left w:val="nil"/>
              <w:bottom w:val="single" w:sz="4" w:space="0" w:color="F39200"/>
              <w:right w:val="nil"/>
            </w:tcBorders>
            <w:shd w:val="clear" w:color="auto" w:fill="auto"/>
            <w:vAlign w:val="center"/>
          </w:tcPr>
          <w:p w14:paraId="16602C4E" w14:textId="0049BB60" w:rsidR="007F7322" w:rsidRPr="00E20D21" w:rsidRDefault="00A84B83"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148.507</w:t>
            </w:r>
          </w:p>
        </w:tc>
        <w:tc>
          <w:tcPr>
            <w:tcW w:w="589" w:type="pct"/>
            <w:tcBorders>
              <w:top w:val="nil"/>
              <w:left w:val="nil"/>
              <w:bottom w:val="single" w:sz="4" w:space="0" w:color="F39200"/>
              <w:right w:val="nil"/>
            </w:tcBorders>
            <w:shd w:val="clear" w:color="auto" w:fill="auto"/>
            <w:vAlign w:val="center"/>
          </w:tcPr>
          <w:p w14:paraId="02906968" w14:textId="27A60F78" w:rsidR="007F7322" w:rsidRPr="00E20D21" w:rsidRDefault="00A84B83"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(24.454)</w:t>
            </w:r>
          </w:p>
        </w:tc>
        <w:tc>
          <w:tcPr>
            <w:tcW w:w="702" w:type="pct"/>
            <w:tcBorders>
              <w:top w:val="nil"/>
              <w:left w:val="nil"/>
              <w:bottom w:val="single" w:sz="4" w:space="0" w:color="F39200"/>
              <w:right w:val="nil"/>
            </w:tcBorders>
            <w:shd w:val="clear" w:color="auto" w:fill="auto"/>
            <w:vAlign w:val="center"/>
          </w:tcPr>
          <w:p w14:paraId="79286FAD" w14:textId="28AC2DE9" w:rsidR="007F7322" w:rsidRPr="00E20D21" w:rsidRDefault="00A84B83" w:rsidP="007F7322">
            <w:pPr>
              <w:jc w:val="right"/>
              <w:rPr>
                <w:rFonts w:ascii="CAIXA Std Book" w:hAnsi="CAIXA Std Book" w:cs="Arial"/>
                <w:color w:val="005CA9"/>
                <w:sz w:val="18"/>
                <w:szCs w:val="18"/>
              </w:rPr>
            </w:pPr>
            <w:r w:rsidRPr="00E20D21">
              <w:rPr>
                <w:rFonts w:ascii="CAIXA Std Book" w:hAnsi="CAIXA Std Book" w:cs="Arial"/>
                <w:color w:val="005CA9"/>
                <w:sz w:val="18"/>
                <w:szCs w:val="18"/>
              </w:rPr>
              <w:t>(353.689)</w:t>
            </w:r>
          </w:p>
        </w:tc>
        <w:tc>
          <w:tcPr>
            <w:tcW w:w="694" w:type="pct"/>
            <w:tcBorders>
              <w:top w:val="nil"/>
              <w:left w:val="nil"/>
              <w:bottom w:val="single" w:sz="4" w:space="0" w:color="F39200"/>
              <w:right w:val="nil"/>
            </w:tcBorders>
            <w:vAlign w:val="center"/>
          </w:tcPr>
          <w:p w14:paraId="1DDD1BDE" w14:textId="706A1829" w:rsidR="007F7322" w:rsidRPr="00E20D21" w:rsidRDefault="00A84B83" w:rsidP="007F7322">
            <w:pPr>
              <w:jc w:val="right"/>
              <w:rPr>
                <w:rFonts w:ascii="CAIXA Std Book" w:hAnsi="CAIXA Std Book"/>
                <w:color w:val="005CA9"/>
                <w:sz w:val="18"/>
                <w:szCs w:val="18"/>
              </w:rPr>
            </w:pPr>
            <w:r w:rsidRPr="00E20D21">
              <w:rPr>
                <w:rFonts w:ascii="CAIXA Std Book" w:hAnsi="CAIXA Std Book" w:cs="Arial"/>
                <w:color w:val="005CA9"/>
                <w:sz w:val="18"/>
                <w:szCs w:val="18"/>
              </w:rPr>
              <w:t>633.781</w:t>
            </w:r>
          </w:p>
        </w:tc>
      </w:tr>
      <w:tr w:rsidR="007F7322" w:rsidRPr="00E20D21" w14:paraId="752E39D2" w14:textId="4CE181B1" w:rsidTr="00EC3196">
        <w:trPr>
          <w:trHeight w:val="283"/>
        </w:trPr>
        <w:tc>
          <w:tcPr>
            <w:tcW w:w="1692" w:type="pct"/>
            <w:tcBorders>
              <w:top w:val="single" w:sz="4" w:space="0" w:color="F39200"/>
              <w:left w:val="nil"/>
              <w:bottom w:val="single" w:sz="4" w:space="0" w:color="F39200"/>
              <w:right w:val="nil"/>
            </w:tcBorders>
            <w:shd w:val="clear" w:color="auto" w:fill="auto"/>
            <w:vAlign w:val="center"/>
            <w:hideMark/>
          </w:tcPr>
          <w:p w14:paraId="2453D907" w14:textId="77777777" w:rsidR="007F7322" w:rsidRPr="00E20D21" w:rsidRDefault="007F7322" w:rsidP="007F7322">
            <w:pPr>
              <w:rPr>
                <w:rFonts w:ascii="CAIXA Std Book" w:hAnsi="CAIXA Std Book" w:cs="MS Gothic"/>
                <w:b/>
                <w:color w:val="005CA9"/>
                <w:sz w:val="18"/>
                <w:szCs w:val="18"/>
              </w:rPr>
            </w:pPr>
            <w:r w:rsidRPr="00E20D21">
              <w:rPr>
                <w:rFonts w:ascii="CAIXA Std Book" w:hAnsi="CAIXA Std Book" w:cs="MS Gothic"/>
                <w:b/>
                <w:color w:val="005CA9"/>
                <w:sz w:val="18"/>
                <w:szCs w:val="18"/>
              </w:rPr>
              <w:t>Total</w:t>
            </w:r>
          </w:p>
        </w:tc>
        <w:tc>
          <w:tcPr>
            <w:tcW w:w="661" w:type="pct"/>
            <w:tcBorders>
              <w:top w:val="nil"/>
              <w:left w:val="nil"/>
              <w:bottom w:val="single" w:sz="4" w:space="0" w:color="F39200"/>
              <w:right w:val="nil"/>
            </w:tcBorders>
            <w:shd w:val="clear" w:color="auto" w:fill="auto"/>
            <w:vAlign w:val="center"/>
          </w:tcPr>
          <w:p w14:paraId="3FB9A594" w14:textId="54108AA5" w:rsidR="007F7322" w:rsidRPr="00E20D21" w:rsidRDefault="007F7322" w:rsidP="007F7322">
            <w:pPr>
              <w:jc w:val="right"/>
              <w:rPr>
                <w:rFonts w:ascii="CAIXA Std Book" w:hAnsi="CAIXA Std Book" w:cs="Arial"/>
                <w:b/>
                <w:color w:val="2F75B5"/>
                <w:sz w:val="18"/>
                <w:szCs w:val="18"/>
              </w:rPr>
            </w:pPr>
            <w:r w:rsidRPr="00E20D21">
              <w:rPr>
                <w:rFonts w:ascii="CAIXA Std Book" w:hAnsi="CAIXA Std Book" w:cs="Arial"/>
                <w:b/>
                <w:color w:val="2F75B5"/>
                <w:sz w:val="18"/>
                <w:szCs w:val="18"/>
              </w:rPr>
              <w:t>2.999.931</w:t>
            </w:r>
          </w:p>
        </w:tc>
        <w:tc>
          <w:tcPr>
            <w:tcW w:w="662" w:type="pct"/>
            <w:tcBorders>
              <w:top w:val="nil"/>
              <w:left w:val="nil"/>
              <w:bottom w:val="single" w:sz="4" w:space="0" w:color="F39200"/>
              <w:right w:val="nil"/>
            </w:tcBorders>
            <w:shd w:val="clear" w:color="auto" w:fill="auto"/>
            <w:vAlign w:val="center"/>
          </w:tcPr>
          <w:p w14:paraId="5C13A8A3" w14:textId="312DD8E7" w:rsidR="007F7322" w:rsidRPr="00E20D21" w:rsidRDefault="00A84B83" w:rsidP="007F7322">
            <w:pPr>
              <w:jc w:val="right"/>
              <w:rPr>
                <w:rFonts w:ascii="CAIXA Std Book" w:hAnsi="CAIXA Std Book" w:cs="Arial"/>
                <w:b/>
                <w:color w:val="2F75B5"/>
                <w:sz w:val="18"/>
                <w:szCs w:val="18"/>
              </w:rPr>
            </w:pPr>
            <w:r w:rsidRPr="00E20D21">
              <w:rPr>
                <w:rFonts w:ascii="CAIXA Std Book" w:hAnsi="CAIXA Std Book" w:cs="Arial"/>
                <w:b/>
                <w:bCs/>
                <w:color w:val="2F75B5"/>
                <w:sz w:val="18"/>
                <w:szCs w:val="18"/>
              </w:rPr>
              <w:t>1.076.295</w:t>
            </w:r>
          </w:p>
        </w:tc>
        <w:tc>
          <w:tcPr>
            <w:tcW w:w="589" w:type="pct"/>
            <w:tcBorders>
              <w:top w:val="nil"/>
              <w:left w:val="nil"/>
              <w:bottom w:val="single" w:sz="4" w:space="0" w:color="F39200"/>
              <w:right w:val="nil"/>
            </w:tcBorders>
            <w:shd w:val="clear" w:color="auto" w:fill="auto"/>
            <w:vAlign w:val="center"/>
          </w:tcPr>
          <w:p w14:paraId="79394982" w14:textId="46E6E112" w:rsidR="007F7322" w:rsidRPr="00E20D21" w:rsidRDefault="00A84B83" w:rsidP="007F7322">
            <w:pPr>
              <w:jc w:val="right"/>
              <w:rPr>
                <w:rFonts w:ascii="CAIXA Std Book" w:hAnsi="CAIXA Std Book" w:cs="Arial"/>
                <w:b/>
                <w:color w:val="2F75B5"/>
                <w:sz w:val="18"/>
                <w:szCs w:val="18"/>
              </w:rPr>
            </w:pPr>
            <w:r w:rsidRPr="00E20D21">
              <w:rPr>
                <w:rFonts w:ascii="CAIXA Std Book" w:hAnsi="CAIXA Std Book" w:cs="Arial"/>
                <w:b/>
                <w:bCs/>
                <w:color w:val="2F75B5"/>
                <w:sz w:val="18"/>
                <w:szCs w:val="18"/>
              </w:rPr>
              <w:t>(98.506)</w:t>
            </w:r>
          </w:p>
        </w:tc>
        <w:tc>
          <w:tcPr>
            <w:tcW w:w="702" w:type="pct"/>
            <w:tcBorders>
              <w:top w:val="nil"/>
              <w:left w:val="nil"/>
              <w:bottom w:val="single" w:sz="4" w:space="0" w:color="F39200"/>
              <w:right w:val="nil"/>
            </w:tcBorders>
            <w:shd w:val="clear" w:color="auto" w:fill="auto"/>
            <w:vAlign w:val="center"/>
          </w:tcPr>
          <w:p w14:paraId="2890E0BF" w14:textId="22555080" w:rsidR="007F7322" w:rsidRPr="00E20D21" w:rsidRDefault="00A84B83" w:rsidP="007F7322">
            <w:pPr>
              <w:jc w:val="right"/>
              <w:rPr>
                <w:rFonts w:ascii="CAIXA Std Book" w:hAnsi="CAIXA Std Book" w:cs="Arial"/>
                <w:b/>
                <w:color w:val="2F75B5"/>
                <w:sz w:val="18"/>
                <w:szCs w:val="18"/>
              </w:rPr>
            </w:pPr>
            <w:r w:rsidRPr="00E20D21">
              <w:rPr>
                <w:rFonts w:ascii="CAIXA Std Book" w:hAnsi="CAIXA Std Book" w:cs="Arial"/>
                <w:b/>
                <w:bCs/>
                <w:color w:val="2F75B5"/>
                <w:sz w:val="18"/>
                <w:szCs w:val="18"/>
              </w:rPr>
              <w:t>(739.652)</w:t>
            </w:r>
          </w:p>
        </w:tc>
        <w:tc>
          <w:tcPr>
            <w:tcW w:w="694" w:type="pct"/>
            <w:tcBorders>
              <w:top w:val="nil"/>
              <w:left w:val="nil"/>
              <w:bottom w:val="single" w:sz="4" w:space="0" w:color="F39200"/>
              <w:right w:val="nil"/>
            </w:tcBorders>
            <w:vAlign w:val="center"/>
          </w:tcPr>
          <w:p w14:paraId="5453E5C3" w14:textId="527812A5" w:rsidR="007F7322" w:rsidRPr="00E20D21" w:rsidRDefault="00A84B83" w:rsidP="007F7322">
            <w:pPr>
              <w:jc w:val="right"/>
              <w:rPr>
                <w:rFonts w:ascii="CAIXA Std Book" w:hAnsi="CAIXA Std Book"/>
                <w:b/>
                <w:color w:val="005CA9"/>
                <w:sz w:val="18"/>
                <w:szCs w:val="18"/>
              </w:rPr>
            </w:pPr>
            <w:r w:rsidRPr="00E20D21">
              <w:rPr>
                <w:rFonts w:ascii="CAIXA Std Book" w:hAnsi="CAIXA Std Book" w:cs="Arial"/>
                <w:b/>
                <w:bCs/>
                <w:color w:val="2F75B5"/>
                <w:sz w:val="18"/>
                <w:szCs w:val="18"/>
              </w:rPr>
              <w:t>3.238.068</w:t>
            </w:r>
          </w:p>
        </w:tc>
      </w:tr>
    </w:tbl>
    <w:p w14:paraId="7DB2F2D4" w14:textId="68B56B1A" w:rsidR="00353F12" w:rsidRPr="00E20D21" w:rsidRDefault="00353F12" w:rsidP="00FD7768">
      <w:pPr>
        <w:pStyle w:val="Ttulo1"/>
      </w:pPr>
      <w:bookmarkStart w:id="47" w:name="_Toc175067954"/>
      <w:r w:rsidRPr="00E20D21">
        <w:t>Nota 1</w:t>
      </w:r>
      <w:r w:rsidR="004917F8" w:rsidRPr="00E20D21">
        <w:t>4</w:t>
      </w:r>
      <w:r w:rsidRPr="00E20D21">
        <w:t xml:space="preserve"> – Outros ativos</w:t>
      </w:r>
      <w:bookmarkEnd w:id="47"/>
    </w:p>
    <w:p w14:paraId="2DC4385B" w14:textId="77777777" w:rsidR="005664DE" w:rsidRPr="00E20D21" w:rsidRDefault="005664DE" w:rsidP="00C23CE6">
      <w:pPr>
        <w:pStyle w:val="PargrafodaLista"/>
        <w:numPr>
          <w:ilvl w:val="0"/>
          <w:numId w:val="25"/>
        </w:numPr>
        <w:spacing w:before="360" w:after="240"/>
        <w:ind w:left="567" w:hanging="567"/>
        <w:contextualSpacing w:val="0"/>
        <w:rPr>
          <w:rFonts w:ascii="CAIXA Std Book" w:hAnsi="CAIXA Std Book"/>
          <w:b/>
          <w:color w:val="005CA9"/>
          <w:sz w:val="20"/>
          <w:szCs w:val="20"/>
        </w:rPr>
      </w:pPr>
      <w:r w:rsidRPr="00E20D21">
        <w:rPr>
          <w:rFonts w:ascii="CAIXA Std Book" w:hAnsi="CAIXA Std Book"/>
          <w:b/>
          <w:color w:val="005CA9"/>
          <w:sz w:val="20"/>
          <w:szCs w:val="20"/>
        </w:rPr>
        <w:t>Composição</w:t>
      </w:r>
    </w:p>
    <w:tbl>
      <w:tblPr>
        <w:tblW w:w="5000" w:type="pct"/>
        <w:tblLayout w:type="fixed"/>
        <w:tblCellMar>
          <w:left w:w="70" w:type="dxa"/>
          <w:right w:w="70" w:type="dxa"/>
        </w:tblCellMar>
        <w:tblLook w:val="04A0" w:firstRow="1" w:lastRow="0" w:firstColumn="1" w:lastColumn="0" w:noHBand="0" w:noVBand="1"/>
      </w:tblPr>
      <w:tblGrid>
        <w:gridCol w:w="4537"/>
        <w:gridCol w:w="1275"/>
        <w:gridCol w:w="1276"/>
        <w:gridCol w:w="1274"/>
        <w:gridCol w:w="1276"/>
      </w:tblGrid>
      <w:tr w:rsidR="00A47C19" w:rsidRPr="00E20D21" w14:paraId="29A0D125" w14:textId="77777777" w:rsidTr="00E40986">
        <w:trPr>
          <w:trHeight w:val="257"/>
        </w:trPr>
        <w:tc>
          <w:tcPr>
            <w:tcW w:w="2353" w:type="pct"/>
            <w:vMerge w:val="restart"/>
            <w:tcBorders>
              <w:top w:val="single" w:sz="4" w:space="0" w:color="F39200"/>
              <w:left w:val="nil"/>
              <w:right w:val="nil"/>
            </w:tcBorders>
            <w:shd w:val="clear" w:color="auto" w:fill="auto"/>
            <w:noWrap/>
            <w:vAlign w:val="center"/>
            <w:hideMark/>
          </w:tcPr>
          <w:p w14:paraId="1C2476DA" w14:textId="77777777" w:rsidR="003E37F9" w:rsidRPr="00E20D21" w:rsidRDefault="003E37F9">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1323" w:type="pct"/>
            <w:gridSpan w:val="2"/>
            <w:tcBorders>
              <w:top w:val="single" w:sz="4" w:space="0" w:color="F39200"/>
              <w:left w:val="nil"/>
              <w:bottom w:val="single" w:sz="4" w:space="0" w:color="F39200"/>
              <w:right w:val="nil"/>
            </w:tcBorders>
            <w:shd w:val="clear" w:color="auto" w:fill="auto"/>
            <w:noWrap/>
            <w:vAlign w:val="center"/>
            <w:hideMark/>
          </w:tcPr>
          <w:p w14:paraId="3DF04151" w14:textId="77777777" w:rsidR="003E37F9" w:rsidRPr="00E20D21" w:rsidRDefault="003E37F9">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 xml:space="preserve">INDIVIDUAL </w:t>
            </w:r>
          </w:p>
        </w:tc>
        <w:tc>
          <w:tcPr>
            <w:tcW w:w="1323" w:type="pct"/>
            <w:gridSpan w:val="2"/>
            <w:tcBorders>
              <w:top w:val="single" w:sz="4" w:space="0" w:color="F39200"/>
              <w:left w:val="nil"/>
              <w:bottom w:val="single" w:sz="4" w:space="0" w:color="F39200"/>
              <w:right w:val="nil"/>
            </w:tcBorders>
            <w:shd w:val="clear" w:color="auto" w:fill="auto"/>
            <w:noWrap/>
            <w:vAlign w:val="center"/>
            <w:hideMark/>
          </w:tcPr>
          <w:p w14:paraId="45069C23" w14:textId="77777777" w:rsidR="003E37F9" w:rsidRPr="00E20D21" w:rsidRDefault="003E37F9">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CONSOLIDADO</w:t>
            </w:r>
          </w:p>
        </w:tc>
      </w:tr>
      <w:tr w:rsidR="007F7322" w:rsidRPr="00E20D21" w14:paraId="69C4E348" w14:textId="77777777" w:rsidTr="00E40986">
        <w:trPr>
          <w:trHeight w:val="257"/>
        </w:trPr>
        <w:tc>
          <w:tcPr>
            <w:tcW w:w="2353" w:type="pct"/>
            <w:vMerge/>
            <w:tcBorders>
              <w:left w:val="nil"/>
              <w:bottom w:val="single" w:sz="4" w:space="0" w:color="F39200"/>
              <w:right w:val="nil"/>
            </w:tcBorders>
            <w:vAlign w:val="center"/>
            <w:hideMark/>
          </w:tcPr>
          <w:p w14:paraId="19843789" w14:textId="77777777" w:rsidR="007F7322" w:rsidRPr="00E20D21" w:rsidRDefault="007F7322" w:rsidP="007F7322">
            <w:pPr>
              <w:rPr>
                <w:rFonts w:ascii="CAIXA Std Book" w:hAnsi="CAIXA Std Book" w:cs="MS Gothic"/>
                <w:b/>
                <w:color w:val="005CA9"/>
                <w:sz w:val="18"/>
                <w:szCs w:val="18"/>
              </w:rPr>
            </w:pPr>
          </w:p>
        </w:tc>
        <w:tc>
          <w:tcPr>
            <w:tcW w:w="661" w:type="pct"/>
            <w:tcBorders>
              <w:top w:val="nil"/>
              <w:left w:val="nil"/>
              <w:bottom w:val="single" w:sz="4" w:space="0" w:color="F39200"/>
              <w:right w:val="nil"/>
            </w:tcBorders>
            <w:shd w:val="clear" w:color="auto" w:fill="auto"/>
            <w:noWrap/>
            <w:vAlign w:val="center"/>
            <w:hideMark/>
          </w:tcPr>
          <w:p w14:paraId="00533400" w14:textId="2F010B71" w:rsidR="007F7322" w:rsidRPr="00E20D21" w:rsidRDefault="007F7322" w:rsidP="007F7322">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662" w:type="pct"/>
            <w:tcBorders>
              <w:top w:val="nil"/>
              <w:left w:val="nil"/>
              <w:bottom w:val="single" w:sz="4" w:space="0" w:color="F39200"/>
              <w:right w:val="nil"/>
            </w:tcBorders>
            <w:shd w:val="clear" w:color="auto" w:fill="auto"/>
            <w:noWrap/>
            <w:vAlign w:val="center"/>
            <w:hideMark/>
          </w:tcPr>
          <w:p w14:paraId="12FEA471" w14:textId="3B33627A" w:rsidR="007F7322" w:rsidRPr="00E20D21" w:rsidRDefault="007F7322" w:rsidP="007F7322">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661" w:type="pct"/>
            <w:tcBorders>
              <w:top w:val="nil"/>
              <w:left w:val="nil"/>
              <w:bottom w:val="single" w:sz="4" w:space="0" w:color="F39200"/>
              <w:right w:val="nil"/>
            </w:tcBorders>
            <w:shd w:val="clear" w:color="auto" w:fill="auto"/>
            <w:noWrap/>
            <w:vAlign w:val="center"/>
            <w:hideMark/>
          </w:tcPr>
          <w:p w14:paraId="4DF73E9F" w14:textId="4622B36A" w:rsidR="007F7322" w:rsidRPr="00E20D21" w:rsidRDefault="007F7322" w:rsidP="007F7322">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662" w:type="pct"/>
            <w:tcBorders>
              <w:top w:val="nil"/>
              <w:left w:val="nil"/>
              <w:bottom w:val="single" w:sz="4" w:space="0" w:color="F39200"/>
              <w:right w:val="nil"/>
            </w:tcBorders>
            <w:shd w:val="clear" w:color="auto" w:fill="auto"/>
            <w:noWrap/>
            <w:vAlign w:val="center"/>
            <w:hideMark/>
          </w:tcPr>
          <w:p w14:paraId="212A2B1E" w14:textId="51041C97" w:rsidR="007F7322" w:rsidRPr="00E20D21" w:rsidRDefault="007F7322" w:rsidP="007F7322">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5A3801" w:rsidRPr="00E20D21" w14:paraId="1A2DECBE" w14:textId="77777777" w:rsidTr="00E40986">
        <w:trPr>
          <w:trHeight w:val="257"/>
        </w:trPr>
        <w:tc>
          <w:tcPr>
            <w:tcW w:w="2353" w:type="pct"/>
            <w:tcBorders>
              <w:top w:val="nil"/>
              <w:left w:val="nil"/>
              <w:bottom w:val="nil"/>
              <w:right w:val="nil"/>
            </w:tcBorders>
            <w:shd w:val="clear" w:color="auto" w:fill="auto"/>
            <w:noWrap/>
            <w:vAlign w:val="center"/>
            <w:hideMark/>
          </w:tcPr>
          <w:p w14:paraId="7FDD3494" w14:textId="37C0939C"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Ativos não financ</w:t>
            </w:r>
            <w:r w:rsidR="00962994" w:rsidRPr="00E20D21">
              <w:rPr>
                <w:rFonts w:ascii="CAIXA Std Book" w:hAnsi="CAIXA Std Book" w:cs="MS Gothic"/>
                <w:color w:val="005CA9"/>
                <w:sz w:val="18"/>
                <w:szCs w:val="18"/>
              </w:rPr>
              <w:t>eiros</w:t>
            </w:r>
            <w:r w:rsidRPr="00E20D21">
              <w:rPr>
                <w:rFonts w:ascii="CAIXA Std Book" w:hAnsi="CAIXA Std Book" w:cs="MS Gothic"/>
                <w:color w:val="005CA9"/>
                <w:sz w:val="18"/>
                <w:szCs w:val="18"/>
              </w:rPr>
              <w:t xml:space="preserve"> mantidos p</w:t>
            </w:r>
            <w:r w:rsidR="00962994" w:rsidRPr="00E20D21">
              <w:rPr>
                <w:rFonts w:ascii="CAIXA Std Book" w:hAnsi="CAIXA Std Book" w:cs="MS Gothic"/>
                <w:color w:val="005CA9"/>
                <w:sz w:val="18"/>
                <w:szCs w:val="18"/>
              </w:rPr>
              <w:t>ara</w:t>
            </w:r>
            <w:r w:rsidRPr="00E20D21">
              <w:rPr>
                <w:rFonts w:ascii="CAIXA Std Book" w:hAnsi="CAIXA Std Book" w:cs="MS Gothic"/>
                <w:color w:val="005CA9"/>
                <w:sz w:val="18"/>
                <w:szCs w:val="18"/>
              </w:rPr>
              <w:t xml:space="preserve"> venda e mat</w:t>
            </w:r>
            <w:r w:rsidR="002031B7" w:rsidRPr="00E20D21">
              <w:rPr>
                <w:rFonts w:ascii="CAIXA Std Book" w:hAnsi="CAIXA Std Book" w:cs="MS Gothic"/>
                <w:color w:val="005CA9"/>
                <w:sz w:val="18"/>
                <w:szCs w:val="18"/>
              </w:rPr>
              <w:t>erial</w:t>
            </w:r>
            <w:r w:rsidRPr="00E20D21">
              <w:rPr>
                <w:rFonts w:ascii="CAIXA Std Book" w:hAnsi="CAIXA Std Book" w:cs="MS Gothic"/>
                <w:color w:val="005CA9"/>
                <w:sz w:val="18"/>
                <w:szCs w:val="18"/>
              </w:rPr>
              <w:t xml:space="preserve"> de estoque (b)</w:t>
            </w:r>
            <w:r w:rsidR="004E18CD" w:rsidRPr="00E20D21">
              <w:rPr>
                <w:rFonts w:ascii="CAIXA Std Book" w:hAnsi="CAIXA Std Book" w:cs="MS Gothic"/>
                <w:color w:val="005CA9"/>
                <w:sz w:val="18"/>
                <w:szCs w:val="18"/>
              </w:rPr>
              <w:t xml:space="preserve"> (</w:t>
            </w:r>
            <w:r w:rsidR="00395B32" w:rsidRPr="00E20D21">
              <w:rPr>
                <w:rFonts w:ascii="CAIXA Std Book" w:hAnsi="CAIXA Std Book" w:cs="MS Gothic"/>
                <w:color w:val="005CA9"/>
                <w:sz w:val="18"/>
                <w:szCs w:val="18"/>
              </w:rPr>
              <w:t>1</w:t>
            </w:r>
            <w:r w:rsidR="004E18CD" w:rsidRPr="00E20D21">
              <w:rPr>
                <w:rFonts w:ascii="CAIXA Std Book" w:hAnsi="CAIXA Std Book" w:cs="MS Gothic"/>
                <w:color w:val="005CA9"/>
                <w:sz w:val="18"/>
                <w:szCs w:val="18"/>
              </w:rPr>
              <w:t>)</w:t>
            </w:r>
          </w:p>
        </w:tc>
        <w:tc>
          <w:tcPr>
            <w:tcW w:w="661" w:type="pct"/>
            <w:tcBorders>
              <w:top w:val="nil"/>
              <w:left w:val="nil"/>
              <w:bottom w:val="nil"/>
              <w:right w:val="nil"/>
            </w:tcBorders>
            <w:shd w:val="clear" w:color="auto" w:fill="auto"/>
            <w:noWrap/>
            <w:vAlign w:val="center"/>
          </w:tcPr>
          <w:p w14:paraId="6436FDBC" w14:textId="0033D095" w:rsidR="005A3801" w:rsidRPr="00E20D21" w:rsidRDefault="00B90B9C" w:rsidP="00B90B9C">
            <w:pPr>
              <w:jc w:val="right"/>
              <w:rPr>
                <w:rFonts w:ascii="CAIXA Std Book" w:hAnsi="CAIXA Std Book" w:cs="MS Gothic"/>
                <w:color w:val="005CA9"/>
                <w:sz w:val="18"/>
                <w:szCs w:val="18"/>
              </w:rPr>
            </w:pPr>
            <w:r w:rsidRPr="00E20D21">
              <w:rPr>
                <w:rFonts w:ascii="CAIXA Std Book" w:hAnsi="CAIXA Std Book" w:cs="Arial"/>
                <w:color w:val="005CA9"/>
                <w:sz w:val="18"/>
                <w:szCs w:val="18"/>
              </w:rPr>
              <w:t>5.701.669</w:t>
            </w:r>
          </w:p>
        </w:tc>
        <w:tc>
          <w:tcPr>
            <w:tcW w:w="662" w:type="pct"/>
            <w:tcBorders>
              <w:top w:val="nil"/>
              <w:left w:val="nil"/>
              <w:bottom w:val="nil"/>
              <w:right w:val="nil"/>
            </w:tcBorders>
            <w:shd w:val="clear" w:color="auto" w:fill="auto"/>
            <w:noWrap/>
            <w:vAlign w:val="center"/>
          </w:tcPr>
          <w:p w14:paraId="2CB10BC3" w14:textId="1E343627"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4.758.230</w:t>
            </w:r>
          </w:p>
        </w:tc>
        <w:tc>
          <w:tcPr>
            <w:tcW w:w="661" w:type="pct"/>
            <w:tcBorders>
              <w:top w:val="nil"/>
              <w:left w:val="nil"/>
              <w:bottom w:val="nil"/>
              <w:right w:val="nil"/>
            </w:tcBorders>
            <w:shd w:val="clear" w:color="auto" w:fill="auto"/>
            <w:noWrap/>
            <w:vAlign w:val="center"/>
          </w:tcPr>
          <w:p w14:paraId="1F1CF1FD" w14:textId="1DBDCC6F" w:rsidR="005A3801" w:rsidRPr="00E20D21" w:rsidRDefault="009E4FEE" w:rsidP="00C70C16">
            <w:pPr>
              <w:jc w:val="right"/>
              <w:rPr>
                <w:rFonts w:ascii="CAIXA Std Book" w:hAnsi="CAIXA Std Book" w:cs="MS Gothic"/>
                <w:color w:val="005CA9"/>
                <w:sz w:val="18"/>
                <w:szCs w:val="18"/>
              </w:rPr>
            </w:pPr>
            <w:r w:rsidRPr="00E20D21">
              <w:rPr>
                <w:rFonts w:ascii="CAIXA Std Book" w:hAnsi="CAIXA Std Book" w:cs="Arial"/>
                <w:color w:val="005CA9"/>
                <w:sz w:val="18"/>
                <w:szCs w:val="18"/>
              </w:rPr>
              <w:t>5.701.669</w:t>
            </w:r>
          </w:p>
        </w:tc>
        <w:tc>
          <w:tcPr>
            <w:tcW w:w="662" w:type="pct"/>
            <w:tcBorders>
              <w:top w:val="nil"/>
              <w:left w:val="nil"/>
              <w:bottom w:val="nil"/>
              <w:right w:val="nil"/>
            </w:tcBorders>
            <w:shd w:val="clear" w:color="auto" w:fill="auto"/>
            <w:noWrap/>
            <w:vAlign w:val="center"/>
          </w:tcPr>
          <w:p w14:paraId="347C2897" w14:textId="45E15741"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4.758.230</w:t>
            </w:r>
          </w:p>
        </w:tc>
      </w:tr>
      <w:tr w:rsidR="005A3801" w:rsidRPr="00E20D21" w14:paraId="08307A3C" w14:textId="77777777" w:rsidTr="00E40986">
        <w:trPr>
          <w:trHeight w:val="257"/>
        </w:trPr>
        <w:tc>
          <w:tcPr>
            <w:tcW w:w="2353" w:type="pct"/>
            <w:tcBorders>
              <w:top w:val="nil"/>
              <w:left w:val="nil"/>
              <w:bottom w:val="nil"/>
              <w:right w:val="nil"/>
            </w:tcBorders>
            <w:shd w:val="clear" w:color="auto" w:fill="auto"/>
            <w:noWrap/>
            <w:vAlign w:val="center"/>
            <w:hideMark/>
          </w:tcPr>
          <w:p w14:paraId="249A698A" w14:textId="77777777"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Relações interfinanceiras e interdependências</w:t>
            </w:r>
          </w:p>
        </w:tc>
        <w:tc>
          <w:tcPr>
            <w:tcW w:w="661" w:type="pct"/>
            <w:tcBorders>
              <w:top w:val="nil"/>
              <w:left w:val="nil"/>
              <w:bottom w:val="nil"/>
              <w:right w:val="nil"/>
            </w:tcBorders>
            <w:shd w:val="clear" w:color="auto" w:fill="auto"/>
            <w:noWrap/>
            <w:vAlign w:val="center"/>
          </w:tcPr>
          <w:p w14:paraId="52CFA3AE" w14:textId="41207E43" w:rsidR="005A3801" w:rsidRPr="00E20D21" w:rsidRDefault="00B90B9C" w:rsidP="00B90B9C">
            <w:pPr>
              <w:jc w:val="right"/>
              <w:rPr>
                <w:rFonts w:ascii="CAIXA Std Book" w:hAnsi="CAIXA Std Book" w:cs="MS Gothic"/>
                <w:color w:val="005CA9"/>
                <w:sz w:val="18"/>
                <w:szCs w:val="18"/>
              </w:rPr>
            </w:pPr>
            <w:r w:rsidRPr="00E20D21">
              <w:rPr>
                <w:rFonts w:ascii="CAIXA Std Book" w:hAnsi="CAIXA Std Book" w:cs="Arial"/>
                <w:color w:val="005CA9"/>
                <w:sz w:val="18"/>
                <w:szCs w:val="18"/>
              </w:rPr>
              <w:t>1.128.609</w:t>
            </w:r>
          </w:p>
        </w:tc>
        <w:tc>
          <w:tcPr>
            <w:tcW w:w="662" w:type="pct"/>
            <w:tcBorders>
              <w:top w:val="nil"/>
              <w:left w:val="nil"/>
              <w:bottom w:val="nil"/>
              <w:right w:val="nil"/>
            </w:tcBorders>
            <w:shd w:val="clear" w:color="auto" w:fill="auto"/>
            <w:noWrap/>
            <w:vAlign w:val="center"/>
          </w:tcPr>
          <w:p w14:paraId="02C72E2B" w14:textId="424303DE"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1.287.041</w:t>
            </w:r>
          </w:p>
        </w:tc>
        <w:tc>
          <w:tcPr>
            <w:tcW w:w="661" w:type="pct"/>
            <w:tcBorders>
              <w:top w:val="nil"/>
              <w:left w:val="nil"/>
              <w:bottom w:val="nil"/>
              <w:right w:val="nil"/>
            </w:tcBorders>
            <w:shd w:val="clear" w:color="auto" w:fill="auto"/>
            <w:noWrap/>
            <w:vAlign w:val="center"/>
          </w:tcPr>
          <w:p w14:paraId="2E42E6F0" w14:textId="01512643" w:rsidR="005A3801" w:rsidRPr="00E20D21" w:rsidRDefault="009E4FEE" w:rsidP="00C70C16">
            <w:pPr>
              <w:jc w:val="right"/>
              <w:rPr>
                <w:rFonts w:ascii="CAIXA Std Book" w:hAnsi="CAIXA Std Book" w:cs="MS Gothic"/>
                <w:color w:val="005CA9"/>
                <w:sz w:val="18"/>
                <w:szCs w:val="18"/>
              </w:rPr>
            </w:pPr>
            <w:r w:rsidRPr="00E20D21">
              <w:rPr>
                <w:rFonts w:ascii="CAIXA Std Book" w:hAnsi="CAIXA Std Book" w:cs="Arial"/>
                <w:color w:val="005CA9"/>
                <w:sz w:val="18"/>
                <w:szCs w:val="18"/>
              </w:rPr>
              <w:t>1.128.609</w:t>
            </w:r>
          </w:p>
        </w:tc>
        <w:tc>
          <w:tcPr>
            <w:tcW w:w="662" w:type="pct"/>
            <w:tcBorders>
              <w:top w:val="nil"/>
              <w:left w:val="nil"/>
              <w:bottom w:val="nil"/>
              <w:right w:val="nil"/>
            </w:tcBorders>
            <w:shd w:val="clear" w:color="auto" w:fill="auto"/>
            <w:noWrap/>
            <w:vAlign w:val="center"/>
          </w:tcPr>
          <w:p w14:paraId="57A24B52" w14:textId="73A59E20"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1.287.041</w:t>
            </w:r>
          </w:p>
        </w:tc>
      </w:tr>
      <w:tr w:rsidR="005A3801" w:rsidRPr="00E20D21" w14:paraId="44DCEA9F" w14:textId="77777777" w:rsidTr="00E40986">
        <w:trPr>
          <w:trHeight w:val="257"/>
        </w:trPr>
        <w:tc>
          <w:tcPr>
            <w:tcW w:w="2353" w:type="pct"/>
            <w:tcBorders>
              <w:top w:val="nil"/>
              <w:left w:val="nil"/>
              <w:bottom w:val="nil"/>
              <w:right w:val="nil"/>
            </w:tcBorders>
            <w:shd w:val="clear" w:color="auto" w:fill="auto"/>
            <w:noWrap/>
            <w:vAlign w:val="center"/>
            <w:hideMark/>
          </w:tcPr>
          <w:p w14:paraId="46CE036C" w14:textId="77777777"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Antecipações salariais e outros adiantamentos</w:t>
            </w:r>
          </w:p>
        </w:tc>
        <w:tc>
          <w:tcPr>
            <w:tcW w:w="661" w:type="pct"/>
            <w:tcBorders>
              <w:top w:val="nil"/>
              <w:left w:val="nil"/>
              <w:bottom w:val="nil"/>
              <w:right w:val="nil"/>
            </w:tcBorders>
            <w:shd w:val="clear" w:color="auto" w:fill="auto"/>
            <w:noWrap/>
            <w:vAlign w:val="center"/>
          </w:tcPr>
          <w:p w14:paraId="686625D7" w14:textId="780ACC4C" w:rsidR="005A3801" w:rsidRPr="00E20D21" w:rsidRDefault="00B90B9C" w:rsidP="00B90B9C">
            <w:pPr>
              <w:jc w:val="right"/>
              <w:rPr>
                <w:rFonts w:ascii="CAIXA Std Book" w:hAnsi="CAIXA Std Book" w:cs="MS Gothic"/>
                <w:color w:val="005CA9"/>
                <w:sz w:val="18"/>
                <w:szCs w:val="18"/>
              </w:rPr>
            </w:pPr>
            <w:r w:rsidRPr="00E20D21">
              <w:rPr>
                <w:rFonts w:ascii="CAIXA Std Book" w:hAnsi="CAIXA Std Book" w:cs="Arial"/>
                <w:color w:val="005CA9"/>
                <w:sz w:val="18"/>
                <w:szCs w:val="18"/>
              </w:rPr>
              <w:t>1.704.555</w:t>
            </w:r>
          </w:p>
        </w:tc>
        <w:tc>
          <w:tcPr>
            <w:tcW w:w="662" w:type="pct"/>
            <w:tcBorders>
              <w:top w:val="nil"/>
              <w:left w:val="nil"/>
              <w:bottom w:val="nil"/>
              <w:right w:val="nil"/>
            </w:tcBorders>
            <w:shd w:val="clear" w:color="auto" w:fill="auto"/>
            <w:noWrap/>
            <w:vAlign w:val="center"/>
          </w:tcPr>
          <w:p w14:paraId="31C6A09E" w14:textId="0F2059FC"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1.211.356</w:t>
            </w:r>
          </w:p>
        </w:tc>
        <w:tc>
          <w:tcPr>
            <w:tcW w:w="661" w:type="pct"/>
            <w:tcBorders>
              <w:top w:val="nil"/>
              <w:left w:val="nil"/>
              <w:bottom w:val="nil"/>
              <w:right w:val="nil"/>
            </w:tcBorders>
            <w:shd w:val="clear" w:color="auto" w:fill="auto"/>
            <w:noWrap/>
            <w:vAlign w:val="center"/>
          </w:tcPr>
          <w:p w14:paraId="2C0C9C60" w14:textId="20750941" w:rsidR="005A3801" w:rsidRPr="00E20D21" w:rsidRDefault="009E4FEE" w:rsidP="00C70C16">
            <w:pPr>
              <w:jc w:val="right"/>
              <w:rPr>
                <w:rFonts w:ascii="CAIXA Std Book" w:hAnsi="CAIXA Std Book" w:cs="MS Gothic"/>
                <w:color w:val="005CA9"/>
                <w:sz w:val="18"/>
                <w:szCs w:val="18"/>
              </w:rPr>
            </w:pPr>
            <w:r w:rsidRPr="00E20D21">
              <w:rPr>
                <w:rFonts w:ascii="CAIXA Std Book" w:hAnsi="CAIXA Std Book" w:cs="Arial"/>
                <w:color w:val="005CA9"/>
                <w:sz w:val="18"/>
                <w:szCs w:val="18"/>
              </w:rPr>
              <w:t>1.704.903</w:t>
            </w:r>
          </w:p>
        </w:tc>
        <w:tc>
          <w:tcPr>
            <w:tcW w:w="662" w:type="pct"/>
            <w:tcBorders>
              <w:top w:val="nil"/>
              <w:left w:val="nil"/>
              <w:bottom w:val="nil"/>
              <w:right w:val="nil"/>
            </w:tcBorders>
            <w:shd w:val="clear" w:color="auto" w:fill="auto"/>
            <w:noWrap/>
            <w:vAlign w:val="center"/>
          </w:tcPr>
          <w:p w14:paraId="7AD7D395" w14:textId="0791797E"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1.211.602</w:t>
            </w:r>
          </w:p>
        </w:tc>
      </w:tr>
      <w:tr w:rsidR="005A3801" w:rsidRPr="00E20D21" w14:paraId="09B2411B" w14:textId="77777777" w:rsidTr="00E40986">
        <w:trPr>
          <w:trHeight w:val="257"/>
        </w:trPr>
        <w:tc>
          <w:tcPr>
            <w:tcW w:w="2353" w:type="pct"/>
            <w:tcBorders>
              <w:top w:val="nil"/>
              <w:left w:val="nil"/>
              <w:bottom w:val="nil"/>
              <w:right w:val="nil"/>
            </w:tcBorders>
            <w:shd w:val="clear" w:color="auto" w:fill="auto"/>
            <w:noWrap/>
            <w:vAlign w:val="center"/>
            <w:hideMark/>
          </w:tcPr>
          <w:p w14:paraId="6A21BA63" w14:textId="1DE33E1A"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Valores a apropriar (</w:t>
            </w:r>
            <w:r w:rsidR="00395B32" w:rsidRPr="00E20D21">
              <w:rPr>
                <w:rFonts w:ascii="CAIXA Std Book" w:hAnsi="CAIXA Std Book" w:cs="MS Gothic"/>
                <w:color w:val="005CA9"/>
                <w:sz w:val="18"/>
                <w:szCs w:val="18"/>
              </w:rPr>
              <w:t>2</w:t>
            </w:r>
            <w:r w:rsidRPr="00E20D21">
              <w:rPr>
                <w:rFonts w:ascii="CAIXA Std Book" w:hAnsi="CAIXA Std Book" w:cs="MS Gothic"/>
                <w:color w:val="005CA9"/>
                <w:sz w:val="18"/>
                <w:szCs w:val="18"/>
              </w:rPr>
              <w:t>)</w:t>
            </w:r>
          </w:p>
        </w:tc>
        <w:tc>
          <w:tcPr>
            <w:tcW w:w="661" w:type="pct"/>
            <w:tcBorders>
              <w:top w:val="nil"/>
              <w:left w:val="nil"/>
              <w:bottom w:val="nil"/>
              <w:right w:val="nil"/>
            </w:tcBorders>
            <w:shd w:val="clear" w:color="auto" w:fill="auto"/>
            <w:noWrap/>
            <w:vAlign w:val="center"/>
          </w:tcPr>
          <w:p w14:paraId="2AF865FF" w14:textId="7C1E3F58" w:rsidR="005A3801" w:rsidRPr="00E20D21" w:rsidRDefault="00B90B9C" w:rsidP="00B90B9C">
            <w:pPr>
              <w:jc w:val="right"/>
              <w:rPr>
                <w:rFonts w:ascii="CAIXA Std Book" w:hAnsi="CAIXA Std Book" w:cs="Arial"/>
                <w:color w:val="005CA9"/>
                <w:sz w:val="18"/>
                <w:szCs w:val="18"/>
              </w:rPr>
            </w:pPr>
            <w:r w:rsidRPr="00E20D21">
              <w:rPr>
                <w:rFonts w:ascii="CAIXA Std Book" w:hAnsi="CAIXA Std Book" w:cs="Arial"/>
                <w:color w:val="005CA9"/>
                <w:sz w:val="18"/>
                <w:szCs w:val="18"/>
              </w:rPr>
              <w:t>986.296</w:t>
            </w:r>
          </w:p>
        </w:tc>
        <w:tc>
          <w:tcPr>
            <w:tcW w:w="662" w:type="pct"/>
            <w:tcBorders>
              <w:top w:val="nil"/>
              <w:left w:val="nil"/>
              <w:bottom w:val="nil"/>
              <w:right w:val="nil"/>
            </w:tcBorders>
            <w:shd w:val="clear" w:color="auto" w:fill="auto"/>
            <w:noWrap/>
            <w:vAlign w:val="center"/>
          </w:tcPr>
          <w:p w14:paraId="166DAF0C" w14:textId="226A1C64"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1.180.593</w:t>
            </w:r>
          </w:p>
        </w:tc>
        <w:tc>
          <w:tcPr>
            <w:tcW w:w="661" w:type="pct"/>
            <w:tcBorders>
              <w:top w:val="nil"/>
              <w:left w:val="nil"/>
              <w:bottom w:val="nil"/>
              <w:right w:val="nil"/>
            </w:tcBorders>
            <w:shd w:val="clear" w:color="auto" w:fill="auto"/>
            <w:noWrap/>
            <w:vAlign w:val="center"/>
          </w:tcPr>
          <w:p w14:paraId="08E116CF" w14:textId="62DDE292" w:rsidR="005A3801" w:rsidRPr="00E20D21" w:rsidRDefault="009E4FEE" w:rsidP="00C70C16">
            <w:pPr>
              <w:jc w:val="right"/>
              <w:rPr>
                <w:rFonts w:ascii="CAIXA Std Book" w:hAnsi="CAIXA Std Book" w:cs="MS Gothic"/>
                <w:color w:val="005CA9"/>
                <w:sz w:val="18"/>
                <w:szCs w:val="18"/>
              </w:rPr>
            </w:pPr>
            <w:r w:rsidRPr="00E20D21">
              <w:rPr>
                <w:rFonts w:ascii="CAIXA Std Book" w:hAnsi="CAIXA Std Book" w:cs="Arial"/>
                <w:color w:val="005CA9"/>
                <w:sz w:val="18"/>
                <w:szCs w:val="18"/>
              </w:rPr>
              <w:t>986.296</w:t>
            </w:r>
          </w:p>
        </w:tc>
        <w:tc>
          <w:tcPr>
            <w:tcW w:w="662" w:type="pct"/>
            <w:tcBorders>
              <w:top w:val="nil"/>
              <w:left w:val="nil"/>
              <w:bottom w:val="nil"/>
              <w:right w:val="nil"/>
            </w:tcBorders>
            <w:shd w:val="clear" w:color="auto" w:fill="auto"/>
            <w:noWrap/>
            <w:vAlign w:val="center"/>
          </w:tcPr>
          <w:p w14:paraId="3E34C68F" w14:textId="45799C91"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1.180.593</w:t>
            </w:r>
          </w:p>
        </w:tc>
      </w:tr>
      <w:tr w:rsidR="005A3801" w:rsidRPr="00E20D21" w14:paraId="7B9D9D2E" w14:textId="77777777" w:rsidTr="00E40986">
        <w:trPr>
          <w:trHeight w:val="257"/>
        </w:trPr>
        <w:tc>
          <w:tcPr>
            <w:tcW w:w="2353" w:type="pct"/>
            <w:tcBorders>
              <w:top w:val="nil"/>
              <w:left w:val="nil"/>
              <w:bottom w:val="nil"/>
              <w:right w:val="nil"/>
            </w:tcBorders>
            <w:shd w:val="clear" w:color="auto" w:fill="auto"/>
            <w:noWrap/>
            <w:vAlign w:val="center"/>
          </w:tcPr>
          <w:p w14:paraId="44ECA689" w14:textId="22B3A258"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Dividendos e JCP a receber</w:t>
            </w:r>
          </w:p>
        </w:tc>
        <w:tc>
          <w:tcPr>
            <w:tcW w:w="661" w:type="pct"/>
            <w:tcBorders>
              <w:top w:val="nil"/>
              <w:left w:val="nil"/>
              <w:bottom w:val="nil"/>
              <w:right w:val="nil"/>
            </w:tcBorders>
            <w:shd w:val="clear" w:color="auto" w:fill="auto"/>
            <w:noWrap/>
            <w:vAlign w:val="center"/>
          </w:tcPr>
          <w:p w14:paraId="45BDA4AB" w14:textId="1FB1740B" w:rsidR="005A3801" w:rsidRPr="00E20D21" w:rsidRDefault="00B90B9C" w:rsidP="00B90B9C">
            <w:pPr>
              <w:jc w:val="right"/>
              <w:rPr>
                <w:rFonts w:ascii="CAIXA Std Book" w:hAnsi="CAIXA Std Book" w:cs="Arial"/>
                <w:color w:val="005CA9"/>
                <w:sz w:val="18"/>
                <w:szCs w:val="18"/>
              </w:rPr>
            </w:pPr>
            <w:r w:rsidRPr="00E20D21">
              <w:rPr>
                <w:rFonts w:ascii="CAIXA Std Book" w:hAnsi="CAIXA Std Book" w:cs="Arial"/>
                <w:color w:val="005CA9"/>
                <w:sz w:val="18"/>
                <w:szCs w:val="18"/>
              </w:rPr>
              <w:t>695.100</w:t>
            </w:r>
          </w:p>
        </w:tc>
        <w:tc>
          <w:tcPr>
            <w:tcW w:w="662" w:type="pct"/>
            <w:tcBorders>
              <w:top w:val="nil"/>
              <w:left w:val="nil"/>
              <w:bottom w:val="nil"/>
              <w:right w:val="nil"/>
            </w:tcBorders>
            <w:shd w:val="clear" w:color="auto" w:fill="auto"/>
            <w:noWrap/>
            <w:vAlign w:val="center"/>
          </w:tcPr>
          <w:p w14:paraId="1763183A" w14:textId="50A33A56" w:rsidR="005A3801" w:rsidRPr="00E20D21" w:rsidRDefault="005A3801" w:rsidP="005A3801">
            <w:pPr>
              <w:jc w:val="right"/>
              <w:rPr>
                <w:rFonts w:ascii="CAIXA Std Book" w:hAnsi="CAIXA Std Book" w:cs="Arial"/>
                <w:color w:val="005CA9"/>
                <w:sz w:val="18"/>
                <w:szCs w:val="18"/>
              </w:rPr>
            </w:pPr>
            <w:r w:rsidRPr="00E20D21">
              <w:rPr>
                <w:rFonts w:ascii="CAIXA Std Book" w:hAnsi="CAIXA Std Book" w:cs="Arial"/>
                <w:color w:val="005CA9"/>
                <w:sz w:val="18"/>
                <w:szCs w:val="18"/>
              </w:rPr>
              <w:t>1.358.422</w:t>
            </w:r>
          </w:p>
        </w:tc>
        <w:tc>
          <w:tcPr>
            <w:tcW w:w="661" w:type="pct"/>
            <w:tcBorders>
              <w:top w:val="nil"/>
              <w:left w:val="nil"/>
              <w:bottom w:val="nil"/>
              <w:right w:val="nil"/>
            </w:tcBorders>
            <w:shd w:val="clear" w:color="auto" w:fill="auto"/>
            <w:noWrap/>
            <w:vAlign w:val="center"/>
          </w:tcPr>
          <w:p w14:paraId="4FA53652" w14:textId="3035C259" w:rsidR="005A3801" w:rsidRPr="00E20D21" w:rsidRDefault="009E4FEE" w:rsidP="00C70C16">
            <w:pPr>
              <w:jc w:val="right"/>
              <w:rPr>
                <w:rFonts w:ascii="CAIXA Std Book" w:hAnsi="CAIXA Std Book" w:cs="Arial"/>
                <w:color w:val="005CA9"/>
                <w:sz w:val="18"/>
                <w:szCs w:val="18"/>
              </w:rPr>
            </w:pPr>
            <w:r w:rsidRPr="00E20D21">
              <w:rPr>
                <w:rFonts w:ascii="CAIXA Std Book" w:hAnsi="CAIXA Std Book" w:cs="Arial"/>
                <w:color w:val="005CA9"/>
                <w:sz w:val="18"/>
                <w:szCs w:val="18"/>
              </w:rPr>
              <w:t>351.950</w:t>
            </w:r>
          </w:p>
        </w:tc>
        <w:tc>
          <w:tcPr>
            <w:tcW w:w="662" w:type="pct"/>
            <w:tcBorders>
              <w:top w:val="nil"/>
              <w:left w:val="nil"/>
              <w:bottom w:val="nil"/>
              <w:right w:val="nil"/>
            </w:tcBorders>
            <w:shd w:val="clear" w:color="auto" w:fill="auto"/>
            <w:noWrap/>
            <w:vAlign w:val="center"/>
          </w:tcPr>
          <w:p w14:paraId="1021CC0C" w14:textId="51B1953A" w:rsidR="005A3801" w:rsidRPr="00E20D21" w:rsidRDefault="005A3801" w:rsidP="005A3801">
            <w:pPr>
              <w:jc w:val="right"/>
              <w:rPr>
                <w:rFonts w:ascii="CAIXA Std Book" w:hAnsi="CAIXA Std Book" w:cs="Arial"/>
                <w:color w:val="005CA9"/>
                <w:sz w:val="18"/>
                <w:szCs w:val="18"/>
              </w:rPr>
            </w:pPr>
            <w:r w:rsidRPr="00E20D21">
              <w:rPr>
                <w:rFonts w:ascii="CAIXA Std Book" w:hAnsi="CAIXA Std Book" w:cs="Arial"/>
                <w:color w:val="005CA9"/>
                <w:sz w:val="18"/>
                <w:szCs w:val="18"/>
              </w:rPr>
              <w:t>621.236</w:t>
            </w:r>
          </w:p>
        </w:tc>
      </w:tr>
      <w:tr w:rsidR="005A3801" w:rsidRPr="00E20D21" w14:paraId="6D1DCEAE" w14:textId="77777777" w:rsidTr="00E40986">
        <w:trPr>
          <w:trHeight w:val="257"/>
        </w:trPr>
        <w:tc>
          <w:tcPr>
            <w:tcW w:w="2353" w:type="pct"/>
            <w:tcBorders>
              <w:top w:val="nil"/>
              <w:left w:val="nil"/>
              <w:bottom w:val="nil"/>
              <w:right w:val="nil"/>
            </w:tcBorders>
            <w:shd w:val="clear" w:color="auto" w:fill="auto"/>
            <w:noWrap/>
            <w:vAlign w:val="center"/>
          </w:tcPr>
          <w:p w14:paraId="16786488" w14:textId="67E753A6"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Valores a receber – FND (</w:t>
            </w:r>
            <w:r w:rsidR="00395B32" w:rsidRPr="00E20D21">
              <w:rPr>
                <w:rFonts w:ascii="CAIXA Std Book" w:hAnsi="CAIXA Std Book" w:cs="MS Gothic"/>
                <w:color w:val="005CA9"/>
                <w:sz w:val="18"/>
                <w:szCs w:val="18"/>
              </w:rPr>
              <w:t>3</w:t>
            </w:r>
            <w:r w:rsidRPr="00E20D21">
              <w:rPr>
                <w:rFonts w:ascii="CAIXA Std Book" w:hAnsi="CAIXA Std Book" w:cs="MS Gothic"/>
                <w:color w:val="005CA9"/>
                <w:sz w:val="18"/>
                <w:szCs w:val="18"/>
              </w:rPr>
              <w:t>)</w:t>
            </w:r>
          </w:p>
        </w:tc>
        <w:tc>
          <w:tcPr>
            <w:tcW w:w="661" w:type="pct"/>
            <w:tcBorders>
              <w:top w:val="nil"/>
              <w:left w:val="nil"/>
              <w:bottom w:val="nil"/>
              <w:right w:val="nil"/>
            </w:tcBorders>
            <w:shd w:val="clear" w:color="auto" w:fill="auto"/>
            <w:noWrap/>
            <w:vAlign w:val="center"/>
          </w:tcPr>
          <w:p w14:paraId="23B55FF8" w14:textId="01B9FA2D" w:rsidR="005A3801" w:rsidRPr="00E20D21" w:rsidRDefault="00B90B9C" w:rsidP="00B90B9C">
            <w:pPr>
              <w:jc w:val="right"/>
              <w:rPr>
                <w:rFonts w:ascii="CAIXA Std Book" w:hAnsi="CAIXA Std Book" w:cs="MS Gothic"/>
                <w:color w:val="005CA9"/>
                <w:sz w:val="18"/>
                <w:szCs w:val="18"/>
              </w:rPr>
            </w:pPr>
            <w:r w:rsidRPr="00E20D21">
              <w:rPr>
                <w:rFonts w:ascii="CAIXA Std Book" w:hAnsi="CAIXA Std Book" w:cs="Arial"/>
                <w:color w:val="005CA9"/>
                <w:sz w:val="18"/>
                <w:szCs w:val="18"/>
              </w:rPr>
              <w:t>742.751</w:t>
            </w:r>
          </w:p>
        </w:tc>
        <w:tc>
          <w:tcPr>
            <w:tcW w:w="662" w:type="pct"/>
            <w:tcBorders>
              <w:top w:val="nil"/>
              <w:left w:val="nil"/>
              <w:bottom w:val="nil"/>
              <w:right w:val="nil"/>
            </w:tcBorders>
            <w:shd w:val="clear" w:color="auto" w:fill="auto"/>
            <w:noWrap/>
            <w:vAlign w:val="center"/>
          </w:tcPr>
          <w:p w14:paraId="002F672B" w14:textId="5BABFEBC"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723.031</w:t>
            </w:r>
          </w:p>
        </w:tc>
        <w:tc>
          <w:tcPr>
            <w:tcW w:w="661" w:type="pct"/>
            <w:tcBorders>
              <w:top w:val="nil"/>
              <w:left w:val="nil"/>
              <w:bottom w:val="nil"/>
              <w:right w:val="nil"/>
            </w:tcBorders>
            <w:shd w:val="clear" w:color="auto" w:fill="auto"/>
            <w:noWrap/>
            <w:vAlign w:val="center"/>
          </w:tcPr>
          <w:p w14:paraId="35958755" w14:textId="1AA85F64" w:rsidR="005A3801" w:rsidRPr="00E20D21" w:rsidRDefault="009E4FEE" w:rsidP="00C70C16">
            <w:pPr>
              <w:jc w:val="right"/>
              <w:rPr>
                <w:rFonts w:ascii="CAIXA Std Book" w:hAnsi="CAIXA Std Book" w:cs="MS Gothic"/>
                <w:color w:val="005CA9"/>
                <w:sz w:val="18"/>
                <w:szCs w:val="18"/>
              </w:rPr>
            </w:pPr>
            <w:r w:rsidRPr="00E20D21">
              <w:rPr>
                <w:rFonts w:ascii="CAIXA Std Book" w:hAnsi="CAIXA Std Book" w:cs="Arial"/>
                <w:color w:val="005CA9"/>
                <w:sz w:val="18"/>
                <w:szCs w:val="18"/>
              </w:rPr>
              <w:t>742.751</w:t>
            </w:r>
          </w:p>
        </w:tc>
        <w:tc>
          <w:tcPr>
            <w:tcW w:w="662" w:type="pct"/>
            <w:tcBorders>
              <w:top w:val="nil"/>
              <w:left w:val="nil"/>
              <w:bottom w:val="nil"/>
              <w:right w:val="nil"/>
            </w:tcBorders>
            <w:shd w:val="clear" w:color="auto" w:fill="auto"/>
            <w:noWrap/>
            <w:vAlign w:val="center"/>
          </w:tcPr>
          <w:p w14:paraId="44758FE3" w14:textId="10DC4513"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723.031</w:t>
            </w:r>
          </w:p>
        </w:tc>
      </w:tr>
      <w:tr w:rsidR="005A3801" w:rsidRPr="00E20D21" w14:paraId="261F4AB3" w14:textId="77777777" w:rsidTr="00E40986">
        <w:trPr>
          <w:trHeight w:val="257"/>
        </w:trPr>
        <w:tc>
          <w:tcPr>
            <w:tcW w:w="2353" w:type="pct"/>
            <w:tcBorders>
              <w:top w:val="nil"/>
              <w:left w:val="nil"/>
              <w:bottom w:val="nil"/>
              <w:right w:val="nil"/>
            </w:tcBorders>
            <w:shd w:val="clear" w:color="auto" w:fill="auto"/>
            <w:noWrap/>
            <w:vAlign w:val="center"/>
          </w:tcPr>
          <w:p w14:paraId="2B8ED389" w14:textId="77777777"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Despesas antecipadas</w:t>
            </w:r>
          </w:p>
        </w:tc>
        <w:tc>
          <w:tcPr>
            <w:tcW w:w="661" w:type="pct"/>
            <w:tcBorders>
              <w:top w:val="nil"/>
              <w:left w:val="nil"/>
              <w:bottom w:val="nil"/>
              <w:right w:val="nil"/>
            </w:tcBorders>
            <w:shd w:val="clear" w:color="auto" w:fill="auto"/>
            <w:noWrap/>
            <w:vAlign w:val="center"/>
          </w:tcPr>
          <w:p w14:paraId="2155FF05" w14:textId="024F0AB1" w:rsidR="005A3801" w:rsidRPr="00E20D21" w:rsidRDefault="00B90B9C" w:rsidP="00B90B9C">
            <w:pPr>
              <w:jc w:val="right"/>
              <w:rPr>
                <w:rFonts w:ascii="CAIXA Std Book" w:hAnsi="CAIXA Std Book" w:cs="MS Gothic"/>
                <w:color w:val="005CA9"/>
                <w:sz w:val="18"/>
                <w:szCs w:val="18"/>
              </w:rPr>
            </w:pPr>
            <w:r w:rsidRPr="00E20D21">
              <w:rPr>
                <w:rFonts w:ascii="CAIXA Std Book" w:hAnsi="CAIXA Std Book" w:cs="Arial"/>
                <w:color w:val="005CA9"/>
                <w:sz w:val="18"/>
                <w:szCs w:val="18"/>
              </w:rPr>
              <w:t>225.337</w:t>
            </w:r>
          </w:p>
        </w:tc>
        <w:tc>
          <w:tcPr>
            <w:tcW w:w="662" w:type="pct"/>
            <w:tcBorders>
              <w:top w:val="nil"/>
              <w:left w:val="nil"/>
              <w:bottom w:val="nil"/>
              <w:right w:val="nil"/>
            </w:tcBorders>
            <w:shd w:val="clear" w:color="auto" w:fill="auto"/>
            <w:noWrap/>
            <w:vAlign w:val="center"/>
          </w:tcPr>
          <w:p w14:paraId="7B252AE5" w14:textId="06342EFA"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140.929</w:t>
            </w:r>
          </w:p>
        </w:tc>
        <w:tc>
          <w:tcPr>
            <w:tcW w:w="661" w:type="pct"/>
            <w:tcBorders>
              <w:top w:val="nil"/>
              <w:left w:val="nil"/>
              <w:bottom w:val="nil"/>
              <w:right w:val="nil"/>
            </w:tcBorders>
            <w:shd w:val="clear" w:color="auto" w:fill="auto"/>
            <w:noWrap/>
            <w:vAlign w:val="center"/>
          </w:tcPr>
          <w:p w14:paraId="5BEB895A" w14:textId="2D4A9D5B" w:rsidR="005A3801" w:rsidRPr="00E20D21" w:rsidRDefault="009E4FEE" w:rsidP="00C70C16">
            <w:pPr>
              <w:jc w:val="right"/>
              <w:rPr>
                <w:rFonts w:ascii="CAIXA Std Book" w:hAnsi="CAIXA Std Book" w:cs="MS Gothic"/>
                <w:color w:val="005CA9"/>
                <w:sz w:val="18"/>
                <w:szCs w:val="18"/>
              </w:rPr>
            </w:pPr>
            <w:r w:rsidRPr="00E20D21">
              <w:rPr>
                <w:rFonts w:ascii="CAIXA Std Book" w:hAnsi="CAIXA Std Book" w:cs="Arial"/>
                <w:color w:val="005CA9"/>
                <w:sz w:val="18"/>
                <w:szCs w:val="18"/>
              </w:rPr>
              <w:t>226.608</w:t>
            </w:r>
          </w:p>
        </w:tc>
        <w:tc>
          <w:tcPr>
            <w:tcW w:w="662" w:type="pct"/>
            <w:tcBorders>
              <w:top w:val="nil"/>
              <w:left w:val="nil"/>
              <w:bottom w:val="nil"/>
              <w:right w:val="nil"/>
            </w:tcBorders>
            <w:shd w:val="clear" w:color="auto" w:fill="auto"/>
            <w:noWrap/>
            <w:vAlign w:val="center"/>
          </w:tcPr>
          <w:p w14:paraId="76012CC4" w14:textId="185D8208"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142.888</w:t>
            </w:r>
          </w:p>
        </w:tc>
      </w:tr>
      <w:tr w:rsidR="005A3801" w:rsidRPr="00E20D21" w14:paraId="051C1309" w14:textId="77777777" w:rsidTr="00E40986">
        <w:trPr>
          <w:trHeight w:val="257"/>
        </w:trPr>
        <w:tc>
          <w:tcPr>
            <w:tcW w:w="2353" w:type="pct"/>
            <w:tcBorders>
              <w:top w:val="nil"/>
              <w:left w:val="nil"/>
              <w:bottom w:val="nil"/>
              <w:right w:val="nil"/>
            </w:tcBorders>
            <w:shd w:val="clear" w:color="auto" w:fill="auto"/>
            <w:noWrap/>
            <w:vAlign w:val="center"/>
            <w:hideMark/>
          </w:tcPr>
          <w:p w14:paraId="1981734C" w14:textId="5714BD75"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Créditos específicos</w:t>
            </w:r>
          </w:p>
        </w:tc>
        <w:tc>
          <w:tcPr>
            <w:tcW w:w="661" w:type="pct"/>
            <w:tcBorders>
              <w:top w:val="nil"/>
              <w:left w:val="nil"/>
              <w:bottom w:val="nil"/>
              <w:right w:val="nil"/>
            </w:tcBorders>
            <w:shd w:val="clear" w:color="auto" w:fill="auto"/>
            <w:noWrap/>
            <w:vAlign w:val="center"/>
          </w:tcPr>
          <w:p w14:paraId="1630DBEA" w14:textId="6D81B9BF" w:rsidR="005A3801" w:rsidRPr="00E20D21" w:rsidRDefault="00B90B9C" w:rsidP="00B90B9C">
            <w:pPr>
              <w:jc w:val="right"/>
              <w:rPr>
                <w:rFonts w:ascii="CAIXA Std Book" w:hAnsi="CAIXA Std Book" w:cs="MS Gothic"/>
                <w:color w:val="005CA9"/>
                <w:sz w:val="18"/>
                <w:szCs w:val="18"/>
              </w:rPr>
            </w:pPr>
            <w:r w:rsidRPr="00E20D21">
              <w:rPr>
                <w:rFonts w:ascii="CAIXA Std Book" w:hAnsi="CAIXA Std Book" w:cs="Arial"/>
                <w:color w:val="005CA9"/>
                <w:sz w:val="18"/>
                <w:szCs w:val="18"/>
              </w:rPr>
              <w:t>97.194</w:t>
            </w:r>
          </w:p>
        </w:tc>
        <w:tc>
          <w:tcPr>
            <w:tcW w:w="662" w:type="pct"/>
            <w:tcBorders>
              <w:top w:val="nil"/>
              <w:left w:val="nil"/>
              <w:bottom w:val="nil"/>
              <w:right w:val="nil"/>
            </w:tcBorders>
            <w:shd w:val="clear" w:color="auto" w:fill="auto"/>
            <w:noWrap/>
            <w:vAlign w:val="center"/>
          </w:tcPr>
          <w:p w14:paraId="6B71676A" w14:textId="264A8BF9"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98.814</w:t>
            </w:r>
          </w:p>
        </w:tc>
        <w:tc>
          <w:tcPr>
            <w:tcW w:w="661" w:type="pct"/>
            <w:tcBorders>
              <w:top w:val="nil"/>
              <w:left w:val="nil"/>
              <w:bottom w:val="nil"/>
              <w:right w:val="nil"/>
            </w:tcBorders>
            <w:shd w:val="clear" w:color="auto" w:fill="auto"/>
            <w:noWrap/>
            <w:vAlign w:val="center"/>
          </w:tcPr>
          <w:p w14:paraId="78992B51" w14:textId="26FA452A" w:rsidR="005A3801" w:rsidRPr="00E20D21" w:rsidRDefault="009E4FEE" w:rsidP="00C70C16">
            <w:pPr>
              <w:jc w:val="right"/>
              <w:rPr>
                <w:rFonts w:ascii="CAIXA Std Book" w:hAnsi="CAIXA Std Book" w:cs="MS Gothic"/>
                <w:color w:val="005CA9"/>
                <w:sz w:val="18"/>
                <w:szCs w:val="18"/>
              </w:rPr>
            </w:pPr>
            <w:r w:rsidRPr="00E20D21">
              <w:rPr>
                <w:rFonts w:ascii="CAIXA Std Book" w:hAnsi="CAIXA Std Book" w:cs="Arial"/>
                <w:color w:val="005CA9"/>
                <w:sz w:val="18"/>
                <w:szCs w:val="18"/>
              </w:rPr>
              <w:t>97.194</w:t>
            </w:r>
          </w:p>
        </w:tc>
        <w:tc>
          <w:tcPr>
            <w:tcW w:w="662" w:type="pct"/>
            <w:tcBorders>
              <w:top w:val="nil"/>
              <w:left w:val="nil"/>
              <w:bottom w:val="nil"/>
              <w:right w:val="nil"/>
            </w:tcBorders>
            <w:shd w:val="clear" w:color="auto" w:fill="auto"/>
            <w:noWrap/>
            <w:vAlign w:val="center"/>
          </w:tcPr>
          <w:p w14:paraId="271FAC27" w14:textId="26CB2B9F"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98.814</w:t>
            </w:r>
          </w:p>
        </w:tc>
      </w:tr>
      <w:tr w:rsidR="005A3801" w:rsidRPr="00E20D21" w14:paraId="7AD0EED5" w14:textId="77777777" w:rsidTr="00E40986">
        <w:trPr>
          <w:trHeight w:val="257"/>
        </w:trPr>
        <w:tc>
          <w:tcPr>
            <w:tcW w:w="2353" w:type="pct"/>
            <w:tcBorders>
              <w:top w:val="nil"/>
              <w:left w:val="nil"/>
              <w:bottom w:val="nil"/>
              <w:right w:val="nil"/>
            </w:tcBorders>
            <w:shd w:val="clear" w:color="auto" w:fill="auto"/>
            <w:noWrap/>
            <w:vAlign w:val="center"/>
          </w:tcPr>
          <w:p w14:paraId="211302F5" w14:textId="77777777"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Valores a ressarcir – FGTS</w:t>
            </w:r>
          </w:p>
        </w:tc>
        <w:tc>
          <w:tcPr>
            <w:tcW w:w="661" w:type="pct"/>
            <w:tcBorders>
              <w:top w:val="nil"/>
              <w:left w:val="nil"/>
              <w:bottom w:val="nil"/>
              <w:right w:val="nil"/>
            </w:tcBorders>
            <w:shd w:val="clear" w:color="auto" w:fill="auto"/>
            <w:noWrap/>
            <w:vAlign w:val="center"/>
          </w:tcPr>
          <w:p w14:paraId="71653DCD" w14:textId="6C3A8E65" w:rsidR="005A3801" w:rsidRPr="00E20D21" w:rsidRDefault="00B90B9C" w:rsidP="00B90B9C">
            <w:pPr>
              <w:jc w:val="right"/>
              <w:rPr>
                <w:rFonts w:ascii="CAIXA Std Book" w:hAnsi="CAIXA Std Book" w:cs="MS Gothic"/>
                <w:color w:val="005CA9"/>
                <w:sz w:val="18"/>
                <w:szCs w:val="18"/>
              </w:rPr>
            </w:pPr>
            <w:r w:rsidRPr="00E20D21">
              <w:rPr>
                <w:rFonts w:ascii="CAIXA Std Book" w:hAnsi="CAIXA Std Book" w:cs="Arial"/>
                <w:color w:val="005CA9"/>
                <w:sz w:val="18"/>
                <w:szCs w:val="18"/>
              </w:rPr>
              <w:t>15.048</w:t>
            </w:r>
          </w:p>
        </w:tc>
        <w:tc>
          <w:tcPr>
            <w:tcW w:w="662" w:type="pct"/>
            <w:tcBorders>
              <w:top w:val="nil"/>
              <w:left w:val="nil"/>
              <w:bottom w:val="nil"/>
              <w:right w:val="nil"/>
            </w:tcBorders>
            <w:shd w:val="clear" w:color="auto" w:fill="auto"/>
            <w:noWrap/>
            <w:vAlign w:val="center"/>
          </w:tcPr>
          <w:p w14:paraId="5400E8A4" w14:textId="38698BAF"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33.803</w:t>
            </w:r>
          </w:p>
        </w:tc>
        <w:tc>
          <w:tcPr>
            <w:tcW w:w="661" w:type="pct"/>
            <w:tcBorders>
              <w:top w:val="nil"/>
              <w:left w:val="nil"/>
              <w:bottom w:val="nil"/>
              <w:right w:val="nil"/>
            </w:tcBorders>
            <w:shd w:val="clear" w:color="auto" w:fill="auto"/>
            <w:noWrap/>
            <w:vAlign w:val="center"/>
          </w:tcPr>
          <w:p w14:paraId="41E9CF7E" w14:textId="20F485C7" w:rsidR="005A3801" w:rsidRPr="00E20D21" w:rsidRDefault="009E4FEE" w:rsidP="00C70C16">
            <w:pPr>
              <w:jc w:val="right"/>
              <w:rPr>
                <w:rFonts w:ascii="CAIXA Std Book" w:hAnsi="CAIXA Std Book" w:cs="MS Gothic"/>
                <w:color w:val="005CA9"/>
                <w:sz w:val="18"/>
                <w:szCs w:val="18"/>
              </w:rPr>
            </w:pPr>
            <w:r w:rsidRPr="00E20D21">
              <w:rPr>
                <w:rFonts w:ascii="CAIXA Std Book" w:hAnsi="CAIXA Std Book" w:cs="Arial"/>
                <w:color w:val="005CA9"/>
                <w:sz w:val="18"/>
                <w:szCs w:val="18"/>
              </w:rPr>
              <w:t>15.048</w:t>
            </w:r>
          </w:p>
        </w:tc>
        <w:tc>
          <w:tcPr>
            <w:tcW w:w="662" w:type="pct"/>
            <w:tcBorders>
              <w:top w:val="nil"/>
              <w:left w:val="nil"/>
              <w:bottom w:val="nil"/>
              <w:right w:val="nil"/>
            </w:tcBorders>
            <w:shd w:val="clear" w:color="auto" w:fill="auto"/>
            <w:noWrap/>
            <w:vAlign w:val="center"/>
          </w:tcPr>
          <w:p w14:paraId="41C9EE8A" w14:textId="70015D4A"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33.803</w:t>
            </w:r>
          </w:p>
        </w:tc>
      </w:tr>
      <w:tr w:rsidR="005A3801" w:rsidRPr="00E20D21" w14:paraId="17A9E002" w14:textId="77777777" w:rsidTr="00E40986">
        <w:trPr>
          <w:trHeight w:val="257"/>
        </w:trPr>
        <w:tc>
          <w:tcPr>
            <w:tcW w:w="2353" w:type="pct"/>
            <w:tcBorders>
              <w:top w:val="nil"/>
              <w:left w:val="nil"/>
              <w:bottom w:val="nil"/>
              <w:right w:val="nil"/>
            </w:tcBorders>
            <w:shd w:val="clear" w:color="auto" w:fill="auto"/>
            <w:noWrap/>
            <w:vAlign w:val="center"/>
          </w:tcPr>
          <w:p w14:paraId="69A95B2A" w14:textId="4D01FD7B" w:rsidR="005A3801" w:rsidRPr="00E20D21" w:rsidRDefault="005A3801" w:rsidP="005A3801">
            <w:pPr>
              <w:rPr>
                <w:rFonts w:ascii="CAIXA Std Book" w:hAnsi="CAIXA Std Book" w:cs="MS Gothic"/>
                <w:color w:val="005CA9"/>
                <w:sz w:val="18"/>
                <w:szCs w:val="18"/>
              </w:rPr>
            </w:pPr>
            <w:r w:rsidRPr="00E20D21">
              <w:rPr>
                <w:rFonts w:ascii="CAIXA Std Book" w:hAnsi="CAIXA Std Book" w:cs="MS Gothic"/>
                <w:color w:val="005CA9"/>
                <w:sz w:val="18"/>
                <w:szCs w:val="18"/>
              </w:rPr>
              <w:t>Devedores diversos</w:t>
            </w:r>
          </w:p>
        </w:tc>
        <w:tc>
          <w:tcPr>
            <w:tcW w:w="661" w:type="pct"/>
            <w:tcBorders>
              <w:top w:val="nil"/>
              <w:left w:val="nil"/>
              <w:bottom w:val="nil"/>
              <w:right w:val="nil"/>
            </w:tcBorders>
            <w:shd w:val="clear" w:color="auto" w:fill="auto"/>
            <w:noWrap/>
            <w:vAlign w:val="center"/>
          </w:tcPr>
          <w:p w14:paraId="211B3D2B" w14:textId="47E41F48" w:rsidR="005A3801" w:rsidRPr="00E20D21" w:rsidRDefault="00B90B9C" w:rsidP="00B90B9C">
            <w:pPr>
              <w:jc w:val="right"/>
              <w:rPr>
                <w:rFonts w:ascii="CAIXA Std Book" w:hAnsi="CAIXA Std Book" w:cs="Arial"/>
                <w:color w:val="005CA9"/>
                <w:sz w:val="18"/>
                <w:szCs w:val="18"/>
              </w:rPr>
            </w:pPr>
            <w:r w:rsidRPr="00E20D21">
              <w:rPr>
                <w:rFonts w:ascii="CAIXA Std Book" w:hAnsi="CAIXA Std Book" w:cs="Arial"/>
                <w:color w:val="005CA9"/>
                <w:sz w:val="18"/>
                <w:szCs w:val="18"/>
              </w:rPr>
              <w:t>779.553</w:t>
            </w:r>
          </w:p>
        </w:tc>
        <w:tc>
          <w:tcPr>
            <w:tcW w:w="662" w:type="pct"/>
            <w:tcBorders>
              <w:top w:val="nil"/>
              <w:left w:val="nil"/>
              <w:bottom w:val="nil"/>
              <w:right w:val="nil"/>
            </w:tcBorders>
            <w:shd w:val="clear" w:color="auto" w:fill="auto"/>
            <w:noWrap/>
            <w:vAlign w:val="center"/>
          </w:tcPr>
          <w:p w14:paraId="2D065C1C" w14:textId="30C03CA1"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890.897</w:t>
            </w:r>
          </w:p>
        </w:tc>
        <w:tc>
          <w:tcPr>
            <w:tcW w:w="661" w:type="pct"/>
            <w:tcBorders>
              <w:top w:val="nil"/>
              <w:left w:val="nil"/>
              <w:bottom w:val="nil"/>
              <w:right w:val="nil"/>
            </w:tcBorders>
            <w:shd w:val="clear" w:color="auto" w:fill="auto"/>
            <w:noWrap/>
            <w:vAlign w:val="center"/>
          </w:tcPr>
          <w:p w14:paraId="68086E91" w14:textId="6B290DFE" w:rsidR="005A3801" w:rsidRPr="00E20D21" w:rsidRDefault="009E4FEE" w:rsidP="00C70C16">
            <w:pPr>
              <w:jc w:val="right"/>
              <w:rPr>
                <w:rFonts w:ascii="CAIXA Std Book" w:hAnsi="CAIXA Std Book" w:cs="MS Gothic"/>
                <w:color w:val="005CA9"/>
                <w:sz w:val="18"/>
                <w:szCs w:val="18"/>
              </w:rPr>
            </w:pPr>
            <w:r w:rsidRPr="00E20D21">
              <w:rPr>
                <w:rFonts w:ascii="CAIXA Std Book" w:hAnsi="CAIXA Std Book" w:cs="Arial"/>
                <w:color w:val="005CA9"/>
                <w:sz w:val="18"/>
                <w:szCs w:val="18"/>
              </w:rPr>
              <w:t>772.696</w:t>
            </w:r>
          </w:p>
        </w:tc>
        <w:tc>
          <w:tcPr>
            <w:tcW w:w="662" w:type="pct"/>
            <w:tcBorders>
              <w:top w:val="nil"/>
              <w:left w:val="nil"/>
              <w:bottom w:val="nil"/>
              <w:right w:val="nil"/>
            </w:tcBorders>
            <w:shd w:val="clear" w:color="auto" w:fill="auto"/>
            <w:noWrap/>
            <w:vAlign w:val="center"/>
          </w:tcPr>
          <w:p w14:paraId="2686AD0F" w14:textId="5BD2FF4A"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884.228</w:t>
            </w:r>
          </w:p>
        </w:tc>
      </w:tr>
      <w:tr w:rsidR="005A3801" w:rsidRPr="00E20D21" w14:paraId="0FAFB22F" w14:textId="77777777" w:rsidTr="00E40986">
        <w:trPr>
          <w:trHeight w:val="257"/>
        </w:trPr>
        <w:tc>
          <w:tcPr>
            <w:tcW w:w="2353" w:type="pct"/>
            <w:tcBorders>
              <w:top w:val="single" w:sz="4" w:space="0" w:color="F39200"/>
              <w:left w:val="nil"/>
              <w:bottom w:val="single" w:sz="4" w:space="0" w:color="F39200"/>
              <w:right w:val="nil"/>
            </w:tcBorders>
            <w:shd w:val="clear" w:color="auto" w:fill="auto"/>
            <w:noWrap/>
            <w:vAlign w:val="center"/>
            <w:hideMark/>
          </w:tcPr>
          <w:p w14:paraId="50D07299" w14:textId="77777777" w:rsidR="005A3801" w:rsidRPr="00E20D21" w:rsidRDefault="005A3801" w:rsidP="005A3801">
            <w:pPr>
              <w:rPr>
                <w:rFonts w:ascii="CAIXA Std Book" w:hAnsi="CAIXA Std Book" w:cs="MS Gothic"/>
                <w:b/>
                <w:color w:val="005CA9"/>
                <w:sz w:val="18"/>
                <w:szCs w:val="18"/>
              </w:rPr>
            </w:pPr>
            <w:r w:rsidRPr="00E20D21">
              <w:rPr>
                <w:rFonts w:ascii="CAIXA Std Book" w:hAnsi="CAIXA Std Book" w:cs="MS Gothic"/>
                <w:b/>
                <w:color w:val="005CA9"/>
                <w:sz w:val="18"/>
                <w:szCs w:val="18"/>
              </w:rPr>
              <w:t>Total</w:t>
            </w:r>
          </w:p>
        </w:tc>
        <w:tc>
          <w:tcPr>
            <w:tcW w:w="661" w:type="pct"/>
            <w:tcBorders>
              <w:top w:val="single" w:sz="4" w:space="0" w:color="F39200"/>
              <w:left w:val="nil"/>
              <w:bottom w:val="single" w:sz="4" w:space="0" w:color="F39200"/>
              <w:right w:val="nil"/>
            </w:tcBorders>
            <w:shd w:val="clear" w:color="auto" w:fill="auto"/>
            <w:noWrap/>
            <w:vAlign w:val="center"/>
          </w:tcPr>
          <w:p w14:paraId="67C930AB" w14:textId="72623D29" w:rsidR="005A3801" w:rsidRPr="00E20D21" w:rsidRDefault="00B90B9C" w:rsidP="00B90B9C">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12.076.112</w:t>
            </w:r>
          </w:p>
        </w:tc>
        <w:tc>
          <w:tcPr>
            <w:tcW w:w="662" w:type="pct"/>
            <w:tcBorders>
              <w:top w:val="single" w:sz="4" w:space="0" w:color="F39200"/>
              <w:left w:val="nil"/>
              <w:bottom w:val="single" w:sz="4" w:space="0" w:color="F39200"/>
              <w:right w:val="nil"/>
            </w:tcBorders>
            <w:shd w:val="clear" w:color="auto" w:fill="auto"/>
            <w:noWrap/>
            <w:vAlign w:val="center"/>
          </w:tcPr>
          <w:p w14:paraId="2C5D0F33" w14:textId="6A24AA1A" w:rsidR="005A3801" w:rsidRPr="00E20D21" w:rsidRDefault="005A3801" w:rsidP="005A3801">
            <w:pPr>
              <w:jc w:val="right"/>
              <w:rPr>
                <w:rFonts w:ascii="CAIXA Std Book" w:hAnsi="CAIXA Std Book" w:cs="MS Gothic"/>
                <w:b/>
                <w:color w:val="005CA9"/>
                <w:sz w:val="18"/>
                <w:szCs w:val="18"/>
              </w:rPr>
            </w:pPr>
            <w:r w:rsidRPr="00E20D21">
              <w:rPr>
                <w:rFonts w:ascii="CAIXA Std Book" w:hAnsi="CAIXA Std Book" w:cs="Arial"/>
                <w:b/>
                <w:bCs/>
                <w:color w:val="005CA9"/>
                <w:sz w:val="18"/>
                <w:szCs w:val="18"/>
              </w:rPr>
              <w:t>11.683.116</w:t>
            </w:r>
          </w:p>
        </w:tc>
        <w:tc>
          <w:tcPr>
            <w:tcW w:w="661" w:type="pct"/>
            <w:tcBorders>
              <w:top w:val="single" w:sz="4" w:space="0" w:color="F39200"/>
              <w:left w:val="nil"/>
              <w:bottom w:val="single" w:sz="4" w:space="0" w:color="F39200"/>
              <w:right w:val="nil"/>
            </w:tcBorders>
            <w:shd w:val="clear" w:color="auto" w:fill="auto"/>
            <w:noWrap/>
            <w:vAlign w:val="center"/>
          </w:tcPr>
          <w:p w14:paraId="091CF3C5" w14:textId="35B7E0E1" w:rsidR="005A3801" w:rsidRPr="00E20D21" w:rsidRDefault="009E4FEE" w:rsidP="00C70C16">
            <w:pPr>
              <w:jc w:val="right"/>
              <w:rPr>
                <w:rFonts w:ascii="CAIXA Std Book" w:hAnsi="CAIXA Std Book" w:cs="MS Gothic"/>
                <w:b/>
                <w:color w:val="005CA9"/>
                <w:sz w:val="18"/>
                <w:szCs w:val="18"/>
              </w:rPr>
            </w:pPr>
            <w:r w:rsidRPr="00E20D21">
              <w:rPr>
                <w:rFonts w:ascii="CAIXA Std Book" w:hAnsi="CAIXA Std Book" w:cs="Arial"/>
                <w:b/>
                <w:bCs/>
                <w:color w:val="005CA9"/>
                <w:sz w:val="18"/>
                <w:szCs w:val="18"/>
              </w:rPr>
              <w:t>11.727.724</w:t>
            </w:r>
          </w:p>
        </w:tc>
        <w:tc>
          <w:tcPr>
            <w:tcW w:w="662" w:type="pct"/>
            <w:tcBorders>
              <w:top w:val="single" w:sz="4" w:space="0" w:color="F39200"/>
              <w:left w:val="nil"/>
              <w:bottom w:val="single" w:sz="4" w:space="0" w:color="F39200"/>
              <w:right w:val="nil"/>
            </w:tcBorders>
            <w:shd w:val="clear" w:color="auto" w:fill="auto"/>
            <w:noWrap/>
            <w:vAlign w:val="center"/>
          </w:tcPr>
          <w:p w14:paraId="36C070AF" w14:textId="230E535C" w:rsidR="005A3801" w:rsidRPr="00E20D21" w:rsidRDefault="005A3801" w:rsidP="005A3801">
            <w:pPr>
              <w:jc w:val="right"/>
              <w:rPr>
                <w:rFonts w:ascii="CAIXA Std Book" w:hAnsi="CAIXA Std Book" w:cs="MS Gothic"/>
                <w:b/>
                <w:color w:val="005CA9"/>
                <w:sz w:val="18"/>
                <w:szCs w:val="18"/>
              </w:rPr>
            </w:pPr>
            <w:r w:rsidRPr="00E20D21">
              <w:rPr>
                <w:rFonts w:ascii="CAIXA Std Book" w:hAnsi="CAIXA Std Book" w:cs="Arial"/>
                <w:b/>
                <w:bCs/>
                <w:color w:val="005CA9"/>
                <w:sz w:val="18"/>
                <w:szCs w:val="18"/>
              </w:rPr>
              <w:t>10.941.466</w:t>
            </w:r>
          </w:p>
        </w:tc>
      </w:tr>
      <w:tr w:rsidR="005A3801" w:rsidRPr="00E20D21" w14:paraId="6C309A12" w14:textId="77777777" w:rsidTr="00E40986">
        <w:trPr>
          <w:trHeight w:val="257"/>
        </w:trPr>
        <w:tc>
          <w:tcPr>
            <w:tcW w:w="2353" w:type="pct"/>
            <w:tcBorders>
              <w:top w:val="nil"/>
              <w:left w:val="nil"/>
              <w:bottom w:val="single" w:sz="4" w:space="0" w:color="F39200"/>
              <w:right w:val="nil"/>
            </w:tcBorders>
            <w:shd w:val="clear" w:color="auto" w:fill="auto"/>
            <w:noWrap/>
            <w:vAlign w:val="center"/>
            <w:hideMark/>
          </w:tcPr>
          <w:p w14:paraId="625368EC" w14:textId="22DA1E1E" w:rsidR="005A3801" w:rsidRPr="00E20D21" w:rsidRDefault="005A3801" w:rsidP="005A3801">
            <w:pPr>
              <w:rPr>
                <w:rFonts w:ascii="CAIXA Std Book" w:hAnsi="CAIXA Std Book" w:cs="MS Gothic"/>
                <w:color w:val="005CA9"/>
                <w:sz w:val="18"/>
                <w:szCs w:val="18"/>
              </w:rPr>
            </w:pPr>
            <w:r w:rsidRPr="00E20D21">
              <w:rPr>
                <w:rFonts w:ascii="CAIXA Std Book" w:hAnsi="CAIXA Std Book" w:cs="Arial Unicode MS"/>
                <w:color w:val="005CA9"/>
                <w:sz w:val="18"/>
                <w:szCs w:val="18"/>
              </w:rPr>
              <w:t>Provisão</w:t>
            </w:r>
            <w:r w:rsidRPr="00E20D21">
              <w:rPr>
                <w:rFonts w:ascii="CAIXA Std Book" w:hAnsi="CAIXA Std Book" w:cs="MS Gothic"/>
                <w:color w:val="005CA9"/>
                <w:sz w:val="18"/>
                <w:szCs w:val="18"/>
              </w:rPr>
              <w:t xml:space="preserve"> para perdas ao valor recuperável de ativos</w:t>
            </w:r>
          </w:p>
        </w:tc>
        <w:tc>
          <w:tcPr>
            <w:tcW w:w="661" w:type="pct"/>
            <w:tcBorders>
              <w:top w:val="nil"/>
              <w:left w:val="nil"/>
              <w:bottom w:val="single" w:sz="4" w:space="0" w:color="F39200"/>
              <w:right w:val="nil"/>
            </w:tcBorders>
            <w:shd w:val="clear" w:color="auto" w:fill="auto"/>
            <w:noWrap/>
            <w:vAlign w:val="center"/>
          </w:tcPr>
          <w:p w14:paraId="34ED1A40" w14:textId="3DD141E2" w:rsidR="005A3801" w:rsidRPr="00E20D21" w:rsidRDefault="00B90B9C" w:rsidP="00B90B9C">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(1.145.677)</w:t>
            </w:r>
          </w:p>
        </w:tc>
        <w:tc>
          <w:tcPr>
            <w:tcW w:w="662" w:type="pct"/>
            <w:tcBorders>
              <w:top w:val="nil"/>
              <w:left w:val="nil"/>
              <w:bottom w:val="single" w:sz="4" w:space="0" w:color="F39200"/>
              <w:right w:val="nil"/>
            </w:tcBorders>
            <w:shd w:val="clear" w:color="auto" w:fill="auto"/>
            <w:noWrap/>
            <w:vAlign w:val="center"/>
          </w:tcPr>
          <w:p w14:paraId="0714CE0A" w14:textId="2DE07C04"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(1.042.719)</w:t>
            </w:r>
          </w:p>
        </w:tc>
        <w:tc>
          <w:tcPr>
            <w:tcW w:w="661" w:type="pct"/>
            <w:tcBorders>
              <w:top w:val="nil"/>
              <w:left w:val="nil"/>
              <w:bottom w:val="single" w:sz="4" w:space="0" w:color="F39200"/>
              <w:right w:val="nil"/>
            </w:tcBorders>
            <w:shd w:val="clear" w:color="auto" w:fill="auto"/>
            <w:noWrap/>
            <w:vAlign w:val="center"/>
          </w:tcPr>
          <w:p w14:paraId="4430FF5E" w14:textId="6A3AE510" w:rsidR="005A3801" w:rsidRPr="00E20D21" w:rsidRDefault="009E4FEE" w:rsidP="00C70C16">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(1.145.677)</w:t>
            </w:r>
          </w:p>
        </w:tc>
        <w:tc>
          <w:tcPr>
            <w:tcW w:w="662" w:type="pct"/>
            <w:tcBorders>
              <w:top w:val="nil"/>
              <w:left w:val="nil"/>
              <w:bottom w:val="single" w:sz="4" w:space="0" w:color="F39200"/>
              <w:right w:val="nil"/>
            </w:tcBorders>
            <w:shd w:val="clear" w:color="auto" w:fill="auto"/>
            <w:noWrap/>
            <w:vAlign w:val="center"/>
          </w:tcPr>
          <w:p w14:paraId="26C199A8" w14:textId="6C659610" w:rsidR="005A3801" w:rsidRPr="00E20D21" w:rsidRDefault="005A3801" w:rsidP="005A3801">
            <w:pPr>
              <w:jc w:val="right"/>
              <w:rPr>
                <w:rFonts w:ascii="CAIXA Std Book" w:hAnsi="CAIXA Std Book" w:cs="MS Gothic"/>
                <w:color w:val="005CA9"/>
                <w:sz w:val="18"/>
                <w:szCs w:val="18"/>
              </w:rPr>
            </w:pPr>
            <w:r w:rsidRPr="00E20D21">
              <w:rPr>
                <w:rFonts w:ascii="CAIXA Std Book" w:hAnsi="CAIXA Std Book" w:cs="Arial"/>
                <w:color w:val="005CA9"/>
                <w:sz w:val="18"/>
                <w:szCs w:val="18"/>
              </w:rPr>
              <w:t>(1.042.719)</w:t>
            </w:r>
          </w:p>
        </w:tc>
      </w:tr>
      <w:tr w:rsidR="005A3801" w:rsidRPr="00E20D21" w14:paraId="49EEEFD6" w14:textId="77777777" w:rsidTr="00E40986">
        <w:trPr>
          <w:trHeight w:val="257"/>
        </w:trPr>
        <w:tc>
          <w:tcPr>
            <w:tcW w:w="2353" w:type="pct"/>
            <w:tcBorders>
              <w:top w:val="nil"/>
              <w:left w:val="nil"/>
              <w:bottom w:val="single" w:sz="4" w:space="0" w:color="F39200"/>
              <w:right w:val="nil"/>
            </w:tcBorders>
            <w:shd w:val="clear" w:color="auto" w:fill="auto"/>
            <w:noWrap/>
            <w:vAlign w:val="center"/>
            <w:hideMark/>
          </w:tcPr>
          <w:p w14:paraId="1F938ECA" w14:textId="77777777" w:rsidR="005A3801" w:rsidRPr="00E20D21" w:rsidRDefault="005A3801" w:rsidP="005A3801">
            <w:pPr>
              <w:rPr>
                <w:rFonts w:ascii="CAIXA Std Book" w:hAnsi="CAIXA Std Book" w:cs="MS Gothic"/>
                <w:b/>
                <w:color w:val="005CA9"/>
                <w:sz w:val="18"/>
                <w:szCs w:val="18"/>
              </w:rPr>
            </w:pPr>
            <w:r w:rsidRPr="00E20D21">
              <w:rPr>
                <w:rFonts w:ascii="CAIXA Std Book" w:hAnsi="CAIXA Std Book" w:cs="MS Gothic"/>
                <w:b/>
                <w:color w:val="005CA9"/>
                <w:sz w:val="18"/>
                <w:szCs w:val="18"/>
              </w:rPr>
              <w:t>Total líquido de provisão</w:t>
            </w:r>
          </w:p>
        </w:tc>
        <w:tc>
          <w:tcPr>
            <w:tcW w:w="661" w:type="pct"/>
            <w:tcBorders>
              <w:top w:val="nil"/>
              <w:left w:val="nil"/>
              <w:bottom w:val="single" w:sz="4" w:space="0" w:color="F39200"/>
              <w:right w:val="nil"/>
            </w:tcBorders>
            <w:shd w:val="clear" w:color="auto" w:fill="auto"/>
            <w:noWrap/>
            <w:vAlign w:val="center"/>
          </w:tcPr>
          <w:p w14:paraId="7AD9A4BC" w14:textId="70A4E752" w:rsidR="005A3801" w:rsidRPr="00E20D21" w:rsidRDefault="00B90B9C" w:rsidP="00B90B9C">
            <w:pPr>
              <w:jc w:val="right"/>
              <w:rPr>
                <w:rFonts w:ascii="CAIXA Std Book" w:hAnsi="CAIXA Std Book" w:cs="MS Gothic"/>
                <w:b/>
                <w:color w:val="005CA9"/>
                <w:sz w:val="18"/>
                <w:szCs w:val="18"/>
              </w:rPr>
            </w:pPr>
            <w:r w:rsidRPr="00E20D21">
              <w:rPr>
                <w:rFonts w:ascii="CAIXA Std Book" w:hAnsi="CAIXA Std Book" w:cs="Arial"/>
                <w:b/>
                <w:bCs/>
                <w:color w:val="005CA9"/>
                <w:sz w:val="18"/>
                <w:szCs w:val="18"/>
              </w:rPr>
              <w:t>10.930.435</w:t>
            </w:r>
          </w:p>
        </w:tc>
        <w:tc>
          <w:tcPr>
            <w:tcW w:w="662" w:type="pct"/>
            <w:tcBorders>
              <w:top w:val="nil"/>
              <w:left w:val="nil"/>
              <w:bottom w:val="single" w:sz="4" w:space="0" w:color="F39200"/>
              <w:right w:val="nil"/>
            </w:tcBorders>
            <w:shd w:val="clear" w:color="auto" w:fill="auto"/>
            <w:noWrap/>
            <w:vAlign w:val="center"/>
          </w:tcPr>
          <w:p w14:paraId="0A91B9D6" w14:textId="3187012E" w:rsidR="005A3801" w:rsidRPr="00E20D21" w:rsidRDefault="005A3801" w:rsidP="005A3801">
            <w:pPr>
              <w:jc w:val="right"/>
              <w:rPr>
                <w:rFonts w:ascii="CAIXA Std Book" w:hAnsi="CAIXA Std Book" w:cs="MS Gothic"/>
                <w:b/>
                <w:color w:val="005CA9"/>
                <w:sz w:val="18"/>
                <w:szCs w:val="18"/>
              </w:rPr>
            </w:pPr>
            <w:r w:rsidRPr="00E20D21">
              <w:rPr>
                <w:rFonts w:ascii="CAIXA Std Book" w:hAnsi="CAIXA Std Book" w:cs="Arial"/>
                <w:b/>
                <w:bCs/>
                <w:color w:val="005CA9"/>
                <w:sz w:val="18"/>
                <w:szCs w:val="18"/>
              </w:rPr>
              <w:t>10.640.397</w:t>
            </w:r>
          </w:p>
        </w:tc>
        <w:tc>
          <w:tcPr>
            <w:tcW w:w="661" w:type="pct"/>
            <w:tcBorders>
              <w:top w:val="nil"/>
              <w:left w:val="nil"/>
              <w:bottom w:val="single" w:sz="4" w:space="0" w:color="F39200"/>
              <w:right w:val="nil"/>
            </w:tcBorders>
            <w:shd w:val="clear" w:color="auto" w:fill="auto"/>
            <w:noWrap/>
            <w:vAlign w:val="center"/>
          </w:tcPr>
          <w:p w14:paraId="1392EBD6" w14:textId="73F36A55" w:rsidR="005A3801" w:rsidRPr="00E20D21" w:rsidRDefault="009E4FEE" w:rsidP="00C70C16">
            <w:pPr>
              <w:jc w:val="right"/>
              <w:rPr>
                <w:rFonts w:ascii="CAIXA Std Book" w:hAnsi="CAIXA Std Book" w:cs="MS Gothic"/>
                <w:b/>
                <w:color w:val="005CA9"/>
                <w:sz w:val="18"/>
                <w:szCs w:val="18"/>
              </w:rPr>
            </w:pPr>
            <w:r w:rsidRPr="00E20D21">
              <w:rPr>
                <w:rFonts w:ascii="CAIXA Std Book" w:hAnsi="CAIXA Std Book" w:cs="Arial"/>
                <w:b/>
                <w:bCs/>
                <w:color w:val="005CA9"/>
                <w:sz w:val="18"/>
                <w:szCs w:val="18"/>
              </w:rPr>
              <w:t>10.582.047</w:t>
            </w:r>
          </w:p>
        </w:tc>
        <w:tc>
          <w:tcPr>
            <w:tcW w:w="662" w:type="pct"/>
            <w:tcBorders>
              <w:top w:val="nil"/>
              <w:left w:val="nil"/>
              <w:bottom w:val="single" w:sz="4" w:space="0" w:color="F39200"/>
              <w:right w:val="nil"/>
            </w:tcBorders>
            <w:shd w:val="clear" w:color="auto" w:fill="auto"/>
            <w:noWrap/>
            <w:vAlign w:val="center"/>
          </w:tcPr>
          <w:p w14:paraId="066E20DA" w14:textId="3E1C4145" w:rsidR="005A3801" w:rsidRPr="00E20D21" w:rsidRDefault="005A3801" w:rsidP="005A3801">
            <w:pPr>
              <w:jc w:val="right"/>
              <w:rPr>
                <w:rFonts w:ascii="CAIXA Std Book" w:hAnsi="CAIXA Std Book" w:cs="MS Gothic"/>
                <w:b/>
                <w:color w:val="005CA9"/>
                <w:sz w:val="18"/>
                <w:szCs w:val="18"/>
              </w:rPr>
            </w:pPr>
            <w:r w:rsidRPr="00E20D21">
              <w:rPr>
                <w:rFonts w:ascii="CAIXA Std Book" w:hAnsi="CAIXA Std Book" w:cs="Arial"/>
                <w:b/>
                <w:bCs/>
                <w:color w:val="005CA9"/>
                <w:sz w:val="18"/>
                <w:szCs w:val="18"/>
              </w:rPr>
              <w:t>9.898.747</w:t>
            </w:r>
          </w:p>
        </w:tc>
      </w:tr>
      <w:tr w:rsidR="009B2F2A" w:rsidRPr="00E20D21" w14:paraId="43B158AA" w14:textId="77777777" w:rsidTr="00E40986">
        <w:trPr>
          <w:trHeight w:val="257"/>
        </w:trPr>
        <w:tc>
          <w:tcPr>
            <w:tcW w:w="2353" w:type="pct"/>
            <w:tcBorders>
              <w:top w:val="nil"/>
              <w:left w:val="nil"/>
              <w:bottom w:val="nil"/>
              <w:right w:val="nil"/>
            </w:tcBorders>
            <w:shd w:val="clear" w:color="auto" w:fill="auto"/>
            <w:noWrap/>
            <w:vAlign w:val="center"/>
            <w:hideMark/>
          </w:tcPr>
          <w:p w14:paraId="6E73B7C3" w14:textId="77777777" w:rsidR="009B2F2A" w:rsidRPr="00E20D21" w:rsidRDefault="009B2F2A" w:rsidP="009B2F2A">
            <w:pPr>
              <w:rPr>
                <w:rFonts w:ascii="CAIXA Std Book" w:hAnsi="CAIXA Std Book" w:cs="MS Gothic"/>
                <w:color w:val="005CA9"/>
                <w:sz w:val="18"/>
                <w:szCs w:val="18"/>
              </w:rPr>
            </w:pPr>
            <w:r w:rsidRPr="00E20D21">
              <w:rPr>
                <w:rFonts w:ascii="CAIXA Std Book" w:hAnsi="CAIXA Std Book" w:cs="MS Gothic"/>
                <w:color w:val="005CA9"/>
                <w:sz w:val="18"/>
                <w:szCs w:val="18"/>
              </w:rPr>
              <w:t>Ativo circulante</w:t>
            </w:r>
          </w:p>
        </w:tc>
        <w:tc>
          <w:tcPr>
            <w:tcW w:w="661" w:type="pct"/>
            <w:tcBorders>
              <w:top w:val="nil"/>
              <w:left w:val="nil"/>
              <w:bottom w:val="nil"/>
              <w:right w:val="nil"/>
            </w:tcBorders>
            <w:shd w:val="clear" w:color="auto" w:fill="auto"/>
            <w:noWrap/>
            <w:vAlign w:val="center"/>
          </w:tcPr>
          <w:p w14:paraId="685D9791" w14:textId="051BE85C" w:rsidR="009B2F2A" w:rsidRPr="00E20D21" w:rsidRDefault="009B2F2A" w:rsidP="009B2F2A">
            <w:pPr>
              <w:jc w:val="right"/>
              <w:rPr>
                <w:rFonts w:ascii="CAIXA Std Book" w:hAnsi="CAIXA Std Book" w:cs="Arial"/>
                <w:color w:val="005CA9"/>
                <w:sz w:val="18"/>
                <w:szCs w:val="18"/>
              </w:rPr>
            </w:pPr>
            <w:r w:rsidRPr="00E20D21">
              <w:rPr>
                <w:rFonts w:ascii="CAIXA Std Book" w:hAnsi="CAIXA Std Book" w:cs="Arial"/>
                <w:color w:val="005CA9"/>
                <w:sz w:val="18"/>
                <w:szCs w:val="18"/>
              </w:rPr>
              <w:t>10.718.212</w:t>
            </w:r>
          </w:p>
        </w:tc>
        <w:tc>
          <w:tcPr>
            <w:tcW w:w="662" w:type="pct"/>
            <w:tcBorders>
              <w:top w:val="nil"/>
              <w:left w:val="nil"/>
              <w:bottom w:val="nil"/>
              <w:right w:val="nil"/>
            </w:tcBorders>
            <w:shd w:val="clear" w:color="auto" w:fill="auto"/>
            <w:noWrap/>
            <w:vAlign w:val="center"/>
          </w:tcPr>
          <w:p w14:paraId="698C8CE2" w14:textId="2B505824" w:rsidR="009B2F2A" w:rsidRPr="00E20D21" w:rsidRDefault="009B2F2A" w:rsidP="009B2F2A">
            <w:pPr>
              <w:jc w:val="right"/>
              <w:rPr>
                <w:rFonts w:ascii="CAIXA Std Book" w:hAnsi="CAIXA Std Book" w:cs="MS Gothic"/>
                <w:color w:val="005CA9"/>
                <w:sz w:val="18"/>
                <w:szCs w:val="18"/>
              </w:rPr>
            </w:pPr>
            <w:r w:rsidRPr="00E20D21">
              <w:rPr>
                <w:rFonts w:ascii="CAIXA Std Book" w:hAnsi="CAIXA Std Book" w:cs="Arial"/>
                <w:color w:val="005CA9"/>
                <w:sz w:val="18"/>
                <w:szCs w:val="18"/>
              </w:rPr>
              <w:t>10.282.447</w:t>
            </w:r>
          </w:p>
        </w:tc>
        <w:tc>
          <w:tcPr>
            <w:tcW w:w="661" w:type="pct"/>
            <w:tcBorders>
              <w:top w:val="nil"/>
              <w:left w:val="nil"/>
              <w:bottom w:val="nil"/>
              <w:right w:val="nil"/>
            </w:tcBorders>
            <w:shd w:val="clear" w:color="auto" w:fill="auto"/>
            <w:noWrap/>
            <w:vAlign w:val="center"/>
          </w:tcPr>
          <w:p w14:paraId="5005B9EE" w14:textId="4FC98AFA" w:rsidR="009B2F2A" w:rsidRPr="00E20D21" w:rsidRDefault="009E4FEE" w:rsidP="00C70C16">
            <w:pPr>
              <w:jc w:val="right"/>
              <w:rPr>
                <w:rFonts w:ascii="CAIXA Std Book" w:hAnsi="CAIXA Std Book" w:cs="Arial"/>
                <w:color w:val="005CA9"/>
                <w:sz w:val="18"/>
                <w:szCs w:val="18"/>
              </w:rPr>
            </w:pPr>
            <w:r w:rsidRPr="00E20D21">
              <w:rPr>
                <w:rFonts w:ascii="CAIXA Std Book" w:hAnsi="CAIXA Std Book" w:cs="Arial"/>
                <w:color w:val="005CA9"/>
                <w:sz w:val="18"/>
                <w:szCs w:val="18"/>
              </w:rPr>
              <w:t>10.369.795</w:t>
            </w:r>
          </w:p>
        </w:tc>
        <w:tc>
          <w:tcPr>
            <w:tcW w:w="662" w:type="pct"/>
            <w:tcBorders>
              <w:top w:val="nil"/>
              <w:left w:val="nil"/>
              <w:bottom w:val="nil"/>
              <w:right w:val="nil"/>
            </w:tcBorders>
            <w:shd w:val="clear" w:color="auto" w:fill="auto"/>
            <w:noWrap/>
            <w:vAlign w:val="center"/>
          </w:tcPr>
          <w:p w14:paraId="06BAB4A9" w14:textId="02443654" w:rsidR="009B2F2A" w:rsidRPr="00E20D21" w:rsidRDefault="009B2F2A" w:rsidP="009B2F2A">
            <w:pPr>
              <w:jc w:val="right"/>
              <w:rPr>
                <w:rFonts w:ascii="CAIXA Std Book" w:hAnsi="CAIXA Std Book" w:cs="MS Gothic"/>
                <w:color w:val="005CA9"/>
                <w:sz w:val="18"/>
                <w:szCs w:val="18"/>
              </w:rPr>
            </w:pPr>
            <w:r w:rsidRPr="00E20D21">
              <w:rPr>
                <w:rFonts w:ascii="CAIXA Std Book" w:hAnsi="CAIXA Std Book" w:cs="Arial"/>
                <w:color w:val="005CA9"/>
                <w:sz w:val="18"/>
                <w:szCs w:val="18"/>
              </w:rPr>
              <w:t>9.540.797</w:t>
            </w:r>
          </w:p>
        </w:tc>
      </w:tr>
      <w:tr w:rsidR="009B2F2A" w:rsidRPr="00E20D21" w14:paraId="5424427D" w14:textId="77777777" w:rsidTr="00E40986">
        <w:trPr>
          <w:trHeight w:val="257"/>
        </w:trPr>
        <w:tc>
          <w:tcPr>
            <w:tcW w:w="2353" w:type="pct"/>
            <w:tcBorders>
              <w:top w:val="nil"/>
              <w:left w:val="nil"/>
              <w:bottom w:val="single" w:sz="4" w:space="0" w:color="F39200"/>
              <w:right w:val="nil"/>
            </w:tcBorders>
            <w:shd w:val="clear" w:color="auto" w:fill="auto"/>
            <w:noWrap/>
            <w:vAlign w:val="center"/>
            <w:hideMark/>
          </w:tcPr>
          <w:p w14:paraId="05A33E1D" w14:textId="77777777" w:rsidR="009B2F2A" w:rsidRPr="00E20D21" w:rsidRDefault="009B2F2A" w:rsidP="009B2F2A">
            <w:pPr>
              <w:rPr>
                <w:rFonts w:ascii="CAIXA Std Book" w:hAnsi="CAIXA Std Book" w:cs="MS Gothic"/>
                <w:color w:val="005CA9"/>
                <w:sz w:val="18"/>
                <w:szCs w:val="18"/>
              </w:rPr>
            </w:pPr>
            <w:r w:rsidRPr="00E20D21">
              <w:rPr>
                <w:rFonts w:ascii="CAIXA Std Book" w:hAnsi="CAIXA Std Book" w:cs="MS Gothic"/>
                <w:color w:val="005CA9"/>
                <w:sz w:val="18"/>
                <w:szCs w:val="18"/>
              </w:rPr>
              <w:t>Ativo não circulante</w:t>
            </w:r>
          </w:p>
        </w:tc>
        <w:tc>
          <w:tcPr>
            <w:tcW w:w="661" w:type="pct"/>
            <w:tcBorders>
              <w:top w:val="nil"/>
              <w:left w:val="nil"/>
              <w:bottom w:val="single" w:sz="4" w:space="0" w:color="F39200"/>
              <w:right w:val="nil"/>
            </w:tcBorders>
            <w:shd w:val="clear" w:color="auto" w:fill="auto"/>
            <w:noWrap/>
            <w:vAlign w:val="center"/>
          </w:tcPr>
          <w:p w14:paraId="62929588" w14:textId="3D103F52" w:rsidR="009B2F2A" w:rsidRPr="00E20D21" w:rsidRDefault="009B2F2A" w:rsidP="009B2F2A">
            <w:pPr>
              <w:jc w:val="right"/>
              <w:rPr>
                <w:rFonts w:ascii="CAIXA Std Book" w:hAnsi="CAIXA Std Book" w:cs="Arial"/>
                <w:color w:val="005CA9"/>
                <w:sz w:val="18"/>
                <w:szCs w:val="18"/>
              </w:rPr>
            </w:pPr>
            <w:r w:rsidRPr="00E20D21">
              <w:rPr>
                <w:rFonts w:ascii="CAIXA Std Book" w:hAnsi="CAIXA Std Book" w:cs="Arial"/>
                <w:color w:val="005CA9"/>
                <w:sz w:val="18"/>
                <w:szCs w:val="18"/>
              </w:rPr>
              <w:t>212.223</w:t>
            </w:r>
          </w:p>
        </w:tc>
        <w:tc>
          <w:tcPr>
            <w:tcW w:w="662" w:type="pct"/>
            <w:tcBorders>
              <w:top w:val="nil"/>
              <w:left w:val="nil"/>
              <w:bottom w:val="single" w:sz="4" w:space="0" w:color="F39200"/>
              <w:right w:val="nil"/>
            </w:tcBorders>
            <w:shd w:val="clear" w:color="auto" w:fill="auto"/>
            <w:noWrap/>
            <w:vAlign w:val="center"/>
          </w:tcPr>
          <w:p w14:paraId="2C7F68AF" w14:textId="1DFE0A7B" w:rsidR="009B2F2A" w:rsidRPr="00E20D21" w:rsidRDefault="009B2F2A" w:rsidP="009B2F2A">
            <w:pPr>
              <w:jc w:val="right"/>
              <w:rPr>
                <w:rFonts w:ascii="CAIXA Std Book" w:hAnsi="CAIXA Std Book" w:cs="MS Gothic"/>
                <w:color w:val="005CA9"/>
                <w:sz w:val="18"/>
                <w:szCs w:val="18"/>
              </w:rPr>
            </w:pPr>
            <w:r w:rsidRPr="00E20D21">
              <w:rPr>
                <w:rFonts w:ascii="CAIXA Std Book" w:hAnsi="CAIXA Std Book" w:cs="Arial"/>
                <w:color w:val="005CA9"/>
                <w:sz w:val="18"/>
                <w:szCs w:val="18"/>
              </w:rPr>
              <w:t>357.950</w:t>
            </w:r>
          </w:p>
        </w:tc>
        <w:tc>
          <w:tcPr>
            <w:tcW w:w="661" w:type="pct"/>
            <w:tcBorders>
              <w:top w:val="nil"/>
              <w:left w:val="nil"/>
              <w:bottom w:val="single" w:sz="4" w:space="0" w:color="F39200"/>
              <w:right w:val="nil"/>
            </w:tcBorders>
            <w:shd w:val="clear" w:color="auto" w:fill="auto"/>
            <w:noWrap/>
            <w:vAlign w:val="center"/>
          </w:tcPr>
          <w:p w14:paraId="2EDFD918" w14:textId="1B3F55B9" w:rsidR="009B2F2A" w:rsidRPr="00E20D21" w:rsidRDefault="009E4FEE" w:rsidP="00C70C16">
            <w:pPr>
              <w:jc w:val="right"/>
              <w:rPr>
                <w:rFonts w:ascii="CAIXA Std Book" w:hAnsi="CAIXA Std Book" w:cs="Arial"/>
                <w:color w:val="005CA9"/>
                <w:sz w:val="18"/>
                <w:szCs w:val="18"/>
              </w:rPr>
            </w:pPr>
            <w:r w:rsidRPr="00E20D21">
              <w:rPr>
                <w:rFonts w:ascii="CAIXA Std Book" w:hAnsi="CAIXA Std Book" w:cs="Arial"/>
                <w:color w:val="005CA9"/>
                <w:sz w:val="18"/>
                <w:szCs w:val="18"/>
              </w:rPr>
              <w:t>212.252</w:t>
            </w:r>
          </w:p>
        </w:tc>
        <w:tc>
          <w:tcPr>
            <w:tcW w:w="662" w:type="pct"/>
            <w:tcBorders>
              <w:top w:val="nil"/>
              <w:left w:val="nil"/>
              <w:bottom w:val="single" w:sz="4" w:space="0" w:color="F39200"/>
              <w:right w:val="nil"/>
            </w:tcBorders>
            <w:shd w:val="clear" w:color="auto" w:fill="auto"/>
            <w:noWrap/>
            <w:vAlign w:val="center"/>
          </w:tcPr>
          <w:p w14:paraId="5C982730" w14:textId="2248A594" w:rsidR="009B2F2A" w:rsidRPr="00E20D21" w:rsidRDefault="009B2F2A" w:rsidP="009B2F2A">
            <w:pPr>
              <w:jc w:val="right"/>
              <w:rPr>
                <w:rFonts w:ascii="CAIXA Std Book" w:hAnsi="CAIXA Std Book" w:cs="MS Gothic"/>
                <w:color w:val="005CA9"/>
                <w:sz w:val="18"/>
                <w:szCs w:val="18"/>
              </w:rPr>
            </w:pPr>
            <w:r w:rsidRPr="00E20D21">
              <w:rPr>
                <w:rFonts w:ascii="CAIXA Std Book" w:hAnsi="CAIXA Std Book" w:cs="Arial"/>
                <w:color w:val="005CA9"/>
                <w:sz w:val="18"/>
                <w:szCs w:val="18"/>
              </w:rPr>
              <w:t>357.950</w:t>
            </w:r>
          </w:p>
        </w:tc>
      </w:tr>
    </w:tbl>
    <w:p w14:paraId="0CEC6D8F" w14:textId="40F45B95" w:rsidR="00395B32" w:rsidRPr="00E20D21" w:rsidRDefault="00FF0878" w:rsidP="00FF0878">
      <w:pPr>
        <w:jc w:val="both"/>
        <w:rPr>
          <w:rFonts w:ascii="CAIXA Std Book" w:hAnsi="CAIXA Std Book"/>
          <w:color w:val="005CA9"/>
          <w:sz w:val="16"/>
          <w:szCs w:val="16"/>
        </w:rPr>
      </w:pPr>
      <w:r w:rsidRPr="00E20D21">
        <w:rPr>
          <w:rFonts w:ascii="CAIXA Std Book" w:hAnsi="CAIXA Std Book"/>
          <w:color w:val="005CA9"/>
          <w:sz w:val="16"/>
          <w:szCs w:val="16"/>
        </w:rPr>
        <w:t xml:space="preserve">(1) </w:t>
      </w:r>
      <w:r w:rsidR="00395B32" w:rsidRPr="00E20D21">
        <w:rPr>
          <w:rFonts w:ascii="CAIXA Std Book" w:hAnsi="CAIXA Std Book"/>
          <w:color w:val="005CA9"/>
          <w:sz w:val="16"/>
          <w:szCs w:val="16"/>
        </w:rPr>
        <w:t>Variação decorrente</w:t>
      </w:r>
      <w:r w:rsidR="00DA3D10" w:rsidRPr="00E20D21">
        <w:rPr>
          <w:rFonts w:ascii="CAIXA Std Book" w:hAnsi="CAIXA Std Book"/>
          <w:color w:val="005CA9"/>
          <w:sz w:val="16"/>
          <w:szCs w:val="16"/>
        </w:rPr>
        <w:t>, principalmente,</w:t>
      </w:r>
      <w:r w:rsidR="00395B32" w:rsidRPr="00E20D21">
        <w:rPr>
          <w:rFonts w:ascii="CAIXA Std Book" w:hAnsi="CAIXA Std Book"/>
          <w:color w:val="005CA9"/>
          <w:sz w:val="16"/>
          <w:szCs w:val="16"/>
        </w:rPr>
        <w:t xml:space="preserve"> d</w:t>
      </w:r>
      <w:r w:rsidR="00A2588D" w:rsidRPr="00E20D21">
        <w:rPr>
          <w:rFonts w:ascii="CAIXA Std Book" w:hAnsi="CAIXA Std Book"/>
          <w:color w:val="005CA9"/>
          <w:sz w:val="16"/>
          <w:szCs w:val="16"/>
        </w:rPr>
        <w:t xml:space="preserve">a maior quantidade </w:t>
      </w:r>
      <w:r w:rsidR="00395B32" w:rsidRPr="00E20D21">
        <w:rPr>
          <w:rFonts w:ascii="CAIXA Std Book" w:hAnsi="CAIXA Std Book"/>
          <w:color w:val="005CA9"/>
          <w:sz w:val="16"/>
          <w:szCs w:val="16"/>
        </w:rPr>
        <w:t xml:space="preserve">de imóveis </w:t>
      </w:r>
      <w:r w:rsidR="00016A2D" w:rsidRPr="00E20D21">
        <w:rPr>
          <w:rFonts w:ascii="CAIXA Std Book" w:hAnsi="CAIXA Std Book"/>
          <w:color w:val="005CA9"/>
          <w:sz w:val="16"/>
          <w:szCs w:val="16"/>
        </w:rPr>
        <w:t>retomados</w:t>
      </w:r>
      <w:r w:rsidR="00395B32" w:rsidRPr="00E20D21">
        <w:rPr>
          <w:rFonts w:ascii="CAIXA Std Book" w:hAnsi="CAIXA Std Book"/>
          <w:color w:val="005CA9"/>
          <w:sz w:val="16"/>
          <w:szCs w:val="16"/>
        </w:rPr>
        <w:t>, no montante de R$ 736.091.</w:t>
      </w:r>
    </w:p>
    <w:p w14:paraId="1B88352D" w14:textId="1B861238" w:rsidR="00FF0878" w:rsidRPr="00E20D21" w:rsidRDefault="00395B32" w:rsidP="00FF0878">
      <w:pPr>
        <w:jc w:val="both"/>
        <w:rPr>
          <w:rFonts w:ascii="CAIXA Std Book" w:hAnsi="CAIXA Std Book"/>
          <w:color w:val="005CA9"/>
          <w:sz w:val="16"/>
          <w:szCs w:val="16"/>
        </w:rPr>
      </w:pPr>
      <w:r w:rsidRPr="00E20D21">
        <w:rPr>
          <w:rFonts w:ascii="CAIXA Std Book" w:hAnsi="CAIXA Std Book"/>
          <w:color w:val="005CA9"/>
          <w:sz w:val="16"/>
          <w:szCs w:val="16"/>
        </w:rPr>
        <w:t>(2</w:t>
      </w:r>
      <w:r w:rsidR="00FF0878" w:rsidRPr="00E20D21">
        <w:rPr>
          <w:rFonts w:ascii="CAIXA Std Book" w:hAnsi="CAIXA Std Book"/>
          <w:color w:val="005CA9"/>
          <w:sz w:val="16"/>
          <w:szCs w:val="16"/>
        </w:rPr>
        <w:t xml:space="preserve">) Representam os ativos classificados em contas transitórias, principalmente liberações de crédito imobiliário. </w:t>
      </w:r>
    </w:p>
    <w:p w14:paraId="5C2ED116" w14:textId="50191F99" w:rsidR="004E18CD" w:rsidRPr="00E20D21" w:rsidRDefault="00DA1188" w:rsidP="00DA1188">
      <w:pPr>
        <w:jc w:val="both"/>
        <w:rPr>
          <w:rFonts w:ascii="CAIXA Std Book" w:hAnsi="CAIXA Std Book"/>
          <w:color w:val="005CA9"/>
          <w:sz w:val="16"/>
          <w:szCs w:val="16"/>
        </w:rPr>
      </w:pPr>
      <w:r w:rsidRPr="00E20D21">
        <w:rPr>
          <w:rFonts w:ascii="CAIXA Std Book" w:hAnsi="CAIXA Std Book"/>
          <w:color w:val="005CA9"/>
          <w:sz w:val="16"/>
          <w:szCs w:val="16"/>
        </w:rPr>
        <w:t>(</w:t>
      </w:r>
      <w:r w:rsidR="002C7202" w:rsidRPr="00E20D21">
        <w:rPr>
          <w:rFonts w:ascii="CAIXA Std Book" w:hAnsi="CAIXA Std Book"/>
          <w:color w:val="005CA9"/>
          <w:sz w:val="16"/>
          <w:szCs w:val="16"/>
        </w:rPr>
        <w:t>3</w:t>
      </w:r>
      <w:r w:rsidRPr="00E20D21">
        <w:rPr>
          <w:rFonts w:ascii="CAIXA Std Book" w:hAnsi="CAIXA Std Book"/>
          <w:color w:val="005CA9"/>
          <w:sz w:val="16"/>
          <w:szCs w:val="16"/>
        </w:rPr>
        <w:t xml:space="preserve">) </w:t>
      </w:r>
      <w:r w:rsidR="005664DE" w:rsidRPr="00E20D21">
        <w:rPr>
          <w:rFonts w:ascii="CAIXA Std Book" w:hAnsi="CAIXA Std Book"/>
          <w:color w:val="005CA9"/>
          <w:sz w:val="16"/>
          <w:szCs w:val="16"/>
        </w:rPr>
        <w:t>In</w:t>
      </w:r>
      <w:r w:rsidR="00571BF6" w:rsidRPr="00E20D21">
        <w:rPr>
          <w:rFonts w:ascii="CAIXA Std Book" w:hAnsi="CAIXA Std Book"/>
          <w:color w:val="005CA9"/>
          <w:sz w:val="16"/>
          <w:szCs w:val="16"/>
        </w:rPr>
        <w:t>clui créditos da CAIXA junto à União</w:t>
      </w:r>
      <w:r w:rsidR="00566C9A" w:rsidRPr="00E20D21">
        <w:rPr>
          <w:rFonts w:ascii="CAIXA Std Book" w:hAnsi="CAIXA Std Book"/>
          <w:color w:val="005CA9"/>
          <w:sz w:val="16"/>
          <w:szCs w:val="16"/>
        </w:rPr>
        <w:t xml:space="preserve"> </w:t>
      </w:r>
      <w:r w:rsidR="008B437D" w:rsidRPr="00E20D21">
        <w:rPr>
          <w:rFonts w:ascii="CAIXA Std Book" w:hAnsi="CAIXA Std Book"/>
          <w:color w:val="005CA9"/>
          <w:sz w:val="16"/>
          <w:szCs w:val="16"/>
        </w:rPr>
        <w:t>referentes a</w:t>
      </w:r>
      <w:r w:rsidR="00566C9A" w:rsidRPr="00E20D21">
        <w:rPr>
          <w:rFonts w:ascii="CAIXA Std Book" w:hAnsi="CAIXA Std Book"/>
          <w:color w:val="005CA9"/>
          <w:sz w:val="16"/>
          <w:szCs w:val="16"/>
        </w:rPr>
        <w:t xml:space="preserve"> cotas e dividendos</w:t>
      </w:r>
      <w:r w:rsidR="00571BF6" w:rsidRPr="00E20D21">
        <w:rPr>
          <w:rFonts w:ascii="CAIXA Std Book" w:hAnsi="CAIXA Std Book"/>
          <w:color w:val="005CA9"/>
          <w:sz w:val="16"/>
          <w:szCs w:val="16"/>
        </w:rPr>
        <w:t xml:space="preserve"> </w:t>
      </w:r>
      <w:r w:rsidR="00F35744" w:rsidRPr="00E20D21">
        <w:rPr>
          <w:rFonts w:ascii="CAIXA Std Book" w:hAnsi="CAIXA Std Book"/>
          <w:color w:val="005CA9"/>
          <w:sz w:val="16"/>
          <w:szCs w:val="16"/>
        </w:rPr>
        <w:t>do FND</w:t>
      </w:r>
      <w:r w:rsidR="00571BF6" w:rsidRPr="00E20D21">
        <w:rPr>
          <w:rFonts w:ascii="CAIXA Std Book" w:hAnsi="CAIXA Std Book"/>
          <w:color w:val="005CA9"/>
          <w:sz w:val="16"/>
          <w:szCs w:val="16"/>
        </w:rPr>
        <w:t xml:space="preserve"> no </w:t>
      </w:r>
      <w:r w:rsidR="00AC587B" w:rsidRPr="00E20D21">
        <w:rPr>
          <w:rFonts w:ascii="CAIXA Std Book" w:hAnsi="CAIXA Std Book"/>
          <w:color w:val="005CA9"/>
          <w:sz w:val="16"/>
          <w:szCs w:val="16"/>
        </w:rPr>
        <w:t>montante</w:t>
      </w:r>
      <w:r w:rsidR="00571BF6" w:rsidRPr="00E20D21">
        <w:rPr>
          <w:rFonts w:ascii="CAIXA Std Book" w:hAnsi="CAIXA Std Book"/>
          <w:color w:val="005CA9"/>
          <w:sz w:val="16"/>
          <w:szCs w:val="16"/>
        </w:rPr>
        <w:t xml:space="preserve"> de R$</w:t>
      </w:r>
      <w:r w:rsidR="00084C17" w:rsidRPr="00E20D21">
        <w:rPr>
          <w:rFonts w:ascii="CAIXA Std Book" w:hAnsi="CAIXA Std Book"/>
          <w:color w:val="005CA9"/>
          <w:sz w:val="16"/>
          <w:szCs w:val="16"/>
        </w:rPr>
        <w:t xml:space="preserve"> </w:t>
      </w:r>
      <w:r w:rsidR="00486B16" w:rsidRPr="00E20D21">
        <w:rPr>
          <w:rFonts w:ascii="CAIXA Std Book" w:hAnsi="CAIXA Std Book"/>
          <w:color w:val="005CA9"/>
          <w:sz w:val="16"/>
          <w:szCs w:val="16"/>
        </w:rPr>
        <w:t>742.751</w:t>
      </w:r>
      <w:r w:rsidR="005707D8" w:rsidRPr="00E20D21">
        <w:rPr>
          <w:rFonts w:ascii="CAIXA Std Book" w:hAnsi="CAIXA Std Book"/>
          <w:color w:val="005CA9"/>
          <w:sz w:val="16"/>
          <w:szCs w:val="16"/>
        </w:rPr>
        <w:t>,</w:t>
      </w:r>
      <w:r w:rsidR="00864FF0" w:rsidRPr="00E20D21">
        <w:rPr>
          <w:rFonts w:ascii="CAIXA Std Book" w:hAnsi="CAIXA Std Book"/>
          <w:color w:val="005CA9"/>
          <w:sz w:val="16"/>
          <w:szCs w:val="16"/>
        </w:rPr>
        <w:t xml:space="preserve"> </w:t>
      </w:r>
      <w:r w:rsidR="00571BF6" w:rsidRPr="00E20D21">
        <w:rPr>
          <w:rFonts w:ascii="CAIXA Std Book" w:hAnsi="CAIXA Std Book"/>
          <w:color w:val="005CA9"/>
          <w:sz w:val="16"/>
          <w:szCs w:val="16"/>
        </w:rPr>
        <w:t>em 3</w:t>
      </w:r>
      <w:r w:rsidR="002641A0" w:rsidRPr="00E20D21">
        <w:rPr>
          <w:rFonts w:ascii="CAIXA Std Book" w:hAnsi="CAIXA Std Book"/>
          <w:color w:val="005CA9"/>
          <w:sz w:val="16"/>
          <w:szCs w:val="16"/>
        </w:rPr>
        <w:t>0/06</w:t>
      </w:r>
      <w:r w:rsidR="00571BF6" w:rsidRPr="00E20D21">
        <w:rPr>
          <w:rFonts w:ascii="CAIXA Std Book" w:hAnsi="CAIXA Std Book"/>
          <w:color w:val="005CA9"/>
          <w:sz w:val="16"/>
          <w:szCs w:val="16"/>
        </w:rPr>
        <w:t>/202</w:t>
      </w:r>
      <w:r w:rsidR="00F42AB8" w:rsidRPr="00E20D21">
        <w:rPr>
          <w:rFonts w:ascii="CAIXA Std Book" w:hAnsi="CAIXA Std Book"/>
          <w:color w:val="005CA9"/>
          <w:sz w:val="16"/>
          <w:szCs w:val="16"/>
        </w:rPr>
        <w:t>4</w:t>
      </w:r>
      <w:r w:rsidR="006E715F" w:rsidRPr="00E20D21">
        <w:rPr>
          <w:rFonts w:ascii="CAIXA Std Book" w:hAnsi="CAIXA Std Book"/>
          <w:color w:val="005CA9"/>
          <w:sz w:val="16"/>
          <w:szCs w:val="16"/>
        </w:rPr>
        <w:t xml:space="preserve"> </w:t>
      </w:r>
      <w:r w:rsidR="00203FBF" w:rsidRPr="00E20D21">
        <w:rPr>
          <w:rFonts w:ascii="CAIXA Std Book" w:hAnsi="CAIXA Std Book"/>
          <w:color w:val="005CA9"/>
          <w:sz w:val="16"/>
          <w:szCs w:val="16"/>
        </w:rPr>
        <w:t>(31/12/202</w:t>
      </w:r>
      <w:r w:rsidR="00A63300" w:rsidRPr="00E20D21">
        <w:rPr>
          <w:rFonts w:ascii="CAIXA Std Book" w:hAnsi="CAIXA Std Book"/>
          <w:color w:val="005CA9"/>
          <w:sz w:val="16"/>
          <w:szCs w:val="16"/>
        </w:rPr>
        <w:t>3</w:t>
      </w:r>
      <w:r w:rsidR="00203FBF" w:rsidRPr="00E20D21">
        <w:rPr>
          <w:rFonts w:ascii="CAIXA Std Book" w:hAnsi="CAIXA Std Book"/>
          <w:color w:val="005CA9"/>
          <w:sz w:val="16"/>
          <w:szCs w:val="16"/>
        </w:rPr>
        <w:t xml:space="preserve"> </w:t>
      </w:r>
      <w:r w:rsidR="00302E99" w:rsidRPr="00E20D21">
        <w:rPr>
          <w:rFonts w:ascii="CAIXA Std Book" w:hAnsi="CAIXA Std Book"/>
          <w:color w:val="005CA9"/>
          <w:sz w:val="16"/>
          <w:szCs w:val="16"/>
        </w:rPr>
        <w:t xml:space="preserve">– </w:t>
      </w:r>
      <w:r w:rsidR="008B437D" w:rsidRPr="00E20D21">
        <w:rPr>
          <w:rFonts w:ascii="CAIXA Std Book" w:hAnsi="CAIXA Std Book"/>
          <w:color w:val="005CA9"/>
          <w:sz w:val="16"/>
          <w:szCs w:val="16"/>
        </w:rPr>
        <w:t xml:space="preserve">R$ </w:t>
      </w:r>
      <w:r w:rsidR="00302E99" w:rsidRPr="00E20D21">
        <w:rPr>
          <w:rFonts w:ascii="CAIXA Std Book" w:hAnsi="CAIXA Std Book"/>
          <w:color w:val="005CA9"/>
          <w:sz w:val="16"/>
          <w:szCs w:val="16"/>
        </w:rPr>
        <w:t>723.021</w:t>
      </w:r>
      <w:r w:rsidR="00566C9A" w:rsidRPr="00E20D21">
        <w:rPr>
          <w:rFonts w:ascii="CAIXA Std Book" w:hAnsi="CAIXA Std Book"/>
          <w:color w:val="005CA9"/>
          <w:sz w:val="16"/>
          <w:szCs w:val="16"/>
        </w:rPr>
        <w:t>)</w:t>
      </w:r>
      <w:r w:rsidR="0011076E" w:rsidRPr="00E20D21">
        <w:rPr>
          <w:rFonts w:ascii="CAIXA Std Book" w:hAnsi="CAIXA Std Book"/>
          <w:color w:val="005CA9"/>
          <w:sz w:val="16"/>
          <w:szCs w:val="16"/>
        </w:rPr>
        <w:t>.</w:t>
      </w:r>
    </w:p>
    <w:p w14:paraId="0008E7AA" w14:textId="42EBB9F6" w:rsidR="005664DE" w:rsidRPr="00E20D21" w:rsidRDefault="007130C3" w:rsidP="00C23CE6">
      <w:pPr>
        <w:pStyle w:val="PargrafodaLista"/>
        <w:numPr>
          <w:ilvl w:val="0"/>
          <w:numId w:val="25"/>
        </w:numPr>
        <w:spacing w:before="480" w:after="240"/>
        <w:ind w:left="567" w:hanging="567"/>
        <w:contextualSpacing w:val="0"/>
        <w:rPr>
          <w:rFonts w:ascii="CAIXA Std Book" w:hAnsi="CAIXA Std Book"/>
          <w:b/>
          <w:color w:val="005CA9"/>
          <w:sz w:val="20"/>
          <w:szCs w:val="20"/>
        </w:rPr>
      </w:pPr>
      <w:r w:rsidRPr="00E20D21">
        <w:rPr>
          <w:rFonts w:ascii="CAIXA Std Book" w:hAnsi="CAIXA Std Book"/>
          <w:b/>
          <w:color w:val="005CA9"/>
          <w:sz w:val="20"/>
          <w:szCs w:val="20"/>
        </w:rPr>
        <w:lastRenderedPageBreak/>
        <w:t>Ativos não financeiros mantidos para venda</w:t>
      </w:r>
      <w:r w:rsidR="005664DE" w:rsidRPr="00E20D21">
        <w:rPr>
          <w:rFonts w:ascii="CAIXA Std Book" w:hAnsi="CAIXA Std Book"/>
          <w:b/>
          <w:color w:val="005CA9"/>
          <w:sz w:val="20"/>
          <w:szCs w:val="20"/>
        </w:rPr>
        <w:t xml:space="preserve"> e materiais de estoque</w:t>
      </w:r>
    </w:p>
    <w:tbl>
      <w:tblPr>
        <w:tblW w:w="5000" w:type="pct"/>
        <w:tblCellMar>
          <w:left w:w="70" w:type="dxa"/>
          <w:right w:w="70" w:type="dxa"/>
        </w:tblCellMar>
        <w:tblLook w:val="04A0" w:firstRow="1" w:lastRow="0" w:firstColumn="1" w:lastColumn="0" w:noHBand="0" w:noVBand="1"/>
      </w:tblPr>
      <w:tblGrid>
        <w:gridCol w:w="6070"/>
        <w:gridCol w:w="1822"/>
        <w:gridCol w:w="1746"/>
      </w:tblGrid>
      <w:tr w:rsidR="00A47C19" w:rsidRPr="00E20D21" w14:paraId="45AFE538" w14:textId="77777777" w:rsidTr="0091515E">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49B52742" w14:textId="0F6E296E" w:rsidR="00FE5F8A" w:rsidRPr="00E20D21" w:rsidRDefault="00FE5F8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r w:rsidR="00E20D21">
              <w:rPr>
                <w:rFonts w:ascii="CAIXA Std Book" w:hAnsi="CAIXA Std Book" w:cs="MS Gothic"/>
                <w:b/>
                <w:color w:val="005CA9"/>
                <w:sz w:val="18"/>
                <w:szCs w:val="18"/>
              </w:rPr>
              <w:t xml:space="preserve"> </w:t>
            </w:r>
            <w:r w:rsidR="007F54F4" w:rsidRPr="00E20D21">
              <w:rPr>
                <w:rFonts w:ascii="CAIXA Std Book" w:hAnsi="CAIXA Std Book" w:cs="MS Gothic"/>
                <w:b/>
                <w:color w:val="005CA9"/>
                <w:sz w:val="18"/>
                <w:szCs w:val="18"/>
              </w:rPr>
              <w:t>/</w:t>
            </w:r>
            <w:r w:rsidR="00E20D21">
              <w:rPr>
                <w:rFonts w:ascii="CAIXA Std Book" w:hAnsi="CAIXA Std Book" w:cs="MS Gothic"/>
                <w:b/>
                <w:color w:val="005CA9"/>
                <w:sz w:val="18"/>
                <w:szCs w:val="18"/>
              </w:rPr>
              <w:t xml:space="preserve"> </w:t>
            </w:r>
            <w:r w:rsidR="007F54F4" w:rsidRPr="00E20D21">
              <w:rPr>
                <w:rFonts w:ascii="CAIXA Std Book" w:hAnsi="CAIXA Std Book" w:cs="MS Gothic"/>
                <w:b/>
                <w:color w:val="005CA9"/>
                <w:sz w:val="18"/>
                <w:szCs w:val="18"/>
              </w:rPr>
              <w:t>CONSOLIDADO</w:t>
            </w:r>
          </w:p>
        </w:tc>
      </w:tr>
      <w:tr w:rsidR="00A47C19" w:rsidRPr="00E20D21" w14:paraId="2815169E" w14:textId="77777777" w:rsidTr="004B1C82">
        <w:trPr>
          <w:trHeight w:val="283"/>
        </w:trPr>
        <w:tc>
          <w:tcPr>
            <w:tcW w:w="3149" w:type="pct"/>
            <w:tcBorders>
              <w:top w:val="nil"/>
              <w:left w:val="nil"/>
              <w:bottom w:val="single" w:sz="4" w:space="0" w:color="F39200"/>
              <w:right w:val="nil"/>
            </w:tcBorders>
            <w:shd w:val="clear" w:color="auto" w:fill="auto"/>
            <w:noWrap/>
            <w:vAlign w:val="center"/>
            <w:hideMark/>
          </w:tcPr>
          <w:p w14:paraId="07F971CF" w14:textId="77777777" w:rsidR="00FE5F8A" w:rsidRPr="00E20D21" w:rsidRDefault="00FE5F8A">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945" w:type="pct"/>
            <w:tcBorders>
              <w:top w:val="nil"/>
              <w:left w:val="nil"/>
              <w:bottom w:val="single" w:sz="4" w:space="0" w:color="F39200"/>
              <w:right w:val="nil"/>
            </w:tcBorders>
            <w:shd w:val="clear" w:color="auto" w:fill="auto"/>
            <w:noWrap/>
            <w:vAlign w:val="center"/>
            <w:hideMark/>
          </w:tcPr>
          <w:p w14:paraId="078FCB39" w14:textId="2DBA51E4" w:rsidR="00FE5F8A" w:rsidRPr="00E20D21" w:rsidRDefault="00E0488F" w:rsidP="00CA5981">
            <w:pPr>
              <w:jc w:val="right"/>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906" w:type="pct"/>
            <w:tcBorders>
              <w:top w:val="nil"/>
              <w:left w:val="nil"/>
              <w:bottom w:val="single" w:sz="4" w:space="0" w:color="F39200"/>
              <w:right w:val="nil"/>
            </w:tcBorders>
            <w:shd w:val="clear" w:color="auto" w:fill="auto"/>
            <w:noWrap/>
            <w:vAlign w:val="center"/>
            <w:hideMark/>
          </w:tcPr>
          <w:p w14:paraId="327405F3" w14:textId="150E2822" w:rsidR="00FE5F8A" w:rsidRPr="00E20D21" w:rsidRDefault="00FE5F8A" w:rsidP="00CA5981">
            <w:pPr>
              <w:jc w:val="right"/>
              <w:rPr>
                <w:rFonts w:ascii="CAIXA Std Book" w:hAnsi="CAIXA Std Book" w:cs="MS Gothic"/>
                <w:b/>
                <w:color w:val="005CA9"/>
                <w:sz w:val="18"/>
                <w:szCs w:val="18"/>
              </w:rPr>
            </w:pPr>
            <w:r w:rsidRPr="00E20D21">
              <w:rPr>
                <w:rFonts w:ascii="CAIXA Std Book" w:hAnsi="CAIXA Std Book" w:cs="MS Gothic"/>
                <w:b/>
                <w:color w:val="005CA9"/>
                <w:sz w:val="18"/>
                <w:szCs w:val="18"/>
              </w:rPr>
              <w:t>31/12/202</w:t>
            </w:r>
            <w:r w:rsidR="00E0488F" w:rsidRPr="00E20D21">
              <w:rPr>
                <w:rFonts w:ascii="CAIXA Std Book" w:hAnsi="CAIXA Std Book" w:cs="MS Gothic"/>
                <w:b/>
                <w:color w:val="005CA9"/>
                <w:sz w:val="18"/>
                <w:szCs w:val="18"/>
              </w:rPr>
              <w:t>3</w:t>
            </w:r>
          </w:p>
        </w:tc>
      </w:tr>
      <w:tr w:rsidR="00402B6D" w:rsidRPr="00E20D21" w14:paraId="5C5A7192" w14:textId="77777777" w:rsidTr="004B1C82">
        <w:trPr>
          <w:trHeight w:val="283"/>
        </w:trPr>
        <w:tc>
          <w:tcPr>
            <w:tcW w:w="3149" w:type="pct"/>
            <w:tcBorders>
              <w:top w:val="nil"/>
              <w:left w:val="nil"/>
              <w:bottom w:val="nil"/>
              <w:right w:val="nil"/>
            </w:tcBorders>
            <w:shd w:val="clear" w:color="auto" w:fill="auto"/>
            <w:noWrap/>
            <w:vAlign w:val="center"/>
            <w:hideMark/>
          </w:tcPr>
          <w:p w14:paraId="4C116EFC" w14:textId="77777777" w:rsidR="00402B6D" w:rsidRPr="00E20D21" w:rsidRDefault="00402B6D" w:rsidP="00402B6D">
            <w:pPr>
              <w:rPr>
                <w:rFonts w:ascii="CAIXA Std Book" w:hAnsi="CAIXA Std Book" w:cs="MS Gothic"/>
                <w:color w:val="005CA9"/>
                <w:sz w:val="18"/>
                <w:szCs w:val="18"/>
              </w:rPr>
            </w:pPr>
            <w:r w:rsidRPr="00E20D21">
              <w:rPr>
                <w:rFonts w:ascii="CAIXA Std Book" w:hAnsi="CAIXA Std Book" w:cs="Arial Unicode MS"/>
                <w:color w:val="005CA9"/>
                <w:sz w:val="18"/>
                <w:szCs w:val="18"/>
              </w:rPr>
              <w:t>Ativos não financeiros mantidos para venda - Recebidos</w:t>
            </w:r>
          </w:p>
        </w:tc>
        <w:tc>
          <w:tcPr>
            <w:tcW w:w="945" w:type="pct"/>
            <w:tcBorders>
              <w:top w:val="nil"/>
              <w:left w:val="nil"/>
              <w:bottom w:val="nil"/>
              <w:right w:val="nil"/>
            </w:tcBorders>
            <w:shd w:val="clear" w:color="auto" w:fill="auto"/>
            <w:noWrap/>
            <w:vAlign w:val="center"/>
          </w:tcPr>
          <w:p w14:paraId="53DB8D3E" w14:textId="077974D2" w:rsidR="00402B6D" w:rsidRPr="00E20D21" w:rsidRDefault="00402B6D" w:rsidP="00402B6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5.625.097</w:t>
            </w:r>
          </w:p>
        </w:tc>
        <w:tc>
          <w:tcPr>
            <w:tcW w:w="906" w:type="pct"/>
            <w:tcBorders>
              <w:top w:val="nil"/>
              <w:left w:val="nil"/>
              <w:bottom w:val="nil"/>
              <w:right w:val="nil"/>
            </w:tcBorders>
            <w:shd w:val="clear" w:color="auto" w:fill="auto"/>
            <w:noWrap/>
            <w:vAlign w:val="center"/>
          </w:tcPr>
          <w:p w14:paraId="28C6593E" w14:textId="699A2555" w:rsidR="00402B6D" w:rsidRPr="00E20D21" w:rsidRDefault="00402B6D" w:rsidP="00402B6D">
            <w:pPr>
              <w:jc w:val="right"/>
              <w:rPr>
                <w:rFonts w:ascii="CAIXA Std Book" w:hAnsi="CAIXA Std Book" w:cs="MS Gothic"/>
                <w:color w:val="005CA9"/>
                <w:sz w:val="18"/>
                <w:szCs w:val="18"/>
              </w:rPr>
            </w:pPr>
            <w:r w:rsidRPr="00E20D21">
              <w:rPr>
                <w:rFonts w:ascii="CAIXA Std Book" w:hAnsi="CAIXA Std Book" w:cs="Arial Unicode MS"/>
                <w:color w:val="005CA9"/>
                <w:sz w:val="18"/>
                <w:szCs w:val="18"/>
              </w:rPr>
              <w:t>4.676.224</w:t>
            </w:r>
          </w:p>
        </w:tc>
      </w:tr>
      <w:tr w:rsidR="00402B6D" w:rsidRPr="00E20D21" w14:paraId="4DCE503F" w14:textId="77777777" w:rsidTr="004B1C82">
        <w:trPr>
          <w:trHeight w:val="283"/>
        </w:trPr>
        <w:tc>
          <w:tcPr>
            <w:tcW w:w="3149" w:type="pct"/>
            <w:tcBorders>
              <w:top w:val="nil"/>
              <w:left w:val="nil"/>
              <w:bottom w:val="nil"/>
              <w:right w:val="nil"/>
            </w:tcBorders>
            <w:shd w:val="clear" w:color="auto" w:fill="auto"/>
            <w:noWrap/>
            <w:vAlign w:val="center"/>
            <w:hideMark/>
          </w:tcPr>
          <w:p w14:paraId="14C3C3E9" w14:textId="72C056DD" w:rsidR="00402B6D" w:rsidRPr="00E20D21" w:rsidRDefault="00402B6D" w:rsidP="00402B6D">
            <w:pPr>
              <w:rPr>
                <w:rFonts w:ascii="CAIXA Std Book" w:hAnsi="CAIXA Std Book" w:cs="MS Gothic"/>
                <w:color w:val="005CA9"/>
                <w:sz w:val="18"/>
                <w:szCs w:val="18"/>
              </w:rPr>
            </w:pPr>
            <w:r w:rsidRPr="00E20D21">
              <w:rPr>
                <w:rFonts w:ascii="CAIXA Std Book" w:hAnsi="CAIXA Std Book" w:cs="Arial Unicode MS"/>
                <w:color w:val="005CA9"/>
                <w:sz w:val="18"/>
                <w:szCs w:val="18"/>
              </w:rPr>
              <w:t>Ativos não financeiros mantidos para venda - Próprios</w:t>
            </w:r>
          </w:p>
        </w:tc>
        <w:tc>
          <w:tcPr>
            <w:tcW w:w="945" w:type="pct"/>
            <w:tcBorders>
              <w:top w:val="nil"/>
              <w:left w:val="nil"/>
              <w:bottom w:val="nil"/>
              <w:right w:val="nil"/>
            </w:tcBorders>
            <w:shd w:val="clear" w:color="auto" w:fill="auto"/>
            <w:noWrap/>
            <w:vAlign w:val="center"/>
          </w:tcPr>
          <w:p w14:paraId="353F7B44" w14:textId="1E1C1DEE" w:rsidR="00402B6D" w:rsidRPr="00E20D21" w:rsidRDefault="00402B6D" w:rsidP="00402B6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54.828</w:t>
            </w:r>
          </w:p>
        </w:tc>
        <w:tc>
          <w:tcPr>
            <w:tcW w:w="906" w:type="pct"/>
            <w:tcBorders>
              <w:top w:val="nil"/>
              <w:left w:val="nil"/>
              <w:bottom w:val="nil"/>
              <w:right w:val="nil"/>
            </w:tcBorders>
            <w:shd w:val="clear" w:color="auto" w:fill="auto"/>
            <w:noWrap/>
            <w:vAlign w:val="center"/>
          </w:tcPr>
          <w:p w14:paraId="5F68AD54" w14:textId="155749C1" w:rsidR="00402B6D" w:rsidRPr="00E20D21" w:rsidRDefault="00402B6D" w:rsidP="00402B6D">
            <w:pPr>
              <w:jc w:val="right"/>
              <w:rPr>
                <w:rFonts w:ascii="CAIXA Std Book" w:hAnsi="CAIXA Std Book" w:cs="MS Gothic"/>
                <w:color w:val="005CA9"/>
                <w:sz w:val="18"/>
                <w:szCs w:val="18"/>
              </w:rPr>
            </w:pPr>
            <w:r w:rsidRPr="00E20D21">
              <w:rPr>
                <w:rFonts w:ascii="CAIXA Std Book" w:hAnsi="CAIXA Std Book" w:cs="Arial Unicode MS"/>
                <w:color w:val="005CA9"/>
                <w:sz w:val="18"/>
                <w:szCs w:val="18"/>
              </w:rPr>
              <w:t>53.975</w:t>
            </w:r>
          </w:p>
        </w:tc>
      </w:tr>
      <w:tr w:rsidR="00402B6D" w:rsidRPr="00E20D21" w14:paraId="67F214CF" w14:textId="77777777" w:rsidTr="004B1C82">
        <w:trPr>
          <w:trHeight w:val="283"/>
        </w:trPr>
        <w:tc>
          <w:tcPr>
            <w:tcW w:w="3149" w:type="pct"/>
            <w:tcBorders>
              <w:top w:val="nil"/>
              <w:left w:val="nil"/>
              <w:bottom w:val="single" w:sz="4" w:space="0" w:color="F79646" w:themeColor="accent6"/>
              <w:right w:val="nil"/>
            </w:tcBorders>
            <w:shd w:val="clear" w:color="auto" w:fill="auto"/>
            <w:noWrap/>
            <w:vAlign w:val="center"/>
            <w:hideMark/>
          </w:tcPr>
          <w:p w14:paraId="7EE96DD4" w14:textId="77777777" w:rsidR="00402B6D" w:rsidRPr="00E20D21" w:rsidRDefault="00402B6D" w:rsidP="00402B6D">
            <w:pPr>
              <w:rPr>
                <w:rFonts w:ascii="CAIXA Std Book" w:hAnsi="CAIXA Std Book" w:cs="MS Gothic"/>
                <w:color w:val="005CA9"/>
                <w:sz w:val="18"/>
                <w:szCs w:val="18"/>
              </w:rPr>
            </w:pPr>
            <w:r w:rsidRPr="00E20D21">
              <w:rPr>
                <w:rFonts w:ascii="CAIXA Std Book" w:hAnsi="CAIXA Std Book" w:cs="Arial Unicode MS"/>
                <w:color w:val="005CA9"/>
                <w:sz w:val="18"/>
                <w:szCs w:val="18"/>
              </w:rPr>
              <w:t>Material de consumo</w:t>
            </w:r>
          </w:p>
        </w:tc>
        <w:tc>
          <w:tcPr>
            <w:tcW w:w="945" w:type="pct"/>
            <w:tcBorders>
              <w:top w:val="nil"/>
              <w:left w:val="nil"/>
              <w:bottom w:val="single" w:sz="4" w:space="0" w:color="F39200"/>
              <w:right w:val="nil"/>
            </w:tcBorders>
            <w:shd w:val="clear" w:color="auto" w:fill="auto"/>
            <w:noWrap/>
            <w:vAlign w:val="center"/>
          </w:tcPr>
          <w:p w14:paraId="5C276243" w14:textId="325153C2" w:rsidR="00402B6D" w:rsidRPr="00E20D21" w:rsidRDefault="00402B6D" w:rsidP="00402B6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21.744</w:t>
            </w:r>
          </w:p>
        </w:tc>
        <w:tc>
          <w:tcPr>
            <w:tcW w:w="906" w:type="pct"/>
            <w:tcBorders>
              <w:top w:val="nil"/>
              <w:left w:val="nil"/>
              <w:bottom w:val="single" w:sz="4" w:space="0" w:color="F79646" w:themeColor="accent6"/>
              <w:right w:val="nil"/>
            </w:tcBorders>
            <w:shd w:val="clear" w:color="auto" w:fill="auto"/>
            <w:noWrap/>
            <w:vAlign w:val="center"/>
          </w:tcPr>
          <w:p w14:paraId="6DF1951B" w14:textId="53DB9D67" w:rsidR="00402B6D" w:rsidRPr="00E20D21" w:rsidRDefault="00402B6D" w:rsidP="00402B6D">
            <w:pPr>
              <w:jc w:val="right"/>
              <w:rPr>
                <w:rFonts w:ascii="CAIXA Std Book" w:hAnsi="CAIXA Std Book" w:cs="MS Gothic"/>
                <w:color w:val="005CA9"/>
                <w:sz w:val="18"/>
                <w:szCs w:val="18"/>
              </w:rPr>
            </w:pPr>
            <w:r w:rsidRPr="00E20D21">
              <w:rPr>
                <w:rFonts w:ascii="CAIXA Std Book" w:hAnsi="CAIXA Std Book" w:cs="Arial Unicode MS"/>
                <w:color w:val="005CA9"/>
                <w:sz w:val="18"/>
                <w:szCs w:val="18"/>
              </w:rPr>
              <w:t>28.031</w:t>
            </w:r>
          </w:p>
        </w:tc>
      </w:tr>
      <w:tr w:rsidR="00402B6D" w:rsidRPr="00E20D21" w14:paraId="7A1786F5" w14:textId="77777777" w:rsidTr="004B1C82">
        <w:trPr>
          <w:trHeight w:val="283"/>
        </w:trPr>
        <w:tc>
          <w:tcPr>
            <w:tcW w:w="3149" w:type="pct"/>
            <w:tcBorders>
              <w:top w:val="single" w:sz="4" w:space="0" w:color="F79646" w:themeColor="accent6"/>
              <w:left w:val="nil"/>
              <w:bottom w:val="single" w:sz="4" w:space="0" w:color="F39200"/>
              <w:right w:val="nil"/>
            </w:tcBorders>
            <w:shd w:val="clear" w:color="auto" w:fill="auto"/>
            <w:noWrap/>
            <w:vAlign w:val="center"/>
            <w:hideMark/>
          </w:tcPr>
          <w:p w14:paraId="4D152789" w14:textId="77777777" w:rsidR="00402B6D" w:rsidRPr="00E20D21" w:rsidRDefault="00402B6D" w:rsidP="00402B6D">
            <w:pPr>
              <w:rPr>
                <w:rFonts w:ascii="CAIXA Std Book" w:hAnsi="CAIXA Std Book" w:cs="MS Gothic"/>
                <w:color w:val="005CA9"/>
                <w:sz w:val="18"/>
                <w:szCs w:val="18"/>
              </w:rPr>
            </w:pPr>
            <w:r w:rsidRPr="00E20D21">
              <w:rPr>
                <w:rFonts w:ascii="CAIXA Std Book" w:hAnsi="CAIXA Std Book" w:cs="Arial Unicode MS"/>
                <w:b/>
                <w:color w:val="005CA9"/>
                <w:sz w:val="18"/>
                <w:szCs w:val="18"/>
              </w:rPr>
              <w:t>Total</w:t>
            </w:r>
          </w:p>
        </w:tc>
        <w:tc>
          <w:tcPr>
            <w:tcW w:w="945" w:type="pct"/>
            <w:tcBorders>
              <w:top w:val="nil"/>
              <w:left w:val="nil"/>
              <w:bottom w:val="single" w:sz="4" w:space="0" w:color="F39200"/>
              <w:right w:val="nil"/>
            </w:tcBorders>
            <w:shd w:val="clear" w:color="auto" w:fill="auto"/>
            <w:noWrap/>
            <w:vAlign w:val="center"/>
          </w:tcPr>
          <w:p w14:paraId="3F9A808C" w14:textId="14BF25C8" w:rsidR="00402B6D" w:rsidRPr="00E20D21" w:rsidRDefault="00402B6D" w:rsidP="00402B6D">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5.701.669</w:t>
            </w:r>
          </w:p>
        </w:tc>
        <w:tc>
          <w:tcPr>
            <w:tcW w:w="906" w:type="pct"/>
            <w:tcBorders>
              <w:top w:val="single" w:sz="4" w:space="0" w:color="F79646" w:themeColor="accent6"/>
              <w:left w:val="nil"/>
              <w:bottom w:val="single" w:sz="4" w:space="0" w:color="F39200"/>
              <w:right w:val="nil"/>
            </w:tcBorders>
            <w:shd w:val="clear" w:color="auto" w:fill="auto"/>
            <w:noWrap/>
            <w:vAlign w:val="center"/>
          </w:tcPr>
          <w:p w14:paraId="2542432B" w14:textId="438D8B07" w:rsidR="00402B6D" w:rsidRPr="00E20D21" w:rsidRDefault="00402B6D" w:rsidP="00402B6D">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4.758.230</w:t>
            </w:r>
          </w:p>
        </w:tc>
      </w:tr>
      <w:tr w:rsidR="00402B6D" w:rsidRPr="00E20D21" w14:paraId="5771F45F" w14:textId="77777777" w:rsidTr="004B1C82">
        <w:trPr>
          <w:trHeight w:val="283"/>
        </w:trPr>
        <w:tc>
          <w:tcPr>
            <w:tcW w:w="3149" w:type="pct"/>
            <w:tcBorders>
              <w:top w:val="nil"/>
              <w:left w:val="nil"/>
              <w:bottom w:val="single" w:sz="4" w:space="0" w:color="F39200"/>
              <w:right w:val="nil"/>
            </w:tcBorders>
            <w:shd w:val="clear" w:color="auto" w:fill="auto"/>
            <w:noWrap/>
            <w:vAlign w:val="center"/>
            <w:hideMark/>
          </w:tcPr>
          <w:p w14:paraId="73A16A00" w14:textId="77777777" w:rsidR="00402B6D" w:rsidRPr="00E20D21" w:rsidRDefault="00402B6D" w:rsidP="00402B6D">
            <w:pPr>
              <w:rPr>
                <w:rFonts w:ascii="CAIXA Std Book" w:hAnsi="CAIXA Std Book" w:cs="MS Gothic"/>
                <w:b/>
                <w:color w:val="005CA9"/>
                <w:sz w:val="18"/>
                <w:szCs w:val="18"/>
              </w:rPr>
            </w:pPr>
            <w:r w:rsidRPr="00E20D21">
              <w:rPr>
                <w:rFonts w:ascii="CAIXA Std Book" w:hAnsi="CAIXA Std Book" w:cs="Arial Unicode MS"/>
                <w:color w:val="005CA9"/>
                <w:sz w:val="18"/>
                <w:szCs w:val="18"/>
              </w:rPr>
              <w:t>Provisão para perdas ao valor recuperável de ativos</w:t>
            </w:r>
          </w:p>
        </w:tc>
        <w:tc>
          <w:tcPr>
            <w:tcW w:w="945" w:type="pct"/>
            <w:tcBorders>
              <w:top w:val="nil"/>
              <w:left w:val="nil"/>
              <w:bottom w:val="nil"/>
              <w:right w:val="nil"/>
            </w:tcBorders>
            <w:shd w:val="clear" w:color="auto" w:fill="auto"/>
            <w:noWrap/>
            <w:vAlign w:val="center"/>
          </w:tcPr>
          <w:p w14:paraId="126C6BBA" w14:textId="0419145F" w:rsidR="00402B6D" w:rsidRPr="00E20D21" w:rsidRDefault="00402B6D" w:rsidP="00402B6D">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(1.101.</w:t>
            </w:r>
            <w:r w:rsidR="004B1C82" w:rsidRPr="00E20D21">
              <w:rPr>
                <w:rFonts w:ascii="CAIXA Std Book" w:hAnsi="CAIXA Std Book" w:cs="Arial"/>
                <w:color w:val="005CA9"/>
                <w:sz w:val="18"/>
                <w:szCs w:val="18"/>
              </w:rPr>
              <w:t>869</w:t>
            </w:r>
            <w:r w:rsidRPr="00E20D21">
              <w:rPr>
                <w:rFonts w:ascii="CAIXA Std Book" w:hAnsi="CAIXA Std Book" w:cs="Arial"/>
                <w:color w:val="005CA9"/>
                <w:sz w:val="18"/>
                <w:szCs w:val="18"/>
              </w:rPr>
              <w:t>)</w:t>
            </w:r>
          </w:p>
        </w:tc>
        <w:tc>
          <w:tcPr>
            <w:tcW w:w="906" w:type="pct"/>
            <w:tcBorders>
              <w:top w:val="nil"/>
              <w:left w:val="nil"/>
              <w:bottom w:val="single" w:sz="4" w:space="0" w:color="F39200"/>
              <w:right w:val="nil"/>
            </w:tcBorders>
            <w:shd w:val="clear" w:color="auto" w:fill="auto"/>
            <w:noWrap/>
            <w:vAlign w:val="center"/>
          </w:tcPr>
          <w:p w14:paraId="646D7D6F" w14:textId="4096D50C" w:rsidR="00402B6D" w:rsidRPr="00E20D21" w:rsidRDefault="00402B6D" w:rsidP="00402B6D">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(998.910</w:t>
            </w:r>
            <w:r w:rsidRPr="00E20D21">
              <w:rPr>
                <w:rFonts w:ascii="CAIXA Std Book" w:hAnsi="CAIXA Std Book" w:cs="Arial"/>
                <w:color w:val="005CA9"/>
                <w:sz w:val="18"/>
                <w:szCs w:val="18"/>
              </w:rPr>
              <w:t>)</w:t>
            </w:r>
          </w:p>
        </w:tc>
      </w:tr>
      <w:tr w:rsidR="00402B6D" w:rsidRPr="00E20D21" w14:paraId="434F13E5" w14:textId="77777777" w:rsidTr="004B1C82">
        <w:trPr>
          <w:trHeight w:val="283"/>
        </w:trPr>
        <w:tc>
          <w:tcPr>
            <w:tcW w:w="3149" w:type="pct"/>
            <w:tcBorders>
              <w:top w:val="nil"/>
              <w:left w:val="nil"/>
              <w:bottom w:val="single" w:sz="4" w:space="0" w:color="F39200"/>
              <w:right w:val="nil"/>
            </w:tcBorders>
            <w:shd w:val="clear" w:color="auto" w:fill="auto"/>
            <w:noWrap/>
            <w:vAlign w:val="center"/>
            <w:hideMark/>
          </w:tcPr>
          <w:p w14:paraId="49B8D3AD" w14:textId="77777777" w:rsidR="00402B6D" w:rsidRPr="00E20D21" w:rsidRDefault="00402B6D" w:rsidP="00402B6D">
            <w:pPr>
              <w:rPr>
                <w:rFonts w:ascii="CAIXA Std Book" w:hAnsi="CAIXA Std Book" w:cs="MS Gothic"/>
                <w:color w:val="005CA9"/>
                <w:sz w:val="18"/>
                <w:szCs w:val="18"/>
              </w:rPr>
            </w:pPr>
            <w:r w:rsidRPr="00E20D21">
              <w:rPr>
                <w:rFonts w:ascii="CAIXA Std Book" w:hAnsi="CAIXA Std Book" w:cs="Arial Unicode MS"/>
                <w:b/>
                <w:color w:val="005CA9"/>
                <w:sz w:val="18"/>
                <w:szCs w:val="18"/>
              </w:rPr>
              <w:t>Total líquido de provisão</w:t>
            </w:r>
          </w:p>
        </w:tc>
        <w:tc>
          <w:tcPr>
            <w:tcW w:w="945" w:type="pct"/>
            <w:tcBorders>
              <w:top w:val="single" w:sz="4" w:space="0" w:color="F39200"/>
              <w:left w:val="nil"/>
              <w:bottom w:val="single" w:sz="4" w:space="0" w:color="F39200"/>
              <w:right w:val="nil"/>
            </w:tcBorders>
            <w:shd w:val="clear" w:color="auto" w:fill="auto"/>
            <w:noWrap/>
            <w:vAlign w:val="center"/>
          </w:tcPr>
          <w:p w14:paraId="529D74A7" w14:textId="183E215D" w:rsidR="00402B6D" w:rsidRPr="00E20D21" w:rsidRDefault="00402B6D" w:rsidP="00402B6D">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4.599.</w:t>
            </w:r>
            <w:r w:rsidR="004B1C82" w:rsidRPr="00E20D21">
              <w:rPr>
                <w:rFonts w:ascii="CAIXA Std Book" w:hAnsi="CAIXA Std Book" w:cs="Arial"/>
                <w:b/>
                <w:bCs/>
                <w:color w:val="005CA9"/>
                <w:sz w:val="18"/>
                <w:szCs w:val="18"/>
              </w:rPr>
              <w:t>800</w:t>
            </w:r>
          </w:p>
        </w:tc>
        <w:tc>
          <w:tcPr>
            <w:tcW w:w="906" w:type="pct"/>
            <w:tcBorders>
              <w:top w:val="nil"/>
              <w:left w:val="nil"/>
              <w:bottom w:val="single" w:sz="4" w:space="0" w:color="F39200"/>
              <w:right w:val="nil"/>
            </w:tcBorders>
            <w:shd w:val="clear" w:color="auto" w:fill="auto"/>
            <w:noWrap/>
            <w:vAlign w:val="center"/>
          </w:tcPr>
          <w:p w14:paraId="7D911E94" w14:textId="170F9458" w:rsidR="00402B6D" w:rsidRPr="00E20D21" w:rsidRDefault="00402B6D" w:rsidP="00402B6D">
            <w:pPr>
              <w:jc w:val="right"/>
              <w:rPr>
                <w:rFonts w:ascii="CAIXA Std Book" w:hAnsi="CAIXA Std Book" w:cs="Arial Unicode MS"/>
                <w:b/>
                <w:color w:val="005CA9"/>
                <w:sz w:val="18"/>
                <w:szCs w:val="18"/>
              </w:rPr>
            </w:pPr>
            <w:r w:rsidRPr="00E20D21">
              <w:rPr>
                <w:rFonts w:ascii="CAIXA Std Book" w:hAnsi="CAIXA Std Book" w:cs="Arial Unicode MS"/>
                <w:b/>
                <w:color w:val="005CA9"/>
                <w:sz w:val="18"/>
                <w:szCs w:val="18"/>
              </w:rPr>
              <w:t>3.759.320</w:t>
            </w:r>
          </w:p>
        </w:tc>
      </w:tr>
    </w:tbl>
    <w:p w14:paraId="50311EF9" w14:textId="40BE4066" w:rsidR="005664DE" w:rsidRPr="00E20D21" w:rsidRDefault="00931A03" w:rsidP="00C23CE6">
      <w:pPr>
        <w:pStyle w:val="PargrafodaLista"/>
        <w:numPr>
          <w:ilvl w:val="0"/>
          <w:numId w:val="25"/>
        </w:numPr>
        <w:spacing w:before="480" w:after="240"/>
        <w:ind w:left="567" w:hanging="567"/>
        <w:contextualSpacing w:val="0"/>
        <w:jc w:val="both"/>
        <w:rPr>
          <w:rFonts w:ascii="CAIXA Std Book" w:hAnsi="CAIXA Std Book"/>
          <w:b/>
          <w:color w:val="005CA9"/>
          <w:sz w:val="20"/>
          <w:szCs w:val="20"/>
        </w:rPr>
      </w:pPr>
      <w:r w:rsidRPr="00E20D21">
        <w:rPr>
          <w:rFonts w:ascii="CAIXA Std Book" w:hAnsi="CAIXA Std Book"/>
          <w:b/>
          <w:color w:val="005CA9"/>
          <w:sz w:val="20"/>
          <w:szCs w:val="20"/>
        </w:rPr>
        <w:t>Provisão para p</w:t>
      </w:r>
      <w:r w:rsidR="005664DE" w:rsidRPr="00E20D21">
        <w:rPr>
          <w:rFonts w:ascii="CAIXA Std Book" w:hAnsi="CAIXA Std Book"/>
          <w:b/>
          <w:color w:val="005CA9"/>
          <w:sz w:val="20"/>
          <w:szCs w:val="20"/>
        </w:rPr>
        <w:t xml:space="preserve">erdas por redução ao valor recuperável </w:t>
      </w:r>
      <w:r w:rsidR="007130C3" w:rsidRPr="00E20D21">
        <w:rPr>
          <w:rFonts w:ascii="CAIXA Std Book" w:hAnsi="CAIXA Std Book"/>
          <w:b/>
          <w:color w:val="005CA9"/>
          <w:sz w:val="20"/>
          <w:szCs w:val="20"/>
        </w:rPr>
        <w:t>de ativos não financeiros</w:t>
      </w:r>
    </w:p>
    <w:tbl>
      <w:tblPr>
        <w:tblW w:w="5000" w:type="pct"/>
        <w:jc w:val="center"/>
        <w:tblCellMar>
          <w:left w:w="70" w:type="dxa"/>
          <w:right w:w="70" w:type="dxa"/>
        </w:tblCellMar>
        <w:tblLook w:val="04A0" w:firstRow="1" w:lastRow="0" w:firstColumn="1" w:lastColumn="0" w:noHBand="0" w:noVBand="1"/>
      </w:tblPr>
      <w:tblGrid>
        <w:gridCol w:w="6282"/>
        <w:gridCol w:w="1797"/>
        <w:gridCol w:w="1559"/>
      </w:tblGrid>
      <w:tr w:rsidR="00FB13FA" w:rsidRPr="00E20D21" w14:paraId="08EB9F28" w14:textId="089E8B32" w:rsidTr="003A1C56">
        <w:trPr>
          <w:trHeight w:val="266"/>
          <w:jc w:val="center"/>
        </w:trPr>
        <w:tc>
          <w:tcPr>
            <w:tcW w:w="5000" w:type="pct"/>
            <w:gridSpan w:val="3"/>
            <w:tcBorders>
              <w:top w:val="single" w:sz="4" w:space="0" w:color="F79646" w:themeColor="accent6"/>
              <w:left w:val="nil"/>
              <w:bottom w:val="single" w:sz="4" w:space="0" w:color="F39200"/>
              <w:right w:val="nil"/>
            </w:tcBorders>
            <w:shd w:val="clear" w:color="auto" w:fill="auto"/>
            <w:noWrap/>
            <w:vAlign w:val="center"/>
            <w:hideMark/>
          </w:tcPr>
          <w:p w14:paraId="51E59633" w14:textId="551B3FD6" w:rsidR="00FB13FA" w:rsidRPr="00E20D21" w:rsidRDefault="00FB13FA" w:rsidP="00CC1146">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INDIVIDUAL</w:t>
            </w:r>
            <w:r w:rsidR="00E20D21">
              <w:rPr>
                <w:rFonts w:ascii="CAIXA Std Book" w:hAnsi="CAIXA Std Book" w:cs="Calibri"/>
                <w:b/>
                <w:bCs/>
                <w:color w:val="005CA9"/>
                <w:sz w:val="18"/>
                <w:szCs w:val="18"/>
              </w:rPr>
              <w:t xml:space="preserve"> </w:t>
            </w:r>
            <w:r w:rsidRPr="00E20D21">
              <w:rPr>
                <w:rFonts w:ascii="CAIXA Std Book" w:hAnsi="CAIXA Std Book" w:cs="Calibri"/>
                <w:b/>
                <w:bCs/>
                <w:color w:val="005CA9"/>
                <w:sz w:val="18"/>
                <w:szCs w:val="18"/>
              </w:rPr>
              <w:t>/</w:t>
            </w:r>
            <w:r w:rsidR="00E20D21">
              <w:rPr>
                <w:rFonts w:ascii="CAIXA Std Book" w:hAnsi="CAIXA Std Book" w:cs="Calibri"/>
                <w:b/>
                <w:bCs/>
                <w:color w:val="005CA9"/>
                <w:sz w:val="18"/>
                <w:szCs w:val="18"/>
              </w:rPr>
              <w:t xml:space="preserve"> </w:t>
            </w:r>
            <w:r w:rsidRPr="00E20D21">
              <w:rPr>
                <w:rFonts w:ascii="CAIXA Std Book" w:hAnsi="CAIXA Std Book" w:cs="Calibri"/>
                <w:b/>
                <w:bCs/>
                <w:color w:val="005CA9"/>
                <w:sz w:val="18"/>
                <w:szCs w:val="18"/>
              </w:rPr>
              <w:t>CONSOLIDADO</w:t>
            </w:r>
          </w:p>
        </w:tc>
      </w:tr>
      <w:tr w:rsidR="00FB13FA" w:rsidRPr="00E20D21" w14:paraId="055B8888" w14:textId="04E13F9A" w:rsidTr="003A1C56">
        <w:trPr>
          <w:trHeight w:val="266"/>
          <w:jc w:val="center"/>
        </w:trPr>
        <w:tc>
          <w:tcPr>
            <w:tcW w:w="3259" w:type="pct"/>
            <w:vMerge w:val="restart"/>
            <w:tcBorders>
              <w:top w:val="nil"/>
              <w:left w:val="nil"/>
              <w:bottom w:val="single" w:sz="4" w:space="0" w:color="F39200"/>
              <w:right w:val="nil"/>
            </w:tcBorders>
            <w:shd w:val="clear" w:color="auto" w:fill="auto"/>
            <w:noWrap/>
            <w:vAlign w:val="center"/>
            <w:hideMark/>
          </w:tcPr>
          <w:p w14:paraId="52458245" w14:textId="77777777" w:rsidR="00FB13FA" w:rsidRPr="00E20D21" w:rsidRDefault="00FB13FA" w:rsidP="00CC1146">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Descrição</w:t>
            </w:r>
          </w:p>
        </w:tc>
        <w:tc>
          <w:tcPr>
            <w:tcW w:w="932" w:type="pct"/>
            <w:tcBorders>
              <w:top w:val="single" w:sz="4" w:space="0" w:color="F39200"/>
              <w:left w:val="nil"/>
              <w:bottom w:val="single" w:sz="4" w:space="0" w:color="F39200"/>
              <w:right w:val="nil"/>
            </w:tcBorders>
            <w:shd w:val="clear" w:color="auto" w:fill="auto"/>
            <w:noWrap/>
            <w:vAlign w:val="center"/>
            <w:hideMark/>
          </w:tcPr>
          <w:p w14:paraId="3DEE15A1" w14:textId="07FCC049" w:rsidR="00FB13FA" w:rsidRPr="00E20D21" w:rsidRDefault="00FB13FA" w:rsidP="009E7AF8">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2024</w:t>
            </w:r>
          </w:p>
        </w:tc>
        <w:tc>
          <w:tcPr>
            <w:tcW w:w="809" w:type="pct"/>
            <w:tcBorders>
              <w:top w:val="single" w:sz="4" w:space="0" w:color="F39200"/>
              <w:left w:val="nil"/>
              <w:bottom w:val="single" w:sz="4" w:space="0" w:color="F39200"/>
              <w:right w:val="nil"/>
            </w:tcBorders>
            <w:shd w:val="clear" w:color="auto" w:fill="auto"/>
            <w:vAlign w:val="center"/>
          </w:tcPr>
          <w:p w14:paraId="0E918919" w14:textId="27812737" w:rsidR="00FB13FA" w:rsidRPr="00E20D21" w:rsidRDefault="00FB13FA" w:rsidP="009E7AF8">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2023</w:t>
            </w:r>
          </w:p>
        </w:tc>
      </w:tr>
      <w:tr w:rsidR="00FB13FA" w:rsidRPr="00E20D21" w14:paraId="1D1006CD" w14:textId="2A04B638" w:rsidTr="003A1C56">
        <w:trPr>
          <w:trHeight w:val="266"/>
          <w:jc w:val="center"/>
        </w:trPr>
        <w:tc>
          <w:tcPr>
            <w:tcW w:w="3259" w:type="pct"/>
            <w:vMerge/>
            <w:tcBorders>
              <w:top w:val="nil"/>
              <w:left w:val="nil"/>
              <w:bottom w:val="single" w:sz="4" w:space="0" w:color="F39200"/>
              <w:right w:val="nil"/>
            </w:tcBorders>
            <w:vAlign w:val="center"/>
            <w:hideMark/>
          </w:tcPr>
          <w:p w14:paraId="23918BA5" w14:textId="77777777" w:rsidR="00FB13FA" w:rsidRPr="00E20D21" w:rsidRDefault="00FB13FA" w:rsidP="003C50CE">
            <w:pPr>
              <w:rPr>
                <w:rFonts w:ascii="CAIXA Std Book" w:hAnsi="CAIXA Std Book" w:cs="Calibri"/>
                <w:b/>
                <w:bCs/>
                <w:color w:val="005CA9"/>
                <w:sz w:val="18"/>
                <w:szCs w:val="18"/>
              </w:rPr>
            </w:pPr>
          </w:p>
        </w:tc>
        <w:tc>
          <w:tcPr>
            <w:tcW w:w="932" w:type="pct"/>
            <w:tcBorders>
              <w:top w:val="nil"/>
              <w:left w:val="nil"/>
              <w:bottom w:val="single" w:sz="4" w:space="0" w:color="F39200"/>
              <w:right w:val="nil"/>
            </w:tcBorders>
            <w:shd w:val="clear" w:color="auto" w:fill="auto"/>
            <w:noWrap/>
            <w:vAlign w:val="center"/>
            <w:hideMark/>
          </w:tcPr>
          <w:p w14:paraId="1F0FF0C8" w14:textId="1721FD4C" w:rsidR="00FB13FA" w:rsidRPr="00E20D21" w:rsidRDefault="00FB13FA" w:rsidP="003C50CE">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1º semestre</w:t>
            </w:r>
          </w:p>
        </w:tc>
        <w:tc>
          <w:tcPr>
            <w:tcW w:w="809" w:type="pct"/>
            <w:tcBorders>
              <w:top w:val="nil"/>
              <w:left w:val="nil"/>
              <w:bottom w:val="single" w:sz="4" w:space="0" w:color="F39200"/>
              <w:right w:val="nil"/>
            </w:tcBorders>
            <w:shd w:val="clear" w:color="auto" w:fill="auto"/>
            <w:noWrap/>
            <w:vAlign w:val="center"/>
            <w:hideMark/>
          </w:tcPr>
          <w:p w14:paraId="4194F3F6" w14:textId="79552474" w:rsidR="00FB13FA" w:rsidRPr="00E20D21" w:rsidRDefault="00D1447B" w:rsidP="003C50CE">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1º semestre</w:t>
            </w:r>
          </w:p>
        </w:tc>
      </w:tr>
      <w:tr w:rsidR="005A3801" w:rsidRPr="00E20D21" w14:paraId="2F9D5985" w14:textId="320676BB" w:rsidTr="003A1C56">
        <w:trPr>
          <w:trHeight w:val="266"/>
          <w:jc w:val="center"/>
        </w:trPr>
        <w:tc>
          <w:tcPr>
            <w:tcW w:w="3259" w:type="pct"/>
            <w:tcBorders>
              <w:top w:val="single" w:sz="4" w:space="0" w:color="F39200"/>
              <w:left w:val="nil"/>
              <w:bottom w:val="single" w:sz="4" w:space="0" w:color="F79646"/>
              <w:right w:val="nil"/>
            </w:tcBorders>
            <w:shd w:val="clear" w:color="auto" w:fill="auto"/>
            <w:noWrap/>
            <w:vAlign w:val="center"/>
            <w:hideMark/>
          </w:tcPr>
          <w:p w14:paraId="0AE1B8BF" w14:textId="77777777" w:rsidR="005A3801" w:rsidRPr="00E20D21" w:rsidRDefault="005A3801" w:rsidP="005A3801">
            <w:pPr>
              <w:rPr>
                <w:rFonts w:ascii="CAIXA Std Book" w:hAnsi="CAIXA Std Book" w:cs="Calibri"/>
                <w:b/>
                <w:bCs/>
                <w:color w:val="005CA9"/>
                <w:sz w:val="18"/>
                <w:szCs w:val="18"/>
              </w:rPr>
            </w:pPr>
            <w:r w:rsidRPr="00E20D21">
              <w:rPr>
                <w:rFonts w:ascii="CAIXA Std Book" w:hAnsi="CAIXA Std Book" w:cs="Calibri"/>
                <w:b/>
                <w:bCs/>
                <w:color w:val="005CA9"/>
                <w:sz w:val="18"/>
                <w:szCs w:val="18"/>
              </w:rPr>
              <w:t>Saldo inicial</w:t>
            </w:r>
          </w:p>
        </w:tc>
        <w:tc>
          <w:tcPr>
            <w:tcW w:w="932" w:type="pct"/>
            <w:tcBorders>
              <w:top w:val="single" w:sz="4" w:space="0" w:color="F39200"/>
              <w:left w:val="nil"/>
              <w:bottom w:val="single" w:sz="4" w:space="0" w:color="F79646"/>
              <w:right w:val="nil"/>
            </w:tcBorders>
            <w:shd w:val="clear" w:color="auto" w:fill="auto"/>
            <w:noWrap/>
            <w:vAlign w:val="center"/>
          </w:tcPr>
          <w:p w14:paraId="15F7D4BB" w14:textId="5050294C" w:rsidR="005A3801" w:rsidRPr="00E20D21" w:rsidRDefault="004B1C82" w:rsidP="004B1C82">
            <w:pPr>
              <w:jc w:val="right"/>
              <w:rPr>
                <w:rFonts w:ascii="CAIXA Std Book" w:hAnsi="CAIXA Std Book" w:cs="Calibri"/>
                <w:b/>
                <w:bCs/>
                <w:color w:val="005CA9"/>
                <w:sz w:val="18"/>
                <w:szCs w:val="18"/>
              </w:rPr>
            </w:pPr>
            <w:r w:rsidRPr="00E20D21">
              <w:rPr>
                <w:rFonts w:ascii="CAIXA Std Book" w:hAnsi="CAIXA Std Book" w:cs="Arial"/>
                <w:b/>
                <w:bCs/>
                <w:color w:val="005CA9"/>
                <w:sz w:val="18"/>
                <w:szCs w:val="18"/>
              </w:rPr>
              <w:t>(998.910)</w:t>
            </w:r>
          </w:p>
        </w:tc>
        <w:tc>
          <w:tcPr>
            <w:tcW w:w="809" w:type="pct"/>
            <w:tcBorders>
              <w:top w:val="single" w:sz="4" w:space="0" w:color="F39200"/>
              <w:left w:val="nil"/>
              <w:bottom w:val="single" w:sz="4" w:space="0" w:color="F79646"/>
              <w:right w:val="nil"/>
            </w:tcBorders>
            <w:shd w:val="clear" w:color="auto" w:fill="auto"/>
            <w:noWrap/>
            <w:vAlign w:val="center"/>
          </w:tcPr>
          <w:p w14:paraId="5FA8D8AE" w14:textId="2485D535" w:rsidR="005A3801" w:rsidRPr="00E20D21" w:rsidRDefault="005A3801" w:rsidP="005A3801">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(927.853</w:t>
            </w:r>
            <w:r w:rsidRPr="00E20D21">
              <w:rPr>
                <w:rFonts w:ascii="CAIXA Std Book" w:hAnsi="CAIXA Std Book" w:cs="Arial"/>
                <w:b/>
                <w:color w:val="005CA9"/>
                <w:sz w:val="18"/>
                <w:szCs w:val="18"/>
              </w:rPr>
              <w:t>)</w:t>
            </w:r>
          </w:p>
        </w:tc>
      </w:tr>
      <w:tr w:rsidR="005A3801" w:rsidRPr="00E20D21" w14:paraId="73F87CC6" w14:textId="5B71BB2D" w:rsidTr="003A1C56">
        <w:trPr>
          <w:trHeight w:val="266"/>
          <w:jc w:val="center"/>
        </w:trPr>
        <w:tc>
          <w:tcPr>
            <w:tcW w:w="3259" w:type="pct"/>
            <w:tcBorders>
              <w:top w:val="single" w:sz="4" w:space="0" w:color="F79646"/>
              <w:left w:val="nil"/>
              <w:bottom w:val="nil"/>
              <w:right w:val="nil"/>
            </w:tcBorders>
            <w:shd w:val="clear" w:color="auto" w:fill="auto"/>
            <w:noWrap/>
            <w:vAlign w:val="center"/>
            <w:hideMark/>
          </w:tcPr>
          <w:p w14:paraId="42800088" w14:textId="77777777" w:rsidR="005A3801" w:rsidRPr="00E20D21" w:rsidRDefault="005A3801" w:rsidP="005A3801">
            <w:pPr>
              <w:rPr>
                <w:rFonts w:ascii="CAIXA Std Book" w:hAnsi="CAIXA Std Book" w:cs="Calibri"/>
                <w:color w:val="005CA9"/>
                <w:sz w:val="18"/>
                <w:szCs w:val="18"/>
              </w:rPr>
            </w:pPr>
            <w:r w:rsidRPr="00E20D21">
              <w:rPr>
                <w:rFonts w:ascii="CAIXA Std Book" w:hAnsi="CAIXA Std Book" w:cs="Calibri"/>
                <w:color w:val="005CA9"/>
                <w:sz w:val="18"/>
                <w:szCs w:val="18"/>
              </w:rPr>
              <w:t>Constituição</w:t>
            </w:r>
          </w:p>
        </w:tc>
        <w:tc>
          <w:tcPr>
            <w:tcW w:w="932" w:type="pct"/>
            <w:tcBorders>
              <w:top w:val="single" w:sz="4" w:space="0" w:color="F79646"/>
              <w:left w:val="nil"/>
              <w:bottom w:val="nil"/>
              <w:right w:val="nil"/>
            </w:tcBorders>
            <w:shd w:val="clear" w:color="auto" w:fill="auto"/>
            <w:noWrap/>
            <w:vAlign w:val="center"/>
          </w:tcPr>
          <w:p w14:paraId="1DB7F70D" w14:textId="2E4D3269" w:rsidR="005A3801" w:rsidRPr="00E20D21" w:rsidRDefault="004B1C82" w:rsidP="004B1C82">
            <w:pPr>
              <w:jc w:val="right"/>
              <w:rPr>
                <w:rFonts w:ascii="CAIXA Std Book" w:hAnsi="CAIXA Std Book" w:cs="Calibri"/>
                <w:color w:val="005CA9"/>
                <w:sz w:val="18"/>
                <w:szCs w:val="18"/>
              </w:rPr>
            </w:pPr>
            <w:r w:rsidRPr="00E20D21">
              <w:rPr>
                <w:rFonts w:ascii="CAIXA Std Book" w:hAnsi="CAIXA Std Book" w:cs="Arial"/>
                <w:color w:val="005CA9"/>
                <w:sz w:val="18"/>
                <w:szCs w:val="18"/>
              </w:rPr>
              <w:t>(363.440)</w:t>
            </w:r>
          </w:p>
        </w:tc>
        <w:tc>
          <w:tcPr>
            <w:tcW w:w="809" w:type="pct"/>
            <w:tcBorders>
              <w:top w:val="single" w:sz="4" w:space="0" w:color="F79646"/>
              <w:left w:val="nil"/>
              <w:bottom w:val="nil"/>
              <w:right w:val="nil"/>
            </w:tcBorders>
            <w:shd w:val="clear" w:color="auto" w:fill="auto"/>
            <w:noWrap/>
            <w:vAlign w:val="center"/>
          </w:tcPr>
          <w:p w14:paraId="358D5FED" w14:textId="3D51237A" w:rsidR="005A3801" w:rsidRPr="00E20D21" w:rsidRDefault="005A3801" w:rsidP="005A3801">
            <w:pPr>
              <w:jc w:val="right"/>
              <w:rPr>
                <w:rFonts w:ascii="CAIXA Std Book" w:hAnsi="CAIXA Std Book" w:cs="Calibri"/>
                <w:color w:val="005CA9"/>
                <w:sz w:val="18"/>
                <w:szCs w:val="18"/>
              </w:rPr>
            </w:pPr>
            <w:r w:rsidRPr="00E20D21">
              <w:rPr>
                <w:rFonts w:ascii="CAIXA Std Book" w:hAnsi="CAIXA Std Book" w:cs="Calibri"/>
                <w:color w:val="005CA9"/>
                <w:sz w:val="18"/>
                <w:szCs w:val="18"/>
              </w:rPr>
              <w:t>(377.492)</w:t>
            </w:r>
          </w:p>
        </w:tc>
      </w:tr>
      <w:tr w:rsidR="005A3801" w:rsidRPr="00E20D21" w14:paraId="462B622D" w14:textId="708AEBB8" w:rsidTr="003A1C56">
        <w:trPr>
          <w:trHeight w:val="266"/>
          <w:jc w:val="center"/>
        </w:trPr>
        <w:tc>
          <w:tcPr>
            <w:tcW w:w="3259" w:type="pct"/>
            <w:tcBorders>
              <w:top w:val="nil"/>
              <w:left w:val="nil"/>
              <w:bottom w:val="single" w:sz="4" w:space="0" w:color="F39200"/>
              <w:right w:val="nil"/>
            </w:tcBorders>
            <w:shd w:val="clear" w:color="auto" w:fill="auto"/>
            <w:noWrap/>
            <w:vAlign w:val="center"/>
            <w:hideMark/>
          </w:tcPr>
          <w:p w14:paraId="1ED7A627" w14:textId="77777777" w:rsidR="005A3801" w:rsidRPr="00E20D21" w:rsidRDefault="005A3801" w:rsidP="005A3801">
            <w:pPr>
              <w:rPr>
                <w:rFonts w:ascii="CAIXA Std Book" w:hAnsi="CAIXA Std Book" w:cs="Calibri"/>
                <w:color w:val="005CA9"/>
                <w:sz w:val="18"/>
                <w:szCs w:val="18"/>
              </w:rPr>
            </w:pPr>
            <w:r w:rsidRPr="00E20D21">
              <w:rPr>
                <w:rFonts w:ascii="CAIXA Std Book" w:hAnsi="CAIXA Std Book" w:cs="Calibri"/>
                <w:color w:val="005CA9"/>
                <w:sz w:val="18"/>
                <w:szCs w:val="18"/>
              </w:rPr>
              <w:t>Baixas</w:t>
            </w:r>
          </w:p>
        </w:tc>
        <w:tc>
          <w:tcPr>
            <w:tcW w:w="932" w:type="pct"/>
            <w:tcBorders>
              <w:top w:val="nil"/>
              <w:left w:val="nil"/>
              <w:bottom w:val="single" w:sz="4" w:space="0" w:color="F79646" w:themeColor="accent6"/>
              <w:right w:val="nil"/>
            </w:tcBorders>
            <w:shd w:val="clear" w:color="auto" w:fill="auto"/>
            <w:noWrap/>
            <w:vAlign w:val="center"/>
          </w:tcPr>
          <w:p w14:paraId="7982D3AD" w14:textId="779F8E94" w:rsidR="005A3801" w:rsidRPr="00E20D21" w:rsidRDefault="004B1C82" w:rsidP="004B1C82">
            <w:pPr>
              <w:jc w:val="right"/>
              <w:rPr>
                <w:rFonts w:ascii="CAIXA Std Book" w:hAnsi="CAIXA Std Book" w:cs="Calibri"/>
                <w:color w:val="005CA9"/>
                <w:sz w:val="18"/>
                <w:szCs w:val="18"/>
              </w:rPr>
            </w:pPr>
            <w:r w:rsidRPr="00E20D21">
              <w:rPr>
                <w:rFonts w:ascii="CAIXA Std Book" w:hAnsi="CAIXA Std Book" w:cs="Arial"/>
                <w:color w:val="005CA9"/>
                <w:sz w:val="18"/>
                <w:szCs w:val="18"/>
              </w:rPr>
              <w:t>260.481</w:t>
            </w:r>
          </w:p>
        </w:tc>
        <w:tc>
          <w:tcPr>
            <w:tcW w:w="809" w:type="pct"/>
            <w:tcBorders>
              <w:top w:val="nil"/>
              <w:left w:val="nil"/>
              <w:bottom w:val="single" w:sz="4" w:space="0" w:color="F79646" w:themeColor="accent6"/>
              <w:right w:val="nil"/>
            </w:tcBorders>
            <w:shd w:val="clear" w:color="auto" w:fill="auto"/>
            <w:noWrap/>
            <w:vAlign w:val="center"/>
          </w:tcPr>
          <w:p w14:paraId="2AFF9D7E" w14:textId="6CCAD543" w:rsidR="005A3801" w:rsidRPr="00E20D21" w:rsidRDefault="005A3801" w:rsidP="005A3801">
            <w:pPr>
              <w:jc w:val="right"/>
              <w:rPr>
                <w:rFonts w:ascii="CAIXA Std Book" w:hAnsi="CAIXA Std Book" w:cs="Calibri"/>
                <w:color w:val="005CA9"/>
                <w:sz w:val="18"/>
                <w:szCs w:val="18"/>
              </w:rPr>
            </w:pPr>
            <w:r w:rsidRPr="00E20D21">
              <w:rPr>
                <w:rFonts w:ascii="CAIXA Std Book" w:hAnsi="CAIXA Std Book" w:cs="Calibri"/>
                <w:color w:val="005CA9"/>
                <w:sz w:val="18"/>
                <w:szCs w:val="18"/>
              </w:rPr>
              <w:t>308.435</w:t>
            </w:r>
          </w:p>
        </w:tc>
      </w:tr>
      <w:tr w:rsidR="005A3801" w:rsidRPr="00E20D21" w14:paraId="71FFA00C" w14:textId="7FE0CC6F" w:rsidTr="003A1C56">
        <w:trPr>
          <w:trHeight w:val="266"/>
          <w:jc w:val="center"/>
        </w:trPr>
        <w:tc>
          <w:tcPr>
            <w:tcW w:w="3259" w:type="pct"/>
            <w:tcBorders>
              <w:top w:val="nil"/>
              <w:left w:val="nil"/>
              <w:bottom w:val="single" w:sz="4" w:space="0" w:color="F39200"/>
              <w:right w:val="nil"/>
            </w:tcBorders>
            <w:shd w:val="clear" w:color="auto" w:fill="auto"/>
            <w:noWrap/>
            <w:vAlign w:val="center"/>
            <w:hideMark/>
          </w:tcPr>
          <w:p w14:paraId="09622B4C" w14:textId="77777777" w:rsidR="005A3801" w:rsidRPr="00E20D21" w:rsidRDefault="005A3801" w:rsidP="005A3801">
            <w:pPr>
              <w:rPr>
                <w:rFonts w:ascii="CAIXA Std Book" w:hAnsi="CAIXA Std Book" w:cs="Calibri"/>
                <w:b/>
                <w:bCs/>
                <w:color w:val="005CA9"/>
                <w:sz w:val="18"/>
                <w:szCs w:val="18"/>
              </w:rPr>
            </w:pPr>
            <w:r w:rsidRPr="00E20D21">
              <w:rPr>
                <w:rFonts w:ascii="CAIXA Std Book" w:hAnsi="CAIXA Std Book" w:cs="Calibri"/>
                <w:b/>
                <w:bCs/>
                <w:color w:val="005CA9"/>
                <w:sz w:val="18"/>
                <w:szCs w:val="18"/>
              </w:rPr>
              <w:t>Saldo final</w:t>
            </w:r>
          </w:p>
        </w:tc>
        <w:tc>
          <w:tcPr>
            <w:tcW w:w="932" w:type="pct"/>
            <w:tcBorders>
              <w:top w:val="single" w:sz="4" w:space="0" w:color="F79646" w:themeColor="accent6"/>
              <w:left w:val="nil"/>
              <w:bottom w:val="single" w:sz="4" w:space="0" w:color="F79646" w:themeColor="accent6"/>
              <w:right w:val="nil"/>
            </w:tcBorders>
            <w:shd w:val="clear" w:color="auto" w:fill="auto"/>
            <w:noWrap/>
            <w:vAlign w:val="center"/>
          </w:tcPr>
          <w:p w14:paraId="737D569E" w14:textId="6293ABE7" w:rsidR="005A3801" w:rsidRPr="00E20D21" w:rsidRDefault="004B1C82" w:rsidP="004B1C82">
            <w:pPr>
              <w:jc w:val="right"/>
              <w:rPr>
                <w:rFonts w:ascii="CAIXA Std Book" w:hAnsi="CAIXA Std Book" w:cs="Calibri"/>
                <w:b/>
                <w:bCs/>
                <w:color w:val="005CA9"/>
                <w:sz w:val="18"/>
                <w:szCs w:val="18"/>
              </w:rPr>
            </w:pPr>
            <w:r w:rsidRPr="00E20D21">
              <w:rPr>
                <w:rFonts w:ascii="CAIXA Std Book" w:hAnsi="CAIXA Std Book" w:cs="Arial"/>
                <w:b/>
                <w:bCs/>
                <w:color w:val="005CA9"/>
                <w:sz w:val="18"/>
                <w:szCs w:val="18"/>
              </w:rPr>
              <w:t>(1.101.869)</w:t>
            </w:r>
          </w:p>
        </w:tc>
        <w:tc>
          <w:tcPr>
            <w:tcW w:w="809" w:type="pct"/>
            <w:tcBorders>
              <w:top w:val="single" w:sz="4" w:space="0" w:color="F79646" w:themeColor="accent6"/>
              <w:left w:val="nil"/>
              <w:bottom w:val="single" w:sz="4" w:space="0" w:color="F79646" w:themeColor="accent6"/>
              <w:right w:val="nil"/>
            </w:tcBorders>
            <w:shd w:val="clear" w:color="auto" w:fill="auto"/>
            <w:noWrap/>
            <w:vAlign w:val="center"/>
          </w:tcPr>
          <w:p w14:paraId="2A70E3E3" w14:textId="3C64524B" w:rsidR="005A3801" w:rsidRPr="00E20D21" w:rsidRDefault="005A3801" w:rsidP="005A3801">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(996.910</w:t>
            </w:r>
            <w:r w:rsidRPr="00E20D21">
              <w:rPr>
                <w:rFonts w:ascii="CAIXA Std Book" w:hAnsi="CAIXA Std Book" w:cs="Calibri"/>
                <w:b/>
                <w:color w:val="005CA9"/>
                <w:sz w:val="18"/>
                <w:szCs w:val="18"/>
              </w:rPr>
              <w:t>)</w:t>
            </w:r>
          </w:p>
        </w:tc>
      </w:tr>
    </w:tbl>
    <w:p w14:paraId="069C449F" w14:textId="4F0A68BA" w:rsidR="005B1FCD" w:rsidRPr="00E20D21" w:rsidRDefault="005B1FCD" w:rsidP="00630908">
      <w:pPr>
        <w:jc w:val="both"/>
        <w:rPr>
          <w:rFonts w:ascii="CAIXA Std Book" w:hAnsi="CAIXA Std Book"/>
          <w:color w:val="005CA9"/>
          <w:sz w:val="16"/>
          <w:szCs w:val="16"/>
        </w:rPr>
        <w:sectPr w:rsidR="005B1FCD" w:rsidRPr="00E20D21" w:rsidSect="001F0E96">
          <w:headerReference w:type="default" r:id="rId55"/>
          <w:footerReference w:type="default" r:id="rId56"/>
          <w:headerReference w:type="first" r:id="rId57"/>
          <w:footerReference w:type="first" r:id="rId58"/>
          <w:pgSz w:w="11907" w:h="16840" w:code="9"/>
          <w:pgMar w:top="851" w:right="851" w:bottom="1418" w:left="1418" w:header="1134" w:footer="709" w:gutter="0"/>
          <w:cols w:space="708"/>
          <w:titlePg/>
          <w:docGrid w:linePitch="360"/>
        </w:sectPr>
      </w:pPr>
      <w:bookmarkStart w:id="48" w:name="_Toc48574166"/>
    </w:p>
    <w:p w14:paraId="65D17D91" w14:textId="2C1D6678" w:rsidR="006D07D6" w:rsidRPr="00E20D21" w:rsidRDefault="006D07D6" w:rsidP="00FD7768">
      <w:pPr>
        <w:pStyle w:val="Ttulo1"/>
      </w:pPr>
      <w:bookmarkStart w:id="49" w:name="_Toc175067955"/>
      <w:r w:rsidRPr="00E20D21">
        <w:lastRenderedPageBreak/>
        <w:t>Nota 15 – Recursos de clientes</w:t>
      </w:r>
      <w:bookmarkEnd w:id="49"/>
    </w:p>
    <w:p w14:paraId="30CB0396" w14:textId="77777777" w:rsidR="006D07D6" w:rsidRPr="00E20D21" w:rsidRDefault="006D07D6" w:rsidP="006D07D6">
      <w:pPr>
        <w:keepNext/>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(a)</w:t>
      </w:r>
      <w:r w:rsidRPr="00E20D21">
        <w:rPr>
          <w:rFonts w:ascii="CAIXA Std Book" w:hAnsi="CAIXA Std Book"/>
          <w:b/>
          <w:color w:val="005CA9"/>
          <w:sz w:val="20"/>
          <w:szCs w:val="20"/>
        </w:rPr>
        <w:tab/>
        <w:t>Depósitos por prazo de exigibilidade</w:t>
      </w:r>
    </w:p>
    <w:tbl>
      <w:tblPr>
        <w:tblW w:w="5051" w:type="pct"/>
        <w:tblLayout w:type="fixed"/>
        <w:tblCellMar>
          <w:left w:w="70" w:type="dxa"/>
          <w:right w:w="70" w:type="dxa"/>
        </w:tblCellMar>
        <w:tblLook w:val="04A0" w:firstRow="1" w:lastRow="0" w:firstColumn="1" w:lastColumn="0" w:noHBand="0" w:noVBand="1"/>
      </w:tblPr>
      <w:tblGrid>
        <w:gridCol w:w="3913"/>
        <w:gridCol w:w="1593"/>
        <w:gridCol w:w="1313"/>
        <w:gridCol w:w="1316"/>
        <w:gridCol w:w="1248"/>
        <w:gridCol w:w="1410"/>
        <w:gridCol w:w="1301"/>
        <w:gridCol w:w="1372"/>
        <w:gridCol w:w="1254"/>
      </w:tblGrid>
      <w:tr w:rsidR="00A47C19" w:rsidRPr="00E20D21" w14:paraId="4D82C1A8" w14:textId="77777777" w:rsidTr="003C5EF4">
        <w:trPr>
          <w:trHeight w:val="283"/>
        </w:trPr>
        <w:tc>
          <w:tcPr>
            <w:tcW w:w="1329" w:type="pct"/>
            <w:vMerge w:val="restart"/>
            <w:tcBorders>
              <w:top w:val="single" w:sz="4" w:space="0" w:color="F39200"/>
              <w:left w:val="nil"/>
              <w:bottom w:val="single" w:sz="4" w:space="0" w:color="F39200"/>
              <w:right w:val="nil"/>
            </w:tcBorders>
            <w:shd w:val="clear" w:color="auto" w:fill="auto"/>
            <w:vAlign w:val="center"/>
            <w:hideMark/>
          </w:tcPr>
          <w:p w14:paraId="63CA8916" w14:textId="6F5C4EEB" w:rsidR="008347E0" w:rsidRPr="00E20D21" w:rsidRDefault="008347E0" w:rsidP="008347E0">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w:t>
            </w:r>
          </w:p>
        </w:tc>
        <w:tc>
          <w:tcPr>
            <w:tcW w:w="2779" w:type="pct"/>
            <w:gridSpan w:val="6"/>
            <w:tcBorders>
              <w:top w:val="single" w:sz="4" w:space="0" w:color="F39200"/>
              <w:left w:val="nil"/>
              <w:bottom w:val="single" w:sz="4" w:space="0" w:color="F39200"/>
              <w:right w:val="nil"/>
            </w:tcBorders>
            <w:shd w:val="clear" w:color="auto" w:fill="auto"/>
            <w:noWrap/>
            <w:vAlign w:val="center"/>
            <w:hideMark/>
          </w:tcPr>
          <w:p w14:paraId="6BFA01C2" w14:textId="77777777" w:rsidR="008347E0" w:rsidRPr="00E20D21" w:rsidRDefault="008347E0" w:rsidP="008347E0">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891" w:type="pct"/>
            <w:gridSpan w:val="2"/>
            <w:tcBorders>
              <w:top w:val="single" w:sz="4" w:space="0" w:color="F39200"/>
              <w:left w:val="nil"/>
              <w:bottom w:val="single" w:sz="4" w:space="0" w:color="F39200"/>
              <w:right w:val="nil"/>
            </w:tcBorders>
            <w:shd w:val="clear" w:color="auto" w:fill="auto"/>
            <w:noWrap/>
            <w:vAlign w:val="center"/>
            <w:hideMark/>
          </w:tcPr>
          <w:p w14:paraId="71225779" w14:textId="77777777" w:rsidR="008347E0" w:rsidRPr="00E20D21" w:rsidRDefault="008347E0" w:rsidP="008347E0">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A47C19" w:rsidRPr="00E20D21" w14:paraId="0BAF0870" w14:textId="77777777" w:rsidTr="003C5EF4">
        <w:trPr>
          <w:trHeight w:val="283"/>
        </w:trPr>
        <w:tc>
          <w:tcPr>
            <w:tcW w:w="1329" w:type="pct"/>
            <w:vMerge/>
            <w:tcBorders>
              <w:top w:val="single" w:sz="4" w:space="0" w:color="F39200"/>
              <w:left w:val="nil"/>
              <w:bottom w:val="single" w:sz="4" w:space="0" w:color="F39200"/>
              <w:right w:val="nil"/>
            </w:tcBorders>
            <w:vAlign w:val="center"/>
            <w:hideMark/>
          </w:tcPr>
          <w:p w14:paraId="2C4C17E2" w14:textId="77777777" w:rsidR="00A47C19" w:rsidRPr="00E20D21" w:rsidRDefault="00A47C19" w:rsidP="00A47C19">
            <w:pPr>
              <w:rPr>
                <w:rFonts w:ascii="CAIXA Std Book" w:eastAsia="Times New Roman" w:hAnsi="CAIXA Std Book" w:cs="Arial"/>
                <w:b/>
                <w:bCs/>
                <w:color w:val="005CA9"/>
                <w:sz w:val="18"/>
                <w:szCs w:val="18"/>
              </w:rPr>
            </w:pPr>
          </w:p>
        </w:tc>
        <w:tc>
          <w:tcPr>
            <w:tcW w:w="541" w:type="pct"/>
            <w:tcBorders>
              <w:top w:val="nil"/>
              <w:left w:val="nil"/>
              <w:bottom w:val="single" w:sz="4" w:space="0" w:color="F39200"/>
              <w:right w:val="nil"/>
            </w:tcBorders>
            <w:shd w:val="clear" w:color="auto" w:fill="auto"/>
            <w:vAlign w:val="center"/>
            <w:hideMark/>
          </w:tcPr>
          <w:p w14:paraId="7E3D085F" w14:textId="77777777"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Sem vencimento</w:t>
            </w:r>
          </w:p>
        </w:tc>
        <w:tc>
          <w:tcPr>
            <w:tcW w:w="446" w:type="pct"/>
            <w:tcBorders>
              <w:top w:val="nil"/>
              <w:left w:val="nil"/>
              <w:bottom w:val="single" w:sz="4" w:space="0" w:color="F39200"/>
              <w:right w:val="nil"/>
            </w:tcBorders>
            <w:shd w:val="clear" w:color="auto" w:fill="auto"/>
            <w:vAlign w:val="center"/>
            <w:hideMark/>
          </w:tcPr>
          <w:p w14:paraId="06772B76" w14:textId="77777777"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01 a 90 dias</w:t>
            </w:r>
          </w:p>
        </w:tc>
        <w:tc>
          <w:tcPr>
            <w:tcW w:w="447" w:type="pct"/>
            <w:tcBorders>
              <w:top w:val="nil"/>
              <w:left w:val="nil"/>
              <w:bottom w:val="single" w:sz="4" w:space="0" w:color="F39200"/>
              <w:right w:val="nil"/>
            </w:tcBorders>
            <w:shd w:val="clear" w:color="auto" w:fill="auto"/>
            <w:vAlign w:val="center"/>
            <w:hideMark/>
          </w:tcPr>
          <w:p w14:paraId="24CB0697" w14:textId="2F803A67" w:rsidR="00A47C19" w:rsidRPr="00E20D21" w:rsidRDefault="00A47C19" w:rsidP="00A47C19">
            <w:pPr>
              <w:ind w:hanging="144"/>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91 a 360 dias</w:t>
            </w:r>
          </w:p>
        </w:tc>
        <w:tc>
          <w:tcPr>
            <w:tcW w:w="424" w:type="pct"/>
            <w:tcBorders>
              <w:top w:val="nil"/>
              <w:left w:val="nil"/>
              <w:bottom w:val="single" w:sz="4" w:space="0" w:color="F39200"/>
              <w:right w:val="nil"/>
            </w:tcBorders>
            <w:shd w:val="clear" w:color="auto" w:fill="auto"/>
            <w:vAlign w:val="center"/>
            <w:hideMark/>
          </w:tcPr>
          <w:p w14:paraId="1BC89597" w14:textId="6422DF9A"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Acima de 360 dias</w:t>
            </w:r>
          </w:p>
        </w:tc>
        <w:tc>
          <w:tcPr>
            <w:tcW w:w="479" w:type="pct"/>
            <w:tcBorders>
              <w:top w:val="nil"/>
              <w:left w:val="nil"/>
              <w:bottom w:val="single" w:sz="4" w:space="0" w:color="F39200"/>
              <w:right w:val="nil"/>
            </w:tcBorders>
            <w:shd w:val="clear" w:color="auto" w:fill="auto"/>
            <w:vAlign w:val="center"/>
            <w:hideMark/>
          </w:tcPr>
          <w:p w14:paraId="791F8750" w14:textId="37FDADE5"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442" w:type="pct"/>
            <w:tcBorders>
              <w:top w:val="nil"/>
              <w:left w:val="nil"/>
              <w:bottom w:val="single" w:sz="4" w:space="0" w:color="F39200"/>
              <w:right w:val="nil"/>
            </w:tcBorders>
            <w:shd w:val="clear" w:color="auto" w:fill="auto"/>
            <w:vAlign w:val="center"/>
            <w:hideMark/>
          </w:tcPr>
          <w:p w14:paraId="4996F083" w14:textId="47CA4753"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c>
          <w:tcPr>
            <w:tcW w:w="466" w:type="pct"/>
            <w:tcBorders>
              <w:top w:val="nil"/>
              <w:left w:val="nil"/>
              <w:bottom w:val="single" w:sz="4" w:space="0" w:color="F39200"/>
              <w:right w:val="nil"/>
            </w:tcBorders>
            <w:shd w:val="clear" w:color="auto" w:fill="auto"/>
            <w:vAlign w:val="center"/>
          </w:tcPr>
          <w:p w14:paraId="3E95B386" w14:textId="26A94802"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426" w:type="pct"/>
            <w:tcBorders>
              <w:top w:val="nil"/>
              <w:left w:val="nil"/>
              <w:bottom w:val="single" w:sz="4" w:space="0" w:color="F39200"/>
              <w:right w:val="nil"/>
            </w:tcBorders>
            <w:shd w:val="clear" w:color="auto" w:fill="auto"/>
            <w:vAlign w:val="center"/>
            <w:hideMark/>
          </w:tcPr>
          <w:p w14:paraId="1014DEAB" w14:textId="740A3D28"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3C5EF4" w:rsidRPr="00E20D21" w14:paraId="21E2BCCF" w14:textId="77777777" w:rsidTr="003C5EF4">
        <w:trPr>
          <w:trHeight w:val="283"/>
        </w:trPr>
        <w:tc>
          <w:tcPr>
            <w:tcW w:w="1329" w:type="pct"/>
            <w:tcBorders>
              <w:top w:val="nil"/>
              <w:left w:val="nil"/>
              <w:bottom w:val="nil"/>
              <w:right w:val="nil"/>
            </w:tcBorders>
            <w:shd w:val="clear" w:color="auto" w:fill="auto"/>
            <w:vAlign w:val="center"/>
            <w:hideMark/>
          </w:tcPr>
          <w:p w14:paraId="54E35AA5" w14:textId="77777777" w:rsidR="003C5EF4" w:rsidRPr="00E20D21" w:rsidRDefault="003C5EF4" w:rsidP="003C5EF4">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 à Vista</w:t>
            </w:r>
          </w:p>
        </w:tc>
        <w:tc>
          <w:tcPr>
            <w:tcW w:w="541" w:type="pct"/>
            <w:tcBorders>
              <w:top w:val="nil"/>
              <w:left w:val="nil"/>
              <w:bottom w:val="nil"/>
              <w:right w:val="nil"/>
            </w:tcBorders>
            <w:shd w:val="clear" w:color="auto" w:fill="auto"/>
            <w:noWrap/>
            <w:vAlign w:val="center"/>
          </w:tcPr>
          <w:p w14:paraId="3119615B" w14:textId="2832A5CF"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55.443.097</w:t>
            </w:r>
          </w:p>
        </w:tc>
        <w:tc>
          <w:tcPr>
            <w:tcW w:w="446" w:type="pct"/>
            <w:tcBorders>
              <w:top w:val="nil"/>
              <w:left w:val="nil"/>
              <w:bottom w:val="nil"/>
              <w:right w:val="nil"/>
            </w:tcBorders>
            <w:shd w:val="clear" w:color="auto" w:fill="auto"/>
            <w:noWrap/>
            <w:vAlign w:val="center"/>
          </w:tcPr>
          <w:p w14:paraId="35B8ABBD" w14:textId="3C69F112" w:rsidR="003C5EF4" w:rsidRPr="00E20D21" w:rsidRDefault="003C5EF4" w:rsidP="003C5EF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c>
          <w:tcPr>
            <w:tcW w:w="447" w:type="pct"/>
            <w:tcBorders>
              <w:top w:val="nil"/>
              <w:left w:val="nil"/>
              <w:bottom w:val="nil"/>
              <w:right w:val="nil"/>
            </w:tcBorders>
            <w:shd w:val="clear" w:color="auto" w:fill="auto"/>
            <w:noWrap/>
            <w:vAlign w:val="center"/>
          </w:tcPr>
          <w:p w14:paraId="08A136AC" w14:textId="7F2FEB6D" w:rsidR="003C5EF4" w:rsidRPr="00E20D21" w:rsidRDefault="003C5EF4" w:rsidP="003C5EF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c>
          <w:tcPr>
            <w:tcW w:w="424" w:type="pct"/>
            <w:tcBorders>
              <w:top w:val="nil"/>
              <w:left w:val="nil"/>
              <w:bottom w:val="nil"/>
              <w:right w:val="nil"/>
            </w:tcBorders>
            <w:shd w:val="clear" w:color="auto" w:fill="auto"/>
            <w:noWrap/>
            <w:vAlign w:val="center"/>
          </w:tcPr>
          <w:p w14:paraId="2BBB2320" w14:textId="47791288" w:rsidR="003C5EF4" w:rsidRPr="00E20D21" w:rsidRDefault="003C5EF4" w:rsidP="003C5EF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c>
          <w:tcPr>
            <w:tcW w:w="479" w:type="pct"/>
            <w:tcBorders>
              <w:top w:val="nil"/>
              <w:left w:val="nil"/>
              <w:bottom w:val="nil"/>
              <w:right w:val="nil"/>
            </w:tcBorders>
            <w:shd w:val="clear" w:color="auto" w:fill="auto"/>
            <w:noWrap/>
            <w:vAlign w:val="center"/>
          </w:tcPr>
          <w:p w14:paraId="453F56C5" w14:textId="06C46705"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55.443.097</w:t>
            </w:r>
          </w:p>
        </w:tc>
        <w:tc>
          <w:tcPr>
            <w:tcW w:w="442" w:type="pct"/>
            <w:tcBorders>
              <w:top w:val="nil"/>
              <w:left w:val="nil"/>
              <w:bottom w:val="nil"/>
              <w:right w:val="nil"/>
            </w:tcBorders>
            <w:shd w:val="clear" w:color="auto" w:fill="auto"/>
            <w:noWrap/>
            <w:vAlign w:val="center"/>
            <w:hideMark/>
          </w:tcPr>
          <w:p w14:paraId="29F09CBC" w14:textId="6304B3F8"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49.376.365</w:t>
            </w:r>
          </w:p>
        </w:tc>
        <w:tc>
          <w:tcPr>
            <w:tcW w:w="466" w:type="pct"/>
            <w:tcBorders>
              <w:top w:val="nil"/>
              <w:left w:val="nil"/>
              <w:bottom w:val="nil"/>
              <w:right w:val="nil"/>
            </w:tcBorders>
            <w:shd w:val="clear" w:color="auto" w:fill="auto"/>
            <w:noWrap/>
            <w:vAlign w:val="center"/>
          </w:tcPr>
          <w:p w14:paraId="0EB9919F" w14:textId="6CEF03C6"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55.442.577</w:t>
            </w:r>
          </w:p>
        </w:tc>
        <w:tc>
          <w:tcPr>
            <w:tcW w:w="426" w:type="pct"/>
            <w:tcBorders>
              <w:top w:val="nil"/>
              <w:left w:val="nil"/>
              <w:bottom w:val="nil"/>
              <w:right w:val="nil"/>
            </w:tcBorders>
            <w:shd w:val="clear" w:color="auto" w:fill="auto"/>
            <w:vAlign w:val="center"/>
            <w:hideMark/>
          </w:tcPr>
          <w:p w14:paraId="00143285" w14:textId="6E0D491D"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49.375.983</w:t>
            </w:r>
          </w:p>
        </w:tc>
      </w:tr>
      <w:tr w:rsidR="003C5EF4" w:rsidRPr="00E20D21" w14:paraId="361D3BDC" w14:textId="77777777" w:rsidTr="003C5EF4">
        <w:trPr>
          <w:trHeight w:val="283"/>
        </w:trPr>
        <w:tc>
          <w:tcPr>
            <w:tcW w:w="1329" w:type="pct"/>
            <w:tcBorders>
              <w:top w:val="nil"/>
              <w:left w:val="nil"/>
              <w:bottom w:val="nil"/>
              <w:right w:val="nil"/>
            </w:tcBorders>
            <w:shd w:val="clear" w:color="auto" w:fill="auto"/>
            <w:vAlign w:val="center"/>
            <w:hideMark/>
          </w:tcPr>
          <w:p w14:paraId="1272164A"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Pessoas jurídicas</w:t>
            </w:r>
          </w:p>
        </w:tc>
        <w:tc>
          <w:tcPr>
            <w:tcW w:w="541" w:type="pct"/>
            <w:tcBorders>
              <w:top w:val="nil"/>
              <w:left w:val="nil"/>
              <w:bottom w:val="nil"/>
              <w:right w:val="nil"/>
            </w:tcBorders>
            <w:shd w:val="clear" w:color="auto" w:fill="auto"/>
            <w:noWrap/>
            <w:vAlign w:val="center"/>
          </w:tcPr>
          <w:p w14:paraId="3DCDC1C4" w14:textId="066B9DD5"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22.973.053</w:t>
            </w:r>
          </w:p>
        </w:tc>
        <w:tc>
          <w:tcPr>
            <w:tcW w:w="446" w:type="pct"/>
            <w:tcBorders>
              <w:top w:val="nil"/>
              <w:left w:val="nil"/>
              <w:bottom w:val="nil"/>
              <w:right w:val="nil"/>
            </w:tcBorders>
            <w:shd w:val="clear" w:color="auto" w:fill="auto"/>
            <w:noWrap/>
            <w:vAlign w:val="center"/>
          </w:tcPr>
          <w:p w14:paraId="198F4E7A" w14:textId="47521D9D"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29C262BB" w14:textId="6C67B8FE"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2152738E" w14:textId="0AC8CC24"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7327DD55" w14:textId="37B0CD6F"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22.973.053</w:t>
            </w:r>
          </w:p>
        </w:tc>
        <w:tc>
          <w:tcPr>
            <w:tcW w:w="442" w:type="pct"/>
            <w:tcBorders>
              <w:top w:val="nil"/>
              <w:left w:val="nil"/>
              <w:bottom w:val="nil"/>
              <w:right w:val="nil"/>
            </w:tcBorders>
            <w:shd w:val="clear" w:color="auto" w:fill="auto"/>
            <w:noWrap/>
            <w:vAlign w:val="center"/>
            <w:hideMark/>
          </w:tcPr>
          <w:p w14:paraId="5B630269" w14:textId="2CF8A0BF"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21.319.669</w:t>
            </w:r>
          </w:p>
        </w:tc>
        <w:tc>
          <w:tcPr>
            <w:tcW w:w="466" w:type="pct"/>
            <w:tcBorders>
              <w:top w:val="nil"/>
              <w:left w:val="nil"/>
              <w:bottom w:val="nil"/>
              <w:right w:val="nil"/>
            </w:tcBorders>
            <w:shd w:val="clear" w:color="auto" w:fill="auto"/>
            <w:noWrap/>
            <w:vAlign w:val="center"/>
          </w:tcPr>
          <w:p w14:paraId="00604BCB" w14:textId="049F7348" w:rsidR="003C5EF4" w:rsidRPr="00E20D21" w:rsidRDefault="003C5EF4" w:rsidP="003C5EF4">
            <w:pPr>
              <w:jc w:val="right"/>
              <w:rPr>
                <w:rFonts w:ascii="CAIXA Std Book" w:hAnsi="CAIXA Std Book" w:cs="Arial"/>
                <w:color w:val="005CA9"/>
                <w:sz w:val="18"/>
                <w:szCs w:val="18"/>
              </w:rPr>
            </w:pPr>
            <w:r w:rsidRPr="00E20D21">
              <w:rPr>
                <w:rFonts w:ascii="CAIXA Std Book" w:hAnsi="CAIXA Std Book" w:cs="Arial"/>
                <w:color w:val="005CA9"/>
                <w:sz w:val="18"/>
                <w:szCs w:val="18"/>
              </w:rPr>
              <w:t>22.972.533</w:t>
            </w:r>
          </w:p>
        </w:tc>
        <w:tc>
          <w:tcPr>
            <w:tcW w:w="426" w:type="pct"/>
            <w:tcBorders>
              <w:top w:val="nil"/>
              <w:left w:val="nil"/>
              <w:bottom w:val="nil"/>
              <w:right w:val="nil"/>
            </w:tcBorders>
            <w:shd w:val="clear" w:color="auto" w:fill="auto"/>
            <w:vAlign w:val="center"/>
            <w:hideMark/>
          </w:tcPr>
          <w:p w14:paraId="09484F77" w14:textId="30C29A07" w:rsidR="003C5EF4" w:rsidRPr="00E20D21" w:rsidRDefault="003C5EF4" w:rsidP="003C5EF4">
            <w:pPr>
              <w:jc w:val="right"/>
              <w:rPr>
                <w:rFonts w:ascii="CAIXA Std Book" w:hAnsi="CAIXA Std Book" w:cs="Arial"/>
                <w:color w:val="005CA9"/>
                <w:sz w:val="18"/>
                <w:szCs w:val="18"/>
              </w:rPr>
            </w:pPr>
            <w:r w:rsidRPr="00E20D21">
              <w:rPr>
                <w:rFonts w:ascii="CAIXA Std Book" w:hAnsi="CAIXA Std Book" w:cs="Arial"/>
                <w:color w:val="005CA9"/>
                <w:sz w:val="18"/>
                <w:szCs w:val="18"/>
              </w:rPr>
              <w:t>21.319.287</w:t>
            </w:r>
          </w:p>
        </w:tc>
      </w:tr>
      <w:tr w:rsidR="003C5EF4" w:rsidRPr="00E20D21" w14:paraId="56F4286A" w14:textId="77777777" w:rsidTr="003C5EF4">
        <w:trPr>
          <w:trHeight w:val="283"/>
        </w:trPr>
        <w:tc>
          <w:tcPr>
            <w:tcW w:w="1329" w:type="pct"/>
            <w:tcBorders>
              <w:top w:val="nil"/>
              <w:left w:val="nil"/>
              <w:bottom w:val="nil"/>
              <w:right w:val="nil"/>
            </w:tcBorders>
            <w:shd w:val="clear" w:color="auto" w:fill="auto"/>
            <w:vAlign w:val="center"/>
            <w:hideMark/>
          </w:tcPr>
          <w:p w14:paraId="1A8E2E8C"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Pessoas físicas</w:t>
            </w:r>
          </w:p>
        </w:tc>
        <w:tc>
          <w:tcPr>
            <w:tcW w:w="541" w:type="pct"/>
            <w:tcBorders>
              <w:top w:val="nil"/>
              <w:left w:val="nil"/>
              <w:bottom w:val="nil"/>
              <w:right w:val="nil"/>
            </w:tcBorders>
            <w:shd w:val="clear" w:color="auto" w:fill="auto"/>
            <w:noWrap/>
            <w:vAlign w:val="center"/>
          </w:tcPr>
          <w:p w14:paraId="5B9C6DED" w14:textId="3BBF7CE7"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26.383.891</w:t>
            </w:r>
          </w:p>
        </w:tc>
        <w:tc>
          <w:tcPr>
            <w:tcW w:w="446" w:type="pct"/>
            <w:tcBorders>
              <w:top w:val="nil"/>
              <w:left w:val="nil"/>
              <w:bottom w:val="nil"/>
              <w:right w:val="nil"/>
            </w:tcBorders>
            <w:shd w:val="clear" w:color="auto" w:fill="auto"/>
            <w:noWrap/>
            <w:vAlign w:val="center"/>
          </w:tcPr>
          <w:p w14:paraId="1B31F85D" w14:textId="3446D891"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6711C466" w14:textId="6230E6FA"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2FA87B3C" w14:textId="544C47A9"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6D8C8223" w14:textId="14C5F205"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26.383.891</w:t>
            </w:r>
          </w:p>
        </w:tc>
        <w:tc>
          <w:tcPr>
            <w:tcW w:w="442" w:type="pct"/>
            <w:tcBorders>
              <w:top w:val="nil"/>
              <w:left w:val="nil"/>
              <w:bottom w:val="nil"/>
              <w:right w:val="nil"/>
            </w:tcBorders>
            <w:shd w:val="clear" w:color="auto" w:fill="auto"/>
            <w:noWrap/>
            <w:vAlign w:val="center"/>
            <w:hideMark/>
          </w:tcPr>
          <w:p w14:paraId="426974A5" w14:textId="5DB74026"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22.133.720</w:t>
            </w:r>
          </w:p>
        </w:tc>
        <w:tc>
          <w:tcPr>
            <w:tcW w:w="466" w:type="pct"/>
            <w:tcBorders>
              <w:top w:val="nil"/>
              <w:left w:val="nil"/>
              <w:bottom w:val="nil"/>
              <w:right w:val="nil"/>
            </w:tcBorders>
            <w:shd w:val="clear" w:color="auto" w:fill="auto"/>
            <w:noWrap/>
            <w:vAlign w:val="center"/>
          </w:tcPr>
          <w:p w14:paraId="62ACC890" w14:textId="1476767C" w:rsidR="003C5EF4" w:rsidRPr="00E20D21" w:rsidRDefault="003C5EF4" w:rsidP="003C5EF4">
            <w:pPr>
              <w:jc w:val="right"/>
              <w:rPr>
                <w:rFonts w:ascii="CAIXA Std Book" w:hAnsi="CAIXA Std Book" w:cs="Arial"/>
                <w:color w:val="005CA9"/>
                <w:sz w:val="18"/>
                <w:szCs w:val="18"/>
              </w:rPr>
            </w:pPr>
            <w:r w:rsidRPr="00E20D21">
              <w:rPr>
                <w:rFonts w:ascii="CAIXA Std Book" w:hAnsi="CAIXA Std Book" w:cs="Arial"/>
                <w:color w:val="005CA9"/>
                <w:sz w:val="18"/>
                <w:szCs w:val="18"/>
              </w:rPr>
              <w:t>26.383.891</w:t>
            </w:r>
          </w:p>
        </w:tc>
        <w:tc>
          <w:tcPr>
            <w:tcW w:w="426" w:type="pct"/>
            <w:tcBorders>
              <w:top w:val="nil"/>
              <w:left w:val="nil"/>
              <w:bottom w:val="nil"/>
              <w:right w:val="nil"/>
            </w:tcBorders>
            <w:shd w:val="clear" w:color="auto" w:fill="auto"/>
            <w:vAlign w:val="center"/>
            <w:hideMark/>
          </w:tcPr>
          <w:p w14:paraId="1997285D" w14:textId="5878A867" w:rsidR="003C5EF4" w:rsidRPr="00E20D21" w:rsidRDefault="003C5EF4" w:rsidP="003C5EF4">
            <w:pPr>
              <w:jc w:val="right"/>
              <w:rPr>
                <w:rFonts w:ascii="CAIXA Std Book" w:hAnsi="CAIXA Std Book" w:cs="Arial"/>
                <w:color w:val="005CA9"/>
                <w:sz w:val="18"/>
                <w:szCs w:val="18"/>
              </w:rPr>
            </w:pPr>
            <w:r w:rsidRPr="00E20D21">
              <w:rPr>
                <w:rFonts w:ascii="CAIXA Std Book" w:hAnsi="CAIXA Std Book" w:cs="Arial"/>
                <w:color w:val="005CA9"/>
                <w:sz w:val="18"/>
                <w:szCs w:val="18"/>
              </w:rPr>
              <w:t>22.133.720</w:t>
            </w:r>
          </w:p>
        </w:tc>
      </w:tr>
      <w:tr w:rsidR="003C5EF4" w:rsidRPr="00E20D21" w14:paraId="5A121915" w14:textId="77777777" w:rsidTr="003C5EF4">
        <w:trPr>
          <w:trHeight w:val="283"/>
        </w:trPr>
        <w:tc>
          <w:tcPr>
            <w:tcW w:w="1329" w:type="pct"/>
            <w:tcBorders>
              <w:top w:val="nil"/>
              <w:left w:val="nil"/>
              <w:bottom w:val="nil"/>
              <w:right w:val="nil"/>
            </w:tcBorders>
            <w:shd w:val="clear" w:color="auto" w:fill="auto"/>
            <w:vAlign w:val="center"/>
            <w:hideMark/>
          </w:tcPr>
          <w:p w14:paraId="6FBF3FEC"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Vinculados</w:t>
            </w:r>
          </w:p>
        </w:tc>
        <w:tc>
          <w:tcPr>
            <w:tcW w:w="541" w:type="pct"/>
            <w:tcBorders>
              <w:top w:val="nil"/>
              <w:left w:val="nil"/>
              <w:bottom w:val="nil"/>
              <w:right w:val="nil"/>
            </w:tcBorders>
            <w:shd w:val="clear" w:color="auto" w:fill="auto"/>
            <w:noWrap/>
            <w:vAlign w:val="center"/>
          </w:tcPr>
          <w:p w14:paraId="170443A3" w14:textId="50A0960C"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2.787.766</w:t>
            </w:r>
          </w:p>
        </w:tc>
        <w:tc>
          <w:tcPr>
            <w:tcW w:w="446" w:type="pct"/>
            <w:tcBorders>
              <w:top w:val="nil"/>
              <w:left w:val="nil"/>
              <w:bottom w:val="nil"/>
              <w:right w:val="nil"/>
            </w:tcBorders>
            <w:shd w:val="clear" w:color="auto" w:fill="auto"/>
            <w:noWrap/>
            <w:vAlign w:val="center"/>
          </w:tcPr>
          <w:p w14:paraId="19A38448" w14:textId="1CEF05EC"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31167D3F" w14:textId="0919E4A8"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46CFB17A" w14:textId="0D65FC48"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28D87C20" w14:textId="08E2635D"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2.787.766</w:t>
            </w:r>
          </w:p>
        </w:tc>
        <w:tc>
          <w:tcPr>
            <w:tcW w:w="442" w:type="pct"/>
            <w:tcBorders>
              <w:top w:val="nil"/>
              <w:left w:val="nil"/>
              <w:bottom w:val="nil"/>
              <w:right w:val="nil"/>
            </w:tcBorders>
            <w:shd w:val="clear" w:color="auto" w:fill="auto"/>
            <w:noWrap/>
            <w:vAlign w:val="center"/>
            <w:hideMark/>
          </w:tcPr>
          <w:p w14:paraId="141E9332" w14:textId="507A2C8D"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2.372.703</w:t>
            </w:r>
          </w:p>
        </w:tc>
        <w:tc>
          <w:tcPr>
            <w:tcW w:w="466" w:type="pct"/>
            <w:tcBorders>
              <w:top w:val="nil"/>
              <w:left w:val="nil"/>
              <w:bottom w:val="nil"/>
              <w:right w:val="nil"/>
            </w:tcBorders>
            <w:shd w:val="clear" w:color="auto" w:fill="auto"/>
            <w:noWrap/>
            <w:vAlign w:val="center"/>
          </w:tcPr>
          <w:p w14:paraId="7401A826" w14:textId="2BCFE306"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2.787.766</w:t>
            </w:r>
          </w:p>
        </w:tc>
        <w:tc>
          <w:tcPr>
            <w:tcW w:w="426" w:type="pct"/>
            <w:tcBorders>
              <w:top w:val="nil"/>
              <w:left w:val="nil"/>
              <w:bottom w:val="nil"/>
              <w:right w:val="nil"/>
            </w:tcBorders>
            <w:shd w:val="clear" w:color="auto" w:fill="auto"/>
            <w:vAlign w:val="center"/>
            <w:hideMark/>
          </w:tcPr>
          <w:p w14:paraId="7E9CA27A" w14:textId="0D2A5DC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2.372.703</w:t>
            </w:r>
          </w:p>
        </w:tc>
      </w:tr>
      <w:tr w:rsidR="003C5EF4" w:rsidRPr="00E20D21" w14:paraId="26FEA380" w14:textId="77777777" w:rsidTr="003C5EF4">
        <w:trPr>
          <w:trHeight w:val="283"/>
        </w:trPr>
        <w:tc>
          <w:tcPr>
            <w:tcW w:w="1329" w:type="pct"/>
            <w:tcBorders>
              <w:top w:val="nil"/>
              <w:left w:val="nil"/>
              <w:bottom w:val="nil"/>
              <w:right w:val="nil"/>
            </w:tcBorders>
            <w:shd w:val="clear" w:color="auto" w:fill="auto"/>
            <w:vAlign w:val="center"/>
            <w:hideMark/>
          </w:tcPr>
          <w:p w14:paraId="035910BA"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Governo</w:t>
            </w:r>
          </w:p>
        </w:tc>
        <w:tc>
          <w:tcPr>
            <w:tcW w:w="541" w:type="pct"/>
            <w:tcBorders>
              <w:top w:val="nil"/>
              <w:left w:val="nil"/>
              <w:bottom w:val="nil"/>
              <w:right w:val="nil"/>
            </w:tcBorders>
            <w:shd w:val="clear" w:color="auto" w:fill="auto"/>
            <w:noWrap/>
            <w:vAlign w:val="center"/>
          </w:tcPr>
          <w:p w14:paraId="0AE357BC" w14:textId="64C73436"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2.118.875</w:t>
            </w:r>
          </w:p>
        </w:tc>
        <w:tc>
          <w:tcPr>
            <w:tcW w:w="446" w:type="pct"/>
            <w:tcBorders>
              <w:top w:val="nil"/>
              <w:left w:val="nil"/>
              <w:bottom w:val="nil"/>
              <w:right w:val="nil"/>
            </w:tcBorders>
            <w:shd w:val="clear" w:color="auto" w:fill="auto"/>
            <w:noWrap/>
            <w:vAlign w:val="center"/>
          </w:tcPr>
          <w:p w14:paraId="4EA9888F" w14:textId="18C30102"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58E8B7CE" w14:textId="4165C0B8"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72E03C37" w14:textId="1C8C207D"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1F72F6C7" w14:textId="700AAD71"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2.118.875</w:t>
            </w:r>
          </w:p>
        </w:tc>
        <w:tc>
          <w:tcPr>
            <w:tcW w:w="442" w:type="pct"/>
            <w:tcBorders>
              <w:top w:val="nil"/>
              <w:left w:val="nil"/>
              <w:bottom w:val="nil"/>
              <w:right w:val="nil"/>
            </w:tcBorders>
            <w:shd w:val="clear" w:color="auto" w:fill="auto"/>
            <w:noWrap/>
            <w:vAlign w:val="center"/>
            <w:hideMark/>
          </w:tcPr>
          <w:p w14:paraId="1872003F" w14:textId="3B846AC8"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2.133.798</w:t>
            </w:r>
          </w:p>
        </w:tc>
        <w:tc>
          <w:tcPr>
            <w:tcW w:w="466" w:type="pct"/>
            <w:tcBorders>
              <w:top w:val="nil"/>
              <w:left w:val="nil"/>
              <w:bottom w:val="nil"/>
              <w:right w:val="nil"/>
            </w:tcBorders>
            <w:shd w:val="clear" w:color="auto" w:fill="auto"/>
            <w:noWrap/>
            <w:vAlign w:val="center"/>
          </w:tcPr>
          <w:p w14:paraId="68801D18" w14:textId="3506A764"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2.118.875</w:t>
            </w:r>
          </w:p>
        </w:tc>
        <w:tc>
          <w:tcPr>
            <w:tcW w:w="426" w:type="pct"/>
            <w:tcBorders>
              <w:top w:val="nil"/>
              <w:left w:val="nil"/>
              <w:bottom w:val="nil"/>
              <w:right w:val="nil"/>
            </w:tcBorders>
            <w:shd w:val="clear" w:color="auto" w:fill="auto"/>
            <w:vAlign w:val="center"/>
            <w:hideMark/>
          </w:tcPr>
          <w:p w14:paraId="15E90201" w14:textId="626AABAD"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2.133.798</w:t>
            </w:r>
          </w:p>
        </w:tc>
      </w:tr>
      <w:tr w:rsidR="003C5EF4" w:rsidRPr="00E20D21" w14:paraId="760B6D75" w14:textId="77777777" w:rsidTr="003C5EF4">
        <w:trPr>
          <w:trHeight w:val="283"/>
        </w:trPr>
        <w:tc>
          <w:tcPr>
            <w:tcW w:w="1329" w:type="pct"/>
            <w:tcBorders>
              <w:top w:val="nil"/>
              <w:left w:val="nil"/>
              <w:bottom w:val="nil"/>
              <w:right w:val="nil"/>
            </w:tcBorders>
            <w:shd w:val="clear" w:color="auto" w:fill="auto"/>
            <w:vAlign w:val="center"/>
            <w:hideMark/>
          </w:tcPr>
          <w:p w14:paraId="11D335C0"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Entidades públicas</w:t>
            </w:r>
          </w:p>
        </w:tc>
        <w:tc>
          <w:tcPr>
            <w:tcW w:w="541" w:type="pct"/>
            <w:tcBorders>
              <w:top w:val="nil"/>
              <w:left w:val="nil"/>
              <w:bottom w:val="nil"/>
              <w:right w:val="nil"/>
            </w:tcBorders>
            <w:shd w:val="clear" w:color="auto" w:fill="auto"/>
            <w:noWrap/>
            <w:vAlign w:val="center"/>
          </w:tcPr>
          <w:p w14:paraId="6EC1CED4" w14:textId="0F790B12"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96.568</w:t>
            </w:r>
          </w:p>
        </w:tc>
        <w:tc>
          <w:tcPr>
            <w:tcW w:w="446" w:type="pct"/>
            <w:tcBorders>
              <w:top w:val="nil"/>
              <w:left w:val="nil"/>
              <w:bottom w:val="nil"/>
              <w:right w:val="nil"/>
            </w:tcBorders>
            <w:shd w:val="clear" w:color="auto" w:fill="auto"/>
            <w:noWrap/>
            <w:vAlign w:val="center"/>
          </w:tcPr>
          <w:p w14:paraId="1C28912E" w14:textId="0C0A6E24"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5B56566B" w14:textId="779F3BD1"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1A3E365E" w14:textId="46C71614"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5FB8726A" w14:textId="64ACACE7"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96.568</w:t>
            </w:r>
          </w:p>
        </w:tc>
        <w:tc>
          <w:tcPr>
            <w:tcW w:w="442" w:type="pct"/>
            <w:tcBorders>
              <w:top w:val="nil"/>
              <w:left w:val="nil"/>
              <w:bottom w:val="nil"/>
              <w:right w:val="nil"/>
            </w:tcBorders>
            <w:shd w:val="clear" w:color="auto" w:fill="auto"/>
            <w:noWrap/>
            <w:vAlign w:val="center"/>
            <w:hideMark/>
          </w:tcPr>
          <w:p w14:paraId="420A242D" w14:textId="68249D08"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345.807</w:t>
            </w:r>
          </w:p>
        </w:tc>
        <w:tc>
          <w:tcPr>
            <w:tcW w:w="466" w:type="pct"/>
            <w:tcBorders>
              <w:top w:val="nil"/>
              <w:left w:val="nil"/>
              <w:bottom w:val="nil"/>
              <w:right w:val="nil"/>
            </w:tcBorders>
            <w:shd w:val="clear" w:color="auto" w:fill="auto"/>
            <w:noWrap/>
            <w:vAlign w:val="center"/>
          </w:tcPr>
          <w:p w14:paraId="1A1A99C2" w14:textId="36A10C86"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96.568</w:t>
            </w:r>
          </w:p>
        </w:tc>
        <w:tc>
          <w:tcPr>
            <w:tcW w:w="426" w:type="pct"/>
            <w:tcBorders>
              <w:top w:val="nil"/>
              <w:left w:val="nil"/>
              <w:bottom w:val="nil"/>
              <w:right w:val="nil"/>
            </w:tcBorders>
            <w:shd w:val="clear" w:color="auto" w:fill="auto"/>
            <w:vAlign w:val="center"/>
            <w:hideMark/>
          </w:tcPr>
          <w:p w14:paraId="09895EED" w14:textId="57552371"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345.807</w:t>
            </w:r>
          </w:p>
        </w:tc>
      </w:tr>
      <w:tr w:rsidR="003C5EF4" w:rsidRPr="00E20D21" w14:paraId="52D03656" w14:textId="77777777" w:rsidTr="003C5EF4">
        <w:trPr>
          <w:trHeight w:val="283"/>
        </w:trPr>
        <w:tc>
          <w:tcPr>
            <w:tcW w:w="1329" w:type="pct"/>
            <w:tcBorders>
              <w:top w:val="nil"/>
              <w:left w:val="nil"/>
              <w:bottom w:val="nil"/>
              <w:right w:val="nil"/>
            </w:tcBorders>
            <w:shd w:val="clear" w:color="auto" w:fill="auto"/>
            <w:vAlign w:val="center"/>
            <w:hideMark/>
          </w:tcPr>
          <w:p w14:paraId="2F7306A9"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Contas encerradas</w:t>
            </w:r>
          </w:p>
        </w:tc>
        <w:tc>
          <w:tcPr>
            <w:tcW w:w="541" w:type="pct"/>
            <w:tcBorders>
              <w:top w:val="nil"/>
              <w:left w:val="nil"/>
              <w:bottom w:val="nil"/>
              <w:right w:val="nil"/>
            </w:tcBorders>
            <w:shd w:val="clear" w:color="auto" w:fill="auto"/>
            <w:noWrap/>
            <w:vAlign w:val="center"/>
          </w:tcPr>
          <w:p w14:paraId="6AD33D43" w14:textId="711A5A50"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274.829</w:t>
            </w:r>
          </w:p>
        </w:tc>
        <w:tc>
          <w:tcPr>
            <w:tcW w:w="446" w:type="pct"/>
            <w:tcBorders>
              <w:top w:val="nil"/>
              <w:left w:val="nil"/>
              <w:bottom w:val="nil"/>
              <w:right w:val="nil"/>
            </w:tcBorders>
            <w:shd w:val="clear" w:color="auto" w:fill="auto"/>
            <w:noWrap/>
            <w:vAlign w:val="center"/>
          </w:tcPr>
          <w:p w14:paraId="44E21233" w14:textId="07300857"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2FE106DE" w14:textId="32C6AD20"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66D15268" w14:textId="5EA6DFB8"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07533EDE" w14:textId="4F7206A3"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274.829</w:t>
            </w:r>
          </w:p>
        </w:tc>
        <w:tc>
          <w:tcPr>
            <w:tcW w:w="442" w:type="pct"/>
            <w:tcBorders>
              <w:top w:val="nil"/>
              <w:left w:val="nil"/>
              <w:bottom w:val="nil"/>
              <w:right w:val="nil"/>
            </w:tcBorders>
            <w:shd w:val="clear" w:color="auto" w:fill="auto"/>
            <w:noWrap/>
            <w:vAlign w:val="center"/>
            <w:hideMark/>
          </w:tcPr>
          <w:p w14:paraId="1F9F9162" w14:textId="76ADFB4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281.859</w:t>
            </w:r>
          </w:p>
        </w:tc>
        <w:tc>
          <w:tcPr>
            <w:tcW w:w="466" w:type="pct"/>
            <w:tcBorders>
              <w:top w:val="nil"/>
              <w:left w:val="nil"/>
              <w:bottom w:val="nil"/>
              <w:right w:val="nil"/>
            </w:tcBorders>
            <w:shd w:val="clear" w:color="auto" w:fill="auto"/>
            <w:noWrap/>
            <w:vAlign w:val="center"/>
          </w:tcPr>
          <w:p w14:paraId="4799220F" w14:textId="16273419"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274.829</w:t>
            </w:r>
          </w:p>
        </w:tc>
        <w:tc>
          <w:tcPr>
            <w:tcW w:w="426" w:type="pct"/>
            <w:tcBorders>
              <w:top w:val="nil"/>
              <w:left w:val="nil"/>
              <w:bottom w:val="nil"/>
              <w:right w:val="nil"/>
            </w:tcBorders>
            <w:shd w:val="clear" w:color="auto" w:fill="auto"/>
            <w:vAlign w:val="center"/>
            <w:hideMark/>
          </w:tcPr>
          <w:p w14:paraId="58BC81E6" w14:textId="6AF2B8E7"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281.859</w:t>
            </w:r>
          </w:p>
        </w:tc>
      </w:tr>
      <w:tr w:rsidR="003C5EF4" w:rsidRPr="00E20D21" w14:paraId="20F7B8B6" w14:textId="77777777" w:rsidTr="003C5EF4">
        <w:trPr>
          <w:trHeight w:val="283"/>
        </w:trPr>
        <w:tc>
          <w:tcPr>
            <w:tcW w:w="1329" w:type="pct"/>
            <w:tcBorders>
              <w:top w:val="nil"/>
              <w:left w:val="nil"/>
              <w:bottom w:val="nil"/>
              <w:right w:val="nil"/>
            </w:tcBorders>
            <w:shd w:val="clear" w:color="auto" w:fill="auto"/>
            <w:vAlign w:val="center"/>
            <w:hideMark/>
          </w:tcPr>
          <w:p w14:paraId="18C15CA8"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Instituições do sistema financeiro</w:t>
            </w:r>
          </w:p>
        </w:tc>
        <w:tc>
          <w:tcPr>
            <w:tcW w:w="541" w:type="pct"/>
            <w:tcBorders>
              <w:top w:val="nil"/>
              <w:left w:val="nil"/>
              <w:bottom w:val="nil"/>
              <w:right w:val="nil"/>
            </w:tcBorders>
            <w:shd w:val="clear" w:color="auto" w:fill="auto"/>
            <w:noWrap/>
            <w:vAlign w:val="center"/>
          </w:tcPr>
          <w:p w14:paraId="4D0C6396" w14:textId="0DE4B798"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24.371</w:t>
            </w:r>
          </w:p>
        </w:tc>
        <w:tc>
          <w:tcPr>
            <w:tcW w:w="446" w:type="pct"/>
            <w:tcBorders>
              <w:top w:val="nil"/>
              <w:left w:val="nil"/>
              <w:bottom w:val="nil"/>
              <w:right w:val="nil"/>
            </w:tcBorders>
            <w:shd w:val="clear" w:color="auto" w:fill="auto"/>
            <w:noWrap/>
            <w:vAlign w:val="center"/>
          </w:tcPr>
          <w:p w14:paraId="6F554110" w14:textId="58BC99FE"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34ADFF45" w14:textId="0AEC6332"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1226C8AB" w14:textId="42E1899C"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74ED1059" w14:textId="64758A8E"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24.371</w:t>
            </w:r>
          </w:p>
        </w:tc>
        <w:tc>
          <w:tcPr>
            <w:tcW w:w="442" w:type="pct"/>
            <w:tcBorders>
              <w:top w:val="nil"/>
              <w:left w:val="nil"/>
              <w:bottom w:val="nil"/>
              <w:right w:val="nil"/>
            </w:tcBorders>
            <w:shd w:val="clear" w:color="auto" w:fill="auto"/>
            <w:noWrap/>
            <w:vAlign w:val="center"/>
            <w:hideMark/>
          </w:tcPr>
          <w:p w14:paraId="45992A6E" w14:textId="725C0417"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9.839</w:t>
            </w:r>
          </w:p>
        </w:tc>
        <w:tc>
          <w:tcPr>
            <w:tcW w:w="466" w:type="pct"/>
            <w:tcBorders>
              <w:top w:val="nil"/>
              <w:left w:val="nil"/>
              <w:bottom w:val="nil"/>
              <w:right w:val="nil"/>
            </w:tcBorders>
            <w:shd w:val="clear" w:color="auto" w:fill="auto"/>
            <w:noWrap/>
            <w:vAlign w:val="center"/>
          </w:tcPr>
          <w:p w14:paraId="1FFDA0CB" w14:textId="035BBBD1"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24.371</w:t>
            </w:r>
          </w:p>
        </w:tc>
        <w:tc>
          <w:tcPr>
            <w:tcW w:w="426" w:type="pct"/>
            <w:tcBorders>
              <w:top w:val="nil"/>
              <w:left w:val="nil"/>
              <w:bottom w:val="nil"/>
              <w:right w:val="nil"/>
            </w:tcBorders>
            <w:shd w:val="clear" w:color="auto" w:fill="auto"/>
            <w:vAlign w:val="center"/>
            <w:hideMark/>
          </w:tcPr>
          <w:p w14:paraId="600E55A0" w14:textId="7C6DB556"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9.839</w:t>
            </w:r>
          </w:p>
        </w:tc>
      </w:tr>
      <w:tr w:rsidR="003C5EF4" w:rsidRPr="00E20D21" w14:paraId="759CCF5D" w14:textId="77777777" w:rsidTr="003C5EF4">
        <w:trPr>
          <w:trHeight w:val="283"/>
        </w:trPr>
        <w:tc>
          <w:tcPr>
            <w:tcW w:w="1329" w:type="pct"/>
            <w:tcBorders>
              <w:top w:val="nil"/>
              <w:left w:val="nil"/>
              <w:bottom w:val="nil"/>
              <w:right w:val="nil"/>
            </w:tcBorders>
            <w:shd w:val="clear" w:color="auto" w:fill="auto"/>
            <w:vAlign w:val="center"/>
            <w:hideMark/>
          </w:tcPr>
          <w:p w14:paraId="218A9BD6"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541" w:type="pct"/>
            <w:tcBorders>
              <w:top w:val="nil"/>
              <w:left w:val="nil"/>
              <w:bottom w:val="nil"/>
              <w:right w:val="nil"/>
            </w:tcBorders>
            <w:shd w:val="clear" w:color="auto" w:fill="auto"/>
            <w:noWrap/>
            <w:vAlign w:val="center"/>
          </w:tcPr>
          <w:p w14:paraId="5D892BF8" w14:textId="0AE07C4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783.744</w:t>
            </w:r>
          </w:p>
        </w:tc>
        <w:tc>
          <w:tcPr>
            <w:tcW w:w="446" w:type="pct"/>
            <w:tcBorders>
              <w:top w:val="nil"/>
              <w:left w:val="nil"/>
              <w:bottom w:val="nil"/>
              <w:right w:val="nil"/>
            </w:tcBorders>
            <w:shd w:val="clear" w:color="auto" w:fill="auto"/>
            <w:noWrap/>
            <w:vAlign w:val="center"/>
          </w:tcPr>
          <w:p w14:paraId="7268B104" w14:textId="566C7B71"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355BE42F" w14:textId="29A61BFB"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214DB11F" w14:textId="6168F17F"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3C90C821" w14:textId="0C5166A5"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783.744</w:t>
            </w:r>
          </w:p>
        </w:tc>
        <w:tc>
          <w:tcPr>
            <w:tcW w:w="442" w:type="pct"/>
            <w:tcBorders>
              <w:top w:val="nil"/>
              <w:left w:val="nil"/>
              <w:bottom w:val="nil"/>
              <w:right w:val="nil"/>
            </w:tcBorders>
            <w:shd w:val="clear" w:color="auto" w:fill="auto"/>
            <w:noWrap/>
            <w:vAlign w:val="center"/>
            <w:hideMark/>
          </w:tcPr>
          <w:p w14:paraId="195A79F9" w14:textId="1443C442"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778.970</w:t>
            </w:r>
          </w:p>
        </w:tc>
        <w:tc>
          <w:tcPr>
            <w:tcW w:w="466" w:type="pct"/>
            <w:tcBorders>
              <w:top w:val="nil"/>
              <w:left w:val="nil"/>
              <w:bottom w:val="nil"/>
              <w:right w:val="nil"/>
            </w:tcBorders>
            <w:shd w:val="clear" w:color="auto" w:fill="auto"/>
            <w:noWrap/>
            <w:vAlign w:val="center"/>
          </w:tcPr>
          <w:p w14:paraId="3F061315" w14:textId="60F6073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783.744</w:t>
            </w:r>
          </w:p>
        </w:tc>
        <w:tc>
          <w:tcPr>
            <w:tcW w:w="426" w:type="pct"/>
            <w:tcBorders>
              <w:top w:val="nil"/>
              <w:left w:val="nil"/>
              <w:bottom w:val="nil"/>
              <w:right w:val="nil"/>
            </w:tcBorders>
            <w:shd w:val="clear" w:color="auto" w:fill="auto"/>
            <w:vAlign w:val="center"/>
            <w:hideMark/>
          </w:tcPr>
          <w:p w14:paraId="6716ED5C" w14:textId="0723B95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778.970</w:t>
            </w:r>
          </w:p>
        </w:tc>
      </w:tr>
      <w:tr w:rsidR="003C5EF4" w:rsidRPr="00E20D21" w14:paraId="048CE5F6" w14:textId="77777777" w:rsidTr="003C5EF4">
        <w:trPr>
          <w:trHeight w:val="283"/>
        </w:trPr>
        <w:tc>
          <w:tcPr>
            <w:tcW w:w="1329" w:type="pct"/>
            <w:tcBorders>
              <w:top w:val="nil"/>
              <w:left w:val="nil"/>
              <w:bottom w:val="nil"/>
              <w:right w:val="nil"/>
            </w:tcBorders>
            <w:shd w:val="clear" w:color="auto" w:fill="auto"/>
            <w:vAlign w:val="center"/>
            <w:hideMark/>
          </w:tcPr>
          <w:p w14:paraId="1BCC2709" w14:textId="77777777" w:rsidR="003C5EF4" w:rsidRPr="00E20D21" w:rsidRDefault="003C5EF4" w:rsidP="003C5EF4">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 de Poupança</w:t>
            </w:r>
          </w:p>
        </w:tc>
        <w:tc>
          <w:tcPr>
            <w:tcW w:w="541" w:type="pct"/>
            <w:tcBorders>
              <w:top w:val="nil"/>
              <w:left w:val="nil"/>
              <w:bottom w:val="nil"/>
              <w:right w:val="nil"/>
            </w:tcBorders>
            <w:shd w:val="clear" w:color="auto" w:fill="auto"/>
            <w:noWrap/>
            <w:vAlign w:val="center"/>
          </w:tcPr>
          <w:p w14:paraId="02024EAD" w14:textId="4992FF07"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374.543.004</w:t>
            </w:r>
          </w:p>
        </w:tc>
        <w:tc>
          <w:tcPr>
            <w:tcW w:w="446" w:type="pct"/>
            <w:tcBorders>
              <w:top w:val="nil"/>
              <w:left w:val="nil"/>
              <w:bottom w:val="nil"/>
              <w:right w:val="nil"/>
            </w:tcBorders>
            <w:shd w:val="clear" w:color="auto" w:fill="auto"/>
            <w:noWrap/>
            <w:vAlign w:val="center"/>
          </w:tcPr>
          <w:p w14:paraId="2D91047C" w14:textId="1AC8738C" w:rsidR="003C5EF4" w:rsidRPr="00E20D21" w:rsidRDefault="003C5EF4" w:rsidP="003C5EF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c>
          <w:tcPr>
            <w:tcW w:w="447" w:type="pct"/>
            <w:tcBorders>
              <w:top w:val="nil"/>
              <w:left w:val="nil"/>
              <w:bottom w:val="nil"/>
              <w:right w:val="nil"/>
            </w:tcBorders>
            <w:shd w:val="clear" w:color="auto" w:fill="auto"/>
            <w:noWrap/>
            <w:vAlign w:val="center"/>
          </w:tcPr>
          <w:p w14:paraId="2F65E763" w14:textId="648C231B" w:rsidR="003C5EF4" w:rsidRPr="00E20D21" w:rsidRDefault="003C5EF4" w:rsidP="003C5EF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c>
          <w:tcPr>
            <w:tcW w:w="424" w:type="pct"/>
            <w:tcBorders>
              <w:top w:val="nil"/>
              <w:left w:val="nil"/>
              <w:bottom w:val="nil"/>
              <w:right w:val="nil"/>
            </w:tcBorders>
            <w:shd w:val="clear" w:color="auto" w:fill="auto"/>
            <w:noWrap/>
            <w:vAlign w:val="center"/>
          </w:tcPr>
          <w:p w14:paraId="736A7F61" w14:textId="12058E73" w:rsidR="003C5EF4" w:rsidRPr="00E20D21" w:rsidRDefault="003C5EF4" w:rsidP="003C5EF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c>
          <w:tcPr>
            <w:tcW w:w="479" w:type="pct"/>
            <w:tcBorders>
              <w:top w:val="nil"/>
              <w:left w:val="nil"/>
              <w:bottom w:val="nil"/>
              <w:right w:val="nil"/>
            </w:tcBorders>
            <w:shd w:val="clear" w:color="auto" w:fill="auto"/>
            <w:noWrap/>
            <w:vAlign w:val="center"/>
          </w:tcPr>
          <w:p w14:paraId="57A591D7" w14:textId="29DB817D"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374.543.004</w:t>
            </w:r>
          </w:p>
        </w:tc>
        <w:tc>
          <w:tcPr>
            <w:tcW w:w="442" w:type="pct"/>
            <w:tcBorders>
              <w:top w:val="nil"/>
              <w:left w:val="nil"/>
              <w:bottom w:val="nil"/>
              <w:right w:val="nil"/>
            </w:tcBorders>
            <w:shd w:val="clear" w:color="auto" w:fill="auto"/>
            <w:noWrap/>
            <w:vAlign w:val="center"/>
            <w:hideMark/>
          </w:tcPr>
          <w:p w14:paraId="05D8CAA3" w14:textId="786CA0E8"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358.327.553</w:t>
            </w:r>
          </w:p>
        </w:tc>
        <w:tc>
          <w:tcPr>
            <w:tcW w:w="466" w:type="pct"/>
            <w:tcBorders>
              <w:top w:val="nil"/>
              <w:left w:val="nil"/>
              <w:bottom w:val="nil"/>
              <w:right w:val="nil"/>
            </w:tcBorders>
            <w:shd w:val="clear" w:color="auto" w:fill="auto"/>
            <w:noWrap/>
            <w:vAlign w:val="center"/>
          </w:tcPr>
          <w:p w14:paraId="68E28769" w14:textId="299A83D3"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374.543.004</w:t>
            </w:r>
          </w:p>
        </w:tc>
        <w:tc>
          <w:tcPr>
            <w:tcW w:w="426" w:type="pct"/>
            <w:tcBorders>
              <w:top w:val="nil"/>
              <w:left w:val="nil"/>
              <w:bottom w:val="nil"/>
              <w:right w:val="nil"/>
            </w:tcBorders>
            <w:shd w:val="clear" w:color="auto" w:fill="auto"/>
            <w:vAlign w:val="center"/>
            <w:hideMark/>
          </w:tcPr>
          <w:p w14:paraId="5571A9D3" w14:textId="5C2C4E8E"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358.327.553</w:t>
            </w:r>
          </w:p>
        </w:tc>
      </w:tr>
      <w:tr w:rsidR="003C5EF4" w:rsidRPr="00E20D21" w14:paraId="53230736" w14:textId="77777777" w:rsidTr="003C5EF4">
        <w:trPr>
          <w:trHeight w:val="283"/>
        </w:trPr>
        <w:tc>
          <w:tcPr>
            <w:tcW w:w="1329" w:type="pct"/>
            <w:tcBorders>
              <w:top w:val="nil"/>
              <w:left w:val="nil"/>
              <w:bottom w:val="nil"/>
              <w:right w:val="nil"/>
            </w:tcBorders>
            <w:shd w:val="clear" w:color="auto" w:fill="auto"/>
            <w:vAlign w:val="center"/>
            <w:hideMark/>
          </w:tcPr>
          <w:p w14:paraId="2C5ECDD5"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Pessoas físicas</w:t>
            </w:r>
          </w:p>
        </w:tc>
        <w:tc>
          <w:tcPr>
            <w:tcW w:w="541" w:type="pct"/>
            <w:tcBorders>
              <w:top w:val="nil"/>
              <w:left w:val="nil"/>
              <w:bottom w:val="nil"/>
              <w:right w:val="nil"/>
            </w:tcBorders>
            <w:shd w:val="clear" w:color="auto" w:fill="auto"/>
            <w:noWrap/>
            <w:vAlign w:val="center"/>
          </w:tcPr>
          <w:p w14:paraId="4C0B3873" w14:textId="0991F671"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363.880.668</w:t>
            </w:r>
          </w:p>
        </w:tc>
        <w:tc>
          <w:tcPr>
            <w:tcW w:w="446" w:type="pct"/>
            <w:tcBorders>
              <w:top w:val="nil"/>
              <w:left w:val="nil"/>
              <w:bottom w:val="nil"/>
              <w:right w:val="nil"/>
            </w:tcBorders>
            <w:shd w:val="clear" w:color="auto" w:fill="auto"/>
            <w:noWrap/>
            <w:vAlign w:val="center"/>
          </w:tcPr>
          <w:p w14:paraId="658165F9" w14:textId="17057F01"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3031E543" w14:textId="6F2BA21D"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05351316" w14:textId="7A36882C"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6029DB01" w14:textId="65035F11"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363.880.668</w:t>
            </w:r>
          </w:p>
        </w:tc>
        <w:tc>
          <w:tcPr>
            <w:tcW w:w="442" w:type="pct"/>
            <w:tcBorders>
              <w:top w:val="nil"/>
              <w:left w:val="nil"/>
              <w:bottom w:val="nil"/>
              <w:right w:val="nil"/>
            </w:tcBorders>
            <w:shd w:val="clear" w:color="auto" w:fill="auto"/>
            <w:noWrap/>
            <w:vAlign w:val="center"/>
            <w:hideMark/>
          </w:tcPr>
          <w:p w14:paraId="40C38F0D" w14:textId="303DAEC4"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348.521.583</w:t>
            </w:r>
          </w:p>
        </w:tc>
        <w:tc>
          <w:tcPr>
            <w:tcW w:w="466" w:type="pct"/>
            <w:tcBorders>
              <w:top w:val="nil"/>
              <w:left w:val="nil"/>
              <w:bottom w:val="nil"/>
              <w:right w:val="nil"/>
            </w:tcBorders>
            <w:shd w:val="clear" w:color="auto" w:fill="auto"/>
            <w:noWrap/>
            <w:vAlign w:val="center"/>
          </w:tcPr>
          <w:p w14:paraId="2953CFD3" w14:textId="0C1F7D78"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363.880.668</w:t>
            </w:r>
          </w:p>
        </w:tc>
        <w:tc>
          <w:tcPr>
            <w:tcW w:w="426" w:type="pct"/>
            <w:tcBorders>
              <w:top w:val="nil"/>
              <w:left w:val="nil"/>
              <w:bottom w:val="nil"/>
              <w:right w:val="nil"/>
            </w:tcBorders>
            <w:shd w:val="clear" w:color="auto" w:fill="auto"/>
            <w:vAlign w:val="center"/>
            <w:hideMark/>
          </w:tcPr>
          <w:p w14:paraId="0F588CED" w14:textId="4FD67611"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348.521.583</w:t>
            </w:r>
          </w:p>
        </w:tc>
      </w:tr>
      <w:tr w:rsidR="003C5EF4" w:rsidRPr="00E20D21" w14:paraId="4BACEC89" w14:textId="77777777" w:rsidTr="003C5EF4">
        <w:trPr>
          <w:trHeight w:val="283"/>
        </w:trPr>
        <w:tc>
          <w:tcPr>
            <w:tcW w:w="1329" w:type="pct"/>
            <w:tcBorders>
              <w:top w:val="nil"/>
              <w:left w:val="nil"/>
              <w:bottom w:val="nil"/>
              <w:right w:val="nil"/>
            </w:tcBorders>
            <w:shd w:val="clear" w:color="auto" w:fill="auto"/>
            <w:vAlign w:val="center"/>
            <w:hideMark/>
          </w:tcPr>
          <w:p w14:paraId="01D8756B"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Contas encerradas</w:t>
            </w:r>
          </w:p>
        </w:tc>
        <w:tc>
          <w:tcPr>
            <w:tcW w:w="541" w:type="pct"/>
            <w:tcBorders>
              <w:top w:val="nil"/>
              <w:left w:val="nil"/>
              <w:bottom w:val="nil"/>
              <w:right w:val="nil"/>
            </w:tcBorders>
            <w:shd w:val="clear" w:color="auto" w:fill="auto"/>
            <w:noWrap/>
            <w:vAlign w:val="center"/>
          </w:tcPr>
          <w:p w14:paraId="681D3255" w14:textId="2D8D512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5.657.930</w:t>
            </w:r>
          </w:p>
        </w:tc>
        <w:tc>
          <w:tcPr>
            <w:tcW w:w="446" w:type="pct"/>
            <w:tcBorders>
              <w:top w:val="nil"/>
              <w:left w:val="nil"/>
              <w:bottom w:val="nil"/>
              <w:right w:val="nil"/>
            </w:tcBorders>
            <w:shd w:val="clear" w:color="auto" w:fill="auto"/>
            <w:noWrap/>
            <w:vAlign w:val="center"/>
          </w:tcPr>
          <w:p w14:paraId="4320C404" w14:textId="48E6053B"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5B0CB5D4" w14:textId="77F73488"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11A860D5" w14:textId="1912FB3E"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0397848E" w14:textId="4D62F407"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5.657.930</w:t>
            </w:r>
          </w:p>
        </w:tc>
        <w:tc>
          <w:tcPr>
            <w:tcW w:w="442" w:type="pct"/>
            <w:tcBorders>
              <w:top w:val="nil"/>
              <w:left w:val="nil"/>
              <w:bottom w:val="nil"/>
              <w:right w:val="nil"/>
            </w:tcBorders>
            <w:shd w:val="clear" w:color="auto" w:fill="auto"/>
            <w:noWrap/>
            <w:vAlign w:val="center"/>
            <w:hideMark/>
          </w:tcPr>
          <w:p w14:paraId="66C4DF66" w14:textId="77ADE276"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5.536.031</w:t>
            </w:r>
          </w:p>
        </w:tc>
        <w:tc>
          <w:tcPr>
            <w:tcW w:w="466" w:type="pct"/>
            <w:tcBorders>
              <w:top w:val="nil"/>
              <w:left w:val="nil"/>
              <w:bottom w:val="nil"/>
              <w:right w:val="nil"/>
            </w:tcBorders>
            <w:shd w:val="clear" w:color="auto" w:fill="auto"/>
            <w:noWrap/>
            <w:vAlign w:val="center"/>
          </w:tcPr>
          <w:p w14:paraId="29BB4584" w14:textId="0AD234F9"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5.657.930</w:t>
            </w:r>
          </w:p>
        </w:tc>
        <w:tc>
          <w:tcPr>
            <w:tcW w:w="426" w:type="pct"/>
            <w:tcBorders>
              <w:top w:val="nil"/>
              <w:left w:val="nil"/>
              <w:bottom w:val="nil"/>
              <w:right w:val="nil"/>
            </w:tcBorders>
            <w:shd w:val="clear" w:color="auto" w:fill="auto"/>
            <w:vAlign w:val="center"/>
            <w:hideMark/>
          </w:tcPr>
          <w:p w14:paraId="10669D4A" w14:textId="47FC571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5.536.031</w:t>
            </w:r>
          </w:p>
        </w:tc>
      </w:tr>
      <w:tr w:rsidR="003C5EF4" w:rsidRPr="00E20D21" w14:paraId="292B21C9" w14:textId="77777777" w:rsidTr="003C5EF4">
        <w:trPr>
          <w:trHeight w:val="283"/>
        </w:trPr>
        <w:tc>
          <w:tcPr>
            <w:tcW w:w="1329" w:type="pct"/>
            <w:tcBorders>
              <w:top w:val="nil"/>
              <w:left w:val="nil"/>
              <w:bottom w:val="nil"/>
              <w:right w:val="nil"/>
            </w:tcBorders>
            <w:shd w:val="clear" w:color="auto" w:fill="auto"/>
            <w:vAlign w:val="center"/>
            <w:hideMark/>
          </w:tcPr>
          <w:p w14:paraId="43FB16A4"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Pessoas jurídicas</w:t>
            </w:r>
          </w:p>
        </w:tc>
        <w:tc>
          <w:tcPr>
            <w:tcW w:w="541" w:type="pct"/>
            <w:tcBorders>
              <w:top w:val="nil"/>
              <w:left w:val="nil"/>
              <w:bottom w:val="nil"/>
              <w:right w:val="nil"/>
            </w:tcBorders>
            <w:shd w:val="clear" w:color="auto" w:fill="auto"/>
            <w:noWrap/>
            <w:vAlign w:val="center"/>
          </w:tcPr>
          <w:p w14:paraId="12A06760" w14:textId="56A2716D"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5.004.406</w:t>
            </w:r>
          </w:p>
        </w:tc>
        <w:tc>
          <w:tcPr>
            <w:tcW w:w="446" w:type="pct"/>
            <w:tcBorders>
              <w:top w:val="nil"/>
              <w:left w:val="nil"/>
              <w:bottom w:val="nil"/>
              <w:right w:val="nil"/>
            </w:tcBorders>
            <w:shd w:val="clear" w:color="auto" w:fill="auto"/>
            <w:noWrap/>
            <w:vAlign w:val="center"/>
          </w:tcPr>
          <w:p w14:paraId="2EAA8087" w14:textId="3B63874B"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5E118CCA" w14:textId="61A74B4D"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625301BD" w14:textId="083D4BB9"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2576A021" w14:textId="68389D1D"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5.004.406</w:t>
            </w:r>
          </w:p>
        </w:tc>
        <w:tc>
          <w:tcPr>
            <w:tcW w:w="442" w:type="pct"/>
            <w:tcBorders>
              <w:top w:val="nil"/>
              <w:left w:val="nil"/>
              <w:bottom w:val="nil"/>
              <w:right w:val="nil"/>
            </w:tcBorders>
            <w:shd w:val="clear" w:color="auto" w:fill="auto"/>
            <w:noWrap/>
            <w:vAlign w:val="center"/>
            <w:hideMark/>
          </w:tcPr>
          <w:p w14:paraId="52E9DE1D" w14:textId="77255994"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4.268.029</w:t>
            </w:r>
          </w:p>
        </w:tc>
        <w:tc>
          <w:tcPr>
            <w:tcW w:w="466" w:type="pct"/>
            <w:tcBorders>
              <w:top w:val="nil"/>
              <w:left w:val="nil"/>
              <w:bottom w:val="nil"/>
              <w:right w:val="nil"/>
            </w:tcBorders>
            <w:shd w:val="clear" w:color="auto" w:fill="auto"/>
            <w:noWrap/>
            <w:vAlign w:val="center"/>
          </w:tcPr>
          <w:p w14:paraId="70FAED5A" w14:textId="64144F4E"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5.004.406</w:t>
            </w:r>
          </w:p>
        </w:tc>
        <w:tc>
          <w:tcPr>
            <w:tcW w:w="426" w:type="pct"/>
            <w:tcBorders>
              <w:top w:val="nil"/>
              <w:left w:val="nil"/>
              <w:bottom w:val="nil"/>
              <w:right w:val="nil"/>
            </w:tcBorders>
            <w:shd w:val="clear" w:color="auto" w:fill="auto"/>
            <w:vAlign w:val="center"/>
            <w:hideMark/>
          </w:tcPr>
          <w:p w14:paraId="65708855" w14:textId="2E851C40"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4.268.029</w:t>
            </w:r>
          </w:p>
        </w:tc>
      </w:tr>
      <w:tr w:rsidR="003C5EF4" w:rsidRPr="00E20D21" w14:paraId="493CD01A" w14:textId="77777777" w:rsidTr="003C5EF4">
        <w:trPr>
          <w:trHeight w:val="283"/>
        </w:trPr>
        <w:tc>
          <w:tcPr>
            <w:tcW w:w="1329" w:type="pct"/>
            <w:tcBorders>
              <w:top w:val="nil"/>
              <w:left w:val="nil"/>
              <w:bottom w:val="nil"/>
              <w:right w:val="nil"/>
            </w:tcBorders>
            <w:shd w:val="clear" w:color="auto" w:fill="auto"/>
            <w:vAlign w:val="center"/>
            <w:hideMark/>
          </w:tcPr>
          <w:p w14:paraId="76BBEDFD"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541" w:type="pct"/>
            <w:tcBorders>
              <w:top w:val="nil"/>
              <w:left w:val="nil"/>
              <w:bottom w:val="nil"/>
              <w:right w:val="nil"/>
            </w:tcBorders>
            <w:shd w:val="clear" w:color="auto" w:fill="auto"/>
            <w:noWrap/>
            <w:vAlign w:val="center"/>
          </w:tcPr>
          <w:p w14:paraId="22A5F82D" w14:textId="4D63F2A4"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6" w:type="pct"/>
            <w:tcBorders>
              <w:top w:val="nil"/>
              <w:left w:val="nil"/>
              <w:bottom w:val="nil"/>
              <w:right w:val="nil"/>
            </w:tcBorders>
            <w:shd w:val="clear" w:color="auto" w:fill="auto"/>
            <w:noWrap/>
            <w:vAlign w:val="center"/>
          </w:tcPr>
          <w:p w14:paraId="542E942A" w14:textId="744A206F"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19F6E37B" w14:textId="6A00B996"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2F819F74" w14:textId="328EB5A6"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1ACF00B5" w14:textId="5EF042F1"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442" w:type="pct"/>
            <w:tcBorders>
              <w:top w:val="nil"/>
              <w:left w:val="nil"/>
              <w:bottom w:val="nil"/>
              <w:right w:val="nil"/>
            </w:tcBorders>
            <w:shd w:val="clear" w:color="auto" w:fill="auto"/>
            <w:noWrap/>
            <w:vAlign w:val="center"/>
            <w:hideMark/>
          </w:tcPr>
          <w:p w14:paraId="125AD1E2" w14:textId="33FD294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1.910</w:t>
            </w:r>
          </w:p>
        </w:tc>
        <w:tc>
          <w:tcPr>
            <w:tcW w:w="466" w:type="pct"/>
            <w:tcBorders>
              <w:top w:val="nil"/>
              <w:left w:val="nil"/>
              <w:bottom w:val="nil"/>
              <w:right w:val="nil"/>
            </w:tcBorders>
            <w:shd w:val="clear" w:color="auto" w:fill="auto"/>
            <w:noWrap/>
            <w:vAlign w:val="center"/>
          </w:tcPr>
          <w:p w14:paraId="4132926F" w14:textId="1D93186F" w:rsidR="003C5EF4" w:rsidRPr="00E20D21" w:rsidRDefault="003C5EF4" w:rsidP="00CB6DDE">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426" w:type="pct"/>
            <w:tcBorders>
              <w:top w:val="nil"/>
              <w:left w:val="nil"/>
              <w:bottom w:val="nil"/>
              <w:right w:val="nil"/>
            </w:tcBorders>
            <w:shd w:val="clear" w:color="auto" w:fill="auto"/>
            <w:vAlign w:val="center"/>
            <w:hideMark/>
          </w:tcPr>
          <w:p w14:paraId="4C28832A" w14:textId="76D610E7"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1.910</w:t>
            </w:r>
          </w:p>
        </w:tc>
      </w:tr>
      <w:tr w:rsidR="003C5EF4" w:rsidRPr="00E20D21" w14:paraId="7D83C078" w14:textId="77777777" w:rsidTr="003C5EF4">
        <w:trPr>
          <w:trHeight w:val="283"/>
        </w:trPr>
        <w:tc>
          <w:tcPr>
            <w:tcW w:w="1329" w:type="pct"/>
            <w:tcBorders>
              <w:top w:val="nil"/>
              <w:left w:val="nil"/>
              <w:bottom w:val="nil"/>
              <w:right w:val="nil"/>
            </w:tcBorders>
            <w:shd w:val="clear" w:color="auto" w:fill="auto"/>
            <w:vAlign w:val="center"/>
            <w:hideMark/>
          </w:tcPr>
          <w:p w14:paraId="3D085A39" w14:textId="77777777" w:rsidR="003C5EF4" w:rsidRPr="00E20D21" w:rsidRDefault="003C5EF4" w:rsidP="003C5EF4">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 a prazo</w:t>
            </w:r>
          </w:p>
        </w:tc>
        <w:tc>
          <w:tcPr>
            <w:tcW w:w="541" w:type="pct"/>
            <w:tcBorders>
              <w:top w:val="nil"/>
              <w:left w:val="nil"/>
              <w:bottom w:val="nil"/>
              <w:right w:val="nil"/>
            </w:tcBorders>
            <w:shd w:val="clear" w:color="auto" w:fill="auto"/>
            <w:noWrap/>
            <w:vAlign w:val="center"/>
          </w:tcPr>
          <w:p w14:paraId="047A2250" w14:textId="0C1F410F"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119.458.340</w:t>
            </w:r>
          </w:p>
        </w:tc>
        <w:tc>
          <w:tcPr>
            <w:tcW w:w="446" w:type="pct"/>
            <w:tcBorders>
              <w:top w:val="nil"/>
              <w:left w:val="nil"/>
              <w:bottom w:val="nil"/>
              <w:right w:val="nil"/>
            </w:tcBorders>
            <w:shd w:val="clear" w:color="auto" w:fill="auto"/>
            <w:noWrap/>
            <w:vAlign w:val="center"/>
          </w:tcPr>
          <w:p w14:paraId="5C83163A" w14:textId="416CC21A"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7.753.301</w:t>
            </w:r>
          </w:p>
        </w:tc>
        <w:tc>
          <w:tcPr>
            <w:tcW w:w="447" w:type="pct"/>
            <w:tcBorders>
              <w:top w:val="nil"/>
              <w:left w:val="nil"/>
              <w:bottom w:val="nil"/>
              <w:right w:val="nil"/>
            </w:tcBorders>
            <w:shd w:val="clear" w:color="auto" w:fill="auto"/>
            <w:noWrap/>
            <w:vAlign w:val="center"/>
          </w:tcPr>
          <w:p w14:paraId="2BF88DA2" w14:textId="5364DFDB"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29.727.707</w:t>
            </w:r>
          </w:p>
        </w:tc>
        <w:tc>
          <w:tcPr>
            <w:tcW w:w="424" w:type="pct"/>
            <w:tcBorders>
              <w:top w:val="nil"/>
              <w:left w:val="nil"/>
              <w:bottom w:val="nil"/>
              <w:right w:val="nil"/>
            </w:tcBorders>
            <w:shd w:val="clear" w:color="auto" w:fill="auto"/>
            <w:noWrap/>
            <w:vAlign w:val="center"/>
          </w:tcPr>
          <w:p w14:paraId="795E3C2A" w14:textId="16FC6472"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117.126.316</w:t>
            </w:r>
          </w:p>
        </w:tc>
        <w:tc>
          <w:tcPr>
            <w:tcW w:w="479" w:type="pct"/>
            <w:tcBorders>
              <w:top w:val="nil"/>
              <w:left w:val="nil"/>
              <w:bottom w:val="nil"/>
              <w:right w:val="nil"/>
            </w:tcBorders>
            <w:shd w:val="clear" w:color="auto" w:fill="auto"/>
            <w:noWrap/>
            <w:vAlign w:val="center"/>
          </w:tcPr>
          <w:p w14:paraId="2F371FEE" w14:textId="4244F67C"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274.065.664</w:t>
            </w:r>
          </w:p>
        </w:tc>
        <w:tc>
          <w:tcPr>
            <w:tcW w:w="442" w:type="pct"/>
            <w:tcBorders>
              <w:top w:val="nil"/>
              <w:left w:val="nil"/>
              <w:bottom w:val="nil"/>
              <w:right w:val="nil"/>
            </w:tcBorders>
            <w:shd w:val="clear" w:color="auto" w:fill="auto"/>
            <w:noWrap/>
            <w:vAlign w:val="center"/>
            <w:hideMark/>
          </w:tcPr>
          <w:p w14:paraId="70D0ACEC" w14:textId="577B1BB2"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274.997.042</w:t>
            </w:r>
          </w:p>
        </w:tc>
        <w:tc>
          <w:tcPr>
            <w:tcW w:w="466" w:type="pct"/>
            <w:tcBorders>
              <w:top w:val="nil"/>
              <w:left w:val="nil"/>
              <w:bottom w:val="nil"/>
              <w:right w:val="nil"/>
            </w:tcBorders>
            <w:shd w:val="clear" w:color="auto" w:fill="auto"/>
            <w:noWrap/>
            <w:vAlign w:val="center"/>
          </w:tcPr>
          <w:p w14:paraId="1086D42C" w14:textId="08344852"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274.065.664</w:t>
            </w:r>
          </w:p>
        </w:tc>
        <w:tc>
          <w:tcPr>
            <w:tcW w:w="426" w:type="pct"/>
            <w:tcBorders>
              <w:top w:val="nil"/>
              <w:left w:val="nil"/>
              <w:bottom w:val="nil"/>
              <w:right w:val="nil"/>
            </w:tcBorders>
            <w:shd w:val="clear" w:color="auto" w:fill="auto"/>
            <w:vAlign w:val="center"/>
            <w:hideMark/>
          </w:tcPr>
          <w:p w14:paraId="1F8647F8" w14:textId="55EADF0A"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274.997.042</w:t>
            </w:r>
          </w:p>
        </w:tc>
      </w:tr>
      <w:tr w:rsidR="003C5EF4" w:rsidRPr="00E20D21" w14:paraId="36AED37A" w14:textId="77777777" w:rsidTr="003C5EF4">
        <w:trPr>
          <w:trHeight w:val="283"/>
        </w:trPr>
        <w:tc>
          <w:tcPr>
            <w:tcW w:w="1329" w:type="pct"/>
            <w:tcBorders>
              <w:top w:val="nil"/>
              <w:left w:val="nil"/>
              <w:bottom w:val="nil"/>
              <w:right w:val="nil"/>
            </w:tcBorders>
            <w:shd w:val="clear" w:color="auto" w:fill="auto"/>
            <w:vAlign w:val="center"/>
            <w:hideMark/>
          </w:tcPr>
          <w:p w14:paraId="427BB175"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Judiciais</w:t>
            </w:r>
          </w:p>
        </w:tc>
        <w:tc>
          <w:tcPr>
            <w:tcW w:w="541" w:type="pct"/>
            <w:tcBorders>
              <w:top w:val="nil"/>
              <w:left w:val="nil"/>
              <w:bottom w:val="nil"/>
              <w:right w:val="nil"/>
            </w:tcBorders>
            <w:shd w:val="clear" w:color="auto" w:fill="auto"/>
            <w:noWrap/>
            <w:vAlign w:val="center"/>
          </w:tcPr>
          <w:p w14:paraId="1E53A4B5" w14:textId="5D7016D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119.458.340</w:t>
            </w:r>
          </w:p>
        </w:tc>
        <w:tc>
          <w:tcPr>
            <w:tcW w:w="446" w:type="pct"/>
            <w:tcBorders>
              <w:top w:val="nil"/>
              <w:left w:val="nil"/>
              <w:bottom w:val="nil"/>
              <w:right w:val="nil"/>
            </w:tcBorders>
            <w:shd w:val="clear" w:color="auto" w:fill="auto"/>
            <w:noWrap/>
            <w:vAlign w:val="center"/>
          </w:tcPr>
          <w:p w14:paraId="09E26702" w14:textId="7B8DBB22"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447" w:type="pct"/>
            <w:tcBorders>
              <w:top w:val="nil"/>
              <w:left w:val="nil"/>
              <w:bottom w:val="nil"/>
              <w:right w:val="nil"/>
            </w:tcBorders>
            <w:shd w:val="clear" w:color="auto" w:fill="auto"/>
            <w:noWrap/>
            <w:vAlign w:val="center"/>
          </w:tcPr>
          <w:p w14:paraId="4D96747E" w14:textId="21BB135E"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424" w:type="pct"/>
            <w:tcBorders>
              <w:top w:val="nil"/>
              <w:left w:val="nil"/>
              <w:bottom w:val="nil"/>
              <w:right w:val="nil"/>
            </w:tcBorders>
            <w:shd w:val="clear" w:color="auto" w:fill="auto"/>
            <w:noWrap/>
            <w:vAlign w:val="center"/>
          </w:tcPr>
          <w:p w14:paraId="1FFFEB87" w14:textId="39EFACA6" w:rsidR="003C5EF4" w:rsidRPr="00E20D21" w:rsidRDefault="003C5EF4" w:rsidP="003C5EF4">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479" w:type="pct"/>
            <w:tcBorders>
              <w:top w:val="nil"/>
              <w:left w:val="nil"/>
              <w:bottom w:val="nil"/>
              <w:right w:val="nil"/>
            </w:tcBorders>
            <w:shd w:val="clear" w:color="auto" w:fill="auto"/>
            <w:noWrap/>
            <w:vAlign w:val="center"/>
          </w:tcPr>
          <w:p w14:paraId="37FB6725" w14:textId="6AB0D234"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119.458.340</w:t>
            </w:r>
          </w:p>
        </w:tc>
        <w:tc>
          <w:tcPr>
            <w:tcW w:w="442" w:type="pct"/>
            <w:tcBorders>
              <w:top w:val="nil"/>
              <w:left w:val="nil"/>
              <w:bottom w:val="nil"/>
              <w:right w:val="nil"/>
            </w:tcBorders>
            <w:shd w:val="clear" w:color="auto" w:fill="auto"/>
            <w:noWrap/>
            <w:vAlign w:val="center"/>
            <w:hideMark/>
          </w:tcPr>
          <w:p w14:paraId="42B0CCC2" w14:textId="10302DEF"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153.221.059</w:t>
            </w:r>
          </w:p>
        </w:tc>
        <w:tc>
          <w:tcPr>
            <w:tcW w:w="466" w:type="pct"/>
            <w:tcBorders>
              <w:top w:val="nil"/>
              <w:left w:val="nil"/>
              <w:bottom w:val="nil"/>
              <w:right w:val="nil"/>
            </w:tcBorders>
            <w:shd w:val="clear" w:color="auto" w:fill="auto"/>
            <w:noWrap/>
            <w:vAlign w:val="center"/>
          </w:tcPr>
          <w:p w14:paraId="13AC11E9" w14:textId="6C91207E"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119.458.340</w:t>
            </w:r>
          </w:p>
        </w:tc>
        <w:tc>
          <w:tcPr>
            <w:tcW w:w="426" w:type="pct"/>
            <w:tcBorders>
              <w:top w:val="nil"/>
              <w:left w:val="nil"/>
              <w:bottom w:val="nil"/>
              <w:right w:val="nil"/>
            </w:tcBorders>
            <w:shd w:val="clear" w:color="auto" w:fill="auto"/>
            <w:vAlign w:val="center"/>
            <w:hideMark/>
          </w:tcPr>
          <w:p w14:paraId="4B37CC8B" w14:textId="50DBD9FF"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153.221.059</w:t>
            </w:r>
          </w:p>
        </w:tc>
      </w:tr>
      <w:tr w:rsidR="003C5EF4" w:rsidRPr="00E20D21" w14:paraId="1D9E3E10" w14:textId="77777777" w:rsidTr="003C5EF4">
        <w:trPr>
          <w:trHeight w:val="283"/>
        </w:trPr>
        <w:tc>
          <w:tcPr>
            <w:tcW w:w="1329" w:type="pct"/>
            <w:tcBorders>
              <w:top w:val="nil"/>
              <w:left w:val="nil"/>
              <w:bottom w:val="nil"/>
              <w:right w:val="nil"/>
            </w:tcBorders>
            <w:shd w:val="clear" w:color="auto" w:fill="auto"/>
            <w:vAlign w:val="center"/>
            <w:hideMark/>
          </w:tcPr>
          <w:p w14:paraId="6BF3C722" w14:textId="77777777" w:rsidR="003C5EF4" w:rsidRPr="00E20D21" w:rsidRDefault="003C5EF4" w:rsidP="003C5EF4">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CDB</w:t>
            </w:r>
          </w:p>
        </w:tc>
        <w:tc>
          <w:tcPr>
            <w:tcW w:w="541" w:type="pct"/>
            <w:tcBorders>
              <w:top w:val="nil"/>
              <w:left w:val="nil"/>
              <w:bottom w:val="nil"/>
              <w:right w:val="nil"/>
            </w:tcBorders>
            <w:shd w:val="clear" w:color="auto" w:fill="auto"/>
            <w:noWrap/>
            <w:vAlign w:val="center"/>
          </w:tcPr>
          <w:p w14:paraId="022B5F10" w14:textId="599B681F" w:rsidR="003C5EF4" w:rsidRPr="00E20D21" w:rsidRDefault="003C5EF4" w:rsidP="003C5EF4">
            <w:pPr>
              <w:jc w:val="center"/>
              <w:rPr>
                <w:rFonts w:ascii="CAIXA Std Book" w:eastAsia="Times New Roman" w:hAnsi="CAIXA Std Book" w:cs="Arial"/>
                <w:b/>
                <w:color w:val="005CA9"/>
                <w:sz w:val="18"/>
                <w:szCs w:val="18"/>
              </w:rPr>
            </w:pPr>
            <w:r w:rsidRPr="00E20D21">
              <w:rPr>
                <w:rFonts w:ascii="CAIXA Std Book" w:hAnsi="CAIXA Std Book" w:cs="Arial"/>
                <w:color w:val="005CA9"/>
                <w:sz w:val="18"/>
                <w:szCs w:val="18"/>
              </w:rPr>
              <w:t>-</w:t>
            </w:r>
          </w:p>
        </w:tc>
        <w:tc>
          <w:tcPr>
            <w:tcW w:w="446" w:type="pct"/>
            <w:tcBorders>
              <w:top w:val="nil"/>
              <w:left w:val="nil"/>
              <w:bottom w:val="nil"/>
              <w:right w:val="nil"/>
            </w:tcBorders>
            <w:shd w:val="clear" w:color="auto" w:fill="auto"/>
            <w:noWrap/>
            <w:vAlign w:val="center"/>
          </w:tcPr>
          <w:p w14:paraId="54EA9817" w14:textId="48D6056B" w:rsidR="003C5EF4" w:rsidRPr="00E20D21" w:rsidRDefault="003C5EF4" w:rsidP="003C5EF4">
            <w:pPr>
              <w:jc w:val="right"/>
              <w:rPr>
                <w:rFonts w:ascii="CAIXA Std Book" w:hAnsi="CAIXA Std Book" w:cs="Arial"/>
                <w:color w:val="005CA9"/>
                <w:sz w:val="18"/>
                <w:szCs w:val="18"/>
              </w:rPr>
            </w:pPr>
            <w:r w:rsidRPr="00E20D21">
              <w:rPr>
                <w:rFonts w:ascii="CAIXA Std Book" w:hAnsi="CAIXA Std Book" w:cs="Arial"/>
                <w:color w:val="005CA9"/>
                <w:sz w:val="18"/>
                <w:szCs w:val="18"/>
              </w:rPr>
              <w:t>7.753.301</w:t>
            </w:r>
          </w:p>
        </w:tc>
        <w:tc>
          <w:tcPr>
            <w:tcW w:w="447" w:type="pct"/>
            <w:tcBorders>
              <w:top w:val="nil"/>
              <w:left w:val="nil"/>
              <w:bottom w:val="nil"/>
              <w:right w:val="nil"/>
            </w:tcBorders>
            <w:shd w:val="clear" w:color="auto" w:fill="auto"/>
            <w:noWrap/>
            <w:vAlign w:val="center"/>
          </w:tcPr>
          <w:p w14:paraId="46D99BCD" w14:textId="294971AC" w:rsidR="003C5EF4" w:rsidRPr="00E20D21" w:rsidRDefault="003C5EF4" w:rsidP="003C5EF4">
            <w:pPr>
              <w:jc w:val="right"/>
              <w:rPr>
                <w:rFonts w:ascii="CAIXA Std Book" w:hAnsi="CAIXA Std Book" w:cs="Arial"/>
                <w:color w:val="005CA9"/>
                <w:sz w:val="18"/>
                <w:szCs w:val="18"/>
              </w:rPr>
            </w:pPr>
            <w:r w:rsidRPr="00E20D21">
              <w:rPr>
                <w:rFonts w:ascii="CAIXA Std Book" w:hAnsi="CAIXA Std Book" w:cs="Arial"/>
                <w:color w:val="005CA9"/>
                <w:sz w:val="18"/>
                <w:szCs w:val="18"/>
              </w:rPr>
              <w:t>29.727.707</w:t>
            </w:r>
          </w:p>
        </w:tc>
        <w:tc>
          <w:tcPr>
            <w:tcW w:w="424" w:type="pct"/>
            <w:tcBorders>
              <w:top w:val="nil"/>
              <w:left w:val="nil"/>
              <w:bottom w:val="nil"/>
              <w:right w:val="nil"/>
            </w:tcBorders>
            <w:shd w:val="clear" w:color="auto" w:fill="auto"/>
            <w:noWrap/>
            <w:vAlign w:val="center"/>
          </w:tcPr>
          <w:p w14:paraId="253AD21A" w14:textId="2415308E" w:rsidR="003C5EF4" w:rsidRPr="00E20D21" w:rsidRDefault="003C5EF4" w:rsidP="003C5EF4">
            <w:pPr>
              <w:jc w:val="right"/>
              <w:rPr>
                <w:rFonts w:ascii="CAIXA Std Book" w:hAnsi="CAIXA Std Book" w:cs="Arial"/>
                <w:color w:val="005CA9"/>
                <w:sz w:val="18"/>
                <w:szCs w:val="18"/>
              </w:rPr>
            </w:pPr>
            <w:r w:rsidRPr="00E20D21">
              <w:rPr>
                <w:rFonts w:ascii="CAIXA Std Book" w:hAnsi="CAIXA Std Book" w:cs="Arial"/>
                <w:color w:val="005CA9"/>
                <w:sz w:val="18"/>
                <w:szCs w:val="18"/>
              </w:rPr>
              <w:t>117.126.316</w:t>
            </w:r>
          </w:p>
        </w:tc>
        <w:tc>
          <w:tcPr>
            <w:tcW w:w="479" w:type="pct"/>
            <w:tcBorders>
              <w:top w:val="nil"/>
              <w:left w:val="nil"/>
              <w:bottom w:val="nil"/>
              <w:right w:val="nil"/>
            </w:tcBorders>
            <w:shd w:val="clear" w:color="auto" w:fill="auto"/>
            <w:noWrap/>
            <w:vAlign w:val="center"/>
          </w:tcPr>
          <w:p w14:paraId="5C9B05FC" w14:textId="1C7D08F5" w:rsidR="003C5EF4" w:rsidRPr="00E20D21" w:rsidRDefault="003C5EF4" w:rsidP="003C5EF4">
            <w:pPr>
              <w:jc w:val="right"/>
              <w:rPr>
                <w:rFonts w:ascii="CAIXA Std Book" w:hAnsi="CAIXA Std Book" w:cs="Arial"/>
                <w:color w:val="005CA9"/>
                <w:sz w:val="18"/>
                <w:szCs w:val="18"/>
              </w:rPr>
            </w:pPr>
            <w:r w:rsidRPr="00E20D21">
              <w:rPr>
                <w:rFonts w:ascii="CAIXA Std Book" w:hAnsi="CAIXA Std Book" w:cs="Arial"/>
                <w:color w:val="005CA9"/>
                <w:sz w:val="18"/>
                <w:szCs w:val="18"/>
              </w:rPr>
              <w:t>154.607.324</w:t>
            </w:r>
          </w:p>
        </w:tc>
        <w:tc>
          <w:tcPr>
            <w:tcW w:w="442" w:type="pct"/>
            <w:tcBorders>
              <w:top w:val="nil"/>
              <w:left w:val="nil"/>
              <w:bottom w:val="nil"/>
              <w:right w:val="nil"/>
            </w:tcBorders>
            <w:shd w:val="clear" w:color="auto" w:fill="auto"/>
            <w:noWrap/>
            <w:vAlign w:val="center"/>
            <w:hideMark/>
          </w:tcPr>
          <w:p w14:paraId="42418CE2" w14:textId="07BEB745"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121.775.983</w:t>
            </w:r>
          </w:p>
        </w:tc>
        <w:tc>
          <w:tcPr>
            <w:tcW w:w="466" w:type="pct"/>
            <w:tcBorders>
              <w:top w:val="nil"/>
              <w:left w:val="nil"/>
              <w:bottom w:val="nil"/>
              <w:right w:val="nil"/>
            </w:tcBorders>
            <w:shd w:val="clear" w:color="auto" w:fill="auto"/>
            <w:noWrap/>
            <w:vAlign w:val="center"/>
          </w:tcPr>
          <w:p w14:paraId="67C68900" w14:textId="6FBFD39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154.607.324</w:t>
            </w:r>
          </w:p>
        </w:tc>
        <w:tc>
          <w:tcPr>
            <w:tcW w:w="426" w:type="pct"/>
            <w:tcBorders>
              <w:top w:val="nil"/>
              <w:left w:val="nil"/>
              <w:bottom w:val="nil"/>
              <w:right w:val="nil"/>
            </w:tcBorders>
            <w:shd w:val="clear" w:color="auto" w:fill="auto"/>
            <w:vAlign w:val="center"/>
            <w:hideMark/>
          </w:tcPr>
          <w:p w14:paraId="4682A91B" w14:textId="424EBCF8"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121.775.983</w:t>
            </w:r>
          </w:p>
        </w:tc>
      </w:tr>
      <w:tr w:rsidR="003C5EF4" w:rsidRPr="00E20D21" w14:paraId="064911E5" w14:textId="77777777" w:rsidTr="003C5EF4">
        <w:trPr>
          <w:trHeight w:val="283"/>
        </w:trPr>
        <w:tc>
          <w:tcPr>
            <w:tcW w:w="1329" w:type="pct"/>
            <w:tcBorders>
              <w:top w:val="nil"/>
              <w:left w:val="nil"/>
              <w:bottom w:val="nil"/>
              <w:right w:val="nil"/>
            </w:tcBorders>
            <w:shd w:val="clear" w:color="auto" w:fill="auto"/>
            <w:vAlign w:val="center"/>
            <w:hideMark/>
          </w:tcPr>
          <w:p w14:paraId="5ABFA9B4" w14:textId="77777777" w:rsidR="003C5EF4" w:rsidRPr="00E20D21" w:rsidRDefault="003C5EF4" w:rsidP="003C5EF4">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 especiais e de fundos e programas</w:t>
            </w:r>
          </w:p>
        </w:tc>
        <w:tc>
          <w:tcPr>
            <w:tcW w:w="541" w:type="pct"/>
            <w:tcBorders>
              <w:top w:val="nil"/>
              <w:left w:val="nil"/>
              <w:bottom w:val="nil"/>
              <w:right w:val="nil"/>
            </w:tcBorders>
            <w:shd w:val="clear" w:color="auto" w:fill="auto"/>
            <w:noWrap/>
            <w:vAlign w:val="center"/>
          </w:tcPr>
          <w:p w14:paraId="05DE3995" w14:textId="4AEFDFA8"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37.139.811</w:t>
            </w:r>
          </w:p>
        </w:tc>
        <w:tc>
          <w:tcPr>
            <w:tcW w:w="446" w:type="pct"/>
            <w:tcBorders>
              <w:top w:val="nil"/>
              <w:left w:val="nil"/>
              <w:bottom w:val="nil"/>
              <w:right w:val="nil"/>
            </w:tcBorders>
            <w:shd w:val="clear" w:color="auto" w:fill="auto"/>
            <w:noWrap/>
            <w:vAlign w:val="center"/>
          </w:tcPr>
          <w:p w14:paraId="3953BEC7" w14:textId="6E5C84D7" w:rsidR="003C5EF4" w:rsidRPr="00E20D21" w:rsidRDefault="003C5EF4" w:rsidP="003C5EF4">
            <w:pPr>
              <w:jc w:val="center"/>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w:t>
            </w:r>
          </w:p>
        </w:tc>
        <w:tc>
          <w:tcPr>
            <w:tcW w:w="447" w:type="pct"/>
            <w:tcBorders>
              <w:top w:val="nil"/>
              <w:left w:val="nil"/>
              <w:bottom w:val="nil"/>
              <w:right w:val="nil"/>
            </w:tcBorders>
            <w:shd w:val="clear" w:color="auto" w:fill="auto"/>
            <w:noWrap/>
            <w:vAlign w:val="center"/>
          </w:tcPr>
          <w:p w14:paraId="5CCAB43B" w14:textId="2121621F" w:rsidR="003C5EF4" w:rsidRPr="00E20D21" w:rsidRDefault="003C5EF4" w:rsidP="003C5EF4">
            <w:pPr>
              <w:jc w:val="center"/>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w:t>
            </w:r>
          </w:p>
        </w:tc>
        <w:tc>
          <w:tcPr>
            <w:tcW w:w="424" w:type="pct"/>
            <w:tcBorders>
              <w:top w:val="nil"/>
              <w:left w:val="nil"/>
              <w:bottom w:val="nil"/>
              <w:right w:val="nil"/>
            </w:tcBorders>
            <w:shd w:val="clear" w:color="auto" w:fill="auto"/>
            <w:noWrap/>
            <w:vAlign w:val="center"/>
          </w:tcPr>
          <w:p w14:paraId="67711066" w14:textId="4B74BE8E" w:rsidR="003C5EF4" w:rsidRPr="00E20D21" w:rsidRDefault="003C5EF4" w:rsidP="003C5EF4">
            <w:pPr>
              <w:jc w:val="center"/>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w:t>
            </w:r>
          </w:p>
        </w:tc>
        <w:tc>
          <w:tcPr>
            <w:tcW w:w="479" w:type="pct"/>
            <w:tcBorders>
              <w:top w:val="nil"/>
              <w:left w:val="nil"/>
              <w:bottom w:val="nil"/>
              <w:right w:val="nil"/>
            </w:tcBorders>
            <w:shd w:val="clear" w:color="auto" w:fill="auto"/>
            <w:noWrap/>
            <w:vAlign w:val="center"/>
          </w:tcPr>
          <w:p w14:paraId="778F1881" w14:textId="03CD6058"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37.139.811</w:t>
            </w:r>
          </w:p>
        </w:tc>
        <w:tc>
          <w:tcPr>
            <w:tcW w:w="442" w:type="pct"/>
            <w:tcBorders>
              <w:top w:val="nil"/>
              <w:left w:val="nil"/>
              <w:bottom w:val="nil"/>
              <w:right w:val="nil"/>
            </w:tcBorders>
            <w:shd w:val="clear" w:color="auto" w:fill="auto"/>
            <w:noWrap/>
            <w:vAlign w:val="center"/>
            <w:hideMark/>
          </w:tcPr>
          <w:p w14:paraId="47AC0BF1" w14:textId="4B7598E8"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31.373.499</w:t>
            </w:r>
          </w:p>
        </w:tc>
        <w:tc>
          <w:tcPr>
            <w:tcW w:w="466" w:type="pct"/>
            <w:tcBorders>
              <w:top w:val="nil"/>
              <w:left w:val="nil"/>
              <w:bottom w:val="nil"/>
              <w:right w:val="nil"/>
            </w:tcBorders>
            <w:shd w:val="clear" w:color="auto" w:fill="auto"/>
            <w:noWrap/>
            <w:vAlign w:val="center"/>
          </w:tcPr>
          <w:p w14:paraId="2E52F8CA" w14:textId="1DE7F757"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37.139.811</w:t>
            </w:r>
          </w:p>
        </w:tc>
        <w:tc>
          <w:tcPr>
            <w:tcW w:w="426" w:type="pct"/>
            <w:tcBorders>
              <w:top w:val="nil"/>
              <w:left w:val="nil"/>
              <w:bottom w:val="nil"/>
              <w:right w:val="nil"/>
            </w:tcBorders>
            <w:shd w:val="clear" w:color="auto" w:fill="auto"/>
            <w:vAlign w:val="center"/>
            <w:hideMark/>
          </w:tcPr>
          <w:p w14:paraId="401F27DD" w14:textId="5CF57ACC"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31.373.499</w:t>
            </w:r>
          </w:p>
        </w:tc>
      </w:tr>
      <w:tr w:rsidR="003C5EF4" w:rsidRPr="00E20D21" w14:paraId="5FD81B8C" w14:textId="77777777" w:rsidTr="003C5EF4">
        <w:trPr>
          <w:trHeight w:val="283"/>
        </w:trPr>
        <w:tc>
          <w:tcPr>
            <w:tcW w:w="1329" w:type="pct"/>
            <w:tcBorders>
              <w:top w:val="single" w:sz="4" w:space="0" w:color="F39200"/>
              <w:left w:val="nil"/>
              <w:bottom w:val="single" w:sz="4" w:space="0" w:color="F39200"/>
              <w:right w:val="nil"/>
            </w:tcBorders>
            <w:shd w:val="clear" w:color="auto" w:fill="auto"/>
            <w:noWrap/>
            <w:vAlign w:val="center"/>
            <w:hideMark/>
          </w:tcPr>
          <w:p w14:paraId="3C40320B" w14:textId="77777777" w:rsidR="003C5EF4" w:rsidRPr="00E20D21" w:rsidRDefault="003C5EF4" w:rsidP="003C5EF4">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541" w:type="pct"/>
            <w:tcBorders>
              <w:top w:val="single" w:sz="4" w:space="0" w:color="F39200"/>
              <w:left w:val="nil"/>
              <w:bottom w:val="single" w:sz="4" w:space="0" w:color="F39200"/>
              <w:right w:val="nil"/>
            </w:tcBorders>
            <w:shd w:val="clear" w:color="auto" w:fill="auto"/>
            <w:noWrap/>
            <w:vAlign w:val="center"/>
          </w:tcPr>
          <w:p w14:paraId="05CC9E26" w14:textId="37ABDA08" w:rsidR="003C5EF4" w:rsidRPr="00E20D21" w:rsidRDefault="003C5EF4" w:rsidP="003C5EF4">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586.584.252</w:t>
            </w:r>
          </w:p>
        </w:tc>
        <w:tc>
          <w:tcPr>
            <w:tcW w:w="446" w:type="pct"/>
            <w:tcBorders>
              <w:top w:val="single" w:sz="4" w:space="0" w:color="F39200"/>
              <w:left w:val="nil"/>
              <w:bottom w:val="single" w:sz="4" w:space="0" w:color="F39200"/>
              <w:right w:val="nil"/>
            </w:tcBorders>
            <w:shd w:val="clear" w:color="auto" w:fill="auto"/>
            <w:noWrap/>
            <w:vAlign w:val="center"/>
          </w:tcPr>
          <w:p w14:paraId="15DBDC97" w14:textId="3DAA5C90"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7.753.301</w:t>
            </w:r>
          </w:p>
        </w:tc>
        <w:tc>
          <w:tcPr>
            <w:tcW w:w="447" w:type="pct"/>
            <w:tcBorders>
              <w:top w:val="single" w:sz="4" w:space="0" w:color="F39200"/>
              <w:left w:val="nil"/>
              <w:bottom w:val="single" w:sz="4" w:space="0" w:color="F39200"/>
              <w:right w:val="nil"/>
            </w:tcBorders>
            <w:shd w:val="clear" w:color="auto" w:fill="auto"/>
            <w:noWrap/>
            <w:vAlign w:val="center"/>
          </w:tcPr>
          <w:p w14:paraId="2EAA5CF5" w14:textId="6865D287"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29.727.707</w:t>
            </w:r>
          </w:p>
        </w:tc>
        <w:tc>
          <w:tcPr>
            <w:tcW w:w="424" w:type="pct"/>
            <w:tcBorders>
              <w:top w:val="single" w:sz="4" w:space="0" w:color="F39200"/>
              <w:left w:val="nil"/>
              <w:bottom w:val="single" w:sz="4" w:space="0" w:color="F39200"/>
              <w:right w:val="nil"/>
            </w:tcBorders>
            <w:shd w:val="clear" w:color="auto" w:fill="auto"/>
            <w:noWrap/>
            <w:vAlign w:val="center"/>
          </w:tcPr>
          <w:p w14:paraId="58BCDD26" w14:textId="329C84F6"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117.126.316</w:t>
            </w:r>
          </w:p>
        </w:tc>
        <w:tc>
          <w:tcPr>
            <w:tcW w:w="479" w:type="pct"/>
            <w:tcBorders>
              <w:top w:val="single" w:sz="4" w:space="0" w:color="F39200"/>
              <w:left w:val="nil"/>
              <w:bottom w:val="single" w:sz="4" w:space="0" w:color="F39200"/>
              <w:right w:val="nil"/>
            </w:tcBorders>
            <w:shd w:val="clear" w:color="auto" w:fill="auto"/>
            <w:noWrap/>
            <w:vAlign w:val="center"/>
          </w:tcPr>
          <w:p w14:paraId="607CD2D8" w14:textId="78F5D26D"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741.191.576</w:t>
            </w:r>
          </w:p>
        </w:tc>
        <w:tc>
          <w:tcPr>
            <w:tcW w:w="442" w:type="pct"/>
            <w:tcBorders>
              <w:top w:val="single" w:sz="4" w:space="0" w:color="F39200"/>
              <w:left w:val="nil"/>
              <w:bottom w:val="single" w:sz="4" w:space="0" w:color="F39200"/>
              <w:right w:val="nil"/>
            </w:tcBorders>
            <w:shd w:val="clear" w:color="auto" w:fill="auto"/>
            <w:noWrap/>
            <w:vAlign w:val="center"/>
            <w:hideMark/>
          </w:tcPr>
          <w:p w14:paraId="2FB192B8" w14:textId="0483BEC4"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714.074.459</w:t>
            </w:r>
          </w:p>
        </w:tc>
        <w:tc>
          <w:tcPr>
            <w:tcW w:w="466" w:type="pct"/>
            <w:tcBorders>
              <w:top w:val="single" w:sz="4" w:space="0" w:color="F39200"/>
              <w:left w:val="nil"/>
              <w:bottom w:val="single" w:sz="4" w:space="0" w:color="F39200"/>
              <w:right w:val="nil"/>
            </w:tcBorders>
            <w:shd w:val="clear" w:color="auto" w:fill="auto"/>
            <w:noWrap/>
            <w:vAlign w:val="center"/>
          </w:tcPr>
          <w:p w14:paraId="4A56660C" w14:textId="4EE481E8"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741.191.056</w:t>
            </w:r>
          </w:p>
        </w:tc>
        <w:tc>
          <w:tcPr>
            <w:tcW w:w="426" w:type="pct"/>
            <w:tcBorders>
              <w:top w:val="single" w:sz="4" w:space="0" w:color="F39200"/>
              <w:left w:val="nil"/>
              <w:bottom w:val="single" w:sz="4" w:space="0" w:color="F39200"/>
              <w:right w:val="nil"/>
            </w:tcBorders>
            <w:shd w:val="clear" w:color="auto" w:fill="auto"/>
            <w:noWrap/>
            <w:vAlign w:val="center"/>
            <w:hideMark/>
          </w:tcPr>
          <w:p w14:paraId="6F95C5F4" w14:textId="2BE9AAF5" w:rsidR="003C5EF4" w:rsidRPr="00E20D21" w:rsidRDefault="003C5EF4" w:rsidP="003C5EF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714.074.077</w:t>
            </w:r>
          </w:p>
        </w:tc>
      </w:tr>
      <w:tr w:rsidR="003C5EF4" w:rsidRPr="00E20D21" w14:paraId="73AD7FF0" w14:textId="77777777" w:rsidTr="003C5EF4">
        <w:trPr>
          <w:trHeight w:val="283"/>
        </w:trPr>
        <w:tc>
          <w:tcPr>
            <w:tcW w:w="1329" w:type="pct"/>
            <w:tcBorders>
              <w:top w:val="nil"/>
              <w:left w:val="nil"/>
              <w:bottom w:val="nil"/>
              <w:right w:val="nil"/>
            </w:tcBorders>
            <w:shd w:val="clear" w:color="auto" w:fill="auto"/>
            <w:vAlign w:val="center"/>
            <w:hideMark/>
          </w:tcPr>
          <w:p w14:paraId="00A5B815" w14:textId="77777777" w:rsidR="003C5EF4" w:rsidRPr="00E20D21" w:rsidRDefault="003C5EF4" w:rsidP="003C5EF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circulante</w:t>
            </w:r>
          </w:p>
        </w:tc>
        <w:tc>
          <w:tcPr>
            <w:tcW w:w="541" w:type="pct"/>
            <w:tcBorders>
              <w:top w:val="nil"/>
              <w:left w:val="nil"/>
              <w:bottom w:val="nil"/>
              <w:right w:val="nil"/>
            </w:tcBorders>
            <w:shd w:val="clear" w:color="auto" w:fill="auto"/>
            <w:noWrap/>
            <w:vAlign w:val="center"/>
          </w:tcPr>
          <w:p w14:paraId="7093B885" w14:textId="77777777" w:rsidR="003C5EF4" w:rsidRPr="00E20D21" w:rsidRDefault="003C5EF4" w:rsidP="003C5EF4">
            <w:pPr>
              <w:jc w:val="right"/>
              <w:rPr>
                <w:rFonts w:ascii="CAIXA Std Book" w:eastAsia="Times New Roman" w:hAnsi="CAIXA Std Book" w:cs="Arial"/>
                <w:color w:val="005CA9"/>
                <w:sz w:val="18"/>
                <w:szCs w:val="18"/>
              </w:rPr>
            </w:pPr>
          </w:p>
        </w:tc>
        <w:tc>
          <w:tcPr>
            <w:tcW w:w="446" w:type="pct"/>
            <w:tcBorders>
              <w:top w:val="nil"/>
              <w:left w:val="nil"/>
              <w:bottom w:val="nil"/>
              <w:right w:val="nil"/>
            </w:tcBorders>
            <w:shd w:val="clear" w:color="auto" w:fill="auto"/>
            <w:noWrap/>
            <w:vAlign w:val="center"/>
          </w:tcPr>
          <w:p w14:paraId="6E1ABDAD" w14:textId="77777777" w:rsidR="003C5EF4" w:rsidRPr="00E20D21" w:rsidRDefault="003C5EF4" w:rsidP="003C5EF4">
            <w:pPr>
              <w:jc w:val="right"/>
              <w:rPr>
                <w:rFonts w:ascii="CAIXA Std Book" w:eastAsia="Times New Roman" w:hAnsi="CAIXA Std Book" w:cs="Times New Roman"/>
                <w:color w:val="005CA9"/>
                <w:sz w:val="20"/>
                <w:szCs w:val="20"/>
              </w:rPr>
            </w:pPr>
          </w:p>
        </w:tc>
        <w:tc>
          <w:tcPr>
            <w:tcW w:w="447" w:type="pct"/>
            <w:tcBorders>
              <w:top w:val="nil"/>
              <w:left w:val="nil"/>
              <w:bottom w:val="nil"/>
              <w:right w:val="nil"/>
            </w:tcBorders>
            <w:shd w:val="clear" w:color="auto" w:fill="auto"/>
            <w:vAlign w:val="center"/>
          </w:tcPr>
          <w:p w14:paraId="12EB88DE" w14:textId="77777777" w:rsidR="003C5EF4" w:rsidRPr="00E20D21" w:rsidRDefault="003C5EF4" w:rsidP="003C5EF4">
            <w:pPr>
              <w:jc w:val="right"/>
              <w:rPr>
                <w:rFonts w:ascii="CAIXA Std Book" w:eastAsia="Times New Roman" w:hAnsi="CAIXA Std Book" w:cs="Times New Roman"/>
                <w:color w:val="005CA9"/>
                <w:sz w:val="20"/>
                <w:szCs w:val="20"/>
              </w:rPr>
            </w:pPr>
          </w:p>
        </w:tc>
        <w:tc>
          <w:tcPr>
            <w:tcW w:w="424" w:type="pct"/>
            <w:tcBorders>
              <w:top w:val="nil"/>
              <w:left w:val="nil"/>
              <w:bottom w:val="nil"/>
              <w:right w:val="nil"/>
            </w:tcBorders>
            <w:shd w:val="clear" w:color="auto" w:fill="auto"/>
            <w:vAlign w:val="center"/>
          </w:tcPr>
          <w:p w14:paraId="70EE593A" w14:textId="77777777" w:rsidR="003C5EF4" w:rsidRPr="00E20D21" w:rsidRDefault="003C5EF4" w:rsidP="003C5EF4">
            <w:pPr>
              <w:jc w:val="right"/>
              <w:rPr>
                <w:rFonts w:ascii="CAIXA Std Book" w:eastAsia="Times New Roman" w:hAnsi="CAIXA Std Book" w:cs="Times New Roman"/>
                <w:color w:val="005CA9"/>
                <w:sz w:val="20"/>
                <w:szCs w:val="20"/>
              </w:rPr>
            </w:pPr>
          </w:p>
        </w:tc>
        <w:tc>
          <w:tcPr>
            <w:tcW w:w="479" w:type="pct"/>
            <w:tcBorders>
              <w:top w:val="nil"/>
              <w:left w:val="nil"/>
              <w:bottom w:val="nil"/>
              <w:right w:val="nil"/>
            </w:tcBorders>
            <w:shd w:val="clear" w:color="auto" w:fill="auto"/>
            <w:noWrap/>
            <w:vAlign w:val="center"/>
          </w:tcPr>
          <w:p w14:paraId="02E20933" w14:textId="0996A439"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624.065.260</w:t>
            </w:r>
          </w:p>
        </w:tc>
        <w:tc>
          <w:tcPr>
            <w:tcW w:w="442" w:type="pct"/>
            <w:tcBorders>
              <w:top w:val="nil"/>
              <w:left w:val="nil"/>
              <w:bottom w:val="nil"/>
              <w:right w:val="nil"/>
            </w:tcBorders>
            <w:shd w:val="clear" w:color="auto" w:fill="auto"/>
            <w:noWrap/>
            <w:vAlign w:val="center"/>
            <w:hideMark/>
          </w:tcPr>
          <w:p w14:paraId="34879835" w14:textId="49B79289"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619.101.241</w:t>
            </w:r>
          </w:p>
        </w:tc>
        <w:tc>
          <w:tcPr>
            <w:tcW w:w="466" w:type="pct"/>
            <w:tcBorders>
              <w:top w:val="nil"/>
              <w:left w:val="nil"/>
              <w:bottom w:val="nil"/>
              <w:right w:val="nil"/>
            </w:tcBorders>
            <w:shd w:val="clear" w:color="auto" w:fill="auto"/>
            <w:noWrap/>
            <w:vAlign w:val="center"/>
          </w:tcPr>
          <w:p w14:paraId="50E70950" w14:textId="4C9707B4"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624.064.740</w:t>
            </w:r>
          </w:p>
        </w:tc>
        <w:tc>
          <w:tcPr>
            <w:tcW w:w="426" w:type="pct"/>
            <w:tcBorders>
              <w:top w:val="nil"/>
              <w:left w:val="nil"/>
              <w:bottom w:val="nil"/>
              <w:right w:val="nil"/>
            </w:tcBorders>
            <w:shd w:val="clear" w:color="auto" w:fill="auto"/>
            <w:vAlign w:val="center"/>
            <w:hideMark/>
          </w:tcPr>
          <w:p w14:paraId="4A5D2DA9" w14:textId="270EC21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619.100.859</w:t>
            </w:r>
          </w:p>
        </w:tc>
      </w:tr>
      <w:tr w:rsidR="003C5EF4" w:rsidRPr="00E20D21" w14:paraId="70BAE486" w14:textId="77777777" w:rsidTr="003C5EF4">
        <w:trPr>
          <w:trHeight w:val="283"/>
        </w:trPr>
        <w:tc>
          <w:tcPr>
            <w:tcW w:w="1329" w:type="pct"/>
            <w:tcBorders>
              <w:top w:val="nil"/>
              <w:left w:val="nil"/>
              <w:bottom w:val="single" w:sz="4" w:space="0" w:color="F39200"/>
              <w:right w:val="nil"/>
            </w:tcBorders>
            <w:shd w:val="clear" w:color="auto" w:fill="auto"/>
            <w:vAlign w:val="center"/>
            <w:hideMark/>
          </w:tcPr>
          <w:p w14:paraId="62120855" w14:textId="77777777" w:rsidR="003C5EF4" w:rsidRPr="00E20D21" w:rsidRDefault="003C5EF4" w:rsidP="003C5EF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não circulante</w:t>
            </w:r>
          </w:p>
        </w:tc>
        <w:tc>
          <w:tcPr>
            <w:tcW w:w="541" w:type="pct"/>
            <w:tcBorders>
              <w:top w:val="nil"/>
              <w:left w:val="nil"/>
              <w:bottom w:val="single" w:sz="4" w:space="0" w:color="F39200"/>
              <w:right w:val="nil"/>
            </w:tcBorders>
            <w:shd w:val="clear" w:color="auto" w:fill="auto"/>
            <w:noWrap/>
            <w:vAlign w:val="center"/>
          </w:tcPr>
          <w:p w14:paraId="68D67F51" w14:textId="57B5ED4E" w:rsidR="003C5EF4" w:rsidRPr="00E20D21" w:rsidRDefault="003C5EF4" w:rsidP="003C5EF4">
            <w:pPr>
              <w:jc w:val="right"/>
              <w:rPr>
                <w:rFonts w:ascii="CAIXA Std Book" w:eastAsia="Times New Roman" w:hAnsi="CAIXA Std Book" w:cs="Arial"/>
                <w:color w:val="005CA9"/>
                <w:sz w:val="18"/>
                <w:szCs w:val="18"/>
              </w:rPr>
            </w:pPr>
          </w:p>
        </w:tc>
        <w:tc>
          <w:tcPr>
            <w:tcW w:w="446" w:type="pct"/>
            <w:tcBorders>
              <w:top w:val="nil"/>
              <w:left w:val="nil"/>
              <w:bottom w:val="single" w:sz="4" w:space="0" w:color="F39200"/>
              <w:right w:val="nil"/>
            </w:tcBorders>
            <w:shd w:val="clear" w:color="auto" w:fill="auto"/>
            <w:noWrap/>
            <w:vAlign w:val="center"/>
          </w:tcPr>
          <w:p w14:paraId="07DF297C" w14:textId="795DB528" w:rsidR="003C5EF4" w:rsidRPr="00E20D21" w:rsidRDefault="003C5EF4" w:rsidP="003C5EF4">
            <w:pPr>
              <w:jc w:val="right"/>
              <w:rPr>
                <w:rFonts w:ascii="CAIXA Std Book" w:eastAsia="Times New Roman" w:hAnsi="CAIXA Std Book" w:cs="Arial"/>
                <w:color w:val="005CA9"/>
                <w:sz w:val="18"/>
                <w:szCs w:val="18"/>
              </w:rPr>
            </w:pPr>
          </w:p>
        </w:tc>
        <w:tc>
          <w:tcPr>
            <w:tcW w:w="447" w:type="pct"/>
            <w:tcBorders>
              <w:top w:val="nil"/>
              <w:left w:val="nil"/>
              <w:bottom w:val="single" w:sz="4" w:space="0" w:color="F39200"/>
              <w:right w:val="nil"/>
            </w:tcBorders>
            <w:shd w:val="clear" w:color="auto" w:fill="auto"/>
            <w:vAlign w:val="center"/>
          </w:tcPr>
          <w:p w14:paraId="17473278" w14:textId="1AFBA7FC" w:rsidR="003C5EF4" w:rsidRPr="00E20D21" w:rsidRDefault="003C5EF4" w:rsidP="003C5EF4">
            <w:pPr>
              <w:jc w:val="right"/>
              <w:rPr>
                <w:rFonts w:ascii="CAIXA Std Book" w:eastAsia="Times New Roman" w:hAnsi="CAIXA Std Book" w:cs="Arial"/>
                <w:color w:val="005CA9"/>
                <w:sz w:val="18"/>
                <w:szCs w:val="18"/>
              </w:rPr>
            </w:pPr>
          </w:p>
        </w:tc>
        <w:tc>
          <w:tcPr>
            <w:tcW w:w="424" w:type="pct"/>
            <w:tcBorders>
              <w:top w:val="nil"/>
              <w:left w:val="nil"/>
              <w:bottom w:val="single" w:sz="4" w:space="0" w:color="F39200"/>
              <w:right w:val="nil"/>
            </w:tcBorders>
            <w:shd w:val="clear" w:color="auto" w:fill="auto"/>
            <w:vAlign w:val="center"/>
          </w:tcPr>
          <w:p w14:paraId="2167F6D1" w14:textId="43682A1D" w:rsidR="003C5EF4" w:rsidRPr="00E20D21" w:rsidRDefault="003C5EF4" w:rsidP="003C5EF4">
            <w:pPr>
              <w:jc w:val="right"/>
              <w:rPr>
                <w:rFonts w:ascii="CAIXA Std Book" w:eastAsia="Times New Roman" w:hAnsi="CAIXA Std Book" w:cs="Arial"/>
                <w:color w:val="005CA9"/>
                <w:sz w:val="18"/>
                <w:szCs w:val="18"/>
              </w:rPr>
            </w:pPr>
          </w:p>
        </w:tc>
        <w:tc>
          <w:tcPr>
            <w:tcW w:w="479" w:type="pct"/>
            <w:tcBorders>
              <w:top w:val="nil"/>
              <w:left w:val="nil"/>
              <w:bottom w:val="single" w:sz="4" w:space="0" w:color="F39200"/>
              <w:right w:val="nil"/>
            </w:tcBorders>
            <w:shd w:val="clear" w:color="auto" w:fill="auto"/>
            <w:noWrap/>
            <w:vAlign w:val="center"/>
          </w:tcPr>
          <w:p w14:paraId="2C7485DF" w14:textId="7326E5A9"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117.126.316</w:t>
            </w:r>
          </w:p>
        </w:tc>
        <w:tc>
          <w:tcPr>
            <w:tcW w:w="442" w:type="pct"/>
            <w:tcBorders>
              <w:top w:val="nil"/>
              <w:left w:val="nil"/>
              <w:bottom w:val="single" w:sz="4" w:space="0" w:color="F39200"/>
              <w:right w:val="nil"/>
            </w:tcBorders>
            <w:shd w:val="clear" w:color="auto" w:fill="auto"/>
            <w:noWrap/>
            <w:vAlign w:val="center"/>
            <w:hideMark/>
          </w:tcPr>
          <w:p w14:paraId="0D407C9A" w14:textId="42DAB738"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94.973.218</w:t>
            </w:r>
          </w:p>
        </w:tc>
        <w:tc>
          <w:tcPr>
            <w:tcW w:w="466" w:type="pct"/>
            <w:tcBorders>
              <w:top w:val="nil"/>
              <w:left w:val="nil"/>
              <w:bottom w:val="single" w:sz="4" w:space="0" w:color="F39200"/>
              <w:right w:val="nil"/>
            </w:tcBorders>
            <w:shd w:val="clear" w:color="auto" w:fill="auto"/>
            <w:noWrap/>
            <w:vAlign w:val="center"/>
          </w:tcPr>
          <w:p w14:paraId="7DF8E972" w14:textId="590F504B"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117.126.316</w:t>
            </w:r>
          </w:p>
        </w:tc>
        <w:tc>
          <w:tcPr>
            <w:tcW w:w="426" w:type="pct"/>
            <w:tcBorders>
              <w:top w:val="nil"/>
              <w:left w:val="nil"/>
              <w:bottom w:val="single" w:sz="4" w:space="0" w:color="F39200"/>
              <w:right w:val="nil"/>
            </w:tcBorders>
            <w:shd w:val="clear" w:color="auto" w:fill="auto"/>
            <w:noWrap/>
            <w:vAlign w:val="center"/>
            <w:hideMark/>
          </w:tcPr>
          <w:p w14:paraId="5120C1E2" w14:textId="3B62CB2A" w:rsidR="003C5EF4" w:rsidRPr="00E20D21" w:rsidRDefault="003C5EF4" w:rsidP="003C5EF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94.973.218</w:t>
            </w:r>
          </w:p>
        </w:tc>
      </w:tr>
    </w:tbl>
    <w:p w14:paraId="6B06F228" w14:textId="4AC3186E" w:rsidR="006E2218" w:rsidRPr="00E20D21" w:rsidRDefault="006E2218" w:rsidP="00D57DB8">
      <w:pPr>
        <w:ind w:right="-284"/>
        <w:jc w:val="both"/>
        <w:rPr>
          <w:rFonts w:ascii="CAIXA Std Book" w:hAnsi="CAIXA Std Book"/>
          <w:color w:val="005CA9"/>
          <w:sz w:val="16"/>
          <w:szCs w:val="16"/>
        </w:rPr>
        <w:sectPr w:rsidR="006E2218" w:rsidRPr="00E20D21" w:rsidSect="001F0E96">
          <w:headerReference w:type="first" r:id="rId59"/>
          <w:footerReference w:type="first" r:id="rId60"/>
          <w:pgSz w:w="16840" w:h="11907" w:orient="landscape" w:code="9"/>
          <w:pgMar w:top="1418" w:right="851" w:bottom="851" w:left="1418" w:header="1134" w:footer="709" w:gutter="0"/>
          <w:cols w:space="708"/>
          <w:titlePg/>
          <w:docGrid w:linePitch="360"/>
        </w:sectPr>
      </w:pPr>
    </w:p>
    <w:p w14:paraId="4C1976C2" w14:textId="77777777" w:rsidR="006D07D6" w:rsidRPr="00E20D21" w:rsidRDefault="006D07D6" w:rsidP="00C23CE6">
      <w:pPr>
        <w:pStyle w:val="PargrafodaLista"/>
        <w:keepNext/>
        <w:numPr>
          <w:ilvl w:val="0"/>
          <w:numId w:val="27"/>
        </w:numPr>
        <w:spacing w:before="240" w:after="240"/>
        <w:jc w:val="both"/>
        <w:rPr>
          <w:rFonts w:ascii="CAIXA Std Book" w:hAnsi="CAIXA Std Book"/>
          <w:b/>
          <w:color w:val="005CA9"/>
          <w:sz w:val="20"/>
          <w:szCs w:val="20"/>
        </w:rPr>
      </w:pPr>
      <w:r w:rsidRPr="00E20D21">
        <w:rPr>
          <w:rFonts w:ascii="CAIXA Std Book" w:hAnsi="CAIXA Std Book"/>
          <w:b/>
          <w:color w:val="005CA9"/>
          <w:sz w:val="20"/>
          <w:szCs w:val="20"/>
        </w:rPr>
        <w:lastRenderedPageBreak/>
        <w:t>Depósitos especiais e de fundos e programas</w:t>
      </w:r>
    </w:p>
    <w:tbl>
      <w:tblPr>
        <w:tblW w:w="5000" w:type="pct"/>
        <w:tblCellMar>
          <w:left w:w="70" w:type="dxa"/>
          <w:right w:w="70" w:type="dxa"/>
        </w:tblCellMar>
        <w:tblLook w:val="04A0" w:firstRow="1" w:lastRow="0" w:firstColumn="1" w:lastColumn="0" w:noHBand="0" w:noVBand="1"/>
      </w:tblPr>
      <w:tblGrid>
        <w:gridCol w:w="6237"/>
        <w:gridCol w:w="1700"/>
        <w:gridCol w:w="1700"/>
      </w:tblGrid>
      <w:tr w:rsidR="00A47C19" w:rsidRPr="00E20D21" w14:paraId="7DAA0F3C" w14:textId="77777777" w:rsidTr="00882FD0">
        <w:trPr>
          <w:trHeight w:val="286"/>
        </w:trPr>
        <w:tc>
          <w:tcPr>
            <w:tcW w:w="5000" w:type="pct"/>
            <w:gridSpan w:val="3"/>
            <w:tcBorders>
              <w:top w:val="single" w:sz="4" w:space="0" w:color="F39200"/>
              <w:left w:val="nil"/>
              <w:bottom w:val="single" w:sz="4" w:space="0" w:color="F39200"/>
              <w:right w:val="nil"/>
            </w:tcBorders>
            <w:shd w:val="clear" w:color="auto" w:fill="auto"/>
            <w:vAlign w:val="center"/>
            <w:hideMark/>
          </w:tcPr>
          <w:p w14:paraId="5CFD54C6" w14:textId="50144F34" w:rsidR="00091A2A" w:rsidRPr="00E20D21" w:rsidRDefault="00091A2A" w:rsidP="003A705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CONSOLIDADO</w:t>
            </w:r>
          </w:p>
        </w:tc>
      </w:tr>
      <w:tr w:rsidR="00A47C19" w:rsidRPr="00E20D21" w14:paraId="07586CFF" w14:textId="77777777" w:rsidTr="00882FD0">
        <w:trPr>
          <w:trHeight w:val="286"/>
        </w:trPr>
        <w:tc>
          <w:tcPr>
            <w:tcW w:w="3236" w:type="pct"/>
            <w:tcBorders>
              <w:top w:val="nil"/>
              <w:left w:val="nil"/>
              <w:bottom w:val="single" w:sz="4" w:space="0" w:color="F39200"/>
              <w:right w:val="nil"/>
            </w:tcBorders>
            <w:shd w:val="clear" w:color="auto" w:fill="auto"/>
            <w:vAlign w:val="center"/>
            <w:hideMark/>
          </w:tcPr>
          <w:p w14:paraId="001772CD" w14:textId="77777777"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882" w:type="pct"/>
            <w:tcBorders>
              <w:top w:val="nil"/>
              <w:left w:val="nil"/>
              <w:bottom w:val="single" w:sz="4" w:space="0" w:color="F39200"/>
              <w:right w:val="nil"/>
            </w:tcBorders>
            <w:shd w:val="clear" w:color="auto" w:fill="auto"/>
            <w:vAlign w:val="center"/>
            <w:hideMark/>
          </w:tcPr>
          <w:p w14:paraId="1E9BDBA5" w14:textId="43EB2915"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882" w:type="pct"/>
            <w:tcBorders>
              <w:top w:val="nil"/>
              <w:left w:val="nil"/>
              <w:bottom w:val="single" w:sz="4" w:space="0" w:color="F39200"/>
              <w:right w:val="nil"/>
            </w:tcBorders>
            <w:shd w:val="clear" w:color="auto" w:fill="auto"/>
            <w:vAlign w:val="center"/>
            <w:hideMark/>
          </w:tcPr>
          <w:p w14:paraId="5C46131F" w14:textId="11CA6E9A" w:rsidR="00A47C19" w:rsidRPr="00E20D21" w:rsidRDefault="00A47C19" w:rsidP="00A47C1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A47C19" w:rsidRPr="00E20D21" w14:paraId="07565509" w14:textId="77777777" w:rsidTr="00882FD0">
        <w:trPr>
          <w:trHeight w:val="286"/>
        </w:trPr>
        <w:tc>
          <w:tcPr>
            <w:tcW w:w="3236" w:type="pct"/>
            <w:tcBorders>
              <w:top w:val="nil"/>
              <w:left w:val="nil"/>
              <w:bottom w:val="nil"/>
              <w:right w:val="nil"/>
            </w:tcBorders>
            <w:shd w:val="clear" w:color="auto" w:fill="auto"/>
            <w:vAlign w:val="center"/>
            <w:hideMark/>
          </w:tcPr>
          <w:p w14:paraId="1E90CB32" w14:textId="1B7D572C"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de Arrendamento Residencial – FAR</w:t>
            </w:r>
            <w:r w:rsidR="00690EA8" w:rsidRPr="00E20D21">
              <w:rPr>
                <w:rFonts w:ascii="CAIXA Std Book" w:hAnsi="CAIXA Std Book" w:cs="Arial"/>
                <w:color w:val="005CA9"/>
                <w:sz w:val="18"/>
                <w:szCs w:val="18"/>
              </w:rPr>
              <w:t xml:space="preserve"> (1)</w:t>
            </w:r>
          </w:p>
        </w:tc>
        <w:tc>
          <w:tcPr>
            <w:tcW w:w="882" w:type="pct"/>
            <w:tcBorders>
              <w:top w:val="nil"/>
              <w:left w:val="nil"/>
              <w:bottom w:val="nil"/>
              <w:right w:val="nil"/>
            </w:tcBorders>
            <w:shd w:val="clear" w:color="auto" w:fill="auto"/>
            <w:noWrap/>
            <w:vAlign w:val="center"/>
          </w:tcPr>
          <w:p w14:paraId="33D00F36" w14:textId="141106EA"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10.256.369</w:t>
            </w:r>
          </w:p>
        </w:tc>
        <w:tc>
          <w:tcPr>
            <w:tcW w:w="882" w:type="pct"/>
            <w:tcBorders>
              <w:top w:val="nil"/>
              <w:left w:val="nil"/>
              <w:bottom w:val="nil"/>
              <w:right w:val="nil"/>
            </w:tcBorders>
            <w:shd w:val="clear" w:color="auto" w:fill="auto"/>
            <w:noWrap/>
            <w:vAlign w:val="center"/>
            <w:hideMark/>
          </w:tcPr>
          <w:p w14:paraId="4FE4607C" w14:textId="429637E0"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7.754.634</w:t>
            </w:r>
          </w:p>
        </w:tc>
      </w:tr>
      <w:tr w:rsidR="00A47C19" w:rsidRPr="00E20D21" w14:paraId="0CED076F" w14:textId="77777777" w:rsidTr="00882FD0">
        <w:trPr>
          <w:trHeight w:val="286"/>
        </w:trPr>
        <w:tc>
          <w:tcPr>
            <w:tcW w:w="3236" w:type="pct"/>
            <w:tcBorders>
              <w:top w:val="nil"/>
              <w:left w:val="nil"/>
              <w:bottom w:val="nil"/>
              <w:right w:val="nil"/>
            </w:tcBorders>
            <w:shd w:val="clear" w:color="auto" w:fill="auto"/>
            <w:vAlign w:val="center"/>
          </w:tcPr>
          <w:p w14:paraId="1608E189" w14:textId="5A9D0038" w:rsidR="00A47C19" w:rsidRPr="00E20D21" w:rsidRDefault="00A47C19" w:rsidP="00F5720D">
            <w:pPr>
              <w:rPr>
                <w:rFonts w:ascii="CAIXA Std Book" w:hAnsi="CAIXA Std Book" w:cs="Arial"/>
                <w:color w:val="005CA9"/>
                <w:sz w:val="18"/>
                <w:szCs w:val="18"/>
              </w:rPr>
            </w:pPr>
            <w:r w:rsidRPr="00E20D21">
              <w:rPr>
                <w:rFonts w:ascii="CAIXA Std Book" w:hAnsi="CAIXA Std Book" w:cs="Arial"/>
                <w:color w:val="005CA9"/>
                <w:sz w:val="18"/>
                <w:szCs w:val="18"/>
              </w:rPr>
              <w:t>Fundo de Custeio do Ensino Médio – FIPEM</w:t>
            </w:r>
            <w:r w:rsidR="008967F2" w:rsidRPr="00E20D21">
              <w:rPr>
                <w:rFonts w:ascii="CAIXA Std Book" w:hAnsi="CAIXA Std Book" w:cs="Arial"/>
                <w:color w:val="005CA9"/>
                <w:sz w:val="18"/>
                <w:szCs w:val="18"/>
              </w:rPr>
              <w:t xml:space="preserve"> (2)</w:t>
            </w:r>
          </w:p>
        </w:tc>
        <w:tc>
          <w:tcPr>
            <w:tcW w:w="882" w:type="pct"/>
            <w:tcBorders>
              <w:top w:val="nil"/>
              <w:left w:val="nil"/>
              <w:bottom w:val="nil"/>
              <w:right w:val="nil"/>
            </w:tcBorders>
            <w:shd w:val="clear" w:color="auto" w:fill="auto"/>
            <w:noWrap/>
            <w:vAlign w:val="center"/>
          </w:tcPr>
          <w:p w14:paraId="6DC0FF23" w14:textId="61D89423" w:rsidR="00A47C19" w:rsidRPr="00E20D21" w:rsidRDefault="00820892" w:rsidP="00574BE8">
            <w:pPr>
              <w:jc w:val="right"/>
              <w:rPr>
                <w:rFonts w:ascii="CAIXA Std Book" w:hAnsi="CAIXA Std Book" w:cs="Arial"/>
                <w:color w:val="005CA9"/>
                <w:sz w:val="18"/>
                <w:szCs w:val="18"/>
              </w:rPr>
            </w:pPr>
            <w:r w:rsidRPr="00E20D21">
              <w:rPr>
                <w:rFonts w:ascii="CAIXA Std Book" w:hAnsi="CAIXA Std Book" w:cs="Arial"/>
                <w:color w:val="005CA9"/>
                <w:sz w:val="18"/>
                <w:szCs w:val="18"/>
              </w:rPr>
              <w:t>10.147.275</w:t>
            </w:r>
          </w:p>
        </w:tc>
        <w:tc>
          <w:tcPr>
            <w:tcW w:w="882" w:type="pct"/>
            <w:tcBorders>
              <w:top w:val="nil"/>
              <w:left w:val="nil"/>
              <w:bottom w:val="nil"/>
              <w:right w:val="nil"/>
            </w:tcBorders>
            <w:shd w:val="clear" w:color="auto" w:fill="auto"/>
            <w:noWrap/>
            <w:vAlign w:val="center"/>
          </w:tcPr>
          <w:p w14:paraId="2008CEAA" w14:textId="140478D0" w:rsidR="00A47C19" w:rsidRPr="00E20D21" w:rsidRDefault="00A47C19" w:rsidP="00574BE8">
            <w:pPr>
              <w:jc w:val="right"/>
              <w:rPr>
                <w:rFonts w:ascii="CAIXA Std Book" w:hAnsi="CAIXA Std Book" w:cs="Arial"/>
                <w:color w:val="005CA9"/>
                <w:sz w:val="18"/>
                <w:szCs w:val="18"/>
              </w:rPr>
            </w:pPr>
            <w:r w:rsidRPr="00E20D21">
              <w:rPr>
                <w:rFonts w:ascii="CAIXA Std Book" w:hAnsi="CAIXA Std Book" w:cs="Arial"/>
                <w:color w:val="005CA9"/>
                <w:sz w:val="18"/>
                <w:szCs w:val="18"/>
              </w:rPr>
              <w:t>6.100.000</w:t>
            </w:r>
          </w:p>
        </w:tc>
      </w:tr>
      <w:tr w:rsidR="00A47C19" w:rsidRPr="00E20D21" w14:paraId="22D31338" w14:textId="77777777" w:rsidTr="00882FD0">
        <w:trPr>
          <w:trHeight w:val="286"/>
        </w:trPr>
        <w:tc>
          <w:tcPr>
            <w:tcW w:w="3236" w:type="pct"/>
            <w:tcBorders>
              <w:top w:val="nil"/>
              <w:left w:val="nil"/>
              <w:bottom w:val="nil"/>
              <w:right w:val="nil"/>
            </w:tcBorders>
            <w:shd w:val="clear" w:color="auto" w:fill="auto"/>
            <w:vAlign w:val="center"/>
            <w:hideMark/>
          </w:tcPr>
          <w:p w14:paraId="7C42DF39" w14:textId="2949206B"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 xml:space="preserve">Fundo de Garantia </w:t>
            </w:r>
            <w:r w:rsidR="00E829B3" w:rsidRPr="00E20D21">
              <w:rPr>
                <w:rFonts w:ascii="CAIXA Std Book" w:hAnsi="CAIXA Std Book" w:cs="Arial"/>
                <w:color w:val="005CA9"/>
                <w:sz w:val="18"/>
                <w:szCs w:val="18"/>
              </w:rPr>
              <w:t>do</w:t>
            </w:r>
            <w:r w:rsidRPr="00E20D21">
              <w:rPr>
                <w:rFonts w:ascii="CAIXA Std Book" w:hAnsi="CAIXA Std Book" w:cs="Arial"/>
                <w:color w:val="005CA9"/>
                <w:sz w:val="18"/>
                <w:szCs w:val="18"/>
              </w:rPr>
              <w:t xml:space="preserve"> Tempo de Serviço – FGTS</w:t>
            </w:r>
          </w:p>
        </w:tc>
        <w:tc>
          <w:tcPr>
            <w:tcW w:w="882" w:type="pct"/>
            <w:tcBorders>
              <w:top w:val="nil"/>
              <w:left w:val="nil"/>
              <w:bottom w:val="nil"/>
              <w:right w:val="nil"/>
            </w:tcBorders>
            <w:shd w:val="clear" w:color="auto" w:fill="auto"/>
            <w:noWrap/>
            <w:vAlign w:val="center"/>
          </w:tcPr>
          <w:p w14:paraId="2C7A8CDD" w14:textId="4604F4B4"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4.795.856</w:t>
            </w:r>
          </w:p>
        </w:tc>
        <w:tc>
          <w:tcPr>
            <w:tcW w:w="882" w:type="pct"/>
            <w:tcBorders>
              <w:top w:val="nil"/>
              <w:left w:val="nil"/>
              <w:bottom w:val="nil"/>
              <w:right w:val="nil"/>
            </w:tcBorders>
            <w:shd w:val="clear" w:color="auto" w:fill="auto"/>
            <w:noWrap/>
            <w:vAlign w:val="center"/>
            <w:hideMark/>
          </w:tcPr>
          <w:p w14:paraId="747AB733" w14:textId="0C576819"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5.794.215</w:t>
            </w:r>
          </w:p>
        </w:tc>
      </w:tr>
      <w:tr w:rsidR="00A47C19" w:rsidRPr="00E20D21" w14:paraId="0A68F4D2" w14:textId="77777777" w:rsidTr="00882FD0">
        <w:trPr>
          <w:trHeight w:val="286"/>
        </w:trPr>
        <w:tc>
          <w:tcPr>
            <w:tcW w:w="3236" w:type="pct"/>
            <w:tcBorders>
              <w:top w:val="nil"/>
              <w:left w:val="nil"/>
              <w:bottom w:val="nil"/>
              <w:right w:val="nil"/>
            </w:tcBorders>
            <w:shd w:val="clear" w:color="auto" w:fill="auto"/>
            <w:vAlign w:val="center"/>
            <w:hideMark/>
          </w:tcPr>
          <w:p w14:paraId="16951035" w14:textId="77777777"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Garantia Safra – FGS</w:t>
            </w:r>
          </w:p>
        </w:tc>
        <w:tc>
          <w:tcPr>
            <w:tcW w:w="882" w:type="pct"/>
            <w:tcBorders>
              <w:top w:val="nil"/>
              <w:left w:val="nil"/>
              <w:bottom w:val="nil"/>
              <w:right w:val="nil"/>
            </w:tcBorders>
            <w:shd w:val="clear" w:color="auto" w:fill="auto"/>
            <w:noWrap/>
            <w:vAlign w:val="center"/>
          </w:tcPr>
          <w:p w14:paraId="6F9B71F4" w14:textId="11459455"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1.386.693</w:t>
            </w:r>
          </w:p>
        </w:tc>
        <w:tc>
          <w:tcPr>
            <w:tcW w:w="882" w:type="pct"/>
            <w:tcBorders>
              <w:top w:val="nil"/>
              <w:left w:val="nil"/>
              <w:bottom w:val="nil"/>
              <w:right w:val="nil"/>
            </w:tcBorders>
            <w:shd w:val="clear" w:color="auto" w:fill="auto"/>
            <w:noWrap/>
            <w:vAlign w:val="center"/>
            <w:hideMark/>
          </w:tcPr>
          <w:p w14:paraId="396FA064" w14:textId="30EC1792"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1.935.056</w:t>
            </w:r>
          </w:p>
        </w:tc>
      </w:tr>
      <w:tr w:rsidR="00A47C19" w:rsidRPr="00E20D21" w14:paraId="46A45008" w14:textId="77777777" w:rsidTr="00882FD0">
        <w:trPr>
          <w:trHeight w:val="286"/>
        </w:trPr>
        <w:tc>
          <w:tcPr>
            <w:tcW w:w="3236" w:type="pct"/>
            <w:tcBorders>
              <w:top w:val="nil"/>
              <w:left w:val="nil"/>
              <w:bottom w:val="nil"/>
              <w:right w:val="nil"/>
            </w:tcBorders>
            <w:shd w:val="clear" w:color="auto" w:fill="auto"/>
            <w:vAlign w:val="center"/>
            <w:hideMark/>
          </w:tcPr>
          <w:p w14:paraId="7784E39E" w14:textId="77777777"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de Desenvolvimento Social – FDS</w:t>
            </w:r>
          </w:p>
        </w:tc>
        <w:tc>
          <w:tcPr>
            <w:tcW w:w="882" w:type="pct"/>
            <w:tcBorders>
              <w:top w:val="nil"/>
              <w:left w:val="nil"/>
              <w:bottom w:val="nil"/>
              <w:right w:val="nil"/>
            </w:tcBorders>
            <w:shd w:val="clear" w:color="auto" w:fill="auto"/>
            <w:noWrap/>
            <w:vAlign w:val="center"/>
          </w:tcPr>
          <w:p w14:paraId="401D219B" w14:textId="1330E07E"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2.122.753</w:t>
            </w:r>
          </w:p>
        </w:tc>
        <w:tc>
          <w:tcPr>
            <w:tcW w:w="882" w:type="pct"/>
            <w:tcBorders>
              <w:top w:val="nil"/>
              <w:left w:val="nil"/>
              <w:bottom w:val="nil"/>
              <w:right w:val="nil"/>
            </w:tcBorders>
            <w:shd w:val="clear" w:color="auto" w:fill="auto"/>
            <w:noWrap/>
            <w:vAlign w:val="center"/>
            <w:hideMark/>
          </w:tcPr>
          <w:p w14:paraId="389EFEDE" w14:textId="7D59AF10"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1.624.393</w:t>
            </w:r>
          </w:p>
        </w:tc>
      </w:tr>
      <w:tr w:rsidR="00A47C19" w:rsidRPr="00E20D21" w14:paraId="6592F816" w14:textId="77777777" w:rsidTr="00882FD0">
        <w:trPr>
          <w:trHeight w:val="286"/>
        </w:trPr>
        <w:tc>
          <w:tcPr>
            <w:tcW w:w="3236" w:type="pct"/>
            <w:tcBorders>
              <w:top w:val="nil"/>
              <w:left w:val="nil"/>
              <w:bottom w:val="nil"/>
              <w:right w:val="nil"/>
            </w:tcBorders>
            <w:shd w:val="clear" w:color="auto" w:fill="auto"/>
            <w:vAlign w:val="center"/>
            <w:hideMark/>
          </w:tcPr>
          <w:p w14:paraId="289F2464" w14:textId="61A1BBDF"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 xml:space="preserve">Fundo de Compensação Ambiental </w:t>
            </w:r>
            <w:r w:rsidR="00BE1224" w:rsidRPr="00E20D21">
              <w:rPr>
                <w:rFonts w:ascii="CAIXA Std Book" w:hAnsi="CAIXA Std Book" w:cs="Arial"/>
                <w:color w:val="005CA9"/>
                <w:sz w:val="18"/>
                <w:szCs w:val="18"/>
              </w:rPr>
              <w:t>–</w:t>
            </w:r>
            <w:r w:rsidRPr="00E20D21">
              <w:rPr>
                <w:rFonts w:ascii="CAIXA Std Book" w:hAnsi="CAIXA Std Book" w:cs="Arial"/>
                <w:color w:val="005CA9"/>
                <w:sz w:val="18"/>
                <w:szCs w:val="18"/>
              </w:rPr>
              <w:t xml:space="preserve"> FCA</w:t>
            </w:r>
          </w:p>
        </w:tc>
        <w:tc>
          <w:tcPr>
            <w:tcW w:w="882" w:type="pct"/>
            <w:tcBorders>
              <w:top w:val="nil"/>
              <w:left w:val="nil"/>
              <w:bottom w:val="nil"/>
              <w:right w:val="nil"/>
            </w:tcBorders>
            <w:shd w:val="clear" w:color="auto" w:fill="auto"/>
            <w:noWrap/>
            <w:vAlign w:val="center"/>
          </w:tcPr>
          <w:p w14:paraId="7C43CFDD" w14:textId="6EEB8D35"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1.967.917</w:t>
            </w:r>
          </w:p>
        </w:tc>
        <w:tc>
          <w:tcPr>
            <w:tcW w:w="882" w:type="pct"/>
            <w:tcBorders>
              <w:top w:val="nil"/>
              <w:left w:val="nil"/>
              <w:bottom w:val="nil"/>
              <w:right w:val="nil"/>
            </w:tcBorders>
            <w:shd w:val="clear" w:color="auto" w:fill="auto"/>
            <w:noWrap/>
            <w:vAlign w:val="center"/>
            <w:hideMark/>
          </w:tcPr>
          <w:p w14:paraId="508A52B0" w14:textId="6A97E982"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1.566.181</w:t>
            </w:r>
          </w:p>
        </w:tc>
      </w:tr>
      <w:tr w:rsidR="00A47C19" w:rsidRPr="00E20D21" w14:paraId="2E3C379A" w14:textId="77777777" w:rsidTr="00882FD0">
        <w:trPr>
          <w:trHeight w:val="286"/>
        </w:trPr>
        <w:tc>
          <w:tcPr>
            <w:tcW w:w="3236" w:type="pct"/>
            <w:tcBorders>
              <w:top w:val="nil"/>
              <w:left w:val="nil"/>
              <w:bottom w:val="nil"/>
              <w:right w:val="nil"/>
            </w:tcBorders>
            <w:shd w:val="clear" w:color="auto" w:fill="auto"/>
            <w:vAlign w:val="center"/>
            <w:hideMark/>
          </w:tcPr>
          <w:p w14:paraId="52444F24" w14:textId="77777777"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Garantia crédito hipotecário</w:t>
            </w:r>
          </w:p>
        </w:tc>
        <w:tc>
          <w:tcPr>
            <w:tcW w:w="882" w:type="pct"/>
            <w:tcBorders>
              <w:top w:val="nil"/>
              <w:left w:val="nil"/>
              <w:bottom w:val="nil"/>
              <w:right w:val="nil"/>
            </w:tcBorders>
            <w:shd w:val="clear" w:color="auto" w:fill="auto"/>
            <w:noWrap/>
            <w:vAlign w:val="center"/>
          </w:tcPr>
          <w:p w14:paraId="219CE82E" w14:textId="3F5992F1"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1.295.731</w:t>
            </w:r>
          </w:p>
        </w:tc>
        <w:tc>
          <w:tcPr>
            <w:tcW w:w="882" w:type="pct"/>
            <w:tcBorders>
              <w:top w:val="nil"/>
              <w:left w:val="nil"/>
              <w:bottom w:val="nil"/>
              <w:right w:val="nil"/>
            </w:tcBorders>
            <w:shd w:val="clear" w:color="auto" w:fill="auto"/>
            <w:noWrap/>
            <w:vAlign w:val="center"/>
            <w:hideMark/>
          </w:tcPr>
          <w:p w14:paraId="1B83E6DC" w14:textId="76ECF3D6"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1.479.573</w:t>
            </w:r>
          </w:p>
        </w:tc>
      </w:tr>
      <w:tr w:rsidR="00A47C19" w:rsidRPr="00E20D21" w14:paraId="6B43041D" w14:textId="77777777" w:rsidTr="00882FD0">
        <w:trPr>
          <w:trHeight w:val="286"/>
        </w:trPr>
        <w:tc>
          <w:tcPr>
            <w:tcW w:w="3236" w:type="pct"/>
            <w:tcBorders>
              <w:top w:val="nil"/>
              <w:left w:val="nil"/>
              <w:bottom w:val="nil"/>
              <w:right w:val="nil"/>
            </w:tcBorders>
            <w:shd w:val="clear" w:color="auto" w:fill="auto"/>
            <w:vAlign w:val="center"/>
            <w:hideMark/>
          </w:tcPr>
          <w:p w14:paraId="572DD2D4" w14:textId="77777777"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Depósitos – PREVHAB</w:t>
            </w:r>
          </w:p>
        </w:tc>
        <w:tc>
          <w:tcPr>
            <w:tcW w:w="882" w:type="pct"/>
            <w:tcBorders>
              <w:top w:val="nil"/>
              <w:left w:val="nil"/>
              <w:bottom w:val="nil"/>
              <w:right w:val="nil"/>
            </w:tcBorders>
            <w:shd w:val="clear" w:color="auto" w:fill="auto"/>
            <w:noWrap/>
            <w:vAlign w:val="center"/>
          </w:tcPr>
          <w:p w14:paraId="13FDFE96" w14:textId="096E7061"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1.347.655</w:t>
            </w:r>
          </w:p>
        </w:tc>
        <w:tc>
          <w:tcPr>
            <w:tcW w:w="882" w:type="pct"/>
            <w:tcBorders>
              <w:top w:val="nil"/>
              <w:left w:val="nil"/>
              <w:bottom w:val="nil"/>
              <w:right w:val="nil"/>
            </w:tcBorders>
            <w:shd w:val="clear" w:color="auto" w:fill="auto"/>
            <w:noWrap/>
            <w:vAlign w:val="center"/>
            <w:hideMark/>
          </w:tcPr>
          <w:p w14:paraId="121C85BB" w14:textId="485CC417"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1.284.215</w:t>
            </w:r>
          </w:p>
        </w:tc>
      </w:tr>
      <w:tr w:rsidR="00A47C19" w:rsidRPr="00E20D21" w14:paraId="34A63635" w14:textId="77777777" w:rsidTr="00882FD0">
        <w:trPr>
          <w:trHeight w:val="286"/>
        </w:trPr>
        <w:tc>
          <w:tcPr>
            <w:tcW w:w="3236" w:type="pct"/>
            <w:tcBorders>
              <w:top w:val="nil"/>
              <w:left w:val="nil"/>
              <w:bottom w:val="nil"/>
              <w:right w:val="nil"/>
            </w:tcBorders>
            <w:shd w:val="clear" w:color="auto" w:fill="auto"/>
            <w:vAlign w:val="center"/>
            <w:hideMark/>
          </w:tcPr>
          <w:p w14:paraId="0501BAAF" w14:textId="6F132D5D"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 xml:space="preserve">Fundo Garantidor de Microfinanças </w:t>
            </w:r>
            <w:r w:rsidR="00BE1224" w:rsidRPr="00E20D21">
              <w:rPr>
                <w:rFonts w:ascii="CAIXA Std Book" w:hAnsi="CAIXA Std Book" w:cs="Arial"/>
                <w:color w:val="005CA9"/>
                <w:sz w:val="18"/>
                <w:szCs w:val="18"/>
              </w:rPr>
              <w:t>–</w:t>
            </w:r>
            <w:r w:rsidRPr="00E20D21">
              <w:rPr>
                <w:rFonts w:ascii="CAIXA Std Book" w:hAnsi="CAIXA Std Book" w:cs="Arial"/>
                <w:color w:val="005CA9"/>
                <w:sz w:val="18"/>
                <w:szCs w:val="18"/>
              </w:rPr>
              <w:t xml:space="preserve"> FGM</w:t>
            </w:r>
          </w:p>
        </w:tc>
        <w:tc>
          <w:tcPr>
            <w:tcW w:w="882" w:type="pct"/>
            <w:tcBorders>
              <w:top w:val="nil"/>
              <w:left w:val="nil"/>
              <w:bottom w:val="nil"/>
              <w:right w:val="nil"/>
            </w:tcBorders>
            <w:shd w:val="clear" w:color="auto" w:fill="auto"/>
            <w:noWrap/>
            <w:vAlign w:val="center"/>
          </w:tcPr>
          <w:p w14:paraId="2E637FA7" w14:textId="7F8BD7F3"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1.227.902</w:t>
            </w:r>
          </w:p>
        </w:tc>
        <w:tc>
          <w:tcPr>
            <w:tcW w:w="882" w:type="pct"/>
            <w:tcBorders>
              <w:top w:val="nil"/>
              <w:left w:val="nil"/>
              <w:bottom w:val="nil"/>
              <w:right w:val="nil"/>
            </w:tcBorders>
            <w:shd w:val="clear" w:color="auto" w:fill="auto"/>
            <w:noWrap/>
            <w:vAlign w:val="center"/>
            <w:hideMark/>
          </w:tcPr>
          <w:p w14:paraId="3A24E65C" w14:textId="66198117"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1.157.208</w:t>
            </w:r>
          </w:p>
        </w:tc>
      </w:tr>
      <w:tr w:rsidR="00A47C19" w:rsidRPr="00E20D21" w14:paraId="412C01C0" w14:textId="77777777" w:rsidTr="00882FD0">
        <w:trPr>
          <w:trHeight w:val="286"/>
        </w:trPr>
        <w:tc>
          <w:tcPr>
            <w:tcW w:w="3236" w:type="pct"/>
            <w:tcBorders>
              <w:top w:val="nil"/>
              <w:left w:val="nil"/>
              <w:bottom w:val="nil"/>
              <w:right w:val="nil"/>
            </w:tcBorders>
            <w:shd w:val="clear" w:color="auto" w:fill="auto"/>
            <w:vAlign w:val="center"/>
            <w:hideMark/>
          </w:tcPr>
          <w:p w14:paraId="677A6079" w14:textId="60B21236"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 xml:space="preserve">Depósitos especiais com remuneração </w:t>
            </w:r>
            <w:r w:rsidR="00BE1224" w:rsidRPr="00E20D21">
              <w:rPr>
                <w:rFonts w:ascii="CAIXA Std Book" w:hAnsi="CAIXA Std Book" w:cs="Arial"/>
                <w:color w:val="005CA9"/>
                <w:sz w:val="18"/>
                <w:szCs w:val="18"/>
              </w:rPr>
              <w:t>–</w:t>
            </w:r>
            <w:r w:rsidRPr="00E20D21">
              <w:rPr>
                <w:rFonts w:ascii="CAIXA Std Book" w:hAnsi="CAIXA Std Book" w:cs="Arial"/>
                <w:color w:val="005CA9"/>
                <w:sz w:val="18"/>
                <w:szCs w:val="18"/>
              </w:rPr>
              <w:t xml:space="preserve"> SRF</w:t>
            </w:r>
          </w:p>
        </w:tc>
        <w:tc>
          <w:tcPr>
            <w:tcW w:w="882" w:type="pct"/>
            <w:tcBorders>
              <w:top w:val="nil"/>
              <w:left w:val="nil"/>
              <w:bottom w:val="nil"/>
              <w:right w:val="nil"/>
            </w:tcBorders>
            <w:shd w:val="clear" w:color="auto" w:fill="auto"/>
            <w:noWrap/>
            <w:vAlign w:val="center"/>
          </w:tcPr>
          <w:p w14:paraId="5CD3FE43" w14:textId="1E470692"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1.074.605</w:t>
            </w:r>
          </w:p>
        </w:tc>
        <w:tc>
          <w:tcPr>
            <w:tcW w:w="882" w:type="pct"/>
            <w:tcBorders>
              <w:top w:val="nil"/>
              <w:left w:val="nil"/>
              <w:bottom w:val="nil"/>
              <w:right w:val="nil"/>
            </w:tcBorders>
            <w:shd w:val="clear" w:color="auto" w:fill="auto"/>
            <w:noWrap/>
            <w:vAlign w:val="center"/>
            <w:hideMark/>
          </w:tcPr>
          <w:p w14:paraId="4BCE374A" w14:textId="1CCF83B2"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943.166</w:t>
            </w:r>
          </w:p>
        </w:tc>
      </w:tr>
      <w:tr w:rsidR="00A47C19" w:rsidRPr="00E20D21" w14:paraId="495E8638" w14:textId="77777777" w:rsidTr="00882FD0">
        <w:trPr>
          <w:trHeight w:val="286"/>
        </w:trPr>
        <w:tc>
          <w:tcPr>
            <w:tcW w:w="3236" w:type="pct"/>
            <w:tcBorders>
              <w:top w:val="nil"/>
              <w:left w:val="nil"/>
              <w:bottom w:val="nil"/>
              <w:right w:val="nil"/>
            </w:tcBorders>
            <w:shd w:val="clear" w:color="auto" w:fill="auto"/>
            <w:vAlign w:val="center"/>
            <w:hideMark/>
          </w:tcPr>
          <w:p w14:paraId="504C03DB" w14:textId="77777777"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Incra</w:t>
            </w:r>
          </w:p>
        </w:tc>
        <w:tc>
          <w:tcPr>
            <w:tcW w:w="882" w:type="pct"/>
            <w:tcBorders>
              <w:top w:val="nil"/>
              <w:left w:val="nil"/>
              <w:bottom w:val="nil"/>
              <w:right w:val="nil"/>
            </w:tcBorders>
            <w:shd w:val="clear" w:color="auto" w:fill="auto"/>
            <w:noWrap/>
            <w:vAlign w:val="center"/>
          </w:tcPr>
          <w:p w14:paraId="0F3CD1FC" w14:textId="48B1A9ED"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852.736</w:t>
            </w:r>
          </w:p>
        </w:tc>
        <w:tc>
          <w:tcPr>
            <w:tcW w:w="882" w:type="pct"/>
            <w:tcBorders>
              <w:top w:val="nil"/>
              <w:left w:val="nil"/>
              <w:bottom w:val="nil"/>
              <w:right w:val="nil"/>
            </w:tcBorders>
            <w:shd w:val="clear" w:color="auto" w:fill="auto"/>
            <w:noWrap/>
            <w:vAlign w:val="center"/>
            <w:hideMark/>
          </w:tcPr>
          <w:p w14:paraId="2B5079D4" w14:textId="6141E65E"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810.454</w:t>
            </w:r>
          </w:p>
        </w:tc>
      </w:tr>
      <w:tr w:rsidR="00A47C19" w:rsidRPr="00E20D21" w14:paraId="09EC28E5" w14:textId="77777777" w:rsidTr="00882FD0">
        <w:trPr>
          <w:trHeight w:val="286"/>
        </w:trPr>
        <w:tc>
          <w:tcPr>
            <w:tcW w:w="3236" w:type="pct"/>
            <w:tcBorders>
              <w:top w:val="nil"/>
              <w:left w:val="nil"/>
              <w:bottom w:val="nil"/>
              <w:right w:val="nil"/>
            </w:tcBorders>
            <w:shd w:val="clear" w:color="auto" w:fill="auto"/>
            <w:vAlign w:val="center"/>
            <w:hideMark/>
          </w:tcPr>
          <w:p w14:paraId="5FABD998" w14:textId="41779B5E" w:rsidR="00A47C19" w:rsidRPr="00E20D21" w:rsidRDefault="00A47C19" w:rsidP="00F5720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de apoio e desenvolvimento PPP – FEP CAIXA</w:t>
            </w:r>
          </w:p>
        </w:tc>
        <w:tc>
          <w:tcPr>
            <w:tcW w:w="882" w:type="pct"/>
            <w:tcBorders>
              <w:top w:val="nil"/>
              <w:left w:val="nil"/>
              <w:bottom w:val="nil"/>
              <w:right w:val="nil"/>
            </w:tcBorders>
            <w:shd w:val="clear" w:color="auto" w:fill="auto"/>
            <w:noWrap/>
            <w:vAlign w:val="center"/>
          </w:tcPr>
          <w:p w14:paraId="5EC7802C" w14:textId="7D6EA762" w:rsidR="00A47C19" w:rsidRPr="00E20D21" w:rsidRDefault="00820892"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310.102</w:t>
            </w:r>
          </w:p>
        </w:tc>
        <w:tc>
          <w:tcPr>
            <w:tcW w:w="882" w:type="pct"/>
            <w:tcBorders>
              <w:top w:val="nil"/>
              <w:left w:val="nil"/>
              <w:bottom w:val="nil"/>
              <w:right w:val="nil"/>
            </w:tcBorders>
            <w:shd w:val="clear" w:color="auto" w:fill="auto"/>
            <w:noWrap/>
            <w:vAlign w:val="center"/>
            <w:hideMark/>
          </w:tcPr>
          <w:p w14:paraId="268CFDAA" w14:textId="1414C126" w:rsidR="00A47C19" w:rsidRPr="00E20D21" w:rsidRDefault="00A47C19" w:rsidP="00574BE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317.906</w:t>
            </w:r>
          </w:p>
        </w:tc>
      </w:tr>
      <w:tr w:rsidR="00A47C19" w:rsidRPr="00E20D21" w14:paraId="00CA4530" w14:textId="77777777" w:rsidTr="005152C4">
        <w:trPr>
          <w:trHeight w:val="286"/>
        </w:trPr>
        <w:tc>
          <w:tcPr>
            <w:tcW w:w="3236" w:type="pct"/>
            <w:tcBorders>
              <w:top w:val="nil"/>
              <w:left w:val="nil"/>
              <w:bottom w:val="nil"/>
              <w:right w:val="nil"/>
            </w:tcBorders>
            <w:shd w:val="clear" w:color="auto" w:fill="auto"/>
            <w:vAlign w:val="center"/>
          </w:tcPr>
          <w:p w14:paraId="02EC27FB" w14:textId="31BB6755" w:rsidR="00A47C19" w:rsidRPr="00E20D21" w:rsidRDefault="00A47C19" w:rsidP="00F5720D">
            <w:pPr>
              <w:rPr>
                <w:rFonts w:ascii="CAIXA Std Book" w:hAnsi="CAIXA Std Book" w:cs="Arial"/>
                <w:color w:val="005CA9"/>
                <w:sz w:val="18"/>
                <w:szCs w:val="18"/>
              </w:rPr>
            </w:pPr>
            <w:r w:rsidRPr="00E20D21">
              <w:rPr>
                <w:rFonts w:ascii="CAIXA Std Book" w:hAnsi="CAIXA Std Book" w:cs="Arial"/>
                <w:color w:val="005CA9"/>
                <w:sz w:val="18"/>
                <w:szCs w:val="18"/>
              </w:rPr>
              <w:t>Outros</w:t>
            </w:r>
          </w:p>
        </w:tc>
        <w:tc>
          <w:tcPr>
            <w:tcW w:w="882" w:type="pct"/>
            <w:tcBorders>
              <w:top w:val="nil"/>
              <w:left w:val="nil"/>
              <w:bottom w:val="nil"/>
              <w:right w:val="nil"/>
            </w:tcBorders>
            <w:shd w:val="clear" w:color="auto" w:fill="auto"/>
            <w:noWrap/>
            <w:vAlign w:val="center"/>
          </w:tcPr>
          <w:p w14:paraId="38C68793" w14:textId="1EC44A63" w:rsidR="00A47C19" w:rsidRPr="00E20D21" w:rsidRDefault="00491866" w:rsidP="005152C4">
            <w:pPr>
              <w:jc w:val="right"/>
              <w:rPr>
                <w:rFonts w:ascii="CAIXA Std Book" w:hAnsi="CAIXA Std Book" w:cs="Arial"/>
                <w:color w:val="005CA9"/>
                <w:sz w:val="18"/>
                <w:szCs w:val="18"/>
              </w:rPr>
            </w:pPr>
            <w:r w:rsidRPr="00E20D21">
              <w:rPr>
                <w:rFonts w:ascii="CAIXA Std Book" w:hAnsi="CAIXA Std Book" w:cs="Arial"/>
                <w:color w:val="005CA9"/>
                <w:sz w:val="18"/>
                <w:szCs w:val="18"/>
              </w:rPr>
              <w:t>354.217</w:t>
            </w:r>
          </w:p>
        </w:tc>
        <w:tc>
          <w:tcPr>
            <w:tcW w:w="882" w:type="pct"/>
            <w:tcBorders>
              <w:top w:val="nil"/>
              <w:left w:val="nil"/>
              <w:bottom w:val="nil"/>
              <w:right w:val="nil"/>
            </w:tcBorders>
            <w:shd w:val="clear" w:color="auto" w:fill="auto"/>
            <w:noWrap/>
            <w:vAlign w:val="center"/>
          </w:tcPr>
          <w:p w14:paraId="334BDF82" w14:textId="565F3B40" w:rsidR="00A47C19" w:rsidRPr="00E20D21" w:rsidRDefault="00491866" w:rsidP="005152C4">
            <w:pPr>
              <w:jc w:val="right"/>
              <w:rPr>
                <w:rFonts w:ascii="CAIXA Std Book" w:hAnsi="CAIXA Std Book" w:cs="Arial"/>
                <w:color w:val="005CA9"/>
                <w:sz w:val="18"/>
                <w:szCs w:val="18"/>
              </w:rPr>
            </w:pPr>
            <w:r w:rsidRPr="00E20D21">
              <w:rPr>
                <w:rFonts w:ascii="CAIXA Std Book" w:hAnsi="CAIXA Std Book" w:cs="Arial"/>
                <w:color w:val="005CA9"/>
                <w:sz w:val="18"/>
                <w:szCs w:val="18"/>
              </w:rPr>
              <w:t>606.498</w:t>
            </w:r>
          </w:p>
        </w:tc>
      </w:tr>
      <w:tr w:rsidR="00A47C19" w:rsidRPr="00E20D21" w14:paraId="2EAC4BA3" w14:textId="77777777" w:rsidTr="00882FD0">
        <w:trPr>
          <w:trHeight w:val="286"/>
        </w:trPr>
        <w:tc>
          <w:tcPr>
            <w:tcW w:w="3236" w:type="pct"/>
            <w:tcBorders>
              <w:top w:val="single" w:sz="4" w:space="0" w:color="F39200"/>
              <w:left w:val="nil"/>
              <w:bottom w:val="single" w:sz="4" w:space="0" w:color="F39200"/>
              <w:right w:val="nil"/>
            </w:tcBorders>
            <w:shd w:val="clear" w:color="auto" w:fill="auto"/>
            <w:noWrap/>
            <w:vAlign w:val="center"/>
            <w:hideMark/>
          </w:tcPr>
          <w:p w14:paraId="2D9C101C" w14:textId="77777777" w:rsidR="00A47C19" w:rsidRPr="00E20D21" w:rsidRDefault="00A47C19" w:rsidP="00F5720D">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82" w:type="pct"/>
            <w:tcBorders>
              <w:top w:val="single" w:sz="4" w:space="0" w:color="F39200"/>
              <w:left w:val="nil"/>
              <w:bottom w:val="single" w:sz="4" w:space="0" w:color="F39200"/>
              <w:right w:val="nil"/>
            </w:tcBorders>
            <w:shd w:val="clear" w:color="auto" w:fill="auto"/>
            <w:vAlign w:val="center"/>
          </w:tcPr>
          <w:p w14:paraId="5722BE43" w14:textId="465460C5" w:rsidR="00A47C19" w:rsidRPr="00E20D21" w:rsidRDefault="00820892" w:rsidP="00574BE8">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37.139.811</w:t>
            </w:r>
          </w:p>
        </w:tc>
        <w:tc>
          <w:tcPr>
            <w:tcW w:w="882" w:type="pct"/>
            <w:tcBorders>
              <w:top w:val="single" w:sz="4" w:space="0" w:color="F39200"/>
              <w:left w:val="nil"/>
              <w:bottom w:val="single" w:sz="4" w:space="0" w:color="F39200"/>
              <w:right w:val="nil"/>
            </w:tcBorders>
            <w:shd w:val="clear" w:color="auto" w:fill="auto"/>
            <w:vAlign w:val="center"/>
            <w:hideMark/>
          </w:tcPr>
          <w:p w14:paraId="6AEA041A" w14:textId="7E964B7E" w:rsidR="00A47C19" w:rsidRPr="00E20D21" w:rsidRDefault="00A47C19" w:rsidP="00574BE8">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31.373.499</w:t>
            </w:r>
          </w:p>
        </w:tc>
      </w:tr>
    </w:tbl>
    <w:p w14:paraId="3F141469" w14:textId="70DD77B9" w:rsidR="00690EA8" w:rsidRPr="00E20D21" w:rsidRDefault="00690EA8" w:rsidP="00690EA8">
      <w:pPr>
        <w:keepNext/>
        <w:jc w:val="both"/>
        <w:rPr>
          <w:rFonts w:ascii="CAIXA Std Book" w:hAnsi="CAIXA Std Book"/>
          <w:color w:val="005CA9"/>
          <w:sz w:val="16"/>
          <w:szCs w:val="16"/>
        </w:rPr>
      </w:pPr>
      <w:r w:rsidRPr="00E20D21">
        <w:rPr>
          <w:rFonts w:ascii="CAIXA Std Book" w:hAnsi="CAIXA Std Book"/>
          <w:color w:val="005CA9"/>
          <w:sz w:val="16"/>
          <w:szCs w:val="16"/>
        </w:rPr>
        <w:t xml:space="preserve">(1) Variação decorrente do aporte de recursos </w:t>
      </w:r>
      <w:r w:rsidR="00C74A78" w:rsidRPr="00E20D21">
        <w:rPr>
          <w:rFonts w:ascii="CAIXA Std Book" w:hAnsi="CAIXA Std Book"/>
          <w:color w:val="005CA9"/>
          <w:sz w:val="16"/>
          <w:szCs w:val="16"/>
        </w:rPr>
        <w:t>a</w:t>
      </w:r>
      <w:r w:rsidRPr="00E20D21">
        <w:rPr>
          <w:rFonts w:ascii="CAIXA Std Book" w:hAnsi="CAIXA Std Book"/>
          <w:color w:val="005CA9"/>
          <w:sz w:val="16"/>
          <w:szCs w:val="16"/>
        </w:rPr>
        <w:t>o Programa Minha Casa Minha Vida.</w:t>
      </w:r>
    </w:p>
    <w:p w14:paraId="7D1052F1" w14:textId="0CC89FAD" w:rsidR="00E3253A" w:rsidRPr="00E20D21" w:rsidRDefault="00E3253A" w:rsidP="00690EA8">
      <w:pPr>
        <w:keepNext/>
        <w:jc w:val="both"/>
        <w:rPr>
          <w:rFonts w:ascii="CAIXA Std Book" w:hAnsi="CAIXA Std Book"/>
          <w:color w:val="005CA9"/>
          <w:sz w:val="16"/>
          <w:szCs w:val="16"/>
        </w:rPr>
      </w:pPr>
      <w:r w:rsidRPr="00E20D21">
        <w:rPr>
          <w:rFonts w:ascii="CAIXA Std Book" w:hAnsi="CAIXA Std Book"/>
          <w:color w:val="005CA9"/>
          <w:sz w:val="16"/>
          <w:szCs w:val="16"/>
        </w:rPr>
        <w:t>(2) Variação decorrente d</w:t>
      </w:r>
      <w:r w:rsidR="00055485" w:rsidRPr="00E20D21">
        <w:rPr>
          <w:rFonts w:ascii="CAIXA Std Book" w:hAnsi="CAIXA Std Book"/>
          <w:color w:val="005CA9"/>
          <w:sz w:val="16"/>
          <w:szCs w:val="16"/>
        </w:rPr>
        <w:t>e</w:t>
      </w:r>
      <w:r w:rsidRPr="00E20D21">
        <w:rPr>
          <w:rFonts w:ascii="CAIXA Std Book" w:hAnsi="CAIXA Std Book"/>
          <w:color w:val="005CA9"/>
          <w:sz w:val="16"/>
          <w:szCs w:val="16"/>
        </w:rPr>
        <w:t xml:space="preserve"> aporte de recursos</w:t>
      </w:r>
      <w:r w:rsidR="003E1A9B" w:rsidRPr="00E20D21">
        <w:rPr>
          <w:rFonts w:ascii="CAIXA Std Book" w:hAnsi="CAIXA Std Book"/>
          <w:color w:val="005CA9"/>
          <w:sz w:val="16"/>
          <w:szCs w:val="16"/>
        </w:rPr>
        <w:t>.</w:t>
      </w:r>
    </w:p>
    <w:p w14:paraId="126B4E0A" w14:textId="71DAD1DB" w:rsidR="00205361" w:rsidRPr="00E20D21" w:rsidRDefault="006D07D6" w:rsidP="00CD0DB0">
      <w:pPr>
        <w:pStyle w:val="PargrafodaLista"/>
        <w:keepNext/>
        <w:numPr>
          <w:ilvl w:val="1"/>
          <w:numId w:val="14"/>
        </w:numPr>
        <w:spacing w:before="480" w:after="240"/>
        <w:contextualSpacing w:val="0"/>
        <w:jc w:val="both"/>
        <w:rPr>
          <w:rFonts w:ascii="CAIXA Std Book" w:hAnsi="CAIXA Std Book"/>
          <w:b/>
          <w:color w:val="005CA9"/>
          <w:sz w:val="20"/>
          <w:szCs w:val="20"/>
        </w:rPr>
      </w:pPr>
      <w:r w:rsidRPr="00E20D21">
        <w:rPr>
          <w:rFonts w:ascii="CAIXA Std Book" w:hAnsi="CAIXA Std Book"/>
          <w:b/>
          <w:color w:val="005CA9"/>
          <w:sz w:val="20"/>
          <w:szCs w:val="20"/>
        </w:rPr>
        <w:t>Despesas com recursos de clientes</w:t>
      </w:r>
    </w:p>
    <w:tbl>
      <w:tblPr>
        <w:tblW w:w="5000" w:type="pct"/>
        <w:tblCellMar>
          <w:left w:w="70" w:type="dxa"/>
          <w:right w:w="70" w:type="dxa"/>
        </w:tblCellMar>
        <w:tblLook w:val="04A0" w:firstRow="1" w:lastRow="0" w:firstColumn="1" w:lastColumn="0" w:noHBand="0" w:noVBand="1"/>
      </w:tblPr>
      <w:tblGrid>
        <w:gridCol w:w="3887"/>
        <w:gridCol w:w="1438"/>
        <w:gridCol w:w="1438"/>
        <w:gridCol w:w="1438"/>
        <w:gridCol w:w="1436"/>
      </w:tblGrid>
      <w:tr w:rsidR="00D40295" w:rsidRPr="00E20D21" w14:paraId="3DF6A6D4" w14:textId="77777777" w:rsidTr="00882FD0">
        <w:trPr>
          <w:trHeight w:val="283"/>
        </w:trPr>
        <w:tc>
          <w:tcPr>
            <w:tcW w:w="2017" w:type="pct"/>
            <w:vMerge w:val="restart"/>
            <w:tcBorders>
              <w:top w:val="single" w:sz="4" w:space="0" w:color="F39200"/>
              <w:left w:val="nil"/>
              <w:right w:val="nil"/>
            </w:tcBorders>
            <w:shd w:val="clear" w:color="auto" w:fill="auto"/>
            <w:vAlign w:val="center"/>
            <w:hideMark/>
          </w:tcPr>
          <w:p w14:paraId="11C01A18" w14:textId="77777777" w:rsidR="00D40295" w:rsidRPr="00E20D21" w:rsidRDefault="00D4029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492" w:type="pct"/>
            <w:gridSpan w:val="2"/>
            <w:tcBorders>
              <w:top w:val="single" w:sz="4" w:space="0" w:color="F39200"/>
              <w:left w:val="nil"/>
              <w:bottom w:val="single" w:sz="4" w:space="0" w:color="F39200"/>
              <w:right w:val="nil"/>
            </w:tcBorders>
            <w:shd w:val="clear" w:color="auto" w:fill="auto"/>
            <w:vAlign w:val="center"/>
            <w:hideMark/>
          </w:tcPr>
          <w:p w14:paraId="11B5D247" w14:textId="77777777" w:rsidR="00D40295" w:rsidRPr="00E20D21" w:rsidRDefault="00D4029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491" w:type="pct"/>
            <w:gridSpan w:val="2"/>
            <w:tcBorders>
              <w:top w:val="single" w:sz="4" w:space="0" w:color="F39200"/>
              <w:left w:val="nil"/>
              <w:bottom w:val="single" w:sz="4" w:space="0" w:color="F39200"/>
              <w:right w:val="nil"/>
            </w:tcBorders>
            <w:shd w:val="clear" w:color="auto" w:fill="auto"/>
            <w:vAlign w:val="center"/>
            <w:hideMark/>
          </w:tcPr>
          <w:p w14:paraId="0750B32E" w14:textId="77777777" w:rsidR="00D40295" w:rsidRPr="00E20D21" w:rsidRDefault="00D4029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CE0E2E" w:rsidRPr="00E20D21" w14:paraId="18770390" w14:textId="77777777" w:rsidTr="00882FD0">
        <w:trPr>
          <w:trHeight w:val="283"/>
        </w:trPr>
        <w:tc>
          <w:tcPr>
            <w:tcW w:w="2017" w:type="pct"/>
            <w:vMerge/>
            <w:tcBorders>
              <w:left w:val="nil"/>
              <w:right w:val="nil"/>
            </w:tcBorders>
            <w:shd w:val="clear" w:color="auto" w:fill="auto"/>
            <w:vAlign w:val="center"/>
            <w:hideMark/>
          </w:tcPr>
          <w:p w14:paraId="3A6AF8EB" w14:textId="77777777" w:rsidR="00CE0E2E" w:rsidRPr="00E20D21" w:rsidRDefault="00CE0E2E" w:rsidP="00CE0E2E">
            <w:pPr>
              <w:jc w:val="center"/>
              <w:rPr>
                <w:rFonts w:ascii="CAIXA Std Book" w:eastAsia="Times New Roman" w:hAnsi="CAIXA Std Book" w:cs="Arial"/>
                <w:b/>
                <w:bCs/>
                <w:color w:val="005CA9"/>
                <w:sz w:val="18"/>
                <w:szCs w:val="18"/>
              </w:rPr>
            </w:pPr>
          </w:p>
        </w:tc>
        <w:tc>
          <w:tcPr>
            <w:tcW w:w="746" w:type="pct"/>
            <w:tcBorders>
              <w:top w:val="nil"/>
              <w:left w:val="nil"/>
              <w:bottom w:val="single" w:sz="4" w:space="0" w:color="F39200"/>
              <w:right w:val="nil"/>
            </w:tcBorders>
            <w:shd w:val="clear" w:color="auto" w:fill="auto"/>
            <w:vAlign w:val="center"/>
            <w:hideMark/>
          </w:tcPr>
          <w:p w14:paraId="34DC2A69" w14:textId="52A19F2B"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46" w:type="pct"/>
            <w:tcBorders>
              <w:top w:val="nil"/>
              <w:left w:val="nil"/>
              <w:bottom w:val="single" w:sz="4" w:space="0" w:color="F39200"/>
              <w:right w:val="nil"/>
            </w:tcBorders>
            <w:shd w:val="clear" w:color="auto" w:fill="auto"/>
            <w:vAlign w:val="center"/>
            <w:hideMark/>
          </w:tcPr>
          <w:p w14:paraId="7D53CC37" w14:textId="614076AB"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746" w:type="pct"/>
            <w:tcBorders>
              <w:top w:val="nil"/>
              <w:left w:val="nil"/>
              <w:bottom w:val="single" w:sz="4" w:space="0" w:color="F39200"/>
              <w:right w:val="nil"/>
            </w:tcBorders>
            <w:shd w:val="clear" w:color="auto" w:fill="auto"/>
            <w:vAlign w:val="center"/>
            <w:hideMark/>
          </w:tcPr>
          <w:p w14:paraId="12CE6487" w14:textId="20F928A6"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45" w:type="pct"/>
            <w:tcBorders>
              <w:top w:val="nil"/>
              <w:left w:val="nil"/>
              <w:bottom w:val="single" w:sz="4" w:space="0" w:color="F39200"/>
              <w:right w:val="nil"/>
            </w:tcBorders>
            <w:shd w:val="clear" w:color="auto" w:fill="auto"/>
            <w:vAlign w:val="center"/>
            <w:hideMark/>
          </w:tcPr>
          <w:p w14:paraId="12F33CFA" w14:textId="49D65DAF"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CE0E2E" w:rsidRPr="00E20D21" w14:paraId="5663B101" w14:textId="77777777" w:rsidTr="00882FD0">
        <w:trPr>
          <w:trHeight w:val="283"/>
        </w:trPr>
        <w:tc>
          <w:tcPr>
            <w:tcW w:w="2017" w:type="pct"/>
            <w:vMerge/>
            <w:tcBorders>
              <w:left w:val="nil"/>
              <w:bottom w:val="single" w:sz="4" w:space="0" w:color="F39200"/>
              <w:right w:val="nil"/>
            </w:tcBorders>
            <w:vAlign w:val="center"/>
            <w:hideMark/>
          </w:tcPr>
          <w:p w14:paraId="28D05C64" w14:textId="77777777" w:rsidR="00CE0E2E" w:rsidRPr="00E20D21" w:rsidRDefault="00CE0E2E" w:rsidP="00CE0E2E">
            <w:pPr>
              <w:rPr>
                <w:rFonts w:ascii="CAIXA Std Book" w:eastAsia="Times New Roman" w:hAnsi="CAIXA Std Book" w:cs="Arial"/>
                <w:b/>
                <w:bCs/>
                <w:color w:val="005CA9"/>
                <w:sz w:val="18"/>
                <w:szCs w:val="18"/>
              </w:rPr>
            </w:pPr>
          </w:p>
        </w:tc>
        <w:tc>
          <w:tcPr>
            <w:tcW w:w="746" w:type="pct"/>
            <w:tcBorders>
              <w:top w:val="nil"/>
              <w:left w:val="nil"/>
              <w:bottom w:val="single" w:sz="4" w:space="0" w:color="F39200"/>
              <w:right w:val="nil"/>
            </w:tcBorders>
            <w:shd w:val="clear" w:color="auto" w:fill="auto"/>
            <w:vAlign w:val="center"/>
            <w:hideMark/>
          </w:tcPr>
          <w:p w14:paraId="5C754131" w14:textId="77777777"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46" w:type="pct"/>
            <w:tcBorders>
              <w:top w:val="nil"/>
              <w:left w:val="nil"/>
              <w:bottom w:val="single" w:sz="4" w:space="0" w:color="F39200"/>
              <w:right w:val="nil"/>
            </w:tcBorders>
            <w:shd w:val="clear" w:color="auto" w:fill="auto"/>
            <w:vAlign w:val="center"/>
            <w:hideMark/>
          </w:tcPr>
          <w:p w14:paraId="1952DEFA" w14:textId="2D44DE43"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46" w:type="pct"/>
            <w:tcBorders>
              <w:top w:val="nil"/>
              <w:left w:val="nil"/>
              <w:bottom w:val="single" w:sz="4" w:space="0" w:color="F39200"/>
              <w:right w:val="nil"/>
            </w:tcBorders>
            <w:shd w:val="clear" w:color="auto" w:fill="auto"/>
            <w:vAlign w:val="center"/>
            <w:hideMark/>
          </w:tcPr>
          <w:p w14:paraId="1B40DF0F" w14:textId="77777777"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45" w:type="pct"/>
            <w:tcBorders>
              <w:top w:val="nil"/>
              <w:left w:val="nil"/>
              <w:bottom w:val="single" w:sz="4" w:space="0" w:color="F39200"/>
              <w:right w:val="nil"/>
            </w:tcBorders>
            <w:shd w:val="clear" w:color="auto" w:fill="auto"/>
            <w:vAlign w:val="center"/>
            <w:hideMark/>
          </w:tcPr>
          <w:p w14:paraId="22BA0BCE" w14:textId="6699A357"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587E38" w:rsidRPr="00E20D21" w14:paraId="1F76BA78" w14:textId="77777777" w:rsidTr="00882FD0">
        <w:trPr>
          <w:trHeight w:val="283"/>
        </w:trPr>
        <w:tc>
          <w:tcPr>
            <w:tcW w:w="2017" w:type="pct"/>
            <w:tcBorders>
              <w:top w:val="nil"/>
              <w:left w:val="nil"/>
              <w:bottom w:val="nil"/>
              <w:right w:val="nil"/>
            </w:tcBorders>
            <w:shd w:val="clear" w:color="auto" w:fill="auto"/>
            <w:vAlign w:val="center"/>
            <w:hideMark/>
          </w:tcPr>
          <w:p w14:paraId="498A6507" w14:textId="77777777" w:rsidR="00587E38" w:rsidRPr="00E20D21" w:rsidRDefault="00587E38" w:rsidP="00587E38">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de poupança</w:t>
            </w:r>
          </w:p>
        </w:tc>
        <w:tc>
          <w:tcPr>
            <w:tcW w:w="746" w:type="pct"/>
            <w:tcBorders>
              <w:top w:val="nil"/>
              <w:left w:val="nil"/>
              <w:bottom w:val="nil"/>
              <w:right w:val="nil"/>
            </w:tcBorders>
            <w:shd w:val="clear" w:color="auto" w:fill="auto"/>
            <w:noWrap/>
            <w:vAlign w:val="center"/>
          </w:tcPr>
          <w:p w14:paraId="5D52AC6F" w14:textId="7A4CAF11"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(11.383.949)</w:t>
            </w:r>
          </w:p>
        </w:tc>
        <w:tc>
          <w:tcPr>
            <w:tcW w:w="746" w:type="pct"/>
            <w:tcBorders>
              <w:top w:val="nil"/>
              <w:left w:val="nil"/>
              <w:bottom w:val="nil"/>
              <w:right w:val="nil"/>
            </w:tcBorders>
            <w:shd w:val="clear" w:color="auto" w:fill="auto"/>
            <w:noWrap/>
            <w:vAlign w:val="center"/>
            <w:hideMark/>
          </w:tcPr>
          <w:p w14:paraId="47AE17EF" w14:textId="5C602D74"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(13.220.536)</w:t>
            </w:r>
          </w:p>
        </w:tc>
        <w:tc>
          <w:tcPr>
            <w:tcW w:w="746" w:type="pct"/>
            <w:tcBorders>
              <w:top w:val="nil"/>
              <w:left w:val="nil"/>
              <w:bottom w:val="nil"/>
              <w:right w:val="nil"/>
            </w:tcBorders>
            <w:shd w:val="clear" w:color="auto" w:fill="auto"/>
            <w:noWrap/>
            <w:vAlign w:val="center"/>
          </w:tcPr>
          <w:p w14:paraId="7CD8FE18" w14:textId="7BFD7093"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(11.383.949)</w:t>
            </w:r>
          </w:p>
        </w:tc>
        <w:tc>
          <w:tcPr>
            <w:tcW w:w="745" w:type="pct"/>
            <w:tcBorders>
              <w:top w:val="nil"/>
              <w:left w:val="nil"/>
              <w:bottom w:val="nil"/>
              <w:right w:val="nil"/>
            </w:tcBorders>
            <w:shd w:val="clear" w:color="auto" w:fill="auto"/>
            <w:noWrap/>
            <w:vAlign w:val="center"/>
            <w:hideMark/>
          </w:tcPr>
          <w:p w14:paraId="2B98C97E" w14:textId="646036E3" w:rsidR="00587E38" w:rsidRPr="00E20D21" w:rsidRDefault="00587E38" w:rsidP="00587E38">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(13.220.536)</w:t>
            </w:r>
          </w:p>
        </w:tc>
      </w:tr>
      <w:tr w:rsidR="00587E38" w:rsidRPr="00E20D21" w14:paraId="7BD6DAE9" w14:textId="77777777" w:rsidTr="00882FD0">
        <w:trPr>
          <w:trHeight w:val="283"/>
        </w:trPr>
        <w:tc>
          <w:tcPr>
            <w:tcW w:w="2017" w:type="pct"/>
            <w:tcBorders>
              <w:top w:val="nil"/>
              <w:left w:val="nil"/>
              <w:bottom w:val="nil"/>
              <w:right w:val="nil"/>
            </w:tcBorders>
            <w:shd w:val="clear" w:color="auto" w:fill="auto"/>
            <w:vAlign w:val="center"/>
            <w:hideMark/>
          </w:tcPr>
          <w:p w14:paraId="28DC6350" w14:textId="77777777" w:rsidR="00587E38" w:rsidRPr="00E20D21" w:rsidRDefault="00587E38" w:rsidP="00587E38">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a prazo CDB/RDB</w:t>
            </w:r>
          </w:p>
        </w:tc>
        <w:tc>
          <w:tcPr>
            <w:tcW w:w="746" w:type="pct"/>
            <w:tcBorders>
              <w:top w:val="nil"/>
              <w:left w:val="nil"/>
              <w:bottom w:val="nil"/>
              <w:right w:val="nil"/>
            </w:tcBorders>
            <w:shd w:val="clear" w:color="auto" w:fill="auto"/>
            <w:noWrap/>
            <w:vAlign w:val="center"/>
          </w:tcPr>
          <w:p w14:paraId="29DAC61C" w14:textId="6AE52512"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(7.001.580)</w:t>
            </w:r>
          </w:p>
        </w:tc>
        <w:tc>
          <w:tcPr>
            <w:tcW w:w="746" w:type="pct"/>
            <w:tcBorders>
              <w:top w:val="nil"/>
              <w:left w:val="nil"/>
              <w:bottom w:val="nil"/>
              <w:right w:val="nil"/>
            </w:tcBorders>
            <w:shd w:val="clear" w:color="auto" w:fill="auto"/>
            <w:noWrap/>
            <w:vAlign w:val="center"/>
            <w:hideMark/>
          </w:tcPr>
          <w:p w14:paraId="48EEF60A" w14:textId="0F80BDC7"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(5.606.155)</w:t>
            </w:r>
          </w:p>
        </w:tc>
        <w:tc>
          <w:tcPr>
            <w:tcW w:w="746" w:type="pct"/>
            <w:tcBorders>
              <w:top w:val="nil"/>
              <w:left w:val="nil"/>
              <w:bottom w:val="nil"/>
              <w:right w:val="nil"/>
            </w:tcBorders>
            <w:shd w:val="clear" w:color="auto" w:fill="auto"/>
            <w:noWrap/>
            <w:vAlign w:val="center"/>
          </w:tcPr>
          <w:p w14:paraId="1261BD9E" w14:textId="44D4C252"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(7.001.580)</w:t>
            </w:r>
          </w:p>
        </w:tc>
        <w:tc>
          <w:tcPr>
            <w:tcW w:w="745" w:type="pct"/>
            <w:tcBorders>
              <w:top w:val="nil"/>
              <w:left w:val="nil"/>
              <w:bottom w:val="nil"/>
              <w:right w:val="nil"/>
            </w:tcBorders>
            <w:shd w:val="clear" w:color="auto" w:fill="auto"/>
            <w:noWrap/>
            <w:vAlign w:val="center"/>
            <w:hideMark/>
          </w:tcPr>
          <w:p w14:paraId="4AB42406" w14:textId="126A2347" w:rsidR="00587E38" w:rsidRPr="00E20D21" w:rsidRDefault="00587E38" w:rsidP="00587E38">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(5.592.603)</w:t>
            </w:r>
          </w:p>
        </w:tc>
      </w:tr>
      <w:tr w:rsidR="00587E38" w:rsidRPr="00E20D21" w14:paraId="3EADD9E3" w14:textId="77777777" w:rsidTr="00882FD0">
        <w:trPr>
          <w:trHeight w:val="283"/>
        </w:trPr>
        <w:tc>
          <w:tcPr>
            <w:tcW w:w="2017" w:type="pct"/>
            <w:tcBorders>
              <w:top w:val="nil"/>
              <w:left w:val="nil"/>
              <w:bottom w:val="nil"/>
              <w:right w:val="nil"/>
            </w:tcBorders>
            <w:shd w:val="clear" w:color="auto" w:fill="auto"/>
            <w:vAlign w:val="center"/>
            <w:hideMark/>
          </w:tcPr>
          <w:p w14:paraId="7C990996" w14:textId="77777777" w:rsidR="00587E38" w:rsidRPr="00E20D21" w:rsidRDefault="00587E38" w:rsidP="00587E38">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judiciais</w:t>
            </w:r>
          </w:p>
        </w:tc>
        <w:tc>
          <w:tcPr>
            <w:tcW w:w="746" w:type="pct"/>
            <w:tcBorders>
              <w:top w:val="nil"/>
              <w:left w:val="nil"/>
              <w:bottom w:val="nil"/>
              <w:right w:val="nil"/>
            </w:tcBorders>
            <w:shd w:val="clear" w:color="auto" w:fill="auto"/>
            <w:noWrap/>
            <w:vAlign w:val="center"/>
          </w:tcPr>
          <w:p w14:paraId="1611C3E5" w14:textId="73CC1427"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(4.413.606)</w:t>
            </w:r>
          </w:p>
        </w:tc>
        <w:tc>
          <w:tcPr>
            <w:tcW w:w="746" w:type="pct"/>
            <w:tcBorders>
              <w:top w:val="nil"/>
              <w:left w:val="nil"/>
              <w:bottom w:val="nil"/>
              <w:right w:val="nil"/>
            </w:tcBorders>
            <w:shd w:val="clear" w:color="auto" w:fill="auto"/>
            <w:noWrap/>
            <w:vAlign w:val="center"/>
            <w:hideMark/>
          </w:tcPr>
          <w:p w14:paraId="4294DA2B" w14:textId="06BB2D6E"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(4.338.134)</w:t>
            </w:r>
          </w:p>
        </w:tc>
        <w:tc>
          <w:tcPr>
            <w:tcW w:w="746" w:type="pct"/>
            <w:tcBorders>
              <w:top w:val="nil"/>
              <w:left w:val="nil"/>
              <w:bottom w:val="nil"/>
              <w:right w:val="nil"/>
            </w:tcBorders>
            <w:shd w:val="clear" w:color="auto" w:fill="auto"/>
            <w:noWrap/>
            <w:vAlign w:val="center"/>
          </w:tcPr>
          <w:p w14:paraId="63828361" w14:textId="312F94A3"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(4.413.606)</w:t>
            </w:r>
          </w:p>
        </w:tc>
        <w:tc>
          <w:tcPr>
            <w:tcW w:w="745" w:type="pct"/>
            <w:tcBorders>
              <w:top w:val="nil"/>
              <w:left w:val="nil"/>
              <w:bottom w:val="nil"/>
              <w:right w:val="nil"/>
            </w:tcBorders>
            <w:shd w:val="clear" w:color="auto" w:fill="auto"/>
            <w:noWrap/>
            <w:vAlign w:val="center"/>
            <w:hideMark/>
          </w:tcPr>
          <w:p w14:paraId="20F6FF53" w14:textId="581299F4" w:rsidR="00587E38" w:rsidRPr="00E20D21" w:rsidRDefault="00587E38" w:rsidP="00587E38">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(4.338.134)</w:t>
            </w:r>
          </w:p>
        </w:tc>
      </w:tr>
      <w:tr w:rsidR="00587E38" w:rsidRPr="00E20D21" w14:paraId="09A825AB" w14:textId="77777777" w:rsidTr="00882FD0">
        <w:trPr>
          <w:trHeight w:val="283"/>
        </w:trPr>
        <w:tc>
          <w:tcPr>
            <w:tcW w:w="2017" w:type="pct"/>
            <w:tcBorders>
              <w:top w:val="nil"/>
              <w:left w:val="nil"/>
              <w:bottom w:val="nil"/>
              <w:right w:val="nil"/>
            </w:tcBorders>
            <w:shd w:val="clear" w:color="auto" w:fill="auto"/>
            <w:vAlign w:val="center"/>
            <w:hideMark/>
          </w:tcPr>
          <w:p w14:paraId="2E8C9EED" w14:textId="77777777" w:rsidR="00587E38" w:rsidRPr="00E20D21" w:rsidRDefault="00587E38" w:rsidP="00587E38">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especiais e de fundos e programas</w:t>
            </w:r>
          </w:p>
        </w:tc>
        <w:tc>
          <w:tcPr>
            <w:tcW w:w="746" w:type="pct"/>
            <w:tcBorders>
              <w:top w:val="nil"/>
              <w:left w:val="nil"/>
              <w:bottom w:val="nil"/>
              <w:right w:val="nil"/>
            </w:tcBorders>
            <w:shd w:val="clear" w:color="auto" w:fill="auto"/>
            <w:noWrap/>
            <w:vAlign w:val="center"/>
          </w:tcPr>
          <w:p w14:paraId="63B9AC2F" w14:textId="772E1CAB"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(1.736.737)</w:t>
            </w:r>
          </w:p>
        </w:tc>
        <w:tc>
          <w:tcPr>
            <w:tcW w:w="746" w:type="pct"/>
            <w:tcBorders>
              <w:top w:val="nil"/>
              <w:left w:val="nil"/>
              <w:bottom w:val="nil"/>
              <w:right w:val="nil"/>
            </w:tcBorders>
            <w:shd w:val="clear" w:color="auto" w:fill="auto"/>
            <w:noWrap/>
            <w:vAlign w:val="center"/>
            <w:hideMark/>
          </w:tcPr>
          <w:p w14:paraId="650F68DB" w14:textId="535D1F54"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(1.160.835)</w:t>
            </w:r>
          </w:p>
        </w:tc>
        <w:tc>
          <w:tcPr>
            <w:tcW w:w="746" w:type="pct"/>
            <w:tcBorders>
              <w:top w:val="nil"/>
              <w:left w:val="nil"/>
              <w:bottom w:val="nil"/>
              <w:right w:val="nil"/>
            </w:tcBorders>
            <w:shd w:val="clear" w:color="auto" w:fill="auto"/>
            <w:noWrap/>
            <w:vAlign w:val="center"/>
          </w:tcPr>
          <w:p w14:paraId="1B3674F9" w14:textId="09660AAF"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(1.736.737)</w:t>
            </w:r>
          </w:p>
        </w:tc>
        <w:tc>
          <w:tcPr>
            <w:tcW w:w="745" w:type="pct"/>
            <w:tcBorders>
              <w:top w:val="nil"/>
              <w:left w:val="nil"/>
              <w:bottom w:val="nil"/>
              <w:right w:val="nil"/>
            </w:tcBorders>
            <w:shd w:val="clear" w:color="auto" w:fill="auto"/>
            <w:noWrap/>
            <w:vAlign w:val="center"/>
            <w:hideMark/>
          </w:tcPr>
          <w:p w14:paraId="13323F04" w14:textId="5A720273" w:rsidR="00587E38" w:rsidRPr="00E20D21" w:rsidRDefault="00587E38" w:rsidP="00587E38">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(1.160.835)</w:t>
            </w:r>
          </w:p>
        </w:tc>
      </w:tr>
      <w:tr w:rsidR="00587E38" w:rsidRPr="00E20D21" w14:paraId="6302AB37" w14:textId="77777777" w:rsidTr="00882FD0">
        <w:trPr>
          <w:trHeight w:val="283"/>
        </w:trPr>
        <w:tc>
          <w:tcPr>
            <w:tcW w:w="2017" w:type="pct"/>
            <w:tcBorders>
              <w:top w:val="nil"/>
              <w:left w:val="nil"/>
              <w:bottom w:val="single" w:sz="4" w:space="0" w:color="F39200"/>
              <w:right w:val="nil"/>
            </w:tcBorders>
            <w:shd w:val="clear" w:color="auto" w:fill="auto"/>
            <w:vAlign w:val="center"/>
            <w:hideMark/>
          </w:tcPr>
          <w:p w14:paraId="12B9C0DA" w14:textId="77777777" w:rsidR="00587E38" w:rsidRPr="00E20D21" w:rsidRDefault="00587E38" w:rsidP="00587E38">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Outras captações</w:t>
            </w:r>
          </w:p>
        </w:tc>
        <w:tc>
          <w:tcPr>
            <w:tcW w:w="746" w:type="pct"/>
            <w:tcBorders>
              <w:top w:val="nil"/>
              <w:left w:val="nil"/>
              <w:bottom w:val="nil"/>
              <w:right w:val="nil"/>
            </w:tcBorders>
            <w:shd w:val="clear" w:color="auto" w:fill="auto"/>
            <w:noWrap/>
            <w:vAlign w:val="center"/>
          </w:tcPr>
          <w:p w14:paraId="7B2839B8" w14:textId="3F0EB9BE"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(428.281)</w:t>
            </w:r>
          </w:p>
        </w:tc>
        <w:tc>
          <w:tcPr>
            <w:tcW w:w="746" w:type="pct"/>
            <w:tcBorders>
              <w:top w:val="nil"/>
              <w:left w:val="nil"/>
              <w:bottom w:val="nil"/>
              <w:right w:val="nil"/>
            </w:tcBorders>
            <w:shd w:val="clear" w:color="auto" w:fill="auto"/>
            <w:noWrap/>
            <w:vAlign w:val="center"/>
            <w:hideMark/>
          </w:tcPr>
          <w:p w14:paraId="513B2F78" w14:textId="0F43385F"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(343.200)</w:t>
            </w:r>
          </w:p>
        </w:tc>
        <w:tc>
          <w:tcPr>
            <w:tcW w:w="746" w:type="pct"/>
            <w:tcBorders>
              <w:top w:val="nil"/>
              <w:left w:val="nil"/>
              <w:bottom w:val="nil"/>
              <w:right w:val="nil"/>
            </w:tcBorders>
            <w:shd w:val="clear" w:color="auto" w:fill="auto"/>
            <w:noWrap/>
            <w:vAlign w:val="center"/>
          </w:tcPr>
          <w:p w14:paraId="6698F086" w14:textId="2AB48A68" w:rsidR="00587E38" w:rsidRPr="00E20D21" w:rsidRDefault="00587E38" w:rsidP="00587E38">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(428.281)</w:t>
            </w:r>
          </w:p>
        </w:tc>
        <w:tc>
          <w:tcPr>
            <w:tcW w:w="745" w:type="pct"/>
            <w:tcBorders>
              <w:top w:val="nil"/>
              <w:left w:val="nil"/>
              <w:bottom w:val="nil"/>
              <w:right w:val="nil"/>
            </w:tcBorders>
            <w:shd w:val="clear" w:color="auto" w:fill="auto"/>
            <w:noWrap/>
            <w:vAlign w:val="center"/>
            <w:hideMark/>
          </w:tcPr>
          <w:p w14:paraId="14502E08" w14:textId="1A89826D" w:rsidR="00587E38" w:rsidRPr="00E20D21" w:rsidRDefault="00587E38" w:rsidP="00587E38">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(343.200)</w:t>
            </w:r>
          </w:p>
        </w:tc>
      </w:tr>
      <w:tr w:rsidR="00587E38" w:rsidRPr="00E20D21" w14:paraId="0266DC9B" w14:textId="77777777" w:rsidTr="00882FD0">
        <w:trPr>
          <w:trHeight w:val="283"/>
        </w:trPr>
        <w:tc>
          <w:tcPr>
            <w:tcW w:w="2017" w:type="pct"/>
            <w:tcBorders>
              <w:top w:val="nil"/>
              <w:left w:val="nil"/>
              <w:bottom w:val="single" w:sz="4" w:space="0" w:color="F39200"/>
              <w:right w:val="nil"/>
            </w:tcBorders>
            <w:shd w:val="clear" w:color="auto" w:fill="auto"/>
            <w:noWrap/>
            <w:vAlign w:val="center"/>
            <w:hideMark/>
          </w:tcPr>
          <w:p w14:paraId="786F53AA" w14:textId="77777777" w:rsidR="00587E38" w:rsidRPr="00E20D21" w:rsidRDefault="00587E38" w:rsidP="00587E38">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46" w:type="pct"/>
            <w:tcBorders>
              <w:top w:val="single" w:sz="4" w:space="0" w:color="F39200"/>
              <w:left w:val="nil"/>
              <w:bottom w:val="single" w:sz="4" w:space="0" w:color="F39200"/>
              <w:right w:val="nil"/>
            </w:tcBorders>
            <w:shd w:val="clear" w:color="auto" w:fill="auto"/>
            <w:noWrap/>
            <w:vAlign w:val="center"/>
          </w:tcPr>
          <w:p w14:paraId="61E9962B" w14:textId="32F87DF9" w:rsidR="00587E38" w:rsidRPr="00E20D21" w:rsidRDefault="00587E38" w:rsidP="00587E38">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(24.964.153)</w:t>
            </w:r>
          </w:p>
        </w:tc>
        <w:tc>
          <w:tcPr>
            <w:tcW w:w="746" w:type="pct"/>
            <w:tcBorders>
              <w:top w:val="single" w:sz="4" w:space="0" w:color="F39200"/>
              <w:left w:val="nil"/>
              <w:bottom w:val="single" w:sz="4" w:space="0" w:color="F39200"/>
              <w:right w:val="nil"/>
            </w:tcBorders>
            <w:shd w:val="clear" w:color="auto" w:fill="auto"/>
            <w:noWrap/>
            <w:vAlign w:val="center"/>
            <w:hideMark/>
          </w:tcPr>
          <w:p w14:paraId="5932E1BC" w14:textId="58B3F9A6" w:rsidR="00587E38" w:rsidRPr="00E20D21" w:rsidRDefault="00587E38" w:rsidP="00587E38">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(24.668.860)</w:t>
            </w:r>
          </w:p>
        </w:tc>
        <w:tc>
          <w:tcPr>
            <w:tcW w:w="746" w:type="pct"/>
            <w:tcBorders>
              <w:top w:val="single" w:sz="4" w:space="0" w:color="F39200"/>
              <w:left w:val="nil"/>
              <w:bottom w:val="single" w:sz="4" w:space="0" w:color="F39200"/>
              <w:right w:val="nil"/>
            </w:tcBorders>
            <w:shd w:val="clear" w:color="auto" w:fill="auto"/>
            <w:noWrap/>
            <w:vAlign w:val="center"/>
          </w:tcPr>
          <w:p w14:paraId="100ADBA4" w14:textId="6B2E7F69" w:rsidR="00587E38" w:rsidRPr="00E20D21" w:rsidRDefault="00587E38" w:rsidP="00587E38">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(24.964.153)</w:t>
            </w:r>
          </w:p>
        </w:tc>
        <w:tc>
          <w:tcPr>
            <w:tcW w:w="745" w:type="pct"/>
            <w:tcBorders>
              <w:top w:val="single" w:sz="4" w:space="0" w:color="F39200"/>
              <w:left w:val="nil"/>
              <w:bottom w:val="single" w:sz="4" w:space="0" w:color="F39200"/>
              <w:right w:val="nil"/>
            </w:tcBorders>
            <w:shd w:val="clear" w:color="auto" w:fill="auto"/>
            <w:noWrap/>
            <w:vAlign w:val="center"/>
            <w:hideMark/>
          </w:tcPr>
          <w:p w14:paraId="0B98DD1A" w14:textId="1CD4A239" w:rsidR="00587E38" w:rsidRPr="00E20D21" w:rsidRDefault="00587E38" w:rsidP="00587E38">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(24.655.308)</w:t>
            </w:r>
          </w:p>
        </w:tc>
      </w:tr>
    </w:tbl>
    <w:p w14:paraId="2B7C7FA2" w14:textId="77777777" w:rsidR="009C5E5C" w:rsidRPr="00E20D21" w:rsidRDefault="009C5E5C" w:rsidP="000A3882">
      <w:pPr>
        <w:keepNext/>
        <w:spacing w:after="240"/>
        <w:jc w:val="both"/>
        <w:rPr>
          <w:rFonts w:ascii="CAIXA Std Book" w:hAnsi="CAIXA Std Book"/>
          <w:b/>
          <w:color w:val="005CA9"/>
          <w:sz w:val="20"/>
          <w:szCs w:val="20"/>
        </w:rPr>
      </w:pPr>
    </w:p>
    <w:p w14:paraId="098AADE9" w14:textId="48BD9150" w:rsidR="00045322" w:rsidRPr="00E20D21" w:rsidRDefault="00045322" w:rsidP="001D3E40">
      <w:pPr>
        <w:keepNext/>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br w:type="page"/>
      </w:r>
    </w:p>
    <w:p w14:paraId="7F416ECD" w14:textId="3E8EDB95" w:rsidR="005F50B0" w:rsidRPr="00E20D21" w:rsidRDefault="006D07D6" w:rsidP="006D07D6">
      <w:pPr>
        <w:pStyle w:val="PargrafodaLista"/>
        <w:keepNext/>
        <w:numPr>
          <w:ilvl w:val="1"/>
          <w:numId w:val="14"/>
        </w:numPr>
        <w:spacing w:before="480" w:after="240"/>
        <w:contextualSpacing w:val="0"/>
        <w:jc w:val="both"/>
        <w:rPr>
          <w:rFonts w:ascii="CAIXA Std Book" w:hAnsi="CAIXA Std Book"/>
          <w:b/>
          <w:color w:val="005CA9"/>
          <w:sz w:val="20"/>
          <w:szCs w:val="20"/>
        </w:rPr>
      </w:pPr>
      <w:r w:rsidRPr="00E20D21">
        <w:rPr>
          <w:rFonts w:ascii="CAIXA Std Book" w:hAnsi="CAIXA Std Book"/>
          <w:b/>
          <w:color w:val="005CA9"/>
          <w:sz w:val="20"/>
          <w:szCs w:val="20"/>
        </w:rPr>
        <w:lastRenderedPageBreak/>
        <w:t>Despesas com depósitos especiais e de fundos e programas</w:t>
      </w:r>
    </w:p>
    <w:tbl>
      <w:tblPr>
        <w:tblW w:w="5000" w:type="pct"/>
        <w:tblCellMar>
          <w:left w:w="70" w:type="dxa"/>
          <w:right w:w="70" w:type="dxa"/>
        </w:tblCellMar>
        <w:tblLook w:val="04A0" w:firstRow="1" w:lastRow="0" w:firstColumn="1" w:lastColumn="0" w:noHBand="0" w:noVBand="1"/>
      </w:tblPr>
      <w:tblGrid>
        <w:gridCol w:w="6237"/>
        <w:gridCol w:w="1702"/>
        <w:gridCol w:w="1698"/>
      </w:tblGrid>
      <w:tr w:rsidR="00CE0E2E" w:rsidRPr="00E20D21" w14:paraId="48E92943" w14:textId="77777777" w:rsidTr="00882FD0">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3A64D26B" w14:textId="550B4727" w:rsidR="00CE0E2E" w:rsidRPr="00E20D21" w:rsidRDefault="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CONSOLIDADO</w:t>
            </w:r>
          </w:p>
        </w:tc>
      </w:tr>
      <w:tr w:rsidR="00CE0E2E" w:rsidRPr="00E20D21" w14:paraId="4888564F" w14:textId="77777777" w:rsidTr="005152C4">
        <w:trPr>
          <w:trHeight w:val="283"/>
        </w:trPr>
        <w:tc>
          <w:tcPr>
            <w:tcW w:w="3236" w:type="pct"/>
            <w:vMerge w:val="restart"/>
            <w:tcBorders>
              <w:top w:val="single" w:sz="4" w:space="0" w:color="F79646"/>
              <w:left w:val="nil"/>
              <w:bottom w:val="single" w:sz="4" w:space="0" w:color="F79646"/>
              <w:right w:val="nil"/>
            </w:tcBorders>
            <w:shd w:val="clear" w:color="auto" w:fill="auto"/>
            <w:vAlign w:val="center"/>
            <w:hideMark/>
          </w:tcPr>
          <w:p w14:paraId="33E0D9BD" w14:textId="77777777"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883" w:type="pct"/>
            <w:tcBorders>
              <w:top w:val="nil"/>
              <w:left w:val="nil"/>
              <w:bottom w:val="single" w:sz="4" w:space="0" w:color="F39200"/>
              <w:right w:val="nil"/>
            </w:tcBorders>
            <w:shd w:val="clear" w:color="auto" w:fill="auto"/>
            <w:vAlign w:val="center"/>
            <w:hideMark/>
          </w:tcPr>
          <w:p w14:paraId="540DFECD" w14:textId="34B44F0D"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881" w:type="pct"/>
            <w:tcBorders>
              <w:top w:val="nil"/>
              <w:left w:val="nil"/>
              <w:bottom w:val="single" w:sz="4" w:space="0" w:color="F39200"/>
              <w:right w:val="nil"/>
            </w:tcBorders>
            <w:shd w:val="clear" w:color="auto" w:fill="auto"/>
            <w:vAlign w:val="center"/>
            <w:hideMark/>
          </w:tcPr>
          <w:p w14:paraId="37F4E1D4" w14:textId="35E2FD96"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CE0E2E" w:rsidRPr="00E20D21" w14:paraId="3AFE2830" w14:textId="77777777" w:rsidTr="005152C4">
        <w:trPr>
          <w:trHeight w:val="283"/>
        </w:trPr>
        <w:tc>
          <w:tcPr>
            <w:tcW w:w="3236" w:type="pct"/>
            <w:vMerge/>
            <w:tcBorders>
              <w:top w:val="single" w:sz="4" w:space="0" w:color="F79646"/>
              <w:left w:val="nil"/>
              <w:bottom w:val="single" w:sz="4" w:space="0" w:color="F79646"/>
              <w:right w:val="nil"/>
            </w:tcBorders>
            <w:vAlign w:val="center"/>
            <w:hideMark/>
          </w:tcPr>
          <w:p w14:paraId="3163FBCD" w14:textId="77777777" w:rsidR="00CE0E2E" w:rsidRPr="00E20D21" w:rsidRDefault="00CE0E2E" w:rsidP="00CE0E2E">
            <w:pPr>
              <w:rPr>
                <w:rFonts w:ascii="CAIXA Std Book" w:eastAsia="Times New Roman" w:hAnsi="CAIXA Std Book" w:cs="Arial"/>
                <w:b/>
                <w:bCs/>
                <w:color w:val="005CA9"/>
                <w:sz w:val="18"/>
                <w:szCs w:val="18"/>
              </w:rPr>
            </w:pPr>
          </w:p>
        </w:tc>
        <w:tc>
          <w:tcPr>
            <w:tcW w:w="883" w:type="pct"/>
            <w:tcBorders>
              <w:top w:val="nil"/>
              <w:left w:val="nil"/>
              <w:bottom w:val="single" w:sz="4" w:space="0" w:color="F39200"/>
              <w:right w:val="nil"/>
            </w:tcBorders>
            <w:shd w:val="clear" w:color="auto" w:fill="auto"/>
            <w:vAlign w:val="center"/>
            <w:hideMark/>
          </w:tcPr>
          <w:p w14:paraId="63BFBEEA" w14:textId="77777777"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881" w:type="pct"/>
            <w:tcBorders>
              <w:top w:val="nil"/>
              <w:left w:val="nil"/>
              <w:bottom w:val="single" w:sz="4" w:space="0" w:color="F39200"/>
              <w:right w:val="nil"/>
            </w:tcBorders>
            <w:shd w:val="clear" w:color="auto" w:fill="auto"/>
            <w:vAlign w:val="center"/>
            <w:hideMark/>
          </w:tcPr>
          <w:p w14:paraId="4E0BEFDF" w14:textId="59B116D9" w:rsidR="00CE0E2E" w:rsidRPr="00E20D21" w:rsidRDefault="00CE0E2E" w:rsidP="00CE0E2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ED61BC" w:rsidRPr="00E20D21" w14:paraId="567D81F4" w14:textId="77777777" w:rsidTr="005152C4">
        <w:trPr>
          <w:trHeight w:val="283"/>
        </w:trPr>
        <w:tc>
          <w:tcPr>
            <w:tcW w:w="3236" w:type="pct"/>
            <w:tcBorders>
              <w:top w:val="nil"/>
              <w:left w:val="nil"/>
              <w:bottom w:val="nil"/>
              <w:right w:val="nil"/>
            </w:tcBorders>
            <w:shd w:val="clear" w:color="auto" w:fill="auto"/>
            <w:vAlign w:val="center"/>
            <w:hideMark/>
          </w:tcPr>
          <w:p w14:paraId="26CB235C"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 FAR (1)</w:t>
            </w:r>
          </w:p>
        </w:tc>
        <w:tc>
          <w:tcPr>
            <w:tcW w:w="883" w:type="pct"/>
            <w:tcBorders>
              <w:top w:val="nil"/>
              <w:left w:val="nil"/>
              <w:bottom w:val="nil"/>
              <w:right w:val="nil"/>
            </w:tcBorders>
            <w:shd w:val="clear" w:color="auto" w:fill="auto"/>
            <w:noWrap/>
            <w:vAlign w:val="center"/>
          </w:tcPr>
          <w:p w14:paraId="5A1848CD"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(457.285)</w:t>
            </w:r>
          </w:p>
        </w:tc>
        <w:tc>
          <w:tcPr>
            <w:tcW w:w="881" w:type="pct"/>
            <w:tcBorders>
              <w:top w:val="nil"/>
              <w:left w:val="nil"/>
              <w:bottom w:val="nil"/>
              <w:right w:val="nil"/>
            </w:tcBorders>
            <w:shd w:val="clear" w:color="auto" w:fill="auto"/>
            <w:noWrap/>
            <w:vAlign w:val="center"/>
            <w:hideMark/>
          </w:tcPr>
          <w:p w14:paraId="70ADCC24"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(58.350)</w:t>
            </w:r>
          </w:p>
        </w:tc>
      </w:tr>
      <w:tr w:rsidR="00ED61BC" w:rsidRPr="00E20D21" w14:paraId="047664CE" w14:textId="77777777" w:rsidTr="005152C4">
        <w:trPr>
          <w:trHeight w:val="283"/>
        </w:trPr>
        <w:tc>
          <w:tcPr>
            <w:tcW w:w="3236" w:type="pct"/>
            <w:tcBorders>
              <w:top w:val="nil"/>
              <w:left w:val="nil"/>
              <w:bottom w:val="nil"/>
              <w:right w:val="nil"/>
            </w:tcBorders>
            <w:shd w:val="clear" w:color="auto" w:fill="auto"/>
            <w:vAlign w:val="center"/>
            <w:hideMark/>
          </w:tcPr>
          <w:p w14:paraId="27EF57AA"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Fundo de Garantia do Tempo de Serviço – FGTS</w:t>
            </w:r>
          </w:p>
        </w:tc>
        <w:tc>
          <w:tcPr>
            <w:tcW w:w="883" w:type="pct"/>
            <w:tcBorders>
              <w:top w:val="nil"/>
              <w:left w:val="nil"/>
              <w:bottom w:val="nil"/>
              <w:right w:val="nil"/>
            </w:tcBorders>
            <w:shd w:val="clear" w:color="auto" w:fill="auto"/>
            <w:noWrap/>
            <w:vAlign w:val="center"/>
          </w:tcPr>
          <w:p w14:paraId="2402EF6C"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(344.246)</w:t>
            </w:r>
          </w:p>
        </w:tc>
        <w:tc>
          <w:tcPr>
            <w:tcW w:w="881" w:type="pct"/>
            <w:tcBorders>
              <w:top w:val="nil"/>
              <w:left w:val="nil"/>
              <w:bottom w:val="nil"/>
              <w:right w:val="nil"/>
            </w:tcBorders>
            <w:shd w:val="clear" w:color="auto" w:fill="auto"/>
            <w:noWrap/>
            <w:vAlign w:val="center"/>
            <w:hideMark/>
          </w:tcPr>
          <w:p w14:paraId="1FA7D3D5"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(314.073)</w:t>
            </w:r>
          </w:p>
        </w:tc>
      </w:tr>
      <w:tr w:rsidR="00ED61BC" w:rsidRPr="00E20D21" w14:paraId="3D59E6F6" w14:textId="77777777" w:rsidTr="005152C4">
        <w:trPr>
          <w:trHeight w:val="283"/>
        </w:trPr>
        <w:tc>
          <w:tcPr>
            <w:tcW w:w="3236" w:type="pct"/>
            <w:tcBorders>
              <w:top w:val="nil"/>
              <w:left w:val="nil"/>
              <w:bottom w:val="nil"/>
              <w:right w:val="nil"/>
            </w:tcBorders>
            <w:shd w:val="clear" w:color="auto" w:fill="auto"/>
            <w:vAlign w:val="center"/>
          </w:tcPr>
          <w:p w14:paraId="4D05DED2" w14:textId="77777777" w:rsidR="00ED61BC" w:rsidRPr="00E20D21" w:rsidRDefault="00ED61BC" w:rsidP="00064A12">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Fundo de Custeio do Ensino Médio – FIPEM (2)</w:t>
            </w:r>
          </w:p>
        </w:tc>
        <w:tc>
          <w:tcPr>
            <w:tcW w:w="883" w:type="pct"/>
            <w:tcBorders>
              <w:top w:val="nil"/>
              <w:left w:val="nil"/>
              <w:bottom w:val="nil"/>
              <w:right w:val="nil"/>
            </w:tcBorders>
            <w:shd w:val="clear" w:color="auto" w:fill="auto"/>
            <w:noWrap/>
            <w:vAlign w:val="center"/>
          </w:tcPr>
          <w:p w14:paraId="7541E9AA"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(313.481)</w:t>
            </w:r>
          </w:p>
        </w:tc>
        <w:tc>
          <w:tcPr>
            <w:tcW w:w="881" w:type="pct"/>
            <w:tcBorders>
              <w:top w:val="nil"/>
              <w:left w:val="nil"/>
              <w:bottom w:val="nil"/>
              <w:right w:val="nil"/>
            </w:tcBorders>
            <w:shd w:val="clear" w:color="auto" w:fill="auto"/>
            <w:noWrap/>
            <w:vAlign w:val="center"/>
          </w:tcPr>
          <w:p w14:paraId="7CAE149E" w14:textId="77777777" w:rsidR="00ED61BC" w:rsidRPr="00E20D21" w:rsidRDefault="00ED61BC" w:rsidP="00D859D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r>
      <w:tr w:rsidR="00ED61BC" w:rsidRPr="00E20D21" w14:paraId="2D4C5D3C" w14:textId="77777777" w:rsidTr="005152C4">
        <w:trPr>
          <w:trHeight w:val="283"/>
        </w:trPr>
        <w:tc>
          <w:tcPr>
            <w:tcW w:w="3236" w:type="pct"/>
            <w:tcBorders>
              <w:top w:val="nil"/>
              <w:left w:val="nil"/>
              <w:bottom w:val="nil"/>
              <w:right w:val="nil"/>
            </w:tcBorders>
            <w:shd w:val="clear" w:color="auto" w:fill="auto"/>
            <w:vAlign w:val="center"/>
            <w:hideMark/>
          </w:tcPr>
          <w:p w14:paraId="3CFE450F"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Fundo de Desenvolvimento Social – FDS</w:t>
            </w:r>
          </w:p>
        </w:tc>
        <w:tc>
          <w:tcPr>
            <w:tcW w:w="883" w:type="pct"/>
            <w:tcBorders>
              <w:top w:val="nil"/>
              <w:left w:val="nil"/>
              <w:bottom w:val="nil"/>
              <w:right w:val="nil"/>
            </w:tcBorders>
            <w:shd w:val="clear" w:color="auto" w:fill="auto"/>
            <w:noWrap/>
            <w:vAlign w:val="center"/>
          </w:tcPr>
          <w:p w14:paraId="01AC1430"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(122.733)</w:t>
            </w:r>
          </w:p>
        </w:tc>
        <w:tc>
          <w:tcPr>
            <w:tcW w:w="881" w:type="pct"/>
            <w:tcBorders>
              <w:top w:val="nil"/>
              <w:left w:val="nil"/>
              <w:bottom w:val="nil"/>
              <w:right w:val="nil"/>
            </w:tcBorders>
            <w:shd w:val="clear" w:color="auto" w:fill="auto"/>
            <w:noWrap/>
            <w:vAlign w:val="center"/>
            <w:hideMark/>
          </w:tcPr>
          <w:p w14:paraId="418F30B5"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(86.211)</w:t>
            </w:r>
          </w:p>
        </w:tc>
      </w:tr>
      <w:tr w:rsidR="00ED61BC" w:rsidRPr="00E20D21" w14:paraId="480C0A28" w14:textId="77777777" w:rsidTr="005152C4">
        <w:trPr>
          <w:trHeight w:val="283"/>
        </w:trPr>
        <w:tc>
          <w:tcPr>
            <w:tcW w:w="3236" w:type="pct"/>
            <w:tcBorders>
              <w:top w:val="nil"/>
              <w:left w:val="nil"/>
              <w:bottom w:val="nil"/>
              <w:right w:val="nil"/>
            </w:tcBorders>
            <w:shd w:val="clear" w:color="auto" w:fill="auto"/>
            <w:vAlign w:val="center"/>
            <w:hideMark/>
          </w:tcPr>
          <w:p w14:paraId="65A18A3B"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Fundo de Compensação Ambiental – FCA</w:t>
            </w:r>
          </w:p>
        </w:tc>
        <w:tc>
          <w:tcPr>
            <w:tcW w:w="883" w:type="pct"/>
            <w:tcBorders>
              <w:top w:val="nil"/>
              <w:left w:val="nil"/>
              <w:bottom w:val="nil"/>
              <w:right w:val="nil"/>
            </w:tcBorders>
            <w:shd w:val="clear" w:color="auto" w:fill="auto"/>
            <w:noWrap/>
            <w:vAlign w:val="center"/>
          </w:tcPr>
          <w:p w14:paraId="0140E58F"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(88.098)</w:t>
            </w:r>
          </w:p>
        </w:tc>
        <w:tc>
          <w:tcPr>
            <w:tcW w:w="881" w:type="pct"/>
            <w:tcBorders>
              <w:top w:val="nil"/>
              <w:left w:val="nil"/>
              <w:bottom w:val="nil"/>
              <w:right w:val="nil"/>
            </w:tcBorders>
            <w:shd w:val="clear" w:color="auto" w:fill="auto"/>
            <w:noWrap/>
            <w:vAlign w:val="center"/>
            <w:hideMark/>
          </w:tcPr>
          <w:p w14:paraId="31B3568C"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(72.781)</w:t>
            </w:r>
          </w:p>
        </w:tc>
      </w:tr>
      <w:tr w:rsidR="00ED61BC" w:rsidRPr="00E20D21" w14:paraId="551491F3" w14:textId="77777777" w:rsidTr="005152C4">
        <w:trPr>
          <w:trHeight w:val="283"/>
        </w:trPr>
        <w:tc>
          <w:tcPr>
            <w:tcW w:w="3236" w:type="pct"/>
            <w:tcBorders>
              <w:top w:val="nil"/>
              <w:left w:val="nil"/>
              <w:bottom w:val="nil"/>
              <w:right w:val="nil"/>
            </w:tcBorders>
            <w:shd w:val="clear" w:color="auto" w:fill="auto"/>
            <w:vAlign w:val="center"/>
            <w:hideMark/>
          </w:tcPr>
          <w:p w14:paraId="10EE88F2"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Fundo Garantia Safra – FGS</w:t>
            </w:r>
          </w:p>
        </w:tc>
        <w:tc>
          <w:tcPr>
            <w:tcW w:w="883" w:type="pct"/>
            <w:tcBorders>
              <w:top w:val="nil"/>
              <w:left w:val="nil"/>
              <w:bottom w:val="nil"/>
              <w:right w:val="nil"/>
            </w:tcBorders>
            <w:shd w:val="clear" w:color="auto" w:fill="auto"/>
            <w:noWrap/>
            <w:vAlign w:val="center"/>
          </w:tcPr>
          <w:p w14:paraId="2A0876FE"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(80.584)</w:t>
            </w:r>
          </w:p>
        </w:tc>
        <w:tc>
          <w:tcPr>
            <w:tcW w:w="881" w:type="pct"/>
            <w:tcBorders>
              <w:top w:val="nil"/>
              <w:left w:val="nil"/>
              <w:bottom w:val="nil"/>
              <w:right w:val="nil"/>
            </w:tcBorders>
            <w:shd w:val="clear" w:color="auto" w:fill="auto"/>
            <w:noWrap/>
            <w:vAlign w:val="center"/>
            <w:hideMark/>
          </w:tcPr>
          <w:p w14:paraId="21C9C844"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(82.509)</w:t>
            </w:r>
          </w:p>
        </w:tc>
      </w:tr>
      <w:tr w:rsidR="00ED61BC" w:rsidRPr="00E20D21" w14:paraId="45A209BD" w14:textId="77777777" w:rsidTr="005152C4">
        <w:trPr>
          <w:trHeight w:val="283"/>
        </w:trPr>
        <w:tc>
          <w:tcPr>
            <w:tcW w:w="3236" w:type="pct"/>
            <w:tcBorders>
              <w:top w:val="nil"/>
              <w:left w:val="nil"/>
              <w:bottom w:val="nil"/>
              <w:right w:val="nil"/>
            </w:tcBorders>
            <w:shd w:val="clear" w:color="auto" w:fill="auto"/>
            <w:vAlign w:val="center"/>
            <w:hideMark/>
          </w:tcPr>
          <w:p w14:paraId="112FE86E"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 PREVHAB</w:t>
            </w:r>
          </w:p>
        </w:tc>
        <w:tc>
          <w:tcPr>
            <w:tcW w:w="883" w:type="pct"/>
            <w:tcBorders>
              <w:top w:val="nil"/>
              <w:left w:val="nil"/>
              <w:bottom w:val="nil"/>
              <w:right w:val="nil"/>
            </w:tcBorders>
            <w:shd w:val="clear" w:color="auto" w:fill="auto"/>
            <w:noWrap/>
            <w:vAlign w:val="center"/>
          </w:tcPr>
          <w:p w14:paraId="75F46C92"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(66.905)</w:t>
            </w:r>
          </w:p>
        </w:tc>
        <w:tc>
          <w:tcPr>
            <w:tcW w:w="881" w:type="pct"/>
            <w:tcBorders>
              <w:top w:val="nil"/>
              <w:left w:val="nil"/>
              <w:bottom w:val="nil"/>
              <w:right w:val="nil"/>
            </w:tcBorders>
            <w:shd w:val="clear" w:color="auto" w:fill="auto"/>
            <w:noWrap/>
            <w:vAlign w:val="center"/>
            <w:hideMark/>
          </w:tcPr>
          <w:p w14:paraId="3CF6081D"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(74.135)</w:t>
            </w:r>
          </w:p>
        </w:tc>
      </w:tr>
      <w:tr w:rsidR="00ED61BC" w:rsidRPr="00E20D21" w14:paraId="6ED09306" w14:textId="77777777" w:rsidTr="005152C4">
        <w:trPr>
          <w:trHeight w:val="283"/>
        </w:trPr>
        <w:tc>
          <w:tcPr>
            <w:tcW w:w="3236" w:type="pct"/>
            <w:tcBorders>
              <w:top w:val="nil"/>
              <w:left w:val="nil"/>
              <w:bottom w:val="nil"/>
              <w:right w:val="nil"/>
            </w:tcBorders>
            <w:shd w:val="clear" w:color="auto" w:fill="auto"/>
            <w:vAlign w:val="center"/>
            <w:hideMark/>
          </w:tcPr>
          <w:p w14:paraId="745C8341"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Fundo Garantidor de Microfinanças – FGM</w:t>
            </w:r>
          </w:p>
        </w:tc>
        <w:tc>
          <w:tcPr>
            <w:tcW w:w="883" w:type="pct"/>
            <w:tcBorders>
              <w:top w:val="nil"/>
              <w:left w:val="nil"/>
              <w:bottom w:val="nil"/>
              <w:right w:val="nil"/>
            </w:tcBorders>
            <w:shd w:val="clear" w:color="auto" w:fill="auto"/>
            <w:noWrap/>
            <w:vAlign w:val="center"/>
          </w:tcPr>
          <w:p w14:paraId="1C244E86"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(60.750)</w:t>
            </w:r>
          </w:p>
        </w:tc>
        <w:tc>
          <w:tcPr>
            <w:tcW w:w="881" w:type="pct"/>
            <w:tcBorders>
              <w:top w:val="nil"/>
              <w:left w:val="nil"/>
              <w:bottom w:val="nil"/>
              <w:right w:val="nil"/>
            </w:tcBorders>
            <w:shd w:val="clear" w:color="auto" w:fill="auto"/>
            <w:noWrap/>
            <w:vAlign w:val="center"/>
            <w:hideMark/>
          </w:tcPr>
          <w:p w14:paraId="37E53289"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(224.208)</w:t>
            </w:r>
          </w:p>
        </w:tc>
      </w:tr>
      <w:tr w:rsidR="00ED61BC" w:rsidRPr="00E20D21" w14:paraId="60BBC07A" w14:textId="77777777" w:rsidTr="005152C4">
        <w:trPr>
          <w:trHeight w:val="283"/>
        </w:trPr>
        <w:tc>
          <w:tcPr>
            <w:tcW w:w="3236" w:type="pct"/>
            <w:tcBorders>
              <w:top w:val="nil"/>
              <w:left w:val="nil"/>
              <w:bottom w:val="nil"/>
              <w:right w:val="nil"/>
            </w:tcBorders>
            <w:shd w:val="clear" w:color="auto" w:fill="auto"/>
            <w:vAlign w:val="center"/>
            <w:hideMark/>
          </w:tcPr>
          <w:p w14:paraId="52A5448A"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 Tesouro Nacional</w:t>
            </w:r>
          </w:p>
        </w:tc>
        <w:tc>
          <w:tcPr>
            <w:tcW w:w="883" w:type="pct"/>
            <w:tcBorders>
              <w:top w:val="nil"/>
              <w:left w:val="nil"/>
              <w:bottom w:val="nil"/>
              <w:right w:val="nil"/>
            </w:tcBorders>
            <w:shd w:val="clear" w:color="auto" w:fill="auto"/>
            <w:noWrap/>
            <w:vAlign w:val="center"/>
          </w:tcPr>
          <w:p w14:paraId="2943499C"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(39.606)</w:t>
            </w:r>
          </w:p>
        </w:tc>
        <w:tc>
          <w:tcPr>
            <w:tcW w:w="881" w:type="pct"/>
            <w:tcBorders>
              <w:top w:val="nil"/>
              <w:left w:val="nil"/>
              <w:bottom w:val="nil"/>
              <w:right w:val="nil"/>
            </w:tcBorders>
            <w:shd w:val="clear" w:color="auto" w:fill="auto"/>
            <w:noWrap/>
            <w:vAlign w:val="center"/>
            <w:hideMark/>
          </w:tcPr>
          <w:p w14:paraId="156BB998"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(43.510)</w:t>
            </w:r>
          </w:p>
        </w:tc>
      </w:tr>
      <w:tr w:rsidR="00ED61BC" w:rsidRPr="00E20D21" w14:paraId="693BCFAC" w14:textId="77777777" w:rsidTr="005152C4">
        <w:trPr>
          <w:trHeight w:val="283"/>
        </w:trPr>
        <w:tc>
          <w:tcPr>
            <w:tcW w:w="3236" w:type="pct"/>
            <w:tcBorders>
              <w:top w:val="nil"/>
              <w:left w:val="nil"/>
              <w:bottom w:val="nil"/>
              <w:right w:val="nil"/>
            </w:tcBorders>
            <w:shd w:val="clear" w:color="auto" w:fill="auto"/>
            <w:vAlign w:val="center"/>
            <w:hideMark/>
          </w:tcPr>
          <w:p w14:paraId="1DD3F45F"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Subsídios programas de habitação</w:t>
            </w:r>
          </w:p>
        </w:tc>
        <w:tc>
          <w:tcPr>
            <w:tcW w:w="883" w:type="pct"/>
            <w:tcBorders>
              <w:top w:val="nil"/>
              <w:left w:val="nil"/>
              <w:bottom w:val="nil"/>
              <w:right w:val="nil"/>
            </w:tcBorders>
            <w:shd w:val="clear" w:color="auto" w:fill="auto"/>
            <w:noWrap/>
            <w:vAlign w:val="center"/>
          </w:tcPr>
          <w:p w14:paraId="67529123"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(28.210)</w:t>
            </w:r>
          </w:p>
        </w:tc>
        <w:tc>
          <w:tcPr>
            <w:tcW w:w="881" w:type="pct"/>
            <w:tcBorders>
              <w:top w:val="nil"/>
              <w:left w:val="nil"/>
              <w:bottom w:val="nil"/>
              <w:right w:val="nil"/>
            </w:tcBorders>
            <w:shd w:val="clear" w:color="auto" w:fill="auto"/>
            <w:noWrap/>
            <w:vAlign w:val="center"/>
            <w:hideMark/>
          </w:tcPr>
          <w:p w14:paraId="6596E77F"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(59.854)</w:t>
            </w:r>
          </w:p>
        </w:tc>
      </w:tr>
      <w:tr w:rsidR="00ED61BC" w:rsidRPr="00E20D21" w14:paraId="147D8616" w14:textId="77777777" w:rsidTr="005152C4">
        <w:trPr>
          <w:trHeight w:val="283"/>
        </w:trPr>
        <w:tc>
          <w:tcPr>
            <w:tcW w:w="3236" w:type="pct"/>
            <w:tcBorders>
              <w:top w:val="nil"/>
              <w:left w:val="nil"/>
              <w:bottom w:val="nil"/>
              <w:right w:val="nil"/>
            </w:tcBorders>
            <w:shd w:val="clear" w:color="auto" w:fill="auto"/>
            <w:vAlign w:val="center"/>
            <w:hideMark/>
          </w:tcPr>
          <w:p w14:paraId="369ADFD6"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FUNGETUR</w:t>
            </w:r>
          </w:p>
        </w:tc>
        <w:tc>
          <w:tcPr>
            <w:tcW w:w="883" w:type="pct"/>
            <w:tcBorders>
              <w:top w:val="nil"/>
              <w:left w:val="nil"/>
              <w:bottom w:val="nil"/>
              <w:right w:val="nil"/>
            </w:tcBorders>
            <w:shd w:val="clear" w:color="auto" w:fill="auto"/>
            <w:noWrap/>
            <w:vAlign w:val="center"/>
          </w:tcPr>
          <w:p w14:paraId="6E89F339"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(16.518)</w:t>
            </w:r>
          </w:p>
        </w:tc>
        <w:tc>
          <w:tcPr>
            <w:tcW w:w="881" w:type="pct"/>
            <w:tcBorders>
              <w:top w:val="nil"/>
              <w:left w:val="nil"/>
              <w:bottom w:val="nil"/>
              <w:right w:val="nil"/>
            </w:tcBorders>
            <w:shd w:val="clear" w:color="auto" w:fill="auto"/>
            <w:noWrap/>
            <w:vAlign w:val="center"/>
            <w:hideMark/>
          </w:tcPr>
          <w:p w14:paraId="3D44D3C8"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(36.111)</w:t>
            </w:r>
          </w:p>
        </w:tc>
      </w:tr>
      <w:tr w:rsidR="00ED61BC" w:rsidRPr="00E20D21" w14:paraId="0793EE60" w14:textId="77777777" w:rsidTr="005152C4">
        <w:trPr>
          <w:trHeight w:val="283"/>
        </w:trPr>
        <w:tc>
          <w:tcPr>
            <w:tcW w:w="3236" w:type="pct"/>
            <w:tcBorders>
              <w:top w:val="nil"/>
              <w:left w:val="nil"/>
              <w:bottom w:val="nil"/>
              <w:right w:val="nil"/>
            </w:tcBorders>
            <w:shd w:val="clear" w:color="auto" w:fill="auto"/>
            <w:vAlign w:val="center"/>
            <w:hideMark/>
          </w:tcPr>
          <w:p w14:paraId="2E8DB915" w14:textId="77777777" w:rsidR="00ED61BC" w:rsidRPr="00E20D21" w:rsidRDefault="00ED61BC"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 Caução</w:t>
            </w:r>
          </w:p>
        </w:tc>
        <w:tc>
          <w:tcPr>
            <w:tcW w:w="883" w:type="pct"/>
            <w:tcBorders>
              <w:top w:val="nil"/>
              <w:left w:val="nil"/>
              <w:bottom w:val="nil"/>
              <w:right w:val="nil"/>
            </w:tcBorders>
            <w:shd w:val="clear" w:color="auto" w:fill="auto"/>
            <w:noWrap/>
            <w:vAlign w:val="center"/>
          </w:tcPr>
          <w:p w14:paraId="0E023239"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(14.174)</w:t>
            </w:r>
          </w:p>
        </w:tc>
        <w:tc>
          <w:tcPr>
            <w:tcW w:w="881" w:type="pct"/>
            <w:tcBorders>
              <w:top w:val="nil"/>
              <w:left w:val="nil"/>
              <w:bottom w:val="nil"/>
              <w:right w:val="nil"/>
            </w:tcBorders>
            <w:shd w:val="clear" w:color="auto" w:fill="auto"/>
            <w:noWrap/>
            <w:vAlign w:val="center"/>
            <w:hideMark/>
          </w:tcPr>
          <w:p w14:paraId="054D7526" w14:textId="77777777" w:rsidR="00ED61BC" w:rsidRPr="00E20D21" w:rsidRDefault="00ED61BC"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(21.603)</w:t>
            </w:r>
          </w:p>
        </w:tc>
      </w:tr>
      <w:tr w:rsidR="00CE0E2E" w:rsidRPr="00E20D21" w14:paraId="1D6844A2" w14:textId="77777777" w:rsidTr="005152C4">
        <w:trPr>
          <w:trHeight w:val="283"/>
        </w:trPr>
        <w:tc>
          <w:tcPr>
            <w:tcW w:w="3236" w:type="pct"/>
            <w:tcBorders>
              <w:top w:val="nil"/>
              <w:left w:val="nil"/>
              <w:bottom w:val="nil"/>
              <w:right w:val="nil"/>
            </w:tcBorders>
            <w:shd w:val="clear" w:color="auto" w:fill="auto"/>
            <w:vAlign w:val="center"/>
            <w:hideMark/>
          </w:tcPr>
          <w:p w14:paraId="1D4749F9" w14:textId="77777777" w:rsidR="00CE0E2E" w:rsidRPr="00E20D21" w:rsidRDefault="00CE0E2E" w:rsidP="00CE0E2E">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883" w:type="pct"/>
            <w:tcBorders>
              <w:top w:val="nil"/>
              <w:left w:val="nil"/>
              <w:bottom w:val="nil"/>
              <w:right w:val="nil"/>
            </w:tcBorders>
            <w:shd w:val="clear" w:color="auto" w:fill="auto"/>
            <w:noWrap/>
            <w:vAlign w:val="center"/>
          </w:tcPr>
          <w:p w14:paraId="52ED9B5D" w14:textId="514BD09D" w:rsidR="00CE0E2E" w:rsidRPr="00E20D21" w:rsidRDefault="00064A12" w:rsidP="003E71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(104.147)</w:t>
            </w:r>
          </w:p>
        </w:tc>
        <w:tc>
          <w:tcPr>
            <w:tcW w:w="881" w:type="pct"/>
            <w:tcBorders>
              <w:top w:val="nil"/>
              <w:left w:val="nil"/>
              <w:bottom w:val="nil"/>
              <w:right w:val="nil"/>
            </w:tcBorders>
            <w:shd w:val="clear" w:color="auto" w:fill="auto"/>
            <w:noWrap/>
            <w:vAlign w:val="center"/>
            <w:hideMark/>
          </w:tcPr>
          <w:p w14:paraId="006E2AB0" w14:textId="65D016AF" w:rsidR="00CE0E2E" w:rsidRPr="00E20D21" w:rsidRDefault="00CE0E2E" w:rsidP="003E71A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(87.490)</w:t>
            </w:r>
          </w:p>
        </w:tc>
      </w:tr>
      <w:tr w:rsidR="00CE0E2E" w:rsidRPr="00E20D21" w14:paraId="419D2BBC" w14:textId="77777777" w:rsidTr="005152C4">
        <w:trPr>
          <w:trHeight w:val="283"/>
        </w:trPr>
        <w:tc>
          <w:tcPr>
            <w:tcW w:w="3236" w:type="pct"/>
            <w:tcBorders>
              <w:top w:val="single" w:sz="4" w:space="0" w:color="F79646"/>
              <w:left w:val="nil"/>
              <w:bottom w:val="single" w:sz="4" w:space="0" w:color="F79646"/>
              <w:right w:val="nil"/>
            </w:tcBorders>
            <w:shd w:val="clear" w:color="auto" w:fill="auto"/>
            <w:noWrap/>
            <w:vAlign w:val="center"/>
            <w:hideMark/>
          </w:tcPr>
          <w:p w14:paraId="441DB226" w14:textId="77777777" w:rsidR="00CE0E2E" w:rsidRPr="00E20D21" w:rsidRDefault="00CE0E2E" w:rsidP="00CE0E2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83" w:type="pct"/>
            <w:tcBorders>
              <w:top w:val="single" w:sz="4" w:space="0" w:color="F79646"/>
              <w:left w:val="nil"/>
              <w:bottom w:val="single" w:sz="4" w:space="0" w:color="F79646"/>
              <w:right w:val="nil"/>
            </w:tcBorders>
            <w:shd w:val="clear" w:color="auto" w:fill="auto"/>
            <w:noWrap/>
            <w:vAlign w:val="center"/>
          </w:tcPr>
          <w:p w14:paraId="42484318" w14:textId="152A4194" w:rsidR="00CE0E2E" w:rsidRPr="00E20D21" w:rsidRDefault="00064A12" w:rsidP="003E71AF">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(1.736.737)</w:t>
            </w:r>
          </w:p>
        </w:tc>
        <w:tc>
          <w:tcPr>
            <w:tcW w:w="881" w:type="pct"/>
            <w:tcBorders>
              <w:top w:val="single" w:sz="4" w:space="0" w:color="F79646"/>
              <w:left w:val="nil"/>
              <w:bottom w:val="single" w:sz="4" w:space="0" w:color="F79646"/>
              <w:right w:val="nil"/>
            </w:tcBorders>
            <w:shd w:val="clear" w:color="auto" w:fill="auto"/>
            <w:noWrap/>
            <w:vAlign w:val="center"/>
            <w:hideMark/>
          </w:tcPr>
          <w:p w14:paraId="6942C56F" w14:textId="44A248EC" w:rsidR="00CE0E2E" w:rsidRPr="00E20D21" w:rsidRDefault="00CE0E2E" w:rsidP="003E71AF">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(1.160.835)</w:t>
            </w:r>
          </w:p>
        </w:tc>
      </w:tr>
    </w:tbl>
    <w:p w14:paraId="05FAC423" w14:textId="3D310620" w:rsidR="002A3FB1" w:rsidRPr="00E20D21" w:rsidRDefault="002A3FB1" w:rsidP="004B6B89">
      <w:pPr>
        <w:pStyle w:val="PargrafodaLista"/>
        <w:numPr>
          <w:ilvl w:val="0"/>
          <w:numId w:val="48"/>
        </w:numPr>
        <w:ind w:left="284" w:hanging="284"/>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xml:space="preserve">Variação decorrente do aporte de recursos </w:t>
      </w:r>
      <w:r w:rsidR="005152C4" w:rsidRPr="00E20D21">
        <w:rPr>
          <w:rFonts w:ascii="CAIXA Std Book" w:eastAsia="Times New Roman" w:hAnsi="CAIXA Std Book" w:cs="Arial"/>
          <w:color w:val="005CA9"/>
          <w:sz w:val="16"/>
          <w:szCs w:val="16"/>
        </w:rPr>
        <w:t>ao</w:t>
      </w:r>
      <w:r w:rsidRPr="00E20D21">
        <w:rPr>
          <w:rFonts w:ascii="CAIXA Std Book" w:eastAsia="Times New Roman" w:hAnsi="CAIXA Std Book" w:cs="Arial"/>
          <w:color w:val="005CA9"/>
          <w:sz w:val="16"/>
          <w:szCs w:val="16"/>
        </w:rPr>
        <w:t xml:space="preserve"> Programa Minha Casa Minha Vida.</w:t>
      </w:r>
    </w:p>
    <w:p w14:paraId="3BA828C6" w14:textId="0FE1EC27" w:rsidR="004B6B89" w:rsidRPr="00E20D21" w:rsidRDefault="008F0530" w:rsidP="004B6B89">
      <w:pPr>
        <w:pStyle w:val="PargrafodaLista"/>
        <w:numPr>
          <w:ilvl w:val="0"/>
          <w:numId w:val="48"/>
        </w:numPr>
        <w:tabs>
          <w:tab w:val="left" w:pos="284"/>
        </w:tabs>
        <w:ind w:left="142" w:hanging="142"/>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Aporte ao f</w:t>
      </w:r>
      <w:r w:rsidR="001A4EED" w:rsidRPr="00E20D21">
        <w:rPr>
          <w:rFonts w:ascii="CAIXA Std Book" w:eastAsia="Times New Roman" w:hAnsi="CAIXA Std Book" w:cs="Arial"/>
          <w:color w:val="005CA9"/>
          <w:sz w:val="16"/>
          <w:szCs w:val="16"/>
        </w:rPr>
        <w:t>undo social destinado à permanência de estudantes no ensino médio.</w:t>
      </w:r>
    </w:p>
    <w:p w14:paraId="67A6DDC8" w14:textId="36605369" w:rsidR="00FF6498" w:rsidRPr="00E20D21" w:rsidRDefault="00FF6498" w:rsidP="00FD7768">
      <w:pPr>
        <w:pStyle w:val="Ttulo1"/>
      </w:pPr>
      <w:bookmarkStart w:id="50" w:name="_Toc175067956"/>
      <w:r w:rsidRPr="00E20D21">
        <w:t>Nota 16 – Recursos de instituições financeiras e outras</w:t>
      </w:r>
      <w:bookmarkEnd w:id="50"/>
    </w:p>
    <w:p w14:paraId="44CF28CC" w14:textId="39A41ADA" w:rsidR="006D07D6" w:rsidRPr="00E20D21" w:rsidRDefault="006D07D6" w:rsidP="00EB0946">
      <w:pPr>
        <w:pStyle w:val="PargrafodaLista"/>
        <w:keepNext/>
        <w:numPr>
          <w:ilvl w:val="0"/>
          <w:numId w:val="23"/>
        </w:numPr>
        <w:spacing w:after="240"/>
        <w:ind w:left="709" w:hanging="709"/>
        <w:contextualSpacing w:val="0"/>
        <w:jc w:val="both"/>
        <w:rPr>
          <w:rFonts w:ascii="CAIXA Std Book" w:hAnsi="CAIXA Std Book"/>
          <w:b/>
          <w:color w:val="005CA9"/>
          <w:sz w:val="20"/>
          <w:szCs w:val="20"/>
        </w:rPr>
      </w:pPr>
      <w:r w:rsidRPr="00E20D21">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969"/>
        <w:gridCol w:w="1417"/>
        <w:gridCol w:w="1417"/>
        <w:gridCol w:w="1417"/>
        <w:gridCol w:w="1417"/>
      </w:tblGrid>
      <w:tr w:rsidR="00A47C19" w:rsidRPr="00E20D21" w14:paraId="338EF683" w14:textId="77777777" w:rsidTr="00D53512">
        <w:trPr>
          <w:trHeight w:val="283"/>
        </w:trPr>
        <w:tc>
          <w:tcPr>
            <w:tcW w:w="2059" w:type="pct"/>
            <w:vMerge w:val="restart"/>
            <w:tcBorders>
              <w:top w:val="single" w:sz="4" w:space="0" w:color="F39200"/>
              <w:left w:val="nil"/>
              <w:bottom w:val="single" w:sz="4" w:space="0" w:color="F39200"/>
              <w:right w:val="nil"/>
            </w:tcBorders>
            <w:shd w:val="clear" w:color="auto" w:fill="auto"/>
            <w:vAlign w:val="center"/>
            <w:hideMark/>
          </w:tcPr>
          <w:p w14:paraId="608CD0E8" w14:textId="77777777" w:rsidR="004D02A8" w:rsidRPr="00E20D21" w:rsidRDefault="004D02A8" w:rsidP="004D02A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470" w:type="pct"/>
            <w:gridSpan w:val="2"/>
            <w:tcBorders>
              <w:top w:val="single" w:sz="4" w:space="0" w:color="F39200"/>
              <w:left w:val="nil"/>
              <w:bottom w:val="single" w:sz="4" w:space="0" w:color="F79646"/>
              <w:right w:val="nil"/>
            </w:tcBorders>
            <w:shd w:val="clear" w:color="auto" w:fill="auto"/>
            <w:noWrap/>
            <w:vAlign w:val="center"/>
            <w:hideMark/>
          </w:tcPr>
          <w:p w14:paraId="15372C8D" w14:textId="77777777" w:rsidR="004D02A8" w:rsidRPr="00E20D21" w:rsidRDefault="004D02A8" w:rsidP="004D02A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470" w:type="pct"/>
            <w:gridSpan w:val="2"/>
            <w:tcBorders>
              <w:top w:val="single" w:sz="4" w:space="0" w:color="F39200"/>
              <w:left w:val="nil"/>
              <w:bottom w:val="single" w:sz="4" w:space="0" w:color="F79646"/>
              <w:right w:val="nil"/>
            </w:tcBorders>
            <w:shd w:val="clear" w:color="auto" w:fill="auto"/>
            <w:noWrap/>
            <w:vAlign w:val="center"/>
            <w:hideMark/>
          </w:tcPr>
          <w:p w14:paraId="00B4CFA7" w14:textId="77777777" w:rsidR="004D02A8" w:rsidRPr="00E20D21" w:rsidRDefault="004D02A8" w:rsidP="004D02A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A47C19" w:rsidRPr="00E20D21" w14:paraId="4F656C40" w14:textId="77777777" w:rsidTr="00D53512">
        <w:trPr>
          <w:trHeight w:val="283"/>
        </w:trPr>
        <w:tc>
          <w:tcPr>
            <w:tcW w:w="2059" w:type="pct"/>
            <w:vMerge/>
            <w:tcBorders>
              <w:top w:val="single" w:sz="4" w:space="0" w:color="F39200"/>
              <w:left w:val="nil"/>
              <w:bottom w:val="single" w:sz="4" w:space="0" w:color="F39200"/>
              <w:right w:val="nil"/>
            </w:tcBorders>
            <w:vAlign w:val="center"/>
            <w:hideMark/>
          </w:tcPr>
          <w:p w14:paraId="0E93C5F4" w14:textId="77777777" w:rsidR="008979E6" w:rsidRPr="00E20D21" w:rsidRDefault="008979E6" w:rsidP="008979E6">
            <w:pPr>
              <w:rPr>
                <w:rFonts w:ascii="CAIXA Std Book" w:eastAsia="Times New Roman" w:hAnsi="CAIXA Std Book" w:cs="Arial"/>
                <w:b/>
                <w:bCs/>
                <w:color w:val="005CA9"/>
                <w:sz w:val="18"/>
                <w:szCs w:val="18"/>
              </w:rPr>
            </w:pPr>
          </w:p>
        </w:tc>
        <w:tc>
          <w:tcPr>
            <w:tcW w:w="735" w:type="pct"/>
            <w:tcBorders>
              <w:top w:val="nil"/>
              <w:left w:val="nil"/>
              <w:bottom w:val="single" w:sz="4" w:space="0" w:color="F79646"/>
              <w:right w:val="nil"/>
            </w:tcBorders>
            <w:shd w:val="clear" w:color="auto" w:fill="auto"/>
            <w:noWrap/>
            <w:vAlign w:val="center"/>
          </w:tcPr>
          <w:p w14:paraId="561DCFC2" w14:textId="35DDC3AB" w:rsidR="008979E6" w:rsidRPr="00E20D21" w:rsidRDefault="008979E6" w:rsidP="008979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735" w:type="pct"/>
            <w:tcBorders>
              <w:top w:val="nil"/>
              <w:left w:val="nil"/>
              <w:bottom w:val="single" w:sz="4" w:space="0" w:color="F79646"/>
              <w:right w:val="nil"/>
            </w:tcBorders>
            <w:shd w:val="clear" w:color="auto" w:fill="auto"/>
            <w:noWrap/>
            <w:vAlign w:val="center"/>
            <w:hideMark/>
          </w:tcPr>
          <w:p w14:paraId="50B82AD1" w14:textId="2EE082EC" w:rsidR="008979E6" w:rsidRPr="00E20D21" w:rsidRDefault="008979E6" w:rsidP="008979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c>
          <w:tcPr>
            <w:tcW w:w="735" w:type="pct"/>
            <w:tcBorders>
              <w:top w:val="nil"/>
              <w:left w:val="nil"/>
              <w:bottom w:val="single" w:sz="4" w:space="0" w:color="F79646"/>
              <w:right w:val="nil"/>
            </w:tcBorders>
            <w:shd w:val="clear" w:color="auto" w:fill="auto"/>
            <w:noWrap/>
            <w:vAlign w:val="center"/>
          </w:tcPr>
          <w:p w14:paraId="444F7449" w14:textId="66FB7AF9" w:rsidR="008979E6" w:rsidRPr="00E20D21" w:rsidRDefault="008979E6" w:rsidP="008979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735" w:type="pct"/>
            <w:tcBorders>
              <w:top w:val="nil"/>
              <w:left w:val="nil"/>
              <w:bottom w:val="single" w:sz="4" w:space="0" w:color="F79646"/>
              <w:right w:val="nil"/>
            </w:tcBorders>
            <w:shd w:val="clear" w:color="auto" w:fill="auto"/>
            <w:noWrap/>
            <w:vAlign w:val="center"/>
            <w:hideMark/>
          </w:tcPr>
          <w:p w14:paraId="372CDEA0" w14:textId="7E0D17F6" w:rsidR="008979E6" w:rsidRPr="00E20D21" w:rsidRDefault="008979E6" w:rsidP="008979E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D01CC7" w:rsidRPr="00E20D21" w14:paraId="34895389" w14:textId="77777777" w:rsidTr="008979E6">
        <w:trPr>
          <w:trHeight w:val="283"/>
        </w:trPr>
        <w:tc>
          <w:tcPr>
            <w:tcW w:w="2059" w:type="pct"/>
            <w:tcBorders>
              <w:top w:val="nil"/>
              <w:left w:val="nil"/>
              <w:bottom w:val="nil"/>
              <w:right w:val="nil"/>
            </w:tcBorders>
            <w:shd w:val="clear" w:color="auto" w:fill="auto"/>
            <w:vAlign w:val="center"/>
            <w:hideMark/>
          </w:tcPr>
          <w:p w14:paraId="00F6C213" w14:textId="77777777" w:rsidR="00D01CC7" w:rsidRPr="00E20D21" w:rsidRDefault="00D01CC7" w:rsidP="00D01CC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Obrigações por empréstimos e repasses</w:t>
            </w:r>
          </w:p>
        </w:tc>
        <w:tc>
          <w:tcPr>
            <w:tcW w:w="735" w:type="pct"/>
            <w:tcBorders>
              <w:top w:val="nil"/>
              <w:left w:val="nil"/>
              <w:bottom w:val="nil"/>
              <w:right w:val="nil"/>
            </w:tcBorders>
            <w:shd w:val="clear" w:color="auto" w:fill="auto"/>
            <w:noWrap/>
            <w:vAlign w:val="center"/>
          </w:tcPr>
          <w:p w14:paraId="157FF8D2" w14:textId="117716D8" w:rsidR="00D01CC7" w:rsidRPr="00E20D21" w:rsidRDefault="00D01CC7" w:rsidP="00D01CC7">
            <w:pPr>
              <w:jc w:val="right"/>
              <w:rPr>
                <w:rFonts w:ascii="CAIXA Std Book" w:eastAsia="Times New Roman" w:hAnsi="CAIXA Std Book" w:cs="Arial"/>
                <w:b/>
                <w:color w:val="005CA9"/>
                <w:sz w:val="18"/>
                <w:szCs w:val="18"/>
                <w:highlight w:val="yellow"/>
              </w:rPr>
            </w:pPr>
            <w:r w:rsidRPr="00E20D21">
              <w:rPr>
                <w:rFonts w:ascii="CAIXA Std Book" w:hAnsi="CAIXA Std Book" w:cs="Arial"/>
                <w:b/>
                <w:bCs/>
                <w:color w:val="005CA9"/>
                <w:sz w:val="18"/>
                <w:szCs w:val="18"/>
              </w:rPr>
              <w:t>467.714.128</w:t>
            </w:r>
          </w:p>
        </w:tc>
        <w:tc>
          <w:tcPr>
            <w:tcW w:w="735" w:type="pct"/>
            <w:tcBorders>
              <w:top w:val="nil"/>
              <w:left w:val="nil"/>
              <w:bottom w:val="nil"/>
              <w:right w:val="nil"/>
            </w:tcBorders>
            <w:shd w:val="clear" w:color="auto" w:fill="auto"/>
            <w:noWrap/>
            <w:vAlign w:val="center"/>
          </w:tcPr>
          <w:p w14:paraId="69794051" w14:textId="379ADFAA"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435.176.849</w:t>
            </w:r>
          </w:p>
        </w:tc>
        <w:tc>
          <w:tcPr>
            <w:tcW w:w="735" w:type="pct"/>
            <w:tcBorders>
              <w:top w:val="nil"/>
              <w:left w:val="nil"/>
              <w:bottom w:val="nil"/>
              <w:right w:val="nil"/>
            </w:tcBorders>
            <w:shd w:val="clear" w:color="auto" w:fill="auto"/>
            <w:noWrap/>
            <w:vAlign w:val="center"/>
          </w:tcPr>
          <w:p w14:paraId="6BA55953" w14:textId="1A1A509E" w:rsidR="00D01CC7" w:rsidRPr="00E20D21" w:rsidRDefault="00CA6863"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467.714.128</w:t>
            </w:r>
          </w:p>
        </w:tc>
        <w:tc>
          <w:tcPr>
            <w:tcW w:w="735" w:type="pct"/>
            <w:tcBorders>
              <w:top w:val="nil"/>
              <w:left w:val="nil"/>
              <w:bottom w:val="nil"/>
              <w:right w:val="nil"/>
            </w:tcBorders>
            <w:shd w:val="clear" w:color="auto" w:fill="auto"/>
            <w:noWrap/>
            <w:vAlign w:val="center"/>
          </w:tcPr>
          <w:p w14:paraId="4160AAE8" w14:textId="0C6254B9"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435.176.849</w:t>
            </w:r>
          </w:p>
        </w:tc>
      </w:tr>
      <w:tr w:rsidR="00D01CC7" w:rsidRPr="00E20D21" w14:paraId="49D38179" w14:textId="77777777" w:rsidTr="008979E6">
        <w:trPr>
          <w:trHeight w:val="283"/>
        </w:trPr>
        <w:tc>
          <w:tcPr>
            <w:tcW w:w="2059" w:type="pct"/>
            <w:tcBorders>
              <w:top w:val="nil"/>
              <w:left w:val="nil"/>
              <w:bottom w:val="nil"/>
              <w:right w:val="nil"/>
            </w:tcBorders>
            <w:shd w:val="clear" w:color="auto" w:fill="auto"/>
            <w:vAlign w:val="center"/>
            <w:hideMark/>
          </w:tcPr>
          <w:p w14:paraId="13566CAA" w14:textId="77777777" w:rsidR="00D01CC7" w:rsidRPr="00E20D21" w:rsidRDefault="00D01CC7" w:rsidP="00D01CC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FGTS</w:t>
            </w:r>
          </w:p>
        </w:tc>
        <w:tc>
          <w:tcPr>
            <w:tcW w:w="735" w:type="pct"/>
            <w:tcBorders>
              <w:top w:val="nil"/>
              <w:left w:val="nil"/>
              <w:bottom w:val="nil"/>
              <w:right w:val="nil"/>
            </w:tcBorders>
            <w:shd w:val="clear" w:color="auto" w:fill="auto"/>
            <w:noWrap/>
            <w:vAlign w:val="center"/>
          </w:tcPr>
          <w:p w14:paraId="75936A94" w14:textId="4B834656"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444.875.956</w:t>
            </w:r>
          </w:p>
        </w:tc>
        <w:tc>
          <w:tcPr>
            <w:tcW w:w="735" w:type="pct"/>
            <w:tcBorders>
              <w:top w:val="nil"/>
              <w:left w:val="nil"/>
              <w:bottom w:val="nil"/>
              <w:right w:val="nil"/>
            </w:tcBorders>
            <w:shd w:val="clear" w:color="auto" w:fill="auto"/>
            <w:noWrap/>
            <w:vAlign w:val="center"/>
          </w:tcPr>
          <w:p w14:paraId="336CB224" w14:textId="3659BDBB"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411.615.210</w:t>
            </w:r>
          </w:p>
        </w:tc>
        <w:tc>
          <w:tcPr>
            <w:tcW w:w="735" w:type="pct"/>
            <w:tcBorders>
              <w:top w:val="nil"/>
              <w:left w:val="nil"/>
              <w:bottom w:val="nil"/>
              <w:right w:val="nil"/>
            </w:tcBorders>
            <w:shd w:val="clear" w:color="auto" w:fill="auto"/>
            <w:noWrap/>
            <w:vAlign w:val="center"/>
          </w:tcPr>
          <w:p w14:paraId="6BFAEB03" w14:textId="7E93888C"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444.875.956</w:t>
            </w:r>
          </w:p>
        </w:tc>
        <w:tc>
          <w:tcPr>
            <w:tcW w:w="735" w:type="pct"/>
            <w:tcBorders>
              <w:top w:val="nil"/>
              <w:left w:val="nil"/>
              <w:bottom w:val="nil"/>
              <w:right w:val="nil"/>
            </w:tcBorders>
            <w:shd w:val="clear" w:color="auto" w:fill="auto"/>
            <w:noWrap/>
            <w:vAlign w:val="center"/>
          </w:tcPr>
          <w:p w14:paraId="1416CD6D" w14:textId="3358F7F4"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411.615.210</w:t>
            </w:r>
          </w:p>
        </w:tc>
      </w:tr>
      <w:tr w:rsidR="00D01CC7" w:rsidRPr="00E20D21" w14:paraId="1A632ADE" w14:textId="77777777" w:rsidTr="008979E6">
        <w:trPr>
          <w:trHeight w:val="283"/>
        </w:trPr>
        <w:tc>
          <w:tcPr>
            <w:tcW w:w="2059" w:type="pct"/>
            <w:tcBorders>
              <w:top w:val="nil"/>
              <w:left w:val="nil"/>
              <w:bottom w:val="nil"/>
              <w:right w:val="nil"/>
            </w:tcBorders>
            <w:shd w:val="clear" w:color="auto" w:fill="auto"/>
            <w:vAlign w:val="center"/>
            <w:hideMark/>
          </w:tcPr>
          <w:p w14:paraId="521AE59C" w14:textId="77777777" w:rsidR="00D01CC7" w:rsidRPr="00E20D21" w:rsidRDefault="00D01CC7" w:rsidP="00D01CC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BNDES</w:t>
            </w:r>
          </w:p>
        </w:tc>
        <w:tc>
          <w:tcPr>
            <w:tcW w:w="735" w:type="pct"/>
            <w:tcBorders>
              <w:top w:val="nil"/>
              <w:left w:val="nil"/>
              <w:bottom w:val="nil"/>
              <w:right w:val="nil"/>
            </w:tcBorders>
            <w:shd w:val="clear" w:color="auto" w:fill="auto"/>
            <w:noWrap/>
            <w:vAlign w:val="center"/>
          </w:tcPr>
          <w:p w14:paraId="6CE765AA" w14:textId="2BD07897"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17.895.471</w:t>
            </w:r>
          </w:p>
        </w:tc>
        <w:tc>
          <w:tcPr>
            <w:tcW w:w="735" w:type="pct"/>
            <w:tcBorders>
              <w:top w:val="nil"/>
              <w:left w:val="nil"/>
              <w:bottom w:val="nil"/>
              <w:right w:val="nil"/>
            </w:tcBorders>
            <w:shd w:val="clear" w:color="auto" w:fill="auto"/>
            <w:noWrap/>
            <w:vAlign w:val="center"/>
          </w:tcPr>
          <w:p w14:paraId="04341C5A" w14:textId="0FDAC5F4"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18.582.325</w:t>
            </w:r>
          </w:p>
        </w:tc>
        <w:tc>
          <w:tcPr>
            <w:tcW w:w="735" w:type="pct"/>
            <w:tcBorders>
              <w:top w:val="nil"/>
              <w:left w:val="nil"/>
              <w:bottom w:val="nil"/>
              <w:right w:val="nil"/>
            </w:tcBorders>
            <w:shd w:val="clear" w:color="auto" w:fill="auto"/>
            <w:noWrap/>
            <w:vAlign w:val="center"/>
          </w:tcPr>
          <w:p w14:paraId="5E306A42" w14:textId="7CEA6A2D"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17.895.471</w:t>
            </w:r>
          </w:p>
        </w:tc>
        <w:tc>
          <w:tcPr>
            <w:tcW w:w="735" w:type="pct"/>
            <w:tcBorders>
              <w:top w:val="nil"/>
              <w:left w:val="nil"/>
              <w:bottom w:val="nil"/>
              <w:right w:val="nil"/>
            </w:tcBorders>
            <w:shd w:val="clear" w:color="auto" w:fill="auto"/>
            <w:noWrap/>
            <w:vAlign w:val="center"/>
          </w:tcPr>
          <w:p w14:paraId="02693D59" w14:textId="772D1D13"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18.582.325</w:t>
            </w:r>
          </w:p>
        </w:tc>
      </w:tr>
      <w:tr w:rsidR="00D01CC7" w:rsidRPr="00E20D21" w14:paraId="2EA0E45F" w14:textId="77777777" w:rsidTr="008979E6">
        <w:trPr>
          <w:trHeight w:val="283"/>
        </w:trPr>
        <w:tc>
          <w:tcPr>
            <w:tcW w:w="2059" w:type="pct"/>
            <w:tcBorders>
              <w:top w:val="nil"/>
              <w:left w:val="nil"/>
              <w:bottom w:val="nil"/>
              <w:right w:val="nil"/>
            </w:tcBorders>
            <w:shd w:val="clear" w:color="auto" w:fill="auto"/>
            <w:vAlign w:val="center"/>
            <w:hideMark/>
          </w:tcPr>
          <w:p w14:paraId="69704E94" w14:textId="77777777" w:rsidR="00D01CC7" w:rsidRPr="00E20D21" w:rsidRDefault="00D01CC7" w:rsidP="00D01CC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Fundo da Marinha Mercante</w:t>
            </w:r>
          </w:p>
        </w:tc>
        <w:tc>
          <w:tcPr>
            <w:tcW w:w="735" w:type="pct"/>
            <w:tcBorders>
              <w:top w:val="nil"/>
              <w:left w:val="nil"/>
              <w:bottom w:val="nil"/>
              <w:right w:val="nil"/>
            </w:tcBorders>
            <w:shd w:val="clear" w:color="auto" w:fill="auto"/>
            <w:noWrap/>
            <w:vAlign w:val="center"/>
          </w:tcPr>
          <w:p w14:paraId="148382FF" w14:textId="56E8EBBE"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2.255.631</w:t>
            </w:r>
          </w:p>
        </w:tc>
        <w:tc>
          <w:tcPr>
            <w:tcW w:w="735" w:type="pct"/>
            <w:tcBorders>
              <w:top w:val="nil"/>
              <w:left w:val="nil"/>
              <w:bottom w:val="nil"/>
              <w:right w:val="nil"/>
            </w:tcBorders>
            <w:shd w:val="clear" w:color="auto" w:fill="auto"/>
            <w:noWrap/>
            <w:vAlign w:val="center"/>
          </w:tcPr>
          <w:p w14:paraId="14453473" w14:textId="266DF269"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2.232.712</w:t>
            </w:r>
          </w:p>
        </w:tc>
        <w:tc>
          <w:tcPr>
            <w:tcW w:w="735" w:type="pct"/>
            <w:tcBorders>
              <w:top w:val="nil"/>
              <w:left w:val="nil"/>
              <w:bottom w:val="nil"/>
              <w:right w:val="nil"/>
            </w:tcBorders>
            <w:shd w:val="clear" w:color="auto" w:fill="auto"/>
            <w:noWrap/>
            <w:vAlign w:val="center"/>
          </w:tcPr>
          <w:p w14:paraId="3DF9E204" w14:textId="47F84259"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2.255.631</w:t>
            </w:r>
          </w:p>
        </w:tc>
        <w:tc>
          <w:tcPr>
            <w:tcW w:w="735" w:type="pct"/>
            <w:tcBorders>
              <w:top w:val="nil"/>
              <w:left w:val="nil"/>
              <w:bottom w:val="nil"/>
              <w:right w:val="nil"/>
            </w:tcBorders>
            <w:shd w:val="clear" w:color="auto" w:fill="auto"/>
            <w:noWrap/>
            <w:vAlign w:val="center"/>
          </w:tcPr>
          <w:p w14:paraId="36607CCF" w14:textId="18C163DE"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2.232.712</w:t>
            </w:r>
          </w:p>
        </w:tc>
      </w:tr>
      <w:tr w:rsidR="00D01CC7" w:rsidRPr="00E20D21" w14:paraId="30C3CF72" w14:textId="77777777" w:rsidTr="008979E6">
        <w:trPr>
          <w:trHeight w:val="283"/>
        </w:trPr>
        <w:tc>
          <w:tcPr>
            <w:tcW w:w="2059" w:type="pct"/>
            <w:tcBorders>
              <w:top w:val="nil"/>
              <w:left w:val="nil"/>
              <w:bottom w:val="nil"/>
              <w:right w:val="nil"/>
            </w:tcBorders>
            <w:shd w:val="clear" w:color="auto" w:fill="auto"/>
            <w:vAlign w:val="center"/>
            <w:hideMark/>
          </w:tcPr>
          <w:p w14:paraId="6D65DBD0" w14:textId="77777777" w:rsidR="00D01CC7" w:rsidRPr="00E20D21" w:rsidRDefault="00D01CC7" w:rsidP="00D01CC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Tesouro Nacional</w:t>
            </w:r>
          </w:p>
        </w:tc>
        <w:tc>
          <w:tcPr>
            <w:tcW w:w="735" w:type="pct"/>
            <w:tcBorders>
              <w:top w:val="nil"/>
              <w:left w:val="nil"/>
              <w:bottom w:val="nil"/>
              <w:right w:val="nil"/>
            </w:tcBorders>
            <w:shd w:val="clear" w:color="auto" w:fill="auto"/>
            <w:noWrap/>
            <w:vAlign w:val="center"/>
          </w:tcPr>
          <w:p w14:paraId="77AEA974" w14:textId="62F9726B"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19.253</w:t>
            </w:r>
          </w:p>
        </w:tc>
        <w:tc>
          <w:tcPr>
            <w:tcW w:w="735" w:type="pct"/>
            <w:tcBorders>
              <w:top w:val="nil"/>
              <w:left w:val="nil"/>
              <w:bottom w:val="nil"/>
              <w:right w:val="nil"/>
            </w:tcBorders>
            <w:shd w:val="clear" w:color="auto" w:fill="auto"/>
            <w:noWrap/>
            <w:vAlign w:val="center"/>
          </w:tcPr>
          <w:p w14:paraId="02A7C0C1" w14:textId="30723786"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13.666</w:t>
            </w:r>
          </w:p>
        </w:tc>
        <w:tc>
          <w:tcPr>
            <w:tcW w:w="735" w:type="pct"/>
            <w:tcBorders>
              <w:top w:val="nil"/>
              <w:left w:val="nil"/>
              <w:bottom w:val="nil"/>
              <w:right w:val="nil"/>
            </w:tcBorders>
            <w:shd w:val="clear" w:color="auto" w:fill="auto"/>
            <w:noWrap/>
            <w:vAlign w:val="center"/>
          </w:tcPr>
          <w:p w14:paraId="789A5818" w14:textId="1A162FDE"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19.253</w:t>
            </w:r>
          </w:p>
        </w:tc>
        <w:tc>
          <w:tcPr>
            <w:tcW w:w="735" w:type="pct"/>
            <w:tcBorders>
              <w:top w:val="nil"/>
              <w:left w:val="nil"/>
              <w:bottom w:val="nil"/>
              <w:right w:val="nil"/>
            </w:tcBorders>
            <w:shd w:val="clear" w:color="auto" w:fill="auto"/>
            <w:noWrap/>
            <w:vAlign w:val="center"/>
          </w:tcPr>
          <w:p w14:paraId="54328276" w14:textId="4E21048E"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13.666</w:t>
            </w:r>
          </w:p>
        </w:tc>
      </w:tr>
      <w:tr w:rsidR="00D01CC7" w:rsidRPr="00E20D21" w14:paraId="1CF4B62E" w14:textId="77777777" w:rsidTr="008979E6">
        <w:trPr>
          <w:trHeight w:val="283"/>
        </w:trPr>
        <w:tc>
          <w:tcPr>
            <w:tcW w:w="2059" w:type="pct"/>
            <w:tcBorders>
              <w:top w:val="nil"/>
              <w:left w:val="nil"/>
              <w:bottom w:val="nil"/>
              <w:right w:val="nil"/>
            </w:tcBorders>
            <w:shd w:val="clear" w:color="auto" w:fill="auto"/>
            <w:vAlign w:val="center"/>
            <w:hideMark/>
          </w:tcPr>
          <w:p w14:paraId="62FA1570" w14:textId="77777777" w:rsidR="00D01CC7" w:rsidRPr="00E20D21" w:rsidRDefault="00D01CC7" w:rsidP="00D01CC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Repasses do exterior</w:t>
            </w:r>
          </w:p>
        </w:tc>
        <w:tc>
          <w:tcPr>
            <w:tcW w:w="735" w:type="pct"/>
            <w:tcBorders>
              <w:top w:val="nil"/>
              <w:left w:val="nil"/>
              <w:bottom w:val="nil"/>
              <w:right w:val="nil"/>
            </w:tcBorders>
            <w:shd w:val="clear" w:color="auto" w:fill="auto"/>
            <w:noWrap/>
            <w:vAlign w:val="center"/>
          </w:tcPr>
          <w:p w14:paraId="2F155F67" w14:textId="28C8E6D3"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218.177</w:t>
            </w:r>
          </w:p>
        </w:tc>
        <w:tc>
          <w:tcPr>
            <w:tcW w:w="735" w:type="pct"/>
            <w:tcBorders>
              <w:top w:val="nil"/>
              <w:left w:val="nil"/>
              <w:bottom w:val="nil"/>
              <w:right w:val="nil"/>
            </w:tcBorders>
            <w:shd w:val="clear" w:color="auto" w:fill="auto"/>
            <w:noWrap/>
            <w:vAlign w:val="center"/>
          </w:tcPr>
          <w:p w14:paraId="61F9B39B" w14:textId="014F333D"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259.590</w:t>
            </w:r>
          </w:p>
        </w:tc>
        <w:tc>
          <w:tcPr>
            <w:tcW w:w="735" w:type="pct"/>
            <w:tcBorders>
              <w:top w:val="nil"/>
              <w:left w:val="nil"/>
              <w:bottom w:val="nil"/>
              <w:right w:val="nil"/>
            </w:tcBorders>
            <w:shd w:val="clear" w:color="auto" w:fill="auto"/>
            <w:noWrap/>
            <w:vAlign w:val="center"/>
          </w:tcPr>
          <w:p w14:paraId="436C1C32" w14:textId="603721D3"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218.177</w:t>
            </w:r>
          </w:p>
        </w:tc>
        <w:tc>
          <w:tcPr>
            <w:tcW w:w="735" w:type="pct"/>
            <w:tcBorders>
              <w:top w:val="nil"/>
              <w:left w:val="nil"/>
              <w:bottom w:val="nil"/>
              <w:right w:val="nil"/>
            </w:tcBorders>
            <w:shd w:val="clear" w:color="auto" w:fill="auto"/>
            <w:noWrap/>
            <w:vAlign w:val="center"/>
          </w:tcPr>
          <w:p w14:paraId="258290AB" w14:textId="63B88B4F"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259.590</w:t>
            </w:r>
          </w:p>
        </w:tc>
      </w:tr>
      <w:tr w:rsidR="00D01CC7" w:rsidRPr="00E20D21" w14:paraId="6E86C8B1" w14:textId="77777777" w:rsidTr="008979E6">
        <w:trPr>
          <w:trHeight w:val="283"/>
        </w:trPr>
        <w:tc>
          <w:tcPr>
            <w:tcW w:w="2059" w:type="pct"/>
            <w:tcBorders>
              <w:top w:val="nil"/>
              <w:left w:val="nil"/>
              <w:bottom w:val="nil"/>
              <w:right w:val="nil"/>
            </w:tcBorders>
            <w:shd w:val="clear" w:color="auto" w:fill="auto"/>
            <w:vAlign w:val="center"/>
            <w:hideMark/>
          </w:tcPr>
          <w:p w14:paraId="72FDD62E" w14:textId="77777777" w:rsidR="00D01CC7" w:rsidRPr="00E20D21" w:rsidRDefault="00D01CC7" w:rsidP="00D01CC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Empréstimos no exterior</w:t>
            </w:r>
          </w:p>
        </w:tc>
        <w:tc>
          <w:tcPr>
            <w:tcW w:w="735" w:type="pct"/>
            <w:tcBorders>
              <w:top w:val="nil"/>
              <w:left w:val="nil"/>
              <w:bottom w:val="nil"/>
              <w:right w:val="nil"/>
            </w:tcBorders>
            <w:shd w:val="clear" w:color="auto" w:fill="auto"/>
            <w:noWrap/>
            <w:vAlign w:val="center"/>
          </w:tcPr>
          <w:p w14:paraId="0F0E89E4" w14:textId="566D6BE6"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1.525.370</w:t>
            </w:r>
          </w:p>
        </w:tc>
        <w:tc>
          <w:tcPr>
            <w:tcW w:w="735" w:type="pct"/>
            <w:tcBorders>
              <w:top w:val="nil"/>
              <w:left w:val="nil"/>
              <w:bottom w:val="nil"/>
              <w:right w:val="nil"/>
            </w:tcBorders>
            <w:shd w:val="clear" w:color="auto" w:fill="auto"/>
            <w:noWrap/>
            <w:vAlign w:val="center"/>
          </w:tcPr>
          <w:p w14:paraId="3BCCA7F3" w14:textId="79DE73F6"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1.428.282</w:t>
            </w:r>
          </w:p>
        </w:tc>
        <w:tc>
          <w:tcPr>
            <w:tcW w:w="735" w:type="pct"/>
            <w:tcBorders>
              <w:top w:val="nil"/>
              <w:left w:val="nil"/>
              <w:bottom w:val="nil"/>
              <w:right w:val="nil"/>
            </w:tcBorders>
            <w:shd w:val="clear" w:color="auto" w:fill="auto"/>
            <w:noWrap/>
            <w:vAlign w:val="center"/>
          </w:tcPr>
          <w:p w14:paraId="3553F0FE" w14:textId="3E19951D"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1.525.370</w:t>
            </w:r>
          </w:p>
        </w:tc>
        <w:tc>
          <w:tcPr>
            <w:tcW w:w="735" w:type="pct"/>
            <w:tcBorders>
              <w:top w:val="nil"/>
              <w:left w:val="nil"/>
              <w:bottom w:val="nil"/>
              <w:right w:val="nil"/>
            </w:tcBorders>
            <w:shd w:val="clear" w:color="auto" w:fill="auto"/>
            <w:noWrap/>
            <w:vAlign w:val="center"/>
          </w:tcPr>
          <w:p w14:paraId="70510056" w14:textId="39C539BB"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1.428.282</w:t>
            </w:r>
          </w:p>
        </w:tc>
      </w:tr>
      <w:tr w:rsidR="00D01CC7" w:rsidRPr="00E20D21" w14:paraId="0586244B" w14:textId="77777777" w:rsidTr="008979E6">
        <w:trPr>
          <w:trHeight w:val="283"/>
        </w:trPr>
        <w:tc>
          <w:tcPr>
            <w:tcW w:w="2059" w:type="pct"/>
            <w:tcBorders>
              <w:top w:val="nil"/>
              <w:left w:val="nil"/>
              <w:bottom w:val="nil"/>
              <w:right w:val="nil"/>
            </w:tcBorders>
            <w:shd w:val="clear" w:color="auto" w:fill="auto"/>
            <w:vAlign w:val="center"/>
            <w:hideMark/>
          </w:tcPr>
          <w:p w14:paraId="43CE2C68" w14:textId="77777777" w:rsidR="00D01CC7" w:rsidRPr="00E20D21" w:rsidRDefault="00D01CC7" w:rsidP="00D01CC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Outras</w:t>
            </w:r>
          </w:p>
        </w:tc>
        <w:tc>
          <w:tcPr>
            <w:tcW w:w="735" w:type="pct"/>
            <w:tcBorders>
              <w:top w:val="nil"/>
              <w:left w:val="nil"/>
              <w:bottom w:val="nil"/>
              <w:right w:val="nil"/>
            </w:tcBorders>
            <w:shd w:val="clear" w:color="auto" w:fill="auto"/>
            <w:noWrap/>
            <w:vAlign w:val="center"/>
          </w:tcPr>
          <w:p w14:paraId="578A603B" w14:textId="6613ACE2"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924.270</w:t>
            </w:r>
          </w:p>
        </w:tc>
        <w:tc>
          <w:tcPr>
            <w:tcW w:w="735" w:type="pct"/>
            <w:tcBorders>
              <w:top w:val="nil"/>
              <w:left w:val="nil"/>
              <w:bottom w:val="nil"/>
              <w:right w:val="nil"/>
            </w:tcBorders>
            <w:shd w:val="clear" w:color="auto" w:fill="auto"/>
            <w:noWrap/>
            <w:vAlign w:val="center"/>
          </w:tcPr>
          <w:p w14:paraId="729A9817" w14:textId="6F3C371C"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1.045.064</w:t>
            </w:r>
          </w:p>
        </w:tc>
        <w:tc>
          <w:tcPr>
            <w:tcW w:w="735" w:type="pct"/>
            <w:tcBorders>
              <w:top w:val="nil"/>
              <w:left w:val="nil"/>
              <w:bottom w:val="nil"/>
              <w:right w:val="nil"/>
            </w:tcBorders>
            <w:shd w:val="clear" w:color="auto" w:fill="auto"/>
            <w:noWrap/>
            <w:vAlign w:val="center"/>
          </w:tcPr>
          <w:p w14:paraId="2FC99056" w14:textId="767A3DDE"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924.270</w:t>
            </w:r>
          </w:p>
        </w:tc>
        <w:tc>
          <w:tcPr>
            <w:tcW w:w="735" w:type="pct"/>
            <w:tcBorders>
              <w:top w:val="nil"/>
              <w:left w:val="nil"/>
              <w:bottom w:val="nil"/>
              <w:right w:val="nil"/>
            </w:tcBorders>
            <w:shd w:val="clear" w:color="auto" w:fill="auto"/>
            <w:noWrap/>
            <w:vAlign w:val="center"/>
          </w:tcPr>
          <w:p w14:paraId="62B2EEF5" w14:textId="5E448137"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1.045.064</w:t>
            </w:r>
          </w:p>
        </w:tc>
      </w:tr>
      <w:tr w:rsidR="00D01CC7" w:rsidRPr="00E20D21" w14:paraId="3C8C300B" w14:textId="77777777" w:rsidTr="008979E6">
        <w:trPr>
          <w:trHeight w:val="283"/>
        </w:trPr>
        <w:tc>
          <w:tcPr>
            <w:tcW w:w="2059" w:type="pct"/>
            <w:tcBorders>
              <w:top w:val="nil"/>
              <w:left w:val="nil"/>
              <w:bottom w:val="nil"/>
              <w:right w:val="nil"/>
            </w:tcBorders>
            <w:shd w:val="clear" w:color="auto" w:fill="auto"/>
            <w:vAlign w:val="center"/>
            <w:hideMark/>
          </w:tcPr>
          <w:p w14:paraId="062B0B52" w14:textId="77777777" w:rsidR="00D01CC7" w:rsidRPr="00E20D21" w:rsidRDefault="00D01CC7" w:rsidP="00D01CC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Captações no mercado aberto</w:t>
            </w:r>
          </w:p>
        </w:tc>
        <w:tc>
          <w:tcPr>
            <w:tcW w:w="735" w:type="pct"/>
            <w:tcBorders>
              <w:top w:val="nil"/>
              <w:left w:val="nil"/>
              <w:bottom w:val="nil"/>
              <w:right w:val="nil"/>
            </w:tcBorders>
            <w:shd w:val="clear" w:color="auto" w:fill="auto"/>
            <w:noWrap/>
            <w:vAlign w:val="center"/>
          </w:tcPr>
          <w:p w14:paraId="3C5DF380" w14:textId="741B1CBD"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222.339.919</w:t>
            </w:r>
          </w:p>
        </w:tc>
        <w:tc>
          <w:tcPr>
            <w:tcW w:w="735" w:type="pct"/>
            <w:tcBorders>
              <w:top w:val="nil"/>
              <w:left w:val="nil"/>
              <w:bottom w:val="nil"/>
              <w:right w:val="nil"/>
            </w:tcBorders>
            <w:shd w:val="clear" w:color="auto" w:fill="auto"/>
            <w:noWrap/>
            <w:vAlign w:val="center"/>
          </w:tcPr>
          <w:p w14:paraId="7B533D81" w14:textId="293E1978"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227.605.105</w:t>
            </w:r>
          </w:p>
        </w:tc>
        <w:tc>
          <w:tcPr>
            <w:tcW w:w="735" w:type="pct"/>
            <w:tcBorders>
              <w:top w:val="nil"/>
              <w:left w:val="nil"/>
              <w:bottom w:val="nil"/>
              <w:right w:val="nil"/>
            </w:tcBorders>
            <w:shd w:val="clear" w:color="auto" w:fill="auto"/>
            <w:noWrap/>
            <w:vAlign w:val="center"/>
          </w:tcPr>
          <w:p w14:paraId="436B6D0F" w14:textId="4AA460AA" w:rsidR="00D01CC7" w:rsidRPr="00E20D21" w:rsidRDefault="00CA6863"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222.004.338</w:t>
            </w:r>
          </w:p>
        </w:tc>
        <w:tc>
          <w:tcPr>
            <w:tcW w:w="735" w:type="pct"/>
            <w:tcBorders>
              <w:top w:val="nil"/>
              <w:left w:val="nil"/>
              <w:bottom w:val="nil"/>
              <w:right w:val="nil"/>
            </w:tcBorders>
            <w:shd w:val="clear" w:color="auto" w:fill="auto"/>
            <w:noWrap/>
            <w:vAlign w:val="center"/>
          </w:tcPr>
          <w:p w14:paraId="0B43A135" w14:textId="051E035C" w:rsidR="00D01CC7" w:rsidRPr="00E20D21" w:rsidRDefault="00D01CC7" w:rsidP="00D01CC7">
            <w:pPr>
              <w:jc w:val="right"/>
              <w:rPr>
                <w:rFonts w:ascii="CAIXA Std Book" w:eastAsia="Times New Roman" w:hAnsi="CAIXA Std Book" w:cs="Arial"/>
                <w:b/>
                <w:bCs/>
                <w:color w:val="005CA9"/>
                <w:sz w:val="18"/>
                <w:szCs w:val="18"/>
              </w:rPr>
            </w:pPr>
            <w:bookmarkStart w:id="51" w:name="OLE_LINK2"/>
            <w:r w:rsidRPr="00E20D21">
              <w:rPr>
                <w:rFonts w:ascii="CAIXA Std Book" w:hAnsi="CAIXA Std Book" w:cs="Arial"/>
                <w:b/>
                <w:bCs/>
                <w:color w:val="005CA9"/>
                <w:sz w:val="18"/>
                <w:szCs w:val="18"/>
              </w:rPr>
              <w:t>226.703.277</w:t>
            </w:r>
            <w:bookmarkEnd w:id="51"/>
          </w:p>
        </w:tc>
      </w:tr>
      <w:tr w:rsidR="00D01CC7" w:rsidRPr="00E20D21" w14:paraId="3DD30B0D" w14:textId="77777777" w:rsidTr="008979E6">
        <w:trPr>
          <w:trHeight w:val="283"/>
        </w:trPr>
        <w:tc>
          <w:tcPr>
            <w:tcW w:w="2059" w:type="pct"/>
            <w:tcBorders>
              <w:top w:val="nil"/>
              <w:left w:val="nil"/>
              <w:bottom w:val="nil"/>
              <w:right w:val="nil"/>
            </w:tcBorders>
            <w:shd w:val="clear" w:color="auto" w:fill="auto"/>
            <w:vAlign w:val="center"/>
            <w:hideMark/>
          </w:tcPr>
          <w:p w14:paraId="691BDBE7" w14:textId="77777777" w:rsidR="00D01CC7" w:rsidRPr="00E20D21" w:rsidRDefault="00D01CC7" w:rsidP="00D01CC7">
            <w:pPr>
              <w:ind w:firstLineChars="100" w:firstLine="181"/>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Carteira própria</w:t>
            </w:r>
          </w:p>
        </w:tc>
        <w:tc>
          <w:tcPr>
            <w:tcW w:w="735" w:type="pct"/>
            <w:tcBorders>
              <w:top w:val="nil"/>
              <w:left w:val="nil"/>
              <w:bottom w:val="nil"/>
              <w:right w:val="nil"/>
            </w:tcBorders>
            <w:shd w:val="clear" w:color="auto" w:fill="auto"/>
            <w:noWrap/>
            <w:vAlign w:val="center"/>
          </w:tcPr>
          <w:p w14:paraId="6CD018D0" w14:textId="4E63DB39"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136.734.203</w:t>
            </w:r>
          </w:p>
        </w:tc>
        <w:tc>
          <w:tcPr>
            <w:tcW w:w="735" w:type="pct"/>
            <w:tcBorders>
              <w:top w:val="nil"/>
              <w:left w:val="nil"/>
              <w:bottom w:val="nil"/>
              <w:right w:val="nil"/>
            </w:tcBorders>
            <w:shd w:val="clear" w:color="auto" w:fill="auto"/>
            <w:noWrap/>
            <w:vAlign w:val="center"/>
          </w:tcPr>
          <w:p w14:paraId="0654D2FC" w14:textId="48569939"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171.528.658</w:t>
            </w:r>
          </w:p>
        </w:tc>
        <w:tc>
          <w:tcPr>
            <w:tcW w:w="735" w:type="pct"/>
            <w:tcBorders>
              <w:top w:val="nil"/>
              <w:left w:val="nil"/>
              <w:bottom w:val="nil"/>
              <w:right w:val="nil"/>
            </w:tcBorders>
            <w:shd w:val="clear" w:color="auto" w:fill="auto"/>
            <w:noWrap/>
            <w:vAlign w:val="center"/>
          </w:tcPr>
          <w:p w14:paraId="7F2EC4EA" w14:textId="1F1D2CB5" w:rsidR="00D01CC7" w:rsidRPr="00E20D21" w:rsidRDefault="00CA6863"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136.398.622</w:t>
            </w:r>
          </w:p>
        </w:tc>
        <w:tc>
          <w:tcPr>
            <w:tcW w:w="735" w:type="pct"/>
            <w:tcBorders>
              <w:top w:val="nil"/>
              <w:left w:val="nil"/>
              <w:bottom w:val="nil"/>
              <w:right w:val="nil"/>
            </w:tcBorders>
            <w:shd w:val="clear" w:color="auto" w:fill="auto"/>
            <w:noWrap/>
            <w:vAlign w:val="center"/>
          </w:tcPr>
          <w:p w14:paraId="40454E20" w14:textId="6B7394DF"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170.626.830</w:t>
            </w:r>
          </w:p>
        </w:tc>
      </w:tr>
      <w:tr w:rsidR="00D01CC7" w:rsidRPr="00E20D21" w14:paraId="1B6D66FF" w14:textId="77777777" w:rsidTr="008979E6">
        <w:trPr>
          <w:trHeight w:val="283"/>
        </w:trPr>
        <w:tc>
          <w:tcPr>
            <w:tcW w:w="2059" w:type="pct"/>
            <w:tcBorders>
              <w:top w:val="nil"/>
              <w:left w:val="nil"/>
              <w:bottom w:val="nil"/>
              <w:right w:val="nil"/>
            </w:tcBorders>
            <w:shd w:val="clear" w:color="auto" w:fill="auto"/>
            <w:vAlign w:val="center"/>
            <w:hideMark/>
          </w:tcPr>
          <w:p w14:paraId="645BBB00" w14:textId="77777777" w:rsidR="00D01CC7" w:rsidRPr="00E20D21" w:rsidRDefault="00D01CC7" w:rsidP="00D01CC7">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Letras Financeiras do Tesouro </w:t>
            </w:r>
          </w:p>
        </w:tc>
        <w:tc>
          <w:tcPr>
            <w:tcW w:w="735" w:type="pct"/>
            <w:tcBorders>
              <w:top w:val="nil"/>
              <w:left w:val="nil"/>
              <w:bottom w:val="nil"/>
              <w:right w:val="nil"/>
            </w:tcBorders>
            <w:shd w:val="clear" w:color="auto" w:fill="auto"/>
            <w:noWrap/>
            <w:vAlign w:val="center"/>
          </w:tcPr>
          <w:p w14:paraId="2E21E191" w14:textId="3D40EE9B"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75.537.371</w:t>
            </w:r>
          </w:p>
        </w:tc>
        <w:tc>
          <w:tcPr>
            <w:tcW w:w="735" w:type="pct"/>
            <w:tcBorders>
              <w:top w:val="nil"/>
              <w:left w:val="nil"/>
              <w:bottom w:val="nil"/>
              <w:right w:val="nil"/>
            </w:tcBorders>
            <w:shd w:val="clear" w:color="auto" w:fill="auto"/>
            <w:noWrap/>
            <w:vAlign w:val="center"/>
          </w:tcPr>
          <w:p w14:paraId="64D74719" w14:textId="6D6073C2"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81.738.480</w:t>
            </w:r>
          </w:p>
        </w:tc>
        <w:tc>
          <w:tcPr>
            <w:tcW w:w="735" w:type="pct"/>
            <w:tcBorders>
              <w:top w:val="nil"/>
              <w:left w:val="nil"/>
              <w:bottom w:val="nil"/>
              <w:right w:val="nil"/>
            </w:tcBorders>
            <w:shd w:val="clear" w:color="auto" w:fill="auto"/>
            <w:noWrap/>
            <w:vAlign w:val="center"/>
          </w:tcPr>
          <w:p w14:paraId="31CF789A" w14:textId="3D48D227"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75.537.371</w:t>
            </w:r>
          </w:p>
        </w:tc>
        <w:tc>
          <w:tcPr>
            <w:tcW w:w="735" w:type="pct"/>
            <w:tcBorders>
              <w:top w:val="nil"/>
              <w:left w:val="nil"/>
              <w:bottom w:val="nil"/>
              <w:right w:val="nil"/>
            </w:tcBorders>
            <w:shd w:val="clear" w:color="auto" w:fill="auto"/>
            <w:noWrap/>
            <w:vAlign w:val="center"/>
          </w:tcPr>
          <w:p w14:paraId="7F5282B5" w14:textId="4C230E8B"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81.738.480</w:t>
            </w:r>
          </w:p>
        </w:tc>
      </w:tr>
      <w:tr w:rsidR="00D01CC7" w:rsidRPr="00E20D21" w14:paraId="09A828D9" w14:textId="77777777" w:rsidTr="008979E6">
        <w:trPr>
          <w:trHeight w:val="283"/>
        </w:trPr>
        <w:tc>
          <w:tcPr>
            <w:tcW w:w="2059" w:type="pct"/>
            <w:tcBorders>
              <w:top w:val="nil"/>
              <w:left w:val="nil"/>
              <w:bottom w:val="nil"/>
              <w:right w:val="nil"/>
            </w:tcBorders>
            <w:shd w:val="clear" w:color="auto" w:fill="auto"/>
            <w:vAlign w:val="center"/>
            <w:hideMark/>
          </w:tcPr>
          <w:p w14:paraId="4F15073F" w14:textId="77777777" w:rsidR="00D01CC7" w:rsidRPr="00E20D21" w:rsidRDefault="00D01CC7" w:rsidP="00D01CC7">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do Tesouro Nacional</w:t>
            </w:r>
          </w:p>
        </w:tc>
        <w:tc>
          <w:tcPr>
            <w:tcW w:w="735" w:type="pct"/>
            <w:tcBorders>
              <w:top w:val="nil"/>
              <w:left w:val="nil"/>
              <w:bottom w:val="nil"/>
              <w:right w:val="nil"/>
            </w:tcBorders>
            <w:shd w:val="clear" w:color="auto" w:fill="auto"/>
            <w:noWrap/>
            <w:vAlign w:val="center"/>
          </w:tcPr>
          <w:p w14:paraId="74C3E815" w14:textId="2845BDCF"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53.267.905</w:t>
            </w:r>
          </w:p>
        </w:tc>
        <w:tc>
          <w:tcPr>
            <w:tcW w:w="735" w:type="pct"/>
            <w:tcBorders>
              <w:top w:val="nil"/>
              <w:left w:val="nil"/>
              <w:bottom w:val="nil"/>
              <w:right w:val="nil"/>
            </w:tcBorders>
            <w:shd w:val="clear" w:color="auto" w:fill="auto"/>
            <w:noWrap/>
            <w:vAlign w:val="center"/>
          </w:tcPr>
          <w:p w14:paraId="1AAB528F" w14:textId="16E4ED0A"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83.834.036</w:t>
            </w:r>
          </w:p>
        </w:tc>
        <w:tc>
          <w:tcPr>
            <w:tcW w:w="735" w:type="pct"/>
            <w:tcBorders>
              <w:top w:val="nil"/>
              <w:left w:val="nil"/>
              <w:bottom w:val="nil"/>
              <w:right w:val="nil"/>
            </w:tcBorders>
            <w:shd w:val="clear" w:color="auto" w:fill="auto"/>
            <w:noWrap/>
            <w:vAlign w:val="center"/>
          </w:tcPr>
          <w:p w14:paraId="398B0533" w14:textId="2DB2F710" w:rsidR="00D01CC7" w:rsidRPr="00E20D21" w:rsidRDefault="00CA6863" w:rsidP="00D01CC7">
            <w:pPr>
              <w:jc w:val="right"/>
              <w:rPr>
                <w:rFonts w:ascii="CAIXA Std Book" w:hAnsi="CAIXA Std Book" w:cs="Arial"/>
                <w:color w:val="005CA9"/>
                <w:sz w:val="18"/>
                <w:szCs w:val="18"/>
              </w:rPr>
            </w:pPr>
            <w:r w:rsidRPr="00E20D21">
              <w:rPr>
                <w:rFonts w:ascii="CAIXA Std Book" w:hAnsi="CAIXA Std Book" w:cs="Arial"/>
                <w:color w:val="005CA9"/>
                <w:sz w:val="18"/>
                <w:szCs w:val="18"/>
              </w:rPr>
              <w:t>52.932.324</w:t>
            </w:r>
          </w:p>
        </w:tc>
        <w:tc>
          <w:tcPr>
            <w:tcW w:w="735" w:type="pct"/>
            <w:tcBorders>
              <w:top w:val="nil"/>
              <w:left w:val="nil"/>
              <w:bottom w:val="nil"/>
              <w:right w:val="nil"/>
            </w:tcBorders>
            <w:shd w:val="clear" w:color="auto" w:fill="auto"/>
            <w:noWrap/>
            <w:vAlign w:val="center"/>
          </w:tcPr>
          <w:p w14:paraId="255359C9" w14:textId="77F1DB1C" w:rsidR="00D01CC7" w:rsidRPr="00E20D21" w:rsidRDefault="00D01CC7" w:rsidP="00D01CC7">
            <w:pPr>
              <w:jc w:val="right"/>
              <w:rPr>
                <w:rFonts w:ascii="CAIXA Std Book" w:hAnsi="CAIXA Std Book" w:cs="Arial"/>
                <w:color w:val="005CA9"/>
                <w:sz w:val="18"/>
                <w:szCs w:val="18"/>
              </w:rPr>
            </w:pPr>
            <w:r w:rsidRPr="00E20D21">
              <w:rPr>
                <w:rFonts w:ascii="CAIXA Std Book" w:hAnsi="CAIXA Std Book" w:cs="Arial"/>
                <w:color w:val="005CA9"/>
                <w:sz w:val="18"/>
                <w:szCs w:val="18"/>
              </w:rPr>
              <w:t>82.932.208</w:t>
            </w:r>
          </w:p>
        </w:tc>
      </w:tr>
      <w:tr w:rsidR="00D01CC7" w:rsidRPr="00E20D21" w14:paraId="5FA444F3" w14:textId="77777777" w:rsidTr="008979E6">
        <w:trPr>
          <w:trHeight w:val="283"/>
        </w:trPr>
        <w:tc>
          <w:tcPr>
            <w:tcW w:w="2059" w:type="pct"/>
            <w:tcBorders>
              <w:top w:val="nil"/>
              <w:left w:val="nil"/>
              <w:bottom w:val="nil"/>
              <w:right w:val="nil"/>
            </w:tcBorders>
            <w:shd w:val="clear" w:color="auto" w:fill="auto"/>
            <w:vAlign w:val="center"/>
            <w:hideMark/>
          </w:tcPr>
          <w:p w14:paraId="6685C483" w14:textId="77777777" w:rsidR="00D01CC7" w:rsidRPr="00E20D21" w:rsidRDefault="00D01CC7" w:rsidP="00D01CC7">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Certificados de Recebíveis Imobiliários</w:t>
            </w:r>
          </w:p>
        </w:tc>
        <w:tc>
          <w:tcPr>
            <w:tcW w:w="735" w:type="pct"/>
            <w:tcBorders>
              <w:top w:val="nil"/>
              <w:left w:val="nil"/>
              <w:bottom w:val="nil"/>
              <w:right w:val="nil"/>
            </w:tcBorders>
            <w:shd w:val="clear" w:color="auto" w:fill="auto"/>
            <w:noWrap/>
            <w:vAlign w:val="center"/>
          </w:tcPr>
          <w:p w14:paraId="34D0CB87" w14:textId="67664A75"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3.052.173</w:t>
            </w:r>
          </w:p>
        </w:tc>
        <w:tc>
          <w:tcPr>
            <w:tcW w:w="735" w:type="pct"/>
            <w:tcBorders>
              <w:top w:val="nil"/>
              <w:left w:val="nil"/>
              <w:bottom w:val="nil"/>
              <w:right w:val="nil"/>
            </w:tcBorders>
            <w:shd w:val="clear" w:color="auto" w:fill="auto"/>
            <w:noWrap/>
            <w:vAlign w:val="center"/>
          </w:tcPr>
          <w:p w14:paraId="491CD023" w14:textId="662DE143"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2.705.989</w:t>
            </w:r>
          </w:p>
        </w:tc>
        <w:tc>
          <w:tcPr>
            <w:tcW w:w="735" w:type="pct"/>
            <w:tcBorders>
              <w:top w:val="nil"/>
              <w:left w:val="nil"/>
              <w:bottom w:val="nil"/>
              <w:right w:val="nil"/>
            </w:tcBorders>
            <w:shd w:val="clear" w:color="auto" w:fill="auto"/>
            <w:noWrap/>
            <w:vAlign w:val="center"/>
          </w:tcPr>
          <w:p w14:paraId="71699D3D" w14:textId="45BCF2EF"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3.052.173</w:t>
            </w:r>
          </w:p>
        </w:tc>
        <w:tc>
          <w:tcPr>
            <w:tcW w:w="735" w:type="pct"/>
            <w:tcBorders>
              <w:top w:val="nil"/>
              <w:left w:val="nil"/>
              <w:bottom w:val="nil"/>
              <w:right w:val="nil"/>
            </w:tcBorders>
            <w:shd w:val="clear" w:color="auto" w:fill="auto"/>
            <w:noWrap/>
            <w:vAlign w:val="center"/>
          </w:tcPr>
          <w:p w14:paraId="7BC214C8" w14:textId="146FC19A"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2.705.989</w:t>
            </w:r>
          </w:p>
        </w:tc>
      </w:tr>
      <w:tr w:rsidR="00D01CC7" w:rsidRPr="00E20D21" w14:paraId="17C30D52" w14:textId="77777777" w:rsidTr="008979E6">
        <w:trPr>
          <w:trHeight w:val="283"/>
        </w:trPr>
        <w:tc>
          <w:tcPr>
            <w:tcW w:w="2059" w:type="pct"/>
            <w:tcBorders>
              <w:top w:val="nil"/>
              <w:left w:val="nil"/>
              <w:bottom w:val="nil"/>
              <w:right w:val="nil"/>
            </w:tcBorders>
            <w:shd w:val="clear" w:color="auto" w:fill="auto"/>
            <w:vAlign w:val="center"/>
            <w:hideMark/>
          </w:tcPr>
          <w:p w14:paraId="3BF607B4" w14:textId="77777777" w:rsidR="00D01CC7" w:rsidRPr="00E20D21" w:rsidRDefault="00D01CC7" w:rsidP="00D01CC7">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Debêntures</w:t>
            </w:r>
          </w:p>
        </w:tc>
        <w:tc>
          <w:tcPr>
            <w:tcW w:w="735" w:type="pct"/>
            <w:tcBorders>
              <w:top w:val="nil"/>
              <w:left w:val="nil"/>
              <w:bottom w:val="nil"/>
              <w:right w:val="nil"/>
            </w:tcBorders>
            <w:shd w:val="clear" w:color="auto" w:fill="auto"/>
            <w:noWrap/>
            <w:vAlign w:val="center"/>
          </w:tcPr>
          <w:p w14:paraId="68924DAB" w14:textId="0927B3B1"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4.876.754</w:t>
            </w:r>
          </w:p>
        </w:tc>
        <w:tc>
          <w:tcPr>
            <w:tcW w:w="735" w:type="pct"/>
            <w:tcBorders>
              <w:top w:val="nil"/>
              <w:left w:val="nil"/>
              <w:bottom w:val="nil"/>
              <w:right w:val="nil"/>
            </w:tcBorders>
            <w:shd w:val="clear" w:color="auto" w:fill="auto"/>
            <w:noWrap/>
            <w:vAlign w:val="center"/>
          </w:tcPr>
          <w:p w14:paraId="4FBA8BB0" w14:textId="55333AFC"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3.250.153</w:t>
            </w:r>
          </w:p>
        </w:tc>
        <w:tc>
          <w:tcPr>
            <w:tcW w:w="735" w:type="pct"/>
            <w:tcBorders>
              <w:top w:val="nil"/>
              <w:left w:val="nil"/>
              <w:bottom w:val="nil"/>
              <w:right w:val="nil"/>
            </w:tcBorders>
            <w:shd w:val="clear" w:color="auto" w:fill="auto"/>
            <w:noWrap/>
            <w:vAlign w:val="center"/>
          </w:tcPr>
          <w:p w14:paraId="428DAE5D" w14:textId="7CC097A8" w:rsidR="00D01CC7" w:rsidRPr="00E20D21" w:rsidRDefault="00CA6863"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4.876.754</w:t>
            </w:r>
          </w:p>
        </w:tc>
        <w:tc>
          <w:tcPr>
            <w:tcW w:w="735" w:type="pct"/>
            <w:tcBorders>
              <w:top w:val="nil"/>
              <w:left w:val="nil"/>
              <w:bottom w:val="nil"/>
              <w:right w:val="nil"/>
            </w:tcBorders>
            <w:shd w:val="clear" w:color="auto" w:fill="auto"/>
            <w:noWrap/>
            <w:vAlign w:val="center"/>
          </w:tcPr>
          <w:p w14:paraId="5066EDF1" w14:textId="1E62F150"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3.250.153</w:t>
            </w:r>
          </w:p>
        </w:tc>
      </w:tr>
      <w:tr w:rsidR="00D01CC7" w:rsidRPr="00E20D21" w14:paraId="30E393C1" w14:textId="77777777" w:rsidTr="008979E6">
        <w:trPr>
          <w:trHeight w:val="283"/>
        </w:trPr>
        <w:tc>
          <w:tcPr>
            <w:tcW w:w="2059" w:type="pct"/>
            <w:tcBorders>
              <w:top w:val="nil"/>
              <w:left w:val="nil"/>
              <w:bottom w:val="nil"/>
              <w:right w:val="nil"/>
            </w:tcBorders>
            <w:shd w:val="clear" w:color="auto" w:fill="auto"/>
            <w:vAlign w:val="center"/>
            <w:hideMark/>
          </w:tcPr>
          <w:p w14:paraId="2F7CAFC3" w14:textId="77777777" w:rsidR="00D01CC7" w:rsidRPr="00E20D21" w:rsidRDefault="00D01CC7" w:rsidP="00D01CC7">
            <w:pPr>
              <w:ind w:firstLineChars="100" w:firstLine="181"/>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Carteira de terceiros</w:t>
            </w:r>
          </w:p>
        </w:tc>
        <w:tc>
          <w:tcPr>
            <w:tcW w:w="735" w:type="pct"/>
            <w:tcBorders>
              <w:top w:val="nil"/>
              <w:left w:val="nil"/>
              <w:bottom w:val="nil"/>
              <w:right w:val="nil"/>
            </w:tcBorders>
            <w:shd w:val="clear" w:color="auto" w:fill="auto"/>
            <w:noWrap/>
            <w:vAlign w:val="center"/>
          </w:tcPr>
          <w:p w14:paraId="5D6FA5AD" w14:textId="296AB395"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85.605.716</w:t>
            </w:r>
          </w:p>
        </w:tc>
        <w:tc>
          <w:tcPr>
            <w:tcW w:w="735" w:type="pct"/>
            <w:tcBorders>
              <w:top w:val="nil"/>
              <w:left w:val="nil"/>
              <w:bottom w:val="nil"/>
              <w:right w:val="nil"/>
            </w:tcBorders>
            <w:shd w:val="clear" w:color="auto" w:fill="auto"/>
            <w:noWrap/>
            <w:vAlign w:val="center"/>
          </w:tcPr>
          <w:p w14:paraId="1F33D5E3" w14:textId="0758827C"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56.076.447</w:t>
            </w:r>
          </w:p>
        </w:tc>
        <w:tc>
          <w:tcPr>
            <w:tcW w:w="735" w:type="pct"/>
            <w:tcBorders>
              <w:top w:val="nil"/>
              <w:left w:val="nil"/>
              <w:bottom w:val="nil"/>
              <w:right w:val="nil"/>
            </w:tcBorders>
            <w:shd w:val="clear" w:color="auto" w:fill="auto"/>
            <w:noWrap/>
            <w:vAlign w:val="center"/>
          </w:tcPr>
          <w:p w14:paraId="22A1187E" w14:textId="03870A43" w:rsidR="00D01CC7" w:rsidRPr="00E20D21" w:rsidRDefault="00CA6863"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85.605.716</w:t>
            </w:r>
          </w:p>
        </w:tc>
        <w:tc>
          <w:tcPr>
            <w:tcW w:w="735" w:type="pct"/>
            <w:tcBorders>
              <w:top w:val="nil"/>
              <w:left w:val="nil"/>
              <w:bottom w:val="nil"/>
              <w:right w:val="nil"/>
            </w:tcBorders>
            <w:shd w:val="clear" w:color="auto" w:fill="auto"/>
            <w:noWrap/>
            <w:vAlign w:val="center"/>
          </w:tcPr>
          <w:p w14:paraId="19356800" w14:textId="54D03EA9"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56.076.447</w:t>
            </w:r>
          </w:p>
        </w:tc>
      </w:tr>
      <w:tr w:rsidR="00D01CC7" w:rsidRPr="00E20D21" w14:paraId="1226AB06" w14:textId="77777777" w:rsidTr="00D53512">
        <w:trPr>
          <w:trHeight w:val="283"/>
        </w:trPr>
        <w:tc>
          <w:tcPr>
            <w:tcW w:w="2059" w:type="pct"/>
            <w:tcBorders>
              <w:top w:val="nil"/>
              <w:left w:val="nil"/>
              <w:bottom w:val="nil"/>
              <w:right w:val="nil"/>
            </w:tcBorders>
            <w:shd w:val="clear" w:color="auto" w:fill="auto"/>
            <w:vAlign w:val="center"/>
          </w:tcPr>
          <w:p w14:paraId="5D630BE9" w14:textId="4A499E55" w:rsidR="00D01CC7" w:rsidRPr="00E20D21" w:rsidRDefault="00D01CC7" w:rsidP="00D01CC7">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do Tesouro Nacional</w:t>
            </w:r>
          </w:p>
        </w:tc>
        <w:tc>
          <w:tcPr>
            <w:tcW w:w="735" w:type="pct"/>
            <w:tcBorders>
              <w:top w:val="nil"/>
              <w:left w:val="nil"/>
              <w:bottom w:val="nil"/>
              <w:right w:val="nil"/>
            </w:tcBorders>
            <w:shd w:val="clear" w:color="auto" w:fill="auto"/>
            <w:noWrap/>
            <w:vAlign w:val="center"/>
          </w:tcPr>
          <w:p w14:paraId="3BCCCEE0" w14:textId="2CD69192" w:rsidR="00D01CC7" w:rsidRPr="00E20D21" w:rsidRDefault="00CF5D5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39.529.338</w:t>
            </w:r>
          </w:p>
        </w:tc>
        <w:tc>
          <w:tcPr>
            <w:tcW w:w="735" w:type="pct"/>
            <w:tcBorders>
              <w:top w:val="nil"/>
              <w:left w:val="nil"/>
              <w:bottom w:val="nil"/>
              <w:right w:val="nil"/>
            </w:tcBorders>
            <w:shd w:val="clear" w:color="auto" w:fill="auto"/>
            <w:noWrap/>
            <w:vAlign w:val="center"/>
          </w:tcPr>
          <w:p w14:paraId="3B292A10" w14:textId="4C924CE1" w:rsidR="00D01CC7" w:rsidRPr="00E20D21" w:rsidRDefault="00666BA1"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28.902.560</w:t>
            </w:r>
          </w:p>
        </w:tc>
        <w:tc>
          <w:tcPr>
            <w:tcW w:w="735" w:type="pct"/>
            <w:tcBorders>
              <w:top w:val="nil"/>
              <w:left w:val="nil"/>
              <w:bottom w:val="nil"/>
              <w:right w:val="nil"/>
            </w:tcBorders>
            <w:shd w:val="clear" w:color="auto" w:fill="auto"/>
            <w:noWrap/>
            <w:vAlign w:val="center"/>
          </w:tcPr>
          <w:p w14:paraId="353F749D" w14:textId="4A64CD81" w:rsidR="00D01CC7" w:rsidRPr="00E20D21" w:rsidRDefault="00CF5D5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39.529.338</w:t>
            </w:r>
          </w:p>
        </w:tc>
        <w:tc>
          <w:tcPr>
            <w:tcW w:w="735" w:type="pct"/>
            <w:tcBorders>
              <w:top w:val="nil"/>
              <w:left w:val="nil"/>
              <w:bottom w:val="nil"/>
              <w:right w:val="nil"/>
            </w:tcBorders>
            <w:shd w:val="clear" w:color="auto" w:fill="auto"/>
            <w:noWrap/>
            <w:vAlign w:val="center"/>
          </w:tcPr>
          <w:p w14:paraId="5E698BD7" w14:textId="233ED992" w:rsidR="00D01CC7" w:rsidRPr="00E20D21" w:rsidRDefault="00D01CC7" w:rsidP="009155F0">
            <w:pPr>
              <w:jc w:val="right"/>
              <w:rPr>
                <w:rFonts w:ascii="CAIXA Std Book" w:hAnsi="CAIXA Std Book" w:cs="Arial"/>
                <w:color w:val="005CA9"/>
                <w:sz w:val="18"/>
                <w:szCs w:val="18"/>
              </w:rPr>
            </w:pPr>
            <w:r w:rsidRPr="00E20D21">
              <w:rPr>
                <w:rFonts w:ascii="CAIXA Std Book" w:hAnsi="CAIXA Std Book" w:cs="Arial"/>
                <w:color w:val="005CA9"/>
                <w:sz w:val="18"/>
                <w:szCs w:val="18"/>
              </w:rPr>
              <w:t>28.902.560</w:t>
            </w:r>
          </w:p>
        </w:tc>
      </w:tr>
      <w:tr w:rsidR="00D01CC7" w:rsidRPr="00E20D21" w14:paraId="46DA2AEC" w14:textId="77777777" w:rsidTr="008979E6">
        <w:trPr>
          <w:trHeight w:val="283"/>
        </w:trPr>
        <w:tc>
          <w:tcPr>
            <w:tcW w:w="2059" w:type="pct"/>
            <w:tcBorders>
              <w:top w:val="nil"/>
              <w:left w:val="nil"/>
              <w:bottom w:val="nil"/>
              <w:right w:val="nil"/>
            </w:tcBorders>
            <w:shd w:val="clear" w:color="auto" w:fill="auto"/>
            <w:vAlign w:val="center"/>
            <w:hideMark/>
          </w:tcPr>
          <w:p w14:paraId="568ACF80" w14:textId="77777777" w:rsidR="00D01CC7" w:rsidRPr="00E20D21" w:rsidRDefault="00D01CC7" w:rsidP="00D01CC7">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Notas do Tesouro Nacional </w:t>
            </w:r>
          </w:p>
        </w:tc>
        <w:tc>
          <w:tcPr>
            <w:tcW w:w="735" w:type="pct"/>
            <w:tcBorders>
              <w:top w:val="nil"/>
              <w:left w:val="nil"/>
              <w:bottom w:val="nil"/>
              <w:right w:val="nil"/>
            </w:tcBorders>
            <w:shd w:val="clear" w:color="auto" w:fill="auto"/>
            <w:noWrap/>
            <w:vAlign w:val="center"/>
          </w:tcPr>
          <w:p w14:paraId="264732A6" w14:textId="3D398EB7" w:rsidR="00D01CC7" w:rsidRPr="00E20D21" w:rsidRDefault="005536C2" w:rsidP="00D01CC7">
            <w:pPr>
              <w:jc w:val="right"/>
              <w:rPr>
                <w:rFonts w:ascii="CAIXA Std Book" w:hAnsi="CAIXA Std Book" w:cs="Arial"/>
                <w:color w:val="005CA9"/>
                <w:sz w:val="18"/>
                <w:szCs w:val="18"/>
              </w:rPr>
            </w:pPr>
            <w:r w:rsidRPr="00E20D21">
              <w:rPr>
                <w:rFonts w:ascii="CAIXA Std Book" w:hAnsi="CAIXA Std Book" w:cs="Arial"/>
                <w:color w:val="005CA9"/>
                <w:sz w:val="18"/>
                <w:szCs w:val="18"/>
              </w:rPr>
              <w:t>46.076.378</w:t>
            </w:r>
          </w:p>
        </w:tc>
        <w:tc>
          <w:tcPr>
            <w:tcW w:w="735" w:type="pct"/>
            <w:tcBorders>
              <w:top w:val="nil"/>
              <w:left w:val="nil"/>
              <w:bottom w:val="nil"/>
              <w:right w:val="nil"/>
            </w:tcBorders>
            <w:shd w:val="clear" w:color="auto" w:fill="auto"/>
            <w:noWrap/>
            <w:vAlign w:val="center"/>
          </w:tcPr>
          <w:p w14:paraId="146ED948" w14:textId="39149DDF" w:rsidR="00D01CC7" w:rsidRPr="00E20D21" w:rsidRDefault="00666BA1"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27.173.887</w:t>
            </w:r>
          </w:p>
        </w:tc>
        <w:tc>
          <w:tcPr>
            <w:tcW w:w="735" w:type="pct"/>
            <w:tcBorders>
              <w:top w:val="nil"/>
              <w:left w:val="nil"/>
              <w:bottom w:val="nil"/>
              <w:right w:val="nil"/>
            </w:tcBorders>
            <w:shd w:val="clear" w:color="auto" w:fill="auto"/>
            <w:noWrap/>
            <w:vAlign w:val="center"/>
          </w:tcPr>
          <w:p w14:paraId="7B9263DD" w14:textId="1723FD4D" w:rsidR="00D01CC7" w:rsidRPr="00E20D21" w:rsidRDefault="005536C2" w:rsidP="00D01CC7">
            <w:pPr>
              <w:jc w:val="right"/>
              <w:rPr>
                <w:rFonts w:ascii="CAIXA Std Book" w:hAnsi="CAIXA Std Book" w:cs="Arial"/>
                <w:color w:val="005CA9"/>
                <w:sz w:val="18"/>
                <w:szCs w:val="18"/>
              </w:rPr>
            </w:pPr>
            <w:r w:rsidRPr="00E20D21">
              <w:rPr>
                <w:rFonts w:ascii="CAIXA Std Book" w:hAnsi="CAIXA Std Book" w:cs="Arial"/>
                <w:color w:val="005CA9"/>
                <w:sz w:val="18"/>
                <w:szCs w:val="18"/>
              </w:rPr>
              <w:t>46.076.378</w:t>
            </w:r>
          </w:p>
        </w:tc>
        <w:tc>
          <w:tcPr>
            <w:tcW w:w="735" w:type="pct"/>
            <w:tcBorders>
              <w:top w:val="nil"/>
              <w:left w:val="nil"/>
              <w:bottom w:val="nil"/>
              <w:right w:val="nil"/>
            </w:tcBorders>
            <w:shd w:val="clear" w:color="auto" w:fill="auto"/>
            <w:noWrap/>
            <w:vAlign w:val="center"/>
          </w:tcPr>
          <w:p w14:paraId="3A0E04C7" w14:textId="16D8E937" w:rsidR="00D01CC7" w:rsidRPr="00E20D21" w:rsidRDefault="00D01CC7" w:rsidP="00D01CC7">
            <w:pPr>
              <w:jc w:val="right"/>
              <w:rPr>
                <w:rFonts w:ascii="CAIXA Std Book" w:hAnsi="CAIXA Std Book" w:cs="Arial"/>
                <w:color w:val="005CA9"/>
                <w:sz w:val="18"/>
                <w:szCs w:val="18"/>
              </w:rPr>
            </w:pPr>
            <w:r w:rsidRPr="00E20D21">
              <w:rPr>
                <w:rFonts w:ascii="CAIXA Std Book" w:hAnsi="CAIXA Std Book" w:cs="Arial"/>
                <w:color w:val="005CA9"/>
                <w:sz w:val="18"/>
                <w:szCs w:val="18"/>
              </w:rPr>
              <w:t>27.173.887</w:t>
            </w:r>
          </w:p>
        </w:tc>
      </w:tr>
      <w:tr w:rsidR="00D01CC7" w:rsidRPr="00E20D21" w14:paraId="1816BF67" w14:textId="77777777" w:rsidTr="00CA6863">
        <w:trPr>
          <w:trHeight w:val="283"/>
        </w:trPr>
        <w:tc>
          <w:tcPr>
            <w:tcW w:w="2059" w:type="pct"/>
            <w:tcBorders>
              <w:top w:val="nil"/>
              <w:left w:val="nil"/>
              <w:bottom w:val="nil"/>
              <w:right w:val="nil"/>
            </w:tcBorders>
            <w:shd w:val="clear" w:color="auto" w:fill="auto"/>
            <w:vAlign w:val="center"/>
            <w:hideMark/>
          </w:tcPr>
          <w:p w14:paraId="3590931F" w14:textId="77777777" w:rsidR="00D01CC7" w:rsidRPr="00E20D21" w:rsidRDefault="00D01CC7" w:rsidP="00D01CC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 interfinanceiros</w:t>
            </w:r>
          </w:p>
        </w:tc>
        <w:tc>
          <w:tcPr>
            <w:tcW w:w="735" w:type="pct"/>
            <w:tcBorders>
              <w:top w:val="nil"/>
              <w:left w:val="nil"/>
              <w:bottom w:val="single" w:sz="4" w:space="0" w:color="F79646" w:themeColor="accent6"/>
              <w:right w:val="nil"/>
            </w:tcBorders>
            <w:shd w:val="clear" w:color="auto" w:fill="auto"/>
            <w:noWrap/>
            <w:vAlign w:val="center"/>
          </w:tcPr>
          <w:p w14:paraId="0668ECB3" w14:textId="63F358B5"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2.043.954</w:t>
            </w:r>
          </w:p>
        </w:tc>
        <w:tc>
          <w:tcPr>
            <w:tcW w:w="735" w:type="pct"/>
            <w:tcBorders>
              <w:top w:val="nil"/>
              <w:left w:val="nil"/>
              <w:bottom w:val="single" w:sz="4" w:space="0" w:color="F79646" w:themeColor="accent6"/>
              <w:right w:val="nil"/>
            </w:tcBorders>
            <w:shd w:val="clear" w:color="auto" w:fill="auto"/>
            <w:noWrap/>
            <w:vAlign w:val="center"/>
          </w:tcPr>
          <w:p w14:paraId="024D39BE" w14:textId="34984402"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2.242.722</w:t>
            </w:r>
          </w:p>
        </w:tc>
        <w:tc>
          <w:tcPr>
            <w:tcW w:w="735" w:type="pct"/>
            <w:tcBorders>
              <w:top w:val="nil"/>
              <w:left w:val="nil"/>
              <w:bottom w:val="nil"/>
              <w:right w:val="nil"/>
            </w:tcBorders>
            <w:shd w:val="clear" w:color="auto" w:fill="auto"/>
            <w:noWrap/>
            <w:vAlign w:val="center"/>
          </w:tcPr>
          <w:p w14:paraId="67ACCFAA" w14:textId="354C8E2E" w:rsidR="00D01CC7" w:rsidRPr="00E20D21" w:rsidRDefault="00CA6863"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2.043.954</w:t>
            </w:r>
          </w:p>
        </w:tc>
        <w:tc>
          <w:tcPr>
            <w:tcW w:w="735" w:type="pct"/>
            <w:tcBorders>
              <w:top w:val="nil"/>
              <w:left w:val="nil"/>
              <w:bottom w:val="nil"/>
              <w:right w:val="nil"/>
            </w:tcBorders>
            <w:shd w:val="clear" w:color="auto" w:fill="auto"/>
            <w:noWrap/>
            <w:vAlign w:val="center"/>
          </w:tcPr>
          <w:p w14:paraId="6BA79BF4" w14:textId="70C5B0E5"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2.242.722</w:t>
            </w:r>
          </w:p>
        </w:tc>
      </w:tr>
      <w:tr w:rsidR="00D01CC7" w:rsidRPr="00E20D21" w14:paraId="69D9E758" w14:textId="77777777" w:rsidTr="00CA6863">
        <w:trPr>
          <w:trHeight w:val="283"/>
        </w:trPr>
        <w:tc>
          <w:tcPr>
            <w:tcW w:w="2059" w:type="pct"/>
            <w:tcBorders>
              <w:top w:val="single" w:sz="4" w:space="0" w:color="F39200"/>
              <w:left w:val="nil"/>
              <w:bottom w:val="single" w:sz="4" w:space="0" w:color="F39200"/>
              <w:right w:val="nil"/>
            </w:tcBorders>
            <w:shd w:val="clear" w:color="auto" w:fill="auto"/>
            <w:noWrap/>
            <w:vAlign w:val="center"/>
            <w:hideMark/>
          </w:tcPr>
          <w:p w14:paraId="3BB98B4A" w14:textId="77777777" w:rsidR="00D01CC7" w:rsidRPr="00E20D21" w:rsidRDefault="00D01CC7" w:rsidP="00D01CC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35" w:type="pct"/>
            <w:tcBorders>
              <w:top w:val="single" w:sz="4" w:space="0" w:color="F79646" w:themeColor="accent6"/>
              <w:left w:val="nil"/>
              <w:bottom w:val="single" w:sz="4" w:space="0" w:color="F79646"/>
              <w:right w:val="nil"/>
            </w:tcBorders>
            <w:shd w:val="clear" w:color="auto" w:fill="auto"/>
            <w:vAlign w:val="center"/>
          </w:tcPr>
          <w:p w14:paraId="58216A8D" w14:textId="5075D492" w:rsidR="00D01CC7" w:rsidRPr="00E20D21" w:rsidRDefault="00D01CC7" w:rsidP="00D01CC7">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692.098.001</w:t>
            </w:r>
          </w:p>
        </w:tc>
        <w:tc>
          <w:tcPr>
            <w:tcW w:w="735" w:type="pct"/>
            <w:tcBorders>
              <w:top w:val="single" w:sz="4" w:space="0" w:color="F79646" w:themeColor="accent6"/>
              <w:left w:val="nil"/>
              <w:bottom w:val="single" w:sz="4" w:space="0" w:color="F79646"/>
              <w:right w:val="nil"/>
            </w:tcBorders>
            <w:shd w:val="clear" w:color="auto" w:fill="auto"/>
            <w:vAlign w:val="center"/>
          </w:tcPr>
          <w:p w14:paraId="150186CE" w14:textId="75E81E77"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665.024.676</w:t>
            </w:r>
          </w:p>
        </w:tc>
        <w:tc>
          <w:tcPr>
            <w:tcW w:w="735" w:type="pct"/>
            <w:tcBorders>
              <w:top w:val="single" w:sz="4" w:space="0" w:color="F39200"/>
              <w:left w:val="nil"/>
              <w:bottom w:val="single" w:sz="4" w:space="0" w:color="F39200"/>
              <w:right w:val="nil"/>
            </w:tcBorders>
            <w:shd w:val="clear" w:color="auto" w:fill="auto"/>
            <w:vAlign w:val="center"/>
          </w:tcPr>
          <w:p w14:paraId="769D4FAB" w14:textId="54F742CA" w:rsidR="00D01CC7" w:rsidRPr="00E20D21" w:rsidRDefault="00CA6863"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691.762.420</w:t>
            </w:r>
          </w:p>
        </w:tc>
        <w:tc>
          <w:tcPr>
            <w:tcW w:w="735" w:type="pct"/>
            <w:tcBorders>
              <w:top w:val="single" w:sz="4" w:space="0" w:color="F39200"/>
              <w:left w:val="nil"/>
              <w:bottom w:val="single" w:sz="4" w:space="0" w:color="F39200"/>
              <w:right w:val="nil"/>
            </w:tcBorders>
            <w:shd w:val="clear" w:color="auto" w:fill="auto"/>
            <w:vAlign w:val="center"/>
          </w:tcPr>
          <w:p w14:paraId="0C06543A" w14:textId="6B20315B" w:rsidR="00D01CC7" w:rsidRPr="00E20D21" w:rsidRDefault="00D01CC7" w:rsidP="00D01CC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664.122.848</w:t>
            </w:r>
          </w:p>
        </w:tc>
      </w:tr>
      <w:tr w:rsidR="00D01CC7" w:rsidRPr="00E20D21" w14:paraId="3E7C7B72" w14:textId="77777777" w:rsidTr="00CA6863">
        <w:trPr>
          <w:trHeight w:val="283"/>
        </w:trPr>
        <w:tc>
          <w:tcPr>
            <w:tcW w:w="2059" w:type="pct"/>
            <w:tcBorders>
              <w:top w:val="nil"/>
              <w:left w:val="nil"/>
              <w:bottom w:val="nil"/>
              <w:right w:val="nil"/>
            </w:tcBorders>
            <w:shd w:val="clear" w:color="auto" w:fill="auto"/>
            <w:vAlign w:val="center"/>
            <w:hideMark/>
          </w:tcPr>
          <w:p w14:paraId="678D1699" w14:textId="77777777" w:rsidR="00D01CC7" w:rsidRPr="00E20D21" w:rsidRDefault="00D01CC7" w:rsidP="00D01CC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circulante</w:t>
            </w:r>
          </w:p>
        </w:tc>
        <w:tc>
          <w:tcPr>
            <w:tcW w:w="735" w:type="pct"/>
            <w:tcBorders>
              <w:top w:val="single" w:sz="4" w:space="0" w:color="F79646"/>
              <w:left w:val="nil"/>
              <w:bottom w:val="nil"/>
              <w:right w:val="nil"/>
            </w:tcBorders>
            <w:shd w:val="clear" w:color="auto" w:fill="auto"/>
            <w:vAlign w:val="center"/>
          </w:tcPr>
          <w:p w14:paraId="2AA8E08C" w14:textId="4C042BB0" w:rsidR="00D01CC7" w:rsidRPr="00E20D21" w:rsidRDefault="00817CDB"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228.416.575</w:t>
            </w:r>
          </w:p>
        </w:tc>
        <w:tc>
          <w:tcPr>
            <w:tcW w:w="735" w:type="pct"/>
            <w:tcBorders>
              <w:top w:val="single" w:sz="4" w:space="0" w:color="F79646"/>
              <w:left w:val="nil"/>
              <w:bottom w:val="nil"/>
              <w:right w:val="nil"/>
            </w:tcBorders>
            <w:shd w:val="clear" w:color="auto" w:fill="auto"/>
            <w:vAlign w:val="center"/>
          </w:tcPr>
          <w:p w14:paraId="2BBB2318" w14:textId="5BD8C88E"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235.585.780</w:t>
            </w:r>
          </w:p>
        </w:tc>
        <w:tc>
          <w:tcPr>
            <w:tcW w:w="735" w:type="pct"/>
            <w:tcBorders>
              <w:top w:val="nil"/>
              <w:left w:val="nil"/>
              <w:bottom w:val="nil"/>
              <w:right w:val="nil"/>
            </w:tcBorders>
            <w:shd w:val="clear" w:color="auto" w:fill="auto"/>
            <w:vAlign w:val="center"/>
          </w:tcPr>
          <w:p w14:paraId="453E0717" w14:textId="6692C6AF" w:rsidR="00D01CC7" w:rsidRPr="00E20D21" w:rsidRDefault="00817CDB"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228.080.994</w:t>
            </w:r>
          </w:p>
        </w:tc>
        <w:tc>
          <w:tcPr>
            <w:tcW w:w="735" w:type="pct"/>
            <w:tcBorders>
              <w:top w:val="nil"/>
              <w:left w:val="nil"/>
              <w:bottom w:val="nil"/>
              <w:right w:val="nil"/>
            </w:tcBorders>
            <w:shd w:val="clear" w:color="auto" w:fill="auto"/>
            <w:vAlign w:val="center"/>
          </w:tcPr>
          <w:p w14:paraId="77A2E01C" w14:textId="4D126D1D"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234.683.952</w:t>
            </w:r>
          </w:p>
        </w:tc>
      </w:tr>
      <w:tr w:rsidR="00D01CC7" w:rsidRPr="00E20D21" w14:paraId="3263FE44" w14:textId="77777777" w:rsidTr="00CA6863">
        <w:trPr>
          <w:trHeight w:val="283"/>
        </w:trPr>
        <w:tc>
          <w:tcPr>
            <w:tcW w:w="2059" w:type="pct"/>
            <w:tcBorders>
              <w:top w:val="nil"/>
              <w:left w:val="nil"/>
              <w:bottom w:val="single" w:sz="4" w:space="0" w:color="F39200"/>
              <w:right w:val="nil"/>
            </w:tcBorders>
            <w:shd w:val="clear" w:color="auto" w:fill="auto"/>
            <w:vAlign w:val="center"/>
            <w:hideMark/>
          </w:tcPr>
          <w:p w14:paraId="4898A632" w14:textId="77777777" w:rsidR="00D01CC7" w:rsidRPr="00E20D21" w:rsidRDefault="00D01CC7" w:rsidP="00D01CC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não circulante</w:t>
            </w:r>
          </w:p>
        </w:tc>
        <w:tc>
          <w:tcPr>
            <w:tcW w:w="735" w:type="pct"/>
            <w:tcBorders>
              <w:top w:val="nil"/>
              <w:left w:val="nil"/>
              <w:bottom w:val="single" w:sz="4" w:space="0" w:color="F79646"/>
              <w:right w:val="nil"/>
            </w:tcBorders>
            <w:shd w:val="clear" w:color="auto" w:fill="auto"/>
            <w:vAlign w:val="center"/>
          </w:tcPr>
          <w:p w14:paraId="232CA794" w14:textId="24608AE5" w:rsidR="00D01CC7" w:rsidRPr="00E20D21" w:rsidRDefault="00817CDB"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463.681.426</w:t>
            </w:r>
          </w:p>
        </w:tc>
        <w:tc>
          <w:tcPr>
            <w:tcW w:w="735" w:type="pct"/>
            <w:tcBorders>
              <w:top w:val="nil"/>
              <w:left w:val="nil"/>
              <w:bottom w:val="single" w:sz="4" w:space="0" w:color="F79646"/>
              <w:right w:val="nil"/>
            </w:tcBorders>
            <w:shd w:val="clear" w:color="auto" w:fill="auto"/>
            <w:vAlign w:val="center"/>
          </w:tcPr>
          <w:p w14:paraId="0325A353" w14:textId="5EA7D073"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429.438.896</w:t>
            </w:r>
          </w:p>
        </w:tc>
        <w:tc>
          <w:tcPr>
            <w:tcW w:w="735" w:type="pct"/>
            <w:tcBorders>
              <w:top w:val="nil"/>
              <w:left w:val="nil"/>
              <w:bottom w:val="single" w:sz="4" w:space="0" w:color="F39200"/>
              <w:right w:val="nil"/>
            </w:tcBorders>
            <w:shd w:val="clear" w:color="auto" w:fill="auto"/>
            <w:vAlign w:val="center"/>
          </w:tcPr>
          <w:p w14:paraId="55F7505D" w14:textId="27DD20CF" w:rsidR="00D01CC7" w:rsidRPr="00E20D21" w:rsidRDefault="00817CDB" w:rsidP="00D01CC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463.681.426</w:t>
            </w:r>
          </w:p>
        </w:tc>
        <w:tc>
          <w:tcPr>
            <w:tcW w:w="735" w:type="pct"/>
            <w:tcBorders>
              <w:top w:val="nil"/>
              <w:left w:val="nil"/>
              <w:bottom w:val="single" w:sz="4" w:space="0" w:color="F39200"/>
              <w:right w:val="nil"/>
            </w:tcBorders>
            <w:shd w:val="clear" w:color="auto" w:fill="auto"/>
            <w:vAlign w:val="center"/>
          </w:tcPr>
          <w:p w14:paraId="0BD2D5E2" w14:textId="56F0D184" w:rsidR="00D01CC7" w:rsidRPr="00E20D21" w:rsidRDefault="00D01CC7" w:rsidP="00D01CC7">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429.438.896</w:t>
            </w:r>
          </w:p>
        </w:tc>
      </w:tr>
    </w:tbl>
    <w:p w14:paraId="2400567C" w14:textId="71390846" w:rsidR="00487BF4" w:rsidRPr="00E20D21" w:rsidRDefault="00A86945" w:rsidP="001D190D">
      <w:pPr>
        <w:rPr>
          <w:rFonts w:ascii="CAIXA Std Book" w:hAnsi="CAIXA Std Book"/>
          <w:b/>
          <w:color w:val="005CA9"/>
          <w:sz w:val="20"/>
          <w:szCs w:val="20"/>
        </w:rPr>
      </w:pPr>
      <w:r w:rsidRPr="00E20D21">
        <w:rPr>
          <w:rFonts w:ascii="CAIXA Std Book" w:hAnsi="CAIXA Std Book"/>
          <w:b/>
          <w:color w:val="005CA9"/>
          <w:sz w:val="20"/>
          <w:szCs w:val="20"/>
        </w:rPr>
        <w:br w:type="page"/>
      </w:r>
      <w:r w:rsidR="00487BF4" w:rsidRPr="00E20D21">
        <w:rPr>
          <w:rFonts w:ascii="CAIXA Std Book" w:hAnsi="CAIXA Std Book"/>
          <w:b/>
          <w:color w:val="005CA9"/>
          <w:sz w:val="20"/>
          <w:szCs w:val="20"/>
        </w:rPr>
        <w:lastRenderedPageBreak/>
        <w:t>Repasses no país</w:t>
      </w:r>
      <w:r w:rsidR="006C4E0C" w:rsidRPr="00E20D21">
        <w:rPr>
          <w:rFonts w:ascii="CAIXA Std Book" w:hAnsi="CAIXA Std Book"/>
          <w:b/>
          <w:color w:val="005CA9"/>
          <w:sz w:val="20"/>
          <w:szCs w:val="20"/>
        </w:rPr>
        <w:t xml:space="preserve"> - FGTS</w:t>
      </w:r>
    </w:p>
    <w:p w14:paraId="62DE7EDB" w14:textId="7BB7B585" w:rsidR="00854562" w:rsidRPr="00E20D21" w:rsidRDefault="006C4E0C" w:rsidP="00854562">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Os</w:t>
      </w:r>
      <w:r w:rsidR="00854562" w:rsidRPr="00E20D21">
        <w:rPr>
          <w:rFonts w:ascii="CAIXA Std Book" w:hAnsi="CAIXA Std Book"/>
          <w:color w:val="005CA9"/>
          <w:sz w:val="20"/>
          <w:szCs w:val="20"/>
        </w:rPr>
        <w:t xml:space="preserve"> recursos repassados pelo FGTS </w:t>
      </w:r>
      <w:r w:rsidR="00791E42" w:rsidRPr="00E20D21">
        <w:rPr>
          <w:rFonts w:ascii="CAIXA Std Book" w:hAnsi="CAIXA Std Book"/>
          <w:color w:val="005CA9"/>
          <w:sz w:val="20"/>
          <w:szCs w:val="20"/>
        </w:rPr>
        <w:t>são destinados à</w:t>
      </w:r>
      <w:r w:rsidR="00854562" w:rsidRPr="00E20D21">
        <w:rPr>
          <w:rFonts w:ascii="CAIXA Std Book" w:hAnsi="CAIXA Std Book"/>
          <w:color w:val="005CA9"/>
          <w:sz w:val="20"/>
          <w:szCs w:val="20"/>
        </w:rPr>
        <w:t xml:space="preserve"> aplicação em operações de infraestrutura, desenvolvimento urbano e crédito imobiliário. Tais repasses estão sujeitos à atualização monetária de acordo com a variação da Taxa Referencial (TR), taxa média de juros de 4,</w:t>
      </w:r>
      <w:r w:rsidR="002D405D" w:rsidRPr="00E20D21">
        <w:rPr>
          <w:rFonts w:ascii="CAIXA Std Book" w:hAnsi="CAIXA Std Book"/>
          <w:color w:val="005CA9"/>
          <w:sz w:val="20"/>
          <w:szCs w:val="20"/>
        </w:rPr>
        <w:t>8</w:t>
      </w:r>
      <w:r w:rsidR="003160FF" w:rsidRPr="00E20D21">
        <w:rPr>
          <w:rFonts w:ascii="CAIXA Std Book" w:hAnsi="CAIXA Std Book"/>
          <w:color w:val="005CA9"/>
          <w:sz w:val="20"/>
          <w:szCs w:val="20"/>
        </w:rPr>
        <w:t>5</w:t>
      </w:r>
      <w:r w:rsidR="00854562" w:rsidRPr="00E20D21">
        <w:rPr>
          <w:rFonts w:ascii="CAIXA Std Book" w:hAnsi="CAIXA Std Book"/>
          <w:color w:val="005CA9"/>
          <w:sz w:val="20"/>
          <w:szCs w:val="20"/>
        </w:rPr>
        <w:t>% a.a. (habitação 4,</w:t>
      </w:r>
      <w:r w:rsidR="00B62EED" w:rsidRPr="00E20D21">
        <w:rPr>
          <w:rFonts w:ascii="CAIXA Std Book" w:hAnsi="CAIXA Std Book"/>
          <w:color w:val="005CA9"/>
          <w:sz w:val="20"/>
          <w:szCs w:val="20"/>
        </w:rPr>
        <w:t>7</w:t>
      </w:r>
      <w:r w:rsidR="00CE5EEE" w:rsidRPr="00E20D21">
        <w:rPr>
          <w:rFonts w:ascii="CAIXA Std Book" w:hAnsi="CAIXA Std Book"/>
          <w:color w:val="005CA9"/>
          <w:sz w:val="20"/>
          <w:szCs w:val="20"/>
        </w:rPr>
        <w:t>7</w:t>
      </w:r>
      <w:r w:rsidR="00854562" w:rsidRPr="00E20D21">
        <w:rPr>
          <w:rFonts w:ascii="CAIXA Std Book" w:hAnsi="CAIXA Std Book"/>
          <w:color w:val="005CA9"/>
          <w:sz w:val="20"/>
          <w:szCs w:val="20"/>
        </w:rPr>
        <w:t>% a.a.; saneamento 5,</w:t>
      </w:r>
      <w:r w:rsidR="00AA2858" w:rsidRPr="00E20D21">
        <w:rPr>
          <w:rFonts w:ascii="CAIXA Std Book" w:hAnsi="CAIXA Std Book"/>
          <w:color w:val="005CA9"/>
          <w:sz w:val="20"/>
          <w:szCs w:val="20"/>
        </w:rPr>
        <w:t>61</w:t>
      </w:r>
      <w:r w:rsidR="00854562" w:rsidRPr="00E20D21">
        <w:rPr>
          <w:rFonts w:ascii="CAIXA Std Book" w:hAnsi="CAIXA Std Book"/>
          <w:color w:val="005CA9"/>
          <w:sz w:val="20"/>
          <w:szCs w:val="20"/>
        </w:rPr>
        <w:t>% a.a.; infraestrutura 5,8</w:t>
      </w:r>
      <w:r w:rsidR="00184C00" w:rsidRPr="00E20D21">
        <w:rPr>
          <w:rFonts w:ascii="CAIXA Std Book" w:hAnsi="CAIXA Std Book"/>
          <w:color w:val="005CA9"/>
          <w:sz w:val="20"/>
          <w:szCs w:val="20"/>
        </w:rPr>
        <w:t>6</w:t>
      </w:r>
      <w:r w:rsidR="00854562" w:rsidRPr="00E20D21">
        <w:rPr>
          <w:rFonts w:ascii="CAIXA Std Book" w:hAnsi="CAIXA Std Book"/>
          <w:color w:val="005CA9"/>
          <w:sz w:val="20"/>
          <w:szCs w:val="20"/>
        </w:rPr>
        <w:t>% a.a.; saúde 5,8</w:t>
      </w:r>
      <w:r w:rsidR="001A2563" w:rsidRPr="00E20D21">
        <w:rPr>
          <w:rFonts w:ascii="CAIXA Std Book" w:hAnsi="CAIXA Std Book"/>
          <w:color w:val="005CA9"/>
          <w:sz w:val="20"/>
          <w:szCs w:val="20"/>
        </w:rPr>
        <w:t>3</w:t>
      </w:r>
      <w:r w:rsidR="00854562" w:rsidRPr="00E20D21">
        <w:rPr>
          <w:rFonts w:ascii="CAIXA Std Book" w:hAnsi="CAIXA Std Book"/>
          <w:color w:val="005CA9"/>
          <w:sz w:val="20"/>
          <w:szCs w:val="20"/>
        </w:rPr>
        <w:t>% a.a.) e prazo médio de retorno de 2</w:t>
      </w:r>
      <w:r w:rsidR="008151DE" w:rsidRPr="00E20D21">
        <w:rPr>
          <w:rFonts w:ascii="CAIXA Std Book" w:hAnsi="CAIXA Std Book"/>
          <w:color w:val="005CA9"/>
          <w:sz w:val="20"/>
          <w:szCs w:val="20"/>
        </w:rPr>
        <w:t>72</w:t>
      </w:r>
      <w:r w:rsidR="00854562" w:rsidRPr="00E20D21">
        <w:rPr>
          <w:rFonts w:ascii="CAIXA Std Book" w:hAnsi="CAIXA Std Book"/>
          <w:color w:val="005CA9"/>
          <w:sz w:val="20"/>
          <w:szCs w:val="20"/>
        </w:rPr>
        <w:t xml:space="preserve"> meses (habitação – 2</w:t>
      </w:r>
      <w:r w:rsidR="00385C74" w:rsidRPr="00E20D21">
        <w:rPr>
          <w:rFonts w:ascii="CAIXA Std Book" w:hAnsi="CAIXA Std Book"/>
          <w:color w:val="005CA9"/>
          <w:sz w:val="20"/>
          <w:szCs w:val="20"/>
        </w:rPr>
        <w:t>84</w:t>
      </w:r>
      <w:r w:rsidR="00854562" w:rsidRPr="00E20D21">
        <w:rPr>
          <w:rFonts w:ascii="CAIXA Std Book" w:hAnsi="CAIXA Std Book"/>
          <w:color w:val="005CA9"/>
          <w:sz w:val="20"/>
          <w:szCs w:val="20"/>
        </w:rPr>
        <w:t xml:space="preserve"> meses; saneamento – 13</w:t>
      </w:r>
      <w:r w:rsidR="00D94931" w:rsidRPr="00E20D21">
        <w:rPr>
          <w:rFonts w:ascii="CAIXA Std Book" w:hAnsi="CAIXA Std Book"/>
          <w:color w:val="005CA9"/>
          <w:sz w:val="20"/>
          <w:szCs w:val="20"/>
        </w:rPr>
        <w:t>7</w:t>
      </w:r>
      <w:r w:rsidR="00854562" w:rsidRPr="00E20D21">
        <w:rPr>
          <w:rFonts w:ascii="CAIXA Std Book" w:hAnsi="CAIXA Std Book"/>
          <w:color w:val="005CA9"/>
          <w:sz w:val="20"/>
          <w:szCs w:val="20"/>
        </w:rPr>
        <w:t xml:space="preserve"> meses; infraestrutura – 1</w:t>
      </w:r>
      <w:r w:rsidR="008F156F" w:rsidRPr="00E20D21">
        <w:rPr>
          <w:rFonts w:ascii="CAIXA Std Book" w:hAnsi="CAIXA Std Book"/>
          <w:color w:val="005CA9"/>
          <w:sz w:val="20"/>
          <w:szCs w:val="20"/>
        </w:rPr>
        <w:t>56</w:t>
      </w:r>
      <w:r w:rsidR="00854562" w:rsidRPr="00E20D21">
        <w:rPr>
          <w:rFonts w:ascii="CAIXA Std Book" w:hAnsi="CAIXA Std Book"/>
          <w:color w:val="005CA9"/>
          <w:sz w:val="20"/>
          <w:szCs w:val="20"/>
        </w:rPr>
        <w:t xml:space="preserve"> meses; saúde – </w:t>
      </w:r>
      <w:r w:rsidR="00393E27" w:rsidRPr="00E20D21">
        <w:rPr>
          <w:rFonts w:ascii="CAIXA Std Book" w:hAnsi="CAIXA Std Book"/>
          <w:color w:val="005CA9"/>
          <w:sz w:val="20"/>
          <w:szCs w:val="20"/>
        </w:rPr>
        <w:t>74</w:t>
      </w:r>
      <w:r w:rsidR="00854562" w:rsidRPr="00E20D21">
        <w:rPr>
          <w:rFonts w:ascii="CAIXA Std Book" w:hAnsi="CAIXA Std Book"/>
          <w:color w:val="005CA9"/>
          <w:sz w:val="20"/>
          <w:szCs w:val="20"/>
        </w:rPr>
        <w:t xml:space="preserve"> meses).</w:t>
      </w:r>
    </w:p>
    <w:p w14:paraId="499EC0F4" w14:textId="11FA5079" w:rsidR="006D07D6" w:rsidRPr="00E20D21" w:rsidRDefault="006D07D6" w:rsidP="006D07D6">
      <w:pPr>
        <w:tabs>
          <w:tab w:val="left" w:pos="1650"/>
        </w:tabs>
        <w:spacing w:before="240" w:after="240"/>
        <w:jc w:val="both"/>
        <w:rPr>
          <w:rFonts w:ascii="CAIXA Std Book" w:hAnsi="CAIXA Std Book"/>
          <w:b/>
          <w:color w:val="005CA9"/>
          <w:sz w:val="20"/>
          <w:szCs w:val="20"/>
        </w:rPr>
      </w:pPr>
      <w:r w:rsidRPr="00E20D21">
        <w:rPr>
          <w:rFonts w:ascii="CAIXA Std Book" w:hAnsi="CAIXA Std Book"/>
          <w:b/>
          <w:color w:val="005CA9"/>
          <w:sz w:val="20"/>
          <w:szCs w:val="20"/>
        </w:rPr>
        <w:t xml:space="preserve">Repasses </w:t>
      </w:r>
      <w:r w:rsidR="004E25D1" w:rsidRPr="00E20D21">
        <w:rPr>
          <w:rFonts w:ascii="CAIXA Std Book" w:hAnsi="CAIXA Std Book"/>
          <w:b/>
          <w:color w:val="005CA9"/>
          <w:sz w:val="20"/>
          <w:szCs w:val="20"/>
        </w:rPr>
        <w:t>d</w:t>
      </w:r>
      <w:r w:rsidRPr="00E20D21">
        <w:rPr>
          <w:rFonts w:ascii="CAIXA Std Book" w:hAnsi="CAIXA Std Book"/>
          <w:b/>
          <w:color w:val="005CA9"/>
          <w:sz w:val="20"/>
          <w:szCs w:val="20"/>
        </w:rPr>
        <w:t>o exterior</w:t>
      </w:r>
    </w:p>
    <w:p w14:paraId="6A5D25AF" w14:textId="4E30F33B" w:rsidR="006D07D6" w:rsidRPr="00E20D21" w:rsidRDefault="006D07D6" w:rsidP="006D07D6">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saldo de repasses no exterior, referente a contrato firmado entre a CAIXA e o Banco Mundial – BIRD, para aplicação no Programa de Financiamento para Gestão de Resíduos Sólidos Urbanos e Mecanismo de Desenvolvimento Limpo está sujeito à variação cambial do dólar americano (US$), taxa de juros de 0,8% a.a., acrescido de </w:t>
      </w:r>
      <w:r w:rsidR="00131B90" w:rsidRPr="00E20D21">
        <w:rPr>
          <w:rFonts w:ascii="CAIXA Std Book" w:hAnsi="CAIXA Std Book"/>
          <w:color w:val="005CA9"/>
          <w:sz w:val="20"/>
          <w:szCs w:val="20"/>
        </w:rPr>
        <w:t>SOFR</w:t>
      </w:r>
      <w:r w:rsidRPr="00E20D21">
        <w:rPr>
          <w:rFonts w:ascii="CAIXA Std Book" w:hAnsi="CAIXA Std Book"/>
          <w:color w:val="005CA9"/>
          <w:sz w:val="20"/>
          <w:szCs w:val="20"/>
        </w:rPr>
        <w:t>. O prazo de vencimento da operação varia entre 12 e 15 anos.</w:t>
      </w:r>
    </w:p>
    <w:p w14:paraId="127B8AA3" w14:textId="19D4D231" w:rsidR="006D07D6" w:rsidRPr="00E20D21" w:rsidRDefault="006D07D6" w:rsidP="006D07D6">
      <w:pPr>
        <w:tabs>
          <w:tab w:val="left" w:pos="1650"/>
        </w:tabs>
        <w:spacing w:before="240" w:after="240"/>
        <w:jc w:val="both"/>
        <w:rPr>
          <w:rFonts w:ascii="CAIXA Std Book" w:hAnsi="CAIXA Std Book"/>
          <w:b/>
          <w:color w:val="005CA9"/>
          <w:sz w:val="20"/>
          <w:szCs w:val="20"/>
        </w:rPr>
      </w:pPr>
      <w:r w:rsidRPr="00E20D21">
        <w:rPr>
          <w:rFonts w:ascii="CAIXA Std Book" w:hAnsi="CAIXA Std Book"/>
          <w:b/>
          <w:color w:val="005CA9"/>
          <w:sz w:val="20"/>
          <w:szCs w:val="20"/>
        </w:rPr>
        <w:t>Empréstimos no exterior</w:t>
      </w:r>
      <w:r w:rsidR="004A00AE" w:rsidRPr="00E20D21">
        <w:rPr>
          <w:rFonts w:ascii="CAIXA Std Book" w:hAnsi="CAIXA Std Book"/>
          <w:b/>
          <w:color w:val="005CA9"/>
          <w:sz w:val="20"/>
          <w:szCs w:val="20"/>
        </w:rPr>
        <w:t xml:space="preserve"> </w:t>
      </w:r>
    </w:p>
    <w:p w14:paraId="7548AE17" w14:textId="570BE41A" w:rsidR="009826D0" w:rsidRPr="00E20D21" w:rsidRDefault="009826D0" w:rsidP="00487BF4">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saldo dos empréstimos no exterior é composto por linhas de crédito captadas no exterior para financiamento de exportações de clientes, sujeitas à taxa de juros externa de até </w:t>
      </w:r>
      <w:r w:rsidR="009940E1" w:rsidRPr="00E20D21">
        <w:rPr>
          <w:rFonts w:ascii="CAIXA Std Book" w:hAnsi="CAIXA Std Book"/>
          <w:color w:val="005CA9"/>
          <w:sz w:val="20"/>
          <w:szCs w:val="20"/>
        </w:rPr>
        <w:t>6</w:t>
      </w:r>
      <w:r w:rsidR="0022452E" w:rsidRPr="00E20D21">
        <w:rPr>
          <w:rFonts w:ascii="CAIXA Std Book" w:hAnsi="CAIXA Std Book"/>
          <w:color w:val="005CA9"/>
          <w:sz w:val="20"/>
          <w:szCs w:val="20"/>
        </w:rPr>
        <w:t>,</w:t>
      </w:r>
      <w:r w:rsidR="009940E1" w:rsidRPr="00E20D21">
        <w:rPr>
          <w:rFonts w:ascii="CAIXA Std Book" w:hAnsi="CAIXA Std Book"/>
          <w:color w:val="005CA9"/>
          <w:sz w:val="20"/>
          <w:szCs w:val="20"/>
        </w:rPr>
        <w:t>92</w:t>
      </w:r>
      <w:r w:rsidRPr="00E20D21">
        <w:rPr>
          <w:rFonts w:ascii="CAIXA Std Book" w:hAnsi="CAIXA Std Book"/>
          <w:color w:val="005CA9"/>
          <w:sz w:val="20"/>
          <w:szCs w:val="20"/>
        </w:rPr>
        <w:t>% ao ano, substancialmente atreladas ao dólar dos Estados Unidos, com vencimento em até 202</w:t>
      </w:r>
      <w:r w:rsidR="004F008F" w:rsidRPr="00E20D21">
        <w:rPr>
          <w:rFonts w:ascii="CAIXA Std Book" w:hAnsi="CAIXA Std Book"/>
          <w:color w:val="005CA9"/>
          <w:sz w:val="20"/>
          <w:szCs w:val="20"/>
        </w:rPr>
        <w:t>5</w:t>
      </w:r>
      <w:r w:rsidRPr="00E20D21">
        <w:rPr>
          <w:rFonts w:ascii="CAIXA Std Book" w:hAnsi="CAIXA Std Book"/>
          <w:color w:val="005CA9"/>
          <w:sz w:val="20"/>
          <w:szCs w:val="20"/>
        </w:rPr>
        <w:t>.</w:t>
      </w:r>
    </w:p>
    <w:p w14:paraId="1A743561" w14:textId="77777777" w:rsidR="001C154B" w:rsidRPr="00E20D21" w:rsidRDefault="001C154B" w:rsidP="001C154B">
      <w:pPr>
        <w:pStyle w:val="PargrafodaLista"/>
        <w:keepNext/>
        <w:numPr>
          <w:ilvl w:val="0"/>
          <w:numId w:val="23"/>
        </w:numPr>
        <w:spacing w:before="240" w:after="240"/>
        <w:ind w:left="709" w:hanging="709"/>
        <w:contextualSpacing w:val="0"/>
        <w:jc w:val="both"/>
        <w:rPr>
          <w:rFonts w:ascii="CAIXA Std Book" w:hAnsi="CAIXA Std Book"/>
          <w:b/>
          <w:color w:val="005CA9"/>
          <w:sz w:val="20"/>
          <w:szCs w:val="20"/>
        </w:rPr>
      </w:pPr>
      <w:r w:rsidRPr="00E20D21">
        <w:rPr>
          <w:rFonts w:ascii="CAIXA Std Book" w:hAnsi="CAIXA Std Book"/>
          <w:b/>
          <w:color w:val="005CA9"/>
          <w:sz w:val="20"/>
          <w:szCs w:val="20"/>
        </w:rPr>
        <w:t>Despesas com recursos de instituições financeiras e outras</w:t>
      </w:r>
    </w:p>
    <w:tbl>
      <w:tblPr>
        <w:tblW w:w="5000" w:type="pct"/>
        <w:jc w:val="center"/>
        <w:tblCellMar>
          <w:left w:w="70" w:type="dxa"/>
          <w:right w:w="70" w:type="dxa"/>
        </w:tblCellMar>
        <w:tblLook w:val="04A0" w:firstRow="1" w:lastRow="0" w:firstColumn="1" w:lastColumn="0" w:noHBand="0" w:noVBand="1"/>
      </w:tblPr>
      <w:tblGrid>
        <w:gridCol w:w="3799"/>
        <w:gridCol w:w="1478"/>
        <w:gridCol w:w="1289"/>
        <w:gridCol w:w="1789"/>
        <w:gridCol w:w="1282"/>
      </w:tblGrid>
      <w:tr w:rsidR="008B42FC" w:rsidRPr="00E20D21" w14:paraId="403A3614" w14:textId="77777777" w:rsidTr="004B20AC">
        <w:trPr>
          <w:trHeight w:val="283"/>
          <w:jc w:val="center"/>
        </w:trPr>
        <w:tc>
          <w:tcPr>
            <w:tcW w:w="1971" w:type="pct"/>
            <w:vMerge w:val="restart"/>
            <w:tcBorders>
              <w:top w:val="single" w:sz="4" w:space="0" w:color="F39200"/>
              <w:left w:val="nil"/>
              <w:bottom w:val="single" w:sz="4" w:space="0" w:color="F39200"/>
              <w:right w:val="nil"/>
            </w:tcBorders>
            <w:shd w:val="clear" w:color="auto" w:fill="auto"/>
            <w:vAlign w:val="center"/>
            <w:hideMark/>
          </w:tcPr>
          <w:p w14:paraId="0C8FA24A" w14:textId="77777777"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436" w:type="pct"/>
            <w:gridSpan w:val="2"/>
            <w:tcBorders>
              <w:top w:val="single" w:sz="4" w:space="0" w:color="F39200"/>
              <w:left w:val="nil"/>
              <w:bottom w:val="single" w:sz="4" w:space="0" w:color="F39200"/>
              <w:right w:val="nil"/>
            </w:tcBorders>
            <w:shd w:val="clear" w:color="auto" w:fill="auto"/>
            <w:vAlign w:val="center"/>
            <w:hideMark/>
          </w:tcPr>
          <w:p w14:paraId="7D51B43D" w14:textId="77777777"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593" w:type="pct"/>
            <w:gridSpan w:val="2"/>
            <w:tcBorders>
              <w:top w:val="single" w:sz="4" w:space="0" w:color="F39200"/>
              <w:left w:val="nil"/>
              <w:bottom w:val="single" w:sz="4" w:space="0" w:color="F39200"/>
              <w:right w:val="nil"/>
            </w:tcBorders>
            <w:shd w:val="clear" w:color="auto" w:fill="auto"/>
            <w:vAlign w:val="center"/>
            <w:hideMark/>
          </w:tcPr>
          <w:p w14:paraId="427C93AD" w14:textId="77777777"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8B42FC" w:rsidRPr="00E20D21" w14:paraId="0C248FE3" w14:textId="77777777" w:rsidTr="00525FCB">
        <w:trPr>
          <w:trHeight w:val="283"/>
          <w:jc w:val="center"/>
        </w:trPr>
        <w:tc>
          <w:tcPr>
            <w:tcW w:w="1971" w:type="pct"/>
            <w:vMerge/>
            <w:tcBorders>
              <w:top w:val="single" w:sz="4" w:space="0" w:color="F39200"/>
              <w:left w:val="nil"/>
              <w:bottom w:val="single" w:sz="4" w:space="0" w:color="F39200"/>
              <w:right w:val="nil"/>
            </w:tcBorders>
            <w:vAlign w:val="center"/>
            <w:hideMark/>
          </w:tcPr>
          <w:p w14:paraId="14397C21" w14:textId="77777777" w:rsidR="008B42FC" w:rsidRPr="00E20D21" w:rsidRDefault="008B42FC">
            <w:pPr>
              <w:jc w:val="center"/>
              <w:rPr>
                <w:rFonts w:ascii="CAIXA Std Book" w:eastAsia="Times New Roman" w:hAnsi="CAIXA Std Book" w:cs="Arial"/>
                <w:b/>
                <w:bCs/>
                <w:color w:val="005CA9"/>
                <w:sz w:val="18"/>
                <w:szCs w:val="18"/>
              </w:rPr>
            </w:pPr>
          </w:p>
        </w:tc>
        <w:tc>
          <w:tcPr>
            <w:tcW w:w="767" w:type="pct"/>
            <w:tcBorders>
              <w:top w:val="nil"/>
              <w:left w:val="nil"/>
              <w:bottom w:val="single" w:sz="4" w:space="0" w:color="F39200"/>
              <w:right w:val="nil"/>
            </w:tcBorders>
            <w:shd w:val="clear" w:color="auto" w:fill="auto"/>
            <w:vAlign w:val="center"/>
            <w:hideMark/>
          </w:tcPr>
          <w:p w14:paraId="7C5BAFD0" w14:textId="77777777"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69" w:type="pct"/>
            <w:tcBorders>
              <w:top w:val="nil"/>
              <w:left w:val="nil"/>
              <w:bottom w:val="single" w:sz="4" w:space="0" w:color="F39200"/>
              <w:right w:val="nil"/>
            </w:tcBorders>
            <w:shd w:val="clear" w:color="auto" w:fill="auto"/>
            <w:vAlign w:val="center"/>
            <w:hideMark/>
          </w:tcPr>
          <w:p w14:paraId="6474B6BF" w14:textId="77777777"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928" w:type="pct"/>
            <w:tcBorders>
              <w:top w:val="nil"/>
              <w:left w:val="nil"/>
              <w:bottom w:val="single" w:sz="4" w:space="0" w:color="F39200"/>
              <w:right w:val="nil"/>
            </w:tcBorders>
            <w:shd w:val="clear" w:color="auto" w:fill="auto"/>
            <w:vAlign w:val="center"/>
            <w:hideMark/>
          </w:tcPr>
          <w:p w14:paraId="6C93A4B6" w14:textId="77777777"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65" w:type="pct"/>
            <w:tcBorders>
              <w:top w:val="nil"/>
              <w:left w:val="nil"/>
              <w:bottom w:val="single" w:sz="4" w:space="0" w:color="F39200"/>
              <w:right w:val="nil"/>
            </w:tcBorders>
            <w:shd w:val="clear" w:color="auto" w:fill="auto"/>
            <w:vAlign w:val="center"/>
            <w:hideMark/>
          </w:tcPr>
          <w:p w14:paraId="7722C676" w14:textId="77777777"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8B42FC" w:rsidRPr="00E20D21" w14:paraId="3E19C722" w14:textId="77777777" w:rsidTr="00525FCB">
        <w:trPr>
          <w:trHeight w:val="283"/>
          <w:jc w:val="center"/>
        </w:trPr>
        <w:tc>
          <w:tcPr>
            <w:tcW w:w="1971" w:type="pct"/>
            <w:vMerge/>
            <w:tcBorders>
              <w:top w:val="single" w:sz="4" w:space="0" w:color="F39200"/>
              <w:left w:val="nil"/>
              <w:bottom w:val="single" w:sz="4" w:space="0" w:color="F39200"/>
              <w:right w:val="nil"/>
            </w:tcBorders>
            <w:vAlign w:val="center"/>
            <w:hideMark/>
          </w:tcPr>
          <w:p w14:paraId="71B0A40B" w14:textId="77777777" w:rsidR="008B42FC" w:rsidRPr="00E20D21" w:rsidRDefault="008B42FC">
            <w:pPr>
              <w:jc w:val="center"/>
              <w:rPr>
                <w:rFonts w:ascii="CAIXA Std Book" w:eastAsia="Times New Roman" w:hAnsi="CAIXA Std Book" w:cs="Arial"/>
                <w:b/>
                <w:bCs/>
                <w:color w:val="005CA9"/>
                <w:sz w:val="18"/>
                <w:szCs w:val="18"/>
              </w:rPr>
            </w:pPr>
          </w:p>
        </w:tc>
        <w:tc>
          <w:tcPr>
            <w:tcW w:w="767" w:type="pct"/>
            <w:tcBorders>
              <w:top w:val="nil"/>
              <w:left w:val="nil"/>
              <w:bottom w:val="single" w:sz="4" w:space="0" w:color="F39200"/>
              <w:right w:val="nil"/>
            </w:tcBorders>
            <w:shd w:val="clear" w:color="auto" w:fill="auto"/>
            <w:vAlign w:val="center"/>
            <w:hideMark/>
          </w:tcPr>
          <w:p w14:paraId="20923D1F" w14:textId="5C3F031D"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69" w:type="pct"/>
            <w:tcBorders>
              <w:top w:val="nil"/>
              <w:left w:val="nil"/>
              <w:bottom w:val="single" w:sz="4" w:space="0" w:color="F39200"/>
              <w:right w:val="nil"/>
            </w:tcBorders>
            <w:shd w:val="clear" w:color="auto" w:fill="auto"/>
            <w:vAlign w:val="center"/>
            <w:hideMark/>
          </w:tcPr>
          <w:p w14:paraId="253FA34F" w14:textId="3CFF7899"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928" w:type="pct"/>
            <w:tcBorders>
              <w:top w:val="nil"/>
              <w:left w:val="nil"/>
              <w:bottom w:val="single" w:sz="4" w:space="0" w:color="F39200"/>
              <w:right w:val="nil"/>
            </w:tcBorders>
            <w:shd w:val="clear" w:color="auto" w:fill="auto"/>
            <w:vAlign w:val="center"/>
            <w:hideMark/>
          </w:tcPr>
          <w:p w14:paraId="1568C766" w14:textId="2BCE7392"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65" w:type="pct"/>
            <w:tcBorders>
              <w:top w:val="nil"/>
              <w:left w:val="nil"/>
              <w:bottom w:val="single" w:sz="4" w:space="0" w:color="F79646"/>
              <w:right w:val="nil"/>
            </w:tcBorders>
            <w:shd w:val="clear" w:color="auto" w:fill="auto"/>
            <w:vAlign w:val="center"/>
            <w:hideMark/>
          </w:tcPr>
          <w:p w14:paraId="6FB64248" w14:textId="3759B519" w:rsidR="008B42FC" w:rsidRPr="00E20D21" w:rsidRDefault="008B42F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8B42FC" w:rsidRPr="00E20D21" w14:paraId="50465B5A" w14:textId="77777777" w:rsidTr="00525FCB">
        <w:trPr>
          <w:trHeight w:val="283"/>
          <w:jc w:val="center"/>
        </w:trPr>
        <w:tc>
          <w:tcPr>
            <w:tcW w:w="1971" w:type="pct"/>
            <w:tcBorders>
              <w:top w:val="nil"/>
              <w:left w:val="nil"/>
              <w:bottom w:val="nil"/>
              <w:right w:val="nil"/>
            </w:tcBorders>
            <w:shd w:val="clear" w:color="auto" w:fill="auto"/>
            <w:vAlign w:val="center"/>
          </w:tcPr>
          <w:p w14:paraId="7DF92A4E" w14:textId="77777777" w:rsidR="008B42FC" w:rsidRPr="00E20D21" w:rsidRDefault="008B42F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Empréstimos e repasses</w:t>
            </w:r>
          </w:p>
        </w:tc>
        <w:tc>
          <w:tcPr>
            <w:tcW w:w="767" w:type="pct"/>
            <w:tcBorders>
              <w:top w:val="nil"/>
              <w:left w:val="nil"/>
              <w:bottom w:val="nil"/>
              <w:right w:val="nil"/>
            </w:tcBorders>
            <w:shd w:val="clear" w:color="auto" w:fill="auto"/>
            <w:noWrap/>
            <w:vAlign w:val="center"/>
          </w:tcPr>
          <w:p w14:paraId="5AD8F310" w14:textId="3ADA24DE" w:rsidR="008B42FC" w:rsidRPr="00E20D21" w:rsidRDefault="00995F41"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(14.176.772)</w:t>
            </w:r>
          </w:p>
        </w:tc>
        <w:tc>
          <w:tcPr>
            <w:tcW w:w="669" w:type="pct"/>
            <w:tcBorders>
              <w:top w:val="nil"/>
              <w:left w:val="nil"/>
              <w:bottom w:val="nil"/>
              <w:right w:val="nil"/>
            </w:tcBorders>
            <w:shd w:val="clear" w:color="auto" w:fill="auto"/>
            <w:noWrap/>
            <w:vAlign w:val="center"/>
          </w:tcPr>
          <w:p w14:paraId="4FF1890C" w14:textId="4E94B0FA" w:rsidR="008B42FC" w:rsidRPr="00E20D21" w:rsidRDefault="007229B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15.217.838</w:t>
            </w:r>
            <w:r w:rsidRPr="00E20D21">
              <w:rPr>
                <w:rFonts w:ascii="CAIXA Std Book" w:hAnsi="CAIXA Std Book" w:cs="Arial"/>
                <w:b/>
                <w:bCs/>
                <w:color w:val="005CA9"/>
                <w:sz w:val="18"/>
                <w:szCs w:val="18"/>
              </w:rPr>
              <w:t>)</w:t>
            </w:r>
          </w:p>
        </w:tc>
        <w:tc>
          <w:tcPr>
            <w:tcW w:w="928" w:type="pct"/>
            <w:tcBorders>
              <w:top w:val="nil"/>
              <w:left w:val="nil"/>
              <w:bottom w:val="nil"/>
              <w:right w:val="nil"/>
            </w:tcBorders>
            <w:shd w:val="clear" w:color="auto" w:fill="auto"/>
            <w:noWrap/>
            <w:vAlign w:val="center"/>
          </w:tcPr>
          <w:p w14:paraId="00238235" w14:textId="2243D388" w:rsidR="008B42FC" w:rsidRPr="00E20D21" w:rsidRDefault="00A71D9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(14.176.772)</w:t>
            </w:r>
          </w:p>
        </w:tc>
        <w:tc>
          <w:tcPr>
            <w:tcW w:w="665" w:type="pct"/>
            <w:tcBorders>
              <w:top w:val="single" w:sz="4" w:space="0" w:color="F79646"/>
              <w:left w:val="nil"/>
              <w:bottom w:val="nil"/>
              <w:right w:val="nil"/>
            </w:tcBorders>
            <w:shd w:val="clear" w:color="auto" w:fill="auto"/>
            <w:noWrap/>
            <w:vAlign w:val="center"/>
          </w:tcPr>
          <w:p w14:paraId="6D46CD7E" w14:textId="7E9891E7" w:rsidR="008B42FC" w:rsidRPr="00E20D21" w:rsidRDefault="007229B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15.122.099</w:t>
            </w:r>
            <w:r w:rsidRPr="00E20D21">
              <w:rPr>
                <w:rFonts w:ascii="CAIXA Std Book" w:hAnsi="CAIXA Std Book" w:cs="Arial"/>
                <w:b/>
                <w:bCs/>
                <w:color w:val="005CA9"/>
                <w:sz w:val="18"/>
                <w:szCs w:val="18"/>
              </w:rPr>
              <w:t>)</w:t>
            </w:r>
          </w:p>
        </w:tc>
      </w:tr>
      <w:tr w:rsidR="008B42FC" w:rsidRPr="00E20D21" w14:paraId="5C98F978" w14:textId="77777777" w:rsidTr="00525FCB">
        <w:trPr>
          <w:trHeight w:val="283"/>
          <w:jc w:val="center"/>
        </w:trPr>
        <w:tc>
          <w:tcPr>
            <w:tcW w:w="1971" w:type="pct"/>
            <w:tcBorders>
              <w:top w:val="nil"/>
              <w:left w:val="nil"/>
              <w:bottom w:val="nil"/>
              <w:right w:val="nil"/>
            </w:tcBorders>
            <w:shd w:val="clear" w:color="auto" w:fill="auto"/>
            <w:vAlign w:val="center"/>
          </w:tcPr>
          <w:p w14:paraId="362B683C" w14:textId="77777777" w:rsidR="008B42FC" w:rsidRPr="00E20D21" w:rsidRDefault="008B42FC">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FGTS</w:t>
            </w:r>
          </w:p>
        </w:tc>
        <w:tc>
          <w:tcPr>
            <w:tcW w:w="767" w:type="pct"/>
            <w:tcBorders>
              <w:top w:val="nil"/>
              <w:left w:val="nil"/>
              <w:bottom w:val="nil"/>
              <w:right w:val="nil"/>
            </w:tcBorders>
            <w:shd w:val="clear" w:color="auto" w:fill="auto"/>
            <w:noWrap/>
            <w:vAlign w:val="center"/>
          </w:tcPr>
          <w:p w14:paraId="3A4A85C9" w14:textId="4D63FF4E" w:rsidR="008B42FC" w:rsidRPr="00E20D21" w:rsidRDefault="008240D1"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13.010.496</w:t>
            </w:r>
            <w:r w:rsidRPr="00E20D21">
              <w:rPr>
                <w:rFonts w:ascii="CAIXA Std Book" w:hAnsi="CAIXA Std Book" w:cs="Arial"/>
                <w:color w:val="005CA9"/>
                <w:sz w:val="18"/>
                <w:szCs w:val="18"/>
              </w:rPr>
              <w:t>)</w:t>
            </w:r>
          </w:p>
        </w:tc>
        <w:tc>
          <w:tcPr>
            <w:tcW w:w="669" w:type="pct"/>
            <w:tcBorders>
              <w:top w:val="nil"/>
              <w:left w:val="nil"/>
              <w:bottom w:val="nil"/>
              <w:right w:val="nil"/>
            </w:tcBorders>
            <w:shd w:val="clear" w:color="auto" w:fill="auto"/>
            <w:noWrap/>
            <w:vAlign w:val="center"/>
          </w:tcPr>
          <w:p w14:paraId="57FB4E81" w14:textId="19731A15"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14.211.471</w:t>
            </w:r>
            <w:r w:rsidRPr="00E20D21">
              <w:rPr>
                <w:rFonts w:ascii="CAIXA Std Book" w:hAnsi="CAIXA Std Book" w:cs="Arial"/>
                <w:color w:val="005CA9"/>
                <w:sz w:val="18"/>
                <w:szCs w:val="18"/>
              </w:rPr>
              <w:t>)</w:t>
            </w:r>
          </w:p>
        </w:tc>
        <w:tc>
          <w:tcPr>
            <w:tcW w:w="928" w:type="pct"/>
            <w:tcBorders>
              <w:top w:val="nil"/>
              <w:left w:val="nil"/>
              <w:bottom w:val="nil"/>
              <w:right w:val="nil"/>
            </w:tcBorders>
            <w:shd w:val="clear" w:color="auto" w:fill="auto"/>
            <w:noWrap/>
            <w:vAlign w:val="center"/>
          </w:tcPr>
          <w:p w14:paraId="5EFF8693" w14:textId="1F16BB36" w:rsidR="008B42FC" w:rsidRPr="00E20D21" w:rsidRDefault="00A71D9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(13.010.496)</w:t>
            </w:r>
          </w:p>
        </w:tc>
        <w:tc>
          <w:tcPr>
            <w:tcW w:w="665" w:type="pct"/>
            <w:tcBorders>
              <w:top w:val="nil"/>
              <w:left w:val="nil"/>
              <w:bottom w:val="nil"/>
              <w:right w:val="nil"/>
            </w:tcBorders>
            <w:shd w:val="clear" w:color="auto" w:fill="auto"/>
            <w:noWrap/>
            <w:vAlign w:val="center"/>
          </w:tcPr>
          <w:p w14:paraId="0BDA9BD5" w14:textId="0231442C"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14.211.471</w:t>
            </w:r>
            <w:r w:rsidRPr="00E20D21">
              <w:rPr>
                <w:rFonts w:ascii="CAIXA Std Book" w:hAnsi="CAIXA Std Book" w:cs="Arial"/>
                <w:color w:val="005CA9"/>
                <w:sz w:val="18"/>
                <w:szCs w:val="18"/>
              </w:rPr>
              <w:t>)</w:t>
            </w:r>
          </w:p>
        </w:tc>
      </w:tr>
      <w:tr w:rsidR="008B42FC" w:rsidRPr="00E20D21" w14:paraId="02A4D46A" w14:textId="77777777" w:rsidTr="00525FCB">
        <w:trPr>
          <w:trHeight w:val="283"/>
          <w:jc w:val="center"/>
        </w:trPr>
        <w:tc>
          <w:tcPr>
            <w:tcW w:w="1971" w:type="pct"/>
            <w:tcBorders>
              <w:top w:val="nil"/>
              <w:left w:val="nil"/>
              <w:bottom w:val="nil"/>
              <w:right w:val="nil"/>
            </w:tcBorders>
            <w:shd w:val="clear" w:color="auto" w:fill="auto"/>
            <w:vAlign w:val="center"/>
          </w:tcPr>
          <w:p w14:paraId="73A7482F" w14:textId="77777777" w:rsidR="008B42FC" w:rsidRPr="00E20D21" w:rsidRDefault="008B42FC">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BNDES</w:t>
            </w:r>
          </w:p>
        </w:tc>
        <w:tc>
          <w:tcPr>
            <w:tcW w:w="767" w:type="pct"/>
            <w:tcBorders>
              <w:top w:val="nil"/>
              <w:left w:val="nil"/>
              <w:bottom w:val="nil"/>
              <w:right w:val="nil"/>
            </w:tcBorders>
            <w:shd w:val="clear" w:color="auto" w:fill="auto"/>
            <w:noWrap/>
            <w:vAlign w:val="center"/>
          </w:tcPr>
          <w:p w14:paraId="738919DF" w14:textId="2CB578F6"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702.716</w:t>
            </w:r>
            <w:r w:rsidRPr="00E20D21">
              <w:rPr>
                <w:rFonts w:ascii="CAIXA Std Book" w:hAnsi="CAIXA Std Book" w:cs="Arial"/>
                <w:color w:val="005CA9"/>
                <w:sz w:val="18"/>
                <w:szCs w:val="18"/>
              </w:rPr>
              <w:t>)</w:t>
            </w:r>
          </w:p>
        </w:tc>
        <w:tc>
          <w:tcPr>
            <w:tcW w:w="669" w:type="pct"/>
            <w:tcBorders>
              <w:top w:val="nil"/>
              <w:left w:val="nil"/>
              <w:bottom w:val="nil"/>
              <w:right w:val="nil"/>
            </w:tcBorders>
            <w:shd w:val="clear" w:color="auto" w:fill="auto"/>
            <w:noWrap/>
            <w:vAlign w:val="center"/>
          </w:tcPr>
          <w:p w14:paraId="6DB2884E" w14:textId="0ACF309B"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890.406</w:t>
            </w:r>
            <w:r w:rsidRPr="00E20D21">
              <w:rPr>
                <w:rFonts w:ascii="CAIXA Std Book" w:hAnsi="CAIXA Std Book" w:cs="Arial"/>
                <w:color w:val="005CA9"/>
                <w:sz w:val="18"/>
                <w:szCs w:val="18"/>
              </w:rPr>
              <w:t>)</w:t>
            </w:r>
          </w:p>
        </w:tc>
        <w:tc>
          <w:tcPr>
            <w:tcW w:w="928" w:type="pct"/>
            <w:tcBorders>
              <w:top w:val="nil"/>
              <w:left w:val="nil"/>
              <w:bottom w:val="nil"/>
              <w:right w:val="nil"/>
            </w:tcBorders>
            <w:shd w:val="clear" w:color="auto" w:fill="auto"/>
            <w:noWrap/>
            <w:vAlign w:val="center"/>
          </w:tcPr>
          <w:p w14:paraId="752401C2" w14:textId="48EE4E62" w:rsidR="008B42FC" w:rsidRPr="00E20D21" w:rsidRDefault="004B20A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(702.716)</w:t>
            </w:r>
          </w:p>
        </w:tc>
        <w:tc>
          <w:tcPr>
            <w:tcW w:w="665" w:type="pct"/>
            <w:tcBorders>
              <w:top w:val="nil"/>
              <w:left w:val="nil"/>
              <w:bottom w:val="nil"/>
              <w:right w:val="nil"/>
            </w:tcBorders>
            <w:shd w:val="clear" w:color="auto" w:fill="auto"/>
            <w:noWrap/>
            <w:vAlign w:val="center"/>
          </w:tcPr>
          <w:p w14:paraId="01645F33" w14:textId="1B059DC5"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890.406</w:t>
            </w:r>
            <w:r w:rsidRPr="00E20D21">
              <w:rPr>
                <w:rFonts w:ascii="CAIXA Std Book" w:hAnsi="CAIXA Std Book" w:cs="Arial"/>
                <w:color w:val="005CA9"/>
                <w:sz w:val="18"/>
                <w:szCs w:val="18"/>
              </w:rPr>
              <w:t>)</w:t>
            </w:r>
          </w:p>
        </w:tc>
      </w:tr>
      <w:tr w:rsidR="008B42FC" w:rsidRPr="00E20D21" w14:paraId="6BCDDF6E" w14:textId="77777777" w:rsidTr="00525FCB">
        <w:trPr>
          <w:trHeight w:val="283"/>
          <w:jc w:val="center"/>
        </w:trPr>
        <w:tc>
          <w:tcPr>
            <w:tcW w:w="1971" w:type="pct"/>
            <w:tcBorders>
              <w:top w:val="nil"/>
              <w:left w:val="nil"/>
              <w:bottom w:val="nil"/>
              <w:right w:val="nil"/>
            </w:tcBorders>
            <w:shd w:val="clear" w:color="auto" w:fill="auto"/>
            <w:vAlign w:val="center"/>
          </w:tcPr>
          <w:p w14:paraId="0875926C" w14:textId="290BF582" w:rsidR="008B42FC" w:rsidRPr="00E20D21" w:rsidRDefault="00743743">
            <w:pPr>
              <w:ind w:firstLineChars="100" w:firstLine="180"/>
              <w:rPr>
                <w:rFonts w:ascii="CAIXA Std Book" w:eastAsia="Times New Roman" w:hAnsi="CAIXA Std Book" w:cs="Arial"/>
                <w:color w:val="005CA9"/>
                <w:sz w:val="18"/>
                <w:szCs w:val="18"/>
              </w:rPr>
            </w:pPr>
            <w:r w:rsidRPr="00E20D21">
              <w:rPr>
                <w:rFonts w:ascii="CAIXA Std Book" w:hAnsi="CAIXA Std Book" w:cs="Arial"/>
                <w:color w:val="005CA9"/>
                <w:sz w:val="18"/>
                <w:szCs w:val="18"/>
              </w:rPr>
              <w:t xml:space="preserve"> Fundo Marinha Mercante </w:t>
            </w:r>
          </w:p>
        </w:tc>
        <w:tc>
          <w:tcPr>
            <w:tcW w:w="767" w:type="pct"/>
            <w:tcBorders>
              <w:top w:val="nil"/>
              <w:left w:val="nil"/>
              <w:bottom w:val="nil"/>
              <w:right w:val="nil"/>
            </w:tcBorders>
            <w:shd w:val="clear" w:color="auto" w:fill="auto"/>
            <w:noWrap/>
            <w:vAlign w:val="center"/>
          </w:tcPr>
          <w:p w14:paraId="217EE2C8" w14:textId="7941D758"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121.750</w:t>
            </w:r>
            <w:r w:rsidRPr="00E20D21">
              <w:rPr>
                <w:rFonts w:ascii="CAIXA Std Book" w:hAnsi="CAIXA Std Book" w:cs="Arial"/>
                <w:color w:val="005CA9"/>
                <w:sz w:val="18"/>
                <w:szCs w:val="18"/>
              </w:rPr>
              <w:t>)</w:t>
            </w:r>
          </w:p>
        </w:tc>
        <w:tc>
          <w:tcPr>
            <w:tcW w:w="669" w:type="pct"/>
            <w:tcBorders>
              <w:top w:val="nil"/>
              <w:left w:val="nil"/>
              <w:bottom w:val="nil"/>
              <w:right w:val="nil"/>
            </w:tcBorders>
            <w:shd w:val="clear" w:color="auto" w:fill="auto"/>
            <w:noWrap/>
            <w:vAlign w:val="center"/>
          </w:tcPr>
          <w:p w14:paraId="1BCEDDEF" w14:textId="6E06EE4C"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30.948</w:t>
            </w:r>
            <w:r w:rsidRPr="00E20D21">
              <w:rPr>
                <w:rFonts w:ascii="CAIXA Std Book" w:hAnsi="CAIXA Std Book" w:cs="Arial"/>
                <w:color w:val="005CA9"/>
                <w:sz w:val="18"/>
                <w:szCs w:val="18"/>
              </w:rPr>
              <w:t>)</w:t>
            </w:r>
          </w:p>
        </w:tc>
        <w:tc>
          <w:tcPr>
            <w:tcW w:w="928" w:type="pct"/>
            <w:tcBorders>
              <w:top w:val="nil"/>
              <w:left w:val="nil"/>
              <w:bottom w:val="nil"/>
              <w:right w:val="nil"/>
            </w:tcBorders>
            <w:shd w:val="clear" w:color="auto" w:fill="auto"/>
            <w:noWrap/>
            <w:vAlign w:val="center"/>
          </w:tcPr>
          <w:p w14:paraId="6A24DAEF" w14:textId="6DEF51B0" w:rsidR="008B42FC" w:rsidRPr="00E20D21" w:rsidRDefault="004B20A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(121.750)</w:t>
            </w:r>
          </w:p>
        </w:tc>
        <w:tc>
          <w:tcPr>
            <w:tcW w:w="665" w:type="pct"/>
            <w:tcBorders>
              <w:top w:val="nil"/>
              <w:left w:val="nil"/>
              <w:bottom w:val="nil"/>
              <w:right w:val="nil"/>
            </w:tcBorders>
            <w:shd w:val="clear" w:color="auto" w:fill="auto"/>
            <w:noWrap/>
            <w:vAlign w:val="center"/>
          </w:tcPr>
          <w:p w14:paraId="22EFFD1C" w14:textId="4D4D0550"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30.948</w:t>
            </w:r>
            <w:r w:rsidRPr="00E20D21">
              <w:rPr>
                <w:rFonts w:ascii="CAIXA Std Book" w:hAnsi="CAIXA Std Book" w:cs="Arial"/>
                <w:color w:val="005CA9"/>
                <w:sz w:val="18"/>
                <w:szCs w:val="18"/>
              </w:rPr>
              <w:t>)</w:t>
            </w:r>
          </w:p>
        </w:tc>
      </w:tr>
      <w:tr w:rsidR="008B42FC" w:rsidRPr="00E20D21" w14:paraId="4E7AE7CB" w14:textId="77777777" w:rsidTr="00525FCB">
        <w:trPr>
          <w:trHeight w:val="283"/>
          <w:jc w:val="center"/>
        </w:trPr>
        <w:tc>
          <w:tcPr>
            <w:tcW w:w="1971" w:type="pct"/>
            <w:tcBorders>
              <w:top w:val="nil"/>
              <w:left w:val="nil"/>
              <w:bottom w:val="nil"/>
              <w:right w:val="nil"/>
            </w:tcBorders>
            <w:shd w:val="clear" w:color="auto" w:fill="auto"/>
            <w:vAlign w:val="center"/>
          </w:tcPr>
          <w:p w14:paraId="54016B02" w14:textId="16A5F5EB" w:rsidR="008B42FC" w:rsidRPr="00E20D21" w:rsidRDefault="00743743">
            <w:pPr>
              <w:ind w:firstLineChars="100" w:firstLine="180"/>
              <w:rPr>
                <w:rFonts w:ascii="CAIXA Std Book" w:eastAsia="Times New Roman" w:hAnsi="CAIXA Std Book" w:cs="Arial"/>
                <w:color w:val="005CA9"/>
                <w:sz w:val="18"/>
                <w:szCs w:val="18"/>
              </w:rPr>
            </w:pPr>
            <w:r w:rsidRPr="00E20D21">
              <w:rPr>
                <w:rFonts w:ascii="CAIXA Std Book" w:hAnsi="CAIXA Std Book" w:cs="Arial"/>
                <w:color w:val="005CA9"/>
                <w:sz w:val="18"/>
                <w:szCs w:val="18"/>
              </w:rPr>
              <w:t xml:space="preserve"> Repasses do exterior </w:t>
            </w:r>
          </w:p>
        </w:tc>
        <w:tc>
          <w:tcPr>
            <w:tcW w:w="767" w:type="pct"/>
            <w:tcBorders>
              <w:top w:val="nil"/>
              <w:left w:val="nil"/>
              <w:bottom w:val="nil"/>
              <w:right w:val="nil"/>
            </w:tcBorders>
            <w:shd w:val="clear" w:color="auto" w:fill="auto"/>
            <w:noWrap/>
            <w:vAlign w:val="center"/>
          </w:tcPr>
          <w:p w14:paraId="557302DE" w14:textId="111DBD8F"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37.142</w:t>
            </w:r>
            <w:r w:rsidRPr="00E20D21">
              <w:rPr>
                <w:rFonts w:ascii="CAIXA Std Book" w:hAnsi="CAIXA Std Book" w:cs="Arial"/>
                <w:color w:val="005CA9"/>
                <w:sz w:val="18"/>
                <w:szCs w:val="18"/>
              </w:rPr>
              <w:t>)</w:t>
            </w:r>
          </w:p>
        </w:tc>
        <w:tc>
          <w:tcPr>
            <w:tcW w:w="669" w:type="pct"/>
            <w:tcBorders>
              <w:top w:val="nil"/>
              <w:left w:val="nil"/>
              <w:bottom w:val="nil"/>
              <w:right w:val="nil"/>
            </w:tcBorders>
            <w:shd w:val="clear" w:color="auto" w:fill="auto"/>
            <w:noWrap/>
            <w:vAlign w:val="center"/>
          </w:tcPr>
          <w:p w14:paraId="3841E201" w14:textId="07ECA40C"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21.730</w:t>
            </w:r>
            <w:r w:rsidRPr="00E20D21">
              <w:rPr>
                <w:rFonts w:ascii="CAIXA Std Book" w:hAnsi="CAIXA Std Book" w:cs="Arial"/>
                <w:color w:val="005CA9"/>
                <w:sz w:val="18"/>
                <w:szCs w:val="18"/>
              </w:rPr>
              <w:t>)</w:t>
            </w:r>
          </w:p>
        </w:tc>
        <w:tc>
          <w:tcPr>
            <w:tcW w:w="928" w:type="pct"/>
            <w:tcBorders>
              <w:top w:val="nil"/>
              <w:left w:val="nil"/>
              <w:bottom w:val="nil"/>
              <w:right w:val="nil"/>
            </w:tcBorders>
            <w:shd w:val="clear" w:color="auto" w:fill="auto"/>
            <w:noWrap/>
            <w:vAlign w:val="center"/>
          </w:tcPr>
          <w:p w14:paraId="528814A8" w14:textId="3CFDCABA" w:rsidR="008B42FC" w:rsidRPr="00E20D21" w:rsidRDefault="004B20A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(37.142)</w:t>
            </w:r>
          </w:p>
        </w:tc>
        <w:tc>
          <w:tcPr>
            <w:tcW w:w="665" w:type="pct"/>
            <w:tcBorders>
              <w:top w:val="nil"/>
              <w:left w:val="nil"/>
              <w:bottom w:val="nil"/>
              <w:right w:val="nil"/>
            </w:tcBorders>
            <w:shd w:val="clear" w:color="auto" w:fill="auto"/>
            <w:noWrap/>
            <w:vAlign w:val="center"/>
          </w:tcPr>
          <w:p w14:paraId="498D5822" w14:textId="21CA1417" w:rsidR="008B42FC" w:rsidRPr="00E20D21" w:rsidRDefault="00995F41"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18.961</w:t>
            </w:r>
          </w:p>
        </w:tc>
      </w:tr>
      <w:tr w:rsidR="00743743" w:rsidRPr="00E20D21" w14:paraId="2B55B476" w14:textId="77777777" w:rsidTr="00525FCB">
        <w:trPr>
          <w:trHeight w:val="283"/>
          <w:jc w:val="center"/>
        </w:trPr>
        <w:tc>
          <w:tcPr>
            <w:tcW w:w="1971" w:type="pct"/>
            <w:tcBorders>
              <w:top w:val="nil"/>
              <w:left w:val="nil"/>
              <w:bottom w:val="nil"/>
              <w:right w:val="nil"/>
            </w:tcBorders>
            <w:shd w:val="clear" w:color="auto" w:fill="auto"/>
            <w:vAlign w:val="center"/>
          </w:tcPr>
          <w:p w14:paraId="78B595A2" w14:textId="32C486E4" w:rsidR="00743743" w:rsidRPr="00E20D21" w:rsidRDefault="00743743" w:rsidP="00743743">
            <w:pPr>
              <w:ind w:firstLineChars="100" w:firstLine="180"/>
              <w:rPr>
                <w:rFonts w:ascii="CAIXA Std Book" w:hAnsi="CAIXA Std Book" w:cs="Arial"/>
                <w:color w:val="005CA9"/>
                <w:sz w:val="18"/>
                <w:szCs w:val="18"/>
              </w:rPr>
            </w:pPr>
            <w:r w:rsidRPr="00E20D21">
              <w:rPr>
                <w:rFonts w:ascii="CAIXA Std Book" w:hAnsi="CAIXA Std Book" w:cs="Arial"/>
                <w:color w:val="005CA9"/>
                <w:sz w:val="18"/>
                <w:szCs w:val="18"/>
              </w:rPr>
              <w:t xml:space="preserve"> Empréstimos no exterior </w:t>
            </w:r>
          </w:p>
        </w:tc>
        <w:tc>
          <w:tcPr>
            <w:tcW w:w="767" w:type="pct"/>
            <w:tcBorders>
              <w:top w:val="nil"/>
              <w:left w:val="nil"/>
              <w:bottom w:val="nil"/>
              <w:right w:val="nil"/>
            </w:tcBorders>
            <w:shd w:val="clear" w:color="auto" w:fill="auto"/>
            <w:noWrap/>
            <w:vAlign w:val="center"/>
          </w:tcPr>
          <w:p w14:paraId="693A65F4" w14:textId="6F5708C0" w:rsidR="00743743" w:rsidRPr="00E20D21" w:rsidRDefault="00743743" w:rsidP="00E20D21">
            <w:pPr>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(249.091)</w:t>
            </w:r>
          </w:p>
        </w:tc>
        <w:tc>
          <w:tcPr>
            <w:tcW w:w="669" w:type="pct"/>
            <w:tcBorders>
              <w:top w:val="nil"/>
              <w:left w:val="nil"/>
              <w:bottom w:val="nil"/>
              <w:right w:val="nil"/>
            </w:tcBorders>
            <w:shd w:val="clear" w:color="auto" w:fill="auto"/>
            <w:noWrap/>
            <w:vAlign w:val="center"/>
          </w:tcPr>
          <w:p w14:paraId="00663675" w14:textId="7F6FF6E2" w:rsidR="00743743" w:rsidRPr="00E20D21" w:rsidRDefault="00743743" w:rsidP="00E20D21">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928" w:type="pct"/>
            <w:tcBorders>
              <w:top w:val="nil"/>
              <w:left w:val="nil"/>
              <w:bottom w:val="nil"/>
              <w:right w:val="nil"/>
            </w:tcBorders>
            <w:shd w:val="clear" w:color="auto" w:fill="auto"/>
            <w:noWrap/>
            <w:vAlign w:val="center"/>
          </w:tcPr>
          <w:p w14:paraId="6C43E0CC" w14:textId="78F79D04" w:rsidR="00743743" w:rsidRPr="00E20D21" w:rsidRDefault="004B20AC" w:rsidP="00E20D21">
            <w:pPr>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(249.091)</w:t>
            </w:r>
          </w:p>
        </w:tc>
        <w:tc>
          <w:tcPr>
            <w:tcW w:w="665" w:type="pct"/>
            <w:tcBorders>
              <w:top w:val="nil"/>
              <w:left w:val="nil"/>
              <w:bottom w:val="nil"/>
              <w:right w:val="nil"/>
            </w:tcBorders>
            <w:shd w:val="clear" w:color="auto" w:fill="auto"/>
            <w:noWrap/>
            <w:vAlign w:val="center"/>
          </w:tcPr>
          <w:p w14:paraId="0313D818" w14:textId="7EFAC83D" w:rsidR="00743743" w:rsidRPr="00E20D21" w:rsidRDefault="00743743" w:rsidP="00E20D21">
            <w:pPr>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55.048</w:t>
            </w:r>
          </w:p>
        </w:tc>
      </w:tr>
      <w:tr w:rsidR="008B42FC" w:rsidRPr="00E20D21" w14:paraId="08F8B217" w14:textId="77777777" w:rsidTr="00525FCB">
        <w:trPr>
          <w:trHeight w:val="283"/>
          <w:jc w:val="center"/>
        </w:trPr>
        <w:tc>
          <w:tcPr>
            <w:tcW w:w="1971" w:type="pct"/>
            <w:tcBorders>
              <w:top w:val="nil"/>
              <w:left w:val="nil"/>
              <w:bottom w:val="nil"/>
              <w:right w:val="nil"/>
            </w:tcBorders>
            <w:shd w:val="clear" w:color="auto" w:fill="auto"/>
            <w:vAlign w:val="center"/>
          </w:tcPr>
          <w:p w14:paraId="5C1B2F9C" w14:textId="6233A59F" w:rsidR="008B42FC" w:rsidRPr="00E20D21" w:rsidRDefault="004B20AC">
            <w:pPr>
              <w:ind w:firstLineChars="100" w:firstLine="180"/>
              <w:rPr>
                <w:rFonts w:ascii="CAIXA Std Book" w:hAnsi="CAIXA Std Book" w:cs="Arial"/>
                <w:color w:val="005CA9"/>
                <w:sz w:val="18"/>
                <w:szCs w:val="18"/>
              </w:rPr>
            </w:pPr>
            <w:r w:rsidRPr="00E20D21">
              <w:rPr>
                <w:rFonts w:ascii="CAIXA Std Book" w:eastAsia="Times New Roman" w:hAnsi="CAIXA Std Book" w:cs="Arial"/>
                <w:color w:val="005CA9"/>
                <w:sz w:val="18"/>
                <w:szCs w:val="18"/>
              </w:rPr>
              <w:t>Outros</w:t>
            </w:r>
          </w:p>
        </w:tc>
        <w:tc>
          <w:tcPr>
            <w:tcW w:w="767" w:type="pct"/>
            <w:tcBorders>
              <w:top w:val="nil"/>
              <w:left w:val="nil"/>
              <w:bottom w:val="nil"/>
              <w:right w:val="nil"/>
            </w:tcBorders>
            <w:shd w:val="clear" w:color="auto" w:fill="auto"/>
            <w:noWrap/>
            <w:vAlign w:val="center"/>
          </w:tcPr>
          <w:p w14:paraId="19FE5DD9" w14:textId="4E4F989D" w:rsidR="008B42FC" w:rsidRPr="00E20D21" w:rsidRDefault="00743743" w:rsidP="00E20D21">
            <w:pPr>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(55.577)</w:t>
            </w:r>
          </w:p>
        </w:tc>
        <w:tc>
          <w:tcPr>
            <w:tcW w:w="669" w:type="pct"/>
            <w:tcBorders>
              <w:top w:val="nil"/>
              <w:left w:val="nil"/>
              <w:bottom w:val="nil"/>
              <w:right w:val="nil"/>
            </w:tcBorders>
            <w:shd w:val="clear" w:color="auto" w:fill="auto"/>
            <w:noWrap/>
            <w:vAlign w:val="center"/>
          </w:tcPr>
          <w:p w14:paraId="4E631011" w14:textId="5E9EAA1B" w:rsidR="008B42FC" w:rsidRPr="00E20D21" w:rsidRDefault="00525FCB"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755CFC" w:rsidRPr="00E20D21">
              <w:rPr>
                <w:rFonts w:ascii="CAIXA Std Book" w:hAnsi="CAIXA Std Book" w:cs="Arial"/>
                <w:color w:val="005CA9"/>
                <w:sz w:val="18"/>
                <w:szCs w:val="18"/>
              </w:rPr>
              <w:t>63.283</w:t>
            </w:r>
            <w:r w:rsidRPr="00E20D21">
              <w:rPr>
                <w:rFonts w:ascii="CAIXA Std Book" w:hAnsi="CAIXA Std Book" w:cs="Arial"/>
                <w:color w:val="005CA9"/>
                <w:sz w:val="18"/>
                <w:szCs w:val="18"/>
              </w:rPr>
              <w:t>)</w:t>
            </w:r>
          </w:p>
        </w:tc>
        <w:tc>
          <w:tcPr>
            <w:tcW w:w="928" w:type="pct"/>
            <w:tcBorders>
              <w:top w:val="nil"/>
              <w:left w:val="nil"/>
              <w:bottom w:val="nil"/>
              <w:right w:val="nil"/>
            </w:tcBorders>
            <w:shd w:val="clear" w:color="auto" w:fill="auto"/>
            <w:noWrap/>
            <w:vAlign w:val="center"/>
          </w:tcPr>
          <w:p w14:paraId="496C4BE5" w14:textId="07F0BD4E" w:rsidR="008B42FC" w:rsidRPr="00E20D21" w:rsidRDefault="004B20AC" w:rsidP="00E20D21">
            <w:pPr>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(55.577)</w:t>
            </w:r>
          </w:p>
        </w:tc>
        <w:tc>
          <w:tcPr>
            <w:tcW w:w="665" w:type="pct"/>
            <w:tcBorders>
              <w:top w:val="nil"/>
              <w:left w:val="nil"/>
              <w:bottom w:val="nil"/>
              <w:right w:val="nil"/>
            </w:tcBorders>
            <w:shd w:val="clear" w:color="auto" w:fill="auto"/>
            <w:noWrap/>
            <w:vAlign w:val="center"/>
          </w:tcPr>
          <w:p w14:paraId="5AA8635C" w14:textId="399B179A" w:rsidR="008B42FC" w:rsidRPr="00E20D21" w:rsidRDefault="00525FCB" w:rsidP="00E20D21">
            <w:pPr>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(63.283)</w:t>
            </w:r>
          </w:p>
        </w:tc>
      </w:tr>
      <w:tr w:rsidR="008B42FC" w:rsidRPr="00E20D21" w14:paraId="3C3F6CE6" w14:textId="77777777" w:rsidTr="00525FCB">
        <w:trPr>
          <w:trHeight w:val="283"/>
          <w:jc w:val="center"/>
        </w:trPr>
        <w:tc>
          <w:tcPr>
            <w:tcW w:w="1971" w:type="pct"/>
            <w:tcBorders>
              <w:top w:val="nil"/>
              <w:left w:val="nil"/>
              <w:bottom w:val="nil"/>
              <w:right w:val="nil"/>
            </w:tcBorders>
            <w:shd w:val="clear" w:color="auto" w:fill="auto"/>
            <w:vAlign w:val="center"/>
          </w:tcPr>
          <w:p w14:paraId="67E84F72" w14:textId="77777777" w:rsidR="008B42FC" w:rsidRPr="00E20D21" w:rsidRDefault="008B42F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Captações no mercado aberto</w:t>
            </w:r>
          </w:p>
        </w:tc>
        <w:tc>
          <w:tcPr>
            <w:tcW w:w="767" w:type="pct"/>
            <w:tcBorders>
              <w:top w:val="nil"/>
              <w:left w:val="nil"/>
              <w:bottom w:val="nil"/>
              <w:right w:val="nil"/>
            </w:tcBorders>
            <w:shd w:val="clear" w:color="auto" w:fill="auto"/>
            <w:noWrap/>
            <w:vAlign w:val="center"/>
          </w:tcPr>
          <w:p w14:paraId="563CC46B" w14:textId="6BE44BD7" w:rsidR="008B42FC" w:rsidRPr="00E20D21" w:rsidRDefault="007229B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12.572.294</w:t>
            </w:r>
            <w:r w:rsidRPr="00E20D21">
              <w:rPr>
                <w:rFonts w:ascii="CAIXA Std Book" w:hAnsi="CAIXA Std Book" w:cs="Arial"/>
                <w:b/>
                <w:bCs/>
                <w:color w:val="005CA9"/>
                <w:sz w:val="18"/>
                <w:szCs w:val="18"/>
              </w:rPr>
              <w:t>)</w:t>
            </w:r>
          </w:p>
        </w:tc>
        <w:tc>
          <w:tcPr>
            <w:tcW w:w="669" w:type="pct"/>
            <w:tcBorders>
              <w:top w:val="nil"/>
              <w:left w:val="nil"/>
              <w:bottom w:val="nil"/>
              <w:right w:val="nil"/>
            </w:tcBorders>
            <w:shd w:val="clear" w:color="auto" w:fill="auto"/>
            <w:noWrap/>
            <w:vAlign w:val="center"/>
          </w:tcPr>
          <w:p w14:paraId="74482E4F" w14:textId="7EDA4F11" w:rsidR="008B42FC" w:rsidRPr="00E20D21" w:rsidRDefault="007229B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17.447.886</w:t>
            </w:r>
            <w:r w:rsidRPr="00E20D21">
              <w:rPr>
                <w:rFonts w:ascii="CAIXA Std Book" w:hAnsi="CAIXA Std Book" w:cs="Arial"/>
                <w:b/>
                <w:bCs/>
                <w:color w:val="005CA9"/>
                <w:sz w:val="18"/>
                <w:szCs w:val="18"/>
              </w:rPr>
              <w:t>)</w:t>
            </w:r>
          </w:p>
        </w:tc>
        <w:tc>
          <w:tcPr>
            <w:tcW w:w="928" w:type="pct"/>
            <w:tcBorders>
              <w:top w:val="nil"/>
              <w:left w:val="nil"/>
              <w:bottom w:val="nil"/>
              <w:right w:val="nil"/>
            </w:tcBorders>
            <w:shd w:val="clear" w:color="auto" w:fill="auto"/>
            <w:noWrap/>
            <w:vAlign w:val="center"/>
          </w:tcPr>
          <w:p w14:paraId="10258D0E" w14:textId="0E623FEE" w:rsidR="008B42FC" w:rsidRPr="00E20D21" w:rsidRDefault="00A71D9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(12.525.483)</w:t>
            </w:r>
          </w:p>
        </w:tc>
        <w:tc>
          <w:tcPr>
            <w:tcW w:w="665" w:type="pct"/>
            <w:tcBorders>
              <w:top w:val="nil"/>
              <w:left w:val="nil"/>
              <w:bottom w:val="nil"/>
              <w:right w:val="nil"/>
            </w:tcBorders>
            <w:shd w:val="clear" w:color="auto" w:fill="auto"/>
            <w:noWrap/>
            <w:vAlign w:val="center"/>
          </w:tcPr>
          <w:p w14:paraId="0BA10B69" w14:textId="7A4CD8E6" w:rsidR="008B42FC" w:rsidRPr="00E20D21" w:rsidRDefault="007229B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17.371.278</w:t>
            </w:r>
            <w:r w:rsidRPr="00E20D21">
              <w:rPr>
                <w:rFonts w:ascii="CAIXA Std Book" w:hAnsi="CAIXA Std Book" w:cs="Arial"/>
                <w:b/>
                <w:bCs/>
                <w:color w:val="005CA9"/>
                <w:sz w:val="18"/>
                <w:szCs w:val="18"/>
              </w:rPr>
              <w:t>)</w:t>
            </w:r>
          </w:p>
        </w:tc>
      </w:tr>
      <w:tr w:rsidR="008B42FC" w:rsidRPr="00E20D21" w14:paraId="35A3C239" w14:textId="77777777" w:rsidTr="00525FCB">
        <w:trPr>
          <w:trHeight w:val="283"/>
          <w:jc w:val="center"/>
        </w:trPr>
        <w:tc>
          <w:tcPr>
            <w:tcW w:w="1971" w:type="pct"/>
            <w:tcBorders>
              <w:top w:val="nil"/>
              <w:left w:val="nil"/>
              <w:bottom w:val="nil"/>
              <w:right w:val="nil"/>
            </w:tcBorders>
            <w:shd w:val="clear" w:color="auto" w:fill="auto"/>
            <w:vAlign w:val="center"/>
          </w:tcPr>
          <w:p w14:paraId="68417E68" w14:textId="77777777" w:rsidR="008B42FC" w:rsidRPr="00E20D21" w:rsidRDefault="008B42FC">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   Carteira própria</w:t>
            </w:r>
          </w:p>
        </w:tc>
        <w:tc>
          <w:tcPr>
            <w:tcW w:w="767" w:type="pct"/>
            <w:tcBorders>
              <w:top w:val="nil"/>
              <w:left w:val="nil"/>
              <w:bottom w:val="nil"/>
              <w:right w:val="nil"/>
            </w:tcBorders>
            <w:shd w:val="clear" w:color="auto" w:fill="auto"/>
            <w:noWrap/>
            <w:vAlign w:val="center"/>
          </w:tcPr>
          <w:p w14:paraId="339B473B" w14:textId="4723D59A"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8.101.073</w:t>
            </w:r>
            <w:r w:rsidRPr="00E20D21">
              <w:rPr>
                <w:rFonts w:ascii="CAIXA Std Book" w:hAnsi="CAIXA Std Book" w:cs="Arial"/>
                <w:color w:val="005CA9"/>
                <w:sz w:val="18"/>
                <w:szCs w:val="18"/>
              </w:rPr>
              <w:t>)</w:t>
            </w:r>
          </w:p>
        </w:tc>
        <w:tc>
          <w:tcPr>
            <w:tcW w:w="669" w:type="pct"/>
            <w:tcBorders>
              <w:top w:val="nil"/>
              <w:left w:val="nil"/>
              <w:bottom w:val="nil"/>
              <w:right w:val="nil"/>
            </w:tcBorders>
            <w:shd w:val="clear" w:color="auto" w:fill="auto"/>
            <w:noWrap/>
            <w:vAlign w:val="center"/>
          </w:tcPr>
          <w:p w14:paraId="6708680A" w14:textId="7149B734"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9.776.752</w:t>
            </w:r>
            <w:r w:rsidRPr="00E20D21">
              <w:rPr>
                <w:rFonts w:ascii="CAIXA Std Book" w:hAnsi="CAIXA Std Book" w:cs="Arial"/>
                <w:color w:val="005CA9"/>
                <w:sz w:val="18"/>
                <w:szCs w:val="18"/>
              </w:rPr>
              <w:t>)</w:t>
            </w:r>
          </w:p>
        </w:tc>
        <w:tc>
          <w:tcPr>
            <w:tcW w:w="928" w:type="pct"/>
            <w:tcBorders>
              <w:top w:val="nil"/>
              <w:left w:val="nil"/>
              <w:bottom w:val="nil"/>
              <w:right w:val="nil"/>
            </w:tcBorders>
            <w:shd w:val="clear" w:color="auto" w:fill="auto"/>
            <w:noWrap/>
            <w:vAlign w:val="center"/>
          </w:tcPr>
          <w:p w14:paraId="488C3E05" w14:textId="6A3B40A2" w:rsidR="008B42FC" w:rsidRPr="00E20D21" w:rsidRDefault="00A71D9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(8.054.262)</w:t>
            </w:r>
          </w:p>
        </w:tc>
        <w:tc>
          <w:tcPr>
            <w:tcW w:w="665" w:type="pct"/>
            <w:tcBorders>
              <w:top w:val="nil"/>
              <w:left w:val="nil"/>
              <w:bottom w:val="nil"/>
              <w:right w:val="nil"/>
            </w:tcBorders>
            <w:shd w:val="clear" w:color="auto" w:fill="auto"/>
            <w:noWrap/>
            <w:vAlign w:val="center"/>
          </w:tcPr>
          <w:p w14:paraId="47341F5B" w14:textId="55AD25B7"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9.776.752</w:t>
            </w:r>
            <w:r w:rsidRPr="00E20D21">
              <w:rPr>
                <w:rFonts w:ascii="CAIXA Std Book" w:hAnsi="CAIXA Std Book" w:cs="Arial"/>
                <w:color w:val="005CA9"/>
                <w:sz w:val="18"/>
                <w:szCs w:val="18"/>
              </w:rPr>
              <w:t>)</w:t>
            </w:r>
          </w:p>
        </w:tc>
      </w:tr>
      <w:tr w:rsidR="008B42FC" w:rsidRPr="00E20D21" w14:paraId="56BCEA7E" w14:textId="77777777" w:rsidTr="00525FCB">
        <w:trPr>
          <w:trHeight w:val="283"/>
          <w:jc w:val="center"/>
        </w:trPr>
        <w:tc>
          <w:tcPr>
            <w:tcW w:w="1971" w:type="pct"/>
            <w:tcBorders>
              <w:top w:val="nil"/>
              <w:left w:val="nil"/>
              <w:bottom w:val="nil"/>
              <w:right w:val="nil"/>
            </w:tcBorders>
            <w:shd w:val="clear" w:color="auto" w:fill="auto"/>
            <w:vAlign w:val="center"/>
          </w:tcPr>
          <w:p w14:paraId="665EC837" w14:textId="77777777" w:rsidR="008B42FC" w:rsidRPr="00E20D21" w:rsidRDefault="008B42FC">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   Carteira de terceiros</w:t>
            </w:r>
          </w:p>
        </w:tc>
        <w:tc>
          <w:tcPr>
            <w:tcW w:w="767" w:type="pct"/>
            <w:tcBorders>
              <w:top w:val="nil"/>
              <w:left w:val="nil"/>
              <w:bottom w:val="nil"/>
              <w:right w:val="nil"/>
            </w:tcBorders>
            <w:shd w:val="clear" w:color="auto" w:fill="auto"/>
            <w:noWrap/>
            <w:vAlign w:val="center"/>
          </w:tcPr>
          <w:p w14:paraId="5D33D912" w14:textId="285B2592"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4.471.221</w:t>
            </w:r>
            <w:r w:rsidRPr="00E20D21">
              <w:rPr>
                <w:rFonts w:ascii="CAIXA Std Book" w:hAnsi="CAIXA Std Book" w:cs="Arial"/>
                <w:color w:val="005CA9"/>
                <w:sz w:val="18"/>
                <w:szCs w:val="18"/>
              </w:rPr>
              <w:t>)</w:t>
            </w:r>
          </w:p>
        </w:tc>
        <w:tc>
          <w:tcPr>
            <w:tcW w:w="669" w:type="pct"/>
            <w:tcBorders>
              <w:top w:val="nil"/>
              <w:left w:val="nil"/>
              <w:bottom w:val="nil"/>
              <w:right w:val="nil"/>
            </w:tcBorders>
            <w:shd w:val="clear" w:color="auto" w:fill="auto"/>
            <w:noWrap/>
            <w:vAlign w:val="center"/>
          </w:tcPr>
          <w:p w14:paraId="291B6161" w14:textId="0BAF7798"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7.671.134</w:t>
            </w:r>
            <w:r w:rsidRPr="00E20D21">
              <w:rPr>
                <w:rFonts w:ascii="CAIXA Std Book" w:hAnsi="CAIXA Std Book" w:cs="Arial"/>
                <w:color w:val="005CA9"/>
                <w:sz w:val="18"/>
                <w:szCs w:val="18"/>
              </w:rPr>
              <w:t>)</w:t>
            </w:r>
          </w:p>
        </w:tc>
        <w:tc>
          <w:tcPr>
            <w:tcW w:w="928" w:type="pct"/>
            <w:tcBorders>
              <w:top w:val="nil"/>
              <w:left w:val="nil"/>
              <w:bottom w:val="nil"/>
              <w:right w:val="nil"/>
            </w:tcBorders>
            <w:shd w:val="clear" w:color="auto" w:fill="auto"/>
            <w:noWrap/>
            <w:vAlign w:val="center"/>
          </w:tcPr>
          <w:p w14:paraId="1A7397EA" w14:textId="7E2B8960" w:rsidR="008B42FC" w:rsidRPr="00E20D21" w:rsidRDefault="00A71D9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(4.471.221)</w:t>
            </w:r>
          </w:p>
        </w:tc>
        <w:tc>
          <w:tcPr>
            <w:tcW w:w="665" w:type="pct"/>
            <w:tcBorders>
              <w:top w:val="nil"/>
              <w:left w:val="nil"/>
              <w:bottom w:val="nil"/>
              <w:right w:val="nil"/>
            </w:tcBorders>
            <w:shd w:val="clear" w:color="auto" w:fill="auto"/>
            <w:noWrap/>
            <w:vAlign w:val="center"/>
          </w:tcPr>
          <w:p w14:paraId="5F979F08" w14:textId="4D8DF85B" w:rsidR="008B42FC" w:rsidRPr="00E20D21" w:rsidRDefault="007229BC" w:rsidP="00E20D21">
            <w:pPr>
              <w:jc w:val="right"/>
              <w:rPr>
                <w:rFonts w:ascii="CAIXA Std Book" w:hAnsi="CAIXA Std Book" w:cs="Arial"/>
                <w:color w:val="005CA9"/>
                <w:sz w:val="18"/>
                <w:szCs w:val="18"/>
              </w:rPr>
            </w:pPr>
            <w:r w:rsidRPr="00E20D21">
              <w:rPr>
                <w:rFonts w:ascii="CAIXA Std Book" w:hAnsi="CAIXA Std Book" w:cs="Arial"/>
                <w:color w:val="005CA9"/>
                <w:sz w:val="18"/>
                <w:szCs w:val="18"/>
              </w:rPr>
              <w:t>(</w:t>
            </w:r>
            <w:r w:rsidR="00995F41" w:rsidRPr="00E20D21">
              <w:rPr>
                <w:rFonts w:ascii="CAIXA Std Book" w:hAnsi="CAIXA Std Book" w:cs="Arial"/>
                <w:color w:val="005CA9"/>
                <w:sz w:val="18"/>
                <w:szCs w:val="18"/>
              </w:rPr>
              <w:t>7.594.526</w:t>
            </w:r>
            <w:r w:rsidRPr="00E20D21">
              <w:rPr>
                <w:rFonts w:ascii="CAIXA Std Book" w:hAnsi="CAIXA Std Book" w:cs="Arial"/>
                <w:color w:val="005CA9"/>
                <w:sz w:val="18"/>
                <w:szCs w:val="18"/>
              </w:rPr>
              <w:t>)</w:t>
            </w:r>
          </w:p>
        </w:tc>
      </w:tr>
      <w:tr w:rsidR="008B42FC" w:rsidRPr="00E20D21" w14:paraId="5339790A" w14:textId="77777777" w:rsidTr="00525FCB">
        <w:trPr>
          <w:trHeight w:val="283"/>
          <w:jc w:val="center"/>
        </w:trPr>
        <w:tc>
          <w:tcPr>
            <w:tcW w:w="1971" w:type="pct"/>
            <w:tcBorders>
              <w:top w:val="nil"/>
              <w:left w:val="nil"/>
              <w:bottom w:val="nil"/>
              <w:right w:val="nil"/>
            </w:tcBorders>
            <w:shd w:val="clear" w:color="auto" w:fill="auto"/>
            <w:vAlign w:val="center"/>
          </w:tcPr>
          <w:p w14:paraId="287CD5E4" w14:textId="77777777" w:rsidR="008B42FC" w:rsidRPr="00E20D21" w:rsidRDefault="008B42FC">
            <w:pP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Depósitos interfinanceiros</w:t>
            </w:r>
          </w:p>
        </w:tc>
        <w:tc>
          <w:tcPr>
            <w:tcW w:w="767" w:type="pct"/>
            <w:tcBorders>
              <w:top w:val="nil"/>
              <w:left w:val="nil"/>
              <w:bottom w:val="single" w:sz="4" w:space="0" w:color="F79646"/>
              <w:right w:val="nil"/>
            </w:tcBorders>
            <w:shd w:val="clear" w:color="auto" w:fill="auto"/>
            <w:noWrap/>
            <w:vAlign w:val="center"/>
          </w:tcPr>
          <w:p w14:paraId="582657CE" w14:textId="1D097733" w:rsidR="008B42FC" w:rsidRPr="00E20D21" w:rsidRDefault="007229BC" w:rsidP="00E20D2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116.909</w:t>
            </w:r>
            <w:r w:rsidRPr="00E20D21">
              <w:rPr>
                <w:rFonts w:ascii="CAIXA Std Book" w:hAnsi="CAIXA Std Book" w:cs="Arial"/>
                <w:b/>
                <w:bCs/>
                <w:color w:val="005CA9"/>
                <w:sz w:val="18"/>
                <w:szCs w:val="18"/>
              </w:rPr>
              <w:t>)</w:t>
            </w:r>
          </w:p>
        </w:tc>
        <w:tc>
          <w:tcPr>
            <w:tcW w:w="669" w:type="pct"/>
            <w:tcBorders>
              <w:top w:val="nil"/>
              <w:left w:val="nil"/>
              <w:bottom w:val="single" w:sz="4" w:space="0" w:color="F79646"/>
              <w:right w:val="nil"/>
            </w:tcBorders>
            <w:shd w:val="clear" w:color="auto" w:fill="auto"/>
            <w:noWrap/>
            <w:vAlign w:val="center"/>
          </w:tcPr>
          <w:p w14:paraId="52035AB8" w14:textId="2159AE99" w:rsidR="008B42FC" w:rsidRPr="00E20D21" w:rsidRDefault="007229BC" w:rsidP="00E20D2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178.710</w:t>
            </w:r>
            <w:r w:rsidRPr="00E20D21">
              <w:rPr>
                <w:rFonts w:ascii="CAIXA Std Book" w:hAnsi="CAIXA Std Book" w:cs="Arial"/>
                <w:b/>
                <w:bCs/>
                <w:color w:val="005CA9"/>
                <w:sz w:val="18"/>
                <w:szCs w:val="18"/>
              </w:rPr>
              <w:t>)</w:t>
            </w:r>
          </w:p>
        </w:tc>
        <w:tc>
          <w:tcPr>
            <w:tcW w:w="928" w:type="pct"/>
            <w:tcBorders>
              <w:top w:val="nil"/>
              <w:left w:val="nil"/>
              <w:bottom w:val="single" w:sz="4" w:space="0" w:color="F79646"/>
              <w:right w:val="nil"/>
            </w:tcBorders>
            <w:shd w:val="clear" w:color="auto" w:fill="auto"/>
            <w:noWrap/>
            <w:vAlign w:val="center"/>
          </w:tcPr>
          <w:p w14:paraId="65BC195C" w14:textId="674211BF" w:rsidR="008B42FC" w:rsidRPr="00E20D21" w:rsidRDefault="00A71D9C" w:rsidP="00E20D2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(116.909)</w:t>
            </w:r>
          </w:p>
        </w:tc>
        <w:tc>
          <w:tcPr>
            <w:tcW w:w="665" w:type="pct"/>
            <w:tcBorders>
              <w:top w:val="nil"/>
              <w:left w:val="nil"/>
              <w:bottom w:val="single" w:sz="4" w:space="0" w:color="F79646"/>
              <w:right w:val="nil"/>
            </w:tcBorders>
            <w:shd w:val="clear" w:color="auto" w:fill="auto"/>
            <w:noWrap/>
            <w:vAlign w:val="center"/>
          </w:tcPr>
          <w:p w14:paraId="7C25DA6D" w14:textId="699977C3" w:rsidR="008B42FC" w:rsidRPr="00E20D21" w:rsidRDefault="007229BC" w:rsidP="00E20D21">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178.710</w:t>
            </w:r>
            <w:r w:rsidRPr="00E20D21">
              <w:rPr>
                <w:rFonts w:ascii="CAIXA Std Book" w:hAnsi="CAIXA Std Book" w:cs="Arial"/>
                <w:b/>
                <w:bCs/>
                <w:color w:val="005CA9"/>
                <w:sz w:val="18"/>
                <w:szCs w:val="18"/>
              </w:rPr>
              <w:t>)</w:t>
            </w:r>
          </w:p>
        </w:tc>
      </w:tr>
      <w:tr w:rsidR="008B42FC" w:rsidRPr="00E20D21" w14:paraId="4E1D82A6" w14:textId="77777777" w:rsidTr="00525FCB">
        <w:trPr>
          <w:trHeight w:val="283"/>
          <w:jc w:val="center"/>
        </w:trPr>
        <w:tc>
          <w:tcPr>
            <w:tcW w:w="1971" w:type="pct"/>
            <w:tcBorders>
              <w:top w:val="single" w:sz="4" w:space="0" w:color="F39200"/>
              <w:left w:val="nil"/>
              <w:bottom w:val="single" w:sz="4" w:space="0" w:color="F39200"/>
              <w:right w:val="nil"/>
            </w:tcBorders>
            <w:shd w:val="clear" w:color="auto" w:fill="auto"/>
            <w:noWrap/>
            <w:vAlign w:val="center"/>
            <w:hideMark/>
          </w:tcPr>
          <w:p w14:paraId="5EE54EC5" w14:textId="77777777" w:rsidR="008B42FC" w:rsidRPr="00E20D21" w:rsidRDefault="008B42F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67" w:type="pct"/>
            <w:tcBorders>
              <w:top w:val="single" w:sz="4" w:space="0" w:color="F79646"/>
              <w:left w:val="nil"/>
              <w:bottom w:val="single" w:sz="4" w:space="0" w:color="F79646"/>
              <w:right w:val="nil"/>
            </w:tcBorders>
            <w:shd w:val="clear" w:color="auto" w:fill="auto"/>
            <w:noWrap/>
            <w:vAlign w:val="center"/>
          </w:tcPr>
          <w:p w14:paraId="1E0BC91D" w14:textId="58374C52" w:rsidR="008B42FC" w:rsidRPr="00E20D21" w:rsidRDefault="00995F41"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(26.865.975)</w:t>
            </w:r>
          </w:p>
        </w:tc>
        <w:tc>
          <w:tcPr>
            <w:tcW w:w="669" w:type="pct"/>
            <w:tcBorders>
              <w:top w:val="single" w:sz="4" w:space="0" w:color="F79646"/>
              <w:left w:val="nil"/>
              <w:bottom w:val="single" w:sz="4" w:space="0" w:color="F79646"/>
              <w:right w:val="nil"/>
            </w:tcBorders>
            <w:shd w:val="clear" w:color="auto" w:fill="auto"/>
            <w:noWrap/>
            <w:vAlign w:val="center"/>
          </w:tcPr>
          <w:p w14:paraId="452F2671" w14:textId="61CA1A23" w:rsidR="008B42FC" w:rsidRPr="00E20D21" w:rsidRDefault="007229B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32.844.434</w:t>
            </w:r>
            <w:r w:rsidRPr="00E20D21">
              <w:rPr>
                <w:rFonts w:ascii="CAIXA Std Book" w:hAnsi="CAIXA Std Book" w:cs="Arial"/>
                <w:b/>
                <w:bCs/>
                <w:color w:val="005CA9"/>
                <w:sz w:val="18"/>
                <w:szCs w:val="18"/>
              </w:rPr>
              <w:t>)</w:t>
            </w:r>
          </w:p>
        </w:tc>
        <w:tc>
          <w:tcPr>
            <w:tcW w:w="928" w:type="pct"/>
            <w:tcBorders>
              <w:top w:val="single" w:sz="4" w:space="0" w:color="F79646"/>
              <w:left w:val="nil"/>
              <w:bottom w:val="single" w:sz="4" w:space="0" w:color="F79646"/>
              <w:right w:val="nil"/>
            </w:tcBorders>
            <w:shd w:val="clear" w:color="auto" w:fill="auto"/>
            <w:noWrap/>
            <w:vAlign w:val="center"/>
          </w:tcPr>
          <w:p w14:paraId="3CE28CC6" w14:textId="6CAFBF8D" w:rsidR="008B42FC" w:rsidRPr="00E20D21" w:rsidRDefault="00A71D9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(26.819.164)</w:t>
            </w:r>
          </w:p>
        </w:tc>
        <w:tc>
          <w:tcPr>
            <w:tcW w:w="665" w:type="pct"/>
            <w:tcBorders>
              <w:top w:val="single" w:sz="4" w:space="0" w:color="F79646"/>
              <w:left w:val="nil"/>
              <w:bottom w:val="single" w:sz="4" w:space="0" w:color="F79646"/>
              <w:right w:val="nil"/>
            </w:tcBorders>
            <w:shd w:val="clear" w:color="auto" w:fill="auto"/>
            <w:noWrap/>
            <w:vAlign w:val="center"/>
          </w:tcPr>
          <w:p w14:paraId="5A3F6BF5" w14:textId="6D2B20F2" w:rsidR="008B42FC" w:rsidRPr="00E20D21" w:rsidRDefault="007229BC" w:rsidP="00E20D21">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w:t>
            </w:r>
            <w:r w:rsidR="00995F41" w:rsidRPr="00E20D21">
              <w:rPr>
                <w:rFonts w:ascii="CAIXA Std Book" w:hAnsi="CAIXA Std Book" w:cs="Arial"/>
                <w:b/>
                <w:bCs/>
                <w:color w:val="005CA9"/>
                <w:sz w:val="18"/>
                <w:szCs w:val="18"/>
              </w:rPr>
              <w:t>32.672.087</w:t>
            </w:r>
            <w:r w:rsidRPr="00E20D21">
              <w:rPr>
                <w:rFonts w:ascii="CAIXA Std Book" w:hAnsi="CAIXA Std Book" w:cs="Arial"/>
                <w:b/>
                <w:bCs/>
                <w:color w:val="005CA9"/>
                <w:sz w:val="18"/>
                <w:szCs w:val="18"/>
              </w:rPr>
              <w:t>)</w:t>
            </w:r>
          </w:p>
        </w:tc>
      </w:tr>
    </w:tbl>
    <w:p w14:paraId="1A726E6B" w14:textId="77777777" w:rsidR="00E265BF" w:rsidRPr="00E20D21" w:rsidRDefault="00E265BF">
      <w:pPr>
        <w:rPr>
          <w:rFonts w:ascii="CAIXA Std Book" w:hAnsi="CAIXA Std Book"/>
          <w:color w:val="005CA9"/>
        </w:rPr>
      </w:pPr>
      <w:r w:rsidRPr="00E20D21">
        <w:rPr>
          <w:rFonts w:ascii="CAIXA Std Book" w:hAnsi="CAIXA Std Book"/>
          <w:color w:val="005CA9"/>
        </w:rPr>
        <w:br w:type="page"/>
      </w:r>
    </w:p>
    <w:p w14:paraId="00F3A4C8" w14:textId="560F50C3" w:rsidR="00681A81" w:rsidRPr="00E20D21" w:rsidRDefault="00681A81" w:rsidP="00FD7768">
      <w:pPr>
        <w:pStyle w:val="Ttulo1"/>
      </w:pPr>
      <w:bookmarkStart w:id="52" w:name="_Toc175067957"/>
      <w:r w:rsidRPr="00E20D21">
        <w:lastRenderedPageBreak/>
        <w:t>Nota 1</w:t>
      </w:r>
      <w:r w:rsidR="004917F8" w:rsidRPr="00E20D21">
        <w:t>7</w:t>
      </w:r>
      <w:r w:rsidRPr="00E20D21">
        <w:t xml:space="preserve"> – Recursos d</w:t>
      </w:r>
      <w:bookmarkEnd w:id="48"/>
      <w:r w:rsidRPr="00E20D21">
        <w:t xml:space="preserve">e </w:t>
      </w:r>
      <w:r w:rsidR="00C83D65" w:rsidRPr="00E20D21">
        <w:t>e</w:t>
      </w:r>
      <w:r w:rsidRPr="00E20D21">
        <w:t xml:space="preserve">missões de </w:t>
      </w:r>
      <w:r w:rsidR="00C83D65" w:rsidRPr="00E20D21">
        <w:t>t</w:t>
      </w:r>
      <w:r w:rsidRPr="00E20D21">
        <w:t xml:space="preserve">ítulos e </w:t>
      </w:r>
      <w:r w:rsidR="00C83D65" w:rsidRPr="00E20D21">
        <w:t>v</w:t>
      </w:r>
      <w:r w:rsidRPr="00E20D21">
        <w:t xml:space="preserve">alores </w:t>
      </w:r>
      <w:r w:rsidR="00C83D65" w:rsidRPr="00E20D21">
        <w:t>m</w:t>
      </w:r>
      <w:r w:rsidRPr="00E20D21">
        <w:t>obiliários</w:t>
      </w:r>
      <w:bookmarkEnd w:id="52"/>
    </w:p>
    <w:p w14:paraId="1E05478E" w14:textId="77777777" w:rsidR="00681A81" w:rsidRPr="00E20D21" w:rsidRDefault="00681A81" w:rsidP="00BB5675">
      <w:pPr>
        <w:pStyle w:val="PargrafodaLista"/>
        <w:numPr>
          <w:ilvl w:val="0"/>
          <w:numId w:val="10"/>
        </w:numPr>
        <w:spacing w:before="480" w:after="240"/>
        <w:ind w:left="567" w:hanging="567"/>
        <w:contextualSpacing w:val="0"/>
        <w:jc w:val="both"/>
        <w:rPr>
          <w:rFonts w:ascii="CAIXA Std Book" w:hAnsi="CAIXA Std Book"/>
          <w:b/>
          <w:color w:val="005CA9"/>
          <w:sz w:val="20"/>
          <w:szCs w:val="20"/>
        </w:rPr>
      </w:pPr>
      <w:bookmarkStart w:id="53" w:name="_Toc48574164"/>
      <w:r w:rsidRPr="00E20D21">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827"/>
        <w:gridCol w:w="1399"/>
        <w:gridCol w:w="1473"/>
        <w:gridCol w:w="1469"/>
        <w:gridCol w:w="1469"/>
      </w:tblGrid>
      <w:tr w:rsidR="00A47C19" w:rsidRPr="00E20D21" w14:paraId="6D46E937" w14:textId="77777777" w:rsidTr="007E31BA">
        <w:trPr>
          <w:trHeight w:val="283"/>
        </w:trPr>
        <w:tc>
          <w:tcPr>
            <w:tcW w:w="1986" w:type="pct"/>
            <w:vMerge w:val="restart"/>
            <w:tcBorders>
              <w:top w:val="single" w:sz="4" w:space="0" w:color="F39200"/>
              <w:left w:val="nil"/>
              <w:right w:val="nil"/>
            </w:tcBorders>
            <w:shd w:val="clear" w:color="auto" w:fill="auto"/>
            <w:noWrap/>
            <w:vAlign w:val="center"/>
            <w:hideMark/>
          </w:tcPr>
          <w:p w14:paraId="4B96D438" w14:textId="77777777" w:rsidR="00681A81" w:rsidRPr="00E20D21" w:rsidRDefault="00681A81" w:rsidP="00117988">
            <w:pPr>
              <w:jc w:val="center"/>
              <w:rPr>
                <w:rFonts w:ascii="CAIXA Std Book" w:hAnsi="CAIXA Std Book"/>
                <w:b/>
                <w:color w:val="005CA9"/>
                <w:sz w:val="18"/>
                <w:szCs w:val="18"/>
              </w:rPr>
            </w:pPr>
            <w:r w:rsidRPr="00E20D21">
              <w:rPr>
                <w:rFonts w:ascii="CAIXA Std Book" w:hAnsi="CAIXA Std Book"/>
                <w:b/>
                <w:color w:val="005CA9"/>
                <w:sz w:val="18"/>
                <w:szCs w:val="18"/>
              </w:rPr>
              <w:t>Descrição</w:t>
            </w:r>
          </w:p>
        </w:tc>
        <w:tc>
          <w:tcPr>
            <w:tcW w:w="1490" w:type="pct"/>
            <w:gridSpan w:val="2"/>
            <w:tcBorders>
              <w:top w:val="single" w:sz="4" w:space="0" w:color="F39200"/>
              <w:left w:val="nil"/>
              <w:bottom w:val="single" w:sz="4" w:space="0" w:color="F39200"/>
              <w:right w:val="nil"/>
            </w:tcBorders>
            <w:shd w:val="clear" w:color="auto" w:fill="auto"/>
            <w:vAlign w:val="center"/>
          </w:tcPr>
          <w:p w14:paraId="74583388" w14:textId="77777777" w:rsidR="00681A81" w:rsidRPr="00E20D21" w:rsidRDefault="00681A81" w:rsidP="00117988">
            <w:pPr>
              <w:jc w:val="center"/>
              <w:rPr>
                <w:rFonts w:ascii="CAIXA Std Book" w:hAnsi="CAIXA Std Book"/>
                <w:b/>
                <w:color w:val="005CA9"/>
                <w:sz w:val="18"/>
                <w:szCs w:val="18"/>
              </w:rPr>
            </w:pPr>
            <w:r w:rsidRPr="00E20D21">
              <w:rPr>
                <w:rFonts w:ascii="CAIXA Std Book" w:hAnsi="CAIXA Std Book"/>
                <w:b/>
                <w:color w:val="005CA9"/>
                <w:sz w:val="18"/>
                <w:szCs w:val="18"/>
              </w:rPr>
              <w:t>INDIVIDUAL</w:t>
            </w:r>
          </w:p>
        </w:tc>
        <w:tc>
          <w:tcPr>
            <w:tcW w:w="1524" w:type="pct"/>
            <w:gridSpan w:val="2"/>
            <w:tcBorders>
              <w:top w:val="single" w:sz="4" w:space="0" w:color="F39200"/>
              <w:left w:val="nil"/>
              <w:bottom w:val="single" w:sz="4" w:space="0" w:color="F39200"/>
              <w:right w:val="nil"/>
            </w:tcBorders>
            <w:vAlign w:val="center"/>
          </w:tcPr>
          <w:p w14:paraId="76BDDFFD" w14:textId="77777777" w:rsidR="00681A81" w:rsidRPr="00E20D21" w:rsidRDefault="00681A81" w:rsidP="00117988">
            <w:pPr>
              <w:jc w:val="center"/>
              <w:rPr>
                <w:rFonts w:ascii="CAIXA Std Book" w:hAnsi="CAIXA Std Book"/>
                <w:b/>
                <w:color w:val="005CA9"/>
                <w:sz w:val="18"/>
                <w:szCs w:val="18"/>
              </w:rPr>
            </w:pPr>
            <w:r w:rsidRPr="00E20D21">
              <w:rPr>
                <w:rFonts w:ascii="CAIXA Std Book" w:hAnsi="CAIXA Std Book"/>
                <w:b/>
                <w:color w:val="005CA9"/>
                <w:sz w:val="18"/>
                <w:szCs w:val="18"/>
              </w:rPr>
              <w:t>CONSOLIDADO</w:t>
            </w:r>
          </w:p>
        </w:tc>
      </w:tr>
      <w:tr w:rsidR="00A47C19" w:rsidRPr="00E20D21" w14:paraId="134BB232" w14:textId="77777777" w:rsidTr="007E31BA">
        <w:trPr>
          <w:trHeight w:val="283"/>
        </w:trPr>
        <w:tc>
          <w:tcPr>
            <w:tcW w:w="1986" w:type="pct"/>
            <w:vMerge/>
            <w:tcBorders>
              <w:left w:val="nil"/>
              <w:bottom w:val="single" w:sz="4" w:space="0" w:color="F39200"/>
              <w:right w:val="nil"/>
            </w:tcBorders>
            <w:shd w:val="clear" w:color="auto" w:fill="auto"/>
            <w:vAlign w:val="center"/>
            <w:hideMark/>
          </w:tcPr>
          <w:p w14:paraId="546DCA02" w14:textId="77777777" w:rsidR="00C47163" w:rsidRPr="00E20D21" w:rsidRDefault="00C47163" w:rsidP="00C47163">
            <w:pPr>
              <w:jc w:val="center"/>
              <w:rPr>
                <w:rFonts w:ascii="CAIXA Std Book" w:hAnsi="CAIXA Std Book"/>
                <w:b/>
                <w:color w:val="005CA9"/>
                <w:sz w:val="18"/>
                <w:szCs w:val="18"/>
              </w:rPr>
            </w:pPr>
          </w:p>
        </w:tc>
        <w:tc>
          <w:tcPr>
            <w:tcW w:w="726" w:type="pct"/>
            <w:tcBorders>
              <w:top w:val="single" w:sz="4" w:space="0" w:color="F79646"/>
              <w:left w:val="nil"/>
              <w:bottom w:val="single" w:sz="4" w:space="0" w:color="F79646"/>
              <w:right w:val="nil"/>
            </w:tcBorders>
            <w:shd w:val="clear" w:color="auto" w:fill="auto"/>
            <w:noWrap/>
            <w:vAlign w:val="center"/>
          </w:tcPr>
          <w:p w14:paraId="12EB7F47" w14:textId="3B49260E" w:rsidR="00C47163" w:rsidRPr="00E20D21" w:rsidRDefault="00111340" w:rsidP="00C47163">
            <w:pPr>
              <w:jc w:val="center"/>
              <w:rPr>
                <w:rFonts w:ascii="CAIXA Std Book" w:hAnsi="CAIXA Std Book"/>
                <w:b/>
                <w:color w:val="005CA9"/>
                <w:sz w:val="18"/>
                <w:szCs w:val="18"/>
              </w:rPr>
            </w:pPr>
            <w:r w:rsidRPr="00E20D21">
              <w:rPr>
                <w:rFonts w:ascii="CAIXA Std Book" w:hAnsi="CAIXA Std Book"/>
                <w:b/>
                <w:color w:val="005CA9"/>
                <w:sz w:val="18"/>
                <w:szCs w:val="18"/>
              </w:rPr>
              <w:t>3</w:t>
            </w:r>
            <w:r w:rsidR="008C7A67" w:rsidRPr="00E20D21">
              <w:rPr>
                <w:rFonts w:ascii="CAIXA Std Book" w:hAnsi="CAIXA Std Book"/>
                <w:b/>
                <w:color w:val="005CA9"/>
                <w:sz w:val="18"/>
                <w:szCs w:val="18"/>
              </w:rPr>
              <w:t>0/06/2024</w:t>
            </w:r>
          </w:p>
        </w:tc>
        <w:tc>
          <w:tcPr>
            <w:tcW w:w="763" w:type="pct"/>
            <w:tcBorders>
              <w:top w:val="single" w:sz="4" w:space="0" w:color="F79646"/>
              <w:left w:val="nil"/>
              <w:bottom w:val="single" w:sz="4" w:space="0" w:color="F79646"/>
              <w:right w:val="nil"/>
            </w:tcBorders>
            <w:shd w:val="clear" w:color="auto" w:fill="auto"/>
            <w:vAlign w:val="center"/>
            <w:hideMark/>
          </w:tcPr>
          <w:p w14:paraId="6F7E8462" w14:textId="1111AE5E" w:rsidR="00C47163" w:rsidRPr="00E20D21" w:rsidRDefault="00C47163" w:rsidP="00C47163">
            <w:pPr>
              <w:jc w:val="center"/>
              <w:rPr>
                <w:rFonts w:ascii="CAIXA Std Book" w:hAnsi="CAIXA Std Book"/>
                <w:b/>
                <w:color w:val="005CA9"/>
                <w:sz w:val="18"/>
                <w:szCs w:val="18"/>
              </w:rPr>
            </w:pPr>
            <w:r w:rsidRPr="00E20D21">
              <w:rPr>
                <w:rFonts w:ascii="CAIXA Std Book" w:hAnsi="CAIXA Std Book"/>
                <w:b/>
                <w:color w:val="005CA9"/>
                <w:sz w:val="18"/>
                <w:szCs w:val="18"/>
              </w:rPr>
              <w:t>31/12/202</w:t>
            </w:r>
            <w:r w:rsidR="008C7A67" w:rsidRPr="00E20D21">
              <w:rPr>
                <w:rFonts w:ascii="CAIXA Std Book" w:hAnsi="CAIXA Std Book"/>
                <w:b/>
                <w:color w:val="005CA9"/>
                <w:sz w:val="18"/>
                <w:szCs w:val="18"/>
              </w:rPr>
              <w:t>3</w:t>
            </w:r>
          </w:p>
        </w:tc>
        <w:tc>
          <w:tcPr>
            <w:tcW w:w="762" w:type="pct"/>
            <w:tcBorders>
              <w:top w:val="single" w:sz="4" w:space="0" w:color="F79646"/>
              <w:left w:val="nil"/>
              <w:bottom w:val="single" w:sz="4" w:space="0" w:color="F79646"/>
              <w:right w:val="nil"/>
            </w:tcBorders>
            <w:vAlign w:val="center"/>
          </w:tcPr>
          <w:p w14:paraId="63A98947" w14:textId="3954EB88" w:rsidR="00C47163" w:rsidRPr="00E20D21" w:rsidRDefault="008C7A67" w:rsidP="00C47163">
            <w:pPr>
              <w:jc w:val="center"/>
              <w:rPr>
                <w:rFonts w:ascii="CAIXA Std Book" w:hAnsi="CAIXA Std Book"/>
                <w:b/>
                <w:color w:val="005CA9"/>
                <w:sz w:val="18"/>
                <w:szCs w:val="18"/>
              </w:rPr>
            </w:pPr>
            <w:r w:rsidRPr="00E20D21">
              <w:rPr>
                <w:rFonts w:ascii="CAIXA Std Book" w:hAnsi="CAIXA Std Book"/>
                <w:b/>
                <w:color w:val="005CA9"/>
                <w:sz w:val="18"/>
                <w:szCs w:val="18"/>
              </w:rPr>
              <w:t>30/06/2024</w:t>
            </w:r>
          </w:p>
        </w:tc>
        <w:tc>
          <w:tcPr>
            <w:tcW w:w="762" w:type="pct"/>
            <w:tcBorders>
              <w:top w:val="single" w:sz="4" w:space="0" w:color="F79646"/>
              <w:left w:val="nil"/>
              <w:bottom w:val="single" w:sz="4" w:space="0" w:color="F79646"/>
              <w:right w:val="nil"/>
            </w:tcBorders>
            <w:vAlign w:val="center"/>
          </w:tcPr>
          <w:p w14:paraId="7A04555C" w14:textId="32CE5D27" w:rsidR="00C47163" w:rsidRPr="00E20D21" w:rsidRDefault="00C47163" w:rsidP="00C47163">
            <w:pPr>
              <w:jc w:val="center"/>
              <w:rPr>
                <w:rFonts w:ascii="CAIXA Std Book" w:hAnsi="CAIXA Std Book"/>
                <w:b/>
                <w:color w:val="005CA9"/>
                <w:sz w:val="18"/>
                <w:szCs w:val="18"/>
              </w:rPr>
            </w:pPr>
            <w:r w:rsidRPr="00E20D21">
              <w:rPr>
                <w:rFonts w:ascii="CAIXA Std Book" w:hAnsi="CAIXA Std Book"/>
                <w:b/>
                <w:color w:val="005CA9"/>
                <w:sz w:val="18"/>
                <w:szCs w:val="18"/>
              </w:rPr>
              <w:t>31/12/202</w:t>
            </w:r>
            <w:r w:rsidR="008C7A67" w:rsidRPr="00E20D21">
              <w:rPr>
                <w:rFonts w:ascii="CAIXA Std Book" w:hAnsi="CAIXA Std Book"/>
                <w:b/>
                <w:color w:val="005CA9"/>
                <w:sz w:val="18"/>
                <w:szCs w:val="18"/>
              </w:rPr>
              <w:t>3</w:t>
            </w:r>
          </w:p>
        </w:tc>
      </w:tr>
      <w:tr w:rsidR="00976BDF" w:rsidRPr="00E20D21" w14:paraId="3D288179" w14:textId="77777777" w:rsidTr="007E31BA">
        <w:trPr>
          <w:trHeight w:val="283"/>
        </w:trPr>
        <w:tc>
          <w:tcPr>
            <w:tcW w:w="1986" w:type="pct"/>
            <w:tcBorders>
              <w:top w:val="nil"/>
              <w:left w:val="nil"/>
              <w:bottom w:val="nil"/>
              <w:right w:val="nil"/>
            </w:tcBorders>
            <w:shd w:val="clear" w:color="auto" w:fill="auto"/>
            <w:vAlign w:val="center"/>
            <w:hideMark/>
          </w:tcPr>
          <w:p w14:paraId="59FFE0BC" w14:textId="77777777" w:rsidR="00976BDF" w:rsidRPr="00E20D21" w:rsidRDefault="00976BDF" w:rsidP="00976BDF">
            <w:pPr>
              <w:rPr>
                <w:rFonts w:ascii="CAIXA Std Book" w:hAnsi="CAIXA Std Book"/>
                <w:color w:val="005CA9"/>
                <w:sz w:val="18"/>
                <w:szCs w:val="18"/>
              </w:rPr>
            </w:pPr>
            <w:r w:rsidRPr="00E20D21">
              <w:rPr>
                <w:rFonts w:ascii="CAIXA Std Book" w:hAnsi="CAIXA Std Book" w:cs="Arial Unicode MS"/>
                <w:color w:val="005CA9"/>
                <w:sz w:val="18"/>
                <w:szCs w:val="18"/>
              </w:rPr>
              <w:t>Recursos aceites e emissão de títulos (b)</w:t>
            </w:r>
          </w:p>
        </w:tc>
        <w:tc>
          <w:tcPr>
            <w:tcW w:w="726" w:type="pct"/>
            <w:tcBorders>
              <w:top w:val="nil"/>
              <w:left w:val="nil"/>
              <w:bottom w:val="nil"/>
              <w:right w:val="nil"/>
            </w:tcBorders>
            <w:shd w:val="clear" w:color="auto" w:fill="auto"/>
            <w:noWrap/>
            <w:vAlign w:val="center"/>
          </w:tcPr>
          <w:p w14:paraId="485D6B75" w14:textId="480AAD2B"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184.816.760</w:t>
            </w:r>
          </w:p>
        </w:tc>
        <w:tc>
          <w:tcPr>
            <w:tcW w:w="763" w:type="pct"/>
            <w:tcBorders>
              <w:top w:val="nil"/>
              <w:left w:val="nil"/>
              <w:bottom w:val="nil"/>
              <w:right w:val="nil"/>
            </w:tcBorders>
            <w:shd w:val="clear" w:color="auto" w:fill="auto"/>
            <w:noWrap/>
            <w:vAlign w:val="center"/>
          </w:tcPr>
          <w:p w14:paraId="42F03534" w14:textId="528E9DDA"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165.377.995</w:t>
            </w:r>
          </w:p>
        </w:tc>
        <w:tc>
          <w:tcPr>
            <w:tcW w:w="762" w:type="pct"/>
            <w:tcBorders>
              <w:top w:val="nil"/>
              <w:left w:val="nil"/>
              <w:bottom w:val="nil"/>
              <w:right w:val="nil"/>
            </w:tcBorders>
            <w:shd w:val="clear" w:color="auto" w:fill="auto"/>
            <w:vAlign w:val="center"/>
          </w:tcPr>
          <w:p w14:paraId="1435F398" w14:textId="799F934D"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184.816.760</w:t>
            </w:r>
          </w:p>
        </w:tc>
        <w:tc>
          <w:tcPr>
            <w:tcW w:w="762" w:type="pct"/>
            <w:tcBorders>
              <w:top w:val="nil"/>
              <w:left w:val="nil"/>
              <w:bottom w:val="nil"/>
              <w:right w:val="nil"/>
            </w:tcBorders>
            <w:shd w:val="clear" w:color="auto" w:fill="auto"/>
            <w:vAlign w:val="center"/>
          </w:tcPr>
          <w:p w14:paraId="74CED0AD" w14:textId="13AF8D10"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165.377.995</w:t>
            </w:r>
          </w:p>
        </w:tc>
      </w:tr>
      <w:tr w:rsidR="00976BDF" w:rsidRPr="00E20D21" w14:paraId="3F9B2938" w14:textId="77777777" w:rsidTr="007E31BA">
        <w:trPr>
          <w:trHeight w:val="283"/>
        </w:trPr>
        <w:tc>
          <w:tcPr>
            <w:tcW w:w="1986" w:type="pct"/>
            <w:tcBorders>
              <w:top w:val="nil"/>
              <w:left w:val="nil"/>
              <w:bottom w:val="nil"/>
              <w:right w:val="nil"/>
            </w:tcBorders>
            <w:shd w:val="clear" w:color="auto" w:fill="auto"/>
            <w:vAlign w:val="center"/>
          </w:tcPr>
          <w:p w14:paraId="676535BD" w14:textId="7520844D" w:rsidR="00976BDF" w:rsidRPr="00E20D21" w:rsidRDefault="00976BDF" w:rsidP="00976BDF">
            <w:pPr>
              <w:rPr>
                <w:rFonts w:ascii="CAIXA Std Book" w:hAnsi="CAIXA Std Book" w:cs="Arial Unicode MS"/>
                <w:color w:val="005CA9"/>
                <w:sz w:val="18"/>
                <w:szCs w:val="18"/>
              </w:rPr>
            </w:pPr>
            <w:r w:rsidRPr="00E20D21">
              <w:rPr>
                <w:rFonts w:ascii="CAIXA Std Book" w:hAnsi="CAIXA Std Book" w:cs="Arial Unicode MS"/>
                <w:color w:val="005CA9"/>
                <w:sz w:val="18"/>
                <w:szCs w:val="18"/>
              </w:rPr>
              <w:t>Instrumentos financeiros subordinados (c)</w:t>
            </w:r>
          </w:p>
        </w:tc>
        <w:tc>
          <w:tcPr>
            <w:tcW w:w="726" w:type="pct"/>
            <w:tcBorders>
              <w:top w:val="nil"/>
              <w:left w:val="nil"/>
              <w:bottom w:val="nil"/>
              <w:right w:val="nil"/>
            </w:tcBorders>
            <w:shd w:val="clear" w:color="auto" w:fill="auto"/>
            <w:noWrap/>
            <w:vAlign w:val="center"/>
          </w:tcPr>
          <w:p w14:paraId="30CB84A7" w14:textId="6F5E3C61"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36.160.668</w:t>
            </w:r>
          </w:p>
        </w:tc>
        <w:tc>
          <w:tcPr>
            <w:tcW w:w="763" w:type="pct"/>
            <w:tcBorders>
              <w:top w:val="nil"/>
              <w:left w:val="nil"/>
              <w:bottom w:val="nil"/>
              <w:right w:val="nil"/>
            </w:tcBorders>
            <w:shd w:val="clear" w:color="auto" w:fill="auto"/>
            <w:noWrap/>
            <w:vAlign w:val="center"/>
          </w:tcPr>
          <w:p w14:paraId="0AACD137" w14:textId="529DD7B6"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36.706.423</w:t>
            </w:r>
          </w:p>
        </w:tc>
        <w:tc>
          <w:tcPr>
            <w:tcW w:w="762" w:type="pct"/>
            <w:tcBorders>
              <w:top w:val="nil"/>
              <w:left w:val="nil"/>
              <w:bottom w:val="nil"/>
              <w:right w:val="nil"/>
            </w:tcBorders>
            <w:shd w:val="clear" w:color="auto" w:fill="auto"/>
            <w:vAlign w:val="center"/>
          </w:tcPr>
          <w:p w14:paraId="22E2D697" w14:textId="3AD40884"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36.160.668</w:t>
            </w:r>
          </w:p>
        </w:tc>
        <w:tc>
          <w:tcPr>
            <w:tcW w:w="762" w:type="pct"/>
            <w:tcBorders>
              <w:top w:val="nil"/>
              <w:left w:val="nil"/>
              <w:bottom w:val="nil"/>
              <w:right w:val="nil"/>
            </w:tcBorders>
            <w:shd w:val="clear" w:color="auto" w:fill="auto"/>
            <w:vAlign w:val="center"/>
          </w:tcPr>
          <w:p w14:paraId="734F2DC1" w14:textId="7D5444B0"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36.706.424</w:t>
            </w:r>
          </w:p>
        </w:tc>
      </w:tr>
      <w:tr w:rsidR="00976BDF" w:rsidRPr="00E20D21" w14:paraId="4CB79D71" w14:textId="77777777" w:rsidTr="007E31BA">
        <w:trPr>
          <w:trHeight w:val="283"/>
        </w:trPr>
        <w:tc>
          <w:tcPr>
            <w:tcW w:w="1986" w:type="pct"/>
            <w:tcBorders>
              <w:top w:val="nil"/>
              <w:left w:val="nil"/>
              <w:bottom w:val="nil"/>
              <w:right w:val="nil"/>
            </w:tcBorders>
            <w:shd w:val="clear" w:color="auto" w:fill="auto"/>
            <w:vAlign w:val="center"/>
          </w:tcPr>
          <w:p w14:paraId="55FBC5EA" w14:textId="642FFC15" w:rsidR="00976BDF" w:rsidRPr="00E20D21" w:rsidRDefault="00976BDF" w:rsidP="00976BDF">
            <w:pPr>
              <w:rPr>
                <w:rFonts w:ascii="CAIXA Std Book" w:hAnsi="CAIXA Std Book" w:cs="Wingdings"/>
                <w:color w:val="005CA9"/>
                <w:sz w:val="18"/>
                <w:szCs w:val="18"/>
              </w:rPr>
            </w:pPr>
            <w:r w:rsidRPr="00E20D21">
              <w:rPr>
                <w:rFonts w:ascii="CAIXA Std Book" w:hAnsi="CAIXA Std Book" w:cs="Arial Unicode MS"/>
                <w:color w:val="005CA9"/>
                <w:sz w:val="18"/>
                <w:szCs w:val="18"/>
              </w:rPr>
              <w:t>IHCD – Principal autorizado (d)(1)</w:t>
            </w:r>
          </w:p>
        </w:tc>
        <w:tc>
          <w:tcPr>
            <w:tcW w:w="726" w:type="pct"/>
            <w:tcBorders>
              <w:top w:val="nil"/>
              <w:left w:val="nil"/>
              <w:bottom w:val="nil"/>
              <w:right w:val="nil"/>
            </w:tcBorders>
            <w:shd w:val="clear" w:color="auto" w:fill="auto"/>
            <w:noWrap/>
            <w:vAlign w:val="center"/>
          </w:tcPr>
          <w:p w14:paraId="36E47C5F" w14:textId="26DE5EC8"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34.327.964</w:t>
            </w:r>
          </w:p>
        </w:tc>
        <w:tc>
          <w:tcPr>
            <w:tcW w:w="763" w:type="pct"/>
            <w:tcBorders>
              <w:top w:val="nil"/>
              <w:left w:val="nil"/>
              <w:bottom w:val="nil"/>
              <w:right w:val="nil"/>
            </w:tcBorders>
            <w:shd w:val="clear" w:color="auto" w:fill="auto"/>
            <w:noWrap/>
            <w:vAlign w:val="center"/>
          </w:tcPr>
          <w:p w14:paraId="76842498" w14:textId="214911D4"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33.047.744</w:t>
            </w:r>
          </w:p>
        </w:tc>
        <w:tc>
          <w:tcPr>
            <w:tcW w:w="762" w:type="pct"/>
            <w:tcBorders>
              <w:top w:val="nil"/>
              <w:left w:val="nil"/>
              <w:bottom w:val="nil"/>
              <w:right w:val="nil"/>
            </w:tcBorders>
            <w:shd w:val="clear" w:color="auto" w:fill="auto"/>
            <w:vAlign w:val="center"/>
          </w:tcPr>
          <w:p w14:paraId="467CE47D" w14:textId="23BABB1B" w:rsidR="00976BDF" w:rsidRPr="00E20D21" w:rsidRDefault="00715277" w:rsidP="00976BDF">
            <w:pPr>
              <w:jc w:val="center"/>
              <w:rPr>
                <w:rFonts w:ascii="CAIXA Std Book" w:hAnsi="CAIXA Std Book" w:cs="Arial Unicode MS"/>
                <w:color w:val="005CA9"/>
                <w:sz w:val="18"/>
                <w:szCs w:val="18"/>
              </w:rPr>
            </w:pPr>
            <w:r w:rsidRPr="00E20D21">
              <w:rPr>
                <w:rFonts w:ascii="CAIXA Std Book" w:hAnsi="CAIXA Std Book" w:cs="Arial Unicode MS"/>
                <w:color w:val="005CA9"/>
                <w:sz w:val="18"/>
                <w:szCs w:val="18"/>
              </w:rPr>
              <w:t>-</w:t>
            </w:r>
          </w:p>
        </w:tc>
        <w:tc>
          <w:tcPr>
            <w:tcW w:w="762" w:type="pct"/>
            <w:tcBorders>
              <w:top w:val="nil"/>
              <w:left w:val="nil"/>
              <w:bottom w:val="nil"/>
              <w:right w:val="nil"/>
            </w:tcBorders>
            <w:shd w:val="clear" w:color="auto" w:fill="auto"/>
            <w:vAlign w:val="center"/>
          </w:tcPr>
          <w:p w14:paraId="40566042" w14:textId="4DA8B46E" w:rsidR="00976BDF" w:rsidRPr="00E20D21" w:rsidRDefault="00715277" w:rsidP="00976BDF">
            <w:pPr>
              <w:jc w:val="center"/>
              <w:rPr>
                <w:rFonts w:ascii="CAIXA Std Book" w:hAnsi="CAIXA Std Book" w:cs="Arial Unicode MS"/>
                <w:color w:val="005CA9"/>
                <w:sz w:val="18"/>
                <w:szCs w:val="18"/>
              </w:rPr>
            </w:pPr>
            <w:r w:rsidRPr="00E20D21">
              <w:rPr>
                <w:rFonts w:ascii="CAIXA Std Book" w:hAnsi="CAIXA Std Book" w:cs="Arial Unicode MS"/>
                <w:color w:val="005CA9"/>
                <w:sz w:val="18"/>
                <w:szCs w:val="18"/>
              </w:rPr>
              <w:t>-</w:t>
            </w:r>
          </w:p>
        </w:tc>
      </w:tr>
      <w:tr w:rsidR="00976BDF" w:rsidRPr="00E20D21" w14:paraId="7C2880E1" w14:textId="77777777" w:rsidTr="007E31BA">
        <w:trPr>
          <w:trHeight w:val="283"/>
        </w:trPr>
        <w:tc>
          <w:tcPr>
            <w:tcW w:w="1986" w:type="pct"/>
            <w:tcBorders>
              <w:top w:val="nil"/>
              <w:left w:val="nil"/>
              <w:bottom w:val="nil"/>
              <w:right w:val="nil"/>
            </w:tcBorders>
            <w:shd w:val="clear" w:color="auto" w:fill="auto"/>
            <w:vAlign w:val="center"/>
            <w:hideMark/>
          </w:tcPr>
          <w:p w14:paraId="3B1FCD3F" w14:textId="0B6AF282" w:rsidR="00976BDF" w:rsidRPr="00E20D21" w:rsidRDefault="00976BDF" w:rsidP="00976BDF">
            <w:pPr>
              <w:rPr>
                <w:rFonts w:ascii="CAIXA Std Book" w:hAnsi="CAIXA Std Book"/>
                <w:color w:val="005CA9"/>
                <w:sz w:val="18"/>
                <w:szCs w:val="18"/>
              </w:rPr>
            </w:pPr>
            <w:r w:rsidRPr="00E20D21">
              <w:rPr>
                <w:rFonts w:ascii="CAIXA Std Book" w:hAnsi="CAIXA Std Book" w:cs="Arial Unicode MS"/>
                <w:color w:val="005CA9"/>
                <w:sz w:val="18"/>
                <w:szCs w:val="18"/>
              </w:rPr>
              <w:t>Instrumentos híbridos de capital e dívida</w:t>
            </w:r>
            <w:r w:rsidR="007E31BA" w:rsidRPr="00E20D21">
              <w:rPr>
                <w:rFonts w:ascii="CAIXA Std Book" w:hAnsi="CAIXA Std Book" w:cs="Arial Unicode MS"/>
                <w:color w:val="005CA9"/>
                <w:sz w:val="18"/>
                <w:szCs w:val="18"/>
              </w:rPr>
              <w:t xml:space="preserve"> (2)</w:t>
            </w:r>
          </w:p>
        </w:tc>
        <w:tc>
          <w:tcPr>
            <w:tcW w:w="726" w:type="pct"/>
            <w:tcBorders>
              <w:top w:val="nil"/>
              <w:left w:val="nil"/>
              <w:bottom w:val="nil"/>
              <w:right w:val="nil"/>
            </w:tcBorders>
            <w:shd w:val="clear" w:color="auto" w:fill="auto"/>
            <w:noWrap/>
            <w:vAlign w:val="center"/>
          </w:tcPr>
          <w:p w14:paraId="4E11B185" w14:textId="1843E7E5" w:rsidR="00976BDF" w:rsidRPr="00E20D21" w:rsidRDefault="00C47D1F" w:rsidP="00976BDF">
            <w:pPr>
              <w:jc w:val="right"/>
              <w:rPr>
                <w:rFonts w:ascii="CAIXA Std Book" w:hAnsi="CAIXA Std Book" w:cs="Arial"/>
                <w:color w:val="005CA9"/>
                <w:sz w:val="18"/>
                <w:szCs w:val="18"/>
              </w:rPr>
            </w:pPr>
            <w:r w:rsidRPr="00E20D21">
              <w:rPr>
                <w:rFonts w:ascii="CAIXA Std Book" w:hAnsi="CAIXA Std Book" w:cs="Arial"/>
                <w:color w:val="005CA9"/>
                <w:sz w:val="18"/>
                <w:szCs w:val="18"/>
              </w:rPr>
              <w:t>1.076.324</w:t>
            </w:r>
          </w:p>
        </w:tc>
        <w:tc>
          <w:tcPr>
            <w:tcW w:w="763" w:type="pct"/>
            <w:tcBorders>
              <w:top w:val="nil"/>
              <w:left w:val="nil"/>
              <w:bottom w:val="nil"/>
              <w:right w:val="nil"/>
            </w:tcBorders>
            <w:shd w:val="clear" w:color="auto" w:fill="auto"/>
            <w:noWrap/>
            <w:vAlign w:val="center"/>
          </w:tcPr>
          <w:p w14:paraId="17D407AC" w14:textId="7DC263E2"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2.037.317</w:t>
            </w:r>
          </w:p>
        </w:tc>
        <w:tc>
          <w:tcPr>
            <w:tcW w:w="762" w:type="pct"/>
            <w:tcBorders>
              <w:top w:val="nil"/>
              <w:left w:val="nil"/>
              <w:bottom w:val="nil"/>
              <w:right w:val="nil"/>
            </w:tcBorders>
            <w:shd w:val="clear" w:color="auto" w:fill="auto"/>
            <w:vAlign w:val="center"/>
          </w:tcPr>
          <w:p w14:paraId="3C37087B" w14:textId="722001D5" w:rsidR="00976BDF" w:rsidRPr="00E20D21" w:rsidRDefault="00715277"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1.076.324</w:t>
            </w:r>
          </w:p>
        </w:tc>
        <w:tc>
          <w:tcPr>
            <w:tcW w:w="762" w:type="pct"/>
            <w:tcBorders>
              <w:top w:val="nil"/>
              <w:left w:val="nil"/>
              <w:bottom w:val="nil"/>
              <w:right w:val="nil"/>
            </w:tcBorders>
            <w:shd w:val="clear" w:color="auto" w:fill="auto"/>
            <w:vAlign w:val="center"/>
          </w:tcPr>
          <w:p w14:paraId="264D3CF6" w14:textId="6377A9AA"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2.037.317</w:t>
            </w:r>
          </w:p>
        </w:tc>
      </w:tr>
      <w:tr w:rsidR="00976BDF" w:rsidRPr="00E20D21" w14:paraId="3C097B01" w14:textId="77777777" w:rsidTr="007E31BA">
        <w:trPr>
          <w:trHeight w:val="283"/>
        </w:trPr>
        <w:tc>
          <w:tcPr>
            <w:tcW w:w="1986" w:type="pct"/>
            <w:tcBorders>
              <w:top w:val="single" w:sz="4" w:space="0" w:color="F39200"/>
              <w:left w:val="nil"/>
              <w:bottom w:val="single" w:sz="4" w:space="0" w:color="F39200"/>
              <w:right w:val="nil"/>
            </w:tcBorders>
            <w:shd w:val="clear" w:color="auto" w:fill="auto"/>
            <w:noWrap/>
            <w:vAlign w:val="center"/>
            <w:hideMark/>
          </w:tcPr>
          <w:p w14:paraId="38E53DF0" w14:textId="77777777" w:rsidR="00976BDF" w:rsidRPr="00E20D21" w:rsidRDefault="00976BDF" w:rsidP="00976BDF">
            <w:pPr>
              <w:rPr>
                <w:rFonts w:ascii="CAIXA Std Book" w:hAnsi="CAIXA Std Book"/>
                <w:b/>
                <w:color w:val="005CA9"/>
                <w:sz w:val="18"/>
                <w:szCs w:val="18"/>
              </w:rPr>
            </w:pPr>
            <w:r w:rsidRPr="00E20D21">
              <w:rPr>
                <w:rFonts w:ascii="CAIXA Std Book" w:hAnsi="CAIXA Std Book" w:cs="Arial Unicode MS"/>
                <w:b/>
                <w:color w:val="005CA9"/>
                <w:sz w:val="18"/>
                <w:szCs w:val="18"/>
              </w:rPr>
              <w:t xml:space="preserve">Total </w:t>
            </w:r>
          </w:p>
        </w:tc>
        <w:tc>
          <w:tcPr>
            <w:tcW w:w="726" w:type="pct"/>
            <w:tcBorders>
              <w:top w:val="single" w:sz="4" w:space="0" w:color="F39200"/>
              <w:left w:val="nil"/>
              <w:bottom w:val="single" w:sz="4" w:space="0" w:color="F39200"/>
              <w:right w:val="nil"/>
            </w:tcBorders>
            <w:shd w:val="clear" w:color="auto" w:fill="auto"/>
            <w:noWrap/>
            <w:vAlign w:val="center"/>
          </w:tcPr>
          <w:p w14:paraId="4D85DFF3" w14:textId="3267DCBE" w:rsidR="00976BDF" w:rsidRPr="00E20D21" w:rsidRDefault="00976BDF" w:rsidP="00976BDF">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256.</w:t>
            </w:r>
            <w:r w:rsidR="00C47D1F" w:rsidRPr="00E20D21">
              <w:rPr>
                <w:rFonts w:ascii="CAIXA Std Book" w:hAnsi="CAIXA Std Book" w:cs="Arial"/>
                <w:b/>
                <w:bCs/>
                <w:color w:val="005CA9"/>
                <w:sz w:val="18"/>
                <w:szCs w:val="18"/>
              </w:rPr>
              <w:t>381.716</w:t>
            </w:r>
          </w:p>
        </w:tc>
        <w:tc>
          <w:tcPr>
            <w:tcW w:w="763" w:type="pct"/>
            <w:tcBorders>
              <w:top w:val="single" w:sz="4" w:space="0" w:color="F39200"/>
              <w:left w:val="nil"/>
              <w:bottom w:val="single" w:sz="4" w:space="0" w:color="F39200"/>
              <w:right w:val="nil"/>
            </w:tcBorders>
            <w:shd w:val="clear" w:color="auto" w:fill="auto"/>
            <w:noWrap/>
            <w:vAlign w:val="center"/>
          </w:tcPr>
          <w:p w14:paraId="23ED5D39" w14:textId="0023A3A9" w:rsidR="00976BDF" w:rsidRPr="00E20D21" w:rsidRDefault="00976BDF" w:rsidP="00976BDF">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237.169.479</w:t>
            </w:r>
          </w:p>
        </w:tc>
        <w:tc>
          <w:tcPr>
            <w:tcW w:w="762" w:type="pct"/>
            <w:tcBorders>
              <w:top w:val="single" w:sz="4" w:space="0" w:color="F39200"/>
              <w:left w:val="nil"/>
              <w:bottom w:val="single" w:sz="4" w:space="0" w:color="F39200"/>
              <w:right w:val="nil"/>
            </w:tcBorders>
            <w:shd w:val="clear" w:color="auto" w:fill="auto"/>
            <w:vAlign w:val="center"/>
          </w:tcPr>
          <w:p w14:paraId="641E156B" w14:textId="1C1DFCF4" w:rsidR="00976BDF" w:rsidRPr="00E20D21" w:rsidRDefault="00715277" w:rsidP="00976BDF">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222.053</w:t>
            </w:r>
            <w:r w:rsidR="00976BDF" w:rsidRPr="00E20D21">
              <w:rPr>
                <w:rFonts w:ascii="CAIXA Std Book" w:hAnsi="CAIXA Std Book" w:cs="Arial"/>
                <w:b/>
                <w:bCs/>
                <w:color w:val="005CA9"/>
                <w:sz w:val="18"/>
                <w:szCs w:val="18"/>
              </w:rPr>
              <w:t>.752</w:t>
            </w:r>
          </w:p>
        </w:tc>
        <w:tc>
          <w:tcPr>
            <w:tcW w:w="762" w:type="pct"/>
            <w:tcBorders>
              <w:top w:val="single" w:sz="4" w:space="0" w:color="F39200"/>
              <w:left w:val="nil"/>
              <w:bottom w:val="single" w:sz="4" w:space="0" w:color="F39200"/>
              <w:right w:val="nil"/>
            </w:tcBorders>
            <w:shd w:val="clear" w:color="auto" w:fill="auto"/>
            <w:vAlign w:val="center"/>
          </w:tcPr>
          <w:p w14:paraId="71288F2C" w14:textId="540A1479" w:rsidR="00976BDF" w:rsidRPr="00E20D21" w:rsidRDefault="00976BDF" w:rsidP="00976BDF">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204.121.736</w:t>
            </w:r>
          </w:p>
        </w:tc>
      </w:tr>
      <w:tr w:rsidR="00976BDF" w:rsidRPr="00E20D21" w14:paraId="48ACC17A" w14:textId="77777777" w:rsidTr="007E31BA">
        <w:trPr>
          <w:trHeight w:val="283"/>
        </w:trPr>
        <w:tc>
          <w:tcPr>
            <w:tcW w:w="1986" w:type="pct"/>
            <w:tcBorders>
              <w:top w:val="nil"/>
              <w:left w:val="nil"/>
              <w:bottom w:val="nil"/>
              <w:right w:val="nil"/>
            </w:tcBorders>
            <w:shd w:val="clear" w:color="auto" w:fill="auto"/>
            <w:vAlign w:val="center"/>
            <w:hideMark/>
          </w:tcPr>
          <w:p w14:paraId="52C09E1E" w14:textId="77777777" w:rsidR="00976BDF" w:rsidRPr="00E20D21" w:rsidRDefault="00976BDF" w:rsidP="00976BDF">
            <w:pPr>
              <w:rPr>
                <w:rFonts w:ascii="CAIXA Std Book" w:hAnsi="CAIXA Std Book"/>
                <w:color w:val="005CA9"/>
                <w:sz w:val="18"/>
                <w:szCs w:val="18"/>
              </w:rPr>
            </w:pPr>
            <w:r w:rsidRPr="00E20D21">
              <w:rPr>
                <w:rFonts w:ascii="CAIXA Std Book" w:hAnsi="CAIXA Std Book" w:cs="Arial Unicode MS"/>
                <w:color w:val="005CA9"/>
                <w:sz w:val="18"/>
                <w:szCs w:val="18"/>
              </w:rPr>
              <w:t>Passivo circulante</w:t>
            </w:r>
          </w:p>
        </w:tc>
        <w:tc>
          <w:tcPr>
            <w:tcW w:w="726" w:type="pct"/>
            <w:tcBorders>
              <w:top w:val="nil"/>
              <w:left w:val="nil"/>
              <w:bottom w:val="nil"/>
              <w:right w:val="nil"/>
            </w:tcBorders>
            <w:shd w:val="clear" w:color="auto" w:fill="auto"/>
            <w:noWrap/>
            <w:vAlign w:val="center"/>
          </w:tcPr>
          <w:p w14:paraId="427ECD0D" w14:textId="6AF9DD23" w:rsidR="00976BDF" w:rsidRPr="00E20D21" w:rsidRDefault="00976BDF" w:rsidP="00976BDF">
            <w:pPr>
              <w:jc w:val="right"/>
              <w:rPr>
                <w:rFonts w:ascii="CAIXA Std Book" w:hAnsi="CAIXA Std Book" w:cs="Arial"/>
                <w:color w:val="005CA9"/>
                <w:sz w:val="18"/>
                <w:szCs w:val="18"/>
              </w:rPr>
            </w:pPr>
            <w:r w:rsidRPr="00E20D21">
              <w:rPr>
                <w:rFonts w:ascii="CAIXA Std Book" w:hAnsi="CAIXA Std Book" w:cs="Arial"/>
                <w:color w:val="005CA9"/>
                <w:sz w:val="18"/>
                <w:szCs w:val="18"/>
              </w:rPr>
              <w:t>38.819.981</w:t>
            </w:r>
          </w:p>
        </w:tc>
        <w:tc>
          <w:tcPr>
            <w:tcW w:w="763" w:type="pct"/>
            <w:tcBorders>
              <w:top w:val="nil"/>
              <w:left w:val="nil"/>
              <w:bottom w:val="nil"/>
              <w:right w:val="nil"/>
            </w:tcBorders>
            <w:shd w:val="clear" w:color="auto" w:fill="auto"/>
            <w:noWrap/>
            <w:vAlign w:val="center"/>
          </w:tcPr>
          <w:p w14:paraId="158D31A2" w14:textId="7BE6BBF2" w:rsidR="00976BDF" w:rsidRPr="00E20D21" w:rsidRDefault="00976BDF" w:rsidP="00976BDF">
            <w:pPr>
              <w:jc w:val="right"/>
              <w:rPr>
                <w:rFonts w:ascii="CAIXA Std Book" w:hAnsi="CAIXA Std Book" w:cs="Arial"/>
                <w:color w:val="005CA9"/>
                <w:sz w:val="18"/>
                <w:szCs w:val="18"/>
              </w:rPr>
            </w:pPr>
            <w:r w:rsidRPr="00E20D21">
              <w:rPr>
                <w:rFonts w:ascii="CAIXA Std Book" w:hAnsi="CAIXA Std Book" w:cs="Arial"/>
                <w:color w:val="005CA9"/>
                <w:sz w:val="18"/>
                <w:szCs w:val="18"/>
              </w:rPr>
              <w:t>38.122.429</w:t>
            </w:r>
          </w:p>
        </w:tc>
        <w:tc>
          <w:tcPr>
            <w:tcW w:w="762" w:type="pct"/>
            <w:tcBorders>
              <w:top w:val="nil"/>
              <w:left w:val="nil"/>
              <w:bottom w:val="nil"/>
              <w:right w:val="nil"/>
            </w:tcBorders>
            <w:shd w:val="clear" w:color="auto" w:fill="auto"/>
            <w:vAlign w:val="center"/>
          </w:tcPr>
          <w:p w14:paraId="64B5D962" w14:textId="72BF66C7"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38.819.981</w:t>
            </w:r>
          </w:p>
        </w:tc>
        <w:tc>
          <w:tcPr>
            <w:tcW w:w="762" w:type="pct"/>
            <w:tcBorders>
              <w:top w:val="nil"/>
              <w:left w:val="nil"/>
              <w:bottom w:val="nil"/>
              <w:right w:val="nil"/>
            </w:tcBorders>
            <w:shd w:val="clear" w:color="auto" w:fill="auto"/>
            <w:vAlign w:val="center"/>
          </w:tcPr>
          <w:p w14:paraId="2F617405" w14:textId="514A89AE"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38.122.429</w:t>
            </w:r>
          </w:p>
        </w:tc>
      </w:tr>
      <w:tr w:rsidR="00976BDF" w:rsidRPr="00E20D21" w14:paraId="0C345588" w14:textId="77777777" w:rsidTr="007E31BA">
        <w:trPr>
          <w:trHeight w:val="283"/>
        </w:trPr>
        <w:tc>
          <w:tcPr>
            <w:tcW w:w="1986" w:type="pct"/>
            <w:tcBorders>
              <w:top w:val="nil"/>
              <w:left w:val="nil"/>
              <w:bottom w:val="single" w:sz="4" w:space="0" w:color="F39200"/>
              <w:right w:val="nil"/>
            </w:tcBorders>
            <w:shd w:val="clear" w:color="auto" w:fill="auto"/>
            <w:vAlign w:val="center"/>
            <w:hideMark/>
          </w:tcPr>
          <w:p w14:paraId="2687411C" w14:textId="77777777" w:rsidR="00976BDF" w:rsidRPr="00E20D21" w:rsidRDefault="00976BDF" w:rsidP="00976BDF">
            <w:pPr>
              <w:rPr>
                <w:rFonts w:ascii="CAIXA Std Book" w:hAnsi="CAIXA Std Book"/>
                <w:color w:val="005CA9"/>
                <w:sz w:val="18"/>
                <w:szCs w:val="18"/>
              </w:rPr>
            </w:pPr>
            <w:r w:rsidRPr="00E20D21">
              <w:rPr>
                <w:rFonts w:ascii="CAIXA Std Book" w:hAnsi="CAIXA Std Book" w:cs="Arial Unicode MS"/>
                <w:color w:val="005CA9"/>
                <w:sz w:val="18"/>
                <w:szCs w:val="18"/>
              </w:rPr>
              <w:t>Passivo não circulante</w:t>
            </w:r>
          </w:p>
        </w:tc>
        <w:tc>
          <w:tcPr>
            <w:tcW w:w="726" w:type="pct"/>
            <w:tcBorders>
              <w:top w:val="nil"/>
              <w:left w:val="nil"/>
              <w:bottom w:val="single" w:sz="4" w:space="0" w:color="F39200"/>
              <w:right w:val="nil"/>
            </w:tcBorders>
            <w:shd w:val="clear" w:color="auto" w:fill="auto"/>
            <w:noWrap/>
            <w:vAlign w:val="center"/>
          </w:tcPr>
          <w:p w14:paraId="2DD99635" w14:textId="50FD0F0A" w:rsidR="00976BDF" w:rsidRPr="00E20D21" w:rsidRDefault="00976BDF" w:rsidP="00976BDF">
            <w:pPr>
              <w:jc w:val="right"/>
              <w:rPr>
                <w:rFonts w:ascii="CAIXA Std Book" w:hAnsi="CAIXA Std Book" w:cs="Arial"/>
                <w:color w:val="005CA9"/>
                <w:sz w:val="18"/>
                <w:szCs w:val="18"/>
              </w:rPr>
            </w:pPr>
            <w:r w:rsidRPr="00E20D21">
              <w:rPr>
                <w:rFonts w:ascii="CAIXA Std Book" w:hAnsi="CAIXA Std Book" w:cs="Arial"/>
                <w:color w:val="005CA9"/>
                <w:sz w:val="18"/>
                <w:szCs w:val="18"/>
              </w:rPr>
              <w:t>217.</w:t>
            </w:r>
            <w:r w:rsidR="00C47D1F" w:rsidRPr="00E20D21">
              <w:rPr>
                <w:rFonts w:ascii="CAIXA Std Book" w:hAnsi="CAIXA Std Book" w:cs="Arial"/>
                <w:color w:val="005CA9"/>
                <w:sz w:val="18"/>
                <w:szCs w:val="18"/>
              </w:rPr>
              <w:t>561.735</w:t>
            </w:r>
          </w:p>
        </w:tc>
        <w:tc>
          <w:tcPr>
            <w:tcW w:w="763" w:type="pct"/>
            <w:tcBorders>
              <w:top w:val="nil"/>
              <w:left w:val="nil"/>
              <w:bottom w:val="single" w:sz="4" w:space="0" w:color="F79646"/>
              <w:right w:val="nil"/>
            </w:tcBorders>
            <w:shd w:val="clear" w:color="auto" w:fill="auto"/>
            <w:noWrap/>
            <w:vAlign w:val="center"/>
          </w:tcPr>
          <w:p w14:paraId="0F642A3A" w14:textId="2F544CD7" w:rsidR="00976BDF" w:rsidRPr="00E20D21" w:rsidRDefault="00976BDF" w:rsidP="00976BDF">
            <w:pPr>
              <w:jc w:val="right"/>
              <w:rPr>
                <w:rFonts w:ascii="CAIXA Std Book" w:hAnsi="CAIXA Std Book" w:cs="Arial"/>
                <w:color w:val="005CA9"/>
                <w:sz w:val="18"/>
                <w:szCs w:val="18"/>
              </w:rPr>
            </w:pPr>
            <w:r w:rsidRPr="00E20D21">
              <w:rPr>
                <w:rFonts w:ascii="CAIXA Std Book" w:hAnsi="CAIXA Std Book" w:cs="Arial"/>
                <w:color w:val="005CA9"/>
                <w:sz w:val="18"/>
                <w:szCs w:val="18"/>
              </w:rPr>
              <w:t>199.047.050</w:t>
            </w:r>
          </w:p>
        </w:tc>
        <w:tc>
          <w:tcPr>
            <w:tcW w:w="762" w:type="pct"/>
            <w:tcBorders>
              <w:top w:val="nil"/>
              <w:left w:val="nil"/>
              <w:bottom w:val="single" w:sz="4" w:space="0" w:color="F79646"/>
              <w:right w:val="nil"/>
            </w:tcBorders>
            <w:shd w:val="clear" w:color="auto" w:fill="auto"/>
            <w:vAlign w:val="center"/>
          </w:tcPr>
          <w:p w14:paraId="10B4A4AD" w14:textId="3763485F" w:rsidR="00976BDF" w:rsidRPr="00E20D21" w:rsidRDefault="00715277"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183.233.771</w:t>
            </w:r>
          </w:p>
        </w:tc>
        <w:tc>
          <w:tcPr>
            <w:tcW w:w="762" w:type="pct"/>
            <w:tcBorders>
              <w:top w:val="nil"/>
              <w:left w:val="nil"/>
              <w:bottom w:val="single" w:sz="4" w:space="0" w:color="F79646"/>
              <w:right w:val="nil"/>
            </w:tcBorders>
            <w:shd w:val="clear" w:color="auto" w:fill="auto"/>
            <w:vAlign w:val="center"/>
          </w:tcPr>
          <w:p w14:paraId="7D1E3DC3" w14:textId="5FF26ADB" w:rsidR="00976BDF" w:rsidRPr="00E20D21" w:rsidRDefault="00976BDF" w:rsidP="00976BDF">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165.999.307</w:t>
            </w:r>
          </w:p>
        </w:tc>
      </w:tr>
    </w:tbl>
    <w:p w14:paraId="1D720560" w14:textId="3F3EDC93" w:rsidR="00A371AC" w:rsidRPr="00E20D21" w:rsidRDefault="00670CB9" w:rsidP="00A371AC">
      <w:pPr>
        <w:jc w:val="both"/>
        <w:rPr>
          <w:rFonts w:ascii="CAIXA Std Book" w:hAnsi="CAIXA Std Book"/>
          <w:color w:val="005CA9"/>
          <w:sz w:val="16"/>
          <w:szCs w:val="16"/>
        </w:rPr>
      </w:pPr>
      <w:r w:rsidRPr="00E20D21">
        <w:rPr>
          <w:rFonts w:ascii="CAIXA Std Book" w:hAnsi="CAIXA Std Book"/>
          <w:color w:val="005CA9"/>
          <w:sz w:val="16"/>
          <w:szCs w:val="16"/>
        </w:rPr>
        <w:t>(</w:t>
      </w:r>
      <w:r w:rsidR="00B23F08" w:rsidRPr="00E20D21">
        <w:rPr>
          <w:rFonts w:ascii="CAIXA Std Book" w:hAnsi="CAIXA Std Book"/>
          <w:color w:val="005CA9"/>
          <w:sz w:val="16"/>
          <w:szCs w:val="16"/>
        </w:rPr>
        <w:t>1</w:t>
      </w:r>
      <w:r w:rsidRPr="00E20D21">
        <w:rPr>
          <w:rFonts w:ascii="CAIXA Std Book" w:hAnsi="CAIXA Std Book"/>
          <w:color w:val="005CA9"/>
          <w:sz w:val="16"/>
          <w:szCs w:val="16"/>
        </w:rPr>
        <w:t xml:space="preserve">) Composto por instrumentos híbridos de capital e dívida autorizado a compor o capital. No consolidado </w:t>
      </w:r>
      <w:r w:rsidR="00CF5FC4" w:rsidRPr="00E20D21">
        <w:rPr>
          <w:rFonts w:ascii="CAIXA Std Book" w:hAnsi="CAIXA Std Book"/>
          <w:color w:val="005CA9"/>
          <w:sz w:val="16"/>
          <w:szCs w:val="16"/>
        </w:rPr>
        <w:t xml:space="preserve">o saldo </w:t>
      </w:r>
      <w:r w:rsidRPr="00E20D21">
        <w:rPr>
          <w:rFonts w:ascii="CAIXA Std Book" w:hAnsi="CAIXA Std Book"/>
          <w:color w:val="005CA9"/>
          <w:sz w:val="16"/>
          <w:szCs w:val="16"/>
        </w:rPr>
        <w:t xml:space="preserve">é reclassificado para o Patrimônio Líquido conforme Resolução </w:t>
      </w:r>
      <w:r w:rsidR="00334122" w:rsidRPr="00E20D21">
        <w:rPr>
          <w:rFonts w:ascii="CAIXA Std Book" w:hAnsi="CAIXA Std Book"/>
          <w:color w:val="005CA9"/>
          <w:sz w:val="16"/>
          <w:szCs w:val="16"/>
        </w:rPr>
        <w:t xml:space="preserve">CMN </w:t>
      </w:r>
      <w:r w:rsidRPr="00E20D21">
        <w:rPr>
          <w:rFonts w:ascii="CAIXA Std Book" w:hAnsi="CAIXA Std Book"/>
          <w:color w:val="005CA9"/>
          <w:sz w:val="16"/>
          <w:szCs w:val="16"/>
        </w:rPr>
        <w:t>nº 4.</w:t>
      </w:r>
      <w:r w:rsidR="007763EA" w:rsidRPr="00E20D21">
        <w:rPr>
          <w:rFonts w:ascii="CAIXA Std Book" w:hAnsi="CAIXA Std Book"/>
          <w:color w:val="005CA9"/>
          <w:sz w:val="16"/>
          <w:szCs w:val="16"/>
        </w:rPr>
        <w:t>9</w:t>
      </w:r>
      <w:r w:rsidR="003179B7" w:rsidRPr="00E20D21">
        <w:rPr>
          <w:rFonts w:ascii="CAIXA Std Book" w:hAnsi="CAIXA Std Book"/>
          <w:color w:val="005CA9"/>
          <w:sz w:val="16"/>
          <w:szCs w:val="16"/>
        </w:rPr>
        <w:t>5</w:t>
      </w:r>
      <w:r w:rsidR="007763EA" w:rsidRPr="00E20D21">
        <w:rPr>
          <w:rFonts w:ascii="CAIXA Std Book" w:hAnsi="CAIXA Std Book"/>
          <w:color w:val="005CA9"/>
          <w:sz w:val="16"/>
          <w:szCs w:val="16"/>
        </w:rPr>
        <w:t>5</w:t>
      </w:r>
      <w:r w:rsidRPr="00E20D21">
        <w:rPr>
          <w:rFonts w:ascii="CAIXA Std Book" w:hAnsi="CAIXA Std Book"/>
          <w:color w:val="005CA9"/>
          <w:sz w:val="16"/>
          <w:szCs w:val="16"/>
        </w:rPr>
        <w:t>/20</w:t>
      </w:r>
      <w:r w:rsidR="00273B13" w:rsidRPr="00E20D21">
        <w:rPr>
          <w:rFonts w:ascii="CAIXA Std Book" w:hAnsi="CAIXA Std Book"/>
          <w:color w:val="005CA9"/>
          <w:sz w:val="16"/>
          <w:szCs w:val="16"/>
        </w:rPr>
        <w:t>21</w:t>
      </w:r>
      <w:r w:rsidR="00A371AC" w:rsidRPr="00E20D21">
        <w:rPr>
          <w:rFonts w:ascii="CAIXA Std Book" w:hAnsi="CAIXA Std Book"/>
          <w:color w:val="005CA9"/>
          <w:sz w:val="16"/>
          <w:szCs w:val="16"/>
        </w:rPr>
        <w:t>.</w:t>
      </w:r>
    </w:p>
    <w:p w14:paraId="32B38A1F" w14:textId="10D41577" w:rsidR="007E31BA" w:rsidRPr="00E20D21" w:rsidRDefault="007E31BA" w:rsidP="00A371AC">
      <w:pPr>
        <w:jc w:val="both"/>
        <w:rPr>
          <w:rFonts w:ascii="CAIXA Std Book" w:hAnsi="CAIXA Std Book"/>
          <w:color w:val="005CA9"/>
          <w:sz w:val="16"/>
          <w:szCs w:val="16"/>
        </w:rPr>
      </w:pPr>
      <w:r w:rsidRPr="00E20D21">
        <w:rPr>
          <w:rFonts w:ascii="CAIXA Std Book" w:hAnsi="CAIXA Std Book"/>
          <w:color w:val="005CA9"/>
          <w:sz w:val="16"/>
          <w:szCs w:val="16"/>
        </w:rPr>
        <w:t>(2) Com</w:t>
      </w:r>
      <w:r w:rsidR="00183CF0" w:rsidRPr="00E20D21">
        <w:rPr>
          <w:rFonts w:ascii="CAIXA Std Book" w:hAnsi="CAIXA Std Book"/>
          <w:color w:val="005CA9"/>
          <w:sz w:val="16"/>
          <w:szCs w:val="16"/>
        </w:rPr>
        <w:t>posto por</w:t>
      </w:r>
      <w:r w:rsidRPr="00E20D21">
        <w:rPr>
          <w:rFonts w:ascii="CAIXA Std Book" w:hAnsi="CAIXA Std Book"/>
          <w:color w:val="005CA9"/>
          <w:sz w:val="16"/>
          <w:szCs w:val="16"/>
        </w:rPr>
        <w:t xml:space="preserve"> juros remuneratórios a pagar e a atualização monetária não incorporad</w:t>
      </w:r>
      <w:r w:rsidR="003D63BE" w:rsidRPr="00E20D21">
        <w:rPr>
          <w:rFonts w:ascii="CAIXA Std Book" w:hAnsi="CAIXA Std Book"/>
          <w:color w:val="005CA9"/>
          <w:sz w:val="16"/>
          <w:szCs w:val="16"/>
        </w:rPr>
        <w:t>o ao principal</w:t>
      </w:r>
      <w:r w:rsidRPr="00E20D21">
        <w:rPr>
          <w:rFonts w:ascii="CAIXA Std Book" w:hAnsi="CAIXA Std Book"/>
          <w:color w:val="005CA9"/>
          <w:sz w:val="16"/>
          <w:szCs w:val="16"/>
        </w:rPr>
        <w:t>.</w:t>
      </w:r>
    </w:p>
    <w:p w14:paraId="6E409C66" w14:textId="3A44FD88" w:rsidR="00670CB9" w:rsidRPr="00E20D21" w:rsidRDefault="00670CB9" w:rsidP="001E2F7F">
      <w:pPr>
        <w:jc w:val="both"/>
        <w:rPr>
          <w:rFonts w:ascii="CAIXA Std Book" w:hAnsi="CAIXA Std Book"/>
          <w:color w:val="005CA9"/>
          <w:sz w:val="16"/>
          <w:szCs w:val="16"/>
        </w:rPr>
      </w:pPr>
    </w:p>
    <w:p w14:paraId="669CDEDA" w14:textId="77777777" w:rsidR="00681A81" w:rsidRPr="00E20D21" w:rsidRDefault="00681A81" w:rsidP="00BB5675">
      <w:pPr>
        <w:tabs>
          <w:tab w:val="left" w:pos="1650"/>
        </w:tabs>
        <w:spacing w:before="120" w:after="120"/>
        <w:jc w:val="both"/>
        <w:rPr>
          <w:rFonts w:ascii="CAIXA Std Book" w:hAnsi="CAIXA Std Book"/>
          <w:color w:val="005CA9"/>
          <w:sz w:val="20"/>
          <w:szCs w:val="20"/>
        </w:rPr>
      </w:pPr>
      <w:bookmarkStart w:id="54" w:name="_Hlk65762149"/>
      <w:r w:rsidRPr="00E20D21">
        <w:rPr>
          <w:rFonts w:ascii="CAIXA Std Book" w:hAnsi="CAIXA Std Book"/>
          <w:color w:val="005CA9"/>
          <w:sz w:val="20"/>
          <w:szCs w:val="20"/>
        </w:rPr>
        <w:t>A CAIXA possui 1</w:t>
      </w:r>
      <w:r w:rsidR="002D227C" w:rsidRPr="00E20D21">
        <w:rPr>
          <w:rFonts w:ascii="CAIXA Std Book" w:hAnsi="CAIXA Std Book"/>
          <w:color w:val="005CA9"/>
          <w:sz w:val="20"/>
          <w:szCs w:val="20"/>
        </w:rPr>
        <w:t>3</w:t>
      </w:r>
      <w:r w:rsidRPr="00E20D21">
        <w:rPr>
          <w:rFonts w:ascii="CAIXA Std Book" w:hAnsi="CAIXA Std Book"/>
          <w:color w:val="005CA9"/>
          <w:sz w:val="20"/>
          <w:szCs w:val="20"/>
        </w:rPr>
        <w:t xml:space="preserve"> Instrumentos Financeiros Subordinados – IFS autorizados a compor o Nível II do Patrimônio de Referência – PR, sendo 8 Instrumentos de Dívida Subordinada – IDS com o FGTS e </w:t>
      </w:r>
      <w:r w:rsidR="005743C7" w:rsidRPr="00E20D21">
        <w:rPr>
          <w:rFonts w:ascii="CAIXA Std Book" w:hAnsi="CAIXA Std Book"/>
          <w:color w:val="005CA9"/>
          <w:sz w:val="20"/>
          <w:szCs w:val="20"/>
        </w:rPr>
        <w:t>5</w:t>
      </w:r>
      <w:r w:rsidRPr="00E20D21">
        <w:rPr>
          <w:rFonts w:ascii="CAIXA Std Book" w:hAnsi="CAIXA Std Book"/>
          <w:color w:val="005CA9"/>
          <w:sz w:val="20"/>
          <w:szCs w:val="20"/>
        </w:rPr>
        <w:t xml:space="preserve"> Letras Financeiras Subordinadas – LFS, conforme detalhamento no item (c) subsequente.</w:t>
      </w:r>
    </w:p>
    <w:p w14:paraId="2B1E323B" w14:textId="77777777" w:rsidR="00681A81" w:rsidRPr="00E20D21" w:rsidRDefault="00681A81" w:rsidP="00BB5675">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 valor total captado por meio dos Instrumentos Financeiros Subordinados compõe o capital da instituição, refletindo positivamente no Patrimônio de Referência - PR, na Margem Operacional, no Índice de Basileia, além de outros indicadores como, por exemplo, o de imobilização e endividamento do setor público.</w:t>
      </w:r>
    </w:p>
    <w:p w14:paraId="267E480F" w14:textId="1B6B8D63" w:rsidR="00681A81" w:rsidRPr="00E20D21" w:rsidRDefault="00681A81" w:rsidP="00134363">
      <w:pPr>
        <w:tabs>
          <w:tab w:val="left" w:pos="1650"/>
        </w:tabs>
        <w:spacing w:before="240" w:after="120"/>
        <w:jc w:val="both"/>
        <w:rPr>
          <w:rFonts w:ascii="CAIXA Std Book" w:hAnsi="CAIXA Std Book"/>
          <w:b/>
          <w:color w:val="005CA9"/>
          <w:sz w:val="20"/>
          <w:szCs w:val="20"/>
        </w:rPr>
      </w:pPr>
      <w:r w:rsidRPr="00E20D21">
        <w:rPr>
          <w:rFonts w:ascii="CAIXA Std Book" w:hAnsi="CAIXA Std Book"/>
          <w:b/>
          <w:color w:val="005CA9"/>
          <w:sz w:val="20"/>
          <w:szCs w:val="20"/>
        </w:rPr>
        <w:t xml:space="preserve">Instrumento de Dívida Subordinada – </w:t>
      </w:r>
      <w:r w:rsidR="008E6BF7" w:rsidRPr="00E20D21">
        <w:rPr>
          <w:rFonts w:ascii="CAIXA Std Book" w:hAnsi="CAIXA Std Book"/>
          <w:b/>
          <w:color w:val="005CA9"/>
          <w:sz w:val="20"/>
          <w:szCs w:val="20"/>
        </w:rPr>
        <w:t>FGTS</w:t>
      </w:r>
    </w:p>
    <w:p w14:paraId="4FB25F9F" w14:textId="411C2E34" w:rsidR="00A57CB1" w:rsidRPr="00E20D21" w:rsidRDefault="00A57CB1" w:rsidP="00A57CB1">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CAIXA possui 8 instrumentos de dívida subordinada autorizados pelo Banco Central do Brasil na composição do Nível II do PR, em acordo com o disposto na Resolução </w:t>
      </w:r>
      <w:r w:rsidR="006579A2" w:rsidRPr="00E20D21">
        <w:rPr>
          <w:rFonts w:ascii="CAIXA Std Book" w:hAnsi="CAIXA Std Book"/>
          <w:color w:val="005CA9"/>
          <w:sz w:val="20"/>
          <w:szCs w:val="20"/>
        </w:rPr>
        <w:t xml:space="preserve">CMN nº </w:t>
      </w:r>
      <w:r w:rsidR="00AF29BF" w:rsidRPr="00E20D21">
        <w:rPr>
          <w:rFonts w:ascii="CAIXA Std Book" w:hAnsi="CAIXA Std Book"/>
          <w:color w:val="005CA9"/>
          <w:sz w:val="20"/>
          <w:szCs w:val="20"/>
        </w:rPr>
        <w:t>4.958/2021</w:t>
      </w:r>
      <w:r w:rsidRPr="00E20D21">
        <w:rPr>
          <w:rFonts w:ascii="CAIXA Std Book" w:hAnsi="CAIXA Std Book"/>
          <w:color w:val="005CA9"/>
          <w:sz w:val="20"/>
          <w:szCs w:val="20"/>
        </w:rPr>
        <w:t xml:space="preserve"> que trata da metodologia de apuração do PR, contratados com o Fundo de Garantia </w:t>
      </w:r>
      <w:r w:rsidR="008C7D1E" w:rsidRPr="00E20D21">
        <w:rPr>
          <w:rFonts w:ascii="CAIXA Std Book" w:hAnsi="CAIXA Std Book"/>
          <w:color w:val="005CA9"/>
          <w:sz w:val="20"/>
          <w:szCs w:val="20"/>
        </w:rPr>
        <w:t>do</w:t>
      </w:r>
      <w:r w:rsidRPr="00E20D21">
        <w:rPr>
          <w:rFonts w:ascii="CAIXA Std Book" w:hAnsi="CAIXA Std Book"/>
          <w:color w:val="005CA9"/>
          <w:sz w:val="20"/>
          <w:szCs w:val="20"/>
        </w:rPr>
        <w:t xml:space="preserve"> Tempo de Serviço – FGTS.</w:t>
      </w:r>
    </w:p>
    <w:p w14:paraId="090B27D6" w14:textId="3B81C06D" w:rsidR="00681A81" w:rsidRPr="00E20D21" w:rsidRDefault="00681A81" w:rsidP="00BB5675">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Sobre o valor total das dívidas incide atualização monetária, mediante a aplicação de coeficiente de atualização idêntico ao utilizado para a remuneração das contas vinculadas do FGTS e juros capitalizados mensalmente.</w:t>
      </w:r>
    </w:p>
    <w:p w14:paraId="55C3CF26" w14:textId="77777777" w:rsidR="00681A81" w:rsidRPr="00E20D21" w:rsidRDefault="00681A81" w:rsidP="00134363">
      <w:pPr>
        <w:tabs>
          <w:tab w:val="left" w:pos="1650"/>
        </w:tabs>
        <w:spacing w:before="240" w:after="120"/>
        <w:jc w:val="both"/>
        <w:rPr>
          <w:rFonts w:ascii="CAIXA Std Book" w:hAnsi="CAIXA Std Book"/>
          <w:b/>
          <w:color w:val="005CA9"/>
          <w:sz w:val="20"/>
          <w:szCs w:val="20"/>
        </w:rPr>
      </w:pPr>
      <w:r w:rsidRPr="00E20D21">
        <w:rPr>
          <w:rFonts w:ascii="CAIXA Std Book" w:hAnsi="CAIXA Std Book"/>
          <w:b/>
          <w:color w:val="005CA9"/>
          <w:sz w:val="20"/>
          <w:szCs w:val="20"/>
        </w:rPr>
        <w:t>Letras Financeiras Subordinadas – Nível I (Complementar)</w:t>
      </w:r>
    </w:p>
    <w:p w14:paraId="2AE367AF" w14:textId="1854E00D" w:rsidR="006958E2" w:rsidRPr="00E20D21" w:rsidRDefault="006958E2" w:rsidP="006958E2">
      <w:pPr>
        <w:tabs>
          <w:tab w:val="left" w:pos="1650"/>
        </w:tabs>
        <w:spacing w:before="120" w:after="120"/>
        <w:jc w:val="both"/>
        <w:rPr>
          <w:rFonts w:ascii="CAIXA Std Book" w:hAnsi="CAIXA Std Book"/>
          <w:color w:val="005CA9"/>
          <w:sz w:val="20"/>
          <w:szCs w:val="20"/>
        </w:rPr>
      </w:pPr>
      <w:bookmarkStart w:id="55" w:name="_Hlk32247321"/>
      <w:r w:rsidRPr="00E20D21">
        <w:rPr>
          <w:rFonts w:ascii="CAIXA Std Book" w:hAnsi="CAIXA Std Book"/>
          <w:color w:val="005CA9"/>
          <w:sz w:val="20"/>
          <w:szCs w:val="20"/>
        </w:rPr>
        <w:t xml:space="preserve">A CAIXA captou no mercado local Letras Financeiras Subordinadas, no valor de face total de R$ </w:t>
      </w:r>
      <w:r w:rsidR="00DE0DBF" w:rsidRPr="00E20D21">
        <w:rPr>
          <w:rFonts w:ascii="CAIXA Std Book" w:hAnsi="CAIXA Std Book"/>
          <w:color w:val="005CA9"/>
          <w:sz w:val="20"/>
          <w:szCs w:val="20"/>
        </w:rPr>
        <w:t>1.718.700</w:t>
      </w:r>
      <w:r w:rsidRPr="00E20D21">
        <w:rPr>
          <w:rFonts w:ascii="CAIXA Std Book" w:hAnsi="CAIXA Std Book"/>
          <w:color w:val="005CA9"/>
          <w:sz w:val="20"/>
          <w:szCs w:val="20"/>
        </w:rPr>
        <w:t>, desse total R$</w:t>
      </w:r>
      <w:r w:rsidR="005635BE" w:rsidRPr="00E20D21">
        <w:rPr>
          <w:rFonts w:ascii="CAIXA Std Book" w:hAnsi="CAIXA Std Book"/>
          <w:color w:val="005CA9"/>
          <w:sz w:val="20"/>
          <w:szCs w:val="20"/>
        </w:rPr>
        <w:t>1.713</w:t>
      </w:r>
      <w:r w:rsidR="007B2A48" w:rsidRPr="00E20D21">
        <w:rPr>
          <w:rFonts w:ascii="CAIXA Std Book" w:hAnsi="CAIXA Std Book"/>
          <w:color w:val="005CA9"/>
          <w:sz w:val="20"/>
          <w:szCs w:val="20"/>
        </w:rPr>
        <w:t>.241</w:t>
      </w:r>
      <w:r w:rsidRPr="00E20D21">
        <w:rPr>
          <w:rFonts w:ascii="CAIXA Std Book" w:hAnsi="CAIXA Std Book"/>
          <w:color w:val="005CA9"/>
          <w:sz w:val="20"/>
          <w:szCs w:val="20"/>
        </w:rPr>
        <w:t xml:space="preserve"> estão autorizadas para compor o Capital Complementar do Nível I (PR).</w:t>
      </w:r>
    </w:p>
    <w:p w14:paraId="594F53F5" w14:textId="77777777" w:rsidR="00681A81" w:rsidRPr="00E20D21" w:rsidRDefault="00681A81" w:rsidP="00134363">
      <w:pPr>
        <w:tabs>
          <w:tab w:val="left" w:pos="1650"/>
        </w:tabs>
        <w:spacing w:before="240" w:after="120"/>
        <w:jc w:val="both"/>
        <w:rPr>
          <w:rFonts w:ascii="CAIXA Std Book" w:hAnsi="CAIXA Std Book"/>
          <w:b/>
          <w:color w:val="005CA9"/>
          <w:sz w:val="20"/>
          <w:szCs w:val="20"/>
        </w:rPr>
      </w:pPr>
      <w:r w:rsidRPr="00E20D21">
        <w:rPr>
          <w:rFonts w:ascii="CAIXA Std Book" w:hAnsi="CAIXA Std Book"/>
          <w:b/>
          <w:color w:val="005CA9"/>
          <w:sz w:val="20"/>
          <w:szCs w:val="20"/>
        </w:rPr>
        <w:t xml:space="preserve">Letras Financeiras Subordinadas – Nível II </w:t>
      </w:r>
    </w:p>
    <w:p w14:paraId="5354B49F" w14:textId="06FAB79E" w:rsidR="00681A81" w:rsidRPr="00E20D21" w:rsidRDefault="00681A81" w:rsidP="00425EB6">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CAIXA possui </w:t>
      </w:r>
      <w:r w:rsidR="005743C7" w:rsidRPr="00E20D21">
        <w:rPr>
          <w:rFonts w:ascii="CAIXA Std Book" w:hAnsi="CAIXA Std Book"/>
          <w:color w:val="005CA9"/>
          <w:sz w:val="20"/>
          <w:szCs w:val="20"/>
        </w:rPr>
        <w:t>5</w:t>
      </w:r>
      <w:r w:rsidRPr="00E20D21">
        <w:rPr>
          <w:rFonts w:ascii="CAIXA Std Book" w:hAnsi="CAIXA Std Book"/>
          <w:color w:val="005CA9"/>
          <w:sz w:val="20"/>
          <w:szCs w:val="20"/>
        </w:rPr>
        <w:t xml:space="preserve"> Letras Financeiras Subordinadas captadas no mercado local, no valor de face total de R$ </w:t>
      </w:r>
      <w:r w:rsidR="007D13A1" w:rsidRPr="00E20D21">
        <w:rPr>
          <w:rFonts w:ascii="CAIXA Std Book" w:hAnsi="CAIXA Std Book"/>
          <w:color w:val="005CA9"/>
          <w:sz w:val="20"/>
          <w:szCs w:val="20"/>
        </w:rPr>
        <w:t>6</w:t>
      </w:r>
      <w:r w:rsidR="008B4869" w:rsidRPr="00E20D21">
        <w:rPr>
          <w:rFonts w:ascii="CAIXA Std Book" w:hAnsi="CAIXA Std Book"/>
          <w:color w:val="005CA9"/>
          <w:sz w:val="20"/>
          <w:szCs w:val="20"/>
        </w:rPr>
        <w:t>.000</w:t>
      </w:r>
      <w:r w:rsidRPr="00E20D21">
        <w:rPr>
          <w:rFonts w:ascii="CAIXA Std Book" w:hAnsi="CAIXA Std Book"/>
          <w:color w:val="005CA9"/>
          <w:sz w:val="20"/>
          <w:szCs w:val="20"/>
        </w:rPr>
        <w:t xml:space="preserve"> todas consideradas elegíveis ao Nível II do PR pelo B</w:t>
      </w:r>
      <w:r w:rsidR="00004B03" w:rsidRPr="00E20D21">
        <w:rPr>
          <w:rFonts w:ascii="CAIXA Std Book" w:hAnsi="CAIXA Std Book"/>
          <w:color w:val="005CA9"/>
          <w:sz w:val="20"/>
          <w:szCs w:val="20"/>
        </w:rPr>
        <w:t>acen</w:t>
      </w:r>
      <w:r w:rsidRPr="00E20D21">
        <w:rPr>
          <w:rFonts w:ascii="CAIXA Std Book" w:hAnsi="CAIXA Std Book"/>
          <w:color w:val="005CA9"/>
          <w:sz w:val="20"/>
          <w:szCs w:val="20"/>
        </w:rPr>
        <w:t>.</w:t>
      </w:r>
    </w:p>
    <w:bookmarkEnd w:id="54"/>
    <w:bookmarkEnd w:id="55"/>
    <w:p w14:paraId="6D14B248" w14:textId="77777777" w:rsidR="001D190D" w:rsidRPr="00E20D21" w:rsidRDefault="001D190D">
      <w:pPr>
        <w:rPr>
          <w:rFonts w:ascii="CAIXA Std Book" w:hAnsi="CAIXA Std Book"/>
          <w:b/>
          <w:color w:val="005CA9"/>
          <w:sz w:val="20"/>
          <w:szCs w:val="20"/>
        </w:rPr>
      </w:pPr>
      <w:r w:rsidRPr="00E20D21">
        <w:rPr>
          <w:rFonts w:ascii="CAIXA Std Book" w:hAnsi="CAIXA Std Book"/>
          <w:b/>
          <w:color w:val="005CA9"/>
          <w:sz w:val="20"/>
          <w:szCs w:val="20"/>
        </w:rPr>
        <w:br w:type="page"/>
      </w:r>
    </w:p>
    <w:p w14:paraId="4A3E8D2B" w14:textId="31B0F787" w:rsidR="00681A81" w:rsidRPr="00E20D21" w:rsidRDefault="00681A81" w:rsidP="00F845F9">
      <w:pPr>
        <w:pStyle w:val="PargrafodaLista"/>
        <w:numPr>
          <w:ilvl w:val="0"/>
          <w:numId w:val="10"/>
        </w:numPr>
        <w:spacing w:before="240" w:after="240"/>
        <w:ind w:left="567" w:hanging="567"/>
        <w:contextualSpacing w:val="0"/>
        <w:jc w:val="both"/>
        <w:rPr>
          <w:rFonts w:ascii="CAIXA Std Book" w:hAnsi="CAIXA Std Book"/>
          <w:b/>
          <w:color w:val="005CA9"/>
          <w:sz w:val="20"/>
          <w:szCs w:val="20"/>
        </w:rPr>
      </w:pPr>
      <w:r w:rsidRPr="00E20D21">
        <w:rPr>
          <w:rFonts w:ascii="CAIXA Std Book" w:hAnsi="CAIXA Std Book"/>
          <w:b/>
          <w:color w:val="005CA9"/>
          <w:sz w:val="20"/>
          <w:szCs w:val="20"/>
        </w:rPr>
        <w:lastRenderedPageBreak/>
        <w:t xml:space="preserve">Recursos de aceites e </w:t>
      </w:r>
      <w:r w:rsidR="00BB483D" w:rsidRPr="00E20D21">
        <w:rPr>
          <w:rFonts w:ascii="CAIXA Std Book" w:hAnsi="CAIXA Std Book"/>
          <w:b/>
          <w:color w:val="005CA9"/>
          <w:sz w:val="20"/>
          <w:szCs w:val="20"/>
        </w:rPr>
        <w:t>e</w:t>
      </w:r>
      <w:r w:rsidRPr="00E20D21">
        <w:rPr>
          <w:rFonts w:ascii="CAIXA Std Book" w:hAnsi="CAIXA Std Book"/>
          <w:b/>
          <w:color w:val="005CA9"/>
          <w:sz w:val="20"/>
          <w:szCs w:val="20"/>
        </w:rPr>
        <w:t xml:space="preserve">missão de </w:t>
      </w:r>
      <w:r w:rsidR="00BB483D" w:rsidRPr="00E20D21">
        <w:rPr>
          <w:rFonts w:ascii="CAIXA Std Book" w:hAnsi="CAIXA Std Book"/>
          <w:b/>
          <w:color w:val="005CA9"/>
          <w:sz w:val="20"/>
          <w:szCs w:val="20"/>
        </w:rPr>
        <w:t>t</w:t>
      </w:r>
      <w:r w:rsidRPr="00E20D21">
        <w:rPr>
          <w:rFonts w:ascii="CAIXA Std Book" w:hAnsi="CAIXA Std Book"/>
          <w:b/>
          <w:color w:val="005CA9"/>
          <w:sz w:val="20"/>
          <w:szCs w:val="20"/>
        </w:rPr>
        <w:t>ítulos</w:t>
      </w:r>
    </w:p>
    <w:tbl>
      <w:tblPr>
        <w:tblW w:w="5000" w:type="pct"/>
        <w:tblCellMar>
          <w:left w:w="70" w:type="dxa"/>
          <w:right w:w="70" w:type="dxa"/>
        </w:tblCellMar>
        <w:tblLook w:val="04A0" w:firstRow="1" w:lastRow="0" w:firstColumn="1" w:lastColumn="0" w:noHBand="0" w:noVBand="1"/>
      </w:tblPr>
      <w:tblGrid>
        <w:gridCol w:w="1687"/>
        <w:gridCol w:w="954"/>
        <w:gridCol w:w="1104"/>
        <w:gridCol w:w="1137"/>
        <w:gridCol w:w="1259"/>
        <w:gridCol w:w="1272"/>
        <w:gridCol w:w="1112"/>
        <w:gridCol w:w="1112"/>
      </w:tblGrid>
      <w:tr w:rsidR="00C71E64" w:rsidRPr="00E20D21" w14:paraId="1B214A51" w14:textId="77777777">
        <w:trPr>
          <w:trHeight w:val="283"/>
        </w:trPr>
        <w:tc>
          <w:tcPr>
            <w:tcW w:w="5000" w:type="pct"/>
            <w:gridSpan w:val="8"/>
            <w:tcBorders>
              <w:top w:val="single" w:sz="4" w:space="0" w:color="F39200"/>
              <w:left w:val="nil"/>
              <w:bottom w:val="single" w:sz="4" w:space="0" w:color="F39200"/>
              <w:right w:val="nil"/>
            </w:tcBorders>
            <w:vAlign w:val="center"/>
          </w:tcPr>
          <w:p w14:paraId="1CA5AE6D" w14:textId="2FD2BC71"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INDIVIDUAL</w:t>
            </w:r>
            <w:r w:rsidR="00E20D21">
              <w:rPr>
                <w:rFonts w:ascii="CAIXA Std Book" w:hAnsi="CAIXA Std Book"/>
                <w:b/>
                <w:color w:val="005CA9"/>
                <w:sz w:val="16"/>
                <w:szCs w:val="16"/>
              </w:rPr>
              <w:t xml:space="preserve"> </w:t>
            </w:r>
            <w:r w:rsidRPr="00E20D21">
              <w:rPr>
                <w:rFonts w:ascii="CAIXA Std Book" w:hAnsi="CAIXA Std Book"/>
                <w:b/>
                <w:color w:val="005CA9"/>
                <w:sz w:val="16"/>
                <w:szCs w:val="16"/>
              </w:rPr>
              <w:t>/</w:t>
            </w:r>
            <w:r w:rsidR="00E20D21">
              <w:rPr>
                <w:rFonts w:ascii="CAIXA Std Book" w:hAnsi="CAIXA Std Book"/>
                <w:b/>
                <w:color w:val="005CA9"/>
                <w:sz w:val="16"/>
                <w:szCs w:val="16"/>
              </w:rPr>
              <w:t xml:space="preserve"> </w:t>
            </w:r>
            <w:r w:rsidRPr="00E20D21">
              <w:rPr>
                <w:rFonts w:ascii="CAIXA Std Book" w:hAnsi="CAIXA Std Book"/>
                <w:b/>
                <w:color w:val="005CA9"/>
                <w:sz w:val="16"/>
                <w:szCs w:val="16"/>
              </w:rPr>
              <w:t>CONSOLIDADO</w:t>
            </w:r>
          </w:p>
        </w:tc>
      </w:tr>
      <w:tr w:rsidR="00C71E64" w:rsidRPr="00E20D21" w14:paraId="5C593845" w14:textId="77777777" w:rsidTr="00F07D49">
        <w:trPr>
          <w:trHeight w:val="283"/>
        </w:trPr>
        <w:tc>
          <w:tcPr>
            <w:tcW w:w="875" w:type="pct"/>
            <w:vMerge w:val="restart"/>
            <w:tcBorders>
              <w:top w:val="single" w:sz="4" w:space="0" w:color="F39200"/>
              <w:left w:val="nil"/>
              <w:right w:val="nil"/>
            </w:tcBorders>
            <w:vAlign w:val="center"/>
          </w:tcPr>
          <w:p w14:paraId="672CBA2C" w14:textId="77777777"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Captações</w:t>
            </w:r>
          </w:p>
        </w:tc>
        <w:tc>
          <w:tcPr>
            <w:tcW w:w="495" w:type="pct"/>
            <w:vMerge w:val="restart"/>
            <w:tcBorders>
              <w:top w:val="single" w:sz="4" w:space="0" w:color="F39200"/>
              <w:left w:val="nil"/>
              <w:right w:val="nil"/>
            </w:tcBorders>
            <w:vAlign w:val="center"/>
          </w:tcPr>
          <w:p w14:paraId="39EF2564" w14:textId="77777777"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Rem. a.a. /Indexador</w:t>
            </w:r>
          </w:p>
        </w:tc>
        <w:tc>
          <w:tcPr>
            <w:tcW w:w="2476" w:type="pct"/>
            <w:gridSpan w:val="4"/>
            <w:tcBorders>
              <w:top w:val="single" w:sz="4" w:space="0" w:color="F39200"/>
              <w:left w:val="nil"/>
              <w:bottom w:val="single" w:sz="4" w:space="0" w:color="F39200"/>
              <w:right w:val="nil"/>
            </w:tcBorders>
            <w:vAlign w:val="center"/>
          </w:tcPr>
          <w:p w14:paraId="267A4D63" w14:textId="77777777"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Vencimento</w:t>
            </w:r>
          </w:p>
        </w:tc>
        <w:tc>
          <w:tcPr>
            <w:tcW w:w="577" w:type="pct"/>
            <w:vMerge w:val="restart"/>
            <w:tcBorders>
              <w:top w:val="single" w:sz="4" w:space="0" w:color="F39200"/>
              <w:left w:val="nil"/>
              <w:right w:val="nil"/>
            </w:tcBorders>
            <w:vAlign w:val="center"/>
          </w:tcPr>
          <w:p w14:paraId="3CF7A38F" w14:textId="77777777"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30/06/2024</w:t>
            </w:r>
          </w:p>
        </w:tc>
        <w:tc>
          <w:tcPr>
            <w:tcW w:w="577" w:type="pct"/>
            <w:vMerge w:val="restart"/>
            <w:tcBorders>
              <w:top w:val="single" w:sz="4" w:space="0" w:color="F39200"/>
              <w:left w:val="nil"/>
              <w:right w:val="nil"/>
            </w:tcBorders>
            <w:vAlign w:val="center"/>
          </w:tcPr>
          <w:p w14:paraId="034A8191" w14:textId="77777777"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31/12/2023</w:t>
            </w:r>
          </w:p>
        </w:tc>
      </w:tr>
      <w:tr w:rsidR="00CF4593" w:rsidRPr="00E20D21" w14:paraId="55F4F50C" w14:textId="77777777" w:rsidTr="00F07D49">
        <w:trPr>
          <w:trHeight w:val="539"/>
        </w:trPr>
        <w:tc>
          <w:tcPr>
            <w:tcW w:w="875" w:type="pct"/>
            <w:vMerge/>
            <w:tcBorders>
              <w:left w:val="nil"/>
              <w:bottom w:val="single" w:sz="4" w:space="0" w:color="F79646"/>
              <w:right w:val="nil"/>
            </w:tcBorders>
            <w:shd w:val="clear" w:color="auto" w:fill="auto"/>
            <w:noWrap/>
            <w:vAlign w:val="center"/>
            <w:hideMark/>
          </w:tcPr>
          <w:p w14:paraId="65D0896E" w14:textId="77777777" w:rsidR="00C71E64" w:rsidRPr="00E20D21" w:rsidRDefault="00C71E64">
            <w:pPr>
              <w:jc w:val="center"/>
              <w:rPr>
                <w:rFonts w:ascii="CAIXA Std Book" w:hAnsi="CAIXA Std Book"/>
                <w:b/>
                <w:color w:val="005CA9"/>
                <w:sz w:val="16"/>
                <w:szCs w:val="16"/>
              </w:rPr>
            </w:pPr>
          </w:p>
        </w:tc>
        <w:tc>
          <w:tcPr>
            <w:tcW w:w="495" w:type="pct"/>
            <w:vMerge/>
            <w:tcBorders>
              <w:left w:val="nil"/>
              <w:bottom w:val="single" w:sz="4" w:space="0" w:color="F79646"/>
              <w:right w:val="nil"/>
            </w:tcBorders>
            <w:vAlign w:val="center"/>
          </w:tcPr>
          <w:p w14:paraId="0C35340E" w14:textId="77777777" w:rsidR="00C71E64" w:rsidRPr="00E20D21" w:rsidRDefault="00C71E64">
            <w:pPr>
              <w:jc w:val="center"/>
              <w:rPr>
                <w:rFonts w:ascii="CAIXA Std Book" w:hAnsi="CAIXA Std Book"/>
                <w:b/>
                <w:color w:val="005CA9"/>
                <w:sz w:val="16"/>
                <w:szCs w:val="16"/>
              </w:rPr>
            </w:pPr>
          </w:p>
        </w:tc>
        <w:tc>
          <w:tcPr>
            <w:tcW w:w="573" w:type="pct"/>
            <w:tcBorders>
              <w:top w:val="nil"/>
              <w:left w:val="nil"/>
              <w:bottom w:val="single" w:sz="4" w:space="0" w:color="F79646"/>
              <w:right w:val="nil"/>
            </w:tcBorders>
            <w:vAlign w:val="center"/>
          </w:tcPr>
          <w:p w14:paraId="701AB08F" w14:textId="77777777"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01 a 90 dias</w:t>
            </w:r>
          </w:p>
        </w:tc>
        <w:tc>
          <w:tcPr>
            <w:tcW w:w="590" w:type="pct"/>
            <w:tcBorders>
              <w:top w:val="nil"/>
              <w:left w:val="nil"/>
              <w:bottom w:val="single" w:sz="4" w:space="0" w:color="F79646"/>
              <w:right w:val="nil"/>
            </w:tcBorders>
            <w:vAlign w:val="center"/>
          </w:tcPr>
          <w:p w14:paraId="4AF455FC" w14:textId="77777777"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91 a 180 dias</w:t>
            </w:r>
          </w:p>
        </w:tc>
        <w:tc>
          <w:tcPr>
            <w:tcW w:w="653" w:type="pct"/>
            <w:tcBorders>
              <w:top w:val="nil"/>
              <w:left w:val="nil"/>
              <w:bottom w:val="single" w:sz="4" w:space="0" w:color="F79646"/>
              <w:right w:val="nil"/>
            </w:tcBorders>
            <w:shd w:val="clear" w:color="auto" w:fill="auto"/>
            <w:noWrap/>
            <w:vAlign w:val="center"/>
            <w:hideMark/>
          </w:tcPr>
          <w:p w14:paraId="1A937E17" w14:textId="77777777"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181 a 360 dias</w:t>
            </w:r>
          </w:p>
        </w:tc>
        <w:tc>
          <w:tcPr>
            <w:tcW w:w="660" w:type="pct"/>
            <w:tcBorders>
              <w:top w:val="nil"/>
              <w:left w:val="nil"/>
              <w:bottom w:val="single" w:sz="4" w:space="0" w:color="F79646"/>
              <w:right w:val="nil"/>
            </w:tcBorders>
            <w:shd w:val="clear" w:color="auto" w:fill="auto"/>
            <w:noWrap/>
            <w:vAlign w:val="center"/>
            <w:hideMark/>
          </w:tcPr>
          <w:p w14:paraId="085D0EE2" w14:textId="77777777" w:rsidR="00A36780"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 xml:space="preserve">Acima de </w:t>
            </w:r>
          </w:p>
          <w:p w14:paraId="2758EE28" w14:textId="5D1EF9AB" w:rsidR="00C71E64" w:rsidRPr="00E20D21" w:rsidRDefault="00C71E64">
            <w:pPr>
              <w:jc w:val="center"/>
              <w:rPr>
                <w:rFonts w:ascii="CAIXA Std Book" w:hAnsi="CAIXA Std Book"/>
                <w:b/>
                <w:color w:val="005CA9"/>
                <w:sz w:val="16"/>
                <w:szCs w:val="16"/>
              </w:rPr>
            </w:pPr>
            <w:r w:rsidRPr="00E20D21">
              <w:rPr>
                <w:rFonts w:ascii="CAIXA Std Book" w:hAnsi="CAIXA Std Book"/>
                <w:b/>
                <w:color w:val="005CA9"/>
                <w:sz w:val="16"/>
                <w:szCs w:val="16"/>
              </w:rPr>
              <w:t>360 dias</w:t>
            </w:r>
          </w:p>
        </w:tc>
        <w:tc>
          <w:tcPr>
            <w:tcW w:w="577" w:type="pct"/>
            <w:vMerge/>
            <w:tcBorders>
              <w:left w:val="nil"/>
              <w:bottom w:val="single" w:sz="4" w:space="0" w:color="F79646"/>
              <w:right w:val="nil"/>
            </w:tcBorders>
            <w:shd w:val="clear" w:color="auto" w:fill="auto"/>
            <w:vAlign w:val="center"/>
            <w:hideMark/>
          </w:tcPr>
          <w:p w14:paraId="19B5380B" w14:textId="77777777" w:rsidR="00C71E64" w:rsidRPr="00E20D21" w:rsidRDefault="00C71E64">
            <w:pPr>
              <w:jc w:val="center"/>
              <w:rPr>
                <w:rFonts w:ascii="CAIXA Std Book" w:hAnsi="CAIXA Std Book"/>
                <w:b/>
                <w:color w:val="005CA9"/>
                <w:sz w:val="16"/>
                <w:szCs w:val="16"/>
              </w:rPr>
            </w:pPr>
          </w:p>
        </w:tc>
        <w:tc>
          <w:tcPr>
            <w:tcW w:w="577" w:type="pct"/>
            <w:vMerge/>
            <w:tcBorders>
              <w:left w:val="nil"/>
              <w:bottom w:val="single" w:sz="4" w:space="0" w:color="F79646"/>
              <w:right w:val="nil"/>
            </w:tcBorders>
            <w:shd w:val="clear" w:color="auto" w:fill="auto"/>
            <w:vAlign w:val="center"/>
            <w:hideMark/>
          </w:tcPr>
          <w:p w14:paraId="5833CAB9" w14:textId="77777777" w:rsidR="00C71E64" w:rsidRPr="00E20D21" w:rsidRDefault="00C71E64">
            <w:pPr>
              <w:jc w:val="center"/>
              <w:rPr>
                <w:rFonts w:ascii="CAIXA Std Book" w:hAnsi="CAIXA Std Book"/>
                <w:b/>
                <w:color w:val="005CA9"/>
                <w:sz w:val="16"/>
                <w:szCs w:val="16"/>
              </w:rPr>
            </w:pPr>
          </w:p>
        </w:tc>
      </w:tr>
      <w:tr w:rsidR="00C71E64" w:rsidRPr="00E20D21" w14:paraId="77EDA68E" w14:textId="77777777" w:rsidTr="00F07D49">
        <w:trPr>
          <w:trHeight w:val="283"/>
        </w:trPr>
        <w:tc>
          <w:tcPr>
            <w:tcW w:w="875" w:type="pct"/>
            <w:tcBorders>
              <w:top w:val="nil"/>
              <w:left w:val="nil"/>
              <w:bottom w:val="nil"/>
              <w:right w:val="nil"/>
            </w:tcBorders>
            <w:shd w:val="clear" w:color="auto" w:fill="auto"/>
            <w:vAlign w:val="center"/>
            <w:hideMark/>
          </w:tcPr>
          <w:p w14:paraId="31699F08" w14:textId="77777777" w:rsidR="00C71E64" w:rsidRPr="00E20D21" w:rsidRDefault="00C71E64">
            <w:pPr>
              <w:rPr>
                <w:rFonts w:ascii="CAIXA Std Book" w:hAnsi="CAIXA Std Book"/>
                <w:color w:val="005CA9"/>
                <w:sz w:val="16"/>
                <w:szCs w:val="16"/>
              </w:rPr>
            </w:pPr>
            <w:r w:rsidRPr="00E20D21">
              <w:rPr>
                <w:rFonts w:ascii="CAIXA Std Book" w:hAnsi="CAIXA Std Book"/>
                <w:color w:val="005CA9"/>
                <w:sz w:val="16"/>
                <w:szCs w:val="16"/>
              </w:rPr>
              <w:t>Letra de crédito imobiliário</w:t>
            </w:r>
          </w:p>
        </w:tc>
        <w:tc>
          <w:tcPr>
            <w:tcW w:w="495" w:type="pct"/>
            <w:tcBorders>
              <w:top w:val="nil"/>
              <w:left w:val="nil"/>
              <w:bottom w:val="nil"/>
              <w:right w:val="nil"/>
            </w:tcBorders>
            <w:vAlign w:val="center"/>
          </w:tcPr>
          <w:p w14:paraId="3C06CF4C" w14:textId="77777777" w:rsidR="00C71E64" w:rsidRPr="00E20D21" w:rsidRDefault="00C71E64">
            <w:pPr>
              <w:jc w:val="center"/>
              <w:rPr>
                <w:rFonts w:ascii="CAIXA Std Book" w:hAnsi="CAIXA Std Book"/>
                <w:color w:val="005CA9"/>
                <w:sz w:val="16"/>
                <w:szCs w:val="16"/>
              </w:rPr>
            </w:pPr>
            <w:r w:rsidRPr="00E20D21">
              <w:rPr>
                <w:rFonts w:ascii="CAIXA Std Book" w:hAnsi="CAIXA Std Book"/>
                <w:color w:val="005CA9"/>
                <w:sz w:val="16"/>
                <w:szCs w:val="16"/>
              </w:rPr>
              <w:t>CDI</w:t>
            </w:r>
          </w:p>
        </w:tc>
        <w:tc>
          <w:tcPr>
            <w:tcW w:w="573" w:type="pct"/>
            <w:tcBorders>
              <w:top w:val="nil"/>
              <w:left w:val="nil"/>
              <w:bottom w:val="nil"/>
              <w:right w:val="nil"/>
            </w:tcBorders>
            <w:shd w:val="clear" w:color="auto" w:fill="auto"/>
            <w:vAlign w:val="center"/>
          </w:tcPr>
          <w:p w14:paraId="6C4B64D5" w14:textId="7F52A18A"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6.353.979</w:t>
            </w:r>
          </w:p>
        </w:tc>
        <w:tc>
          <w:tcPr>
            <w:tcW w:w="590" w:type="pct"/>
            <w:tcBorders>
              <w:top w:val="nil"/>
              <w:left w:val="nil"/>
              <w:bottom w:val="nil"/>
              <w:right w:val="nil"/>
            </w:tcBorders>
            <w:shd w:val="clear" w:color="auto" w:fill="auto"/>
            <w:vAlign w:val="center"/>
          </w:tcPr>
          <w:p w14:paraId="2368317F" w14:textId="0C4F265B"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13.836.059</w:t>
            </w:r>
          </w:p>
        </w:tc>
        <w:tc>
          <w:tcPr>
            <w:tcW w:w="653" w:type="pct"/>
            <w:tcBorders>
              <w:top w:val="nil"/>
              <w:left w:val="nil"/>
              <w:bottom w:val="nil"/>
              <w:right w:val="nil"/>
            </w:tcBorders>
            <w:shd w:val="clear" w:color="auto" w:fill="auto"/>
            <w:vAlign w:val="center"/>
          </w:tcPr>
          <w:p w14:paraId="6F3FA130" w14:textId="52193160"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14.496.120</w:t>
            </w:r>
          </w:p>
        </w:tc>
        <w:tc>
          <w:tcPr>
            <w:tcW w:w="660" w:type="pct"/>
            <w:tcBorders>
              <w:top w:val="nil"/>
              <w:left w:val="nil"/>
              <w:bottom w:val="nil"/>
              <w:right w:val="nil"/>
            </w:tcBorders>
            <w:shd w:val="clear" w:color="auto" w:fill="auto"/>
            <w:noWrap/>
            <w:vAlign w:val="center"/>
          </w:tcPr>
          <w:p w14:paraId="77179649" w14:textId="20CEF647"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127.831.428</w:t>
            </w:r>
          </w:p>
        </w:tc>
        <w:tc>
          <w:tcPr>
            <w:tcW w:w="577" w:type="pct"/>
            <w:tcBorders>
              <w:top w:val="nil"/>
              <w:left w:val="nil"/>
              <w:bottom w:val="nil"/>
              <w:right w:val="nil"/>
            </w:tcBorders>
            <w:shd w:val="clear" w:color="auto" w:fill="auto"/>
            <w:vAlign w:val="center"/>
          </w:tcPr>
          <w:p w14:paraId="5EED656E" w14:textId="05B21A8A"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162.517.586</w:t>
            </w:r>
          </w:p>
        </w:tc>
        <w:tc>
          <w:tcPr>
            <w:tcW w:w="577" w:type="pct"/>
            <w:tcBorders>
              <w:top w:val="nil"/>
              <w:left w:val="nil"/>
              <w:bottom w:val="nil"/>
              <w:right w:val="nil"/>
            </w:tcBorders>
            <w:shd w:val="clear" w:color="auto" w:fill="auto"/>
            <w:vAlign w:val="center"/>
          </w:tcPr>
          <w:p w14:paraId="545910FD" w14:textId="77777777" w:rsidR="00C71E64" w:rsidRPr="00E20D21" w:rsidRDefault="00C71E64">
            <w:pPr>
              <w:jc w:val="right"/>
              <w:rPr>
                <w:rFonts w:ascii="CAIXA Std Book" w:hAnsi="CAIXA Std Book"/>
                <w:color w:val="005CA9"/>
                <w:sz w:val="16"/>
                <w:szCs w:val="16"/>
              </w:rPr>
            </w:pPr>
            <w:r w:rsidRPr="00E20D21">
              <w:rPr>
                <w:rFonts w:ascii="CAIXA Std Book" w:hAnsi="CAIXA Std Book" w:cs="Arial"/>
                <w:color w:val="005CA9"/>
                <w:sz w:val="16"/>
                <w:szCs w:val="16"/>
              </w:rPr>
              <w:t>146.535.425</w:t>
            </w:r>
          </w:p>
        </w:tc>
      </w:tr>
      <w:tr w:rsidR="00C71E64" w:rsidRPr="00E20D21" w14:paraId="09268355" w14:textId="77777777" w:rsidTr="00F07D49">
        <w:trPr>
          <w:trHeight w:val="283"/>
        </w:trPr>
        <w:tc>
          <w:tcPr>
            <w:tcW w:w="875" w:type="pct"/>
            <w:tcBorders>
              <w:top w:val="nil"/>
              <w:left w:val="nil"/>
              <w:bottom w:val="nil"/>
              <w:right w:val="nil"/>
            </w:tcBorders>
            <w:shd w:val="clear" w:color="auto" w:fill="auto"/>
            <w:vAlign w:val="center"/>
            <w:hideMark/>
          </w:tcPr>
          <w:p w14:paraId="731B7DF5" w14:textId="77777777" w:rsidR="00C71E64" w:rsidRPr="00E20D21" w:rsidRDefault="00C71E64">
            <w:pPr>
              <w:rPr>
                <w:rFonts w:ascii="CAIXA Std Book" w:hAnsi="CAIXA Std Book"/>
                <w:color w:val="005CA9"/>
                <w:sz w:val="16"/>
                <w:szCs w:val="16"/>
              </w:rPr>
            </w:pPr>
            <w:r w:rsidRPr="00E20D21">
              <w:rPr>
                <w:rFonts w:ascii="CAIXA Std Book" w:hAnsi="CAIXA Std Book"/>
                <w:color w:val="005CA9"/>
                <w:sz w:val="16"/>
                <w:szCs w:val="16"/>
              </w:rPr>
              <w:t>Letra de crédito imobiliário</w:t>
            </w:r>
          </w:p>
        </w:tc>
        <w:tc>
          <w:tcPr>
            <w:tcW w:w="495" w:type="pct"/>
            <w:tcBorders>
              <w:top w:val="nil"/>
              <w:left w:val="nil"/>
              <w:bottom w:val="nil"/>
              <w:right w:val="nil"/>
            </w:tcBorders>
            <w:vAlign w:val="center"/>
          </w:tcPr>
          <w:p w14:paraId="00BC2142" w14:textId="77777777" w:rsidR="00C71E64" w:rsidRPr="00E20D21" w:rsidRDefault="00C71E64">
            <w:pPr>
              <w:jc w:val="center"/>
              <w:rPr>
                <w:rFonts w:ascii="CAIXA Std Book" w:hAnsi="CAIXA Std Book"/>
                <w:color w:val="005CA9"/>
                <w:sz w:val="16"/>
                <w:szCs w:val="16"/>
              </w:rPr>
            </w:pPr>
            <w:r w:rsidRPr="00E20D21">
              <w:rPr>
                <w:rFonts w:ascii="CAIXA Std Book" w:hAnsi="CAIXA Std Book"/>
                <w:color w:val="005CA9"/>
                <w:sz w:val="16"/>
                <w:szCs w:val="16"/>
              </w:rPr>
              <w:t>TR</w:t>
            </w:r>
          </w:p>
        </w:tc>
        <w:tc>
          <w:tcPr>
            <w:tcW w:w="573" w:type="pct"/>
            <w:tcBorders>
              <w:top w:val="nil"/>
              <w:left w:val="nil"/>
              <w:bottom w:val="nil"/>
              <w:right w:val="nil"/>
            </w:tcBorders>
            <w:shd w:val="clear" w:color="auto" w:fill="auto"/>
            <w:vAlign w:val="center"/>
          </w:tcPr>
          <w:p w14:paraId="4C54A131" w14:textId="2613CE57" w:rsidR="00C71E64" w:rsidRPr="00E20D21" w:rsidRDefault="008E4C2D">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90" w:type="pct"/>
            <w:tcBorders>
              <w:top w:val="nil"/>
              <w:left w:val="nil"/>
              <w:bottom w:val="nil"/>
              <w:right w:val="nil"/>
            </w:tcBorders>
            <w:shd w:val="clear" w:color="auto" w:fill="auto"/>
            <w:vAlign w:val="center"/>
          </w:tcPr>
          <w:p w14:paraId="65B8A1D4" w14:textId="60DF981A" w:rsidR="00C71E64" w:rsidRPr="00E20D21" w:rsidRDefault="008E4C2D">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653" w:type="pct"/>
            <w:tcBorders>
              <w:top w:val="nil"/>
              <w:left w:val="nil"/>
              <w:bottom w:val="nil"/>
              <w:right w:val="nil"/>
            </w:tcBorders>
            <w:shd w:val="clear" w:color="auto" w:fill="auto"/>
            <w:vAlign w:val="center"/>
          </w:tcPr>
          <w:p w14:paraId="77251CD3" w14:textId="7CDAF5A2" w:rsidR="00C71E64" w:rsidRPr="00E20D21" w:rsidRDefault="008E4C2D">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660" w:type="pct"/>
            <w:tcBorders>
              <w:top w:val="nil"/>
              <w:left w:val="nil"/>
              <w:bottom w:val="nil"/>
              <w:right w:val="nil"/>
            </w:tcBorders>
            <w:shd w:val="clear" w:color="auto" w:fill="auto"/>
            <w:noWrap/>
            <w:vAlign w:val="center"/>
          </w:tcPr>
          <w:p w14:paraId="65CFD08C" w14:textId="2655C45D" w:rsidR="00C71E64" w:rsidRPr="00E20D21" w:rsidRDefault="00C71E64">
            <w:pPr>
              <w:jc w:val="right"/>
              <w:rPr>
                <w:rFonts w:ascii="CAIXA Std Book" w:hAnsi="CAIXA Std Book"/>
                <w:color w:val="005CA9"/>
                <w:sz w:val="16"/>
                <w:szCs w:val="16"/>
              </w:rPr>
            </w:pPr>
            <w:r w:rsidRPr="00E20D21">
              <w:rPr>
                <w:rFonts w:ascii="CAIXA Std Book" w:hAnsi="CAIXA Std Book" w:cs="Arial"/>
                <w:color w:val="005CA9"/>
                <w:sz w:val="16"/>
                <w:szCs w:val="16"/>
              </w:rPr>
              <w:t>16.379</w:t>
            </w:r>
          </w:p>
        </w:tc>
        <w:tc>
          <w:tcPr>
            <w:tcW w:w="577" w:type="pct"/>
            <w:tcBorders>
              <w:top w:val="nil"/>
              <w:left w:val="nil"/>
              <w:bottom w:val="nil"/>
              <w:right w:val="nil"/>
            </w:tcBorders>
            <w:shd w:val="clear" w:color="auto" w:fill="auto"/>
            <w:vAlign w:val="center"/>
          </w:tcPr>
          <w:p w14:paraId="70807B79" w14:textId="10E9A108"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16.379</w:t>
            </w:r>
          </w:p>
        </w:tc>
        <w:tc>
          <w:tcPr>
            <w:tcW w:w="577" w:type="pct"/>
            <w:tcBorders>
              <w:top w:val="nil"/>
              <w:left w:val="nil"/>
              <w:bottom w:val="nil"/>
              <w:right w:val="nil"/>
            </w:tcBorders>
            <w:shd w:val="clear" w:color="auto" w:fill="auto"/>
            <w:vAlign w:val="center"/>
          </w:tcPr>
          <w:p w14:paraId="0C0DD163" w14:textId="77777777" w:rsidR="00C71E64" w:rsidRPr="00E20D21" w:rsidRDefault="00C71E64">
            <w:pPr>
              <w:jc w:val="right"/>
              <w:rPr>
                <w:rFonts w:ascii="CAIXA Std Book" w:hAnsi="CAIXA Std Book"/>
                <w:color w:val="005CA9"/>
                <w:sz w:val="16"/>
                <w:szCs w:val="16"/>
              </w:rPr>
            </w:pPr>
            <w:r w:rsidRPr="00E20D21">
              <w:rPr>
                <w:rFonts w:ascii="CAIXA Std Book" w:hAnsi="CAIXA Std Book" w:cs="Arial"/>
                <w:color w:val="005CA9"/>
                <w:sz w:val="16"/>
                <w:szCs w:val="16"/>
              </w:rPr>
              <w:t>19.591</w:t>
            </w:r>
          </w:p>
        </w:tc>
      </w:tr>
      <w:tr w:rsidR="00C71E64" w:rsidRPr="00E20D21" w14:paraId="16C80D84" w14:textId="77777777" w:rsidTr="00F07D49">
        <w:trPr>
          <w:trHeight w:val="283"/>
        </w:trPr>
        <w:tc>
          <w:tcPr>
            <w:tcW w:w="875" w:type="pct"/>
            <w:tcBorders>
              <w:top w:val="nil"/>
              <w:left w:val="nil"/>
              <w:bottom w:val="nil"/>
              <w:right w:val="nil"/>
            </w:tcBorders>
            <w:shd w:val="clear" w:color="auto" w:fill="auto"/>
            <w:vAlign w:val="center"/>
          </w:tcPr>
          <w:p w14:paraId="2589087B" w14:textId="77777777" w:rsidR="00C71E64" w:rsidRPr="00E20D21" w:rsidRDefault="00C71E64">
            <w:pPr>
              <w:rPr>
                <w:rFonts w:ascii="CAIXA Std Book" w:hAnsi="CAIXA Std Book"/>
                <w:color w:val="005CA9"/>
                <w:sz w:val="16"/>
                <w:szCs w:val="16"/>
              </w:rPr>
            </w:pPr>
            <w:r w:rsidRPr="00E20D21">
              <w:rPr>
                <w:rFonts w:ascii="CAIXA Std Book" w:hAnsi="CAIXA Std Book"/>
                <w:color w:val="005CA9"/>
                <w:sz w:val="16"/>
                <w:szCs w:val="16"/>
              </w:rPr>
              <w:t xml:space="preserve">Letra financeira </w:t>
            </w:r>
          </w:p>
        </w:tc>
        <w:tc>
          <w:tcPr>
            <w:tcW w:w="495" w:type="pct"/>
            <w:tcBorders>
              <w:top w:val="nil"/>
              <w:left w:val="nil"/>
              <w:bottom w:val="nil"/>
              <w:right w:val="nil"/>
            </w:tcBorders>
            <w:vAlign w:val="center"/>
          </w:tcPr>
          <w:p w14:paraId="15171DCB" w14:textId="77777777" w:rsidR="00C71E64" w:rsidRPr="00E20D21" w:rsidRDefault="00C71E64">
            <w:pPr>
              <w:jc w:val="center"/>
              <w:rPr>
                <w:rFonts w:ascii="CAIXA Std Book" w:hAnsi="CAIXA Std Book"/>
                <w:color w:val="005CA9"/>
                <w:sz w:val="16"/>
                <w:szCs w:val="16"/>
              </w:rPr>
            </w:pPr>
            <w:r w:rsidRPr="00E20D21">
              <w:rPr>
                <w:rFonts w:ascii="CAIXA Std Book" w:hAnsi="CAIXA Std Book"/>
                <w:color w:val="005CA9"/>
                <w:sz w:val="16"/>
                <w:szCs w:val="16"/>
              </w:rPr>
              <w:t>IPCA</w:t>
            </w:r>
          </w:p>
        </w:tc>
        <w:tc>
          <w:tcPr>
            <w:tcW w:w="573" w:type="pct"/>
            <w:tcBorders>
              <w:top w:val="nil"/>
              <w:left w:val="nil"/>
              <w:bottom w:val="nil"/>
              <w:right w:val="nil"/>
            </w:tcBorders>
            <w:shd w:val="clear" w:color="auto" w:fill="auto"/>
            <w:vAlign w:val="center"/>
          </w:tcPr>
          <w:p w14:paraId="32DEB6AF" w14:textId="60060A61" w:rsidR="00C71E64" w:rsidRPr="00E20D21" w:rsidRDefault="00C71E64" w:rsidP="008E4C2D">
            <w:pPr>
              <w:jc w:val="right"/>
              <w:rPr>
                <w:rFonts w:ascii="CAIXA Std Book" w:hAnsi="CAIXA Std Book"/>
                <w:color w:val="005CA9"/>
                <w:sz w:val="16"/>
                <w:szCs w:val="16"/>
              </w:rPr>
            </w:pPr>
            <w:r w:rsidRPr="00E20D21">
              <w:rPr>
                <w:rFonts w:ascii="CAIXA Std Book" w:hAnsi="CAIXA Std Book" w:cs="Arial"/>
                <w:color w:val="005CA9"/>
                <w:sz w:val="16"/>
                <w:szCs w:val="16"/>
              </w:rPr>
              <w:t>10.779</w:t>
            </w:r>
          </w:p>
        </w:tc>
        <w:tc>
          <w:tcPr>
            <w:tcW w:w="590" w:type="pct"/>
            <w:tcBorders>
              <w:top w:val="nil"/>
              <w:left w:val="nil"/>
              <w:bottom w:val="nil"/>
              <w:right w:val="nil"/>
            </w:tcBorders>
            <w:shd w:val="clear" w:color="auto" w:fill="auto"/>
            <w:vAlign w:val="center"/>
          </w:tcPr>
          <w:p w14:paraId="25132B6C" w14:textId="7C66EE1F" w:rsidR="00C71E64" w:rsidRPr="00E20D21" w:rsidRDefault="008E4C2D">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653" w:type="pct"/>
            <w:tcBorders>
              <w:top w:val="nil"/>
              <w:left w:val="nil"/>
              <w:bottom w:val="nil"/>
              <w:right w:val="nil"/>
            </w:tcBorders>
            <w:shd w:val="clear" w:color="auto" w:fill="auto"/>
            <w:vAlign w:val="center"/>
          </w:tcPr>
          <w:p w14:paraId="6B758B86" w14:textId="60BBEBD3"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3.631</w:t>
            </w:r>
          </w:p>
        </w:tc>
        <w:tc>
          <w:tcPr>
            <w:tcW w:w="660" w:type="pct"/>
            <w:tcBorders>
              <w:top w:val="nil"/>
              <w:left w:val="nil"/>
              <w:bottom w:val="nil"/>
              <w:right w:val="nil"/>
            </w:tcBorders>
            <w:shd w:val="clear" w:color="auto" w:fill="auto"/>
            <w:noWrap/>
            <w:vAlign w:val="center"/>
          </w:tcPr>
          <w:p w14:paraId="177683DA" w14:textId="1E09F5EF" w:rsidR="00C71E64" w:rsidRPr="00E20D21" w:rsidRDefault="00C71E64">
            <w:pPr>
              <w:jc w:val="right"/>
              <w:rPr>
                <w:rFonts w:ascii="CAIXA Std Book" w:hAnsi="CAIXA Std Book"/>
                <w:color w:val="005CA9"/>
                <w:sz w:val="16"/>
                <w:szCs w:val="16"/>
              </w:rPr>
            </w:pPr>
            <w:r w:rsidRPr="00E20D21">
              <w:rPr>
                <w:rFonts w:ascii="CAIXA Std Book" w:hAnsi="CAIXA Std Book" w:cs="Arial"/>
                <w:color w:val="005CA9"/>
                <w:sz w:val="16"/>
                <w:szCs w:val="16"/>
              </w:rPr>
              <w:t>2.510.449</w:t>
            </w:r>
          </w:p>
        </w:tc>
        <w:tc>
          <w:tcPr>
            <w:tcW w:w="577" w:type="pct"/>
            <w:tcBorders>
              <w:top w:val="nil"/>
              <w:left w:val="nil"/>
              <w:bottom w:val="nil"/>
              <w:right w:val="nil"/>
            </w:tcBorders>
            <w:shd w:val="clear" w:color="auto" w:fill="auto"/>
            <w:vAlign w:val="center"/>
          </w:tcPr>
          <w:p w14:paraId="38ACF286" w14:textId="6A44C9AB"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2.524.859</w:t>
            </w:r>
          </w:p>
        </w:tc>
        <w:tc>
          <w:tcPr>
            <w:tcW w:w="577" w:type="pct"/>
            <w:tcBorders>
              <w:top w:val="nil"/>
              <w:left w:val="nil"/>
              <w:bottom w:val="nil"/>
              <w:right w:val="nil"/>
            </w:tcBorders>
            <w:shd w:val="clear" w:color="auto" w:fill="auto"/>
            <w:vAlign w:val="center"/>
          </w:tcPr>
          <w:p w14:paraId="5DE0DE96" w14:textId="77777777" w:rsidR="00C71E64" w:rsidRPr="00E20D21" w:rsidRDefault="00C71E64">
            <w:pPr>
              <w:jc w:val="right"/>
              <w:rPr>
                <w:rFonts w:ascii="CAIXA Std Book" w:hAnsi="CAIXA Std Book" w:cs="Arial Unicode MS"/>
                <w:color w:val="005CA9"/>
                <w:sz w:val="16"/>
                <w:szCs w:val="16"/>
              </w:rPr>
            </w:pPr>
            <w:r w:rsidRPr="00E20D21">
              <w:rPr>
                <w:rFonts w:ascii="CAIXA Std Book" w:hAnsi="CAIXA Std Book" w:cs="Arial"/>
                <w:color w:val="005CA9"/>
                <w:sz w:val="16"/>
                <w:szCs w:val="16"/>
              </w:rPr>
              <w:t>1.782.637</w:t>
            </w:r>
          </w:p>
        </w:tc>
      </w:tr>
      <w:tr w:rsidR="00C71E64" w:rsidRPr="00E20D21" w14:paraId="42DFEBC7" w14:textId="77777777" w:rsidTr="00F07D49">
        <w:trPr>
          <w:trHeight w:val="283"/>
        </w:trPr>
        <w:tc>
          <w:tcPr>
            <w:tcW w:w="875" w:type="pct"/>
            <w:tcBorders>
              <w:top w:val="nil"/>
              <w:left w:val="nil"/>
              <w:right w:val="nil"/>
            </w:tcBorders>
            <w:shd w:val="clear" w:color="auto" w:fill="auto"/>
            <w:vAlign w:val="center"/>
            <w:hideMark/>
          </w:tcPr>
          <w:p w14:paraId="13BB3F72" w14:textId="77777777" w:rsidR="00C71E64" w:rsidRPr="00E20D21" w:rsidRDefault="00C71E64">
            <w:pPr>
              <w:rPr>
                <w:rFonts w:ascii="CAIXA Std Book" w:hAnsi="CAIXA Std Book"/>
                <w:color w:val="005CA9"/>
                <w:sz w:val="16"/>
                <w:szCs w:val="16"/>
              </w:rPr>
            </w:pPr>
            <w:r w:rsidRPr="00E20D21">
              <w:rPr>
                <w:rFonts w:ascii="CAIXA Std Book" w:hAnsi="CAIXA Std Book"/>
                <w:color w:val="005CA9"/>
                <w:sz w:val="16"/>
                <w:szCs w:val="16"/>
              </w:rPr>
              <w:t>Letra financeira</w:t>
            </w:r>
          </w:p>
        </w:tc>
        <w:tc>
          <w:tcPr>
            <w:tcW w:w="495" w:type="pct"/>
            <w:tcBorders>
              <w:top w:val="nil"/>
              <w:left w:val="nil"/>
              <w:right w:val="nil"/>
            </w:tcBorders>
            <w:vAlign w:val="center"/>
          </w:tcPr>
          <w:p w14:paraId="117DBEA0" w14:textId="77777777" w:rsidR="00C71E64" w:rsidRPr="00E20D21" w:rsidRDefault="00C71E64">
            <w:pPr>
              <w:jc w:val="center"/>
              <w:rPr>
                <w:rFonts w:ascii="CAIXA Std Book" w:hAnsi="CAIXA Std Book"/>
                <w:color w:val="005CA9"/>
                <w:sz w:val="16"/>
                <w:szCs w:val="16"/>
              </w:rPr>
            </w:pPr>
            <w:r w:rsidRPr="00E20D21">
              <w:rPr>
                <w:rFonts w:ascii="CAIXA Std Book" w:hAnsi="CAIXA Std Book"/>
                <w:color w:val="005CA9"/>
                <w:sz w:val="16"/>
                <w:szCs w:val="16"/>
              </w:rPr>
              <w:t>CDI</w:t>
            </w:r>
          </w:p>
        </w:tc>
        <w:tc>
          <w:tcPr>
            <w:tcW w:w="573" w:type="pct"/>
            <w:tcBorders>
              <w:top w:val="nil"/>
              <w:left w:val="nil"/>
              <w:bottom w:val="nil"/>
              <w:right w:val="nil"/>
            </w:tcBorders>
            <w:shd w:val="clear" w:color="auto" w:fill="auto"/>
            <w:vAlign w:val="center"/>
          </w:tcPr>
          <w:p w14:paraId="2006BB2C" w14:textId="4C4133A4" w:rsidR="00C71E64" w:rsidRPr="00E20D21" w:rsidRDefault="008E4C2D">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90" w:type="pct"/>
            <w:tcBorders>
              <w:top w:val="nil"/>
              <w:left w:val="nil"/>
              <w:bottom w:val="nil"/>
              <w:right w:val="nil"/>
            </w:tcBorders>
            <w:shd w:val="clear" w:color="auto" w:fill="auto"/>
            <w:vAlign w:val="center"/>
          </w:tcPr>
          <w:p w14:paraId="3D473F8E" w14:textId="6C28E0F0" w:rsidR="00C71E64" w:rsidRPr="00E20D21" w:rsidRDefault="00C71E64" w:rsidP="008E4C2D">
            <w:pPr>
              <w:jc w:val="right"/>
              <w:rPr>
                <w:rFonts w:ascii="CAIXA Std Book" w:hAnsi="CAIXA Std Book"/>
                <w:color w:val="005CA9"/>
                <w:sz w:val="16"/>
                <w:szCs w:val="16"/>
              </w:rPr>
            </w:pPr>
            <w:r w:rsidRPr="00E20D21">
              <w:rPr>
                <w:rFonts w:ascii="CAIXA Std Book" w:hAnsi="CAIXA Std Book" w:cs="Arial"/>
                <w:color w:val="005CA9"/>
                <w:sz w:val="16"/>
                <w:szCs w:val="16"/>
              </w:rPr>
              <w:t>4.395.420</w:t>
            </w:r>
          </w:p>
        </w:tc>
        <w:tc>
          <w:tcPr>
            <w:tcW w:w="653" w:type="pct"/>
            <w:tcBorders>
              <w:top w:val="nil"/>
              <w:left w:val="nil"/>
              <w:bottom w:val="nil"/>
              <w:right w:val="nil"/>
            </w:tcBorders>
            <w:shd w:val="clear" w:color="auto" w:fill="auto"/>
            <w:vAlign w:val="center"/>
          </w:tcPr>
          <w:p w14:paraId="715E09BE" w14:textId="770E4009" w:rsidR="00C71E64" w:rsidRPr="00E20D21" w:rsidRDefault="008E4C2D">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660" w:type="pct"/>
            <w:tcBorders>
              <w:top w:val="nil"/>
              <w:left w:val="nil"/>
              <w:bottom w:val="nil"/>
              <w:right w:val="nil"/>
            </w:tcBorders>
            <w:shd w:val="clear" w:color="auto" w:fill="auto"/>
            <w:noWrap/>
            <w:vAlign w:val="center"/>
          </w:tcPr>
          <w:p w14:paraId="3FA8B216" w14:textId="78BB8098" w:rsidR="00C71E64" w:rsidRPr="00E20D21" w:rsidRDefault="008E4C2D">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77" w:type="pct"/>
            <w:tcBorders>
              <w:top w:val="nil"/>
              <w:left w:val="nil"/>
              <w:bottom w:val="nil"/>
              <w:right w:val="nil"/>
            </w:tcBorders>
            <w:shd w:val="clear" w:color="auto" w:fill="auto"/>
            <w:vAlign w:val="center"/>
          </w:tcPr>
          <w:p w14:paraId="45C4DDC5" w14:textId="2C45AB15"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4.395.420</w:t>
            </w:r>
          </w:p>
        </w:tc>
        <w:tc>
          <w:tcPr>
            <w:tcW w:w="577" w:type="pct"/>
            <w:tcBorders>
              <w:top w:val="nil"/>
              <w:left w:val="nil"/>
              <w:right w:val="nil"/>
            </w:tcBorders>
            <w:shd w:val="clear" w:color="auto" w:fill="auto"/>
            <w:vAlign w:val="center"/>
          </w:tcPr>
          <w:p w14:paraId="2C7C97FF" w14:textId="77777777" w:rsidR="00C71E64" w:rsidRPr="00E20D21" w:rsidRDefault="00C71E64">
            <w:pPr>
              <w:jc w:val="right"/>
              <w:rPr>
                <w:rFonts w:ascii="CAIXA Std Book" w:hAnsi="CAIXA Std Book"/>
                <w:color w:val="005CA9"/>
                <w:sz w:val="16"/>
                <w:szCs w:val="16"/>
              </w:rPr>
            </w:pPr>
            <w:r w:rsidRPr="00E20D21">
              <w:rPr>
                <w:rFonts w:ascii="CAIXA Std Book" w:hAnsi="CAIXA Std Book" w:cs="Arial"/>
                <w:color w:val="005CA9"/>
                <w:sz w:val="16"/>
                <w:szCs w:val="16"/>
              </w:rPr>
              <w:t>4.165.683</w:t>
            </w:r>
          </w:p>
        </w:tc>
      </w:tr>
      <w:tr w:rsidR="00CF4593" w:rsidRPr="00E20D21" w14:paraId="4312C884" w14:textId="77777777" w:rsidTr="00D0541D">
        <w:trPr>
          <w:trHeight w:val="283"/>
        </w:trPr>
        <w:tc>
          <w:tcPr>
            <w:tcW w:w="875" w:type="pct"/>
            <w:tcBorders>
              <w:top w:val="nil"/>
              <w:left w:val="nil"/>
              <w:bottom w:val="single" w:sz="4" w:space="0" w:color="F79646" w:themeColor="accent6"/>
              <w:right w:val="nil"/>
            </w:tcBorders>
            <w:shd w:val="clear" w:color="auto" w:fill="auto"/>
            <w:vAlign w:val="center"/>
          </w:tcPr>
          <w:p w14:paraId="2364F87A" w14:textId="77777777" w:rsidR="00C71E64" w:rsidRPr="00E20D21" w:rsidRDefault="00C71E64">
            <w:pPr>
              <w:rPr>
                <w:rFonts w:ascii="CAIXA Std Book" w:hAnsi="CAIXA Std Book"/>
                <w:color w:val="005CA9"/>
                <w:sz w:val="16"/>
                <w:szCs w:val="16"/>
              </w:rPr>
            </w:pPr>
            <w:r w:rsidRPr="00E20D21">
              <w:rPr>
                <w:rFonts w:ascii="CAIXA Std Book" w:hAnsi="CAIXA Std Book"/>
                <w:color w:val="005CA9"/>
                <w:sz w:val="16"/>
                <w:szCs w:val="16"/>
              </w:rPr>
              <w:t>Letra de crédito do agronegócio</w:t>
            </w:r>
          </w:p>
        </w:tc>
        <w:tc>
          <w:tcPr>
            <w:tcW w:w="495" w:type="pct"/>
            <w:tcBorders>
              <w:top w:val="nil"/>
              <w:left w:val="nil"/>
              <w:bottom w:val="single" w:sz="4" w:space="0" w:color="F79646" w:themeColor="accent6"/>
              <w:right w:val="nil"/>
            </w:tcBorders>
            <w:vAlign w:val="center"/>
          </w:tcPr>
          <w:p w14:paraId="739D2939" w14:textId="77777777" w:rsidR="00C71E64" w:rsidRPr="00E20D21" w:rsidRDefault="00C71E64">
            <w:pPr>
              <w:jc w:val="center"/>
              <w:rPr>
                <w:rFonts w:ascii="CAIXA Std Book" w:hAnsi="CAIXA Std Book"/>
                <w:color w:val="005CA9"/>
                <w:sz w:val="16"/>
                <w:szCs w:val="16"/>
              </w:rPr>
            </w:pPr>
            <w:r w:rsidRPr="00E20D21">
              <w:rPr>
                <w:rFonts w:ascii="CAIXA Std Book" w:hAnsi="CAIXA Std Book"/>
                <w:color w:val="005CA9"/>
                <w:sz w:val="16"/>
                <w:szCs w:val="16"/>
              </w:rPr>
              <w:t>CDI</w:t>
            </w:r>
          </w:p>
        </w:tc>
        <w:tc>
          <w:tcPr>
            <w:tcW w:w="573" w:type="pct"/>
            <w:tcBorders>
              <w:top w:val="nil"/>
              <w:left w:val="nil"/>
              <w:bottom w:val="single" w:sz="4" w:space="0" w:color="F79646"/>
              <w:right w:val="nil"/>
            </w:tcBorders>
            <w:shd w:val="clear" w:color="auto" w:fill="auto"/>
            <w:vAlign w:val="center"/>
          </w:tcPr>
          <w:p w14:paraId="6F4365CB" w14:textId="15F45C31"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628.105</w:t>
            </w:r>
          </w:p>
        </w:tc>
        <w:tc>
          <w:tcPr>
            <w:tcW w:w="590" w:type="pct"/>
            <w:tcBorders>
              <w:top w:val="nil"/>
              <w:left w:val="nil"/>
              <w:bottom w:val="single" w:sz="4" w:space="0" w:color="F79646"/>
              <w:right w:val="nil"/>
            </w:tcBorders>
            <w:shd w:val="clear" w:color="auto" w:fill="auto"/>
            <w:vAlign w:val="center"/>
          </w:tcPr>
          <w:p w14:paraId="07A500C7" w14:textId="3616F5F4"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299.149</w:t>
            </w:r>
          </w:p>
        </w:tc>
        <w:tc>
          <w:tcPr>
            <w:tcW w:w="653" w:type="pct"/>
            <w:tcBorders>
              <w:top w:val="nil"/>
              <w:left w:val="nil"/>
              <w:bottom w:val="single" w:sz="4" w:space="0" w:color="F79646"/>
              <w:right w:val="nil"/>
            </w:tcBorders>
            <w:shd w:val="clear" w:color="auto" w:fill="auto"/>
            <w:vAlign w:val="center"/>
          </w:tcPr>
          <w:p w14:paraId="601B98A6" w14:textId="0785418F"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775.429</w:t>
            </w:r>
          </w:p>
        </w:tc>
        <w:tc>
          <w:tcPr>
            <w:tcW w:w="660" w:type="pct"/>
            <w:tcBorders>
              <w:top w:val="nil"/>
              <w:left w:val="nil"/>
              <w:bottom w:val="single" w:sz="4" w:space="0" w:color="F79646"/>
              <w:right w:val="nil"/>
            </w:tcBorders>
            <w:shd w:val="clear" w:color="auto" w:fill="auto"/>
            <w:noWrap/>
            <w:vAlign w:val="center"/>
          </w:tcPr>
          <w:p w14:paraId="1DBC07A7" w14:textId="4DF5198E"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13.659.833</w:t>
            </w:r>
          </w:p>
        </w:tc>
        <w:tc>
          <w:tcPr>
            <w:tcW w:w="577" w:type="pct"/>
            <w:tcBorders>
              <w:top w:val="nil"/>
              <w:left w:val="nil"/>
              <w:bottom w:val="single" w:sz="4" w:space="0" w:color="F79646"/>
              <w:right w:val="nil"/>
            </w:tcBorders>
            <w:shd w:val="clear" w:color="auto" w:fill="auto"/>
            <w:vAlign w:val="center"/>
          </w:tcPr>
          <w:p w14:paraId="517E41FF" w14:textId="586B5877" w:rsidR="00C71E64" w:rsidRPr="00E20D21" w:rsidRDefault="00C71E64">
            <w:pPr>
              <w:jc w:val="right"/>
              <w:rPr>
                <w:rFonts w:ascii="CAIXA Std Book" w:hAnsi="CAIXA Std Book" w:cs="Arial"/>
                <w:color w:val="005CA9"/>
                <w:sz w:val="16"/>
                <w:szCs w:val="16"/>
              </w:rPr>
            </w:pPr>
            <w:r w:rsidRPr="00E20D21">
              <w:rPr>
                <w:rFonts w:ascii="CAIXA Std Book" w:hAnsi="CAIXA Std Book" w:cs="Arial"/>
                <w:color w:val="005CA9"/>
                <w:sz w:val="16"/>
                <w:szCs w:val="16"/>
              </w:rPr>
              <w:t>15.362.516</w:t>
            </w:r>
          </w:p>
        </w:tc>
        <w:tc>
          <w:tcPr>
            <w:tcW w:w="577" w:type="pct"/>
            <w:tcBorders>
              <w:top w:val="nil"/>
              <w:left w:val="nil"/>
              <w:bottom w:val="single" w:sz="4" w:space="0" w:color="F79646" w:themeColor="accent6"/>
              <w:right w:val="nil"/>
            </w:tcBorders>
            <w:shd w:val="clear" w:color="auto" w:fill="auto"/>
            <w:vAlign w:val="center"/>
          </w:tcPr>
          <w:p w14:paraId="73B6B38B" w14:textId="77777777" w:rsidR="00C71E64" w:rsidRPr="00E20D21" w:rsidRDefault="00C71E64">
            <w:pPr>
              <w:jc w:val="right"/>
              <w:rPr>
                <w:rFonts w:ascii="CAIXA Std Book" w:hAnsi="CAIXA Std Book"/>
                <w:color w:val="005CA9"/>
                <w:sz w:val="16"/>
                <w:szCs w:val="16"/>
              </w:rPr>
            </w:pPr>
            <w:r w:rsidRPr="00E20D21">
              <w:rPr>
                <w:rFonts w:ascii="CAIXA Std Book" w:hAnsi="CAIXA Std Book" w:cs="Arial"/>
                <w:color w:val="005CA9"/>
                <w:sz w:val="16"/>
                <w:szCs w:val="16"/>
              </w:rPr>
              <w:t>12.874.659</w:t>
            </w:r>
          </w:p>
        </w:tc>
      </w:tr>
      <w:tr w:rsidR="00CF4593" w:rsidRPr="00E20D21" w14:paraId="72939F5F" w14:textId="77777777" w:rsidTr="00D0541D">
        <w:trPr>
          <w:trHeight w:val="283"/>
        </w:trPr>
        <w:tc>
          <w:tcPr>
            <w:tcW w:w="875" w:type="pct"/>
            <w:tcBorders>
              <w:top w:val="single" w:sz="4" w:space="0" w:color="F39200"/>
              <w:left w:val="nil"/>
              <w:bottom w:val="single" w:sz="4" w:space="0" w:color="F39200"/>
              <w:right w:val="nil"/>
            </w:tcBorders>
            <w:shd w:val="clear" w:color="auto" w:fill="auto"/>
            <w:noWrap/>
            <w:vAlign w:val="center"/>
            <w:hideMark/>
          </w:tcPr>
          <w:p w14:paraId="42A354E2" w14:textId="77777777" w:rsidR="00C71E64" w:rsidRPr="00E20D21" w:rsidRDefault="00C71E64">
            <w:pPr>
              <w:rPr>
                <w:rFonts w:ascii="CAIXA Std Book" w:hAnsi="CAIXA Std Book"/>
                <w:b/>
                <w:color w:val="005CA9"/>
                <w:sz w:val="16"/>
                <w:szCs w:val="16"/>
              </w:rPr>
            </w:pPr>
            <w:r w:rsidRPr="00E20D21">
              <w:rPr>
                <w:rFonts w:ascii="CAIXA Std Book" w:hAnsi="CAIXA Std Book"/>
                <w:b/>
                <w:color w:val="005CA9"/>
                <w:sz w:val="16"/>
                <w:szCs w:val="16"/>
              </w:rPr>
              <w:t>Total</w:t>
            </w:r>
          </w:p>
        </w:tc>
        <w:tc>
          <w:tcPr>
            <w:tcW w:w="495" w:type="pct"/>
            <w:tcBorders>
              <w:top w:val="single" w:sz="4" w:space="0" w:color="F39200"/>
              <w:left w:val="nil"/>
              <w:bottom w:val="single" w:sz="4" w:space="0" w:color="F39200"/>
              <w:right w:val="nil"/>
            </w:tcBorders>
            <w:shd w:val="clear" w:color="auto" w:fill="auto"/>
            <w:vAlign w:val="center"/>
          </w:tcPr>
          <w:p w14:paraId="0EFC2F48" w14:textId="77777777" w:rsidR="00C71E64" w:rsidRPr="00E20D21" w:rsidRDefault="00C71E64">
            <w:pPr>
              <w:jc w:val="right"/>
              <w:rPr>
                <w:rFonts w:ascii="CAIXA Std Book" w:hAnsi="CAIXA Std Book"/>
                <w:b/>
                <w:color w:val="005CA9"/>
                <w:sz w:val="16"/>
                <w:szCs w:val="16"/>
              </w:rPr>
            </w:pPr>
          </w:p>
        </w:tc>
        <w:tc>
          <w:tcPr>
            <w:tcW w:w="573" w:type="pct"/>
            <w:tcBorders>
              <w:top w:val="single" w:sz="4" w:space="0" w:color="F79646"/>
              <w:left w:val="nil"/>
              <w:bottom w:val="single" w:sz="4" w:space="0" w:color="F79646"/>
              <w:right w:val="nil"/>
            </w:tcBorders>
            <w:shd w:val="clear" w:color="auto" w:fill="auto"/>
            <w:vAlign w:val="center"/>
          </w:tcPr>
          <w:p w14:paraId="7BAE9413" w14:textId="597777CD" w:rsidR="00C71E64" w:rsidRPr="00E20D21" w:rsidRDefault="00C71E64">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6.992.863</w:t>
            </w:r>
          </w:p>
        </w:tc>
        <w:tc>
          <w:tcPr>
            <w:tcW w:w="590" w:type="pct"/>
            <w:tcBorders>
              <w:top w:val="single" w:sz="4" w:space="0" w:color="F79646"/>
              <w:left w:val="nil"/>
              <w:bottom w:val="single" w:sz="4" w:space="0" w:color="F79646"/>
              <w:right w:val="nil"/>
            </w:tcBorders>
            <w:shd w:val="clear" w:color="auto" w:fill="auto"/>
            <w:vAlign w:val="center"/>
          </w:tcPr>
          <w:p w14:paraId="7373A292" w14:textId="2F6243A7" w:rsidR="00C71E64" w:rsidRPr="00E20D21" w:rsidRDefault="00C71E64">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18.530.628</w:t>
            </w:r>
          </w:p>
        </w:tc>
        <w:tc>
          <w:tcPr>
            <w:tcW w:w="653" w:type="pct"/>
            <w:tcBorders>
              <w:top w:val="single" w:sz="4" w:space="0" w:color="F79646"/>
              <w:left w:val="nil"/>
              <w:bottom w:val="single" w:sz="4" w:space="0" w:color="F79646"/>
              <w:right w:val="nil"/>
            </w:tcBorders>
            <w:shd w:val="clear" w:color="auto" w:fill="auto"/>
            <w:noWrap/>
            <w:vAlign w:val="center"/>
          </w:tcPr>
          <w:p w14:paraId="3630BD0A" w14:textId="53DA26BC" w:rsidR="00C71E64" w:rsidRPr="00E20D21" w:rsidRDefault="00C71E64">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15.275.180</w:t>
            </w:r>
          </w:p>
        </w:tc>
        <w:tc>
          <w:tcPr>
            <w:tcW w:w="660" w:type="pct"/>
            <w:tcBorders>
              <w:top w:val="single" w:sz="4" w:space="0" w:color="F79646"/>
              <w:left w:val="nil"/>
              <w:bottom w:val="single" w:sz="4" w:space="0" w:color="F79646"/>
              <w:right w:val="nil"/>
            </w:tcBorders>
            <w:shd w:val="clear" w:color="auto" w:fill="auto"/>
            <w:noWrap/>
            <w:vAlign w:val="center"/>
          </w:tcPr>
          <w:p w14:paraId="06D1082C" w14:textId="4E52B2F7" w:rsidR="00C71E64" w:rsidRPr="00E20D21" w:rsidRDefault="00C71E64">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144.018.089</w:t>
            </w:r>
          </w:p>
        </w:tc>
        <w:tc>
          <w:tcPr>
            <w:tcW w:w="577" w:type="pct"/>
            <w:tcBorders>
              <w:top w:val="single" w:sz="4" w:space="0" w:color="F79646"/>
              <w:left w:val="nil"/>
              <w:bottom w:val="single" w:sz="4" w:space="0" w:color="F79646"/>
              <w:right w:val="nil"/>
            </w:tcBorders>
            <w:shd w:val="clear" w:color="auto" w:fill="auto"/>
            <w:vAlign w:val="center"/>
          </w:tcPr>
          <w:p w14:paraId="1C3323CD" w14:textId="3C4C0A63" w:rsidR="00C71E64" w:rsidRPr="00E20D21" w:rsidRDefault="00C71E64">
            <w:pPr>
              <w:jc w:val="right"/>
              <w:rPr>
                <w:rFonts w:ascii="CAIXA Std Book" w:hAnsi="CAIXA Std Book" w:cs="Arial"/>
                <w:b/>
                <w:color w:val="005CA9"/>
                <w:sz w:val="16"/>
                <w:szCs w:val="16"/>
              </w:rPr>
            </w:pPr>
            <w:r w:rsidRPr="00E20D21">
              <w:rPr>
                <w:rFonts w:ascii="CAIXA Std Book" w:hAnsi="CAIXA Std Book" w:cs="Arial"/>
                <w:b/>
                <w:bCs/>
                <w:color w:val="005CA9"/>
                <w:sz w:val="16"/>
                <w:szCs w:val="16"/>
              </w:rPr>
              <w:t>184.816.760</w:t>
            </w:r>
          </w:p>
        </w:tc>
        <w:tc>
          <w:tcPr>
            <w:tcW w:w="577" w:type="pct"/>
            <w:tcBorders>
              <w:top w:val="nil"/>
              <w:left w:val="nil"/>
              <w:bottom w:val="single" w:sz="4" w:space="0" w:color="F39200"/>
              <w:right w:val="nil"/>
            </w:tcBorders>
            <w:shd w:val="clear" w:color="auto" w:fill="auto"/>
            <w:vAlign w:val="center"/>
          </w:tcPr>
          <w:p w14:paraId="70F14291" w14:textId="77777777" w:rsidR="00C71E64" w:rsidRPr="00E20D21" w:rsidRDefault="00C71E64">
            <w:pPr>
              <w:jc w:val="right"/>
              <w:rPr>
                <w:rFonts w:ascii="CAIXA Std Book" w:hAnsi="CAIXA Std Book" w:cs="Arial Unicode MS"/>
                <w:b/>
                <w:color w:val="005CA9"/>
                <w:sz w:val="16"/>
                <w:szCs w:val="16"/>
              </w:rPr>
            </w:pPr>
            <w:r w:rsidRPr="00E20D21">
              <w:rPr>
                <w:rFonts w:ascii="CAIXA Std Book" w:hAnsi="CAIXA Std Book" w:cs="Arial"/>
                <w:b/>
                <w:bCs/>
                <w:color w:val="005CA9"/>
                <w:sz w:val="16"/>
                <w:szCs w:val="16"/>
              </w:rPr>
              <w:t>165.377.995</w:t>
            </w:r>
          </w:p>
        </w:tc>
      </w:tr>
    </w:tbl>
    <w:p w14:paraId="454040CA" w14:textId="5D50BE80" w:rsidR="00681A81" w:rsidRPr="00E20D21" w:rsidRDefault="00681A81" w:rsidP="00134363">
      <w:pPr>
        <w:spacing w:before="240" w:after="240"/>
        <w:jc w:val="both"/>
        <w:rPr>
          <w:rFonts w:ascii="CAIXA Std Book" w:hAnsi="CAIXA Std Book"/>
          <w:b/>
          <w:color w:val="005CA9"/>
          <w:sz w:val="20"/>
          <w:szCs w:val="20"/>
        </w:rPr>
      </w:pPr>
      <w:r w:rsidRPr="00E20D21">
        <w:rPr>
          <w:rFonts w:ascii="CAIXA Std Book" w:hAnsi="CAIXA Std Book"/>
          <w:b/>
          <w:color w:val="005CA9"/>
          <w:sz w:val="20"/>
          <w:szCs w:val="20"/>
        </w:rPr>
        <w:t>(c)</w:t>
      </w:r>
      <w:r w:rsidRPr="00E20D21">
        <w:rPr>
          <w:rFonts w:ascii="CAIXA Std Book" w:hAnsi="CAIXA Std Book"/>
          <w:b/>
          <w:color w:val="005CA9"/>
          <w:sz w:val="20"/>
          <w:szCs w:val="20"/>
        </w:rPr>
        <w:tab/>
        <w:t xml:space="preserve">Instrumentos Financeiros Subordinados </w:t>
      </w:r>
    </w:p>
    <w:tbl>
      <w:tblPr>
        <w:tblW w:w="5000" w:type="pct"/>
        <w:tblCellMar>
          <w:left w:w="70" w:type="dxa"/>
          <w:right w:w="70" w:type="dxa"/>
        </w:tblCellMar>
        <w:tblLook w:val="04A0" w:firstRow="1" w:lastRow="0" w:firstColumn="1" w:lastColumn="0" w:noHBand="0" w:noVBand="1"/>
      </w:tblPr>
      <w:tblGrid>
        <w:gridCol w:w="1023"/>
        <w:gridCol w:w="1622"/>
        <w:gridCol w:w="843"/>
        <w:gridCol w:w="1012"/>
        <w:gridCol w:w="1121"/>
        <w:gridCol w:w="1091"/>
        <w:gridCol w:w="802"/>
        <w:gridCol w:w="1061"/>
        <w:gridCol w:w="1062"/>
      </w:tblGrid>
      <w:tr w:rsidR="003832D9" w:rsidRPr="00E20D21" w14:paraId="4D597183" w14:textId="77777777">
        <w:trPr>
          <w:trHeight w:val="283"/>
        </w:trPr>
        <w:tc>
          <w:tcPr>
            <w:tcW w:w="5000" w:type="pct"/>
            <w:gridSpan w:val="9"/>
            <w:tcBorders>
              <w:top w:val="single" w:sz="4" w:space="0" w:color="F39200"/>
              <w:left w:val="nil"/>
              <w:bottom w:val="single" w:sz="4" w:space="0" w:color="F39200"/>
              <w:right w:val="nil"/>
            </w:tcBorders>
            <w:vAlign w:val="center"/>
          </w:tcPr>
          <w:p w14:paraId="7CCFDCE0" w14:textId="468A99A5" w:rsidR="003832D9" w:rsidRPr="00E20D21" w:rsidRDefault="00CB0BA1">
            <w:pPr>
              <w:jc w:val="center"/>
              <w:rPr>
                <w:rFonts w:ascii="CAIXA Std Book" w:hAnsi="CAIXA Std Book"/>
                <w:b/>
                <w:color w:val="005CA9"/>
                <w:sz w:val="16"/>
                <w:szCs w:val="16"/>
              </w:rPr>
            </w:pPr>
            <w:bookmarkStart w:id="56" w:name="_Hlk65762205"/>
            <w:r w:rsidRPr="00E20D21">
              <w:rPr>
                <w:rFonts w:ascii="CAIXA Std Book" w:hAnsi="CAIXA Std Book"/>
                <w:color w:val="005CA9"/>
                <w:sz w:val="16"/>
                <w:szCs w:val="16"/>
              </w:rPr>
              <w:t xml:space="preserve"> </w:t>
            </w:r>
            <w:r w:rsidR="003832D9" w:rsidRPr="00E20D21">
              <w:rPr>
                <w:rFonts w:ascii="CAIXA Std Book" w:hAnsi="CAIXA Std Book"/>
                <w:b/>
                <w:color w:val="005CA9"/>
                <w:sz w:val="16"/>
                <w:szCs w:val="16"/>
              </w:rPr>
              <w:t>INDIVIDUAL</w:t>
            </w:r>
            <w:r w:rsidR="00E20D21">
              <w:rPr>
                <w:rFonts w:ascii="CAIXA Std Book" w:hAnsi="CAIXA Std Book"/>
                <w:b/>
                <w:color w:val="005CA9"/>
                <w:sz w:val="16"/>
                <w:szCs w:val="16"/>
              </w:rPr>
              <w:t xml:space="preserve"> </w:t>
            </w:r>
            <w:r w:rsidR="003832D9" w:rsidRPr="00E20D21">
              <w:rPr>
                <w:rFonts w:ascii="CAIXA Std Book" w:hAnsi="CAIXA Std Book"/>
                <w:b/>
                <w:color w:val="005CA9"/>
                <w:sz w:val="16"/>
                <w:szCs w:val="16"/>
              </w:rPr>
              <w:t>/</w:t>
            </w:r>
            <w:r w:rsidR="00E20D21">
              <w:rPr>
                <w:rFonts w:ascii="CAIXA Std Book" w:hAnsi="CAIXA Std Book"/>
                <w:b/>
                <w:color w:val="005CA9"/>
                <w:sz w:val="16"/>
                <w:szCs w:val="16"/>
              </w:rPr>
              <w:t xml:space="preserve"> </w:t>
            </w:r>
            <w:r w:rsidR="003832D9" w:rsidRPr="00E20D21">
              <w:rPr>
                <w:rFonts w:ascii="CAIXA Std Book" w:hAnsi="CAIXA Std Book"/>
                <w:b/>
                <w:color w:val="005CA9"/>
                <w:sz w:val="16"/>
                <w:szCs w:val="16"/>
              </w:rPr>
              <w:t>CONSOLIDADO</w:t>
            </w:r>
          </w:p>
        </w:tc>
      </w:tr>
      <w:tr w:rsidR="003832D9" w:rsidRPr="00E20D21" w14:paraId="095A3ACB" w14:textId="77777777" w:rsidTr="00CB6DDE">
        <w:trPr>
          <w:trHeight w:val="283"/>
        </w:trPr>
        <w:tc>
          <w:tcPr>
            <w:tcW w:w="531" w:type="pct"/>
            <w:tcBorders>
              <w:top w:val="nil"/>
              <w:left w:val="nil"/>
              <w:bottom w:val="single" w:sz="4" w:space="0" w:color="F39200"/>
              <w:right w:val="nil"/>
            </w:tcBorders>
            <w:shd w:val="clear" w:color="auto" w:fill="auto"/>
            <w:vAlign w:val="center"/>
            <w:hideMark/>
          </w:tcPr>
          <w:p w14:paraId="7B649D68"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Vencimento</w:t>
            </w:r>
          </w:p>
        </w:tc>
        <w:tc>
          <w:tcPr>
            <w:tcW w:w="842" w:type="pct"/>
            <w:tcBorders>
              <w:top w:val="nil"/>
              <w:left w:val="nil"/>
              <w:bottom w:val="single" w:sz="4" w:space="0" w:color="F39200"/>
              <w:right w:val="nil"/>
            </w:tcBorders>
            <w:shd w:val="clear" w:color="auto" w:fill="auto"/>
            <w:vAlign w:val="center"/>
            <w:hideMark/>
          </w:tcPr>
          <w:p w14:paraId="5DF7916C"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Remuneração</w:t>
            </w:r>
          </w:p>
          <w:p w14:paraId="7D92B2C6"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 xml:space="preserve"> a.a. (%)</w:t>
            </w:r>
          </w:p>
        </w:tc>
        <w:tc>
          <w:tcPr>
            <w:tcW w:w="437" w:type="pct"/>
            <w:tcBorders>
              <w:top w:val="nil"/>
              <w:left w:val="nil"/>
              <w:bottom w:val="single" w:sz="4" w:space="0" w:color="F39200"/>
              <w:right w:val="nil"/>
            </w:tcBorders>
            <w:shd w:val="clear" w:color="auto" w:fill="auto"/>
            <w:vAlign w:val="center"/>
            <w:hideMark/>
          </w:tcPr>
          <w:p w14:paraId="7FE14E43"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Data da captação</w:t>
            </w:r>
          </w:p>
        </w:tc>
        <w:tc>
          <w:tcPr>
            <w:tcW w:w="525" w:type="pct"/>
            <w:tcBorders>
              <w:top w:val="nil"/>
              <w:left w:val="nil"/>
              <w:bottom w:val="single" w:sz="4" w:space="0" w:color="F39200"/>
              <w:right w:val="nil"/>
            </w:tcBorders>
            <w:shd w:val="clear" w:color="auto" w:fill="auto"/>
            <w:vAlign w:val="center"/>
            <w:hideMark/>
          </w:tcPr>
          <w:p w14:paraId="018455C2"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Valor emitido</w:t>
            </w:r>
          </w:p>
        </w:tc>
        <w:tc>
          <w:tcPr>
            <w:tcW w:w="582" w:type="pct"/>
            <w:tcBorders>
              <w:top w:val="nil"/>
              <w:left w:val="nil"/>
              <w:bottom w:val="single" w:sz="4" w:space="0" w:color="F39200"/>
              <w:right w:val="nil"/>
            </w:tcBorders>
            <w:shd w:val="clear" w:color="auto" w:fill="auto"/>
            <w:vAlign w:val="center"/>
            <w:hideMark/>
          </w:tcPr>
          <w:p w14:paraId="4CDA98DE"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Atualização monetária e juros</w:t>
            </w:r>
          </w:p>
        </w:tc>
        <w:tc>
          <w:tcPr>
            <w:tcW w:w="566" w:type="pct"/>
            <w:tcBorders>
              <w:top w:val="nil"/>
              <w:left w:val="nil"/>
              <w:bottom w:val="single" w:sz="4" w:space="0" w:color="F39200"/>
              <w:right w:val="nil"/>
            </w:tcBorders>
            <w:shd w:val="clear" w:color="auto" w:fill="auto"/>
            <w:vAlign w:val="center"/>
            <w:hideMark/>
          </w:tcPr>
          <w:p w14:paraId="792748A0"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Amortização</w:t>
            </w:r>
          </w:p>
        </w:tc>
        <w:tc>
          <w:tcPr>
            <w:tcW w:w="416" w:type="pct"/>
            <w:tcBorders>
              <w:top w:val="nil"/>
              <w:left w:val="nil"/>
              <w:bottom w:val="single" w:sz="4" w:space="0" w:color="F39200"/>
              <w:right w:val="nil"/>
            </w:tcBorders>
          </w:tcPr>
          <w:p w14:paraId="731A0E78" w14:textId="77777777" w:rsidR="003832D9" w:rsidRPr="00E20D21" w:rsidRDefault="003832D9">
            <w:pPr>
              <w:jc w:val="center"/>
              <w:rPr>
                <w:rFonts w:ascii="CAIXA Std Book" w:hAnsi="CAIXA Std Book" w:cs="Arial Unicode MS"/>
                <w:b/>
                <w:color w:val="005CA9"/>
                <w:sz w:val="16"/>
                <w:szCs w:val="16"/>
              </w:rPr>
            </w:pPr>
            <w:r w:rsidRPr="00E20D21">
              <w:rPr>
                <w:rFonts w:ascii="CAIXA Std Book" w:hAnsi="CAIXA Std Book" w:cs="Arial Unicode MS"/>
                <w:b/>
                <w:color w:val="005CA9"/>
                <w:sz w:val="16"/>
                <w:szCs w:val="16"/>
              </w:rPr>
              <w:t>Impacto Hedge Contábil Risco de Mercado</w:t>
            </w:r>
          </w:p>
        </w:tc>
        <w:tc>
          <w:tcPr>
            <w:tcW w:w="550" w:type="pct"/>
            <w:tcBorders>
              <w:top w:val="nil"/>
              <w:left w:val="nil"/>
              <w:bottom w:val="single" w:sz="4" w:space="0" w:color="F39200"/>
              <w:right w:val="nil"/>
            </w:tcBorders>
            <w:shd w:val="clear" w:color="auto" w:fill="auto"/>
            <w:vAlign w:val="center"/>
            <w:hideMark/>
          </w:tcPr>
          <w:p w14:paraId="49AA049C"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 xml:space="preserve">Saldo </w:t>
            </w:r>
          </w:p>
          <w:p w14:paraId="1A7FA79F" w14:textId="2E256191"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 xml:space="preserve">devedor </w:t>
            </w:r>
            <w:r w:rsidR="008812EE" w:rsidRPr="00E20D21">
              <w:rPr>
                <w:rFonts w:ascii="CAIXA Std Book" w:hAnsi="CAIXA Std Book"/>
                <w:b/>
                <w:color w:val="005CA9"/>
                <w:sz w:val="16"/>
                <w:szCs w:val="16"/>
              </w:rPr>
              <w:t>30</w:t>
            </w:r>
            <w:r w:rsidRPr="00E20D21">
              <w:rPr>
                <w:rFonts w:ascii="CAIXA Std Book" w:hAnsi="CAIXA Std Book"/>
                <w:b/>
                <w:color w:val="005CA9"/>
                <w:sz w:val="16"/>
                <w:szCs w:val="16"/>
              </w:rPr>
              <w:t>/</w:t>
            </w:r>
            <w:r w:rsidR="008812EE" w:rsidRPr="00E20D21">
              <w:rPr>
                <w:rFonts w:ascii="CAIXA Std Book" w:hAnsi="CAIXA Std Book"/>
                <w:b/>
                <w:color w:val="005CA9"/>
                <w:sz w:val="16"/>
                <w:szCs w:val="16"/>
              </w:rPr>
              <w:t>06</w:t>
            </w:r>
            <w:r w:rsidRPr="00E20D21">
              <w:rPr>
                <w:rFonts w:ascii="CAIXA Std Book" w:hAnsi="CAIXA Std Book"/>
                <w:b/>
                <w:color w:val="005CA9"/>
                <w:sz w:val="16"/>
                <w:szCs w:val="16"/>
              </w:rPr>
              <w:t>/2024</w:t>
            </w:r>
          </w:p>
        </w:tc>
        <w:tc>
          <w:tcPr>
            <w:tcW w:w="550" w:type="pct"/>
            <w:tcBorders>
              <w:top w:val="nil"/>
              <w:left w:val="nil"/>
              <w:bottom w:val="single" w:sz="4" w:space="0" w:color="F39200"/>
              <w:right w:val="nil"/>
            </w:tcBorders>
            <w:shd w:val="clear" w:color="auto" w:fill="auto"/>
            <w:vAlign w:val="center"/>
            <w:hideMark/>
          </w:tcPr>
          <w:p w14:paraId="2E4E3529"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Saldo devedor 31/12/2023</w:t>
            </w:r>
          </w:p>
        </w:tc>
      </w:tr>
      <w:tr w:rsidR="003832D9" w:rsidRPr="00E20D21" w14:paraId="19DB16B4" w14:textId="77777777">
        <w:trPr>
          <w:trHeight w:val="283"/>
        </w:trPr>
        <w:tc>
          <w:tcPr>
            <w:tcW w:w="5000" w:type="pct"/>
            <w:gridSpan w:val="9"/>
            <w:tcBorders>
              <w:top w:val="nil"/>
              <w:left w:val="nil"/>
              <w:bottom w:val="single" w:sz="4" w:space="0" w:color="F39200"/>
              <w:right w:val="nil"/>
            </w:tcBorders>
            <w:shd w:val="clear" w:color="auto" w:fill="auto"/>
            <w:vAlign w:val="center"/>
          </w:tcPr>
          <w:p w14:paraId="658E2981"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Nível I – Complementar (1)</w:t>
            </w:r>
          </w:p>
        </w:tc>
      </w:tr>
      <w:tr w:rsidR="003832D9" w:rsidRPr="00E20D21" w14:paraId="52AF74D4" w14:textId="77777777" w:rsidTr="00D0541D">
        <w:trPr>
          <w:trHeight w:val="283"/>
        </w:trPr>
        <w:tc>
          <w:tcPr>
            <w:tcW w:w="5000" w:type="pct"/>
            <w:gridSpan w:val="9"/>
            <w:tcBorders>
              <w:top w:val="nil"/>
              <w:left w:val="nil"/>
              <w:bottom w:val="single" w:sz="4" w:space="0" w:color="F79646"/>
              <w:right w:val="nil"/>
            </w:tcBorders>
            <w:shd w:val="clear" w:color="auto" w:fill="auto"/>
            <w:vAlign w:val="center"/>
          </w:tcPr>
          <w:p w14:paraId="0502ACE5" w14:textId="77777777" w:rsidR="003832D9" w:rsidRPr="00E20D21" w:rsidRDefault="003832D9">
            <w:pPr>
              <w:jc w:val="center"/>
              <w:rPr>
                <w:rFonts w:ascii="CAIXA Std Book" w:hAnsi="CAIXA Std Book"/>
                <w:color w:val="005CA9"/>
                <w:sz w:val="16"/>
                <w:szCs w:val="16"/>
              </w:rPr>
            </w:pPr>
            <w:r w:rsidRPr="00E20D21">
              <w:rPr>
                <w:rFonts w:ascii="CAIXA Std Book" w:hAnsi="CAIXA Std Book"/>
                <w:color w:val="005CA9"/>
                <w:sz w:val="16"/>
                <w:szCs w:val="16"/>
              </w:rPr>
              <w:t>Letras financeiras elegíveis</w:t>
            </w:r>
          </w:p>
        </w:tc>
      </w:tr>
      <w:tr w:rsidR="003812F4" w:rsidRPr="00E20D21" w14:paraId="402B2D19" w14:textId="77777777" w:rsidTr="00CB6DDE">
        <w:trPr>
          <w:trHeight w:val="283"/>
        </w:trPr>
        <w:tc>
          <w:tcPr>
            <w:tcW w:w="531" w:type="pct"/>
            <w:tcBorders>
              <w:top w:val="nil"/>
              <w:left w:val="nil"/>
              <w:bottom w:val="nil"/>
              <w:right w:val="nil"/>
            </w:tcBorders>
            <w:shd w:val="clear" w:color="auto" w:fill="auto"/>
            <w:vAlign w:val="center"/>
          </w:tcPr>
          <w:p w14:paraId="3021C63A" w14:textId="0DB4332E" w:rsidR="00A17D35" w:rsidRPr="00E20D21" w:rsidRDefault="00A17D35" w:rsidP="00A17D35">
            <w:pPr>
              <w:jc w:val="center"/>
              <w:rPr>
                <w:rFonts w:ascii="CAIXA Std Book" w:hAnsi="CAIXA Std Book"/>
                <w:b/>
                <w:color w:val="005CA9"/>
                <w:sz w:val="16"/>
                <w:szCs w:val="16"/>
              </w:rPr>
            </w:pPr>
            <w:r w:rsidRPr="00E20D21">
              <w:rPr>
                <w:rFonts w:ascii="CAIXA Std Book" w:hAnsi="CAIXA Std Book" w:cs="Arial"/>
                <w:color w:val="005CA9"/>
                <w:sz w:val="16"/>
                <w:szCs w:val="16"/>
              </w:rPr>
              <w:t>Perpétuo</w:t>
            </w:r>
          </w:p>
        </w:tc>
        <w:tc>
          <w:tcPr>
            <w:tcW w:w="842" w:type="pct"/>
            <w:tcBorders>
              <w:top w:val="nil"/>
              <w:left w:val="nil"/>
              <w:bottom w:val="nil"/>
              <w:right w:val="nil"/>
            </w:tcBorders>
            <w:shd w:val="clear" w:color="auto" w:fill="auto"/>
            <w:vAlign w:val="center"/>
          </w:tcPr>
          <w:p w14:paraId="1ABE776A" w14:textId="343596FB" w:rsidR="00A17D35" w:rsidRPr="00E20D21" w:rsidRDefault="00A17D35" w:rsidP="00A17D35">
            <w:pPr>
              <w:ind w:hanging="34"/>
              <w:jc w:val="center"/>
              <w:rPr>
                <w:rFonts w:ascii="CAIXA Std Book" w:hAnsi="CAIXA Std Book"/>
                <w:b/>
                <w:color w:val="005CA9"/>
                <w:sz w:val="16"/>
                <w:szCs w:val="16"/>
              </w:rPr>
            </w:pPr>
            <w:r w:rsidRPr="00E20D21">
              <w:rPr>
                <w:rFonts w:ascii="CAIXA Std Book" w:hAnsi="CAIXA Std Book" w:cs="Arial"/>
                <w:color w:val="005CA9"/>
                <w:sz w:val="16"/>
                <w:szCs w:val="16"/>
              </w:rPr>
              <w:t>114 % Selic</w:t>
            </w:r>
          </w:p>
        </w:tc>
        <w:tc>
          <w:tcPr>
            <w:tcW w:w="437" w:type="pct"/>
            <w:tcBorders>
              <w:top w:val="nil"/>
              <w:left w:val="nil"/>
              <w:bottom w:val="nil"/>
              <w:right w:val="nil"/>
            </w:tcBorders>
            <w:shd w:val="clear" w:color="auto" w:fill="auto"/>
            <w:vAlign w:val="center"/>
          </w:tcPr>
          <w:p w14:paraId="17F7D6E8" w14:textId="6E87FF42" w:rsidR="00A17D35" w:rsidRPr="00E20D21" w:rsidRDefault="00A17D35" w:rsidP="00A17D35">
            <w:pPr>
              <w:jc w:val="center"/>
              <w:rPr>
                <w:rFonts w:ascii="CAIXA Std Book" w:hAnsi="CAIXA Std Book"/>
                <w:b/>
                <w:color w:val="005CA9"/>
                <w:sz w:val="16"/>
                <w:szCs w:val="16"/>
              </w:rPr>
            </w:pPr>
            <w:r w:rsidRPr="00E20D21">
              <w:rPr>
                <w:rFonts w:ascii="CAIXA Std Book" w:hAnsi="CAIXA Std Book" w:cs="Arial"/>
                <w:color w:val="005CA9"/>
                <w:sz w:val="16"/>
                <w:szCs w:val="16"/>
              </w:rPr>
              <w:t>set/19</w:t>
            </w:r>
          </w:p>
        </w:tc>
        <w:tc>
          <w:tcPr>
            <w:tcW w:w="525" w:type="pct"/>
            <w:tcBorders>
              <w:top w:val="single" w:sz="4" w:space="0" w:color="F79646"/>
              <w:left w:val="nil"/>
              <w:bottom w:val="nil"/>
              <w:right w:val="nil"/>
            </w:tcBorders>
            <w:shd w:val="clear" w:color="auto" w:fill="auto"/>
            <w:vAlign w:val="center"/>
          </w:tcPr>
          <w:p w14:paraId="19FC3B01" w14:textId="67037D32"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1.113.000</w:t>
            </w:r>
          </w:p>
        </w:tc>
        <w:tc>
          <w:tcPr>
            <w:tcW w:w="582" w:type="pct"/>
            <w:tcBorders>
              <w:top w:val="single" w:sz="4" w:space="0" w:color="F79646"/>
              <w:left w:val="nil"/>
              <w:bottom w:val="nil"/>
              <w:right w:val="nil"/>
            </w:tcBorders>
            <w:shd w:val="clear" w:color="auto" w:fill="auto"/>
            <w:vAlign w:val="center"/>
          </w:tcPr>
          <w:p w14:paraId="7C705C18" w14:textId="30A09CDA"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81.269</w:t>
            </w:r>
          </w:p>
        </w:tc>
        <w:tc>
          <w:tcPr>
            <w:tcW w:w="566" w:type="pct"/>
            <w:tcBorders>
              <w:top w:val="single" w:sz="4" w:space="0" w:color="F79646"/>
              <w:left w:val="nil"/>
              <w:right w:val="nil"/>
            </w:tcBorders>
            <w:shd w:val="clear" w:color="auto" w:fill="auto"/>
            <w:vAlign w:val="center"/>
          </w:tcPr>
          <w:p w14:paraId="7D89F08A" w14:textId="77777777" w:rsidR="00A17D35" w:rsidRPr="00E20D21" w:rsidRDefault="00A17D35" w:rsidP="00A17D35">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416" w:type="pct"/>
            <w:tcBorders>
              <w:top w:val="single" w:sz="4" w:space="0" w:color="F79646"/>
              <w:left w:val="nil"/>
              <w:right w:val="nil"/>
            </w:tcBorders>
            <w:vAlign w:val="center"/>
          </w:tcPr>
          <w:p w14:paraId="2FDDC6A9" w14:textId="77777777" w:rsidR="00A17D35" w:rsidRPr="00E20D21" w:rsidRDefault="00A17D35" w:rsidP="00A17D35">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single" w:sz="4" w:space="0" w:color="F79646"/>
              <w:left w:val="nil"/>
              <w:bottom w:val="nil"/>
              <w:right w:val="nil"/>
            </w:tcBorders>
            <w:shd w:val="clear" w:color="auto" w:fill="auto"/>
            <w:vAlign w:val="center"/>
          </w:tcPr>
          <w:p w14:paraId="6A1B03DB" w14:textId="46E6DEFF"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1.194.269</w:t>
            </w:r>
          </w:p>
        </w:tc>
        <w:tc>
          <w:tcPr>
            <w:tcW w:w="550" w:type="pct"/>
            <w:tcBorders>
              <w:top w:val="single" w:sz="4" w:space="0" w:color="F79646"/>
              <w:left w:val="nil"/>
              <w:bottom w:val="nil"/>
              <w:right w:val="nil"/>
            </w:tcBorders>
            <w:shd w:val="clear" w:color="auto" w:fill="auto"/>
            <w:vAlign w:val="center"/>
          </w:tcPr>
          <w:p w14:paraId="296FC6D2" w14:textId="4DC6740E"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1.126.950</w:t>
            </w:r>
          </w:p>
        </w:tc>
      </w:tr>
      <w:tr w:rsidR="003812F4" w:rsidRPr="00E20D21" w14:paraId="645EC122" w14:textId="77777777" w:rsidTr="00CB6DDE">
        <w:trPr>
          <w:trHeight w:val="283"/>
        </w:trPr>
        <w:tc>
          <w:tcPr>
            <w:tcW w:w="531" w:type="pct"/>
            <w:tcBorders>
              <w:top w:val="nil"/>
              <w:left w:val="nil"/>
              <w:bottom w:val="nil"/>
              <w:right w:val="nil"/>
            </w:tcBorders>
            <w:shd w:val="clear" w:color="auto" w:fill="auto"/>
            <w:vAlign w:val="center"/>
          </w:tcPr>
          <w:p w14:paraId="536DE482" w14:textId="48A8A87F" w:rsidR="00A17D35" w:rsidRPr="00E20D21" w:rsidRDefault="00A17D35" w:rsidP="00A17D35">
            <w:pPr>
              <w:jc w:val="center"/>
              <w:rPr>
                <w:rFonts w:ascii="CAIXA Std Book" w:hAnsi="CAIXA Std Book"/>
                <w:b/>
                <w:color w:val="005CA9"/>
                <w:sz w:val="16"/>
                <w:szCs w:val="16"/>
              </w:rPr>
            </w:pPr>
            <w:r w:rsidRPr="00E20D21">
              <w:rPr>
                <w:rFonts w:ascii="CAIXA Std Book" w:hAnsi="CAIXA Std Book" w:cs="Arial"/>
                <w:color w:val="005CA9"/>
                <w:sz w:val="16"/>
                <w:szCs w:val="16"/>
              </w:rPr>
              <w:t>Perpétuo</w:t>
            </w:r>
          </w:p>
        </w:tc>
        <w:tc>
          <w:tcPr>
            <w:tcW w:w="842" w:type="pct"/>
            <w:tcBorders>
              <w:top w:val="nil"/>
              <w:left w:val="nil"/>
              <w:bottom w:val="nil"/>
              <w:right w:val="nil"/>
            </w:tcBorders>
            <w:shd w:val="clear" w:color="auto" w:fill="auto"/>
            <w:vAlign w:val="center"/>
          </w:tcPr>
          <w:p w14:paraId="39E4338E" w14:textId="190B7438" w:rsidR="00A17D35" w:rsidRPr="00E20D21" w:rsidRDefault="00A17D35" w:rsidP="00A17D35">
            <w:pPr>
              <w:jc w:val="center"/>
              <w:rPr>
                <w:rFonts w:ascii="CAIXA Std Book" w:hAnsi="CAIXA Std Book"/>
                <w:b/>
                <w:color w:val="005CA9"/>
                <w:sz w:val="16"/>
                <w:szCs w:val="16"/>
              </w:rPr>
            </w:pPr>
            <w:r w:rsidRPr="00E20D21">
              <w:rPr>
                <w:rFonts w:ascii="CAIXA Std Book" w:hAnsi="CAIXA Std Book" w:cs="Arial"/>
                <w:color w:val="005CA9"/>
                <w:sz w:val="16"/>
                <w:szCs w:val="16"/>
              </w:rPr>
              <w:t>114 % Selic</w:t>
            </w:r>
          </w:p>
        </w:tc>
        <w:tc>
          <w:tcPr>
            <w:tcW w:w="437" w:type="pct"/>
            <w:tcBorders>
              <w:top w:val="nil"/>
              <w:left w:val="nil"/>
              <w:bottom w:val="nil"/>
              <w:right w:val="nil"/>
            </w:tcBorders>
            <w:shd w:val="clear" w:color="auto" w:fill="auto"/>
            <w:vAlign w:val="center"/>
          </w:tcPr>
          <w:p w14:paraId="029AB0BF" w14:textId="412ED2F0" w:rsidR="00A17D35" w:rsidRPr="00E20D21" w:rsidRDefault="00A17D35" w:rsidP="00A17D35">
            <w:pPr>
              <w:jc w:val="center"/>
              <w:rPr>
                <w:rFonts w:ascii="CAIXA Std Book" w:hAnsi="CAIXA Std Book"/>
                <w:b/>
                <w:color w:val="005CA9"/>
                <w:sz w:val="16"/>
                <w:szCs w:val="16"/>
              </w:rPr>
            </w:pPr>
            <w:r w:rsidRPr="00E20D21">
              <w:rPr>
                <w:rFonts w:ascii="CAIXA Std Book" w:hAnsi="CAIXA Std Book" w:cs="Arial"/>
                <w:color w:val="005CA9"/>
                <w:sz w:val="16"/>
                <w:szCs w:val="16"/>
              </w:rPr>
              <w:t>out/19</w:t>
            </w:r>
          </w:p>
        </w:tc>
        <w:tc>
          <w:tcPr>
            <w:tcW w:w="525" w:type="pct"/>
            <w:tcBorders>
              <w:top w:val="nil"/>
              <w:left w:val="nil"/>
              <w:bottom w:val="nil"/>
              <w:right w:val="nil"/>
            </w:tcBorders>
            <w:shd w:val="clear" w:color="auto" w:fill="auto"/>
            <w:vAlign w:val="center"/>
          </w:tcPr>
          <w:p w14:paraId="037B40EB" w14:textId="61095E89"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4200</w:t>
            </w:r>
          </w:p>
        </w:tc>
        <w:tc>
          <w:tcPr>
            <w:tcW w:w="582" w:type="pct"/>
            <w:tcBorders>
              <w:top w:val="nil"/>
              <w:left w:val="nil"/>
              <w:bottom w:val="nil"/>
              <w:right w:val="nil"/>
            </w:tcBorders>
            <w:shd w:val="clear" w:color="auto" w:fill="auto"/>
            <w:vAlign w:val="center"/>
          </w:tcPr>
          <w:p w14:paraId="2A762D53" w14:textId="2A1A3E70"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296</w:t>
            </w:r>
          </w:p>
        </w:tc>
        <w:tc>
          <w:tcPr>
            <w:tcW w:w="566" w:type="pct"/>
            <w:tcBorders>
              <w:top w:val="nil"/>
              <w:left w:val="nil"/>
              <w:right w:val="nil"/>
            </w:tcBorders>
            <w:shd w:val="clear" w:color="auto" w:fill="auto"/>
            <w:vAlign w:val="center"/>
          </w:tcPr>
          <w:p w14:paraId="12B58B3C" w14:textId="77777777" w:rsidR="00A17D35" w:rsidRPr="00E20D21" w:rsidRDefault="00A17D35" w:rsidP="00A17D35">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416" w:type="pct"/>
            <w:tcBorders>
              <w:top w:val="nil"/>
              <w:left w:val="nil"/>
              <w:right w:val="nil"/>
            </w:tcBorders>
            <w:vAlign w:val="center"/>
          </w:tcPr>
          <w:p w14:paraId="59AB28F7" w14:textId="77777777" w:rsidR="00A17D35" w:rsidRPr="00E20D21" w:rsidRDefault="00A17D35" w:rsidP="00A17D35">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nil"/>
              <w:left w:val="nil"/>
              <w:bottom w:val="nil"/>
              <w:right w:val="nil"/>
            </w:tcBorders>
            <w:shd w:val="clear" w:color="auto" w:fill="auto"/>
            <w:vAlign w:val="center"/>
          </w:tcPr>
          <w:p w14:paraId="164F7BB7" w14:textId="401D850F"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4</w:t>
            </w:r>
            <w:r w:rsidR="00E97FC6" w:rsidRPr="00E20D21">
              <w:rPr>
                <w:rFonts w:ascii="CAIXA Std Book" w:hAnsi="CAIXA Std Book" w:cs="Arial"/>
                <w:color w:val="005CA9"/>
                <w:sz w:val="16"/>
                <w:szCs w:val="16"/>
              </w:rPr>
              <w:t>.</w:t>
            </w:r>
            <w:r w:rsidRPr="00E20D21">
              <w:rPr>
                <w:rFonts w:ascii="CAIXA Std Book" w:hAnsi="CAIXA Std Book" w:cs="Arial"/>
                <w:color w:val="005CA9"/>
                <w:sz w:val="16"/>
                <w:szCs w:val="16"/>
              </w:rPr>
              <w:t>496</w:t>
            </w:r>
          </w:p>
        </w:tc>
        <w:tc>
          <w:tcPr>
            <w:tcW w:w="550" w:type="pct"/>
            <w:tcBorders>
              <w:top w:val="nil"/>
              <w:left w:val="nil"/>
              <w:bottom w:val="nil"/>
              <w:right w:val="nil"/>
            </w:tcBorders>
            <w:shd w:val="clear" w:color="auto" w:fill="auto"/>
            <w:vAlign w:val="center"/>
          </w:tcPr>
          <w:p w14:paraId="0249CD89" w14:textId="30E4C541"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4.243</w:t>
            </w:r>
          </w:p>
        </w:tc>
      </w:tr>
      <w:tr w:rsidR="003812F4" w:rsidRPr="00E20D21" w14:paraId="12CF8E3E" w14:textId="77777777" w:rsidTr="00CB6DDE">
        <w:trPr>
          <w:trHeight w:val="283"/>
        </w:trPr>
        <w:tc>
          <w:tcPr>
            <w:tcW w:w="531" w:type="pct"/>
            <w:tcBorders>
              <w:top w:val="nil"/>
              <w:left w:val="nil"/>
              <w:bottom w:val="single" w:sz="4" w:space="0" w:color="F79646"/>
              <w:right w:val="nil"/>
            </w:tcBorders>
            <w:shd w:val="clear" w:color="auto" w:fill="auto"/>
            <w:vAlign w:val="center"/>
          </w:tcPr>
          <w:p w14:paraId="22241052" w14:textId="29F29251" w:rsidR="00A17D35" w:rsidRPr="00E20D21" w:rsidRDefault="00A17D35" w:rsidP="00A17D35">
            <w:pPr>
              <w:jc w:val="center"/>
              <w:rPr>
                <w:rFonts w:ascii="CAIXA Std Book" w:hAnsi="CAIXA Std Book"/>
                <w:b/>
                <w:color w:val="005CA9"/>
                <w:sz w:val="16"/>
                <w:szCs w:val="16"/>
              </w:rPr>
            </w:pPr>
            <w:r w:rsidRPr="00E20D21">
              <w:rPr>
                <w:rFonts w:ascii="CAIXA Std Book" w:hAnsi="CAIXA Std Book" w:cs="Arial"/>
                <w:color w:val="005CA9"/>
                <w:sz w:val="16"/>
                <w:szCs w:val="16"/>
              </w:rPr>
              <w:t>Perpétuo</w:t>
            </w:r>
          </w:p>
        </w:tc>
        <w:tc>
          <w:tcPr>
            <w:tcW w:w="842" w:type="pct"/>
            <w:tcBorders>
              <w:top w:val="nil"/>
              <w:left w:val="nil"/>
              <w:bottom w:val="single" w:sz="4" w:space="0" w:color="F79646"/>
              <w:right w:val="nil"/>
            </w:tcBorders>
            <w:shd w:val="clear" w:color="auto" w:fill="auto"/>
            <w:vAlign w:val="center"/>
          </w:tcPr>
          <w:p w14:paraId="5C92D189" w14:textId="19EC64EA" w:rsidR="00A17D35" w:rsidRPr="00E20D21" w:rsidRDefault="00A17D35" w:rsidP="00A17D35">
            <w:pPr>
              <w:jc w:val="center"/>
              <w:rPr>
                <w:rFonts w:ascii="CAIXA Std Book" w:hAnsi="CAIXA Std Book"/>
                <w:b/>
                <w:color w:val="005CA9"/>
                <w:sz w:val="16"/>
                <w:szCs w:val="16"/>
              </w:rPr>
            </w:pPr>
            <w:r w:rsidRPr="00E20D21">
              <w:rPr>
                <w:rFonts w:ascii="CAIXA Std Book" w:hAnsi="CAIXA Std Book" w:cs="Arial"/>
                <w:color w:val="005CA9"/>
                <w:sz w:val="16"/>
                <w:szCs w:val="16"/>
              </w:rPr>
              <w:t>114 % Selic</w:t>
            </w:r>
          </w:p>
        </w:tc>
        <w:tc>
          <w:tcPr>
            <w:tcW w:w="437" w:type="pct"/>
            <w:tcBorders>
              <w:top w:val="nil"/>
              <w:left w:val="nil"/>
              <w:bottom w:val="single" w:sz="4" w:space="0" w:color="F79646"/>
              <w:right w:val="nil"/>
            </w:tcBorders>
            <w:shd w:val="clear" w:color="auto" w:fill="auto"/>
            <w:vAlign w:val="center"/>
          </w:tcPr>
          <w:p w14:paraId="077D5402" w14:textId="12197B07" w:rsidR="00A17D35" w:rsidRPr="00E20D21" w:rsidRDefault="00A17D35" w:rsidP="00A17D35">
            <w:pPr>
              <w:jc w:val="center"/>
              <w:rPr>
                <w:rFonts w:ascii="CAIXA Std Book" w:hAnsi="CAIXA Std Book"/>
                <w:b/>
                <w:color w:val="005CA9"/>
                <w:sz w:val="16"/>
                <w:szCs w:val="16"/>
              </w:rPr>
            </w:pPr>
            <w:proofErr w:type="spellStart"/>
            <w:r w:rsidRPr="00E20D21">
              <w:rPr>
                <w:rFonts w:ascii="CAIXA Std Book" w:hAnsi="CAIXA Std Book" w:cs="Arial"/>
                <w:color w:val="005CA9"/>
                <w:sz w:val="16"/>
                <w:szCs w:val="16"/>
              </w:rPr>
              <w:t>nov</w:t>
            </w:r>
            <w:proofErr w:type="spellEnd"/>
            <w:r w:rsidRPr="00E20D21">
              <w:rPr>
                <w:rFonts w:ascii="CAIXA Std Book" w:hAnsi="CAIXA Std Book" w:cs="Arial"/>
                <w:color w:val="005CA9"/>
                <w:sz w:val="16"/>
                <w:szCs w:val="16"/>
              </w:rPr>
              <w:t>/19</w:t>
            </w:r>
          </w:p>
        </w:tc>
        <w:tc>
          <w:tcPr>
            <w:tcW w:w="525" w:type="pct"/>
            <w:tcBorders>
              <w:top w:val="nil"/>
              <w:left w:val="nil"/>
              <w:bottom w:val="single" w:sz="4" w:space="0" w:color="F79646"/>
              <w:right w:val="nil"/>
            </w:tcBorders>
            <w:shd w:val="clear" w:color="auto" w:fill="auto"/>
            <w:vAlign w:val="center"/>
          </w:tcPr>
          <w:p w14:paraId="6E0C7F08" w14:textId="0760A21D"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601.500</w:t>
            </w:r>
          </w:p>
        </w:tc>
        <w:tc>
          <w:tcPr>
            <w:tcW w:w="582" w:type="pct"/>
            <w:tcBorders>
              <w:top w:val="nil"/>
              <w:left w:val="nil"/>
              <w:bottom w:val="single" w:sz="4" w:space="0" w:color="F79646"/>
              <w:right w:val="nil"/>
            </w:tcBorders>
            <w:shd w:val="clear" w:color="auto" w:fill="auto"/>
            <w:vAlign w:val="center"/>
          </w:tcPr>
          <w:p w14:paraId="7072397C" w14:textId="76BC8710"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42.448</w:t>
            </w:r>
          </w:p>
        </w:tc>
        <w:tc>
          <w:tcPr>
            <w:tcW w:w="566" w:type="pct"/>
            <w:tcBorders>
              <w:top w:val="nil"/>
              <w:left w:val="nil"/>
              <w:bottom w:val="single" w:sz="4" w:space="0" w:color="F79646"/>
              <w:right w:val="nil"/>
            </w:tcBorders>
            <w:shd w:val="clear" w:color="auto" w:fill="auto"/>
            <w:vAlign w:val="center"/>
          </w:tcPr>
          <w:p w14:paraId="69143352" w14:textId="77777777" w:rsidR="00A17D35" w:rsidRPr="00E20D21" w:rsidRDefault="00A17D35" w:rsidP="00A17D35">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416" w:type="pct"/>
            <w:tcBorders>
              <w:top w:val="nil"/>
              <w:left w:val="nil"/>
              <w:bottom w:val="single" w:sz="4" w:space="0" w:color="F79646"/>
              <w:right w:val="nil"/>
            </w:tcBorders>
            <w:vAlign w:val="center"/>
          </w:tcPr>
          <w:p w14:paraId="4701B292" w14:textId="77777777" w:rsidR="00A17D35" w:rsidRPr="00E20D21" w:rsidRDefault="00A17D35" w:rsidP="00A17D35">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nil"/>
              <w:left w:val="nil"/>
              <w:bottom w:val="single" w:sz="4" w:space="0" w:color="F79646"/>
              <w:right w:val="nil"/>
            </w:tcBorders>
            <w:shd w:val="clear" w:color="auto" w:fill="auto"/>
            <w:vAlign w:val="center"/>
          </w:tcPr>
          <w:p w14:paraId="272C6674" w14:textId="0E6E371B"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643.948</w:t>
            </w:r>
          </w:p>
        </w:tc>
        <w:tc>
          <w:tcPr>
            <w:tcW w:w="550" w:type="pct"/>
            <w:tcBorders>
              <w:top w:val="nil"/>
              <w:left w:val="nil"/>
              <w:bottom w:val="single" w:sz="4" w:space="0" w:color="F79646"/>
              <w:right w:val="nil"/>
            </w:tcBorders>
            <w:shd w:val="clear" w:color="auto" w:fill="auto"/>
            <w:vAlign w:val="center"/>
          </w:tcPr>
          <w:p w14:paraId="6D633AB1" w14:textId="26AE8B15" w:rsidR="00A17D35" w:rsidRPr="00E20D21" w:rsidRDefault="00A17D35" w:rsidP="00A17D35">
            <w:pPr>
              <w:jc w:val="right"/>
              <w:rPr>
                <w:rFonts w:ascii="CAIXA Std Book" w:hAnsi="CAIXA Std Book"/>
                <w:color w:val="005CA9"/>
                <w:sz w:val="16"/>
                <w:szCs w:val="16"/>
              </w:rPr>
            </w:pPr>
            <w:r w:rsidRPr="00E20D21">
              <w:rPr>
                <w:rFonts w:ascii="CAIXA Std Book" w:hAnsi="CAIXA Std Book" w:cs="Arial"/>
                <w:color w:val="005CA9"/>
                <w:sz w:val="16"/>
                <w:szCs w:val="16"/>
              </w:rPr>
              <w:t>607.650</w:t>
            </w:r>
          </w:p>
        </w:tc>
      </w:tr>
      <w:tr w:rsidR="003832D9" w:rsidRPr="00E20D21" w14:paraId="28009BE2" w14:textId="77777777" w:rsidTr="00D0541D">
        <w:trPr>
          <w:trHeight w:val="283"/>
        </w:trPr>
        <w:tc>
          <w:tcPr>
            <w:tcW w:w="5000" w:type="pct"/>
            <w:gridSpan w:val="9"/>
            <w:tcBorders>
              <w:top w:val="single" w:sz="4" w:space="0" w:color="F79646"/>
              <w:left w:val="nil"/>
              <w:bottom w:val="single" w:sz="4" w:space="0" w:color="F39200"/>
              <w:right w:val="nil"/>
            </w:tcBorders>
            <w:shd w:val="clear" w:color="auto" w:fill="auto"/>
            <w:vAlign w:val="center"/>
          </w:tcPr>
          <w:p w14:paraId="3F909067" w14:textId="635B947B"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Nível II</w:t>
            </w:r>
            <w:r w:rsidR="008E03DC" w:rsidRPr="00E20D21">
              <w:rPr>
                <w:rFonts w:ascii="CAIXA Std Book" w:hAnsi="CAIXA Std Book"/>
                <w:b/>
                <w:color w:val="005CA9"/>
                <w:sz w:val="16"/>
                <w:szCs w:val="16"/>
              </w:rPr>
              <w:t xml:space="preserve"> (1)</w:t>
            </w:r>
          </w:p>
        </w:tc>
      </w:tr>
      <w:tr w:rsidR="003832D9" w:rsidRPr="00E20D21" w14:paraId="655115DE" w14:textId="77777777">
        <w:trPr>
          <w:trHeight w:val="283"/>
        </w:trPr>
        <w:tc>
          <w:tcPr>
            <w:tcW w:w="5000" w:type="pct"/>
            <w:gridSpan w:val="9"/>
            <w:tcBorders>
              <w:top w:val="single" w:sz="4" w:space="0" w:color="F39200"/>
              <w:left w:val="nil"/>
              <w:bottom w:val="single" w:sz="4" w:space="0" w:color="F39200"/>
              <w:right w:val="nil"/>
            </w:tcBorders>
            <w:vAlign w:val="center"/>
          </w:tcPr>
          <w:p w14:paraId="3A68E61F" w14:textId="77777777" w:rsidR="003832D9" w:rsidRPr="00E20D21" w:rsidRDefault="003832D9">
            <w:pPr>
              <w:jc w:val="center"/>
              <w:rPr>
                <w:rFonts w:ascii="CAIXA Std Book" w:hAnsi="CAIXA Std Book"/>
                <w:color w:val="005CA9"/>
                <w:sz w:val="16"/>
                <w:szCs w:val="16"/>
              </w:rPr>
            </w:pPr>
            <w:r w:rsidRPr="00E20D21">
              <w:rPr>
                <w:rFonts w:ascii="CAIXA Std Book" w:hAnsi="CAIXA Std Book"/>
                <w:color w:val="005CA9"/>
                <w:sz w:val="16"/>
                <w:szCs w:val="16"/>
              </w:rPr>
              <w:t>Instrumento de dívida subordinada – FGTS</w:t>
            </w:r>
          </w:p>
        </w:tc>
      </w:tr>
      <w:tr w:rsidR="003812F4" w:rsidRPr="00E20D21" w14:paraId="38586024" w14:textId="77777777" w:rsidTr="00CB6DDE">
        <w:trPr>
          <w:trHeight w:val="283"/>
        </w:trPr>
        <w:tc>
          <w:tcPr>
            <w:tcW w:w="531" w:type="pct"/>
            <w:tcBorders>
              <w:top w:val="nil"/>
              <w:left w:val="nil"/>
              <w:bottom w:val="nil"/>
              <w:right w:val="nil"/>
            </w:tcBorders>
            <w:shd w:val="clear" w:color="auto" w:fill="auto"/>
            <w:vAlign w:val="center"/>
          </w:tcPr>
          <w:p w14:paraId="72C0C0FC" w14:textId="39FC1741" w:rsidR="003812F4" w:rsidRPr="00E20D21" w:rsidRDefault="003812F4" w:rsidP="003812F4">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fev</w:t>
            </w:r>
            <w:proofErr w:type="spellEnd"/>
            <w:r w:rsidRPr="00E20D21">
              <w:rPr>
                <w:rFonts w:ascii="CAIXA Std Book" w:hAnsi="CAIXA Std Book" w:cs="Arial"/>
                <w:color w:val="005CA9"/>
                <w:sz w:val="16"/>
                <w:szCs w:val="16"/>
              </w:rPr>
              <w:t>/38</w:t>
            </w:r>
          </w:p>
        </w:tc>
        <w:tc>
          <w:tcPr>
            <w:tcW w:w="842" w:type="pct"/>
            <w:tcBorders>
              <w:top w:val="nil"/>
              <w:left w:val="nil"/>
              <w:bottom w:val="nil"/>
              <w:right w:val="nil"/>
            </w:tcBorders>
            <w:shd w:val="clear" w:color="auto" w:fill="auto"/>
            <w:vAlign w:val="center"/>
          </w:tcPr>
          <w:p w14:paraId="67B86D7E" w14:textId="19FC59EF"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4,80%</w:t>
            </w:r>
          </w:p>
        </w:tc>
        <w:tc>
          <w:tcPr>
            <w:tcW w:w="437" w:type="pct"/>
            <w:tcBorders>
              <w:top w:val="nil"/>
              <w:left w:val="nil"/>
              <w:bottom w:val="nil"/>
              <w:right w:val="nil"/>
            </w:tcBorders>
            <w:shd w:val="clear" w:color="auto" w:fill="auto"/>
            <w:noWrap/>
            <w:vAlign w:val="center"/>
          </w:tcPr>
          <w:p w14:paraId="294D74FC" w14:textId="4F8DFDF3"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dez/14</w:t>
            </w:r>
          </w:p>
        </w:tc>
        <w:tc>
          <w:tcPr>
            <w:tcW w:w="525" w:type="pct"/>
            <w:tcBorders>
              <w:top w:val="nil"/>
              <w:left w:val="nil"/>
              <w:bottom w:val="nil"/>
              <w:right w:val="nil"/>
            </w:tcBorders>
            <w:shd w:val="clear" w:color="auto" w:fill="auto"/>
            <w:noWrap/>
            <w:vAlign w:val="center"/>
          </w:tcPr>
          <w:p w14:paraId="1B8DA4D7" w14:textId="77777777"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4.000.000</w:t>
            </w:r>
          </w:p>
        </w:tc>
        <w:tc>
          <w:tcPr>
            <w:tcW w:w="582" w:type="pct"/>
            <w:tcBorders>
              <w:top w:val="nil"/>
              <w:left w:val="nil"/>
              <w:bottom w:val="nil"/>
              <w:right w:val="nil"/>
            </w:tcBorders>
            <w:shd w:val="clear" w:color="auto" w:fill="auto"/>
            <w:noWrap/>
            <w:vAlign w:val="center"/>
          </w:tcPr>
          <w:p w14:paraId="23F995E9" w14:textId="0208A2BF" w:rsidR="003812F4" w:rsidRPr="00E20D21" w:rsidRDefault="003812F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2.832.007</w:t>
            </w:r>
          </w:p>
        </w:tc>
        <w:tc>
          <w:tcPr>
            <w:tcW w:w="566" w:type="pct"/>
            <w:tcBorders>
              <w:top w:val="nil"/>
              <w:left w:val="nil"/>
              <w:bottom w:val="nil"/>
              <w:right w:val="nil"/>
            </w:tcBorders>
            <w:shd w:val="clear" w:color="auto" w:fill="auto"/>
            <w:noWrap/>
            <w:vAlign w:val="center"/>
          </w:tcPr>
          <w:p w14:paraId="38F8E243" w14:textId="77777777" w:rsidR="003812F4" w:rsidRPr="00E20D21" w:rsidRDefault="003812F4" w:rsidP="003812F4">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nil"/>
              <w:right w:val="nil"/>
            </w:tcBorders>
            <w:vAlign w:val="center"/>
          </w:tcPr>
          <w:p w14:paraId="3F0CFD48" w14:textId="77777777" w:rsidR="003812F4" w:rsidRPr="00E20D21" w:rsidRDefault="003812F4" w:rsidP="003812F4">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705D7DEF" w14:textId="7EFF8E39" w:rsidR="003812F4" w:rsidRPr="00E20D21" w:rsidRDefault="002D269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6.832.007</w:t>
            </w:r>
          </w:p>
        </w:tc>
        <w:tc>
          <w:tcPr>
            <w:tcW w:w="550" w:type="pct"/>
            <w:tcBorders>
              <w:top w:val="nil"/>
              <w:left w:val="nil"/>
              <w:bottom w:val="nil"/>
              <w:right w:val="nil"/>
            </w:tcBorders>
            <w:shd w:val="clear" w:color="auto" w:fill="auto"/>
            <w:vAlign w:val="center"/>
          </w:tcPr>
          <w:p w14:paraId="4DB51E4D" w14:textId="7ABBC837"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6.648.042</w:t>
            </w:r>
          </w:p>
        </w:tc>
      </w:tr>
      <w:tr w:rsidR="003812F4" w:rsidRPr="00E20D21" w14:paraId="6C2F9CFA" w14:textId="77777777" w:rsidTr="00CB6DDE">
        <w:trPr>
          <w:trHeight w:val="283"/>
        </w:trPr>
        <w:tc>
          <w:tcPr>
            <w:tcW w:w="531" w:type="pct"/>
            <w:tcBorders>
              <w:top w:val="nil"/>
              <w:left w:val="nil"/>
              <w:bottom w:val="nil"/>
              <w:right w:val="nil"/>
            </w:tcBorders>
            <w:shd w:val="clear" w:color="auto" w:fill="auto"/>
            <w:vAlign w:val="center"/>
          </w:tcPr>
          <w:p w14:paraId="316D1BB2" w14:textId="58A17D0D" w:rsidR="003812F4" w:rsidRPr="00E20D21" w:rsidRDefault="003812F4" w:rsidP="003812F4">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mai</w:t>
            </w:r>
            <w:proofErr w:type="spellEnd"/>
            <w:r w:rsidRPr="00E20D21">
              <w:rPr>
                <w:rFonts w:ascii="CAIXA Std Book" w:hAnsi="CAIXA Std Book" w:cs="Arial"/>
                <w:color w:val="005CA9"/>
                <w:sz w:val="16"/>
                <w:szCs w:val="16"/>
              </w:rPr>
              <w:t>/44</w:t>
            </w:r>
          </w:p>
        </w:tc>
        <w:tc>
          <w:tcPr>
            <w:tcW w:w="842" w:type="pct"/>
            <w:tcBorders>
              <w:top w:val="nil"/>
              <w:left w:val="nil"/>
              <w:bottom w:val="nil"/>
              <w:right w:val="nil"/>
            </w:tcBorders>
            <w:shd w:val="clear" w:color="auto" w:fill="auto"/>
            <w:vAlign w:val="center"/>
          </w:tcPr>
          <w:p w14:paraId="41CC549B" w14:textId="376569E3"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4,75%</w:t>
            </w:r>
          </w:p>
        </w:tc>
        <w:tc>
          <w:tcPr>
            <w:tcW w:w="437" w:type="pct"/>
            <w:tcBorders>
              <w:top w:val="nil"/>
              <w:left w:val="nil"/>
              <w:bottom w:val="nil"/>
              <w:right w:val="nil"/>
            </w:tcBorders>
            <w:shd w:val="clear" w:color="auto" w:fill="auto"/>
            <w:noWrap/>
            <w:vAlign w:val="center"/>
          </w:tcPr>
          <w:p w14:paraId="56D68916" w14:textId="232C450A"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set/16</w:t>
            </w:r>
          </w:p>
        </w:tc>
        <w:tc>
          <w:tcPr>
            <w:tcW w:w="525" w:type="pct"/>
            <w:tcBorders>
              <w:top w:val="nil"/>
              <w:left w:val="nil"/>
              <w:bottom w:val="nil"/>
              <w:right w:val="nil"/>
            </w:tcBorders>
            <w:shd w:val="clear" w:color="auto" w:fill="auto"/>
            <w:noWrap/>
            <w:vAlign w:val="center"/>
          </w:tcPr>
          <w:p w14:paraId="7F55F578" w14:textId="77777777"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4.000.000</w:t>
            </w:r>
          </w:p>
        </w:tc>
        <w:tc>
          <w:tcPr>
            <w:tcW w:w="582" w:type="pct"/>
            <w:tcBorders>
              <w:top w:val="nil"/>
              <w:left w:val="nil"/>
              <w:bottom w:val="nil"/>
              <w:right w:val="nil"/>
            </w:tcBorders>
            <w:shd w:val="clear" w:color="auto" w:fill="auto"/>
            <w:noWrap/>
            <w:vAlign w:val="center"/>
          </w:tcPr>
          <w:p w14:paraId="1FB6ECB0" w14:textId="1A29BA98" w:rsidR="003812F4" w:rsidRPr="00E20D21" w:rsidRDefault="003812F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2.068.616</w:t>
            </w:r>
          </w:p>
        </w:tc>
        <w:tc>
          <w:tcPr>
            <w:tcW w:w="566" w:type="pct"/>
            <w:tcBorders>
              <w:top w:val="nil"/>
              <w:left w:val="nil"/>
              <w:bottom w:val="nil"/>
              <w:right w:val="nil"/>
            </w:tcBorders>
            <w:shd w:val="clear" w:color="auto" w:fill="auto"/>
            <w:noWrap/>
            <w:vAlign w:val="center"/>
          </w:tcPr>
          <w:p w14:paraId="47A2EB96" w14:textId="77777777" w:rsidR="003812F4" w:rsidRPr="00E20D21" w:rsidRDefault="003812F4" w:rsidP="003812F4">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nil"/>
              <w:right w:val="nil"/>
            </w:tcBorders>
            <w:vAlign w:val="center"/>
          </w:tcPr>
          <w:p w14:paraId="5034B68D" w14:textId="77777777" w:rsidR="003812F4" w:rsidRPr="00E20D21" w:rsidRDefault="003812F4" w:rsidP="003812F4">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114C2FFE" w14:textId="4DB631D3" w:rsidR="003812F4" w:rsidRPr="00E20D21" w:rsidRDefault="002D269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6.068.616</w:t>
            </w:r>
          </w:p>
        </w:tc>
        <w:tc>
          <w:tcPr>
            <w:tcW w:w="550" w:type="pct"/>
            <w:tcBorders>
              <w:top w:val="nil"/>
              <w:left w:val="nil"/>
              <w:bottom w:val="nil"/>
              <w:right w:val="nil"/>
            </w:tcBorders>
            <w:shd w:val="clear" w:color="auto" w:fill="auto"/>
            <w:vAlign w:val="center"/>
          </w:tcPr>
          <w:p w14:paraId="32D9E4E9" w14:textId="2781F945"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5.906.494</w:t>
            </w:r>
          </w:p>
        </w:tc>
      </w:tr>
      <w:tr w:rsidR="003812F4" w:rsidRPr="00E20D21" w14:paraId="4BAF4D7A" w14:textId="77777777" w:rsidTr="00CB6DDE">
        <w:trPr>
          <w:trHeight w:val="283"/>
        </w:trPr>
        <w:tc>
          <w:tcPr>
            <w:tcW w:w="531" w:type="pct"/>
            <w:tcBorders>
              <w:top w:val="nil"/>
              <w:left w:val="nil"/>
              <w:bottom w:val="nil"/>
              <w:right w:val="nil"/>
            </w:tcBorders>
            <w:shd w:val="clear" w:color="auto" w:fill="auto"/>
            <w:vAlign w:val="center"/>
          </w:tcPr>
          <w:p w14:paraId="79A616F5" w14:textId="525F1944" w:rsidR="003812F4" w:rsidRPr="00E20D21" w:rsidRDefault="003812F4" w:rsidP="003812F4">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ago</w:t>
            </w:r>
            <w:proofErr w:type="spellEnd"/>
            <w:r w:rsidRPr="00E20D21">
              <w:rPr>
                <w:rFonts w:ascii="CAIXA Std Book" w:hAnsi="CAIXA Std Book" w:cs="Arial"/>
                <w:color w:val="005CA9"/>
                <w:sz w:val="16"/>
                <w:szCs w:val="16"/>
              </w:rPr>
              <w:t>/44</w:t>
            </w:r>
          </w:p>
        </w:tc>
        <w:tc>
          <w:tcPr>
            <w:tcW w:w="842" w:type="pct"/>
            <w:tcBorders>
              <w:top w:val="nil"/>
              <w:left w:val="nil"/>
              <w:bottom w:val="nil"/>
              <w:right w:val="nil"/>
            </w:tcBorders>
            <w:shd w:val="clear" w:color="auto" w:fill="auto"/>
            <w:vAlign w:val="center"/>
          </w:tcPr>
          <w:p w14:paraId="73CBA3D2" w14:textId="6818DDC9"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4,86%</w:t>
            </w:r>
          </w:p>
        </w:tc>
        <w:tc>
          <w:tcPr>
            <w:tcW w:w="437" w:type="pct"/>
            <w:tcBorders>
              <w:top w:val="nil"/>
              <w:left w:val="nil"/>
              <w:bottom w:val="nil"/>
              <w:right w:val="nil"/>
            </w:tcBorders>
            <w:shd w:val="clear" w:color="auto" w:fill="auto"/>
            <w:noWrap/>
            <w:vAlign w:val="center"/>
          </w:tcPr>
          <w:p w14:paraId="6658A201" w14:textId="575C0328" w:rsidR="003812F4" w:rsidRPr="00E20D21" w:rsidRDefault="003812F4" w:rsidP="003812F4">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mai</w:t>
            </w:r>
            <w:proofErr w:type="spellEnd"/>
            <w:r w:rsidRPr="00E20D21">
              <w:rPr>
                <w:rFonts w:ascii="CAIXA Std Book" w:hAnsi="CAIXA Std Book" w:cs="Arial"/>
                <w:color w:val="005CA9"/>
                <w:sz w:val="16"/>
                <w:szCs w:val="16"/>
              </w:rPr>
              <w:t>/17</w:t>
            </w:r>
          </w:p>
        </w:tc>
        <w:tc>
          <w:tcPr>
            <w:tcW w:w="525" w:type="pct"/>
            <w:tcBorders>
              <w:top w:val="nil"/>
              <w:left w:val="nil"/>
              <w:bottom w:val="nil"/>
              <w:right w:val="nil"/>
            </w:tcBorders>
            <w:shd w:val="clear" w:color="auto" w:fill="auto"/>
            <w:noWrap/>
            <w:vAlign w:val="center"/>
          </w:tcPr>
          <w:p w14:paraId="714BDDCC" w14:textId="77777777"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4.000.000</w:t>
            </w:r>
          </w:p>
        </w:tc>
        <w:tc>
          <w:tcPr>
            <w:tcW w:w="582" w:type="pct"/>
            <w:tcBorders>
              <w:top w:val="nil"/>
              <w:left w:val="nil"/>
              <w:bottom w:val="nil"/>
              <w:right w:val="nil"/>
            </w:tcBorders>
            <w:shd w:val="clear" w:color="auto" w:fill="auto"/>
            <w:noWrap/>
            <w:vAlign w:val="center"/>
          </w:tcPr>
          <w:p w14:paraId="0688C85C" w14:textId="04A8E36E" w:rsidR="003812F4" w:rsidRPr="00E20D21" w:rsidRDefault="003812F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1.873.177</w:t>
            </w:r>
          </w:p>
        </w:tc>
        <w:tc>
          <w:tcPr>
            <w:tcW w:w="566" w:type="pct"/>
            <w:tcBorders>
              <w:top w:val="nil"/>
              <w:left w:val="nil"/>
              <w:bottom w:val="nil"/>
              <w:right w:val="nil"/>
            </w:tcBorders>
            <w:shd w:val="clear" w:color="auto" w:fill="auto"/>
            <w:noWrap/>
            <w:vAlign w:val="center"/>
          </w:tcPr>
          <w:p w14:paraId="487B1E9A" w14:textId="77777777" w:rsidR="003812F4" w:rsidRPr="00E20D21" w:rsidRDefault="003812F4" w:rsidP="003812F4">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nil"/>
              <w:right w:val="nil"/>
            </w:tcBorders>
            <w:vAlign w:val="center"/>
          </w:tcPr>
          <w:p w14:paraId="3651E817" w14:textId="77777777" w:rsidR="003812F4" w:rsidRPr="00E20D21" w:rsidRDefault="003812F4" w:rsidP="003812F4">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7F4194A4" w14:textId="207E966B" w:rsidR="003812F4" w:rsidRPr="00E20D21" w:rsidRDefault="002D269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5.873.177</w:t>
            </w:r>
          </w:p>
        </w:tc>
        <w:tc>
          <w:tcPr>
            <w:tcW w:w="550" w:type="pct"/>
            <w:tcBorders>
              <w:top w:val="nil"/>
              <w:left w:val="nil"/>
              <w:bottom w:val="nil"/>
              <w:right w:val="nil"/>
            </w:tcBorders>
            <w:shd w:val="clear" w:color="auto" w:fill="auto"/>
            <w:vAlign w:val="center"/>
          </w:tcPr>
          <w:p w14:paraId="11F05310" w14:textId="1CF2BEB8"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5.713.245</w:t>
            </w:r>
          </w:p>
        </w:tc>
      </w:tr>
      <w:tr w:rsidR="003812F4" w:rsidRPr="00E20D21" w14:paraId="7D74C510" w14:textId="77777777" w:rsidTr="00CB6DDE">
        <w:trPr>
          <w:trHeight w:val="283"/>
        </w:trPr>
        <w:tc>
          <w:tcPr>
            <w:tcW w:w="531" w:type="pct"/>
            <w:tcBorders>
              <w:top w:val="nil"/>
              <w:left w:val="nil"/>
              <w:bottom w:val="nil"/>
              <w:right w:val="nil"/>
            </w:tcBorders>
            <w:shd w:val="clear" w:color="auto" w:fill="auto"/>
            <w:vAlign w:val="center"/>
          </w:tcPr>
          <w:p w14:paraId="1F3C11CC" w14:textId="02A93C76"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dez/40</w:t>
            </w:r>
          </w:p>
        </w:tc>
        <w:tc>
          <w:tcPr>
            <w:tcW w:w="842" w:type="pct"/>
            <w:tcBorders>
              <w:top w:val="nil"/>
              <w:left w:val="nil"/>
              <w:bottom w:val="nil"/>
              <w:right w:val="nil"/>
            </w:tcBorders>
            <w:shd w:val="clear" w:color="auto" w:fill="auto"/>
            <w:vAlign w:val="center"/>
          </w:tcPr>
          <w:p w14:paraId="5E8375BB" w14:textId="40E4D9C9"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4,75%</w:t>
            </w:r>
          </w:p>
        </w:tc>
        <w:tc>
          <w:tcPr>
            <w:tcW w:w="437" w:type="pct"/>
            <w:tcBorders>
              <w:top w:val="nil"/>
              <w:left w:val="nil"/>
              <w:bottom w:val="nil"/>
              <w:right w:val="nil"/>
            </w:tcBorders>
            <w:shd w:val="clear" w:color="auto" w:fill="auto"/>
            <w:noWrap/>
            <w:vAlign w:val="center"/>
          </w:tcPr>
          <w:p w14:paraId="744870BB" w14:textId="292FA616"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set/15</w:t>
            </w:r>
          </w:p>
        </w:tc>
        <w:tc>
          <w:tcPr>
            <w:tcW w:w="525" w:type="pct"/>
            <w:tcBorders>
              <w:top w:val="nil"/>
              <w:left w:val="nil"/>
              <w:bottom w:val="nil"/>
              <w:right w:val="nil"/>
            </w:tcBorders>
            <w:shd w:val="clear" w:color="auto" w:fill="auto"/>
            <w:noWrap/>
            <w:vAlign w:val="center"/>
          </w:tcPr>
          <w:p w14:paraId="1A19A20F" w14:textId="77777777"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3.000.000</w:t>
            </w:r>
          </w:p>
        </w:tc>
        <w:tc>
          <w:tcPr>
            <w:tcW w:w="582" w:type="pct"/>
            <w:tcBorders>
              <w:top w:val="nil"/>
              <w:left w:val="nil"/>
              <w:bottom w:val="nil"/>
              <w:right w:val="nil"/>
            </w:tcBorders>
            <w:shd w:val="clear" w:color="auto" w:fill="auto"/>
            <w:noWrap/>
            <w:vAlign w:val="center"/>
          </w:tcPr>
          <w:p w14:paraId="646AD11E" w14:textId="115FE1E9" w:rsidR="003812F4" w:rsidRPr="00E20D21" w:rsidRDefault="003812F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1.864.280</w:t>
            </w:r>
          </w:p>
        </w:tc>
        <w:tc>
          <w:tcPr>
            <w:tcW w:w="566" w:type="pct"/>
            <w:tcBorders>
              <w:top w:val="nil"/>
              <w:left w:val="nil"/>
              <w:bottom w:val="nil"/>
              <w:right w:val="nil"/>
            </w:tcBorders>
            <w:shd w:val="clear" w:color="auto" w:fill="auto"/>
            <w:noWrap/>
            <w:vAlign w:val="center"/>
          </w:tcPr>
          <w:p w14:paraId="70E56A86" w14:textId="77777777" w:rsidR="003812F4" w:rsidRPr="00E20D21" w:rsidRDefault="003812F4" w:rsidP="003812F4">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nil"/>
              <w:right w:val="nil"/>
            </w:tcBorders>
            <w:vAlign w:val="center"/>
          </w:tcPr>
          <w:p w14:paraId="2C3495D6" w14:textId="77777777" w:rsidR="003812F4" w:rsidRPr="00E20D21" w:rsidRDefault="003812F4" w:rsidP="003812F4">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7864EFA8" w14:textId="27D60220" w:rsidR="003812F4" w:rsidRPr="00E20D21" w:rsidRDefault="002D269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4.864.280</w:t>
            </w:r>
          </w:p>
        </w:tc>
        <w:tc>
          <w:tcPr>
            <w:tcW w:w="550" w:type="pct"/>
            <w:tcBorders>
              <w:top w:val="nil"/>
              <w:left w:val="nil"/>
              <w:bottom w:val="nil"/>
              <w:right w:val="nil"/>
            </w:tcBorders>
            <w:shd w:val="clear" w:color="auto" w:fill="auto"/>
            <w:vAlign w:val="center"/>
          </w:tcPr>
          <w:p w14:paraId="534AF3B8" w14:textId="4F4B7AA8"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4.734.400</w:t>
            </w:r>
          </w:p>
        </w:tc>
      </w:tr>
      <w:tr w:rsidR="003812F4" w:rsidRPr="00E20D21" w14:paraId="183A8FA3" w14:textId="77777777" w:rsidTr="00CB6DDE">
        <w:trPr>
          <w:trHeight w:val="283"/>
        </w:trPr>
        <w:tc>
          <w:tcPr>
            <w:tcW w:w="531" w:type="pct"/>
            <w:tcBorders>
              <w:top w:val="nil"/>
              <w:left w:val="nil"/>
              <w:bottom w:val="nil"/>
              <w:right w:val="nil"/>
            </w:tcBorders>
            <w:shd w:val="clear" w:color="auto" w:fill="auto"/>
            <w:vAlign w:val="center"/>
          </w:tcPr>
          <w:p w14:paraId="03B8F43F" w14:textId="32DBAB6C" w:rsidR="003812F4" w:rsidRPr="00E20D21" w:rsidRDefault="003812F4" w:rsidP="003812F4">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jul</w:t>
            </w:r>
            <w:proofErr w:type="spellEnd"/>
            <w:r w:rsidRPr="00E20D21">
              <w:rPr>
                <w:rFonts w:ascii="CAIXA Std Book" w:hAnsi="CAIXA Std Book" w:cs="Arial"/>
                <w:color w:val="005CA9"/>
                <w:sz w:val="16"/>
                <w:szCs w:val="16"/>
              </w:rPr>
              <w:t>/32</w:t>
            </w:r>
          </w:p>
        </w:tc>
        <w:tc>
          <w:tcPr>
            <w:tcW w:w="842" w:type="pct"/>
            <w:tcBorders>
              <w:top w:val="nil"/>
              <w:left w:val="nil"/>
              <w:bottom w:val="nil"/>
              <w:right w:val="nil"/>
            </w:tcBorders>
            <w:shd w:val="clear" w:color="auto" w:fill="auto"/>
            <w:vAlign w:val="center"/>
          </w:tcPr>
          <w:p w14:paraId="697ECB0F" w14:textId="754E0B33"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5,08%</w:t>
            </w:r>
          </w:p>
        </w:tc>
        <w:tc>
          <w:tcPr>
            <w:tcW w:w="437" w:type="pct"/>
            <w:tcBorders>
              <w:top w:val="nil"/>
              <w:left w:val="nil"/>
              <w:bottom w:val="nil"/>
              <w:right w:val="nil"/>
            </w:tcBorders>
            <w:shd w:val="clear" w:color="auto" w:fill="auto"/>
            <w:noWrap/>
            <w:vAlign w:val="center"/>
          </w:tcPr>
          <w:p w14:paraId="4040E4CD" w14:textId="6E9FB7AD" w:rsidR="003812F4" w:rsidRPr="00E20D21" w:rsidRDefault="003812F4" w:rsidP="003812F4">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jun</w:t>
            </w:r>
            <w:proofErr w:type="spellEnd"/>
            <w:r w:rsidRPr="00E20D21">
              <w:rPr>
                <w:rFonts w:ascii="CAIXA Std Book" w:hAnsi="CAIXA Std Book" w:cs="Arial"/>
                <w:color w:val="005CA9"/>
                <w:sz w:val="16"/>
                <w:szCs w:val="16"/>
              </w:rPr>
              <w:t>/12</w:t>
            </w:r>
          </w:p>
        </w:tc>
        <w:tc>
          <w:tcPr>
            <w:tcW w:w="525" w:type="pct"/>
            <w:tcBorders>
              <w:top w:val="nil"/>
              <w:left w:val="nil"/>
              <w:bottom w:val="nil"/>
              <w:right w:val="nil"/>
            </w:tcBorders>
            <w:shd w:val="clear" w:color="auto" w:fill="auto"/>
            <w:noWrap/>
            <w:vAlign w:val="center"/>
          </w:tcPr>
          <w:p w14:paraId="14966AF6" w14:textId="77777777"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3.000.000</w:t>
            </w:r>
          </w:p>
        </w:tc>
        <w:tc>
          <w:tcPr>
            <w:tcW w:w="582" w:type="pct"/>
            <w:tcBorders>
              <w:top w:val="nil"/>
              <w:left w:val="nil"/>
              <w:bottom w:val="nil"/>
              <w:right w:val="nil"/>
            </w:tcBorders>
            <w:shd w:val="clear" w:color="auto" w:fill="auto"/>
            <w:noWrap/>
            <w:vAlign w:val="center"/>
          </w:tcPr>
          <w:p w14:paraId="699214B7" w14:textId="2DD65129" w:rsidR="003812F4" w:rsidRPr="00E20D21" w:rsidRDefault="003812F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1.876.639</w:t>
            </w:r>
          </w:p>
        </w:tc>
        <w:tc>
          <w:tcPr>
            <w:tcW w:w="566" w:type="pct"/>
            <w:tcBorders>
              <w:top w:val="nil"/>
              <w:left w:val="nil"/>
              <w:bottom w:val="nil"/>
              <w:right w:val="nil"/>
            </w:tcBorders>
            <w:shd w:val="clear" w:color="auto" w:fill="auto"/>
            <w:noWrap/>
            <w:vAlign w:val="center"/>
          </w:tcPr>
          <w:p w14:paraId="243196E9" w14:textId="435C182A" w:rsidR="003812F4" w:rsidRPr="00E20D21" w:rsidRDefault="003812F4" w:rsidP="00E748D5">
            <w:pPr>
              <w:jc w:val="right"/>
              <w:rPr>
                <w:rFonts w:ascii="CAIXA Std Book" w:hAnsi="CAIXA Std Book" w:cs="Arial"/>
                <w:color w:val="005CA9"/>
                <w:sz w:val="16"/>
                <w:szCs w:val="16"/>
              </w:rPr>
            </w:pPr>
            <w:r w:rsidRPr="00E20D21">
              <w:rPr>
                <w:rFonts w:ascii="CAIXA Std Book" w:hAnsi="CAIXA Std Book" w:cs="Arial"/>
                <w:color w:val="005CA9"/>
                <w:sz w:val="16"/>
                <w:szCs w:val="16"/>
              </w:rPr>
              <w:t>(1.</w:t>
            </w:r>
            <w:r w:rsidR="002D2694" w:rsidRPr="00E20D21">
              <w:rPr>
                <w:rFonts w:ascii="CAIXA Std Book" w:hAnsi="CAIXA Std Book" w:cs="Arial"/>
                <w:color w:val="005CA9"/>
                <w:sz w:val="16"/>
                <w:szCs w:val="16"/>
              </w:rPr>
              <w:t>586.000</w:t>
            </w:r>
            <w:r w:rsidRPr="00E20D21">
              <w:rPr>
                <w:rFonts w:ascii="CAIXA Std Book" w:hAnsi="CAIXA Std Book" w:cs="Arial"/>
                <w:color w:val="005CA9"/>
                <w:sz w:val="16"/>
                <w:szCs w:val="16"/>
              </w:rPr>
              <w:t>)</w:t>
            </w:r>
          </w:p>
        </w:tc>
        <w:tc>
          <w:tcPr>
            <w:tcW w:w="416" w:type="pct"/>
            <w:tcBorders>
              <w:top w:val="nil"/>
              <w:left w:val="nil"/>
              <w:bottom w:val="nil"/>
              <w:right w:val="nil"/>
            </w:tcBorders>
            <w:vAlign w:val="center"/>
          </w:tcPr>
          <w:p w14:paraId="1D7727BD" w14:textId="77777777" w:rsidR="003812F4" w:rsidRPr="00E20D21" w:rsidRDefault="003812F4" w:rsidP="003812F4">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7F3C2EE2" w14:textId="2102F47C" w:rsidR="003812F4" w:rsidRPr="00E20D21" w:rsidRDefault="002D269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3.290.639</w:t>
            </w:r>
          </w:p>
        </w:tc>
        <w:tc>
          <w:tcPr>
            <w:tcW w:w="550" w:type="pct"/>
            <w:tcBorders>
              <w:top w:val="nil"/>
              <w:left w:val="nil"/>
              <w:bottom w:val="nil"/>
              <w:right w:val="nil"/>
            </w:tcBorders>
            <w:shd w:val="clear" w:color="auto" w:fill="auto"/>
            <w:vAlign w:val="center"/>
          </w:tcPr>
          <w:p w14:paraId="42DFA144" w14:textId="41053272"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3.482.107</w:t>
            </w:r>
          </w:p>
        </w:tc>
      </w:tr>
      <w:tr w:rsidR="003812F4" w:rsidRPr="00E20D21" w14:paraId="49C10F40" w14:textId="77777777" w:rsidTr="00CB6DDE">
        <w:trPr>
          <w:trHeight w:val="283"/>
        </w:trPr>
        <w:tc>
          <w:tcPr>
            <w:tcW w:w="531" w:type="pct"/>
            <w:tcBorders>
              <w:top w:val="nil"/>
              <w:left w:val="nil"/>
              <w:bottom w:val="nil"/>
              <w:right w:val="nil"/>
            </w:tcBorders>
            <w:shd w:val="clear" w:color="auto" w:fill="auto"/>
            <w:vAlign w:val="center"/>
          </w:tcPr>
          <w:p w14:paraId="19A52334" w14:textId="0C86BC32"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dez/33</w:t>
            </w:r>
          </w:p>
        </w:tc>
        <w:tc>
          <w:tcPr>
            <w:tcW w:w="842" w:type="pct"/>
            <w:tcBorders>
              <w:top w:val="nil"/>
              <w:left w:val="nil"/>
              <w:bottom w:val="nil"/>
              <w:right w:val="nil"/>
            </w:tcBorders>
            <w:shd w:val="clear" w:color="auto" w:fill="auto"/>
            <w:vAlign w:val="center"/>
          </w:tcPr>
          <w:p w14:paraId="6F444433" w14:textId="0559657B"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5,15%</w:t>
            </w:r>
          </w:p>
        </w:tc>
        <w:tc>
          <w:tcPr>
            <w:tcW w:w="437" w:type="pct"/>
            <w:tcBorders>
              <w:top w:val="nil"/>
              <w:left w:val="nil"/>
              <w:bottom w:val="nil"/>
              <w:right w:val="nil"/>
            </w:tcBorders>
            <w:shd w:val="clear" w:color="auto" w:fill="auto"/>
            <w:noWrap/>
            <w:vAlign w:val="center"/>
          </w:tcPr>
          <w:p w14:paraId="28F94F37" w14:textId="238CDDDB"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out/14</w:t>
            </w:r>
          </w:p>
        </w:tc>
        <w:tc>
          <w:tcPr>
            <w:tcW w:w="525" w:type="pct"/>
            <w:tcBorders>
              <w:top w:val="nil"/>
              <w:left w:val="nil"/>
              <w:bottom w:val="nil"/>
              <w:right w:val="nil"/>
            </w:tcBorders>
            <w:shd w:val="clear" w:color="auto" w:fill="auto"/>
            <w:noWrap/>
            <w:vAlign w:val="center"/>
          </w:tcPr>
          <w:p w14:paraId="7F60C007" w14:textId="77777777"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3.000.000</w:t>
            </w:r>
          </w:p>
        </w:tc>
        <w:tc>
          <w:tcPr>
            <w:tcW w:w="582" w:type="pct"/>
            <w:tcBorders>
              <w:top w:val="nil"/>
              <w:left w:val="nil"/>
              <w:bottom w:val="nil"/>
              <w:right w:val="nil"/>
            </w:tcBorders>
            <w:shd w:val="clear" w:color="auto" w:fill="auto"/>
            <w:noWrap/>
            <w:vAlign w:val="center"/>
          </w:tcPr>
          <w:p w14:paraId="3DB3BE96" w14:textId="0168426C" w:rsidR="003812F4" w:rsidRPr="00E20D21" w:rsidRDefault="003812F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1.312.060</w:t>
            </w:r>
          </w:p>
        </w:tc>
        <w:tc>
          <w:tcPr>
            <w:tcW w:w="566" w:type="pct"/>
            <w:tcBorders>
              <w:top w:val="nil"/>
              <w:left w:val="nil"/>
              <w:bottom w:val="nil"/>
              <w:right w:val="nil"/>
            </w:tcBorders>
            <w:shd w:val="clear" w:color="auto" w:fill="auto"/>
            <w:noWrap/>
            <w:vAlign w:val="center"/>
          </w:tcPr>
          <w:p w14:paraId="33A345A7" w14:textId="3F17CF29" w:rsidR="003812F4" w:rsidRPr="00E20D21" w:rsidRDefault="003812F4" w:rsidP="00E748D5">
            <w:pPr>
              <w:jc w:val="right"/>
              <w:rPr>
                <w:rFonts w:ascii="CAIXA Std Book" w:hAnsi="CAIXA Std Book" w:cs="Arial"/>
                <w:color w:val="005CA9"/>
                <w:sz w:val="16"/>
                <w:szCs w:val="16"/>
              </w:rPr>
            </w:pPr>
            <w:r w:rsidRPr="00E20D21">
              <w:rPr>
                <w:rFonts w:ascii="CAIXA Std Book" w:hAnsi="CAIXA Std Book" w:cs="Arial"/>
                <w:color w:val="005CA9"/>
                <w:sz w:val="16"/>
                <w:szCs w:val="16"/>
              </w:rPr>
              <w:t>(1.</w:t>
            </w:r>
            <w:r w:rsidR="002D2694" w:rsidRPr="00E20D21">
              <w:rPr>
                <w:rFonts w:ascii="CAIXA Std Book" w:hAnsi="CAIXA Std Book" w:cs="Arial"/>
                <w:color w:val="005CA9"/>
                <w:sz w:val="16"/>
                <w:szCs w:val="16"/>
              </w:rPr>
              <w:t>272.323</w:t>
            </w:r>
            <w:r w:rsidRPr="00E20D21">
              <w:rPr>
                <w:rFonts w:ascii="CAIXA Std Book" w:hAnsi="CAIXA Std Book" w:cs="Arial"/>
                <w:color w:val="005CA9"/>
                <w:sz w:val="16"/>
                <w:szCs w:val="16"/>
              </w:rPr>
              <w:t>)</w:t>
            </w:r>
          </w:p>
        </w:tc>
        <w:tc>
          <w:tcPr>
            <w:tcW w:w="416" w:type="pct"/>
            <w:tcBorders>
              <w:top w:val="nil"/>
              <w:left w:val="nil"/>
              <w:bottom w:val="nil"/>
              <w:right w:val="nil"/>
            </w:tcBorders>
            <w:vAlign w:val="center"/>
          </w:tcPr>
          <w:p w14:paraId="19B3E43F" w14:textId="77777777" w:rsidR="003812F4" w:rsidRPr="00E20D21" w:rsidRDefault="003812F4" w:rsidP="003812F4">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254810CB" w14:textId="16241329" w:rsidR="003812F4" w:rsidRPr="00E20D21" w:rsidRDefault="002D269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3.039.737</w:t>
            </w:r>
          </w:p>
        </w:tc>
        <w:tc>
          <w:tcPr>
            <w:tcW w:w="550" w:type="pct"/>
            <w:tcBorders>
              <w:top w:val="nil"/>
              <w:left w:val="nil"/>
              <w:bottom w:val="nil"/>
              <w:right w:val="nil"/>
            </w:tcBorders>
            <w:shd w:val="clear" w:color="auto" w:fill="auto"/>
            <w:vAlign w:val="center"/>
          </w:tcPr>
          <w:p w14:paraId="58B8EF4C" w14:textId="70575A6B"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3.188.667</w:t>
            </w:r>
          </w:p>
        </w:tc>
      </w:tr>
      <w:tr w:rsidR="003812F4" w:rsidRPr="00E20D21" w14:paraId="658582C6" w14:textId="77777777" w:rsidTr="00CB6DDE">
        <w:trPr>
          <w:trHeight w:val="283"/>
        </w:trPr>
        <w:tc>
          <w:tcPr>
            <w:tcW w:w="531" w:type="pct"/>
            <w:tcBorders>
              <w:top w:val="nil"/>
              <w:left w:val="nil"/>
              <w:bottom w:val="nil"/>
              <w:right w:val="nil"/>
            </w:tcBorders>
            <w:shd w:val="clear" w:color="auto" w:fill="auto"/>
            <w:vAlign w:val="center"/>
          </w:tcPr>
          <w:p w14:paraId="0E72DF86" w14:textId="0A99041B" w:rsidR="003812F4" w:rsidRPr="00E20D21" w:rsidRDefault="003812F4" w:rsidP="003812F4">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abr</w:t>
            </w:r>
            <w:proofErr w:type="spellEnd"/>
            <w:r w:rsidRPr="00E20D21">
              <w:rPr>
                <w:rFonts w:ascii="CAIXA Std Book" w:hAnsi="CAIXA Std Book" w:cs="Arial"/>
                <w:color w:val="005CA9"/>
                <w:sz w:val="16"/>
                <w:szCs w:val="16"/>
              </w:rPr>
              <w:t>/26</w:t>
            </w:r>
          </w:p>
        </w:tc>
        <w:tc>
          <w:tcPr>
            <w:tcW w:w="842" w:type="pct"/>
            <w:tcBorders>
              <w:top w:val="nil"/>
              <w:left w:val="nil"/>
              <w:bottom w:val="nil"/>
              <w:right w:val="nil"/>
            </w:tcBorders>
            <w:shd w:val="clear" w:color="auto" w:fill="auto"/>
            <w:vAlign w:val="center"/>
          </w:tcPr>
          <w:p w14:paraId="67F5BFEA" w14:textId="32D306DD"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6,00%</w:t>
            </w:r>
          </w:p>
        </w:tc>
        <w:tc>
          <w:tcPr>
            <w:tcW w:w="437" w:type="pct"/>
            <w:tcBorders>
              <w:top w:val="nil"/>
              <w:left w:val="nil"/>
              <w:bottom w:val="nil"/>
              <w:right w:val="nil"/>
            </w:tcBorders>
            <w:shd w:val="clear" w:color="auto" w:fill="auto"/>
            <w:noWrap/>
            <w:vAlign w:val="center"/>
          </w:tcPr>
          <w:p w14:paraId="59D0629A" w14:textId="7B02E7AC" w:rsidR="003812F4" w:rsidRPr="00E20D21" w:rsidRDefault="003812F4" w:rsidP="003812F4">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ago</w:t>
            </w:r>
            <w:proofErr w:type="spellEnd"/>
            <w:r w:rsidRPr="00E20D21">
              <w:rPr>
                <w:rFonts w:ascii="CAIXA Std Book" w:hAnsi="CAIXA Std Book" w:cs="Arial"/>
                <w:color w:val="005CA9"/>
                <w:sz w:val="16"/>
                <w:szCs w:val="16"/>
              </w:rPr>
              <w:t>/11</w:t>
            </w:r>
          </w:p>
        </w:tc>
        <w:tc>
          <w:tcPr>
            <w:tcW w:w="525" w:type="pct"/>
            <w:tcBorders>
              <w:top w:val="nil"/>
              <w:left w:val="nil"/>
              <w:bottom w:val="nil"/>
              <w:right w:val="nil"/>
            </w:tcBorders>
            <w:shd w:val="clear" w:color="auto" w:fill="auto"/>
            <w:noWrap/>
            <w:vAlign w:val="center"/>
          </w:tcPr>
          <w:p w14:paraId="2A638BAF" w14:textId="77777777"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3.000.000</w:t>
            </w:r>
          </w:p>
        </w:tc>
        <w:tc>
          <w:tcPr>
            <w:tcW w:w="582" w:type="pct"/>
            <w:tcBorders>
              <w:top w:val="nil"/>
              <w:left w:val="nil"/>
              <w:bottom w:val="nil"/>
              <w:right w:val="nil"/>
            </w:tcBorders>
            <w:shd w:val="clear" w:color="auto" w:fill="auto"/>
            <w:noWrap/>
            <w:vAlign w:val="center"/>
          </w:tcPr>
          <w:p w14:paraId="47F274F7" w14:textId="29CB6E70" w:rsidR="003812F4" w:rsidRPr="00E20D21" w:rsidRDefault="003812F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2.119.293</w:t>
            </w:r>
          </w:p>
        </w:tc>
        <w:tc>
          <w:tcPr>
            <w:tcW w:w="566" w:type="pct"/>
            <w:tcBorders>
              <w:top w:val="nil"/>
              <w:left w:val="nil"/>
              <w:bottom w:val="nil"/>
              <w:right w:val="nil"/>
            </w:tcBorders>
            <w:shd w:val="clear" w:color="auto" w:fill="auto"/>
            <w:noWrap/>
            <w:vAlign w:val="center"/>
          </w:tcPr>
          <w:p w14:paraId="3B7E1101" w14:textId="0F7331D0" w:rsidR="003812F4" w:rsidRPr="00E20D21" w:rsidRDefault="003812F4" w:rsidP="00E748D5">
            <w:pPr>
              <w:jc w:val="right"/>
              <w:rPr>
                <w:rFonts w:ascii="CAIXA Std Book" w:hAnsi="CAIXA Std Book" w:cs="Arial"/>
                <w:color w:val="005CA9"/>
                <w:sz w:val="16"/>
                <w:szCs w:val="16"/>
              </w:rPr>
            </w:pPr>
            <w:r w:rsidRPr="00E20D21">
              <w:rPr>
                <w:rFonts w:ascii="CAIXA Std Book" w:hAnsi="CAIXA Std Book" w:cs="Arial"/>
                <w:color w:val="005CA9"/>
                <w:sz w:val="16"/>
                <w:szCs w:val="16"/>
              </w:rPr>
              <w:t>(3.</w:t>
            </w:r>
            <w:r w:rsidR="002D2694" w:rsidRPr="00E20D21">
              <w:rPr>
                <w:rFonts w:ascii="CAIXA Std Book" w:hAnsi="CAIXA Std Book" w:cs="Arial"/>
                <w:color w:val="005CA9"/>
                <w:sz w:val="16"/>
                <w:szCs w:val="16"/>
              </w:rPr>
              <w:t>733.105</w:t>
            </w:r>
            <w:r w:rsidRPr="00E20D21">
              <w:rPr>
                <w:rFonts w:ascii="CAIXA Std Book" w:hAnsi="CAIXA Std Book" w:cs="Arial"/>
                <w:color w:val="005CA9"/>
                <w:sz w:val="16"/>
                <w:szCs w:val="16"/>
              </w:rPr>
              <w:t>)</w:t>
            </w:r>
          </w:p>
        </w:tc>
        <w:tc>
          <w:tcPr>
            <w:tcW w:w="416" w:type="pct"/>
            <w:tcBorders>
              <w:top w:val="nil"/>
              <w:left w:val="nil"/>
              <w:bottom w:val="nil"/>
              <w:right w:val="nil"/>
            </w:tcBorders>
            <w:vAlign w:val="center"/>
          </w:tcPr>
          <w:p w14:paraId="6E5F3511" w14:textId="77777777" w:rsidR="003812F4" w:rsidRPr="00E20D21" w:rsidRDefault="003812F4" w:rsidP="003812F4">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5583C7FB" w14:textId="1C725FC2" w:rsidR="003812F4" w:rsidRPr="00E20D21" w:rsidRDefault="002D269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1.386.188</w:t>
            </w:r>
          </w:p>
        </w:tc>
        <w:tc>
          <w:tcPr>
            <w:tcW w:w="550" w:type="pct"/>
            <w:tcBorders>
              <w:top w:val="nil"/>
              <w:left w:val="nil"/>
              <w:bottom w:val="nil"/>
              <w:right w:val="nil"/>
            </w:tcBorders>
            <w:shd w:val="clear" w:color="auto" w:fill="auto"/>
            <w:vAlign w:val="center"/>
          </w:tcPr>
          <w:p w14:paraId="3B9BDD4C" w14:textId="572C008A"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1.758.184</w:t>
            </w:r>
          </w:p>
        </w:tc>
      </w:tr>
      <w:tr w:rsidR="003812F4" w:rsidRPr="00E20D21" w14:paraId="4AED0800" w14:textId="77777777" w:rsidTr="00CB6DDE">
        <w:trPr>
          <w:trHeight w:val="283"/>
        </w:trPr>
        <w:tc>
          <w:tcPr>
            <w:tcW w:w="531" w:type="pct"/>
            <w:tcBorders>
              <w:top w:val="nil"/>
              <w:left w:val="nil"/>
              <w:bottom w:val="single" w:sz="4" w:space="0" w:color="F79646"/>
              <w:right w:val="nil"/>
            </w:tcBorders>
            <w:shd w:val="clear" w:color="auto" w:fill="auto"/>
            <w:vAlign w:val="center"/>
          </w:tcPr>
          <w:p w14:paraId="4DF6E1C9" w14:textId="4C56BFFA" w:rsidR="003812F4" w:rsidRPr="00E20D21" w:rsidRDefault="003812F4" w:rsidP="003812F4">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mai</w:t>
            </w:r>
            <w:proofErr w:type="spellEnd"/>
            <w:r w:rsidRPr="00E20D21">
              <w:rPr>
                <w:rFonts w:ascii="CAIXA Std Book" w:hAnsi="CAIXA Std Book" w:cs="Arial"/>
                <w:color w:val="005CA9"/>
                <w:sz w:val="16"/>
                <w:szCs w:val="16"/>
              </w:rPr>
              <w:t>/44</w:t>
            </w:r>
          </w:p>
        </w:tc>
        <w:tc>
          <w:tcPr>
            <w:tcW w:w="842" w:type="pct"/>
            <w:tcBorders>
              <w:top w:val="nil"/>
              <w:left w:val="nil"/>
              <w:bottom w:val="single" w:sz="4" w:space="0" w:color="F79646"/>
              <w:right w:val="nil"/>
            </w:tcBorders>
            <w:shd w:val="clear" w:color="auto" w:fill="auto"/>
            <w:vAlign w:val="center"/>
          </w:tcPr>
          <w:p w14:paraId="1340BF87" w14:textId="71D37BE6"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5,23%</w:t>
            </w:r>
          </w:p>
        </w:tc>
        <w:tc>
          <w:tcPr>
            <w:tcW w:w="437" w:type="pct"/>
            <w:tcBorders>
              <w:top w:val="nil"/>
              <w:left w:val="nil"/>
              <w:bottom w:val="single" w:sz="4" w:space="0" w:color="F79646"/>
              <w:right w:val="nil"/>
            </w:tcBorders>
            <w:shd w:val="clear" w:color="auto" w:fill="auto"/>
            <w:noWrap/>
            <w:vAlign w:val="center"/>
          </w:tcPr>
          <w:p w14:paraId="360059E9" w14:textId="4A65EF65"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set/17</w:t>
            </w:r>
          </w:p>
        </w:tc>
        <w:tc>
          <w:tcPr>
            <w:tcW w:w="525" w:type="pct"/>
            <w:tcBorders>
              <w:top w:val="nil"/>
              <w:left w:val="nil"/>
              <w:bottom w:val="single" w:sz="4" w:space="0" w:color="F79646"/>
              <w:right w:val="nil"/>
            </w:tcBorders>
            <w:shd w:val="clear" w:color="auto" w:fill="auto"/>
            <w:noWrap/>
            <w:vAlign w:val="center"/>
          </w:tcPr>
          <w:p w14:paraId="46861E81" w14:textId="77777777"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2.000.000</w:t>
            </w:r>
          </w:p>
        </w:tc>
        <w:tc>
          <w:tcPr>
            <w:tcW w:w="582" w:type="pct"/>
            <w:tcBorders>
              <w:top w:val="nil"/>
              <w:left w:val="nil"/>
              <w:bottom w:val="nil"/>
              <w:right w:val="nil"/>
            </w:tcBorders>
            <w:shd w:val="clear" w:color="auto" w:fill="auto"/>
            <w:noWrap/>
            <w:vAlign w:val="center"/>
          </w:tcPr>
          <w:p w14:paraId="224D130E" w14:textId="4AAD3E84" w:rsidR="003812F4" w:rsidRPr="00E20D21" w:rsidRDefault="003812F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944.712</w:t>
            </w:r>
          </w:p>
        </w:tc>
        <w:tc>
          <w:tcPr>
            <w:tcW w:w="566" w:type="pct"/>
            <w:tcBorders>
              <w:top w:val="nil"/>
              <w:left w:val="nil"/>
              <w:bottom w:val="single" w:sz="4" w:space="0" w:color="F39200"/>
              <w:right w:val="nil"/>
            </w:tcBorders>
            <w:shd w:val="clear" w:color="auto" w:fill="auto"/>
            <w:noWrap/>
            <w:vAlign w:val="center"/>
          </w:tcPr>
          <w:p w14:paraId="01E0D1E9" w14:textId="77777777" w:rsidR="003812F4" w:rsidRPr="00E20D21" w:rsidRDefault="003812F4" w:rsidP="003812F4">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single" w:sz="4" w:space="0" w:color="F39200"/>
              <w:right w:val="nil"/>
            </w:tcBorders>
            <w:vAlign w:val="center"/>
          </w:tcPr>
          <w:p w14:paraId="28E1989C" w14:textId="24B2470F" w:rsidR="003812F4" w:rsidRPr="00E20D21" w:rsidRDefault="003812F4" w:rsidP="003812F4">
            <w:pPr>
              <w:jc w:val="center"/>
              <w:rPr>
                <w:rFonts w:ascii="CAIXA Std Book" w:hAnsi="CAIXA Std Book"/>
                <w:color w:val="005CA9"/>
                <w:sz w:val="16"/>
                <w:szCs w:val="16"/>
              </w:rPr>
            </w:pPr>
            <w:r w:rsidRPr="00E20D21">
              <w:rPr>
                <w:rFonts w:ascii="CAIXA Std Book" w:hAnsi="CAIXA Std Book" w:cs="Arial"/>
                <w:color w:val="005CA9"/>
                <w:sz w:val="16"/>
                <w:szCs w:val="16"/>
              </w:rPr>
              <w:t>-</w:t>
            </w:r>
          </w:p>
        </w:tc>
        <w:tc>
          <w:tcPr>
            <w:tcW w:w="550" w:type="pct"/>
            <w:tcBorders>
              <w:top w:val="nil"/>
              <w:left w:val="nil"/>
              <w:bottom w:val="nil"/>
              <w:right w:val="nil"/>
            </w:tcBorders>
            <w:shd w:val="clear" w:color="auto" w:fill="auto"/>
            <w:noWrap/>
            <w:vAlign w:val="center"/>
          </w:tcPr>
          <w:p w14:paraId="71A85EA8" w14:textId="5FA559BA" w:rsidR="003812F4" w:rsidRPr="00E20D21" w:rsidRDefault="002D2694" w:rsidP="003812F4">
            <w:pPr>
              <w:jc w:val="right"/>
              <w:rPr>
                <w:rFonts w:ascii="CAIXA Std Book" w:hAnsi="CAIXA Std Book" w:cs="Arial"/>
                <w:color w:val="005CA9"/>
                <w:sz w:val="16"/>
                <w:szCs w:val="16"/>
              </w:rPr>
            </w:pPr>
            <w:r w:rsidRPr="00E20D21">
              <w:rPr>
                <w:rFonts w:ascii="CAIXA Std Book" w:hAnsi="CAIXA Std Book" w:cs="Arial"/>
                <w:color w:val="005CA9"/>
                <w:sz w:val="16"/>
                <w:szCs w:val="16"/>
              </w:rPr>
              <w:t>2.944.712</w:t>
            </w:r>
          </w:p>
        </w:tc>
        <w:tc>
          <w:tcPr>
            <w:tcW w:w="550" w:type="pct"/>
            <w:tcBorders>
              <w:top w:val="nil"/>
              <w:left w:val="nil"/>
              <w:bottom w:val="nil"/>
              <w:right w:val="nil"/>
            </w:tcBorders>
            <w:shd w:val="clear" w:color="auto" w:fill="auto"/>
            <w:vAlign w:val="center"/>
          </w:tcPr>
          <w:p w14:paraId="63443689" w14:textId="1BED69E2" w:rsidR="003812F4" w:rsidRPr="00E20D21" w:rsidRDefault="003812F4" w:rsidP="003812F4">
            <w:pPr>
              <w:jc w:val="right"/>
              <w:rPr>
                <w:rFonts w:ascii="CAIXA Std Book" w:hAnsi="CAIXA Std Book"/>
                <w:color w:val="005CA9"/>
                <w:sz w:val="16"/>
                <w:szCs w:val="16"/>
              </w:rPr>
            </w:pPr>
            <w:r w:rsidRPr="00E20D21">
              <w:rPr>
                <w:rFonts w:ascii="CAIXA Std Book" w:hAnsi="CAIXA Std Book" w:cs="Arial"/>
                <w:color w:val="005CA9"/>
                <w:sz w:val="16"/>
                <w:szCs w:val="16"/>
              </w:rPr>
              <w:t>2.858.874</w:t>
            </w:r>
          </w:p>
        </w:tc>
      </w:tr>
      <w:tr w:rsidR="003832D9" w:rsidRPr="00E20D21" w14:paraId="22D1BE1D" w14:textId="77777777" w:rsidTr="00D0541D">
        <w:trPr>
          <w:trHeight w:val="283"/>
        </w:trPr>
        <w:tc>
          <w:tcPr>
            <w:tcW w:w="5000" w:type="pct"/>
            <w:gridSpan w:val="9"/>
            <w:tcBorders>
              <w:top w:val="single" w:sz="4" w:space="0" w:color="F79646"/>
              <w:left w:val="nil"/>
              <w:bottom w:val="single" w:sz="4" w:space="0" w:color="F39200"/>
              <w:right w:val="nil"/>
            </w:tcBorders>
            <w:vAlign w:val="center"/>
          </w:tcPr>
          <w:p w14:paraId="0258C6DD" w14:textId="4E72BC81" w:rsidR="003832D9" w:rsidRPr="00E20D21" w:rsidRDefault="003832D9">
            <w:pPr>
              <w:jc w:val="center"/>
              <w:rPr>
                <w:rFonts w:ascii="CAIXA Std Book" w:hAnsi="CAIXA Std Book"/>
                <w:color w:val="005CA9"/>
                <w:sz w:val="16"/>
                <w:szCs w:val="16"/>
              </w:rPr>
            </w:pPr>
            <w:r w:rsidRPr="00E20D21">
              <w:rPr>
                <w:rFonts w:ascii="CAIXA Std Book" w:hAnsi="CAIXA Std Book"/>
                <w:color w:val="005CA9"/>
                <w:sz w:val="16"/>
                <w:szCs w:val="16"/>
              </w:rPr>
              <w:t>Letras financeiras elegíveis</w:t>
            </w:r>
            <w:r w:rsidR="003B776A" w:rsidRPr="00E20D21">
              <w:rPr>
                <w:rFonts w:ascii="CAIXA Std Book" w:hAnsi="CAIXA Std Book"/>
                <w:color w:val="005CA9"/>
                <w:sz w:val="16"/>
                <w:szCs w:val="16"/>
              </w:rPr>
              <w:t xml:space="preserve"> (1)</w:t>
            </w:r>
          </w:p>
        </w:tc>
      </w:tr>
      <w:tr w:rsidR="00473455" w:rsidRPr="00E20D21" w14:paraId="528E98A4" w14:textId="77777777" w:rsidTr="00CB6DDE">
        <w:trPr>
          <w:trHeight w:val="283"/>
        </w:trPr>
        <w:tc>
          <w:tcPr>
            <w:tcW w:w="531" w:type="pct"/>
            <w:tcBorders>
              <w:top w:val="nil"/>
              <w:left w:val="nil"/>
              <w:bottom w:val="nil"/>
              <w:right w:val="nil"/>
            </w:tcBorders>
            <w:shd w:val="clear" w:color="auto" w:fill="auto"/>
            <w:vAlign w:val="center"/>
            <w:hideMark/>
          </w:tcPr>
          <w:p w14:paraId="6377305B" w14:textId="0C58D3D6" w:rsidR="00473455" w:rsidRPr="00E20D21" w:rsidRDefault="00473455" w:rsidP="00473455">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jun</w:t>
            </w:r>
            <w:proofErr w:type="spellEnd"/>
            <w:r w:rsidRPr="00E20D21">
              <w:rPr>
                <w:rFonts w:ascii="CAIXA Std Book" w:hAnsi="CAIXA Std Book" w:cs="Arial"/>
                <w:color w:val="005CA9"/>
                <w:sz w:val="16"/>
                <w:szCs w:val="16"/>
              </w:rPr>
              <w:t>/24</w:t>
            </w:r>
          </w:p>
        </w:tc>
        <w:tc>
          <w:tcPr>
            <w:tcW w:w="842" w:type="pct"/>
            <w:tcBorders>
              <w:top w:val="nil"/>
              <w:left w:val="nil"/>
              <w:bottom w:val="nil"/>
              <w:right w:val="nil"/>
            </w:tcBorders>
            <w:shd w:val="clear" w:color="auto" w:fill="auto"/>
            <w:vAlign w:val="center"/>
            <w:hideMark/>
          </w:tcPr>
          <w:p w14:paraId="6E871163" w14:textId="54D8D276" w:rsidR="00473455" w:rsidRPr="00E20D21" w:rsidRDefault="00473455" w:rsidP="00473455">
            <w:pPr>
              <w:jc w:val="center"/>
              <w:rPr>
                <w:rFonts w:ascii="CAIXA Std Book" w:hAnsi="CAIXA Std Book"/>
                <w:color w:val="005CA9"/>
                <w:sz w:val="16"/>
                <w:szCs w:val="16"/>
              </w:rPr>
            </w:pPr>
            <w:r w:rsidRPr="00E20D21">
              <w:rPr>
                <w:rFonts w:ascii="CAIXA Std Book" w:hAnsi="CAIXA Std Book" w:cs="Arial"/>
                <w:color w:val="005CA9"/>
                <w:sz w:val="16"/>
                <w:szCs w:val="16"/>
              </w:rPr>
              <w:t>100%IPCA + 6,95%</w:t>
            </w:r>
          </w:p>
        </w:tc>
        <w:tc>
          <w:tcPr>
            <w:tcW w:w="437" w:type="pct"/>
            <w:tcBorders>
              <w:top w:val="nil"/>
              <w:left w:val="nil"/>
              <w:bottom w:val="nil"/>
              <w:right w:val="nil"/>
            </w:tcBorders>
            <w:shd w:val="clear" w:color="auto" w:fill="auto"/>
            <w:noWrap/>
            <w:vAlign w:val="center"/>
            <w:hideMark/>
          </w:tcPr>
          <w:p w14:paraId="4EB2E63F" w14:textId="5B6E8A2B" w:rsidR="00473455" w:rsidRPr="00E20D21" w:rsidRDefault="00473455" w:rsidP="00473455">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jun</w:t>
            </w:r>
            <w:proofErr w:type="spellEnd"/>
            <w:r w:rsidRPr="00E20D21">
              <w:rPr>
                <w:rFonts w:ascii="CAIXA Std Book" w:hAnsi="CAIXA Std Book" w:cs="Arial"/>
                <w:color w:val="005CA9"/>
                <w:sz w:val="16"/>
                <w:szCs w:val="16"/>
              </w:rPr>
              <w:t>/14</w:t>
            </w:r>
          </w:p>
        </w:tc>
        <w:tc>
          <w:tcPr>
            <w:tcW w:w="525" w:type="pct"/>
            <w:tcBorders>
              <w:top w:val="nil"/>
              <w:left w:val="nil"/>
              <w:bottom w:val="nil"/>
              <w:right w:val="nil"/>
            </w:tcBorders>
            <w:shd w:val="clear" w:color="auto" w:fill="auto"/>
            <w:noWrap/>
            <w:vAlign w:val="center"/>
          </w:tcPr>
          <w:p w14:paraId="4037CC4A" w14:textId="61D0BD88" w:rsidR="00473455" w:rsidRPr="00E20D21" w:rsidRDefault="00485A51" w:rsidP="00E748D5">
            <w:pPr>
              <w:jc w:val="center"/>
              <w:rPr>
                <w:rFonts w:ascii="CAIXA Std Book" w:hAnsi="CAIXA Std Book"/>
                <w:color w:val="005CA9"/>
                <w:sz w:val="16"/>
                <w:szCs w:val="16"/>
              </w:rPr>
            </w:pPr>
            <w:r w:rsidRPr="00E20D21">
              <w:rPr>
                <w:rFonts w:ascii="CAIXA Std Book" w:hAnsi="CAIXA Std Book"/>
                <w:color w:val="005CA9"/>
                <w:sz w:val="16"/>
                <w:szCs w:val="16"/>
              </w:rPr>
              <w:t>-</w:t>
            </w:r>
          </w:p>
        </w:tc>
        <w:tc>
          <w:tcPr>
            <w:tcW w:w="582" w:type="pct"/>
            <w:tcBorders>
              <w:top w:val="nil"/>
              <w:left w:val="nil"/>
              <w:bottom w:val="nil"/>
              <w:right w:val="nil"/>
            </w:tcBorders>
            <w:shd w:val="clear" w:color="auto" w:fill="auto"/>
            <w:noWrap/>
            <w:vAlign w:val="center"/>
          </w:tcPr>
          <w:p w14:paraId="37A4FEB6" w14:textId="5468A7BE" w:rsidR="00473455" w:rsidRPr="00E20D21" w:rsidRDefault="00485A51" w:rsidP="00E748D5">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566" w:type="pct"/>
            <w:tcBorders>
              <w:top w:val="nil"/>
              <w:left w:val="nil"/>
              <w:bottom w:val="nil"/>
              <w:right w:val="nil"/>
            </w:tcBorders>
            <w:shd w:val="clear" w:color="auto" w:fill="auto"/>
            <w:noWrap/>
            <w:vAlign w:val="center"/>
          </w:tcPr>
          <w:p w14:paraId="4FCC5F10" w14:textId="77777777" w:rsidR="00473455" w:rsidRPr="00E20D21" w:rsidRDefault="00473455" w:rsidP="00473455">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nil"/>
              <w:right w:val="nil"/>
            </w:tcBorders>
            <w:vAlign w:val="center"/>
          </w:tcPr>
          <w:p w14:paraId="6E67C592" w14:textId="2FFCEACC" w:rsidR="00473455" w:rsidRPr="00E20D21" w:rsidRDefault="00F17976" w:rsidP="00E748D5">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550" w:type="pct"/>
            <w:tcBorders>
              <w:top w:val="nil"/>
              <w:left w:val="nil"/>
              <w:bottom w:val="nil"/>
              <w:right w:val="nil"/>
            </w:tcBorders>
            <w:shd w:val="clear" w:color="auto" w:fill="auto"/>
            <w:noWrap/>
            <w:vAlign w:val="center"/>
          </w:tcPr>
          <w:p w14:paraId="1E136D4C" w14:textId="7185AAF8" w:rsidR="00473455" w:rsidRPr="00E20D21" w:rsidRDefault="00F17976" w:rsidP="00E748D5">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550" w:type="pct"/>
            <w:tcBorders>
              <w:top w:val="nil"/>
              <w:left w:val="nil"/>
              <w:bottom w:val="nil"/>
              <w:right w:val="nil"/>
            </w:tcBorders>
            <w:shd w:val="clear" w:color="auto" w:fill="auto"/>
            <w:noWrap/>
            <w:vAlign w:val="center"/>
          </w:tcPr>
          <w:p w14:paraId="6A54CECE" w14:textId="75339683" w:rsidR="00473455" w:rsidRPr="00E20D21" w:rsidRDefault="008164EA" w:rsidP="00B31B14">
            <w:pPr>
              <w:jc w:val="right"/>
              <w:rPr>
                <w:rFonts w:ascii="CAIXA Std Book" w:hAnsi="CAIXA Std Book"/>
                <w:color w:val="005CA9"/>
                <w:sz w:val="16"/>
                <w:szCs w:val="16"/>
              </w:rPr>
            </w:pPr>
            <w:r w:rsidRPr="00E20D21">
              <w:rPr>
                <w:rFonts w:ascii="CAIXA Std Book" w:hAnsi="CAIXA Std Book"/>
                <w:color w:val="005CA9"/>
                <w:sz w:val="16"/>
                <w:szCs w:val="16"/>
              </w:rPr>
              <w:t>659.595</w:t>
            </w:r>
          </w:p>
        </w:tc>
      </w:tr>
      <w:tr w:rsidR="00473455" w:rsidRPr="00E20D21" w14:paraId="3ECE4EE8" w14:textId="77777777" w:rsidTr="00CB6DDE">
        <w:trPr>
          <w:trHeight w:val="283"/>
        </w:trPr>
        <w:tc>
          <w:tcPr>
            <w:tcW w:w="531" w:type="pct"/>
            <w:tcBorders>
              <w:top w:val="nil"/>
              <w:left w:val="nil"/>
              <w:bottom w:val="nil"/>
              <w:right w:val="nil"/>
            </w:tcBorders>
            <w:shd w:val="clear" w:color="auto" w:fill="auto"/>
            <w:vAlign w:val="center"/>
            <w:hideMark/>
          </w:tcPr>
          <w:p w14:paraId="4382A352" w14:textId="2B480A06" w:rsidR="00473455" w:rsidRPr="00E20D21" w:rsidRDefault="00473455" w:rsidP="00473455">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fev</w:t>
            </w:r>
            <w:proofErr w:type="spellEnd"/>
            <w:r w:rsidRPr="00E20D21">
              <w:rPr>
                <w:rFonts w:ascii="CAIXA Std Book" w:hAnsi="CAIXA Std Book" w:cs="Arial"/>
                <w:color w:val="005CA9"/>
                <w:sz w:val="16"/>
                <w:szCs w:val="16"/>
              </w:rPr>
              <w:t>/25</w:t>
            </w:r>
          </w:p>
        </w:tc>
        <w:tc>
          <w:tcPr>
            <w:tcW w:w="842" w:type="pct"/>
            <w:tcBorders>
              <w:top w:val="nil"/>
              <w:left w:val="nil"/>
              <w:bottom w:val="nil"/>
              <w:right w:val="nil"/>
            </w:tcBorders>
            <w:shd w:val="clear" w:color="auto" w:fill="auto"/>
            <w:vAlign w:val="center"/>
            <w:hideMark/>
          </w:tcPr>
          <w:p w14:paraId="05C04F2B" w14:textId="728F88BF" w:rsidR="00473455" w:rsidRPr="00E20D21" w:rsidRDefault="00473455" w:rsidP="00473455">
            <w:pPr>
              <w:jc w:val="center"/>
              <w:rPr>
                <w:rFonts w:ascii="CAIXA Std Book" w:hAnsi="CAIXA Std Book"/>
                <w:color w:val="005CA9"/>
                <w:sz w:val="16"/>
                <w:szCs w:val="16"/>
              </w:rPr>
            </w:pPr>
            <w:r w:rsidRPr="00E20D21">
              <w:rPr>
                <w:rFonts w:ascii="CAIXA Std Book" w:hAnsi="CAIXA Std Book" w:cs="Arial"/>
                <w:color w:val="005CA9"/>
                <w:sz w:val="16"/>
                <w:szCs w:val="16"/>
              </w:rPr>
              <w:t>100%IPCA + 6,</w:t>
            </w:r>
            <w:r w:rsidR="00CF5945" w:rsidRPr="00E20D21">
              <w:rPr>
                <w:rFonts w:ascii="CAIXA Std Book" w:hAnsi="CAIXA Std Book" w:cs="Arial"/>
                <w:color w:val="005CA9"/>
                <w:sz w:val="16"/>
                <w:szCs w:val="16"/>
              </w:rPr>
              <w:t>74</w:t>
            </w:r>
            <w:r w:rsidRPr="00E20D21">
              <w:rPr>
                <w:rFonts w:ascii="CAIXA Std Book" w:hAnsi="CAIXA Std Book" w:cs="Arial"/>
                <w:color w:val="005CA9"/>
                <w:sz w:val="16"/>
                <w:szCs w:val="16"/>
              </w:rPr>
              <w:t>%</w:t>
            </w:r>
          </w:p>
        </w:tc>
        <w:tc>
          <w:tcPr>
            <w:tcW w:w="437" w:type="pct"/>
            <w:tcBorders>
              <w:top w:val="nil"/>
              <w:left w:val="nil"/>
              <w:bottom w:val="nil"/>
              <w:right w:val="nil"/>
            </w:tcBorders>
            <w:shd w:val="clear" w:color="auto" w:fill="auto"/>
            <w:noWrap/>
            <w:vAlign w:val="center"/>
            <w:hideMark/>
          </w:tcPr>
          <w:p w14:paraId="3DA9D7F3" w14:textId="39B25005" w:rsidR="00473455" w:rsidRPr="00E20D21" w:rsidRDefault="00473455" w:rsidP="00473455">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fev</w:t>
            </w:r>
            <w:proofErr w:type="spellEnd"/>
            <w:r w:rsidRPr="00E20D21">
              <w:rPr>
                <w:rFonts w:ascii="CAIXA Std Book" w:hAnsi="CAIXA Std Book" w:cs="Arial"/>
                <w:color w:val="005CA9"/>
                <w:sz w:val="16"/>
                <w:szCs w:val="16"/>
              </w:rPr>
              <w:t>/15</w:t>
            </w:r>
          </w:p>
        </w:tc>
        <w:tc>
          <w:tcPr>
            <w:tcW w:w="525" w:type="pct"/>
            <w:tcBorders>
              <w:top w:val="nil"/>
              <w:left w:val="nil"/>
              <w:bottom w:val="nil"/>
              <w:right w:val="nil"/>
            </w:tcBorders>
            <w:shd w:val="clear" w:color="auto" w:fill="auto"/>
            <w:noWrap/>
            <w:vAlign w:val="center"/>
          </w:tcPr>
          <w:p w14:paraId="37CE4903" w14:textId="42718D83" w:rsidR="00473455" w:rsidRPr="00E20D21" w:rsidRDefault="00473455" w:rsidP="005348FA">
            <w:pPr>
              <w:jc w:val="right"/>
              <w:rPr>
                <w:rFonts w:ascii="CAIXA Std Book" w:hAnsi="CAIXA Std Book"/>
                <w:color w:val="005CA9"/>
                <w:sz w:val="16"/>
                <w:szCs w:val="16"/>
              </w:rPr>
            </w:pPr>
            <w:r w:rsidRPr="00E20D21">
              <w:rPr>
                <w:rFonts w:ascii="CAIXA Std Book" w:hAnsi="CAIXA Std Book" w:cs="Arial"/>
                <w:color w:val="005CA9"/>
                <w:sz w:val="16"/>
                <w:szCs w:val="16"/>
              </w:rPr>
              <w:t>1.200</w:t>
            </w:r>
          </w:p>
        </w:tc>
        <w:tc>
          <w:tcPr>
            <w:tcW w:w="582" w:type="pct"/>
            <w:tcBorders>
              <w:top w:val="nil"/>
              <w:left w:val="nil"/>
              <w:bottom w:val="nil"/>
              <w:right w:val="nil"/>
            </w:tcBorders>
            <w:shd w:val="clear" w:color="auto" w:fill="auto"/>
            <w:noWrap/>
            <w:vAlign w:val="center"/>
          </w:tcPr>
          <w:p w14:paraId="7FD3D9B8" w14:textId="4A8555EC" w:rsidR="00473455" w:rsidRPr="00E20D21" w:rsidRDefault="00473455"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2.</w:t>
            </w:r>
            <w:r w:rsidR="00CF5945" w:rsidRPr="00E20D21">
              <w:rPr>
                <w:rFonts w:ascii="CAIXA Std Book" w:hAnsi="CAIXA Std Book" w:cs="Arial"/>
                <w:color w:val="005CA9"/>
                <w:sz w:val="16"/>
                <w:szCs w:val="16"/>
              </w:rPr>
              <w:t>518</w:t>
            </w:r>
          </w:p>
        </w:tc>
        <w:tc>
          <w:tcPr>
            <w:tcW w:w="566" w:type="pct"/>
            <w:tcBorders>
              <w:top w:val="nil"/>
              <w:left w:val="nil"/>
              <w:bottom w:val="nil"/>
              <w:right w:val="nil"/>
            </w:tcBorders>
            <w:shd w:val="clear" w:color="auto" w:fill="auto"/>
            <w:noWrap/>
            <w:vAlign w:val="center"/>
          </w:tcPr>
          <w:p w14:paraId="7D545BAE" w14:textId="77777777" w:rsidR="00473455" w:rsidRPr="00E20D21" w:rsidRDefault="00473455" w:rsidP="00473455">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284E1B86" w14:textId="6565831A" w:rsidR="00473455" w:rsidRPr="00E20D21" w:rsidRDefault="00B02AA9"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50</w:t>
            </w:r>
          </w:p>
        </w:tc>
        <w:tc>
          <w:tcPr>
            <w:tcW w:w="550" w:type="pct"/>
            <w:tcBorders>
              <w:top w:val="nil"/>
              <w:left w:val="nil"/>
              <w:bottom w:val="nil"/>
              <w:right w:val="nil"/>
            </w:tcBorders>
            <w:shd w:val="clear" w:color="auto" w:fill="auto"/>
            <w:noWrap/>
            <w:vAlign w:val="center"/>
          </w:tcPr>
          <w:p w14:paraId="57829A27" w14:textId="18487BAC" w:rsidR="00473455" w:rsidRPr="00E20D21" w:rsidRDefault="00473455"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3.</w:t>
            </w:r>
            <w:r w:rsidR="005868C4" w:rsidRPr="00E20D21">
              <w:rPr>
                <w:rFonts w:ascii="CAIXA Std Book" w:hAnsi="CAIXA Std Book" w:cs="Arial"/>
                <w:color w:val="005CA9"/>
                <w:sz w:val="16"/>
                <w:szCs w:val="16"/>
              </w:rPr>
              <w:t>768</w:t>
            </w:r>
          </w:p>
        </w:tc>
        <w:tc>
          <w:tcPr>
            <w:tcW w:w="550" w:type="pct"/>
            <w:tcBorders>
              <w:top w:val="nil"/>
              <w:left w:val="nil"/>
              <w:bottom w:val="nil"/>
              <w:right w:val="nil"/>
            </w:tcBorders>
            <w:shd w:val="clear" w:color="auto" w:fill="auto"/>
            <w:noWrap/>
            <w:vAlign w:val="center"/>
            <w:hideMark/>
          </w:tcPr>
          <w:p w14:paraId="4860A608" w14:textId="3CCF38A4" w:rsidR="00473455" w:rsidRPr="00E20D21" w:rsidRDefault="00473455" w:rsidP="005348FA">
            <w:pPr>
              <w:jc w:val="right"/>
              <w:rPr>
                <w:rFonts w:ascii="CAIXA Std Book" w:hAnsi="CAIXA Std Book"/>
                <w:color w:val="005CA9"/>
                <w:sz w:val="16"/>
                <w:szCs w:val="16"/>
              </w:rPr>
            </w:pPr>
            <w:r w:rsidRPr="00E20D21">
              <w:rPr>
                <w:rFonts w:ascii="CAIXA Std Book" w:hAnsi="CAIXA Std Book" w:cs="Arial"/>
                <w:color w:val="005CA9"/>
                <w:sz w:val="16"/>
                <w:szCs w:val="16"/>
              </w:rPr>
              <w:t>3.639</w:t>
            </w:r>
          </w:p>
        </w:tc>
      </w:tr>
      <w:tr w:rsidR="00473455" w:rsidRPr="00E20D21" w14:paraId="0727FB7C" w14:textId="77777777" w:rsidTr="00CB6DDE">
        <w:trPr>
          <w:trHeight w:val="283"/>
        </w:trPr>
        <w:tc>
          <w:tcPr>
            <w:tcW w:w="531" w:type="pct"/>
            <w:tcBorders>
              <w:top w:val="nil"/>
              <w:left w:val="nil"/>
              <w:bottom w:val="nil"/>
              <w:right w:val="nil"/>
            </w:tcBorders>
            <w:shd w:val="clear" w:color="auto" w:fill="auto"/>
            <w:vAlign w:val="center"/>
            <w:hideMark/>
          </w:tcPr>
          <w:p w14:paraId="0BB5F77F" w14:textId="1622609A" w:rsidR="00473455" w:rsidRPr="00E20D21" w:rsidRDefault="00473455" w:rsidP="00473455">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fev</w:t>
            </w:r>
            <w:proofErr w:type="spellEnd"/>
            <w:r w:rsidRPr="00E20D21">
              <w:rPr>
                <w:rFonts w:ascii="CAIXA Std Book" w:hAnsi="CAIXA Std Book" w:cs="Arial"/>
                <w:color w:val="005CA9"/>
                <w:sz w:val="16"/>
                <w:szCs w:val="16"/>
              </w:rPr>
              <w:t>/25</w:t>
            </w:r>
          </w:p>
        </w:tc>
        <w:tc>
          <w:tcPr>
            <w:tcW w:w="842" w:type="pct"/>
            <w:tcBorders>
              <w:top w:val="nil"/>
              <w:left w:val="nil"/>
              <w:bottom w:val="nil"/>
              <w:right w:val="nil"/>
            </w:tcBorders>
            <w:shd w:val="clear" w:color="auto" w:fill="auto"/>
            <w:vAlign w:val="center"/>
            <w:hideMark/>
          </w:tcPr>
          <w:p w14:paraId="5EE4751D" w14:textId="1B157A7C" w:rsidR="00473455" w:rsidRPr="00E20D21" w:rsidRDefault="00473455" w:rsidP="00473455">
            <w:pPr>
              <w:jc w:val="center"/>
              <w:rPr>
                <w:rFonts w:ascii="CAIXA Std Book" w:hAnsi="CAIXA Std Book"/>
                <w:color w:val="005CA9"/>
                <w:sz w:val="16"/>
                <w:szCs w:val="16"/>
              </w:rPr>
            </w:pPr>
            <w:r w:rsidRPr="00E20D21">
              <w:rPr>
                <w:rFonts w:ascii="CAIXA Std Book" w:hAnsi="CAIXA Std Book" w:cs="Arial"/>
                <w:color w:val="005CA9"/>
                <w:sz w:val="16"/>
                <w:szCs w:val="16"/>
              </w:rPr>
              <w:t>100%IPCA + 6,</w:t>
            </w:r>
            <w:r w:rsidR="00CF5945" w:rsidRPr="00E20D21">
              <w:rPr>
                <w:rFonts w:ascii="CAIXA Std Book" w:hAnsi="CAIXA Std Book" w:cs="Arial"/>
                <w:color w:val="005CA9"/>
                <w:sz w:val="16"/>
                <w:szCs w:val="16"/>
              </w:rPr>
              <w:t>65</w:t>
            </w:r>
            <w:r w:rsidRPr="00E20D21">
              <w:rPr>
                <w:rFonts w:ascii="CAIXA Std Book" w:hAnsi="CAIXA Std Book" w:cs="Arial"/>
                <w:color w:val="005CA9"/>
                <w:sz w:val="16"/>
                <w:szCs w:val="16"/>
              </w:rPr>
              <w:t>%</w:t>
            </w:r>
          </w:p>
        </w:tc>
        <w:tc>
          <w:tcPr>
            <w:tcW w:w="437" w:type="pct"/>
            <w:tcBorders>
              <w:top w:val="nil"/>
              <w:left w:val="nil"/>
              <w:bottom w:val="nil"/>
              <w:right w:val="nil"/>
            </w:tcBorders>
            <w:shd w:val="clear" w:color="auto" w:fill="auto"/>
            <w:noWrap/>
            <w:vAlign w:val="center"/>
            <w:hideMark/>
          </w:tcPr>
          <w:p w14:paraId="7D6DB94A" w14:textId="5AFAAB4A" w:rsidR="00473455" w:rsidRPr="00E20D21" w:rsidRDefault="00473455" w:rsidP="00473455">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fev</w:t>
            </w:r>
            <w:proofErr w:type="spellEnd"/>
            <w:r w:rsidRPr="00E20D21">
              <w:rPr>
                <w:rFonts w:ascii="CAIXA Std Book" w:hAnsi="CAIXA Std Book" w:cs="Arial"/>
                <w:color w:val="005CA9"/>
                <w:sz w:val="16"/>
                <w:szCs w:val="16"/>
              </w:rPr>
              <w:t>/15</w:t>
            </w:r>
          </w:p>
        </w:tc>
        <w:tc>
          <w:tcPr>
            <w:tcW w:w="525" w:type="pct"/>
            <w:tcBorders>
              <w:top w:val="nil"/>
              <w:left w:val="nil"/>
              <w:bottom w:val="nil"/>
              <w:right w:val="nil"/>
            </w:tcBorders>
            <w:shd w:val="clear" w:color="auto" w:fill="auto"/>
            <w:noWrap/>
            <w:vAlign w:val="center"/>
          </w:tcPr>
          <w:p w14:paraId="756A5154" w14:textId="787B9383" w:rsidR="00473455" w:rsidRPr="00E20D21" w:rsidRDefault="00473455" w:rsidP="005348FA">
            <w:pPr>
              <w:jc w:val="right"/>
              <w:rPr>
                <w:rFonts w:ascii="CAIXA Std Book" w:hAnsi="CAIXA Std Book"/>
                <w:color w:val="005CA9"/>
                <w:sz w:val="16"/>
                <w:szCs w:val="16"/>
              </w:rPr>
            </w:pPr>
            <w:r w:rsidRPr="00E20D21">
              <w:rPr>
                <w:rFonts w:ascii="CAIXA Std Book" w:hAnsi="CAIXA Std Book" w:cs="Arial"/>
                <w:color w:val="005CA9"/>
                <w:sz w:val="16"/>
                <w:szCs w:val="16"/>
              </w:rPr>
              <w:t>1.200</w:t>
            </w:r>
          </w:p>
        </w:tc>
        <w:tc>
          <w:tcPr>
            <w:tcW w:w="582" w:type="pct"/>
            <w:tcBorders>
              <w:top w:val="nil"/>
              <w:left w:val="nil"/>
              <w:bottom w:val="nil"/>
              <w:right w:val="nil"/>
            </w:tcBorders>
            <w:shd w:val="clear" w:color="auto" w:fill="auto"/>
            <w:noWrap/>
            <w:vAlign w:val="center"/>
          </w:tcPr>
          <w:p w14:paraId="0ABEF0B1" w14:textId="02CB5F5C" w:rsidR="00473455" w:rsidRPr="00E20D21" w:rsidRDefault="00473455"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2.</w:t>
            </w:r>
            <w:r w:rsidR="00CF5945" w:rsidRPr="00E20D21">
              <w:rPr>
                <w:rFonts w:ascii="CAIXA Std Book" w:hAnsi="CAIXA Std Book" w:cs="Arial"/>
                <w:color w:val="005CA9"/>
                <w:sz w:val="16"/>
                <w:szCs w:val="16"/>
              </w:rPr>
              <w:t>483</w:t>
            </w:r>
          </w:p>
        </w:tc>
        <w:tc>
          <w:tcPr>
            <w:tcW w:w="566" w:type="pct"/>
            <w:tcBorders>
              <w:top w:val="nil"/>
              <w:left w:val="nil"/>
              <w:bottom w:val="nil"/>
              <w:right w:val="nil"/>
            </w:tcBorders>
            <w:shd w:val="clear" w:color="auto" w:fill="auto"/>
            <w:noWrap/>
            <w:vAlign w:val="center"/>
          </w:tcPr>
          <w:p w14:paraId="5A245C70" w14:textId="77777777" w:rsidR="00473455" w:rsidRPr="00E20D21" w:rsidRDefault="00473455" w:rsidP="00473455">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3FFB1FFC" w14:textId="3A1CC73B" w:rsidR="00473455" w:rsidRPr="00E20D21" w:rsidRDefault="00B02AA9"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44</w:t>
            </w:r>
          </w:p>
        </w:tc>
        <w:tc>
          <w:tcPr>
            <w:tcW w:w="550" w:type="pct"/>
            <w:tcBorders>
              <w:top w:val="nil"/>
              <w:left w:val="nil"/>
              <w:bottom w:val="nil"/>
              <w:right w:val="nil"/>
            </w:tcBorders>
            <w:shd w:val="clear" w:color="auto" w:fill="auto"/>
            <w:noWrap/>
            <w:vAlign w:val="center"/>
          </w:tcPr>
          <w:p w14:paraId="2006E496" w14:textId="5927B345" w:rsidR="00473455" w:rsidRPr="00E20D21" w:rsidRDefault="00473455"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3.</w:t>
            </w:r>
            <w:r w:rsidR="00FA196E" w:rsidRPr="00E20D21">
              <w:rPr>
                <w:rFonts w:ascii="CAIXA Std Book" w:hAnsi="CAIXA Std Book" w:cs="Arial"/>
                <w:color w:val="005CA9"/>
                <w:sz w:val="16"/>
                <w:szCs w:val="16"/>
              </w:rPr>
              <w:t>727</w:t>
            </w:r>
          </w:p>
        </w:tc>
        <w:tc>
          <w:tcPr>
            <w:tcW w:w="550" w:type="pct"/>
            <w:tcBorders>
              <w:top w:val="nil"/>
              <w:left w:val="nil"/>
              <w:bottom w:val="nil"/>
            </w:tcBorders>
            <w:shd w:val="clear" w:color="auto" w:fill="auto"/>
            <w:noWrap/>
            <w:vAlign w:val="center"/>
            <w:hideMark/>
          </w:tcPr>
          <w:p w14:paraId="437C0065" w14:textId="77777777" w:rsidR="00473455" w:rsidRPr="00E20D21" w:rsidRDefault="00473455" w:rsidP="005348FA">
            <w:pPr>
              <w:jc w:val="right"/>
              <w:rPr>
                <w:rFonts w:ascii="CAIXA Std Book" w:hAnsi="CAIXA Std Book"/>
                <w:color w:val="005CA9"/>
                <w:sz w:val="16"/>
                <w:szCs w:val="16"/>
              </w:rPr>
            </w:pPr>
            <w:r w:rsidRPr="00E20D21">
              <w:rPr>
                <w:rFonts w:ascii="CAIXA Std Book" w:hAnsi="CAIXA Std Book" w:cs="Arial"/>
                <w:color w:val="005CA9"/>
                <w:sz w:val="16"/>
                <w:szCs w:val="16"/>
              </w:rPr>
              <w:t>3.604</w:t>
            </w:r>
          </w:p>
        </w:tc>
      </w:tr>
      <w:tr w:rsidR="00473455" w:rsidRPr="00E20D21" w14:paraId="4BC93BAF" w14:textId="77777777" w:rsidTr="00CB6DDE">
        <w:trPr>
          <w:trHeight w:val="283"/>
        </w:trPr>
        <w:tc>
          <w:tcPr>
            <w:tcW w:w="531" w:type="pct"/>
            <w:tcBorders>
              <w:top w:val="nil"/>
              <w:left w:val="nil"/>
              <w:bottom w:val="nil"/>
              <w:right w:val="nil"/>
            </w:tcBorders>
            <w:shd w:val="clear" w:color="auto" w:fill="auto"/>
            <w:vAlign w:val="center"/>
            <w:hideMark/>
          </w:tcPr>
          <w:p w14:paraId="23E780E4" w14:textId="16952658" w:rsidR="00473455" w:rsidRPr="00E20D21" w:rsidRDefault="00473455" w:rsidP="00473455">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fev</w:t>
            </w:r>
            <w:proofErr w:type="spellEnd"/>
            <w:r w:rsidRPr="00E20D21">
              <w:rPr>
                <w:rFonts w:ascii="CAIXA Std Book" w:hAnsi="CAIXA Std Book" w:cs="Arial"/>
                <w:color w:val="005CA9"/>
                <w:sz w:val="16"/>
                <w:szCs w:val="16"/>
              </w:rPr>
              <w:t>/25</w:t>
            </w:r>
          </w:p>
        </w:tc>
        <w:tc>
          <w:tcPr>
            <w:tcW w:w="842" w:type="pct"/>
            <w:tcBorders>
              <w:top w:val="nil"/>
              <w:left w:val="nil"/>
              <w:bottom w:val="nil"/>
              <w:right w:val="nil"/>
            </w:tcBorders>
            <w:shd w:val="clear" w:color="auto" w:fill="auto"/>
            <w:vAlign w:val="center"/>
            <w:hideMark/>
          </w:tcPr>
          <w:p w14:paraId="03487131" w14:textId="5AC19972" w:rsidR="00473455" w:rsidRPr="00E20D21" w:rsidRDefault="00473455" w:rsidP="00473455">
            <w:pPr>
              <w:jc w:val="center"/>
              <w:rPr>
                <w:rFonts w:ascii="CAIXA Std Book" w:hAnsi="CAIXA Std Book"/>
                <w:color w:val="005CA9"/>
                <w:sz w:val="16"/>
                <w:szCs w:val="16"/>
              </w:rPr>
            </w:pPr>
            <w:r w:rsidRPr="00E20D21">
              <w:rPr>
                <w:rFonts w:ascii="CAIXA Std Book" w:hAnsi="CAIXA Std Book" w:cs="Arial"/>
                <w:color w:val="005CA9"/>
                <w:sz w:val="16"/>
                <w:szCs w:val="16"/>
              </w:rPr>
              <w:t>100%IPCA + 6,</w:t>
            </w:r>
            <w:r w:rsidR="00CF5945" w:rsidRPr="00E20D21">
              <w:rPr>
                <w:rFonts w:ascii="CAIXA Std Book" w:hAnsi="CAIXA Std Book" w:cs="Arial"/>
                <w:color w:val="005CA9"/>
                <w:sz w:val="16"/>
                <w:szCs w:val="16"/>
              </w:rPr>
              <w:t>58</w:t>
            </w:r>
            <w:r w:rsidRPr="00E20D21">
              <w:rPr>
                <w:rFonts w:ascii="CAIXA Std Book" w:hAnsi="CAIXA Std Book" w:cs="Arial"/>
                <w:color w:val="005CA9"/>
                <w:sz w:val="16"/>
                <w:szCs w:val="16"/>
              </w:rPr>
              <w:t>%</w:t>
            </w:r>
          </w:p>
        </w:tc>
        <w:tc>
          <w:tcPr>
            <w:tcW w:w="437" w:type="pct"/>
            <w:tcBorders>
              <w:top w:val="nil"/>
              <w:left w:val="nil"/>
              <w:bottom w:val="nil"/>
              <w:right w:val="nil"/>
            </w:tcBorders>
            <w:shd w:val="clear" w:color="auto" w:fill="auto"/>
            <w:noWrap/>
            <w:vAlign w:val="center"/>
            <w:hideMark/>
          </w:tcPr>
          <w:p w14:paraId="0D2B076C" w14:textId="7B2FB00F" w:rsidR="00473455" w:rsidRPr="00E20D21" w:rsidRDefault="00473455" w:rsidP="00473455">
            <w:pPr>
              <w:jc w:val="center"/>
              <w:rPr>
                <w:rFonts w:ascii="CAIXA Std Book" w:hAnsi="CAIXA Std Book"/>
                <w:color w:val="005CA9"/>
                <w:sz w:val="16"/>
                <w:szCs w:val="16"/>
              </w:rPr>
            </w:pPr>
            <w:proofErr w:type="spellStart"/>
            <w:r w:rsidRPr="00E20D21">
              <w:rPr>
                <w:rFonts w:ascii="CAIXA Std Book" w:hAnsi="CAIXA Std Book" w:cs="Arial"/>
                <w:color w:val="005CA9"/>
                <w:sz w:val="16"/>
                <w:szCs w:val="16"/>
              </w:rPr>
              <w:t>fev</w:t>
            </w:r>
            <w:proofErr w:type="spellEnd"/>
            <w:r w:rsidRPr="00E20D21">
              <w:rPr>
                <w:rFonts w:ascii="CAIXA Std Book" w:hAnsi="CAIXA Std Book" w:cs="Arial"/>
                <w:color w:val="005CA9"/>
                <w:sz w:val="16"/>
                <w:szCs w:val="16"/>
              </w:rPr>
              <w:t>/15</w:t>
            </w:r>
          </w:p>
        </w:tc>
        <w:tc>
          <w:tcPr>
            <w:tcW w:w="525" w:type="pct"/>
            <w:tcBorders>
              <w:top w:val="nil"/>
              <w:left w:val="nil"/>
              <w:bottom w:val="nil"/>
              <w:right w:val="nil"/>
            </w:tcBorders>
            <w:shd w:val="clear" w:color="auto" w:fill="auto"/>
            <w:noWrap/>
            <w:vAlign w:val="center"/>
          </w:tcPr>
          <w:p w14:paraId="46C86A91" w14:textId="503C9CB3" w:rsidR="00473455" w:rsidRPr="00E20D21" w:rsidRDefault="00473455" w:rsidP="005348FA">
            <w:pPr>
              <w:jc w:val="right"/>
              <w:rPr>
                <w:rFonts w:ascii="CAIXA Std Book" w:hAnsi="CAIXA Std Book"/>
                <w:color w:val="005CA9"/>
                <w:sz w:val="16"/>
                <w:szCs w:val="16"/>
              </w:rPr>
            </w:pPr>
            <w:r w:rsidRPr="00E20D21">
              <w:rPr>
                <w:rFonts w:ascii="CAIXA Std Book" w:hAnsi="CAIXA Std Book" w:cs="Arial"/>
                <w:color w:val="005CA9"/>
                <w:sz w:val="16"/>
                <w:szCs w:val="16"/>
              </w:rPr>
              <w:t>2.400</w:t>
            </w:r>
          </w:p>
        </w:tc>
        <w:tc>
          <w:tcPr>
            <w:tcW w:w="582" w:type="pct"/>
            <w:tcBorders>
              <w:top w:val="nil"/>
              <w:left w:val="nil"/>
              <w:bottom w:val="nil"/>
              <w:right w:val="nil"/>
            </w:tcBorders>
            <w:shd w:val="clear" w:color="auto" w:fill="auto"/>
            <w:noWrap/>
            <w:vAlign w:val="center"/>
          </w:tcPr>
          <w:p w14:paraId="11AD0D38" w14:textId="1B995A20" w:rsidR="00473455" w:rsidRPr="00E20D21" w:rsidRDefault="00473455"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4.</w:t>
            </w:r>
            <w:r w:rsidR="00CF5945" w:rsidRPr="00E20D21">
              <w:rPr>
                <w:rFonts w:ascii="CAIXA Std Book" w:hAnsi="CAIXA Std Book" w:cs="Arial"/>
                <w:color w:val="005CA9"/>
                <w:sz w:val="16"/>
                <w:szCs w:val="16"/>
              </w:rPr>
              <w:t>971</w:t>
            </w:r>
          </w:p>
        </w:tc>
        <w:tc>
          <w:tcPr>
            <w:tcW w:w="566" w:type="pct"/>
            <w:tcBorders>
              <w:top w:val="nil"/>
              <w:left w:val="nil"/>
              <w:right w:val="nil"/>
            </w:tcBorders>
            <w:shd w:val="clear" w:color="auto" w:fill="auto"/>
            <w:noWrap/>
            <w:vAlign w:val="center"/>
          </w:tcPr>
          <w:p w14:paraId="36E0CBA6" w14:textId="77777777" w:rsidR="00473455" w:rsidRPr="00E20D21" w:rsidRDefault="00473455" w:rsidP="00473455">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68F182E2" w14:textId="043A812B" w:rsidR="00473455" w:rsidRPr="00E20D21" w:rsidRDefault="00B02AA9"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77</w:t>
            </w:r>
          </w:p>
        </w:tc>
        <w:tc>
          <w:tcPr>
            <w:tcW w:w="550" w:type="pct"/>
            <w:tcBorders>
              <w:top w:val="nil"/>
              <w:left w:val="nil"/>
              <w:right w:val="nil"/>
            </w:tcBorders>
            <w:shd w:val="clear" w:color="auto" w:fill="auto"/>
            <w:noWrap/>
            <w:vAlign w:val="center"/>
          </w:tcPr>
          <w:p w14:paraId="1437014E" w14:textId="4E78A4A1" w:rsidR="00473455" w:rsidRPr="00E20D21" w:rsidRDefault="00473455"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7.</w:t>
            </w:r>
            <w:r w:rsidR="0023443D" w:rsidRPr="00E20D21">
              <w:rPr>
                <w:rFonts w:ascii="CAIXA Std Book" w:hAnsi="CAIXA Std Book" w:cs="Arial"/>
                <w:color w:val="005CA9"/>
                <w:sz w:val="16"/>
                <w:szCs w:val="16"/>
              </w:rPr>
              <w:t>448</w:t>
            </w:r>
          </w:p>
        </w:tc>
        <w:tc>
          <w:tcPr>
            <w:tcW w:w="550" w:type="pct"/>
            <w:tcBorders>
              <w:top w:val="nil"/>
              <w:left w:val="nil"/>
              <w:right w:val="nil"/>
            </w:tcBorders>
            <w:shd w:val="clear" w:color="auto" w:fill="auto"/>
            <w:noWrap/>
            <w:vAlign w:val="center"/>
            <w:hideMark/>
          </w:tcPr>
          <w:p w14:paraId="1D39C1B7" w14:textId="77777777" w:rsidR="00473455" w:rsidRPr="00E20D21" w:rsidRDefault="00473455" w:rsidP="005348FA">
            <w:pPr>
              <w:jc w:val="right"/>
              <w:rPr>
                <w:rFonts w:ascii="CAIXA Std Book" w:hAnsi="CAIXA Std Book"/>
                <w:color w:val="005CA9"/>
                <w:sz w:val="16"/>
                <w:szCs w:val="16"/>
              </w:rPr>
            </w:pPr>
            <w:r w:rsidRPr="00E20D21">
              <w:rPr>
                <w:rFonts w:ascii="CAIXA Std Book" w:hAnsi="CAIXA Std Book" w:cs="Arial"/>
                <w:color w:val="005CA9"/>
                <w:sz w:val="16"/>
                <w:szCs w:val="16"/>
              </w:rPr>
              <w:t>7.191</w:t>
            </w:r>
          </w:p>
        </w:tc>
      </w:tr>
      <w:tr w:rsidR="00473455" w:rsidRPr="00E20D21" w14:paraId="4AFB60A3" w14:textId="77777777" w:rsidTr="00CB6DDE">
        <w:trPr>
          <w:trHeight w:val="283"/>
        </w:trPr>
        <w:tc>
          <w:tcPr>
            <w:tcW w:w="531" w:type="pct"/>
            <w:tcBorders>
              <w:top w:val="nil"/>
              <w:left w:val="nil"/>
              <w:bottom w:val="nil"/>
              <w:right w:val="nil"/>
            </w:tcBorders>
            <w:shd w:val="clear" w:color="auto" w:fill="auto"/>
            <w:vAlign w:val="center"/>
            <w:hideMark/>
          </w:tcPr>
          <w:p w14:paraId="020376E1" w14:textId="70A468D3" w:rsidR="00473455" w:rsidRPr="00E20D21" w:rsidRDefault="00473455" w:rsidP="00473455">
            <w:pPr>
              <w:jc w:val="center"/>
              <w:rPr>
                <w:rFonts w:ascii="CAIXA Std Book" w:hAnsi="CAIXA Std Book"/>
                <w:color w:val="005CA9"/>
                <w:sz w:val="16"/>
                <w:szCs w:val="16"/>
              </w:rPr>
            </w:pPr>
            <w:r w:rsidRPr="00E20D21">
              <w:rPr>
                <w:rFonts w:ascii="CAIXA Std Book" w:hAnsi="CAIXA Std Book" w:cs="Arial"/>
                <w:color w:val="005CA9"/>
                <w:sz w:val="16"/>
                <w:szCs w:val="16"/>
              </w:rPr>
              <w:t>mar/25</w:t>
            </w:r>
          </w:p>
        </w:tc>
        <w:tc>
          <w:tcPr>
            <w:tcW w:w="842" w:type="pct"/>
            <w:tcBorders>
              <w:top w:val="nil"/>
              <w:left w:val="nil"/>
              <w:bottom w:val="nil"/>
              <w:right w:val="nil"/>
            </w:tcBorders>
            <w:shd w:val="clear" w:color="auto" w:fill="auto"/>
            <w:vAlign w:val="center"/>
            <w:hideMark/>
          </w:tcPr>
          <w:p w14:paraId="59F44218" w14:textId="03D72FC2" w:rsidR="00473455" w:rsidRPr="00E20D21" w:rsidRDefault="00473455" w:rsidP="00473455">
            <w:pPr>
              <w:jc w:val="center"/>
              <w:rPr>
                <w:rFonts w:ascii="CAIXA Std Book" w:hAnsi="CAIXA Std Book"/>
                <w:color w:val="005CA9"/>
                <w:sz w:val="16"/>
                <w:szCs w:val="16"/>
              </w:rPr>
            </w:pPr>
            <w:r w:rsidRPr="00E20D21">
              <w:rPr>
                <w:rFonts w:ascii="CAIXA Std Book" w:hAnsi="CAIXA Std Book" w:cs="Arial"/>
                <w:color w:val="005CA9"/>
                <w:sz w:val="16"/>
                <w:szCs w:val="16"/>
              </w:rPr>
              <w:t>100%IPCA + 6,45%</w:t>
            </w:r>
          </w:p>
        </w:tc>
        <w:tc>
          <w:tcPr>
            <w:tcW w:w="437" w:type="pct"/>
            <w:tcBorders>
              <w:top w:val="nil"/>
              <w:left w:val="nil"/>
              <w:bottom w:val="nil"/>
              <w:right w:val="nil"/>
            </w:tcBorders>
            <w:shd w:val="clear" w:color="auto" w:fill="auto"/>
            <w:noWrap/>
            <w:vAlign w:val="center"/>
            <w:hideMark/>
          </w:tcPr>
          <w:p w14:paraId="0A9880F2" w14:textId="1E966213" w:rsidR="00473455" w:rsidRPr="00E20D21" w:rsidRDefault="00473455" w:rsidP="00473455">
            <w:pPr>
              <w:jc w:val="center"/>
              <w:rPr>
                <w:rFonts w:ascii="CAIXA Std Book" w:hAnsi="CAIXA Std Book"/>
                <w:color w:val="005CA9"/>
                <w:sz w:val="16"/>
                <w:szCs w:val="16"/>
              </w:rPr>
            </w:pPr>
            <w:r w:rsidRPr="00E20D21">
              <w:rPr>
                <w:rFonts w:ascii="CAIXA Std Book" w:hAnsi="CAIXA Std Book" w:cs="Arial"/>
                <w:color w:val="005CA9"/>
                <w:sz w:val="16"/>
                <w:szCs w:val="16"/>
              </w:rPr>
              <w:t>mar/15</w:t>
            </w:r>
          </w:p>
        </w:tc>
        <w:tc>
          <w:tcPr>
            <w:tcW w:w="525" w:type="pct"/>
            <w:tcBorders>
              <w:top w:val="nil"/>
              <w:left w:val="nil"/>
              <w:bottom w:val="single" w:sz="4" w:space="0" w:color="F79646" w:themeColor="accent6"/>
              <w:right w:val="nil"/>
            </w:tcBorders>
            <w:shd w:val="clear" w:color="auto" w:fill="auto"/>
            <w:noWrap/>
            <w:vAlign w:val="center"/>
          </w:tcPr>
          <w:p w14:paraId="17976F73" w14:textId="7E1BB73E" w:rsidR="00473455" w:rsidRPr="00E20D21" w:rsidRDefault="00473455" w:rsidP="005348FA">
            <w:pPr>
              <w:jc w:val="right"/>
              <w:rPr>
                <w:rFonts w:ascii="CAIXA Std Book" w:hAnsi="CAIXA Std Book"/>
                <w:color w:val="005CA9"/>
                <w:sz w:val="16"/>
                <w:szCs w:val="16"/>
              </w:rPr>
            </w:pPr>
            <w:r w:rsidRPr="00E20D21">
              <w:rPr>
                <w:rFonts w:ascii="CAIXA Std Book" w:hAnsi="CAIXA Std Book" w:cs="Arial"/>
                <w:color w:val="005CA9"/>
                <w:sz w:val="16"/>
                <w:szCs w:val="16"/>
              </w:rPr>
              <w:t>1.200</w:t>
            </w:r>
          </w:p>
        </w:tc>
        <w:tc>
          <w:tcPr>
            <w:tcW w:w="582" w:type="pct"/>
            <w:tcBorders>
              <w:top w:val="nil"/>
              <w:left w:val="nil"/>
              <w:bottom w:val="single" w:sz="4" w:space="0" w:color="F79646" w:themeColor="accent6"/>
              <w:right w:val="nil"/>
            </w:tcBorders>
            <w:shd w:val="clear" w:color="auto" w:fill="auto"/>
            <w:noWrap/>
            <w:vAlign w:val="center"/>
          </w:tcPr>
          <w:p w14:paraId="279B56B6" w14:textId="15473FC8" w:rsidR="00473455" w:rsidRPr="00E20D21" w:rsidRDefault="00473455"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2.</w:t>
            </w:r>
            <w:r w:rsidR="00CF5945" w:rsidRPr="00E20D21">
              <w:rPr>
                <w:rFonts w:ascii="CAIXA Std Book" w:hAnsi="CAIXA Std Book" w:cs="Arial"/>
                <w:color w:val="005CA9"/>
                <w:sz w:val="16"/>
                <w:szCs w:val="16"/>
              </w:rPr>
              <w:t>419</w:t>
            </w:r>
          </w:p>
        </w:tc>
        <w:tc>
          <w:tcPr>
            <w:tcW w:w="566" w:type="pct"/>
            <w:tcBorders>
              <w:top w:val="nil"/>
              <w:left w:val="nil"/>
              <w:bottom w:val="single" w:sz="4" w:space="0" w:color="F79646" w:themeColor="accent6"/>
              <w:right w:val="nil"/>
            </w:tcBorders>
            <w:shd w:val="clear" w:color="auto" w:fill="auto"/>
            <w:noWrap/>
            <w:vAlign w:val="center"/>
          </w:tcPr>
          <w:p w14:paraId="0D5A45FC" w14:textId="77777777" w:rsidR="00473455" w:rsidRPr="00E20D21" w:rsidRDefault="00473455" w:rsidP="00473455">
            <w:pPr>
              <w:jc w:val="center"/>
              <w:rPr>
                <w:rFonts w:ascii="CAIXA Std Book" w:hAnsi="CAIXA Std Book" w:cs="Arial"/>
                <w:color w:val="005CA9"/>
                <w:sz w:val="16"/>
                <w:szCs w:val="16"/>
              </w:rPr>
            </w:pPr>
            <w:r w:rsidRPr="00E20D21">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5B3B7B0F" w14:textId="08D7DFF8" w:rsidR="00473455" w:rsidRPr="00E20D21" w:rsidRDefault="00B02AA9"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37</w:t>
            </w:r>
          </w:p>
        </w:tc>
        <w:tc>
          <w:tcPr>
            <w:tcW w:w="550" w:type="pct"/>
            <w:tcBorders>
              <w:top w:val="nil"/>
              <w:left w:val="nil"/>
              <w:right w:val="nil"/>
            </w:tcBorders>
            <w:shd w:val="clear" w:color="auto" w:fill="auto"/>
            <w:noWrap/>
            <w:vAlign w:val="center"/>
          </w:tcPr>
          <w:p w14:paraId="13ECD63A" w14:textId="0C332960" w:rsidR="00473455" w:rsidRPr="00E20D21" w:rsidRDefault="00473455" w:rsidP="005348FA">
            <w:pPr>
              <w:jc w:val="right"/>
              <w:rPr>
                <w:rFonts w:ascii="CAIXA Std Book" w:hAnsi="CAIXA Std Book" w:cs="Arial"/>
                <w:color w:val="005CA9"/>
                <w:sz w:val="16"/>
                <w:szCs w:val="16"/>
              </w:rPr>
            </w:pPr>
            <w:r w:rsidRPr="00E20D21">
              <w:rPr>
                <w:rFonts w:ascii="CAIXA Std Book" w:hAnsi="CAIXA Std Book" w:cs="Arial"/>
                <w:color w:val="005CA9"/>
                <w:sz w:val="16"/>
                <w:szCs w:val="16"/>
              </w:rPr>
              <w:t>3.</w:t>
            </w:r>
            <w:r w:rsidR="00610EA8" w:rsidRPr="00E20D21">
              <w:rPr>
                <w:rFonts w:ascii="CAIXA Std Book" w:hAnsi="CAIXA Std Book" w:cs="Arial"/>
                <w:color w:val="005CA9"/>
                <w:sz w:val="16"/>
                <w:szCs w:val="16"/>
              </w:rPr>
              <w:t>656</w:t>
            </w:r>
          </w:p>
        </w:tc>
        <w:tc>
          <w:tcPr>
            <w:tcW w:w="550" w:type="pct"/>
            <w:tcBorders>
              <w:top w:val="nil"/>
              <w:left w:val="nil"/>
              <w:right w:val="nil"/>
            </w:tcBorders>
            <w:shd w:val="clear" w:color="auto" w:fill="auto"/>
            <w:noWrap/>
            <w:vAlign w:val="center"/>
            <w:hideMark/>
          </w:tcPr>
          <w:p w14:paraId="7FE3387F" w14:textId="77777777" w:rsidR="00473455" w:rsidRPr="00E20D21" w:rsidRDefault="00473455" w:rsidP="005348FA">
            <w:pPr>
              <w:jc w:val="right"/>
              <w:rPr>
                <w:rFonts w:ascii="CAIXA Std Book" w:hAnsi="CAIXA Std Book"/>
                <w:color w:val="005CA9"/>
                <w:sz w:val="16"/>
                <w:szCs w:val="16"/>
              </w:rPr>
            </w:pPr>
            <w:r w:rsidRPr="00E20D21">
              <w:rPr>
                <w:rFonts w:ascii="CAIXA Std Book" w:hAnsi="CAIXA Std Book" w:cs="Arial"/>
                <w:color w:val="005CA9"/>
                <w:sz w:val="16"/>
                <w:szCs w:val="16"/>
              </w:rPr>
              <w:t>3.538</w:t>
            </w:r>
          </w:p>
        </w:tc>
      </w:tr>
      <w:tr w:rsidR="00D927A2" w:rsidRPr="00E20D21" w14:paraId="66226B63" w14:textId="77777777" w:rsidTr="00CB6DDE">
        <w:trPr>
          <w:trHeight w:val="283"/>
        </w:trPr>
        <w:tc>
          <w:tcPr>
            <w:tcW w:w="531" w:type="pct"/>
            <w:tcBorders>
              <w:top w:val="single" w:sz="4" w:space="0" w:color="F39200"/>
              <w:left w:val="nil"/>
              <w:bottom w:val="single" w:sz="4" w:space="0" w:color="F79646" w:themeColor="accent6"/>
              <w:right w:val="nil"/>
            </w:tcBorders>
            <w:shd w:val="clear" w:color="auto" w:fill="auto"/>
            <w:vAlign w:val="center"/>
            <w:hideMark/>
          </w:tcPr>
          <w:p w14:paraId="28B73AD6" w14:textId="77777777" w:rsidR="003832D9" w:rsidRPr="00E20D21" w:rsidRDefault="003832D9">
            <w:pPr>
              <w:rPr>
                <w:rFonts w:ascii="CAIXA Std Book" w:hAnsi="CAIXA Std Book"/>
                <w:b/>
                <w:color w:val="005CA9"/>
                <w:sz w:val="16"/>
                <w:szCs w:val="16"/>
              </w:rPr>
            </w:pPr>
            <w:r w:rsidRPr="00E20D21">
              <w:rPr>
                <w:rFonts w:ascii="CAIXA Std Book" w:hAnsi="CAIXA Std Book"/>
                <w:b/>
                <w:color w:val="005CA9"/>
                <w:sz w:val="16"/>
                <w:szCs w:val="16"/>
              </w:rPr>
              <w:t>Total</w:t>
            </w:r>
          </w:p>
        </w:tc>
        <w:tc>
          <w:tcPr>
            <w:tcW w:w="842" w:type="pct"/>
            <w:tcBorders>
              <w:top w:val="single" w:sz="4" w:space="0" w:color="F39200"/>
              <w:left w:val="nil"/>
              <w:bottom w:val="single" w:sz="4" w:space="0" w:color="F79646" w:themeColor="accent6"/>
              <w:right w:val="nil"/>
            </w:tcBorders>
            <w:shd w:val="clear" w:color="auto" w:fill="auto"/>
            <w:noWrap/>
            <w:vAlign w:val="center"/>
            <w:hideMark/>
          </w:tcPr>
          <w:p w14:paraId="1858F39E"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 </w:t>
            </w:r>
          </w:p>
        </w:tc>
        <w:tc>
          <w:tcPr>
            <w:tcW w:w="437" w:type="pct"/>
            <w:tcBorders>
              <w:top w:val="single" w:sz="4" w:space="0" w:color="F39200"/>
              <w:left w:val="nil"/>
              <w:bottom w:val="single" w:sz="4" w:space="0" w:color="F79646" w:themeColor="accent6"/>
              <w:right w:val="nil"/>
            </w:tcBorders>
            <w:shd w:val="clear" w:color="auto" w:fill="auto"/>
            <w:noWrap/>
            <w:vAlign w:val="center"/>
            <w:hideMark/>
          </w:tcPr>
          <w:p w14:paraId="2786C001" w14:textId="77777777" w:rsidR="003832D9" w:rsidRPr="00E20D21" w:rsidRDefault="003832D9">
            <w:pPr>
              <w:jc w:val="center"/>
              <w:rPr>
                <w:rFonts w:ascii="CAIXA Std Book" w:hAnsi="CAIXA Std Book"/>
                <w:b/>
                <w:color w:val="005CA9"/>
                <w:sz w:val="16"/>
                <w:szCs w:val="16"/>
              </w:rPr>
            </w:pPr>
            <w:r w:rsidRPr="00E20D21">
              <w:rPr>
                <w:rFonts w:ascii="CAIXA Std Book" w:hAnsi="CAIXA Std Book"/>
                <w:b/>
                <w:color w:val="005CA9"/>
                <w:sz w:val="16"/>
                <w:szCs w:val="16"/>
              </w:rPr>
              <w:t> </w:t>
            </w:r>
          </w:p>
        </w:tc>
        <w:tc>
          <w:tcPr>
            <w:tcW w:w="525" w:type="pct"/>
            <w:tcBorders>
              <w:top w:val="single" w:sz="4" w:space="0" w:color="F79646" w:themeColor="accent6"/>
              <w:left w:val="nil"/>
              <w:bottom w:val="single" w:sz="4" w:space="0" w:color="F79646" w:themeColor="accent6"/>
              <w:right w:val="nil"/>
            </w:tcBorders>
            <w:shd w:val="clear" w:color="auto" w:fill="auto"/>
            <w:noWrap/>
            <w:vAlign w:val="center"/>
          </w:tcPr>
          <w:p w14:paraId="7780A467" w14:textId="1FE79BBF" w:rsidR="003832D9" w:rsidRPr="00E20D21" w:rsidRDefault="00EC7ABE" w:rsidP="00EC7ABE">
            <w:pPr>
              <w:jc w:val="right"/>
              <w:rPr>
                <w:rFonts w:ascii="CAIXA Std Book" w:hAnsi="CAIXA Std Book"/>
                <w:b/>
                <w:bCs/>
                <w:color w:val="005CA9"/>
                <w:sz w:val="16"/>
                <w:szCs w:val="16"/>
              </w:rPr>
            </w:pPr>
            <w:r w:rsidRPr="00E20D21">
              <w:rPr>
                <w:rFonts w:ascii="CAIXA Std Book" w:hAnsi="CAIXA Std Book" w:cs="Arial"/>
                <w:b/>
                <w:bCs/>
                <w:color w:val="005CA9"/>
                <w:sz w:val="16"/>
                <w:szCs w:val="16"/>
              </w:rPr>
              <w:t>27.724.700</w:t>
            </w:r>
          </w:p>
        </w:tc>
        <w:tc>
          <w:tcPr>
            <w:tcW w:w="582" w:type="pct"/>
            <w:tcBorders>
              <w:top w:val="single" w:sz="4" w:space="0" w:color="F79646" w:themeColor="accent6"/>
              <w:left w:val="nil"/>
              <w:bottom w:val="single" w:sz="4" w:space="0" w:color="F79646" w:themeColor="accent6"/>
              <w:right w:val="nil"/>
            </w:tcBorders>
            <w:shd w:val="clear" w:color="auto" w:fill="auto"/>
            <w:noWrap/>
            <w:vAlign w:val="center"/>
          </w:tcPr>
          <w:p w14:paraId="1D2FEC8B" w14:textId="1D6B8A16" w:rsidR="003832D9" w:rsidRPr="00E20D21" w:rsidRDefault="00CF5945" w:rsidP="005348FA">
            <w:pPr>
              <w:jc w:val="right"/>
              <w:rPr>
                <w:rFonts w:ascii="CAIXA Std Book" w:hAnsi="CAIXA Std Book"/>
                <w:b/>
                <w:color w:val="005CA9"/>
                <w:sz w:val="16"/>
                <w:szCs w:val="16"/>
              </w:rPr>
            </w:pPr>
            <w:r w:rsidRPr="00E20D21">
              <w:rPr>
                <w:rFonts w:ascii="CAIXA Std Book" w:hAnsi="CAIXA Std Book" w:cs="Arial"/>
                <w:b/>
                <w:color w:val="005CA9"/>
                <w:sz w:val="16"/>
                <w:szCs w:val="16"/>
              </w:rPr>
              <w:t>15.027.188</w:t>
            </w:r>
          </w:p>
        </w:tc>
        <w:tc>
          <w:tcPr>
            <w:tcW w:w="566" w:type="pct"/>
            <w:tcBorders>
              <w:top w:val="single" w:sz="4" w:space="0" w:color="F79646" w:themeColor="accent6"/>
              <w:left w:val="nil"/>
              <w:bottom w:val="single" w:sz="4" w:space="0" w:color="F79646" w:themeColor="accent6"/>
              <w:right w:val="nil"/>
            </w:tcBorders>
            <w:shd w:val="clear" w:color="auto" w:fill="auto"/>
            <w:noWrap/>
            <w:vAlign w:val="center"/>
          </w:tcPr>
          <w:p w14:paraId="52926457" w14:textId="344D3C19" w:rsidR="003832D9" w:rsidRPr="00E20D21" w:rsidRDefault="003832D9">
            <w:pPr>
              <w:ind w:right="-175"/>
              <w:jc w:val="center"/>
              <w:rPr>
                <w:rFonts w:ascii="CAIXA Std Book" w:hAnsi="CAIXA Std Book"/>
                <w:b/>
                <w:bCs/>
                <w:color w:val="005CA9"/>
                <w:sz w:val="16"/>
                <w:szCs w:val="16"/>
              </w:rPr>
            </w:pPr>
            <w:r w:rsidRPr="00E20D21">
              <w:rPr>
                <w:rFonts w:ascii="CAIXA Std Book" w:hAnsi="CAIXA Std Book" w:cs="Arial"/>
                <w:b/>
                <w:color w:val="005CA9"/>
                <w:sz w:val="16"/>
                <w:szCs w:val="16"/>
              </w:rPr>
              <w:t>(6.</w:t>
            </w:r>
            <w:r w:rsidR="00B02AA9" w:rsidRPr="00E20D21">
              <w:rPr>
                <w:rFonts w:ascii="CAIXA Std Book" w:hAnsi="CAIXA Std Book" w:cs="Arial"/>
                <w:b/>
                <w:color w:val="005CA9"/>
                <w:sz w:val="16"/>
                <w:szCs w:val="16"/>
              </w:rPr>
              <w:t>591.428</w:t>
            </w:r>
            <w:r w:rsidRPr="00E20D21">
              <w:rPr>
                <w:rFonts w:ascii="CAIXA Std Book" w:hAnsi="CAIXA Std Book" w:cs="Arial"/>
                <w:b/>
                <w:color w:val="005CA9"/>
                <w:sz w:val="16"/>
                <w:szCs w:val="16"/>
              </w:rPr>
              <w:t>)</w:t>
            </w:r>
          </w:p>
        </w:tc>
        <w:tc>
          <w:tcPr>
            <w:tcW w:w="416" w:type="pct"/>
            <w:tcBorders>
              <w:top w:val="single" w:sz="4" w:space="0" w:color="F39200"/>
              <w:left w:val="nil"/>
              <w:bottom w:val="single" w:sz="4" w:space="0" w:color="F39200"/>
              <w:right w:val="nil"/>
            </w:tcBorders>
            <w:shd w:val="clear" w:color="auto" w:fill="auto"/>
            <w:vAlign w:val="center"/>
          </w:tcPr>
          <w:p w14:paraId="55204142" w14:textId="12EA6CD6" w:rsidR="003832D9" w:rsidRPr="00E20D21" w:rsidRDefault="00B02AA9" w:rsidP="005348FA">
            <w:pPr>
              <w:jc w:val="right"/>
              <w:rPr>
                <w:rFonts w:ascii="CAIXA Std Book" w:hAnsi="CAIXA Std Book"/>
                <w:b/>
                <w:bCs/>
                <w:color w:val="005CA9"/>
                <w:sz w:val="16"/>
                <w:szCs w:val="16"/>
              </w:rPr>
            </w:pPr>
            <w:r w:rsidRPr="00E20D21">
              <w:rPr>
                <w:rFonts w:ascii="CAIXA Std Book" w:hAnsi="CAIXA Std Book" w:cs="Arial"/>
                <w:b/>
                <w:color w:val="005CA9"/>
                <w:sz w:val="16"/>
                <w:szCs w:val="16"/>
              </w:rPr>
              <w:t>208</w:t>
            </w:r>
          </w:p>
        </w:tc>
        <w:tc>
          <w:tcPr>
            <w:tcW w:w="550" w:type="pct"/>
            <w:tcBorders>
              <w:top w:val="single" w:sz="4" w:space="0" w:color="F39200"/>
              <w:left w:val="nil"/>
              <w:bottom w:val="single" w:sz="4" w:space="0" w:color="F79646" w:themeColor="accent6"/>
              <w:right w:val="nil"/>
            </w:tcBorders>
            <w:shd w:val="clear" w:color="auto" w:fill="auto"/>
            <w:noWrap/>
            <w:vAlign w:val="center"/>
          </w:tcPr>
          <w:p w14:paraId="51747125" w14:textId="635A3870" w:rsidR="003832D9" w:rsidRPr="00E20D21" w:rsidRDefault="004560CA" w:rsidP="005348FA">
            <w:pPr>
              <w:jc w:val="right"/>
              <w:rPr>
                <w:rFonts w:ascii="CAIXA Std Book" w:hAnsi="CAIXA Std Book"/>
                <w:b/>
                <w:color w:val="005CA9"/>
                <w:sz w:val="16"/>
                <w:szCs w:val="16"/>
              </w:rPr>
            </w:pPr>
            <w:r w:rsidRPr="00E20D21">
              <w:rPr>
                <w:rFonts w:ascii="CAIXA Std Book" w:hAnsi="CAIXA Std Book" w:cs="Arial"/>
                <w:b/>
                <w:color w:val="005CA9"/>
                <w:sz w:val="16"/>
                <w:szCs w:val="16"/>
              </w:rPr>
              <w:t>36.160.668</w:t>
            </w:r>
          </w:p>
        </w:tc>
        <w:tc>
          <w:tcPr>
            <w:tcW w:w="550" w:type="pct"/>
            <w:tcBorders>
              <w:top w:val="single" w:sz="4" w:space="0" w:color="F39200"/>
              <w:left w:val="nil"/>
              <w:bottom w:val="single" w:sz="4" w:space="0" w:color="F79646" w:themeColor="accent6"/>
            </w:tcBorders>
            <w:shd w:val="clear" w:color="auto" w:fill="auto"/>
            <w:noWrap/>
            <w:vAlign w:val="center"/>
          </w:tcPr>
          <w:p w14:paraId="7B256F0E" w14:textId="77777777" w:rsidR="003832D9" w:rsidRPr="00E20D21" w:rsidRDefault="003832D9" w:rsidP="005348FA">
            <w:pPr>
              <w:jc w:val="right"/>
              <w:rPr>
                <w:rFonts w:ascii="CAIXA Std Book" w:hAnsi="CAIXA Std Book"/>
                <w:b/>
                <w:bCs/>
                <w:color w:val="005CA9"/>
                <w:sz w:val="16"/>
                <w:szCs w:val="16"/>
              </w:rPr>
            </w:pPr>
            <w:r w:rsidRPr="00E20D21">
              <w:rPr>
                <w:rFonts w:ascii="CAIXA Std Book" w:hAnsi="CAIXA Std Book" w:cs="Arial"/>
                <w:b/>
                <w:bCs/>
                <w:color w:val="005CA9"/>
                <w:sz w:val="16"/>
                <w:szCs w:val="16"/>
              </w:rPr>
              <w:t>36.706.423</w:t>
            </w:r>
          </w:p>
        </w:tc>
      </w:tr>
    </w:tbl>
    <w:p w14:paraId="64AF864D" w14:textId="23C07ACB" w:rsidR="00590A40" w:rsidRPr="00E20D21" w:rsidRDefault="003666B1" w:rsidP="00590A40">
      <w:pPr>
        <w:spacing w:after="20"/>
        <w:jc w:val="both"/>
        <w:rPr>
          <w:rFonts w:ascii="CAIXA Std Book" w:hAnsi="CAIXA Std Book"/>
          <w:color w:val="005CA9"/>
          <w:sz w:val="14"/>
          <w:szCs w:val="14"/>
        </w:rPr>
      </w:pPr>
      <w:r w:rsidRPr="00E20D21">
        <w:rPr>
          <w:rFonts w:ascii="CAIXA Std Book" w:hAnsi="CAIXA Std Book"/>
          <w:color w:val="005CA9"/>
          <w:sz w:val="14"/>
          <w:szCs w:val="14"/>
        </w:rPr>
        <w:t xml:space="preserve">(1) </w:t>
      </w:r>
      <w:r w:rsidR="00590A40" w:rsidRPr="00E20D21">
        <w:rPr>
          <w:rFonts w:ascii="CAIXA Std Book" w:hAnsi="CAIXA Std Book"/>
          <w:color w:val="005CA9"/>
          <w:sz w:val="14"/>
          <w:szCs w:val="14"/>
        </w:rPr>
        <w:t>A composição do PR está detalhada na Nota Explicativa 33 (h).</w:t>
      </w:r>
    </w:p>
    <w:p w14:paraId="76484B3C" w14:textId="3CC01F13" w:rsidR="003666B1" w:rsidRPr="00E20D21" w:rsidRDefault="003666B1" w:rsidP="00507A5A">
      <w:pPr>
        <w:spacing w:after="20"/>
        <w:jc w:val="both"/>
        <w:rPr>
          <w:rFonts w:ascii="CAIXA Std Book" w:hAnsi="CAIXA Std Book"/>
          <w:color w:val="005CA9"/>
          <w:sz w:val="14"/>
          <w:szCs w:val="14"/>
        </w:rPr>
      </w:pPr>
    </w:p>
    <w:p w14:paraId="15793A80" w14:textId="73A402A9" w:rsidR="00681A81" w:rsidRPr="00E20D21" w:rsidRDefault="00681A81" w:rsidP="00C86A22">
      <w:pPr>
        <w:tabs>
          <w:tab w:val="left" w:pos="1650"/>
        </w:tabs>
        <w:spacing w:before="240" w:after="120"/>
        <w:jc w:val="both"/>
        <w:rPr>
          <w:rFonts w:ascii="CAIXA Std Book" w:hAnsi="CAIXA Std Book"/>
          <w:color w:val="005CA9"/>
          <w:sz w:val="20"/>
          <w:szCs w:val="20"/>
        </w:rPr>
      </w:pPr>
      <w:r w:rsidRPr="00E20D21">
        <w:rPr>
          <w:rFonts w:ascii="CAIXA Std Book" w:hAnsi="CAIXA Std Book"/>
          <w:color w:val="005CA9"/>
          <w:sz w:val="20"/>
          <w:szCs w:val="20"/>
        </w:rPr>
        <w:lastRenderedPageBreak/>
        <w:t>O Nível I do Patrimônio de Referência é dividido em Capital Principal e Capital Complementar. A CAIXA possui Instrumentos Híbridos de Capital e Dívida – IHCD autorizados a compor o seu Capital Principal.</w:t>
      </w:r>
    </w:p>
    <w:p w14:paraId="66C5F7CC" w14:textId="7E11FF3A" w:rsidR="00681A81" w:rsidRPr="00E20D21" w:rsidRDefault="00681A81" w:rsidP="00C86A22">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Resolução CMN nº 4</w:t>
      </w:r>
      <w:r w:rsidR="005A276B" w:rsidRPr="00E20D21">
        <w:rPr>
          <w:rFonts w:ascii="CAIXA Std Book" w:hAnsi="CAIXA Std Book"/>
          <w:color w:val="005CA9"/>
          <w:sz w:val="20"/>
          <w:szCs w:val="20"/>
        </w:rPr>
        <w:t>.9</w:t>
      </w:r>
      <w:r w:rsidR="008D0733" w:rsidRPr="00E20D21">
        <w:rPr>
          <w:rFonts w:ascii="CAIXA Std Book" w:hAnsi="CAIXA Std Book"/>
          <w:color w:val="005CA9"/>
          <w:sz w:val="20"/>
          <w:szCs w:val="20"/>
        </w:rPr>
        <w:t>5</w:t>
      </w:r>
      <w:r w:rsidR="005A276B" w:rsidRPr="00E20D21">
        <w:rPr>
          <w:rFonts w:ascii="CAIXA Std Book" w:hAnsi="CAIXA Std Book"/>
          <w:color w:val="005CA9"/>
          <w:sz w:val="20"/>
          <w:szCs w:val="20"/>
        </w:rPr>
        <w:t>5</w:t>
      </w:r>
      <w:r w:rsidRPr="00E20D21">
        <w:rPr>
          <w:rFonts w:ascii="CAIXA Std Book" w:hAnsi="CAIXA Std Book"/>
          <w:color w:val="005CA9"/>
          <w:sz w:val="20"/>
          <w:szCs w:val="20"/>
        </w:rPr>
        <w:t>/20</w:t>
      </w:r>
      <w:r w:rsidR="005A276B" w:rsidRPr="00E20D21">
        <w:rPr>
          <w:rFonts w:ascii="CAIXA Std Book" w:hAnsi="CAIXA Std Book"/>
          <w:color w:val="005CA9"/>
          <w:sz w:val="20"/>
          <w:szCs w:val="20"/>
        </w:rPr>
        <w:t>21</w:t>
      </w:r>
      <w:r w:rsidR="00545A8F"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determina, para fins de divulgação das demonstrações contábeis consolidadas, a reclassificação para o patrimônio líquido dos instrumentos que atendam às características de capital principal. </w:t>
      </w:r>
    </w:p>
    <w:p w14:paraId="53C028E5" w14:textId="08B1015D" w:rsidR="00681A81" w:rsidRPr="00E20D21" w:rsidRDefault="00681A81" w:rsidP="00C86A22">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contratos possuem cláusulas de remuneração integralmente variáveis, a atualização monetária é incorporada anualmente, após o pagamento dos juros atinentes ao exercício anterior.</w:t>
      </w:r>
    </w:p>
    <w:p w14:paraId="3347D1B6" w14:textId="55E21A28" w:rsidR="007F2892" w:rsidRPr="00E20D21" w:rsidRDefault="007F2892" w:rsidP="007F2892">
      <w:pPr>
        <w:spacing w:before="120" w:after="120"/>
        <w:jc w:val="both"/>
        <w:rPr>
          <w:rFonts w:ascii="CAIXA Std Book" w:hAnsi="CAIXA Std Book"/>
          <w:color w:val="005CA9"/>
          <w:sz w:val="20"/>
          <w:szCs w:val="20"/>
        </w:rPr>
      </w:pPr>
      <w:bookmarkStart w:id="57" w:name="_Hlk79056594"/>
      <w:r w:rsidRPr="00E20D21">
        <w:rPr>
          <w:rFonts w:ascii="CAIXA Std Book" w:hAnsi="CAIXA Std Book"/>
          <w:color w:val="005CA9"/>
          <w:sz w:val="20"/>
          <w:szCs w:val="20"/>
        </w:rPr>
        <w:t xml:space="preserve">Os juros remuneratórios a pagar dos Instrumentos Subordinados elegíveis a Capital Complementar, totalizam um montante de R$ </w:t>
      </w:r>
      <w:r w:rsidR="00BA7A86" w:rsidRPr="00E20D21">
        <w:rPr>
          <w:rFonts w:ascii="CAIXA Std Book" w:hAnsi="CAIXA Std Book"/>
          <w:color w:val="005CA9"/>
          <w:sz w:val="20"/>
          <w:szCs w:val="20"/>
        </w:rPr>
        <w:t>124.013</w:t>
      </w:r>
      <w:r w:rsidRPr="00E20D21">
        <w:rPr>
          <w:rFonts w:ascii="CAIXA Std Book" w:hAnsi="CAIXA Std Book"/>
          <w:color w:val="005CA9"/>
          <w:sz w:val="20"/>
          <w:szCs w:val="20"/>
        </w:rPr>
        <w:t xml:space="preserve"> em </w:t>
      </w:r>
      <w:r w:rsidR="008F2917" w:rsidRPr="00E20D21">
        <w:rPr>
          <w:rFonts w:ascii="CAIXA Std Book" w:hAnsi="CAIXA Std Book"/>
          <w:color w:val="005CA9"/>
          <w:sz w:val="20"/>
          <w:szCs w:val="20"/>
        </w:rPr>
        <w:t>30/06/2024</w:t>
      </w:r>
      <w:r w:rsidRPr="00E20D21">
        <w:rPr>
          <w:rFonts w:ascii="CAIXA Std Book" w:hAnsi="CAIXA Std Book"/>
          <w:color w:val="005CA9"/>
          <w:sz w:val="20"/>
          <w:szCs w:val="20"/>
        </w:rPr>
        <w:t xml:space="preserve"> (31/12/202</w:t>
      </w:r>
      <w:r w:rsidR="008F2917" w:rsidRPr="00E20D21">
        <w:rPr>
          <w:rFonts w:ascii="CAIXA Std Book" w:hAnsi="CAIXA Std Book"/>
          <w:color w:val="005CA9"/>
          <w:sz w:val="20"/>
          <w:szCs w:val="20"/>
        </w:rPr>
        <w:t>3</w:t>
      </w:r>
      <w:r w:rsidRPr="00E20D21">
        <w:rPr>
          <w:rFonts w:ascii="CAIXA Std Book" w:hAnsi="CAIXA Std Book"/>
          <w:color w:val="005CA9"/>
          <w:sz w:val="20"/>
          <w:szCs w:val="20"/>
        </w:rPr>
        <w:t xml:space="preserve"> – R$</w:t>
      </w:r>
      <w:r w:rsidR="00E45AB9" w:rsidRPr="00E20D21">
        <w:rPr>
          <w:rFonts w:ascii="CAIXA Std Book" w:hAnsi="CAIXA Std Book"/>
          <w:color w:val="005CA9"/>
          <w:sz w:val="20"/>
          <w:szCs w:val="20"/>
        </w:rPr>
        <w:t xml:space="preserve"> </w:t>
      </w:r>
      <w:r w:rsidR="0019771B" w:rsidRPr="00E20D21">
        <w:rPr>
          <w:rFonts w:ascii="CAIXA Std Book" w:hAnsi="CAIXA Std Book"/>
          <w:color w:val="005CA9"/>
          <w:sz w:val="20"/>
          <w:szCs w:val="20"/>
        </w:rPr>
        <w:t>20.143</w:t>
      </w:r>
      <w:r w:rsidRPr="00E20D21">
        <w:rPr>
          <w:rFonts w:ascii="CAIXA Std Book" w:hAnsi="CAIXA Std Book"/>
          <w:color w:val="005CA9"/>
          <w:sz w:val="20"/>
          <w:szCs w:val="20"/>
        </w:rPr>
        <w:t>).</w:t>
      </w:r>
    </w:p>
    <w:bookmarkEnd w:id="57"/>
    <w:p w14:paraId="0E5B76FD" w14:textId="33147032" w:rsidR="007F2892" w:rsidRPr="00E20D21" w:rsidRDefault="008F22BC" w:rsidP="007F2892">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Para fins de composição do Patrimônio de Referência, considera-se apenas o valor de face dos contratos</w:t>
      </w:r>
      <w:r w:rsidR="009C7588" w:rsidRPr="00E20D21">
        <w:rPr>
          <w:rFonts w:ascii="CAIXA Std Book" w:hAnsi="CAIXA Std Book"/>
          <w:color w:val="005CA9"/>
          <w:sz w:val="20"/>
          <w:szCs w:val="20"/>
        </w:rPr>
        <w:t xml:space="preserve"> IHCD</w:t>
      </w:r>
      <w:r w:rsidRPr="00E20D21">
        <w:rPr>
          <w:rFonts w:ascii="CAIXA Std Book" w:hAnsi="CAIXA Std Book"/>
          <w:color w:val="005CA9"/>
          <w:sz w:val="20"/>
          <w:szCs w:val="20"/>
        </w:rPr>
        <w:t xml:space="preserve"> somado à atualização monetária incorporada de exercícios anteriores. Tendo em vista que os contratos possuem cláusulas de remuneração integralmente variáveis, a atualização monetária é incorporada anualmente, após o pagamento dos juros atinentes ao exercício anterior.</w:t>
      </w:r>
      <w:bookmarkEnd w:id="56"/>
    </w:p>
    <w:p w14:paraId="1DD8646B" w14:textId="42955A56" w:rsidR="008F22BC" w:rsidRPr="00E20D21" w:rsidRDefault="00BA2D30" w:rsidP="00336942">
      <w:pPr>
        <w:spacing w:before="240" w:after="240"/>
        <w:jc w:val="both"/>
        <w:rPr>
          <w:rFonts w:ascii="CAIXA Std Book" w:hAnsi="CAIXA Std Book"/>
          <w:b/>
          <w:color w:val="005CA9"/>
          <w:sz w:val="20"/>
          <w:szCs w:val="20"/>
        </w:rPr>
      </w:pPr>
      <w:r w:rsidRPr="00E20D21">
        <w:rPr>
          <w:rFonts w:ascii="CAIXA Std Book" w:hAnsi="CAIXA Std Book"/>
          <w:b/>
          <w:color w:val="005CA9"/>
          <w:sz w:val="20"/>
          <w:szCs w:val="20"/>
        </w:rPr>
        <w:t>(d)</w:t>
      </w:r>
      <w:r w:rsidRPr="00E20D21">
        <w:rPr>
          <w:rFonts w:ascii="CAIXA Std Book" w:hAnsi="CAIXA Std Book"/>
          <w:b/>
          <w:color w:val="005CA9"/>
          <w:sz w:val="20"/>
          <w:szCs w:val="20"/>
        </w:rPr>
        <w:tab/>
      </w:r>
      <w:r w:rsidR="008F22BC" w:rsidRPr="00E20D21">
        <w:rPr>
          <w:rFonts w:ascii="CAIXA Std Book" w:hAnsi="CAIXA Std Book"/>
          <w:b/>
          <w:color w:val="005CA9"/>
          <w:sz w:val="20"/>
          <w:szCs w:val="20"/>
        </w:rPr>
        <w:t>Instrumentos de dívida elegíveis ao capi</w:t>
      </w:r>
      <w:r w:rsidR="005A0818" w:rsidRPr="00E20D21">
        <w:rPr>
          <w:rFonts w:ascii="CAIXA Std Book" w:hAnsi="CAIXA Std Book"/>
          <w:b/>
          <w:color w:val="005CA9"/>
          <w:sz w:val="20"/>
          <w:szCs w:val="20"/>
        </w:rPr>
        <w:t>t</w:t>
      </w:r>
      <w:r w:rsidR="008F22BC" w:rsidRPr="00E20D21">
        <w:rPr>
          <w:rFonts w:ascii="CAIXA Std Book" w:hAnsi="CAIXA Std Book"/>
          <w:b/>
          <w:color w:val="005CA9"/>
          <w:sz w:val="20"/>
          <w:szCs w:val="20"/>
        </w:rPr>
        <w:t>al</w:t>
      </w:r>
    </w:p>
    <w:tbl>
      <w:tblPr>
        <w:tblW w:w="5000" w:type="pct"/>
        <w:tblCellMar>
          <w:left w:w="70" w:type="dxa"/>
          <w:right w:w="70" w:type="dxa"/>
        </w:tblCellMar>
        <w:tblLook w:val="04A0" w:firstRow="1" w:lastRow="0" w:firstColumn="1" w:lastColumn="0" w:noHBand="0" w:noVBand="1"/>
      </w:tblPr>
      <w:tblGrid>
        <w:gridCol w:w="5955"/>
        <w:gridCol w:w="1841"/>
        <w:gridCol w:w="1841"/>
      </w:tblGrid>
      <w:tr w:rsidR="00A47C19" w:rsidRPr="00E20D21" w14:paraId="53B4178D" w14:textId="77777777" w:rsidTr="0025244B">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tcPr>
          <w:p w14:paraId="2749C26A" w14:textId="6A1C5ECC" w:rsidR="002A1360" w:rsidRPr="00E20D21" w:rsidRDefault="002A1360" w:rsidP="007303C1">
            <w:pPr>
              <w:jc w:val="center"/>
              <w:rPr>
                <w:rFonts w:ascii="CAIXA Std Book" w:hAnsi="CAIXA Std Book" w:cs="Arial Unicode MS"/>
                <w:b/>
                <w:color w:val="005CA9"/>
                <w:sz w:val="18"/>
                <w:szCs w:val="18"/>
              </w:rPr>
            </w:pPr>
            <w:r w:rsidRPr="00E20D21">
              <w:rPr>
                <w:rFonts w:ascii="CAIXA Std Book" w:hAnsi="CAIXA Std Book"/>
                <w:b/>
                <w:color w:val="005CA9"/>
                <w:sz w:val="18"/>
                <w:szCs w:val="18"/>
              </w:rPr>
              <w:t>INDIVIDUAL</w:t>
            </w:r>
            <w:r w:rsidR="00E20D21">
              <w:rPr>
                <w:rFonts w:ascii="CAIXA Std Book" w:hAnsi="CAIXA Std Book"/>
                <w:b/>
                <w:color w:val="005CA9"/>
                <w:sz w:val="18"/>
                <w:szCs w:val="18"/>
              </w:rPr>
              <w:t xml:space="preserve"> </w:t>
            </w:r>
            <w:r w:rsidRPr="00E20D21">
              <w:rPr>
                <w:rFonts w:ascii="CAIXA Std Book" w:hAnsi="CAIXA Std Book"/>
                <w:b/>
                <w:color w:val="005CA9"/>
                <w:sz w:val="18"/>
                <w:szCs w:val="18"/>
              </w:rPr>
              <w:t>/</w:t>
            </w:r>
            <w:r w:rsidR="00E20D21">
              <w:rPr>
                <w:rFonts w:ascii="CAIXA Std Book" w:hAnsi="CAIXA Std Book"/>
                <w:b/>
                <w:color w:val="005CA9"/>
                <w:sz w:val="18"/>
                <w:szCs w:val="18"/>
              </w:rPr>
              <w:t xml:space="preserve"> </w:t>
            </w:r>
            <w:r w:rsidRPr="00E20D21">
              <w:rPr>
                <w:rFonts w:ascii="CAIXA Std Book" w:hAnsi="CAIXA Std Book"/>
                <w:b/>
                <w:color w:val="005CA9"/>
                <w:sz w:val="18"/>
                <w:szCs w:val="18"/>
              </w:rPr>
              <w:t>CONSOLIDADO</w:t>
            </w:r>
          </w:p>
        </w:tc>
      </w:tr>
      <w:tr w:rsidR="00A47C19" w:rsidRPr="00E20D21" w14:paraId="04F19C86" w14:textId="77777777" w:rsidTr="0025244B">
        <w:trPr>
          <w:trHeight w:val="283"/>
        </w:trPr>
        <w:tc>
          <w:tcPr>
            <w:tcW w:w="3090" w:type="pct"/>
            <w:tcBorders>
              <w:top w:val="single" w:sz="4" w:space="0" w:color="F39200"/>
              <w:left w:val="nil"/>
              <w:bottom w:val="single" w:sz="4" w:space="0" w:color="F39200"/>
              <w:right w:val="nil"/>
            </w:tcBorders>
            <w:shd w:val="clear" w:color="auto" w:fill="auto"/>
            <w:noWrap/>
            <w:vAlign w:val="center"/>
            <w:hideMark/>
          </w:tcPr>
          <w:p w14:paraId="40E80F01" w14:textId="28790E40" w:rsidR="00573394" w:rsidRPr="00E20D21" w:rsidRDefault="00084DD3" w:rsidP="00573394">
            <w:pPr>
              <w:jc w:val="center"/>
              <w:rPr>
                <w:rFonts w:ascii="CAIXA Std Book" w:hAnsi="CAIXA Std Book"/>
                <w:b/>
                <w:color w:val="005CA9"/>
                <w:sz w:val="18"/>
                <w:szCs w:val="18"/>
              </w:rPr>
            </w:pPr>
            <w:r w:rsidRPr="00E20D21">
              <w:rPr>
                <w:rFonts w:ascii="CAIXA Std Book" w:hAnsi="CAIXA Std Book"/>
                <w:b/>
                <w:color w:val="005CA9"/>
                <w:sz w:val="18"/>
                <w:szCs w:val="18"/>
              </w:rPr>
              <w:t>Descrição</w:t>
            </w:r>
          </w:p>
        </w:tc>
        <w:tc>
          <w:tcPr>
            <w:tcW w:w="955" w:type="pct"/>
            <w:tcBorders>
              <w:top w:val="single" w:sz="4" w:space="0" w:color="F39200"/>
              <w:left w:val="nil"/>
              <w:bottom w:val="single" w:sz="4" w:space="0" w:color="F39200"/>
              <w:right w:val="nil"/>
            </w:tcBorders>
            <w:vAlign w:val="center"/>
          </w:tcPr>
          <w:p w14:paraId="21947E4B" w14:textId="4810E7E3" w:rsidR="00573394" w:rsidRPr="00E20D21" w:rsidRDefault="00E93A6F" w:rsidP="00573394">
            <w:pPr>
              <w:jc w:val="center"/>
              <w:rPr>
                <w:rFonts w:ascii="CAIXA Std Book" w:hAnsi="CAIXA Std Book"/>
                <w:b/>
                <w:color w:val="005CA9"/>
                <w:sz w:val="18"/>
                <w:szCs w:val="18"/>
              </w:rPr>
            </w:pPr>
            <w:r w:rsidRPr="00E20D21">
              <w:rPr>
                <w:rFonts w:ascii="CAIXA Std Book" w:hAnsi="CAIXA Std Book"/>
                <w:b/>
                <w:color w:val="005CA9"/>
                <w:sz w:val="18"/>
                <w:szCs w:val="18"/>
              </w:rPr>
              <w:t>30/06/2024</w:t>
            </w:r>
          </w:p>
        </w:tc>
        <w:tc>
          <w:tcPr>
            <w:tcW w:w="955" w:type="pct"/>
            <w:tcBorders>
              <w:top w:val="single" w:sz="4" w:space="0" w:color="F39200"/>
              <w:left w:val="nil"/>
              <w:bottom w:val="single" w:sz="4" w:space="0" w:color="F39200"/>
              <w:right w:val="nil"/>
            </w:tcBorders>
            <w:vAlign w:val="center"/>
          </w:tcPr>
          <w:p w14:paraId="61F08080" w14:textId="5F0BD5D9" w:rsidR="00573394" w:rsidRPr="00E20D21" w:rsidRDefault="00E93A6F" w:rsidP="00573394">
            <w:pPr>
              <w:jc w:val="center"/>
              <w:rPr>
                <w:rFonts w:ascii="CAIXA Std Book" w:hAnsi="CAIXA Std Book"/>
                <w:b/>
                <w:color w:val="005CA9"/>
                <w:sz w:val="18"/>
                <w:szCs w:val="18"/>
              </w:rPr>
            </w:pPr>
            <w:r w:rsidRPr="00E20D21">
              <w:rPr>
                <w:rFonts w:ascii="CAIXA Std Book" w:hAnsi="CAIXA Std Book"/>
                <w:b/>
                <w:color w:val="005CA9"/>
                <w:sz w:val="18"/>
                <w:szCs w:val="18"/>
              </w:rPr>
              <w:t>31/12/2023</w:t>
            </w:r>
          </w:p>
        </w:tc>
      </w:tr>
      <w:tr w:rsidR="00FE3484" w:rsidRPr="00E20D21" w14:paraId="02EF9F56" w14:textId="77777777">
        <w:trPr>
          <w:trHeight w:val="283"/>
        </w:trPr>
        <w:tc>
          <w:tcPr>
            <w:tcW w:w="3090" w:type="pct"/>
            <w:tcBorders>
              <w:top w:val="nil"/>
              <w:left w:val="nil"/>
              <w:bottom w:val="nil"/>
              <w:right w:val="nil"/>
            </w:tcBorders>
            <w:shd w:val="clear" w:color="auto" w:fill="auto"/>
            <w:noWrap/>
            <w:vAlign w:val="center"/>
          </w:tcPr>
          <w:p w14:paraId="440E79A0" w14:textId="77777777" w:rsidR="00FE3484" w:rsidRPr="00E20D21" w:rsidRDefault="00FE3484" w:rsidP="00FE3484">
            <w:pPr>
              <w:rPr>
                <w:rFonts w:ascii="CAIXA Std Book" w:hAnsi="CAIXA Std Book"/>
                <w:color w:val="005CA9"/>
                <w:sz w:val="18"/>
                <w:szCs w:val="18"/>
              </w:rPr>
            </w:pPr>
            <w:r w:rsidRPr="00E20D21">
              <w:rPr>
                <w:rFonts w:ascii="CAIXA Std Book" w:hAnsi="CAIXA Std Book"/>
                <w:color w:val="005CA9"/>
                <w:sz w:val="18"/>
                <w:szCs w:val="18"/>
              </w:rPr>
              <w:t>Contrato 348/2007</w:t>
            </w:r>
          </w:p>
        </w:tc>
        <w:tc>
          <w:tcPr>
            <w:tcW w:w="955" w:type="pct"/>
            <w:tcBorders>
              <w:top w:val="nil"/>
              <w:left w:val="nil"/>
              <w:bottom w:val="nil"/>
              <w:right w:val="nil"/>
            </w:tcBorders>
            <w:shd w:val="clear" w:color="auto" w:fill="auto"/>
            <w:vAlign w:val="center"/>
          </w:tcPr>
          <w:p w14:paraId="7A5CCAC2" w14:textId="47534814" w:rsidR="00FE3484" w:rsidRPr="00E20D21" w:rsidRDefault="00FE3484" w:rsidP="00FE3484">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16.217.366</w:t>
            </w:r>
          </w:p>
        </w:tc>
        <w:tc>
          <w:tcPr>
            <w:tcW w:w="955" w:type="pct"/>
            <w:tcBorders>
              <w:top w:val="nil"/>
              <w:left w:val="nil"/>
              <w:bottom w:val="nil"/>
              <w:right w:val="nil"/>
            </w:tcBorders>
            <w:vAlign w:val="center"/>
          </w:tcPr>
          <w:p w14:paraId="300CAC0E" w14:textId="46758430" w:rsidR="00FE3484" w:rsidRPr="00E20D21" w:rsidRDefault="00FE3484" w:rsidP="00FE3484">
            <w:pPr>
              <w:jc w:val="right"/>
              <w:rPr>
                <w:rFonts w:ascii="CAIXA Std Book" w:hAnsi="CAIXA Std Book"/>
                <w:color w:val="005CA9"/>
                <w:sz w:val="18"/>
                <w:szCs w:val="18"/>
              </w:rPr>
            </w:pPr>
            <w:r w:rsidRPr="00E20D21">
              <w:rPr>
                <w:rFonts w:ascii="CAIXA Std Book" w:hAnsi="CAIXA Std Book" w:cs="Arial Unicode MS"/>
                <w:color w:val="005CA9"/>
                <w:sz w:val="18"/>
                <w:szCs w:val="18"/>
              </w:rPr>
              <w:t>14.937.146</w:t>
            </w:r>
          </w:p>
        </w:tc>
      </w:tr>
      <w:tr w:rsidR="00FE3484" w:rsidRPr="00E20D21" w14:paraId="5924831B" w14:textId="77777777">
        <w:trPr>
          <w:trHeight w:val="283"/>
        </w:trPr>
        <w:tc>
          <w:tcPr>
            <w:tcW w:w="3090" w:type="pct"/>
            <w:tcBorders>
              <w:top w:val="nil"/>
              <w:left w:val="nil"/>
              <w:bottom w:val="nil"/>
              <w:right w:val="nil"/>
            </w:tcBorders>
            <w:shd w:val="clear" w:color="auto" w:fill="auto"/>
            <w:noWrap/>
            <w:vAlign w:val="center"/>
          </w:tcPr>
          <w:p w14:paraId="3DC06508" w14:textId="77777777" w:rsidR="00FE3484" w:rsidRPr="00E20D21" w:rsidRDefault="00FE3484" w:rsidP="00FE3484">
            <w:pPr>
              <w:rPr>
                <w:rFonts w:ascii="CAIXA Std Book" w:hAnsi="CAIXA Std Book"/>
                <w:color w:val="005CA9"/>
                <w:sz w:val="18"/>
                <w:szCs w:val="18"/>
              </w:rPr>
            </w:pPr>
            <w:r w:rsidRPr="00E20D21">
              <w:rPr>
                <w:rFonts w:ascii="CAIXA Std Book" w:hAnsi="CAIXA Std Book"/>
                <w:color w:val="005CA9"/>
                <w:sz w:val="18"/>
                <w:szCs w:val="18"/>
              </w:rPr>
              <w:t>Contrato 752/2012</w:t>
            </w:r>
          </w:p>
        </w:tc>
        <w:tc>
          <w:tcPr>
            <w:tcW w:w="955" w:type="pct"/>
            <w:tcBorders>
              <w:top w:val="nil"/>
              <w:left w:val="nil"/>
              <w:bottom w:val="nil"/>
              <w:right w:val="nil"/>
            </w:tcBorders>
            <w:shd w:val="clear" w:color="auto" w:fill="auto"/>
            <w:vAlign w:val="center"/>
          </w:tcPr>
          <w:p w14:paraId="18F0C5FE" w14:textId="7F661109" w:rsidR="00FE3484" w:rsidRPr="00E20D21" w:rsidRDefault="00FE3484" w:rsidP="00FE3484">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6.800.000</w:t>
            </w:r>
          </w:p>
        </w:tc>
        <w:tc>
          <w:tcPr>
            <w:tcW w:w="955" w:type="pct"/>
            <w:tcBorders>
              <w:top w:val="nil"/>
              <w:left w:val="nil"/>
              <w:bottom w:val="nil"/>
              <w:right w:val="nil"/>
            </w:tcBorders>
            <w:vAlign w:val="center"/>
          </w:tcPr>
          <w:p w14:paraId="1128A3E2" w14:textId="255CF982" w:rsidR="00FE3484" w:rsidRPr="00E20D21" w:rsidRDefault="00FE3484" w:rsidP="00FE3484">
            <w:pPr>
              <w:jc w:val="right"/>
              <w:rPr>
                <w:rFonts w:ascii="CAIXA Std Book" w:hAnsi="CAIXA Std Book"/>
                <w:color w:val="005CA9"/>
                <w:sz w:val="18"/>
                <w:szCs w:val="18"/>
              </w:rPr>
            </w:pPr>
            <w:r w:rsidRPr="00E20D21">
              <w:rPr>
                <w:rFonts w:ascii="CAIXA Std Book" w:hAnsi="CAIXA Std Book" w:cs="Arial Unicode MS"/>
                <w:color w:val="005CA9"/>
                <w:sz w:val="18"/>
                <w:szCs w:val="18"/>
              </w:rPr>
              <w:t>6.800.000</w:t>
            </w:r>
          </w:p>
        </w:tc>
      </w:tr>
      <w:tr w:rsidR="00FE3484" w:rsidRPr="00E20D21" w14:paraId="33488D2B" w14:textId="77777777">
        <w:trPr>
          <w:trHeight w:val="283"/>
        </w:trPr>
        <w:tc>
          <w:tcPr>
            <w:tcW w:w="3090" w:type="pct"/>
            <w:tcBorders>
              <w:top w:val="nil"/>
              <w:left w:val="nil"/>
              <w:bottom w:val="nil"/>
              <w:right w:val="nil"/>
            </w:tcBorders>
            <w:shd w:val="clear" w:color="auto" w:fill="auto"/>
            <w:noWrap/>
            <w:vAlign w:val="center"/>
          </w:tcPr>
          <w:p w14:paraId="68C69B11" w14:textId="77777777" w:rsidR="00FE3484" w:rsidRPr="00E20D21" w:rsidRDefault="00FE3484" w:rsidP="00FE3484">
            <w:pPr>
              <w:rPr>
                <w:rFonts w:ascii="CAIXA Std Book" w:hAnsi="CAIXA Std Book"/>
                <w:color w:val="005CA9"/>
                <w:sz w:val="18"/>
                <w:szCs w:val="18"/>
              </w:rPr>
            </w:pPr>
            <w:r w:rsidRPr="00E20D21">
              <w:rPr>
                <w:rFonts w:ascii="CAIXA Std Book" w:hAnsi="CAIXA Std Book"/>
                <w:color w:val="005CA9"/>
                <w:sz w:val="18"/>
                <w:szCs w:val="18"/>
              </w:rPr>
              <w:t>Contrato 754/2012</w:t>
            </w:r>
          </w:p>
        </w:tc>
        <w:tc>
          <w:tcPr>
            <w:tcW w:w="955" w:type="pct"/>
            <w:tcBorders>
              <w:top w:val="nil"/>
              <w:left w:val="nil"/>
              <w:bottom w:val="nil"/>
              <w:right w:val="nil"/>
            </w:tcBorders>
            <w:shd w:val="clear" w:color="auto" w:fill="auto"/>
            <w:vAlign w:val="center"/>
          </w:tcPr>
          <w:p w14:paraId="2637C979" w14:textId="22133815" w:rsidR="00FE3484" w:rsidRPr="00E20D21" w:rsidRDefault="00FE3484" w:rsidP="00FE3484">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6.310.598</w:t>
            </w:r>
          </w:p>
        </w:tc>
        <w:tc>
          <w:tcPr>
            <w:tcW w:w="955" w:type="pct"/>
            <w:tcBorders>
              <w:top w:val="nil"/>
              <w:left w:val="nil"/>
              <w:bottom w:val="nil"/>
              <w:right w:val="nil"/>
            </w:tcBorders>
            <w:vAlign w:val="center"/>
          </w:tcPr>
          <w:p w14:paraId="7D568A77" w14:textId="7ADCC26B" w:rsidR="00FE3484" w:rsidRPr="00E20D21" w:rsidRDefault="00FE3484" w:rsidP="00FE3484">
            <w:pPr>
              <w:jc w:val="right"/>
              <w:rPr>
                <w:rFonts w:ascii="CAIXA Std Book" w:hAnsi="CAIXA Std Book"/>
                <w:color w:val="005CA9"/>
                <w:sz w:val="18"/>
                <w:szCs w:val="18"/>
              </w:rPr>
            </w:pPr>
            <w:r w:rsidRPr="00E20D21">
              <w:rPr>
                <w:rFonts w:ascii="CAIXA Std Book" w:hAnsi="CAIXA Std Book" w:cs="Arial Unicode MS"/>
                <w:color w:val="005CA9"/>
                <w:sz w:val="18"/>
                <w:szCs w:val="18"/>
              </w:rPr>
              <w:t>6.310.598</w:t>
            </w:r>
          </w:p>
        </w:tc>
      </w:tr>
      <w:tr w:rsidR="00FE3484" w:rsidRPr="00E20D21" w14:paraId="268BEB45" w14:textId="77777777" w:rsidTr="00D0541D">
        <w:trPr>
          <w:trHeight w:val="283"/>
        </w:trPr>
        <w:tc>
          <w:tcPr>
            <w:tcW w:w="3090" w:type="pct"/>
            <w:tcBorders>
              <w:top w:val="nil"/>
              <w:left w:val="nil"/>
              <w:bottom w:val="single" w:sz="4" w:space="0" w:color="F79646" w:themeColor="accent6"/>
              <w:right w:val="nil"/>
            </w:tcBorders>
            <w:shd w:val="clear" w:color="auto" w:fill="auto"/>
            <w:noWrap/>
            <w:vAlign w:val="center"/>
          </w:tcPr>
          <w:p w14:paraId="015C6C0A" w14:textId="6C2CFADD" w:rsidR="00FE3484" w:rsidRPr="00E20D21" w:rsidRDefault="00FE3484" w:rsidP="00FE3484">
            <w:pPr>
              <w:rPr>
                <w:rFonts w:ascii="CAIXA Std Book" w:hAnsi="CAIXA Std Book"/>
                <w:color w:val="005CA9"/>
                <w:sz w:val="18"/>
                <w:szCs w:val="18"/>
              </w:rPr>
            </w:pPr>
            <w:r w:rsidRPr="00E20D21">
              <w:rPr>
                <w:rFonts w:ascii="CAIXA Std Book" w:hAnsi="CAIXA Std Book"/>
                <w:color w:val="005CA9"/>
                <w:sz w:val="18"/>
                <w:szCs w:val="18"/>
              </w:rPr>
              <w:t>Contratos 869/2013</w:t>
            </w:r>
          </w:p>
        </w:tc>
        <w:tc>
          <w:tcPr>
            <w:tcW w:w="955" w:type="pct"/>
            <w:tcBorders>
              <w:top w:val="nil"/>
              <w:left w:val="nil"/>
              <w:bottom w:val="single" w:sz="4" w:space="0" w:color="F79646"/>
              <w:right w:val="nil"/>
            </w:tcBorders>
            <w:shd w:val="clear" w:color="auto" w:fill="auto"/>
            <w:vAlign w:val="center"/>
          </w:tcPr>
          <w:p w14:paraId="51A95EB3" w14:textId="0529B6F5" w:rsidR="00FE3484" w:rsidRPr="00E20D21" w:rsidRDefault="00FE3484" w:rsidP="00FE3484">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5.000.000</w:t>
            </w:r>
          </w:p>
        </w:tc>
        <w:tc>
          <w:tcPr>
            <w:tcW w:w="955" w:type="pct"/>
            <w:tcBorders>
              <w:top w:val="nil"/>
              <w:left w:val="nil"/>
              <w:bottom w:val="single" w:sz="4" w:space="0" w:color="F79646"/>
              <w:right w:val="nil"/>
            </w:tcBorders>
            <w:vAlign w:val="center"/>
          </w:tcPr>
          <w:p w14:paraId="4B55F3FC" w14:textId="021B8D0B" w:rsidR="00FE3484" w:rsidRPr="00E20D21" w:rsidRDefault="00FE3484" w:rsidP="00FE3484">
            <w:pPr>
              <w:jc w:val="right"/>
              <w:rPr>
                <w:rFonts w:ascii="CAIXA Std Book" w:hAnsi="CAIXA Std Book"/>
                <w:color w:val="005CA9"/>
                <w:sz w:val="18"/>
                <w:szCs w:val="18"/>
              </w:rPr>
            </w:pPr>
            <w:r w:rsidRPr="00E20D21">
              <w:rPr>
                <w:rFonts w:ascii="CAIXA Std Book" w:hAnsi="CAIXA Std Book" w:cs="Arial Unicode MS"/>
                <w:color w:val="005CA9"/>
                <w:sz w:val="18"/>
                <w:szCs w:val="18"/>
              </w:rPr>
              <w:t>5.000.000</w:t>
            </w:r>
          </w:p>
        </w:tc>
      </w:tr>
      <w:tr w:rsidR="00FE3484" w:rsidRPr="00E20D21" w14:paraId="0491F79D" w14:textId="77777777" w:rsidTr="00D0541D">
        <w:trPr>
          <w:trHeight w:val="283"/>
        </w:trPr>
        <w:tc>
          <w:tcPr>
            <w:tcW w:w="3090" w:type="pct"/>
            <w:tcBorders>
              <w:top w:val="single" w:sz="4" w:space="0" w:color="F79646" w:themeColor="accent6"/>
              <w:left w:val="nil"/>
              <w:bottom w:val="single" w:sz="4" w:space="0" w:color="F39200"/>
              <w:right w:val="nil"/>
            </w:tcBorders>
            <w:shd w:val="clear" w:color="auto" w:fill="auto"/>
            <w:noWrap/>
            <w:vAlign w:val="center"/>
          </w:tcPr>
          <w:p w14:paraId="60CD76F4" w14:textId="77777777" w:rsidR="00FE3484" w:rsidRPr="00E20D21" w:rsidRDefault="00FE3484" w:rsidP="00FE3484">
            <w:pPr>
              <w:rPr>
                <w:rFonts w:ascii="CAIXA Std Book" w:hAnsi="CAIXA Std Book"/>
                <w:b/>
                <w:color w:val="005CA9"/>
                <w:sz w:val="18"/>
                <w:szCs w:val="18"/>
              </w:rPr>
            </w:pPr>
            <w:r w:rsidRPr="00E20D21">
              <w:rPr>
                <w:rFonts w:ascii="CAIXA Std Book" w:hAnsi="CAIXA Std Book"/>
                <w:b/>
                <w:color w:val="005CA9"/>
                <w:sz w:val="18"/>
                <w:szCs w:val="18"/>
              </w:rPr>
              <w:t>Total</w:t>
            </w:r>
          </w:p>
        </w:tc>
        <w:tc>
          <w:tcPr>
            <w:tcW w:w="955" w:type="pct"/>
            <w:tcBorders>
              <w:top w:val="single" w:sz="4" w:space="0" w:color="F79646"/>
              <w:left w:val="nil"/>
              <w:bottom w:val="single" w:sz="4" w:space="0" w:color="F79646"/>
              <w:right w:val="nil"/>
            </w:tcBorders>
            <w:shd w:val="clear" w:color="auto" w:fill="auto"/>
            <w:vAlign w:val="center"/>
          </w:tcPr>
          <w:p w14:paraId="45595405" w14:textId="739697BE" w:rsidR="00FE3484" w:rsidRPr="00E20D21" w:rsidRDefault="00FE3484" w:rsidP="00FE3484">
            <w:pPr>
              <w:jc w:val="right"/>
              <w:rPr>
                <w:rFonts w:ascii="CAIXA Std Book" w:hAnsi="CAIXA Std Book" w:cs="Arial Unicode MS"/>
                <w:b/>
                <w:bCs/>
                <w:color w:val="005CA9"/>
                <w:sz w:val="18"/>
                <w:szCs w:val="18"/>
              </w:rPr>
            </w:pPr>
            <w:r w:rsidRPr="00E20D21">
              <w:rPr>
                <w:rFonts w:ascii="CAIXA Std Book" w:hAnsi="CAIXA Std Book" w:cs="Arial"/>
                <w:b/>
                <w:bCs/>
                <w:color w:val="005CA9"/>
                <w:sz w:val="18"/>
                <w:szCs w:val="18"/>
              </w:rPr>
              <w:t>34.327.964</w:t>
            </w:r>
          </w:p>
        </w:tc>
        <w:tc>
          <w:tcPr>
            <w:tcW w:w="955" w:type="pct"/>
            <w:tcBorders>
              <w:top w:val="single" w:sz="4" w:space="0" w:color="F79646"/>
              <w:left w:val="nil"/>
              <w:bottom w:val="single" w:sz="4" w:space="0" w:color="F79646"/>
              <w:right w:val="nil"/>
            </w:tcBorders>
            <w:vAlign w:val="center"/>
          </w:tcPr>
          <w:p w14:paraId="69252AD2" w14:textId="75FE905F" w:rsidR="00FE3484" w:rsidRPr="00E20D21" w:rsidRDefault="00FE3484" w:rsidP="00FE3484">
            <w:pPr>
              <w:jc w:val="right"/>
              <w:rPr>
                <w:rFonts w:ascii="CAIXA Std Book" w:hAnsi="CAIXA Std Book"/>
                <w:b/>
                <w:color w:val="005CA9"/>
                <w:sz w:val="18"/>
                <w:szCs w:val="18"/>
              </w:rPr>
            </w:pPr>
            <w:r w:rsidRPr="00E20D21">
              <w:rPr>
                <w:rFonts w:ascii="CAIXA Std Book" w:hAnsi="CAIXA Std Book" w:cs="Arial Unicode MS"/>
                <w:b/>
                <w:bCs/>
                <w:color w:val="005CA9"/>
                <w:sz w:val="18"/>
                <w:szCs w:val="18"/>
              </w:rPr>
              <w:t>33.047.744</w:t>
            </w:r>
          </w:p>
        </w:tc>
      </w:tr>
    </w:tbl>
    <w:p w14:paraId="34EF50EC" w14:textId="762F68E9" w:rsidR="00681A81" w:rsidRPr="00E20D21" w:rsidRDefault="00681A81" w:rsidP="00051BF7">
      <w:pPr>
        <w:pStyle w:val="PargrafodaLista"/>
        <w:numPr>
          <w:ilvl w:val="1"/>
          <w:numId w:val="14"/>
        </w:numPr>
        <w:spacing w:before="240" w:after="240"/>
        <w:ind w:left="567" w:hanging="567"/>
        <w:contextualSpacing w:val="0"/>
        <w:jc w:val="both"/>
        <w:rPr>
          <w:rFonts w:ascii="CAIXA Std Book" w:hAnsi="CAIXA Std Book"/>
          <w:b/>
          <w:color w:val="005CA9"/>
          <w:sz w:val="20"/>
          <w:szCs w:val="20"/>
        </w:rPr>
      </w:pPr>
      <w:r w:rsidRPr="00E20D21">
        <w:rPr>
          <w:rFonts w:ascii="CAIXA Std Book" w:hAnsi="CAIXA Std Book"/>
          <w:b/>
          <w:color w:val="005CA9"/>
          <w:sz w:val="20"/>
          <w:szCs w:val="20"/>
        </w:rPr>
        <w:t xml:space="preserve">Despesas com </w:t>
      </w:r>
      <w:r w:rsidR="00BB483D" w:rsidRPr="00E20D21">
        <w:rPr>
          <w:rFonts w:ascii="CAIXA Std Book" w:hAnsi="CAIXA Std Book"/>
          <w:b/>
          <w:color w:val="005CA9"/>
          <w:sz w:val="20"/>
          <w:szCs w:val="20"/>
        </w:rPr>
        <w:t>r</w:t>
      </w:r>
      <w:r w:rsidRPr="00E20D21">
        <w:rPr>
          <w:rFonts w:ascii="CAIXA Std Book" w:hAnsi="CAIXA Std Book"/>
          <w:b/>
          <w:color w:val="005CA9"/>
          <w:sz w:val="20"/>
          <w:szCs w:val="20"/>
        </w:rPr>
        <w:t xml:space="preserve">ecursos de </w:t>
      </w:r>
      <w:r w:rsidR="00BB483D" w:rsidRPr="00E20D21">
        <w:rPr>
          <w:rFonts w:ascii="CAIXA Std Book" w:hAnsi="CAIXA Std Book"/>
          <w:b/>
          <w:color w:val="005CA9"/>
          <w:sz w:val="20"/>
          <w:szCs w:val="20"/>
        </w:rPr>
        <w:t>e</w:t>
      </w:r>
      <w:r w:rsidRPr="00E20D21">
        <w:rPr>
          <w:rFonts w:ascii="CAIXA Std Book" w:hAnsi="CAIXA Std Book"/>
          <w:b/>
          <w:color w:val="005CA9"/>
          <w:sz w:val="20"/>
          <w:szCs w:val="20"/>
        </w:rPr>
        <w:t xml:space="preserve">missões de </w:t>
      </w:r>
      <w:r w:rsidR="00BB483D" w:rsidRPr="00E20D21">
        <w:rPr>
          <w:rFonts w:ascii="CAIXA Std Book" w:hAnsi="CAIXA Std Book"/>
          <w:b/>
          <w:color w:val="005CA9"/>
          <w:sz w:val="20"/>
          <w:szCs w:val="20"/>
        </w:rPr>
        <w:t>t</w:t>
      </w:r>
      <w:r w:rsidRPr="00E20D21">
        <w:rPr>
          <w:rFonts w:ascii="CAIXA Std Book" w:hAnsi="CAIXA Std Book"/>
          <w:b/>
          <w:color w:val="005CA9"/>
          <w:sz w:val="20"/>
          <w:szCs w:val="20"/>
        </w:rPr>
        <w:t xml:space="preserve">ítulos e </w:t>
      </w:r>
      <w:r w:rsidR="00BB483D" w:rsidRPr="00E20D21">
        <w:rPr>
          <w:rFonts w:ascii="CAIXA Std Book" w:hAnsi="CAIXA Std Book"/>
          <w:b/>
          <w:color w:val="005CA9"/>
          <w:sz w:val="20"/>
          <w:szCs w:val="20"/>
        </w:rPr>
        <w:t>v</w:t>
      </w:r>
      <w:r w:rsidRPr="00E20D21">
        <w:rPr>
          <w:rFonts w:ascii="CAIXA Std Book" w:hAnsi="CAIXA Std Book"/>
          <w:b/>
          <w:color w:val="005CA9"/>
          <w:sz w:val="20"/>
          <w:szCs w:val="20"/>
        </w:rPr>
        <w:t xml:space="preserve">alores </w:t>
      </w:r>
      <w:r w:rsidR="00BB483D" w:rsidRPr="00E20D21">
        <w:rPr>
          <w:rFonts w:ascii="CAIXA Std Book" w:hAnsi="CAIXA Std Book"/>
          <w:b/>
          <w:color w:val="005CA9"/>
          <w:sz w:val="20"/>
          <w:szCs w:val="20"/>
        </w:rPr>
        <w:t>m</w:t>
      </w:r>
      <w:r w:rsidRPr="00E20D21">
        <w:rPr>
          <w:rFonts w:ascii="CAIXA Std Book" w:hAnsi="CAIXA Std Book"/>
          <w:b/>
          <w:color w:val="005CA9"/>
          <w:sz w:val="20"/>
          <w:szCs w:val="20"/>
        </w:rPr>
        <w:t>obiliários</w:t>
      </w:r>
    </w:p>
    <w:tbl>
      <w:tblPr>
        <w:tblW w:w="5000" w:type="pct"/>
        <w:tblCellMar>
          <w:left w:w="70" w:type="dxa"/>
          <w:right w:w="70" w:type="dxa"/>
        </w:tblCellMar>
        <w:tblLook w:val="04A0" w:firstRow="1" w:lastRow="0" w:firstColumn="1" w:lastColumn="0" w:noHBand="0" w:noVBand="1"/>
      </w:tblPr>
      <w:tblGrid>
        <w:gridCol w:w="4111"/>
        <w:gridCol w:w="1382"/>
        <w:gridCol w:w="1382"/>
        <w:gridCol w:w="1382"/>
        <w:gridCol w:w="1380"/>
      </w:tblGrid>
      <w:tr w:rsidR="00051BF7" w:rsidRPr="00E20D21" w14:paraId="47F888F2" w14:textId="77777777" w:rsidTr="00562958">
        <w:trPr>
          <w:trHeight w:val="283"/>
        </w:trPr>
        <w:tc>
          <w:tcPr>
            <w:tcW w:w="2133" w:type="pct"/>
            <w:vMerge w:val="restart"/>
            <w:tcBorders>
              <w:top w:val="single" w:sz="4" w:space="0" w:color="F39200"/>
              <w:left w:val="nil"/>
              <w:right w:val="nil"/>
            </w:tcBorders>
            <w:vAlign w:val="center"/>
          </w:tcPr>
          <w:bookmarkEnd w:id="53"/>
          <w:p w14:paraId="076F41C8" w14:textId="38C0E9BE" w:rsidR="00051BF7" w:rsidRPr="00E20D21" w:rsidRDefault="00051BF7" w:rsidP="00473D8F">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434" w:type="pct"/>
            <w:gridSpan w:val="2"/>
            <w:tcBorders>
              <w:top w:val="single" w:sz="4" w:space="0" w:color="F39200"/>
              <w:left w:val="nil"/>
              <w:bottom w:val="single" w:sz="4" w:space="0" w:color="F39200"/>
              <w:right w:val="nil"/>
            </w:tcBorders>
            <w:shd w:val="clear" w:color="auto" w:fill="auto"/>
            <w:vAlign w:val="center"/>
            <w:hideMark/>
          </w:tcPr>
          <w:p w14:paraId="7133640C" w14:textId="711F60C9"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433" w:type="pct"/>
            <w:gridSpan w:val="2"/>
            <w:tcBorders>
              <w:top w:val="single" w:sz="4" w:space="0" w:color="F39200"/>
              <w:left w:val="nil"/>
              <w:bottom w:val="single" w:sz="4" w:space="0" w:color="F39200"/>
              <w:right w:val="nil"/>
            </w:tcBorders>
            <w:shd w:val="clear" w:color="auto" w:fill="auto"/>
            <w:vAlign w:val="center"/>
          </w:tcPr>
          <w:p w14:paraId="523B4CA7" w14:textId="7F727C19"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051BF7" w:rsidRPr="00E20D21" w14:paraId="2F3F6A95" w14:textId="77777777" w:rsidTr="00562958">
        <w:trPr>
          <w:trHeight w:val="283"/>
        </w:trPr>
        <w:tc>
          <w:tcPr>
            <w:tcW w:w="2133" w:type="pct"/>
            <w:vMerge/>
            <w:tcBorders>
              <w:left w:val="nil"/>
              <w:right w:val="nil"/>
            </w:tcBorders>
            <w:shd w:val="clear" w:color="auto" w:fill="auto"/>
            <w:vAlign w:val="center"/>
            <w:hideMark/>
          </w:tcPr>
          <w:p w14:paraId="24AA836F" w14:textId="787CC4DC" w:rsidR="00051BF7" w:rsidRPr="00E20D21" w:rsidRDefault="00051BF7" w:rsidP="001A1D35">
            <w:pPr>
              <w:jc w:val="center"/>
              <w:rPr>
                <w:rFonts w:ascii="CAIXA Std Book" w:eastAsia="Times New Roman" w:hAnsi="CAIXA Std Book" w:cs="Arial"/>
                <w:b/>
                <w:bCs/>
                <w:color w:val="005CA9"/>
                <w:sz w:val="18"/>
                <w:szCs w:val="18"/>
              </w:rPr>
            </w:pPr>
          </w:p>
        </w:tc>
        <w:tc>
          <w:tcPr>
            <w:tcW w:w="717" w:type="pct"/>
            <w:tcBorders>
              <w:top w:val="nil"/>
              <w:left w:val="nil"/>
              <w:bottom w:val="single" w:sz="4" w:space="0" w:color="F39200"/>
              <w:right w:val="nil"/>
            </w:tcBorders>
            <w:shd w:val="clear" w:color="auto" w:fill="auto"/>
            <w:vAlign w:val="center"/>
            <w:hideMark/>
          </w:tcPr>
          <w:p w14:paraId="3C80F2CB" w14:textId="77777777"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17" w:type="pct"/>
            <w:tcBorders>
              <w:top w:val="nil"/>
              <w:left w:val="nil"/>
              <w:bottom w:val="single" w:sz="4" w:space="0" w:color="F39200"/>
              <w:right w:val="nil"/>
            </w:tcBorders>
            <w:vAlign w:val="center"/>
          </w:tcPr>
          <w:p w14:paraId="39EF3BCD" w14:textId="77777777"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717" w:type="pct"/>
            <w:tcBorders>
              <w:top w:val="nil"/>
              <w:left w:val="nil"/>
              <w:bottom w:val="single" w:sz="4" w:space="0" w:color="F39200"/>
              <w:right w:val="nil"/>
            </w:tcBorders>
            <w:shd w:val="clear" w:color="auto" w:fill="auto"/>
            <w:vAlign w:val="center"/>
          </w:tcPr>
          <w:p w14:paraId="29D5EA16" w14:textId="77777777"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16" w:type="pct"/>
            <w:tcBorders>
              <w:top w:val="nil"/>
              <w:left w:val="nil"/>
              <w:bottom w:val="single" w:sz="4" w:space="0" w:color="F39200"/>
              <w:right w:val="nil"/>
            </w:tcBorders>
            <w:vAlign w:val="center"/>
          </w:tcPr>
          <w:p w14:paraId="0E8213D4" w14:textId="77777777"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051BF7" w:rsidRPr="00E20D21" w14:paraId="730ED268" w14:textId="77777777" w:rsidTr="00562958">
        <w:trPr>
          <w:trHeight w:val="283"/>
        </w:trPr>
        <w:tc>
          <w:tcPr>
            <w:tcW w:w="2133" w:type="pct"/>
            <w:vMerge/>
            <w:tcBorders>
              <w:left w:val="nil"/>
              <w:bottom w:val="single" w:sz="4" w:space="0" w:color="F39200"/>
              <w:right w:val="nil"/>
            </w:tcBorders>
            <w:shd w:val="clear" w:color="auto" w:fill="auto"/>
            <w:vAlign w:val="center"/>
            <w:hideMark/>
          </w:tcPr>
          <w:p w14:paraId="2EE8A34E" w14:textId="77777777" w:rsidR="00051BF7" w:rsidRPr="00E20D21" w:rsidRDefault="00051BF7" w:rsidP="001A1D35">
            <w:pPr>
              <w:rPr>
                <w:rFonts w:ascii="CAIXA Std Book" w:eastAsia="Times New Roman" w:hAnsi="CAIXA Std Book" w:cs="Arial"/>
                <w:b/>
                <w:bCs/>
                <w:color w:val="005CA9"/>
                <w:sz w:val="18"/>
                <w:szCs w:val="18"/>
              </w:rPr>
            </w:pPr>
          </w:p>
        </w:tc>
        <w:tc>
          <w:tcPr>
            <w:tcW w:w="717" w:type="pct"/>
            <w:tcBorders>
              <w:top w:val="nil"/>
              <w:left w:val="nil"/>
              <w:bottom w:val="single" w:sz="4" w:space="0" w:color="F39200"/>
              <w:right w:val="nil"/>
            </w:tcBorders>
            <w:shd w:val="clear" w:color="auto" w:fill="auto"/>
            <w:vAlign w:val="center"/>
            <w:hideMark/>
          </w:tcPr>
          <w:p w14:paraId="2DCDC4A0" w14:textId="77777777"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17" w:type="pct"/>
            <w:tcBorders>
              <w:top w:val="nil"/>
              <w:left w:val="nil"/>
              <w:bottom w:val="single" w:sz="4" w:space="0" w:color="F39200"/>
              <w:right w:val="nil"/>
            </w:tcBorders>
            <w:vAlign w:val="center"/>
          </w:tcPr>
          <w:p w14:paraId="49FCE712" w14:textId="77777777"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17" w:type="pct"/>
            <w:tcBorders>
              <w:top w:val="nil"/>
              <w:left w:val="nil"/>
              <w:bottom w:val="single" w:sz="4" w:space="0" w:color="F39200"/>
              <w:right w:val="nil"/>
            </w:tcBorders>
            <w:vAlign w:val="center"/>
          </w:tcPr>
          <w:p w14:paraId="0639792E" w14:textId="77777777"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16" w:type="pct"/>
            <w:tcBorders>
              <w:top w:val="nil"/>
              <w:left w:val="nil"/>
              <w:bottom w:val="single" w:sz="4" w:space="0" w:color="F39200"/>
              <w:right w:val="nil"/>
            </w:tcBorders>
            <w:vAlign w:val="center"/>
          </w:tcPr>
          <w:p w14:paraId="65EA92CE" w14:textId="77777777" w:rsidR="00051BF7" w:rsidRPr="00E20D21" w:rsidRDefault="00051BF7" w:rsidP="00EC45F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1873B5" w:rsidRPr="00E20D21" w14:paraId="5D573B93" w14:textId="77777777" w:rsidTr="00562958">
        <w:trPr>
          <w:trHeight w:val="283"/>
        </w:trPr>
        <w:tc>
          <w:tcPr>
            <w:tcW w:w="2133" w:type="pct"/>
            <w:tcBorders>
              <w:top w:val="nil"/>
              <w:left w:val="nil"/>
              <w:bottom w:val="nil"/>
              <w:right w:val="nil"/>
            </w:tcBorders>
            <w:shd w:val="clear" w:color="auto" w:fill="auto"/>
            <w:vAlign w:val="center"/>
          </w:tcPr>
          <w:p w14:paraId="1AAADD5D" w14:textId="33241C1E" w:rsidR="001873B5" w:rsidRPr="00E20D21" w:rsidRDefault="001873B5" w:rsidP="001873B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Recursos de emissões de Letras</w:t>
            </w:r>
          </w:p>
        </w:tc>
        <w:tc>
          <w:tcPr>
            <w:tcW w:w="717" w:type="pct"/>
            <w:tcBorders>
              <w:top w:val="nil"/>
              <w:left w:val="nil"/>
              <w:bottom w:val="nil"/>
              <w:right w:val="nil"/>
            </w:tcBorders>
            <w:shd w:val="clear" w:color="auto" w:fill="auto"/>
            <w:noWrap/>
            <w:vAlign w:val="center"/>
          </w:tcPr>
          <w:p w14:paraId="27FAFCBF" w14:textId="20E8F950" w:rsidR="001873B5" w:rsidRPr="00E20D21" w:rsidRDefault="001873B5" w:rsidP="00AB38B0">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(8.810.115)</w:t>
            </w:r>
          </w:p>
        </w:tc>
        <w:tc>
          <w:tcPr>
            <w:tcW w:w="717" w:type="pct"/>
            <w:tcBorders>
              <w:top w:val="nil"/>
              <w:left w:val="nil"/>
              <w:bottom w:val="nil"/>
              <w:right w:val="nil"/>
            </w:tcBorders>
            <w:shd w:val="clear" w:color="auto" w:fill="auto"/>
            <w:vAlign w:val="center"/>
          </w:tcPr>
          <w:p w14:paraId="62BEFB8F" w14:textId="24B14682" w:rsidR="001873B5" w:rsidRPr="00E20D21" w:rsidRDefault="001873B5" w:rsidP="00AB38B0">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(6.382.681)</w:t>
            </w:r>
          </w:p>
        </w:tc>
        <w:tc>
          <w:tcPr>
            <w:tcW w:w="717" w:type="pct"/>
            <w:tcBorders>
              <w:top w:val="nil"/>
              <w:left w:val="nil"/>
              <w:bottom w:val="nil"/>
              <w:right w:val="nil"/>
            </w:tcBorders>
            <w:shd w:val="clear" w:color="auto" w:fill="auto"/>
            <w:vAlign w:val="center"/>
          </w:tcPr>
          <w:p w14:paraId="53C5846D" w14:textId="0EAA7B20" w:rsidR="001873B5" w:rsidRPr="00E20D21" w:rsidRDefault="000A3466" w:rsidP="00AB38B0">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(8.810.115)</w:t>
            </w:r>
          </w:p>
        </w:tc>
        <w:tc>
          <w:tcPr>
            <w:tcW w:w="716" w:type="pct"/>
            <w:tcBorders>
              <w:top w:val="nil"/>
              <w:left w:val="nil"/>
              <w:bottom w:val="nil"/>
              <w:right w:val="nil"/>
            </w:tcBorders>
            <w:shd w:val="clear" w:color="auto" w:fill="auto"/>
            <w:vAlign w:val="center"/>
          </w:tcPr>
          <w:p w14:paraId="5B761D84" w14:textId="06DEA084" w:rsidR="001873B5" w:rsidRPr="00E20D21" w:rsidRDefault="001873B5" w:rsidP="00AB38B0">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(6.382.681)</w:t>
            </w:r>
          </w:p>
        </w:tc>
      </w:tr>
      <w:tr w:rsidR="001873B5" w:rsidRPr="00E20D21" w14:paraId="510698F2" w14:textId="77777777" w:rsidTr="00562958">
        <w:trPr>
          <w:trHeight w:val="283"/>
        </w:trPr>
        <w:tc>
          <w:tcPr>
            <w:tcW w:w="2133" w:type="pct"/>
            <w:tcBorders>
              <w:top w:val="nil"/>
              <w:left w:val="nil"/>
              <w:bottom w:val="nil"/>
              <w:right w:val="nil"/>
            </w:tcBorders>
            <w:shd w:val="clear" w:color="auto" w:fill="auto"/>
            <w:vAlign w:val="center"/>
          </w:tcPr>
          <w:p w14:paraId="76956272" w14:textId="0B578B56" w:rsidR="001873B5" w:rsidRPr="00E20D21" w:rsidRDefault="001873B5" w:rsidP="001873B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de crédito imobiliário</w:t>
            </w:r>
          </w:p>
        </w:tc>
        <w:tc>
          <w:tcPr>
            <w:tcW w:w="717" w:type="pct"/>
            <w:tcBorders>
              <w:top w:val="nil"/>
              <w:left w:val="nil"/>
              <w:bottom w:val="nil"/>
              <w:right w:val="nil"/>
            </w:tcBorders>
            <w:shd w:val="clear" w:color="auto" w:fill="auto"/>
            <w:noWrap/>
            <w:vAlign w:val="center"/>
          </w:tcPr>
          <w:p w14:paraId="5BEEACC5" w14:textId="25C0A4B9"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(7.653.459)</w:t>
            </w:r>
          </w:p>
        </w:tc>
        <w:tc>
          <w:tcPr>
            <w:tcW w:w="717" w:type="pct"/>
            <w:tcBorders>
              <w:top w:val="nil"/>
              <w:left w:val="nil"/>
              <w:bottom w:val="nil"/>
              <w:right w:val="nil"/>
            </w:tcBorders>
            <w:shd w:val="clear" w:color="auto" w:fill="auto"/>
            <w:vAlign w:val="center"/>
          </w:tcPr>
          <w:p w14:paraId="6E66D70F" w14:textId="6A7C0C98"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(5.548.859)</w:t>
            </w:r>
          </w:p>
        </w:tc>
        <w:tc>
          <w:tcPr>
            <w:tcW w:w="717" w:type="pct"/>
            <w:tcBorders>
              <w:top w:val="nil"/>
              <w:left w:val="nil"/>
              <w:bottom w:val="nil"/>
              <w:right w:val="nil"/>
            </w:tcBorders>
            <w:shd w:val="clear" w:color="auto" w:fill="auto"/>
            <w:vAlign w:val="center"/>
          </w:tcPr>
          <w:p w14:paraId="7A553DF3" w14:textId="3D423080" w:rsidR="001873B5" w:rsidRPr="00E20D21" w:rsidRDefault="000A3466"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(7.653.459)</w:t>
            </w:r>
          </w:p>
        </w:tc>
        <w:tc>
          <w:tcPr>
            <w:tcW w:w="716" w:type="pct"/>
            <w:tcBorders>
              <w:top w:val="nil"/>
              <w:left w:val="nil"/>
              <w:bottom w:val="nil"/>
              <w:right w:val="nil"/>
            </w:tcBorders>
            <w:shd w:val="clear" w:color="auto" w:fill="auto"/>
            <w:vAlign w:val="center"/>
          </w:tcPr>
          <w:p w14:paraId="33369BDF" w14:textId="33FC16AF"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(5.548.859)</w:t>
            </w:r>
          </w:p>
        </w:tc>
      </w:tr>
      <w:tr w:rsidR="001873B5" w:rsidRPr="00E20D21" w14:paraId="275DA30A" w14:textId="77777777" w:rsidTr="00562958">
        <w:trPr>
          <w:trHeight w:val="283"/>
        </w:trPr>
        <w:tc>
          <w:tcPr>
            <w:tcW w:w="2133" w:type="pct"/>
            <w:tcBorders>
              <w:top w:val="nil"/>
              <w:left w:val="nil"/>
              <w:bottom w:val="nil"/>
              <w:right w:val="nil"/>
            </w:tcBorders>
            <w:shd w:val="clear" w:color="auto" w:fill="auto"/>
            <w:vAlign w:val="center"/>
          </w:tcPr>
          <w:p w14:paraId="05265B14" w14:textId="38890CF4" w:rsidR="001873B5" w:rsidRPr="00E20D21" w:rsidRDefault="001873B5" w:rsidP="001873B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financeiras</w:t>
            </w:r>
          </w:p>
        </w:tc>
        <w:tc>
          <w:tcPr>
            <w:tcW w:w="717" w:type="pct"/>
            <w:tcBorders>
              <w:top w:val="nil"/>
              <w:left w:val="nil"/>
              <w:bottom w:val="nil"/>
              <w:right w:val="nil"/>
            </w:tcBorders>
            <w:shd w:val="clear" w:color="auto" w:fill="auto"/>
            <w:noWrap/>
            <w:vAlign w:val="center"/>
          </w:tcPr>
          <w:p w14:paraId="2B80B59B" w14:textId="68FF0DE4"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(473.271)</w:t>
            </w:r>
          </w:p>
        </w:tc>
        <w:tc>
          <w:tcPr>
            <w:tcW w:w="717" w:type="pct"/>
            <w:tcBorders>
              <w:top w:val="nil"/>
              <w:left w:val="nil"/>
              <w:bottom w:val="nil"/>
              <w:right w:val="nil"/>
            </w:tcBorders>
            <w:shd w:val="clear" w:color="auto" w:fill="auto"/>
            <w:vAlign w:val="center"/>
          </w:tcPr>
          <w:p w14:paraId="03C3BCA6" w14:textId="1BC4C743"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(533.609)</w:t>
            </w:r>
          </w:p>
        </w:tc>
        <w:tc>
          <w:tcPr>
            <w:tcW w:w="717" w:type="pct"/>
            <w:tcBorders>
              <w:top w:val="nil"/>
              <w:left w:val="nil"/>
              <w:bottom w:val="nil"/>
              <w:right w:val="nil"/>
            </w:tcBorders>
            <w:shd w:val="clear" w:color="auto" w:fill="auto"/>
            <w:vAlign w:val="center"/>
          </w:tcPr>
          <w:p w14:paraId="0728EEC5" w14:textId="2F4B68FB" w:rsidR="001873B5" w:rsidRPr="00E20D21" w:rsidRDefault="000A3466"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(473.271)</w:t>
            </w:r>
          </w:p>
        </w:tc>
        <w:tc>
          <w:tcPr>
            <w:tcW w:w="716" w:type="pct"/>
            <w:tcBorders>
              <w:top w:val="nil"/>
              <w:left w:val="nil"/>
              <w:bottom w:val="nil"/>
              <w:right w:val="nil"/>
            </w:tcBorders>
            <w:shd w:val="clear" w:color="auto" w:fill="auto"/>
            <w:vAlign w:val="center"/>
          </w:tcPr>
          <w:p w14:paraId="485CB376" w14:textId="134BA1E6"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(533.609)</w:t>
            </w:r>
          </w:p>
        </w:tc>
      </w:tr>
      <w:tr w:rsidR="001873B5" w:rsidRPr="00E20D21" w14:paraId="78AEA8A4" w14:textId="77777777" w:rsidTr="00562958">
        <w:trPr>
          <w:trHeight w:val="283"/>
        </w:trPr>
        <w:tc>
          <w:tcPr>
            <w:tcW w:w="2133" w:type="pct"/>
            <w:tcBorders>
              <w:top w:val="nil"/>
              <w:left w:val="nil"/>
              <w:bottom w:val="nil"/>
              <w:right w:val="nil"/>
            </w:tcBorders>
            <w:shd w:val="clear" w:color="auto" w:fill="auto"/>
            <w:vAlign w:val="center"/>
          </w:tcPr>
          <w:p w14:paraId="4E44830F" w14:textId="1040A3E6" w:rsidR="001873B5" w:rsidRPr="00E20D21" w:rsidRDefault="00A23FB2" w:rsidP="001873B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   </w:t>
            </w:r>
            <w:r w:rsidR="001873B5" w:rsidRPr="00E20D21">
              <w:rPr>
                <w:rFonts w:ascii="CAIXA Std Book" w:eastAsia="Times New Roman" w:hAnsi="CAIXA Std Book" w:cs="Arial"/>
                <w:color w:val="005CA9"/>
                <w:sz w:val="18"/>
                <w:szCs w:val="18"/>
              </w:rPr>
              <w:t>Com subordinação</w:t>
            </w:r>
          </w:p>
        </w:tc>
        <w:tc>
          <w:tcPr>
            <w:tcW w:w="717" w:type="pct"/>
            <w:tcBorders>
              <w:top w:val="nil"/>
              <w:left w:val="nil"/>
              <w:bottom w:val="nil"/>
              <w:right w:val="nil"/>
            </w:tcBorders>
            <w:shd w:val="clear" w:color="auto" w:fill="auto"/>
            <w:noWrap/>
            <w:vAlign w:val="center"/>
          </w:tcPr>
          <w:p w14:paraId="3564BAC7" w14:textId="578EA389"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(131.312)</w:t>
            </w:r>
          </w:p>
        </w:tc>
        <w:tc>
          <w:tcPr>
            <w:tcW w:w="717" w:type="pct"/>
            <w:tcBorders>
              <w:top w:val="nil"/>
              <w:left w:val="nil"/>
              <w:bottom w:val="nil"/>
              <w:right w:val="nil"/>
            </w:tcBorders>
            <w:shd w:val="clear" w:color="auto" w:fill="auto"/>
            <w:vAlign w:val="center"/>
          </w:tcPr>
          <w:p w14:paraId="745E4672" w14:textId="16249457"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(172.409)</w:t>
            </w:r>
          </w:p>
        </w:tc>
        <w:tc>
          <w:tcPr>
            <w:tcW w:w="717" w:type="pct"/>
            <w:tcBorders>
              <w:top w:val="nil"/>
              <w:left w:val="nil"/>
              <w:bottom w:val="nil"/>
              <w:right w:val="nil"/>
            </w:tcBorders>
            <w:shd w:val="clear" w:color="auto" w:fill="auto"/>
            <w:vAlign w:val="center"/>
          </w:tcPr>
          <w:p w14:paraId="5FC181AB" w14:textId="7B072DC9" w:rsidR="001873B5" w:rsidRPr="00E20D21" w:rsidRDefault="000A3466"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(131.312)</w:t>
            </w:r>
          </w:p>
        </w:tc>
        <w:tc>
          <w:tcPr>
            <w:tcW w:w="716" w:type="pct"/>
            <w:tcBorders>
              <w:top w:val="nil"/>
              <w:left w:val="nil"/>
              <w:bottom w:val="nil"/>
              <w:right w:val="nil"/>
            </w:tcBorders>
            <w:shd w:val="clear" w:color="auto" w:fill="auto"/>
            <w:vAlign w:val="center"/>
          </w:tcPr>
          <w:p w14:paraId="1D985983" w14:textId="145B91B8"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(172.409)</w:t>
            </w:r>
          </w:p>
        </w:tc>
      </w:tr>
      <w:tr w:rsidR="001873B5" w:rsidRPr="00E20D21" w14:paraId="29FB0857" w14:textId="77777777" w:rsidTr="00562958">
        <w:trPr>
          <w:trHeight w:val="283"/>
        </w:trPr>
        <w:tc>
          <w:tcPr>
            <w:tcW w:w="2133" w:type="pct"/>
            <w:tcBorders>
              <w:top w:val="nil"/>
              <w:left w:val="nil"/>
              <w:bottom w:val="nil"/>
              <w:right w:val="nil"/>
            </w:tcBorders>
            <w:shd w:val="clear" w:color="auto" w:fill="auto"/>
            <w:vAlign w:val="center"/>
          </w:tcPr>
          <w:p w14:paraId="5F88824E" w14:textId="424E1D4E" w:rsidR="001873B5" w:rsidRPr="00E20D21" w:rsidRDefault="00A23FB2" w:rsidP="001873B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   </w:t>
            </w:r>
            <w:r w:rsidR="001873B5" w:rsidRPr="00E20D21">
              <w:rPr>
                <w:rFonts w:ascii="CAIXA Std Book" w:eastAsia="Times New Roman" w:hAnsi="CAIXA Std Book" w:cs="Arial"/>
                <w:color w:val="005CA9"/>
                <w:sz w:val="18"/>
                <w:szCs w:val="18"/>
              </w:rPr>
              <w:t>Sem subordinação</w:t>
            </w:r>
          </w:p>
        </w:tc>
        <w:tc>
          <w:tcPr>
            <w:tcW w:w="717" w:type="pct"/>
            <w:tcBorders>
              <w:top w:val="nil"/>
              <w:left w:val="nil"/>
              <w:bottom w:val="nil"/>
              <w:right w:val="nil"/>
            </w:tcBorders>
            <w:shd w:val="clear" w:color="auto" w:fill="auto"/>
            <w:noWrap/>
            <w:vAlign w:val="center"/>
          </w:tcPr>
          <w:p w14:paraId="12FBC560" w14:textId="17F1F798"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(341.959)</w:t>
            </w:r>
          </w:p>
        </w:tc>
        <w:tc>
          <w:tcPr>
            <w:tcW w:w="717" w:type="pct"/>
            <w:tcBorders>
              <w:top w:val="nil"/>
              <w:left w:val="nil"/>
              <w:bottom w:val="nil"/>
              <w:right w:val="nil"/>
            </w:tcBorders>
            <w:shd w:val="clear" w:color="auto" w:fill="auto"/>
            <w:vAlign w:val="center"/>
          </w:tcPr>
          <w:p w14:paraId="5FCFC1F3" w14:textId="38B43B17"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(361.200)</w:t>
            </w:r>
          </w:p>
        </w:tc>
        <w:tc>
          <w:tcPr>
            <w:tcW w:w="717" w:type="pct"/>
            <w:tcBorders>
              <w:top w:val="nil"/>
              <w:left w:val="nil"/>
              <w:bottom w:val="nil"/>
              <w:right w:val="nil"/>
            </w:tcBorders>
            <w:shd w:val="clear" w:color="auto" w:fill="auto"/>
            <w:vAlign w:val="center"/>
          </w:tcPr>
          <w:p w14:paraId="40506B75" w14:textId="5D747898" w:rsidR="001873B5" w:rsidRPr="00E20D21" w:rsidRDefault="000A3466"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(341.959)</w:t>
            </w:r>
          </w:p>
        </w:tc>
        <w:tc>
          <w:tcPr>
            <w:tcW w:w="716" w:type="pct"/>
            <w:tcBorders>
              <w:top w:val="nil"/>
              <w:left w:val="nil"/>
              <w:bottom w:val="nil"/>
              <w:right w:val="nil"/>
            </w:tcBorders>
            <w:shd w:val="clear" w:color="auto" w:fill="auto"/>
            <w:vAlign w:val="center"/>
          </w:tcPr>
          <w:p w14:paraId="68373BB9" w14:textId="754BB606"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(361.200)</w:t>
            </w:r>
          </w:p>
        </w:tc>
      </w:tr>
      <w:tr w:rsidR="001873B5" w:rsidRPr="00E20D21" w14:paraId="3A0B088B" w14:textId="77777777" w:rsidTr="00562958">
        <w:trPr>
          <w:trHeight w:val="283"/>
        </w:trPr>
        <w:tc>
          <w:tcPr>
            <w:tcW w:w="2133" w:type="pct"/>
            <w:tcBorders>
              <w:top w:val="nil"/>
              <w:left w:val="nil"/>
              <w:bottom w:val="nil"/>
              <w:right w:val="nil"/>
            </w:tcBorders>
            <w:shd w:val="clear" w:color="auto" w:fill="auto"/>
            <w:vAlign w:val="center"/>
          </w:tcPr>
          <w:p w14:paraId="1E7BCD2C" w14:textId="0E99C079" w:rsidR="001873B5" w:rsidRPr="00E20D21" w:rsidRDefault="001873B5" w:rsidP="001873B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de crédito do agronegócio</w:t>
            </w:r>
          </w:p>
        </w:tc>
        <w:tc>
          <w:tcPr>
            <w:tcW w:w="717" w:type="pct"/>
            <w:tcBorders>
              <w:top w:val="nil"/>
              <w:left w:val="nil"/>
              <w:bottom w:val="nil"/>
              <w:right w:val="nil"/>
            </w:tcBorders>
            <w:shd w:val="clear" w:color="auto" w:fill="auto"/>
            <w:noWrap/>
            <w:vAlign w:val="center"/>
          </w:tcPr>
          <w:p w14:paraId="0E7AC31D" w14:textId="7492E7C2"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(683.385)</w:t>
            </w:r>
          </w:p>
        </w:tc>
        <w:tc>
          <w:tcPr>
            <w:tcW w:w="717" w:type="pct"/>
            <w:tcBorders>
              <w:top w:val="nil"/>
              <w:left w:val="nil"/>
              <w:bottom w:val="nil"/>
              <w:right w:val="nil"/>
            </w:tcBorders>
            <w:shd w:val="clear" w:color="auto" w:fill="auto"/>
            <w:vAlign w:val="center"/>
          </w:tcPr>
          <w:p w14:paraId="169BF6DF" w14:textId="42D1E6C0"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(300.213)</w:t>
            </w:r>
          </w:p>
        </w:tc>
        <w:tc>
          <w:tcPr>
            <w:tcW w:w="717" w:type="pct"/>
            <w:tcBorders>
              <w:top w:val="nil"/>
              <w:left w:val="nil"/>
              <w:bottom w:val="nil"/>
              <w:right w:val="nil"/>
            </w:tcBorders>
            <w:shd w:val="clear" w:color="auto" w:fill="auto"/>
            <w:vAlign w:val="center"/>
          </w:tcPr>
          <w:p w14:paraId="785A797D" w14:textId="584353BB" w:rsidR="001873B5" w:rsidRPr="00E20D21" w:rsidRDefault="000A3466"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(683.385)</w:t>
            </w:r>
          </w:p>
        </w:tc>
        <w:tc>
          <w:tcPr>
            <w:tcW w:w="716" w:type="pct"/>
            <w:tcBorders>
              <w:top w:val="nil"/>
              <w:left w:val="nil"/>
              <w:bottom w:val="nil"/>
              <w:right w:val="nil"/>
            </w:tcBorders>
            <w:shd w:val="clear" w:color="auto" w:fill="auto"/>
            <w:vAlign w:val="center"/>
          </w:tcPr>
          <w:p w14:paraId="41F39E41" w14:textId="098E3589" w:rsidR="001873B5" w:rsidRPr="00E20D21" w:rsidRDefault="001873B5" w:rsidP="00AB38B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(300.213)</w:t>
            </w:r>
          </w:p>
        </w:tc>
      </w:tr>
      <w:tr w:rsidR="001873B5" w:rsidRPr="00E20D21" w14:paraId="046674F3" w14:textId="77777777" w:rsidTr="00562958">
        <w:trPr>
          <w:trHeight w:val="283"/>
        </w:trPr>
        <w:tc>
          <w:tcPr>
            <w:tcW w:w="2133" w:type="pct"/>
            <w:tcBorders>
              <w:top w:val="nil"/>
              <w:left w:val="nil"/>
              <w:bottom w:val="nil"/>
              <w:right w:val="nil"/>
            </w:tcBorders>
            <w:shd w:val="clear" w:color="auto" w:fill="auto"/>
            <w:vAlign w:val="center"/>
          </w:tcPr>
          <w:p w14:paraId="341DBC8B" w14:textId="448B9C4B" w:rsidR="001873B5" w:rsidRPr="00E20D21" w:rsidRDefault="001873B5" w:rsidP="001873B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Instrumentos híbridos de capital e dívida</w:t>
            </w:r>
          </w:p>
        </w:tc>
        <w:tc>
          <w:tcPr>
            <w:tcW w:w="717" w:type="pct"/>
            <w:tcBorders>
              <w:top w:val="nil"/>
              <w:left w:val="nil"/>
              <w:bottom w:val="nil"/>
              <w:right w:val="nil"/>
            </w:tcBorders>
            <w:shd w:val="clear" w:color="auto" w:fill="auto"/>
            <w:noWrap/>
            <w:vAlign w:val="center"/>
          </w:tcPr>
          <w:p w14:paraId="73D6E474" w14:textId="6E9D4BF3" w:rsidR="001873B5" w:rsidRPr="00E20D21" w:rsidRDefault="00C60948" w:rsidP="001873B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(923.460)</w:t>
            </w:r>
          </w:p>
        </w:tc>
        <w:tc>
          <w:tcPr>
            <w:tcW w:w="717" w:type="pct"/>
            <w:tcBorders>
              <w:top w:val="nil"/>
              <w:left w:val="nil"/>
              <w:bottom w:val="nil"/>
              <w:right w:val="nil"/>
            </w:tcBorders>
            <w:shd w:val="clear" w:color="auto" w:fill="auto"/>
            <w:vAlign w:val="center"/>
          </w:tcPr>
          <w:p w14:paraId="16072CAE" w14:textId="45E10C95" w:rsidR="001873B5" w:rsidRPr="00E20D21" w:rsidRDefault="001873B5" w:rsidP="001873B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(716.938)</w:t>
            </w:r>
          </w:p>
        </w:tc>
        <w:tc>
          <w:tcPr>
            <w:tcW w:w="717" w:type="pct"/>
            <w:tcBorders>
              <w:top w:val="nil"/>
              <w:left w:val="nil"/>
              <w:bottom w:val="nil"/>
              <w:right w:val="nil"/>
            </w:tcBorders>
            <w:shd w:val="clear" w:color="auto" w:fill="auto"/>
            <w:vAlign w:val="center"/>
          </w:tcPr>
          <w:p w14:paraId="2C49D07A" w14:textId="29F01815" w:rsidR="001873B5" w:rsidRPr="00E20D21" w:rsidRDefault="000A3466" w:rsidP="001873B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(475.722)</w:t>
            </w:r>
          </w:p>
        </w:tc>
        <w:tc>
          <w:tcPr>
            <w:tcW w:w="716" w:type="pct"/>
            <w:tcBorders>
              <w:top w:val="nil"/>
              <w:left w:val="nil"/>
              <w:bottom w:val="nil"/>
              <w:right w:val="nil"/>
            </w:tcBorders>
            <w:shd w:val="clear" w:color="auto" w:fill="auto"/>
            <w:vAlign w:val="center"/>
          </w:tcPr>
          <w:p w14:paraId="26CF93D1" w14:textId="65AC7E5A" w:rsidR="001873B5" w:rsidRPr="00E20D21" w:rsidRDefault="001873B5" w:rsidP="001873B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(418.799)</w:t>
            </w:r>
          </w:p>
        </w:tc>
      </w:tr>
      <w:tr w:rsidR="001873B5" w:rsidRPr="00E20D21" w14:paraId="08E2008E" w14:textId="77777777" w:rsidTr="00562958">
        <w:trPr>
          <w:trHeight w:val="283"/>
        </w:trPr>
        <w:tc>
          <w:tcPr>
            <w:tcW w:w="2133" w:type="pct"/>
            <w:tcBorders>
              <w:top w:val="single" w:sz="4" w:space="0" w:color="F39200"/>
              <w:left w:val="nil"/>
              <w:bottom w:val="single" w:sz="4" w:space="0" w:color="F39200"/>
              <w:right w:val="nil"/>
            </w:tcBorders>
            <w:shd w:val="clear" w:color="auto" w:fill="auto"/>
            <w:noWrap/>
            <w:vAlign w:val="center"/>
            <w:hideMark/>
          </w:tcPr>
          <w:p w14:paraId="5529EA0B" w14:textId="77777777" w:rsidR="001873B5" w:rsidRPr="00E20D21" w:rsidRDefault="001873B5" w:rsidP="001873B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17" w:type="pct"/>
            <w:tcBorders>
              <w:top w:val="single" w:sz="4" w:space="0" w:color="F39200"/>
              <w:left w:val="nil"/>
              <w:bottom w:val="single" w:sz="4" w:space="0" w:color="F39200"/>
              <w:right w:val="nil"/>
            </w:tcBorders>
            <w:shd w:val="clear" w:color="auto" w:fill="auto"/>
            <w:noWrap/>
            <w:vAlign w:val="center"/>
          </w:tcPr>
          <w:p w14:paraId="44049B76" w14:textId="7D4C8974" w:rsidR="001873B5" w:rsidRPr="00E20D21" w:rsidRDefault="001873B5" w:rsidP="001873B5">
            <w:pPr>
              <w:jc w:val="right"/>
              <w:rPr>
                <w:rFonts w:ascii="CAIXA Std Book" w:eastAsia="Times New Roman" w:hAnsi="CAIXA Std Book" w:cs="Arial"/>
                <w:b/>
                <w:bCs/>
                <w:color w:val="005CA9"/>
                <w:sz w:val="18"/>
                <w:szCs w:val="18"/>
              </w:rPr>
            </w:pPr>
            <w:r w:rsidRPr="00E20D21">
              <w:rPr>
                <w:rFonts w:ascii="CAIXA Std Book" w:hAnsi="CAIXA Std Book" w:cs="Arial"/>
                <w:b/>
                <w:color w:val="005CA9"/>
                <w:sz w:val="18"/>
                <w:szCs w:val="18"/>
              </w:rPr>
              <w:t>(</w:t>
            </w:r>
            <w:r w:rsidR="00EB5560" w:rsidRPr="00E20D21">
              <w:rPr>
                <w:rFonts w:ascii="CAIXA Std Book" w:hAnsi="CAIXA Std Book" w:cs="Arial"/>
                <w:b/>
                <w:color w:val="005CA9"/>
                <w:sz w:val="18"/>
                <w:szCs w:val="18"/>
              </w:rPr>
              <w:t>9.</w:t>
            </w:r>
            <w:r w:rsidR="00C60948" w:rsidRPr="00E20D21">
              <w:rPr>
                <w:rFonts w:ascii="CAIXA Std Book" w:hAnsi="CAIXA Std Book" w:cs="Arial"/>
                <w:b/>
                <w:bCs/>
                <w:color w:val="005CA9"/>
                <w:sz w:val="18"/>
                <w:szCs w:val="18"/>
              </w:rPr>
              <w:t>733.575</w:t>
            </w:r>
            <w:r w:rsidRPr="00E20D21">
              <w:rPr>
                <w:rFonts w:ascii="CAIXA Std Book" w:hAnsi="CAIXA Std Book" w:cs="Arial"/>
                <w:b/>
                <w:color w:val="005CA9"/>
                <w:sz w:val="18"/>
                <w:szCs w:val="18"/>
              </w:rPr>
              <w:t>)</w:t>
            </w:r>
          </w:p>
        </w:tc>
        <w:tc>
          <w:tcPr>
            <w:tcW w:w="717" w:type="pct"/>
            <w:tcBorders>
              <w:top w:val="single" w:sz="4" w:space="0" w:color="F39200"/>
              <w:left w:val="nil"/>
              <w:bottom w:val="single" w:sz="4" w:space="0" w:color="F39200"/>
              <w:right w:val="nil"/>
            </w:tcBorders>
            <w:shd w:val="clear" w:color="auto" w:fill="auto"/>
            <w:vAlign w:val="center"/>
          </w:tcPr>
          <w:p w14:paraId="7FCCD42E" w14:textId="11E64CEE" w:rsidR="001873B5" w:rsidRPr="00E20D21" w:rsidRDefault="00C60948" w:rsidP="001873B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w:t>
            </w:r>
            <w:r w:rsidR="003F27EF" w:rsidRPr="00E20D21">
              <w:rPr>
                <w:rFonts w:ascii="CAIXA Std Book" w:hAnsi="CAIXA Std Book" w:cs="Arial"/>
                <w:b/>
                <w:bCs/>
                <w:color w:val="005CA9"/>
                <w:sz w:val="18"/>
                <w:szCs w:val="18"/>
              </w:rPr>
              <w:t>7.099.619)</w:t>
            </w:r>
          </w:p>
        </w:tc>
        <w:tc>
          <w:tcPr>
            <w:tcW w:w="717" w:type="pct"/>
            <w:tcBorders>
              <w:top w:val="single" w:sz="4" w:space="0" w:color="F39200"/>
              <w:left w:val="nil"/>
              <w:bottom w:val="single" w:sz="4" w:space="0" w:color="F39200"/>
              <w:right w:val="nil"/>
            </w:tcBorders>
            <w:shd w:val="clear" w:color="auto" w:fill="auto"/>
            <w:vAlign w:val="center"/>
          </w:tcPr>
          <w:p w14:paraId="6FF4F280" w14:textId="5BD273AF" w:rsidR="001873B5" w:rsidRPr="00E20D21" w:rsidRDefault="000A3466" w:rsidP="001873B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(9.285.837)</w:t>
            </w:r>
          </w:p>
        </w:tc>
        <w:tc>
          <w:tcPr>
            <w:tcW w:w="716" w:type="pct"/>
            <w:tcBorders>
              <w:top w:val="single" w:sz="4" w:space="0" w:color="F39200"/>
              <w:left w:val="nil"/>
              <w:bottom w:val="single" w:sz="4" w:space="0" w:color="F39200"/>
              <w:right w:val="nil"/>
            </w:tcBorders>
            <w:shd w:val="clear" w:color="auto" w:fill="auto"/>
            <w:vAlign w:val="center"/>
          </w:tcPr>
          <w:p w14:paraId="23081A34" w14:textId="3202AFC3" w:rsidR="001873B5" w:rsidRPr="00E20D21" w:rsidRDefault="00EE226F" w:rsidP="001873B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(6.801.480)</w:t>
            </w:r>
          </w:p>
        </w:tc>
      </w:tr>
    </w:tbl>
    <w:p w14:paraId="1CF22F3F" w14:textId="77777777" w:rsidR="006901B1" w:rsidRPr="00E20D21" w:rsidRDefault="006901B1">
      <w:pPr>
        <w:rPr>
          <w:rFonts w:ascii="CAIXA Std Book" w:hAnsi="CAIXA Std Book"/>
          <w:b/>
          <w:color w:val="005CA9"/>
          <w:sz w:val="22"/>
          <w:szCs w:val="22"/>
        </w:rPr>
      </w:pPr>
      <w:r w:rsidRPr="00E20D21">
        <w:rPr>
          <w:rFonts w:ascii="CAIXA Std Book" w:hAnsi="CAIXA Std Book"/>
        </w:rPr>
        <w:br w:type="page"/>
      </w:r>
    </w:p>
    <w:p w14:paraId="32582801" w14:textId="1C8101DF" w:rsidR="005F303D" w:rsidRPr="00E20D21" w:rsidRDefault="005F303D" w:rsidP="00FD7768">
      <w:pPr>
        <w:pStyle w:val="Ttulo1"/>
      </w:pPr>
      <w:bookmarkStart w:id="58" w:name="_Toc175067958"/>
      <w:r w:rsidRPr="00E20D21">
        <w:lastRenderedPageBreak/>
        <w:t>Nota 1</w:t>
      </w:r>
      <w:r w:rsidR="004917F8" w:rsidRPr="00E20D21">
        <w:t>8</w:t>
      </w:r>
      <w:r w:rsidRPr="00E20D21">
        <w:t xml:space="preserve"> – </w:t>
      </w:r>
      <w:r w:rsidR="00D86E88" w:rsidRPr="00E20D21">
        <w:t>Outros passivos financeiros</w:t>
      </w:r>
      <w:bookmarkEnd w:id="58"/>
    </w:p>
    <w:p w14:paraId="058D4DF2" w14:textId="163FCE49" w:rsidR="009101D0" w:rsidRPr="00E20D21" w:rsidRDefault="006C7A43" w:rsidP="00051BF7">
      <w:pPr>
        <w:spacing w:before="240" w:after="240"/>
        <w:ind w:left="567" w:hanging="567"/>
        <w:jc w:val="both"/>
        <w:rPr>
          <w:rFonts w:ascii="CAIXA Std Book" w:hAnsi="CAIXA Std Book"/>
          <w:b/>
          <w:color w:val="005CA9"/>
          <w:sz w:val="20"/>
          <w:szCs w:val="20"/>
        </w:rPr>
      </w:pPr>
      <w:bookmarkStart w:id="59" w:name="_Hlk70628098"/>
      <w:r w:rsidRPr="00E20D21">
        <w:rPr>
          <w:rFonts w:ascii="CAIXA Std Book" w:hAnsi="CAIXA Std Book"/>
          <w:b/>
          <w:color w:val="005CA9"/>
          <w:sz w:val="20"/>
          <w:szCs w:val="20"/>
        </w:rPr>
        <w:t>(a)</w:t>
      </w:r>
      <w:r w:rsidRPr="00E20D21">
        <w:rPr>
          <w:rFonts w:ascii="CAIXA Std Book" w:hAnsi="CAIXA Std Book"/>
          <w:b/>
          <w:color w:val="005CA9"/>
          <w:sz w:val="20"/>
          <w:szCs w:val="20"/>
        </w:rPr>
        <w:tab/>
      </w:r>
      <w:r w:rsidR="009101D0" w:rsidRPr="00E20D21">
        <w:rPr>
          <w:rFonts w:ascii="CAIXA Std Book" w:hAnsi="CAIXA Std Book"/>
          <w:b/>
          <w:color w:val="005CA9"/>
          <w:sz w:val="20"/>
          <w:szCs w:val="20"/>
        </w:rPr>
        <w:t>Composição</w:t>
      </w:r>
    </w:p>
    <w:tbl>
      <w:tblPr>
        <w:tblW w:w="5000" w:type="pct"/>
        <w:tblLayout w:type="fixed"/>
        <w:tblCellMar>
          <w:left w:w="70" w:type="dxa"/>
          <w:right w:w="70" w:type="dxa"/>
        </w:tblCellMar>
        <w:tblLook w:val="04A0" w:firstRow="1" w:lastRow="0" w:firstColumn="1" w:lastColumn="0" w:noHBand="0" w:noVBand="1"/>
      </w:tblPr>
      <w:tblGrid>
        <w:gridCol w:w="4111"/>
        <w:gridCol w:w="1382"/>
        <w:gridCol w:w="1382"/>
        <w:gridCol w:w="1382"/>
        <w:gridCol w:w="1380"/>
      </w:tblGrid>
      <w:tr w:rsidR="00A47C19" w:rsidRPr="00E20D21" w14:paraId="127F8CE5" w14:textId="77777777" w:rsidTr="00CB6DDE">
        <w:trPr>
          <w:trHeight w:val="283"/>
        </w:trPr>
        <w:tc>
          <w:tcPr>
            <w:tcW w:w="2133" w:type="pct"/>
            <w:vMerge w:val="restart"/>
            <w:tcBorders>
              <w:top w:val="single" w:sz="4" w:space="0" w:color="F39200"/>
              <w:left w:val="nil"/>
              <w:right w:val="nil"/>
            </w:tcBorders>
            <w:shd w:val="clear" w:color="auto" w:fill="auto"/>
            <w:noWrap/>
            <w:vAlign w:val="center"/>
          </w:tcPr>
          <w:p w14:paraId="7830917A" w14:textId="7B343CD9" w:rsidR="00C51EF8" w:rsidRPr="00E20D21" w:rsidRDefault="00C51EF8" w:rsidP="002F3CA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434" w:type="pct"/>
            <w:gridSpan w:val="2"/>
            <w:tcBorders>
              <w:top w:val="single" w:sz="4" w:space="0" w:color="F39200"/>
              <w:left w:val="nil"/>
              <w:bottom w:val="single" w:sz="4" w:space="0" w:color="F79646" w:themeColor="accent6"/>
              <w:right w:val="nil"/>
            </w:tcBorders>
            <w:shd w:val="clear" w:color="auto" w:fill="auto"/>
            <w:vAlign w:val="center"/>
          </w:tcPr>
          <w:p w14:paraId="09294190" w14:textId="1C8FDFF3" w:rsidR="007B3C5F" w:rsidRPr="00E20D21" w:rsidRDefault="00C51EF8" w:rsidP="002F3CA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434" w:type="pct"/>
            <w:gridSpan w:val="2"/>
            <w:tcBorders>
              <w:top w:val="single" w:sz="4" w:space="0" w:color="F39200"/>
              <w:left w:val="nil"/>
              <w:bottom w:val="single" w:sz="4" w:space="0" w:color="F39200"/>
              <w:right w:val="nil"/>
            </w:tcBorders>
            <w:shd w:val="clear" w:color="auto" w:fill="auto"/>
            <w:vAlign w:val="center"/>
          </w:tcPr>
          <w:p w14:paraId="7487A2DA" w14:textId="60B6554C" w:rsidR="007B3C5F" w:rsidRPr="00E20D21" w:rsidRDefault="007B3C5F" w:rsidP="002F3CA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bookmarkEnd w:id="59"/>
      <w:tr w:rsidR="00A47C19" w:rsidRPr="00E20D21" w14:paraId="5CEE857B" w14:textId="0FBA5D6C" w:rsidTr="00CB6DDE">
        <w:trPr>
          <w:trHeight w:val="283"/>
        </w:trPr>
        <w:tc>
          <w:tcPr>
            <w:tcW w:w="2133" w:type="pct"/>
            <w:vMerge/>
            <w:tcBorders>
              <w:left w:val="nil"/>
              <w:bottom w:val="single" w:sz="4" w:space="0" w:color="F39200"/>
              <w:right w:val="nil"/>
            </w:tcBorders>
            <w:shd w:val="clear" w:color="auto" w:fill="auto"/>
            <w:vAlign w:val="center"/>
            <w:hideMark/>
          </w:tcPr>
          <w:p w14:paraId="31AE0882" w14:textId="611FFB6B" w:rsidR="00C02B1B" w:rsidRPr="00E20D21" w:rsidRDefault="00C02B1B" w:rsidP="00C02B1B">
            <w:pPr>
              <w:jc w:val="center"/>
              <w:rPr>
                <w:rFonts w:ascii="CAIXA Std Book" w:eastAsia="Times New Roman" w:hAnsi="CAIXA Std Book" w:cs="Arial"/>
                <w:b/>
                <w:bCs/>
                <w:color w:val="005CA9"/>
                <w:sz w:val="18"/>
                <w:szCs w:val="18"/>
              </w:rPr>
            </w:pPr>
          </w:p>
        </w:tc>
        <w:tc>
          <w:tcPr>
            <w:tcW w:w="717" w:type="pct"/>
            <w:tcBorders>
              <w:top w:val="single" w:sz="4" w:space="0" w:color="F79646" w:themeColor="accent6"/>
              <w:left w:val="nil"/>
              <w:bottom w:val="single" w:sz="4" w:space="0" w:color="F39200"/>
              <w:right w:val="nil"/>
            </w:tcBorders>
            <w:shd w:val="clear" w:color="auto" w:fill="auto"/>
            <w:vAlign w:val="center"/>
          </w:tcPr>
          <w:p w14:paraId="7C8920E4" w14:textId="7526EC60" w:rsidR="00C02B1B" w:rsidRPr="00E20D21" w:rsidRDefault="005109C8" w:rsidP="00C02B1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717" w:type="pct"/>
            <w:tcBorders>
              <w:top w:val="single" w:sz="4" w:space="0" w:color="F79646" w:themeColor="accent6"/>
              <w:left w:val="nil"/>
              <w:bottom w:val="single" w:sz="4" w:space="0" w:color="F39200"/>
              <w:right w:val="nil"/>
            </w:tcBorders>
            <w:shd w:val="clear" w:color="auto" w:fill="auto"/>
            <w:vAlign w:val="center"/>
            <w:hideMark/>
          </w:tcPr>
          <w:p w14:paraId="33BFB77A" w14:textId="730F4450" w:rsidR="00C02B1B" w:rsidRPr="00E20D21" w:rsidRDefault="00C02B1B" w:rsidP="00C02B1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w:t>
            </w:r>
            <w:r w:rsidR="005109C8" w:rsidRPr="00E20D21">
              <w:rPr>
                <w:rFonts w:ascii="CAIXA Std Book" w:eastAsia="Times New Roman" w:hAnsi="CAIXA Std Book" w:cs="Arial"/>
                <w:b/>
                <w:bCs/>
                <w:color w:val="005CA9"/>
                <w:sz w:val="18"/>
                <w:szCs w:val="18"/>
              </w:rPr>
              <w:t>3</w:t>
            </w:r>
          </w:p>
        </w:tc>
        <w:tc>
          <w:tcPr>
            <w:tcW w:w="717" w:type="pct"/>
            <w:tcBorders>
              <w:top w:val="nil"/>
              <w:left w:val="nil"/>
              <w:bottom w:val="single" w:sz="4" w:space="0" w:color="F39200"/>
              <w:right w:val="nil"/>
            </w:tcBorders>
            <w:vAlign w:val="center"/>
          </w:tcPr>
          <w:p w14:paraId="53C4B3D4" w14:textId="1C66A44B" w:rsidR="007B3C5F" w:rsidRPr="00E20D21" w:rsidRDefault="005109C8" w:rsidP="002F3CA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717" w:type="pct"/>
            <w:tcBorders>
              <w:top w:val="nil"/>
              <w:left w:val="nil"/>
              <w:bottom w:val="single" w:sz="4" w:space="0" w:color="F39200"/>
              <w:right w:val="nil"/>
            </w:tcBorders>
            <w:vAlign w:val="center"/>
          </w:tcPr>
          <w:p w14:paraId="64AAE6A2" w14:textId="6010FBD2" w:rsidR="007B3C5F" w:rsidRPr="00E20D21" w:rsidRDefault="007B3C5F" w:rsidP="002F3CA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w:t>
            </w:r>
            <w:r w:rsidR="005109C8" w:rsidRPr="00E20D21">
              <w:rPr>
                <w:rFonts w:ascii="CAIXA Std Book" w:eastAsia="Times New Roman" w:hAnsi="CAIXA Std Book" w:cs="Arial"/>
                <w:b/>
                <w:bCs/>
                <w:color w:val="005CA9"/>
                <w:sz w:val="18"/>
                <w:szCs w:val="18"/>
              </w:rPr>
              <w:t>3</w:t>
            </w:r>
          </w:p>
        </w:tc>
      </w:tr>
      <w:tr w:rsidR="00506854" w:rsidRPr="00E20D21" w14:paraId="770114C3" w14:textId="11E989B8" w:rsidTr="00CB6DDE">
        <w:trPr>
          <w:trHeight w:val="283"/>
        </w:trPr>
        <w:tc>
          <w:tcPr>
            <w:tcW w:w="2133" w:type="pct"/>
            <w:tcBorders>
              <w:top w:val="nil"/>
              <w:left w:val="nil"/>
              <w:bottom w:val="nil"/>
              <w:right w:val="nil"/>
            </w:tcBorders>
            <w:shd w:val="clear" w:color="auto" w:fill="auto"/>
            <w:vAlign w:val="center"/>
            <w:hideMark/>
          </w:tcPr>
          <w:p w14:paraId="46B83AC7" w14:textId="77777777"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Recursos para destinação específica (b)</w:t>
            </w:r>
          </w:p>
        </w:tc>
        <w:tc>
          <w:tcPr>
            <w:tcW w:w="717" w:type="pct"/>
            <w:tcBorders>
              <w:top w:val="nil"/>
              <w:left w:val="nil"/>
              <w:bottom w:val="nil"/>
              <w:right w:val="nil"/>
            </w:tcBorders>
            <w:shd w:val="clear" w:color="auto" w:fill="auto"/>
            <w:noWrap/>
            <w:vAlign w:val="center"/>
          </w:tcPr>
          <w:p w14:paraId="24B3CB06" w14:textId="73B21392"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18.600.628</w:t>
            </w:r>
          </w:p>
        </w:tc>
        <w:tc>
          <w:tcPr>
            <w:tcW w:w="717" w:type="pct"/>
            <w:tcBorders>
              <w:top w:val="nil"/>
              <w:left w:val="nil"/>
              <w:bottom w:val="nil"/>
              <w:right w:val="nil"/>
            </w:tcBorders>
            <w:shd w:val="clear" w:color="auto" w:fill="auto"/>
            <w:noWrap/>
            <w:vAlign w:val="center"/>
          </w:tcPr>
          <w:p w14:paraId="208059C8" w14:textId="41659A54"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19.953.147</w:t>
            </w:r>
          </w:p>
        </w:tc>
        <w:tc>
          <w:tcPr>
            <w:tcW w:w="717" w:type="pct"/>
            <w:tcBorders>
              <w:top w:val="nil"/>
              <w:left w:val="nil"/>
              <w:bottom w:val="nil"/>
              <w:right w:val="nil"/>
            </w:tcBorders>
            <w:vAlign w:val="center"/>
          </w:tcPr>
          <w:p w14:paraId="59E5880C" w14:textId="43A1EDEE" w:rsidR="00506854" w:rsidRPr="00E20D21" w:rsidRDefault="00BD7E16"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18.600.</w:t>
            </w:r>
            <w:r w:rsidR="00B07863" w:rsidRPr="00E20D21">
              <w:rPr>
                <w:rFonts w:ascii="CAIXA Std Book" w:hAnsi="CAIXA Std Book" w:cs="Arial"/>
                <w:color w:val="005CA9"/>
                <w:sz w:val="18"/>
                <w:szCs w:val="18"/>
              </w:rPr>
              <w:t>242</w:t>
            </w:r>
          </w:p>
        </w:tc>
        <w:tc>
          <w:tcPr>
            <w:tcW w:w="717" w:type="pct"/>
            <w:tcBorders>
              <w:top w:val="nil"/>
              <w:left w:val="nil"/>
              <w:bottom w:val="nil"/>
              <w:right w:val="nil"/>
            </w:tcBorders>
            <w:vAlign w:val="center"/>
          </w:tcPr>
          <w:p w14:paraId="6D87BE20" w14:textId="2ED41426"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19.953.147</w:t>
            </w:r>
          </w:p>
        </w:tc>
      </w:tr>
      <w:tr w:rsidR="00506854" w:rsidRPr="00E20D21" w14:paraId="5D7A3400" w14:textId="6FE192B9" w:rsidTr="00CB6DDE">
        <w:trPr>
          <w:trHeight w:val="283"/>
        </w:trPr>
        <w:tc>
          <w:tcPr>
            <w:tcW w:w="2133" w:type="pct"/>
            <w:tcBorders>
              <w:top w:val="nil"/>
              <w:left w:val="nil"/>
              <w:bottom w:val="nil"/>
              <w:right w:val="nil"/>
            </w:tcBorders>
            <w:shd w:val="clear" w:color="auto" w:fill="auto"/>
            <w:vAlign w:val="center"/>
            <w:hideMark/>
          </w:tcPr>
          <w:p w14:paraId="7F866523" w14:textId="77777777"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Receitas antecipadas (c)</w:t>
            </w:r>
          </w:p>
        </w:tc>
        <w:tc>
          <w:tcPr>
            <w:tcW w:w="717" w:type="pct"/>
            <w:tcBorders>
              <w:top w:val="nil"/>
              <w:left w:val="nil"/>
              <w:bottom w:val="nil"/>
              <w:right w:val="nil"/>
            </w:tcBorders>
            <w:shd w:val="clear" w:color="auto" w:fill="auto"/>
            <w:noWrap/>
            <w:vAlign w:val="center"/>
          </w:tcPr>
          <w:p w14:paraId="61E2E9EC" w14:textId="11A5ACAC"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8.716.208</w:t>
            </w:r>
          </w:p>
        </w:tc>
        <w:tc>
          <w:tcPr>
            <w:tcW w:w="717" w:type="pct"/>
            <w:tcBorders>
              <w:top w:val="nil"/>
              <w:left w:val="nil"/>
              <w:bottom w:val="nil"/>
              <w:right w:val="nil"/>
            </w:tcBorders>
            <w:shd w:val="clear" w:color="auto" w:fill="auto"/>
            <w:noWrap/>
            <w:vAlign w:val="center"/>
          </w:tcPr>
          <w:p w14:paraId="5934E676" w14:textId="71DE70F7"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8.969.708</w:t>
            </w:r>
          </w:p>
        </w:tc>
        <w:tc>
          <w:tcPr>
            <w:tcW w:w="717" w:type="pct"/>
            <w:tcBorders>
              <w:top w:val="nil"/>
              <w:left w:val="nil"/>
              <w:bottom w:val="nil"/>
              <w:right w:val="nil"/>
            </w:tcBorders>
            <w:vAlign w:val="center"/>
          </w:tcPr>
          <w:p w14:paraId="28A5C596" w14:textId="6748F9C5" w:rsidR="00506854" w:rsidRPr="00E20D21" w:rsidRDefault="00BD7E16"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8.716.208</w:t>
            </w:r>
          </w:p>
        </w:tc>
        <w:tc>
          <w:tcPr>
            <w:tcW w:w="717" w:type="pct"/>
            <w:tcBorders>
              <w:top w:val="nil"/>
              <w:left w:val="nil"/>
              <w:bottom w:val="nil"/>
              <w:right w:val="nil"/>
            </w:tcBorders>
            <w:vAlign w:val="center"/>
          </w:tcPr>
          <w:p w14:paraId="15350236" w14:textId="1915B81E"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8.969.708</w:t>
            </w:r>
          </w:p>
        </w:tc>
      </w:tr>
      <w:tr w:rsidR="00506854" w:rsidRPr="00E20D21" w14:paraId="58EC9CBE" w14:textId="2CB5685A" w:rsidTr="00CB6DDE">
        <w:trPr>
          <w:trHeight w:val="283"/>
        </w:trPr>
        <w:tc>
          <w:tcPr>
            <w:tcW w:w="2133" w:type="pct"/>
            <w:tcBorders>
              <w:top w:val="nil"/>
              <w:left w:val="nil"/>
              <w:bottom w:val="nil"/>
              <w:right w:val="nil"/>
            </w:tcBorders>
            <w:shd w:val="clear" w:color="auto" w:fill="auto"/>
            <w:vAlign w:val="center"/>
            <w:hideMark/>
          </w:tcPr>
          <w:p w14:paraId="3429DCDC" w14:textId="77777777"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Obrigações por operações vinculadas a cessão</w:t>
            </w:r>
          </w:p>
        </w:tc>
        <w:tc>
          <w:tcPr>
            <w:tcW w:w="717" w:type="pct"/>
            <w:tcBorders>
              <w:top w:val="nil"/>
              <w:left w:val="nil"/>
              <w:bottom w:val="nil"/>
              <w:right w:val="nil"/>
            </w:tcBorders>
            <w:shd w:val="clear" w:color="auto" w:fill="auto"/>
            <w:noWrap/>
            <w:vAlign w:val="center"/>
          </w:tcPr>
          <w:p w14:paraId="450ABD3D" w14:textId="1BDDF3DD"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3.682.695</w:t>
            </w:r>
          </w:p>
        </w:tc>
        <w:tc>
          <w:tcPr>
            <w:tcW w:w="717" w:type="pct"/>
            <w:tcBorders>
              <w:top w:val="nil"/>
              <w:left w:val="nil"/>
              <w:bottom w:val="nil"/>
              <w:right w:val="nil"/>
            </w:tcBorders>
            <w:shd w:val="clear" w:color="auto" w:fill="auto"/>
            <w:noWrap/>
            <w:vAlign w:val="center"/>
          </w:tcPr>
          <w:p w14:paraId="480A946B" w14:textId="7DA09582"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4.043.693</w:t>
            </w:r>
          </w:p>
        </w:tc>
        <w:tc>
          <w:tcPr>
            <w:tcW w:w="717" w:type="pct"/>
            <w:tcBorders>
              <w:top w:val="nil"/>
              <w:left w:val="nil"/>
              <w:bottom w:val="nil"/>
              <w:right w:val="nil"/>
            </w:tcBorders>
            <w:vAlign w:val="center"/>
          </w:tcPr>
          <w:p w14:paraId="0109081C" w14:textId="75A2F3F3" w:rsidR="00506854" w:rsidRPr="00E20D21" w:rsidRDefault="00BD7E16"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3.682.695</w:t>
            </w:r>
          </w:p>
        </w:tc>
        <w:tc>
          <w:tcPr>
            <w:tcW w:w="717" w:type="pct"/>
            <w:tcBorders>
              <w:top w:val="nil"/>
              <w:left w:val="nil"/>
              <w:bottom w:val="nil"/>
              <w:right w:val="nil"/>
            </w:tcBorders>
            <w:vAlign w:val="center"/>
          </w:tcPr>
          <w:p w14:paraId="01D044DF" w14:textId="71452738"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4.043.693</w:t>
            </w:r>
          </w:p>
        </w:tc>
      </w:tr>
      <w:tr w:rsidR="00506854" w:rsidRPr="00E20D21" w14:paraId="40CBBF35" w14:textId="76D42E3D" w:rsidTr="00CB6DDE">
        <w:trPr>
          <w:trHeight w:val="283"/>
        </w:trPr>
        <w:tc>
          <w:tcPr>
            <w:tcW w:w="2133" w:type="pct"/>
            <w:tcBorders>
              <w:top w:val="nil"/>
              <w:left w:val="nil"/>
              <w:bottom w:val="nil"/>
              <w:right w:val="nil"/>
            </w:tcBorders>
            <w:shd w:val="clear" w:color="auto" w:fill="auto"/>
            <w:vAlign w:val="center"/>
            <w:hideMark/>
          </w:tcPr>
          <w:p w14:paraId="084616FE" w14:textId="77777777"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Carteira de câmbio </w:t>
            </w:r>
          </w:p>
        </w:tc>
        <w:tc>
          <w:tcPr>
            <w:tcW w:w="717" w:type="pct"/>
            <w:tcBorders>
              <w:top w:val="nil"/>
              <w:left w:val="nil"/>
              <w:bottom w:val="nil"/>
              <w:right w:val="nil"/>
            </w:tcBorders>
            <w:shd w:val="clear" w:color="auto" w:fill="auto"/>
            <w:noWrap/>
            <w:vAlign w:val="center"/>
          </w:tcPr>
          <w:p w14:paraId="03ECCC51" w14:textId="2CE133A9"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1.752.957</w:t>
            </w:r>
          </w:p>
        </w:tc>
        <w:tc>
          <w:tcPr>
            <w:tcW w:w="717" w:type="pct"/>
            <w:tcBorders>
              <w:top w:val="nil"/>
              <w:left w:val="nil"/>
              <w:bottom w:val="nil"/>
              <w:right w:val="nil"/>
            </w:tcBorders>
            <w:shd w:val="clear" w:color="auto" w:fill="auto"/>
            <w:noWrap/>
            <w:vAlign w:val="center"/>
          </w:tcPr>
          <w:p w14:paraId="2E670230" w14:textId="14949E15"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1.852.388</w:t>
            </w:r>
          </w:p>
        </w:tc>
        <w:tc>
          <w:tcPr>
            <w:tcW w:w="717" w:type="pct"/>
            <w:tcBorders>
              <w:top w:val="nil"/>
              <w:left w:val="nil"/>
              <w:bottom w:val="nil"/>
              <w:right w:val="nil"/>
            </w:tcBorders>
            <w:vAlign w:val="center"/>
          </w:tcPr>
          <w:p w14:paraId="7503FA60" w14:textId="07759503" w:rsidR="00506854" w:rsidRPr="00E20D21" w:rsidRDefault="00BD7E16"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1.752.957</w:t>
            </w:r>
          </w:p>
        </w:tc>
        <w:tc>
          <w:tcPr>
            <w:tcW w:w="717" w:type="pct"/>
            <w:tcBorders>
              <w:top w:val="nil"/>
              <w:left w:val="nil"/>
              <w:bottom w:val="nil"/>
              <w:right w:val="nil"/>
            </w:tcBorders>
            <w:vAlign w:val="center"/>
          </w:tcPr>
          <w:p w14:paraId="5F069BF3" w14:textId="04FE84C3"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1.852.388</w:t>
            </w:r>
          </w:p>
        </w:tc>
      </w:tr>
      <w:tr w:rsidR="00506854" w:rsidRPr="00E20D21" w14:paraId="5E8BC9C6" w14:textId="2EB27600" w:rsidTr="00CB6DDE">
        <w:trPr>
          <w:trHeight w:val="283"/>
        </w:trPr>
        <w:tc>
          <w:tcPr>
            <w:tcW w:w="2133" w:type="pct"/>
            <w:tcBorders>
              <w:top w:val="nil"/>
              <w:left w:val="nil"/>
              <w:bottom w:val="nil"/>
              <w:right w:val="nil"/>
            </w:tcBorders>
            <w:shd w:val="clear" w:color="auto" w:fill="auto"/>
            <w:vAlign w:val="center"/>
            <w:hideMark/>
          </w:tcPr>
          <w:p w14:paraId="637330F0" w14:textId="77777777"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Recursos do FGTS para amortização</w:t>
            </w:r>
          </w:p>
        </w:tc>
        <w:tc>
          <w:tcPr>
            <w:tcW w:w="717" w:type="pct"/>
            <w:tcBorders>
              <w:top w:val="nil"/>
              <w:left w:val="nil"/>
              <w:bottom w:val="nil"/>
              <w:right w:val="nil"/>
            </w:tcBorders>
            <w:shd w:val="clear" w:color="auto" w:fill="auto"/>
            <w:noWrap/>
            <w:vAlign w:val="center"/>
          </w:tcPr>
          <w:p w14:paraId="55295B7A" w14:textId="5687B415"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1.093.739</w:t>
            </w:r>
          </w:p>
        </w:tc>
        <w:tc>
          <w:tcPr>
            <w:tcW w:w="717" w:type="pct"/>
            <w:tcBorders>
              <w:top w:val="nil"/>
              <w:left w:val="nil"/>
              <w:bottom w:val="nil"/>
              <w:right w:val="nil"/>
            </w:tcBorders>
            <w:shd w:val="clear" w:color="auto" w:fill="auto"/>
            <w:noWrap/>
            <w:vAlign w:val="center"/>
          </w:tcPr>
          <w:p w14:paraId="2EA72D90" w14:textId="248136DD"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1.063.116</w:t>
            </w:r>
          </w:p>
        </w:tc>
        <w:tc>
          <w:tcPr>
            <w:tcW w:w="717" w:type="pct"/>
            <w:tcBorders>
              <w:top w:val="nil"/>
              <w:left w:val="nil"/>
              <w:bottom w:val="nil"/>
              <w:right w:val="nil"/>
            </w:tcBorders>
            <w:vAlign w:val="center"/>
          </w:tcPr>
          <w:p w14:paraId="1D032E71" w14:textId="44E23E93" w:rsidR="00506854" w:rsidRPr="00E20D21" w:rsidRDefault="00BD7E16"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1.093.739</w:t>
            </w:r>
          </w:p>
        </w:tc>
        <w:tc>
          <w:tcPr>
            <w:tcW w:w="717" w:type="pct"/>
            <w:tcBorders>
              <w:top w:val="nil"/>
              <w:left w:val="nil"/>
              <w:bottom w:val="nil"/>
              <w:right w:val="nil"/>
            </w:tcBorders>
            <w:vAlign w:val="center"/>
          </w:tcPr>
          <w:p w14:paraId="5B0BAFB4" w14:textId="3337D23B"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1.063.116</w:t>
            </w:r>
          </w:p>
        </w:tc>
      </w:tr>
      <w:tr w:rsidR="00506854" w:rsidRPr="00E20D21" w14:paraId="15F00875" w14:textId="1B7E1484" w:rsidTr="00CB6DDE">
        <w:trPr>
          <w:trHeight w:val="283"/>
        </w:trPr>
        <w:tc>
          <w:tcPr>
            <w:tcW w:w="2133" w:type="pct"/>
            <w:tcBorders>
              <w:top w:val="nil"/>
              <w:left w:val="nil"/>
              <w:bottom w:val="nil"/>
              <w:right w:val="nil"/>
            </w:tcBorders>
            <w:shd w:val="clear" w:color="auto" w:fill="auto"/>
            <w:vAlign w:val="center"/>
            <w:hideMark/>
          </w:tcPr>
          <w:p w14:paraId="33C89051" w14:textId="77777777"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Recursos vinculados a operações de crédito</w:t>
            </w:r>
          </w:p>
        </w:tc>
        <w:tc>
          <w:tcPr>
            <w:tcW w:w="717" w:type="pct"/>
            <w:tcBorders>
              <w:top w:val="nil"/>
              <w:left w:val="nil"/>
              <w:bottom w:val="nil"/>
              <w:right w:val="nil"/>
            </w:tcBorders>
            <w:shd w:val="clear" w:color="auto" w:fill="auto"/>
            <w:noWrap/>
            <w:vAlign w:val="center"/>
          </w:tcPr>
          <w:p w14:paraId="30552FAB" w14:textId="2F1473BB"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1.115.008</w:t>
            </w:r>
          </w:p>
        </w:tc>
        <w:tc>
          <w:tcPr>
            <w:tcW w:w="717" w:type="pct"/>
            <w:tcBorders>
              <w:top w:val="nil"/>
              <w:left w:val="nil"/>
              <w:bottom w:val="nil"/>
              <w:right w:val="nil"/>
            </w:tcBorders>
            <w:shd w:val="clear" w:color="auto" w:fill="auto"/>
            <w:noWrap/>
            <w:vAlign w:val="center"/>
          </w:tcPr>
          <w:p w14:paraId="4F128E75" w14:textId="0C228EB6"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1.051.931</w:t>
            </w:r>
          </w:p>
        </w:tc>
        <w:tc>
          <w:tcPr>
            <w:tcW w:w="717" w:type="pct"/>
            <w:tcBorders>
              <w:top w:val="nil"/>
              <w:left w:val="nil"/>
              <w:bottom w:val="nil"/>
              <w:right w:val="nil"/>
            </w:tcBorders>
            <w:vAlign w:val="center"/>
          </w:tcPr>
          <w:p w14:paraId="327B6081" w14:textId="368766DE" w:rsidR="00506854" w:rsidRPr="00E20D21" w:rsidRDefault="00BD7E16"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1.115.008</w:t>
            </w:r>
          </w:p>
        </w:tc>
        <w:tc>
          <w:tcPr>
            <w:tcW w:w="717" w:type="pct"/>
            <w:tcBorders>
              <w:top w:val="nil"/>
              <w:left w:val="nil"/>
              <w:bottom w:val="nil"/>
              <w:right w:val="nil"/>
            </w:tcBorders>
            <w:vAlign w:val="center"/>
          </w:tcPr>
          <w:p w14:paraId="4FCB73F3" w14:textId="7F88ED68"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1.051.931</w:t>
            </w:r>
          </w:p>
        </w:tc>
      </w:tr>
      <w:tr w:rsidR="00506854" w:rsidRPr="00E20D21" w14:paraId="1E3E56E1" w14:textId="3F36C6A0" w:rsidTr="00CB6DDE">
        <w:trPr>
          <w:trHeight w:val="283"/>
        </w:trPr>
        <w:tc>
          <w:tcPr>
            <w:tcW w:w="2133" w:type="pct"/>
            <w:tcBorders>
              <w:top w:val="nil"/>
              <w:left w:val="nil"/>
              <w:bottom w:val="nil"/>
              <w:right w:val="nil"/>
            </w:tcBorders>
            <w:shd w:val="clear" w:color="auto" w:fill="auto"/>
            <w:vAlign w:val="center"/>
            <w:hideMark/>
          </w:tcPr>
          <w:p w14:paraId="34811DD6" w14:textId="00FA9CB2"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Negociação e intermediação de valores</w:t>
            </w:r>
          </w:p>
        </w:tc>
        <w:tc>
          <w:tcPr>
            <w:tcW w:w="717" w:type="pct"/>
            <w:tcBorders>
              <w:top w:val="nil"/>
              <w:left w:val="nil"/>
              <w:bottom w:val="nil"/>
              <w:right w:val="nil"/>
            </w:tcBorders>
            <w:shd w:val="clear" w:color="auto" w:fill="auto"/>
            <w:noWrap/>
            <w:vAlign w:val="center"/>
          </w:tcPr>
          <w:p w14:paraId="58627076" w14:textId="3EA88834"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38.391</w:t>
            </w:r>
          </w:p>
        </w:tc>
        <w:tc>
          <w:tcPr>
            <w:tcW w:w="717" w:type="pct"/>
            <w:tcBorders>
              <w:top w:val="nil"/>
              <w:left w:val="nil"/>
              <w:bottom w:val="nil"/>
              <w:right w:val="nil"/>
            </w:tcBorders>
            <w:shd w:val="clear" w:color="auto" w:fill="auto"/>
            <w:noWrap/>
            <w:vAlign w:val="center"/>
          </w:tcPr>
          <w:p w14:paraId="538130EA" w14:textId="24C9881A"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7.433</w:t>
            </w:r>
          </w:p>
        </w:tc>
        <w:tc>
          <w:tcPr>
            <w:tcW w:w="717" w:type="pct"/>
            <w:tcBorders>
              <w:top w:val="nil"/>
              <w:left w:val="nil"/>
              <w:bottom w:val="nil"/>
              <w:right w:val="nil"/>
            </w:tcBorders>
            <w:vAlign w:val="center"/>
          </w:tcPr>
          <w:p w14:paraId="142F417D" w14:textId="038227D9" w:rsidR="00506854" w:rsidRPr="00E20D21" w:rsidRDefault="00BD7E16"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38.546</w:t>
            </w:r>
          </w:p>
        </w:tc>
        <w:tc>
          <w:tcPr>
            <w:tcW w:w="717" w:type="pct"/>
            <w:tcBorders>
              <w:top w:val="nil"/>
              <w:left w:val="nil"/>
              <w:bottom w:val="nil"/>
              <w:right w:val="nil"/>
            </w:tcBorders>
            <w:vAlign w:val="center"/>
          </w:tcPr>
          <w:p w14:paraId="3ADD725E" w14:textId="4308B607"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7.479</w:t>
            </w:r>
          </w:p>
        </w:tc>
      </w:tr>
      <w:tr w:rsidR="00506854" w:rsidRPr="00E20D21" w14:paraId="281D324E" w14:textId="3C2CFE70" w:rsidTr="00CB6DDE">
        <w:trPr>
          <w:trHeight w:val="283"/>
        </w:trPr>
        <w:tc>
          <w:tcPr>
            <w:tcW w:w="2133" w:type="pct"/>
            <w:tcBorders>
              <w:top w:val="nil"/>
              <w:left w:val="nil"/>
              <w:bottom w:val="nil"/>
              <w:right w:val="nil"/>
            </w:tcBorders>
            <w:shd w:val="clear" w:color="auto" w:fill="auto"/>
            <w:vAlign w:val="center"/>
            <w:hideMark/>
          </w:tcPr>
          <w:p w14:paraId="5897AF5B" w14:textId="77777777"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Obrigações por transações de pagamento</w:t>
            </w:r>
          </w:p>
        </w:tc>
        <w:tc>
          <w:tcPr>
            <w:tcW w:w="717" w:type="pct"/>
            <w:tcBorders>
              <w:top w:val="nil"/>
              <w:left w:val="nil"/>
              <w:bottom w:val="nil"/>
              <w:right w:val="nil"/>
            </w:tcBorders>
            <w:shd w:val="clear" w:color="auto" w:fill="auto"/>
            <w:noWrap/>
            <w:vAlign w:val="center"/>
          </w:tcPr>
          <w:p w14:paraId="4E2F2A0C" w14:textId="627E005D"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2.024</w:t>
            </w:r>
          </w:p>
        </w:tc>
        <w:tc>
          <w:tcPr>
            <w:tcW w:w="717" w:type="pct"/>
            <w:tcBorders>
              <w:top w:val="nil"/>
              <w:left w:val="nil"/>
              <w:bottom w:val="nil"/>
              <w:right w:val="nil"/>
            </w:tcBorders>
            <w:shd w:val="clear" w:color="auto" w:fill="auto"/>
            <w:noWrap/>
            <w:vAlign w:val="center"/>
          </w:tcPr>
          <w:p w14:paraId="026CEF19" w14:textId="627718D2"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140</w:t>
            </w:r>
          </w:p>
        </w:tc>
        <w:tc>
          <w:tcPr>
            <w:tcW w:w="717" w:type="pct"/>
            <w:tcBorders>
              <w:top w:val="nil"/>
              <w:left w:val="nil"/>
              <w:bottom w:val="nil"/>
              <w:right w:val="nil"/>
            </w:tcBorders>
            <w:vAlign w:val="center"/>
          </w:tcPr>
          <w:p w14:paraId="4B54025A" w14:textId="3127E4B5" w:rsidR="00506854" w:rsidRPr="00E20D21" w:rsidRDefault="00BD7E16"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2.024</w:t>
            </w:r>
          </w:p>
        </w:tc>
        <w:tc>
          <w:tcPr>
            <w:tcW w:w="717" w:type="pct"/>
            <w:tcBorders>
              <w:top w:val="nil"/>
              <w:left w:val="nil"/>
              <w:bottom w:val="nil"/>
              <w:right w:val="nil"/>
            </w:tcBorders>
            <w:vAlign w:val="center"/>
          </w:tcPr>
          <w:p w14:paraId="404371B5" w14:textId="403BFF23"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140</w:t>
            </w:r>
          </w:p>
        </w:tc>
      </w:tr>
      <w:tr w:rsidR="00506854" w:rsidRPr="00E20D21" w14:paraId="38376DD7" w14:textId="246FB84A" w:rsidTr="00CB6DDE">
        <w:trPr>
          <w:trHeight w:val="283"/>
        </w:trPr>
        <w:tc>
          <w:tcPr>
            <w:tcW w:w="2133" w:type="pct"/>
            <w:tcBorders>
              <w:top w:val="single" w:sz="4" w:space="0" w:color="F39200"/>
              <w:left w:val="nil"/>
              <w:bottom w:val="single" w:sz="4" w:space="0" w:color="F39200"/>
              <w:right w:val="nil"/>
            </w:tcBorders>
            <w:shd w:val="clear" w:color="auto" w:fill="auto"/>
            <w:noWrap/>
            <w:vAlign w:val="center"/>
            <w:hideMark/>
          </w:tcPr>
          <w:p w14:paraId="15368E4A" w14:textId="77777777" w:rsidR="00506854" w:rsidRPr="00E20D21" w:rsidRDefault="00506854" w:rsidP="00506854">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17" w:type="pct"/>
            <w:tcBorders>
              <w:top w:val="single" w:sz="4" w:space="0" w:color="F39200"/>
              <w:left w:val="nil"/>
              <w:bottom w:val="single" w:sz="4" w:space="0" w:color="F39200"/>
              <w:right w:val="nil"/>
            </w:tcBorders>
            <w:shd w:val="clear" w:color="auto" w:fill="auto"/>
            <w:noWrap/>
            <w:vAlign w:val="center"/>
          </w:tcPr>
          <w:p w14:paraId="68FD75C9" w14:textId="16E0E8F2" w:rsidR="00506854" w:rsidRPr="00E20D21" w:rsidRDefault="00506854" w:rsidP="00506854">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35.001.650</w:t>
            </w:r>
          </w:p>
        </w:tc>
        <w:tc>
          <w:tcPr>
            <w:tcW w:w="717" w:type="pct"/>
            <w:tcBorders>
              <w:top w:val="single" w:sz="4" w:space="0" w:color="F39200"/>
              <w:left w:val="nil"/>
              <w:bottom w:val="single" w:sz="4" w:space="0" w:color="F39200"/>
              <w:right w:val="nil"/>
            </w:tcBorders>
            <w:shd w:val="clear" w:color="auto" w:fill="auto"/>
            <w:noWrap/>
            <w:vAlign w:val="center"/>
          </w:tcPr>
          <w:p w14:paraId="5E9C961B" w14:textId="0E002628" w:rsidR="00506854" w:rsidRPr="00E20D21" w:rsidRDefault="00506854" w:rsidP="00506854">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36.941.556</w:t>
            </w:r>
          </w:p>
        </w:tc>
        <w:tc>
          <w:tcPr>
            <w:tcW w:w="717" w:type="pct"/>
            <w:tcBorders>
              <w:top w:val="single" w:sz="4" w:space="0" w:color="F39200"/>
              <w:left w:val="nil"/>
              <w:bottom w:val="single" w:sz="4" w:space="0" w:color="F39200"/>
              <w:right w:val="nil"/>
            </w:tcBorders>
            <w:vAlign w:val="center"/>
          </w:tcPr>
          <w:p w14:paraId="013CF2A1" w14:textId="0695B34D" w:rsidR="00506854" w:rsidRPr="00E20D21" w:rsidRDefault="00BD7E16" w:rsidP="00506854">
            <w:pPr>
              <w:jc w:val="right"/>
              <w:rPr>
                <w:rFonts w:ascii="CAIXA Std Book" w:hAnsi="CAIXA Std Book" w:cs="Arial"/>
                <w:b/>
                <w:color w:val="005CA9"/>
                <w:sz w:val="18"/>
                <w:szCs w:val="18"/>
              </w:rPr>
            </w:pPr>
            <w:r w:rsidRPr="00E20D21">
              <w:rPr>
                <w:rFonts w:ascii="CAIXA Std Book" w:hAnsi="CAIXA Std Book" w:cs="Arial"/>
                <w:b/>
                <w:bCs/>
                <w:color w:val="005CA9"/>
                <w:sz w:val="18"/>
                <w:szCs w:val="18"/>
              </w:rPr>
              <w:t>35.001.</w:t>
            </w:r>
            <w:r w:rsidR="00B07863" w:rsidRPr="00E20D21">
              <w:rPr>
                <w:rFonts w:ascii="CAIXA Std Book" w:hAnsi="CAIXA Std Book" w:cs="Arial"/>
                <w:b/>
                <w:bCs/>
                <w:color w:val="005CA9"/>
                <w:sz w:val="18"/>
                <w:szCs w:val="18"/>
              </w:rPr>
              <w:t>419</w:t>
            </w:r>
          </w:p>
        </w:tc>
        <w:tc>
          <w:tcPr>
            <w:tcW w:w="717" w:type="pct"/>
            <w:tcBorders>
              <w:top w:val="single" w:sz="4" w:space="0" w:color="F39200"/>
              <w:left w:val="nil"/>
              <w:bottom w:val="single" w:sz="4" w:space="0" w:color="F39200"/>
              <w:right w:val="nil"/>
            </w:tcBorders>
            <w:vAlign w:val="center"/>
          </w:tcPr>
          <w:p w14:paraId="7DDBE95C" w14:textId="58B7BE53" w:rsidR="00506854" w:rsidRPr="00E20D21" w:rsidRDefault="00506854" w:rsidP="00506854">
            <w:pPr>
              <w:jc w:val="right"/>
              <w:rPr>
                <w:rFonts w:ascii="CAIXA Std Book" w:hAnsi="CAIXA Std Book" w:cs="Arial"/>
                <w:b/>
                <w:color w:val="005CA9"/>
                <w:sz w:val="18"/>
                <w:szCs w:val="18"/>
              </w:rPr>
            </w:pPr>
            <w:r w:rsidRPr="00E20D21">
              <w:rPr>
                <w:rFonts w:ascii="CAIXA Std Book" w:hAnsi="CAIXA Std Book" w:cs="Arial"/>
                <w:b/>
                <w:color w:val="005CA9"/>
                <w:sz w:val="18"/>
                <w:szCs w:val="18"/>
              </w:rPr>
              <w:t>36.941.602</w:t>
            </w:r>
          </w:p>
        </w:tc>
      </w:tr>
      <w:tr w:rsidR="00506854" w:rsidRPr="00E20D21" w14:paraId="2BD6DD68" w14:textId="540D5038" w:rsidTr="00CB6DDE">
        <w:trPr>
          <w:trHeight w:val="283"/>
        </w:trPr>
        <w:tc>
          <w:tcPr>
            <w:tcW w:w="2133" w:type="pct"/>
            <w:tcBorders>
              <w:top w:val="nil"/>
              <w:left w:val="nil"/>
              <w:bottom w:val="nil"/>
              <w:right w:val="nil"/>
            </w:tcBorders>
            <w:shd w:val="clear" w:color="auto" w:fill="auto"/>
            <w:noWrap/>
            <w:vAlign w:val="center"/>
            <w:hideMark/>
          </w:tcPr>
          <w:p w14:paraId="417D9763" w14:textId="6917E709"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circulante</w:t>
            </w:r>
          </w:p>
        </w:tc>
        <w:tc>
          <w:tcPr>
            <w:tcW w:w="717" w:type="pct"/>
            <w:tcBorders>
              <w:top w:val="nil"/>
              <w:left w:val="nil"/>
              <w:bottom w:val="nil"/>
              <w:right w:val="nil"/>
            </w:tcBorders>
            <w:shd w:val="clear" w:color="auto" w:fill="auto"/>
            <w:noWrap/>
            <w:vAlign w:val="center"/>
          </w:tcPr>
          <w:p w14:paraId="0A259958" w14:textId="723D88DA" w:rsidR="00506854" w:rsidRPr="00E20D21" w:rsidRDefault="006A2EF7"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26.272.217</w:t>
            </w:r>
          </w:p>
        </w:tc>
        <w:tc>
          <w:tcPr>
            <w:tcW w:w="717" w:type="pct"/>
            <w:tcBorders>
              <w:top w:val="nil"/>
              <w:left w:val="nil"/>
              <w:bottom w:val="nil"/>
              <w:right w:val="nil"/>
            </w:tcBorders>
            <w:shd w:val="clear" w:color="auto" w:fill="auto"/>
            <w:noWrap/>
            <w:vAlign w:val="center"/>
          </w:tcPr>
          <w:p w14:paraId="5F78796B" w14:textId="36C4754B"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27.829.414</w:t>
            </w:r>
          </w:p>
        </w:tc>
        <w:tc>
          <w:tcPr>
            <w:tcW w:w="717" w:type="pct"/>
            <w:tcBorders>
              <w:top w:val="nil"/>
              <w:left w:val="nil"/>
              <w:bottom w:val="nil"/>
              <w:right w:val="nil"/>
            </w:tcBorders>
            <w:vAlign w:val="center"/>
          </w:tcPr>
          <w:p w14:paraId="1771E34B" w14:textId="4BC72923" w:rsidR="00506854" w:rsidRPr="00E20D21" w:rsidRDefault="00B07863"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26.271.986</w:t>
            </w:r>
          </w:p>
        </w:tc>
        <w:tc>
          <w:tcPr>
            <w:tcW w:w="717" w:type="pct"/>
            <w:tcBorders>
              <w:top w:val="nil"/>
              <w:left w:val="nil"/>
              <w:bottom w:val="nil"/>
              <w:right w:val="nil"/>
            </w:tcBorders>
            <w:vAlign w:val="center"/>
          </w:tcPr>
          <w:p w14:paraId="31127E68" w14:textId="1C0D637A"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27.829.460</w:t>
            </w:r>
          </w:p>
        </w:tc>
      </w:tr>
      <w:tr w:rsidR="00506854" w:rsidRPr="00E20D21" w14:paraId="35077433" w14:textId="001B071B" w:rsidTr="00CB6DDE">
        <w:trPr>
          <w:trHeight w:val="283"/>
        </w:trPr>
        <w:tc>
          <w:tcPr>
            <w:tcW w:w="2133" w:type="pct"/>
            <w:tcBorders>
              <w:top w:val="nil"/>
              <w:left w:val="nil"/>
              <w:bottom w:val="single" w:sz="4" w:space="0" w:color="F39200"/>
              <w:right w:val="nil"/>
            </w:tcBorders>
            <w:shd w:val="clear" w:color="auto" w:fill="auto"/>
            <w:noWrap/>
            <w:vAlign w:val="center"/>
            <w:hideMark/>
          </w:tcPr>
          <w:p w14:paraId="6CF8A8F5" w14:textId="77777777" w:rsidR="00506854" w:rsidRPr="00E20D21" w:rsidRDefault="00506854" w:rsidP="00506854">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não circulante</w:t>
            </w:r>
          </w:p>
        </w:tc>
        <w:tc>
          <w:tcPr>
            <w:tcW w:w="717" w:type="pct"/>
            <w:tcBorders>
              <w:top w:val="nil"/>
              <w:left w:val="nil"/>
              <w:bottom w:val="single" w:sz="4" w:space="0" w:color="F39200"/>
              <w:right w:val="nil"/>
            </w:tcBorders>
            <w:shd w:val="clear" w:color="auto" w:fill="auto"/>
            <w:noWrap/>
            <w:vAlign w:val="center"/>
          </w:tcPr>
          <w:p w14:paraId="1A76B877" w14:textId="3CE8A293" w:rsidR="00506854" w:rsidRPr="00E20D21" w:rsidRDefault="00B75781"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8.729.433</w:t>
            </w:r>
          </w:p>
        </w:tc>
        <w:tc>
          <w:tcPr>
            <w:tcW w:w="717" w:type="pct"/>
            <w:tcBorders>
              <w:top w:val="nil"/>
              <w:left w:val="nil"/>
              <w:bottom w:val="single" w:sz="4" w:space="0" w:color="F39200"/>
              <w:right w:val="nil"/>
            </w:tcBorders>
            <w:shd w:val="clear" w:color="auto" w:fill="auto"/>
            <w:noWrap/>
            <w:vAlign w:val="center"/>
          </w:tcPr>
          <w:p w14:paraId="578F71A4" w14:textId="29D490E5" w:rsidR="00506854" w:rsidRPr="00E20D21" w:rsidRDefault="00506854" w:rsidP="00506854">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9.112.142</w:t>
            </w:r>
          </w:p>
        </w:tc>
        <w:tc>
          <w:tcPr>
            <w:tcW w:w="717" w:type="pct"/>
            <w:tcBorders>
              <w:top w:val="nil"/>
              <w:left w:val="nil"/>
              <w:bottom w:val="single" w:sz="4" w:space="0" w:color="F39200"/>
              <w:right w:val="nil"/>
            </w:tcBorders>
            <w:vAlign w:val="center"/>
          </w:tcPr>
          <w:p w14:paraId="1395FBA3" w14:textId="3EB84FF7" w:rsidR="00506854" w:rsidRPr="00E20D21" w:rsidRDefault="00BD7E16"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8.729.433</w:t>
            </w:r>
          </w:p>
        </w:tc>
        <w:tc>
          <w:tcPr>
            <w:tcW w:w="717" w:type="pct"/>
            <w:tcBorders>
              <w:top w:val="nil"/>
              <w:left w:val="nil"/>
              <w:bottom w:val="single" w:sz="4" w:space="0" w:color="F39200"/>
              <w:right w:val="nil"/>
            </w:tcBorders>
            <w:vAlign w:val="center"/>
          </w:tcPr>
          <w:p w14:paraId="089CAC3A" w14:textId="48ADF352" w:rsidR="00506854" w:rsidRPr="00E20D21" w:rsidRDefault="00506854" w:rsidP="00506854">
            <w:pPr>
              <w:jc w:val="right"/>
              <w:rPr>
                <w:rFonts w:ascii="CAIXA Std Book" w:hAnsi="CAIXA Std Book" w:cs="Arial"/>
                <w:color w:val="005CA9"/>
                <w:sz w:val="18"/>
                <w:szCs w:val="18"/>
              </w:rPr>
            </w:pPr>
            <w:r w:rsidRPr="00E20D21">
              <w:rPr>
                <w:rFonts w:ascii="CAIXA Std Book" w:hAnsi="CAIXA Std Book" w:cs="Arial"/>
                <w:color w:val="005CA9"/>
                <w:sz w:val="18"/>
                <w:szCs w:val="18"/>
              </w:rPr>
              <w:t>9.112.142</w:t>
            </w:r>
          </w:p>
        </w:tc>
      </w:tr>
    </w:tbl>
    <w:p w14:paraId="57B5E432" w14:textId="04366C4F" w:rsidR="005112A1" w:rsidRPr="00E20D21" w:rsidRDefault="00850D92" w:rsidP="00051BF7">
      <w:p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(b)</w:t>
      </w:r>
      <w:r w:rsidRPr="00E20D21">
        <w:rPr>
          <w:rFonts w:ascii="CAIXA Std Book" w:hAnsi="CAIXA Std Book"/>
          <w:b/>
          <w:color w:val="005CA9"/>
          <w:sz w:val="20"/>
          <w:szCs w:val="20"/>
        </w:rPr>
        <w:tab/>
      </w:r>
      <w:r w:rsidR="005112A1" w:rsidRPr="00E20D21">
        <w:rPr>
          <w:rFonts w:ascii="CAIXA Std Book" w:hAnsi="CAIXA Std Book"/>
          <w:b/>
          <w:color w:val="005CA9"/>
          <w:sz w:val="20"/>
          <w:szCs w:val="20"/>
        </w:rPr>
        <w:t xml:space="preserve">Recursos para destinação específica </w:t>
      </w:r>
    </w:p>
    <w:p w14:paraId="78004759" w14:textId="0EF7B929" w:rsidR="00A45B5B" w:rsidRPr="00E20D21" w:rsidRDefault="00E46B65" w:rsidP="00235653">
      <w:pPr>
        <w:tabs>
          <w:tab w:val="left" w:pos="1650"/>
        </w:tabs>
        <w:spacing w:before="120" w:after="240"/>
        <w:ind w:right="139"/>
        <w:jc w:val="both"/>
        <w:rPr>
          <w:rFonts w:ascii="CAIXA Std Book" w:hAnsi="CAIXA Std Book"/>
          <w:color w:val="005CA9"/>
          <w:sz w:val="20"/>
          <w:szCs w:val="20"/>
        </w:rPr>
      </w:pPr>
      <w:r w:rsidRPr="00E20D21">
        <w:rPr>
          <w:rFonts w:ascii="CAIXA Std Book" w:hAnsi="CAIXA Std Book"/>
          <w:color w:val="005CA9"/>
          <w:sz w:val="20"/>
          <w:szCs w:val="20"/>
        </w:rPr>
        <w:t xml:space="preserve">Referem-se às obrigações decorrentes de recursos de operações relacionadas com loterias, recursos de fundos e programas sociais geridos pela CAIXA e recursos de fundos ou programas especiais mantidos com recursos do </w:t>
      </w:r>
      <w:r w:rsidR="002A6B72" w:rsidRPr="00E20D21">
        <w:rPr>
          <w:rFonts w:ascii="CAIXA Std Book" w:hAnsi="CAIXA Std Book"/>
          <w:color w:val="005CA9"/>
          <w:sz w:val="20"/>
          <w:szCs w:val="20"/>
        </w:rPr>
        <w:t>g</w:t>
      </w:r>
      <w:r w:rsidRPr="00E20D21">
        <w:rPr>
          <w:rFonts w:ascii="CAIXA Std Book" w:hAnsi="CAIXA Std Book"/>
          <w:color w:val="005CA9"/>
          <w:sz w:val="20"/>
          <w:szCs w:val="20"/>
        </w:rPr>
        <w:t>overno ou entidades públicas, administrados pela CAIXA</w:t>
      </w:r>
      <w:r w:rsidR="005112A1" w:rsidRPr="00E20D21">
        <w:rPr>
          <w:rFonts w:ascii="CAIXA Std Book" w:hAnsi="CAIXA Std Book"/>
          <w:color w:val="005CA9"/>
          <w:sz w:val="20"/>
          <w:szCs w:val="20"/>
        </w:rPr>
        <w:t>.</w:t>
      </w:r>
    </w:p>
    <w:p w14:paraId="2C34129E" w14:textId="5B6E4AB9" w:rsidR="00C83D96" w:rsidRPr="00E20D21" w:rsidRDefault="00086B27" w:rsidP="008B3707">
      <w:pPr>
        <w:spacing w:after="120"/>
        <w:ind w:right="112"/>
        <w:jc w:val="both"/>
        <w:rPr>
          <w:rFonts w:ascii="CAIXA Std Book" w:hAnsi="CAIXA Std Book"/>
          <w:color w:val="005CA9"/>
          <w:sz w:val="20"/>
          <w:szCs w:val="20"/>
        </w:rPr>
      </w:pPr>
      <w:r w:rsidRPr="00E20D21">
        <w:rPr>
          <w:rFonts w:ascii="CAIXA Std Book" w:hAnsi="CAIXA Std Book"/>
          <w:color w:val="005CA9"/>
          <w:sz w:val="20"/>
          <w:szCs w:val="20"/>
        </w:rPr>
        <w:t>Recursos para destinação específica</w:t>
      </w:r>
      <w:r w:rsidR="00C83D96" w:rsidRPr="00E20D21">
        <w:rPr>
          <w:rFonts w:ascii="CAIXA Std Book" w:hAnsi="CAIXA Std Book"/>
          <w:color w:val="005CA9"/>
          <w:sz w:val="20"/>
          <w:szCs w:val="20"/>
        </w:rPr>
        <w:t xml:space="preserve"> apresentou variação entre o Individual e o Consolidado de R$ </w:t>
      </w:r>
      <w:r w:rsidR="004D715A" w:rsidRPr="00E20D21">
        <w:rPr>
          <w:rFonts w:ascii="CAIXA Std Book" w:hAnsi="CAIXA Std Book"/>
          <w:color w:val="005CA9"/>
          <w:sz w:val="20"/>
          <w:szCs w:val="20"/>
        </w:rPr>
        <w:t xml:space="preserve">386 </w:t>
      </w:r>
      <w:r w:rsidR="00C83D96" w:rsidRPr="00E20D21">
        <w:rPr>
          <w:rFonts w:ascii="CAIXA Std Book" w:hAnsi="CAIXA Std Book"/>
          <w:color w:val="005CA9"/>
          <w:sz w:val="20"/>
          <w:szCs w:val="20"/>
        </w:rPr>
        <w:t xml:space="preserve">em 30/06/2024 </w:t>
      </w:r>
      <w:r w:rsidR="004D715A" w:rsidRPr="00E20D21">
        <w:rPr>
          <w:rFonts w:ascii="CAIXA Std Book" w:hAnsi="CAIXA Std Book"/>
          <w:color w:val="005CA9"/>
          <w:sz w:val="20"/>
          <w:szCs w:val="20"/>
        </w:rPr>
        <w:t>no item Operações com loterias</w:t>
      </w:r>
      <w:r w:rsidR="0052690D" w:rsidRPr="00E20D21">
        <w:rPr>
          <w:rFonts w:ascii="CAIXA Std Book" w:hAnsi="CAIXA Std Book"/>
          <w:color w:val="005CA9"/>
          <w:sz w:val="20"/>
          <w:szCs w:val="20"/>
        </w:rPr>
        <w:t>.</w:t>
      </w:r>
    </w:p>
    <w:tbl>
      <w:tblPr>
        <w:tblW w:w="5000" w:type="pct"/>
        <w:tblCellMar>
          <w:left w:w="70" w:type="dxa"/>
          <w:right w:w="70" w:type="dxa"/>
        </w:tblCellMar>
        <w:tblLook w:val="04A0" w:firstRow="1" w:lastRow="0" w:firstColumn="1" w:lastColumn="0" w:noHBand="0" w:noVBand="1"/>
      </w:tblPr>
      <w:tblGrid>
        <w:gridCol w:w="5897"/>
        <w:gridCol w:w="1870"/>
        <w:gridCol w:w="1870"/>
      </w:tblGrid>
      <w:tr w:rsidR="00A47C19" w:rsidRPr="00E20D21" w14:paraId="7CC5AB6B" w14:textId="77777777" w:rsidTr="00367ED3">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6B8C3477" w14:textId="1BADC030" w:rsidR="00FF09A6" w:rsidRPr="00E20D21" w:rsidRDefault="00FF09A6" w:rsidP="00FF09A6">
            <w:pPr>
              <w:jc w:val="center"/>
              <w:rPr>
                <w:rFonts w:ascii="CAIXA Std Book" w:hAnsi="CAIXA Std Book"/>
                <w:b/>
                <w:color w:val="005CA9"/>
                <w:sz w:val="18"/>
                <w:szCs w:val="18"/>
              </w:rPr>
            </w:pPr>
            <w:r w:rsidRPr="00E20D21">
              <w:rPr>
                <w:rFonts w:ascii="CAIXA Std Book" w:hAnsi="CAIXA Std Book"/>
                <w:b/>
                <w:color w:val="005CA9"/>
                <w:sz w:val="18"/>
                <w:szCs w:val="18"/>
              </w:rPr>
              <w:t xml:space="preserve">INDIVIDUAL </w:t>
            </w:r>
          </w:p>
        </w:tc>
      </w:tr>
      <w:tr w:rsidR="00A47C19" w:rsidRPr="00E20D21" w14:paraId="6F857334" w14:textId="77777777" w:rsidTr="00367ED3">
        <w:trPr>
          <w:trHeight w:val="283"/>
        </w:trPr>
        <w:tc>
          <w:tcPr>
            <w:tcW w:w="3060" w:type="pct"/>
            <w:tcBorders>
              <w:top w:val="nil"/>
              <w:left w:val="nil"/>
              <w:bottom w:val="single" w:sz="4" w:space="0" w:color="F39200"/>
              <w:right w:val="nil"/>
            </w:tcBorders>
            <w:shd w:val="clear" w:color="auto" w:fill="auto"/>
            <w:vAlign w:val="center"/>
            <w:hideMark/>
          </w:tcPr>
          <w:p w14:paraId="464E212E" w14:textId="77777777" w:rsidR="00A909C1" w:rsidRPr="00E20D21" w:rsidRDefault="00A909C1" w:rsidP="00A909C1">
            <w:pPr>
              <w:jc w:val="center"/>
              <w:rPr>
                <w:rFonts w:ascii="CAIXA Std Book" w:hAnsi="CAIXA Std Book"/>
                <w:b/>
                <w:color w:val="005CA9"/>
                <w:sz w:val="18"/>
                <w:szCs w:val="18"/>
              </w:rPr>
            </w:pPr>
            <w:r w:rsidRPr="00E20D21">
              <w:rPr>
                <w:rFonts w:ascii="CAIXA Std Book" w:hAnsi="CAIXA Std Book"/>
                <w:b/>
                <w:color w:val="005CA9"/>
                <w:sz w:val="18"/>
                <w:szCs w:val="18"/>
              </w:rPr>
              <w:t>Descrição</w:t>
            </w:r>
          </w:p>
        </w:tc>
        <w:tc>
          <w:tcPr>
            <w:tcW w:w="970" w:type="pct"/>
            <w:tcBorders>
              <w:top w:val="single" w:sz="4" w:space="0" w:color="F79646"/>
              <w:left w:val="nil"/>
              <w:bottom w:val="single" w:sz="4" w:space="0" w:color="F39200"/>
              <w:right w:val="nil"/>
            </w:tcBorders>
            <w:shd w:val="clear" w:color="auto" w:fill="auto"/>
            <w:noWrap/>
            <w:vAlign w:val="center"/>
          </w:tcPr>
          <w:p w14:paraId="3E5BBE8C" w14:textId="1E5615B5" w:rsidR="00A909C1" w:rsidRPr="00E20D21" w:rsidRDefault="009403C6" w:rsidP="00A909C1">
            <w:pPr>
              <w:jc w:val="center"/>
              <w:rPr>
                <w:rFonts w:ascii="CAIXA Std Book" w:hAnsi="CAIXA Std Book"/>
                <w:b/>
                <w:color w:val="005CA9"/>
                <w:sz w:val="18"/>
                <w:szCs w:val="18"/>
              </w:rPr>
            </w:pPr>
            <w:r w:rsidRPr="00E20D21">
              <w:rPr>
                <w:rFonts w:ascii="CAIXA Std Book" w:hAnsi="CAIXA Std Book"/>
                <w:b/>
                <w:color w:val="005CA9"/>
                <w:sz w:val="18"/>
                <w:szCs w:val="18"/>
              </w:rPr>
              <w:t>3</w:t>
            </w:r>
            <w:r w:rsidR="00F7192D" w:rsidRPr="00E20D21">
              <w:rPr>
                <w:rFonts w:ascii="CAIXA Std Book" w:hAnsi="CAIXA Std Book"/>
                <w:b/>
                <w:color w:val="005CA9"/>
                <w:sz w:val="18"/>
                <w:szCs w:val="18"/>
              </w:rPr>
              <w:t>0</w:t>
            </w:r>
            <w:r w:rsidRPr="00E20D21">
              <w:rPr>
                <w:rFonts w:ascii="CAIXA Std Book" w:hAnsi="CAIXA Std Book"/>
                <w:b/>
                <w:color w:val="005CA9"/>
                <w:sz w:val="18"/>
                <w:szCs w:val="18"/>
              </w:rPr>
              <w:t>/</w:t>
            </w:r>
            <w:r w:rsidR="005109C8" w:rsidRPr="00E20D21">
              <w:rPr>
                <w:rFonts w:ascii="CAIXA Std Book" w:hAnsi="CAIXA Std Book"/>
                <w:b/>
                <w:color w:val="005CA9"/>
                <w:sz w:val="18"/>
                <w:szCs w:val="18"/>
              </w:rPr>
              <w:t>06/202</w:t>
            </w:r>
            <w:r w:rsidR="00F7192D" w:rsidRPr="00E20D21">
              <w:rPr>
                <w:rFonts w:ascii="CAIXA Std Book" w:hAnsi="CAIXA Std Book"/>
                <w:b/>
                <w:color w:val="005CA9"/>
                <w:sz w:val="18"/>
                <w:szCs w:val="18"/>
              </w:rPr>
              <w:t>4</w:t>
            </w:r>
          </w:p>
        </w:tc>
        <w:tc>
          <w:tcPr>
            <w:tcW w:w="970" w:type="pct"/>
            <w:tcBorders>
              <w:top w:val="single" w:sz="4" w:space="0" w:color="F79646"/>
              <w:left w:val="nil"/>
              <w:bottom w:val="single" w:sz="4" w:space="0" w:color="F39200"/>
              <w:right w:val="nil"/>
            </w:tcBorders>
            <w:shd w:val="clear" w:color="auto" w:fill="auto"/>
            <w:vAlign w:val="center"/>
            <w:hideMark/>
          </w:tcPr>
          <w:p w14:paraId="60A9DCB8" w14:textId="6F7626C4" w:rsidR="00A909C1" w:rsidRPr="00E20D21" w:rsidRDefault="00A909C1" w:rsidP="00A909C1">
            <w:pPr>
              <w:jc w:val="center"/>
              <w:rPr>
                <w:rFonts w:ascii="CAIXA Std Book" w:hAnsi="CAIXA Std Book"/>
                <w:b/>
                <w:color w:val="005CA9"/>
                <w:sz w:val="18"/>
                <w:szCs w:val="18"/>
              </w:rPr>
            </w:pPr>
            <w:r w:rsidRPr="00E20D21">
              <w:rPr>
                <w:rFonts w:ascii="CAIXA Std Book" w:hAnsi="CAIXA Std Book"/>
                <w:b/>
                <w:color w:val="005CA9"/>
                <w:sz w:val="18"/>
                <w:szCs w:val="18"/>
              </w:rPr>
              <w:t>31/12/202</w:t>
            </w:r>
            <w:r w:rsidR="005109C8" w:rsidRPr="00E20D21">
              <w:rPr>
                <w:rFonts w:ascii="CAIXA Std Book" w:hAnsi="CAIXA Std Book"/>
                <w:b/>
                <w:color w:val="005CA9"/>
                <w:sz w:val="18"/>
                <w:szCs w:val="18"/>
              </w:rPr>
              <w:t>3</w:t>
            </w:r>
          </w:p>
        </w:tc>
      </w:tr>
      <w:tr w:rsidR="0040708A" w:rsidRPr="00E20D21" w14:paraId="52ACCF23" w14:textId="77777777" w:rsidTr="005109C8">
        <w:trPr>
          <w:trHeight w:val="283"/>
        </w:trPr>
        <w:tc>
          <w:tcPr>
            <w:tcW w:w="3060" w:type="pct"/>
            <w:tcBorders>
              <w:top w:val="nil"/>
              <w:left w:val="nil"/>
              <w:bottom w:val="nil"/>
              <w:right w:val="nil"/>
            </w:tcBorders>
            <w:shd w:val="clear" w:color="auto" w:fill="auto"/>
            <w:noWrap/>
            <w:vAlign w:val="center"/>
            <w:hideMark/>
          </w:tcPr>
          <w:p w14:paraId="6DA19576" w14:textId="544FB78D" w:rsidR="0040708A" w:rsidRPr="00E20D21" w:rsidRDefault="0040708A" w:rsidP="0040708A">
            <w:pPr>
              <w:rPr>
                <w:rFonts w:ascii="CAIXA Std Book" w:hAnsi="CAIXA Std Book"/>
                <w:b/>
                <w:color w:val="005CA9"/>
                <w:sz w:val="18"/>
                <w:szCs w:val="18"/>
              </w:rPr>
            </w:pPr>
            <w:r w:rsidRPr="00E20D21">
              <w:rPr>
                <w:rFonts w:ascii="CAIXA Std Book" w:hAnsi="CAIXA Std Book" w:cs="Arial"/>
                <w:b/>
                <w:color w:val="005CA9"/>
                <w:sz w:val="18"/>
                <w:szCs w:val="18"/>
              </w:rPr>
              <w:t>Fundos e programas sociais</w:t>
            </w:r>
          </w:p>
        </w:tc>
        <w:tc>
          <w:tcPr>
            <w:tcW w:w="970" w:type="pct"/>
            <w:tcBorders>
              <w:top w:val="nil"/>
              <w:left w:val="nil"/>
              <w:bottom w:val="nil"/>
              <w:right w:val="nil"/>
            </w:tcBorders>
            <w:shd w:val="clear" w:color="auto" w:fill="auto"/>
            <w:vAlign w:val="center"/>
          </w:tcPr>
          <w:p w14:paraId="6AEFCE92" w14:textId="078DC7C6" w:rsidR="0040708A" w:rsidRPr="00E20D21" w:rsidRDefault="0040708A" w:rsidP="0040708A">
            <w:pPr>
              <w:ind w:firstLineChars="100" w:firstLine="180"/>
              <w:jc w:val="right"/>
              <w:rPr>
                <w:rFonts w:ascii="CAIXA Std Book" w:hAnsi="CAIXA Std Book" w:cs="Arial"/>
                <w:b/>
                <w:bCs/>
                <w:color w:val="005CA9"/>
                <w:sz w:val="18"/>
                <w:szCs w:val="18"/>
              </w:rPr>
            </w:pPr>
            <w:r w:rsidRPr="00E20D21">
              <w:rPr>
                <w:rFonts w:ascii="CAIXA Std Book" w:hAnsi="CAIXA Std Book" w:cs="Arial"/>
                <w:b/>
                <w:bCs/>
                <w:color w:val="2F75B5"/>
                <w:sz w:val="18"/>
                <w:szCs w:val="18"/>
              </w:rPr>
              <w:t>16.347.790</w:t>
            </w:r>
          </w:p>
        </w:tc>
        <w:tc>
          <w:tcPr>
            <w:tcW w:w="970" w:type="pct"/>
            <w:tcBorders>
              <w:top w:val="nil"/>
              <w:left w:val="nil"/>
              <w:bottom w:val="nil"/>
              <w:right w:val="nil"/>
            </w:tcBorders>
            <w:shd w:val="clear" w:color="auto" w:fill="auto"/>
            <w:noWrap/>
            <w:vAlign w:val="center"/>
          </w:tcPr>
          <w:p w14:paraId="0CD496E0" w14:textId="3584526F" w:rsidR="0040708A" w:rsidRPr="00E20D21" w:rsidRDefault="0040708A" w:rsidP="0040708A">
            <w:pPr>
              <w:ind w:firstLineChars="100" w:firstLine="180"/>
              <w:jc w:val="right"/>
              <w:rPr>
                <w:rFonts w:ascii="CAIXA Std Book" w:hAnsi="CAIXA Std Book"/>
                <w:b/>
                <w:color w:val="005CA9"/>
                <w:sz w:val="18"/>
                <w:szCs w:val="18"/>
              </w:rPr>
            </w:pPr>
            <w:r w:rsidRPr="00E20D21">
              <w:rPr>
                <w:rFonts w:ascii="CAIXA Std Book" w:hAnsi="CAIXA Std Book" w:cs="Arial"/>
                <w:b/>
                <w:bCs/>
                <w:color w:val="005CA9"/>
                <w:sz w:val="18"/>
                <w:szCs w:val="18"/>
              </w:rPr>
              <w:t>15.582.421</w:t>
            </w:r>
          </w:p>
        </w:tc>
      </w:tr>
      <w:tr w:rsidR="0040708A" w:rsidRPr="00E20D21" w14:paraId="6B17EE0A" w14:textId="77777777" w:rsidTr="005109C8">
        <w:trPr>
          <w:trHeight w:val="283"/>
        </w:trPr>
        <w:tc>
          <w:tcPr>
            <w:tcW w:w="3060" w:type="pct"/>
            <w:tcBorders>
              <w:top w:val="nil"/>
              <w:left w:val="nil"/>
              <w:bottom w:val="nil"/>
              <w:right w:val="nil"/>
            </w:tcBorders>
            <w:shd w:val="clear" w:color="auto" w:fill="auto"/>
            <w:noWrap/>
            <w:vAlign w:val="center"/>
            <w:hideMark/>
          </w:tcPr>
          <w:p w14:paraId="50255278" w14:textId="57FF276B" w:rsidR="0040708A" w:rsidRPr="00E20D21" w:rsidRDefault="0040708A" w:rsidP="0040708A">
            <w:pPr>
              <w:ind w:firstLineChars="100" w:firstLine="180"/>
              <w:rPr>
                <w:rFonts w:ascii="CAIXA Std Book" w:hAnsi="CAIXA Std Book"/>
                <w:color w:val="005CA9"/>
                <w:sz w:val="18"/>
                <w:szCs w:val="18"/>
              </w:rPr>
            </w:pPr>
            <w:r w:rsidRPr="00E20D21">
              <w:rPr>
                <w:rFonts w:ascii="CAIXA Std Book" w:hAnsi="CAIXA Std Book" w:cs="Arial"/>
                <w:color w:val="005CA9"/>
                <w:sz w:val="18"/>
                <w:szCs w:val="18"/>
              </w:rPr>
              <w:t>Remuneração do agente financeiro - FGTS</w:t>
            </w:r>
          </w:p>
        </w:tc>
        <w:tc>
          <w:tcPr>
            <w:tcW w:w="970" w:type="pct"/>
            <w:tcBorders>
              <w:top w:val="nil"/>
              <w:left w:val="nil"/>
              <w:bottom w:val="nil"/>
              <w:right w:val="nil"/>
            </w:tcBorders>
            <w:shd w:val="clear" w:color="auto" w:fill="auto"/>
            <w:vAlign w:val="center"/>
          </w:tcPr>
          <w:p w14:paraId="42D99B50" w14:textId="6535B1E5" w:rsidR="0040708A" w:rsidRPr="00E20D21" w:rsidRDefault="0040708A" w:rsidP="0040708A">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9.245.106</w:t>
            </w:r>
          </w:p>
        </w:tc>
        <w:tc>
          <w:tcPr>
            <w:tcW w:w="970" w:type="pct"/>
            <w:tcBorders>
              <w:top w:val="nil"/>
              <w:left w:val="nil"/>
              <w:bottom w:val="nil"/>
              <w:right w:val="nil"/>
            </w:tcBorders>
            <w:shd w:val="clear" w:color="auto" w:fill="auto"/>
            <w:noWrap/>
            <w:vAlign w:val="center"/>
          </w:tcPr>
          <w:p w14:paraId="31281E1C" w14:textId="305B2CFD" w:rsidR="0040708A" w:rsidRPr="00E20D21" w:rsidRDefault="0040708A" w:rsidP="0040708A">
            <w:pPr>
              <w:ind w:firstLineChars="100" w:firstLine="180"/>
              <w:jc w:val="right"/>
              <w:rPr>
                <w:rFonts w:ascii="CAIXA Std Book" w:hAnsi="CAIXA Std Book" w:cs="Arial Unicode MS"/>
                <w:color w:val="005CA9"/>
                <w:sz w:val="18"/>
                <w:szCs w:val="18"/>
              </w:rPr>
            </w:pPr>
            <w:r w:rsidRPr="00E20D21">
              <w:rPr>
                <w:rFonts w:ascii="CAIXA Std Book" w:hAnsi="CAIXA Std Book" w:cs="Arial"/>
                <w:color w:val="005CA9"/>
                <w:sz w:val="18"/>
                <w:szCs w:val="18"/>
              </w:rPr>
              <w:t>8.912.147</w:t>
            </w:r>
          </w:p>
        </w:tc>
      </w:tr>
      <w:tr w:rsidR="0040708A" w:rsidRPr="00E20D21" w14:paraId="5187B7E3" w14:textId="77777777" w:rsidTr="00367ED3">
        <w:trPr>
          <w:trHeight w:val="283"/>
        </w:trPr>
        <w:tc>
          <w:tcPr>
            <w:tcW w:w="3060" w:type="pct"/>
            <w:tcBorders>
              <w:top w:val="nil"/>
              <w:left w:val="nil"/>
              <w:bottom w:val="nil"/>
              <w:right w:val="nil"/>
            </w:tcBorders>
            <w:shd w:val="clear" w:color="auto" w:fill="auto"/>
            <w:noWrap/>
            <w:vAlign w:val="center"/>
          </w:tcPr>
          <w:p w14:paraId="154658EA" w14:textId="52FB9F59" w:rsidR="0040708A" w:rsidRPr="00E20D21" w:rsidRDefault="0040708A" w:rsidP="0040708A">
            <w:pPr>
              <w:ind w:firstLineChars="100" w:firstLine="180"/>
              <w:rPr>
                <w:rFonts w:ascii="CAIXA Std Book" w:hAnsi="CAIXA Std Book" w:cs="Arial"/>
                <w:color w:val="005CA9"/>
                <w:sz w:val="18"/>
                <w:szCs w:val="18"/>
              </w:rPr>
            </w:pPr>
            <w:r w:rsidRPr="00E20D21">
              <w:rPr>
                <w:rFonts w:ascii="CAIXA Std Book" w:hAnsi="CAIXA Std Book" w:cs="Arial"/>
                <w:color w:val="005CA9"/>
                <w:sz w:val="18"/>
                <w:szCs w:val="18"/>
              </w:rPr>
              <w:t xml:space="preserve">Programas habitacionais de interesse social </w:t>
            </w:r>
          </w:p>
        </w:tc>
        <w:tc>
          <w:tcPr>
            <w:tcW w:w="970" w:type="pct"/>
            <w:tcBorders>
              <w:top w:val="nil"/>
              <w:left w:val="nil"/>
              <w:bottom w:val="nil"/>
              <w:right w:val="nil"/>
            </w:tcBorders>
            <w:shd w:val="clear" w:color="auto" w:fill="auto"/>
            <w:vAlign w:val="center"/>
          </w:tcPr>
          <w:p w14:paraId="46CDD822" w14:textId="57F69C85" w:rsidR="0040708A" w:rsidRPr="00E20D21" w:rsidRDefault="0040708A" w:rsidP="0040708A">
            <w:pPr>
              <w:jc w:val="right"/>
              <w:rPr>
                <w:rFonts w:ascii="CAIXA Std Book" w:hAnsi="CAIXA Std Book" w:cs="Arial"/>
                <w:color w:val="005CA9"/>
                <w:sz w:val="18"/>
                <w:szCs w:val="18"/>
              </w:rPr>
            </w:pPr>
            <w:r w:rsidRPr="00E20D21">
              <w:rPr>
                <w:rFonts w:ascii="CAIXA Std Book" w:hAnsi="CAIXA Std Book" w:cs="Arial"/>
                <w:color w:val="005CA9"/>
                <w:sz w:val="18"/>
                <w:szCs w:val="18"/>
              </w:rPr>
              <w:t>1.655.959</w:t>
            </w:r>
          </w:p>
        </w:tc>
        <w:tc>
          <w:tcPr>
            <w:tcW w:w="970" w:type="pct"/>
            <w:tcBorders>
              <w:top w:val="nil"/>
              <w:left w:val="nil"/>
              <w:bottom w:val="nil"/>
              <w:right w:val="nil"/>
            </w:tcBorders>
            <w:shd w:val="clear" w:color="auto" w:fill="auto"/>
            <w:noWrap/>
            <w:vAlign w:val="center"/>
          </w:tcPr>
          <w:p w14:paraId="61E962FF" w14:textId="34D9B662" w:rsidR="0040708A" w:rsidRPr="00E20D21" w:rsidRDefault="0040708A" w:rsidP="0040708A">
            <w:pPr>
              <w:ind w:firstLineChars="100" w:firstLine="180"/>
              <w:jc w:val="right"/>
              <w:rPr>
                <w:rFonts w:ascii="CAIXA Std Book" w:hAnsi="CAIXA Std Book" w:cs="Arial"/>
                <w:color w:val="005CA9"/>
                <w:sz w:val="18"/>
                <w:szCs w:val="18"/>
              </w:rPr>
            </w:pPr>
            <w:r w:rsidRPr="00E20D21">
              <w:rPr>
                <w:rFonts w:ascii="CAIXA Std Book" w:hAnsi="CAIXA Std Book" w:cs="Arial"/>
                <w:color w:val="005CA9"/>
                <w:sz w:val="18"/>
                <w:szCs w:val="18"/>
              </w:rPr>
              <w:t>1.676.866</w:t>
            </w:r>
          </w:p>
        </w:tc>
      </w:tr>
      <w:tr w:rsidR="0040708A" w:rsidRPr="00E20D21" w14:paraId="6C30AD2E" w14:textId="77777777" w:rsidTr="005109C8">
        <w:trPr>
          <w:trHeight w:val="283"/>
        </w:trPr>
        <w:tc>
          <w:tcPr>
            <w:tcW w:w="3060" w:type="pct"/>
            <w:tcBorders>
              <w:top w:val="nil"/>
              <w:left w:val="nil"/>
              <w:bottom w:val="nil"/>
              <w:right w:val="nil"/>
            </w:tcBorders>
            <w:shd w:val="clear" w:color="auto" w:fill="auto"/>
            <w:noWrap/>
            <w:vAlign w:val="center"/>
            <w:hideMark/>
          </w:tcPr>
          <w:p w14:paraId="5F6BABF1" w14:textId="77777777" w:rsidR="0040708A" w:rsidRPr="00E20D21" w:rsidRDefault="0040708A" w:rsidP="0040708A">
            <w:pPr>
              <w:ind w:firstLineChars="100" w:firstLine="180"/>
              <w:rPr>
                <w:rFonts w:ascii="CAIXA Std Book" w:hAnsi="CAIXA Std Book"/>
                <w:color w:val="005CA9"/>
                <w:sz w:val="18"/>
                <w:szCs w:val="18"/>
              </w:rPr>
            </w:pPr>
            <w:r w:rsidRPr="00E20D21">
              <w:rPr>
                <w:rFonts w:ascii="CAIXA Std Book" w:hAnsi="CAIXA Std Book" w:cs="Arial"/>
                <w:color w:val="005CA9"/>
                <w:sz w:val="18"/>
                <w:szCs w:val="18"/>
              </w:rPr>
              <w:t>Programas de transferência de renda (1)</w:t>
            </w:r>
          </w:p>
        </w:tc>
        <w:tc>
          <w:tcPr>
            <w:tcW w:w="970" w:type="pct"/>
            <w:tcBorders>
              <w:top w:val="nil"/>
              <w:left w:val="nil"/>
              <w:bottom w:val="nil"/>
              <w:right w:val="nil"/>
            </w:tcBorders>
            <w:shd w:val="clear" w:color="auto" w:fill="auto"/>
            <w:vAlign w:val="center"/>
          </w:tcPr>
          <w:p w14:paraId="40B029B9" w14:textId="2ADF7D99" w:rsidR="0040708A" w:rsidRPr="00E20D21" w:rsidRDefault="0040708A" w:rsidP="0040708A">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1.995.871</w:t>
            </w:r>
          </w:p>
        </w:tc>
        <w:tc>
          <w:tcPr>
            <w:tcW w:w="970" w:type="pct"/>
            <w:tcBorders>
              <w:top w:val="nil"/>
              <w:left w:val="nil"/>
              <w:bottom w:val="nil"/>
              <w:right w:val="nil"/>
            </w:tcBorders>
            <w:shd w:val="clear" w:color="auto" w:fill="auto"/>
            <w:noWrap/>
            <w:vAlign w:val="center"/>
          </w:tcPr>
          <w:p w14:paraId="413D6AA2" w14:textId="1F36AA97" w:rsidR="0040708A" w:rsidRPr="00E20D21" w:rsidRDefault="0040708A" w:rsidP="0040708A">
            <w:pPr>
              <w:ind w:firstLineChars="100" w:firstLine="180"/>
              <w:jc w:val="right"/>
              <w:rPr>
                <w:rFonts w:ascii="CAIXA Std Book" w:hAnsi="CAIXA Std Book" w:cs="Arial Unicode MS"/>
                <w:color w:val="005CA9"/>
                <w:sz w:val="18"/>
                <w:szCs w:val="18"/>
              </w:rPr>
            </w:pPr>
            <w:r w:rsidRPr="00E20D21">
              <w:rPr>
                <w:rFonts w:ascii="CAIXA Std Book" w:hAnsi="CAIXA Std Book" w:cs="Arial"/>
                <w:color w:val="005CA9"/>
                <w:sz w:val="18"/>
                <w:szCs w:val="18"/>
              </w:rPr>
              <w:t>1.314.677</w:t>
            </w:r>
          </w:p>
        </w:tc>
      </w:tr>
      <w:tr w:rsidR="0040708A" w:rsidRPr="00E20D21" w14:paraId="48A0F3A4" w14:textId="77777777" w:rsidTr="005109C8">
        <w:trPr>
          <w:trHeight w:val="283"/>
        </w:trPr>
        <w:tc>
          <w:tcPr>
            <w:tcW w:w="3060" w:type="pct"/>
            <w:tcBorders>
              <w:top w:val="nil"/>
              <w:left w:val="nil"/>
              <w:bottom w:val="nil"/>
              <w:right w:val="nil"/>
            </w:tcBorders>
            <w:shd w:val="clear" w:color="auto" w:fill="auto"/>
            <w:noWrap/>
            <w:vAlign w:val="center"/>
            <w:hideMark/>
          </w:tcPr>
          <w:p w14:paraId="22709FDF" w14:textId="77777777" w:rsidR="0040708A" w:rsidRPr="00E20D21" w:rsidRDefault="0040708A" w:rsidP="0040708A">
            <w:pPr>
              <w:ind w:firstLineChars="100" w:firstLine="180"/>
              <w:rPr>
                <w:rFonts w:ascii="CAIXA Std Book" w:hAnsi="CAIXA Std Book" w:cs="Arial"/>
                <w:color w:val="005CA9"/>
                <w:sz w:val="18"/>
                <w:szCs w:val="18"/>
              </w:rPr>
            </w:pPr>
            <w:r w:rsidRPr="00E20D21">
              <w:rPr>
                <w:rFonts w:ascii="CAIXA Std Book" w:hAnsi="CAIXA Std Book" w:cs="Arial"/>
                <w:color w:val="005CA9"/>
                <w:sz w:val="18"/>
                <w:szCs w:val="18"/>
              </w:rPr>
              <w:t>Minha Casa Minha Vida - MCMV</w:t>
            </w:r>
          </w:p>
        </w:tc>
        <w:tc>
          <w:tcPr>
            <w:tcW w:w="970" w:type="pct"/>
            <w:tcBorders>
              <w:top w:val="nil"/>
              <w:left w:val="nil"/>
              <w:bottom w:val="nil"/>
              <w:right w:val="nil"/>
            </w:tcBorders>
            <w:shd w:val="clear" w:color="auto" w:fill="auto"/>
            <w:vAlign w:val="center"/>
          </w:tcPr>
          <w:p w14:paraId="55B1DFB0" w14:textId="5AE223E8" w:rsidR="0040708A" w:rsidRPr="00E20D21" w:rsidRDefault="0040708A" w:rsidP="0040708A">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1.701.596</w:t>
            </w:r>
          </w:p>
        </w:tc>
        <w:tc>
          <w:tcPr>
            <w:tcW w:w="970" w:type="pct"/>
            <w:tcBorders>
              <w:top w:val="nil"/>
              <w:left w:val="nil"/>
              <w:bottom w:val="nil"/>
              <w:right w:val="nil"/>
            </w:tcBorders>
            <w:shd w:val="clear" w:color="auto" w:fill="auto"/>
            <w:noWrap/>
            <w:vAlign w:val="center"/>
          </w:tcPr>
          <w:p w14:paraId="23DF4D30" w14:textId="0F3B264B" w:rsidR="0040708A" w:rsidRPr="00E20D21" w:rsidRDefault="0040708A" w:rsidP="0040708A">
            <w:pPr>
              <w:ind w:firstLineChars="100" w:firstLine="180"/>
              <w:jc w:val="right"/>
              <w:rPr>
                <w:rFonts w:ascii="CAIXA Std Book" w:hAnsi="CAIXA Std Book" w:cs="Arial Unicode MS"/>
                <w:color w:val="005CA9"/>
                <w:sz w:val="18"/>
                <w:szCs w:val="18"/>
              </w:rPr>
            </w:pPr>
            <w:r w:rsidRPr="00E20D21">
              <w:rPr>
                <w:rFonts w:ascii="CAIXA Std Book" w:hAnsi="CAIXA Std Book" w:cs="Arial"/>
                <w:color w:val="005CA9"/>
                <w:sz w:val="18"/>
                <w:szCs w:val="18"/>
              </w:rPr>
              <w:t>1.098.257</w:t>
            </w:r>
          </w:p>
        </w:tc>
      </w:tr>
      <w:tr w:rsidR="0040708A" w:rsidRPr="00E20D21" w14:paraId="496699BF" w14:textId="77777777" w:rsidTr="005109C8">
        <w:trPr>
          <w:trHeight w:val="283"/>
        </w:trPr>
        <w:tc>
          <w:tcPr>
            <w:tcW w:w="3060" w:type="pct"/>
            <w:tcBorders>
              <w:top w:val="nil"/>
              <w:left w:val="nil"/>
              <w:bottom w:val="nil"/>
              <w:right w:val="nil"/>
            </w:tcBorders>
            <w:shd w:val="clear" w:color="auto" w:fill="auto"/>
            <w:noWrap/>
            <w:vAlign w:val="center"/>
            <w:hideMark/>
          </w:tcPr>
          <w:p w14:paraId="61AFC62C" w14:textId="32788F5F" w:rsidR="0040708A" w:rsidRPr="00E20D21" w:rsidRDefault="0040708A" w:rsidP="0040708A">
            <w:pPr>
              <w:ind w:firstLineChars="100" w:firstLine="180"/>
              <w:rPr>
                <w:rFonts w:ascii="CAIXA Std Book" w:hAnsi="CAIXA Std Book"/>
                <w:color w:val="005CA9"/>
                <w:sz w:val="18"/>
                <w:szCs w:val="18"/>
              </w:rPr>
            </w:pPr>
            <w:r w:rsidRPr="00E20D21">
              <w:rPr>
                <w:rFonts w:ascii="CAIXA Std Book" w:hAnsi="CAIXA Std Book" w:cs="Arial"/>
                <w:color w:val="005CA9"/>
                <w:sz w:val="18"/>
                <w:szCs w:val="18"/>
              </w:rPr>
              <w:t>Remuneração do agente financeiro - OGU</w:t>
            </w:r>
          </w:p>
        </w:tc>
        <w:tc>
          <w:tcPr>
            <w:tcW w:w="970" w:type="pct"/>
            <w:tcBorders>
              <w:top w:val="nil"/>
              <w:left w:val="nil"/>
              <w:bottom w:val="nil"/>
              <w:right w:val="nil"/>
            </w:tcBorders>
            <w:shd w:val="clear" w:color="auto" w:fill="auto"/>
            <w:vAlign w:val="center"/>
          </w:tcPr>
          <w:p w14:paraId="2F527FE5" w14:textId="30886681" w:rsidR="0040708A" w:rsidRPr="00E20D21" w:rsidRDefault="0040708A" w:rsidP="0040708A">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675.534</w:t>
            </w:r>
          </w:p>
        </w:tc>
        <w:tc>
          <w:tcPr>
            <w:tcW w:w="970" w:type="pct"/>
            <w:tcBorders>
              <w:top w:val="nil"/>
              <w:left w:val="nil"/>
              <w:bottom w:val="nil"/>
              <w:right w:val="nil"/>
            </w:tcBorders>
            <w:shd w:val="clear" w:color="auto" w:fill="auto"/>
            <w:noWrap/>
            <w:vAlign w:val="center"/>
          </w:tcPr>
          <w:p w14:paraId="0B013BFA" w14:textId="6B38D101" w:rsidR="0040708A" w:rsidRPr="00E20D21" w:rsidRDefault="0040708A" w:rsidP="0040708A">
            <w:pPr>
              <w:ind w:firstLineChars="100" w:firstLine="180"/>
              <w:jc w:val="right"/>
              <w:rPr>
                <w:rFonts w:ascii="CAIXA Std Book" w:hAnsi="CAIXA Std Book" w:cs="Arial Unicode MS"/>
                <w:color w:val="005CA9"/>
                <w:sz w:val="18"/>
                <w:szCs w:val="18"/>
              </w:rPr>
            </w:pPr>
            <w:r w:rsidRPr="00E20D21">
              <w:rPr>
                <w:rFonts w:ascii="CAIXA Std Book" w:hAnsi="CAIXA Std Book" w:cs="Arial"/>
                <w:color w:val="005CA9"/>
                <w:sz w:val="18"/>
                <w:szCs w:val="18"/>
              </w:rPr>
              <w:t>832.418</w:t>
            </w:r>
          </w:p>
        </w:tc>
      </w:tr>
      <w:tr w:rsidR="0040708A" w:rsidRPr="00E20D21" w14:paraId="6C0A2458" w14:textId="77777777" w:rsidTr="005109C8">
        <w:trPr>
          <w:trHeight w:val="283"/>
        </w:trPr>
        <w:tc>
          <w:tcPr>
            <w:tcW w:w="3060" w:type="pct"/>
            <w:tcBorders>
              <w:top w:val="nil"/>
              <w:left w:val="nil"/>
              <w:bottom w:val="nil"/>
              <w:right w:val="nil"/>
            </w:tcBorders>
            <w:shd w:val="clear" w:color="auto" w:fill="auto"/>
            <w:noWrap/>
            <w:vAlign w:val="center"/>
            <w:hideMark/>
          </w:tcPr>
          <w:p w14:paraId="00250982" w14:textId="77777777" w:rsidR="0040708A" w:rsidRPr="00E20D21" w:rsidRDefault="0040708A" w:rsidP="0040708A">
            <w:pPr>
              <w:ind w:firstLineChars="100" w:firstLine="180"/>
              <w:rPr>
                <w:rFonts w:ascii="CAIXA Std Book" w:hAnsi="CAIXA Std Book"/>
                <w:color w:val="005CA9"/>
                <w:sz w:val="18"/>
                <w:szCs w:val="18"/>
              </w:rPr>
            </w:pPr>
            <w:r w:rsidRPr="00E20D21">
              <w:rPr>
                <w:rFonts w:ascii="CAIXA Std Book" w:hAnsi="CAIXA Std Book" w:cs="Arial"/>
                <w:color w:val="005CA9"/>
                <w:sz w:val="18"/>
                <w:szCs w:val="18"/>
              </w:rPr>
              <w:t>Recursos do FGTS</w:t>
            </w:r>
          </w:p>
        </w:tc>
        <w:tc>
          <w:tcPr>
            <w:tcW w:w="970" w:type="pct"/>
            <w:tcBorders>
              <w:top w:val="nil"/>
              <w:left w:val="nil"/>
              <w:bottom w:val="nil"/>
              <w:right w:val="nil"/>
            </w:tcBorders>
            <w:shd w:val="clear" w:color="auto" w:fill="auto"/>
            <w:vAlign w:val="center"/>
          </w:tcPr>
          <w:p w14:paraId="27EA80E4" w14:textId="7BD139ED" w:rsidR="0040708A" w:rsidRPr="00E20D21" w:rsidRDefault="0040708A" w:rsidP="0040708A">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254.313</w:t>
            </w:r>
          </w:p>
        </w:tc>
        <w:tc>
          <w:tcPr>
            <w:tcW w:w="970" w:type="pct"/>
            <w:tcBorders>
              <w:top w:val="nil"/>
              <w:left w:val="nil"/>
              <w:bottom w:val="nil"/>
              <w:right w:val="nil"/>
            </w:tcBorders>
            <w:shd w:val="clear" w:color="auto" w:fill="auto"/>
            <w:noWrap/>
            <w:vAlign w:val="center"/>
          </w:tcPr>
          <w:p w14:paraId="6A5F7B4D" w14:textId="7DB6F152" w:rsidR="0040708A" w:rsidRPr="00E20D21" w:rsidRDefault="0040708A" w:rsidP="0040708A">
            <w:pPr>
              <w:jc w:val="right"/>
              <w:rPr>
                <w:rFonts w:ascii="CAIXA Std Book" w:hAnsi="CAIXA Std Book"/>
                <w:color w:val="005CA9"/>
                <w:sz w:val="18"/>
                <w:szCs w:val="18"/>
              </w:rPr>
            </w:pPr>
            <w:r w:rsidRPr="00E20D21">
              <w:rPr>
                <w:rFonts w:ascii="CAIXA Std Book" w:hAnsi="CAIXA Std Book" w:cs="Arial"/>
                <w:color w:val="005CA9"/>
                <w:sz w:val="18"/>
                <w:szCs w:val="18"/>
              </w:rPr>
              <w:t>815.405</w:t>
            </w:r>
          </w:p>
        </w:tc>
      </w:tr>
      <w:tr w:rsidR="0040708A" w:rsidRPr="00E20D21" w14:paraId="30BFA030" w14:textId="77777777" w:rsidTr="00367ED3">
        <w:trPr>
          <w:trHeight w:val="283"/>
        </w:trPr>
        <w:tc>
          <w:tcPr>
            <w:tcW w:w="3060" w:type="pct"/>
            <w:tcBorders>
              <w:top w:val="nil"/>
              <w:left w:val="nil"/>
              <w:bottom w:val="nil"/>
              <w:right w:val="nil"/>
            </w:tcBorders>
            <w:shd w:val="clear" w:color="auto" w:fill="auto"/>
            <w:noWrap/>
            <w:vAlign w:val="center"/>
          </w:tcPr>
          <w:p w14:paraId="1900C8DE" w14:textId="42B3A848" w:rsidR="0040708A" w:rsidRPr="00E20D21" w:rsidRDefault="0040708A" w:rsidP="0040708A">
            <w:pPr>
              <w:ind w:firstLineChars="100" w:firstLine="180"/>
              <w:rPr>
                <w:rFonts w:ascii="CAIXA Std Book" w:hAnsi="CAIXA Std Book" w:cs="Arial"/>
                <w:color w:val="005CA9"/>
                <w:sz w:val="18"/>
                <w:szCs w:val="18"/>
              </w:rPr>
            </w:pPr>
            <w:r w:rsidRPr="00E20D21">
              <w:rPr>
                <w:rFonts w:ascii="CAIXA Std Book" w:hAnsi="CAIXA Std Book" w:cs="Arial"/>
                <w:color w:val="005CA9"/>
                <w:sz w:val="18"/>
                <w:szCs w:val="18"/>
              </w:rPr>
              <w:t>FIES</w:t>
            </w:r>
          </w:p>
        </w:tc>
        <w:tc>
          <w:tcPr>
            <w:tcW w:w="970" w:type="pct"/>
            <w:tcBorders>
              <w:top w:val="nil"/>
              <w:left w:val="nil"/>
              <w:bottom w:val="nil"/>
              <w:right w:val="nil"/>
            </w:tcBorders>
            <w:shd w:val="clear" w:color="auto" w:fill="auto"/>
            <w:vAlign w:val="center"/>
          </w:tcPr>
          <w:p w14:paraId="4E269EA0" w14:textId="24A83BD9" w:rsidR="0040708A" w:rsidRPr="00E20D21" w:rsidRDefault="0040708A" w:rsidP="0040708A">
            <w:pPr>
              <w:jc w:val="right"/>
              <w:rPr>
                <w:rFonts w:ascii="CAIXA Std Book" w:hAnsi="CAIXA Std Book" w:cs="Arial"/>
                <w:color w:val="005CA9"/>
                <w:sz w:val="18"/>
                <w:szCs w:val="18"/>
              </w:rPr>
            </w:pPr>
            <w:r w:rsidRPr="00E20D21">
              <w:rPr>
                <w:rFonts w:ascii="CAIXA Std Book" w:hAnsi="CAIXA Std Book" w:cs="Arial"/>
                <w:color w:val="005CA9"/>
                <w:sz w:val="18"/>
                <w:szCs w:val="18"/>
              </w:rPr>
              <w:t>529.437</w:t>
            </w:r>
          </w:p>
        </w:tc>
        <w:tc>
          <w:tcPr>
            <w:tcW w:w="970" w:type="pct"/>
            <w:tcBorders>
              <w:top w:val="nil"/>
              <w:left w:val="nil"/>
              <w:bottom w:val="nil"/>
              <w:right w:val="nil"/>
            </w:tcBorders>
            <w:shd w:val="clear" w:color="auto" w:fill="auto"/>
            <w:noWrap/>
            <w:vAlign w:val="center"/>
          </w:tcPr>
          <w:p w14:paraId="3AA03FE2" w14:textId="6E54CE99" w:rsidR="0040708A" w:rsidRPr="00E20D21" w:rsidRDefault="0040708A" w:rsidP="0040708A">
            <w:pPr>
              <w:jc w:val="right"/>
              <w:rPr>
                <w:rFonts w:ascii="CAIXA Std Book" w:hAnsi="CAIXA Std Book" w:cs="Arial"/>
                <w:color w:val="005CA9"/>
                <w:sz w:val="18"/>
                <w:szCs w:val="18"/>
              </w:rPr>
            </w:pPr>
            <w:r w:rsidRPr="00E20D21">
              <w:rPr>
                <w:rFonts w:ascii="CAIXA Std Book" w:hAnsi="CAIXA Std Book" w:cs="Arial"/>
                <w:color w:val="005CA9"/>
                <w:sz w:val="18"/>
                <w:szCs w:val="18"/>
              </w:rPr>
              <w:t>654.482</w:t>
            </w:r>
          </w:p>
        </w:tc>
      </w:tr>
      <w:tr w:rsidR="0040708A" w:rsidRPr="00E20D21" w14:paraId="00718FFE" w14:textId="77777777" w:rsidTr="00367ED3">
        <w:trPr>
          <w:trHeight w:val="283"/>
        </w:trPr>
        <w:tc>
          <w:tcPr>
            <w:tcW w:w="3060" w:type="pct"/>
            <w:tcBorders>
              <w:top w:val="nil"/>
              <w:left w:val="nil"/>
              <w:bottom w:val="nil"/>
              <w:right w:val="nil"/>
            </w:tcBorders>
            <w:shd w:val="clear" w:color="auto" w:fill="auto"/>
            <w:noWrap/>
            <w:vAlign w:val="center"/>
          </w:tcPr>
          <w:p w14:paraId="69A4485A" w14:textId="222F2257" w:rsidR="0040708A" w:rsidRPr="00E20D21" w:rsidRDefault="0040708A" w:rsidP="0040708A">
            <w:pPr>
              <w:ind w:firstLineChars="100" w:firstLine="180"/>
              <w:rPr>
                <w:rFonts w:ascii="CAIXA Std Book" w:hAnsi="CAIXA Std Book" w:cs="Arial"/>
                <w:color w:val="005CA9"/>
                <w:sz w:val="18"/>
                <w:szCs w:val="18"/>
              </w:rPr>
            </w:pPr>
            <w:r w:rsidRPr="00E20D21">
              <w:rPr>
                <w:rFonts w:ascii="CAIXA Std Book" w:hAnsi="CAIXA Std Book" w:cs="Arial"/>
                <w:color w:val="005CA9"/>
                <w:sz w:val="18"/>
                <w:szCs w:val="18"/>
              </w:rPr>
              <w:t>Outros fundos e programas</w:t>
            </w:r>
          </w:p>
        </w:tc>
        <w:tc>
          <w:tcPr>
            <w:tcW w:w="970" w:type="pct"/>
            <w:tcBorders>
              <w:top w:val="nil"/>
              <w:left w:val="nil"/>
              <w:bottom w:val="nil"/>
              <w:right w:val="nil"/>
            </w:tcBorders>
            <w:shd w:val="clear" w:color="auto" w:fill="auto"/>
            <w:vAlign w:val="center"/>
          </w:tcPr>
          <w:p w14:paraId="5E789F0D" w14:textId="650CCC52" w:rsidR="0040708A" w:rsidRPr="00E20D21" w:rsidRDefault="0040708A" w:rsidP="0040708A">
            <w:pPr>
              <w:jc w:val="right"/>
              <w:rPr>
                <w:rFonts w:ascii="CAIXA Std Book" w:hAnsi="CAIXA Std Book" w:cs="Arial"/>
                <w:color w:val="005CA9"/>
                <w:sz w:val="18"/>
                <w:szCs w:val="18"/>
              </w:rPr>
            </w:pPr>
            <w:r w:rsidRPr="00E20D21">
              <w:rPr>
                <w:rFonts w:ascii="CAIXA Std Book" w:hAnsi="CAIXA Std Book" w:cs="Arial"/>
                <w:color w:val="005CA9"/>
                <w:sz w:val="18"/>
                <w:szCs w:val="18"/>
              </w:rPr>
              <w:t>289.974</w:t>
            </w:r>
          </w:p>
        </w:tc>
        <w:tc>
          <w:tcPr>
            <w:tcW w:w="970" w:type="pct"/>
            <w:tcBorders>
              <w:top w:val="nil"/>
              <w:left w:val="nil"/>
              <w:bottom w:val="nil"/>
              <w:right w:val="nil"/>
            </w:tcBorders>
            <w:shd w:val="clear" w:color="auto" w:fill="auto"/>
            <w:noWrap/>
            <w:vAlign w:val="center"/>
          </w:tcPr>
          <w:p w14:paraId="547AA750" w14:textId="4686AE81" w:rsidR="0040708A" w:rsidRPr="00E20D21" w:rsidRDefault="0040708A" w:rsidP="0040708A">
            <w:pPr>
              <w:jc w:val="right"/>
              <w:rPr>
                <w:rFonts w:ascii="CAIXA Std Book" w:hAnsi="CAIXA Std Book" w:cs="Arial"/>
                <w:color w:val="005CA9"/>
                <w:sz w:val="18"/>
                <w:szCs w:val="18"/>
              </w:rPr>
            </w:pPr>
            <w:r w:rsidRPr="00E20D21">
              <w:rPr>
                <w:rFonts w:ascii="CAIXA Std Book" w:hAnsi="CAIXA Std Book" w:cs="Arial"/>
                <w:color w:val="005CA9"/>
                <w:sz w:val="18"/>
                <w:szCs w:val="18"/>
              </w:rPr>
              <w:t>278.169</w:t>
            </w:r>
          </w:p>
        </w:tc>
      </w:tr>
      <w:tr w:rsidR="0040708A" w:rsidRPr="00E20D21" w14:paraId="5EB6606E" w14:textId="77777777" w:rsidTr="005109C8">
        <w:trPr>
          <w:trHeight w:val="283"/>
        </w:trPr>
        <w:tc>
          <w:tcPr>
            <w:tcW w:w="3060" w:type="pct"/>
            <w:tcBorders>
              <w:top w:val="nil"/>
              <w:left w:val="nil"/>
              <w:bottom w:val="nil"/>
              <w:right w:val="nil"/>
            </w:tcBorders>
            <w:shd w:val="clear" w:color="auto" w:fill="auto"/>
            <w:noWrap/>
            <w:vAlign w:val="center"/>
            <w:hideMark/>
          </w:tcPr>
          <w:p w14:paraId="45CBDBCE" w14:textId="5241BA7A" w:rsidR="0040708A" w:rsidRPr="00E20D21" w:rsidRDefault="0040708A" w:rsidP="0040708A">
            <w:pPr>
              <w:rPr>
                <w:rFonts w:ascii="CAIXA Std Book" w:hAnsi="CAIXA Std Book"/>
                <w:b/>
                <w:color w:val="005CA9"/>
                <w:sz w:val="18"/>
                <w:szCs w:val="18"/>
              </w:rPr>
            </w:pPr>
            <w:r w:rsidRPr="00E20D21">
              <w:rPr>
                <w:rFonts w:ascii="CAIXA Std Book" w:hAnsi="CAIXA Std Book" w:cs="Arial"/>
                <w:b/>
                <w:color w:val="005CA9"/>
                <w:sz w:val="18"/>
                <w:szCs w:val="18"/>
              </w:rPr>
              <w:t>Fundos financeiros e de desenvolvimento</w:t>
            </w:r>
          </w:p>
        </w:tc>
        <w:tc>
          <w:tcPr>
            <w:tcW w:w="970" w:type="pct"/>
            <w:tcBorders>
              <w:top w:val="nil"/>
              <w:left w:val="nil"/>
              <w:bottom w:val="nil"/>
              <w:right w:val="nil"/>
            </w:tcBorders>
            <w:shd w:val="clear" w:color="auto" w:fill="auto"/>
            <w:vAlign w:val="center"/>
          </w:tcPr>
          <w:p w14:paraId="38BC584F" w14:textId="3707537C" w:rsidR="0040708A" w:rsidRPr="00E20D21" w:rsidRDefault="0040708A" w:rsidP="0040708A">
            <w:pPr>
              <w:ind w:firstLineChars="100" w:firstLine="180"/>
              <w:jc w:val="right"/>
              <w:rPr>
                <w:rFonts w:ascii="CAIXA Std Book" w:hAnsi="CAIXA Std Book" w:cs="Arial"/>
                <w:b/>
                <w:bCs/>
                <w:color w:val="005CA9"/>
                <w:sz w:val="18"/>
                <w:szCs w:val="18"/>
              </w:rPr>
            </w:pPr>
            <w:r w:rsidRPr="00E20D21">
              <w:rPr>
                <w:rFonts w:ascii="CAIXA Std Book" w:hAnsi="CAIXA Std Book" w:cs="Arial"/>
                <w:b/>
                <w:bCs/>
                <w:color w:val="2F75B5"/>
                <w:sz w:val="18"/>
                <w:szCs w:val="18"/>
              </w:rPr>
              <w:t>438.735</w:t>
            </w:r>
          </w:p>
        </w:tc>
        <w:tc>
          <w:tcPr>
            <w:tcW w:w="970" w:type="pct"/>
            <w:tcBorders>
              <w:top w:val="nil"/>
              <w:left w:val="nil"/>
              <w:bottom w:val="nil"/>
              <w:right w:val="nil"/>
            </w:tcBorders>
            <w:shd w:val="clear" w:color="auto" w:fill="auto"/>
            <w:vAlign w:val="center"/>
          </w:tcPr>
          <w:p w14:paraId="2C94ACD0" w14:textId="37E16C7F" w:rsidR="0040708A" w:rsidRPr="00E20D21" w:rsidRDefault="0040708A" w:rsidP="0040708A">
            <w:pPr>
              <w:ind w:firstLineChars="100" w:firstLine="180"/>
              <w:jc w:val="right"/>
              <w:rPr>
                <w:rFonts w:ascii="CAIXA Std Book" w:hAnsi="CAIXA Std Book"/>
                <w:b/>
                <w:color w:val="005CA9"/>
                <w:sz w:val="18"/>
                <w:szCs w:val="18"/>
              </w:rPr>
            </w:pPr>
            <w:r w:rsidRPr="00E20D21">
              <w:rPr>
                <w:rFonts w:ascii="CAIXA Std Book" w:hAnsi="CAIXA Std Book" w:cs="Arial"/>
                <w:b/>
                <w:bCs/>
                <w:color w:val="005CA9"/>
                <w:sz w:val="18"/>
                <w:szCs w:val="18"/>
              </w:rPr>
              <w:t>982.484</w:t>
            </w:r>
          </w:p>
        </w:tc>
      </w:tr>
      <w:tr w:rsidR="0040708A" w:rsidRPr="00E20D21" w14:paraId="3637E731" w14:textId="77777777" w:rsidTr="005109C8">
        <w:trPr>
          <w:trHeight w:val="283"/>
        </w:trPr>
        <w:tc>
          <w:tcPr>
            <w:tcW w:w="3060" w:type="pct"/>
            <w:tcBorders>
              <w:top w:val="nil"/>
              <w:left w:val="nil"/>
              <w:bottom w:val="nil"/>
              <w:right w:val="nil"/>
            </w:tcBorders>
            <w:shd w:val="clear" w:color="auto" w:fill="auto"/>
            <w:noWrap/>
            <w:vAlign w:val="center"/>
            <w:hideMark/>
          </w:tcPr>
          <w:p w14:paraId="5A1CD7C5" w14:textId="77777777" w:rsidR="0040708A" w:rsidRPr="00E20D21" w:rsidRDefault="0040708A" w:rsidP="0040708A">
            <w:pPr>
              <w:ind w:firstLineChars="100" w:firstLine="180"/>
              <w:rPr>
                <w:rFonts w:ascii="CAIXA Std Book" w:hAnsi="CAIXA Std Book"/>
                <w:color w:val="005CA9"/>
                <w:sz w:val="18"/>
                <w:szCs w:val="18"/>
              </w:rPr>
            </w:pPr>
            <w:r w:rsidRPr="00E20D21">
              <w:rPr>
                <w:rFonts w:ascii="CAIXA Std Book" w:hAnsi="CAIXA Std Book" w:cs="Arial"/>
                <w:color w:val="005CA9"/>
                <w:sz w:val="18"/>
                <w:szCs w:val="18"/>
              </w:rPr>
              <w:t>FAT</w:t>
            </w:r>
          </w:p>
        </w:tc>
        <w:tc>
          <w:tcPr>
            <w:tcW w:w="970" w:type="pct"/>
            <w:tcBorders>
              <w:top w:val="nil"/>
              <w:left w:val="nil"/>
              <w:bottom w:val="nil"/>
              <w:right w:val="nil"/>
            </w:tcBorders>
            <w:shd w:val="clear" w:color="auto" w:fill="auto"/>
            <w:vAlign w:val="center"/>
          </w:tcPr>
          <w:p w14:paraId="1F8E838D" w14:textId="2F1A92E4" w:rsidR="0040708A" w:rsidRPr="00E20D21" w:rsidRDefault="0040708A" w:rsidP="0040708A">
            <w:pPr>
              <w:jc w:val="right"/>
              <w:rPr>
                <w:rFonts w:ascii="CAIXA Std Book" w:hAnsi="CAIXA Std Book" w:cs="Arial"/>
                <w:color w:val="005CA9"/>
                <w:sz w:val="18"/>
                <w:szCs w:val="18"/>
              </w:rPr>
            </w:pPr>
            <w:r w:rsidRPr="00E20D21">
              <w:rPr>
                <w:rFonts w:ascii="CAIXA Std Book" w:hAnsi="CAIXA Std Book" w:cs="Arial"/>
                <w:color w:val="2F75B5"/>
                <w:sz w:val="18"/>
                <w:szCs w:val="18"/>
              </w:rPr>
              <w:t>437.254</w:t>
            </w:r>
          </w:p>
        </w:tc>
        <w:tc>
          <w:tcPr>
            <w:tcW w:w="970" w:type="pct"/>
            <w:tcBorders>
              <w:top w:val="nil"/>
              <w:left w:val="nil"/>
              <w:bottom w:val="nil"/>
              <w:right w:val="nil"/>
            </w:tcBorders>
            <w:shd w:val="clear" w:color="auto" w:fill="auto"/>
            <w:noWrap/>
            <w:vAlign w:val="center"/>
          </w:tcPr>
          <w:p w14:paraId="395969AD" w14:textId="5E0C119C" w:rsidR="0040708A" w:rsidRPr="00E20D21" w:rsidRDefault="0040708A" w:rsidP="0040708A">
            <w:pPr>
              <w:jc w:val="right"/>
              <w:rPr>
                <w:rFonts w:ascii="CAIXA Std Book" w:hAnsi="CAIXA Std Book"/>
                <w:color w:val="005CA9"/>
                <w:sz w:val="18"/>
                <w:szCs w:val="18"/>
              </w:rPr>
            </w:pPr>
            <w:r w:rsidRPr="00E20D21">
              <w:rPr>
                <w:rFonts w:ascii="CAIXA Std Book" w:hAnsi="CAIXA Std Book" w:cs="Arial"/>
                <w:color w:val="005CA9"/>
                <w:sz w:val="18"/>
                <w:szCs w:val="18"/>
              </w:rPr>
              <w:t>981.003</w:t>
            </w:r>
          </w:p>
        </w:tc>
      </w:tr>
      <w:tr w:rsidR="0040708A" w:rsidRPr="00E20D21" w14:paraId="241D0F3F" w14:textId="77777777" w:rsidTr="00E84AD6">
        <w:trPr>
          <w:trHeight w:val="283"/>
        </w:trPr>
        <w:tc>
          <w:tcPr>
            <w:tcW w:w="3060" w:type="pct"/>
            <w:tcBorders>
              <w:top w:val="nil"/>
              <w:left w:val="nil"/>
              <w:bottom w:val="nil"/>
              <w:right w:val="nil"/>
            </w:tcBorders>
            <w:shd w:val="clear" w:color="auto" w:fill="auto"/>
            <w:noWrap/>
            <w:vAlign w:val="center"/>
            <w:hideMark/>
          </w:tcPr>
          <w:p w14:paraId="19AD185F" w14:textId="77777777" w:rsidR="0040708A" w:rsidRPr="00E20D21" w:rsidRDefault="0040708A" w:rsidP="0040708A">
            <w:pPr>
              <w:ind w:firstLineChars="100" w:firstLine="180"/>
              <w:rPr>
                <w:rFonts w:ascii="CAIXA Std Book" w:hAnsi="CAIXA Std Book"/>
                <w:color w:val="005CA9"/>
                <w:sz w:val="18"/>
                <w:szCs w:val="18"/>
              </w:rPr>
            </w:pPr>
            <w:r w:rsidRPr="00E20D21">
              <w:rPr>
                <w:rFonts w:ascii="CAIXA Std Book" w:hAnsi="CAIXA Std Book" w:cs="Arial"/>
                <w:color w:val="005CA9"/>
                <w:sz w:val="18"/>
                <w:szCs w:val="18"/>
              </w:rPr>
              <w:t>FINSOCIAL</w:t>
            </w:r>
          </w:p>
        </w:tc>
        <w:tc>
          <w:tcPr>
            <w:tcW w:w="970" w:type="pct"/>
            <w:tcBorders>
              <w:top w:val="nil"/>
              <w:left w:val="nil"/>
              <w:bottom w:val="nil"/>
              <w:right w:val="nil"/>
            </w:tcBorders>
            <w:shd w:val="clear" w:color="auto" w:fill="auto"/>
            <w:vAlign w:val="center"/>
          </w:tcPr>
          <w:p w14:paraId="208CB8A0" w14:textId="2981FC50" w:rsidR="0040708A" w:rsidRPr="00E20D21" w:rsidRDefault="0040708A" w:rsidP="0040708A">
            <w:pPr>
              <w:jc w:val="right"/>
              <w:rPr>
                <w:rFonts w:ascii="CAIXA Std Book" w:hAnsi="CAIXA Std Book" w:cs="Arial"/>
                <w:color w:val="005CA9"/>
                <w:sz w:val="18"/>
                <w:szCs w:val="18"/>
              </w:rPr>
            </w:pPr>
            <w:r w:rsidRPr="00E20D21">
              <w:rPr>
                <w:rFonts w:ascii="CAIXA Std Book" w:hAnsi="CAIXA Std Book" w:cs="Arial"/>
                <w:color w:val="005CA9"/>
                <w:sz w:val="18"/>
                <w:szCs w:val="18"/>
              </w:rPr>
              <w:t>1.481</w:t>
            </w:r>
          </w:p>
        </w:tc>
        <w:tc>
          <w:tcPr>
            <w:tcW w:w="970" w:type="pct"/>
            <w:tcBorders>
              <w:top w:val="nil"/>
              <w:left w:val="nil"/>
              <w:bottom w:val="nil"/>
              <w:right w:val="nil"/>
            </w:tcBorders>
            <w:shd w:val="clear" w:color="auto" w:fill="auto"/>
            <w:noWrap/>
            <w:vAlign w:val="center"/>
          </w:tcPr>
          <w:p w14:paraId="519389DF" w14:textId="100C86D6" w:rsidR="0040708A" w:rsidRPr="00E20D21" w:rsidRDefault="0040708A" w:rsidP="0040708A">
            <w:pPr>
              <w:jc w:val="right"/>
              <w:rPr>
                <w:rFonts w:ascii="CAIXA Std Book" w:hAnsi="CAIXA Std Book"/>
                <w:color w:val="005CA9"/>
                <w:sz w:val="18"/>
                <w:szCs w:val="18"/>
              </w:rPr>
            </w:pPr>
            <w:r w:rsidRPr="00E20D21">
              <w:rPr>
                <w:rFonts w:ascii="CAIXA Std Book" w:hAnsi="CAIXA Std Book" w:cs="Arial"/>
                <w:color w:val="005CA9"/>
                <w:sz w:val="18"/>
                <w:szCs w:val="18"/>
              </w:rPr>
              <w:t>1.481</w:t>
            </w:r>
          </w:p>
        </w:tc>
      </w:tr>
      <w:tr w:rsidR="0040708A" w:rsidRPr="00E20D21" w14:paraId="048C9497" w14:textId="77777777" w:rsidTr="005109C8">
        <w:trPr>
          <w:trHeight w:val="283"/>
        </w:trPr>
        <w:tc>
          <w:tcPr>
            <w:tcW w:w="3060" w:type="pct"/>
            <w:tcBorders>
              <w:top w:val="nil"/>
              <w:left w:val="nil"/>
              <w:bottom w:val="single" w:sz="4" w:space="0" w:color="F39200"/>
              <w:right w:val="nil"/>
            </w:tcBorders>
            <w:shd w:val="clear" w:color="auto" w:fill="auto"/>
            <w:noWrap/>
            <w:vAlign w:val="center"/>
            <w:hideMark/>
          </w:tcPr>
          <w:p w14:paraId="2E92C1CA" w14:textId="791D07B3" w:rsidR="0040708A" w:rsidRPr="00E20D21" w:rsidRDefault="0040708A" w:rsidP="0040708A">
            <w:pPr>
              <w:rPr>
                <w:rFonts w:ascii="CAIXA Std Book" w:hAnsi="CAIXA Std Book"/>
                <w:b/>
                <w:color w:val="005CA9"/>
                <w:sz w:val="18"/>
                <w:szCs w:val="18"/>
              </w:rPr>
            </w:pPr>
            <w:r w:rsidRPr="00E20D21">
              <w:rPr>
                <w:rFonts w:ascii="CAIXA Std Book" w:hAnsi="CAIXA Std Book" w:cs="Arial"/>
                <w:b/>
                <w:color w:val="005CA9"/>
                <w:sz w:val="18"/>
                <w:szCs w:val="18"/>
              </w:rPr>
              <w:t>Operações com loterias</w:t>
            </w:r>
          </w:p>
        </w:tc>
        <w:tc>
          <w:tcPr>
            <w:tcW w:w="970" w:type="pct"/>
            <w:tcBorders>
              <w:top w:val="nil"/>
              <w:left w:val="nil"/>
              <w:bottom w:val="single" w:sz="4" w:space="0" w:color="F39200"/>
              <w:right w:val="nil"/>
            </w:tcBorders>
            <w:shd w:val="clear" w:color="auto" w:fill="auto"/>
            <w:vAlign w:val="center"/>
          </w:tcPr>
          <w:p w14:paraId="4F2127B1" w14:textId="30F7F8ED" w:rsidR="0040708A" w:rsidRPr="00E20D21" w:rsidRDefault="0040708A" w:rsidP="0040708A">
            <w:pPr>
              <w:ind w:firstLineChars="100" w:firstLine="180"/>
              <w:jc w:val="right"/>
              <w:rPr>
                <w:rFonts w:ascii="CAIXA Std Book" w:hAnsi="CAIXA Std Book" w:cs="Arial Unicode MS"/>
                <w:b/>
                <w:color w:val="005CA9"/>
                <w:sz w:val="18"/>
                <w:szCs w:val="18"/>
              </w:rPr>
            </w:pPr>
            <w:r w:rsidRPr="00E20D21">
              <w:rPr>
                <w:rFonts w:ascii="CAIXA Std Book" w:hAnsi="CAIXA Std Book" w:cs="Arial"/>
                <w:b/>
                <w:bCs/>
                <w:color w:val="2F75B5"/>
                <w:sz w:val="18"/>
                <w:szCs w:val="18"/>
              </w:rPr>
              <w:t>1.814.103</w:t>
            </w:r>
          </w:p>
        </w:tc>
        <w:tc>
          <w:tcPr>
            <w:tcW w:w="970" w:type="pct"/>
            <w:tcBorders>
              <w:top w:val="nil"/>
              <w:left w:val="nil"/>
              <w:bottom w:val="single" w:sz="4" w:space="0" w:color="F39200"/>
              <w:right w:val="nil"/>
            </w:tcBorders>
            <w:shd w:val="clear" w:color="auto" w:fill="auto"/>
            <w:noWrap/>
            <w:vAlign w:val="center"/>
          </w:tcPr>
          <w:p w14:paraId="45FC8BD0" w14:textId="0E30016E" w:rsidR="0040708A" w:rsidRPr="00E20D21" w:rsidRDefault="0040708A" w:rsidP="0040708A">
            <w:pPr>
              <w:ind w:firstLineChars="100" w:firstLine="180"/>
              <w:jc w:val="right"/>
              <w:rPr>
                <w:rFonts w:ascii="CAIXA Std Book" w:hAnsi="CAIXA Std Book"/>
                <w:b/>
                <w:color w:val="005CA9"/>
                <w:sz w:val="18"/>
                <w:szCs w:val="18"/>
              </w:rPr>
            </w:pPr>
            <w:r w:rsidRPr="00E20D21">
              <w:rPr>
                <w:rFonts w:ascii="CAIXA Std Book" w:hAnsi="CAIXA Std Book" w:cs="Arial"/>
                <w:b/>
                <w:bCs/>
                <w:color w:val="005CA9"/>
                <w:sz w:val="18"/>
                <w:szCs w:val="18"/>
              </w:rPr>
              <w:t>3.388.242</w:t>
            </w:r>
          </w:p>
        </w:tc>
      </w:tr>
      <w:tr w:rsidR="0040708A" w:rsidRPr="00E20D21" w14:paraId="60678F7D" w14:textId="77777777" w:rsidTr="005109C8">
        <w:trPr>
          <w:trHeight w:val="283"/>
        </w:trPr>
        <w:tc>
          <w:tcPr>
            <w:tcW w:w="3060" w:type="pct"/>
            <w:tcBorders>
              <w:top w:val="nil"/>
              <w:left w:val="nil"/>
              <w:bottom w:val="single" w:sz="4" w:space="0" w:color="F39200"/>
              <w:right w:val="nil"/>
            </w:tcBorders>
            <w:shd w:val="clear" w:color="auto" w:fill="auto"/>
            <w:noWrap/>
            <w:vAlign w:val="center"/>
            <w:hideMark/>
          </w:tcPr>
          <w:p w14:paraId="202D1928" w14:textId="77777777" w:rsidR="0040708A" w:rsidRPr="00E20D21" w:rsidRDefault="0040708A" w:rsidP="0040708A">
            <w:pPr>
              <w:rPr>
                <w:rFonts w:ascii="CAIXA Std Book" w:hAnsi="CAIXA Std Book"/>
                <w:b/>
                <w:color w:val="005CA9"/>
                <w:sz w:val="18"/>
                <w:szCs w:val="18"/>
              </w:rPr>
            </w:pPr>
            <w:r w:rsidRPr="00E20D21">
              <w:rPr>
                <w:rFonts w:ascii="CAIXA Std Book" w:hAnsi="CAIXA Std Book"/>
                <w:b/>
                <w:color w:val="005CA9"/>
                <w:sz w:val="18"/>
                <w:szCs w:val="18"/>
              </w:rPr>
              <w:t xml:space="preserve">Total </w:t>
            </w:r>
          </w:p>
        </w:tc>
        <w:tc>
          <w:tcPr>
            <w:tcW w:w="970" w:type="pct"/>
            <w:tcBorders>
              <w:top w:val="nil"/>
              <w:left w:val="nil"/>
              <w:bottom w:val="single" w:sz="4" w:space="0" w:color="F39200"/>
              <w:right w:val="nil"/>
            </w:tcBorders>
            <w:shd w:val="clear" w:color="auto" w:fill="auto"/>
            <w:vAlign w:val="center"/>
          </w:tcPr>
          <w:p w14:paraId="7D2AE520" w14:textId="34155B43" w:rsidR="0040708A" w:rsidRPr="00E20D21" w:rsidRDefault="0040708A" w:rsidP="0040708A">
            <w:pPr>
              <w:ind w:firstLineChars="100" w:firstLine="180"/>
              <w:jc w:val="right"/>
              <w:rPr>
                <w:rFonts w:ascii="CAIXA Std Book" w:hAnsi="CAIXA Std Book" w:cs="Arial"/>
                <w:b/>
                <w:bCs/>
                <w:color w:val="005CA9"/>
                <w:sz w:val="18"/>
                <w:szCs w:val="18"/>
              </w:rPr>
            </w:pPr>
            <w:r w:rsidRPr="00E20D21">
              <w:rPr>
                <w:rFonts w:ascii="CAIXA Std Book" w:hAnsi="CAIXA Std Book" w:cs="Arial"/>
                <w:b/>
                <w:bCs/>
                <w:color w:val="2F75B5"/>
                <w:sz w:val="18"/>
                <w:szCs w:val="18"/>
              </w:rPr>
              <w:t>18.600.628</w:t>
            </w:r>
          </w:p>
        </w:tc>
        <w:tc>
          <w:tcPr>
            <w:tcW w:w="970" w:type="pct"/>
            <w:tcBorders>
              <w:top w:val="nil"/>
              <w:left w:val="nil"/>
              <w:bottom w:val="single" w:sz="4" w:space="0" w:color="F39200"/>
              <w:right w:val="nil"/>
            </w:tcBorders>
            <w:shd w:val="clear" w:color="auto" w:fill="auto"/>
            <w:noWrap/>
            <w:vAlign w:val="center"/>
          </w:tcPr>
          <w:p w14:paraId="71A4F568" w14:textId="1E10EB80" w:rsidR="0040708A" w:rsidRPr="00E20D21" w:rsidRDefault="0040708A" w:rsidP="0040708A">
            <w:pPr>
              <w:ind w:firstLineChars="100" w:firstLine="180"/>
              <w:jc w:val="right"/>
              <w:rPr>
                <w:rFonts w:ascii="CAIXA Std Book" w:hAnsi="CAIXA Std Book"/>
                <w:b/>
                <w:color w:val="005CA9"/>
                <w:sz w:val="18"/>
                <w:szCs w:val="18"/>
              </w:rPr>
            </w:pPr>
            <w:r w:rsidRPr="00E20D21">
              <w:rPr>
                <w:rFonts w:ascii="CAIXA Std Book" w:hAnsi="CAIXA Std Book" w:cs="Arial"/>
                <w:b/>
                <w:bCs/>
                <w:color w:val="005CA9"/>
                <w:sz w:val="18"/>
                <w:szCs w:val="18"/>
              </w:rPr>
              <w:t>19.953.147</w:t>
            </w:r>
          </w:p>
        </w:tc>
      </w:tr>
    </w:tbl>
    <w:p w14:paraId="2421F3FD" w14:textId="6A75EC02" w:rsidR="00E46B65" w:rsidRPr="00E20D21" w:rsidRDefault="005112A1" w:rsidP="00B75364">
      <w:pPr>
        <w:ind w:right="139"/>
        <w:jc w:val="both"/>
        <w:rPr>
          <w:rFonts w:ascii="CAIXA Std Book" w:hAnsi="CAIXA Std Book"/>
          <w:color w:val="005CA9"/>
          <w:sz w:val="16"/>
          <w:szCs w:val="16"/>
        </w:rPr>
      </w:pPr>
      <w:bookmarkStart w:id="60" w:name="_Hlk71209247"/>
      <w:bookmarkStart w:id="61" w:name="_Hlk65762307"/>
      <w:r w:rsidRPr="00E20D21">
        <w:rPr>
          <w:rFonts w:ascii="CAIXA Std Book" w:hAnsi="CAIXA Std Book"/>
          <w:color w:val="005CA9"/>
          <w:sz w:val="16"/>
          <w:szCs w:val="16"/>
        </w:rPr>
        <w:t xml:space="preserve">(1) </w:t>
      </w:r>
      <w:r w:rsidR="006C0206" w:rsidRPr="00E20D21">
        <w:rPr>
          <w:rFonts w:ascii="CAIXA Std Book" w:hAnsi="CAIXA Std Book"/>
          <w:color w:val="005CA9"/>
          <w:sz w:val="16"/>
          <w:szCs w:val="16"/>
        </w:rPr>
        <w:t xml:space="preserve">Inclui em </w:t>
      </w:r>
      <w:r w:rsidR="00082A3C" w:rsidRPr="00E20D21">
        <w:rPr>
          <w:rFonts w:ascii="CAIXA Std Book" w:hAnsi="CAIXA Std Book"/>
          <w:color w:val="005CA9"/>
          <w:sz w:val="16"/>
          <w:szCs w:val="16"/>
        </w:rPr>
        <w:t>30/06/2024</w:t>
      </w:r>
      <w:r w:rsidR="00B427A9" w:rsidRPr="00E20D21">
        <w:rPr>
          <w:rFonts w:ascii="CAIXA Std Book" w:hAnsi="CAIXA Std Book"/>
          <w:color w:val="005CA9"/>
          <w:sz w:val="16"/>
          <w:szCs w:val="16"/>
        </w:rPr>
        <w:t xml:space="preserve"> o montante de R$ 663.456 (31/12/2023– R$ 852.963)</w:t>
      </w:r>
      <w:r w:rsidR="006C0206" w:rsidRPr="00E20D21">
        <w:rPr>
          <w:rFonts w:ascii="CAIXA Std Book" w:hAnsi="CAIXA Std Book"/>
          <w:color w:val="005CA9"/>
          <w:sz w:val="16"/>
          <w:szCs w:val="16"/>
        </w:rPr>
        <w:t xml:space="preserve">, referente aos recursos destinados ao pagamento do </w:t>
      </w:r>
      <w:r w:rsidR="000754B4" w:rsidRPr="00E20D21">
        <w:rPr>
          <w:rFonts w:ascii="CAIXA Std Book" w:hAnsi="CAIXA Std Book"/>
          <w:color w:val="005CA9"/>
          <w:sz w:val="16"/>
          <w:szCs w:val="16"/>
        </w:rPr>
        <w:t>Novo</w:t>
      </w:r>
      <w:r w:rsidR="006C0206" w:rsidRPr="00E20D21">
        <w:rPr>
          <w:rFonts w:ascii="CAIXA Std Book" w:hAnsi="CAIXA Std Book"/>
          <w:color w:val="005CA9"/>
          <w:sz w:val="16"/>
          <w:szCs w:val="16"/>
        </w:rPr>
        <w:t xml:space="preserve"> </w:t>
      </w:r>
      <w:r w:rsidR="005339B0" w:rsidRPr="00E20D21">
        <w:rPr>
          <w:rFonts w:ascii="CAIXA Std Book" w:hAnsi="CAIXA Std Book"/>
          <w:color w:val="005CA9"/>
          <w:sz w:val="16"/>
          <w:szCs w:val="16"/>
        </w:rPr>
        <w:t>Bolsa Família</w:t>
      </w:r>
      <w:bookmarkEnd w:id="60"/>
      <w:r w:rsidR="00B427A9" w:rsidRPr="00E20D21">
        <w:rPr>
          <w:rFonts w:ascii="CAIXA Std Book" w:hAnsi="CAIXA Std Book"/>
          <w:color w:val="005CA9"/>
          <w:sz w:val="16"/>
          <w:szCs w:val="16"/>
        </w:rPr>
        <w:t>.</w:t>
      </w:r>
    </w:p>
    <w:p w14:paraId="1CBB0AFC" w14:textId="77777777" w:rsidR="006901B1" w:rsidRPr="00E20D21" w:rsidRDefault="006901B1">
      <w:pPr>
        <w:rPr>
          <w:rFonts w:ascii="CAIXA Std Book" w:hAnsi="CAIXA Std Book"/>
          <w:b/>
          <w:color w:val="005CA9"/>
          <w:sz w:val="20"/>
          <w:szCs w:val="20"/>
        </w:rPr>
      </w:pPr>
      <w:r w:rsidRPr="00E20D21">
        <w:rPr>
          <w:rFonts w:ascii="CAIXA Std Book" w:hAnsi="CAIXA Std Book"/>
          <w:b/>
          <w:color w:val="005CA9"/>
          <w:sz w:val="20"/>
          <w:szCs w:val="20"/>
        </w:rPr>
        <w:br w:type="page"/>
      </w:r>
    </w:p>
    <w:p w14:paraId="06B1E1F8" w14:textId="6ADA5888" w:rsidR="00E46B65" w:rsidRPr="00E20D21" w:rsidRDefault="00850D92" w:rsidP="00051BF7">
      <w:p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(c)</w:t>
      </w:r>
      <w:r w:rsidRPr="00E20D21">
        <w:rPr>
          <w:rFonts w:ascii="CAIXA Std Book" w:hAnsi="CAIXA Std Book"/>
          <w:b/>
          <w:color w:val="005CA9"/>
          <w:sz w:val="20"/>
          <w:szCs w:val="20"/>
        </w:rPr>
        <w:tab/>
      </w:r>
      <w:r w:rsidR="00E46B65" w:rsidRPr="00E20D21">
        <w:rPr>
          <w:rFonts w:ascii="CAIXA Std Book" w:hAnsi="CAIXA Std Book"/>
          <w:b/>
          <w:color w:val="005CA9"/>
          <w:sz w:val="20"/>
          <w:szCs w:val="20"/>
        </w:rPr>
        <w:t>Receitas antecipadas</w:t>
      </w:r>
    </w:p>
    <w:p w14:paraId="2E941546" w14:textId="3D3D4E0C" w:rsidR="00E46B65" w:rsidRPr="00E20D21" w:rsidRDefault="00E46B65"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As receitas antecipadas correspondem </w:t>
      </w:r>
      <w:r w:rsidR="00E547BD" w:rsidRPr="00E20D21">
        <w:rPr>
          <w:rFonts w:ascii="CAIXA Std Book" w:hAnsi="CAIXA Std Book"/>
          <w:color w:val="005CA9"/>
          <w:sz w:val="20"/>
          <w:szCs w:val="20"/>
        </w:rPr>
        <w:t>ao saldo a diferir</w:t>
      </w:r>
      <w:r w:rsidRPr="00E20D21">
        <w:rPr>
          <w:rFonts w:ascii="CAIXA Std Book" w:hAnsi="CAIXA Std Book"/>
          <w:color w:val="005CA9"/>
          <w:sz w:val="20"/>
          <w:szCs w:val="20"/>
        </w:rPr>
        <w:t xml:space="preserve"> </w:t>
      </w:r>
      <w:r w:rsidR="00E547BD" w:rsidRPr="00E20D21">
        <w:rPr>
          <w:rFonts w:ascii="CAIXA Std Book" w:hAnsi="CAIXA Std Book"/>
          <w:color w:val="005CA9"/>
          <w:sz w:val="20"/>
          <w:szCs w:val="20"/>
        </w:rPr>
        <w:t>d</w:t>
      </w:r>
      <w:r w:rsidRPr="00E20D21">
        <w:rPr>
          <w:rFonts w:ascii="CAIXA Std Book" w:hAnsi="CAIXA Std Book"/>
          <w:color w:val="005CA9"/>
          <w:sz w:val="20"/>
          <w:szCs w:val="20"/>
        </w:rPr>
        <w:t>a</w:t>
      </w:r>
      <w:r w:rsidR="00E547BD" w:rsidRPr="00E20D21">
        <w:rPr>
          <w:rFonts w:ascii="CAIXA Std Book" w:hAnsi="CAIXA Std Book"/>
          <w:color w:val="005CA9"/>
          <w:sz w:val="20"/>
          <w:szCs w:val="20"/>
        </w:rPr>
        <w:t>s</w:t>
      </w:r>
      <w:r w:rsidRPr="00E20D21">
        <w:rPr>
          <w:rFonts w:ascii="CAIXA Std Book" w:hAnsi="CAIXA Std Book"/>
          <w:color w:val="005CA9"/>
          <w:sz w:val="20"/>
          <w:szCs w:val="20"/>
        </w:rPr>
        <w:t xml:space="preserve"> transações entre a CAIXA, empresas parceiras, e suas </w:t>
      </w:r>
      <w:r w:rsidR="004F2441" w:rsidRPr="00E20D21">
        <w:rPr>
          <w:rFonts w:ascii="CAIXA Std Book" w:hAnsi="CAIXA Std Book"/>
          <w:color w:val="005CA9"/>
          <w:sz w:val="20"/>
          <w:szCs w:val="20"/>
        </w:rPr>
        <w:t>controladas</w:t>
      </w:r>
      <w:r w:rsidRPr="00E20D21">
        <w:rPr>
          <w:rFonts w:ascii="CAIXA Std Book" w:hAnsi="CAIXA Std Book"/>
          <w:color w:val="005CA9"/>
          <w:sz w:val="20"/>
          <w:szCs w:val="20"/>
        </w:rPr>
        <w:t xml:space="preserve"> pelo direito de exploração do balcão, base de cliente e uso da marca.</w:t>
      </w:r>
      <w:r w:rsidR="00BD0881"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Em </w:t>
      </w:r>
      <w:r w:rsidR="00E926B2" w:rsidRPr="00E20D21">
        <w:rPr>
          <w:rFonts w:ascii="CAIXA Std Book" w:hAnsi="CAIXA Std Book"/>
          <w:color w:val="005CA9"/>
          <w:sz w:val="20"/>
          <w:szCs w:val="20"/>
        </w:rPr>
        <w:t>3</w:t>
      </w:r>
      <w:r w:rsidR="00F92AFB" w:rsidRPr="00E20D21">
        <w:rPr>
          <w:rFonts w:ascii="CAIXA Std Book" w:hAnsi="CAIXA Std Book"/>
          <w:color w:val="005CA9"/>
          <w:sz w:val="20"/>
          <w:szCs w:val="20"/>
        </w:rPr>
        <w:t>0/06</w:t>
      </w:r>
      <w:r w:rsidR="00AB3836" w:rsidRPr="00E20D21">
        <w:rPr>
          <w:rFonts w:ascii="CAIXA Std Book" w:hAnsi="CAIXA Std Book"/>
          <w:color w:val="005CA9"/>
          <w:sz w:val="20"/>
          <w:szCs w:val="20"/>
        </w:rPr>
        <w:t>/</w:t>
      </w:r>
      <w:r w:rsidR="00F92AFB" w:rsidRPr="00E20D21">
        <w:rPr>
          <w:rFonts w:ascii="CAIXA Std Book" w:hAnsi="CAIXA Std Book"/>
          <w:color w:val="005CA9"/>
          <w:sz w:val="20"/>
          <w:szCs w:val="20"/>
        </w:rPr>
        <w:t>2024</w:t>
      </w:r>
      <w:r w:rsidRPr="00E20D21">
        <w:rPr>
          <w:rFonts w:ascii="CAIXA Std Book" w:hAnsi="CAIXA Std Book"/>
          <w:color w:val="005CA9"/>
          <w:sz w:val="20"/>
          <w:szCs w:val="20"/>
        </w:rPr>
        <w:t xml:space="preserve"> as receitas antecipadas se referem às seguintes parcerias:</w:t>
      </w:r>
    </w:p>
    <w:p w14:paraId="0200F7F9" w14:textId="7BCAEDE9" w:rsidR="009C11F1" w:rsidRPr="00E20D21" w:rsidRDefault="009C11F1" w:rsidP="00B75364">
      <w:pPr>
        <w:pStyle w:val="PargrafodaLista"/>
        <w:numPr>
          <w:ilvl w:val="0"/>
          <w:numId w:val="26"/>
        </w:numPr>
        <w:tabs>
          <w:tab w:val="left" w:pos="1650"/>
        </w:tabs>
        <w:spacing w:before="120" w:after="120"/>
        <w:ind w:left="425" w:right="139" w:hanging="425"/>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VISA, no montante de </w:t>
      </w:r>
      <w:r w:rsidR="00C600B3" w:rsidRPr="00E20D21">
        <w:rPr>
          <w:rFonts w:ascii="CAIXA Std Book" w:hAnsi="CAIXA Std Book"/>
          <w:color w:val="005CA9"/>
          <w:sz w:val="20"/>
          <w:szCs w:val="20"/>
        </w:rPr>
        <w:t xml:space="preserve">R$ 575.000 </w:t>
      </w:r>
      <w:r w:rsidR="00D83304" w:rsidRPr="00E20D21">
        <w:rPr>
          <w:rFonts w:ascii="CAIXA Std Book" w:hAnsi="CAIXA Std Book"/>
          <w:color w:val="005CA9"/>
          <w:sz w:val="20"/>
          <w:szCs w:val="20"/>
        </w:rPr>
        <w:t>(</w:t>
      </w:r>
      <w:r w:rsidR="00FC2860" w:rsidRPr="00E20D21">
        <w:rPr>
          <w:rFonts w:ascii="CAIXA Std Book" w:hAnsi="CAIXA Std Book"/>
          <w:color w:val="005CA9"/>
          <w:sz w:val="20"/>
          <w:szCs w:val="20"/>
        </w:rPr>
        <w:t>31/12/202</w:t>
      </w:r>
      <w:r w:rsidR="00F92AFB" w:rsidRPr="00E20D21">
        <w:rPr>
          <w:rFonts w:ascii="CAIXA Std Book" w:hAnsi="CAIXA Std Book"/>
          <w:color w:val="005CA9"/>
          <w:sz w:val="20"/>
          <w:szCs w:val="20"/>
        </w:rPr>
        <w:t>3</w:t>
      </w:r>
      <w:r w:rsidR="008C5C4D" w:rsidRPr="00E20D21">
        <w:rPr>
          <w:rFonts w:ascii="CAIXA Std Book" w:hAnsi="CAIXA Std Book"/>
          <w:color w:val="005CA9"/>
          <w:sz w:val="20"/>
          <w:szCs w:val="20"/>
        </w:rPr>
        <w:t xml:space="preserve"> </w:t>
      </w:r>
      <w:r w:rsidR="00DD4E63" w:rsidRPr="00E20D21">
        <w:rPr>
          <w:rFonts w:ascii="CAIXA Std Book" w:hAnsi="CAIXA Std Book"/>
          <w:color w:val="005CA9"/>
          <w:sz w:val="20"/>
          <w:szCs w:val="20"/>
        </w:rPr>
        <w:t>-</w:t>
      </w:r>
      <w:r w:rsidR="008C5C4D" w:rsidRPr="00E20D21">
        <w:rPr>
          <w:rFonts w:ascii="CAIXA Std Book" w:hAnsi="CAIXA Std Book"/>
          <w:color w:val="005CA9"/>
          <w:sz w:val="20"/>
          <w:szCs w:val="20"/>
        </w:rPr>
        <w:t xml:space="preserve"> R$ </w:t>
      </w:r>
      <w:r w:rsidR="0072514D" w:rsidRPr="00E20D21">
        <w:rPr>
          <w:rFonts w:ascii="CAIXA Std Book" w:hAnsi="CAIXA Std Book"/>
          <w:color w:val="005CA9"/>
          <w:sz w:val="20"/>
          <w:szCs w:val="20"/>
        </w:rPr>
        <w:t>625.000)</w:t>
      </w:r>
      <w:r w:rsidRPr="00E20D21">
        <w:rPr>
          <w:rFonts w:ascii="CAIXA Std Book" w:hAnsi="CAIXA Std Book"/>
          <w:color w:val="005CA9"/>
          <w:sz w:val="20"/>
          <w:szCs w:val="20"/>
        </w:rPr>
        <w:t xml:space="preserve"> referente ao recebimento de bônus inicial em virtude do acordo assinado, pelo prazo de dez anos, entre a CAIXA e a VISA.</w:t>
      </w:r>
    </w:p>
    <w:p w14:paraId="7A35C141" w14:textId="1F8454EF" w:rsidR="009C11F1" w:rsidRPr="00E20D21" w:rsidRDefault="009C11F1" w:rsidP="022FA267">
      <w:pPr>
        <w:pStyle w:val="PargrafodaLista"/>
        <w:numPr>
          <w:ilvl w:val="0"/>
          <w:numId w:val="26"/>
        </w:numPr>
        <w:tabs>
          <w:tab w:val="left" w:pos="1650"/>
        </w:tabs>
        <w:spacing w:before="120" w:after="120"/>
        <w:ind w:left="425" w:right="139" w:hanging="425"/>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CNP (Holding XS1) no montante de R$ </w:t>
      </w:r>
      <w:r w:rsidR="000C3BFE" w:rsidRPr="00E20D21">
        <w:rPr>
          <w:rFonts w:ascii="CAIXA Std Book" w:hAnsi="CAIXA Std Book"/>
          <w:color w:val="005CA9"/>
          <w:sz w:val="20"/>
          <w:szCs w:val="20"/>
        </w:rPr>
        <w:t>6.020.000</w:t>
      </w:r>
      <w:r w:rsidRPr="00E20D21">
        <w:rPr>
          <w:rFonts w:ascii="CAIXA Std Book" w:hAnsi="CAIXA Std Book"/>
          <w:color w:val="005CA9"/>
          <w:sz w:val="20"/>
          <w:szCs w:val="20"/>
        </w:rPr>
        <w:t xml:space="preserve"> </w:t>
      </w:r>
      <w:r w:rsidR="00167B70" w:rsidRPr="00E20D21">
        <w:rPr>
          <w:rFonts w:ascii="CAIXA Std Book" w:hAnsi="CAIXA Std Book"/>
          <w:color w:val="005CA9"/>
          <w:sz w:val="20"/>
          <w:szCs w:val="20"/>
        </w:rPr>
        <w:t>(</w:t>
      </w:r>
      <w:r w:rsidR="008C5C4D" w:rsidRPr="00E20D21">
        <w:rPr>
          <w:rFonts w:ascii="CAIXA Std Book" w:hAnsi="CAIXA Std Book"/>
          <w:color w:val="005CA9"/>
          <w:sz w:val="20"/>
          <w:szCs w:val="20"/>
        </w:rPr>
        <w:t>31/12/202</w:t>
      </w:r>
      <w:r w:rsidR="00F92AFB" w:rsidRPr="00E20D21">
        <w:rPr>
          <w:rFonts w:ascii="CAIXA Std Book" w:hAnsi="CAIXA Std Book"/>
          <w:color w:val="005CA9"/>
          <w:sz w:val="20"/>
          <w:szCs w:val="20"/>
        </w:rPr>
        <w:t>3</w:t>
      </w:r>
      <w:r w:rsidR="00DD4E63" w:rsidRPr="00E20D21">
        <w:rPr>
          <w:rFonts w:ascii="CAIXA Std Book" w:hAnsi="CAIXA Std Book"/>
          <w:color w:val="005CA9"/>
          <w:sz w:val="20"/>
          <w:szCs w:val="20"/>
        </w:rPr>
        <w:t xml:space="preserve"> - </w:t>
      </w:r>
      <w:r w:rsidR="006C02C6" w:rsidRPr="00E20D21">
        <w:rPr>
          <w:rFonts w:ascii="CAIXA Std Book" w:hAnsi="CAIXA Std Book"/>
          <w:color w:val="005CA9"/>
          <w:sz w:val="20"/>
          <w:szCs w:val="20"/>
        </w:rPr>
        <w:t xml:space="preserve">R$ </w:t>
      </w:r>
      <w:r w:rsidR="00135748" w:rsidRPr="00E20D21">
        <w:rPr>
          <w:rFonts w:ascii="CAIXA Std Book" w:hAnsi="CAIXA Std Book"/>
          <w:color w:val="005CA9"/>
          <w:sz w:val="20"/>
          <w:szCs w:val="20"/>
        </w:rPr>
        <w:t>6.160.000</w:t>
      </w:r>
      <w:r w:rsidR="006C02C6" w:rsidRPr="00E20D21">
        <w:rPr>
          <w:rFonts w:ascii="CAIXA Std Book" w:hAnsi="CAIXA Std Book"/>
          <w:color w:val="005CA9"/>
          <w:sz w:val="20"/>
          <w:szCs w:val="20"/>
        </w:rPr>
        <w:t xml:space="preserve">) </w:t>
      </w:r>
      <w:r w:rsidRPr="00E20D21">
        <w:rPr>
          <w:rFonts w:ascii="CAIXA Std Book" w:hAnsi="CAIXA Std Book"/>
          <w:color w:val="005CA9"/>
          <w:sz w:val="20"/>
          <w:szCs w:val="20"/>
        </w:rPr>
        <w:t>em cumprimento ao contrato de distribuição. O saldo é apropriado mensalmente pela vigência do contrato, até 2045.</w:t>
      </w:r>
    </w:p>
    <w:p w14:paraId="7B43C47C" w14:textId="7DBAE484" w:rsidR="009C11F1" w:rsidRPr="00E20D21" w:rsidRDefault="009C11F1" w:rsidP="00B75364">
      <w:pPr>
        <w:pStyle w:val="PargrafodaLista"/>
        <w:numPr>
          <w:ilvl w:val="0"/>
          <w:numId w:val="26"/>
        </w:numPr>
        <w:tabs>
          <w:tab w:val="left" w:pos="1650"/>
        </w:tabs>
        <w:spacing w:before="120" w:after="120"/>
        <w:ind w:left="425" w:right="139" w:hanging="425"/>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Tokio Marine (XS3) no montante de R$ </w:t>
      </w:r>
      <w:r w:rsidR="00E57431" w:rsidRPr="00E20D21">
        <w:rPr>
          <w:rFonts w:ascii="CAIXA Std Book" w:hAnsi="CAIXA Std Book"/>
          <w:color w:val="005CA9"/>
          <w:sz w:val="20"/>
          <w:szCs w:val="20"/>
        </w:rPr>
        <w:t>1.254</w:t>
      </w:r>
      <w:r w:rsidR="000B7911" w:rsidRPr="00E20D21">
        <w:rPr>
          <w:rFonts w:ascii="CAIXA Std Book" w:hAnsi="CAIXA Std Book"/>
          <w:color w:val="005CA9"/>
          <w:sz w:val="20"/>
          <w:szCs w:val="20"/>
        </w:rPr>
        <w:t>.000</w:t>
      </w:r>
      <w:r w:rsidR="0084323C" w:rsidRPr="00E20D21">
        <w:rPr>
          <w:rFonts w:ascii="CAIXA Std Book" w:hAnsi="CAIXA Std Book"/>
          <w:color w:val="005CA9"/>
          <w:sz w:val="20"/>
          <w:szCs w:val="20"/>
        </w:rPr>
        <w:t xml:space="preserve"> (31/12/202</w:t>
      </w:r>
      <w:r w:rsidR="00F92AFB" w:rsidRPr="00E20D21">
        <w:rPr>
          <w:rFonts w:ascii="CAIXA Std Book" w:hAnsi="CAIXA Std Book"/>
          <w:color w:val="005CA9"/>
          <w:sz w:val="20"/>
          <w:szCs w:val="20"/>
        </w:rPr>
        <w:t>3</w:t>
      </w:r>
      <w:r w:rsidR="0084323C" w:rsidRPr="00E20D21">
        <w:rPr>
          <w:rFonts w:ascii="CAIXA Std Book" w:hAnsi="CAIXA Std Book"/>
          <w:color w:val="005CA9"/>
          <w:sz w:val="20"/>
          <w:szCs w:val="20"/>
        </w:rPr>
        <w:t xml:space="preserve"> - R$ </w:t>
      </w:r>
      <w:r w:rsidR="00871A9C" w:rsidRPr="00E20D21">
        <w:rPr>
          <w:rFonts w:ascii="CAIXA Std Book" w:hAnsi="CAIXA Std Book"/>
          <w:color w:val="005CA9"/>
          <w:sz w:val="20"/>
          <w:szCs w:val="20"/>
        </w:rPr>
        <w:t>1.292.000</w:t>
      </w:r>
      <w:r w:rsidR="0084323C" w:rsidRPr="00E20D21">
        <w:rPr>
          <w:rFonts w:ascii="CAIXA Std Book" w:hAnsi="CAIXA Std Book"/>
          <w:color w:val="005CA9"/>
          <w:sz w:val="20"/>
          <w:szCs w:val="20"/>
        </w:rPr>
        <w:t>)</w:t>
      </w:r>
      <w:r w:rsidRPr="00E20D21">
        <w:rPr>
          <w:rFonts w:ascii="CAIXA Std Book" w:hAnsi="CAIXA Std Book"/>
          <w:color w:val="005CA9"/>
          <w:sz w:val="20"/>
          <w:szCs w:val="20"/>
        </w:rPr>
        <w:t xml:space="preserve">, CNP (XS5) no montante de R$ </w:t>
      </w:r>
      <w:r w:rsidR="00497244" w:rsidRPr="00E20D21">
        <w:rPr>
          <w:rFonts w:ascii="CAIXA Std Book" w:hAnsi="CAIXA Std Book"/>
          <w:color w:val="005CA9"/>
          <w:sz w:val="20"/>
          <w:szCs w:val="20"/>
        </w:rPr>
        <w:t>209.375</w:t>
      </w:r>
      <w:r w:rsidR="003B2CDF" w:rsidRPr="00E20D21">
        <w:rPr>
          <w:rFonts w:ascii="CAIXA Std Book" w:hAnsi="CAIXA Std Book"/>
          <w:color w:val="005CA9"/>
          <w:sz w:val="20"/>
          <w:szCs w:val="20"/>
        </w:rPr>
        <w:t xml:space="preserve"> (31/12/202</w:t>
      </w:r>
      <w:r w:rsidR="00852468" w:rsidRPr="00E20D21">
        <w:rPr>
          <w:rFonts w:ascii="CAIXA Std Book" w:hAnsi="CAIXA Std Book"/>
          <w:color w:val="005CA9"/>
          <w:sz w:val="20"/>
          <w:szCs w:val="20"/>
        </w:rPr>
        <w:t>3</w:t>
      </w:r>
      <w:r w:rsidR="003B2CDF" w:rsidRPr="00E20D21">
        <w:rPr>
          <w:rFonts w:ascii="CAIXA Std Book" w:hAnsi="CAIXA Std Book"/>
          <w:color w:val="005CA9"/>
          <w:sz w:val="20"/>
          <w:szCs w:val="20"/>
        </w:rPr>
        <w:t xml:space="preserve"> - R$ </w:t>
      </w:r>
      <w:r w:rsidR="00481631" w:rsidRPr="00E20D21">
        <w:rPr>
          <w:rFonts w:ascii="CAIXA Std Book" w:hAnsi="CAIXA Std Book"/>
          <w:color w:val="005CA9"/>
          <w:sz w:val="20"/>
          <w:szCs w:val="20"/>
        </w:rPr>
        <w:t>215.625</w:t>
      </w:r>
      <w:r w:rsidR="003B2CDF" w:rsidRPr="00E20D21">
        <w:rPr>
          <w:rFonts w:ascii="CAIXA Std Book" w:hAnsi="CAIXA Std Book"/>
          <w:color w:val="005CA9"/>
          <w:sz w:val="20"/>
          <w:szCs w:val="20"/>
        </w:rPr>
        <w:t>)</w:t>
      </w:r>
      <w:r w:rsidRPr="00E20D21">
        <w:rPr>
          <w:rFonts w:ascii="CAIXA Std Book" w:hAnsi="CAIXA Std Book"/>
          <w:color w:val="005CA9"/>
          <w:sz w:val="20"/>
          <w:szCs w:val="20"/>
        </w:rPr>
        <w:t xml:space="preserve">, Icatu (XS4) no montante de R$ </w:t>
      </w:r>
      <w:r w:rsidR="00EE20C8" w:rsidRPr="00E20D21">
        <w:rPr>
          <w:rFonts w:ascii="CAIXA Std Book" w:hAnsi="CAIXA Std Book"/>
          <w:color w:val="005CA9"/>
          <w:sz w:val="20"/>
          <w:szCs w:val="20"/>
        </w:rPr>
        <w:t>150.750</w:t>
      </w:r>
      <w:r w:rsidR="004144BB" w:rsidRPr="00E20D21">
        <w:rPr>
          <w:rFonts w:ascii="CAIXA Std Book" w:hAnsi="CAIXA Std Book"/>
          <w:color w:val="005CA9"/>
          <w:sz w:val="20"/>
          <w:szCs w:val="20"/>
        </w:rPr>
        <w:t xml:space="preserve"> (31/12/202</w:t>
      </w:r>
      <w:r w:rsidR="00852468" w:rsidRPr="00E20D21">
        <w:rPr>
          <w:rFonts w:ascii="CAIXA Std Book" w:hAnsi="CAIXA Std Book"/>
          <w:color w:val="005CA9"/>
          <w:sz w:val="20"/>
          <w:szCs w:val="20"/>
        </w:rPr>
        <w:t>3</w:t>
      </w:r>
      <w:r w:rsidR="004144BB" w:rsidRPr="00E20D21">
        <w:rPr>
          <w:rFonts w:ascii="CAIXA Std Book" w:hAnsi="CAIXA Std Book"/>
          <w:color w:val="005CA9"/>
          <w:sz w:val="20"/>
          <w:szCs w:val="20"/>
        </w:rPr>
        <w:t xml:space="preserve"> - R$ </w:t>
      </w:r>
      <w:r w:rsidR="00937DA2" w:rsidRPr="00E20D21">
        <w:rPr>
          <w:rFonts w:ascii="CAIXA Std Book" w:hAnsi="CAIXA Std Book"/>
          <w:color w:val="005CA9"/>
          <w:sz w:val="20"/>
          <w:szCs w:val="20"/>
        </w:rPr>
        <w:t>155.250</w:t>
      </w:r>
      <w:r w:rsidR="00BF4756" w:rsidRPr="00E20D21">
        <w:rPr>
          <w:rFonts w:ascii="CAIXA Std Book" w:hAnsi="CAIXA Std Book"/>
          <w:color w:val="005CA9"/>
          <w:sz w:val="20"/>
          <w:szCs w:val="20"/>
        </w:rPr>
        <w:t>)</w:t>
      </w:r>
      <w:r w:rsidRPr="00E20D21">
        <w:rPr>
          <w:rFonts w:ascii="CAIXA Std Book" w:hAnsi="CAIXA Std Book"/>
          <w:color w:val="005CA9"/>
          <w:sz w:val="20"/>
          <w:szCs w:val="20"/>
        </w:rPr>
        <w:t xml:space="preserve"> e Tempo (XS6) no montante de R$ </w:t>
      </w:r>
      <w:r w:rsidR="003A43DA" w:rsidRPr="00E20D21">
        <w:rPr>
          <w:rFonts w:ascii="CAIXA Std Book" w:hAnsi="CAIXA Std Book"/>
          <w:color w:val="005CA9"/>
          <w:sz w:val="20"/>
          <w:szCs w:val="20"/>
        </w:rPr>
        <w:t>24.750</w:t>
      </w:r>
      <w:r w:rsidR="004F22E7" w:rsidRPr="00E20D21">
        <w:rPr>
          <w:rFonts w:ascii="CAIXA Std Book" w:hAnsi="CAIXA Std Book"/>
          <w:color w:val="005CA9"/>
          <w:sz w:val="20"/>
          <w:szCs w:val="20"/>
        </w:rPr>
        <w:t xml:space="preserve"> (31/12/20</w:t>
      </w:r>
      <w:r w:rsidR="00FB631B" w:rsidRPr="00E20D21">
        <w:rPr>
          <w:rFonts w:ascii="CAIXA Std Book" w:hAnsi="CAIXA Std Book"/>
          <w:color w:val="005CA9"/>
          <w:sz w:val="20"/>
          <w:szCs w:val="20"/>
        </w:rPr>
        <w:t>2</w:t>
      </w:r>
      <w:r w:rsidR="00852468" w:rsidRPr="00E20D21">
        <w:rPr>
          <w:rFonts w:ascii="CAIXA Std Book" w:hAnsi="CAIXA Std Book"/>
          <w:color w:val="005CA9"/>
          <w:sz w:val="20"/>
          <w:szCs w:val="20"/>
        </w:rPr>
        <w:t>3</w:t>
      </w:r>
      <w:r w:rsidR="004F22E7" w:rsidRPr="00E20D21">
        <w:rPr>
          <w:rFonts w:ascii="CAIXA Std Book" w:hAnsi="CAIXA Std Book"/>
          <w:color w:val="005CA9"/>
          <w:sz w:val="20"/>
          <w:szCs w:val="20"/>
        </w:rPr>
        <w:t xml:space="preserve"> - R$ </w:t>
      </w:r>
      <w:r w:rsidR="00FB4E2C" w:rsidRPr="00E20D21">
        <w:rPr>
          <w:rFonts w:ascii="CAIXA Std Book" w:hAnsi="CAIXA Std Book"/>
          <w:color w:val="005CA9"/>
          <w:sz w:val="20"/>
          <w:szCs w:val="20"/>
        </w:rPr>
        <w:t>25.500</w:t>
      </w:r>
      <w:r w:rsidR="00852468" w:rsidRPr="00E20D21">
        <w:rPr>
          <w:rFonts w:ascii="CAIXA Std Book" w:hAnsi="CAIXA Std Book"/>
          <w:color w:val="005CA9"/>
          <w:sz w:val="20"/>
          <w:szCs w:val="20"/>
        </w:rPr>
        <w:t>)</w:t>
      </w:r>
      <w:r w:rsidRPr="00E20D21">
        <w:rPr>
          <w:rFonts w:ascii="CAIXA Std Book" w:hAnsi="CAIXA Std Book"/>
          <w:color w:val="005CA9"/>
          <w:sz w:val="20"/>
          <w:szCs w:val="20"/>
        </w:rPr>
        <w:t xml:space="preserve"> em cumprimento ao contrato de distribuição pelo prazo de 20 anos com a Caixa Seguridade.</w:t>
      </w:r>
    </w:p>
    <w:p w14:paraId="36653D70" w14:textId="2BE46370" w:rsidR="00E46B65" w:rsidRPr="00E20D21" w:rsidRDefault="00E46B65" w:rsidP="00B75364">
      <w:pPr>
        <w:pStyle w:val="PargrafodaLista"/>
        <w:numPr>
          <w:ilvl w:val="0"/>
          <w:numId w:val="26"/>
        </w:numPr>
        <w:tabs>
          <w:tab w:val="left" w:pos="1650"/>
        </w:tabs>
        <w:spacing w:before="120" w:after="120"/>
        <w:ind w:left="425" w:right="139" w:hanging="425"/>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FISERV, no montante de R$ </w:t>
      </w:r>
      <w:r w:rsidR="008A2029" w:rsidRPr="00E20D21">
        <w:rPr>
          <w:rFonts w:ascii="CAIXA Std Book" w:hAnsi="CAIXA Std Book"/>
          <w:color w:val="005CA9"/>
          <w:sz w:val="20"/>
          <w:szCs w:val="20"/>
        </w:rPr>
        <w:t>134.000</w:t>
      </w:r>
      <w:r w:rsidR="009B12CA" w:rsidRPr="00E20D21">
        <w:rPr>
          <w:rFonts w:ascii="CAIXA Std Book" w:hAnsi="CAIXA Std Book"/>
          <w:color w:val="005CA9"/>
          <w:sz w:val="20"/>
          <w:szCs w:val="20"/>
        </w:rPr>
        <w:t xml:space="preserve"> (31/12/202</w:t>
      </w:r>
      <w:r w:rsidR="00852468" w:rsidRPr="00E20D21">
        <w:rPr>
          <w:rFonts w:ascii="CAIXA Std Book" w:hAnsi="CAIXA Std Book"/>
          <w:color w:val="005CA9"/>
          <w:sz w:val="20"/>
          <w:szCs w:val="20"/>
        </w:rPr>
        <w:t>3</w:t>
      </w:r>
      <w:r w:rsidR="009B12CA" w:rsidRPr="00E20D21">
        <w:rPr>
          <w:rFonts w:ascii="CAIXA Std Book" w:hAnsi="CAIXA Std Book"/>
          <w:color w:val="005CA9"/>
          <w:sz w:val="20"/>
          <w:szCs w:val="20"/>
        </w:rPr>
        <w:t xml:space="preserve"> - R$ </w:t>
      </w:r>
      <w:r w:rsidR="003C2F2B" w:rsidRPr="00E20D21">
        <w:rPr>
          <w:rFonts w:ascii="CAIXA Std Book" w:hAnsi="CAIXA Std Book"/>
          <w:color w:val="005CA9"/>
          <w:sz w:val="20"/>
          <w:szCs w:val="20"/>
        </w:rPr>
        <w:t>138.000</w:t>
      </w:r>
      <w:r w:rsidR="009B12CA" w:rsidRPr="00E20D21">
        <w:rPr>
          <w:rFonts w:ascii="CAIXA Std Book" w:hAnsi="CAIXA Std Book"/>
          <w:color w:val="005CA9"/>
          <w:sz w:val="20"/>
          <w:szCs w:val="20"/>
        </w:rPr>
        <w:t>)</w:t>
      </w:r>
      <w:r w:rsidRPr="00E20D21">
        <w:rPr>
          <w:rFonts w:ascii="CAIXA Std Book" w:hAnsi="CAIXA Std Book"/>
          <w:color w:val="005CA9"/>
          <w:sz w:val="20"/>
          <w:szCs w:val="20"/>
        </w:rPr>
        <w:t>, buscando fortalecer sua atuação no mercado de meios de pagamento eletrônicos, prevê um contrato com vigência de 20 anos com a Caixa Cartões.</w:t>
      </w:r>
    </w:p>
    <w:p w14:paraId="79AABBD3" w14:textId="07211279" w:rsidR="00225DE3" w:rsidRPr="00E20D21" w:rsidRDefault="00225DE3" w:rsidP="00B75364">
      <w:pPr>
        <w:pStyle w:val="PargrafodaLista"/>
        <w:numPr>
          <w:ilvl w:val="0"/>
          <w:numId w:val="26"/>
        </w:numPr>
        <w:tabs>
          <w:tab w:val="left" w:pos="1650"/>
        </w:tabs>
        <w:spacing w:before="120" w:after="120"/>
        <w:ind w:left="425" w:right="139" w:hanging="425"/>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VR BENEFÍCIOS e FLEETCOR (“VR-FLEETCOR”), no montante de R$ </w:t>
      </w:r>
      <w:r w:rsidR="00595389" w:rsidRPr="00E20D21">
        <w:rPr>
          <w:rFonts w:ascii="CAIXA Std Book" w:hAnsi="CAIXA Std Book"/>
          <w:color w:val="005CA9"/>
          <w:sz w:val="20"/>
          <w:szCs w:val="20"/>
        </w:rPr>
        <w:t>348.333</w:t>
      </w:r>
      <w:r w:rsidR="00162430" w:rsidRPr="00E20D21">
        <w:rPr>
          <w:rFonts w:ascii="CAIXA Std Book" w:hAnsi="CAIXA Std Book"/>
          <w:color w:val="005CA9"/>
          <w:sz w:val="20"/>
          <w:szCs w:val="20"/>
        </w:rPr>
        <w:t xml:space="preserve"> (31/12/202</w:t>
      </w:r>
      <w:r w:rsidR="00852468" w:rsidRPr="00E20D21">
        <w:rPr>
          <w:rFonts w:ascii="CAIXA Std Book" w:hAnsi="CAIXA Std Book"/>
          <w:color w:val="005CA9"/>
          <w:sz w:val="20"/>
          <w:szCs w:val="20"/>
        </w:rPr>
        <w:t>3</w:t>
      </w:r>
      <w:r w:rsidR="00162430" w:rsidRPr="00E20D21">
        <w:rPr>
          <w:rFonts w:ascii="CAIXA Std Book" w:hAnsi="CAIXA Std Book"/>
          <w:color w:val="005CA9"/>
          <w:sz w:val="20"/>
          <w:szCs w:val="20"/>
        </w:rPr>
        <w:t xml:space="preserve"> - R$ </w:t>
      </w:r>
      <w:r w:rsidR="00E42D29" w:rsidRPr="00E20D21">
        <w:rPr>
          <w:rFonts w:ascii="CAIXA Std Book" w:hAnsi="CAIXA Std Book"/>
          <w:color w:val="005CA9"/>
          <w:sz w:val="20"/>
          <w:szCs w:val="20"/>
        </w:rPr>
        <w:t>358.333</w:t>
      </w:r>
      <w:r w:rsidRPr="00E20D21">
        <w:rPr>
          <w:rFonts w:ascii="CAIXA Std Book" w:hAnsi="CAIXA Std Book"/>
          <w:color w:val="005CA9"/>
          <w:sz w:val="20"/>
          <w:szCs w:val="20"/>
        </w:rPr>
        <w:t>, para atuação no segmento relacionado a meios de pagamento Pré-Pagos, pelo prazo de 20 anos, conforme contrato firmado com a Caixa Cartões.</w:t>
      </w:r>
    </w:p>
    <w:p w14:paraId="4A46CB79" w14:textId="245F7240" w:rsidR="00910878" w:rsidRPr="00E20D21" w:rsidRDefault="00910878" w:rsidP="00FD7768">
      <w:pPr>
        <w:pStyle w:val="Ttulo1"/>
      </w:pPr>
      <w:bookmarkStart w:id="62" w:name="_Toc175067959"/>
      <w:bookmarkEnd w:id="61"/>
      <w:r w:rsidRPr="00E20D21">
        <w:t xml:space="preserve">Nota 19 </w:t>
      </w:r>
      <w:r w:rsidR="000C2093" w:rsidRPr="00E20D21">
        <w:t>–</w:t>
      </w:r>
      <w:r w:rsidRPr="00E20D21">
        <w:t xml:space="preserve"> Provisões</w:t>
      </w:r>
      <w:bookmarkEnd w:id="62"/>
    </w:p>
    <w:p w14:paraId="18F8B7F4" w14:textId="77777777" w:rsidR="00910878" w:rsidRPr="00E20D21" w:rsidRDefault="00910878" w:rsidP="00D52094">
      <w:pPr>
        <w:keepNext/>
        <w:numPr>
          <w:ilvl w:val="0"/>
          <w:numId w:val="5"/>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6094"/>
        <w:gridCol w:w="1841"/>
        <w:gridCol w:w="1702"/>
      </w:tblGrid>
      <w:tr w:rsidR="00A47C19" w:rsidRPr="00E20D21" w14:paraId="01AC3900" w14:textId="77777777" w:rsidTr="00473D8F">
        <w:trPr>
          <w:trHeight w:val="283"/>
        </w:trPr>
        <w:tc>
          <w:tcPr>
            <w:tcW w:w="5000" w:type="pct"/>
            <w:gridSpan w:val="3"/>
            <w:tcBorders>
              <w:top w:val="single" w:sz="4" w:space="0" w:color="F39200"/>
              <w:left w:val="nil"/>
              <w:bottom w:val="single" w:sz="4" w:space="0" w:color="F39200"/>
              <w:right w:val="nil"/>
            </w:tcBorders>
            <w:shd w:val="clear" w:color="auto" w:fill="auto"/>
            <w:vAlign w:val="center"/>
          </w:tcPr>
          <w:p w14:paraId="1AF9F156" w14:textId="53EE9620" w:rsidR="007E7325" w:rsidRPr="00E20D21" w:rsidRDefault="007E7325">
            <w:pPr>
              <w:jc w:val="center"/>
              <w:rPr>
                <w:rFonts w:ascii="CAIXA Std Book" w:eastAsia="Times New Roman" w:hAnsi="CAIXA Std Book" w:cs="Arial"/>
                <w:b/>
                <w:bCs/>
                <w:color w:val="005CA9"/>
                <w:sz w:val="18"/>
                <w:szCs w:val="18"/>
              </w:rPr>
            </w:pPr>
            <w:bookmarkStart w:id="63" w:name="_Hlk65762341"/>
            <w:bookmarkStart w:id="64" w:name="_Toc18312460"/>
            <w:bookmarkStart w:id="65" w:name="_Toc513569414"/>
            <w:r w:rsidRPr="00E20D21">
              <w:rPr>
                <w:rFonts w:ascii="CAIXA Std Book" w:eastAsia="Times New Roman" w:hAnsi="CAIXA Std Book" w:cs="Arial"/>
                <w:b/>
                <w:bCs/>
                <w:color w:val="005CA9"/>
                <w:sz w:val="18"/>
                <w:szCs w:val="18"/>
              </w:rPr>
              <w:t>INDIVIDUAL</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CONSOLIDADO</w:t>
            </w:r>
          </w:p>
        </w:tc>
      </w:tr>
      <w:tr w:rsidR="00A47C19" w:rsidRPr="00E20D21" w14:paraId="311DE502" w14:textId="77777777" w:rsidTr="00473D8F">
        <w:trPr>
          <w:trHeight w:val="283"/>
        </w:trPr>
        <w:tc>
          <w:tcPr>
            <w:tcW w:w="3162" w:type="pct"/>
            <w:tcBorders>
              <w:top w:val="single" w:sz="4" w:space="0" w:color="F39200"/>
              <w:left w:val="nil"/>
              <w:bottom w:val="single" w:sz="4" w:space="0" w:color="F39200"/>
              <w:right w:val="nil"/>
            </w:tcBorders>
            <w:shd w:val="clear" w:color="auto" w:fill="auto"/>
            <w:vAlign w:val="center"/>
            <w:hideMark/>
          </w:tcPr>
          <w:p w14:paraId="471376C9" w14:textId="77777777" w:rsidR="007E7325" w:rsidRPr="00E20D21" w:rsidRDefault="007E732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955" w:type="pct"/>
            <w:tcBorders>
              <w:top w:val="nil"/>
              <w:left w:val="nil"/>
              <w:bottom w:val="single" w:sz="4" w:space="0" w:color="F39200"/>
              <w:right w:val="nil"/>
            </w:tcBorders>
            <w:shd w:val="clear" w:color="auto" w:fill="auto"/>
            <w:vAlign w:val="center"/>
          </w:tcPr>
          <w:p w14:paraId="50C0E94B" w14:textId="38A9AFD8" w:rsidR="007E7325" w:rsidRPr="00E20D21" w:rsidRDefault="00AE1F32">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883" w:type="pct"/>
            <w:tcBorders>
              <w:top w:val="nil"/>
              <w:left w:val="nil"/>
              <w:bottom w:val="single" w:sz="4" w:space="0" w:color="F39200"/>
              <w:right w:val="nil"/>
            </w:tcBorders>
            <w:shd w:val="clear" w:color="auto" w:fill="auto"/>
            <w:vAlign w:val="center"/>
            <w:hideMark/>
          </w:tcPr>
          <w:p w14:paraId="13C2BEC9" w14:textId="0CDB1C12" w:rsidR="007E7325" w:rsidRPr="00E20D21" w:rsidRDefault="007E732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w:t>
            </w:r>
            <w:r w:rsidR="00AE1F32" w:rsidRPr="00E20D21">
              <w:rPr>
                <w:rFonts w:ascii="CAIXA Std Book" w:eastAsia="Times New Roman" w:hAnsi="CAIXA Std Book" w:cs="Arial"/>
                <w:b/>
                <w:bCs/>
                <w:color w:val="005CA9"/>
                <w:sz w:val="18"/>
                <w:szCs w:val="18"/>
              </w:rPr>
              <w:t>3</w:t>
            </w:r>
          </w:p>
        </w:tc>
      </w:tr>
      <w:tr w:rsidR="002C051A" w:rsidRPr="00E20D21" w14:paraId="4619A601" w14:textId="77777777" w:rsidTr="00473D8F">
        <w:trPr>
          <w:trHeight w:val="283"/>
        </w:trPr>
        <w:tc>
          <w:tcPr>
            <w:tcW w:w="3162" w:type="pct"/>
            <w:tcBorders>
              <w:top w:val="nil"/>
              <w:left w:val="nil"/>
              <w:bottom w:val="nil"/>
              <w:right w:val="nil"/>
            </w:tcBorders>
            <w:shd w:val="clear" w:color="auto" w:fill="auto"/>
            <w:vAlign w:val="center"/>
            <w:hideMark/>
          </w:tcPr>
          <w:p w14:paraId="62E75C36" w14:textId="2A45C804" w:rsidR="002C051A" w:rsidRPr="00E20D21" w:rsidRDefault="002C051A" w:rsidP="002C051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Trabalhistas (b.2)</w:t>
            </w:r>
          </w:p>
        </w:tc>
        <w:tc>
          <w:tcPr>
            <w:tcW w:w="955" w:type="pct"/>
            <w:tcBorders>
              <w:top w:val="nil"/>
              <w:left w:val="nil"/>
              <w:bottom w:val="nil"/>
              <w:right w:val="nil"/>
            </w:tcBorders>
            <w:shd w:val="clear" w:color="auto" w:fill="auto"/>
            <w:vAlign w:val="center"/>
          </w:tcPr>
          <w:p w14:paraId="60C95F54" w14:textId="129FE6F3" w:rsidR="002C051A" w:rsidRPr="00E20D21" w:rsidRDefault="00836DB2"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6.675.884</w:t>
            </w:r>
          </w:p>
        </w:tc>
        <w:tc>
          <w:tcPr>
            <w:tcW w:w="883" w:type="pct"/>
            <w:tcBorders>
              <w:top w:val="nil"/>
              <w:left w:val="nil"/>
              <w:bottom w:val="nil"/>
              <w:right w:val="nil"/>
            </w:tcBorders>
            <w:shd w:val="clear" w:color="auto" w:fill="auto"/>
            <w:vAlign w:val="center"/>
            <w:hideMark/>
          </w:tcPr>
          <w:p w14:paraId="285AFFF2" w14:textId="675F47A9" w:rsidR="002C051A" w:rsidRPr="00E20D21" w:rsidRDefault="002C051A" w:rsidP="002C051A">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7.014.653</w:t>
            </w:r>
          </w:p>
        </w:tc>
      </w:tr>
      <w:tr w:rsidR="002C051A" w:rsidRPr="00E20D21" w14:paraId="0A3BFC89" w14:textId="77777777" w:rsidTr="00473D8F">
        <w:trPr>
          <w:trHeight w:val="283"/>
        </w:trPr>
        <w:tc>
          <w:tcPr>
            <w:tcW w:w="3162" w:type="pct"/>
            <w:tcBorders>
              <w:top w:val="nil"/>
              <w:left w:val="nil"/>
              <w:bottom w:val="nil"/>
              <w:right w:val="nil"/>
            </w:tcBorders>
            <w:shd w:val="clear" w:color="auto" w:fill="auto"/>
            <w:vAlign w:val="center"/>
            <w:hideMark/>
          </w:tcPr>
          <w:p w14:paraId="61024BF4" w14:textId="5868617B" w:rsidR="002C051A" w:rsidRPr="00E20D21" w:rsidRDefault="002C051A" w:rsidP="002C051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Cíveis (b.3)</w:t>
            </w:r>
          </w:p>
        </w:tc>
        <w:tc>
          <w:tcPr>
            <w:tcW w:w="955" w:type="pct"/>
            <w:tcBorders>
              <w:top w:val="nil"/>
              <w:left w:val="nil"/>
              <w:bottom w:val="nil"/>
              <w:right w:val="nil"/>
            </w:tcBorders>
            <w:shd w:val="clear" w:color="auto" w:fill="auto"/>
            <w:vAlign w:val="center"/>
          </w:tcPr>
          <w:p w14:paraId="3028B672" w14:textId="1B6BA277" w:rsidR="002C051A" w:rsidRPr="00E20D21" w:rsidRDefault="00836DB2"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4.183.292</w:t>
            </w:r>
          </w:p>
        </w:tc>
        <w:tc>
          <w:tcPr>
            <w:tcW w:w="883" w:type="pct"/>
            <w:tcBorders>
              <w:top w:val="nil"/>
              <w:left w:val="nil"/>
              <w:bottom w:val="nil"/>
              <w:right w:val="nil"/>
            </w:tcBorders>
            <w:shd w:val="clear" w:color="auto" w:fill="auto"/>
            <w:vAlign w:val="center"/>
            <w:hideMark/>
          </w:tcPr>
          <w:p w14:paraId="24EBEEFC" w14:textId="1F572AE4" w:rsidR="002C051A" w:rsidRPr="00E20D21" w:rsidRDefault="002C051A" w:rsidP="002C051A">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3.927.938</w:t>
            </w:r>
          </w:p>
        </w:tc>
      </w:tr>
      <w:tr w:rsidR="002C051A" w:rsidRPr="00E20D21" w14:paraId="276C5FFB" w14:textId="77777777" w:rsidTr="00473D8F">
        <w:trPr>
          <w:trHeight w:val="283"/>
        </w:trPr>
        <w:tc>
          <w:tcPr>
            <w:tcW w:w="3162" w:type="pct"/>
            <w:tcBorders>
              <w:top w:val="nil"/>
              <w:left w:val="nil"/>
              <w:bottom w:val="nil"/>
              <w:right w:val="nil"/>
            </w:tcBorders>
            <w:shd w:val="clear" w:color="auto" w:fill="auto"/>
            <w:vAlign w:val="center"/>
            <w:hideMark/>
          </w:tcPr>
          <w:p w14:paraId="3A53D615" w14:textId="478B1401" w:rsidR="002C051A" w:rsidRPr="00E20D21" w:rsidRDefault="002C051A" w:rsidP="002C051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Fiscais (b.4)</w:t>
            </w:r>
          </w:p>
        </w:tc>
        <w:tc>
          <w:tcPr>
            <w:tcW w:w="955" w:type="pct"/>
            <w:tcBorders>
              <w:top w:val="nil"/>
              <w:left w:val="nil"/>
              <w:bottom w:val="nil"/>
              <w:right w:val="nil"/>
            </w:tcBorders>
            <w:shd w:val="clear" w:color="auto" w:fill="auto"/>
            <w:vAlign w:val="center"/>
          </w:tcPr>
          <w:p w14:paraId="3D48B3F4" w14:textId="0B446CD3" w:rsidR="002C051A" w:rsidRPr="00E20D21" w:rsidRDefault="00836DB2"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585.221</w:t>
            </w:r>
          </w:p>
        </w:tc>
        <w:tc>
          <w:tcPr>
            <w:tcW w:w="883" w:type="pct"/>
            <w:tcBorders>
              <w:top w:val="nil"/>
              <w:left w:val="nil"/>
              <w:bottom w:val="nil"/>
              <w:right w:val="nil"/>
            </w:tcBorders>
            <w:shd w:val="clear" w:color="auto" w:fill="auto"/>
            <w:vAlign w:val="center"/>
            <w:hideMark/>
          </w:tcPr>
          <w:p w14:paraId="292C66B1" w14:textId="3CF23195" w:rsidR="002C051A" w:rsidRPr="00E20D21" w:rsidRDefault="002C051A" w:rsidP="002C051A">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651.757</w:t>
            </w:r>
          </w:p>
        </w:tc>
      </w:tr>
      <w:tr w:rsidR="002C051A" w:rsidRPr="00E20D21" w14:paraId="41EBB559" w14:textId="77777777" w:rsidTr="00473D8F">
        <w:trPr>
          <w:trHeight w:val="283"/>
        </w:trPr>
        <w:tc>
          <w:tcPr>
            <w:tcW w:w="3162" w:type="pct"/>
            <w:tcBorders>
              <w:top w:val="nil"/>
              <w:left w:val="nil"/>
              <w:bottom w:val="nil"/>
              <w:right w:val="nil"/>
            </w:tcBorders>
            <w:shd w:val="clear" w:color="auto" w:fill="auto"/>
            <w:vAlign w:val="center"/>
            <w:hideMark/>
          </w:tcPr>
          <w:p w14:paraId="03AAE532" w14:textId="0402991E" w:rsidR="002C051A" w:rsidRPr="00E20D21" w:rsidRDefault="002C051A" w:rsidP="002C051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Pré-pagamento FGTS (c)</w:t>
            </w:r>
          </w:p>
        </w:tc>
        <w:tc>
          <w:tcPr>
            <w:tcW w:w="955" w:type="pct"/>
            <w:tcBorders>
              <w:top w:val="nil"/>
              <w:left w:val="nil"/>
              <w:bottom w:val="nil"/>
              <w:right w:val="nil"/>
            </w:tcBorders>
            <w:shd w:val="clear" w:color="auto" w:fill="auto"/>
            <w:vAlign w:val="center"/>
          </w:tcPr>
          <w:p w14:paraId="4E276DCE" w14:textId="5B0F99F7" w:rsidR="002C051A" w:rsidRPr="00E20D21" w:rsidRDefault="00836DB2"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1.697.882</w:t>
            </w:r>
          </w:p>
        </w:tc>
        <w:tc>
          <w:tcPr>
            <w:tcW w:w="883" w:type="pct"/>
            <w:tcBorders>
              <w:top w:val="nil"/>
              <w:left w:val="nil"/>
              <w:bottom w:val="nil"/>
              <w:right w:val="nil"/>
            </w:tcBorders>
            <w:shd w:val="clear" w:color="auto" w:fill="auto"/>
            <w:vAlign w:val="center"/>
            <w:hideMark/>
          </w:tcPr>
          <w:p w14:paraId="59AC4BFB" w14:textId="68FC76BE" w:rsidR="002C051A" w:rsidRPr="00E20D21" w:rsidRDefault="002C051A" w:rsidP="002C051A">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1.592.649</w:t>
            </w:r>
          </w:p>
        </w:tc>
      </w:tr>
      <w:tr w:rsidR="002C051A" w:rsidRPr="00E20D21" w14:paraId="6018C146" w14:textId="77777777" w:rsidTr="00473D8F">
        <w:trPr>
          <w:trHeight w:val="283"/>
        </w:trPr>
        <w:tc>
          <w:tcPr>
            <w:tcW w:w="3162" w:type="pct"/>
            <w:tcBorders>
              <w:top w:val="nil"/>
              <w:left w:val="nil"/>
              <w:bottom w:val="nil"/>
              <w:right w:val="nil"/>
            </w:tcBorders>
            <w:shd w:val="clear" w:color="auto" w:fill="auto"/>
            <w:vAlign w:val="center"/>
            <w:hideMark/>
          </w:tcPr>
          <w:p w14:paraId="0A98F705" w14:textId="3D02CFE3" w:rsidR="002C051A" w:rsidRPr="00E20D21" w:rsidRDefault="002C051A" w:rsidP="002C051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Bolsa família (d)</w:t>
            </w:r>
          </w:p>
        </w:tc>
        <w:tc>
          <w:tcPr>
            <w:tcW w:w="955" w:type="pct"/>
            <w:tcBorders>
              <w:top w:val="nil"/>
              <w:left w:val="nil"/>
              <w:bottom w:val="nil"/>
              <w:right w:val="nil"/>
            </w:tcBorders>
            <w:shd w:val="clear" w:color="auto" w:fill="auto"/>
            <w:vAlign w:val="center"/>
          </w:tcPr>
          <w:p w14:paraId="29492C92" w14:textId="0B8F4127" w:rsidR="002C051A" w:rsidRPr="00E20D21" w:rsidRDefault="00502118" w:rsidP="00502118">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883" w:type="pct"/>
            <w:tcBorders>
              <w:top w:val="nil"/>
              <w:left w:val="nil"/>
              <w:bottom w:val="nil"/>
              <w:right w:val="nil"/>
            </w:tcBorders>
            <w:shd w:val="clear" w:color="auto" w:fill="auto"/>
            <w:vAlign w:val="center"/>
            <w:hideMark/>
          </w:tcPr>
          <w:p w14:paraId="773FA7E4" w14:textId="7BAFA688" w:rsidR="002C051A" w:rsidRPr="00E20D21" w:rsidRDefault="002C051A" w:rsidP="002C051A">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322.230</w:t>
            </w:r>
          </w:p>
        </w:tc>
      </w:tr>
      <w:tr w:rsidR="002C051A" w:rsidRPr="00E20D21" w14:paraId="7247DA6C" w14:textId="77777777" w:rsidTr="00473D8F">
        <w:trPr>
          <w:trHeight w:val="283"/>
        </w:trPr>
        <w:tc>
          <w:tcPr>
            <w:tcW w:w="3162" w:type="pct"/>
            <w:tcBorders>
              <w:top w:val="nil"/>
              <w:left w:val="nil"/>
              <w:bottom w:val="nil"/>
              <w:right w:val="nil"/>
            </w:tcBorders>
            <w:shd w:val="clear" w:color="auto" w:fill="auto"/>
            <w:vAlign w:val="center"/>
            <w:hideMark/>
          </w:tcPr>
          <w:p w14:paraId="30BB868D" w14:textId="598294C2" w:rsidR="002C051A" w:rsidRPr="00E20D21" w:rsidRDefault="002C051A" w:rsidP="002C051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Garantias financeiras prestadas (e)</w:t>
            </w:r>
          </w:p>
        </w:tc>
        <w:tc>
          <w:tcPr>
            <w:tcW w:w="955" w:type="pct"/>
            <w:tcBorders>
              <w:top w:val="nil"/>
              <w:left w:val="nil"/>
              <w:bottom w:val="nil"/>
              <w:right w:val="nil"/>
            </w:tcBorders>
            <w:shd w:val="clear" w:color="auto" w:fill="auto"/>
            <w:vAlign w:val="center"/>
          </w:tcPr>
          <w:p w14:paraId="2525AD2F" w14:textId="100DDC83" w:rsidR="002C051A" w:rsidRPr="00E20D21" w:rsidRDefault="00836DB2"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63.427</w:t>
            </w:r>
          </w:p>
        </w:tc>
        <w:tc>
          <w:tcPr>
            <w:tcW w:w="883" w:type="pct"/>
            <w:tcBorders>
              <w:top w:val="nil"/>
              <w:left w:val="nil"/>
              <w:bottom w:val="nil"/>
              <w:right w:val="nil"/>
            </w:tcBorders>
            <w:shd w:val="clear" w:color="auto" w:fill="auto"/>
            <w:vAlign w:val="center"/>
            <w:hideMark/>
          </w:tcPr>
          <w:p w14:paraId="3171B55F" w14:textId="10D0F206" w:rsidR="002C051A" w:rsidRPr="00E20D21" w:rsidRDefault="002C051A" w:rsidP="002C051A">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80.244</w:t>
            </w:r>
          </w:p>
        </w:tc>
      </w:tr>
      <w:tr w:rsidR="002C051A" w:rsidRPr="00E20D21" w14:paraId="5AE93D31" w14:textId="77777777" w:rsidTr="0022452E">
        <w:trPr>
          <w:trHeight w:val="283"/>
        </w:trPr>
        <w:tc>
          <w:tcPr>
            <w:tcW w:w="3162" w:type="pct"/>
            <w:tcBorders>
              <w:top w:val="nil"/>
              <w:left w:val="nil"/>
              <w:bottom w:val="single" w:sz="4" w:space="0" w:color="F79646" w:themeColor="accent6"/>
              <w:right w:val="nil"/>
            </w:tcBorders>
            <w:shd w:val="clear" w:color="auto" w:fill="auto"/>
            <w:vAlign w:val="center"/>
            <w:hideMark/>
          </w:tcPr>
          <w:p w14:paraId="49934411" w14:textId="77777777" w:rsidR="002C051A" w:rsidRPr="00E20D21" w:rsidRDefault="002C051A" w:rsidP="002C051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Demais</w:t>
            </w:r>
          </w:p>
        </w:tc>
        <w:tc>
          <w:tcPr>
            <w:tcW w:w="955" w:type="pct"/>
            <w:tcBorders>
              <w:top w:val="nil"/>
              <w:left w:val="nil"/>
              <w:bottom w:val="single" w:sz="4" w:space="0" w:color="F79646" w:themeColor="accent6"/>
              <w:right w:val="nil"/>
            </w:tcBorders>
            <w:shd w:val="clear" w:color="auto" w:fill="auto"/>
            <w:vAlign w:val="center"/>
          </w:tcPr>
          <w:p w14:paraId="31A70A22" w14:textId="7ED14A48" w:rsidR="002C051A" w:rsidRPr="00E20D21" w:rsidRDefault="00836DB2"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24.042</w:t>
            </w:r>
          </w:p>
        </w:tc>
        <w:tc>
          <w:tcPr>
            <w:tcW w:w="883" w:type="pct"/>
            <w:tcBorders>
              <w:top w:val="nil"/>
              <w:left w:val="nil"/>
              <w:bottom w:val="single" w:sz="4" w:space="0" w:color="F79646" w:themeColor="accent6"/>
              <w:right w:val="nil"/>
            </w:tcBorders>
            <w:shd w:val="clear" w:color="auto" w:fill="auto"/>
            <w:vAlign w:val="center"/>
            <w:hideMark/>
          </w:tcPr>
          <w:p w14:paraId="703C788A" w14:textId="78D7F1F3" w:rsidR="002C051A" w:rsidRPr="00E20D21" w:rsidRDefault="002C051A" w:rsidP="002C051A">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27.703</w:t>
            </w:r>
          </w:p>
        </w:tc>
      </w:tr>
      <w:tr w:rsidR="002C051A" w:rsidRPr="00E20D21" w14:paraId="14790219" w14:textId="77777777" w:rsidTr="0022452E">
        <w:trPr>
          <w:trHeight w:val="283"/>
        </w:trPr>
        <w:tc>
          <w:tcPr>
            <w:tcW w:w="3162" w:type="pct"/>
            <w:tcBorders>
              <w:top w:val="single" w:sz="4" w:space="0" w:color="F79646" w:themeColor="accent6"/>
              <w:left w:val="nil"/>
              <w:bottom w:val="single" w:sz="4" w:space="0" w:color="F79646" w:themeColor="accent6"/>
              <w:right w:val="nil"/>
            </w:tcBorders>
            <w:shd w:val="clear" w:color="auto" w:fill="auto"/>
            <w:vAlign w:val="center"/>
            <w:hideMark/>
          </w:tcPr>
          <w:p w14:paraId="40DD72C4" w14:textId="77777777" w:rsidR="002C051A" w:rsidRPr="00E20D21" w:rsidRDefault="002C051A" w:rsidP="002C051A">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Total </w:t>
            </w:r>
          </w:p>
        </w:tc>
        <w:tc>
          <w:tcPr>
            <w:tcW w:w="955" w:type="pct"/>
            <w:tcBorders>
              <w:top w:val="single" w:sz="4" w:space="0" w:color="F79646" w:themeColor="accent6"/>
              <w:left w:val="nil"/>
              <w:bottom w:val="single" w:sz="4" w:space="0" w:color="F79646" w:themeColor="accent6"/>
              <w:right w:val="nil"/>
            </w:tcBorders>
            <w:shd w:val="clear" w:color="auto" w:fill="auto"/>
            <w:vAlign w:val="center"/>
          </w:tcPr>
          <w:p w14:paraId="0A88AD9C" w14:textId="3E1B9671" w:rsidR="002C051A" w:rsidRPr="00E20D21" w:rsidRDefault="00836DB2" w:rsidP="002C051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13.229.748</w:t>
            </w:r>
          </w:p>
        </w:tc>
        <w:tc>
          <w:tcPr>
            <w:tcW w:w="883" w:type="pct"/>
            <w:tcBorders>
              <w:top w:val="single" w:sz="4" w:space="0" w:color="F79646" w:themeColor="accent6"/>
              <w:left w:val="nil"/>
              <w:bottom w:val="single" w:sz="4" w:space="0" w:color="F79646" w:themeColor="accent6"/>
              <w:right w:val="nil"/>
            </w:tcBorders>
            <w:shd w:val="clear" w:color="auto" w:fill="auto"/>
            <w:vAlign w:val="center"/>
            <w:hideMark/>
          </w:tcPr>
          <w:p w14:paraId="3878FC6F" w14:textId="6E8D23E9" w:rsidR="002C051A" w:rsidRPr="00E20D21" w:rsidRDefault="002C051A" w:rsidP="002C051A">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13.617.174</w:t>
            </w:r>
          </w:p>
        </w:tc>
      </w:tr>
      <w:tr w:rsidR="002C051A" w:rsidRPr="00E20D21" w14:paraId="7AC8C58F" w14:textId="77777777" w:rsidTr="0022452E">
        <w:trPr>
          <w:trHeight w:val="283"/>
        </w:trPr>
        <w:tc>
          <w:tcPr>
            <w:tcW w:w="3162" w:type="pct"/>
            <w:tcBorders>
              <w:top w:val="single" w:sz="4" w:space="0" w:color="F79646" w:themeColor="accent6"/>
              <w:left w:val="nil"/>
              <w:right w:val="nil"/>
            </w:tcBorders>
            <w:shd w:val="clear" w:color="auto" w:fill="auto"/>
            <w:vAlign w:val="center"/>
            <w:hideMark/>
          </w:tcPr>
          <w:p w14:paraId="01522F69" w14:textId="77777777" w:rsidR="002C051A" w:rsidRPr="00E20D21" w:rsidRDefault="002C051A" w:rsidP="002C051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circulante</w:t>
            </w:r>
          </w:p>
        </w:tc>
        <w:tc>
          <w:tcPr>
            <w:tcW w:w="955" w:type="pct"/>
            <w:tcBorders>
              <w:top w:val="single" w:sz="4" w:space="0" w:color="F79646" w:themeColor="accent6"/>
              <w:left w:val="nil"/>
              <w:right w:val="nil"/>
            </w:tcBorders>
            <w:shd w:val="clear" w:color="auto" w:fill="auto"/>
            <w:vAlign w:val="center"/>
          </w:tcPr>
          <w:p w14:paraId="48F176B5" w14:textId="4556D0AC" w:rsidR="002C051A" w:rsidRPr="00E20D21" w:rsidRDefault="00516329"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5.193.761</w:t>
            </w:r>
          </w:p>
        </w:tc>
        <w:tc>
          <w:tcPr>
            <w:tcW w:w="883" w:type="pct"/>
            <w:tcBorders>
              <w:top w:val="single" w:sz="4" w:space="0" w:color="F79646" w:themeColor="accent6"/>
              <w:left w:val="nil"/>
              <w:right w:val="nil"/>
            </w:tcBorders>
            <w:shd w:val="clear" w:color="auto" w:fill="auto"/>
            <w:vAlign w:val="center"/>
            <w:hideMark/>
          </w:tcPr>
          <w:p w14:paraId="7263D3FF" w14:textId="31249FC1" w:rsidR="002C051A" w:rsidRPr="00E20D21" w:rsidRDefault="002C051A"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5.464.074</w:t>
            </w:r>
          </w:p>
        </w:tc>
      </w:tr>
      <w:tr w:rsidR="002C051A" w:rsidRPr="00E20D21" w14:paraId="0BF529C5" w14:textId="77777777" w:rsidTr="0022452E">
        <w:trPr>
          <w:trHeight w:val="283"/>
        </w:trPr>
        <w:tc>
          <w:tcPr>
            <w:tcW w:w="3162" w:type="pct"/>
            <w:tcBorders>
              <w:top w:val="nil"/>
              <w:left w:val="nil"/>
              <w:bottom w:val="single" w:sz="4" w:space="0" w:color="F79646" w:themeColor="accent6"/>
              <w:right w:val="nil"/>
            </w:tcBorders>
            <w:shd w:val="clear" w:color="auto" w:fill="auto"/>
            <w:vAlign w:val="center"/>
            <w:hideMark/>
          </w:tcPr>
          <w:p w14:paraId="034FFCC2" w14:textId="77777777" w:rsidR="002C051A" w:rsidRPr="00E20D21" w:rsidRDefault="002C051A" w:rsidP="002C051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não circulante</w:t>
            </w:r>
          </w:p>
        </w:tc>
        <w:tc>
          <w:tcPr>
            <w:tcW w:w="955" w:type="pct"/>
            <w:tcBorders>
              <w:top w:val="nil"/>
              <w:left w:val="nil"/>
              <w:bottom w:val="single" w:sz="4" w:space="0" w:color="F79646" w:themeColor="accent6"/>
              <w:right w:val="nil"/>
            </w:tcBorders>
            <w:shd w:val="clear" w:color="auto" w:fill="auto"/>
            <w:vAlign w:val="center"/>
          </w:tcPr>
          <w:p w14:paraId="2EA0510E" w14:textId="2E902370" w:rsidR="002C051A" w:rsidRPr="00E20D21" w:rsidRDefault="00516329"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8.035.987</w:t>
            </w:r>
          </w:p>
        </w:tc>
        <w:tc>
          <w:tcPr>
            <w:tcW w:w="883" w:type="pct"/>
            <w:tcBorders>
              <w:top w:val="nil"/>
              <w:left w:val="nil"/>
              <w:bottom w:val="single" w:sz="4" w:space="0" w:color="F79646" w:themeColor="accent6"/>
              <w:right w:val="nil"/>
            </w:tcBorders>
            <w:shd w:val="clear" w:color="auto" w:fill="auto"/>
            <w:vAlign w:val="center"/>
            <w:hideMark/>
          </w:tcPr>
          <w:p w14:paraId="575250DE" w14:textId="6CA5EB79" w:rsidR="002C051A" w:rsidRPr="00E20D21" w:rsidRDefault="002C051A" w:rsidP="002C051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8.153.100</w:t>
            </w:r>
          </w:p>
        </w:tc>
      </w:tr>
    </w:tbl>
    <w:p w14:paraId="4EEED29B" w14:textId="77777777" w:rsidR="000B3640" w:rsidRPr="00E20D21" w:rsidRDefault="000B3640" w:rsidP="000B3640">
      <w:pPr>
        <w:tabs>
          <w:tab w:val="left" w:pos="1650"/>
        </w:tabs>
        <w:spacing w:before="240" w:after="240"/>
        <w:jc w:val="both"/>
        <w:rPr>
          <w:rFonts w:ascii="CAIXA Std Book" w:hAnsi="CAIXA Std Book"/>
          <w:color w:val="005CA9"/>
          <w:sz w:val="20"/>
          <w:szCs w:val="20"/>
        </w:rPr>
      </w:pPr>
      <w:r w:rsidRPr="00E20D21">
        <w:rPr>
          <w:rFonts w:ascii="CAIXA Std Book" w:hAnsi="CAIXA Std Book"/>
          <w:color w:val="005CA9"/>
          <w:sz w:val="20"/>
          <w:szCs w:val="20"/>
        </w:rPr>
        <w:t>A CAIXA não possui ativos contingentes cuja entrada de benefícios econômicos seja classificada como provável.</w:t>
      </w:r>
    </w:p>
    <w:p w14:paraId="3B126724" w14:textId="079544E5" w:rsidR="000B3640" w:rsidRPr="00E20D21" w:rsidRDefault="000B3640" w:rsidP="000B3640">
      <w:pPr>
        <w:keepNext/>
        <w:numPr>
          <w:ilvl w:val="0"/>
          <w:numId w:val="5"/>
        </w:numPr>
        <w:spacing w:before="240" w:after="240"/>
        <w:ind w:left="567" w:hanging="567"/>
        <w:jc w:val="both"/>
        <w:rPr>
          <w:rFonts w:ascii="CAIXA Std Book" w:hAnsi="CAIXA Std Book"/>
          <w:b/>
          <w:bCs/>
          <w:color w:val="005CA9"/>
          <w:sz w:val="20"/>
          <w:szCs w:val="20"/>
        </w:rPr>
      </w:pPr>
      <w:r w:rsidRPr="00E20D21">
        <w:rPr>
          <w:rFonts w:ascii="CAIXA Std Book" w:hAnsi="CAIXA Std Book"/>
          <w:b/>
          <w:bCs/>
          <w:color w:val="005CA9"/>
          <w:sz w:val="20"/>
          <w:szCs w:val="20"/>
        </w:rPr>
        <w:t>Provisões para causas judiciais e obrigações fiscais e previdenciárias</w:t>
      </w:r>
    </w:p>
    <w:p w14:paraId="4C0B99F5" w14:textId="77777777" w:rsidR="00910878" w:rsidRPr="00E20D21" w:rsidRDefault="00910878" w:rsidP="000B3640">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é parte em processos judiciais e administrativos de natureza tributária, cível e trabalhista, decorrentes do curso normal de seus negócios. Com base em pareceres dos seus advogados e levando em consideração que os procedimentos adotados pela CAIXA guardam conformidade com as previsões legais e regulamentares, a Administração entende que as provisões constituídas são suficientes para suportar os riscos de eventuais decisões desfavoráveis nesses processos.</w:t>
      </w:r>
    </w:p>
    <w:bookmarkEnd w:id="63"/>
    <w:p w14:paraId="137C1D98" w14:textId="0A1C31CB" w:rsidR="00CA505E" w:rsidRPr="00E20D21" w:rsidRDefault="00CA505E" w:rsidP="00CA505E">
      <w:pPr>
        <w:jc w:val="both"/>
        <w:rPr>
          <w:rFonts w:ascii="CAIXA Std Book" w:hAnsi="CAIXA Std Book"/>
          <w:color w:val="005CA9"/>
          <w:sz w:val="20"/>
          <w:szCs w:val="20"/>
        </w:rPr>
      </w:pPr>
      <w:r w:rsidRPr="00E20D21">
        <w:rPr>
          <w:rFonts w:ascii="CAIXA Std Book" w:hAnsi="CAIXA Std Book"/>
          <w:color w:val="005CA9"/>
          <w:sz w:val="20"/>
          <w:szCs w:val="20"/>
        </w:rPr>
        <w:lastRenderedPageBreak/>
        <w:t>Considerando o elevado número de processos administrativos e judiciais, a CAIXA utiliza as seguintes metodologias para calcular o valor provável de desembolso</w:t>
      </w:r>
      <w:r w:rsidR="001A5144" w:rsidRPr="00E20D21">
        <w:rPr>
          <w:rFonts w:ascii="CAIXA Std Book" w:hAnsi="CAIXA Std Book"/>
          <w:color w:val="005CA9"/>
          <w:sz w:val="20"/>
          <w:szCs w:val="20"/>
        </w:rPr>
        <w:t>:</w:t>
      </w:r>
    </w:p>
    <w:p w14:paraId="31B440D8" w14:textId="77777777" w:rsidR="001A5144" w:rsidRPr="00E20D21" w:rsidRDefault="001A5144" w:rsidP="00CA505E">
      <w:pPr>
        <w:jc w:val="both"/>
        <w:rPr>
          <w:rFonts w:ascii="CAIXA Std Book" w:hAnsi="CAIXA Std Book"/>
          <w:color w:val="005CA9"/>
          <w:sz w:val="20"/>
          <w:szCs w:val="20"/>
        </w:rPr>
      </w:pPr>
    </w:p>
    <w:p w14:paraId="50DD3828" w14:textId="26D132A7" w:rsidR="00D64DF8" w:rsidRPr="00E20D21" w:rsidRDefault="00CA505E" w:rsidP="006874AA">
      <w:pPr>
        <w:jc w:val="both"/>
        <w:rPr>
          <w:rFonts w:ascii="CAIXA Std Book" w:hAnsi="CAIXA Std Book"/>
          <w:color w:val="005CA9"/>
          <w:sz w:val="20"/>
          <w:szCs w:val="20"/>
        </w:rPr>
      </w:pPr>
      <w:r w:rsidRPr="00E20D21">
        <w:rPr>
          <w:rFonts w:ascii="CAIXA Std Book" w:hAnsi="CAIXA Std Book"/>
          <w:color w:val="005CA9"/>
          <w:sz w:val="20"/>
          <w:szCs w:val="20"/>
        </w:rPr>
        <w:t xml:space="preserve">a) </w:t>
      </w:r>
      <w:r w:rsidR="00587052" w:rsidRPr="00E20D21">
        <w:rPr>
          <w:rFonts w:ascii="CAIXA Std Book" w:hAnsi="CAIXA Std Book"/>
          <w:color w:val="005CA9"/>
          <w:sz w:val="20"/>
          <w:szCs w:val="20"/>
        </w:rPr>
        <w:t>metodol</w:t>
      </w:r>
      <w:r w:rsidR="00C16E0E" w:rsidRPr="00E20D21">
        <w:rPr>
          <w:rFonts w:ascii="CAIXA Std Book" w:hAnsi="CAIXA Std Book"/>
          <w:color w:val="005CA9"/>
          <w:sz w:val="20"/>
          <w:szCs w:val="20"/>
        </w:rPr>
        <w:t>ogia</w:t>
      </w:r>
      <w:r w:rsidRPr="00E20D21">
        <w:rPr>
          <w:rFonts w:ascii="CAIXA Std Book" w:hAnsi="CAIXA Std Book"/>
          <w:color w:val="005CA9"/>
          <w:sz w:val="20"/>
          <w:szCs w:val="20"/>
        </w:rPr>
        <w:t xml:space="preserve"> individualizada, na qual se estima o valor provável da condenação (valor provisionado); este cálculo parte da repercussão econômica dos pedidos feitos pelo autor e é ponderado com a situação do processo e a jurisprudência predominante em causas similares; tais ações são classificadas como de perda provável, possível ou remota;</w:t>
      </w:r>
    </w:p>
    <w:p w14:paraId="56E1091A" w14:textId="53FD3BF2" w:rsidR="00D64DF8" w:rsidRPr="00E20D21" w:rsidRDefault="00CA505E" w:rsidP="002D5294">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b) metodologia massificada em que o valor provisionado corresponde ao valor médio histórico de condenação pago em processos similares nos últimos 36 meses, multiplicado pelo total de processos provisionáveis ativos, e são classificadas como prováveis;</w:t>
      </w:r>
    </w:p>
    <w:p w14:paraId="48679B14" w14:textId="60B9347C" w:rsidR="00A80C44" w:rsidRPr="00E20D21" w:rsidRDefault="00CA505E" w:rsidP="006874AA">
      <w:pPr>
        <w:jc w:val="both"/>
        <w:rPr>
          <w:rFonts w:ascii="CAIXA Std Book" w:hAnsi="CAIXA Std Book"/>
          <w:color w:val="005CA9"/>
          <w:sz w:val="20"/>
          <w:szCs w:val="20"/>
        </w:rPr>
      </w:pPr>
      <w:r w:rsidRPr="00E20D21">
        <w:rPr>
          <w:rFonts w:ascii="CAIXA Std Book" w:hAnsi="CAIXA Std Book"/>
          <w:color w:val="005CA9"/>
          <w:sz w:val="20"/>
          <w:szCs w:val="20"/>
        </w:rPr>
        <w:t xml:space="preserve">c) metodologia massificada para cálculo do valor provável de desembolso para ações judiciais trabalhistas e habitacionais </w:t>
      </w:r>
      <w:r w:rsidR="006A3389" w:rsidRPr="00E20D21">
        <w:rPr>
          <w:rFonts w:ascii="CAIXA Std Book" w:hAnsi="CAIXA Std Book"/>
          <w:color w:val="005CA9"/>
          <w:sz w:val="20"/>
          <w:szCs w:val="20"/>
        </w:rPr>
        <w:t>e de feitos diversos</w:t>
      </w:r>
      <w:r w:rsidRPr="00E20D21">
        <w:rPr>
          <w:rFonts w:ascii="CAIXA Std Book" w:hAnsi="CAIXA Std Book"/>
          <w:color w:val="005CA9"/>
          <w:sz w:val="20"/>
          <w:szCs w:val="20"/>
        </w:rPr>
        <w:t xml:space="preserve"> para 100% dos expedientes rotineiros em fase de conhecimento, que consiste na mensuração da probabilidade e do impacto do resultado desfavorável à instituição.</w:t>
      </w:r>
    </w:p>
    <w:p w14:paraId="60CEDBB9" w14:textId="39E79A23" w:rsidR="00983514" w:rsidRPr="00E20D21" w:rsidRDefault="00983514">
      <w:pPr>
        <w:rPr>
          <w:rFonts w:ascii="CAIXA Std Book" w:hAnsi="CAIXA Std Book"/>
          <w:color w:val="005CA9"/>
          <w:sz w:val="20"/>
          <w:szCs w:val="20"/>
        </w:rPr>
      </w:pPr>
    </w:p>
    <w:p w14:paraId="5797D3C0" w14:textId="232A905D" w:rsidR="00910878" w:rsidRPr="00E20D21" w:rsidRDefault="00910878" w:rsidP="00051BF7">
      <w:pPr>
        <w:pStyle w:val="Corpodetexto"/>
        <w:ind w:left="567" w:hanging="567"/>
        <w:rPr>
          <w:rFonts w:ascii="CAIXA Std Book" w:hAnsi="CAIXA Std Book"/>
          <w:b/>
          <w:color w:val="005CA9"/>
        </w:rPr>
      </w:pPr>
      <w:r w:rsidRPr="00E20D21">
        <w:rPr>
          <w:rFonts w:ascii="CAIXA Std Book" w:hAnsi="CAIXA Std Book"/>
          <w:b/>
          <w:color w:val="005CA9"/>
        </w:rPr>
        <w:t>(b.1)</w:t>
      </w:r>
      <w:r w:rsidRPr="00E20D21">
        <w:rPr>
          <w:rFonts w:ascii="CAIXA Std Book" w:hAnsi="CAIXA Std Book"/>
          <w:b/>
          <w:color w:val="005CA9"/>
        </w:rPr>
        <w:tab/>
        <w:t>Movimentação das provisões para causas judiciais e obrigações fiscais e previdenciárias</w:t>
      </w:r>
    </w:p>
    <w:p w14:paraId="193F073D" w14:textId="77777777" w:rsidR="000A0C22" w:rsidRPr="00E20D21" w:rsidRDefault="000A0C22" w:rsidP="00617DBB">
      <w:pPr>
        <w:pStyle w:val="Corpodetexto"/>
        <w:rPr>
          <w:rFonts w:ascii="CAIXA Std Book" w:hAnsi="CAIXA Std Book"/>
          <w:b/>
          <w:color w:val="005CA9"/>
        </w:rPr>
      </w:pPr>
    </w:p>
    <w:tbl>
      <w:tblPr>
        <w:tblW w:w="5000" w:type="pct"/>
        <w:tblCellMar>
          <w:left w:w="70" w:type="dxa"/>
          <w:right w:w="70" w:type="dxa"/>
        </w:tblCellMar>
        <w:tblLook w:val="04A0" w:firstRow="1" w:lastRow="0" w:firstColumn="1" w:lastColumn="0" w:noHBand="0" w:noVBand="1"/>
      </w:tblPr>
      <w:tblGrid>
        <w:gridCol w:w="2268"/>
        <w:gridCol w:w="1149"/>
        <w:gridCol w:w="942"/>
        <w:gridCol w:w="1106"/>
        <w:gridCol w:w="966"/>
        <w:gridCol w:w="1037"/>
        <w:gridCol w:w="1101"/>
        <w:gridCol w:w="1068"/>
      </w:tblGrid>
      <w:tr w:rsidR="00A47C19" w:rsidRPr="00E20D21" w14:paraId="5DE438E8" w14:textId="77777777" w:rsidTr="000A3882">
        <w:trPr>
          <w:trHeight w:val="283"/>
        </w:trPr>
        <w:tc>
          <w:tcPr>
            <w:tcW w:w="5000" w:type="pct"/>
            <w:gridSpan w:val="8"/>
            <w:tcBorders>
              <w:top w:val="single" w:sz="4" w:space="0" w:color="F39200"/>
              <w:left w:val="nil"/>
              <w:bottom w:val="single" w:sz="4" w:space="0" w:color="F39200"/>
              <w:right w:val="nil"/>
            </w:tcBorders>
            <w:shd w:val="clear" w:color="auto" w:fill="auto"/>
            <w:vAlign w:val="center"/>
            <w:hideMark/>
          </w:tcPr>
          <w:p w14:paraId="22DEF185" w14:textId="02C70D0A" w:rsidR="00AD18ED" w:rsidRPr="00E20D21" w:rsidRDefault="00AD18ED" w:rsidP="00AD18ED">
            <w:pPr>
              <w:jc w:val="center"/>
              <w:rPr>
                <w:rFonts w:ascii="CAIXA Std Book" w:eastAsia="Times New Roman" w:hAnsi="CAIXA Std Book" w:cs="Arial"/>
                <w:b/>
                <w:bCs/>
                <w:color w:val="005CA9"/>
                <w:sz w:val="16"/>
                <w:szCs w:val="16"/>
              </w:rPr>
            </w:pPr>
            <w:bookmarkStart w:id="66" w:name="_Hlk65762392"/>
            <w:r w:rsidRPr="00E20D21">
              <w:rPr>
                <w:rFonts w:ascii="CAIXA Std Book" w:eastAsia="Times New Roman" w:hAnsi="CAIXA Std Book" w:cs="Arial"/>
                <w:b/>
                <w:bCs/>
                <w:color w:val="005CA9"/>
                <w:sz w:val="16"/>
                <w:szCs w:val="16"/>
              </w:rPr>
              <w:t>INDIVIDUAL</w:t>
            </w:r>
            <w:r w:rsidR="00E20D21">
              <w:rPr>
                <w:rFonts w:ascii="CAIXA Std Book" w:eastAsia="Times New Roman" w:hAnsi="CAIXA Std Book" w:cs="Arial"/>
                <w:b/>
                <w:bCs/>
                <w:color w:val="005CA9"/>
                <w:sz w:val="16"/>
                <w:szCs w:val="16"/>
              </w:rPr>
              <w:t xml:space="preserve"> </w:t>
            </w:r>
            <w:r w:rsidRPr="00E20D21">
              <w:rPr>
                <w:rFonts w:ascii="CAIXA Std Book" w:eastAsia="Times New Roman" w:hAnsi="CAIXA Std Book" w:cs="Arial"/>
                <w:b/>
                <w:bCs/>
                <w:color w:val="005CA9"/>
                <w:sz w:val="16"/>
                <w:szCs w:val="16"/>
              </w:rPr>
              <w:t>/</w:t>
            </w:r>
            <w:r w:rsidR="00E20D21">
              <w:rPr>
                <w:rFonts w:ascii="CAIXA Std Book" w:eastAsia="Times New Roman" w:hAnsi="CAIXA Std Book" w:cs="Arial"/>
                <w:b/>
                <w:bCs/>
                <w:color w:val="005CA9"/>
                <w:sz w:val="16"/>
                <w:szCs w:val="16"/>
              </w:rPr>
              <w:t xml:space="preserve"> </w:t>
            </w:r>
            <w:r w:rsidRPr="00E20D21">
              <w:rPr>
                <w:rFonts w:ascii="CAIXA Std Book" w:eastAsia="Times New Roman" w:hAnsi="CAIXA Std Book" w:cs="Arial"/>
                <w:b/>
                <w:bCs/>
                <w:color w:val="005CA9"/>
                <w:sz w:val="16"/>
                <w:szCs w:val="16"/>
              </w:rPr>
              <w:t>CONSOLIDADO</w:t>
            </w:r>
          </w:p>
        </w:tc>
      </w:tr>
      <w:tr w:rsidR="00A47C19" w:rsidRPr="00E20D21" w14:paraId="62DFA34E" w14:textId="77777777" w:rsidTr="00163700">
        <w:trPr>
          <w:trHeight w:val="283"/>
        </w:trPr>
        <w:tc>
          <w:tcPr>
            <w:tcW w:w="1177" w:type="pct"/>
            <w:vMerge w:val="restart"/>
            <w:tcBorders>
              <w:top w:val="nil"/>
              <w:left w:val="nil"/>
              <w:bottom w:val="single" w:sz="4" w:space="0" w:color="F39200"/>
              <w:right w:val="nil"/>
            </w:tcBorders>
            <w:shd w:val="clear" w:color="auto" w:fill="auto"/>
            <w:vAlign w:val="center"/>
            <w:hideMark/>
          </w:tcPr>
          <w:p w14:paraId="176801F6" w14:textId="77777777" w:rsidR="00AD18ED" w:rsidRPr="00E20D21" w:rsidRDefault="00AD18ED" w:rsidP="00AD18E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Descrição</w:t>
            </w:r>
          </w:p>
        </w:tc>
        <w:tc>
          <w:tcPr>
            <w:tcW w:w="596" w:type="pct"/>
            <w:vMerge w:val="restart"/>
            <w:tcBorders>
              <w:top w:val="nil"/>
              <w:left w:val="nil"/>
              <w:bottom w:val="single" w:sz="4" w:space="0" w:color="F39200"/>
              <w:right w:val="nil"/>
            </w:tcBorders>
            <w:shd w:val="clear" w:color="auto" w:fill="auto"/>
            <w:vAlign w:val="center"/>
            <w:hideMark/>
          </w:tcPr>
          <w:p w14:paraId="0C200081" w14:textId="483D935C" w:rsidR="00AD18ED" w:rsidRPr="00E20D21" w:rsidRDefault="00AD18ED" w:rsidP="00AD18E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31/12/202</w:t>
            </w:r>
            <w:r w:rsidR="00C359A7" w:rsidRPr="00E20D21">
              <w:rPr>
                <w:rFonts w:ascii="CAIXA Std Book" w:eastAsia="Times New Roman" w:hAnsi="CAIXA Std Book" w:cs="Arial"/>
                <w:b/>
                <w:bCs/>
                <w:color w:val="005CA9"/>
                <w:sz w:val="16"/>
                <w:szCs w:val="16"/>
              </w:rPr>
              <w:t>3</w:t>
            </w:r>
          </w:p>
        </w:tc>
        <w:tc>
          <w:tcPr>
            <w:tcW w:w="2673" w:type="pct"/>
            <w:gridSpan w:val="5"/>
            <w:tcBorders>
              <w:top w:val="single" w:sz="4" w:space="0" w:color="F39200"/>
              <w:left w:val="nil"/>
              <w:bottom w:val="single" w:sz="4" w:space="0" w:color="F39200"/>
              <w:right w:val="nil"/>
            </w:tcBorders>
            <w:shd w:val="clear" w:color="auto" w:fill="auto"/>
            <w:vAlign w:val="center"/>
            <w:hideMark/>
          </w:tcPr>
          <w:p w14:paraId="42C008F0" w14:textId="6414675E" w:rsidR="00AD18ED" w:rsidRPr="00E20D21" w:rsidRDefault="00AD18ED" w:rsidP="00AD18E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Movimentação</w:t>
            </w:r>
          </w:p>
        </w:tc>
        <w:tc>
          <w:tcPr>
            <w:tcW w:w="554" w:type="pct"/>
            <w:vMerge w:val="restart"/>
            <w:tcBorders>
              <w:top w:val="nil"/>
              <w:left w:val="nil"/>
              <w:bottom w:val="single" w:sz="4" w:space="0" w:color="F39200"/>
              <w:right w:val="nil"/>
            </w:tcBorders>
            <w:shd w:val="clear" w:color="auto" w:fill="auto"/>
            <w:vAlign w:val="center"/>
            <w:hideMark/>
          </w:tcPr>
          <w:p w14:paraId="5C23C23E" w14:textId="4D2FAC15" w:rsidR="00AD18ED" w:rsidRPr="00E20D21" w:rsidRDefault="00C359A7" w:rsidP="00AD18E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30/06/2024</w:t>
            </w:r>
          </w:p>
        </w:tc>
      </w:tr>
      <w:tr w:rsidR="00A47C19" w:rsidRPr="00E20D21" w14:paraId="538C1D5A" w14:textId="77777777" w:rsidTr="00163700">
        <w:trPr>
          <w:trHeight w:val="283"/>
        </w:trPr>
        <w:tc>
          <w:tcPr>
            <w:tcW w:w="1177" w:type="pct"/>
            <w:vMerge/>
            <w:tcBorders>
              <w:top w:val="nil"/>
              <w:left w:val="nil"/>
              <w:bottom w:val="single" w:sz="4" w:space="0" w:color="F39200"/>
              <w:right w:val="nil"/>
            </w:tcBorders>
            <w:vAlign w:val="center"/>
            <w:hideMark/>
          </w:tcPr>
          <w:p w14:paraId="3888DEEC" w14:textId="77777777" w:rsidR="00AD18ED" w:rsidRPr="00E20D21" w:rsidRDefault="00AD18ED" w:rsidP="00AD18ED">
            <w:pPr>
              <w:rPr>
                <w:rFonts w:ascii="CAIXA Std Book" w:eastAsia="Times New Roman" w:hAnsi="CAIXA Std Book" w:cs="Arial"/>
                <w:b/>
                <w:bCs/>
                <w:color w:val="005CA9"/>
                <w:sz w:val="16"/>
                <w:szCs w:val="16"/>
              </w:rPr>
            </w:pPr>
          </w:p>
        </w:tc>
        <w:tc>
          <w:tcPr>
            <w:tcW w:w="596" w:type="pct"/>
            <w:vMerge/>
            <w:tcBorders>
              <w:top w:val="nil"/>
              <w:left w:val="nil"/>
              <w:bottom w:val="single" w:sz="4" w:space="0" w:color="F39200"/>
              <w:right w:val="nil"/>
            </w:tcBorders>
            <w:vAlign w:val="center"/>
            <w:hideMark/>
          </w:tcPr>
          <w:p w14:paraId="75DCD9AD" w14:textId="77777777" w:rsidR="00AD18ED" w:rsidRPr="00E20D21" w:rsidRDefault="00AD18ED" w:rsidP="00AD18ED">
            <w:pPr>
              <w:rPr>
                <w:rFonts w:ascii="CAIXA Std Book" w:eastAsia="Times New Roman" w:hAnsi="CAIXA Std Book" w:cs="Arial"/>
                <w:b/>
                <w:bCs/>
                <w:color w:val="005CA9"/>
                <w:sz w:val="16"/>
                <w:szCs w:val="16"/>
              </w:rPr>
            </w:pPr>
          </w:p>
        </w:tc>
        <w:tc>
          <w:tcPr>
            <w:tcW w:w="489" w:type="pct"/>
            <w:tcBorders>
              <w:top w:val="nil"/>
              <w:left w:val="nil"/>
              <w:bottom w:val="single" w:sz="4" w:space="0" w:color="F39200"/>
              <w:right w:val="nil"/>
            </w:tcBorders>
            <w:shd w:val="clear" w:color="auto" w:fill="auto"/>
            <w:vAlign w:val="center"/>
            <w:hideMark/>
          </w:tcPr>
          <w:p w14:paraId="3497A8CD" w14:textId="77777777" w:rsidR="00AD18ED" w:rsidRPr="00E20D21" w:rsidRDefault="00AD18ED" w:rsidP="00AD18E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Novas provisões</w:t>
            </w:r>
          </w:p>
        </w:tc>
        <w:tc>
          <w:tcPr>
            <w:tcW w:w="574" w:type="pct"/>
            <w:tcBorders>
              <w:top w:val="nil"/>
              <w:left w:val="nil"/>
              <w:bottom w:val="single" w:sz="4" w:space="0" w:color="F39200"/>
              <w:right w:val="nil"/>
            </w:tcBorders>
            <w:shd w:val="clear" w:color="auto" w:fill="auto"/>
            <w:vAlign w:val="center"/>
            <w:hideMark/>
          </w:tcPr>
          <w:p w14:paraId="39338A21" w14:textId="77777777" w:rsidR="00AD18ED" w:rsidRPr="00E20D21" w:rsidRDefault="00AD18ED" w:rsidP="00AD18E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Atualização monetária</w:t>
            </w:r>
          </w:p>
        </w:tc>
        <w:tc>
          <w:tcPr>
            <w:tcW w:w="501" w:type="pct"/>
            <w:tcBorders>
              <w:top w:val="nil"/>
              <w:left w:val="nil"/>
              <w:bottom w:val="single" w:sz="4" w:space="0" w:color="F39200"/>
              <w:right w:val="nil"/>
            </w:tcBorders>
            <w:shd w:val="clear" w:color="auto" w:fill="auto"/>
            <w:vAlign w:val="center"/>
            <w:hideMark/>
          </w:tcPr>
          <w:p w14:paraId="0946DCAC" w14:textId="77777777" w:rsidR="00AD18ED" w:rsidRPr="00E20D21" w:rsidRDefault="00AD18ED" w:rsidP="00AD18E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Adições de provisões</w:t>
            </w:r>
          </w:p>
        </w:tc>
        <w:tc>
          <w:tcPr>
            <w:tcW w:w="538" w:type="pct"/>
            <w:tcBorders>
              <w:top w:val="nil"/>
              <w:left w:val="nil"/>
              <w:bottom w:val="single" w:sz="4" w:space="0" w:color="F39200"/>
              <w:right w:val="nil"/>
            </w:tcBorders>
            <w:shd w:val="clear" w:color="auto" w:fill="auto"/>
            <w:vAlign w:val="center"/>
            <w:hideMark/>
          </w:tcPr>
          <w:p w14:paraId="7E8C6D4D" w14:textId="397C14A7" w:rsidR="00AD18ED" w:rsidRPr="00E20D21" w:rsidRDefault="00AD18ED" w:rsidP="00AD18E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Reversões de provisões</w:t>
            </w:r>
            <w:r w:rsidR="005364DA" w:rsidRPr="00E20D21">
              <w:rPr>
                <w:rFonts w:ascii="CAIXA Std Book" w:eastAsia="Times New Roman" w:hAnsi="CAIXA Std Book" w:cs="Arial"/>
                <w:b/>
                <w:bCs/>
                <w:color w:val="005CA9"/>
                <w:sz w:val="16"/>
                <w:szCs w:val="16"/>
              </w:rPr>
              <w:t xml:space="preserve"> </w:t>
            </w:r>
          </w:p>
        </w:tc>
        <w:tc>
          <w:tcPr>
            <w:tcW w:w="571" w:type="pct"/>
            <w:tcBorders>
              <w:top w:val="nil"/>
              <w:left w:val="nil"/>
              <w:bottom w:val="single" w:sz="4" w:space="0" w:color="F39200"/>
              <w:right w:val="nil"/>
            </w:tcBorders>
            <w:shd w:val="clear" w:color="auto" w:fill="auto"/>
            <w:vAlign w:val="center"/>
            <w:hideMark/>
          </w:tcPr>
          <w:p w14:paraId="6C4A135D" w14:textId="37A66D80" w:rsidR="00AD18ED" w:rsidRPr="00E20D21" w:rsidRDefault="00AD18ED" w:rsidP="00AD18ED">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Baixas por pagamento</w:t>
            </w:r>
            <w:r w:rsidR="005364DA" w:rsidRPr="00E20D21">
              <w:rPr>
                <w:rFonts w:ascii="CAIXA Std Book" w:eastAsia="Times New Roman" w:hAnsi="CAIXA Std Book" w:cs="Arial"/>
                <w:b/>
                <w:bCs/>
                <w:color w:val="005CA9"/>
                <w:sz w:val="16"/>
                <w:szCs w:val="16"/>
              </w:rPr>
              <w:t xml:space="preserve"> </w:t>
            </w:r>
          </w:p>
        </w:tc>
        <w:tc>
          <w:tcPr>
            <w:tcW w:w="554" w:type="pct"/>
            <w:vMerge/>
            <w:tcBorders>
              <w:top w:val="nil"/>
              <w:left w:val="nil"/>
              <w:bottom w:val="single" w:sz="4" w:space="0" w:color="F39200"/>
              <w:right w:val="nil"/>
            </w:tcBorders>
            <w:vAlign w:val="center"/>
            <w:hideMark/>
          </w:tcPr>
          <w:p w14:paraId="70D5C24E" w14:textId="77777777" w:rsidR="00AD18ED" w:rsidRPr="00E20D21" w:rsidRDefault="00AD18ED" w:rsidP="00AD18ED">
            <w:pPr>
              <w:rPr>
                <w:rFonts w:ascii="CAIXA Std Book" w:eastAsia="Times New Roman" w:hAnsi="CAIXA Std Book" w:cs="Arial"/>
                <w:b/>
                <w:bCs/>
                <w:color w:val="005CA9"/>
                <w:sz w:val="16"/>
                <w:szCs w:val="16"/>
              </w:rPr>
            </w:pPr>
          </w:p>
        </w:tc>
      </w:tr>
      <w:tr w:rsidR="00AE1F32" w:rsidRPr="00E20D21" w14:paraId="19823C0F" w14:textId="77777777" w:rsidTr="00163700">
        <w:trPr>
          <w:trHeight w:val="283"/>
        </w:trPr>
        <w:tc>
          <w:tcPr>
            <w:tcW w:w="1177" w:type="pct"/>
            <w:tcBorders>
              <w:top w:val="nil"/>
              <w:left w:val="nil"/>
              <w:bottom w:val="nil"/>
              <w:right w:val="nil"/>
            </w:tcBorders>
            <w:shd w:val="clear" w:color="auto" w:fill="auto"/>
            <w:vAlign w:val="center"/>
            <w:hideMark/>
          </w:tcPr>
          <w:p w14:paraId="414ED8A4" w14:textId="5D2CDBB8" w:rsidR="00AE1F32" w:rsidRPr="00E20D21" w:rsidRDefault="00AE1F32" w:rsidP="00AE1F3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Trabalhistas (b.</w:t>
            </w:r>
            <w:r w:rsidR="002137EA" w:rsidRPr="00E20D21">
              <w:rPr>
                <w:rFonts w:ascii="CAIXA Std Book" w:eastAsia="Times New Roman" w:hAnsi="CAIXA Std Book" w:cs="Arial"/>
                <w:b/>
                <w:bCs/>
                <w:color w:val="005CA9"/>
                <w:sz w:val="16"/>
                <w:szCs w:val="16"/>
              </w:rPr>
              <w:t>2</w:t>
            </w:r>
            <w:r w:rsidRPr="00E20D21">
              <w:rPr>
                <w:rFonts w:ascii="CAIXA Std Book" w:eastAsia="Times New Roman" w:hAnsi="CAIXA Std Book" w:cs="Arial"/>
                <w:b/>
                <w:bCs/>
                <w:color w:val="005CA9"/>
                <w:sz w:val="16"/>
                <w:szCs w:val="16"/>
              </w:rPr>
              <w:t>)</w:t>
            </w:r>
          </w:p>
        </w:tc>
        <w:tc>
          <w:tcPr>
            <w:tcW w:w="596" w:type="pct"/>
            <w:tcBorders>
              <w:top w:val="nil"/>
              <w:left w:val="nil"/>
              <w:bottom w:val="nil"/>
              <w:right w:val="nil"/>
            </w:tcBorders>
            <w:shd w:val="clear" w:color="auto" w:fill="auto"/>
            <w:vAlign w:val="center"/>
            <w:hideMark/>
          </w:tcPr>
          <w:p w14:paraId="08D9E858" w14:textId="127CFDA8" w:rsidR="00AE1F32" w:rsidRPr="00E20D21" w:rsidRDefault="00B57E94" w:rsidP="00AE1F32">
            <w:pPr>
              <w:jc w:val="right"/>
              <w:rPr>
                <w:rFonts w:ascii="CAIXA Std Book" w:eastAsia="Times New Roman" w:hAnsi="CAIXA Std Book" w:cs="Arial"/>
                <w:b/>
                <w:bCs/>
                <w:color w:val="005CA9"/>
                <w:sz w:val="16"/>
                <w:szCs w:val="16"/>
              </w:rPr>
            </w:pPr>
            <w:r w:rsidRPr="00E20D21">
              <w:rPr>
                <w:rFonts w:ascii="CAIXA Std Book" w:eastAsia="Times New Roman" w:hAnsi="CAIXA Std Book" w:cs="Times New Roman"/>
                <w:b/>
                <w:color w:val="005CA9"/>
                <w:sz w:val="16"/>
                <w:szCs w:val="16"/>
              </w:rPr>
              <w:t>7.014.653</w:t>
            </w:r>
          </w:p>
        </w:tc>
        <w:tc>
          <w:tcPr>
            <w:tcW w:w="489" w:type="pct"/>
            <w:tcBorders>
              <w:top w:val="nil"/>
              <w:left w:val="nil"/>
              <w:bottom w:val="nil"/>
              <w:right w:val="nil"/>
            </w:tcBorders>
            <w:shd w:val="clear" w:color="auto" w:fill="auto"/>
            <w:vAlign w:val="center"/>
          </w:tcPr>
          <w:p w14:paraId="2AB32680" w14:textId="7C28697F"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278.905</w:t>
            </w:r>
          </w:p>
        </w:tc>
        <w:tc>
          <w:tcPr>
            <w:tcW w:w="574" w:type="pct"/>
            <w:tcBorders>
              <w:top w:val="nil"/>
              <w:left w:val="nil"/>
              <w:bottom w:val="nil"/>
              <w:right w:val="nil"/>
            </w:tcBorders>
            <w:shd w:val="clear" w:color="auto" w:fill="auto"/>
            <w:vAlign w:val="center"/>
          </w:tcPr>
          <w:p w14:paraId="35D8CE9F" w14:textId="5EECF732"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207.929</w:t>
            </w:r>
          </w:p>
        </w:tc>
        <w:tc>
          <w:tcPr>
            <w:tcW w:w="501" w:type="pct"/>
            <w:tcBorders>
              <w:top w:val="nil"/>
              <w:left w:val="nil"/>
              <w:bottom w:val="nil"/>
              <w:right w:val="nil"/>
            </w:tcBorders>
            <w:shd w:val="clear" w:color="auto" w:fill="auto"/>
            <w:vAlign w:val="center"/>
          </w:tcPr>
          <w:p w14:paraId="597B8699" w14:textId="3CFA9BBB"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1.799.643</w:t>
            </w:r>
          </w:p>
        </w:tc>
        <w:tc>
          <w:tcPr>
            <w:tcW w:w="538" w:type="pct"/>
            <w:tcBorders>
              <w:top w:val="nil"/>
              <w:left w:val="nil"/>
              <w:bottom w:val="nil"/>
              <w:right w:val="nil"/>
            </w:tcBorders>
            <w:shd w:val="clear" w:color="auto" w:fill="auto"/>
            <w:vAlign w:val="center"/>
          </w:tcPr>
          <w:p w14:paraId="72E77771" w14:textId="753521CF"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(608.472)</w:t>
            </w:r>
          </w:p>
        </w:tc>
        <w:tc>
          <w:tcPr>
            <w:tcW w:w="571" w:type="pct"/>
            <w:tcBorders>
              <w:top w:val="nil"/>
              <w:left w:val="nil"/>
              <w:bottom w:val="nil"/>
              <w:right w:val="nil"/>
            </w:tcBorders>
            <w:shd w:val="clear" w:color="auto" w:fill="auto"/>
            <w:vAlign w:val="center"/>
          </w:tcPr>
          <w:p w14:paraId="34DE1E6A" w14:textId="125EE9FA"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(2.016.774)</w:t>
            </w:r>
          </w:p>
        </w:tc>
        <w:tc>
          <w:tcPr>
            <w:tcW w:w="554" w:type="pct"/>
            <w:tcBorders>
              <w:top w:val="nil"/>
              <w:left w:val="nil"/>
              <w:bottom w:val="nil"/>
              <w:right w:val="nil"/>
            </w:tcBorders>
            <w:shd w:val="clear" w:color="auto" w:fill="auto"/>
            <w:vAlign w:val="center"/>
          </w:tcPr>
          <w:p w14:paraId="4841A5CB" w14:textId="47648242"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6.675.884</w:t>
            </w:r>
          </w:p>
        </w:tc>
      </w:tr>
      <w:tr w:rsidR="00AE1F32" w:rsidRPr="00E20D21" w14:paraId="384B0E47" w14:textId="77777777" w:rsidTr="00163700">
        <w:trPr>
          <w:trHeight w:val="283"/>
        </w:trPr>
        <w:tc>
          <w:tcPr>
            <w:tcW w:w="1177" w:type="pct"/>
            <w:tcBorders>
              <w:top w:val="nil"/>
              <w:left w:val="nil"/>
              <w:bottom w:val="nil"/>
              <w:right w:val="nil"/>
            </w:tcBorders>
            <w:shd w:val="clear" w:color="auto" w:fill="auto"/>
            <w:vAlign w:val="center"/>
            <w:hideMark/>
          </w:tcPr>
          <w:p w14:paraId="3446C0B9" w14:textId="2471B27D" w:rsidR="00AE1F32" w:rsidRPr="00E20D21" w:rsidRDefault="00AE1F32" w:rsidP="00AE1F3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Cíveis (b.</w:t>
            </w:r>
            <w:r w:rsidR="002137EA" w:rsidRPr="00E20D21">
              <w:rPr>
                <w:rFonts w:ascii="CAIXA Std Book" w:eastAsia="Times New Roman" w:hAnsi="CAIXA Std Book" w:cs="Arial"/>
                <w:b/>
                <w:bCs/>
                <w:color w:val="005CA9"/>
                <w:sz w:val="16"/>
                <w:szCs w:val="16"/>
              </w:rPr>
              <w:t>3</w:t>
            </w:r>
            <w:r w:rsidRPr="00E20D21">
              <w:rPr>
                <w:rFonts w:ascii="CAIXA Std Book" w:eastAsia="Times New Roman" w:hAnsi="CAIXA Std Book" w:cs="Arial"/>
                <w:b/>
                <w:bCs/>
                <w:color w:val="005CA9"/>
                <w:sz w:val="16"/>
                <w:szCs w:val="16"/>
              </w:rPr>
              <w:t>)</w:t>
            </w:r>
          </w:p>
        </w:tc>
        <w:tc>
          <w:tcPr>
            <w:tcW w:w="596" w:type="pct"/>
            <w:tcBorders>
              <w:top w:val="nil"/>
              <w:left w:val="nil"/>
              <w:bottom w:val="nil"/>
              <w:right w:val="nil"/>
            </w:tcBorders>
            <w:shd w:val="clear" w:color="auto" w:fill="auto"/>
            <w:vAlign w:val="center"/>
            <w:hideMark/>
          </w:tcPr>
          <w:p w14:paraId="195C58AB" w14:textId="601BC4B6" w:rsidR="00AE1F32" w:rsidRPr="00E20D21" w:rsidRDefault="00B57E94" w:rsidP="00AE1F32">
            <w:pPr>
              <w:jc w:val="right"/>
              <w:rPr>
                <w:rFonts w:ascii="CAIXA Std Book" w:eastAsia="Times New Roman" w:hAnsi="CAIXA Std Book" w:cs="Arial"/>
                <w:b/>
                <w:bCs/>
                <w:color w:val="005CA9"/>
                <w:sz w:val="16"/>
                <w:szCs w:val="16"/>
              </w:rPr>
            </w:pPr>
            <w:r w:rsidRPr="00E20D21">
              <w:rPr>
                <w:rFonts w:ascii="CAIXA Std Book" w:eastAsia="Times New Roman" w:hAnsi="CAIXA Std Book" w:cs="Times New Roman"/>
                <w:b/>
                <w:color w:val="005CA9"/>
                <w:sz w:val="16"/>
                <w:szCs w:val="16"/>
              </w:rPr>
              <w:t>3.927.938</w:t>
            </w:r>
          </w:p>
        </w:tc>
        <w:tc>
          <w:tcPr>
            <w:tcW w:w="489" w:type="pct"/>
            <w:tcBorders>
              <w:top w:val="nil"/>
              <w:left w:val="nil"/>
              <w:bottom w:val="nil"/>
              <w:right w:val="nil"/>
            </w:tcBorders>
            <w:shd w:val="clear" w:color="auto" w:fill="auto"/>
            <w:vAlign w:val="center"/>
          </w:tcPr>
          <w:p w14:paraId="06C25B56" w14:textId="14B6C3B3"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176.710</w:t>
            </w:r>
          </w:p>
        </w:tc>
        <w:tc>
          <w:tcPr>
            <w:tcW w:w="574" w:type="pct"/>
            <w:tcBorders>
              <w:top w:val="nil"/>
              <w:left w:val="nil"/>
              <w:bottom w:val="nil"/>
              <w:right w:val="nil"/>
            </w:tcBorders>
            <w:shd w:val="clear" w:color="auto" w:fill="auto"/>
            <w:vAlign w:val="center"/>
          </w:tcPr>
          <w:p w14:paraId="6936A318" w14:textId="0890449A"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62.359</w:t>
            </w:r>
          </w:p>
        </w:tc>
        <w:tc>
          <w:tcPr>
            <w:tcW w:w="501" w:type="pct"/>
            <w:tcBorders>
              <w:top w:val="nil"/>
              <w:left w:val="nil"/>
              <w:bottom w:val="nil"/>
              <w:right w:val="nil"/>
            </w:tcBorders>
            <w:shd w:val="clear" w:color="auto" w:fill="auto"/>
            <w:vAlign w:val="center"/>
          </w:tcPr>
          <w:p w14:paraId="701BBA0A" w14:textId="3FFCDA70"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1.167.768</w:t>
            </w:r>
          </w:p>
        </w:tc>
        <w:tc>
          <w:tcPr>
            <w:tcW w:w="538" w:type="pct"/>
            <w:tcBorders>
              <w:top w:val="nil"/>
              <w:left w:val="nil"/>
              <w:bottom w:val="nil"/>
              <w:right w:val="nil"/>
            </w:tcBorders>
            <w:shd w:val="clear" w:color="auto" w:fill="auto"/>
            <w:vAlign w:val="center"/>
          </w:tcPr>
          <w:p w14:paraId="72BD082B" w14:textId="6254DA85"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(699.890)</w:t>
            </w:r>
          </w:p>
        </w:tc>
        <w:tc>
          <w:tcPr>
            <w:tcW w:w="571" w:type="pct"/>
            <w:tcBorders>
              <w:top w:val="nil"/>
              <w:left w:val="nil"/>
              <w:bottom w:val="nil"/>
              <w:right w:val="nil"/>
            </w:tcBorders>
            <w:shd w:val="clear" w:color="auto" w:fill="auto"/>
            <w:vAlign w:val="center"/>
          </w:tcPr>
          <w:p w14:paraId="58EF413F" w14:textId="6C50065E"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(451.593)</w:t>
            </w:r>
          </w:p>
        </w:tc>
        <w:tc>
          <w:tcPr>
            <w:tcW w:w="554" w:type="pct"/>
            <w:tcBorders>
              <w:top w:val="nil"/>
              <w:left w:val="nil"/>
              <w:bottom w:val="nil"/>
              <w:right w:val="nil"/>
            </w:tcBorders>
            <w:shd w:val="clear" w:color="auto" w:fill="auto"/>
            <w:vAlign w:val="center"/>
          </w:tcPr>
          <w:p w14:paraId="6DA6EFD1" w14:textId="0EFCEA89"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4.183.292</w:t>
            </w:r>
          </w:p>
        </w:tc>
      </w:tr>
      <w:tr w:rsidR="00AE1F32" w:rsidRPr="00E20D21" w14:paraId="53477F4A" w14:textId="77777777" w:rsidTr="00163700">
        <w:trPr>
          <w:trHeight w:val="283"/>
        </w:trPr>
        <w:tc>
          <w:tcPr>
            <w:tcW w:w="1177" w:type="pct"/>
            <w:tcBorders>
              <w:top w:val="nil"/>
              <w:left w:val="nil"/>
              <w:bottom w:val="nil"/>
              <w:right w:val="nil"/>
            </w:tcBorders>
            <w:shd w:val="clear" w:color="auto" w:fill="auto"/>
            <w:vAlign w:val="center"/>
            <w:hideMark/>
          </w:tcPr>
          <w:p w14:paraId="326F7C41" w14:textId="77777777" w:rsidR="00AE1F32" w:rsidRPr="00E20D21" w:rsidRDefault="00AE1F32" w:rsidP="00AE1F32">
            <w:pPr>
              <w:ind w:left="17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Feitos Diversos</w:t>
            </w:r>
          </w:p>
        </w:tc>
        <w:tc>
          <w:tcPr>
            <w:tcW w:w="596" w:type="pct"/>
            <w:tcBorders>
              <w:top w:val="nil"/>
              <w:left w:val="nil"/>
              <w:bottom w:val="nil"/>
              <w:right w:val="nil"/>
            </w:tcBorders>
            <w:shd w:val="clear" w:color="auto" w:fill="auto"/>
            <w:vAlign w:val="center"/>
            <w:hideMark/>
          </w:tcPr>
          <w:p w14:paraId="79FEA7DF" w14:textId="24565A2D" w:rsidR="00AE1F32" w:rsidRPr="00E20D21" w:rsidRDefault="00B57E94" w:rsidP="00AE1F32">
            <w:pPr>
              <w:jc w:val="right"/>
              <w:rPr>
                <w:rFonts w:ascii="CAIXA Std Book" w:eastAsia="Times New Roman" w:hAnsi="CAIXA Std Book" w:cs="Arial"/>
                <w:color w:val="005CA9"/>
                <w:sz w:val="16"/>
                <w:szCs w:val="16"/>
              </w:rPr>
            </w:pPr>
            <w:r w:rsidRPr="00E20D21">
              <w:rPr>
                <w:rFonts w:ascii="CAIXA Std Book" w:eastAsia="Times New Roman" w:hAnsi="CAIXA Std Book" w:cs="Times New Roman"/>
                <w:color w:val="005CA9"/>
                <w:sz w:val="16"/>
                <w:szCs w:val="16"/>
              </w:rPr>
              <w:t>1.436.313</w:t>
            </w:r>
          </w:p>
        </w:tc>
        <w:tc>
          <w:tcPr>
            <w:tcW w:w="489" w:type="pct"/>
            <w:tcBorders>
              <w:top w:val="nil"/>
              <w:left w:val="nil"/>
              <w:bottom w:val="nil"/>
              <w:right w:val="nil"/>
            </w:tcBorders>
            <w:shd w:val="clear" w:color="auto" w:fill="auto"/>
            <w:vAlign w:val="center"/>
          </w:tcPr>
          <w:p w14:paraId="397B032F" w14:textId="7AF52C63"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142.905</w:t>
            </w:r>
          </w:p>
        </w:tc>
        <w:tc>
          <w:tcPr>
            <w:tcW w:w="574" w:type="pct"/>
            <w:tcBorders>
              <w:top w:val="nil"/>
              <w:left w:val="nil"/>
              <w:bottom w:val="nil"/>
              <w:right w:val="nil"/>
            </w:tcBorders>
            <w:shd w:val="clear" w:color="auto" w:fill="auto"/>
            <w:vAlign w:val="center"/>
          </w:tcPr>
          <w:p w14:paraId="3F35EE94" w14:textId="768226D8"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25.401</w:t>
            </w:r>
          </w:p>
        </w:tc>
        <w:tc>
          <w:tcPr>
            <w:tcW w:w="501" w:type="pct"/>
            <w:tcBorders>
              <w:top w:val="nil"/>
              <w:left w:val="nil"/>
              <w:bottom w:val="nil"/>
              <w:right w:val="nil"/>
            </w:tcBorders>
            <w:shd w:val="clear" w:color="auto" w:fill="auto"/>
            <w:vAlign w:val="center"/>
          </w:tcPr>
          <w:p w14:paraId="130E68B4" w14:textId="3218BCB7"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748.738</w:t>
            </w:r>
          </w:p>
        </w:tc>
        <w:tc>
          <w:tcPr>
            <w:tcW w:w="538" w:type="pct"/>
            <w:tcBorders>
              <w:top w:val="nil"/>
              <w:left w:val="nil"/>
              <w:bottom w:val="nil"/>
              <w:right w:val="nil"/>
            </w:tcBorders>
            <w:shd w:val="clear" w:color="auto" w:fill="auto"/>
            <w:vAlign w:val="center"/>
          </w:tcPr>
          <w:p w14:paraId="2AD37910" w14:textId="7A0C78D7"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(354.971)</w:t>
            </w:r>
          </w:p>
        </w:tc>
        <w:tc>
          <w:tcPr>
            <w:tcW w:w="571" w:type="pct"/>
            <w:tcBorders>
              <w:top w:val="nil"/>
              <w:left w:val="nil"/>
              <w:bottom w:val="nil"/>
              <w:right w:val="nil"/>
            </w:tcBorders>
            <w:shd w:val="clear" w:color="auto" w:fill="auto"/>
            <w:vAlign w:val="center"/>
          </w:tcPr>
          <w:p w14:paraId="0DD83315" w14:textId="4B84D16E"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(269.782)</w:t>
            </w:r>
          </w:p>
        </w:tc>
        <w:tc>
          <w:tcPr>
            <w:tcW w:w="554" w:type="pct"/>
            <w:tcBorders>
              <w:top w:val="nil"/>
              <w:left w:val="nil"/>
              <w:bottom w:val="nil"/>
              <w:right w:val="nil"/>
            </w:tcBorders>
            <w:shd w:val="clear" w:color="auto" w:fill="auto"/>
            <w:vAlign w:val="center"/>
          </w:tcPr>
          <w:p w14:paraId="3A2C5F0E" w14:textId="1AFD6201"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1.728.604</w:t>
            </w:r>
          </w:p>
        </w:tc>
      </w:tr>
      <w:tr w:rsidR="00AE1F32" w:rsidRPr="00E20D21" w14:paraId="3D1FA5EE" w14:textId="77777777" w:rsidTr="00163700">
        <w:trPr>
          <w:trHeight w:val="283"/>
        </w:trPr>
        <w:tc>
          <w:tcPr>
            <w:tcW w:w="1177" w:type="pct"/>
            <w:tcBorders>
              <w:top w:val="nil"/>
              <w:left w:val="nil"/>
              <w:bottom w:val="nil"/>
              <w:right w:val="nil"/>
            </w:tcBorders>
            <w:shd w:val="clear" w:color="auto" w:fill="auto"/>
            <w:vAlign w:val="center"/>
            <w:hideMark/>
          </w:tcPr>
          <w:p w14:paraId="78EB269A" w14:textId="77777777" w:rsidR="00AE1F32" w:rsidRPr="00E20D21" w:rsidRDefault="00AE1F32" w:rsidP="00AE1F32">
            <w:pPr>
              <w:ind w:left="17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Poupança - Planos Econômicos</w:t>
            </w:r>
          </w:p>
        </w:tc>
        <w:tc>
          <w:tcPr>
            <w:tcW w:w="596" w:type="pct"/>
            <w:tcBorders>
              <w:top w:val="nil"/>
              <w:left w:val="nil"/>
              <w:bottom w:val="nil"/>
              <w:right w:val="nil"/>
            </w:tcBorders>
            <w:shd w:val="clear" w:color="auto" w:fill="auto"/>
            <w:vAlign w:val="center"/>
            <w:hideMark/>
          </w:tcPr>
          <w:p w14:paraId="7034D149" w14:textId="1FCE44F2" w:rsidR="00AE1F32" w:rsidRPr="00E20D21" w:rsidRDefault="00B57E94" w:rsidP="00AE1F32">
            <w:pPr>
              <w:jc w:val="right"/>
              <w:rPr>
                <w:rFonts w:ascii="CAIXA Std Book" w:eastAsia="Times New Roman" w:hAnsi="CAIXA Std Book" w:cs="Arial"/>
                <w:color w:val="005CA9"/>
                <w:sz w:val="16"/>
                <w:szCs w:val="16"/>
              </w:rPr>
            </w:pPr>
            <w:r w:rsidRPr="00E20D21">
              <w:rPr>
                <w:rFonts w:ascii="CAIXA Std Book" w:eastAsia="Times New Roman" w:hAnsi="CAIXA Std Book" w:cs="Times New Roman"/>
                <w:color w:val="005CA9"/>
                <w:sz w:val="16"/>
                <w:szCs w:val="16"/>
              </w:rPr>
              <w:t>765.770</w:t>
            </w:r>
          </w:p>
        </w:tc>
        <w:tc>
          <w:tcPr>
            <w:tcW w:w="489" w:type="pct"/>
            <w:tcBorders>
              <w:top w:val="nil"/>
              <w:left w:val="nil"/>
              <w:bottom w:val="nil"/>
              <w:right w:val="nil"/>
            </w:tcBorders>
            <w:shd w:val="clear" w:color="auto" w:fill="auto"/>
            <w:vAlign w:val="center"/>
          </w:tcPr>
          <w:p w14:paraId="354DDABA" w14:textId="3AF76723"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7.047</w:t>
            </w:r>
          </w:p>
        </w:tc>
        <w:tc>
          <w:tcPr>
            <w:tcW w:w="574" w:type="pct"/>
            <w:tcBorders>
              <w:top w:val="nil"/>
              <w:left w:val="nil"/>
              <w:bottom w:val="nil"/>
              <w:right w:val="nil"/>
            </w:tcBorders>
            <w:shd w:val="clear" w:color="auto" w:fill="auto"/>
            <w:vAlign w:val="center"/>
          </w:tcPr>
          <w:p w14:paraId="06CCD921" w14:textId="691A5817"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5.373</w:t>
            </w:r>
          </w:p>
        </w:tc>
        <w:tc>
          <w:tcPr>
            <w:tcW w:w="501" w:type="pct"/>
            <w:tcBorders>
              <w:top w:val="nil"/>
              <w:left w:val="nil"/>
              <w:bottom w:val="nil"/>
              <w:right w:val="nil"/>
            </w:tcBorders>
            <w:shd w:val="clear" w:color="auto" w:fill="auto"/>
            <w:vAlign w:val="center"/>
          </w:tcPr>
          <w:p w14:paraId="7BB28C5E" w14:textId="7C5C3EEB"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83.409</w:t>
            </w:r>
          </w:p>
        </w:tc>
        <w:tc>
          <w:tcPr>
            <w:tcW w:w="538" w:type="pct"/>
            <w:tcBorders>
              <w:top w:val="nil"/>
              <w:left w:val="nil"/>
              <w:bottom w:val="nil"/>
              <w:right w:val="nil"/>
            </w:tcBorders>
            <w:shd w:val="clear" w:color="auto" w:fill="auto"/>
            <w:vAlign w:val="center"/>
          </w:tcPr>
          <w:p w14:paraId="0BBFF9FF" w14:textId="79E6B9F9"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(22.685)</w:t>
            </w:r>
          </w:p>
        </w:tc>
        <w:tc>
          <w:tcPr>
            <w:tcW w:w="571" w:type="pct"/>
            <w:tcBorders>
              <w:top w:val="nil"/>
              <w:left w:val="nil"/>
              <w:bottom w:val="nil"/>
              <w:right w:val="nil"/>
            </w:tcBorders>
            <w:shd w:val="clear" w:color="auto" w:fill="auto"/>
            <w:vAlign w:val="center"/>
          </w:tcPr>
          <w:p w14:paraId="5EE66B40" w14:textId="2379885C"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(51.350)</w:t>
            </w:r>
          </w:p>
        </w:tc>
        <w:tc>
          <w:tcPr>
            <w:tcW w:w="554" w:type="pct"/>
            <w:tcBorders>
              <w:top w:val="nil"/>
              <w:left w:val="nil"/>
              <w:bottom w:val="nil"/>
              <w:right w:val="nil"/>
            </w:tcBorders>
            <w:shd w:val="clear" w:color="auto" w:fill="auto"/>
            <w:vAlign w:val="center"/>
          </w:tcPr>
          <w:p w14:paraId="48AD5842" w14:textId="6FED077F"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787.564</w:t>
            </w:r>
          </w:p>
        </w:tc>
      </w:tr>
      <w:tr w:rsidR="00AE1F32" w:rsidRPr="00E20D21" w14:paraId="30E61B38" w14:textId="77777777" w:rsidTr="00163700">
        <w:trPr>
          <w:trHeight w:val="283"/>
        </w:trPr>
        <w:tc>
          <w:tcPr>
            <w:tcW w:w="1177" w:type="pct"/>
            <w:tcBorders>
              <w:top w:val="nil"/>
              <w:left w:val="nil"/>
              <w:bottom w:val="nil"/>
              <w:right w:val="nil"/>
            </w:tcBorders>
            <w:shd w:val="clear" w:color="auto" w:fill="auto"/>
            <w:vAlign w:val="center"/>
            <w:hideMark/>
          </w:tcPr>
          <w:p w14:paraId="022D8005" w14:textId="77777777" w:rsidR="00AE1F32" w:rsidRPr="00E20D21" w:rsidRDefault="00AE1F32" w:rsidP="00AE1F32">
            <w:pPr>
              <w:ind w:left="17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Contingenciamento do FGTS</w:t>
            </w:r>
          </w:p>
        </w:tc>
        <w:tc>
          <w:tcPr>
            <w:tcW w:w="596" w:type="pct"/>
            <w:tcBorders>
              <w:top w:val="nil"/>
              <w:left w:val="nil"/>
              <w:bottom w:val="nil"/>
              <w:right w:val="nil"/>
            </w:tcBorders>
            <w:shd w:val="clear" w:color="auto" w:fill="auto"/>
            <w:vAlign w:val="center"/>
            <w:hideMark/>
          </w:tcPr>
          <w:p w14:paraId="2694EA27" w14:textId="4737AE29" w:rsidR="00AE1F32" w:rsidRPr="00E20D21" w:rsidRDefault="00B57E94" w:rsidP="00AE1F32">
            <w:pPr>
              <w:jc w:val="right"/>
              <w:rPr>
                <w:rFonts w:ascii="CAIXA Std Book" w:eastAsia="Times New Roman" w:hAnsi="CAIXA Std Book" w:cs="Arial"/>
                <w:color w:val="005CA9"/>
                <w:sz w:val="16"/>
                <w:szCs w:val="16"/>
              </w:rPr>
            </w:pPr>
            <w:r w:rsidRPr="00E20D21">
              <w:rPr>
                <w:rFonts w:ascii="CAIXA Std Book" w:eastAsia="Times New Roman" w:hAnsi="CAIXA Std Book" w:cs="Times New Roman"/>
                <w:color w:val="005CA9"/>
                <w:sz w:val="16"/>
                <w:szCs w:val="16"/>
              </w:rPr>
              <w:t>1.072.540</w:t>
            </w:r>
          </w:p>
        </w:tc>
        <w:tc>
          <w:tcPr>
            <w:tcW w:w="489" w:type="pct"/>
            <w:tcBorders>
              <w:top w:val="nil"/>
              <w:left w:val="nil"/>
              <w:bottom w:val="nil"/>
              <w:right w:val="nil"/>
            </w:tcBorders>
            <w:shd w:val="clear" w:color="auto" w:fill="auto"/>
            <w:vAlign w:val="center"/>
          </w:tcPr>
          <w:p w14:paraId="39E7A5B3" w14:textId="4EDC063B" w:rsidR="00AE1F32" w:rsidRPr="00E20D21" w:rsidRDefault="00D033DB" w:rsidP="00AE1F32">
            <w:pPr>
              <w:jc w:val="center"/>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w:t>
            </w:r>
          </w:p>
        </w:tc>
        <w:tc>
          <w:tcPr>
            <w:tcW w:w="574" w:type="pct"/>
            <w:tcBorders>
              <w:top w:val="nil"/>
              <w:left w:val="nil"/>
              <w:bottom w:val="nil"/>
              <w:right w:val="nil"/>
            </w:tcBorders>
            <w:shd w:val="clear" w:color="auto" w:fill="auto"/>
            <w:vAlign w:val="center"/>
          </w:tcPr>
          <w:p w14:paraId="06CC921B" w14:textId="01B1F7FB"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25.508</w:t>
            </w:r>
          </w:p>
        </w:tc>
        <w:tc>
          <w:tcPr>
            <w:tcW w:w="501" w:type="pct"/>
            <w:tcBorders>
              <w:top w:val="nil"/>
              <w:left w:val="nil"/>
              <w:bottom w:val="nil"/>
              <w:right w:val="nil"/>
            </w:tcBorders>
            <w:shd w:val="clear" w:color="auto" w:fill="auto"/>
            <w:vAlign w:val="center"/>
          </w:tcPr>
          <w:p w14:paraId="710DD39F" w14:textId="770C90ED"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103.666</w:t>
            </w:r>
          </w:p>
        </w:tc>
        <w:tc>
          <w:tcPr>
            <w:tcW w:w="538" w:type="pct"/>
            <w:tcBorders>
              <w:top w:val="nil"/>
              <w:left w:val="nil"/>
              <w:bottom w:val="nil"/>
              <w:right w:val="nil"/>
            </w:tcBorders>
            <w:shd w:val="clear" w:color="auto" w:fill="auto"/>
            <w:vAlign w:val="center"/>
          </w:tcPr>
          <w:p w14:paraId="3A7C7558" w14:textId="3820C863"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(233.695)</w:t>
            </w:r>
          </w:p>
        </w:tc>
        <w:tc>
          <w:tcPr>
            <w:tcW w:w="571" w:type="pct"/>
            <w:tcBorders>
              <w:top w:val="nil"/>
              <w:left w:val="nil"/>
              <w:bottom w:val="nil"/>
              <w:right w:val="nil"/>
            </w:tcBorders>
            <w:shd w:val="clear" w:color="auto" w:fill="auto"/>
            <w:vAlign w:val="center"/>
          </w:tcPr>
          <w:p w14:paraId="53AE911A" w14:textId="5CB45435"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(14.620)</w:t>
            </w:r>
          </w:p>
        </w:tc>
        <w:tc>
          <w:tcPr>
            <w:tcW w:w="554" w:type="pct"/>
            <w:tcBorders>
              <w:top w:val="nil"/>
              <w:left w:val="nil"/>
              <w:bottom w:val="nil"/>
              <w:right w:val="nil"/>
            </w:tcBorders>
            <w:shd w:val="clear" w:color="auto" w:fill="auto"/>
            <w:vAlign w:val="center"/>
          </w:tcPr>
          <w:p w14:paraId="6B016E01" w14:textId="1FBEB8DE"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953.399</w:t>
            </w:r>
          </w:p>
        </w:tc>
      </w:tr>
      <w:tr w:rsidR="00AE1F32" w:rsidRPr="00E20D21" w14:paraId="253BEABE" w14:textId="77777777" w:rsidTr="00163700">
        <w:trPr>
          <w:trHeight w:val="283"/>
        </w:trPr>
        <w:tc>
          <w:tcPr>
            <w:tcW w:w="1177" w:type="pct"/>
            <w:tcBorders>
              <w:top w:val="nil"/>
              <w:left w:val="nil"/>
              <w:bottom w:val="nil"/>
              <w:right w:val="nil"/>
            </w:tcBorders>
            <w:shd w:val="clear" w:color="auto" w:fill="auto"/>
            <w:vAlign w:val="center"/>
            <w:hideMark/>
          </w:tcPr>
          <w:p w14:paraId="06AEFAC1" w14:textId="77777777" w:rsidR="00AE1F32" w:rsidRPr="00E20D21" w:rsidRDefault="00AE1F32" w:rsidP="00AE1F32">
            <w:pPr>
              <w:ind w:left="17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Habitacional</w:t>
            </w:r>
          </w:p>
        </w:tc>
        <w:tc>
          <w:tcPr>
            <w:tcW w:w="596" w:type="pct"/>
            <w:tcBorders>
              <w:top w:val="nil"/>
              <w:left w:val="nil"/>
              <w:bottom w:val="nil"/>
              <w:right w:val="nil"/>
            </w:tcBorders>
            <w:shd w:val="clear" w:color="auto" w:fill="auto"/>
            <w:vAlign w:val="center"/>
            <w:hideMark/>
          </w:tcPr>
          <w:p w14:paraId="01D67590" w14:textId="3E214837" w:rsidR="00AE1F32" w:rsidRPr="00E20D21" w:rsidRDefault="00B57E94" w:rsidP="00AE1F32">
            <w:pPr>
              <w:jc w:val="right"/>
              <w:rPr>
                <w:rFonts w:ascii="CAIXA Std Book" w:eastAsia="Times New Roman" w:hAnsi="CAIXA Std Book" w:cs="Arial"/>
                <w:color w:val="005CA9"/>
                <w:sz w:val="16"/>
                <w:szCs w:val="16"/>
              </w:rPr>
            </w:pPr>
            <w:r w:rsidRPr="00E20D21">
              <w:rPr>
                <w:rFonts w:ascii="CAIXA Std Book" w:eastAsia="Times New Roman" w:hAnsi="CAIXA Std Book" w:cs="Times New Roman"/>
                <w:color w:val="005CA9"/>
                <w:sz w:val="16"/>
                <w:szCs w:val="16"/>
              </w:rPr>
              <w:t>653.315</w:t>
            </w:r>
          </w:p>
        </w:tc>
        <w:tc>
          <w:tcPr>
            <w:tcW w:w="489" w:type="pct"/>
            <w:tcBorders>
              <w:top w:val="nil"/>
              <w:left w:val="nil"/>
              <w:bottom w:val="nil"/>
              <w:right w:val="nil"/>
            </w:tcBorders>
            <w:shd w:val="clear" w:color="auto" w:fill="auto"/>
            <w:vAlign w:val="center"/>
          </w:tcPr>
          <w:p w14:paraId="1B68D8AD" w14:textId="517B7E2A"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26.758</w:t>
            </w:r>
          </w:p>
        </w:tc>
        <w:tc>
          <w:tcPr>
            <w:tcW w:w="574" w:type="pct"/>
            <w:tcBorders>
              <w:top w:val="nil"/>
              <w:left w:val="nil"/>
              <w:bottom w:val="nil"/>
              <w:right w:val="nil"/>
            </w:tcBorders>
            <w:shd w:val="clear" w:color="auto" w:fill="auto"/>
            <w:vAlign w:val="center"/>
          </w:tcPr>
          <w:p w14:paraId="204D23A4" w14:textId="72EBD3D1"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6.077</w:t>
            </w:r>
          </w:p>
        </w:tc>
        <w:tc>
          <w:tcPr>
            <w:tcW w:w="501" w:type="pct"/>
            <w:tcBorders>
              <w:top w:val="nil"/>
              <w:left w:val="nil"/>
              <w:bottom w:val="nil"/>
              <w:right w:val="nil"/>
            </w:tcBorders>
            <w:shd w:val="clear" w:color="auto" w:fill="auto"/>
            <w:vAlign w:val="center"/>
          </w:tcPr>
          <w:p w14:paraId="4A5D1D4C" w14:textId="500B06F6"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231.955</w:t>
            </w:r>
          </w:p>
        </w:tc>
        <w:tc>
          <w:tcPr>
            <w:tcW w:w="538" w:type="pct"/>
            <w:tcBorders>
              <w:top w:val="nil"/>
              <w:left w:val="nil"/>
              <w:bottom w:val="nil"/>
              <w:right w:val="nil"/>
            </w:tcBorders>
            <w:shd w:val="clear" w:color="auto" w:fill="auto"/>
            <w:vAlign w:val="center"/>
          </w:tcPr>
          <w:p w14:paraId="7139DAD4" w14:textId="5216E4AE"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(88.539)</w:t>
            </w:r>
          </w:p>
        </w:tc>
        <w:tc>
          <w:tcPr>
            <w:tcW w:w="571" w:type="pct"/>
            <w:tcBorders>
              <w:top w:val="nil"/>
              <w:left w:val="nil"/>
              <w:bottom w:val="nil"/>
              <w:right w:val="nil"/>
            </w:tcBorders>
            <w:shd w:val="clear" w:color="auto" w:fill="auto"/>
            <w:vAlign w:val="center"/>
          </w:tcPr>
          <w:p w14:paraId="538CD846" w14:textId="534FD4D5"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(115.841)</w:t>
            </w:r>
          </w:p>
        </w:tc>
        <w:tc>
          <w:tcPr>
            <w:tcW w:w="554" w:type="pct"/>
            <w:tcBorders>
              <w:top w:val="nil"/>
              <w:left w:val="nil"/>
              <w:bottom w:val="nil"/>
              <w:right w:val="nil"/>
            </w:tcBorders>
            <w:shd w:val="clear" w:color="auto" w:fill="auto"/>
            <w:vAlign w:val="center"/>
          </w:tcPr>
          <w:p w14:paraId="5D51C693" w14:textId="2349EC38"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713.725</w:t>
            </w:r>
          </w:p>
        </w:tc>
      </w:tr>
      <w:tr w:rsidR="00AE1F32" w:rsidRPr="00E20D21" w14:paraId="6EEFC8A0" w14:textId="77777777" w:rsidTr="00163700">
        <w:trPr>
          <w:trHeight w:val="283"/>
        </w:trPr>
        <w:tc>
          <w:tcPr>
            <w:tcW w:w="1177" w:type="pct"/>
            <w:tcBorders>
              <w:top w:val="nil"/>
              <w:left w:val="nil"/>
              <w:bottom w:val="nil"/>
              <w:right w:val="nil"/>
            </w:tcBorders>
            <w:shd w:val="clear" w:color="auto" w:fill="auto"/>
            <w:vAlign w:val="center"/>
            <w:hideMark/>
          </w:tcPr>
          <w:p w14:paraId="06A93FBD" w14:textId="7EBBAA2E" w:rsidR="00AE1F32" w:rsidRPr="00E20D21" w:rsidRDefault="00AE1F32" w:rsidP="00AE1F3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Fiscais (b.</w:t>
            </w:r>
            <w:r w:rsidR="002137EA" w:rsidRPr="00E20D21">
              <w:rPr>
                <w:rFonts w:ascii="CAIXA Std Book" w:eastAsia="Times New Roman" w:hAnsi="CAIXA Std Book" w:cs="Arial"/>
                <w:b/>
                <w:bCs/>
                <w:color w:val="005CA9"/>
                <w:sz w:val="16"/>
                <w:szCs w:val="16"/>
              </w:rPr>
              <w:t>4</w:t>
            </w:r>
            <w:r w:rsidRPr="00E20D21">
              <w:rPr>
                <w:rFonts w:ascii="CAIXA Std Book" w:eastAsia="Times New Roman" w:hAnsi="CAIXA Std Book" w:cs="Arial"/>
                <w:b/>
                <w:bCs/>
                <w:color w:val="005CA9"/>
                <w:sz w:val="16"/>
                <w:szCs w:val="16"/>
              </w:rPr>
              <w:t>)</w:t>
            </w:r>
          </w:p>
        </w:tc>
        <w:tc>
          <w:tcPr>
            <w:tcW w:w="596" w:type="pct"/>
            <w:tcBorders>
              <w:top w:val="nil"/>
              <w:left w:val="nil"/>
              <w:bottom w:val="nil"/>
              <w:right w:val="nil"/>
            </w:tcBorders>
            <w:shd w:val="clear" w:color="auto" w:fill="auto"/>
            <w:vAlign w:val="center"/>
            <w:hideMark/>
          </w:tcPr>
          <w:p w14:paraId="25FED86E" w14:textId="1DDC4059" w:rsidR="00AE1F32" w:rsidRPr="00E20D21" w:rsidRDefault="00B57E94" w:rsidP="00AE1F32">
            <w:pPr>
              <w:jc w:val="right"/>
              <w:rPr>
                <w:rFonts w:ascii="CAIXA Std Book" w:eastAsia="Times New Roman" w:hAnsi="CAIXA Std Book" w:cs="Arial"/>
                <w:b/>
                <w:bCs/>
                <w:color w:val="005CA9"/>
                <w:sz w:val="16"/>
                <w:szCs w:val="16"/>
              </w:rPr>
            </w:pPr>
            <w:r w:rsidRPr="00E20D21">
              <w:rPr>
                <w:rFonts w:ascii="CAIXA Std Book" w:eastAsia="Times New Roman" w:hAnsi="CAIXA Std Book" w:cs="Times New Roman"/>
                <w:b/>
                <w:color w:val="005CA9"/>
                <w:sz w:val="16"/>
                <w:szCs w:val="16"/>
              </w:rPr>
              <w:t>651.757</w:t>
            </w:r>
          </w:p>
        </w:tc>
        <w:tc>
          <w:tcPr>
            <w:tcW w:w="489" w:type="pct"/>
            <w:tcBorders>
              <w:top w:val="nil"/>
              <w:left w:val="nil"/>
              <w:bottom w:val="nil"/>
              <w:right w:val="nil"/>
            </w:tcBorders>
            <w:shd w:val="clear" w:color="auto" w:fill="auto"/>
            <w:vAlign w:val="center"/>
          </w:tcPr>
          <w:p w14:paraId="3CC1B23A" w14:textId="711B3EB9"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28.965</w:t>
            </w:r>
          </w:p>
        </w:tc>
        <w:tc>
          <w:tcPr>
            <w:tcW w:w="574" w:type="pct"/>
            <w:tcBorders>
              <w:top w:val="nil"/>
              <w:left w:val="nil"/>
              <w:bottom w:val="nil"/>
              <w:right w:val="nil"/>
            </w:tcBorders>
            <w:shd w:val="clear" w:color="auto" w:fill="auto"/>
            <w:vAlign w:val="center"/>
          </w:tcPr>
          <w:p w14:paraId="6DDF32BC" w14:textId="309E9B71"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11.918</w:t>
            </w:r>
          </w:p>
        </w:tc>
        <w:tc>
          <w:tcPr>
            <w:tcW w:w="501" w:type="pct"/>
            <w:tcBorders>
              <w:top w:val="nil"/>
              <w:left w:val="nil"/>
              <w:bottom w:val="nil"/>
              <w:right w:val="nil"/>
            </w:tcBorders>
            <w:shd w:val="clear" w:color="auto" w:fill="auto"/>
            <w:vAlign w:val="center"/>
          </w:tcPr>
          <w:p w14:paraId="26AA4412" w14:textId="4AF4F402"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38.300</w:t>
            </w:r>
          </w:p>
        </w:tc>
        <w:tc>
          <w:tcPr>
            <w:tcW w:w="538" w:type="pct"/>
            <w:tcBorders>
              <w:top w:val="nil"/>
              <w:left w:val="nil"/>
              <w:bottom w:val="nil"/>
              <w:right w:val="nil"/>
            </w:tcBorders>
            <w:shd w:val="clear" w:color="auto" w:fill="auto"/>
            <w:vAlign w:val="center"/>
          </w:tcPr>
          <w:p w14:paraId="6D021E0F" w14:textId="3241CDF0"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(111.234)</w:t>
            </w:r>
          </w:p>
        </w:tc>
        <w:tc>
          <w:tcPr>
            <w:tcW w:w="571" w:type="pct"/>
            <w:tcBorders>
              <w:top w:val="nil"/>
              <w:left w:val="nil"/>
              <w:bottom w:val="nil"/>
              <w:right w:val="nil"/>
            </w:tcBorders>
            <w:shd w:val="clear" w:color="auto" w:fill="auto"/>
            <w:vAlign w:val="center"/>
          </w:tcPr>
          <w:p w14:paraId="05481625" w14:textId="21864888"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(34.485)</w:t>
            </w:r>
          </w:p>
        </w:tc>
        <w:tc>
          <w:tcPr>
            <w:tcW w:w="554" w:type="pct"/>
            <w:tcBorders>
              <w:top w:val="nil"/>
              <w:left w:val="nil"/>
              <w:bottom w:val="nil"/>
              <w:right w:val="nil"/>
            </w:tcBorders>
            <w:shd w:val="clear" w:color="auto" w:fill="auto"/>
            <w:vAlign w:val="center"/>
          </w:tcPr>
          <w:p w14:paraId="3986441C" w14:textId="0DA4918F"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585.221</w:t>
            </w:r>
          </w:p>
        </w:tc>
      </w:tr>
      <w:tr w:rsidR="00AE1F32" w:rsidRPr="00E20D21" w14:paraId="027325E5" w14:textId="77777777" w:rsidTr="00163700">
        <w:trPr>
          <w:trHeight w:val="283"/>
        </w:trPr>
        <w:tc>
          <w:tcPr>
            <w:tcW w:w="1177" w:type="pct"/>
            <w:tcBorders>
              <w:top w:val="nil"/>
              <w:left w:val="nil"/>
              <w:bottom w:val="nil"/>
              <w:right w:val="nil"/>
            </w:tcBorders>
            <w:shd w:val="clear" w:color="auto" w:fill="auto"/>
            <w:vAlign w:val="center"/>
            <w:hideMark/>
          </w:tcPr>
          <w:p w14:paraId="7FF095E3" w14:textId="77777777" w:rsidR="00AE1F32" w:rsidRPr="00E20D21" w:rsidRDefault="00AE1F32" w:rsidP="00AE1F32">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ISSQN</w:t>
            </w:r>
          </w:p>
        </w:tc>
        <w:tc>
          <w:tcPr>
            <w:tcW w:w="596" w:type="pct"/>
            <w:tcBorders>
              <w:top w:val="nil"/>
              <w:left w:val="nil"/>
              <w:bottom w:val="nil"/>
              <w:right w:val="nil"/>
            </w:tcBorders>
            <w:shd w:val="clear" w:color="auto" w:fill="auto"/>
            <w:vAlign w:val="center"/>
            <w:hideMark/>
          </w:tcPr>
          <w:p w14:paraId="4BB317BB" w14:textId="259D4C0F" w:rsidR="00AE1F32" w:rsidRPr="00E20D21" w:rsidRDefault="00B57E94" w:rsidP="00AE1F32">
            <w:pPr>
              <w:jc w:val="right"/>
              <w:rPr>
                <w:rFonts w:ascii="CAIXA Std Book" w:eastAsia="Times New Roman" w:hAnsi="CAIXA Std Book" w:cs="Arial"/>
                <w:color w:val="005CA9"/>
                <w:sz w:val="16"/>
                <w:szCs w:val="16"/>
              </w:rPr>
            </w:pPr>
            <w:r w:rsidRPr="00E20D21">
              <w:rPr>
                <w:rFonts w:ascii="CAIXA Std Book" w:eastAsia="Times New Roman" w:hAnsi="CAIXA Std Book" w:cs="Times New Roman"/>
                <w:color w:val="005CA9"/>
                <w:sz w:val="16"/>
                <w:szCs w:val="16"/>
              </w:rPr>
              <w:t>424.872</w:t>
            </w:r>
          </w:p>
        </w:tc>
        <w:tc>
          <w:tcPr>
            <w:tcW w:w="489" w:type="pct"/>
            <w:tcBorders>
              <w:top w:val="nil"/>
              <w:left w:val="nil"/>
              <w:bottom w:val="nil"/>
              <w:right w:val="nil"/>
            </w:tcBorders>
            <w:shd w:val="clear" w:color="auto" w:fill="auto"/>
            <w:vAlign w:val="center"/>
          </w:tcPr>
          <w:p w14:paraId="30A23AEC" w14:textId="6E8EBC08"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22.189</w:t>
            </w:r>
          </w:p>
        </w:tc>
        <w:tc>
          <w:tcPr>
            <w:tcW w:w="574" w:type="pct"/>
            <w:tcBorders>
              <w:top w:val="nil"/>
              <w:left w:val="nil"/>
              <w:bottom w:val="nil"/>
              <w:right w:val="nil"/>
            </w:tcBorders>
            <w:shd w:val="clear" w:color="auto" w:fill="auto"/>
            <w:vAlign w:val="center"/>
          </w:tcPr>
          <w:p w14:paraId="5ABB4F57" w14:textId="7A1CCFC8"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9.156</w:t>
            </w:r>
          </w:p>
        </w:tc>
        <w:tc>
          <w:tcPr>
            <w:tcW w:w="501" w:type="pct"/>
            <w:tcBorders>
              <w:top w:val="nil"/>
              <w:left w:val="nil"/>
              <w:bottom w:val="nil"/>
              <w:right w:val="nil"/>
            </w:tcBorders>
            <w:shd w:val="clear" w:color="auto" w:fill="auto"/>
            <w:vAlign w:val="center"/>
          </w:tcPr>
          <w:p w14:paraId="5EDFB41D" w14:textId="71B7E0E8"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17.330</w:t>
            </w:r>
          </w:p>
        </w:tc>
        <w:tc>
          <w:tcPr>
            <w:tcW w:w="538" w:type="pct"/>
            <w:tcBorders>
              <w:top w:val="nil"/>
              <w:left w:val="nil"/>
              <w:bottom w:val="nil"/>
              <w:right w:val="nil"/>
            </w:tcBorders>
            <w:shd w:val="clear" w:color="auto" w:fill="auto"/>
            <w:vAlign w:val="center"/>
          </w:tcPr>
          <w:p w14:paraId="470DB1DF" w14:textId="363C19EB"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(105.094)</w:t>
            </w:r>
          </w:p>
        </w:tc>
        <w:tc>
          <w:tcPr>
            <w:tcW w:w="571" w:type="pct"/>
            <w:tcBorders>
              <w:top w:val="nil"/>
              <w:left w:val="nil"/>
              <w:bottom w:val="nil"/>
              <w:right w:val="nil"/>
            </w:tcBorders>
            <w:shd w:val="clear" w:color="auto" w:fill="auto"/>
            <w:vAlign w:val="center"/>
          </w:tcPr>
          <w:p w14:paraId="736DA315" w14:textId="3ABB2D1B"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(4.694)</w:t>
            </w:r>
          </w:p>
        </w:tc>
        <w:tc>
          <w:tcPr>
            <w:tcW w:w="554" w:type="pct"/>
            <w:tcBorders>
              <w:top w:val="nil"/>
              <w:left w:val="nil"/>
              <w:bottom w:val="nil"/>
              <w:right w:val="nil"/>
            </w:tcBorders>
            <w:shd w:val="clear" w:color="auto" w:fill="auto"/>
            <w:vAlign w:val="center"/>
          </w:tcPr>
          <w:p w14:paraId="50164C1F" w14:textId="4F937936"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363.759</w:t>
            </w:r>
          </w:p>
        </w:tc>
      </w:tr>
      <w:tr w:rsidR="00AE1F32" w:rsidRPr="00E20D21" w14:paraId="0DF3B73C" w14:textId="77777777" w:rsidTr="00163700">
        <w:trPr>
          <w:trHeight w:val="283"/>
        </w:trPr>
        <w:tc>
          <w:tcPr>
            <w:tcW w:w="1177" w:type="pct"/>
            <w:tcBorders>
              <w:top w:val="nil"/>
              <w:left w:val="nil"/>
              <w:bottom w:val="nil"/>
              <w:right w:val="nil"/>
            </w:tcBorders>
            <w:shd w:val="clear" w:color="auto" w:fill="auto"/>
            <w:vAlign w:val="center"/>
            <w:hideMark/>
          </w:tcPr>
          <w:p w14:paraId="1681737F" w14:textId="77777777" w:rsidR="00AE1F32" w:rsidRPr="00E20D21" w:rsidRDefault="00AE1F32" w:rsidP="00AE1F32">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INSS</w:t>
            </w:r>
          </w:p>
        </w:tc>
        <w:tc>
          <w:tcPr>
            <w:tcW w:w="596" w:type="pct"/>
            <w:tcBorders>
              <w:top w:val="nil"/>
              <w:left w:val="nil"/>
              <w:bottom w:val="nil"/>
              <w:right w:val="nil"/>
            </w:tcBorders>
            <w:shd w:val="clear" w:color="auto" w:fill="auto"/>
            <w:vAlign w:val="center"/>
            <w:hideMark/>
          </w:tcPr>
          <w:p w14:paraId="7F38968B" w14:textId="1E7B97FE" w:rsidR="00AE1F32" w:rsidRPr="00E20D21" w:rsidRDefault="00B57E94" w:rsidP="00AE1F32">
            <w:pPr>
              <w:jc w:val="right"/>
              <w:rPr>
                <w:rFonts w:ascii="CAIXA Std Book" w:eastAsia="Times New Roman" w:hAnsi="CAIXA Std Book" w:cs="Arial"/>
                <w:color w:val="005CA9"/>
                <w:sz w:val="16"/>
                <w:szCs w:val="16"/>
              </w:rPr>
            </w:pPr>
            <w:r w:rsidRPr="00E20D21">
              <w:rPr>
                <w:rFonts w:ascii="CAIXA Std Book" w:eastAsia="Times New Roman" w:hAnsi="CAIXA Std Book" w:cs="Times New Roman"/>
                <w:color w:val="005CA9"/>
                <w:sz w:val="16"/>
                <w:szCs w:val="16"/>
              </w:rPr>
              <w:t>21.313</w:t>
            </w:r>
          </w:p>
        </w:tc>
        <w:tc>
          <w:tcPr>
            <w:tcW w:w="489" w:type="pct"/>
            <w:tcBorders>
              <w:top w:val="nil"/>
              <w:left w:val="nil"/>
              <w:bottom w:val="nil"/>
              <w:right w:val="nil"/>
            </w:tcBorders>
            <w:shd w:val="clear" w:color="auto" w:fill="auto"/>
            <w:vAlign w:val="center"/>
          </w:tcPr>
          <w:p w14:paraId="38F4474F" w14:textId="330BA0BC" w:rsidR="00AE1F32" w:rsidRPr="00E20D21" w:rsidRDefault="00D033DB" w:rsidP="00D033DB">
            <w:pPr>
              <w:jc w:val="center"/>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w:t>
            </w:r>
          </w:p>
        </w:tc>
        <w:tc>
          <w:tcPr>
            <w:tcW w:w="574" w:type="pct"/>
            <w:tcBorders>
              <w:top w:val="nil"/>
              <w:left w:val="nil"/>
              <w:bottom w:val="nil"/>
              <w:right w:val="nil"/>
            </w:tcBorders>
            <w:shd w:val="clear" w:color="auto" w:fill="auto"/>
            <w:vAlign w:val="center"/>
          </w:tcPr>
          <w:p w14:paraId="0E60826F" w14:textId="14A8B1BB"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634</w:t>
            </w:r>
          </w:p>
        </w:tc>
        <w:tc>
          <w:tcPr>
            <w:tcW w:w="501" w:type="pct"/>
            <w:tcBorders>
              <w:top w:val="nil"/>
              <w:left w:val="nil"/>
              <w:bottom w:val="nil"/>
              <w:right w:val="nil"/>
            </w:tcBorders>
            <w:shd w:val="clear" w:color="auto" w:fill="auto"/>
            <w:vAlign w:val="center"/>
          </w:tcPr>
          <w:p w14:paraId="2778A2E9" w14:textId="5A23F1C9"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825</w:t>
            </w:r>
          </w:p>
        </w:tc>
        <w:tc>
          <w:tcPr>
            <w:tcW w:w="538" w:type="pct"/>
            <w:tcBorders>
              <w:top w:val="nil"/>
              <w:left w:val="nil"/>
              <w:bottom w:val="nil"/>
              <w:right w:val="nil"/>
            </w:tcBorders>
            <w:shd w:val="clear" w:color="auto" w:fill="auto"/>
            <w:vAlign w:val="center"/>
          </w:tcPr>
          <w:p w14:paraId="5A0E7C2A" w14:textId="2FFF88C8"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(53)</w:t>
            </w:r>
          </w:p>
        </w:tc>
        <w:tc>
          <w:tcPr>
            <w:tcW w:w="571" w:type="pct"/>
            <w:tcBorders>
              <w:top w:val="nil"/>
              <w:left w:val="nil"/>
              <w:bottom w:val="nil"/>
              <w:right w:val="nil"/>
            </w:tcBorders>
            <w:shd w:val="clear" w:color="auto" w:fill="auto"/>
            <w:vAlign w:val="center"/>
          </w:tcPr>
          <w:p w14:paraId="78BE47F2" w14:textId="792F358C"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(16.531)</w:t>
            </w:r>
          </w:p>
        </w:tc>
        <w:tc>
          <w:tcPr>
            <w:tcW w:w="554" w:type="pct"/>
            <w:tcBorders>
              <w:top w:val="nil"/>
              <w:left w:val="nil"/>
              <w:bottom w:val="nil"/>
              <w:right w:val="nil"/>
            </w:tcBorders>
            <w:shd w:val="clear" w:color="auto" w:fill="auto"/>
            <w:vAlign w:val="center"/>
          </w:tcPr>
          <w:p w14:paraId="36DB164F" w14:textId="0BB2F0CF"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6.188</w:t>
            </w:r>
          </w:p>
        </w:tc>
      </w:tr>
      <w:tr w:rsidR="00AE1F32" w:rsidRPr="00E20D21" w14:paraId="0EC32536" w14:textId="77777777" w:rsidTr="00163700">
        <w:trPr>
          <w:trHeight w:val="283"/>
        </w:trPr>
        <w:tc>
          <w:tcPr>
            <w:tcW w:w="1177" w:type="pct"/>
            <w:tcBorders>
              <w:top w:val="nil"/>
              <w:left w:val="nil"/>
              <w:bottom w:val="nil"/>
              <w:right w:val="nil"/>
            </w:tcBorders>
            <w:shd w:val="clear" w:color="auto" w:fill="auto"/>
            <w:vAlign w:val="center"/>
            <w:hideMark/>
          </w:tcPr>
          <w:p w14:paraId="59C926CD" w14:textId="77777777" w:rsidR="00AE1F32" w:rsidRPr="00E20D21" w:rsidRDefault="00AE1F32" w:rsidP="00AE1F32">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IPTU</w:t>
            </w:r>
          </w:p>
        </w:tc>
        <w:tc>
          <w:tcPr>
            <w:tcW w:w="596" w:type="pct"/>
            <w:tcBorders>
              <w:top w:val="nil"/>
              <w:left w:val="nil"/>
              <w:bottom w:val="nil"/>
              <w:right w:val="nil"/>
            </w:tcBorders>
            <w:shd w:val="clear" w:color="auto" w:fill="auto"/>
            <w:vAlign w:val="center"/>
            <w:hideMark/>
          </w:tcPr>
          <w:p w14:paraId="14E2748C" w14:textId="0682BC20" w:rsidR="00AE1F32" w:rsidRPr="00E20D21" w:rsidRDefault="00B57E94" w:rsidP="00AE1F32">
            <w:pPr>
              <w:jc w:val="right"/>
              <w:rPr>
                <w:rFonts w:ascii="CAIXA Std Book" w:eastAsia="Times New Roman" w:hAnsi="CAIXA Std Book" w:cs="Arial"/>
                <w:color w:val="005CA9"/>
                <w:sz w:val="16"/>
                <w:szCs w:val="16"/>
              </w:rPr>
            </w:pPr>
            <w:r w:rsidRPr="00E20D21">
              <w:rPr>
                <w:rFonts w:ascii="CAIXA Std Book" w:eastAsia="Times New Roman" w:hAnsi="CAIXA Std Book" w:cs="Times New Roman"/>
                <w:color w:val="005CA9"/>
                <w:sz w:val="16"/>
                <w:szCs w:val="16"/>
              </w:rPr>
              <w:t>82.061</w:t>
            </w:r>
          </w:p>
        </w:tc>
        <w:tc>
          <w:tcPr>
            <w:tcW w:w="489" w:type="pct"/>
            <w:tcBorders>
              <w:top w:val="nil"/>
              <w:left w:val="nil"/>
              <w:bottom w:val="nil"/>
              <w:right w:val="nil"/>
            </w:tcBorders>
            <w:shd w:val="clear" w:color="auto" w:fill="auto"/>
            <w:vAlign w:val="center"/>
          </w:tcPr>
          <w:p w14:paraId="4E9DCBD1" w14:textId="5254A307"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3.614</w:t>
            </w:r>
          </w:p>
        </w:tc>
        <w:tc>
          <w:tcPr>
            <w:tcW w:w="574" w:type="pct"/>
            <w:tcBorders>
              <w:top w:val="nil"/>
              <w:left w:val="nil"/>
              <w:bottom w:val="nil"/>
              <w:right w:val="nil"/>
            </w:tcBorders>
            <w:shd w:val="clear" w:color="auto" w:fill="auto"/>
            <w:vAlign w:val="center"/>
          </w:tcPr>
          <w:p w14:paraId="16A0EA2B" w14:textId="3D9B4453"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679</w:t>
            </w:r>
          </w:p>
        </w:tc>
        <w:tc>
          <w:tcPr>
            <w:tcW w:w="501" w:type="pct"/>
            <w:tcBorders>
              <w:top w:val="nil"/>
              <w:left w:val="nil"/>
              <w:bottom w:val="nil"/>
              <w:right w:val="nil"/>
            </w:tcBorders>
            <w:shd w:val="clear" w:color="auto" w:fill="auto"/>
            <w:vAlign w:val="center"/>
          </w:tcPr>
          <w:p w14:paraId="364433E9" w14:textId="7099C7D7"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10.274</w:t>
            </w:r>
          </w:p>
        </w:tc>
        <w:tc>
          <w:tcPr>
            <w:tcW w:w="538" w:type="pct"/>
            <w:tcBorders>
              <w:top w:val="nil"/>
              <w:left w:val="nil"/>
              <w:bottom w:val="nil"/>
              <w:right w:val="nil"/>
            </w:tcBorders>
            <w:shd w:val="clear" w:color="auto" w:fill="auto"/>
            <w:vAlign w:val="center"/>
          </w:tcPr>
          <w:p w14:paraId="718845A3" w14:textId="56946CAE"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(3.973)</w:t>
            </w:r>
          </w:p>
        </w:tc>
        <w:tc>
          <w:tcPr>
            <w:tcW w:w="571" w:type="pct"/>
            <w:tcBorders>
              <w:top w:val="nil"/>
              <w:left w:val="nil"/>
              <w:bottom w:val="nil"/>
              <w:right w:val="nil"/>
            </w:tcBorders>
            <w:shd w:val="clear" w:color="auto" w:fill="auto"/>
            <w:vAlign w:val="center"/>
          </w:tcPr>
          <w:p w14:paraId="13E46FCF" w14:textId="171A2681"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(2.228)</w:t>
            </w:r>
          </w:p>
        </w:tc>
        <w:tc>
          <w:tcPr>
            <w:tcW w:w="554" w:type="pct"/>
            <w:tcBorders>
              <w:top w:val="nil"/>
              <w:left w:val="nil"/>
              <w:bottom w:val="nil"/>
              <w:right w:val="nil"/>
            </w:tcBorders>
            <w:shd w:val="clear" w:color="auto" w:fill="auto"/>
            <w:vAlign w:val="center"/>
          </w:tcPr>
          <w:p w14:paraId="3DA219C3" w14:textId="060650CD"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90.427</w:t>
            </w:r>
          </w:p>
        </w:tc>
      </w:tr>
      <w:tr w:rsidR="00AE1F32" w:rsidRPr="00E20D21" w14:paraId="5BE8F926" w14:textId="77777777" w:rsidTr="00163700">
        <w:trPr>
          <w:trHeight w:val="283"/>
        </w:trPr>
        <w:tc>
          <w:tcPr>
            <w:tcW w:w="1177" w:type="pct"/>
            <w:tcBorders>
              <w:top w:val="nil"/>
              <w:left w:val="nil"/>
              <w:bottom w:val="nil"/>
              <w:right w:val="nil"/>
            </w:tcBorders>
            <w:shd w:val="clear" w:color="auto" w:fill="auto"/>
            <w:vAlign w:val="center"/>
            <w:hideMark/>
          </w:tcPr>
          <w:p w14:paraId="6F773426" w14:textId="77777777" w:rsidR="00AE1F32" w:rsidRPr="00E20D21" w:rsidRDefault="00AE1F32" w:rsidP="00AE1F32">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w:t>
            </w:r>
          </w:p>
        </w:tc>
        <w:tc>
          <w:tcPr>
            <w:tcW w:w="596" w:type="pct"/>
            <w:tcBorders>
              <w:top w:val="nil"/>
              <w:left w:val="nil"/>
              <w:bottom w:val="nil"/>
              <w:right w:val="nil"/>
            </w:tcBorders>
            <w:shd w:val="clear" w:color="auto" w:fill="auto"/>
            <w:vAlign w:val="center"/>
            <w:hideMark/>
          </w:tcPr>
          <w:p w14:paraId="4B188419" w14:textId="6077CAB9" w:rsidR="00AE1F32" w:rsidRPr="00E20D21" w:rsidRDefault="00B57E94" w:rsidP="00AE1F32">
            <w:pPr>
              <w:jc w:val="right"/>
              <w:rPr>
                <w:rFonts w:ascii="CAIXA Std Book" w:eastAsia="Times New Roman" w:hAnsi="CAIXA Std Book" w:cs="Arial"/>
                <w:color w:val="005CA9"/>
                <w:sz w:val="16"/>
                <w:szCs w:val="16"/>
              </w:rPr>
            </w:pPr>
            <w:r w:rsidRPr="00E20D21">
              <w:rPr>
                <w:rFonts w:ascii="CAIXA Std Book" w:eastAsia="Times New Roman" w:hAnsi="CAIXA Std Book" w:cs="Times New Roman"/>
                <w:color w:val="005CA9"/>
                <w:sz w:val="16"/>
                <w:szCs w:val="16"/>
              </w:rPr>
              <w:t>123.511</w:t>
            </w:r>
          </w:p>
        </w:tc>
        <w:tc>
          <w:tcPr>
            <w:tcW w:w="489" w:type="pct"/>
            <w:tcBorders>
              <w:top w:val="nil"/>
              <w:left w:val="nil"/>
              <w:bottom w:val="nil"/>
              <w:right w:val="nil"/>
            </w:tcBorders>
            <w:shd w:val="clear" w:color="auto" w:fill="auto"/>
            <w:vAlign w:val="center"/>
          </w:tcPr>
          <w:p w14:paraId="06909B50" w14:textId="01F772C5"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3.162</w:t>
            </w:r>
          </w:p>
        </w:tc>
        <w:tc>
          <w:tcPr>
            <w:tcW w:w="574" w:type="pct"/>
            <w:tcBorders>
              <w:top w:val="nil"/>
              <w:left w:val="nil"/>
              <w:bottom w:val="nil"/>
              <w:right w:val="nil"/>
            </w:tcBorders>
            <w:shd w:val="clear" w:color="auto" w:fill="auto"/>
            <w:vAlign w:val="center"/>
          </w:tcPr>
          <w:p w14:paraId="74A2F293" w14:textId="05BB1545"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1.449</w:t>
            </w:r>
          </w:p>
        </w:tc>
        <w:tc>
          <w:tcPr>
            <w:tcW w:w="501" w:type="pct"/>
            <w:tcBorders>
              <w:top w:val="nil"/>
              <w:left w:val="nil"/>
              <w:bottom w:val="nil"/>
              <w:right w:val="nil"/>
            </w:tcBorders>
            <w:shd w:val="clear" w:color="auto" w:fill="auto"/>
            <w:vAlign w:val="center"/>
          </w:tcPr>
          <w:p w14:paraId="2A40D92E" w14:textId="27C224CA"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9.871</w:t>
            </w:r>
          </w:p>
        </w:tc>
        <w:tc>
          <w:tcPr>
            <w:tcW w:w="538" w:type="pct"/>
            <w:tcBorders>
              <w:top w:val="nil"/>
              <w:left w:val="nil"/>
              <w:bottom w:val="nil"/>
              <w:right w:val="nil"/>
            </w:tcBorders>
            <w:shd w:val="clear" w:color="auto" w:fill="auto"/>
            <w:vAlign w:val="center"/>
          </w:tcPr>
          <w:p w14:paraId="14D88338" w14:textId="5E0A1F24"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(2.114)</w:t>
            </w:r>
          </w:p>
        </w:tc>
        <w:tc>
          <w:tcPr>
            <w:tcW w:w="571" w:type="pct"/>
            <w:tcBorders>
              <w:top w:val="nil"/>
              <w:left w:val="nil"/>
              <w:bottom w:val="nil"/>
              <w:right w:val="nil"/>
            </w:tcBorders>
            <w:shd w:val="clear" w:color="auto" w:fill="auto"/>
            <w:vAlign w:val="center"/>
          </w:tcPr>
          <w:p w14:paraId="512EB616" w14:textId="4559860A"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(11.032)</w:t>
            </w:r>
          </w:p>
        </w:tc>
        <w:tc>
          <w:tcPr>
            <w:tcW w:w="554" w:type="pct"/>
            <w:tcBorders>
              <w:top w:val="nil"/>
              <w:left w:val="nil"/>
              <w:bottom w:val="nil"/>
              <w:right w:val="nil"/>
            </w:tcBorders>
            <w:shd w:val="clear" w:color="auto" w:fill="auto"/>
            <w:vAlign w:val="center"/>
          </w:tcPr>
          <w:p w14:paraId="080C536C" w14:textId="147BCD60" w:rsidR="00AE1F32" w:rsidRPr="00E20D21" w:rsidRDefault="00D033DB" w:rsidP="00AE1F32">
            <w:pPr>
              <w:jc w:val="right"/>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124.847</w:t>
            </w:r>
          </w:p>
        </w:tc>
      </w:tr>
      <w:tr w:rsidR="00AE1F32" w:rsidRPr="00E20D21" w14:paraId="313E9D7B" w14:textId="77777777" w:rsidTr="00163700">
        <w:trPr>
          <w:trHeight w:val="283"/>
        </w:trPr>
        <w:tc>
          <w:tcPr>
            <w:tcW w:w="1177" w:type="pct"/>
            <w:tcBorders>
              <w:top w:val="single" w:sz="4" w:space="0" w:color="F39200"/>
              <w:left w:val="nil"/>
              <w:bottom w:val="single" w:sz="4" w:space="0" w:color="F39200"/>
              <w:right w:val="nil"/>
            </w:tcBorders>
            <w:shd w:val="clear" w:color="auto" w:fill="auto"/>
            <w:vAlign w:val="center"/>
            <w:hideMark/>
          </w:tcPr>
          <w:p w14:paraId="13AB1960" w14:textId="77777777" w:rsidR="00AE1F32" w:rsidRPr="00E20D21" w:rsidRDefault="00AE1F32" w:rsidP="00AE1F3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Total</w:t>
            </w:r>
          </w:p>
        </w:tc>
        <w:tc>
          <w:tcPr>
            <w:tcW w:w="596" w:type="pct"/>
            <w:tcBorders>
              <w:top w:val="single" w:sz="4" w:space="0" w:color="F39200"/>
              <w:left w:val="nil"/>
              <w:bottom w:val="single" w:sz="4" w:space="0" w:color="F39200"/>
              <w:right w:val="nil"/>
            </w:tcBorders>
            <w:shd w:val="clear" w:color="auto" w:fill="auto"/>
            <w:vAlign w:val="center"/>
            <w:hideMark/>
          </w:tcPr>
          <w:p w14:paraId="25F920F0" w14:textId="6EA916C3" w:rsidR="00AE1F32" w:rsidRPr="00E20D21" w:rsidRDefault="00B57E94" w:rsidP="00AE1F32">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11.594.348</w:t>
            </w:r>
          </w:p>
        </w:tc>
        <w:tc>
          <w:tcPr>
            <w:tcW w:w="489" w:type="pct"/>
            <w:tcBorders>
              <w:top w:val="single" w:sz="4" w:space="0" w:color="F39200"/>
              <w:left w:val="nil"/>
              <w:bottom w:val="single" w:sz="4" w:space="0" w:color="F39200"/>
              <w:right w:val="nil"/>
            </w:tcBorders>
            <w:shd w:val="clear" w:color="auto" w:fill="auto"/>
            <w:vAlign w:val="center"/>
          </w:tcPr>
          <w:p w14:paraId="61715F57" w14:textId="691B31D9"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484.580</w:t>
            </w:r>
          </w:p>
        </w:tc>
        <w:tc>
          <w:tcPr>
            <w:tcW w:w="574" w:type="pct"/>
            <w:tcBorders>
              <w:top w:val="single" w:sz="4" w:space="0" w:color="F39200"/>
              <w:left w:val="nil"/>
              <w:bottom w:val="single" w:sz="4" w:space="0" w:color="F39200"/>
              <w:right w:val="nil"/>
            </w:tcBorders>
            <w:shd w:val="clear" w:color="auto" w:fill="auto"/>
            <w:vAlign w:val="center"/>
          </w:tcPr>
          <w:p w14:paraId="556389BC" w14:textId="5FB1B06E"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282.206</w:t>
            </w:r>
          </w:p>
        </w:tc>
        <w:tc>
          <w:tcPr>
            <w:tcW w:w="501" w:type="pct"/>
            <w:tcBorders>
              <w:top w:val="single" w:sz="4" w:space="0" w:color="F39200"/>
              <w:left w:val="nil"/>
              <w:bottom w:val="single" w:sz="4" w:space="0" w:color="F39200"/>
              <w:right w:val="nil"/>
            </w:tcBorders>
            <w:shd w:val="clear" w:color="auto" w:fill="auto"/>
            <w:vAlign w:val="center"/>
          </w:tcPr>
          <w:p w14:paraId="66A7D82C" w14:textId="7334C080"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3.005.711</w:t>
            </w:r>
          </w:p>
        </w:tc>
        <w:tc>
          <w:tcPr>
            <w:tcW w:w="538" w:type="pct"/>
            <w:tcBorders>
              <w:top w:val="single" w:sz="4" w:space="0" w:color="F39200"/>
              <w:left w:val="nil"/>
              <w:bottom w:val="single" w:sz="4" w:space="0" w:color="F39200"/>
              <w:right w:val="nil"/>
            </w:tcBorders>
            <w:shd w:val="clear" w:color="auto" w:fill="auto"/>
            <w:vAlign w:val="center"/>
          </w:tcPr>
          <w:p w14:paraId="501CF8E2" w14:textId="49C9E94F"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(1.419.596)</w:t>
            </w:r>
          </w:p>
        </w:tc>
        <w:tc>
          <w:tcPr>
            <w:tcW w:w="571" w:type="pct"/>
            <w:tcBorders>
              <w:top w:val="single" w:sz="4" w:space="0" w:color="F39200"/>
              <w:left w:val="nil"/>
              <w:bottom w:val="single" w:sz="4" w:space="0" w:color="F39200"/>
              <w:right w:val="nil"/>
            </w:tcBorders>
            <w:shd w:val="clear" w:color="auto" w:fill="auto"/>
            <w:vAlign w:val="center"/>
          </w:tcPr>
          <w:p w14:paraId="0284DB55" w14:textId="62084A72"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(2.502.852)</w:t>
            </w:r>
          </w:p>
        </w:tc>
        <w:tc>
          <w:tcPr>
            <w:tcW w:w="554" w:type="pct"/>
            <w:tcBorders>
              <w:top w:val="single" w:sz="4" w:space="0" w:color="F39200"/>
              <w:left w:val="nil"/>
              <w:bottom w:val="single" w:sz="4" w:space="0" w:color="F39200"/>
              <w:right w:val="nil"/>
            </w:tcBorders>
            <w:shd w:val="clear" w:color="auto" w:fill="auto"/>
            <w:vAlign w:val="center"/>
          </w:tcPr>
          <w:p w14:paraId="3DDF0E91" w14:textId="38C76068" w:rsidR="00AE1F32" w:rsidRPr="00E20D21" w:rsidRDefault="00D033DB" w:rsidP="00AE1F32">
            <w:pPr>
              <w:jc w:val="right"/>
              <w:rPr>
                <w:rFonts w:ascii="CAIXA Std Book" w:eastAsia="Times New Roman" w:hAnsi="CAIXA Std Book" w:cs="Times New Roman"/>
                <w:b/>
                <w:color w:val="005CA9"/>
                <w:sz w:val="16"/>
                <w:szCs w:val="16"/>
              </w:rPr>
            </w:pPr>
            <w:r w:rsidRPr="00E20D21">
              <w:rPr>
                <w:rFonts w:ascii="CAIXA Std Book" w:eastAsia="Times New Roman" w:hAnsi="CAIXA Std Book" w:cs="Times New Roman"/>
                <w:b/>
                <w:bCs/>
                <w:color w:val="005CA9"/>
                <w:sz w:val="16"/>
                <w:szCs w:val="16"/>
              </w:rPr>
              <w:t>11.444.397</w:t>
            </w:r>
          </w:p>
        </w:tc>
      </w:tr>
    </w:tbl>
    <w:p w14:paraId="4D471D04" w14:textId="6277D845" w:rsidR="00910878" w:rsidRPr="00E20D21" w:rsidRDefault="00DC1937" w:rsidP="00B75364">
      <w:pPr>
        <w:autoSpaceDE w:val="0"/>
        <w:autoSpaceDN w:val="0"/>
        <w:adjustRightInd w:val="0"/>
        <w:spacing w:before="240" w:after="240"/>
        <w:ind w:left="567" w:right="139" w:hanging="567"/>
        <w:jc w:val="both"/>
        <w:rPr>
          <w:rFonts w:ascii="CAIXA Std Book" w:hAnsi="CAIXA Std Book"/>
          <w:b/>
          <w:color w:val="005CA9"/>
          <w:sz w:val="20"/>
          <w:szCs w:val="20"/>
        </w:rPr>
      </w:pPr>
      <w:r w:rsidRPr="00E20D21">
        <w:rPr>
          <w:rFonts w:ascii="CAIXA Std Book" w:hAnsi="CAIXA Std Book"/>
          <w:b/>
          <w:color w:val="005CA9"/>
          <w:sz w:val="20"/>
          <w:szCs w:val="20"/>
        </w:rPr>
        <w:t>(b.</w:t>
      </w:r>
      <w:r w:rsidR="00195BE6" w:rsidRPr="00E20D21">
        <w:rPr>
          <w:rFonts w:ascii="CAIXA Std Book" w:hAnsi="CAIXA Std Book"/>
          <w:b/>
          <w:color w:val="005CA9"/>
          <w:sz w:val="20"/>
          <w:szCs w:val="20"/>
        </w:rPr>
        <w:t>2</w:t>
      </w:r>
      <w:r w:rsidRPr="00E20D21">
        <w:rPr>
          <w:rFonts w:ascii="CAIXA Std Book" w:hAnsi="CAIXA Std Book"/>
          <w:b/>
          <w:color w:val="005CA9"/>
          <w:sz w:val="20"/>
          <w:szCs w:val="20"/>
        </w:rPr>
        <w:t>)</w:t>
      </w:r>
      <w:r w:rsidRPr="00E20D21">
        <w:rPr>
          <w:rFonts w:ascii="CAIXA Std Book" w:hAnsi="CAIXA Std Book"/>
          <w:b/>
          <w:color w:val="005CA9"/>
          <w:sz w:val="20"/>
          <w:szCs w:val="20"/>
        </w:rPr>
        <w:tab/>
      </w:r>
      <w:r w:rsidR="00910878" w:rsidRPr="00E20D21">
        <w:rPr>
          <w:rFonts w:ascii="CAIXA Std Book" w:hAnsi="CAIXA Std Book"/>
          <w:b/>
          <w:color w:val="005CA9"/>
          <w:sz w:val="20"/>
          <w:szCs w:val="20"/>
        </w:rPr>
        <w:t>Ações trabalhistas</w:t>
      </w:r>
    </w:p>
    <w:p w14:paraId="1DE86409" w14:textId="77777777" w:rsidR="0001164F" w:rsidRPr="00E20D21" w:rsidRDefault="0001164F"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A CAIXA é parte passiva em ações ajui</w:t>
      </w:r>
      <w:r w:rsidR="007E07B5" w:rsidRPr="00E20D21">
        <w:rPr>
          <w:rFonts w:ascii="CAIXA Std Book" w:hAnsi="CAIXA Std Book"/>
          <w:color w:val="005CA9"/>
          <w:sz w:val="20"/>
          <w:szCs w:val="20"/>
        </w:rPr>
        <w:t>z</w:t>
      </w:r>
      <w:r w:rsidRPr="00E20D21">
        <w:rPr>
          <w:rFonts w:ascii="CAIXA Std Book" w:hAnsi="CAIXA Std Book"/>
          <w:color w:val="005CA9"/>
          <w:sz w:val="20"/>
          <w:szCs w:val="20"/>
        </w:rPr>
        <w:t>adas por empregados, ex-empregados próprios ou de prestadoras de serviços e sindicatos, relacionadas com a atividade laboral, planos de cargos, acordos coletivos, indenizações, benefícios, aposentadorias, subsidiariedade, entre outros.</w:t>
      </w:r>
    </w:p>
    <w:p w14:paraId="6FE4C030" w14:textId="496F2347" w:rsidR="00B379AD" w:rsidRPr="00E20D21" w:rsidRDefault="00B379AD" w:rsidP="004268F2">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Em </w:t>
      </w:r>
      <w:r w:rsidR="00AE1F32" w:rsidRPr="00E20D21">
        <w:rPr>
          <w:rFonts w:ascii="CAIXA Std Book" w:hAnsi="CAIXA Std Book"/>
          <w:color w:val="005CA9"/>
          <w:sz w:val="20"/>
          <w:szCs w:val="20"/>
        </w:rPr>
        <w:t>30/06/2024</w:t>
      </w:r>
      <w:r w:rsidRPr="00E20D21">
        <w:rPr>
          <w:rFonts w:ascii="CAIXA Std Book" w:hAnsi="CAIXA Std Book"/>
          <w:color w:val="005CA9"/>
          <w:sz w:val="20"/>
          <w:szCs w:val="20"/>
        </w:rPr>
        <w:t xml:space="preserve">, constavam </w:t>
      </w:r>
      <w:r w:rsidR="009520D4" w:rsidRPr="00E20D21">
        <w:rPr>
          <w:rFonts w:ascii="CAIXA Std Book" w:hAnsi="CAIXA Std Book"/>
          <w:color w:val="005CA9"/>
          <w:sz w:val="20"/>
          <w:szCs w:val="20"/>
        </w:rPr>
        <w:t>56.673</w:t>
      </w:r>
      <w:r w:rsidR="00AE1F32" w:rsidRPr="00E20D21">
        <w:rPr>
          <w:rFonts w:ascii="CAIXA Std Book" w:hAnsi="CAIXA Std Book"/>
          <w:color w:val="005CA9"/>
          <w:sz w:val="20"/>
          <w:szCs w:val="20"/>
        </w:rPr>
        <w:t xml:space="preserve"> </w:t>
      </w:r>
      <w:r w:rsidRPr="00E20D21">
        <w:rPr>
          <w:rFonts w:ascii="CAIXA Std Book" w:hAnsi="CAIXA Std Book"/>
          <w:color w:val="005CA9"/>
          <w:sz w:val="20"/>
          <w:szCs w:val="20"/>
        </w:rPr>
        <w:t>processos trabalhistas provisionados (57.</w:t>
      </w:r>
      <w:r w:rsidR="00AE1F32" w:rsidRPr="00E20D21">
        <w:rPr>
          <w:rFonts w:ascii="CAIXA Std Book" w:hAnsi="CAIXA Std Book"/>
          <w:color w:val="005CA9"/>
          <w:sz w:val="20"/>
          <w:szCs w:val="20"/>
        </w:rPr>
        <w:t>791</w:t>
      </w:r>
      <w:r w:rsidRPr="00E20D21">
        <w:rPr>
          <w:rFonts w:ascii="CAIXA Std Book" w:hAnsi="CAIXA Std Book"/>
          <w:color w:val="005CA9"/>
          <w:sz w:val="20"/>
          <w:szCs w:val="20"/>
        </w:rPr>
        <w:t xml:space="preserve"> em 31/12/202</w:t>
      </w:r>
      <w:r w:rsidR="00AE1F32" w:rsidRPr="00E20D21">
        <w:rPr>
          <w:rFonts w:ascii="CAIXA Std Book" w:hAnsi="CAIXA Std Book"/>
          <w:color w:val="005CA9"/>
          <w:sz w:val="20"/>
          <w:szCs w:val="20"/>
        </w:rPr>
        <w:t>3</w:t>
      </w:r>
      <w:r w:rsidRPr="00E20D21">
        <w:rPr>
          <w:rFonts w:ascii="CAIXA Std Book" w:hAnsi="CAIXA Std Book"/>
          <w:color w:val="005CA9"/>
          <w:sz w:val="20"/>
          <w:szCs w:val="20"/>
        </w:rPr>
        <w:t xml:space="preserve">), sendo </w:t>
      </w:r>
      <w:r w:rsidR="006B4AAF" w:rsidRPr="00E20D21">
        <w:rPr>
          <w:rFonts w:ascii="CAIXA Std Book" w:hAnsi="CAIXA Std Book"/>
          <w:color w:val="005CA9"/>
          <w:sz w:val="20"/>
          <w:szCs w:val="20"/>
        </w:rPr>
        <w:t>29.259</w:t>
      </w:r>
      <w:r w:rsidRPr="00E20D21">
        <w:rPr>
          <w:rFonts w:ascii="CAIXA Std Book" w:hAnsi="CAIXA Std Book"/>
          <w:color w:val="005CA9"/>
          <w:sz w:val="20"/>
          <w:szCs w:val="20"/>
        </w:rPr>
        <w:t xml:space="preserve"> </w:t>
      </w:r>
      <w:r w:rsidR="00E61B89" w:rsidRPr="00E20D21">
        <w:rPr>
          <w:rFonts w:ascii="CAIXA Std Book" w:hAnsi="CAIXA Std Book"/>
          <w:color w:val="005CA9"/>
          <w:sz w:val="20"/>
          <w:szCs w:val="20"/>
        </w:rPr>
        <w:t>sujeitos à metodologia massificada</w:t>
      </w:r>
      <w:r w:rsidRPr="00E20D21">
        <w:rPr>
          <w:rFonts w:ascii="CAIXA Std Book" w:hAnsi="CAIXA Std Book"/>
          <w:color w:val="005CA9"/>
          <w:sz w:val="20"/>
          <w:szCs w:val="20"/>
        </w:rPr>
        <w:t xml:space="preserve"> (</w:t>
      </w:r>
      <w:r w:rsidR="00AE1F32" w:rsidRPr="00E20D21">
        <w:rPr>
          <w:rFonts w:ascii="CAIXA Std Book" w:hAnsi="CAIXA Std Book"/>
          <w:color w:val="005CA9"/>
          <w:sz w:val="20"/>
          <w:szCs w:val="20"/>
        </w:rPr>
        <w:t>30.015</w:t>
      </w:r>
      <w:r w:rsidRPr="00E20D21">
        <w:rPr>
          <w:rFonts w:ascii="CAIXA Std Book" w:hAnsi="CAIXA Std Book"/>
          <w:color w:val="005CA9"/>
          <w:sz w:val="20"/>
          <w:szCs w:val="20"/>
        </w:rPr>
        <w:t xml:space="preserve"> em 31/12/202</w:t>
      </w:r>
      <w:r w:rsidR="00AE1F32" w:rsidRPr="00E20D21">
        <w:rPr>
          <w:rFonts w:ascii="CAIXA Std Book" w:hAnsi="CAIXA Std Book"/>
          <w:color w:val="005CA9"/>
          <w:sz w:val="20"/>
          <w:szCs w:val="20"/>
        </w:rPr>
        <w:t>3</w:t>
      </w:r>
      <w:r w:rsidRPr="00E20D21">
        <w:rPr>
          <w:rFonts w:ascii="CAIXA Std Book" w:hAnsi="CAIXA Std Book"/>
          <w:color w:val="005CA9"/>
          <w:sz w:val="20"/>
          <w:szCs w:val="20"/>
        </w:rPr>
        <w:t xml:space="preserve">) e </w:t>
      </w:r>
      <w:r w:rsidR="00D14736" w:rsidRPr="00E20D21">
        <w:rPr>
          <w:rFonts w:ascii="CAIXA Std Book" w:hAnsi="CAIXA Std Book"/>
          <w:color w:val="005CA9"/>
          <w:sz w:val="20"/>
          <w:szCs w:val="20"/>
        </w:rPr>
        <w:t>27.414</w:t>
      </w:r>
      <w:r w:rsidRPr="00E20D21">
        <w:rPr>
          <w:rFonts w:ascii="CAIXA Std Book" w:hAnsi="CAIXA Std Book"/>
          <w:color w:val="005CA9"/>
          <w:sz w:val="20"/>
          <w:szCs w:val="20"/>
        </w:rPr>
        <w:t xml:space="preserve"> </w:t>
      </w:r>
      <w:r w:rsidR="006C7C31" w:rsidRPr="00E20D21">
        <w:rPr>
          <w:rFonts w:ascii="CAIXA Std Book" w:hAnsi="CAIXA Std Book"/>
          <w:color w:val="005CA9"/>
          <w:sz w:val="20"/>
          <w:szCs w:val="20"/>
        </w:rPr>
        <w:t xml:space="preserve">sujeitos à metodologia </w:t>
      </w:r>
      <w:r w:rsidRPr="00E20D21">
        <w:rPr>
          <w:rFonts w:ascii="CAIXA Std Book" w:hAnsi="CAIXA Std Book"/>
          <w:color w:val="005CA9"/>
          <w:sz w:val="20"/>
          <w:szCs w:val="20"/>
        </w:rPr>
        <w:t>individualizad</w:t>
      </w:r>
      <w:r w:rsidR="006C7C31" w:rsidRPr="00E20D21">
        <w:rPr>
          <w:rFonts w:ascii="CAIXA Std Book" w:hAnsi="CAIXA Std Book"/>
          <w:color w:val="005CA9"/>
          <w:sz w:val="20"/>
          <w:szCs w:val="20"/>
        </w:rPr>
        <w:t>a</w:t>
      </w:r>
      <w:r w:rsidRPr="00E20D21">
        <w:rPr>
          <w:rFonts w:ascii="CAIXA Std Book" w:hAnsi="CAIXA Std Book"/>
          <w:color w:val="005CA9"/>
          <w:sz w:val="20"/>
          <w:szCs w:val="20"/>
        </w:rPr>
        <w:t xml:space="preserve"> (</w:t>
      </w:r>
      <w:r w:rsidR="00AE1F32" w:rsidRPr="00E20D21">
        <w:rPr>
          <w:rFonts w:ascii="CAIXA Std Book" w:hAnsi="CAIXA Std Book"/>
          <w:color w:val="005CA9"/>
          <w:sz w:val="20"/>
          <w:szCs w:val="20"/>
        </w:rPr>
        <w:t>27.776</w:t>
      </w:r>
      <w:r w:rsidRPr="00E20D21">
        <w:rPr>
          <w:rFonts w:ascii="CAIXA Std Book" w:hAnsi="CAIXA Std Book"/>
          <w:color w:val="005CA9"/>
          <w:sz w:val="20"/>
          <w:szCs w:val="20"/>
        </w:rPr>
        <w:t xml:space="preserve"> em 31/12/202</w:t>
      </w:r>
      <w:r w:rsidR="00AE1F32" w:rsidRPr="00E20D21">
        <w:rPr>
          <w:rFonts w:ascii="CAIXA Std Book" w:hAnsi="CAIXA Std Book"/>
          <w:color w:val="005CA9"/>
          <w:sz w:val="20"/>
          <w:szCs w:val="20"/>
        </w:rPr>
        <w:t>3</w:t>
      </w:r>
      <w:r w:rsidRPr="00E20D21">
        <w:rPr>
          <w:rFonts w:ascii="CAIXA Std Book" w:hAnsi="CAIXA Std Book"/>
          <w:color w:val="005CA9"/>
          <w:sz w:val="20"/>
          <w:szCs w:val="20"/>
        </w:rPr>
        <w:t>).</w:t>
      </w:r>
    </w:p>
    <w:p w14:paraId="2AEDFF4E" w14:textId="522DB89A" w:rsidR="00473D8F" w:rsidRPr="00E20D21" w:rsidRDefault="0001164F"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Visando a reduzir o litígio judicial e diminuir os valores despendidos nos processos, a CAIXA continua executando sua política de conciliação judicial e extrajudicial, realiza o cumprimento espontâneo de certas decisões judiciais e faz a análise das perdas incorridas a fim de mitigar novos litígios de causas semelhantes. Em virtude disto, as ações relevantes não são individualmente divulgadas para não inviabilizar a realização de acordos</w:t>
      </w:r>
      <w:r w:rsidR="00910878" w:rsidRPr="00E20D21">
        <w:rPr>
          <w:rFonts w:ascii="CAIXA Std Book" w:hAnsi="CAIXA Std Book"/>
          <w:color w:val="005CA9"/>
          <w:sz w:val="20"/>
          <w:szCs w:val="20"/>
        </w:rPr>
        <w:t>.</w:t>
      </w:r>
    </w:p>
    <w:p w14:paraId="79C05BE7" w14:textId="77777777" w:rsidR="006901B1" w:rsidRPr="00E20D21" w:rsidRDefault="006901B1">
      <w:pPr>
        <w:rPr>
          <w:rFonts w:ascii="CAIXA Std Book" w:hAnsi="CAIXA Std Book"/>
          <w:b/>
          <w:color w:val="005CA9"/>
          <w:sz w:val="20"/>
          <w:szCs w:val="20"/>
        </w:rPr>
      </w:pPr>
      <w:r w:rsidRPr="00E20D21">
        <w:rPr>
          <w:rFonts w:ascii="CAIXA Std Book" w:hAnsi="CAIXA Std Book"/>
          <w:b/>
          <w:color w:val="005CA9"/>
          <w:sz w:val="20"/>
          <w:szCs w:val="20"/>
        </w:rPr>
        <w:br w:type="page"/>
      </w:r>
    </w:p>
    <w:p w14:paraId="0768161A" w14:textId="46604854" w:rsidR="00910878" w:rsidRPr="00E20D21" w:rsidRDefault="00910878" w:rsidP="00B75364">
      <w:pPr>
        <w:autoSpaceDE w:val="0"/>
        <w:autoSpaceDN w:val="0"/>
        <w:adjustRightInd w:val="0"/>
        <w:spacing w:before="240" w:after="240"/>
        <w:ind w:left="567" w:right="139"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(b.</w:t>
      </w:r>
      <w:r w:rsidR="00195BE6" w:rsidRPr="00E20D21">
        <w:rPr>
          <w:rFonts w:ascii="CAIXA Std Book" w:hAnsi="CAIXA Std Book"/>
          <w:b/>
          <w:color w:val="005CA9"/>
          <w:sz w:val="20"/>
          <w:szCs w:val="20"/>
        </w:rPr>
        <w:t>3</w:t>
      </w:r>
      <w:r w:rsidRPr="00E20D21">
        <w:rPr>
          <w:rFonts w:ascii="CAIXA Std Book" w:hAnsi="CAIXA Std Book"/>
          <w:b/>
          <w:color w:val="005CA9"/>
          <w:sz w:val="20"/>
          <w:szCs w:val="20"/>
        </w:rPr>
        <w:t>)</w:t>
      </w:r>
      <w:r w:rsidRPr="00E20D21">
        <w:rPr>
          <w:rFonts w:ascii="CAIXA Std Book" w:hAnsi="CAIXA Std Book"/>
          <w:b/>
          <w:color w:val="005CA9"/>
          <w:sz w:val="20"/>
          <w:szCs w:val="20"/>
        </w:rPr>
        <w:tab/>
        <w:t>Ações cíveis</w:t>
      </w:r>
    </w:p>
    <w:p w14:paraId="54FAF899" w14:textId="03E8EA0B" w:rsidR="00926108" w:rsidRPr="00E20D21" w:rsidRDefault="00926108" w:rsidP="00C2676D">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A CAIXA é parte passiva em ações cíveis de natureza indenizatória/contratual relativas a seus produtos, serviços e atendimento. Em </w:t>
      </w:r>
      <w:r w:rsidR="001E3C4C" w:rsidRPr="00E20D21">
        <w:rPr>
          <w:rFonts w:ascii="CAIXA Std Book" w:hAnsi="CAIXA Std Book"/>
          <w:color w:val="005CA9"/>
          <w:sz w:val="20"/>
          <w:szCs w:val="20"/>
        </w:rPr>
        <w:t>30/06/2024</w:t>
      </w:r>
      <w:r w:rsidRPr="00E20D21">
        <w:rPr>
          <w:rFonts w:ascii="CAIXA Std Book" w:hAnsi="CAIXA Std Book"/>
          <w:color w:val="005CA9"/>
          <w:sz w:val="20"/>
          <w:szCs w:val="20"/>
        </w:rPr>
        <w:t xml:space="preserve">, constavam </w:t>
      </w:r>
      <w:r w:rsidR="000B5C97" w:rsidRPr="00E20D21">
        <w:rPr>
          <w:rFonts w:ascii="CAIXA Std Book" w:hAnsi="CAIXA Std Book"/>
          <w:color w:val="005CA9"/>
          <w:sz w:val="20"/>
          <w:szCs w:val="20"/>
        </w:rPr>
        <w:t>366.598</w:t>
      </w:r>
      <w:r w:rsidRPr="00E20D21">
        <w:rPr>
          <w:rFonts w:ascii="CAIXA Std Book" w:hAnsi="CAIXA Std Book"/>
          <w:color w:val="005CA9"/>
          <w:sz w:val="20"/>
          <w:szCs w:val="20"/>
        </w:rPr>
        <w:t xml:space="preserve"> processos cíveis provisionados (</w:t>
      </w:r>
      <w:r w:rsidR="00194254" w:rsidRPr="00E20D21">
        <w:rPr>
          <w:rFonts w:ascii="CAIXA Std Book" w:hAnsi="CAIXA Std Book"/>
          <w:color w:val="005CA9"/>
          <w:sz w:val="20"/>
          <w:szCs w:val="20"/>
        </w:rPr>
        <w:t>344.473</w:t>
      </w:r>
      <w:r w:rsidR="003634D7" w:rsidRPr="00E20D21">
        <w:rPr>
          <w:rFonts w:ascii="CAIXA Std Book" w:hAnsi="CAIXA Std Book"/>
          <w:color w:val="005CA9"/>
          <w:sz w:val="20"/>
          <w:szCs w:val="20"/>
        </w:rPr>
        <w:t xml:space="preserve"> </w:t>
      </w:r>
      <w:r w:rsidRPr="00E20D21">
        <w:rPr>
          <w:rFonts w:ascii="CAIXA Std Book" w:hAnsi="CAIXA Std Book"/>
          <w:color w:val="005CA9"/>
          <w:sz w:val="20"/>
          <w:szCs w:val="20"/>
        </w:rPr>
        <w:t>em 31/12/202</w:t>
      </w:r>
      <w:r w:rsidR="00194254" w:rsidRPr="00E20D21">
        <w:rPr>
          <w:rFonts w:ascii="CAIXA Std Book" w:hAnsi="CAIXA Std Book"/>
          <w:color w:val="005CA9"/>
          <w:sz w:val="20"/>
          <w:szCs w:val="20"/>
        </w:rPr>
        <w:t>3</w:t>
      </w:r>
      <w:r w:rsidRPr="00E20D21">
        <w:rPr>
          <w:rFonts w:ascii="CAIXA Std Book" w:hAnsi="CAIXA Std Book"/>
          <w:color w:val="005CA9"/>
          <w:sz w:val="20"/>
          <w:szCs w:val="20"/>
        </w:rPr>
        <w:t xml:space="preserve">), sendo </w:t>
      </w:r>
      <w:r w:rsidR="00653BDC" w:rsidRPr="00E20D21">
        <w:rPr>
          <w:rFonts w:ascii="CAIXA Std Book" w:hAnsi="CAIXA Std Book"/>
          <w:color w:val="005CA9"/>
          <w:sz w:val="20"/>
          <w:szCs w:val="20"/>
        </w:rPr>
        <w:t>336.692</w:t>
      </w:r>
      <w:r w:rsidRPr="00E20D21">
        <w:rPr>
          <w:rFonts w:ascii="CAIXA Std Book" w:hAnsi="CAIXA Std Book"/>
          <w:color w:val="005CA9"/>
          <w:sz w:val="20"/>
          <w:szCs w:val="20"/>
        </w:rPr>
        <w:t xml:space="preserve"> </w:t>
      </w:r>
      <w:r w:rsidR="006C7C31" w:rsidRPr="00E20D21">
        <w:rPr>
          <w:rFonts w:ascii="CAIXA Std Book" w:hAnsi="CAIXA Std Book"/>
          <w:color w:val="005CA9"/>
          <w:sz w:val="20"/>
          <w:szCs w:val="20"/>
        </w:rPr>
        <w:t>sujeitos à metodologia massificada</w:t>
      </w:r>
      <w:r w:rsidRPr="00E20D21">
        <w:rPr>
          <w:rFonts w:ascii="CAIXA Std Book" w:hAnsi="CAIXA Std Book"/>
          <w:color w:val="005CA9"/>
          <w:sz w:val="20"/>
          <w:szCs w:val="20"/>
        </w:rPr>
        <w:t xml:space="preserve"> (</w:t>
      </w:r>
      <w:r w:rsidR="00194254" w:rsidRPr="00E20D21">
        <w:rPr>
          <w:rFonts w:ascii="CAIXA Std Book" w:hAnsi="CAIXA Std Book"/>
          <w:color w:val="005CA9"/>
          <w:sz w:val="20"/>
          <w:szCs w:val="20"/>
        </w:rPr>
        <w:t>315.161</w:t>
      </w:r>
      <w:r w:rsidRPr="00E20D21">
        <w:rPr>
          <w:rFonts w:ascii="CAIXA Std Book" w:hAnsi="CAIXA Std Book"/>
          <w:color w:val="005CA9"/>
          <w:sz w:val="20"/>
          <w:szCs w:val="20"/>
        </w:rPr>
        <w:t>em 31/12/202</w:t>
      </w:r>
      <w:r w:rsidR="00194254" w:rsidRPr="00E20D21">
        <w:rPr>
          <w:rFonts w:ascii="CAIXA Std Book" w:hAnsi="CAIXA Std Book"/>
          <w:color w:val="005CA9"/>
          <w:sz w:val="20"/>
          <w:szCs w:val="20"/>
        </w:rPr>
        <w:t>3</w:t>
      </w:r>
      <w:r w:rsidRPr="00E20D21">
        <w:rPr>
          <w:rFonts w:ascii="CAIXA Std Book" w:hAnsi="CAIXA Std Book"/>
          <w:color w:val="005CA9"/>
          <w:sz w:val="20"/>
          <w:szCs w:val="20"/>
        </w:rPr>
        <w:t xml:space="preserve">) e </w:t>
      </w:r>
      <w:r w:rsidR="00A9727A" w:rsidRPr="00E20D21">
        <w:rPr>
          <w:rFonts w:ascii="CAIXA Std Book" w:hAnsi="CAIXA Std Book"/>
          <w:color w:val="005CA9"/>
          <w:sz w:val="20"/>
          <w:szCs w:val="20"/>
        </w:rPr>
        <w:t>29.906</w:t>
      </w:r>
      <w:r w:rsidRPr="00E20D21">
        <w:rPr>
          <w:rFonts w:ascii="CAIXA Std Book" w:hAnsi="CAIXA Std Book"/>
          <w:color w:val="005CA9"/>
          <w:sz w:val="20"/>
          <w:szCs w:val="20"/>
        </w:rPr>
        <w:t xml:space="preserve"> </w:t>
      </w:r>
      <w:r w:rsidR="00BD0260" w:rsidRPr="00E20D21">
        <w:rPr>
          <w:rFonts w:ascii="CAIXA Std Book" w:hAnsi="CAIXA Std Book"/>
          <w:color w:val="005CA9"/>
          <w:sz w:val="20"/>
          <w:szCs w:val="20"/>
        </w:rPr>
        <w:t xml:space="preserve">sujeitos à metodologia </w:t>
      </w:r>
      <w:r w:rsidRPr="00E20D21">
        <w:rPr>
          <w:rFonts w:ascii="CAIXA Std Book" w:hAnsi="CAIXA Std Book"/>
          <w:color w:val="005CA9"/>
          <w:sz w:val="20"/>
          <w:szCs w:val="20"/>
        </w:rPr>
        <w:t>individualizad</w:t>
      </w:r>
      <w:r w:rsidR="00BD0260" w:rsidRPr="00E20D21">
        <w:rPr>
          <w:rFonts w:ascii="CAIXA Std Book" w:hAnsi="CAIXA Std Book"/>
          <w:color w:val="005CA9"/>
          <w:sz w:val="20"/>
          <w:szCs w:val="20"/>
        </w:rPr>
        <w:t>a</w:t>
      </w:r>
      <w:r w:rsidRPr="00E20D21">
        <w:rPr>
          <w:rFonts w:ascii="CAIXA Std Book" w:hAnsi="CAIXA Std Book"/>
          <w:color w:val="005CA9"/>
          <w:sz w:val="20"/>
          <w:szCs w:val="20"/>
        </w:rPr>
        <w:t xml:space="preserve"> </w:t>
      </w:r>
      <w:r w:rsidR="00496597" w:rsidRPr="00E20D21">
        <w:rPr>
          <w:rFonts w:ascii="CAIXA Std Book" w:hAnsi="CAIXA Std Book"/>
          <w:color w:val="005CA9"/>
          <w:sz w:val="20"/>
          <w:szCs w:val="20"/>
        </w:rPr>
        <w:t>(</w:t>
      </w:r>
      <w:r w:rsidR="00194254" w:rsidRPr="00E20D21">
        <w:rPr>
          <w:rFonts w:ascii="CAIXA Std Book" w:hAnsi="CAIXA Std Book"/>
          <w:color w:val="005CA9"/>
          <w:sz w:val="20"/>
          <w:szCs w:val="20"/>
        </w:rPr>
        <w:t>29.312</w:t>
      </w:r>
      <w:r w:rsidRPr="00E20D21">
        <w:rPr>
          <w:rFonts w:ascii="CAIXA Std Book" w:hAnsi="CAIXA Std Book"/>
          <w:color w:val="005CA9"/>
          <w:sz w:val="20"/>
          <w:szCs w:val="20"/>
        </w:rPr>
        <w:t xml:space="preserve"> em 31/12/202</w:t>
      </w:r>
      <w:r w:rsidR="00194254" w:rsidRPr="00E20D21">
        <w:rPr>
          <w:rFonts w:ascii="CAIXA Std Book" w:hAnsi="CAIXA Std Book"/>
          <w:color w:val="005CA9"/>
          <w:sz w:val="20"/>
          <w:szCs w:val="20"/>
        </w:rPr>
        <w:t>3</w:t>
      </w:r>
      <w:r w:rsidRPr="00E20D21">
        <w:rPr>
          <w:rFonts w:ascii="CAIXA Std Book" w:hAnsi="CAIXA Std Book"/>
          <w:color w:val="005CA9"/>
          <w:sz w:val="20"/>
          <w:szCs w:val="20"/>
        </w:rPr>
        <w:t xml:space="preserve">). </w:t>
      </w:r>
    </w:p>
    <w:p w14:paraId="69B7CB7B" w14:textId="77777777" w:rsidR="00A41015" w:rsidRPr="00E20D21" w:rsidRDefault="00A41015" w:rsidP="00B75364">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Destacam-se demandas que contestam o expurgo de indexadores de planos econômicos, como parte da política econômica do governo federal no combate aos índices inflacionários no passado, quando da correção de saldos em depósitos em cadernetas de poupança.</w:t>
      </w:r>
    </w:p>
    <w:p w14:paraId="3E1EC1AB" w14:textId="0D4C33C4" w:rsidR="00910878" w:rsidRPr="00E20D21" w:rsidRDefault="00A41015" w:rsidP="007C4BC1">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A CAIXA cumpriu a ordem legal vigente à época, entretanto, considerando as ações efetivamente notificadas e a análise da jurisprudência atual do Superior Tribunal de Justiça – STJ, em </w:t>
      </w:r>
      <w:r w:rsidR="00A51E50" w:rsidRPr="00E20D21">
        <w:rPr>
          <w:rFonts w:ascii="CAIXA Std Book" w:hAnsi="CAIXA Std Book"/>
          <w:color w:val="005CA9"/>
          <w:sz w:val="20"/>
          <w:szCs w:val="20"/>
        </w:rPr>
        <w:t>30/06/2024</w:t>
      </w:r>
      <w:r w:rsidRPr="00E20D21">
        <w:rPr>
          <w:rFonts w:ascii="CAIXA Std Book" w:hAnsi="CAIXA Std Book"/>
          <w:color w:val="005CA9"/>
          <w:sz w:val="20"/>
          <w:szCs w:val="20"/>
        </w:rPr>
        <w:t>, foi provisionado</w:t>
      </w:r>
      <w:r w:rsidR="008B7390"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R$ </w:t>
      </w:r>
      <w:proofErr w:type="gramStart"/>
      <w:r w:rsidR="00476981" w:rsidRPr="00E20D21">
        <w:rPr>
          <w:rFonts w:ascii="CAIXA Std Book" w:hAnsi="CAIXA Std Book"/>
          <w:color w:val="005CA9"/>
          <w:sz w:val="20"/>
          <w:szCs w:val="20"/>
        </w:rPr>
        <w:t xml:space="preserve">787.564 </w:t>
      </w:r>
      <w:r w:rsidRPr="00E20D21">
        <w:rPr>
          <w:rFonts w:ascii="CAIXA Std Book" w:hAnsi="CAIXA Std Book"/>
          <w:color w:val="005CA9"/>
          <w:sz w:val="20"/>
          <w:szCs w:val="20"/>
        </w:rPr>
        <w:t xml:space="preserve"> para</w:t>
      </w:r>
      <w:proofErr w:type="gramEnd"/>
      <w:r w:rsidRPr="00E20D21">
        <w:rPr>
          <w:rFonts w:ascii="CAIXA Std Book" w:hAnsi="CAIXA Std Book"/>
          <w:color w:val="005CA9"/>
          <w:sz w:val="20"/>
          <w:szCs w:val="20"/>
        </w:rPr>
        <w:t xml:space="preserve"> estes processos (31/12/202</w:t>
      </w:r>
      <w:r w:rsidR="00194254"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194254" w:rsidRPr="00E20D21">
        <w:rPr>
          <w:rFonts w:ascii="CAIXA Std Book" w:hAnsi="CAIXA Std Book"/>
          <w:color w:val="005CA9"/>
          <w:sz w:val="20"/>
          <w:szCs w:val="20"/>
        </w:rPr>
        <w:t>765.771</w:t>
      </w:r>
      <w:r w:rsidRPr="00E20D21">
        <w:rPr>
          <w:rFonts w:ascii="CAIXA Std Book" w:hAnsi="CAIXA Std Book"/>
          <w:color w:val="005CA9"/>
          <w:sz w:val="20"/>
          <w:szCs w:val="20"/>
        </w:rPr>
        <w:t>)</w:t>
      </w:r>
      <w:r w:rsidR="00910878" w:rsidRPr="00E20D21">
        <w:rPr>
          <w:rFonts w:ascii="CAIXA Std Book" w:hAnsi="CAIXA Std Book"/>
          <w:color w:val="005CA9"/>
          <w:sz w:val="20"/>
          <w:szCs w:val="20"/>
        </w:rPr>
        <w:t>.</w:t>
      </w:r>
    </w:p>
    <w:p w14:paraId="4294C341" w14:textId="69495A6C" w:rsidR="00476419" w:rsidRPr="00E20D21" w:rsidRDefault="00476419" w:rsidP="00B75364">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O Supremo Tribunal Federal – STF suspendeu a análise de todos os recursos interpostos até que sejam proferidas as decisões das matérias de repercussão geral relativas ao Planos Bresser e Verão (tema 264), de valores não bloqueados do Plano Collor I (tema 265), Plano Collor I (tema 284) e do Plano Collor II (tema 285) que terão efeitos vinculantes a todos os casos relacionados.</w:t>
      </w:r>
    </w:p>
    <w:p w14:paraId="6013792A" w14:textId="3BEDA21B" w:rsidR="00476419" w:rsidRPr="00E20D21" w:rsidRDefault="00476419" w:rsidP="00B75364">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No final do exercício de 2017</w:t>
      </w:r>
      <w:r w:rsidR="0051272B" w:rsidRPr="00E20D21">
        <w:rPr>
          <w:rFonts w:ascii="CAIXA Std Book" w:hAnsi="CAIXA Std Book"/>
          <w:color w:val="005CA9"/>
          <w:sz w:val="20"/>
          <w:szCs w:val="20"/>
        </w:rPr>
        <w:t>,</w:t>
      </w:r>
      <w:r w:rsidRPr="00E20D21">
        <w:rPr>
          <w:rFonts w:ascii="CAIXA Std Book" w:hAnsi="CAIXA Std Book"/>
          <w:color w:val="005CA9"/>
          <w:sz w:val="20"/>
          <w:szCs w:val="20"/>
        </w:rPr>
        <w:t xml:space="preserve"> FEBRABAN e CONSIF celebraram acordo com as principais entidades de defesa do consumidor para equacionamento do problema. Este acordo foi homologado pelo STF e a CAIXA aderiu a seus termos. Os pagamentos começaram em julho de 2018 e continuam sendo realizados em atendimento às adesões processadas no site </w:t>
      </w:r>
      <w:hyperlink r:id="rId61" w:history="1">
        <w:r w:rsidR="00124C71" w:rsidRPr="00E20D21">
          <w:rPr>
            <w:rStyle w:val="Hyperlink"/>
            <w:rFonts w:ascii="CAIXA Std Book" w:hAnsi="CAIXA Std Book" w:cs="Yu Mincho Light"/>
            <w:color w:val="005CA9"/>
            <w:sz w:val="20"/>
            <w:szCs w:val="20"/>
          </w:rPr>
          <w:t>https://portalacordo.pagamentodapoupanca.com.br/</w:t>
        </w:r>
      </w:hyperlink>
      <w:r w:rsidR="00124C71" w:rsidRPr="00E20D21">
        <w:rPr>
          <w:rFonts w:ascii="CAIXA Std Book" w:hAnsi="CAIXA Std Book"/>
          <w:color w:val="005CA9"/>
          <w:sz w:val="20"/>
          <w:szCs w:val="20"/>
        </w:rPr>
        <w:t xml:space="preserve"> </w:t>
      </w:r>
      <w:r w:rsidRPr="00E20D21">
        <w:rPr>
          <w:rFonts w:ascii="CAIXA Std Book" w:hAnsi="CAIXA Std Book"/>
          <w:color w:val="005CA9"/>
          <w:sz w:val="20"/>
          <w:szCs w:val="20"/>
        </w:rPr>
        <w:t>e mutirões de conciliação administrativos e judiciais.</w:t>
      </w:r>
    </w:p>
    <w:p w14:paraId="661C3751" w14:textId="2A93235E" w:rsidR="00476419" w:rsidRPr="00E20D21" w:rsidRDefault="00476419" w:rsidP="00B75364">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O acordo teve prazo final em 12/03/2020, razão pela qual a FEBRABAN e as entidades de defesa do consumidor chegaram a bom termo para prorrogar o acordo anterior por mais 5 anos</w:t>
      </w:r>
      <w:r w:rsidR="00794D4F"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tendo sido homologado pelo STF </w:t>
      </w:r>
      <w:r w:rsidR="00794D4F" w:rsidRPr="00E20D21">
        <w:rPr>
          <w:rFonts w:ascii="CAIXA Std Book" w:hAnsi="CAIXA Std Book"/>
          <w:color w:val="005CA9"/>
          <w:sz w:val="20"/>
          <w:szCs w:val="20"/>
        </w:rPr>
        <w:t>uma</w:t>
      </w:r>
      <w:r w:rsidRPr="00E20D21">
        <w:rPr>
          <w:rFonts w:ascii="CAIXA Std Book" w:hAnsi="CAIXA Std Book"/>
          <w:color w:val="005CA9"/>
          <w:sz w:val="20"/>
          <w:szCs w:val="20"/>
        </w:rPr>
        <w:t xml:space="preserve"> prorrogação </w:t>
      </w:r>
      <w:r w:rsidR="00794D4F" w:rsidRPr="00E20D21">
        <w:rPr>
          <w:rFonts w:ascii="CAIXA Std Book" w:hAnsi="CAIXA Std Book"/>
          <w:color w:val="005CA9"/>
          <w:sz w:val="20"/>
          <w:szCs w:val="20"/>
        </w:rPr>
        <w:t>inicial de</w:t>
      </w:r>
      <w:r w:rsidRPr="00E20D21">
        <w:rPr>
          <w:rFonts w:ascii="CAIXA Std Book" w:hAnsi="CAIXA Std Book"/>
          <w:color w:val="005CA9"/>
          <w:sz w:val="20"/>
          <w:szCs w:val="20"/>
        </w:rPr>
        <w:t xml:space="preserve"> 30 meses</w:t>
      </w:r>
      <w:r w:rsidR="00794D4F" w:rsidRPr="00E20D21">
        <w:rPr>
          <w:rFonts w:ascii="CAIXA Std Book" w:hAnsi="CAIXA Std Book"/>
          <w:color w:val="005CA9"/>
          <w:sz w:val="20"/>
          <w:szCs w:val="20"/>
        </w:rPr>
        <w:t xml:space="preserve"> e após analisados os</w:t>
      </w:r>
      <w:r w:rsidRPr="00E20D21">
        <w:rPr>
          <w:rFonts w:ascii="CAIXA Std Book" w:hAnsi="CAIXA Std Book"/>
          <w:color w:val="005CA9"/>
          <w:sz w:val="20"/>
          <w:szCs w:val="20"/>
        </w:rPr>
        <w:t xml:space="preserve"> resultados obtidos</w:t>
      </w:r>
      <w:r w:rsidR="00794D4F" w:rsidRPr="00E20D21">
        <w:rPr>
          <w:rFonts w:ascii="CAIXA Std Book" w:hAnsi="CAIXA Std Book"/>
          <w:color w:val="005CA9"/>
          <w:sz w:val="20"/>
          <w:szCs w:val="20"/>
        </w:rPr>
        <w:t>, em dezembro de 2022, o STF homologou uma segunda prorrogação de mais 30 meses</w:t>
      </w:r>
    </w:p>
    <w:p w14:paraId="454F8BE1" w14:textId="17CD9552" w:rsidR="006F36E6" w:rsidRPr="00E20D21" w:rsidRDefault="006F36E6" w:rsidP="006F36E6">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Também são significativos os processos que visam à reparação de danos envolvendo o contingenciamento de repasses de recursos do FGTS. O valor provisionado, em </w:t>
      </w:r>
      <w:r w:rsidR="001E3C4C" w:rsidRPr="00E20D21">
        <w:rPr>
          <w:rFonts w:ascii="CAIXA Std Book" w:hAnsi="CAIXA Std Book"/>
          <w:color w:val="005CA9"/>
          <w:sz w:val="20"/>
          <w:szCs w:val="20"/>
        </w:rPr>
        <w:t>30/06/2024</w:t>
      </w:r>
      <w:r w:rsidRPr="00E20D21">
        <w:rPr>
          <w:rFonts w:ascii="CAIXA Std Book" w:hAnsi="CAIXA Std Book"/>
          <w:color w:val="005CA9"/>
          <w:sz w:val="20"/>
          <w:szCs w:val="20"/>
        </w:rPr>
        <w:t xml:space="preserve">, para estes processos é de R$ </w:t>
      </w:r>
      <w:proofErr w:type="gramStart"/>
      <w:r w:rsidR="005B269E" w:rsidRPr="00E20D21">
        <w:rPr>
          <w:rFonts w:ascii="CAIXA Std Book" w:hAnsi="CAIXA Std Book"/>
          <w:color w:val="005CA9"/>
          <w:sz w:val="20"/>
          <w:szCs w:val="20"/>
        </w:rPr>
        <w:t xml:space="preserve">953.398 </w:t>
      </w:r>
      <w:r w:rsidRPr="00E20D21">
        <w:rPr>
          <w:rFonts w:ascii="CAIXA Std Book" w:hAnsi="CAIXA Std Book"/>
          <w:color w:val="005CA9"/>
          <w:sz w:val="20"/>
          <w:szCs w:val="20"/>
        </w:rPr>
        <w:t xml:space="preserve"> (</w:t>
      </w:r>
      <w:proofErr w:type="gramEnd"/>
      <w:r w:rsidRPr="00E20D21">
        <w:rPr>
          <w:rFonts w:ascii="CAIXA Std Book" w:hAnsi="CAIXA Std Book"/>
          <w:color w:val="005CA9"/>
          <w:sz w:val="20"/>
          <w:szCs w:val="20"/>
        </w:rPr>
        <w:t>31/12/202</w:t>
      </w:r>
      <w:r w:rsidR="001E3C4C"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194254" w:rsidRPr="00E20D21">
        <w:rPr>
          <w:rFonts w:ascii="CAIXA Std Book" w:hAnsi="CAIXA Std Book"/>
          <w:color w:val="005CA9"/>
          <w:sz w:val="20"/>
          <w:szCs w:val="20"/>
        </w:rPr>
        <w:t>1.072.</w:t>
      </w:r>
      <w:r w:rsidR="001E3C4C" w:rsidRPr="00E20D21">
        <w:rPr>
          <w:rFonts w:ascii="CAIXA Std Book" w:hAnsi="CAIXA Std Book"/>
          <w:color w:val="005CA9"/>
          <w:sz w:val="20"/>
          <w:szCs w:val="20"/>
        </w:rPr>
        <w:t>538</w:t>
      </w:r>
      <w:r w:rsidRPr="00E20D21">
        <w:rPr>
          <w:rFonts w:ascii="CAIXA Std Book" w:hAnsi="CAIXA Std Book"/>
          <w:color w:val="005CA9"/>
          <w:sz w:val="20"/>
          <w:szCs w:val="20"/>
        </w:rPr>
        <w:t>).</w:t>
      </w:r>
    </w:p>
    <w:p w14:paraId="3615D0DD" w14:textId="77777777" w:rsidR="00476419" w:rsidRPr="00E20D21" w:rsidRDefault="00476419" w:rsidP="00B75364">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As ações indenizatórias de perdas e danos se referem a eventuais problemas ocorridos no atendimento bancário, na prestação de serviços ou na aquisição/manutenção de algum produto.</w:t>
      </w:r>
    </w:p>
    <w:p w14:paraId="3D50BED4" w14:textId="2CA3B645" w:rsidR="006F36E6" w:rsidRPr="00E20D21" w:rsidRDefault="006F36E6" w:rsidP="006F36E6">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Em </w:t>
      </w:r>
      <w:r w:rsidR="00C0047C" w:rsidRPr="00E20D21">
        <w:rPr>
          <w:rFonts w:ascii="CAIXA Std Book" w:hAnsi="CAIXA Std Book"/>
          <w:color w:val="005CA9"/>
          <w:sz w:val="20"/>
          <w:szCs w:val="20"/>
        </w:rPr>
        <w:t>2024</w:t>
      </w:r>
      <w:r w:rsidRPr="00E20D21">
        <w:rPr>
          <w:rFonts w:ascii="CAIXA Std Book" w:hAnsi="CAIXA Std Book"/>
          <w:color w:val="005CA9"/>
          <w:sz w:val="20"/>
          <w:szCs w:val="20"/>
        </w:rPr>
        <w:t xml:space="preserve"> a CAIXA continua executando sua </w:t>
      </w:r>
      <w:r w:rsidR="00A81A31" w:rsidRPr="00E20D21">
        <w:rPr>
          <w:rFonts w:ascii="CAIXA Std Book" w:hAnsi="CAIXA Std Book"/>
          <w:color w:val="005CA9"/>
          <w:sz w:val="20"/>
          <w:szCs w:val="20"/>
        </w:rPr>
        <w:t>política</w:t>
      </w:r>
      <w:r w:rsidRPr="00E20D21">
        <w:rPr>
          <w:rFonts w:ascii="CAIXA Std Book" w:hAnsi="CAIXA Std Book"/>
          <w:color w:val="005CA9"/>
          <w:sz w:val="20"/>
          <w:szCs w:val="20"/>
        </w:rPr>
        <w:t xml:space="preserve"> de conciliação judicial e extrajudicial, realizando o cumprimento espontâneo de decisões judiciais e analisando perdas incorridas a fim de mitigar novos litígios de causas semelhantes. Até </w:t>
      </w:r>
      <w:r w:rsidR="00612045" w:rsidRPr="00E20D21">
        <w:rPr>
          <w:rFonts w:ascii="CAIXA Std Book" w:hAnsi="CAIXA Std Book"/>
          <w:color w:val="005CA9"/>
          <w:sz w:val="20"/>
          <w:szCs w:val="20"/>
        </w:rPr>
        <w:t>3</w:t>
      </w:r>
      <w:r w:rsidR="00B96799" w:rsidRPr="00E20D21">
        <w:rPr>
          <w:rFonts w:ascii="CAIXA Std Book" w:hAnsi="CAIXA Std Book"/>
          <w:color w:val="005CA9"/>
          <w:sz w:val="20"/>
          <w:szCs w:val="20"/>
        </w:rPr>
        <w:t>0</w:t>
      </w:r>
      <w:r w:rsidR="00612045" w:rsidRPr="00E20D21">
        <w:rPr>
          <w:rFonts w:ascii="CAIXA Std Book" w:hAnsi="CAIXA Std Book"/>
          <w:color w:val="005CA9"/>
          <w:sz w:val="20"/>
          <w:szCs w:val="20"/>
        </w:rPr>
        <w:t>/</w:t>
      </w:r>
      <w:r w:rsidR="00B96799" w:rsidRPr="00E20D21">
        <w:rPr>
          <w:rFonts w:ascii="CAIXA Std Book" w:hAnsi="CAIXA Std Book"/>
          <w:color w:val="005CA9"/>
          <w:sz w:val="20"/>
          <w:szCs w:val="20"/>
        </w:rPr>
        <w:t>06</w:t>
      </w:r>
      <w:r w:rsidR="00612045" w:rsidRPr="00E20D21">
        <w:rPr>
          <w:rFonts w:ascii="CAIXA Std Book" w:hAnsi="CAIXA Std Book"/>
          <w:color w:val="005CA9"/>
          <w:sz w:val="20"/>
          <w:szCs w:val="20"/>
        </w:rPr>
        <w:t>/202</w:t>
      </w:r>
      <w:r w:rsidR="00B96799" w:rsidRPr="00E20D21">
        <w:rPr>
          <w:rFonts w:ascii="CAIXA Std Book" w:hAnsi="CAIXA Std Book"/>
          <w:color w:val="005CA9"/>
          <w:sz w:val="20"/>
          <w:szCs w:val="20"/>
        </w:rPr>
        <w:t>4</w:t>
      </w:r>
      <w:r w:rsidRPr="00E20D21">
        <w:rPr>
          <w:rFonts w:ascii="CAIXA Std Book" w:hAnsi="CAIXA Std Book"/>
          <w:color w:val="005CA9"/>
          <w:sz w:val="20"/>
          <w:szCs w:val="20"/>
        </w:rPr>
        <w:t xml:space="preserve">, realizou </w:t>
      </w:r>
      <w:r w:rsidR="0022420C" w:rsidRPr="00E20D21">
        <w:rPr>
          <w:rFonts w:ascii="CAIXA Std Book" w:hAnsi="CAIXA Std Book"/>
          <w:color w:val="005CA9"/>
          <w:sz w:val="20"/>
          <w:szCs w:val="20"/>
        </w:rPr>
        <w:t>29.759</w:t>
      </w:r>
      <w:r w:rsidRPr="00E20D21">
        <w:rPr>
          <w:rFonts w:ascii="CAIXA Std Book" w:hAnsi="CAIXA Std Book"/>
          <w:color w:val="005CA9"/>
          <w:sz w:val="20"/>
          <w:szCs w:val="20"/>
        </w:rPr>
        <w:t xml:space="preserve"> acordos processuais (</w:t>
      </w:r>
      <w:r w:rsidR="0036641E" w:rsidRPr="00E20D21">
        <w:rPr>
          <w:rFonts w:ascii="CAIXA Std Book" w:hAnsi="CAIXA Std Book"/>
          <w:color w:val="005CA9"/>
          <w:sz w:val="20"/>
          <w:szCs w:val="20"/>
        </w:rPr>
        <w:t>46</w:t>
      </w:r>
      <w:r w:rsidRPr="00E20D21">
        <w:rPr>
          <w:rFonts w:ascii="CAIXA Std Book" w:hAnsi="CAIXA Std Book"/>
          <w:color w:val="005CA9"/>
          <w:sz w:val="20"/>
          <w:szCs w:val="20"/>
        </w:rPr>
        <w:t xml:space="preserve">% referente a ações indenizatórias e </w:t>
      </w:r>
      <w:r w:rsidR="008306E4" w:rsidRPr="00E20D21">
        <w:rPr>
          <w:rFonts w:ascii="CAIXA Std Book" w:hAnsi="CAIXA Std Book"/>
          <w:color w:val="005CA9"/>
          <w:sz w:val="20"/>
          <w:szCs w:val="20"/>
        </w:rPr>
        <w:t>54</w:t>
      </w:r>
      <w:r w:rsidRPr="00E20D21">
        <w:rPr>
          <w:rFonts w:ascii="CAIXA Std Book" w:hAnsi="CAIXA Std Book"/>
          <w:color w:val="005CA9"/>
          <w:sz w:val="20"/>
          <w:szCs w:val="20"/>
        </w:rPr>
        <w:t>% referentes a recuperações de créditos) reduzindo o montante que seria despendido caso persistisse a condenação judicial e oportunizando ao cliente uma solução rápida para o problema.</w:t>
      </w:r>
    </w:p>
    <w:p w14:paraId="66C80C22" w14:textId="39E7E3ED" w:rsidR="00910878" w:rsidRPr="00E20D21" w:rsidRDefault="00910878" w:rsidP="00B75364">
      <w:pPr>
        <w:spacing w:before="240" w:after="240"/>
        <w:ind w:left="567" w:right="139" w:hanging="567"/>
        <w:rPr>
          <w:rFonts w:ascii="CAIXA Std Book" w:hAnsi="CAIXA Std Book"/>
          <w:b/>
          <w:color w:val="005CA9"/>
          <w:sz w:val="20"/>
          <w:szCs w:val="20"/>
        </w:rPr>
      </w:pPr>
      <w:r w:rsidRPr="00E20D21">
        <w:rPr>
          <w:rFonts w:ascii="CAIXA Std Book" w:hAnsi="CAIXA Std Book"/>
          <w:b/>
          <w:color w:val="005CA9"/>
          <w:sz w:val="20"/>
          <w:szCs w:val="20"/>
        </w:rPr>
        <w:t>(b.</w:t>
      </w:r>
      <w:r w:rsidR="00195BE6" w:rsidRPr="00E20D21">
        <w:rPr>
          <w:rFonts w:ascii="CAIXA Std Book" w:hAnsi="CAIXA Std Book"/>
          <w:b/>
          <w:color w:val="005CA9"/>
          <w:sz w:val="20"/>
          <w:szCs w:val="20"/>
        </w:rPr>
        <w:t>4</w:t>
      </w:r>
      <w:r w:rsidRPr="00E20D21">
        <w:rPr>
          <w:rFonts w:ascii="CAIXA Std Book" w:hAnsi="CAIXA Std Book"/>
          <w:b/>
          <w:color w:val="005CA9"/>
          <w:sz w:val="20"/>
          <w:szCs w:val="20"/>
        </w:rPr>
        <w:t>)</w:t>
      </w:r>
      <w:r w:rsidRPr="00E20D21">
        <w:rPr>
          <w:rFonts w:ascii="CAIXA Std Book" w:hAnsi="CAIXA Std Book"/>
          <w:b/>
          <w:color w:val="005CA9"/>
          <w:sz w:val="20"/>
          <w:szCs w:val="20"/>
        </w:rPr>
        <w:tab/>
        <w:t>Obrigações fiscais e previdenciárias</w:t>
      </w:r>
    </w:p>
    <w:p w14:paraId="2F91D762" w14:textId="77777777" w:rsidR="00F574B9" w:rsidRPr="00E20D21" w:rsidRDefault="00F574B9"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A CAIXA, como instituição cumpridora regular das obrigações fiscais e tributárias que repercutem sobre suas atividades, operações e serviços, discute em sede judicial a legitimidade dos parâmetros de cobrança levados a efeito por órgãos fazendários dos diversos entes da Federação, de acordo com a especificidade própria de cada caso.</w:t>
      </w:r>
    </w:p>
    <w:p w14:paraId="0900A797" w14:textId="77777777" w:rsidR="00F574B9" w:rsidRPr="00E20D21" w:rsidRDefault="00F574B9"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As provisões constituídas sob avaliação de risco provável com base em pareceres dos assessores jurídicos se referem a ações sobre tributos e contribuições. A CAIXA acompanha regularmente o ciclo das ações judiciais em andamento, as quais, a médio e longo prazo, poderão apresentar desdobramentos favoráveis à instituição com a reversão das respectivas provisões.</w:t>
      </w:r>
    </w:p>
    <w:p w14:paraId="792A0F4A" w14:textId="533192F4" w:rsidR="00F574B9" w:rsidRPr="00E20D21" w:rsidRDefault="00F574B9"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lastRenderedPageBreak/>
        <w:t xml:space="preserve">Destacam-se as autuações do Instituto Nacional do Seguro Social (INSS) para o recolhimento de contribuições previdenciárias sobre pagamentos a empregados da CAIXA, em que se discute o caráter indenizatório e não remuneratório de algumas verbas, tais como auxílio-alimentação, APIP e licença-prêmio, cujos valores, reposicionados para </w:t>
      </w:r>
      <w:r w:rsidR="00A51E50" w:rsidRPr="00E20D21">
        <w:rPr>
          <w:rFonts w:ascii="CAIXA Std Book" w:hAnsi="CAIXA Std Book"/>
          <w:color w:val="005CA9"/>
          <w:sz w:val="20"/>
          <w:szCs w:val="20"/>
        </w:rPr>
        <w:t>30/06/2024</w:t>
      </w:r>
      <w:r w:rsidRPr="00E20D21">
        <w:rPr>
          <w:rFonts w:ascii="CAIXA Std Book" w:hAnsi="CAIXA Std Book"/>
          <w:color w:val="005CA9"/>
          <w:sz w:val="20"/>
          <w:szCs w:val="20"/>
        </w:rPr>
        <w:t xml:space="preserve">, correspondem ao total de </w:t>
      </w:r>
      <w:r w:rsidR="00C7141C" w:rsidRPr="00E20D21">
        <w:rPr>
          <w:rFonts w:ascii="CAIXA Std Book" w:hAnsi="CAIXA Std Book"/>
          <w:color w:val="005CA9"/>
          <w:sz w:val="20"/>
          <w:szCs w:val="20"/>
        </w:rPr>
        <w:t xml:space="preserve">R$ </w:t>
      </w:r>
      <w:r w:rsidR="001660D6" w:rsidRPr="00E20D21">
        <w:rPr>
          <w:rFonts w:ascii="CAIXA Std Book" w:hAnsi="CAIXA Std Book"/>
          <w:color w:val="005CA9"/>
          <w:sz w:val="20"/>
          <w:szCs w:val="20"/>
        </w:rPr>
        <w:t>1.828.050</w:t>
      </w:r>
      <w:r w:rsidR="001E581F" w:rsidRPr="00E20D21">
        <w:rPr>
          <w:rFonts w:ascii="CAIXA Std Book" w:hAnsi="CAIXA Std Book"/>
          <w:color w:val="005CA9"/>
          <w:sz w:val="20"/>
          <w:szCs w:val="20"/>
        </w:rPr>
        <w:t xml:space="preserve"> </w:t>
      </w:r>
      <w:r w:rsidR="00194346" w:rsidRPr="00E20D21">
        <w:rPr>
          <w:rFonts w:ascii="CAIXA Std Book" w:hAnsi="CAIXA Std Book"/>
          <w:color w:val="005CA9"/>
          <w:sz w:val="20"/>
          <w:szCs w:val="20"/>
        </w:rPr>
        <w:t>(31/12/202</w:t>
      </w:r>
      <w:r w:rsidR="00A51E50" w:rsidRPr="00E20D21">
        <w:rPr>
          <w:rFonts w:ascii="CAIXA Std Book" w:hAnsi="CAIXA Std Book"/>
          <w:color w:val="005CA9"/>
          <w:sz w:val="20"/>
          <w:szCs w:val="20"/>
        </w:rPr>
        <w:t>3</w:t>
      </w:r>
      <w:r w:rsidR="00194346" w:rsidRPr="00E20D21">
        <w:rPr>
          <w:rFonts w:ascii="CAIXA Std Book" w:hAnsi="CAIXA Std Book"/>
          <w:color w:val="005CA9"/>
          <w:sz w:val="20"/>
          <w:szCs w:val="20"/>
        </w:rPr>
        <w:t xml:space="preserve"> – R$ </w:t>
      </w:r>
      <w:r w:rsidR="00A51E50" w:rsidRPr="00E20D21">
        <w:rPr>
          <w:rFonts w:ascii="CAIXA Std Book" w:hAnsi="CAIXA Std Book"/>
          <w:color w:val="005CA9"/>
          <w:sz w:val="20"/>
          <w:szCs w:val="20"/>
        </w:rPr>
        <w:t>1.798.813</w:t>
      </w:r>
      <w:r w:rsidR="00194346" w:rsidRPr="00E20D21">
        <w:rPr>
          <w:rFonts w:ascii="CAIXA Std Book" w:hAnsi="CAIXA Std Book"/>
          <w:color w:val="005CA9"/>
          <w:sz w:val="20"/>
          <w:szCs w:val="20"/>
        </w:rPr>
        <w:t xml:space="preserve">), para as quais a provisão constituída com base no histórico de êxito e do cenário jurisprudencial, considerados em recente análise técnica e jurídica acerca da matéria, é de R$ </w:t>
      </w:r>
      <w:r w:rsidR="00DA3E6F" w:rsidRPr="00E20D21">
        <w:rPr>
          <w:rFonts w:ascii="CAIXA Std Book" w:hAnsi="CAIXA Std Book"/>
          <w:color w:val="005CA9"/>
          <w:sz w:val="20"/>
          <w:szCs w:val="20"/>
        </w:rPr>
        <w:t>6.188</w:t>
      </w:r>
      <w:r w:rsidR="00F3557B" w:rsidRPr="00E20D21">
        <w:rPr>
          <w:rFonts w:ascii="CAIXA Std Book" w:hAnsi="CAIXA Std Book"/>
          <w:color w:val="005CA9"/>
          <w:sz w:val="20"/>
          <w:szCs w:val="20"/>
        </w:rPr>
        <w:t xml:space="preserve"> </w:t>
      </w:r>
      <w:r w:rsidRPr="00E20D21">
        <w:rPr>
          <w:rFonts w:ascii="CAIXA Std Book" w:hAnsi="CAIXA Std Book"/>
          <w:color w:val="005CA9"/>
          <w:sz w:val="20"/>
          <w:szCs w:val="20"/>
        </w:rPr>
        <w:t>(31/12/202</w:t>
      </w:r>
      <w:r w:rsidR="00A51E50"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A51E50" w:rsidRPr="00E20D21">
        <w:rPr>
          <w:rFonts w:ascii="CAIXA Std Book" w:hAnsi="CAIXA Std Book"/>
          <w:color w:val="005CA9"/>
          <w:sz w:val="20"/>
          <w:szCs w:val="20"/>
        </w:rPr>
        <w:t>21.312</w:t>
      </w:r>
      <w:r w:rsidRPr="00E20D21">
        <w:rPr>
          <w:rFonts w:ascii="CAIXA Std Book" w:hAnsi="CAIXA Std Book"/>
          <w:color w:val="005CA9"/>
          <w:sz w:val="20"/>
          <w:szCs w:val="20"/>
        </w:rPr>
        <w:t>).</w:t>
      </w:r>
    </w:p>
    <w:p w14:paraId="5D997601" w14:textId="77777777" w:rsidR="00F574B9" w:rsidRPr="00E20D21" w:rsidRDefault="00F574B9"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Em relação ao ISSQN, a CAIXA aplica as diretrizes da Lei Complementar Federal nº 116/2003, em adequação de seus sistemas e procedimentos para apuração da base de cálculo e recolhimento do tributo sobre serviços prestados.</w:t>
      </w:r>
    </w:p>
    <w:p w14:paraId="6350E265" w14:textId="292FF5F9" w:rsidR="00F574B9" w:rsidRPr="00E20D21" w:rsidRDefault="00F574B9"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Não obstante, as fiscalizações tributárias de municípios diversos da federação autuaram a instituição sob a alegação de falta de recolhimento ou recolhimento a menor, instaurando discussão a partir de interpretação distinta de aspectos como materialidade, alíquotas aplicáveis e local de incidência do tributo, cujo valor total, em </w:t>
      </w:r>
      <w:r w:rsidR="00CE2101" w:rsidRPr="00E20D21">
        <w:rPr>
          <w:rFonts w:ascii="CAIXA Std Book" w:hAnsi="CAIXA Std Book"/>
          <w:color w:val="005CA9"/>
          <w:sz w:val="20"/>
          <w:szCs w:val="20"/>
        </w:rPr>
        <w:t>30/06/2024</w:t>
      </w:r>
      <w:r w:rsidRPr="00E20D21">
        <w:rPr>
          <w:rFonts w:ascii="CAIXA Std Book" w:hAnsi="CAIXA Std Book"/>
          <w:color w:val="005CA9"/>
          <w:sz w:val="20"/>
          <w:szCs w:val="20"/>
        </w:rPr>
        <w:t xml:space="preserve">, corresponde ao montante de R$ </w:t>
      </w:r>
      <w:r w:rsidR="00F254F1" w:rsidRPr="00E20D21">
        <w:rPr>
          <w:rFonts w:ascii="CAIXA Std Book" w:hAnsi="CAIXA Std Book"/>
          <w:color w:val="005CA9"/>
          <w:sz w:val="20"/>
          <w:szCs w:val="20"/>
        </w:rPr>
        <w:t>1.</w:t>
      </w:r>
      <w:r w:rsidR="00675EC4" w:rsidRPr="00E20D21">
        <w:rPr>
          <w:rFonts w:ascii="CAIXA Std Book" w:hAnsi="CAIXA Std Book"/>
          <w:color w:val="005CA9"/>
          <w:sz w:val="20"/>
          <w:szCs w:val="20"/>
        </w:rPr>
        <w:t>426.857</w:t>
      </w:r>
      <w:r w:rsidR="00D12AA0" w:rsidRPr="00E20D21">
        <w:rPr>
          <w:rFonts w:ascii="CAIXA Std Book" w:hAnsi="CAIXA Std Book"/>
          <w:color w:val="005CA9"/>
          <w:sz w:val="20"/>
          <w:szCs w:val="20"/>
        </w:rPr>
        <w:t xml:space="preserve"> </w:t>
      </w:r>
      <w:r w:rsidRPr="00E20D21">
        <w:rPr>
          <w:rFonts w:ascii="CAIXA Std Book" w:hAnsi="CAIXA Std Book"/>
          <w:color w:val="005CA9"/>
          <w:sz w:val="20"/>
          <w:szCs w:val="20"/>
        </w:rPr>
        <w:t>(31/12/202</w:t>
      </w:r>
      <w:r w:rsidR="00CE2101" w:rsidRPr="00E20D21">
        <w:rPr>
          <w:rFonts w:ascii="CAIXA Std Book" w:hAnsi="CAIXA Std Book"/>
          <w:color w:val="005CA9"/>
          <w:sz w:val="20"/>
          <w:szCs w:val="20"/>
        </w:rPr>
        <w:t>3</w:t>
      </w:r>
      <w:r w:rsidRPr="00E20D21">
        <w:rPr>
          <w:rFonts w:ascii="CAIXA Std Book" w:hAnsi="CAIXA Std Book"/>
          <w:color w:val="005CA9"/>
          <w:sz w:val="20"/>
          <w:szCs w:val="20"/>
        </w:rPr>
        <w:t xml:space="preserve"> – R$ 1.</w:t>
      </w:r>
      <w:r w:rsidR="004A7F82" w:rsidRPr="00E20D21">
        <w:rPr>
          <w:rFonts w:ascii="CAIXA Std Book" w:hAnsi="CAIXA Std Book"/>
          <w:color w:val="005CA9"/>
          <w:sz w:val="20"/>
          <w:szCs w:val="20"/>
        </w:rPr>
        <w:t>389</w:t>
      </w:r>
      <w:r w:rsidR="00CE2101" w:rsidRPr="00E20D21">
        <w:rPr>
          <w:rFonts w:ascii="CAIXA Std Book" w:hAnsi="CAIXA Std Book"/>
          <w:color w:val="005CA9"/>
          <w:sz w:val="20"/>
          <w:szCs w:val="20"/>
        </w:rPr>
        <w:t>.251</w:t>
      </w:r>
      <w:r w:rsidRPr="00E20D21">
        <w:rPr>
          <w:rFonts w:ascii="CAIXA Std Book" w:hAnsi="CAIXA Std Book"/>
          <w:color w:val="005CA9"/>
          <w:sz w:val="20"/>
          <w:szCs w:val="20"/>
        </w:rPr>
        <w:t>).</w:t>
      </w:r>
    </w:p>
    <w:p w14:paraId="310A3B52" w14:textId="2C75A2D9" w:rsidR="00194346" w:rsidRPr="00E20D21" w:rsidRDefault="00194346"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Em face do histórico de êxito e do cenário jurisprudencial, avaliados em análise técnica e jurídica acerca da matéria, na posição de </w:t>
      </w:r>
      <w:r w:rsidR="00CE2101" w:rsidRPr="00E20D21">
        <w:rPr>
          <w:rFonts w:ascii="CAIXA Std Book" w:hAnsi="CAIXA Std Book"/>
          <w:color w:val="005CA9"/>
          <w:sz w:val="20"/>
          <w:szCs w:val="20"/>
        </w:rPr>
        <w:t>30/06/2024</w:t>
      </w:r>
      <w:r w:rsidRPr="00E20D21">
        <w:rPr>
          <w:rFonts w:ascii="CAIXA Std Book" w:hAnsi="CAIXA Std Book"/>
          <w:color w:val="005CA9"/>
          <w:sz w:val="20"/>
          <w:szCs w:val="20"/>
        </w:rPr>
        <w:t xml:space="preserve">, o valor da provisão constituída é de R$ </w:t>
      </w:r>
      <w:r w:rsidR="0063489D" w:rsidRPr="00E20D21">
        <w:rPr>
          <w:rFonts w:ascii="CAIXA Std Book" w:hAnsi="CAIXA Std Book"/>
          <w:color w:val="005CA9"/>
          <w:sz w:val="20"/>
          <w:szCs w:val="20"/>
        </w:rPr>
        <w:t>363.762</w:t>
      </w:r>
      <w:r w:rsidRPr="00E20D21">
        <w:rPr>
          <w:rFonts w:ascii="CAIXA Std Book" w:hAnsi="CAIXA Std Book"/>
          <w:color w:val="005CA9"/>
          <w:sz w:val="20"/>
          <w:szCs w:val="20"/>
        </w:rPr>
        <w:t xml:space="preserve"> (31/12/202</w:t>
      </w:r>
      <w:r w:rsidR="00CE2101"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CE2101" w:rsidRPr="00E20D21">
        <w:rPr>
          <w:rFonts w:ascii="CAIXA Std Book" w:hAnsi="CAIXA Std Book"/>
          <w:color w:val="005CA9"/>
          <w:sz w:val="20"/>
          <w:szCs w:val="20"/>
        </w:rPr>
        <w:t>424.873</w:t>
      </w:r>
      <w:r w:rsidRPr="00E20D21">
        <w:rPr>
          <w:rFonts w:ascii="CAIXA Std Book" w:hAnsi="CAIXA Std Book"/>
          <w:color w:val="005CA9"/>
          <w:sz w:val="20"/>
          <w:szCs w:val="20"/>
        </w:rPr>
        <w:t>).</w:t>
      </w:r>
    </w:p>
    <w:p w14:paraId="40C4E084" w14:textId="3CA61841" w:rsidR="00910878" w:rsidRPr="00E20D21" w:rsidRDefault="00F574B9"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Ainda, como destaque, a CAIXA vem discutindo a materialidade de débitos de CSLL, IRPJ e multa decorrentes de não homologações de Pedido Eletrônico de Restituição, Ressarcimento ou Reembolso e Declaração de Compensação – PER/DCOMP, os quais, em </w:t>
      </w:r>
      <w:r w:rsidR="00CE2101" w:rsidRPr="00E20D21">
        <w:rPr>
          <w:rFonts w:ascii="CAIXA Std Book" w:hAnsi="CAIXA Std Book"/>
          <w:color w:val="005CA9"/>
          <w:sz w:val="20"/>
          <w:szCs w:val="20"/>
        </w:rPr>
        <w:t>30/06/2024</w:t>
      </w:r>
      <w:r w:rsidRPr="00E20D21">
        <w:rPr>
          <w:rFonts w:ascii="CAIXA Std Book" w:hAnsi="CAIXA Std Book"/>
          <w:color w:val="005CA9"/>
          <w:sz w:val="20"/>
          <w:szCs w:val="20"/>
        </w:rPr>
        <w:t>, totalizam R$</w:t>
      </w:r>
      <w:r w:rsidR="00DE794C" w:rsidRPr="00E20D21">
        <w:rPr>
          <w:rFonts w:ascii="CAIXA Std Book" w:hAnsi="CAIXA Std Book"/>
          <w:color w:val="005CA9"/>
          <w:sz w:val="20"/>
          <w:szCs w:val="20"/>
        </w:rPr>
        <w:t xml:space="preserve"> </w:t>
      </w:r>
      <w:r w:rsidR="00CE7832" w:rsidRPr="00E20D21">
        <w:rPr>
          <w:rFonts w:ascii="CAIXA Std Book" w:hAnsi="CAIXA Std Book"/>
          <w:color w:val="005CA9"/>
          <w:sz w:val="20"/>
          <w:szCs w:val="20"/>
        </w:rPr>
        <w:t>24.010</w:t>
      </w:r>
      <w:r w:rsidRPr="00E20D21">
        <w:rPr>
          <w:rFonts w:ascii="CAIXA Std Book" w:hAnsi="CAIXA Std Book"/>
          <w:color w:val="005CA9"/>
          <w:sz w:val="20"/>
          <w:szCs w:val="20"/>
        </w:rPr>
        <w:t xml:space="preserve"> (31/12/20</w:t>
      </w:r>
      <w:r w:rsidR="00D76B25" w:rsidRPr="00E20D21">
        <w:rPr>
          <w:rFonts w:ascii="CAIXA Std Book" w:hAnsi="CAIXA Std Book"/>
          <w:color w:val="005CA9"/>
          <w:sz w:val="20"/>
          <w:szCs w:val="20"/>
        </w:rPr>
        <w:t>2</w:t>
      </w:r>
      <w:r w:rsidR="00CE2101"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CE2101" w:rsidRPr="00E20D21">
        <w:rPr>
          <w:rFonts w:ascii="CAIXA Std Book" w:hAnsi="CAIXA Std Book"/>
          <w:color w:val="005CA9"/>
          <w:sz w:val="20"/>
          <w:szCs w:val="20"/>
        </w:rPr>
        <w:t>23.364</w:t>
      </w:r>
      <w:r w:rsidRPr="00E20D21">
        <w:rPr>
          <w:rFonts w:ascii="CAIXA Std Book" w:hAnsi="CAIXA Std Book"/>
          <w:color w:val="005CA9"/>
          <w:sz w:val="20"/>
          <w:szCs w:val="20"/>
        </w:rPr>
        <w:t>), em referência a questões procedimentais, no que, com base nos pronunciamentos jurisdicionais sobre cada matéria, a análise dos advogados foi pela constituição da provisão integral do valor</w:t>
      </w:r>
      <w:r w:rsidR="00910878" w:rsidRPr="00E20D21">
        <w:rPr>
          <w:rFonts w:ascii="CAIXA Std Book" w:hAnsi="CAIXA Std Book"/>
          <w:color w:val="005CA9"/>
          <w:sz w:val="20"/>
          <w:szCs w:val="20"/>
        </w:rPr>
        <w:t>.</w:t>
      </w:r>
    </w:p>
    <w:p w14:paraId="5BE5F13B" w14:textId="77777777" w:rsidR="00910878" w:rsidRPr="00E20D21" w:rsidRDefault="00910878" w:rsidP="004B2336">
      <w:pPr>
        <w:keepNext/>
        <w:numPr>
          <w:ilvl w:val="0"/>
          <w:numId w:val="5"/>
        </w:numPr>
        <w:spacing w:before="240" w:after="240"/>
        <w:ind w:left="567" w:hanging="567"/>
        <w:jc w:val="both"/>
        <w:rPr>
          <w:rFonts w:ascii="CAIXA Std Book" w:hAnsi="CAIXA Std Book" w:cs="MS Gothic"/>
          <w:b/>
          <w:color w:val="005CA9"/>
          <w:sz w:val="20"/>
          <w:szCs w:val="20"/>
        </w:rPr>
      </w:pPr>
      <w:r w:rsidRPr="00E20D21">
        <w:rPr>
          <w:rFonts w:ascii="CAIXA Std Book" w:hAnsi="CAIXA Std Book"/>
          <w:b/>
          <w:color w:val="005CA9"/>
          <w:sz w:val="20"/>
          <w:szCs w:val="20"/>
        </w:rPr>
        <w:t>Provisão para pré-pagamentos do crédito imobiliário com recursos do FGTS</w:t>
      </w:r>
    </w:p>
    <w:p w14:paraId="7213FFE6" w14:textId="5BE6E27F" w:rsidR="00910878" w:rsidRPr="00E20D21" w:rsidRDefault="00910878" w:rsidP="00B75364">
      <w:pPr>
        <w:pStyle w:val="PargrafodaLista"/>
        <w:spacing w:before="120" w:after="120"/>
        <w:ind w:left="0" w:right="139"/>
        <w:contextualSpacing w:val="0"/>
        <w:jc w:val="both"/>
        <w:rPr>
          <w:rFonts w:ascii="CAIXA Std Book" w:hAnsi="CAIXA Std Book"/>
          <w:color w:val="005CA9"/>
          <w:sz w:val="20"/>
          <w:szCs w:val="20"/>
        </w:rPr>
      </w:pPr>
      <w:r w:rsidRPr="00E20D21">
        <w:rPr>
          <w:rFonts w:ascii="CAIXA Std Book" w:hAnsi="CAIXA Std Book"/>
          <w:color w:val="005CA9"/>
          <w:sz w:val="20"/>
          <w:szCs w:val="20"/>
        </w:rPr>
        <w:t>Os financiamentos habitacionais</w:t>
      </w:r>
      <w:r w:rsidR="00852F54" w:rsidRPr="00E20D21">
        <w:rPr>
          <w:rFonts w:ascii="CAIXA Std Book" w:hAnsi="CAIXA Std Book"/>
          <w:color w:val="005CA9"/>
          <w:sz w:val="20"/>
          <w:szCs w:val="20"/>
        </w:rPr>
        <w:t>,</w:t>
      </w:r>
      <w:r w:rsidRPr="00E20D21">
        <w:rPr>
          <w:rFonts w:ascii="CAIXA Std Book" w:hAnsi="CAIXA Std Book"/>
          <w:color w:val="005CA9"/>
          <w:sz w:val="20"/>
          <w:szCs w:val="20"/>
        </w:rPr>
        <w:t xml:space="preserve"> concedidos com recursos do FGTS e contemplados com subsídio para redução da prestação</w:t>
      </w:r>
      <w:r w:rsidR="009832A1" w:rsidRPr="00E20D21">
        <w:rPr>
          <w:rFonts w:ascii="CAIXA Std Book" w:hAnsi="CAIXA Std Book"/>
          <w:color w:val="005CA9"/>
          <w:sz w:val="20"/>
          <w:szCs w:val="20"/>
        </w:rPr>
        <w:t>,</w:t>
      </w:r>
      <w:r w:rsidRPr="00E20D21">
        <w:rPr>
          <w:rFonts w:ascii="CAIXA Std Book" w:hAnsi="CAIXA Std Book"/>
          <w:color w:val="005CA9"/>
          <w:sz w:val="20"/>
          <w:szCs w:val="20"/>
        </w:rPr>
        <w:t xml:space="preserve"> remuneram o Agente Financeiro com pagamento total ou parcial do subsídio pelo FGTS, conforme definição descrita na Resolução do Conselho Curador do FGTS nº 702/2012 e suas atualizações.</w:t>
      </w:r>
    </w:p>
    <w:p w14:paraId="044D1D29" w14:textId="77777777" w:rsidR="00910878" w:rsidRPr="00E20D21" w:rsidRDefault="00910878" w:rsidP="00B75364">
      <w:pPr>
        <w:pStyle w:val="PargrafodaLista"/>
        <w:spacing w:before="120" w:after="120"/>
        <w:ind w:left="0" w:right="139"/>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Estes valores são repassados ao Agente Financeiro CAIXA no ato da contratação, a fim de fazer frente a todo período da operação. Alterações no fluxo inicialmente contratado, tais como liquidação antecipada, amortização extraordinária, amortização extraordinária com redução de prazo, transferência ou redução do prazo contratado do financiamento, exigem que a CAIXA devolva ao FGTS parte da remuneração recebida, proporcionalmente. </w:t>
      </w:r>
    </w:p>
    <w:p w14:paraId="1D645216" w14:textId="4D7C553D" w:rsidR="00910878" w:rsidRPr="00E20D21" w:rsidRDefault="00910878" w:rsidP="00B75364">
      <w:pPr>
        <w:pStyle w:val="PargrafodaLista"/>
        <w:spacing w:before="120" w:after="120"/>
        <w:ind w:left="0" w:right="139"/>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Para fazer frente </w:t>
      </w:r>
      <w:r w:rsidR="00F234EC" w:rsidRPr="00E20D21">
        <w:rPr>
          <w:rFonts w:ascii="CAIXA Std Book" w:hAnsi="CAIXA Std Book"/>
          <w:color w:val="005CA9"/>
          <w:sz w:val="20"/>
          <w:szCs w:val="20"/>
        </w:rPr>
        <w:t>a</w:t>
      </w:r>
      <w:r w:rsidRPr="00E20D21">
        <w:rPr>
          <w:rFonts w:ascii="CAIXA Std Book" w:hAnsi="CAIXA Std Book"/>
          <w:color w:val="005CA9"/>
          <w:sz w:val="20"/>
          <w:szCs w:val="20"/>
        </w:rPr>
        <w:t xml:space="preserve"> essa devolução de recursos ao FGTS</w:t>
      </w:r>
      <w:r w:rsidR="00F234EC" w:rsidRPr="00E20D21">
        <w:rPr>
          <w:rFonts w:ascii="CAIXA Std Book" w:hAnsi="CAIXA Std Book"/>
          <w:color w:val="005CA9"/>
          <w:sz w:val="20"/>
          <w:szCs w:val="20"/>
        </w:rPr>
        <w:t>,</w:t>
      </w:r>
      <w:r w:rsidRPr="00E20D21">
        <w:rPr>
          <w:rFonts w:ascii="CAIXA Std Book" w:hAnsi="CAIXA Std Book"/>
          <w:color w:val="005CA9"/>
          <w:sz w:val="20"/>
          <w:szCs w:val="20"/>
        </w:rPr>
        <w:t xml:space="preserve"> é feita a provisão para devolução de receitas em caso de pré-pagamentos. Os valores provisionados são apurados com base n</w:t>
      </w:r>
      <w:r w:rsidR="0009315A" w:rsidRPr="00E20D21">
        <w:rPr>
          <w:rFonts w:ascii="CAIXA Std Book" w:hAnsi="CAIXA Std Book"/>
          <w:color w:val="005CA9"/>
          <w:sz w:val="20"/>
          <w:szCs w:val="20"/>
        </w:rPr>
        <w:t>os</w:t>
      </w:r>
      <w:r w:rsidRPr="00E20D21">
        <w:rPr>
          <w:rFonts w:ascii="CAIXA Std Book" w:hAnsi="CAIXA Std Book"/>
          <w:color w:val="005CA9"/>
          <w:sz w:val="20"/>
          <w:szCs w:val="20"/>
        </w:rPr>
        <w:t xml:space="preserve"> fluxos médi</w:t>
      </w:r>
      <w:r w:rsidR="0009315A" w:rsidRPr="00E20D21">
        <w:rPr>
          <w:rFonts w:ascii="CAIXA Std Book" w:hAnsi="CAIXA Std Book"/>
          <w:color w:val="005CA9"/>
          <w:sz w:val="20"/>
          <w:szCs w:val="20"/>
        </w:rPr>
        <w:t>os</w:t>
      </w:r>
      <w:r w:rsidRPr="00E20D21">
        <w:rPr>
          <w:rFonts w:ascii="CAIXA Std Book" w:hAnsi="CAIXA Std Book"/>
          <w:color w:val="005CA9"/>
          <w:sz w:val="20"/>
          <w:szCs w:val="20"/>
        </w:rPr>
        <w:t xml:space="preserve"> de </w:t>
      </w:r>
      <w:r w:rsidR="00524731" w:rsidRPr="00E20D21">
        <w:rPr>
          <w:rFonts w:ascii="CAIXA Std Book" w:hAnsi="CAIXA Std Book"/>
          <w:color w:val="005CA9"/>
          <w:sz w:val="20"/>
          <w:szCs w:val="20"/>
        </w:rPr>
        <w:t>devolução de remuneração</w:t>
      </w:r>
      <w:r w:rsidRPr="00E20D21">
        <w:rPr>
          <w:rFonts w:ascii="CAIXA Std Book" w:hAnsi="CAIXA Std Book"/>
          <w:color w:val="005CA9"/>
          <w:sz w:val="20"/>
          <w:szCs w:val="20"/>
        </w:rPr>
        <w:t xml:space="preserve"> ocorridos</w:t>
      </w:r>
      <w:r w:rsidR="00751722" w:rsidRPr="00E20D21">
        <w:rPr>
          <w:rFonts w:ascii="CAIXA Std Book" w:hAnsi="CAIXA Std Book"/>
          <w:color w:val="005CA9"/>
          <w:sz w:val="20"/>
          <w:szCs w:val="20"/>
        </w:rPr>
        <w:t>,</w:t>
      </w:r>
      <w:r w:rsidRPr="00E20D21">
        <w:rPr>
          <w:rFonts w:ascii="CAIXA Std Book" w:hAnsi="CAIXA Std Book"/>
          <w:color w:val="005CA9"/>
          <w:sz w:val="20"/>
          <w:szCs w:val="20"/>
        </w:rPr>
        <w:t xml:space="preserve"> e seus respectivos impactos sobre o saldo de valores de remuneração do Agente Financeiro CAIXA. </w:t>
      </w:r>
    </w:p>
    <w:p w14:paraId="1D4EEFC4" w14:textId="26A672FF" w:rsidR="00910878" w:rsidRPr="00E20D21" w:rsidRDefault="00910878" w:rsidP="00B75364">
      <w:pPr>
        <w:keepNext/>
        <w:numPr>
          <w:ilvl w:val="0"/>
          <w:numId w:val="5"/>
        </w:numPr>
        <w:spacing w:before="240" w:after="240"/>
        <w:ind w:left="567" w:right="139" w:hanging="567"/>
        <w:jc w:val="both"/>
        <w:rPr>
          <w:rFonts w:ascii="CAIXA Std Book" w:hAnsi="CAIXA Std Book"/>
          <w:b/>
          <w:color w:val="005CA9"/>
          <w:sz w:val="20"/>
          <w:szCs w:val="20"/>
        </w:rPr>
      </w:pPr>
      <w:r w:rsidRPr="00E20D21">
        <w:rPr>
          <w:rFonts w:ascii="CAIXA Std Book" w:hAnsi="CAIXA Std Book"/>
          <w:b/>
          <w:color w:val="005CA9"/>
          <w:sz w:val="20"/>
          <w:szCs w:val="20"/>
        </w:rPr>
        <w:t>Provisão para devolução de recursos do Programa Bolsa Família</w:t>
      </w:r>
    </w:p>
    <w:p w14:paraId="293A4820" w14:textId="75997169" w:rsidR="00F31C90" w:rsidRPr="00E20D21" w:rsidRDefault="00910878"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No âmbito da prestação de serviços regida por instrumento contratual, o então Ministério do Desenvolvimento Social e Combate à Fome (MDS), atual Ministério </w:t>
      </w:r>
      <w:r w:rsidR="002E42BB" w:rsidRPr="00E20D21">
        <w:rPr>
          <w:rFonts w:ascii="CAIXA Std Book" w:hAnsi="CAIXA Std Book"/>
          <w:color w:val="005CA9"/>
          <w:sz w:val="20"/>
          <w:szCs w:val="20"/>
        </w:rPr>
        <w:t>do Desenvolvimento e Assistência Social, Família e Combate à Fome (MDS</w:t>
      </w:r>
      <w:r w:rsidRPr="00E20D21">
        <w:rPr>
          <w:rFonts w:ascii="CAIXA Std Book" w:hAnsi="CAIXA Std Book"/>
          <w:color w:val="005CA9"/>
          <w:sz w:val="20"/>
          <w:szCs w:val="20"/>
        </w:rPr>
        <w:t>) apresentou à CAIXA solicitação de restituição de valores referentes ao Programa Bolsa Família.</w:t>
      </w:r>
      <w:bookmarkEnd w:id="66"/>
      <w:r w:rsidR="002E42BB" w:rsidRPr="00E20D21">
        <w:rPr>
          <w:rFonts w:ascii="CAIXA Std Book" w:hAnsi="CAIXA Std Book"/>
          <w:color w:val="005CA9"/>
          <w:sz w:val="20"/>
          <w:szCs w:val="20"/>
        </w:rPr>
        <w:t xml:space="preserve"> Os valores provisionados foram restituídos ao MDS em 08/01/2024, conforme Negócio Jurídico Processual firmado entre a CAIXA e o ministério no </w:t>
      </w:r>
      <w:proofErr w:type="spellStart"/>
      <w:r w:rsidR="002E42BB" w:rsidRPr="00E20D21">
        <w:rPr>
          <w:rFonts w:ascii="CAIXA Std Book" w:hAnsi="CAIXA Std Book"/>
          <w:color w:val="005CA9"/>
          <w:sz w:val="20"/>
          <w:szCs w:val="20"/>
        </w:rPr>
        <w:t>àmbito</w:t>
      </w:r>
      <w:proofErr w:type="spellEnd"/>
      <w:r w:rsidR="002E42BB" w:rsidRPr="00E20D21">
        <w:rPr>
          <w:rFonts w:ascii="CAIXA Std Book" w:hAnsi="CAIXA Std Book"/>
          <w:color w:val="005CA9"/>
          <w:sz w:val="20"/>
          <w:szCs w:val="20"/>
        </w:rPr>
        <w:t xml:space="preserve"> da Procuradoria Geral da Fazenda Nacional (PGFN).</w:t>
      </w:r>
    </w:p>
    <w:p w14:paraId="56E083D5" w14:textId="25B9AE64" w:rsidR="00910878" w:rsidRPr="00E20D21" w:rsidRDefault="00910878" w:rsidP="000A0C0B">
      <w:pPr>
        <w:keepNext/>
        <w:numPr>
          <w:ilvl w:val="0"/>
          <w:numId w:val="5"/>
        </w:numPr>
        <w:spacing w:before="240" w:after="240"/>
        <w:ind w:left="567" w:right="139"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Garantias financeiras prestadas</w:t>
      </w:r>
    </w:p>
    <w:tbl>
      <w:tblPr>
        <w:tblW w:w="5000" w:type="pct"/>
        <w:tblCellMar>
          <w:left w:w="70" w:type="dxa"/>
          <w:right w:w="70" w:type="dxa"/>
        </w:tblCellMar>
        <w:tblLook w:val="04A0" w:firstRow="1" w:lastRow="0" w:firstColumn="1" w:lastColumn="0" w:noHBand="0" w:noVBand="1"/>
      </w:tblPr>
      <w:tblGrid>
        <w:gridCol w:w="3542"/>
        <w:gridCol w:w="1522"/>
        <w:gridCol w:w="1523"/>
        <w:gridCol w:w="1523"/>
        <w:gridCol w:w="1527"/>
      </w:tblGrid>
      <w:tr w:rsidR="00A47C19" w:rsidRPr="00E20D21" w14:paraId="7C11A5FC" w14:textId="77777777" w:rsidTr="000A3882">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2EF159E0" w14:textId="150A9570" w:rsidR="00CD65E9" w:rsidRPr="00E20D21" w:rsidRDefault="00CD65E9" w:rsidP="00CD65E9">
            <w:pPr>
              <w:jc w:val="center"/>
              <w:rPr>
                <w:rFonts w:ascii="CAIXA Std Book" w:eastAsia="Times New Roman" w:hAnsi="CAIXA Std Book" w:cs="Arial"/>
                <w:b/>
                <w:bCs/>
                <w:color w:val="005CA9"/>
                <w:sz w:val="18"/>
                <w:szCs w:val="18"/>
              </w:rPr>
            </w:pPr>
            <w:bookmarkStart w:id="67" w:name="_Hlk65762435"/>
            <w:r w:rsidRPr="00E20D21">
              <w:rPr>
                <w:rFonts w:ascii="CAIXA Std Book" w:eastAsia="Times New Roman" w:hAnsi="CAIXA Std Book" w:cs="Arial"/>
                <w:b/>
                <w:bCs/>
                <w:color w:val="005CA9"/>
                <w:sz w:val="18"/>
                <w:szCs w:val="18"/>
              </w:rPr>
              <w:t>INDIVIDUAL</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w:t>
            </w:r>
            <w:r w:rsidR="00E20D21">
              <w:rPr>
                <w:rFonts w:ascii="CAIXA Std Book" w:eastAsia="Times New Roman" w:hAnsi="CAIXA Std Book" w:cs="Arial"/>
                <w:b/>
                <w:bCs/>
                <w:color w:val="005CA9"/>
                <w:sz w:val="18"/>
                <w:szCs w:val="18"/>
              </w:rPr>
              <w:t xml:space="preserve"> </w:t>
            </w:r>
            <w:r w:rsidRPr="00E20D21">
              <w:rPr>
                <w:rFonts w:ascii="CAIXA Std Book" w:eastAsia="Times New Roman" w:hAnsi="CAIXA Std Book" w:cs="Arial"/>
                <w:b/>
                <w:bCs/>
                <w:color w:val="005CA9"/>
                <w:sz w:val="18"/>
                <w:szCs w:val="18"/>
              </w:rPr>
              <w:t>CONSOLIDADO</w:t>
            </w:r>
          </w:p>
        </w:tc>
      </w:tr>
      <w:tr w:rsidR="00A47C19" w:rsidRPr="00E20D21" w14:paraId="12714D54" w14:textId="77777777" w:rsidTr="000A3882">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4C19BCEA" w14:textId="77777777" w:rsidR="00CD65E9" w:rsidRPr="00E20D21" w:rsidRDefault="00CD65E9" w:rsidP="00CD65E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Exposição de Garantias Prestadas</w:t>
            </w:r>
          </w:p>
        </w:tc>
      </w:tr>
      <w:tr w:rsidR="00A47C19" w:rsidRPr="00E20D21" w14:paraId="1FEFC78F" w14:textId="77777777" w:rsidTr="00A97ED4">
        <w:trPr>
          <w:trHeight w:val="283"/>
        </w:trPr>
        <w:tc>
          <w:tcPr>
            <w:tcW w:w="1838" w:type="pct"/>
            <w:vMerge w:val="restart"/>
            <w:tcBorders>
              <w:top w:val="nil"/>
              <w:left w:val="nil"/>
              <w:bottom w:val="single" w:sz="4" w:space="0" w:color="F39200"/>
              <w:right w:val="nil"/>
            </w:tcBorders>
            <w:shd w:val="clear" w:color="auto" w:fill="auto"/>
            <w:vAlign w:val="center"/>
            <w:hideMark/>
          </w:tcPr>
          <w:p w14:paraId="1FB04DB5" w14:textId="77777777" w:rsidR="00CD65E9" w:rsidRPr="00E20D21" w:rsidRDefault="00CD65E9" w:rsidP="00CD65E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Carteira</w:t>
            </w:r>
          </w:p>
        </w:tc>
        <w:tc>
          <w:tcPr>
            <w:tcW w:w="1580" w:type="pct"/>
            <w:gridSpan w:val="2"/>
            <w:tcBorders>
              <w:top w:val="nil"/>
              <w:left w:val="nil"/>
              <w:bottom w:val="nil"/>
              <w:right w:val="nil"/>
            </w:tcBorders>
            <w:shd w:val="clear" w:color="auto" w:fill="auto"/>
            <w:vAlign w:val="center"/>
            <w:hideMark/>
          </w:tcPr>
          <w:p w14:paraId="49A1E974" w14:textId="11668686" w:rsidR="00CD65E9" w:rsidRPr="00E20D21" w:rsidRDefault="00197B71" w:rsidP="00CD65E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1582" w:type="pct"/>
            <w:gridSpan w:val="2"/>
            <w:tcBorders>
              <w:top w:val="nil"/>
              <w:left w:val="nil"/>
              <w:bottom w:val="nil"/>
              <w:right w:val="nil"/>
            </w:tcBorders>
            <w:shd w:val="clear" w:color="auto" w:fill="auto"/>
            <w:vAlign w:val="center"/>
            <w:hideMark/>
          </w:tcPr>
          <w:p w14:paraId="6385D2AB" w14:textId="573B5563" w:rsidR="00CD65E9" w:rsidRPr="00E20D21" w:rsidRDefault="00CD65E9" w:rsidP="00CD65E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w:t>
            </w:r>
            <w:r w:rsidR="00197B71" w:rsidRPr="00E20D21">
              <w:rPr>
                <w:rFonts w:ascii="CAIXA Std Book" w:eastAsia="Times New Roman" w:hAnsi="CAIXA Std Book" w:cs="Arial"/>
                <w:b/>
                <w:bCs/>
                <w:color w:val="005CA9"/>
                <w:sz w:val="18"/>
                <w:szCs w:val="18"/>
              </w:rPr>
              <w:t>3</w:t>
            </w:r>
          </w:p>
        </w:tc>
      </w:tr>
      <w:tr w:rsidR="00A47C19" w:rsidRPr="00E20D21" w14:paraId="0429F2A2" w14:textId="77777777" w:rsidTr="00A97ED4">
        <w:trPr>
          <w:trHeight w:val="66"/>
        </w:trPr>
        <w:tc>
          <w:tcPr>
            <w:tcW w:w="1838" w:type="pct"/>
            <w:vMerge/>
            <w:tcBorders>
              <w:top w:val="nil"/>
              <w:left w:val="nil"/>
              <w:bottom w:val="single" w:sz="4" w:space="0" w:color="F39200"/>
              <w:right w:val="nil"/>
            </w:tcBorders>
            <w:vAlign w:val="center"/>
            <w:hideMark/>
          </w:tcPr>
          <w:p w14:paraId="4CC77FD5" w14:textId="77777777" w:rsidR="00CD65E9" w:rsidRPr="00E20D21" w:rsidRDefault="00CD65E9" w:rsidP="00CD65E9">
            <w:pPr>
              <w:rPr>
                <w:rFonts w:ascii="CAIXA Std Book" w:eastAsia="Times New Roman" w:hAnsi="CAIXA Std Book" w:cs="Arial"/>
                <w:b/>
                <w:bCs/>
                <w:color w:val="005CA9"/>
                <w:sz w:val="18"/>
                <w:szCs w:val="18"/>
              </w:rPr>
            </w:pPr>
          </w:p>
        </w:tc>
        <w:tc>
          <w:tcPr>
            <w:tcW w:w="790" w:type="pct"/>
            <w:tcBorders>
              <w:top w:val="single" w:sz="4" w:space="0" w:color="F39200"/>
              <w:left w:val="nil"/>
              <w:bottom w:val="single" w:sz="4" w:space="0" w:color="F39200"/>
              <w:right w:val="nil"/>
            </w:tcBorders>
            <w:shd w:val="clear" w:color="auto" w:fill="auto"/>
            <w:vAlign w:val="center"/>
            <w:hideMark/>
          </w:tcPr>
          <w:p w14:paraId="1C7FE1C7" w14:textId="77777777" w:rsidR="00CD65E9" w:rsidRPr="00E20D21" w:rsidRDefault="00CD65E9" w:rsidP="00CD65E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Exposição</w:t>
            </w:r>
          </w:p>
        </w:tc>
        <w:tc>
          <w:tcPr>
            <w:tcW w:w="790" w:type="pct"/>
            <w:tcBorders>
              <w:top w:val="single" w:sz="4" w:space="0" w:color="F39200"/>
              <w:left w:val="nil"/>
              <w:bottom w:val="single" w:sz="4" w:space="0" w:color="F39200"/>
              <w:right w:val="nil"/>
            </w:tcBorders>
            <w:shd w:val="clear" w:color="auto" w:fill="auto"/>
            <w:vAlign w:val="center"/>
            <w:hideMark/>
          </w:tcPr>
          <w:p w14:paraId="71054923" w14:textId="77777777" w:rsidR="00CD65E9" w:rsidRPr="00E20D21" w:rsidRDefault="00CD65E9" w:rsidP="00CD65E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Provisão</w:t>
            </w:r>
          </w:p>
        </w:tc>
        <w:tc>
          <w:tcPr>
            <w:tcW w:w="790" w:type="pct"/>
            <w:tcBorders>
              <w:top w:val="single" w:sz="4" w:space="0" w:color="F39200"/>
              <w:left w:val="nil"/>
              <w:bottom w:val="single" w:sz="4" w:space="0" w:color="F39200"/>
              <w:right w:val="nil"/>
            </w:tcBorders>
            <w:shd w:val="clear" w:color="auto" w:fill="auto"/>
            <w:vAlign w:val="center"/>
            <w:hideMark/>
          </w:tcPr>
          <w:p w14:paraId="72D3A63E" w14:textId="77777777" w:rsidR="00CD65E9" w:rsidRPr="00E20D21" w:rsidRDefault="00CD65E9" w:rsidP="00CD65E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Exposição</w:t>
            </w:r>
          </w:p>
        </w:tc>
        <w:tc>
          <w:tcPr>
            <w:tcW w:w="792" w:type="pct"/>
            <w:tcBorders>
              <w:top w:val="single" w:sz="4" w:space="0" w:color="F39200"/>
              <w:left w:val="nil"/>
              <w:bottom w:val="single" w:sz="4" w:space="0" w:color="F39200"/>
              <w:right w:val="nil"/>
            </w:tcBorders>
            <w:shd w:val="clear" w:color="auto" w:fill="auto"/>
            <w:vAlign w:val="center"/>
            <w:hideMark/>
          </w:tcPr>
          <w:p w14:paraId="3C9D9355" w14:textId="77777777" w:rsidR="00CD65E9" w:rsidRPr="00E20D21" w:rsidRDefault="00CD65E9" w:rsidP="00CD65E9">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Provisão</w:t>
            </w:r>
          </w:p>
        </w:tc>
      </w:tr>
      <w:tr w:rsidR="00197B71" w:rsidRPr="00E20D21" w14:paraId="7AAB385A" w14:textId="77777777" w:rsidTr="00A97ED4">
        <w:trPr>
          <w:trHeight w:val="283"/>
        </w:trPr>
        <w:tc>
          <w:tcPr>
            <w:tcW w:w="1838" w:type="pct"/>
            <w:tcBorders>
              <w:top w:val="nil"/>
              <w:left w:val="nil"/>
              <w:bottom w:val="nil"/>
              <w:right w:val="nil"/>
            </w:tcBorders>
            <w:shd w:val="clear" w:color="auto" w:fill="auto"/>
            <w:noWrap/>
            <w:vAlign w:val="center"/>
            <w:hideMark/>
          </w:tcPr>
          <w:p w14:paraId="584DE0A8" w14:textId="77777777" w:rsidR="00197B71" w:rsidRPr="00E20D21" w:rsidRDefault="00197B71" w:rsidP="00197B7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Repasses - Entidades</w:t>
            </w:r>
          </w:p>
        </w:tc>
        <w:tc>
          <w:tcPr>
            <w:tcW w:w="790" w:type="pct"/>
            <w:tcBorders>
              <w:top w:val="nil"/>
              <w:left w:val="nil"/>
              <w:bottom w:val="nil"/>
              <w:right w:val="nil"/>
            </w:tcBorders>
            <w:shd w:val="clear" w:color="auto" w:fill="auto"/>
            <w:vAlign w:val="center"/>
          </w:tcPr>
          <w:p w14:paraId="3EB06286" w14:textId="3619AE03" w:rsidR="00197B71" w:rsidRPr="00E20D21" w:rsidRDefault="00A97ED4" w:rsidP="00197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30.505.800</w:t>
            </w:r>
          </w:p>
        </w:tc>
        <w:tc>
          <w:tcPr>
            <w:tcW w:w="790" w:type="pct"/>
            <w:tcBorders>
              <w:top w:val="nil"/>
              <w:left w:val="nil"/>
              <w:bottom w:val="nil"/>
              <w:right w:val="nil"/>
            </w:tcBorders>
            <w:shd w:val="clear" w:color="auto" w:fill="auto"/>
            <w:vAlign w:val="center"/>
          </w:tcPr>
          <w:p w14:paraId="0FC09230" w14:textId="3A39F426" w:rsidR="00197B71" w:rsidRPr="00E20D21" w:rsidRDefault="00A97ED4" w:rsidP="00197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(37.471)</w:t>
            </w:r>
          </w:p>
        </w:tc>
        <w:tc>
          <w:tcPr>
            <w:tcW w:w="790" w:type="pct"/>
            <w:tcBorders>
              <w:top w:val="nil"/>
              <w:left w:val="nil"/>
              <w:bottom w:val="nil"/>
              <w:right w:val="nil"/>
            </w:tcBorders>
            <w:shd w:val="clear" w:color="auto" w:fill="auto"/>
            <w:vAlign w:val="center"/>
            <w:hideMark/>
          </w:tcPr>
          <w:p w14:paraId="69B4F74E" w14:textId="3493B1B2" w:rsidR="00197B71" w:rsidRPr="00E20D21" w:rsidRDefault="00197B71" w:rsidP="00197B71">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30.770.079</w:t>
            </w:r>
          </w:p>
        </w:tc>
        <w:tc>
          <w:tcPr>
            <w:tcW w:w="792" w:type="pct"/>
            <w:tcBorders>
              <w:top w:val="nil"/>
              <w:left w:val="nil"/>
              <w:bottom w:val="nil"/>
              <w:right w:val="nil"/>
            </w:tcBorders>
            <w:shd w:val="clear" w:color="auto" w:fill="auto"/>
            <w:vAlign w:val="center"/>
            <w:hideMark/>
          </w:tcPr>
          <w:p w14:paraId="5E804A32" w14:textId="1F4F4493" w:rsidR="00197B71" w:rsidRPr="00E20D21" w:rsidRDefault="00197B71" w:rsidP="00197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(43.121)</w:t>
            </w:r>
          </w:p>
        </w:tc>
      </w:tr>
      <w:tr w:rsidR="00197B71" w:rsidRPr="00E20D21" w14:paraId="5765DDEC" w14:textId="77777777" w:rsidTr="00A97ED4">
        <w:trPr>
          <w:trHeight w:val="283"/>
        </w:trPr>
        <w:tc>
          <w:tcPr>
            <w:tcW w:w="1838" w:type="pct"/>
            <w:tcBorders>
              <w:top w:val="nil"/>
              <w:left w:val="nil"/>
              <w:bottom w:val="nil"/>
              <w:right w:val="nil"/>
            </w:tcBorders>
            <w:shd w:val="clear" w:color="auto" w:fill="auto"/>
            <w:noWrap/>
            <w:vAlign w:val="center"/>
            <w:hideMark/>
          </w:tcPr>
          <w:p w14:paraId="7709622D" w14:textId="77777777" w:rsidR="00197B71" w:rsidRPr="00E20D21" w:rsidRDefault="00197B71" w:rsidP="00197B7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FIES</w:t>
            </w:r>
          </w:p>
        </w:tc>
        <w:tc>
          <w:tcPr>
            <w:tcW w:w="790" w:type="pct"/>
            <w:tcBorders>
              <w:top w:val="nil"/>
              <w:left w:val="nil"/>
              <w:bottom w:val="nil"/>
              <w:right w:val="nil"/>
            </w:tcBorders>
            <w:shd w:val="clear" w:color="auto" w:fill="auto"/>
            <w:vAlign w:val="center"/>
          </w:tcPr>
          <w:p w14:paraId="3E085780" w14:textId="69BDD21F" w:rsidR="00197B71" w:rsidRPr="00E20D21" w:rsidRDefault="00A97ED4" w:rsidP="00197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136.456</w:t>
            </w:r>
          </w:p>
        </w:tc>
        <w:tc>
          <w:tcPr>
            <w:tcW w:w="790" w:type="pct"/>
            <w:tcBorders>
              <w:top w:val="nil"/>
              <w:left w:val="nil"/>
              <w:bottom w:val="nil"/>
              <w:right w:val="nil"/>
            </w:tcBorders>
            <w:shd w:val="clear" w:color="auto" w:fill="auto"/>
            <w:vAlign w:val="center"/>
          </w:tcPr>
          <w:p w14:paraId="6111ACC7" w14:textId="0E12D0E9" w:rsidR="00197B71" w:rsidRPr="00E20D21" w:rsidRDefault="00A97ED4" w:rsidP="00197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(25.956)</w:t>
            </w:r>
          </w:p>
        </w:tc>
        <w:tc>
          <w:tcPr>
            <w:tcW w:w="790" w:type="pct"/>
            <w:tcBorders>
              <w:top w:val="nil"/>
              <w:left w:val="nil"/>
              <w:bottom w:val="nil"/>
              <w:right w:val="nil"/>
            </w:tcBorders>
            <w:shd w:val="clear" w:color="auto" w:fill="auto"/>
            <w:vAlign w:val="center"/>
            <w:hideMark/>
          </w:tcPr>
          <w:p w14:paraId="7E1E41FB" w14:textId="6D6C0243" w:rsidR="00197B71" w:rsidRPr="00E20D21" w:rsidRDefault="00197B71" w:rsidP="00197B71">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164.344</w:t>
            </w:r>
          </w:p>
        </w:tc>
        <w:tc>
          <w:tcPr>
            <w:tcW w:w="792" w:type="pct"/>
            <w:tcBorders>
              <w:top w:val="nil"/>
              <w:left w:val="nil"/>
              <w:bottom w:val="nil"/>
              <w:right w:val="nil"/>
            </w:tcBorders>
            <w:shd w:val="clear" w:color="auto" w:fill="auto"/>
            <w:vAlign w:val="center"/>
            <w:hideMark/>
          </w:tcPr>
          <w:p w14:paraId="69D62567" w14:textId="747F636B" w:rsidR="00197B71" w:rsidRPr="00E20D21" w:rsidRDefault="00197B71" w:rsidP="00197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(37.123)</w:t>
            </w:r>
          </w:p>
        </w:tc>
      </w:tr>
      <w:tr w:rsidR="00197B71" w:rsidRPr="00E20D21" w14:paraId="1643726B" w14:textId="77777777" w:rsidTr="008C6100">
        <w:trPr>
          <w:trHeight w:val="283"/>
        </w:trPr>
        <w:tc>
          <w:tcPr>
            <w:tcW w:w="1838" w:type="pct"/>
            <w:tcBorders>
              <w:top w:val="nil"/>
              <w:left w:val="nil"/>
              <w:bottom w:val="single" w:sz="4" w:space="0" w:color="F39200"/>
              <w:right w:val="nil"/>
            </w:tcBorders>
            <w:shd w:val="clear" w:color="auto" w:fill="auto"/>
            <w:noWrap/>
            <w:vAlign w:val="center"/>
            <w:hideMark/>
          </w:tcPr>
          <w:p w14:paraId="79FF8A16" w14:textId="77777777" w:rsidR="00197B71" w:rsidRPr="00E20D21" w:rsidRDefault="00197B71" w:rsidP="00197B7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PAR (Recursos FAR) (1)</w:t>
            </w:r>
          </w:p>
        </w:tc>
        <w:tc>
          <w:tcPr>
            <w:tcW w:w="790" w:type="pct"/>
            <w:tcBorders>
              <w:top w:val="nil"/>
              <w:left w:val="nil"/>
              <w:bottom w:val="single" w:sz="4" w:space="0" w:color="F79646" w:themeColor="accent6"/>
              <w:right w:val="nil"/>
            </w:tcBorders>
            <w:shd w:val="clear" w:color="auto" w:fill="auto"/>
            <w:vAlign w:val="center"/>
          </w:tcPr>
          <w:p w14:paraId="5B6168A6" w14:textId="5FBCAB34" w:rsidR="00197B71" w:rsidRPr="00E20D21" w:rsidRDefault="00A97ED4" w:rsidP="00197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5.030</w:t>
            </w:r>
          </w:p>
        </w:tc>
        <w:tc>
          <w:tcPr>
            <w:tcW w:w="790" w:type="pct"/>
            <w:tcBorders>
              <w:top w:val="nil"/>
              <w:left w:val="nil"/>
              <w:bottom w:val="single" w:sz="4" w:space="0" w:color="F79646" w:themeColor="accent6"/>
              <w:right w:val="nil"/>
            </w:tcBorders>
            <w:shd w:val="clear" w:color="auto" w:fill="auto"/>
            <w:vAlign w:val="center"/>
          </w:tcPr>
          <w:p w14:paraId="42F88F7B" w14:textId="4CC28599" w:rsidR="00197B71" w:rsidRPr="00E20D21" w:rsidRDefault="00A97ED4" w:rsidP="00197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(2.600)</w:t>
            </w:r>
          </w:p>
        </w:tc>
        <w:tc>
          <w:tcPr>
            <w:tcW w:w="790" w:type="pct"/>
            <w:tcBorders>
              <w:top w:val="nil"/>
              <w:left w:val="nil"/>
              <w:bottom w:val="single" w:sz="4" w:space="0" w:color="F39200"/>
              <w:right w:val="nil"/>
            </w:tcBorders>
            <w:shd w:val="clear" w:color="auto" w:fill="auto"/>
            <w:vAlign w:val="center"/>
            <w:hideMark/>
          </w:tcPr>
          <w:p w14:paraId="54A54018" w14:textId="144B3E63" w:rsidR="00197B71" w:rsidRPr="00E20D21" w:rsidRDefault="00197B71" w:rsidP="00197B71">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7.081</w:t>
            </w:r>
          </w:p>
        </w:tc>
        <w:tc>
          <w:tcPr>
            <w:tcW w:w="792" w:type="pct"/>
            <w:tcBorders>
              <w:top w:val="nil"/>
              <w:left w:val="nil"/>
              <w:bottom w:val="single" w:sz="4" w:space="0" w:color="F39200"/>
              <w:right w:val="nil"/>
            </w:tcBorders>
            <w:shd w:val="clear" w:color="auto" w:fill="auto"/>
            <w:vAlign w:val="center"/>
            <w:hideMark/>
          </w:tcPr>
          <w:p w14:paraId="6298AD76" w14:textId="212277DC" w:rsidR="00197B71" w:rsidRPr="00E20D21" w:rsidRDefault="00197B71" w:rsidP="00197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(3.539)</w:t>
            </w:r>
          </w:p>
        </w:tc>
      </w:tr>
      <w:tr w:rsidR="00197B71" w:rsidRPr="00E20D21" w14:paraId="4DE7055D" w14:textId="77777777" w:rsidTr="008C6100">
        <w:trPr>
          <w:trHeight w:val="283"/>
        </w:trPr>
        <w:tc>
          <w:tcPr>
            <w:tcW w:w="1838" w:type="pct"/>
            <w:tcBorders>
              <w:top w:val="single" w:sz="4" w:space="0" w:color="F39200"/>
              <w:left w:val="nil"/>
              <w:bottom w:val="single" w:sz="4" w:space="0" w:color="F39200"/>
              <w:right w:val="nil"/>
            </w:tcBorders>
            <w:shd w:val="clear" w:color="auto" w:fill="auto"/>
            <w:noWrap/>
            <w:vAlign w:val="center"/>
            <w:hideMark/>
          </w:tcPr>
          <w:p w14:paraId="34893196" w14:textId="77777777" w:rsidR="00197B71" w:rsidRPr="00E20D21" w:rsidRDefault="00197B71" w:rsidP="00197B71">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90" w:type="pct"/>
            <w:tcBorders>
              <w:top w:val="single" w:sz="4" w:space="0" w:color="F79646" w:themeColor="accent6"/>
              <w:left w:val="nil"/>
              <w:bottom w:val="single" w:sz="4" w:space="0" w:color="F79646" w:themeColor="accent6"/>
              <w:right w:val="nil"/>
            </w:tcBorders>
            <w:shd w:val="clear" w:color="auto" w:fill="auto"/>
            <w:vAlign w:val="center"/>
          </w:tcPr>
          <w:p w14:paraId="0E40229C" w14:textId="25FCBF31" w:rsidR="00197B71" w:rsidRPr="00E20D21" w:rsidRDefault="00A97ED4" w:rsidP="00197B71">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30.647.286</w:t>
            </w:r>
          </w:p>
        </w:tc>
        <w:tc>
          <w:tcPr>
            <w:tcW w:w="790" w:type="pct"/>
            <w:tcBorders>
              <w:top w:val="single" w:sz="4" w:space="0" w:color="F79646" w:themeColor="accent6"/>
              <w:left w:val="nil"/>
              <w:bottom w:val="single" w:sz="4" w:space="0" w:color="F79646" w:themeColor="accent6"/>
              <w:right w:val="nil"/>
            </w:tcBorders>
            <w:shd w:val="clear" w:color="auto" w:fill="auto"/>
            <w:vAlign w:val="center"/>
          </w:tcPr>
          <w:p w14:paraId="4D7C695A" w14:textId="4CA121EA" w:rsidR="00197B71" w:rsidRPr="00E20D21" w:rsidRDefault="00A97ED4" w:rsidP="00197B71">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(66.027)</w:t>
            </w:r>
          </w:p>
        </w:tc>
        <w:tc>
          <w:tcPr>
            <w:tcW w:w="790" w:type="pct"/>
            <w:tcBorders>
              <w:top w:val="single" w:sz="4" w:space="0" w:color="F39200"/>
              <w:left w:val="nil"/>
              <w:bottom w:val="single" w:sz="4" w:space="0" w:color="F39200"/>
              <w:right w:val="nil"/>
            </w:tcBorders>
            <w:shd w:val="clear" w:color="auto" w:fill="auto"/>
            <w:vAlign w:val="center"/>
            <w:hideMark/>
          </w:tcPr>
          <w:p w14:paraId="38E281C1" w14:textId="1292394F" w:rsidR="00197B71" w:rsidRPr="00E20D21" w:rsidRDefault="00197B71" w:rsidP="00197B71">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30.941.504</w:t>
            </w:r>
          </w:p>
        </w:tc>
        <w:tc>
          <w:tcPr>
            <w:tcW w:w="792" w:type="pct"/>
            <w:tcBorders>
              <w:top w:val="single" w:sz="4" w:space="0" w:color="F39200"/>
              <w:left w:val="nil"/>
              <w:bottom w:val="single" w:sz="4" w:space="0" w:color="F39200"/>
              <w:right w:val="nil"/>
            </w:tcBorders>
            <w:shd w:val="clear" w:color="auto" w:fill="auto"/>
            <w:vAlign w:val="center"/>
            <w:hideMark/>
          </w:tcPr>
          <w:p w14:paraId="64989DB5" w14:textId="05D690FE" w:rsidR="00197B71" w:rsidRPr="00E20D21" w:rsidRDefault="00A97ED4" w:rsidP="00197B71">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(83.783)</w:t>
            </w:r>
          </w:p>
        </w:tc>
      </w:tr>
    </w:tbl>
    <w:p w14:paraId="5359F7D2" w14:textId="27FA08CD" w:rsidR="00910878" w:rsidRPr="00E20D21" w:rsidRDefault="00910878" w:rsidP="00B75364">
      <w:pPr>
        <w:spacing w:after="240"/>
        <w:ind w:right="139"/>
        <w:jc w:val="both"/>
        <w:rPr>
          <w:rFonts w:ascii="CAIXA Std Book" w:hAnsi="CAIXA Std Book"/>
          <w:color w:val="005CA9"/>
          <w:sz w:val="16"/>
          <w:szCs w:val="16"/>
        </w:rPr>
      </w:pPr>
      <w:r w:rsidRPr="00E20D21">
        <w:rPr>
          <w:rFonts w:ascii="CAIXA Std Book" w:hAnsi="CAIXA Std Book"/>
          <w:color w:val="005CA9"/>
          <w:sz w:val="16"/>
          <w:szCs w:val="16"/>
        </w:rPr>
        <w:t>(1) Valor referente ao Programa de Arrendamento Residencial com recursos do FAR, classificado no ativo como perdas associadas ao risco de crédito.</w:t>
      </w:r>
    </w:p>
    <w:p w14:paraId="5A95902C" w14:textId="619EB588" w:rsidR="00951418" w:rsidRPr="00E20D21" w:rsidRDefault="005D3B3B" w:rsidP="009D5116">
      <w:pPr>
        <w:tabs>
          <w:tab w:val="left" w:pos="1650"/>
        </w:tabs>
        <w:spacing w:before="120" w:after="120"/>
        <w:jc w:val="both"/>
        <w:rPr>
          <w:rFonts w:ascii="CAIXA Std Book" w:hAnsi="CAIXA Std Book"/>
          <w:color w:val="005CA9"/>
          <w:sz w:val="20"/>
          <w:szCs w:val="20"/>
        </w:rPr>
      </w:pPr>
      <w:bookmarkStart w:id="68" w:name="_Hlk65762448"/>
      <w:bookmarkStart w:id="69" w:name="_Hlk47553909"/>
      <w:bookmarkEnd w:id="67"/>
      <w:r w:rsidRPr="00E20D21">
        <w:rPr>
          <w:rFonts w:ascii="CAIXA Std Book" w:hAnsi="CAIXA Std Book"/>
          <w:color w:val="005CA9"/>
          <w:sz w:val="20"/>
          <w:szCs w:val="20"/>
        </w:rPr>
        <w:t xml:space="preserve">Os repasses às outras entidades estão concentrados junto </w:t>
      </w:r>
      <w:r w:rsidR="00951418" w:rsidRPr="00E20D21">
        <w:rPr>
          <w:rFonts w:ascii="CAIXA Std Book" w:hAnsi="CAIXA Std Book"/>
          <w:color w:val="005CA9"/>
          <w:sz w:val="20"/>
          <w:szCs w:val="20"/>
        </w:rPr>
        <w:t>às</w:t>
      </w:r>
      <w:r w:rsidRPr="00E20D21">
        <w:rPr>
          <w:rFonts w:ascii="CAIXA Std Book" w:hAnsi="CAIXA Std Book"/>
          <w:color w:val="005CA9"/>
          <w:sz w:val="20"/>
          <w:szCs w:val="20"/>
        </w:rPr>
        <w:t xml:space="preserve"> Instituições Financeiras e Entidades Públicas, onde a CAIXA fornece ao FGTS garantia sobre os valores repassados. Dessa forma, o cálculo da provisão leva em consideração o rating das entidades tomadoras e a LGD (valor recuperável) das operações de crédito relacionadas às garantias sub-rogadas à instituição.</w:t>
      </w:r>
    </w:p>
    <w:p w14:paraId="71DFBC36" w14:textId="43D31CAA" w:rsidR="009D5116" w:rsidRPr="00E20D21" w:rsidRDefault="009D5116" w:rsidP="009D5116">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Para os contratos do FIES, a provisão é realizada com base na avaliação de risco de crédito da concessão e evolui conforme estabelecido na Resolução CMN nº 2.682/1999</w:t>
      </w:r>
      <w:r w:rsidR="00DB3839" w:rsidRPr="00E20D21">
        <w:rPr>
          <w:rFonts w:ascii="CAIXA Std Book" w:hAnsi="CAIXA Std Book"/>
          <w:color w:val="005CA9"/>
          <w:sz w:val="20"/>
          <w:szCs w:val="20"/>
        </w:rPr>
        <w:t>.</w:t>
      </w:r>
    </w:p>
    <w:p w14:paraId="2F445FED" w14:textId="77777777" w:rsidR="009D5116" w:rsidRPr="00E20D21" w:rsidRDefault="009D5116" w:rsidP="009D5116">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 estoque remanescente da carteira do PAR com recursos do FAR é provisionado pelo rating, tendo em vista a evolução do atraso, conforme Resolução CMN nº 2.682/1999.</w:t>
      </w:r>
    </w:p>
    <w:bookmarkEnd w:id="68"/>
    <w:p w14:paraId="14110954" w14:textId="6B2DFA3A" w:rsidR="00910878" w:rsidRPr="00E20D21" w:rsidRDefault="00910878" w:rsidP="004B2336">
      <w:pPr>
        <w:keepNext/>
        <w:numPr>
          <w:ilvl w:val="0"/>
          <w:numId w:val="5"/>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Passivos contingentes classificados como perdas possíveis</w:t>
      </w:r>
    </w:p>
    <w:p w14:paraId="6151C7D4" w14:textId="5DEF6237" w:rsidR="00910878" w:rsidRPr="00E20D21" w:rsidRDefault="00910878" w:rsidP="00910878">
      <w:pPr>
        <w:autoSpaceDE w:val="0"/>
        <w:autoSpaceDN w:val="0"/>
        <w:adjustRightInd w:val="0"/>
        <w:spacing w:before="480" w:after="240"/>
        <w:ind w:left="567" w:hanging="567"/>
        <w:jc w:val="both"/>
        <w:rPr>
          <w:rFonts w:ascii="CAIXA Std Book" w:hAnsi="CAIXA Std Book"/>
          <w:b/>
          <w:color w:val="005CA9"/>
          <w:sz w:val="20"/>
          <w:szCs w:val="20"/>
        </w:rPr>
      </w:pPr>
      <w:bookmarkStart w:id="70" w:name="_Hlk65762477"/>
      <w:r w:rsidRPr="00E20D21">
        <w:rPr>
          <w:rFonts w:ascii="CAIXA Std Book" w:hAnsi="CAIXA Std Book"/>
          <w:b/>
          <w:color w:val="005CA9"/>
          <w:sz w:val="20"/>
          <w:szCs w:val="20"/>
        </w:rPr>
        <w:t>(f.1)</w:t>
      </w:r>
      <w:r w:rsidRPr="00E20D21">
        <w:rPr>
          <w:rFonts w:ascii="CAIXA Std Book" w:hAnsi="CAIXA Std Book"/>
          <w:b/>
          <w:color w:val="005CA9"/>
          <w:sz w:val="20"/>
          <w:szCs w:val="20"/>
        </w:rPr>
        <w:tab/>
        <w:t>Demandas fiscais</w:t>
      </w:r>
    </w:p>
    <w:p w14:paraId="20185046" w14:textId="44723DF3" w:rsidR="009900C1" w:rsidRPr="00E20D21" w:rsidRDefault="009900C1"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A CAIXA mantém</w:t>
      </w:r>
      <w:r w:rsidR="003C38AD" w:rsidRPr="00E20D21">
        <w:rPr>
          <w:rFonts w:ascii="CAIXA Std Book" w:hAnsi="CAIXA Std Book"/>
          <w:color w:val="005CA9"/>
          <w:sz w:val="20"/>
          <w:szCs w:val="20"/>
        </w:rPr>
        <w:t xml:space="preserve"> o</w:t>
      </w:r>
      <w:r w:rsidRPr="00E20D21">
        <w:rPr>
          <w:rFonts w:ascii="CAIXA Std Book" w:hAnsi="CAIXA Std Book"/>
          <w:color w:val="005CA9"/>
          <w:sz w:val="20"/>
          <w:szCs w:val="20"/>
        </w:rPr>
        <w:t xml:space="preserve"> acompanhamento de processos fiscais administrativos e judiciais em que figura como polo passivo ou ativo e, sob o amparo dos pareceres de suas unidades jurídicas, classificou como risco de perda possível processos que totalizam o valor de R$ </w:t>
      </w:r>
      <w:r w:rsidR="00FB5CA0" w:rsidRPr="00E20D21">
        <w:rPr>
          <w:rFonts w:ascii="CAIXA Std Book" w:hAnsi="CAIXA Std Book"/>
          <w:color w:val="005CA9"/>
          <w:sz w:val="20"/>
          <w:szCs w:val="20"/>
        </w:rPr>
        <w:t>10.273.636</w:t>
      </w:r>
      <w:r w:rsidR="00394F7A"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em </w:t>
      </w:r>
      <w:r w:rsidR="007F50A8" w:rsidRPr="00E20D21">
        <w:rPr>
          <w:rFonts w:ascii="CAIXA Std Book" w:hAnsi="CAIXA Std Book"/>
          <w:color w:val="005CA9"/>
          <w:sz w:val="20"/>
          <w:szCs w:val="20"/>
        </w:rPr>
        <w:t>30/06/2024</w:t>
      </w:r>
      <w:r w:rsidRPr="00E20D21">
        <w:rPr>
          <w:rFonts w:ascii="CAIXA Std Book" w:hAnsi="CAIXA Std Book"/>
          <w:color w:val="005CA9"/>
          <w:sz w:val="20"/>
          <w:szCs w:val="20"/>
        </w:rPr>
        <w:t xml:space="preserve"> (31/12/202</w:t>
      </w:r>
      <w:r w:rsidR="007F50A8"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7F50A8" w:rsidRPr="00E20D21">
        <w:rPr>
          <w:rFonts w:ascii="CAIXA Std Book" w:hAnsi="CAIXA Std Book"/>
          <w:color w:val="005CA9"/>
          <w:sz w:val="20"/>
          <w:szCs w:val="20"/>
        </w:rPr>
        <w:t>10.019.712</w:t>
      </w:r>
      <w:r w:rsidRPr="00E20D21">
        <w:rPr>
          <w:rFonts w:ascii="CAIXA Std Book" w:hAnsi="CAIXA Std Book"/>
          <w:color w:val="005CA9"/>
          <w:sz w:val="20"/>
          <w:szCs w:val="20"/>
        </w:rPr>
        <w:t>), dentre os quais se destacam as seguintes demandas em razão dos valores em discussão:</w:t>
      </w:r>
    </w:p>
    <w:p w14:paraId="3B409EA7" w14:textId="5AB37FE4" w:rsidR="001A7A93" w:rsidRPr="00E20D21" w:rsidRDefault="009900C1"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a) Autuação de PIS/PASEP, no valor histórico de R$</w:t>
      </w:r>
      <w:r w:rsidR="007A6E1B" w:rsidRPr="00E20D21">
        <w:rPr>
          <w:rFonts w:ascii="CAIXA Std Book" w:hAnsi="CAIXA Std Book"/>
          <w:color w:val="005CA9"/>
          <w:sz w:val="20"/>
          <w:szCs w:val="20"/>
        </w:rPr>
        <w:t xml:space="preserve"> </w:t>
      </w:r>
      <w:r w:rsidR="007A1101" w:rsidRPr="00E20D21">
        <w:rPr>
          <w:rFonts w:ascii="CAIXA Std Book" w:hAnsi="CAIXA Std Book"/>
          <w:color w:val="005CA9"/>
          <w:sz w:val="20"/>
          <w:szCs w:val="20"/>
        </w:rPr>
        <w:t>4.053.509</w:t>
      </w:r>
      <w:r w:rsidRPr="00E20D21">
        <w:rPr>
          <w:rFonts w:ascii="CAIXA Std Book" w:hAnsi="CAIXA Std Book"/>
          <w:color w:val="005CA9"/>
          <w:sz w:val="20"/>
          <w:szCs w:val="20"/>
        </w:rPr>
        <w:t>, pautada em insuficiência no recolhimento relativo ao período de janeiro de 1991 a dezembro de 1995, ao tempo da vigência dos Decretos-Leis nº 2.445/1988 e nº 2.449/1988, que alteraram a sistemática de cálculo da contribuição, e suposta compensação indevida de recolhimentos efetuados a maior no período de janeiro de 1992 a maio de 1993. Para a propositura da ação, foi efetuado depósito em garantia daquele valor em 30/12/2010, o qual, atualizado pela SELIC, na forma da Lei</w:t>
      </w:r>
      <w:r w:rsidR="00AE46BE"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nº 9.703/98, totaliza R$ </w:t>
      </w:r>
      <w:r w:rsidR="00576F78" w:rsidRPr="00E20D21">
        <w:rPr>
          <w:rFonts w:ascii="CAIXA Std Book" w:hAnsi="CAIXA Std Book"/>
          <w:color w:val="005CA9"/>
          <w:sz w:val="20"/>
          <w:szCs w:val="20"/>
        </w:rPr>
        <w:t>8.</w:t>
      </w:r>
      <w:r w:rsidR="001A2321" w:rsidRPr="00E20D21">
        <w:rPr>
          <w:rFonts w:ascii="CAIXA Std Book" w:hAnsi="CAIXA Std Book"/>
          <w:color w:val="005CA9"/>
          <w:sz w:val="20"/>
          <w:szCs w:val="20"/>
        </w:rPr>
        <w:t>968.796</w:t>
      </w:r>
      <w:r w:rsidR="00576F78"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em </w:t>
      </w:r>
      <w:r w:rsidR="0084629B" w:rsidRPr="00E20D21">
        <w:rPr>
          <w:rFonts w:ascii="CAIXA Std Book" w:hAnsi="CAIXA Std Book"/>
          <w:color w:val="005CA9"/>
          <w:sz w:val="20"/>
          <w:szCs w:val="20"/>
        </w:rPr>
        <w:t>30/06/2024</w:t>
      </w:r>
      <w:r w:rsidRPr="00E20D21">
        <w:rPr>
          <w:rFonts w:ascii="CAIXA Std Book" w:hAnsi="CAIXA Std Book"/>
          <w:color w:val="005CA9"/>
          <w:sz w:val="20"/>
          <w:szCs w:val="20"/>
        </w:rPr>
        <w:t xml:space="preserve"> (31/12/20</w:t>
      </w:r>
      <w:r w:rsidR="00F94A89" w:rsidRPr="00E20D21">
        <w:rPr>
          <w:rFonts w:ascii="CAIXA Std Book" w:hAnsi="CAIXA Std Book"/>
          <w:color w:val="005CA9"/>
          <w:sz w:val="20"/>
          <w:szCs w:val="20"/>
        </w:rPr>
        <w:t>2</w:t>
      </w:r>
      <w:r w:rsidR="0084629B"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84629B" w:rsidRPr="00E20D21">
        <w:rPr>
          <w:rFonts w:ascii="CAIXA Std Book" w:hAnsi="CAIXA Std Book"/>
          <w:color w:val="005CA9"/>
          <w:sz w:val="20"/>
          <w:szCs w:val="20"/>
        </w:rPr>
        <w:t>8.757.608</w:t>
      </w:r>
      <w:r w:rsidRPr="00E20D21">
        <w:rPr>
          <w:rFonts w:ascii="CAIXA Std Book" w:hAnsi="CAIXA Std Book"/>
          <w:color w:val="005CA9"/>
          <w:sz w:val="20"/>
          <w:szCs w:val="20"/>
        </w:rPr>
        <w:t xml:space="preserve">). Em 08/04/2019, o Excelentíssimo Sr. Juiz da 9ª Vara Federal da Seção Judiciária de Brasília/DF julgou procedente o pedido formulado pela CAIXA para declarar a extinção do crédito tributário em destaque, tendo em vista a comprovação da suficiência dos recolhimentos à época realizados. Em 10/06/2019, a União interpôs recurso de apelação pleiteando a reforma da sentença em tela pelo Egrégio Tribunal Regional Federal da 1ª Região, </w:t>
      </w:r>
      <w:r w:rsidR="001A7A93" w:rsidRPr="00E20D21">
        <w:rPr>
          <w:rFonts w:ascii="CAIXA Std Book" w:hAnsi="CAIXA Std Book"/>
          <w:color w:val="005CA9"/>
          <w:sz w:val="20"/>
          <w:szCs w:val="20"/>
        </w:rPr>
        <w:t>tendo o recurso sido distribuído por sorteio em 04/05/2023 à 8ª Turma daquele Tribunal, aguardando julgamento desde então</w:t>
      </w:r>
      <w:r w:rsidR="004B6A4C" w:rsidRPr="00E20D21">
        <w:rPr>
          <w:rFonts w:ascii="CAIXA Std Book" w:hAnsi="CAIXA Std Book"/>
          <w:color w:val="005CA9"/>
          <w:sz w:val="20"/>
          <w:szCs w:val="20"/>
        </w:rPr>
        <w:t>;</w:t>
      </w:r>
    </w:p>
    <w:p w14:paraId="3C6998DB" w14:textId="182AAF63" w:rsidR="009900C1" w:rsidRPr="00E20D21" w:rsidRDefault="009900C1" w:rsidP="00B75364">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b) Autuação de PIS/PASEP, no valor total de R$ </w:t>
      </w:r>
      <w:r w:rsidR="009D5541" w:rsidRPr="00E20D21">
        <w:rPr>
          <w:rFonts w:ascii="CAIXA Std Book" w:hAnsi="CAIXA Std Book"/>
          <w:color w:val="005CA9"/>
          <w:sz w:val="20"/>
          <w:szCs w:val="20"/>
        </w:rPr>
        <w:t>251.555</w:t>
      </w:r>
      <w:r w:rsidR="0074650C"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em </w:t>
      </w:r>
      <w:r w:rsidR="009B125F" w:rsidRPr="00E20D21">
        <w:rPr>
          <w:rFonts w:ascii="CAIXA Std Book" w:hAnsi="CAIXA Std Book"/>
          <w:color w:val="005CA9"/>
          <w:sz w:val="20"/>
          <w:szCs w:val="20"/>
        </w:rPr>
        <w:t>30/06/2024</w:t>
      </w:r>
      <w:r w:rsidRPr="00E20D21">
        <w:rPr>
          <w:rFonts w:ascii="CAIXA Std Book" w:hAnsi="CAIXA Std Book"/>
          <w:color w:val="005CA9"/>
          <w:sz w:val="20"/>
          <w:szCs w:val="20"/>
        </w:rPr>
        <w:t xml:space="preserve"> (31/12/202</w:t>
      </w:r>
      <w:r w:rsidR="009B125F"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9B125F" w:rsidRPr="00E20D21">
        <w:rPr>
          <w:rFonts w:ascii="CAIXA Std Book" w:hAnsi="CAIXA Std Book"/>
          <w:color w:val="005CA9"/>
          <w:sz w:val="20"/>
          <w:szCs w:val="20"/>
        </w:rPr>
        <w:t>248.295</w:t>
      </w:r>
      <w:r w:rsidRPr="00E20D21">
        <w:rPr>
          <w:rFonts w:ascii="CAIXA Std Book" w:hAnsi="CAIXA Std Book"/>
          <w:color w:val="005CA9"/>
          <w:sz w:val="20"/>
          <w:szCs w:val="20"/>
        </w:rPr>
        <w:t>), com base em apuração de diferenças de base de cálculo para recolhimento relativo ao período de janeiro de 1996 a dezembro de 1998, e janeiro a outubro de 1999, decorrente de exclusão ou não inclusão de receitas e cômputo de despesas consideradas indevidas e não dedutíveis sobre a base tributável, respectivamente;</w:t>
      </w:r>
    </w:p>
    <w:p w14:paraId="3A19DC6E" w14:textId="6AAD5EB9" w:rsidR="009900C1" w:rsidRPr="00E20D21" w:rsidRDefault="009900C1" w:rsidP="00432EB7">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lastRenderedPageBreak/>
        <w:t xml:space="preserve">c) CSLL, no valor de R$ </w:t>
      </w:r>
      <w:r w:rsidR="00EB7DF3" w:rsidRPr="00E20D21">
        <w:rPr>
          <w:rFonts w:ascii="CAIXA Std Book" w:hAnsi="CAIXA Std Book"/>
          <w:color w:val="005CA9"/>
          <w:sz w:val="20"/>
          <w:szCs w:val="20"/>
        </w:rPr>
        <w:t>208.954</w:t>
      </w:r>
      <w:r w:rsidR="00E37CE5"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em </w:t>
      </w:r>
      <w:r w:rsidR="009B125F" w:rsidRPr="00E20D21">
        <w:rPr>
          <w:rFonts w:ascii="CAIXA Std Book" w:hAnsi="CAIXA Std Book"/>
          <w:color w:val="005CA9"/>
          <w:sz w:val="20"/>
          <w:szCs w:val="20"/>
        </w:rPr>
        <w:t>30/06/2024</w:t>
      </w:r>
      <w:r w:rsidRPr="00E20D21">
        <w:rPr>
          <w:rFonts w:ascii="CAIXA Std Book" w:hAnsi="CAIXA Std Book"/>
          <w:color w:val="005CA9"/>
          <w:sz w:val="20"/>
          <w:szCs w:val="20"/>
        </w:rPr>
        <w:t xml:space="preserve"> (31/12/202</w:t>
      </w:r>
      <w:r w:rsidR="009B125F"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9B125F" w:rsidRPr="00E20D21">
        <w:rPr>
          <w:rFonts w:ascii="CAIXA Std Book" w:hAnsi="CAIXA Std Book"/>
          <w:color w:val="005CA9"/>
          <w:sz w:val="20"/>
          <w:szCs w:val="20"/>
        </w:rPr>
        <w:t>205.081</w:t>
      </w:r>
      <w:r w:rsidRPr="00E20D21">
        <w:rPr>
          <w:rFonts w:ascii="CAIXA Std Book" w:hAnsi="CAIXA Std Book"/>
          <w:color w:val="005CA9"/>
          <w:sz w:val="20"/>
          <w:szCs w:val="20"/>
        </w:rPr>
        <w:t>), relativa a crédito oriundo de pagamento a maior declarado em DIPJ e compensado no exercício de 2003, havendo discussão quanto a questões procedimentais; e</w:t>
      </w:r>
    </w:p>
    <w:p w14:paraId="0D2A3DC2" w14:textId="41C30086" w:rsidR="009900C1" w:rsidRPr="00E20D21" w:rsidRDefault="009900C1" w:rsidP="00432EB7">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d) Autuação de ICMS (Fazenda do Estado de São Paulo), no valor total de R$ </w:t>
      </w:r>
      <w:r w:rsidR="008B0D90" w:rsidRPr="00E20D21">
        <w:rPr>
          <w:rFonts w:ascii="CAIXA Std Book" w:hAnsi="CAIXA Std Book"/>
          <w:color w:val="005CA9"/>
          <w:sz w:val="20"/>
          <w:szCs w:val="20"/>
        </w:rPr>
        <w:t>339.070</w:t>
      </w:r>
      <w:r w:rsidR="00591B9B"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em </w:t>
      </w:r>
      <w:r w:rsidR="00877E4F" w:rsidRPr="00E20D21">
        <w:rPr>
          <w:rFonts w:ascii="CAIXA Std Book" w:hAnsi="CAIXA Std Book"/>
          <w:color w:val="005CA9"/>
          <w:sz w:val="20"/>
          <w:szCs w:val="20"/>
        </w:rPr>
        <w:t>3</w:t>
      </w:r>
      <w:r w:rsidR="00D24FEE" w:rsidRPr="00E20D21">
        <w:rPr>
          <w:rFonts w:ascii="CAIXA Std Book" w:hAnsi="CAIXA Std Book"/>
          <w:color w:val="005CA9"/>
          <w:sz w:val="20"/>
          <w:szCs w:val="20"/>
        </w:rPr>
        <w:t>0/06/2024</w:t>
      </w:r>
      <w:r w:rsidRPr="00E20D21">
        <w:rPr>
          <w:rFonts w:ascii="CAIXA Std Book" w:hAnsi="CAIXA Std Book"/>
          <w:color w:val="005CA9"/>
          <w:sz w:val="20"/>
          <w:szCs w:val="20"/>
        </w:rPr>
        <w:t xml:space="preserve"> (31/12/202</w:t>
      </w:r>
      <w:r w:rsidR="00D24FEE"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D24FEE" w:rsidRPr="00E20D21">
        <w:rPr>
          <w:rFonts w:ascii="CAIXA Std Book" w:hAnsi="CAIXA Std Book"/>
          <w:color w:val="005CA9"/>
          <w:sz w:val="20"/>
          <w:szCs w:val="20"/>
        </w:rPr>
        <w:t>303.484</w:t>
      </w:r>
      <w:r w:rsidRPr="00E20D21">
        <w:rPr>
          <w:rFonts w:ascii="CAIXA Std Book" w:hAnsi="CAIXA Std Book"/>
          <w:color w:val="005CA9"/>
          <w:sz w:val="20"/>
          <w:szCs w:val="20"/>
        </w:rPr>
        <w:t>), sobre a qual se discute a exigência do imposto diante da não retenção e recolhimento na fonte sobre serviços enquadrados pela fiscalização no conceito de “comunicação” para efeitos fiscais e tributários, e ainda, a determinação de sujeição passiva por responsabilidade tributária mediante convênio do Conselho Nacional de Política Fazendária (CONFAZ).</w:t>
      </w:r>
    </w:p>
    <w:p w14:paraId="1C4BFBDF" w14:textId="793988AA" w:rsidR="00592B1B" w:rsidRPr="00E20D21" w:rsidRDefault="00592B1B" w:rsidP="00432EB7">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As demais contingências com indicativo de perda possível apresentam o seguinte saldo, </w:t>
      </w:r>
      <w:proofErr w:type="gramStart"/>
      <w:r w:rsidRPr="00E20D21">
        <w:rPr>
          <w:rFonts w:ascii="CAIXA Std Book" w:hAnsi="CAIXA Std Book"/>
          <w:color w:val="005CA9"/>
          <w:sz w:val="20"/>
          <w:szCs w:val="20"/>
        </w:rPr>
        <w:t>em</w:t>
      </w:r>
      <w:r w:rsidR="007E4107"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 </w:t>
      </w:r>
      <w:r w:rsidR="008B15B7" w:rsidRPr="00E20D21">
        <w:rPr>
          <w:rFonts w:ascii="CAIXA Std Book" w:hAnsi="CAIXA Std Book"/>
          <w:color w:val="005CA9"/>
          <w:sz w:val="20"/>
          <w:szCs w:val="20"/>
        </w:rPr>
        <w:t>30</w:t>
      </w:r>
      <w:proofErr w:type="gramEnd"/>
      <w:r w:rsidR="008B15B7" w:rsidRPr="00E20D21">
        <w:rPr>
          <w:rFonts w:ascii="CAIXA Std Book" w:hAnsi="CAIXA Std Book"/>
          <w:color w:val="005CA9"/>
          <w:sz w:val="20"/>
          <w:szCs w:val="20"/>
        </w:rPr>
        <w:t>/06/2024</w:t>
      </w:r>
      <w:r w:rsidR="00821CFF"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a) Federais totalizam </w:t>
      </w:r>
      <w:r w:rsidR="00F55AA9" w:rsidRPr="00E20D21">
        <w:rPr>
          <w:rFonts w:ascii="CAIXA Std Book" w:hAnsi="CAIXA Std Book"/>
          <w:color w:val="005CA9"/>
          <w:sz w:val="20"/>
          <w:szCs w:val="20"/>
        </w:rPr>
        <w:t>R$</w:t>
      </w:r>
      <w:r w:rsidR="00277F2D" w:rsidRPr="00E20D21">
        <w:rPr>
          <w:rFonts w:ascii="CAIXA Std Book" w:hAnsi="CAIXA Std Book"/>
          <w:color w:val="005CA9"/>
          <w:sz w:val="20"/>
          <w:szCs w:val="20"/>
        </w:rPr>
        <w:t>1.486</w:t>
      </w:r>
      <w:r w:rsidR="00F55AA9" w:rsidRPr="00E20D21">
        <w:rPr>
          <w:rFonts w:ascii="CAIXA Std Book" w:hAnsi="CAIXA Std Book"/>
          <w:color w:val="005CA9"/>
          <w:sz w:val="20"/>
          <w:szCs w:val="20"/>
        </w:rPr>
        <w:t xml:space="preserve"> </w:t>
      </w:r>
      <w:r w:rsidRPr="00E20D21">
        <w:rPr>
          <w:rFonts w:ascii="CAIXA Std Book" w:hAnsi="CAIXA Std Book"/>
          <w:color w:val="005CA9"/>
          <w:sz w:val="20"/>
          <w:szCs w:val="20"/>
        </w:rPr>
        <w:t>(31/12/202</w:t>
      </w:r>
      <w:r w:rsidR="00017EDE" w:rsidRPr="00E20D21">
        <w:rPr>
          <w:rFonts w:ascii="CAIXA Std Book" w:hAnsi="CAIXA Std Book"/>
          <w:color w:val="005CA9"/>
          <w:sz w:val="20"/>
          <w:szCs w:val="20"/>
        </w:rPr>
        <w:t>3</w:t>
      </w:r>
      <w:r w:rsidRPr="00E20D21">
        <w:rPr>
          <w:rFonts w:ascii="CAIXA Std Book" w:hAnsi="CAIXA Std Book"/>
          <w:color w:val="005CA9"/>
          <w:sz w:val="20"/>
          <w:szCs w:val="20"/>
        </w:rPr>
        <w:t xml:space="preserve"> – R$ 1.4</w:t>
      </w:r>
      <w:r w:rsidR="00017EDE" w:rsidRPr="00E20D21">
        <w:rPr>
          <w:rFonts w:ascii="CAIXA Std Book" w:hAnsi="CAIXA Std Book"/>
          <w:color w:val="005CA9"/>
          <w:sz w:val="20"/>
          <w:szCs w:val="20"/>
        </w:rPr>
        <w:t>67</w:t>
      </w:r>
      <w:r w:rsidRPr="00E20D21">
        <w:rPr>
          <w:rFonts w:ascii="CAIXA Std Book" w:hAnsi="CAIXA Std Book"/>
          <w:color w:val="005CA9"/>
          <w:sz w:val="20"/>
          <w:szCs w:val="20"/>
        </w:rPr>
        <w:t>);</w:t>
      </w:r>
      <w:r w:rsidR="0054348E"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b) Previdenciários somam R$ </w:t>
      </w:r>
      <w:r w:rsidR="002213A5" w:rsidRPr="00E20D21">
        <w:rPr>
          <w:rFonts w:ascii="CAIXA Std Book" w:hAnsi="CAIXA Std Book"/>
          <w:color w:val="005CA9"/>
          <w:sz w:val="20"/>
          <w:szCs w:val="20"/>
        </w:rPr>
        <w:t>67.318</w:t>
      </w:r>
      <w:r w:rsidR="005A7609" w:rsidRPr="00E20D21">
        <w:rPr>
          <w:rFonts w:ascii="CAIXA Std Book" w:hAnsi="CAIXA Std Book"/>
          <w:color w:val="005CA9"/>
          <w:sz w:val="20"/>
          <w:szCs w:val="20"/>
        </w:rPr>
        <w:t xml:space="preserve"> </w:t>
      </w:r>
      <w:r w:rsidRPr="00E20D21">
        <w:rPr>
          <w:rFonts w:ascii="CAIXA Std Book" w:hAnsi="CAIXA Std Book"/>
          <w:color w:val="005CA9"/>
          <w:sz w:val="20"/>
          <w:szCs w:val="20"/>
        </w:rPr>
        <w:t>(31/12/202</w:t>
      </w:r>
      <w:r w:rsidR="008B15B7" w:rsidRPr="00E20D21">
        <w:rPr>
          <w:rFonts w:ascii="CAIXA Std Book" w:hAnsi="CAIXA Std Book"/>
          <w:color w:val="005CA9"/>
          <w:sz w:val="20"/>
          <w:szCs w:val="20"/>
        </w:rPr>
        <w:t>3</w:t>
      </w:r>
      <w:r w:rsidRPr="00E20D21">
        <w:rPr>
          <w:rFonts w:ascii="CAIXA Std Book" w:hAnsi="CAIXA Std Book"/>
          <w:color w:val="005CA9"/>
          <w:sz w:val="20"/>
          <w:szCs w:val="20"/>
        </w:rPr>
        <w:t xml:space="preserve"> – R$ 67.318); e c) Regionais correspondem a R$ </w:t>
      </w:r>
      <w:r w:rsidR="001B21D8" w:rsidRPr="00E20D21">
        <w:rPr>
          <w:rFonts w:ascii="CAIXA Std Book" w:hAnsi="CAIXA Std Book"/>
          <w:color w:val="005CA9"/>
          <w:sz w:val="20"/>
          <w:szCs w:val="20"/>
        </w:rPr>
        <w:t xml:space="preserve">436.457 </w:t>
      </w:r>
      <w:r w:rsidRPr="00E20D21">
        <w:rPr>
          <w:rFonts w:ascii="CAIXA Std Book" w:hAnsi="CAIXA Std Book"/>
          <w:color w:val="005CA9"/>
          <w:sz w:val="20"/>
          <w:szCs w:val="20"/>
        </w:rPr>
        <w:t>(31/12/202</w:t>
      </w:r>
      <w:r w:rsidR="008B15B7"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8B15B7" w:rsidRPr="00E20D21">
        <w:rPr>
          <w:rFonts w:ascii="CAIXA Std Book" w:hAnsi="CAIXA Std Book"/>
          <w:color w:val="005CA9"/>
          <w:sz w:val="20"/>
          <w:szCs w:val="20"/>
        </w:rPr>
        <w:t>436.457</w:t>
      </w:r>
      <w:r w:rsidRPr="00E20D21">
        <w:rPr>
          <w:rFonts w:ascii="CAIXA Std Book" w:hAnsi="CAIXA Std Book"/>
          <w:color w:val="005CA9"/>
          <w:sz w:val="20"/>
          <w:szCs w:val="20"/>
        </w:rPr>
        <w:t>).</w:t>
      </w:r>
    </w:p>
    <w:p w14:paraId="29459394" w14:textId="0B559650" w:rsidR="00D12437" w:rsidRPr="00E20D21" w:rsidRDefault="00603ADC" w:rsidP="00432EB7">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As matérias relacionadas aos processos contingentes em discussão são monitoradas sob a perspectiva de eventual sedimentação ou modificação do cenário jurisprudencial, possibilitando a manutenção como decorrência de avaliação contínua por parte da CAIXA das respectivas classificações de risco</w:t>
      </w:r>
      <w:r w:rsidR="00910878" w:rsidRPr="00E20D21">
        <w:rPr>
          <w:rFonts w:ascii="CAIXA Std Book" w:hAnsi="CAIXA Std Book"/>
          <w:color w:val="005CA9"/>
          <w:sz w:val="20"/>
          <w:szCs w:val="20"/>
        </w:rPr>
        <w:t>.</w:t>
      </w:r>
    </w:p>
    <w:p w14:paraId="6D3B6217" w14:textId="13AEAF2C" w:rsidR="00910878" w:rsidRPr="00E20D21" w:rsidRDefault="00910878" w:rsidP="00051BF7">
      <w:pPr>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(f.2)</w:t>
      </w:r>
      <w:r w:rsidRPr="00E20D21">
        <w:rPr>
          <w:rFonts w:ascii="CAIXA Std Book" w:hAnsi="CAIXA Std Book"/>
          <w:b/>
          <w:color w:val="005CA9"/>
          <w:sz w:val="20"/>
          <w:szCs w:val="20"/>
        </w:rPr>
        <w:tab/>
        <w:t>Demandas cíveis</w:t>
      </w:r>
    </w:p>
    <w:p w14:paraId="23AEE23C" w14:textId="77777777" w:rsidR="00991AAF" w:rsidRPr="00E20D21" w:rsidRDefault="00991AAF" w:rsidP="00B75364">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A CAIXA, com base na opinião de seus advogados, acompanha sistematicamente todos os processos com classificação de risco possível ou remoto.</w:t>
      </w:r>
    </w:p>
    <w:p w14:paraId="36888EB0" w14:textId="787EBA36" w:rsidR="006C2BF9" w:rsidRPr="00E20D21" w:rsidRDefault="00991AAF" w:rsidP="00CE0E2E">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O montante de R$ </w:t>
      </w:r>
      <w:r w:rsidR="00CF4245" w:rsidRPr="00E20D21">
        <w:rPr>
          <w:rFonts w:ascii="CAIXA Std Book" w:hAnsi="CAIXA Std Book"/>
          <w:color w:val="005CA9"/>
          <w:sz w:val="20"/>
          <w:szCs w:val="20"/>
        </w:rPr>
        <w:t>2.292.472</w:t>
      </w:r>
      <w:r w:rsidRPr="00E20D21">
        <w:rPr>
          <w:rFonts w:ascii="CAIXA Std Book" w:hAnsi="CAIXA Std Book"/>
          <w:color w:val="005CA9"/>
          <w:sz w:val="20"/>
          <w:szCs w:val="20"/>
        </w:rPr>
        <w:t xml:space="preserve"> em </w:t>
      </w:r>
      <w:r w:rsidR="00F82262" w:rsidRPr="00E20D21">
        <w:rPr>
          <w:rFonts w:ascii="CAIXA Std Book" w:hAnsi="CAIXA Std Book"/>
          <w:color w:val="005CA9"/>
          <w:sz w:val="20"/>
          <w:szCs w:val="20"/>
        </w:rPr>
        <w:t>30/06/2024</w:t>
      </w:r>
      <w:r w:rsidRPr="00E20D21">
        <w:rPr>
          <w:rFonts w:ascii="CAIXA Std Book" w:hAnsi="CAIXA Std Book"/>
          <w:color w:val="005CA9"/>
          <w:sz w:val="20"/>
          <w:szCs w:val="20"/>
        </w:rPr>
        <w:t xml:space="preserve"> (31/12/202</w:t>
      </w:r>
      <w:r w:rsidR="00F82262" w:rsidRPr="00E20D21">
        <w:rPr>
          <w:rFonts w:ascii="CAIXA Std Book" w:hAnsi="CAIXA Std Book"/>
          <w:color w:val="005CA9"/>
          <w:sz w:val="20"/>
          <w:szCs w:val="20"/>
        </w:rPr>
        <w:t>3</w:t>
      </w:r>
      <w:r w:rsidRPr="00E20D21">
        <w:rPr>
          <w:rFonts w:ascii="CAIXA Std Book" w:hAnsi="CAIXA Std Book"/>
          <w:color w:val="005CA9"/>
          <w:sz w:val="20"/>
          <w:szCs w:val="20"/>
        </w:rPr>
        <w:t xml:space="preserve"> – R$ </w:t>
      </w:r>
      <w:r w:rsidR="00171F29" w:rsidRPr="00E20D21">
        <w:rPr>
          <w:rFonts w:ascii="CAIXA Std Book" w:hAnsi="CAIXA Std Book"/>
          <w:color w:val="005CA9"/>
          <w:sz w:val="20"/>
          <w:szCs w:val="20"/>
        </w:rPr>
        <w:t>2.</w:t>
      </w:r>
      <w:r w:rsidR="00F82262" w:rsidRPr="00E20D21">
        <w:rPr>
          <w:rFonts w:ascii="CAIXA Std Book" w:hAnsi="CAIXA Std Book"/>
          <w:color w:val="005CA9"/>
          <w:sz w:val="20"/>
          <w:szCs w:val="20"/>
        </w:rPr>
        <w:t>236.008</w:t>
      </w:r>
      <w:r w:rsidRPr="00E20D21">
        <w:rPr>
          <w:rFonts w:ascii="CAIXA Std Book" w:hAnsi="CAIXA Std Book"/>
          <w:color w:val="005CA9"/>
          <w:sz w:val="20"/>
          <w:szCs w:val="20"/>
        </w:rPr>
        <w:t>) refere-se a uma ação popular com probabilidade de perda possível, na qual se alega a prática de ilegalidade por parte da CAIXA na gestão de recursos provenientes do PREVHAB, quando da sucessão do BNH</w:t>
      </w:r>
      <w:bookmarkEnd w:id="70"/>
      <w:r w:rsidR="00CD0509" w:rsidRPr="00E20D21">
        <w:rPr>
          <w:rFonts w:ascii="CAIXA Std Book" w:hAnsi="CAIXA Std Book"/>
          <w:color w:val="005CA9"/>
          <w:sz w:val="20"/>
          <w:szCs w:val="20"/>
        </w:rPr>
        <w:t>.</w:t>
      </w:r>
      <w:r w:rsidR="00910878" w:rsidRPr="00E20D21">
        <w:rPr>
          <w:rFonts w:ascii="CAIXA Std Book" w:hAnsi="CAIXA Std Book"/>
          <w:color w:val="005CA9"/>
          <w:sz w:val="20"/>
          <w:szCs w:val="20"/>
        </w:rPr>
        <w:t xml:space="preserve"> </w:t>
      </w:r>
      <w:bookmarkEnd w:id="69"/>
      <w:r w:rsidR="00C87141" w:rsidRPr="00E20D21">
        <w:rPr>
          <w:rFonts w:ascii="CAIXA Std Book" w:hAnsi="CAIXA Std Book"/>
          <w:color w:val="005CA9"/>
          <w:sz w:val="20"/>
          <w:szCs w:val="20"/>
        </w:rPr>
        <w:t>Em junho foi publicada decisão monocrática negando provimento ao Recurso Especial da parte autora com expectativa de trânsito em julgado para o terceiro trimestre de 2024.</w:t>
      </w:r>
    </w:p>
    <w:p w14:paraId="2DBB0AA3" w14:textId="134E5E88" w:rsidR="00910878" w:rsidRPr="00E20D21" w:rsidRDefault="00473D8F" w:rsidP="007B15C0">
      <w:pPr>
        <w:spacing w:before="240" w:after="120"/>
        <w:ind w:left="567" w:right="142" w:hanging="567"/>
        <w:jc w:val="both"/>
        <w:rPr>
          <w:rFonts w:ascii="CAIXA Std Book" w:hAnsi="CAIXA Std Book"/>
          <w:b/>
          <w:color w:val="005CA9"/>
          <w:sz w:val="20"/>
          <w:szCs w:val="20"/>
        </w:rPr>
      </w:pPr>
      <w:r w:rsidRPr="00E20D21">
        <w:rPr>
          <w:rFonts w:ascii="CAIXA Std Book" w:hAnsi="CAIXA Std Book"/>
          <w:b/>
          <w:color w:val="005CA9"/>
          <w:sz w:val="20"/>
          <w:szCs w:val="20"/>
        </w:rPr>
        <w:t>(g)</w:t>
      </w:r>
      <w:r w:rsidRPr="00E20D21">
        <w:rPr>
          <w:rFonts w:ascii="CAIXA Std Book" w:hAnsi="CAIXA Std Book"/>
          <w:b/>
          <w:color w:val="005CA9"/>
          <w:sz w:val="20"/>
          <w:szCs w:val="20"/>
        </w:rPr>
        <w:tab/>
      </w:r>
      <w:r w:rsidR="00910878" w:rsidRPr="00E20D21">
        <w:rPr>
          <w:rFonts w:ascii="CAIXA Std Book" w:hAnsi="CAIXA Std Book"/>
          <w:b/>
          <w:color w:val="005CA9"/>
          <w:sz w:val="20"/>
          <w:szCs w:val="20"/>
        </w:rPr>
        <w:t>Composição dos depósitos em garantia de recursos</w:t>
      </w:r>
    </w:p>
    <w:p w14:paraId="7B93E382" w14:textId="6F39F06A" w:rsidR="00910878" w:rsidRPr="00E20D21" w:rsidRDefault="00910878" w:rsidP="00B75364">
      <w:pPr>
        <w:tabs>
          <w:tab w:val="left" w:pos="1650"/>
        </w:tabs>
        <w:spacing w:before="120" w:after="240"/>
        <w:ind w:right="139"/>
        <w:jc w:val="both"/>
        <w:rPr>
          <w:rFonts w:ascii="CAIXA Std Book" w:hAnsi="CAIXA Std Book"/>
          <w:color w:val="005CA9"/>
          <w:sz w:val="20"/>
          <w:szCs w:val="20"/>
        </w:rPr>
      </w:pPr>
      <w:r w:rsidRPr="00E20D21">
        <w:rPr>
          <w:rFonts w:ascii="CAIXA Std Book" w:hAnsi="CAIXA Std Book"/>
          <w:color w:val="005CA9"/>
          <w:sz w:val="20"/>
          <w:szCs w:val="20"/>
        </w:rPr>
        <w:t>Os saldos dos depósitos em garantia constituídos para as causas judiciais passivas prováveis, possíveis e/ou remotas:</w:t>
      </w:r>
    </w:p>
    <w:tbl>
      <w:tblPr>
        <w:tblW w:w="5000" w:type="pct"/>
        <w:tblCellMar>
          <w:left w:w="70" w:type="dxa"/>
          <w:right w:w="70" w:type="dxa"/>
        </w:tblCellMar>
        <w:tblLook w:val="04A0" w:firstRow="1" w:lastRow="0" w:firstColumn="1" w:lastColumn="0" w:noHBand="0" w:noVBand="1"/>
      </w:tblPr>
      <w:tblGrid>
        <w:gridCol w:w="6337"/>
        <w:gridCol w:w="1650"/>
        <w:gridCol w:w="1650"/>
      </w:tblGrid>
      <w:tr w:rsidR="00A47C19" w:rsidRPr="00E20D21" w14:paraId="571D42F5" w14:textId="77777777" w:rsidTr="000A3882">
        <w:trPr>
          <w:trHeight w:val="283"/>
        </w:trPr>
        <w:tc>
          <w:tcPr>
            <w:tcW w:w="5000" w:type="pct"/>
            <w:gridSpan w:val="3"/>
            <w:tcBorders>
              <w:top w:val="single" w:sz="4" w:space="0" w:color="F79646" w:themeColor="accent6"/>
              <w:left w:val="nil"/>
              <w:bottom w:val="single" w:sz="4" w:space="0" w:color="F79646" w:themeColor="accent6"/>
              <w:right w:val="nil"/>
            </w:tcBorders>
            <w:vAlign w:val="center"/>
          </w:tcPr>
          <w:p w14:paraId="738BD953" w14:textId="578F2E43" w:rsidR="00910878" w:rsidRPr="00E20D21" w:rsidRDefault="00910878" w:rsidP="00BB4736">
            <w:pPr>
              <w:ind w:left="-1305" w:firstLine="1094"/>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CONSOLIDADO</w:t>
            </w:r>
          </w:p>
        </w:tc>
      </w:tr>
      <w:tr w:rsidR="00F82262" w:rsidRPr="00E20D21" w14:paraId="1632EF63" w14:textId="77777777" w:rsidTr="000A3882">
        <w:trPr>
          <w:trHeight w:val="283"/>
        </w:trPr>
        <w:tc>
          <w:tcPr>
            <w:tcW w:w="3288" w:type="pct"/>
            <w:tcBorders>
              <w:top w:val="single" w:sz="4" w:space="0" w:color="F79646" w:themeColor="accent6"/>
              <w:left w:val="nil"/>
              <w:bottom w:val="single" w:sz="4" w:space="0" w:color="F79646" w:themeColor="accent6"/>
              <w:right w:val="nil"/>
            </w:tcBorders>
            <w:shd w:val="clear" w:color="auto" w:fill="auto"/>
            <w:vAlign w:val="center"/>
            <w:hideMark/>
          </w:tcPr>
          <w:p w14:paraId="189E89F2" w14:textId="77777777" w:rsidR="00F82262" w:rsidRPr="00E20D21" w:rsidRDefault="00F82262" w:rsidP="00F82262">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856" w:type="pct"/>
            <w:tcBorders>
              <w:top w:val="single" w:sz="4" w:space="0" w:color="F79646" w:themeColor="accent6"/>
              <w:left w:val="nil"/>
              <w:bottom w:val="single" w:sz="4" w:space="0" w:color="F79646" w:themeColor="accent6"/>
              <w:right w:val="nil"/>
            </w:tcBorders>
            <w:vAlign w:val="center"/>
          </w:tcPr>
          <w:p w14:paraId="151ED3B2" w14:textId="6987CFB1" w:rsidR="00F82262" w:rsidRPr="00E20D21" w:rsidRDefault="00F82262" w:rsidP="00F82262">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856" w:type="pct"/>
            <w:tcBorders>
              <w:top w:val="single" w:sz="4" w:space="0" w:color="F79646" w:themeColor="accent6"/>
              <w:left w:val="nil"/>
              <w:bottom w:val="single" w:sz="4" w:space="0" w:color="F79646" w:themeColor="accent6"/>
              <w:right w:val="nil"/>
            </w:tcBorders>
            <w:shd w:val="clear" w:color="auto" w:fill="auto"/>
            <w:vAlign w:val="center"/>
            <w:hideMark/>
          </w:tcPr>
          <w:p w14:paraId="5AAC11C7" w14:textId="41A9603B" w:rsidR="00F82262" w:rsidRPr="00E20D21" w:rsidRDefault="00F82262" w:rsidP="00F82262">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F82262" w:rsidRPr="00E20D21" w14:paraId="4B0E1E0C" w14:textId="77777777" w:rsidTr="000A3882">
        <w:trPr>
          <w:trHeight w:val="283"/>
        </w:trPr>
        <w:tc>
          <w:tcPr>
            <w:tcW w:w="3288" w:type="pct"/>
            <w:tcBorders>
              <w:top w:val="single" w:sz="4" w:space="0" w:color="F79646" w:themeColor="accent6"/>
              <w:left w:val="nil"/>
              <w:bottom w:val="nil"/>
              <w:right w:val="nil"/>
            </w:tcBorders>
            <w:shd w:val="clear" w:color="auto" w:fill="auto"/>
            <w:noWrap/>
            <w:vAlign w:val="center"/>
            <w:hideMark/>
          </w:tcPr>
          <w:p w14:paraId="3B16789D" w14:textId="77777777" w:rsidR="00F82262" w:rsidRPr="00E20D21" w:rsidRDefault="00F82262" w:rsidP="00F82262">
            <w:pPr>
              <w:rPr>
                <w:rFonts w:ascii="CAIXA Std Book" w:hAnsi="CAIXA Std Book" w:cs="MS Gothic"/>
                <w:color w:val="005CA9"/>
                <w:sz w:val="18"/>
                <w:szCs w:val="18"/>
              </w:rPr>
            </w:pPr>
            <w:r w:rsidRPr="00E20D21">
              <w:rPr>
                <w:rFonts w:ascii="CAIXA Std Book" w:hAnsi="CAIXA Std Book" w:cs="MS Gothic"/>
                <w:color w:val="005CA9"/>
                <w:sz w:val="18"/>
                <w:szCs w:val="18"/>
              </w:rPr>
              <w:t>Demandas fiscais</w:t>
            </w:r>
          </w:p>
        </w:tc>
        <w:tc>
          <w:tcPr>
            <w:tcW w:w="856" w:type="pct"/>
            <w:tcBorders>
              <w:top w:val="nil"/>
              <w:left w:val="nil"/>
              <w:bottom w:val="nil"/>
              <w:right w:val="nil"/>
            </w:tcBorders>
            <w:shd w:val="clear" w:color="auto" w:fill="auto"/>
            <w:vAlign w:val="center"/>
          </w:tcPr>
          <w:p w14:paraId="681DFC18" w14:textId="69FAA570" w:rsidR="00F82262" w:rsidRPr="00E20D21" w:rsidRDefault="008405DD" w:rsidP="00F82262">
            <w:pPr>
              <w:jc w:val="right"/>
              <w:rPr>
                <w:rFonts w:ascii="CAIXA Std Book" w:hAnsi="CAIXA Std Book" w:cs="Arial"/>
                <w:color w:val="005CA9"/>
                <w:sz w:val="18"/>
                <w:szCs w:val="18"/>
              </w:rPr>
            </w:pPr>
            <w:r w:rsidRPr="00E20D21">
              <w:rPr>
                <w:rFonts w:ascii="CAIXA Std Book" w:hAnsi="CAIXA Std Book" w:cs="Arial"/>
                <w:color w:val="005CA9"/>
                <w:sz w:val="18"/>
                <w:szCs w:val="18"/>
              </w:rPr>
              <w:t>13.795.532</w:t>
            </w:r>
          </w:p>
        </w:tc>
        <w:tc>
          <w:tcPr>
            <w:tcW w:w="856" w:type="pct"/>
            <w:tcBorders>
              <w:top w:val="nil"/>
              <w:left w:val="nil"/>
              <w:bottom w:val="nil"/>
              <w:right w:val="nil"/>
            </w:tcBorders>
            <w:shd w:val="clear" w:color="auto" w:fill="auto"/>
            <w:vAlign w:val="center"/>
          </w:tcPr>
          <w:p w14:paraId="615D157C" w14:textId="635784E5" w:rsidR="00F82262" w:rsidRPr="00E20D21" w:rsidRDefault="00F82262" w:rsidP="00F82262">
            <w:pPr>
              <w:jc w:val="right"/>
              <w:rPr>
                <w:rFonts w:ascii="CAIXA Std Book" w:hAnsi="CAIXA Std Book" w:cs="MS Gothic"/>
                <w:color w:val="005CA9"/>
                <w:sz w:val="18"/>
                <w:szCs w:val="18"/>
              </w:rPr>
            </w:pPr>
            <w:r w:rsidRPr="00E20D21">
              <w:rPr>
                <w:rFonts w:ascii="CAIXA Std Book" w:hAnsi="CAIXA Std Book" w:cs="Arial"/>
                <w:color w:val="005CA9"/>
                <w:sz w:val="18"/>
                <w:szCs w:val="18"/>
              </w:rPr>
              <w:t>13.414.537</w:t>
            </w:r>
          </w:p>
        </w:tc>
      </w:tr>
      <w:tr w:rsidR="00F82262" w:rsidRPr="00E20D21" w14:paraId="29D85C81" w14:textId="77777777" w:rsidTr="00E84AD6">
        <w:trPr>
          <w:trHeight w:val="283"/>
        </w:trPr>
        <w:tc>
          <w:tcPr>
            <w:tcW w:w="3288" w:type="pct"/>
            <w:tcBorders>
              <w:top w:val="nil"/>
              <w:left w:val="nil"/>
              <w:bottom w:val="nil"/>
              <w:right w:val="nil"/>
            </w:tcBorders>
            <w:shd w:val="clear" w:color="auto" w:fill="auto"/>
            <w:noWrap/>
            <w:vAlign w:val="center"/>
            <w:hideMark/>
          </w:tcPr>
          <w:p w14:paraId="77A390B1" w14:textId="77777777" w:rsidR="00F82262" w:rsidRPr="00E20D21" w:rsidRDefault="00F82262" w:rsidP="00F82262">
            <w:pPr>
              <w:rPr>
                <w:rFonts w:ascii="CAIXA Std Book" w:hAnsi="CAIXA Std Book" w:cs="MS Gothic"/>
                <w:color w:val="005CA9"/>
                <w:sz w:val="18"/>
                <w:szCs w:val="18"/>
              </w:rPr>
            </w:pPr>
            <w:r w:rsidRPr="00E20D21">
              <w:rPr>
                <w:rFonts w:ascii="CAIXA Std Book" w:hAnsi="CAIXA Std Book" w:cs="MS Gothic"/>
                <w:color w:val="005CA9"/>
                <w:sz w:val="18"/>
                <w:szCs w:val="18"/>
              </w:rPr>
              <w:t>Demandas trabalhistas</w:t>
            </w:r>
          </w:p>
        </w:tc>
        <w:tc>
          <w:tcPr>
            <w:tcW w:w="856" w:type="pct"/>
            <w:tcBorders>
              <w:top w:val="nil"/>
              <w:left w:val="nil"/>
              <w:right w:val="nil"/>
            </w:tcBorders>
            <w:shd w:val="clear" w:color="auto" w:fill="auto"/>
            <w:vAlign w:val="center"/>
          </w:tcPr>
          <w:p w14:paraId="58F2CA70" w14:textId="4FA9B877" w:rsidR="00F82262" w:rsidRPr="00E20D21" w:rsidRDefault="008405DD" w:rsidP="00F82262">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6.414.577</w:t>
            </w:r>
          </w:p>
        </w:tc>
        <w:tc>
          <w:tcPr>
            <w:tcW w:w="856" w:type="pct"/>
            <w:tcBorders>
              <w:top w:val="nil"/>
              <w:left w:val="nil"/>
              <w:bottom w:val="nil"/>
              <w:right w:val="nil"/>
            </w:tcBorders>
            <w:shd w:val="clear" w:color="auto" w:fill="auto"/>
            <w:vAlign w:val="center"/>
          </w:tcPr>
          <w:p w14:paraId="754D1981" w14:textId="156C742F" w:rsidR="00F82262" w:rsidRPr="00E20D21" w:rsidRDefault="00F82262" w:rsidP="00F82262">
            <w:pPr>
              <w:jc w:val="right"/>
              <w:rPr>
                <w:rFonts w:ascii="CAIXA Std Book" w:hAnsi="CAIXA Std Book" w:cs="MS Gothic"/>
                <w:color w:val="005CA9"/>
                <w:sz w:val="18"/>
                <w:szCs w:val="18"/>
              </w:rPr>
            </w:pPr>
            <w:r w:rsidRPr="00E20D21">
              <w:rPr>
                <w:rFonts w:ascii="CAIXA Std Book" w:hAnsi="CAIXA Std Book" w:cs="Arial"/>
                <w:color w:val="005CA9"/>
                <w:sz w:val="18"/>
                <w:szCs w:val="18"/>
              </w:rPr>
              <w:t>6.426.404</w:t>
            </w:r>
          </w:p>
        </w:tc>
      </w:tr>
      <w:tr w:rsidR="00F82262" w:rsidRPr="00E20D21" w14:paraId="1635D803" w14:textId="77777777" w:rsidTr="00E84AD6">
        <w:trPr>
          <w:trHeight w:val="283"/>
        </w:trPr>
        <w:tc>
          <w:tcPr>
            <w:tcW w:w="3288" w:type="pct"/>
            <w:tcBorders>
              <w:top w:val="nil"/>
              <w:left w:val="nil"/>
              <w:bottom w:val="single" w:sz="4" w:space="0" w:color="F79646" w:themeColor="accent6"/>
              <w:right w:val="nil"/>
            </w:tcBorders>
            <w:shd w:val="clear" w:color="auto" w:fill="auto"/>
            <w:noWrap/>
            <w:vAlign w:val="center"/>
            <w:hideMark/>
          </w:tcPr>
          <w:p w14:paraId="6C619767" w14:textId="77777777" w:rsidR="00F82262" w:rsidRPr="00E20D21" w:rsidRDefault="00F82262" w:rsidP="00F82262">
            <w:pPr>
              <w:rPr>
                <w:rFonts w:ascii="CAIXA Std Book" w:hAnsi="CAIXA Std Book" w:cs="MS Gothic"/>
                <w:color w:val="005CA9"/>
                <w:sz w:val="18"/>
                <w:szCs w:val="18"/>
              </w:rPr>
            </w:pPr>
            <w:r w:rsidRPr="00E20D21">
              <w:rPr>
                <w:rFonts w:ascii="CAIXA Std Book" w:hAnsi="CAIXA Std Book" w:cs="MS Gothic"/>
                <w:color w:val="005CA9"/>
                <w:sz w:val="18"/>
                <w:szCs w:val="18"/>
              </w:rPr>
              <w:t>Demandas cíveis</w:t>
            </w:r>
          </w:p>
        </w:tc>
        <w:tc>
          <w:tcPr>
            <w:tcW w:w="856" w:type="pct"/>
            <w:tcBorders>
              <w:top w:val="nil"/>
              <w:left w:val="nil"/>
              <w:bottom w:val="single" w:sz="6" w:space="0" w:color="F79646"/>
              <w:right w:val="nil"/>
            </w:tcBorders>
            <w:shd w:val="clear" w:color="auto" w:fill="auto"/>
            <w:vAlign w:val="center"/>
          </w:tcPr>
          <w:p w14:paraId="76FA42C0" w14:textId="3D1693F5" w:rsidR="00F82262" w:rsidRPr="00E20D21" w:rsidRDefault="008405DD" w:rsidP="00F82262">
            <w:pPr>
              <w:jc w:val="right"/>
              <w:rPr>
                <w:rFonts w:ascii="CAIXA Std Book" w:hAnsi="CAIXA Std Book" w:cs="Arial Unicode MS"/>
                <w:color w:val="005CA9"/>
                <w:sz w:val="18"/>
                <w:szCs w:val="18"/>
              </w:rPr>
            </w:pPr>
            <w:r w:rsidRPr="00E20D21">
              <w:rPr>
                <w:rFonts w:ascii="CAIXA Std Book" w:hAnsi="CAIXA Std Book" w:cs="Arial"/>
                <w:color w:val="005CA9"/>
                <w:sz w:val="18"/>
                <w:szCs w:val="18"/>
              </w:rPr>
              <w:t>913.016</w:t>
            </w:r>
          </w:p>
        </w:tc>
        <w:tc>
          <w:tcPr>
            <w:tcW w:w="856" w:type="pct"/>
            <w:tcBorders>
              <w:top w:val="nil"/>
              <w:left w:val="nil"/>
              <w:bottom w:val="nil"/>
              <w:right w:val="nil"/>
            </w:tcBorders>
            <w:shd w:val="clear" w:color="auto" w:fill="auto"/>
            <w:vAlign w:val="center"/>
          </w:tcPr>
          <w:p w14:paraId="79DFB529" w14:textId="4E95152C" w:rsidR="00F82262" w:rsidRPr="00E20D21" w:rsidRDefault="00F82262" w:rsidP="00F82262">
            <w:pPr>
              <w:jc w:val="right"/>
              <w:rPr>
                <w:rFonts w:ascii="CAIXA Std Book" w:hAnsi="CAIXA Std Book" w:cs="MS Gothic"/>
                <w:color w:val="005CA9"/>
                <w:sz w:val="18"/>
                <w:szCs w:val="18"/>
              </w:rPr>
            </w:pPr>
            <w:r w:rsidRPr="00E20D21">
              <w:rPr>
                <w:rFonts w:ascii="CAIXA Std Book" w:hAnsi="CAIXA Std Book" w:cs="Arial"/>
                <w:color w:val="005CA9"/>
                <w:sz w:val="18"/>
                <w:szCs w:val="18"/>
              </w:rPr>
              <w:t>910.901</w:t>
            </w:r>
          </w:p>
        </w:tc>
      </w:tr>
      <w:tr w:rsidR="00F82262" w:rsidRPr="00E20D21" w14:paraId="3EB75EF1" w14:textId="77777777" w:rsidTr="00E84AD6">
        <w:trPr>
          <w:trHeight w:val="283"/>
        </w:trPr>
        <w:tc>
          <w:tcPr>
            <w:tcW w:w="3288" w:type="pct"/>
            <w:tcBorders>
              <w:top w:val="single" w:sz="4" w:space="0" w:color="F79646" w:themeColor="accent6"/>
              <w:left w:val="nil"/>
              <w:bottom w:val="single" w:sz="4" w:space="0" w:color="F79646"/>
              <w:right w:val="nil"/>
            </w:tcBorders>
            <w:shd w:val="clear" w:color="auto" w:fill="auto"/>
            <w:noWrap/>
            <w:vAlign w:val="center"/>
            <w:hideMark/>
          </w:tcPr>
          <w:p w14:paraId="2AACB725" w14:textId="77777777" w:rsidR="00F82262" w:rsidRPr="00E20D21" w:rsidRDefault="00F82262" w:rsidP="00F82262">
            <w:pPr>
              <w:rPr>
                <w:rFonts w:ascii="CAIXA Std Book" w:hAnsi="CAIXA Std Book" w:cs="MS Gothic"/>
                <w:b/>
                <w:color w:val="005CA9"/>
                <w:sz w:val="18"/>
                <w:szCs w:val="18"/>
              </w:rPr>
            </w:pPr>
            <w:r w:rsidRPr="00E20D21">
              <w:rPr>
                <w:rFonts w:ascii="CAIXA Std Book" w:hAnsi="CAIXA Std Book" w:cs="MS Gothic"/>
                <w:b/>
                <w:color w:val="005CA9"/>
                <w:sz w:val="18"/>
                <w:szCs w:val="18"/>
              </w:rPr>
              <w:t>Total</w:t>
            </w:r>
          </w:p>
        </w:tc>
        <w:tc>
          <w:tcPr>
            <w:tcW w:w="856" w:type="pct"/>
            <w:tcBorders>
              <w:top w:val="single" w:sz="6" w:space="0" w:color="F79646"/>
              <w:left w:val="nil"/>
              <w:bottom w:val="single" w:sz="6" w:space="0" w:color="F79646"/>
              <w:right w:val="nil"/>
            </w:tcBorders>
            <w:shd w:val="clear" w:color="auto" w:fill="auto"/>
            <w:vAlign w:val="center"/>
          </w:tcPr>
          <w:p w14:paraId="3EFAC7EE" w14:textId="2636F8F8" w:rsidR="00F82262" w:rsidRPr="00E20D21" w:rsidRDefault="008405DD" w:rsidP="00F82262">
            <w:pPr>
              <w:jc w:val="right"/>
              <w:rPr>
                <w:rFonts w:ascii="CAIXA Std Book" w:hAnsi="CAIXA Std Book" w:cs="Arial Unicode MS"/>
                <w:b/>
                <w:color w:val="005CA9"/>
                <w:sz w:val="18"/>
                <w:szCs w:val="18"/>
              </w:rPr>
            </w:pPr>
            <w:r w:rsidRPr="00E20D21">
              <w:rPr>
                <w:rFonts w:ascii="CAIXA Std Book" w:hAnsi="CAIXA Std Book" w:cs="Arial"/>
                <w:b/>
                <w:bCs/>
                <w:color w:val="005CA9"/>
                <w:sz w:val="18"/>
                <w:szCs w:val="18"/>
              </w:rPr>
              <w:t>21.123.125</w:t>
            </w:r>
          </w:p>
        </w:tc>
        <w:tc>
          <w:tcPr>
            <w:tcW w:w="856" w:type="pct"/>
            <w:tcBorders>
              <w:top w:val="single" w:sz="4" w:space="0" w:color="F39200"/>
              <w:left w:val="nil"/>
              <w:bottom w:val="single" w:sz="4" w:space="0" w:color="F79646"/>
              <w:right w:val="nil"/>
            </w:tcBorders>
            <w:shd w:val="clear" w:color="auto" w:fill="auto"/>
            <w:vAlign w:val="center"/>
          </w:tcPr>
          <w:p w14:paraId="35D4C5DC" w14:textId="41CD831E" w:rsidR="00F82262" w:rsidRPr="00E20D21" w:rsidRDefault="00F82262" w:rsidP="00F82262">
            <w:pPr>
              <w:jc w:val="right"/>
              <w:rPr>
                <w:rFonts w:ascii="CAIXA Std Book" w:hAnsi="CAIXA Std Book" w:cs="MS Gothic"/>
                <w:b/>
                <w:color w:val="005CA9"/>
                <w:sz w:val="18"/>
                <w:szCs w:val="18"/>
              </w:rPr>
            </w:pPr>
            <w:r w:rsidRPr="00E20D21">
              <w:rPr>
                <w:rFonts w:ascii="CAIXA Std Book" w:hAnsi="CAIXA Std Book" w:cs="Arial"/>
                <w:b/>
                <w:color w:val="005CA9"/>
                <w:sz w:val="18"/>
                <w:szCs w:val="18"/>
              </w:rPr>
              <w:t>20.751.842</w:t>
            </w:r>
          </w:p>
        </w:tc>
      </w:tr>
    </w:tbl>
    <w:p w14:paraId="39322093" w14:textId="77777777" w:rsidR="00473D8F" w:rsidRPr="00E20D21" w:rsidRDefault="00473D8F">
      <w:pPr>
        <w:rPr>
          <w:rFonts w:ascii="CAIXA Std Book" w:hAnsi="CAIXA Std Book"/>
          <w:b/>
          <w:color w:val="005CA9"/>
          <w:sz w:val="22"/>
          <w:szCs w:val="22"/>
        </w:rPr>
      </w:pPr>
      <w:bookmarkStart w:id="71" w:name="_Toc130828154"/>
      <w:bookmarkStart w:id="72" w:name="_Toc110535136"/>
      <w:bookmarkStart w:id="73" w:name="_Hlk65762595"/>
      <w:bookmarkEnd w:id="64"/>
      <w:bookmarkEnd w:id="65"/>
      <w:r w:rsidRPr="00E20D21">
        <w:rPr>
          <w:rFonts w:ascii="CAIXA Std Book" w:hAnsi="CAIXA Std Book"/>
        </w:rPr>
        <w:br w:type="page"/>
      </w:r>
    </w:p>
    <w:p w14:paraId="727EF2CD" w14:textId="052A0C9A" w:rsidR="003B762C" w:rsidRPr="00E20D21" w:rsidRDefault="003B762C" w:rsidP="00FD7768">
      <w:pPr>
        <w:pStyle w:val="Ttulo1"/>
      </w:pPr>
      <w:bookmarkStart w:id="74" w:name="_Toc175067960"/>
      <w:r w:rsidRPr="00E20D21">
        <w:lastRenderedPageBreak/>
        <w:t>Nota 20 – Tributos</w:t>
      </w:r>
      <w:bookmarkEnd w:id="71"/>
      <w:bookmarkEnd w:id="74"/>
    </w:p>
    <w:p w14:paraId="5DB1B7C1" w14:textId="77777777" w:rsidR="003B762C" w:rsidRPr="00E20D21" w:rsidRDefault="003B762C" w:rsidP="003B762C">
      <w:pPr>
        <w:keepNext/>
        <w:numPr>
          <w:ilvl w:val="0"/>
          <w:numId w:val="12"/>
        </w:numPr>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Demonstração da despesa de IRPJ e CSLL</w:t>
      </w:r>
    </w:p>
    <w:tbl>
      <w:tblPr>
        <w:tblW w:w="5035" w:type="pct"/>
        <w:tblCellMar>
          <w:left w:w="70" w:type="dxa"/>
          <w:right w:w="70" w:type="dxa"/>
        </w:tblCellMar>
        <w:tblLook w:val="04A0" w:firstRow="1" w:lastRow="0" w:firstColumn="1" w:lastColumn="0" w:noHBand="0" w:noVBand="1"/>
      </w:tblPr>
      <w:tblGrid>
        <w:gridCol w:w="4659"/>
        <w:gridCol w:w="1368"/>
        <w:gridCol w:w="1227"/>
        <w:gridCol w:w="1225"/>
        <w:gridCol w:w="1225"/>
      </w:tblGrid>
      <w:tr w:rsidR="0047112C" w:rsidRPr="00E20D21" w14:paraId="2F0A528B" w14:textId="77777777">
        <w:trPr>
          <w:trHeight w:val="283"/>
        </w:trPr>
        <w:tc>
          <w:tcPr>
            <w:tcW w:w="2401" w:type="pct"/>
            <w:vMerge w:val="restart"/>
            <w:tcBorders>
              <w:top w:val="single" w:sz="4" w:space="0" w:color="F39200"/>
              <w:left w:val="nil"/>
              <w:bottom w:val="single" w:sz="4" w:space="0" w:color="F39200"/>
              <w:right w:val="nil"/>
            </w:tcBorders>
            <w:shd w:val="clear" w:color="auto" w:fill="auto"/>
            <w:vAlign w:val="center"/>
            <w:hideMark/>
          </w:tcPr>
          <w:p w14:paraId="24D49742"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337" w:type="pct"/>
            <w:gridSpan w:val="2"/>
            <w:tcBorders>
              <w:top w:val="single" w:sz="4" w:space="0" w:color="F39200"/>
              <w:left w:val="nil"/>
              <w:bottom w:val="single" w:sz="4" w:space="0" w:color="F39200"/>
              <w:right w:val="nil"/>
            </w:tcBorders>
            <w:shd w:val="clear" w:color="auto" w:fill="auto"/>
            <w:vAlign w:val="center"/>
            <w:hideMark/>
          </w:tcPr>
          <w:p w14:paraId="0ABB869D"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262" w:type="pct"/>
            <w:gridSpan w:val="2"/>
            <w:tcBorders>
              <w:top w:val="single" w:sz="4" w:space="0" w:color="F39200"/>
              <w:left w:val="nil"/>
              <w:bottom w:val="single" w:sz="4" w:space="0" w:color="F39200"/>
              <w:right w:val="nil"/>
            </w:tcBorders>
            <w:shd w:val="clear" w:color="auto" w:fill="auto"/>
            <w:vAlign w:val="center"/>
            <w:hideMark/>
          </w:tcPr>
          <w:p w14:paraId="5727DB06"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47112C" w:rsidRPr="00E20D21" w14:paraId="467116FE" w14:textId="77777777">
        <w:trPr>
          <w:trHeight w:val="283"/>
        </w:trPr>
        <w:tc>
          <w:tcPr>
            <w:tcW w:w="2401" w:type="pct"/>
            <w:vMerge/>
            <w:tcBorders>
              <w:top w:val="single" w:sz="4" w:space="0" w:color="F39200"/>
              <w:left w:val="nil"/>
              <w:bottom w:val="single" w:sz="4" w:space="0" w:color="F39200"/>
              <w:right w:val="nil"/>
            </w:tcBorders>
            <w:vAlign w:val="center"/>
            <w:hideMark/>
          </w:tcPr>
          <w:p w14:paraId="3A0D5E69" w14:textId="77777777" w:rsidR="0047112C" w:rsidRPr="00E20D21" w:rsidRDefault="0047112C">
            <w:pPr>
              <w:rPr>
                <w:rFonts w:ascii="CAIXA Std Book" w:eastAsia="Times New Roman" w:hAnsi="CAIXA Std Book" w:cs="Arial"/>
                <w:b/>
                <w:bCs/>
                <w:color w:val="005CA9"/>
                <w:sz w:val="18"/>
                <w:szCs w:val="18"/>
              </w:rPr>
            </w:pPr>
          </w:p>
        </w:tc>
        <w:tc>
          <w:tcPr>
            <w:tcW w:w="705" w:type="pct"/>
            <w:tcBorders>
              <w:top w:val="nil"/>
              <w:left w:val="nil"/>
              <w:bottom w:val="single" w:sz="4" w:space="0" w:color="F39200"/>
              <w:right w:val="nil"/>
            </w:tcBorders>
            <w:shd w:val="clear" w:color="auto" w:fill="auto"/>
            <w:vAlign w:val="center"/>
            <w:hideMark/>
          </w:tcPr>
          <w:p w14:paraId="2DEBB9AA"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32" w:type="pct"/>
            <w:tcBorders>
              <w:top w:val="nil"/>
              <w:left w:val="nil"/>
              <w:bottom w:val="single" w:sz="4" w:space="0" w:color="F39200"/>
              <w:right w:val="nil"/>
            </w:tcBorders>
            <w:shd w:val="clear" w:color="auto" w:fill="auto"/>
            <w:vAlign w:val="center"/>
            <w:hideMark/>
          </w:tcPr>
          <w:p w14:paraId="473E683A"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631" w:type="pct"/>
            <w:tcBorders>
              <w:top w:val="nil"/>
              <w:left w:val="nil"/>
              <w:bottom w:val="single" w:sz="4" w:space="0" w:color="F39200"/>
              <w:right w:val="nil"/>
            </w:tcBorders>
            <w:shd w:val="clear" w:color="auto" w:fill="auto"/>
            <w:vAlign w:val="center"/>
            <w:hideMark/>
          </w:tcPr>
          <w:p w14:paraId="40315F1F"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31" w:type="pct"/>
            <w:tcBorders>
              <w:top w:val="nil"/>
              <w:left w:val="nil"/>
              <w:bottom w:val="single" w:sz="4" w:space="0" w:color="F39200"/>
              <w:right w:val="nil"/>
            </w:tcBorders>
            <w:shd w:val="clear" w:color="auto" w:fill="auto"/>
            <w:vAlign w:val="center"/>
            <w:hideMark/>
          </w:tcPr>
          <w:p w14:paraId="411B113D"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47112C" w:rsidRPr="00E20D21" w14:paraId="7EC47268" w14:textId="77777777">
        <w:trPr>
          <w:trHeight w:val="283"/>
        </w:trPr>
        <w:tc>
          <w:tcPr>
            <w:tcW w:w="2401" w:type="pct"/>
            <w:vMerge/>
            <w:tcBorders>
              <w:top w:val="single" w:sz="4" w:space="0" w:color="F39200"/>
              <w:left w:val="nil"/>
              <w:bottom w:val="single" w:sz="4" w:space="0" w:color="F39200"/>
              <w:right w:val="nil"/>
            </w:tcBorders>
            <w:vAlign w:val="center"/>
            <w:hideMark/>
          </w:tcPr>
          <w:p w14:paraId="7B8BF333" w14:textId="77777777" w:rsidR="0047112C" w:rsidRPr="00E20D21" w:rsidRDefault="0047112C">
            <w:pPr>
              <w:rPr>
                <w:rFonts w:ascii="CAIXA Std Book" w:eastAsia="Times New Roman" w:hAnsi="CAIXA Std Book" w:cs="Arial"/>
                <w:b/>
                <w:bCs/>
                <w:color w:val="005CA9"/>
                <w:sz w:val="18"/>
                <w:szCs w:val="18"/>
              </w:rPr>
            </w:pPr>
          </w:p>
        </w:tc>
        <w:tc>
          <w:tcPr>
            <w:tcW w:w="705" w:type="pct"/>
            <w:tcBorders>
              <w:top w:val="nil"/>
              <w:left w:val="nil"/>
              <w:bottom w:val="single" w:sz="4" w:space="0" w:color="F39200"/>
              <w:right w:val="nil"/>
            </w:tcBorders>
            <w:shd w:val="clear" w:color="auto" w:fill="auto"/>
            <w:vAlign w:val="center"/>
            <w:hideMark/>
          </w:tcPr>
          <w:p w14:paraId="42FDDF11"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32" w:type="pct"/>
            <w:tcBorders>
              <w:top w:val="nil"/>
              <w:left w:val="nil"/>
              <w:bottom w:val="single" w:sz="4" w:space="0" w:color="F39200"/>
              <w:right w:val="nil"/>
            </w:tcBorders>
            <w:shd w:val="clear" w:color="auto" w:fill="auto"/>
            <w:vAlign w:val="center"/>
            <w:hideMark/>
          </w:tcPr>
          <w:p w14:paraId="20636C9D"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31" w:type="pct"/>
            <w:tcBorders>
              <w:top w:val="nil"/>
              <w:left w:val="nil"/>
              <w:bottom w:val="single" w:sz="4" w:space="0" w:color="F39200"/>
              <w:right w:val="nil"/>
            </w:tcBorders>
            <w:shd w:val="clear" w:color="auto" w:fill="auto"/>
            <w:vAlign w:val="center"/>
            <w:hideMark/>
          </w:tcPr>
          <w:p w14:paraId="214A89EB"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31" w:type="pct"/>
            <w:tcBorders>
              <w:top w:val="nil"/>
              <w:left w:val="nil"/>
              <w:bottom w:val="single" w:sz="4" w:space="0" w:color="F39200"/>
              <w:right w:val="nil"/>
            </w:tcBorders>
            <w:shd w:val="clear" w:color="auto" w:fill="auto"/>
            <w:vAlign w:val="center"/>
            <w:hideMark/>
          </w:tcPr>
          <w:p w14:paraId="4399CFC4"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47112C" w:rsidRPr="00E20D21" w14:paraId="6F0909B0" w14:textId="77777777">
        <w:trPr>
          <w:trHeight w:val="283"/>
        </w:trPr>
        <w:tc>
          <w:tcPr>
            <w:tcW w:w="2401" w:type="pct"/>
            <w:tcBorders>
              <w:top w:val="nil"/>
              <w:left w:val="nil"/>
              <w:bottom w:val="nil"/>
              <w:right w:val="nil"/>
            </w:tcBorders>
            <w:shd w:val="clear" w:color="auto" w:fill="auto"/>
            <w:vAlign w:val="center"/>
            <w:hideMark/>
          </w:tcPr>
          <w:p w14:paraId="516608AD"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Tributos correntes</w:t>
            </w:r>
          </w:p>
        </w:tc>
        <w:tc>
          <w:tcPr>
            <w:tcW w:w="705" w:type="pct"/>
            <w:tcBorders>
              <w:top w:val="nil"/>
              <w:left w:val="nil"/>
              <w:bottom w:val="nil"/>
              <w:right w:val="nil"/>
            </w:tcBorders>
            <w:shd w:val="clear" w:color="auto" w:fill="auto"/>
            <w:vAlign w:val="center"/>
          </w:tcPr>
          <w:p w14:paraId="5267A94B"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(41.898)</w:t>
            </w:r>
          </w:p>
        </w:tc>
        <w:tc>
          <w:tcPr>
            <w:tcW w:w="632" w:type="pct"/>
            <w:tcBorders>
              <w:top w:val="nil"/>
              <w:left w:val="nil"/>
              <w:bottom w:val="nil"/>
              <w:right w:val="nil"/>
            </w:tcBorders>
            <w:shd w:val="clear" w:color="auto" w:fill="auto"/>
            <w:vAlign w:val="center"/>
          </w:tcPr>
          <w:p w14:paraId="6DD670EB"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(398.733)</w:t>
            </w:r>
          </w:p>
        </w:tc>
        <w:tc>
          <w:tcPr>
            <w:tcW w:w="631" w:type="pct"/>
            <w:tcBorders>
              <w:top w:val="nil"/>
              <w:left w:val="nil"/>
              <w:bottom w:val="nil"/>
              <w:right w:val="nil"/>
            </w:tcBorders>
            <w:shd w:val="clear" w:color="auto" w:fill="auto"/>
            <w:vAlign w:val="center"/>
          </w:tcPr>
          <w:p w14:paraId="56B6DCEF"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(646.232)</w:t>
            </w:r>
          </w:p>
        </w:tc>
        <w:tc>
          <w:tcPr>
            <w:tcW w:w="631" w:type="pct"/>
            <w:tcBorders>
              <w:top w:val="nil"/>
              <w:left w:val="nil"/>
              <w:bottom w:val="nil"/>
              <w:right w:val="nil"/>
            </w:tcBorders>
            <w:shd w:val="clear" w:color="auto" w:fill="auto"/>
            <w:vAlign w:val="center"/>
          </w:tcPr>
          <w:p w14:paraId="40469684"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(985.495)</w:t>
            </w:r>
          </w:p>
        </w:tc>
      </w:tr>
      <w:tr w:rsidR="0047112C" w:rsidRPr="00E20D21" w14:paraId="67BA7CDF" w14:textId="77777777">
        <w:trPr>
          <w:trHeight w:val="283"/>
        </w:trPr>
        <w:tc>
          <w:tcPr>
            <w:tcW w:w="2401" w:type="pct"/>
            <w:tcBorders>
              <w:top w:val="nil"/>
              <w:left w:val="nil"/>
              <w:bottom w:val="nil"/>
              <w:right w:val="nil"/>
            </w:tcBorders>
            <w:shd w:val="clear" w:color="auto" w:fill="auto"/>
            <w:vAlign w:val="center"/>
            <w:hideMark/>
          </w:tcPr>
          <w:p w14:paraId="48C58692"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Tributos diferidos</w:t>
            </w:r>
          </w:p>
        </w:tc>
        <w:tc>
          <w:tcPr>
            <w:tcW w:w="705" w:type="pct"/>
            <w:tcBorders>
              <w:top w:val="nil"/>
              <w:left w:val="nil"/>
              <w:bottom w:val="nil"/>
              <w:right w:val="nil"/>
            </w:tcBorders>
            <w:shd w:val="clear" w:color="auto" w:fill="auto"/>
            <w:vAlign w:val="center"/>
          </w:tcPr>
          <w:p w14:paraId="5CC85C97"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2.768.352</w:t>
            </w:r>
          </w:p>
        </w:tc>
        <w:tc>
          <w:tcPr>
            <w:tcW w:w="632" w:type="pct"/>
            <w:tcBorders>
              <w:top w:val="nil"/>
              <w:left w:val="nil"/>
              <w:bottom w:val="nil"/>
              <w:right w:val="nil"/>
            </w:tcBorders>
            <w:shd w:val="clear" w:color="auto" w:fill="auto"/>
            <w:vAlign w:val="center"/>
          </w:tcPr>
          <w:p w14:paraId="0D94E69F"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2.707.213</w:t>
            </w:r>
          </w:p>
        </w:tc>
        <w:tc>
          <w:tcPr>
            <w:tcW w:w="631" w:type="pct"/>
            <w:tcBorders>
              <w:top w:val="nil"/>
              <w:left w:val="nil"/>
              <w:bottom w:val="nil"/>
              <w:right w:val="nil"/>
            </w:tcBorders>
            <w:shd w:val="clear" w:color="auto" w:fill="auto"/>
            <w:vAlign w:val="center"/>
          </w:tcPr>
          <w:p w14:paraId="24602C78"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2.764.819</w:t>
            </w:r>
          </w:p>
        </w:tc>
        <w:tc>
          <w:tcPr>
            <w:tcW w:w="631" w:type="pct"/>
            <w:tcBorders>
              <w:top w:val="nil"/>
              <w:left w:val="nil"/>
              <w:bottom w:val="nil"/>
              <w:right w:val="nil"/>
            </w:tcBorders>
            <w:shd w:val="clear" w:color="auto" w:fill="auto"/>
            <w:vAlign w:val="center"/>
          </w:tcPr>
          <w:p w14:paraId="1896AEBE"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2.703.469</w:t>
            </w:r>
          </w:p>
        </w:tc>
      </w:tr>
      <w:tr w:rsidR="0047112C" w:rsidRPr="00E20D21" w14:paraId="2B8B1490" w14:textId="77777777">
        <w:trPr>
          <w:trHeight w:val="283"/>
        </w:trPr>
        <w:tc>
          <w:tcPr>
            <w:tcW w:w="2401" w:type="pct"/>
            <w:tcBorders>
              <w:top w:val="nil"/>
              <w:left w:val="nil"/>
              <w:bottom w:val="nil"/>
              <w:right w:val="nil"/>
            </w:tcBorders>
            <w:shd w:val="clear" w:color="auto" w:fill="auto"/>
            <w:vAlign w:val="center"/>
            <w:hideMark/>
          </w:tcPr>
          <w:p w14:paraId="78556CA5" w14:textId="77777777" w:rsidR="0047112C" w:rsidRPr="00E20D21" w:rsidRDefault="0047112C">
            <w:pPr>
              <w:ind w:firstLineChars="100" w:firstLine="181"/>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Passivo fiscal diferido </w:t>
            </w:r>
          </w:p>
        </w:tc>
        <w:tc>
          <w:tcPr>
            <w:tcW w:w="705" w:type="pct"/>
            <w:tcBorders>
              <w:top w:val="nil"/>
              <w:left w:val="nil"/>
              <w:bottom w:val="nil"/>
              <w:right w:val="nil"/>
            </w:tcBorders>
            <w:shd w:val="clear" w:color="auto" w:fill="auto"/>
            <w:vAlign w:val="center"/>
          </w:tcPr>
          <w:p w14:paraId="0035FCE4"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729.959</w:t>
            </w:r>
          </w:p>
        </w:tc>
        <w:tc>
          <w:tcPr>
            <w:tcW w:w="632" w:type="pct"/>
            <w:tcBorders>
              <w:top w:val="nil"/>
              <w:left w:val="nil"/>
              <w:bottom w:val="nil"/>
              <w:right w:val="nil"/>
            </w:tcBorders>
            <w:shd w:val="clear" w:color="auto" w:fill="auto"/>
            <w:vAlign w:val="center"/>
          </w:tcPr>
          <w:p w14:paraId="32336F8D"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(244.173)</w:t>
            </w:r>
          </w:p>
        </w:tc>
        <w:tc>
          <w:tcPr>
            <w:tcW w:w="631" w:type="pct"/>
            <w:tcBorders>
              <w:top w:val="nil"/>
              <w:left w:val="nil"/>
              <w:bottom w:val="nil"/>
              <w:right w:val="nil"/>
            </w:tcBorders>
            <w:shd w:val="clear" w:color="auto" w:fill="auto"/>
            <w:vAlign w:val="center"/>
          </w:tcPr>
          <w:p w14:paraId="7A4B3AF4"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726.166</w:t>
            </w:r>
          </w:p>
        </w:tc>
        <w:tc>
          <w:tcPr>
            <w:tcW w:w="631" w:type="pct"/>
            <w:tcBorders>
              <w:top w:val="nil"/>
              <w:left w:val="nil"/>
              <w:bottom w:val="nil"/>
              <w:right w:val="nil"/>
            </w:tcBorders>
            <w:shd w:val="clear" w:color="auto" w:fill="auto"/>
            <w:vAlign w:val="center"/>
          </w:tcPr>
          <w:p w14:paraId="33219CDA"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(247.917)</w:t>
            </w:r>
          </w:p>
        </w:tc>
      </w:tr>
      <w:tr w:rsidR="0047112C" w:rsidRPr="00E20D21" w14:paraId="7721E76D" w14:textId="77777777">
        <w:trPr>
          <w:trHeight w:val="283"/>
        </w:trPr>
        <w:tc>
          <w:tcPr>
            <w:tcW w:w="2401" w:type="pct"/>
            <w:tcBorders>
              <w:top w:val="nil"/>
              <w:left w:val="nil"/>
              <w:bottom w:val="nil"/>
              <w:right w:val="nil"/>
            </w:tcBorders>
            <w:shd w:val="clear" w:color="auto" w:fill="auto"/>
            <w:vAlign w:val="center"/>
            <w:hideMark/>
          </w:tcPr>
          <w:p w14:paraId="11A0A917" w14:textId="77777777" w:rsidR="0047112C" w:rsidRPr="00E20D21" w:rsidRDefault="0047112C">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Títulos para negociação/Objeto de </w:t>
            </w:r>
            <w:r w:rsidRPr="00E20D21">
              <w:rPr>
                <w:rFonts w:ascii="CAIXA Std Book" w:eastAsia="Times New Roman" w:hAnsi="CAIXA Std Book" w:cs="Arial"/>
                <w:i/>
                <w:iCs/>
                <w:color w:val="005CA9"/>
                <w:sz w:val="18"/>
                <w:szCs w:val="18"/>
              </w:rPr>
              <w:t>hedge</w:t>
            </w:r>
          </w:p>
        </w:tc>
        <w:tc>
          <w:tcPr>
            <w:tcW w:w="705" w:type="pct"/>
            <w:tcBorders>
              <w:top w:val="nil"/>
              <w:left w:val="nil"/>
              <w:bottom w:val="nil"/>
              <w:right w:val="nil"/>
            </w:tcBorders>
            <w:shd w:val="clear" w:color="auto" w:fill="auto"/>
            <w:vAlign w:val="center"/>
          </w:tcPr>
          <w:p w14:paraId="5B83837D" w14:textId="77777777" w:rsidR="0047112C" w:rsidRPr="00E20D21" w:rsidRDefault="0047112C">
            <w:pPr>
              <w:ind w:firstLineChars="200" w:firstLine="36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859.828</w:t>
            </w:r>
          </w:p>
        </w:tc>
        <w:tc>
          <w:tcPr>
            <w:tcW w:w="632" w:type="pct"/>
            <w:tcBorders>
              <w:top w:val="nil"/>
              <w:left w:val="nil"/>
              <w:bottom w:val="nil"/>
              <w:right w:val="nil"/>
            </w:tcBorders>
            <w:shd w:val="clear" w:color="auto" w:fill="auto"/>
            <w:vAlign w:val="center"/>
          </w:tcPr>
          <w:p w14:paraId="5F582BB9"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(217.084)</w:t>
            </w:r>
          </w:p>
        </w:tc>
        <w:tc>
          <w:tcPr>
            <w:tcW w:w="631" w:type="pct"/>
            <w:tcBorders>
              <w:top w:val="nil"/>
              <w:left w:val="nil"/>
              <w:bottom w:val="nil"/>
              <w:right w:val="nil"/>
            </w:tcBorders>
            <w:shd w:val="clear" w:color="auto" w:fill="auto"/>
            <w:vAlign w:val="center"/>
          </w:tcPr>
          <w:p w14:paraId="549245D4"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859.828</w:t>
            </w:r>
          </w:p>
        </w:tc>
        <w:tc>
          <w:tcPr>
            <w:tcW w:w="631" w:type="pct"/>
            <w:tcBorders>
              <w:top w:val="nil"/>
              <w:left w:val="nil"/>
              <w:bottom w:val="nil"/>
              <w:right w:val="nil"/>
            </w:tcBorders>
            <w:shd w:val="clear" w:color="auto" w:fill="auto"/>
            <w:vAlign w:val="center"/>
          </w:tcPr>
          <w:p w14:paraId="0A8DA5E5"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(217.084)</w:t>
            </w:r>
          </w:p>
        </w:tc>
      </w:tr>
      <w:tr w:rsidR="0047112C" w:rsidRPr="00E20D21" w14:paraId="722F5898" w14:textId="77777777">
        <w:trPr>
          <w:trHeight w:val="283"/>
        </w:trPr>
        <w:tc>
          <w:tcPr>
            <w:tcW w:w="2401" w:type="pct"/>
            <w:tcBorders>
              <w:top w:val="nil"/>
              <w:left w:val="nil"/>
              <w:bottom w:val="nil"/>
              <w:right w:val="nil"/>
            </w:tcBorders>
            <w:shd w:val="clear" w:color="auto" w:fill="auto"/>
            <w:vAlign w:val="center"/>
            <w:hideMark/>
          </w:tcPr>
          <w:p w14:paraId="6AB84B5D" w14:textId="77777777" w:rsidR="0047112C" w:rsidRPr="00E20D21" w:rsidRDefault="0047112C">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 em garantia</w:t>
            </w:r>
          </w:p>
        </w:tc>
        <w:tc>
          <w:tcPr>
            <w:tcW w:w="705" w:type="pct"/>
            <w:tcBorders>
              <w:top w:val="nil"/>
              <w:left w:val="nil"/>
              <w:bottom w:val="nil"/>
              <w:right w:val="nil"/>
            </w:tcBorders>
            <w:shd w:val="clear" w:color="auto" w:fill="auto"/>
            <w:vAlign w:val="center"/>
          </w:tcPr>
          <w:p w14:paraId="3B3017E9" w14:textId="77777777" w:rsidR="0047112C" w:rsidRPr="00E20D21" w:rsidRDefault="0047112C">
            <w:pPr>
              <w:ind w:firstLineChars="200" w:firstLine="36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(129.869)</w:t>
            </w:r>
          </w:p>
        </w:tc>
        <w:tc>
          <w:tcPr>
            <w:tcW w:w="632" w:type="pct"/>
            <w:tcBorders>
              <w:top w:val="nil"/>
              <w:left w:val="nil"/>
              <w:bottom w:val="nil"/>
              <w:right w:val="nil"/>
            </w:tcBorders>
            <w:shd w:val="clear" w:color="auto" w:fill="auto"/>
            <w:vAlign w:val="center"/>
          </w:tcPr>
          <w:p w14:paraId="3F12196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(27.089)</w:t>
            </w:r>
          </w:p>
        </w:tc>
        <w:tc>
          <w:tcPr>
            <w:tcW w:w="631" w:type="pct"/>
            <w:tcBorders>
              <w:top w:val="nil"/>
              <w:left w:val="nil"/>
              <w:bottom w:val="nil"/>
              <w:right w:val="nil"/>
            </w:tcBorders>
            <w:shd w:val="clear" w:color="auto" w:fill="auto"/>
            <w:vAlign w:val="center"/>
          </w:tcPr>
          <w:p w14:paraId="3465D432"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(129.869)</w:t>
            </w:r>
          </w:p>
        </w:tc>
        <w:tc>
          <w:tcPr>
            <w:tcW w:w="631" w:type="pct"/>
            <w:tcBorders>
              <w:top w:val="nil"/>
              <w:left w:val="nil"/>
              <w:bottom w:val="nil"/>
              <w:right w:val="nil"/>
            </w:tcBorders>
            <w:shd w:val="clear" w:color="auto" w:fill="auto"/>
            <w:vAlign w:val="center"/>
          </w:tcPr>
          <w:p w14:paraId="418A5017"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(27.089)</w:t>
            </w:r>
          </w:p>
        </w:tc>
      </w:tr>
      <w:tr w:rsidR="0047112C" w:rsidRPr="00E20D21" w14:paraId="04B35075" w14:textId="77777777">
        <w:trPr>
          <w:trHeight w:val="283"/>
        </w:trPr>
        <w:tc>
          <w:tcPr>
            <w:tcW w:w="2401" w:type="pct"/>
            <w:tcBorders>
              <w:top w:val="nil"/>
              <w:left w:val="nil"/>
              <w:bottom w:val="nil"/>
              <w:right w:val="nil"/>
            </w:tcBorders>
            <w:shd w:val="clear" w:color="auto" w:fill="auto"/>
            <w:vAlign w:val="center"/>
            <w:hideMark/>
          </w:tcPr>
          <w:p w14:paraId="1D66C20C" w14:textId="77777777" w:rsidR="0047112C" w:rsidRPr="00E20D21" w:rsidRDefault="0047112C">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705" w:type="pct"/>
            <w:tcBorders>
              <w:top w:val="nil"/>
              <w:left w:val="nil"/>
              <w:bottom w:val="nil"/>
              <w:right w:val="nil"/>
            </w:tcBorders>
            <w:shd w:val="clear" w:color="auto" w:fill="auto"/>
            <w:vAlign w:val="center"/>
          </w:tcPr>
          <w:p w14:paraId="0A2EFF89" w14:textId="77777777" w:rsidR="0047112C" w:rsidRPr="00E20D21" w:rsidRDefault="0047112C">
            <w:pPr>
              <w:ind w:firstLineChars="200" w:firstLine="360"/>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632" w:type="pct"/>
            <w:tcBorders>
              <w:top w:val="nil"/>
              <w:left w:val="nil"/>
              <w:bottom w:val="nil"/>
              <w:right w:val="nil"/>
            </w:tcBorders>
            <w:shd w:val="clear" w:color="auto" w:fill="auto"/>
            <w:vAlign w:val="center"/>
          </w:tcPr>
          <w:p w14:paraId="480DCE96"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631" w:type="pct"/>
            <w:tcBorders>
              <w:top w:val="nil"/>
              <w:left w:val="nil"/>
              <w:bottom w:val="nil"/>
              <w:right w:val="nil"/>
            </w:tcBorders>
            <w:shd w:val="clear" w:color="auto" w:fill="auto"/>
            <w:vAlign w:val="center"/>
          </w:tcPr>
          <w:p w14:paraId="54BB2396"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(3.793)</w:t>
            </w:r>
          </w:p>
        </w:tc>
        <w:tc>
          <w:tcPr>
            <w:tcW w:w="631" w:type="pct"/>
            <w:tcBorders>
              <w:top w:val="nil"/>
              <w:left w:val="nil"/>
              <w:bottom w:val="nil"/>
              <w:right w:val="nil"/>
            </w:tcBorders>
            <w:shd w:val="clear" w:color="auto" w:fill="auto"/>
            <w:vAlign w:val="center"/>
          </w:tcPr>
          <w:p w14:paraId="2A511C3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(3.744)</w:t>
            </w:r>
          </w:p>
        </w:tc>
      </w:tr>
      <w:tr w:rsidR="0047112C" w:rsidRPr="00E20D21" w14:paraId="18A8A25B" w14:textId="77777777">
        <w:trPr>
          <w:trHeight w:val="283"/>
        </w:trPr>
        <w:tc>
          <w:tcPr>
            <w:tcW w:w="2401" w:type="pct"/>
            <w:tcBorders>
              <w:top w:val="nil"/>
              <w:left w:val="nil"/>
              <w:bottom w:val="nil"/>
              <w:right w:val="nil"/>
            </w:tcBorders>
            <w:shd w:val="clear" w:color="auto" w:fill="auto"/>
            <w:vAlign w:val="center"/>
            <w:hideMark/>
          </w:tcPr>
          <w:p w14:paraId="6E224502" w14:textId="77777777" w:rsidR="0047112C" w:rsidRPr="00E20D21" w:rsidRDefault="0047112C">
            <w:pPr>
              <w:ind w:firstLineChars="100" w:firstLine="181"/>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Ativo Fiscal Diferido </w:t>
            </w:r>
          </w:p>
        </w:tc>
        <w:tc>
          <w:tcPr>
            <w:tcW w:w="705" w:type="pct"/>
            <w:tcBorders>
              <w:top w:val="nil"/>
              <w:left w:val="nil"/>
              <w:bottom w:val="nil"/>
              <w:right w:val="nil"/>
            </w:tcBorders>
            <w:shd w:val="clear" w:color="auto" w:fill="auto"/>
            <w:vAlign w:val="center"/>
          </w:tcPr>
          <w:p w14:paraId="33BE59E2"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2.038.393</w:t>
            </w:r>
          </w:p>
        </w:tc>
        <w:tc>
          <w:tcPr>
            <w:tcW w:w="632" w:type="pct"/>
            <w:tcBorders>
              <w:top w:val="nil"/>
              <w:left w:val="nil"/>
              <w:bottom w:val="nil"/>
              <w:right w:val="nil"/>
            </w:tcBorders>
            <w:shd w:val="clear" w:color="auto" w:fill="auto"/>
            <w:vAlign w:val="center"/>
          </w:tcPr>
          <w:p w14:paraId="288B0C31"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2.951.386</w:t>
            </w:r>
          </w:p>
        </w:tc>
        <w:tc>
          <w:tcPr>
            <w:tcW w:w="631" w:type="pct"/>
            <w:tcBorders>
              <w:top w:val="nil"/>
              <w:left w:val="nil"/>
              <w:bottom w:val="nil"/>
              <w:right w:val="nil"/>
            </w:tcBorders>
            <w:shd w:val="clear" w:color="auto" w:fill="auto"/>
            <w:vAlign w:val="center"/>
          </w:tcPr>
          <w:p w14:paraId="795F8C83"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2.038.653</w:t>
            </w:r>
          </w:p>
        </w:tc>
        <w:tc>
          <w:tcPr>
            <w:tcW w:w="631" w:type="pct"/>
            <w:tcBorders>
              <w:top w:val="nil"/>
              <w:left w:val="nil"/>
              <w:bottom w:val="nil"/>
              <w:right w:val="nil"/>
            </w:tcBorders>
            <w:shd w:val="clear" w:color="auto" w:fill="auto"/>
            <w:vAlign w:val="center"/>
          </w:tcPr>
          <w:p w14:paraId="619E8030"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2.951.386</w:t>
            </w:r>
          </w:p>
        </w:tc>
      </w:tr>
      <w:tr w:rsidR="0047112C" w:rsidRPr="00E20D21" w14:paraId="0A4C81C1" w14:textId="77777777">
        <w:trPr>
          <w:trHeight w:val="283"/>
        </w:trPr>
        <w:tc>
          <w:tcPr>
            <w:tcW w:w="2401" w:type="pct"/>
            <w:tcBorders>
              <w:top w:val="nil"/>
              <w:left w:val="nil"/>
              <w:bottom w:val="nil"/>
              <w:right w:val="nil"/>
            </w:tcBorders>
            <w:shd w:val="clear" w:color="auto" w:fill="auto"/>
            <w:vAlign w:val="center"/>
            <w:hideMark/>
          </w:tcPr>
          <w:p w14:paraId="18694CA3" w14:textId="77777777" w:rsidR="0047112C" w:rsidRPr="00E20D21" w:rsidRDefault="0047112C">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Diferenças temporárias - constituição/ realização</w:t>
            </w:r>
          </w:p>
        </w:tc>
        <w:tc>
          <w:tcPr>
            <w:tcW w:w="705" w:type="pct"/>
            <w:tcBorders>
              <w:top w:val="nil"/>
              <w:left w:val="nil"/>
              <w:bottom w:val="nil"/>
              <w:right w:val="nil"/>
            </w:tcBorders>
            <w:shd w:val="clear" w:color="auto" w:fill="auto"/>
            <w:vAlign w:val="center"/>
          </w:tcPr>
          <w:p w14:paraId="1AADB8F2" w14:textId="77777777" w:rsidR="0047112C" w:rsidRPr="00E20D21" w:rsidRDefault="0047112C">
            <w:pPr>
              <w:ind w:firstLineChars="200" w:firstLine="360"/>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2.789.066</w:t>
            </w:r>
          </w:p>
        </w:tc>
        <w:tc>
          <w:tcPr>
            <w:tcW w:w="632" w:type="pct"/>
            <w:tcBorders>
              <w:top w:val="nil"/>
              <w:left w:val="nil"/>
              <w:bottom w:val="nil"/>
              <w:right w:val="nil"/>
            </w:tcBorders>
            <w:shd w:val="clear" w:color="auto" w:fill="auto"/>
            <w:vAlign w:val="center"/>
          </w:tcPr>
          <w:p w14:paraId="159CEA7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3.118.275</w:t>
            </w:r>
          </w:p>
        </w:tc>
        <w:tc>
          <w:tcPr>
            <w:tcW w:w="631" w:type="pct"/>
            <w:tcBorders>
              <w:top w:val="nil"/>
              <w:left w:val="nil"/>
              <w:bottom w:val="nil"/>
              <w:right w:val="nil"/>
            </w:tcBorders>
            <w:shd w:val="clear" w:color="auto" w:fill="auto"/>
            <w:vAlign w:val="center"/>
          </w:tcPr>
          <w:p w14:paraId="3FDAB250"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2.789.326</w:t>
            </w:r>
          </w:p>
        </w:tc>
        <w:tc>
          <w:tcPr>
            <w:tcW w:w="631" w:type="pct"/>
            <w:tcBorders>
              <w:top w:val="nil"/>
              <w:left w:val="nil"/>
              <w:bottom w:val="nil"/>
              <w:right w:val="nil"/>
            </w:tcBorders>
            <w:shd w:val="clear" w:color="auto" w:fill="auto"/>
            <w:vAlign w:val="center"/>
          </w:tcPr>
          <w:p w14:paraId="43F788EB"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3.118.275</w:t>
            </w:r>
          </w:p>
        </w:tc>
      </w:tr>
      <w:tr w:rsidR="0047112C" w:rsidRPr="00E20D21" w14:paraId="7C9F23E8" w14:textId="77777777">
        <w:trPr>
          <w:trHeight w:val="283"/>
        </w:trPr>
        <w:tc>
          <w:tcPr>
            <w:tcW w:w="2401" w:type="pct"/>
            <w:tcBorders>
              <w:top w:val="nil"/>
              <w:left w:val="nil"/>
              <w:bottom w:val="nil"/>
              <w:right w:val="nil"/>
            </w:tcBorders>
            <w:shd w:val="clear" w:color="auto" w:fill="auto"/>
            <w:vAlign w:val="center"/>
            <w:hideMark/>
          </w:tcPr>
          <w:p w14:paraId="341A8F8C" w14:textId="77777777" w:rsidR="0047112C" w:rsidRPr="00E20D21" w:rsidRDefault="0047112C">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Prejuízo fiscal/Base negativa </w:t>
            </w:r>
          </w:p>
        </w:tc>
        <w:tc>
          <w:tcPr>
            <w:tcW w:w="705" w:type="pct"/>
            <w:tcBorders>
              <w:top w:val="nil"/>
              <w:left w:val="nil"/>
              <w:bottom w:val="single" w:sz="4" w:space="0" w:color="F39200"/>
              <w:right w:val="nil"/>
            </w:tcBorders>
            <w:shd w:val="clear" w:color="auto" w:fill="auto"/>
            <w:vAlign w:val="center"/>
          </w:tcPr>
          <w:p w14:paraId="7A01BDCE"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(750.673)</w:t>
            </w:r>
          </w:p>
        </w:tc>
        <w:tc>
          <w:tcPr>
            <w:tcW w:w="632" w:type="pct"/>
            <w:tcBorders>
              <w:top w:val="nil"/>
              <w:left w:val="nil"/>
              <w:bottom w:val="single" w:sz="4" w:space="0" w:color="F39200"/>
              <w:right w:val="nil"/>
            </w:tcBorders>
            <w:shd w:val="clear" w:color="auto" w:fill="auto"/>
            <w:vAlign w:val="center"/>
          </w:tcPr>
          <w:p w14:paraId="2FDB80C6"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(166.889)</w:t>
            </w:r>
          </w:p>
        </w:tc>
        <w:tc>
          <w:tcPr>
            <w:tcW w:w="631" w:type="pct"/>
            <w:tcBorders>
              <w:top w:val="nil"/>
              <w:left w:val="nil"/>
              <w:bottom w:val="single" w:sz="4" w:space="0" w:color="F39200"/>
              <w:right w:val="nil"/>
            </w:tcBorders>
            <w:shd w:val="clear" w:color="auto" w:fill="auto"/>
            <w:vAlign w:val="center"/>
          </w:tcPr>
          <w:p w14:paraId="12E7E60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(750.673)</w:t>
            </w:r>
          </w:p>
        </w:tc>
        <w:tc>
          <w:tcPr>
            <w:tcW w:w="631" w:type="pct"/>
            <w:tcBorders>
              <w:top w:val="nil"/>
              <w:left w:val="nil"/>
              <w:bottom w:val="single" w:sz="4" w:space="0" w:color="F39200"/>
              <w:right w:val="nil"/>
            </w:tcBorders>
            <w:shd w:val="clear" w:color="auto" w:fill="auto"/>
            <w:vAlign w:val="center"/>
          </w:tcPr>
          <w:p w14:paraId="656F5F12"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(166.889)</w:t>
            </w:r>
          </w:p>
        </w:tc>
      </w:tr>
      <w:tr w:rsidR="0047112C" w:rsidRPr="00E20D21" w14:paraId="3D081490" w14:textId="77777777">
        <w:trPr>
          <w:trHeight w:val="283"/>
        </w:trPr>
        <w:tc>
          <w:tcPr>
            <w:tcW w:w="2401" w:type="pct"/>
            <w:tcBorders>
              <w:top w:val="single" w:sz="4" w:space="0" w:color="F39200"/>
              <w:left w:val="nil"/>
              <w:bottom w:val="single" w:sz="4" w:space="0" w:color="F39200"/>
              <w:right w:val="nil"/>
            </w:tcBorders>
            <w:shd w:val="clear" w:color="auto" w:fill="auto"/>
            <w:noWrap/>
            <w:vAlign w:val="center"/>
            <w:hideMark/>
          </w:tcPr>
          <w:p w14:paraId="00316A7B"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Imposto de Renda e Contribuição Social do Período</w:t>
            </w:r>
          </w:p>
        </w:tc>
        <w:tc>
          <w:tcPr>
            <w:tcW w:w="705" w:type="pct"/>
            <w:tcBorders>
              <w:top w:val="nil"/>
              <w:left w:val="nil"/>
              <w:bottom w:val="single" w:sz="4" w:space="0" w:color="F39200"/>
              <w:right w:val="nil"/>
            </w:tcBorders>
            <w:shd w:val="clear" w:color="auto" w:fill="auto"/>
            <w:noWrap/>
            <w:vAlign w:val="center"/>
          </w:tcPr>
          <w:p w14:paraId="02CE9314"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2.726.454</w:t>
            </w:r>
          </w:p>
        </w:tc>
        <w:tc>
          <w:tcPr>
            <w:tcW w:w="632" w:type="pct"/>
            <w:tcBorders>
              <w:top w:val="nil"/>
              <w:left w:val="nil"/>
              <w:bottom w:val="single" w:sz="4" w:space="0" w:color="F39200"/>
              <w:right w:val="nil"/>
            </w:tcBorders>
            <w:shd w:val="clear" w:color="auto" w:fill="auto"/>
            <w:noWrap/>
            <w:vAlign w:val="center"/>
          </w:tcPr>
          <w:p w14:paraId="49ED280E"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2.308.480</w:t>
            </w:r>
          </w:p>
        </w:tc>
        <w:tc>
          <w:tcPr>
            <w:tcW w:w="631" w:type="pct"/>
            <w:tcBorders>
              <w:top w:val="nil"/>
              <w:left w:val="nil"/>
              <w:bottom w:val="single" w:sz="4" w:space="0" w:color="F39200"/>
              <w:right w:val="nil"/>
            </w:tcBorders>
            <w:shd w:val="clear" w:color="auto" w:fill="auto"/>
            <w:noWrap/>
            <w:vAlign w:val="center"/>
          </w:tcPr>
          <w:p w14:paraId="2A26755F"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2.118.587</w:t>
            </w:r>
          </w:p>
        </w:tc>
        <w:tc>
          <w:tcPr>
            <w:tcW w:w="631" w:type="pct"/>
            <w:tcBorders>
              <w:top w:val="nil"/>
              <w:left w:val="nil"/>
              <w:bottom w:val="single" w:sz="4" w:space="0" w:color="F39200"/>
              <w:right w:val="nil"/>
            </w:tcBorders>
            <w:shd w:val="clear" w:color="auto" w:fill="auto"/>
            <w:noWrap/>
            <w:vAlign w:val="center"/>
          </w:tcPr>
          <w:p w14:paraId="20717E54"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1.717.974</w:t>
            </w:r>
          </w:p>
        </w:tc>
      </w:tr>
    </w:tbl>
    <w:p w14:paraId="26619541" w14:textId="257F9825" w:rsidR="00D07531" w:rsidRPr="00E20D21" w:rsidRDefault="00D07531" w:rsidP="00051BF7">
      <w:pPr>
        <w:keepNext/>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(b)</w:t>
      </w:r>
      <w:r w:rsidR="00742D90" w:rsidRPr="00E20D21">
        <w:rPr>
          <w:rFonts w:ascii="CAIXA Std Book" w:hAnsi="CAIXA Std Book"/>
          <w:b/>
          <w:color w:val="005CA9"/>
          <w:sz w:val="20"/>
          <w:szCs w:val="20"/>
        </w:rPr>
        <w:tab/>
      </w:r>
      <w:r w:rsidRPr="00E20D21">
        <w:rPr>
          <w:rFonts w:ascii="CAIXA Std Book" w:hAnsi="CAIXA Std Book"/>
          <w:b/>
          <w:color w:val="005CA9"/>
          <w:sz w:val="20"/>
          <w:szCs w:val="20"/>
        </w:rPr>
        <w:t>Demonstração do cálculo dos encargos com IRPJ e CSLL</w:t>
      </w:r>
    </w:p>
    <w:tbl>
      <w:tblPr>
        <w:tblW w:w="5000" w:type="pct"/>
        <w:tblCellMar>
          <w:left w:w="70" w:type="dxa"/>
          <w:right w:w="70" w:type="dxa"/>
        </w:tblCellMar>
        <w:tblLook w:val="04A0" w:firstRow="1" w:lastRow="0" w:firstColumn="1" w:lastColumn="0" w:noHBand="0" w:noVBand="1"/>
      </w:tblPr>
      <w:tblGrid>
        <w:gridCol w:w="4686"/>
        <w:gridCol w:w="1239"/>
        <w:gridCol w:w="1239"/>
        <w:gridCol w:w="1239"/>
        <w:gridCol w:w="1234"/>
      </w:tblGrid>
      <w:tr w:rsidR="0047112C" w:rsidRPr="00E20D21" w14:paraId="4320103A" w14:textId="77777777">
        <w:trPr>
          <w:trHeight w:val="283"/>
        </w:trPr>
        <w:tc>
          <w:tcPr>
            <w:tcW w:w="2431" w:type="pct"/>
            <w:vMerge w:val="restart"/>
            <w:tcBorders>
              <w:top w:val="single" w:sz="4" w:space="0" w:color="F39200"/>
              <w:left w:val="nil"/>
              <w:bottom w:val="single" w:sz="4" w:space="0" w:color="F39200"/>
              <w:right w:val="nil"/>
            </w:tcBorders>
            <w:shd w:val="clear" w:color="auto" w:fill="auto"/>
            <w:vAlign w:val="center"/>
            <w:hideMark/>
          </w:tcPr>
          <w:p w14:paraId="6040DCA2"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286" w:type="pct"/>
            <w:gridSpan w:val="2"/>
            <w:tcBorders>
              <w:top w:val="single" w:sz="4" w:space="0" w:color="F39200"/>
              <w:left w:val="nil"/>
              <w:bottom w:val="single" w:sz="4" w:space="0" w:color="F39200"/>
              <w:right w:val="nil"/>
            </w:tcBorders>
            <w:shd w:val="clear" w:color="auto" w:fill="auto"/>
            <w:vAlign w:val="center"/>
            <w:hideMark/>
          </w:tcPr>
          <w:p w14:paraId="335D1815"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283" w:type="pct"/>
            <w:gridSpan w:val="2"/>
            <w:tcBorders>
              <w:top w:val="single" w:sz="4" w:space="0" w:color="F39200"/>
              <w:left w:val="nil"/>
              <w:bottom w:val="single" w:sz="4" w:space="0" w:color="F39200"/>
              <w:right w:val="nil"/>
            </w:tcBorders>
            <w:shd w:val="clear" w:color="auto" w:fill="auto"/>
            <w:vAlign w:val="center"/>
            <w:hideMark/>
          </w:tcPr>
          <w:p w14:paraId="1571A051"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47112C" w:rsidRPr="00E20D21" w14:paraId="6A835CCB" w14:textId="77777777">
        <w:trPr>
          <w:trHeight w:val="283"/>
        </w:trPr>
        <w:tc>
          <w:tcPr>
            <w:tcW w:w="2431" w:type="pct"/>
            <w:vMerge/>
            <w:tcBorders>
              <w:top w:val="single" w:sz="4" w:space="0" w:color="F39200"/>
              <w:left w:val="nil"/>
              <w:bottom w:val="single" w:sz="4" w:space="0" w:color="F39200"/>
              <w:right w:val="nil"/>
            </w:tcBorders>
            <w:vAlign w:val="center"/>
            <w:hideMark/>
          </w:tcPr>
          <w:p w14:paraId="401B61E1" w14:textId="77777777" w:rsidR="0047112C" w:rsidRPr="00E20D21" w:rsidRDefault="0047112C">
            <w:pPr>
              <w:rPr>
                <w:rFonts w:ascii="CAIXA Std Book" w:eastAsia="Times New Roman" w:hAnsi="CAIXA Std Book" w:cs="Arial"/>
                <w:b/>
                <w:bCs/>
                <w:color w:val="005CA9"/>
                <w:sz w:val="18"/>
                <w:szCs w:val="18"/>
              </w:rPr>
            </w:pPr>
          </w:p>
        </w:tc>
        <w:tc>
          <w:tcPr>
            <w:tcW w:w="643" w:type="pct"/>
            <w:tcBorders>
              <w:top w:val="nil"/>
              <w:left w:val="nil"/>
              <w:bottom w:val="single" w:sz="4" w:space="0" w:color="F39200"/>
              <w:right w:val="nil"/>
            </w:tcBorders>
            <w:shd w:val="clear" w:color="auto" w:fill="auto"/>
            <w:vAlign w:val="center"/>
            <w:hideMark/>
          </w:tcPr>
          <w:p w14:paraId="7586C249"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43" w:type="pct"/>
            <w:tcBorders>
              <w:top w:val="nil"/>
              <w:left w:val="nil"/>
              <w:bottom w:val="single" w:sz="4" w:space="0" w:color="F39200"/>
              <w:right w:val="nil"/>
            </w:tcBorders>
            <w:shd w:val="clear" w:color="auto" w:fill="auto"/>
            <w:vAlign w:val="center"/>
            <w:hideMark/>
          </w:tcPr>
          <w:p w14:paraId="4DD86AA5"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643" w:type="pct"/>
            <w:tcBorders>
              <w:top w:val="nil"/>
              <w:left w:val="nil"/>
              <w:bottom w:val="single" w:sz="4" w:space="0" w:color="F39200"/>
              <w:right w:val="nil"/>
            </w:tcBorders>
            <w:shd w:val="clear" w:color="auto" w:fill="auto"/>
            <w:vAlign w:val="center"/>
            <w:hideMark/>
          </w:tcPr>
          <w:p w14:paraId="02802D2A"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40" w:type="pct"/>
            <w:tcBorders>
              <w:top w:val="nil"/>
              <w:left w:val="nil"/>
              <w:bottom w:val="single" w:sz="4" w:space="0" w:color="F39200"/>
              <w:right w:val="nil"/>
            </w:tcBorders>
            <w:shd w:val="clear" w:color="auto" w:fill="auto"/>
            <w:vAlign w:val="center"/>
            <w:hideMark/>
          </w:tcPr>
          <w:p w14:paraId="0A5142FB"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47112C" w:rsidRPr="00E20D21" w14:paraId="15D26B48" w14:textId="77777777">
        <w:trPr>
          <w:trHeight w:val="283"/>
        </w:trPr>
        <w:tc>
          <w:tcPr>
            <w:tcW w:w="2431" w:type="pct"/>
            <w:vMerge/>
            <w:tcBorders>
              <w:top w:val="single" w:sz="4" w:space="0" w:color="F39200"/>
              <w:left w:val="nil"/>
              <w:bottom w:val="single" w:sz="4" w:space="0" w:color="F39200"/>
              <w:right w:val="nil"/>
            </w:tcBorders>
            <w:vAlign w:val="center"/>
            <w:hideMark/>
          </w:tcPr>
          <w:p w14:paraId="4C8BBEC3" w14:textId="77777777" w:rsidR="0047112C" w:rsidRPr="00E20D21" w:rsidRDefault="0047112C">
            <w:pPr>
              <w:rPr>
                <w:rFonts w:ascii="CAIXA Std Book" w:eastAsia="Times New Roman" w:hAnsi="CAIXA Std Book" w:cs="Arial"/>
                <w:b/>
                <w:bCs/>
                <w:color w:val="005CA9"/>
                <w:sz w:val="18"/>
                <w:szCs w:val="18"/>
              </w:rPr>
            </w:pPr>
          </w:p>
        </w:tc>
        <w:tc>
          <w:tcPr>
            <w:tcW w:w="643" w:type="pct"/>
            <w:tcBorders>
              <w:top w:val="nil"/>
              <w:left w:val="nil"/>
              <w:bottom w:val="single" w:sz="4" w:space="0" w:color="F39200"/>
              <w:right w:val="nil"/>
            </w:tcBorders>
            <w:shd w:val="clear" w:color="auto" w:fill="auto"/>
            <w:vAlign w:val="center"/>
            <w:hideMark/>
          </w:tcPr>
          <w:p w14:paraId="28222664"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43" w:type="pct"/>
            <w:tcBorders>
              <w:top w:val="nil"/>
              <w:left w:val="nil"/>
              <w:bottom w:val="single" w:sz="4" w:space="0" w:color="F39200"/>
              <w:right w:val="nil"/>
            </w:tcBorders>
            <w:shd w:val="clear" w:color="auto" w:fill="auto"/>
            <w:vAlign w:val="center"/>
            <w:hideMark/>
          </w:tcPr>
          <w:p w14:paraId="4127A537"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43" w:type="pct"/>
            <w:tcBorders>
              <w:top w:val="nil"/>
              <w:left w:val="nil"/>
              <w:bottom w:val="single" w:sz="4" w:space="0" w:color="F39200"/>
              <w:right w:val="nil"/>
            </w:tcBorders>
            <w:shd w:val="clear" w:color="auto" w:fill="auto"/>
            <w:vAlign w:val="center"/>
            <w:hideMark/>
          </w:tcPr>
          <w:p w14:paraId="28FA157C"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40" w:type="pct"/>
            <w:tcBorders>
              <w:top w:val="nil"/>
              <w:left w:val="nil"/>
              <w:bottom w:val="single" w:sz="4" w:space="0" w:color="F39200"/>
              <w:right w:val="nil"/>
            </w:tcBorders>
            <w:shd w:val="clear" w:color="auto" w:fill="auto"/>
            <w:vAlign w:val="center"/>
            <w:hideMark/>
          </w:tcPr>
          <w:p w14:paraId="1D16FC1B"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074157" w:rsidRPr="00E20D21" w14:paraId="3F113454" w14:textId="77777777">
        <w:trPr>
          <w:trHeight w:val="283"/>
        </w:trPr>
        <w:tc>
          <w:tcPr>
            <w:tcW w:w="2431" w:type="pct"/>
            <w:tcBorders>
              <w:top w:val="nil"/>
              <w:left w:val="nil"/>
              <w:bottom w:val="nil"/>
              <w:right w:val="nil"/>
            </w:tcBorders>
            <w:shd w:val="clear" w:color="auto" w:fill="auto"/>
            <w:vAlign w:val="center"/>
            <w:hideMark/>
          </w:tcPr>
          <w:p w14:paraId="446A69F8" w14:textId="77777777" w:rsidR="00074157" w:rsidRPr="00E20D21" w:rsidRDefault="00074157" w:rsidP="0007415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Resultado antes dos tributos e participações</w:t>
            </w:r>
          </w:p>
        </w:tc>
        <w:tc>
          <w:tcPr>
            <w:tcW w:w="643" w:type="pct"/>
            <w:tcBorders>
              <w:top w:val="nil"/>
              <w:left w:val="nil"/>
              <w:bottom w:val="nil"/>
              <w:right w:val="nil"/>
            </w:tcBorders>
            <w:shd w:val="clear" w:color="auto" w:fill="auto"/>
            <w:noWrap/>
            <w:vAlign w:val="center"/>
          </w:tcPr>
          <w:p w14:paraId="41702D81" w14:textId="77777777" w:rsidR="00074157" w:rsidRPr="00E20D21" w:rsidRDefault="00074157" w:rsidP="0007415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3.447.105</w:t>
            </w:r>
          </w:p>
        </w:tc>
        <w:tc>
          <w:tcPr>
            <w:tcW w:w="643" w:type="pct"/>
            <w:tcBorders>
              <w:top w:val="nil"/>
              <w:left w:val="nil"/>
              <w:bottom w:val="nil"/>
              <w:right w:val="nil"/>
            </w:tcBorders>
            <w:shd w:val="clear" w:color="auto" w:fill="auto"/>
            <w:noWrap/>
            <w:vAlign w:val="center"/>
          </w:tcPr>
          <w:p w14:paraId="078E829C" w14:textId="77777777" w:rsidR="00074157" w:rsidRPr="00E20D21" w:rsidRDefault="00074157" w:rsidP="0007415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2.718.034</w:t>
            </w:r>
          </w:p>
        </w:tc>
        <w:tc>
          <w:tcPr>
            <w:tcW w:w="643" w:type="pct"/>
            <w:tcBorders>
              <w:top w:val="nil"/>
              <w:left w:val="nil"/>
              <w:bottom w:val="nil"/>
              <w:right w:val="nil"/>
            </w:tcBorders>
            <w:shd w:val="clear" w:color="auto" w:fill="auto"/>
            <w:noWrap/>
            <w:vAlign w:val="center"/>
          </w:tcPr>
          <w:p w14:paraId="01355EDC" w14:textId="062384B8" w:rsidR="00074157" w:rsidRPr="00E20D21" w:rsidRDefault="00074157" w:rsidP="0007415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4.770.277</w:t>
            </w:r>
          </w:p>
        </w:tc>
        <w:tc>
          <w:tcPr>
            <w:tcW w:w="640" w:type="pct"/>
            <w:tcBorders>
              <w:top w:val="nil"/>
              <w:left w:val="nil"/>
              <w:bottom w:val="nil"/>
              <w:right w:val="nil"/>
            </w:tcBorders>
            <w:shd w:val="clear" w:color="auto" w:fill="auto"/>
            <w:noWrap/>
            <w:vAlign w:val="center"/>
          </w:tcPr>
          <w:p w14:paraId="7784DCA2" w14:textId="77777777" w:rsidR="00074157" w:rsidRPr="00E20D21" w:rsidRDefault="00074157" w:rsidP="0007415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3.924.139</w:t>
            </w:r>
          </w:p>
        </w:tc>
      </w:tr>
      <w:tr w:rsidR="00074157" w:rsidRPr="00E20D21" w14:paraId="362766D5" w14:textId="77777777">
        <w:trPr>
          <w:trHeight w:val="283"/>
        </w:trPr>
        <w:tc>
          <w:tcPr>
            <w:tcW w:w="2431" w:type="pct"/>
            <w:tcBorders>
              <w:top w:val="nil"/>
              <w:left w:val="nil"/>
              <w:bottom w:val="nil"/>
              <w:right w:val="nil"/>
            </w:tcBorders>
            <w:shd w:val="clear" w:color="auto" w:fill="auto"/>
            <w:vAlign w:val="center"/>
            <w:hideMark/>
          </w:tcPr>
          <w:p w14:paraId="12115B1A" w14:textId="77777777" w:rsidR="00074157" w:rsidRPr="00E20D21" w:rsidRDefault="00074157" w:rsidP="0007415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Encargo IRPJ e CSLL</w:t>
            </w:r>
          </w:p>
        </w:tc>
        <w:tc>
          <w:tcPr>
            <w:tcW w:w="643" w:type="pct"/>
            <w:tcBorders>
              <w:top w:val="nil"/>
              <w:left w:val="nil"/>
              <w:bottom w:val="nil"/>
              <w:right w:val="nil"/>
            </w:tcBorders>
            <w:shd w:val="clear" w:color="auto" w:fill="auto"/>
            <w:noWrap/>
            <w:vAlign w:val="center"/>
          </w:tcPr>
          <w:p w14:paraId="3EE0AD17"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(1.551.197)</w:t>
            </w:r>
          </w:p>
        </w:tc>
        <w:tc>
          <w:tcPr>
            <w:tcW w:w="643" w:type="pct"/>
            <w:tcBorders>
              <w:top w:val="nil"/>
              <w:left w:val="nil"/>
              <w:bottom w:val="nil"/>
              <w:right w:val="nil"/>
            </w:tcBorders>
            <w:shd w:val="clear" w:color="auto" w:fill="auto"/>
            <w:noWrap/>
            <w:vAlign w:val="center"/>
          </w:tcPr>
          <w:p w14:paraId="4C5D317B"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(1.223.115)</w:t>
            </w:r>
          </w:p>
        </w:tc>
        <w:tc>
          <w:tcPr>
            <w:tcW w:w="643" w:type="pct"/>
            <w:tcBorders>
              <w:top w:val="nil"/>
              <w:left w:val="nil"/>
              <w:bottom w:val="nil"/>
              <w:right w:val="nil"/>
            </w:tcBorders>
            <w:shd w:val="clear" w:color="auto" w:fill="auto"/>
            <w:noWrap/>
            <w:vAlign w:val="center"/>
          </w:tcPr>
          <w:p w14:paraId="2E402BA1" w14:textId="78FF52C3"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(2.146.625)</w:t>
            </w:r>
          </w:p>
        </w:tc>
        <w:tc>
          <w:tcPr>
            <w:tcW w:w="640" w:type="pct"/>
            <w:tcBorders>
              <w:top w:val="nil"/>
              <w:left w:val="nil"/>
              <w:bottom w:val="nil"/>
              <w:right w:val="nil"/>
            </w:tcBorders>
            <w:shd w:val="clear" w:color="auto" w:fill="auto"/>
            <w:noWrap/>
            <w:vAlign w:val="center"/>
          </w:tcPr>
          <w:p w14:paraId="6ED68133"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(1.765.863)</w:t>
            </w:r>
          </w:p>
        </w:tc>
      </w:tr>
      <w:tr w:rsidR="00074157" w:rsidRPr="00E20D21" w14:paraId="5F242C0E" w14:textId="77777777">
        <w:trPr>
          <w:trHeight w:val="283"/>
        </w:trPr>
        <w:tc>
          <w:tcPr>
            <w:tcW w:w="2431" w:type="pct"/>
            <w:tcBorders>
              <w:top w:val="nil"/>
              <w:left w:val="nil"/>
              <w:bottom w:val="nil"/>
              <w:right w:val="nil"/>
            </w:tcBorders>
            <w:shd w:val="clear" w:color="auto" w:fill="auto"/>
            <w:vAlign w:val="center"/>
            <w:hideMark/>
          </w:tcPr>
          <w:p w14:paraId="20A0C309" w14:textId="77777777" w:rsidR="00074157" w:rsidRPr="00E20D21" w:rsidRDefault="00074157" w:rsidP="0007415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Efeitos tributários adições e exclusões</w:t>
            </w:r>
          </w:p>
        </w:tc>
        <w:tc>
          <w:tcPr>
            <w:tcW w:w="643" w:type="pct"/>
            <w:tcBorders>
              <w:top w:val="nil"/>
              <w:left w:val="nil"/>
              <w:bottom w:val="nil"/>
              <w:right w:val="nil"/>
            </w:tcBorders>
            <w:shd w:val="clear" w:color="auto" w:fill="auto"/>
            <w:noWrap/>
            <w:vAlign w:val="center"/>
          </w:tcPr>
          <w:p w14:paraId="5266F8F3"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1.037.937</w:t>
            </w:r>
          </w:p>
        </w:tc>
        <w:tc>
          <w:tcPr>
            <w:tcW w:w="643" w:type="pct"/>
            <w:tcBorders>
              <w:top w:val="nil"/>
              <w:left w:val="nil"/>
              <w:bottom w:val="nil"/>
              <w:right w:val="nil"/>
            </w:tcBorders>
            <w:shd w:val="clear" w:color="auto" w:fill="auto"/>
            <w:noWrap/>
            <w:vAlign w:val="center"/>
          </w:tcPr>
          <w:p w14:paraId="53696375"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(313.056)</w:t>
            </w:r>
          </w:p>
        </w:tc>
        <w:tc>
          <w:tcPr>
            <w:tcW w:w="643" w:type="pct"/>
            <w:tcBorders>
              <w:top w:val="nil"/>
              <w:left w:val="nil"/>
              <w:bottom w:val="nil"/>
              <w:right w:val="nil"/>
            </w:tcBorders>
            <w:shd w:val="clear" w:color="auto" w:fill="auto"/>
            <w:noWrap/>
            <w:vAlign w:val="center"/>
          </w:tcPr>
          <w:p w14:paraId="0D196FE6" w14:textId="685E96E3"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2.523.776</w:t>
            </w:r>
          </w:p>
        </w:tc>
        <w:tc>
          <w:tcPr>
            <w:tcW w:w="640" w:type="pct"/>
            <w:tcBorders>
              <w:top w:val="nil"/>
              <w:left w:val="nil"/>
              <w:bottom w:val="nil"/>
              <w:right w:val="nil"/>
            </w:tcBorders>
            <w:shd w:val="clear" w:color="auto" w:fill="auto"/>
            <w:noWrap/>
            <w:vAlign w:val="center"/>
          </w:tcPr>
          <w:p w14:paraId="23E68FB7"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1.730.454</w:t>
            </w:r>
          </w:p>
        </w:tc>
      </w:tr>
      <w:tr w:rsidR="00074157" w:rsidRPr="00E20D21" w14:paraId="6B3065EA" w14:textId="77777777">
        <w:trPr>
          <w:trHeight w:val="283"/>
        </w:trPr>
        <w:tc>
          <w:tcPr>
            <w:tcW w:w="2431" w:type="pct"/>
            <w:tcBorders>
              <w:top w:val="nil"/>
              <w:left w:val="nil"/>
              <w:bottom w:val="nil"/>
              <w:right w:val="nil"/>
            </w:tcBorders>
            <w:shd w:val="clear" w:color="auto" w:fill="auto"/>
            <w:vAlign w:val="center"/>
            <w:hideMark/>
          </w:tcPr>
          <w:p w14:paraId="09BB075B" w14:textId="77777777" w:rsidR="00074157" w:rsidRPr="00E20D21" w:rsidRDefault="00074157" w:rsidP="0007415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Juros sobre o capital próprio</w:t>
            </w:r>
          </w:p>
        </w:tc>
        <w:tc>
          <w:tcPr>
            <w:tcW w:w="643" w:type="pct"/>
            <w:tcBorders>
              <w:top w:val="nil"/>
              <w:left w:val="nil"/>
              <w:bottom w:val="nil"/>
              <w:right w:val="nil"/>
            </w:tcBorders>
            <w:shd w:val="clear" w:color="auto" w:fill="auto"/>
            <w:noWrap/>
            <w:vAlign w:val="center"/>
          </w:tcPr>
          <w:p w14:paraId="6715E19B"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511.708</w:t>
            </w:r>
          </w:p>
        </w:tc>
        <w:tc>
          <w:tcPr>
            <w:tcW w:w="643" w:type="pct"/>
            <w:tcBorders>
              <w:top w:val="nil"/>
              <w:left w:val="nil"/>
              <w:bottom w:val="nil"/>
              <w:right w:val="nil"/>
            </w:tcBorders>
            <w:shd w:val="clear" w:color="auto" w:fill="auto"/>
            <w:noWrap/>
            <w:vAlign w:val="center"/>
          </w:tcPr>
          <w:p w14:paraId="4D7CF650"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389.755</w:t>
            </w:r>
          </w:p>
        </w:tc>
        <w:tc>
          <w:tcPr>
            <w:tcW w:w="643" w:type="pct"/>
            <w:tcBorders>
              <w:top w:val="nil"/>
              <w:left w:val="nil"/>
              <w:bottom w:val="nil"/>
              <w:right w:val="nil"/>
            </w:tcBorders>
            <w:shd w:val="clear" w:color="auto" w:fill="auto"/>
            <w:noWrap/>
            <w:vAlign w:val="center"/>
          </w:tcPr>
          <w:p w14:paraId="4E023055" w14:textId="235F53A1"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511.708</w:t>
            </w:r>
          </w:p>
        </w:tc>
        <w:tc>
          <w:tcPr>
            <w:tcW w:w="640" w:type="pct"/>
            <w:tcBorders>
              <w:top w:val="nil"/>
              <w:left w:val="nil"/>
              <w:bottom w:val="nil"/>
              <w:right w:val="nil"/>
            </w:tcBorders>
            <w:shd w:val="clear" w:color="auto" w:fill="auto"/>
            <w:noWrap/>
            <w:vAlign w:val="center"/>
          </w:tcPr>
          <w:p w14:paraId="4504FB7B"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389.755</w:t>
            </w:r>
          </w:p>
        </w:tc>
      </w:tr>
      <w:tr w:rsidR="00074157" w:rsidRPr="00E20D21" w14:paraId="6FDE0767" w14:textId="77777777">
        <w:trPr>
          <w:trHeight w:val="283"/>
        </w:trPr>
        <w:tc>
          <w:tcPr>
            <w:tcW w:w="2431" w:type="pct"/>
            <w:tcBorders>
              <w:top w:val="nil"/>
              <w:left w:val="nil"/>
              <w:bottom w:val="nil"/>
              <w:right w:val="nil"/>
            </w:tcBorders>
            <w:shd w:val="clear" w:color="auto" w:fill="auto"/>
            <w:vAlign w:val="center"/>
            <w:hideMark/>
          </w:tcPr>
          <w:p w14:paraId="3AC29FBE" w14:textId="77777777" w:rsidR="00074157" w:rsidRPr="00E20D21" w:rsidRDefault="00074157" w:rsidP="0007415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Participação em coligadas e controladas</w:t>
            </w:r>
          </w:p>
        </w:tc>
        <w:tc>
          <w:tcPr>
            <w:tcW w:w="643" w:type="pct"/>
            <w:tcBorders>
              <w:top w:val="nil"/>
              <w:left w:val="nil"/>
              <w:bottom w:val="nil"/>
              <w:right w:val="nil"/>
            </w:tcBorders>
            <w:shd w:val="clear" w:color="auto" w:fill="auto"/>
            <w:noWrap/>
            <w:vAlign w:val="center"/>
          </w:tcPr>
          <w:p w14:paraId="57771EDA"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889.469</w:t>
            </w:r>
          </w:p>
        </w:tc>
        <w:tc>
          <w:tcPr>
            <w:tcW w:w="643" w:type="pct"/>
            <w:tcBorders>
              <w:top w:val="nil"/>
              <w:left w:val="nil"/>
              <w:bottom w:val="nil"/>
              <w:right w:val="nil"/>
            </w:tcBorders>
            <w:shd w:val="clear" w:color="auto" w:fill="auto"/>
            <w:noWrap/>
            <w:vAlign w:val="center"/>
          </w:tcPr>
          <w:p w14:paraId="0FE78171"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904.755</w:t>
            </w:r>
          </w:p>
        </w:tc>
        <w:tc>
          <w:tcPr>
            <w:tcW w:w="643" w:type="pct"/>
            <w:tcBorders>
              <w:top w:val="nil"/>
              <w:left w:val="nil"/>
              <w:bottom w:val="nil"/>
              <w:right w:val="nil"/>
            </w:tcBorders>
            <w:shd w:val="clear" w:color="auto" w:fill="auto"/>
            <w:noWrap/>
            <w:vAlign w:val="center"/>
          </w:tcPr>
          <w:p w14:paraId="3F5D8346" w14:textId="0270E27E"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273.405</w:t>
            </w:r>
          </w:p>
        </w:tc>
        <w:tc>
          <w:tcPr>
            <w:tcW w:w="640" w:type="pct"/>
            <w:tcBorders>
              <w:top w:val="nil"/>
              <w:left w:val="nil"/>
              <w:bottom w:val="nil"/>
              <w:right w:val="nil"/>
            </w:tcBorders>
            <w:shd w:val="clear" w:color="auto" w:fill="auto"/>
            <w:noWrap/>
            <w:vAlign w:val="center"/>
          </w:tcPr>
          <w:p w14:paraId="0181E941"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(2.080)</w:t>
            </w:r>
          </w:p>
        </w:tc>
      </w:tr>
      <w:tr w:rsidR="00074157" w:rsidRPr="00E20D21" w14:paraId="1947510C" w14:textId="77777777">
        <w:trPr>
          <w:trHeight w:val="283"/>
        </w:trPr>
        <w:tc>
          <w:tcPr>
            <w:tcW w:w="2431" w:type="pct"/>
            <w:tcBorders>
              <w:top w:val="nil"/>
              <w:left w:val="nil"/>
              <w:bottom w:val="nil"/>
              <w:right w:val="nil"/>
            </w:tcBorders>
            <w:shd w:val="clear" w:color="auto" w:fill="auto"/>
            <w:vAlign w:val="center"/>
            <w:hideMark/>
          </w:tcPr>
          <w:p w14:paraId="33CEDB61" w14:textId="77777777" w:rsidR="00074157" w:rsidRPr="00E20D21" w:rsidRDefault="00074157" w:rsidP="0007415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Realização/apuração prejuízo fiscal e base negativa CSLL</w:t>
            </w:r>
          </w:p>
        </w:tc>
        <w:tc>
          <w:tcPr>
            <w:tcW w:w="643" w:type="pct"/>
            <w:tcBorders>
              <w:top w:val="nil"/>
              <w:left w:val="nil"/>
              <w:bottom w:val="nil"/>
              <w:right w:val="nil"/>
            </w:tcBorders>
            <w:shd w:val="clear" w:color="auto" w:fill="auto"/>
            <w:noWrap/>
            <w:vAlign w:val="center"/>
          </w:tcPr>
          <w:p w14:paraId="21C2D8E7"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14.215</w:t>
            </w:r>
          </w:p>
        </w:tc>
        <w:tc>
          <w:tcPr>
            <w:tcW w:w="643" w:type="pct"/>
            <w:tcBorders>
              <w:top w:val="nil"/>
              <w:left w:val="nil"/>
              <w:bottom w:val="nil"/>
              <w:right w:val="nil"/>
            </w:tcBorders>
            <w:shd w:val="clear" w:color="auto" w:fill="auto"/>
            <w:noWrap/>
            <w:vAlign w:val="center"/>
          </w:tcPr>
          <w:p w14:paraId="4B07E664"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149.605</w:t>
            </w:r>
          </w:p>
        </w:tc>
        <w:tc>
          <w:tcPr>
            <w:tcW w:w="643" w:type="pct"/>
            <w:tcBorders>
              <w:top w:val="nil"/>
              <w:left w:val="nil"/>
              <w:bottom w:val="nil"/>
              <w:right w:val="nil"/>
            </w:tcBorders>
            <w:shd w:val="clear" w:color="auto" w:fill="auto"/>
            <w:noWrap/>
            <w:vAlign w:val="center"/>
          </w:tcPr>
          <w:p w14:paraId="091E6751" w14:textId="049F0223"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14.215</w:t>
            </w:r>
          </w:p>
        </w:tc>
        <w:tc>
          <w:tcPr>
            <w:tcW w:w="640" w:type="pct"/>
            <w:tcBorders>
              <w:top w:val="nil"/>
              <w:left w:val="nil"/>
              <w:bottom w:val="nil"/>
              <w:right w:val="nil"/>
            </w:tcBorders>
            <w:shd w:val="clear" w:color="auto" w:fill="auto"/>
            <w:noWrap/>
            <w:vAlign w:val="center"/>
          </w:tcPr>
          <w:p w14:paraId="6E6E51DC"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149.605</w:t>
            </w:r>
          </w:p>
        </w:tc>
      </w:tr>
      <w:tr w:rsidR="00074157" w:rsidRPr="00E20D21" w14:paraId="1E4301E3" w14:textId="77777777">
        <w:trPr>
          <w:trHeight w:val="283"/>
        </w:trPr>
        <w:tc>
          <w:tcPr>
            <w:tcW w:w="2431" w:type="pct"/>
            <w:tcBorders>
              <w:top w:val="nil"/>
              <w:left w:val="nil"/>
              <w:bottom w:val="nil"/>
              <w:right w:val="nil"/>
            </w:tcBorders>
            <w:shd w:val="clear" w:color="auto" w:fill="auto"/>
            <w:vAlign w:val="center"/>
            <w:hideMark/>
          </w:tcPr>
          <w:p w14:paraId="5FFCF108" w14:textId="77777777" w:rsidR="00074157" w:rsidRPr="00E20D21" w:rsidRDefault="00074157" w:rsidP="0007415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Participação dos empregados nos lucros</w:t>
            </w:r>
          </w:p>
        </w:tc>
        <w:tc>
          <w:tcPr>
            <w:tcW w:w="643" w:type="pct"/>
            <w:tcBorders>
              <w:top w:val="nil"/>
              <w:left w:val="nil"/>
              <w:bottom w:val="nil"/>
              <w:right w:val="nil"/>
            </w:tcBorders>
            <w:shd w:val="clear" w:color="auto" w:fill="auto"/>
            <w:noWrap/>
            <w:vAlign w:val="center"/>
          </w:tcPr>
          <w:p w14:paraId="05B7982D"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(374.795)</w:t>
            </w:r>
          </w:p>
        </w:tc>
        <w:tc>
          <w:tcPr>
            <w:tcW w:w="643" w:type="pct"/>
            <w:tcBorders>
              <w:top w:val="nil"/>
              <w:left w:val="nil"/>
              <w:bottom w:val="nil"/>
              <w:right w:val="nil"/>
            </w:tcBorders>
            <w:shd w:val="clear" w:color="auto" w:fill="auto"/>
            <w:noWrap/>
            <w:vAlign w:val="center"/>
          </w:tcPr>
          <w:p w14:paraId="6F55A8C6"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(363.526)</w:t>
            </w:r>
          </w:p>
        </w:tc>
        <w:tc>
          <w:tcPr>
            <w:tcW w:w="643" w:type="pct"/>
            <w:tcBorders>
              <w:top w:val="nil"/>
              <w:left w:val="nil"/>
              <w:bottom w:val="nil"/>
              <w:right w:val="nil"/>
            </w:tcBorders>
            <w:shd w:val="clear" w:color="auto" w:fill="auto"/>
            <w:noWrap/>
            <w:vAlign w:val="center"/>
          </w:tcPr>
          <w:p w14:paraId="44389723" w14:textId="1C5F166B"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(374.795)</w:t>
            </w:r>
          </w:p>
        </w:tc>
        <w:tc>
          <w:tcPr>
            <w:tcW w:w="640" w:type="pct"/>
            <w:tcBorders>
              <w:top w:val="nil"/>
              <w:left w:val="nil"/>
              <w:bottom w:val="nil"/>
              <w:right w:val="nil"/>
            </w:tcBorders>
            <w:shd w:val="clear" w:color="auto" w:fill="auto"/>
            <w:noWrap/>
            <w:vAlign w:val="center"/>
          </w:tcPr>
          <w:p w14:paraId="4A0AE012"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(363.526)</w:t>
            </w:r>
          </w:p>
        </w:tc>
      </w:tr>
      <w:tr w:rsidR="00074157" w:rsidRPr="00E20D21" w14:paraId="17135A0D" w14:textId="77777777">
        <w:trPr>
          <w:trHeight w:val="283"/>
        </w:trPr>
        <w:tc>
          <w:tcPr>
            <w:tcW w:w="2431" w:type="pct"/>
            <w:tcBorders>
              <w:top w:val="nil"/>
              <w:left w:val="nil"/>
              <w:bottom w:val="single" w:sz="4" w:space="0" w:color="F39200"/>
              <w:right w:val="nil"/>
            </w:tcBorders>
            <w:shd w:val="clear" w:color="auto" w:fill="auto"/>
            <w:vAlign w:val="center"/>
            <w:hideMark/>
          </w:tcPr>
          <w:p w14:paraId="0BAC11CC" w14:textId="77777777" w:rsidR="00074157" w:rsidRPr="00E20D21" w:rsidRDefault="00074157" w:rsidP="0007415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643" w:type="pct"/>
            <w:tcBorders>
              <w:top w:val="nil"/>
              <w:left w:val="nil"/>
              <w:bottom w:val="single" w:sz="4" w:space="0" w:color="F39200"/>
              <w:right w:val="nil"/>
            </w:tcBorders>
            <w:shd w:val="clear" w:color="auto" w:fill="auto"/>
            <w:noWrap/>
            <w:vAlign w:val="center"/>
          </w:tcPr>
          <w:p w14:paraId="633378A7"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(569.235)</w:t>
            </w:r>
          </w:p>
        </w:tc>
        <w:tc>
          <w:tcPr>
            <w:tcW w:w="643" w:type="pct"/>
            <w:tcBorders>
              <w:top w:val="nil"/>
              <w:left w:val="nil"/>
              <w:bottom w:val="single" w:sz="4" w:space="0" w:color="F39200"/>
              <w:right w:val="nil"/>
            </w:tcBorders>
            <w:shd w:val="clear" w:color="auto" w:fill="auto"/>
            <w:noWrap/>
            <w:vAlign w:val="center"/>
          </w:tcPr>
          <w:p w14:paraId="48A88BB0"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56.849</w:t>
            </w:r>
          </w:p>
        </w:tc>
        <w:tc>
          <w:tcPr>
            <w:tcW w:w="643" w:type="pct"/>
            <w:tcBorders>
              <w:top w:val="nil"/>
              <w:left w:val="nil"/>
              <w:bottom w:val="single" w:sz="4" w:space="0" w:color="F39200"/>
              <w:right w:val="nil"/>
            </w:tcBorders>
            <w:shd w:val="clear" w:color="auto" w:fill="auto"/>
            <w:noWrap/>
            <w:vAlign w:val="center"/>
          </w:tcPr>
          <w:p w14:paraId="0503C3CB" w14:textId="1CB1D5FF"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(1.447.916)</w:t>
            </w:r>
          </w:p>
        </w:tc>
        <w:tc>
          <w:tcPr>
            <w:tcW w:w="640" w:type="pct"/>
            <w:tcBorders>
              <w:top w:val="nil"/>
              <w:left w:val="nil"/>
              <w:bottom w:val="single" w:sz="4" w:space="0" w:color="F39200"/>
              <w:right w:val="nil"/>
            </w:tcBorders>
            <w:shd w:val="clear" w:color="auto" w:fill="auto"/>
            <w:noWrap/>
            <w:vAlign w:val="center"/>
          </w:tcPr>
          <w:p w14:paraId="7C7B08F3" w14:textId="77777777" w:rsidR="00074157" w:rsidRPr="00E20D21" w:rsidRDefault="00074157" w:rsidP="0007415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(1.123.840)</w:t>
            </w:r>
          </w:p>
        </w:tc>
      </w:tr>
      <w:tr w:rsidR="00074157" w:rsidRPr="00E20D21" w14:paraId="0CD0D5F0" w14:textId="77777777">
        <w:trPr>
          <w:trHeight w:val="283"/>
        </w:trPr>
        <w:tc>
          <w:tcPr>
            <w:tcW w:w="2431" w:type="pct"/>
            <w:tcBorders>
              <w:top w:val="single" w:sz="4" w:space="0" w:color="F39200"/>
              <w:left w:val="nil"/>
              <w:bottom w:val="single" w:sz="4" w:space="0" w:color="F39200"/>
              <w:right w:val="nil"/>
            </w:tcBorders>
            <w:shd w:val="clear" w:color="auto" w:fill="auto"/>
            <w:noWrap/>
            <w:vAlign w:val="center"/>
            <w:hideMark/>
          </w:tcPr>
          <w:p w14:paraId="5C725D4B" w14:textId="77777777" w:rsidR="00074157" w:rsidRPr="00E20D21" w:rsidRDefault="00074157" w:rsidP="0007415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Imposto de Renda e Contribuição Social Correntes</w:t>
            </w:r>
          </w:p>
        </w:tc>
        <w:tc>
          <w:tcPr>
            <w:tcW w:w="643" w:type="pct"/>
            <w:tcBorders>
              <w:top w:val="single" w:sz="4" w:space="0" w:color="F39200"/>
              <w:left w:val="nil"/>
              <w:bottom w:val="single" w:sz="4" w:space="0" w:color="F39200"/>
              <w:right w:val="nil"/>
            </w:tcBorders>
            <w:shd w:val="clear" w:color="auto" w:fill="auto"/>
            <w:noWrap/>
            <w:vAlign w:val="center"/>
          </w:tcPr>
          <w:p w14:paraId="2A71E568" w14:textId="77777777" w:rsidR="00074157" w:rsidRPr="00E20D21" w:rsidRDefault="00074157" w:rsidP="0007415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(41.898)</w:t>
            </w:r>
          </w:p>
        </w:tc>
        <w:tc>
          <w:tcPr>
            <w:tcW w:w="643" w:type="pct"/>
            <w:tcBorders>
              <w:top w:val="single" w:sz="4" w:space="0" w:color="F39200"/>
              <w:left w:val="nil"/>
              <w:bottom w:val="single" w:sz="4" w:space="0" w:color="F39200"/>
              <w:right w:val="nil"/>
            </w:tcBorders>
            <w:shd w:val="clear" w:color="auto" w:fill="auto"/>
            <w:noWrap/>
            <w:vAlign w:val="center"/>
          </w:tcPr>
          <w:p w14:paraId="6E7A947B" w14:textId="77777777" w:rsidR="00074157" w:rsidRPr="00E20D21" w:rsidRDefault="00074157" w:rsidP="0007415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(398.733)</w:t>
            </w:r>
          </w:p>
        </w:tc>
        <w:tc>
          <w:tcPr>
            <w:tcW w:w="643" w:type="pct"/>
            <w:tcBorders>
              <w:top w:val="single" w:sz="4" w:space="0" w:color="F39200"/>
              <w:left w:val="nil"/>
              <w:bottom w:val="single" w:sz="4" w:space="0" w:color="F39200"/>
              <w:right w:val="nil"/>
            </w:tcBorders>
            <w:shd w:val="clear" w:color="auto" w:fill="auto"/>
            <w:noWrap/>
            <w:vAlign w:val="center"/>
          </w:tcPr>
          <w:p w14:paraId="6F9F1A62" w14:textId="4BF61DA0" w:rsidR="00074157" w:rsidRPr="00E20D21" w:rsidRDefault="00074157" w:rsidP="0007415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(646.232)</w:t>
            </w:r>
          </w:p>
        </w:tc>
        <w:tc>
          <w:tcPr>
            <w:tcW w:w="640" w:type="pct"/>
            <w:tcBorders>
              <w:top w:val="single" w:sz="4" w:space="0" w:color="F39200"/>
              <w:left w:val="nil"/>
              <w:bottom w:val="single" w:sz="4" w:space="0" w:color="F39200"/>
              <w:right w:val="nil"/>
            </w:tcBorders>
            <w:shd w:val="clear" w:color="auto" w:fill="auto"/>
            <w:noWrap/>
            <w:vAlign w:val="center"/>
          </w:tcPr>
          <w:p w14:paraId="45C40A6D" w14:textId="77777777" w:rsidR="00074157" w:rsidRPr="00E20D21" w:rsidRDefault="00074157" w:rsidP="0007415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(985.495)</w:t>
            </w:r>
          </w:p>
        </w:tc>
      </w:tr>
    </w:tbl>
    <w:p w14:paraId="0F790C29" w14:textId="66FA037B" w:rsidR="003B762C" w:rsidRPr="00E20D21" w:rsidRDefault="006C2BF9" w:rsidP="00051BF7">
      <w:pPr>
        <w:keepNext/>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w:t>
      </w:r>
      <w:r w:rsidR="00D57FDE" w:rsidRPr="00E20D21">
        <w:rPr>
          <w:rFonts w:ascii="CAIXA Std Book" w:hAnsi="CAIXA Std Book"/>
          <w:b/>
          <w:color w:val="005CA9"/>
          <w:sz w:val="20"/>
          <w:szCs w:val="20"/>
        </w:rPr>
        <w:t>c)</w:t>
      </w:r>
      <w:r w:rsidR="00742D90" w:rsidRPr="00E20D21">
        <w:rPr>
          <w:rFonts w:ascii="CAIXA Std Book" w:hAnsi="CAIXA Std Book"/>
          <w:b/>
          <w:color w:val="005CA9"/>
          <w:sz w:val="20"/>
          <w:szCs w:val="20"/>
        </w:rPr>
        <w:tab/>
      </w:r>
      <w:r w:rsidR="003B762C" w:rsidRPr="00E20D21">
        <w:rPr>
          <w:rFonts w:ascii="CAIXA Std Book" w:hAnsi="CAIXA Std Book"/>
          <w:b/>
          <w:color w:val="005CA9"/>
          <w:sz w:val="20"/>
          <w:szCs w:val="20"/>
        </w:rPr>
        <w:t>Passivo fiscal diferido</w:t>
      </w:r>
    </w:p>
    <w:tbl>
      <w:tblPr>
        <w:tblW w:w="5000" w:type="pct"/>
        <w:tblCellMar>
          <w:left w:w="70" w:type="dxa"/>
          <w:right w:w="70" w:type="dxa"/>
        </w:tblCellMar>
        <w:tblLook w:val="04A0" w:firstRow="1" w:lastRow="0" w:firstColumn="1" w:lastColumn="0" w:noHBand="0" w:noVBand="1"/>
      </w:tblPr>
      <w:tblGrid>
        <w:gridCol w:w="4765"/>
        <w:gridCol w:w="1326"/>
        <w:gridCol w:w="1183"/>
        <w:gridCol w:w="1183"/>
        <w:gridCol w:w="1180"/>
      </w:tblGrid>
      <w:tr w:rsidR="0047112C" w:rsidRPr="00E20D21" w14:paraId="5693C814" w14:textId="77777777">
        <w:trPr>
          <w:trHeight w:val="283"/>
        </w:trPr>
        <w:tc>
          <w:tcPr>
            <w:tcW w:w="2472" w:type="pct"/>
            <w:vMerge w:val="restart"/>
            <w:tcBorders>
              <w:top w:val="single" w:sz="4" w:space="0" w:color="F39200"/>
              <w:left w:val="nil"/>
              <w:bottom w:val="single" w:sz="4" w:space="0" w:color="F39200"/>
              <w:right w:val="nil"/>
            </w:tcBorders>
            <w:shd w:val="clear" w:color="auto" w:fill="auto"/>
            <w:vAlign w:val="center"/>
            <w:hideMark/>
          </w:tcPr>
          <w:p w14:paraId="5B797F40"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302" w:type="pct"/>
            <w:gridSpan w:val="2"/>
            <w:tcBorders>
              <w:top w:val="single" w:sz="4" w:space="0" w:color="F39200"/>
              <w:left w:val="nil"/>
              <w:bottom w:val="single" w:sz="4" w:space="0" w:color="F39200"/>
              <w:right w:val="nil"/>
            </w:tcBorders>
            <w:shd w:val="clear" w:color="auto" w:fill="auto"/>
            <w:noWrap/>
            <w:vAlign w:val="center"/>
            <w:hideMark/>
          </w:tcPr>
          <w:p w14:paraId="5F139EF4"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226" w:type="pct"/>
            <w:gridSpan w:val="2"/>
            <w:tcBorders>
              <w:top w:val="single" w:sz="4" w:space="0" w:color="F39200"/>
              <w:left w:val="nil"/>
              <w:bottom w:val="single" w:sz="4" w:space="0" w:color="F39200"/>
              <w:right w:val="nil"/>
            </w:tcBorders>
            <w:shd w:val="clear" w:color="auto" w:fill="auto"/>
            <w:noWrap/>
            <w:vAlign w:val="center"/>
            <w:hideMark/>
          </w:tcPr>
          <w:p w14:paraId="0EC5D547"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47112C" w:rsidRPr="00E20D21" w14:paraId="4FEB7793" w14:textId="77777777">
        <w:trPr>
          <w:trHeight w:val="283"/>
        </w:trPr>
        <w:tc>
          <w:tcPr>
            <w:tcW w:w="2472" w:type="pct"/>
            <w:vMerge/>
            <w:tcBorders>
              <w:top w:val="single" w:sz="4" w:space="0" w:color="F39200"/>
              <w:left w:val="nil"/>
              <w:bottom w:val="single" w:sz="4" w:space="0" w:color="F39200"/>
              <w:right w:val="nil"/>
            </w:tcBorders>
            <w:vAlign w:val="center"/>
            <w:hideMark/>
          </w:tcPr>
          <w:p w14:paraId="7E6F8572" w14:textId="77777777" w:rsidR="0047112C" w:rsidRPr="00E20D21" w:rsidRDefault="0047112C">
            <w:pPr>
              <w:rPr>
                <w:rFonts w:ascii="CAIXA Std Book" w:eastAsia="Times New Roman" w:hAnsi="CAIXA Std Book" w:cs="Arial"/>
                <w:b/>
                <w:bCs/>
                <w:color w:val="005CA9"/>
                <w:sz w:val="18"/>
                <w:szCs w:val="18"/>
              </w:rPr>
            </w:pPr>
          </w:p>
        </w:tc>
        <w:tc>
          <w:tcPr>
            <w:tcW w:w="688" w:type="pct"/>
            <w:tcBorders>
              <w:top w:val="nil"/>
              <w:left w:val="nil"/>
              <w:bottom w:val="single" w:sz="4" w:space="0" w:color="F39200"/>
              <w:right w:val="nil"/>
            </w:tcBorders>
            <w:shd w:val="clear" w:color="auto" w:fill="auto"/>
            <w:vAlign w:val="center"/>
            <w:hideMark/>
          </w:tcPr>
          <w:p w14:paraId="175F72FB"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614" w:type="pct"/>
            <w:tcBorders>
              <w:top w:val="nil"/>
              <w:left w:val="nil"/>
              <w:bottom w:val="single" w:sz="4" w:space="0" w:color="F39200"/>
              <w:right w:val="nil"/>
            </w:tcBorders>
            <w:shd w:val="clear" w:color="auto" w:fill="auto"/>
            <w:vAlign w:val="center"/>
            <w:hideMark/>
          </w:tcPr>
          <w:p w14:paraId="43CAD7BB"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c>
          <w:tcPr>
            <w:tcW w:w="614" w:type="pct"/>
            <w:tcBorders>
              <w:top w:val="nil"/>
              <w:left w:val="nil"/>
              <w:bottom w:val="single" w:sz="4" w:space="0" w:color="F39200"/>
              <w:right w:val="nil"/>
            </w:tcBorders>
            <w:shd w:val="clear" w:color="auto" w:fill="auto"/>
            <w:vAlign w:val="center"/>
            <w:hideMark/>
          </w:tcPr>
          <w:p w14:paraId="57C304E3"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612" w:type="pct"/>
            <w:tcBorders>
              <w:top w:val="nil"/>
              <w:left w:val="nil"/>
              <w:bottom w:val="single" w:sz="4" w:space="0" w:color="F39200"/>
              <w:right w:val="nil"/>
            </w:tcBorders>
            <w:shd w:val="clear" w:color="auto" w:fill="auto"/>
            <w:vAlign w:val="center"/>
            <w:hideMark/>
          </w:tcPr>
          <w:p w14:paraId="6F9F5E24"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47112C" w:rsidRPr="00E20D21" w14:paraId="2514B9A8" w14:textId="77777777">
        <w:trPr>
          <w:trHeight w:val="283"/>
        </w:trPr>
        <w:tc>
          <w:tcPr>
            <w:tcW w:w="2472" w:type="pct"/>
            <w:tcBorders>
              <w:top w:val="nil"/>
              <w:left w:val="nil"/>
              <w:bottom w:val="nil"/>
              <w:right w:val="nil"/>
            </w:tcBorders>
            <w:shd w:val="clear" w:color="auto" w:fill="auto"/>
            <w:vAlign w:val="center"/>
            <w:hideMark/>
          </w:tcPr>
          <w:p w14:paraId="17571CD8" w14:textId="77777777" w:rsidR="0047112C" w:rsidRPr="00E20D21" w:rsidRDefault="0047112C">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Ajustes a valor de mercado de títulos para negociação</w:t>
            </w:r>
          </w:p>
        </w:tc>
        <w:tc>
          <w:tcPr>
            <w:tcW w:w="688" w:type="pct"/>
            <w:tcBorders>
              <w:top w:val="nil"/>
              <w:left w:val="nil"/>
              <w:bottom w:val="nil"/>
              <w:right w:val="nil"/>
            </w:tcBorders>
            <w:shd w:val="clear" w:color="auto" w:fill="auto"/>
            <w:noWrap/>
            <w:vAlign w:val="center"/>
          </w:tcPr>
          <w:p w14:paraId="03FA472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480.727</w:t>
            </w:r>
          </w:p>
        </w:tc>
        <w:tc>
          <w:tcPr>
            <w:tcW w:w="614" w:type="pct"/>
            <w:tcBorders>
              <w:top w:val="nil"/>
              <w:left w:val="nil"/>
              <w:bottom w:val="nil"/>
              <w:right w:val="nil"/>
            </w:tcBorders>
            <w:shd w:val="clear" w:color="auto" w:fill="auto"/>
            <w:noWrap/>
            <w:vAlign w:val="center"/>
            <w:hideMark/>
          </w:tcPr>
          <w:p w14:paraId="3388CEAE"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1.431.941</w:t>
            </w:r>
          </w:p>
        </w:tc>
        <w:tc>
          <w:tcPr>
            <w:tcW w:w="614" w:type="pct"/>
            <w:tcBorders>
              <w:top w:val="nil"/>
              <w:left w:val="nil"/>
              <w:bottom w:val="nil"/>
              <w:right w:val="nil"/>
            </w:tcBorders>
            <w:shd w:val="clear" w:color="auto" w:fill="auto"/>
            <w:noWrap/>
            <w:vAlign w:val="center"/>
          </w:tcPr>
          <w:p w14:paraId="226DBA6F"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480.727</w:t>
            </w:r>
          </w:p>
        </w:tc>
        <w:tc>
          <w:tcPr>
            <w:tcW w:w="612" w:type="pct"/>
            <w:tcBorders>
              <w:top w:val="nil"/>
              <w:left w:val="nil"/>
              <w:bottom w:val="nil"/>
              <w:right w:val="nil"/>
            </w:tcBorders>
            <w:shd w:val="clear" w:color="auto" w:fill="auto"/>
            <w:noWrap/>
            <w:vAlign w:val="center"/>
            <w:hideMark/>
          </w:tcPr>
          <w:p w14:paraId="66960A44"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1.431.941</w:t>
            </w:r>
          </w:p>
        </w:tc>
      </w:tr>
      <w:tr w:rsidR="0047112C" w:rsidRPr="00E20D21" w14:paraId="226F2CDA" w14:textId="77777777">
        <w:trPr>
          <w:trHeight w:val="283"/>
        </w:trPr>
        <w:tc>
          <w:tcPr>
            <w:tcW w:w="2472" w:type="pct"/>
            <w:tcBorders>
              <w:top w:val="nil"/>
              <w:left w:val="nil"/>
              <w:bottom w:val="nil"/>
              <w:right w:val="nil"/>
            </w:tcBorders>
            <w:shd w:val="clear" w:color="auto" w:fill="auto"/>
            <w:vAlign w:val="center"/>
            <w:hideMark/>
          </w:tcPr>
          <w:p w14:paraId="27232B8A" w14:textId="77777777" w:rsidR="0047112C" w:rsidRPr="00E20D21" w:rsidRDefault="0047112C">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Atualização monetária de depósito em garantia</w:t>
            </w:r>
          </w:p>
        </w:tc>
        <w:tc>
          <w:tcPr>
            <w:tcW w:w="688" w:type="pct"/>
            <w:tcBorders>
              <w:top w:val="nil"/>
              <w:left w:val="nil"/>
              <w:bottom w:val="nil"/>
              <w:right w:val="nil"/>
            </w:tcBorders>
            <w:shd w:val="clear" w:color="auto" w:fill="auto"/>
            <w:noWrap/>
            <w:vAlign w:val="center"/>
          </w:tcPr>
          <w:p w14:paraId="0B4A07E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3.034.855</w:t>
            </w:r>
          </w:p>
        </w:tc>
        <w:tc>
          <w:tcPr>
            <w:tcW w:w="614" w:type="pct"/>
            <w:tcBorders>
              <w:top w:val="nil"/>
              <w:left w:val="nil"/>
              <w:bottom w:val="nil"/>
              <w:right w:val="nil"/>
            </w:tcBorders>
            <w:shd w:val="clear" w:color="auto" w:fill="auto"/>
            <w:noWrap/>
            <w:vAlign w:val="center"/>
            <w:hideMark/>
          </w:tcPr>
          <w:p w14:paraId="321D05CD"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2.904.986</w:t>
            </w:r>
          </w:p>
        </w:tc>
        <w:tc>
          <w:tcPr>
            <w:tcW w:w="614" w:type="pct"/>
            <w:tcBorders>
              <w:top w:val="nil"/>
              <w:left w:val="nil"/>
              <w:bottom w:val="nil"/>
              <w:right w:val="nil"/>
            </w:tcBorders>
            <w:shd w:val="clear" w:color="auto" w:fill="auto"/>
            <w:noWrap/>
            <w:vAlign w:val="center"/>
          </w:tcPr>
          <w:p w14:paraId="1E7452C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3.034.855</w:t>
            </w:r>
          </w:p>
        </w:tc>
        <w:tc>
          <w:tcPr>
            <w:tcW w:w="612" w:type="pct"/>
            <w:tcBorders>
              <w:top w:val="nil"/>
              <w:left w:val="nil"/>
              <w:bottom w:val="nil"/>
              <w:right w:val="nil"/>
            </w:tcBorders>
            <w:shd w:val="clear" w:color="auto" w:fill="auto"/>
            <w:noWrap/>
            <w:vAlign w:val="center"/>
            <w:hideMark/>
          </w:tcPr>
          <w:p w14:paraId="6F978250"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2.904.986</w:t>
            </w:r>
          </w:p>
        </w:tc>
      </w:tr>
      <w:tr w:rsidR="0047112C" w:rsidRPr="00E20D21" w14:paraId="77A6586A" w14:textId="77777777">
        <w:trPr>
          <w:trHeight w:val="283"/>
        </w:trPr>
        <w:tc>
          <w:tcPr>
            <w:tcW w:w="2472" w:type="pct"/>
            <w:tcBorders>
              <w:top w:val="nil"/>
              <w:left w:val="nil"/>
              <w:bottom w:val="nil"/>
              <w:right w:val="nil"/>
            </w:tcBorders>
            <w:shd w:val="clear" w:color="auto" w:fill="auto"/>
            <w:vAlign w:val="center"/>
            <w:hideMark/>
          </w:tcPr>
          <w:p w14:paraId="1E186F5B" w14:textId="77777777" w:rsidR="0047112C" w:rsidRPr="00E20D21" w:rsidRDefault="0047112C">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Outras</w:t>
            </w:r>
          </w:p>
        </w:tc>
        <w:tc>
          <w:tcPr>
            <w:tcW w:w="688" w:type="pct"/>
            <w:tcBorders>
              <w:top w:val="nil"/>
              <w:left w:val="nil"/>
              <w:bottom w:val="single" w:sz="4" w:space="0" w:color="F39200"/>
              <w:right w:val="nil"/>
            </w:tcBorders>
            <w:shd w:val="clear" w:color="auto" w:fill="auto"/>
            <w:noWrap/>
            <w:vAlign w:val="center"/>
          </w:tcPr>
          <w:p w14:paraId="2A74A677"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15.427</w:t>
            </w:r>
          </w:p>
        </w:tc>
        <w:tc>
          <w:tcPr>
            <w:tcW w:w="614" w:type="pct"/>
            <w:tcBorders>
              <w:top w:val="nil"/>
              <w:left w:val="nil"/>
              <w:bottom w:val="single" w:sz="4" w:space="0" w:color="F39200"/>
              <w:right w:val="nil"/>
            </w:tcBorders>
            <w:shd w:val="clear" w:color="auto" w:fill="auto"/>
            <w:noWrap/>
            <w:vAlign w:val="center"/>
            <w:hideMark/>
          </w:tcPr>
          <w:p w14:paraId="5822E3BE"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13.885</w:t>
            </w:r>
          </w:p>
        </w:tc>
        <w:tc>
          <w:tcPr>
            <w:tcW w:w="614" w:type="pct"/>
            <w:tcBorders>
              <w:top w:val="nil"/>
              <w:left w:val="nil"/>
              <w:bottom w:val="single" w:sz="4" w:space="0" w:color="F39200"/>
              <w:right w:val="nil"/>
            </w:tcBorders>
            <w:shd w:val="clear" w:color="auto" w:fill="auto"/>
            <w:noWrap/>
            <w:vAlign w:val="center"/>
          </w:tcPr>
          <w:p w14:paraId="4D87D8EC"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20.363</w:t>
            </w:r>
          </w:p>
        </w:tc>
        <w:tc>
          <w:tcPr>
            <w:tcW w:w="612" w:type="pct"/>
            <w:tcBorders>
              <w:top w:val="nil"/>
              <w:left w:val="nil"/>
              <w:bottom w:val="single" w:sz="4" w:space="0" w:color="F39200"/>
              <w:right w:val="nil"/>
            </w:tcBorders>
            <w:shd w:val="clear" w:color="auto" w:fill="auto"/>
            <w:noWrap/>
            <w:vAlign w:val="center"/>
            <w:hideMark/>
          </w:tcPr>
          <w:p w14:paraId="6F99BAF6"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13.892</w:t>
            </w:r>
          </w:p>
        </w:tc>
      </w:tr>
      <w:tr w:rsidR="0047112C" w:rsidRPr="00E20D21" w14:paraId="6BF5FAF5" w14:textId="77777777">
        <w:trPr>
          <w:trHeight w:val="283"/>
        </w:trPr>
        <w:tc>
          <w:tcPr>
            <w:tcW w:w="2472" w:type="pct"/>
            <w:tcBorders>
              <w:top w:val="single" w:sz="4" w:space="0" w:color="F39200"/>
              <w:left w:val="nil"/>
              <w:bottom w:val="single" w:sz="4" w:space="0" w:color="F39200"/>
              <w:right w:val="nil"/>
            </w:tcBorders>
            <w:shd w:val="clear" w:color="auto" w:fill="auto"/>
            <w:noWrap/>
            <w:vAlign w:val="center"/>
            <w:hideMark/>
          </w:tcPr>
          <w:p w14:paraId="439ACDD3"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do passivo fiscal diferido no resultado</w:t>
            </w:r>
          </w:p>
        </w:tc>
        <w:tc>
          <w:tcPr>
            <w:tcW w:w="688" w:type="pct"/>
            <w:tcBorders>
              <w:top w:val="nil"/>
              <w:left w:val="nil"/>
              <w:bottom w:val="single" w:sz="4" w:space="0" w:color="F39200"/>
              <w:right w:val="nil"/>
            </w:tcBorders>
            <w:shd w:val="clear" w:color="auto" w:fill="auto"/>
            <w:noWrap/>
            <w:vAlign w:val="center"/>
          </w:tcPr>
          <w:p w14:paraId="24D6E01C"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3.531.009</w:t>
            </w:r>
          </w:p>
        </w:tc>
        <w:tc>
          <w:tcPr>
            <w:tcW w:w="614" w:type="pct"/>
            <w:tcBorders>
              <w:top w:val="nil"/>
              <w:left w:val="nil"/>
              <w:bottom w:val="single" w:sz="4" w:space="0" w:color="F39200"/>
              <w:right w:val="nil"/>
            </w:tcBorders>
            <w:shd w:val="clear" w:color="auto" w:fill="auto"/>
            <w:noWrap/>
            <w:vAlign w:val="center"/>
            <w:hideMark/>
          </w:tcPr>
          <w:p w14:paraId="62605E72"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4.350.812</w:t>
            </w:r>
          </w:p>
        </w:tc>
        <w:tc>
          <w:tcPr>
            <w:tcW w:w="614" w:type="pct"/>
            <w:tcBorders>
              <w:top w:val="nil"/>
              <w:left w:val="nil"/>
              <w:bottom w:val="single" w:sz="4" w:space="0" w:color="F39200"/>
              <w:right w:val="nil"/>
            </w:tcBorders>
            <w:shd w:val="clear" w:color="auto" w:fill="auto"/>
            <w:noWrap/>
            <w:vAlign w:val="center"/>
          </w:tcPr>
          <w:p w14:paraId="2614382C"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3.535.945</w:t>
            </w:r>
          </w:p>
        </w:tc>
        <w:tc>
          <w:tcPr>
            <w:tcW w:w="612" w:type="pct"/>
            <w:tcBorders>
              <w:top w:val="nil"/>
              <w:left w:val="nil"/>
              <w:bottom w:val="single" w:sz="4" w:space="0" w:color="F39200"/>
              <w:right w:val="nil"/>
            </w:tcBorders>
            <w:shd w:val="clear" w:color="auto" w:fill="auto"/>
            <w:noWrap/>
            <w:vAlign w:val="center"/>
            <w:hideMark/>
          </w:tcPr>
          <w:p w14:paraId="70BBB404"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4.350.819</w:t>
            </w:r>
          </w:p>
        </w:tc>
      </w:tr>
      <w:tr w:rsidR="0047112C" w:rsidRPr="00E20D21" w14:paraId="3D55625E" w14:textId="77777777">
        <w:trPr>
          <w:trHeight w:val="283"/>
        </w:trPr>
        <w:tc>
          <w:tcPr>
            <w:tcW w:w="2472" w:type="pct"/>
            <w:tcBorders>
              <w:top w:val="single" w:sz="4" w:space="0" w:color="F39200"/>
              <w:left w:val="nil"/>
              <w:right w:val="nil"/>
            </w:tcBorders>
            <w:shd w:val="clear" w:color="auto" w:fill="auto"/>
            <w:noWrap/>
            <w:vAlign w:val="center"/>
          </w:tcPr>
          <w:p w14:paraId="56A96C6F" w14:textId="77777777" w:rsidR="0047112C" w:rsidRPr="00E20D21" w:rsidRDefault="0047112C">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Marcação a mercado</w:t>
            </w:r>
          </w:p>
        </w:tc>
        <w:tc>
          <w:tcPr>
            <w:tcW w:w="688" w:type="pct"/>
            <w:tcBorders>
              <w:top w:val="single" w:sz="4" w:space="0" w:color="F39200"/>
              <w:left w:val="nil"/>
              <w:right w:val="nil"/>
            </w:tcBorders>
            <w:shd w:val="clear" w:color="auto" w:fill="auto"/>
            <w:noWrap/>
            <w:vAlign w:val="center"/>
          </w:tcPr>
          <w:p w14:paraId="3CB1B9A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434.123</w:t>
            </w:r>
          </w:p>
        </w:tc>
        <w:tc>
          <w:tcPr>
            <w:tcW w:w="614" w:type="pct"/>
            <w:tcBorders>
              <w:top w:val="single" w:sz="4" w:space="0" w:color="F39200"/>
              <w:left w:val="nil"/>
              <w:right w:val="nil"/>
            </w:tcBorders>
            <w:shd w:val="clear" w:color="auto" w:fill="auto"/>
            <w:noWrap/>
            <w:vAlign w:val="center"/>
          </w:tcPr>
          <w:p w14:paraId="092C7259"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550.328</w:t>
            </w:r>
          </w:p>
        </w:tc>
        <w:tc>
          <w:tcPr>
            <w:tcW w:w="614" w:type="pct"/>
            <w:tcBorders>
              <w:top w:val="single" w:sz="4" w:space="0" w:color="F39200"/>
              <w:left w:val="nil"/>
              <w:right w:val="nil"/>
            </w:tcBorders>
            <w:shd w:val="clear" w:color="auto" w:fill="auto"/>
            <w:noWrap/>
            <w:vAlign w:val="center"/>
          </w:tcPr>
          <w:p w14:paraId="092B6DAB"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434.123</w:t>
            </w:r>
          </w:p>
        </w:tc>
        <w:tc>
          <w:tcPr>
            <w:tcW w:w="612" w:type="pct"/>
            <w:tcBorders>
              <w:top w:val="single" w:sz="4" w:space="0" w:color="F39200"/>
              <w:left w:val="nil"/>
              <w:right w:val="nil"/>
            </w:tcBorders>
            <w:shd w:val="clear" w:color="auto" w:fill="auto"/>
            <w:noWrap/>
            <w:vAlign w:val="center"/>
          </w:tcPr>
          <w:p w14:paraId="621AE879"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550.328</w:t>
            </w:r>
          </w:p>
        </w:tc>
      </w:tr>
      <w:tr w:rsidR="0047112C" w:rsidRPr="00E20D21" w14:paraId="624AA62F" w14:textId="77777777">
        <w:trPr>
          <w:trHeight w:val="283"/>
        </w:trPr>
        <w:tc>
          <w:tcPr>
            <w:tcW w:w="2472" w:type="pct"/>
            <w:tcBorders>
              <w:left w:val="nil"/>
              <w:bottom w:val="single" w:sz="4" w:space="0" w:color="F39200"/>
              <w:right w:val="nil"/>
            </w:tcBorders>
            <w:shd w:val="clear" w:color="auto" w:fill="auto"/>
            <w:vAlign w:val="center"/>
            <w:hideMark/>
          </w:tcPr>
          <w:p w14:paraId="0FAB8605" w14:textId="77777777" w:rsidR="0047112C" w:rsidRPr="00E20D21" w:rsidRDefault="0047112C">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688" w:type="pct"/>
            <w:tcBorders>
              <w:left w:val="nil"/>
              <w:bottom w:val="single" w:sz="4" w:space="0" w:color="F39200"/>
              <w:right w:val="nil"/>
            </w:tcBorders>
            <w:shd w:val="clear" w:color="auto" w:fill="auto"/>
            <w:noWrap/>
            <w:vAlign w:val="center"/>
          </w:tcPr>
          <w:p w14:paraId="42412770"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51.252</w:t>
            </w:r>
          </w:p>
        </w:tc>
        <w:tc>
          <w:tcPr>
            <w:tcW w:w="614" w:type="pct"/>
            <w:tcBorders>
              <w:left w:val="nil"/>
              <w:bottom w:val="single" w:sz="4" w:space="0" w:color="F39200"/>
              <w:right w:val="nil"/>
            </w:tcBorders>
            <w:shd w:val="clear" w:color="auto" w:fill="auto"/>
            <w:noWrap/>
            <w:vAlign w:val="center"/>
            <w:hideMark/>
          </w:tcPr>
          <w:p w14:paraId="5892C150"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54.461</w:t>
            </w:r>
          </w:p>
        </w:tc>
        <w:tc>
          <w:tcPr>
            <w:tcW w:w="614" w:type="pct"/>
            <w:tcBorders>
              <w:left w:val="nil"/>
              <w:bottom w:val="single" w:sz="4" w:space="0" w:color="F39200"/>
              <w:right w:val="nil"/>
            </w:tcBorders>
            <w:shd w:val="clear" w:color="auto" w:fill="auto"/>
            <w:noWrap/>
            <w:vAlign w:val="center"/>
          </w:tcPr>
          <w:p w14:paraId="110EFACC"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51.252</w:t>
            </w:r>
          </w:p>
        </w:tc>
        <w:tc>
          <w:tcPr>
            <w:tcW w:w="612" w:type="pct"/>
            <w:tcBorders>
              <w:left w:val="nil"/>
              <w:bottom w:val="single" w:sz="4" w:space="0" w:color="F39200"/>
              <w:right w:val="nil"/>
            </w:tcBorders>
            <w:shd w:val="clear" w:color="auto" w:fill="auto"/>
            <w:noWrap/>
            <w:vAlign w:val="center"/>
            <w:hideMark/>
          </w:tcPr>
          <w:p w14:paraId="06B82AB2"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54.461</w:t>
            </w:r>
          </w:p>
        </w:tc>
      </w:tr>
      <w:tr w:rsidR="0047112C" w:rsidRPr="00E20D21" w14:paraId="4BEEA61B" w14:textId="77777777">
        <w:trPr>
          <w:trHeight w:val="283"/>
        </w:trPr>
        <w:tc>
          <w:tcPr>
            <w:tcW w:w="2472" w:type="pct"/>
            <w:tcBorders>
              <w:top w:val="nil"/>
              <w:left w:val="nil"/>
              <w:bottom w:val="single" w:sz="4" w:space="0" w:color="F39200"/>
              <w:right w:val="nil"/>
            </w:tcBorders>
            <w:shd w:val="clear" w:color="auto" w:fill="auto"/>
            <w:noWrap/>
            <w:vAlign w:val="center"/>
            <w:hideMark/>
          </w:tcPr>
          <w:p w14:paraId="64D649C4"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do passivo fiscal diferido no PL</w:t>
            </w:r>
          </w:p>
        </w:tc>
        <w:tc>
          <w:tcPr>
            <w:tcW w:w="688" w:type="pct"/>
            <w:tcBorders>
              <w:top w:val="nil"/>
              <w:left w:val="nil"/>
              <w:bottom w:val="single" w:sz="4" w:space="0" w:color="F39200"/>
              <w:right w:val="nil"/>
            </w:tcBorders>
            <w:shd w:val="clear" w:color="auto" w:fill="auto"/>
            <w:noWrap/>
            <w:vAlign w:val="center"/>
          </w:tcPr>
          <w:p w14:paraId="0BD8C53D"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485.375</w:t>
            </w:r>
          </w:p>
        </w:tc>
        <w:tc>
          <w:tcPr>
            <w:tcW w:w="614" w:type="pct"/>
            <w:tcBorders>
              <w:top w:val="nil"/>
              <w:left w:val="nil"/>
              <w:bottom w:val="single" w:sz="4" w:space="0" w:color="F39200"/>
              <w:right w:val="nil"/>
            </w:tcBorders>
            <w:shd w:val="clear" w:color="auto" w:fill="auto"/>
            <w:noWrap/>
            <w:vAlign w:val="center"/>
            <w:hideMark/>
          </w:tcPr>
          <w:p w14:paraId="16137141"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604.789</w:t>
            </w:r>
          </w:p>
        </w:tc>
        <w:tc>
          <w:tcPr>
            <w:tcW w:w="614" w:type="pct"/>
            <w:tcBorders>
              <w:top w:val="nil"/>
              <w:left w:val="nil"/>
              <w:bottom w:val="single" w:sz="4" w:space="0" w:color="F39200"/>
              <w:right w:val="nil"/>
            </w:tcBorders>
            <w:shd w:val="clear" w:color="auto" w:fill="auto"/>
            <w:noWrap/>
            <w:vAlign w:val="center"/>
          </w:tcPr>
          <w:p w14:paraId="02EC9805"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485.375</w:t>
            </w:r>
          </w:p>
        </w:tc>
        <w:tc>
          <w:tcPr>
            <w:tcW w:w="612" w:type="pct"/>
            <w:tcBorders>
              <w:top w:val="nil"/>
              <w:left w:val="nil"/>
              <w:bottom w:val="single" w:sz="4" w:space="0" w:color="F39200"/>
              <w:right w:val="nil"/>
            </w:tcBorders>
            <w:shd w:val="clear" w:color="auto" w:fill="auto"/>
            <w:noWrap/>
            <w:vAlign w:val="center"/>
            <w:hideMark/>
          </w:tcPr>
          <w:p w14:paraId="49909D48"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604.789</w:t>
            </w:r>
          </w:p>
        </w:tc>
      </w:tr>
      <w:tr w:rsidR="0047112C" w:rsidRPr="00E20D21" w14:paraId="2E594B37" w14:textId="77777777">
        <w:trPr>
          <w:trHeight w:val="283"/>
        </w:trPr>
        <w:tc>
          <w:tcPr>
            <w:tcW w:w="2472" w:type="pct"/>
            <w:tcBorders>
              <w:top w:val="nil"/>
              <w:left w:val="nil"/>
              <w:bottom w:val="single" w:sz="4" w:space="0" w:color="F39200"/>
              <w:right w:val="nil"/>
            </w:tcBorders>
            <w:shd w:val="clear" w:color="auto" w:fill="auto"/>
            <w:noWrap/>
            <w:vAlign w:val="center"/>
            <w:hideMark/>
          </w:tcPr>
          <w:p w14:paraId="1D672736"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do passivo fiscal diferido</w:t>
            </w:r>
          </w:p>
        </w:tc>
        <w:tc>
          <w:tcPr>
            <w:tcW w:w="688" w:type="pct"/>
            <w:tcBorders>
              <w:top w:val="nil"/>
              <w:left w:val="nil"/>
              <w:bottom w:val="single" w:sz="4" w:space="0" w:color="F39200"/>
              <w:right w:val="nil"/>
            </w:tcBorders>
            <w:shd w:val="clear" w:color="auto" w:fill="auto"/>
            <w:noWrap/>
            <w:vAlign w:val="center"/>
          </w:tcPr>
          <w:p w14:paraId="19580E73"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4.016.384</w:t>
            </w:r>
          </w:p>
        </w:tc>
        <w:tc>
          <w:tcPr>
            <w:tcW w:w="614" w:type="pct"/>
            <w:tcBorders>
              <w:top w:val="nil"/>
              <w:left w:val="nil"/>
              <w:bottom w:val="single" w:sz="4" w:space="0" w:color="F39200"/>
              <w:right w:val="nil"/>
            </w:tcBorders>
            <w:shd w:val="clear" w:color="auto" w:fill="auto"/>
            <w:noWrap/>
            <w:vAlign w:val="center"/>
            <w:hideMark/>
          </w:tcPr>
          <w:p w14:paraId="622EFE5C"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4.955.601</w:t>
            </w:r>
          </w:p>
        </w:tc>
        <w:tc>
          <w:tcPr>
            <w:tcW w:w="614" w:type="pct"/>
            <w:tcBorders>
              <w:top w:val="nil"/>
              <w:left w:val="nil"/>
              <w:bottom w:val="single" w:sz="4" w:space="0" w:color="F39200"/>
              <w:right w:val="nil"/>
            </w:tcBorders>
            <w:shd w:val="clear" w:color="auto" w:fill="auto"/>
            <w:noWrap/>
            <w:vAlign w:val="center"/>
          </w:tcPr>
          <w:p w14:paraId="3FE0EC2F"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4.021.320</w:t>
            </w:r>
          </w:p>
        </w:tc>
        <w:tc>
          <w:tcPr>
            <w:tcW w:w="612" w:type="pct"/>
            <w:tcBorders>
              <w:top w:val="nil"/>
              <w:left w:val="nil"/>
              <w:bottom w:val="single" w:sz="4" w:space="0" w:color="F39200"/>
              <w:right w:val="nil"/>
            </w:tcBorders>
            <w:shd w:val="clear" w:color="auto" w:fill="auto"/>
            <w:noWrap/>
            <w:vAlign w:val="center"/>
            <w:hideMark/>
          </w:tcPr>
          <w:p w14:paraId="32D19BF8"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4.955.608</w:t>
            </w:r>
          </w:p>
        </w:tc>
      </w:tr>
    </w:tbl>
    <w:p w14:paraId="3BE29B0C" w14:textId="77777777" w:rsidR="00D07531" w:rsidRPr="00E20D21" w:rsidRDefault="00D07531" w:rsidP="00D07531">
      <w:pPr>
        <w:rPr>
          <w:rFonts w:ascii="CAIXA Std Book" w:eastAsia="Times New Roman" w:hAnsi="CAIXA Std Book" w:cs="Arial"/>
          <w:b/>
          <w:bCs/>
          <w:color w:val="005CA9"/>
          <w:sz w:val="18"/>
          <w:szCs w:val="18"/>
        </w:rPr>
        <w:sectPr w:rsidR="00D07531" w:rsidRPr="00E20D21" w:rsidSect="001F0E96">
          <w:headerReference w:type="default" r:id="rId62"/>
          <w:footerReference w:type="default" r:id="rId63"/>
          <w:headerReference w:type="first" r:id="rId64"/>
          <w:footerReference w:type="first" r:id="rId65"/>
          <w:pgSz w:w="11906" w:h="16838"/>
          <w:pgMar w:top="1276" w:right="851" w:bottom="851" w:left="1418" w:header="1134" w:footer="709" w:gutter="0"/>
          <w:cols w:space="708"/>
          <w:docGrid w:linePitch="360"/>
        </w:sectPr>
      </w:pPr>
    </w:p>
    <w:p w14:paraId="7F62F8F1" w14:textId="20646B83" w:rsidR="003B762C" w:rsidRPr="00E20D21" w:rsidRDefault="006C2BF9" w:rsidP="00051BF7">
      <w:pPr>
        <w:keepNext/>
        <w:spacing w:before="240" w:after="12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w:t>
      </w:r>
      <w:r w:rsidR="005C0989" w:rsidRPr="00E20D21">
        <w:rPr>
          <w:rFonts w:ascii="CAIXA Std Book" w:hAnsi="CAIXA Std Book"/>
          <w:b/>
          <w:color w:val="005CA9"/>
          <w:sz w:val="20"/>
          <w:szCs w:val="20"/>
        </w:rPr>
        <w:t>d)</w:t>
      </w:r>
      <w:r w:rsidR="00742D90" w:rsidRPr="00E20D21">
        <w:rPr>
          <w:rFonts w:ascii="CAIXA Std Book" w:hAnsi="CAIXA Std Book"/>
          <w:b/>
          <w:color w:val="005CA9"/>
          <w:sz w:val="20"/>
          <w:szCs w:val="20"/>
        </w:rPr>
        <w:tab/>
      </w:r>
      <w:r w:rsidR="003B762C" w:rsidRPr="00E20D21">
        <w:rPr>
          <w:rFonts w:ascii="CAIXA Std Book" w:hAnsi="CAIXA Std Book"/>
          <w:b/>
          <w:color w:val="005CA9"/>
          <w:sz w:val="20"/>
          <w:szCs w:val="20"/>
        </w:rPr>
        <w:t>Ativo fiscal diferido</w:t>
      </w:r>
    </w:p>
    <w:tbl>
      <w:tblPr>
        <w:tblW w:w="5000" w:type="pct"/>
        <w:tblCellMar>
          <w:left w:w="70" w:type="dxa"/>
          <w:right w:w="70" w:type="dxa"/>
        </w:tblCellMar>
        <w:tblLook w:val="04A0" w:firstRow="1" w:lastRow="0" w:firstColumn="1" w:lastColumn="0" w:noHBand="0" w:noVBand="1"/>
      </w:tblPr>
      <w:tblGrid>
        <w:gridCol w:w="5003"/>
        <w:gridCol w:w="1177"/>
        <w:gridCol w:w="1196"/>
        <w:gridCol w:w="1233"/>
        <w:gridCol w:w="1177"/>
        <w:gridCol w:w="1177"/>
        <w:gridCol w:w="1196"/>
        <w:gridCol w:w="1233"/>
        <w:gridCol w:w="1177"/>
      </w:tblGrid>
      <w:tr w:rsidR="0047112C" w:rsidRPr="00E20D21" w14:paraId="4AC001C0" w14:textId="77777777">
        <w:trPr>
          <w:trHeight w:val="283"/>
        </w:trPr>
        <w:tc>
          <w:tcPr>
            <w:tcW w:w="1717" w:type="pct"/>
            <w:vMerge w:val="restart"/>
            <w:tcBorders>
              <w:top w:val="single" w:sz="4" w:space="0" w:color="F39200"/>
              <w:left w:val="nil"/>
              <w:bottom w:val="single" w:sz="4" w:space="0" w:color="F39200"/>
              <w:right w:val="nil"/>
            </w:tcBorders>
            <w:shd w:val="clear" w:color="auto" w:fill="auto"/>
            <w:vAlign w:val="center"/>
            <w:hideMark/>
          </w:tcPr>
          <w:p w14:paraId="41FF4D62"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641" w:type="pct"/>
            <w:gridSpan w:val="4"/>
            <w:tcBorders>
              <w:top w:val="single" w:sz="4" w:space="0" w:color="F39200"/>
              <w:left w:val="nil"/>
              <w:bottom w:val="single" w:sz="4" w:space="0" w:color="F39200"/>
              <w:right w:val="nil"/>
            </w:tcBorders>
            <w:shd w:val="clear" w:color="auto" w:fill="auto"/>
            <w:noWrap/>
            <w:vAlign w:val="center"/>
            <w:hideMark/>
          </w:tcPr>
          <w:p w14:paraId="7A4885CF"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641" w:type="pct"/>
            <w:gridSpan w:val="4"/>
            <w:tcBorders>
              <w:top w:val="single" w:sz="4" w:space="0" w:color="F39200"/>
              <w:left w:val="nil"/>
              <w:bottom w:val="single" w:sz="4" w:space="0" w:color="F39200"/>
              <w:right w:val="nil"/>
            </w:tcBorders>
            <w:shd w:val="clear" w:color="auto" w:fill="auto"/>
            <w:noWrap/>
            <w:vAlign w:val="center"/>
            <w:hideMark/>
          </w:tcPr>
          <w:p w14:paraId="4B4254E7"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47112C" w:rsidRPr="00E20D21" w14:paraId="2DB56614" w14:textId="77777777">
        <w:trPr>
          <w:trHeight w:val="283"/>
        </w:trPr>
        <w:tc>
          <w:tcPr>
            <w:tcW w:w="1717" w:type="pct"/>
            <w:vMerge/>
            <w:tcBorders>
              <w:top w:val="single" w:sz="4" w:space="0" w:color="F39200"/>
              <w:left w:val="nil"/>
              <w:bottom w:val="single" w:sz="4" w:space="0" w:color="F39200"/>
              <w:right w:val="nil"/>
            </w:tcBorders>
            <w:vAlign w:val="center"/>
            <w:hideMark/>
          </w:tcPr>
          <w:p w14:paraId="431008CD" w14:textId="77777777" w:rsidR="0047112C" w:rsidRPr="00E20D21" w:rsidRDefault="0047112C">
            <w:pPr>
              <w:rPr>
                <w:rFonts w:ascii="CAIXA Std Book" w:eastAsia="Times New Roman" w:hAnsi="CAIXA Std Book" w:cs="Arial"/>
                <w:b/>
                <w:bCs/>
                <w:color w:val="005CA9"/>
                <w:sz w:val="18"/>
                <w:szCs w:val="18"/>
              </w:rPr>
            </w:pPr>
          </w:p>
        </w:tc>
        <w:tc>
          <w:tcPr>
            <w:tcW w:w="404" w:type="pct"/>
            <w:tcBorders>
              <w:top w:val="nil"/>
              <w:left w:val="nil"/>
              <w:bottom w:val="single" w:sz="4" w:space="0" w:color="F39200"/>
              <w:right w:val="nil"/>
            </w:tcBorders>
            <w:shd w:val="clear" w:color="auto" w:fill="auto"/>
            <w:vAlign w:val="center"/>
            <w:hideMark/>
          </w:tcPr>
          <w:p w14:paraId="592E8972"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c>
          <w:tcPr>
            <w:tcW w:w="410" w:type="pct"/>
            <w:tcBorders>
              <w:top w:val="nil"/>
              <w:left w:val="nil"/>
              <w:bottom w:val="single" w:sz="4" w:space="0" w:color="F39200"/>
              <w:right w:val="nil"/>
            </w:tcBorders>
            <w:shd w:val="clear" w:color="auto" w:fill="auto"/>
            <w:vAlign w:val="center"/>
            <w:hideMark/>
          </w:tcPr>
          <w:p w14:paraId="695BC69C"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Constituição</w:t>
            </w:r>
          </w:p>
        </w:tc>
        <w:tc>
          <w:tcPr>
            <w:tcW w:w="423" w:type="pct"/>
            <w:tcBorders>
              <w:top w:val="nil"/>
              <w:left w:val="nil"/>
              <w:bottom w:val="single" w:sz="4" w:space="0" w:color="F39200"/>
              <w:right w:val="nil"/>
            </w:tcBorders>
            <w:shd w:val="clear" w:color="auto" w:fill="auto"/>
            <w:vAlign w:val="center"/>
            <w:hideMark/>
          </w:tcPr>
          <w:p w14:paraId="00DF339B"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Reversão</w:t>
            </w:r>
          </w:p>
        </w:tc>
        <w:tc>
          <w:tcPr>
            <w:tcW w:w="404" w:type="pct"/>
            <w:tcBorders>
              <w:top w:val="nil"/>
              <w:left w:val="nil"/>
              <w:bottom w:val="single" w:sz="4" w:space="0" w:color="F39200"/>
              <w:right w:val="nil"/>
            </w:tcBorders>
            <w:shd w:val="clear" w:color="auto" w:fill="auto"/>
            <w:vAlign w:val="center"/>
            <w:hideMark/>
          </w:tcPr>
          <w:p w14:paraId="0DCB6820"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404" w:type="pct"/>
            <w:tcBorders>
              <w:top w:val="nil"/>
              <w:left w:val="nil"/>
              <w:bottom w:val="single" w:sz="4" w:space="0" w:color="F39200"/>
              <w:right w:val="nil"/>
            </w:tcBorders>
            <w:shd w:val="clear" w:color="auto" w:fill="auto"/>
            <w:vAlign w:val="center"/>
            <w:hideMark/>
          </w:tcPr>
          <w:p w14:paraId="4F664A8C"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c>
          <w:tcPr>
            <w:tcW w:w="410" w:type="pct"/>
            <w:tcBorders>
              <w:top w:val="nil"/>
              <w:left w:val="nil"/>
              <w:bottom w:val="single" w:sz="4" w:space="0" w:color="F39200"/>
              <w:right w:val="nil"/>
            </w:tcBorders>
            <w:shd w:val="clear" w:color="auto" w:fill="auto"/>
            <w:vAlign w:val="center"/>
            <w:hideMark/>
          </w:tcPr>
          <w:p w14:paraId="2246C7AC"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Constituição</w:t>
            </w:r>
          </w:p>
        </w:tc>
        <w:tc>
          <w:tcPr>
            <w:tcW w:w="423" w:type="pct"/>
            <w:tcBorders>
              <w:top w:val="nil"/>
              <w:left w:val="nil"/>
              <w:bottom w:val="single" w:sz="4" w:space="0" w:color="F39200"/>
              <w:right w:val="nil"/>
            </w:tcBorders>
            <w:shd w:val="clear" w:color="auto" w:fill="auto"/>
            <w:vAlign w:val="center"/>
            <w:hideMark/>
          </w:tcPr>
          <w:p w14:paraId="1066D55F"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Reversão</w:t>
            </w:r>
          </w:p>
        </w:tc>
        <w:tc>
          <w:tcPr>
            <w:tcW w:w="404" w:type="pct"/>
            <w:tcBorders>
              <w:top w:val="nil"/>
              <w:left w:val="nil"/>
              <w:bottom w:val="single" w:sz="4" w:space="0" w:color="F39200"/>
              <w:right w:val="nil"/>
            </w:tcBorders>
            <w:shd w:val="clear" w:color="auto" w:fill="auto"/>
            <w:vAlign w:val="center"/>
            <w:hideMark/>
          </w:tcPr>
          <w:p w14:paraId="541466B7"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r>
      <w:tr w:rsidR="00653DAF" w:rsidRPr="00E20D21" w14:paraId="5A20E272" w14:textId="77777777">
        <w:trPr>
          <w:trHeight w:val="283"/>
        </w:trPr>
        <w:tc>
          <w:tcPr>
            <w:tcW w:w="1717" w:type="pct"/>
            <w:tcBorders>
              <w:top w:val="nil"/>
              <w:left w:val="nil"/>
              <w:bottom w:val="nil"/>
              <w:right w:val="nil"/>
            </w:tcBorders>
            <w:shd w:val="clear" w:color="auto" w:fill="auto"/>
            <w:vAlign w:val="center"/>
            <w:hideMark/>
          </w:tcPr>
          <w:p w14:paraId="2319E0D0" w14:textId="77777777" w:rsidR="00653DAF" w:rsidRPr="00E20D21" w:rsidRDefault="00653DAF" w:rsidP="00653DAF">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Diferenças temporárias</w:t>
            </w:r>
          </w:p>
        </w:tc>
        <w:tc>
          <w:tcPr>
            <w:tcW w:w="404" w:type="pct"/>
            <w:tcBorders>
              <w:top w:val="nil"/>
              <w:left w:val="nil"/>
              <w:bottom w:val="nil"/>
              <w:right w:val="nil"/>
            </w:tcBorders>
            <w:shd w:val="clear" w:color="auto" w:fill="auto"/>
            <w:noWrap/>
            <w:vAlign w:val="center"/>
            <w:hideMark/>
          </w:tcPr>
          <w:p w14:paraId="32D25358" w14:textId="77777777" w:rsidR="00653DAF" w:rsidRPr="00E20D21" w:rsidRDefault="00653DAF" w:rsidP="00653DAF">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50.121.993</w:t>
            </w:r>
          </w:p>
        </w:tc>
        <w:tc>
          <w:tcPr>
            <w:tcW w:w="410" w:type="pct"/>
            <w:tcBorders>
              <w:top w:val="nil"/>
              <w:left w:val="nil"/>
              <w:bottom w:val="nil"/>
              <w:right w:val="nil"/>
            </w:tcBorders>
            <w:shd w:val="clear" w:color="auto" w:fill="auto"/>
            <w:noWrap/>
            <w:vAlign w:val="center"/>
          </w:tcPr>
          <w:p w14:paraId="49D43142" w14:textId="3A6AFEDA" w:rsidR="00653DAF" w:rsidRPr="00E20D21" w:rsidRDefault="00653DAF" w:rsidP="00653DAF">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16.518.344</w:t>
            </w:r>
          </w:p>
        </w:tc>
        <w:tc>
          <w:tcPr>
            <w:tcW w:w="423" w:type="pct"/>
            <w:tcBorders>
              <w:top w:val="nil"/>
              <w:left w:val="nil"/>
              <w:bottom w:val="nil"/>
              <w:right w:val="nil"/>
            </w:tcBorders>
            <w:shd w:val="clear" w:color="auto" w:fill="auto"/>
            <w:noWrap/>
            <w:vAlign w:val="center"/>
          </w:tcPr>
          <w:p w14:paraId="6C728618" w14:textId="77777777" w:rsidR="00653DAF" w:rsidRPr="00E20D21" w:rsidRDefault="00653DAF" w:rsidP="00653DAF">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(13.746.045)</w:t>
            </w:r>
          </w:p>
        </w:tc>
        <w:tc>
          <w:tcPr>
            <w:tcW w:w="404" w:type="pct"/>
            <w:tcBorders>
              <w:top w:val="nil"/>
              <w:left w:val="nil"/>
              <w:bottom w:val="nil"/>
              <w:right w:val="nil"/>
            </w:tcBorders>
            <w:shd w:val="clear" w:color="auto" w:fill="auto"/>
            <w:noWrap/>
            <w:vAlign w:val="center"/>
          </w:tcPr>
          <w:p w14:paraId="008F2DC0" w14:textId="77777777" w:rsidR="00653DAF" w:rsidRPr="00E20D21" w:rsidRDefault="00653DAF" w:rsidP="00653DAF">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52.894.292</w:t>
            </w:r>
          </w:p>
        </w:tc>
        <w:tc>
          <w:tcPr>
            <w:tcW w:w="404" w:type="pct"/>
            <w:tcBorders>
              <w:top w:val="nil"/>
              <w:left w:val="nil"/>
              <w:bottom w:val="nil"/>
              <w:right w:val="nil"/>
            </w:tcBorders>
            <w:shd w:val="clear" w:color="auto" w:fill="auto"/>
            <w:noWrap/>
            <w:vAlign w:val="center"/>
            <w:hideMark/>
          </w:tcPr>
          <w:p w14:paraId="0FDAC8F0" w14:textId="77777777" w:rsidR="00653DAF" w:rsidRPr="00E20D21" w:rsidRDefault="00653DAF" w:rsidP="00653DAF">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50.122.000</w:t>
            </w:r>
          </w:p>
        </w:tc>
        <w:tc>
          <w:tcPr>
            <w:tcW w:w="410" w:type="pct"/>
            <w:tcBorders>
              <w:top w:val="nil"/>
              <w:left w:val="nil"/>
              <w:bottom w:val="nil"/>
              <w:right w:val="nil"/>
            </w:tcBorders>
            <w:shd w:val="clear" w:color="auto" w:fill="auto"/>
            <w:noWrap/>
            <w:vAlign w:val="center"/>
          </w:tcPr>
          <w:p w14:paraId="575B5CC7" w14:textId="59CD6FA6" w:rsidR="00653DAF" w:rsidRPr="00E20D21" w:rsidRDefault="00653DAF" w:rsidP="00653DAF">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16.518.600</w:t>
            </w:r>
          </w:p>
        </w:tc>
        <w:tc>
          <w:tcPr>
            <w:tcW w:w="423" w:type="pct"/>
            <w:tcBorders>
              <w:top w:val="nil"/>
              <w:left w:val="nil"/>
              <w:bottom w:val="nil"/>
              <w:right w:val="nil"/>
            </w:tcBorders>
            <w:shd w:val="clear" w:color="auto" w:fill="auto"/>
            <w:noWrap/>
            <w:vAlign w:val="center"/>
          </w:tcPr>
          <w:p w14:paraId="67032F78" w14:textId="77777777" w:rsidR="00653DAF" w:rsidRPr="00E20D21" w:rsidRDefault="00653DAF" w:rsidP="00653DAF">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(13.746.045)</w:t>
            </w:r>
          </w:p>
        </w:tc>
        <w:tc>
          <w:tcPr>
            <w:tcW w:w="404" w:type="pct"/>
            <w:tcBorders>
              <w:top w:val="nil"/>
              <w:left w:val="nil"/>
              <w:bottom w:val="nil"/>
              <w:right w:val="nil"/>
            </w:tcBorders>
            <w:shd w:val="clear" w:color="auto" w:fill="auto"/>
            <w:noWrap/>
            <w:vAlign w:val="center"/>
          </w:tcPr>
          <w:p w14:paraId="004109C8" w14:textId="77777777" w:rsidR="00653DAF" w:rsidRPr="00E20D21" w:rsidRDefault="00653DAF" w:rsidP="00653DAF">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52.894.555</w:t>
            </w:r>
          </w:p>
        </w:tc>
      </w:tr>
      <w:tr w:rsidR="00653DAF" w:rsidRPr="00E20D21" w14:paraId="62D75A7F" w14:textId="77777777">
        <w:trPr>
          <w:trHeight w:val="283"/>
        </w:trPr>
        <w:tc>
          <w:tcPr>
            <w:tcW w:w="1717" w:type="pct"/>
            <w:tcBorders>
              <w:top w:val="nil"/>
              <w:left w:val="nil"/>
              <w:bottom w:val="nil"/>
              <w:right w:val="nil"/>
            </w:tcBorders>
            <w:shd w:val="clear" w:color="auto" w:fill="auto"/>
            <w:vAlign w:val="center"/>
            <w:hideMark/>
          </w:tcPr>
          <w:p w14:paraId="3A9C1060" w14:textId="77777777"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Provisão para créditos de liquidação duvidosa</w:t>
            </w:r>
          </w:p>
        </w:tc>
        <w:tc>
          <w:tcPr>
            <w:tcW w:w="404" w:type="pct"/>
            <w:tcBorders>
              <w:top w:val="nil"/>
              <w:left w:val="nil"/>
              <w:bottom w:val="nil"/>
              <w:right w:val="nil"/>
            </w:tcBorders>
            <w:shd w:val="clear" w:color="auto" w:fill="auto"/>
            <w:noWrap/>
            <w:vAlign w:val="center"/>
            <w:hideMark/>
          </w:tcPr>
          <w:p w14:paraId="102CF663"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30.660.536</w:t>
            </w:r>
          </w:p>
        </w:tc>
        <w:tc>
          <w:tcPr>
            <w:tcW w:w="410" w:type="pct"/>
            <w:tcBorders>
              <w:top w:val="nil"/>
              <w:left w:val="nil"/>
              <w:bottom w:val="nil"/>
              <w:right w:val="nil"/>
            </w:tcBorders>
            <w:shd w:val="clear" w:color="auto" w:fill="auto"/>
            <w:noWrap/>
            <w:vAlign w:val="center"/>
          </w:tcPr>
          <w:p w14:paraId="27F500B1" w14:textId="186A1AA1"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12.312.020</w:t>
            </w:r>
          </w:p>
        </w:tc>
        <w:tc>
          <w:tcPr>
            <w:tcW w:w="423" w:type="pct"/>
            <w:tcBorders>
              <w:top w:val="nil"/>
              <w:left w:val="nil"/>
              <w:bottom w:val="nil"/>
              <w:right w:val="nil"/>
            </w:tcBorders>
            <w:shd w:val="clear" w:color="auto" w:fill="auto"/>
            <w:vAlign w:val="center"/>
          </w:tcPr>
          <w:p w14:paraId="7D286023"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(10.497.466)</w:t>
            </w:r>
          </w:p>
        </w:tc>
        <w:tc>
          <w:tcPr>
            <w:tcW w:w="404" w:type="pct"/>
            <w:tcBorders>
              <w:top w:val="nil"/>
              <w:left w:val="nil"/>
              <w:bottom w:val="nil"/>
              <w:right w:val="nil"/>
            </w:tcBorders>
            <w:shd w:val="clear" w:color="auto" w:fill="auto"/>
            <w:noWrap/>
            <w:vAlign w:val="center"/>
          </w:tcPr>
          <w:p w14:paraId="10FD16C1"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32.475.090</w:t>
            </w:r>
          </w:p>
        </w:tc>
        <w:tc>
          <w:tcPr>
            <w:tcW w:w="404" w:type="pct"/>
            <w:tcBorders>
              <w:top w:val="nil"/>
              <w:left w:val="nil"/>
              <w:bottom w:val="nil"/>
              <w:right w:val="nil"/>
            </w:tcBorders>
            <w:shd w:val="clear" w:color="auto" w:fill="auto"/>
            <w:noWrap/>
            <w:vAlign w:val="center"/>
            <w:hideMark/>
          </w:tcPr>
          <w:p w14:paraId="585E9D4A"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30.660.536</w:t>
            </w:r>
          </w:p>
        </w:tc>
        <w:tc>
          <w:tcPr>
            <w:tcW w:w="410" w:type="pct"/>
            <w:tcBorders>
              <w:top w:val="nil"/>
              <w:left w:val="nil"/>
              <w:bottom w:val="nil"/>
              <w:right w:val="nil"/>
            </w:tcBorders>
            <w:shd w:val="clear" w:color="auto" w:fill="auto"/>
            <w:noWrap/>
            <w:vAlign w:val="center"/>
          </w:tcPr>
          <w:p w14:paraId="40C4FC0B" w14:textId="10EF871D"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12.312.020</w:t>
            </w:r>
          </w:p>
        </w:tc>
        <w:tc>
          <w:tcPr>
            <w:tcW w:w="423" w:type="pct"/>
            <w:tcBorders>
              <w:top w:val="nil"/>
              <w:left w:val="nil"/>
              <w:bottom w:val="nil"/>
              <w:right w:val="nil"/>
            </w:tcBorders>
            <w:shd w:val="clear" w:color="auto" w:fill="auto"/>
            <w:vAlign w:val="center"/>
          </w:tcPr>
          <w:p w14:paraId="60061BDE"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(10.497.466)</w:t>
            </w:r>
          </w:p>
        </w:tc>
        <w:tc>
          <w:tcPr>
            <w:tcW w:w="404" w:type="pct"/>
            <w:tcBorders>
              <w:top w:val="nil"/>
              <w:left w:val="nil"/>
              <w:bottom w:val="nil"/>
              <w:right w:val="nil"/>
            </w:tcBorders>
            <w:shd w:val="clear" w:color="auto" w:fill="auto"/>
            <w:noWrap/>
            <w:vAlign w:val="center"/>
          </w:tcPr>
          <w:p w14:paraId="656806BD"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32.475.090</w:t>
            </w:r>
          </w:p>
        </w:tc>
      </w:tr>
      <w:tr w:rsidR="00653DAF" w:rsidRPr="00E20D21" w14:paraId="574FA69E" w14:textId="77777777">
        <w:trPr>
          <w:trHeight w:val="283"/>
        </w:trPr>
        <w:tc>
          <w:tcPr>
            <w:tcW w:w="1717" w:type="pct"/>
            <w:tcBorders>
              <w:top w:val="nil"/>
              <w:left w:val="nil"/>
              <w:bottom w:val="nil"/>
              <w:right w:val="nil"/>
            </w:tcBorders>
            <w:shd w:val="clear" w:color="auto" w:fill="auto"/>
            <w:vAlign w:val="center"/>
            <w:hideMark/>
          </w:tcPr>
          <w:p w14:paraId="7AB7B22B" w14:textId="77777777"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Passivos atuariais</w:t>
            </w:r>
          </w:p>
        </w:tc>
        <w:tc>
          <w:tcPr>
            <w:tcW w:w="404" w:type="pct"/>
            <w:tcBorders>
              <w:top w:val="nil"/>
              <w:left w:val="nil"/>
              <w:bottom w:val="nil"/>
              <w:right w:val="nil"/>
            </w:tcBorders>
            <w:shd w:val="clear" w:color="auto" w:fill="auto"/>
            <w:noWrap/>
            <w:vAlign w:val="center"/>
            <w:hideMark/>
          </w:tcPr>
          <w:p w14:paraId="743B1B5F"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4.231.814</w:t>
            </w:r>
          </w:p>
        </w:tc>
        <w:tc>
          <w:tcPr>
            <w:tcW w:w="410" w:type="pct"/>
            <w:tcBorders>
              <w:top w:val="nil"/>
              <w:left w:val="nil"/>
              <w:bottom w:val="nil"/>
              <w:right w:val="nil"/>
            </w:tcBorders>
            <w:shd w:val="clear" w:color="auto" w:fill="auto"/>
            <w:noWrap/>
            <w:vAlign w:val="center"/>
          </w:tcPr>
          <w:p w14:paraId="1A96002D" w14:textId="5481D09E"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318.021</w:t>
            </w:r>
          </w:p>
        </w:tc>
        <w:tc>
          <w:tcPr>
            <w:tcW w:w="423" w:type="pct"/>
            <w:tcBorders>
              <w:top w:val="nil"/>
              <w:left w:val="nil"/>
              <w:bottom w:val="nil"/>
              <w:right w:val="nil"/>
            </w:tcBorders>
            <w:shd w:val="clear" w:color="auto" w:fill="auto"/>
            <w:vAlign w:val="center"/>
          </w:tcPr>
          <w:p w14:paraId="07919126"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(311.239)</w:t>
            </w:r>
          </w:p>
        </w:tc>
        <w:tc>
          <w:tcPr>
            <w:tcW w:w="404" w:type="pct"/>
            <w:tcBorders>
              <w:top w:val="nil"/>
              <w:left w:val="nil"/>
              <w:bottom w:val="nil"/>
              <w:right w:val="nil"/>
            </w:tcBorders>
            <w:shd w:val="clear" w:color="auto" w:fill="auto"/>
            <w:noWrap/>
            <w:vAlign w:val="center"/>
          </w:tcPr>
          <w:p w14:paraId="767A0743"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4.238.596</w:t>
            </w:r>
          </w:p>
        </w:tc>
        <w:tc>
          <w:tcPr>
            <w:tcW w:w="404" w:type="pct"/>
            <w:tcBorders>
              <w:top w:val="nil"/>
              <w:left w:val="nil"/>
              <w:bottom w:val="nil"/>
              <w:right w:val="nil"/>
            </w:tcBorders>
            <w:shd w:val="clear" w:color="auto" w:fill="auto"/>
            <w:noWrap/>
            <w:vAlign w:val="center"/>
            <w:hideMark/>
          </w:tcPr>
          <w:p w14:paraId="427598D7"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4.231.814</w:t>
            </w:r>
          </w:p>
        </w:tc>
        <w:tc>
          <w:tcPr>
            <w:tcW w:w="410" w:type="pct"/>
            <w:tcBorders>
              <w:top w:val="nil"/>
              <w:left w:val="nil"/>
              <w:bottom w:val="nil"/>
              <w:right w:val="nil"/>
            </w:tcBorders>
            <w:shd w:val="clear" w:color="auto" w:fill="auto"/>
            <w:noWrap/>
            <w:vAlign w:val="center"/>
          </w:tcPr>
          <w:p w14:paraId="3475418E" w14:textId="56CABCD8"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318.021</w:t>
            </w:r>
          </w:p>
        </w:tc>
        <w:tc>
          <w:tcPr>
            <w:tcW w:w="423" w:type="pct"/>
            <w:tcBorders>
              <w:top w:val="nil"/>
              <w:left w:val="nil"/>
              <w:bottom w:val="nil"/>
              <w:right w:val="nil"/>
            </w:tcBorders>
            <w:shd w:val="clear" w:color="auto" w:fill="auto"/>
            <w:vAlign w:val="center"/>
          </w:tcPr>
          <w:p w14:paraId="1160A913"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(311.239)</w:t>
            </w:r>
          </w:p>
        </w:tc>
        <w:tc>
          <w:tcPr>
            <w:tcW w:w="404" w:type="pct"/>
            <w:tcBorders>
              <w:top w:val="nil"/>
              <w:left w:val="nil"/>
              <w:bottom w:val="nil"/>
              <w:right w:val="nil"/>
            </w:tcBorders>
            <w:shd w:val="clear" w:color="auto" w:fill="auto"/>
            <w:noWrap/>
            <w:vAlign w:val="center"/>
          </w:tcPr>
          <w:p w14:paraId="4442F221"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4.238.596</w:t>
            </w:r>
          </w:p>
        </w:tc>
      </w:tr>
      <w:tr w:rsidR="00653DAF" w:rsidRPr="00E20D21" w14:paraId="38391DDF" w14:textId="77777777">
        <w:trPr>
          <w:trHeight w:val="283"/>
        </w:trPr>
        <w:tc>
          <w:tcPr>
            <w:tcW w:w="1717" w:type="pct"/>
            <w:tcBorders>
              <w:top w:val="nil"/>
              <w:left w:val="nil"/>
              <w:bottom w:val="nil"/>
              <w:right w:val="nil"/>
            </w:tcBorders>
            <w:shd w:val="clear" w:color="auto" w:fill="auto"/>
            <w:vAlign w:val="center"/>
            <w:hideMark/>
          </w:tcPr>
          <w:p w14:paraId="25B7D1F1" w14:textId="77777777"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Provisões trabalhistas</w:t>
            </w:r>
          </w:p>
        </w:tc>
        <w:tc>
          <w:tcPr>
            <w:tcW w:w="404" w:type="pct"/>
            <w:tcBorders>
              <w:top w:val="nil"/>
              <w:left w:val="nil"/>
              <w:bottom w:val="nil"/>
              <w:right w:val="nil"/>
            </w:tcBorders>
            <w:shd w:val="clear" w:color="auto" w:fill="auto"/>
            <w:noWrap/>
            <w:vAlign w:val="center"/>
            <w:hideMark/>
          </w:tcPr>
          <w:p w14:paraId="17FDDC86"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3.156.593</w:t>
            </w:r>
          </w:p>
        </w:tc>
        <w:tc>
          <w:tcPr>
            <w:tcW w:w="410" w:type="pct"/>
            <w:tcBorders>
              <w:top w:val="nil"/>
              <w:left w:val="nil"/>
              <w:bottom w:val="nil"/>
              <w:right w:val="nil"/>
            </w:tcBorders>
            <w:shd w:val="clear" w:color="auto" w:fill="auto"/>
            <w:noWrap/>
            <w:vAlign w:val="center"/>
          </w:tcPr>
          <w:p w14:paraId="0101CF95" w14:textId="469BD168"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498.572</w:t>
            </w:r>
          </w:p>
        </w:tc>
        <w:tc>
          <w:tcPr>
            <w:tcW w:w="423" w:type="pct"/>
            <w:tcBorders>
              <w:top w:val="nil"/>
              <w:left w:val="nil"/>
              <w:bottom w:val="nil"/>
              <w:right w:val="nil"/>
            </w:tcBorders>
            <w:shd w:val="clear" w:color="auto" w:fill="auto"/>
            <w:vAlign w:val="center"/>
          </w:tcPr>
          <w:p w14:paraId="3D8544DF"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(651.018)</w:t>
            </w:r>
          </w:p>
        </w:tc>
        <w:tc>
          <w:tcPr>
            <w:tcW w:w="404" w:type="pct"/>
            <w:tcBorders>
              <w:top w:val="nil"/>
              <w:left w:val="nil"/>
              <w:bottom w:val="nil"/>
              <w:right w:val="nil"/>
            </w:tcBorders>
            <w:shd w:val="clear" w:color="auto" w:fill="auto"/>
            <w:noWrap/>
            <w:vAlign w:val="center"/>
          </w:tcPr>
          <w:p w14:paraId="3CAFEC44"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3.004.147</w:t>
            </w:r>
          </w:p>
        </w:tc>
        <w:tc>
          <w:tcPr>
            <w:tcW w:w="404" w:type="pct"/>
            <w:tcBorders>
              <w:top w:val="nil"/>
              <w:left w:val="nil"/>
              <w:bottom w:val="nil"/>
              <w:right w:val="nil"/>
            </w:tcBorders>
            <w:shd w:val="clear" w:color="auto" w:fill="auto"/>
            <w:noWrap/>
            <w:vAlign w:val="center"/>
            <w:hideMark/>
          </w:tcPr>
          <w:p w14:paraId="4407B60F"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3.156.593</w:t>
            </w:r>
          </w:p>
        </w:tc>
        <w:tc>
          <w:tcPr>
            <w:tcW w:w="410" w:type="pct"/>
            <w:tcBorders>
              <w:top w:val="nil"/>
              <w:left w:val="nil"/>
              <w:bottom w:val="nil"/>
              <w:right w:val="nil"/>
            </w:tcBorders>
            <w:shd w:val="clear" w:color="auto" w:fill="auto"/>
            <w:noWrap/>
            <w:vAlign w:val="center"/>
          </w:tcPr>
          <w:p w14:paraId="76E0309E" w14:textId="46B89D68"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498.572</w:t>
            </w:r>
          </w:p>
        </w:tc>
        <w:tc>
          <w:tcPr>
            <w:tcW w:w="423" w:type="pct"/>
            <w:tcBorders>
              <w:top w:val="nil"/>
              <w:left w:val="nil"/>
              <w:bottom w:val="nil"/>
              <w:right w:val="nil"/>
            </w:tcBorders>
            <w:shd w:val="clear" w:color="auto" w:fill="auto"/>
            <w:vAlign w:val="center"/>
          </w:tcPr>
          <w:p w14:paraId="11B60F11"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(651.018)</w:t>
            </w:r>
          </w:p>
        </w:tc>
        <w:tc>
          <w:tcPr>
            <w:tcW w:w="404" w:type="pct"/>
            <w:tcBorders>
              <w:top w:val="nil"/>
              <w:left w:val="nil"/>
              <w:bottom w:val="nil"/>
              <w:right w:val="nil"/>
            </w:tcBorders>
            <w:shd w:val="clear" w:color="auto" w:fill="auto"/>
            <w:noWrap/>
            <w:vAlign w:val="center"/>
          </w:tcPr>
          <w:p w14:paraId="106CC7C9"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3.004.147</w:t>
            </w:r>
          </w:p>
        </w:tc>
      </w:tr>
      <w:tr w:rsidR="00653DAF" w:rsidRPr="00E20D21" w14:paraId="5A9CCC1D" w14:textId="77777777">
        <w:trPr>
          <w:trHeight w:val="283"/>
        </w:trPr>
        <w:tc>
          <w:tcPr>
            <w:tcW w:w="1717" w:type="pct"/>
            <w:tcBorders>
              <w:top w:val="nil"/>
              <w:left w:val="nil"/>
              <w:bottom w:val="nil"/>
              <w:right w:val="nil"/>
            </w:tcBorders>
            <w:shd w:val="clear" w:color="auto" w:fill="auto"/>
            <w:vAlign w:val="center"/>
            <w:hideMark/>
          </w:tcPr>
          <w:p w14:paraId="023BC22B" w14:textId="77777777"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Ajuste a valor de mercado de instrumentos derivativos</w:t>
            </w:r>
          </w:p>
        </w:tc>
        <w:tc>
          <w:tcPr>
            <w:tcW w:w="404" w:type="pct"/>
            <w:tcBorders>
              <w:top w:val="nil"/>
              <w:left w:val="nil"/>
              <w:bottom w:val="nil"/>
              <w:right w:val="nil"/>
            </w:tcBorders>
            <w:shd w:val="clear" w:color="auto" w:fill="auto"/>
            <w:noWrap/>
            <w:vAlign w:val="center"/>
            <w:hideMark/>
          </w:tcPr>
          <w:p w14:paraId="49948A0B"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1.312.041</w:t>
            </w:r>
          </w:p>
        </w:tc>
        <w:tc>
          <w:tcPr>
            <w:tcW w:w="410" w:type="pct"/>
            <w:tcBorders>
              <w:top w:val="nil"/>
              <w:left w:val="nil"/>
              <w:bottom w:val="nil"/>
              <w:right w:val="nil"/>
            </w:tcBorders>
            <w:shd w:val="clear" w:color="auto" w:fill="auto"/>
            <w:noWrap/>
            <w:vAlign w:val="center"/>
          </w:tcPr>
          <w:p w14:paraId="62809818" w14:textId="14ED7911"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778.907</w:t>
            </w:r>
          </w:p>
        </w:tc>
        <w:tc>
          <w:tcPr>
            <w:tcW w:w="423" w:type="pct"/>
            <w:tcBorders>
              <w:top w:val="nil"/>
              <w:left w:val="nil"/>
              <w:bottom w:val="nil"/>
              <w:right w:val="nil"/>
            </w:tcBorders>
            <w:shd w:val="clear" w:color="auto" w:fill="auto"/>
            <w:vAlign w:val="center"/>
          </w:tcPr>
          <w:p w14:paraId="7A57C83A"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(1.313.031)</w:t>
            </w:r>
          </w:p>
        </w:tc>
        <w:tc>
          <w:tcPr>
            <w:tcW w:w="404" w:type="pct"/>
            <w:tcBorders>
              <w:top w:val="nil"/>
              <w:left w:val="nil"/>
              <w:bottom w:val="nil"/>
              <w:right w:val="nil"/>
            </w:tcBorders>
            <w:shd w:val="clear" w:color="auto" w:fill="auto"/>
            <w:noWrap/>
            <w:vAlign w:val="center"/>
          </w:tcPr>
          <w:p w14:paraId="14A94E69"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777.917</w:t>
            </w:r>
          </w:p>
        </w:tc>
        <w:tc>
          <w:tcPr>
            <w:tcW w:w="404" w:type="pct"/>
            <w:tcBorders>
              <w:top w:val="nil"/>
              <w:left w:val="nil"/>
              <w:bottom w:val="nil"/>
              <w:right w:val="nil"/>
            </w:tcBorders>
            <w:shd w:val="clear" w:color="auto" w:fill="auto"/>
            <w:noWrap/>
            <w:vAlign w:val="center"/>
            <w:hideMark/>
          </w:tcPr>
          <w:p w14:paraId="3E31D701"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1.312.041</w:t>
            </w:r>
          </w:p>
        </w:tc>
        <w:tc>
          <w:tcPr>
            <w:tcW w:w="410" w:type="pct"/>
            <w:tcBorders>
              <w:top w:val="nil"/>
              <w:left w:val="nil"/>
              <w:bottom w:val="nil"/>
              <w:right w:val="nil"/>
            </w:tcBorders>
            <w:shd w:val="clear" w:color="auto" w:fill="auto"/>
            <w:noWrap/>
            <w:vAlign w:val="center"/>
          </w:tcPr>
          <w:p w14:paraId="1912186F" w14:textId="21EF0786"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778.907</w:t>
            </w:r>
          </w:p>
        </w:tc>
        <w:tc>
          <w:tcPr>
            <w:tcW w:w="423" w:type="pct"/>
            <w:tcBorders>
              <w:top w:val="nil"/>
              <w:left w:val="nil"/>
              <w:bottom w:val="nil"/>
              <w:right w:val="nil"/>
            </w:tcBorders>
            <w:shd w:val="clear" w:color="auto" w:fill="auto"/>
            <w:vAlign w:val="center"/>
          </w:tcPr>
          <w:p w14:paraId="66401058"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(1.313.031)</w:t>
            </w:r>
          </w:p>
        </w:tc>
        <w:tc>
          <w:tcPr>
            <w:tcW w:w="404" w:type="pct"/>
            <w:tcBorders>
              <w:top w:val="nil"/>
              <w:left w:val="nil"/>
              <w:bottom w:val="nil"/>
              <w:right w:val="nil"/>
            </w:tcBorders>
            <w:shd w:val="clear" w:color="auto" w:fill="auto"/>
            <w:noWrap/>
            <w:vAlign w:val="center"/>
          </w:tcPr>
          <w:p w14:paraId="42BFFEBF"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777.917</w:t>
            </w:r>
          </w:p>
        </w:tc>
      </w:tr>
      <w:tr w:rsidR="00653DAF" w:rsidRPr="00E20D21" w14:paraId="2764748E" w14:textId="77777777">
        <w:trPr>
          <w:trHeight w:val="283"/>
        </w:trPr>
        <w:tc>
          <w:tcPr>
            <w:tcW w:w="1717" w:type="pct"/>
            <w:tcBorders>
              <w:top w:val="nil"/>
              <w:left w:val="nil"/>
              <w:bottom w:val="nil"/>
              <w:right w:val="nil"/>
            </w:tcBorders>
            <w:shd w:val="clear" w:color="auto" w:fill="auto"/>
            <w:vAlign w:val="center"/>
            <w:hideMark/>
          </w:tcPr>
          <w:p w14:paraId="4C4F4F7F" w14:textId="77777777"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Provisão para Perdas - FCVS a receber</w:t>
            </w:r>
          </w:p>
        </w:tc>
        <w:tc>
          <w:tcPr>
            <w:tcW w:w="404" w:type="pct"/>
            <w:tcBorders>
              <w:top w:val="nil"/>
              <w:left w:val="nil"/>
              <w:bottom w:val="nil"/>
              <w:right w:val="nil"/>
            </w:tcBorders>
            <w:shd w:val="clear" w:color="auto" w:fill="auto"/>
            <w:noWrap/>
            <w:vAlign w:val="center"/>
            <w:hideMark/>
          </w:tcPr>
          <w:p w14:paraId="19A9A89C"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3.298.177</w:t>
            </w:r>
          </w:p>
        </w:tc>
        <w:tc>
          <w:tcPr>
            <w:tcW w:w="410" w:type="pct"/>
            <w:tcBorders>
              <w:top w:val="nil"/>
              <w:left w:val="nil"/>
              <w:bottom w:val="nil"/>
              <w:right w:val="nil"/>
            </w:tcBorders>
            <w:shd w:val="clear" w:color="auto" w:fill="auto"/>
            <w:noWrap/>
            <w:vAlign w:val="center"/>
          </w:tcPr>
          <w:p w14:paraId="1CB62A9C" w14:textId="3CB2C6BE"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855.057</w:t>
            </w:r>
          </w:p>
        </w:tc>
        <w:tc>
          <w:tcPr>
            <w:tcW w:w="423" w:type="pct"/>
            <w:tcBorders>
              <w:top w:val="nil"/>
              <w:left w:val="nil"/>
              <w:bottom w:val="nil"/>
              <w:right w:val="nil"/>
            </w:tcBorders>
            <w:shd w:val="clear" w:color="auto" w:fill="auto"/>
            <w:vAlign w:val="center"/>
          </w:tcPr>
          <w:p w14:paraId="138D7685"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(366.350)</w:t>
            </w:r>
          </w:p>
        </w:tc>
        <w:tc>
          <w:tcPr>
            <w:tcW w:w="404" w:type="pct"/>
            <w:tcBorders>
              <w:top w:val="nil"/>
              <w:left w:val="nil"/>
              <w:bottom w:val="nil"/>
              <w:right w:val="nil"/>
            </w:tcBorders>
            <w:shd w:val="clear" w:color="auto" w:fill="auto"/>
            <w:noWrap/>
            <w:vAlign w:val="center"/>
          </w:tcPr>
          <w:p w14:paraId="3508899C"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3.786.884</w:t>
            </w:r>
          </w:p>
        </w:tc>
        <w:tc>
          <w:tcPr>
            <w:tcW w:w="404" w:type="pct"/>
            <w:tcBorders>
              <w:top w:val="nil"/>
              <w:left w:val="nil"/>
              <w:bottom w:val="nil"/>
              <w:right w:val="nil"/>
            </w:tcBorders>
            <w:shd w:val="clear" w:color="auto" w:fill="auto"/>
            <w:noWrap/>
            <w:vAlign w:val="center"/>
            <w:hideMark/>
          </w:tcPr>
          <w:p w14:paraId="2393EF7A"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3.298.177</w:t>
            </w:r>
          </w:p>
        </w:tc>
        <w:tc>
          <w:tcPr>
            <w:tcW w:w="410" w:type="pct"/>
            <w:tcBorders>
              <w:top w:val="nil"/>
              <w:left w:val="nil"/>
              <w:bottom w:val="nil"/>
              <w:right w:val="nil"/>
            </w:tcBorders>
            <w:shd w:val="clear" w:color="auto" w:fill="auto"/>
            <w:noWrap/>
            <w:vAlign w:val="center"/>
          </w:tcPr>
          <w:p w14:paraId="7D56F1EF" w14:textId="2B9F5EE4"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855.057</w:t>
            </w:r>
          </w:p>
        </w:tc>
        <w:tc>
          <w:tcPr>
            <w:tcW w:w="423" w:type="pct"/>
            <w:tcBorders>
              <w:top w:val="nil"/>
              <w:left w:val="nil"/>
              <w:bottom w:val="nil"/>
              <w:right w:val="nil"/>
            </w:tcBorders>
            <w:shd w:val="clear" w:color="auto" w:fill="auto"/>
            <w:vAlign w:val="center"/>
          </w:tcPr>
          <w:p w14:paraId="0B8C5D22"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(366.350)</w:t>
            </w:r>
          </w:p>
        </w:tc>
        <w:tc>
          <w:tcPr>
            <w:tcW w:w="404" w:type="pct"/>
            <w:tcBorders>
              <w:top w:val="nil"/>
              <w:left w:val="nil"/>
              <w:bottom w:val="nil"/>
              <w:right w:val="nil"/>
            </w:tcBorders>
            <w:shd w:val="clear" w:color="auto" w:fill="auto"/>
            <w:noWrap/>
            <w:vAlign w:val="center"/>
          </w:tcPr>
          <w:p w14:paraId="22DD85D8"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3.786.884</w:t>
            </w:r>
          </w:p>
        </w:tc>
      </w:tr>
      <w:tr w:rsidR="00653DAF" w:rsidRPr="00E20D21" w14:paraId="195AD06E" w14:textId="77777777">
        <w:trPr>
          <w:trHeight w:val="283"/>
        </w:trPr>
        <w:tc>
          <w:tcPr>
            <w:tcW w:w="1717" w:type="pct"/>
            <w:tcBorders>
              <w:top w:val="nil"/>
              <w:left w:val="nil"/>
              <w:bottom w:val="nil"/>
              <w:right w:val="nil"/>
            </w:tcBorders>
            <w:shd w:val="clear" w:color="auto" w:fill="auto"/>
            <w:vAlign w:val="center"/>
            <w:hideMark/>
          </w:tcPr>
          <w:p w14:paraId="53D83132" w14:textId="77777777"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Provisões cíveis</w:t>
            </w:r>
          </w:p>
        </w:tc>
        <w:tc>
          <w:tcPr>
            <w:tcW w:w="404" w:type="pct"/>
            <w:tcBorders>
              <w:top w:val="nil"/>
              <w:left w:val="nil"/>
              <w:bottom w:val="nil"/>
              <w:right w:val="nil"/>
            </w:tcBorders>
            <w:shd w:val="clear" w:color="auto" w:fill="auto"/>
            <w:noWrap/>
            <w:vAlign w:val="center"/>
            <w:hideMark/>
          </w:tcPr>
          <w:p w14:paraId="27E41B30"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1.767.571</w:t>
            </w:r>
          </w:p>
        </w:tc>
        <w:tc>
          <w:tcPr>
            <w:tcW w:w="410" w:type="pct"/>
            <w:tcBorders>
              <w:top w:val="nil"/>
              <w:left w:val="nil"/>
              <w:bottom w:val="nil"/>
              <w:right w:val="nil"/>
            </w:tcBorders>
            <w:shd w:val="clear" w:color="auto" w:fill="auto"/>
            <w:noWrap/>
            <w:vAlign w:val="center"/>
          </w:tcPr>
          <w:p w14:paraId="74F3D9F9" w14:textId="7A32EC9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114.936</w:t>
            </w:r>
          </w:p>
        </w:tc>
        <w:tc>
          <w:tcPr>
            <w:tcW w:w="423" w:type="pct"/>
            <w:tcBorders>
              <w:top w:val="nil"/>
              <w:left w:val="nil"/>
              <w:bottom w:val="nil"/>
              <w:right w:val="nil"/>
            </w:tcBorders>
            <w:shd w:val="clear" w:color="auto" w:fill="auto"/>
            <w:vAlign w:val="center"/>
          </w:tcPr>
          <w:p w14:paraId="49FE27FB"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(26)</w:t>
            </w:r>
          </w:p>
        </w:tc>
        <w:tc>
          <w:tcPr>
            <w:tcW w:w="404" w:type="pct"/>
            <w:tcBorders>
              <w:top w:val="nil"/>
              <w:left w:val="nil"/>
              <w:bottom w:val="nil"/>
              <w:right w:val="nil"/>
            </w:tcBorders>
            <w:shd w:val="clear" w:color="auto" w:fill="auto"/>
            <w:noWrap/>
            <w:vAlign w:val="center"/>
          </w:tcPr>
          <w:p w14:paraId="3650B235"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1.882.481</w:t>
            </w:r>
          </w:p>
        </w:tc>
        <w:tc>
          <w:tcPr>
            <w:tcW w:w="404" w:type="pct"/>
            <w:tcBorders>
              <w:top w:val="nil"/>
              <w:left w:val="nil"/>
              <w:bottom w:val="nil"/>
              <w:right w:val="nil"/>
            </w:tcBorders>
            <w:shd w:val="clear" w:color="auto" w:fill="auto"/>
            <w:noWrap/>
            <w:vAlign w:val="center"/>
            <w:hideMark/>
          </w:tcPr>
          <w:p w14:paraId="50D175EB"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1.767.571</w:t>
            </w:r>
          </w:p>
        </w:tc>
        <w:tc>
          <w:tcPr>
            <w:tcW w:w="410" w:type="pct"/>
            <w:tcBorders>
              <w:top w:val="nil"/>
              <w:left w:val="nil"/>
              <w:bottom w:val="nil"/>
              <w:right w:val="nil"/>
            </w:tcBorders>
            <w:shd w:val="clear" w:color="auto" w:fill="auto"/>
            <w:noWrap/>
            <w:vAlign w:val="center"/>
          </w:tcPr>
          <w:p w14:paraId="0EA589F9" w14:textId="7F29017F"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114.936</w:t>
            </w:r>
          </w:p>
        </w:tc>
        <w:tc>
          <w:tcPr>
            <w:tcW w:w="423" w:type="pct"/>
            <w:tcBorders>
              <w:top w:val="nil"/>
              <w:left w:val="nil"/>
              <w:bottom w:val="nil"/>
              <w:right w:val="nil"/>
            </w:tcBorders>
            <w:shd w:val="clear" w:color="auto" w:fill="auto"/>
            <w:vAlign w:val="center"/>
          </w:tcPr>
          <w:p w14:paraId="7FAAC183"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(26)</w:t>
            </w:r>
          </w:p>
        </w:tc>
        <w:tc>
          <w:tcPr>
            <w:tcW w:w="404" w:type="pct"/>
            <w:tcBorders>
              <w:top w:val="nil"/>
              <w:left w:val="nil"/>
              <w:bottom w:val="nil"/>
              <w:right w:val="nil"/>
            </w:tcBorders>
            <w:shd w:val="clear" w:color="auto" w:fill="auto"/>
            <w:noWrap/>
            <w:vAlign w:val="center"/>
          </w:tcPr>
          <w:p w14:paraId="54CEB74C"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1.882.481</w:t>
            </w:r>
          </w:p>
        </w:tc>
      </w:tr>
      <w:tr w:rsidR="00653DAF" w:rsidRPr="00E20D21" w14:paraId="19655D1F" w14:textId="77777777">
        <w:trPr>
          <w:trHeight w:val="283"/>
        </w:trPr>
        <w:tc>
          <w:tcPr>
            <w:tcW w:w="1717" w:type="pct"/>
            <w:tcBorders>
              <w:top w:val="nil"/>
              <w:left w:val="nil"/>
              <w:bottom w:val="nil"/>
              <w:right w:val="nil"/>
            </w:tcBorders>
            <w:shd w:val="clear" w:color="auto" w:fill="auto"/>
            <w:vAlign w:val="center"/>
            <w:hideMark/>
          </w:tcPr>
          <w:p w14:paraId="4BFABC11" w14:textId="3A7A3F06"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Prov. para desvalorização - ativos mantidos para venda</w:t>
            </w:r>
          </w:p>
        </w:tc>
        <w:tc>
          <w:tcPr>
            <w:tcW w:w="404" w:type="pct"/>
            <w:tcBorders>
              <w:top w:val="nil"/>
              <w:left w:val="nil"/>
              <w:bottom w:val="nil"/>
              <w:right w:val="nil"/>
            </w:tcBorders>
            <w:shd w:val="clear" w:color="auto" w:fill="auto"/>
            <w:noWrap/>
            <w:vAlign w:val="center"/>
            <w:hideMark/>
          </w:tcPr>
          <w:p w14:paraId="6D0DA32D"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449.511</w:t>
            </w:r>
          </w:p>
        </w:tc>
        <w:tc>
          <w:tcPr>
            <w:tcW w:w="410" w:type="pct"/>
            <w:tcBorders>
              <w:top w:val="nil"/>
              <w:left w:val="nil"/>
              <w:bottom w:val="nil"/>
              <w:right w:val="nil"/>
            </w:tcBorders>
            <w:shd w:val="clear" w:color="auto" w:fill="auto"/>
            <w:noWrap/>
            <w:vAlign w:val="center"/>
          </w:tcPr>
          <w:p w14:paraId="3F39EEBB" w14:textId="603D4D43"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69.769</w:t>
            </w:r>
          </w:p>
        </w:tc>
        <w:tc>
          <w:tcPr>
            <w:tcW w:w="423" w:type="pct"/>
            <w:tcBorders>
              <w:top w:val="nil"/>
              <w:left w:val="nil"/>
              <w:bottom w:val="nil"/>
              <w:right w:val="nil"/>
            </w:tcBorders>
            <w:shd w:val="clear" w:color="auto" w:fill="auto"/>
            <w:vAlign w:val="center"/>
          </w:tcPr>
          <w:p w14:paraId="2C885FAA"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(23.438)</w:t>
            </w:r>
          </w:p>
        </w:tc>
        <w:tc>
          <w:tcPr>
            <w:tcW w:w="404" w:type="pct"/>
            <w:tcBorders>
              <w:top w:val="nil"/>
              <w:left w:val="nil"/>
              <w:bottom w:val="nil"/>
              <w:right w:val="nil"/>
            </w:tcBorders>
            <w:shd w:val="clear" w:color="auto" w:fill="auto"/>
            <w:noWrap/>
            <w:vAlign w:val="center"/>
          </w:tcPr>
          <w:p w14:paraId="06CACD89"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495.842</w:t>
            </w:r>
          </w:p>
        </w:tc>
        <w:tc>
          <w:tcPr>
            <w:tcW w:w="404" w:type="pct"/>
            <w:tcBorders>
              <w:top w:val="nil"/>
              <w:left w:val="nil"/>
              <w:bottom w:val="nil"/>
              <w:right w:val="nil"/>
            </w:tcBorders>
            <w:shd w:val="clear" w:color="auto" w:fill="auto"/>
            <w:noWrap/>
            <w:vAlign w:val="center"/>
            <w:hideMark/>
          </w:tcPr>
          <w:p w14:paraId="2D3BACE7"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449.511</w:t>
            </w:r>
          </w:p>
        </w:tc>
        <w:tc>
          <w:tcPr>
            <w:tcW w:w="410" w:type="pct"/>
            <w:tcBorders>
              <w:top w:val="nil"/>
              <w:left w:val="nil"/>
              <w:bottom w:val="nil"/>
              <w:right w:val="nil"/>
            </w:tcBorders>
            <w:shd w:val="clear" w:color="auto" w:fill="auto"/>
            <w:noWrap/>
            <w:vAlign w:val="center"/>
          </w:tcPr>
          <w:p w14:paraId="6564F33B" w14:textId="15037386"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69.769</w:t>
            </w:r>
          </w:p>
        </w:tc>
        <w:tc>
          <w:tcPr>
            <w:tcW w:w="423" w:type="pct"/>
            <w:tcBorders>
              <w:top w:val="nil"/>
              <w:left w:val="nil"/>
              <w:bottom w:val="nil"/>
              <w:right w:val="nil"/>
            </w:tcBorders>
            <w:shd w:val="clear" w:color="auto" w:fill="auto"/>
            <w:vAlign w:val="center"/>
          </w:tcPr>
          <w:p w14:paraId="6CD40C0D"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(23.438)</w:t>
            </w:r>
          </w:p>
        </w:tc>
        <w:tc>
          <w:tcPr>
            <w:tcW w:w="404" w:type="pct"/>
            <w:tcBorders>
              <w:top w:val="nil"/>
              <w:left w:val="nil"/>
              <w:bottom w:val="nil"/>
              <w:right w:val="nil"/>
            </w:tcBorders>
            <w:shd w:val="clear" w:color="auto" w:fill="auto"/>
            <w:noWrap/>
            <w:vAlign w:val="center"/>
          </w:tcPr>
          <w:p w14:paraId="1DDF44F6"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495.842</w:t>
            </w:r>
          </w:p>
        </w:tc>
      </w:tr>
      <w:tr w:rsidR="00653DAF" w:rsidRPr="00E20D21" w14:paraId="539974C2" w14:textId="77777777">
        <w:trPr>
          <w:trHeight w:val="283"/>
        </w:trPr>
        <w:tc>
          <w:tcPr>
            <w:tcW w:w="1717" w:type="pct"/>
            <w:tcBorders>
              <w:top w:val="nil"/>
              <w:left w:val="nil"/>
              <w:bottom w:val="nil"/>
              <w:right w:val="nil"/>
            </w:tcBorders>
            <w:shd w:val="clear" w:color="auto" w:fill="auto"/>
            <w:vAlign w:val="center"/>
            <w:hideMark/>
          </w:tcPr>
          <w:p w14:paraId="60B23A3D" w14:textId="77777777"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Provisões fiscais</w:t>
            </w:r>
          </w:p>
        </w:tc>
        <w:tc>
          <w:tcPr>
            <w:tcW w:w="404" w:type="pct"/>
            <w:tcBorders>
              <w:top w:val="nil"/>
              <w:left w:val="nil"/>
              <w:bottom w:val="nil"/>
              <w:right w:val="nil"/>
            </w:tcBorders>
            <w:shd w:val="clear" w:color="auto" w:fill="auto"/>
            <w:noWrap/>
            <w:vAlign w:val="center"/>
            <w:hideMark/>
          </w:tcPr>
          <w:p w14:paraId="3071170B"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282.778</w:t>
            </w:r>
          </w:p>
        </w:tc>
        <w:tc>
          <w:tcPr>
            <w:tcW w:w="410" w:type="pct"/>
            <w:tcBorders>
              <w:top w:val="nil"/>
              <w:left w:val="nil"/>
              <w:bottom w:val="nil"/>
              <w:right w:val="nil"/>
            </w:tcBorders>
            <w:shd w:val="clear" w:color="auto" w:fill="auto"/>
            <w:noWrap/>
            <w:vAlign w:val="center"/>
          </w:tcPr>
          <w:p w14:paraId="7D8DD583" w14:textId="1FAC8310"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31.201</w:t>
            </w:r>
          </w:p>
        </w:tc>
        <w:tc>
          <w:tcPr>
            <w:tcW w:w="423" w:type="pct"/>
            <w:tcBorders>
              <w:top w:val="nil"/>
              <w:left w:val="nil"/>
              <w:bottom w:val="nil"/>
              <w:right w:val="nil"/>
            </w:tcBorders>
            <w:shd w:val="clear" w:color="auto" w:fill="auto"/>
            <w:vAlign w:val="center"/>
          </w:tcPr>
          <w:p w14:paraId="4544FE99"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(61.433)</w:t>
            </w:r>
          </w:p>
        </w:tc>
        <w:tc>
          <w:tcPr>
            <w:tcW w:w="404" w:type="pct"/>
            <w:tcBorders>
              <w:top w:val="nil"/>
              <w:left w:val="nil"/>
              <w:bottom w:val="nil"/>
              <w:right w:val="nil"/>
            </w:tcBorders>
            <w:shd w:val="clear" w:color="auto" w:fill="auto"/>
            <w:noWrap/>
            <w:vAlign w:val="center"/>
          </w:tcPr>
          <w:p w14:paraId="02E7FEBD"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252.546</w:t>
            </w:r>
          </w:p>
        </w:tc>
        <w:tc>
          <w:tcPr>
            <w:tcW w:w="404" w:type="pct"/>
            <w:tcBorders>
              <w:top w:val="nil"/>
              <w:left w:val="nil"/>
              <w:bottom w:val="nil"/>
              <w:right w:val="nil"/>
            </w:tcBorders>
            <w:shd w:val="clear" w:color="auto" w:fill="auto"/>
            <w:noWrap/>
            <w:vAlign w:val="center"/>
            <w:hideMark/>
          </w:tcPr>
          <w:p w14:paraId="19245342"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282.778</w:t>
            </w:r>
          </w:p>
        </w:tc>
        <w:tc>
          <w:tcPr>
            <w:tcW w:w="410" w:type="pct"/>
            <w:tcBorders>
              <w:top w:val="nil"/>
              <w:left w:val="nil"/>
              <w:bottom w:val="nil"/>
              <w:right w:val="nil"/>
            </w:tcBorders>
            <w:shd w:val="clear" w:color="auto" w:fill="auto"/>
            <w:noWrap/>
            <w:vAlign w:val="center"/>
          </w:tcPr>
          <w:p w14:paraId="219AC01B" w14:textId="2F69BF1F"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31.201</w:t>
            </w:r>
          </w:p>
        </w:tc>
        <w:tc>
          <w:tcPr>
            <w:tcW w:w="423" w:type="pct"/>
            <w:tcBorders>
              <w:top w:val="nil"/>
              <w:left w:val="nil"/>
              <w:bottom w:val="nil"/>
              <w:right w:val="nil"/>
            </w:tcBorders>
            <w:shd w:val="clear" w:color="auto" w:fill="auto"/>
            <w:vAlign w:val="center"/>
          </w:tcPr>
          <w:p w14:paraId="48C88DF8"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(61.433)</w:t>
            </w:r>
          </w:p>
        </w:tc>
        <w:tc>
          <w:tcPr>
            <w:tcW w:w="404" w:type="pct"/>
            <w:tcBorders>
              <w:top w:val="nil"/>
              <w:left w:val="nil"/>
              <w:bottom w:val="nil"/>
              <w:right w:val="nil"/>
            </w:tcBorders>
            <w:shd w:val="clear" w:color="auto" w:fill="auto"/>
            <w:noWrap/>
            <w:vAlign w:val="center"/>
          </w:tcPr>
          <w:p w14:paraId="50FB4BD8"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252.546</w:t>
            </w:r>
          </w:p>
        </w:tc>
      </w:tr>
      <w:tr w:rsidR="00653DAF" w:rsidRPr="00E20D21" w14:paraId="3651A7F0" w14:textId="77777777">
        <w:trPr>
          <w:trHeight w:val="283"/>
        </w:trPr>
        <w:tc>
          <w:tcPr>
            <w:tcW w:w="1717" w:type="pct"/>
            <w:tcBorders>
              <w:top w:val="nil"/>
              <w:left w:val="nil"/>
              <w:bottom w:val="nil"/>
              <w:right w:val="nil"/>
            </w:tcBorders>
            <w:shd w:val="clear" w:color="auto" w:fill="auto"/>
            <w:vAlign w:val="center"/>
          </w:tcPr>
          <w:p w14:paraId="412127C5" w14:textId="77777777"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Despesas de captação não incorridas - IHCD</w:t>
            </w:r>
          </w:p>
        </w:tc>
        <w:tc>
          <w:tcPr>
            <w:tcW w:w="404" w:type="pct"/>
            <w:tcBorders>
              <w:top w:val="nil"/>
              <w:left w:val="nil"/>
              <w:bottom w:val="nil"/>
              <w:right w:val="nil"/>
            </w:tcBorders>
            <w:shd w:val="clear" w:color="auto" w:fill="auto"/>
            <w:noWrap/>
            <w:vAlign w:val="center"/>
          </w:tcPr>
          <w:p w14:paraId="2FFF7C9F" w14:textId="77777777" w:rsidR="00653DAF" w:rsidRPr="00E20D21" w:rsidRDefault="00653DAF" w:rsidP="00653DAF">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10" w:type="pct"/>
            <w:tcBorders>
              <w:top w:val="nil"/>
              <w:left w:val="nil"/>
              <w:bottom w:val="nil"/>
              <w:right w:val="nil"/>
            </w:tcBorders>
            <w:shd w:val="clear" w:color="auto" w:fill="auto"/>
            <w:noWrap/>
            <w:vAlign w:val="center"/>
          </w:tcPr>
          <w:p w14:paraId="775CA13F" w14:textId="281D19E8"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450.960</w:t>
            </w:r>
          </w:p>
        </w:tc>
        <w:tc>
          <w:tcPr>
            <w:tcW w:w="423" w:type="pct"/>
            <w:tcBorders>
              <w:top w:val="nil"/>
              <w:left w:val="nil"/>
              <w:bottom w:val="nil"/>
              <w:right w:val="nil"/>
            </w:tcBorders>
            <w:shd w:val="clear" w:color="auto" w:fill="auto"/>
            <w:vAlign w:val="center"/>
          </w:tcPr>
          <w:p w14:paraId="37A2E4A6"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(14)</w:t>
            </w:r>
          </w:p>
        </w:tc>
        <w:tc>
          <w:tcPr>
            <w:tcW w:w="404" w:type="pct"/>
            <w:tcBorders>
              <w:top w:val="nil"/>
              <w:left w:val="nil"/>
              <w:bottom w:val="nil"/>
              <w:right w:val="nil"/>
            </w:tcBorders>
            <w:shd w:val="clear" w:color="auto" w:fill="auto"/>
            <w:noWrap/>
            <w:vAlign w:val="center"/>
          </w:tcPr>
          <w:p w14:paraId="7F2A8A65" w14:textId="10A70ED2" w:rsidR="00653DAF" w:rsidRPr="00E20D21" w:rsidRDefault="00C93FF1" w:rsidP="00653DAF">
            <w:pPr>
              <w:jc w:val="right"/>
              <w:rPr>
                <w:rFonts w:ascii="CAIXA Std Book" w:eastAsia="Times New Roman" w:hAnsi="CAIXA Std Book" w:cs="Arial"/>
                <w:color w:val="005CA9"/>
                <w:sz w:val="18"/>
                <w:szCs w:val="18"/>
              </w:rPr>
            </w:pPr>
            <w:r>
              <w:rPr>
                <w:rFonts w:ascii="CAIXA Std Book" w:hAnsi="CAIXA Std Book" w:cs="Arial"/>
                <w:color w:val="005CA9"/>
                <w:sz w:val="18"/>
                <w:szCs w:val="18"/>
              </w:rPr>
              <w:t>450.946</w:t>
            </w:r>
          </w:p>
        </w:tc>
        <w:tc>
          <w:tcPr>
            <w:tcW w:w="404" w:type="pct"/>
            <w:tcBorders>
              <w:top w:val="nil"/>
              <w:left w:val="nil"/>
              <w:bottom w:val="nil"/>
              <w:right w:val="nil"/>
            </w:tcBorders>
            <w:shd w:val="clear" w:color="auto" w:fill="auto"/>
            <w:noWrap/>
            <w:vAlign w:val="center"/>
          </w:tcPr>
          <w:p w14:paraId="1E0C3995" w14:textId="77777777" w:rsidR="00653DAF" w:rsidRPr="00E20D21" w:rsidRDefault="00653DAF" w:rsidP="00653DAF">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410" w:type="pct"/>
            <w:tcBorders>
              <w:top w:val="nil"/>
              <w:left w:val="nil"/>
              <w:bottom w:val="nil"/>
              <w:right w:val="nil"/>
            </w:tcBorders>
            <w:shd w:val="clear" w:color="auto" w:fill="auto"/>
            <w:noWrap/>
            <w:vAlign w:val="center"/>
          </w:tcPr>
          <w:p w14:paraId="5609CA64" w14:textId="5669AFF4"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450.960</w:t>
            </w:r>
          </w:p>
        </w:tc>
        <w:tc>
          <w:tcPr>
            <w:tcW w:w="423" w:type="pct"/>
            <w:tcBorders>
              <w:top w:val="nil"/>
              <w:left w:val="nil"/>
              <w:bottom w:val="nil"/>
              <w:right w:val="nil"/>
            </w:tcBorders>
            <w:shd w:val="clear" w:color="auto" w:fill="auto"/>
            <w:vAlign w:val="center"/>
          </w:tcPr>
          <w:p w14:paraId="50A6402F"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(14)</w:t>
            </w:r>
          </w:p>
        </w:tc>
        <w:tc>
          <w:tcPr>
            <w:tcW w:w="404" w:type="pct"/>
            <w:tcBorders>
              <w:top w:val="nil"/>
              <w:left w:val="nil"/>
              <w:bottom w:val="nil"/>
              <w:right w:val="nil"/>
            </w:tcBorders>
            <w:shd w:val="clear" w:color="auto" w:fill="auto"/>
            <w:noWrap/>
            <w:vAlign w:val="center"/>
          </w:tcPr>
          <w:p w14:paraId="14F92D75" w14:textId="65B04332" w:rsidR="00653DAF" w:rsidRPr="00E20D21" w:rsidRDefault="00FA1BB5" w:rsidP="00653DAF">
            <w:pPr>
              <w:jc w:val="right"/>
              <w:rPr>
                <w:rFonts w:ascii="CAIXA Std Book" w:eastAsia="Times New Roman" w:hAnsi="CAIXA Std Book" w:cs="Arial"/>
                <w:color w:val="005CA9"/>
                <w:sz w:val="18"/>
                <w:szCs w:val="18"/>
              </w:rPr>
            </w:pPr>
            <w:r>
              <w:rPr>
                <w:rFonts w:ascii="CAIXA Std Book" w:hAnsi="CAIXA Std Book" w:cs="Arial"/>
                <w:color w:val="005CA9"/>
                <w:sz w:val="18"/>
                <w:szCs w:val="18"/>
              </w:rPr>
              <w:t>450.946</w:t>
            </w:r>
          </w:p>
        </w:tc>
      </w:tr>
      <w:tr w:rsidR="00653DAF" w:rsidRPr="00E20D21" w14:paraId="6523A492" w14:textId="77777777">
        <w:trPr>
          <w:trHeight w:val="283"/>
        </w:trPr>
        <w:tc>
          <w:tcPr>
            <w:tcW w:w="1717" w:type="pct"/>
            <w:tcBorders>
              <w:top w:val="nil"/>
              <w:left w:val="nil"/>
              <w:bottom w:val="nil"/>
              <w:right w:val="nil"/>
            </w:tcBorders>
            <w:shd w:val="clear" w:color="auto" w:fill="auto"/>
            <w:vAlign w:val="center"/>
            <w:hideMark/>
          </w:tcPr>
          <w:p w14:paraId="75A47222" w14:textId="77777777" w:rsidR="00653DAF" w:rsidRPr="00E20D21" w:rsidRDefault="00653DAF" w:rsidP="00653DAF">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404" w:type="pct"/>
            <w:tcBorders>
              <w:top w:val="nil"/>
              <w:left w:val="nil"/>
              <w:bottom w:val="nil"/>
              <w:right w:val="nil"/>
            </w:tcBorders>
            <w:shd w:val="clear" w:color="auto" w:fill="auto"/>
            <w:noWrap/>
            <w:vAlign w:val="center"/>
            <w:hideMark/>
          </w:tcPr>
          <w:p w14:paraId="40BB7B49"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4.962.972</w:t>
            </w:r>
          </w:p>
        </w:tc>
        <w:tc>
          <w:tcPr>
            <w:tcW w:w="410" w:type="pct"/>
            <w:tcBorders>
              <w:top w:val="nil"/>
              <w:left w:val="nil"/>
              <w:bottom w:val="nil"/>
              <w:right w:val="nil"/>
            </w:tcBorders>
            <w:shd w:val="clear" w:color="auto" w:fill="auto"/>
            <w:noWrap/>
            <w:vAlign w:val="center"/>
          </w:tcPr>
          <w:p w14:paraId="73757FF3" w14:textId="2B6ABD1A"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1.088.901</w:t>
            </w:r>
          </w:p>
        </w:tc>
        <w:tc>
          <w:tcPr>
            <w:tcW w:w="423" w:type="pct"/>
            <w:tcBorders>
              <w:top w:val="nil"/>
              <w:left w:val="nil"/>
              <w:bottom w:val="nil"/>
              <w:right w:val="nil"/>
            </w:tcBorders>
            <w:shd w:val="clear" w:color="auto" w:fill="auto"/>
            <w:vAlign w:val="center"/>
          </w:tcPr>
          <w:p w14:paraId="7DBA84B6"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(522.030)</w:t>
            </w:r>
          </w:p>
        </w:tc>
        <w:tc>
          <w:tcPr>
            <w:tcW w:w="404" w:type="pct"/>
            <w:tcBorders>
              <w:top w:val="nil"/>
              <w:left w:val="nil"/>
              <w:bottom w:val="nil"/>
              <w:right w:val="nil"/>
            </w:tcBorders>
            <w:shd w:val="clear" w:color="auto" w:fill="auto"/>
            <w:noWrap/>
            <w:vAlign w:val="center"/>
          </w:tcPr>
          <w:p w14:paraId="778228A2" w14:textId="6D84E77A" w:rsidR="00653DAF" w:rsidRPr="00E20D21" w:rsidRDefault="00E000A7" w:rsidP="00653DAF">
            <w:pPr>
              <w:jc w:val="right"/>
              <w:rPr>
                <w:rFonts w:ascii="CAIXA Std Book" w:eastAsia="Times New Roman" w:hAnsi="CAIXA Std Book" w:cs="Arial"/>
                <w:color w:val="005CA9"/>
                <w:sz w:val="18"/>
                <w:szCs w:val="18"/>
              </w:rPr>
            </w:pPr>
            <w:r>
              <w:rPr>
                <w:rFonts w:ascii="CAIXA Std Book" w:hAnsi="CAIXA Std Book" w:cs="Arial"/>
                <w:color w:val="005CA9"/>
                <w:sz w:val="18"/>
                <w:szCs w:val="18"/>
              </w:rPr>
              <w:t>5.529.843</w:t>
            </w:r>
          </w:p>
        </w:tc>
        <w:tc>
          <w:tcPr>
            <w:tcW w:w="404" w:type="pct"/>
            <w:tcBorders>
              <w:top w:val="nil"/>
              <w:left w:val="nil"/>
              <w:bottom w:val="nil"/>
              <w:right w:val="nil"/>
            </w:tcBorders>
            <w:shd w:val="clear" w:color="auto" w:fill="auto"/>
            <w:noWrap/>
            <w:vAlign w:val="center"/>
            <w:hideMark/>
          </w:tcPr>
          <w:p w14:paraId="575DCC0E" w14:textId="77777777"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4.962.979</w:t>
            </w:r>
          </w:p>
        </w:tc>
        <w:tc>
          <w:tcPr>
            <w:tcW w:w="410" w:type="pct"/>
            <w:tcBorders>
              <w:top w:val="nil"/>
              <w:left w:val="nil"/>
              <w:bottom w:val="nil"/>
              <w:right w:val="nil"/>
            </w:tcBorders>
            <w:shd w:val="clear" w:color="auto" w:fill="auto"/>
            <w:noWrap/>
            <w:vAlign w:val="center"/>
          </w:tcPr>
          <w:p w14:paraId="446A2301" w14:textId="421BC7EF"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1.089.157</w:t>
            </w:r>
          </w:p>
        </w:tc>
        <w:tc>
          <w:tcPr>
            <w:tcW w:w="423" w:type="pct"/>
            <w:tcBorders>
              <w:top w:val="nil"/>
              <w:left w:val="nil"/>
              <w:bottom w:val="nil"/>
              <w:right w:val="nil"/>
            </w:tcBorders>
            <w:shd w:val="clear" w:color="auto" w:fill="auto"/>
            <w:vAlign w:val="center"/>
          </w:tcPr>
          <w:p w14:paraId="36CDC91C" w14:textId="77777777" w:rsidR="00653DAF" w:rsidRPr="00E20D21" w:rsidRDefault="00653DAF" w:rsidP="00653DAF">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(522.030)</w:t>
            </w:r>
          </w:p>
        </w:tc>
        <w:tc>
          <w:tcPr>
            <w:tcW w:w="404" w:type="pct"/>
            <w:tcBorders>
              <w:top w:val="nil"/>
              <w:left w:val="nil"/>
              <w:bottom w:val="nil"/>
              <w:right w:val="nil"/>
            </w:tcBorders>
            <w:shd w:val="clear" w:color="auto" w:fill="auto"/>
            <w:noWrap/>
            <w:vAlign w:val="center"/>
          </w:tcPr>
          <w:p w14:paraId="0FA918A8" w14:textId="354CECCF" w:rsidR="00653DAF" w:rsidRPr="00E20D21" w:rsidRDefault="00653DAF" w:rsidP="00653DAF">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w:t>
            </w:r>
            <w:r w:rsidR="00FA1BB5">
              <w:rPr>
                <w:rFonts w:ascii="CAIXA Std Book" w:hAnsi="CAIXA Std Book" w:cs="Arial"/>
                <w:color w:val="005CA9"/>
                <w:sz w:val="18"/>
                <w:szCs w:val="18"/>
              </w:rPr>
              <w:t>.530.106</w:t>
            </w:r>
          </w:p>
        </w:tc>
      </w:tr>
      <w:tr w:rsidR="0047112C" w:rsidRPr="00E20D21" w14:paraId="447B3825" w14:textId="77777777">
        <w:trPr>
          <w:trHeight w:val="283"/>
        </w:trPr>
        <w:tc>
          <w:tcPr>
            <w:tcW w:w="1717" w:type="pct"/>
            <w:tcBorders>
              <w:top w:val="nil"/>
              <w:left w:val="nil"/>
              <w:bottom w:val="nil"/>
              <w:right w:val="nil"/>
            </w:tcBorders>
            <w:shd w:val="clear" w:color="auto" w:fill="auto"/>
            <w:vAlign w:val="center"/>
            <w:hideMark/>
          </w:tcPr>
          <w:p w14:paraId="236D5014"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Prejuízo fiscal e base negativa de CSLL</w:t>
            </w:r>
          </w:p>
        </w:tc>
        <w:tc>
          <w:tcPr>
            <w:tcW w:w="404" w:type="pct"/>
            <w:tcBorders>
              <w:top w:val="nil"/>
              <w:left w:val="nil"/>
              <w:bottom w:val="nil"/>
              <w:right w:val="nil"/>
            </w:tcBorders>
            <w:shd w:val="clear" w:color="auto" w:fill="auto"/>
            <w:noWrap/>
            <w:vAlign w:val="center"/>
            <w:hideMark/>
          </w:tcPr>
          <w:p w14:paraId="33A5DD58"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4.334.768</w:t>
            </w:r>
          </w:p>
        </w:tc>
        <w:tc>
          <w:tcPr>
            <w:tcW w:w="410" w:type="pct"/>
            <w:tcBorders>
              <w:top w:val="nil"/>
              <w:left w:val="nil"/>
              <w:bottom w:val="nil"/>
              <w:right w:val="nil"/>
            </w:tcBorders>
            <w:shd w:val="clear" w:color="auto" w:fill="auto"/>
            <w:noWrap/>
            <w:vAlign w:val="center"/>
          </w:tcPr>
          <w:p w14:paraId="7D2936C8"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w:t>
            </w:r>
          </w:p>
        </w:tc>
        <w:tc>
          <w:tcPr>
            <w:tcW w:w="423" w:type="pct"/>
            <w:tcBorders>
              <w:top w:val="nil"/>
              <w:left w:val="nil"/>
              <w:bottom w:val="nil"/>
              <w:right w:val="nil"/>
            </w:tcBorders>
            <w:shd w:val="clear" w:color="auto" w:fill="auto"/>
            <w:noWrap/>
            <w:vAlign w:val="center"/>
          </w:tcPr>
          <w:p w14:paraId="3127913D"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(750.672)</w:t>
            </w:r>
          </w:p>
        </w:tc>
        <w:tc>
          <w:tcPr>
            <w:tcW w:w="404" w:type="pct"/>
            <w:tcBorders>
              <w:top w:val="nil"/>
              <w:left w:val="nil"/>
              <w:bottom w:val="nil"/>
              <w:right w:val="nil"/>
            </w:tcBorders>
            <w:shd w:val="clear" w:color="auto" w:fill="auto"/>
            <w:noWrap/>
            <w:vAlign w:val="center"/>
          </w:tcPr>
          <w:p w14:paraId="55FBB14B"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3.584.096</w:t>
            </w:r>
          </w:p>
        </w:tc>
        <w:tc>
          <w:tcPr>
            <w:tcW w:w="404" w:type="pct"/>
            <w:tcBorders>
              <w:top w:val="nil"/>
              <w:left w:val="nil"/>
              <w:bottom w:val="nil"/>
              <w:right w:val="nil"/>
            </w:tcBorders>
            <w:shd w:val="clear" w:color="auto" w:fill="auto"/>
            <w:noWrap/>
            <w:vAlign w:val="center"/>
            <w:hideMark/>
          </w:tcPr>
          <w:p w14:paraId="33CD65CF"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4.334.768</w:t>
            </w:r>
          </w:p>
        </w:tc>
        <w:tc>
          <w:tcPr>
            <w:tcW w:w="410" w:type="pct"/>
            <w:tcBorders>
              <w:top w:val="nil"/>
              <w:left w:val="nil"/>
              <w:bottom w:val="nil"/>
              <w:right w:val="nil"/>
            </w:tcBorders>
            <w:shd w:val="clear" w:color="auto" w:fill="auto"/>
            <w:noWrap/>
            <w:vAlign w:val="center"/>
          </w:tcPr>
          <w:p w14:paraId="69C78EB0"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w:t>
            </w:r>
          </w:p>
        </w:tc>
        <w:tc>
          <w:tcPr>
            <w:tcW w:w="423" w:type="pct"/>
            <w:tcBorders>
              <w:top w:val="nil"/>
              <w:left w:val="nil"/>
              <w:bottom w:val="nil"/>
              <w:right w:val="nil"/>
            </w:tcBorders>
            <w:shd w:val="clear" w:color="auto" w:fill="auto"/>
            <w:noWrap/>
            <w:vAlign w:val="center"/>
          </w:tcPr>
          <w:p w14:paraId="27B9E3A2"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(750.672)</w:t>
            </w:r>
          </w:p>
        </w:tc>
        <w:tc>
          <w:tcPr>
            <w:tcW w:w="404" w:type="pct"/>
            <w:tcBorders>
              <w:top w:val="nil"/>
              <w:left w:val="nil"/>
              <w:bottom w:val="nil"/>
              <w:right w:val="nil"/>
            </w:tcBorders>
            <w:shd w:val="clear" w:color="auto" w:fill="auto"/>
            <w:noWrap/>
            <w:vAlign w:val="center"/>
          </w:tcPr>
          <w:p w14:paraId="215E94B2"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3.584.096</w:t>
            </w:r>
          </w:p>
        </w:tc>
      </w:tr>
      <w:tr w:rsidR="0047112C" w:rsidRPr="00E20D21" w14:paraId="7101F59C" w14:textId="77777777">
        <w:trPr>
          <w:trHeight w:val="283"/>
        </w:trPr>
        <w:tc>
          <w:tcPr>
            <w:tcW w:w="1717" w:type="pct"/>
            <w:tcBorders>
              <w:top w:val="nil"/>
              <w:left w:val="nil"/>
              <w:bottom w:val="nil"/>
              <w:right w:val="nil"/>
            </w:tcBorders>
            <w:shd w:val="clear" w:color="auto" w:fill="auto"/>
            <w:vAlign w:val="center"/>
            <w:hideMark/>
          </w:tcPr>
          <w:p w14:paraId="4625C838" w14:textId="77777777" w:rsidR="0047112C" w:rsidRPr="00E20D21" w:rsidRDefault="0047112C">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Prejuízo fiscal/Base negativa CSLL a realizar</w:t>
            </w:r>
          </w:p>
        </w:tc>
        <w:tc>
          <w:tcPr>
            <w:tcW w:w="404" w:type="pct"/>
            <w:tcBorders>
              <w:top w:val="nil"/>
              <w:left w:val="nil"/>
              <w:bottom w:val="nil"/>
              <w:right w:val="nil"/>
            </w:tcBorders>
            <w:shd w:val="clear" w:color="auto" w:fill="auto"/>
            <w:noWrap/>
            <w:vAlign w:val="center"/>
            <w:hideMark/>
          </w:tcPr>
          <w:p w14:paraId="327EF1F3"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4.334.768</w:t>
            </w:r>
          </w:p>
        </w:tc>
        <w:tc>
          <w:tcPr>
            <w:tcW w:w="410" w:type="pct"/>
            <w:tcBorders>
              <w:top w:val="nil"/>
              <w:left w:val="nil"/>
              <w:bottom w:val="nil"/>
              <w:right w:val="nil"/>
            </w:tcBorders>
            <w:shd w:val="clear" w:color="auto" w:fill="auto"/>
            <w:noWrap/>
            <w:vAlign w:val="center"/>
          </w:tcPr>
          <w:p w14:paraId="4B14B671"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74A7EB9B" w14:textId="77777777" w:rsidR="0047112C" w:rsidRPr="00E20D21" w:rsidRDefault="0047112C">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(750.672)</w:t>
            </w:r>
          </w:p>
        </w:tc>
        <w:tc>
          <w:tcPr>
            <w:tcW w:w="404" w:type="pct"/>
            <w:tcBorders>
              <w:top w:val="nil"/>
              <w:left w:val="nil"/>
              <w:bottom w:val="nil"/>
              <w:right w:val="nil"/>
            </w:tcBorders>
            <w:shd w:val="clear" w:color="auto" w:fill="auto"/>
            <w:noWrap/>
            <w:vAlign w:val="center"/>
          </w:tcPr>
          <w:p w14:paraId="6906A25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3.584.096</w:t>
            </w:r>
          </w:p>
        </w:tc>
        <w:tc>
          <w:tcPr>
            <w:tcW w:w="404" w:type="pct"/>
            <w:tcBorders>
              <w:top w:val="nil"/>
              <w:left w:val="nil"/>
              <w:bottom w:val="nil"/>
              <w:right w:val="nil"/>
            </w:tcBorders>
            <w:shd w:val="clear" w:color="auto" w:fill="auto"/>
            <w:noWrap/>
            <w:vAlign w:val="center"/>
            <w:hideMark/>
          </w:tcPr>
          <w:p w14:paraId="3E8F3914"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4.334.768</w:t>
            </w:r>
          </w:p>
        </w:tc>
        <w:tc>
          <w:tcPr>
            <w:tcW w:w="410" w:type="pct"/>
            <w:tcBorders>
              <w:top w:val="nil"/>
              <w:left w:val="nil"/>
              <w:bottom w:val="nil"/>
              <w:right w:val="nil"/>
            </w:tcBorders>
            <w:shd w:val="clear" w:color="auto" w:fill="auto"/>
            <w:noWrap/>
            <w:vAlign w:val="center"/>
          </w:tcPr>
          <w:p w14:paraId="178D7AB3"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29A8F4FA" w14:textId="77777777" w:rsidR="0047112C" w:rsidRPr="00E20D21" w:rsidRDefault="0047112C">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(750.672)</w:t>
            </w:r>
          </w:p>
        </w:tc>
        <w:tc>
          <w:tcPr>
            <w:tcW w:w="404" w:type="pct"/>
            <w:tcBorders>
              <w:top w:val="nil"/>
              <w:left w:val="nil"/>
              <w:bottom w:val="nil"/>
              <w:right w:val="nil"/>
            </w:tcBorders>
            <w:shd w:val="clear" w:color="auto" w:fill="auto"/>
            <w:noWrap/>
            <w:vAlign w:val="center"/>
          </w:tcPr>
          <w:p w14:paraId="51CAED64"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3.584.096</w:t>
            </w:r>
          </w:p>
        </w:tc>
      </w:tr>
      <w:tr w:rsidR="0047112C" w:rsidRPr="00E20D21" w14:paraId="415187BE" w14:textId="77777777">
        <w:trPr>
          <w:trHeight w:val="283"/>
        </w:trPr>
        <w:tc>
          <w:tcPr>
            <w:tcW w:w="1717" w:type="pct"/>
            <w:tcBorders>
              <w:top w:val="nil"/>
              <w:left w:val="nil"/>
              <w:bottom w:val="nil"/>
              <w:right w:val="nil"/>
            </w:tcBorders>
            <w:shd w:val="clear" w:color="auto" w:fill="auto"/>
            <w:vAlign w:val="center"/>
            <w:hideMark/>
          </w:tcPr>
          <w:p w14:paraId="73384B2B"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dos créditos com impacto no resultado</w:t>
            </w:r>
          </w:p>
        </w:tc>
        <w:tc>
          <w:tcPr>
            <w:tcW w:w="404" w:type="pct"/>
            <w:tcBorders>
              <w:top w:val="nil"/>
              <w:left w:val="nil"/>
              <w:bottom w:val="nil"/>
              <w:right w:val="nil"/>
            </w:tcBorders>
            <w:shd w:val="clear" w:color="auto" w:fill="auto"/>
            <w:noWrap/>
            <w:vAlign w:val="center"/>
            <w:hideMark/>
          </w:tcPr>
          <w:p w14:paraId="51A8A73B"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54.456.761</w:t>
            </w:r>
          </w:p>
        </w:tc>
        <w:tc>
          <w:tcPr>
            <w:tcW w:w="410" w:type="pct"/>
            <w:tcBorders>
              <w:top w:val="nil"/>
              <w:left w:val="nil"/>
              <w:bottom w:val="nil"/>
              <w:right w:val="nil"/>
            </w:tcBorders>
            <w:shd w:val="clear" w:color="auto" w:fill="auto"/>
            <w:noWrap/>
            <w:vAlign w:val="center"/>
          </w:tcPr>
          <w:p w14:paraId="4E2470F4"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16.518.344</w:t>
            </w:r>
          </w:p>
        </w:tc>
        <w:tc>
          <w:tcPr>
            <w:tcW w:w="423" w:type="pct"/>
            <w:tcBorders>
              <w:top w:val="nil"/>
              <w:left w:val="nil"/>
              <w:bottom w:val="nil"/>
              <w:right w:val="nil"/>
            </w:tcBorders>
            <w:shd w:val="clear" w:color="auto" w:fill="auto"/>
            <w:noWrap/>
            <w:vAlign w:val="center"/>
          </w:tcPr>
          <w:p w14:paraId="670E1768"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(14.496.717)</w:t>
            </w:r>
          </w:p>
        </w:tc>
        <w:tc>
          <w:tcPr>
            <w:tcW w:w="404" w:type="pct"/>
            <w:tcBorders>
              <w:top w:val="nil"/>
              <w:left w:val="nil"/>
              <w:bottom w:val="nil"/>
              <w:right w:val="nil"/>
            </w:tcBorders>
            <w:shd w:val="clear" w:color="auto" w:fill="auto"/>
            <w:noWrap/>
            <w:vAlign w:val="center"/>
          </w:tcPr>
          <w:p w14:paraId="22A4D7A9"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56.478.388</w:t>
            </w:r>
          </w:p>
        </w:tc>
        <w:tc>
          <w:tcPr>
            <w:tcW w:w="404" w:type="pct"/>
            <w:tcBorders>
              <w:top w:val="nil"/>
              <w:left w:val="nil"/>
              <w:bottom w:val="nil"/>
              <w:right w:val="nil"/>
            </w:tcBorders>
            <w:shd w:val="clear" w:color="auto" w:fill="auto"/>
            <w:noWrap/>
            <w:vAlign w:val="center"/>
            <w:hideMark/>
          </w:tcPr>
          <w:p w14:paraId="28F230EF"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54.456.768</w:t>
            </w:r>
          </w:p>
        </w:tc>
        <w:tc>
          <w:tcPr>
            <w:tcW w:w="410" w:type="pct"/>
            <w:tcBorders>
              <w:top w:val="nil"/>
              <w:left w:val="nil"/>
              <w:bottom w:val="nil"/>
              <w:right w:val="nil"/>
            </w:tcBorders>
            <w:shd w:val="clear" w:color="auto" w:fill="auto"/>
            <w:noWrap/>
            <w:vAlign w:val="center"/>
          </w:tcPr>
          <w:p w14:paraId="6E4BFFB0"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16.518.600</w:t>
            </w:r>
          </w:p>
        </w:tc>
        <w:tc>
          <w:tcPr>
            <w:tcW w:w="423" w:type="pct"/>
            <w:tcBorders>
              <w:top w:val="nil"/>
              <w:left w:val="nil"/>
              <w:bottom w:val="nil"/>
              <w:right w:val="nil"/>
            </w:tcBorders>
            <w:shd w:val="clear" w:color="auto" w:fill="auto"/>
            <w:noWrap/>
            <w:vAlign w:val="center"/>
          </w:tcPr>
          <w:p w14:paraId="749CEBFC"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(14.496.717)</w:t>
            </w:r>
          </w:p>
        </w:tc>
        <w:tc>
          <w:tcPr>
            <w:tcW w:w="404" w:type="pct"/>
            <w:tcBorders>
              <w:top w:val="nil"/>
              <w:left w:val="nil"/>
              <w:bottom w:val="nil"/>
              <w:right w:val="nil"/>
            </w:tcBorders>
            <w:shd w:val="clear" w:color="auto" w:fill="auto"/>
            <w:noWrap/>
            <w:vAlign w:val="center"/>
          </w:tcPr>
          <w:p w14:paraId="431615DD"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56.478.651</w:t>
            </w:r>
          </w:p>
        </w:tc>
      </w:tr>
      <w:tr w:rsidR="0047112C" w:rsidRPr="00E20D21" w14:paraId="319C53D4" w14:textId="77777777">
        <w:trPr>
          <w:trHeight w:val="283"/>
        </w:trPr>
        <w:tc>
          <w:tcPr>
            <w:tcW w:w="1717" w:type="pct"/>
            <w:tcBorders>
              <w:top w:val="nil"/>
              <w:left w:val="nil"/>
              <w:bottom w:val="nil"/>
              <w:right w:val="nil"/>
            </w:tcBorders>
            <w:shd w:val="clear" w:color="auto" w:fill="auto"/>
            <w:vAlign w:val="center"/>
            <w:hideMark/>
          </w:tcPr>
          <w:p w14:paraId="6FD1504C" w14:textId="77777777" w:rsidR="0047112C" w:rsidRPr="00E20D21" w:rsidRDefault="0047112C">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Passivos atuariais</w:t>
            </w:r>
          </w:p>
        </w:tc>
        <w:tc>
          <w:tcPr>
            <w:tcW w:w="404" w:type="pct"/>
            <w:tcBorders>
              <w:top w:val="nil"/>
              <w:left w:val="nil"/>
              <w:bottom w:val="nil"/>
              <w:right w:val="nil"/>
            </w:tcBorders>
            <w:shd w:val="clear" w:color="auto" w:fill="auto"/>
            <w:noWrap/>
            <w:vAlign w:val="center"/>
            <w:hideMark/>
          </w:tcPr>
          <w:p w14:paraId="4C02705D"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6.314.306</w:t>
            </w:r>
          </w:p>
        </w:tc>
        <w:tc>
          <w:tcPr>
            <w:tcW w:w="410" w:type="pct"/>
            <w:tcBorders>
              <w:top w:val="nil"/>
              <w:left w:val="nil"/>
              <w:bottom w:val="nil"/>
              <w:right w:val="nil"/>
            </w:tcBorders>
            <w:shd w:val="clear" w:color="auto" w:fill="auto"/>
            <w:noWrap/>
            <w:vAlign w:val="center"/>
          </w:tcPr>
          <w:p w14:paraId="149D8A43"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979.701</w:t>
            </w:r>
          </w:p>
        </w:tc>
        <w:tc>
          <w:tcPr>
            <w:tcW w:w="423" w:type="pct"/>
            <w:tcBorders>
              <w:top w:val="nil"/>
              <w:left w:val="nil"/>
              <w:bottom w:val="nil"/>
              <w:right w:val="nil"/>
            </w:tcBorders>
            <w:shd w:val="clear" w:color="auto" w:fill="auto"/>
            <w:vAlign w:val="center"/>
          </w:tcPr>
          <w:p w14:paraId="7ACDE415" w14:textId="77777777" w:rsidR="0047112C" w:rsidRPr="00E20D21" w:rsidRDefault="0047112C">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(791.136)</w:t>
            </w:r>
          </w:p>
        </w:tc>
        <w:tc>
          <w:tcPr>
            <w:tcW w:w="404" w:type="pct"/>
            <w:tcBorders>
              <w:top w:val="nil"/>
              <w:left w:val="nil"/>
              <w:bottom w:val="nil"/>
              <w:right w:val="nil"/>
            </w:tcBorders>
            <w:shd w:val="clear" w:color="auto" w:fill="auto"/>
            <w:noWrap/>
            <w:vAlign w:val="center"/>
          </w:tcPr>
          <w:p w14:paraId="47B3FF3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6.502.871</w:t>
            </w:r>
          </w:p>
        </w:tc>
        <w:tc>
          <w:tcPr>
            <w:tcW w:w="404" w:type="pct"/>
            <w:tcBorders>
              <w:top w:val="nil"/>
              <w:left w:val="nil"/>
              <w:bottom w:val="nil"/>
              <w:right w:val="nil"/>
            </w:tcBorders>
            <w:shd w:val="clear" w:color="auto" w:fill="auto"/>
            <w:noWrap/>
            <w:vAlign w:val="center"/>
            <w:hideMark/>
          </w:tcPr>
          <w:p w14:paraId="5F5328D0"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6.314.306</w:t>
            </w:r>
          </w:p>
        </w:tc>
        <w:tc>
          <w:tcPr>
            <w:tcW w:w="410" w:type="pct"/>
            <w:tcBorders>
              <w:top w:val="nil"/>
              <w:left w:val="nil"/>
              <w:bottom w:val="nil"/>
              <w:right w:val="nil"/>
            </w:tcBorders>
            <w:shd w:val="clear" w:color="auto" w:fill="auto"/>
            <w:noWrap/>
            <w:vAlign w:val="center"/>
          </w:tcPr>
          <w:p w14:paraId="14519E1D"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979.701</w:t>
            </w:r>
          </w:p>
        </w:tc>
        <w:tc>
          <w:tcPr>
            <w:tcW w:w="423" w:type="pct"/>
            <w:tcBorders>
              <w:top w:val="nil"/>
              <w:left w:val="nil"/>
              <w:bottom w:val="nil"/>
              <w:right w:val="nil"/>
            </w:tcBorders>
            <w:shd w:val="clear" w:color="auto" w:fill="auto"/>
            <w:vAlign w:val="center"/>
          </w:tcPr>
          <w:p w14:paraId="1A2B7D41" w14:textId="77777777" w:rsidR="0047112C" w:rsidRPr="00E20D21" w:rsidRDefault="0047112C">
            <w:pPr>
              <w:jc w:val="right"/>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(791.136)</w:t>
            </w:r>
          </w:p>
        </w:tc>
        <w:tc>
          <w:tcPr>
            <w:tcW w:w="404" w:type="pct"/>
            <w:tcBorders>
              <w:top w:val="nil"/>
              <w:left w:val="nil"/>
              <w:bottom w:val="nil"/>
              <w:right w:val="nil"/>
            </w:tcBorders>
            <w:shd w:val="clear" w:color="auto" w:fill="auto"/>
            <w:noWrap/>
            <w:vAlign w:val="center"/>
          </w:tcPr>
          <w:p w14:paraId="1170DB5E"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6.502.871</w:t>
            </w:r>
          </w:p>
        </w:tc>
      </w:tr>
      <w:tr w:rsidR="0047112C" w:rsidRPr="00E20D21" w14:paraId="500D4411" w14:textId="77777777">
        <w:trPr>
          <w:trHeight w:val="283"/>
        </w:trPr>
        <w:tc>
          <w:tcPr>
            <w:tcW w:w="1717" w:type="pct"/>
            <w:tcBorders>
              <w:top w:val="nil"/>
              <w:left w:val="nil"/>
              <w:bottom w:val="nil"/>
              <w:right w:val="nil"/>
            </w:tcBorders>
            <w:shd w:val="clear" w:color="auto" w:fill="auto"/>
            <w:vAlign w:val="center"/>
            <w:hideMark/>
          </w:tcPr>
          <w:p w14:paraId="5548CC13" w14:textId="77777777" w:rsidR="0047112C" w:rsidRPr="00E20D21" w:rsidRDefault="0047112C">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404" w:type="pct"/>
            <w:tcBorders>
              <w:top w:val="nil"/>
              <w:left w:val="nil"/>
              <w:bottom w:val="nil"/>
              <w:right w:val="nil"/>
            </w:tcBorders>
            <w:shd w:val="clear" w:color="auto" w:fill="auto"/>
            <w:noWrap/>
            <w:vAlign w:val="center"/>
            <w:hideMark/>
          </w:tcPr>
          <w:p w14:paraId="64C9C97F"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915.522</w:t>
            </w:r>
          </w:p>
        </w:tc>
        <w:tc>
          <w:tcPr>
            <w:tcW w:w="410" w:type="pct"/>
            <w:tcBorders>
              <w:top w:val="nil"/>
              <w:left w:val="nil"/>
              <w:bottom w:val="nil"/>
              <w:right w:val="nil"/>
            </w:tcBorders>
            <w:shd w:val="clear" w:color="auto" w:fill="auto"/>
            <w:noWrap/>
            <w:vAlign w:val="center"/>
          </w:tcPr>
          <w:p w14:paraId="2C43E9C0"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446B31B5" w14:textId="77777777" w:rsidR="0047112C" w:rsidRPr="00E20D21" w:rsidRDefault="0047112C">
            <w:pPr>
              <w:jc w:val="center"/>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5F5EC71E"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915.522</w:t>
            </w:r>
          </w:p>
        </w:tc>
        <w:tc>
          <w:tcPr>
            <w:tcW w:w="404" w:type="pct"/>
            <w:tcBorders>
              <w:top w:val="nil"/>
              <w:left w:val="nil"/>
              <w:bottom w:val="nil"/>
              <w:right w:val="nil"/>
            </w:tcBorders>
            <w:shd w:val="clear" w:color="auto" w:fill="auto"/>
            <w:noWrap/>
            <w:vAlign w:val="center"/>
            <w:hideMark/>
          </w:tcPr>
          <w:p w14:paraId="5209A5FC"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915.522</w:t>
            </w:r>
          </w:p>
        </w:tc>
        <w:tc>
          <w:tcPr>
            <w:tcW w:w="410" w:type="pct"/>
            <w:tcBorders>
              <w:top w:val="nil"/>
              <w:left w:val="nil"/>
              <w:bottom w:val="nil"/>
              <w:right w:val="nil"/>
            </w:tcBorders>
            <w:shd w:val="clear" w:color="auto" w:fill="auto"/>
            <w:noWrap/>
            <w:vAlign w:val="center"/>
          </w:tcPr>
          <w:p w14:paraId="57319773"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248C0DFE" w14:textId="77777777" w:rsidR="0047112C" w:rsidRPr="00E20D21" w:rsidRDefault="0047112C">
            <w:pPr>
              <w:jc w:val="center"/>
              <w:rPr>
                <w:rFonts w:ascii="CAIXA Std Book" w:eastAsia="Times New Roman" w:hAnsi="CAIXA Std Book" w:cs="Times New Roman"/>
                <w:color w:val="005CA9"/>
                <w:sz w:val="20"/>
                <w:szCs w:val="20"/>
              </w:rPr>
            </w:pPr>
            <w:r w:rsidRPr="00E20D21">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2C017C60"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915.522</w:t>
            </w:r>
          </w:p>
        </w:tc>
      </w:tr>
      <w:tr w:rsidR="0047112C" w:rsidRPr="00E20D21" w14:paraId="15C0472A" w14:textId="77777777">
        <w:trPr>
          <w:trHeight w:val="283"/>
        </w:trPr>
        <w:tc>
          <w:tcPr>
            <w:tcW w:w="1717" w:type="pct"/>
            <w:tcBorders>
              <w:top w:val="single" w:sz="4" w:space="0" w:color="F39200"/>
              <w:left w:val="nil"/>
              <w:bottom w:val="single" w:sz="4" w:space="0" w:color="F39200"/>
              <w:right w:val="nil"/>
            </w:tcBorders>
            <w:shd w:val="clear" w:color="auto" w:fill="auto"/>
            <w:vAlign w:val="center"/>
            <w:hideMark/>
          </w:tcPr>
          <w:p w14:paraId="27F92E2C"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dos créditos com impacto no PL</w:t>
            </w:r>
          </w:p>
        </w:tc>
        <w:tc>
          <w:tcPr>
            <w:tcW w:w="404" w:type="pct"/>
            <w:tcBorders>
              <w:top w:val="single" w:sz="4" w:space="0" w:color="F39200"/>
              <w:left w:val="nil"/>
              <w:bottom w:val="single" w:sz="4" w:space="0" w:color="F39200"/>
              <w:right w:val="nil"/>
            </w:tcBorders>
            <w:shd w:val="clear" w:color="auto" w:fill="auto"/>
            <w:noWrap/>
            <w:vAlign w:val="center"/>
            <w:hideMark/>
          </w:tcPr>
          <w:p w14:paraId="1D6D1A57"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7.229.828</w:t>
            </w:r>
          </w:p>
        </w:tc>
        <w:tc>
          <w:tcPr>
            <w:tcW w:w="410" w:type="pct"/>
            <w:tcBorders>
              <w:top w:val="single" w:sz="4" w:space="0" w:color="F39200"/>
              <w:left w:val="nil"/>
              <w:bottom w:val="single" w:sz="4" w:space="0" w:color="F39200"/>
              <w:right w:val="nil"/>
            </w:tcBorders>
            <w:shd w:val="clear" w:color="auto" w:fill="auto"/>
            <w:noWrap/>
            <w:vAlign w:val="center"/>
          </w:tcPr>
          <w:p w14:paraId="7D983299"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979.701</w:t>
            </w:r>
          </w:p>
        </w:tc>
        <w:tc>
          <w:tcPr>
            <w:tcW w:w="423" w:type="pct"/>
            <w:tcBorders>
              <w:top w:val="single" w:sz="4" w:space="0" w:color="F39200"/>
              <w:left w:val="nil"/>
              <w:bottom w:val="single" w:sz="4" w:space="0" w:color="F39200"/>
              <w:right w:val="nil"/>
            </w:tcBorders>
            <w:shd w:val="clear" w:color="auto" w:fill="auto"/>
            <w:noWrap/>
            <w:vAlign w:val="center"/>
          </w:tcPr>
          <w:p w14:paraId="52DA2439"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(791.136)</w:t>
            </w:r>
          </w:p>
        </w:tc>
        <w:tc>
          <w:tcPr>
            <w:tcW w:w="404" w:type="pct"/>
            <w:tcBorders>
              <w:top w:val="single" w:sz="4" w:space="0" w:color="F39200"/>
              <w:left w:val="nil"/>
              <w:bottom w:val="single" w:sz="4" w:space="0" w:color="F39200"/>
              <w:right w:val="nil"/>
            </w:tcBorders>
            <w:shd w:val="clear" w:color="auto" w:fill="auto"/>
            <w:noWrap/>
            <w:vAlign w:val="center"/>
          </w:tcPr>
          <w:p w14:paraId="15AC764D"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7.418.393</w:t>
            </w:r>
          </w:p>
        </w:tc>
        <w:tc>
          <w:tcPr>
            <w:tcW w:w="404" w:type="pct"/>
            <w:tcBorders>
              <w:top w:val="single" w:sz="4" w:space="0" w:color="F39200"/>
              <w:left w:val="nil"/>
              <w:bottom w:val="single" w:sz="4" w:space="0" w:color="F39200"/>
              <w:right w:val="nil"/>
            </w:tcBorders>
            <w:shd w:val="clear" w:color="auto" w:fill="auto"/>
            <w:noWrap/>
            <w:vAlign w:val="center"/>
            <w:hideMark/>
          </w:tcPr>
          <w:p w14:paraId="1443286A"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7.229.828</w:t>
            </w:r>
          </w:p>
        </w:tc>
        <w:tc>
          <w:tcPr>
            <w:tcW w:w="410" w:type="pct"/>
            <w:tcBorders>
              <w:top w:val="single" w:sz="4" w:space="0" w:color="F39200"/>
              <w:left w:val="nil"/>
              <w:bottom w:val="single" w:sz="4" w:space="0" w:color="F39200"/>
              <w:right w:val="nil"/>
            </w:tcBorders>
            <w:shd w:val="clear" w:color="auto" w:fill="auto"/>
            <w:noWrap/>
            <w:vAlign w:val="center"/>
          </w:tcPr>
          <w:p w14:paraId="6F722613"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979.701</w:t>
            </w:r>
          </w:p>
        </w:tc>
        <w:tc>
          <w:tcPr>
            <w:tcW w:w="423" w:type="pct"/>
            <w:tcBorders>
              <w:top w:val="single" w:sz="4" w:space="0" w:color="F39200"/>
              <w:left w:val="nil"/>
              <w:bottom w:val="single" w:sz="4" w:space="0" w:color="F39200"/>
              <w:right w:val="nil"/>
            </w:tcBorders>
            <w:shd w:val="clear" w:color="auto" w:fill="auto"/>
            <w:noWrap/>
            <w:vAlign w:val="center"/>
          </w:tcPr>
          <w:p w14:paraId="092B9041"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(791.136)</w:t>
            </w:r>
          </w:p>
        </w:tc>
        <w:tc>
          <w:tcPr>
            <w:tcW w:w="404" w:type="pct"/>
            <w:tcBorders>
              <w:top w:val="single" w:sz="4" w:space="0" w:color="F39200"/>
              <w:left w:val="nil"/>
              <w:bottom w:val="single" w:sz="4" w:space="0" w:color="F39200"/>
              <w:right w:val="nil"/>
            </w:tcBorders>
            <w:shd w:val="clear" w:color="auto" w:fill="auto"/>
            <w:noWrap/>
            <w:vAlign w:val="center"/>
          </w:tcPr>
          <w:p w14:paraId="6749D013"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7.418.393</w:t>
            </w:r>
          </w:p>
        </w:tc>
      </w:tr>
      <w:tr w:rsidR="0047112C" w:rsidRPr="00E20D21" w14:paraId="31C4F205" w14:textId="77777777">
        <w:trPr>
          <w:trHeight w:val="283"/>
        </w:trPr>
        <w:tc>
          <w:tcPr>
            <w:tcW w:w="1717" w:type="pct"/>
            <w:tcBorders>
              <w:top w:val="nil"/>
              <w:left w:val="nil"/>
              <w:bottom w:val="single" w:sz="4" w:space="0" w:color="F39200"/>
              <w:right w:val="nil"/>
            </w:tcBorders>
            <w:shd w:val="clear" w:color="auto" w:fill="auto"/>
            <w:noWrap/>
            <w:vAlign w:val="center"/>
            <w:hideMark/>
          </w:tcPr>
          <w:p w14:paraId="0C76DD12"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dos créditos tributários</w:t>
            </w:r>
          </w:p>
        </w:tc>
        <w:tc>
          <w:tcPr>
            <w:tcW w:w="404" w:type="pct"/>
            <w:tcBorders>
              <w:top w:val="nil"/>
              <w:left w:val="nil"/>
              <w:bottom w:val="single" w:sz="4" w:space="0" w:color="F39200"/>
              <w:right w:val="nil"/>
            </w:tcBorders>
            <w:shd w:val="clear" w:color="auto" w:fill="auto"/>
            <w:noWrap/>
            <w:vAlign w:val="center"/>
            <w:hideMark/>
          </w:tcPr>
          <w:p w14:paraId="470BA19A"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61.686.589</w:t>
            </w:r>
          </w:p>
        </w:tc>
        <w:tc>
          <w:tcPr>
            <w:tcW w:w="410" w:type="pct"/>
            <w:tcBorders>
              <w:top w:val="nil"/>
              <w:left w:val="nil"/>
              <w:bottom w:val="single" w:sz="4" w:space="0" w:color="F39200"/>
              <w:right w:val="nil"/>
            </w:tcBorders>
            <w:shd w:val="clear" w:color="auto" w:fill="auto"/>
            <w:noWrap/>
            <w:vAlign w:val="center"/>
          </w:tcPr>
          <w:p w14:paraId="24437547"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17.498.045</w:t>
            </w:r>
          </w:p>
        </w:tc>
        <w:tc>
          <w:tcPr>
            <w:tcW w:w="423" w:type="pct"/>
            <w:tcBorders>
              <w:top w:val="nil"/>
              <w:left w:val="nil"/>
              <w:bottom w:val="single" w:sz="4" w:space="0" w:color="F39200"/>
              <w:right w:val="nil"/>
            </w:tcBorders>
            <w:shd w:val="clear" w:color="auto" w:fill="auto"/>
            <w:noWrap/>
            <w:vAlign w:val="center"/>
          </w:tcPr>
          <w:p w14:paraId="4AF6E096"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(15.287.853)</w:t>
            </w:r>
          </w:p>
        </w:tc>
        <w:tc>
          <w:tcPr>
            <w:tcW w:w="404" w:type="pct"/>
            <w:tcBorders>
              <w:top w:val="nil"/>
              <w:left w:val="nil"/>
              <w:bottom w:val="single" w:sz="4" w:space="0" w:color="F39200"/>
              <w:right w:val="nil"/>
            </w:tcBorders>
            <w:shd w:val="clear" w:color="auto" w:fill="auto"/>
            <w:noWrap/>
            <w:vAlign w:val="center"/>
          </w:tcPr>
          <w:p w14:paraId="7C12B261"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63.896.781</w:t>
            </w:r>
          </w:p>
        </w:tc>
        <w:tc>
          <w:tcPr>
            <w:tcW w:w="404" w:type="pct"/>
            <w:tcBorders>
              <w:top w:val="nil"/>
              <w:left w:val="nil"/>
              <w:bottom w:val="single" w:sz="4" w:space="0" w:color="F39200"/>
              <w:right w:val="nil"/>
            </w:tcBorders>
            <w:shd w:val="clear" w:color="auto" w:fill="auto"/>
            <w:noWrap/>
            <w:vAlign w:val="center"/>
            <w:hideMark/>
          </w:tcPr>
          <w:p w14:paraId="745235E9"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61.686.596</w:t>
            </w:r>
          </w:p>
        </w:tc>
        <w:tc>
          <w:tcPr>
            <w:tcW w:w="410" w:type="pct"/>
            <w:tcBorders>
              <w:top w:val="nil"/>
              <w:left w:val="nil"/>
              <w:bottom w:val="single" w:sz="4" w:space="0" w:color="F39200"/>
              <w:right w:val="nil"/>
            </w:tcBorders>
            <w:shd w:val="clear" w:color="auto" w:fill="auto"/>
            <w:noWrap/>
            <w:vAlign w:val="center"/>
          </w:tcPr>
          <w:p w14:paraId="10EB2375"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17.498.301</w:t>
            </w:r>
          </w:p>
        </w:tc>
        <w:tc>
          <w:tcPr>
            <w:tcW w:w="423" w:type="pct"/>
            <w:tcBorders>
              <w:top w:val="nil"/>
              <w:left w:val="nil"/>
              <w:bottom w:val="single" w:sz="4" w:space="0" w:color="F39200"/>
              <w:right w:val="nil"/>
            </w:tcBorders>
            <w:shd w:val="clear" w:color="auto" w:fill="auto"/>
            <w:noWrap/>
            <w:vAlign w:val="center"/>
          </w:tcPr>
          <w:p w14:paraId="27BC0411"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(15.287.853)</w:t>
            </w:r>
          </w:p>
        </w:tc>
        <w:tc>
          <w:tcPr>
            <w:tcW w:w="404" w:type="pct"/>
            <w:tcBorders>
              <w:top w:val="nil"/>
              <w:left w:val="nil"/>
              <w:bottom w:val="single" w:sz="4" w:space="0" w:color="F39200"/>
              <w:right w:val="nil"/>
            </w:tcBorders>
            <w:shd w:val="clear" w:color="auto" w:fill="auto"/>
            <w:noWrap/>
            <w:vAlign w:val="center"/>
          </w:tcPr>
          <w:p w14:paraId="72F4BB5E"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63.897.044</w:t>
            </w:r>
          </w:p>
        </w:tc>
      </w:tr>
      <w:tr w:rsidR="0047112C" w:rsidRPr="00E20D21" w14:paraId="338E06B4" w14:textId="77777777">
        <w:trPr>
          <w:trHeight w:val="283"/>
        </w:trPr>
        <w:tc>
          <w:tcPr>
            <w:tcW w:w="1717" w:type="pct"/>
            <w:tcBorders>
              <w:top w:val="single" w:sz="4" w:space="0" w:color="F39200"/>
              <w:left w:val="nil"/>
              <w:bottom w:val="single" w:sz="4" w:space="0" w:color="F39200"/>
              <w:right w:val="nil"/>
            </w:tcBorders>
            <w:shd w:val="clear" w:color="auto" w:fill="auto"/>
            <w:noWrap/>
            <w:vAlign w:val="center"/>
          </w:tcPr>
          <w:p w14:paraId="6B8580CE"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dos créditos não constituídos</w:t>
            </w:r>
          </w:p>
        </w:tc>
        <w:tc>
          <w:tcPr>
            <w:tcW w:w="404" w:type="pct"/>
            <w:tcBorders>
              <w:top w:val="single" w:sz="4" w:space="0" w:color="F39200"/>
              <w:left w:val="nil"/>
              <w:bottom w:val="single" w:sz="4" w:space="0" w:color="F39200"/>
              <w:right w:val="nil"/>
            </w:tcBorders>
            <w:shd w:val="clear" w:color="auto" w:fill="auto"/>
            <w:noWrap/>
            <w:vAlign w:val="center"/>
          </w:tcPr>
          <w:p w14:paraId="7BAB5A9D"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120.791</w:t>
            </w:r>
          </w:p>
        </w:tc>
        <w:tc>
          <w:tcPr>
            <w:tcW w:w="410" w:type="pct"/>
            <w:tcBorders>
              <w:top w:val="single" w:sz="4" w:space="0" w:color="F39200"/>
              <w:left w:val="nil"/>
              <w:bottom w:val="single" w:sz="4" w:space="0" w:color="F39200"/>
              <w:right w:val="nil"/>
            </w:tcBorders>
            <w:shd w:val="clear" w:color="auto" w:fill="auto"/>
            <w:noWrap/>
            <w:vAlign w:val="center"/>
          </w:tcPr>
          <w:p w14:paraId="77C03BEF" w14:textId="27B359B9" w:rsidR="0047112C" w:rsidRPr="00E20D21" w:rsidRDefault="002D5BCE" w:rsidP="002D5BCE">
            <w:pPr>
              <w:jc w:val="center"/>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w:t>
            </w:r>
          </w:p>
        </w:tc>
        <w:tc>
          <w:tcPr>
            <w:tcW w:w="423" w:type="pct"/>
            <w:tcBorders>
              <w:top w:val="single" w:sz="4" w:space="0" w:color="F39200"/>
              <w:left w:val="nil"/>
              <w:bottom w:val="single" w:sz="4" w:space="0" w:color="F39200"/>
              <w:right w:val="nil"/>
            </w:tcBorders>
            <w:shd w:val="clear" w:color="auto" w:fill="auto"/>
            <w:noWrap/>
            <w:vAlign w:val="center"/>
          </w:tcPr>
          <w:p w14:paraId="24C82641" w14:textId="1815402C" w:rsidR="0047112C" w:rsidRPr="00E20D21" w:rsidRDefault="002D5BCE" w:rsidP="002D5BCE">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(106)</w:t>
            </w:r>
          </w:p>
        </w:tc>
        <w:tc>
          <w:tcPr>
            <w:tcW w:w="404" w:type="pct"/>
            <w:tcBorders>
              <w:top w:val="single" w:sz="4" w:space="0" w:color="F39200"/>
              <w:left w:val="nil"/>
              <w:bottom w:val="single" w:sz="4" w:space="0" w:color="F39200"/>
              <w:right w:val="nil"/>
            </w:tcBorders>
            <w:shd w:val="clear" w:color="auto" w:fill="auto"/>
            <w:noWrap/>
            <w:vAlign w:val="center"/>
          </w:tcPr>
          <w:p w14:paraId="2D704AC7"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120.685</w:t>
            </w:r>
          </w:p>
        </w:tc>
        <w:tc>
          <w:tcPr>
            <w:tcW w:w="404" w:type="pct"/>
            <w:tcBorders>
              <w:top w:val="single" w:sz="4" w:space="0" w:color="F39200"/>
              <w:left w:val="nil"/>
              <w:bottom w:val="single" w:sz="4" w:space="0" w:color="F39200"/>
              <w:right w:val="nil"/>
            </w:tcBorders>
            <w:shd w:val="clear" w:color="auto" w:fill="auto"/>
            <w:noWrap/>
            <w:vAlign w:val="center"/>
          </w:tcPr>
          <w:p w14:paraId="47F192DA" w14:textId="77777777" w:rsidR="0047112C" w:rsidRPr="00E20D21" w:rsidRDefault="0047112C">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120.791</w:t>
            </w:r>
          </w:p>
        </w:tc>
        <w:tc>
          <w:tcPr>
            <w:tcW w:w="410" w:type="pct"/>
            <w:tcBorders>
              <w:top w:val="single" w:sz="4" w:space="0" w:color="F39200"/>
              <w:left w:val="nil"/>
              <w:bottom w:val="single" w:sz="4" w:space="0" w:color="F39200"/>
              <w:right w:val="nil"/>
            </w:tcBorders>
            <w:shd w:val="clear" w:color="auto" w:fill="auto"/>
            <w:noWrap/>
            <w:vAlign w:val="center"/>
          </w:tcPr>
          <w:p w14:paraId="199B97E1" w14:textId="4C95F7EF" w:rsidR="0047112C" w:rsidRPr="00E20D21" w:rsidRDefault="002D5BCE" w:rsidP="002D5BCE">
            <w:pPr>
              <w:jc w:val="center"/>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w:t>
            </w:r>
          </w:p>
        </w:tc>
        <w:tc>
          <w:tcPr>
            <w:tcW w:w="423" w:type="pct"/>
            <w:tcBorders>
              <w:top w:val="single" w:sz="4" w:space="0" w:color="F39200"/>
              <w:left w:val="nil"/>
              <w:bottom w:val="single" w:sz="4" w:space="0" w:color="F39200"/>
              <w:right w:val="nil"/>
            </w:tcBorders>
            <w:shd w:val="clear" w:color="auto" w:fill="auto"/>
            <w:noWrap/>
            <w:vAlign w:val="center"/>
          </w:tcPr>
          <w:p w14:paraId="011E4EAF" w14:textId="5B49C7CF" w:rsidR="0047112C" w:rsidRPr="00E20D21" w:rsidRDefault="002D5BCE" w:rsidP="00290500">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(106)</w:t>
            </w:r>
          </w:p>
        </w:tc>
        <w:tc>
          <w:tcPr>
            <w:tcW w:w="404" w:type="pct"/>
            <w:tcBorders>
              <w:top w:val="single" w:sz="4" w:space="0" w:color="F39200"/>
              <w:left w:val="nil"/>
              <w:bottom w:val="single" w:sz="4" w:space="0" w:color="F39200"/>
              <w:right w:val="nil"/>
            </w:tcBorders>
            <w:shd w:val="clear" w:color="auto" w:fill="auto"/>
            <w:noWrap/>
            <w:vAlign w:val="center"/>
          </w:tcPr>
          <w:p w14:paraId="02BD4F0B"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120.685</w:t>
            </w:r>
          </w:p>
        </w:tc>
      </w:tr>
    </w:tbl>
    <w:p w14:paraId="2765108B" w14:textId="228212AD" w:rsidR="003B762C" w:rsidRPr="00E20D21" w:rsidRDefault="003B762C" w:rsidP="003957B5">
      <w:pPr>
        <w:keepNext/>
        <w:spacing w:before="360" w:after="240"/>
        <w:jc w:val="both"/>
        <w:rPr>
          <w:rFonts w:ascii="CAIXA Std Book" w:hAnsi="CAIXA Std Book"/>
          <w:b/>
          <w:color w:val="005CA9"/>
          <w:sz w:val="20"/>
          <w:szCs w:val="20"/>
        </w:rPr>
        <w:sectPr w:rsidR="003B762C" w:rsidRPr="00E20D21" w:rsidSect="001F0E96">
          <w:headerReference w:type="default" r:id="rId66"/>
          <w:footerReference w:type="default" r:id="rId67"/>
          <w:pgSz w:w="16838" w:h="11906" w:orient="landscape"/>
          <w:pgMar w:top="1418" w:right="851" w:bottom="851" w:left="1418" w:header="1134" w:footer="709" w:gutter="0"/>
          <w:cols w:space="708"/>
          <w:docGrid w:linePitch="360"/>
        </w:sectPr>
      </w:pPr>
    </w:p>
    <w:p w14:paraId="6B387CFC" w14:textId="0CB8DAFD" w:rsidR="003B762C" w:rsidRPr="00E20D21" w:rsidRDefault="006C2BF9" w:rsidP="00051BF7">
      <w:pPr>
        <w:keepNext/>
        <w:spacing w:before="240" w:after="12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w:t>
      </w:r>
      <w:r w:rsidR="005C0989" w:rsidRPr="00E20D21">
        <w:rPr>
          <w:rFonts w:ascii="CAIXA Std Book" w:hAnsi="CAIXA Std Book"/>
          <w:b/>
          <w:color w:val="005CA9"/>
          <w:sz w:val="20"/>
          <w:szCs w:val="20"/>
        </w:rPr>
        <w:t>e)</w:t>
      </w:r>
      <w:r w:rsidR="00742D90" w:rsidRPr="00E20D21">
        <w:rPr>
          <w:rFonts w:ascii="CAIXA Std Book" w:hAnsi="CAIXA Std Book"/>
          <w:b/>
          <w:color w:val="005CA9"/>
          <w:sz w:val="20"/>
          <w:szCs w:val="20"/>
        </w:rPr>
        <w:tab/>
      </w:r>
      <w:r w:rsidR="003B762C" w:rsidRPr="00E20D21">
        <w:rPr>
          <w:rFonts w:ascii="CAIXA Std Book" w:hAnsi="CAIXA Std Book"/>
          <w:b/>
          <w:color w:val="005CA9"/>
          <w:sz w:val="20"/>
          <w:szCs w:val="20"/>
        </w:rPr>
        <w:t>Expectativa de realização – ativo fiscal diferido</w:t>
      </w:r>
    </w:p>
    <w:p w14:paraId="711FBD3D" w14:textId="77777777" w:rsidR="003B762C" w:rsidRPr="00E20D21" w:rsidRDefault="003B762C" w:rsidP="003B762C">
      <w:pPr>
        <w:tabs>
          <w:tab w:val="left" w:pos="1650"/>
        </w:tabs>
        <w:spacing w:before="120" w:after="240"/>
        <w:jc w:val="both"/>
        <w:rPr>
          <w:rFonts w:ascii="CAIXA Std Book" w:hAnsi="CAIXA Std Book"/>
          <w:color w:val="005CA9"/>
          <w:sz w:val="20"/>
          <w:szCs w:val="20"/>
        </w:rPr>
      </w:pPr>
      <w:r w:rsidRPr="00E20D21">
        <w:rPr>
          <w:rFonts w:ascii="CAIXA Std Book" w:hAnsi="CAIXA Std Book"/>
          <w:color w:val="005CA9"/>
          <w:sz w:val="20"/>
          <w:szCs w:val="20"/>
        </w:rPr>
        <w:t>A CAIXA realiza semestralmente estudo técnico quanto à expectativa de realização de créditos tributários em 10 anos. Os valores apurados no estudo estão representados a seguir:</w:t>
      </w:r>
    </w:p>
    <w:tbl>
      <w:tblPr>
        <w:tblW w:w="5000" w:type="pct"/>
        <w:tblCellMar>
          <w:left w:w="70" w:type="dxa"/>
          <w:right w:w="70" w:type="dxa"/>
        </w:tblCellMar>
        <w:tblLook w:val="04A0" w:firstRow="1" w:lastRow="0" w:firstColumn="1" w:lastColumn="0" w:noHBand="0" w:noVBand="1"/>
      </w:tblPr>
      <w:tblGrid>
        <w:gridCol w:w="4203"/>
        <w:gridCol w:w="1359"/>
        <w:gridCol w:w="1359"/>
        <w:gridCol w:w="1359"/>
        <w:gridCol w:w="1359"/>
      </w:tblGrid>
      <w:tr w:rsidR="0047112C" w:rsidRPr="00E20D21" w14:paraId="71D8EE5E" w14:textId="77777777">
        <w:trPr>
          <w:trHeight w:val="283"/>
        </w:trPr>
        <w:tc>
          <w:tcPr>
            <w:tcW w:w="2180" w:type="pct"/>
            <w:vMerge w:val="restart"/>
            <w:tcBorders>
              <w:top w:val="single" w:sz="4" w:space="0" w:color="F39200"/>
              <w:left w:val="nil"/>
              <w:bottom w:val="single" w:sz="4" w:space="0" w:color="F39200"/>
              <w:right w:val="nil"/>
            </w:tcBorders>
            <w:shd w:val="clear" w:color="auto" w:fill="auto"/>
            <w:vAlign w:val="center"/>
            <w:hideMark/>
          </w:tcPr>
          <w:p w14:paraId="7F62EFB1"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Ano de Realização</w:t>
            </w:r>
          </w:p>
        </w:tc>
        <w:tc>
          <w:tcPr>
            <w:tcW w:w="1410" w:type="pct"/>
            <w:gridSpan w:val="2"/>
            <w:tcBorders>
              <w:top w:val="single" w:sz="4" w:space="0" w:color="F39200"/>
              <w:left w:val="nil"/>
              <w:bottom w:val="single" w:sz="4" w:space="0" w:color="F39200"/>
              <w:right w:val="nil"/>
            </w:tcBorders>
            <w:shd w:val="clear" w:color="auto" w:fill="auto"/>
            <w:vAlign w:val="center"/>
            <w:hideMark/>
          </w:tcPr>
          <w:p w14:paraId="11926711"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410" w:type="pct"/>
            <w:gridSpan w:val="2"/>
            <w:tcBorders>
              <w:top w:val="single" w:sz="4" w:space="0" w:color="F39200"/>
              <w:left w:val="nil"/>
              <w:bottom w:val="single" w:sz="4" w:space="0" w:color="F39200"/>
              <w:right w:val="nil"/>
            </w:tcBorders>
            <w:shd w:val="clear" w:color="auto" w:fill="auto"/>
            <w:vAlign w:val="center"/>
            <w:hideMark/>
          </w:tcPr>
          <w:p w14:paraId="3888C421"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47112C" w:rsidRPr="00E20D21" w14:paraId="73C23754" w14:textId="77777777">
        <w:trPr>
          <w:trHeight w:val="283"/>
        </w:trPr>
        <w:tc>
          <w:tcPr>
            <w:tcW w:w="2180" w:type="pct"/>
            <w:vMerge/>
            <w:tcBorders>
              <w:top w:val="single" w:sz="4" w:space="0" w:color="F39200"/>
              <w:left w:val="nil"/>
              <w:bottom w:val="single" w:sz="4" w:space="0" w:color="F39200"/>
              <w:right w:val="nil"/>
            </w:tcBorders>
            <w:vAlign w:val="center"/>
            <w:hideMark/>
          </w:tcPr>
          <w:p w14:paraId="2A3D77D2" w14:textId="77777777" w:rsidR="0047112C" w:rsidRPr="00E20D21" w:rsidRDefault="0047112C">
            <w:pPr>
              <w:rPr>
                <w:rFonts w:ascii="CAIXA Std Book" w:eastAsia="Times New Roman" w:hAnsi="CAIXA Std Book" w:cs="Arial"/>
                <w:b/>
                <w:bCs/>
                <w:color w:val="005CA9"/>
                <w:sz w:val="18"/>
                <w:szCs w:val="18"/>
              </w:rPr>
            </w:pPr>
          </w:p>
        </w:tc>
        <w:tc>
          <w:tcPr>
            <w:tcW w:w="705" w:type="pct"/>
            <w:tcBorders>
              <w:top w:val="nil"/>
              <w:left w:val="nil"/>
              <w:bottom w:val="single" w:sz="4" w:space="0" w:color="F39200"/>
              <w:right w:val="nil"/>
            </w:tcBorders>
            <w:shd w:val="clear" w:color="auto" w:fill="auto"/>
            <w:vAlign w:val="center"/>
            <w:hideMark/>
          </w:tcPr>
          <w:p w14:paraId="132A8DE1"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Valor Nominal</w:t>
            </w:r>
          </w:p>
        </w:tc>
        <w:tc>
          <w:tcPr>
            <w:tcW w:w="705" w:type="pct"/>
            <w:tcBorders>
              <w:top w:val="nil"/>
              <w:left w:val="nil"/>
              <w:bottom w:val="single" w:sz="4" w:space="0" w:color="F39200"/>
              <w:right w:val="nil"/>
            </w:tcBorders>
            <w:shd w:val="clear" w:color="auto" w:fill="auto"/>
            <w:vAlign w:val="center"/>
            <w:hideMark/>
          </w:tcPr>
          <w:p w14:paraId="6291BB5D"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Valor Presente</w:t>
            </w:r>
          </w:p>
        </w:tc>
        <w:tc>
          <w:tcPr>
            <w:tcW w:w="705" w:type="pct"/>
            <w:tcBorders>
              <w:top w:val="nil"/>
              <w:left w:val="nil"/>
              <w:bottom w:val="single" w:sz="4" w:space="0" w:color="F39200"/>
              <w:right w:val="nil"/>
            </w:tcBorders>
            <w:shd w:val="clear" w:color="auto" w:fill="auto"/>
            <w:vAlign w:val="center"/>
            <w:hideMark/>
          </w:tcPr>
          <w:p w14:paraId="0BCDDBB2"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Valor Nominal</w:t>
            </w:r>
          </w:p>
        </w:tc>
        <w:tc>
          <w:tcPr>
            <w:tcW w:w="705" w:type="pct"/>
            <w:tcBorders>
              <w:top w:val="nil"/>
              <w:left w:val="nil"/>
              <w:bottom w:val="single" w:sz="4" w:space="0" w:color="F39200"/>
              <w:right w:val="nil"/>
            </w:tcBorders>
            <w:shd w:val="clear" w:color="auto" w:fill="auto"/>
            <w:vAlign w:val="center"/>
            <w:hideMark/>
          </w:tcPr>
          <w:p w14:paraId="7371E745" w14:textId="77777777" w:rsidR="0047112C" w:rsidRPr="00E20D21" w:rsidRDefault="0047112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Valor Presente</w:t>
            </w:r>
          </w:p>
        </w:tc>
      </w:tr>
      <w:tr w:rsidR="0047112C" w:rsidRPr="00E20D21" w14:paraId="59FA64E9" w14:textId="77777777">
        <w:trPr>
          <w:trHeight w:val="283"/>
        </w:trPr>
        <w:tc>
          <w:tcPr>
            <w:tcW w:w="2180" w:type="pct"/>
            <w:tcBorders>
              <w:top w:val="nil"/>
              <w:left w:val="nil"/>
              <w:bottom w:val="nil"/>
              <w:right w:val="nil"/>
            </w:tcBorders>
            <w:shd w:val="clear" w:color="auto" w:fill="auto"/>
            <w:vAlign w:val="center"/>
            <w:hideMark/>
          </w:tcPr>
          <w:p w14:paraId="7CD175B1"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2024</w:t>
            </w:r>
          </w:p>
        </w:tc>
        <w:tc>
          <w:tcPr>
            <w:tcW w:w="705" w:type="pct"/>
            <w:tcBorders>
              <w:top w:val="nil"/>
              <w:left w:val="nil"/>
              <w:bottom w:val="nil"/>
              <w:right w:val="nil"/>
            </w:tcBorders>
            <w:shd w:val="clear" w:color="auto" w:fill="auto"/>
            <w:noWrap/>
            <w:vAlign w:val="center"/>
          </w:tcPr>
          <w:p w14:paraId="0A9D01F6"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5.884.984</w:t>
            </w:r>
          </w:p>
        </w:tc>
        <w:tc>
          <w:tcPr>
            <w:tcW w:w="705" w:type="pct"/>
            <w:tcBorders>
              <w:top w:val="nil"/>
              <w:left w:val="nil"/>
              <w:bottom w:val="nil"/>
              <w:right w:val="nil"/>
            </w:tcBorders>
            <w:shd w:val="clear" w:color="auto" w:fill="auto"/>
            <w:noWrap/>
            <w:vAlign w:val="center"/>
          </w:tcPr>
          <w:p w14:paraId="4460FB2E"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5.822.509</w:t>
            </w:r>
          </w:p>
        </w:tc>
        <w:tc>
          <w:tcPr>
            <w:tcW w:w="705" w:type="pct"/>
            <w:tcBorders>
              <w:top w:val="nil"/>
              <w:left w:val="nil"/>
              <w:bottom w:val="nil"/>
              <w:right w:val="nil"/>
            </w:tcBorders>
            <w:shd w:val="clear" w:color="auto" w:fill="auto"/>
            <w:noWrap/>
            <w:vAlign w:val="center"/>
          </w:tcPr>
          <w:p w14:paraId="5790F21F"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5.884.984</w:t>
            </w:r>
          </w:p>
        </w:tc>
        <w:tc>
          <w:tcPr>
            <w:tcW w:w="705" w:type="pct"/>
            <w:tcBorders>
              <w:top w:val="nil"/>
              <w:left w:val="nil"/>
              <w:bottom w:val="nil"/>
              <w:right w:val="nil"/>
            </w:tcBorders>
            <w:shd w:val="clear" w:color="auto" w:fill="auto"/>
            <w:noWrap/>
            <w:vAlign w:val="center"/>
          </w:tcPr>
          <w:p w14:paraId="6EA5640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5.822.509</w:t>
            </w:r>
          </w:p>
        </w:tc>
      </w:tr>
      <w:tr w:rsidR="0047112C" w:rsidRPr="00E20D21" w14:paraId="572C09FC" w14:textId="77777777">
        <w:trPr>
          <w:trHeight w:val="283"/>
        </w:trPr>
        <w:tc>
          <w:tcPr>
            <w:tcW w:w="2180" w:type="pct"/>
            <w:tcBorders>
              <w:top w:val="nil"/>
              <w:left w:val="nil"/>
              <w:bottom w:val="nil"/>
              <w:right w:val="nil"/>
            </w:tcBorders>
            <w:shd w:val="clear" w:color="auto" w:fill="auto"/>
            <w:vAlign w:val="center"/>
            <w:hideMark/>
          </w:tcPr>
          <w:p w14:paraId="75FE23DF"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2025</w:t>
            </w:r>
          </w:p>
        </w:tc>
        <w:tc>
          <w:tcPr>
            <w:tcW w:w="705" w:type="pct"/>
            <w:tcBorders>
              <w:top w:val="nil"/>
              <w:left w:val="nil"/>
              <w:bottom w:val="nil"/>
              <w:right w:val="nil"/>
            </w:tcBorders>
            <w:shd w:val="clear" w:color="auto" w:fill="auto"/>
            <w:noWrap/>
            <w:vAlign w:val="center"/>
          </w:tcPr>
          <w:p w14:paraId="31B30B10"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7.411.730</w:t>
            </w:r>
          </w:p>
        </w:tc>
        <w:tc>
          <w:tcPr>
            <w:tcW w:w="705" w:type="pct"/>
            <w:tcBorders>
              <w:top w:val="nil"/>
              <w:left w:val="nil"/>
              <w:bottom w:val="nil"/>
              <w:right w:val="nil"/>
            </w:tcBorders>
            <w:shd w:val="clear" w:color="auto" w:fill="auto"/>
            <w:noWrap/>
            <w:vAlign w:val="center"/>
          </w:tcPr>
          <w:p w14:paraId="3CBC31C4"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6.727.566</w:t>
            </w:r>
          </w:p>
        </w:tc>
        <w:tc>
          <w:tcPr>
            <w:tcW w:w="705" w:type="pct"/>
            <w:tcBorders>
              <w:top w:val="nil"/>
              <w:left w:val="nil"/>
              <w:bottom w:val="nil"/>
              <w:right w:val="nil"/>
            </w:tcBorders>
            <w:shd w:val="clear" w:color="auto" w:fill="auto"/>
            <w:noWrap/>
            <w:vAlign w:val="center"/>
          </w:tcPr>
          <w:p w14:paraId="1ACDF496"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7.411.730</w:t>
            </w:r>
          </w:p>
        </w:tc>
        <w:tc>
          <w:tcPr>
            <w:tcW w:w="705" w:type="pct"/>
            <w:tcBorders>
              <w:top w:val="nil"/>
              <w:left w:val="nil"/>
              <w:bottom w:val="nil"/>
              <w:right w:val="nil"/>
            </w:tcBorders>
            <w:shd w:val="clear" w:color="auto" w:fill="auto"/>
            <w:noWrap/>
            <w:vAlign w:val="center"/>
          </w:tcPr>
          <w:p w14:paraId="6A2CE3CC"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6.727.566</w:t>
            </w:r>
          </w:p>
        </w:tc>
      </w:tr>
      <w:tr w:rsidR="0047112C" w:rsidRPr="00E20D21" w14:paraId="60FBB272" w14:textId="77777777">
        <w:trPr>
          <w:trHeight w:val="283"/>
        </w:trPr>
        <w:tc>
          <w:tcPr>
            <w:tcW w:w="2180" w:type="pct"/>
            <w:tcBorders>
              <w:top w:val="nil"/>
              <w:left w:val="nil"/>
              <w:bottom w:val="nil"/>
              <w:right w:val="nil"/>
            </w:tcBorders>
            <w:shd w:val="clear" w:color="auto" w:fill="auto"/>
            <w:vAlign w:val="center"/>
            <w:hideMark/>
          </w:tcPr>
          <w:p w14:paraId="4F87F292"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2026</w:t>
            </w:r>
          </w:p>
        </w:tc>
        <w:tc>
          <w:tcPr>
            <w:tcW w:w="705" w:type="pct"/>
            <w:tcBorders>
              <w:top w:val="nil"/>
              <w:left w:val="nil"/>
              <w:bottom w:val="nil"/>
              <w:right w:val="nil"/>
            </w:tcBorders>
            <w:shd w:val="clear" w:color="auto" w:fill="auto"/>
            <w:noWrap/>
            <w:vAlign w:val="center"/>
          </w:tcPr>
          <w:p w14:paraId="2D71A5B4"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12.396.321</w:t>
            </w:r>
          </w:p>
        </w:tc>
        <w:tc>
          <w:tcPr>
            <w:tcW w:w="705" w:type="pct"/>
            <w:tcBorders>
              <w:top w:val="nil"/>
              <w:left w:val="nil"/>
              <w:bottom w:val="nil"/>
              <w:right w:val="nil"/>
            </w:tcBorders>
            <w:shd w:val="clear" w:color="auto" w:fill="auto"/>
            <w:noWrap/>
            <w:vAlign w:val="center"/>
          </w:tcPr>
          <w:p w14:paraId="7BEEBBFC"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10.322.970</w:t>
            </w:r>
          </w:p>
        </w:tc>
        <w:tc>
          <w:tcPr>
            <w:tcW w:w="705" w:type="pct"/>
            <w:tcBorders>
              <w:top w:val="nil"/>
              <w:left w:val="nil"/>
              <w:bottom w:val="nil"/>
              <w:right w:val="nil"/>
            </w:tcBorders>
            <w:shd w:val="clear" w:color="auto" w:fill="auto"/>
            <w:noWrap/>
            <w:vAlign w:val="center"/>
          </w:tcPr>
          <w:p w14:paraId="10AEAB56"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12.396.321</w:t>
            </w:r>
          </w:p>
        </w:tc>
        <w:tc>
          <w:tcPr>
            <w:tcW w:w="705" w:type="pct"/>
            <w:tcBorders>
              <w:top w:val="nil"/>
              <w:left w:val="nil"/>
              <w:bottom w:val="nil"/>
              <w:right w:val="nil"/>
            </w:tcBorders>
            <w:shd w:val="clear" w:color="auto" w:fill="auto"/>
            <w:noWrap/>
            <w:vAlign w:val="center"/>
          </w:tcPr>
          <w:p w14:paraId="17EFAE3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10.322.970</w:t>
            </w:r>
          </w:p>
        </w:tc>
      </w:tr>
      <w:tr w:rsidR="0047112C" w:rsidRPr="00E20D21" w14:paraId="4B8E5131" w14:textId="77777777">
        <w:trPr>
          <w:trHeight w:val="283"/>
        </w:trPr>
        <w:tc>
          <w:tcPr>
            <w:tcW w:w="2180" w:type="pct"/>
            <w:tcBorders>
              <w:top w:val="nil"/>
              <w:left w:val="nil"/>
              <w:bottom w:val="nil"/>
              <w:right w:val="nil"/>
            </w:tcBorders>
            <w:shd w:val="clear" w:color="auto" w:fill="auto"/>
            <w:vAlign w:val="center"/>
            <w:hideMark/>
          </w:tcPr>
          <w:p w14:paraId="32F9B547"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2027</w:t>
            </w:r>
          </w:p>
        </w:tc>
        <w:tc>
          <w:tcPr>
            <w:tcW w:w="705" w:type="pct"/>
            <w:tcBorders>
              <w:top w:val="nil"/>
              <w:left w:val="nil"/>
              <w:bottom w:val="nil"/>
              <w:right w:val="nil"/>
            </w:tcBorders>
            <w:shd w:val="clear" w:color="auto" w:fill="auto"/>
            <w:noWrap/>
            <w:vAlign w:val="center"/>
          </w:tcPr>
          <w:p w14:paraId="30AC33EB"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6.554.619</w:t>
            </w:r>
          </w:p>
        </w:tc>
        <w:tc>
          <w:tcPr>
            <w:tcW w:w="705" w:type="pct"/>
            <w:tcBorders>
              <w:top w:val="nil"/>
              <w:left w:val="nil"/>
              <w:bottom w:val="nil"/>
              <w:right w:val="nil"/>
            </w:tcBorders>
            <w:shd w:val="clear" w:color="auto" w:fill="auto"/>
            <w:noWrap/>
            <w:vAlign w:val="center"/>
          </w:tcPr>
          <w:p w14:paraId="59509104"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5.030.713</w:t>
            </w:r>
          </w:p>
        </w:tc>
        <w:tc>
          <w:tcPr>
            <w:tcW w:w="705" w:type="pct"/>
            <w:tcBorders>
              <w:top w:val="nil"/>
              <w:left w:val="nil"/>
              <w:bottom w:val="nil"/>
              <w:right w:val="nil"/>
            </w:tcBorders>
            <w:shd w:val="clear" w:color="auto" w:fill="auto"/>
            <w:noWrap/>
            <w:vAlign w:val="center"/>
          </w:tcPr>
          <w:p w14:paraId="02D82DB5"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6.554.619</w:t>
            </w:r>
          </w:p>
        </w:tc>
        <w:tc>
          <w:tcPr>
            <w:tcW w:w="705" w:type="pct"/>
            <w:tcBorders>
              <w:top w:val="nil"/>
              <w:left w:val="nil"/>
              <w:bottom w:val="nil"/>
              <w:right w:val="nil"/>
            </w:tcBorders>
            <w:shd w:val="clear" w:color="auto" w:fill="auto"/>
            <w:noWrap/>
            <w:vAlign w:val="center"/>
          </w:tcPr>
          <w:p w14:paraId="3A5E37C5"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5.030.713</w:t>
            </w:r>
          </w:p>
        </w:tc>
      </w:tr>
      <w:tr w:rsidR="0047112C" w:rsidRPr="00E20D21" w14:paraId="3DE045AE" w14:textId="77777777">
        <w:trPr>
          <w:trHeight w:val="283"/>
        </w:trPr>
        <w:tc>
          <w:tcPr>
            <w:tcW w:w="2180" w:type="pct"/>
            <w:tcBorders>
              <w:top w:val="nil"/>
              <w:left w:val="nil"/>
              <w:bottom w:val="nil"/>
              <w:right w:val="nil"/>
            </w:tcBorders>
            <w:shd w:val="clear" w:color="auto" w:fill="auto"/>
            <w:vAlign w:val="center"/>
            <w:hideMark/>
          </w:tcPr>
          <w:p w14:paraId="2DCDA05D"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2028</w:t>
            </w:r>
          </w:p>
        </w:tc>
        <w:tc>
          <w:tcPr>
            <w:tcW w:w="705" w:type="pct"/>
            <w:tcBorders>
              <w:top w:val="nil"/>
              <w:left w:val="nil"/>
              <w:bottom w:val="nil"/>
              <w:right w:val="nil"/>
            </w:tcBorders>
            <w:shd w:val="clear" w:color="auto" w:fill="auto"/>
            <w:noWrap/>
            <w:vAlign w:val="center"/>
          </w:tcPr>
          <w:p w14:paraId="448DE847"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5.874.985</w:t>
            </w:r>
          </w:p>
        </w:tc>
        <w:tc>
          <w:tcPr>
            <w:tcW w:w="705" w:type="pct"/>
            <w:tcBorders>
              <w:top w:val="nil"/>
              <w:left w:val="nil"/>
              <w:bottom w:val="nil"/>
              <w:right w:val="nil"/>
            </w:tcBorders>
            <w:shd w:val="clear" w:color="auto" w:fill="auto"/>
            <w:noWrap/>
            <w:vAlign w:val="center"/>
          </w:tcPr>
          <w:p w14:paraId="1314B32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4.165.441</w:t>
            </w:r>
          </w:p>
        </w:tc>
        <w:tc>
          <w:tcPr>
            <w:tcW w:w="705" w:type="pct"/>
            <w:tcBorders>
              <w:top w:val="nil"/>
              <w:left w:val="nil"/>
              <w:bottom w:val="nil"/>
              <w:right w:val="nil"/>
            </w:tcBorders>
            <w:shd w:val="clear" w:color="auto" w:fill="auto"/>
            <w:noWrap/>
            <w:vAlign w:val="center"/>
          </w:tcPr>
          <w:p w14:paraId="1C28A978"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5.874.985</w:t>
            </w:r>
          </w:p>
        </w:tc>
        <w:tc>
          <w:tcPr>
            <w:tcW w:w="705" w:type="pct"/>
            <w:tcBorders>
              <w:top w:val="nil"/>
              <w:left w:val="nil"/>
              <w:bottom w:val="nil"/>
              <w:right w:val="nil"/>
            </w:tcBorders>
            <w:shd w:val="clear" w:color="auto" w:fill="auto"/>
            <w:noWrap/>
            <w:vAlign w:val="center"/>
          </w:tcPr>
          <w:p w14:paraId="5EFA2813"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4.165.441</w:t>
            </w:r>
          </w:p>
        </w:tc>
      </w:tr>
      <w:tr w:rsidR="0047112C" w:rsidRPr="00E20D21" w14:paraId="05019B3A" w14:textId="77777777">
        <w:trPr>
          <w:trHeight w:val="283"/>
        </w:trPr>
        <w:tc>
          <w:tcPr>
            <w:tcW w:w="2180" w:type="pct"/>
            <w:tcBorders>
              <w:top w:val="nil"/>
              <w:left w:val="nil"/>
              <w:bottom w:val="nil"/>
              <w:right w:val="nil"/>
            </w:tcBorders>
            <w:shd w:val="clear" w:color="auto" w:fill="auto"/>
            <w:vAlign w:val="center"/>
            <w:hideMark/>
          </w:tcPr>
          <w:p w14:paraId="5FDE09D0"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2029</w:t>
            </w:r>
          </w:p>
        </w:tc>
        <w:tc>
          <w:tcPr>
            <w:tcW w:w="705" w:type="pct"/>
            <w:tcBorders>
              <w:top w:val="nil"/>
              <w:left w:val="nil"/>
              <w:bottom w:val="nil"/>
              <w:right w:val="nil"/>
            </w:tcBorders>
            <w:shd w:val="clear" w:color="auto" w:fill="auto"/>
            <w:noWrap/>
            <w:vAlign w:val="center"/>
          </w:tcPr>
          <w:p w14:paraId="642B5617"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5.847.680</w:t>
            </w:r>
          </w:p>
        </w:tc>
        <w:tc>
          <w:tcPr>
            <w:tcW w:w="705" w:type="pct"/>
            <w:tcBorders>
              <w:top w:val="nil"/>
              <w:left w:val="nil"/>
              <w:bottom w:val="nil"/>
              <w:right w:val="nil"/>
            </w:tcBorders>
            <w:shd w:val="clear" w:color="auto" w:fill="auto"/>
            <w:noWrap/>
            <w:vAlign w:val="center"/>
          </w:tcPr>
          <w:p w14:paraId="6D928EE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3.856.820</w:t>
            </w:r>
          </w:p>
        </w:tc>
        <w:tc>
          <w:tcPr>
            <w:tcW w:w="705" w:type="pct"/>
            <w:tcBorders>
              <w:top w:val="nil"/>
              <w:left w:val="nil"/>
              <w:bottom w:val="nil"/>
              <w:right w:val="nil"/>
            </w:tcBorders>
            <w:shd w:val="clear" w:color="auto" w:fill="auto"/>
            <w:noWrap/>
            <w:vAlign w:val="center"/>
          </w:tcPr>
          <w:p w14:paraId="2A8189B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5.847.680</w:t>
            </w:r>
          </w:p>
        </w:tc>
        <w:tc>
          <w:tcPr>
            <w:tcW w:w="705" w:type="pct"/>
            <w:tcBorders>
              <w:top w:val="nil"/>
              <w:left w:val="nil"/>
              <w:bottom w:val="nil"/>
              <w:right w:val="nil"/>
            </w:tcBorders>
            <w:shd w:val="clear" w:color="auto" w:fill="auto"/>
            <w:noWrap/>
            <w:vAlign w:val="center"/>
          </w:tcPr>
          <w:p w14:paraId="468C075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3.856.820</w:t>
            </w:r>
          </w:p>
        </w:tc>
      </w:tr>
      <w:tr w:rsidR="0047112C" w:rsidRPr="00E20D21" w14:paraId="06867E0B" w14:textId="77777777">
        <w:trPr>
          <w:trHeight w:val="283"/>
        </w:trPr>
        <w:tc>
          <w:tcPr>
            <w:tcW w:w="2180" w:type="pct"/>
            <w:tcBorders>
              <w:top w:val="nil"/>
              <w:left w:val="nil"/>
              <w:bottom w:val="nil"/>
              <w:right w:val="nil"/>
            </w:tcBorders>
            <w:shd w:val="clear" w:color="auto" w:fill="auto"/>
            <w:vAlign w:val="center"/>
            <w:hideMark/>
          </w:tcPr>
          <w:p w14:paraId="29ACA9A8"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2030</w:t>
            </w:r>
          </w:p>
        </w:tc>
        <w:tc>
          <w:tcPr>
            <w:tcW w:w="705" w:type="pct"/>
            <w:tcBorders>
              <w:top w:val="nil"/>
              <w:left w:val="nil"/>
              <w:bottom w:val="nil"/>
              <w:right w:val="nil"/>
            </w:tcBorders>
            <w:shd w:val="clear" w:color="auto" w:fill="auto"/>
            <w:noWrap/>
            <w:vAlign w:val="center"/>
          </w:tcPr>
          <w:p w14:paraId="5FF5649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4.577.095</w:t>
            </w:r>
          </w:p>
        </w:tc>
        <w:tc>
          <w:tcPr>
            <w:tcW w:w="705" w:type="pct"/>
            <w:tcBorders>
              <w:top w:val="nil"/>
              <w:left w:val="nil"/>
              <w:bottom w:val="nil"/>
              <w:right w:val="nil"/>
            </w:tcBorders>
            <w:shd w:val="clear" w:color="auto" w:fill="auto"/>
            <w:noWrap/>
            <w:vAlign w:val="center"/>
          </w:tcPr>
          <w:p w14:paraId="6421483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2.808.195</w:t>
            </w:r>
          </w:p>
        </w:tc>
        <w:tc>
          <w:tcPr>
            <w:tcW w:w="705" w:type="pct"/>
            <w:tcBorders>
              <w:top w:val="nil"/>
              <w:left w:val="nil"/>
              <w:bottom w:val="nil"/>
              <w:right w:val="nil"/>
            </w:tcBorders>
            <w:shd w:val="clear" w:color="auto" w:fill="auto"/>
            <w:noWrap/>
            <w:vAlign w:val="center"/>
          </w:tcPr>
          <w:p w14:paraId="6BDCC291"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4.577.095</w:t>
            </w:r>
          </w:p>
        </w:tc>
        <w:tc>
          <w:tcPr>
            <w:tcW w:w="705" w:type="pct"/>
            <w:tcBorders>
              <w:top w:val="nil"/>
              <w:left w:val="nil"/>
              <w:bottom w:val="nil"/>
              <w:right w:val="nil"/>
            </w:tcBorders>
            <w:shd w:val="clear" w:color="auto" w:fill="auto"/>
            <w:noWrap/>
            <w:vAlign w:val="center"/>
          </w:tcPr>
          <w:p w14:paraId="0F212B4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2.808.195</w:t>
            </w:r>
          </w:p>
        </w:tc>
      </w:tr>
      <w:tr w:rsidR="0047112C" w:rsidRPr="00E20D21" w14:paraId="354BF6F4" w14:textId="77777777">
        <w:trPr>
          <w:trHeight w:val="283"/>
        </w:trPr>
        <w:tc>
          <w:tcPr>
            <w:tcW w:w="2180" w:type="pct"/>
            <w:tcBorders>
              <w:top w:val="nil"/>
              <w:left w:val="nil"/>
              <w:bottom w:val="nil"/>
              <w:right w:val="nil"/>
            </w:tcBorders>
            <w:shd w:val="clear" w:color="auto" w:fill="auto"/>
            <w:vAlign w:val="center"/>
            <w:hideMark/>
          </w:tcPr>
          <w:p w14:paraId="709E1C66"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2031</w:t>
            </w:r>
          </w:p>
        </w:tc>
        <w:tc>
          <w:tcPr>
            <w:tcW w:w="705" w:type="pct"/>
            <w:tcBorders>
              <w:top w:val="nil"/>
              <w:left w:val="nil"/>
              <w:bottom w:val="nil"/>
              <w:right w:val="nil"/>
            </w:tcBorders>
            <w:shd w:val="clear" w:color="auto" w:fill="auto"/>
            <w:noWrap/>
            <w:vAlign w:val="center"/>
          </w:tcPr>
          <w:p w14:paraId="7CB45BEE"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2.193.679</w:t>
            </w:r>
          </w:p>
        </w:tc>
        <w:tc>
          <w:tcPr>
            <w:tcW w:w="705" w:type="pct"/>
            <w:tcBorders>
              <w:top w:val="nil"/>
              <w:left w:val="nil"/>
              <w:bottom w:val="nil"/>
              <w:right w:val="nil"/>
            </w:tcBorders>
            <w:shd w:val="clear" w:color="auto" w:fill="auto"/>
            <w:noWrap/>
            <w:vAlign w:val="center"/>
          </w:tcPr>
          <w:p w14:paraId="2E37A270"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1.251.993</w:t>
            </w:r>
          </w:p>
        </w:tc>
        <w:tc>
          <w:tcPr>
            <w:tcW w:w="705" w:type="pct"/>
            <w:tcBorders>
              <w:top w:val="nil"/>
              <w:left w:val="nil"/>
              <w:bottom w:val="nil"/>
              <w:right w:val="nil"/>
            </w:tcBorders>
            <w:shd w:val="clear" w:color="auto" w:fill="auto"/>
            <w:noWrap/>
            <w:vAlign w:val="center"/>
          </w:tcPr>
          <w:p w14:paraId="275F6899"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2.193.679</w:t>
            </w:r>
          </w:p>
        </w:tc>
        <w:tc>
          <w:tcPr>
            <w:tcW w:w="705" w:type="pct"/>
            <w:tcBorders>
              <w:top w:val="nil"/>
              <w:left w:val="nil"/>
              <w:bottom w:val="nil"/>
              <w:right w:val="nil"/>
            </w:tcBorders>
            <w:shd w:val="clear" w:color="auto" w:fill="auto"/>
            <w:noWrap/>
            <w:vAlign w:val="center"/>
          </w:tcPr>
          <w:p w14:paraId="123C7B1E"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1.251.993</w:t>
            </w:r>
          </w:p>
        </w:tc>
      </w:tr>
      <w:tr w:rsidR="0047112C" w:rsidRPr="00E20D21" w14:paraId="15923742" w14:textId="77777777">
        <w:trPr>
          <w:trHeight w:val="283"/>
        </w:trPr>
        <w:tc>
          <w:tcPr>
            <w:tcW w:w="2180" w:type="pct"/>
            <w:tcBorders>
              <w:top w:val="nil"/>
              <w:left w:val="nil"/>
              <w:bottom w:val="nil"/>
              <w:right w:val="nil"/>
            </w:tcBorders>
            <w:shd w:val="clear" w:color="auto" w:fill="auto"/>
            <w:vAlign w:val="center"/>
            <w:hideMark/>
          </w:tcPr>
          <w:p w14:paraId="3E4DCC4D"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2032</w:t>
            </w:r>
          </w:p>
        </w:tc>
        <w:tc>
          <w:tcPr>
            <w:tcW w:w="705" w:type="pct"/>
            <w:tcBorders>
              <w:top w:val="nil"/>
              <w:left w:val="nil"/>
              <w:bottom w:val="nil"/>
              <w:right w:val="nil"/>
            </w:tcBorders>
            <w:shd w:val="clear" w:color="auto" w:fill="auto"/>
            <w:noWrap/>
            <w:vAlign w:val="center"/>
          </w:tcPr>
          <w:p w14:paraId="49A381C2"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2.030.261</w:t>
            </w:r>
          </w:p>
        </w:tc>
        <w:tc>
          <w:tcPr>
            <w:tcW w:w="705" w:type="pct"/>
            <w:tcBorders>
              <w:top w:val="nil"/>
              <w:left w:val="nil"/>
              <w:bottom w:val="nil"/>
              <w:right w:val="nil"/>
            </w:tcBorders>
            <w:shd w:val="clear" w:color="auto" w:fill="auto"/>
            <w:noWrap/>
            <w:vAlign w:val="center"/>
          </w:tcPr>
          <w:p w14:paraId="20B5DCE0"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1.082.921</w:t>
            </w:r>
          </w:p>
        </w:tc>
        <w:tc>
          <w:tcPr>
            <w:tcW w:w="705" w:type="pct"/>
            <w:tcBorders>
              <w:top w:val="nil"/>
              <w:left w:val="nil"/>
              <w:bottom w:val="nil"/>
              <w:right w:val="nil"/>
            </w:tcBorders>
            <w:shd w:val="clear" w:color="auto" w:fill="auto"/>
            <w:noWrap/>
            <w:vAlign w:val="center"/>
          </w:tcPr>
          <w:p w14:paraId="7BE73857"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2.030.261</w:t>
            </w:r>
          </w:p>
        </w:tc>
        <w:tc>
          <w:tcPr>
            <w:tcW w:w="705" w:type="pct"/>
            <w:tcBorders>
              <w:top w:val="nil"/>
              <w:left w:val="nil"/>
              <w:bottom w:val="nil"/>
              <w:right w:val="nil"/>
            </w:tcBorders>
            <w:shd w:val="clear" w:color="auto" w:fill="auto"/>
            <w:noWrap/>
            <w:vAlign w:val="center"/>
          </w:tcPr>
          <w:p w14:paraId="70695FEF"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1.082.921</w:t>
            </w:r>
          </w:p>
        </w:tc>
      </w:tr>
      <w:tr w:rsidR="0047112C" w:rsidRPr="00E20D21" w14:paraId="104BF487" w14:textId="77777777">
        <w:trPr>
          <w:trHeight w:val="283"/>
        </w:trPr>
        <w:tc>
          <w:tcPr>
            <w:tcW w:w="2180" w:type="pct"/>
            <w:tcBorders>
              <w:top w:val="nil"/>
              <w:left w:val="nil"/>
              <w:bottom w:val="nil"/>
              <w:right w:val="nil"/>
            </w:tcBorders>
            <w:shd w:val="clear" w:color="auto" w:fill="auto"/>
            <w:vAlign w:val="center"/>
          </w:tcPr>
          <w:p w14:paraId="255E93F4"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2033</w:t>
            </w:r>
          </w:p>
        </w:tc>
        <w:tc>
          <w:tcPr>
            <w:tcW w:w="705" w:type="pct"/>
            <w:tcBorders>
              <w:top w:val="nil"/>
              <w:left w:val="nil"/>
              <w:bottom w:val="nil"/>
              <w:right w:val="nil"/>
            </w:tcBorders>
            <w:shd w:val="clear" w:color="auto" w:fill="auto"/>
            <w:noWrap/>
            <w:vAlign w:val="center"/>
          </w:tcPr>
          <w:p w14:paraId="385EBB3A"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8.117.793</w:t>
            </w:r>
          </w:p>
        </w:tc>
        <w:tc>
          <w:tcPr>
            <w:tcW w:w="705" w:type="pct"/>
            <w:tcBorders>
              <w:top w:val="nil"/>
              <w:left w:val="nil"/>
              <w:bottom w:val="nil"/>
              <w:right w:val="nil"/>
            </w:tcBorders>
            <w:shd w:val="clear" w:color="auto" w:fill="auto"/>
            <w:noWrap/>
            <w:vAlign w:val="center"/>
          </w:tcPr>
          <w:p w14:paraId="254173C4"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4.046.684</w:t>
            </w:r>
          </w:p>
        </w:tc>
        <w:tc>
          <w:tcPr>
            <w:tcW w:w="705" w:type="pct"/>
            <w:tcBorders>
              <w:top w:val="nil"/>
              <w:left w:val="nil"/>
              <w:bottom w:val="nil"/>
              <w:right w:val="nil"/>
            </w:tcBorders>
            <w:shd w:val="clear" w:color="auto" w:fill="auto"/>
            <w:noWrap/>
            <w:vAlign w:val="center"/>
          </w:tcPr>
          <w:p w14:paraId="5B02FBEB"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8.117.793</w:t>
            </w:r>
          </w:p>
        </w:tc>
        <w:tc>
          <w:tcPr>
            <w:tcW w:w="705" w:type="pct"/>
            <w:tcBorders>
              <w:top w:val="nil"/>
              <w:left w:val="nil"/>
              <w:bottom w:val="nil"/>
              <w:right w:val="nil"/>
            </w:tcBorders>
            <w:shd w:val="clear" w:color="auto" w:fill="auto"/>
            <w:noWrap/>
            <w:vAlign w:val="center"/>
          </w:tcPr>
          <w:p w14:paraId="1C875EC9"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4.046.684</w:t>
            </w:r>
          </w:p>
        </w:tc>
      </w:tr>
      <w:tr w:rsidR="0047112C" w:rsidRPr="00E20D21" w14:paraId="4FD4B476" w14:textId="77777777">
        <w:trPr>
          <w:trHeight w:val="283"/>
        </w:trPr>
        <w:tc>
          <w:tcPr>
            <w:tcW w:w="2180" w:type="pct"/>
            <w:tcBorders>
              <w:top w:val="nil"/>
              <w:left w:val="nil"/>
              <w:bottom w:val="nil"/>
              <w:right w:val="nil"/>
            </w:tcBorders>
            <w:shd w:val="clear" w:color="auto" w:fill="auto"/>
            <w:vAlign w:val="center"/>
          </w:tcPr>
          <w:p w14:paraId="4CF098AA" w14:textId="77777777" w:rsidR="0047112C" w:rsidRPr="00E20D21" w:rsidRDefault="0047112C">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2034</w:t>
            </w:r>
          </w:p>
        </w:tc>
        <w:tc>
          <w:tcPr>
            <w:tcW w:w="705" w:type="pct"/>
            <w:tcBorders>
              <w:top w:val="nil"/>
              <w:left w:val="nil"/>
              <w:bottom w:val="nil"/>
              <w:right w:val="nil"/>
            </w:tcBorders>
            <w:shd w:val="clear" w:color="auto" w:fill="auto"/>
            <w:noWrap/>
            <w:vAlign w:val="center"/>
          </w:tcPr>
          <w:p w14:paraId="451D7F62"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3.007.634</w:t>
            </w:r>
          </w:p>
        </w:tc>
        <w:tc>
          <w:tcPr>
            <w:tcW w:w="705" w:type="pct"/>
            <w:tcBorders>
              <w:top w:val="nil"/>
              <w:left w:val="nil"/>
              <w:bottom w:val="nil"/>
              <w:right w:val="nil"/>
            </w:tcBorders>
            <w:shd w:val="clear" w:color="auto" w:fill="auto"/>
            <w:noWrap/>
            <w:vAlign w:val="center"/>
          </w:tcPr>
          <w:p w14:paraId="17ACB356"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1.401.207</w:t>
            </w:r>
          </w:p>
        </w:tc>
        <w:tc>
          <w:tcPr>
            <w:tcW w:w="705" w:type="pct"/>
            <w:tcBorders>
              <w:top w:val="nil"/>
              <w:left w:val="nil"/>
              <w:bottom w:val="nil"/>
              <w:right w:val="nil"/>
            </w:tcBorders>
            <w:shd w:val="clear" w:color="auto" w:fill="auto"/>
            <w:noWrap/>
            <w:vAlign w:val="center"/>
          </w:tcPr>
          <w:p w14:paraId="5768B0D3"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3.007.897</w:t>
            </w:r>
          </w:p>
        </w:tc>
        <w:tc>
          <w:tcPr>
            <w:tcW w:w="705" w:type="pct"/>
            <w:tcBorders>
              <w:top w:val="nil"/>
              <w:left w:val="nil"/>
              <w:bottom w:val="nil"/>
              <w:right w:val="nil"/>
            </w:tcBorders>
            <w:shd w:val="clear" w:color="auto" w:fill="auto"/>
            <w:noWrap/>
            <w:vAlign w:val="center"/>
          </w:tcPr>
          <w:p w14:paraId="66546C89" w14:textId="77777777" w:rsidR="0047112C" w:rsidRPr="00E20D21" w:rsidRDefault="0047112C">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1.401.454</w:t>
            </w:r>
          </w:p>
        </w:tc>
      </w:tr>
      <w:tr w:rsidR="0047112C" w:rsidRPr="00E20D21" w14:paraId="0F2357C7" w14:textId="77777777">
        <w:trPr>
          <w:trHeight w:val="283"/>
        </w:trPr>
        <w:tc>
          <w:tcPr>
            <w:tcW w:w="2180" w:type="pct"/>
            <w:tcBorders>
              <w:top w:val="single" w:sz="4" w:space="0" w:color="F39200"/>
              <w:left w:val="nil"/>
              <w:bottom w:val="single" w:sz="4" w:space="0" w:color="F39200"/>
              <w:right w:val="nil"/>
            </w:tcBorders>
            <w:shd w:val="clear" w:color="auto" w:fill="auto"/>
            <w:noWrap/>
            <w:vAlign w:val="center"/>
            <w:hideMark/>
          </w:tcPr>
          <w:p w14:paraId="2E1BF3E7" w14:textId="77777777" w:rsidR="0047112C" w:rsidRPr="00E20D21" w:rsidRDefault="0047112C">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05" w:type="pct"/>
            <w:tcBorders>
              <w:top w:val="single" w:sz="4" w:space="0" w:color="F39200"/>
              <w:left w:val="nil"/>
              <w:bottom w:val="single" w:sz="4" w:space="0" w:color="F39200"/>
              <w:right w:val="nil"/>
            </w:tcBorders>
            <w:shd w:val="clear" w:color="auto" w:fill="auto"/>
            <w:noWrap/>
            <w:vAlign w:val="center"/>
          </w:tcPr>
          <w:p w14:paraId="0168A104"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63.896.781</w:t>
            </w:r>
          </w:p>
        </w:tc>
        <w:tc>
          <w:tcPr>
            <w:tcW w:w="705" w:type="pct"/>
            <w:tcBorders>
              <w:top w:val="single" w:sz="4" w:space="0" w:color="F39200"/>
              <w:left w:val="nil"/>
              <w:bottom w:val="single" w:sz="4" w:space="0" w:color="F39200"/>
              <w:right w:val="nil"/>
            </w:tcBorders>
            <w:shd w:val="clear" w:color="auto" w:fill="auto"/>
            <w:noWrap/>
            <w:vAlign w:val="center"/>
          </w:tcPr>
          <w:p w14:paraId="25F5BD7E"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46.517.019</w:t>
            </w:r>
          </w:p>
        </w:tc>
        <w:tc>
          <w:tcPr>
            <w:tcW w:w="705" w:type="pct"/>
            <w:tcBorders>
              <w:top w:val="single" w:sz="4" w:space="0" w:color="F39200"/>
              <w:left w:val="nil"/>
              <w:bottom w:val="single" w:sz="4" w:space="0" w:color="F39200"/>
              <w:right w:val="nil"/>
            </w:tcBorders>
            <w:shd w:val="clear" w:color="auto" w:fill="auto"/>
            <w:noWrap/>
            <w:vAlign w:val="center"/>
          </w:tcPr>
          <w:p w14:paraId="5F73569A"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63.897.044</w:t>
            </w:r>
          </w:p>
        </w:tc>
        <w:tc>
          <w:tcPr>
            <w:tcW w:w="705" w:type="pct"/>
            <w:tcBorders>
              <w:top w:val="single" w:sz="4" w:space="0" w:color="F39200"/>
              <w:left w:val="nil"/>
              <w:bottom w:val="single" w:sz="4" w:space="0" w:color="F39200"/>
              <w:right w:val="nil"/>
            </w:tcBorders>
            <w:shd w:val="clear" w:color="auto" w:fill="auto"/>
            <w:noWrap/>
            <w:vAlign w:val="center"/>
          </w:tcPr>
          <w:p w14:paraId="66CE3064" w14:textId="77777777" w:rsidR="0047112C" w:rsidRPr="00E20D21" w:rsidRDefault="0047112C">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46.517.266</w:t>
            </w:r>
          </w:p>
        </w:tc>
      </w:tr>
    </w:tbl>
    <w:p w14:paraId="0F6BD967" w14:textId="77777777" w:rsidR="009609B9" w:rsidRPr="00E20D21" w:rsidRDefault="009609B9" w:rsidP="00FD7768">
      <w:pPr>
        <w:pStyle w:val="Ttulo1"/>
      </w:pPr>
      <w:bookmarkStart w:id="75" w:name="_Toc175067961"/>
      <w:r w:rsidRPr="00E20D21">
        <w:t>Nota 21 – Benefícios a empregados</w:t>
      </w:r>
      <w:bookmarkEnd w:id="72"/>
      <w:bookmarkEnd w:id="75"/>
    </w:p>
    <w:p w14:paraId="3780011C" w14:textId="77777777" w:rsidR="009609B9" w:rsidRPr="00E20D21" w:rsidRDefault="009609B9" w:rsidP="00F31C31">
      <w:pPr>
        <w:pStyle w:val="wordsection1"/>
        <w:numPr>
          <w:ilvl w:val="0"/>
          <w:numId w:val="34"/>
        </w:numPr>
        <w:spacing w:before="240" w:beforeAutospacing="0" w:after="240" w:afterAutospacing="0"/>
        <w:ind w:left="567" w:hanging="550"/>
        <w:rPr>
          <w:rFonts w:ascii="CAIXA Std Book" w:eastAsia="Times New Roman" w:hAnsi="CAIXA Std Book"/>
          <w:b/>
          <w:color w:val="005CA9"/>
          <w:sz w:val="20"/>
          <w:szCs w:val="20"/>
        </w:rPr>
      </w:pPr>
      <w:r w:rsidRPr="00E20D21">
        <w:rPr>
          <w:rFonts w:ascii="CAIXA Std Book" w:hAnsi="CAIXA Std Book"/>
          <w:b/>
          <w:color w:val="005CA9"/>
          <w:sz w:val="20"/>
          <w:szCs w:val="20"/>
        </w:rPr>
        <w:t>Benefícios de curto prazo</w:t>
      </w:r>
    </w:p>
    <w:p w14:paraId="44B76DF5" w14:textId="77777777" w:rsidR="00F844F2" w:rsidRPr="00E20D21" w:rsidRDefault="009609B9" w:rsidP="00E346E6">
      <w:pPr>
        <w:pStyle w:val="wordsection1"/>
        <w:autoSpaceDE w:val="0"/>
        <w:autoSpaceDN w:val="0"/>
        <w:adjustRightInd w:val="0"/>
        <w:spacing w:before="120" w:beforeAutospacing="0" w:after="120" w:afterAutospacing="0"/>
        <w:jc w:val="both"/>
        <w:rPr>
          <w:rFonts w:ascii="CAIXA Std Book" w:hAnsi="CAIXA Std Book"/>
          <w:b/>
          <w:color w:val="005CA9"/>
          <w:sz w:val="20"/>
          <w:szCs w:val="20"/>
        </w:rPr>
      </w:pPr>
      <w:r w:rsidRPr="00E20D21">
        <w:rPr>
          <w:rFonts w:ascii="CAIXA Std Book" w:hAnsi="CAIXA Std Book"/>
          <w:color w:val="005CA9"/>
          <w:sz w:val="20"/>
          <w:szCs w:val="20"/>
        </w:rPr>
        <w:t>As provisões relacionadas com benefícios de curto prazo são compostas predominantemente por salários a pagar, 13º salário, férias, licença prêmio, abono assiduidade e participação dos empregados nos lucros, vencíveis no curso de até doze meses após o período a que se referem as demonstrações contábeis. A participação dos empregados no resultado (PLR) é apropriada mensalmente com o cálculo sobre o resultado anual orçado. Após o fechamento do Acordo Coletivo de Trabalho, esse valor é ajustado considerando as regras aprovadas.</w:t>
      </w:r>
    </w:p>
    <w:p w14:paraId="4C02213A" w14:textId="77777777" w:rsidR="009609B9" w:rsidRPr="00E20D21" w:rsidRDefault="009609B9" w:rsidP="00F31C31">
      <w:pPr>
        <w:pStyle w:val="wordsection1"/>
        <w:numPr>
          <w:ilvl w:val="0"/>
          <w:numId w:val="34"/>
        </w:numPr>
        <w:spacing w:before="240" w:beforeAutospacing="0" w:after="240" w:afterAutospacing="0"/>
        <w:ind w:left="567" w:hanging="550"/>
        <w:rPr>
          <w:rFonts w:ascii="CAIXA Std Book" w:eastAsia="Times New Roman" w:hAnsi="CAIXA Std Book"/>
          <w:b/>
          <w:color w:val="005CA9"/>
          <w:sz w:val="20"/>
          <w:szCs w:val="20"/>
        </w:rPr>
      </w:pPr>
      <w:r w:rsidRPr="00E20D21">
        <w:rPr>
          <w:rFonts w:ascii="CAIXA Std Book" w:hAnsi="CAIXA Std Book"/>
          <w:b/>
          <w:color w:val="005CA9"/>
          <w:sz w:val="20"/>
          <w:szCs w:val="20"/>
        </w:rPr>
        <w:t>Benefícios pós-emprego</w:t>
      </w:r>
    </w:p>
    <w:p w14:paraId="08C18404" w14:textId="77777777" w:rsidR="009609B9" w:rsidRPr="00E20D21" w:rsidRDefault="009609B9" w:rsidP="009609B9">
      <w:pPr>
        <w:pStyle w:val="wordsection1"/>
        <w:autoSpaceDE w:val="0"/>
        <w:autoSpaceDN w:val="0"/>
        <w:adjustRightInd w:val="0"/>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A CAIXA é patrocinadora de planos de aposentadoria, pensão, saúde complementar e auxílio/cesta- alimentação. Esses benefícios são disponibilizados a seus empregados, dirigentes, aposentados e pensionistas em decorrência das relações de trabalho ou da sucessão, em direitos e obrigações, de outras entidades (situação do extinto Banco Nacional de Habitação – BNH).</w:t>
      </w:r>
    </w:p>
    <w:p w14:paraId="1A287313" w14:textId="77777777" w:rsidR="007D204E" w:rsidRPr="00E20D21" w:rsidRDefault="007D204E">
      <w:pPr>
        <w:rPr>
          <w:rFonts w:ascii="CAIXA Std Book" w:eastAsiaTheme="minorHAnsi" w:hAnsi="CAIXA Std Book"/>
          <w:b/>
          <w:color w:val="005CA9"/>
          <w:sz w:val="20"/>
          <w:szCs w:val="20"/>
        </w:rPr>
      </w:pPr>
      <w:r w:rsidRPr="00E20D21">
        <w:rPr>
          <w:rFonts w:ascii="CAIXA Std Book" w:hAnsi="CAIXA Std Book"/>
          <w:b/>
          <w:color w:val="005CA9"/>
          <w:sz w:val="20"/>
          <w:szCs w:val="20"/>
        </w:rPr>
        <w:br w:type="page"/>
      </w:r>
    </w:p>
    <w:p w14:paraId="02F24E0C" w14:textId="3DDE7482" w:rsidR="009609B9" w:rsidRPr="00E20D21" w:rsidRDefault="009609B9" w:rsidP="00F31C31">
      <w:pPr>
        <w:pStyle w:val="wordsection1"/>
        <w:numPr>
          <w:ilvl w:val="0"/>
          <w:numId w:val="34"/>
        </w:numPr>
        <w:spacing w:before="240" w:beforeAutospacing="0" w:after="240" w:afterAutospacing="0"/>
        <w:ind w:left="567" w:hanging="550"/>
        <w:rPr>
          <w:rFonts w:ascii="CAIXA Std Book" w:eastAsia="Times New Roman" w:hAnsi="CAIXA Std Book"/>
          <w:b/>
          <w:color w:val="005CA9"/>
          <w:sz w:val="20"/>
          <w:szCs w:val="20"/>
        </w:rPr>
      </w:pPr>
      <w:r w:rsidRPr="00E20D21">
        <w:rPr>
          <w:rFonts w:ascii="CAIXA Std Book" w:hAnsi="CAIXA Std Book"/>
          <w:b/>
          <w:color w:val="005CA9"/>
          <w:sz w:val="20"/>
          <w:szCs w:val="20"/>
        </w:rPr>
        <w:lastRenderedPageBreak/>
        <w:t>Composição da provisão para benefícios a empregados</w:t>
      </w:r>
    </w:p>
    <w:tbl>
      <w:tblPr>
        <w:tblW w:w="5000" w:type="pct"/>
        <w:tblLayout w:type="fixed"/>
        <w:tblCellMar>
          <w:left w:w="70" w:type="dxa"/>
          <w:right w:w="70" w:type="dxa"/>
        </w:tblCellMar>
        <w:tblLook w:val="04A0" w:firstRow="1" w:lastRow="0" w:firstColumn="1" w:lastColumn="0" w:noHBand="0" w:noVBand="1"/>
      </w:tblPr>
      <w:tblGrid>
        <w:gridCol w:w="4819"/>
        <w:gridCol w:w="1205"/>
        <w:gridCol w:w="1205"/>
        <w:gridCol w:w="1205"/>
        <w:gridCol w:w="1205"/>
      </w:tblGrid>
      <w:tr w:rsidR="00A47C19" w:rsidRPr="00E20D21" w14:paraId="7060C505" w14:textId="77777777" w:rsidTr="00CC1C89">
        <w:trPr>
          <w:trHeight w:val="283"/>
        </w:trPr>
        <w:tc>
          <w:tcPr>
            <w:tcW w:w="2500" w:type="pct"/>
            <w:vMerge w:val="restart"/>
            <w:tcBorders>
              <w:top w:val="single" w:sz="8" w:space="0" w:color="F68F00"/>
              <w:left w:val="nil"/>
              <w:right w:val="nil"/>
            </w:tcBorders>
            <w:shd w:val="clear" w:color="auto" w:fill="auto"/>
            <w:vAlign w:val="center"/>
            <w:hideMark/>
          </w:tcPr>
          <w:p w14:paraId="24A8C581" w14:textId="77777777" w:rsidR="002A04C4" w:rsidRPr="00E20D21" w:rsidRDefault="002A04C4" w:rsidP="00D7314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250" w:type="pct"/>
            <w:gridSpan w:val="2"/>
            <w:tcBorders>
              <w:top w:val="single" w:sz="8" w:space="0" w:color="F68F00"/>
              <w:left w:val="nil"/>
              <w:bottom w:val="single" w:sz="8" w:space="0" w:color="F68F00"/>
              <w:right w:val="nil"/>
            </w:tcBorders>
            <w:shd w:val="clear" w:color="auto" w:fill="auto"/>
            <w:vAlign w:val="center"/>
            <w:hideMark/>
          </w:tcPr>
          <w:p w14:paraId="79ADA09B" w14:textId="77777777" w:rsidR="002A04C4" w:rsidRPr="00E20D21" w:rsidRDefault="002A04C4" w:rsidP="00D7314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250" w:type="pct"/>
            <w:gridSpan w:val="2"/>
            <w:tcBorders>
              <w:top w:val="single" w:sz="8" w:space="0" w:color="F68F00"/>
              <w:left w:val="nil"/>
              <w:bottom w:val="single" w:sz="8" w:space="0" w:color="F68F00"/>
              <w:right w:val="nil"/>
            </w:tcBorders>
            <w:shd w:val="clear" w:color="auto" w:fill="auto"/>
            <w:vAlign w:val="center"/>
            <w:hideMark/>
          </w:tcPr>
          <w:p w14:paraId="14F75ABD" w14:textId="77777777" w:rsidR="002A04C4" w:rsidRPr="00E20D21" w:rsidRDefault="002A04C4" w:rsidP="00D73144">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DF23FA" w:rsidRPr="00E20D21" w14:paraId="08433CF9" w14:textId="77777777" w:rsidTr="00CC1C89">
        <w:trPr>
          <w:trHeight w:val="283"/>
        </w:trPr>
        <w:tc>
          <w:tcPr>
            <w:tcW w:w="2500" w:type="pct"/>
            <w:vMerge/>
            <w:tcBorders>
              <w:left w:val="nil"/>
              <w:bottom w:val="single" w:sz="8" w:space="0" w:color="F68F00"/>
              <w:right w:val="nil"/>
            </w:tcBorders>
            <w:vAlign w:val="center"/>
            <w:hideMark/>
          </w:tcPr>
          <w:p w14:paraId="4B735224" w14:textId="77777777" w:rsidR="00DF23FA" w:rsidRPr="00E20D21" w:rsidRDefault="00DF23FA" w:rsidP="00DF23FA">
            <w:pPr>
              <w:rPr>
                <w:rFonts w:ascii="CAIXA Std Book" w:eastAsia="Times New Roman" w:hAnsi="CAIXA Std Book" w:cs="Arial"/>
                <w:b/>
                <w:bCs/>
                <w:color w:val="005CA9"/>
                <w:sz w:val="18"/>
                <w:szCs w:val="18"/>
              </w:rPr>
            </w:pPr>
          </w:p>
        </w:tc>
        <w:tc>
          <w:tcPr>
            <w:tcW w:w="625" w:type="pct"/>
            <w:tcBorders>
              <w:top w:val="nil"/>
              <w:left w:val="nil"/>
              <w:bottom w:val="single" w:sz="8" w:space="0" w:color="F68F00"/>
              <w:right w:val="nil"/>
            </w:tcBorders>
            <w:shd w:val="clear" w:color="auto" w:fill="auto"/>
            <w:vAlign w:val="center"/>
            <w:hideMark/>
          </w:tcPr>
          <w:p w14:paraId="22231CB3" w14:textId="60269471" w:rsidR="00DF23FA" w:rsidRPr="00E20D21" w:rsidRDefault="00DF23FA" w:rsidP="00DF23F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625" w:type="pct"/>
            <w:tcBorders>
              <w:top w:val="nil"/>
              <w:left w:val="nil"/>
              <w:bottom w:val="single" w:sz="8" w:space="0" w:color="F68F00"/>
              <w:right w:val="nil"/>
            </w:tcBorders>
            <w:shd w:val="clear" w:color="auto" w:fill="auto"/>
            <w:vAlign w:val="center"/>
            <w:hideMark/>
          </w:tcPr>
          <w:p w14:paraId="3810CEE7" w14:textId="37467D3D" w:rsidR="00DF23FA" w:rsidRPr="00E20D21" w:rsidRDefault="00DF23FA" w:rsidP="00DF23F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c>
          <w:tcPr>
            <w:tcW w:w="625" w:type="pct"/>
            <w:tcBorders>
              <w:top w:val="nil"/>
              <w:left w:val="nil"/>
              <w:bottom w:val="single" w:sz="8" w:space="0" w:color="F68F00"/>
              <w:right w:val="nil"/>
            </w:tcBorders>
            <w:shd w:val="clear" w:color="auto" w:fill="auto"/>
            <w:vAlign w:val="center"/>
            <w:hideMark/>
          </w:tcPr>
          <w:p w14:paraId="77DE3F84" w14:textId="1D8E6459" w:rsidR="00DF23FA" w:rsidRPr="00E20D21" w:rsidRDefault="00DF23FA" w:rsidP="00DF23F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30/06/2024</w:t>
            </w:r>
          </w:p>
        </w:tc>
        <w:tc>
          <w:tcPr>
            <w:tcW w:w="625" w:type="pct"/>
            <w:tcBorders>
              <w:top w:val="nil"/>
              <w:left w:val="nil"/>
              <w:bottom w:val="single" w:sz="8" w:space="0" w:color="F68F00"/>
              <w:right w:val="nil"/>
            </w:tcBorders>
            <w:shd w:val="clear" w:color="auto" w:fill="auto"/>
            <w:vAlign w:val="center"/>
            <w:hideMark/>
          </w:tcPr>
          <w:p w14:paraId="2437B5B9" w14:textId="2C010BF1" w:rsidR="00DF23FA" w:rsidRPr="00E20D21" w:rsidRDefault="00DF23FA" w:rsidP="00DF23F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DF23FA" w:rsidRPr="00E20D21" w14:paraId="53F7ADB7" w14:textId="77777777" w:rsidTr="00CC1C89">
        <w:trPr>
          <w:trHeight w:val="283"/>
        </w:trPr>
        <w:tc>
          <w:tcPr>
            <w:tcW w:w="2500" w:type="pct"/>
            <w:tcBorders>
              <w:top w:val="nil"/>
              <w:left w:val="nil"/>
              <w:bottom w:val="nil"/>
              <w:right w:val="nil"/>
            </w:tcBorders>
            <w:shd w:val="clear" w:color="auto" w:fill="auto"/>
            <w:noWrap/>
            <w:vAlign w:val="center"/>
            <w:hideMark/>
          </w:tcPr>
          <w:p w14:paraId="1686C9DE" w14:textId="77777777" w:rsidR="00DF23FA" w:rsidRPr="00E20D21" w:rsidRDefault="00DF23FA" w:rsidP="00DF23FA">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Benefícios de curto prazo</w:t>
            </w:r>
          </w:p>
        </w:tc>
        <w:tc>
          <w:tcPr>
            <w:tcW w:w="625" w:type="pct"/>
            <w:tcBorders>
              <w:top w:val="nil"/>
              <w:left w:val="nil"/>
              <w:bottom w:val="nil"/>
              <w:right w:val="nil"/>
            </w:tcBorders>
            <w:shd w:val="clear" w:color="auto" w:fill="auto"/>
            <w:vAlign w:val="center"/>
          </w:tcPr>
          <w:p w14:paraId="4BFAFFF9" w14:textId="2E5F610D" w:rsidR="00DF23FA" w:rsidRPr="00E20D21" w:rsidRDefault="00264DAE"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6.063.002</w:t>
            </w:r>
          </w:p>
        </w:tc>
        <w:tc>
          <w:tcPr>
            <w:tcW w:w="625" w:type="pct"/>
            <w:tcBorders>
              <w:top w:val="nil"/>
              <w:left w:val="nil"/>
              <w:bottom w:val="nil"/>
              <w:right w:val="nil"/>
            </w:tcBorders>
            <w:shd w:val="clear" w:color="auto" w:fill="auto"/>
            <w:vAlign w:val="center"/>
            <w:hideMark/>
          </w:tcPr>
          <w:p w14:paraId="773AC161" w14:textId="69C9AEE3"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4.937.705</w:t>
            </w:r>
          </w:p>
        </w:tc>
        <w:tc>
          <w:tcPr>
            <w:tcW w:w="625" w:type="pct"/>
            <w:tcBorders>
              <w:top w:val="nil"/>
              <w:left w:val="nil"/>
              <w:bottom w:val="nil"/>
              <w:right w:val="nil"/>
            </w:tcBorders>
            <w:shd w:val="clear" w:color="auto" w:fill="auto"/>
            <w:vAlign w:val="center"/>
          </w:tcPr>
          <w:p w14:paraId="2419A2D9" w14:textId="1C194875" w:rsidR="00DF23FA" w:rsidRPr="00E20D21" w:rsidRDefault="0075223C"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6.070.069</w:t>
            </w:r>
          </w:p>
        </w:tc>
        <w:tc>
          <w:tcPr>
            <w:tcW w:w="625" w:type="pct"/>
            <w:tcBorders>
              <w:top w:val="nil"/>
              <w:left w:val="nil"/>
              <w:bottom w:val="nil"/>
              <w:right w:val="nil"/>
            </w:tcBorders>
            <w:shd w:val="clear" w:color="auto" w:fill="auto"/>
            <w:vAlign w:val="center"/>
            <w:hideMark/>
          </w:tcPr>
          <w:p w14:paraId="06891502" w14:textId="45F65DB8"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4.943.558</w:t>
            </w:r>
          </w:p>
        </w:tc>
      </w:tr>
      <w:tr w:rsidR="00DF23FA" w:rsidRPr="00E20D21" w14:paraId="0C89601F" w14:textId="77777777" w:rsidTr="00CC1C89">
        <w:trPr>
          <w:trHeight w:val="283"/>
        </w:trPr>
        <w:tc>
          <w:tcPr>
            <w:tcW w:w="2500" w:type="pct"/>
            <w:tcBorders>
              <w:top w:val="nil"/>
              <w:left w:val="nil"/>
              <w:bottom w:val="nil"/>
              <w:right w:val="nil"/>
            </w:tcBorders>
            <w:shd w:val="clear" w:color="auto" w:fill="auto"/>
            <w:noWrap/>
            <w:vAlign w:val="center"/>
            <w:hideMark/>
          </w:tcPr>
          <w:p w14:paraId="5FD023F7" w14:textId="77777777" w:rsidR="00DF23FA" w:rsidRPr="00E20D21" w:rsidRDefault="00DF23FA" w:rsidP="00DF23FA">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Natureza salarial</w:t>
            </w:r>
          </w:p>
        </w:tc>
        <w:tc>
          <w:tcPr>
            <w:tcW w:w="625" w:type="pct"/>
            <w:tcBorders>
              <w:top w:val="nil"/>
              <w:left w:val="nil"/>
              <w:bottom w:val="nil"/>
              <w:right w:val="nil"/>
            </w:tcBorders>
            <w:shd w:val="clear" w:color="auto" w:fill="auto"/>
            <w:noWrap/>
            <w:vAlign w:val="center"/>
          </w:tcPr>
          <w:p w14:paraId="4F009671" w14:textId="548CC802" w:rsidR="00DF23FA" w:rsidRPr="00E20D21" w:rsidRDefault="00264DAE"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5.196.307</w:t>
            </w:r>
          </w:p>
        </w:tc>
        <w:tc>
          <w:tcPr>
            <w:tcW w:w="625" w:type="pct"/>
            <w:tcBorders>
              <w:top w:val="nil"/>
              <w:left w:val="nil"/>
              <w:bottom w:val="nil"/>
              <w:right w:val="nil"/>
            </w:tcBorders>
            <w:shd w:val="clear" w:color="auto" w:fill="auto"/>
            <w:noWrap/>
            <w:vAlign w:val="center"/>
            <w:hideMark/>
          </w:tcPr>
          <w:p w14:paraId="6498537A" w14:textId="3B5AD289"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3.597.313</w:t>
            </w:r>
          </w:p>
        </w:tc>
        <w:tc>
          <w:tcPr>
            <w:tcW w:w="625" w:type="pct"/>
            <w:tcBorders>
              <w:top w:val="nil"/>
              <w:left w:val="nil"/>
              <w:bottom w:val="nil"/>
              <w:right w:val="nil"/>
            </w:tcBorders>
            <w:shd w:val="clear" w:color="auto" w:fill="auto"/>
            <w:noWrap/>
            <w:vAlign w:val="center"/>
          </w:tcPr>
          <w:p w14:paraId="42C754C6" w14:textId="6874F1DD" w:rsidR="00DF23FA" w:rsidRPr="00E20D21" w:rsidRDefault="0075223C"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5.196.307</w:t>
            </w:r>
          </w:p>
        </w:tc>
        <w:tc>
          <w:tcPr>
            <w:tcW w:w="625" w:type="pct"/>
            <w:tcBorders>
              <w:top w:val="nil"/>
              <w:left w:val="nil"/>
              <w:bottom w:val="nil"/>
              <w:right w:val="nil"/>
            </w:tcBorders>
            <w:shd w:val="clear" w:color="auto" w:fill="auto"/>
            <w:noWrap/>
            <w:vAlign w:val="center"/>
            <w:hideMark/>
          </w:tcPr>
          <w:p w14:paraId="740C0785" w14:textId="2B443FC7"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3.597.313</w:t>
            </w:r>
          </w:p>
        </w:tc>
      </w:tr>
      <w:tr w:rsidR="00DF23FA" w:rsidRPr="00E20D21" w14:paraId="399A98E0" w14:textId="77777777" w:rsidTr="00CC1C89">
        <w:trPr>
          <w:trHeight w:val="283"/>
        </w:trPr>
        <w:tc>
          <w:tcPr>
            <w:tcW w:w="2500" w:type="pct"/>
            <w:tcBorders>
              <w:top w:val="nil"/>
              <w:left w:val="nil"/>
              <w:bottom w:val="nil"/>
              <w:right w:val="nil"/>
            </w:tcBorders>
            <w:shd w:val="clear" w:color="auto" w:fill="auto"/>
            <w:noWrap/>
            <w:vAlign w:val="center"/>
            <w:hideMark/>
          </w:tcPr>
          <w:p w14:paraId="0D3940D5" w14:textId="77777777" w:rsidR="00DF23FA" w:rsidRPr="00E20D21" w:rsidRDefault="00DF23FA" w:rsidP="00DF23FA">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Participação dos empregados no lucro</w:t>
            </w:r>
          </w:p>
        </w:tc>
        <w:tc>
          <w:tcPr>
            <w:tcW w:w="625" w:type="pct"/>
            <w:tcBorders>
              <w:top w:val="nil"/>
              <w:left w:val="nil"/>
              <w:bottom w:val="nil"/>
              <w:right w:val="nil"/>
            </w:tcBorders>
            <w:shd w:val="clear" w:color="auto" w:fill="auto"/>
            <w:noWrap/>
            <w:vAlign w:val="center"/>
          </w:tcPr>
          <w:p w14:paraId="6878EE5D" w14:textId="6FB82013" w:rsidR="00DF23FA" w:rsidRPr="00E20D21" w:rsidRDefault="00264DAE"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866.695</w:t>
            </w:r>
          </w:p>
        </w:tc>
        <w:tc>
          <w:tcPr>
            <w:tcW w:w="625" w:type="pct"/>
            <w:tcBorders>
              <w:top w:val="nil"/>
              <w:left w:val="nil"/>
              <w:bottom w:val="nil"/>
              <w:right w:val="nil"/>
            </w:tcBorders>
            <w:shd w:val="clear" w:color="auto" w:fill="auto"/>
            <w:noWrap/>
            <w:vAlign w:val="center"/>
            <w:hideMark/>
          </w:tcPr>
          <w:p w14:paraId="025D4E77" w14:textId="415C41D3"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1.340.392</w:t>
            </w:r>
          </w:p>
        </w:tc>
        <w:tc>
          <w:tcPr>
            <w:tcW w:w="625" w:type="pct"/>
            <w:tcBorders>
              <w:top w:val="nil"/>
              <w:left w:val="nil"/>
              <w:bottom w:val="nil"/>
              <w:right w:val="nil"/>
            </w:tcBorders>
            <w:shd w:val="clear" w:color="auto" w:fill="auto"/>
            <w:noWrap/>
            <w:vAlign w:val="center"/>
          </w:tcPr>
          <w:p w14:paraId="5097D531" w14:textId="7AF33903" w:rsidR="00DF23FA" w:rsidRPr="00E20D21" w:rsidRDefault="0075223C"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873.762</w:t>
            </w:r>
          </w:p>
        </w:tc>
        <w:tc>
          <w:tcPr>
            <w:tcW w:w="625" w:type="pct"/>
            <w:tcBorders>
              <w:top w:val="nil"/>
              <w:left w:val="nil"/>
              <w:bottom w:val="nil"/>
              <w:right w:val="nil"/>
            </w:tcBorders>
            <w:shd w:val="clear" w:color="auto" w:fill="auto"/>
            <w:noWrap/>
            <w:vAlign w:val="center"/>
            <w:hideMark/>
          </w:tcPr>
          <w:p w14:paraId="6BDA87DA" w14:textId="26A6B167"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1.346.245</w:t>
            </w:r>
          </w:p>
        </w:tc>
      </w:tr>
      <w:tr w:rsidR="00DF23FA" w:rsidRPr="00E20D21" w14:paraId="65963E41" w14:textId="77777777" w:rsidTr="00CC1C89">
        <w:trPr>
          <w:trHeight w:val="283"/>
        </w:trPr>
        <w:tc>
          <w:tcPr>
            <w:tcW w:w="2500" w:type="pct"/>
            <w:tcBorders>
              <w:top w:val="nil"/>
              <w:left w:val="nil"/>
              <w:bottom w:val="nil"/>
              <w:right w:val="nil"/>
            </w:tcBorders>
            <w:shd w:val="clear" w:color="auto" w:fill="auto"/>
            <w:noWrap/>
            <w:vAlign w:val="center"/>
            <w:hideMark/>
          </w:tcPr>
          <w:p w14:paraId="7AE7ABC1" w14:textId="77777777" w:rsidR="00DF23FA" w:rsidRPr="00E20D21" w:rsidRDefault="00DF23FA" w:rsidP="00DF23FA">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Benefícios pós-emprego </w:t>
            </w:r>
          </w:p>
        </w:tc>
        <w:tc>
          <w:tcPr>
            <w:tcW w:w="625" w:type="pct"/>
            <w:tcBorders>
              <w:top w:val="nil"/>
              <w:left w:val="nil"/>
              <w:bottom w:val="nil"/>
              <w:right w:val="nil"/>
            </w:tcBorders>
            <w:shd w:val="clear" w:color="auto" w:fill="auto"/>
            <w:vAlign w:val="center"/>
          </w:tcPr>
          <w:p w14:paraId="24B4F7E9" w14:textId="4E799251" w:rsidR="00DF23FA" w:rsidRPr="00E20D21" w:rsidRDefault="00264DAE"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24.864.269</w:t>
            </w:r>
          </w:p>
        </w:tc>
        <w:tc>
          <w:tcPr>
            <w:tcW w:w="625" w:type="pct"/>
            <w:tcBorders>
              <w:top w:val="nil"/>
              <w:left w:val="nil"/>
              <w:bottom w:val="nil"/>
              <w:right w:val="nil"/>
            </w:tcBorders>
            <w:shd w:val="clear" w:color="auto" w:fill="auto"/>
            <w:vAlign w:val="center"/>
            <w:hideMark/>
          </w:tcPr>
          <w:p w14:paraId="4D977598" w14:textId="01130DFC"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25.360.640</w:t>
            </w:r>
          </w:p>
        </w:tc>
        <w:tc>
          <w:tcPr>
            <w:tcW w:w="625" w:type="pct"/>
            <w:tcBorders>
              <w:top w:val="nil"/>
              <w:left w:val="nil"/>
              <w:bottom w:val="nil"/>
              <w:right w:val="nil"/>
            </w:tcBorders>
            <w:shd w:val="clear" w:color="auto" w:fill="auto"/>
            <w:vAlign w:val="center"/>
          </w:tcPr>
          <w:p w14:paraId="46871ACA" w14:textId="0D8CE8D8" w:rsidR="00DF23FA" w:rsidRPr="00E20D21" w:rsidRDefault="0075223C"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24.864.269</w:t>
            </w:r>
          </w:p>
        </w:tc>
        <w:tc>
          <w:tcPr>
            <w:tcW w:w="625" w:type="pct"/>
            <w:tcBorders>
              <w:top w:val="nil"/>
              <w:left w:val="nil"/>
              <w:bottom w:val="nil"/>
              <w:right w:val="nil"/>
            </w:tcBorders>
            <w:shd w:val="clear" w:color="auto" w:fill="auto"/>
            <w:vAlign w:val="center"/>
            <w:hideMark/>
          </w:tcPr>
          <w:p w14:paraId="481B97AA" w14:textId="1CDB9504"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25.360.640</w:t>
            </w:r>
          </w:p>
        </w:tc>
      </w:tr>
      <w:tr w:rsidR="00DF23FA" w:rsidRPr="00E20D21" w14:paraId="3AC7C578" w14:textId="77777777" w:rsidTr="00CC1C89">
        <w:trPr>
          <w:trHeight w:val="283"/>
        </w:trPr>
        <w:tc>
          <w:tcPr>
            <w:tcW w:w="2500" w:type="pct"/>
            <w:tcBorders>
              <w:top w:val="nil"/>
              <w:left w:val="nil"/>
              <w:bottom w:val="nil"/>
              <w:right w:val="nil"/>
            </w:tcBorders>
            <w:shd w:val="clear" w:color="auto" w:fill="auto"/>
            <w:noWrap/>
            <w:vAlign w:val="center"/>
            <w:hideMark/>
          </w:tcPr>
          <w:p w14:paraId="4FDF3A39" w14:textId="77777777" w:rsidR="00DF23FA" w:rsidRPr="00E20D21" w:rsidRDefault="00DF23FA" w:rsidP="00DF23FA">
            <w:pPr>
              <w:ind w:firstLineChars="100" w:firstLine="181"/>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Saúde CAIXA (cálculo atuarial (g.1))</w:t>
            </w:r>
          </w:p>
        </w:tc>
        <w:tc>
          <w:tcPr>
            <w:tcW w:w="625" w:type="pct"/>
            <w:tcBorders>
              <w:top w:val="nil"/>
              <w:left w:val="nil"/>
              <w:bottom w:val="nil"/>
              <w:right w:val="nil"/>
            </w:tcBorders>
            <w:shd w:val="clear" w:color="auto" w:fill="auto"/>
            <w:noWrap/>
            <w:vAlign w:val="center"/>
          </w:tcPr>
          <w:p w14:paraId="41C98B27" w14:textId="7310C33A" w:rsidR="00DF23FA" w:rsidRPr="00E20D21" w:rsidRDefault="00264DAE"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11.889.250</w:t>
            </w:r>
          </w:p>
        </w:tc>
        <w:tc>
          <w:tcPr>
            <w:tcW w:w="625" w:type="pct"/>
            <w:tcBorders>
              <w:top w:val="nil"/>
              <w:left w:val="nil"/>
              <w:bottom w:val="nil"/>
              <w:right w:val="nil"/>
            </w:tcBorders>
            <w:shd w:val="clear" w:color="auto" w:fill="auto"/>
            <w:noWrap/>
            <w:vAlign w:val="center"/>
            <w:hideMark/>
          </w:tcPr>
          <w:p w14:paraId="6BEC26F7" w14:textId="1367C134"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12.088.211</w:t>
            </w:r>
          </w:p>
        </w:tc>
        <w:tc>
          <w:tcPr>
            <w:tcW w:w="625" w:type="pct"/>
            <w:tcBorders>
              <w:top w:val="nil"/>
              <w:left w:val="nil"/>
              <w:bottom w:val="nil"/>
              <w:right w:val="nil"/>
            </w:tcBorders>
            <w:shd w:val="clear" w:color="auto" w:fill="auto"/>
            <w:noWrap/>
            <w:vAlign w:val="center"/>
          </w:tcPr>
          <w:p w14:paraId="5D9FBCBA" w14:textId="6DF7CAF9" w:rsidR="00DF23FA" w:rsidRPr="00E20D21" w:rsidRDefault="0075223C"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11.889.250</w:t>
            </w:r>
          </w:p>
        </w:tc>
        <w:tc>
          <w:tcPr>
            <w:tcW w:w="625" w:type="pct"/>
            <w:tcBorders>
              <w:top w:val="nil"/>
              <w:left w:val="nil"/>
              <w:bottom w:val="nil"/>
              <w:right w:val="nil"/>
            </w:tcBorders>
            <w:shd w:val="clear" w:color="auto" w:fill="auto"/>
            <w:noWrap/>
            <w:vAlign w:val="center"/>
            <w:hideMark/>
          </w:tcPr>
          <w:p w14:paraId="54181418" w14:textId="5CC0E693"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12.088.211</w:t>
            </w:r>
          </w:p>
        </w:tc>
      </w:tr>
      <w:tr w:rsidR="00DF23FA" w:rsidRPr="00E20D21" w14:paraId="27146AF3" w14:textId="77777777" w:rsidTr="00CC1C89">
        <w:trPr>
          <w:trHeight w:val="283"/>
        </w:trPr>
        <w:tc>
          <w:tcPr>
            <w:tcW w:w="2500" w:type="pct"/>
            <w:tcBorders>
              <w:top w:val="nil"/>
              <w:left w:val="nil"/>
              <w:bottom w:val="nil"/>
              <w:right w:val="nil"/>
            </w:tcBorders>
            <w:shd w:val="clear" w:color="auto" w:fill="auto"/>
            <w:noWrap/>
            <w:vAlign w:val="center"/>
            <w:hideMark/>
          </w:tcPr>
          <w:p w14:paraId="1CEF63E3" w14:textId="77777777" w:rsidR="00DF23FA" w:rsidRPr="00E20D21" w:rsidRDefault="00DF23FA" w:rsidP="00DF23FA">
            <w:pPr>
              <w:ind w:firstLineChars="100" w:firstLine="181"/>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Auxílio e cesta alimentação (cálculo atuarial (g.2))</w:t>
            </w:r>
          </w:p>
        </w:tc>
        <w:tc>
          <w:tcPr>
            <w:tcW w:w="625" w:type="pct"/>
            <w:tcBorders>
              <w:top w:val="nil"/>
              <w:left w:val="nil"/>
              <w:bottom w:val="nil"/>
              <w:right w:val="nil"/>
            </w:tcBorders>
            <w:shd w:val="clear" w:color="auto" w:fill="auto"/>
            <w:noWrap/>
            <w:vAlign w:val="center"/>
          </w:tcPr>
          <w:p w14:paraId="26D7C665" w14:textId="60308DA9" w:rsidR="00DF23FA" w:rsidRPr="00E20D21" w:rsidRDefault="00264DAE"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1.875.375</w:t>
            </w:r>
          </w:p>
        </w:tc>
        <w:tc>
          <w:tcPr>
            <w:tcW w:w="625" w:type="pct"/>
            <w:tcBorders>
              <w:top w:val="nil"/>
              <w:left w:val="nil"/>
              <w:bottom w:val="nil"/>
              <w:right w:val="nil"/>
            </w:tcBorders>
            <w:shd w:val="clear" w:color="auto" w:fill="auto"/>
            <w:noWrap/>
            <w:vAlign w:val="center"/>
            <w:hideMark/>
          </w:tcPr>
          <w:p w14:paraId="3EE2DCBE" w14:textId="532B4030"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1.934.048</w:t>
            </w:r>
          </w:p>
        </w:tc>
        <w:tc>
          <w:tcPr>
            <w:tcW w:w="625" w:type="pct"/>
            <w:tcBorders>
              <w:top w:val="nil"/>
              <w:left w:val="nil"/>
              <w:bottom w:val="nil"/>
              <w:right w:val="nil"/>
            </w:tcBorders>
            <w:shd w:val="clear" w:color="auto" w:fill="auto"/>
            <w:noWrap/>
            <w:vAlign w:val="center"/>
          </w:tcPr>
          <w:p w14:paraId="203B4CE0" w14:textId="6E08FCA9" w:rsidR="00DF23FA" w:rsidRPr="00E20D21" w:rsidRDefault="0075223C"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1.875.375</w:t>
            </w:r>
          </w:p>
        </w:tc>
        <w:tc>
          <w:tcPr>
            <w:tcW w:w="625" w:type="pct"/>
            <w:tcBorders>
              <w:top w:val="nil"/>
              <w:left w:val="nil"/>
              <w:bottom w:val="nil"/>
              <w:right w:val="nil"/>
            </w:tcBorders>
            <w:shd w:val="clear" w:color="auto" w:fill="auto"/>
            <w:noWrap/>
            <w:vAlign w:val="center"/>
            <w:hideMark/>
          </w:tcPr>
          <w:p w14:paraId="1E00FDC7" w14:textId="7D3C1A3E"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1.934.048</w:t>
            </w:r>
          </w:p>
        </w:tc>
      </w:tr>
      <w:tr w:rsidR="00DF23FA" w:rsidRPr="00E20D21" w14:paraId="1A08A19C" w14:textId="77777777" w:rsidTr="00CC1C89">
        <w:trPr>
          <w:trHeight w:val="283"/>
        </w:trPr>
        <w:tc>
          <w:tcPr>
            <w:tcW w:w="2500" w:type="pct"/>
            <w:tcBorders>
              <w:top w:val="nil"/>
              <w:left w:val="nil"/>
              <w:bottom w:val="nil"/>
              <w:right w:val="nil"/>
            </w:tcBorders>
            <w:shd w:val="clear" w:color="auto" w:fill="auto"/>
            <w:noWrap/>
            <w:vAlign w:val="center"/>
            <w:hideMark/>
          </w:tcPr>
          <w:p w14:paraId="5557B3D5" w14:textId="77777777" w:rsidR="00DF23FA" w:rsidRPr="00E20D21" w:rsidRDefault="00DF23FA" w:rsidP="00DF23FA">
            <w:pPr>
              <w:ind w:firstLineChars="100" w:firstLine="181"/>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Planos de benefícios – Previdência Complementar</w:t>
            </w:r>
          </w:p>
        </w:tc>
        <w:tc>
          <w:tcPr>
            <w:tcW w:w="625" w:type="pct"/>
            <w:tcBorders>
              <w:top w:val="nil"/>
              <w:left w:val="nil"/>
              <w:bottom w:val="nil"/>
              <w:right w:val="nil"/>
            </w:tcBorders>
            <w:shd w:val="clear" w:color="auto" w:fill="auto"/>
            <w:noWrap/>
            <w:vAlign w:val="center"/>
          </w:tcPr>
          <w:p w14:paraId="209ADE21" w14:textId="34B173C5" w:rsidR="00DF23FA" w:rsidRPr="00E20D21" w:rsidRDefault="00264DAE"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11.099.644</w:t>
            </w:r>
          </w:p>
        </w:tc>
        <w:tc>
          <w:tcPr>
            <w:tcW w:w="625" w:type="pct"/>
            <w:tcBorders>
              <w:top w:val="nil"/>
              <w:left w:val="nil"/>
              <w:bottom w:val="nil"/>
              <w:right w:val="nil"/>
            </w:tcBorders>
            <w:shd w:val="clear" w:color="auto" w:fill="auto"/>
            <w:noWrap/>
            <w:vAlign w:val="center"/>
            <w:hideMark/>
          </w:tcPr>
          <w:p w14:paraId="7048531B" w14:textId="674D87EB"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11.338.381</w:t>
            </w:r>
          </w:p>
        </w:tc>
        <w:tc>
          <w:tcPr>
            <w:tcW w:w="625" w:type="pct"/>
            <w:tcBorders>
              <w:top w:val="nil"/>
              <w:left w:val="nil"/>
              <w:bottom w:val="nil"/>
              <w:right w:val="nil"/>
            </w:tcBorders>
            <w:shd w:val="clear" w:color="auto" w:fill="auto"/>
            <w:noWrap/>
            <w:vAlign w:val="center"/>
          </w:tcPr>
          <w:p w14:paraId="21A918B7" w14:textId="3361E392" w:rsidR="00DF23FA" w:rsidRPr="00E20D21" w:rsidRDefault="0075223C"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11.099.644</w:t>
            </w:r>
          </w:p>
        </w:tc>
        <w:tc>
          <w:tcPr>
            <w:tcW w:w="625" w:type="pct"/>
            <w:tcBorders>
              <w:top w:val="nil"/>
              <w:left w:val="nil"/>
              <w:bottom w:val="nil"/>
              <w:right w:val="nil"/>
            </w:tcBorders>
            <w:shd w:val="clear" w:color="auto" w:fill="auto"/>
            <w:noWrap/>
            <w:vAlign w:val="center"/>
            <w:hideMark/>
          </w:tcPr>
          <w:p w14:paraId="6F25D927" w14:textId="583E98BC"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11.338.381</w:t>
            </w:r>
          </w:p>
        </w:tc>
      </w:tr>
      <w:tr w:rsidR="00DF23FA" w:rsidRPr="00E20D21" w14:paraId="1EF6D417" w14:textId="77777777" w:rsidTr="00CC1C89">
        <w:trPr>
          <w:trHeight w:val="283"/>
        </w:trPr>
        <w:tc>
          <w:tcPr>
            <w:tcW w:w="2500" w:type="pct"/>
            <w:tcBorders>
              <w:top w:val="nil"/>
              <w:left w:val="nil"/>
              <w:bottom w:val="nil"/>
              <w:right w:val="nil"/>
            </w:tcBorders>
            <w:shd w:val="clear" w:color="auto" w:fill="auto"/>
            <w:noWrap/>
            <w:vAlign w:val="center"/>
            <w:hideMark/>
          </w:tcPr>
          <w:p w14:paraId="582C9BA3" w14:textId="77777777" w:rsidR="00DF23FA" w:rsidRPr="00E20D21" w:rsidRDefault="00DF23FA" w:rsidP="00DF23FA">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REG/REPLAN</w:t>
            </w:r>
          </w:p>
        </w:tc>
        <w:tc>
          <w:tcPr>
            <w:tcW w:w="625" w:type="pct"/>
            <w:tcBorders>
              <w:top w:val="nil"/>
              <w:left w:val="nil"/>
              <w:bottom w:val="nil"/>
              <w:right w:val="nil"/>
            </w:tcBorders>
            <w:shd w:val="clear" w:color="auto" w:fill="auto"/>
            <w:noWrap/>
            <w:vAlign w:val="center"/>
          </w:tcPr>
          <w:p w14:paraId="425B9E5F" w14:textId="717099FA" w:rsidR="00DF23FA" w:rsidRPr="00E20D21" w:rsidRDefault="00264DAE"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10.192.127</w:t>
            </w:r>
          </w:p>
        </w:tc>
        <w:tc>
          <w:tcPr>
            <w:tcW w:w="625" w:type="pct"/>
            <w:tcBorders>
              <w:top w:val="nil"/>
              <w:left w:val="nil"/>
              <w:bottom w:val="nil"/>
              <w:right w:val="nil"/>
            </w:tcBorders>
            <w:shd w:val="clear" w:color="auto" w:fill="auto"/>
            <w:noWrap/>
            <w:vAlign w:val="center"/>
            <w:hideMark/>
          </w:tcPr>
          <w:p w14:paraId="4FD77A67" w14:textId="32DF8FA8"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10.450.808</w:t>
            </w:r>
          </w:p>
        </w:tc>
        <w:tc>
          <w:tcPr>
            <w:tcW w:w="625" w:type="pct"/>
            <w:tcBorders>
              <w:top w:val="nil"/>
              <w:left w:val="nil"/>
              <w:bottom w:val="nil"/>
              <w:right w:val="nil"/>
            </w:tcBorders>
            <w:shd w:val="clear" w:color="auto" w:fill="auto"/>
            <w:vAlign w:val="center"/>
          </w:tcPr>
          <w:p w14:paraId="187F9DBB" w14:textId="13EF238C" w:rsidR="00DF23FA" w:rsidRPr="00E20D21" w:rsidRDefault="0075223C"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10.192.127</w:t>
            </w:r>
          </w:p>
        </w:tc>
        <w:tc>
          <w:tcPr>
            <w:tcW w:w="625" w:type="pct"/>
            <w:tcBorders>
              <w:top w:val="nil"/>
              <w:left w:val="nil"/>
              <w:bottom w:val="nil"/>
              <w:right w:val="nil"/>
            </w:tcBorders>
            <w:shd w:val="clear" w:color="auto" w:fill="auto"/>
            <w:vAlign w:val="center"/>
            <w:hideMark/>
          </w:tcPr>
          <w:p w14:paraId="72D2E061" w14:textId="76E73A22"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10.450.808</w:t>
            </w:r>
          </w:p>
        </w:tc>
      </w:tr>
      <w:tr w:rsidR="000A7E6B" w:rsidRPr="00E20D21" w14:paraId="0ED3FF2C" w14:textId="77777777" w:rsidTr="00CC1C89">
        <w:trPr>
          <w:trHeight w:val="283"/>
        </w:trPr>
        <w:tc>
          <w:tcPr>
            <w:tcW w:w="2500" w:type="pct"/>
            <w:tcBorders>
              <w:top w:val="nil"/>
              <w:left w:val="nil"/>
              <w:bottom w:val="nil"/>
              <w:right w:val="nil"/>
            </w:tcBorders>
            <w:shd w:val="clear" w:color="auto" w:fill="auto"/>
            <w:noWrap/>
            <w:vAlign w:val="center"/>
          </w:tcPr>
          <w:p w14:paraId="16ABD169" w14:textId="44D6D380" w:rsidR="000A7E6B" w:rsidRPr="00E20D21" w:rsidRDefault="000A7E6B" w:rsidP="00DF23FA">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Novo Plano</w:t>
            </w:r>
          </w:p>
        </w:tc>
        <w:tc>
          <w:tcPr>
            <w:tcW w:w="625" w:type="pct"/>
            <w:tcBorders>
              <w:top w:val="nil"/>
              <w:left w:val="nil"/>
              <w:bottom w:val="nil"/>
              <w:right w:val="nil"/>
            </w:tcBorders>
            <w:shd w:val="clear" w:color="auto" w:fill="auto"/>
            <w:noWrap/>
            <w:vAlign w:val="center"/>
          </w:tcPr>
          <w:p w14:paraId="588D751F" w14:textId="51F744AF" w:rsidR="000A7E6B" w:rsidRPr="00E20D21" w:rsidRDefault="00264DAE"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907.517</w:t>
            </w:r>
          </w:p>
        </w:tc>
        <w:tc>
          <w:tcPr>
            <w:tcW w:w="625" w:type="pct"/>
            <w:tcBorders>
              <w:top w:val="nil"/>
              <w:left w:val="nil"/>
              <w:bottom w:val="nil"/>
              <w:right w:val="nil"/>
            </w:tcBorders>
            <w:shd w:val="clear" w:color="auto" w:fill="auto"/>
            <w:noWrap/>
            <w:vAlign w:val="center"/>
          </w:tcPr>
          <w:p w14:paraId="45D30725" w14:textId="577D435E" w:rsidR="000A7E6B" w:rsidRPr="00E20D21" w:rsidRDefault="000A7E6B" w:rsidP="00DF23FA">
            <w:pPr>
              <w:jc w:val="right"/>
              <w:rPr>
                <w:rFonts w:ascii="CAIXA Std Book" w:hAnsi="CAIXA Std Book" w:cs="Arial"/>
                <w:color w:val="005CA9"/>
                <w:sz w:val="18"/>
                <w:szCs w:val="18"/>
              </w:rPr>
            </w:pPr>
            <w:r w:rsidRPr="00E20D21">
              <w:rPr>
                <w:rFonts w:ascii="CAIXA Std Book" w:hAnsi="CAIXA Std Book" w:cs="Arial"/>
                <w:color w:val="005CA9"/>
                <w:sz w:val="18"/>
                <w:szCs w:val="18"/>
              </w:rPr>
              <w:t>850.995</w:t>
            </w:r>
          </w:p>
        </w:tc>
        <w:tc>
          <w:tcPr>
            <w:tcW w:w="625" w:type="pct"/>
            <w:tcBorders>
              <w:top w:val="nil"/>
              <w:left w:val="nil"/>
              <w:bottom w:val="nil"/>
              <w:right w:val="nil"/>
            </w:tcBorders>
            <w:shd w:val="clear" w:color="auto" w:fill="auto"/>
            <w:vAlign w:val="center"/>
          </w:tcPr>
          <w:p w14:paraId="4BC5EAF6" w14:textId="4983A63B" w:rsidR="000A7E6B" w:rsidRPr="00E20D21" w:rsidRDefault="0075223C"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907.517</w:t>
            </w:r>
          </w:p>
        </w:tc>
        <w:tc>
          <w:tcPr>
            <w:tcW w:w="625" w:type="pct"/>
            <w:tcBorders>
              <w:top w:val="nil"/>
              <w:left w:val="nil"/>
              <w:bottom w:val="nil"/>
              <w:right w:val="nil"/>
            </w:tcBorders>
            <w:shd w:val="clear" w:color="auto" w:fill="auto"/>
            <w:vAlign w:val="center"/>
          </w:tcPr>
          <w:p w14:paraId="02D3B504" w14:textId="01FB4409" w:rsidR="000A7E6B" w:rsidRPr="00E20D21" w:rsidRDefault="00854C7F" w:rsidP="00DF23FA">
            <w:pPr>
              <w:jc w:val="right"/>
              <w:rPr>
                <w:rFonts w:ascii="CAIXA Std Book" w:hAnsi="CAIXA Std Book" w:cs="Arial"/>
                <w:color w:val="005CA9"/>
                <w:sz w:val="18"/>
                <w:szCs w:val="18"/>
              </w:rPr>
            </w:pPr>
            <w:r w:rsidRPr="00E20D21">
              <w:rPr>
                <w:rFonts w:ascii="CAIXA Std Book" w:hAnsi="CAIXA Std Book" w:cs="Arial"/>
                <w:color w:val="005CA9"/>
                <w:sz w:val="18"/>
                <w:szCs w:val="18"/>
              </w:rPr>
              <w:t>850.995</w:t>
            </w:r>
          </w:p>
        </w:tc>
      </w:tr>
      <w:tr w:rsidR="00DF23FA" w:rsidRPr="00E20D21" w14:paraId="349BDE7B" w14:textId="77777777" w:rsidTr="00405F17">
        <w:trPr>
          <w:trHeight w:val="283"/>
        </w:trPr>
        <w:tc>
          <w:tcPr>
            <w:tcW w:w="2500" w:type="pct"/>
            <w:tcBorders>
              <w:top w:val="nil"/>
              <w:left w:val="nil"/>
              <w:bottom w:val="single" w:sz="8" w:space="0" w:color="F79646"/>
              <w:right w:val="nil"/>
            </w:tcBorders>
            <w:shd w:val="clear" w:color="auto" w:fill="auto"/>
            <w:noWrap/>
            <w:vAlign w:val="center"/>
            <w:hideMark/>
          </w:tcPr>
          <w:p w14:paraId="7E332ABA" w14:textId="77777777" w:rsidR="00DF23FA" w:rsidRPr="00E20D21" w:rsidRDefault="00DF23FA" w:rsidP="00DF23FA">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REB</w:t>
            </w:r>
          </w:p>
        </w:tc>
        <w:tc>
          <w:tcPr>
            <w:tcW w:w="625" w:type="pct"/>
            <w:tcBorders>
              <w:top w:val="nil"/>
              <w:left w:val="nil"/>
              <w:bottom w:val="single" w:sz="8" w:space="0" w:color="F79646"/>
              <w:right w:val="nil"/>
            </w:tcBorders>
            <w:shd w:val="clear" w:color="auto" w:fill="auto"/>
            <w:noWrap/>
            <w:vAlign w:val="center"/>
          </w:tcPr>
          <w:p w14:paraId="0BFB2081" w14:textId="6AAC9157" w:rsidR="00DF23FA" w:rsidRPr="00E20D21" w:rsidRDefault="00264DAE" w:rsidP="00264DAE">
            <w:pPr>
              <w:jc w:val="center"/>
              <w:rPr>
                <w:rFonts w:ascii="CAIXA Std Book" w:eastAsia="Times New Roman" w:hAnsi="CAIXA Std Book" w:cs="Arial"/>
                <w:color w:val="005CA9"/>
                <w:sz w:val="18"/>
                <w:szCs w:val="18"/>
              </w:rPr>
            </w:pPr>
            <w:r w:rsidRPr="00E20D21">
              <w:rPr>
                <w:rFonts w:ascii="CAIXA Std Book" w:hAnsi="CAIXA Std Book" w:cs="Calibri"/>
                <w:color w:val="005CA9"/>
                <w:sz w:val="18"/>
                <w:szCs w:val="18"/>
              </w:rPr>
              <w:t>-</w:t>
            </w:r>
          </w:p>
        </w:tc>
        <w:tc>
          <w:tcPr>
            <w:tcW w:w="625" w:type="pct"/>
            <w:tcBorders>
              <w:top w:val="nil"/>
              <w:left w:val="nil"/>
              <w:bottom w:val="single" w:sz="8" w:space="0" w:color="F79646"/>
              <w:right w:val="nil"/>
            </w:tcBorders>
            <w:shd w:val="clear" w:color="auto" w:fill="auto"/>
            <w:noWrap/>
            <w:vAlign w:val="center"/>
            <w:hideMark/>
          </w:tcPr>
          <w:p w14:paraId="3C1A9CF3" w14:textId="4A6D23A9"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36.578</w:t>
            </w:r>
          </w:p>
        </w:tc>
        <w:tc>
          <w:tcPr>
            <w:tcW w:w="625" w:type="pct"/>
            <w:tcBorders>
              <w:top w:val="nil"/>
              <w:left w:val="nil"/>
              <w:bottom w:val="single" w:sz="8" w:space="0" w:color="F79646"/>
              <w:right w:val="nil"/>
            </w:tcBorders>
            <w:shd w:val="clear" w:color="auto" w:fill="auto"/>
            <w:vAlign w:val="center"/>
          </w:tcPr>
          <w:p w14:paraId="6403F6EF" w14:textId="6C4427F5" w:rsidR="00DF23FA" w:rsidRPr="00E20D21" w:rsidRDefault="0075223C" w:rsidP="0075223C">
            <w:pPr>
              <w:jc w:val="center"/>
              <w:rPr>
                <w:rFonts w:ascii="CAIXA Std Book" w:eastAsia="Times New Roman" w:hAnsi="CAIXA Std Book" w:cs="Arial"/>
                <w:color w:val="005CA9"/>
                <w:sz w:val="18"/>
                <w:szCs w:val="18"/>
              </w:rPr>
            </w:pPr>
            <w:r w:rsidRPr="00E20D21">
              <w:rPr>
                <w:rFonts w:ascii="CAIXA Std Book" w:hAnsi="CAIXA Std Book" w:cs="Calibri"/>
                <w:color w:val="005CA9"/>
                <w:sz w:val="18"/>
                <w:szCs w:val="18"/>
              </w:rPr>
              <w:t>-</w:t>
            </w:r>
          </w:p>
        </w:tc>
        <w:tc>
          <w:tcPr>
            <w:tcW w:w="625" w:type="pct"/>
            <w:tcBorders>
              <w:top w:val="nil"/>
              <w:left w:val="nil"/>
              <w:bottom w:val="single" w:sz="8" w:space="0" w:color="F79646"/>
              <w:right w:val="nil"/>
            </w:tcBorders>
            <w:shd w:val="clear" w:color="auto" w:fill="auto"/>
            <w:vAlign w:val="center"/>
            <w:hideMark/>
          </w:tcPr>
          <w:p w14:paraId="072514CE" w14:textId="783E9459"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36.578</w:t>
            </w:r>
          </w:p>
        </w:tc>
      </w:tr>
      <w:tr w:rsidR="00DF23FA" w:rsidRPr="00E20D21" w14:paraId="10763EC6" w14:textId="77777777" w:rsidTr="00405F17">
        <w:trPr>
          <w:trHeight w:val="283"/>
        </w:trPr>
        <w:tc>
          <w:tcPr>
            <w:tcW w:w="2500" w:type="pct"/>
            <w:tcBorders>
              <w:top w:val="single" w:sz="8" w:space="0" w:color="F79646"/>
              <w:left w:val="nil"/>
              <w:bottom w:val="single" w:sz="8" w:space="0" w:color="F79646"/>
              <w:right w:val="nil"/>
            </w:tcBorders>
            <w:shd w:val="clear" w:color="auto" w:fill="auto"/>
            <w:noWrap/>
            <w:vAlign w:val="center"/>
            <w:hideMark/>
          </w:tcPr>
          <w:p w14:paraId="2F881297" w14:textId="77777777" w:rsidR="00DF23FA" w:rsidRPr="00E20D21" w:rsidRDefault="00DF23FA" w:rsidP="00DF23FA">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625" w:type="pct"/>
            <w:tcBorders>
              <w:top w:val="single" w:sz="8" w:space="0" w:color="F79646"/>
              <w:left w:val="nil"/>
              <w:bottom w:val="single" w:sz="8" w:space="0" w:color="F79646"/>
              <w:right w:val="nil"/>
            </w:tcBorders>
            <w:shd w:val="clear" w:color="auto" w:fill="auto"/>
            <w:vAlign w:val="center"/>
          </w:tcPr>
          <w:p w14:paraId="123DE4C7" w14:textId="2599765E" w:rsidR="00DF23FA" w:rsidRPr="00E20D21" w:rsidRDefault="00264DAE"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30.927.271</w:t>
            </w:r>
          </w:p>
        </w:tc>
        <w:tc>
          <w:tcPr>
            <w:tcW w:w="625" w:type="pct"/>
            <w:tcBorders>
              <w:top w:val="single" w:sz="8" w:space="0" w:color="F79646"/>
              <w:left w:val="nil"/>
              <w:bottom w:val="single" w:sz="8" w:space="0" w:color="F79646"/>
              <w:right w:val="nil"/>
            </w:tcBorders>
            <w:shd w:val="clear" w:color="auto" w:fill="auto"/>
            <w:vAlign w:val="center"/>
            <w:hideMark/>
          </w:tcPr>
          <w:p w14:paraId="6B7E696D" w14:textId="4EACB875"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30.298.345</w:t>
            </w:r>
          </w:p>
        </w:tc>
        <w:tc>
          <w:tcPr>
            <w:tcW w:w="625" w:type="pct"/>
            <w:tcBorders>
              <w:top w:val="single" w:sz="8" w:space="0" w:color="F79646"/>
              <w:left w:val="nil"/>
              <w:bottom w:val="single" w:sz="8" w:space="0" w:color="F79646"/>
              <w:right w:val="nil"/>
            </w:tcBorders>
            <w:shd w:val="clear" w:color="auto" w:fill="auto"/>
            <w:vAlign w:val="center"/>
          </w:tcPr>
          <w:p w14:paraId="6B9F7135" w14:textId="43ADF5B3" w:rsidR="00DF23FA" w:rsidRPr="00E20D21" w:rsidRDefault="0075223C" w:rsidP="00DF23FA">
            <w:pPr>
              <w:jc w:val="right"/>
              <w:rPr>
                <w:rFonts w:ascii="CAIXA Std Book" w:eastAsia="Times New Roman" w:hAnsi="CAIXA Std Book" w:cs="Arial"/>
                <w:b/>
                <w:bCs/>
                <w:color w:val="005CA9"/>
                <w:sz w:val="18"/>
                <w:szCs w:val="18"/>
              </w:rPr>
            </w:pPr>
            <w:r w:rsidRPr="00E20D21">
              <w:rPr>
                <w:rFonts w:ascii="CAIXA Std Book" w:hAnsi="CAIXA Std Book" w:cs="Calibri"/>
                <w:b/>
                <w:bCs/>
                <w:color w:val="005CA9"/>
                <w:sz w:val="18"/>
                <w:szCs w:val="18"/>
              </w:rPr>
              <w:t>30.934.338</w:t>
            </w:r>
          </w:p>
        </w:tc>
        <w:tc>
          <w:tcPr>
            <w:tcW w:w="625" w:type="pct"/>
            <w:tcBorders>
              <w:top w:val="single" w:sz="8" w:space="0" w:color="F79646"/>
              <w:left w:val="nil"/>
              <w:bottom w:val="single" w:sz="8" w:space="0" w:color="F79646"/>
              <w:right w:val="nil"/>
            </w:tcBorders>
            <w:shd w:val="clear" w:color="auto" w:fill="auto"/>
            <w:vAlign w:val="center"/>
            <w:hideMark/>
          </w:tcPr>
          <w:p w14:paraId="5EC6ECC6" w14:textId="5F9096C8" w:rsidR="00DF23FA" w:rsidRPr="00E20D21" w:rsidRDefault="00DF23FA" w:rsidP="00DF23FA">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30.304.198</w:t>
            </w:r>
          </w:p>
        </w:tc>
      </w:tr>
      <w:tr w:rsidR="00DF23FA" w:rsidRPr="00E20D21" w14:paraId="48ED5E2D" w14:textId="77777777" w:rsidTr="008503E2">
        <w:trPr>
          <w:trHeight w:val="283"/>
        </w:trPr>
        <w:tc>
          <w:tcPr>
            <w:tcW w:w="2500" w:type="pct"/>
            <w:tcBorders>
              <w:top w:val="nil"/>
              <w:left w:val="nil"/>
              <w:right w:val="nil"/>
            </w:tcBorders>
            <w:shd w:val="clear" w:color="auto" w:fill="auto"/>
            <w:noWrap/>
            <w:vAlign w:val="center"/>
            <w:hideMark/>
          </w:tcPr>
          <w:p w14:paraId="2352F96A" w14:textId="77777777" w:rsidR="00DF23FA" w:rsidRPr="00E20D21" w:rsidRDefault="00DF23FA" w:rsidP="00DF23F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circulante</w:t>
            </w:r>
          </w:p>
        </w:tc>
        <w:tc>
          <w:tcPr>
            <w:tcW w:w="625" w:type="pct"/>
            <w:tcBorders>
              <w:top w:val="nil"/>
              <w:left w:val="nil"/>
              <w:right w:val="nil"/>
            </w:tcBorders>
            <w:shd w:val="clear" w:color="auto" w:fill="auto"/>
            <w:vAlign w:val="center"/>
          </w:tcPr>
          <w:p w14:paraId="413715EC" w14:textId="4DFD40FF" w:rsidR="00DF23FA" w:rsidRPr="00E20D21" w:rsidRDefault="00264DAE"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13.637.669</w:t>
            </w:r>
          </w:p>
        </w:tc>
        <w:tc>
          <w:tcPr>
            <w:tcW w:w="625" w:type="pct"/>
            <w:tcBorders>
              <w:top w:val="nil"/>
              <w:left w:val="nil"/>
              <w:right w:val="nil"/>
            </w:tcBorders>
            <w:shd w:val="clear" w:color="auto" w:fill="auto"/>
            <w:vAlign w:val="center"/>
            <w:hideMark/>
          </w:tcPr>
          <w:p w14:paraId="7950E455" w14:textId="0B6B9964"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12.333.101</w:t>
            </w:r>
          </w:p>
        </w:tc>
        <w:tc>
          <w:tcPr>
            <w:tcW w:w="625" w:type="pct"/>
            <w:tcBorders>
              <w:top w:val="nil"/>
              <w:left w:val="nil"/>
              <w:right w:val="nil"/>
            </w:tcBorders>
            <w:shd w:val="clear" w:color="auto" w:fill="auto"/>
            <w:vAlign w:val="center"/>
          </w:tcPr>
          <w:p w14:paraId="2F549CC5" w14:textId="396D859F" w:rsidR="00DF23FA" w:rsidRPr="00E20D21" w:rsidRDefault="0075223C"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13.644.736</w:t>
            </w:r>
          </w:p>
        </w:tc>
        <w:tc>
          <w:tcPr>
            <w:tcW w:w="625" w:type="pct"/>
            <w:tcBorders>
              <w:top w:val="nil"/>
              <w:left w:val="nil"/>
              <w:right w:val="nil"/>
            </w:tcBorders>
            <w:shd w:val="clear" w:color="auto" w:fill="auto"/>
            <w:vAlign w:val="center"/>
            <w:hideMark/>
          </w:tcPr>
          <w:p w14:paraId="5C0F1033" w14:textId="07BEB70F"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12.338.954</w:t>
            </w:r>
          </w:p>
        </w:tc>
      </w:tr>
      <w:tr w:rsidR="00DF23FA" w:rsidRPr="00E20D21" w14:paraId="19E2D9E9" w14:textId="77777777" w:rsidTr="008503E2">
        <w:trPr>
          <w:trHeight w:val="283"/>
        </w:trPr>
        <w:tc>
          <w:tcPr>
            <w:tcW w:w="2500" w:type="pct"/>
            <w:tcBorders>
              <w:top w:val="nil"/>
              <w:left w:val="nil"/>
              <w:bottom w:val="single" w:sz="4" w:space="0" w:color="F79646" w:themeColor="accent6"/>
              <w:right w:val="nil"/>
            </w:tcBorders>
            <w:shd w:val="clear" w:color="auto" w:fill="auto"/>
            <w:noWrap/>
            <w:vAlign w:val="center"/>
            <w:hideMark/>
          </w:tcPr>
          <w:p w14:paraId="5542C288" w14:textId="77777777" w:rsidR="00DF23FA" w:rsidRPr="00E20D21" w:rsidRDefault="00DF23FA" w:rsidP="00DF23FA">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não circulante</w:t>
            </w:r>
          </w:p>
        </w:tc>
        <w:tc>
          <w:tcPr>
            <w:tcW w:w="625" w:type="pct"/>
            <w:tcBorders>
              <w:top w:val="nil"/>
              <w:left w:val="nil"/>
              <w:bottom w:val="single" w:sz="4" w:space="0" w:color="F79646" w:themeColor="accent6"/>
              <w:right w:val="nil"/>
            </w:tcBorders>
            <w:shd w:val="clear" w:color="auto" w:fill="auto"/>
            <w:vAlign w:val="center"/>
          </w:tcPr>
          <w:p w14:paraId="7D2DC19B" w14:textId="06DDD614" w:rsidR="00DF23FA" w:rsidRPr="00E20D21" w:rsidRDefault="00264DAE"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17.289.602</w:t>
            </w:r>
          </w:p>
        </w:tc>
        <w:tc>
          <w:tcPr>
            <w:tcW w:w="625" w:type="pct"/>
            <w:tcBorders>
              <w:top w:val="nil"/>
              <w:left w:val="nil"/>
              <w:bottom w:val="single" w:sz="4" w:space="0" w:color="F79646" w:themeColor="accent6"/>
              <w:right w:val="nil"/>
            </w:tcBorders>
            <w:shd w:val="clear" w:color="auto" w:fill="auto"/>
            <w:vAlign w:val="center"/>
            <w:hideMark/>
          </w:tcPr>
          <w:p w14:paraId="5F694E38" w14:textId="1FAFB87C"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17.965.244</w:t>
            </w:r>
          </w:p>
        </w:tc>
        <w:tc>
          <w:tcPr>
            <w:tcW w:w="625" w:type="pct"/>
            <w:tcBorders>
              <w:top w:val="nil"/>
              <w:left w:val="nil"/>
              <w:bottom w:val="single" w:sz="4" w:space="0" w:color="F79646" w:themeColor="accent6"/>
              <w:right w:val="nil"/>
            </w:tcBorders>
            <w:shd w:val="clear" w:color="auto" w:fill="auto"/>
            <w:vAlign w:val="center"/>
          </w:tcPr>
          <w:p w14:paraId="65EA9E5F" w14:textId="15EE9025" w:rsidR="00DF23FA" w:rsidRPr="00E20D21" w:rsidRDefault="0075223C" w:rsidP="00DF23FA">
            <w:pPr>
              <w:jc w:val="right"/>
              <w:rPr>
                <w:rFonts w:ascii="CAIXA Std Book" w:eastAsia="Times New Roman" w:hAnsi="CAIXA Std Book" w:cs="Arial"/>
                <w:color w:val="005CA9"/>
                <w:sz w:val="18"/>
                <w:szCs w:val="18"/>
              </w:rPr>
            </w:pPr>
            <w:r w:rsidRPr="00E20D21">
              <w:rPr>
                <w:rFonts w:ascii="CAIXA Std Book" w:hAnsi="CAIXA Std Book" w:cs="Calibri"/>
                <w:color w:val="005CA9"/>
                <w:sz w:val="18"/>
                <w:szCs w:val="18"/>
              </w:rPr>
              <w:t>17.289.602</w:t>
            </w:r>
          </w:p>
        </w:tc>
        <w:tc>
          <w:tcPr>
            <w:tcW w:w="625" w:type="pct"/>
            <w:tcBorders>
              <w:top w:val="nil"/>
              <w:left w:val="nil"/>
              <w:bottom w:val="single" w:sz="4" w:space="0" w:color="F79646" w:themeColor="accent6"/>
              <w:right w:val="nil"/>
            </w:tcBorders>
            <w:shd w:val="clear" w:color="auto" w:fill="auto"/>
            <w:vAlign w:val="center"/>
            <w:hideMark/>
          </w:tcPr>
          <w:p w14:paraId="74CA8F28" w14:textId="14C1737C" w:rsidR="00DF23FA" w:rsidRPr="00E20D21" w:rsidRDefault="00DF23FA" w:rsidP="00DF23F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17.965.244</w:t>
            </w:r>
          </w:p>
        </w:tc>
      </w:tr>
    </w:tbl>
    <w:p w14:paraId="2ECE742C" w14:textId="77777777" w:rsidR="009609B9" w:rsidRPr="00E20D21" w:rsidRDefault="009609B9" w:rsidP="00F31C31">
      <w:pPr>
        <w:pStyle w:val="wordsection1"/>
        <w:numPr>
          <w:ilvl w:val="0"/>
          <w:numId w:val="35"/>
        </w:numPr>
        <w:spacing w:before="480" w:beforeAutospacing="0" w:after="240" w:afterAutospacing="0"/>
        <w:ind w:left="567" w:hanging="567"/>
        <w:rPr>
          <w:rFonts w:ascii="CAIXA Std Book" w:eastAsia="Times New Roman" w:hAnsi="CAIXA Std Book"/>
          <w:b/>
          <w:color w:val="005CA9"/>
          <w:sz w:val="20"/>
          <w:szCs w:val="20"/>
        </w:rPr>
      </w:pPr>
      <w:r w:rsidRPr="00E20D21">
        <w:rPr>
          <w:rFonts w:ascii="CAIXA Std Book" w:hAnsi="CAIXA Std Book"/>
          <w:b/>
          <w:color w:val="005CA9"/>
          <w:sz w:val="20"/>
          <w:szCs w:val="20"/>
        </w:rPr>
        <w:t>Gestão dos planos, estrutura organizacional e governança corporativa</w:t>
      </w:r>
    </w:p>
    <w:p w14:paraId="414B7C20" w14:textId="77777777" w:rsidR="009609B9" w:rsidRPr="00E20D21" w:rsidRDefault="009609B9" w:rsidP="009609B9">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Os planos de aposentadoria e pensão patrocinados pela CAIXA são administrados pela Fundação dos Economiários Federais – FUNCEF, entidade fechada de previdência complementar, sem fins lucrativos e com autonomia administrativa e financeira, criada com base na Lei nº 6.435/1977 (revogada pela Lei Complementar nº 109/2001).</w:t>
      </w:r>
    </w:p>
    <w:p w14:paraId="07E59DB0" w14:textId="77777777" w:rsidR="002A04C4" w:rsidRPr="00E20D21" w:rsidRDefault="002A04C4" w:rsidP="002A04C4">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fundação é regida pela legislação específica do setor (</w:t>
      </w:r>
      <w:hyperlink r:id="rId68" w:history="1">
        <w:r w:rsidRPr="00E20D21">
          <w:rPr>
            <w:rStyle w:val="Hyperlink"/>
            <w:rFonts w:ascii="CAIXA Std Book" w:hAnsi="CAIXA Std Book"/>
            <w:color w:val="005CA9"/>
            <w:sz w:val="20"/>
            <w:szCs w:val="20"/>
          </w:rPr>
          <w:t>http://www.previdencia.gov.br/a-previdencia/previc/legislacao-da-previdencia-complementar/</w:t>
        </w:r>
      </w:hyperlink>
      <w:r w:rsidRPr="00E20D21">
        <w:rPr>
          <w:rFonts w:ascii="CAIXA Std Book" w:hAnsi="CAIXA Std Book"/>
          <w:color w:val="005CA9"/>
          <w:sz w:val="20"/>
          <w:szCs w:val="20"/>
        </w:rPr>
        <w:t>), por seu Estatuto, pelos regulamentos dos Planos de Benefícios e por atos de gestão, a exemplo do Código de Conduta Corporativa e do Código de Melhores Práticas de Governança Corporativa (</w:t>
      </w:r>
      <w:hyperlink r:id="rId69" w:history="1">
        <w:r w:rsidRPr="00E20D21">
          <w:rPr>
            <w:rStyle w:val="Hyperlink"/>
            <w:rFonts w:ascii="CAIXA Std Book" w:hAnsi="CAIXA Std Book"/>
            <w:color w:val="005CA9"/>
            <w:sz w:val="20"/>
            <w:szCs w:val="20"/>
          </w:rPr>
          <w:t>www.funcef.com.br</w:t>
        </w:r>
      </w:hyperlink>
      <w:r w:rsidRPr="00E20D21">
        <w:rPr>
          <w:rFonts w:ascii="CAIXA Std Book" w:hAnsi="CAIXA Std Book"/>
          <w:color w:val="005CA9"/>
          <w:sz w:val="20"/>
          <w:szCs w:val="20"/>
        </w:rPr>
        <w:t>).</w:t>
      </w:r>
    </w:p>
    <w:p w14:paraId="0EDF160C" w14:textId="2B7B1E80" w:rsidR="009609B9" w:rsidRPr="00E20D21" w:rsidRDefault="009609B9" w:rsidP="009609B9">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FUNCEF apresenta</w:t>
      </w:r>
      <w:r w:rsidR="00693DDE" w:rsidRPr="00E20D21">
        <w:rPr>
          <w:rFonts w:ascii="CAIXA Std Book" w:hAnsi="CAIXA Std Book"/>
          <w:color w:val="005CA9"/>
          <w:sz w:val="20"/>
          <w:szCs w:val="20"/>
        </w:rPr>
        <w:t>,</w:t>
      </w:r>
      <w:r w:rsidRPr="00E20D21">
        <w:rPr>
          <w:rFonts w:ascii="CAIXA Std Book" w:hAnsi="CAIXA Std Book"/>
          <w:color w:val="005CA9"/>
          <w:sz w:val="20"/>
          <w:szCs w:val="20"/>
        </w:rPr>
        <w:t xml:space="preserve"> na sua estrutura organizacional</w:t>
      </w:r>
      <w:r w:rsidR="00693DDE" w:rsidRPr="00E20D21">
        <w:rPr>
          <w:rFonts w:ascii="CAIXA Std Book" w:hAnsi="CAIXA Std Book"/>
          <w:color w:val="005CA9"/>
          <w:sz w:val="20"/>
          <w:szCs w:val="20"/>
        </w:rPr>
        <w:t>,</w:t>
      </w:r>
      <w:r w:rsidRPr="00E20D21">
        <w:rPr>
          <w:rFonts w:ascii="CAIXA Std Book" w:hAnsi="CAIXA Std Book"/>
          <w:color w:val="005CA9"/>
          <w:sz w:val="20"/>
          <w:szCs w:val="20"/>
        </w:rPr>
        <w:t xml:space="preserve"> Conselho Deliberativo, Diretoria Executiva e Conselho Fiscal, em conformidade com a Lei Complementar nº 108/2001, sendo os dois primeiros órgãos de administração e o último</w:t>
      </w:r>
      <w:r w:rsidR="00C7110C" w:rsidRPr="00E20D21">
        <w:rPr>
          <w:rFonts w:ascii="CAIXA Std Book" w:hAnsi="CAIXA Std Book"/>
          <w:color w:val="005CA9"/>
          <w:sz w:val="20"/>
          <w:szCs w:val="20"/>
        </w:rPr>
        <w:t>,</w:t>
      </w:r>
      <w:r w:rsidRPr="00E20D21">
        <w:rPr>
          <w:rFonts w:ascii="CAIXA Std Book" w:hAnsi="CAIXA Std Book"/>
          <w:color w:val="005CA9"/>
          <w:sz w:val="20"/>
          <w:szCs w:val="20"/>
        </w:rPr>
        <w:t xml:space="preserve"> de controle interno.</w:t>
      </w:r>
    </w:p>
    <w:p w14:paraId="1F5D8B2D" w14:textId="77777777" w:rsidR="009609B9" w:rsidRPr="00E20D21" w:rsidRDefault="009609B9" w:rsidP="009609B9">
      <w:pPr>
        <w:jc w:val="both"/>
        <w:rPr>
          <w:rFonts w:ascii="CAIXA Std Book" w:hAnsi="CAIXA Std Book" w:cs="Arial Unicode MS"/>
          <w:color w:val="005CA9"/>
          <w:sz w:val="20"/>
          <w:szCs w:val="20"/>
        </w:rPr>
      </w:pPr>
      <w:r w:rsidRPr="00E20D21">
        <w:rPr>
          <w:rFonts w:ascii="CAIXA Std Book" w:hAnsi="CAIXA Std Book"/>
          <w:color w:val="005CA9"/>
          <w:sz w:val="20"/>
          <w:szCs w:val="20"/>
        </w:rPr>
        <w:t>O Conselho Deliberativo é o órgão máximo da estrutura organizacional da FUNCEF. Tem como função principal deliberar sobre o Plano de Custeio da Fundação, sobre as alterações no Estatuto nos planos de benefícios. Também avalia os balancetes trimestrais, o balanço anual e a prestação de contas da empresa, analisando e aprovando seus conteúdos e pareceres. Formado por seis membros - três indicados pela Patrocinadora e três pelos participantes.</w:t>
      </w:r>
    </w:p>
    <w:p w14:paraId="62B0F564" w14:textId="77777777" w:rsidR="009609B9" w:rsidRPr="00E20D21" w:rsidRDefault="009609B9" w:rsidP="009609B9">
      <w:pPr>
        <w:pStyle w:val="wordsection1"/>
        <w:autoSpaceDE w:val="0"/>
        <w:autoSpaceDN w:val="0"/>
        <w:adjustRightInd w:val="0"/>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O Conselho Fiscal é responsável pelo exame de contas, livros e registros. Emite pareceres sobre balanços, contas, atos econômico-financeiros e demonstrativos. Examina o cumprimento, por parte da administração, de seus deveres legais e estatutários. É composto por quatro membros.</w:t>
      </w:r>
    </w:p>
    <w:p w14:paraId="39C2F870" w14:textId="77777777" w:rsidR="009609B9" w:rsidRPr="00E20D21" w:rsidRDefault="009609B9" w:rsidP="009609B9">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Diretoria Executiva tem como missão executar os atos provenientes do Conselho Deliberativo e de seu Regimento Interno; autorizar serviços e decidir sobre bens; aprovar balancetes, prestar contas; decidir planos e critérios necessários à administração; deliberar acordos que envolvam responsabilidade econômico-financeira e aprovar convênios destinados aos associados.</w:t>
      </w:r>
    </w:p>
    <w:p w14:paraId="07C1A4E0" w14:textId="77777777" w:rsidR="009609B9" w:rsidRPr="00E20D21" w:rsidRDefault="009609B9" w:rsidP="009609B9">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Os três órgãos possuem regimento interno e têm suas obrigações, competências, composição e critérios relacionados aos mandatos definidos no Estatuto da FUNCEF.</w:t>
      </w:r>
    </w:p>
    <w:p w14:paraId="3BAB4431" w14:textId="77777777" w:rsidR="00DF23FA" w:rsidRPr="00E20D21" w:rsidRDefault="00DF23FA">
      <w:pPr>
        <w:rPr>
          <w:rFonts w:ascii="CAIXA Std Book" w:eastAsiaTheme="minorHAnsi" w:hAnsi="CAIXA Std Book"/>
          <w:color w:val="005CA9"/>
          <w:sz w:val="20"/>
          <w:szCs w:val="20"/>
        </w:rPr>
      </w:pPr>
      <w:r w:rsidRPr="00E20D21">
        <w:rPr>
          <w:rFonts w:ascii="CAIXA Std Book" w:hAnsi="CAIXA Std Book"/>
          <w:color w:val="005CA9"/>
          <w:sz w:val="20"/>
          <w:szCs w:val="20"/>
        </w:rPr>
        <w:br w:type="page"/>
      </w:r>
    </w:p>
    <w:p w14:paraId="2ADEE417" w14:textId="316CF2CC" w:rsidR="009609B9" w:rsidRPr="00E20D21" w:rsidRDefault="009609B9" w:rsidP="009609B9">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lastRenderedPageBreak/>
        <w:t>No Estatuto</w:t>
      </w:r>
      <w:r w:rsidR="00E115A9" w:rsidRPr="00E20D21">
        <w:rPr>
          <w:rFonts w:ascii="CAIXA Std Book" w:hAnsi="CAIXA Std Book"/>
          <w:color w:val="005CA9"/>
          <w:sz w:val="20"/>
          <w:szCs w:val="20"/>
        </w:rPr>
        <w:t>,</w:t>
      </w:r>
      <w:r w:rsidRPr="00E20D21">
        <w:rPr>
          <w:rFonts w:ascii="CAIXA Std Book" w:hAnsi="CAIXA Std Book"/>
          <w:color w:val="005CA9"/>
          <w:sz w:val="20"/>
          <w:szCs w:val="20"/>
        </w:rPr>
        <w:t xml:space="preserve"> também estão previstos Comitês de Assessoramento Técnico, vinculados ao Conselho Deliberativo, e com seus regimentos internos aprovados por este órgão. Com o objetivo de subsidiar os trabalhos dos três órgãos estatutários, os Comitês de Investimentos, de Benefícios, de Ética e de Qualidade das Informações Contábeis e de Auditoria são compostos por integrantes indicados pelo Conselho Deliberativo, pela Patrocinadora CAIXA e pela Diretoria Executiva.</w:t>
      </w:r>
    </w:p>
    <w:p w14:paraId="43E12178" w14:textId="419EB69E"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Quanto aos planos de saúde complementar (Saúde CAIXA), auxílio/cesta-alimentação e Assistidos PREVHAB, são diretamente administrados pela CAIXA.</w:t>
      </w:r>
    </w:p>
    <w:p w14:paraId="2ECDCDA4" w14:textId="77777777" w:rsidR="009609B9" w:rsidRPr="00E20D21" w:rsidRDefault="009609B9" w:rsidP="00F31C31">
      <w:pPr>
        <w:pStyle w:val="wordsection1"/>
        <w:numPr>
          <w:ilvl w:val="0"/>
          <w:numId w:val="35"/>
        </w:numPr>
        <w:spacing w:before="480" w:beforeAutospacing="0" w:after="240" w:afterAutospacing="0"/>
        <w:ind w:left="567" w:hanging="567"/>
        <w:rPr>
          <w:rFonts w:ascii="CAIXA Std Book" w:eastAsia="Times New Roman" w:hAnsi="CAIXA Std Book"/>
          <w:b/>
          <w:color w:val="005CA9"/>
          <w:sz w:val="20"/>
          <w:szCs w:val="20"/>
        </w:rPr>
      </w:pPr>
      <w:r w:rsidRPr="00E20D21">
        <w:rPr>
          <w:rFonts w:ascii="CAIXA Std Book" w:hAnsi="CAIXA Std Book"/>
          <w:b/>
          <w:color w:val="005CA9"/>
          <w:sz w:val="20"/>
          <w:szCs w:val="20"/>
        </w:rPr>
        <w:t>Risco atuarial</w:t>
      </w:r>
    </w:p>
    <w:p w14:paraId="2856C646"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 risco atuarial é caracterizado pela variação ou não aderência das </w:t>
      </w:r>
      <w:proofErr w:type="gramStart"/>
      <w:r w:rsidRPr="00E20D21">
        <w:rPr>
          <w:rFonts w:ascii="CAIXA Std Book" w:hAnsi="CAIXA Std Book"/>
          <w:color w:val="005CA9"/>
          <w:sz w:val="20"/>
          <w:szCs w:val="20"/>
        </w:rPr>
        <w:t>premissas e/ou parâmetros adotadas</w:t>
      </w:r>
      <w:proofErr w:type="gramEnd"/>
      <w:r w:rsidRPr="00E20D21">
        <w:rPr>
          <w:rFonts w:ascii="CAIXA Std Book" w:hAnsi="CAIXA Std Book"/>
          <w:color w:val="005CA9"/>
          <w:sz w:val="20"/>
          <w:szCs w:val="20"/>
        </w:rPr>
        <w:t xml:space="preserve"> no momento do cálculo atuarial. Decorre, especialmente, da inadequação de hipóteses e premissas atuariais estabelecidas em cenário base, no momento do custeio dos planos, que podem trazer volatilidade aos resultados esperados.</w:t>
      </w:r>
    </w:p>
    <w:p w14:paraId="24014007"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A exposição da CAIXA ao risco atuarial é evidenciada pela condição de patrocinadora e mantenedora de benefícios pós-emprego oferecidos a seus empregados, compromissando parte do custeio desses benefícios à instituição. </w:t>
      </w:r>
    </w:p>
    <w:p w14:paraId="5EFA91A5" w14:textId="48952784" w:rsidR="009609B9" w:rsidRPr="00E20D21" w:rsidRDefault="009609B9" w:rsidP="009609B9">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 xml:space="preserve">O risco atuarial é considerado um risco relevante tendo em vista sua responsabilidade de longo prazo relacionada aos benefícios vitalícios, além da provisão em balanço, apurada conforme orientações do Comitê de Pronunciamentos Contábeis – CPC 33(R1) e </w:t>
      </w:r>
      <w:r w:rsidR="00693512" w:rsidRPr="00E20D21">
        <w:rPr>
          <w:rFonts w:ascii="CAIXA Std Book" w:hAnsi="CAIXA Std Book"/>
          <w:color w:val="005CA9"/>
          <w:sz w:val="20"/>
          <w:szCs w:val="20"/>
        </w:rPr>
        <w:t>Resolução</w:t>
      </w:r>
      <w:r w:rsidRPr="00E20D21">
        <w:rPr>
          <w:rFonts w:ascii="CAIXA Std Book" w:hAnsi="CAIXA Std Book"/>
          <w:color w:val="005CA9"/>
          <w:sz w:val="20"/>
          <w:szCs w:val="20"/>
        </w:rPr>
        <w:t xml:space="preserve"> CVM nº </w:t>
      </w:r>
      <w:r w:rsidR="00755C65" w:rsidRPr="00E20D21">
        <w:rPr>
          <w:rFonts w:ascii="CAIXA Std Book" w:hAnsi="CAIXA Std Book"/>
          <w:color w:val="005CA9"/>
          <w:sz w:val="20"/>
          <w:szCs w:val="20"/>
        </w:rPr>
        <w:t>110/2022</w:t>
      </w:r>
      <w:r w:rsidRPr="00E20D21">
        <w:rPr>
          <w:rFonts w:ascii="CAIXA Std Book" w:hAnsi="CAIXA Std Book"/>
          <w:color w:val="005CA9"/>
          <w:sz w:val="20"/>
          <w:szCs w:val="20"/>
        </w:rPr>
        <w:t>.</w:t>
      </w:r>
    </w:p>
    <w:p w14:paraId="75528FC0" w14:textId="4800BA5E" w:rsidR="009609B9" w:rsidRPr="00E20D21" w:rsidRDefault="009609B9" w:rsidP="00F32DC0">
      <w:pPr>
        <w:pStyle w:val="wordsection1"/>
        <w:numPr>
          <w:ilvl w:val="0"/>
          <w:numId w:val="35"/>
        </w:numPr>
        <w:spacing w:before="480" w:beforeAutospacing="0" w:after="240" w:afterAutospacing="0"/>
        <w:ind w:left="567" w:hanging="567"/>
        <w:rPr>
          <w:rFonts w:ascii="CAIXA Std Book" w:hAnsi="CAIXA Std Book"/>
          <w:b/>
          <w:color w:val="005CA9"/>
          <w:sz w:val="20"/>
          <w:szCs w:val="20"/>
        </w:rPr>
      </w:pPr>
      <w:r w:rsidRPr="00E20D21">
        <w:rPr>
          <w:rFonts w:ascii="CAIXA Std Book" w:hAnsi="CAIXA Std Book"/>
          <w:b/>
          <w:color w:val="005CA9"/>
          <w:sz w:val="20"/>
          <w:szCs w:val="20"/>
        </w:rPr>
        <w:t>Estratégia de confrontação de ativos/ passivos</w:t>
      </w:r>
    </w:p>
    <w:p w14:paraId="7B61BB59"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Somente os planos de previdência geridos pela FUNCEF (REG/REPLAN, REB e Novo Plano), possuem ativos financeiros para cobertura dos riscos atuariais.</w:t>
      </w:r>
    </w:p>
    <w:p w14:paraId="6F5D363F" w14:textId="35458289"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Conforme estabelece a Resolução CMN nº </w:t>
      </w:r>
      <w:r w:rsidR="00795485" w:rsidRPr="00E20D21">
        <w:rPr>
          <w:rFonts w:ascii="CAIXA Std Book" w:hAnsi="CAIXA Std Book"/>
          <w:color w:val="005CA9"/>
          <w:sz w:val="20"/>
          <w:szCs w:val="20"/>
        </w:rPr>
        <w:t>4.661/2018</w:t>
      </w:r>
      <w:r w:rsidRPr="00E20D21">
        <w:rPr>
          <w:rFonts w:ascii="CAIXA Std Book" w:hAnsi="CAIXA Std Book"/>
          <w:color w:val="005CA9"/>
          <w:sz w:val="20"/>
          <w:szCs w:val="20"/>
        </w:rPr>
        <w:t xml:space="preserve">, para a determinação da meta de alocação dos recursos garantidores dos planos de benefícios por segmento de investimento, a FUNCEF utiliza modelo próprio de gestão integrada de ativos e passivos, do inglês </w:t>
      </w:r>
      <w:proofErr w:type="spellStart"/>
      <w:r w:rsidRPr="00E20D21">
        <w:rPr>
          <w:rFonts w:ascii="CAIXA Std Book" w:hAnsi="CAIXA Std Book"/>
          <w:i/>
          <w:color w:val="005CA9"/>
          <w:sz w:val="20"/>
          <w:szCs w:val="20"/>
        </w:rPr>
        <w:t>Asset</w:t>
      </w:r>
      <w:proofErr w:type="spellEnd"/>
      <w:r w:rsidRPr="00E20D21">
        <w:rPr>
          <w:rFonts w:ascii="CAIXA Std Book" w:hAnsi="CAIXA Std Book"/>
          <w:i/>
          <w:color w:val="005CA9"/>
          <w:sz w:val="20"/>
          <w:szCs w:val="20"/>
        </w:rPr>
        <w:t xml:space="preserve"> </w:t>
      </w:r>
      <w:proofErr w:type="spellStart"/>
      <w:r w:rsidRPr="00E20D21">
        <w:rPr>
          <w:rFonts w:ascii="CAIXA Std Book" w:hAnsi="CAIXA Std Book"/>
          <w:i/>
          <w:color w:val="005CA9"/>
          <w:sz w:val="20"/>
          <w:szCs w:val="20"/>
        </w:rPr>
        <w:t>Liability</w:t>
      </w:r>
      <w:proofErr w:type="spellEnd"/>
      <w:r w:rsidRPr="00E20D21">
        <w:rPr>
          <w:rFonts w:ascii="CAIXA Std Book" w:hAnsi="CAIXA Std Book"/>
          <w:i/>
          <w:color w:val="005CA9"/>
          <w:sz w:val="20"/>
          <w:szCs w:val="20"/>
        </w:rPr>
        <w:t xml:space="preserve"> Management</w:t>
      </w:r>
      <w:r w:rsidRPr="00E20D21">
        <w:rPr>
          <w:rFonts w:ascii="CAIXA Std Book" w:hAnsi="CAIXA Std Book"/>
          <w:color w:val="005CA9"/>
          <w:sz w:val="20"/>
          <w:szCs w:val="20"/>
        </w:rPr>
        <w:t xml:space="preserve"> (ALM), que utiliza cenários estocásticos para evolução de ativos e passivos, considerando desde cenários pessimistas até cenários otimistas construídos a partir dos cenários aprovados pela Diretoria Executiva com amplo debate em comitês de assessoramento técnico e de investimentos – que conta com representantes de entidades representativas dos participantes, patrocinadora e FUNCEF. Esse modelo busca minimizar o risco dos planos de benefícios com rentabilidade esperada para cinco anos superando a meta atuarial acumulada mais de 1% a.a., considerando as características individuais dos planos, tais como pagamentos de benefícios, recebimentos de contribuições, capital comprometido, fluxo de recebimento de ativos e liquidez necessária.</w:t>
      </w:r>
    </w:p>
    <w:p w14:paraId="65F704E6" w14:textId="77777777" w:rsidR="009609B9" w:rsidRPr="00E20D21" w:rsidRDefault="009609B9" w:rsidP="009609B9">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Com relação a gestão do passivo atuarial, e o gerenciamento de risco a ele associado para fins de projeções futuras destinadas ao ALM, é utilizada metodologia estocástica, em que são geradas diversas simulações do passivo atuarial com variações simultâneas em todas as premissas previamente estabelecidas, utilizando-se o sistema SAS. Os fluxos estocásticos consideram variações sobre as principais hipóteses atuariais, quais sejam:</w:t>
      </w:r>
    </w:p>
    <w:p w14:paraId="5083C8B1" w14:textId="77777777" w:rsidR="009609B9" w:rsidRPr="00E20D21" w:rsidRDefault="009609B9" w:rsidP="009609B9">
      <w:pPr>
        <w:pStyle w:val="wordsection1"/>
        <w:spacing w:before="120" w:beforeAutospacing="0" w:after="120" w:afterAutospacing="0"/>
        <w:ind w:left="284" w:hanging="284"/>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w:t>
      </w:r>
      <w:r w:rsidRPr="00E20D21">
        <w:rPr>
          <w:rFonts w:ascii="CAIXA Std Book" w:hAnsi="CAIXA Std Book"/>
          <w:color w:val="005CA9"/>
          <w:sz w:val="20"/>
          <w:szCs w:val="20"/>
        </w:rPr>
        <w:tab/>
        <w:t>Variáveis econômicas de taxa real de juros e de crescimento real dos salários de participação;</w:t>
      </w:r>
    </w:p>
    <w:p w14:paraId="6AB6FFAC" w14:textId="2FEA9345" w:rsidR="00E22257" w:rsidRPr="00E20D21" w:rsidRDefault="009609B9" w:rsidP="009609B9">
      <w:pPr>
        <w:pStyle w:val="wordsection1"/>
        <w:spacing w:before="120" w:beforeAutospacing="0" w:after="120" w:afterAutospacing="0"/>
        <w:ind w:left="284" w:hanging="284"/>
        <w:jc w:val="both"/>
        <w:rPr>
          <w:rFonts w:ascii="CAIXA Std Book" w:hAnsi="CAIXA Std Book"/>
          <w:color w:val="005CA9"/>
          <w:sz w:val="20"/>
          <w:szCs w:val="20"/>
        </w:rPr>
      </w:pPr>
      <w:r w:rsidRPr="00E20D21">
        <w:rPr>
          <w:rFonts w:ascii="CAIXA Std Book" w:hAnsi="CAIXA Std Book"/>
          <w:color w:val="005CA9"/>
          <w:sz w:val="20"/>
          <w:szCs w:val="20"/>
        </w:rPr>
        <w:t>-</w:t>
      </w:r>
      <w:r w:rsidRPr="00E20D21">
        <w:rPr>
          <w:rFonts w:ascii="CAIXA Std Book" w:hAnsi="CAIXA Std Book"/>
          <w:color w:val="005CA9"/>
          <w:sz w:val="20"/>
          <w:szCs w:val="20"/>
        </w:rPr>
        <w:tab/>
        <w:t>Variáveis biométricas e demográficas de sobrevivência ou morte do participante válido (ativo ou assistido), sobrevivência ou morte do participante inválido, sobrevivência ou morte do cônjuge, permanência do participante como válido ou entrada deste em invalidez, e rotatividade do participante.</w:t>
      </w:r>
    </w:p>
    <w:p w14:paraId="097B4D5E" w14:textId="5C354B4D" w:rsidR="009609B9" w:rsidRPr="00E20D21" w:rsidRDefault="009609B9" w:rsidP="00F31C31">
      <w:pPr>
        <w:pStyle w:val="wordsection1"/>
        <w:numPr>
          <w:ilvl w:val="0"/>
          <w:numId w:val="35"/>
        </w:numPr>
        <w:spacing w:before="48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lastRenderedPageBreak/>
        <w:t>Planos de benefícios – detalhamento</w:t>
      </w:r>
    </w:p>
    <w:p w14:paraId="5A53C77E" w14:textId="7E06A8FC" w:rsidR="009609B9" w:rsidRPr="00E20D21" w:rsidRDefault="009609B9" w:rsidP="009609B9">
      <w:pPr>
        <w:pStyle w:val="wordsection1"/>
        <w:spacing w:before="48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t>(g.1)</w:t>
      </w:r>
      <w:r w:rsidRPr="00E20D21">
        <w:rPr>
          <w:rFonts w:ascii="CAIXA Std Book" w:hAnsi="CAIXA Std Book"/>
          <w:b/>
          <w:color w:val="005CA9"/>
          <w:sz w:val="20"/>
          <w:szCs w:val="20"/>
        </w:rPr>
        <w:tab/>
        <w:t>Plano de Saúde – Saúde CAIXA e PAMS</w:t>
      </w:r>
    </w:p>
    <w:p w14:paraId="5B191D64"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Saúde CAIXA é o programa de assistência à saúde instituído pela CAIXA, sob a modalidade de autogestão. Tem por finalidade o atendimento médico, hospitalar, laboratorial, radiológico, odontológico, psicológico, fisioterápico, terapêutico ocupacional, serviço social, fonoaudiológico e nutricional aos titulares e seus respectivos dependentes. São titulares deste plano, os empregados da CAIXA e os aposentados vinculados a FUNCEF, PREVHAB, SASSE, Fundo PMPP ou INSS.</w:t>
      </w:r>
    </w:p>
    <w:p w14:paraId="6D895F64"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PAMS é um benefício concedido pela CAIXA aos titulares e respectivos dependentes que se encontram sob liminar judicial pendentes de julgamento e ações judiciais. Foi instituído pela CAIXA e é por ela administrado, sob a modalidade de autogestão, oferecendo cobertura médica, hospitalar, odontológica e psicológica, com atendimento por uma rede de credenciados, em âmbito nacional, obedecendo as normas e a Tabela do PAMS.</w:t>
      </w:r>
    </w:p>
    <w:p w14:paraId="4A1D65E8" w14:textId="6A2EE45D" w:rsidR="009609B9" w:rsidRPr="00E20D21" w:rsidRDefault="009609B9" w:rsidP="00BE2215">
      <w:pPr>
        <w:pStyle w:val="wordsection1"/>
        <w:spacing w:before="24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t>(g.2)</w:t>
      </w:r>
      <w:r w:rsidRPr="00E20D21">
        <w:rPr>
          <w:rFonts w:ascii="CAIXA Std Book" w:hAnsi="CAIXA Std Book"/>
          <w:b/>
          <w:color w:val="005CA9"/>
          <w:sz w:val="20"/>
          <w:szCs w:val="20"/>
        </w:rPr>
        <w:tab/>
        <w:t>Auxílio e Cesta-alimentação</w:t>
      </w:r>
    </w:p>
    <w:p w14:paraId="64DB4261"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oferece aos empregados e dirigentes o Auxílio e cesta-alimentação na forma da legislação vigente e do Acordo Coletivo de Trabalho. Os resultados atuarias apresentados, relativos ao Auxílio e cesta-alimentação, referem-se somente aos benefícios concedidos aos participantes assistidos que possuem direito na data da avaliação.</w:t>
      </w:r>
    </w:p>
    <w:p w14:paraId="4A8E7FEB" w14:textId="77777777" w:rsidR="009609B9" w:rsidRPr="00E20D21" w:rsidRDefault="009609B9" w:rsidP="009609B9">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 xml:space="preserve">O Auxílio e cesta-alimentação são benefícios pagos exclusivamente aos aposentados e pensionistas mediante determinação judicial, acordo judicial ou extrajudicial. </w:t>
      </w:r>
    </w:p>
    <w:p w14:paraId="57CE3DCD" w14:textId="23C2DCB6"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Os valores mensais do Auxílio e cesta-alimentação são definidos em setembro de cada ano. </w:t>
      </w:r>
      <w:r w:rsidR="002A04C4" w:rsidRPr="00E20D21">
        <w:rPr>
          <w:rFonts w:ascii="CAIXA Std Book" w:hAnsi="CAIXA Std Book"/>
          <w:color w:val="005CA9"/>
          <w:sz w:val="20"/>
          <w:szCs w:val="20"/>
        </w:rPr>
        <w:t>Para o período de 1º de setembro de 2023</w:t>
      </w:r>
      <w:r w:rsidRPr="00E20D21">
        <w:rPr>
          <w:rFonts w:ascii="CAIXA Std Book" w:hAnsi="CAIXA Std Book"/>
          <w:color w:val="005CA9"/>
          <w:sz w:val="20"/>
          <w:szCs w:val="20"/>
        </w:rPr>
        <w:t xml:space="preserve"> a 31 de agosto de </w:t>
      </w:r>
      <w:r w:rsidR="002A04C4" w:rsidRPr="00E20D21">
        <w:rPr>
          <w:rFonts w:ascii="CAIXA Std Book" w:hAnsi="CAIXA Std Book"/>
          <w:color w:val="005CA9"/>
          <w:sz w:val="20"/>
          <w:szCs w:val="20"/>
        </w:rPr>
        <w:t>2024</w:t>
      </w:r>
      <w:r w:rsidRPr="00E20D21">
        <w:rPr>
          <w:rFonts w:ascii="CAIXA Std Book" w:hAnsi="CAIXA Std Book"/>
          <w:color w:val="005CA9"/>
          <w:sz w:val="20"/>
          <w:szCs w:val="20"/>
        </w:rPr>
        <w:t xml:space="preserve"> o valor do auxílio-refeição/alimentação é de R$ </w:t>
      </w:r>
      <w:r w:rsidR="00192450" w:rsidRPr="00E20D21">
        <w:rPr>
          <w:rFonts w:ascii="CAIXA Std Book" w:hAnsi="CAIXA Std Book"/>
          <w:color w:val="005CA9"/>
          <w:sz w:val="20"/>
          <w:szCs w:val="20"/>
        </w:rPr>
        <w:t>1.</w:t>
      </w:r>
      <w:r w:rsidR="002A04C4" w:rsidRPr="00E20D21">
        <w:rPr>
          <w:rFonts w:ascii="CAIXA Std Book" w:hAnsi="CAIXA Std Book"/>
          <w:color w:val="005CA9"/>
          <w:sz w:val="20"/>
          <w:szCs w:val="20"/>
        </w:rPr>
        <w:t>060,84</w:t>
      </w:r>
      <w:r w:rsidRPr="00E20D21">
        <w:rPr>
          <w:rFonts w:ascii="CAIXA Std Book" w:hAnsi="CAIXA Std Book"/>
          <w:color w:val="005CA9"/>
          <w:sz w:val="20"/>
          <w:szCs w:val="20"/>
        </w:rPr>
        <w:t xml:space="preserve"> para aquisição de refeições prontas em restaurantes e similares. A cesta-alimentação para o mesmo período é de</w:t>
      </w:r>
      <w:r w:rsidR="002020C6"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R$ </w:t>
      </w:r>
      <w:r w:rsidR="002A04C4" w:rsidRPr="00E20D21">
        <w:rPr>
          <w:rFonts w:ascii="CAIXA Std Book" w:hAnsi="CAIXA Std Book"/>
          <w:color w:val="005CA9"/>
          <w:sz w:val="20"/>
          <w:szCs w:val="20"/>
        </w:rPr>
        <w:t>835,99</w:t>
      </w:r>
      <w:r w:rsidRPr="00E20D21">
        <w:rPr>
          <w:rFonts w:ascii="CAIXA Std Book" w:hAnsi="CAIXA Std Book"/>
          <w:color w:val="005CA9"/>
          <w:sz w:val="20"/>
          <w:szCs w:val="20"/>
        </w:rPr>
        <w:t xml:space="preserve"> para a aquisição de gêneros alimentícios em supermercados ou em estabelecimento comercial do mesmo gênero. Têm caráter indenizatório, e não são considerados como verba salarial. Portanto, não incidem encargos nem para a parte empregadora nem para a parte empregada.</w:t>
      </w:r>
    </w:p>
    <w:p w14:paraId="1E25BCBD" w14:textId="2F57E66F" w:rsidR="009609B9" w:rsidRPr="00E20D21" w:rsidRDefault="009609B9" w:rsidP="00BE2215">
      <w:pPr>
        <w:pStyle w:val="wordsection1"/>
        <w:spacing w:before="24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t>(g.3)</w:t>
      </w:r>
      <w:r w:rsidRPr="00E20D21">
        <w:rPr>
          <w:rFonts w:ascii="CAIXA Std Book" w:hAnsi="CAIXA Std Book"/>
          <w:b/>
          <w:color w:val="005CA9"/>
          <w:sz w:val="20"/>
          <w:szCs w:val="20"/>
        </w:rPr>
        <w:tab/>
        <w:t xml:space="preserve">Plano de benefícios – Assistidos </w:t>
      </w:r>
      <w:r w:rsidR="003E3F5F" w:rsidRPr="00E20D21">
        <w:rPr>
          <w:rFonts w:ascii="CAIXA Std Book" w:hAnsi="CAIXA Std Book"/>
          <w:b/>
          <w:color w:val="005CA9"/>
          <w:sz w:val="20"/>
          <w:szCs w:val="20"/>
        </w:rPr>
        <w:t>EX-</w:t>
      </w:r>
      <w:r w:rsidRPr="00E20D21">
        <w:rPr>
          <w:rFonts w:ascii="CAIXA Std Book" w:hAnsi="CAIXA Std Book"/>
          <w:b/>
          <w:color w:val="005CA9"/>
          <w:sz w:val="20"/>
          <w:szCs w:val="20"/>
        </w:rPr>
        <w:t xml:space="preserve">PREVHAB </w:t>
      </w:r>
    </w:p>
    <w:p w14:paraId="28C65B47" w14:textId="77777777" w:rsidR="009609B9" w:rsidRPr="00E20D21" w:rsidRDefault="009609B9" w:rsidP="009609B9">
      <w:pPr>
        <w:pStyle w:val="wordsection1"/>
        <w:spacing w:before="120" w:beforeAutospacing="0" w:after="120" w:afterAutospacing="0"/>
        <w:ind w:right="23"/>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Por força do Decreto nº 2.291/1986, o Banco Nacional de Habitação – BNH foi extinto e a CAIXA passou a sucedê-lo em todos os direitos e obrigações, inclusive aquelas decorrentes da relação de trabalho dos empregados do referido Banco.</w:t>
      </w:r>
    </w:p>
    <w:p w14:paraId="5CA88A9C"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Dentre as obrigações herdadas pela CAIXA em relação aos empregados do BNH, estava a manutenção da Associação de Previdência dos Empregados do BNH – PREVHAB, Fundo de Pensão responsável por complementar os benefícios previdenciários dos empregados do BNH.</w:t>
      </w:r>
    </w:p>
    <w:p w14:paraId="48DA5804"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Visando a absorção da PREVHAB pela Fundação dos Economiários Federais – FUNCEF ou a transferência dos beneficiários daquela para esta, observadas as normas de direito privado aplicáveis às respectivas situações, foram estudadas e realizadas pela CAIXA/FUNCEF estratégias </w:t>
      </w:r>
      <w:proofErr w:type="spellStart"/>
      <w:r w:rsidRPr="00E20D21">
        <w:rPr>
          <w:rFonts w:ascii="CAIXA Std Book" w:hAnsi="CAIXA Std Book"/>
          <w:color w:val="005CA9"/>
          <w:sz w:val="20"/>
          <w:szCs w:val="20"/>
        </w:rPr>
        <w:t>previdenciais</w:t>
      </w:r>
      <w:proofErr w:type="spellEnd"/>
      <w:r w:rsidRPr="00E20D21">
        <w:rPr>
          <w:rFonts w:ascii="CAIXA Std Book" w:hAnsi="CAIXA Std Book"/>
          <w:color w:val="005CA9"/>
          <w:sz w:val="20"/>
          <w:szCs w:val="20"/>
        </w:rPr>
        <w:t xml:space="preserve">, entretanto, por não concordarem com a proposta da CAIXA ou não reunirem as condições estabelecidas, </w:t>
      </w:r>
      <w:r w:rsidR="00FE32A5" w:rsidRPr="00E20D21">
        <w:rPr>
          <w:rFonts w:ascii="CAIXA Std Book" w:hAnsi="CAIXA Std Book"/>
          <w:color w:val="005CA9"/>
          <w:sz w:val="20"/>
          <w:szCs w:val="20"/>
        </w:rPr>
        <w:t>há</w:t>
      </w:r>
      <w:r w:rsidRPr="00E20D21">
        <w:rPr>
          <w:rFonts w:ascii="CAIXA Std Book" w:hAnsi="CAIXA Std Book"/>
          <w:color w:val="005CA9"/>
          <w:sz w:val="20"/>
          <w:szCs w:val="20"/>
        </w:rPr>
        <w:t xml:space="preserve"> assistidos </w:t>
      </w:r>
      <w:r w:rsidR="00B02505" w:rsidRPr="00E20D21">
        <w:rPr>
          <w:rFonts w:ascii="CAIXA Std Book" w:hAnsi="CAIXA Std Book"/>
          <w:color w:val="005CA9"/>
          <w:sz w:val="20"/>
          <w:szCs w:val="20"/>
        </w:rPr>
        <w:t xml:space="preserve">que </w:t>
      </w:r>
      <w:r w:rsidRPr="00E20D21">
        <w:rPr>
          <w:rFonts w:ascii="CAIXA Std Book" w:hAnsi="CAIXA Std Book"/>
          <w:color w:val="005CA9"/>
          <w:sz w:val="20"/>
          <w:szCs w:val="20"/>
        </w:rPr>
        <w:t>permanecem recebendo os proventos da CAIXA.</w:t>
      </w:r>
    </w:p>
    <w:p w14:paraId="7B6F6705" w14:textId="148DD36A" w:rsidR="00A14755" w:rsidRPr="00E20D21" w:rsidRDefault="009609B9" w:rsidP="009609B9">
      <w:pPr>
        <w:pStyle w:val="wordsection1"/>
        <w:spacing w:before="120" w:beforeAutospacing="0" w:after="120" w:afterAutospacing="0"/>
        <w:ind w:right="23"/>
        <w:jc w:val="both"/>
        <w:rPr>
          <w:rFonts w:ascii="CAIXA Std Book" w:hAnsi="CAIXA Std Book"/>
          <w:color w:val="005CA9"/>
          <w:sz w:val="20"/>
          <w:szCs w:val="20"/>
        </w:rPr>
      </w:pPr>
      <w:r w:rsidRPr="00E20D21">
        <w:rPr>
          <w:rFonts w:ascii="CAIXA Std Book" w:hAnsi="CAIXA Std Book"/>
          <w:color w:val="005CA9"/>
          <w:sz w:val="20"/>
          <w:szCs w:val="20"/>
        </w:rPr>
        <w:t>Dada a característica do Plano, o Ativo Líquido será integralizado pela Patrocinadora no mesmo montante da obrigação.</w:t>
      </w:r>
    </w:p>
    <w:p w14:paraId="7CB36242" w14:textId="77777777" w:rsidR="00DF23FA" w:rsidRPr="00E20D21" w:rsidRDefault="00DF23FA">
      <w:pPr>
        <w:rPr>
          <w:rFonts w:ascii="CAIXA Std Book" w:eastAsiaTheme="minorHAnsi" w:hAnsi="CAIXA Std Book"/>
          <w:b/>
          <w:color w:val="005CA9"/>
          <w:sz w:val="20"/>
          <w:szCs w:val="20"/>
        </w:rPr>
      </w:pPr>
      <w:r w:rsidRPr="00E20D21">
        <w:rPr>
          <w:rFonts w:ascii="CAIXA Std Book" w:hAnsi="CAIXA Std Book"/>
          <w:b/>
          <w:color w:val="005CA9"/>
          <w:sz w:val="20"/>
          <w:szCs w:val="20"/>
        </w:rPr>
        <w:br w:type="page"/>
      </w:r>
    </w:p>
    <w:p w14:paraId="7BD01549" w14:textId="0599EA05" w:rsidR="009609B9" w:rsidRPr="00E20D21" w:rsidRDefault="009609B9" w:rsidP="00BE2215">
      <w:pPr>
        <w:pStyle w:val="wordsection1"/>
        <w:spacing w:before="24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lastRenderedPageBreak/>
        <w:t>(g.4)</w:t>
      </w:r>
      <w:r w:rsidRPr="00E20D21">
        <w:rPr>
          <w:rFonts w:ascii="CAIXA Std Book" w:hAnsi="CAIXA Std Book"/>
          <w:b/>
          <w:color w:val="005CA9"/>
          <w:sz w:val="20"/>
          <w:szCs w:val="20"/>
        </w:rPr>
        <w:tab/>
        <w:t>Planos de previdência complementar</w:t>
      </w:r>
    </w:p>
    <w:p w14:paraId="78CD9611"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adotou o conceito de Compartilhamento de Riscos (</w:t>
      </w:r>
      <w:r w:rsidRPr="00E20D21">
        <w:rPr>
          <w:rFonts w:ascii="CAIXA Std Book" w:hAnsi="CAIXA Std Book"/>
          <w:i/>
          <w:color w:val="005CA9"/>
          <w:sz w:val="20"/>
          <w:szCs w:val="20"/>
        </w:rPr>
        <w:t xml:space="preserve">Risk </w:t>
      </w:r>
      <w:proofErr w:type="spellStart"/>
      <w:r w:rsidRPr="00E20D21">
        <w:rPr>
          <w:rFonts w:ascii="CAIXA Std Book" w:hAnsi="CAIXA Std Book"/>
          <w:i/>
          <w:color w:val="005CA9"/>
          <w:sz w:val="20"/>
          <w:szCs w:val="20"/>
        </w:rPr>
        <w:t>Sharing</w:t>
      </w:r>
      <w:proofErr w:type="spellEnd"/>
      <w:r w:rsidRPr="00E20D21">
        <w:rPr>
          <w:rFonts w:ascii="CAIXA Std Book" w:hAnsi="CAIXA Std Book"/>
          <w:color w:val="005CA9"/>
          <w:sz w:val="20"/>
          <w:szCs w:val="20"/>
        </w:rPr>
        <w:t xml:space="preserve">) para todos os planos, considerando que o Passivo Atuarial deverá ser custeado 50% pela Patrocinadora e 50% pelos Participantes. Ressaltamos que a adoção do compartilhamento de risco é de responsabilidade da CAIXA, conforme definido, tendo </w:t>
      </w:r>
      <w:proofErr w:type="gramStart"/>
      <w:r w:rsidRPr="00E20D21">
        <w:rPr>
          <w:rFonts w:ascii="CAIXA Std Book" w:hAnsi="CAIXA Std Book"/>
          <w:color w:val="005CA9"/>
          <w:sz w:val="20"/>
          <w:szCs w:val="20"/>
        </w:rPr>
        <w:t>esta</w:t>
      </w:r>
      <w:proofErr w:type="gramEnd"/>
      <w:r w:rsidRPr="00E20D21">
        <w:rPr>
          <w:rFonts w:ascii="CAIXA Std Book" w:hAnsi="CAIXA Std Book"/>
          <w:color w:val="005CA9"/>
          <w:sz w:val="20"/>
          <w:szCs w:val="20"/>
        </w:rPr>
        <w:t xml:space="preserve"> efetuado todas as análises necessárias para a sua conceituação técnica.</w:t>
      </w:r>
    </w:p>
    <w:p w14:paraId="0202F075"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Os planos de previdência administrados pela FUNCEF estão divididos em duas modalidades: Benefício Definido (REG/REPLAN) e Contribuição Variável (REB e Novo Plano).</w:t>
      </w:r>
    </w:p>
    <w:p w14:paraId="45CF69BB"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Na modalidade de Benefício Definido (BD), são feitas contribuições a um fundo administrado de forma independente, o risco atuarial e o risco dos investimentos recaem parcial ou integralmente sobre a entidade patrocinadora. O reconhecimento dos custos requer a mensuração das obrigações e despesas do plano, diante da possibilidade de ocorrer ganhos ou perdas atuariais, e podendo gerar um registro de passivo quando o montante das obrigações atuariais supera o valor dos ativos do plano de benefícios. O valor presente das obrigações deste benefício, bem como o custo do serviço corrente e, quando aplicável, o custo do serviço passado, são determinados utilizando-se o Método de Crédito Unitário Projetado, atribuindo-se benefício aos períodos em que surge a obrigação de proporcionar benefícios pós-emprego. Caso o serviço do empregado em anos posteriores conduza a um nível materialmente mais elevado de benefício do que o verificado anteriormente, atribui-se o benefício de maneira linear até a data em que o serviço adicional do empregado conduza a uma quantia imaterial de benefícios adicionais.</w:t>
      </w:r>
    </w:p>
    <w:p w14:paraId="411811BD" w14:textId="634746F0" w:rsidR="009609B9" w:rsidRPr="00E20D21" w:rsidRDefault="009609B9" w:rsidP="009609B9">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Na modalidade de Contribuição Variável (CV), durante a fase de contribuição não há garantia em relação ao valor do benefício a ser recebido no momento da aposentadoria, sendo, portanto, considerado como plano do tipo Contribuição Definida (CD). Porém, a partir do momento da concessão da aposentadoria, o valor do benefício passa a ser fixo e há o enquadramento em plano do tipo Benefício Definido (BD), devendo ser aplicados os procedimentos relacionados aos cálculos atuariais.</w:t>
      </w:r>
    </w:p>
    <w:p w14:paraId="536D523B" w14:textId="77777777" w:rsidR="009609B9" w:rsidRPr="00E20D21" w:rsidRDefault="009609B9" w:rsidP="00DB670C">
      <w:pPr>
        <w:pStyle w:val="wordsection1"/>
        <w:numPr>
          <w:ilvl w:val="0"/>
          <w:numId w:val="22"/>
        </w:numPr>
        <w:autoSpaceDE w:val="0"/>
        <w:autoSpaceDN w:val="0"/>
        <w:adjustRightInd w:val="0"/>
        <w:spacing w:before="120" w:beforeAutospacing="0" w:after="120" w:afterAutospacing="0"/>
        <w:ind w:left="284" w:hanging="284"/>
        <w:jc w:val="both"/>
        <w:rPr>
          <w:rFonts w:ascii="CAIXA Std Book" w:hAnsi="CAIXA Std Book"/>
          <w:b/>
          <w:color w:val="005CA9"/>
          <w:sz w:val="20"/>
          <w:szCs w:val="20"/>
        </w:rPr>
      </w:pPr>
      <w:r w:rsidRPr="00E20D21">
        <w:rPr>
          <w:rFonts w:ascii="CAIXA Std Book" w:hAnsi="CAIXA Std Book"/>
          <w:b/>
          <w:color w:val="005CA9"/>
          <w:sz w:val="20"/>
          <w:szCs w:val="20"/>
        </w:rPr>
        <w:t>REG/REPLAN</w:t>
      </w:r>
    </w:p>
    <w:p w14:paraId="23F881B8"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patrocina o plano de benefícios REG/REPLAN, administrado pela FUNCEF, estruturado na modalidade benefício definido. Este plano foi aprovado por órgão competente em 17 de maio de 1977, tendo seu início operacional em 01 de agosto de 1977. O plano agrega os regulamentos instituídos em 1977 (REG) e 1979 (REPLAN), considerados como um só plano.</w:t>
      </w:r>
    </w:p>
    <w:p w14:paraId="0F9532FC"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 referido plano teve </w:t>
      </w:r>
      <w:proofErr w:type="spellStart"/>
      <w:r w:rsidRPr="00E20D21">
        <w:rPr>
          <w:rFonts w:ascii="CAIXA Std Book" w:hAnsi="CAIXA Std Book"/>
          <w:color w:val="005CA9"/>
          <w:sz w:val="20"/>
          <w:szCs w:val="20"/>
        </w:rPr>
        <w:t>saldamento</w:t>
      </w:r>
      <w:proofErr w:type="spellEnd"/>
      <w:r w:rsidRPr="00E20D21">
        <w:rPr>
          <w:rFonts w:ascii="CAIXA Std Book" w:hAnsi="CAIXA Std Book"/>
          <w:color w:val="005CA9"/>
          <w:sz w:val="20"/>
          <w:szCs w:val="20"/>
        </w:rPr>
        <w:t xml:space="preserve"> de benefícios definido por meio de alterações em seu regulamento, sendo esta alteração regulamentar ocorrida em 14 de junho de 2006. Tal procedimento implica que o valor do benefício saldado, calculado e reajustado com base no índice do plano, com a desvinculação do salário de participação e da concessão e manutenção por órgão oficial da previdência, implicando no cancelamento da contribuição normal para este plano e na adesão no caso do ativo, a outro plano de benefícios oferecido pela Patrocinadora.</w:t>
      </w:r>
    </w:p>
    <w:p w14:paraId="69D1976E"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exemplo do ocorrido na modificação dos planos anteriores, inclui institutos fixados pela Lei Complementar nº 109/2001, tais como: a garantia de condições de resgate e portabilidade do saldo da conta individual de participante.</w:t>
      </w:r>
    </w:p>
    <w:p w14:paraId="28AB4568"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Em relação ao plano de custeio do REG/REPLAN, definido como o cálculo elaborado pelo atuário responsável pelo plano que define o nível de contribuição necessário à constituição das reservas garantidoras de benefícios, fundos, provisões e à cobertura das demais despesas do plano de benefícios, visando seu equilíbrio atuarial, este definirá os percentuais de contribuição a serem praticados no Plano e será segregado entre optantes e não optantes pelo </w:t>
      </w:r>
      <w:proofErr w:type="spellStart"/>
      <w:r w:rsidRPr="00E20D21">
        <w:rPr>
          <w:rFonts w:ascii="CAIXA Std Book" w:hAnsi="CAIXA Std Book"/>
          <w:color w:val="005CA9"/>
          <w:sz w:val="20"/>
          <w:szCs w:val="20"/>
        </w:rPr>
        <w:t>saldamento</w:t>
      </w:r>
      <w:proofErr w:type="spellEnd"/>
      <w:r w:rsidRPr="00E20D21">
        <w:rPr>
          <w:rFonts w:ascii="CAIXA Std Book" w:hAnsi="CAIXA Std Book"/>
          <w:color w:val="005CA9"/>
          <w:sz w:val="20"/>
          <w:szCs w:val="20"/>
        </w:rPr>
        <w:t xml:space="preserve">, com revisão de periodicidade mínima anual, conforme regulamento do plano (disponível em: </w:t>
      </w:r>
      <w:hyperlink r:id="rId70" w:history="1">
        <w:r w:rsidR="002A04C4" w:rsidRPr="00E20D21">
          <w:rPr>
            <w:rStyle w:val="Hyperlink"/>
            <w:rFonts w:ascii="CAIXA Std Book" w:hAnsi="CAIXA Std Book"/>
            <w:color w:val="005CA9"/>
            <w:sz w:val="20"/>
            <w:szCs w:val="20"/>
          </w:rPr>
          <w:t>www.funcef.com.br/</w:t>
        </w:r>
      </w:hyperlink>
      <w:r w:rsidRPr="00E20D21">
        <w:rPr>
          <w:rFonts w:ascii="CAIXA Std Book" w:hAnsi="CAIXA Std Book"/>
          <w:color w:val="005CA9"/>
          <w:sz w:val="20"/>
          <w:szCs w:val="20"/>
        </w:rPr>
        <w:t>).</w:t>
      </w:r>
    </w:p>
    <w:p w14:paraId="4C6BF388" w14:textId="77777777" w:rsidR="00DF23FA" w:rsidRPr="00E20D21" w:rsidRDefault="00DF23FA">
      <w:pPr>
        <w:rPr>
          <w:rFonts w:ascii="CAIXA Std Book" w:eastAsiaTheme="minorHAnsi" w:hAnsi="CAIXA Std Book"/>
          <w:color w:val="005CA9"/>
          <w:sz w:val="20"/>
          <w:szCs w:val="20"/>
        </w:rPr>
      </w:pPr>
      <w:r w:rsidRPr="00E20D21">
        <w:rPr>
          <w:rFonts w:ascii="CAIXA Std Book" w:hAnsi="CAIXA Std Book"/>
          <w:color w:val="005CA9"/>
          <w:sz w:val="20"/>
          <w:szCs w:val="20"/>
        </w:rPr>
        <w:br w:type="page"/>
      </w:r>
    </w:p>
    <w:p w14:paraId="4D927694" w14:textId="08CD70C5"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lastRenderedPageBreak/>
        <w:t xml:space="preserve">Devido ao Plano de Previdência REG/REPLAN modalidades saldado e não saldado, patrocinados pela CAIXA, terem registrado em 2014 e 2015, respectivamente, seu terceiro ano consecutivo de déficit técnico acumulado, foram elaborados planos de equacionamento dos déficits. Na modalidade saldado houve déficit nos exercícios de 2014, 2015 e 2016, </w:t>
      </w:r>
      <w:proofErr w:type="gramStart"/>
      <w:r w:rsidRPr="00E20D21">
        <w:rPr>
          <w:rFonts w:ascii="CAIXA Std Book" w:hAnsi="CAIXA Std Book"/>
          <w:color w:val="005CA9"/>
          <w:sz w:val="20"/>
          <w:szCs w:val="20"/>
        </w:rPr>
        <w:t>enquanto que</w:t>
      </w:r>
      <w:proofErr w:type="gramEnd"/>
      <w:r w:rsidRPr="00E20D21">
        <w:rPr>
          <w:rFonts w:ascii="CAIXA Std Book" w:hAnsi="CAIXA Std Book"/>
          <w:color w:val="005CA9"/>
          <w:sz w:val="20"/>
          <w:szCs w:val="20"/>
        </w:rPr>
        <w:t xml:space="preserve"> na modalidade não saldado, os déficits foram em 2015 e 2016. </w:t>
      </w:r>
      <w:proofErr w:type="gramStart"/>
      <w:r w:rsidRPr="00E20D21">
        <w:rPr>
          <w:rFonts w:ascii="CAIXA Std Book" w:hAnsi="CAIXA Std Book"/>
          <w:color w:val="005CA9"/>
          <w:sz w:val="20"/>
          <w:szCs w:val="20"/>
        </w:rPr>
        <w:t>Os planos de equacionamento tem</w:t>
      </w:r>
      <w:proofErr w:type="gramEnd"/>
      <w:r w:rsidRPr="00E20D21">
        <w:rPr>
          <w:rFonts w:ascii="CAIXA Std Book" w:hAnsi="CAIXA Std Book"/>
          <w:color w:val="005CA9"/>
          <w:sz w:val="20"/>
          <w:szCs w:val="20"/>
        </w:rPr>
        <w:t xml:space="preserve"> como base a Resolução CGPC nº 26/2008 com todas as suas alterações.</w:t>
      </w:r>
    </w:p>
    <w:p w14:paraId="06DBF6C4" w14:textId="3C1C5C90" w:rsidR="009609B9" w:rsidRPr="00E20D21" w:rsidRDefault="009609B9" w:rsidP="00A05A6F">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Os planos de equacionamento estabelecem critérios próprios para a contribuição de cada parte nos déficits, sendo paritário entre a CAIXA e os participantes e assistidos na modalidade saldado.</w:t>
      </w:r>
    </w:p>
    <w:tbl>
      <w:tblPr>
        <w:tblW w:w="5000" w:type="pct"/>
        <w:tblCellMar>
          <w:left w:w="70" w:type="dxa"/>
          <w:right w:w="70" w:type="dxa"/>
        </w:tblCellMar>
        <w:tblLook w:val="04A0" w:firstRow="1" w:lastRow="0" w:firstColumn="1" w:lastColumn="0" w:noHBand="0" w:noVBand="1"/>
      </w:tblPr>
      <w:tblGrid>
        <w:gridCol w:w="3400"/>
        <w:gridCol w:w="1419"/>
        <w:gridCol w:w="1560"/>
        <w:gridCol w:w="1700"/>
        <w:gridCol w:w="1560"/>
      </w:tblGrid>
      <w:tr w:rsidR="00A47C19" w:rsidRPr="00E20D21" w14:paraId="0BA0FB8A" w14:textId="77777777" w:rsidTr="00CC1C89">
        <w:trPr>
          <w:trHeight w:val="283"/>
        </w:trPr>
        <w:tc>
          <w:tcPr>
            <w:tcW w:w="5000" w:type="pct"/>
            <w:gridSpan w:val="5"/>
            <w:tcBorders>
              <w:top w:val="single" w:sz="4" w:space="0" w:color="F68F00"/>
              <w:left w:val="nil"/>
              <w:bottom w:val="single" w:sz="4" w:space="0" w:color="F68F00"/>
              <w:right w:val="nil"/>
            </w:tcBorders>
            <w:shd w:val="clear" w:color="auto" w:fill="auto"/>
            <w:vAlign w:val="center"/>
          </w:tcPr>
          <w:p w14:paraId="3F967F5D" w14:textId="20837287" w:rsidR="002A04C4" w:rsidRPr="00E20D21" w:rsidRDefault="002A04C4" w:rsidP="00D73144">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INDIVIDUAL</w:t>
            </w:r>
            <w:r w:rsidR="00E20D21">
              <w:rPr>
                <w:rFonts w:ascii="CAIXA Std Book" w:hAnsi="CAIXA Std Book" w:cs="MS Gothic"/>
                <w:b/>
                <w:color w:val="005CA9"/>
                <w:sz w:val="20"/>
                <w:szCs w:val="20"/>
              </w:rPr>
              <w:t xml:space="preserve"> </w:t>
            </w:r>
            <w:r w:rsidRPr="00E20D21">
              <w:rPr>
                <w:rFonts w:ascii="CAIXA Std Book" w:hAnsi="CAIXA Std Book" w:cs="MS Gothic"/>
                <w:b/>
                <w:color w:val="005CA9"/>
                <w:sz w:val="20"/>
                <w:szCs w:val="20"/>
              </w:rPr>
              <w:t>/</w:t>
            </w:r>
            <w:r w:rsidR="00E20D21">
              <w:rPr>
                <w:rFonts w:ascii="CAIXA Std Book" w:hAnsi="CAIXA Std Book" w:cs="MS Gothic"/>
                <w:b/>
                <w:color w:val="005CA9"/>
                <w:sz w:val="20"/>
                <w:szCs w:val="20"/>
              </w:rPr>
              <w:t xml:space="preserve"> </w:t>
            </w:r>
            <w:r w:rsidRPr="00E20D21">
              <w:rPr>
                <w:rFonts w:ascii="CAIXA Std Book" w:hAnsi="CAIXA Std Book" w:cs="MS Gothic"/>
                <w:b/>
                <w:color w:val="005CA9"/>
                <w:sz w:val="20"/>
                <w:szCs w:val="20"/>
              </w:rPr>
              <w:t>CONSOLIDADO</w:t>
            </w:r>
          </w:p>
        </w:tc>
      </w:tr>
      <w:tr w:rsidR="00A47C19" w:rsidRPr="00E20D21" w14:paraId="68F147C0" w14:textId="77777777" w:rsidTr="00CC1C89">
        <w:trPr>
          <w:trHeight w:val="283"/>
        </w:trPr>
        <w:tc>
          <w:tcPr>
            <w:tcW w:w="1764" w:type="pct"/>
            <w:vMerge w:val="restart"/>
            <w:tcBorders>
              <w:top w:val="single" w:sz="4" w:space="0" w:color="F68F00"/>
              <w:left w:val="nil"/>
              <w:bottom w:val="single" w:sz="4" w:space="0" w:color="F68F00"/>
              <w:right w:val="nil"/>
            </w:tcBorders>
            <w:shd w:val="clear" w:color="auto" w:fill="auto"/>
            <w:vAlign w:val="center"/>
            <w:hideMark/>
          </w:tcPr>
          <w:p w14:paraId="39DE8E10" w14:textId="77777777" w:rsidR="002A04C4" w:rsidRPr="00E20D21" w:rsidRDefault="002A04C4" w:rsidP="00D73144">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Déficit</w:t>
            </w:r>
          </w:p>
        </w:tc>
        <w:tc>
          <w:tcPr>
            <w:tcW w:w="1545" w:type="pct"/>
            <w:gridSpan w:val="2"/>
            <w:tcBorders>
              <w:top w:val="single" w:sz="4" w:space="0" w:color="F68F00"/>
              <w:left w:val="nil"/>
              <w:bottom w:val="single" w:sz="4" w:space="0" w:color="F68F00"/>
              <w:right w:val="nil"/>
            </w:tcBorders>
            <w:shd w:val="clear" w:color="auto" w:fill="auto"/>
            <w:vAlign w:val="center"/>
            <w:hideMark/>
          </w:tcPr>
          <w:p w14:paraId="29FCC6BE" w14:textId="77777777" w:rsidR="002A04C4" w:rsidRPr="00E20D21" w:rsidRDefault="002A04C4" w:rsidP="00D73144">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REG/REPLAN Saldado</w:t>
            </w:r>
          </w:p>
        </w:tc>
        <w:tc>
          <w:tcPr>
            <w:tcW w:w="1691" w:type="pct"/>
            <w:gridSpan w:val="2"/>
            <w:tcBorders>
              <w:top w:val="single" w:sz="4" w:space="0" w:color="F68F00"/>
              <w:left w:val="nil"/>
              <w:bottom w:val="single" w:sz="4" w:space="0" w:color="F68F00"/>
              <w:right w:val="nil"/>
            </w:tcBorders>
            <w:shd w:val="clear" w:color="auto" w:fill="auto"/>
            <w:vAlign w:val="center"/>
            <w:hideMark/>
          </w:tcPr>
          <w:p w14:paraId="61613313" w14:textId="77777777" w:rsidR="002A04C4" w:rsidRPr="00E20D21" w:rsidRDefault="002A04C4" w:rsidP="00D73144">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REG/REPLAN Não saldado</w:t>
            </w:r>
          </w:p>
        </w:tc>
      </w:tr>
      <w:tr w:rsidR="00A47C19" w:rsidRPr="00E20D21" w14:paraId="3A2A68AF" w14:textId="77777777" w:rsidTr="00981942">
        <w:trPr>
          <w:trHeight w:val="283"/>
        </w:trPr>
        <w:tc>
          <w:tcPr>
            <w:tcW w:w="1764" w:type="pct"/>
            <w:vMerge/>
            <w:tcBorders>
              <w:top w:val="single" w:sz="4" w:space="0" w:color="F68F00"/>
              <w:left w:val="nil"/>
              <w:bottom w:val="single" w:sz="4" w:space="0" w:color="F68F00"/>
              <w:right w:val="nil"/>
            </w:tcBorders>
            <w:vAlign w:val="center"/>
            <w:hideMark/>
          </w:tcPr>
          <w:p w14:paraId="0B5A8784" w14:textId="77777777" w:rsidR="002A04C4" w:rsidRPr="00E20D21" w:rsidRDefault="002A04C4" w:rsidP="00D73144">
            <w:pPr>
              <w:rPr>
                <w:rFonts w:ascii="CAIXA Std Book" w:hAnsi="CAIXA Std Book" w:cs="MS Gothic"/>
                <w:b/>
                <w:color w:val="005CA9"/>
                <w:sz w:val="20"/>
                <w:szCs w:val="20"/>
              </w:rPr>
            </w:pPr>
          </w:p>
        </w:tc>
        <w:tc>
          <w:tcPr>
            <w:tcW w:w="736" w:type="pct"/>
            <w:tcBorders>
              <w:top w:val="nil"/>
              <w:left w:val="nil"/>
              <w:bottom w:val="single" w:sz="4" w:space="0" w:color="F68F00"/>
              <w:right w:val="nil"/>
            </w:tcBorders>
            <w:shd w:val="clear" w:color="auto" w:fill="auto"/>
            <w:vAlign w:val="center"/>
            <w:hideMark/>
          </w:tcPr>
          <w:p w14:paraId="2B0D829C" w14:textId="77777777" w:rsidR="002A04C4" w:rsidRPr="00E20D21" w:rsidRDefault="002A04C4" w:rsidP="00D73144">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Prazo de amortização</w:t>
            </w:r>
          </w:p>
        </w:tc>
        <w:tc>
          <w:tcPr>
            <w:tcW w:w="809" w:type="pct"/>
            <w:tcBorders>
              <w:top w:val="nil"/>
              <w:left w:val="nil"/>
              <w:bottom w:val="single" w:sz="4" w:space="0" w:color="F68F00"/>
              <w:right w:val="nil"/>
            </w:tcBorders>
            <w:shd w:val="clear" w:color="auto" w:fill="auto"/>
            <w:vAlign w:val="center"/>
            <w:hideMark/>
          </w:tcPr>
          <w:p w14:paraId="4058623B" w14:textId="77777777" w:rsidR="002A04C4" w:rsidRPr="00E20D21" w:rsidRDefault="002A04C4" w:rsidP="00D73144">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Valor do déficit atualizado</w:t>
            </w:r>
          </w:p>
        </w:tc>
        <w:tc>
          <w:tcPr>
            <w:tcW w:w="882" w:type="pct"/>
            <w:tcBorders>
              <w:top w:val="nil"/>
              <w:left w:val="nil"/>
              <w:bottom w:val="single" w:sz="4" w:space="0" w:color="F68F00"/>
              <w:right w:val="nil"/>
            </w:tcBorders>
            <w:shd w:val="clear" w:color="auto" w:fill="auto"/>
            <w:vAlign w:val="center"/>
            <w:hideMark/>
          </w:tcPr>
          <w:p w14:paraId="19BD36D2" w14:textId="77777777" w:rsidR="002A04C4" w:rsidRPr="00E20D21" w:rsidRDefault="002A04C4" w:rsidP="00D73144">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Prazo de amortização</w:t>
            </w:r>
          </w:p>
        </w:tc>
        <w:tc>
          <w:tcPr>
            <w:tcW w:w="809" w:type="pct"/>
            <w:tcBorders>
              <w:top w:val="nil"/>
              <w:left w:val="nil"/>
              <w:bottom w:val="single" w:sz="4" w:space="0" w:color="F68F00"/>
              <w:right w:val="nil"/>
            </w:tcBorders>
            <w:shd w:val="clear" w:color="auto" w:fill="auto"/>
            <w:vAlign w:val="center"/>
            <w:hideMark/>
          </w:tcPr>
          <w:p w14:paraId="0AECD169" w14:textId="77777777" w:rsidR="002A04C4" w:rsidRPr="00E20D21" w:rsidRDefault="002A04C4" w:rsidP="00D73144">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Valor do déficit atualizado</w:t>
            </w:r>
          </w:p>
        </w:tc>
      </w:tr>
      <w:tr w:rsidR="00A47C19" w:rsidRPr="00E20D21" w14:paraId="7FDF1CA3" w14:textId="77777777" w:rsidTr="00981942">
        <w:trPr>
          <w:trHeight w:val="283"/>
        </w:trPr>
        <w:tc>
          <w:tcPr>
            <w:tcW w:w="1764" w:type="pct"/>
            <w:tcBorders>
              <w:top w:val="nil"/>
              <w:left w:val="nil"/>
              <w:bottom w:val="nil"/>
              <w:right w:val="nil"/>
            </w:tcBorders>
            <w:shd w:val="clear" w:color="auto" w:fill="auto"/>
            <w:vAlign w:val="center"/>
            <w:hideMark/>
          </w:tcPr>
          <w:p w14:paraId="07FEDC9E" w14:textId="77777777" w:rsidR="007975F5" w:rsidRPr="00E20D21" w:rsidRDefault="007975F5" w:rsidP="007975F5">
            <w:pPr>
              <w:jc w:val="center"/>
              <w:rPr>
                <w:rFonts w:ascii="CAIXA Std Book" w:hAnsi="CAIXA Std Book" w:cs="MS Gothic"/>
                <w:color w:val="005CA9"/>
                <w:sz w:val="20"/>
                <w:szCs w:val="20"/>
              </w:rPr>
            </w:pPr>
            <w:r w:rsidRPr="00E20D21">
              <w:rPr>
                <w:rFonts w:ascii="CAIXA Std Book" w:hAnsi="CAIXA Std Book" w:cs="MS Gothic"/>
                <w:color w:val="005CA9"/>
                <w:sz w:val="20"/>
                <w:szCs w:val="20"/>
              </w:rPr>
              <w:t>Exercício 2014</w:t>
            </w:r>
          </w:p>
        </w:tc>
        <w:tc>
          <w:tcPr>
            <w:tcW w:w="736" w:type="pct"/>
            <w:tcBorders>
              <w:top w:val="nil"/>
              <w:left w:val="nil"/>
              <w:bottom w:val="nil"/>
              <w:right w:val="nil"/>
            </w:tcBorders>
            <w:shd w:val="clear" w:color="auto" w:fill="auto"/>
            <w:vAlign w:val="center"/>
          </w:tcPr>
          <w:p w14:paraId="5762411C" w14:textId="77777777" w:rsidR="007975F5" w:rsidRPr="00E20D21" w:rsidRDefault="007975F5" w:rsidP="007975F5">
            <w:pPr>
              <w:jc w:val="center"/>
              <w:rPr>
                <w:rFonts w:ascii="CAIXA Std Book" w:hAnsi="CAIXA Std Book" w:cs="MS Gothic"/>
                <w:color w:val="005CA9"/>
                <w:sz w:val="20"/>
                <w:szCs w:val="20"/>
              </w:rPr>
            </w:pPr>
            <w:r w:rsidRPr="00E20D21">
              <w:rPr>
                <w:rFonts w:ascii="CAIXA Std Book" w:hAnsi="CAIXA Std Book" w:cs="MS Gothic"/>
                <w:color w:val="005CA9"/>
                <w:sz w:val="20"/>
                <w:szCs w:val="20"/>
              </w:rPr>
              <w:t>208 meses</w:t>
            </w:r>
          </w:p>
        </w:tc>
        <w:tc>
          <w:tcPr>
            <w:tcW w:w="809" w:type="pct"/>
            <w:tcBorders>
              <w:top w:val="nil"/>
              <w:left w:val="nil"/>
              <w:bottom w:val="nil"/>
              <w:right w:val="nil"/>
            </w:tcBorders>
            <w:shd w:val="clear" w:color="auto" w:fill="auto"/>
            <w:vAlign w:val="center"/>
          </w:tcPr>
          <w:p w14:paraId="6F68B359" w14:textId="49A6BC78" w:rsidR="007975F5" w:rsidRPr="00E20D21" w:rsidRDefault="007C0318" w:rsidP="007975F5">
            <w:pPr>
              <w:jc w:val="right"/>
              <w:rPr>
                <w:rFonts w:ascii="CAIXA Std Book" w:hAnsi="CAIXA Std Book" w:cs="MS Gothic"/>
                <w:color w:val="005CA9"/>
                <w:sz w:val="20"/>
                <w:szCs w:val="20"/>
                <w:highlight w:val="yellow"/>
              </w:rPr>
            </w:pPr>
            <w:r w:rsidRPr="00E20D21">
              <w:rPr>
                <w:rFonts w:ascii="CAIXA Std Book" w:hAnsi="CAIXA Std Book" w:cs="Calibri"/>
                <w:color w:val="005CA9"/>
                <w:sz w:val="20"/>
                <w:szCs w:val="20"/>
              </w:rPr>
              <w:t>1.099.538</w:t>
            </w:r>
          </w:p>
        </w:tc>
        <w:tc>
          <w:tcPr>
            <w:tcW w:w="882" w:type="pct"/>
            <w:tcBorders>
              <w:top w:val="nil"/>
              <w:left w:val="nil"/>
              <w:bottom w:val="nil"/>
              <w:right w:val="nil"/>
            </w:tcBorders>
            <w:shd w:val="clear" w:color="auto" w:fill="auto"/>
            <w:vAlign w:val="center"/>
          </w:tcPr>
          <w:p w14:paraId="1EB557EB" w14:textId="77777777" w:rsidR="007975F5" w:rsidRPr="00E20D21" w:rsidRDefault="007975F5" w:rsidP="007975F5">
            <w:pPr>
              <w:jc w:val="center"/>
              <w:rPr>
                <w:rFonts w:ascii="CAIXA Std Book" w:hAnsi="CAIXA Std Book" w:cs="MS Gothic"/>
                <w:color w:val="005CA9"/>
                <w:sz w:val="20"/>
                <w:szCs w:val="20"/>
              </w:rPr>
            </w:pPr>
            <w:r w:rsidRPr="00E20D21">
              <w:rPr>
                <w:rFonts w:ascii="CAIXA Std Book" w:hAnsi="CAIXA Std Book" w:cs="MS Gothic"/>
                <w:color w:val="005CA9"/>
                <w:sz w:val="20"/>
                <w:szCs w:val="20"/>
              </w:rPr>
              <w:t>-</w:t>
            </w:r>
          </w:p>
        </w:tc>
        <w:tc>
          <w:tcPr>
            <w:tcW w:w="809" w:type="pct"/>
            <w:tcBorders>
              <w:top w:val="nil"/>
              <w:left w:val="nil"/>
              <w:bottom w:val="nil"/>
              <w:right w:val="nil"/>
            </w:tcBorders>
            <w:shd w:val="clear" w:color="auto" w:fill="auto"/>
            <w:vAlign w:val="center"/>
          </w:tcPr>
          <w:p w14:paraId="2DFA8C24" w14:textId="77777777" w:rsidR="007975F5" w:rsidRPr="00E20D21" w:rsidRDefault="007975F5" w:rsidP="007975F5">
            <w:pPr>
              <w:jc w:val="center"/>
              <w:rPr>
                <w:rFonts w:ascii="CAIXA Std Book" w:hAnsi="CAIXA Std Book" w:cs="MS Gothic"/>
                <w:color w:val="005CA9"/>
                <w:sz w:val="20"/>
                <w:szCs w:val="20"/>
              </w:rPr>
            </w:pPr>
            <w:r w:rsidRPr="00E20D21">
              <w:rPr>
                <w:rFonts w:ascii="CAIXA Std Book" w:hAnsi="CAIXA Std Book" w:cs="Calibri"/>
                <w:color w:val="005CA9"/>
                <w:sz w:val="20"/>
                <w:szCs w:val="20"/>
              </w:rPr>
              <w:t>-</w:t>
            </w:r>
          </w:p>
        </w:tc>
      </w:tr>
      <w:tr w:rsidR="00A47C19" w:rsidRPr="00E20D21" w14:paraId="4410B41E" w14:textId="77777777" w:rsidTr="00981942">
        <w:trPr>
          <w:trHeight w:val="283"/>
        </w:trPr>
        <w:tc>
          <w:tcPr>
            <w:tcW w:w="1764" w:type="pct"/>
            <w:tcBorders>
              <w:top w:val="nil"/>
              <w:left w:val="nil"/>
              <w:bottom w:val="nil"/>
              <w:right w:val="nil"/>
            </w:tcBorders>
            <w:shd w:val="clear" w:color="auto" w:fill="auto"/>
            <w:vAlign w:val="center"/>
            <w:hideMark/>
          </w:tcPr>
          <w:p w14:paraId="2D5A9812" w14:textId="77777777" w:rsidR="007975F5" w:rsidRPr="00E20D21" w:rsidRDefault="007975F5" w:rsidP="007975F5">
            <w:pPr>
              <w:jc w:val="center"/>
              <w:rPr>
                <w:rFonts w:ascii="CAIXA Std Book" w:hAnsi="CAIXA Std Book" w:cs="MS Gothic"/>
                <w:color w:val="005CA9"/>
                <w:sz w:val="20"/>
                <w:szCs w:val="20"/>
              </w:rPr>
            </w:pPr>
            <w:r w:rsidRPr="00E20D21">
              <w:rPr>
                <w:rFonts w:ascii="CAIXA Std Book" w:hAnsi="CAIXA Std Book" w:cs="MS Gothic"/>
                <w:color w:val="005CA9"/>
                <w:sz w:val="20"/>
                <w:szCs w:val="20"/>
              </w:rPr>
              <w:t>Exercício 2015</w:t>
            </w:r>
          </w:p>
        </w:tc>
        <w:tc>
          <w:tcPr>
            <w:tcW w:w="736" w:type="pct"/>
            <w:tcBorders>
              <w:top w:val="nil"/>
              <w:left w:val="nil"/>
              <w:bottom w:val="nil"/>
              <w:right w:val="nil"/>
            </w:tcBorders>
            <w:shd w:val="clear" w:color="auto" w:fill="auto"/>
            <w:vAlign w:val="center"/>
          </w:tcPr>
          <w:p w14:paraId="0788B1F3" w14:textId="77777777" w:rsidR="007975F5" w:rsidRPr="00E20D21" w:rsidRDefault="007975F5" w:rsidP="007975F5">
            <w:pPr>
              <w:jc w:val="center"/>
              <w:rPr>
                <w:rFonts w:ascii="CAIXA Std Book" w:hAnsi="CAIXA Std Book" w:cs="MS Gothic"/>
                <w:color w:val="005CA9"/>
                <w:sz w:val="20"/>
                <w:szCs w:val="20"/>
              </w:rPr>
            </w:pPr>
            <w:r w:rsidRPr="00E20D21">
              <w:rPr>
                <w:rFonts w:ascii="CAIXA Std Book" w:hAnsi="CAIXA Std Book" w:cs="MS Gothic"/>
                <w:color w:val="005CA9"/>
                <w:sz w:val="20"/>
                <w:szCs w:val="20"/>
              </w:rPr>
              <w:t>211 meses</w:t>
            </w:r>
          </w:p>
        </w:tc>
        <w:tc>
          <w:tcPr>
            <w:tcW w:w="809" w:type="pct"/>
            <w:tcBorders>
              <w:top w:val="nil"/>
              <w:left w:val="nil"/>
              <w:bottom w:val="nil"/>
              <w:right w:val="nil"/>
            </w:tcBorders>
            <w:shd w:val="clear" w:color="auto" w:fill="auto"/>
            <w:vAlign w:val="center"/>
          </w:tcPr>
          <w:p w14:paraId="221F6EBA" w14:textId="3B6AA807" w:rsidR="007975F5" w:rsidRPr="00E20D21" w:rsidRDefault="007C0318" w:rsidP="007975F5">
            <w:pPr>
              <w:jc w:val="right"/>
              <w:rPr>
                <w:rFonts w:ascii="CAIXA Std Book" w:hAnsi="CAIXA Std Book" w:cs="MS Gothic"/>
                <w:color w:val="005CA9"/>
                <w:sz w:val="20"/>
                <w:szCs w:val="20"/>
                <w:highlight w:val="yellow"/>
              </w:rPr>
            </w:pPr>
            <w:r w:rsidRPr="00E20D21">
              <w:rPr>
                <w:rFonts w:ascii="CAIXA Std Book" w:hAnsi="CAIXA Std Book" w:cs="Calibri"/>
                <w:color w:val="005CA9"/>
                <w:sz w:val="20"/>
                <w:szCs w:val="20"/>
              </w:rPr>
              <w:t>3.535.362</w:t>
            </w:r>
          </w:p>
        </w:tc>
        <w:tc>
          <w:tcPr>
            <w:tcW w:w="882" w:type="pct"/>
            <w:tcBorders>
              <w:top w:val="nil"/>
              <w:left w:val="nil"/>
              <w:bottom w:val="nil"/>
              <w:right w:val="nil"/>
            </w:tcBorders>
            <w:shd w:val="clear" w:color="auto" w:fill="auto"/>
            <w:vAlign w:val="center"/>
          </w:tcPr>
          <w:p w14:paraId="2AE798EF" w14:textId="77777777" w:rsidR="007975F5" w:rsidRPr="00E20D21" w:rsidRDefault="007975F5" w:rsidP="007975F5">
            <w:pPr>
              <w:jc w:val="right"/>
              <w:rPr>
                <w:rFonts w:ascii="CAIXA Std Book" w:hAnsi="CAIXA Std Book" w:cs="MS Gothic"/>
                <w:color w:val="005CA9"/>
                <w:sz w:val="20"/>
                <w:szCs w:val="20"/>
              </w:rPr>
            </w:pPr>
            <w:r w:rsidRPr="00E20D21">
              <w:rPr>
                <w:rFonts w:ascii="CAIXA Std Book" w:hAnsi="CAIXA Std Book" w:cs="MS Gothic"/>
                <w:color w:val="005CA9"/>
                <w:sz w:val="20"/>
                <w:szCs w:val="20"/>
              </w:rPr>
              <w:t>237 meses</w:t>
            </w:r>
          </w:p>
        </w:tc>
        <w:tc>
          <w:tcPr>
            <w:tcW w:w="809" w:type="pct"/>
            <w:tcBorders>
              <w:top w:val="nil"/>
              <w:left w:val="nil"/>
              <w:bottom w:val="nil"/>
              <w:right w:val="nil"/>
            </w:tcBorders>
            <w:shd w:val="clear" w:color="auto" w:fill="auto"/>
            <w:vAlign w:val="center"/>
          </w:tcPr>
          <w:p w14:paraId="11E2C79E" w14:textId="7E6E2CC1" w:rsidR="007975F5" w:rsidRPr="00E20D21" w:rsidRDefault="00940AAF" w:rsidP="007975F5">
            <w:pPr>
              <w:jc w:val="right"/>
              <w:rPr>
                <w:rFonts w:ascii="CAIXA Std Book" w:hAnsi="CAIXA Std Book" w:cs="MS Gothic"/>
                <w:color w:val="005CA9"/>
                <w:sz w:val="20"/>
                <w:szCs w:val="20"/>
                <w:highlight w:val="yellow"/>
              </w:rPr>
            </w:pPr>
            <w:r w:rsidRPr="00E20D21">
              <w:rPr>
                <w:rFonts w:ascii="CAIXA Std Book" w:hAnsi="CAIXA Std Book" w:cs="Calibri"/>
                <w:color w:val="005CA9"/>
                <w:sz w:val="20"/>
                <w:szCs w:val="20"/>
              </w:rPr>
              <w:t>235.093</w:t>
            </w:r>
          </w:p>
        </w:tc>
      </w:tr>
      <w:tr w:rsidR="00A47C19" w:rsidRPr="00E20D21" w14:paraId="0B64621D" w14:textId="77777777" w:rsidTr="00981942">
        <w:trPr>
          <w:trHeight w:val="283"/>
        </w:trPr>
        <w:tc>
          <w:tcPr>
            <w:tcW w:w="1764" w:type="pct"/>
            <w:tcBorders>
              <w:top w:val="nil"/>
              <w:left w:val="nil"/>
              <w:bottom w:val="nil"/>
              <w:right w:val="nil"/>
            </w:tcBorders>
            <w:shd w:val="clear" w:color="auto" w:fill="auto"/>
            <w:vAlign w:val="center"/>
            <w:hideMark/>
          </w:tcPr>
          <w:p w14:paraId="4FDAB3D2" w14:textId="77777777" w:rsidR="007975F5" w:rsidRPr="00E20D21" w:rsidRDefault="007975F5" w:rsidP="007975F5">
            <w:pPr>
              <w:jc w:val="center"/>
              <w:rPr>
                <w:rFonts w:ascii="CAIXA Std Book" w:hAnsi="CAIXA Std Book" w:cs="MS Gothic"/>
                <w:color w:val="005CA9"/>
                <w:sz w:val="20"/>
                <w:szCs w:val="20"/>
              </w:rPr>
            </w:pPr>
            <w:r w:rsidRPr="00E20D21">
              <w:rPr>
                <w:rFonts w:ascii="CAIXA Std Book" w:hAnsi="CAIXA Std Book" w:cs="MS Gothic"/>
                <w:color w:val="005CA9"/>
                <w:sz w:val="20"/>
                <w:szCs w:val="20"/>
              </w:rPr>
              <w:t>Exercício 2016</w:t>
            </w:r>
          </w:p>
        </w:tc>
        <w:tc>
          <w:tcPr>
            <w:tcW w:w="736" w:type="pct"/>
            <w:tcBorders>
              <w:top w:val="nil"/>
              <w:left w:val="nil"/>
              <w:bottom w:val="nil"/>
              <w:right w:val="nil"/>
            </w:tcBorders>
            <w:shd w:val="clear" w:color="auto" w:fill="auto"/>
            <w:vAlign w:val="center"/>
          </w:tcPr>
          <w:p w14:paraId="14315FBA" w14:textId="77777777" w:rsidR="007975F5" w:rsidRPr="00E20D21" w:rsidRDefault="007975F5" w:rsidP="007975F5">
            <w:pPr>
              <w:jc w:val="center"/>
              <w:rPr>
                <w:rFonts w:ascii="CAIXA Std Book" w:hAnsi="CAIXA Std Book" w:cs="MS Gothic"/>
                <w:color w:val="005CA9"/>
                <w:sz w:val="20"/>
                <w:szCs w:val="20"/>
              </w:rPr>
            </w:pPr>
            <w:r w:rsidRPr="00E20D21">
              <w:rPr>
                <w:rFonts w:ascii="CAIXA Std Book" w:hAnsi="CAIXA Std Book" w:cs="MS Gothic"/>
                <w:color w:val="005CA9"/>
                <w:sz w:val="20"/>
                <w:szCs w:val="20"/>
              </w:rPr>
              <w:t>221 meses</w:t>
            </w:r>
          </w:p>
        </w:tc>
        <w:tc>
          <w:tcPr>
            <w:tcW w:w="809" w:type="pct"/>
            <w:tcBorders>
              <w:top w:val="nil"/>
              <w:left w:val="nil"/>
              <w:bottom w:val="nil"/>
              <w:right w:val="nil"/>
            </w:tcBorders>
            <w:shd w:val="clear" w:color="auto" w:fill="auto"/>
            <w:vAlign w:val="center"/>
          </w:tcPr>
          <w:p w14:paraId="45320D48" w14:textId="3AF56414" w:rsidR="007975F5" w:rsidRPr="00E20D21" w:rsidRDefault="007C0318" w:rsidP="007975F5">
            <w:pPr>
              <w:jc w:val="right"/>
              <w:rPr>
                <w:rFonts w:ascii="CAIXA Std Book" w:hAnsi="CAIXA Std Book" w:cs="MS Gothic"/>
                <w:color w:val="005CA9"/>
                <w:sz w:val="20"/>
                <w:szCs w:val="20"/>
                <w:highlight w:val="yellow"/>
              </w:rPr>
            </w:pPr>
            <w:r w:rsidRPr="00E20D21">
              <w:rPr>
                <w:rFonts w:ascii="CAIXA Std Book" w:hAnsi="CAIXA Std Book" w:cs="Calibri"/>
                <w:color w:val="005CA9"/>
                <w:sz w:val="20"/>
                <w:szCs w:val="20"/>
              </w:rPr>
              <w:t>5.168.850</w:t>
            </w:r>
          </w:p>
        </w:tc>
        <w:tc>
          <w:tcPr>
            <w:tcW w:w="882" w:type="pct"/>
            <w:tcBorders>
              <w:top w:val="nil"/>
              <w:left w:val="nil"/>
              <w:bottom w:val="nil"/>
              <w:right w:val="nil"/>
            </w:tcBorders>
            <w:shd w:val="clear" w:color="auto" w:fill="auto"/>
            <w:vAlign w:val="center"/>
          </w:tcPr>
          <w:p w14:paraId="2C344B2A" w14:textId="77777777" w:rsidR="007975F5" w:rsidRPr="00E20D21" w:rsidRDefault="007975F5" w:rsidP="007975F5">
            <w:pPr>
              <w:jc w:val="right"/>
              <w:rPr>
                <w:rFonts w:ascii="CAIXA Std Book" w:hAnsi="CAIXA Std Book" w:cs="MS Gothic"/>
                <w:color w:val="005CA9"/>
                <w:sz w:val="20"/>
                <w:szCs w:val="20"/>
              </w:rPr>
            </w:pPr>
            <w:r w:rsidRPr="00E20D21">
              <w:rPr>
                <w:rFonts w:ascii="CAIXA Std Book" w:hAnsi="CAIXA Std Book" w:cs="MS Gothic"/>
                <w:color w:val="005CA9"/>
                <w:sz w:val="20"/>
                <w:szCs w:val="20"/>
              </w:rPr>
              <w:t>241 meses</w:t>
            </w:r>
          </w:p>
        </w:tc>
        <w:tc>
          <w:tcPr>
            <w:tcW w:w="809" w:type="pct"/>
            <w:tcBorders>
              <w:top w:val="nil"/>
              <w:left w:val="nil"/>
              <w:bottom w:val="nil"/>
              <w:right w:val="nil"/>
            </w:tcBorders>
            <w:shd w:val="clear" w:color="auto" w:fill="auto"/>
            <w:vAlign w:val="center"/>
          </w:tcPr>
          <w:p w14:paraId="6D345316" w14:textId="235DA5E5" w:rsidR="007975F5" w:rsidRPr="00E20D21" w:rsidRDefault="00940AAF" w:rsidP="007975F5">
            <w:pPr>
              <w:jc w:val="right"/>
              <w:rPr>
                <w:rFonts w:ascii="CAIXA Std Book" w:hAnsi="CAIXA Std Book" w:cs="MS Gothic"/>
                <w:color w:val="005CA9"/>
                <w:sz w:val="20"/>
                <w:szCs w:val="20"/>
                <w:highlight w:val="yellow"/>
              </w:rPr>
            </w:pPr>
            <w:r w:rsidRPr="00E20D21">
              <w:rPr>
                <w:rFonts w:ascii="CAIXA Std Book" w:hAnsi="CAIXA Std Book" w:cs="Calibri"/>
                <w:color w:val="005CA9"/>
                <w:sz w:val="20"/>
                <w:szCs w:val="20"/>
              </w:rPr>
              <w:t>153.285</w:t>
            </w:r>
          </w:p>
        </w:tc>
      </w:tr>
      <w:tr w:rsidR="00A47C19" w:rsidRPr="00E20D21" w14:paraId="412007D2" w14:textId="77777777" w:rsidTr="00981942">
        <w:trPr>
          <w:trHeight w:val="283"/>
        </w:trPr>
        <w:tc>
          <w:tcPr>
            <w:tcW w:w="1764" w:type="pct"/>
            <w:tcBorders>
              <w:top w:val="single" w:sz="4" w:space="0" w:color="F68F00"/>
              <w:left w:val="nil"/>
              <w:bottom w:val="single" w:sz="4" w:space="0" w:color="F68F00"/>
              <w:right w:val="nil"/>
            </w:tcBorders>
            <w:shd w:val="clear" w:color="auto" w:fill="auto"/>
            <w:vAlign w:val="center"/>
            <w:hideMark/>
          </w:tcPr>
          <w:p w14:paraId="2514B466" w14:textId="77777777" w:rsidR="007975F5" w:rsidRPr="00E20D21" w:rsidRDefault="007975F5" w:rsidP="007975F5">
            <w:pPr>
              <w:rPr>
                <w:rFonts w:ascii="CAIXA Std Book" w:hAnsi="CAIXA Std Book" w:cs="MS Gothic"/>
                <w:b/>
                <w:color w:val="005CA9"/>
                <w:sz w:val="20"/>
                <w:szCs w:val="20"/>
              </w:rPr>
            </w:pPr>
            <w:r w:rsidRPr="00E20D21">
              <w:rPr>
                <w:rFonts w:ascii="CAIXA Std Book" w:hAnsi="CAIXA Std Book" w:cs="MS Gothic"/>
                <w:b/>
                <w:color w:val="005CA9"/>
                <w:sz w:val="20"/>
                <w:szCs w:val="20"/>
              </w:rPr>
              <w:t> Total</w:t>
            </w:r>
          </w:p>
        </w:tc>
        <w:tc>
          <w:tcPr>
            <w:tcW w:w="736" w:type="pct"/>
            <w:tcBorders>
              <w:top w:val="single" w:sz="4" w:space="0" w:color="F68F00"/>
              <w:left w:val="nil"/>
              <w:bottom w:val="single" w:sz="4" w:space="0" w:color="F68F00"/>
              <w:right w:val="nil"/>
            </w:tcBorders>
            <w:shd w:val="clear" w:color="auto" w:fill="auto"/>
            <w:vAlign w:val="center"/>
          </w:tcPr>
          <w:p w14:paraId="265979EF" w14:textId="77777777" w:rsidR="007975F5" w:rsidRPr="00E20D21" w:rsidRDefault="007975F5" w:rsidP="007975F5">
            <w:pPr>
              <w:rPr>
                <w:rFonts w:ascii="CAIXA Std Book" w:hAnsi="CAIXA Std Book" w:cs="MS Gothic"/>
                <w:b/>
                <w:color w:val="005CA9"/>
                <w:sz w:val="20"/>
                <w:szCs w:val="20"/>
              </w:rPr>
            </w:pPr>
            <w:r w:rsidRPr="00E20D21">
              <w:rPr>
                <w:rFonts w:ascii="CAIXA Std Book" w:hAnsi="CAIXA Std Book" w:cs="MS Gothic"/>
                <w:b/>
                <w:color w:val="005CA9"/>
                <w:sz w:val="20"/>
                <w:szCs w:val="20"/>
              </w:rPr>
              <w:t> </w:t>
            </w:r>
          </w:p>
        </w:tc>
        <w:tc>
          <w:tcPr>
            <w:tcW w:w="809" w:type="pct"/>
            <w:tcBorders>
              <w:top w:val="single" w:sz="4" w:space="0" w:color="F68F00"/>
              <w:left w:val="nil"/>
              <w:bottom w:val="single" w:sz="4" w:space="0" w:color="F68F00"/>
              <w:right w:val="nil"/>
            </w:tcBorders>
            <w:shd w:val="clear" w:color="auto" w:fill="auto"/>
            <w:vAlign w:val="center"/>
          </w:tcPr>
          <w:p w14:paraId="51A7873C" w14:textId="595D6F70" w:rsidR="007975F5" w:rsidRPr="00E20D21" w:rsidRDefault="007C0318" w:rsidP="007975F5">
            <w:pPr>
              <w:jc w:val="right"/>
              <w:rPr>
                <w:rFonts w:ascii="CAIXA Std Book" w:hAnsi="CAIXA Std Book" w:cs="MS Gothic"/>
                <w:b/>
                <w:color w:val="005CA9"/>
                <w:sz w:val="20"/>
                <w:szCs w:val="20"/>
                <w:highlight w:val="yellow"/>
              </w:rPr>
            </w:pPr>
            <w:r w:rsidRPr="00E20D21">
              <w:rPr>
                <w:rFonts w:ascii="CAIXA Std Book" w:hAnsi="CAIXA Std Book" w:cs="Calibri"/>
                <w:b/>
                <w:bCs/>
                <w:color w:val="005CA9"/>
                <w:sz w:val="20"/>
                <w:szCs w:val="20"/>
              </w:rPr>
              <w:t>9.803.750</w:t>
            </w:r>
          </w:p>
        </w:tc>
        <w:tc>
          <w:tcPr>
            <w:tcW w:w="882" w:type="pct"/>
            <w:tcBorders>
              <w:top w:val="single" w:sz="4" w:space="0" w:color="F68F00"/>
              <w:left w:val="nil"/>
              <w:bottom w:val="single" w:sz="4" w:space="0" w:color="F68F00"/>
              <w:right w:val="nil"/>
            </w:tcBorders>
            <w:shd w:val="clear" w:color="auto" w:fill="auto"/>
            <w:vAlign w:val="center"/>
          </w:tcPr>
          <w:p w14:paraId="22FBF898" w14:textId="77777777" w:rsidR="007975F5" w:rsidRPr="00E20D21" w:rsidRDefault="007975F5" w:rsidP="007975F5">
            <w:pPr>
              <w:jc w:val="right"/>
              <w:rPr>
                <w:rFonts w:ascii="CAIXA Std Book" w:hAnsi="CAIXA Std Book" w:cs="MS Gothic"/>
                <w:b/>
                <w:color w:val="005CA9"/>
                <w:sz w:val="20"/>
                <w:szCs w:val="20"/>
              </w:rPr>
            </w:pPr>
          </w:p>
        </w:tc>
        <w:tc>
          <w:tcPr>
            <w:tcW w:w="809" w:type="pct"/>
            <w:tcBorders>
              <w:top w:val="single" w:sz="4" w:space="0" w:color="F68F00"/>
              <w:left w:val="nil"/>
              <w:bottom w:val="single" w:sz="4" w:space="0" w:color="F68F00"/>
              <w:right w:val="nil"/>
            </w:tcBorders>
            <w:shd w:val="clear" w:color="auto" w:fill="auto"/>
            <w:vAlign w:val="center"/>
          </w:tcPr>
          <w:p w14:paraId="377C92FF" w14:textId="7CF5DB91" w:rsidR="007975F5" w:rsidRPr="00E20D21" w:rsidRDefault="00940AAF" w:rsidP="007975F5">
            <w:pPr>
              <w:jc w:val="right"/>
              <w:rPr>
                <w:rFonts w:ascii="CAIXA Std Book" w:hAnsi="CAIXA Std Book" w:cs="MS Gothic"/>
                <w:b/>
                <w:color w:val="005CA9"/>
                <w:sz w:val="20"/>
                <w:szCs w:val="20"/>
                <w:highlight w:val="yellow"/>
              </w:rPr>
            </w:pPr>
            <w:r w:rsidRPr="00E20D21">
              <w:rPr>
                <w:rFonts w:ascii="CAIXA Std Book" w:hAnsi="CAIXA Std Book" w:cs="Calibri"/>
                <w:b/>
                <w:bCs/>
                <w:color w:val="005CA9"/>
                <w:sz w:val="20"/>
                <w:szCs w:val="20"/>
              </w:rPr>
              <w:t>388.378</w:t>
            </w:r>
          </w:p>
        </w:tc>
      </w:tr>
    </w:tbl>
    <w:p w14:paraId="34F2ACD6" w14:textId="4A89C52C" w:rsidR="00DC0C10" w:rsidRPr="00E20D21" w:rsidRDefault="002A04C4" w:rsidP="00DC0C10">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 xml:space="preserve">Em relação aos planos REG/REPLAN, a CAIXA mantém provisionado em </w:t>
      </w:r>
      <w:r w:rsidR="00B32E66" w:rsidRPr="00E20D21">
        <w:rPr>
          <w:rFonts w:ascii="CAIXA Std Book" w:hAnsi="CAIXA Std Book"/>
          <w:color w:val="005CA9"/>
          <w:sz w:val="20"/>
          <w:szCs w:val="20"/>
        </w:rPr>
        <w:t>30/06/2024</w:t>
      </w:r>
      <w:r w:rsidRPr="00E20D21">
        <w:rPr>
          <w:rFonts w:ascii="CAIXA Std Book" w:hAnsi="CAIXA Std Book"/>
          <w:color w:val="005CA9"/>
          <w:sz w:val="20"/>
          <w:szCs w:val="20"/>
        </w:rPr>
        <w:t xml:space="preserve"> o montante de R$ </w:t>
      </w:r>
      <w:r w:rsidR="00081052" w:rsidRPr="00E20D21">
        <w:rPr>
          <w:rFonts w:ascii="CAIXA Std Book" w:hAnsi="CAIXA Std Book"/>
          <w:color w:val="005CA9"/>
          <w:sz w:val="20"/>
          <w:szCs w:val="20"/>
        </w:rPr>
        <w:t>10.192.127</w:t>
      </w:r>
      <w:r w:rsidRPr="00E20D21">
        <w:rPr>
          <w:rFonts w:ascii="CAIXA Std Book" w:hAnsi="CAIXA Std Book"/>
          <w:color w:val="005CA9"/>
          <w:sz w:val="20"/>
          <w:szCs w:val="20"/>
        </w:rPr>
        <w:t xml:space="preserve"> (31/12/202</w:t>
      </w:r>
      <w:r w:rsidR="00044FBE" w:rsidRPr="00E20D21">
        <w:rPr>
          <w:rFonts w:ascii="CAIXA Std Book" w:hAnsi="CAIXA Std Book"/>
          <w:color w:val="005CA9"/>
          <w:sz w:val="20"/>
          <w:szCs w:val="20"/>
        </w:rPr>
        <w:t>3</w:t>
      </w:r>
      <w:r w:rsidRPr="00E20D21">
        <w:rPr>
          <w:rFonts w:ascii="CAIXA Std Book" w:hAnsi="CAIXA Std Book"/>
          <w:color w:val="005CA9"/>
          <w:sz w:val="20"/>
          <w:szCs w:val="20"/>
        </w:rPr>
        <w:t xml:space="preserve"> – R$ 10.</w:t>
      </w:r>
      <w:r w:rsidR="0085768B" w:rsidRPr="00E20D21">
        <w:rPr>
          <w:rFonts w:ascii="CAIXA Std Book" w:hAnsi="CAIXA Std Book"/>
          <w:color w:val="005CA9"/>
          <w:sz w:val="20"/>
          <w:szCs w:val="20"/>
        </w:rPr>
        <w:t>450</w:t>
      </w:r>
      <w:r w:rsidR="00B32E66" w:rsidRPr="00E20D21">
        <w:rPr>
          <w:rFonts w:ascii="CAIXA Std Book" w:hAnsi="CAIXA Std Book"/>
          <w:color w:val="005CA9"/>
          <w:sz w:val="20"/>
          <w:szCs w:val="20"/>
        </w:rPr>
        <w:t>.808</w:t>
      </w:r>
      <w:r w:rsidRPr="00E20D21">
        <w:rPr>
          <w:rFonts w:ascii="CAIXA Std Book" w:hAnsi="CAIXA Std Book"/>
          <w:color w:val="005CA9"/>
          <w:sz w:val="20"/>
          <w:szCs w:val="20"/>
        </w:rPr>
        <w:t>)</w:t>
      </w:r>
      <w:r w:rsidR="00DC0C10" w:rsidRPr="00E20D21">
        <w:rPr>
          <w:rFonts w:ascii="CAIXA Std Book" w:hAnsi="CAIXA Std Book"/>
          <w:color w:val="005CA9"/>
          <w:sz w:val="20"/>
          <w:szCs w:val="20"/>
        </w:rPr>
        <w:t xml:space="preserve">, sendo R$ </w:t>
      </w:r>
      <w:r w:rsidR="00081052" w:rsidRPr="00E20D21">
        <w:rPr>
          <w:rFonts w:ascii="CAIXA Std Book" w:hAnsi="CAIXA Std Book"/>
          <w:color w:val="005CA9"/>
          <w:sz w:val="20"/>
          <w:szCs w:val="20"/>
        </w:rPr>
        <w:t>8.510.</w:t>
      </w:r>
      <w:r w:rsidR="00ED2359" w:rsidRPr="00E20D21">
        <w:rPr>
          <w:rFonts w:ascii="CAIXA Std Book" w:hAnsi="CAIXA Std Book"/>
          <w:color w:val="005CA9"/>
          <w:sz w:val="20"/>
          <w:szCs w:val="20"/>
        </w:rPr>
        <w:t>266</w:t>
      </w:r>
      <w:r w:rsidR="00DC0C10" w:rsidRPr="00E20D21">
        <w:rPr>
          <w:rFonts w:ascii="CAIXA Std Book" w:hAnsi="CAIXA Std Book"/>
          <w:color w:val="005CA9"/>
          <w:sz w:val="20"/>
          <w:szCs w:val="20"/>
        </w:rPr>
        <w:t xml:space="preserve"> calculado conforme disposições do Pronunciamento Técnico CPC 33 (R1), complementado por R$ </w:t>
      </w:r>
      <w:r w:rsidR="00ED2359" w:rsidRPr="00E20D21">
        <w:rPr>
          <w:rFonts w:ascii="CAIXA Std Book" w:hAnsi="CAIXA Std Book"/>
          <w:color w:val="005CA9"/>
          <w:sz w:val="20"/>
          <w:szCs w:val="20"/>
        </w:rPr>
        <w:t>1.681.861</w:t>
      </w:r>
      <w:r w:rsidR="00DC0C10" w:rsidRPr="00E20D21">
        <w:rPr>
          <w:rFonts w:ascii="CAIXA Std Book" w:hAnsi="CAIXA Std Book"/>
          <w:color w:val="005CA9"/>
          <w:sz w:val="20"/>
          <w:szCs w:val="20"/>
        </w:rPr>
        <w:t xml:space="preserve"> para assegurar os planos de equacionamentos dos déficits atuariais.</w:t>
      </w:r>
    </w:p>
    <w:p w14:paraId="0C1E69E4" w14:textId="50485FDE" w:rsidR="002A04C4" w:rsidRPr="00E20D21" w:rsidRDefault="002A04C4" w:rsidP="002A04C4">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Os pagamentos da CAIXA à FUNCEF relativos aos respectivos planos de equacionamento, no </w:t>
      </w:r>
      <w:r w:rsidR="00B32E66" w:rsidRPr="00E20D21">
        <w:rPr>
          <w:rFonts w:ascii="CAIXA Std Book" w:hAnsi="CAIXA Std Book"/>
          <w:color w:val="005CA9"/>
          <w:sz w:val="20"/>
          <w:szCs w:val="20"/>
        </w:rPr>
        <w:t>1º semestre</w:t>
      </w:r>
      <w:r w:rsidR="00044FBE" w:rsidRPr="00E20D21">
        <w:rPr>
          <w:rFonts w:ascii="CAIXA Std Book" w:hAnsi="CAIXA Std Book"/>
          <w:color w:val="005CA9"/>
          <w:sz w:val="20"/>
          <w:szCs w:val="20"/>
        </w:rPr>
        <w:t xml:space="preserve"> de </w:t>
      </w:r>
      <w:r w:rsidRPr="00E20D21">
        <w:rPr>
          <w:rFonts w:ascii="CAIXA Std Book" w:hAnsi="CAIXA Std Book"/>
          <w:color w:val="005CA9"/>
          <w:sz w:val="20"/>
          <w:szCs w:val="20"/>
        </w:rPr>
        <w:t>202</w:t>
      </w:r>
      <w:r w:rsidR="00044FBE" w:rsidRPr="00E20D21">
        <w:rPr>
          <w:rFonts w:ascii="CAIXA Std Book" w:hAnsi="CAIXA Std Book"/>
          <w:color w:val="005CA9"/>
          <w:sz w:val="20"/>
          <w:szCs w:val="20"/>
        </w:rPr>
        <w:t>4</w:t>
      </w:r>
      <w:r w:rsidRPr="00E20D21">
        <w:rPr>
          <w:rFonts w:ascii="CAIXA Std Book" w:hAnsi="CAIXA Std Book"/>
          <w:color w:val="005CA9"/>
          <w:sz w:val="20"/>
          <w:szCs w:val="20"/>
        </w:rPr>
        <w:t xml:space="preserve">, montam R$ </w:t>
      </w:r>
      <w:r w:rsidR="006B05F8" w:rsidRPr="00E20D21">
        <w:rPr>
          <w:rFonts w:ascii="CAIXA Std Book" w:hAnsi="CAIXA Std Book"/>
          <w:color w:val="005CA9"/>
          <w:sz w:val="20"/>
          <w:szCs w:val="20"/>
        </w:rPr>
        <w:t>577.166</w:t>
      </w:r>
      <w:r w:rsidRPr="00E20D21">
        <w:rPr>
          <w:rFonts w:ascii="CAIXA Std Book" w:hAnsi="CAIXA Std Book"/>
          <w:color w:val="005CA9"/>
          <w:sz w:val="20"/>
          <w:szCs w:val="20"/>
        </w:rPr>
        <w:t xml:space="preserve"> (</w:t>
      </w:r>
      <w:r w:rsidR="00044FBE" w:rsidRPr="00E20D21">
        <w:rPr>
          <w:rFonts w:ascii="CAIXA Std Book" w:hAnsi="CAIXA Std Book"/>
          <w:color w:val="005CA9"/>
          <w:sz w:val="20"/>
          <w:szCs w:val="20"/>
        </w:rPr>
        <w:t>1º semestre 2023</w:t>
      </w:r>
      <w:r w:rsidRPr="00E20D21">
        <w:rPr>
          <w:rFonts w:ascii="CAIXA Std Book" w:hAnsi="CAIXA Std Book"/>
          <w:color w:val="005CA9"/>
          <w:sz w:val="20"/>
          <w:szCs w:val="20"/>
        </w:rPr>
        <w:t xml:space="preserve"> – R$</w:t>
      </w:r>
      <w:r w:rsidR="004B53B6" w:rsidRPr="00E20D21">
        <w:rPr>
          <w:rFonts w:ascii="CAIXA Std Book" w:hAnsi="CAIXA Std Book"/>
          <w:color w:val="005CA9"/>
          <w:sz w:val="20"/>
          <w:szCs w:val="20"/>
        </w:rPr>
        <w:t>647.461</w:t>
      </w:r>
      <w:r w:rsidRPr="00E20D21">
        <w:rPr>
          <w:rFonts w:ascii="CAIXA Std Book" w:hAnsi="CAIXA Std Book"/>
          <w:color w:val="005CA9"/>
          <w:sz w:val="20"/>
          <w:szCs w:val="20"/>
        </w:rPr>
        <w:t>).</w:t>
      </w:r>
    </w:p>
    <w:p w14:paraId="05D10D7F" w14:textId="77777777" w:rsidR="009609B9" w:rsidRPr="00E20D21" w:rsidRDefault="009609B9" w:rsidP="00DB670C">
      <w:pPr>
        <w:pStyle w:val="wordsection1"/>
        <w:numPr>
          <w:ilvl w:val="0"/>
          <w:numId w:val="22"/>
        </w:numPr>
        <w:autoSpaceDE w:val="0"/>
        <w:autoSpaceDN w:val="0"/>
        <w:adjustRightInd w:val="0"/>
        <w:spacing w:before="120" w:beforeAutospacing="0" w:after="120" w:afterAutospacing="0"/>
        <w:ind w:left="284" w:hanging="284"/>
        <w:jc w:val="both"/>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REB</w:t>
      </w:r>
    </w:p>
    <w:p w14:paraId="3FFF876B"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patrocina o Plano de Benefícios REB, administrado pela FUNCEF. O Plano de Benefícios REB foi aprovado por órgão competente em 05 de agosto de 1998, tendo seu início operacional nessa mesma data.</w:t>
      </w:r>
    </w:p>
    <w:p w14:paraId="48FAFC3F"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REB é estruturado na modalidade de Contribuição Variável, sendo a contribuição normal do participante calculada mediante a aplicação de percentual incidente sobre o Salário de Participação, definido no ato de sua inscrição, não podendo ser inferior a 2% (dois por cento).</w:t>
      </w:r>
    </w:p>
    <w:p w14:paraId="5FABD7B3" w14:textId="71FF27F1"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Diante de sua criação, foram interrompidas novas adesões ao REG/REPLAN e este foi oferecido aos empregados da CAIXA admitidos a partir de 1998. Em 04 de fevereiro de 2002, seu regulamento foi alterado para permitir a migração de participantes do REG/REPLAN para o REB, processo contestado por associados. Essa experiência influenciou o processo de elaboração da proposta do REG/REPLAN Saldado e da criação do Plano de Benefícios Novo Plano.</w:t>
      </w:r>
    </w:p>
    <w:p w14:paraId="5E7ECD8F" w14:textId="77777777" w:rsidR="009609B9" w:rsidRPr="00E20D21" w:rsidRDefault="009609B9" w:rsidP="009609B9">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Em relação ao plano de custeio do plano REB, definido como o cálculo que determina o nível das contribuições do patrocinador, dos participantes e dos assistidos, de forma a fixar o custo do plano de benefícios, este será estabelecido com periodicidade mínima anual, de forma a fixar adequadamente o nível das contribuições sociais devidas e dos custos administrativos, constando obrigatoriamente do resultado da avaliação atuarial do plano, conforme definido no regulamento do plano (disponível em: (</w:t>
      </w:r>
      <w:hyperlink r:id="rId71" w:history="1">
        <w:r w:rsidR="002A04C4" w:rsidRPr="00E20D21">
          <w:rPr>
            <w:rStyle w:val="Hyperlink"/>
            <w:rFonts w:ascii="CAIXA Std Book" w:hAnsi="CAIXA Std Book"/>
            <w:color w:val="005CA9"/>
            <w:sz w:val="20"/>
            <w:szCs w:val="20"/>
          </w:rPr>
          <w:t>www.funcef.com.br</w:t>
        </w:r>
      </w:hyperlink>
      <w:r w:rsidRPr="00E20D21">
        <w:rPr>
          <w:rStyle w:val="Hyperlink"/>
          <w:rFonts w:ascii="CAIXA Std Book" w:hAnsi="CAIXA Std Book"/>
          <w:color w:val="005CA9"/>
          <w:sz w:val="20"/>
          <w:szCs w:val="20"/>
        </w:rPr>
        <w:t>)</w:t>
      </w:r>
      <w:r w:rsidRPr="00E20D21">
        <w:rPr>
          <w:rFonts w:ascii="CAIXA Std Book" w:hAnsi="CAIXA Std Book"/>
          <w:color w:val="005CA9"/>
          <w:sz w:val="20"/>
          <w:szCs w:val="20"/>
        </w:rPr>
        <w:t>.</w:t>
      </w:r>
    </w:p>
    <w:p w14:paraId="41A0D77E" w14:textId="77777777" w:rsidR="009609B9" w:rsidRPr="00E20D21" w:rsidRDefault="009609B9" w:rsidP="00DB670C">
      <w:pPr>
        <w:pStyle w:val="wordsection1"/>
        <w:numPr>
          <w:ilvl w:val="0"/>
          <w:numId w:val="22"/>
        </w:numPr>
        <w:autoSpaceDE w:val="0"/>
        <w:autoSpaceDN w:val="0"/>
        <w:adjustRightInd w:val="0"/>
        <w:spacing w:before="120" w:beforeAutospacing="0" w:after="120" w:afterAutospacing="0"/>
        <w:ind w:left="284" w:hanging="284"/>
        <w:jc w:val="both"/>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Novo Plano</w:t>
      </w:r>
    </w:p>
    <w:p w14:paraId="5277CFDE"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patrocina o Plano de Benefícios Novo Plano, administrado pela FUNCEF. Aprovado por órgão competente em 16 de junho de 2006, teve seu início operacional em 01 de setembro de 2006. É o único plano aberto às novas inscrições de funcionários CAIXA.</w:t>
      </w:r>
    </w:p>
    <w:p w14:paraId="596E6258" w14:textId="1969E370"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lastRenderedPageBreak/>
        <w:t>O Novo Plano é estruturado na modalidade de Contribuição Variável, com contribuição definida na fase de formação de reservas e benefício definido na etapa de recebimento de benefícios, bem como nos casos de benefícios de risco, como invalidez e pensão por morte. Inclui institutos fixados pela Lei Complementar nº 109/2001 – tais como a garantia de condições de resgate e portabilidade do saldo da conta individual de participante. Adota também nova base de contribuição, aumentando a parcela destinada pela CAIXA ao saldo de conta do associado. A contribuição normal do participante, calculada mediante a aplicação de percentual incidente sobre o Salário de Participação, definido no ato de sua inscrição, não podendo ser inferior a 5% (cinco por cento).</w:t>
      </w:r>
    </w:p>
    <w:p w14:paraId="7ABFBCFB"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custeio das despesas administrativas será de responsabilidade paritária entre Patrocinador, Participantes e Assistidos, devendo ser aprovado pela Diretoria Executiva e Conselho Deliberativo da FUNCEF, observados os limites e critérios estabelecidos pelo órgão regulador.</w:t>
      </w:r>
    </w:p>
    <w:p w14:paraId="28C1E26B" w14:textId="58CB3F55"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 plano de custeio do Novo Plano estabelecerá o nível de contribuição necessário à constituição das reservas garantidoras de benefícios, institutos, fundos, provisões e à cobertura das demais despesas, sendo aprovado pela Diretoria Executiva, submetido à deliberação do Conselho Deliberativo da FUNCEF e aprovação do patrocinador, em conformidade com critérios fixados pelo órgão regulador e fiscalizador, conforme regulamento do plano (disponível em: </w:t>
      </w:r>
      <w:hyperlink r:id="rId72" w:history="1">
        <w:r w:rsidR="002A04C4" w:rsidRPr="00E20D21">
          <w:rPr>
            <w:rStyle w:val="Hyperlink"/>
            <w:rFonts w:ascii="CAIXA Std Book" w:hAnsi="CAIXA Std Book"/>
            <w:color w:val="005CA9"/>
            <w:sz w:val="20"/>
            <w:szCs w:val="20"/>
          </w:rPr>
          <w:t>www.funcef.com.br/</w:t>
        </w:r>
      </w:hyperlink>
      <w:r w:rsidRPr="00E20D21">
        <w:rPr>
          <w:rFonts w:ascii="CAIXA Std Book" w:hAnsi="CAIXA Std Book"/>
          <w:color w:val="005CA9"/>
          <w:sz w:val="20"/>
          <w:szCs w:val="20"/>
        </w:rPr>
        <w:t>).</w:t>
      </w:r>
    </w:p>
    <w:p w14:paraId="3117F8D1"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 plano de custeio terá periodicidade anual, mas poderá ser revisto a qualquer tempo se houver necessidade devidamente justificada pela FUNCEF e ocorrerá sob responsabilidade do patrocinador e participantes, inclusive assistidos. </w:t>
      </w:r>
    </w:p>
    <w:p w14:paraId="7FB12A83" w14:textId="77777777" w:rsidR="009609B9" w:rsidRPr="00E20D21" w:rsidRDefault="009609B9" w:rsidP="009609B9">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despesa administrativa da FUNCEF será custeada pelo patrocinador e participantes, inclusive assistidos, observado o limite e os critérios estabelecidos pelo órgão regulador e fiscalizador.</w:t>
      </w:r>
    </w:p>
    <w:p w14:paraId="2F9510B0" w14:textId="646A8A8F" w:rsidR="009609B9" w:rsidRPr="00E20D21" w:rsidRDefault="009609B9" w:rsidP="00DB670C">
      <w:pPr>
        <w:pStyle w:val="wordsection1"/>
        <w:numPr>
          <w:ilvl w:val="0"/>
          <w:numId w:val="35"/>
        </w:numPr>
        <w:autoSpaceDE w:val="0"/>
        <w:autoSpaceDN w:val="0"/>
        <w:adjustRightInd w:val="0"/>
        <w:spacing w:before="120" w:beforeAutospacing="0" w:after="120" w:afterAutospacing="0"/>
        <w:ind w:left="567" w:hanging="567"/>
        <w:jc w:val="both"/>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Quantidade de participantes – benefícios pós-emprego</w:t>
      </w:r>
    </w:p>
    <w:tbl>
      <w:tblPr>
        <w:tblW w:w="5000" w:type="pct"/>
        <w:tblCellMar>
          <w:left w:w="70" w:type="dxa"/>
          <w:right w:w="70" w:type="dxa"/>
        </w:tblCellMar>
        <w:tblLook w:val="04A0" w:firstRow="1" w:lastRow="0" w:firstColumn="1" w:lastColumn="0" w:noHBand="0" w:noVBand="1"/>
      </w:tblPr>
      <w:tblGrid>
        <w:gridCol w:w="4026"/>
        <w:gridCol w:w="902"/>
        <w:gridCol w:w="1039"/>
        <w:gridCol w:w="904"/>
        <w:gridCol w:w="902"/>
        <w:gridCol w:w="970"/>
        <w:gridCol w:w="896"/>
      </w:tblGrid>
      <w:tr w:rsidR="00A47C19" w:rsidRPr="00E20D21" w14:paraId="215B6441" w14:textId="77777777" w:rsidTr="00D73144">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04ADF9F8" w14:textId="7E9520C3"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CONSOLIDADO</w:t>
            </w:r>
          </w:p>
        </w:tc>
      </w:tr>
      <w:tr w:rsidR="00A47C19" w:rsidRPr="00E20D21" w14:paraId="01A200FB" w14:textId="77777777" w:rsidTr="00D73144">
        <w:trPr>
          <w:trHeight w:val="283"/>
        </w:trPr>
        <w:tc>
          <w:tcPr>
            <w:tcW w:w="2088" w:type="pct"/>
            <w:vMerge w:val="restart"/>
            <w:tcBorders>
              <w:top w:val="single" w:sz="4" w:space="0" w:color="F68F00"/>
              <w:left w:val="nil"/>
              <w:right w:val="nil"/>
            </w:tcBorders>
            <w:shd w:val="clear" w:color="auto" w:fill="auto"/>
            <w:vAlign w:val="center"/>
            <w:hideMark/>
          </w:tcPr>
          <w:p w14:paraId="4A21DE31"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1476" w:type="pct"/>
            <w:gridSpan w:val="3"/>
            <w:tcBorders>
              <w:top w:val="single" w:sz="4" w:space="0" w:color="F68F00"/>
              <w:left w:val="nil"/>
              <w:bottom w:val="single" w:sz="4" w:space="0" w:color="F68F00"/>
              <w:right w:val="nil"/>
            </w:tcBorders>
            <w:shd w:val="clear" w:color="auto" w:fill="auto"/>
            <w:vAlign w:val="center"/>
            <w:hideMark/>
          </w:tcPr>
          <w:p w14:paraId="1055C9B5" w14:textId="53D25FA0" w:rsidR="002A04C4" w:rsidRPr="00E20D21" w:rsidRDefault="00067BEA"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r w:rsidR="002A04C4" w:rsidRPr="00E20D21">
              <w:rPr>
                <w:rFonts w:ascii="CAIXA Std Book" w:hAnsi="CAIXA Std Book" w:cs="MS Gothic"/>
                <w:b/>
                <w:color w:val="005CA9"/>
                <w:sz w:val="18"/>
                <w:szCs w:val="18"/>
              </w:rPr>
              <w:t xml:space="preserve"> (1)</w:t>
            </w:r>
          </w:p>
        </w:tc>
        <w:tc>
          <w:tcPr>
            <w:tcW w:w="1436" w:type="pct"/>
            <w:gridSpan w:val="3"/>
            <w:tcBorders>
              <w:top w:val="single" w:sz="4" w:space="0" w:color="F68F00"/>
              <w:left w:val="nil"/>
              <w:bottom w:val="single" w:sz="4" w:space="0" w:color="F68F00"/>
              <w:right w:val="nil"/>
            </w:tcBorders>
            <w:shd w:val="clear" w:color="auto" w:fill="auto"/>
            <w:vAlign w:val="center"/>
          </w:tcPr>
          <w:p w14:paraId="4627D84E" w14:textId="5AE409D1"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w:t>
            </w:r>
            <w:r w:rsidR="00067BEA" w:rsidRPr="00E20D21">
              <w:rPr>
                <w:rFonts w:ascii="CAIXA Std Book" w:hAnsi="CAIXA Std Book" w:cs="MS Gothic"/>
                <w:b/>
                <w:color w:val="005CA9"/>
                <w:sz w:val="18"/>
                <w:szCs w:val="18"/>
              </w:rPr>
              <w:t>3</w:t>
            </w:r>
            <w:r w:rsidRPr="00E20D21">
              <w:rPr>
                <w:rFonts w:ascii="CAIXA Std Book" w:hAnsi="CAIXA Std Book" w:cs="MS Gothic"/>
                <w:b/>
                <w:color w:val="005CA9"/>
                <w:sz w:val="18"/>
                <w:szCs w:val="18"/>
              </w:rPr>
              <w:t xml:space="preserve"> (2)</w:t>
            </w:r>
          </w:p>
        </w:tc>
      </w:tr>
      <w:tr w:rsidR="00A47C19" w:rsidRPr="00E20D21" w14:paraId="1AB8BAA6" w14:textId="77777777" w:rsidTr="00D73144">
        <w:trPr>
          <w:trHeight w:val="283"/>
        </w:trPr>
        <w:tc>
          <w:tcPr>
            <w:tcW w:w="2088" w:type="pct"/>
            <w:vMerge/>
            <w:tcBorders>
              <w:left w:val="nil"/>
              <w:bottom w:val="single" w:sz="4" w:space="0" w:color="F68F00"/>
              <w:right w:val="nil"/>
            </w:tcBorders>
            <w:vAlign w:val="center"/>
            <w:hideMark/>
          </w:tcPr>
          <w:p w14:paraId="3F0C4C17" w14:textId="77777777" w:rsidR="002A04C4" w:rsidRPr="00E20D21" w:rsidRDefault="002A04C4" w:rsidP="00D73144">
            <w:pPr>
              <w:rPr>
                <w:rFonts w:ascii="CAIXA Std Book" w:hAnsi="CAIXA Std Book" w:cs="MS Gothic"/>
                <w:b/>
                <w:color w:val="005CA9"/>
                <w:sz w:val="18"/>
                <w:szCs w:val="18"/>
              </w:rPr>
            </w:pPr>
          </w:p>
        </w:tc>
        <w:tc>
          <w:tcPr>
            <w:tcW w:w="468" w:type="pct"/>
            <w:tcBorders>
              <w:top w:val="nil"/>
              <w:left w:val="nil"/>
              <w:bottom w:val="single" w:sz="4" w:space="0" w:color="F68F00"/>
              <w:right w:val="nil"/>
            </w:tcBorders>
            <w:shd w:val="clear" w:color="auto" w:fill="auto"/>
            <w:vAlign w:val="center"/>
            <w:hideMark/>
          </w:tcPr>
          <w:p w14:paraId="55CFDCF5"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Ativos</w:t>
            </w:r>
          </w:p>
        </w:tc>
        <w:tc>
          <w:tcPr>
            <w:tcW w:w="539" w:type="pct"/>
            <w:tcBorders>
              <w:top w:val="nil"/>
              <w:left w:val="nil"/>
              <w:bottom w:val="single" w:sz="4" w:space="0" w:color="F68F00"/>
              <w:right w:val="nil"/>
            </w:tcBorders>
            <w:shd w:val="clear" w:color="auto" w:fill="auto"/>
            <w:vAlign w:val="center"/>
            <w:hideMark/>
          </w:tcPr>
          <w:p w14:paraId="225C76B3"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Assistidos</w:t>
            </w:r>
          </w:p>
        </w:tc>
        <w:tc>
          <w:tcPr>
            <w:tcW w:w="469" w:type="pct"/>
            <w:tcBorders>
              <w:top w:val="nil"/>
              <w:left w:val="nil"/>
              <w:bottom w:val="single" w:sz="4" w:space="0" w:color="F68F00"/>
              <w:right w:val="nil"/>
            </w:tcBorders>
            <w:shd w:val="clear" w:color="auto" w:fill="auto"/>
            <w:vAlign w:val="center"/>
            <w:hideMark/>
          </w:tcPr>
          <w:p w14:paraId="504286BF"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Total</w:t>
            </w:r>
          </w:p>
        </w:tc>
        <w:tc>
          <w:tcPr>
            <w:tcW w:w="468" w:type="pct"/>
            <w:tcBorders>
              <w:top w:val="nil"/>
              <w:left w:val="nil"/>
              <w:bottom w:val="single" w:sz="4" w:space="0" w:color="F68F00"/>
              <w:right w:val="nil"/>
            </w:tcBorders>
            <w:shd w:val="clear" w:color="auto" w:fill="auto"/>
            <w:vAlign w:val="center"/>
          </w:tcPr>
          <w:p w14:paraId="23381F6F"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Ativos</w:t>
            </w:r>
          </w:p>
        </w:tc>
        <w:tc>
          <w:tcPr>
            <w:tcW w:w="503" w:type="pct"/>
            <w:tcBorders>
              <w:top w:val="nil"/>
              <w:left w:val="nil"/>
              <w:bottom w:val="single" w:sz="4" w:space="0" w:color="F68F00"/>
              <w:right w:val="nil"/>
            </w:tcBorders>
            <w:shd w:val="clear" w:color="auto" w:fill="auto"/>
            <w:vAlign w:val="center"/>
          </w:tcPr>
          <w:p w14:paraId="3B1ABB31"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Assistidos</w:t>
            </w:r>
          </w:p>
        </w:tc>
        <w:tc>
          <w:tcPr>
            <w:tcW w:w="465" w:type="pct"/>
            <w:tcBorders>
              <w:top w:val="nil"/>
              <w:left w:val="nil"/>
              <w:bottom w:val="single" w:sz="4" w:space="0" w:color="F68F00"/>
              <w:right w:val="nil"/>
            </w:tcBorders>
            <w:shd w:val="clear" w:color="auto" w:fill="auto"/>
            <w:vAlign w:val="center"/>
          </w:tcPr>
          <w:p w14:paraId="0B8C26CA"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Total</w:t>
            </w:r>
          </w:p>
        </w:tc>
      </w:tr>
      <w:tr w:rsidR="00FC14F0" w:rsidRPr="00E20D21" w14:paraId="55A58DA1" w14:textId="77777777" w:rsidTr="00D73144">
        <w:trPr>
          <w:trHeight w:val="283"/>
        </w:trPr>
        <w:tc>
          <w:tcPr>
            <w:tcW w:w="2088" w:type="pct"/>
            <w:tcBorders>
              <w:top w:val="nil"/>
              <w:left w:val="nil"/>
              <w:bottom w:val="nil"/>
              <w:right w:val="nil"/>
            </w:tcBorders>
            <w:shd w:val="clear" w:color="auto" w:fill="auto"/>
            <w:vAlign w:val="center"/>
            <w:hideMark/>
          </w:tcPr>
          <w:p w14:paraId="3BDD2CAD" w14:textId="77777777" w:rsidR="00FC14F0" w:rsidRPr="00E20D21" w:rsidRDefault="00FC14F0" w:rsidP="00FC14F0">
            <w:pPr>
              <w:rPr>
                <w:rFonts w:ascii="CAIXA Std Book" w:hAnsi="CAIXA Std Book" w:cs="MS Gothic"/>
                <w:color w:val="005CA9"/>
                <w:sz w:val="18"/>
                <w:szCs w:val="18"/>
              </w:rPr>
            </w:pPr>
            <w:r w:rsidRPr="00E20D21">
              <w:rPr>
                <w:rFonts w:ascii="CAIXA Std Book" w:hAnsi="CAIXA Std Book" w:cs="MS Gothic"/>
                <w:color w:val="005CA9"/>
                <w:sz w:val="18"/>
                <w:szCs w:val="18"/>
              </w:rPr>
              <w:t>Saúde CAIXA (incluindo dependentes)</w:t>
            </w:r>
          </w:p>
        </w:tc>
        <w:tc>
          <w:tcPr>
            <w:tcW w:w="468" w:type="pct"/>
            <w:tcBorders>
              <w:top w:val="nil"/>
              <w:left w:val="nil"/>
              <w:bottom w:val="nil"/>
              <w:right w:val="nil"/>
            </w:tcBorders>
            <w:shd w:val="clear" w:color="auto" w:fill="auto"/>
            <w:vAlign w:val="center"/>
          </w:tcPr>
          <w:p w14:paraId="2F07AF6E" w14:textId="0689F317"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72.123</w:t>
            </w:r>
          </w:p>
        </w:tc>
        <w:tc>
          <w:tcPr>
            <w:tcW w:w="539" w:type="pct"/>
            <w:tcBorders>
              <w:top w:val="nil"/>
              <w:left w:val="nil"/>
              <w:bottom w:val="nil"/>
              <w:right w:val="nil"/>
            </w:tcBorders>
            <w:shd w:val="clear" w:color="auto" w:fill="auto"/>
            <w:vAlign w:val="center"/>
          </w:tcPr>
          <w:p w14:paraId="54E1ECD8" w14:textId="1E5E6C1F" w:rsidR="00FC14F0" w:rsidRPr="00E20D21" w:rsidRDefault="007C4B06" w:rsidP="00FC14F0">
            <w:pPr>
              <w:jc w:val="right"/>
              <w:rPr>
                <w:rFonts w:ascii="CAIXA Std Book" w:hAnsi="CAIXA Std Book"/>
                <w:color w:val="005CA9"/>
                <w:sz w:val="18"/>
                <w:szCs w:val="18"/>
              </w:rPr>
            </w:pPr>
            <w:r w:rsidRPr="00E20D21">
              <w:rPr>
                <w:rFonts w:ascii="CAIXA Std Book" w:hAnsi="CAIXA Std Book" w:cs="Calibri"/>
                <w:color w:val="005CA9"/>
                <w:sz w:val="16"/>
                <w:szCs w:val="16"/>
              </w:rPr>
              <w:t>74.348</w:t>
            </w:r>
          </w:p>
        </w:tc>
        <w:tc>
          <w:tcPr>
            <w:tcW w:w="469" w:type="pct"/>
            <w:tcBorders>
              <w:top w:val="nil"/>
              <w:left w:val="nil"/>
              <w:bottom w:val="nil"/>
              <w:right w:val="nil"/>
            </w:tcBorders>
            <w:shd w:val="clear" w:color="auto" w:fill="auto"/>
            <w:vAlign w:val="center"/>
          </w:tcPr>
          <w:p w14:paraId="7A480B28" w14:textId="26D4D7C8"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146.471</w:t>
            </w:r>
          </w:p>
        </w:tc>
        <w:tc>
          <w:tcPr>
            <w:tcW w:w="468" w:type="pct"/>
            <w:tcBorders>
              <w:top w:val="nil"/>
              <w:left w:val="nil"/>
              <w:bottom w:val="nil"/>
              <w:right w:val="nil"/>
            </w:tcBorders>
            <w:shd w:val="clear" w:color="auto" w:fill="auto"/>
            <w:vAlign w:val="center"/>
          </w:tcPr>
          <w:p w14:paraId="38E104ED" w14:textId="5FA972DD"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72.008</w:t>
            </w:r>
          </w:p>
        </w:tc>
        <w:tc>
          <w:tcPr>
            <w:tcW w:w="503" w:type="pct"/>
            <w:tcBorders>
              <w:top w:val="nil"/>
              <w:left w:val="nil"/>
              <w:bottom w:val="nil"/>
              <w:right w:val="nil"/>
            </w:tcBorders>
            <w:shd w:val="clear" w:color="auto" w:fill="auto"/>
            <w:vAlign w:val="center"/>
          </w:tcPr>
          <w:p w14:paraId="2B86DAA1" w14:textId="02A87310"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72.365</w:t>
            </w:r>
          </w:p>
        </w:tc>
        <w:tc>
          <w:tcPr>
            <w:tcW w:w="465" w:type="pct"/>
            <w:tcBorders>
              <w:top w:val="nil"/>
              <w:left w:val="nil"/>
              <w:bottom w:val="nil"/>
              <w:right w:val="nil"/>
            </w:tcBorders>
            <w:shd w:val="clear" w:color="auto" w:fill="auto"/>
            <w:vAlign w:val="center"/>
          </w:tcPr>
          <w:p w14:paraId="6F7E26DB" w14:textId="1352DA12"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144.373</w:t>
            </w:r>
          </w:p>
        </w:tc>
      </w:tr>
      <w:tr w:rsidR="00FC14F0" w:rsidRPr="00E20D21" w14:paraId="750A37FB" w14:textId="77777777" w:rsidTr="00D73144">
        <w:trPr>
          <w:trHeight w:val="283"/>
        </w:trPr>
        <w:tc>
          <w:tcPr>
            <w:tcW w:w="2088" w:type="pct"/>
            <w:tcBorders>
              <w:top w:val="nil"/>
              <w:left w:val="nil"/>
              <w:bottom w:val="nil"/>
              <w:right w:val="nil"/>
            </w:tcBorders>
            <w:shd w:val="clear" w:color="auto" w:fill="auto"/>
            <w:vAlign w:val="center"/>
            <w:hideMark/>
          </w:tcPr>
          <w:p w14:paraId="4B372CE2" w14:textId="77777777" w:rsidR="00FC14F0" w:rsidRPr="00E20D21" w:rsidRDefault="00FC14F0" w:rsidP="00FC14F0">
            <w:pPr>
              <w:rPr>
                <w:rFonts w:ascii="CAIXA Std Book" w:hAnsi="CAIXA Std Book" w:cs="MS Gothic"/>
                <w:color w:val="005CA9"/>
                <w:sz w:val="18"/>
                <w:szCs w:val="18"/>
              </w:rPr>
            </w:pPr>
            <w:r w:rsidRPr="00E20D21">
              <w:rPr>
                <w:rFonts w:ascii="CAIXA Std Book" w:hAnsi="CAIXA Std Book" w:cs="MS Gothic"/>
                <w:color w:val="005CA9"/>
                <w:sz w:val="18"/>
                <w:szCs w:val="18"/>
              </w:rPr>
              <w:t>Auxílio e cesta-alimentação (aposentados e pensionistas)</w:t>
            </w:r>
          </w:p>
        </w:tc>
        <w:tc>
          <w:tcPr>
            <w:tcW w:w="468" w:type="pct"/>
            <w:tcBorders>
              <w:top w:val="nil"/>
              <w:left w:val="nil"/>
              <w:bottom w:val="nil"/>
              <w:right w:val="nil"/>
            </w:tcBorders>
            <w:shd w:val="clear" w:color="auto" w:fill="auto"/>
            <w:vAlign w:val="center"/>
          </w:tcPr>
          <w:p w14:paraId="1EC1BA50" w14:textId="5950E53F" w:rsidR="00FC14F0" w:rsidRPr="00E20D21" w:rsidRDefault="007C4B06" w:rsidP="00FC14F0">
            <w:pPr>
              <w:jc w:val="center"/>
              <w:rPr>
                <w:rFonts w:ascii="CAIXA Std Book" w:hAnsi="CAIXA Std Book" w:cs="MS Gothic"/>
                <w:color w:val="005CA9"/>
                <w:sz w:val="18"/>
                <w:szCs w:val="18"/>
              </w:rPr>
            </w:pPr>
            <w:r w:rsidRPr="00E20D21">
              <w:rPr>
                <w:rFonts w:ascii="CAIXA Std Book" w:hAnsi="CAIXA Std Book" w:cs="Calibri"/>
                <w:color w:val="005CA9"/>
                <w:sz w:val="16"/>
                <w:szCs w:val="16"/>
              </w:rPr>
              <w:t>-</w:t>
            </w:r>
          </w:p>
        </w:tc>
        <w:tc>
          <w:tcPr>
            <w:tcW w:w="539" w:type="pct"/>
            <w:tcBorders>
              <w:top w:val="nil"/>
              <w:left w:val="nil"/>
              <w:bottom w:val="nil"/>
              <w:right w:val="nil"/>
            </w:tcBorders>
            <w:shd w:val="clear" w:color="auto" w:fill="auto"/>
            <w:vAlign w:val="center"/>
          </w:tcPr>
          <w:p w14:paraId="09154B3C" w14:textId="7525E800" w:rsidR="00FC14F0" w:rsidRPr="00E20D21" w:rsidRDefault="007C4B06" w:rsidP="00FC14F0">
            <w:pPr>
              <w:jc w:val="right"/>
              <w:rPr>
                <w:rFonts w:ascii="CAIXA Std Book" w:hAnsi="CAIXA Std Book"/>
                <w:color w:val="005CA9"/>
                <w:sz w:val="18"/>
                <w:szCs w:val="18"/>
              </w:rPr>
            </w:pPr>
            <w:r w:rsidRPr="00E20D21">
              <w:rPr>
                <w:rFonts w:ascii="CAIXA Std Book" w:hAnsi="CAIXA Std Book" w:cs="Calibri"/>
                <w:color w:val="005CA9"/>
                <w:sz w:val="16"/>
                <w:szCs w:val="16"/>
              </w:rPr>
              <w:t>16.421</w:t>
            </w:r>
          </w:p>
        </w:tc>
        <w:tc>
          <w:tcPr>
            <w:tcW w:w="469" w:type="pct"/>
            <w:tcBorders>
              <w:top w:val="nil"/>
              <w:left w:val="nil"/>
              <w:bottom w:val="nil"/>
              <w:right w:val="nil"/>
            </w:tcBorders>
            <w:shd w:val="clear" w:color="auto" w:fill="auto"/>
            <w:vAlign w:val="center"/>
          </w:tcPr>
          <w:p w14:paraId="10F3EACE" w14:textId="68972A24"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16.421</w:t>
            </w:r>
          </w:p>
        </w:tc>
        <w:tc>
          <w:tcPr>
            <w:tcW w:w="468" w:type="pct"/>
            <w:tcBorders>
              <w:top w:val="nil"/>
              <w:left w:val="nil"/>
              <w:bottom w:val="nil"/>
              <w:right w:val="nil"/>
            </w:tcBorders>
            <w:shd w:val="clear" w:color="auto" w:fill="auto"/>
            <w:vAlign w:val="center"/>
          </w:tcPr>
          <w:p w14:paraId="7883A88A" w14:textId="6C84B34A" w:rsidR="00FC14F0" w:rsidRPr="00E20D21" w:rsidRDefault="00FC14F0" w:rsidP="00FC14F0">
            <w:pPr>
              <w:jc w:val="center"/>
              <w:rPr>
                <w:rFonts w:ascii="CAIXA Std Book" w:hAnsi="CAIXA Std Book" w:cs="MS Gothic"/>
                <w:color w:val="005CA9"/>
                <w:sz w:val="18"/>
                <w:szCs w:val="18"/>
              </w:rPr>
            </w:pPr>
            <w:r w:rsidRPr="00E20D21">
              <w:rPr>
                <w:rFonts w:ascii="CAIXA Std Book" w:hAnsi="CAIXA Std Book" w:cs="Calibri"/>
                <w:color w:val="005CA9"/>
                <w:sz w:val="18"/>
                <w:szCs w:val="18"/>
              </w:rPr>
              <w:t>-</w:t>
            </w:r>
          </w:p>
        </w:tc>
        <w:tc>
          <w:tcPr>
            <w:tcW w:w="503" w:type="pct"/>
            <w:tcBorders>
              <w:top w:val="nil"/>
              <w:left w:val="nil"/>
              <w:bottom w:val="nil"/>
              <w:right w:val="nil"/>
            </w:tcBorders>
            <w:shd w:val="clear" w:color="auto" w:fill="auto"/>
            <w:vAlign w:val="center"/>
          </w:tcPr>
          <w:p w14:paraId="6DE5AFD0" w14:textId="39DF0B0E"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16.430</w:t>
            </w:r>
          </w:p>
        </w:tc>
        <w:tc>
          <w:tcPr>
            <w:tcW w:w="465" w:type="pct"/>
            <w:tcBorders>
              <w:top w:val="nil"/>
              <w:left w:val="nil"/>
              <w:bottom w:val="nil"/>
              <w:right w:val="nil"/>
            </w:tcBorders>
            <w:shd w:val="clear" w:color="auto" w:fill="auto"/>
            <w:vAlign w:val="center"/>
          </w:tcPr>
          <w:p w14:paraId="1F96BE2B" w14:textId="3CB7E497"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16.430</w:t>
            </w:r>
          </w:p>
        </w:tc>
      </w:tr>
      <w:tr w:rsidR="00FC14F0" w:rsidRPr="00E20D21" w14:paraId="05A59B5E" w14:textId="77777777" w:rsidTr="00D73144">
        <w:trPr>
          <w:trHeight w:val="283"/>
        </w:trPr>
        <w:tc>
          <w:tcPr>
            <w:tcW w:w="2088" w:type="pct"/>
            <w:tcBorders>
              <w:top w:val="nil"/>
              <w:left w:val="nil"/>
              <w:bottom w:val="nil"/>
              <w:right w:val="nil"/>
            </w:tcBorders>
            <w:shd w:val="clear" w:color="auto" w:fill="auto"/>
            <w:vAlign w:val="center"/>
            <w:hideMark/>
          </w:tcPr>
          <w:p w14:paraId="24129983" w14:textId="77777777" w:rsidR="00FC14F0" w:rsidRPr="00E20D21" w:rsidRDefault="00FC14F0" w:rsidP="00FC14F0">
            <w:pPr>
              <w:rPr>
                <w:rFonts w:ascii="CAIXA Std Book" w:hAnsi="CAIXA Std Book" w:cs="MS Gothic"/>
                <w:color w:val="005CA9"/>
                <w:sz w:val="18"/>
                <w:szCs w:val="18"/>
              </w:rPr>
            </w:pPr>
            <w:r w:rsidRPr="00E20D21">
              <w:rPr>
                <w:rFonts w:ascii="CAIXA Std Book" w:hAnsi="CAIXA Std Book" w:cs="MS Gothic"/>
                <w:color w:val="005CA9"/>
                <w:sz w:val="18"/>
                <w:szCs w:val="18"/>
              </w:rPr>
              <w:t>Assistidos EX-PREVHAB (aposentados e pensionistas)</w:t>
            </w:r>
          </w:p>
        </w:tc>
        <w:tc>
          <w:tcPr>
            <w:tcW w:w="468" w:type="pct"/>
            <w:tcBorders>
              <w:top w:val="nil"/>
              <w:left w:val="nil"/>
              <w:bottom w:val="nil"/>
              <w:right w:val="nil"/>
            </w:tcBorders>
            <w:shd w:val="clear" w:color="auto" w:fill="auto"/>
            <w:vAlign w:val="center"/>
          </w:tcPr>
          <w:p w14:paraId="7897FDD8" w14:textId="3690D3B4" w:rsidR="00FC14F0" w:rsidRPr="00E20D21" w:rsidRDefault="007C4B06" w:rsidP="00FC14F0">
            <w:pPr>
              <w:jc w:val="center"/>
              <w:rPr>
                <w:rFonts w:ascii="CAIXA Std Book" w:hAnsi="CAIXA Std Book" w:cs="MS Gothic"/>
                <w:color w:val="005CA9"/>
                <w:sz w:val="18"/>
                <w:szCs w:val="18"/>
              </w:rPr>
            </w:pPr>
            <w:r w:rsidRPr="00E20D21">
              <w:rPr>
                <w:rFonts w:ascii="CAIXA Std Book" w:hAnsi="CAIXA Std Book" w:cs="Calibri"/>
                <w:color w:val="005CA9"/>
                <w:sz w:val="16"/>
                <w:szCs w:val="16"/>
              </w:rPr>
              <w:t>-</w:t>
            </w:r>
          </w:p>
        </w:tc>
        <w:tc>
          <w:tcPr>
            <w:tcW w:w="539" w:type="pct"/>
            <w:tcBorders>
              <w:top w:val="nil"/>
              <w:left w:val="nil"/>
              <w:bottom w:val="nil"/>
              <w:right w:val="nil"/>
            </w:tcBorders>
            <w:shd w:val="clear" w:color="auto" w:fill="auto"/>
            <w:vAlign w:val="center"/>
          </w:tcPr>
          <w:p w14:paraId="79F23DB4" w14:textId="13E009A6" w:rsidR="00FC14F0" w:rsidRPr="00E20D21" w:rsidRDefault="007C4B06" w:rsidP="00FC14F0">
            <w:pPr>
              <w:jc w:val="right"/>
              <w:rPr>
                <w:rFonts w:ascii="CAIXA Std Book" w:hAnsi="CAIXA Std Book"/>
                <w:color w:val="005CA9"/>
                <w:sz w:val="18"/>
                <w:szCs w:val="18"/>
              </w:rPr>
            </w:pPr>
            <w:r w:rsidRPr="00E20D21">
              <w:rPr>
                <w:rFonts w:ascii="CAIXA Std Book" w:hAnsi="CAIXA Std Book" w:cs="Calibri"/>
                <w:color w:val="005CA9"/>
                <w:sz w:val="16"/>
                <w:szCs w:val="16"/>
              </w:rPr>
              <w:t>53</w:t>
            </w:r>
          </w:p>
        </w:tc>
        <w:tc>
          <w:tcPr>
            <w:tcW w:w="469" w:type="pct"/>
            <w:tcBorders>
              <w:top w:val="nil"/>
              <w:left w:val="nil"/>
              <w:bottom w:val="nil"/>
              <w:right w:val="nil"/>
            </w:tcBorders>
            <w:shd w:val="clear" w:color="auto" w:fill="auto"/>
            <w:vAlign w:val="center"/>
          </w:tcPr>
          <w:p w14:paraId="5D361481" w14:textId="46FDE1FF"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53</w:t>
            </w:r>
          </w:p>
        </w:tc>
        <w:tc>
          <w:tcPr>
            <w:tcW w:w="468" w:type="pct"/>
            <w:tcBorders>
              <w:top w:val="nil"/>
              <w:left w:val="nil"/>
              <w:bottom w:val="nil"/>
              <w:right w:val="nil"/>
            </w:tcBorders>
            <w:shd w:val="clear" w:color="auto" w:fill="auto"/>
            <w:vAlign w:val="center"/>
          </w:tcPr>
          <w:p w14:paraId="7EBD8B46" w14:textId="75C939C9" w:rsidR="00FC14F0" w:rsidRPr="00E20D21" w:rsidRDefault="00FC14F0" w:rsidP="00FC14F0">
            <w:pPr>
              <w:jc w:val="center"/>
              <w:rPr>
                <w:rFonts w:ascii="CAIXA Std Book" w:hAnsi="CAIXA Std Book" w:cs="MS Gothic"/>
                <w:color w:val="005CA9"/>
                <w:sz w:val="18"/>
                <w:szCs w:val="18"/>
              </w:rPr>
            </w:pPr>
            <w:r w:rsidRPr="00E20D21">
              <w:rPr>
                <w:rFonts w:ascii="CAIXA Std Book" w:hAnsi="CAIXA Std Book" w:cs="Calibri"/>
                <w:color w:val="005CA9"/>
                <w:sz w:val="18"/>
                <w:szCs w:val="18"/>
              </w:rPr>
              <w:t>-</w:t>
            </w:r>
          </w:p>
        </w:tc>
        <w:tc>
          <w:tcPr>
            <w:tcW w:w="503" w:type="pct"/>
            <w:tcBorders>
              <w:top w:val="nil"/>
              <w:left w:val="nil"/>
              <w:bottom w:val="nil"/>
              <w:right w:val="nil"/>
            </w:tcBorders>
            <w:shd w:val="clear" w:color="auto" w:fill="auto"/>
            <w:vAlign w:val="center"/>
          </w:tcPr>
          <w:p w14:paraId="48950AA5" w14:textId="43BAD86B"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53</w:t>
            </w:r>
          </w:p>
        </w:tc>
        <w:tc>
          <w:tcPr>
            <w:tcW w:w="465" w:type="pct"/>
            <w:tcBorders>
              <w:top w:val="nil"/>
              <w:left w:val="nil"/>
              <w:bottom w:val="nil"/>
              <w:right w:val="nil"/>
            </w:tcBorders>
            <w:shd w:val="clear" w:color="auto" w:fill="auto"/>
            <w:vAlign w:val="center"/>
          </w:tcPr>
          <w:p w14:paraId="18C62C7E" w14:textId="720D5935"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53</w:t>
            </w:r>
          </w:p>
        </w:tc>
      </w:tr>
      <w:tr w:rsidR="00FC14F0" w:rsidRPr="00E20D21" w14:paraId="45F64C62" w14:textId="77777777" w:rsidTr="00D73144">
        <w:trPr>
          <w:trHeight w:val="283"/>
        </w:trPr>
        <w:tc>
          <w:tcPr>
            <w:tcW w:w="2088" w:type="pct"/>
            <w:tcBorders>
              <w:top w:val="nil"/>
              <w:left w:val="nil"/>
              <w:bottom w:val="nil"/>
              <w:right w:val="nil"/>
            </w:tcBorders>
            <w:shd w:val="clear" w:color="auto" w:fill="auto"/>
            <w:vAlign w:val="center"/>
            <w:hideMark/>
          </w:tcPr>
          <w:p w14:paraId="3D462477" w14:textId="77777777" w:rsidR="00FC14F0" w:rsidRPr="00E20D21" w:rsidRDefault="00FC14F0" w:rsidP="00FC14F0">
            <w:pPr>
              <w:rPr>
                <w:rFonts w:ascii="CAIXA Std Book" w:hAnsi="CAIXA Std Book" w:cs="MS Gothic"/>
                <w:color w:val="005CA9"/>
                <w:sz w:val="18"/>
                <w:szCs w:val="18"/>
              </w:rPr>
            </w:pPr>
            <w:r w:rsidRPr="00E20D21">
              <w:rPr>
                <w:rFonts w:ascii="CAIXA Std Book" w:hAnsi="CAIXA Std Book" w:cs="MS Gothic"/>
                <w:color w:val="005CA9"/>
                <w:sz w:val="18"/>
                <w:szCs w:val="18"/>
              </w:rPr>
              <w:t>REG/REPLAN saldado (3)</w:t>
            </w:r>
          </w:p>
        </w:tc>
        <w:tc>
          <w:tcPr>
            <w:tcW w:w="468" w:type="pct"/>
            <w:tcBorders>
              <w:top w:val="nil"/>
              <w:left w:val="nil"/>
              <w:bottom w:val="nil"/>
              <w:right w:val="nil"/>
            </w:tcBorders>
            <w:shd w:val="clear" w:color="auto" w:fill="auto"/>
            <w:vAlign w:val="center"/>
          </w:tcPr>
          <w:p w14:paraId="46F1AF5D" w14:textId="1D420A33"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8.573</w:t>
            </w:r>
          </w:p>
        </w:tc>
        <w:tc>
          <w:tcPr>
            <w:tcW w:w="539" w:type="pct"/>
            <w:tcBorders>
              <w:top w:val="nil"/>
              <w:left w:val="nil"/>
              <w:bottom w:val="nil"/>
              <w:right w:val="nil"/>
            </w:tcBorders>
            <w:shd w:val="clear" w:color="auto" w:fill="auto"/>
            <w:vAlign w:val="center"/>
          </w:tcPr>
          <w:p w14:paraId="40E15D39" w14:textId="2AAADCC6" w:rsidR="00FC14F0" w:rsidRPr="00E20D21" w:rsidRDefault="007C4B06" w:rsidP="00FC14F0">
            <w:pPr>
              <w:jc w:val="right"/>
              <w:rPr>
                <w:rFonts w:ascii="CAIXA Std Book" w:hAnsi="CAIXA Std Book"/>
                <w:color w:val="005CA9"/>
                <w:sz w:val="18"/>
                <w:szCs w:val="18"/>
              </w:rPr>
            </w:pPr>
            <w:r w:rsidRPr="00E20D21">
              <w:rPr>
                <w:rFonts w:ascii="CAIXA Std Book" w:hAnsi="CAIXA Std Book" w:cs="Calibri"/>
                <w:color w:val="005CA9"/>
                <w:sz w:val="16"/>
                <w:szCs w:val="16"/>
              </w:rPr>
              <w:t>47.199</w:t>
            </w:r>
          </w:p>
        </w:tc>
        <w:tc>
          <w:tcPr>
            <w:tcW w:w="469" w:type="pct"/>
            <w:tcBorders>
              <w:top w:val="nil"/>
              <w:left w:val="nil"/>
              <w:bottom w:val="nil"/>
              <w:right w:val="nil"/>
            </w:tcBorders>
            <w:shd w:val="clear" w:color="auto" w:fill="auto"/>
            <w:vAlign w:val="center"/>
          </w:tcPr>
          <w:p w14:paraId="20C236C4" w14:textId="0E6C8C97"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55.772</w:t>
            </w:r>
          </w:p>
        </w:tc>
        <w:tc>
          <w:tcPr>
            <w:tcW w:w="468" w:type="pct"/>
            <w:tcBorders>
              <w:top w:val="nil"/>
              <w:left w:val="nil"/>
              <w:bottom w:val="nil"/>
              <w:right w:val="nil"/>
            </w:tcBorders>
            <w:shd w:val="clear" w:color="auto" w:fill="auto"/>
            <w:vAlign w:val="center"/>
          </w:tcPr>
          <w:p w14:paraId="55BBB5A0" w14:textId="05244C61"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8.601</w:t>
            </w:r>
          </w:p>
        </w:tc>
        <w:tc>
          <w:tcPr>
            <w:tcW w:w="503" w:type="pct"/>
            <w:tcBorders>
              <w:top w:val="nil"/>
              <w:left w:val="nil"/>
              <w:bottom w:val="nil"/>
              <w:right w:val="nil"/>
            </w:tcBorders>
            <w:shd w:val="clear" w:color="auto" w:fill="auto"/>
            <w:vAlign w:val="center"/>
          </w:tcPr>
          <w:p w14:paraId="1D338C5A" w14:textId="5C92DE1C"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47.228</w:t>
            </w:r>
          </w:p>
        </w:tc>
        <w:tc>
          <w:tcPr>
            <w:tcW w:w="465" w:type="pct"/>
            <w:tcBorders>
              <w:top w:val="nil"/>
              <w:left w:val="nil"/>
              <w:bottom w:val="nil"/>
              <w:right w:val="nil"/>
            </w:tcBorders>
            <w:shd w:val="clear" w:color="auto" w:fill="auto"/>
            <w:vAlign w:val="center"/>
          </w:tcPr>
          <w:p w14:paraId="5D9C0846" w14:textId="095FACD8"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55.829</w:t>
            </w:r>
          </w:p>
        </w:tc>
      </w:tr>
      <w:tr w:rsidR="00FC14F0" w:rsidRPr="00E20D21" w14:paraId="2D67AC56" w14:textId="77777777" w:rsidTr="00D73144">
        <w:trPr>
          <w:trHeight w:val="283"/>
        </w:trPr>
        <w:tc>
          <w:tcPr>
            <w:tcW w:w="2088" w:type="pct"/>
            <w:tcBorders>
              <w:top w:val="nil"/>
              <w:left w:val="nil"/>
              <w:bottom w:val="nil"/>
              <w:right w:val="nil"/>
            </w:tcBorders>
            <w:shd w:val="clear" w:color="auto" w:fill="auto"/>
            <w:vAlign w:val="center"/>
            <w:hideMark/>
          </w:tcPr>
          <w:p w14:paraId="14DD151C" w14:textId="77777777" w:rsidR="00FC14F0" w:rsidRPr="00E20D21" w:rsidRDefault="00FC14F0" w:rsidP="00FC14F0">
            <w:pPr>
              <w:rPr>
                <w:rFonts w:ascii="CAIXA Std Book" w:hAnsi="CAIXA Std Book" w:cs="MS Gothic"/>
                <w:color w:val="005CA9"/>
                <w:sz w:val="18"/>
                <w:szCs w:val="18"/>
              </w:rPr>
            </w:pPr>
            <w:r w:rsidRPr="00E20D21">
              <w:rPr>
                <w:rFonts w:ascii="CAIXA Std Book" w:hAnsi="CAIXA Std Book" w:cs="MS Gothic"/>
                <w:color w:val="005CA9"/>
                <w:sz w:val="18"/>
                <w:szCs w:val="18"/>
              </w:rPr>
              <w:t>REG/REPLAN não saldado (3)</w:t>
            </w:r>
          </w:p>
        </w:tc>
        <w:tc>
          <w:tcPr>
            <w:tcW w:w="468" w:type="pct"/>
            <w:tcBorders>
              <w:top w:val="nil"/>
              <w:left w:val="nil"/>
              <w:bottom w:val="nil"/>
              <w:right w:val="nil"/>
            </w:tcBorders>
            <w:shd w:val="clear" w:color="auto" w:fill="auto"/>
            <w:vAlign w:val="center"/>
          </w:tcPr>
          <w:p w14:paraId="007F8DEB" w14:textId="22E85CEE"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931</w:t>
            </w:r>
          </w:p>
        </w:tc>
        <w:tc>
          <w:tcPr>
            <w:tcW w:w="539" w:type="pct"/>
            <w:tcBorders>
              <w:top w:val="nil"/>
              <w:left w:val="nil"/>
              <w:bottom w:val="nil"/>
              <w:right w:val="nil"/>
            </w:tcBorders>
            <w:shd w:val="clear" w:color="auto" w:fill="auto"/>
            <w:vAlign w:val="center"/>
          </w:tcPr>
          <w:p w14:paraId="3874336F" w14:textId="4248C9B9" w:rsidR="00FC14F0" w:rsidRPr="00E20D21" w:rsidRDefault="007C4B06" w:rsidP="00FC14F0">
            <w:pPr>
              <w:jc w:val="right"/>
              <w:rPr>
                <w:rFonts w:ascii="CAIXA Std Book" w:hAnsi="CAIXA Std Book"/>
                <w:color w:val="005CA9"/>
                <w:sz w:val="18"/>
                <w:szCs w:val="18"/>
              </w:rPr>
            </w:pPr>
            <w:r w:rsidRPr="00E20D21">
              <w:rPr>
                <w:rFonts w:ascii="CAIXA Std Book" w:hAnsi="CAIXA Std Book" w:cs="Calibri"/>
                <w:color w:val="005CA9"/>
                <w:sz w:val="16"/>
                <w:szCs w:val="16"/>
              </w:rPr>
              <w:t>5.090</w:t>
            </w:r>
          </w:p>
        </w:tc>
        <w:tc>
          <w:tcPr>
            <w:tcW w:w="469" w:type="pct"/>
            <w:tcBorders>
              <w:top w:val="nil"/>
              <w:left w:val="nil"/>
              <w:bottom w:val="nil"/>
              <w:right w:val="nil"/>
            </w:tcBorders>
            <w:shd w:val="clear" w:color="auto" w:fill="auto"/>
            <w:vAlign w:val="center"/>
          </w:tcPr>
          <w:p w14:paraId="5CE5F29B" w14:textId="3A93B3C7"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6.021</w:t>
            </w:r>
          </w:p>
        </w:tc>
        <w:tc>
          <w:tcPr>
            <w:tcW w:w="468" w:type="pct"/>
            <w:tcBorders>
              <w:top w:val="nil"/>
              <w:left w:val="nil"/>
              <w:bottom w:val="nil"/>
              <w:right w:val="nil"/>
            </w:tcBorders>
            <w:shd w:val="clear" w:color="auto" w:fill="auto"/>
            <w:vAlign w:val="center"/>
          </w:tcPr>
          <w:p w14:paraId="7C98FBF9" w14:textId="367697B0"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939</w:t>
            </w:r>
          </w:p>
        </w:tc>
        <w:tc>
          <w:tcPr>
            <w:tcW w:w="503" w:type="pct"/>
            <w:tcBorders>
              <w:top w:val="nil"/>
              <w:left w:val="nil"/>
              <w:bottom w:val="nil"/>
              <w:right w:val="nil"/>
            </w:tcBorders>
            <w:shd w:val="clear" w:color="auto" w:fill="auto"/>
            <w:vAlign w:val="center"/>
          </w:tcPr>
          <w:p w14:paraId="14076D3B" w14:textId="7EA5FDC5"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5.086</w:t>
            </w:r>
          </w:p>
        </w:tc>
        <w:tc>
          <w:tcPr>
            <w:tcW w:w="465" w:type="pct"/>
            <w:tcBorders>
              <w:top w:val="nil"/>
              <w:left w:val="nil"/>
              <w:bottom w:val="nil"/>
              <w:right w:val="nil"/>
            </w:tcBorders>
            <w:shd w:val="clear" w:color="auto" w:fill="auto"/>
            <w:vAlign w:val="center"/>
          </w:tcPr>
          <w:p w14:paraId="7BF627F4" w14:textId="41056FAB"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6.025</w:t>
            </w:r>
          </w:p>
        </w:tc>
      </w:tr>
      <w:tr w:rsidR="00FC14F0" w:rsidRPr="00E20D21" w14:paraId="568CDCEE" w14:textId="77777777" w:rsidTr="00D73144">
        <w:trPr>
          <w:trHeight w:val="283"/>
        </w:trPr>
        <w:tc>
          <w:tcPr>
            <w:tcW w:w="2088" w:type="pct"/>
            <w:tcBorders>
              <w:top w:val="nil"/>
              <w:left w:val="nil"/>
              <w:bottom w:val="nil"/>
              <w:right w:val="nil"/>
            </w:tcBorders>
            <w:shd w:val="clear" w:color="auto" w:fill="auto"/>
            <w:vAlign w:val="center"/>
            <w:hideMark/>
          </w:tcPr>
          <w:p w14:paraId="7D4B19E8" w14:textId="77777777" w:rsidR="00FC14F0" w:rsidRPr="00E20D21" w:rsidRDefault="00FC14F0" w:rsidP="00FC14F0">
            <w:pPr>
              <w:rPr>
                <w:rFonts w:ascii="CAIXA Std Book" w:hAnsi="CAIXA Std Book" w:cs="MS Gothic"/>
                <w:color w:val="005CA9"/>
                <w:sz w:val="18"/>
                <w:szCs w:val="18"/>
              </w:rPr>
            </w:pPr>
            <w:r w:rsidRPr="00E20D21">
              <w:rPr>
                <w:rFonts w:ascii="CAIXA Std Book" w:hAnsi="CAIXA Std Book" w:cs="MS Gothic"/>
                <w:color w:val="005CA9"/>
                <w:sz w:val="18"/>
                <w:szCs w:val="18"/>
              </w:rPr>
              <w:t>REB (3)</w:t>
            </w:r>
          </w:p>
        </w:tc>
        <w:tc>
          <w:tcPr>
            <w:tcW w:w="468" w:type="pct"/>
            <w:tcBorders>
              <w:top w:val="nil"/>
              <w:left w:val="nil"/>
              <w:bottom w:val="nil"/>
              <w:right w:val="nil"/>
            </w:tcBorders>
            <w:shd w:val="clear" w:color="auto" w:fill="auto"/>
            <w:vAlign w:val="center"/>
          </w:tcPr>
          <w:p w14:paraId="452DE21A" w14:textId="63788532"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5.307</w:t>
            </w:r>
          </w:p>
        </w:tc>
        <w:tc>
          <w:tcPr>
            <w:tcW w:w="539" w:type="pct"/>
            <w:tcBorders>
              <w:top w:val="nil"/>
              <w:left w:val="nil"/>
              <w:bottom w:val="nil"/>
              <w:right w:val="nil"/>
            </w:tcBorders>
            <w:shd w:val="clear" w:color="auto" w:fill="auto"/>
            <w:vAlign w:val="center"/>
          </w:tcPr>
          <w:p w14:paraId="0C47CD00" w14:textId="499C6BA2" w:rsidR="00FC14F0" w:rsidRPr="00E20D21" w:rsidRDefault="007C4B06" w:rsidP="00FC14F0">
            <w:pPr>
              <w:jc w:val="right"/>
              <w:rPr>
                <w:rFonts w:ascii="CAIXA Std Book" w:hAnsi="CAIXA Std Book"/>
                <w:color w:val="005CA9"/>
                <w:sz w:val="18"/>
                <w:szCs w:val="18"/>
              </w:rPr>
            </w:pPr>
            <w:r w:rsidRPr="00E20D21">
              <w:rPr>
                <w:rFonts w:ascii="CAIXA Std Book" w:hAnsi="CAIXA Std Book" w:cs="Calibri"/>
                <w:color w:val="005CA9"/>
                <w:sz w:val="16"/>
                <w:szCs w:val="16"/>
              </w:rPr>
              <w:t>1.208</w:t>
            </w:r>
          </w:p>
        </w:tc>
        <w:tc>
          <w:tcPr>
            <w:tcW w:w="469" w:type="pct"/>
            <w:tcBorders>
              <w:top w:val="nil"/>
              <w:left w:val="nil"/>
              <w:bottom w:val="nil"/>
              <w:right w:val="nil"/>
            </w:tcBorders>
            <w:shd w:val="clear" w:color="auto" w:fill="auto"/>
            <w:vAlign w:val="center"/>
          </w:tcPr>
          <w:p w14:paraId="39902C67" w14:textId="15EDFE14"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6.515</w:t>
            </w:r>
          </w:p>
        </w:tc>
        <w:tc>
          <w:tcPr>
            <w:tcW w:w="468" w:type="pct"/>
            <w:tcBorders>
              <w:top w:val="nil"/>
              <w:left w:val="nil"/>
              <w:bottom w:val="nil"/>
              <w:right w:val="nil"/>
            </w:tcBorders>
            <w:shd w:val="clear" w:color="auto" w:fill="auto"/>
            <w:vAlign w:val="center"/>
          </w:tcPr>
          <w:p w14:paraId="6B04361F" w14:textId="0899CBC4"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5.381</w:t>
            </w:r>
          </w:p>
        </w:tc>
        <w:tc>
          <w:tcPr>
            <w:tcW w:w="503" w:type="pct"/>
            <w:tcBorders>
              <w:top w:val="nil"/>
              <w:left w:val="nil"/>
              <w:bottom w:val="nil"/>
              <w:right w:val="nil"/>
            </w:tcBorders>
            <w:shd w:val="clear" w:color="auto" w:fill="auto"/>
            <w:vAlign w:val="center"/>
          </w:tcPr>
          <w:p w14:paraId="1B9D20C6" w14:textId="0F2ACD1D"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1.210</w:t>
            </w:r>
          </w:p>
        </w:tc>
        <w:tc>
          <w:tcPr>
            <w:tcW w:w="465" w:type="pct"/>
            <w:tcBorders>
              <w:top w:val="nil"/>
              <w:left w:val="nil"/>
              <w:bottom w:val="nil"/>
              <w:right w:val="nil"/>
            </w:tcBorders>
            <w:shd w:val="clear" w:color="auto" w:fill="auto"/>
            <w:vAlign w:val="center"/>
          </w:tcPr>
          <w:p w14:paraId="75FF19C7" w14:textId="780B79C5"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6.591</w:t>
            </w:r>
          </w:p>
        </w:tc>
      </w:tr>
      <w:tr w:rsidR="00FC14F0" w:rsidRPr="00E20D21" w14:paraId="462A3B5A" w14:textId="77777777" w:rsidTr="00D73144">
        <w:trPr>
          <w:trHeight w:val="283"/>
        </w:trPr>
        <w:tc>
          <w:tcPr>
            <w:tcW w:w="2088" w:type="pct"/>
            <w:tcBorders>
              <w:top w:val="nil"/>
              <w:left w:val="nil"/>
              <w:bottom w:val="single" w:sz="4" w:space="0" w:color="F68F00"/>
              <w:right w:val="nil"/>
            </w:tcBorders>
            <w:shd w:val="clear" w:color="auto" w:fill="auto"/>
            <w:vAlign w:val="center"/>
            <w:hideMark/>
          </w:tcPr>
          <w:p w14:paraId="75047731" w14:textId="77777777" w:rsidR="00FC14F0" w:rsidRPr="00E20D21" w:rsidRDefault="00FC14F0" w:rsidP="00FC14F0">
            <w:pPr>
              <w:rPr>
                <w:rFonts w:ascii="CAIXA Std Book" w:hAnsi="CAIXA Std Book" w:cs="MS Gothic"/>
                <w:color w:val="005CA9"/>
                <w:sz w:val="18"/>
                <w:szCs w:val="18"/>
              </w:rPr>
            </w:pPr>
            <w:r w:rsidRPr="00E20D21">
              <w:rPr>
                <w:rFonts w:ascii="CAIXA Std Book" w:hAnsi="CAIXA Std Book" w:cs="MS Gothic"/>
                <w:color w:val="005CA9"/>
                <w:sz w:val="18"/>
                <w:szCs w:val="18"/>
              </w:rPr>
              <w:t>Novo Plano (3)</w:t>
            </w:r>
          </w:p>
        </w:tc>
        <w:tc>
          <w:tcPr>
            <w:tcW w:w="468" w:type="pct"/>
            <w:tcBorders>
              <w:top w:val="nil"/>
              <w:left w:val="nil"/>
              <w:bottom w:val="single" w:sz="4" w:space="0" w:color="F68F00"/>
              <w:right w:val="nil"/>
            </w:tcBorders>
            <w:shd w:val="clear" w:color="auto" w:fill="auto"/>
            <w:vAlign w:val="center"/>
          </w:tcPr>
          <w:p w14:paraId="475D7FBF" w14:textId="484D846E"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78.365</w:t>
            </w:r>
          </w:p>
        </w:tc>
        <w:tc>
          <w:tcPr>
            <w:tcW w:w="539" w:type="pct"/>
            <w:tcBorders>
              <w:top w:val="nil"/>
              <w:left w:val="nil"/>
              <w:bottom w:val="single" w:sz="4" w:space="0" w:color="F68F00"/>
              <w:right w:val="nil"/>
            </w:tcBorders>
            <w:shd w:val="clear" w:color="auto" w:fill="auto"/>
            <w:vAlign w:val="center"/>
          </w:tcPr>
          <w:p w14:paraId="68FAA06B" w14:textId="60DE58DC"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10.109</w:t>
            </w:r>
          </w:p>
        </w:tc>
        <w:tc>
          <w:tcPr>
            <w:tcW w:w="469" w:type="pct"/>
            <w:tcBorders>
              <w:top w:val="nil"/>
              <w:left w:val="nil"/>
              <w:bottom w:val="single" w:sz="4" w:space="0" w:color="F68F00"/>
              <w:right w:val="nil"/>
            </w:tcBorders>
            <w:shd w:val="clear" w:color="auto" w:fill="auto"/>
            <w:vAlign w:val="center"/>
          </w:tcPr>
          <w:p w14:paraId="71E9277F" w14:textId="35ECFD31" w:rsidR="00FC14F0" w:rsidRPr="00E20D21" w:rsidRDefault="007C4B06" w:rsidP="00FC14F0">
            <w:pPr>
              <w:jc w:val="right"/>
              <w:rPr>
                <w:rFonts w:ascii="CAIXA Std Book" w:hAnsi="CAIXA Std Book" w:cs="MS Gothic"/>
                <w:color w:val="005CA9"/>
                <w:sz w:val="18"/>
                <w:szCs w:val="18"/>
              </w:rPr>
            </w:pPr>
            <w:r w:rsidRPr="00E20D21">
              <w:rPr>
                <w:rFonts w:ascii="CAIXA Std Book" w:hAnsi="CAIXA Std Book" w:cs="Calibri"/>
                <w:color w:val="005CA9"/>
                <w:sz w:val="16"/>
                <w:szCs w:val="16"/>
              </w:rPr>
              <w:t>88.474</w:t>
            </w:r>
          </w:p>
        </w:tc>
        <w:tc>
          <w:tcPr>
            <w:tcW w:w="468" w:type="pct"/>
            <w:tcBorders>
              <w:top w:val="nil"/>
              <w:left w:val="nil"/>
              <w:bottom w:val="single" w:sz="4" w:space="0" w:color="F68F00"/>
              <w:right w:val="nil"/>
            </w:tcBorders>
            <w:shd w:val="clear" w:color="auto" w:fill="auto"/>
            <w:vAlign w:val="center"/>
          </w:tcPr>
          <w:p w14:paraId="189D324B" w14:textId="6B4B6929"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78.294</w:t>
            </w:r>
          </w:p>
        </w:tc>
        <w:tc>
          <w:tcPr>
            <w:tcW w:w="503" w:type="pct"/>
            <w:tcBorders>
              <w:top w:val="nil"/>
              <w:left w:val="nil"/>
              <w:bottom w:val="single" w:sz="4" w:space="0" w:color="F68F00"/>
              <w:right w:val="nil"/>
            </w:tcBorders>
            <w:shd w:val="clear" w:color="auto" w:fill="auto"/>
            <w:vAlign w:val="center"/>
          </w:tcPr>
          <w:p w14:paraId="619F2429" w14:textId="470E27A1"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10.051</w:t>
            </w:r>
          </w:p>
        </w:tc>
        <w:tc>
          <w:tcPr>
            <w:tcW w:w="465" w:type="pct"/>
            <w:tcBorders>
              <w:top w:val="nil"/>
              <w:left w:val="nil"/>
              <w:bottom w:val="single" w:sz="4" w:space="0" w:color="F68F00"/>
              <w:right w:val="nil"/>
            </w:tcBorders>
            <w:shd w:val="clear" w:color="auto" w:fill="auto"/>
            <w:vAlign w:val="center"/>
          </w:tcPr>
          <w:p w14:paraId="313B2C96" w14:textId="05132E53" w:rsidR="00FC14F0" w:rsidRPr="00E20D21" w:rsidRDefault="00FC14F0" w:rsidP="00FC14F0">
            <w:pPr>
              <w:jc w:val="right"/>
              <w:rPr>
                <w:rFonts w:ascii="CAIXA Std Book" w:hAnsi="CAIXA Std Book" w:cs="MS Gothic"/>
                <w:color w:val="005CA9"/>
                <w:sz w:val="18"/>
                <w:szCs w:val="18"/>
              </w:rPr>
            </w:pPr>
            <w:r w:rsidRPr="00E20D21">
              <w:rPr>
                <w:rFonts w:ascii="CAIXA Std Book" w:hAnsi="CAIXA Std Book" w:cs="Calibri"/>
                <w:color w:val="005CA9"/>
                <w:sz w:val="18"/>
                <w:szCs w:val="18"/>
              </w:rPr>
              <w:t>88.345</w:t>
            </w:r>
          </w:p>
        </w:tc>
      </w:tr>
    </w:tbl>
    <w:p w14:paraId="5D33C2C3" w14:textId="208B16B5" w:rsidR="003E3F5F" w:rsidRPr="00E20D21" w:rsidRDefault="003E3F5F" w:rsidP="003E3F5F">
      <w:pPr>
        <w:pStyle w:val="wordsection1"/>
        <w:spacing w:before="0" w:beforeAutospacing="0" w:after="0" w:afterAutospacing="0"/>
        <w:jc w:val="both"/>
        <w:rPr>
          <w:rFonts w:ascii="CAIXA Std Book" w:hAnsi="CAIXA Std Book"/>
          <w:color w:val="005CA9"/>
          <w:sz w:val="16"/>
          <w:szCs w:val="20"/>
        </w:rPr>
      </w:pPr>
      <w:r w:rsidRPr="00E20D21">
        <w:rPr>
          <w:rFonts w:ascii="CAIXA Std Book" w:hAnsi="CAIXA Std Book"/>
          <w:color w:val="005CA9"/>
          <w:sz w:val="16"/>
          <w:szCs w:val="20"/>
        </w:rPr>
        <w:t xml:space="preserve">(1) Conforme posições de </w:t>
      </w:r>
      <w:r w:rsidR="00AE61B0" w:rsidRPr="00E20D21">
        <w:rPr>
          <w:rFonts w:ascii="CAIXA Std Book" w:hAnsi="CAIXA Std Book"/>
          <w:color w:val="005CA9"/>
          <w:sz w:val="16"/>
          <w:szCs w:val="20"/>
        </w:rPr>
        <w:t>31/03/2024</w:t>
      </w:r>
      <w:r w:rsidRPr="00E20D21">
        <w:rPr>
          <w:rFonts w:ascii="CAIXA Std Book" w:hAnsi="CAIXA Std Book"/>
          <w:color w:val="005CA9"/>
          <w:sz w:val="16"/>
          <w:szCs w:val="20"/>
        </w:rPr>
        <w:t>.</w:t>
      </w:r>
    </w:p>
    <w:p w14:paraId="25C38F3A" w14:textId="080B05FD" w:rsidR="003E3F5F" w:rsidRPr="00E20D21" w:rsidRDefault="003E3F5F" w:rsidP="003E3F5F">
      <w:pPr>
        <w:pStyle w:val="wordsection1"/>
        <w:spacing w:before="0" w:beforeAutospacing="0" w:after="0" w:afterAutospacing="0"/>
        <w:jc w:val="both"/>
        <w:rPr>
          <w:rFonts w:ascii="CAIXA Std Book" w:hAnsi="CAIXA Std Book"/>
          <w:color w:val="005CA9"/>
          <w:sz w:val="16"/>
          <w:szCs w:val="20"/>
        </w:rPr>
      </w:pPr>
      <w:r w:rsidRPr="00E20D21">
        <w:rPr>
          <w:rFonts w:ascii="CAIXA Std Book" w:hAnsi="CAIXA Std Book"/>
          <w:color w:val="005CA9"/>
          <w:sz w:val="16"/>
          <w:szCs w:val="20"/>
        </w:rPr>
        <w:t xml:space="preserve">(2) Conforme posições de </w:t>
      </w:r>
      <w:r w:rsidR="00AE61B0" w:rsidRPr="00E20D21">
        <w:rPr>
          <w:rFonts w:ascii="CAIXA Std Book" w:hAnsi="CAIXA Std Book"/>
          <w:color w:val="005CA9"/>
          <w:sz w:val="16"/>
          <w:szCs w:val="20"/>
        </w:rPr>
        <w:t>30/09/2023</w:t>
      </w:r>
      <w:r w:rsidRPr="00E20D21">
        <w:rPr>
          <w:rFonts w:ascii="CAIXA Std Book" w:hAnsi="CAIXA Std Book"/>
          <w:color w:val="005CA9"/>
          <w:sz w:val="16"/>
          <w:szCs w:val="20"/>
        </w:rPr>
        <w:t>.</w:t>
      </w:r>
    </w:p>
    <w:p w14:paraId="5A5A7C7C" w14:textId="77777777" w:rsidR="009609B9" w:rsidRPr="00E20D21" w:rsidRDefault="009609B9" w:rsidP="009609B9">
      <w:pPr>
        <w:pStyle w:val="wordsection1"/>
        <w:spacing w:before="0" w:beforeAutospacing="0" w:after="0" w:afterAutospacing="0"/>
        <w:jc w:val="both"/>
        <w:rPr>
          <w:rFonts w:ascii="CAIXA Std Book" w:hAnsi="CAIXA Std Book"/>
          <w:b/>
          <w:color w:val="005CA9"/>
          <w:sz w:val="20"/>
          <w:szCs w:val="20"/>
        </w:rPr>
      </w:pPr>
      <w:r w:rsidRPr="00E20D21">
        <w:rPr>
          <w:rFonts w:ascii="CAIXA Std Book" w:hAnsi="CAIXA Std Book"/>
          <w:color w:val="005CA9"/>
          <w:sz w:val="16"/>
          <w:szCs w:val="20"/>
        </w:rPr>
        <w:t>(3) Inclui participantes assistidos que estão recebendo o benefício por meio de decisões judiciais.</w:t>
      </w:r>
    </w:p>
    <w:p w14:paraId="5C6687C6" w14:textId="77777777" w:rsidR="00F844F2" w:rsidRPr="00E20D21" w:rsidRDefault="00F844F2" w:rsidP="00312C7A">
      <w:pPr>
        <w:rPr>
          <w:rFonts w:ascii="CAIXA Std Book" w:hAnsi="CAIXA Std Book"/>
          <w:b/>
          <w:color w:val="005CA9"/>
          <w:sz w:val="20"/>
          <w:szCs w:val="20"/>
        </w:rPr>
      </w:pPr>
    </w:p>
    <w:p w14:paraId="647391E4" w14:textId="39D51694" w:rsidR="009609B9" w:rsidRPr="00E20D21" w:rsidRDefault="009609B9" w:rsidP="00DF23FA">
      <w:pPr>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(i)</w:t>
      </w:r>
      <w:r w:rsidRPr="00E20D21">
        <w:rPr>
          <w:rFonts w:ascii="CAIXA Std Book" w:hAnsi="CAIXA Std Book"/>
          <w:b/>
          <w:color w:val="005CA9"/>
          <w:sz w:val="20"/>
          <w:szCs w:val="20"/>
        </w:rPr>
        <w:tab/>
        <w:t>Avaliação atuarial dos planos de benefício</w:t>
      </w:r>
    </w:p>
    <w:p w14:paraId="40B0C54C" w14:textId="77777777" w:rsidR="009609B9" w:rsidRPr="00E20D21" w:rsidRDefault="009609B9" w:rsidP="009609B9">
      <w:pPr>
        <w:autoSpaceDE w:val="0"/>
        <w:autoSpaceDN w:val="0"/>
        <w:spacing w:before="120" w:after="120"/>
        <w:jc w:val="both"/>
        <w:rPr>
          <w:rFonts w:ascii="CAIXA Std Book" w:hAnsi="CAIXA Std Book" w:cs="MS Gothic"/>
          <w:color w:val="005CA9"/>
        </w:rPr>
      </w:pPr>
      <w:r w:rsidRPr="00E20D21">
        <w:rPr>
          <w:rFonts w:ascii="CAIXA Std Book" w:hAnsi="CAIXA Std Book"/>
          <w:color w:val="005CA9"/>
          <w:sz w:val="20"/>
          <w:szCs w:val="20"/>
        </w:rPr>
        <w:t xml:space="preserve">A empresa Deloitte Touche </w:t>
      </w:r>
      <w:proofErr w:type="spellStart"/>
      <w:r w:rsidRPr="00E20D21">
        <w:rPr>
          <w:rFonts w:ascii="CAIXA Std Book" w:hAnsi="CAIXA Std Book"/>
          <w:color w:val="005CA9"/>
          <w:sz w:val="20"/>
          <w:szCs w:val="20"/>
        </w:rPr>
        <w:t>Tohmatsu</w:t>
      </w:r>
      <w:proofErr w:type="spellEnd"/>
      <w:r w:rsidRPr="00E20D21">
        <w:rPr>
          <w:rFonts w:ascii="CAIXA Std Book" w:hAnsi="CAIXA Std Book"/>
          <w:color w:val="005CA9"/>
          <w:sz w:val="20"/>
          <w:szCs w:val="20"/>
        </w:rPr>
        <w:t xml:space="preserve"> Consultores Ltda. foi contratada para realizar avaliação atuarial dos planos de benefícios patrocinados pela CAIXA. A referida avaliação atuarial contemplou os planos de benefícios Saúde CAIXA, Auxílio e Cesta-alimentação, Assistidos PREVHAB, REG/REPLAN, REB e Novo Plano.</w:t>
      </w:r>
    </w:p>
    <w:p w14:paraId="588DDCE9" w14:textId="40E885F1" w:rsidR="009609B9" w:rsidRPr="00E20D21" w:rsidRDefault="009609B9" w:rsidP="009609B9">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Os cálculos atuariais e levantamentos realizados pela consultoria, em consonância com o Pronunciamento Técnico CPC 33 (R1), aprovado pela Resolução CMN nº 4.877/2020, respaldam as contabilizações patrimoniais e de resultado realizadas pela CAIXA.</w:t>
      </w:r>
    </w:p>
    <w:p w14:paraId="5560AA7D" w14:textId="77777777" w:rsidR="009609B9" w:rsidRPr="00E20D21" w:rsidRDefault="009609B9" w:rsidP="009609B9">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lastRenderedPageBreak/>
        <w:t>A CAIXA é parcialmente responsável pela cobertura do passivo dos planos Saúde CAIXA, REG/REPLAN, REB e Novo Plano, e totalmente responsável pela cobertura dos compromissos mantidos de Auxílio e Cesta-alimentação e aos Assistidos PREVHAB.</w:t>
      </w:r>
    </w:p>
    <w:p w14:paraId="78796110" w14:textId="77777777" w:rsidR="009609B9" w:rsidRPr="00E20D21" w:rsidRDefault="009609B9" w:rsidP="009609B9">
      <w:pPr>
        <w:pStyle w:val="wordsection1"/>
        <w:autoSpaceDE w:val="0"/>
        <w:autoSpaceDN w:val="0"/>
        <w:adjustRightInd w:val="0"/>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Em relação aos passivos existentes na FUNCEF, enquadrados como perda provável e já provisionados, esses são capturados no cálculo atuarial e, respeitada a proporção de responsabilidade de 50%, compõem a reserva de provisão atuarial da CAIXA.</w:t>
      </w:r>
    </w:p>
    <w:p w14:paraId="638D92FA" w14:textId="766990F1" w:rsidR="009609B9" w:rsidRPr="00E20D21" w:rsidRDefault="009609B9" w:rsidP="009609B9">
      <w:pPr>
        <w:pStyle w:val="wordsection1"/>
        <w:autoSpaceDE w:val="0"/>
        <w:autoSpaceDN w:val="0"/>
        <w:adjustRightInd w:val="0"/>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Quanto aos passivos classificados pela FUNCEF como perda possível, à medida em que, eventualmente, forem reclassificados para perda provável, serão provisionados nos respectivos planos, e por consequência, esses montantes comporão o cálculo atuarial da CAIXA, sendo seus impactos reconhecidos no encerramento do Balanço do primeiro semestre subsequente à reclassificação desses passivos.</w:t>
      </w:r>
    </w:p>
    <w:p w14:paraId="494C7DE0" w14:textId="5555C116" w:rsidR="009609B9" w:rsidRPr="00E20D21" w:rsidRDefault="009609B9" w:rsidP="002A0F31">
      <w:pPr>
        <w:spacing w:before="240" w:after="240"/>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(i.1)</w:t>
      </w:r>
      <w:r w:rsidRPr="00E20D21">
        <w:rPr>
          <w:rFonts w:ascii="CAIXA Std Book" w:hAnsi="CAIXA Std Book"/>
          <w:b/>
          <w:color w:val="005CA9"/>
          <w:sz w:val="20"/>
          <w:szCs w:val="20"/>
        </w:rPr>
        <w:tab/>
        <w:t>Reconhecimento dos ganhos e perdas atuariais</w:t>
      </w:r>
    </w:p>
    <w:p w14:paraId="1685DA49" w14:textId="77777777" w:rsidR="009609B9" w:rsidRPr="00E20D21" w:rsidRDefault="009609B9" w:rsidP="002A0F31">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política contábil da CAIXA, no reconhecimento dos ganhos e perdas atuariais contabilizados em seus demonstrativos financeiros, para os planos previdenciários, assistenciais e benefícios pós-emprego estruturados na modalidade de Benefício Definido, conforme determinado no Pronunciamento Técnico CPC 33 (R1), consiste no reconhecimento de todos os ganhos e perdas atuariais no período em que ocorrem em ajuste de avaliação patrimonial.</w:t>
      </w:r>
    </w:p>
    <w:p w14:paraId="2813E92E" w14:textId="41AFE062" w:rsidR="009609B9" w:rsidRPr="00E20D21" w:rsidRDefault="009609B9" w:rsidP="002A0F31">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Nos planos em que se observou ativo atuarial líquido, </w:t>
      </w:r>
      <w:proofErr w:type="gramStart"/>
      <w:r w:rsidRPr="00E20D21">
        <w:rPr>
          <w:rFonts w:ascii="CAIXA Std Book" w:hAnsi="CAIXA Std Book"/>
          <w:color w:val="005CA9"/>
          <w:sz w:val="20"/>
          <w:szCs w:val="20"/>
        </w:rPr>
        <w:t>os mesmos</w:t>
      </w:r>
      <w:proofErr w:type="gramEnd"/>
      <w:r w:rsidRPr="00E20D21">
        <w:rPr>
          <w:rFonts w:ascii="CAIXA Std Book" w:hAnsi="CAIXA Std Book"/>
          <w:color w:val="005CA9"/>
          <w:sz w:val="20"/>
          <w:szCs w:val="20"/>
        </w:rPr>
        <w:t xml:space="preserve"> são limitados ao valor do benefício econômico que a CAIXA porventura possa usufruir, sendo calculado como o valor presente do fluxo de caixa dos valores revertidos dos planos a CAIXA ou a redução efetiva de contribuições futuras, caso existam. </w:t>
      </w:r>
      <w:r w:rsidR="00FD6A98" w:rsidRPr="00E20D21">
        <w:rPr>
          <w:rFonts w:ascii="CAIXA Std Book" w:hAnsi="CAIXA Std Book"/>
          <w:color w:val="005CA9"/>
          <w:sz w:val="20"/>
          <w:szCs w:val="20"/>
        </w:rPr>
        <w:t>No período apresentado</w:t>
      </w:r>
      <w:r w:rsidRPr="00E20D21">
        <w:rPr>
          <w:rFonts w:ascii="CAIXA Std Book" w:hAnsi="CAIXA Std Book"/>
          <w:color w:val="005CA9"/>
          <w:sz w:val="20"/>
          <w:szCs w:val="20"/>
        </w:rPr>
        <w:t>, não foram apurados benefícios econômicos passíveis de reconhecimento pela patrocinadora.</w:t>
      </w:r>
    </w:p>
    <w:p w14:paraId="1EE54834" w14:textId="77777777" w:rsidR="009609B9" w:rsidRPr="00E20D21" w:rsidRDefault="009609B9" w:rsidP="002A0F31">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Com relação aos planos previdenciários que possuem benefícios estruturados na modalidade de Contribuição Definida, de acordo com o Pronunciamento Técnico CPC 33 (R1) e de acordo com a natureza do benefício, </w:t>
      </w:r>
      <w:proofErr w:type="gramStart"/>
      <w:r w:rsidRPr="00E20D21">
        <w:rPr>
          <w:rFonts w:ascii="CAIXA Std Book" w:hAnsi="CAIXA Std Book"/>
          <w:color w:val="005CA9"/>
          <w:sz w:val="20"/>
          <w:szCs w:val="20"/>
        </w:rPr>
        <w:t>os mesmos</w:t>
      </w:r>
      <w:proofErr w:type="gramEnd"/>
      <w:r w:rsidRPr="00E20D21">
        <w:rPr>
          <w:rFonts w:ascii="CAIXA Std Book" w:hAnsi="CAIXA Std Book"/>
          <w:color w:val="005CA9"/>
          <w:sz w:val="20"/>
          <w:szCs w:val="20"/>
        </w:rPr>
        <w:t xml:space="preserve"> não geram ganhos ou perdas atuariais a serem reconhecidos pela CAIXA.</w:t>
      </w:r>
    </w:p>
    <w:p w14:paraId="5D0FB919" w14:textId="7E191C51" w:rsidR="0011631C" w:rsidRPr="00E20D21" w:rsidRDefault="0011631C" w:rsidP="002A0F31">
      <w:pPr>
        <w:autoSpaceDE w:val="0"/>
        <w:autoSpaceDN w:val="0"/>
        <w:adjustRightInd w:val="0"/>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(i.2)</w:t>
      </w:r>
      <w:r w:rsidRPr="00E20D21">
        <w:rPr>
          <w:rFonts w:ascii="CAIXA Std Book" w:hAnsi="CAIXA Std Book"/>
          <w:b/>
          <w:color w:val="005CA9"/>
          <w:sz w:val="20"/>
          <w:szCs w:val="20"/>
        </w:rPr>
        <w:tab/>
        <w:t>Principais premissas utilizadas na avaliação atuarial dos planos:</w:t>
      </w:r>
    </w:p>
    <w:p w14:paraId="3F3CD57D" w14:textId="77777777" w:rsidR="0011631C" w:rsidRPr="00E20D21" w:rsidRDefault="0011631C" w:rsidP="002A0F31">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Conforme determina o Pronunciamento Técnico CPC 33 (R1), na avaliação atuarial dos planos de benefícios definidos devem ser utilizadas premissas (financeiras e demográficas) que reflitam as melhores estimativas da entidade sobre as variáveis que determinarão o custo final de prover esses benefícios aos seus empregados.</w:t>
      </w:r>
    </w:p>
    <w:p w14:paraId="1BD6FB59" w14:textId="77777777" w:rsidR="0011631C" w:rsidRPr="00E20D21" w:rsidRDefault="0011631C" w:rsidP="002A0F31">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O cálculo da taxa de juros de desconto atuarial anual considera a taxa de remuneração dos títulos públicos federais de primeira linha utilizados como referência, tendo em vista a inexistência de títulos e valores mobiliários com as condições previstas pelo Pronunciamento Técnico CPC 33 (R1). Essa alternativa é prevista pelo referido normativo.</w:t>
      </w:r>
    </w:p>
    <w:p w14:paraId="21753E21" w14:textId="293ABF6B" w:rsidR="0011631C" w:rsidRPr="00E20D21" w:rsidRDefault="0011631C" w:rsidP="002A0F31">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Dentre as principais premissas atuarias adotadas no Saúde CAIXA, destacamos o </w:t>
      </w:r>
      <w:proofErr w:type="spellStart"/>
      <w:r w:rsidRPr="00E20D21">
        <w:rPr>
          <w:rFonts w:ascii="CAIXA Std Book" w:hAnsi="CAIXA Std Book"/>
          <w:i/>
          <w:color w:val="005CA9"/>
          <w:sz w:val="20"/>
          <w:szCs w:val="20"/>
        </w:rPr>
        <w:t>Aging</w:t>
      </w:r>
      <w:proofErr w:type="spellEnd"/>
      <w:r w:rsidRPr="00E20D21">
        <w:rPr>
          <w:rFonts w:ascii="CAIXA Std Book" w:hAnsi="CAIXA Std Book"/>
          <w:i/>
          <w:color w:val="005CA9"/>
          <w:sz w:val="20"/>
          <w:szCs w:val="20"/>
        </w:rPr>
        <w:t xml:space="preserve"> Factor</w:t>
      </w:r>
      <w:r w:rsidRPr="00E20D21">
        <w:rPr>
          <w:rFonts w:ascii="CAIXA Std Book" w:hAnsi="CAIXA Std Book"/>
          <w:color w:val="005CA9"/>
          <w:sz w:val="20"/>
          <w:szCs w:val="20"/>
        </w:rPr>
        <w:t xml:space="preserve">, utilizado para mensurar a diferença do custo entre as diferentes idades dos participantes cobertos pelo plano. O </w:t>
      </w:r>
      <w:proofErr w:type="spellStart"/>
      <w:r w:rsidRPr="00E20D21">
        <w:rPr>
          <w:rFonts w:ascii="CAIXA Std Book" w:hAnsi="CAIXA Std Book"/>
          <w:i/>
          <w:color w:val="005CA9"/>
          <w:sz w:val="20"/>
          <w:szCs w:val="20"/>
        </w:rPr>
        <w:t>Aging</w:t>
      </w:r>
      <w:proofErr w:type="spellEnd"/>
      <w:r w:rsidRPr="00E20D21">
        <w:rPr>
          <w:rFonts w:ascii="CAIXA Std Book" w:hAnsi="CAIXA Std Book"/>
          <w:i/>
          <w:color w:val="005CA9"/>
          <w:sz w:val="20"/>
          <w:szCs w:val="20"/>
        </w:rPr>
        <w:t xml:space="preserve"> Factor</w:t>
      </w:r>
      <w:r w:rsidRPr="00E20D21">
        <w:rPr>
          <w:rFonts w:ascii="CAIXA Std Book" w:hAnsi="CAIXA Std Book"/>
          <w:color w:val="005CA9"/>
          <w:sz w:val="20"/>
          <w:szCs w:val="20"/>
        </w:rPr>
        <w:t xml:space="preserve"> adotado para </w:t>
      </w:r>
      <w:r w:rsidR="00FD6A98" w:rsidRPr="00E20D21">
        <w:rPr>
          <w:rFonts w:ascii="CAIXA Std Book" w:hAnsi="CAIXA Std Book"/>
          <w:color w:val="005CA9"/>
          <w:sz w:val="20"/>
          <w:szCs w:val="20"/>
        </w:rPr>
        <w:t>30/06/2024</w:t>
      </w:r>
      <w:r w:rsidRPr="00E20D21">
        <w:rPr>
          <w:rFonts w:ascii="CAIXA Std Book" w:hAnsi="CAIXA Std Book"/>
          <w:color w:val="005CA9"/>
          <w:sz w:val="20"/>
          <w:szCs w:val="20"/>
        </w:rPr>
        <w:t xml:space="preserve"> é de </w:t>
      </w:r>
      <w:r w:rsidR="00D27C76" w:rsidRPr="00E20D21">
        <w:rPr>
          <w:rFonts w:ascii="CAIXA Std Book" w:hAnsi="CAIXA Std Book"/>
          <w:color w:val="005CA9"/>
          <w:sz w:val="20"/>
          <w:szCs w:val="20"/>
        </w:rPr>
        <w:t>3,21</w:t>
      </w:r>
      <w:r w:rsidRPr="00E20D21">
        <w:rPr>
          <w:rFonts w:ascii="CAIXA Std Book" w:hAnsi="CAIXA Std Book"/>
          <w:color w:val="005CA9"/>
          <w:sz w:val="20"/>
          <w:szCs w:val="20"/>
        </w:rPr>
        <w:t>%.</w:t>
      </w:r>
    </w:p>
    <w:p w14:paraId="29DD45B1" w14:textId="77777777" w:rsidR="0011631C" w:rsidRPr="00E20D21" w:rsidRDefault="0011631C" w:rsidP="009609B9">
      <w:pPr>
        <w:rPr>
          <w:rFonts w:ascii="CAIXA Std Book" w:hAnsi="CAIXA Std Book"/>
          <w:b/>
          <w:color w:val="005CA9"/>
          <w:sz w:val="20"/>
          <w:szCs w:val="20"/>
        </w:rPr>
      </w:pPr>
    </w:p>
    <w:p w14:paraId="28C758A4" w14:textId="77777777" w:rsidR="009609B9" w:rsidRPr="00E20D21" w:rsidRDefault="009609B9" w:rsidP="009609B9">
      <w:pPr>
        <w:rPr>
          <w:rFonts w:ascii="CAIXA Std Book" w:hAnsi="CAIXA Std Book"/>
          <w:b/>
          <w:color w:val="005CA9"/>
          <w:sz w:val="20"/>
          <w:szCs w:val="20"/>
        </w:rPr>
        <w:sectPr w:rsidR="009609B9" w:rsidRPr="00E20D21" w:rsidSect="001F0E96">
          <w:headerReference w:type="default" r:id="rId73"/>
          <w:footerReference w:type="default" r:id="rId74"/>
          <w:pgSz w:w="11907" w:h="16840"/>
          <w:pgMar w:top="851" w:right="1134" w:bottom="851" w:left="1134" w:header="1134" w:footer="709" w:gutter="0"/>
          <w:cols w:space="720"/>
          <w:docGrid w:linePitch="326"/>
        </w:sectPr>
      </w:pPr>
    </w:p>
    <w:p w14:paraId="02A04E0B" w14:textId="77777777" w:rsidR="009609B9" w:rsidRPr="00E20D21" w:rsidRDefault="009609B9" w:rsidP="009609B9">
      <w:pPr>
        <w:autoSpaceDE w:val="0"/>
        <w:autoSpaceDN w:val="0"/>
        <w:adjustRightInd w:val="0"/>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(i.3)</w:t>
      </w:r>
      <w:r w:rsidRPr="00E20D21">
        <w:rPr>
          <w:rFonts w:ascii="CAIXA Std Book" w:hAnsi="CAIXA Std Book"/>
          <w:b/>
          <w:color w:val="005CA9"/>
          <w:sz w:val="20"/>
          <w:szCs w:val="20"/>
        </w:rPr>
        <w:tab/>
        <w:t>Premissas financeiras e demográficas consideradas nos cálculos atuariais dos planos de benefícios</w:t>
      </w:r>
    </w:p>
    <w:tbl>
      <w:tblPr>
        <w:tblW w:w="5000" w:type="pct"/>
        <w:tblCellMar>
          <w:left w:w="70" w:type="dxa"/>
          <w:right w:w="70" w:type="dxa"/>
        </w:tblCellMar>
        <w:tblLook w:val="04A0" w:firstRow="1" w:lastRow="0" w:firstColumn="1" w:lastColumn="0" w:noHBand="0" w:noVBand="1"/>
      </w:tblPr>
      <w:tblGrid>
        <w:gridCol w:w="4767"/>
        <w:gridCol w:w="1672"/>
        <w:gridCol w:w="1676"/>
        <w:gridCol w:w="1676"/>
        <w:gridCol w:w="1676"/>
        <w:gridCol w:w="1676"/>
        <w:gridCol w:w="1428"/>
      </w:tblGrid>
      <w:tr w:rsidR="00A47C19" w:rsidRPr="00E20D21" w14:paraId="2CA81F01" w14:textId="77777777" w:rsidTr="00414006">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5ADEB3E4" w14:textId="1A4384BA"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CONSOLIDADO</w:t>
            </w:r>
          </w:p>
        </w:tc>
      </w:tr>
      <w:tr w:rsidR="00A47C19" w:rsidRPr="00E20D21" w14:paraId="60AC0A74" w14:textId="77777777" w:rsidTr="00414006">
        <w:trPr>
          <w:trHeight w:val="283"/>
        </w:trPr>
        <w:tc>
          <w:tcPr>
            <w:tcW w:w="1636" w:type="pct"/>
            <w:vMerge w:val="restart"/>
            <w:tcBorders>
              <w:top w:val="single" w:sz="4" w:space="0" w:color="F68F00"/>
              <w:left w:val="nil"/>
              <w:bottom w:val="single" w:sz="4" w:space="0" w:color="F68F00"/>
              <w:right w:val="nil"/>
            </w:tcBorders>
            <w:shd w:val="clear" w:color="auto" w:fill="auto"/>
            <w:vAlign w:val="center"/>
            <w:hideMark/>
          </w:tcPr>
          <w:p w14:paraId="48BA266E"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1149" w:type="pct"/>
            <w:gridSpan w:val="2"/>
            <w:tcBorders>
              <w:top w:val="single" w:sz="4" w:space="0" w:color="F68F00"/>
              <w:left w:val="nil"/>
              <w:bottom w:val="single" w:sz="4" w:space="0" w:color="F68F00"/>
              <w:right w:val="nil"/>
            </w:tcBorders>
            <w:shd w:val="clear" w:color="auto" w:fill="auto"/>
            <w:vAlign w:val="center"/>
            <w:hideMark/>
          </w:tcPr>
          <w:p w14:paraId="2861253A"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Saúde CAIXA</w:t>
            </w:r>
          </w:p>
        </w:tc>
        <w:tc>
          <w:tcPr>
            <w:tcW w:w="1150" w:type="pct"/>
            <w:gridSpan w:val="2"/>
            <w:tcBorders>
              <w:top w:val="single" w:sz="4" w:space="0" w:color="F68F00"/>
              <w:left w:val="nil"/>
              <w:bottom w:val="single" w:sz="4" w:space="0" w:color="F68F00"/>
              <w:right w:val="nil"/>
            </w:tcBorders>
            <w:shd w:val="clear" w:color="auto" w:fill="auto"/>
            <w:vAlign w:val="center"/>
            <w:hideMark/>
          </w:tcPr>
          <w:p w14:paraId="31DDDEB0"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Auxílio/Cesta-alimentação</w:t>
            </w:r>
          </w:p>
        </w:tc>
        <w:tc>
          <w:tcPr>
            <w:tcW w:w="1065" w:type="pct"/>
            <w:gridSpan w:val="2"/>
            <w:tcBorders>
              <w:top w:val="single" w:sz="4" w:space="0" w:color="F68F00"/>
              <w:left w:val="nil"/>
              <w:bottom w:val="single" w:sz="4" w:space="0" w:color="F68F00"/>
              <w:right w:val="nil"/>
            </w:tcBorders>
            <w:shd w:val="clear" w:color="auto" w:fill="auto"/>
            <w:vAlign w:val="center"/>
            <w:hideMark/>
          </w:tcPr>
          <w:p w14:paraId="27B4DDC1"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Assistidos EX-PREVHAB</w:t>
            </w:r>
          </w:p>
        </w:tc>
      </w:tr>
      <w:tr w:rsidR="00FD6A98" w:rsidRPr="00E20D21" w14:paraId="4C7903CA" w14:textId="77777777" w:rsidTr="00414006">
        <w:trPr>
          <w:trHeight w:val="283"/>
        </w:trPr>
        <w:tc>
          <w:tcPr>
            <w:tcW w:w="1636" w:type="pct"/>
            <w:vMerge/>
            <w:tcBorders>
              <w:top w:val="single" w:sz="4" w:space="0" w:color="F68F00"/>
              <w:left w:val="nil"/>
              <w:bottom w:val="single" w:sz="4" w:space="0" w:color="F68F00"/>
              <w:right w:val="nil"/>
            </w:tcBorders>
            <w:vAlign w:val="center"/>
            <w:hideMark/>
          </w:tcPr>
          <w:p w14:paraId="431A0012" w14:textId="77777777" w:rsidR="00FD6A98" w:rsidRPr="00E20D21" w:rsidRDefault="00FD6A98" w:rsidP="00FD6A98">
            <w:pPr>
              <w:rPr>
                <w:rFonts w:ascii="CAIXA Std Book" w:hAnsi="CAIXA Std Book" w:cs="MS Gothic"/>
                <w:b/>
                <w:color w:val="005CA9"/>
                <w:sz w:val="18"/>
                <w:szCs w:val="18"/>
              </w:rPr>
            </w:pPr>
          </w:p>
        </w:tc>
        <w:tc>
          <w:tcPr>
            <w:tcW w:w="574" w:type="pct"/>
            <w:tcBorders>
              <w:top w:val="nil"/>
              <w:left w:val="nil"/>
              <w:bottom w:val="single" w:sz="4" w:space="0" w:color="F68F00"/>
              <w:right w:val="nil"/>
            </w:tcBorders>
            <w:shd w:val="clear" w:color="auto" w:fill="auto"/>
            <w:vAlign w:val="center"/>
            <w:hideMark/>
          </w:tcPr>
          <w:p w14:paraId="57819D03" w14:textId="07CEE695"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575" w:type="pct"/>
            <w:tcBorders>
              <w:top w:val="nil"/>
              <w:left w:val="nil"/>
              <w:bottom w:val="single" w:sz="4" w:space="0" w:color="F68F00"/>
              <w:right w:val="nil"/>
            </w:tcBorders>
            <w:shd w:val="clear" w:color="auto" w:fill="auto"/>
            <w:vAlign w:val="center"/>
            <w:hideMark/>
          </w:tcPr>
          <w:p w14:paraId="22715A34" w14:textId="3378D782"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575" w:type="pct"/>
            <w:tcBorders>
              <w:top w:val="nil"/>
              <w:left w:val="nil"/>
              <w:bottom w:val="single" w:sz="4" w:space="0" w:color="F68F00"/>
              <w:right w:val="nil"/>
            </w:tcBorders>
            <w:shd w:val="clear" w:color="auto" w:fill="auto"/>
            <w:vAlign w:val="center"/>
            <w:hideMark/>
          </w:tcPr>
          <w:p w14:paraId="719E35C2" w14:textId="2756453D"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575" w:type="pct"/>
            <w:tcBorders>
              <w:top w:val="nil"/>
              <w:left w:val="nil"/>
              <w:bottom w:val="single" w:sz="4" w:space="0" w:color="F68F00"/>
              <w:right w:val="nil"/>
            </w:tcBorders>
            <w:shd w:val="clear" w:color="auto" w:fill="auto"/>
            <w:vAlign w:val="center"/>
            <w:hideMark/>
          </w:tcPr>
          <w:p w14:paraId="5D814E82" w14:textId="1060DC1B"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575" w:type="pct"/>
            <w:tcBorders>
              <w:top w:val="nil"/>
              <w:left w:val="nil"/>
              <w:bottom w:val="single" w:sz="4" w:space="0" w:color="F68F00"/>
              <w:right w:val="nil"/>
            </w:tcBorders>
            <w:shd w:val="clear" w:color="auto" w:fill="auto"/>
            <w:vAlign w:val="center"/>
            <w:hideMark/>
          </w:tcPr>
          <w:p w14:paraId="44ADB4F5" w14:textId="4390CE80"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490" w:type="pct"/>
            <w:tcBorders>
              <w:top w:val="nil"/>
              <w:left w:val="nil"/>
              <w:bottom w:val="single" w:sz="4" w:space="0" w:color="F68F00"/>
              <w:right w:val="nil"/>
            </w:tcBorders>
            <w:shd w:val="clear" w:color="auto" w:fill="auto"/>
            <w:vAlign w:val="center"/>
            <w:hideMark/>
          </w:tcPr>
          <w:p w14:paraId="5703EBC7" w14:textId="3AA208ED"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FD6A98" w:rsidRPr="00E20D21" w14:paraId="5E132B5B" w14:textId="77777777" w:rsidTr="00414006">
        <w:trPr>
          <w:trHeight w:val="283"/>
        </w:trPr>
        <w:tc>
          <w:tcPr>
            <w:tcW w:w="1636" w:type="pct"/>
            <w:tcBorders>
              <w:top w:val="nil"/>
              <w:left w:val="nil"/>
              <w:bottom w:val="nil"/>
              <w:right w:val="nil"/>
            </w:tcBorders>
            <w:shd w:val="clear" w:color="auto" w:fill="auto"/>
            <w:vAlign w:val="center"/>
            <w:hideMark/>
          </w:tcPr>
          <w:p w14:paraId="599335B2"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nominal de desconto (a.a.)</w:t>
            </w:r>
          </w:p>
        </w:tc>
        <w:tc>
          <w:tcPr>
            <w:tcW w:w="574" w:type="pct"/>
            <w:tcBorders>
              <w:top w:val="nil"/>
              <w:left w:val="nil"/>
              <w:bottom w:val="nil"/>
              <w:right w:val="nil"/>
            </w:tcBorders>
            <w:shd w:val="clear" w:color="auto" w:fill="auto"/>
            <w:vAlign w:val="center"/>
          </w:tcPr>
          <w:p w14:paraId="7F7FDB48" w14:textId="61020302" w:rsidR="00FD6A98" w:rsidRPr="00E20D21" w:rsidRDefault="00AB0221"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9,66%</w:t>
            </w:r>
          </w:p>
        </w:tc>
        <w:tc>
          <w:tcPr>
            <w:tcW w:w="575" w:type="pct"/>
            <w:tcBorders>
              <w:top w:val="nil"/>
              <w:left w:val="nil"/>
              <w:bottom w:val="nil"/>
              <w:right w:val="nil"/>
            </w:tcBorders>
            <w:shd w:val="clear" w:color="auto" w:fill="auto"/>
            <w:vAlign w:val="center"/>
          </w:tcPr>
          <w:p w14:paraId="670C4F64" w14:textId="4BC5F0D2"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8,49%</w:t>
            </w:r>
          </w:p>
        </w:tc>
        <w:tc>
          <w:tcPr>
            <w:tcW w:w="575" w:type="pct"/>
            <w:tcBorders>
              <w:top w:val="nil"/>
              <w:left w:val="nil"/>
              <w:bottom w:val="nil"/>
              <w:right w:val="nil"/>
            </w:tcBorders>
            <w:shd w:val="clear" w:color="auto" w:fill="auto"/>
            <w:vAlign w:val="center"/>
          </w:tcPr>
          <w:p w14:paraId="5E4EA171" w14:textId="1FB3D598" w:rsidR="00FD6A98" w:rsidRPr="00E20D21" w:rsidRDefault="000510C2"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9,68%</w:t>
            </w:r>
          </w:p>
        </w:tc>
        <w:tc>
          <w:tcPr>
            <w:tcW w:w="575" w:type="pct"/>
            <w:tcBorders>
              <w:top w:val="nil"/>
              <w:left w:val="nil"/>
              <w:bottom w:val="nil"/>
              <w:right w:val="nil"/>
            </w:tcBorders>
            <w:shd w:val="clear" w:color="auto" w:fill="auto"/>
            <w:vAlign w:val="center"/>
          </w:tcPr>
          <w:p w14:paraId="09945E65" w14:textId="705311EE"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8,43%</w:t>
            </w:r>
          </w:p>
        </w:tc>
        <w:tc>
          <w:tcPr>
            <w:tcW w:w="575" w:type="pct"/>
            <w:tcBorders>
              <w:top w:val="nil"/>
              <w:left w:val="nil"/>
              <w:bottom w:val="nil"/>
              <w:right w:val="nil"/>
            </w:tcBorders>
            <w:shd w:val="clear" w:color="auto" w:fill="auto"/>
            <w:vAlign w:val="center"/>
          </w:tcPr>
          <w:p w14:paraId="1BF60337" w14:textId="27332E44" w:rsidR="00FD6A98" w:rsidRPr="00E20D21" w:rsidRDefault="000510C2"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9,69%</w:t>
            </w:r>
          </w:p>
        </w:tc>
        <w:tc>
          <w:tcPr>
            <w:tcW w:w="490" w:type="pct"/>
            <w:tcBorders>
              <w:top w:val="nil"/>
              <w:left w:val="nil"/>
              <w:bottom w:val="nil"/>
              <w:right w:val="nil"/>
            </w:tcBorders>
            <w:shd w:val="clear" w:color="auto" w:fill="auto"/>
            <w:vAlign w:val="center"/>
          </w:tcPr>
          <w:p w14:paraId="47E60323" w14:textId="4A15A0D8"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8,41%</w:t>
            </w:r>
          </w:p>
        </w:tc>
      </w:tr>
      <w:tr w:rsidR="00FD6A98" w:rsidRPr="00E20D21" w14:paraId="2E47380D" w14:textId="77777777" w:rsidTr="00414006">
        <w:trPr>
          <w:trHeight w:val="283"/>
        </w:trPr>
        <w:tc>
          <w:tcPr>
            <w:tcW w:w="1636" w:type="pct"/>
            <w:tcBorders>
              <w:top w:val="nil"/>
              <w:left w:val="nil"/>
              <w:bottom w:val="nil"/>
              <w:right w:val="nil"/>
            </w:tcBorders>
            <w:shd w:val="clear" w:color="auto" w:fill="auto"/>
            <w:vAlign w:val="center"/>
            <w:hideMark/>
          </w:tcPr>
          <w:p w14:paraId="20733381"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real de desconto (a.a.)</w:t>
            </w:r>
          </w:p>
        </w:tc>
        <w:tc>
          <w:tcPr>
            <w:tcW w:w="574" w:type="pct"/>
            <w:tcBorders>
              <w:top w:val="nil"/>
              <w:left w:val="nil"/>
              <w:bottom w:val="nil"/>
              <w:right w:val="nil"/>
            </w:tcBorders>
            <w:shd w:val="clear" w:color="auto" w:fill="auto"/>
            <w:vAlign w:val="center"/>
          </w:tcPr>
          <w:p w14:paraId="7E8B8F7C" w14:textId="49B9EE6C" w:rsidR="00FD6A98" w:rsidRPr="00E20D21" w:rsidRDefault="00AB0221"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6,47%</w:t>
            </w:r>
          </w:p>
        </w:tc>
        <w:tc>
          <w:tcPr>
            <w:tcW w:w="575" w:type="pct"/>
            <w:tcBorders>
              <w:top w:val="nil"/>
              <w:left w:val="nil"/>
              <w:bottom w:val="nil"/>
              <w:right w:val="nil"/>
            </w:tcBorders>
            <w:shd w:val="clear" w:color="auto" w:fill="auto"/>
            <w:vAlign w:val="center"/>
          </w:tcPr>
          <w:p w14:paraId="4B0C8E05" w14:textId="41947F45"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5,33%</w:t>
            </w:r>
          </w:p>
        </w:tc>
        <w:tc>
          <w:tcPr>
            <w:tcW w:w="575" w:type="pct"/>
            <w:tcBorders>
              <w:top w:val="nil"/>
              <w:left w:val="nil"/>
              <w:bottom w:val="nil"/>
              <w:right w:val="nil"/>
            </w:tcBorders>
            <w:shd w:val="clear" w:color="auto" w:fill="auto"/>
            <w:vAlign w:val="center"/>
          </w:tcPr>
          <w:p w14:paraId="3BB126F7" w14:textId="4E5DB00D" w:rsidR="00FD6A98" w:rsidRPr="00E20D21" w:rsidRDefault="000510C2"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6,49%</w:t>
            </w:r>
          </w:p>
        </w:tc>
        <w:tc>
          <w:tcPr>
            <w:tcW w:w="575" w:type="pct"/>
            <w:tcBorders>
              <w:top w:val="nil"/>
              <w:left w:val="nil"/>
              <w:bottom w:val="nil"/>
              <w:right w:val="nil"/>
            </w:tcBorders>
            <w:shd w:val="clear" w:color="auto" w:fill="auto"/>
            <w:vAlign w:val="center"/>
          </w:tcPr>
          <w:p w14:paraId="1630A0B5" w14:textId="64E19406"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5,27%</w:t>
            </w:r>
          </w:p>
        </w:tc>
        <w:tc>
          <w:tcPr>
            <w:tcW w:w="575" w:type="pct"/>
            <w:tcBorders>
              <w:top w:val="nil"/>
              <w:left w:val="nil"/>
              <w:bottom w:val="nil"/>
              <w:right w:val="nil"/>
            </w:tcBorders>
            <w:shd w:val="clear" w:color="auto" w:fill="auto"/>
            <w:vAlign w:val="center"/>
          </w:tcPr>
          <w:p w14:paraId="62920476" w14:textId="3DE28009" w:rsidR="00FD6A98" w:rsidRPr="00E20D21" w:rsidRDefault="000510C2"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6,50%</w:t>
            </w:r>
          </w:p>
        </w:tc>
        <w:tc>
          <w:tcPr>
            <w:tcW w:w="490" w:type="pct"/>
            <w:tcBorders>
              <w:top w:val="nil"/>
              <w:left w:val="nil"/>
              <w:bottom w:val="nil"/>
              <w:right w:val="nil"/>
            </w:tcBorders>
            <w:shd w:val="clear" w:color="auto" w:fill="auto"/>
            <w:vAlign w:val="center"/>
          </w:tcPr>
          <w:p w14:paraId="16C2125D" w14:textId="31BA2E57"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5,25%</w:t>
            </w:r>
          </w:p>
        </w:tc>
      </w:tr>
      <w:tr w:rsidR="00FD6A98" w:rsidRPr="00E20D21" w14:paraId="6CF1495A" w14:textId="77777777" w:rsidTr="00414006">
        <w:trPr>
          <w:trHeight w:val="283"/>
        </w:trPr>
        <w:tc>
          <w:tcPr>
            <w:tcW w:w="1636" w:type="pct"/>
            <w:tcBorders>
              <w:top w:val="nil"/>
              <w:left w:val="nil"/>
              <w:bottom w:val="nil"/>
              <w:right w:val="nil"/>
            </w:tcBorders>
            <w:shd w:val="clear" w:color="auto" w:fill="auto"/>
            <w:vAlign w:val="center"/>
            <w:hideMark/>
          </w:tcPr>
          <w:p w14:paraId="7D3E2263"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real de crescimento dos salários (a.a.)</w:t>
            </w:r>
          </w:p>
        </w:tc>
        <w:tc>
          <w:tcPr>
            <w:tcW w:w="574" w:type="pct"/>
            <w:tcBorders>
              <w:top w:val="nil"/>
              <w:left w:val="nil"/>
              <w:bottom w:val="nil"/>
              <w:right w:val="nil"/>
            </w:tcBorders>
            <w:shd w:val="clear" w:color="auto" w:fill="auto"/>
            <w:vAlign w:val="center"/>
          </w:tcPr>
          <w:p w14:paraId="53BA1DBC" w14:textId="7BA70476"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2613932F" w14:textId="429E2DE5"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58023C67" w14:textId="25B101D2"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68D41C73" w14:textId="2A936470"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2C544A3C" w14:textId="571FAD81"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490" w:type="pct"/>
            <w:tcBorders>
              <w:top w:val="nil"/>
              <w:left w:val="nil"/>
              <w:bottom w:val="nil"/>
              <w:right w:val="nil"/>
            </w:tcBorders>
            <w:shd w:val="clear" w:color="auto" w:fill="auto"/>
            <w:vAlign w:val="center"/>
          </w:tcPr>
          <w:p w14:paraId="38B0AD33" w14:textId="19FFD73F"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FD6A98" w:rsidRPr="00E20D21" w14:paraId="4CD72D68" w14:textId="77777777" w:rsidTr="00414006">
        <w:trPr>
          <w:trHeight w:val="283"/>
        </w:trPr>
        <w:tc>
          <w:tcPr>
            <w:tcW w:w="1636" w:type="pct"/>
            <w:tcBorders>
              <w:top w:val="nil"/>
              <w:left w:val="nil"/>
              <w:bottom w:val="nil"/>
              <w:right w:val="nil"/>
            </w:tcBorders>
            <w:shd w:val="clear" w:color="auto" w:fill="auto"/>
            <w:vAlign w:val="center"/>
            <w:hideMark/>
          </w:tcPr>
          <w:p w14:paraId="7F97FB00"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real de crescimento dos benefícios projetada (a.a.)</w:t>
            </w:r>
          </w:p>
        </w:tc>
        <w:tc>
          <w:tcPr>
            <w:tcW w:w="574" w:type="pct"/>
            <w:tcBorders>
              <w:top w:val="nil"/>
              <w:left w:val="nil"/>
              <w:bottom w:val="nil"/>
              <w:right w:val="nil"/>
            </w:tcBorders>
            <w:shd w:val="clear" w:color="auto" w:fill="auto"/>
            <w:vAlign w:val="center"/>
          </w:tcPr>
          <w:p w14:paraId="04853234" w14:textId="634AFB06"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04E3AA78" w14:textId="2458F471"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2D0F6C33" w14:textId="108A73A2"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43B6B99E" w14:textId="353C4DB1"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53FBBB1D" w14:textId="18FCA4CF"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490" w:type="pct"/>
            <w:tcBorders>
              <w:top w:val="nil"/>
              <w:left w:val="nil"/>
              <w:bottom w:val="nil"/>
              <w:right w:val="nil"/>
            </w:tcBorders>
            <w:shd w:val="clear" w:color="auto" w:fill="auto"/>
            <w:vAlign w:val="center"/>
          </w:tcPr>
          <w:p w14:paraId="7B4623C5" w14:textId="733D803E"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FD6A98" w:rsidRPr="00E20D21" w14:paraId="0353E6CC" w14:textId="77777777" w:rsidTr="00414006">
        <w:trPr>
          <w:trHeight w:val="283"/>
        </w:trPr>
        <w:tc>
          <w:tcPr>
            <w:tcW w:w="1636" w:type="pct"/>
            <w:tcBorders>
              <w:top w:val="nil"/>
              <w:left w:val="nil"/>
              <w:bottom w:val="nil"/>
              <w:right w:val="nil"/>
            </w:tcBorders>
            <w:shd w:val="clear" w:color="auto" w:fill="auto"/>
            <w:vAlign w:val="center"/>
            <w:hideMark/>
          </w:tcPr>
          <w:p w14:paraId="75F5DDE6"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de inflação (a.a.)</w:t>
            </w:r>
          </w:p>
        </w:tc>
        <w:tc>
          <w:tcPr>
            <w:tcW w:w="574" w:type="pct"/>
            <w:tcBorders>
              <w:top w:val="nil"/>
              <w:left w:val="nil"/>
              <w:bottom w:val="nil"/>
              <w:right w:val="nil"/>
            </w:tcBorders>
            <w:shd w:val="clear" w:color="auto" w:fill="auto"/>
            <w:vAlign w:val="center"/>
          </w:tcPr>
          <w:p w14:paraId="744EA8B4" w14:textId="15380540"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575" w:type="pct"/>
            <w:tcBorders>
              <w:top w:val="nil"/>
              <w:left w:val="nil"/>
              <w:bottom w:val="nil"/>
              <w:right w:val="nil"/>
            </w:tcBorders>
            <w:shd w:val="clear" w:color="auto" w:fill="auto"/>
            <w:vAlign w:val="center"/>
          </w:tcPr>
          <w:p w14:paraId="08AAEDD1" w14:textId="2017163F"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575" w:type="pct"/>
            <w:tcBorders>
              <w:top w:val="nil"/>
              <w:left w:val="nil"/>
              <w:bottom w:val="nil"/>
              <w:right w:val="nil"/>
            </w:tcBorders>
            <w:shd w:val="clear" w:color="auto" w:fill="auto"/>
            <w:vAlign w:val="center"/>
          </w:tcPr>
          <w:p w14:paraId="2072181C" w14:textId="758A41D2"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3,00%</w:t>
            </w:r>
          </w:p>
        </w:tc>
        <w:tc>
          <w:tcPr>
            <w:tcW w:w="575" w:type="pct"/>
            <w:tcBorders>
              <w:top w:val="nil"/>
              <w:left w:val="nil"/>
              <w:bottom w:val="nil"/>
              <w:right w:val="nil"/>
            </w:tcBorders>
            <w:shd w:val="clear" w:color="auto" w:fill="auto"/>
            <w:vAlign w:val="center"/>
          </w:tcPr>
          <w:p w14:paraId="5413B1F4" w14:textId="11B82F72"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575" w:type="pct"/>
            <w:tcBorders>
              <w:top w:val="nil"/>
              <w:left w:val="nil"/>
              <w:bottom w:val="nil"/>
              <w:right w:val="nil"/>
            </w:tcBorders>
            <w:shd w:val="clear" w:color="auto" w:fill="auto"/>
            <w:vAlign w:val="center"/>
          </w:tcPr>
          <w:p w14:paraId="129EB7EF" w14:textId="78224AFF"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3,00%</w:t>
            </w:r>
          </w:p>
        </w:tc>
        <w:tc>
          <w:tcPr>
            <w:tcW w:w="490" w:type="pct"/>
            <w:tcBorders>
              <w:top w:val="nil"/>
              <w:left w:val="nil"/>
              <w:bottom w:val="nil"/>
              <w:right w:val="nil"/>
            </w:tcBorders>
            <w:shd w:val="clear" w:color="auto" w:fill="auto"/>
            <w:vAlign w:val="center"/>
          </w:tcPr>
          <w:p w14:paraId="6E02FA94" w14:textId="2382D945"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r>
      <w:tr w:rsidR="00FD6A98" w:rsidRPr="00E20D21" w14:paraId="0ED44C87" w14:textId="77777777" w:rsidTr="00414006">
        <w:trPr>
          <w:trHeight w:val="283"/>
        </w:trPr>
        <w:tc>
          <w:tcPr>
            <w:tcW w:w="1636" w:type="pct"/>
            <w:tcBorders>
              <w:top w:val="nil"/>
              <w:left w:val="nil"/>
              <w:bottom w:val="nil"/>
              <w:right w:val="nil"/>
            </w:tcBorders>
            <w:shd w:val="clear" w:color="auto" w:fill="auto"/>
            <w:vAlign w:val="center"/>
            <w:hideMark/>
          </w:tcPr>
          <w:p w14:paraId="44C9CA4B"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de rotatividade</w:t>
            </w:r>
          </w:p>
        </w:tc>
        <w:tc>
          <w:tcPr>
            <w:tcW w:w="574" w:type="pct"/>
            <w:tcBorders>
              <w:top w:val="nil"/>
              <w:left w:val="nil"/>
              <w:bottom w:val="nil"/>
              <w:right w:val="nil"/>
            </w:tcBorders>
            <w:shd w:val="clear" w:color="auto" w:fill="auto"/>
            <w:vAlign w:val="center"/>
          </w:tcPr>
          <w:p w14:paraId="0C628335" w14:textId="038E01DB"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rotatividade experiência CAIXA 2023</w:t>
            </w:r>
          </w:p>
        </w:tc>
        <w:tc>
          <w:tcPr>
            <w:tcW w:w="575" w:type="pct"/>
            <w:tcBorders>
              <w:top w:val="nil"/>
              <w:left w:val="nil"/>
              <w:bottom w:val="nil"/>
              <w:right w:val="nil"/>
            </w:tcBorders>
            <w:shd w:val="clear" w:color="auto" w:fill="auto"/>
            <w:vAlign w:val="center"/>
          </w:tcPr>
          <w:p w14:paraId="3A503835" w14:textId="66DB6D6A"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rotatividade experiência CAIXA 2023</w:t>
            </w:r>
          </w:p>
        </w:tc>
        <w:tc>
          <w:tcPr>
            <w:tcW w:w="575" w:type="pct"/>
            <w:tcBorders>
              <w:top w:val="nil"/>
              <w:left w:val="nil"/>
              <w:bottom w:val="nil"/>
              <w:right w:val="nil"/>
            </w:tcBorders>
            <w:shd w:val="clear" w:color="auto" w:fill="auto"/>
            <w:vAlign w:val="center"/>
          </w:tcPr>
          <w:p w14:paraId="32892CAF" w14:textId="6FC0C796"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538410D6" w14:textId="59A9A157"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0C86C4BA" w14:textId="70E97B62"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490" w:type="pct"/>
            <w:tcBorders>
              <w:top w:val="nil"/>
              <w:left w:val="nil"/>
              <w:bottom w:val="nil"/>
              <w:right w:val="nil"/>
            </w:tcBorders>
            <w:shd w:val="clear" w:color="auto" w:fill="auto"/>
            <w:vAlign w:val="center"/>
          </w:tcPr>
          <w:p w14:paraId="2935C506" w14:textId="419181CC"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FD6A98" w:rsidRPr="00E20D21" w14:paraId="72A6A386" w14:textId="77777777" w:rsidTr="00414006">
        <w:trPr>
          <w:trHeight w:val="283"/>
        </w:trPr>
        <w:tc>
          <w:tcPr>
            <w:tcW w:w="1636" w:type="pct"/>
            <w:tcBorders>
              <w:top w:val="nil"/>
              <w:left w:val="nil"/>
              <w:bottom w:val="nil"/>
              <w:right w:val="nil"/>
            </w:tcBorders>
            <w:shd w:val="clear" w:color="auto" w:fill="auto"/>
            <w:vAlign w:val="center"/>
            <w:hideMark/>
          </w:tcPr>
          <w:p w14:paraId="01888640"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Tábua de mortalidade geral</w:t>
            </w:r>
          </w:p>
        </w:tc>
        <w:tc>
          <w:tcPr>
            <w:tcW w:w="574" w:type="pct"/>
            <w:tcBorders>
              <w:top w:val="nil"/>
              <w:left w:val="nil"/>
              <w:bottom w:val="nil"/>
              <w:right w:val="nil"/>
            </w:tcBorders>
            <w:shd w:val="clear" w:color="auto" w:fill="auto"/>
            <w:vAlign w:val="center"/>
          </w:tcPr>
          <w:p w14:paraId="6D93095B" w14:textId="1B18B5E3"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3CDAEC89" w14:textId="517E179A"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35B1082E" w14:textId="4223D561"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6393A054" w14:textId="0C15C929"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317AABA1" w14:textId="5B2CC3D4"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RP 2000, segregada por sexo e suavizada em 20%</w:t>
            </w:r>
          </w:p>
        </w:tc>
        <w:tc>
          <w:tcPr>
            <w:tcW w:w="490" w:type="pct"/>
            <w:tcBorders>
              <w:top w:val="nil"/>
              <w:left w:val="nil"/>
              <w:bottom w:val="nil"/>
              <w:right w:val="nil"/>
            </w:tcBorders>
            <w:shd w:val="clear" w:color="auto" w:fill="auto"/>
            <w:vAlign w:val="center"/>
          </w:tcPr>
          <w:p w14:paraId="4A1715A8" w14:textId="1190ECBF"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r>
      <w:tr w:rsidR="00FD6A98" w:rsidRPr="00E20D21" w14:paraId="3BE3E08D" w14:textId="77777777" w:rsidTr="00414006">
        <w:trPr>
          <w:trHeight w:val="283"/>
        </w:trPr>
        <w:tc>
          <w:tcPr>
            <w:tcW w:w="1636" w:type="pct"/>
            <w:tcBorders>
              <w:top w:val="nil"/>
              <w:left w:val="nil"/>
              <w:bottom w:val="nil"/>
              <w:right w:val="nil"/>
            </w:tcBorders>
            <w:shd w:val="clear" w:color="auto" w:fill="auto"/>
            <w:vAlign w:val="center"/>
            <w:hideMark/>
          </w:tcPr>
          <w:p w14:paraId="7DDC2F2E"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Tábua de entrada em invalidez</w:t>
            </w:r>
          </w:p>
        </w:tc>
        <w:tc>
          <w:tcPr>
            <w:tcW w:w="574" w:type="pct"/>
            <w:tcBorders>
              <w:top w:val="nil"/>
              <w:left w:val="nil"/>
              <w:bottom w:val="nil"/>
              <w:right w:val="nil"/>
            </w:tcBorders>
            <w:shd w:val="clear" w:color="auto" w:fill="auto"/>
            <w:vAlign w:val="center"/>
          </w:tcPr>
          <w:p w14:paraId="030B004F" w14:textId="79B68315"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c>
          <w:tcPr>
            <w:tcW w:w="575" w:type="pct"/>
            <w:tcBorders>
              <w:top w:val="nil"/>
              <w:left w:val="nil"/>
              <w:bottom w:val="nil"/>
              <w:right w:val="nil"/>
            </w:tcBorders>
            <w:shd w:val="clear" w:color="auto" w:fill="auto"/>
            <w:vAlign w:val="center"/>
          </w:tcPr>
          <w:p w14:paraId="58178F45" w14:textId="081C1BCD"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c>
          <w:tcPr>
            <w:tcW w:w="575" w:type="pct"/>
            <w:tcBorders>
              <w:top w:val="nil"/>
              <w:left w:val="nil"/>
              <w:bottom w:val="nil"/>
              <w:right w:val="nil"/>
            </w:tcBorders>
            <w:shd w:val="clear" w:color="auto" w:fill="auto"/>
            <w:vAlign w:val="center"/>
          </w:tcPr>
          <w:p w14:paraId="1AE0293B" w14:textId="51183072"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249A7AC7" w14:textId="44D42A95"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5564DC90" w14:textId="3940C0BD"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490" w:type="pct"/>
            <w:tcBorders>
              <w:top w:val="nil"/>
              <w:left w:val="nil"/>
              <w:bottom w:val="nil"/>
              <w:right w:val="nil"/>
            </w:tcBorders>
            <w:shd w:val="clear" w:color="auto" w:fill="auto"/>
            <w:vAlign w:val="center"/>
          </w:tcPr>
          <w:p w14:paraId="196E69F7" w14:textId="7A11328E"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FD6A98" w:rsidRPr="00E20D21" w14:paraId="589E0A07" w14:textId="77777777" w:rsidTr="00414006">
        <w:trPr>
          <w:trHeight w:val="283"/>
        </w:trPr>
        <w:tc>
          <w:tcPr>
            <w:tcW w:w="1636" w:type="pct"/>
            <w:tcBorders>
              <w:top w:val="nil"/>
              <w:left w:val="nil"/>
              <w:bottom w:val="nil"/>
              <w:right w:val="nil"/>
            </w:tcBorders>
            <w:shd w:val="clear" w:color="auto" w:fill="auto"/>
            <w:vAlign w:val="center"/>
            <w:hideMark/>
          </w:tcPr>
          <w:p w14:paraId="302A676D"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Tábua de mortalidade de inválidos</w:t>
            </w:r>
          </w:p>
        </w:tc>
        <w:tc>
          <w:tcPr>
            <w:tcW w:w="574" w:type="pct"/>
            <w:tcBorders>
              <w:top w:val="nil"/>
              <w:left w:val="nil"/>
              <w:bottom w:val="nil"/>
              <w:right w:val="nil"/>
            </w:tcBorders>
            <w:shd w:val="clear" w:color="auto" w:fill="auto"/>
            <w:vAlign w:val="center"/>
          </w:tcPr>
          <w:p w14:paraId="65CE9125" w14:textId="5EF6E6DE"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575" w:type="pct"/>
            <w:tcBorders>
              <w:top w:val="nil"/>
              <w:left w:val="nil"/>
              <w:bottom w:val="nil"/>
              <w:right w:val="nil"/>
            </w:tcBorders>
            <w:shd w:val="clear" w:color="auto" w:fill="auto"/>
            <w:vAlign w:val="center"/>
          </w:tcPr>
          <w:p w14:paraId="40A31C65" w14:textId="2C60EA67"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575" w:type="pct"/>
            <w:tcBorders>
              <w:top w:val="nil"/>
              <w:left w:val="nil"/>
              <w:bottom w:val="nil"/>
              <w:right w:val="nil"/>
            </w:tcBorders>
            <w:shd w:val="clear" w:color="auto" w:fill="auto"/>
            <w:vAlign w:val="center"/>
          </w:tcPr>
          <w:p w14:paraId="4C85345E" w14:textId="4108ADD1"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CSO - 58</w:t>
            </w:r>
          </w:p>
        </w:tc>
        <w:tc>
          <w:tcPr>
            <w:tcW w:w="575" w:type="pct"/>
            <w:tcBorders>
              <w:top w:val="nil"/>
              <w:left w:val="nil"/>
              <w:bottom w:val="nil"/>
              <w:right w:val="nil"/>
            </w:tcBorders>
            <w:shd w:val="clear" w:color="auto" w:fill="auto"/>
            <w:vAlign w:val="center"/>
          </w:tcPr>
          <w:p w14:paraId="2D36E6A5" w14:textId="33D3C80B"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575" w:type="pct"/>
            <w:tcBorders>
              <w:top w:val="nil"/>
              <w:left w:val="nil"/>
              <w:bottom w:val="nil"/>
              <w:right w:val="nil"/>
            </w:tcBorders>
            <w:shd w:val="clear" w:color="auto" w:fill="auto"/>
            <w:vAlign w:val="center"/>
          </w:tcPr>
          <w:p w14:paraId="2E3B2262" w14:textId="17B5165B"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CSO - 58</w:t>
            </w:r>
          </w:p>
        </w:tc>
        <w:tc>
          <w:tcPr>
            <w:tcW w:w="490" w:type="pct"/>
            <w:tcBorders>
              <w:top w:val="nil"/>
              <w:left w:val="nil"/>
              <w:bottom w:val="nil"/>
              <w:right w:val="nil"/>
            </w:tcBorders>
            <w:shd w:val="clear" w:color="auto" w:fill="auto"/>
            <w:vAlign w:val="center"/>
          </w:tcPr>
          <w:p w14:paraId="2DA2C64C" w14:textId="63DB2C68"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r>
      <w:tr w:rsidR="00FD6A98" w:rsidRPr="00E20D21" w14:paraId="36090211" w14:textId="77777777" w:rsidTr="00414006">
        <w:trPr>
          <w:trHeight w:val="283"/>
        </w:trPr>
        <w:tc>
          <w:tcPr>
            <w:tcW w:w="1636" w:type="pct"/>
            <w:tcBorders>
              <w:top w:val="nil"/>
              <w:left w:val="nil"/>
              <w:bottom w:val="single" w:sz="4" w:space="0" w:color="F68F00"/>
              <w:right w:val="nil"/>
            </w:tcBorders>
            <w:shd w:val="clear" w:color="auto" w:fill="auto"/>
            <w:vAlign w:val="center"/>
            <w:hideMark/>
          </w:tcPr>
          <w:p w14:paraId="41F3A621"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Entrada em aposentadoria</w:t>
            </w:r>
          </w:p>
        </w:tc>
        <w:tc>
          <w:tcPr>
            <w:tcW w:w="574" w:type="pct"/>
            <w:tcBorders>
              <w:top w:val="nil"/>
              <w:left w:val="nil"/>
              <w:bottom w:val="single" w:sz="4" w:space="0" w:color="F68F00"/>
              <w:right w:val="nil"/>
            </w:tcBorders>
            <w:shd w:val="clear" w:color="auto" w:fill="auto"/>
            <w:vAlign w:val="center"/>
          </w:tcPr>
          <w:p w14:paraId="3B3915EF" w14:textId="4A07AF04"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entrada em aposentadoria CAIXA/Deloitte 2023</w:t>
            </w:r>
          </w:p>
        </w:tc>
        <w:tc>
          <w:tcPr>
            <w:tcW w:w="575" w:type="pct"/>
            <w:tcBorders>
              <w:top w:val="nil"/>
              <w:left w:val="nil"/>
              <w:bottom w:val="single" w:sz="4" w:space="0" w:color="F68F00"/>
              <w:right w:val="nil"/>
            </w:tcBorders>
            <w:shd w:val="clear" w:color="auto" w:fill="auto"/>
            <w:vAlign w:val="center"/>
          </w:tcPr>
          <w:p w14:paraId="180B326A" w14:textId="1FDF4DBD"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entrada em aposentadoria CAIXA/Deloitte 2023</w:t>
            </w:r>
          </w:p>
        </w:tc>
        <w:tc>
          <w:tcPr>
            <w:tcW w:w="575" w:type="pct"/>
            <w:tcBorders>
              <w:top w:val="nil"/>
              <w:left w:val="nil"/>
              <w:bottom w:val="single" w:sz="4" w:space="0" w:color="F68F00"/>
              <w:right w:val="nil"/>
            </w:tcBorders>
            <w:shd w:val="clear" w:color="auto" w:fill="auto"/>
            <w:vAlign w:val="center"/>
          </w:tcPr>
          <w:p w14:paraId="0099D604" w14:textId="1160390E"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575" w:type="pct"/>
            <w:tcBorders>
              <w:top w:val="nil"/>
              <w:left w:val="nil"/>
              <w:bottom w:val="single" w:sz="4" w:space="0" w:color="F68F00"/>
              <w:right w:val="nil"/>
            </w:tcBorders>
            <w:shd w:val="clear" w:color="auto" w:fill="auto"/>
            <w:vAlign w:val="center"/>
          </w:tcPr>
          <w:p w14:paraId="28B41233" w14:textId="56CB75FD"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single" w:sz="4" w:space="0" w:color="F68F00"/>
              <w:right w:val="nil"/>
            </w:tcBorders>
            <w:shd w:val="clear" w:color="auto" w:fill="auto"/>
            <w:vAlign w:val="center"/>
          </w:tcPr>
          <w:p w14:paraId="1F2AF197" w14:textId="15C5F33A"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490" w:type="pct"/>
            <w:tcBorders>
              <w:top w:val="nil"/>
              <w:left w:val="nil"/>
              <w:bottom w:val="single" w:sz="4" w:space="0" w:color="F68F00"/>
              <w:right w:val="nil"/>
            </w:tcBorders>
            <w:shd w:val="clear" w:color="auto" w:fill="auto"/>
            <w:vAlign w:val="center"/>
          </w:tcPr>
          <w:p w14:paraId="4D8302A3" w14:textId="37C6ACED"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bl>
    <w:p w14:paraId="12A1160D" w14:textId="77777777" w:rsidR="009609B9" w:rsidRPr="00E20D21" w:rsidRDefault="009609B9" w:rsidP="009609B9">
      <w:pPr>
        <w:rPr>
          <w:rFonts w:ascii="CAIXA Std Book" w:hAnsi="CAIXA Std Book"/>
          <w:b/>
          <w:color w:val="005CA9"/>
          <w:sz w:val="20"/>
          <w:szCs w:val="20"/>
        </w:rPr>
      </w:pPr>
      <w:r w:rsidRPr="00E20D21">
        <w:rPr>
          <w:rFonts w:ascii="CAIXA Std Book" w:hAnsi="CAIXA Std Book"/>
          <w:b/>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2827"/>
        <w:gridCol w:w="1473"/>
        <w:gridCol w:w="1485"/>
        <w:gridCol w:w="1465"/>
        <w:gridCol w:w="1485"/>
        <w:gridCol w:w="1465"/>
        <w:gridCol w:w="1488"/>
        <w:gridCol w:w="1462"/>
        <w:gridCol w:w="1421"/>
      </w:tblGrid>
      <w:tr w:rsidR="00A47C19" w:rsidRPr="00E20D21" w14:paraId="1760A08F" w14:textId="77777777" w:rsidTr="00F16D44">
        <w:trPr>
          <w:trHeight w:val="283"/>
        </w:trPr>
        <w:tc>
          <w:tcPr>
            <w:tcW w:w="5000" w:type="pct"/>
            <w:gridSpan w:val="9"/>
            <w:tcBorders>
              <w:top w:val="single" w:sz="4" w:space="0" w:color="F68F00"/>
              <w:left w:val="nil"/>
              <w:bottom w:val="single" w:sz="4" w:space="0" w:color="F68F00"/>
              <w:right w:val="nil"/>
            </w:tcBorders>
            <w:shd w:val="clear" w:color="auto" w:fill="auto"/>
            <w:vAlign w:val="center"/>
          </w:tcPr>
          <w:p w14:paraId="48D7BC53" w14:textId="7502E746"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lastRenderedPageBreak/>
              <w:t>INDIVIDUAL</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CONSOLIDADO</w:t>
            </w:r>
          </w:p>
        </w:tc>
      </w:tr>
      <w:tr w:rsidR="00A47C19" w:rsidRPr="00E20D21" w14:paraId="141C843D" w14:textId="77777777" w:rsidTr="00FD6A98">
        <w:trPr>
          <w:trHeight w:val="283"/>
        </w:trPr>
        <w:tc>
          <w:tcPr>
            <w:tcW w:w="974" w:type="pct"/>
            <w:vMerge w:val="restart"/>
            <w:tcBorders>
              <w:top w:val="single" w:sz="4" w:space="0" w:color="F68F00"/>
              <w:left w:val="nil"/>
              <w:bottom w:val="single" w:sz="4" w:space="0" w:color="F68F00"/>
              <w:right w:val="nil"/>
            </w:tcBorders>
            <w:shd w:val="clear" w:color="auto" w:fill="auto"/>
            <w:noWrap/>
            <w:vAlign w:val="center"/>
            <w:hideMark/>
          </w:tcPr>
          <w:p w14:paraId="70FC50B5"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1022" w:type="pct"/>
            <w:gridSpan w:val="2"/>
            <w:tcBorders>
              <w:top w:val="single" w:sz="4" w:space="0" w:color="F68F00"/>
              <w:left w:val="nil"/>
              <w:bottom w:val="single" w:sz="4" w:space="0" w:color="F68F00"/>
              <w:right w:val="nil"/>
            </w:tcBorders>
            <w:shd w:val="clear" w:color="auto" w:fill="auto"/>
            <w:noWrap/>
            <w:vAlign w:val="center"/>
            <w:hideMark/>
          </w:tcPr>
          <w:p w14:paraId="1AB129E4"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REG/REPLAN Saldado</w:t>
            </w:r>
          </w:p>
        </w:tc>
        <w:tc>
          <w:tcPr>
            <w:tcW w:w="1019" w:type="pct"/>
            <w:gridSpan w:val="2"/>
            <w:tcBorders>
              <w:top w:val="single" w:sz="4" w:space="0" w:color="F68F00"/>
              <w:left w:val="nil"/>
              <w:bottom w:val="single" w:sz="4" w:space="0" w:color="F68F00"/>
              <w:right w:val="nil"/>
            </w:tcBorders>
            <w:shd w:val="clear" w:color="auto" w:fill="auto"/>
            <w:vAlign w:val="center"/>
            <w:hideMark/>
          </w:tcPr>
          <w:p w14:paraId="19A0C64E"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REG/REPLAN Não Saldado</w:t>
            </w:r>
          </w:p>
        </w:tc>
        <w:tc>
          <w:tcPr>
            <w:tcW w:w="1020" w:type="pct"/>
            <w:gridSpan w:val="2"/>
            <w:tcBorders>
              <w:top w:val="single" w:sz="4" w:space="0" w:color="F68F00"/>
              <w:left w:val="nil"/>
              <w:bottom w:val="single" w:sz="4" w:space="0" w:color="F68F00"/>
              <w:right w:val="nil"/>
            </w:tcBorders>
            <w:shd w:val="clear" w:color="auto" w:fill="auto"/>
            <w:vAlign w:val="center"/>
            <w:hideMark/>
          </w:tcPr>
          <w:p w14:paraId="47E453D6"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REB</w:t>
            </w:r>
          </w:p>
        </w:tc>
        <w:tc>
          <w:tcPr>
            <w:tcW w:w="966" w:type="pct"/>
            <w:gridSpan w:val="2"/>
            <w:tcBorders>
              <w:top w:val="single" w:sz="4" w:space="0" w:color="F68F00"/>
              <w:left w:val="nil"/>
              <w:bottom w:val="single" w:sz="4" w:space="0" w:color="F68F00"/>
              <w:right w:val="nil"/>
            </w:tcBorders>
            <w:shd w:val="clear" w:color="auto" w:fill="auto"/>
            <w:vAlign w:val="center"/>
            <w:hideMark/>
          </w:tcPr>
          <w:p w14:paraId="1D7106BF" w14:textId="77777777" w:rsidR="002A04C4" w:rsidRPr="00E20D21" w:rsidRDefault="002A04C4" w:rsidP="00D73144">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Novo Plano</w:t>
            </w:r>
          </w:p>
        </w:tc>
      </w:tr>
      <w:tr w:rsidR="00FD6A98" w:rsidRPr="00E20D21" w14:paraId="70123CE8" w14:textId="77777777" w:rsidTr="00FD6A98">
        <w:trPr>
          <w:trHeight w:val="283"/>
        </w:trPr>
        <w:tc>
          <w:tcPr>
            <w:tcW w:w="974" w:type="pct"/>
            <w:vMerge/>
            <w:tcBorders>
              <w:top w:val="single" w:sz="4" w:space="0" w:color="F68F00"/>
              <w:left w:val="nil"/>
              <w:bottom w:val="single" w:sz="4" w:space="0" w:color="F68F00"/>
              <w:right w:val="nil"/>
            </w:tcBorders>
            <w:vAlign w:val="center"/>
            <w:hideMark/>
          </w:tcPr>
          <w:p w14:paraId="2509CA24" w14:textId="77777777" w:rsidR="00FD6A98" w:rsidRPr="00E20D21" w:rsidRDefault="00FD6A98" w:rsidP="00FD6A98">
            <w:pPr>
              <w:rPr>
                <w:rFonts w:ascii="CAIXA Std Book" w:hAnsi="CAIXA Std Book" w:cs="MS Gothic"/>
                <w:b/>
                <w:color w:val="005CA9"/>
                <w:sz w:val="18"/>
                <w:szCs w:val="18"/>
              </w:rPr>
            </w:pPr>
          </w:p>
        </w:tc>
        <w:tc>
          <w:tcPr>
            <w:tcW w:w="509" w:type="pct"/>
            <w:tcBorders>
              <w:top w:val="nil"/>
              <w:left w:val="nil"/>
              <w:bottom w:val="single" w:sz="4" w:space="0" w:color="F68F00"/>
              <w:right w:val="nil"/>
            </w:tcBorders>
            <w:shd w:val="clear" w:color="auto" w:fill="auto"/>
            <w:vAlign w:val="center"/>
            <w:hideMark/>
          </w:tcPr>
          <w:p w14:paraId="039C807A" w14:textId="325A48E4"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513" w:type="pct"/>
            <w:tcBorders>
              <w:top w:val="nil"/>
              <w:left w:val="nil"/>
              <w:bottom w:val="single" w:sz="4" w:space="0" w:color="F68F00"/>
              <w:right w:val="nil"/>
            </w:tcBorders>
            <w:shd w:val="clear" w:color="auto" w:fill="auto"/>
            <w:vAlign w:val="center"/>
            <w:hideMark/>
          </w:tcPr>
          <w:p w14:paraId="25F9810B" w14:textId="43D721F0"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506" w:type="pct"/>
            <w:tcBorders>
              <w:top w:val="nil"/>
              <w:left w:val="nil"/>
              <w:bottom w:val="single" w:sz="4" w:space="0" w:color="F68F00"/>
              <w:right w:val="nil"/>
            </w:tcBorders>
            <w:shd w:val="clear" w:color="auto" w:fill="auto"/>
            <w:vAlign w:val="center"/>
            <w:hideMark/>
          </w:tcPr>
          <w:p w14:paraId="6FD849BA" w14:textId="2870597B"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513" w:type="pct"/>
            <w:tcBorders>
              <w:top w:val="nil"/>
              <w:left w:val="nil"/>
              <w:bottom w:val="single" w:sz="4" w:space="0" w:color="F68F00"/>
              <w:right w:val="nil"/>
            </w:tcBorders>
            <w:shd w:val="clear" w:color="auto" w:fill="auto"/>
            <w:vAlign w:val="center"/>
            <w:hideMark/>
          </w:tcPr>
          <w:p w14:paraId="57915064" w14:textId="1EEAE855"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506" w:type="pct"/>
            <w:tcBorders>
              <w:top w:val="nil"/>
              <w:left w:val="nil"/>
              <w:bottom w:val="single" w:sz="4" w:space="0" w:color="F68F00"/>
              <w:right w:val="nil"/>
            </w:tcBorders>
            <w:shd w:val="clear" w:color="auto" w:fill="auto"/>
            <w:vAlign w:val="center"/>
            <w:hideMark/>
          </w:tcPr>
          <w:p w14:paraId="7CC5F4DA" w14:textId="31B19F85"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514" w:type="pct"/>
            <w:tcBorders>
              <w:top w:val="nil"/>
              <w:left w:val="nil"/>
              <w:bottom w:val="single" w:sz="4" w:space="0" w:color="F68F00"/>
              <w:right w:val="nil"/>
            </w:tcBorders>
            <w:shd w:val="clear" w:color="auto" w:fill="auto"/>
            <w:vAlign w:val="center"/>
            <w:hideMark/>
          </w:tcPr>
          <w:p w14:paraId="514F37F2" w14:textId="665B9B7D"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505" w:type="pct"/>
            <w:tcBorders>
              <w:top w:val="nil"/>
              <w:left w:val="nil"/>
              <w:bottom w:val="single" w:sz="4" w:space="0" w:color="F68F00"/>
              <w:right w:val="nil"/>
            </w:tcBorders>
            <w:shd w:val="clear" w:color="auto" w:fill="auto"/>
            <w:vAlign w:val="center"/>
            <w:hideMark/>
          </w:tcPr>
          <w:p w14:paraId="6722165A" w14:textId="182BB5BF"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30/06/2024</w:t>
            </w:r>
          </w:p>
        </w:tc>
        <w:tc>
          <w:tcPr>
            <w:tcW w:w="461" w:type="pct"/>
            <w:tcBorders>
              <w:top w:val="nil"/>
              <w:left w:val="nil"/>
              <w:bottom w:val="single" w:sz="4" w:space="0" w:color="F68F00"/>
              <w:right w:val="nil"/>
            </w:tcBorders>
            <w:shd w:val="clear" w:color="auto" w:fill="auto"/>
            <w:vAlign w:val="center"/>
            <w:hideMark/>
          </w:tcPr>
          <w:p w14:paraId="21C079ED" w14:textId="34C8D75F" w:rsidR="00FD6A98" w:rsidRPr="00E20D21" w:rsidRDefault="00FD6A98" w:rsidP="00FD6A9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FD6A98" w:rsidRPr="00E20D21" w14:paraId="5EF5BB40" w14:textId="77777777" w:rsidTr="00FD6A98">
        <w:trPr>
          <w:trHeight w:val="283"/>
        </w:trPr>
        <w:tc>
          <w:tcPr>
            <w:tcW w:w="974" w:type="pct"/>
            <w:tcBorders>
              <w:top w:val="nil"/>
              <w:left w:val="nil"/>
              <w:bottom w:val="nil"/>
              <w:right w:val="nil"/>
            </w:tcBorders>
            <w:shd w:val="clear" w:color="auto" w:fill="auto"/>
            <w:vAlign w:val="center"/>
            <w:hideMark/>
          </w:tcPr>
          <w:p w14:paraId="06B778E3"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nominal de desconto (a.a.)</w:t>
            </w:r>
          </w:p>
        </w:tc>
        <w:tc>
          <w:tcPr>
            <w:tcW w:w="509" w:type="pct"/>
            <w:tcBorders>
              <w:top w:val="nil"/>
              <w:left w:val="nil"/>
              <w:bottom w:val="nil"/>
              <w:right w:val="nil"/>
            </w:tcBorders>
            <w:shd w:val="clear" w:color="auto" w:fill="auto"/>
            <w:noWrap/>
            <w:vAlign w:val="center"/>
          </w:tcPr>
          <w:p w14:paraId="47A53F75" w14:textId="5D0DD262" w:rsidR="00FD6A98" w:rsidRPr="00E20D21" w:rsidRDefault="001C3DC3"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9,66%</w:t>
            </w:r>
          </w:p>
        </w:tc>
        <w:tc>
          <w:tcPr>
            <w:tcW w:w="513" w:type="pct"/>
            <w:tcBorders>
              <w:top w:val="nil"/>
              <w:left w:val="nil"/>
              <w:bottom w:val="nil"/>
              <w:right w:val="nil"/>
            </w:tcBorders>
            <w:shd w:val="clear" w:color="auto" w:fill="auto"/>
            <w:noWrap/>
            <w:vAlign w:val="center"/>
            <w:hideMark/>
          </w:tcPr>
          <w:p w14:paraId="29803EAD" w14:textId="7101951E"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8,47%</w:t>
            </w:r>
          </w:p>
        </w:tc>
        <w:tc>
          <w:tcPr>
            <w:tcW w:w="506" w:type="pct"/>
            <w:tcBorders>
              <w:top w:val="nil"/>
              <w:left w:val="nil"/>
              <w:bottom w:val="nil"/>
              <w:right w:val="nil"/>
            </w:tcBorders>
            <w:shd w:val="clear" w:color="auto" w:fill="auto"/>
            <w:noWrap/>
            <w:vAlign w:val="center"/>
          </w:tcPr>
          <w:p w14:paraId="37F13E27" w14:textId="1CA9AA60" w:rsidR="00FD6A98" w:rsidRPr="00E20D21" w:rsidRDefault="001C3DC3"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9,66%</w:t>
            </w:r>
          </w:p>
        </w:tc>
        <w:tc>
          <w:tcPr>
            <w:tcW w:w="513" w:type="pct"/>
            <w:tcBorders>
              <w:top w:val="nil"/>
              <w:left w:val="nil"/>
              <w:bottom w:val="nil"/>
              <w:right w:val="nil"/>
            </w:tcBorders>
            <w:shd w:val="clear" w:color="auto" w:fill="auto"/>
            <w:noWrap/>
            <w:vAlign w:val="center"/>
            <w:hideMark/>
          </w:tcPr>
          <w:p w14:paraId="3CEA26B3" w14:textId="06CCDFEE"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8,48%</w:t>
            </w:r>
          </w:p>
        </w:tc>
        <w:tc>
          <w:tcPr>
            <w:tcW w:w="506" w:type="pct"/>
            <w:tcBorders>
              <w:top w:val="nil"/>
              <w:left w:val="nil"/>
              <w:bottom w:val="nil"/>
              <w:right w:val="nil"/>
            </w:tcBorders>
            <w:shd w:val="clear" w:color="auto" w:fill="auto"/>
            <w:noWrap/>
            <w:vAlign w:val="center"/>
          </w:tcPr>
          <w:p w14:paraId="7DDB7445" w14:textId="4824BA12" w:rsidR="00FD6A98" w:rsidRPr="00E20D21" w:rsidRDefault="00135554"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9,65%</w:t>
            </w:r>
          </w:p>
        </w:tc>
        <w:tc>
          <w:tcPr>
            <w:tcW w:w="514" w:type="pct"/>
            <w:tcBorders>
              <w:top w:val="nil"/>
              <w:left w:val="nil"/>
              <w:bottom w:val="nil"/>
              <w:right w:val="nil"/>
            </w:tcBorders>
            <w:shd w:val="clear" w:color="auto" w:fill="auto"/>
            <w:noWrap/>
            <w:vAlign w:val="center"/>
            <w:hideMark/>
          </w:tcPr>
          <w:p w14:paraId="670873B3" w14:textId="4F1102FC"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8,51%</w:t>
            </w:r>
          </w:p>
        </w:tc>
        <w:tc>
          <w:tcPr>
            <w:tcW w:w="505" w:type="pct"/>
            <w:tcBorders>
              <w:top w:val="nil"/>
              <w:left w:val="nil"/>
              <w:bottom w:val="nil"/>
              <w:right w:val="nil"/>
            </w:tcBorders>
            <w:shd w:val="clear" w:color="auto" w:fill="auto"/>
            <w:noWrap/>
            <w:vAlign w:val="center"/>
          </w:tcPr>
          <w:p w14:paraId="4A4B84F3" w14:textId="10AA5F52" w:rsidR="00FD6A98" w:rsidRPr="00E20D21" w:rsidRDefault="00135554"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9,64%</w:t>
            </w:r>
          </w:p>
        </w:tc>
        <w:tc>
          <w:tcPr>
            <w:tcW w:w="461" w:type="pct"/>
            <w:tcBorders>
              <w:top w:val="nil"/>
              <w:left w:val="nil"/>
              <w:bottom w:val="nil"/>
              <w:right w:val="nil"/>
            </w:tcBorders>
            <w:shd w:val="clear" w:color="auto" w:fill="auto"/>
            <w:noWrap/>
            <w:vAlign w:val="center"/>
            <w:hideMark/>
          </w:tcPr>
          <w:p w14:paraId="4E383FD5" w14:textId="16822AD5"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8,55%</w:t>
            </w:r>
          </w:p>
        </w:tc>
      </w:tr>
      <w:tr w:rsidR="00FD6A98" w:rsidRPr="00E20D21" w14:paraId="4C44CCD4" w14:textId="77777777" w:rsidTr="00FD6A98">
        <w:trPr>
          <w:trHeight w:val="283"/>
        </w:trPr>
        <w:tc>
          <w:tcPr>
            <w:tcW w:w="974" w:type="pct"/>
            <w:tcBorders>
              <w:top w:val="nil"/>
              <w:left w:val="nil"/>
              <w:bottom w:val="nil"/>
              <w:right w:val="nil"/>
            </w:tcBorders>
            <w:shd w:val="clear" w:color="auto" w:fill="auto"/>
            <w:vAlign w:val="center"/>
            <w:hideMark/>
          </w:tcPr>
          <w:p w14:paraId="141D5D2B"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real de desconto (a.a.)</w:t>
            </w:r>
          </w:p>
        </w:tc>
        <w:tc>
          <w:tcPr>
            <w:tcW w:w="509" w:type="pct"/>
            <w:tcBorders>
              <w:top w:val="nil"/>
              <w:left w:val="nil"/>
              <w:bottom w:val="nil"/>
              <w:right w:val="nil"/>
            </w:tcBorders>
            <w:shd w:val="clear" w:color="auto" w:fill="auto"/>
            <w:noWrap/>
            <w:vAlign w:val="center"/>
          </w:tcPr>
          <w:p w14:paraId="458C0912" w14:textId="7C4168C1" w:rsidR="00FD6A98" w:rsidRPr="00E20D21" w:rsidRDefault="001C3DC3"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6,47%</w:t>
            </w:r>
          </w:p>
        </w:tc>
        <w:tc>
          <w:tcPr>
            <w:tcW w:w="513" w:type="pct"/>
            <w:tcBorders>
              <w:top w:val="nil"/>
              <w:left w:val="nil"/>
              <w:bottom w:val="nil"/>
              <w:right w:val="nil"/>
            </w:tcBorders>
            <w:shd w:val="clear" w:color="auto" w:fill="auto"/>
            <w:noWrap/>
            <w:vAlign w:val="center"/>
            <w:hideMark/>
          </w:tcPr>
          <w:p w14:paraId="2844D833" w14:textId="18068878"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5,31%</w:t>
            </w:r>
          </w:p>
        </w:tc>
        <w:tc>
          <w:tcPr>
            <w:tcW w:w="506" w:type="pct"/>
            <w:tcBorders>
              <w:top w:val="nil"/>
              <w:left w:val="nil"/>
              <w:bottom w:val="nil"/>
              <w:right w:val="nil"/>
            </w:tcBorders>
            <w:shd w:val="clear" w:color="auto" w:fill="auto"/>
            <w:noWrap/>
            <w:vAlign w:val="center"/>
          </w:tcPr>
          <w:p w14:paraId="7426DC23" w14:textId="14EA8F7B" w:rsidR="00FD6A98" w:rsidRPr="00E20D21" w:rsidRDefault="001C3DC3"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6,47%</w:t>
            </w:r>
          </w:p>
        </w:tc>
        <w:tc>
          <w:tcPr>
            <w:tcW w:w="513" w:type="pct"/>
            <w:tcBorders>
              <w:top w:val="nil"/>
              <w:left w:val="nil"/>
              <w:bottom w:val="nil"/>
              <w:right w:val="nil"/>
            </w:tcBorders>
            <w:shd w:val="clear" w:color="auto" w:fill="auto"/>
            <w:noWrap/>
            <w:vAlign w:val="center"/>
            <w:hideMark/>
          </w:tcPr>
          <w:p w14:paraId="11D83316" w14:textId="2416F174"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5,32%</w:t>
            </w:r>
          </w:p>
        </w:tc>
        <w:tc>
          <w:tcPr>
            <w:tcW w:w="506" w:type="pct"/>
            <w:tcBorders>
              <w:top w:val="nil"/>
              <w:left w:val="nil"/>
              <w:bottom w:val="nil"/>
              <w:right w:val="nil"/>
            </w:tcBorders>
            <w:shd w:val="clear" w:color="auto" w:fill="auto"/>
            <w:noWrap/>
            <w:vAlign w:val="center"/>
          </w:tcPr>
          <w:p w14:paraId="2E2C9CF3" w14:textId="468622DA" w:rsidR="00FD6A98" w:rsidRPr="00E20D21" w:rsidRDefault="00135554"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6,46%</w:t>
            </w:r>
          </w:p>
        </w:tc>
        <w:tc>
          <w:tcPr>
            <w:tcW w:w="514" w:type="pct"/>
            <w:tcBorders>
              <w:top w:val="nil"/>
              <w:left w:val="nil"/>
              <w:bottom w:val="nil"/>
              <w:right w:val="nil"/>
            </w:tcBorders>
            <w:shd w:val="clear" w:color="auto" w:fill="auto"/>
            <w:noWrap/>
            <w:vAlign w:val="center"/>
            <w:hideMark/>
          </w:tcPr>
          <w:p w14:paraId="008DD479" w14:textId="1FD80BB1"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5,35%</w:t>
            </w:r>
          </w:p>
        </w:tc>
        <w:tc>
          <w:tcPr>
            <w:tcW w:w="505" w:type="pct"/>
            <w:tcBorders>
              <w:top w:val="nil"/>
              <w:left w:val="nil"/>
              <w:bottom w:val="nil"/>
              <w:right w:val="nil"/>
            </w:tcBorders>
            <w:shd w:val="clear" w:color="auto" w:fill="auto"/>
            <w:noWrap/>
            <w:vAlign w:val="center"/>
          </w:tcPr>
          <w:p w14:paraId="5C1CD04A" w14:textId="69E52840" w:rsidR="00FD6A98" w:rsidRPr="00E20D21" w:rsidRDefault="00135554"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6,45%</w:t>
            </w:r>
          </w:p>
        </w:tc>
        <w:tc>
          <w:tcPr>
            <w:tcW w:w="461" w:type="pct"/>
            <w:tcBorders>
              <w:top w:val="nil"/>
              <w:left w:val="nil"/>
              <w:bottom w:val="nil"/>
              <w:right w:val="nil"/>
            </w:tcBorders>
            <w:shd w:val="clear" w:color="auto" w:fill="auto"/>
            <w:noWrap/>
            <w:vAlign w:val="center"/>
            <w:hideMark/>
          </w:tcPr>
          <w:p w14:paraId="586F98C6" w14:textId="376A87F2"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5,39%</w:t>
            </w:r>
          </w:p>
        </w:tc>
      </w:tr>
      <w:tr w:rsidR="00FD6A98" w:rsidRPr="00E20D21" w14:paraId="2754C207" w14:textId="77777777" w:rsidTr="00FD6A98">
        <w:trPr>
          <w:trHeight w:val="283"/>
        </w:trPr>
        <w:tc>
          <w:tcPr>
            <w:tcW w:w="974" w:type="pct"/>
            <w:tcBorders>
              <w:top w:val="nil"/>
              <w:left w:val="nil"/>
              <w:bottom w:val="nil"/>
              <w:right w:val="nil"/>
            </w:tcBorders>
            <w:shd w:val="clear" w:color="auto" w:fill="auto"/>
            <w:vAlign w:val="center"/>
            <w:hideMark/>
          </w:tcPr>
          <w:p w14:paraId="0672C63F"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real de crescimento dos salários (a.a.)</w:t>
            </w:r>
          </w:p>
        </w:tc>
        <w:tc>
          <w:tcPr>
            <w:tcW w:w="509" w:type="pct"/>
            <w:tcBorders>
              <w:top w:val="nil"/>
              <w:left w:val="nil"/>
              <w:bottom w:val="nil"/>
              <w:right w:val="nil"/>
            </w:tcBorders>
            <w:shd w:val="clear" w:color="auto" w:fill="auto"/>
            <w:noWrap/>
            <w:vAlign w:val="center"/>
          </w:tcPr>
          <w:p w14:paraId="7C2C2192" w14:textId="22A3E301"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513" w:type="pct"/>
            <w:tcBorders>
              <w:top w:val="nil"/>
              <w:left w:val="nil"/>
              <w:bottom w:val="nil"/>
              <w:right w:val="nil"/>
            </w:tcBorders>
            <w:shd w:val="clear" w:color="auto" w:fill="auto"/>
            <w:noWrap/>
            <w:vAlign w:val="center"/>
            <w:hideMark/>
          </w:tcPr>
          <w:p w14:paraId="4410D134" w14:textId="2E63D4EC"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06" w:type="pct"/>
            <w:tcBorders>
              <w:top w:val="nil"/>
              <w:left w:val="nil"/>
              <w:bottom w:val="nil"/>
              <w:right w:val="nil"/>
            </w:tcBorders>
            <w:shd w:val="clear" w:color="auto" w:fill="auto"/>
            <w:noWrap/>
            <w:vAlign w:val="center"/>
          </w:tcPr>
          <w:p w14:paraId="543698C6" w14:textId="5D06393F"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2,26%</w:t>
            </w:r>
          </w:p>
        </w:tc>
        <w:tc>
          <w:tcPr>
            <w:tcW w:w="513" w:type="pct"/>
            <w:tcBorders>
              <w:top w:val="nil"/>
              <w:left w:val="nil"/>
              <w:bottom w:val="nil"/>
              <w:right w:val="nil"/>
            </w:tcBorders>
            <w:shd w:val="clear" w:color="auto" w:fill="auto"/>
            <w:noWrap/>
            <w:vAlign w:val="center"/>
            <w:hideMark/>
          </w:tcPr>
          <w:p w14:paraId="4D8FB873" w14:textId="044534DD"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2,26%</w:t>
            </w:r>
          </w:p>
        </w:tc>
        <w:tc>
          <w:tcPr>
            <w:tcW w:w="506" w:type="pct"/>
            <w:tcBorders>
              <w:top w:val="nil"/>
              <w:left w:val="nil"/>
              <w:bottom w:val="nil"/>
              <w:right w:val="nil"/>
            </w:tcBorders>
            <w:shd w:val="clear" w:color="auto" w:fill="auto"/>
            <w:noWrap/>
            <w:vAlign w:val="center"/>
          </w:tcPr>
          <w:p w14:paraId="1DA3E96C" w14:textId="7E72E873"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3,06%</w:t>
            </w:r>
          </w:p>
        </w:tc>
        <w:tc>
          <w:tcPr>
            <w:tcW w:w="514" w:type="pct"/>
            <w:tcBorders>
              <w:top w:val="nil"/>
              <w:left w:val="nil"/>
              <w:bottom w:val="nil"/>
              <w:right w:val="nil"/>
            </w:tcBorders>
            <w:shd w:val="clear" w:color="auto" w:fill="auto"/>
            <w:noWrap/>
            <w:vAlign w:val="center"/>
            <w:hideMark/>
          </w:tcPr>
          <w:p w14:paraId="343E9F50" w14:textId="038B5A58"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3,06%</w:t>
            </w:r>
          </w:p>
        </w:tc>
        <w:tc>
          <w:tcPr>
            <w:tcW w:w="505" w:type="pct"/>
            <w:tcBorders>
              <w:top w:val="nil"/>
              <w:left w:val="nil"/>
              <w:bottom w:val="nil"/>
              <w:right w:val="nil"/>
            </w:tcBorders>
            <w:shd w:val="clear" w:color="auto" w:fill="auto"/>
            <w:noWrap/>
            <w:vAlign w:val="center"/>
          </w:tcPr>
          <w:p w14:paraId="61729A0D" w14:textId="741B25E2"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2,99%</w:t>
            </w:r>
          </w:p>
        </w:tc>
        <w:tc>
          <w:tcPr>
            <w:tcW w:w="461" w:type="pct"/>
            <w:tcBorders>
              <w:top w:val="nil"/>
              <w:left w:val="nil"/>
              <w:bottom w:val="nil"/>
              <w:right w:val="nil"/>
            </w:tcBorders>
            <w:shd w:val="clear" w:color="auto" w:fill="auto"/>
            <w:noWrap/>
            <w:vAlign w:val="center"/>
            <w:hideMark/>
          </w:tcPr>
          <w:p w14:paraId="048CC456" w14:textId="23B8D2AA"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2,99%</w:t>
            </w:r>
          </w:p>
        </w:tc>
      </w:tr>
      <w:tr w:rsidR="00FD6A98" w:rsidRPr="00E20D21" w14:paraId="67E27084" w14:textId="77777777" w:rsidTr="00FD6A98">
        <w:trPr>
          <w:trHeight w:val="283"/>
        </w:trPr>
        <w:tc>
          <w:tcPr>
            <w:tcW w:w="974" w:type="pct"/>
            <w:tcBorders>
              <w:top w:val="nil"/>
              <w:left w:val="nil"/>
              <w:bottom w:val="nil"/>
              <w:right w:val="nil"/>
            </w:tcBorders>
            <w:shd w:val="clear" w:color="auto" w:fill="auto"/>
            <w:vAlign w:val="center"/>
            <w:hideMark/>
          </w:tcPr>
          <w:p w14:paraId="79A45584"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real de crescimento dos benefícios projetada (a.a.)</w:t>
            </w:r>
          </w:p>
        </w:tc>
        <w:tc>
          <w:tcPr>
            <w:tcW w:w="509" w:type="pct"/>
            <w:tcBorders>
              <w:top w:val="nil"/>
              <w:left w:val="nil"/>
              <w:bottom w:val="nil"/>
              <w:right w:val="nil"/>
            </w:tcBorders>
            <w:shd w:val="clear" w:color="auto" w:fill="auto"/>
            <w:vAlign w:val="center"/>
          </w:tcPr>
          <w:p w14:paraId="30719407" w14:textId="67408388"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0,35%</w:t>
            </w:r>
          </w:p>
        </w:tc>
        <w:tc>
          <w:tcPr>
            <w:tcW w:w="513" w:type="pct"/>
            <w:tcBorders>
              <w:top w:val="nil"/>
              <w:left w:val="nil"/>
              <w:bottom w:val="nil"/>
              <w:right w:val="nil"/>
            </w:tcBorders>
            <w:shd w:val="clear" w:color="auto" w:fill="auto"/>
            <w:vAlign w:val="center"/>
            <w:hideMark/>
          </w:tcPr>
          <w:p w14:paraId="104899C0" w14:textId="6EEA3141"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0,35%</w:t>
            </w:r>
          </w:p>
        </w:tc>
        <w:tc>
          <w:tcPr>
            <w:tcW w:w="506" w:type="pct"/>
            <w:tcBorders>
              <w:top w:val="nil"/>
              <w:left w:val="nil"/>
              <w:bottom w:val="nil"/>
              <w:right w:val="nil"/>
            </w:tcBorders>
            <w:shd w:val="clear" w:color="auto" w:fill="auto"/>
            <w:noWrap/>
            <w:vAlign w:val="center"/>
          </w:tcPr>
          <w:p w14:paraId="4C3F1FFC" w14:textId="6C6B9AC3"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0,35%</w:t>
            </w:r>
          </w:p>
        </w:tc>
        <w:tc>
          <w:tcPr>
            <w:tcW w:w="513" w:type="pct"/>
            <w:tcBorders>
              <w:top w:val="nil"/>
              <w:left w:val="nil"/>
              <w:bottom w:val="nil"/>
              <w:right w:val="nil"/>
            </w:tcBorders>
            <w:shd w:val="clear" w:color="auto" w:fill="auto"/>
            <w:vAlign w:val="center"/>
            <w:hideMark/>
          </w:tcPr>
          <w:p w14:paraId="2CBADA18" w14:textId="050A9177"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0,35%</w:t>
            </w:r>
          </w:p>
        </w:tc>
        <w:tc>
          <w:tcPr>
            <w:tcW w:w="506" w:type="pct"/>
            <w:tcBorders>
              <w:top w:val="nil"/>
              <w:left w:val="nil"/>
              <w:bottom w:val="nil"/>
              <w:right w:val="nil"/>
            </w:tcBorders>
            <w:shd w:val="clear" w:color="auto" w:fill="auto"/>
            <w:vAlign w:val="center"/>
          </w:tcPr>
          <w:p w14:paraId="174D9281" w14:textId="277E6536"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514" w:type="pct"/>
            <w:tcBorders>
              <w:top w:val="nil"/>
              <w:left w:val="nil"/>
              <w:bottom w:val="nil"/>
              <w:right w:val="nil"/>
            </w:tcBorders>
            <w:shd w:val="clear" w:color="auto" w:fill="auto"/>
            <w:vAlign w:val="center"/>
            <w:hideMark/>
          </w:tcPr>
          <w:p w14:paraId="15FA12CB" w14:textId="1B694435"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05" w:type="pct"/>
            <w:tcBorders>
              <w:top w:val="nil"/>
              <w:left w:val="nil"/>
              <w:bottom w:val="nil"/>
              <w:right w:val="nil"/>
            </w:tcBorders>
            <w:shd w:val="clear" w:color="auto" w:fill="auto"/>
            <w:vAlign w:val="center"/>
          </w:tcPr>
          <w:p w14:paraId="35AFA481" w14:textId="3F386F22"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461" w:type="pct"/>
            <w:tcBorders>
              <w:top w:val="nil"/>
              <w:left w:val="nil"/>
              <w:bottom w:val="nil"/>
              <w:right w:val="nil"/>
            </w:tcBorders>
            <w:shd w:val="clear" w:color="auto" w:fill="auto"/>
            <w:vAlign w:val="center"/>
            <w:hideMark/>
          </w:tcPr>
          <w:p w14:paraId="2E46A987" w14:textId="514D1902"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FD6A98" w:rsidRPr="00E20D21" w14:paraId="3A5658C4" w14:textId="77777777" w:rsidTr="00FD6A98">
        <w:trPr>
          <w:trHeight w:val="283"/>
        </w:trPr>
        <w:tc>
          <w:tcPr>
            <w:tcW w:w="974" w:type="pct"/>
            <w:tcBorders>
              <w:top w:val="nil"/>
              <w:left w:val="nil"/>
              <w:bottom w:val="nil"/>
              <w:right w:val="nil"/>
            </w:tcBorders>
            <w:shd w:val="clear" w:color="auto" w:fill="auto"/>
            <w:vAlign w:val="center"/>
            <w:hideMark/>
          </w:tcPr>
          <w:p w14:paraId="750354F0"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de inflação (a.a.)</w:t>
            </w:r>
          </w:p>
        </w:tc>
        <w:tc>
          <w:tcPr>
            <w:tcW w:w="509" w:type="pct"/>
            <w:tcBorders>
              <w:top w:val="nil"/>
              <w:left w:val="nil"/>
              <w:bottom w:val="nil"/>
              <w:right w:val="nil"/>
            </w:tcBorders>
            <w:shd w:val="clear" w:color="auto" w:fill="auto"/>
            <w:vAlign w:val="center"/>
          </w:tcPr>
          <w:p w14:paraId="1BDE64FD" w14:textId="5739AAAD"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3,00%</w:t>
            </w:r>
          </w:p>
        </w:tc>
        <w:tc>
          <w:tcPr>
            <w:tcW w:w="513" w:type="pct"/>
            <w:tcBorders>
              <w:top w:val="nil"/>
              <w:left w:val="nil"/>
              <w:bottom w:val="nil"/>
              <w:right w:val="nil"/>
            </w:tcBorders>
            <w:shd w:val="clear" w:color="auto" w:fill="auto"/>
            <w:vAlign w:val="center"/>
            <w:hideMark/>
          </w:tcPr>
          <w:p w14:paraId="3DD503AB" w14:textId="5B53FF39"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506" w:type="pct"/>
            <w:tcBorders>
              <w:top w:val="nil"/>
              <w:left w:val="nil"/>
              <w:bottom w:val="nil"/>
              <w:right w:val="nil"/>
            </w:tcBorders>
            <w:shd w:val="clear" w:color="auto" w:fill="auto"/>
            <w:vAlign w:val="center"/>
          </w:tcPr>
          <w:p w14:paraId="2FFA9515" w14:textId="34094254"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3,00%</w:t>
            </w:r>
          </w:p>
        </w:tc>
        <w:tc>
          <w:tcPr>
            <w:tcW w:w="513" w:type="pct"/>
            <w:tcBorders>
              <w:top w:val="nil"/>
              <w:left w:val="nil"/>
              <w:bottom w:val="nil"/>
              <w:right w:val="nil"/>
            </w:tcBorders>
            <w:shd w:val="clear" w:color="auto" w:fill="auto"/>
            <w:vAlign w:val="center"/>
            <w:hideMark/>
          </w:tcPr>
          <w:p w14:paraId="3B3617ED" w14:textId="6E60B714"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506" w:type="pct"/>
            <w:tcBorders>
              <w:top w:val="nil"/>
              <w:left w:val="nil"/>
              <w:bottom w:val="nil"/>
              <w:right w:val="nil"/>
            </w:tcBorders>
            <w:shd w:val="clear" w:color="auto" w:fill="auto"/>
            <w:vAlign w:val="center"/>
          </w:tcPr>
          <w:p w14:paraId="2540BC03" w14:textId="38267884"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3,00%</w:t>
            </w:r>
          </w:p>
        </w:tc>
        <w:tc>
          <w:tcPr>
            <w:tcW w:w="514" w:type="pct"/>
            <w:tcBorders>
              <w:top w:val="nil"/>
              <w:left w:val="nil"/>
              <w:bottom w:val="nil"/>
              <w:right w:val="nil"/>
            </w:tcBorders>
            <w:shd w:val="clear" w:color="auto" w:fill="auto"/>
            <w:vAlign w:val="center"/>
            <w:hideMark/>
          </w:tcPr>
          <w:p w14:paraId="3F797B8F" w14:textId="7F419CE8"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505" w:type="pct"/>
            <w:tcBorders>
              <w:top w:val="nil"/>
              <w:left w:val="nil"/>
              <w:bottom w:val="nil"/>
              <w:right w:val="nil"/>
            </w:tcBorders>
            <w:shd w:val="clear" w:color="auto" w:fill="auto"/>
            <w:vAlign w:val="center"/>
          </w:tcPr>
          <w:p w14:paraId="3285E6D4" w14:textId="3A178B58"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3,00%</w:t>
            </w:r>
          </w:p>
        </w:tc>
        <w:tc>
          <w:tcPr>
            <w:tcW w:w="461" w:type="pct"/>
            <w:tcBorders>
              <w:top w:val="nil"/>
              <w:left w:val="nil"/>
              <w:bottom w:val="nil"/>
              <w:right w:val="nil"/>
            </w:tcBorders>
            <w:shd w:val="clear" w:color="auto" w:fill="auto"/>
            <w:vAlign w:val="center"/>
            <w:hideMark/>
          </w:tcPr>
          <w:p w14:paraId="55F5309A" w14:textId="4D56BB25"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r>
      <w:tr w:rsidR="00FD6A98" w:rsidRPr="00E20D21" w14:paraId="5C120205" w14:textId="77777777" w:rsidTr="00FD6A98">
        <w:trPr>
          <w:trHeight w:val="283"/>
        </w:trPr>
        <w:tc>
          <w:tcPr>
            <w:tcW w:w="974" w:type="pct"/>
            <w:tcBorders>
              <w:top w:val="nil"/>
              <w:left w:val="nil"/>
              <w:bottom w:val="nil"/>
              <w:right w:val="nil"/>
            </w:tcBorders>
            <w:shd w:val="clear" w:color="auto" w:fill="auto"/>
            <w:vAlign w:val="center"/>
            <w:hideMark/>
          </w:tcPr>
          <w:p w14:paraId="1D98225C"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Taxa de rotatividade</w:t>
            </w:r>
          </w:p>
        </w:tc>
        <w:tc>
          <w:tcPr>
            <w:tcW w:w="509" w:type="pct"/>
            <w:tcBorders>
              <w:top w:val="nil"/>
              <w:left w:val="nil"/>
              <w:bottom w:val="nil"/>
              <w:right w:val="nil"/>
            </w:tcBorders>
            <w:shd w:val="clear" w:color="auto" w:fill="auto"/>
            <w:vAlign w:val="center"/>
          </w:tcPr>
          <w:p w14:paraId="706ADE03" w14:textId="1D83A3F5"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513" w:type="pct"/>
            <w:tcBorders>
              <w:top w:val="nil"/>
              <w:left w:val="nil"/>
              <w:bottom w:val="nil"/>
              <w:right w:val="nil"/>
            </w:tcBorders>
            <w:shd w:val="clear" w:color="auto" w:fill="auto"/>
            <w:vAlign w:val="center"/>
            <w:hideMark/>
          </w:tcPr>
          <w:p w14:paraId="4ED41AF1" w14:textId="1AE95585"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06" w:type="pct"/>
            <w:tcBorders>
              <w:top w:val="nil"/>
              <w:left w:val="nil"/>
              <w:bottom w:val="nil"/>
              <w:right w:val="nil"/>
            </w:tcBorders>
            <w:shd w:val="clear" w:color="auto" w:fill="auto"/>
            <w:vAlign w:val="center"/>
          </w:tcPr>
          <w:p w14:paraId="3A1A6126" w14:textId="28787C6C"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Não aplicável</w:t>
            </w:r>
          </w:p>
        </w:tc>
        <w:tc>
          <w:tcPr>
            <w:tcW w:w="513" w:type="pct"/>
            <w:tcBorders>
              <w:top w:val="nil"/>
              <w:left w:val="nil"/>
              <w:bottom w:val="nil"/>
              <w:right w:val="nil"/>
            </w:tcBorders>
            <w:shd w:val="clear" w:color="auto" w:fill="auto"/>
            <w:vAlign w:val="center"/>
            <w:hideMark/>
          </w:tcPr>
          <w:p w14:paraId="210DC13A" w14:textId="68FE7473"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06" w:type="pct"/>
            <w:tcBorders>
              <w:top w:val="nil"/>
              <w:left w:val="nil"/>
              <w:bottom w:val="nil"/>
              <w:right w:val="nil"/>
            </w:tcBorders>
            <w:shd w:val="clear" w:color="auto" w:fill="auto"/>
            <w:vAlign w:val="center"/>
          </w:tcPr>
          <w:p w14:paraId="27BAA06B" w14:textId="53B7C6E8"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Experiência FUNCEF REB 2019</w:t>
            </w:r>
          </w:p>
        </w:tc>
        <w:tc>
          <w:tcPr>
            <w:tcW w:w="514" w:type="pct"/>
            <w:tcBorders>
              <w:top w:val="nil"/>
              <w:left w:val="nil"/>
              <w:bottom w:val="nil"/>
              <w:right w:val="nil"/>
            </w:tcBorders>
            <w:shd w:val="clear" w:color="auto" w:fill="auto"/>
            <w:vAlign w:val="center"/>
            <w:hideMark/>
          </w:tcPr>
          <w:p w14:paraId="3DA8F440" w14:textId="508EDED0"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Experiência FUNCEF REB 2019</w:t>
            </w:r>
          </w:p>
        </w:tc>
        <w:tc>
          <w:tcPr>
            <w:tcW w:w="505" w:type="pct"/>
            <w:tcBorders>
              <w:top w:val="nil"/>
              <w:left w:val="nil"/>
              <w:bottom w:val="nil"/>
              <w:right w:val="nil"/>
            </w:tcBorders>
            <w:shd w:val="clear" w:color="auto" w:fill="auto"/>
            <w:vAlign w:val="center"/>
          </w:tcPr>
          <w:p w14:paraId="15AF0AC0" w14:textId="00BF6528"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Experiência FUNCEF Novo Plano 2022</w:t>
            </w:r>
          </w:p>
        </w:tc>
        <w:tc>
          <w:tcPr>
            <w:tcW w:w="461" w:type="pct"/>
            <w:tcBorders>
              <w:top w:val="nil"/>
              <w:left w:val="nil"/>
              <w:bottom w:val="nil"/>
              <w:right w:val="nil"/>
            </w:tcBorders>
            <w:shd w:val="clear" w:color="auto" w:fill="auto"/>
            <w:vAlign w:val="center"/>
            <w:hideMark/>
          </w:tcPr>
          <w:p w14:paraId="773C36DF" w14:textId="734DAFEB"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Experiência FUNCEF Novo Plano 2022</w:t>
            </w:r>
          </w:p>
        </w:tc>
      </w:tr>
      <w:tr w:rsidR="00FD6A98" w:rsidRPr="00E20D21" w14:paraId="02F7DADC" w14:textId="77777777" w:rsidTr="00FD6A98">
        <w:trPr>
          <w:trHeight w:val="283"/>
        </w:trPr>
        <w:tc>
          <w:tcPr>
            <w:tcW w:w="974" w:type="pct"/>
            <w:tcBorders>
              <w:top w:val="nil"/>
              <w:left w:val="nil"/>
              <w:bottom w:val="nil"/>
              <w:right w:val="nil"/>
            </w:tcBorders>
            <w:shd w:val="clear" w:color="auto" w:fill="auto"/>
            <w:vAlign w:val="center"/>
            <w:hideMark/>
          </w:tcPr>
          <w:p w14:paraId="39E46125"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Tábua de mortalidade geral</w:t>
            </w:r>
          </w:p>
        </w:tc>
        <w:tc>
          <w:tcPr>
            <w:tcW w:w="509" w:type="pct"/>
            <w:tcBorders>
              <w:top w:val="nil"/>
              <w:left w:val="nil"/>
              <w:bottom w:val="nil"/>
              <w:right w:val="nil"/>
            </w:tcBorders>
            <w:shd w:val="clear" w:color="auto" w:fill="auto"/>
            <w:vAlign w:val="center"/>
          </w:tcPr>
          <w:p w14:paraId="096F8E6E" w14:textId="4DD956D1"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RP 2000, segregada por sexo e suavizada em 20%</w:t>
            </w:r>
          </w:p>
        </w:tc>
        <w:tc>
          <w:tcPr>
            <w:tcW w:w="513" w:type="pct"/>
            <w:tcBorders>
              <w:top w:val="nil"/>
              <w:left w:val="nil"/>
              <w:bottom w:val="nil"/>
              <w:right w:val="nil"/>
            </w:tcBorders>
            <w:shd w:val="clear" w:color="auto" w:fill="auto"/>
            <w:vAlign w:val="center"/>
            <w:hideMark/>
          </w:tcPr>
          <w:p w14:paraId="17B7B81A" w14:textId="221C26AA"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506" w:type="pct"/>
            <w:tcBorders>
              <w:top w:val="nil"/>
              <w:left w:val="nil"/>
              <w:bottom w:val="nil"/>
              <w:right w:val="nil"/>
            </w:tcBorders>
            <w:shd w:val="clear" w:color="auto" w:fill="auto"/>
            <w:vAlign w:val="center"/>
          </w:tcPr>
          <w:p w14:paraId="7E1E8260" w14:textId="00739E76"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RP 2000, segregada por sexo e suavizada em 20%</w:t>
            </w:r>
          </w:p>
        </w:tc>
        <w:tc>
          <w:tcPr>
            <w:tcW w:w="513" w:type="pct"/>
            <w:tcBorders>
              <w:top w:val="nil"/>
              <w:left w:val="nil"/>
              <w:bottom w:val="nil"/>
              <w:right w:val="nil"/>
            </w:tcBorders>
            <w:shd w:val="clear" w:color="auto" w:fill="auto"/>
            <w:vAlign w:val="center"/>
            <w:hideMark/>
          </w:tcPr>
          <w:p w14:paraId="737CA145" w14:textId="44244DFE"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506" w:type="pct"/>
            <w:tcBorders>
              <w:top w:val="nil"/>
              <w:left w:val="nil"/>
              <w:bottom w:val="nil"/>
              <w:right w:val="nil"/>
            </w:tcBorders>
            <w:shd w:val="clear" w:color="auto" w:fill="auto"/>
            <w:vAlign w:val="center"/>
          </w:tcPr>
          <w:p w14:paraId="0F43D2C6" w14:textId="31BFD69D"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RP 2000, segregada por sexo e suavizada em 20%</w:t>
            </w:r>
          </w:p>
        </w:tc>
        <w:tc>
          <w:tcPr>
            <w:tcW w:w="514" w:type="pct"/>
            <w:tcBorders>
              <w:top w:val="nil"/>
              <w:left w:val="nil"/>
              <w:bottom w:val="nil"/>
              <w:right w:val="nil"/>
            </w:tcBorders>
            <w:shd w:val="clear" w:color="auto" w:fill="auto"/>
            <w:vAlign w:val="center"/>
            <w:hideMark/>
          </w:tcPr>
          <w:p w14:paraId="37F9AF67" w14:textId="5DF04B57"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505" w:type="pct"/>
            <w:tcBorders>
              <w:top w:val="nil"/>
              <w:left w:val="nil"/>
              <w:bottom w:val="nil"/>
              <w:right w:val="nil"/>
            </w:tcBorders>
            <w:shd w:val="clear" w:color="auto" w:fill="auto"/>
            <w:vAlign w:val="center"/>
          </w:tcPr>
          <w:p w14:paraId="00CAC21C" w14:textId="74DEE39F"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RP 2000, segregada por sexo e suavizada em 20%</w:t>
            </w:r>
          </w:p>
        </w:tc>
        <w:tc>
          <w:tcPr>
            <w:tcW w:w="461" w:type="pct"/>
            <w:tcBorders>
              <w:top w:val="nil"/>
              <w:left w:val="nil"/>
              <w:bottom w:val="nil"/>
              <w:right w:val="nil"/>
            </w:tcBorders>
            <w:shd w:val="clear" w:color="auto" w:fill="auto"/>
            <w:vAlign w:val="center"/>
            <w:hideMark/>
          </w:tcPr>
          <w:p w14:paraId="7D856EC8" w14:textId="15B7A9F3"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r>
      <w:tr w:rsidR="00FD6A98" w:rsidRPr="00E20D21" w14:paraId="6F7F99B8" w14:textId="77777777" w:rsidTr="00FD6A98">
        <w:trPr>
          <w:trHeight w:val="283"/>
        </w:trPr>
        <w:tc>
          <w:tcPr>
            <w:tcW w:w="974" w:type="pct"/>
            <w:tcBorders>
              <w:top w:val="nil"/>
              <w:left w:val="nil"/>
              <w:bottom w:val="nil"/>
              <w:right w:val="nil"/>
            </w:tcBorders>
            <w:shd w:val="clear" w:color="auto" w:fill="auto"/>
            <w:vAlign w:val="center"/>
            <w:hideMark/>
          </w:tcPr>
          <w:p w14:paraId="7993CDA9"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Tábua de entrada em invalidez</w:t>
            </w:r>
          </w:p>
        </w:tc>
        <w:tc>
          <w:tcPr>
            <w:tcW w:w="509" w:type="pct"/>
            <w:tcBorders>
              <w:top w:val="nil"/>
              <w:left w:val="nil"/>
              <w:bottom w:val="nil"/>
              <w:right w:val="nil"/>
            </w:tcBorders>
            <w:shd w:val="clear" w:color="auto" w:fill="auto"/>
            <w:noWrap/>
            <w:vAlign w:val="center"/>
          </w:tcPr>
          <w:p w14:paraId="3645BEE3" w14:textId="4697D76D"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Light Fraca</w:t>
            </w:r>
          </w:p>
        </w:tc>
        <w:tc>
          <w:tcPr>
            <w:tcW w:w="513" w:type="pct"/>
            <w:tcBorders>
              <w:top w:val="nil"/>
              <w:left w:val="nil"/>
              <w:bottom w:val="nil"/>
              <w:right w:val="nil"/>
            </w:tcBorders>
            <w:shd w:val="clear" w:color="auto" w:fill="auto"/>
            <w:noWrap/>
            <w:vAlign w:val="center"/>
            <w:hideMark/>
          </w:tcPr>
          <w:p w14:paraId="2CB8EA00" w14:textId="0F9B7E03"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c>
          <w:tcPr>
            <w:tcW w:w="506" w:type="pct"/>
            <w:tcBorders>
              <w:top w:val="nil"/>
              <w:left w:val="nil"/>
              <w:bottom w:val="nil"/>
              <w:right w:val="nil"/>
            </w:tcBorders>
            <w:shd w:val="clear" w:color="auto" w:fill="auto"/>
            <w:noWrap/>
            <w:vAlign w:val="center"/>
          </w:tcPr>
          <w:p w14:paraId="4CF5CC2E" w14:textId="0E39BF5F"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Light Fraca</w:t>
            </w:r>
          </w:p>
        </w:tc>
        <w:tc>
          <w:tcPr>
            <w:tcW w:w="513" w:type="pct"/>
            <w:tcBorders>
              <w:top w:val="nil"/>
              <w:left w:val="nil"/>
              <w:bottom w:val="nil"/>
              <w:right w:val="nil"/>
            </w:tcBorders>
            <w:shd w:val="clear" w:color="auto" w:fill="auto"/>
            <w:noWrap/>
            <w:vAlign w:val="center"/>
            <w:hideMark/>
          </w:tcPr>
          <w:p w14:paraId="0CA6D3CF" w14:textId="4B4C8537"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c>
          <w:tcPr>
            <w:tcW w:w="506" w:type="pct"/>
            <w:tcBorders>
              <w:top w:val="nil"/>
              <w:left w:val="nil"/>
              <w:bottom w:val="nil"/>
              <w:right w:val="nil"/>
            </w:tcBorders>
            <w:shd w:val="clear" w:color="auto" w:fill="auto"/>
            <w:noWrap/>
            <w:vAlign w:val="center"/>
          </w:tcPr>
          <w:p w14:paraId="77187088" w14:textId="352BCC9D"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Light Fraca</w:t>
            </w:r>
          </w:p>
        </w:tc>
        <w:tc>
          <w:tcPr>
            <w:tcW w:w="514" w:type="pct"/>
            <w:tcBorders>
              <w:top w:val="nil"/>
              <w:left w:val="nil"/>
              <w:bottom w:val="nil"/>
              <w:right w:val="nil"/>
            </w:tcBorders>
            <w:shd w:val="clear" w:color="auto" w:fill="auto"/>
            <w:noWrap/>
            <w:vAlign w:val="center"/>
            <w:hideMark/>
          </w:tcPr>
          <w:p w14:paraId="7FA2046B" w14:textId="6B2CCAF8"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c>
          <w:tcPr>
            <w:tcW w:w="505" w:type="pct"/>
            <w:tcBorders>
              <w:top w:val="nil"/>
              <w:left w:val="nil"/>
              <w:bottom w:val="nil"/>
              <w:right w:val="nil"/>
            </w:tcBorders>
            <w:shd w:val="clear" w:color="auto" w:fill="auto"/>
            <w:noWrap/>
            <w:vAlign w:val="center"/>
          </w:tcPr>
          <w:p w14:paraId="0590762F" w14:textId="1D14108D"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Light Fraca</w:t>
            </w:r>
          </w:p>
        </w:tc>
        <w:tc>
          <w:tcPr>
            <w:tcW w:w="461" w:type="pct"/>
            <w:tcBorders>
              <w:top w:val="nil"/>
              <w:left w:val="nil"/>
              <w:bottom w:val="nil"/>
              <w:right w:val="nil"/>
            </w:tcBorders>
            <w:shd w:val="clear" w:color="auto" w:fill="auto"/>
            <w:noWrap/>
            <w:vAlign w:val="center"/>
            <w:hideMark/>
          </w:tcPr>
          <w:p w14:paraId="12129F8D" w14:textId="043F0128"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r>
      <w:tr w:rsidR="00FD6A98" w:rsidRPr="00E20D21" w14:paraId="46059888" w14:textId="77777777" w:rsidTr="00FD6A98">
        <w:trPr>
          <w:trHeight w:val="283"/>
        </w:trPr>
        <w:tc>
          <w:tcPr>
            <w:tcW w:w="974" w:type="pct"/>
            <w:tcBorders>
              <w:top w:val="nil"/>
              <w:left w:val="nil"/>
              <w:bottom w:val="nil"/>
              <w:right w:val="nil"/>
            </w:tcBorders>
            <w:shd w:val="clear" w:color="auto" w:fill="auto"/>
            <w:vAlign w:val="center"/>
            <w:hideMark/>
          </w:tcPr>
          <w:p w14:paraId="0D391C36"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Tábua de mortalidade de inválidos</w:t>
            </w:r>
          </w:p>
        </w:tc>
        <w:tc>
          <w:tcPr>
            <w:tcW w:w="509" w:type="pct"/>
            <w:tcBorders>
              <w:top w:val="nil"/>
              <w:left w:val="nil"/>
              <w:bottom w:val="nil"/>
              <w:right w:val="nil"/>
            </w:tcBorders>
            <w:shd w:val="clear" w:color="auto" w:fill="auto"/>
            <w:noWrap/>
            <w:vAlign w:val="center"/>
          </w:tcPr>
          <w:p w14:paraId="62FBFA8A" w14:textId="31FEC12C"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 xml:space="preserve">CSO </w:t>
            </w:r>
            <w:r w:rsidR="003641D2" w:rsidRPr="00E20D21">
              <w:rPr>
                <w:rFonts w:ascii="CAIXA Std Book" w:hAnsi="CAIXA Std Book" w:cs="Calibri"/>
                <w:color w:val="005CA9"/>
                <w:sz w:val="18"/>
                <w:szCs w:val="18"/>
              </w:rPr>
              <w:t>–</w:t>
            </w:r>
            <w:r w:rsidRPr="00E20D21">
              <w:rPr>
                <w:rFonts w:ascii="CAIXA Std Book" w:hAnsi="CAIXA Std Book" w:cs="Calibri"/>
                <w:color w:val="005CA9"/>
                <w:sz w:val="18"/>
                <w:szCs w:val="18"/>
              </w:rPr>
              <w:t xml:space="preserve"> 58</w:t>
            </w:r>
          </w:p>
        </w:tc>
        <w:tc>
          <w:tcPr>
            <w:tcW w:w="513" w:type="pct"/>
            <w:tcBorders>
              <w:top w:val="nil"/>
              <w:left w:val="nil"/>
              <w:bottom w:val="nil"/>
              <w:right w:val="nil"/>
            </w:tcBorders>
            <w:shd w:val="clear" w:color="auto" w:fill="auto"/>
            <w:noWrap/>
            <w:vAlign w:val="center"/>
            <w:hideMark/>
          </w:tcPr>
          <w:p w14:paraId="77C75F70" w14:textId="71CEA6AA"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506" w:type="pct"/>
            <w:tcBorders>
              <w:top w:val="nil"/>
              <w:left w:val="nil"/>
              <w:bottom w:val="nil"/>
              <w:right w:val="nil"/>
            </w:tcBorders>
            <w:shd w:val="clear" w:color="auto" w:fill="auto"/>
            <w:noWrap/>
            <w:vAlign w:val="center"/>
          </w:tcPr>
          <w:p w14:paraId="36A54DB0" w14:textId="43BDEF57"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CSO - 58</w:t>
            </w:r>
          </w:p>
        </w:tc>
        <w:tc>
          <w:tcPr>
            <w:tcW w:w="513" w:type="pct"/>
            <w:tcBorders>
              <w:top w:val="nil"/>
              <w:left w:val="nil"/>
              <w:bottom w:val="nil"/>
              <w:right w:val="nil"/>
            </w:tcBorders>
            <w:shd w:val="clear" w:color="auto" w:fill="auto"/>
            <w:noWrap/>
            <w:vAlign w:val="center"/>
            <w:hideMark/>
          </w:tcPr>
          <w:p w14:paraId="7EA23878" w14:textId="6D599CE1"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506" w:type="pct"/>
            <w:tcBorders>
              <w:top w:val="nil"/>
              <w:left w:val="nil"/>
              <w:bottom w:val="nil"/>
              <w:right w:val="nil"/>
            </w:tcBorders>
            <w:shd w:val="clear" w:color="auto" w:fill="auto"/>
            <w:noWrap/>
            <w:vAlign w:val="center"/>
          </w:tcPr>
          <w:p w14:paraId="305D4423" w14:textId="23EFAE37"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CSO - 58</w:t>
            </w:r>
          </w:p>
        </w:tc>
        <w:tc>
          <w:tcPr>
            <w:tcW w:w="514" w:type="pct"/>
            <w:tcBorders>
              <w:top w:val="nil"/>
              <w:left w:val="nil"/>
              <w:bottom w:val="nil"/>
              <w:right w:val="nil"/>
            </w:tcBorders>
            <w:shd w:val="clear" w:color="auto" w:fill="auto"/>
            <w:noWrap/>
            <w:vAlign w:val="center"/>
            <w:hideMark/>
          </w:tcPr>
          <w:p w14:paraId="050BC5F7" w14:textId="59A98A80"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505" w:type="pct"/>
            <w:tcBorders>
              <w:top w:val="nil"/>
              <w:left w:val="nil"/>
              <w:bottom w:val="nil"/>
              <w:right w:val="nil"/>
            </w:tcBorders>
            <w:shd w:val="clear" w:color="auto" w:fill="auto"/>
            <w:noWrap/>
            <w:vAlign w:val="center"/>
          </w:tcPr>
          <w:p w14:paraId="2FB640A4" w14:textId="122C452D"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CSO - 58</w:t>
            </w:r>
          </w:p>
        </w:tc>
        <w:tc>
          <w:tcPr>
            <w:tcW w:w="461" w:type="pct"/>
            <w:tcBorders>
              <w:top w:val="nil"/>
              <w:left w:val="nil"/>
              <w:bottom w:val="nil"/>
              <w:right w:val="nil"/>
            </w:tcBorders>
            <w:shd w:val="clear" w:color="auto" w:fill="auto"/>
            <w:noWrap/>
            <w:vAlign w:val="center"/>
            <w:hideMark/>
          </w:tcPr>
          <w:p w14:paraId="7DDA97FC" w14:textId="508F64DA"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r>
      <w:tr w:rsidR="00FD6A98" w:rsidRPr="00E20D21" w14:paraId="3D946C7C" w14:textId="77777777" w:rsidTr="00FD6A98">
        <w:trPr>
          <w:trHeight w:val="283"/>
        </w:trPr>
        <w:tc>
          <w:tcPr>
            <w:tcW w:w="974" w:type="pct"/>
            <w:tcBorders>
              <w:top w:val="nil"/>
              <w:left w:val="nil"/>
              <w:bottom w:val="single" w:sz="4" w:space="0" w:color="F68F00"/>
              <w:right w:val="nil"/>
            </w:tcBorders>
            <w:shd w:val="clear" w:color="auto" w:fill="auto"/>
            <w:vAlign w:val="center"/>
            <w:hideMark/>
          </w:tcPr>
          <w:p w14:paraId="5FB96827" w14:textId="77777777" w:rsidR="00FD6A98" w:rsidRPr="00E20D21" w:rsidRDefault="00FD6A98" w:rsidP="00FD6A98">
            <w:pPr>
              <w:rPr>
                <w:rFonts w:ascii="CAIXA Std Book" w:hAnsi="CAIXA Std Book" w:cs="MS Gothic"/>
                <w:color w:val="005CA9"/>
                <w:sz w:val="18"/>
                <w:szCs w:val="18"/>
              </w:rPr>
            </w:pPr>
            <w:r w:rsidRPr="00E20D21">
              <w:rPr>
                <w:rFonts w:ascii="CAIXA Std Book" w:hAnsi="CAIXA Std Book" w:cs="MS Gothic"/>
                <w:color w:val="005CA9"/>
                <w:sz w:val="18"/>
                <w:szCs w:val="18"/>
              </w:rPr>
              <w:t>Entrada em aposentadoria</w:t>
            </w:r>
          </w:p>
        </w:tc>
        <w:tc>
          <w:tcPr>
            <w:tcW w:w="509" w:type="pct"/>
            <w:tcBorders>
              <w:top w:val="nil"/>
              <w:left w:val="nil"/>
              <w:bottom w:val="single" w:sz="4" w:space="0" w:color="F68F00"/>
              <w:right w:val="nil"/>
            </w:tcBorders>
            <w:shd w:val="clear" w:color="auto" w:fill="auto"/>
            <w:vAlign w:val="center"/>
          </w:tcPr>
          <w:p w14:paraId="66DD9CB2" w14:textId="71EAAC94"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Homens - 53 anos        Mulheres - 48 anos</w:t>
            </w:r>
          </w:p>
        </w:tc>
        <w:tc>
          <w:tcPr>
            <w:tcW w:w="513" w:type="pct"/>
            <w:tcBorders>
              <w:top w:val="nil"/>
              <w:left w:val="nil"/>
              <w:bottom w:val="single" w:sz="4" w:space="0" w:color="F68F00"/>
              <w:right w:val="nil"/>
            </w:tcBorders>
            <w:shd w:val="clear" w:color="auto" w:fill="auto"/>
            <w:vAlign w:val="center"/>
            <w:hideMark/>
          </w:tcPr>
          <w:p w14:paraId="5ED15485" w14:textId="71973537"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Homens - 53 anos        Mulheres - 48 anos</w:t>
            </w:r>
          </w:p>
        </w:tc>
        <w:tc>
          <w:tcPr>
            <w:tcW w:w="506" w:type="pct"/>
            <w:tcBorders>
              <w:top w:val="nil"/>
              <w:left w:val="nil"/>
              <w:bottom w:val="single" w:sz="4" w:space="0" w:color="F68F00"/>
              <w:right w:val="nil"/>
            </w:tcBorders>
            <w:shd w:val="clear" w:color="auto" w:fill="auto"/>
            <w:vAlign w:val="center"/>
          </w:tcPr>
          <w:p w14:paraId="1FA455D3" w14:textId="02FC656C"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Experiência entrada em aposentadoria REG/REPLAN não saldado 2020 ambos os sexos</w:t>
            </w:r>
          </w:p>
        </w:tc>
        <w:tc>
          <w:tcPr>
            <w:tcW w:w="513" w:type="pct"/>
            <w:tcBorders>
              <w:top w:val="nil"/>
              <w:left w:val="nil"/>
              <w:bottom w:val="single" w:sz="4" w:space="0" w:color="F68F00"/>
              <w:right w:val="nil"/>
            </w:tcBorders>
            <w:shd w:val="clear" w:color="auto" w:fill="auto"/>
            <w:vAlign w:val="center"/>
            <w:hideMark/>
          </w:tcPr>
          <w:p w14:paraId="7E7D3B84" w14:textId="4EDB68C1"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Experiência entrada em aposentadoria REG/REPLAN não saldado 2020 ambos os sexos</w:t>
            </w:r>
          </w:p>
        </w:tc>
        <w:tc>
          <w:tcPr>
            <w:tcW w:w="506" w:type="pct"/>
            <w:tcBorders>
              <w:top w:val="nil"/>
              <w:left w:val="nil"/>
              <w:bottom w:val="single" w:sz="4" w:space="0" w:color="F68F00"/>
              <w:right w:val="nil"/>
            </w:tcBorders>
            <w:shd w:val="clear" w:color="auto" w:fill="auto"/>
            <w:vAlign w:val="center"/>
          </w:tcPr>
          <w:p w14:paraId="25613C2D" w14:textId="0CDE6C62"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Tábua de entrada em aposentadoria CAIXA/Deloitte 2023</w:t>
            </w:r>
            <w:r w:rsidR="00211FFA" w:rsidRPr="00E20D21">
              <w:rPr>
                <w:rFonts w:ascii="CAIXA Std Book" w:hAnsi="CAIXA Std Book" w:cs="Calibri"/>
                <w:color w:val="005CA9"/>
                <w:sz w:val="18"/>
                <w:szCs w:val="18"/>
              </w:rPr>
              <w:t xml:space="preserve"> </w:t>
            </w:r>
            <w:r w:rsidRPr="00E20D21">
              <w:rPr>
                <w:rFonts w:ascii="CAIXA Std Book" w:hAnsi="CAIXA Std Book" w:cs="Calibri"/>
                <w:color w:val="005CA9"/>
                <w:sz w:val="18"/>
                <w:szCs w:val="18"/>
              </w:rPr>
              <w:t>ambos os sexos</w:t>
            </w:r>
          </w:p>
        </w:tc>
        <w:tc>
          <w:tcPr>
            <w:tcW w:w="514" w:type="pct"/>
            <w:tcBorders>
              <w:top w:val="nil"/>
              <w:left w:val="nil"/>
              <w:bottom w:val="single" w:sz="4" w:space="0" w:color="F68F00"/>
              <w:right w:val="nil"/>
            </w:tcBorders>
            <w:shd w:val="clear" w:color="auto" w:fill="auto"/>
            <w:vAlign w:val="center"/>
            <w:hideMark/>
          </w:tcPr>
          <w:p w14:paraId="1E4E62B1" w14:textId="33B6F4E9"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entrada em aposentadoria CAIXA/Deloitte 2023</w:t>
            </w:r>
            <w:r w:rsidR="00211FFA" w:rsidRPr="00E20D21">
              <w:rPr>
                <w:rFonts w:ascii="CAIXA Std Book" w:hAnsi="CAIXA Std Book" w:cs="Calibri"/>
                <w:color w:val="005CA9"/>
                <w:sz w:val="18"/>
                <w:szCs w:val="18"/>
              </w:rPr>
              <w:t xml:space="preserve"> </w:t>
            </w:r>
            <w:r w:rsidRPr="00E20D21">
              <w:rPr>
                <w:rFonts w:ascii="CAIXA Std Book" w:hAnsi="CAIXA Std Book" w:cs="Calibri"/>
                <w:color w:val="005CA9"/>
                <w:sz w:val="18"/>
                <w:szCs w:val="18"/>
              </w:rPr>
              <w:t>ambos os sexos</w:t>
            </w:r>
          </w:p>
        </w:tc>
        <w:tc>
          <w:tcPr>
            <w:tcW w:w="505" w:type="pct"/>
            <w:tcBorders>
              <w:top w:val="nil"/>
              <w:left w:val="nil"/>
              <w:bottom w:val="single" w:sz="4" w:space="0" w:color="F68F00"/>
              <w:right w:val="nil"/>
            </w:tcBorders>
            <w:shd w:val="clear" w:color="auto" w:fill="auto"/>
            <w:vAlign w:val="center"/>
          </w:tcPr>
          <w:p w14:paraId="402CD9B2" w14:textId="415F99B7" w:rsidR="00FD6A98" w:rsidRPr="00E20D21" w:rsidRDefault="00FD6A98" w:rsidP="00FD6A98">
            <w:pPr>
              <w:jc w:val="center"/>
              <w:rPr>
                <w:rFonts w:ascii="CAIXA Std Book" w:hAnsi="CAIXA Std Book" w:cs="MS Gothic"/>
                <w:color w:val="005CA9"/>
                <w:sz w:val="18"/>
                <w:szCs w:val="18"/>
                <w:highlight w:val="yellow"/>
              </w:rPr>
            </w:pPr>
            <w:r w:rsidRPr="00E20D21">
              <w:rPr>
                <w:rFonts w:ascii="CAIXA Std Book" w:hAnsi="CAIXA Std Book" w:cs="Calibri"/>
                <w:color w:val="005CA9"/>
                <w:sz w:val="18"/>
                <w:szCs w:val="18"/>
              </w:rPr>
              <w:t>Tábua de entrada em aposentadoria CAIXA/Deloitte 2023</w:t>
            </w:r>
          </w:p>
        </w:tc>
        <w:tc>
          <w:tcPr>
            <w:tcW w:w="461" w:type="pct"/>
            <w:tcBorders>
              <w:top w:val="nil"/>
              <w:left w:val="nil"/>
              <w:bottom w:val="single" w:sz="4" w:space="0" w:color="F68F00"/>
              <w:right w:val="nil"/>
            </w:tcBorders>
            <w:shd w:val="clear" w:color="auto" w:fill="auto"/>
            <w:vAlign w:val="center"/>
            <w:hideMark/>
          </w:tcPr>
          <w:p w14:paraId="13A860C0" w14:textId="790388B1" w:rsidR="00FD6A98" w:rsidRPr="00E20D21" w:rsidRDefault="00FD6A98" w:rsidP="00FD6A98">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entrada em aposentadoria CAIXA/Deloitte 2023</w:t>
            </w:r>
          </w:p>
        </w:tc>
      </w:tr>
    </w:tbl>
    <w:p w14:paraId="1E24BB51" w14:textId="77777777" w:rsidR="007D7FF3" w:rsidRPr="00E20D21" w:rsidRDefault="007D7FF3">
      <w:pPr>
        <w:rPr>
          <w:rFonts w:ascii="CAIXA Std Book" w:hAnsi="CAIXA Std Book"/>
          <w:b/>
          <w:color w:val="005CA9"/>
          <w:sz w:val="20"/>
          <w:szCs w:val="20"/>
        </w:rPr>
      </w:pPr>
      <w:r w:rsidRPr="00E20D21">
        <w:rPr>
          <w:rFonts w:ascii="CAIXA Std Book" w:hAnsi="CAIXA Std Book"/>
          <w:b/>
          <w:color w:val="005CA9"/>
          <w:sz w:val="20"/>
          <w:szCs w:val="20"/>
        </w:rPr>
        <w:br w:type="page"/>
      </w:r>
    </w:p>
    <w:p w14:paraId="6BFA11E0" w14:textId="77777777" w:rsidR="003834D8" w:rsidRPr="00E20D21" w:rsidRDefault="003834D8" w:rsidP="003834D8">
      <w:pPr>
        <w:spacing w:before="240" w:after="240"/>
        <w:rPr>
          <w:rFonts w:ascii="CAIXA Std Book" w:hAnsi="CAIXA Std Book"/>
          <w:b/>
          <w:color w:val="005CA9"/>
          <w:sz w:val="20"/>
          <w:szCs w:val="20"/>
        </w:rPr>
      </w:pPr>
      <w:r w:rsidRPr="00E20D21">
        <w:rPr>
          <w:rFonts w:ascii="CAIXA Std Book" w:hAnsi="CAIXA Std Book"/>
          <w:b/>
          <w:color w:val="005CA9"/>
          <w:sz w:val="20"/>
          <w:szCs w:val="20"/>
        </w:rPr>
        <w:lastRenderedPageBreak/>
        <w:t>(i.4)</w:t>
      </w:r>
      <w:r w:rsidRPr="00E20D21">
        <w:rPr>
          <w:rFonts w:ascii="CAIXA Std Book" w:hAnsi="CAIXA Std Book"/>
          <w:b/>
          <w:color w:val="005CA9"/>
          <w:sz w:val="20"/>
          <w:szCs w:val="20"/>
        </w:rPr>
        <w:tab/>
        <w:t>Diferenças de premissas dos planos previdenciários</w:t>
      </w:r>
    </w:p>
    <w:tbl>
      <w:tblPr>
        <w:tblW w:w="5000" w:type="pct"/>
        <w:tblCellMar>
          <w:left w:w="70" w:type="dxa"/>
          <w:right w:w="70" w:type="dxa"/>
        </w:tblCellMar>
        <w:tblLook w:val="04A0" w:firstRow="1" w:lastRow="0" w:firstColumn="1" w:lastColumn="0" w:noHBand="0" w:noVBand="1"/>
      </w:tblPr>
      <w:tblGrid>
        <w:gridCol w:w="4348"/>
        <w:gridCol w:w="1932"/>
        <w:gridCol w:w="2133"/>
        <w:gridCol w:w="2072"/>
        <w:gridCol w:w="1906"/>
        <w:gridCol w:w="2180"/>
      </w:tblGrid>
      <w:tr w:rsidR="00A47C19" w:rsidRPr="00E20D21" w14:paraId="785E522F" w14:textId="77777777" w:rsidTr="00A01778">
        <w:trPr>
          <w:trHeight w:val="283"/>
        </w:trPr>
        <w:tc>
          <w:tcPr>
            <w:tcW w:w="5000" w:type="pct"/>
            <w:gridSpan w:val="6"/>
            <w:tcBorders>
              <w:top w:val="single" w:sz="4" w:space="0" w:color="F68F00"/>
              <w:left w:val="nil"/>
              <w:bottom w:val="single" w:sz="4" w:space="0" w:color="F68F00"/>
              <w:right w:val="nil"/>
            </w:tcBorders>
            <w:shd w:val="clear" w:color="auto" w:fill="auto"/>
            <w:vAlign w:val="center"/>
          </w:tcPr>
          <w:p w14:paraId="738CB73B" w14:textId="4BC603E8" w:rsidR="003834D8" w:rsidRPr="00E20D21" w:rsidRDefault="003834D8" w:rsidP="00A0177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w:t>
            </w:r>
            <w:r w:rsidR="00E20D21">
              <w:rPr>
                <w:rFonts w:ascii="CAIXA Std Book" w:hAnsi="CAIXA Std Book" w:cs="MS Gothic"/>
                <w:b/>
                <w:color w:val="005CA9"/>
                <w:sz w:val="18"/>
                <w:szCs w:val="18"/>
              </w:rPr>
              <w:t xml:space="preserve"> </w:t>
            </w:r>
            <w:r w:rsidRPr="00E20D21">
              <w:rPr>
                <w:rFonts w:ascii="CAIXA Std Book" w:hAnsi="CAIXA Std Book" w:cs="MS Gothic"/>
                <w:b/>
                <w:color w:val="005CA9"/>
                <w:sz w:val="18"/>
                <w:szCs w:val="18"/>
              </w:rPr>
              <w:t>CONSOLIDADO</w:t>
            </w:r>
          </w:p>
        </w:tc>
      </w:tr>
      <w:tr w:rsidR="00A47C19" w:rsidRPr="00E20D21" w14:paraId="3110A157" w14:textId="77777777" w:rsidTr="00A01778">
        <w:trPr>
          <w:trHeight w:val="283"/>
        </w:trPr>
        <w:tc>
          <w:tcPr>
            <w:tcW w:w="1492" w:type="pct"/>
            <w:tcBorders>
              <w:top w:val="single" w:sz="4" w:space="0" w:color="F68F00"/>
              <w:left w:val="nil"/>
              <w:bottom w:val="single" w:sz="4" w:space="0" w:color="F68F00"/>
              <w:right w:val="nil"/>
            </w:tcBorders>
            <w:shd w:val="clear" w:color="auto" w:fill="auto"/>
            <w:vAlign w:val="center"/>
            <w:hideMark/>
          </w:tcPr>
          <w:p w14:paraId="5583C9BD" w14:textId="77777777" w:rsidR="003834D8" w:rsidRPr="00E20D21" w:rsidRDefault="003834D8" w:rsidP="00A0177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663" w:type="pct"/>
            <w:tcBorders>
              <w:top w:val="single" w:sz="4" w:space="0" w:color="F68F00"/>
              <w:left w:val="nil"/>
              <w:bottom w:val="single" w:sz="4" w:space="0" w:color="F68F00"/>
              <w:right w:val="nil"/>
            </w:tcBorders>
            <w:shd w:val="clear" w:color="auto" w:fill="auto"/>
            <w:vAlign w:val="center"/>
            <w:hideMark/>
          </w:tcPr>
          <w:p w14:paraId="3BDF2A75" w14:textId="77777777" w:rsidR="003834D8" w:rsidRPr="00E20D21" w:rsidRDefault="003834D8" w:rsidP="00A0177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REG/REPLAN Saldado</w:t>
            </w:r>
          </w:p>
        </w:tc>
        <w:tc>
          <w:tcPr>
            <w:tcW w:w="732" w:type="pct"/>
            <w:tcBorders>
              <w:top w:val="single" w:sz="4" w:space="0" w:color="F68F00"/>
              <w:left w:val="nil"/>
              <w:bottom w:val="single" w:sz="4" w:space="0" w:color="F68F00"/>
              <w:right w:val="nil"/>
            </w:tcBorders>
            <w:shd w:val="clear" w:color="auto" w:fill="auto"/>
            <w:vAlign w:val="center"/>
            <w:hideMark/>
          </w:tcPr>
          <w:p w14:paraId="7B6C9953" w14:textId="77777777" w:rsidR="003834D8" w:rsidRPr="00E20D21" w:rsidRDefault="003834D8" w:rsidP="00A0177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REG/REPLAN Não saldado</w:t>
            </w:r>
          </w:p>
        </w:tc>
        <w:tc>
          <w:tcPr>
            <w:tcW w:w="711" w:type="pct"/>
            <w:tcBorders>
              <w:top w:val="single" w:sz="4" w:space="0" w:color="F68F00"/>
              <w:left w:val="nil"/>
              <w:bottom w:val="single" w:sz="4" w:space="0" w:color="F68F00"/>
              <w:right w:val="nil"/>
            </w:tcBorders>
            <w:shd w:val="clear" w:color="auto" w:fill="auto"/>
            <w:vAlign w:val="center"/>
            <w:hideMark/>
          </w:tcPr>
          <w:p w14:paraId="104308A8" w14:textId="77777777" w:rsidR="003834D8" w:rsidRPr="00E20D21" w:rsidRDefault="003834D8" w:rsidP="00A0177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REB</w:t>
            </w:r>
          </w:p>
        </w:tc>
        <w:tc>
          <w:tcPr>
            <w:tcW w:w="654" w:type="pct"/>
            <w:tcBorders>
              <w:top w:val="single" w:sz="4" w:space="0" w:color="F68F00"/>
              <w:left w:val="nil"/>
              <w:bottom w:val="single" w:sz="4" w:space="0" w:color="F68F00"/>
              <w:right w:val="nil"/>
            </w:tcBorders>
            <w:shd w:val="clear" w:color="auto" w:fill="auto"/>
            <w:vAlign w:val="center"/>
            <w:hideMark/>
          </w:tcPr>
          <w:p w14:paraId="76AFC01D" w14:textId="77777777" w:rsidR="003834D8" w:rsidRPr="00E20D21" w:rsidRDefault="003834D8" w:rsidP="00A0177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Novo Plano</w:t>
            </w:r>
          </w:p>
        </w:tc>
        <w:tc>
          <w:tcPr>
            <w:tcW w:w="748" w:type="pct"/>
            <w:tcBorders>
              <w:top w:val="single" w:sz="4" w:space="0" w:color="F68F00"/>
              <w:left w:val="nil"/>
              <w:bottom w:val="single" w:sz="4" w:space="0" w:color="F68F00"/>
              <w:right w:val="nil"/>
            </w:tcBorders>
            <w:shd w:val="clear" w:color="auto" w:fill="auto"/>
            <w:vAlign w:val="center"/>
            <w:hideMark/>
          </w:tcPr>
          <w:p w14:paraId="4F6A0362" w14:textId="77777777" w:rsidR="003834D8" w:rsidRPr="00E20D21" w:rsidRDefault="003834D8" w:rsidP="00A0177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FUNCEF</w:t>
            </w:r>
          </w:p>
        </w:tc>
      </w:tr>
      <w:tr w:rsidR="00A47C19" w:rsidRPr="00E20D21" w14:paraId="4652BAA5" w14:textId="77777777" w:rsidTr="00A01778">
        <w:trPr>
          <w:trHeight w:val="283"/>
        </w:trPr>
        <w:tc>
          <w:tcPr>
            <w:tcW w:w="1492" w:type="pct"/>
            <w:tcBorders>
              <w:top w:val="nil"/>
              <w:left w:val="nil"/>
              <w:bottom w:val="nil"/>
              <w:right w:val="nil"/>
            </w:tcBorders>
            <w:shd w:val="clear" w:color="auto" w:fill="auto"/>
            <w:vAlign w:val="center"/>
            <w:hideMark/>
          </w:tcPr>
          <w:p w14:paraId="660A5F2B" w14:textId="77777777" w:rsidR="003834D8" w:rsidRPr="00E20D21" w:rsidRDefault="003834D8" w:rsidP="00A01778">
            <w:pPr>
              <w:rPr>
                <w:rFonts w:ascii="CAIXA Std Book" w:hAnsi="CAIXA Std Book" w:cs="MS Gothic"/>
                <w:color w:val="005CA9"/>
                <w:sz w:val="18"/>
                <w:szCs w:val="18"/>
              </w:rPr>
            </w:pPr>
            <w:r w:rsidRPr="00E20D21">
              <w:rPr>
                <w:rFonts w:ascii="CAIXA Std Book" w:hAnsi="CAIXA Std Book" w:cs="MS Gothic"/>
                <w:color w:val="005CA9"/>
                <w:sz w:val="18"/>
                <w:szCs w:val="18"/>
              </w:rPr>
              <w:t>Taxa real de desconto (a.a.)</w:t>
            </w:r>
          </w:p>
        </w:tc>
        <w:tc>
          <w:tcPr>
            <w:tcW w:w="663" w:type="pct"/>
            <w:tcBorders>
              <w:top w:val="nil"/>
              <w:left w:val="nil"/>
              <w:bottom w:val="nil"/>
              <w:right w:val="nil"/>
            </w:tcBorders>
            <w:shd w:val="clear" w:color="auto" w:fill="auto"/>
            <w:vAlign w:val="center"/>
          </w:tcPr>
          <w:p w14:paraId="36F1E949" w14:textId="2064B6AD" w:rsidR="003834D8" w:rsidRPr="00E20D21" w:rsidRDefault="00833D46"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6,47%</w:t>
            </w:r>
          </w:p>
        </w:tc>
        <w:tc>
          <w:tcPr>
            <w:tcW w:w="732" w:type="pct"/>
            <w:tcBorders>
              <w:top w:val="nil"/>
              <w:left w:val="nil"/>
              <w:bottom w:val="nil"/>
              <w:right w:val="nil"/>
            </w:tcBorders>
            <w:shd w:val="clear" w:color="auto" w:fill="auto"/>
            <w:vAlign w:val="center"/>
          </w:tcPr>
          <w:p w14:paraId="798F683D" w14:textId="4A910273" w:rsidR="003834D8" w:rsidRPr="00E20D21" w:rsidRDefault="00833D46"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6,47%</w:t>
            </w:r>
          </w:p>
        </w:tc>
        <w:tc>
          <w:tcPr>
            <w:tcW w:w="711" w:type="pct"/>
            <w:tcBorders>
              <w:top w:val="nil"/>
              <w:left w:val="nil"/>
              <w:bottom w:val="nil"/>
              <w:right w:val="nil"/>
            </w:tcBorders>
            <w:shd w:val="clear" w:color="auto" w:fill="auto"/>
            <w:vAlign w:val="center"/>
          </w:tcPr>
          <w:p w14:paraId="0D9EDA62" w14:textId="043155D3" w:rsidR="003834D8" w:rsidRPr="00E20D21" w:rsidRDefault="00833D46"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6,46%</w:t>
            </w:r>
          </w:p>
        </w:tc>
        <w:tc>
          <w:tcPr>
            <w:tcW w:w="654" w:type="pct"/>
            <w:tcBorders>
              <w:top w:val="nil"/>
              <w:left w:val="nil"/>
              <w:bottom w:val="nil"/>
              <w:right w:val="nil"/>
            </w:tcBorders>
            <w:shd w:val="clear" w:color="auto" w:fill="auto"/>
            <w:vAlign w:val="center"/>
          </w:tcPr>
          <w:p w14:paraId="222C9C93" w14:textId="306CA3CF" w:rsidR="003834D8" w:rsidRPr="00E20D21" w:rsidRDefault="00833D46"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6,45%</w:t>
            </w:r>
          </w:p>
        </w:tc>
        <w:tc>
          <w:tcPr>
            <w:tcW w:w="748" w:type="pct"/>
            <w:tcBorders>
              <w:top w:val="nil"/>
              <w:left w:val="nil"/>
              <w:bottom w:val="nil"/>
              <w:right w:val="nil"/>
            </w:tcBorders>
            <w:shd w:val="clear" w:color="auto" w:fill="auto"/>
            <w:vAlign w:val="center"/>
          </w:tcPr>
          <w:p w14:paraId="247F6502"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4,5% para todos os planos</w:t>
            </w:r>
          </w:p>
        </w:tc>
      </w:tr>
      <w:tr w:rsidR="00A47C19" w:rsidRPr="00E20D21" w14:paraId="664C8A21" w14:textId="77777777" w:rsidTr="00A01778">
        <w:trPr>
          <w:trHeight w:val="283"/>
        </w:trPr>
        <w:tc>
          <w:tcPr>
            <w:tcW w:w="1492" w:type="pct"/>
            <w:tcBorders>
              <w:top w:val="nil"/>
              <w:left w:val="nil"/>
              <w:bottom w:val="nil"/>
              <w:right w:val="nil"/>
            </w:tcBorders>
            <w:shd w:val="clear" w:color="auto" w:fill="auto"/>
            <w:vAlign w:val="center"/>
          </w:tcPr>
          <w:p w14:paraId="6ECF1944" w14:textId="77777777" w:rsidR="003834D8" w:rsidRPr="00E20D21" w:rsidRDefault="003834D8" w:rsidP="00A01778">
            <w:pPr>
              <w:rPr>
                <w:rFonts w:ascii="CAIXA Std Book" w:hAnsi="CAIXA Std Book" w:cs="MS Gothic"/>
                <w:color w:val="005CA9"/>
                <w:sz w:val="18"/>
                <w:szCs w:val="18"/>
              </w:rPr>
            </w:pPr>
            <w:r w:rsidRPr="00E20D21">
              <w:rPr>
                <w:rFonts w:ascii="CAIXA Std Book" w:hAnsi="CAIXA Std Book" w:cs="MS Gothic"/>
                <w:color w:val="005CA9"/>
                <w:sz w:val="18"/>
                <w:szCs w:val="18"/>
              </w:rPr>
              <w:t>Avaliação de ativos – Títulos públicos</w:t>
            </w:r>
          </w:p>
        </w:tc>
        <w:tc>
          <w:tcPr>
            <w:tcW w:w="663" w:type="pct"/>
            <w:tcBorders>
              <w:top w:val="nil"/>
              <w:left w:val="nil"/>
              <w:bottom w:val="nil"/>
              <w:right w:val="nil"/>
            </w:tcBorders>
            <w:shd w:val="clear" w:color="auto" w:fill="auto"/>
            <w:vAlign w:val="center"/>
          </w:tcPr>
          <w:p w14:paraId="1A0930EE"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 xml:space="preserve"> Marcados a mercado </w:t>
            </w:r>
          </w:p>
        </w:tc>
        <w:tc>
          <w:tcPr>
            <w:tcW w:w="732" w:type="pct"/>
            <w:tcBorders>
              <w:top w:val="nil"/>
              <w:left w:val="nil"/>
              <w:bottom w:val="nil"/>
              <w:right w:val="nil"/>
            </w:tcBorders>
            <w:shd w:val="clear" w:color="auto" w:fill="auto"/>
            <w:vAlign w:val="center"/>
          </w:tcPr>
          <w:p w14:paraId="6DA6CB3D"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 xml:space="preserve"> Marcados a mercado </w:t>
            </w:r>
          </w:p>
        </w:tc>
        <w:tc>
          <w:tcPr>
            <w:tcW w:w="711" w:type="pct"/>
            <w:tcBorders>
              <w:top w:val="nil"/>
              <w:left w:val="nil"/>
              <w:bottom w:val="nil"/>
              <w:right w:val="nil"/>
            </w:tcBorders>
            <w:shd w:val="clear" w:color="auto" w:fill="auto"/>
            <w:vAlign w:val="center"/>
          </w:tcPr>
          <w:p w14:paraId="32CFC684"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 xml:space="preserve"> Marcados a mercado </w:t>
            </w:r>
          </w:p>
        </w:tc>
        <w:tc>
          <w:tcPr>
            <w:tcW w:w="654" w:type="pct"/>
            <w:tcBorders>
              <w:top w:val="nil"/>
              <w:left w:val="nil"/>
              <w:bottom w:val="nil"/>
              <w:right w:val="nil"/>
            </w:tcBorders>
            <w:shd w:val="clear" w:color="auto" w:fill="auto"/>
            <w:vAlign w:val="center"/>
          </w:tcPr>
          <w:p w14:paraId="67FF8A65"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 xml:space="preserve"> Marcados a mercado </w:t>
            </w:r>
          </w:p>
        </w:tc>
        <w:tc>
          <w:tcPr>
            <w:tcW w:w="748" w:type="pct"/>
            <w:tcBorders>
              <w:top w:val="nil"/>
              <w:left w:val="nil"/>
              <w:bottom w:val="nil"/>
              <w:right w:val="nil"/>
            </w:tcBorders>
            <w:shd w:val="clear" w:color="auto" w:fill="auto"/>
            <w:vAlign w:val="center"/>
          </w:tcPr>
          <w:p w14:paraId="516D39BB"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 xml:space="preserve"> Marcados na curva/mercado </w:t>
            </w:r>
          </w:p>
        </w:tc>
      </w:tr>
      <w:tr w:rsidR="00A47C19" w:rsidRPr="00E20D21" w14:paraId="566F9091" w14:textId="77777777" w:rsidTr="00A01778">
        <w:trPr>
          <w:trHeight w:val="283"/>
        </w:trPr>
        <w:tc>
          <w:tcPr>
            <w:tcW w:w="1492" w:type="pct"/>
            <w:tcBorders>
              <w:top w:val="nil"/>
              <w:left w:val="nil"/>
              <w:bottom w:val="single" w:sz="4" w:space="0" w:color="F79646" w:themeColor="accent6"/>
              <w:right w:val="nil"/>
            </w:tcBorders>
            <w:shd w:val="clear" w:color="auto" w:fill="auto"/>
            <w:vAlign w:val="center"/>
            <w:hideMark/>
          </w:tcPr>
          <w:p w14:paraId="215C13F8" w14:textId="77777777" w:rsidR="003834D8" w:rsidRPr="00E20D21" w:rsidRDefault="003834D8" w:rsidP="00A01778">
            <w:pPr>
              <w:rPr>
                <w:rFonts w:ascii="CAIXA Std Book" w:hAnsi="CAIXA Std Book" w:cs="MS Gothic"/>
                <w:color w:val="005CA9"/>
                <w:sz w:val="18"/>
                <w:szCs w:val="18"/>
              </w:rPr>
            </w:pPr>
            <w:r w:rsidRPr="00E20D21">
              <w:rPr>
                <w:rFonts w:ascii="CAIXA Std Book" w:hAnsi="CAIXA Std Book" w:cs="MS Gothic"/>
                <w:color w:val="005CA9"/>
                <w:sz w:val="18"/>
                <w:szCs w:val="18"/>
              </w:rPr>
              <w:t>Regime de capitalização</w:t>
            </w:r>
          </w:p>
        </w:tc>
        <w:tc>
          <w:tcPr>
            <w:tcW w:w="663" w:type="pct"/>
            <w:tcBorders>
              <w:top w:val="nil"/>
              <w:left w:val="nil"/>
              <w:bottom w:val="single" w:sz="4" w:space="0" w:color="F79646" w:themeColor="accent6"/>
              <w:right w:val="nil"/>
            </w:tcBorders>
            <w:shd w:val="clear" w:color="auto" w:fill="auto"/>
            <w:vAlign w:val="center"/>
          </w:tcPr>
          <w:p w14:paraId="6476CDDC"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Crédito unitário projetado</w:t>
            </w:r>
          </w:p>
        </w:tc>
        <w:tc>
          <w:tcPr>
            <w:tcW w:w="732" w:type="pct"/>
            <w:tcBorders>
              <w:top w:val="nil"/>
              <w:left w:val="nil"/>
              <w:bottom w:val="single" w:sz="4" w:space="0" w:color="F79646" w:themeColor="accent6"/>
              <w:right w:val="nil"/>
            </w:tcBorders>
            <w:shd w:val="clear" w:color="auto" w:fill="auto"/>
            <w:vAlign w:val="center"/>
          </w:tcPr>
          <w:p w14:paraId="3CC456AD"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Crédito unitário projetado</w:t>
            </w:r>
          </w:p>
        </w:tc>
        <w:tc>
          <w:tcPr>
            <w:tcW w:w="711" w:type="pct"/>
            <w:tcBorders>
              <w:top w:val="nil"/>
              <w:left w:val="nil"/>
              <w:bottom w:val="single" w:sz="4" w:space="0" w:color="F79646" w:themeColor="accent6"/>
              <w:right w:val="nil"/>
            </w:tcBorders>
            <w:shd w:val="clear" w:color="auto" w:fill="auto"/>
            <w:vAlign w:val="center"/>
          </w:tcPr>
          <w:p w14:paraId="533DF7F3"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Crédito unitário projetado</w:t>
            </w:r>
          </w:p>
        </w:tc>
        <w:tc>
          <w:tcPr>
            <w:tcW w:w="654" w:type="pct"/>
            <w:tcBorders>
              <w:top w:val="nil"/>
              <w:left w:val="nil"/>
              <w:bottom w:val="single" w:sz="4" w:space="0" w:color="F79646" w:themeColor="accent6"/>
              <w:right w:val="nil"/>
            </w:tcBorders>
            <w:shd w:val="clear" w:color="auto" w:fill="auto"/>
            <w:vAlign w:val="center"/>
          </w:tcPr>
          <w:p w14:paraId="0B5DFB99"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Crédito unitário projetado</w:t>
            </w:r>
          </w:p>
        </w:tc>
        <w:tc>
          <w:tcPr>
            <w:tcW w:w="748" w:type="pct"/>
            <w:tcBorders>
              <w:top w:val="nil"/>
              <w:left w:val="nil"/>
              <w:bottom w:val="single" w:sz="4" w:space="0" w:color="F79646" w:themeColor="accent6"/>
              <w:right w:val="nil"/>
            </w:tcBorders>
            <w:shd w:val="clear" w:color="auto" w:fill="auto"/>
            <w:vAlign w:val="center"/>
          </w:tcPr>
          <w:p w14:paraId="2F89D9A6" w14:textId="77777777" w:rsidR="003834D8" w:rsidRPr="00E20D21" w:rsidRDefault="003834D8" w:rsidP="00A01778">
            <w:pPr>
              <w:jc w:val="center"/>
              <w:rPr>
                <w:rFonts w:ascii="CAIXA Std Book" w:hAnsi="CAIXA Std Book" w:cs="MS Gothic"/>
                <w:color w:val="005CA9"/>
                <w:sz w:val="18"/>
                <w:szCs w:val="18"/>
              </w:rPr>
            </w:pPr>
            <w:r w:rsidRPr="00E20D21">
              <w:rPr>
                <w:rFonts w:ascii="CAIXA Std Book" w:hAnsi="CAIXA Std Book" w:cs="Calibri"/>
                <w:color w:val="005CA9"/>
                <w:sz w:val="16"/>
                <w:szCs w:val="16"/>
              </w:rPr>
              <w:t>Método agregado</w:t>
            </w:r>
          </w:p>
        </w:tc>
      </w:tr>
    </w:tbl>
    <w:p w14:paraId="1109EDA9" w14:textId="77777777" w:rsidR="003834D8" w:rsidRPr="00E20D21" w:rsidRDefault="003834D8" w:rsidP="001D22B4">
      <w:pPr>
        <w:autoSpaceDE w:val="0"/>
        <w:autoSpaceDN w:val="0"/>
        <w:adjustRightInd w:val="0"/>
        <w:spacing w:before="240" w:after="120"/>
        <w:jc w:val="both"/>
        <w:rPr>
          <w:rFonts w:ascii="CAIXA Std Book" w:hAnsi="CAIXA Std Book"/>
          <w:b/>
          <w:color w:val="005CA9"/>
          <w:sz w:val="20"/>
          <w:szCs w:val="20"/>
        </w:rPr>
      </w:pPr>
      <w:r w:rsidRPr="00E20D21">
        <w:rPr>
          <w:rFonts w:ascii="CAIXA Std Book" w:hAnsi="CAIXA Std Book"/>
          <w:b/>
          <w:color w:val="005CA9"/>
          <w:sz w:val="20"/>
          <w:szCs w:val="20"/>
        </w:rPr>
        <w:t>(i.5)</w:t>
      </w:r>
      <w:r w:rsidRPr="00E20D21">
        <w:rPr>
          <w:rFonts w:ascii="CAIXA Std Book" w:hAnsi="CAIXA Std Book"/>
          <w:b/>
          <w:color w:val="005CA9"/>
          <w:sz w:val="20"/>
          <w:szCs w:val="20"/>
        </w:rPr>
        <w:tab/>
        <w:t>Mudança no valor presente da obrigação</w:t>
      </w:r>
    </w:p>
    <w:p w14:paraId="44EF1DD9" w14:textId="77777777" w:rsidR="003834D8" w:rsidRPr="00E20D21" w:rsidRDefault="003834D8" w:rsidP="002A0F31">
      <w:pPr>
        <w:autoSpaceDE w:val="0"/>
        <w:autoSpaceDN w:val="0"/>
        <w:adjustRightInd w:val="0"/>
        <w:spacing w:before="120" w:after="120"/>
        <w:ind w:right="-29"/>
        <w:jc w:val="both"/>
        <w:rPr>
          <w:rFonts w:ascii="CAIXA Std Book" w:hAnsi="CAIXA Std Book"/>
          <w:color w:val="005CA9"/>
          <w:sz w:val="20"/>
          <w:szCs w:val="20"/>
        </w:rPr>
      </w:pPr>
      <w:r w:rsidRPr="00E20D21">
        <w:rPr>
          <w:rFonts w:ascii="CAIXA Std Book" w:hAnsi="CAIXA Std Book"/>
          <w:color w:val="005CA9"/>
          <w:sz w:val="20"/>
          <w:szCs w:val="20"/>
        </w:rPr>
        <w:t>O Valor Presente da Obrigação – VPO representa os custos finais, levantados a valor presente, dos planos de benefício definido para as entidades patrocinadoras. Para levantar esses custos são consideradas diversas variáveis, tais como salários na data da concessão do benefício, rotatividade e mortalidade, contribuições de empregados e tendências de custos médicos. Trata-se, portanto, de levantamento atuarial cujo objetivo precípuo é apurar, com a maior fidedignidade possível, o montante de obrigação resultante do serviço do empregado nos períodos correntes e passados.</w:t>
      </w:r>
    </w:p>
    <w:p w14:paraId="2458E32D" w14:textId="77777777" w:rsidR="003834D8" w:rsidRPr="00E20D21" w:rsidRDefault="003834D8" w:rsidP="002A0F31">
      <w:pPr>
        <w:autoSpaceDE w:val="0"/>
        <w:autoSpaceDN w:val="0"/>
        <w:adjustRightInd w:val="0"/>
        <w:spacing w:before="120" w:after="120"/>
        <w:ind w:right="-29"/>
        <w:jc w:val="both"/>
        <w:rPr>
          <w:rFonts w:ascii="CAIXA Std Book" w:hAnsi="CAIXA Std Book"/>
          <w:color w:val="005CA9"/>
          <w:sz w:val="20"/>
          <w:szCs w:val="20"/>
        </w:rPr>
      </w:pPr>
      <w:r w:rsidRPr="00E20D21">
        <w:rPr>
          <w:rFonts w:ascii="CAIXA Std Book" w:hAnsi="CAIXA Std Book"/>
          <w:color w:val="005CA9"/>
          <w:sz w:val="20"/>
          <w:szCs w:val="20"/>
        </w:rPr>
        <w:t>O Método do Crédito Unitário Projetado é utilizado para determinar o valor presente das obrigações de benefício definido e o respectivo custo do serviço corrente e, quando aplicável, o custo do serviço passado. Também é conhecido como “método de benefícios acumulados” e observa cada período de serviço como a origem de uma unidade adicional do direito ao benefício e mensura cada unidade separadamente para construir a obrigação final.</w:t>
      </w:r>
    </w:p>
    <w:tbl>
      <w:tblPr>
        <w:tblW w:w="5000" w:type="pct"/>
        <w:tblCellMar>
          <w:left w:w="70" w:type="dxa"/>
          <w:right w:w="70" w:type="dxa"/>
        </w:tblCellMar>
        <w:tblLook w:val="04A0" w:firstRow="1" w:lastRow="0" w:firstColumn="1" w:lastColumn="0" w:noHBand="0" w:noVBand="1"/>
      </w:tblPr>
      <w:tblGrid>
        <w:gridCol w:w="2973"/>
        <w:gridCol w:w="1058"/>
        <w:gridCol w:w="711"/>
        <w:gridCol w:w="365"/>
        <w:gridCol w:w="749"/>
        <w:gridCol w:w="329"/>
        <w:gridCol w:w="784"/>
        <w:gridCol w:w="193"/>
        <w:gridCol w:w="921"/>
        <w:gridCol w:w="55"/>
        <w:gridCol w:w="979"/>
        <w:gridCol w:w="38"/>
        <w:gridCol w:w="804"/>
        <w:gridCol w:w="271"/>
        <w:gridCol w:w="571"/>
        <w:gridCol w:w="516"/>
        <w:gridCol w:w="329"/>
        <w:gridCol w:w="746"/>
        <w:gridCol w:w="230"/>
        <w:gridCol w:w="845"/>
        <w:gridCol w:w="131"/>
        <w:gridCol w:w="973"/>
      </w:tblGrid>
      <w:tr w:rsidR="00A47C19" w:rsidRPr="00E20D21" w14:paraId="5F7F9D7B" w14:textId="77777777" w:rsidTr="00414006">
        <w:trPr>
          <w:trHeight w:val="255"/>
        </w:trPr>
        <w:tc>
          <w:tcPr>
            <w:tcW w:w="5000" w:type="pct"/>
            <w:gridSpan w:val="22"/>
            <w:tcBorders>
              <w:top w:val="single" w:sz="4" w:space="0" w:color="F68F00"/>
              <w:left w:val="nil"/>
              <w:bottom w:val="single" w:sz="4" w:space="0" w:color="F68F00"/>
              <w:right w:val="nil"/>
            </w:tcBorders>
            <w:shd w:val="clear" w:color="auto" w:fill="auto"/>
            <w:vAlign w:val="center"/>
          </w:tcPr>
          <w:p w14:paraId="01100AEC" w14:textId="78B7D579" w:rsidR="003834D8" w:rsidRPr="00E20D21" w:rsidRDefault="003834D8" w:rsidP="00A01778">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INDIVIDUAL</w:t>
            </w:r>
            <w:r w:rsidR="00E20D21">
              <w:rPr>
                <w:rFonts w:ascii="CAIXA Std Book" w:hAnsi="CAIXA Std Book" w:cs="MS Gothic"/>
                <w:b/>
                <w:color w:val="005CA9"/>
                <w:sz w:val="16"/>
                <w:szCs w:val="16"/>
              </w:rPr>
              <w:t xml:space="preserve"> </w:t>
            </w:r>
            <w:r w:rsidRPr="00E20D21">
              <w:rPr>
                <w:rFonts w:ascii="CAIXA Std Book" w:hAnsi="CAIXA Std Book" w:cs="MS Gothic"/>
                <w:b/>
                <w:color w:val="005CA9"/>
                <w:sz w:val="16"/>
                <w:szCs w:val="16"/>
              </w:rPr>
              <w:t>/</w:t>
            </w:r>
            <w:r w:rsidR="00E20D21">
              <w:rPr>
                <w:rFonts w:ascii="CAIXA Std Book" w:hAnsi="CAIXA Std Book" w:cs="MS Gothic"/>
                <w:b/>
                <w:color w:val="005CA9"/>
                <w:sz w:val="16"/>
                <w:szCs w:val="16"/>
              </w:rPr>
              <w:t xml:space="preserve"> </w:t>
            </w:r>
            <w:r w:rsidRPr="00E20D21">
              <w:rPr>
                <w:rFonts w:ascii="CAIXA Std Book" w:hAnsi="CAIXA Std Book" w:cs="MS Gothic"/>
                <w:b/>
                <w:color w:val="005CA9"/>
                <w:sz w:val="16"/>
                <w:szCs w:val="16"/>
              </w:rPr>
              <w:t>CONSOLIDADO</w:t>
            </w:r>
          </w:p>
        </w:tc>
      </w:tr>
      <w:tr w:rsidR="00A47C19" w:rsidRPr="00E20D21" w14:paraId="07AB8A1A" w14:textId="77777777" w:rsidTr="007B15C0">
        <w:trPr>
          <w:trHeight w:val="255"/>
        </w:trPr>
        <w:tc>
          <w:tcPr>
            <w:tcW w:w="1627" w:type="pct"/>
            <w:gridSpan w:val="3"/>
            <w:vMerge w:val="restart"/>
            <w:tcBorders>
              <w:top w:val="single" w:sz="4" w:space="0" w:color="F68F00"/>
              <w:left w:val="nil"/>
              <w:bottom w:val="single" w:sz="4" w:space="0" w:color="F68F00"/>
              <w:right w:val="nil"/>
            </w:tcBorders>
            <w:shd w:val="clear" w:color="auto" w:fill="auto"/>
            <w:vAlign w:val="center"/>
            <w:hideMark/>
          </w:tcPr>
          <w:p w14:paraId="3DC955CC" w14:textId="77777777" w:rsidR="003834D8" w:rsidRPr="00E20D21" w:rsidRDefault="003834D8" w:rsidP="00A01778">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Descrição</w:t>
            </w:r>
          </w:p>
        </w:tc>
        <w:tc>
          <w:tcPr>
            <w:tcW w:w="1146" w:type="pct"/>
            <w:gridSpan w:val="6"/>
            <w:tcBorders>
              <w:top w:val="single" w:sz="4" w:space="0" w:color="F68F00"/>
              <w:left w:val="nil"/>
              <w:bottom w:val="single" w:sz="4" w:space="0" w:color="F68F00"/>
              <w:right w:val="nil"/>
            </w:tcBorders>
            <w:shd w:val="clear" w:color="auto" w:fill="auto"/>
            <w:vAlign w:val="center"/>
            <w:hideMark/>
          </w:tcPr>
          <w:p w14:paraId="6FED3771" w14:textId="77777777" w:rsidR="003834D8" w:rsidRPr="00E20D21" w:rsidRDefault="003834D8" w:rsidP="00A01778">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Saúde CAIXA</w:t>
            </w:r>
          </w:p>
        </w:tc>
        <w:tc>
          <w:tcPr>
            <w:tcW w:w="1110" w:type="pct"/>
            <w:gridSpan w:val="7"/>
            <w:tcBorders>
              <w:top w:val="single" w:sz="4" w:space="0" w:color="F68F00"/>
              <w:left w:val="nil"/>
              <w:bottom w:val="single" w:sz="4" w:space="0" w:color="F68F00"/>
              <w:right w:val="nil"/>
            </w:tcBorders>
            <w:shd w:val="clear" w:color="auto" w:fill="auto"/>
            <w:vAlign w:val="center"/>
            <w:hideMark/>
          </w:tcPr>
          <w:p w14:paraId="7A74DD10" w14:textId="77777777" w:rsidR="003834D8" w:rsidRPr="00E20D21" w:rsidRDefault="003834D8" w:rsidP="00A01778">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Auxílio/Cesta-alimentação</w:t>
            </w:r>
          </w:p>
        </w:tc>
        <w:tc>
          <w:tcPr>
            <w:tcW w:w="1117" w:type="pct"/>
            <w:gridSpan w:val="6"/>
            <w:tcBorders>
              <w:top w:val="single" w:sz="4" w:space="0" w:color="F68F00"/>
              <w:left w:val="nil"/>
              <w:bottom w:val="single" w:sz="4" w:space="0" w:color="F68F00"/>
              <w:right w:val="nil"/>
            </w:tcBorders>
            <w:shd w:val="clear" w:color="auto" w:fill="auto"/>
            <w:vAlign w:val="center"/>
            <w:hideMark/>
          </w:tcPr>
          <w:p w14:paraId="7051A81E" w14:textId="77777777" w:rsidR="003834D8" w:rsidRPr="00E20D21" w:rsidRDefault="003834D8" w:rsidP="00A01778">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Assistidos EX-PREVHAB</w:t>
            </w:r>
          </w:p>
        </w:tc>
      </w:tr>
      <w:tr w:rsidR="00C11FCD" w:rsidRPr="00E20D21" w14:paraId="6668B1D2" w14:textId="77777777" w:rsidTr="007B15C0">
        <w:trPr>
          <w:trHeight w:val="255"/>
        </w:trPr>
        <w:tc>
          <w:tcPr>
            <w:tcW w:w="1627" w:type="pct"/>
            <w:gridSpan w:val="3"/>
            <w:vMerge/>
            <w:tcBorders>
              <w:top w:val="single" w:sz="4" w:space="0" w:color="F68F00"/>
              <w:left w:val="nil"/>
              <w:bottom w:val="single" w:sz="4" w:space="0" w:color="F68F00"/>
              <w:right w:val="nil"/>
            </w:tcBorders>
            <w:vAlign w:val="center"/>
            <w:hideMark/>
          </w:tcPr>
          <w:p w14:paraId="5ADDBD05" w14:textId="77777777" w:rsidR="00FD7CB6" w:rsidRPr="00E20D21" w:rsidRDefault="00FD7CB6" w:rsidP="00FD7CB6">
            <w:pPr>
              <w:rPr>
                <w:rFonts w:ascii="CAIXA Std Book" w:hAnsi="CAIXA Std Book" w:cs="MS Gothic"/>
                <w:b/>
                <w:color w:val="005CA9"/>
                <w:sz w:val="16"/>
                <w:szCs w:val="16"/>
              </w:rPr>
            </w:pPr>
          </w:p>
        </w:tc>
        <w:tc>
          <w:tcPr>
            <w:tcW w:w="382" w:type="pct"/>
            <w:gridSpan w:val="2"/>
            <w:tcBorders>
              <w:top w:val="nil"/>
              <w:left w:val="nil"/>
              <w:bottom w:val="single" w:sz="4" w:space="0" w:color="F68F00"/>
              <w:right w:val="nil"/>
            </w:tcBorders>
            <w:shd w:val="clear" w:color="auto" w:fill="auto"/>
            <w:vAlign w:val="center"/>
          </w:tcPr>
          <w:p w14:paraId="07A93DCA" w14:textId="504C9BEF" w:rsidR="00FD7CB6" w:rsidRPr="00E20D21" w:rsidRDefault="00FD7CB6" w:rsidP="00FD7CB6">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1º semestre 2024</w:t>
            </w:r>
          </w:p>
        </w:tc>
        <w:tc>
          <w:tcPr>
            <w:tcW w:w="382" w:type="pct"/>
            <w:gridSpan w:val="2"/>
            <w:tcBorders>
              <w:top w:val="nil"/>
              <w:left w:val="nil"/>
              <w:bottom w:val="single" w:sz="4" w:space="0" w:color="F68F00"/>
              <w:right w:val="nil"/>
            </w:tcBorders>
            <w:shd w:val="clear" w:color="auto" w:fill="auto"/>
            <w:vAlign w:val="center"/>
          </w:tcPr>
          <w:p w14:paraId="02B4211D" w14:textId="77777777" w:rsidR="00FD7CB6" w:rsidRPr="00E20D21" w:rsidRDefault="00FD7CB6" w:rsidP="00FD7CB6">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Exercício 2023</w:t>
            </w:r>
          </w:p>
        </w:tc>
        <w:tc>
          <w:tcPr>
            <w:tcW w:w="382" w:type="pct"/>
            <w:gridSpan w:val="2"/>
            <w:tcBorders>
              <w:top w:val="nil"/>
              <w:left w:val="nil"/>
              <w:bottom w:val="single" w:sz="4" w:space="0" w:color="F68F00"/>
              <w:right w:val="nil"/>
            </w:tcBorders>
            <w:shd w:val="clear" w:color="auto" w:fill="auto"/>
            <w:vAlign w:val="center"/>
          </w:tcPr>
          <w:p w14:paraId="536707E3" w14:textId="3ABEBE3C" w:rsidR="00FD7CB6" w:rsidRPr="00E20D21" w:rsidRDefault="00FD7CB6" w:rsidP="00FD7CB6">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1º semestre 2023</w:t>
            </w:r>
          </w:p>
        </w:tc>
        <w:tc>
          <w:tcPr>
            <w:tcW w:w="368" w:type="pct"/>
            <w:gridSpan w:val="3"/>
            <w:tcBorders>
              <w:top w:val="nil"/>
              <w:left w:val="nil"/>
              <w:bottom w:val="single" w:sz="4" w:space="0" w:color="F68F00"/>
              <w:right w:val="nil"/>
            </w:tcBorders>
            <w:shd w:val="clear" w:color="auto" w:fill="auto"/>
            <w:vAlign w:val="center"/>
          </w:tcPr>
          <w:p w14:paraId="32A66BB4" w14:textId="3BBF2DE2" w:rsidR="00FD7CB6" w:rsidRPr="00E20D21" w:rsidRDefault="00FD7CB6" w:rsidP="00FD7CB6">
            <w:pPr>
              <w:jc w:val="center"/>
              <w:rPr>
                <w:rFonts w:ascii="CAIXA Std Book" w:hAnsi="CAIXA Std Book" w:cs="MS Gothic"/>
                <w:b/>
                <w:color w:val="005CA9"/>
                <w:sz w:val="16"/>
                <w:szCs w:val="16"/>
                <w:highlight w:val="yellow"/>
              </w:rPr>
            </w:pPr>
            <w:r w:rsidRPr="00E20D21">
              <w:rPr>
                <w:rFonts w:ascii="CAIXA Std Book" w:hAnsi="CAIXA Std Book" w:cs="MS Gothic"/>
                <w:b/>
                <w:color w:val="005CA9"/>
                <w:sz w:val="16"/>
                <w:szCs w:val="16"/>
              </w:rPr>
              <w:t>1º semestre 2024</w:t>
            </w:r>
          </w:p>
        </w:tc>
        <w:tc>
          <w:tcPr>
            <w:tcW w:w="369" w:type="pct"/>
            <w:gridSpan w:val="2"/>
            <w:tcBorders>
              <w:top w:val="nil"/>
              <w:left w:val="nil"/>
              <w:bottom w:val="single" w:sz="4" w:space="0" w:color="F68F00"/>
              <w:right w:val="nil"/>
            </w:tcBorders>
            <w:shd w:val="clear" w:color="auto" w:fill="auto"/>
            <w:vAlign w:val="center"/>
          </w:tcPr>
          <w:p w14:paraId="357EB9E0" w14:textId="076524BB" w:rsidR="00FD7CB6" w:rsidRPr="00E20D21" w:rsidRDefault="00FD7CB6" w:rsidP="00FD7CB6">
            <w:pPr>
              <w:jc w:val="center"/>
              <w:rPr>
                <w:rFonts w:ascii="CAIXA Std Book" w:hAnsi="CAIXA Std Book" w:cs="MS Gothic"/>
                <w:b/>
                <w:color w:val="005CA9"/>
                <w:sz w:val="16"/>
                <w:szCs w:val="16"/>
                <w:highlight w:val="yellow"/>
              </w:rPr>
            </w:pPr>
            <w:r w:rsidRPr="00E20D21">
              <w:rPr>
                <w:rFonts w:ascii="CAIXA Std Book" w:hAnsi="CAIXA Std Book" w:cs="MS Gothic"/>
                <w:b/>
                <w:color w:val="005CA9"/>
                <w:sz w:val="16"/>
                <w:szCs w:val="16"/>
              </w:rPr>
              <w:t>Exercício 2023</w:t>
            </w:r>
          </w:p>
        </w:tc>
        <w:tc>
          <w:tcPr>
            <w:tcW w:w="373" w:type="pct"/>
            <w:gridSpan w:val="2"/>
            <w:tcBorders>
              <w:top w:val="nil"/>
              <w:left w:val="nil"/>
              <w:bottom w:val="single" w:sz="4" w:space="0" w:color="F68F00"/>
              <w:right w:val="nil"/>
            </w:tcBorders>
            <w:shd w:val="clear" w:color="auto" w:fill="auto"/>
            <w:vAlign w:val="center"/>
          </w:tcPr>
          <w:p w14:paraId="59AD85EA" w14:textId="4E3ED2CE" w:rsidR="00FD7CB6" w:rsidRPr="00E20D21" w:rsidRDefault="00FD7CB6" w:rsidP="00FD7CB6">
            <w:pPr>
              <w:jc w:val="center"/>
              <w:rPr>
                <w:rFonts w:ascii="CAIXA Std Book" w:hAnsi="CAIXA Std Book" w:cs="MS Gothic"/>
                <w:b/>
                <w:color w:val="005CA9"/>
                <w:sz w:val="16"/>
                <w:szCs w:val="16"/>
                <w:highlight w:val="yellow"/>
              </w:rPr>
            </w:pPr>
            <w:r w:rsidRPr="00E20D21">
              <w:rPr>
                <w:rFonts w:ascii="CAIXA Std Book" w:hAnsi="CAIXA Std Book" w:cs="MS Gothic"/>
                <w:b/>
                <w:color w:val="005CA9"/>
                <w:sz w:val="16"/>
                <w:szCs w:val="16"/>
              </w:rPr>
              <w:t>1º semestre 2023</w:t>
            </w:r>
          </w:p>
        </w:tc>
        <w:tc>
          <w:tcPr>
            <w:tcW w:w="369" w:type="pct"/>
            <w:gridSpan w:val="2"/>
            <w:tcBorders>
              <w:top w:val="nil"/>
              <w:left w:val="nil"/>
              <w:bottom w:val="single" w:sz="4" w:space="0" w:color="F68F00"/>
              <w:right w:val="nil"/>
            </w:tcBorders>
            <w:shd w:val="clear" w:color="auto" w:fill="auto"/>
            <w:vAlign w:val="center"/>
          </w:tcPr>
          <w:p w14:paraId="70F73D0B" w14:textId="4EC885B1" w:rsidR="00FD7CB6" w:rsidRPr="00E20D21" w:rsidRDefault="00FD7CB6" w:rsidP="00FD7CB6">
            <w:pPr>
              <w:jc w:val="center"/>
              <w:rPr>
                <w:rFonts w:ascii="CAIXA Std Book" w:hAnsi="CAIXA Std Book" w:cs="MS Gothic"/>
                <w:b/>
                <w:color w:val="005CA9"/>
                <w:sz w:val="16"/>
                <w:szCs w:val="16"/>
                <w:highlight w:val="yellow"/>
              </w:rPr>
            </w:pPr>
            <w:r w:rsidRPr="00E20D21">
              <w:rPr>
                <w:rFonts w:ascii="CAIXA Std Book" w:hAnsi="CAIXA Std Book" w:cs="MS Gothic"/>
                <w:b/>
                <w:color w:val="005CA9"/>
                <w:sz w:val="16"/>
                <w:szCs w:val="16"/>
              </w:rPr>
              <w:t>1º semestre 2024</w:t>
            </w:r>
          </w:p>
        </w:tc>
        <w:tc>
          <w:tcPr>
            <w:tcW w:w="369" w:type="pct"/>
            <w:gridSpan w:val="2"/>
            <w:tcBorders>
              <w:top w:val="nil"/>
              <w:left w:val="nil"/>
              <w:bottom w:val="single" w:sz="4" w:space="0" w:color="F68F00"/>
              <w:right w:val="nil"/>
            </w:tcBorders>
            <w:shd w:val="clear" w:color="auto" w:fill="auto"/>
            <w:vAlign w:val="center"/>
          </w:tcPr>
          <w:p w14:paraId="57EDC36F" w14:textId="74DF1A1B" w:rsidR="00FD7CB6" w:rsidRPr="00E20D21" w:rsidRDefault="00FD7CB6" w:rsidP="00FD7CB6">
            <w:pPr>
              <w:jc w:val="center"/>
              <w:rPr>
                <w:rFonts w:ascii="CAIXA Std Book" w:hAnsi="CAIXA Std Book" w:cs="MS Gothic"/>
                <w:b/>
                <w:color w:val="005CA9"/>
                <w:sz w:val="16"/>
                <w:szCs w:val="16"/>
                <w:highlight w:val="yellow"/>
              </w:rPr>
            </w:pPr>
            <w:r w:rsidRPr="00E20D21">
              <w:rPr>
                <w:rFonts w:ascii="CAIXA Std Book" w:hAnsi="CAIXA Std Book" w:cs="MS Gothic"/>
                <w:b/>
                <w:color w:val="005CA9"/>
                <w:sz w:val="16"/>
                <w:szCs w:val="16"/>
              </w:rPr>
              <w:t>Exercício 2023</w:t>
            </w:r>
          </w:p>
        </w:tc>
        <w:tc>
          <w:tcPr>
            <w:tcW w:w="379" w:type="pct"/>
            <w:gridSpan w:val="2"/>
            <w:tcBorders>
              <w:top w:val="nil"/>
              <w:left w:val="nil"/>
              <w:bottom w:val="single" w:sz="4" w:space="0" w:color="F68F00"/>
              <w:right w:val="nil"/>
            </w:tcBorders>
            <w:shd w:val="clear" w:color="auto" w:fill="auto"/>
            <w:vAlign w:val="center"/>
          </w:tcPr>
          <w:p w14:paraId="576F5DA7" w14:textId="2DF966EF" w:rsidR="00FD7CB6" w:rsidRPr="00E20D21" w:rsidRDefault="00FD7CB6" w:rsidP="00FD7CB6">
            <w:pPr>
              <w:jc w:val="center"/>
              <w:rPr>
                <w:rFonts w:ascii="CAIXA Std Book" w:hAnsi="CAIXA Std Book" w:cs="MS Gothic"/>
                <w:b/>
                <w:color w:val="005CA9"/>
                <w:sz w:val="16"/>
                <w:szCs w:val="16"/>
                <w:highlight w:val="yellow"/>
              </w:rPr>
            </w:pPr>
            <w:r w:rsidRPr="00E20D21">
              <w:rPr>
                <w:rFonts w:ascii="CAIXA Std Book" w:hAnsi="CAIXA Std Book" w:cs="MS Gothic"/>
                <w:b/>
                <w:color w:val="005CA9"/>
                <w:sz w:val="16"/>
                <w:szCs w:val="16"/>
              </w:rPr>
              <w:t>1º semestre 2023</w:t>
            </w:r>
          </w:p>
        </w:tc>
      </w:tr>
      <w:tr w:rsidR="00C11FCD" w:rsidRPr="00E20D21" w14:paraId="730DDB5B" w14:textId="77777777" w:rsidTr="007B15C0">
        <w:trPr>
          <w:trHeight w:val="255"/>
        </w:trPr>
        <w:tc>
          <w:tcPr>
            <w:tcW w:w="1627" w:type="pct"/>
            <w:gridSpan w:val="3"/>
            <w:tcBorders>
              <w:top w:val="nil"/>
              <w:left w:val="nil"/>
              <w:bottom w:val="nil"/>
              <w:right w:val="nil"/>
            </w:tcBorders>
            <w:shd w:val="clear" w:color="auto" w:fill="auto"/>
            <w:vAlign w:val="center"/>
            <w:hideMark/>
          </w:tcPr>
          <w:p w14:paraId="597AC38B" w14:textId="77777777" w:rsidR="00E5276F" w:rsidRPr="00E20D21" w:rsidRDefault="00E5276F" w:rsidP="00E5276F">
            <w:pPr>
              <w:rPr>
                <w:rFonts w:ascii="CAIXA Std Book" w:hAnsi="CAIXA Std Book" w:cs="MS Gothic"/>
                <w:b/>
                <w:color w:val="005CA9"/>
                <w:sz w:val="16"/>
                <w:szCs w:val="16"/>
              </w:rPr>
            </w:pPr>
            <w:r w:rsidRPr="00E20D21">
              <w:rPr>
                <w:rFonts w:ascii="CAIXA Std Book" w:hAnsi="CAIXA Std Book" w:cs="MS Gothic"/>
                <w:b/>
                <w:color w:val="005CA9"/>
                <w:sz w:val="16"/>
                <w:szCs w:val="16"/>
              </w:rPr>
              <w:t>VPO no início do período</w:t>
            </w:r>
          </w:p>
        </w:tc>
        <w:tc>
          <w:tcPr>
            <w:tcW w:w="382" w:type="pct"/>
            <w:gridSpan w:val="2"/>
            <w:tcBorders>
              <w:top w:val="nil"/>
              <w:left w:val="nil"/>
              <w:bottom w:val="nil"/>
              <w:right w:val="nil"/>
            </w:tcBorders>
            <w:shd w:val="clear" w:color="auto" w:fill="auto"/>
            <w:vAlign w:val="center"/>
          </w:tcPr>
          <w:p w14:paraId="55AC87CF" w14:textId="281798A0" w:rsidR="00E5276F" w:rsidRPr="00E20D21" w:rsidRDefault="00871531"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(12.088.211)</w:t>
            </w:r>
          </w:p>
        </w:tc>
        <w:tc>
          <w:tcPr>
            <w:tcW w:w="382" w:type="pct"/>
            <w:gridSpan w:val="2"/>
            <w:tcBorders>
              <w:top w:val="nil"/>
              <w:left w:val="nil"/>
              <w:bottom w:val="nil"/>
              <w:right w:val="nil"/>
            </w:tcBorders>
            <w:shd w:val="clear" w:color="auto" w:fill="auto"/>
            <w:vAlign w:val="center"/>
          </w:tcPr>
          <w:p w14:paraId="56E2E1A5"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(10.513.464)</w:t>
            </w:r>
          </w:p>
        </w:tc>
        <w:tc>
          <w:tcPr>
            <w:tcW w:w="382" w:type="pct"/>
            <w:gridSpan w:val="2"/>
            <w:tcBorders>
              <w:top w:val="nil"/>
              <w:left w:val="nil"/>
              <w:bottom w:val="nil"/>
              <w:right w:val="nil"/>
            </w:tcBorders>
            <w:shd w:val="clear" w:color="auto" w:fill="auto"/>
            <w:vAlign w:val="center"/>
          </w:tcPr>
          <w:p w14:paraId="58F761CA" w14:textId="7A415206"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(10.513.464)</w:t>
            </w:r>
          </w:p>
        </w:tc>
        <w:tc>
          <w:tcPr>
            <w:tcW w:w="368" w:type="pct"/>
            <w:gridSpan w:val="3"/>
            <w:tcBorders>
              <w:top w:val="nil"/>
              <w:left w:val="nil"/>
              <w:bottom w:val="nil"/>
              <w:right w:val="nil"/>
            </w:tcBorders>
            <w:shd w:val="clear" w:color="auto" w:fill="auto"/>
            <w:vAlign w:val="center"/>
          </w:tcPr>
          <w:p w14:paraId="256F5CF9" w14:textId="3BF6DFE0"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(1.934.048)</w:t>
            </w:r>
          </w:p>
        </w:tc>
        <w:tc>
          <w:tcPr>
            <w:tcW w:w="369" w:type="pct"/>
            <w:gridSpan w:val="2"/>
            <w:tcBorders>
              <w:top w:val="nil"/>
              <w:left w:val="nil"/>
              <w:bottom w:val="nil"/>
              <w:right w:val="nil"/>
            </w:tcBorders>
            <w:shd w:val="clear" w:color="auto" w:fill="auto"/>
            <w:vAlign w:val="center"/>
          </w:tcPr>
          <w:p w14:paraId="3C4E8716"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(1.842.961)</w:t>
            </w:r>
          </w:p>
        </w:tc>
        <w:tc>
          <w:tcPr>
            <w:tcW w:w="373" w:type="pct"/>
            <w:gridSpan w:val="2"/>
            <w:tcBorders>
              <w:top w:val="nil"/>
              <w:left w:val="nil"/>
              <w:bottom w:val="nil"/>
              <w:right w:val="nil"/>
            </w:tcBorders>
            <w:shd w:val="clear" w:color="auto" w:fill="auto"/>
            <w:vAlign w:val="center"/>
          </w:tcPr>
          <w:p w14:paraId="2BA12D89" w14:textId="4AFEFB94"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(1.842.961)</w:t>
            </w:r>
          </w:p>
        </w:tc>
        <w:tc>
          <w:tcPr>
            <w:tcW w:w="369" w:type="pct"/>
            <w:gridSpan w:val="2"/>
            <w:tcBorders>
              <w:top w:val="nil"/>
              <w:left w:val="nil"/>
              <w:bottom w:val="nil"/>
              <w:right w:val="nil"/>
            </w:tcBorders>
            <w:shd w:val="clear" w:color="auto" w:fill="auto"/>
            <w:vAlign w:val="center"/>
          </w:tcPr>
          <w:p w14:paraId="615CB2BD" w14:textId="11EA2160"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(77.059)</w:t>
            </w:r>
          </w:p>
        </w:tc>
        <w:tc>
          <w:tcPr>
            <w:tcW w:w="369" w:type="pct"/>
            <w:gridSpan w:val="2"/>
            <w:tcBorders>
              <w:top w:val="nil"/>
              <w:left w:val="nil"/>
              <w:bottom w:val="nil"/>
              <w:right w:val="nil"/>
            </w:tcBorders>
            <w:shd w:val="clear" w:color="auto" w:fill="auto"/>
            <w:vAlign w:val="center"/>
          </w:tcPr>
          <w:p w14:paraId="3C41F1EC"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(72.862)</w:t>
            </w:r>
          </w:p>
        </w:tc>
        <w:tc>
          <w:tcPr>
            <w:tcW w:w="379" w:type="pct"/>
            <w:gridSpan w:val="2"/>
            <w:tcBorders>
              <w:top w:val="nil"/>
              <w:left w:val="nil"/>
              <w:bottom w:val="nil"/>
              <w:right w:val="nil"/>
            </w:tcBorders>
            <w:shd w:val="clear" w:color="auto" w:fill="auto"/>
            <w:vAlign w:val="center"/>
          </w:tcPr>
          <w:p w14:paraId="48EACED7" w14:textId="73571082"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(72.862)</w:t>
            </w:r>
          </w:p>
        </w:tc>
      </w:tr>
      <w:tr w:rsidR="00C11FCD" w:rsidRPr="00E20D21" w14:paraId="6B2650C6" w14:textId="77777777" w:rsidTr="007B15C0">
        <w:trPr>
          <w:trHeight w:val="255"/>
        </w:trPr>
        <w:tc>
          <w:tcPr>
            <w:tcW w:w="1627" w:type="pct"/>
            <w:gridSpan w:val="3"/>
            <w:tcBorders>
              <w:top w:val="nil"/>
              <w:left w:val="nil"/>
              <w:bottom w:val="nil"/>
              <w:right w:val="nil"/>
            </w:tcBorders>
            <w:shd w:val="clear" w:color="auto" w:fill="auto"/>
            <w:vAlign w:val="center"/>
            <w:hideMark/>
          </w:tcPr>
          <w:p w14:paraId="75A5164F" w14:textId="77777777" w:rsidR="00E5276F" w:rsidRPr="00E20D21" w:rsidRDefault="00E5276F" w:rsidP="00E5276F">
            <w:pPr>
              <w:rPr>
                <w:rFonts w:ascii="CAIXA Std Book" w:hAnsi="CAIXA Std Book" w:cs="MS Gothic"/>
                <w:b/>
                <w:color w:val="005CA9"/>
                <w:sz w:val="16"/>
                <w:szCs w:val="16"/>
              </w:rPr>
            </w:pPr>
            <w:r w:rsidRPr="00E20D21">
              <w:rPr>
                <w:rFonts w:ascii="CAIXA Std Book" w:hAnsi="CAIXA Std Book" w:cs="MS Gothic"/>
                <w:b/>
                <w:color w:val="005CA9"/>
                <w:sz w:val="16"/>
                <w:szCs w:val="16"/>
              </w:rPr>
              <w:t>Custo do serviço corrente</w:t>
            </w:r>
          </w:p>
        </w:tc>
        <w:tc>
          <w:tcPr>
            <w:tcW w:w="382" w:type="pct"/>
            <w:gridSpan w:val="2"/>
            <w:tcBorders>
              <w:top w:val="nil"/>
              <w:left w:val="nil"/>
              <w:bottom w:val="nil"/>
              <w:right w:val="nil"/>
            </w:tcBorders>
            <w:shd w:val="clear" w:color="auto" w:fill="auto"/>
            <w:vAlign w:val="center"/>
          </w:tcPr>
          <w:p w14:paraId="5955D666" w14:textId="2C4709CB" w:rsidR="00E5276F" w:rsidRPr="00E20D21" w:rsidRDefault="00871531"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(123.240)</w:t>
            </w:r>
          </w:p>
        </w:tc>
        <w:tc>
          <w:tcPr>
            <w:tcW w:w="382" w:type="pct"/>
            <w:gridSpan w:val="2"/>
            <w:tcBorders>
              <w:top w:val="nil"/>
              <w:left w:val="nil"/>
              <w:bottom w:val="nil"/>
              <w:right w:val="nil"/>
            </w:tcBorders>
            <w:shd w:val="clear" w:color="auto" w:fill="auto"/>
            <w:vAlign w:val="center"/>
          </w:tcPr>
          <w:p w14:paraId="4D0EF114"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(223.271)</w:t>
            </w:r>
          </w:p>
        </w:tc>
        <w:tc>
          <w:tcPr>
            <w:tcW w:w="382" w:type="pct"/>
            <w:gridSpan w:val="2"/>
            <w:tcBorders>
              <w:top w:val="nil"/>
              <w:left w:val="nil"/>
              <w:bottom w:val="nil"/>
              <w:right w:val="nil"/>
            </w:tcBorders>
            <w:shd w:val="clear" w:color="auto" w:fill="auto"/>
            <w:vAlign w:val="center"/>
          </w:tcPr>
          <w:p w14:paraId="514366EE" w14:textId="36F4A465"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(103.060)</w:t>
            </w:r>
          </w:p>
        </w:tc>
        <w:tc>
          <w:tcPr>
            <w:tcW w:w="368" w:type="pct"/>
            <w:gridSpan w:val="3"/>
            <w:tcBorders>
              <w:top w:val="nil"/>
              <w:left w:val="nil"/>
              <w:bottom w:val="nil"/>
              <w:right w:val="nil"/>
            </w:tcBorders>
            <w:shd w:val="clear" w:color="auto" w:fill="auto"/>
            <w:vAlign w:val="center"/>
          </w:tcPr>
          <w:p w14:paraId="21D08A0F" w14:textId="150A3FA6" w:rsidR="00E5276F" w:rsidRPr="00E20D21" w:rsidRDefault="0062118A"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69" w:type="pct"/>
            <w:gridSpan w:val="2"/>
            <w:tcBorders>
              <w:top w:val="nil"/>
              <w:left w:val="nil"/>
              <w:bottom w:val="nil"/>
              <w:right w:val="nil"/>
            </w:tcBorders>
            <w:shd w:val="clear" w:color="auto" w:fill="auto"/>
            <w:vAlign w:val="center"/>
          </w:tcPr>
          <w:p w14:paraId="584D33DF" w14:textId="77777777"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73" w:type="pct"/>
            <w:gridSpan w:val="2"/>
            <w:tcBorders>
              <w:top w:val="nil"/>
              <w:left w:val="nil"/>
              <w:bottom w:val="nil"/>
              <w:right w:val="nil"/>
            </w:tcBorders>
            <w:shd w:val="clear" w:color="auto" w:fill="auto"/>
            <w:vAlign w:val="center"/>
          </w:tcPr>
          <w:p w14:paraId="24CBC45C" w14:textId="33064A3D"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69" w:type="pct"/>
            <w:gridSpan w:val="2"/>
            <w:tcBorders>
              <w:top w:val="nil"/>
              <w:left w:val="nil"/>
              <w:bottom w:val="nil"/>
              <w:right w:val="nil"/>
            </w:tcBorders>
            <w:shd w:val="clear" w:color="auto" w:fill="auto"/>
            <w:vAlign w:val="center"/>
          </w:tcPr>
          <w:p w14:paraId="3838C8CD" w14:textId="02CAFC5B" w:rsidR="00E5276F" w:rsidRPr="00E20D21" w:rsidRDefault="0062118A"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69" w:type="pct"/>
            <w:gridSpan w:val="2"/>
            <w:tcBorders>
              <w:top w:val="nil"/>
              <w:left w:val="nil"/>
              <w:bottom w:val="nil"/>
              <w:right w:val="nil"/>
            </w:tcBorders>
            <w:shd w:val="clear" w:color="auto" w:fill="auto"/>
            <w:vAlign w:val="center"/>
          </w:tcPr>
          <w:p w14:paraId="757C2FF8" w14:textId="77777777"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79" w:type="pct"/>
            <w:gridSpan w:val="2"/>
            <w:tcBorders>
              <w:top w:val="nil"/>
              <w:left w:val="nil"/>
              <w:bottom w:val="nil"/>
              <w:right w:val="nil"/>
            </w:tcBorders>
            <w:shd w:val="clear" w:color="auto" w:fill="auto"/>
            <w:vAlign w:val="center"/>
          </w:tcPr>
          <w:p w14:paraId="38493295" w14:textId="6E214B47"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r>
      <w:tr w:rsidR="00C11FCD" w:rsidRPr="00E20D21" w14:paraId="5E1E8CB0" w14:textId="77777777" w:rsidTr="007B15C0">
        <w:trPr>
          <w:trHeight w:val="255"/>
        </w:trPr>
        <w:tc>
          <w:tcPr>
            <w:tcW w:w="1627" w:type="pct"/>
            <w:gridSpan w:val="3"/>
            <w:tcBorders>
              <w:top w:val="nil"/>
              <w:left w:val="nil"/>
              <w:bottom w:val="nil"/>
              <w:right w:val="nil"/>
            </w:tcBorders>
            <w:shd w:val="clear" w:color="auto" w:fill="auto"/>
            <w:vAlign w:val="center"/>
            <w:hideMark/>
          </w:tcPr>
          <w:p w14:paraId="37F5A32F" w14:textId="77777777" w:rsidR="00E5276F" w:rsidRPr="00E20D21" w:rsidRDefault="00E5276F" w:rsidP="00E5276F">
            <w:pPr>
              <w:rPr>
                <w:rFonts w:ascii="CAIXA Std Book" w:hAnsi="CAIXA Std Book" w:cs="MS Gothic"/>
                <w:b/>
                <w:color w:val="005CA9"/>
                <w:sz w:val="16"/>
                <w:szCs w:val="16"/>
              </w:rPr>
            </w:pPr>
            <w:r w:rsidRPr="00E20D21">
              <w:rPr>
                <w:rFonts w:ascii="CAIXA Std Book" w:hAnsi="CAIXA Std Book" w:cs="MS Gothic"/>
                <w:b/>
                <w:color w:val="005CA9"/>
                <w:sz w:val="16"/>
                <w:szCs w:val="16"/>
              </w:rPr>
              <w:t>Custo de juros sobre VPO</w:t>
            </w:r>
          </w:p>
        </w:tc>
        <w:tc>
          <w:tcPr>
            <w:tcW w:w="382" w:type="pct"/>
            <w:gridSpan w:val="2"/>
            <w:tcBorders>
              <w:top w:val="nil"/>
              <w:left w:val="nil"/>
              <w:bottom w:val="nil"/>
              <w:right w:val="nil"/>
            </w:tcBorders>
            <w:shd w:val="clear" w:color="auto" w:fill="auto"/>
            <w:vAlign w:val="center"/>
          </w:tcPr>
          <w:p w14:paraId="6582013D" w14:textId="3C4F7827" w:rsidR="00E5276F" w:rsidRPr="00E20D21" w:rsidRDefault="00871531"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(493.652)</w:t>
            </w:r>
          </w:p>
        </w:tc>
        <w:tc>
          <w:tcPr>
            <w:tcW w:w="382" w:type="pct"/>
            <w:gridSpan w:val="2"/>
            <w:tcBorders>
              <w:top w:val="nil"/>
              <w:left w:val="nil"/>
              <w:bottom w:val="nil"/>
              <w:right w:val="nil"/>
            </w:tcBorders>
            <w:shd w:val="clear" w:color="auto" w:fill="auto"/>
            <w:vAlign w:val="center"/>
          </w:tcPr>
          <w:p w14:paraId="47765FB8"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(964.689)</w:t>
            </w:r>
          </w:p>
        </w:tc>
        <w:tc>
          <w:tcPr>
            <w:tcW w:w="382" w:type="pct"/>
            <w:gridSpan w:val="2"/>
            <w:tcBorders>
              <w:top w:val="nil"/>
              <w:left w:val="nil"/>
              <w:bottom w:val="nil"/>
              <w:right w:val="nil"/>
            </w:tcBorders>
            <w:shd w:val="clear" w:color="auto" w:fill="auto"/>
            <w:vAlign w:val="center"/>
          </w:tcPr>
          <w:p w14:paraId="2342F887" w14:textId="6253860A"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(470.001)</w:t>
            </w:r>
          </w:p>
        </w:tc>
        <w:tc>
          <w:tcPr>
            <w:tcW w:w="368" w:type="pct"/>
            <w:gridSpan w:val="3"/>
            <w:tcBorders>
              <w:top w:val="nil"/>
              <w:left w:val="nil"/>
              <w:bottom w:val="nil"/>
              <w:right w:val="nil"/>
            </w:tcBorders>
            <w:shd w:val="clear" w:color="auto" w:fill="auto"/>
            <w:vAlign w:val="center"/>
          </w:tcPr>
          <w:p w14:paraId="5B450EFC" w14:textId="45388D09"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(77.598)</w:t>
            </w:r>
          </w:p>
        </w:tc>
        <w:tc>
          <w:tcPr>
            <w:tcW w:w="369" w:type="pct"/>
            <w:gridSpan w:val="2"/>
            <w:tcBorders>
              <w:top w:val="nil"/>
              <w:left w:val="nil"/>
              <w:bottom w:val="nil"/>
              <w:right w:val="nil"/>
            </w:tcBorders>
            <w:shd w:val="clear" w:color="auto" w:fill="auto"/>
            <w:vAlign w:val="center"/>
          </w:tcPr>
          <w:p w14:paraId="035CBF61"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(161.433)</w:t>
            </w:r>
          </w:p>
        </w:tc>
        <w:tc>
          <w:tcPr>
            <w:tcW w:w="373" w:type="pct"/>
            <w:gridSpan w:val="2"/>
            <w:tcBorders>
              <w:top w:val="nil"/>
              <w:left w:val="nil"/>
              <w:bottom w:val="nil"/>
              <w:right w:val="nil"/>
            </w:tcBorders>
            <w:shd w:val="clear" w:color="auto" w:fill="auto"/>
            <w:vAlign w:val="center"/>
          </w:tcPr>
          <w:p w14:paraId="182699F3" w14:textId="135AC81A"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(81.117)</w:t>
            </w:r>
          </w:p>
        </w:tc>
        <w:tc>
          <w:tcPr>
            <w:tcW w:w="369" w:type="pct"/>
            <w:gridSpan w:val="2"/>
            <w:tcBorders>
              <w:top w:val="nil"/>
              <w:left w:val="nil"/>
              <w:bottom w:val="nil"/>
              <w:right w:val="nil"/>
            </w:tcBorders>
            <w:shd w:val="clear" w:color="auto" w:fill="auto"/>
            <w:vAlign w:val="center"/>
          </w:tcPr>
          <w:p w14:paraId="1BECAB1D" w14:textId="403FDA71"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(3.067)</w:t>
            </w:r>
          </w:p>
        </w:tc>
        <w:tc>
          <w:tcPr>
            <w:tcW w:w="369" w:type="pct"/>
            <w:gridSpan w:val="2"/>
            <w:tcBorders>
              <w:top w:val="nil"/>
              <w:left w:val="nil"/>
              <w:bottom w:val="nil"/>
              <w:right w:val="nil"/>
            </w:tcBorders>
            <w:shd w:val="clear" w:color="auto" w:fill="auto"/>
            <w:vAlign w:val="center"/>
          </w:tcPr>
          <w:p w14:paraId="616D34FA"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(5.932)</w:t>
            </w:r>
          </w:p>
        </w:tc>
        <w:tc>
          <w:tcPr>
            <w:tcW w:w="379" w:type="pct"/>
            <w:gridSpan w:val="2"/>
            <w:tcBorders>
              <w:top w:val="nil"/>
              <w:left w:val="nil"/>
              <w:bottom w:val="nil"/>
              <w:right w:val="nil"/>
            </w:tcBorders>
            <w:shd w:val="clear" w:color="auto" w:fill="auto"/>
            <w:vAlign w:val="center"/>
          </w:tcPr>
          <w:p w14:paraId="35963290" w14:textId="0E51CCF8"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(3.183)</w:t>
            </w:r>
          </w:p>
        </w:tc>
      </w:tr>
      <w:tr w:rsidR="00C11FCD" w:rsidRPr="00E20D21" w14:paraId="26F12019" w14:textId="77777777" w:rsidTr="007B15C0">
        <w:trPr>
          <w:trHeight w:val="255"/>
        </w:trPr>
        <w:tc>
          <w:tcPr>
            <w:tcW w:w="1627" w:type="pct"/>
            <w:gridSpan w:val="3"/>
            <w:tcBorders>
              <w:top w:val="nil"/>
              <w:left w:val="nil"/>
              <w:bottom w:val="nil"/>
              <w:right w:val="nil"/>
            </w:tcBorders>
            <w:shd w:val="clear" w:color="auto" w:fill="auto"/>
            <w:vAlign w:val="center"/>
            <w:hideMark/>
          </w:tcPr>
          <w:p w14:paraId="550815A0" w14:textId="77777777" w:rsidR="00E5276F" w:rsidRPr="00E20D21" w:rsidRDefault="00E5276F" w:rsidP="00E5276F">
            <w:pPr>
              <w:rPr>
                <w:rFonts w:ascii="CAIXA Std Book" w:hAnsi="CAIXA Std Book" w:cs="MS Gothic"/>
                <w:b/>
                <w:color w:val="005CA9"/>
                <w:sz w:val="16"/>
                <w:szCs w:val="16"/>
              </w:rPr>
            </w:pPr>
            <w:proofErr w:type="spellStart"/>
            <w:r w:rsidRPr="00E20D21">
              <w:rPr>
                <w:rFonts w:ascii="CAIXA Std Book" w:hAnsi="CAIXA Std Book" w:cs="MS Gothic"/>
                <w:b/>
                <w:color w:val="005CA9"/>
                <w:sz w:val="16"/>
                <w:szCs w:val="16"/>
              </w:rPr>
              <w:t>Remensurações</w:t>
            </w:r>
            <w:proofErr w:type="spellEnd"/>
            <w:r w:rsidRPr="00E20D21">
              <w:rPr>
                <w:rFonts w:ascii="CAIXA Std Book" w:hAnsi="CAIXA Std Book" w:cs="MS Gothic"/>
                <w:b/>
                <w:color w:val="005CA9"/>
                <w:sz w:val="16"/>
                <w:szCs w:val="16"/>
              </w:rPr>
              <w:t xml:space="preserve"> de ganhos/ (perdas) atuariais:</w:t>
            </w:r>
          </w:p>
        </w:tc>
        <w:tc>
          <w:tcPr>
            <w:tcW w:w="382" w:type="pct"/>
            <w:gridSpan w:val="2"/>
            <w:tcBorders>
              <w:top w:val="nil"/>
              <w:left w:val="nil"/>
              <w:bottom w:val="nil"/>
              <w:right w:val="nil"/>
            </w:tcBorders>
            <w:shd w:val="clear" w:color="auto" w:fill="auto"/>
            <w:vAlign w:val="center"/>
          </w:tcPr>
          <w:p w14:paraId="3232853A" w14:textId="45D9598B" w:rsidR="00E5276F" w:rsidRPr="00E20D21" w:rsidRDefault="00871531"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389.167</w:t>
            </w:r>
          </w:p>
        </w:tc>
        <w:tc>
          <w:tcPr>
            <w:tcW w:w="382" w:type="pct"/>
            <w:gridSpan w:val="2"/>
            <w:tcBorders>
              <w:top w:val="nil"/>
              <w:left w:val="nil"/>
              <w:bottom w:val="nil"/>
              <w:right w:val="nil"/>
            </w:tcBorders>
            <w:shd w:val="clear" w:color="auto" w:fill="auto"/>
            <w:vAlign w:val="center"/>
          </w:tcPr>
          <w:p w14:paraId="572DBD56"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(1.182.805)</w:t>
            </w:r>
          </w:p>
        </w:tc>
        <w:tc>
          <w:tcPr>
            <w:tcW w:w="382" w:type="pct"/>
            <w:gridSpan w:val="2"/>
            <w:tcBorders>
              <w:top w:val="nil"/>
              <w:left w:val="nil"/>
              <w:bottom w:val="nil"/>
              <w:right w:val="nil"/>
            </w:tcBorders>
            <w:shd w:val="clear" w:color="auto" w:fill="auto"/>
            <w:vAlign w:val="center"/>
          </w:tcPr>
          <w:p w14:paraId="10C58016" w14:textId="394A152F"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(1.556.175)</w:t>
            </w:r>
          </w:p>
        </w:tc>
        <w:tc>
          <w:tcPr>
            <w:tcW w:w="368" w:type="pct"/>
            <w:gridSpan w:val="3"/>
            <w:tcBorders>
              <w:top w:val="nil"/>
              <w:left w:val="nil"/>
              <w:bottom w:val="nil"/>
              <w:right w:val="nil"/>
            </w:tcBorders>
            <w:shd w:val="clear" w:color="auto" w:fill="auto"/>
            <w:vAlign w:val="center"/>
          </w:tcPr>
          <w:p w14:paraId="03CF786E" w14:textId="55C4516E"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34.439</w:t>
            </w:r>
          </w:p>
        </w:tc>
        <w:tc>
          <w:tcPr>
            <w:tcW w:w="369" w:type="pct"/>
            <w:gridSpan w:val="2"/>
            <w:tcBorders>
              <w:top w:val="nil"/>
              <w:left w:val="nil"/>
              <w:bottom w:val="nil"/>
              <w:right w:val="nil"/>
            </w:tcBorders>
            <w:shd w:val="clear" w:color="auto" w:fill="auto"/>
            <w:vAlign w:val="center"/>
          </w:tcPr>
          <w:p w14:paraId="494BBC6C"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(133.298)</w:t>
            </w:r>
          </w:p>
        </w:tc>
        <w:tc>
          <w:tcPr>
            <w:tcW w:w="373" w:type="pct"/>
            <w:gridSpan w:val="2"/>
            <w:tcBorders>
              <w:top w:val="nil"/>
              <w:left w:val="nil"/>
              <w:bottom w:val="nil"/>
              <w:right w:val="nil"/>
            </w:tcBorders>
            <w:shd w:val="clear" w:color="auto" w:fill="auto"/>
            <w:vAlign w:val="center"/>
          </w:tcPr>
          <w:p w14:paraId="7988585E" w14:textId="1CBB3AEE"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(211.472)</w:t>
            </w:r>
          </w:p>
        </w:tc>
        <w:tc>
          <w:tcPr>
            <w:tcW w:w="369" w:type="pct"/>
            <w:gridSpan w:val="2"/>
            <w:tcBorders>
              <w:top w:val="nil"/>
              <w:left w:val="nil"/>
              <w:bottom w:val="nil"/>
              <w:right w:val="nil"/>
            </w:tcBorders>
            <w:shd w:val="clear" w:color="auto" w:fill="auto"/>
            <w:vAlign w:val="center"/>
          </w:tcPr>
          <w:p w14:paraId="7EB305E1" w14:textId="1DBEFA41"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12.750</w:t>
            </w:r>
          </w:p>
        </w:tc>
        <w:tc>
          <w:tcPr>
            <w:tcW w:w="369" w:type="pct"/>
            <w:gridSpan w:val="2"/>
            <w:tcBorders>
              <w:top w:val="nil"/>
              <w:left w:val="nil"/>
              <w:bottom w:val="nil"/>
              <w:right w:val="nil"/>
            </w:tcBorders>
            <w:shd w:val="clear" w:color="auto" w:fill="auto"/>
            <w:vAlign w:val="center"/>
          </w:tcPr>
          <w:p w14:paraId="34F59322"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(5.510)</w:t>
            </w:r>
          </w:p>
        </w:tc>
        <w:tc>
          <w:tcPr>
            <w:tcW w:w="379" w:type="pct"/>
            <w:gridSpan w:val="2"/>
            <w:tcBorders>
              <w:top w:val="nil"/>
              <w:left w:val="nil"/>
              <w:bottom w:val="nil"/>
              <w:right w:val="nil"/>
            </w:tcBorders>
            <w:shd w:val="clear" w:color="auto" w:fill="auto"/>
            <w:vAlign w:val="center"/>
          </w:tcPr>
          <w:p w14:paraId="4C1A45B5" w14:textId="7331086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2.186</w:t>
            </w:r>
          </w:p>
        </w:tc>
      </w:tr>
      <w:tr w:rsidR="00C11FCD" w:rsidRPr="00E20D21" w14:paraId="76FCDDE2" w14:textId="77777777" w:rsidTr="007B15C0">
        <w:trPr>
          <w:trHeight w:val="255"/>
        </w:trPr>
        <w:tc>
          <w:tcPr>
            <w:tcW w:w="1627" w:type="pct"/>
            <w:gridSpan w:val="3"/>
            <w:tcBorders>
              <w:top w:val="nil"/>
              <w:left w:val="nil"/>
              <w:bottom w:val="nil"/>
              <w:right w:val="nil"/>
            </w:tcBorders>
            <w:shd w:val="clear" w:color="auto" w:fill="auto"/>
            <w:noWrap/>
            <w:vAlign w:val="center"/>
            <w:hideMark/>
          </w:tcPr>
          <w:p w14:paraId="0B6935C7" w14:textId="77777777" w:rsidR="00E5276F" w:rsidRPr="00E20D21" w:rsidRDefault="00E5276F" w:rsidP="00E5276F">
            <w:pPr>
              <w:ind w:firstLineChars="100" w:firstLine="160"/>
              <w:rPr>
                <w:rFonts w:ascii="CAIXA Std Book" w:hAnsi="CAIXA Std Book" w:cs="MS Gothic"/>
                <w:color w:val="005CA9"/>
                <w:sz w:val="16"/>
                <w:szCs w:val="16"/>
              </w:rPr>
            </w:pPr>
            <w:r w:rsidRPr="00E20D21">
              <w:rPr>
                <w:rFonts w:ascii="CAIXA Std Book" w:hAnsi="CAIXA Std Book" w:cs="MS Gothic"/>
                <w:color w:val="005CA9"/>
                <w:sz w:val="16"/>
                <w:szCs w:val="16"/>
              </w:rPr>
              <w:t>Ajuste de experiência</w:t>
            </w:r>
          </w:p>
        </w:tc>
        <w:tc>
          <w:tcPr>
            <w:tcW w:w="382" w:type="pct"/>
            <w:gridSpan w:val="2"/>
            <w:tcBorders>
              <w:top w:val="nil"/>
              <w:left w:val="nil"/>
              <w:bottom w:val="nil"/>
              <w:right w:val="nil"/>
            </w:tcBorders>
            <w:shd w:val="clear" w:color="auto" w:fill="auto"/>
            <w:vAlign w:val="center"/>
          </w:tcPr>
          <w:p w14:paraId="5E40CCD6" w14:textId="3E4D0EA6" w:rsidR="00E5276F" w:rsidRPr="00E20D21" w:rsidRDefault="00871531" w:rsidP="00E5276F">
            <w:pPr>
              <w:ind w:firstLineChars="100" w:firstLine="160"/>
              <w:jc w:val="right"/>
              <w:rPr>
                <w:rFonts w:ascii="CAIXA Std Book" w:hAnsi="CAIXA Std Book" w:cs="MS Gothic"/>
                <w:color w:val="005CA9"/>
                <w:sz w:val="16"/>
                <w:szCs w:val="16"/>
              </w:rPr>
            </w:pPr>
            <w:r w:rsidRPr="00E20D21">
              <w:rPr>
                <w:rFonts w:ascii="CAIXA Std Book" w:hAnsi="CAIXA Std Book" w:cs="Calibri"/>
                <w:color w:val="005CA9"/>
                <w:sz w:val="16"/>
                <w:szCs w:val="16"/>
              </w:rPr>
              <w:t>(946.598)</w:t>
            </w:r>
          </w:p>
        </w:tc>
        <w:tc>
          <w:tcPr>
            <w:tcW w:w="382" w:type="pct"/>
            <w:gridSpan w:val="2"/>
            <w:tcBorders>
              <w:top w:val="nil"/>
              <w:left w:val="nil"/>
              <w:bottom w:val="nil"/>
              <w:right w:val="nil"/>
            </w:tcBorders>
            <w:shd w:val="clear" w:color="auto" w:fill="auto"/>
            <w:vAlign w:val="center"/>
          </w:tcPr>
          <w:p w14:paraId="76FF1AC3" w14:textId="77777777"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(120.959)</w:t>
            </w:r>
          </w:p>
        </w:tc>
        <w:tc>
          <w:tcPr>
            <w:tcW w:w="382" w:type="pct"/>
            <w:gridSpan w:val="2"/>
            <w:tcBorders>
              <w:top w:val="nil"/>
              <w:left w:val="nil"/>
              <w:bottom w:val="nil"/>
              <w:right w:val="nil"/>
            </w:tcBorders>
            <w:shd w:val="clear" w:color="auto" w:fill="auto"/>
            <w:vAlign w:val="center"/>
          </w:tcPr>
          <w:p w14:paraId="33B28FB2" w14:textId="6A1B86F6"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(72.170)</w:t>
            </w:r>
          </w:p>
        </w:tc>
        <w:tc>
          <w:tcPr>
            <w:tcW w:w="368" w:type="pct"/>
            <w:gridSpan w:val="3"/>
            <w:tcBorders>
              <w:top w:val="nil"/>
              <w:left w:val="nil"/>
              <w:bottom w:val="nil"/>
              <w:right w:val="nil"/>
            </w:tcBorders>
            <w:shd w:val="clear" w:color="auto" w:fill="auto"/>
            <w:vAlign w:val="center"/>
          </w:tcPr>
          <w:p w14:paraId="643F6605" w14:textId="6774D9BA" w:rsidR="00E5276F" w:rsidRPr="00E20D21" w:rsidRDefault="0062118A"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(138.312)</w:t>
            </w:r>
          </w:p>
        </w:tc>
        <w:tc>
          <w:tcPr>
            <w:tcW w:w="369" w:type="pct"/>
            <w:gridSpan w:val="2"/>
            <w:tcBorders>
              <w:top w:val="nil"/>
              <w:left w:val="nil"/>
              <w:bottom w:val="nil"/>
              <w:right w:val="nil"/>
            </w:tcBorders>
            <w:shd w:val="clear" w:color="auto" w:fill="auto"/>
            <w:vAlign w:val="center"/>
          </w:tcPr>
          <w:p w14:paraId="6F39BD28" w14:textId="77777777"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b/>
                <w:bCs/>
                <w:color w:val="005CA9"/>
                <w:sz w:val="16"/>
                <w:szCs w:val="16"/>
              </w:rPr>
              <w:t>(9.958)</w:t>
            </w:r>
          </w:p>
        </w:tc>
        <w:tc>
          <w:tcPr>
            <w:tcW w:w="373" w:type="pct"/>
            <w:gridSpan w:val="2"/>
            <w:tcBorders>
              <w:top w:val="nil"/>
              <w:left w:val="nil"/>
              <w:bottom w:val="nil"/>
              <w:right w:val="nil"/>
            </w:tcBorders>
            <w:shd w:val="clear" w:color="auto" w:fill="auto"/>
            <w:vAlign w:val="center"/>
          </w:tcPr>
          <w:p w14:paraId="151AA497" w14:textId="55D079C0"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(67.852)</w:t>
            </w:r>
          </w:p>
        </w:tc>
        <w:tc>
          <w:tcPr>
            <w:tcW w:w="369" w:type="pct"/>
            <w:gridSpan w:val="2"/>
            <w:tcBorders>
              <w:top w:val="nil"/>
              <w:left w:val="nil"/>
              <w:bottom w:val="nil"/>
              <w:right w:val="nil"/>
            </w:tcBorders>
            <w:shd w:val="clear" w:color="auto" w:fill="auto"/>
            <w:vAlign w:val="center"/>
          </w:tcPr>
          <w:p w14:paraId="3A28EE7A" w14:textId="28D78021" w:rsidR="00E5276F" w:rsidRPr="00E20D21" w:rsidRDefault="0062118A"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7.418</w:t>
            </w:r>
          </w:p>
        </w:tc>
        <w:tc>
          <w:tcPr>
            <w:tcW w:w="369" w:type="pct"/>
            <w:gridSpan w:val="2"/>
            <w:tcBorders>
              <w:top w:val="nil"/>
              <w:left w:val="nil"/>
              <w:bottom w:val="nil"/>
              <w:right w:val="nil"/>
            </w:tcBorders>
            <w:shd w:val="clear" w:color="auto" w:fill="auto"/>
            <w:vAlign w:val="center"/>
          </w:tcPr>
          <w:p w14:paraId="4F518BF2" w14:textId="77777777"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(5.111)</w:t>
            </w:r>
          </w:p>
        </w:tc>
        <w:tc>
          <w:tcPr>
            <w:tcW w:w="379" w:type="pct"/>
            <w:gridSpan w:val="2"/>
            <w:tcBorders>
              <w:top w:val="nil"/>
              <w:left w:val="nil"/>
              <w:bottom w:val="nil"/>
              <w:right w:val="nil"/>
            </w:tcBorders>
            <w:shd w:val="clear" w:color="auto" w:fill="auto"/>
            <w:vAlign w:val="center"/>
          </w:tcPr>
          <w:p w14:paraId="0672A3A6" w14:textId="3B1C4E1B"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3.645</w:t>
            </w:r>
          </w:p>
        </w:tc>
      </w:tr>
      <w:tr w:rsidR="00C11FCD" w:rsidRPr="00E20D21" w14:paraId="3F7F09B2" w14:textId="77777777" w:rsidTr="007B15C0">
        <w:trPr>
          <w:trHeight w:val="255"/>
        </w:trPr>
        <w:tc>
          <w:tcPr>
            <w:tcW w:w="1627" w:type="pct"/>
            <w:gridSpan w:val="3"/>
            <w:tcBorders>
              <w:top w:val="nil"/>
              <w:left w:val="nil"/>
              <w:bottom w:val="nil"/>
              <w:right w:val="nil"/>
            </w:tcBorders>
            <w:shd w:val="clear" w:color="auto" w:fill="auto"/>
            <w:noWrap/>
            <w:vAlign w:val="center"/>
            <w:hideMark/>
          </w:tcPr>
          <w:p w14:paraId="5DD92B59" w14:textId="77777777" w:rsidR="00E5276F" w:rsidRPr="00E20D21" w:rsidRDefault="00E5276F" w:rsidP="00E5276F">
            <w:pPr>
              <w:ind w:firstLineChars="100" w:firstLine="160"/>
              <w:rPr>
                <w:rFonts w:ascii="CAIXA Std Book" w:hAnsi="CAIXA Std Book" w:cs="MS Gothic"/>
                <w:color w:val="005CA9"/>
                <w:sz w:val="16"/>
                <w:szCs w:val="16"/>
              </w:rPr>
            </w:pPr>
            <w:r w:rsidRPr="00E20D21">
              <w:rPr>
                <w:rFonts w:ascii="CAIXA Std Book" w:hAnsi="CAIXA Std Book" w:cs="MS Gothic"/>
                <w:color w:val="005CA9"/>
                <w:sz w:val="16"/>
                <w:szCs w:val="16"/>
              </w:rPr>
              <w:t>Alterações premissas demográficas</w:t>
            </w:r>
          </w:p>
        </w:tc>
        <w:tc>
          <w:tcPr>
            <w:tcW w:w="382" w:type="pct"/>
            <w:gridSpan w:val="2"/>
            <w:tcBorders>
              <w:top w:val="nil"/>
              <w:left w:val="nil"/>
              <w:bottom w:val="nil"/>
              <w:right w:val="nil"/>
            </w:tcBorders>
            <w:shd w:val="clear" w:color="auto" w:fill="auto"/>
            <w:vAlign w:val="center"/>
          </w:tcPr>
          <w:p w14:paraId="6F60E619" w14:textId="52751EE3" w:rsidR="00E5276F" w:rsidRPr="00E20D21" w:rsidRDefault="00871531" w:rsidP="00E5276F">
            <w:pPr>
              <w:ind w:firstLineChars="100" w:firstLine="160"/>
              <w:jc w:val="right"/>
              <w:rPr>
                <w:rFonts w:ascii="CAIXA Std Book" w:hAnsi="CAIXA Std Book" w:cs="MS Gothic"/>
                <w:color w:val="005CA9"/>
                <w:sz w:val="16"/>
                <w:szCs w:val="16"/>
              </w:rPr>
            </w:pPr>
            <w:r w:rsidRPr="00E20D21">
              <w:rPr>
                <w:rFonts w:ascii="CAIXA Std Book" w:hAnsi="CAIXA Std Book" w:cs="Calibri"/>
                <w:color w:val="005CA9"/>
                <w:sz w:val="16"/>
                <w:szCs w:val="16"/>
              </w:rPr>
              <w:t>17.941</w:t>
            </w:r>
          </w:p>
        </w:tc>
        <w:tc>
          <w:tcPr>
            <w:tcW w:w="382" w:type="pct"/>
            <w:gridSpan w:val="2"/>
            <w:tcBorders>
              <w:top w:val="nil"/>
              <w:left w:val="nil"/>
              <w:bottom w:val="nil"/>
              <w:right w:val="nil"/>
            </w:tcBorders>
            <w:shd w:val="clear" w:color="auto" w:fill="auto"/>
            <w:vAlign w:val="center"/>
          </w:tcPr>
          <w:p w14:paraId="73683514" w14:textId="77777777"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279.423</w:t>
            </w:r>
          </w:p>
        </w:tc>
        <w:tc>
          <w:tcPr>
            <w:tcW w:w="382" w:type="pct"/>
            <w:gridSpan w:val="2"/>
            <w:tcBorders>
              <w:top w:val="nil"/>
              <w:left w:val="nil"/>
              <w:bottom w:val="nil"/>
              <w:right w:val="nil"/>
            </w:tcBorders>
            <w:shd w:val="clear" w:color="auto" w:fill="auto"/>
            <w:vAlign w:val="center"/>
          </w:tcPr>
          <w:p w14:paraId="7FC944F6" w14:textId="3D1571DF" w:rsidR="00E5276F" w:rsidRPr="00E20D21" w:rsidRDefault="00E5276F" w:rsidP="00871531">
            <w:pPr>
              <w:jc w:val="center"/>
              <w:rPr>
                <w:rFonts w:ascii="CAIXA Std Book" w:hAnsi="CAIXA Std Book" w:cs="MS Gothic"/>
                <w:color w:val="005CA9"/>
                <w:sz w:val="16"/>
                <w:szCs w:val="16"/>
              </w:rPr>
            </w:pPr>
            <w:r w:rsidRPr="00E20D21">
              <w:rPr>
                <w:rFonts w:ascii="CAIXA Std Book" w:hAnsi="CAIXA Std Book" w:cs="Calibri"/>
                <w:color w:val="005CA9"/>
                <w:sz w:val="16"/>
                <w:szCs w:val="16"/>
              </w:rPr>
              <w:t>-</w:t>
            </w:r>
          </w:p>
        </w:tc>
        <w:tc>
          <w:tcPr>
            <w:tcW w:w="368" w:type="pct"/>
            <w:gridSpan w:val="3"/>
            <w:tcBorders>
              <w:top w:val="nil"/>
              <w:left w:val="nil"/>
              <w:bottom w:val="nil"/>
              <w:right w:val="nil"/>
            </w:tcBorders>
            <w:shd w:val="clear" w:color="auto" w:fill="auto"/>
            <w:vAlign w:val="center"/>
          </w:tcPr>
          <w:p w14:paraId="67678594" w14:textId="6C706B5F" w:rsidR="00E5276F" w:rsidRPr="00E20D21" w:rsidRDefault="0062118A" w:rsidP="00E5276F">
            <w:pPr>
              <w:jc w:val="center"/>
              <w:rPr>
                <w:rFonts w:ascii="CAIXA Std Book" w:hAnsi="CAIXA Std Book" w:cs="MS Gothic"/>
                <w:color w:val="005CA9"/>
                <w:sz w:val="16"/>
                <w:szCs w:val="16"/>
              </w:rPr>
            </w:pPr>
            <w:r w:rsidRPr="00E20D21">
              <w:rPr>
                <w:rFonts w:ascii="CAIXA Std Book" w:hAnsi="CAIXA Std Book" w:cs="Calibri"/>
                <w:color w:val="005CA9"/>
                <w:sz w:val="16"/>
                <w:szCs w:val="16"/>
              </w:rPr>
              <w:t>-</w:t>
            </w:r>
          </w:p>
        </w:tc>
        <w:tc>
          <w:tcPr>
            <w:tcW w:w="369" w:type="pct"/>
            <w:gridSpan w:val="2"/>
            <w:tcBorders>
              <w:top w:val="nil"/>
              <w:left w:val="nil"/>
              <w:bottom w:val="nil"/>
              <w:right w:val="nil"/>
            </w:tcBorders>
            <w:shd w:val="clear" w:color="auto" w:fill="auto"/>
            <w:vAlign w:val="center"/>
          </w:tcPr>
          <w:p w14:paraId="097C747B" w14:textId="77777777" w:rsidR="00E5276F" w:rsidRPr="00E20D21" w:rsidRDefault="00E5276F" w:rsidP="00E5276F">
            <w:pPr>
              <w:jc w:val="center"/>
              <w:rPr>
                <w:rFonts w:ascii="CAIXA Std Book" w:hAnsi="CAIXA Std Book" w:cs="MS Gothic"/>
                <w:color w:val="005CA9"/>
                <w:sz w:val="16"/>
                <w:szCs w:val="16"/>
              </w:rPr>
            </w:pPr>
            <w:r w:rsidRPr="00E20D21">
              <w:rPr>
                <w:rFonts w:ascii="CAIXA Std Book" w:hAnsi="CAIXA Std Book" w:cs="Calibri"/>
                <w:b/>
                <w:bCs/>
                <w:color w:val="005CA9"/>
                <w:sz w:val="16"/>
                <w:szCs w:val="16"/>
              </w:rPr>
              <w:t>-</w:t>
            </w:r>
          </w:p>
        </w:tc>
        <w:tc>
          <w:tcPr>
            <w:tcW w:w="373" w:type="pct"/>
            <w:gridSpan w:val="2"/>
            <w:tcBorders>
              <w:top w:val="nil"/>
              <w:left w:val="nil"/>
              <w:bottom w:val="nil"/>
              <w:right w:val="nil"/>
            </w:tcBorders>
            <w:shd w:val="clear" w:color="auto" w:fill="auto"/>
            <w:vAlign w:val="center"/>
          </w:tcPr>
          <w:p w14:paraId="068D53E0" w14:textId="39DBAAEB" w:rsidR="00E5276F" w:rsidRPr="00E20D21" w:rsidRDefault="00E5276F" w:rsidP="00E5276F">
            <w:pPr>
              <w:jc w:val="center"/>
              <w:rPr>
                <w:rFonts w:ascii="CAIXA Std Book" w:hAnsi="CAIXA Std Book" w:cs="MS Gothic"/>
                <w:color w:val="005CA9"/>
                <w:sz w:val="16"/>
                <w:szCs w:val="16"/>
              </w:rPr>
            </w:pPr>
            <w:r w:rsidRPr="00E20D21">
              <w:rPr>
                <w:rFonts w:ascii="CAIXA Std Book" w:hAnsi="CAIXA Std Book" w:cs="Calibri"/>
                <w:color w:val="005CA9"/>
                <w:sz w:val="16"/>
                <w:szCs w:val="16"/>
              </w:rPr>
              <w:t>-</w:t>
            </w:r>
          </w:p>
        </w:tc>
        <w:tc>
          <w:tcPr>
            <w:tcW w:w="369" w:type="pct"/>
            <w:gridSpan w:val="2"/>
            <w:tcBorders>
              <w:top w:val="nil"/>
              <w:left w:val="nil"/>
              <w:bottom w:val="nil"/>
              <w:right w:val="nil"/>
            </w:tcBorders>
            <w:shd w:val="clear" w:color="auto" w:fill="auto"/>
            <w:vAlign w:val="center"/>
          </w:tcPr>
          <w:p w14:paraId="76D76CE6" w14:textId="3D6DAD3A" w:rsidR="00E5276F" w:rsidRPr="00E20D21" w:rsidRDefault="0062118A" w:rsidP="0062118A">
            <w:pPr>
              <w:jc w:val="center"/>
              <w:rPr>
                <w:rFonts w:ascii="CAIXA Std Book" w:hAnsi="CAIXA Std Book" w:cs="MS Gothic"/>
                <w:color w:val="005CA9"/>
                <w:sz w:val="16"/>
                <w:szCs w:val="16"/>
              </w:rPr>
            </w:pPr>
            <w:r w:rsidRPr="00E20D21">
              <w:rPr>
                <w:rFonts w:ascii="CAIXA Std Book" w:hAnsi="CAIXA Std Book" w:cs="Calibri"/>
                <w:color w:val="005CA9"/>
                <w:sz w:val="16"/>
                <w:szCs w:val="16"/>
              </w:rPr>
              <w:t>-</w:t>
            </w:r>
          </w:p>
        </w:tc>
        <w:tc>
          <w:tcPr>
            <w:tcW w:w="369" w:type="pct"/>
            <w:gridSpan w:val="2"/>
            <w:tcBorders>
              <w:top w:val="nil"/>
              <w:left w:val="nil"/>
              <w:bottom w:val="nil"/>
              <w:right w:val="nil"/>
            </w:tcBorders>
            <w:shd w:val="clear" w:color="auto" w:fill="auto"/>
            <w:vAlign w:val="center"/>
          </w:tcPr>
          <w:p w14:paraId="41799A0F" w14:textId="77777777"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(197)</w:t>
            </w:r>
          </w:p>
        </w:tc>
        <w:tc>
          <w:tcPr>
            <w:tcW w:w="379" w:type="pct"/>
            <w:gridSpan w:val="2"/>
            <w:tcBorders>
              <w:top w:val="nil"/>
              <w:left w:val="nil"/>
              <w:bottom w:val="nil"/>
              <w:right w:val="nil"/>
            </w:tcBorders>
            <w:shd w:val="clear" w:color="auto" w:fill="auto"/>
            <w:vAlign w:val="center"/>
          </w:tcPr>
          <w:p w14:paraId="7117F781" w14:textId="47ED30DC" w:rsidR="00E5276F" w:rsidRPr="00E20D21" w:rsidRDefault="00E5276F" w:rsidP="00E5276F">
            <w:pPr>
              <w:jc w:val="center"/>
              <w:rPr>
                <w:rFonts w:ascii="CAIXA Std Book" w:hAnsi="CAIXA Std Book" w:cs="MS Gothic"/>
                <w:color w:val="005CA9"/>
                <w:sz w:val="16"/>
                <w:szCs w:val="16"/>
              </w:rPr>
            </w:pPr>
            <w:r w:rsidRPr="00E20D21">
              <w:rPr>
                <w:rFonts w:ascii="CAIXA Std Book" w:hAnsi="CAIXA Std Book" w:cs="Calibri"/>
                <w:color w:val="005CA9"/>
                <w:sz w:val="16"/>
                <w:szCs w:val="16"/>
              </w:rPr>
              <w:t>-</w:t>
            </w:r>
          </w:p>
        </w:tc>
      </w:tr>
      <w:tr w:rsidR="00C11FCD" w:rsidRPr="00E20D21" w14:paraId="14AFCB01" w14:textId="77777777" w:rsidTr="007B15C0">
        <w:trPr>
          <w:trHeight w:val="255"/>
        </w:trPr>
        <w:tc>
          <w:tcPr>
            <w:tcW w:w="1627" w:type="pct"/>
            <w:gridSpan w:val="3"/>
            <w:tcBorders>
              <w:top w:val="nil"/>
              <w:left w:val="nil"/>
              <w:bottom w:val="nil"/>
              <w:right w:val="nil"/>
            </w:tcBorders>
            <w:shd w:val="clear" w:color="auto" w:fill="auto"/>
            <w:noWrap/>
            <w:vAlign w:val="center"/>
            <w:hideMark/>
          </w:tcPr>
          <w:p w14:paraId="07A3D8FE" w14:textId="77777777" w:rsidR="00E5276F" w:rsidRPr="00E20D21" w:rsidRDefault="00E5276F" w:rsidP="00E5276F">
            <w:pPr>
              <w:ind w:firstLineChars="100" w:firstLine="160"/>
              <w:rPr>
                <w:rFonts w:ascii="CAIXA Std Book" w:hAnsi="CAIXA Std Book" w:cs="MS Gothic"/>
                <w:color w:val="005CA9"/>
                <w:sz w:val="16"/>
                <w:szCs w:val="16"/>
              </w:rPr>
            </w:pPr>
            <w:r w:rsidRPr="00E20D21">
              <w:rPr>
                <w:rFonts w:ascii="CAIXA Std Book" w:hAnsi="CAIXA Std Book" w:cs="MS Gothic"/>
                <w:color w:val="005CA9"/>
                <w:sz w:val="16"/>
                <w:szCs w:val="16"/>
              </w:rPr>
              <w:t>Alterações premissas financeiras</w:t>
            </w:r>
          </w:p>
        </w:tc>
        <w:tc>
          <w:tcPr>
            <w:tcW w:w="382" w:type="pct"/>
            <w:gridSpan w:val="2"/>
            <w:tcBorders>
              <w:top w:val="nil"/>
              <w:left w:val="nil"/>
              <w:bottom w:val="nil"/>
              <w:right w:val="nil"/>
            </w:tcBorders>
            <w:shd w:val="clear" w:color="auto" w:fill="auto"/>
            <w:vAlign w:val="center"/>
          </w:tcPr>
          <w:p w14:paraId="33C84E42" w14:textId="082AAAA1" w:rsidR="00E5276F" w:rsidRPr="00E20D21" w:rsidRDefault="00871531" w:rsidP="00E5276F">
            <w:pPr>
              <w:ind w:firstLineChars="100" w:firstLine="160"/>
              <w:jc w:val="right"/>
              <w:rPr>
                <w:rFonts w:ascii="CAIXA Std Book" w:hAnsi="CAIXA Std Book" w:cs="MS Gothic"/>
                <w:color w:val="005CA9"/>
                <w:sz w:val="16"/>
                <w:szCs w:val="16"/>
              </w:rPr>
            </w:pPr>
            <w:r w:rsidRPr="00E20D21">
              <w:rPr>
                <w:rFonts w:ascii="CAIXA Std Book" w:hAnsi="CAIXA Std Book" w:cs="Calibri"/>
                <w:color w:val="005CA9"/>
                <w:sz w:val="16"/>
                <w:szCs w:val="16"/>
              </w:rPr>
              <w:t>1.317.824</w:t>
            </w:r>
          </w:p>
        </w:tc>
        <w:tc>
          <w:tcPr>
            <w:tcW w:w="382" w:type="pct"/>
            <w:gridSpan w:val="2"/>
            <w:tcBorders>
              <w:top w:val="nil"/>
              <w:left w:val="nil"/>
              <w:bottom w:val="nil"/>
              <w:right w:val="nil"/>
            </w:tcBorders>
            <w:shd w:val="clear" w:color="auto" w:fill="auto"/>
            <w:vAlign w:val="center"/>
          </w:tcPr>
          <w:p w14:paraId="266F067B" w14:textId="77777777"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(1.341.269)</w:t>
            </w:r>
          </w:p>
        </w:tc>
        <w:tc>
          <w:tcPr>
            <w:tcW w:w="382" w:type="pct"/>
            <w:gridSpan w:val="2"/>
            <w:tcBorders>
              <w:top w:val="nil"/>
              <w:left w:val="nil"/>
              <w:bottom w:val="nil"/>
              <w:right w:val="nil"/>
            </w:tcBorders>
            <w:shd w:val="clear" w:color="auto" w:fill="auto"/>
            <w:vAlign w:val="center"/>
          </w:tcPr>
          <w:p w14:paraId="0C58619F" w14:textId="7ABE3E11"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(1.484.005)</w:t>
            </w:r>
          </w:p>
        </w:tc>
        <w:tc>
          <w:tcPr>
            <w:tcW w:w="368" w:type="pct"/>
            <w:gridSpan w:val="3"/>
            <w:tcBorders>
              <w:top w:val="nil"/>
              <w:left w:val="nil"/>
              <w:bottom w:val="nil"/>
              <w:right w:val="nil"/>
            </w:tcBorders>
            <w:shd w:val="clear" w:color="auto" w:fill="auto"/>
            <w:vAlign w:val="center"/>
          </w:tcPr>
          <w:p w14:paraId="35A5C86F" w14:textId="7569421F" w:rsidR="00E5276F" w:rsidRPr="00E20D21" w:rsidRDefault="0062118A"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172.751</w:t>
            </w:r>
          </w:p>
        </w:tc>
        <w:tc>
          <w:tcPr>
            <w:tcW w:w="369" w:type="pct"/>
            <w:gridSpan w:val="2"/>
            <w:tcBorders>
              <w:top w:val="nil"/>
              <w:left w:val="nil"/>
              <w:bottom w:val="nil"/>
              <w:right w:val="nil"/>
            </w:tcBorders>
            <w:shd w:val="clear" w:color="auto" w:fill="auto"/>
            <w:vAlign w:val="center"/>
          </w:tcPr>
          <w:p w14:paraId="34072297" w14:textId="77777777"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(123.340)</w:t>
            </w:r>
          </w:p>
        </w:tc>
        <w:tc>
          <w:tcPr>
            <w:tcW w:w="373" w:type="pct"/>
            <w:gridSpan w:val="2"/>
            <w:tcBorders>
              <w:top w:val="nil"/>
              <w:left w:val="nil"/>
              <w:bottom w:val="nil"/>
              <w:right w:val="nil"/>
            </w:tcBorders>
            <w:shd w:val="clear" w:color="auto" w:fill="auto"/>
            <w:vAlign w:val="center"/>
          </w:tcPr>
          <w:p w14:paraId="10C6D3A6" w14:textId="3B38CFFD"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(143.620)</w:t>
            </w:r>
          </w:p>
        </w:tc>
        <w:tc>
          <w:tcPr>
            <w:tcW w:w="369" w:type="pct"/>
            <w:gridSpan w:val="2"/>
            <w:tcBorders>
              <w:top w:val="nil"/>
              <w:left w:val="nil"/>
              <w:bottom w:val="nil"/>
              <w:right w:val="nil"/>
            </w:tcBorders>
            <w:shd w:val="clear" w:color="auto" w:fill="auto"/>
            <w:vAlign w:val="center"/>
          </w:tcPr>
          <w:p w14:paraId="36B24426" w14:textId="68AE51D6" w:rsidR="00E5276F" w:rsidRPr="00E20D21" w:rsidRDefault="0062118A"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5.332</w:t>
            </w:r>
          </w:p>
        </w:tc>
        <w:tc>
          <w:tcPr>
            <w:tcW w:w="369" w:type="pct"/>
            <w:gridSpan w:val="2"/>
            <w:tcBorders>
              <w:top w:val="nil"/>
              <w:left w:val="nil"/>
              <w:bottom w:val="nil"/>
              <w:right w:val="nil"/>
            </w:tcBorders>
            <w:shd w:val="clear" w:color="auto" w:fill="auto"/>
            <w:vAlign w:val="center"/>
          </w:tcPr>
          <w:p w14:paraId="6FED2C29" w14:textId="77777777"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(202)</w:t>
            </w:r>
          </w:p>
        </w:tc>
        <w:tc>
          <w:tcPr>
            <w:tcW w:w="379" w:type="pct"/>
            <w:gridSpan w:val="2"/>
            <w:tcBorders>
              <w:top w:val="nil"/>
              <w:left w:val="nil"/>
              <w:bottom w:val="nil"/>
              <w:right w:val="nil"/>
            </w:tcBorders>
            <w:shd w:val="clear" w:color="auto" w:fill="auto"/>
            <w:vAlign w:val="center"/>
          </w:tcPr>
          <w:p w14:paraId="78C4103C" w14:textId="71783399" w:rsidR="00E5276F" w:rsidRPr="00E20D21" w:rsidRDefault="00E5276F" w:rsidP="00E5276F">
            <w:pPr>
              <w:jc w:val="right"/>
              <w:rPr>
                <w:rFonts w:ascii="CAIXA Std Book" w:hAnsi="CAIXA Std Book" w:cs="MS Gothic"/>
                <w:color w:val="005CA9"/>
                <w:sz w:val="16"/>
                <w:szCs w:val="16"/>
              </w:rPr>
            </w:pPr>
            <w:r w:rsidRPr="00E20D21">
              <w:rPr>
                <w:rFonts w:ascii="CAIXA Std Book" w:hAnsi="CAIXA Std Book" w:cs="Calibri"/>
                <w:color w:val="005CA9"/>
                <w:sz w:val="16"/>
                <w:szCs w:val="16"/>
              </w:rPr>
              <w:t>(1.459)</w:t>
            </w:r>
          </w:p>
        </w:tc>
      </w:tr>
      <w:tr w:rsidR="00C11FCD" w:rsidRPr="00E20D21" w14:paraId="35488093" w14:textId="77777777" w:rsidTr="007B15C0">
        <w:trPr>
          <w:trHeight w:val="255"/>
        </w:trPr>
        <w:tc>
          <w:tcPr>
            <w:tcW w:w="1627" w:type="pct"/>
            <w:gridSpan w:val="3"/>
            <w:tcBorders>
              <w:top w:val="nil"/>
              <w:left w:val="nil"/>
              <w:bottom w:val="nil"/>
              <w:right w:val="nil"/>
            </w:tcBorders>
            <w:shd w:val="clear" w:color="auto" w:fill="auto"/>
            <w:vAlign w:val="center"/>
            <w:hideMark/>
          </w:tcPr>
          <w:p w14:paraId="370BACEC" w14:textId="77777777" w:rsidR="00E5276F" w:rsidRPr="00E20D21" w:rsidRDefault="00E5276F" w:rsidP="00E5276F">
            <w:pPr>
              <w:rPr>
                <w:rFonts w:ascii="CAIXA Std Book" w:hAnsi="CAIXA Std Book" w:cs="MS Gothic"/>
                <w:b/>
                <w:color w:val="005CA9"/>
                <w:sz w:val="16"/>
                <w:szCs w:val="16"/>
              </w:rPr>
            </w:pPr>
            <w:r w:rsidRPr="00E20D21">
              <w:rPr>
                <w:rFonts w:ascii="CAIXA Std Book" w:hAnsi="CAIXA Std Book" w:cs="MS Gothic"/>
                <w:b/>
                <w:color w:val="005CA9"/>
                <w:sz w:val="16"/>
                <w:szCs w:val="16"/>
              </w:rPr>
              <w:t>Benefícios pagos diretamente pelo plano</w:t>
            </w:r>
          </w:p>
        </w:tc>
        <w:tc>
          <w:tcPr>
            <w:tcW w:w="382" w:type="pct"/>
            <w:gridSpan w:val="2"/>
            <w:tcBorders>
              <w:top w:val="nil"/>
              <w:left w:val="nil"/>
              <w:bottom w:val="nil"/>
              <w:right w:val="nil"/>
            </w:tcBorders>
            <w:shd w:val="clear" w:color="auto" w:fill="auto"/>
            <w:vAlign w:val="center"/>
          </w:tcPr>
          <w:p w14:paraId="55F59F1E" w14:textId="30FF52B6" w:rsidR="00E5276F" w:rsidRPr="00E20D21" w:rsidRDefault="00871531"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82" w:type="pct"/>
            <w:gridSpan w:val="2"/>
            <w:tcBorders>
              <w:top w:val="nil"/>
              <w:left w:val="nil"/>
              <w:bottom w:val="nil"/>
              <w:right w:val="nil"/>
            </w:tcBorders>
            <w:shd w:val="clear" w:color="auto" w:fill="auto"/>
            <w:vAlign w:val="center"/>
          </w:tcPr>
          <w:p w14:paraId="4AE62361" w14:textId="77777777"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color w:val="005CA9"/>
                <w:sz w:val="16"/>
                <w:szCs w:val="16"/>
              </w:rPr>
              <w:t>-</w:t>
            </w:r>
          </w:p>
        </w:tc>
        <w:tc>
          <w:tcPr>
            <w:tcW w:w="382" w:type="pct"/>
            <w:gridSpan w:val="2"/>
            <w:tcBorders>
              <w:top w:val="nil"/>
              <w:left w:val="nil"/>
              <w:bottom w:val="nil"/>
              <w:right w:val="nil"/>
            </w:tcBorders>
            <w:shd w:val="clear" w:color="auto" w:fill="auto"/>
            <w:vAlign w:val="center"/>
          </w:tcPr>
          <w:p w14:paraId="79E82623" w14:textId="6F600C02"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68" w:type="pct"/>
            <w:gridSpan w:val="3"/>
            <w:tcBorders>
              <w:top w:val="nil"/>
              <w:left w:val="nil"/>
              <w:bottom w:val="nil"/>
              <w:right w:val="nil"/>
            </w:tcBorders>
            <w:shd w:val="clear" w:color="auto" w:fill="auto"/>
            <w:vAlign w:val="center"/>
          </w:tcPr>
          <w:p w14:paraId="5A0C0E1D" w14:textId="305C2176" w:rsidR="00E5276F" w:rsidRPr="00E20D21" w:rsidRDefault="0062118A"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69" w:type="pct"/>
            <w:gridSpan w:val="2"/>
            <w:tcBorders>
              <w:top w:val="nil"/>
              <w:left w:val="nil"/>
              <w:bottom w:val="nil"/>
              <w:right w:val="nil"/>
            </w:tcBorders>
            <w:shd w:val="clear" w:color="auto" w:fill="auto"/>
            <w:vAlign w:val="center"/>
          </w:tcPr>
          <w:p w14:paraId="1B86630D" w14:textId="77777777"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73" w:type="pct"/>
            <w:gridSpan w:val="2"/>
            <w:tcBorders>
              <w:top w:val="nil"/>
              <w:left w:val="nil"/>
              <w:bottom w:val="nil"/>
              <w:right w:val="nil"/>
            </w:tcBorders>
            <w:shd w:val="clear" w:color="auto" w:fill="auto"/>
            <w:vAlign w:val="center"/>
          </w:tcPr>
          <w:p w14:paraId="0D92AE83" w14:textId="0D8FF5DA"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69" w:type="pct"/>
            <w:gridSpan w:val="2"/>
            <w:tcBorders>
              <w:top w:val="nil"/>
              <w:left w:val="nil"/>
              <w:bottom w:val="nil"/>
              <w:right w:val="nil"/>
            </w:tcBorders>
            <w:shd w:val="clear" w:color="auto" w:fill="auto"/>
            <w:vAlign w:val="center"/>
          </w:tcPr>
          <w:p w14:paraId="4F3D8153" w14:textId="78F5474B"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3.687</w:t>
            </w:r>
          </w:p>
        </w:tc>
        <w:tc>
          <w:tcPr>
            <w:tcW w:w="369" w:type="pct"/>
            <w:gridSpan w:val="2"/>
            <w:tcBorders>
              <w:top w:val="nil"/>
              <w:left w:val="nil"/>
              <w:bottom w:val="nil"/>
              <w:right w:val="nil"/>
            </w:tcBorders>
            <w:shd w:val="clear" w:color="auto" w:fill="auto"/>
            <w:vAlign w:val="center"/>
          </w:tcPr>
          <w:p w14:paraId="05972DAA"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7.245</w:t>
            </w:r>
          </w:p>
        </w:tc>
        <w:tc>
          <w:tcPr>
            <w:tcW w:w="379" w:type="pct"/>
            <w:gridSpan w:val="2"/>
            <w:tcBorders>
              <w:top w:val="nil"/>
              <w:left w:val="nil"/>
              <w:bottom w:val="nil"/>
              <w:right w:val="nil"/>
            </w:tcBorders>
            <w:shd w:val="clear" w:color="auto" w:fill="auto"/>
            <w:vAlign w:val="center"/>
          </w:tcPr>
          <w:p w14:paraId="13BF8470" w14:textId="2B605FF5"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3.557</w:t>
            </w:r>
          </w:p>
        </w:tc>
      </w:tr>
      <w:tr w:rsidR="00C11FCD" w:rsidRPr="00E20D21" w14:paraId="12DF0AB7" w14:textId="77777777" w:rsidTr="007B15C0">
        <w:trPr>
          <w:trHeight w:val="255"/>
        </w:trPr>
        <w:tc>
          <w:tcPr>
            <w:tcW w:w="1627" w:type="pct"/>
            <w:gridSpan w:val="3"/>
            <w:tcBorders>
              <w:top w:val="nil"/>
              <w:left w:val="nil"/>
              <w:bottom w:val="nil"/>
              <w:right w:val="nil"/>
            </w:tcBorders>
            <w:shd w:val="clear" w:color="auto" w:fill="auto"/>
            <w:vAlign w:val="center"/>
            <w:hideMark/>
          </w:tcPr>
          <w:p w14:paraId="3979509C" w14:textId="77777777" w:rsidR="00E5276F" w:rsidRPr="00E20D21" w:rsidRDefault="00E5276F" w:rsidP="00E5276F">
            <w:pPr>
              <w:rPr>
                <w:rFonts w:ascii="CAIXA Std Book" w:hAnsi="CAIXA Std Book" w:cs="MS Gothic"/>
                <w:b/>
                <w:color w:val="005CA9"/>
                <w:sz w:val="16"/>
                <w:szCs w:val="16"/>
              </w:rPr>
            </w:pPr>
            <w:r w:rsidRPr="00E20D21">
              <w:rPr>
                <w:rFonts w:ascii="CAIXA Std Book" w:hAnsi="CAIXA Std Book" w:cs="MS Gothic"/>
                <w:b/>
                <w:color w:val="005CA9"/>
                <w:sz w:val="16"/>
                <w:szCs w:val="16"/>
              </w:rPr>
              <w:t>Benefícios pagos diretamente pela empresa</w:t>
            </w:r>
          </w:p>
        </w:tc>
        <w:tc>
          <w:tcPr>
            <w:tcW w:w="382" w:type="pct"/>
            <w:gridSpan w:val="2"/>
            <w:tcBorders>
              <w:top w:val="nil"/>
              <w:left w:val="nil"/>
              <w:bottom w:val="nil"/>
              <w:right w:val="nil"/>
            </w:tcBorders>
            <w:shd w:val="clear" w:color="auto" w:fill="auto"/>
            <w:vAlign w:val="center"/>
          </w:tcPr>
          <w:p w14:paraId="7E1635E7" w14:textId="0F949964" w:rsidR="00E5276F" w:rsidRPr="00E20D21" w:rsidRDefault="00871531"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426.686</w:t>
            </w:r>
          </w:p>
        </w:tc>
        <w:tc>
          <w:tcPr>
            <w:tcW w:w="382" w:type="pct"/>
            <w:gridSpan w:val="2"/>
            <w:tcBorders>
              <w:top w:val="nil"/>
              <w:left w:val="nil"/>
              <w:bottom w:val="nil"/>
              <w:right w:val="nil"/>
            </w:tcBorders>
            <w:shd w:val="clear" w:color="auto" w:fill="auto"/>
            <w:vAlign w:val="center"/>
          </w:tcPr>
          <w:p w14:paraId="351ED8D4"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796.018</w:t>
            </w:r>
          </w:p>
        </w:tc>
        <w:tc>
          <w:tcPr>
            <w:tcW w:w="382" w:type="pct"/>
            <w:gridSpan w:val="2"/>
            <w:tcBorders>
              <w:top w:val="nil"/>
              <w:left w:val="nil"/>
              <w:bottom w:val="nil"/>
              <w:right w:val="nil"/>
            </w:tcBorders>
            <w:shd w:val="clear" w:color="auto" w:fill="auto"/>
            <w:vAlign w:val="center"/>
          </w:tcPr>
          <w:p w14:paraId="7B7104DE" w14:textId="52B9900D"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386.482</w:t>
            </w:r>
          </w:p>
        </w:tc>
        <w:tc>
          <w:tcPr>
            <w:tcW w:w="368" w:type="pct"/>
            <w:gridSpan w:val="3"/>
            <w:tcBorders>
              <w:top w:val="nil"/>
              <w:left w:val="nil"/>
              <w:bottom w:val="nil"/>
              <w:right w:val="nil"/>
            </w:tcBorders>
            <w:shd w:val="clear" w:color="auto" w:fill="auto"/>
            <w:vAlign w:val="center"/>
          </w:tcPr>
          <w:p w14:paraId="39D4C045" w14:textId="17F47002"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101.832</w:t>
            </w:r>
          </w:p>
        </w:tc>
        <w:tc>
          <w:tcPr>
            <w:tcW w:w="369" w:type="pct"/>
            <w:gridSpan w:val="2"/>
            <w:tcBorders>
              <w:top w:val="nil"/>
              <w:left w:val="nil"/>
              <w:bottom w:val="nil"/>
              <w:right w:val="nil"/>
            </w:tcBorders>
            <w:shd w:val="clear" w:color="auto" w:fill="auto"/>
            <w:vAlign w:val="center"/>
          </w:tcPr>
          <w:p w14:paraId="31E0E837"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203.644</w:t>
            </w:r>
          </w:p>
        </w:tc>
        <w:tc>
          <w:tcPr>
            <w:tcW w:w="373" w:type="pct"/>
            <w:gridSpan w:val="2"/>
            <w:tcBorders>
              <w:top w:val="nil"/>
              <w:left w:val="nil"/>
              <w:bottom w:val="nil"/>
              <w:right w:val="nil"/>
            </w:tcBorders>
            <w:shd w:val="clear" w:color="auto" w:fill="auto"/>
            <w:vAlign w:val="center"/>
          </w:tcPr>
          <w:p w14:paraId="1C3954F5" w14:textId="66D776F9"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101.287</w:t>
            </w:r>
          </w:p>
        </w:tc>
        <w:tc>
          <w:tcPr>
            <w:tcW w:w="369" w:type="pct"/>
            <w:gridSpan w:val="2"/>
            <w:tcBorders>
              <w:top w:val="nil"/>
              <w:left w:val="nil"/>
              <w:bottom w:val="nil"/>
              <w:right w:val="nil"/>
            </w:tcBorders>
            <w:shd w:val="clear" w:color="auto" w:fill="auto"/>
            <w:vAlign w:val="center"/>
          </w:tcPr>
          <w:p w14:paraId="5E7CFFB6" w14:textId="14AEF8CC" w:rsidR="00E5276F" w:rsidRPr="00E20D21" w:rsidRDefault="0062118A"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69" w:type="pct"/>
            <w:gridSpan w:val="2"/>
            <w:tcBorders>
              <w:top w:val="nil"/>
              <w:left w:val="nil"/>
              <w:bottom w:val="nil"/>
              <w:right w:val="nil"/>
            </w:tcBorders>
            <w:shd w:val="clear" w:color="auto" w:fill="auto"/>
            <w:vAlign w:val="center"/>
          </w:tcPr>
          <w:p w14:paraId="7C6AD89B" w14:textId="77777777"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c>
          <w:tcPr>
            <w:tcW w:w="379" w:type="pct"/>
            <w:gridSpan w:val="2"/>
            <w:tcBorders>
              <w:top w:val="nil"/>
              <w:left w:val="nil"/>
              <w:bottom w:val="nil"/>
              <w:right w:val="nil"/>
            </w:tcBorders>
            <w:shd w:val="clear" w:color="auto" w:fill="auto"/>
            <w:vAlign w:val="center"/>
          </w:tcPr>
          <w:p w14:paraId="2A04BD4D" w14:textId="2B4DF8B8" w:rsidR="00E5276F" w:rsidRPr="00E20D21" w:rsidRDefault="00E5276F" w:rsidP="00E5276F">
            <w:pPr>
              <w:jc w:val="center"/>
              <w:rPr>
                <w:rFonts w:ascii="CAIXA Std Book" w:hAnsi="CAIXA Std Book" w:cs="MS Gothic"/>
                <w:b/>
                <w:color w:val="005CA9"/>
                <w:sz w:val="16"/>
                <w:szCs w:val="16"/>
              </w:rPr>
            </w:pPr>
            <w:r w:rsidRPr="00E20D21">
              <w:rPr>
                <w:rFonts w:ascii="CAIXA Std Book" w:hAnsi="CAIXA Std Book" w:cs="Calibri"/>
                <w:b/>
                <w:bCs/>
                <w:color w:val="005CA9"/>
                <w:sz w:val="16"/>
                <w:szCs w:val="16"/>
              </w:rPr>
              <w:t>-</w:t>
            </w:r>
          </w:p>
        </w:tc>
      </w:tr>
      <w:tr w:rsidR="00C11FCD" w:rsidRPr="00E20D21" w14:paraId="7747F845" w14:textId="77777777" w:rsidTr="007B15C0">
        <w:trPr>
          <w:trHeight w:val="255"/>
        </w:trPr>
        <w:tc>
          <w:tcPr>
            <w:tcW w:w="1627" w:type="pct"/>
            <w:gridSpan w:val="3"/>
            <w:tcBorders>
              <w:top w:val="single" w:sz="4" w:space="0" w:color="F68F00"/>
              <w:left w:val="nil"/>
              <w:bottom w:val="single" w:sz="4" w:space="0" w:color="F68F00"/>
              <w:right w:val="nil"/>
            </w:tcBorders>
            <w:shd w:val="clear" w:color="auto" w:fill="auto"/>
            <w:vAlign w:val="center"/>
            <w:hideMark/>
          </w:tcPr>
          <w:p w14:paraId="11AADCDC" w14:textId="77777777" w:rsidR="00E5276F" w:rsidRPr="00E20D21" w:rsidRDefault="00E5276F" w:rsidP="00E5276F">
            <w:pPr>
              <w:rPr>
                <w:rFonts w:ascii="CAIXA Std Book" w:hAnsi="CAIXA Std Book" w:cs="MS Gothic"/>
                <w:b/>
                <w:color w:val="005CA9"/>
                <w:sz w:val="16"/>
                <w:szCs w:val="16"/>
              </w:rPr>
            </w:pPr>
            <w:r w:rsidRPr="00E20D21">
              <w:rPr>
                <w:rFonts w:ascii="CAIXA Std Book" w:hAnsi="CAIXA Std Book" w:cs="MS Gothic"/>
                <w:b/>
                <w:color w:val="005CA9"/>
                <w:sz w:val="16"/>
                <w:szCs w:val="16"/>
              </w:rPr>
              <w:t>VPO no final do período</w:t>
            </w:r>
          </w:p>
        </w:tc>
        <w:tc>
          <w:tcPr>
            <w:tcW w:w="382" w:type="pct"/>
            <w:gridSpan w:val="2"/>
            <w:tcBorders>
              <w:top w:val="single" w:sz="4" w:space="0" w:color="F68F00"/>
              <w:left w:val="nil"/>
              <w:bottom w:val="single" w:sz="4" w:space="0" w:color="F68F00"/>
              <w:right w:val="nil"/>
            </w:tcBorders>
            <w:shd w:val="clear" w:color="auto" w:fill="auto"/>
            <w:vAlign w:val="center"/>
          </w:tcPr>
          <w:p w14:paraId="62E7973F" w14:textId="52CD5031" w:rsidR="00E5276F" w:rsidRPr="00E20D21" w:rsidRDefault="00871531"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(11.889.250)</w:t>
            </w:r>
          </w:p>
        </w:tc>
        <w:tc>
          <w:tcPr>
            <w:tcW w:w="382" w:type="pct"/>
            <w:gridSpan w:val="2"/>
            <w:tcBorders>
              <w:top w:val="single" w:sz="4" w:space="0" w:color="F68F00"/>
              <w:left w:val="nil"/>
              <w:bottom w:val="single" w:sz="4" w:space="0" w:color="F68F00"/>
              <w:right w:val="nil"/>
            </w:tcBorders>
            <w:shd w:val="clear" w:color="auto" w:fill="auto"/>
            <w:vAlign w:val="center"/>
          </w:tcPr>
          <w:p w14:paraId="69A235FC"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(12.088.211)</w:t>
            </w:r>
          </w:p>
        </w:tc>
        <w:tc>
          <w:tcPr>
            <w:tcW w:w="382" w:type="pct"/>
            <w:gridSpan w:val="2"/>
            <w:tcBorders>
              <w:top w:val="single" w:sz="4" w:space="0" w:color="F68F00"/>
              <w:left w:val="nil"/>
              <w:bottom w:val="single" w:sz="4" w:space="0" w:color="F68F00"/>
              <w:right w:val="nil"/>
            </w:tcBorders>
            <w:shd w:val="clear" w:color="auto" w:fill="auto"/>
            <w:vAlign w:val="center"/>
          </w:tcPr>
          <w:p w14:paraId="0EFDE62F" w14:textId="33D82F25"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(12.256.218)</w:t>
            </w:r>
          </w:p>
        </w:tc>
        <w:tc>
          <w:tcPr>
            <w:tcW w:w="368" w:type="pct"/>
            <w:gridSpan w:val="3"/>
            <w:tcBorders>
              <w:top w:val="single" w:sz="4" w:space="0" w:color="F68F00"/>
              <w:left w:val="nil"/>
              <w:bottom w:val="single" w:sz="4" w:space="0" w:color="F68F00"/>
              <w:right w:val="nil"/>
            </w:tcBorders>
            <w:shd w:val="clear" w:color="auto" w:fill="auto"/>
            <w:vAlign w:val="center"/>
          </w:tcPr>
          <w:p w14:paraId="3D744030" w14:textId="1779BA78"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(1.875.375)</w:t>
            </w:r>
          </w:p>
        </w:tc>
        <w:tc>
          <w:tcPr>
            <w:tcW w:w="369" w:type="pct"/>
            <w:gridSpan w:val="2"/>
            <w:tcBorders>
              <w:top w:val="single" w:sz="4" w:space="0" w:color="F68F00"/>
              <w:left w:val="nil"/>
              <w:bottom w:val="single" w:sz="4" w:space="0" w:color="F68F00"/>
              <w:right w:val="nil"/>
            </w:tcBorders>
            <w:shd w:val="clear" w:color="auto" w:fill="auto"/>
            <w:vAlign w:val="center"/>
          </w:tcPr>
          <w:p w14:paraId="2FCF443C"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(1.934.048)</w:t>
            </w:r>
          </w:p>
        </w:tc>
        <w:tc>
          <w:tcPr>
            <w:tcW w:w="373" w:type="pct"/>
            <w:gridSpan w:val="2"/>
            <w:tcBorders>
              <w:top w:val="single" w:sz="4" w:space="0" w:color="F68F00"/>
              <w:left w:val="nil"/>
              <w:bottom w:val="single" w:sz="4" w:space="0" w:color="F68F00"/>
              <w:right w:val="nil"/>
            </w:tcBorders>
            <w:shd w:val="clear" w:color="auto" w:fill="auto"/>
            <w:vAlign w:val="center"/>
          </w:tcPr>
          <w:p w14:paraId="3D79809F" w14:textId="72FC12EF"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(2.034.263)</w:t>
            </w:r>
          </w:p>
        </w:tc>
        <w:tc>
          <w:tcPr>
            <w:tcW w:w="369" w:type="pct"/>
            <w:gridSpan w:val="2"/>
            <w:tcBorders>
              <w:top w:val="single" w:sz="4" w:space="0" w:color="F68F00"/>
              <w:left w:val="nil"/>
              <w:bottom w:val="single" w:sz="4" w:space="0" w:color="F68F00"/>
              <w:right w:val="nil"/>
            </w:tcBorders>
            <w:shd w:val="clear" w:color="auto" w:fill="auto"/>
            <w:vAlign w:val="center"/>
          </w:tcPr>
          <w:p w14:paraId="794830E5" w14:textId="178B6DEC" w:rsidR="00E5276F" w:rsidRPr="00E20D21" w:rsidRDefault="0062118A"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(63.689)</w:t>
            </w:r>
          </w:p>
        </w:tc>
        <w:tc>
          <w:tcPr>
            <w:tcW w:w="369" w:type="pct"/>
            <w:gridSpan w:val="2"/>
            <w:tcBorders>
              <w:top w:val="single" w:sz="4" w:space="0" w:color="F68F00"/>
              <w:left w:val="nil"/>
              <w:bottom w:val="single" w:sz="4" w:space="0" w:color="F68F00"/>
              <w:right w:val="nil"/>
            </w:tcBorders>
            <w:shd w:val="clear" w:color="auto" w:fill="auto"/>
            <w:vAlign w:val="center"/>
          </w:tcPr>
          <w:p w14:paraId="6188B8ED" w14:textId="77777777"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(77.059)</w:t>
            </w:r>
          </w:p>
        </w:tc>
        <w:tc>
          <w:tcPr>
            <w:tcW w:w="379" w:type="pct"/>
            <w:gridSpan w:val="2"/>
            <w:tcBorders>
              <w:top w:val="single" w:sz="4" w:space="0" w:color="F68F00"/>
              <w:left w:val="nil"/>
              <w:bottom w:val="single" w:sz="4" w:space="0" w:color="F68F00"/>
              <w:right w:val="nil"/>
            </w:tcBorders>
            <w:shd w:val="clear" w:color="auto" w:fill="auto"/>
            <w:vAlign w:val="center"/>
          </w:tcPr>
          <w:p w14:paraId="552B4020" w14:textId="694B85F4" w:rsidR="00E5276F" w:rsidRPr="00E20D21" w:rsidRDefault="00E5276F" w:rsidP="00E5276F">
            <w:pPr>
              <w:jc w:val="right"/>
              <w:rPr>
                <w:rFonts w:ascii="CAIXA Std Book" w:hAnsi="CAIXA Std Book" w:cs="MS Gothic"/>
                <w:b/>
                <w:color w:val="005CA9"/>
                <w:sz w:val="16"/>
                <w:szCs w:val="16"/>
              </w:rPr>
            </w:pPr>
            <w:r w:rsidRPr="00E20D21">
              <w:rPr>
                <w:rFonts w:ascii="CAIXA Std Book" w:hAnsi="CAIXA Std Book" w:cs="Calibri"/>
                <w:b/>
                <w:bCs/>
                <w:color w:val="005CA9"/>
                <w:sz w:val="16"/>
                <w:szCs w:val="16"/>
              </w:rPr>
              <w:t>(70.302)</w:t>
            </w:r>
          </w:p>
        </w:tc>
      </w:tr>
      <w:tr w:rsidR="00A47C19" w:rsidRPr="00E20D21" w14:paraId="46C431B0" w14:textId="77777777" w:rsidTr="00414006">
        <w:trPr>
          <w:trHeight w:val="283"/>
        </w:trPr>
        <w:tc>
          <w:tcPr>
            <w:tcW w:w="5000" w:type="pct"/>
            <w:gridSpan w:val="22"/>
            <w:tcBorders>
              <w:top w:val="single" w:sz="4" w:space="0" w:color="F68F00"/>
              <w:left w:val="nil"/>
              <w:bottom w:val="single" w:sz="4" w:space="0" w:color="F68F00"/>
              <w:right w:val="nil"/>
            </w:tcBorders>
            <w:shd w:val="clear" w:color="auto" w:fill="auto"/>
            <w:vAlign w:val="center"/>
          </w:tcPr>
          <w:p w14:paraId="378364F1" w14:textId="7FB7F10E" w:rsidR="003834D8" w:rsidRPr="00E20D21" w:rsidRDefault="003834D8" w:rsidP="00A01778">
            <w:pPr>
              <w:jc w:val="center"/>
              <w:rPr>
                <w:rFonts w:ascii="CAIXA Std Book" w:hAnsi="CAIXA Std Book" w:cs="MS Gothic"/>
                <w:b/>
                <w:color w:val="005CA9"/>
                <w:sz w:val="14"/>
                <w:szCs w:val="14"/>
              </w:rPr>
            </w:pPr>
            <w:bookmarkStart w:id="76" w:name="_Hlk47367425"/>
            <w:r w:rsidRPr="00E20D21">
              <w:rPr>
                <w:rFonts w:ascii="CAIXA Std Book" w:hAnsi="CAIXA Std Book"/>
                <w:color w:val="005CA9"/>
                <w:sz w:val="14"/>
                <w:szCs w:val="14"/>
              </w:rPr>
              <w:lastRenderedPageBreak/>
              <w:br w:type="page"/>
            </w:r>
            <w:r w:rsidRPr="00E20D21">
              <w:rPr>
                <w:rFonts w:ascii="CAIXA Std Book" w:hAnsi="CAIXA Std Book"/>
                <w:color w:val="005CA9"/>
                <w:sz w:val="14"/>
                <w:szCs w:val="14"/>
              </w:rPr>
              <w:br w:type="page"/>
            </w:r>
            <w:r w:rsidRPr="00E20D21">
              <w:rPr>
                <w:rFonts w:ascii="CAIXA Std Book" w:hAnsi="CAIXA Std Book" w:cs="MS Gothic"/>
                <w:b/>
                <w:color w:val="005CA9"/>
                <w:sz w:val="14"/>
                <w:szCs w:val="14"/>
              </w:rPr>
              <w:t>INDIVIDUAL</w:t>
            </w:r>
            <w:r w:rsidR="00E20D21">
              <w:rPr>
                <w:rFonts w:ascii="CAIXA Std Book" w:hAnsi="CAIXA Std Book" w:cs="MS Gothic"/>
                <w:b/>
                <w:color w:val="005CA9"/>
                <w:sz w:val="14"/>
                <w:szCs w:val="14"/>
              </w:rPr>
              <w:t xml:space="preserve"> </w:t>
            </w:r>
            <w:r w:rsidRPr="00E20D21">
              <w:rPr>
                <w:rFonts w:ascii="CAIXA Std Book" w:hAnsi="CAIXA Std Book" w:cs="MS Gothic"/>
                <w:b/>
                <w:color w:val="005CA9"/>
                <w:sz w:val="14"/>
                <w:szCs w:val="14"/>
              </w:rPr>
              <w:t>/</w:t>
            </w:r>
            <w:r w:rsidR="00E20D21">
              <w:rPr>
                <w:rFonts w:ascii="CAIXA Std Book" w:hAnsi="CAIXA Std Book" w:cs="MS Gothic"/>
                <w:b/>
                <w:color w:val="005CA9"/>
                <w:sz w:val="14"/>
                <w:szCs w:val="14"/>
              </w:rPr>
              <w:t xml:space="preserve"> </w:t>
            </w:r>
            <w:r w:rsidRPr="00E20D21">
              <w:rPr>
                <w:rFonts w:ascii="CAIXA Std Book" w:hAnsi="CAIXA Std Book" w:cs="MS Gothic"/>
                <w:b/>
                <w:color w:val="005CA9"/>
                <w:sz w:val="14"/>
                <w:szCs w:val="14"/>
              </w:rPr>
              <w:t>CONSOLIDADO</w:t>
            </w:r>
          </w:p>
        </w:tc>
      </w:tr>
      <w:tr w:rsidR="00414006" w:rsidRPr="00E20D21" w14:paraId="0B049042" w14:textId="77777777" w:rsidTr="007B15C0">
        <w:trPr>
          <w:trHeight w:val="283"/>
        </w:trPr>
        <w:tc>
          <w:tcPr>
            <w:tcW w:w="1020" w:type="pct"/>
            <w:vMerge w:val="restart"/>
            <w:tcBorders>
              <w:top w:val="single" w:sz="4" w:space="0" w:color="F68F00"/>
              <w:left w:val="nil"/>
              <w:bottom w:val="single" w:sz="4" w:space="0" w:color="F68F00"/>
              <w:right w:val="nil"/>
            </w:tcBorders>
            <w:shd w:val="clear" w:color="auto" w:fill="auto"/>
            <w:vAlign w:val="center"/>
            <w:hideMark/>
          </w:tcPr>
          <w:p w14:paraId="6FB3195B" w14:textId="77777777" w:rsidR="003834D8" w:rsidRPr="00E20D21" w:rsidRDefault="003834D8" w:rsidP="00A01778">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Descrição</w:t>
            </w:r>
          </w:p>
        </w:tc>
        <w:tc>
          <w:tcPr>
            <w:tcW w:w="1102" w:type="pct"/>
            <w:gridSpan w:val="5"/>
            <w:tcBorders>
              <w:top w:val="single" w:sz="4" w:space="0" w:color="F68F00"/>
              <w:left w:val="nil"/>
              <w:bottom w:val="single" w:sz="4" w:space="0" w:color="F68F00"/>
              <w:right w:val="nil"/>
            </w:tcBorders>
            <w:shd w:val="clear" w:color="auto" w:fill="auto"/>
            <w:vAlign w:val="center"/>
            <w:hideMark/>
          </w:tcPr>
          <w:p w14:paraId="44E0B1E4" w14:textId="77777777" w:rsidR="003834D8" w:rsidRPr="00E20D21" w:rsidRDefault="003834D8" w:rsidP="00A01778">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REG/REPLAN Saldado</w:t>
            </w:r>
          </w:p>
        </w:tc>
        <w:tc>
          <w:tcPr>
            <w:tcW w:w="1006" w:type="pct"/>
            <w:gridSpan w:val="5"/>
            <w:tcBorders>
              <w:top w:val="single" w:sz="4" w:space="0" w:color="F68F00"/>
              <w:left w:val="nil"/>
              <w:bottom w:val="single" w:sz="4" w:space="0" w:color="F68F00"/>
              <w:right w:val="nil"/>
            </w:tcBorders>
            <w:shd w:val="clear" w:color="auto" w:fill="auto"/>
            <w:vAlign w:val="center"/>
            <w:hideMark/>
          </w:tcPr>
          <w:p w14:paraId="7B155F27" w14:textId="77777777" w:rsidR="003834D8" w:rsidRPr="00E20D21" w:rsidRDefault="003834D8" w:rsidP="00A01778">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REG/REPLAN Não saldado</w:t>
            </w:r>
          </w:p>
        </w:tc>
        <w:tc>
          <w:tcPr>
            <w:tcW w:w="868" w:type="pct"/>
            <w:gridSpan w:val="6"/>
            <w:tcBorders>
              <w:top w:val="single" w:sz="4" w:space="0" w:color="F68F00"/>
              <w:left w:val="nil"/>
              <w:bottom w:val="single" w:sz="4" w:space="0" w:color="F68F00"/>
              <w:right w:val="nil"/>
            </w:tcBorders>
            <w:shd w:val="clear" w:color="auto" w:fill="auto"/>
            <w:vAlign w:val="center"/>
            <w:hideMark/>
          </w:tcPr>
          <w:p w14:paraId="7DF04783" w14:textId="77777777" w:rsidR="003834D8" w:rsidRPr="00E20D21" w:rsidRDefault="003834D8" w:rsidP="00A01778">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REB</w:t>
            </w:r>
          </w:p>
        </w:tc>
        <w:tc>
          <w:tcPr>
            <w:tcW w:w="1005" w:type="pct"/>
            <w:gridSpan w:val="5"/>
            <w:tcBorders>
              <w:top w:val="single" w:sz="4" w:space="0" w:color="F68F00"/>
              <w:left w:val="nil"/>
              <w:bottom w:val="single" w:sz="4" w:space="0" w:color="F68F00"/>
              <w:right w:val="nil"/>
            </w:tcBorders>
            <w:shd w:val="clear" w:color="auto" w:fill="auto"/>
            <w:vAlign w:val="center"/>
            <w:hideMark/>
          </w:tcPr>
          <w:p w14:paraId="05F45F9C" w14:textId="77777777" w:rsidR="003834D8" w:rsidRPr="00E20D21" w:rsidRDefault="003834D8" w:rsidP="00A01778">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Novo Plano</w:t>
            </w:r>
          </w:p>
        </w:tc>
      </w:tr>
      <w:tr w:rsidR="00414006" w:rsidRPr="00E20D21" w14:paraId="19009DB5" w14:textId="77777777" w:rsidTr="007B15C0">
        <w:trPr>
          <w:trHeight w:val="283"/>
        </w:trPr>
        <w:tc>
          <w:tcPr>
            <w:tcW w:w="1020" w:type="pct"/>
            <w:vMerge/>
            <w:tcBorders>
              <w:top w:val="single" w:sz="4" w:space="0" w:color="F68F00"/>
              <w:left w:val="nil"/>
              <w:bottom w:val="single" w:sz="4" w:space="0" w:color="F68F00"/>
              <w:right w:val="nil"/>
            </w:tcBorders>
            <w:vAlign w:val="center"/>
            <w:hideMark/>
          </w:tcPr>
          <w:p w14:paraId="491EEA60" w14:textId="77777777" w:rsidR="00FD7CB6" w:rsidRPr="00E20D21" w:rsidRDefault="00FD7CB6" w:rsidP="00FD7CB6">
            <w:pPr>
              <w:rPr>
                <w:rFonts w:ascii="CAIXA Std Book" w:hAnsi="CAIXA Std Book" w:cs="MS Gothic"/>
                <w:b/>
                <w:color w:val="005CA9"/>
                <w:sz w:val="14"/>
                <w:szCs w:val="14"/>
              </w:rPr>
            </w:pPr>
          </w:p>
        </w:tc>
        <w:tc>
          <w:tcPr>
            <w:tcW w:w="363" w:type="pct"/>
            <w:tcBorders>
              <w:top w:val="nil"/>
              <w:left w:val="nil"/>
              <w:bottom w:val="single" w:sz="4" w:space="0" w:color="F68F00"/>
              <w:right w:val="nil"/>
            </w:tcBorders>
            <w:shd w:val="clear" w:color="auto" w:fill="auto"/>
            <w:vAlign w:val="center"/>
          </w:tcPr>
          <w:p w14:paraId="421239C5" w14:textId="5A5AD769"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1º semestre 2024</w:t>
            </w:r>
          </w:p>
        </w:tc>
        <w:tc>
          <w:tcPr>
            <w:tcW w:w="369" w:type="pct"/>
            <w:gridSpan w:val="2"/>
            <w:tcBorders>
              <w:top w:val="nil"/>
              <w:left w:val="nil"/>
              <w:bottom w:val="single" w:sz="4" w:space="0" w:color="F68F00"/>
              <w:right w:val="nil"/>
            </w:tcBorders>
            <w:shd w:val="clear" w:color="auto" w:fill="auto"/>
            <w:vAlign w:val="center"/>
          </w:tcPr>
          <w:p w14:paraId="503F0CB0" w14:textId="2235B1E1"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Exercício 2023</w:t>
            </w:r>
          </w:p>
        </w:tc>
        <w:tc>
          <w:tcPr>
            <w:tcW w:w="369" w:type="pct"/>
            <w:gridSpan w:val="2"/>
            <w:tcBorders>
              <w:top w:val="nil"/>
              <w:left w:val="nil"/>
              <w:bottom w:val="single" w:sz="4" w:space="0" w:color="F68F00"/>
              <w:right w:val="nil"/>
            </w:tcBorders>
            <w:shd w:val="clear" w:color="auto" w:fill="auto"/>
            <w:vAlign w:val="center"/>
          </w:tcPr>
          <w:p w14:paraId="1DD698C7" w14:textId="00F5C555"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1º semestre 2023</w:t>
            </w:r>
          </w:p>
        </w:tc>
        <w:tc>
          <w:tcPr>
            <w:tcW w:w="335" w:type="pct"/>
            <w:gridSpan w:val="2"/>
            <w:tcBorders>
              <w:top w:val="nil"/>
              <w:left w:val="nil"/>
              <w:bottom w:val="single" w:sz="4" w:space="0" w:color="F68F00"/>
              <w:right w:val="nil"/>
            </w:tcBorders>
            <w:shd w:val="clear" w:color="auto" w:fill="auto"/>
            <w:vAlign w:val="center"/>
          </w:tcPr>
          <w:p w14:paraId="4CAFBFCB" w14:textId="2FB915DA"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1º semestre 2024</w:t>
            </w:r>
          </w:p>
        </w:tc>
        <w:tc>
          <w:tcPr>
            <w:tcW w:w="335" w:type="pct"/>
            <w:gridSpan w:val="2"/>
            <w:tcBorders>
              <w:top w:val="nil"/>
              <w:left w:val="nil"/>
              <w:bottom w:val="single" w:sz="4" w:space="0" w:color="F68F00"/>
              <w:right w:val="nil"/>
            </w:tcBorders>
            <w:shd w:val="clear" w:color="auto" w:fill="auto"/>
            <w:vAlign w:val="center"/>
          </w:tcPr>
          <w:p w14:paraId="0D5D9CC0" w14:textId="7FBB6BE4"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Exercício 2023</w:t>
            </w:r>
          </w:p>
        </w:tc>
        <w:tc>
          <w:tcPr>
            <w:tcW w:w="336" w:type="pct"/>
            <w:tcBorders>
              <w:top w:val="nil"/>
              <w:left w:val="nil"/>
              <w:bottom w:val="single" w:sz="4" w:space="0" w:color="F68F00"/>
              <w:right w:val="nil"/>
            </w:tcBorders>
            <w:shd w:val="clear" w:color="auto" w:fill="auto"/>
            <w:vAlign w:val="center"/>
          </w:tcPr>
          <w:p w14:paraId="5B532899" w14:textId="54271605"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1º semestre 2023</w:t>
            </w:r>
          </w:p>
        </w:tc>
        <w:tc>
          <w:tcPr>
            <w:tcW w:w="289" w:type="pct"/>
            <w:gridSpan w:val="2"/>
            <w:tcBorders>
              <w:top w:val="nil"/>
              <w:left w:val="nil"/>
              <w:bottom w:val="single" w:sz="4" w:space="0" w:color="F68F00"/>
              <w:right w:val="nil"/>
            </w:tcBorders>
            <w:shd w:val="clear" w:color="auto" w:fill="auto"/>
            <w:vAlign w:val="center"/>
          </w:tcPr>
          <w:p w14:paraId="20494DED" w14:textId="46E6F26A"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1º semestre 2024</w:t>
            </w:r>
          </w:p>
        </w:tc>
        <w:tc>
          <w:tcPr>
            <w:tcW w:w="289" w:type="pct"/>
            <w:gridSpan w:val="2"/>
            <w:tcBorders>
              <w:top w:val="nil"/>
              <w:left w:val="nil"/>
              <w:bottom w:val="single" w:sz="4" w:space="0" w:color="F68F00"/>
              <w:right w:val="nil"/>
            </w:tcBorders>
            <w:shd w:val="clear" w:color="auto" w:fill="auto"/>
            <w:vAlign w:val="center"/>
          </w:tcPr>
          <w:p w14:paraId="373F367E" w14:textId="717F00DD"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Exercício 2023</w:t>
            </w:r>
          </w:p>
        </w:tc>
        <w:tc>
          <w:tcPr>
            <w:tcW w:w="290" w:type="pct"/>
            <w:gridSpan w:val="2"/>
            <w:tcBorders>
              <w:top w:val="nil"/>
              <w:left w:val="nil"/>
              <w:bottom w:val="single" w:sz="4" w:space="0" w:color="F68F00"/>
              <w:right w:val="nil"/>
            </w:tcBorders>
            <w:shd w:val="clear" w:color="auto" w:fill="auto"/>
            <w:vAlign w:val="center"/>
          </w:tcPr>
          <w:p w14:paraId="0F1A5EDC" w14:textId="30511EF0"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1º semestre 2023</w:t>
            </w:r>
          </w:p>
        </w:tc>
        <w:tc>
          <w:tcPr>
            <w:tcW w:w="335" w:type="pct"/>
            <w:gridSpan w:val="2"/>
            <w:tcBorders>
              <w:top w:val="nil"/>
              <w:left w:val="nil"/>
              <w:bottom w:val="single" w:sz="4" w:space="0" w:color="F68F00"/>
              <w:right w:val="nil"/>
            </w:tcBorders>
            <w:shd w:val="clear" w:color="auto" w:fill="auto"/>
            <w:vAlign w:val="center"/>
          </w:tcPr>
          <w:p w14:paraId="01B5E4A9" w14:textId="3AF31835"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1º semestre 2024</w:t>
            </w:r>
          </w:p>
        </w:tc>
        <w:tc>
          <w:tcPr>
            <w:tcW w:w="335" w:type="pct"/>
            <w:gridSpan w:val="2"/>
            <w:tcBorders>
              <w:top w:val="nil"/>
              <w:left w:val="nil"/>
              <w:bottom w:val="single" w:sz="4" w:space="0" w:color="F68F00"/>
              <w:right w:val="nil"/>
            </w:tcBorders>
            <w:shd w:val="clear" w:color="auto" w:fill="auto"/>
            <w:vAlign w:val="center"/>
          </w:tcPr>
          <w:p w14:paraId="3A11C67E" w14:textId="31787FD7"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Exercício 2023</w:t>
            </w:r>
          </w:p>
        </w:tc>
        <w:tc>
          <w:tcPr>
            <w:tcW w:w="335" w:type="pct"/>
            <w:tcBorders>
              <w:top w:val="nil"/>
              <w:left w:val="nil"/>
              <w:bottom w:val="single" w:sz="4" w:space="0" w:color="F68F00"/>
              <w:right w:val="nil"/>
            </w:tcBorders>
            <w:shd w:val="clear" w:color="auto" w:fill="auto"/>
            <w:vAlign w:val="center"/>
          </w:tcPr>
          <w:p w14:paraId="56F891DD" w14:textId="76CD2967" w:rsidR="00FD7CB6" w:rsidRPr="00E20D21" w:rsidRDefault="00FD7CB6" w:rsidP="00FD7CB6">
            <w:pPr>
              <w:jc w:val="center"/>
              <w:rPr>
                <w:rFonts w:ascii="CAIXA Std Book" w:hAnsi="CAIXA Std Book" w:cs="MS Gothic"/>
                <w:b/>
                <w:color w:val="005CA9"/>
                <w:sz w:val="14"/>
                <w:szCs w:val="14"/>
                <w:highlight w:val="yellow"/>
              </w:rPr>
            </w:pPr>
            <w:r w:rsidRPr="00E20D21">
              <w:rPr>
                <w:rFonts w:ascii="CAIXA Std Book" w:hAnsi="CAIXA Std Book" w:cs="MS Gothic"/>
                <w:b/>
                <w:color w:val="005CA9"/>
                <w:sz w:val="14"/>
                <w:szCs w:val="14"/>
              </w:rPr>
              <w:t>1º semestre 2023</w:t>
            </w:r>
          </w:p>
        </w:tc>
      </w:tr>
      <w:tr w:rsidR="00414006" w:rsidRPr="00E20D21" w14:paraId="6DDA06DA" w14:textId="77777777" w:rsidTr="007B15C0">
        <w:trPr>
          <w:trHeight w:val="283"/>
        </w:trPr>
        <w:tc>
          <w:tcPr>
            <w:tcW w:w="1020" w:type="pct"/>
            <w:tcBorders>
              <w:top w:val="nil"/>
              <w:left w:val="nil"/>
              <w:bottom w:val="nil"/>
              <w:right w:val="nil"/>
            </w:tcBorders>
            <w:shd w:val="clear" w:color="auto" w:fill="auto"/>
            <w:vAlign w:val="center"/>
            <w:hideMark/>
          </w:tcPr>
          <w:p w14:paraId="47AEFB1A" w14:textId="77777777" w:rsidR="00A5406B" w:rsidRPr="00E20D21" w:rsidRDefault="00A5406B" w:rsidP="00A5406B">
            <w:pPr>
              <w:rPr>
                <w:rFonts w:ascii="CAIXA Std Book" w:hAnsi="CAIXA Std Book" w:cs="MS Gothic"/>
                <w:b/>
                <w:color w:val="005CA9"/>
                <w:sz w:val="14"/>
                <w:szCs w:val="14"/>
              </w:rPr>
            </w:pPr>
            <w:r w:rsidRPr="00E20D21">
              <w:rPr>
                <w:rFonts w:ascii="CAIXA Std Book" w:hAnsi="CAIXA Std Book" w:cs="MS Gothic"/>
                <w:b/>
                <w:color w:val="005CA9"/>
                <w:sz w:val="14"/>
                <w:szCs w:val="14"/>
              </w:rPr>
              <w:t>VPO no início do período</w:t>
            </w:r>
          </w:p>
        </w:tc>
        <w:tc>
          <w:tcPr>
            <w:tcW w:w="363" w:type="pct"/>
            <w:tcBorders>
              <w:top w:val="nil"/>
              <w:left w:val="nil"/>
              <w:bottom w:val="nil"/>
              <w:right w:val="nil"/>
            </w:tcBorders>
            <w:shd w:val="clear" w:color="auto" w:fill="auto"/>
            <w:vAlign w:val="center"/>
          </w:tcPr>
          <w:p w14:paraId="1EE3DFD3" w14:textId="2C41AF26"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(71.312.057)</w:t>
            </w:r>
          </w:p>
        </w:tc>
        <w:tc>
          <w:tcPr>
            <w:tcW w:w="369" w:type="pct"/>
            <w:gridSpan w:val="2"/>
            <w:tcBorders>
              <w:top w:val="nil"/>
              <w:left w:val="nil"/>
              <w:bottom w:val="nil"/>
              <w:right w:val="nil"/>
            </w:tcBorders>
            <w:shd w:val="clear" w:color="auto" w:fill="auto"/>
            <w:vAlign w:val="center"/>
          </w:tcPr>
          <w:p w14:paraId="270E7127"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(65.244.834)</w:t>
            </w:r>
          </w:p>
        </w:tc>
        <w:tc>
          <w:tcPr>
            <w:tcW w:w="369" w:type="pct"/>
            <w:gridSpan w:val="2"/>
            <w:tcBorders>
              <w:top w:val="nil"/>
              <w:left w:val="nil"/>
              <w:bottom w:val="nil"/>
              <w:right w:val="nil"/>
            </w:tcBorders>
            <w:shd w:val="clear" w:color="auto" w:fill="auto"/>
            <w:vAlign w:val="center"/>
          </w:tcPr>
          <w:p w14:paraId="7017B44A" w14:textId="47681488"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(65.244.834)</w:t>
            </w:r>
          </w:p>
        </w:tc>
        <w:tc>
          <w:tcPr>
            <w:tcW w:w="335" w:type="pct"/>
            <w:gridSpan w:val="2"/>
            <w:tcBorders>
              <w:top w:val="nil"/>
              <w:left w:val="nil"/>
              <w:bottom w:val="nil"/>
              <w:right w:val="nil"/>
            </w:tcBorders>
            <w:shd w:val="clear" w:color="auto" w:fill="auto"/>
            <w:vAlign w:val="center"/>
          </w:tcPr>
          <w:p w14:paraId="586C73E4" w14:textId="6F949BAC"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(7.520.794)</w:t>
            </w:r>
          </w:p>
        </w:tc>
        <w:tc>
          <w:tcPr>
            <w:tcW w:w="335" w:type="pct"/>
            <w:gridSpan w:val="2"/>
            <w:tcBorders>
              <w:top w:val="nil"/>
              <w:left w:val="nil"/>
              <w:bottom w:val="nil"/>
              <w:right w:val="nil"/>
            </w:tcBorders>
            <w:shd w:val="clear" w:color="auto" w:fill="auto"/>
            <w:vAlign w:val="center"/>
          </w:tcPr>
          <w:p w14:paraId="53A6D927"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(6.610.869)</w:t>
            </w:r>
          </w:p>
        </w:tc>
        <w:tc>
          <w:tcPr>
            <w:tcW w:w="336" w:type="pct"/>
            <w:tcBorders>
              <w:top w:val="nil"/>
              <w:left w:val="nil"/>
              <w:bottom w:val="nil"/>
              <w:right w:val="nil"/>
            </w:tcBorders>
            <w:shd w:val="clear" w:color="auto" w:fill="auto"/>
            <w:vAlign w:val="center"/>
          </w:tcPr>
          <w:p w14:paraId="42E59984" w14:textId="5FEFBA98"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(6.610.869)</w:t>
            </w:r>
          </w:p>
        </w:tc>
        <w:tc>
          <w:tcPr>
            <w:tcW w:w="289" w:type="pct"/>
            <w:gridSpan w:val="2"/>
            <w:tcBorders>
              <w:top w:val="nil"/>
              <w:left w:val="nil"/>
              <w:bottom w:val="nil"/>
              <w:right w:val="nil"/>
            </w:tcBorders>
            <w:shd w:val="clear" w:color="auto" w:fill="auto"/>
            <w:vAlign w:val="center"/>
          </w:tcPr>
          <w:p w14:paraId="7D3F2974" w14:textId="1ED8C56E" w:rsidR="00A5406B" w:rsidRPr="00E20D21" w:rsidRDefault="00564392"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(854.794)</w:t>
            </w:r>
          </w:p>
        </w:tc>
        <w:tc>
          <w:tcPr>
            <w:tcW w:w="289" w:type="pct"/>
            <w:gridSpan w:val="2"/>
            <w:tcBorders>
              <w:top w:val="nil"/>
              <w:left w:val="nil"/>
              <w:bottom w:val="nil"/>
              <w:right w:val="nil"/>
            </w:tcBorders>
            <w:shd w:val="clear" w:color="auto" w:fill="auto"/>
            <w:vAlign w:val="center"/>
          </w:tcPr>
          <w:p w14:paraId="7B26326F"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(729.022)</w:t>
            </w:r>
          </w:p>
        </w:tc>
        <w:tc>
          <w:tcPr>
            <w:tcW w:w="290" w:type="pct"/>
            <w:gridSpan w:val="2"/>
            <w:tcBorders>
              <w:top w:val="nil"/>
              <w:left w:val="nil"/>
              <w:bottom w:val="nil"/>
              <w:right w:val="nil"/>
            </w:tcBorders>
            <w:shd w:val="clear" w:color="auto" w:fill="auto"/>
            <w:vAlign w:val="center"/>
          </w:tcPr>
          <w:p w14:paraId="0369D0BA" w14:textId="43485B43"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(729.022)</w:t>
            </w:r>
          </w:p>
        </w:tc>
        <w:tc>
          <w:tcPr>
            <w:tcW w:w="335" w:type="pct"/>
            <w:gridSpan w:val="2"/>
            <w:tcBorders>
              <w:top w:val="nil"/>
              <w:left w:val="nil"/>
              <w:bottom w:val="nil"/>
              <w:right w:val="nil"/>
            </w:tcBorders>
            <w:shd w:val="clear" w:color="auto" w:fill="auto"/>
            <w:vAlign w:val="center"/>
          </w:tcPr>
          <w:p w14:paraId="0D79218D" w14:textId="295E639F" w:rsidR="00A5406B" w:rsidRPr="00E20D21" w:rsidRDefault="00C81FA8"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(5.175.920)</w:t>
            </w:r>
          </w:p>
        </w:tc>
        <w:tc>
          <w:tcPr>
            <w:tcW w:w="335" w:type="pct"/>
            <w:gridSpan w:val="2"/>
            <w:tcBorders>
              <w:top w:val="nil"/>
              <w:left w:val="nil"/>
              <w:bottom w:val="nil"/>
              <w:right w:val="nil"/>
            </w:tcBorders>
            <w:shd w:val="clear" w:color="auto" w:fill="auto"/>
            <w:vAlign w:val="center"/>
          </w:tcPr>
          <w:p w14:paraId="7B08D79D"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(4.388.031)</w:t>
            </w:r>
          </w:p>
        </w:tc>
        <w:tc>
          <w:tcPr>
            <w:tcW w:w="335" w:type="pct"/>
            <w:tcBorders>
              <w:top w:val="nil"/>
              <w:left w:val="nil"/>
              <w:bottom w:val="nil"/>
              <w:right w:val="nil"/>
            </w:tcBorders>
            <w:shd w:val="clear" w:color="auto" w:fill="auto"/>
            <w:vAlign w:val="center"/>
          </w:tcPr>
          <w:p w14:paraId="1D44A77C" w14:textId="1B97CB82"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(4.388.031)</w:t>
            </w:r>
          </w:p>
        </w:tc>
      </w:tr>
      <w:tr w:rsidR="00414006" w:rsidRPr="00E20D21" w14:paraId="79DA7D1F" w14:textId="77777777" w:rsidTr="007B15C0">
        <w:trPr>
          <w:trHeight w:val="283"/>
        </w:trPr>
        <w:tc>
          <w:tcPr>
            <w:tcW w:w="1020" w:type="pct"/>
            <w:tcBorders>
              <w:top w:val="nil"/>
              <w:left w:val="nil"/>
              <w:bottom w:val="nil"/>
              <w:right w:val="nil"/>
            </w:tcBorders>
            <w:shd w:val="clear" w:color="auto" w:fill="auto"/>
            <w:vAlign w:val="center"/>
            <w:hideMark/>
          </w:tcPr>
          <w:p w14:paraId="6045CBFC" w14:textId="77777777" w:rsidR="00A5406B" w:rsidRPr="00E20D21" w:rsidRDefault="00A5406B" w:rsidP="00A5406B">
            <w:pPr>
              <w:rPr>
                <w:rFonts w:ascii="CAIXA Std Book" w:hAnsi="CAIXA Std Book" w:cs="MS Gothic"/>
                <w:b/>
                <w:color w:val="005CA9"/>
                <w:sz w:val="14"/>
                <w:szCs w:val="14"/>
              </w:rPr>
            </w:pPr>
            <w:r w:rsidRPr="00E20D21">
              <w:rPr>
                <w:rFonts w:ascii="CAIXA Std Book" w:hAnsi="CAIXA Std Book" w:cs="MS Gothic"/>
                <w:b/>
                <w:color w:val="005CA9"/>
                <w:sz w:val="14"/>
                <w:szCs w:val="14"/>
              </w:rPr>
              <w:t>Custo do serviço corrente</w:t>
            </w:r>
          </w:p>
        </w:tc>
        <w:tc>
          <w:tcPr>
            <w:tcW w:w="363" w:type="pct"/>
            <w:tcBorders>
              <w:top w:val="nil"/>
              <w:left w:val="nil"/>
              <w:bottom w:val="nil"/>
              <w:right w:val="nil"/>
            </w:tcBorders>
            <w:shd w:val="clear" w:color="auto" w:fill="auto"/>
            <w:vAlign w:val="center"/>
          </w:tcPr>
          <w:p w14:paraId="70AF66E0" w14:textId="7C0DC25E" w:rsidR="00A5406B" w:rsidRPr="00E20D21" w:rsidRDefault="00A7689C"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369" w:type="pct"/>
            <w:gridSpan w:val="2"/>
            <w:tcBorders>
              <w:top w:val="nil"/>
              <w:left w:val="nil"/>
              <w:bottom w:val="nil"/>
              <w:right w:val="nil"/>
            </w:tcBorders>
            <w:shd w:val="clear" w:color="auto" w:fill="auto"/>
            <w:vAlign w:val="center"/>
          </w:tcPr>
          <w:p w14:paraId="140A8189" w14:textId="77777777" w:rsidR="00A5406B" w:rsidRPr="00E20D21" w:rsidRDefault="00A5406B"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369" w:type="pct"/>
            <w:gridSpan w:val="2"/>
            <w:tcBorders>
              <w:top w:val="nil"/>
              <w:left w:val="nil"/>
              <w:bottom w:val="nil"/>
              <w:right w:val="nil"/>
            </w:tcBorders>
            <w:shd w:val="clear" w:color="auto" w:fill="auto"/>
            <w:vAlign w:val="center"/>
          </w:tcPr>
          <w:p w14:paraId="72181672" w14:textId="7EE87128" w:rsidR="00A5406B" w:rsidRPr="00E20D21" w:rsidRDefault="00A5406B"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335" w:type="pct"/>
            <w:gridSpan w:val="2"/>
            <w:tcBorders>
              <w:top w:val="nil"/>
              <w:left w:val="nil"/>
              <w:bottom w:val="nil"/>
              <w:right w:val="nil"/>
            </w:tcBorders>
            <w:shd w:val="clear" w:color="auto" w:fill="auto"/>
            <w:vAlign w:val="center"/>
          </w:tcPr>
          <w:p w14:paraId="2121FDAA" w14:textId="2EDAE86A" w:rsidR="00A5406B" w:rsidRPr="00E20D21" w:rsidRDefault="00A7689C"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335" w:type="pct"/>
            <w:gridSpan w:val="2"/>
            <w:tcBorders>
              <w:top w:val="nil"/>
              <w:left w:val="nil"/>
              <w:bottom w:val="nil"/>
              <w:right w:val="nil"/>
            </w:tcBorders>
            <w:shd w:val="clear" w:color="auto" w:fill="auto"/>
            <w:vAlign w:val="center"/>
          </w:tcPr>
          <w:p w14:paraId="300D2C1D" w14:textId="77777777" w:rsidR="00A5406B" w:rsidRPr="00E20D21" w:rsidRDefault="00A5406B"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336" w:type="pct"/>
            <w:tcBorders>
              <w:top w:val="nil"/>
              <w:left w:val="nil"/>
              <w:bottom w:val="nil"/>
              <w:right w:val="nil"/>
            </w:tcBorders>
            <w:shd w:val="clear" w:color="auto" w:fill="auto"/>
            <w:vAlign w:val="center"/>
          </w:tcPr>
          <w:p w14:paraId="046227B6" w14:textId="0AD64977" w:rsidR="00A5406B" w:rsidRPr="00E20D21" w:rsidRDefault="00A5406B"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289" w:type="pct"/>
            <w:gridSpan w:val="2"/>
            <w:tcBorders>
              <w:top w:val="nil"/>
              <w:left w:val="nil"/>
              <w:bottom w:val="nil"/>
              <w:right w:val="nil"/>
            </w:tcBorders>
            <w:shd w:val="clear" w:color="auto" w:fill="auto"/>
            <w:vAlign w:val="center"/>
          </w:tcPr>
          <w:p w14:paraId="449A160F" w14:textId="0A8869FF" w:rsidR="00A5406B" w:rsidRPr="00E20D21" w:rsidRDefault="00564392"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289" w:type="pct"/>
            <w:gridSpan w:val="2"/>
            <w:tcBorders>
              <w:top w:val="nil"/>
              <w:left w:val="nil"/>
              <w:bottom w:val="nil"/>
              <w:right w:val="nil"/>
            </w:tcBorders>
            <w:shd w:val="clear" w:color="auto" w:fill="auto"/>
            <w:vAlign w:val="center"/>
          </w:tcPr>
          <w:p w14:paraId="664D05FA" w14:textId="77777777" w:rsidR="00A5406B" w:rsidRPr="00E20D21" w:rsidRDefault="00A5406B"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290" w:type="pct"/>
            <w:gridSpan w:val="2"/>
            <w:tcBorders>
              <w:top w:val="nil"/>
              <w:left w:val="nil"/>
              <w:bottom w:val="nil"/>
              <w:right w:val="nil"/>
            </w:tcBorders>
            <w:shd w:val="clear" w:color="auto" w:fill="auto"/>
            <w:vAlign w:val="center"/>
          </w:tcPr>
          <w:p w14:paraId="33EB416E" w14:textId="49E1EB3C" w:rsidR="00A5406B" w:rsidRPr="00E20D21" w:rsidRDefault="00A5406B" w:rsidP="002A0F31">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335" w:type="pct"/>
            <w:gridSpan w:val="2"/>
            <w:tcBorders>
              <w:top w:val="nil"/>
              <w:left w:val="nil"/>
              <w:bottom w:val="nil"/>
              <w:right w:val="nil"/>
            </w:tcBorders>
            <w:shd w:val="clear" w:color="auto" w:fill="auto"/>
            <w:vAlign w:val="center"/>
          </w:tcPr>
          <w:p w14:paraId="6339EB3B" w14:textId="2520A3DA" w:rsidR="00A5406B" w:rsidRPr="00E20D21" w:rsidRDefault="00C81FA8"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(51.864)</w:t>
            </w:r>
          </w:p>
        </w:tc>
        <w:tc>
          <w:tcPr>
            <w:tcW w:w="335" w:type="pct"/>
            <w:gridSpan w:val="2"/>
            <w:tcBorders>
              <w:top w:val="nil"/>
              <w:left w:val="nil"/>
              <w:bottom w:val="nil"/>
              <w:right w:val="nil"/>
            </w:tcBorders>
            <w:shd w:val="clear" w:color="auto" w:fill="auto"/>
            <w:vAlign w:val="center"/>
          </w:tcPr>
          <w:p w14:paraId="40022135"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(97.676)</w:t>
            </w:r>
          </w:p>
        </w:tc>
        <w:tc>
          <w:tcPr>
            <w:tcW w:w="335" w:type="pct"/>
            <w:tcBorders>
              <w:top w:val="nil"/>
              <w:left w:val="nil"/>
              <w:bottom w:val="nil"/>
              <w:right w:val="nil"/>
            </w:tcBorders>
            <w:shd w:val="clear" w:color="auto" w:fill="auto"/>
            <w:vAlign w:val="center"/>
          </w:tcPr>
          <w:p w14:paraId="2CC0C1E0" w14:textId="2966EC95"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(42.138)</w:t>
            </w:r>
          </w:p>
        </w:tc>
      </w:tr>
      <w:tr w:rsidR="00414006" w:rsidRPr="00E20D21" w14:paraId="4DFC7BD8" w14:textId="77777777" w:rsidTr="007B15C0">
        <w:trPr>
          <w:trHeight w:val="283"/>
        </w:trPr>
        <w:tc>
          <w:tcPr>
            <w:tcW w:w="1020" w:type="pct"/>
            <w:tcBorders>
              <w:top w:val="nil"/>
              <w:left w:val="nil"/>
              <w:bottom w:val="nil"/>
              <w:right w:val="nil"/>
            </w:tcBorders>
            <w:shd w:val="clear" w:color="auto" w:fill="auto"/>
            <w:vAlign w:val="center"/>
            <w:hideMark/>
          </w:tcPr>
          <w:p w14:paraId="4DFF0ACB" w14:textId="77777777" w:rsidR="00A5406B" w:rsidRPr="00E20D21" w:rsidRDefault="00A5406B" w:rsidP="00A5406B">
            <w:pPr>
              <w:rPr>
                <w:rFonts w:ascii="CAIXA Std Book" w:hAnsi="CAIXA Std Book" w:cs="MS Gothic"/>
                <w:b/>
                <w:color w:val="005CA9"/>
                <w:sz w:val="14"/>
                <w:szCs w:val="14"/>
              </w:rPr>
            </w:pPr>
            <w:r w:rsidRPr="00E20D21">
              <w:rPr>
                <w:rFonts w:ascii="CAIXA Std Book" w:hAnsi="CAIXA Std Book" w:cs="MS Gothic"/>
                <w:b/>
                <w:color w:val="005CA9"/>
                <w:sz w:val="14"/>
                <w:szCs w:val="14"/>
              </w:rPr>
              <w:t>Custo de juros sobre VPO</w:t>
            </w:r>
          </w:p>
        </w:tc>
        <w:tc>
          <w:tcPr>
            <w:tcW w:w="363" w:type="pct"/>
            <w:tcBorders>
              <w:top w:val="nil"/>
              <w:left w:val="nil"/>
              <w:bottom w:val="nil"/>
              <w:right w:val="nil"/>
            </w:tcBorders>
            <w:shd w:val="clear" w:color="auto" w:fill="auto"/>
            <w:vAlign w:val="center"/>
          </w:tcPr>
          <w:p w14:paraId="4C4DE364" w14:textId="36E67CB8"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(2.904.744)</w:t>
            </w:r>
          </w:p>
        </w:tc>
        <w:tc>
          <w:tcPr>
            <w:tcW w:w="369" w:type="pct"/>
            <w:gridSpan w:val="2"/>
            <w:tcBorders>
              <w:top w:val="nil"/>
              <w:left w:val="nil"/>
              <w:bottom w:val="nil"/>
              <w:right w:val="nil"/>
            </w:tcBorders>
            <w:shd w:val="clear" w:color="auto" w:fill="auto"/>
            <w:vAlign w:val="center"/>
          </w:tcPr>
          <w:p w14:paraId="63193E68"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(5.832.345)</w:t>
            </w:r>
          </w:p>
        </w:tc>
        <w:tc>
          <w:tcPr>
            <w:tcW w:w="369" w:type="pct"/>
            <w:gridSpan w:val="2"/>
            <w:tcBorders>
              <w:top w:val="nil"/>
              <w:left w:val="nil"/>
              <w:bottom w:val="nil"/>
              <w:right w:val="nil"/>
            </w:tcBorders>
            <w:shd w:val="clear" w:color="auto" w:fill="auto"/>
            <w:vAlign w:val="center"/>
          </w:tcPr>
          <w:p w14:paraId="5A7BF5C5" w14:textId="3649FDDF"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(2.905.137)</w:t>
            </w:r>
          </w:p>
        </w:tc>
        <w:tc>
          <w:tcPr>
            <w:tcW w:w="335" w:type="pct"/>
            <w:gridSpan w:val="2"/>
            <w:tcBorders>
              <w:top w:val="nil"/>
              <w:left w:val="nil"/>
              <w:bottom w:val="nil"/>
              <w:right w:val="nil"/>
            </w:tcBorders>
            <w:shd w:val="clear" w:color="auto" w:fill="auto"/>
            <w:vAlign w:val="center"/>
          </w:tcPr>
          <w:p w14:paraId="6090662C" w14:textId="1F12E64E"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(313.854)</w:t>
            </w:r>
          </w:p>
        </w:tc>
        <w:tc>
          <w:tcPr>
            <w:tcW w:w="335" w:type="pct"/>
            <w:gridSpan w:val="2"/>
            <w:tcBorders>
              <w:top w:val="nil"/>
              <w:left w:val="nil"/>
              <w:bottom w:val="nil"/>
              <w:right w:val="nil"/>
            </w:tcBorders>
            <w:shd w:val="clear" w:color="auto" w:fill="auto"/>
            <w:vAlign w:val="center"/>
          </w:tcPr>
          <w:p w14:paraId="1EAC9D7F"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(616.156)</w:t>
            </w:r>
          </w:p>
        </w:tc>
        <w:tc>
          <w:tcPr>
            <w:tcW w:w="336" w:type="pct"/>
            <w:tcBorders>
              <w:top w:val="nil"/>
              <w:left w:val="nil"/>
              <w:bottom w:val="nil"/>
              <w:right w:val="nil"/>
            </w:tcBorders>
            <w:shd w:val="clear" w:color="auto" w:fill="auto"/>
            <w:vAlign w:val="center"/>
          </w:tcPr>
          <w:p w14:paraId="5F22E01C" w14:textId="59CD1174"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(301.875)</w:t>
            </w:r>
          </w:p>
        </w:tc>
        <w:tc>
          <w:tcPr>
            <w:tcW w:w="289" w:type="pct"/>
            <w:gridSpan w:val="2"/>
            <w:tcBorders>
              <w:top w:val="nil"/>
              <w:left w:val="nil"/>
              <w:bottom w:val="nil"/>
              <w:right w:val="nil"/>
            </w:tcBorders>
            <w:shd w:val="clear" w:color="auto" w:fill="auto"/>
            <w:vAlign w:val="center"/>
          </w:tcPr>
          <w:p w14:paraId="57FC7D3E" w14:textId="2E5707EC" w:rsidR="00A5406B" w:rsidRPr="00E20D21" w:rsidRDefault="00564392"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(35.266)</w:t>
            </w:r>
          </w:p>
        </w:tc>
        <w:tc>
          <w:tcPr>
            <w:tcW w:w="289" w:type="pct"/>
            <w:gridSpan w:val="2"/>
            <w:tcBorders>
              <w:top w:val="nil"/>
              <w:left w:val="nil"/>
              <w:bottom w:val="nil"/>
              <w:right w:val="nil"/>
            </w:tcBorders>
            <w:shd w:val="clear" w:color="auto" w:fill="auto"/>
            <w:vAlign w:val="center"/>
          </w:tcPr>
          <w:p w14:paraId="0C5DA305"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(67.472)</w:t>
            </w:r>
          </w:p>
        </w:tc>
        <w:tc>
          <w:tcPr>
            <w:tcW w:w="290" w:type="pct"/>
            <w:gridSpan w:val="2"/>
            <w:tcBorders>
              <w:top w:val="nil"/>
              <w:left w:val="nil"/>
              <w:bottom w:val="nil"/>
              <w:right w:val="nil"/>
            </w:tcBorders>
            <w:shd w:val="clear" w:color="auto" w:fill="auto"/>
            <w:vAlign w:val="center"/>
          </w:tcPr>
          <w:p w14:paraId="7F43B514" w14:textId="7B0A4B1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(32.729)</w:t>
            </w:r>
          </w:p>
        </w:tc>
        <w:tc>
          <w:tcPr>
            <w:tcW w:w="335" w:type="pct"/>
            <w:gridSpan w:val="2"/>
            <w:tcBorders>
              <w:top w:val="nil"/>
              <w:left w:val="nil"/>
              <w:bottom w:val="nil"/>
              <w:right w:val="nil"/>
            </w:tcBorders>
            <w:shd w:val="clear" w:color="auto" w:fill="auto"/>
            <w:vAlign w:val="center"/>
          </w:tcPr>
          <w:p w14:paraId="6386BE4B" w14:textId="703ABAE8" w:rsidR="00A5406B" w:rsidRPr="00E20D21" w:rsidRDefault="00C81FA8"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(225.424)</w:t>
            </w:r>
          </w:p>
        </w:tc>
        <w:tc>
          <w:tcPr>
            <w:tcW w:w="335" w:type="pct"/>
            <w:gridSpan w:val="2"/>
            <w:tcBorders>
              <w:top w:val="nil"/>
              <w:left w:val="nil"/>
              <w:bottom w:val="nil"/>
              <w:right w:val="nil"/>
            </w:tcBorders>
            <w:shd w:val="clear" w:color="auto" w:fill="auto"/>
            <w:vAlign w:val="center"/>
          </w:tcPr>
          <w:p w14:paraId="433F312B"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(441.459)</w:t>
            </w:r>
          </w:p>
        </w:tc>
        <w:tc>
          <w:tcPr>
            <w:tcW w:w="335" w:type="pct"/>
            <w:tcBorders>
              <w:top w:val="nil"/>
              <w:left w:val="nil"/>
              <w:bottom w:val="nil"/>
              <w:right w:val="nil"/>
            </w:tcBorders>
            <w:shd w:val="clear" w:color="auto" w:fill="auto"/>
            <w:vAlign w:val="center"/>
          </w:tcPr>
          <w:p w14:paraId="6A4E0401" w14:textId="6C8EC600"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(209.976)</w:t>
            </w:r>
          </w:p>
        </w:tc>
      </w:tr>
      <w:tr w:rsidR="00414006" w:rsidRPr="00E20D21" w14:paraId="40B50B3F" w14:textId="77777777" w:rsidTr="007B15C0">
        <w:trPr>
          <w:trHeight w:val="283"/>
        </w:trPr>
        <w:tc>
          <w:tcPr>
            <w:tcW w:w="1020" w:type="pct"/>
            <w:tcBorders>
              <w:top w:val="nil"/>
              <w:left w:val="nil"/>
              <w:bottom w:val="nil"/>
              <w:right w:val="nil"/>
            </w:tcBorders>
            <w:shd w:val="clear" w:color="auto" w:fill="auto"/>
            <w:vAlign w:val="center"/>
            <w:hideMark/>
          </w:tcPr>
          <w:p w14:paraId="6A27F35E" w14:textId="77777777" w:rsidR="00A5406B" w:rsidRPr="00E20D21" w:rsidRDefault="00A5406B" w:rsidP="00A5406B">
            <w:pPr>
              <w:rPr>
                <w:rFonts w:ascii="CAIXA Std Book" w:hAnsi="CAIXA Std Book" w:cs="MS Gothic"/>
                <w:b/>
                <w:color w:val="005CA9"/>
                <w:sz w:val="14"/>
                <w:szCs w:val="14"/>
              </w:rPr>
            </w:pPr>
            <w:r w:rsidRPr="00E20D21">
              <w:rPr>
                <w:rFonts w:ascii="CAIXA Std Book" w:hAnsi="CAIXA Std Book" w:cs="MS Gothic"/>
                <w:b/>
                <w:color w:val="005CA9"/>
                <w:sz w:val="14"/>
                <w:szCs w:val="14"/>
              </w:rPr>
              <w:t>Contribuições pagas de participantes</w:t>
            </w:r>
          </w:p>
        </w:tc>
        <w:tc>
          <w:tcPr>
            <w:tcW w:w="363" w:type="pct"/>
            <w:tcBorders>
              <w:top w:val="nil"/>
              <w:left w:val="nil"/>
              <w:bottom w:val="nil"/>
              <w:right w:val="nil"/>
            </w:tcBorders>
            <w:shd w:val="clear" w:color="auto" w:fill="auto"/>
            <w:vAlign w:val="center"/>
          </w:tcPr>
          <w:p w14:paraId="19B05E8D" w14:textId="4286D60E" w:rsidR="00A5406B" w:rsidRPr="00E20D21" w:rsidRDefault="00A7689C"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369" w:type="pct"/>
            <w:gridSpan w:val="2"/>
            <w:tcBorders>
              <w:top w:val="nil"/>
              <w:left w:val="nil"/>
              <w:bottom w:val="nil"/>
              <w:right w:val="nil"/>
            </w:tcBorders>
            <w:shd w:val="clear" w:color="auto" w:fill="auto"/>
            <w:vAlign w:val="center"/>
          </w:tcPr>
          <w:p w14:paraId="1E28154D" w14:textId="77777777" w:rsidR="00A5406B" w:rsidRPr="00E20D21" w:rsidRDefault="00A5406B"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369" w:type="pct"/>
            <w:gridSpan w:val="2"/>
            <w:tcBorders>
              <w:top w:val="nil"/>
              <w:left w:val="nil"/>
              <w:bottom w:val="nil"/>
              <w:right w:val="nil"/>
            </w:tcBorders>
            <w:shd w:val="clear" w:color="auto" w:fill="auto"/>
            <w:vAlign w:val="center"/>
          </w:tcPr>
          <w:p w14:paraId="02C5E8CB" w14:textId="4F9D350B" w:rsidR="00A5406B" w:rsidRPr="00E20D21" w:rsidRDefault="00A5406B" w:rsidP="00A5406B">
            <w:pPr>
              <w:jc w:val="center"/>
              <w:rPr>
                <w:rFonts w:ascii="CAIXA Std Book" w:hAnsi="CAIXA Std Book" w:cs="MS Gothic"/>
                <w:b/>
                <w:color w:val="005CA9"/>
                <w:sz w:val="14"/>
                <w:szCs w:val="14"/>
              </w:rPr>
            </w:pPr>
            <w:r w:rsidRPr="00E20D21">
              <w:rPr>
                <w:rFonts w:ascii="CAIXA Std Book" w:hAnsi="CAIXA Std Book" w:cs="Calibri"/>
                <w:b/>
                <w:bCs/>
                <w:color w:val="005CA9"/>
                <w:sz w:val="14"/>
                <w:szCs w:val="14"/>
              </w:rPr>
              <w:t>-</w:t>
            </w:r>
          </w:p>
        </w:tc>
        <w:tc>
          <w:tcPr>
            <w:tcW w:w="335" w:type="pct"/>
            <w:gridSpan w:val="2"/>
            <w:tcBorders>
              <w:top w:val="nil"/>
              <w:left w:val="nil"/>
              <w:bottom w:val="nil"/>
              <w:right w:val="nil"/>
            </w:tcBorders>
            <w:shd w:val="clear" w:color="auto" w:fill="auto"/>
            <w:vAlign w:val="center"/>
          </w:tcPr>
          <w:p w14:paraId="7D806199" w14:textId="3319EFDD"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(18.877)</w:t>
            </w:r>
          </w:p>
        </w:tc>
        <w:tc>
          <w:tcPr>
            <w:tcW w:w="335" w:type="pct"/>
            <w:gridSpan w:val="2"/>
            <w:tcBorders>
              <w:top w:val="nil"/>
              <w:left w:val="nil"/>
              <w:bottom w:val="nil"/>
              <w:right w:val="nil"/>
            </w:tcBorders>
            <w:shd w:val="clear" w:color="auto" w:fill="auto"/>
            <w:vAlign w:val="center"/>
          </w:tcPr>
          <w:p w14:paraId="412D3115"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(35.958)</w:t>
            </w:r>
          </w:p>
        </w:tc>
        <w:tc>
          <w:tcPr>
            <w:tcW w:w="336" w:type="pct"/>
            <w:tcBorders>
              <w:top w:val="nil"/>
              <w:left w:val="nil"/>
              <w:bottom w:val="nil"/>
              <w:right w:val="nil"/>
            </w:tcBorders>
            <w:shd w:val="clear" w:color="auto" w:fill="auto"/>
            <w:vAlign w:val="center"/>
          </w:tcPr>
          <w:p w14:paraId="7DC0BED4" w14:textId="2B2363F6"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(18.380)</w:t>
            </w:r>
          </w:p>
        </w:tc>
        <w:tc>
          <w:tcPr>
            <w:tcW w:w="289" w:type="pct"/>
            <w:gridSpan w:val="2"/>
            <w:tcBorders>
              <w:top w:val="nil"/>
              <w:left w:val="nil"/>
              <w:bottom w:val="nil"/>
              <w:right w:val="nil"/>
            </w:tcBorders>
            <w:shd w:val="clear" w:color="auto" w:fill="auto"/>
            <w:vAlign w:val="center"/>
          </w:tcPr>
          <w:p w14:paraId="6665C0CD" w14:textId="5BD7A99F" w:rsidR="00A5406B" w:rsidRPr="00E20D21" w:rsidRDefault="00564392"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(5.353)</w:t>
            </w:r>
          </w:p>
        </w:tc>
        <w:tc>
          <w:tcPr>
            <w:tcW w:w="289" w:type="pct"/>
            <w:gridSpan w:val="2"/>
            <w:tcBorders>
              <w:top w:val="nil"/>
              <w:left w:val="nil"/>
              <w:bottom w:val="nil"/>
              <w:right w:val="nil"/>
            </w:tcBorders>
            <w:shd w:val="clear" w:color="auto" w:fill="auto"/>
            <w:vAlign w:val="center"/>
          </w:tcPr>
          <w:p w14:paraId="68A266FD"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(13.215)</w:t>
            </w:r>
          </w:p>
        </w:tc>
        <w:tc>
          <w:tcPr>
            <w:tcW w:w="290" w:type="pct"/>
            <w:gridSpan w:val="2"/>
            <w:tcBorders>
              <w:top w:val="nil"/>
              <w:left w:val="nil"/>
              <w:bottom w:val="nil"/>
              <w:right w:val="nil"/>
            </w:tcBorders>
            <w:shd w:val="clear" w:color="auto" w:fill="auto"/>
            <w:vAlign w:val="center"/>
          </w:tcPr>
          <w:p w14:paraId="3955F50B" w14:textId="54EF9994"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(7.294)</w:t>
            </w:r>
          </w:p>
        </w:tc>
        <w:tc>
          <w:tcPr>
            <w:tcW w:w="335" w:type="pct"/>
            <w:gridSpan w:val="2"/>
            <w:tcBorders>
              <w:top w:val="nil"/>
              <w:left w:val="nil"/>
              <w:bottom w:val="nil"/>
              <w:right w:val="nil"/>
            </w:tcBorders>
            <w:shd w:val="clear" w:color="auto" w:fill="auto"/>
            <w:vAlign w:val="center"/>
          </w:tcPr>
          <w:p w14:paraId="31A66783" w14:textId="182158E2" w:rsidR="00A5406B" w:rsidRPr="00E20D21" w:rsidRDefault="00C81FA8"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(816)</w:t>
            </w:r>
          </w:p>
        </w:tc>
        <w:tc>
          <w:tcPr>
            <w:tcW w:w="335" w:type="pct"/>
            <w:gridSpan w:val="2"/>
            <w:tcBorders>
              <w:top w:val="nil"/>
              <w:left w:val="nil"/>
              <w:bottom w:val="nil"/>
              <w:right w:val="nil"/>
            </w:tcBorders>
            <w:shd w:val="clear" w:color="auto" w:fill="auto"/>
            <w:vAlign w:val="center"/>
          </w:tcPr>
          <w:p w14:paraId="57DDCF20"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(12.454)</w:t>
            </w:r>
          </w:p>
        </w:tc>
        <w:tc>
          <w:tcPr>
            <w:tcW w:w="335" w:type="pct"/>
            <w:tcBorders>
              <w:top w:val="nil"/>
              <w:left w:val="nil"/>
              <w:bottom w:val="nil"/>
              <w:right w:val="nil"/>
            </w:tcBorders>
            <w:shd w:val="clear" w:color="auto" w:fill="auto"/>
            <w:vAlign w:val="center"/>
          </w:tcPr>
          <w:p w14:paraId="735FE3DA" w14:textId="3C4EDED8"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(3.798)</w:t>
            </w:r>
          </w:p>
        </w:tc>
      </w:tr>
      <w:tr w:rsidR="00414006" w:rsidRPr="00E20D21" w14:paraId="5B6F401B" w14:textId="77777777" w:rsidTr="007B15C0">
        <w:trPr>
          <w:trHeight w:val="283"/>
        </w:trPr>
        <w:tc>
          <w:tcPr>
            <w:tcW w:w="1020" w:type="pct"/>
            <w:tcBorders>
              <w:top w:val="nil"/>
              <w:left w:val="nil"/>
              <w:bottom w:val="nil"/>
              <w:right w:val="nil"/>
            </w:tcBorders>
            <w:shd w:val="clear" w:color="auto" w:fill="auto"/>
            <w:vAlign w:val="center"/>
            <w:hideMark/>
          </w:tcPr>
          <w:p w14:paraId="7C7D3CD6" w14:textId="77777777" w:rsidR="00A5406B" w:rsidRPr="00E20D21" w:rsidRDefault="00A5406B" w:rsidP="00A5406B">
            <w:pPr>
              <w:rPr>
                <w:rFonts w:ascii="CAIXA Std Book" w:hAnsi="CAIXA Std Book" w:cs="MS Gothic"/>
                <w:b/>
                <w:color w:val="005CA9"/>
                <w:sz w:val="14"/>
                <w:szCs w:val="14"/>
              </w:rPr>
            </w:pPr>
            <w:proofErr w:type="spellStart"/>
            <w:r w:rsidRPr="00E20D21">
              <w:rPr>
                <w:rFonts w:ascii="CAIXA Std Book" w:hAnsi="CAIXA Std Book" w:cs="MS Gothic"/>
                <w:b/>
                <w:color w:val="005CA9"/>
                <w:sz w:val="14"/>
                <w:szCs w:val="14"/>
              </w:rPr>
              <w:t>Remensurações</w:t>
            </w:r>
            <w:proofErr w:type="spellEnd"/>
            <w:r w:rsidRPr="00E20D21">
              <w:rPr>
                <w:rFonts w:ascii="CAIXA Std Book" w:hAnsi="CAIXA Std Book" w:cs="MS Gothic"/>
                <w:b/>
                <w:color w:val="005CA9"/>
                <w:sz w:val="14"/>
                <w:szCs w:val="14"/>
              </w:rPr>
              <w:t xml:space="preserve"> de ganhos/ (perdas) atuariais:</w:t>
            </w:r>
          </w:p>
        </w:tc>
        <w:tc>
          <w:tcPr>
            <w:tcW w:w="363" w:type="pct"/>
            <w:tcBorders>
              <w:top w:val="nil"/>
              <w:left w:val="nil"/>
              <w:bottom w:val="nil"/>
              <w:right w:val="nil"/>
            </w:tcBorders>
            <w:shd w:val="clear" w:color="auto" w:fill="auto"/>
            <w:vAlign w:val="center"/>
          </w:tcPr>
          <w:p w14:paraId="6B93CC7C" w14:textId="199443B4"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6.680.586</w:t>
            </w:r>
          </w:p>
        </w:tc>
        <w:tc>
          <w:tcPr>
            <w:tcW w:w="369" w:type="pct"/>
            <w:gridSpan w:val="2"/>
            <w:tcBorders>
              <w:top w:val="nil"/>
              <w:left w:val="nil"/>
              <w:bottom w:val="nil"/>
              <w:right w:val="nil"/>
            </w:tcBorders>
            <w:shd w:val="clear" w:color="auto" w:fill="auto"/>
            <w:vAlign w:val="center"/>
          </w:tcPr>
          <w:p w14:paraId="20189CDF"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(5.206.804)</w:t>
            </w:r>
          </w:p>
        </w:tc>
        <w:tc>
          <w:tcPr>
            <w:tcW w:w="369" w:type="pct"/>
            <w:gridSpan w:val="2"/>
            <w:tcBorders>
              <w:top w:val="nil"/>
              <w:left w:val="nil"/>
              <w:bottom w:val="nil"/>
              <w:right w:val="nil"/>
            </w:tcBorders>
            <w:shd w:val="clear" w:color="auto" w:fill="auto"/>
            <w:vAlign w:val="center"/>
          </w:tcPr>
          <w:p w14:paraId="6B46D92C" w14:textId="5D08C973"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(7.187.441)</w:t>
            </w:r>
          </w:p>
        </w:tc>
        <w:tc>
          <w:tcPr>
            <w:tcW w:w="335" w:type="pct"/>
            <w:gridSpan w:val="2"/>
            <w:tcBorders>
              <w:top w:val="nil"/>
              <w:left w:val="nil"/>
              <w:bottom w:val="nil"/>
              <w:right w:val="nil"/>
            </w:tcBorders>
            <w:shd w:val="clear" w:color="auto" w:fill="auto"/>
            <w:vAlign w:val="center"/>
          </w:tcPr>
          <w:p w14:paraId="180655BD" w14:textId="63C33807"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710.585</w:t>
            </w:r>
          </w:p>
        </w:tc>
        <w:tc>
          <w:tcPr>
            <w:tcW w:w="335" w:type="pct"/>
            <w:gridSpan w:val="2"/>
            <w:tcBorders>
              <w:top w:val="nil"/>
              <w:left w:val="nil"/>
              <w:bottom w:val="nil"/>
              <w:right w:val="nil"/>
            </w:tcBorders>
            <w:shd w:val="clear" w:color="auto" w:fill="auto"/>
            <w:vAlign w:val="center"/>
          </w:tcPr>
          <w:p w14:paraId="4613E4BD"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(732.358)</w:t>
            </w:r>
          </w:p>
        </w:tc>
        <w:tc>
          <w:tcPr>
            <w:tcW w:w="336" w:type="pct"/>
            <w:tcBorders>
              <w:top w:val="nil"/>
              <w:left w:val="nil"/>
              <w:bottom w:val="nil"/>
              <w:right w:val="nil"/>
            </w:tcBorders>
            <w:shd w:val="clear" w:color="auto" w:fill="auto"/>
            <w:vAlign w:val="center"/>
          </w:tcPr>
          <w:p w14:paraId="043AFF87" w14:textId="07BE9F86"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(948.297)</w:t>
            </w:r>
          </w:p>
        </w:tc>
        <w:tc>
          <w:tcPr>
            <w:tcW w:w="289" w:type="pct"/>
            <w:gridSpan w:val="2"/>
            <w:tcBorders>
              <w:top w:val="nil"/>
              <w:left w:val="nil"/>
              <w:bottom w:val="nil"/>
              <w:right w:val="nil"/>
            </w:tcBorders>
            <w:shd w:val="clear" w:color="auto" w:fill="auto"/>
            <w:vAlign w:val="center"/>
          </w:tcPr>
          <w:p w14:paraId="6669A1DA" w14:textId="55F81BB3" w:rsidR="00A5406B" w:rsidRPr="00E20D21" w:rsidRDefault="00564392"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124.144</w:t>
            </w:r>
          </w:p>
        </w:tc>
        <w:tc>
          <w:tcPr>
            <w:tcW w:w="289" w:type="pct"/>
            <w:gridSpan w:val="2"/>
            <w:tcBorders>
              <w:top w:val="nil"/>
              <w:left w:val="nil"/>
              <w:bottom w:val="nil"/>
              <w:right w:val="nil"/>
            </w:tcBorders>
            <w:shd w:val="clear" w:color="auto" w:fill="auto"/>
            <w:vAlign w:val="center"/>
          </w:tcPr>
          <w:p w14:paraId="7D7310CB"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(99.964)</w:t>
            </w:r>
          </w:p>
        </w:tc>
        <w:tc>
          <w:tcPr>
            <w:tcW w:w="290" w:type="pct"/>
            <w:gridSpan w:val="2"/>
            <w:tcBorders>
              <w:top w:val="nil"/>
              <w:left w:val="nil"/>
              <w:bottom w:val="nil"/>
              <w:right w:val="nil"/>
            </w:tcBorders>
            <w:shd w:val="clear" w:color="auto" w:fill="auto"/>
            <w:vAlign w:val="center"/>
          </w:tcPr>
          <w:p w14:paraId="42582B77" w14:textId="06E3B616"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(112.643)</w:t>
            </w:r>
          </w:p>
        </w:tc>
        <w:tc>
          <w:tcPr>
            <w:tcW w:w="335" w:type="pct"/>
            <w:gridSpan w:val="2"/>
            <w:tcBorders>
              <w:top w:val="nil"/>
              <w:left w:val="nil"/>
              <w:bottom w:val="nil"/>
              <w:right w:val="nil"/>
            </w:tcBorders>
            <w:shd w:val="clear" w:color="auto" w:fill="auto"/>
            <w:vAlign w:val="center"/>
          </w:tcPr>
          <w:p w14:paraId="4B88477A" w14:textId="202F1C9B" w:rsidR="00A5406B" w:rsidRPr="00E20D21" w:rsidRDefault="00C81FA8"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867.095</w:t>
            </w:r>
          </w:p>
        </w:tc>
        <w:tc>
          <w:tcPr>
            <w:tcW w:w="335" w:type="pct"/>
            <w:gridSpan w:val="2"/>
            <w:tcBorders>
              <w:top w:val="nil"/>
              <w:left w:val="nil"/>
              <w:bottom w:val="nil"/>
              <w:right w:val="nil"/>
            </w:tcBorders>
            <w:shd w:val="clear" w:color="auto" w:fill="auto"/>
            <w:vAlign w:val="center"/>
          </w:tcPr>
          <w:p w14:paraId="462AE597"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(474.731)</w:t>
            </w:r>
          </w:p>
        </w:tc>
        <w:tc>
          <w:tcPr>
            <w:tcW w:w="335" w:type="pct"/>
            <w:tcBorders>
              <w:top w:val="nil"/>
              <w:left w:val="nil"/>
              <w:bottom w:val="nil"/>
              <w:right w:val="nil"/>
            </w:tcBorders>
            <w:shd w:val="clear" w:color="auto" w:fill="auto"/>
            <w:vAlign w:val="center"/>
          </w:tcPr>
          <w:p w14:paraId="76B6BCA0" w14:textId="38C7CD3A"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(815.310)</w:t>
            </w:r>
          </w:p>
        </w:tc>
      </w:tr>
      <w:tr w:rsidR="00414006" w:rsidRPr="00E20D21" w14:paraId="2BFE3EFD" w14:textId="77777777" w:rsidTr="007B15C0">
        <w:trPr>
          <w:trHeight w:val="283"/>
        </w:trPr>
        <w:tc>
          <w:tcPr>
            <w:tcW w:w="1020" w:type="pct"/>
            <w:tcBorders>
              <w:top w:val="nil"/>
              <w:left w:val="nil"/>
              <w:bottom w:val="nil"/>
              <w:right w:val="nil"/>
            </w:tcBorders>
            <w:shd w:val="clear" w:color="auto" w:fill="auto"/>
            <w:noWrap/>
            <w:vAlign w:val="center"/>
            <w:hideMark/>
          </w:tcPr>
          <w:p w14:paraId="55FB40EC" w14:textId="77777777" w:rsidR="00A5406B" w:rsidRPr="00E20D21" w:rsidRDefault="00A5406B" w:rsidP="00A5406B">
            <w:pPr>
              <w:ind w:firstLineChars="100" w:firstLine="140"/>
              <w:rPr>
                <w:rFonts w:ascii="CAIXA Std Book" w:hAnsi="CAIXA Std Book" w:cs="MS Gothic"/>
                <w:color w:val="005CA9"/>
                <w:sz w:val="14"/>
                <w:szCs w:val="14"/>
              </w:rPr>
            </w:pPr>
            <w:r w:rsidRPr="00E20D21">
              <w:rPr>
                <w:rFonts w:ascii="CAIXA Std Book" w:hAnsi="CAIXA Std Book" w:cs="MS Gothic"/>
                <w:color w:val="005CA9"/>
                <w:sz w:val="14"/>
                <w:szCs w:val="14"/>
              </w:rPr>
              <w:t>Ajuste de experiência</w:t>
            </w:r>
          </w:p>
        </w:tc>
        <w:tc>
          <w:tcPr>
            <w:tcW w:w="363" w:type="pct"/>
            <w:tcBorders>
              <w:top w:val="nil"/>
              <w:left w:val="nil"/>
              <w:bottom w:val="nil"/>
              <w:right w:val="nil"/>
            </w:tcBorders>
            <w:shd w:val="clear" w:color="auto" w:fill="auto"/>
            <w:vAlign w:val="center"/>
          </w:tcPr>
          <w:p w14:paraId="22F673E7" w14:textId="67F60E34" w:rsidR="00A5406B" w:rsidRPr="00E20D21" w:rsidRDefault="00A7689C"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(149.016)</w:t>
            </w:r>
          </w:p>
        </w:tc>
        <w:tc>
          <w:tcPr>
            <w:tcW w:w="369" w:type="pct"/>
            <w:gridSpan w:val="2"/>
            <w:tcBorders>
              <w:top w:val="nil"/>
              <w:left w:val="nil"/>
              <w:bottom w:val="nil"/>
              <w:right w:val="nil"/>
            </w:tcBorders>
            <w:shd w:val="clear" w:color="auto" w:fill="auto"/>
            <w:vAlign w:val="center"/>
          </w:tcPr>
          <w:p w14:paraId="63C93A69"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(4.081.188)</w:t>
            </w:r>
          </w:p>
        </w:tc>
        <w:tc>
          <w:tcPr>
            <w:tcW w:w="369" w:type="pct"/>
            <w:gridSpan w:val="2"/>
            <w:tcBorders>
              <w:top w:val="nil"/>
              <w:left w:val="nil"/>
              <w:bottom w:val="nil"/>
              <w:right w:val="nil"/>
            </w:tcBorders>
            <w:shd w:val="clear" w:color="auto" w:fill="auto"/>
            <w:vAlign w:val="center"/>
          </w:tcPr>
          <w:p w14:paraId="39D2B1A6" w14:textId="3525348B"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(4.784.705)</w:t>
            </w:r>
          </w:p>
        </w:tc>
        <w:tc>
          <w:tcPr>
            <w:tcW w:w="335" w:type="pct"/>
            <w:gridSpan w:val="2"/>
            <w:tcBorders>
              <w:top w:val="nil"/>
              <w:left w:val="nil"/>
              <w:bottom w:val="nil"/>
              <w:right w:val="nil"/>
            </w:tcBorders>
            <w:shd w:val="clear" w:color="auto" w:fill="auto"/>
            <w:vAlign w:val="center"/>
          </w:tcPr>
          <w:p w14:paraId="62F60F89" w14:textId="53494F64" w:rsidR="00A5406B" w:rsidRPr="00E20D21" w:rsidRDefault="00A7689C"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(49.478)</w:t>
            </w:r>
          </w:p>
        </w:tc>
        <w:tc>
          <w:tcPr>
            <w:tcW w:w="335" w:type="pct"/>
            <w:gridSpan w:val="2"/>
            <w:tcBorders>
              <w:top w:val="nil"/>
              <w:left w:val="nil"/>
              <w:bottom w:val="nil"/>
              <w:right w:val="nil"/>
            </w:tcBorders>
            <w:shd w:val="clear" w:color="auto" w:fill="auto"/>
            <w:vAlign w:val="center"/>
          </w:tcPr>
          <w:p w14:paraId="14BED9A2"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(618.811)</w:t>
            </w:r>
          </w:p>
        </w:tc>
        <w:tc>
          <w:tcPr>
            <w:tcW w:w="336" w:type="pct"/>
            <w:tcBorders>
              <w:top w:val="nil"/>
              <w:left w:val="nil"/>
              <w:bottom w:val="nil"/>
              <w:right w:val="nil"/>
            </w:tcBorders>
            <w:shd w:val="clear" w:color="auto" w:fill="auto"/>
            <w:vAlign w:val="center"/>
          </w:tcPr>
          <w:p w14:paraId="78AFCDAD" w14:textId="36FA9246"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(533.062)</w:t>
            </w:r>
          </w:p>
        </w:tc>
        <w:tc>
          <w:tcPr>
            <w:tcW w:w="289" w:type="pct"/>
            <w:gridSpan w:val="2"/>
            <w:tcBorders>
              <w:top w:val="nil"/>
              <w:left w:val="nil"/>
              <w:bottom w:val="nil"/>
              <w:right w:val="nil"/>
            </w:tcBorders>
            <w:shd w:val="clear" w:color="auto" w:fill="auto"/>
            <w:vAlign w:val="center"/>
          </w:tcPr>
          <w:p w14:paraId="0B725E09" w14:textId="2F6B27D6" w:rsidR="00A5406B" w:rsidRPr="00E20D21" w:rsidRDefault="00564392"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5.053</w:t>
            </w:r>
          </w:p>
        </w:tc>
        <w:tc>
          <w:tcPr>
            <w:tcW w:w="289" w:type="pct"/>
            <w:gridSpan w:val="2"/>
            <w:tcBorders>
              <w:top w:val="nil"/>
              <w:left w:val="nil"/>
              <w:bottom w:val="nil"/>
              <w:right w:val="nil"/>
            </w:tcBorders>
            <w:shd w:val="clear" w:color="auto" w:fill="auto"/>
            <w:vAlign w:val="center"/>
          </w:tcPr>
          <w:p w14:paraId="3D8E403C"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(92.146)</w:t>
            </w:r>
          </w:p>
        </w:tc>
        <w:tc>
          <w:tcPr>
            <w:tcW w:w="290" w:type="pct"/>
            <w:gridSpan w:val="2"/>
            <w:tcBorders>
              <w:top w:val="nil"/>
              <w:left w:val="nil"/>
              <w:bottom w:val="nil"/>
              <w:right w:val="nil"/>
            </w:tcBorders>
            <w:shd w:val="clear" w:color="auto" w:fill="auto"/>
            <w:vAlign w:val="center"/>
          </w:tcPr>
          <w:p w14:paraId="154303C8" w14:textId="68CD0C02"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(47.007)</w:t>
            </w:r>
          </w:p>
        </w:tc>
        <w:tc>
          <w:tcPr>
            <w:tcW w:w="335" w:type="pct"/>
            <w:gridSpan w:val="2"/>
            <w:tcBorders>
              <w:top w:val="nil"/>
              <w:left w:val="nil"/>
              <w:bottom w:val="nil"/>
              <w:right w:val="nil"/>
            </w:tcBorders>
            <w:shd w:val="clear" w:color="auto" w:fill="auto"/>
            <w:vAlign w:val="center"/>
          </w:tcPr>
          <w:p w14:paraId="46F4DC28" w14:textId="4A693C67" w:rsidR="00A5406B" w:rsidRPr="00E20D21" w:rsidRDefault="00C81FA8"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(33.175)</w:t>
            </w:r>
          </w:p>
        </w:tc>
        <w:tc>
          <w:tcPr>
            <w:tcW w:w="335" w:type="pct"/>
            <w:gridSpan w:val="2"/>
            <w:tcBorders>
              <w:top w:val="nil"/>
              <w:left w:val="nil"/>
              <w:bottom w:val="nil"/>
              <w:right w:val="nil"/>
            </w:tcBorders>
            <w:shd w:val="clear" w:color="auto" w:fill="auto"/>
            <w:vAlign w:val="center"/>
          </w:tcPr>
          <w:p w14:paraId="3AAED5D4"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(13.071)</w:t>
            </w:r>
          </w:p>
        </w:tc>
        <w:tc>
          <w:tcPr>
            <w:tcW w:w="335" w:type="pct"/>
            <w:tcBorders>
              <w:top w:val="nil"/>
              <w:left w:val="nil"/>
              <w:bottom w:val="nil"/>
              <w:right w:val="nil"/>
            </w:tcBorders>
            <w:shd w:val="clear" w:color="auto" w:fill="auto"/>
            <w:vAlign w:val="center"/>
          </w:tcPr>
          <w:p w14:paraId="604E040D" w14:textId="6418EBDB"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(156.606)</w:t>
            </w:r>
          </w:p>
        </w:tc>
      </w:tr>
      <w:tr w:rsidR="00414006" w:rsidRPr="00E20D21" w14:paraId="59748C9D" w14:textId="77777777" w:rsidTr="007B15C0">
        <w:trPr>
          <w:trHeight w:val="283"/>
        </w:trPr>
        <w:tc>
          <w:tcPr>
            <w:tcW w:w="1020" w:type="pct"/>
            <w:tcBorders>
              <w:top w:val="nil"/>
              <w:left w:val="nil"/>
              <w:bottom w:val="nil"/>
              <w:right w:val="nil"/>
            </w:tcBorders>
            <w:shd w:val="clear" w:color="auto" w:fill="auto"/>
            <w:noWrap/>
            <w:vAlign w:val="center"/>
            <w:hideMark/>
          </w:tcPr>
          <w:p w14:paraId="53C348B3" w14:textId="77777777" w:rsidR="00A5406B" w:rsidRPr="00E20D21" w:rsidRDefault="00A5406B" w:rsidP="00A5406B">
            <w:pPr>
              <w:ind w:firstLineChars="100" w:firstLine="140"/>
              <w:rPr>
                <w:rFonts w:ascii="CAIXA Std Book" w:hAnsi="CAIXA Std Book" w:cs="MS Gothic"/>
                <w:color w:val="005CA9"/>
                <w:sz w:val="14"/>
                <w:szCs w:val="14"/>
              </w:rPr>
            </w:pPr>
            <w:r w:rsidRPr="00E20D21">
              <w:rPr>
                <w:rFonts w:ascii="CAIXA Std Book" w:hAnsi="CAIXA Std Book" w:cs="MS Gothic"/>
                <w:color w:val="005CA9"/>
                <w:sz w:val="14"/>
                <w:szCs w:val="14"/>
              </w:rPr>
              <w:t>Alterações premissas demográficas</w:t>
            </w:r>
          </w:p>
        </w:tc>
        <w:tc>
          <w:tcPr>
            <w:tcW w:w="363" w:type="pct"/>
            <w:tcBorders>
              <w:top w:val="nil"/>
              <w:left w:val="nil"/>
              <w:bottom w:val="nil"/>
              <w:right w:val="nil"/>
            </w:tcBorders>
            <w:shd w:val="clear" w:color="auto" w:fill="auto"/>
            <w:vAlign w:val="center"/>
          </w:tcPr>
          <w:p w14:paraId="05C8DE3C" w14:textId="416F9117" w:rsidR="00A5406B" w:rsidRPr="00E20D21" w:rsidRDefault="00A7689C" w:rsidP="00A7689C">
            <w:pPr>
              <w:jc w:val="center"/>
              <w:rPr>
                <w:rFonts w:ascii="CAIXA Std Book" w:hAnsi="CAIXA Std Book" w:cs="MS Gothic"/>
                <w:color w:val="005CA9"/>
                <w:sz w:val="14"/>
                <w:szCs w:val="14"/>
              </w:rPr>
            </w:pPr>
            <w:r w:rsidRPr="00E20D21">
              <w:rPr>
                <w:rFonts w:ascii="CAIXA Std Book" w:hAnsi="CAIXA Std Book" w:cs="Calibri"/>
                <w:color w:val="005CA9"/>
                <w:sz w:val="14"/>
                <w:szCs w:val="14"/>
              </w:rPr>
              <w:t>-</w:t>
            </w:r>
          </w:p>
        </w:tc>
        <w:tc>
          <w:tcPr>
            <w:tcW w:w="369" w:type="pct"/>
            <w:gridSpan w:val="2"/>
            <w:tcBorders>
              <w:top w:val="nil"/>
              <w:left w:val="nil"/>
              <w:bottom w:val="nil"/>
              <w:right w:val="nil"/>
            </w:tcBorders>
            <w:shd w:val="clear" w:color="auto" w:fill="auto"/>
            <w:vAlign w:val="center"/>
          </w:tcPr>
          <w:p w14:paraId="06026A29"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85.034</w:t>
            </w:r>
          </w:p>
        </w:tc>
        <w:tc>
          <w:tcPr>
            <w:tcW w:w="369" w:type="pct"/>
            <w:gridSpan w:val="2"/>
            <w:tcBorders>
              <w:top w:val="nil"/>
              <w:left w:val="nil"/>
              <w:bottom w:val="nil"/>
              <w:right w:val="nil"/>
            </w:tcBorders>
            <w:shd w:val="clear" w:color="auto" w:fill="auto"/>
            <w:vAlign w:val="center"/>
          </w:tcPr>
          <w:p w14:paraId="25AF4983" w14:textId="6F5D8452" w:rsidR="00A5406B" w:rsidRPr="00E20D21" w:rsidRDefault="00A5406B" w:rsidP="00A7689C">
            <w:pPr>
              <w:jc w:val="center"/>
              <w:rPr>
                <w:rFonts w:ascii="CAIXA Std Book" w:hAnsi="CAIXA Std Book" w:cs="MS Gothic"/>
                <w:color w:val="005CA9"/>
                <w:sz w:val="14"/>
                <w:szCs w:val="14"/>
              </w:rPr>
            </w:pPr>
            <w:r w:rsidRPr="00E20D21">
              <w:rPr>
                <w:rFonts w:ascii="CAIXA Std Book" w:hAnsi="CAIXA Std Book" w:cs="Calibri"/>
                <w:color w:val="005CA9"/>
                <w:sz w:val="14"/>
                <w:szCs w:val="14"/>
              </w:rPr>
              <w:t>-</w:t>
            </w:r>
          </w:p>
        </w:tc>
        <w:tc>
          <w:tcPr>
            <w:tcW w:w="335" w:type="pct"/>
            <w:gridSpan w:val="2"/>
            <w:tcBorders>
              <w:top w:val="nil"/>
              <w:left w:val="nil"/>
              <w:bottom w:val="nil"/>
              <w:right w:val="nil"/>
            </w:tcBorders>
            <w:shd w:val="clear" w:color="auto" w:fill="auto"/>
            <w:vAlign w:val="center"/>
          </w:tcPr>
          <w:p w14:paraId="50A3FD48" w14:textId="0AF2C701" w:rsidR="00A5406B" w:rsidRPr="00E20D21" w:rsidRDefault="00A7689C" w:rsidP="00A7689C">
            <w:pPr>
              <w:jc w:val="center"/>
              <w:rPr>
                <w:rFonts w:ascii="CAIXA Std Book" w:hAnsi="CAIXA Std Book" w:cs="MS Gothic"/>
                <w:color w:val="005CA9"/>
                <w:sz w:val="14"/>
                <w:szCs w:val="14"/>
              </w:rPr>
            </w:pPr>
            <w:r w:rsidRPr="00E20D21">
              <w:rPr>
                <w:rFonts w:ascii="CAIXA Std Book" w:hAnsi="CAIXA Std Book" w:cs="Calibri"/>
                <w:color w:val="005CA9"/>
                <w:sz w:val="14"/>
                <w:szCs w:val="14"/>
              </w:rPr>
              <w:t>-</w:t>
            </w:r>
          </w:p>
        </w:tc>
        <w:tc>
          <w:tcPr>
            <w:tcW w:w="335" w:type="pct"/>
            <w:gridSpan w:val="2"/>
            <w:tcBorders>
              <w:top w:val="nil"/>
              <w:left w:val="nil"/>
              <w:bottom w:val="nil"/>
              <w:right w:val="nil"/>
            </w:tcBorders>
            <w:shd w:val="clear" w:color="auto" w:fill="auto"/>
            <w:vAlign w:val="center"/>
          </w:tcPr>
          <w:p w14:paraId="3E389311"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2.504</w:t>
            </w:r>
          </w:p>
        </w:tc>
        <w:tc>
          <w:tcPr>
            <w:tcW w:w="336" w:type="pct"/>
            <w:tcBorders>
              <w:top w:val="nil"/>
              <w:left w:val="nil"/>
              <w:bottom w:val="nil"/>
              <w:right w:val="nil"/>
            </w:tcBorders>
            <w:shd w:val="clear" w:color="auto" w:fill="auto"/>
            <w:vAlign w:val="center"/>
          </w:tcPr>
          <w:p w14:paraId="1B6EB9D6" w14:textId="45CA62EB" w:rsidR="00A5406B" w:rsidRPr="00E20D21" w:rsidRDefault="00A5406B" w:rsidP="00564392">
            <w:pPr>
              <w:jc w:val="center"/>
              <w:rPr>
                <w:rFonts w:ascii="CAIXA Std Book" w:hAnsi="CAIXA Std Book" w:cs="MS Gothic"/>
                <w:color w:val="005CA9"/>
                <w:sz w:val="14"/>
                <w:szCs w:val="14"/>
              </w:rPr>
            </w:pPr>
            <w:r w:rsidRPr="00E20D21">
              <w:rPr>
                <w:rFonts w:ascii="CAIXA Std Book" w:hAnsi="CAIXA Std Book" w:cs="Calibri"/>
                <w:color w:val="005CA9"/>
                <w:sz w:val="14"/>
                <w:szCs w:val="14"/>
              </w:rPr>
              <w:t>-</w:t>
            </w:r>
          </w:p>
        </w:tc>
        <w:tc>
          <w:tcPr>
            <w:tcW w:w="289" w:type="pct"/>
            <w:gridSpan w:val="2"/>
            <w:tcBorders>
              <w:top w:val="nil"/>
              <w:left w:val="nil"/>
              <w:bottom w:val="nil"/>
              <w:right w:val="nil"/>
            </w:tcBorders>
            <w:shd w:val="clear" w:color="auto" w:fill="auto"/>
            <w:vAlign w:val="center"/>
          </w:tcPr>
          <w:p w14:paraId="01DC053D" w14:textId="125D852C" w:rsidR="00A5406B" w:rsidRPr="00E20D21" w:rsidRDefault="00564392" w:rsidP="00564392">
            <w:pPr>
              <w:jc w:val="center"/>
              <w:rPr>
                <w:rFonts w:ascii="CAIXA Std Book" w:hAnsi="CAIXA Std Book" w:cs="MS Gothic"/>
                <w:color w:val="005CA9"/>
                <w:sz w:val="14"/>
                <w:szCs w:val="14"/>
              </w:rPr>
            </w:pPr>
            <w:r w:rsidRPr="00E20D21">
              <w:rPr>
                <w:rFonts w:ascii="CAIXA Std Book" w:hAnsi="CAIXA Std Book" w:cs="Calibri"/>
                <w:color w:val="005CA9"/>
                <w:sz w:val="14"/>
                <w:szCs w:val="14"/>
              </w:rPr>
              <w:t>-</w:t>
            </w:r>
          </w:p>
        </w:tc>
        <w:tc>
          <w:tcPr>
            <w:tcW w:w="289" w:type="pct"/>
            <w:gridSpan w:val="2"/>
            <w:tcBorders>
              <w:top w:val="nil"/>
              <w:left w:val="nil"/>
              <w:bottom w:val="nil"/>
              <w:right w:val="nil"/>
            </w:tcBorders>
            <w:shd w:val="clear" w:color="auto" w:fill="auto"/>
            <w:vAlign w:val="center"/>
          </w:tcPr>
          <w:p w14:paraId="70C19501"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17.281</w:t>
            </w:r>
          </w:p>
        </w:tc>
        <w:tc>
          <w:tcPr>
            <w:tcW w:w="290" w:type="pct"/>
            <w:gridSpan w:val="2"/>
            <w:tcBorders>
              <w:top w:val="nil"/>
              <w:left w:val="nil"/>
              <w:bottom w:val="nil"/>
              <w:right w:val="nil"/>
            </w:tcBorders>
            <w:shd w:val="clear" w:color="auto" w:fill="auto"/>
            <w:vAlign w:val="center"/>
          </w:tcPr>
          <w:p w14:paraId="4D7E28C6" w14:textId="1D529467" w:rsidR="00A5406B" w:rsidRPr="00E20D21" w:rsidRDefault="00A5406B" w:rsidP="00C81FA8">
            <w:pPr>
              <w:jc w:val="center"/>
              <w:rPr>
                <w:rFonts w:ascii="CAIXA Std Book" w:hAnsi="CAIXA Std Book" w:cs="MS Gothic"/>
                <w:color w:val="005CA9"/>
                <w:sz w:val="14"/>
                <w:szCs w:val="14"/>
              </w:rPr>
            </w:pPr>
            <w:r w:rsidRPr="00E20D21">
              <w:rPr>
                <w:rFonts w:ascii="CAIXA Std Book" w:hAnsi="CAIXA Std Book" w:cs="Calibri"/>
                <w:color w:val="005CA9"/>
                <w:sz w:val="14"/>
                <w:szCs w:val="14"/>
              </w:rPr>
              <w:t>-</w:t>
            </w:r>
          </w:p>
        </w:tc>
        <w:tc>
          <w:tcPr>
            <w:tcW w:w="335" w:type="pct"/>
            <w:gridSpan w:val="2"/>
            <w:tcBorders>
              <w:top w:val="nil"/>
              <w:left w:val="nil"/>
              <w:bottom w:val="nil"/>
              <w:right w:val="nil"/>
            </w:tcBorders>
            <w:shd w:val="clear" w:color="auto" w:fill="auto"/>
            <w:vAlign w:val="center"/>
          </w:tcPr>
          <w:p w14:paraId="7BEF0393" w14:textId="076D4A2E" w:rsidR="00A5406B" w:rsidRPr="00E20D21" w:rsidRDefault="00C81FA8" w:rsidP="00C81FA8">
            <w:pPr>
              <w:jc w:val="center"/>
              <w:rPr>
                <w:rFonts w:ascii="CAIXA Std Book" w:hAnsi="CAIXA Std Book" w:cs="MS Gothic"/>
                <w:color w:val="005CA9"/>
                <w:sz w:val="14"/>
                <w:szCs w:val="14"/>
              </w:rPr>
            </w:pPr>
            <w:r w:rsidRPr="00E20D21">
              <w:rPr>
                <w:rFonts w:ascii="CAIXA Std Book" w:hAnsi="CAIXA Std Book" w:cs="Calibri"/>
                <w:color w:val="005CA9"/>
                <w:sz w:val="14"/>
                <w:szCs w:val="14"/>
              </w:rPr>
              <w:t>-</w:t>
            </w:r>
          </w:p>
        </w:tc>
        <w:tc>
          <w:tcPr>
            <w:tcW w:w="335" w:type="pct"/>
            <w:gridSpan w:val="2"/>
            <w:tcBorders>
              <w:top w:val="nil"/>
              <w:left w:val="nil"/>
              <w:bottom w:val="nil"/>
              <w:right w:val="nil"/>
            </w:tcBorders>
            <w:shd w:val="clear" w:color="auto" w:fill="auto"/>
            <w:vAlign w:val="center"/>
          </w:tcPr>
          <w:p w14:paraId="1B6921D4"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(103.599)</w:t>
            </w:r>
          </w:p>
        </w:tc>
        <w:tc>
          <w:tcPr>
            <w:tcW w:w="335" w:type="pct"/>
            <w:tcBorders>
              <w:top w:val="nil"/>
              <w:left w:val="nil"/>
              <w:bottom w:val="nil"/>
              <w:right w:val="nil"/>
            </w:tcBorders>
            <w:shd w:val="clear" w:color="auto" w:fill="auto"/>
            <w:vAlign w:val="center"/>
          </w:tcPr>
          <w:p w14:paraId="2B438C92" w14:textId="2B1D1CD5" w:rsidR="00A5406B" w:rsidRPr="00E20D21" w:rsidRDefault="00A5406B" w:rsidP="00C81FA8">
            <w:pPr>
              <w:jc w:val="center"/>
              <w:rPr>
                <w:rFonts w:ascii="CAIXA Std Book" w:hAnsi="CAIXA Std Book" w:cs="MS Gothic"/>
                <w:color w:val="005CA9"/>
                <w:sz w:val="14"/>
                <w:szCs w:val="14"/>
              </w:rPr>
            </w:pPr>
            <w:r w:rsidRPr="00E20D21">
              <w:rPr>
                <w:rFonts w:ascii="CAIXA Std Book" w:hAnsi="CAIXA Std Book" w:cs="Calibri"/>
                <w:color w:val="005CA9"/>
                <w:sz w:val="14"/>
                <w:szCs w:val="14"/>
              </w:rPr>
              <w:t>-</w:t>
            </w:r>
          </w:p>
        </w:tc>
      </w:tr>
      <w:tr w:rsidR="00414006" w:rsidRPr="00E20D21" w14:paraId="13570EB1" w14:textId="77777777" w:rsidTr="007B15C0">
        <w:trPr>
          <w:trHeight w:val="283"/>
        </w:trPr>
        <w:tc>
          <w:tcPr>
            <w:tcW w:w="1020" w:type="pct"/>
            <w:tcBorders>
              <w:top w:val="nil"/>
              <w:left w:val="nil"/>
              <w:bottom w:val="nil"/>
              <w:right w:val="nil"/>
            </w:tcBorders>
            <w:shd w:val="clear" w:color="auto" w:fill="auto"/>
            <w:noWrap/>
            <w:vAlign w:val="center"/>
            <w:hideMark/>
          </w:tcPr>
          <w:p w14:paraId="67433920" w14:textId="77777777" w:rsidR="00A5406B" w:rsidRPr="00E20D21" w:rsidRDefault="00A5406B" w:rsidP="00A5406B">
            <w:pPr>
              <w:ind w:firstLineChars="100" w:firstLine="140"/>
              <w:rPr>
                <w:rFonts w:ascii="CAIXA Std Book" w:hAnsi="CAIXA Std Book" w:cs="MS Gothic"/>
                <w:color w:val="005CA9"/>
                <w:sz w:val="14"/>
                <w:szCs w:val="14"/>
              </w:rPr>
            </w:pPr>
            <w:r w:rsidRPr="00E20D21">
              <w:rPr>
                <w:rFonts w:ascii="CAIXA Std Book" w:hAnsi="CAIXA Std Book" w:cs="MS Gothic"/>
                <w:color w:val="005CA9"/>
                <w:sz w:val="14"/>
                <w:szCs w:val="14"/>
              </w:rPr>
              <w:t>Alterações premissas financeiras</w:t>
            </w:r>
          </w:p>
        </w:tc>
        <w:tc>
          <w:tcPr>
            <w:tcW w:w="363" w:type="pct"/>
            <w:tcBorders>
              <w:top w:val="nil"/>
              <w:left w:val="nil"/>
              <w:bottom w:val="nil"/>
              <w:right w:val="nil"/>
            </w:tcBorders>
            <w:shd w:val="clear" w:color="auto" w:fill="auto"/>
            <w:vAlign w:val="center"/>
          </w:tcPr>
          <w:p w14:paraId="18F37584" w14:textId="492FE1DC" w:rsidR="00A5406B" w:rsidRPr="00E20D21" w:rsidRDefault="00A7689C"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6.829.602</w:t>
            </w:r>
          </w:p>
        </w:tc>
        <w:tc>
          <w:tcPr>
            <w:tcW w:w="369" w:type="pct"/>
            <w:gridSpan w:val="2"/>
            <w:tcBorders>
              <w:top w:val="nil"/>
              <w:left w:val="nil"/>
              <w:bottom w:val="nil"/>
              <w:right w:val="nil"/>
            </w:tcBorders>
            <w:shd w:val="clear" w:color="auto" w:fill="auto"/>
            <w:vAlign w:val="center"/>
          </w:tcPr>
          <w:p w14:paraId="4EF00A37"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(1.210.650)</w:t>
            </w:r>
          </w:p>
        </w:tc>
        <w:tc>
          <w:tcPr>
            <w:tcW w:w="369" w:type="pct"/>
            <w:gridSpan w:val="2"/>
            <w:tcBorders>
              <w:top w:val="nil"/>
              <w:left w:val="nil"/>
              <w:bottom w:val="nil"/>
              <w:right w:val="nil"/>
            </w:tcBorders>
            <w:shd w:val="clear" w:color="auto" w:fill="auto"/>
            <w:vAlign w:val="center"/>
          </w:tcPr>
          <w:p w14:paraId="69C4C1D6" w14:textId="71AA3718"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(2.402.736)</w:t>
            </w:r>
          </w:p>
        </w:tc>
        <w:tc>
          <w:tcPr>
            <w:tcW w:w="335" w:type="pct"/>
            <w:gridSpan w:val="2"/>
            <w:tcBorders>
              <w:top w:val="nil"/>
              <w:left w:val="nil"/>
              <w:bottom w:val="nil"/>
              <w:right w:val="nil"/>
            </w:tcBorders>
            <w:shd w:val="clear" w:color="auto" w:fill="auto"/>
            <w:vAlign w:val="center"/>
          </w:tcPr>
          <w:p w14:paraId="3C4D1120" w14:textId="2518A378" w:rsidR="00A5406B" w:rsidRPr="00E20D21" w:rsidRDefault="00A7689C"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760.063</w:t>
            </w:r>
          </w:p>
        </w:tc>
        <w:tc>
          <w:tcPr>
            <w:tcW w:w="335" w:type="pct"/>
            <w:gridSpan w:val="2"/>
            <w:tcBorders>
              <w:top w:val="nil"/>
              <w:left w:val="nil"/>
              <w:bottom w:val="nil"/>
              <w:right w:val="nil"/>
            </w:tcBorders>
            <w:shd w:val="clear" w:color="auto" w:fill="auto"/>
            <w:vAlign w:val="center"/>
          </w:tcPr>
          <w:p w14:paraId="7396BF0E"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(116.051)</w:t>
            </w:r>
          </w:p>
        </w:tc>
        <w:tc>
          <w:tcPr>
            <w:tcW w:w="336" w:type="pct"/>
            <w:tcBorders>
              <w:top w:val="nil"/>
              <w:left w:val="nil"/>
              <w:bottom w:val="nil"/>
              <w:right w:val="nil"/>
            </w:tcBorders>
            <w:shd w:val="clear" w:color="auto" w:fill="auto"/>
            <w:vAlign w:val="center"/>
          </w:tcPr>
          <w:p w14:paraId="792C7265" w14:textId="0041A2E6"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(415.235)</w:t>
            </w:r>
          </w:p>
        </w:tc>
        <w:tc>
          <w:tcPr>
            <w:tcW w:w="289" w:type="pct"/>
            <w:gridSpan w:val="2"/>
            <w:tcBorders>
              <w:top w:val="nil"/>
              <w:left w:val="nil"/>
              <w:bottom w:val="nil"/>
              <w:right w:val="nil"/>
            </w:tcBorders>
            <w:shd w:val="clear" w:color="auto" w:fill="auto"/>
            <w:vAlign w:val="center"/>
          </w:tcPr>
          <w:p w14:paraId="392D85B4" w14:textId="7E2C4031" w:rsidR="00A5406B" w:rsidRPr="00E20D21" w:rsidRDefault="00564392"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119.091</w:t>
            </w:r>
          </w:p>
        </w:tc>
        <w:tc>
          <w:tcPr>
            <w:tcW w:w="289" w:type="pct"/>
            <w:gridSpan w:val="2"/>
            <w:tcBorders>
              <w:top w:val="nil"/>
              <w:left w:val="nil"/>
              <w:bottom w:val="nil"/>
              <w:right w:val="nil"/>
            </w:tcBorders>
            <w:shd w:val="clear" w:color="auto" w:fill="auto"/>
            <w:vAlign w:val="center"/>
          </w:tcPr>
          <w:p w14:paraId="226F0B5B"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(25.099)</w:t>
            </w:r>
          </w:p>
        </w:tc>
        <w:tc>
          <w:tcPr>
            <w:tcW w:w="290" w:type="pct"/>
            <w:gridSpan w:val="2"/>
            <w:tcBorders>
              <w:top w:val="nil"/>
              <w:left w:val="nil"/>
              <w:bottom w:val="nil"/>
              <w:right w:val="nil"/>
            </w:tcBorders>
            <w:shd w:val="clear" w:color="auto" w:fill="auto"/>
            <w:vAlign w:val="center"/>
          </w:tcPr>
          <w:p w14:paraId="1913680B" w14:textId="0413E792"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(65.636)</w:t>
            </w:r>
          </w:p>
        </w:tc>
        <w:tc>
          <w:tcPr>
            <w:tcW w:w="335" w:type="pct"/>
            <w:gridSpan w:val="2"/>
            <w:tcBorders>
              <w:top w:val="nil"/>
              <w:left w:val="nil"/>
              <w:bottom w:val="nil"/>
              <w:right w:val="nil"/>
            </w:tcBorders>
            <w:shd w:val="clear" w:color="auto" w:fill="auto"/>
            <w:vAlign w:val="center"/>
          </w:tcPr>
          <w:p w14:paraId="188B3A80" w14:textId="1566E746" w:rsidR="00A5406B" w:rsidRPr="00E20D21" w:rsidRDefault="00C81FA8"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900.270</w:t>
            </w:r>
          </w:p>
        </w:tc>
        <w:tc>
          <w:tcPr>
            <w:tcW w:w="335" w:type="pct"/>
            <w:gridSpan w:val="2"/>
            <w:tcBorders>
              <w:top w:val="nil"/>
              <w:left w:val="nil"/>
              <w:bottom w:val="nil"/>
              <w:right w:val="nil"/>
            </w:tcBorders>
            <w:shd w:val="clear" w:color="auto" w:fill="auto"/>
            <w:vAlign w:val="center"/>
          </w:tcPr>
          <w:p w14:paraId="3050056F" w14:textId="77777777"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(358.061)</w:t>
            </w:r>
          </w:p>
        </w:tc>
        <w:tc>
          <w:tcPr>
            <w:tcW w:w="335" w:type="pct"/>
            <w:tcBorders>
              <w:top w:val="nil"/>
              <w:left w:val="nil"/>
              <w:bottom w:val="nil"/>
              <w:right w:val="nil"/>
            </w:tcBorders>
            <w:shd w:val="clear" w:color="auto" w:fill="auto"/>
            <w:vAlign w:val="center"/>
          </w:tcPr>
          <w:p w14:paraId="08ED515D" w14:textId="16E7DCEA" w:rsidR="00A5406B" w:rsidRPr="00E20D21" w:rsidRDefault="00A5406B" w:rsidP="00A5406B">
            <w:pPr>
              <w:jc w:val="right"/>
              <w:rPr>
                <w:rFonts w:ascii="CAIXA Std Book" w:hAnsi="CAIXA Std Book" w:cs="MS Gothic"/>
                <w:color w:val="005CA9"/>
                <w:sz w:val="14"/>
                <w:szCs w:val="14"/>
              </w:rPr>
            </w:pPr>
            <w:r w:rsidRPr="00E20D21">
              <w:rPr>
                <w:rFonts w:ascii="CAIXA Std Book" w:hAnsi="CAIXA Std Book" w:cs="Calibri"/>
                <w:color w:val="005CA9"/>
                <w:sz w:val="14"/>
                <w:szCs w:val="14"/>
              </w:rPr>
              <w:t>(658.704)</w:t>
            </w:r>
          </w:p>
        </w:tc>
      </w:tr>
      <w:tr w:rsidR="00414006" w:rsidRPr="00E20D21" w14:paraId="44F152B7" w14:textId="77777777" w:rsidTr="007B15C0">
        <w:trPr>
          <w:trHeight w:val="283"/>
        </w:trPr>
        <w:tc>
          <w:tcPr>
            <w:tcW w:w="1020" w:type="pct"/>
            <w:tcBorders>
              <w:top w:val="nil"/>
              <w:left w:val="nil"/>
              <w:bottom w:val="single" w:sz="4" w:space="0" w:color="F68F00"/>
              <w:right w:val="nil"/>
            </w:tcBorders>
            <w:shd w:val="clear" w:color="auto" w:fill="auto"/>
            <w:vAlign w:val="center"/>
            <w:hideMark/>
          </w:tcPr>
          <w:p w14:paraId="0DDB4EBB" w14:textId="77777777" w:rsidR="00A5406B" w:rsidRPr="00E20D21" w:rsidRDefault="00A5406B" w:rsidP="00A5406B">
            <w:pPr>
              <w:rPr>
                <w:rFonts w:ascii="CAIXA Std Book" w:hAnsi="CAIXA Std Book" w:cs="MS Gothic"/>
                <w:b/>
                <w:color w:val="005CA9"/>
                <w:sz w:val="14"/>
                <w:szCs w:val="14"/>
              </w:rPr>
            </w:pPr>
            <w:r w:rsidRPr="00E20D21">
              <w:rPr>
                <w:rFonts w:ascii="CAIXA Std Book" w:hAnsi="CAIXA Std Book" w:cs="MS Gothic"/>
                <w:b/>
                <w:color w:val="005CA9"/>
                <w:sz w:val="14"/>
                <w:szCs w:val="14"/>
              </w:rPr>
              <w:t>Benefícios pagos diretamente pelo plano</w:t>
            </w:r>
          </w:p>
        </w:tc>
        <w:tc>
          <w:tcPr>
            <w:tcW w:w="363" w:type="pct"/>
            <w:tcBorders>
              <w:top w:val="nil"/>
              <w:left w:val="nil"/>
              <w:bottom w:val="single" w:sz="4" w:space="0" w:color="F68F00"/>
              <w:right w:val="nil"/>
            </w:tcBorders>
            <w:shd w:val="clear" w:color="auto" w:fill="auto"/>
            <w:vAlign w:val="center"/>
          </w:tcPr>
          <w:p w14:paraId="316818C7" w14:textId="79863E1C"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2.572.792</w:t>
            </w:r>
          </w:p>
        </w:tc>
        <w:tc>
          <w:tcPr>
            <w:tcW w:w="369" w:type="pct"/>
            <w:gridSpan w:val="2"/>
            <w:tcBorders>
              <w:top w:val="nil"/>
              <w:left w:val="nil"/>
              <w:bottom w:val="single" w:sz="4" w:space="0" w:color="F68F00"/>
              <w:right w:val="nil"/>
            </w:tcBorders>
            <w:shd w:val="clear" w:color="auto" w:fill="auto"/>
            <w:vAlign w:val="center"/>
          </w:tcPr>
          <w:p w14:paraId="018B50A8"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4.971.926</w:t>
            </w:r>
          </w:p>
        </w:tc>
        <w:tc>
          <w:tcPr>
            <w:tcW w:w="369" w:type="pct"/>
            <w:gridSpan w:val="2"/>
            <w:tcBorders>
              <w:top w:val="nil"/>
              <w:left w:val="nil"/>
              <w:bottom w:val="single" w:sz="4" w:space="0" w:color="F68F00"/>
              <w:right w:val="nil"/>
            </w:tcBorders>
            <w:shd w:val="clear" w:color="auto" w:fill="auto"/>
            <w:vAlign w:val="center"/>
          </w:tcPr>
          <w:p w14:paraId="58A1DFA6" w14:textId="2A1096EB"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2.485.631</w:t>
            </w:r>
          </w:p>
        </w:tc>
        <w:tc>
          <w:tcPr>
            <w:tcW w:w="335" w:type="pct"/>
            <w:gridSpan w:val="2"/>
            <w:tcBorders>
              <w:top w:val="nil"/>
              <w:left w:val="nil"/>
              <w:bottom w:val="single" w:sz="4" w:space="0" w:color="F68F00"/>
              <w:right w:val="nil"/>
            </w:tcBorders>
            <w:shd w:val="clear" w:color="auto" w:fill="auto"/>
            <w:vAlign w:val="center"/>
          </w:tcPr>
          <w:p w14:paraId="550DB9FF" w14:textId="74FA22E0"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245.545</w:t>
            </w:r>
          </w:p>
        </w:tc>
        <w:tc>
          <w:tcPr>
            <w:tcW w:w="335" w:type="pct"/>
            <w:gridSpan w:val="2"/>
            <w:tcBorders>
              <w:top w:val="nil"/>
              <w:left w:val="nil"/>
              <w:bottom w:val="single" w:sz="4" w:space="0" w:color="F68F00"/>
              <w:right w:val="nil"/>
            </w:tcBorders>
            <w:shd w:val="clear" w:color="auto" w:fill="auto"/>
            <w:vAlign w:val="center"/>
          </w:tcPr>
          <w:p w14:paraId="0AA55703"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474.547</w:t>
            </w:r>
          </w:p>
        </w:tc>
        <w:tc>
          <w:tcPr>
            <w:tcW w:w="336" w:type="pct"/>
            <w:tcBorders>
              <w:top w:val="nil"/>
              <w:left w:val="nil"/>
              <w:bottom w:val="single" w:sz="4" w:space="0" w:color="F68F00"/>
              <w:right w:val="nil"/>
            </w:tcBorders>
            <w:shd w:val="clear" w:color="auto" w:fill="auto"/>
            <w:vAlign w:val="center"/>
          </w:tcPr>
          <w:p w14:paraId="0407CCBC" w14:textId="7112F6A4"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238.091</w:t>
            </w:r>
          </w:p>
        </w:tc>
        <w:tc>
          <w:tcPr>
            <w:tcW w:w="289" w:type="pct"/>
            <w:gridSpan w:val="2"/>
            <w:tcBorders>
              <w:top w:val="nil"/>
              <w:left w:val="nil"/>
              <w:bottom w:val="single" w:sz="4" w:space="0" w:color="F68F00"/>
              <w:right w:val="nil"/>
            </w:tcBorders>
            <w:shd w:val="clear" w:color="auto" w:fill="auto"/>
            <w:vAlign w:val="center"/>
          </w:tcPr>
          <w:p w14:paraId="3A45F614" w14:textId="7450DB28" w:rsidR="00A5406B" w:rsidRPr="00E20D21" w:rsidRDefault="00564392"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28.933</w:t>
            </w:r>
          </w:p>
        </w:tc>
        <w:tc>
          <w:tcPr>
            <w:tcW w:w="289" w:type="pct"/>
            <w:gridSpan w:val="2"/>
            <w:tcBorders>
              <w:top w:val="nil"/>
              <w:left w:val="nil"/>
              <w:bottom w:val="single" w:sz="4" w:space="0" w:color="F68F00"/>
              <w:right w:val="nil"/>
            </w:tcBorders>
            <w:shd w:val="clear" w:color="auto" w:fill="auto"/>
            <w:vAlign w:val="center"/>
          </w:tcPr>
          <w:p w14:paraId="28FE366F"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54.879</w:t>
            </w:r>
          </w:p>
        </w:tc>
        <w:tc>
          <w:tcPr>
            <w:tcW w:w="290" w:type="pct"/>
            <w:gridSpan w:val="2"/>
            <w:tcBorders>
              <w:top w:val="nil"/>
              <w:left w:val="nil"/>
              <w:bottom w:val="single" w:sz="4" w:space="0" w:color="F68F00"/>
              <w:right w:val="nil"/>
            </w:tcBorders>
            <w:shd w:val="clear" w:color="auto" w:fill="auto"/>
            <w:vAlign w:val="center"/>
          </w:tcPr>
          <w:p w14:paraId="3B7AF9A5" w14:textId="0AA78FB4"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27.193</w:t>
            </w:r>
          </w:p>
        </w:tc>
        <w:tc>
          <w:tcPr>
            <w:tcW w:w="335" w:type="pct"/>
            <w:gridSpan w:val="2"/>
            <w:tcBorders>
              <w:top w:val="nil"/>
              <w:left w:val="nil"/>
              <w:bottom w:val="single" w:sz="4" w:space="0" w:color="F68F00"/>
              <w:right w:val="nil"/>
            </w:tcBorders>
            <w:shd w:val="clear" w:color="auto" w:fill="auto"/>
            <w:vAlign w:val="center"/>
          </w:tcPr>
          <w:p w14:paraId="77C8070E" w14:textId="05E9A43D" w:rsidR="00A5406B" w:rsidRPr="00E20D21" w:rsidRDefault="00C81FA8"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123.776</w:t>
            </w:r>
          </w:p>
        </w:tc>
        <w:tc>
          <w:tcPr>
            <w:tcW w:w="335" w:type="pct"/>
            <w:gridSpan w:val="2"/>
            <w:tcBorders>
              <w:top w:val="nil"/>
              <w:left w:val="nil"/>
              <w:bottom w:val="single" w:sz="4" w:space="0" w:color="F68F00"/>
              <w:right w:val="nil"/>
            </w:tcBorders>
            <w:shd w:val="clear" w:color="auto" w:fill="auto"/>
            <w:vAlign w:val="center"/>
          </w:tcPr>
          <w:p w14:paraId="4FC3954D"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238.431</w:t>
            </w:r>
          </w:p>
        </w:tc>
        <w:tc>
          <w:tcPr>
            <w:tcW w:w="335" w:type="pct"/>
            <w:tcBorders>
              <w:top w:val="nil"/>
              <w:left w:val="nil"/>
              <w:bottom w:val="single" w:sz="4" w:space="0" w:color="F68F00"/>
              <w:right w:val="nil"/>
            </w:tcBorders>
            <w:shd w:val="clear" w:color="auto" w:fill="auto"/>
            <w:vAlign w:val="center"/>
          </w:tcPr>
          <w:p w14:paraId="1D43967F" w14:textId="5812C610"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119.859</w:t>
            </w:r>
          </w:p>
        </w:tc>
      </w:tr>
      <w:tr w:rsidR="00414006" w:rsidRPr="00E20D21" w14:paraId="22649E84" w14:textId="77777777" w:rsidTr="007B15C0">
        <w:trPr>
          <w:trHeight w:val="283"/>
        </w:trPr>
        <w:tc>
          <w:tcPr>
            <w:tcW w:w="1020" w:type="pct"/>
            <w:tcBorders>
              <w:top w:val="single" w:sz="4" w:space="0" w:color="F68F00"/>
              <w:left w:val="nil"/>
              <w:bottom w:val="single" w:sz="4" w:space="0" w:color="F68F00"/>
              <w:right w:val="nil"/>
            </w:tcBorders>
            <w:shd w:val="clear" w:color="auto" w:fill="auto"/>
            <w:vAlign w:val="center"/>
            <w:hideMark/>
          </w:tcPr>
          <w:p w14:paraId="78FF0261" w14:textId="77777777" w:rsidR="00A5406B" w:rsidRPr="00E20D21" w:rsidRDefault="00A5406B" w:rsidP="00A5406B">
            <w:pPr>
              <w:rPr>
                <w:rFonts w:ascii="CAIXA Std Book" w:hAnsi="CAIXA Std Book" w:cs="MS Gothic"/>
                <w:b/>
                <w:color w:val="005CA9"/>
                <w:sz w:val="14"/>
                <w:szCs w:val="14"/>
              </w:rPr>
            </w:pPr>
            <w:r w:rsidRPr="00E20D21">
              <w:rPr>
                <w:rFonts w:ascii="CAIXA Std Book" w:hAnsi="CAIXA Std Book" w:cs="MS Gothic"/>
                <w:b/>
                <w:color w:val="005CA9"/>
                <w:sz w:val="14"/>
                <w:szCs w:val="14"/>
              </w:rPr>
              <w:t>VPO no final do período</w:t>
            </w:r>
          </w:p>
        </w:tc>
        <w:tc>
          <w:tcPr>
            <w:tcW w:w="363" w:type="pct"/>
            <w:tcBorders>
              <w:top w:val="single" w:sz="4" w:space="0" w:color="F68F00"/>
              <w:left w:val="nil"/>
              <w:bottom w:val="single" w:sz="4" w:space="0" w:color="F68F00"/>
              <w:right w:val="nil"/>
            </w:tcBorders>
            <w:shd w:val="clear" w:color="auto" w:fill="auto"/>
            <w:vAlign w:val="center"/>
          </w:tcPr>
          <w:p w14:paraId="6A0B4383" w14:textId="2E09A1E6"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(64.963.423)</w:t>
            </w:r>
          </w:p>
        </w:tc>
        <w:tc>
          <w:tcPr>
            <w:tcW w:w="369" w:type="pct"/>
            <w:gridSpan w:val="2"/>
            <w:tcBorders>
              <w:top w:val="single" w:sz="4" w:space="0" w:color="F68F00"/>
              <w:left w:val="nil"/>
              <w:bottom w:val="single" w:sz="4" w:space="0" w:color="F68F00"/>
              <w:right w:val="nil"/>
            </w:tcBorders>
            <w:shd w:val="clear" w:color="auto" w:fill="auto"/>
            <w:vAlign w:val="center"/>
          </w:tcPr>
          <w:p w14:paraId="4D29F798"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(71.312.057)</w:t>
            </w:r>
          </w:p>
        </w:tc>
        <w:tc>
          <w:tcPr>
            <w:tcW w:w="369" w:type="pct"/>
            <w:gridSpan w:val="2"/>
            <w:tcBorders>
              <w:top w:val="single" w:sz="4" w:space="0" w:color="F68F00"/>
              <w:left w:val="nil"/>
              <w:bottom w:val="single" w:sz="4" w:space="0" w:color="F68F00"/>
              <w:right w:val="nil"/>
            </w:tcBorders>
            <w:shd w:val="clear" w:color="auto" w:fill="auto"/>
            <w:vAlign w:val="center"/>
          </w:tcPr>
          <w:p w14:paraId="5E0C577C" w14:textId="597A914F"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(72.851.781)</w:t>
            </w:r>
          </w:p>
        </w:tc>
        <w:tc>
          <w:tcPr>
            <w:tcW w:w="335" w:type="pct"/>
            <w:gridSpan w:val="2"/>
            <w:tcBorders>
              <w:top w:val="single" w:sz="4" w:space="0" w:color="F68F00"/>
              <w:left w:val="nil"/>
              <w:bottom w:val="single" w:sz="4" w:space="0" w:color="F68F00"/>
              <w:right w:val="nil"/>
            </w:tcBorders>
            <w:shd w:val="clear" w:color="auto" w:fill="auto"/>
            <w:vAlign w:val="center"/>
          </w:tcPr>
          <w:p w14:paraId="1A852503" w14:textId="3B18DEFD" w:rsidR="00A5406B" w:rsidRPr="00E20D21" w:rsidRDefault="00A7689C"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(6.897.395)</w:t>
            </w:r>
          </w:p>
        </w:tc>
        <w:tc>
          <w:tcPr>
            <w:tcW w:w="335" w:type="pct"/>
            <w:gridSpan w:val="2"/>
            <w:tcBorders>
              <w:top w:val="single" w:sz="4" w:space="0" w:color="F68F00"/>
              <w:left w:val="nil"/>
              <w:bottom w:val="single" w:sz="4" w:space="0" w:color="F68F00"/>
              <w:right w:val="nil"/>
            </w:tcBorders>
            <w:shd w:val="clear" w:color="auto" w:fill="auto"/>
            <w:vAlign w:val="center"/>
          </w:tcPr>
          <w:p w14:paraId="00E9AC53"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(7.520.794)</w:t>
            </w:r>
          </w:p>
        </w:tc>
        <w:tc>
          <w:tcPr>
            <w:tcW w:w="336" w:type="pct"/>
            <w:tcBorders>
              <w:top w:val="single" w:sz="4" w:space="0" w:color="F68F00"/>
              <w:left w:val="nil"/>
              <w:bottom w:val="single" w:sz="4" w:space="0" w:color="F68F00"/>
              <w:right w:val="nil"/>
            </w:tcBorders>
            <w:shd w:val="clear" w:color="auto" w:fill="auto"/>
            <w:vAlign w:val="center"/>
          </w:tcPr>
          <w:p w14:paraId="1F84A387" w14:textId="7F8CEE68"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(7.641.330)</w:t>
            </w:r>
          </w:p>
        </w:tc>
        <w:tc>
          <w:tcPr>
            <w:tcW w:w="289" w:type="pct"/>
            <w:gridSpan w:val="2"/>
            <w:tcBorders>
              <w:top w:val="single" w:sz="4" w:space="0" w:color="F68F00"/>
              <w:left w:val="nil"/>
              <w:bottom w:val="single" w:sz="4" w:space="0" w:color="F68F00"/>
              <w:right w:val="nil"/>
            </w:tcBorders>
            <w:shd w:val="clear" w:color="auto" w:fill="auto"/>
            <w:vAlign w:val="center"/>
          </w:tcPr>
          <w:p w14:paraId="3E822E70" w14:textId="5CF484D1" w:rsidR="00A5406B" w:rsidRPr="00E20D21" w:rsidRDefault="00564392"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(742.336)</w:t>
            </w:r>
          </w:p>
        </w:tc>
        <w:tc>
          <w:tcPr>
            <w:tcW w:w="289" w:type="pct"/>
            <w:gridSpan w:val="2"/>
            <w:tcBorders>
              <w:top w:val="single" w:sz="4" w:space="0" w:color="F68F00"/>
              <w:left w:val="nil"/>
              <w:bottom w:val="single" w:sz="4" w:space="0" w:color="F68F00"/>
              <w:right w:val="nil"/>
            </w:tcBorders>
            <w:shd w:val="clear" w:color="auto" w:fill="auto"/>
            <w:vAlign w:val="center"/>
          </w:tcPr>
          <w:p w14:paraId="233C4D1A"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(854.794)</w:t>
            </w:r>
          </w:p>
        </w:tc>
        <w:tc>
          <w:tcPr>
            <w:tcW w:w="290" w:type="pct"/>
            <w:gridSpan w:val="2"/>
            <w:tcBorders>
              <w:top w:val="single" w:sz="4" w:space="0" w:color="F68F00"/>
              <w:left w:val="nil"/>
              <w:bottom w:val="single" w:sz="4" w:space="0" w:color="F68F00"/>
              <w:right w:val="nil"/>
            </w:tcBorders>
            <w:shd w:val="clear" w:color="auto" w:fill="auto"/>
            <w:vAlign w:val="center"/>
          </w:tcPr>
          <w:p w14:paraId="5B66A879" w14:textId="5940A0B0"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(854.495)</w:t>
            </w:r>
          </w:p>
        </w:tc>
        <w:tc>
          <w:tcPr>
            <w:tcW w:w="335" w:type="pct"/>
            <w:gridSpan w:val="2"/>
            <w:tcBorders>
              <w:top w:val="single" w:sz="4" w:space="0" w:color="F68F00"/>
              <w:left w:val="nil"/>
              <w:bottom w:val="single" w:sz="4" w:space="0" w:color="F68F00"/>
              <w:right w:val="nil"/>
            </w:tcBorders>
            <w:shd w:val="clear" w:color="auto" w:fill="auto"/>
            <w:vAlign w:val="center"/>
          </w:tcPr>
          <w:p w14:paraId="0C5A157C" w14:textId="6F4E645E" w:rsidR="00A5406B" w:rsidRPr="00E20D21" w:rsidRDefault="00C81FA8"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(4.463.153)</w:t>
            </w:r>
          </w:p>
        </w:tc>
        <w:tc>
          <w:tcPr>
            <w:tcW w:w="335" w:type="pct"/>
            <w:gridSpan w:val="2"/>
            <w:tcBorders>
              <w:top w:val="single" w:sz="4" w:space="0" w:color="F68F00"/>
              <w:left w:val="nil"/>
              <w:bottom w:val="single" w:sz="4" w:space="0" w:color="F68F00"/>
              <w:right w:val="nil"/>
            </w:tcBorders>
            <w:shd w:val="clear" w:color="auto" w:fill="auto"/>
            <w:vAlign w:val="center"/>
          </w:tcPr>
          <w:p w14:paraId="76F6DC42" w14:textId="77777777"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(5.175.920)</w:t>
            </w:r>
          </w:p>
        </w:tc>
        <w:tc>
          <w:tcPr>
            <w:tcW w:w="335" w:type="pct"/>
            <w:tcBorders>
              <w:top w:val="single" w:sz="4" w:space="0" w:color="F68F00"/>
              <w:left w:val="nil"/>
              <w:bottom w:val="single" w:sz="4" w:space="0" w:color="F68F00"/>
              <w:right w:val="nil"/>
            </w:tcBorders>
            <w:shd w:val="clear" w:color="auto" w:fill="auto"/>
            <w:vAlign w:val="center"/>
          </w:tcPr>
          <w:p w14:paraId="776CC23D" w14:textId="63453179" w:rsidR="00A5406B" w:rsidRPr="00E20D21" w:rsidRDefault="00A5406B" w:rsidP="00A5406B">
            <w:pPr>
              <w:jc w:val="right"/>
              <w:rPr>
                <w:rFonts w:ascii="CAIXA Std Book" w:hAnsi="CAIXA Std Book" w:cs="MS Gothic"/>
                <w:b/>
                <w:color w:val="005CA9"/>
                <w:sz w:val="14"/>
                <w:szCs w:val="14"/>
              </w:rPr>
            </w:pPr>
            <w:r w:rsidRPr="00E20D21">
              <w:rPr>
                <w:rFonts w:ascii="CAIXA Std Book" w:hAnsi="CAIXA Std Book" w:cs="Calibri"/>
                <w:b/>
                <w:bCs/>
                <w:color w:val="005CA9"/>
                <w:sz w:val="14"/>
                <w:szCs w:val="14"/>
              </w:rPr>
              <w:t>(5.339.394)</w:t>
            </w:r>
          </w:p>
        </w:tc>
      </w:tr>
    </w:tbl>
    <w:bookmarkEnd w:id="76"/>
    <w:p w14:paraId="74B2408B" w14:textId="7E25B8DC" w:rsidR="003834D8" w:rsidRPr="00E20D21" w:rsidRDefault="003834D8" w:rsidP="00414006">
      <w:pPr>
        <w:spacing w:before="120" w:after="120"/>
        <w:ind w:right="-1"/>
        <w:jc w:val="both"/>
        <w:rPr>
          <w:rFonts w:ascii="CAIXA Std Book" w:hAnsi="CAIXA Std Book"/>
          <w:color w:val="005CA9"/>
          <w:sz w:val="20"/>
          <w:szCs w:val="20"/>
        </w:rPr>
      </w:pPr>
      <w:r w:rsidRPr="00E20D21">
        <w:rPr>
          <w:rFonts w:ascii="CAIXA Std Book" w:hAnsi="CAIXA Std Book"/>
          <w:color w:val="005CA9"/>
          <w:sz w:val="20"/>
          <w:szCs w:val="20"/>
        </w:rPr>
        <w:t>A Resolução nº 25, da CGPAR, estabeleceu que as empresas estatais federais que patrocinem planos de benefícios de previdência complementar estruturados na modalidade de benefício definido devem promover alteração desses planos. Entre os itens definidos pela resolução, destacamos: o fechamento do plano a novas adesões; a exclusão de dispositivos que indiquem percentuais de contribuição para custeio dos planos de benefícios e que estejam incorporados aos seus regulamentos; a adoção da média de, no mínimo, os últimos trinta e seis salários de participação como a base para o cálculo do salário real de benefício da complementação/suplementação de aposentadoria por tempo de contribuição/serviço; a adoção de teto para salário de participação não superior à maior remuneração de cargo não estatutário da empresa patrocinadora; a vinculação do reajuste dos benefícios dos assistidos ao índice do plano; a desvinculação dos valores de complementações/suplementações de aposentadorias do valor do benefício pago pelo RGPS; e a vinculação dos valores de complementações/suplementações de aposentadorias a valor de RGPS hipotético.</w:t>
      </w:r>
    </w:p>
    <w:p w14:paraId="756305B6" w14:textId="77777777" w:rsidR="003834D8" w:rsidRPr="00E20D21" w:rsidRDefault="003834D8" w:rsidP="00414006">
      <w:pPr>
        <w:tabs>
          <w:tab w:val="left" w:pos="14317"/>
        </w:tabs>
        <w:rPr>
          <w:rFonts w:ascii="CAIXA Std Book" w:hAnsi="CAIXA Std Book"/>
          <w:b/>
          <w:color w:val="005CA9"/>
          <w:sz w:val="20"/>
          <w:szCs w:val="20"/>
        </w:rPr>
      </w:pPr>
      <w:r w:rsidRPr="00E20D21">
        <w:rPr>
          <w:rFonts w:ascii="CAIXA Std Book" w:hAnsi="CAIXA Std Book"/>
          <w:b/>
          <w:color w:val="005CA9"/>
          <w:sz w:val="20"/>
          <w:szCs w:val="20"/>
        </w:rPr>
        <w:br w:type="page"/>
      </w:r>
    </w:p>
    <w:p w14:paraId="72DF02A3" w14:textId="77777777" w:rsidR="003834D8" w:rsidRPr="00E20D21" w:rsidRDefault="003834D8" w:rsidP="003834D8">
      <w:pPr>
        <w:spacing w:before="480" w:after="240"/>
        <w:ind w:left="567" w:right="254" w:hanging="567"/>
        <w:rPr>
          <w:rFonts w:ascii="CAIXA Std Book" w:hAnsi="CAIXA Std Book"/>
          <w:b/>
          <w:color w:val="005CA9"/>
          <w:sz w:val="20"/>
          <w:szCs w:val="20"/>
        </w:rPr>
      </w:pPr>
      <w:r w:rsidRPr="00E20D21">
        <w:rPr>
          <w:rFonts w:ascii="CAIXA Std Book" w:hAnsi="CAIXA Std Book"/>
          <w:b/>
          <w:color w:val="005CA9"/>
          <w:sz w:val="20"/>
          <w:szCs w:val="20"/>
        </w:rPr>
        <w:lastRenderedPageBreak/>
        <w:t>(i.6)</w:t>
      </w:r>
      <w:r w:rsidRPr="00E20D21">
        <w:rPr>
          <w:rFonts w:ascii="CAIXA Std Book" w:hAnsi="CAIXA Std Book"/>
          <w:b/>
          <w:color w:val="005CA9"/>
          <w:sz w:val="20"/>
          <w:szCs w:val="20"/>
        </w:rPr>
        <w:tab/>
        <w:t>Mudança no valor justo dos ativos</w:t>
      </w:r>
    </w:p>
    <w:p w14:paraId="70751A3A" w14:textId="77777777" w:rsidR="003834D8" w:rsidRPr="00E20D21" w:rsidRDefault="003834D8" w:rsidP="00C11FCD">
      <w:pPr>
        <w:tabs>
          <w:tab w:val="left" w:pos="14601"/>
        </w:tabs>
        <w:spacing w:before="120" w:after="120"/>
        <w:ind w:right="-1"/>
        <w:jc w:val="both"/>
        <w:rPr>
          <w:rFonts w:ascii="CAIXA Std Book" w:hAnsi="CAIXA Std Book"/>
          <w:color w:val="005CA9"/>
          <w:sz w:val="20"/>
          <w:szCs w:val="20"/>
        </w:rPr>
      </w:pPr>
      <w:r w:rsidRPr="00E20D21">
        <w:rPr>
          <w:rFonts w:ascii="CAIXA Std Book" w:hAnsi="CAIXA Std Book"/>
          <w:color w:val="005CA9"/>
          <w:sz w:val="20"/>
          <w:szCs w:val="20"/>
        </w:rPr>
        <w:t>Os ativos dos planos representam os montantes de recursos (principal e rentabilidade de juros, dividendos e outras receitas) mantidos pela entidade ou fundo de pensão para fazer frente às obrigações atuariais de cada plano de benefício patrocinado pela CAIXA. Esses recursos são mensurados a valor justo, ou seja, considerando o que efetivamente seria recebido pela venda de um ativo ou o que seria pago pela transferência de um passivo em transações não forçadas entre participantes do mercado na data da mensuração. Alguns ativos do plano referem-se a fundos estruturados cujo critério de mensuração é objeto de avaliação específica, efetuada pela CAIXA.</w:t>
      </w:r>
    </w:p>
    <w:p w14:paraId="577C1C61" w14:textId="77777777" w:rsidR="003834D8" w:rsidRPr="00E20D21" w:rsidRDefault="003834D8" w:rsidP="00C11FCD">
      <w:pPr>
        <w:tabs>
          <w:tab w:val="left" w:pos="14601"/>
        </w:tabs>
        <w:spacing w:before="120" w:after="120"/>
        <w:ind w:right="-1"/>
        <w:jc w:val="both"/>
        <w:rPr>
          <w:rFonts w:ascii="CAIXA Std Book" w:hAnsi="CAIXA Std Book"/>
          <w:color w:val="005CA9"/>
          <w:sz w:val="20"/>
          <w:szCs w:val="20"/>
        </w:rPr>
      </w:pPr>
      <w:r w:rsidRPr="00E20D21">
        <w:rPr>
          <w:rFonts w:ascii="CAIXA Std Book" w:hAnsi="CAIXA Std Book"/>
          <w:color w:val="005CA9"/>
          <w:sz w:val="20"/>
          <w:szCs w:val="20"/>
        </w:rPr>
        <w:t>Os planos de saúde complementar e auxílio/cesta-alimentação são diretamente administrados pela CAIXA e não possuem ativos. A conciliação apresentada abaixo demonstra a evolução do Valor Justo dos Ativos – VJA:</w:t>
      </w:r>
    </w:p>
    <w:tbl>
      <w:tblPr>
        <w:tblW w:w="5000" w:type="pct"/>
        <w:tblCellMar>
          <w:left w:w="70" w:type="dxa"/>
          <w:right w:w="70" w:type="dxa"/>
        </w:tblCellMar>
        <w:tblLook w:val="04A0" w:firstRow="1" w:lastRow="0" w:firstColumn="1" w:lastColumn="0" w:noHBand="0" w:noVBand="1"/>
      </w:tblPr>
      <w:tblGrid>
        <w:gridCol w:w="4678"/>
        <w:gridCol w:w="1134"/>
        <w:gridCol w:w="1134"/>
        <w:gridCol w:w="1119"/>
        <w:gridCol w:w="1139"/>
        <w:gridCol w:w="1075"/>
        <w:gridCol w:w="1075"/>
        <w:gridCol w:w="1075"/>
        <w:gridCol w:w="1075"/>
        <w:gridCol w:w="1067"/>
      </w:tblGrid>
      <w:tr w:rsidR="00A47C19" w:rsidRPr="00E20D21" w14:paraId="3A45BEC4" w14:textId="77777777" w:rsidTr="00C11FCD">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4F599213" w14:textId="591418AB"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INDIVIDUAL</w:t>
            </w:r>
            <w:r w:rsidR="00E20D2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w:t>
            </w:r>
            <w:r w:rsidR="00E20D2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CONSOLIDADO</w:t>
            </w:r>
          </w:p>
        </w:tc>
      </w:tr>
      <w:tr w:rsidR="00A47C19" w:rsidRPr="00E20D21" w14:paraId="30744761" w14:textId="77777777" w:rsidTr="006901B1">
        <w:trPr>
          <w:trHeight w:val="283"/>
        </w:trPr>
        <w:tc>
          <w:tcPr>
            <w:tcW w:w="1605" w:type="pct"/>
            <w:vMerge w:val="restart"/>
            <w:tcBorders>
              <w:top w:val="single" w:sz="4" w:space="0" w:color="F68F00"/>
              <w:left w:val="nil"/>
              <w:bottom w:val="single" w:sz="4" w:space="0" w:color="F68F00"/>
              <w:right w:val="nil"/>
            </w:tcBorders>
            <w:shd w:val="clear" w:color="auto" w:fill="auto"/>
            <w:vAlign w:val="center"/>
            <w:hideMark/>
          </w:tcPr>
          <w:p w14:paraId="20B43335"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Descrição</w:t>
            </w:r>
          </w:p>
        </w:tc>
        <w:tc>
          <w:tcPr>
            <w:tcW w:w="1162" w:type="pct"/>
            <w:gridSpan w:val="3"/>
            <w:tcBorders>
              <w:top w:val="single" w:sz="4" w:space="0" w:color="F68F00"/>
              <w:left w:val="nil"/>
              <w:bottom w:val="single" w:sz="4" w:space="0" w:color="F68F00"/>
              <w:right w:val="nil"/>
            </w:tcBorders>
            <w:shd w:val="clear" w:color="auto" w:fill="auto"/>
            <w:vAlign w:val="center"/>
            <w:hideMark/>
          </w:tcPr>
          <w:p w14:paraId="3C1D2F1A"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Assistidos EX-PREVHAB</w:t>
            </w:r>
          </w:p>
        </w:tc>
        <w:tc>
          <w:tcPr>
            <w:tcW w:w="1129" w:type="pct"/>
            <w:gridSpan w:val="3"/>
            <w:tcBorders>
              <w:top w:val="single" w:sz="4" w:space="0" w:color="F68F00"/>
              <w:left w:val="nil"/>
              <w:bottom w:val="single" w:sz="4" w:space="0" w:color="F68F00"/>
              <w:right w:val="nil"/>
            </w:tcBorders>
            <w:shd w:val="clear" w:color="auto" w:fill="auto"/>
            <w:vAlign w:val="center"/>
            <w:hideMark/>
          </w:tcPr>
          <w:p w14:paraId="46A4D0C9"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REG/</w:t>
            </w:r>
            <w:proofErr w:type="gramStart"/>
            <w:r w:rsidRPr="00E20D21">
              <w:rPr>
                <w:rFonts w:ascii="CAIXA Std Book" w:hAnsi="CAIXA Std Book" w:cs="Symbol"/>
                <w:b/>
                <w:color w:val="005CA9"/>
                <w:sz w:val="16"/>
                <w:szCs w:val="16"/>
              </w:rPr>
              <w:t>REPLAN  Saldado</w:t>
            </w:r>
            <w:proofErr w:type="gramEnd"/>
          </w:p>
        </w:tc>
        <w:tc>
          <w:tcPr>
            <w:tcW w:w="1104" w:type="pct"/>
            <w:gridSpan w:val="3"/>
            <w:tcBorders>
              <w:top w:val="single" w:sz="4" w:space="0" w:color="F68F00"/>
              <w:left w:val="nil"/>
              <w:bottom w:val="single" w:sz="4" w:space="0" w:color="F68F00"/>
              <w:right w:val="nil"/>
            </w:tcBorders>
            <w:shd w:val="clear" w:color="auto" w:fill="auto"/>
            <w:vAlign w:val="center"/>
            <w:hideMark/>
          </w:tcPr>
          <w:p w14:paraId="3BEA8EC7"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REG/</w:t>
            </w:r>
            <w:proofErr w:type="gramStart"/>
            <w:r w:rsidRPr="00E20D21">
              <w:rPr>
                <w:rFonts w:ascii="CAIXA Std Book" w:hAnsi="CAIXA Std Book" w:cs="Symbol"/>
                <w:b/>
                <w:color w:val="005CA9"/>
                <w:sz w:val="16"/>
                <w:szCs w:val="16"/>
              </w:rPr>
              <w:t>REPLAN  Não</w:t>
            </w:r>
            <w:proofErr w:type="gramEnd"/>
            <w:r w:rsidRPr="00E20D21">
              <w:rPr>
                <w:rFonts w:ascii="CAIXA Std Book" w:hAnsi="CAIXA Std Book" w:cs="Symbol"/>
                <w:b/>
                <w:color w:val="005CA9"/>
                <w:sz w:val="16"/>
                <w:szCs w:val="16"/>
              </w:rPr>
              <w:t xml:space="preserve"> saldado</w:t>
            </w:r>
          </w:p>
        </w:tc>
      </w:tr>
      <w:tr w:rsidR="00A5406B" w:rsidRPr="00E20D21" w14:paraId="64F1BA79" w14:textId="77777777" w:rsidTr="006901B1">
        <w:trPr>
          <w:trHeight w:val="283"/>
        </w:trPr>
        <w:tc>
          <w:tcPr>
            <w:tcW w:w="1605" w:type="pct"/>
            <w:vMerge/>
            <w:tcBorders>
              <w:top w:val="single" w:sz="4" w:space="0" w:color="F68F00"/>
              <w:left w:val="nil"/>
              <w:bottom w:val="single" w:sz="4" w:space="0" w:color="F68F00"/>
              <w:right w:val="nil"/>
            </w:tcBorders>
            <w:vAlign w:val="center"/>
            <w:hideMark/>
          </w:tcPr>
          <w:p w14:paraId="77E31AF8" w14:textId="77777777" w:rsidR="00A5406B" w:rsidRPr="00E20D21" w:rsidRDefault="00A5406B" w:rsidP="00A5406B">
            <w:pPr>
              <w:rPr>
                <w:rFonts w:ascii="CAIXA Std Book" w:hAnsi="CAIXA Std Book" w:cs="Symbol"/>
                <w:b/>
                <w:color w:val="005CA9"/>
                <w:sz w:val="16"/>
                <w:szCs w:val="16"/>
              </w:rPr>
            </w:pPr>
          </w:p>
        </w:tc>
        <w:tc>
          <w:tcPr>
            <w:tcW w:w="389" w:type="pct"/>
            <w:tcBorders>
              <w:top w:val="nil"/>
              <w:left w:val="nil"/>
              <w:bottom w:val="single" w:sz="4" w:space="0" w:color="F68F00"/>
              <w:right w:val="nil"/>
            </w:tcBorders>
            <w:shd w:val="clear" w:color="auto" w:fill="auto"/>
            <w:vAlign w:val="center"/>
          </w:tcPr>
          <w:p w14:paraId="5E8E87EA" w14:textId="25855938"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2024</w:t>
            </w:r>
          </w:p>
        </w:tc>
        <w:tc>
          <w:tcPr>
            <w:tcW w:w="389" w:type="pct"/>
            <w:tcBorders>
              <w:top w:val="nil"/>
              <w:left w:val="nil"/>
              <w:bottom w:val="single" w:sz="4" w:space="0" w:color="F68F00"/>
              <w:right w:val="nil"/>
            </w:tcBorders>
            <w:shd w:val="clear" w:color="auto" w:fill="auto"/>
            <w:vAlign w:val="center"/>
            <w:hideMark/>
          </w:tcPr>
          <w:p w14:paraId="1D010489" w14:textId="63CCB8C5"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Exercício 2023</w:t>
            </w:r>
          </w:p>
        </w:tc>
        <w:tc>
          <w:tcPr>
            <w:tcW w:w="384" w:type="pct"/>
            <w:tcBorders>
              <w:top w:val="nil"/>
              <w:left w:val="nil"/>
              <w:bottom w:val="single" w:sz="4" w:space="0" w:color="F68F00"/>
              <w:right w:val="nil"/>
            </w:tcBorders>
            <w:shd w:val="clear" w:color="auto" w:fill="auto"/>
            <w:vAlign w:val="center"/>
          </w:tcPr>
          <w:p w14:paraId="4B17BE28" w14:textId="3FD9389B"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2023</w:t>
            </w:r>
          </w:p>
        </w:tc>
        <w:tc>
          <w:tcPr>
            <w:tcW w:w="391" w:type="pct"/>
            <w:tcBorders>
              <w:top w:val="nil"/>
              <w:left w:val="nil"/>
              <w:bottom w:val="single" w:sz="4" w:space="0" w:color="F68F00"/>
              <w:right w:val="nil"/>
            </w:tcBorders>
            <w:shd w:val="clear" w:color="auto" w:fill="auto"/>
            <w:vAlign w:val="center"/>
          </w:tcPr>
          <w:p w14:paraId="68E6DBD2" w14:textId="3621263D"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2024</w:t>
            </w:r>
          </w:p>
        </w:tc>
        <w:tc>
          <w:tcPr>
            <w:tcW w:w="369" w:type="pct"/>
            <w:tcBorders>
              <w:top w:val="nil"/>
              <w:left w:val="nil"/>
              <w:bottom w:val="single" w:sz="4" w:space="0" w:color="F68F00"/>
              <w:right w:val="nil"/>
            </w:tcBorders>
            <w:shd w:val="clear" w:color="auto" w:fill="auto"/>
            <w:vAlign w:val="center"/>
            <w:hideMark/>
          </w:tcPr>
          <w:p w14:paraId="7B8BF894" w14:textId="0549766A"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Exercício 2023</w:t>
            </w:r>
          </w:p>
        </w:tc>
        <w:tc>
          <w:tcPr>
            <w:tcW w:w="369" w:type="pct"/>
            <w:tcBorders>
              <w:top w:val="nil"/>
              <w:left w:val="nil"/>
              <w:bottom w:val="single" w:sz="4" w:space="0" w:color="F68F00"/>
              <w:right w:val="nil"/>
            </w:tcBorders>
            <w:shd w:val="clear" w:color="auto" w:fill="auto"/>
            <w:vAlign w:val="center"/>
          </w:tcPr>
          <w:p w14:paraId="43CC382E" w14:textId="6E506D50"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2023</w:t>
            </w:r>
          </w:p>
        </w:tc>
        <w:tc>
          <w:tcPr>
            <w:tcW w:w="369" w:type="pct"/>
            <w:tcBorders>
              <w:top w:val="nil"/>
              <w:left w:val="nil"/>
              <w:bottom w:val="single" w:sz="4" w:space="0" w:color="F68F00"/>
              <w:right w:val="nil"/>
            </w:tcBorders>
            <w:shd w:val="clear" w:color="auto" w:fill="auto"/>
            <w:vAlign w:val="center"/>
          </w:tcPr>
          <w:p w14:paraId="0C9424A4" w14:textId="25301F8B"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2024</w:t>
            </w:r>
          </w:p>
        </w:tc>
        <w:tc>
          <w:tcPr>
            <w:tcW w:w="369" w:type="pct"/>
            <w:tcBorders>
              <w:top w:val="nil"/>
              <w:left w:val="nil"/>
              <w:bottom w:val="single" w:sz="4" w:space="0" w:color="F68F00"/>
              <w:right w:val="nil"/>
            </w:tcBorders>
            <w:shd w:val="clear" w:color="auto" w:fill="auto"/>
            <w:vAlign w:val="center"/>
            <w:hideMark/>
          </w:tcPr>
          <w:p w14:paraId="2A4E5895" w14:textId="4EA1DB43"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Exercício 2023</w:t>
            </w:r>
          </w:p>
        </w:tc>
        <w:tc>
          <w:tcPr>
            <w:tcW w:w="366" w:type="pct"/>
            <w:tcBorders>
              <w:top w:val="nil"/>
              <w:left w:val="nil"/>
              <w:bottom w:val="single" w:sz="4" w:space="0" w:color="F68F00"/>
              <w:right w:val="nil"/>
            </w:tcBorders>
            <w:shd w:val="clear" w:color="auto" w:fill="auto"/>
            <w:vAlign w:val="center"/>
          </w:tcPr>
          <w:p w14:paraId="1AA91E07" w14:textId="326574D4"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2023</w:t>
            </w:r>
          </w:p>
        </w:tc>
      </w:tr>
      <w:tr w:rsidR="00396ED4" w:rsidRPr="00E20D21" w14:paraId="611BD8D6" w14:textId="77777777" w:rsidTr="006901B1">
        <w:trPr>
          <w:trHeight w:val="283"/>
        </w:trPr>
        <w:tc>
          <w:tcPr>
            <w:tcW w:w="1605" w:type="pct"/>
            <w:tcBorders>
              <w:top w:val="nil"/>
              <w:left w:val="nil"/>
              <w:bottom w:val="nil"/>
              <w:right w:val="nil"/>
            </w:tcBorders>
            <w:shd w:val="clear" w:color="auto" w:fill="auto"/>
            <w:vAlign w:val="center"/>
            <w:hideMark/>
          </w:tcPr>
          <w:p w14:paraId="288B9C2F" w14:textId="77777777" w:rsidR="00396ED4" w:rsidRPr="00E20D21" w:rsidRDefault="00396ED4" w:rsidP="00396ED4">
            <w:pPr>
              <w:rPr>
                <w:rFonts w:ascii="CAIXA Std Book" w:hAnsi="CAIXA Std Book" w:cs="Symbol"/>
                <w:color w:val="005CA9"/>
                <w:sz w:val="16"/>
                <w:szCs w:val="16"/>
              </w:rPr>
            </w:pPr>
            <w:r w:rsidRPr="00E20D21">
              <w:rPr>
                <w:rFonts w:ascii="CAIXA Std Book" w:hAnsi="CAIXA Std Book" w:cs="Symbol"/>
                <w:color w:val="005CA9"/>
                <w:sz w:val="16"/>
                <w:szCs w:val="16"/>
              </w:rPr>
              <w:t>VJA no início do período</w:t>
            </w:r>
          </w:p>
        </w:tc>
        <w:tc>
          <w:tcPr>
            <w:tcW w:w="389" w:type="pct"/>
            <w:tcBorders>
              <w:top w:val="nil"/>
              <w:left w:val="nil"/>
              <w:bottom w:val="nil"/>
              <w:right w:val="nil"/>
            </w:tcBorders>
            <w:shd w:val="clear" w:color="auto" w:fill="auto"/>
            <w:vAlign w:val="center"/>
          </w:tcPr>
          <w:p w14:paraId="0EF383F4" w14:textId="298940B0"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77.059</w:t>
            </w:r>
          </w:p>
        </w:tc>
        <w:tc>
          <w:tcPr>
            <w:tcW w:w="389" w:type="pct"/>
            <w:tcBorders>
              <w:top w:val="nil"/>
              <w:left w:val="nil"/>
              <w:bottom w:val="nil"/>
              <w:right w:val="nil"/>
            </w:tcBorders>
            <w:shd w:val="clear" w:color="auto" w:fill="auto"/>
            <w:vAlign w:val="center"/>
          </w:tcPr>
          <w:p w14:paraId="2F19E90E"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72.862</w:t>
            </w:r>
          </w:p>
        </w:tc>
        <w:tc>
          <w:tcPr>
            <w:tcW w:w="384" w:type="pct"/>
            <w:tcBorders>
              <w:top w:val="nil"/>
              <w:left w:val="nil"/>
              <w:bottom w:val="nil"/>
              <w:right w:val="nil"/>
            </w:tcBorders>
            <w:shd w:val="clear" w:color="auto" w:fill="auto"/>
            <w:vAlign w:val="center"/>
          </w:tcPr>
          <w:p w14:paraId="100E8785" w14:textId="304C7745"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72.862</w:t>
            </w:r>
          </w:p>
        </w:tc>
        <w:tc>
          <w:tcPr>
            <w:tcW w:w="391" w:type="pct"/>
            <w:tcBorders>
              <w:top w:val="nil"/>
              <w:left w:val="nil"/>
              <w:bottom w:val="nil"/>
              <w:right w:val="nil"/>
            </w:tcBorders>
            <w:shd w:val="clear" w:color="auto" w:fill="auto"/>
            <w:vAlign w:val="center"/>
          </w:tcPr>
          <w:p w14:paraId="1871AD18" w14:textId="54F472A4"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51.273.376</w:t>
            </w:r>
          </w:p>
        </w:tc>
        <w:tc>
          <w:tcPr>
            <w:tcW w:w="369" w:type="pct"/>
            <w:tcBorders>
              <w:top w:val="nil"/>
              <w:left w:val="nil"/>
              <w:bottom w:val="nil"/>
              <w:right w:val="nil"/>
            </w:tcBorders>
            <w:shd w:val="clear" w:color="auto" w:fill="auto"/>
            <w:vAlign w:val="center"/>
          </w:tcPr>
          <w:p w14:paraId="5C0A38E6"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49.811.650</w:t>
            </w:r>
          </w:p>
        </w:tc>
        <w:tc>
          <w:tcPr>
            <w:tcW w:w="369" w:type="pct"/>
            <w:tcBorders>
              <w:top w:val="nil"/>
              <w:left w:val="nil"/>
              <w:bottom w:val="nil"/>
              <w:right w:val="nil"/>
            </w:tcBorders>
            <w:shd w:val="clear" w:color="auto" w:fill="auto"/>
            <w:vAlign w:val="center"/>
          </w:tcPr>
          <w:p w14:paraId="0F35BED4" w14:textId="655DE4DA"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49.811.650</w:t>
            </w:r>
          </w:p>
        </w:tc>
        <w:tc>
          <w:tcPr>
            <w:tcW w:w="369" w:type="pct"/>
            <w:tcBorders>
              <w:top w:val="nil"/>
              <w:left w:val="nil"/>
              <w:bottom w:val="nil"/>
              <w:right w:val="nil"/>
            </w:tcBorders>
            <w:shd w:val="clear" w:color="auto" w:fill="auto"/>
            <w:vAlign w:val="center"/>
          </w:tcPr>
          <w:p w14:paraId="1BE67461" w14:textId="2C1C0EBA"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6.775.916</w:t>
            </w:r>
          </w:p>
        </w:tc>
        <w:tc>
          <w:tcPr>
            <w:tcW w:w="369" w:type="pct"/>
            <w:tcBorders>
              <w:top w:val="nil"/>
              <w:left w:val="nil"/>
              <w:bottom w:val="nil"/>
              <w:right w:val="nil"/>
            </w:tcBorders>
            <w:shd w:val="clear" w:color="auto" w:fill="auto"/>
            <w:vAlign w:val="center"/>
          </w:tcPr>
          <w:p w14:paraId="730B6AE7"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6.422.722</w:t>
            </w:r>
          </w:p>
        </w:tc>
        <w:tc>
          <w:tcPr>
            <w:tcW w:w="366" w:type="pct"/>
            <w:tcBorders>
              <w:top w:val="nil"/>
              <w:left w:val="nil"/>
              <w:bottom w:val="nil"/>
              <w:right w:val="nil"/>
            </w:tcBorders>
            <w:shd w:val="clear" w:color="auto" w:fill="auto"/>
            <w:vAlign w:val="center"/>
          </w:tcPr>
          <w:p w14:paraId="18110C91" w14:textId="58F7FE9B"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6.422.722</w:t>
            </w:r>
          </w:p>
        </w:tc>
      </w:tr>
      <w:tr w:rsidR="00396ED4" w:rsidRPr="00E20D21" w14:paraId="0E9EC22D" w14:textId="77777777" w:rsidTr="006901B1">
        <w:trPr>
          <w:trHeight w:val="283"/>
        </w:trPr>
        <w:tc>
          <w:tcPr>
            <w:tcW w:w="1605" w:type="pct"/>
            <w:tcBorders>
              <w:top w:val="nil"/>
              <w:left w:val="nil"/>
              <w:bottom w:val="nil"/>
              <w:right w:val="nil"/>
            </w:tcBorders>
            <w:shd w:val="clear" w:color="auto" w:fill="auto"/>
            <w:vAlign w:val="center"/>
            <w:hideMark/>
          </w:tcPr>
          <w:p w14:paraId="045A727F" w14:textId="77777777" w:rsidR="00396ED4" w:rsidRPr="00E20D21" w:rsidRDefault="00396ED4" w:rsidP="00396ED4">
            <w:pPr>
              <w:rPr>
                <w:rFonts w:ascii="CAIXA Std Book" w:hAnsi="CAIXA Std Book" w:cs="Symbol"/>
                <w:color w:val="005CA9"/>
                <w:sz w:val="16"/>
                <w:szCs w:val="16"/>
              </w:rPr>
            </w:pPr>
            <w:r w:rsidRPr="00E20D21">
              <w:rPr>
                <w:rFonts w:ascii="CAIXA Std Book" w:hAnsi="CAIXA Std Book" w:cs="Symbol"/>
                <w:color w:val="005CA9"/>
                <w:sz w:val="16"/>
                <w:szCs w:val="16"/>
              </w:rPr>
              <w:t>Receitas de juros</w:t>
            </w:r>
          </w:p>
        </w:tc>
        <w:tc>
          <w:tcPr>
            <w:tcW w:w="389" w:type="pct"/>
            <w:tcBorders>
              <w:top w:val="nil"/>
              <w:left w:val="nil"/>
              <w:bottom w:val="nil"/>
              <w:right w:val="nil"/>
            </w:tcBorders>
            <w:shd w:val="clear" w:color="auto" w:fill="auto"/>
            <w:vAlign w:val="center"/>
          </w:tcPr>
          <w:p w14:paraId="1CE72311" w14:textId="7834C361"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3.067</w:t>
            </w:r>
          </w:p>
        </w:tc>
        <w:tc>
          <w:tcPr>
            <w:tcW w:w="389" w:type="pct"/>
            <w:tcBorders>
              <w:top w:val="nil"/>
              <w:left w:val="nil"/>
              <w:bottom w:val="nil"/>
              <w:right w:val="nil"/>
            </w:tcBorders>
            <w:shd w:val="clear" w:color="auto" w:fill="auto"/>
            <w:vAlign w:val="center"/>
          </w:tcPr>
          <w:p w14:paraId="6A390E1A"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5.932</w:t>
            </w:r>
          </w:p>
        </w:tc>
        <w:tc>
          <w:tcPr>
            <w:tcW w:w="384" w:type="pct"/>
            <w:tcBorders>
              <w:top w:val="nil"/>
              <w:left w:val="nil"/>
              <w:bottom w:val="nil"/>
              <w:right w:val="nil"/>
            </w:tcBorders>
            <w:shd w:val="clear" w:color="auto" w:fill="auto"/>
            <w:vAlign w:val="center"/>
          </w:tcPr>
          <w:p w14:paraId="29DEEDDD" w14:textId="0088677D"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3.183</w:t>
            </w:r>
          </w:p>
        </w:tc>
        <w:tc>
          <w:tcPr>
            <w:tcW w:w="391" w:type="pct"/>
            <w:tcBorders>
              <w:top w:val="nil"/>
              <w:left w:val="nil"/>
              <w:bottom w:val="nil"/>
              <w:right w:val="nil"/>
            </w:tcBorders>
            <w:shd w:val="clear" w:color="auto" w:fill="auto"/>
            <w:vAlign w:val="center"/>
          </w:tcPr>
          <w:p w14:paraId="6857F8C5" w14:textId="41B5A1A1"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2.104.392</w:t>
            </w:r>
          </w:p>
        </w:tc>
        <w:tc>
          <w:tcPr>
            <w:tcW w:w="369" w:type="pct"/>
            <w:tcBorders>
              <w:top w:val="nil"/>
              <w:left w:val="nil"/>
              <w:bottom w:val="nil"/>
              <w:right w:val="nil"/>
            </w:tcBorders>
            <w:shd w:val="clear" w:color="auto" w:fill="auto"/>
            <w:vAlign w:val="center"/>
          </w:tcPr>
          <w:p w14:paraId="11EF9455"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4.210.533</w:t>
            </w:r>
          </w:p>
        </w:tc>
        <w:tc>
          <w:tcPr>
            <w:tcW w:w="369" w:type="pct"/>
            <w:tcBorders>
              <w:top w:val="nil"/>
              <w:left w:val="nil"/>
              <w:bottom w:val="nil"/>
              <w:right w:val="nil"/>
            </w:tcBorders>
            <w:shd w:val="clear" w:color="auto" w:fill="auto"/>
            <w:vAlign w:val="center"/>
          </w:tcPr>
          <w:p w14:paraId="2F1A3089" w14:textId="5E217B20"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2.236.782</w:t>
            </w:r>
          </w:p>
        </w:tc>
        <w:tc>
          <w:tcPr>
            <w:tcW w:w="369" w:type="pct"/>
            <w:tcBorders>
              <w:top w:val="nil"/>
              <w:left w:val="nil"/>
              <w:bottom w:val="nil"/>
              <w:right w:val="nil"/>
            </w:tcBorders>
            <w:shd w:val="clear" w:color="auto" w:fill="auto"/>
            <w:vAlign w:val="center"/>
          </w:tcPr>
          <w:p w14:paraId="1AC4BF54" w14:textId="4CE635E5"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282.495</w:t>
            </w:r>
          </w:p>
        </w:tc>
        <w:tc>
          <w:tcPr>
            <w:tcW w:w="369" w:type="pct"/>
            <w:tcBorders>
              <w:top w:val="nil"/>
              <w:left w:val="nil"/>
              <w:bottom w:val="nil"/>
              <w:right w:val="nil"/>
            </w:tcBorders>
            <w:shd w:val="clear" w:color="auto" w:fill="auto"/>
            <w:vAlign w:val="center"/>
          </w:tcPr>
          <w:p w14:paraId="08ECBEE7"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551.737</w:t>
            </w:r>
          </w:p>
        </w:tc>
        <w:tc>
          <w:tcPr>
            <w:tcW w:w="366" w:type="pct"/>
            <w:tcBorders>
              <w:top w:val="nil"/>
              <w:left w:val="nil"/>
              <w:bottom w:val="nil"/>
              <w:right w:val="nil"/>
            </w:tcBorders>
            <w:shd w:val="clear" w:color="auto" w:fill="auto"/>
            <w:vAlign w:val="center"/>
          </w:tcPr>
          <w:p w14:paraId="7D645F08" w14:textId="3CEF6A55"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293.547</w:t>
            </w:r>
          </w:p>
        </w:tc>
      </w:tr>
      <w:tr w:rsidR="00396ED4" w:rsidRPr="00E20D21" w14:paraId="5817A913" w14:textId="77777777" w:rsidTr="006901B1">
        <w:trPr>
          <w:trHeight w:val="283"/>
        </w:trPr>
        <w:tc>
          <w:tcPr>
            <w:tcW w:w="1605" w:type="pct"/>
            <w:tcBorders>
              <w:top w:val="nil"/>
              <w:left w:val="nil"/>
              <w:bottom w:val="nil"/>
              <w:right w:val="nil"/>
            </w:tcBorders>
            <w:shd w:val="clear" w:color="auto" w:fill="auto"/>
            <w:vAlign w:val="center"/>
            <w:hideMark/>
          </w:tcPr>
          <w:p w14:paraId="7B8BED05" w14:textId="77777777" w:rsidR="00396ED4" w:rsidRPr="00E20D21" w:rsidRDefault="00396ED4" w:rsidP="00396ED4">
            <w:pPr>
              <w:rPr>
                <w:rFonts w:ascii="CAIXA Std Book" w:hAnsi="CAIXA Std Book" w:cs="Symbol"/>
                <w:color w:val="005CA9"/>
                <w:sz w:val="16"/>
                <w:szCs w:val="16"/>
              </w:rPr>
            </w:pPr>
            <w:r w:rsidRPr="00E20D21">
              <w:rPr>
                <w:rFonts w:ascii="CAIXA Std Book" w:hAnsi="CAIXA Std Book" w:cs="Symbol"/>
                <w:color w:val="005CA9"/>
                <w:sz w:val="16"/>
                <w:szCs w:val="16"/>
              </w:rPr>
              <w:t>Rendimentos sobre os ativos maior (menor) que a taxa de desconto</w:t>
            </w:r>
          </w:p>
        </w:tc>
        <w:tc>
          <w:tcPr>
            <w:tcW w:w="389" w:type="pct"/>
            <w:tcBorders>
              <w:top w:val="nil"/>
              <w:left w:val="nil"/>
              <w:bottom w:val="nil"/>
              <w:right w:val="nil"/>
            </w:tcBorders>
            <w:shd w:val="clear" w:color="auto" w:fill="auto"/>
            <w:vAlign w:val="center"/>
          </w:tcPr>
          <w:p w14:paraId="4210CD41" w14:textId="1B3868FC"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(12.750)</w:t>
            </w:r>
          </w:p>
        </w:tc>
        <w:tc>
          <w:tcPr>
            <w:tcW w:w="389" w:type="pct"/>
            <w:tcBorders>
              <w:top w:val="nil"/>
              <w:left w:val="nil"/>
              <w:bottom w:val="nil"/>
              <w:right w:val="nil"/>
            </w:tcBorders>
            <w:shd w:val="clear" w:color="auto" w:fill="auto"/>
            <w:vAlign w:val="center"/>
          </w:tcPr>
          <w:p w14:paraId="199F1AF2"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5.510</w:t>
            </w:r>
          </w:p>
        </w:tc>
        <w:tc>
          <w:tcPr>
            <w:tcW w:w="384" w:type="pct"/>
            <w:tcBorders>
              <w:top w:val="nil"/>
              <w:left w:val="nil"/>
              <w:bottom w:val="nil"/>
              <w:right w:val="nil"/>
            </w:tcBorders>
            <w:shd w:val="clear" w:color="auto" w:fill="auto"/>
            <w:vAlign w:val="center"/>
          </w:tcPr>
          <w:p w14:paraId="07D971B6" w14:textId="0BF6DC96"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(2.186)</w:t>
            </w:r>
          </w:p>
        </w:tc>
        <w:tc>
          <w:tcPr>
            <w:tcW w:w="391" w:type="pct"/>
            <w:tcBorders>
              <w:top w:val="nil"/>
              <w:left w:val="nil"/>
              <w:bottom w:val="nil"/>
              <w:right w:val="nil"/>
            </w:tcBorders>
            <w:shd w:val="clear" w:color="auto" w:fill="auto"/>
            <w:vAlign w:val="center"/>
          </w:tcPr>
          <w:p w14:paraId="3BEC04A5" w14:textId="7006620C"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(3.396.593)</w:t>
            </w:r>
          </w:p>
        </w:tc>
        <w:tc>
          <w:tcPr>
            <w:tcW w:w="369" w:type="pct"/>
            <w:tcBorders>
              <w:top w:val="nil"/>
              <w:left w:val="nil"/>
              <w:bottom w:val="nil"/>
              <w:right w:val="nil"/>
            </w:tcBorders>
            <w:shd w:val="clear" w:color="auto" w:fill="auto"/>
            <w:vAlign w:val="center"/>
          </w:tcPr>
          <w:p w14:paraId="687B0A40"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47.263</w:t>
            </w:r>
          </w:p>
        </w:tc>
        <w:tc>
          <w:tcPr>
            <w:tcW w:w="369" w:type="pct"/>
            <w:tcBorders>
              <w:top w:val="nil"/>
              <w:left w:val="nil"/>
              <w:bottom w:val="nil"/>
              <w:right w:val="nil"/>
            </w:tcBorders>
            <w:shd w:val="clear" w:color="auto" w:fill="auto"/>
            <w:vAlign w:val="center"/>
          </w:tcPr>
          <w:p w14:paraId="5345310F" w14:textId="457D6519"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(1.665.692)</w:t>
            </w:r>
          </w:p>
        </w:tc>
        <w:tc>
          <w:tcPr>
            <w:tcW w:w="369" w:type="pct"/>
            <w:tcBorders>
              <w:top w:val="nil"/>
              <w:left w:val="nil"/>
              <w:bottom w:val="nil"/>
              <w:right w:val="nil"/>
            </w:tcBorders>
            <w:shd w:val="clear" w:color="auto" w:fill="auto"/>
            <w:vAlign w:val="center"/>
          </w:tcPr>
          <w:p w14:paraId="2077F74D" w14:textId="36AE7F23"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(568.265)</w:t>
            </w:r>
          </w:p>
        </w:tc>
        <w:tc>
          <w:tcPr>
            <w:tcW w:w="369" w:type="pct"/>
            <w:tcBorders>
              <w:top w:val="nil"/>
              <w:left w:val="nil"/>
              <w:bottom w:val="nil"/>
              <w:right w:val="nil"/>
            </w:tcBorders>
            <w:shd w:val="clear" w:color="auto" w:fill="auto"/>
            <w:vAlign w:val="center"/>
          </w:tcPr>
          <w:p w14:paraId="3556F933"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164.422</w:t>
            </w:r>
          </w:p>
        </w:tc>
        <w:tc>
          <w:tcPr>
            <w:tcW w:w="366" w:type="pct"/>
            <w:tcBorders>
              <w:top w:val="nil"/>
              <w:left w:val="nil"/>
              <w:bottom w:val="nil"/>
              <w:right w:val="nil"/>
            </w:tcBorders>
            <w:shd w:val="clear" w:color="auto" w:fill="auto"/>
            <w:vAlign w:val="center"/>
          </w:tcPr>
          <w:p w14:paraId="64A2E427" w14:textId="47CF198B"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(244.625)</w:t>
            </w:r>
          </w:p>
        </w:tc>
      </w:tr>
      <w:tr w:rsidR="00396ED4" w:rsidRPr="00E20D21" w14:paraId="12871C67" w14:textId="77777777" w:rsidTr="006901B1">
        <w:trPr>
          <w:trHeight w:val="283"/>
        </w:trPr>
        <w:tc>
          <w:tcPr>
            <w:tcW w:w="1605" w:type="pct"/>
            <w:tcBorders>
              <w:top w:val="nil"/>
              <w:left w:val="nil"/>
              <w:bottom w:val="nil"/>
              <w:right w:val="nil"/>
            </w:tcBorders>
            <w:shd w:val="clear" w:color="auto" w:fill="auto"/>
            <w:vAlign w:val="center"/>
            <w:hideMark/>
          </w:tcPr>
          <w:p w14:paraId="1EBE0FE0" w14:textId="77777777" w:rsidR="00396ED4" w:rsidRPr="00E20D21" w:rsidRDefault="00396ED4" w:rsidP="00396ED4">
            <w:pPr>
              <w:rPr>
                <w:rFonts w:ascii="CAIXA Std Book" w:hAnsi="CAIXA Std Book" w:cs="Symbol"/>
                <w:color w:val="005CA9"/>
                <w:sz w:val="16"/>
                <w:szCs w:val="16"/>
              </w:rPr>
            </w:pPr>
            <w:r w:rsidRPr="00E20D21">
              <w:rPr>
                <w:rFonts w:ascii="CAIXA Std Book" w:hAnsi="CAIXA Std Book" w:cs="Symbol"/>
                <w:color w:val="005CA9"/>
                <w:sz w:val="16"/>
                <w:szCs w:val="16"/>
              </w:rPr>
              <w:t>Contribuições do empregador</w:t>
            </w:r>
          </w:p>
        </w:tc>
        <w:tc>
          <w:tcPr>
            <w:tcW w:w="389" w:type="pct"/>
            <w:tcBorders>
              <w:top w:val="nil"/>
              <w:left w:val="nil"/>
              <w:bottom w:val="nil"/>
              <w:right w:val="nil"/>
            </w:tcBorders>
            <w:shd w:val="clear" w:color="auto" w:fill="auto"/>
            <w:vAlign w:val="center"/>
          </w:tcPr>
          <w:p w14:paraId="7C73D345" w14:textId="18F8BA01" w:rsidR="00396ED4" w:rsidRPr="00E20D21" w:rsidRDefault="00B20E86" w:rsidP="00396ED4">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027D088A" w14:textId="77777777" w:rsidR="00396ED4" w:rsidRPr="00E20D21" w:rsidRDefault="00396ED4" w:rsidP="00396ED4">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84" w:type="pct"/>
            <w:tcBorders>
              <w:top w:val="nil"/>
              <w:left w:val="nil"/>
              <w:bottom w:val="nil"/>
              <w:right w:val="nil"/>
            </w:tcBorders>
            <w:shd w:val="clear" w:color="auto" w:fill="auto"/>
            <w:vAlign w:val="center"/>
          </w:tcPr>
          <w:p w14:paraId="11BD3D06" w14:textId="1879267C" w:rsidR="00396ED4" w:rsidRPr="00E20D21" w:rsidRDefault="00396ED4" w:rsidP="00396ED4">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91" w:type="pct"/>
            <w:tcBorders>
              <w:top w:val="nil"/>
              <w:left w:val="nil"/>
              <w:bottom w:val="nil"/>
              <w:right w:val="nil"/>
            </w:tcBorders>
            <w:shd w:val="clear" w:color="auto" w:fill="auto"/>
            <w:vAlign w:val="center"/>
          </w:tcPr>
          <w:p w14:paraId="23DACD13" w14:textId="668FC907"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555.448</w:t>
            </w:r>
          </w:p>
        </w:tc>
        <w:tc>
          <w:tcPr>
            <w:tcW w:w="369" w:type="pct"/>
            <w:tcBorders>
              <w:top w:val="nil"/>
              <w:left w:val="nil"/>
              <w:bottom w:val="nil"/>
              <w:right w:val="nil"/>
            </w:tcBorders>
            <w:shd w:val="clear" w:color="auto" w:fill="auto"/>
            <w:vAlign w:val="center"/>
          </w:tcPr>
          <w:p w14:paraId="1BFA1DBB"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1.081.843</w:t>
            </w:r>
          </w:p>
        </w:tc>
        <w:tc>
          <w:tcPr>
            <w:tcW w:w="369" w:type="pct"/>
            <w:tcBorders>
              <w:top w:val="nil"/>
              <w:left w:val="nil"/>
              <w:bottom w:val="nil"/>
              <w:right w:val="nil"/>
            </w:tcBorders>
            <w:shd w:val="clear" w:color="auto" w:fill="auto"/>
            <w:vAlign w:val="center"/>
          </w:tcPr>
          <w:p w14:paraId="655361E1" w14:textId="769C4E30"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527.632</w:t>
            </w:r>
          </w:p>
        </w:tc>
        <w:tc>
          <w:tcPr>
            <w:tcW w:w="369" w:type="pct"/>
            <w:tcBorders>
              <w:top w:val="nil"/>
              <w:left w:val="nil"/>
              <w:bottom w:val="nil"/>
              <w:right w:val="nil"/>
            </w:tcBorders>
            <w:shd w:val="clear" w:color="auto" w:fill="auto"/>
            <w:vAlign w:val="center"/>
          </w:tcPr>
          <w:p w14:paraId="4ADED180" w14:textId="24A4C147"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31.269</w:t>
            </w:r>
          </w:p>
        </w:tc>
        <w:tc>
          <w:tcPr>
            <w:tcW w:w="369" w:type="pct"/>
            <w:tcBorders>
              <w:top w:val="nil"/>
              <w:left w:val="nil"/>
              <w:bottom w:val="nil"/>
              <w:right w:val="nil"/>
            </w:tcBorders>
            <w:shd w:val="clear" w:color="auto" w:fill="auto"/>
            <w:vAlign w:val="center"/>
          </w:tcPr>
          <w:p w14:paraId="6117F064"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60.579</w:t>
            </w:r>
          </w:p>
        </w:tc>
        <w:tc>
          <w:tcPr>
            <w:tcW w:w="366" w:type="pct"/>
            <w:tcBorders>
              <w:top w:val="nil"/>
              <w:left w:val="nil"/>
              <w:bottom w:val="nil"/>
              <w:right w:val="nil"/>
            </w:tcBorders>
            <w:shd w:val="clear" w:color="auto" w:fill="auto"/>
            <w:vAlign w:val="center"/>
          </w:tcPr>
          <w:p w14:paraId="6E6E24CF" w14:textId="6F13BB1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30.535</w:t>
            </w:r>
          </w:p>
        </w:tc>
      </w:tr>
      <w:tr w:rsidR="00396ED4" w:rsidRPr="00E20D21" w14:paraId="098F2454" w14:textId="77777777" w:rsidTr="006901B1">
        <w:trPr>
          <w:trHeight w:val="283"/>
        </w:trPr>
        <w:tc>
          <w:tcPr>
            <w:tcW w:w="1605" w:type="pct"/>
            <w:tcBorders>
              <w:top w:val="nil"/>
              <w:left w:val="nil"/>
              <w:bottom w:val="nil"/>
              <w:right w:val="nil"/>
            </w:tcBorders>
            <w:shd w:val="clear" w:color="auto" w:fill="auto"/>
            <w:vAlign w:val="center"/>
            <w:hideMark/>
          </w:tcPr>
          <w:p w14:paraId="645950FD" w14:textId="77777777" w:rsidR="00396ED4" w:rsidRPr="00E20D21" w:rsidRDefault="00396ED4" w:rsidP="00396ED4">
            <w:pPr>
              <w:rPr>
                <w:rFonts w:ascii="CAIXA Std Book" w:hAnsi="CAIXA Std Book" w:cs="Symbol"/>
                <w:color w:val="005CA9"/>
                <w:sz w:val="16"/>
                <w:szCs w:val="16"/>
              </w:rPr>
            </w:pPr>
            <w:r w:rsidRPr="00E20D21">
              <w:rPr>
                <w:rFonts w:ascii="CAIXA Std Book" w:hAnsi="CAIXA Std Book" w:cs="Symbol"/>
                <w:color w:val="005CA9"/>
                <w:sz w:val="16"/>
                <w:szCs w:val="16"/>
              </w:rPr>
              <w:t>Contribuições de participantes do plano</w:t>
            </w:r>
          </w:p>
        </w:tc>
        <w:tc>
          <w:tcPr>
            <w:tcW w:w="389" w:type="pct"/>
            <w:tcBorders>
              <w:top w:val="nil"/>
              <w:left w:val="nil"/>
              <w:bottom w:val="nil"/>
              <w:right w:val="nil"/>
            </w:tcBorders>
            <w:shd w:val="clear" w:color="auto" w:fill="auto"/>
            <w:vAlign w:val="center"/>
          </w:tcPr>
          <w:p w14:paraId="5184F53E" w14:textId="5DB4BA38" w:rsidR="00396ED4" w:rsidRPr="00E20D21" w:rsidRDefault="00B20E86" w:rsidP="00396ED4">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74C1249C" w14:textId="77777777" w:rsidR="00396ED4" w:rsidRPr="00E20D21" w:rsidRDefault="00396ED4" w:rsidP="00396ED4">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84" w:type="pct"/>
            <w:tcBorders>
              <w:top w:val="nil"/>
              <w:left w:val="nil"/>
              <w:bottom w:val="nil"/>
              <w:right w:val="nil"/>
            </w:tcBorders>
            <w:shd w:val="clear" w:color="auto" w:fill="auto"/>
            <w:vAlign w:val="center"/>
          </w:tcPr>
          <w:p w14:paraId="30A673C0" w14:textId="7AC626AB" w:rsidR="00396ED4" w:rsidRPr="00E20D21" w:rsidRDefault="00396ED4" w:rsidP="00396ED4">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91" w:type="pct"/>
            <w:tcBorders>
              <w:top w:val="nil"/>
              <w:left w:val="nil"/>
              <w:bottom w:val="nil"/>
              <w:right w:val="nil"/>
            </w:tcBorders>
            <w:shd w:val="clear" w:color="auto" w:fill="auto"/>
            <w:vAlign w:val="center"/>
          </w:tcPr>
          <w:p w14:paraId="7CB368FC" w14:textId="263C6D44"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579.770</w:t>
            </w:r>
          </w:p>
        </w:tc>
        <w:tc>
          <w:tcPr>
            <w:tcW w:w="369" w:type="pct"/>
            <w:tcBorders>
              <w:top w:val="nil"/>
              <w:left w:val="nil"/>
              <w:bottom w:val="nil"/>
              <w:right w:val="nil"/>
            </w:tcBorders>
            <w:shd w:val="clear" w:color="auto" w:fill="auto"/>
            <w:vAlign w:val="center"/>
          </w:tcPr>
          <w:p w14:paraId="09CF7C64"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1.094.013</w:t>
            </w:r>
          </w:p>
        </w:tc>
        <w:tc>
          <w:tcPr>
            <w:tcW w:w="369" w:type="pct"/>
            <w:tcBorders>
              <w:top w:val="nil"/>
              <w:left w:val="nil"/>
              <w:bottom w:val="nil"/>
              <w:right w:val="nil"/>
            </w:tcBorders>
            <w:shd w:val="clear" w:color="auto" w:fill="auto"/>
            <w:vAlign w:val="center"/>
          </w:tcPr>
          <w:p w14:paraId="77E3D115" w14:textId="65708D08"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536.750</w:t>
            </w:r>
          </w:p>
        </w:tc>
        <w:tc>
          <w:tcPr>
            <w:tcW w:w="369" w:type="pct"/>
            <w:tcBorders>
              <w:top w:val="nil"/>
              <w:left w:val="nil"/>
              <w:bottom w:val="nil"/>
              <w:right w:val="nil"/>
            </w:tcBorders>
            <w:shd w:val="clear" w:color="auto" w:fill="auto"/>
            <w:vAlign w:val="center"/>
          </w:tcPr>
          <w:p w14:paraId="79D8FAC7" w14:textId="51684052"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20.817</w:t>
            </w:r>
          </w:p>
        </w:tc>
        <w:tc>
          <w:tcPr>
            <w:tcW w:w="369" w:type="pct"/>
            <w:tcBorders>
              <w:top w:val="nil"/>
              <w:left w:val="nil"/>
              <w:bottom w:val="nil"/>
              <w:right w:val="nil"/>
            </w:tcBorders>
            <w:shd w:val="clear" w:color="auto" w:fill="auto"/>
            <w:vAlign w:val="center"/>
          </w:tcPr>
          <w:p w14:paraId="141990B8"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51.002</w:t>
            </w:r>
          </w:p>
        </w:tc>
        <w:tc>
          <w:tcPr>
            <w:tcW w:w="366" w:type="pct"/>
            <w:tcBorders>
              <w:top w:val="nil"/>
              <w:left w:val="nil"/>
              <w:bottom w:val="nil"/>
              <w:right w:val="nil"/>
            </w:tcBorders>
            <w:shd w:val="clear" w:color="auto" w:fill="auto"/>
            <w:vAlign w:val="center"/>
          </w:tcPr>
          <w:p w14:paraId="33D19007" w14:textId="62FD5A23"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27.394</w:t>
            </w:r>
          </w:p>
        </w:tc>
      </w:tr>
      <w:tr w:rsidR="00396ED4" w:rsidRPr="00E20D21" w14:paraId="46C54AF6" w14:textId="77777777" w:rsidTr="006901B1">
        <w:trPr>
          <w:trHeight w:val="283"/>
        </w:trPr>
        <w:tc>
          <w:tcPr>
            <w:tcW w:w="1605" w:type="pct"/>
            <w:tcBorders>
              <w:top w:val="nil"/>
              <w:left w:val="nil"/>
              <w:bottom w:val="single" w:sz="4" w:space="0" w:color="F68F00"/>
              <w:right w:val="nil"/>
            </w:tcBorders>
            <w:shd w:val="clear" w:color="auto" w:fill="auto"/>
            <w:vAlign w:val="center"/>
            <w:hideMark/>
          </w:tcPr>
          <w:p w14:paraId="53715E71" w14:textId="77777777" w:rsidR="00396ED4" w:rsidRPr="00E20D21" w:rsidRDefault="00396ED4" w:rsidP="00396ED4">
            <w:pPr>
              <w:rPr>
                <w:rFonts w:ascii="CAIXA Std Book" w:hAnsi="CAIXA Std Book" w:cs="Symbol"/>
                <w:color w:val="005CA9"/>
                <w:sz w:val="16"/>
                <w:szCs w:val="16"/>
              </w:rPr>
            </w:pPr>
            <w:r w:rsidRPr="00E20D21">
              <w:rPr>
                <w:rFonts w:ascii="CAIXA Std Book" w:hAnsi="CAIXA Std Book" w:cs="Symbol"/>
                <w:color w:val="005CA9"/>
                <w:sz w:val="16"/>
                <w:szCs w:val="16"/>
              </w:rPr>
              <w:t>Benefícios pagos pelo plano</w:t>
            </w:r>
          </w:p>
        </w:tc>
        <w:tc>
          <w:tcPr>
            <w:tcW w:w="389" w:type="pct"/>
            <w:tcBorders>
              <w:top w:val="nil"/>
              <w:left w:val="nil"/>
              <w:bottom w:val="single" w:sz="4" w:space="0" w:color="F68F00"/>
              <w:right w:val="nil"/>
            </w:tcBorders>
            <w:shd w:val="clear" w:color="auto" w:fill="auto"/>
            <w:vAlign w:val="center"/>
          </w:tcPr>
          <w:p w14:paraId="3F40EA2B" w14:textId="7958DC51"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(3.687)</w:t>
            </w:r>
          </w:p>
        </w:tc>
        <w:tc>
          <w:tcPr>
            <w:tcW w:w="389" w:type="pct"/>
            <w:tcBorders>
              <w:top w:val="nil"/>
              <w:left w:val="nil"/>
              <w:bottom w:val="single" w:sz="4" w:space="0" w:color="F68F00"/>
              <w:right w:val="nil"/>
            </w:tcBorders>
            <w:shd w:val="clear" w:color="auto" w:fill="auto"/>
            <w:vAlign w:val="center"/>
          </w:tcPr>
          <w:p w14:paraId="38645AA6"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(7.245)</w:t>
            </w:r>
          </w:p>
        </w:tc>
        <w:tc>
          <w:tcPr>
            <w:tcW w:w="384" w:type="pct"/>
            <w:tcBorders>
              <w:top w:val="nil"/>
              <w:left w:val="nil"/>
              <w:bottom w:val="single" w:sz="4" w:space="0" w:color="F68F00"/>
              <w:right w:val="nil"/>
            </w:tcBorders>
            <w:shd w:val="clear" w:color="auto" w:fill="auto"/>
            <w:vAlign w:val="center"/>
          </w:tcPr>
          <w:p w14:paraId="7CF662C6" w14:textId="1EC6587C"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(3.557)</w:t>
            </w:r>
          </w:p>
        </w:tc>
        <w:tc>
          <w:tcPr>
            <w:tcW w:w="391" w:type="pct"/>
            <w:tcBorders>
              <w:top w:val="nil"/>
              <w:left w:val="nil"/>
              <w:bottom w:val="single" w:sz="4" w:space="0" w:color="F68F00"/>
              <w:right w:val="nil"/>
            </w:tcBorders>
            <w:shd w:val="clear" w:color="auto" w:fill="auto"/>
            <w:vAlign w:val="center"/>
          </w:tcPr>
          <w:p w14:paraId="13384948" w14:textId="773884BE"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(2.572.792)</w:t>
            </w:r>
          </w:p>
        </w:tc>
        <w:tc>
          <w:tcPr>
            <w:tcW w:w="369" w:type="pct"/>
            <w:tcBorders>
              <w:top w:val="nil"/>
              <w:left w:val="nil"/>
              <w:bottom w:val="single" w:sz="4" w:space="0" w:color="F68F00"/>
              <w:right w:val="nil"/>
            </w:tcBorders>
            <w:shd w:val="clear" w:color="auto" w:fill="auto"/>
            <w:vAlign w:val="center"/>
          </w:tcPr>
          <w:p w14:paraId="716012AA"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(4.971.926)</w:t>
            </w:r>
          </w:p>
        </w:tc>
        <w:tc>
          <w:tcPr>
            <w:tcW w:w="369" w:type="pct"/>
            <w:tcBorders>
              <w:top w:val="nil"/>
              <w:left w:val="nil"/>
              <w:bottom w:val="single" w:sz="4" w:space="0" w:color="F68F00"/>
              <w:right w:val="nil"/>
            </w:tcBorders>
            <w:shd w:val="clear" w:color="auto" w:fill="auto"/>
            <w:vAlign w:val="center"/>
          </w:tcPr>
          <w:p w14:paraId="0DB8F6DA" w14:textId="29DF6704"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(2.485.631)</w:t>
            </w:r>
          </w:p>
        </w:tc>
        <w:tc>
          <w:tcPr>
            <w:tcW w:w="369" w:type="pct"/>
            <w:tcBorders>
              <w:top w:val="nil"/>
              <w:left w:val="nil"/>
              <w:bottom w:val="single" w:sz="4" w:space="0" w:color="F68F00"/>
              <w:right w:val="nil"/>
            </w:tcBorders>
            <w:shd w:val="clear" w:color="auto" w:fill="auto"/>
            <w:vAlign w:val="center"/>
          </w:tcPr>
          <w:p w14:paraId="0BE2BCAD" w14:textId="27787D8E" w:rsidR="00396ED4" w:rsidRPr="00E20D21" w:rsidRDefault="00B20E86"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(245.545)</w:t>
            </w:r>
          </w:p>
        </w:tc>
        <w:tc>
          <w:tcPr>
            <w:tcW w:w="369" w:type="pct"/>
            <w:tcBorders>
              <w:top w:val="nil"/>
              <w:left w:val="nil"/>
              <w:bottom w:val="single" w:sz="4" w:space="0" w:color="F68F00"/>
              <w:right w:val="nil"/>
            </w:tcBorders>
            <w:shd w:val="clear" w:color="auto" w:fill="auto"/>
            <w:vAlign w:val="center"/>
          </w:tcPr>
          <w:p w14:paraId="146CE429" w14:textId="77777777"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(474.546)</w:t>
            </w:r>
          </w:p>
        </w:tc>
        <w:tc>
          <w:tcPr>
            <w:tcW w:w="366" w:type="pct"/>
            <w:tcBorders>
              <w:top w:val="nil"/>
              <w:left w:val="nil"/>
              <w:bottom w:val="single" w:sz="4" w:space="0" w:color="F68F00"/>
              <w:right w:val="nil"/>
            </w:tcBorders>
            <w:shd w:val="clear" w:color="auto" w:fill="auto"/>
            <w:vAlign w:val="center"/>
          </w:tcPr>
          <w:p w14:paraId="3079ABEC" w14:textId="2C77E96D" w:rsidR="00396ED4" w:rsidRPr="00E20D21" w:rsidRDefault="00396ED4" w:rsidP="00396ED4">
            <w:pPr>
              <w:jc w:val="right"/>
              <w:rPr>
                <w:rFonts w:ascii="CAIXA Std Book" w:hAnsi="CAIXA Std Book" w:cs="Symbol"/>
                <w:color w:val="005CA9"/>
                <w:sz w:val="16"/>
                <w:szCs w:val="16"/>
              </w:rPr>
            </w:pPr>
            <w:r w:rsidRPr="00E20D21">
              <w:rPr>
                <w:rFonts w:ascii="CAIXA Std Book" w:hAnsi="CAIXA Std Book" w:cs="Calibri"/>
                <w:color w:val="005CA9"/>
                <w:sz w:val="16"/>
                <w:szCs w:val="16"/>
              </w:rPr>
              <w:t>(238.091)</w:t>
            </w:r>
          </w:p>
        </w:tc>
      </w:tr>
      <w:tr w:rsidR="00396ED4" w:rsidRPr="00E20D21" w14:paraId="1413136C" w14:textId="77777777" w:rsidTr="006901B1">
        <w:trPr>
          <w:trHeight w:val="283"/>
        </w:trPr>
        <w:tc>
          <w:tcPr>
            <w:tcW w:w="1605" w:type="pct"/>
            <w:tcBorders>
              <w:top w:val="nil"/>
              <w:left w:val="nil"/>
              <w:bottom w:val="single" w:sz="4" w:space="0" w:color="F68F00"/>
              <w:right w:val="nil"/>
            </w:tcBorders>
            <w:shd w:val="clear" w:color="auto" w:fill="auto"/>
            <w:vAlign w:val="center"/>
            <w:hideMark/>
          </w:tcPr>
          <w:p w14:paraId="19D98B1F" w14:textId="77777777" w:rsidR="00396ED4" w:rsidRPr="00E20D21" w:rsidRDefault="00396ED4" w:rsidP="00396ED4">
            <w:pPr>
              <w:rPr>
                <w:rFonts w:ascii="CAIXA Std Book" w:hAnsi="CAIXA Std Book" w:cs="Symbol"/>
                <w:b/>
                <w:color w:val="005CA9"/>
                <w:sz w:val="16"/>
                <w:szCs w:val="16"/>
              </w:rPr>
            </w:pPr>
            <w:r w:rsidRPr="00E20D21">
              <w:rPr>
                <w:rFonts w:ascii="CAIXA Std Book" w:hAnsi="CAIXA Std Book" w:cs="Symbol"/>
                <w:b/>
                <w:color w:val="005CA9"/>
                <w:sz w:val="16"/>
                <w:szCs w:val="16"/>
              </w:rPr>
              <w:t>VJA no final do período</w:t>
            </w:r>
          </w:p>
        </w:tc>
        <w:tc>
          <w:tcPr>
            <w:tcW w:w="389" w:type="pct"/>
            <w:tcBorders>
              <w:top w:val="nil"/>
              <w:left w:val="nil"/>
              <w:bottom w:val="single" w:sz="4" w:space="0" w:color="F68F00"/>
              <w:right w:val="nil"/>
            </w:tcBorders>
            <w:shd w:val="clear" w:color="auto" w:fill="auto"/>
            <w:vAlign w:val="center"/>
          </w:tcPr>
          <w:p w14:paraId="49BAF03D" w14:textId="34E2B711" w:rsidR="00396ED4" w:rsidRPr="00E20D21" w:rsidRDefault="00B20E86" w:rsidP="00396ED4">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63.689</w:t>
            </w:r>
          </w:p>
        </w:tc>
        <w:tc>
          <w:tcPr>
            <w:tcW w:w="389" w:type="pct"/>
            <w:tcBorders>
              <w:top w:val="nil"/>
              <w:left w:val="nil"/>
              <w:bottom w:val="single" w:sz="4" w:space="0" w:color="F68F00"/>
              <w:right w:val="nil"/>
            </w:tcBorders>
            <w:shd w:val="clear" w:color="auto" w:fill="auto"/>
            <w:vAlign w:val="center"/>
          </w:tcPr>
          <w:p w14:paraId="239F350B" w14:textId="77777777" w:rsidR="00396ED4" w:rsidRPr="00E20D21" w:rsidRDefault="00396ED4" w:rsidP="00396ED4">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77.059</w:t>
            </w:r>
          </w:p>
        </w:tc>
        <w:tc>
          <w:tcPr>
            <w:tcW w:w="384" w:type="pct"/>
            <w:tcBorders>
              <w:top w:val="nil"/>
              <w:left w:val="nil"/>
              <w:bottom w:val="single" w:sz="4" w:space="0" w:color="F68F00"/>
              <w:right w:val="nil"/>
            </w:tcBorders>
            <w:shd w:val="clear" w:color="auto" w:fill="auto"/>
            <w:vAlign w:val="center"/>
          </w:tcPr>
          <w:p w14:paraId="2DC2BB84" w14:textId="3A3D4D90" w:rsidR="00396ED4" w:rsidRPr="00E20D21" w:rsidRDefault="00396ED4" w:rsidP="00396ED4">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70.302</w:t>
            </w:r>
          </w:p>
        </w:tc>
        <w:tc>
          <w:tcPr>
            <w:tcW w:w="391" w:type="pct"/>
            <w:tcBorders>
              <w:top w:val="nil"/>
              <w:left w:val="nil"/>
              <w:bottom w:val="single" w:sz="4" w:space="0" w:color="F68F00"/>
              <w:right w:val="nil"/>
            </w:tcBorders>
            <w:shd w:val="clear" w:color="auto" w:fill="auto"/>
            <w:vAlign w:val="center"/>
          </w:tcPr>
          <w:p w14:paraId="22A08C99" w14:textId="72B39305" w:rsidR="00396ED4" w:rsidRPr="00E20D21" w:rsidRDefault="00B20E86" w:rsidP="00396ED4">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48.543.601</w:t>
            </w:r>
          </w:p>
        </w:tc>
        <w:tc>
          <w:tcPr>
            <w:tcW w:w="369" w:type="pct"/>
            <w:tcBorders>
              <w:top w:val="nil"/>
              <w:left w:val="nil"/>
              <w:bottom w:val="single" w:sz="4" w:space="0" w:color="F68F00"/>
              <w:right w:val="nil"/>
            </w:tcBorders>
            <w:shd w:val="clear" w:color="auto" w:fill="auto"/>
            <w:vAlign w:val="center"/>
          </w:tcPr>
          <w:p w14:paraId="043E94AA" w14:textId="77777777" w:rsidR="00396ED4" w:rsidRPr="00E20D21" w:rsidRDefault="00396ED4" w:rsidP="00396ED4">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51.273.376</w:t>
            </w:r>
          </w:p>
        </w:tc>
        <w:tc>
          <w:tcPr>
            <w:tcW w:w="369" w:type="pct"/>
            <w:tcBorders>
              <w:top w:val="nil"/>
              <w:left w:val="nil"/>
              <w:bottom w:val="single" w:sz="4" w:space="0" w:color="F68F00"/>
              <w:right w:val="nil"/>
            </w:tcBorders>
            <w:shd w:val="clear" w:color="auto" w:fill="auto"/>
            <w:vAlign w:val="center"/>
          </w:tcPr>
          <w:p w14:paraId="6FD9F161" w14:textId="7A7FC8A2" w:rsidR="00396ED4" w:rsidRPr="00E20D21" w:rsidRDefault="00396ED4" w:rsidP="00396ED4">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48.961.491</w:t>
            </w:r>
          </w:p>
        </w:tc>
        <w:tc>
          <w:tcPr>
            <w:tcW w:w="369" w:type="pct"/>
            <w:tcBorders>
              <w:top w:val="nil"/>
              <w:left w:val="nil"/>
              <w:bottom w:val="single" w:sz="4" w:space="0" w:color="F68F00"/>
              <w:right w:val="nil"/>
            </w:tcBorders>
            <w:shd w:val="clear" w:color="auto" w:fill="auto"/>
            <w:vAlign w:val="center"/>
          </w:tcPr>
          <w:p w14:paraId="170E1C36" w14:textId="3A32C174" w:rsidR="00396ED4" w:rsidRPr="00E20D21" w:rsidRDefault="00B20E86" w:rsidP="00396ED4">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6.296.687</w:t>
            </w:r>
          </w:p>
        </w:tc>
        <w:tc>
          <w:tcPr>
            <w:tcW w:w="369" w:type="pct"/>
            <w:tcBorders>
              <w:top w:val="nil"/>
              <w:left w:val="nil"/>
              <w:bottom w:val="single" w:sz="4" w:space="0" w:color="F68F00"/>
              <w:right w:val="nil"/>
            </w:tcBorders>
            <w:shd w:val="clear" w:color="auto" w:fill="auto"/>
            <w:vAlign w:val="center"/>
          </w:tcPr>
          <w:p w14:paraId="135D14C5" w14:textId="77777777" w:rsidR="00396ED4" w:rsidRPr="00E20D21" w:rsidRDefault="00396ED4" w:rsidP="00396ED4">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6.775.916</w:t>
            </w:r>
          </w:p>
        </w:tc>
        <w:tc>
          <w:tcPr>
            <w:tcW w:w="366" w:type="pct"/>
            <w:tcBorders>
              <w:top w:val="nil"/>
              <w:left w:val="nil"/>
              <w:bottom w:val="single" w:sz="4" w:space="0" w:color="F68F00"/>
              <w:right w:val="nil"/>
            </w:tcBorders>
            <w:shd w:val="clear" w:color="auto" w:fill="auto"/>
            <w:vAlign w:val="center"/>
          </w:tcPr>
          <w:p w14:paraId="74F2722D" w14:textId="0F42C5FB" w:rsidR="00396ED4" w:rsidRPr="00E20D21" w:rsidRDefault="00396ED4" w:rsidP="00396ED4">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6.291.482</w:t>
            </w:r>
          </w:p>
        </w:tc>
      </w:tr>
    </w:tbl>
    <w:p w14:paraId="3ADCDF71" w14:textId="7728185B" w:rsidR="00C11FCD" w:rsidRPr="00E20D21" w:rsidRDefault="00C11FCD" w:rsidP="003834D8">
      <w:pPr>
        <w:spacing w:before="120" w:after="120"/>
        <w:ind w:right="254"/>
        <w:jc w:val="both"/>
        <w:rPr>
          <w:rFonts w:ascii="CAIXA Std Book" w:hAnsi="CAIXA Std Book"/>
          <w:color w:val="005CA9"/>
          <w:sz w:val="20"/>
          <w:szCs w:val="20"/>
        </w:rPr>
      </w:pPr>
    </w:p>
    <w:p w14:paraId="583B4109" w14:textId="77777777" w:rsidR="00C11FCD" w:rsidRPr="00E20D21" w:rsidRDefault="00C11FCD">
      <w:pPr>
        <w:rPr>
          <w:rFonts w:ascii="CAIXA Std Book" w:hAnsi="CAIXA Std Book"/>
          <w:color w:val="005CA9"/>
          <w:sz w:val="20"/>
          <w:szCs w:val="20"/>
        </w:rPr>
      </w:pPr>
      <w:r w:rsidRPr="00E20D21">
        <w:rPr>
          <w:rFonts w:ascii="CAIXA Std Book" w:hAnsi="CAIXA Std Book"/>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5583"/>
        <w:gridCol w:w="1498"/>
        <w:gridCol w:w="1498"/>
        <w:gridCol w:w="1498"/>
        <w:gridCol w:w="1498"/>
        <w:gridCol w:w="1498"/>
        <w:gridCol w:w="1498"/>
      </w:tblGrid>
      <w:tr w:rsidR="00A47C19" w:rsidRPr="00E20D21" w14:paraId="06A83F12" w14:textId="77777777" w:rsidTr="00A01778">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4674B749" w14:textId="34ECB379"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lastRenderedPageBreak/>
              <w:t>INDIVIDUAL</w:t>
            </w:r>
            <w:r w:rsidR="00E20D2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w:t>
            </w:r>
            <w:r w:rsidR="00E20D2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CONSOLIDADO</w:t>
            </w:r>
          </w:p>
        </w:tc>
      </w:tr>
      <w:tr w:rsidR="00A47C19" w:rsidRPr="00E20D21" w14:paraId="105927AF" w14:textId="77777777" w:rsidTr="00A01778">
        <w:tblPrEx>
          <w:jc w:val="center"/>
        </w:tblPrEx>
        <w:trPr>
          <w:trHeight w:val="283"/>
          <w:jc w:val="center"/>
        </w:trPr>
        <w:tc>
          <w:tcPr>
            <w:tcW w:w="1916" w:type="pct"/>
            <w:vMerge w:val="restart"/>
            <w:tcBorders>
              <w:top w:val="single" w:sz="4" w:space="0" w:color="F68F00"/>
              <w:left w:val="nil"/>
              <w:bottom w:val="single" w:sz="4" w:space="0" w:color="F68F00"/>
              <w:right w:val="nil"/>
            </w:tcBorders>
            <w:shd w:val="clear" w:color="auto" w:fill="auto"/>
            <w:vAlign w:val="center"/>
            <w:hideMark/>
          </w:tcPr>
          <w:p w14:paraId="7F8836F4"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Descrição</w:t>
            </w:r>
          </w:p>
        </w:tc>
        <w:tc>
          <w:tcPr>
            <w:tcW w:w="1542" w:type="pct"/>
            <w:gridSpan w:val="3"/>
            <w:tcBorders>
              <w:top w:val="single" w:sz="4" w:space="0" w:color="F68F00"/>
              <w:left w:val="nil"/>
              <w:bottom w:val="single" w:sz="4" w:space="0" w:color="F68F00"/>
              <w:right w:val="nil"/>
            </w:tcBorders>
            <w:shd w:val="clear" w:color="auto" w:fill="auto"/>
            <w:vAlign w:val="center"/>
            <w:hideMark/>
          </w:tcPr>
          <w:p w14:paraId="27B12F4B"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REB</w:t>
            </w:r>
          </w:p>
        </w:tc>
        <w:tc>
          <w:tcPr>
            <w:tcW w:w="1542" w:type="pct"/>
            <w:gridSpan w:val="3"/>
            <w:tcBorders>
              <w:top w:val="single" w:sz="4" w:space="0" w:color="F68F00"/>
              <w:left w:val="nil"/>
              <w:bottom w:val="single" w:sz="4" w:space="0" w:color="F68F00"/>
              <w:right w:val="nil"/>
            </w:tcBorders>
            <w:shd w:val="clear" w:color="auto" w:fill="auto"/>
            <w:vAlign w:val="center"/>
            <w:hideMark/>
          </w:tcPr>
          <w:p w14:paraId="53702570"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Novo Plano</w:t>
            </w:r>
          </w:p>
        </w:tc>
      </w:tr>
      <w:tr w:rsidR="00A5406B" w:rsidRPr="00E20D21" w14:paraId="1B166BF2" w14:textId="77777777" w:rsidTr="00A5406B">
        <w:tblPrEx>
          <w:jc w:val="center"/>
        </w:tblPrEx>
        <w:trPr>
          <w:trHeight w:val="283"/>
          <w:jc w:val="center"/>
        </w:trPr>
        <w:tc>
          <w:tcPr>
            <w:tcW w:w="1916" w:type="pct"/>
            <w:vMerge/>
            <w:tcBorders>
              <w:top w:val="single" w:sz="4" w:space="0" w:color="F68F00"/>
              <w:left w:val="nil"/>
              <w:bottom w:val="single" w:sz="4" w:space="0" w:color="F68F00"/>
              <w:right w:val="nil"/>
            </w:tcBorders>
            <w:vAlign w:val="center"/>
            <w:hideMark/>
          </w:tcPr>
          <w:p w14:paraId="475430ED" w14:textId="77777777" w:rsidR="00A5406B" w:rsidRPr="00E20D21" w:rsidRDefault="00A5406B" w:rsidP="00A5406B">
            <w:pPr>
              <w:rPr>
                <w:rFonts w:ascii="CAIXA Std Book" w:hAnsi="CAIXA Std Book" w:cs="Symbol"/>
                <w:b/>
                <w:color w:val="005CA9"/>
                <w:sz w:val="16"/>
                <w:szCs w:val="16"/>
              </w:rPr>
            </w:pPr>
          </w:p>
        </w:tc>
        <w:tc>
          <w:tcPr>
            <w:tcW w:w="514" w:type="pct"/>
            <w:tcBorders>
              <w:top w:val="nil"/>
              <w:left w:val="nil"/>
              <w:bottom w:val="single" w:sz="4" w:space="0" w:color="F68F00"/>
              <w:right w:val="nil"/>
            </w:tcBorders>
            <w:shd w:val="clear" w:color="auto" w:fill="auto"/>
            <w:vAlign w:val="center"/>
          </w:tcPr>
          <w:p w14:paraId="03E5D176" w14:textId="066A2479"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2024</w:t>
            </w:r>
          </w:p>
        </w:tc>
        <w:tc>
          <w:tcPr>
            <w:tcW w:w="514" w:type="pct"/>
            <w:tcBorders>
              <w:top w:val="nil"/>
              <w:left w:val="nil"/>
              <w:bottom w:val="single" w:sz="4" w:space="0" w:color="F68F00"/>
              <w:right w:val="nil"/>
            </w:tcBorders>
            <w:shd w:val="clear" w:color="auto" w:fill="auto"/>
            <w:vAlign w:val="center"/>
            <w:hideMark/>
          </w:tcPr>
          <w:p w14:paraId="22A15BC8" w14:textId="4912ED6E"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Exercício 2023</w:t>
            </w:r>
          </w:p>
        </w:tc>
        <w:tc>
          <w:tcPr>
            <w:tcW w:w="514" w:type="pct"/>
            <w:tcBorders>
              <w:top w:val="nil"/>
              <w:left w:val="nil"/>
              <w:bottom w:val="single" w:sz="4" w:space="0" w:color="F68F00"/>
              <w:right w:val="nil"/>
            </w:tcBorders>
            <w:shd w:val="clear" w:color="auto" w:fill="auto"/>
            <w:vAlign w:val="center"/>
          </w:tcPr>
          <w:p w14:paraId="234ADF2D" w14:textId="762B6D4C"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2023</w:t>
            </w:r>
          </w:p>
        </w:tc>
        <w:tc>
          <w:tcPr>
            <w:tcW w:w="514" w:type="pct"/>
            <w:tcBorders>
              <w:top w:val="nil"/>
              <w:left w:val="nil"/>
              <w:bottom w:val="single" w:sz="4" w:space="0" w:color="F68F00"/>
              <w:right w:val="nil"/>
            </w:tcBorders>
            <w:shd w:val="clear" w:color="auto" w:fill="auto"/>
            <w:vAlign w:val="center"/>
          </w:tcPr>
          <w:p w14:paraId="0A607AD2" w14:textId="3E4BEE4A"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2024</w:t>
            </w:r>
          </w:p>
        </w:tc>
        <w:tc>
          <w:tcPr>
            <w:tcW w:w="514" w:type="pct"/>
            <w:tcBorders>
              <w:top w:val="nil"/>
              <w:left w:val="nil"/>
              <w:bottom w:val="single" w:sz="4" w:space="0" w:color="F68F00"/>
              <w:right w:val="nil"/>
            </w:tcBorders>
            <w:shd w:val="clear" w:color="auto" w:fill="auto"/>
            <w:vAlign w:val="center"/>
            <w:hideMark/>
          </w:tcPr>
          <w:p w14:paraId="325489FB" w14:textId="077BBF2A"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Exercício 2023</w:t>
            </w:r>
          </w:p>
        </w:tc>
        <w:tc>
          <w:tcPr>
            <w:tcW w:w="514" w:type="pct"/>
            <w:tcBorders>
              <w:top w:val="nil"/>
              <w:left w:val="nil"/>
              <w:bottom w:val="single" w:sz="4" w:space="0" w:color="F68F00"/>
              <w:right w:val="nil"/>
            </w:tcBorders>
            <w:shd w:val="clear" w:color="auto" w:fill="auto"/>
            <w:vAlign w:val="center"/>
          </w:tcPr>
          <w:p w14:paraId="703E24CB" w14:textId="3161597F" w:rsidR="00A5406B" w:rsidRPr="00E20D21" w:rsidRDefault="00A5406B" w:rsidP="00A5406B">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2023</w:t>
            </w:r>
          </w:p>
        </w:tc>
      </w:tr>
      <w:tr w:rsidR="00442883" w:rsidRPr="00E20D21" w14:paraId="72BD983A" w14:textId="77777777" w:rsidTr="00A01778">
        <w:tblPrEx>
          <w:jc w:val="center"/>
        </w:tblPrEx>
        <w:trPr>
          <w:trHeight w:val="283"/>
          <w:jc w:val="center"/>
        </w:trPr>
        <w:tc>
          <w:tcPr>
            <w:tcW w:w="1916" w:type="pct"/>
            <w:tcBorders>
              <w:top w:val="nil"/>
              <w:left w:val="nil"/>
              <w:bottom w:val="nil"/>
              <w:right w:val="nil"/>
            </w:tcBorders>
            <w:shd w:val="clear" w:color="auto" w:fill="auto"/>
            <w:vAlign w:val="center"/>
            <w:hideMark/>
          </w:tcPr>
          <w:p w14:paraId="4637E17B" w14:textId="77777777" w:rsidR="00442883" w:rsidRPr="00E20D21" w:rsidRDefault="00442883" w:rsidP="00442883">
            <w:pPr>
              <w:rPr>
                <w:rFonts w:ascii="CAIXA Std Book" w:hAnsi="CAIXA Std Book" w:cs="Symbol"/>
                <w:color w:val="005CA9"/>
                <w:sz w:val="16"/>
                <w:szCs w:val="16"/>
              </w:rPr>
            </w:pPr>
            <w:r w:rsidRPr="00E20D21">
              <w:rPr>
                <w:rFonts w:ascii="CAIXA Std Book" w:hAnsi="CAIXA Std Book" w:cs="Symbol"/>
                <w:color w:val="005CA9"/>
                <w:sz w:val="16"/>
                <w:szCs w:val="16"/>
              </w:rPr>
              <w:t>VJA no início do período</w:t>
            </w:r>
          </w:p>
        </w:tc>
        <w:tc>
          <w:tcPr>
            <w:tcW w:w="514" w:type="pct"/>
            <w:tcBorders>
              <w:top w:val="nil"/>
              <w:left w:val="nil"/>
              <w:bottom w:val="nil"/>
              <w:right w:val="nil"/>
            </w:tcBorders>
            <w:shd w:val="clear" w:color="auto" w:fill="auto"/>
            <w:vAlign w:val="center"/>
          </w:tcPr>
          <w:p w14:paraId="68D1F8DC" w14:textId="1215D44D"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781.639</w:t>
            </w:r>
          </w:p>
        </w:tc>
        <w:tc>
          <w:tcPr>
            <w:tcW w:w="514" w:type="pct"/>
            <w:tcBorders>
              <w:top w:val="nil"/>
              <w:left w:val="nil"/>
              <w:bottom w:val="nil"/>
              <w:right w:val="nil"/>
            </w:tcBorders>
            <w:shd w:val="clear" w:color="auto" w:fill="auto"/>
            <w:vAlign w:val="center"/>
          </w:tcPr>
          <w:p w14:paraId="5A44ED35"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622.529</w:t>
            </w:r>
          </w:p>
        </w:tc>
        <w:tc>
          <w:tcPr>
            <w:tcW w:w="514" w:type="pct"/>
            <w:tcBorders>
              <w:top w:val="nil"/>
              <w:left w:val="nil"/>
              <w:bottom w:val="nil"/>
              <w:right w:val="nil"/>
            </w:tcBorders>
            <w:shd w:val="clear" w:color="auto" w:fill="auto"/>
            <w:vAlign w:val="center"/>
          </w:tcPr>
          <w:p w14:paraId="214CE991" w14:textId="6B328A1A"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622.529</w:t>
            </w:r>
          </w:p>
        </w:tc>
        <w:tc>
          <w:tcPr>
            <w:tcW w:w="514" w:type="pct"/>
            <w:tcBorders>
              <w:top w:val="nil"/>
              <w:left w:val="nil"/>
              <w:bottom w:val="nil"/>
              <w:right w:val="nil"/>
            </w:tcBorders>
            <w:shd w:val="clear" w:color="auto" w:fill="auto"/>
            <w:vAlign w:val="center"/>
          </w:tcPr>
          <w:p w14:paraId="1EA914F4" w14:textId="5C06FA68"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3.473.930</w:t>
            </w:r>
          </w:p>
        </w:tc>
        <w:tc>
          <w:tcPr>
            <w:tcW w:w="514" w:type="pct"/>
            <w:tcBorders>
              <w:top w:val="nil"/>
              <w:left w:val="nil"/>
              <w:bottom w:val="nil"/>
              <w:right w:val="nil"/>
            </w:tcBorders>
            <w:shd w:val="clear" w:color="auto" w:fill="auto"/>
            <w:vAlign w:val="center"/>
          </w:tcPr>
          <w:p w14:paraId="57958DBC"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2.185.272</w:t>
            </w:r>
          </w:p>
        </w:tc>
        <w:tc>
          <w:tcPr>
            <w:tcW w:w="514" w:type="pct"/>
            <w:tcBorders>
              <w:top w:val="nil"/>
              <w:left w:val="nil"/>
              <w:bottom w:val="nil"/>
              <w:right w:val="nil"/>
            </w:tcBorders>
            <w:shd w:val="clear" w:color="auto" w:fill="auto"/>
            <w:vAlign w:val="center"/>
          </w:tcPr>
          <w:p w14:paraId="1F6B4EE0" w14:textId="7CB8BB98"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2.185.272</w:t>
            </w:r>
          </w:p>
        </w:tc>
      </w:tr>
      <w:tr w:rsidR="00442883" w:rsidRPr="00E20D21" w14:paraId="3C82AFAA" w14:textId="77777777" w:rsidTr="00A01778">
        <w:tblPrEx>
          <w:jc w:val="center"/>
        </w:tblPrEx>
        <w:trPr>
          <w:trHeight w:val="283"/>
          <w:jc w:val="center"/>
        </w:trPr>
        <w:tc>
          <w:tcPr>
            <w:tcW w:w="1916" w:type="pct"/>
            <w:tcBorders>
              <w:top w:val="nil"/>
              <w:left w:val="nil"/>
              <w:bottom w:val="nil"/>
              <w:right w:val="nil"/>
            </w:tcBorders>
            <w:shd w:val="clear" w:color="auto" w:fill="auto"/>
            <w:vAlign w:val="center"/>
            <w:hideMark/>
          </w:tcPr>
          <w:p w14:paraId="6E85D364" w14:textId="77777777" w:rsidR="00442883" w:rsidRPr="00E20D21" w:rsidRDefault="00442883" w:rsidP="00442883">
            <w:pPr>
              <w:rPr>
                <w:rFonts w:ascii="CAIXA Std Book" w:hAnsi="CAIXA Std Book" w:cs="Symbol"/>
                <w:color w:val="005CA9"/>
                <w:sz w:val="16"/>
                <w:szCs w:val="16"/>
              </w:rPr>
            </w:pPr>
            <w:r w:rsidRPr="00E20D21">
              <w:rPr>
                <w:rFonts w:ascii="CAIXA Std Book" w:hAnsi="CAIXA Std Book" w:cs="Symbol"/>
                <w:color w:val="005CA9"/>
                <w:sz w:val="16"/>
                <w:szCs w:val="16"/>
              </w:rPr>
              <w:t>Receitas de juros</w:t>
            </w:r>
          </w:p>
        </w:tc>
        <w:tc>
          <w:tcPr>
            <w:tcW w:w="514" w:type="pct"/>
            <w:tcBorders>
              <w:top w:val="nil"/>
              <w:left w:val="nil"/>
              <w:bottom w:val="nil"/>
              <w:right w:val="nil"/>
            </w:tcBorders>
            <w:shd w:val="clear" w:color="auto" w:fill="auto"/>
            <w:vAlign w:val="center"/>
          </w:tcPr>
          <w:p w14:paraId="1F0B99F1" w14:textId="0BA127EC"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32.648</w:t>
            </w:r>
          </w:p>
        </w:tc>
        <w:tc>
          <w:tcPr>
            <w:tcW w:w="514" w:type="pct"/>
            <w:tcBorders>
              <w:top w:val="nil"/>
              <w:left w:val="nil"/>
              <w:bottom w:val="nil"/>
              <w:right w:val="nil"/>
            </w:tcBorders>
            <w:shd w:val="clear" w:color="auto" w:fill="auto"/>
            <w:vAlign w:val="center"/>
          </w:tcPr>
          <w:p w14:paraId="1B1D7AB6"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58.443</w:t>
            </w:r>
          </w:p>
        </w:tc>
        <w:tc>
          <w:tcPr>
            <w:tcW w:w="514" w:type="pct"/>
            <w:tcBorders>
              <w:top w:val="nil"/>
              <w:left w:val="nil"/>
              <w:bottom w:val="nil"/>
              <w:right w:val="nil"/>
            </w:tcBorders>
            <w:shd w:val="clear" w:color="auto" w:fill="auto"/>
            <w:vAlign w:val="center"/>
          </w:tcPr>
          <w:p w14:paraId="54F94885" w14:textId="0CE9051B"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28.322</w:t>
            </w:r>
          </w:p>
        </w:tc>
        <w:tc>
          <w:tcPr>
            <w:tcW w:w="514" w:type="pct"/>
            <w:tcBorders>
              <w:top w:val="nil"/>
              <w:left w:val="nil"/>
              <w:bottom w:val="nil"/>
              <w:right w:val="nil"/>
            </w:tcBorders>
            <w:shd w:val="clear" w:color="auto" w:fill="auto"/>
            <w:vAlign w:val="center"/>
          </w:tcPr>
          <w:p w14:paraId="7A5FFD31" w14:textId="1D1E89FE"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145.905</w:t>
            </w:r>
          </w:p>
        </w:tc>
        <w:tc>
          <w:tcPr>
            <w:tcW w:w="514" w:type="pct"/>
            <w:tcBorders>
              <w:top w:val="nil"/>
              <w:left w:val="nil"/>
              <w:bottom w:val="nil"/>
              <w:right w:val="nil"/>
            </w:tcBorders>
            <w:shd w:val="clear" w:color="auto" w:fill="auto"/>
            <w:vAlign w:val="center"/>
          </w:tcPr>
          <w:p w14:paraId="4F8129B3"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294.038</w:t>
            </w:r>
          </w:p>
        </w:tc>
        <w:tc>
          <w:tcPr>
            <w:tcW w:w="514" w:type="pct"/>
            <w:tcBorders>
              <w:top w:val="nil"/>
              <w:left w:val="nil"/>
              <w:bottom w:val="nil"/>
              <w:right w:val="nil"/>
            </w:tcBorders>
            <w:shd w:val="clear" w:color="auto" w:fill="auto"/>
            <w:vAlign w:val="center"/>
          </w:tcPr>
          <w:p w14:paraId="29299D42" w14:textId="5601A9D5"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100.432</w:t>
            </w:r>
          </w:p>
        </w:tc>
      </w:tr>
      <w:tr w:rsidR="00442883" w:rsidRPr="00E20D21" w14:paraId="47D8303A" w14:textId="77777777" w:rsidTr="00A01778">
        <w:tblPrEx>
          <w:jc w:val="center"/>
        </w:tblPrEx>
        <w:trPr>
          <w:trHeight w:val="283"/>
          <w:jc w:val="center"/>
        </w:trPr>
        <w:tc>
          <w:tcPr>
            <w:tcW w:w="1916" w:type="pct"/>
            <w:tcBorders>
              <w:top w:val="nil"/>
              <w:left w:val="nil"/>
              <w:bottom w:val="nil"/>
              <w:right w:val="nil"/>
            </w:tcBorders>
            <w:shd w:val="clear" w:color="auto" w:fill="auto"/>
            <w:vAlign w:val="center"/>
            <w:hideMark/>
          </w:tcPr>
          <w:p w14:paraId="7C99D98E" w14:textId="77777777" w:rsidR="00442883" w:rsidRPr="00E20D21" w:rsidRDefault="00442883" w:rsidP="00442883">
            <w:pPr>
              <w:rPr>
                <w:rFonts w:ascii="CAIXA Std Book" w:hAnsi="CAIXA Std Book" w:cs="Symbol"/>
                <w:color w:val="005CA9"/>
                <w:sz w:val="16"/>
                <w:szCs w:val="16"/>
              </w:rPr>
            </w:pPr>
            <w:r w:rsidRPr="00E20D21">
              <w:rPr>
                <w:rFonts w:ascii="CAIXA Std Book" w:hAnsi="CAIXA Std Book" w:cs="Symbol"/>
                <w:color w:val="005CA9"/>
                <w:sz w:val="16"/>
                <w:szCs w:val="16"/>
              </w:rPr>
              <w:t>Rendimentos sobre os ativos maior (menor) que a taxa de desconto</w:t>
            </w:r>
          </w:p>
        </w:tc>
        <w:tc>
          <w:tcPr>
            <w:tcW w:w="514" w:type="pct"/>
            <w:tcBorders>
              <w:top w:val="nil"/>
              <w:left w:val="nil"/>
              <w:bottom w:val="nil"/>
              <w:right w:val="nil"/>
            </w:tcBorders>
            <w:shd w:val="clear" w:color="auto" w:fill="auto"/>
            <w:vAlign w:val="center"/>
          </w:tcPr>
          <w:p w14:paraId="353C23C2" w14:textId="408547F9"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(20.525)</w:t>
            </w:r>
          </w:p>
        </w:tc>
        <w:tc>
          <w:tcPr>
            <w:tcW w:w="514" w:type="pct"/>
            <w:tcBorders>
              <w:top w:val="nil"/>
              <w:left w:val="nil"/>
              <w:bottom w:val="nil"/>
              <w:right w:val="nil"/>
            </w:tcBorders>
            <w:shd w:val="clear" w:color="auto" w:fill="auto"/>
            <w:vAlign w:val="center"/>
          </w:tcPr>
          <w:p w14:paraId="5F349707"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131.416</w:t>
            </w:r>
          </w:p>
        </w:tc>
        <w:tc>
          <w:tcPr>
            <w:tcW w:w="514" w:type="pct"/>
            <w:tcBorders>
              <w:top w:val="nil"/>
              <w:left w:val="nil"/>
              <w:bottom w:val="nil"/>
              <w:right w:val="nil"/>
            </w:tcBorders>
            <w:shd w:val="clear" w:color="auto" w:fill="auto"/>
            <w:vAlign w:val="center"/>
          </w:tcPr>
          <w:p w14:paraId="7F92C14E" w14:textId="62759860"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95.826</w:t>
            </w:r>
          </w:p>
        </w:tc>
        <w:tc>
          <w:tcPr>
            <w:tcW w:w="514" w:type="pct"/>
            <w:tcBorders>
              <w:top w:val="nil"/>
              <w:left w:val="nil"/>
              <w:bottom w:val="nil"/>
              <w:right w:val="nil"/>
            </w:tcBorders>
            <w:shd w:val="clear" w:color="auto" w:fill="auto"/>
            <w:vAlign w:val="center"/>
          </w:tcPr>
          <w:p w14:paraId="3C0EBE67" w14:textId="37A0A30D"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(916.502)</w:t>
            </w:r>
          </w:p>
        </w:tc>
        <w:tc>
          <w:tcPr>
            <w:tcW w:w="514" w:type="pct"/>
            <w:tcBorders>
              <w:top w:val="nil"/>
              <w:left w:val="nil"/>
              <w:bottom w:val="nil"/>
              <w:right w:val="nil"/>
            </w:tcBorders>
            <w:shd w:val="clear" w:color="auto" w:fill="auto"/>
            <w:vAlign w:val="center"/>
          </w:tcPr>
          <w:p w14:paraId="1CAB5302"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1.076.773</w:t>
            </w:r>
          </w:p>
        </w:tc>
        <w:tc>
          <w:tcPr>
            <w:tcW w:w="514" w:type="pct"/>
            <w:tcBorders>
              <w:top w:val="nil"/>
              <w:left w:val="nil"/>
              <w:bottom w:val="nil"/>
              <w:right w:val="nil"/>
            </w:tcBorders>
            <w:shd w:val="clear" w:color="auto" w:fill="auto"/>
            <w:vAlign w:val="center"/>
          </w:tcPr>
          <w:p w14:paraId="739C222E" w14:textId="18DD34B6"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2.350.397</w:t>
            </w:r>
          </w:p>
        </w:tc>
      </w:tr>
      <w:tr w:rsidR="00442883" w:rsidRPr="00E20D21" w14:paraId="720D3960" w14:textId="77777777" w:rsidTr="00A01778">
        <w:tblPrEx>
          <w:jc w:val="center"/>
        </w:tblPrEx>
        <w:trPr>
          <w:trHeight w:val="283"/>
          <w:jc w:val="center"/>
        </w:trPr>
        <w:tc>
          <w:tcPr>
            <w:tcW w:w="1916" w:type="pct"/>
            <w:tcBorders>
              <w:top w:val="nil"/>
              <w:left w:val="nil"/>
              <w:bottom w:val="nil"/>
              <w:right w:val="nil"/>
            </w:tcBorders>
            <w:shd w:val="clear" w:color="auto" w:fill="auto"/>
            <w:vAlign w:val="center"/>
            <w:hideMark/>
          </w:tcPr>
          <w:p w14:paraId="4BBF021A" w14:textId="77777777" w:rsidR="00442883" w:rsidRPr="00E20D21" w:rsidRDefault="00442883" w:rsidP="00442883">
            <w:pPr>
              <w:rPr>
                <w:rFonts w:ascii="CAIXA Std Book" w:hAnsi="CAIXA Std Book" w:cs="Symbol"/>
                <w:color w:val="005CA9"/>
                <w:sz w:val="16"/>
                <w:szCs w:val="16"/>
              </w:rPr>
            </w:pPr>
            <w:r w:rsidRPr="00E20D21">
              <w:rPr>
                <w:rFonts w:ascii="CAIXA Std Book" w:hAnsi="CAIXA Std Book" w:cs="Symbol"/>
                <w:color w:val="005CA9"/>
                <w:sz w:val="16"/>
                <w:szCs w:val="16"/>
              </w:rPr>
              <w:t>Contribuições do empregador</w:t>
            </w:r>
          </w:p>
        </w:tc>
        <w:tc>
          <w:tcPr>
            <w:tcW w:w="514" w:type="pct"/>
            <w:tcBorders>
              <w:top w:val="nil"/>
              <w:left w:val="nil"/>
              <w:bottom w:val="nil"/>
              <w:right w:val="nil"/>
            </w:tcBorders>
            <w:shd w:val="clear" w:color="auto" w:fill="auto"/>
            <w:vAlign w:val="center"/>
          </w:tcPr>
          <w:p w14:paraId="79C081E6" w14:textId="775DA21A"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5.228</w:t>
            </w:r>
          </w:p>
        </w:tc>
        <w:tc>
          <w:tcPr>
            <w:tcW w:w="514" w:type="pct"/>
            <w:tcBorders>
              <w:top w:val="nil"/>
              <w:left w:val="nil"/>
              <w:bottom w:val="nil"/>
              <w:right w:val="nil"/>
            </w:tcBorders>
            <w:shd w:val="clear" w:color="auto" w:fill="auto"/>
            <w:vAlign w:val="center"/>
          </w:tcPr>
          <w:p w14:paraId="69444851"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10.915</w:t>
            </w:r>
          </w:p>
        </w:tc>
        <w:tc>
          <w:tcPr>
            <w:tcW w:w="514" w:type="pct"/>
            <w:tcBorders>
              <w:top w:val="nil"/>
              <w:left w:val="nil"/>
              <w:bottom w:val="nil"/>
              <w:right w:val="nil"/>
            </w:tcBorders>
            <w:shd w:val="clear" w:color="auto" w:fill="auto"/>
            <w:vAlign w:val="center"/>
          </w:tcPr>
          <w:p w14:paraId="7B973DB0" w14:textId="54638439"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5.482</w:t>
            </w:r>
          </w:p>
        </w:tc>
        <w:tc>
          <w:tcPr>
            <w:tcW w:w="514" w:type="pct"/>
            <w:tcBorders>
              <w:top w:val="nil"/>
              <w:left w:val="nil"/>
              <w:bottom w:val="nil"/>
              <w:right w:val="nil"/>
            </w:tcBorders>
            <w:shd w:val="clear" w:color="auto" w:fill="auto"/>
            <w:vAlign w:val="center"/>
          </w:tcPr>
          <w:p w14:paraId="74268936" w14:textId="01A0DB40"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67.746</w:t>
            </w:r>
          </w:p>
        </w:tc>
        <w:tc>
          <w:tcPr>
            <w:tcW w:w="514" w:type="pct"/>
            <w:tcBorders>
              <w:top w:val="nil"/>
              <w:left w:val="nil"/>
              <w:bottom w:val="nil"/>
              <w:right w:val="nil"/>
            </w:tcBorders>
            <w:shd w:val="clear" w:color="auto" w:fill="auto"/>
            <w:vAlign w:val="center"/>
          </w:tcPr>
          <w:p w14:paraId="056ADBA0"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143.824</w:t>
            </w:r>
          </w:p>
        </w:tc>
        <w:tc>
          <w:tcPr>
            <w:tcW w:w="514" w:type="pct"/>
            <w:tcBorders>
              <w:top w:val="nil"/>
              <w:left w:val="nil"/>
              <w:bottom w:val="nil"/>
              <w:right w:val="nil"/>
            </w:tcBorders>
            <w:shd w:val="clear" w:color="auto" w:fill="auto"/>
            <w:vAlign w:val="center"/>
          </w:tcPr>
          <w:p w14:paraId="6F78381A" w14:textId="793BE5E8"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77.763</w:t>
            </w:r>
          </w:p>
        </w:tc>
      </w:tr>
      <w:tr w:rsidR="00442883" w:rsidRPr="00E20D21" w14:paraId="7A3F1031" w14:textId="77777777" w:rsidTr="00A01778">
        <w:tblPrEx>
          <w:jc w:val="center"/>
        </w:tblPrEx>
        <w:trPr>
          <w:trHeight w:val="283"/>
          <w:jc w:val="center"/>
        </w:trPr>
        <w:tc>
          <w:tcPr>
            <w:tcW w:w="1916" w:type="pct"/>
            <w:tcBorders>
              <w:top w:val="nil"/>
              <w:left w:val="nil"/>
              <w:bottom w:val="nil"/>
              <w:right w:val="nil"/>
            </w:tcBorders>
            <w:shd w:val="clear" w:color="auto" w:fill="auto"/>
            <w:vAlign w:val="center"/>
            <w:hideMark/>
          </w:tcPr>
          <w:p w14:paraId="005F0281" w14:textId="77777777" w:rsidR="00442883" w:rsidRPr="00E20D21" w:rsidRDefault="00442883" w:rsidP="00442883">
            <w:pPr>
              <w:rPr>
                <w:rFonts w:ascii="CAIXA Std Book" w:hAnsi="CAIXA Std Book" w:cs="Symbol"/>
                <w:color w:val="005CA9"/>
                <w:sz w:val="16"/>
                <w:szCs w:val="16"/>
              </w:rPr>
            </w:pPr>
            <w:r w:rsidRPr="00E20D21">
              <w:rPr>
                <w:rFonts w:ascii="CAIXA Std Book" w:hAnsi="CAIXA Std Book" w:cs="Symbol"/>
                <w:color w:val="005CA9"/>
                <w:sz w:val="16"/>
                <w:szCs w:val="16"/>
              </w:rPr>
              <w:t>Contribuições de participantes do plano</w:t>
            </w:r>
          </w:p>
        </w:tc>
        <w:tc>
          <w:tcPr>
            <w:tcW w:w="514" w:type="pct"/>
            <w:tcBorders>
              <w:top w:val="nil"/>
              <w:left w:val="nil"/>
              <w:bottom w:val="nil"/>
              <w:right w:val="nil"/>
            </w:tcBorders>
            <w:shd w:val="clear" w:color="auto" w:fill="auto"/>
            <w:vAlign w:val="center"/>
          </w:tcPr>
          <w:p w14:paraId="57EFAE42" w14:textId="2AB845CB"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5.353</w:t>
            </w:r>
          </w:p>
        </w:tc>
        <w:tc>
          <w:tcPr>
            <w:tcW w:w="514" w:type="pct"/>
            <w:tcBorders>
              <w:top w:val="nil"/>
              <w:left w:val="nil"/>
              <w:bottom w:val="nil"/>
              <w:right w:val="nil"/>
            </w:tcBorders>
            <w:shd w:val="clear" w:color="auto" w:fill="auto"/>
            <w:vAlign w:val="center"/>
          </w:tcPr>
          <w:p w14:paraId="20FCF7F1"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13.215</w:t>
            </w:r>
          </w:p>
        </w:tc>
        <w:tc>
          <w:tcPr>
            <w:tcW w:w="514" w:type="pct"/>
            <w:tcBorders>
              <w:top w:val="nil"/>
              <w:left w:val="nil"/>
              <w:bottom w:val="nil"/>
              <w:right w:val="nil"/>
            </w:tcBorders>
            <w:shd w:val="clear" w:color="auto" w:fill="auto"/>
            <w:vAlign w:val="center"/>
          </w:tcPr>
          <w:p w14:paraId="23C091DF" w14:textId="08D46763"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7.294</w:t>
            </w:r>
          </w:p>
        </w:tc>
        <w:tc>
          <w:tcPr>
            <w:tcW w:w="514" w:type="pct"/>
            <w:tcBorders>
              <w:top w:val="nil"/>
              <w:left w:val="nil"/>
              <w:bottom w:val="nil"/>
              <w:right w:val="nil"/>
            </w:tcBorders>
            <w:shd w:val="clear" w:color="auto" w:fill="auto"/>
            <w:vAlign w:val="center"/>
          </w:tcPr>
          <w:p w14:paraId="2DA8F021" w14:textId="2FF07DF8"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816</w:t>
            </w:r>
          </w:p>
        </w:tc>
        <w:tc>
          <w:tcPr>
            <w:tcW w:w="514" w:type="pct"/>
            <w:tcBorders>
              <w:top w:val="nil"/>
              <w:left w:val="nil"/>
              <w:bottom w:val="nil"/>
              <w:right w:val="nil"/>
            </w:tcBorders>
            <w:shd w:val="clear" w:color="auto" w:fill="auto"/>
            <w:vAlign w:val="center"/>
          </w:tcPr>
          <w:p w14:paraId="4510ECD7"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12.454</w:t>
            </w:r>
          </w:p>
        </w:tc>
        <w:tc>
          <w:tcPr>
            <w:tcW w:w="514" w:type="pct"/>
            <w:tcBorders>
              <w:top w:val="nil"/>
              <w:left w:val="nil"/>
              <w:bottom w:val="nil"/>
              <w:right w:val="nil"/>
            </w:tcBorders>
            <w:shd w:val="clear" w:color="auto" w:fill="auto"/>
            <w:vAlign w:val="center"/>
          </w:tcPr>
          <w:p w14:paraId="355ADF8E" w14:textId="09EFF38A"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3.798</w:t>
            </w:r>
          </w:p>
        </w:tc>
      </w:tr>
      <w:tr w:rsidR="00442883" w:rsidRPr="00E20D21" w14:paraId="4EABD62B" w14:textId="77777777" w:rsidTr="00A01778">
        <w:tblPrEx>
          <w:jc w:val="center"/>
        </w:tblPrEx>
        <w:trPr>
          <w:trHeight w:val="283"/>
          <w:jc w:val="center"/>
        </w:trPr>
        <w:tc>
          <w:tcPr>
            <w:tcW w:w="1916" w:type="pct"/>
            <w:tcBorders>
              <w:top w:val="nil"/>
              <w:left w:val="nil"/>
              <w:bottom w:val="single" w:sz="4" w:space="0" w:color="F68F00"/>
              <w:right w:val="nil"/>
            </w:tcBorders>
            <w:shd w:val="clear" w:color="auto" w:fill="auto"/>
            <w:vAlign w:val="center"/>
            <w:hideMark/>
          </w:tcPr>
          <w:p w14:paraId="605D1E30" w14:textId="77777777" w:rsidR="00442883" w:rsidRPr="00E20D21" w:rsidRDefault="00442883" w:rsidP="00442883">
            <w:pPr>
              <w:rPr>
                <w:rFonts w:ascii="CAIXA Std Book" w:hAnsi="CAIXA Std Book" w:cs="Symbol"/>
                <w:color w:val="005CA9"/>
                <w:sz w:val="16"/>
                <w:szCs w:val="16"/>
              </w:rPr>
            </w:pPr>
            <w:r w:rsidRPr="00E20D21">
              <w:rPr>
                <w:rFonts w:ascii="CAIXA Std Book" w:hAnsi="CAIXA Std Book" w:cs="Symbol"/>
                <w:color w:val="005CA9"/>
                <w:sz w:val="16"/>
                <w:szCs w:val="16"/>
              </w:rPr>
              <w:t>Benefícios pagos pelo plano</w:t>
            </w:r>
          </w:p>
        </w:tc>
        <w:tc>
          <w:tcPr>
            <w:tcW w:w="514" w:type="pct"/>
            <w:tcBorders>
              <w:top w:val="nil"/>
              <w:left w:val="nil"/>
              <w:bottom w:val="single" w:sz="4" w:space="0" w:color="F68F00"/>
              <w:right w:val="nil"/>
            </w:tcBorders>
            <w:shd w:val="clear" w:color="auto" w:fill="auto"/>
            <w:vAlign w:val="center"/>
          </w:tcPr>
          <w:p w14:paraId="6F5BF0F9" w14:textId="7A5A432D"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(28.933)</w:t>
            </w:r>
          </w:p>
        </w:tc>
        <w:tc>
          <w:tcPr>
            <w:tcW w:w="514" w:type="pct"/>
            <w:tcBorders>
              <w:top w:val="nil"/>
              <w:left w:val="nil"/>
              <w:bottom w:val="single" w:sz="4" w:space="0" w:color="F68F00"/>
              <w:right w:val="nil"/>
            </w:tcBorders>
            <w:shd w:val="clear" w:color="auto" w:fill="auto"/>
            <w:vAlign w:val="center"/>
          </w:tcPr>
          <w:p w14:paraId="353882FC"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(54.879)</w:t>
            </w:r>
          </w:p>
        </w:tc>
        <w:tc>
          <w:tcPr>
            <w:tcW w:w="514" w:type="pct"/>
            <w:tcBorders>
              <w:top w:val="nil"/>
              <w:left w:val="nil"/>
              <w:bottom w:val="single" w:sz="4" w:space="0" w:color="F68F00"/>
              <w:right w:val="nil"/>
            </w:tcBorders>
            <w:shd w:val="clear" w:color="auto" w:fill="auto"/>
            <w:vAlign w:val="center"/>
          </w:tcPr>
          <w:p w14:paraId="5405C135" w14:textId="578EEAEC"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(27.193)</w:t>
            </w:r>
          </w:p>
        </w:tc>
        <w:tc>
          <w:tcPr>
            <w:tcW w:w="514" w:type="pct"/>
            <w:tcBorders>
              <w:top w:val="nil"/>
              <w:left w:val="nil"/>
              <w:bottom w:val="single" w:sz="4" w:space="0" w:color="F68F00"/>
              <w:right w:val="nil"/>
            </w:tcBorders>
            <w:shd w:val="clear" w:color="auto" w:fill="auto"/>
            <w:vAlign w:val="center"/>
          </w:tcPr>
          <w:p w14:paraId="7BD1E8EA" w14:textId="381D566B" w:rsidR="00442883" w:rsidRPr="00E20D21" w:rsidRDefault="00257304"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(123.775)</w:t>
            </w:r>
          </w:p>
        </w:tc>
        <w:tc>
          <w:tcPr>
            <w:tcW w:w="514" w:type="pct"/>
            <w:tcBorders>
              <w:top w:val="nil"/>
              <w:left w:val="nil"/>
              <w:bottom w:val="single" w:sz="4" w:space="0" w:color="F68F00"/>
              <w:right w:val="nil"/>
            </w:tcBorders>
            <w:shd w:val="clear" w:color="auto" w:fill="auto"/>
            <w:vAlign w:val="center"/>
          </w:tcPr>
          <w:p w14:paraId="3EE150F8" w14:textId="77777777"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(238.431)</w:t>
            </w:r>
          </w:p>
        </w:tc>
        <w:tc>
          <w:tcPr>
            <w:tcW w:w="514" w:type="pct"/>
            <w:tcBorders>
              <w:top w:val="nil"/>
              <w:left w:val="nil"/>
              <w:bottom w:val="single" w:sz="4" w:space="0" w:color="F68F00"/>
              <w:right w:val="nil"/>
            </w:tcBorders>
            <w:shd w:val="clear" w:color="auto" w:fill="auto"/>
            <w:vAlign w:val="center"/>
          </w:tcPr>
          <w:p w14:paraId="64EC0C96" w14:textId="555EAB28" w:rsidR="00442883" w:rsidRPr="00E20D21" w:rsidRDefault="00442883" w:rsidP="00442883">
            <w:pPr>
              <w:jc w:val="right"/>
              <w:rPr>
                <w:rFonts w:ascii="CAIXA Std Book" w:hAnsi="CAIXA Std Book" w:cs="Symbol"/>
                <w:color w:val="005CA9"/>
                <w:sz w:val="16"/>
                <w:szCs w:val="16"/>
              </w:rPr>
            </w:pPr>
            <w:r w:rsidRPr="00E20D21">
              <w:rPr>
                <w:rFonts w:ascii="CAIXA Std Book" w:hAnsi="CAIXA Std Book" w:cs="Calibri"/>
                <w:color w:val="005CA9"/>
                <w:sz w:val="16"/>
                <w:szCs w:val="16"/>
              </w:rPr>
              <w:t>(119.859)</w:t>
            </w:r>
          </w:p>
        </w:tc>
      </w:tr>
      <w:tr w:rsidR="00442883" w:rsidRPr="00E20D21" w14:paraId="6C9AB1DB" w14:textId="77777777" w:rsidTr="00A01778">
        <w:tblPrEx>
          <w:jc w:val="center"/>
        </w:tblPrEx>
        <w:trPr>
          <w:trHeight w:val="283"/>
          <w:jc w:val="center"/>
        </w:trPr>
        <w:tc>
          <w:tcPr>
            <w:tcW w:w="1916" w:type="pct"/>
            <w:tcBorders>
              <w:top w:val="single" w:sz="4" w:space="0" w:color="F68F00"/>
              <w:left w:val="nil"/>
              <w:bottom w:val="single" w:sz="4" w:space="0" w:color="F68F00"/>
              <w:right w:val="nil"/>
            </w:tcBorders>
            <w:shd w:val="clear" w:color="auto" w:fill="auto"/>
            <w:vAlign w:val="center"/>
            <w:hideMark/>
          </w:tcPr>
          <w:p w14:paraId="31441D3E" w14:textId="77777777" w:rsidR="00442883" w:rsidRPr="00E20D21" w:rsidRDefault="00442883" w:rsidP="00442883">
            <w:pPr>
              <w:rPr>
                <w:rFonts w:ascii="CAIXA Std Book" w:hAnsi="CAIXA Std Book" w:cs="Symbol"/>
                <w:b/>
                <w:color w:val="005CA9"/>
                <w:sz w:val="16"/>
                <w:szCs w:val="16"/>
              </w:rPr>
            </w:pPr>
            <w:r w:rsidRPr="00E20D21">
              <w:rPr>
                <w:rFonts w:ascii="CAIXA Std Book" w:hAnsi="CAIXA Std Book" w:cs="Symbol"/>
                <w:b/>
                <w:color w:val="005CA9"/>
                <w:sz w:val="16"/>
                <w:szCs w:val="16"/>
              </w:rPr>
              <w:t>VJA no final do período</w:t>
            </w:r>
          </w:p>
        </w:tc>
        <w:tc>
          <w:tcPr>
            <w:tcW w:w="514" w:type="pct"/>
            <w:tcBorders>
              <w:top w:val="single" w:sz="4" w:space="0" w:color="F68F00"/>
              <w:left w:val="nil"/>
              <w:bottom w:val="single" w:sz="4" w:space="0" w:color="F68F00"/>
              <w:right w:val="nil"/>
            </w:tcBorders>
            <w:shd w:val="clear" w:color="auto" w:fill="auto"/>
            <w:vAlign w:val="center"/>
          </w:tcPr>
          <w:p w14:paraId="1D22A366" w14:textId="0F5C250B" w:rsidR="00442883" w:rsidRPr="00E20D21" w:rsidRDefault="00257304" w:rsidP="00442883">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775.410</w:t>
            </w:r>
          </w:p>
        </w:tc>
        <w:tc>
          <w:tcPr>
            <w:tcW w:w="514" w:type="pct"/>
            <w:tcBorders>
              <w:top w:val="single" w:sz="4" w:space="0" w:color="F68F00"/>
              <w:left w:val="nil"/>
              <w:bottom w:val="single" w:sz="4" w:space="0" w:color="F68F00"/>
              <w:right w:val="nil"/>
            </w:tcBorders>
            <w:shd w:val="clear" w:color="auto" w:fill="auto"/>
            <w:vAlign w:val="center"/>
          </w:tcPr>
          <w:p w14:paraId="54E34BA8" w14:textId="77777777" w:rsidR="00442883" w:rsidRPr="00E20D21" w:rsidRDefault="00442883" w:rsidP="00442883">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781.639</w:t>
            </w:r>
          </w:p>
        </w:tc>
        <w:tc>
          <w:tcPr>
            <w:tcW w:w="514" w:type="pct"/>
            <w:tcBorders>
              <w:top w:val="single" w:sz="4" w:space="0" w:color="F68F00"/>
              <w:left w:val="nil"/>
              <w:bottom w:val="single" w:sz="4" w:space="0" w:color="F68F00"/>
              <w:right w:val="nil"/>
            </w:tcBorders>
            <w:shd w:val="clear" w:color="auto" w:fill="auto"/>
            <w:vAlign w:val="center"/>
          </w:tcPr>
          <w:p w14:paraId="2EDA5070" w14:textId="20D75526" w:rsidR="00442883" w:rsidRPr="00E20D21" w:rsidRDefault="00442883" w:rsidP="00442883">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732.260</w:t>
            </w:r>
          </w:p>
        </w:tc>
        <w:tc>
          <w:tcPr>
            <w:tcW w:w="514" w:type="pct"/>
            <w:tcBorders>
              <w:top w:val="single" w:sz="4" w:space="0" w:color="F68F00"/>
              <w:left w:val="nil"/>
              <w:bottom w:val="single" w:sz="4" w:space="0" w:color="F68F00"/>
              <w:right w:val="nil"/>
            </w:tcBorders>
            <w:shd w:val="clear" w:color="auto" w:fill="auto"/>
            <w:vAlign w:val="center"/>
          </w:tcPr>
          <w:p w14:paraId="084C9B74" w14:textId="1E053B59" w:rsidR="00442883" w:rsidRPr="00E20D21" w:rsidRDefault="00257304" w:rsidP="00442883">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2.648.120</w:t>
            </w:r>
          </w:p>
        </w:tc>
        <w:tc>
          <w:tcPr>
            <w:tcW w:w="514" w:type="pct"/>
            <w:tcBorders>
              <w:top w:val="single" w:sz="4" w:space="0" w:color="F68F00"/>
              <w:left w:val="nil"/>
              <w:bottom w:val="single" w:sz="4" w:space="0" w:color="F68F00"/>
              <w:right w:val="nil"/>
            </w:tcBorders>
            <w:shd w:val="clear" w:color="auto" w:fill="auto"/>
            <w:vAlign w:val="center"/>
          </w:tcPr>
          <w:p w14:paraId="7DF45E8B" w14:textId="77777777" w:rsidR="00442883" w:rsidRPr="00E20D21" w:rsidRDefault="00442883" w:rsidP="00442883">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3.473.930</w:t>
            </w:r>
          </w:p>
        </w:tc>
        <w:tc>
          <w:tcPr>
            <w:tcW w:w="514" w:type="pct"/>
            <w:tcBorders>
              <w:top w:val="single" w:sz="4" w:space="0" w:color="F68F00"/>
              <w:left w:val="nil"/>
              <w:bottom w:val="single" w:sz="4" w:space="0" w:color="F68F00"/>
              <w:right w:val="nil"/>
            </w:tcBorders>
            <w:shd w:val="clear" w:color="auto" w:fill="auto"/>
            <w:vAlign w:val="center"/>
          </w:tcPr>
          <w:p w14:paraId="22DBFD8C" w14:textId="2BD8F5F3" w:rsidR="00442883" w:rsidRPr="00E20D21" w:rsidRDefault="00442883" w:rsidP="00442883">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4.597.803</w:t>
            </w:r>
          </w:p>
        </w:tc>
      </w:tr>
    </w:tbl>
    <w:p w14:paraId="108AC59F" w14:textId="77777777" w:rsidR="00C11FCD" w:rsidRPr="00E20D21" w:rsidRDefault="00C11FCD" w:rsidP="003834D8">
      <w:pPr>
        <w:ind w:left="567" w:right="254" w:hanging="567"/>
        <w:rPr>
          <w:rFonts w:ascii="CAIXA Std Book" w:hAnsi="CAIXA Std Book"/>
          <w:b/>
          <w:color w:val="005CA9"/>
          <w:sz w:val="20"/>
          <w:szCs w:val="20"/>
        </w:rPr>
      </w:pPr>
    </w:p>
    <w:p w14:paraId="0ED64810" w14:textId="743AD859" w:rsidR="003834D8" w:rsidRPr="00E20D21" w:rsidRDefault="003834D8" w:rsidP="003834D8">
      <w:pPr>
        <w:ind w:left="567" w:right="254" w:hanging="567"/>
        <w:rPr>
          <w:rFonts w:ascii="CAIXA Std Book" w:hAnsi="CAIXA Std Book"/>
          <w:b/>
          <w:color w:val="005CA9"/>
          <w:sz w:val="20"/>
          <w:szCs w:val="20"/>
        </w:rPr>
      </w:pPr>
      <w:r w:rsidRPr="00E20D21">
        <w:rPr>
          <w:rFonts w:ascii="CAIXA Std Book" w:hAnsi="CAIXA Std Book"/>
          <w:b/>
          <w:color w:val="005CA9"/>
          <w:sz w:val="20"/>
          <w:szCs w:val="20"/>
        </w:rPr>
        <w:t>(i.7)</w:t>
      </w:r>
      <w:r w:rsidRPr="00E20D21">
        <w:rPr>
          <w:rFonts w:ascii="CAIXA Std Book" w:hAnsi="CAIXA Std Book"/>
          <w:b/>
          <w:color w:val="005CA9"/>
          <w:sz w:val="20"/>
          <w:szCs w:val="20"/>
        </w:rPr>
        <w:tab/>
        <w:t>Conciliação do ativo/ (passivo) dos planos reconhecidos no Balanço Patrimonial</w:t>
      </w:r>
    </w:p>
    <w:p w14:paraId="4D974688" w14:textId="77777777" w:rsidR="003834D8" w:rsidRPr="00E20D21" w:rsidRDefault="003834D8" w:rsidP="00C11FCD">
      <w:pPr>
        <w:spacing w:before="120" w:after="240"/>
        <w:ind w:right="-30"/>
        <w:jc w:val="both"/>
        <w:rPr>
          <w:rFonts w:ascii="CAIXA Std Book" w:hAnsi="CAIXA Std Book"/>
          <w:color w:val="005CA9"/>
          <w:sz w:val="20"/>
          <w:szCs w:val="20"/>
        </w:rPr>
      </w:pPr>
      <w:r w:rsidRPr="00E20D21">
        <w:rPr>
          <w:rFonts w:ascii="CAIXA Std Book" w:hAnsi="CAIXA Std Book"/>
          <w:color w:val="005CA9"/>
          <w:sz w:val="20"/>
          <w:szCs w:val="20"/>
        </w:rPr>
        <w:t>O valor líquido do ativo/ passivo decorre da confrontação dos montantes de obrigação atuarial dos planos com seus respectivos montantes de ativos avaliados ao valor justo. A existência de eventual déficit (passivo) propicia, por parte da entidade patrocinadora, a necessidade de provisionamento de recursos para fazer frente à obrigação atuarial incremental levantada, na medida de sua participação no plano (efeito de compartilhamento). A existência de superávit (ativo), por sua vez, poderá ensejar reversão de valores do plano em favor da entidade patrocinadora e dos patrocinados, na medida de suas participações, devendo-se levar em consideração o limitador de reconhecimento de ativo atuarial (efeito de teto de ativo). Para os planos de previdência complementar observa-se o efeito da restrição sobre a obrigação atuarial, ou seja, os riscos são compartilhados com os participantes e assistidos de cada plano, a fim de limitar a responsabilidade atuarial a ser reconhecida pela CAIXA.</w:t>
      </w:r>
    </w:p>
    <w:tbl>
      <w:tblPr>
        <w:tblW w:w="5000" w:type="pct"/>
        <w:tblCellMar>
          <w:left w:w="70" w:type="dxa"/>
          <w:right w:w="70" w:type="dxa"/>
        </w:tblCellMar>
        <w:tblLook w:val="04A0" w:firstRow="1" w:lastRow="0" w:firstColumn="1" w:lastColumn="0" w:noHBand="0" w:noVBand="1"/>
      </w:tblPr>
      <w:tblGrid>
        <w:gridCol w:w="4277"/>
        <w:gridCol w:w="1136"/>
        <w:gridCol w:w="1137"/>
        <w:gridCol w:w="1134"/>
        <w:gridCol w:w="1134"/>
        <w:gridCol w:w="1134"/>
        <w:gridCol w:w="1139"/>
        <w:gridCol w:w="1134"/>
        <w:gridCol w:w="1134"/>
        <w:gridCol w:w="1212"/>
      </w:tblGrid>
      <w:tr w:rsidR="00A47C19" w:rsidRPr="00E20D21" w14:paraId="3C416653" w14:textId="77777777" w:rsidTr="00442883">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3F79BC81" w14:textId="23D4F9BB"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INDIVIDUAL</w:t>
            </w:r>
            <w:r w:rsidR="00E20D2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w:t>
            </w:r>
            <w:r w:rsidR="00E20D2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CONSOLIDADO</w:t>
            </w:r>
          </w:p>
        </w:tc>
      </w:tr>
      <w:tr w:rsidR="00A47C19" w:rsidRPr="00E20D21" w14:paraId="69C7A717" w14:textId="77777777" w:rsidTr="00071747">
        <w:trPr>
          <w:trHeight w:val="283"/>
        </w:trPr>
        <w:tc>
          <w:tcPr>
            <w:tcW w:w="1468" w:type="pct"/>
            <w:vMerge w:val="restart"/>
            <w:tcBorders>
              <w:top w:val="single" w:sz="4" w:space="0" w:color="F68F00"/>
              <w:left w:val="nil"/>
              <w:bottom w:val="single" w:sz="4" w:space="0" w:color="F68F00"/>
              <w:right w:val="nil"/>
            </w:tcBorders>
            <w:shd w:val="clear" w:color="auto" w:fill="auto"/>
            <w:vAlign w:val="center"/>
            <w:hideMark/>
          </w:tcPr>
          <w:p w14:paraId="33FF403D"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Descrição</w:t>
            </w:r>
          </w:p>
        </w:tc>
        <w:tc>
          <w:tcPr>
            <w:tcW w:w="1169" w:type="pct"/>
            <w:gridSpan w:val="3"/>
            <w:tcBorders>
              <w:top w:val="single" w:sz="4" w:space="0" w:color="F68F00"/>
              <w:left w:val="nil"/>
              <w:bottom w:val="single" w:sz="4" w:space="0" w:color="F68F00"/>
              <w:right w:val="nil"/>
            </w:tcBorders>
            <w:shd w:val="clear" w:color="auto" w:fill="auto"/>
            <w:vAlign w:val="center"/>
            <w:hideMark/>
          </w:tcPr>
          <w:p w14:paraId="625045F1"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Saúde CAIXA</w:t>
            </w:r>
          </w:p>
        </w:tc>
        <w:tc>
          <w:tcPr>
            <w:tcW w:w="1169" w:type="pct"/>
            <w:gridSpan w:val="3"/>
            <w:tcBorders>
              <w:top w:val="single" w:sz="4" w:space="0" w:color="F68F00"/>
              <w:left w:val="nil"/>
              <w:bottom w:val="single" w:sz="4" w:space="0" w:color="F68F00"/>
              <w:right w:val="nil"/>
            </w:tcBorders>
            <w:shd w:val="clear" w:color="auto" w:fill="auto"/>
            <w:vAlign w:val="center"/>
            <w:hideMark/>
          </w:tcPr>
          <w:p w14:paraId="3C9809F7"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Auxílio/Cesta-alimentação</w:t>
            </w:r>
          </w:p>
        </w:tc>
        <w:tc>
          <w:tcPr>
            <w:tcW w:w="1194" w:type="pct"/>
            <w:gridSpan w:val="3"/>
            <w:tcBorders>
              <w:top w:val="single" w:sz="4" w:space="0" w:color="F68F00"/>
              <w:left w:val="nil"/>
              <w:bottom w:val="single" w:sz="4" w:space="0" w:color="F68F00"/>
              <w:right w:val="nil"/>
            </w:tcBorders>
            <w:shd w:val="clear" w:color="auto" w:fill="auto"/>
            <w:vAlign w:val="center"/>
            <w:hideMark/>
          </w:tcPr>
          <w:p w14:paraId="2FC31349"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Assistidos EX-PREVHAB</w:t>
            </w:r>
          </w:p>
        </w:tc>
      </w:tr>
      <w:tr w:rsidR="00442883" w:rsidRPr="00E20D21" w14:paraId="32E0721B" w14:textId="77777777" w:rsidTr="00071747">
        <w:trPr>
          <w:trHeight w:val="543"/>
        </w:trPr>
        <w:tc>
          <w:tcPr>
            <w:tcW w:w="1468" w:type="pct"/>
            <w:vMerge/>
            <w:tcBorders>
              <w:top w:val="single" w:sz="4" w:space="0" w:color="F68F00"/>
              <w:left w:val="nil"/>
              <w:bottom w:val="single" w:sz="4" w:space="0" w:color="F68F00"/>
              <w:right w:val="nil"/>
            </w:tcBorders>
            <w:vAlign w:val="center"/>
            <w:hideMark/>
          </w:tcPr>
          <w:p w14:paraId="2B6219D0" w14:textId="77777777" w:rsidR="00442883" w:rsidRPr="00E20D21" w:rsidRDefault="00442883" w:rsidP="00442883">
            <w:pPr>
              <w:rPr>
                <w:rFonts w:ascii="CAIXA Std Book" w:hAnsi="CAIXA Std Book" w:cs="Symbol"/>
                <w:b/>
                <w:color w:val="005CA9"/>
                <w:sz w:val="16"/>
                <w:szCs w:val="16"/>
              </w:rPr>
            </w:pPr>
          </w:p>
        </w:tc>
        <w:tc>
          <w:tcPr>
            <w:tcW w:w="390" w:type="pct"/>
            <w:tcBorders>
              <w:top w:val="nil"/>
              <w:left w:val="nil"/>
              <w:bottom w:val="single" w:sz="4" w:space="0" w:color="F68F00"/>
              <w:right w:val="nil"/>
            </w:tcBorders>
            <w:shd w:val="clear" w:color="auto" w:fill="auto"/>
            <w:vAlign w:val="center"/>
          </w:tcPr>
          <w:p w14:paraId="6D850F16" w14:textId="2669FA66" w:rsidR="00442883" w:rsidRPr="00E20D21" w:rsidRDefault="00442883" w:rsidP="00442883">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2024</w:t>
            </w:r>
          </w:p>
        </w:tc>
        <w:tc>
          <w:tcPr>
            <w:tcW w:w="390" w:type="pct"/>
            <w:tcBorders>
              <w:top w:val="nil"/>
              <w:left w:val="nil"/>
              <w:bottom w:val="single" w:sz="4" w:space="0" w:color="F68F00"/>
              <w:right w:val="nil"/>
            </w:tcBorders>
            <w:shd w:val="clear" w:color="auto" w:fill="auto"/>
            <w:vAlign w:val="center"/>
            <w:hideMark/>
          </w:tcPr>
          <w:p w14:paraId="24A0A69F" w14:textId="0DB96CB0" w:rsidR="00442883" w:rsidRPr="00E20D21" w:rsidRDefault="00442883" w:rsidP="00442883">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Exercício 2023</w:t>
            </w:r>
          </w:p>
        </w:tc>
        <w:tc>
          <w:tcPr>
            <w:tcW w:w="389" w:type="pct"/>
            <w:tcBorders>
              <w:top w:val="nil"/>
              <w:left w:val="nil"/>
              <w:bottom w:val="single" w:sz="4" w:space="0" w:color="F68F00"/>
              <w:right w:val="nil"/>
            </w:tcBorders>
            <w:shd w:val="clear" w:color="auto" w:fill="auto"/>
            <w:vAlign w:val="center"/>
          </w:tcPr>
          <w:p w14:paraId="4224DD54" w14:textId="1D8B4899" w:rsidR="00442883" w:rsidRPr="00E20D21" w:rsidRDefault="00442883" w:rsidP="00442883">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2023</w:t>
            </w:r>
          </w:p>
        </w:tc>
        <w:tc>
          <w:tcPr>
            <w:tcW w:w="389" w:type="pct"/>
            <w:tcBorders>
              <w:top w:val="nil"/>
              <w:left w:val="nil"/>
              <w:bottom w:val="single" w:sz="4" w:space="0" w:color="F68F00"/>
              <w:right w:val="nil"/>
            </w:tcBorders>
            <w:shd w:val="clear" w:color="auto" w:fill="auto"/>
            <w:vAlign w:val="center"/>
          </w:tcPr>
          <w:p w14:paraId="1B4BC8DE" w14:textId="5F9CAD40" w:rsidR="00442883" w:rsidRPr="00E20D21" w:rsidRDefault="00442883" w:rsidP="00442883">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2024</w:t>
            </w:r>
          </w:p>
        </w:tc>
        <w:tc>
          <w:tcPr>
            <w:tcW w:w="389" w:type="pct"/>
            <w:tcBorders>
              <w:top w:val="nil"/>
              <w:left w:val="nil"/>
              <w:bottom w:val="single" w:sz="4" w:space="0" w:color="F68F00"/>
              <w:right w:val="nil"/>
            </w:tcBorders>
            <w:shd w:val="clear" w:color="auto" w:fill="auto"/>
            <w:vAlign w:val="center"/>
            <w:hideMark/>
          </w:tcPr>
          <w:p w14:paraId="4565AEF6" w14:textId="1C6BAFF9" w:rsidR="00442883" w:rsidRPr="00E20D21" w:rsidRDefault="00442883" w:rsidP="00442883">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Exercício 2023</w:t>
            </w:r>
          </w:p>
        </w:tc>
        <w:tc>
          <w:tcPr>
            <w:tcW w:w="391" w:type="pct"/>
            <w:tcBorders>
              <w:top w:val="nil"/>
              <w:left w:val="nil"/>
              <w:bottom w:val="single" w:sz="4" w:space="0" w:color="F68F00"/>
              <w:right w:val="nil"/>
            </w:tcBorders>
            <w:shd w:val="clear" w:color="auto" w:fill="auto"/>
            <w:vAlign w:val="center"/>
          </w:tcPr>
          <w:p w14:paraId="68F5E3B0" w14:textId="6A4A9A3A" w:rsidR="00442883" w:rsidRPr="00E20D21" w:rsidRDefault="00442883" w:rsidP="00442883">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2023</w:t>
            </w:r>
          </w:p>
        </w:tc>
        <w:tc>
          <w:tcPr>
            <w:tcW w:w="389" w:type="pct"/>
            <w:tcBorders>
              <w:top w:val="nil"/>
              <w:left w:val="nil"/>
              <w:bottom w:val="single" w:sz="4" w:space="0" w:color="F68F00"/>
              <w:right w:val="nil"/>
            </w:tcBorders>
            <w:shd w:val="clear" w:color="auto" w:fill="auto"/>
            <w:vAlign w:val="center"/>
          </w:tcPr>
          <w:p w14:paraId="3C2CCC5A" w14:textId="216C20B7" w:rsidR="00442883" w:rsidRPr="00E20D21" w:rsidRDefault="00442883" w:rsidP="00442883">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2024</w:t>
            </w:r>
          </w:p>
        </w:tc>
        <w:tc>
          <w:tcPr>
            <w:tcW w:w="389" w:type="pct"/>
            <w:tcBorders>
              <w:top w:val="nil"/>
              <w:left w:val="nil"/>
              <w:bottom w:val="single" w:sz="4" w:space="0" w:color="F68F00"/>
              <w:right w:val="nil"/>
            </w:tcBorders>
            <w:shd w:val="clear" w:color="auto" w:fill="auto"/>
            <w:vAlign w:val="center"/>
            <w:hideMark/>
          </w:tcPr>
          <w:p w14:paraId="1DA86460" w14:textId="63F45159" w:rsidR="00442883" w:rsidRPr="00E20D21" w:rsidRDefault="00442883" w:rsidP="00442883">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Exercício 2023</w:t>
            </w:r>
          </w:p>
        </w:tc>
        <w:tc>
          <w:tcPr>
            <w:tcW w:w="416" w:type="pct"/>
            <w:tcBorders>
              <w:top w:val="nil"/>
              <w:left w:val="nil"/>
              <w:bottom w:val="single" w:sz="4" w:space="0" w:color="F68F00"/>
              <w:right w:val="nil"/>
            </w:tcBorders>
            <w:shd w:val="clear" w:color="auto" w:fill="auto"/>
            <w:vAlign w:val="center"/>
          </w:tcPr>
          <w:p w14:paraId="601F7BE2" w14:textId="2EE1B1ED" w:rsidR="00442883" w:rsidRPr="00E20D21" w:rsidRDefault="00442883" w:rsidP="00442883">
            <w:pPr>
              <w:jc w:val="center"/>
              <w:rPr>
                <w:rFonts w:ascii="CAIXA Std Book" w:hAnsi="CAIXA Std Book" w:cs="Symbol"/>
                <w:b/>
                <w:color w:val="005CA9"/>
                <w:sz w:val="16"/>
                <w:szCs w:val="16"/>
                <w:highlight w:val="yellow"/>
              </w:rPr>
            </w:pPr>
            <w:r w:rsidRPr="00E20D21">
              <w:rPr>
                <w:rFonts w:ascii="CAIXA Std Book" w:hAnsi="CAIXA Std Book" w:cs="MS Gothic"/>
                <w:b/>
                <w:color w:val="005CA9"/>
                <w:sz w:val="16"/>
                <w:szCs w:val="16"/>
              </w:rPr>
              <w:t>1º semestre 2023</w:t>
            </w:r>
          </w:p>
        </w:tc>
      </w:tr>
      <w:tr w:rsidR="00237397" w:rsidRPr="00E20D21" w14:paraId="21A8FB67" w14:textId="77777777" w:rsidTr="00071747">
        <w:trPr>
          <w:trHeight w:val="283"/>
        </w:trPr>
        <w:tc>
          <w:tcPr>
            <w:tcW w:w="1468" w:type="pct"/>
            <w:tcBorders>
              <w:top w:val="nil"/>
              <w:left w:val="nil"/>
              <w:bottom w:val="nil"/>
              <w:right w:val="nil"/>
            </w:tcBorders>
            <w:shd w:val="clear" w:color="auto" w:fill="auto"/>
            <w:vAlign w:val="center"/>
            <w:hideMark/>
          </w:tcPr>
          <w:p w14:paraId="678649F3" w14:textId="77777777" w:rsidR="00237397" w:rsidRPr="00E20D21" w:rsidRDefault="00237397" w:rsidP="00237397">
            <w:pPr>
              <w:rPr>
                <w:rFonts w:ascii="CAIXA Std Book" w:hAnsi="CAIXA Std Book" w:cs="Symbol"/>
                <w:color w:val="005CA9"/>
                <w:sz w:val="16"/>
                <w:szCs w:val="16"/>
              </w:rPr>
            </w:pPr>
            <w:r w:rsidRPr="00E20D21">
              <w:rPr>
                <w:rFonts w:ascii="CAIXA Std Book" w:hAnsi="CAIXA Std Book" w:cs="Symbol"/>
                <w:color w:val="005CA9"/>
                <w:sz w:val="16"/>
                <w:szCs w:val="16"/>
              </w:rPr>
              <w:t>VPO no final do período</w:t>
            </w:r>
          </w:p>
        </w:tc>
        <w:tc>
          <w:tcPr>
            <w:tcW w:w="390" w:type="pct"/>
            <w:tcBorders>
              <w:top w:val="nil"/>
              <w:left w:val="nil"/>
              <w:bottom w:val="nil"/>
              <w:right w:val="nil"/>
            </w:tcBorders>
            <w:shd w:val="clear" w:color="auto" w:fill="auto"/>
            <w:vAlign w:val="center"/>
          </w:tcPr>
          <w:p w14:paraId="25CFEECF" w14:textId="16A66DB4" w:rsidR="00237397" w:rsidRPr="00E20D21" w:rsidRDefault="00E234FB"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(11.889.250)</w:t>
            </w:r>
          </w:p>
        </w:tc>
        <w:tc>
          <w:tcPr>
            <w:tcW w:w="390" w:type="pct"/>
            <w:tcBorders>
              <w:top w:val="nil"/>
              <w:left w:val="nil"/>
              <w:bottom w:val="nil"/>
              <w:right w:val="nil"/>
            </w:tcBorders>
            <w:shd w:val="clear" w:color="auto" w:fill="auto"/>
            <w:vAlign w:val="center"/>
          </w:tcPr>
          <w:p w14:paraId="35093485" w14:textId="77777777" w:rsidR="00237397" w:rsidRPr="00E20D21" w:rsidRDefault="00237397"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(12.088.211)</w:t>
            </w:r>
          </w:p>
        </w:tc>
        <w:tc>
          <w:tcPr>
            <w:tcW w:w="389" w:type="pct"/>
            <w:tcBorders>
              <w:top w:val="nil"/>
              <w:left w:val="nil"/>
              <w:bottom w:val="nil"/>
              <w:right w:val="nil"/>
            </w:tcBorders>
            <w:shd w:val="clear" w:color="auto" w:fill="auto"/>
            <w:vAlign w:val="center"/>
          </w:tcPr>
          <w:p w14:paraId="3D30AA6F" w14:textId="0DA5E92D" w:rsidR="00237397" w:rsidRPr="00E20D21" w:rsidRDefault="00237397"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(12.256.218)</w:t>
            </w:r>
          </w:p>
        </w:tc>
        <w:tc>
          <w:tcPr>
            <w:tcW w:w="389" w:type="pct"/>
            <w:tcBorders>
              <w:top w:val="nil"/>
              <w:left w:val="nil"/>
              <w:bottom w:val="nil"/>
              <w:right w:val="nil"/>
            </w:tcBorders>
            <w:shd w:val="clear" w:color="auto" w:fill="auto"/>
            <w:vAlign w:val="center"/>
          </w:tcPr>
          <w:p w14:paraId="0F072F2E" w14:textId="7BFE2CFB" w:rsidR="00237397" w:rsidRPr="00E20D21" w:rsidRDefault="00E234FB"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(1.875.375)</w:t>
            </w:r>
          </w:p>
        </w:tc>
        <w:tc>
          <w:tcPr>
            <w:tcW w:w="389" w:type="pct"/>
            <w:tcBorders>
              <w:top w:val="nil"/>
              <w:left w:val="nil"/>
              <w:bottom w:val="nil"/>
              <w:right w:val="nil"/>
            </w:tcBorders>
            <w:shd w:val="clear" w:color="auto" w:fill="auto"/>
            <w:vAlign w:val="center"/>
          </w:tcPr>
          <w:p w14:paraId="21A9BCCC" w14:textId="77777777" w:rsidR="00237397" w:rsidRPr="00E20D21" w:rsidRDefault="00237397"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(1.934.048)</w:t>
            </w:r>
          </w:p>
        </w:tc>
        <w:tc>
          <w:tcPr>
            <w:tcW w:w="391" w:type="pct"/>
            <w:tcBorders>
              <w:top w:val="nil"/>
              <w:left w:val="nil"/>
              <w:bottom w:val="nil"/>
              <w:right w:val="nil"/>
            </w:tcBorders>
            <w:shd w:val="clear" w:color="auto" w:fill="auto"/>
            <w:vAlign w:val="center"/>
          </w:tcPr>
          <w:p w14:paraId="07BCA3B9" w14:textId="4978A770" w:rsidR="00237397" w:rsidRPr="00E20D21" w:rsidRDefault="00237397"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(2.034.263)</w:t>
            </w:r>
          </w:p>
        </w:tc>
        <w:tc>
          <w:tcPr>
            <w:tcW w:w="389" w:type="pct"/>
            <w:tcBorders>
              <w:top w:val="nil"/>
              <w:left w:val="nil"/>
              <w:bottom w:val="nil"/>
              <w:right w:val="nil"/>
            </w:tcBorders>
            <w:shd w:val="clear" w:color="auto" w:fill="auto"/>
            <w:vAlign w:val="center"/>
          </w:tcPr>
          <w:p w14:paraId="6AE199DD" w14:textId="2DB783F9" w:rsidR="00237397" w:rsidRPr="00E20D21" w:rsidRDefault="00255070"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(63.689)</w:t>
            </w:r>
          </w:p>
        </w:tc>
        <w:tc>
          <w:tcPr>
            <w:tcW w:w="389" w:type="pct"/>
            <w:tcBorders>
              <w:top w:val="nil"/>
              <w:left w:val="nil"/>
              <w:bottom w:val="nil"/>
              <w:right w:val="nil"/>
            </w:tcBorders>
            <w:shd w:val="clear" w:color="auto" w:fill="auto"/>
            <w:vAlign w:val="center"/>
          </w:tcPr>
          <w:p w14:paraId="6BD8B32F" w14:textId="77777777" w:rsidR="00237397" w:rsidRPr="00E20D21" w:rsidRDefault="00237397"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(77.059)</w:t>
            </w:r>
          </w:p>
        </w:tc>
        <w:tc>
          <w:tcPr>
            <w:tcW w:w="416" w:type="pct"/>
            <w:tcBorders>
              <w:top w:val="nil"/>
              <w:left w:val="nil"/>
              <w:bottom w:val="nil"/>
              <w:right w:val="nil"/>
            </w:tcBorders>
            <w:shd w:val="clear" w:color="auto" w:fill="auto"/>
            <w:vAlign w:val="center"/>
          </w:tcPr>
          <w:p w14:paraId="735F14AC" w14:textId="439E8C86" w:rsidR="00237397" w:rsidRPr="00E20D21" w:rsidRDefault="00237397"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(70.302)</w:t>
            </w:r>
          </w:p>
        </w:tc>
      </w:tr>
      <w:tr w:rsidR="00237397" w:rsidRPr="00E20D21" w14:paraId="76DB7D96" w14:textId="77777777" w:rsidTr="00071747">
        <w:trPr>
          <w:trHeight w:val="283"/>
        </w:trPr>
        <w:tc>
          <w:tcPr>
            <w:tcW w:w="1468" w:type="pct"/>
            <w:tcBorders>
              <w:top w:val="nil"/>
              <w:left w:val="nil"/>
              <w:bottom w:val="nil"/>
              <w:right w:val="nil"/>
            </w:tcBorders>
            <w:shd w:val="clear" w:color="auto" w:fill="auto"/>
            <w:vAlign w:val="center"/>
            <w:hideMark/>
          </w:tcPr>
          <w:p w14:paraId="6AC16E11" w14:textId="77777777" w:rsidR="00237397" w:rsidRPr="00E20D21" w:rsidRDefault="00237397" w:rsidP="00237397">
            <w:pPr>
              <w:rPr>
                <w:rFonts w:ascii="CAIXA Std Book" w:hAnsi="CAIXA Std Book" w:cs="Symbol"/>
                <w:color w:val="005CA9"/>
                <w:sz w:val="16"/>
                <w:szCs w:val="16"/>
              </w:rPr>
            </w:pPr>
            <w:r w:rsidRPr="00E20D21">
              <w:rPr>
                <w:rFonts w:ascii="CAIXA Std Book" w:hAnsi="CAIXA Std Book" w:cs="Symbol"/>
                <w:color w:val="005CA9"/>
                <w:sz w:val="16"/>
                <w:szCs w:val="16"/>
              </w:rPr>
              <w:t>VJA no final do período</w:t>
            </w:r>
          </w:p>
        </w:tc>
        <w:tc>
          <w:tcPr>
            <w:tcW w:w="390" w:type="pct"/>
            <w:tcBorders>
              <w:top w:val="nil"/>
              <w:left w:val="nil"/>
              <w:bottom w:val="nil"/>
              <w:right w:val="nil"/>
            </w:tcBorders>
            <w:shd w:val="clear" w:color="auto" w:fill="auto"/>
            <w:vAlign w:val="center"/>
          </w:tcPr>
          <w:p w14:paraId="19A85F3D" w14:textId="56F65F4D" w:rsidR="00237397" w:rsidRPr="00E20D21" w:rsidRDefault="00E234FB" w:rsidP="00237397">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90" w:type="pct"/>
            <w:tcBorders>
              <w:top w:val="nil"/>
              <w:left w:val="nil"/>
              <w:bottom w:val="nil"/>
              <w:right w:val="nil"/>
            </w:tcBorders>
            <w:shd w:val="clear" w:color="auto" w:fill="auto"/>
            <w:vAlign w:val="center"/>
          </w:tcPr>
          <w:p w14:paraId="6B5A7190" w14:textId="77777777" w:rsidR="00237397" w:rsidRPr="00E20D21" w:rsidRDefault="00237397" w:rsidP="00237397">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07C38951" w14:textId="30EF1181" w:rsidR="00237397" w:rsidRPr="00E20D21" w:rsidRDefault="00237397" w:rsidP="00237397">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7377A065" w14:textId="53A88A6B" w:rsidR="00237397" w:rsidRPr="00E20D21" w:rsidRDefault="00E234FB" w:rsidP="00237397">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4F5136D4" w14:textId="77777777" w:rsidR="00237397" w:rsidRPr="00E20D21" w:rsidRDefault="00237397" w:rsidP="00237397">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91" w:type="pct"/>
            <w:tcBorders>
              <w:top w:val="nil"/>
              <w:left w:val="nil"/>
              <w:bottom w:val="nil"/>
              <w:right w:val="nil"/>
            </w:tcBorders>
            <w:shd w:val="clear" w:color="auto" w:fill="auto"/>
            <w:vAlign w:val="center"/>
          </w:tcPr>
          <w:p w14:paraId="79B151D5" w14:textId="34BC4510" w:rsidR="00237397" w:rsidRPr="00E20D21" w:rsidRDefault="00237397" w:rsidP="00237397">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229D4B05" w14:textId="0BE75775" w:rsidR="00237397" w:rsidRPr="00E20D21" w:rsidRDefault="00255070"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63.689</w:t>
            </w:r>
          </w:p>
        </w:tc>
        <w:tc>
          <w:tcPr>
            <w:tcW w:w="389" w:type="pct"/>
            <w:tcBorders>
              <w:top w:val="nil"/>
              <w:left w:val="nil"/>
              <w:bottom w:val="nil"/>
              <w:right w:val="nil"/>
            </w:tcBorders>
            <w:shd w:val="clear" w:color="auto" w:fill="auto"/>
            <w:vAlign w:val="center"/>
          </w:tcPr>
          <w:p w14:paraId="0753D55D" w14:textId="77777777" w:rsidR="00237397" w:rsidRPr="00E20D21" w:rsidRDefault="00237397"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77.059</w:t>
            </w:r>
          </w:p>
        </w:tc>
        <w:tc>
          <w:tcPr>
            <w:tcW w:w="416" w:type="pct"/>
            <w:tcBorders>
              <w:top w:val="nil"/>
              <w:left w:val="nil"/>
              <w:bottom w:val="nil"/>
              <w:right w:val="nil"/>
            </w:tcBorders>
            <w:shd w:val="clear" w:color="auto" w:fill="auto"/>
            <w:vAlign w:val="center"/>
          </w:tcPr>
          <w:p w14:paraId="362CFC65" w14:textId="3481CA12" w:rsidR="00237397" w:rsidRPr="00E20D21" w:rsidRDefault="00237397" w:rsidP="00237397">
            <w:pPr>
              <w:jc w:val="right"/>
              <w:rPr>
                <w:rFonts w:ascii="CAIXA Std Book" w:hAnsi="CAIXA Std Book" w:cs="Symbol"/>
                <w:color w:val="005CA9"/>
                <w:sz w:val="16"/>
                <w:szCs w:val="16"/>
              </w:rPr>
            </w:pPr>
            <w:r w:rsidRPr="00E20D21">
              <w:rPr>
                <w:rFonts w:ascii="CAIXA Std Book" w:hAnsi="CAIXA Std Book" w:cs="Calibri"/>
                <w:color w:val="005CA9"/>
                <w:sz w:val="16"/>
                <w:szCs w:val="16"/>
              </w:rPr>
              <w:t>70.302</w:t>
            </w:r>
          </w:p>
        </w:tc>
      </w:tr>
      <w:tr w:rsidR="00237397" w:rsidRPr="00E20D21" w14:paraId="680246AF" w14:textId="77777777" w:rsidTr="00071747">
        <w:trPr>
          <w:trHeight w:val="283"/>
        </w:trPr>
        <w:tc>
          <w:tcPr>
            <w:tcW w:w="1468" w:type="pct"/>
            <w:tcBorders>
              <w:top w:val="nil"/>
              <w:left w:val="nil"/>
              <w:bottom w:val="single" w:sz="4" w:space="0" w:color="F68F00"/>
              <w:right w:val="nil"/>
            </w:tcBorders>
            <w:shd w:val="clear" w:color="auto" w:fill="auto"/>
            <w:vAlign w:val="center"/>
            <w:hideMark/>
          </w:tcPr>
          <w:p w14:paraId="5D6DEDF5" w14:textId="77777777" w:rsidR="00237397" w:rsidRPr="00E20D21" w:rsidRDefault="00237397" w:rsidP="00237397">
            <w:pPr>
              <w:rPr>
                <w:rFonts w:ascii="CAIXA Std Book" w:hAnsi="CAIXA Std Book" w:cs="Symbol"/>
                <w:b/>
                <w:color w:val="005CA9"/>
                <w:sz w:val="16"/>
                <w:szCs w:val="16"/>
              </w:rPr>
            </w:pPr>
            <w:r w:rsidRPr="00E20D21">
              <w:rPr>
                <w:rFonts w:ascii="CAIXA Std Book" w:hAnsi="CAIXA Std Book" w:cs="Symbol"/>
                <w:b/>
                <w:color w:val="005CA9"/>
                <w:sz w:val="16"/>
                <w:szCs w:val="16"/>
              </w:rPr>
              <w:t>Superávit/ (déficit) do plano</w:t>
            </w:r>
          </w:p>
        </w:tc>
        <w:tc>
          <w:tcPr>
            <w:tcW w:w="390" w:type="pct"/>
            <w:tcBorders>
              <w:top w:val="nil"/>
              <w:left w:val="nil"/>
              <w:bottom w:val="single" w:sz="4" w:space="0" w:color="F68F00"/>
              <w:right w:val="nil"/>
            </w:tcBorders>
            <w:shd w:val="clear" w:color="auto" w:fill="auto"/>
            <w:vAlign w:val="center"/>
          </w:tcPr>
          <w:p w14:paraId="5D4EC39E" w14:textId="44B2F366" w:rsidR="00237397" w:rsidRPr="00E20D21" w:rsidRDefault="00E234FB"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(11.889.250)</w:t>
            </w:r>
          </w:p>
        </w:tc>
        <w:tc>
          <w:tcPr>
            <w:tcW w:w="390" w:type="pct"/>
            <w:tcBorders>
              <w:top w:val="nil"/>
              <w:left w:val="nil"/>
              <w:bottom w:val="single" w:sz="4" w:space="0" w:color="F68F00"/>
              <w:right w:val="nil"/>
            </w:tcBorders>
            <w:shd w:val="clear" w:color="auto" w:fill="auto"/>
            <w:vAlign w:val="center"/>
          </w:tcPr>
          <w:p w14:paraId="31B368A7" w14:textId="77777777" w:rsidR="00237397" w:rsidRPr="00E20D21" w:rsidRDefault="00237397"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(12.088.211)</w:t>
            </w:r>
          </w:p>
        </w:tc>
        <w:tc>
          <w:tcPr>
            <w:tcW w:w="389" w:type="pct"/>
            <w:tcBorders>
              <w:top w:val="nil"/>
              <w:left w:val="nil"/>
              <w:bottom w:val="single" w:sz="4" w:space="0" w:color="F68F00"/>
              <w:right w:val="nil"/>
            </w:tcBorders>
            <w:shd w:val="clear" w:color="auto" w:fill="auto"/>
            <w:vAlign w:val="center"/>
          </w:tcPr>
          <w:p w14:paraId="4AC2A9DB" w14:textId="5E7F5781" w:rsidR="00237397" w:rsidRPr="00E20D21" w:rsidRDefault="00237397"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(12.256.218)</w:t>
            </w:r>
          </w:p>
        </w:tc>
        <w:tc>
          <w:tcPr>
            <w:tcW w:w="389" w:type="pct"/>
            <w:tcBorders>
              <w:top w:val="nil"/>
              <w:left w:val="nil"/>
              <w:bottom w:val="single" w:sz="4" w:space="0" w:color="F68F00"/>
              <w:right w:val="nil"/>
            </w:tcBorders>
            <w:shd w:val="clear" w:color="auto" w:fill="auto"/>
            <w:vAlign w:val="center"/>
          </w:tcPr>
          <w:p w14:paraId="28FB1293" w14:textId="03D31A12" w:rsidR="00237397" w:rsidRPr="00E20D21" w:rsidRDefault="00E234FB"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(1.875.375)</w:t>
            </w:r>
          </w:p>
        </w:tc>
        <w:tc>
          <w:tcPr>
            <w:tcW w:w="389" w:type="pct"/>
            <w:tcBorders>
              <w:top w:val="nil"/>
              <w:left w:val="nil"/>
              <w:bottom w:val="single" w:sz="4" w:space="0" w:color="F68F00"/>
              <w:right w:val="nil"/>
            </w:tcBorders>
            <w:shd w:val="clear" w:color="auto" w:fill="auto"/>
            <w:vAlign w:val="center"/>
          </w:tcPr>
          <w:p w14:paraId="430446FA" w14:textId="77777777" w:rsidR="00237397" w:rsidRPr="00E20D21" w:rsidRDefault="00237397"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(1.934.048)</w:t>
            </w:r>
          </w:p>
        </w:tc>
        <w:tc>
          <w:tcPr>
            <w:tcW w:w="391" w:type="pct"/>
            <w:tcBorders>
              <w:top w:val="nil"/>
              <w:left w:val="nil"/>
              <w:bottom w:val="single" w:sz="4" w:space="0" w:color="F68F00"/>
              <w:right w:val="nil"/>
            </w:tcBorders>
            <w:shd w:val="clear" w:color="auto" w:fill="auto"/>
            <w:vAlign w:val="center"/>
          </w:tcPr>
          <w:p w14:paraId="1623B9CB" w14:textId="35B23454" w:rsidR="00237397" w:rsidRPr="00E20D21" w:rsidRDefault="00237397"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(2.034.263)</w:t>
            </w:r>
          </w:p>
        </w:tc>
        <w:tc>
          <w:tcPr>
            <w:tcW w:w="389" w:type="pct"/>
            <w:tcBorders>
              <w:top w:val="nil"/>
              <w:left w:val="nil"/>
              <w:bottom w:val="single" w:sz="4" w:space="0" w:color="F68F00"/>
              <w:right w:val="nil"/>
            </w:tcBorders>
            <w:shd w:val="clear" w:color="auto" w:fill="auto"/>
            <w:vAlign w:val="center"/>
          </w:tcPr>
          <w:p w14:paraId="739B5378" w14:textId="007799B8" w:rsidR="00237397" w:rsidRPr="00E20D21" w:rsidRDefault="00255070" w:rsidP="00237397">
            <w:pPr>
              <w:jc w:val="center"/>
              <w:rPr>
                <w:rFonts w:ascii="CAIXA Std Book" w:hAnsi="CAIXA Std Book" w:cs="Symbol"/>
                <w:b/>
                <w:color w:val="005CA9"/>
                <w:sz w:val="16"/>
                <w:szCs w:val="16"/>
              </w:rPr>
            </w:pPr>
            <w:r w:rsidRPr="00E20D21">
              <w:rPr>
                <w:rFonts w:ascii="CAIXA Std Book" w:hAnsi="CAIXA Std Book" w:cs="Calibri"/>
                <w:b/>
                <w:bCs/>
                <w:color w:val="005CA9"/>
                <w:sz w:val="16"/>
                <w:szCs w:val="16"/>
              </w:rPr>
              <w:t>-</w:t>
            </w:r>
          </w:p>
        </w:tc>
        <w:tc>
          <w:tcPr>
            <w:tcW w:w="389" w:type="pct"/>
            <w:tcBorders>
              <w:top w:val="nil"/>
              <w:left w:val="nil"/>
              <w:bottom w:val="single" w:sz="4" w:space="0" w:color="F68F00"/>
              <w:right w:val="nil"/>
            </w:tcBorders>
            <w:shd w:val="clear" w:color="auto" w:fill="auto"/>
            <w:vAlign w:val="center"/>
          </w:tcPr>
          <w:p w14:paraId="28DE21AD" w14:textId="77777777" w:rsidR="00237397" w:rsidRPr="00E20D21" w:rsidRDefault="00237397" w:rsidP="00237397">
            <w:pPr>
              <w:jc w:val="center"/>
              <w:rPr>
                <w:rFonts w:ascii="CAIXA Std Book" w:hAnsi="CAIXA Std Book" w:cs="Symbol"/>
                <w:b/>
                <w:color w:val="005CA9"/>
                <w:sz w:val="16"/>
                <w:szCs w:val="16"/>
              </w:rPr>
            </w:pPr>
            <w:r w:rsidRPr="00E20D21">
              <w:rPr>
                <w:rFonts w:ascii="CAIXA Std Book" w:hAnsi="CAIXA Std Book" w:cs="Calibri"/>
                <w:b/>
                <w:bCs/>
                <w:color w:val="005CA9"/>
                <w:sz w:val="16"/>
                <w:szCs w:val="16"/>
              </w:rPr>
              <w:t>-</w:t>
            </w:r>
          </w:p>
        </w:tc>
        <w:tc>
          <w:tcPr>
            <w:tcW w:w="416" w:type="pct"/>
            <w:tcBorders>
              <w:top w:val="nil"/>
              <w:left w:val="nil"/>
              <w:bottom w:val="single" w:sz="4" w:space="0" w:color="F68F00"/>
              <w:right w:val="nil"/>
            </w:tcBorders>
            <w:shd w:val="clear" w:color="auto" w:fill="auto"/>
            <w:vAlign w:val="center"/>
          </w:tcPr>
          <w:p w14:paraId="6CBE9FB8" w14:textId="7231E2C3" w:rsidR="00237397" w:rsidRPr="00E20D21" w:rsidRDefault="00237397" w:rsidP="00237397">
            <w:pPr>
              <w:jc w:val="center"/>
              <w:rPr>
                <w:rFonts w:ascii="CAIXA Std Book" w:hAnsi="CAIXA Std Book" w:cs="Symbol"/>
                <w:b/>
                <w:color w:val="005CA9"/>
                <w:sz w:val="16"/>
                <w:szCs w:val="16"/>
              </w:rPr>
            </w:pPr>
            <w:r w:rsidRPr="00E20D21">
              <w:rPr>
                <w:rFonts w:ascii="CAIXA Std Book" w:hAnsi="CAIXA Std Book" w:cs="Calibri"/>
                <w:b/>
                <w:bCs/>
                <w:color w:val="005CA9"/>
                <w:sz w:val="16"/>
                <w:szCs w:val="16"/>
              </w:rPr>
              <w:t>-</w:t>
            </w:r>
          </w:p>
        </w:tc>
      </w:tr>
      <w:tr w:rsidR="00237397" w:rsidRPr="00E20D21" w14:paraId="2CB2BA00" w14:textId="77777777" w:rsidTr="00071747">
        <w:trPr>
          <w:trHeight w:val="283"/>
        </w:trPr>
        <w:tc>
          <w:tcPr>
            <w:tcW w:w="1468" w:type="pct"/>
            <w:tcBorders>
              <w:top w:val="nil"/>
              <w:left w:val="nil"/>
              <w:bottom w:val="single" w:sz="4" w:space="0" w:color="F68F00"/>
              <w:right w:val="nil"/>
            </w:tcBorders>
            <w:shd w:val="clear" w:color="auto" w:fill="auto"/>
            <w:vAlign w:val="center"/>
            <w:hideMark/>
          </w:tcPr>
          <w:p w14:paraId="3A5E96B2" w14:textId="77777777" w:rsidR="00237397" w:rsidRPr="00E20D21" w:rsidRDefault="00237397" w:rsidP="00237397">
            <w:pPr>
              <w:rPr>
                <w:rFonts w:ascii="CAIXA Std Book" w:hAnsi="CAIXA Std Book" w:cs="Symbol"/>
                <w:b/>
                <w:color w:val="005CA9"/>
                <w:sz w:val="16"/>
                <w:szCs w:val="16"/>
              </w:rPr>
            </w:pPr>
            <w:r w:rsidRPr="00E20D21">
              <w:rPr>
                <w:rFonts w:ascii="CAIXA Std Book" w:hAnsi="CAIXA Std Book" w:cs="Symbol"/>
                <w:b/>
                <w:color w:val="005CA9"/>
                <w:sz w:val="16"/>
                <w:szCs w:val="16"/>
              </w:rPr>
              <w:t>Ativo/ (passivo) líquido</w:t>
            </w:r>
          </w:p>
        </w:tc>
        <w:tc>
          <w:tcPr>
            <w:tcW w:w="390" w:type="pct"/>
            <w:tcBorders>
              <w:top w:val="nil"/>
              <w:left w:val="nil"/>
              <w:bottom w:val="single" w:sz="4" w:space="0" w:color="F68F00"/>
              <w:right w:val="nil"/>
            </w:tcBorders>
            <w:shd w:val="clear" w:color="auto" w:fill="auto"/>
            <w:vAlign w:val="center"/>
          </w:tcPr>
          <w:p w14:paraId="59C7EC73" w14:textId="20307583" w:rsidR="00237397" w:rsidRPr="00E20D21" w:rsidRDefault="00E234FB"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(11.889.250)</w:t>
            </w:r>
          </w:p>
        </w:tc>
        <w:tc>
          <w:tcPr>
            <w:tcW w:w="390" w:type="pct"/>
            <w:tcBorders>
              <w:top w:val="nil"/>
              <w:left w:val="nil"/>
              <w:bottom w:val="single" w:sz="4" w:space="0" w:color="F68F00"/>
              <w:right w:val="nil"/>
            </w:tcBorders>
            <w:shd w:val="clear" w:color="auto" w:fill="auto"/>
            <w:vAlign w:val="center"/>
          </w:tcPr>
          <w:p w14:paraId="65C6E40C" w14:textId="77777777" w:rsidR="00237397" w:rsidRPr="00E20D21" w:rsidRDefault="00237397"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(12.088.211)</w:t>
            </w:r>
          </w:p>
        </w:tc>
        <w:tc>
          <w:tcPr>
            <w:tcW w:w="389" w:type="pct"/>
            <w:tcBorders>
              <w:top w:val="nil"/>
              <w:left w:val="nil"/>
              <w:bottom w:val="single" w:sz="4" w:space="0" w:color="F68F00"/>
              <w:right w:val="nil"/>
            </w:tcBorders>
            <w:shd w:val="clear" w:color="auto" w:fill="auto"/>
            <w:vAlign w:val="center"/>
          </w:tcPr>
          <w:p w14:paraId="1A278C42" w14:textId="564CE14E" w:rsidR="00237397" w:rsidRPr="00E20D21" w:rsidRDefault="00237397"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(12.256.218)</w:t>
            </w:r>
          </w:p>
        </w:tc>
        <w:tc>
          <w:tcPr>
            <w:tcW w:w="389" w:type="pct"/>
            <w:tcBorders>
              <w:top w:val="nil"/>
              <w:left w:val="nil"/>
              <w:bottom w:val="single" w:sz="4" w:space="0" w:color="F68F00"/>
              <w:right w:val="nil"/>
            </w:tcBorders>
            <w:shd w:val="clear" w:color="auto" w:fill="auto"/>
            <w:vAlign w:val="center"/>
          </w:tcPr>
          <w:p w14:paraId="7A3C8907" w14:textId="549BC6EE" w:rsidR="00237397" w:rsidRPr="00E20D21" w:rsidRDefault="00E234FB"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(1.875.375)</w:t>
            </w:r>
          </w:p>
        </w:tc>
        <w:tc>
          <w:tcPr>
            <w:tcW w:w="389" w:type="pct"/>
            <w:tcBorders>
              <w:top w:val="nil"/>
              <w:left w:val="nil"/>
              <w:bottom w:val="single" w:sz="4" w:space="0" w:color="F68F00"/>
              <w:right w:val="nil"/>
            </w:tcBorders>
            <w:shd w:val="clear" w:color="auto" w:fill="auto"/>
            <w:vAlign w:val="center"/>
          </w:tcPr>
          <w:p w14:paraId="7F61D590" w14:textId="77777777" w:rsidR="00237397" w:rsidRPr="00E20D21" w:rsidRDefault="00237397"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(1.934.048)</w:t>
            </w:r>
          </w:p>
        </w:tc>
        <w:tc>
          <w:tcPr>
            <w:tcW w:w="391" w:type="pct"/>
            <w:tcBorders>
              <w:top w:val="nil"/>
              <w:left w:val="nil"/>
              <w:bottom w:val="single" w:sz="4" w:space="0" w:color="F68F00"/>
              <w:right w:val="nil"/>
            </w:tcBorders>
            <w:shd w:val="clear" w:color="auto" w:fill="auto"/>
            <w:vAlign w:val="center"/>
          </w:tcPr>
          <w:p w14:paraId="674AF79C" w14:textId="108E593A" w:rsidR="00237397" w:rsidRPr="00E20D21" w:rsidRDefault="00237397" w:rsidP="00237397">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(2.034.263)</w:t>
            </w:r>
          </w:p>
        </w:tc>
        <w:tc>
          <w:tcPr>
            <w:tcW w:w="389" w:type="pct"/>
            <w:tcBorders>
              <w:top w:val="nil"/>
              <w:left w:val="nil"/>
              <w:bottom w:val="single" w:sz="4" w:space="0" w:color="F68F00"/>
              <w:right w:val="nil"/>
            </w:tcBorders>
            <w:shd w:val="clear" w:color="auto" w:fill="auto"/>
            <w:vAlign w:val="center"/>
          </w:tcPr>
          <w:p w14:paraId="420A1714" w14:textId="447EE483" w:rsidR="00237397" w:rsidRPr="00E20D21" w:rsidRDefault="00255070" w:rsidP="00237397">
            <w:pPr>
              <w:jc w:val="center"/>
              <w:rPr>
                <w:rFonts w:ascii="CAIXA Std Book" w:hAnsi="CAIXA Std Book" w:cs="Symbol"/>
                <w:b/>
                <w:color w:val="005CA9"/>
                <w:sz w:val="16"/>
                <w:szCs w:val="16"/>
              </w:rPr>
            </w:pPr>
            <w:r w:rsidRPr="00E20D21">
              <w:rPr>
                <w:rFonts w:ascii="CAIXA Std Book" w:hAnsi="CAIXA Std Book" w:cs="Calibri"/>
                <w:b/>
                <w:bCs/>
                <w:color w:val="005CA9"/>
                <w:sz w:val="16"/>
                <w:szCs w:val="16"/>
              </w:rPr>
              <w:t>-</w:t>
            </w:r>
          </w:p>
        </w:tc>
        <w:tc>
          <w:tcPr>
            <w:tcW w:w="389" w:type="pct"/>
            <w:tcBorders>
              <w:top w:val="nil"/>
              <w:left w:val="nil"/>
              <w:bottom w:val="single" w:sz="4" w:space="0" w:color="F68F00"/>
              <w:right w:val="nil"/>
            </w:tcBorders>
            <w:shd w:val="clear" w:color="auto" w:fill="auto"/>
            <w:vAlign w:val="center"/>
          </w:tcPr>
          <w:p w14:paraId="18243A54" w14:textId="77777777" w:rsidR="00237397" w:rsidRPr="00E20D21" w:rsidRDefault="00237397" w:rsidP="00237397">
            <w:pPr>
              <w:jc w:val="center"/>
              <w:rPr>
                <w:rFonts w:ascii="CAIXA Std Book" w:hAnsi="CAIXA Std Book" w:cs="Symbol"/>
                <w:b/>
                <w:color w:val="005CA9"/>
                <w:sz w:val="16"/>
                <w:szCs w:val="16"/>
              </w:rPr>
            </w:pPr>
            <w:r w:rsidRPr="00E20D21">
              <w:rPr>
                <w:rFonts w:ascii="CAIXA Std Book" w:hAnsi="CAIXA Std Book" w:cs="Calibri"/>
                <w:b/>
                <w:bCs/>
                <w:color w:val="005CA9"/>
                <w:sz w:val="16"/>
                <w:szCs w:val="16"/>
              </w:rPr>
              <w:t>-</w:t>
            </w:r>
          </w:p>
        </w:tc>
        <w:tc>
          <w:tcPr>
            <w:tcW w:w="416" w:type="pct"/>
            <w:tcBorders>
              <w:top w:val="nil"/>
              <w:left w:val="nil"/>
              <w:bottom w:val="single" w:sz="4" w:space="0" w:color="F68F00"/>
              <w:right w:val="nil"/>
            </w:tcBorders>
            <w:shd w:val="clear" w:color="auto" w:fill="auto"/>
            <w:vAlign w:val="center"/>
          </w:tcPr>
          <w:p w14:paraId="40DE56BF" w14:textId="7ED544F4" w:rsidR="00237397" w:rsidRPr="00E20D21" w:rsidRDefault="00237397" w:rsidP="00237397">
            <w:pPr>
              <w:jc w:val="center"/>
              <w:rPr>
                <w:rFonts w:ascii="CAIXA Std Book" w:hAnsi="CAIXA Std Book" w:cs="Symbol"/>
                <w:b/>
                <w:color w:val="005CA9"/>
                <w:sz w:val="16"/>
                <w:szCs w:val="16"/>
              </w:rPr>
            </w:pPr>
            <w:r w:rsidRPr="00E20D21">
              <w:rPr>
                <w:rFonts w:ascii="CAIXA Std Book" w:hAnsi="CAIXA Std Book" w:cs="Calibri"/>
                <w:b/>
                <w:bCs/>
                <w:color w:val="005CA9"/>
                <w:sz w:val="16"/>
                <w:szCs w:val="16"/>
              </w:rPr>
              <w:t>-</w:t>
            </w:r>
          </w:p>
        </w:tc>
      </w:tr>
    </w:tbl>
    <w:p w14:paraId="5F9658F5" w14:textId="77777777" w:rsidR="003834D8" w:rsidRPr="00E20D21" w:rsidRDefault="003834D8" w:rsidP="003834D8">
      <w:pPr>
        <w:rPr>
          <w:rFonts w:ascii="CAIXA Std Book" w:hAnsi="CAIXA Std Book"/>
          <w:color w:val="005CA9"/>
          <w:sz w:val="20"/>
          <w:szCs w:val="16"/>
        </w:rPr>
      </w:pPr>
    </w:p>
    <w:p w14:paraId="25DF895F" w14:textId="77777777" w:rsidR="003834D8" w:rsidRPr="00E20D21" w:rsidRDefault="003834D8" w:rsidP="003834D8">
      <w:pPr>
        <w:rPr>
          <w:rFonts w:ascii="CAIXA Std Book" w:hAnsi="CAIXA Std Book"/>
          <w:color w:val="005CA9"/>
          <w:sz w:val="20"/>
          <w:szCs w:val="16"/>
        </w:rPr>
      </w:pPr>
    </w:p>
    <w:p w14:paraId="7B682BF3" w14:textId="77777777" w:rsidR="004E03B0" w:rsidRPr="00E20D21" w:rsidRDefault="004E03B0">
      <w:pPr>
        <w:rPr>
          <w:rFonts w:ascii="CAIXA Std Book" w:hAnsi="CAIXA Std Book"/>
        </w:rPr>
      </w:pPr>
      <w:r w:rsidRPr="00E20D21">
        <w:rPr>
          <w:rFonts w:ascii="CAIXA Std Book" w:hAnsi="CAIXA Std Book"/>
        </w:rPr>
        <w:br w:type="page"/>
      </w:r>
    </w:p>
    <w:tbl>
      <w:tblPr>
        <w:tblW w:w="5000" w:type="pct"/>
        <w:tblCellMar>
          <w:left w:w="70" w:type="dxa"/>
          <w:right w:w="70" w:type="dxa"/>
        </w:tblCellMar>
        <w:tblLook w:val="04A0" w:firstRow="1" w:lastRow="0" w:firstColumn="1" w:lastColumn="0" w:noHBand="0" w:noVBand="1"/>
      </w:tblPr>
      <w:tblGrid>
        <w:gridCol w:w="2146"/>
        <w:gridCol w:w="1157"/>
        <w:gridCol w:w="1113"/>
        <w:gridCol w:w="1113"/>
        <w:gridCol w:w="1011"/>
        <w:gridCol w:w="1011"/>
        <w:gridCol w:w="1011"/>
        <w:gridCol w:w="985"/>
        <w:gridCol w:w="994"/>
        <w:gridCol w:w="15"/>
        <w:gridCol w:w="982"/>
        <w:gridCol w:w="17"/>
        <w:gridCol w:w="994"/>
        <w:gridCol w:w="17"/>
        <w:gridCol w:w="994"/>
        <w:gridCol w:w="20"/>
        <w:gridCol w:w="991"/>
      </w:tblGrid>
      <w:tr w:rsidR="00A47C19" w:rsidRPr="00E20D21" w14:paraId="6F735BB3" w14:textId="77777777" w:rsidTr="00C11FCD">
        <w:trPr>
          <w:trHeight w:val="283"/>
        </w:trPr>
        <w:tc>
          <w:tcPr>
            <w:tcW w:w="5000" w:type="pct"/>
            <w:gridSpan w:val="17"/>
            <w:tcBorders>
              <w:top w:val="single" w:sz="4" w:space="0" w:color="F68F00"/>
              <w:left w:val="nil"/>
              <w:bottom w:val="single" w:sz="4" w:space="0" w:color="F68F00"/>
              <w:right w:val="nil"/>
            </w:tcBorders>
            <w:shd w:val="clear" w:color="auto" w:fill="auto"/>
            <w:vAlign w:val="center"/>
          </w:tcPr>
          <w:p w14:paraId="0BA5B73D" w14:textId="2C6121AD" w:rsidR="003834D8" w:rsidRPr="00E20D21" w:rsidRDefault="003834D8" w:rsidP="00A01778">
            <w:pPr>
              <w:jc w:val="center"/>
              <w:rPr>
                <w:rFonts w:ascii="CAIXA Std Book" w:hAnsi="CAIXA Std Book" w:cs="Symbol"/>
                <w:b/>
                <w:color w:val="005CA9"/>
                <w:sz w:val="14"/>
                <w:szCs w:val="14"/>
              </w:rPr>
            </w:pPr>
            <w:r w:rsidRPr="00E20D21">
              <w:rPr>
                <w:rFonts w:ascii="CAIXA Std Book" w:hAnsi="CAIXA Std Book" w:cs="Symbol"/>
                <w:b/>
                <w:color w:val="005CA9"/>
                <w:sz w:val="14"/>
                <w:szCs w:val="14"/>
              </w:rPr>
              <w:lastRenderedPageBreak/>
              <w:t>INDIVIDUAL</w:t>
            </w:r>
            <w:r w:rsidR="00E20D21">
              <w:rPr>
                <w:rFonts w:ascii="CAIXA Std Book" w:hAnsi="CAIXA Std Book" w:cs="Symbol"/>
                <w:b/>
                <w:color w:val="005CA9"/>
                <w:sz w:val="14"/>
                <w:szCs w:val="14"/>
              </w:rPr>
              <w:t xml:space="preserve"> </w:t>
            </w:r>
            <w:r w:rsidRPr="00E20D21">
              <w:rPr>
                <w:rFonts w:ascii="CAIXA Std Book" w:hAnsi="CAIXA Std Book" w:cs="Symbol"/>
                <w:b/>
                <w:color w:val="005CA9"/>
                <w:sz w:val="14"/>
                <w:szCs w:val="14"/>
              </w:rPr>
              <w:t>/</w:t>
            </w:r>
            <w:r w:rsidR="00E20D21">
              <w:rPr>
                <w:rFonts w:ascii="CAIXA Std Book" w:hAnsi="CAIXA Std Book" w:cs="Symbol"/>
                <w:b/>
                <w:color w:val="005CA9"/>
                <w:sz w:val="14"/>
                <w:szCs w:val="14"/>
              </w:rPr>
              <w:t xml:space="preserve"> </w:t>
            </w:r>
            <w:r w:rsidRPr="00E20D21">
              <w:rPr>
                <w:rFonts w:ascii="CAIXA Std Book" w:hAnsi="CAIXA Std Book" w:cs="Symbol"/>
                <w:b/>
                <w:color w:val="005CA9"/>
                <w:sz w:val="14"/>
                <w:szCs w:val="14"/>
              </w:rPr>
              <w:t>CONSOLIDADO</w:t>
            </w:r>
          </w:p>
        </w:tc>
      </w:tr>
      <w:tr w:rsidR="00C11FCD" w:rsidRPr="00E20D21" w14:paraId="23E8E7E1" w14:textId="77777777" w:rsidTr="00EB6CB8">
        <w:trPr>
          <w:trHeight w:val="283"/>
        </w:trPr>
        <w:tc>
          <w:tcPr>
            <w:tcW w:w="736" w:type="pct"/>
            <w:vMerge w:val="restart"/>
            <w:tcBorders>
              <w:top w:val="single" w:sz="4" w:space="0" w:color="F68F00"/>
              <w:left w:val="nil"/>
              <w:bottom w:val="single" w:sz="4" w:space="0" w:color="F68F00"/>
              <w:right w:val="nil"/>
            </w:tcBorders>
            <w:shd w:val="clear" w:color="auto" w:fill="auto"/>
            <w:vAlign w:val="center"/>
            <w:hideMark/>
          </w:tcPr>
          <w:p w14:paraId="3791D93D" w14:textId="77777777" w:rsidR="003834D8" w:rsidRPr="00E20D21" w:rsidRDefault="003834D8" w:rsidP="00A01778">
            <w:pPr>
              <w:jc w:val="center"/>
              <w:rPr>
                <w:rFonts w:ascii="CAIXA Std Book" w:hAnsi="CAIXA Std Book" w:cs="Symbol"/>
                <w:b/>
                <w:color w:val="005CA9"/>
                <w:sz w:val="14"/>
                <w:szCs w:val="14"/>
              </w:rPr>
            </w:pPr>
            <w:r w:rsidRPr="00E20D21">
              <w:rPr>
                <w:rFonts w:ascii="CAIXA Std Book" w:hAnsi="CAIXA Std Book" w:cs="Symbol"/>
                <w:b/>
                <w:color w:val="005CA9"/>
                <w:sz w:val="14"/>
                <w:szCs w:val="14"/>
              </w:rPr>
              <w:t>Descrição</w:t>
            </w:r>
          </w:p>
        </w:tc>
        <w:tc>
          <w:tcPr>
            <w:tcW w:w="1161" w:type="pct"/>
            <w:gridSpan w:val="3"/>
            <w:tcBorders>
              <w:top w:val="single" w:sz="4" w:space="0" w:color="F68F00"/>
              <w:left w:val="nil"/>
              <w:bottom w:val="single" w:sz="4" w:space="0" w:color="F68F00"/>
              <w:right w:val="nil"/>
            </w:tcBorders>
            <w:shd w:val="clear" w:color="auto" w:fill="auto"/>
            <w:vAlign w:val="center"/>
            <w:hideMark/>
          </w:tcPr>
          <w:p w14:paraId="7147D2B2" w14:textId="77777777" w:rsidR="003834D8" w:rsidRPr="00E20D21" w:rsidRDefault="003834D8" w:rsidP="00A01778">
            <w:pPr>
              <w:jc w:val="center"/>
              <w:rPr>
                <w:rFonts w:ascii="CAIXA Std Book" w:hAnsi="CAIXA Std Book" w:cs="Symbol"/>
                <w:b/>
                <w:color w:val="005CA9"/>
                <w:sz w:val="14"/>
                <w:szCs w:val="14"/>
              </w:rPr>
            </w:pPr>
            <w:r w:rsidRPr="00E20D21">
              <w:rPr>
                <w:rFonts w:ascii="CAIXA Std Book" w:hAnsi="CAIXA Std Book" w:cs="Symbol"/>
                <w:b/>
                <w:color w:val="005CA9"/>
                <w:sz w:val="14"/>
                <w:szCs w:val="14"/>
              </w:rPr>
              <w:t>REG/REPLAN Saldado</w:t>
            </w:r>
          </w:p>
        </w:tc>
        <w:tc>
          <w:tcPr>
            <w:tcW w:w="1041" w:type="pct"/>
            <w:gridSpan w:val="3"/>
            <w:tcBorders>
              <w:top w:val="single" w:sz="4" w:space="0" w:color="F68F00"/>
              <w:left w:val="nil"/>
              <w:bottom w:val="single" w:sz="4" w:space="0" w:color="F68F00"/>
              <w:right w:val="nil"/>
            </w:tcBorders>
            <w:shd w:val="clear" w:color="auto" w:fill="auto"/>
            <w:vAlign w:val="center"/>
            <w:hideMark/>
          </w:tcPr>
          <w:p w14:paraId="6B6AF930" w14:textId="77777777" w:rsidR="003834D8" w:rsidRPr="00E20D21" w:rsidRDefault="003834D8" w:rsidP="00A01778">
            <w:pPr>
              <w:jc w:val="center"/>
              <w:rPr>
                <w:rFonts w:ascii="CAIXA Std Book" w:hAnsi="CAIXA Std Book" w:cs="Symbol"/>
                <w:b/>
                <w:color w:val="005CA9"/>
                <w:sz w:val="14"/>
                <w:szCs w:val="14"/>
              </w:rPr>
            </w:pPr>
            <w:r w:rsidRPr="00E20D21">
              <w:rPr>
                <w:rFonts w:ascii="CAIXA Std Book" w:hAnsi="CAIXA Std Book" w:cs="Symbol"/>
                <w:b/>
                <w:color w:val="005CA9"/>
                <w:sz w:val="14"/>
                <w:szCs w:val="14"/>
              </w:rPr>
              <w:t>REG/REPLAN Não saldado</w:t>
            </w:r>
          </w:p>
        </w:tc>
        <w:tc>
          <w:tcPr>
            <w:tcW w:w="1027" w:type="pct"/>
            <w:gridSpan w:val="5"/>
            <w:tcBorders>
              <w:top w:val="single" w:sz="4" w:space="0" w:color="F68F00"/>
              <w:left w:val="nil"/>
              <w:bottom w:val="single" w:sz="4" w:space="0" w:color="F68F00"/>
              <w:right w:val="nil"/>
            </w:tcBorders>
            <w:shd w:val="clear" w:color="auto" w:fill="auto"/>
            <w:vAlign w:val="center"/>
            <w:hideMark/>
          </w:tcPr>
          <w:p w14:paraId="01E69077" w14:textId="77777777" w:rsidR="003834D8" w:rsidRPr="00E20D21" w:rsidRDefault="003834D8" w:rsidP="00A01778">
            <w:pPr>
              <w:jc w:val="center"/>
              <w:rPr>
                <w:rFonts w:ascii="CAIXA Std Book" w:hAnsi="CAIXA Std Book" w:cs="Symbol"/>
                <w:b/>
                <w:color w:val="005CA9"/>
                <w:sz w:val="14"/>
                <w:szCs w:val="14"/>
              </w:rPr>
            </w:pPr>
            <w:r w:rsidRPr="00E20D21">
              <w:rPr>
                <w:rFonts w:ascii="CAIXA Std Book" w:hAnsi="CAIXA Std Book" w:cs="Symbol"/>
                <w:b/>
                <w:color w:val="005CA9"/>
                <w:sz w:val="14"/>
                <w:szCs w:val="14"/>
              </w:rPr>
              <w:t>REB</w:t>
            </w:r>
          </w:p>
        </w:tc>
        <w:tc>
          <w:tcPr>
            <w:tcW w:w="1035" w:type="pct"/>
            <w:gridSpan w:val="5"/>
            <w:tcBorders>
              <w:top w:val="single" w:sz="4" w:space="0" w:color="F68F00"/>
              <w:left w:val="nil"/>
              <w:bottom w:val="single" w:sz="4" w:space="0" w:color="F68F00"/>
              <w:right w:val="nil"/>
            </w:tcBorders>
            <w:shd w:val="clear" w:color="auto" w:fill="auto"/>
            <w:vAlign w:val="center"/>
            <w:hideMark/>
          </w:tcPr>
          <w:p w14:paraId="0540D99C" w14:textId="77777777" w:rsidR="003834D8" w:rsidRPr="00E20D21" w:rsidRDefault="003834D8" w:rsidP="00A01778">
            <w:pPr>
              <w:jc w:val="center"/>
              <w:rPr>
                <w:rFonts w:ascii="CAIXA Std Book" w:hAnsi="CAIXA Std Book" w:cs="Symbol"/>
                <w:b/>
                <w:color w:val="005CA9"/>
                <w:sz w:val="14"/>
                <w:szCs w:val="14"/>
              </w:rPr>
            </w:pPr>
            <w:r w:rsidRPr="00E20D21">
              <w:rPr>
                <w:rFonts w:ascii="CAIXA Std Book" w:hAnsi="CAIXA Std Book" w:cs="Symbol"/>
                <w:b/>
                <w:color w:val="005CA9"/>
                <w:sz w:val="14"/>
                <w:szCs w:val="14"/>
              </w:rPr>
              <w:t>Novo Plano</w:t>
            </w:r>
          </w:p>
        </w:tc>
      </w:tr>
      <w:tr w:rsidR="00C11FCD" w:rsidRPr="00E20D21" w14:paraId="1D4E05FA" w14:textId="77777777" w:rsidTr="00C11FCD">
        <w:trPr>
          <w:trHeight w:val="452"/>
        </w:trPr>
        <w:tc>
          <w:tcPr>
            <w:tcW w:w="736" w:type="pct"/>
            <w:vMerge/>
            <w:tcBorders>
              <w:top w:val="single" w:sz="4" w:space="0" w:color="F68F00"/>
              <w:left w:val="nil"/>
              <w:bottom w:val="single" w:sz="4" w:space="0" w:color="F68F00"/>
              <w:right w:val="nil"/>
            </w:tcBorders>
            <w:vAlign w:val="center"/>
            <w:hideMark/>
          </w:tcPr>
          <w:p w14:paraId="391461AB" w14:textId="77777777" w:rsidR="00442883" w:rsidRPr="00E20D21" w:rsidRDefault="00442883" w:rsidP="00442883">
            <w:pPr>
              <w:rPr>
                <w:rFonts w:ascii="CAIXA Std Book" w:hAnsi="CAIXA Std Book" w:cs="Symbol"/>
                <w:b/>
                <w:color w:val="005CA9"/>
                <w:sz w:val="14"/>
                <w:szCs w:val="14"/>
              </w:rPr>
            </w:pPr>
          </w:p>
        </w:tc>
        <w:tc>
          <w:tcPr>
            <w:tcW w:w="397" w:type="pct"/>
            <w:tcBorders>
              <w:top w:val="nil"/>
              <w:left w:val="nil"/>
              <w:bottom w:val="single" w:sz="4" w:space="0" w:color="F68F00"/>
              <w:right w:val="nil"/>
            </w:tcBorders>
            <w:shd w:val="clear" w:color="auto" w:fill="auto"/>
            <w:vAlign w:val="center"/>
          </w:tcPr>
          <w:p w14:paraId="5DF3BDE4" w14:textId="0F248E3D"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1º semestre 2024</w:t>
            </w:r>
          </w:p>
        </w:tc>
        <w:tc>
          <w:tcPr>
            <w:tcW w:w="382" w:type="pct"/>
            <w:tcBorders>
              <w:top w:val="nil"/>
              <w:left w:val="nil"/>
              <w:bottom w:val="single" w:sz="4" w:space="0" w:color="F68F00"/>
              <w:right w:val="nil"/>
            </w:tcBorders>
            <w:shd w:val="clear" w:color="auto" w:fill="auto"/>
            <w:vAlign w:val="center"/>
            <w:hideMark/>
          </w:tcPr>
          <w:p w14:paraId="6AC8B109" w14:textId="0592D4D8"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Exercício 2023</w:t>
            </w:r>
          </w:p>
        </w:tc>
        <w:tc>
          <w:tcPr>
            <w:tcW w:w="382" w:type="pct"/>
            <w:tcBorders>
              <w:top w:val="nil"/>
              <w:left w:val="nil"/>
              <w:bottom w:val="single" w:sz="4" w:space="0" w:color="F68F00"/>
              <w:right w:val="nil"/>
            </w:tcBorders>
            <w:shd w:val="clear" w:color="auto" w:fill="auto"/>
            <w:vAlign w:val="center"/>
          </w:tcPr>
          <w:p w14:paraId="303CA4F9" w14:textId="6CFC1139"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1º semestre 2023</w:t>
            </w:r>
          </w:p>
        </w:tc>
        <w:tc>
          <w:tcPr>
            <w:tcW w:w="347" w:type="pct"/>
            <w:tcBorders>
              <w:top w:val="nil"/>
              <w:left w:val="nil"/>
              <w:bottom w:val="single" w:sz="4" w:space="0" w:color="F68F00"/>
              <w:right w:val="nil"/>
            </w:tcBorders>
            <w:shd w:val="clear" w:color="auto" w:fill="auto"/>
            <w:vAlign w:val="center"/>
          </w:tcPr>
          <w:p w14:paraId="2191C44B" w14:textId="4D9B7D94"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1º semestre 2024</w:t>
            </w:r>
          </w:p>
        </w:tc>
        <w:tc>
          <w:tcPr>
            <w:tcW w:w="347" w:type="pct"/>
            <w:tcBorders>
              <w:top w:val="nil"/>
              <w:left w:val="nil"/>
              <w:bottom w:val="single" w:sz="4" w:space="0" w:color="F68F00"/>
              <w:right w:val="nil"/>
            </w:tcBorders>
            <w:shd w:val="clear" w:color="auto" w:fill="auto"/>
            <w:vAlign w:val="center"/>
            <w:hideMark/>
          </w:tcPr>
          <w:p w14:paraId="702430EF" w14:textId="26378824"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Exercício 2023</w:t>
            </w:r>
          </w:p>
        </w:tc>
        <w:tc>
          <w:tcPr>
            <w:tcW w:w="347" w:type="pct"/>
            <w:tcBorders>
              <w:top w:val="nil"/>
              <w:left w:val="nil"/>
              <w:bottom w:val="single" w:sz="4" w:space="0" w:color="F68F00"/>
              <w:right w:val="nil"/>
            </w:tcBorders>
            <w:shd w:val="clear" w:color="auto" w:fill="auto"/>
            <w:vAlign w:val="center"/>
          </w:tcPr>
          <w:p w14:paraId="377629CD" w14:textId="3B6E83DA"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1º semestre 2023</w:t>
            </w:r>
          </w:p>
        </w:tc>
        <w:tc>
          <w:tcPr>
            <w:tcW w:w="338" w:type="pct"/>
            <w:tcBorders>
              <w:top w:val="nil"/>
              <w:left w:val="nil"/>
              <w:bottom w:val="single" w:sz="4" w:space="0" w:color="F68F00"/>
              <w:right w:val="nil"/>
            </w:tcBorders>
            <w:shd w:val="clear" w:color="auto" w:fill="auto"/>
            <w:vAlign w:val="center"/>
          </w:tcPr>
          <w:p w14:paraId="4B2E6361" w14:textId="2BB61D47"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1º semestre 2024</w:t>
            </w:r>
          </w:p>
        </w:tc>
        <w:tc>
          <w:tcPr>
            <w:tcW w:w="341" w:type="pct"/>
            <w:tcBorders>
              <w:top w:val="nil"/>
              <w:left w:val="nil"/>
              <w:bottom w:val="single" w:sz="4" w:space="0" w:color="F68F00"/>
              <w:right w:val="nil"/>
            </w:tcBorders>
            <w:shd w:val="clear" w:color="auto" w:fill="auto"/>
            <w:vAlign w:val="center"/>
            <w:hideMark/>
          </w:tcPr>
          <w:p w14:paraId="4DA76C22" w14:textId="536E36E4"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Exercício 2023</w:t>
            </w:r>
          </w:p>
        </w:tc>
        <w:tc>
          <w:tcPr>
            <w:tcW w:w="342" w:type="pct"/>
            <w:gridSpan w:val="2"/>
            <w:tcBorders>
              <w:top w:val="nil"/>
              <w:left w:val="nil"/>
              <w:bottom w:val="single" w:sz="4" w:space="0" w:color="F68F00"/>
              <w:right w:val="nil"/>
            </w:tcBorders>
            <w:shd w:val="clear" w:color="auto" w:fill="auto"/>
            <w:vAlign w:val="center"/>
          </w:tcPr>
          <w:p w14:paraId="2AEC43C6" w14:textId="463CA8F6"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1º semestre 2023</w:t>
            </w:r>
          </w:p>
        </w:tc>
        <w:tc>
          <w:tcPr>
            <w:tcW w:w="347" w:type="pct"/>
            <w:gridSpan w:val="2"/>
            <w:tcBorders>
              <w:top w:val="nil"/>
              <w:left w:val="nil"/>
              <w:bottom w:val="single" w:sz="4" w:space="0" w:color="F68F00"/>
              <w:right w:val="nil"/>
            </w:tcBorders>
            <w:shd w:val="clear" w:color="auto" w:fill="auto"/>
            <w:vAlign w:val="center"/>
          </w:tcPr>
          <w:p w14:paraId="44F0BA3A" w14:textId="4B49A3B5"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1º semestre 2024</w:t>
            </w:r>
          </w:p>
        </w:tc>
        <w:tc>
          <w:tcPr>
            <w:tcW w:w="347" w:type="pct"/>
            <w:gridSpan w:val="2"/>
            <w:tcBorders>
              <w:top w:val="nil"/>
              <w:left w:val="nil"/>
              <w:bottom w:val="single" w:sz="4" w:space="0" w:color="F68F00"/>
              <w:right w:val="nil"/>
            </w:tcBorders>
            <w:shd w:val="clear" w:color="auto" w:fill="auto"/>
            <w:vAlign w:val="center"/>
            <w:hideMark/>
          </w:tcPr>
          <w:p w14:paraId="62251EDB" w14:textId="7C826303"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Exercício 2023</w:t>
            </w:r>
          </w:p>
        </w:tc>
        <w:tc>
          <w:tcPr>
            <w:tcW w:w="347" w:type="pct"/>
            <w:gridSpan w:val="2"/>
            <w:tcBorders>
              <w:top w:val="nil"/>
              <w:left w:val="nil"/>
              <w:bottom w:val="single" w:sz="4" w:space="0" w:color="F68F00"/>
              <w:right w:val="nil"/>
            </w:tcBorders>
            <w:shd w:val="clear" w:color="auto" w:fill="auto"/>
            <w:vAlign w:val="center"/>
          </w:tcPr>
          <w:p w14:paraId="451DA4F4" w14:textId="311D5E4E" w:rsidR="00442883" w:rsidRPr="00E20D21" w:rsidRDefault="00442883" w:rsidP="00442883">
            <w:pPr>
              <w:jc w:val="center"/>
              <w:rPr>
                <w:rFonts w:ascii="CAIXA Std Book" w:hAnsi="CAIXA Std Book" w:cs="Symbol"/>
                <w:b/>
                <w:color w:val="005CA9"/>
                <w:sz w:val="14"/>
                <w:szCs w:val="14"/>
                <w:highlight w:val="yellow"/>
              </w:rPr>
            </w:pPr>
            <w:r w:rsidRPr="00E20D21">
              <w:rPr>
                <w:rFonts w:ascii="CAIXA Std Book" w:hAnsi="CAIXA Std Book" w:cs="MS Gothic"/>
                <w:b/>
                <w:color w:val="005CA9"/>
                <w:sz w:val="14"/>
                <w:szCs w:val="14"/>
              </w:rPr>
              <w:t>1º semestre 2023</w:t>
            </w:r>
          </w:p>
        </w:tc>
      </w:tr>
      <w:tr w:rsidR="00C11FCD" w:rsidRPr="00E20D21" w14:paraId="5E61B1E8" w14:textId="77777777" w:rsidTr="00C11FCD">
        <w:trPr>
          <w:trHeight w:val="283"/>
        </w:trPr>
        <w:tc>
          <w:tcPr>
            <w:tcW w:w="736" w:type="pct"/>
            <w:tcBorders>
              <w:top w:val="nil"/>
              <w:left w:val="nil"/>
              <w:bottom w:val="nil"/>
              <w:right w:val="nil"/>
            </w:tcBorders>
            <w:shd w:val="clear" w:color="auto" w:fill="auto"/>
            <w:vAlign w:val="center"/>
            <w:hideMark/>
          </w:tcPr>
          <w:p w14:paraId="5547F96C" w14:textId="77777777" w:rsidR="00AF5922" w:rsidRPr="00E20D21" w:rsidRDefault="00AF5922" w:rsidP="00AF5922">
            <w:pPr>
              <w:rPr>
                <w:rFonts w:ascii="CAIXA Std Book" w:hAnsi="CAIXA Std Book" w:cs="Symbol"/>
                <w:color w:val="005CA9"/>
                <w:sz w:val="14"/>
                <w:szCs w:val="14"/>
              </w:rPr>
            </w:pPr>
            <w:r w:rsidRPr="00E20D21">
              <w:rPr>
                <w:rFonts w:ascii="CAIXA Std Book" w:hAnsi="CAIXA Std Book" w:cs="Symbol"/>
                <w:color w:val="005CA9"/>
                <w:sz w:val="14"/>
                <w:szCs w:val="14"/>
              </w:rPr>
              <w:t>VPO no final do período</w:t>
            </w:r>
          </w:p>
        </w:tc>
        <w:tc>
          <w:tcPr>
            <w:tcW w:w="397" w:type="pct"/>
            <w:tcBorders>
              <w:top w:val="nil"/>
              <w:left w:val="nil"/>
              <w:bottom w:val="nil"/>
              <w:right w:val="nil"/>
            </w:tcBorders>
            <w:shd w:val="clear" w:color="auto" w:fill="auto"/>
            <w:vAlign w:val="center"/>
          </w:tcPr>
          <w:p w14:paraId="45388784" w14:textId="3D5E3734" w:rsidR="00AF5922" w:rsidRPr="00E20D21" w:rsidRDefault="00CB4253"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(64.963.423)</w:t>
            </w:r>
          </w:p>
        </w:tc>
        <w:tc>
          <w:tcPr>
            <w:tcW w:w="382" w:type="pct"/>
            <w:tcBorders>
              <w:top w:val="nil"/>
              <w:left w:val="nil"/>
              <w:bottom w:val="nil"/>
              <w:right w:val="nil"/>
            </w:tcBorders>
            <w:shd w:val="clear" w:color="auto" w:fill="auto"/>
            <w:vAlign w:val="center"/>
          </w:tcPr>
          <w:p w14:paraId="24B3A048"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(71.312.057)</w:t>
            </w:r>
          </w:p>
        </w:tc>
        <w:tc>
          <w:tcPr>
            <w:tcW w:w="382" w:type="pct"/>
            <w:tcBorders>
              <w:top w:val="nil"/>
              <w:left w:val="nil"/>
              <w:bottom w:val="nil"/>
              <w:right w:val="nil"/>
            </w:tcBorders>
            <w:shd w:val="clear" w:color="auto" w:fill="auto"/>
            <w:vAlign w:val="center"/>
          </w:tcPr>
          <w:p w14:paraId="1A18AF05" w14:textId="6A4FD855"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(72.851.781)</w:t>
            </w:r>
          </w:p>
        </w:tc>
        <w:tc>
          <w:tcPr>
            <w:tcW w:w="347" w:type="pct"/>
            <w:tcBorders>
              <w:top w:val="nil"/>
              <w:left w:val="nil"/>
              <w:bottom w:val="nil"/>
              <w:right w:val="nil"/>
            </w:tcBorders>
            <w:shd w:val="clear" w:color="auto" w:fill="auto"/>
            <w:vAlign w:val="center"/>
          </w:tcPr>
          <w:p w14:paraId="3FFF0385" w14:textId="0901F169" w:rsidR="00AF5922" w:rsidRPr="00E20D21" w:rsidRDefault="00B3646C"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(6.897.395)</w:t>
            </w:r>
          </w:p>
        </w:tc>
        <w:tc>
          <w:tcPr>
            <w:tcW w:w="347" w:type="pct"/>
            <w:tcBorders>
              <w:top w:val="nil"/>
              <w:left w:val="nil"/>
              <w:bottom w:val="nil"/>
              <w:right w:val="nil"/>
            </w:tcBorders>
            <w:shd w:val="clear" w:color="auto" w:fill="auto"/>
            <w:vAlign w:val="center"/>
          </w:tcPr>
          <w:p w14:paraId="3536E1B4"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(7.520.794)</w:t>
            </w:r>
          </w:p>
        </w:tc>
        <w:tc>
          <w:tcPr>
            <w:tcW w:w="347" w:type="pct"/>
            <w:tcBorders>
              <w:top w:val="nil"/>
              <w:left w:val="nil"/>
              <w:bottom w:val="nil"/>
              <w:right w:val="nil"/>
            </w:tcBorders>
            <w:shd w:val="clear" w:color="auto" w:fill="auto"/>
            <w:vAlign w:val="center"/>
          </w:tcPr>
          <w:p w14:paraId="157D8ECF" w14:textId="6588A585"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(7.641.330)</w:t>
            </w:r>
          </w:p>
        </w:tc>
        <w:tc>
          <w:tcPr>
            <w:tcW w:w="338" w:type="pct"/>
            <w:tcBorders>
              <w:top w:val="nil"/>
              <w:left w:val="nil"/>
              <w:bottom w:val="nil"/>
              <w:right w:val="nil"/>
            </w:tcBorders>
            <w:shd w:val="clear" w:color="auto" w:fill="auto"/>
            <w:vAlign w:val="center"/>
          </w:tcPr>
          <w:p w14:paraId="0CDC5B91" w14:textId="4A9519C6" w:rsidR="00AF5922" w:rsidRPr="00E20D21" w:rsidRDefault="00B3646C"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(742.336)</w:t>
            </w:r>
          </w:p>
        </w:tc>
        <w:tc>
          <w:tcPr>
            <w:tcW w:w="341" w:type="pct"/>
            <w:tcBorders>
              <w:top w:val="nil"/>
              <w:left w:val="nil"/>
              <w:bottom w:val="nil"/>
              <w:right w:val="nil"/>
            </w:tcBorders>
            <w:shd w:val="clear" w:color="auto" w:fill="auto"/>
            <w:vAlign w:val="center"/>
          </w:tcPr>
          <w:p w14:paraId="7CB17E46"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(854.794)</w:t>
            </w:r>
          </w:p>
        </w:tc>
        <w:tc>
          <w:tcPr>
            <w:tcW w:w="342" w:type="pct"/>
            <w:gridSpan w:val="2"/>
            <w:tcBorders>
              <w:top w:val="nil"/>
              <w:left w:val="nil"/>
              <w:bottom w:val="nil"/>
              <w:right w:val="nil"/>
            </w:tcBorders>
            <w:shd w:val="clear" w:color="auto" w:fill="auto"/>
            <w:vAlign w:val="center"/>
          </w:tcPr>
          <w:p w14:paraId="404630E6" w14:textId="02AB978B"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(854.495)</w:t>
            </w:r>
          </w:p>
        </w:tc>
        <w:tc>
          <w:tcPr>
            <w:tcW w:w="347" w:type="pct"/>
            <w:gridSpan w:val="2"/>
            <w:tcBorders>
              <w:top w:val="nil"/>
              <w:left w:val="nil"/>
              <w:bottom w:val="nil"/>
              <w:right w:val="nil"/>
            </w:tcBorders>
            <w:shd w:val="clear" w:color="auto" w:fill="auto"/>
            <w:vAlign w:val="center"/>
          </w:tcPr>
          <w:p w14:paraId="5FCECFEE" w14:textId="3F860988" w:rsidR="00AF5922" w:rsidRPr="00E20D21" w:rsidRDefault="00B3646C"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(4.463.153)</w:t>
            </w:r>
          </w:p>
        </w:tc>
        <w:tc>
          <w:tcPr>
            <w:tcW w:w="347" w:type="pct"/>
            <w:gridSpan w:val="2"/>
            <w:tcBorders>
              <w:top w:val="nil"/>
              <w:left w:val="nil"/>
              <w:bottom w:val="nil"/>
              <w:right w:val="nil"/>
            </w:tcBorders>
            <w:shd w:val="clear" w:color="auto" w:fill="auto"/>
            <w:vAlign w:val="center"/>
          </w:tcPr>
          <w:p w14:paraId="1C0BB847"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(5.175.920)</w:t>
            </w:r>
          </w:p>
        </w:tc>
        <w:tc>
          <w:tcPr>
            <w:tcW w:w="347" w:type="pct"/>
            <w:gridSpan w:val="2"/>
            <w:tcBorders>
              <w:top w:val="nil"/>
              <w:left w:val="nil"/>
              <w:bottom w:val="nil"/>
              <w:right w:val="nil"/>
            </w:tcBorders>
            <w:shd w:val="clear" w:color="auto" w:fill="auto"/>
            <w:vAlign w:val="center"/>
          </w:tcPr>
          <w:p w14:paraId="08A934F8" w14:textId="51EE1EE1"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(5.339.394)</w:t>
            </w:r>
          </w:p>
        </w:tc>
      </w:tr>
      <w:tr w:rsidR="00C11FCD" w:rsidRPr="00E20D21" w14:paraId="257FBC32" w14:textId="77777777" w:rsidTr="00C11FCD">
        <w:trPr>
          <w:trHeight w:val="283"/>
        </w:trPr>
        <w:tc>
          <w:tcPr>
            <w:tcW w:w="736" w:type="pct"/>
            <w:tcBorders>
              <w:top w:val="nil"/>
              <w:left w:val="nil"/>
              <w:bottom w:val="nil"/>
              <w:right w:val="nil"/>
            </w:tcBorders>
            <w:shd w:val="clear" w:color="auto" w:fill="auto"/>
            <w:vAlign w:val="center"/>
            <w:hideMark/>
          </w:tcPr>
          <w:p w14:paraId="64F30ABD" w14:textId="77777777" w:rsidR="00AF5922" w:rsidRPr="00E20D21" w:rsidRDefault="00AF5922" w:rsidP="00AF5922">
            <w:pPr>
              <w:rPr>
                <w:rFonts w:ascii="CAIXA Std Book" w:hAnsi="CAIXA Std Book" w:cs="Symbol"/>
                <w:color w:val="005CA9"/>
                <w:sz w:val="14"/>
                <w:szCs w:val="14"/>
              </w:rPr>
            </w:pPr>
            <w:r w:rsidRPr="00E20D21">
              <w:rPr>
                <w:rFonts w:ascii="CAIXA Std Book" w:hAnsi="CAIXA Std Book" w:cs="Symbol"/>
                <w:color w:val="005CA9"/>
                <w:sz w:val="14"/>
                <w:szCs w:val="14"/>
              </w:rPr>
              <w:t>VJA no final do período</w:t>
            </w:r>
          </w:p>
        </w:tc>
        <w:tc>
          <w:tcPr>
            <w:tcW w:w="397" w:type="pct"/>
            <w:tcBorders>
              <w:top w:val="nil"/>
              <w:left w:val="nil"/>
              <w:bottom w:val="nil"/>
              <w:right w:val="nil"/>
            </w:tcBorders>
            <w:shd w:val="clear" w:color="auto" w:fill="auto"/>
            <w:vAlign w:val="center"/>
          </w:tcPr>
          <w:p w14:paraId="5AEFDF5B" w14:textId="45392146" w:rsidR="00AF5922" w:rsidRPr="00E20D21" w:rsidRDefault="00CB4253"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48.543.601</w:t>
            </w:r>
          </w:p>
        </w:tc>
        <w:tc>
          <w:tcPr>
            <w:tcW w:w="382" w:type="pct"/>
            <w:tcBorders>
              <w:top w:val="nil"/>
              <w:left w:val="nil"/>
              <w:bottom w:val="nil"/>
              <w:right w:val="nil"/>
            </w:tcBorders>
            <w:shd w:val="clear" w:color="auto" w:fill="auto"/>
            <w:vAlign w:val="center"/>
          </w:tcPr>
          <w:p w14:paraId="3F589913"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51.273.376</w:t>
            </w:r>
          </w:p>
        </w:tc>
        <w:tc>
          <w:tcPr>
            <w:tcW w:w="382" w:type="pct"/>
            <w:tcBorders>
              <w:top w:val="nil"/>
              <w:left w:val="nil"/>
              <w:bottom w:val="nil"/>
              <w:right w:val="nil"/>
            </w:tcBorders>
            <w:shd w:val="clear" w:color="auto" w:fill="auto"/>
            <w:vAlign w:val="center"/>
          </w:tcPr>
          <w:p w14:paraId="44F540C6" w14:textId="142B30D0"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48.961.491</w:t>
            </w:r>
          </w:p>
        </w:tc>
        <w:tc>
          <w:tcPr>
            <w:tcW w:w="347" w:type="pct"/>
            <w:tcBorders>
              <w:top w:val="nil"/>
              <w:left w:val="nil"/>
              <w:bottom w:val="nil"/>
              <w:right w:val="nil"/>
            </w:tcBorders>
            <w:shd w:val="clear" w:color="auto" w:fill="auto"/>
            <w:vAlign w:val="center"/>
          </w:tcPr>
          <w:p w14:paraId="0FC2C1BA" w14:textId="7B52695B" w:rsidR="00AF5922" w:rsidRPr="00E20D21" w:rsidRDefault="00B3646C"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6.296.687</w:t>
            </w:r>
          </w:p>
        </w:tc>
        <w:tc>
          <w:tcPr>
            <w:tcW w:w="347" w:type="pct"/>
            <w:tcBorders>
              <w:top w:val="nil"/>
              <w:left w:val="nil"/>
              <w:bottom w:val="nil"/>
              <w:right w:val="nil"/>
            </w:tcBorders>
            <w:shd w:val="clear" w:color="auto" w:fill="auto"/>
            <w:vAlign w:val="center"/>
          </w:tcPr>
          <w:p w14:paraId="3D8EAF39"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6.775.916</w:t>
            </w:r>
          </w:p>
        </w:tc>
        <w:tc>
          <w:tcPr>
            <w:tcW w:w="347" w:type="pct"/>
            <w:tcBorders>
              <w:top w:val="nil"/>
              <w:left w:val="nil"/>
              <w:bottom w:val="nil"/>
              <w:right w:val="nil"/>
            </w:tcBorders>
            <w:shd w:val="clear" w:color="auto" w:fill="auto"/>
            <w:vAlign w:val="center"/>
          </w:tcPr>
          <w:p w14:paraId="25E4EF75" w14:textId="4642C73E"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6.291.482</w:t>
            </w:r>
          </w:p>
        </w:tc>
        <w:tc>
          <w:tcPr>
            <w:tcW w:w="338" w:type="pct"/>
            <w:tcBorders>
              <w:top w:val="nil"/>
              <w:left w:val="nil"/>
              <w:bottom w:val="nil"/>
              <w:right w:val="nil"/>
            </w:tcBorders>
            <w:shd w:val="clear" w:color="auto" w:fill="auto"/>
            <w:vAlign w:val="center"/>
          </w:tcPr>
          <w:p w14:paraId="5AC3157F" w14:textId="13254623" w:rsidR="00AF5922" w:rsidRPr="00E20D21" w:rsidRDefault="00B3646C"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775.410</w:t>
            </w:r>
          </w:p>
        </w:tc>
        <w:tc>
          <w:tcPr>
            <w:tcW w:w="341" w:type="pct"/>
            <w:tcBorders>
              <w:top w:val="nil"/>
              <w:left w:val="nil"/>
              <w:bottom w:val="nil"/>
              <w:right w:val="nil"/>
            </w:tcBorders>
            <w:shd w:val="clear" w:color="auto" w:fill="auto"/>
            <w:vAlign w:val="center"/>
          </w:tcPr>
          <w:p w14:paraId="091C999C"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781.639</w:t>
            </w:r>
          </w:p>
        </w:tc>
        <w:tc>
          <w:tcPr>
            <w:tcW w:w="342" w:type="pct"/>
            <w:gridSpan w:val="2"/>
            <w:tcBorders>
              <w:top w:val="nil"/>
              <w:left w:val="nil"/>
              <w:bottom w:val="nil"/>
              <w:right w:val="nil"/>
            </w:tcBorders>
            <w:shd w:val="clear" w:color="auto" w:fill="auto"/>
            <w:vAlign w:val="center"/>
          </w:tcPr>
          <w:p w14:paraId="293D9B70" w14:textId="0BE16898"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732.260</w:t>
            </w:r>
          </w:p>
        </w:tc>
        <w:tc>
          <w:tcPr>
            <w:tcW w:w="347" w:type="pct"/>
            <w:gridSpan w:val="2"/>
            <w:tcBorders>
              <w:top w:val="nil"/>
              <w:left w:val="nil"/>
              <w:bottom w:val="nil"/>
              <w:right w:val="nil"/>
            </w:tcBorders>
            <w:shd w:val="clear" w:color="auto" w:fill="auto"/>
            <w:vAlign w:val="center"/>
          </w:tcPr>
          <w:p w14:paraId="3B80E025" w14:textId="6E73FD96" w:rsidR="00AF5922" w:rsidRPr="00E20D21" w:rsidRDefault="00B3646C"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2.648.120</w:t>
            </w:r>
          </w:p>
        </w:tc>
        <w:tc>
          <w:tcPr>
            <w:tcW w:w="347" w:type="pct"/>
            <w:gridSpan w:val="2"/>
            <w:tcBorders>
              <w:top w:val="nil"/>
              <w:left w:val="nil"/>
              <w:bottom w:val="nil"/>
              <w:right w:val="nil"/>
            </w:tcBorders>
            <w:shd w:val="clear" w:color="auto" w:fill="auto"/>
            <w:vAlign w:val="center"/>
          </w:tcPr>
          <w:p w14:paraId="5A23B7B8"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3.473.930</w:t>
            </w:r>
          </w:p>
        </w:tc>
        <w:tc>
          <w:tcPr>
            <w:tcW w:w="347" w:type="pct"/>
            <w:gridSpan w:val="2"/>
            <w:tcBorders>
              <w:top w:val="nil"/>
              <w:left w:val="nil"/>
              <w:bottom w:val="nil"/>
              <w:right w:val="nil"/>
            </w:tcBorders>
            <w:shd w:val="clear" w:color="auto" w:fill="auto"/>
            <w:vAlign w:val="center"/>
          </w:tcPr>
          <w:p w14:paraId="274BE43D" w14:textId="37237628"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4.597.803</w:t>
            </w:r>
          </w:p>
        </w:tc>
      </w:tr>
      <w:tr w:rsidR="00C11FCD" w:rsidRPr="00E20D21" w14:paraId="6E1EDC48" w14:textId="77777777" w:rsidTr="00C11FCD">
        <w:trPr>
          <w:trHeight w:val="283"/>
        </w:trPr>
        <w:tc>
          <w:tcPr>
            <w:tcW w:w="736" w:type="pct"/>
            <w:tcBorders>
              <w:top w:val="nil"/>
              <w:left w:val="nil"/>
              <w:bottom w:val="nil"/>
              <w:right w:val="nil"/>
            </w:tcBorders>
            <w:shd w:val="clear" w:color="auto" w:fill="auto"/>
            <w:vAlign w:val="center"/>
            <w:hideMark/>
          </w:tcPr>
          <w:p w14:paraId="3063A14F" w14:textId="77777777" w:rsidR="00AF5922" w:rsidRPr="00E20D21" w:rsidRDefault="00AF5922" w:rsidP="00AF5922">
            <w:pPr>
              <w:rPr>
                <w:rFonts w:ascii="CAIXA Std Book" w:hAnsi="CAIXA Std Book" w:cs="Symbol"/>
                <w:b/>
                <w:color w:val="005CA9"/>
                <w:sz w:val="14"/>
                <w:szCs w:val="14"/>
              </w:rPr>
            </w:pPr>
            <w:r w:rsidRPr="00E20D21">
              <w:rPr>
                <w:rFonts w:ascii="CAIXA Std Book" w:hAnsi="CAIXA Std Book" w:cs="Symbol"/>
                <w:b/>
                <w:color w:val="005CA9"/>
                <w:sz w:val="14"/>
                <w:szCs w:val="14"/>
              </w:rPr>
              <w:t>Superávit/ (déficit) do plano</w:t>
            </w:r>
          </w:p>
        </w:tc>
        <w:tc>
          <w:tcPr>
            <w:tcW w:w="397" w:type="pct"/>
            <w:tcBorders>
              <w:top w:val="nil"/>
              <w:left w:val="nil"/>
              <w:bottom w:val="nil"/>
              <w:right w:val="nil"/>
            </w:tcBorders>
            <w:shd w:val="clear" w:color="auto" w:fill="auto"/>
            <w:vAlign w:val="center"/>
          </w:tcPr>
          <w:p w14:paraId="793010B0" w14:textId="3BBE5864" w:rsidR="00AF5922" w:rsidRPr="00E20D21" w:rsidRDefault="00CB4253"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(16.419.822)</w:t>
            </w:r>
          </w:p>
        </w:tc>
        <w:tc>
          <w:tcPr>
            <w:tcW w:w="382" w:type="pct"/>
            <w:tcBorders>
              <w:top w:val="nil"/>
              <w:left w:val="nil"/>
              <w:bottom w:val="nil"/>
              <w:right w:val="nil"/>
            </w:tcBorders>
            <w:shd w:val="clear" w:color="auto" w:fill="auto"/>
            <w:vAlign w:val="center"/>
          </w:tcPr>
          <w:p w14:paraId="43FD2A98" w14:textId="77777777"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(20.038.681)</w:t>
            </w:r>
          </w:p>
        </w:tc>
        <w:tc>
          <w:tcPr>
            <w:tcW w:w="382" w:type="pct"/>
            <w:tcBorders>
              <w:top w:val="nil"/>
              <w:left w:val="nil"/>
              <w:bottom w:val="nil"/>
              <w:right w:val="nil"/>
            </w:tcBorders>
            <w:shd w:val="clear" w:color="auto" w:fill="auto"/>
            <w:vAlign w:val="center"/>
          </w:tcPr>
          <w:p w14:paraId="6257F065" w14:textId="57FC5FAC"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(23.890.290)</w:t>
            </w:r>
          </w:p>
        </w:tc>
        <w:tc>
          <w:tcPr>
            <w:tcW w:w="347" w:type="pct"/>
            <w:tcBorders>
              <w:top w:val="nil"/>
              <w:left w:val="nil"/>
              <w:bottom w:val="nil"/>
              <w:right w:val="nil"/>
            </w:tcBorders>
            <w:shd w:val="clear" w:color="auto" w:fill="auto"/>
            <w:vAlign w:val="center"/>
          </w:tcPr>
          <w:p w14:paraId="62AE3119" w14:textId="23A0C2F1" w:rsidR="00AF5922" w:rsidRPr="00E20D21" w:rsidRDefault="00B3646C"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(600.708)</w:t>
            </w:r>
          </w:p>
        </w:tc>
        <w:tc>
          <w:tcPr>
            <w:tcW w:w="347" w:type="pct"/>
            <w:tcBorders>
              <w:top w:val="nil"/>
              <w:left w:val="nil"/>
              <w:bottom w:val="nil"/>
              <w:right w:val="nil"/>
            </w:tcBorders>
            <w:shd w:val="clear" w:color="auto" w:fill="auto"/>
            <w:vAlign w:val="center"/>
          </w:tcPr>
          <w:p w14:paraId="4F9E8730" w14:textId="77777777"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(744.878)</w:t>
            </w:r>
          </w:p>
        </w:tc>
        <w:tc>
          <w:tcPr>
            <w:tcW w:w="347" w:type="pct"/>
            <w:tcBorders>
              <w:top w:val="nil"/>
              <w:left w:val="nil"/>
              <w:bottom w:val="nil"/>
              <w:right w:val="nil"/>
            </w:tcBorders>
            <w:shd w:val="clear" w:color="auto" w:fill="auto"/>
            <w:vAlign w:val="center"/>
          </w:tcPr>
          <w:p w14:paraId="0FB526FD" w14:textId="0AE26CE5"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(1.349.848)</w:t>
            </w:r>
          </w:p>
        </w:tc>
        <w:tc>
          <w:tcPr>
            <w:tcW w:w="338" w:type="pct"/>
            <w:tcBorders>
              <w:top w:val="nil"/>
              <w:left w:val="nil"/>
              <w:bottom w:val="nil"/>
              <w:right w:val="nil"/>
            </w:tcBorders>
            <w:shd w:val="clear" w:color="auto" w:fill="auto"/>
            <w:vAlign w:val="center"/>
          </w:tcPr>
          <w:p w14:paraId="33A576A0" w14:textId="63D2AE50" w:rsidR="00AF5922" w:rsidRPr="00E20D21" w:rsidRDefault="00B3646C"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33.074</w:t>
            </w:r>
          </w:p>
        </w:tc>
        <w:tc>
          <w:tcPr>
            <w:tcW w:w="341" w:type="pct"/>
            <w:tcBorders>
              <w:top w:val="nil"/>
              <w:left w:val="nil"/>
              <w:bottom w:val="nil"/>
              <w:right w:val="nil"/>
            </w:tcBorders>
            <w:shd w:val="clear" w:color="auto" w:fill="auto"/>
            <w:vAlign w:val="center"/>
          </w:tcPr>
          <w:p w14:paraId="6DC4B33C" w14:textId="77777777"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(73.155)</w:t>
            </w:r>
          </w:p>
        </w:tc>
        <w:tc>
          <w:tcPr>
            <w:tcW w:w="342" w:type="pct"/>
            <w:gridSpan w:val="2"/>
            <w:tcBorders>
              <w:top w:val="nil"/>
              <w:left w:val="nil"/>
              <w:bottom w:val="nil"/>
              <w:right w:val="nil"/>
            </w:tcBorders>
            <w:shd w:val="clear" w:color="auto" w:fill="auto"/>
            <w:vAlign w:val="center"/>
          </w:tcPr>
          <w:p w14:paraId="2E1D0035" w14:textId="6176526E"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(122.235)</w:t>
            </w:r>
          </w:p>
        </w:tc>
        <w:tc>
          <w:tcPr>
            <w:tcW w:w="347" w:type="pct"/>
            <w:gridSpan w:val="2"/>
            <w:tcBorders>
              <w:top w:val="nil"/>
              <w:left w:val="nil"/>
              <w:bottom w:val="nil"/>
              <w:right w:val="nil"/>
            </w:tcBorders>
            <w:shd w:val="clear" w:color="auto" w:fill="auto"/>
            <w:vAlign w:val="center"/>
          </w:tcPr>
          <w:p w14:paraId="299DAB06" w14:textId="72D44E30" w:rsidR="00AF5922" w:rsidRPr="00E20D21" w:rsidRDefault="00B3646C"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(1.815.033)</w:t>
            </w:r>
          </w:p>
        </w:tc>
        <w:tc>
          <w:tcPr>
            <w:tcW w:w="347" w:type="pct"/>
            <w:gridSpan w:val="2"/>
            <w:tcBorders>
              <w:top w:val="nil"/>
              <w:left w:val="nil"/>
              <w:bottom w:val="nil"/>
              <w:right w:val="nil"/>
            </w:tcBorders>
            <w:shd w:val="clear" w:color="auto" w:fill="auto"/>
            <w:vAlign w:val="center"/>
          </w:tcPr>
          <w:p w14:paraId="20B6E0BF" w14:textId="77777777"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(1.701.990)</w:t>
            </w:r>
          </w:p>
        </w:tc>
        <w:tc>
          <w:tcPr>
            <w:tcW w:w="347" w:type="pct"/>
            <w:gridSpan w:val="2"/>
            <w:tcBorders>
              <w:top w:val="nil"/>
              <w:left w:val="nil"/>
              <w:bottom w:val="nil"/>
              <w:right w:val="nil"/>
            </w:tcBorders>
            <w:shd w:val="clear" w:color="auto" w:fill="auto"/>
            <w:vAlign w:val="center"/>
          </w:tcPr>
          <w:p w14:paraId="22D8B184" w14:textId="66789CE5"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(741.591)</w:t>
            </w:r>
          </w:p>
        </w:tc>
      </w:tr>
      <w:tr w:rsidR="00C11FCD" w:rsidRPr="00E20D21" w14:paraId="430DBDAA" w14:textId="77777777" w:rsidTr="00EB6CB8">
        <w:trPr>
          <w:trHeight w:val="283"/>
        </w:trPr>
        <w:tc>
          <w:tcPr>
            <w:tcW w:w="736" w:type="pct"/>
            <w:tcBorders>
              <w:top w:val="nil"/>
              <w:left w:val="nil"/>
              <w:bottom w:val="nil"/>
              <w:right w:val="nil"/>
            </w:tcBorders>
            <w:shd w:val="clear" w:color="auto" w:fill="auto"/>
            <w:vAlign w:val="center"/>
          </w:tcPr>
          <w:p w14:paraId="1C3EC51C" w14:textId="75E61AD5" w:rsidR="00CB4253" w:rsidRPr="00E20D21" w:rsidRDefault="00CB4253" w:rsidP="00CB4253">
            <w:pPr>
              <w:rPr>
                <w:rFonts w:ascii="CAIXA Std Book" w:hAnsi="CAIXA Std Book" w:cs="Symbol"/>
                <w:bCs/>
                <w:color w:val="005CA9"/>
                <w:sz w:val="14"/>
                <w:szCs w:val="14"/>
              </w:rPr>
            </w:pPr>
            <w:r w:rsidRPr="00E20D21">
              <w:rPr>
                <w:rFonts w:ascii="CAIXA Std Book" w:hAnsi="CAIXA Std Book" w:cs="Symbol"/>
                <w:bCs/>
                <w:color w:val="005CA9"/>
                <w:sz w:val="14"/>
                <w:szCs w:val="14"/>
              </w:rPr>
              <w:t>Efeito do limite de ativo</w:t>
            </w:r>
          </w:p>
        </w:tc>
        <w:tc>
          <w:tcPr>
            <w:tcW w:w="397" w:type="pct"/>
            <w:tcBorders>
              <w:top w:val="nil"/>
              <w:left w:val="nil"/>
              <w:bottom w:val="nil"/>
              <w:right w:val="nil"/>
            </w:tcBorders>
            <w:shd w:val="clear" w:color="auto" w:fill="auto"/>
            <w:vAlign w:val="center"/>
          </w:tcPr>
          <w:p w14:paraId="2F1C7EF7" w14:textId="2C17680A" w:rsidR="00CB4253" w:rsidRPr="00E20D21" w:rsidRDefault="00CB4253" w:rsidP="00CB4253">
            <w:pPr>
              <w:jc w:val="center"/>
              <w:rPr>
                <w:rFonts w:ascii="CAIXA Std Book" w:hAnsi="CAIXA Std Book" w:cs="Symbol"/>
                <w:bCs/>
                <w:color w:val="005CA9"/>
                <w:sz w:val="14"/>
                <w:szCs w:val="14"/>
              </w:rPr>
            </w:pPr>
            <w:r w:rsidRPr="00E20D21">
              <w:rPr>
                <w:rFonts w:ascii="CAIXA Std Book" w:hAnsi="CAIXA Std Book" w:cs="Calibri"/>
                <w:color w:val="005CA9"/>
                <w:sz w:val="14"/>
                <w:szCs w:val="14"/>
              </w:rPr>
              <w:t>-</w:t>
            </w:r>
          </w:p>
        </w:tc>
        <w:tc>
          <w:tcPr>
            <w:tcW w:w="382" w:type="pct"/>
            <w:tcBorders>
              <w:top w:val="nil"/>
              <w:left w:val="nil"/>
              <w:bottom w:val="nil"/>
              <w:right w:val="nil"/>
            </w:tcBorders>
            <w:shd w:val="clear" w:color="auto" w:fill="auto"/>
            <w:vAlign w:val="center"/>
          </w:tcPr>
          <w:p w14:paraId="733FA19E" w14:textId="693B67D6" w:rsidR="00CB4253" w:rsidRPr="00E20D21" w:rsidRDefault="00CB4253" w:rsidP="00CB4253">
            <w:pPr>
              <w:jc w:val="center"/>
              <w:rPr>
                <w:rFonts w:ascii="CAIXA Std Book" w:hAnsi="CAIXA Std Book" w:cs="Calibri"/>
                <w:bCs/>
                <w:color w:val="005CA9"/>
                <w:sz w:val="14"/>
                <w:szCs w:val="14"/>
              </w:rPr>
            </w:pPr>
            <w:r w:rsidRPr="00E20D21">
              <w:rPr>
                <w:rFonts w:ascii="CAIXA Std Book" w:hAnsi="CAIXA Std Book" w:cs="Calibri"/>
                <w:bCs/>
                <w:color w:val="005CA9"/>
                <w:sz w:val="14"/>
                <w:szCs w:val="14"/>
              </w:rPr>
              <w:t>-</w:t>
            </w:r>
          </w:p>
        </w:tc>
        <w:tc>
          <w:tcPr>
            <w:tcW w:w="382" w:type="pct"/>
            <w:tcBorders>
              <w:top w:val="nil"/>
              <w:left w:val="nil"/>
              <w:bottom w:val="nil"/>
              <w:right w:val="nil"/>
            </w:tcBorders>
            <w:shd w:val="clear" w:color="auto" w:fill="auto"/>
            <w:vAlign w:val="center"/>
          </w:tcPr>
          <w:p w14:paraId="6B282D12" w14:textId="270B723B" w:rsidR="00CB4253" w:rsidRPr="00E20D21" w:rsidRDefault="00CB4253" w:rsidP="00CB4253">
            <w:pPr>
              <w:jc w:val="center"/>
              <w:rPr>
                <w:rFonts w:ascii="CAIXA Std Book" w:hAnsi="CAIXA Std Book" w:cs="Calibri"/>
                <w:bCs/>
                <w:color w:val="005CA9"/>
                <w:sz w:val="14"/>
                <w:szCs w:val="14"/>
              </w:rPr>
            </w:pPr>
            <w:r w:rsidRPr="00E20D21">
              <w:rPr>
                <w:rFonts w:ascii="CAIXA Std Book" w:hAnsi="CAIXA Std Book" w:cs="Calibri"/>
                <w:bCs/>
                <w:color w:val="005CA9"/>
                <w:sz w:val="14"/>
                <w:szCs w:val="14"/>
              </w:rPr>
              <w:t>-</w:t>
            </w:r>
          </w:p>
        </w:tc>
        <w:tc>
          <w:tcPr>
            <w:tcW w:w="347" w:type="pct"/>
            <w:tcBorders>
              <w:top w:val="nil"/>
              <w:left w:val="nil"/>
              <w:bottom w:val="nil"/>
              <w:right w:val="nil"/>
            </w:tcBorders>
            <w:shd w:val="clear" w:color="auto" w:fill="auto"/>
            <w:vAlign w:val="center"/>
          </w:tcPr>
          <w:p w14:paraId="7F560359" w14:textId="2660E23E" w:rsidR="00CB4253" w:rsidRPr="00E20D21" w:rsidRDefault="00CB4253" w:rsidP="00CB4253">
            <w:pPr>
              <w:jc w:val="center"/>
              <w:rPr>
                <w:rFonts w:ascii="CAIXA Std Book" w:hAnsi="CAIXA Std Book" w:cs="Symbol"/>
                <w:bCs/>
                <w:color w:val="005CA9"/>
                <w:sz w:val="14"/>
                <w:szCs w:val="14"/>
              </w:rPr>
            </w:pPr>
            <w:r w:rsidRPr="00E20D21">
              <w:rPr>
                <w:rFonts w:ascii="CAIXA Std Book" w:hAnsi="CAIXA Std Book" w:cs="Calibri"/>
                <w:color w:val="005CA9"/>
                <w:sz w:val="14"/>
                <w:szCs w:val="14"/>
              </w:rPr>
              <w:t>-</w:t>
            </w:r>
          </w:p>
        </w:tc>
        <w:tc>
          <w:tcPr>
            <w:tcW w:w="347" w:type="pct"/>
            <w:tcBorders>
              <w:top w:val="nil"/>
              <w:left w:val="nil"/>
              <w:bottom w:val="nil"/>
              <w:right w:val="nil"/>
            </w:tcBorders>
            <w:shd w:val="clear" w:color="auto" w:fill="auto"/>
            <w:vAlign w:val="center"/>
          </w:tcPr>
          <w:p w14:paraId="21CB5842" w14:textId="52512A84" w:rsidR="00CB4253" w:rsidRPr="00E20D21" w:rsidRDefault="00CB4253" w:rsidP="00CB4253">
            <w:pPr>
              <w:jc w:val="center"/>
              <w:rPr>
                <w:rFonts w:ascii="CAIXA Std Book" w:hAnsi="CAIXA Std Book" w:cs="Calibri"/>
                <w:bCs/>
                <w:color w:val="005CA9"/>
                <w:sz w:val="14"/>
                <w:szCs w:val="14"/>
              </w:rPr>
            </w:pPr>
            <w:r w:rsidRPr="00E20D21">
              <w:rPr>
                <w:rFonts w:ascii="CAIXA Std Book" w:hAnsi="CAIXA Std Book" w:cs="Calibri"/>
                <w:bCs/>
                <w:color w:val="005CA9"/>
                <w:sz w:val="14"/>
                <w:szCs w:val="14"/>
              </w:rPr>
              <w:t>-</w:t>
            </w:r>
          </w:p>
        </w:tc>
        <w:tc>
          <w:tcPr>
            <w:tcW w:w="347" w:type="pct"/>
            <w:tcBorders>
              <w:top w:val="nil"/>
              <w:left w:val="nil"/>
              <w:bottom w:val="nil"/>
              <w:right w:val="nil"/>
            </w:tcBorders>
            <w:shd w:val="clear" w:color="auto" w:fill="auto"/>
            <w:vAlign w:val="center"/>
          </w:tcPr>
          <w:p w14:paraId="1105973F" w14:textId="0ED8EF7C" w:rsidR="00CB4253" w:rsidRPr="00E20D21" w:rsidRDefault="00CB4253" w:rsidP="00CB4253">
            <w:pPr>
              <w:jc w:val="center"/>
              <w:rPr>
                <w:rFonts w:ascii="CAIXA Std Book" w:hAnsi="CAIXA Std Book" w:cs="Calibri"/>
                <w:bCs/>
                <w:color w:val="005CA9"/>
                <w:sz w:val="14"/>
                <w:szCs w:val="14"/>
              </w:rPr>
            </w:pPr>
            <w:r w:rsidRPr="00E20D21">
              <w:rPr>
                <w:rFonts w:ascii="CAIXA Std Book" w:hAnsi="CAIXA Std Book" w:cs="Calibri"/>
                <w:bCs/>
                <w:color w:val="005CA9"/>
                <w:sz w:val="14"/>
                <w:szCs w:val="14"/>
              </w:rPr>
              <w:t>-</w:t>
            </w:r>
          </w:p>
        </w:tc>
        <w:tc>
          <w:tcPr>
            <w:tcW w:w="338" w:type="pct"/>
            <w:tcBorders>
              <w:top w:val="nil"/>
              <w:left w:val="nil"/>
              <w:bottom w:val="nil"/>
              <w:right w:val="nil"/>
            </w:tcBorders>
            <w:shd w:val="clear" w:color="auto" w:fill="auto"/>
            <w:vAlign w:val="center"/>
          </w:tcPr>
          <w:p w14:paraId="1E88195D" w14:textId="24761D63" w:rsidR="00CB4253" w:rsidRPr="00E20D21" w:rsidRDefault="00B3646C" w:rsidP="00CB4253">
            <w:pPr>
              <w:jc w:val="right"/>
              <w:rPr>
                <w:rFonts w:ascii="CAIXA Std Book" w:hAnsi="CAIXA Std Book" w:cs="Symbol"/>
                <w:bCs/>
                <w:color w:val="005CA9"/>
                <w:sz w:val="14"/>
                <w:szCs w:val="14"/>
              </w:rPr>
            </w:pPr>
            <w:r w:rsidRPr="00E20D21">
              <w:rPr>
                <w:rFonts w:ascii="CAIXA Std Book" w:hAnsi="CAIXA Std Book" w:cs="Calibri"/>
                <w:color w:val="005CA9"/>
                <w:sz w:val="14"/>
                <w:szCs w:val="14"/>
              </w:rPr>
              <w:t>(33.074)</w:t>
            </w:r>
          </w:p>
        </w:tc>
        <w:tc>
          <w:tcPr>
            <w:tcW w:w="346" w:type="pct"/>
            <w:gridSpan w:val="2"/>
            <w:tcBorders>
              <w:top w:val="nil"/>
              <w:left w:val="nil"/>
              <w:bottom w:val="nil"/>
              <w:right w:val="nil"/>
            </w:tcBorders>
            <w:shd w:val="clear" w:color="auto" w:fill="auto"/>
            <w:vAlign w:val="center"/>
          </w:tcPr>
          <w:p w14:paraId="6641D794" w14:textId="3368203F" w:rsidR="00CB4253" w:rsidRPr="00E20D21" w:rsidRDefault="00CB4253" w:rsidP="00CB4253">
            <w:pPr>
              <w:jc w:val="center"/>
              <w:rPr>
                <w:rFonts w:ascii="CAIXA Std Book" w:hAnsi="CAIXA Std Book" w:cs="Calibri"/>
                <w:bCs/>
                <w:color w:val="005CA9"/>
                <w:sz w:val="14"/>
                <w:szCs w:val="14"/>
              </w:rPr>
            </w:pPr>
            <w:r w:rsidRPr="00E20D21">
              <w:rPr>
                <w:rFonts w:ascii="CAIXA Std Book" w:hAnsi="CAIXA Std Book" w:cs="Calibri"/>
                <w:bCs/>
                <w:color w:val="005CA9"/>
                <w:sz w:val="14"/>
                <w:szCs w:val="14"/>
              </w:rPr>
              <w:t>-</w:t>
            </w:r>
          </w:p>
        </w:tc>
        <w:tc>
          <w:tcPr>
            <w:tcW w:w="343" w:type="pct"/>
            <w:gridSpan w:val="2"/>
            <w:tcBorders>
              <w:top w:val="nil"/>
              <w:left w:val="nil"/>
              <w:bottom w:val="nil"/>
              <w:right w:val="nil"/>
            </w:tcBorders>
            <w:shd w:val="clear" w:color="auto" w:fill="auto"/>
            <w:vAlign w:val="center"/>
          </w:tcPr>
          <w:p w14:paraId="06F83DF5" w14:textId="3CA9CD34" w:rsidR="00CB4253" w:rsidRPr="00E20D21" w:rsidRDefault="00CB4253" w:rsidP="00CB4253">
            <w:pPr>
              <w:jc w:val="center"/>
              <w:rPr>
                <w:rFonts w:ascii="CAIXA Std Book" w:hAnsi="CAIXA Std Book" w:cs="Calibri"/>
                <w:bCs/>
                <w:color w:val="005CA9"/>
                <w:sz w:val="14"/>
                <w:szCs w:val="14"/>
              </w:rPr>
            </w:pPr>
            <w:r w:rsidRPr="00E20D21">
              <w:rPr>
                <w:rFonts w:ascii="CAIXA Std Book" w:hAnsi="CAIXA Std Book" w:cs="Calibri"/>
                <w:bCs/>
                <w:color w:val="005CA9"/>
                <w:sz w:val="14"/>
                <w:szCs w:val="14"/>
              </w:rPr>
              <w:t>-</w:t>
            </w:r>
          </w:p>
        </w:tc>
        <w:tc>
          <w:tcPr>
            <w:tcW w:w="347" w:type="pct"/>
            <w:gridSpan w:val="2"/>
            <w:tcBorders>
              <w:top w:val="nil"/>
              <w:left w:val="nil"/>
              <w:bottom w:val="nil"/>
              <w:right w:val="nil"/>
            </w:tcBorders>
            <w:shd w:val="clear" w:color="auto" w:fill="auto"/>
            <w:vAlign w:val="center"/>
          </w:tcPr>
          <w:p w14:paraId="7C6D96C6" w14:textId="59322632" w:rsidR="00CB4253" w:rsidRPr="00E20D21" w:rsidRDefault="00CB4253" w:rsidP="00CB4253">
            <w:pPr>
              <w:jc w:val="center"/>
              <w:rPr>
                <w:rFonts w:ascii="CAIXA Std Book" w:hAnsi="CAIXA Std Book" w:cs="Symbol"/>
                <w:bCs/>
                <w:color w:val="005CA9"/>
                <w:sz w:val="14"/>
                <w:szCs w:val="14"/>
              </w:rPr>
            </w:pPr>
            <w:r w:rsidRPr="00E20D21">
              <w:rPr>
                <w:rFonts w:ascii="CAIXA Std Book" w:hAnsi="CAIXA Std Book" w:cs="Symbol"/>
                <w:bCs/>
                <w:color w:val="005CA9"/>
                <w:sz w:val="14"/>
                <w:szCs w:val="14"/>
              </w:rPr>
              <w:t>-</w:t>
            </w:r>
          </w:p>
        </w:tc>
        <w:tc>
          <w:tcPr>
            <w:tcW w:w="348" w:type="pct"/>
            <w:gridSpan w:val="2"/>
            <w:tcBorders>
              <w:top w:val="nil"/>
              <w:left w:val="nil"/>
              <w:bottom w:val="nil"/>
              <w:right w:val="nil"/>
            </w:tcBorders>
            <w:shd w:val="clear" w:color="auto" w:fill="auto"/>
            <w:vAlign w:val="center"/>
          </w:tcPr>
          <w:p w14:paraId="133E21AB" w14:textId="73F031FD" w:rsidR="00CB4253" w:rsidRPr="00E20D21" w:rsidRDefault="00CB4253" w:rsidP="00CB4253">
            <w:pPr>
              <w:jc w:val="center"/>
              <w:rPr>
                <w:rFonts w:ascii="CAIXA Std Book" w:hAnsi="CAIXA Std Book" w:cs="Calibri"/>
                <w:bCs/>
                <w:color w:val="005CA9"/>
                <w:sz w:val="14"/>
                <w:szCs w:val="14"/>
              </w:rPr>
            </w:pPr>
            <w:r w:rsidRPr="00E20D21">
              <w:rPr>
                <w:rFonts w:ascii="CAIXA Std Book" w:hAnsi="CAIXA Std Book" w:cs="Calibri"/>
                <w:bCs/>
                <w:color w:val="005CA9"/>
                <w:sz w:val="14"/>
                <w:szCs w:val="14"/>
              </w:rPr>
              <w:t>-</w:t>
            </w:r>
          </w:p>
        </w:tc>
        <w:tc>
          <w:tcPr>
            <w:tcW w:w="340" w:type="pct"/>
            <w:tcBorders>
              <w:top w:val="nil"/>
              <w:left w:val="nil"/>
              <w:bottom w:val="nil"/>
              <w:right w:val="nil"/>
            </w:tcBorders>
            <w:shd w:val="clear" w:color="auto" w:fill="auto"/>
            <w:vAlign w:val="center"/>
          </w:tcPr>
          <w:p w14:paraId="519E5AC9" w14:textId="60BAB157" w:rsidR="00CB4253" w:rsidRPr="00E20D21" w:rsidRDefault="00CB4253" w:rsidP="00CB4253">
            <w:pPr>
              <w:jc w:val="center"/>
              <w:rPr>
                <w:rFonts w:ascii="CAIXA Std Book" w:hAnsi="CAIXA Std Book" w:cs="Calibri"/>
                <w:bCs/>
                <w:color w:val="005CA9"/>
                <w:sz w:val="14"/>
                <w:szCs w:val="14"/>
              </w:rPr>
            </w:pPr>
            <w:r w:rsidRPr="00E20D21">
              <w:rPr>
                <w:rFonts w:ascii="CAIXA Std Book" w:hAnsi="CAIXA Std Book" w:cs="Calibri"/>
                <w:bCs/>
                <w:color w:val="005CA9"/>
                <w:sz w:val="14"/>
                <w:szCs w:val="14"/>
              </w:rPr>
              <w:t>-</w:t>
            </w:r>
          </w:p>
        </w:tc>
      </w:tr>
      <w:tr w:rsidR="00C11FCD" w:rsidRPr="00E20D21" w14:paraId="519F91A7" w14:textId="77777777" w:rsidTr="00C11FCD">
        <w:trPr>
          <w:trHeight w:val="283"/>
        </w:trPr>
        <w:tc>
          <w:tcPr>
            <w:tcW w:w="736" w:type="pct"/>
            <w:tcBorders>
              <w:top w:val="nil"/>
              <w:left w:val="nil"/>
              <w:bottom w:val="nil"/>
              <w:right w:val="nil"/>
            </w:tcBorders>
            <w:shd w:val="clear" w:color="auto" w:fill="auto"/>
            <w:vAlign w:val="center"/>
            <w:hideMark/>
          </w:tcPr>
          <w:p w14:paraId="30F5B35D" w14:textId="77777777" w:rsidR="00AF5922" w:rsidRPr="00E20D21" w:rsidRDefault="00AF5922" w:rsidP="00AF5922">
            <w:pPr>
              <w:rPr>
                <w:rFonts w:ascii="CAIXA Std Book" w:hAnsi="CAIXA Std Book" w:cs="Symbol"/>
                <w:color w:val="005CA9"/>
                <w:sz w:val="14"/>
                <w:szCs w:val="14"/>
              </w:rPr>
            </w:pPr>
            <w:r w:rsidRPr="00E20D21">
              <w:rPr>
                <w:rFonts w:ascii="CAIXA Std Book" w:hAnsi="CAIXA Std Book" w:cs="Symbol"/>
                <w:color w:val="005CA9"/>
                <w:sz w:val="14"/>
                <w:szCs w:val="14"/>
              </w:rPr>
              <w:t xml:space="preserve">Efeito da restrição sobre a obrigação atuarial </w:t>
            </w:r>
            <w:r w:rsidRPr="00E20D21">
              <w:rPr>
                <w:rFonts w:ascii="CAIXA Std Book" w:hAnsi="CAIXA Std Book" w:cs="Symbol"/>
                <w:i/>
                <w:color w:val="005CA9"/>
                <w:sz w:val="14"/>
                <w:szCs w:val="14"/>
              </w:rPr>
              <w:t xml:space="preserve">(Risk </w:t>
            </w:r>
            <w:proofErr w:type="spellStart"/>
            <w:r w:rsidRPr="00E20D21">
              <w:rPr>
                <w:rFonts w:ascii="CAIXA Std Book" w:hAnsi="CAIXA Std Book" w:cs="Symbol"/>
                <w:i/>
                <w:color w:val="005CA9"/>
                <w:sz w:val="14"/>
                <w:szCs w:val="14"/>
              </w:rPr>
              <w:t>Sharing</w:t>
            </w:r>
            <w:proofErr w:type="spellEnd"/>
            <w:r w:rsidRPr="00E20D21">
              <w:rPr>
                <w:rFonts w:ascii="CAIXA Std Book" w:hAnsi="CAIXA Std Book" w:cs="Symbol"/>
                <w:color w:val="005CA9"/>
                <w:sz w:val="14"/>
                <w:szCs w:val="14"/>
              </w:rPr>
              <w:t>)</w:t>
            </w:r>
          </w:p>
        </w:tc>
        <w:tc>
          <w:tcPr>
            <w:tcW w:w="397" w:type="pct"/>
            <w:tcBorders>
              <w:top w:val="nil"/>
              <w:left w:val="nil"/>
              <w:bottom w:val="nil"/>
              <w:right w:val="nil"/>
            </w:tcBorders>
            <w:shd w:val="clear" w:color="auto" w:fill="auto"/>
            <w:vAlign w:val="center"/>
          </w:tcPr>
          <w:p w14:paraId="5CEEBE57" w14:textId="0A4D2354" w:rsidR="00AF5922" w:rsidRPr="00E20D21" w:rsidRDefault="00CB4253"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8.209.911</w:t>
            </w:r>
          </w:p>
        </w:tc>
        <w:tc>
          <w:tcPr>
            <w:tcW w:w="382" w:type="pct"/>
            <w:tcBorders>
              <w:top w:val="nil"/>
              <w:left w:val="nil"/>
              <w:bottom w:val="nil"/>
              <w:right w:val="nil"/>
            </w:tcBorders>
            <w:shd w:val="clear" w:color="auto" w:fill="auto"/>
            <w:vAlign w:val="center"/>
          </w:tcPr>
          <w:p w14:paraId="4E08FB5A"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10.019.340</w:t>
            </w:r>
          </w:p>
        </w:tc>
        <w:tc>
          <w:tcPr>
            <w:tcW w:w="382" w:type="pct"/>
            <w:tcBorders>
              <w:top w:val="nil"/>
              <w:left w:val="nil"/>
              <w:bottom w:val="nil"/>
              <w:right w:val="nil"/>
            </w:tcBorders>
            <w:shd w:val="clear" w:color="auto" w:fill="auto"/>
            <w:vAlign w:val="center"/>
          </w:tcPr>
          <w:p w14:paraId="499F8D2D" w14:textId="07EF2799"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11.945.145</w:t>
            </w:r>
          </w:p>
        </w:tc>
        <w:tc>
          <w:tcPr>
            <w:tcW w:w="347" w:type="pct"/>
            <w:tcBorders>
              <w:top w:val="nil"/>
              <w:left w:val="nil"/>
              <w:bottom w:val="nil"/>
              <w:right w:val="nil"/>
            </w:tcBorders>
            <w:shd w:val="clear" w:color="auto" w:fill="auto"/>
            <w:vAlign w:val="center"/>
          </w:tcPr>
          <w:p w14:paraId="08F7DD41" w14:textId="026F0734" w:rsidR="00AF5922" w:rsidRPr="00E20D21" w:rsidRDefault="00B3646C"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300.354</w:t>
            </w:r>
          </w:p>
        </w:tc>
        <w:tc>
          <w:tcPr>
            <w:tcW w:w="347" w:type="pct"/>
            <w:tcBorders>
              <w:top w:val="nil"/>
              <w:left w:val="nil"/>
              <w:bottom w:val="nil"/>
              <w:right w:val="nil"/>
            </w:tcBorders>
            <w:shd w:val="clear" w:color="auto" w:fill="auto"/>
            <w:vAlign w:val="center"/>
          </w:tcPr>
          <w:p w14:paraId="27EFBB4A"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372.439</w:t>
            </w:r>
          </w:p>
        </w:tc>
        <w:tc>
          <w:tcPr>
            <w:tcW w:w="347" w:type="pct"/>
            <w:tcBorders>
              <w:top w:val="nil"/>
              <w:left w:val="nil"/>
              <w:bottom w:val="nil"/>
              <w:right w:val="nil"/>
            </w:tcBorders>
            <w:shd w:val="clear" w:color="auto" w:fill="auto"/>
            <w:vAlign w:val="center"/>
          </w:tcPr>
          <w:p w14:paraId="32F0D3F6" w14:textId="2B7838BA"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674.924</w:t>
            </w:r>
          </w:p>
        </w:tc>
        <w:tc>
          <w:tcPr>
            <w:tcW w:w="338" w:type="pct"/>
            <w:tcBorders>
              <w:top w:val="nil"/>
              <w:left w:val="nil"/>
              <w:bottom w:val="nil"/>
              <w:right w:val="nil"/>
            </w:tcBorders>
            <w:shd w:val="clear" w:color="auto" w:fill="auto"/>
            <w:vAlign w:val="center"/>
          </w:tcPr>
          <w:p w14:paraId="5C00422F" w14:textId="05E73932" w:rsidR="00AF5922" w:rsidRPr="00E20D21" w:rsidRDefault="00B3646C" w:rsidP="00B3646C">
            <w:pPr>
              <w:jc w:val="center"/>
              <w:rPr>
                <w:rFonts w:ascii="CAIXA Std Book" w:hAnsi="CAIXA Std Book" w:cs="Symbol"/>
                <w:color w:val="005CA9"/>
                <w:sz w:val="14"/>
                <w:szCs w:val="14"/>
              </w:rPr>
            </w:pPr>
            <w:r w:rsidRPr="00E20D21">
              <w:rPr>
                <w:rFonts w:ascii="CAIXA Std Book" w:hAnsi="CAIXA Std Book" w:cs="Calibri"/>
                <w:color w:val="005CA9"/>
                <w:sz w:val="14"/>
                <w:szCs w:val="14"/>
              </w:rPr>
              <w:t>-</w:t>
            </w:r>
          </w:p>
        </w:tc>
        <w:tc>
          <w:tcPr>
            <w:tcW w:w="341" w:type="pct"/>
            <w:tcBorders>
              <w:top w:val="nil"/>
              <w:left w:val="nil"/>
              <w:bottom w:val="nil"/>
              <w:right w:val="nil"/>
            </w:tcBorders>
            <w:shd w:val="clear" w:color="auto" w:fill="auto"/>
            <w:vAlign w:val="center"/>
          </w:tcPr>
          <w:p w14:paraId="10F7D94C"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35.578</w:t>
            </w:r>
          </w:p>
        </w:tc>
        <w:tc>
          <w:tcPr>
            <w:tcW w:w="342" w:type="pct"/>
            <w:gridSpan w:val="2"/>
            <w:tcBorders>
              <w:top w:val="nil"/>
              <w:left w:val="nil"/>
              <w:bottom w:val="nil"/>
              <w:right w:val="nil"/>
            </w:tcBorders>
            <w:shd w:val="clear" w:color="auto" w:fill="auto"/>
            <w:vAlign w:val="center"/>
          </w:tcPr>
          <w:p w14:paraId="0F57F262" w14:textId="1345342D"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61.118</w:t>
            </w:r>
          </w:p>
        </w:tc>
        <w:tc>
          <w:tcPr>
            <w:tcW w:w="347" w:type="pct"/>
            <w:gridSpan w:val="2"/>
            <w:tcBorders>
              <w:top w:val="nil"/>
              <w:left w:val="nil"/>
              <w:bottom w:val="nil"/>
              <w:right w:val="nil"/>
            </w:tcBorders>
            <w:shd w:val="clear" w:color="auto" w:fill="auto"/>
            <w:vAlign w:val="center"/>
          </w:tcPr>
          <w:p w14:paraId="3BFA4ECD" w14:textId="530B4802" w:rsidR="00AF5922" w:rsidRPr="00E20D21" w:rsidRDefault="00B3646C" w:rsidP="00AF5922">
            <w:pPr>
              <w:jc w:val="right"/>
              <w:rPr>
                <w:rFonts w:ascii="CAIXA Std Book" w:hAnsi="CAIXA Std Book"/>
                <w:color w:val="005CA9"/>
                <w:sz w:val="14"/>
                <w:szCs w:val="14"/>
              </w:rPr>
            </w:pPr>
            <w:r w:rsidRPr="00E20D21">
              <w:rPr>
                <w:rFonts w:ascii="CAIXA Std Book" w:hAnsi="CAIXA Std Book" w:cs="Calibri"/>
                <w:color w:val="005CA9"/>
                <w:sz w:val="14"/>
                <w:szCs w:val="14"/>
              </w:rPr>
              <w:t>907.516</w:t>
            </w:r>
          </w:p>
        </w:tc>
        <w:tc>
          <w:tcPr>
            <w:tcW w:w="347" w:type="pct"/>
            <w:gridSpan w:val="2"/>
            <w:tcBorders>
              <w:top w:val="nil"/>
              <w:left w:val="nil"/>
              <w:bottom w:val="nil"/>
              <w:right w:val="nil"/>
            </w:tcBorders>
            <w:shd w:val="clear" w:color="auto" w:fill="auto"/>
            <w:vAlign w:val="center"/>
          </w:tcPr>
          <w:p w14:paraId="0CADE6F7" w14:textId="77777777"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850.995</w:t>
            </w:r>
          </w:p>
        </w:tc>
        <w:tc>
          <w:tcPr>
            <w:tcW w:w="347" w:type="pct"/>
            <w:gridSpan w:val="2"/>
            <w:tcBorders>
              <w:top w:val="nil"/>
              <w:left w:val="nil"/>
              <w:bottom w:val="nil"/>
              <w:right w:val="nil"/>
            </w:tcBorders>
            <w:shd w:val="clear" w:color="auto" w:fill="auto"/>
            <w:vAlign w:val="center"/>
          </w:tcPr>
          <w:p w14:paraId="06825911" w14:textId="3C27D828" w:rsidR="00AF5922" w:rsidRPr="00E20D21" w:rsidRDefault="00AF5922" w:rsidP="00AF5922">
            <w:pPr>
              <w:jc w:val="right"/>
              <w:rPr>
                <w:rFonts w:ascii="CAIXA Std Book" w:hAnsi="CAIXA Std Book" w:cs="Symbol"/>
                <w:color w:val="005CA9"/>
                <w:sz w:val="14"/>
                <w:szCs w:val="14"/>
              </w:rPr>
            </w:pPr>
            <w:r w:rsidRPr="00E20D21">
              <w:rPr>
                <w:rFonts w:ascii="CAIXA Std Book" w:hAnsi="CAIXA Std Book" w:cs="Calibri"/>
                <w:color w:val="005CA9"/>
                <w:sz w:val="14"/>
                <w:szCs w:val="14"/>
              </w:rPr>
              <w:t>370.795</w:t>
            </w:r>
          </w:p>
        </w:tc>
      </w:tr>
      <w:tr w:rsidR="00C11FCD" w:rsidRPr="00E20D21" w14:paraId="3A1842B7" w14:textId="77777777" w:rsidTr="00C11FCD">
        <w:trPr>
          <w:trHeight w:val="283"/>
        </w:trPr>
        <w:tc>
          <w:tcPr>
            <w:tcW w:w="736" w:type="pct"/>
            <w:tcBorders>
              <w:top w:val="single" w:sz="4" w:space="0" w:color="F68F00"/>
              <w:left w:val="nil"/>
              <w:bottom w:val="single" w:sz="4" w:space="0" w:color="F68F00"/>
              <w:right w:val="nil"/>
            </w:tcBorders>
            <w:shd w:val="clear" w:color="auto" w:fill="auto"/>
            <w:vAlign w:val="center"/>
            <w:hideMark/>
          </w:tcPr>
          <w:p w14:paraId="71A3A183" w14:textId="77777777" w:rsidR="00AF5922" w:rsidRPr="00E20D21" w:rsidRDefault="00AF5922" w:rsidP="00AF5922">
            <w:pPr>
              <w:rPr>
                <w:rFonts w:ascii="CAIXA Std Book" w:hAnsi="CAIXA Std Book" w:cs="Symbol"/>
                <w:b/>
                <w:color w:val="005CA9"/>
                <w:sz w:val="14"/>
                <w:szCs w:val="14"/>
              </w:rPr>
            </w:pPr>
            <w:r w:rsidRPr="00E20D21">
              <w:rPr>
                <w:rFonts w:ascii="CAIXA Std Book" w:hAnsi="CAIXA Std Book" w:cs="Symbol"/>
                <w:b/>
                <w:color w:val="005CA9"/>
                <w:sz w:val="14"/>
                <w:szCs w:val="14"/>
              </w:rPr>
              <w:t>Ativo/ (passivo) líquido</w:t>
            </w:r>
          </w:p>
        </w:tc>
        <w:tc>
          <w:tcPr>
            <w:tcW w:w="397" w:type="pct"/>
            <w:tcBorders>
              <w:top w:val="single" w:sz="4" w:space="0" w:color="F68F00"/>
              <w:left w:val="nil"/>
              <w:bottom w:val="single" w:sz="4" w:space="0" w:color="F68F00"/>
              <w:right w:val="nil"/>
            </w:tcBorders>
            <w:shd w:val="clear" w:color="auto" w:fill="auto"/>
            <w:vAlign w:val="center"/>
          </w:tcPr>
          <w:p w14:paraId="2D78035F" w14:textId="4C5104BD" w:rsidR="00AF5922" w:rsidRPr="00E20D21" w:rsidRDefault="00CB4253"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(8.209.911)</w:t>
            </w:r>
          </w:p>
        </w:tc>
        <w:tc>
          <w:tcPr>
            <w:tcW w:w="382" w:type="pct"/>
            <w:tcBorders>
              <w:top w:val="single" w:sz="4" w:space="0" w:color="F68F00"/>
              <w:left w:val="nil"/>
              <w:bottom w:val="single" w:sz="4" w:space="0" w:color="F68F00"/>
              <w:right w:val="nil"/>
            </w:tcBorders>
            <w:shd w:val="clear" w:color="auto" w:fill="auto"/>
            <w:vAlign w:val="center"/>
          </w:tcPr>
          <w:p w14:paraId="702612D3" w14:textId="77777777"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(10.019.341)</w:t>
            </w:r>
          </w:p>
        </w:tc>
        <w:tc>
          <w:tcPr>
            <w:tcW w:w="382" w:type="pct"/>
            <w:tcBorders>
              <w:top w:val="single" w:sz="4" w:space="0" w:color="F68F00"/>
              <w:left w:val="nil"/>
              <w:bottom w:val="single" w:sz="4" w:space="0" w:color="F68F00"/>
              <w:right w:val="nil"/>
            </w:tcBorders>
            <w:shd w:val="clear" w:color="auto" w:fill="auto"/>
            <w:vAlign w:val="center"/>
          </w:tcPr>
          <w:p w14:paraId="7FAD1525" w14:textId="7CCED173"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(11.945.145)</w:t>
            </w:r>
          </w:p>
        </w:tc>
        <w:tc>
          <w:tcPr>
            <w:tcW w:w="347" w:type="pct"/>
            <w:tcBorders>
              <w:top w:val="single" w:sz="4" w:space="0" w:color="F68F00"/>
              <w:left w:val="nil"/>
              <w:bottom w:val="single" w:sz="4" w:space="0" w:color="F68F00"/>
              <w:right w:val="nil"/>
            </w:tcBorders>
            <w:shd w:val="clear" w:color="auto" w:fill="auto"/>
            <w:vAlign w:val="center"/>
          </w:tcPr>
          <w:p w14:paraId="2E112D3F" w14:textId="787400AC" w:rsidR="00AF5922" w:rsidRPr="00E20D21" w:rsidRDefault="00B3646C"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(300.354)</w:t>
            </w:r>
          </w:p>
        </w:tc>
        <w:tc>
          <w:tcPr>
            <w:tcW w:w="347" w:type="pct"/>
            <w:tcBorders>
              <w:top w:val="single" w:sz="4" w:space="0" w:color="F68F00"/>
              <w:left w:val="nil"/>
              <w:bottom w:val="single" w:sz="4" w:space="0" w:color="F68F00"/>
              <w:right w:val="nil"/>
            </w:tcBorders>
            <w:shd w:val="clear" w:color="auto" w:fill="auto"/>
            <w:vAlign w:val="center"/>
          </w:tcPr>
          <w:p w14:paraId="640186A7" w14:textId="77777777"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(372.439)</w:t>
            </w:r>
          </w:p>
        </w:tc>
        <w:tc>
          <w:tcPr>
            <w:tcW w:w="347" w:type="pct"/>
            <w:tcBorders>
              <w:top w:val="single" w:sz="4" w:space="0" w:color="F68F00"/>
              <w:left w:val="nil"/>
              <w:bottom w:val="single" w:sz="4" w:space="0" w:color="F68F00"/>
              <w:right w:val="nil"/>
            </w:tcBorders>
            <w:shd w:val="clear" w:color="auto" w:fill="auto"/>
            <w:vAlign w:val="center"/>
          </w:tcPr>
          <w:p w14:paraId="29979A6C" w14:textId="3E24FF80"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(674.924)</w:t>
            </w:r>
          </w:p>
        </w:tc>
        <w:tc>
          <w:tcPr>
            <w:tcW w:w="338" w:type="pct"/>
            <w:tcBorders>
              <w:top w:val="single" w:sz="4" w:space="0" w:color="F68F00"/>
              <w:left w:val="nil"/>
              <w:bottom w:val="single" w:sz="4" w:space="0" w:color="F68F00"/>
              <w:right w:val="nil"/>
            </w:tcBorders>
            <w:shd w:val="clear" w:color="auto" w:fill="auto"/>
            <w:vAlign w:val="center"/>
          </w:tcPr>
          <w:p w14:paraId="380BEE56" w14:textId="4E7EDD77" w:rsidR="00AF5922" w:rsidRPr="00E20D21" w:rsidRDefault="00B3646C" w:rsidP="00B3646C">
            <w:pPr>
              <w:jc w:val="center"/>
              <w:rPr>
                <w:rFonts w:ascii="CAIXA Std Book" w:hAnsi="CAIXA Std Book" w:cs="Symbol"/>
                <w:b/>
                <w:color w:val="005CA9"/>
                <w:sz w:val="14"/>
                <w:szCs w:val="14"/>
              </w:rPr>
            </w:pPr>
            <w:r w:rsidRPr="00E20D21">
              <w:rPr>
                <w:rFonts w:ascii="CAIXA Std Book" w:hAnsi="CAIXA Std Book" w:cs="Calibri"/>
                <w:b/>
                <w:bCs/>
                <w:color w:val="005CA9"/>
                <w:sz w:val="14"/>
                <w:szCs w:val="14"/>
              </w:rPr>
              <w:t>-</w:t>
            </w:r>
          </w:p>
        </w:tc>
        <w:tc>
          <w:tcPr>
            <w:tcW w:w="341" w:type="pct"/>
            <w:tcBorders>
              <w:top w:val="single" w:sz="4" w:space="0" w:color="F68F00"/>
              <w:left w:val="nil"/>
              <w:bottom w:val="single" w:sz="4" w:space="0" w:color="F68F00"/>
              <w:right w:val="nil"/>
            </w:tcBorders>
            <w:shd w:val="clear" w:color="auto" w:fill="auto"/>
            <w:vAlign w:val="center"/>
          </w:tcPr>
          <w:p w14:paraId="3CC32F8F" w14:textId="77777777"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(37.577)</w:t>
            </w:r>
          </w:p>
        </w:tc>
        <w:tc>
          <w:tcPr>
            <w:tcW w:w="342" w:type="pct"/>
            <w:gridSpan w:val="2"/>
            <w:tcBorders>
              <w:top w:val="single" w:sz="4" w:space="0" w:color="F68F00"/>
              <w:left w:val="nil"/>
              <w:bottom w:val="single" w:sz="4" w:space="0" w:color="F68F00"/>
              <w:right w:val="nil"/>
            </w:tcBorders>
            <w:shd w:val="clear" w:color="auto" w:fill="auto"/>
            <w:vAlign w:val="center"/>
          </w:tcPr>
          <w:p w14:paraId="27046462" w14:textId="60EF4DF4"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(61.117)</w:t>
            </w:r>
          </w:p>
        </w:tc>
        <w:tc>
          <w:tcPr>
            <w:tcW w:w="347" w:type="pct"/>
            <w:gridSpan w:val="2"/>
            <w:tcBorders>
              <w:top w:val="single" w:sz="4" w:space="0" w:color="F68F00"/>
              <w:left w:val="nil"/>
              <w:bottom w:val="single" w:sz="4" w:space="0" w:color="F68F00"/>
              <w:right w:val="nil"/>
            </w:tcBorders>
            <w:shd w:val="clear" w:color="auto" w:fill="auto"/>
            <w:vAlign w:val="center"/>
          </w:tcPr>
          <w:p w14:paraId="6E8BB880" w14:textId="72D646D8" w:rsidR="00AF5922" w:rsidRPr="00E20D21" w:rsidRDefault="00B3646C"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(907.517)</w:t>
            </w:r>
          </w:p>
        </w:tc>
        <w:tc>
          <w:tcPr>
            <w:tcW w:w="347" w:type="pct"/>
            <w:gridSpan w:val="2"/>
            <w:tcBorders>
              <w:top w:val="single" w:sz="4" w:space="0" w:color="F68F00"/>
              <w:left w:val="nil"/>
              <w:bottom w:val="single" w:sz="4" w:space="0" w:color="F68F00"/>
              <w:right w:val="nil"/>
            </w:tcBorders>
            <w:shd w:val="clear" w:color="auto" w:fill="auto"/>
            <w:vAlign w:val="center"/>
          </w:tcPr>
          <w:p w14:paraId="0131E97C" w14:textId="77777777"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(850.995)</w:t>
            </w:r>
          </w:p>
        </w:tc>
        <w:tc>
          <w:tcPr>
            <w:tcW w:w="347" w:type="pct"/>
            <w:gridSpan w:val="2"/>
            <w:tcBorders>
              <w:top w:val="single" w:sz="4" w:space="0" w:color="F68F00"/>
              <w:left w:val="nil"/>
              <w:bottom w:val="single" w:sz="4" w:space="0" w:color="F68F00"/>
              <w:right w:val="nil"/>
            </w:tcBorders>
            <w:shd w:val="clear" w:color="auto" w:fill="auto"/>
            <w:vAlign w:val="center"/>
          </w:tcPr>
          <w:p w14:paraId="72D6EB92" w14:textId="5F9C3DA3" w:rsidR="00AF5922" w:rsidRPr="00E20D21" w:rsidRDefault="00AF5922" w:rsidP="00AF5922">
            <w:pPr>
              <w:jc w:val="right"/>
              <w:rPr>
                <w:rFonts w:ascii="CAIXA Std Book" w:hAnsi="CAIXA Std Book" w:cs="Symbol"/>
                <w:b/>
                <w:color w:val="005CA9"/>
                <w:sz w:val="14"/>
                <w:szCs w:val="14"/>
              </w:rPr>
            </w:pPr>
            <w:r w:rsidRPr="00E20D21">
              <w:rPr>
                <w:rFonts w:ascii="CAIXA Std Book" w:hAnsi="CAIXA Std Book" w:cs="Calibri"/>
                <w:b/>
                <w:bCs/>
                <w:color w:val="005CA9"/>
                <w:sz w:val="14"/>
                <w:szCs w:val="14"/>
              </w:rPr>
              <w:t>(370.796)</w:t>
            </w:r>
          </w:p>
        </w:tc>
      </w:tr>
    </w:tbl>
    <w:p w14:paraId="1D5DB5B8" w14:textId="77777777" w:rsidR="003834D8" w:rsidRPr="00E20D21" w:rsidRDefault="003834D8" w:rsidP="003834D8">
      <w:pPr>
        <w:autoSpaceDE w:val="0"/>
        <w:autoSpaceDN w:val="0"/>
        <w:adjustRightInd w:val="0"/>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(i.8)</w:t>
      </w:r>
      <w:r w:rsidRPr="00E20D21">
        <w:rPr>
          <w:rFonts w:ascii="CAIXA Std Book" w:hAnsi="CAIXA Std Book"/>
          <w:b/>
          <w:color w:val="005CA9"/>
          <w:sz w:val="20"/>
          <w:szCs w:val="20"/>
        </w:rPr>
        <w:tab/>
        <w:t>Perfil de vencimento da obrigação de benefício definido</w:t>
      </w:r>
    </w:p>
    <w:tbl>
      <w:tblPr>
        <w:tblW w:w="5000" w:type="pct"/>
        <w:tblCellMar>
          <w:left w:w="70" w:type="dxa"/>
          <w:right w:w="70" w:type="dxa"/>
        </w:tblCellMar>
        <w:tblLook w:val="04A0" w:firstRow="1" w:lastRow="0" w:firstColumn="1" w:lastColumn="0" w:noHBand="0" w:noVBand="1"/>
      </w:tblPr>
      <w:tblGrid>
        <w:gridCol w:w="6236"/>
        <w:gridCol w:w="1189"/>
        <w:gridCol w:w="1192"/>
        <w:gridCol w:w="1189"/>
        <w:gridCol w:w="1192"/>
        <w:gridCol w:w="1189"/>
        <w:gridCol w:w="1192"/>
        <w:gridCol w:w="1192"/>
      </w:tblGrid>
      <w:tr w:rsidR="00A47C19" w:rsidRPr="00E20D21" w14:paraId="3FCAB2FD" w14:textId="77777777" w:rsidTr="00C11FCD">
        <w:trPr>
          <w:trHeight w:val="283"/>
        </w:trPr>
        <w:tc>
          <w:tcPr>
            <w:tcW w:w="5000" w:type="pct"/>
            <w:gridSpan w:val="8"/>
            <w:tcBorders>
              <w:top w:val="single" w:sz="4" w:space="0" w:color="F68F00"/>
              <w:left w:val="nil"/>
              <w:bottom w:val="single" w:sz="4" w:space="0" w:color="F68F00"/>
              <w:right w:val="nil"/>
            </w:tcBorders>
            <w:shd w:val="clear" w:color="auto" w:fill="auto"/>
            <w:vAlign w:val="center"/>
          </w:tcPr>
          <w:p w14:paraId="2F112524" w14:textId="641EE12E"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INDIVIDUAL</w:t>
            </w:r>
            <w:r w:rsidR="00E20D2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w:t>
            </w:r>
            <w:r w:rsidR="00E20D2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CONSOLIDADO</w:t>
            </w:r>
          </w:p>
        </w:tc>
      </w:tr>
      <w:tr w:rsidR="00A47C19" w:rsidRPr="00E20D21" w14:paraId="3D1961C9" w14:textId="77777777" w:rsidTr="00C11FCD">
        <w:trPr>
          <w:trHeight w:val="283"/>
        </w:trPr>
        <w:tc>
          <w:tcPr>
            <w:tcW w:w="2140" w:type="pct"/>
            <w:tcBorders>
              <w:top w:val="single" w:sz="4" w:space="0" w:color="F68F00"/>
              <w:left w:val="nil"/>
              <w:bottom w:val="single" w:sz="4" w:space="0" w:color="F68F00"/>
              <w:right w:val="nil"/>
            </w:tcBorders>
            <w:shd w:val="clear" w:color="auto" w:fill="auto"/>
            <w:vAlign w:val="center"/>
            <w:hideMark/>
          </w:tcPr>
          <w:p w14:paraId="5E4176BD"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Descrição</w:t>
            </w:r>
          </w:p>
        </w:tc>
        <w:tc>
          <w:tcPr>
            <w:tcW w:w="408" w:type="pct"/>
            <w:tcBorders>
              <w:top w:val="single" w:sz="4" w:space="0" w:color="F68F00"/>
              <w:left w:val="nil"/>
              <w:bottom w:val="single" w:sz="4" w:space="0" w:color="F68F00"/>
              <w:right w:val="nil"/>
            </w:tcBorders>
            <w:shd w:val="clear" w:color="auto" w:fill="auto"/>
            <w:vAlign w:val="center"/>
            <w:hideMark/>
          </w:tcPr>
          <w:p w14:paraId="107520E8"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Saúde CAIXA</w:t>
            </w:r>
          </w:p>
        </w:tc>
        <w:tc>
          <w:tcPr>
            <w:tcW w:w="409" w:type="pct"/>
            <w:tcBorders>
              <w:top w:val="single" w:sz="4" w:space="0" w:color="F68F00"/>
              <w:left w:val="nil"/>
              <w:bottom w:val="single" w:sz="4" w:space="0" w:color="F68F00"/>
              <w:right w:val="nil"/>
            </w:tcBorders>
            <w:shd w:val="clear" w:color="auto" w:fill="auto"/>
            <w:vAlign w:val="center"/>
            <w:hideMark/>
          </w:tcPr>
          <w:p w14:paraId="787C1B80"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Auxílio/ Cesta- alimentação</w:t>
            </w:r>
          </w:p>
        </w:tc>
        <w:tc>
          <w:tcPr>
            <w:tcW w:w="408" w:type="pct"/>
            <w:tcBorders>
              <w:top w:val="single" w:sz="4" w:space="0" w:color="F68F00"/>
              <w:left w:val="nil"/>
              <w:bottom w:val="single" w:sz="4" w:space="0" w:color="F68F00"/>
              <w:right w:val="nil"/>
            </w:tcBorders>
            <w:shd w:val="clear" w:color="auto" w:fill="auto"/>
            <w:vAlign w:val="center"/>
            <w:hideMark/>
          </w:tcPr>
          <w:p w14:paraId="4C37F8AF"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Assistidos EX-PREVHAB</w:t>
            </w:r>
          </w:p>
        </w:tc>
        <w:tc>
          <w:tcPr>
            <w:tcW w:w="409" w:type="pct"/>
            <w:tcBorders>
              <w:top w:val="single" w:sz="4" w:space="0" w:color="F68F00"/>
              <w:left w:val="nil"/>
              <w:bottom w:val="single" w:sz="4" w:space="0" w:color="F68F00"/>
              <w:right w:val="nil"/>
            </w:tcBorders>
            <w:shd w:val="clear" w:color="auto" w:fill="auto"/>
            <w:vAlign w:val="center"/>
            <w:hideMark/>
          </w:tcPr>
          <w:p w14:paraId="1A4C1CBB"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REG/REPLAN Saldado</w:t>
            </w:r>
          </w:p>
        </w:tc>
        <w:tc>
          <w:tcPr>
            <w:tcW w:w="408" w:type="pct"/>
            <w:tcBorders>
              <w:top w:val="single" w:sz="4" w:space="0" w:color="F68F00"/>
              <w:left w:val="nil"/>
              <w:bottom w:val="single" w:sz="4" w:space="0" w:color="F68F00"/>
              <w:right w:val="nil"/>
            </w:tcBorders>
            <w:shd w:val="clear" w:color="auto" w:fill="auto"/>
            <w:vAlign w:val="center"/>
            <w:hideMark/>
          </w:tcPr>
          <w:p w14:paraId="74F6EC86"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REG/REPLAN Não saldado</w:t>
            </w:r>
          </w:p>
        </w:tc>
        <w:tc>
          <w:tcPr>
            <w:tcW w:w="409" w:type="pct"/>
            <w:tcBorders>
              <w:top w:val="single" w:sz="4" w:space="0" w:color="F68F00"/>
              <w:left w:val="nil"/>
              <w:bottom w:val="single" w:sz="4" w:space="0" w:color="F68F00"/>
              <w:right w:val="nil"/>
            </w:tcBorders>
            <w:shd w:val="clear" w:color="auto" w:fill="auto"/>
            <w:vAlign w:val="center"/>
            <w:hideMark/>
          </w:tcPr>
          <w:p w14:paraId="3FDCD288"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REB</w:t>
            </w:r>
          </w:p>
        </w:tc>
        <w:tc>
          <w:tcPr>
            <w:tcW w:w="409" w:type="pct"/>
            <w:tcBorders>
              <w:top w:val="single" w:sz="4" w:space="0" w:color="F68F00"/>
              <w:left w:val="nil"/>
              <w:bottom w:val="single" w:sz="4" w:space="0" w:color="F68F00"/>
              <w:right w:val="nil"/>
            </w:tcBorders>
            <w:shd w:val="clear" w:color="auto" w:fill="auto"/>
            <w:vAlign w:val="center"/>
            <w:hideMark/>
          </w:tcPr>
          <w:p w14:paraId="15857D02"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Novo Plano</w:t>
            </w:r>
          </w:p>
        </w:tc>
      </w:tr>
      <w:tr w:rsidR="00A47C19" w:rsidRPr="00E20D21" w14:paraId="049FC2E9" w14:textId="77777777" w:rsidTr="00C11FCD">
        <w:trPr>
          <w:trHeight w:val="283"/>
        </w:trPr>
        <w:tc>
          <w:tcPr>
            <w:tcW w:w="2140" w:type="pct"/>
            <w:tcBorders>
              <w:top w:val="nil"/>
              <w:left w:val="nil"/>
              <w:bottom w:val="nil"/>
              <w:right w:val="nil"/>
            </w:tcBorders>
            <w:shd w:val="clear" w:color="auto" w:fill="auto"/>
            <w:vAlign w:val="center"/>
            <w:hideMark/>
          </w:tcPr>
          <w:p w14:paraId="11C92E5E" w14:textId="6BD45DE2" w:rsidR="003834D8" w:rsidRPr="00E20D21" w:rsidRDefault="003834D8" w:rsidP="00A01778">
            <w:pPr>
              <w:rPr>
                <w:rFonts w:ascii="CAIXA Std Book" w:hAnsi="CAIXA Std Book" w:cs="Symbol"/>
                <w:color w:val="005CA9"/>
                <w:sz w:val="16"/>
                <w:szCs w:val="16"/>
              </w:rPr>
            </w:pPr>
            <w:r w:rsidRPr="00E20D21">
              <w:rPr>
                <w:rFonts w:ascii="CAIXA Std Book" w:hAnsi="CAIXA Std Book" w:cs="Symbol"/>
                <w:color w:val="005CA9"/>
                <w:sz w:val="16"/>
                <w:szCs w:val="16"/>
              </w:rPr>
              <w:t xml:space="preserve">Pagamento de benefícios esperados no encerramento do anual fiscal </w:t>
            </w:r>
            <w:r w:rsidR="00B27B6A" w:rsidRPr="00E20D21">
              <w:rPr>
                <w:rFonts w:ascii="CAIXA Std Book" w:hAnsi="CAIXA Std Book" w:cs="Symbol"/>
                <w:color w:val="005CA9"/>
                <w:sz w:val="16"/>
                <w:szCs w:val="16"/>
              </w:rPr>
              <w:t>30/06/2025</w:t>
            </w:r>
          </w:p>
        </w:tc>
        <w:tc>
          <w:tcPr>
            <w:tcW w:w="408" w:type="pct"/>
            <w:tcBorders>
              <w:top w:val="nil"/>
              <w:left w:val="nil"/>
              <w:bottom w:val="nil"/>
              <w:right w:val="nil"/>
            </w:tcBorders>
            <w:shd w:val="clear" w:color="auto" w:fill="auto"/>
            <w:vAlign w:val="center"/>
          </w:tcPr>
          <w:p w14:paraId="6E049786" w14:textId="409AC7DE" w:rsidR="003834D8" w:rsidRPr="00E20D21" w:rsidRDefault="00B27B6A" w:rsidP="00A01778">
            <w:pPr>
              <w:ind w:firstLineChars="100" w:firstLine="160"/>
              <w:jc w:val="right"/>
              <w:rPr>
                <w:rFonts w:ascii="CAIXA Std Book" w:hAnsi="CAIXA Std Book" w:cs="Symbol"/>
                <w:color w:val="005CA9"/>
                <w:sz w:val="16"/>
                <w:szCs w:val="16"/>
              </w:rPr>
            </w:pPr>
            <w:r w:rsidRPr="00E20D21">
              <w:rPr>
                <w:rFonts w:ascii="CAIXA Std Book" w:hAnsi="CAIXA Std Book" w:cs="Calibri"/>
                <w:color w:val="005CA9"/>
                <w:sz w:val="16"/>
                <w:szCs w:val="16"/>
              </w:rPr>
              <w:t>1.012.009</w:t>
            </w:r>
          </w:p>
        </w:tc>
        <w:tc>
          <w:tcPr>
            <w:tcW w:w="409" w:type="pct"/>
            <w:tcBorders>
              <w:top w:val="nil"/>
              <w:left w:val="nil"/>
              <w:bottom w:val="nil"/>
              <w:right w:val="nil"/>
            </w:tcBorders>
            <w:shd w:val="clear" w:color="auto" w:fill="auto"/>
            <w:vAlign w:val="center"/>
          </w:tcPr>
          <w:p w14:paraId="4135E58B" w14:textId="4CF638DD"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197.972</w:t>
            </w:r>
          </w:p>
        </w:tc>
        <w:tc>
          <w:tcPr>
            <w:tcW w:w="408" w:type="pct"/>
            <w:tcBorders>
              <w:top w:val="nil"/>
              <w:left w:val="nil"/>
              <w:bottom w:val="nil"/>
              <w:right w:val="nil"/>
            </w:tcBorders>
            <w:shd w:val="clear" w:color="auto" w:fill="auto"/>
            <w:vAlign w:val="center"/>
          </w:tcPr>
          <w:p w14:paraId="4BB3D4B2" w14:textId="4A7B0A95"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7.309</w:t>
            </w:r>
          </w:p>
        </w:tc>
        <w:tc>
          <w:tcPr>
            <w:tcW w:w="409" w:type="pct"/>
            <w:tcBorders>
              <w:top w:val="nil"/>
              <w:left w:val="nil"/>
              <w:bottom w:val="nil"/>
              <w:right w:val="nil"/>
            </w:tcBorders>
            <w:shd w:val="clear" w:color="auto" w:fill="auto"/>
            <w:vAlign w:val="center"/>
          </w:tcPr>
          <w:p w14:paraId="4CF38A47" w14:textId="751A607B"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5.497.209</w:t>
            </w:r>
          </w:p>
        </w:tc>
        <w:tc>
          <w:tcPr>
            <w:tcW w:w="408" w:type="pct"/>
            <w:tcBorders>
              <w:top w:val="nil"/>
              <w:left w:val="nil"/>
              <w:bottom w:val="nil"/>
              <w:right w:val="nil"/>
            </w:tcBorders>
            <w:shd w:val="clear" w:color="auto" w:fill="auto"/>
            <w:vAlign w:val="center"/>
          </w:tcPr>
          <w:p w14:paraId="360CA8ED" w14:textId="28D3FF9D"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566.164</w:t>
            </w:r>
          </w:p>
        </w:tc>
        <w:tc>
          <w:tcPr>
            <w:tcW w:w="409" w:type="pct"/>
            <w:tcBorders>
              <w:top w:val="nil"/>
              <w:left w:val="nil"/>
              <w:bottom w:val="nil"/>
              <w:right w:val="nil"/>
            </w:tcBorders>
            <w:shd w:val="clear" w:color="auto" w:fill="auto"/>
            <w:vAlign w:val="center"/>
          </w:tcPr>
          <w:p w14:paraId="1EB94B7D" w14:textId="2C3C8983"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53.875</w:t>
            </w:r>
          </w:p>
        </w:tc>
        <w:tc>
          <w:tcPr>
            <w:tcW w:w="409" w:type="pct"/>
            <w:tcBorders>
              <w:top w:val="nil"/>
              <w:left w:val="nil"/>
              <w:bottom w:val="nil"/>
              <w:right w:val="nil"/>
            </w:tcBorders>
            <w:shd w:val="clear" w:color="auto" w:fill="auto"/>
            <w:vAlign w:val="center"/>
          </w:tcPr>
          <w:p w14:paraId="4591C783" w14:textId="6877548F"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247.438</w:t>
            </w:r>
          </w:p>
        </w:tc>
      </w:tr>
      <w:tr w:rsidR="00A47C19" w:rsidRPr="00E20D21" w14:paraId="4FFFC1C6" w14:textId="77777777" w:rsidTr="00C11FCD">
        <w:trPr>
          <w:trHeight w:val="283"/>
        </w:trPr>
        <w:tc>
          <w:tcPr>
            <w:tcW w:w="2140" w:type="pct"/>
            <w:tcBorders>
              <w:top w:val="nil"/>
              <w:left w:val="nil"/>
              <w:bottom w:val="nil"/>
              <w:right w:val="nil"/>
            </w:tcBorders>
            <w:shd w:val="clear" w:color="auto" w:fill="auto"/>
            <w:vAlign w:val="center"/>
            <w:hideMark/>
          </w:tcPr>
          <w:p w14:paraId="000521B7" w14:textId="37197AE8" w:rsidR="003834D8" w:rsidRPr="00E20D21" w:rsidRDefault="003834D8" w:rsidP="00A01778">
            <w:pPr>
              <w:rPr>
                <w:rFonts w:ascii="CAIXA Std Book" w:hAnsi="CAIXA Std Book" w:cs="Symbol"/>
                <w:color w:val="005CA9"/>
                <w:sz w:val="16"/>
                <w:szCs w:val="16"/>
              </w:rPr>
            </w:pPr>
            <w:r w:rsidRPr="00E20D21">
              <w:rPr>
                <w:rFonts w:ascii="CAIXA Std Book" w:hAnsi="CAIXA Std Book" w:cs="Symbol"/>
                <w:color w:val="005CA9"/>
                <w:sz w:val="16"/>
                <w:szCs w:val="16"/>
              </w:rPr>
              <w:t xml:space="preserve">Pagamento de benefícios esperados no encerramento do anual fiscal </w:t>
            </w:r>
            <w:r w:rsidR="00B27B6A" w:rsidRPr="00E20D21">
              <w:rPr>
                <w:rFonts w:ascii="CAIXA Std Book" w:hAnsi="CAIXA Std Book" w:cs="Symbol"/>
                <w:color w:val="005CA9"/>
                <w:sz w:val="16"/>
                <w:szCs w:val="16"/>
              </w:rPr>
              <w:t>30/06/2026</w:t>
            </w:r>
          </w:p>
        </w:tc>
        <w:tc>
          <w:tcPr>
            <w:tcW w:w="408" w:type="pct"/>
            <w:tcBorders>
              <w:top w:val="nil"/>
              <w:left w:val="nil"/>
              <w:bottom w:val="nil"/>
              <w:right w:val="nil"/>
            </w:tcBorders>
            <w:shd w:val="clear" w:color="auto" w:fill="auto"/>
            <w:vAlign w:val="center"/>
          </w:tcPr>
          <w:p w14:paraId="5FEB1E61" w14:textId="59B820B7" w:rsidR="003834D8" w:rsidRPr="00E20D21" w:rsidRDefault="00B27B6A" w:rsidP="00A01778">
            <w:pPr>
              <w:ind w:firstLineChars="100" w:firstLine="160"/>
              <w:jc w:val="right"/>
              <w:rPr>
                <w:rFonts w:ascii="CAIXA Std Book" w:hAnsi="CAIXA Std Book" w:cs="Symbol"/>
                <w:color w:val="005CA9"/>
                <w:sz w:val="16"/>
                <w:szCs w:val="16"/>
              </w:rPr>
            </w:pPr>
            <w:r w:rsidRPr="00E20D21">
              <w:rPr>
                <w:rFonts w:ascii="CAIXA Std Book" w:hAnsi="CAIXA Std Book" w:cs="Calibri"/>
                <w:color w:val="005CA9"/>
                <w:sz w:val="16"/>
                <w:szCs w:val="16"/>
              </w:rPr>
              <w:t>930.225</w:t>
            </w:r>
          </w:p>
        </w:tc>
        <w:tc>
          <w:tcPr>
            <w:tcW w:w="409" w:type="pct"/>
            <w:tcBorders>
              <w:top w:val="nil"/>
              <w:left w:val="nil"/>
              <w:bottom w:val="nil"/>
              <w:right w:val="nil"/>
            </w:tcBorders>
            <w:shd w:val="clear" w:color="auto" w:fill="auto"/>
            <w:vAlign w:val="center"/>
          </w:tcPr>
          <w:p w14:paraId="59F95238" w14:textId="35D3B801"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180.317</w:t>
            </w:r>
          </w:p>
        </w:tc>
        <w:tc>
          <w:tcPr>
            <w:tcW w:w="408" w:type="pct"/>
            <w:tcBorders>
              <w:top w:val="nil"/>
              <w:left w:val="nil"/>
              <w:bottom w:val="nil"/>
              <w:right w:val="nil"/>
            </w:tcBorders>
            <w:shd w:val="clear" w:color="auto" w:fill="auto"/>
            <w:vAlign w:val="center"/>
          </w:tcPr>
          <w:p w14:paraId="4CD41405" w14:textId="33ED1694"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6.672</w:t>
            </w:r>
          </w:p>
        </w:tc>
        <w:tc>
          <w:tcPr>
            <w:tcW w:w="409" w:type="pct"/>
            <w:tcBorders>
              <w:top w:val="nil"/>
              <w:left w:val="nil"/>
              <w:bottom w:val="nil"/>
              <w:right w:val="nil"/>
            </w:tcBorders>
            <w:shd w:val="clear" w:color="auto" w:fill="auto"/>
            <w:vAlign w:val="center"/>
          </w:tcPr>
          <w:p w14:paraId="7F10F04F" w14:textId="5DEDAF49"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5.117.458</w:t>
            </w:r>
          </w:p>
        </w:tc>
        <w:tc>
          <w:tcPr>
            <w:tcW w:w="408" w:type="pct"/>
            <w:tcBorders>
              <w:top w:val="nil"/>
              <w:left w:val="nil"/>
              <w:bottom w:val="nil"/>
              <w:right w:val="nil"/>
            </w:tcBorders>
            <w:shd w:val="clear" w:color="auto" w:fill="auto"/>
            <w:vAlign w:val="center"/>
          </w:tcPr>
          <w:p w14:paraId="47E00780" w14:textId="4A0190C0"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527.662</w:t>
            </w:r>
          </w:p>
        </w:tc>
        <w:tc>
          <w:tcPr>
            <w:tcW w:w="409" w:type="pct"/>
            <w:tcBorders>
              <w:top w:val="nil"/>
              <w:left w:val="nil"/>
              <w:bottom w:val="nil"/>
              <w:right w:val="nil"/>
            </w:tcBorders>
            <w:shd w:val="clear" w:color="auto" w:fill="auto"/>
            <w:vAlign w:val="center"/>
          </w:tcPr>
          <w:p w14:paraId="788C9CA1" w14:textId="5B5D65E6"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50.913</w:t>
            </w:r>
          </w:p>
        </w:tc>
        <w:tc>
          <w:tcPr>
            <w:tcW w:w="409" w:type="pct"/>
            <w:tcBorders>
              <w:top w:val="nil"/>
              <w:left w:val="nil"/>
              <w:bottom w:val="nil"/>
              <w:right w:val="nil"/>
            </w:tcBorders>
            <w:shd w:val="clear" w:color="auto" w:fill="auto"/>
            <w:vAlign w:val="center"/>
          </w:tcPr>
          <w:p w14:paraId="4561B23E" w14:textId="0BF2B178"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241.409</w:t>
            </w:r>
          </w:p>
        </w:tc>
      </w:tr>
      <w:tr w:rsidR="00A47C19" w:rsidRPr="00E20D21" w14:paraId="710E2037" w14:textId="77777777" w:rsidTr="00C11FCD">
        <w:trPr>
          <w:trHeight w:val="283"/>
        </w:trPr>
        <w:tc>
          <w:tcPr>
            <w:tcW w:w="2140" w:type="pct"/>
            <w:tcBorders>
              <w:top w:val="nil"/>
              <w:left w:val="nil"/>
              <w:bottom w:val="nil"/>
              <w:right w:val="nil"/>
            </w:tcBorders>
            <w:shd w:val="clear" w:color="auto" w:fill="auto"/>
            <w:vAlign w:val="center"/>
            <w:hideMark/>
          </w:tcPr>
          <w:p w14:paraId="21B9AD30" w14:textId="21529010" w:rsidR="003834D8" w:rsidRPr="00E20D21" w:rsidRDefault="003834D8" w:rsidP="00A01778">
            <w:pPr>
              <w:rPr>
                <w:rFonts w:ascii="CAIXA Std Book" w:hAnsi="CAIXA Std Book" w:cs="Symbol"/>
                <w:color w:val="005CA9"/>
                <w:sz w:val="16"/>
                <w:szCs w:val="16"/>
              </w:rPr>
            </w:pPr>
            <w:r w:rsidRPr="00E20D21">
              <w:rPr>
                <w:rFonts w:ascii="CAIXA Std Book" w:hAnsi="CAIXA Std Book" w:cs="Symbol"/>
                <w:color w:val="005CA9"/>
                <w:sz w:val="16"/>
                <w:szCs w:val="16"/>
              </w:rPr>
              <w:t xml:space="preserve">Pagamento de benefícios esperados no encerramento do anual fiscal </w:t>
            </w:r>
            <w:r w:rsidR="00B27B6A" w:rsidRPr="00E20D21">
              <w:rPr>
                <w:rFonts w:ascii="CAIXA Std Book" w:hAnsi="CAIXA Std Book" w:cs="Symbol"/>
                <w:color w:val="005CA9"/>
                <w:sz w:val="16"/>
                <w:szCs w:val="16"/>
              </w:rPr>
              <w:t>30/06/2027</w:t>
            </w:r>
          </w:p>
        </w:tc>
        <w:tc>
          <w:tcPr>
            <w:tcW w:w="408" w:type="pct"/>
            <w:tcBorders>
              <w:top w:val="nil"/>
              <w:left w:val="nil"/>
              <w:bottom w:val="nil"/>
              <w:right w:val="nil"/>
            </w:tcBorders>
            <w:shd w:val="clear" w:color="auto" w:fill="auto"/>
            <w:vAlign w:val="center"/>
          </w:tcPr>
          <w:p w14:paraId="6B35BF42" w14:textId="23AAAAB5" w:rsidR="003834D8" w:rsidRPr="00E20D21" w:rsidRDefault="00B27B6A" w:rsidP="00A01778">
            <w:pPr>
              <w:ind w:firstLineChars="100" w:firstLine="160"/>
              <w:jc w:val="right"/>
              <w:rPr>
                <w:rFonts w:ascii="CAIXA Std Book" w:hAnsi="CAIXA Std Book" w:cs="Symbol"/>
                <w:color w:val="005CA9"/>
                <w:sz w:val="16"/>
                <w:szCs w:val="16"/>
              </w:rPr>
            </w:pPr>
            <w:r w:rsidRPr="00E20D21">
              <w:rPr>
                <w:rFonts w:ascii="CAIXA Std Book" w:hAnsi="CAIXA Std Book" w:cs="Calibri"/>
                <w:color w:val="005CA9"/>
                <w:sz w:val="16"/>
                <w:szCs w:val="16"/>
              </w:rPr>
              <w:t>853.969</w:t>
            </w:r>
          </w:p>
        </w:tc>
        <w:tc>
          <w:tcPr>
            <w:tcW w:w="409" w:type="pct"/>
            <w:tcBorders>
              <w:top w:val="nil"/>
              <w:left w:val="nil"/>
              <w:bottom w:val="nil"/>
              <w:right w:val="nil"/>
            </w:tcBorders>
            <w:shd w:val="clear" w:color="auto" w:fill="auto"/>
            <w:vAlign w:val="center"/>
          </w:tcPr>
          <w:p w14:paraId="07F7495B" w14:textId="3D2F12C1"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163.999</w:t>
            </w:r>
          </w:p>
        </w:tc>
        <w:tc>
          <w:tcPr>
            <w:tcW w:w="408" w:type="pct"/>
            <w:tcBorders>
              <w:top w:val="nil"/>
              <w:left w:val="nil"/>
              <w:bottom w:val="nil"/>
              <w:right w:val="nil"/>
            </w:tcBorders>
            <w:shd w:val="clear" w:color="auto" w:fill="auto"/>
            <w:vAlign w:val="center"/>
          </w:tcPr>
          <w:p w14:paraId="34C5DDA2" w14:textId="64EC5489"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6.067</w:t>
            </w:r>
          </w:p>
        </w:tc>
        <w:tc>
          <w:tcPr>
            <w:tcW w:w="409" w:type="pct"/>
            <w:tcBorders>
              <w:top w:val="nil"/>
              <w:left w:val="nil"/>
              <w:bottom w:val="nil"/>
              <w:right w:val="nil"/>
            </w:tcBorders>
            <w:shd w:val="clear" w:color="auto" w:fill="auto"/>
            <w:vAlign w:val="center"/>
          </w:tcPr>
          <w:p w14:paraId="25D464D2" w14:textId="50364C95"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4.759.470</w:t>
            </w:r>
          </w:p>
        </w:tc>
        <w:tc>
          <w:tcPr>
            <w:tcW w:w="408" w:type="pct"/>
            <w:tcBorders>
              <w:top w:val="nil"/>
              <w:left w:val="nil"/>
              <w:bottom w:val="nil"/>
              <w:right w:val="nil"/>
            </w:tcBorders>
            <w:shd w:val="clear" w:color="auto" w:fill="auto"/>
            <w:vAlign w:val="center"/>
          </w:tcPr>
          <w:p w14:paraId="602CA561" w14:textId="74DDBB55"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491.532</w:t>
            </w:r>
          </w:p>
        </w:tc>
        <w:tc>
          <w:tcPr>
            <w:tcW w:w="409" w:type="pct"/>
            <w:tcBorders>
              <w:top w:val="nil"/>
              <w:left w:val="nil"/>
              <w:bottom w:val="nil"/>
              <w:right w:val="nil"/>
            </w:tcBorders>
            <w:shd w:val="clear" w:color="auto" w:fill="auto"/>
            <w:vAlign w:val="center"/>
          </w:tcPr>
          <w:p w14:paraId="2BD152F4" w14:textId="3C9C1609"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48.171</w:t>
            </w:r>
          </w:p>
        </w:tc>
        <w:tc>
          <w:tcPr>
            <w:tcW w:w="409" w:type="pct"/>
            <w:tcBorders>
              <w:top w:val="nil"/>
              <w:left w:val="nil"/>
              <w:bottom w:val="nil"/>
              <w:right w:val="nil"/>
            </w:tcBorders>
            <w:shd w:val="clear" w:color="auto" w:fill="auto"/>
            <w:vAlign w:val="center"/>
          </w:tcPr>
          <w:p w14:paraId="186836E1" w14:textId="475D536E"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234.667</w:t>
            </w:r>
          </w:p>
        </w:tc>
      </w:tr>
      <w:tr w:rsidR="00A47C19" w:rsidRPr="00E20D21" w14:paraId="10B45F69" w14:textId="77777777" w:rsidTr="00C11FCD">
        <w:trPr>
          <w:trHeight w:val="283"/>
        </w:trPr>
        <w:tc>
          <w:tcPr>
            <w:tcW w:w="2140" w:type="pct"/>
            <w:tcBorders>
              <w:top w:val="nil"/>
              <w:left w:val="nil"/>
              <w:bottom w:val="nil"/>
              <w:right w:val="nil"/>
            </w:tcBorders>
            <w:shd w:val="clear" w:color="auto" w:fill="auto"/>
            <w:vAlign w:val="center"/>
            <w:hideMark/>
          </w:tcPr>
          <w:p w14:paraId="45F6CCF3" w14:textId="3C4783BA" w:rsidR="003834D8" w:rsidRPr="00E20D21" w:rsidRDefault="003834D8" w:rsidP="00A01778">
            <w:pPr>
              <w:rPr>
                <w:rFonts w:ascii="CAIXA Std Book" w:hAnsi="CAIXA Std Book" w:cs="Symbol"/>
                <w:color w:val="005CA9"/>
                <w:sz w:val="16"/>
                <w:szCs w:val="16"/>
              </w:rPr>
            </w:pPr>
            <w:r w:rsidRPr="00E20D21">
              <w:rPr>
                <w:rFonts w:ascii="CAIXA Std Book" w:hAnsi="CAIXA Std Book" w:cs="Symbol"/>
                <w:color w:val="005CA9"/>
                <w:sz w:val="16"/>
                <w:szCs w:val="16"/>
              </w:rPr>
              <w:t xml:space="preserve">Pagamento de benefícios esperados no encerramento do anual fiscal </w:t>
            </w:r>
            <w:r w:rsidR="00B27B6A" w:rsidRPr="00E20D21">
              <w:rPr>
                <w:rFonts w:ascii="CAIXA Std Book" w:hAnsi="CAIXA Std Book" w:cs="Symbol"/>
                <w:color w:val="005CA9"/>
                <w:sz w:val="16"/>
                <w:szCs w:val="16"/>
              </w:rPr>
              <w:t>30/06/2028</w:t>
            </w:r>
          </w:p>
        </w:tc>
        <w:tc>
          <w:tcPr>
            <w:tcW w:w="408" w:type="pct"/>
            <w:tcBorders>
              <w:top w:val="nil"/>
              <w:left w:val="nil"/>
              <w:bottom w:val="nil"/>
              <w:right w:val="nil"/>
            </w:tcBorders>
            <w:shd w:val="clear" w:color="auto" w:fill="auto"/>
            <w:vAlign w:val="center"/>
          </w:tcPr>
          <w:p w14:paraId="28216091" w14:textId="2BC7CD18" w:rsidR="003834D8" w:rsidRPr="00E20D21" w:rsidRDefault="00B27B6A" w:rsidP="00A01778">
            <w:pPr>
              <w:ind w:firstLineChars="100" w:firstLine="160"/>
              <w:jc w:val="right"/>
              <w:rPr>
                <w:rFonts w:ascii="CAIXA Std Book" w:hAnsi="CAIXA Std Book" w:cs="Symbol"/>
                <w:color w:val="005CA9"/>
                <w:sz w:val="16"/>
                <w:szCs w:val="16"/>
              </w:rPr>
            </w:pPr>
            <w:r w:rsidRPr="00E20D21">
              <w:rPr>
                <w:rFonts w:ascii="CAIXA Std Book" w:hAnsi="CAIXA Std Book" w:cs="Calibri"/>
                <w:color w:val="005CA9"/>
                <w:sz w:val="16"/>
                <w:szCs w:val="16"/>
              </w:rPr>
              <w:t>802.083</w:t>
            </w:r>
          </w:p>
        </w:tc>
        <w:tc>
          <w:tcPr>
            <w:tcW w:w="409" w:type="pct"/>
            <w:tcBorders>
              <w:top w:val="nil"/>
              <w:left w:val="nil"/>
              <w:bottom w:val="nil"/>
              <w:right w:val="nil"/>
            </w:tcBorders>
            <w:shd w:val="clear" w:color="auto" w:fill="auto"/>
            <w:vAlign w:val="center"/>
          </w:tcPr>
          <w:p w14:paraId="23826FCC" w14:textId="3332C1CC"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148.921</w:t>
            </w:r>
          </w:p>
        </w:tc>
        <w:tc>
          <w:tcPr>
            <w:tcW w:w="408" w:type="pct"/>
            <w:tcBorders>
              <w:top w:val="nil"/>
              <w:left w:val="nil"/>
              <w:bottom w:val="nil"/>
              <w:right w:val="nil"/>
            </w:tcBorders>
            <w:shd w:val="clear" w:color="auto" w:fill="auto"/>
            <w:vAlign w:val="center"/>
          </w:tcPr>
          <w:p w14:paraId="5E07A5C5" w14:textId="1760563E"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5.493</w:t>
            </w:r>
          </w:p>
        </w:tc>
        <w:tc>
          <w:tcPr>
            <w:tcW w:w="409" w:type="pct"/>
            <w:tcBorders>
              <w:top w:val="nil"/>
              <w:left w:val="nil"/>
              <w:bottom w:val="nil"/>
              <w:right w:val="nil"/>
            </w:tcBorders>
            <w:shd w:val="clear" w:color="auto" w:fill="auto"/>
            <w:vAlign w:val="center"/>
          </w:tcPr>
          <w:p w14:paraId="666F6D67" w14:textId="5D54F5D7"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4.422.549</w:t>
            </w:r>
          </w:p>
        </w:tc>
        <w:tc>
          <w:tcPr>
            <w:tcW w:w="408" w:type="pct"/>
            <w:tcBorders>
              <w:top w:val="nil"/>
              <w:left w:val="nil"/>
              <w:bottom w:val="nil"/>
              <w:right w:val="nil"/>
            </w:tcBorders>
            <w:shd w:val="clear" w:color="auto" w:fill="auto"/>
            <w:vAlign w:val="center"/>
          </w:tcPr>
          <w:p w14:paraId="5BC4E567" w14:textId="761BE60D"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457.776</w:t>
            </w:r>
          </w:p>
        </w:tc>
        <w:tc>
          <w:tcPr>
            <w:tcW w:w="409" w:type="pct"/>
            <w:tcBorders>
              <w:top w:val="nil"/>
              <w:left w:val="nil"/>
              <w:bottom w:val="nil"/>
              <w:right w:val="nil"/>
            </w:tcBorders>
            <w:shd w:val="clear" w:color="auto" w:fill="auto"/>
            <w:vAlign w:val="center"/>
          </w:tcPr>
          <w:p w14:paraId="2BA18A38" w14:textId="12910044"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45.491</w:t>
            </w:r>
          </w:p>
        </w:tc>
        <w:tc>
          <w:tcPr>
            <w:tcW w:w="409" w:type="pct"/>
            <w:tcBorders>
              <w:top w:val="nil"/>
              <w:left w:val="nil"/>
              <w:bottom w:val="nil"/>
              <w:right w:val="nil"/>
            </w:tcBorders>
            <w:shd w:val="clear" w:color="auto" w:fill="auto"/>
            <w:vAlign w:val="center"/>
          </w:tcPr>
          <w:p w14:paraId="6F404C19" w14:textId="7B688F9C" w:rsidR="003834D8" w:rsidRPr="00E20D21" w:rsidRDefault="00B27B6A" w:rsidP="00A01778">
            <w:pPr>
              <w:jc w:val="right"/>
              <w:rPr>
                <w:rFonts w:ascii="CAIXA Std Book" w:hAnsi="CAIXA Std Book"/>
                <w:color w:val="005CA9"/>
                <w:sz w:val="16"/>
                <w:szCs w:val="16"/>
              </w:rPr>
            </w:pPr>
            <w:r w:rsidRPr="00E20D21">
              <w:rPr>
                <w:rFonts w:ascii="CAIXA Std Book" w:hAnsi="CAIXA Std Book" w:cs="Calibri"/>
                <w:color w:val="005CA9"/>
                <w:sz w:val="16"/>
                <w:szCs w:val="16"/>
              </w:rPr>
              <w:t>227.384</w:t>
            </w:r>
          </w:p>
        </w:tc>
      </w:tr>
      <w:tr w:rsidR="00A47C19" w:rsidRPr="00E20D21" w14:paraId="6B64593E" w14:textId="77777777" w:rsidTr="00C11FCD">
        <w:trPr>
          <w:trHeight w:val="283"/>
        </w:trPr>
        <w:tc>
          <w:tcPr>
            <w:tcW w:w="2140" w:type="pct"/>
            <w:tcBorders>
              <w:top w:val="nil"/>
              <w:left w:val="nil"/>
              <w:bottom w:val="single" w:sz="4" w:space="0" w:color="F68F00"/>
              <w:right w:val="nil"/>
            </w:tcBorders>
            <w:shd w:val="clear" w:color="auto" w:fill="auto"/>
            <w:vAlign w:val="center"/>
            <w:hideMark/>
          </w:tcPr>
          <w:p w14:paraId="72BCEA3A" w14:textId="3890CDF0" w:rsidR="003834D8" w:rsidRPr="00E20D21" w:rsidRDefault="003834D8" w:rsidP="00A01778">
            <w:pPr>
              <w:rPr>
                <w:rFonts w:ascii="CAIXA Std Book" w:hAnsi="CAIXA Std Book" w:cs="Symbol"/>
                <w:color w:val="005CA9"/>
                <w:sz w:val="16"/>
                <w:szCs w:val="16"/>
              </w:rPr>
            </w:pPr>
            <w:r w:rsidRPr="00E20D21">
              <w:rPr>
                <w:rFonts w:ascii="CAIXA Std Book" w:hAnsi="CAIXA Std Book" w:cs="Symbol"/>
                <w:color w:val="005CA9"/>
                <w:sz w:val="16"/>
                <w:szCs w:val="16"/>
              </w:rPr>
              <w:t xml:space="preserve">Pagamento de benefícios esperados no encerramento do anual fiscal </w:t>
            </w:r>
            <w:r w:rsidR="00B27B6A" w:rsidRPr="00E20D21">
              <w:rPr>
                <w:rFonts w:ascii="CAIXA Std Book" w:hAnsi="CAIXA Std Book" w:cs="Symbol"/>
                <w:color w:val="005CA9"/>
                <w:sz w:val="16"/>
                <w:szCs w:val="16"/>
              </w:rPr>
              <w:t>30/06/2029</w:t>
            </w:r>
            <w:r w:rsidRPr="00E20D21">
              <w:rPr>
                <w:rFonts w:ascii="CAIXA Std Book" w:hAnsi="CAIXA Std Book" w:cs="Symbol"/>
                <w:color w:val="005CA9"/>
                <w:sz w:val="16"/>
                <w:szCs w:val="16"/>
              </w:rPr>
              <w:t xml:space="preserve"> ou posterior</w:t>
            </w:r>
          </w:p>
        </w:tc>
        <w:tc>
          <w:tcPr>
            <w:tcW w:w="408" w:type="pct"/>
            <w:tcBorders>
              <w:top w:val="nil"/>
              <w:left w:val="nil"/>
              <w:bottom w:val="single" w:sz="4" w:space="0" w:color="F68F00"/>
              <w:right w:val="nil"/>
            </w:tcBorders>
            <w:shd w:val="clear" w:color="auto" w:fill="auto"/>
            <w:vAlign w:val="center"/>
          </w:tcPr>
          <w:p w14:paraId="54729DEB" w14:textId="23E37A79"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8.290.964</w:t>
            </w:r>
          </w:p>
        </w:tc>
        <w:tc>
          <w:tcPr>
            <w:tcW w:w="409" w:type="pct"/>
            <w:tcBorders>
              <w:top w:val="nil"/>
              <w:left w:val="nil"/>
              <w:bottom w:val="single" w:sz="4" w:space="0" w:color="F68F00"/>
              <w:right w:val="nil"/>
            </w:tcBorders>
            <w:shd w:val="clear" w:color="auto" w:fill="auto"/>
            <w:vAlign w:val="center"/>
          </w:tcPr>
          <w:p w14:paraId="4C211B1C" w14:textId="313EF519"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1.184.166</w:t>
            </w:r>
          </w:p>
        </w:tc>
        <w:tc>
          <w:tcPr>
            <w:tcW w:w="408" w:type="pct"/>
            <w:tcBorders>
              <w:top w:val="nil"/>
              <w:left w:val="nil"/>
              <w:bottom w:val="single" w:sz="4" w:space="0" w:color="F68F00"/>
              <w:right w:val="nil"/>
            </w:tcBorders>
            <w:shd w:val="clear" w:color="auto" w:fill="auto"/>
            <w:vAlign w:val="center"/>
          </w:tcPr>
          <w:p w14:paraId="2D19D9BD" w14:textId="52653A77"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38.148</w:t>
            </w:r>
          </w:p>
        </w:tc>
        <w:tc>
          <w:tcPr>
            <w:tcW w:w="409" w:type="pct"/>
            <w:tcBorders>
              <w:top w:val="nil"/>
              <w:left w:val="nil"/>
              <w:bottom w:val="single" w:sz="4" w:space="0" w:color="F68F00"/>
              <w:right w:val="nil"/>
            </w:tcBorders>
            <w:shd w:val="clear" w:color="auto" w:fill="auto"/>
            <w:vAlign w:val="center"/>
          </w:tcPr>
          <w:p w14:paraId="53C2F5F6" w14:textId="35DAA874"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45.166.737</w:t>
            </w:r>
          </w:p>
        </w:tc>
        <w:tc>
          <w:tcPr>
            <w:tcW w:w="408" w:type="pct"/>
            <w:tcBorders>
              <w:top w:val="nil"/>
              <w:left w:val="nil"/>
              <w:bottom w:val="single" w:sz="4" w:space="0" w:color="F68F00"/>
              <w:right w:val="nil"/>
            </w:tcBorders>
            <w:shd w:val="clear" w:color="auto" w:fill="auto"/>
            <w:vAlign w:val="center"/>
          </w:tcPr>
          <w:p w14:paraId="7962B116" w14:textId="00AB859A"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4.854.261</w:t>
            </w:r>
          </w:p>
        </w:tc>
        <w:tc>
          <w:tcPr>
            <w:tcW w:w="409" w:type="pct"/>
            <w:tcBorders>
              <w:top w:val="nil"/>
              <w:left w:val="nil"/>
              <w:bottom w:val="single" w:sz="4" w:space="0" w:color="F68F00"/>
              <w:right w:val="nil"/>
            </w:tcBorders>
            <w:shd w:val="clear" w:color="auto" w:fill="auto"/>
            <w:vAlign w:val="center"/>
          </w:tcPr>
          <w:p w14:paraId="5A308736" w14:textId="283547E9"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543.886</w:t>
            </w:r>
          </w:p>
        </w:tc>
        <w:tc>
          <w:tcPr>
            <w:tcW w:w="409" w:type="pct"/>
            <w:tcBorders>
              <w:top w:val="nil"/>
              <w:left w:val="nil"/>
              <w:bottom w:val="single" w:sz="4" w:space="0" w:color="F68F00"/>
              <w:right w:val="nil"/>
            </w:tcBorders>
            <w:shd w:val="clear" w:color="auto" w:fill="auto"/>
            <w:vAlign w:val="center"/>
          </w:tcPr>
          <w:p w14:paraId="12C003F4" w14:textId="715E8A66"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3.512.255</w:t>
            </w:r>
          </w:p>
        </w:tc>
      </w:tr>
      <w:tr w:rsidR="00A47C19" w:rsidRPr="00E20D21" w14:paraId="5BE4A132" w14:textId="77777777" w:rsidTr="00C11FCD">
        <w:trPr>
          <w:trHeight w:val="283"/>
        </w:trPr>
        <w:tc>
          <w:tcPr>
            <w:tcW w:w="2140" w:type="pct"/>
            <w:tcBorders>
              <w:top w:val="nil"/>
              <w:left w:val="nil"/>
              <w:bottom w:val="single" w:sz="4" w:space="0" w:color="F68F00"/>
              <w:right w:val="nil"/>
            </w:tcBorders>
            <w:shd w:val="clear" w:color="auto" w:fill="auto"/>
            <w:vAlign w:val="center"/>
            <w:hideMark/>
          </w:tcPr>
          <w:p w14:paraId="03C082CF" w14:textId="77777777" w:rsidR="003834D8" w:rsidRPr="00E20D21" w:rsidRDefault="003834D8" w:rsidP="00A01778">
            <w:pPr>
              <w:rPr>
                <w:rFonts w:ascii="CAIXA Std Book" w:hAnsi="CAIXA Std Book" w:cs="Symbol"/>
                <w:b/>
                <w:color w:val="005CA9"/>
                <w:sz w:val="16"/>
                <w:szCs w:val="16"/>
              </w:rPr>
            </w:pPr>
            <w:r w:rsidRPr="00E20D21">
              <w:rPr>
                <w:rFonts w:ascii="CAIXA Std Book" w:hAnsi="CAIXA Std Book" w:cs="Symbol"/>
                <w:b/>
                <w:color w:val="005CA9"/>
                <w:sz w:val="16"/>
                <w:szCs w:val="16"/>
              </w:rPr>
              <w:t>Total</w:t>
            </w:r>
          </w:p>
        </w:tc>
        <w:tc>
          <w:tcPr>
            <w:tcW w:w="408" w:type="pct"/>
            <w:tcBorders>
              <w:top w:val="nil"/>
              <w:left w:val="nil"/>
              <w:bottom w:val="single" w:sz="4" w:space="0" w:color="F68F00"/>
              <w:right w:val="nil"/>
            </w:tcBorders>
            <w:shd w:val="clear" w:color="auto" w:fill="auto"/>
            <w:vAlign w:val="center"/>
          </w:tcPr>
          <w:p w14:paraId="0B66E63E" w14:textId="6B6C7EDD" w:rsidR="003834D8" w:rsidRPr="00E20D21" w:rsidRDefault="00B27B6A" w:rsidP="00A01778">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11.889.250</w:t>
            </w:r>
          </w:p>
        </w:tc>
        <w:tc>
          <w:tcPr>
            <w:tcW w:w="409" w:type="pct"/>
            <w:tcBorders>
              <w:top w:val="nil"/>
              <w:left w:val="nil"/>
              <w:bottom w:val="single" w:sz="4" w:space="0" w:color="F68F00"/>
              <w:right w:val="nil"/>
            </w:tcBorders>
            <w:shd w:val="clear" w:color="auto" w:fill="auto"/>
            <w:vAlign w:val="center"/>
          </w:tcPr>
          <w:p w14:paraId="059B7DFE" w14:textId="43842405" w:rsidR="003834D8" w:rsidRPr="00E20D21" w:rsidRDefault="00B27B6A" w:rsidP="00A01778">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1.875.375</w:t>
            </w:r>
          </w:p>
        </w:tc>
        <w:tc>
          <w:tcPr>
            <w:tcW w:w="408" w:type="pct"/>
            <w:tcBorders>
              <w:top w:val="nil"/>
              <w:left w:val="nil"/>
              <w:bottom w:val="single" w:sz="4" w:space="0" w:color="F68F00"/>
              <w:right w:val="nil"/>
            </w:tcBorders>
            <w:shd w:val="clear" w:color="auto" w:fill="auto"/>
            <w:vAlign w:val="center"/>
          </w:tcPr>
          <w:p w14:paraId="393D25DB" w14:textId="628DE747" w:rsidR="003834D8" w:rsidRPr="00E20D21" w:rsidRDefault="00B27B6A" w:rsidP="00A01778">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63.689</w:t>
            </w:r>
          </w:p>
        </w:tc>
        <w:tc>
          <w:tcPr>
            <w:tcW w:w="409" w:type="pct"/>
            <w:tcBorders>
              <w:top w:val="nil"/>
              <w:left w:val="nil"/>
              <w:bottom w:val="single" w:sz="4" w:space="0" w:color="F68F00"/>
              <w:right w:val="nil"/>
            </w:tcBorders>
            <w:shd w:val="clear" w:color="auto" w:fill="auto"/>
            <w:vAlign w:val="center"/>
          </w:tcPr>
          <w:p w14:paraId="79E21F51" w14:textId="6F2DA9A1" w:rsidR="003834D8" w:rsidRPr="00E20D21" w:rsidRDefault="00B27B6A" w:rsidP="00A01778">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64.963.423</w:t>
            </w:r>
          </w:p>
        </w:tc>
        <w:tc>
          <w:tcPr>
            <w:tcW w:w="408" w:type="pct"/>
            <w:tcBorders>
              <w:top w:val="nil"/>
              <w:left w:val="nil"/>
              <w:bottom w:val="single" w:sz="4" w:space="0" w:color="F68F00"/>
              <w:right w:val="nil"/>
            </w:tcBorders>
            <w:shd w:val="clear" w:color="auto" w:fill="auto"/>
            <w:vAlign w:val="center"/>
          </w:tcPr>
          <w:p w14:paraId="72D861AE" w14:textId="11E02A9A" w:rsidR="003834D8" w:rsidRPr="00E20D21" w:rsidRDefault="00B27B6A" w:rsidP="00A01778">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6.897.395</w:t>
            </w:r>
          </w:p>
        </w:tc>
        <w:tc>
          <w:tcPr>
            <w:tcW w:w="409" w:type="pct"/>
            <w:tcBorders>
              <w:top w:val="nil"/>
              <w:left w:val="nil"/>
              <w:bottom w:val="single" w:sz="4" w:space="0" w:color="F68F00"/>
              <w:right w:val="nil"/>
            </w:tcBorders>
            <w:shd w:val="clear" w:color="auto" w:fill="auto"/>
            <w:vAlign w:val="center"/>
          </w:tcPr>
          <w:p w14:paraId="722848C5" w14:textId="274CC784" w:rsidR="003834D8" w:rsidRPr="00E20D21" w:rsidRDefault="00B27B6A" w:rsidP="00A01778">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742.336</w:t>
            </w:r>
          </w:p>
        </w:tc>
        <w:tc>
          <w:tcPr>
            <w:tcW w:w="409" w:type="pct"/>
            <w:tcBorders>
              <w:top w:val="nil"/>
              <w:left w:val="nil"/>
              <w:bottom w:val="single" w:sz="4" w:space="0" w:color="F68F00"/>
              <w:right w:val="nil"/>
            </w:tcBorders>
            <w:shd w:val="clear" w:color="auto" w:fill="auto"/>
            <w:vAlign w:val="center"/>
          </w:tcPr>
          <w:p w14:paraId="0E7C9173" w14:textId="4FA66A5C" w:rsidR="003834D8" w:rsidRPr="00E20D21" w:rsidRDefault="00B27B6A" w:rsidP="00A01778">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4.463.153</w:t>
            </w:r>
          </w:p>
        </w:tc>
      </w:tr>
      <w:tr w:rsidR="00A47C19" w:rsidRPr="00E20D21" w14:paraId="71115EAE" w14:textId="77777777" w:rsidTr="00C11FCD">
        <w:trPr>
          <w:trHeight w:val="283"/>
        </w:trPr>
        <w:tc>
          <w:tcPr>
            <w:tcW w:w="2140" w:type="pct"/>
            <w:tcBorders>
              <w:top w:val="nil"/>
              <w:left w:val="nil"/>
              <w:bottom w:val="single" w:sz="4" w:space="0" w:color="F68F00"/>
              <w:right w:val="nil"/>
            </w:tcBorders>
            <w:shd w:val="clear" w:color="auto" w:fill="auto"/>
            <w:vAlign w:val="center"/>
            <w:hideMark/>
          </w:tcPr>
          <w:p w14:paraId="6D08F2BF" w14:textId="02811E2B" w:rsidR="003834D8" w:rsidRPr="00E20D21" w:rsidRDefault="003834D8" w:rsidP="00A01778">
            <w:pPr>
              <w:ind w:firstLineChars="100" w:firstLine="160"/>
              <w:rPr>
                <w:rFonts w:ascii="CAIXA Std Book" w:hAnsi="CAIXA Std Book" w:cs="Symbol"/>
                <w:i/>
                <w:color w:val="005CA9"/>
                <w:sz w:val="16"/>
                <w:szCs w:val="16"/>
              </w:rPr>
            </w:pPr>
            <w:proofErr w:type="spellStart"/>
            <w:r w:rsidRPr="00E20D21">
              <w:rPr>
                <w:rFonts w:ascii="CAIXA Std Book" w:hAnsi="CAIXA Std Book" w:cs="Symbol"/>
                <w:i/>
                <w:color w:val="005CA9"/>
                <w:sz w:val="16"/>
                <w:szCs w:val="16"/>
              </w:rPr>
              <w:t>Duration</w:t>
            </w:r>
            <w:proofErr w:type="spellEnd"/>
            <w:r w:rsidRPr="00E20D21">
              <w:rPr>
                <w:rFonts w:ascii="CAIXA Std Book" w:hAnsi="CAIXA Std Book" w:cs="Symbol"/>
                <w:color w:val="005CA9"/>
                <w:sz w:val="16"/>
                <w:szCs w:val="16"/>
              </w:rPr>
              <w:t xml:space="preserve"> do passivo atuarial na data-base de </w:t>
            </w:r>
            <w:r w:rsidR="00AF5922" w:rsidRPr="00E20D21">
              <w:rPr>
                <w:rFonts w:ascii="CAIXA Std Book" w:hAnsi="CAIXA Std Book" w:cs="Symbol"/>
                <w:color w:val="005CA9"/>
                <w:sz w:val="16"/>
                <w:szCs w:val="16"/>
              </w:rPr>
              <w:t>30/06</w:t>
            </w:r>
            <w:r w:rsidRPr="00E20D21">
              <w:rPr>
                <w:rFonts w:ascii="CAIXA Std Book" w:hAnsi="CAIXA Std Book" w:cs="Symbol"/>
                <w:color w:val="005CA9"/>
                <w:sz w:val="16"/>
                <w:szCs w:val="16"/>
              </w:rPr>
              <w:t>/2024</w:t>
            </w:r>
          </w:p>
        </w:tc>
        <w:tc>
          <w:tcPr>
            <w:tcW w:w="408" w:type="pct"/>
            <w:tcBorders>
              <w:top w:val="nil"/>
              <w:left w:val="nil"/>
              <w:bottom w:val="single" w:sz="4" w:space="0" w:color="F68F00"/>
              <w:right w:val="nil"/>
            </w:tcBorders>
            <w:shd w:val="clear" w:color="auto" w:fill="auto"/>
            <w:vAlign w:val="center"/>
          </w:tcPr>
          <w:p w14:paraId="0B5585B2" w14:textId="7853FD64"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9,34 anos</w:t>
            </w:r>
          </w:p>
        </w:tc>
        <w:tc>
          <w:tcPr>
            <w:tcW w:w="409" w:type="pct"/>
            <w:tcBorders>
              <w:top w:val="nil"/>
              <w:left w:val="nil"/>
              <w:bottom w:val="single" w:sz="4" w:space="0" w:color="F68F00"/>
              <w:right w:val="nil"/>
            </w:tcBorders>
            <w:shd w:val="clear" w:color="auto" w:fill="auto"/>
            <w:vAlign w:val="center"/>
          </w:tcPr>
          <w:p w14:paraId="6AF6BE53" w14:textId="492CEDB3"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7,19 anos</w:t>
            </w:r>
          </w:p>
        </w:tc>
        <w:tc>
          <w:tcPr>
            <w:tcW w:w="408" w:type="pct"/>
            <w:tcBorders>
              <w:top w:val="nil"/>
              <w:left w:val="nil"/>
              <w:bottom w:val="single" w:sz="4" w:space="0" w:color="F68F00"/>
              <w:right w:val="nil"/>
            </w:tcBorders>
            <w:shd w:val="clear" w:color="auto" w:fill="auto"/>
            <w:vAlign w:val="center"/>
          </w:tcPr>
          <w:p w14:paraId="16F06CFE" w14:textId="5BA7B5FB"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6,37 anos</w:t>
            </w:r>
          </w:p>
        </w:tc>
        <w:tc>
          <w:tcPr>
            <w:tcW w:w="409" w:type="pct"/>
            <w:tcBorders>
              <w:top w:val="nil"/>
              <w:left w:val="nil"/>
              <w:bottom w:val="single" w:sz="4" w:space="0" w:color="F68F00"/>
              <w:right w:val="nil"/>
            </w:tcBorders>
            <w:shd w:val="clear" w:color="auto" w:fill="auto"/>
            <w:vAlign w:val="center"/>
          </w:tcPr>
          <w:p w14:paraId="2092030C" w14:textId="4BFD42BD"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8,90 anos</w:t>
            </w:r>
          </w:p>
        </w:tc>
        <w:tc>
          <w:tcPr>
            <w:tcW w:w="408" w:type="pct"/>
            <w:tcBorders>
              <w:top w:val="nil"/>
              <w:left w:val="nil"/>
              <w:bottom w:val="single" w:sz="4" w:space="0" w:color="F68F00"/>
              <w:right w:val="nil"/>
            </w:tcBorders>
            <w:shd w:val="clear" w:color="auto" w:fill="auto"/>
            <w:vAlign w:val="center"/>
          </w:tcPr>
          <w:p w14:paraId="1C8BB4BC" w14:textId="4DF61D5B"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9,15 anos</w:t>
            </w:r>
          </w:p>
        </w:tc>
        <w:tc>
          <w:tcPr>
            <w:tcW w:w="409" w:type="pct"/>
            <w:tcBorders>
              <w:top w:val="nil"/>
              <w:left w:val="nil"/>
              <w:bottom w:val="single" w:sz="4" w:space="0" w:color="F68F00"/>
              <w:right w:val="nil"/>
            </w:tcBorders>
            <w:shd w:val="clear" w:color="auto" w:fill="auto"/>
            <w:vAlign w:val="center"/>
          </w:tcPr>
          <w:p w14:paraId="36A14DD0" w14:textId="75D11DF2"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10,20 anos</w:t>
            </w:r>
          </w:p>
        </w:tc>
        <w:tc>
          <w:tcPr>
            <w:tcW w:w="409" w:type="pct"/>
            <w:tcBorders>
              <w:top w:val="nil"/>
              <w:left w:val="nil"/>
              <w:bottom w:val="single" w:sz="4" w:space="0" w:color="F68F00"/>
              <w:right w:val="nil"/>
            </w:tcBorders>
            <w:shd w:val="clear" w:color="auto" w:fill="auto"/>
            <w:vAlign w:val="center"/>
          </w:tcPr>
          <w:p w14:paraId="65330345" w14:textId="7276D0B6" w:rsidR="003834D8" w:rsidRPr="00E20D21" w:rsidRDefault="00B27B6A" w:rsidP="00A01778">
            <w:pPr>
              <w:jc w:val="right"/>
              <w:rPr>
                <w:rFonts w:ascii="CAIXA Std Book" w:hAnsi="CAIXA Std Book" w:cs="Symbol"/>
                <w:color w:val="005CA9"/>
                <w:sz w:val="16"/>
                <w:szCs w:val="16"/>
              </w:rPr>
            </w:pPr>
            <w:r w:rsidRPr="00E20D21">
              <w:rPr>
                <w:rFonts w:ascii="CAIXA Std Book" w:hAnsi="CAIXA Std Book" w:cs="Calibri"/>
                <w:color w:val="005CA9"/>
                <w:sz w:val="16"/>
                <w:szCs w:val="16"/>
              </w:rPr>
              <w:t>12,18 anos</w:t>
            </w:r>
          </w:p>
        </w:tc>
      </w:tr>
    </w:tbl>
    <w:p w14:paraId="56D3909F" w14:textId="77777777" w:rsidR="00C11FCD" w:rsidRPr="00E20D21" w:rsidRDefault="00C11FCD" w:rsidP="003834D8">
      <w:pPr>
        <w:autoSpaceDE w:val="0"/>
        <w:autoSpaceDN w:val="0"/>
        <w:adjustRightInd w:val="0"/>
        <w:spacing w:before="480" w:after="240"/>
        <w:ind w:left="567" w:hanging="567"/>
        <w:jc w:val="both"/>
        <w:rPr>
          <w:rFonts w:ascii="CAIXA Std Book" w:hAnsi="CAIXA Std Book"/>
          <w:b/>
          <w:color w:val="005CA9"/>
          <w:sz w:val="20"/>
          <w:szCs w:val="20"/>
        </w:rPr>
      </w:pPr>
    </w:p>
    <w:p w14:paraId="3668906E" w14:textId="77777777" w:rsidR="00C11FCD" w:rsidRPr="00E20D21" w:rsidRDefault="00C11FCD">
      <w:pPr>
        <w:rPr>
          <w:rFonts w:ascii="CAIXA Std Book" w:hAnsi="CAIXA Std Book"/>
          <w:b/>
          <w:color w:val="005CA9"/>
          <w:sz w:val="20"/>
          <w:szCs w:val="20"/>
        </w:rPr>
      </w:pPr>
      <w:r w:rsidRPr="00E20D21">
        <w:rPr>
          <w:rFonts w:ascii="CAIXA Std Book" w:hAnsi="CAIXA Std Book"/>
          <w:b/>
          <w:color w:val="005CA9"/>
          <w:sz w:val="20"/>
          <w:szCs w:val="20"/>
        </w:rPr>
        <w:br w:type="page"/>
      </w:r>
    </w:p>
    <w:p w14:paraId="426A39A3" w14:textId="0D5FFC8E" w:rsidR="003834D8" w:rsidRPr="00E20D21" w:rsidRDefault="003834D8" w:rsidP="003834D8">
      <w:pPr>
        <w:autoSpaceDE w:val="0"/>
        <w:autoSpaceDN w:val="0"/>
        <w:adjustRightInd w:val="0"/>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(i.9)</w:t>
      </w:r>
      <w:r w:rsidRPr="00E20D21">
        <w:rPr>
          <w:rFonts w:ascii="CAIXA Std Book" w:hAnsi="CAIXA Std Book"/>
          <w:b/>
          <w:color w:val="005CA9"/>
          <w:sz w:val="20"/>
          <w:szCs w:val="20"/>
        </w:rPr>
        <w:tab/>
        <w:t>Custo de benefício definido reconhecido no resultado</w:t>
      </w:r>
    </w:p>
    <w:tbl>
      <w:tblPr>
        <w:tblW w:w="5000" w:type="pct"/>
        <w:tblLayout w:type="fixed"/>
        <w:tblCellMar>
          <w:left w:w="70" w:type="dxa"/>
          <w:right w:w="70" w:type="dxa"/>
        </w:tblCellMar>
        <w:tblLook w:val="04A0" w:firstRow="1" w:lastRow="0" w:firstColumn="1" w:lastColumn="0" w:noHBand="0" w:noVBand="1"/>
      </w:tblPr>
      <w:tblGrid>
        <w:gridCol w:w="3829"/>
        <w:gridCol w:w="1416"/>
        <w:gridCol w:w="1172"/>
        <w:gridCol w:w="1209"/>
        <w:gridCol w:w="1195"/>
        <w:gridCol w:w="1070"/>
        <w:gridCol w:w="1081"/>
        <w:gridCol w:w="1195"/>
        <w:gridCol w:w="1206"/>
        <w:gridCol w:w="1198"/>
      </w:tblGrid>
      <w:tr w:rsidR="00A47C19" w:rsidRPr="00E20D21" w14:paraId="1A8DE084" w14:textId="77777777" w:rsidTr="00A01778">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003208F2" w14:textId="17470745"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INDIVIDUAL</w:t>
            </w:r>
            <w:r w:rsidR="009D494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w:t>
            </w:r>
            <w:r w:rsidR="009D494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CONSOLIDADO</w:t>
            </w:r>
          </w:p>
        </w:tc>
      </w:tr>
      <w:tr w:rsidR="00A47C19" w:rsidRPr="00E20D21" w14:paraId="0EB1E48A" w14:textId="77777777" w:rsidTr="00C11FCD">
        <w:trPr>
          <w:trHeight w:val="283"/>
        </w:trPr>
        <w:tc>
          <w:tcPr>
            <w:tcW w:w="1314" w:type="pct"/>
            <w:vMerge w:val="restart"/>
            <w:tcBorders>
              <w:top w:val="single" w:sz="4" w:space="0" w:color="F68F00"/>
              <w:left w:val="nil"/>
              <w:bottom w:val="single" w:sz="4" w:space="0" w:color="F68F00"/>
              <w:right w:val="nil"/>
            </w:tcBorders>
            <w:shd w:val="clear" w:color="auto" w:fill="auto"/>
            <w:vAlign w:val="center"/>
            <w:hideMark/>
          </w:tcPr>
          <w:p w14:paraId="4FEAEF10"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Descrição</w:t>
            </w:r>
          </w:p>
        </w:tc>
        <w:tc>
          <w:tcPr>
            <w:tcW w:w="1303" w:type="pct"/>
            <w:gridSpan w:val="3"/>
            <w:tcBorders>
              <w:top w:val="single" w:sz="4" w:space="0" w:color="F68F00"/>
              <w:left w:val="nil"/>
              <w:bottom w:val="single" w:sz="4" w:space="0" w:color="F68F00"/>
              <w:right w:val="nil"/>
            </w:tcBorders>
            <w:shd w:val="clear" w:color="auto" w:fill="auto"/>
            <w:vAlign w:val="center"/>
            <w:hideMark/>
          </w:tcPr>
          <w:p w14:paraId="02E2091F"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Saúde CAIXA</w:t>
            </w:r>
          </w:p>
        </w:tc>
        <w:tc>
          <w:tcPr>
            <w:tcW w:w="1148" w:type="pct"/>
            <w:gridSpan w:val="3"/>
            <w:tcBorders>
              <w:top w:val="single" w:sz="4" w:space="0" w:color="F68F00"/>
              <w:left w:val="nil"/>
              <w:bottom w:val="single" w:sz="4" w:space="0" w:color="F68F00"/>
              <w:right w:val="nil"/>
            </w:tcBorders>
            <w:shd w:val="clear" w:color="auto" w:fill="auto"/>
            <w:vAlign w:val="center"/>
            <w:hideMark/>
          </w:tcPr>
          <w:p w14:paraId="34849AD1"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Auxílio/ Cesta-alimentação</w:t>
            </w:r>
          </w:p>
        </w:tc>
        <w:tc>
          <w:tcPr>
            <w:tcW w:w="1235" w:type="pct"/>
            <w:gridSpan w:val="3"/>
            <w:tcBorders>
              <w:top w:val="single" w:sz="4" w:space="0" w:color="F68F00"/>
              <w:left w:val="nil"/>
              <w:bottom w:val="single" w:sz="4" w:space="0" w:color="F68F00"/>
              <w:right w:val="nil"/>
            </w:tcBorders>
            <w:shd w:val="clear" w:color="auto" w:fill="auto"/>
            <w:vAlign w:val="center"/>
            <w:hideMark/>
          </w:tcPr>
          <w:p w14:paraId="5E341260"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REG/REPLAN Saldado</w:t>
            </w:r>
          </w:p>
        </w:tc>
      </w:tr>
      <w:tr w:rsidR="00AF5922" w:rsidRPr="00E20D21" w14:paraId="7D872B54" w14:textId="77777777" w:rsidTr="00C11FCD">
        <w:trPr>
          <w:trHeight w:val="283"/>
        </w:trPr>
        <w:tc>
          <w:tcPr>
            <w:tcW w:w="1314" w:type="pct"/>
            <w:vMerge/>
            <w:tcBorders>
              <w:top w:val="single" w:sz="4" w:space="0" w:color="F68F00"/>
              <w:left w:val="nil"/>
              <w:bottom w:val="single" w:sz="4" w:space="0" w:color="F68F00"/>
              <w:right w:val="nil"/>
            </w:tcBorders>
            <w:vAlign w:val="center"/>
            <w:hideMark/>
          </w:tcPr>
          <w:p w14:paraId="599938AE" w14:textId="77777777" w:rsidR="00AF5922" w:rsidRPr="00E20D21" w:rsidRDefault="00AF5922" w:rsidP="00AF5922">
            <w:pPr>
              <w:rPr>
                <w:rFonts w:ascii="CAIXA Std Book" w:hAnsi="CAIXA Std Book" w:cs="Symbol"/>
                <w:b/>
                <w:color w:val="005CA9"/>
                <w:sz w:val="16"/>
                <w:szCs w:val="16"/>
              </w:rPr>
            </w:pPr>
          </w:p>
        </w:tc>
        <w:tc>
          <w:tcPr>
            <w:tcW w:w="486" w:type="pct"/>
            <w:tcBorders>
              <w:top w:val="nil"/>
              <w:left w:val="nil"/>
              <w:bottom w:val="single" w:sz="4" w:space="0" w:color="F68F00"/>
              <w:right w:val="nil"/>
            </w:tcBorders>
            <w:shd w:val="clear" w:color="auto" w:fill="auto"/>
            <w:vAlign w:val="center"/>
          </w:tcPr>
          <w:p w14:paraId="66204E0A" w14:textId="2ED4DFE6"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2024</w:t>
            </w:r>
          </w:p>
        </w:tc>
        <w:tc>
          <w:tcPr>
            <w:tcW w:w="402" w:type="pct"/>
            <w:tcBorders>
              <w:top w:val="nil"/>
              <w:left w:val="nil"/>
              <w:bottom w:val="single" w:sz="4" w:space="0" w:color="F68F00"/>
              <w:right w:val="nil"/>
            </w:tcBorders>
            <w:shd w:val="clear" w:color="auto" w:fill="auto"/>
            <w:vAlign w:val="center"/>
            <w:hideMark/>
          </w:tcPr>
          <w:p w14:paraId="005EC5E1" w14:textId="4CDF7D7B"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Exercício 2023</w:t>
            </w:r>
          </w:p>
        </w:tc>
        <w:tc>
          <w:tcPr>
            <w:tcW w:w="415" w:type="pct"/>
            <w:tcBorders>
              <w:top w:val="nil"/>
              <w:left w:val="nil"/>
              <w:bottom w:val="single" w:sz="4" w:space="0" w:color="F68F00"/>
              <w:right w:val="nil"/>
            </w:tcBorders>
            <w:shd w:val="clear" w:color="auto" w:fill="auto"/>
            <w:vAlign w:val="center"/>
          </w:tcPr>
          <w:p w14:paraId="4ED9FFF6" w14:textId="34DDAA8E"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2023</w:t>
            </w:r>
          </w:p>
        </w:tc>
        <w:tc>
          <w:tcPr>
            <w:tcW w:w="410" w:type="pct"/>
            <w:tcBorders>
              <w:top w:val="nil"/>
              <w:left w:val="nil"/>
              <w:bottom w:val="single" w:sz="4" w:space="0" w:color="F68F00"/>
              <w:right w:val="nil"/>
            </w:tcBorders>
            <w:shd w:val="clear" w:color="auto" w:fill="auto"/>
            <w:vAlign w:val="center"/>
          </w:tcPr>
          <w:p w14:paraId="1C3D5531" w14:textId="191F877D"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2024</w:t>
            </w:r>
          </w:p>
        </w:tc>
        <w:tc>
          <w:tcPr>
            <w:tcW w:w="367" w:type="pct"/>
            <w:tcBorders>
              <w:top w:val="nil"/>
              <w:left w:val="nil"/>
              <w:bottom w:val="single" w:sz="4" w:space="0" w:color="F68F00"/>
              <w:right w:val="nil"/>
            </w:tcBorders>
            <w:shd w:val="clear" w:color="auto" w:fill="auto"/>
            <w:vAlign w:val="center"/>
            <w:hideMark/>
          </w:tcPr>
          <w:p w14:paraId="77F9EBF9" w14:textId="5B50D481"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Exercício 2023</w:t>
            </w:r>
          </w:p>
        </w:tc>
        <w:tc>
          <w:tcPr>
            <w:tcW w:w="371" w:type="pct"/>
            <w:tcBorders>
              <w:top w:val="nil"/>
              <w:left w:val="nil"/>
              <w:bottom w:val="single" w:sz="4" w:space="0" w:color="F68F00"/>
              <w:right w:val="nil"/>
            </w:tcBorders>
            <w:shd w:val="clear" w:color="auto" w:fill="auto"/>
            <w:vAlign w:val="center"/>
          </w:tcPr>
          <w:p w14:paraId="49DEB1FB" w14:textId="46F539F8"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2023</w:t>
            </w:r>
          </w:p>
        </w:tc>
        <w:tc>
          <w:tcPr>
            <w:tcW w:w="410" w:type="pct"/>
            <w:tcBorders>
              <w:top w:val="nil"/>
              <w:left w:val="nil"/>
              <w:bottom w:val="single" w:sz="4" w:space="0" w:color="F68F00"/>
              <w:right w:val="nil"/>
            </w:tcBorders>
            <w:shd w:val="clear" w:color="auto" w:fill="auto"/>
            <w:vAlign w:val="center"/>
          </w:tcPr>
          <w:p w14:paraId="7F5ED434" w14:textId="26D00B8C"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2024</w:t>
            </w:r>
          </w:p>
        </w:tc>
        <w:tc>
          <w:tcPr>
            <w:tcW w:w="414" w:type="pct"/>
            <w:tcBorders>
              <w:top w:val="nil"/>
              <w:left w:val="nil"/>
              <w:bottom w:val="single" w:sz="4" w:space="0" w:color="F68F00"/>
              <w:right w:val="nil"/>
            </w:tcBorders>
            <w:shd w:val="clear" w:color="auto" w:fill="auto"/>
            <w:vAlign w:val="center"/>
            <w:hideMark/>
          </w:tcPr>
          <w:p w14:paraId="73FFCFEA" w14:textId="3DBB413E"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Exercício 2023</w:t>
            </w:r>
          </w:p>
        </w:tc>
        <w:tc>
          <w:tcPr>
            <w:tcW w:w="411" w:type="pct"/>
            <w:tcBorders>
              <w:top w:val="nil"/>
              <w:left w:val="nil"/>
              <w:bottom w:val="single" w:sz="4" w:space="0" w:color="F68F00"/>
              <w:right w:val="nil"/>
            </w:tcBorders>
            <w:shd w:val="clear" w:color="auto" w:fill="auto"/>
            <w:vAlign w:val="center"/>
          </w:tcPr>
          <w:p w14:paraId="37D83C1E" w14:textId="53C2ACAE"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2023</w:t>
            </w:r>
          </w:p>
        </w:tc>
      </w:tr>
      <w:tr w:rsidR="00C201EB" w:rsidRPr="00E20D21" w14:paraId="46BCE68A" w14:textId="77777777" w:rsidTr="00C11FCD">
        <w:trPr>
          <w:trHeight w:val="283"/>
        </w:trPr>
        <w:tc>
          <w:tcPr>
            <w:tcW w:w="1314" w:type="pct"/>
            <w:tcBorders>
              <w:top w:val="nil"/>
              <w:left w:val="nil"/>
              <w:bottom w:val="nil"/>
              <w:right w:val="nil"/>
            </w:tcBorders>
            <w:shd w:val="clear" w:color="auto" w:fill="auto"/>
            <w:vAlign w:val="center"/>
            <w:hideMark/>
          </w:tcPr>
          <w:p w14:paraId="45962CF4" w14:textId="77777777" w:rsidR="00C201EB" w:rsidRPr="00E20D21" w:rsidRDefault="00C201EB" w:rsidP="00C201EB">
            <w:pPr>
              <w:rPr>
                <w:rFonts w:ascii="CAIXA Std Book" w:hAnsi="CAIXA Std Book" w:cs="Symbol"/>
                <w:color w:val="005CA9"/>
                <w:sz w:val="16"/>
                <w:szCs w:val="16"/>
              </w:rPr>
            </w:pPr>
            <w:r w:rsidRPr="00E20D21">
              <w:rPr>
                <w:rFonts w:ascii="CAIXA Std Book" w:hAnsi="CAIXA Std Book" w:cs="Symbol"/>
                <w:color w:val="005CA9"/>
                <w:sz w:val="16"/>
                <w:szCs w:val="16"/>
              </w:rPr>
              <w:t>Custo do serviço corrente</w:t>
            </w:r>
          </w:p>
        </w:tc>
        <w:tc>
          <w:tcPr>
            <w:tcW w:w="486" w:type="pct"/>
            <w:tcBorders>
              <w:top w:val="nil"/>
              <w:left w:val="nil"/>
              <w:bottom w:val="nil"/>
              <w:right w:val="nil"/>
            </w:tcBorders>
            <w:shd w:val="clear" w:color="auto" w:fill="auto"/>
            <w:vAlign w:val="center"/>
          </w:tcPr>
          <w:p w14:paraId="2D4754CC" w14:textId="27576003" w:rsidR="00C201EB" w:rsidRPr="00E20D21" w:rsidRDefault="008A58E4"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(123.240)</w:t>
            </w:r>
          </w:p>
        </w:tc>
        <w:tc>
          <w:tcPr>
            <w:tcW w:w="402" w:type="pct"/>
            <w:tcBorders>
              <w:top w:val="nil"/>
              <w:left w:val="nil"/>
              <w:bottom w:val="nil"/>
              <w:right w:val="nil"/>
            </w:tcBorders>
            <w:shd w:val="clear" w:color="auto" w:fill="auto"/>
            <w:vAlign w:val="center"/>
          </w:tcPr>
          <w:p w14:paraId="248CECE1" w14:textId="77777777"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(223.271)</w:t>
            </w:r>
          </w:p>
        </w:tc>
        <w:tc>
          <w:tcPr>
            <w:tcW w:w="415" w:type="pct"/>
            <w:tcBorders>
              <w:top w:val="nil"/>
              <w:left w:val="nil"/>
              <w:bottom w:val="nil"/>
              <w:right w:val="nil"/>
            </w:tcBorders>
            <w:shd w:val="clear" w:color="auto" w:fill="auto"/>
            <w:vAlign w:val="center"/>
          </w:tcPr>
          <w:p w14:paraId="4D683440" w14:textId="2A6103FE"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(103.060)</w:t>
            </w:r>
          </w:p>
        </w:tc>
        <w:tc>
          <w:tcPr>
            <w:tcW w:w="410" w:type="pct"/>
            <w:tcBorders>
              <w:top w:val="nil"/>
              <w:left w:val="nil"/>
              <w:bottom w:val="nil"/>
              <w:right w:val="nil"/>
            </w:tcBorders>
            <w:shd w:val="clear" w:color="auto" w:fill="auto"/>
            <w:vAlign w:val="center"/>
          </w:tcPr>
          <w:p w14:paraId="31A96427" w14:textId="78722ECA" w:rsidR="00C201EB" w:rsidRPr="00E20D21" w:rsidRDefault="00F0213A"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67" w:type="pct"/>
            <w:tcBorders>
              <w:top w:val="nil"/>
              <w:left w:val="nil"/>
              <w:bottom w:val="nil"/>
              <w:right w:val="nil"/>
            </w:tcBorders>
            <w:shd w:val="clear" w:color="auto" w:fill="auto"/>
            <w:vAlign w:val="center"/>
          </w:tcPr>
          <w:p w14:paraId="4A73EB08" w14:textId="77777777" w:rsidR="00C201EB" w:rsidRPr="00E20D21" w:rsidRDefault="00C201EB"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71" w:type="pct"/>
            <w:tcBorders>
              <w:top w:val="nil"/>
              <w:left w:val="nil"/>
              <w:bottom w:val="nil"/>
              <w:right w:val="nil"/>
            </w:tcBorders>
            <w:shd w:val="clear" w:color="auto" w:fill="auto"/>
            <w:vAlign w:val="center"/>
          </w:tcPr>
          <w:p w14:paraId="5C0C7AF4" w14:textId="28E3933F" w:rsidR="00C201EB" w:rsidRPr="00E20D21" w:rsidRDefault="00C201EB"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10" w:type="pct"/>
            <w:tcBorders>
              <w:top w:val="nil"/>
              <w:left w:val="nil"/>
              <w:bottom w:val="nil"/>
              <w:right w:val="nil"/>
            </w:tcBorders>
            <w:shd w:val="clear" w:color="auto" w:fill="auto"/>
            <w:vAlign w:val="center"/>
          </w:tcPr>
          <w:p w14:paraId="65D5D5CE" w14:textId="5C2D8039" w:rsidR="00C201EB" w:rsidRPr="00E20D21" w:rsidRDefault="00F0213A"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14" w:type="pct"/>
            <w:tcBorders>
              <w:top w:val="nil"/>
              <w:left w:val="nil"/>
              <w:bottom w:val="nil"/>
              <w:right w:val="nil"/>
            </w:tcBorders>
            <w:shd w:val="clear" w:color="auto" w:fill="auto"/>
            <w:vAlign w:val="center"/>
          </w:tcPr>
          <w:p w14:paraId="577820A4" w14:textId="77777777" w:rsidR="00C201EB" w:rsidRPr="00E20D21" w:rsidRDefault="00C201EB"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11" w:type="pct"/>
            <w:tcBorders>
              <w:top w:val="nil"/>
              <w:left w:val="nil"/>
              <w:bottom w:val="nil"/>
              <w:right w:val="nil"/>
            </w:tcBorders>
            <w:shd w:val="clear" w:color="auto" w:fill="auto"/>
            <w:vAlign w:val="center"/>
          </w:tcPr>
          <w:p w14:paraId="3689277E" w14:textId="327FD187" w:rsidR="00C201EB" w:rsidRPr="00E20D21" w:rsidRDefault="00C201EB"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r>
      <w:tr w:rsidR="00C201EB" w:rsidRPr="00E20D21" w14:paraId="2E97D8BC" w14:textId="77777777" w:rsidTr="00C11FCD">
        <w:trPr>
          <w:trHeight w:val="283"/>
        </w:trPr>
        <w:tc>
          <w:tcPr>
            <w:tcW w:w="1314" w:type="pct"/>
            <w:tcBorders>
              <w:top w:val="nil"/>
              <w:left w:val="nil"/>
              <w:bottom w:val="nil"/>
              <w:right w:val="nil"/>
            </w:tcBorders>
            <w:shd w:val="clear" w:color="auto" w:fill="auto"/>
            <w:vAlign w:val="center"/>
            <w:hideMark/>
          </w:tcPr>
          <w:p w14:paraId="57E506D6" w14:textId="77777777" w:rsidR="00C201EB" w:rsidRPr="00E20D21" w:rsidRDefault="00C201EB" w:rsidP="00C201EB">
            <w:pPr>
              <w:rPr>
                <w:rFonts w:ascii="CAIXA Std Book" w:hAnsi="CAIXA Std Book" w:cs="Symbol"/>
                <w:color w:val="005CA9"/>
                <w:sz w:val="16"/>
                <w:szCs w:val="16"/>
              </w:rPr>
            </w:pPr>
            <w:r w:rsidRPr="00E20D21">
              <w:rPr>
                <w:rFonts w:ascii="CAIXA Std Book" w:hAnsi="CAIXA Std Book" w:cs="Calibri"/>
                <w:color w:val="005CA9"/>
                <w:sz w:val="16"/>
                <w:szCs w:val="16"/>
              </w:rPr>
              <w:t>Custo dos juros sobre VPO</w:t>
            </w:r>
          </w:p>
        </w:tc>
        <w:tc>
          <w:tcPr>
            <w:tcW w:w="486" w:type="pct"/>
            <w:tcBorders>
              <w:top w:val="nil"/>
              <w:left w:val="nil"/>
              <w:bottom w:val="nil"/>
              <w:right w:val="nil"/>
            </w:tcBorders>
            <w:shd w:val="clear" w:color="auto" w:fill="auto"/>
            <w:vAlign w:val="center"/>
          </w:tcPr>
          <w:p w14:paraId="08441D42" w14:textId="5E0B2B6E" w:rsidR="00C201EB" w:rsidRPr="00E20D21" w:rsidRDefault="008A58E4"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(493.652)</w:t>
            </w:r>
          </w:p>
        </w:tc>
        <w:tc>
          <w:tcPr>
            <w:tcW w:w="402" w:type="pct"/>
            <w:tcBorders>
              <w:top w:val="nil"/>
              <w:left w:val="nil"/>
              <w:bottom w:val="nil"/>
              <w:right w:val="nil"/>
            </w:tcBorders>
            <w:shd w:val="clear" w:color="auto" w:fill="auto"/>
            <w:vAlign w:val="center"/>
          </w:tcPr>
          <w:p w14:paraId="38231477" w14:textId="77777777"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(964.689)</w:t>
            </w:r>
          </w:p>
        </w:tc>
        <w:tc>
          <w:tcPr>
            <w:tcW w:w="415" w:type="pct"/>
            <w:tcBorders>
              <w:top w:val="nil"/>
              <w:left w:val="nil"/>
              <w:bottom w:val="nil"/>
              <w:right w:val="nil"/>
            </w:tcBorders>
            <w:shd w:val="clear" w:color="auto" w:fill="auto"/>
            <w:vAlign w:val="center"/>
          </w:tcPr>
          <w:p w14:paraId="34D4E881" w14:textId="66E2F86B"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(470.001)</w:t>
            </w:r>
          </w:p>
        </w:tc>
        <w:tc>
          <w:tcPr>
            <w:tcW w:w="410" w:type="pct"/>
            <w:tcBorders>
              <w:top w:val="nil"/>
              <w:left w:val="nil"/>
              <w:bottom w:val="nil"/>
              <w:right w:val="nil"/>
            </w:tcBorders>
            <w:shd w:val="clear" w:color="auto" w:fill="auto"/>
            <w:vAlign w:val="center"/>
          </w:tcPr>
          <w:p w14:paraId="66E87D72" w14:textId="4F79E27C" w:rsidR="00C201EB" w:rsidRPr="00E20D21" w:rsidRDefault="00F0213A"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(77.598)</w:t>
            </w:r>
          </w:p>
        </w:tc>
        <w:tc>
          <w:tcPr>
            <w:tcW w:w="367" w:type="pct"/>
            <w:tcBorders>
              <w:top w:val="nil"/>
              <w:left w:val="nil"/>
              <w:bottom w:val="nil"/>
              <w:right w:val="nil"/>
            </w:tcBorders>
            <w:shd w:val="clear" w:color="auto" w:fill="auto"/>
            <w:vAlign w:val="center"/>
          </w:tcPr>
          <w:p w14:paraId="00215D6D" w14:textId="77777777"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(161.433)</w:t>
            </w:r>
          </w:p>
        </w:tc>
        <w:tc>
          <w:tcPr>
            <w:tcW w:w="371" w:type="pct"/>
            <w:tcBorders>
              <w:top w:val="nil"/>
              <w:left w:val="nil"/>
              <w:bottom w:val="nil"/>
              <w:right w:val="nil"/>
            </w:tcBorders>
            <w:shd w:val="clear" w:color="auto" w:fill="auto"/>
            <w:vAlign w:val="center"/>
          </w:tcPr>
          <w:p w14:paraId="1B09DE5D" w14:textId="3D949CE5"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(81.117)</w:t>
            </w:r>
          </w:p>
        </w:tc>
        <w:tc>
          <w:tcPr>
            <w:tcW w:w="410" w:type="pct"/>
            <w:tcBorders>
              <w:top w:val="nil"/>
              <w:left w:val="nil"/>
              <w:bottom w:val="nil"/>
              <w:right w:val="nil"/>
            </w:tcBorders>
            <w:shd w:val="clear" w:color="auto" w:fill="auto"/>
            <w:vAlign w:val="center"/>
          </w:tcPr>
          <w:p w14:paraId="64A45F5D" w14:textId="589CF9E6" w:rsidR="00C201EB" w:rsidRPr="00E20D21" w:rsidRDefault="00F0213A"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(1.452.372)</w:t>
            </w:r>
          </w:p>
        </w:tc>
        <w:tc>
          <w:tcPr>
            <w:tcW w:w="414" w:type="pct"/>
            <w:tcBorders>
              <w:top w:val="nil"/>
              <w:left w:val="nil"/>
              <w:bottom w:val="nil"/>
              <w:right w:val="nil"/>
            </w:tcBorders>
            <w:shd w:val="clear" w:color="auto" w:fill="auto"/>
            <w:vAlign w:val="center"/>
          </w:tcPr>
          <w:p w14:paraId="10EB6940" w14:textId="77777777"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(2.916.173)</w:t>
            </w:r>
          </w:p>
        </w:tc>
        <w:tc>
          <w:tcPr>
            <w:tcW w:w="411" w:type="pct"/>
            <w:tcBorders>
              <w:top w:val="nil"/>
              <w:left w:val="nil"/>
              <w:bottom w:val="nil"/>
              <w:right w:val="nil"/>
            </w:tcBorders>
            <w:shd w:val="clear" w:color="auto" w:fill="auto"/>
            <w:vAlign w:val="center"/>
          </w:tcPr>
          <w:p w14:paraId="32317665" w14:textId="6C95E675"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(1.452.569)</w:t>
            </w:r>
          </w:p>
        </w:tc>
      </w:tr>
      <w:tr w:rsidR="00C201EB" w:rsidRPr="00E20D21" w14:paraId="082C879D" w14:textId="77777777" w:rsidTr="00C11FCD">
        <w:trPr>
          <w:trHeight w:val="283"/>
        </w:trPr>
        <w:tc>
          <w:tcPr>
            <w:tcW w:w="1314" w:type="pct"/>
            <w:tcBorders>
              <w:top w:val="nil"/>
              <w:left w:val="nil"/>
              <w:bottom w:val="nil"/>
              <w:right w:val="nil"/>
            </w:tcBorders>
            <w:shd w:val="clear" w:color="auto" w:fill="auto"/>
            <w:vAlign w:val="center"/>
          </w:tcPr>
          <w:p w14:paraId="1262682F" w14:textId="77777777" w:rsidR="00C201EB" w:rsidRPr="00E20D21" w:rsidRDefault="00C201EB" w:rsidP="00C201EB">
            <w:pPr>
              <w:rPr>
                <w:rFonts w:ascii="CAIXA Std Book" w:hAnsi="CAIXA Std Book" w:cs="Symbol"/>
                <w:color w:val="005CA9"/>
                <w:sz w:val="16"/>
                <w:szCs w:val="16"/>
              </w:rPr>
            </w:pPr>
            <w:r w:rsidRPr="00E20D21">
              <w:rPr>
                <w:rFonts w:ascii="CAIXA Std Book" w:hAnsi="CAIXA Std Book" w:cs="Symbol"/>
                <w:color w:val="005CA9"/>
                <w:sz w:val="16"/>
                <w:szCs w:val="16"/>
              </w:rPr>
              <w:t>Receita de juros sobre o ativo</w:t>
            </w:r>
          </w:p>
        </w:tc>
        <w:tc>
          <w:tcPr>
            <w:tcW w:w="486" w:type="pct"/>
            <w:tcBorders>
              <w:top w:val="nil"/>
              <w:left w:val="nil"/>
              <w:bottom w:val="nil"/>
              <w:right w:val="nil"/>
            </w:tcBorders>
            <w:shd w:val="clear" w:color="auto" w:fill="auto"/>
            <w:vAlign w:val="center"/>
          </w:tcPr>
          <w:p w14:paraId="64439C47" w14:textId="7AD843ED" w:rsidR="00C201EB" w:rsidRPr="00E20D21" w:rsidRDefault="008A58E4"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02" w:type="pct"/>
            <w:tcBorders>
              <w:top w:val="nil"/>
              <w:left w:val="nil"/>
              <w:bottom w:val="nil"/>
              <w:right w:val="nil"/>
            </w:tcBorders>
            <w:shd w:val="clear" w:color="auto" w:fill="auto"/>
            <w:vAlign w:val="center"/>
          </w:tcPr>
          <w:p w14:paraId="10CF3B65" w14:textId="77777777" w:rsidR="00C201EB" w:rsidRPr="00E20D21" w:rsidRDefault="00C201EB"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15" w:type="pct"/>
            <w:tcBorders>
              <w:top w:val="nil"/>
              <w:left w:val="nil"/>
              <w:bottom w:val="nil"/>
              <w:right w:val="nil"/>
            </w:tcBorders>
            <w:shd w:val="clear" w:color="auto" w:fill="auto"/>
            <w:vAlign w:val="center"/>
          </w:tcPr>
          <w:p w14:paraId="79263EDF" w14:textId="2C611636" w:rsidR="00C201EB" w:rsidRPr="00E20D21" w:rsidRDefault="00C201EB"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10" w:type="pct"/>
            <w:tcBorders>
              <w:top w:val="nil"/>
              <w:left w:val="nil"/>
              <w:bottom w:val="nil"/>
              <w:right w:val="nil"/>
            </w:tcBorders>
            <w:shd w:val="clear" w:color="auto" w:fill="auto"/>
            <w:vAlign w:val="center"/>
          </w:tcPr>
          <w:p w14:paraId="4B46DF28" w14:textId="201E4247" w:rsidR="00C201EB" w:rsidRPr="00E20D21" w:rsidRDefault="00F0213A"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67" w:type="pct"/>
            <w:tcBorders>
              <w:top w:val="nil"/>
              <w:left w:val="nil"/>
              <w:bottom w:val="nil"/>
              <w:right w:val="nil"/>
            </w:tcBorders>
            <w:shd w:val="clear" w:color="auto" w:fill="auto"/>
            <w:vAlign w:val="center"/>
          </w:tcPr>
          <w:p w14:paraId="78EBDBF7" w14:textId="77777777" w:rsidR="00C201EB" w:rsidRPr="00E20D21" w:rsidRDefault="00C201EB"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71" w:type="pct"/>
            <w:tcBorders>
              <w:top w:val="nil"/>
              <w:left w:val="nil"/>
              <w:bottom w:val="nil"/>
              <w:right w:val="nil"/>
            </w:tcBorders>
            <w:shd w:val="clear" w:color="auto" w:fill="auto"/>
            <w:vAlign w:val="center"/>
          </w:tcPr>
          <w:p w14:paraId="0B629C27" w14:textId="0953E233" w:rsidR="00C201EB" w:rsidRPr="00E20D21" w:rsidRDefault="00C201EB" w:rsidP="00C201EB">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10" w:type="pct"/>
            <w:tcBorders>
              <w:top w:val="nil"/>
              <w:left w:val="nil"/>
              <w:bottom w:val="nil"/>
              <w:right w:val="nil"/>
            </w:tcBorders>
            <w:shd w:val="clear" w:color="auto" w:fill="auto"/>
            <w:vAlign w:val="center"/>
          </w:tcPr>
          <w:p w14:paraId="610D3CBD" w14:textId="42973DA3" w:rsidR="00C201EB" w:rsidRPr="00E20D21" w:rsidRDefault="00F0213A"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1.052.196</w:t>
            </w:r>
          </w:p>
        </w:tc>
        <w:tc>
          <w:tcPr>
            <w:tcW w:w="414" w:type="pct"/>
            <w:tcBorders>
              <w:top w:val="nil"/>
              <w:left w:val="nil"/>
              <w:bottom w:val="nil"/>
              <w:right w:val="nil"/>
            </w:tcBorders>
            <w:shd w:val="clear" w:color="auto" w:fill="auto"/>
            <w:vAlign w:val="center"/>
          </w:tcPr>
          <w:p w14:paraId="53DFFDD1" w14:textId="77777777"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2.105.267</w:t>
            </w:r>
          </w:p>
        </w:tc>
        <w:tc>
          <w:tcPr>
            <w:tcW w:w="411" w:type="pct"/>
            <w:tcBorders>
              <w:top w:val="nil"/>
              <w:left w:val="nil"/>
              <w:bottom w:val="nil"/>
              <w:right w:val="nil"/>
            </w:tcBorders>
            <w:shd w:val="clear" w:color="auto" w:fill="auto"/>
            <w:vAlign w:val="center"/>
          </w:tcPr>
          <w:p w14:paraId="53192EFD" w14:textId="4DB6FC1B" w:rsidR="00C201EB" w:rsidRPr="00E20D21" w:rsidRDefault="00C201EB" w:rsidP="00C201EB">
            <w:pPr>
              <w:jc w:val="right"/>
              <w:rPr>
                <w:rFonts w:ascii="CAIXA Std Book" w:hAnsi="CAIXA Std Book" w:cs="Symbol"/>
                <w:color w:val="005CA9"/>
                <w:sz w:val="16"/>
                <w:szCs w:val="16"/>
              </w:rPr>
            </w:pPr>
            <w:r w:rsidRPr="00E20D21">
              <w:rPr>
                <w:rFonts w:ascii="CAIXA Std Book" w:hAnsi="CAIXA Std Book" w:cs="Calibri"/>
                <w:color w:val="005CA9"/>
                <w:sz w:val="16"/>
                <w:szCs w:val="16"/>
              </w:rPr>
              <w:t>1.118.391</w:t>
            </w:r>
          </w:p>
        </w:tc>
      </w:tr>
      <w:tr w:rsidR="00C201EB" w:rsidRPr="00E20D21" w14:paraId="76F3AFCB" w14:textId="77777777" w:rsidTr="00C11FCD">
        <w:trPr>
          <w:trHeight w:val="283"/>
        </w:trPr>
        <w:tc>
          <w:tcPr>
            <w:tcW w:w="1314" w:type="pct"/>
            <w:tcBorders>
              <w:top w:val="single" w:sz="4" w:space="0" w:color="F68F00"/>
              <w:left w:val="nil"/>
              <w:bottom w:val="single" w:sz="4" w:space="0" w:color="F68F00"/>
              <w:right w:val="nil"/>
            </w:tcBorders>
            <w:shd w:val="clear" w:color="auto" w:fill="auto"/>
            <w:vAlign w:val="center"/>
            <w:hideMark/>
          </w:tcPr>
          <w:p w14:paraId="2F5B547F" w14:textId="77777777" w:rsidR="00C201EB" w:rsidRPr="00E20D21" w:rsidRDefault="00C201EB" w:rsidP="00C201EB">
            <w:pPr>
              <w:rPr>
                <w:rFonts w:ascii="CAIXA Std Book" w:hAnsi="CAIXA Std Book" w:cs="Symbol"/>
                <w:b/>
                <w:color w:val="005CA9"/>
                <w:sz w:val="16"/>
                <w:szCs w:val="16"/>
              </w:rPr>
            </w:pPr>
            <w:r w:rsidRPr="00E20D21">
              <w:rPr>
                <w:rFonts w:ascii="CAIXA Std Book" w:hAnsi="CAIXA Std Book" w:cs="Calibri"/>
                <w:b/>
                <w:color w:val="005CA9"/>
                <w:sz w:val="16"/>
                <w:szCs w:val="16"/>
              </w:rPr>
              <w:t>(Despesa)/Receita reconhecida no resultado</w:t>
            </w:r>
          </w:p>
        </w:tc>
        <w:tc>
          <w:tcPr>
            <w:tcW w:w="486" w:type="pct"/>
            <w:tcBorders>
              <w:top w:val="single" w:sz="4" w:space="0" w:color="F68F00"/>
              <w:left w:val="nil"/>
              <w:bottom w:val="single" w:sz="4" w:space="0" w:color="F68F00"/>
              <w:right w:val="nil"/>
            </w:tcBorders>
            <w:shd w:val="clear" w:color="auto" w:fill="auto"/>
            <w:vAlign w:val="center"/>
          </w:tcPr>
          <w:p w14:paraId="5DC56A65" w14:textId="55B2C844" w:rsidR="00C201EB" w:rsidRPr="00E20D21" w:rsidRDefault="008A58E4" w:rsidP="00C201EB">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(616.892)</w:t>
            </w:r>
          </w:p>
        </w:tc>
        <w:tc>
          <w:tcPr>
            <w:tcW w:w="402" w:type="pct"/>
            <w:tcBorders>
              <w:top w:val="single" w:sz="4" w:space="0" w:color="F68F00"/>
              <w:left w:val="nil"/>
              <w:bottom w:val="single" w:sz="4" w:space="0" w:color="F68F00"/>
              <w:right w:val="nil"/>
            </w:tcBorders>
            <w:shd w:val="clear" w:color="auto" w:fill="auto"/>
            <w:vAlign w:val="center"/>
          </w:tcPr>
          <w:p w14:paraId="798F91DC" w14:textId="77777777" w:rsidR="00C201EB" w:rsidRPr="00E20D21" w:rsidRDefault="00C201EB" w:rsidP="00C201EB">
            <w:pPr>
              <w:jc w:val="right"/>
              <w:rPr>
                <w:rFonts w:ascii="CAIXA Std Book" w:hAnsi="CAIXA Std Book" w:cs="Symbol"/>
                <w:b/>
                <w:color w:val="005CA9"/>
                <w:sz w:val="16"/>
                <w:szCs w:val="16"/>
              </w:rPr>
            </w:pPr>
            <w:r w:rsidRPr="00E20D21">
              <w:rPr>
                <w:rFonts w:ascii="CAIXA Std Book" w:hAnsi="CAIXA Std Book" w:cs="Calibri"/>
                <w:b/>
                <w:color w:val="005CA9"/>
                <w:sz w:val="16"/>
                <w:szCs w:val="16"/>
              </w:rPr>
              <w:t>(1.187.960)</w:t>
            </w:r>
          </w:p>
        </w:tc>
        <w:tc>
          <w:tcPr>
            <w:tcW w:w="415" w:type="pct"/>
            <w:tcBorders>
              <w:top w:val="single" w:sz="4" w:space="0" w:color="F68F00"/>
              <w:left w:val="nil"/>
              <w:bottom w:val="single" w:sz="4" w:space="0" w:color="F68F00"/>
              <w:right w:val="nil"/>
            </w:tcBorders>
            <w:shd w:val="clear" w:color="auto" w:fill="auto"/>
            <w:vAlign w:val="center"/>
          </w:tcPr>
          <w:p w14:paraId="13DB97B7" w14:textId="239DDA54" w:rsidR="00C201EB" w:rsidRPr="00E20D21" w:rsidRDefault="00C201EB" w:rsidP="00C201EB">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(573.061)</w:t>
            </w:r>
          </w:p>
        </w:tc>
        <w:tc>
          <w:tcPr>
            <w:tcW w:w="410" w:type="pct"/>
            <w:tcBorders>
              <w:top w:val="single" w:sz="4" w:space="0" w:color="F68F00"/>
              <w:left w:val="nil"/>
              <w:bottom w:val="single" w:sz="4" w:space="0" w:color="F68F00"/>
              <w:right w:val="nil"/>
            </w:tcBorders>
            <w:shd w:val="clear" w:color="auto" w:fill="auto"/>
            <w:vAlign w:val="center"/>
          </w:tcPr>
          <w:p w14:paraId="6A580572" w14:textId="43E1619A" w:rsidR="00C201EB" w:rsidRPr="00E20D21" w:rsidRDefault="00F0213A" w:rsidP="00C201EB">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(77.598)</w:t>
            </w:r>
          </w:p>
        </w:tc>
        <w:tc>
          <w:tcPr>
            <w:tcW w:w="367" w:type="pct"/>
            <w:tcBorders>
              <w:top w:val="single" w:sz="4" w:space="0" w:color="F68F00"/>
              <w:left w:val="nil"/>
              <w:bottom w:val="single" w:sz="4" w:space="0" w:color="F68F00"/>
              <w:right w:val="nil"/>
            </w:tcBorders>
            <w:shd w:val="clear" w:color="auto" w:fill="auto"/>
            <w:vAlign w:val="center"/>
          </w:tcPr>
          <w:p w14:paraId="4DD5C892" w14:textId="77777777" w:rsidR="00C201EB" w:rsidRPr="00E20D21" w:rsidRDefault="00C201EB" w:rsidP="00C201EB">
            <w:pPr>
              <w:jc w:val="right"/>
              <w:rPr>
                <w:rFonts w:ascii="CAIXA Std Book" w:hAnsi="CAIXA Std Book" w:cs="Symbol"/>
                <w:b/>
                <w:color w:val="005CA9"/>
                <w:sz w:val="16"/>
                <w:szCs w:val="16"/>
              </w:rPr>
            </w:pPr>
            <w:r w:rsidRPr="00E20D21">
              <w:rPr>
                <w:rFonts w:ascii="CAIXA Std Book" w:hAnsi="CAIXA Std Book" w:cs="Calibri"/>
                <w:b/>
                <w:color w:val="005CA9"/>
                <w:sz w:val="16"/>
                <w:szCs w:val="16"/>
              </w:rPr>
              <w:t>(161.433)</w:t>
            </w:r>
          </w:p>
        </w:tc>
        <w:tc>
          <w:tcPr>
            <w:tcW w:w="371" w:type="pct"/>
            <w:tcBorders>
              <w:top w:val="single" w:sz="4" w:space="0" w:color="F68F00"/>
              <w:left w:val="nil"/>
              <w:bottom w:val="single" w:sz="4" w:space="0" w:color="F68F00"/>
              <w:right w:val="nil"/>
            </w:tcBorders>
            <w:shd w:val="clear" w:color="auto" w:fill="auto"/>
            <w:vAlign w:val="center"/>
          </w:tcPr>
          <w:p w14:paraId="1D7C60EF" w14:textId="72196C4E" w:rsidR="00C201EB" w:rsidRPr="00E20D21" w:rsidRDefault="00C201EB" w:rsidP="00C201EB">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(81.117)</w:t>
            </w:r>
          </w:p>
        </w:tc>
        <w:tc>
          <w:tcPr>
            <w:tcW w:w="410" w:type="pct"/>
            <w:tcBorders>
              <w:top w:val="single" w:sz="4" w:space="0" w:color="F68F00"/>
              <w:left w:val="nil"/>
              <w:bottom w:val="single" w:sz="4" w:space="0" w:color="F68F00"/>
              <w:right w:val="nil"/>
            </w:tcBorders>
            <w:shd w:val="clear" w:color="auto" w:fill="auto"/>
            <w:vAlign w:val="center"/>
          </w:tcPr>
          <w:p w14:paraId="479F66C6" w14:textId="3F245C20" w:rsidR="00C201EB" w:rsidRPr="00E20D21" w:rsidRDefault="00F0213A" w:rsidP="00C201EB">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(400.176)</w:t>
            </w:r>
          </w:p>
        </w:tc>
        <w:tc>
          <w:tcPr>
            <w:tcW w:w="414" w:type="pct"/>
            <w:tcBorders>
              <w:top w:val="single" w:sz="4" w:space="0" w:color="F68F00"/>
              <w:left w:val="nil"/>
              <w:bottom w:val="single" w:sz="4" w:space="0" w:color="F68F00"/>
              <w:right w:val="nil"/>
            </w:tcBorders>
            <w:shd w:val="clear" w:color="auto" w:fill="auto"/>
            <w:vAlign w:val="center"/>
          </w:tcPr>
          <w:p w14:paraId="49368B60" w14:textId="77777777" w:rsidR="00C201EB" w:rsidRPr="00E20D21" w:rsidRDefault="00C201EB" w:rsidP="00C201EB">
            <w:pPr>
              <w:jc w:val="right"/>
              <w:rPr>
                <w:rFonts w:ascii="CAIXA Std Book" w:hAnsi="CAIXA Std Book" w:cs="Symbol"/>
                <w:b/>
                <w:color w:val="005CA9"/>
                <w:sz w:val="16"/>
                <w:szCs w:val="16"/>
              </w:rPr>
            </w:pPr>
            <w:r w:rsidRPr="00E20D21">
              <w:rPr>
                <w:rFonts w:ascii="CAIXA Std Book" w:hAnsi="CAIXA Std Book" w:cs="Calibri"/>
                <w:b/>
                <w:color w:val="005CA9"/>
                <w:sz w:val="16"/>
                <w:szCs w:val="16"/>
              </w:rPr>
              <w:t>(810.906)</w:t>
            </w:r>
          </w:p>
        </w:tc>
        <w:tc>
          <w:tcPr>
            <w:tcW w:w="411" w:type="pct"/>
            <w:tcBorders>
              <w:top w:val="single" w:sz="4" w:space="0" w:color="F68F00"/>
              <w:left w:val="nil"/>
              <w:bottom w:val="single" w:sz="4" w:space="0" w:color="F68F00"/>
              <w:right w:val="nil"/>
            </w:tcBorders>
            <w:shd w:val="clear" w:color="auto" w:fill="auto"/>
            <w:vAlign w:val="center"/>
          </w:tcPr>
          <w:p w14:paraId="4C8DCCB9" w14:textId="7FF27D55" w:rsidR="00C201EB" w:rsidRPr="00E20D21" w:rsidRDefault="00C201EB" w:rsidP="00C201EB">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(334.178)</w:t>
            </w:r>
          </w:p>
        </w:tc>
      </w:tr>
    </w:tbl>
    <w:p w14:paraId="4818FC34" w14:textId="787741AE" w:rsidR="003834D8" w:rsidRPr="00E20D21" w:rsidRDefault="003834D8" w:rsidP="003834D8">
      <w:pPr>
        <w:rPr>
          <w:rFonts w:ascii="CAIXA Std Book" w:hAnsi="CAIXA Std Book"/>
          <w:b/>
          <w:color w:val="005CA9"/>
          <w:sz w:val="20"/>
          <w:szCs w:val="20"/>
        </w:rPr>
      </w:pPr>
    </w:p>
    <w:p w14:paraId="13A70C68" w14:textId="77777777" w:rsidR="007B15C0" w:rsidRPr="00E20D21" w:rsidRDefault="007B15C0" w:rsidP="003834D8">
      <w:pPr>
        <w:rPr>
          <w:rFonts w:ascii="CAIXA Std Book" w:hAnsi="CAIXA Std Book"/>
          <w:b/>
          <w:color w:val="005CA9"/>
          <w:sz w:val="20"/>
          <w:szCs w:val="20"/>
        </w:rPr>
      </w:pPr>
    </w:p>
    <w:tbl>
      <w:tblPr>
        <w:tblW w:w="5000" w:type="pct"/>
        <w:tblLayout w:type="fixed"/>
        <w:tblCellMar>
          <w:left w:w="70" w:type="dxa"/>
          <w:right w:w="70" w:type="dxa"/>
        </w:tblCellMar>
        <w:tblLook w:val="04A0" w:firstRow="1" w:lastRow="0" w:firstColumn="1" w:lastColumn="0" w:noHBand="0" w:noVBand="1"/>
      </w:tblPr>
      <w:tblGrid>
        <w:gridCol w:w="3829"/>
        <w:gridCol w:w="1652"/>
        <w:gridCol w:w="1072"/>
        <w:gridCol w:w="1078"/>
        <w:gridCol w:w="1195"/>
        <w:gridCol w:w="1070"/>
        <w:gridCol w:w="1206"/>
        <w:gridCol w:w="1204"/>
        <w:gridCol w:w="959"/>
        <w:gridCol w:w="1306"/>
      </w:tblGrid>
      <w:tr w:rsidR="00A47C19" w:rsidRPr="00E20D21" w14:paraId="39EEDA12" w14:textId="77777777" w:rsidTr="00A01778">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127F550F" w14:textId="4FDA30EC"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INDIVIDUAL</w:t>
            </w:r>
            <w:r w:rsidR="009D494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w:t>
            </w:r>
            <w:r w:rsidR="009D4941">
              <w:rPr>
                <w:rFonts w:ascii="CAIXA Std Book" w:hAnsi="CAIXA Std Book" w:cs="Symbol"/>
                <w:b/>
                <w:color w:val="005CA9"/>
                <w:sz w:val="16"/>
                <w:szCs w:val="16"/>
              </w:rPr>
              <w:t xml:space="preserve"> </w:t>
            </w:r>
            <w:r w:rsidRPr="00E20D21">
              <w:rPr>
                <w:rFonts w:ascii="CAIXA Std Book" w:hAnsi="CAIXA Std Book" w:cs="Symbol"/>
                <w:b/>
                <w:color w:val="005CA9"/>
                <w:sz w:val="16"/>
                <w:szCs w:val="16"/>
              </w:rPr>
              <w:t>CONSOLIDADO</w:t>
            </w:r>
          </w:p>
        </w:tc>
      </w:tr>
      <w:tr w:rsidR="00A47C19" w:rsidRPr="00E20D21" w14:paraId="03BA9CC9" w14:textId="77777777" w:rsidTr="00C11FCD">
        <w:trPr>
          <w:trHeight w:val="283"/>
        </w:trPr>
        <w:tc>
          <w:tcPr>
            <w:tcW w:w="1314" w:type="pct"/>
            <w:vMerge w:val="restart"/>
            <w:tcBorders>
              <w:top w:val="single" w:sz="4" w:space="0" w:color="F68F00"/>
              <w:left w:val="nil"/>
              <w:bottom w:val="single" w:sz="4" w:space="0" w:color="F68F00"/>
              <w:right w:val="nil"/>
            </w:tcBorders>
            <w:shd w:val="clear" w:color="auto" w:fill="auto"/>
            <w:vAlign w:val="center"/>
            <w:hideMark/>
          </w:tcPr>
          <w:p w14:paraId="1B30BDAB"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Descrição</w:t>
            </w:r>
          </w:p>
        </w:tc>
        <w:tc>
          <w:tcPr>
            <w:tcW w:w="1304" w:type="pct"/>
            <w:gridSpan w:val="3"/>
            <w:tcBorders>
              <w:top w:val="single" w:sz="4" w:space="0" w:color="F68F00"/>
              <w:left w:val="nil"/>
              <w:bottom w:val="single" w:sz="4" w:space="0" w:color="F68F00"/>
              <w:right w:val="nil"/>
            </w:tcBorders>
            <w:shd w:val="clear" w:color="auto" w:fill="auto"/>
            <w:vAlign w:val="center"/>
            <w:hideMark/>
          </w:tcPr>
          <w:p w14:paraId="37E9121A"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REG/REPLAN Não saldado</w:t>
            </w:r>
          </w:p>
        </w:tc>
        <w:tc>
          <w:tcPr>
            <w:tcW w:w="1191" w:type="pct"/>
            <w:gridSpan w:val="3"/>
            <w:tcBorders>
              <w:top w:val="single" w:sz="4" w:space="0" w:color="F68F00"/>
              <w:left w:val="nil"/>
              <w:bottom w:val="single" w:sz="4" w:space="0" w:color="F68F00"/>
              <w:right w:val="nil"/>
            </w:tcBorders>
            <w:shd w:val="clear" w:color="auto" w:fill="auto"/>
            <w:vAlign w:val="center"/>
            <w:hideMark/>
          </w:tcPr>
          <w:p w14:paraId="03684624"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REB</w:t>
            </w:r>
          </w:p>
        </w:tc>
        <w:tc>
          <w:tcPr>
            <w:tcW w:w="1191" w:type="pct"/>
            <w:gridSpan w:val="3"/>
            <w:tcBorders>
              <w:top w:val="single" w:sz="4" w:space="0" w:color="F68F00"/>
              <w:left w:val="nil"/>
              <w:bottom w:val="single" w:sz="4" w:space="0" w:color="F68F00"/>
              <w:right w:val="nil"/>
            </w:tcBorders>
            <w:shd w:val="clear" w:color="auto" w:fill="auto"/>
            <w:vAlign w:val="center"/>
            <w:hideMark/>
          </w:tcPr>
          <w:p w14:paraId="52578C9F" w14:textId="77777777" w:rsidR="003834D8" w:rsidRPr="00E20D21" w:rsidRDefault="003834D8" w:rsidP="00A01778">
            <w:pPr>
              <w:jc w:val="center"/>
              <w:rPr>
                <w:rFonts w:ascii="CAIXA Std Book" w:hAnsi="CAIXA Std Book" w:cs="Symbol"/>
                <w:b/>
                <w:color w:val="005CA9"/>
                <w:sz w:val="16"/>
                <w:szCs w:val="16"/>
              </w:rPr>
            </w:pPr>
            <w:r w:rsidRPr="00E20D21">
              <w:rPr>
                <w:rFonts w:ascii="CAIXA Std Book" w:hAnsi="CAIXA Std Book" w:cs="Symbol"/>
                <w:b/>
                <w:color w:val="005CA9"/>
                <w:sz w:val="16"/>
                <w:szCs w:val="16"/>
              </w:rPr>
              <w:t>Novo Plano</w:t>
            </w:r>
          </w:p>
        </w:tc>
      </w:tr>
      <w:tr w:rsidR="00AF5922" w:rsidRPr="00E20D21" w14:paraId="1FB2D5D5" w14:textId="77777777" w:rsidTr="00C11FCD">
        <w:trPr>
          <w:trHeight w:val="283"/>
        </w:trPr>
        <w:tc>
          <w:tcPr>
            <w:tcW w:w="1314" w:type="pct"/>
            <w:vMerge/>
            <w:tcBorders>
              <w:top w:val="single" w:sz="4" w:space="0" w:color="F68F00"/>
              <w:left w:val="nil"/>
              <w:bottom w:val="single" w:sz="4" w:space="0" w:color="F68F00"/>
              <w:right w:val="nil"/>
            </w:tcBorders>
            <w:vAlign w:val="center"/>
            <w:hideMark/>
          </w:tcPr>
          <w:p w14:paraId="291D8983" w14:textId="77777777" w:rsidR="00AF5922" w:rsidRPr="00E20D21" w:rsidRDefault="00AF5922" w:rsidP="00AF5922">
            <w:pPr>
              <w:rPr>
                <w:rFonts w:ascii="CAIXA Std Book" w:hAnsi="CAIXA Std Book" w:cs="Symbol"/>
                <w:b/>
                <w:color w:val="005CA9"/>
                <w:sz w:val="16"/>
                <w:szCs w:val="16"/>
              </w:rPr>
            </w:pPr>
          </w:p>
        </w:tc>
        <w:tc>
          <w:tcPr>
            <w:tcW w:w="567" w:type="pct"/>
            <w:tcBorders>
              <w:top w:val="nil"/>
              <w:left w:val="nil"/>
              <w:bottom w:val="single" w:sz="4" w:space="0" w:color="F68F00"/>
              <w:right w:val="nil"/>
            </w:tcBorders>
            <w:shd w:val="clear" w:color="auto" w:fill="auto"/>
            <w:vAlign w:val="center"/>
          </w:tcPr>
          <w:p w14:paraId="6D312CCC" w14:textId="78172A1B"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2024</w:t>
            </w:r>
          </w:p>
        </w:tc>
        <w:tc>
          <w:tcPr>
            <w:tcW w:w="368" w:type="pct"/>
            <w:tcBorders>
              <w:top w:val="nil"/>
              <w:left w:val="nil"/>
              <w:bottom w:val="single" w:sz="4" w:space="0" w:color="F68F00"/>
              <w:right w:val="nil"/>
            </w:tcBorders>
            <w:shd w:val="clear" w:color="auto" w:fill="auto"/>
            <w:vAlign w:val="center"/>
            <w:hideMark/>
          </w:tcPr>
          <w:p w14:paraId="12906F85" w14:textId="2F4D3C76"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Exercício 2023</w:t>
            </w:r>
          </w:p>
        </w:tc>
        <w:tc>
          <w:tcPr>
            <w:tcW w:w="370" w:type="pct"/>
            <w:tcBorders>
              <w:top w:val="nil"/>
              <w:left w:val="nil"/>
              <w:bottom w:val="single" w:sz="4" w:space="0" w:color="F68F00"/>
              <w:right w:val="nil"/>
            </w:tcBorders>
            <w:shd w:val="clear" w:color="auto" w:fill="auto"/>
            <w:vAlign w:val="center"/>
          </w:tcPr>
          <w:p w14:paraId="4A12F9E3" w14:textId="41155887"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2023</w:t>
            </w:r>
          </w:p>
        </w:tc>
        <w:tc>
          <w:tcPr>
            <w:tcW w:w="410" w:type="pct"/>
            <w:tcBorders>
              <w:top w:val="nil"/>
              <w:left w:val="nil"/>
              <w:bottom w:val="single" w:sz="4" w:space="0" w:color="F68F00"/>
              <w:right w:val="nil"/>
            </w:tcBorders>
            <w:shd w:val="clear" w:color="auto" w:fill="auto"/>
            <w:vAlign w:val="center"/>
          </w:tcPr>
          <w:p w14:paraId="5509589F" w14:textId="56974D35"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2024</w:t>
            </w:r>
          </w:p>
        </w:tc>
        <w:tc>
          <w:tcPr>
            <w:tcW w:w="367" w:type="pct"/>
            <w:tcBorders>
              <w:top w:val="nil"/>
              <w:left w:val="nil"/>
              <w:bottom w:val="single" w:sz="4" w:space="0" w:color="F68F00"/>
              <w:right w:val="nil"/>
            </w:tcBorders>
            <w:shd w:val="clear" w:color="auto" w:fill="auto"/>
            <w:vAlign w:val="center"/>
            <w:hideMark/>
          </w:tcPr>
          <w:p w14:paraId="6299BFD3" w14:textId="2DC8E2D8"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Exercício 2023</w:t>
            </w:r>
          </w:p>
        </w:tc>
        <w:tc>
          <w:tcPr>
            <w:tcW w:w="414" w:type="pct"/>
            <w:tcBorders>
              <w:top w:val="nil"/>
              <w:left w:val="nil"/>
              <w:bottom w:val="single" w:sz="4" w:space="0" w:color="F68F00"/>
              <w:right w:val="nil"/>
            </w:tcBorders>
            <w:shd w:val="clear" w:color="auto" w:fill="auto"/>
            <w:vAlign w:val="center"/>
          </w:tcPr>
          <w:p w14:paraId="3F60E95A" w14:textId="0EB3566F"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2023</w:t>
            </w:r>
          </w:p>
        </w:tc>
        <w:tc>
          <w:tcPr>
            <w:tcW w:w="413" w:type="pct"/>
            <w:tcBorders>
              <w:top w:val="nil"/>
              <w:left w:val="nil"/>
              <w:bottom w:val="single" w:sz="4" w:space="0" w:color="F68F00"/>
              <w:right w:val="nil"/>
            </w:tcBorders>
            <w:shd w:val="clear" w:color="auto" w:fill="auto"/>
            <w:vAlign w:val="center"/>
          </w:tcPr>
          <w:p w14:paraId="03E50A86" w14:textId="5ED6BA5B"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2024</w:t>
            </w:r>
          </w:p>
        </w:tc>
        <w:tc>
          <w:tcPr>
            <w:tcW w:w="329" w:type="pct"/>
            <w:tcBorders>
              <w:top w:val="nil"/>
              <w:left w:val="nil"/>
              <w:bottom w:val="single" w:sz="4" w:space="0" w:color="F68F00"/>
              <w:right w:val="nil"/>
            </w:tcBorders>
            <w:shd w:val="clear" w:color="auto" w:fill="auto"/>
            <w:vAlign w:val="center"/>
            <w:hideMark/>
          </w:tcPr>
          <w:p w14:paraId="04D16E95" w14:textId="2781EF52" w:rsidR="00AF5922" w:rsidRPr="00E20D21" w:rsidRDefault="00AF5922" w:rsidP="00AF5922">
            <w:pPr>
              <w:jc w:val="center"/>
              <w:rPr>
                <w:rFonts w:ascii="CAIXA Std Book" w:hAnsi="CAIXA Std Book" w:cs="Symbol"/>
                <w:b/>
                <w:color w:val="005CA9"/>
                <w:sz w:val="16"/>
                <w:szCs w:val="16"/>
              </w:rPr>
            </w:pPr>
            <w:r w:rsidRPr="00E20D21">
              <w:rPr>
                <w:rFonts w:ascii="CAIXA Std Book" w:hAnsi="CAIXA Std Book" w:cs="MS Gothic"/>
                <w:b/>
                <w:color w:val="005CA9"/>
                <w:sz w:val="16"/>
                <w:szCs w:val="16"/>
              </w:rPr>
              <w:t>Exercício 2023</w:t>
            </w:r>
          </w:p>
        </w:tc>
        <w:tc>
          <w:tcPr>
            <w:tcW w:w="449" w:type="pct"/>
            <w:tcBorders>
              <w:top w:val="nil"/>
              <w:left w:val="nil"/>
              <w:bottom w:val="single" w:sz="4" w:space="0" w:color="F68F00"/>
              <w:right w:val="nil"/>
            </w:tcBorders>
            <w:shd w:val="clear" w:color="auto" w:fill="auto"/>
            <w:vAlign w:val="center"/>
          </w:tcPr>
          <w:p w14:paraId="718BEA92" w14:textId="3EC6EE16" w:rsidR="00AF5922" w:rsidRPr="00E20D21" w:rsidRDefault="00AF5922" w:rsidP="00AF5922">
            <w:pPr>
              <w:ind w:left="-53" w:firstLine="53"/>
              <w:jc w:val="center"/>
              <w:rPr>
                <w:rFonts w:ascii="CAIXA Std Book" w:hAnsi="CAIXA Std Book" w:cs="Symbol"/>
                <w:b/>
                <w:color w:val="005CA9"/>
                <w:sz w:val="16"/>
                <w:szCs w:val="16"/>
              </w:rPr>
            </w:pPr>
            <w:r w:rsidRPr="00E20D21">
              <w:rPr>
                <w:rFonts w:ascii="CAIXA Std Book" w:hAnsi="CAIXA Std Book" w:cs="MS Gothic"/>
                <w:b/>
                <w:color w:val="005CA9"/>
                <w:sz w:val="16"/>
                <w:szCs w:val="16"/>
              </w:rPr>
              <w:t>1º semestre 2023</w:t>
            </w:r>
          </w:p>
        </w:tc>
      </w:tr>
      <w:tr w:rsidR="0096575F" w:rsidRPr="00E20D21" w14:paraId="44D716D9" w14:textId="77777777" w:rsidTr="00C11FCD">
        <w:trPr>
          <w:trHeight w:val="283"/>
        </w:trPr>
        <w:tc>
          <w:tcPr>
            <w:tcW w:w="1314" w:type="pct"/>
            <w:tcBorders>
              <w:top w:val="nil"/>
              <w:left w:val="nil"/>
              <w:bottom w:val="nil"/>
              <w:right w:val="nil"/>
            </w:tcBorders>
            <w:shd w:val="clear" w:color="auto" w:fill="auto"/>
            <w:vAlign w:val="center"/>
            <w:hideMark/>
          </w:tcPr>
          <w:p w14:paraId="2AC20A59" w14:textId="77777777" w:rsidR="0096575F" w:rsidRPr="00E20D21" w:rsidRDefault="0096575F" w:rsidP="0096575F">
            <w:pPr>
              <w:rPr>
                <w:rFonts w:ascii="CAIXA Std Book" w:hAnsi="CAIXA Std Book" w:cs="Symbol"/>
                <w:color w:val="005CA9"/>
                <w:sz w:val="16"/>
                <w:szCs w:val="16"/>
              </w:rPr>
            </w:pPr>
            <w:r w:rsidRPr="00E20D21">
              <w:rPr>
                <w:rFonts w:ascii="CAIXA Std Book" w:hAnsi="CAIXA Std Book" w:cs="Symbol"/>
                <w:color w:val="005CA9"/>
                <w:sz w:val="16"/>
                <w:szCs w:val="16"/>
              </w:rPr>
              <w:t>Custo do serviço corrente</w:t>
            </w:r>
          </w:p>
        </w:tc>
        <w:tc>
          <w:tcPr>
            <w:tcW w:w="567" w:type="pct"/>
            <w:tcBorders>
              <w:top w:val="nil"/>
              <w:left w:val="nil"/>
              <w:bottom w:val="nil"/>
              <w:right w:val="nil"/>
            </w:tcBorders>
            <w:shd w:val="clear" w:color="auto" w:fill="auto"/>
            <w:vAlign w:val="center"/>
          </w:tcPr>
          <w:p w14:paraId="7113B41F" w14:textId="0063C1E4" w:rsidR="0096575F" w:rsidRPr="00E20D21" w:rsidRDefault="00153AE8" w:rsidP="0096575F">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68" w:type="pct"/>
            <w:tcBorders>
              <w:top w:val="nil"/>
              <w:left w:val="nil"/>
              <w:bottom w:val="nil"/>
              <w:right w:val="nil"/>
            </w:tcBorders>
            <w:shd w:val="clear" w:color="auto" w:fill="auto"/>
            <w:vAlign w:val="center"/>
          </w:tcPr>
          <w:p w14:paraId="1BF20785" w14:textId="77777777" w:rsidR="0096575F" w:rsidRPr="00E20D21" w:rsidRDefault="0096575F" w:rsidP="0096575F">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70" w:type="pct"/>
            <w:tcBorders>
              <w:top w:val="nil"/>
              <w:left w:val="nil"/>
              <w:bottom w:val="nil"/>
              <w:right w:val="nil"/>
            </w:tcBorders>
            <w:shd w:val="clear" w:color="auto" w:fill="auto"/>
            <w:vAlign w:val="center"/>
          </w:tcPr>
          <w:p w14:paraId="2F172F57" w14:textId="55594ACC" w:rsidR="0096575F" w:rsidRPr="00E20D21" w:rsidRDefault="0096575F" w:rsidP="0096575F">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10" w:type="pct"/>
            <w:tcBorders>
              <w:top w:val="nil"/>
              <w:left w:val="nil"/>
              <w:bottom w:val="nil"/>
              <w:right w:val="nil"/>
            </w:tcBorders>
            <w:shd w:val="clear" w:color="auto" w:fill="auto"/>
            <w:vAlign w:val="center"/>
          </w:tcPr>
          <w:p w14:paraId="277FF506" w14:textId="1E9A9050" w:rsidR="0096575F" w:rsidRPr="00E20D21" w:rsidRDefault="00153AE8" w:rsidP="0096575F">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367" w:type="pct"/>
            <w:tcBorders>
              <w:top w:val="nil"/>
              <w:left w:val="nil"/>
              <w:bottom w:val="nil"/>
              <w:right w:val="nil"/>
            </w:tcBorders>
            <w:shd w:val="clear" w:color="auto" w:fill="auto"/>
            <w:vAlign w:val="center"/>
          </w:tcPr>
          <w:p w14:paraId="72E7A78A" w14:textId="77777777" w:rsidR="0096575F" w:rsidRPr="00E20D21" w:rsidRDefault="0096575F" w:rsidP="0096575F">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14" w:type="pct"/>
            <w:tcBorders>
              <w:top w:val="nil"/>
              <w:left w:val="nil"/>
              <w:bottom w:val="nil"/>
              <w:right w:val="nil"/>
            </w:tcBorders>
            <w:shd w:val="clear" w:color="auto" w:fill="auto"/>
            <w:vAlign w:val="center"/>
          </w:tcPr>
          <w:p w14:paraId="3C135A76" w14:textId="3839221B" w:rsidR="0096575F" w:rsidRPr="00E20D21" w:rsidRDefault="0096575F" w:rsidP="00153AE8">
            <w:pPr>
              <w:jc w:val="center"/>
              <w:rPr>
                <w:rFonts w:ascii="CAIXA Std Book" w:hAnsi="CAIXA Std Book" w:cs="Symbol"/>
                <w:color w:val="005CA9"/>
                <w:sz w:val="16"/>
                <w:szCs w:val="16"/>
              </w:rPr>
            </w:pPr>
            <w:r w:rsidRPr="00E20D21">
              <w:rPr>
                <w:rFonts w:ascii="CAIXA Std Book" w:hAnsi="CAIXA Std Book" w:cs="Calibri"/>
                <w:color w:val="005CA9"/>
                <w:sz w:val="16"/>
                <w:szCs w:val="16"/>
              </w:rPr>
              <w:t>-</w:t>
            </w:r>
          </w:p>
        </w:tc>
        <w:tc>
          <w:tcPr>
            <w:tcW w:w="413" w:type="pct"/>
            <w:tcBorders>
              <w:top w:val="nil"/>
              <w:left w:val="nil"/>
              <w:bottom w:val="nil"/>
              <w:right w:val="nil"/>
            </w:tcBorders>
            <w:shd w:val="clear" w:color="auto" w:fill="auto"/>
            <w:vAlign w:val="center"/>
          </w:tcPr>
          <w:p w14:paraId="4D822820" w14:textId="639497C4" w:rsidR="0096575F" w:rsidRPr="00E20D21" w:rsidRDefault="00153AE8"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(51.864)</w:t>
            </w:r>
          </w:p>
        </w:tc>
        <w:tc>
          <w:tcPr>
            <w:tcW w:w="329" w:type="pct"/>
            <w:tcBorders>
              <w:top w:val="nil"/>
              <w:left w:val="nil"/>
              <w:bottom w:val="nil"/>
              <w:right w:val="nil"/>
            </w:tcBorders>
            <w:shd w:val="clear" w:color="auto" w:fill="auto"/>
            <w:vAlign w:val="center"/>
          </w:tcPr>
          <w:p w14:paraId="154A2380" w14:textId="77777777"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(97.676)</w:t>
            </w:r>
          </w:p>
        </w:tc>
        <w:tc>
          <w:tcPr>
            <w:tcW w:w="449" w:type="pct"/>
            <w:tcBorders>
              <w:top w:val="nil"/>
              <w:left w:val="nil"/>
              <w:bottom w:val="nil"/>
              <w:right w:val="nil"/>
            </w:tcBorders>
            <w:shd w:val="clear" w:color="auto" w:fill="auto"/>
            <w:vAlign w:val="center"/>
          </w:tcPr>
          <w:p w14:paraId="5840B11A" w14:textId="0BC370A9"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(42.138)</w:t>
            </w:r>
          </w:p>
        </w:tc>
      </w:tr>
      <w:tr w:rsidR="0096575F" w:rsidRPr="00E20D21" w14:paraId="098F2B91" w14:textId="77777777" w:rsidTr="00C11FCD">
        <w:trPr>
          <w:trHeight w:val="283"/>
        </w:trPr>
        <w:tc>
          <w:tcPr>
            <w:tcW w:w="1314" w:type="pct"/>
            <w:tcBorders>
              <w:top w:val="nil"/>
              <w:left w:val="nil"/>
              <w:bottom w:val="nil"/>
              <w:right w:val="nil"/>
            </w:tcBorders>
            <w:shd w:val="clear" w:color="auto" w:fill="auto"/>
            <w:vAlign w:val="center"/>
          </w:tcPr>
          <w:p w14:paraId="0A946BF6" w14:textId="77777777" w:rsidR="0096575F" w:rsidRPr="00E20D21" w:rsidRDefault="0096575F" w:rsidP="0096575F">
            <w:pPr>
              <w:rPr>
                <w:rFonts w:ascii="CAIXA Std Book" w:hAnsi="CAIXA Std Book" w:cs="Symbol"/>
                <w:color w:val="005CA9"/>
                <w:sz w:val="16"/>
                <w:szCs w:val="16"/>
              </w:rPr>
            </w:pPr>
            <w:r w:rsidRPr="00E20D21">
              <w:rPr>
                <w:rFonts w:ascii="CAIXA Std Book" w:hAnsi="CAIXA Std Book" w:cs="Symbol"/>
                <w:color w:val="005CA9"/>
                <w:sz w:val="16"/>
                <w:szCs w:val="16"/>
              </w:rPr>
              <w:t>Custo dos juros sobre VPO</w:t>
            </w:r>
          </w:p>
        </w:tc>
        <w:tc>
          <w:tcPr>
            <w:tcW w:w="567" w:type="pct"/>
            <w:tcBorders>
              <w:top w:val="nil"/>
              <w:left w:val="nil"/>
              <w:bottom w:val="nil"/>
              <w:right w:val="nil"/>
            </w:tcBorders>
            <w:shd w:val="clear" w:color="auto" w:fill="auto"/>
            <w:vAlign w:val="center"/>
          </w:tcPr>
          <w:p w14:paraId="7AFE69C5" w14:textId="0E11F8C2" w:rsidR="0096575F" w:rsidRPr="00E20D21" w:rsidRDefault="00153AE8"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(156.927)</w:t>
            </w:r>
          </w:p>
        </w:tc>
        <w:tc>
          <w:tcPr>
            <w:tcW w:w="368" w:type="pct"/>
            <w:tcBorders>
              <w:top w:val="nil"/>
              <w:left w:val="nil"/>
              <w:bottom w:val="nil"/>
              <w:right w:val="nil"/>
            </w:tcBorders>
            <w:shd w:val="clear" w:color="auto" w:fill="auto"/>
            <w:vAlign w:val="center"/>
          </w:tcPr>
          <w:p w14:paraId="0D2CAD9F" w14:textId="77777777"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(308.078)</w:t>
            </w:r>
          </w:p>
        </w:tc>
        <w:tc>
          <w:tcPr>
            <w:tcW w:w="370" w:type="pct"/>
            <w:tcBorders>
              <w:top w:val="nil"/>
              <w:left w:val="nil"/>
              <w:bottom w:val="nil"/>
              <w:right w:val="nil"/>
            </w:tcBorders>
            <w:shd w:val="clear" w:color="auto" w:fill="auto"/>
            <w:vAlign w:val="center"/>
          </w:tcPr>
          <w:p w14:paraId="060D5467" w14:textId="5D974A6D"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(150.938)</w:t>
            </w:r>
          </w:p>
        </w:tc>
        <w:tc>
          <w:tcPr>
            <w:tcW w:w="410" w:type="pct"/>
            <w:tcBorders>
              <w:top w:val="nil"/>
              <w:left w:val="nil"/>
              <w:bottom w:val="nil"/>
              <w:right w:val="nil"/>
            </w:tcBorders>
            <w:shd w:val="clear" w:color="auto" w:fill="auto"/>
            <w:vAlign w:val="center"/>
          </w:tcPr>
          <w:p w14:paraId="486BAA44" w14:textId="2A9F002A" w:rsidR="0096575F" w:rsidRPr="00E20D21" w:rsidRDefault="00153AE8"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(17.633)</w:t>
            </w:r>
          </w:p>
        </w:tc>
        <w:tc>
          <w:tcPr>
            <w:tcW w:w="367" w:type="pct"/>
            <w:tcBorders>
              <w:top w:val="nil"/>
              <w:left w:val="nil"/>
              <w:bottom w:val="nil"/>
              <w:right w:val="nil"/>
            </w:tcBorders>
            <w:shd w:val="clear" w:color="auto" w:fill="auto"/>
            <w:vAlign w:val="center"/>
          </w:tcPr>
          <w:p w14:paraId="656FCB0B" w14:textId="77777777"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(33.736)</w:t>
            </w:r>
          </w:p>
        </w:tc>
        <w:tc>
          <w:tcPr>
            <w:tcW w:w="414" w:type="pct"/>
            <w:tcBorders>
              <w:top w:val="nil"/>
              <w:left w:val="nil"/>
              <w:bottom w:val="nil"/>
              <w:right w:val="nil"/>
            </w:tcBorders>
            <w:shd w:val="clear" w:color="auto" w:fill="auto"/>
            <w:vAlign w:val="center"/>
          </w:tcPr>
          <w:p w14:paraId="0CCD44C2" w14:textId="02DE30BE"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(16.365)</w:t>
            </w:r>
          </w:p>
        </w:tc>
        <w:tc>
          <w:tcPr>
            <w:tcW w:w="413" w:type="pct"/>
            <w:tcBorders>
              <w:top w:val="nil"/>
              <w:left w:val="nil"/>
              <w:bottom w:val="nil"/>
              <w:right w:val="nil"/>
            </w:tcBorders>
            <w:shd w:val="clear" w:color="auto" w:fill="auto"/>
            <w:vAlign w:val="center"/>
          </w:tcPr>
          <w:p w14:paraId="39D37F33" w14:textId="568F2EDE" w:rsidR="0096575F" w:rsidRPr="00E20D21" w:rsidRDefault="00153AE8"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(112.712)</w:t>
            </w:r>
          </w:p>
        </w:tc>
        <w:tc>
          <w:tcPr>
            <w:tcW w:w="329" w:type="pct"/>
            <w:tcBorders>
              <w:top w:val="nil"/>
              <w:left w:val="nil"/>
              <w:bottom w:val="nil"/>
              <w:right w:val="nil"/>
            </w:tcBorders>
            <w:shd w:val="clear" w:color="auto" w:fill="auto"/>
            <w:vAlign w:val="center"/>
          </w:tcPr>
          <w:p w14:paraId="01C38E44" w14:textId="77777777"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(220.730)</w:t>
            </w:r>
          </w:p>
        </w:tc>
        <w:tc>
          <w:tcPr>
            <w:tcW w:w="449" w:type="pct"/>
            <w:tcBorders>
              <w:top w:val="nil"/>
              <w:left w:val="nil"/>
              <w:bottom w:val="nil"/>
              <w:right w:val="nil"/>
            </w:tcBorders>
            <w:shd w:val="clear" w:color="auto" w:fill="auto"/>
            <w:vAlign w:val="center"/>
          </w:tcPr>
          <w:p w14:paraId="463565CC" w14:textId="63C5AF3A"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(104.988)</w:t>
            </w:r>
          </w:p>
        </w:tc>
      </w:tr>
      <w:tr w:rsidR="0096575F" w:rsidRPr="00E20D21" w14:paraId="2F16B31E" w14:textId="77777777" w:rsidTr="00C11FCD">
        <w:trPr>
          <w:trHeight w:val="283"/>
        </w:trPr>
        <w:tc>
          <w:tcPr>
            <w:tcW w:w="1314" w:type="pct"/>
            <w:tcBorders>
              <w:top w:val="nil"/>
              <w:left w:val="nil"/>
              <w:bottom w:val="nil"/>
              <w:right w:val="nil"/>
            </w:tcBorders>
            <w:shd w:val="clear" w:color="auto" w:fill="auto"/>
            <w:vAlign w:val="center"/>
            <w:hideMark/>
          </w:tcPr>
          <w:p w14:paraId="548705BC" w14:textId="77777777" w:rsidR="0096575F" w:rsidRPr="00E20D21" w:rsidRDefault="0096575F" w:rsidP="0096575F">
            <w:pPr>
              <w:rPr>
                <w:rFonts w:ascii="CAIXA Std Book" w:hAnsi="CAIXA Std Book" w:cs="Symbol"/>
                <w:color w:val="005CA9"/>
                <w:sz w:val="16"/>
                <w:szCs w:val="16"/>
              </w:rPr>
            </w:pPr>
            <w:r w:rsidRPr="00E20D21">
              <w:rPr>
                <w:rFonts w:ascii="CAIXA Std Book" w:hAnsi="CAIXA Std Book" w:cs="Symbol"/>
                <w:color w:val="005CA9"/>
                <w:sz w:val="16"/>
                <w:szCs w:val="16"/>
              </w:rPr>
              <w:t xml:space="preserve">Receita de juros sobre </w:t>
            </w:r>
            <w:r w:rsidRPr="00E20D21">
              <w:rPr>
                <w:rFonts w:ascii="CAIXA Std Book" w:hAnsi="CAIXA Std Book" w:cs="Calibri"/>
                <w:color w:val="005CA9"/>
                <w:sz w:val="16"/>
                <w:szCs w:val="16"/>
              </w:rPr>
              <w:t>o ativo</w:t>
            </w:r>
          </w:p>
        </w:tc>
        <w:tc>
          <w:tcPr>
            <w:tcW w:w="567" w:type="pct"/>
            <w:tcBorders>
              <w:top w:val="nil"/>
              <w:left w:val="nil"/>
              <w:bottom w:val="nil"/>
              <w:right w:val="nil"/>
            </w:tcBorders>
            <w:shd w:val="clear" w:color="auto" w:fill="auto"/>
            <w:vAlign w:val="center"/>
          </w:tcPr>
          <w:p w14:paraId="5AF3CFA4" w14:textId="08537134" w:rsidR="0096575F" w:rsidRPr="00E20D21" w:rsidRDefault="00153AE8"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141.248</w:t>
            </w:r>
          </w:p>
        </w:tc>
        <w:tc>
          <w:tcPr>
            <w:tcW w:w="368" w:type="pct"/>
            <w:tcBorders>
              <w:top w:val="nil"/>
              <w:left w:val="nil"/>
              <w:bottom w:val="nil"/>
              <w:right w:val="nil"/>
            </w:tcBorders>
            <w:shd w:val="clear" w:color="auto" w:fill="auto"/>
            <w:vAlign w:val="center"/>
          </w:tcPr>
          <w:p w14:paraId="5671B851" w14:textId="77777777"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275.869</w:t>
            </w:r>
          </w:p>
        </w:tc>
        <w:tc>
          <w:tcPr>
            <w:tcW w:w="370" w:type="pct"/>
            <w:tcBorders>
              <w:top w:val="nil"/>
              <w:left w:val="nil"/>
              <w:bottom w:val="nil"/>
              <w:right w:val="nil"/>
            </w:tcBorders>
            <w:shd w:val="clear" w:color="auto" w:fill="auto"/>
            <w:vAlign w:val="center"/>
          </w:tcPr>
          <w:p w14:paraId="63B8F149" w14:textId="100F3209"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146.774</w:t>
            </w:r>
          </w:p>
        </w:tc>
        <w:tc>
          <w:tcPr>
            <w:tcW w:w="410" w:type="pct"/>
            <w:tcBorders>
              <w:top w:val="nil"/>
              <w:left w:val="nil"/>
              <w:bottom w:val="nil"/>
              <w:right w:val="nil"/>
            </w:tcBorders>
            <w:shd w:val="clear" w:color="auto" w:fill="auto"/>
            <w:vAlign w:val="center"/>
          </w:tcPr>
          <w:p w14:paraId="490D7302" w14:textId="21A7C9C6" w:rsidR="0096575F" w:rsidRPr="00E20D21" w:rsidRDefault="00153AE8"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16.324</w:t>
            </w:r>
          </w:p>
        </w:tc>
        <w:tc>
          <w:tcPr>
            <w:tcW w:w="367" w:type="pct"/>
            <w:tcBorders>
              <w:top w:val="nil"/>
              <w:left w:val="nil"/>
              <w:bottom w:val="nil"/>
              <w:right w:val="nil"/>
            </w:tcBorders>
            <w:shd w:val="clear" w:color="auto" w:fill="auto"/>
            <w:vAlign w:val="center"/>
          </w:tcPr>
          <w:p w14:paraId="2401E660" w14:textId="77777777"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29.222</w:t>
            </w:r>
          </w:p>
        </w:tc>
        <w:tc>
          <w:tcPr>
            <w:tcW w:w="414" w:type="pct"/>
            <w:tcBorders>
              <w:top w:val="nil"/>
              <w:left w:val="nil"/>
              <w:bottom w:val="nil"/>
              <w:right w:val="nil"/>
            </w:tcBorders>
            <w:shd w:val="clear" w:color="auto" w:fill="auto"/>
            <w:vAlign w:val="center"/>
          </w:tcPr>
          <w:p w14:paraId="77EFB1C3" w14:textId="21008EB7"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14.161</w:t>
            </w:r>
          </w:p>
        </w:tc>
        <w:tc>
          <w:tcPr>
            <w:tcW w:w="413" w:type="pct"/>
            <w:tcBorders>
              <w:top w:val="nil"/>
              <w:left w:val="nil"/>
              <w:bottom w:val="nil"/>
              <w:right w:val="nil"/>
            </w:tcBorders>
            <w:shd w:val="clear" w:color="auto" w:fill="auto"/>
            <w:vAlign w:val="center"/>
          </w:tcPr>
          <w:p w14:paraId="41836B38" w14:textId="5316F5AA" w:rsidR="0096575F" w:rsidRPr="00E20D21" w:rsidRDefault="00153AE8"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72.953</w:t>
            </w:r>
          </w:p>
        </w:tc>
        <w:tc>
          <w:tcPr>
            <w:tcW w:w="329" w:type="pct"/>
            <w:tcBorders>
              <w:top w:val="nil"/>
              <w:left w:val="nil"/>
              <w:bottom w:val="nil"/>
              <w:right w:val="nil"/>
            </w:tcBorders>
            <w:shd w:val="clear" w:color="auto" w:fill="auto"/>
            <w:vAlign w:val="center"/>
          </w:tcPr>
          <w:p w14:paraId="69B5140A" w14:textId="77777777"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147.019</w:t>
            </w:r>
          </w:p>
        </w:tc>
        <w:tc>
          <w:tcPr>
            <w:tcW w:w="449" w:type="pct"/>
            <w:tcBorders>
              <w:top w:val="nil"/>
              <w:left w:val="nil"/>
              <w:bottom w:val="nil"/>
              <w:right w:val="nil"/>
            </w:tcBorders>
            <w:shd w:val="clear" w:color="auto" w:fill="auto"/>
            <w:vAlign w:val="center"/>
          </w:tcPr>
          <w:p w14:paraId="62CEB586" w14:textId="31E027E0" w:rsidR="0096575F" w:rsidRPr="00E20D21" w:rsidRDefault="0096575F" w:rsidP="0096575F">
            <w:pPr>
              <w:jc w:val="right"/>
              <w:rPr>
                <w:rFonts w:ascii="CAIXA Std Book" w:hAnsi="CAIXA Std Book" w:cs="Symbol"/>
                <w:color w:val="005CA9"/>
                <w:sz w:val="16"/>
                <w:szCs w:val="16"/>
              </w:rPr>
            </w:pPr>
            <w:r w:rsidRPr="00E20D21">
              <w:rPr>
                <w:rFonts w:ascii="CAIXA Std Book" w:hAnsi="CAIXA Std Book" w:cs="Calibri"/>
                <w:color w:val="005CA9"/>
                <w:sz w:val="16"/>
                <w:szCs w:val="16"/>
              </w:rPr>
              <w:t>50.216</w:t>
            </w:r>
          </w:p>
        </w:tc>
      </w:tr>
      <w:tr w:rsidR="0096575F" w:rsidRPr="00E20D21" w14:paraId="0237102A" w14:textId="77777777" w:rsidTr="00C11FCD">
        <w:trPr>
          <w:trHeight w:val="283"/>
        </w:trPr>
        <w:tc>
          <w:tcPr>
            <w:tcW w:w="1314" w:type="pct"/>
            <w:tcBorders>
              <w:top w:val="single" w:sz="4" w:space="0" w:color="F68F00"/>
              <w:left w:val="nil"/>
              <w:bottom w:val="single" w:sz="4" w:space="0" w:color="F68F00"/>
              <w:right w:val="nil"/>
            </w:tcBorders>
            <w:shd w:val="clear" w:color="auto" w:fill="auto"/>
            <w:vAlign w:val="center"/>
            <w:hideMark/>
          </w:tcPr>
          <w:p w14:paraId="14E24CC9" w14:textId="77777777" w:rsidR="0096575F" w:rsidRPr="00E20D21" w:rsidRDefault="0096575F" w:rsidP="0096575F">
            <w:pPr>
              <w:rPr>
                <w:rFonts w:ascii="CAIXA Std Book" w:hAnsi="CAIXA Std Book" w:cs="Symbol"/>
                <w:b/>
                <w:color w:val="005CA9"/>
                <w:sz w:val="16"/>
                <w:szCs w:val="16"/>
              </w:rPr>
            </w:pPr>
            <w:r w:rsidRPr="00E20D21">
              <w:rPr>
                <w:rFonts w:ascii="CAIXA Std Book" w:hAnsi="CAIXA Std Book" w:cs="Calibri"/>
                <w:b/>
                <w:color w:val="005CA9"/>
                <w:sz w:val="16"/>
                <w:szCs w:val="16"/>
              </w:rPr>
              <w:t>(Despesa)/Receita reconhecida no resultado</w:t>
            </w:r>
          </w:p>
        </w:tc>
        <w:tc>
          <w:tcPr>
            <w:tcW w:w="567" w:type="pct"/>
            <w:tcBorders>
              <w:top w:val="single" w:sz="4" w:space="0" w:color="F68F00"/>
              <w:left w:val="nil"/>
              <w:bottom w:val="single" w:sz="4" w:space="0" w:color="F68F00"/>
              <w:right w:val="nil"/>
            </w:tcBorders>
            <w:shd w:val="clear" w:color="auto" w:fill="auto"/>
            <w:vAlign w:val="center"/>
          </w:tcPr>
          <w:p w14:paraId="48A8680D" w14:textId="772536D3" w:rsidR="0096575F" w:rsidRPr="00E20D21" w:rsidRDefault="00153AE8" w:rsidP="0096575F">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(15.6</w:t>
            </w:r>
            <w:r w:rsidR="00C30ACB" w:rsidRPr="00E20D21">
              <w:rPr>
                <w:rFonts w:ascii="CAIXA Std Book" w:hAnsi="CAIXA Std Book" w:cs="Calibri"/>
                <w:b/>
                <w:bCs/>
                <w:color w:val="005CA9"/>
                <w:sz w:val="16"/>
                <w:szCs w:val="16"/>
              </w:rPr>
              <w:t>79</w:t>
            </w:r>
            <w:r w:rsidRPr="00E20D21">
              <w:rPr>
                <w:rFonts w:ascii="CAIXA Std Book" w:hAnsi="CAIXA Std Book" w:cs="Calibri"/>
                <w:b/>
                <w:bCs/>
                <w:color w:val="005CA9"/>
                <w:sz w:val="16"/>
                <w:szCs w:val="16"/>
              </w:rPr>
              <w:t>)</w:t>
            </w:r>
          </w:p>
        </w:tc>
        <w:tc>
          <w:tcPr>
            <w:tcW w:w="368" w:type="pct"/>
            <w:tcBorders>
              <w:top w:val="single" w:sz="4" w:space="0" w:color="F68F00"/>
              <w:left w:val="nil"/>
              <w:bottom w:val="single" w:sz="4" w:space="0" w:color="F68F00"/>
              <w:right w:val="nil"/>
            </w:tcBorders>
            <w:shd w:val="clear" w:color="auto" w:fill="auto"/>
            <w:vAlign w:val="center"/>
          </w:tcPr>
          <w:p w14:paraId="7FAC9AED" w14:textId="77043F4D" w:rsidR="0096575F" w:rsidRPr="00E20D21" w:rsidRDefault="0096575F" w:rsidP="0096575F">
            <w:pPr>
              <w:jc w:val="right"/>
              <w:rPr>
                <w:rFonts w:ascii="CAIXA Std Book" w:hAnsi="CAIXA Std Book" w:cs="Symbol"/>
                <w:b/>
                <w:color w:val="005CA9"/>
                <w:sz w:val="16"/>
                <w:szCs w:val="16"/>
              </w:rPr>
            </w:pPr>
            <w:r w:rsidRPr="00E20D21">
              <w:rPr>
                <w:rFonts w:ascii="CAIXA Std Book" w:hAnsi="CAIXA Std Book" w:cs="Calibri"/>
                <w:b/>
                <w:color w:val="005CA9"/>
                <w:sz w:val="16"/>
                <w:szCs w:val="16"/>
              </w:rPr>
              <w:t>(32.2</w:t>
            </w:r>
            <w:r w:rsidR="004B006F" w:rsidRPr="00E20D21">
              <w:rPr>
                <w:rFonts w:ascii="CAIXA Std Book" w:hAnsi="CAIXA Std Book" w:cs="Calibri"/>
                <w:b/>
                <w:color w:val="005CA9"/>
                <w:sz w:val="16"/>
                <w:szCs w:val="16"/>
              </w:rPr>
              <w:t>09</w:t>
            </w:r>
            <w:r w:rsidRPr="00E20D21">
              <w:rPr>
                <w:rFonts w:ascii="CAIXA Std Book" w:hAnsi="CAIXA Std Book" w:cs="Calibri"/>
                <w:b/>
                <w:color w:val="005CA9"/>
                <w:sz w:val="16"/>
                <w:szCs w:val="16"/>
              </w:rPr>
              <w:t>)</w:t>
            </w:r>
          </w:p>
        </w:tc>
        <w:tc>
          <w:tcPr>
            <w:tcW w:w="370" w:type="pct"/>
            <w:tcBorders>
              <w:top w:val="single" w:sz="4" w:space="0" w:color="F68F00"/>
              <w:left w:val="nil"/>
              <w:bottom w:val="single" w:sz="4" w:space="0" w:color="F68F00"/>
              <w:right w:val="nil"/>
            </w:tcBorders>
            <w:shd w:val="clear" w:color="auto" w:fill="auto"/>
            <w:vAlign w:val="center"/>
          </w:tcPr>
          <w:p w14:paraId="1BC07EFF" w14:textId="31FF2F1B" w:rsidR="0096575F" w:rsidRPr="00E20D21" w:rsidRDefault="0096575F" w:rsidP="0096575F">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(4.164)</w:t>
            </w:r>
          </w:p>
        </w:tc>
        <w:tc>
          <w:tcPr>
            <w:tcW w:w="410" w:type="pct"/>
            <w:tcBorders>
              <w:top w:val="single" w:sz="4" w:space="0" w:color="F68F00"/>
              <w:left w:val="nil"/>
              <w:bottom w:val="single" w:sz="4" w:space="0" w:color="F68F00"/>
              <w:right w:val="nil"/>
            </w:tcBorders>
            <w:shd w:val="clear" w:color="auto" w:fill="auto"/>
            <w:vAlign w:val="center"/>
          </w:tcPr>
          <w:p w14:paraId="42D4AAB8" w14:textId="3CF47D48" w:rsidR="0096575F" w:rsidRPr="00E20D21" w:rsidRDefault="00153AE8" w:rsidP="0096575F">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(1.309)</w:t>
            </w:r>
          </w:p>
        </w:tc>
        <w:tc>
          <w:tcPr>
            <w:tcW w:w="367" w:type="pct"/>
            <w:tcBorders>
              <w:top w:val="single" w:sz="4" w:space="0" w:color="F68F00"/>
              <w:left w:val="nil"/>
              <w:bottom w:val="single" w:sz="4" w:space="0" w:color="F68F00"/>
              <w:right w:val="nil"/>
            </w:tcBorders>
            <w:shd w:val="clear" w:color="auto" w:fill="auto"/>
            <w:vAlign w:val="center"/>
          </w:tcPr>
          <w:p w14:paraId="73A62384" w14:textId="13171986" w:rsidR="0096575F" w:rsidRPr="00E20D21" w:rsidRDefault="0096575F" w:rsidP="0096575F">
            <w:pPr>
              <w:jc w:val="right"/>
              <w:rPr>
                <w:rFonts w:ascii="CAIXA Std Book" w:hAnsi="CAIXA Std Book" w:cs="Symbol"/>
                <w:b/>
                <w:color w:val="005CA9"/>
                <w:sz w:val="16"/>
                <w:szCs w:val="16"/>
              </w:rPr>
            </w:pPr>
            <w:r w:rsidRPr="00E20D21">
              <w:rPr>
                <w:rFonts w:ascii="CAIXA Std Book" w:hAnsi="CAIXA Std Book" w:cs="Calibri"/>
                <w:b/>
                <w:color w:val="005CA9"/>
                <w:sz w:val="16"/>
                <w:szCs w:val="16"/>
              </w:rPr>
              <w:t>(4.51</w:t>
            </w:r>
            <w:r w:rsidR="00865115" w:rsidRPr="00E20D21">
              <w:rPr>
                <w:rFonts w:ascii="CAIXA Std Book" w:hAnsi="CAIXA Std Book" w:cs="Calibri"/>
                <w:b/>
                <w:color w:val="005CA9"/>
                <w:sz w:val="16"/>
                <w:szCs w:val="16"/>
              </w:rPr>
              <w:t>4</w:t>
            </w:r>
            <w:r w:rsidRPr="00E20D21">
              <w:rPr>
                <w:rFonts w:ascii="CAIXA Std Book" w:hAnsi="CAIXA Std Book" w:cs="Calibri"/>
                <w:b/>
                <w:color w:val="005CA9"/>
                <w:sz w:val="16"/>
                <w:szCs w:val="16"/>
              </w:rPr>
              <w:t>)</w:t>
            </w:r>
          </w:p>
        </w:tc>
        <w:tc>
          <w:tcPr>
            <w:tcW w:w="414" w:type="pct"/>
            <w:tcBorders>
              <w:top w:val="single" w:sz="4" w:space="0" w:color="F68F00"/>
              <w:left w:val="nil"/>
              <w:bottom w:val="single" w:sz="4" w:space="0" w:color="F68F00"/>
              <w:right w:val="nil"/>
            </w:tcBorders>
            <w:shd w:val="clear" w:color="auto" w:fill="auto"/>
            <w:vAlign w:val="center"/>
          </w:tcPr>
          <w:p w14:paraId="47AD7484" w14:textId="2D6FC3F9" w:rsidR="0096575F" w:rsidRPr="00E20D21" w:rsidRDefault="0096575F" w:rsidP="0096575F">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(2.204)</w:t>
            </w:r>
          </w:p>
        </w:tc>
        <w:tc>
          <w:tcPr>
            <w:tcW w:w="413" w:type="pct"/>
            <w:tcBorders>
              <w:top w:val="single" w:sz="4" w:space="0" w:color="F68F00"/>
              <w:left w:val="nil"/>
              <w:bottom w:val="single" w:sz="4" w:space="0" w:color="F68F00"/>
              <w:right w:val="nil"/>
            </w:tcBorders>
            <w:shd w:val="clear" w:color="auto" w:fill="auto"/>
            <w:vAlign w:val="center"/>
          </w:tcPr>
          <w:p w14:paraId="645BC5A4" w14:textId="6B801EE7" w:rsidR="0096575F" w:rsidRPr="00E20D21" w:rsidRDefault="00153AE8" w:rsidP="0096575F">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(91.62</w:t>
            </w:r>
            <w:r w:rsidR="00E70E40" w:rsidRPr="00E20D21">
              <w:rPr>
                <w:rFonts w:ascii="CAIXA Std Book" w:hAnsi="CAIXA Std Book" w:cs="Calibri"/>
                <w:b/>
                <w:bCs/>
                <w:color w:val="005CA9"/>
                <w:sz w:val="16"/>
                <w:szCs w:val="16"/>
              </w:rPr>
              <w:t>3</w:t>
            </w:r>
            <w:r w:rsidRPr="00E20D21">
              <w:rPr>
                <w:rFonts w:ascii="CAIXA Std Book" w:hAnsi="CAIXA Std Book" w:cs="Calibri"/>
                <w:b/>
                <w:bCs/>
                <w:color w:val="005CA9"/>
                <w:sz w:val="16"/>
                <w:szCs w:val="16"/>
              </w:rPr>
              <w:t>)</w:t>
            </w:r>
          </w:p>
        </w:tc>
        <w:tc>
          <w:tcPr>
            <w:tcW w:w="329" w:type="pct"/>
            <w:tcBorders>
              <w:top w:val="single" w:sz="4" w:space="0" w:color="F68F00"/>
              <w:left w:val="nil"/>
              <w:bottom w:val="single" w:sz="4" w:space="0" w:color="F68F00"/>
              <w:right w:val="nil"/>
            </w:tcBorders>
            <w:shd w:val="clear" w:color="auto" w:fill="auto"/>
            <w:vAlign w:val="center"/>
          </w:tcPr>
          <w:p w14:paraId="2FBA0EAE" w14:textId="77777777" w:rsidR="0096575F" w:rsidRPr="00E20D21" w:rsidRDefault="0096575F" w:rsidP="0096575F">
            <w:pPr>
              <w:jc w:val="right"/>
              <w:rPr>
                <w:rFonts w:ascii="CAIXA Std Book" w:hAnsi="CAIXA Std Book" w:cs="Symbol"/>
                <w:b/>
                <w:color w:val="005CA9"/>
                <w:sz w:val="16"/>
                <w:szCs w:val="16"/>
              </w:rPr>
            </w:pPr>
            <w:r w:rsidRPr="00E20D21">
              <w:rPr>
                <w:rFonts w:ascii="CAIXA Std Book" w:hAnsi="CAIXA Std Book" w:cs="Calibri"/>
                <w:b/>
                <w:color w:val="005CA9"/>
                <w:sz w:val="16"/>
                <w:szCs w:val="16"/>
              </w:rPr>
              <w:t>(171.387)</w:t>
            </w:r>
          </w:p>
        </w:tc>
        <w:tc>
          <w:tcPr>
            <w:tcW w:w="449" w:type="pct"/>
            <w:tcBorders>
              <w:top w:val="single" w:sz="4" w:space="0" w:color="F68F00"/>
              <w:left w:val="nil"/>
              <w:bottom w:val="single" w:sz="4" w:space="0" w:color="F68F00"/>
              <w:right w:val="nil"/>
            </w:tcBorders>
            <w:shd w:val="clear" w:color="auto" w:fill="auto"/>
            <w:vAlign w:val="center"/>
          </w:tcPr>
          <w:p w14:paraId="0FD1E47C" w14:textId="7F66941D" w:rsidR="0096575F" w:rsidRPr="00E20D21" w:rsidRDefault="0096575F" w:rsidP="0096575F">
            <w:pPr>
              <w:jc w:val="right"/>
              <w:rPr>
                <w:rFonts w:ascii="CAIXA Std Book" w:hAnsi="CAIXA Std Book" w:cs="Symbol"/>
                <w:b/>
                <w:color w:val="005CA9"/>
                <w:sz w:val="16"/>
                <w:szCs w:val="16"/>
              </w:rPr>
            </w:pPr>
            <w:r w:rsidRPr="00E20D21">
              <w:rPr>
                <w:rFonts w:ascii="CAIXA Std Book" w:hAnsi="CAIXA Std Book" w:cs="Calibri"/>
                <w:b/>
                <w:bCs/>
                <w:color w:val="005CA9"/>
                <w:sz w:val="16"/>
                <w:szCs w:val="16"/>
              </w:rPr>
              <w:t>(96.910)</w:t>
            </w:r>
          </w:p>
        </w:tc>
      </w:tr>
    </w:tbl>
    <w:p w14:paraId="1573C7B1" w14:textId="77777777" w:rsidR="003834D8" w:rsidRPr="00E20D21" w:rsidRDefault="003834D8" w:rsidP="003834D8">
      <w:pPr>
        <w:autoSpaceDE w:val="0"/>
        <w:autoSpaceDN w:val="0"/>
        <w:adjustRightInd w:val="0"/>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(i.10)</w:t>
      </w:r>
      <w:r w:rsidRPr="00E20D21">
        <w:rPr>
          <w:rFonts w:ascii="CAIXA Std Book" w:hAnsi="CAIXA Std Book"/>
          <w:b/>
          <w:color w:val="005CA9"/>
          <w:sz w:val="20"/>
          <w:szCs w:val="20"/>
        </w:rPr>
        <w:tab/>
        <w:t>Valores reconhecidos em outros resultados abrangentes (PL)</w:t>
      </w:r>
    </w:p>
    <w:tbl>
      <w:tblPr>
        <w:tblW w:w="5000" w:type="pct"/>
        <w:tblCellMar>
          <w:left w:w="70" w:type="dxa"/>
          <w:right w:w="70" w:type="dxa"/>
        </w:tblCellMar>
        <w:tblLook w:val="04A0" w:firstRow="1" w:lastRow="0" w:firstColumn="1" w:lastColumn="0" w:noHBand="0" w:noVBand="1"/>
      </w:tblPr>
      <w:tblGrid>
        <w:gridCol w:w="3443"/>
        <w:gridCol w:w="1114"/>
        <w:gridCol w:w="1113"/>
        <w:gridCol w:w="1113"/>
        <w:gridCol w:w="1113"/>
        <w:gridCol w:w="1113"/>
        <w:gridCol w:w="1113"/>
        <w:gridCol w:w="6"/>
        <w:gridCol w:w="1110"/>
        <w:gridCol w:w="1113"/>
        <w:gridCol w:w="1113"/>
        <w:gridCol w:w="1107"/>
      </w:tblGrid>
      <w:tr w:rsidR="003A677C" w:rsidRPr="00E20D21" w14:paraId="334035D3" w14:textId="77777777" w:rsidTr="003A677C">
        <w:trPr>
          <w:trHeight w:val="283"/>
        </w:trPr>
        <w:tc>
          <w:tcPr>
            <w:tcW w:w="5000" w:type="pct"/>
            <w:gridSpan w:val="12"/>
            <w:tcBorders>
              <w:top w:val="single" w:sz="4" w:space="0" w:color="F68F00"/>
              <w:left w:val="nil"/>
              <w:bottom w:val="single" w:sz="4" w:space="0" w:color="F68F00"/>
              <w:right w:val="nil"/>
            </w:tcBorders>
            <w:shd w:val="clear" w:color="auto" w:fill="auto"/>
            <w:vAlign w:val="center"/>
          </w:tcPr>
          <w:p w14:paraId="3A6AEE2E" w14:textId="276D834D" w:rsidR="003A677C" w:rsidRPr="00E20D21" w:rsidRDefault="003A677C" w:rsidP="00A01778">
            <w:pPr>
              <w:jc w:val="center"/>
              <w:rPr>
                <w:rFonts w:ascii="CAIXA Std Book" w:eastAsia="Times New Roman" w:hAnsi="CAIXA Std Book" w:cs="Calibri"/>
                <w:b/>
                <w:color w:val="005CA9"/>
                <w:sz w:val="16"/>
                <w:szCs w:val="16"/>
              </w:rPr>
            </w:pPr>
            <w:r>
              <w:rPr>
                <w:rFonts w:ascii="CAIXA Std Book" w:eastAsia="Times New Roman" w:hAnsi="CAIXA Std Book" w:cs="Calibri"/>
                <w:b/>
                <w:color w:val="005CA9"/>
                <w:sz w:val="16"/>
                <w:szCs w:val="16"/>
              </w:rPr>
              <w:t>INDIVIDUAL / CONSOLIDADO</w:t>
            </w:r>
          </w:p>
        </w:tc>
      </w:tr>
      <w:tr w:rsidR="00A47C19" w:rsidRPr="00E20D21" w14:paraId="161CE456" w14:textId="77777777" w:rsidTr="00BD33E1">
        <w:trPr>
          <w:trHeight w:val="283"/>
        </w:trPr>
        <w:tc>
          <w:tcPr>
            <w:tcW w:w="1181" w:type="pct"/>
            <w:vMerge w:val="restart"/>
            <w:tcBorders>
              <w:top w:val="single" w:sz="4" w:space="0" w:color="F68F00"/>
              <w:left w:val="nil"/>
              <w:bottom w:val="single" w:sz="4" w:space="0" w:color="F68F00"/>
              <w:right w:val="nil"/>
            </w:tcBorders>
            <w:shd w:val="clear" w:color="auto" w:fill="auto"/>
            <w:vAlign w:val="center"/>
            <w:hideMark/>
          </w:tcPr>
          <w:p w14:paraId="15C0A021" w14:textId="77777777" w:rsidR="003834D8" w:rsidRPr="00E20D21" w:rsidRDefault="003834D8" w:rsidP="00A01778">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Descrição</w:t>
            </w:r>
          </w:p>
        </w:tc>
        <w:tc>
          <w:tcPr>
            <w:tcW w:w="764" w:type="pct"/>
            <w:gridSpan w:val="2"/>
            <w:tcBorders>
              <w:top w:val="single" w:sz="4" w:space="0" w:color="F68F00"/>
              <w:left w:val="nil"/>
              <w:bottom w:val="single" w:sz="4" w:space="0" w:color="F68F00"/>
              <w:right w:val="nil"/>
            </w:tcBorders>
            <w:shd w:val="clear" w:color="auto" w:fill="auto"/>
            <w:vAlign w:val="center"/>
            <w:hideMark/>
          </w:tcPr>
          <w:p w14:paraId="19CBDFC4" w14:textId="77777777" w:rsidR="003834D8" w:rsidRPr="00E20D21" w:rsidRDefault="003834D8" w:rsidP="00A01778">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Saúde CAIXA</w:t>
            </w:r>
          </w:p>
        </w:tc>
        <w:tc>
          <w:tcPr>
            <w:tcW w:w="764" w:type="pct"/>
            <w:gridSpan w:val="2"/>
            <w:tcBorders>
              <w:top w:val="single" w:sz="4" w:space="0" w:color="F68F00"/>
              <w:left w:val="nil"/>
              <w:bottom w:val="single" w:sz="4" w:space="0" w:color="F68F00"/>
              <w:right w:val="nil"/>
            </w:tcBorders>
            <w:shd w:val="clear" w:color="auto" w:fill="auto"/>
            <w:vAlign w:val="center"/>
            <w:hideMark/>
          </w:tcPr>
          <w:p w14:paraId="3D542A82" w14:textId="77777777" w:rsidR="003834D8" w:rsidRPr="00E20D21" w:rsidRDefault="003834D8" w:rsidP="00A01778">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Auxílio/ Cesta-alimentação</w:t>
            </w:r>
          </w:p>
        </w:tc>
        <w:tc>
          <w:tcPr>
            <w:tcW w:w="766" w:type="pct"/>
            <w:gridSpan w:val="3"/>
            <w:tcBorders>
              <w:top w:val="single" w:sz="4" w:space="0" w:color="F68F00"/>
              <w:left w:val="nil"/>
              <w:bottom w:val="single" w:sz="4" w:space="0" w:color="F68F00"/>
              <w:right w:val="nil"/>
            </w:tcBorders>
            <w:shd w:val="clear" w:color="auto" w:fill="auto"/>
            <w:vAlign w:val="center"/>
            <w:hideMark/>
          </w:tcPr>
          <w:p w14:paraId="60EFA1EE" w14:textId="77777777" w:rsidR="003834D8" w:rsidRPr="00E20D21" w:rsidRDefault="003834D8" w:rsidP="00A01778">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REG/REPLAN Consolidado</w:t>
            </w:r>
          </w:p>
        </w:tc>
        <w:tc>
          <w:tcPr>
            <w:tcW w:w="763" w:type="pct"/>
            <w:gridSpan w:val="2"/>
            <w:tcBorders>
              <w:top w:val="single" w:sz="4" w:space="0" w:color="F68F00"/>
              <w:left w:val="nil"/>
              <w:bottom w:val="single" w:sz="4" w:space="0" w:color="F68F00"/>
              <w:right w:val="nil"/>
            </w:tcBorders>
            <w:shd w:val="clear" w:color="auto" w:fill="auto"/>
            <w:vAlign w:val="center"/>
            <w:hideMark/>
          </w:tcPr>
          <w:p w14:paraId="64240618" w14:textId="77777777" w:rsidR="003834D8" w:rsidRPr="00E20D21" w:rsidRDefault="003834D8" w:rsidP="00A01778">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REB</w:t>
            </w:r>
          </w:p>
        </w:tc>
        <w:tc>
          <w:tcPr>
            <w:tcW w:w="762" w:type="pct"/>
            <w:gridSpan w:val="2"/>
            <w:tcBorders>
              <w:top w:val="single" w:sz="4" w:space="0" w:color="F68F00"/>
              <w:left w:val="nil"/>
              <w:bottom w:val="single" w:sz="4" w:space="0" w:color="F68F00"/>
              <w:right w:val="nil"/>
            </w:tcBorders>
            <w:shd w:val="clear" w:color="auto" w:fill="auto"/>
            <w:vAlign w:val="center"/>
            <w:hideMark/>
          </w:tcPr>
          <w:p w14:paraId="550AB05E" w14:textId="77777777" w:rsidR="003834D8" w:rsidRPr="00E20D21" w:rsidRDefault="003834D8" w:rsidP="00A01778">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Novo Plano</w:t>
            </w:r>
          </w:p>
        </w:tc>
      </w:tr>
      <w:tr w:rsidR="00527281" w:rsidRPr="00E20D21" w14:paraId="7739F9EA" w14:textId="77777777" w:rsidTr="00BD33E1">
        <w:trPr>
          <w:trHeight w:val="283"/>
        </w:trPr>
        <w:tc>
          <w:tcPr>
            <w:tcW w:w="1181" w:type="pct"/>
            <w:vMerge/>
            <w:tcBorders>
              <w:top w:val="single" w:sz="4" w:space="0" w:color="F68F00"/>
              <w:left w:val="nil"/>
              <w:bottom w:val="single" w:sz="4" w:space="0" w:color="F68F00"/>
              <w:right w:val="nil"/>
            </w:tcBorders>
            <w:vAlign w:val="center"/>
            <w:hideMark/>
          </w:tcPr>
          <w:p w14:paraId="6D707714" w14:textId="77777777" w:rsidR="00527281" w:rsidRPr="00E20D21" w:rsidRDefault="00527281" w:rsidP="00527281">
            <w:pPr>
              <w:rPr>
                <w:rFonts w:ascii="CAIXA Std Book" w:eastAsia="Times New Roman" w:hAnsi="CAIXA Std Book" w:cs="Calibri"/>
                <w:b/>
                <w:color w:val="005CA9"/>
                <w:sz w:val="16"/>
                <w:szCs w:val="16"/>
              </w:rPr>
            </w:pPr>
          </w:p>
        </w:tc>
        <w:tc>
          <w:tcPr>
            <w:tcW w:w="382" w:type="pct"/>
            <w:tcBorders>
              <w:top w:val="nil"/>
              <w:left w:val="nil"/>
              <w:bottom w:val="single" w:sz="4" w:space="0" w:color="F68F00"/>
              <w:right w:val="nil"/>
            </w:tcBorders>
            <w:shd w:val="clear" w:color="auto" w:fill="auto"/>
            <w:vAlign w:val="center"/>
            <w:hideMark/>
          </w:tcPr>
          <w:p w14:paraId="0E95312E" w14:textId="71BE22EE"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30/06/2024</w:t>
            </w:r>
          </w:p>
        </w:tc>
        <w:tc>
          <w:tcPr>
            <w:tcW w:w="382" w:type="pct"/>
            <w:tcBorders>
              <w:top w:val="nil"/>
              <w:left w:val="nil"/>
              <w:bottom w:val="single" w:sz="4" w:space="0" w:color="F68F00"/>
              <w:right w:val="nil"/>
            </w:tcBorders>
            <w:shd w:val="clear" w:color="auto" w:fill="auto"/>
            <w:vAlign w:val="center"/>
            <w:hideMark/>
          </w:tcPr>
          <w:p w14:paraId="0C8C6F61" w14:textId="49659F36"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c>
          <w:tcPr>
            <w:tcW w:w="382" w:type="pct"/>
            <w:tcBorders>
              <w:top w:val="nil"/>
              <w:left w:val="nil"/>
              <w:bottom w:val="single" w:sz="4" w:space="0" w:color="F68F00"/>
              <w:right w:val="nil"/>
            </w:tcBorders>
            <w:shd w:val="clear" w:color="auto" w:fill="auto"/>
            <w:vAlign w:val="center"/>
            <w:hideMark/>
          </w:tcPr>
          <w:p w14:paraId="0299A286" w14:textId="7D94212D"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30/06/2024</w:t>
            </w:r>
          </w:p>
        </w:tc>
        <w:tc>
          <w:tcPr>
            <w:tcW w:w="382" w:type="pct"/>
            <w:tcBorders>
              <w:top w:val="nil"/>
              <w:left w:val="nil"/>
              <w:bottom w:val="single" w:sz="4" w:space="0" w:color="F68F00"/>
              <w:right w:val="nil"/>
            </w:tcBorders>
            <w:shd w:val="clear" w:color="auto" w:fill="auto"/>
            <w:vAlign w:val="center"/>
            <w:hideMark/>
          </w:tcPr>
          <w:p w14:paraId="5AFCB0B1" w14:textId="63BC37A2"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c>
          <w:tcPr>
            <w:tcW w:w="382" w:type="pct"/>
            <w:tcBorders>
              <w:top w:val="nil"/>
              <w:left w:val="nil"/>
              <w:bottom w:val="single" w:sz="4" w:space="0" w:color="F68F00"/>
              <w:right w:val="nil"/>
            </w:tcBorders>
            <w:shd w:val="clear" w:color="auto" w:fill="auto"/>
            <w:vAlign w:val="center"/>
            <w:hideMark/>
          </w:tcPr>
          <w:p w14:paraId="2B13511E" w14:textId="7207DA98"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30/06/2024</w:t>
            </w:r>
          </w:p>
        </w:tc>
        <w:tc>
          <w:tcPr>
            <w:tcW w:w="382" w:type="pct"/>
            <w:tcBorders>
              <w:top w:val="nil"/>
              <w:left w:val="nil"/>
              <w:bottom w:val="single" w:sz="4" w:space="0" w:color="F68F00"/>
              <w:right w:val="nil"/>
            </w:tcBorders>
            <w:shd w:val="clear" w:color="auto" w:fill="auto"/>
            <w:vAlign w:val="center"/>
            <w:hideMark/>
          </w:tcPr>
          <w:p w14:paraId="1F1BBC13" w14:textId="7DDD0C82"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c>
          <w:tcPr>
            <w:tcW w:w="383" w:type="pct"/>
            <w:gridSpan w:val="2"/>
            <w:tcBorders>
              <w:top w:val="nil"/>
              <w:left w:val="nil"/>
              <w:bottom w:val="single" w:sz="4" w:space="0" w:color="F68F00"/>
              <w:right w:val="nil"/>
            </w:tcBorders>
            <w:shd w:val="clear" w:color="auto" w:fill="auto"/>
            <w:vAlign w:val="center"/>
            <w:hideMark/>
          </w:tcPr>
          <w:p w14:paraId="060AE605" w14:textId="3DEB36C7"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30/06/2024</w:t>
            </w:r>
          </w:p>
        </w:tc>
        <w:tc>
          <w:tcPr>
            <w:tcW w:w="382" w:type="pct"/>
            <w:tcBorders>
              <w:top w:val="nil"/>
              <w:left w:val="nil"/>
              <w:bottom w:val="single" w:sz="4" w:space="0" w:color="F68F00"/>
              <w:right w:val="nil"/>
            </w:tcBorders>
            <w:shd w:val="clear" w:color="auto" w:fill="auto"/>
            <w:vAlign w:val="center"/>
            <w:hideMark/>
          </w:tcPr>
          <w:p w14:paraId="6B26FB5F" w14:textId="2A1F91F4"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c>
          <w:tcPr>
            <w:tcW w:w="382" w:type="pct"/>
            <w:tcBorders>
              <w:top w:val="nil"/>
              <w:left w:val="nil"/>
              <w:bottom w:val="single" w:sz="4" w:space="0" w:color="F68F00"/>
              <w:right w:val="nil"/>
            </w:tcBorders>
            <w:shd w:val="clear" w:color="auto" w:fill="auto"/>
            <w:vAlign w:val="center"/>
            <w:hideMark/>
          </w:tcPr>
          <w:p w14:paraId="51865622" w14:textId="5AF10B31"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30/06/2024</w:t>
            </w:r>
          </w:p>
        </w:tc>
        <w:tc>
          <w:tcPr>
            <w:tcW w:w="380" w:type="pct"/>
            <w:tcBorders>
              <w:top w:val="nil"/>
              <w:left w:val="nil"/>
              <w:bottom w:val="single" w:sz="4" w:space="0" w:color="F68F00"/>
              <w:right w:val="nil"/>
            </w:tcBorders>
            <w:shd w:val="clear" w:color="auto" w:fill="auto"/>
            <w:vAlign w:val="center"/>
            <w:hideMark/>
          </w:tcPr>
          <w:p w14:paraId="29A3427A" w14:textId="4B97355B" w:rsidR="00527281" w:rsidRPr="00E20D21" w:rsidRDefault="00527281" w:rsidP="00527281">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r>
      <w:tr w:rsidR="00527281" w:rsidRPr="00E20D21" w14:paraId="2B2ACE33" w14:textId="77777777" w:rsidTr="00BD33E1">
        <w:trPr>
          <w:trHeight w:val="283"/>
        </w:trPr>
        <w:tc>
          <w:tcPr>
            <w:tcW w:w="1181" w:type="pct"/>
            <w:tcBorders>
              <w:top w:val="nil"/>
              <w:left w:val="nil"/>
              <w:bottom w:val="nil"/>
              <w:right w:val="nil"/>
            </w:tcBorders>
            <w:shd w:val="clear" w:color="auto" w:fill="auto"/>
            <w:vAlign w:val="center"/>
            <w:hideMark/>
          </w:tcPr>
          <w:p w14:paraId="06357DAC" w14:textId="77777777" w:rsidR="00527281" w:rsidRPr="00E20D21" w:rsidRDefault="00527281" w:rsidP="00527281">
            <w:pP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Saldo inicial</w:t>
            </w:r>
          </w:p>
        </w:tc>
        <w:tc>
          <w:tcPr>
            <w:tcW w:w="382" w:type="pct"/>
            <w:tcBorders>
              <w:top w:val="nil"/>
              <w:left w:val="nil"/>
              <w:bottom w:val="nil"/>
              <w:right w:val="nil"/>
            </w:tcBorders>
            <w:shd w:val="clear" w:color="auto" w:fill="auto"/>
            <w:vAlign w:val="center"/>
          </w:tcPr>
          <w:p w14:paraId="4D22E61B" w14:textId="4FF52813"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(2.688.704)</w:t>
            </w:r>
          </w:p>
        </w:tc>
        <w:tc>
          <w:tcPr>
            <w:tcW w:w="382" w:type="pct"/>
            <w:tcBorders>
              <w:top w:val="nil"/>
              <w:left w:val="nil"/>
              <w:bottom w:val="nil"/>
              <w:right w:val="nil"/>
            </w:tcBorders>
            <w:shd w:val="clear" w:color="auto" w:fill="auto"/>
            <w:vAlign w:val="center"/>
          </w:tcPr>
          <w:p w14:paraId="4EE2839B" w14:textId="5608BA09"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(1.627.418)</w:t>
            </w:r>
          </w:p>
        </w:tc>
        <w:tc>
          <w:tcPr>
            <w:tcW w:w="382" w:type="pct"/>
            <w:tcBorders>
              <w:top w:val="nil"/>
              <w:left w:val="nil"/>
              <w:bottom w:val="nil"/>
              <w:right w:val="nil"/>
            </w:tcBorders>
            <w:shd w:val="clear" w:color="auto" w:fill="auto"/>
            <w:vAlign w:val="center"/>
          </w:tcPr>
          <w:p w14:paraId="62DFBD6E" w14:textId="4CD0646A"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(774.135)</w:t>
            </w:r>
          </w:p>
        </w:tc>
        <w:tc>
          <w:tcPr>
            <w:tcW w:w="382" w:type="pct"/>
            <w:tcBorders>
              <w:top w:val="nil"/>
              <w:left w:val="nil"/>
              <w:bottom w:val="nil"/>
              <w:right w:val="nil"/>
            </w:tcBorders>
            <w:shd w:val="clear" w:color="auto" w:fill="auto"/>
            <w:vAlign w:val="center"/>
          </w:tcPr>
          <w:p w14:paraId="3C7302EC" w14:textId="49EDE2A2"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(691.970)</w:t>
            </w:r>
          </w:p>
        </w:tc>
        <w:tc>
          <w:tcPr>
            <w:tcW w:w="382" w:type="pct"/>
            <w:tcBorders>
              <w:top w:val="nil"/>
              <w:left w:val="nil"/>
              <w:bottom w:val="nil"/>
              <w:right w:val="nil"/>
            </w:tcBorders>
            <w:shd w:val="clear" w:color="auto" w:fill="auto"/>
            <w:vAlign w:val="center"/>
          </w:tcPr>
          <w:p w14:paraId="2343E909" w14:textId="71A90554"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(5.795.902)</w:t>
            </w:r>
          </w:p>
        </w:tc>
        <w:tc>
          <w:tcPr>
            <w:tcW w:w="382" w:type="pct"/>
            <w:tcBorders>
              <w:top w:val="nil"/>
              <w:left w:val="nil"/>
              <w:bottom w:val="nil"/>
              <w:right w:val="nil"/>
            </w:tcBorders>
            <w:shd w:val="clear" w:color="auto" w:fill="auto"/>
            <w:vAlign w:val="center"/>
          </w:tcPr>
          <w:p w14:paraId="7F4FB4D0" w14:textId="3D912B92"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(5.719.015)</w:t>
            </w:r>
          </w:p>
        </w:tc>
        <w:tc>
          <w:tcPr>
            <w:tcW w:w="383" w:type="pct"/>
            <w:gridSpan w:val="2"/>
            <w:tcBorders>
              <w:top w:val="nil"/>
              <w:left w:val="nil"/>
              <w:bottom w:val="nil"/>
              <w:right w:val="nil"/>
            </w:tcBorders>
            <w:shd w:val="clear" w:color="auto" w:fill="auto"/>
            <w:vAlign w:val="center"/>
          </w:tcPr>
          <w:p w14:paraId="2FD898C2" w14:textId="7C3E6B03"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(11.599)</w:t>
            </w:r>
          </w:p>
        </w:tc>
        <w:tc>
          <w:tcPr>
            <w:tcW w:w="382" w:type="pct"/>
            <w:tcBorders>
              <w:top w:val="nil"/>
              <w:left w:val="nil"/>
              <w:bottom w:val="nil"/>
              <w:right w:val="nil"/>
            </w:tcBorders>
            <w:shd w:val="clear" w:color="auto" w:fill="auto"/>
            <w:vAlign w:val="center"/>
          </w:tcPr>
          <w:p w14:paraId="2369146F" w14:textId="5DC7C7D8"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(17.247)</w:t>
            </w:r>
          </w:p>
        </w:tc>
        <w:tc>
          <w:tcPr>
            <w:tcW w:w="382" w:type="pct"/>
            <w:tcBorders>
              <w:top w:val="nil"/>
              <w:left w:val="nil"/>
              <w:bottom w:val="nil"/>
              <w:right w:val="nil"/>
            </w:tcBorders>
            <w:shd w:val="clear" w:color="auto" w:fill="auto"/>
            <w:vAlign w:val="center"/>
          </w:tcPr>
          <w:p w14:paraId="1141A485" w14:textId="019C49E8"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(371.963)</w:t>
            </w:r>
          </w:p>
        </w:tc>
        <w:tc>
          <w:tcPr>
            <w:tcW w:w="380" w:type="pct"/>
            <w:tcBorders>
              <w:top w:val="nil"/>
              <w:left w:val="nil"/>
              <w:bottom w:val="nil"/>
              <w:right w:val="nil"/>
            </w:tcBorders>
            <w:shd w:val="clear" w:color="auto" w:fill="auto"/>
            <w:vAlign w:val="center"/>
          </w:tcPr>
          <w:p w14:paraId="1E512CA7" w14:textId="6C5A2C55"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(524.834)</w:t>
            </w:r>
          </w:p>
        </w:tc>
      </w:tr>
      <w:tr w:rsidR="00527281" w:rsidRPr="00E20D21" w14:paraId="1538259E" w14:textId="77777777" w:rsidTr="00BD33E1">
        <w:trPr>
          <w:trHeight w:val="283"/>
        </w:trPr>
        <w:tc>
          <w:tcPr>
            <w:tcW w:w="1181" w:type="pct"/>
            <w:tcBorders>
              <w:top w:val="nil"/>
              <w:left w:val="nil"/>
              <w:bottom w:val="nil"/>
              <w:right w:val="nil"/>
            </w:tcBorders>
            <w:shd w:val="clear" w:color="auto" w:fill="auto"/>
            <w:vAlign w:val="center"/>
            <w:hideMark/>
          </w:tcPr>
          <w:p w14:paraId="2435319A" w14:textId="77777777" w:rsidR="00527281" w:rsidRPr="00E20D21" w:rsidRDefault="00527281" w:rsidP="00527281">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Ajustes de avaliação patrimonial</w:t>
            </w:r>
          </w:p>
        </w:tc>
        <w:tc>
          <w:tcPr>
            <w:tcW w:w="382" w:type="pct"/>
            <w:tcBorders>
              <w:top w:val="nil"/>
              <w:left w:val="nil"/>
              <w:bottom w:val="nil"/>
              <w:right w:val="nil"/>
            </w:tcBorders>
            <w:shd w:val="clear" w:color="auto" w:fill="auto"/>
            <w:vAlign w:val="center"/>
          </w:tcPr>
          <w:p w14:paraId="27BCA7D4" w14:textId="63DFCA96"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389.167</w:t>
            </w:r>
          </w:p>
        </w:tc>
        <w:tc>
          <w:tcPr>
            <w:tcW w:w="382" w:type="pct"/>
            <w:tcBorders>
              <w:top w:val="nil"/>
              <w:left w:val="nil"/>
              <w:bottom w:val="nil"/>
              <w:right w:val="nil"/>
            </w:tcBorders>
            <w:shd w:val="clear" w:color="auto" w:fill="auto"/>
            <w:vAlign w:val="center"/>
          </w:tcPr>
          <w:p w14:paraId="0B7F436A" w14:textId="5222305F"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(1.182.804)</w:t>
            </w:r>
          </w:p>
        </w:tc>
        <w:tc>
          <w:tcPr>
            <w:tcW w:w="382" w:type="pct"/>
            <w:tcBorders>
              <w:top w:val="nil"/>
              <w:left w:val="nil"/>
              <w:bottom w:val="nil"/>
              <w:right w:val="nil"/>
            </w:tcBorders>
            <w:shd w:val="clear" w:color="auto" w:fill="auto"/>
            <w:vAlign w:val="center"/>
          </w:tcPr>
          <w:p w14:paraId="2C49F35B" w14:textId="207C14E1"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34.439</w:t>
            </w:r>
          </w:p>
        </w:tc>
        <w:tc>
          <w:tcPr>
            <w:tcW w:w="382" w:type="pct"/>
            <w:tcBorders>
              <w:top w:val="nil"/>
              <w:left w:val="nil"/>
              <w:bottom w:val="nil"/>
              <w:right w:val="nil"/>
            </w:tcBorders>
            <w:shd w:val="clear" w:color="auto" w:fill="auto"/>
            <w:vAlign w:val="center"/>
          </w:tcPr>
          <w:p w14:paraId="2C09A63A" w14:textId="42E21709"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(133.297)</w:t>
            </w:r>
          </w:p>
        </w:tc>
        <w:tc>
          <w:tcPr>
            <w:tcW w:w="382" w:type="pct"/>
            <w:tcBorders>
              <w:top w:val="nil"/>
              <w:left w:val="nil"/>
              <w:bottom w:val="nil"/>
              <w:right w:val="nil"/>
            </w:tcBorders>
            <w:shd w:val="clear" w:color="auto" w:fill="auto"/>
            <w:vAlign w:val="center"/>
          </w:tcPr>
          <w:p w14:paraId="093AD371" w14:textId="6B958E04"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87.820</w:t>
            </w:r>
          </w:p>
        </w:tc>
        <w:tc>
          <w:tcPr>
            <w:tcW w:w="382" w:type="pct"/>
            <w:tcBorders>
              <w:top w:val="nil"/>
              <w:left w:val="nil"/>
              <w:bottom w:val="nil"/>
              <w:right w:val="nil"/>
            </w:tcBorders>
            <w:shd w:val="clear" w:color="auto" w:fill="auto"/>
            <w:vAlign w:val="center"/>
          </w:tcPr>
          <w:p w14:paraId="30CE5DC2" w14:textId="388EEDFD"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(139.794)</w:t>
            </w:r>
          </w:p>
        </w:tc>
        <w:tc>
          <w:tcPr>
            <w:tcW w:w="383" w:type="pct"/>
            <w:gridSpan w:val="2"/>
            <w:tcBorders>
              <w:top w:val="nil"/>
              <w:left w:val="nil"/>
              <w:bottom w:val="nil"/>
              <w:right w:val="nil"/>
            </w:tcBorders>
            <w:shd w:val="clear" w:color="auto" w:fill="auto"/>
            <w:vAlign w:val="center"/>
          </w:tcPr>
          <w:p w14:paraId="77EFAECB" w14:textId="43D92233"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32.658</w:t>
            </w:r>
          </w:p>
        </w:tc>
        <w:tc>
          <w:tcPr>
            <w:tcW w:w="382" w:type="pct"/>
            <w:tcBorders>
              <w:top w:val="nil"/>
              <w:left w:val="nil"/>
              <w:bottom w:val="nil"/>
              <w:right w:val="nil"/>
            </w:tcBorders>
            <w:shd w:val="clear" w:color="auto" w:fill="auto"/>
            <w:vAlign w:val="center"/>
          </w:tcPr>
          <w:p w14:paraId="4111A159" w14:textId="49460340"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10.269</w:t>
            </w:r>
          </w:p>
        </w:tc>
        <w:tc>
          <w:tcPr>
            <w:tcW w:w="382" w:type="pct"/>
            <w:tcBorders>
              <w:top w:val="nil"/>
              <w:left w:val="nil"/>
              <w:bottom w:val="nil"/>
              <w:right w:val="nil"/>
            </w:tcBorders>
            <w:shd w:val="clear" w:color="auto" w:fill="auto"/>
            <w:vAlign w:val="center"/>
          </w:tcPr>
          <w:p w14:paraId="5C67BA0F" w14:textId="7C01E2C7"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(32.644)</w:t>
            </w:r>
          </w:p>
        </w:tc>
        <w:tc>
          <w:tcPr>
            <w:tcW w:w="380" w:type="pct"/>
            <w:tcBorders>
              <w:top w:val="nil"/>
              <w:left w:val="nil"/>
              <w:bottom w:val="nil"/>
              <w:right w:val="nil"/>
            </w:tcBorders>
            <w:shd w:val="clear" w:color="auto" w:fill="auto"/>
            <w:vAlign w:val="center"/>
          </w:tcPr>
          <w:p w14:paraId="1259AC6A" w14:textId="3BF48395"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277.947</w:t>
            </w:r>
          </w:p>
        </w:tc>
      </w:tr>
      <w:tr w:rsidR="00527281" w:rsidRPr="00E20D21" w14:paraId="15E3713D" w14:textId="77777777" w:rsidTr="00BD33E1">
        <w:trPr>
          <w:trHeight w:val="283"/>
        </w:trPr>
        <w:tc>
          <w:tcPr>
            <w:tcW w:w="1181" w:type="pct"/>
            <w:tcBorders>
              <w:top w:val="nil"/>
              <w:left w:val="nil"/>
              <w:bottom w:val="nil"/>
              <w:right w:val="nil"/>
            </w:tcBorders>
            <w:shd w:val="clear" w:color="auto" w:fill="auto"/>
            <w:vAlign w:val="center"/>
            <w:hideMark/>
          </w:tcPr>
          <w:p w14:paraId="2607E056" w14:textId="77777777" w:rsidR="00527281" w:rsidRPr="00E20D21" w:rsidRDefault="00527281" w:rsidP="00527281">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Efeitos fiscais</w:t>
            </w:r>
          </w:p>
        </w:tc>
        <w:tc>
          <w:tcPr>
            <w:tcW w:w="382" w:type="pct"/>
            <w:tcBorders>
              <w:top w:val="nil"/>
              <w:left w:val="nil"/>
              <w:bottom w:val="nil"/>
              <w:right w:val="nil"/>
            </w:tcBorders>
            <w:shd w:val="clear" w:color="auto" w:fill="auto"/>
            <w:vAlign w:val="center"/>
          </w:tcPr>
          <w:p w14:paraId="17361717" w14:textId="13B3ADB4"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234.736</w:t>
            </w:r>
          </w:p>
        </w:tc>
        <w:tc>
          <w:tcPr>
            <w:tcW w:w="382" w:type="pct"/>
            <w:tcBorders>
              <w:top w:val="nil"/>
              <w:left w:val="nil"/>
              <w:bottom w:val="nil"/>
              <w:right w:val="nil"/>
            </w:tcBorders>
            <w:shd w:val="clear" w:color="auto" w:fill="auto"/>
            <w:vAlign w:val="center"/>
          </w:tcPr>
          <w:p w14:paraId="11208AA6" w14:textId="077C4E55"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121.518</w:t>
            </w:r>
          </w:p>
        </w:tc>
        <w:tc>
          <w:tcPr>
            <w:tcW w:w="382" w:type="pct"/>
            <w:tcBorders>
              <w:top w:val="nil"/>
              <w:left w:val="nil"/>
              <w:bottom w:val="nil"/>
              <w:right w:val="nil"/>
            </w:tcBorders>
            <w:shd w:val="clear" w:color="auto" w:fill="auto"/>
            <w:vAlign w:val="center"/>
          </w:tcPr>
          <w:p w14:paraId="2873CC1C" w14:textId="6F65EDD7"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(6.646)</w:t>
            </w:r>
          </w:p>
        </w:tc>
        <w:tc>
          <w:tcPr>
            <w:tcW w:w="382" w:type="pct"/>
            <w:tcBorders>
              <w:top w:val="nil"/>
              <w:left w:val="nil"/>
              <w:bottom w:val="nil"/>
              <w:right w:val="nil"/>
            </w:tcBorders>
            <w:shd w:val="clear" w:color="auto" w:fill="auto"/>
            <w:vAlign w:val="center"/>
          </w:tcPr>
          <w:p w14:paraId="7D6A24C9" w14:textId="215C0494"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51.132</w:t>
            </w:r>
          </w:p>
        </w:tc>
        <w:tc>
          <w:tcPr>
            <w:tcW w:w="382" w:type="pct"/>
            <w:tcBorders>
              <w:top w:val="nil"/>
              <w:left w:val="nil"/>
              <w:bottom w:val="nil"/>
              <w:right w:val="nil"/>
            </w:tcBorders>
            <w:shd w:val="clear" w:color="auto" w:fill="auto"/>
            <w:vAlign w:val="center"/>
          </w:tcPr>
          <w:p w14:paraId="6C123252" w14:textId="3462538F"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(39.519)</w:t>
            </w:r>
          </w:p>
        </w:tc>
        <w:tc>
          <w:tcPr>
            <w:tcW w:w="382" w:type="pct"/>
            <w:tcBorders>
              <w:top w:val="nil"/>
              <w:left w:val="nil"/>
              <w:bottom w:val="nil"/>
              <w:right w:val="nil"/>
            </w:tcBorders>
            <w:shd w:val="clear" w:color="auto" w:fill="auto"/>
            <w:vAlign w:val="center"/>
          </w:tcPr>
          <w:p w14:paraId="11216502" w14:textId="41FA8EBF"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62.907</w:t>
            </w:r>
          </w:p>
        </w:tc>
        <w:tc>
          <w:tcPr>
            <w:tcW w:w="383" w:type="pct"/>
            <w:gridSpan w:val="2"/>
            <w:tcBorders>
              <w:top w:val="nil"/>
              <w:left w:val="nil"/>
              <w:bottom w:val="nil"/>
              <w:right w:val="nil"/>
            </w:tcBorders>
            <w:shd w:val="clear" w:color="auto" w:fill="auto"/>
            <w:vAlign w:val="center"/>
          </w:tcPr>
          <w:p w14:paraId="492CC2E3" w14:textId="3B2C5191"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(14.696)</w:t>
            </w:r>
          </w:p>
        </w:tc>
        <w:tc>
          <w:tcPr>
            <w:tcW w:w="382" w:type="pct"/>
            <w:tcBorders>
              <w:top w:val="nil"/>
              <w:left w:val="nil"/>
              <w:bottom w:val="nil"/>
              <w:right w:val="nil"/>
            </w:tcBorders>
            <w:shd w:val="clear" w:color="auto" w:fill="auto"/>
            <w:vAlign w:val="center"/>
          </w:tcPr>
          <w:p w14:paraId="553D4B0A" w14:textId="3D631E10"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(4.621)</w:t>
            </w:r>
          </w:p>
        </w:tc>
        <w:tc>
          <w:tcPr>
            <w:tcW w:w="382" w:type="pct"/>
            <w:tcBorders>
              <w:top w:val="nil"/>
              <w:left w:val="nil"/>
              <w:bottom w:val="nil"/>
              <w:right w:val="nil"/>
            </w:tcBorders>
            <w:shd w:val="clear" w:color="auto" w:fill="auto"/>
            <w:vAlign w:val="center"/>
          </w:tcPr>
          <w:p w14:paraId="2B74B0E6" w14:textId="34F35A1E" w:rsidR="00527281" w:rsidRPr="00E20D21" w:rsidRDefault="00200802"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14.690</w:t>
            </w:r>
          </w:p>
        </w:tc>
        <w:tc>
          <w:tcPr>
            <w:tcW w:w="380" w:type="pct"/>
            <w:tcBorders>
              <w:top w:val="nil"/>
              <w:left w:val="nil"/>
              <w:bottom w:val="nil"/>
              <w:right w:val="nil"/>
            </w:tcBorders>
            <w:shd w:val="clear" w:color="auto" w:fill="auto"/>
            <w:vAlign w:val="center"/>
          </w:tcPr>
          <w:p w14:paraId="36B34178" w14:textId="0284A4DA" w:rsidR="00527281" w:rsidRPr="00E20D21" w:rsidRDefault="00527281" w:rsidP="0052728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(125.076)</w:t>
            </w:r>
          </w:p>
        </w:tc>
      </w:tr>
      <w:tr w:rsidR="00527281" w:rsidRPr="00E20D21" w14:paraId="049B278F" w14:textId="77777777" w:rsidTr="00BD33E1">
        <w:trPr>
          <w:trHeight w:val="283"/>
        </w:trPr>
        <w:tc>
          <w:tcPr>
            <w:tcW w:w="1181" w:type="pct"/>
            <w:tcBorders>
              <w:top w:val="single" w:sz="4" w:space="0" w:color="F68F00"/>
              <w:left w:val="nil"/>
              <w:bottom w:val="single" w:sz="4" w:space="0" w:color="F68F00"/>
              <w:right w:val="nil"/>
            </w:tcBorders>
            <w:shd w:val="clear" w:color="auto" w:fill="auto"/>
            <w:vAlign w:val="center"/>
            <w:hideMark/>
          </w:tcPr>
          <w:p w14:paraId="517BE011" w14:textId="77777777" w:rsidR="00527281" w:rsidRPr="00E20D21" w:rsidRDefault="00527281" w:rsidP="00527281">
            <w:pP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Saldo final</w:t>
            </w:r>
          </w:p>
        </w:tc>
        <w:tc>
          <w:tcPr>
            <w:tcW w:w="382" w:type="pct"/>
            <w:tcBorders>
              <w:top w:val="single" w:sz="4" w:space="0" w:color="F68F00"/>
              <w:left w:val="nil"/>
              <w:bottom w:val="single" w:sz="4" w:space="0" w:color="F68F00"/>
              <w:right w:val="nil"/>
            </w:tcBorders>
            <w:shd w:val="clear" w:color="auto" w:fill="auto"/>
            <w:vAlign w:val="center"/>
          </w:tcPr>
          <w:p w14:paraId="184FBAC7" w14:textId="6F1B7D79"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(2.064.801)</w:t>
            </w:r>
          </w:p>
        </w:tc>
        <w:tc>
          <w:tcPr>
            <w:tcW w:w="382" w:type="pct"/>
            <w:tcBorders>
              <w:top w:val="single" w:sz="4" w:space="0" w:color="F68F00"/>
              <w:left w:val="nil"/>
              <w:bottom w:val="single" w:sz="4" w:space="0" w:color="F68F00"/>
              <w:right w:val="nil"/>
            </w:tcBorders>
            <w:shd w:val="clear" w:color="auto" w:fill="auto"/>
            <w:vAlign w:val="center"/>
          </w:tcPr>
          <w:p w14:paraId="45BD2C86" w14:textId="10B1B38C"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(2.688.704)</w:t>
            </w:r>
          </w:p>
        </w:tc>
        <w:tc>
          <w:tcPr>
            <w:tcW w:w="382" w:type="pct"/>
            <w:tcBorders>
              <w:top w:val="single" w:sz="4" w:space="0" w:color="F68F00"/>
              <w:left w:val="nil"/>
              <w:bottom w:val="single" w:sz="4" w:space="0" w:color="F68F00"/>
              <w:right w:val="nil"/>
            </w:tcBorders>
            <w:shd w:val="clear" w:color="auto" w:fill="auto"/>
            <w:vAlign w:val="center"/>
          </w:tcPr>
          <w:p w14:paraId="0561EE6B" w14:textId="76D50677"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(746.342)</w:t>
            </w:r>
          </w:p>
        </w:tc>
        <w:tc>
          <w:tcPr>
            <w:tcW w:w="382" w:type="pct"/>
            <w:tcBorders>
              <w:top w:val="single" w:sz="4" w:space="0" w:color="F68F00"/>
              <w:left w:val="nil"/>
              <w:bottom w:val="single" w:sz="4" w:space="0" w:color="F68F00"/>
              <w:right w:val="nil"/>
            </w:tcBorders>
            <w:shd w:val="clear" w:color="auto" w:fill="auto"/>
            <w:vAlign w:val="center"/>
          </w:tcPr>
          <w:p w14:paraId="19043B44" w14:textId="4590C130"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(774.135)</w:t>
            </w:r>
          </w:p>
        </w:tc>
        <w:tc>
          <w:tcPr>
            <w:tcW w:w="382" w:type="pct"/>
            <w:tcBorders>
              <w:top w:val="single" w:sz="4" w:space="0" w:color="F68F00"/>
              <w:left w:val="nil"/>
              <w:bottom w:val="single" w:sz="4" w:space="0" w:color="F68F00"/>
              <w:right w:val="nil"/>
            </w:tcBorders>
            <w:shd w:val="clear" w:color="auto" w:fill="auto"/>
            <w:vAlign w:val="center"/>
          </w:tcPr>
          <w:p w14:paraId="5262629D" w14:textId="6565EDB4"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(5.747.601)</w:t>
            </w:r>
          </w:p>
        </w:tc>
        <w:tc>
          <w:tcPr>
            <w:tcW w:w="382" w:type="pct"/>
            <w:tcBorders>
              <w:top w:val="single" w:sz="4" w:space="0" w:color="F68F00"/>
              <w:left w:val="nil"/>
              <w:bottom w:val="single" w:sz="4" w:space="0" w:color="F68F00"/>
              <w:right w:val="nil"/>
            </w:tcBorders>
            <w:shd w:val="clear" w:color="auto" w:fill="auto"/>
            <w:vAlign w:val="center"/>
          </w:tcPr>
          <w:p w14:paraId="236E02BE" w14:textId="5B86976C"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(5.795.902)</w:t>
            </w:r>
          </w:p>
        </w:tc>
        <w:tc>
          <w:tcPr>
            <w:tcW w:w="383" w:type="pct"/>
            <w:gridSpan w:val="2"/>
            <w:tcBorders>
              <w:top w:val="single" w:sz="4" w:space="0" w:color="F68F00"/>
              <w:left w:val="nil"/>
              <w:bottom w:val="single" w:sz="4" w:space="0" w:color="F68F00"/>
              <w:right w:val="nil"/>
            </w:tcBorders>
            <w:shd w:val="clear" w:color="auto" w:fill="auto"/>
            <w:vAlign w:val="center"/>
          </w:tcPr>
          <w:p w14:paraId="4E6C0778" w14:textId="12861D9C"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6.363</w:t>
            </w:r>
          </w:p>
        </w:tc>
        <w:tc>
          <w:tcPr>
            <w:tcW w:w="382" w:type="pct"/>
            <w:tcBorders>
              <w:top w:val="single" w:sz="4" w:space="0" w:color="F68F00"/>
              <w:left w:val="nil"/>
              <w:bottom w:val="single" w:sz="4" w:space="0" w:color="F68F00"/>
              <w:right w:val="nil"/>
            </w:tcBorders>
            <w:shd w:val="clear" w:color="auto" w:fill="auto"/>
            <w:vAlign w:val="center"/>
          </w:tcPr>
          <w:p w14:paraId="21675545" w14:textId="717BB1F2"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(11.599)</w:t>
            </w:r>
          </w:p>
        </w:tc>
        <w:tc>
          <w:tcPr>
            <w:tcW w:w="382" w:type="pct"/>
            <w:tcBorders>
              <w:top w:val="single" w:sz="4" w:space="0" w:color="F68F00"/>
              <w:left w:val="nil"/>
              <w:bottom w:val="single" w:sz="4" w:space="0" w:color="F68F00"/>
              <w:right w:val="nil"/>
            </w:tcBorders>
            <w:shd w:val="clear" w:color="auto" w:fill="auto"/>
            <w:vAlign w:val="center"/>
          </w:tcPr>
          <w:p w14:paraId="143F0745" w14:textId="3E2A93DB" w:rsidR="00527281" w:rsidRPr="00E20D21" w:rsidRDefault="00200802" w:rsidP="00527281">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(389.917)</w:t>
            </w:r>
          </w:p>
        </w:tc>
        <w:tc>
          <w:tcPr>
            <w:tcW w:w="380" w:type="pct"/>
            <w:tcBorders>
              <w:top w:val="single" w:sz="4" w:space="0" w:color="F68F00"/>
              <w:left w:val="nil"/>
              <w:bottom w:val="single" w:sz="4" w:space="0" w:color="F68F00"/>
              <w:right w:val="nil"/>
            </w:tcBorders>
            <w:shd w:val="clear" w:color="auto" w:fill="auto"/>
            <w:vAlign w:val="center"/>
          </w:tcPr>
          <w:p w14:paraId="51069551" w14:textId="76EBC364" w:rsidR="00527281" w:rsidRPr="00E20D21" w:rsidRDefault="00527281" w:rsidP="00527281">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(371.963)</w:t>
            </w:r>
          </w:p>
        </w:tc>
      </w:tr>
    </w:tbl>
    <w:p w14:paraId="4BCECEB5" w14:textId="77777777" w:rsidR="003834D8" w:rsidRPr="00E20D21" w:rsidRDefault="003834D8" w:rsidP="003834D8">
      <w:pPr>
        <w:rPr>
          <w:rFonts w:ascii="CAIXA Std Book" w:hAnsi="CAIXA Std Book"/>
          <w:b/>
          <w:color w:val="005CA9"/>
          <w:sz w:val="20"/>
          <w:szCs w:val="20"/>
        </w:rPr>
      </w:pPr>
      <w:r w:rsidRPr="00E20D21">
        <w:rPr>
          <w:rFonts w:ascii="CAIXA Std Book" w:hAnsi="CAIXA Std Book"/>
          <w:b/>
          <w:color w:val="005CA9"/>
          <w:sz w:val="20"/>
          <w:szCs w:val="20"/>
        </w:rPr>
        <w:br w:type="page"/>
      </w:r>
    </w:p>
    <w:p w14:paraId="57DCCC12" w14:textId="77777777" w:rsidR="003834D8" w:rsidRPr="00E20D21" w:rsidRDefault="003834D8" w:rsidP="003834D8">
      <w:pPr>
        <w:tabs>
          <w:tab w:val="left" w:pos="8610"/>
        </w:tabs>
        <w:autoSpaceDE w:val="0"/>
        <w:autoSpaceDN w:val="0"/>
        <w:adjustRightInd w:val="0"/>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(i.11)</w:t>
      </w:r>
      <w:r w:rsidRPr="00E20D21">
        <w:rPr>
          <w:rFonts w:ascii="CAIXA Std Book" w:hAnsi="CAIXA Std Book"/>
          <w:b/>
          <w:color w:val="005CA9"/>
          <w:sz w:val="20"/>
          <w:szCs w:val="20"/>
        </w:rPr>
        <w:tab/>
        <w:t>Composição dos ativos dos planos</w:t>
      </w:r>
    </w:p>
    <w:p w14:paraId="4C8DB1F8" w14:textId="77777777" w:rsidR="003834D8" w:rsidRPr="00E20D21" w:rsidRDefault="003834D8" w:rsidP="003834D8">
      <w:pPr>
        <w:spacing w:before="120" w:after="240"/>
        <w:ind w:right="254"/>
        <w:jc w:val="both"/>
        <w:rPr>
          <w:rFonts w:ascii="CAIXA Std Book" w:hAnsi="CAIXA Std Book"/>
          <w:color w:val="005CA9"/>
          <w:sz w:val="20"/>
          <w:szCs w:val="20"/>
        </w:rPr>
      </w:pPr>
      <w:r w:rsidRPr="00E20D21">
        <w:rPr>
          <w:rFonts w:ascii="CAIXA Std Book" w:hAnsi="CAIXA Std Book"/>
          <w:color w:val="005CA9"/>
          <w:sz w:val="20"/>
          <w:szCs w:val="20"/>
        </w:rPr>
        <w:t>Os planos de saúde complementar e auxílio/cesta-alimentação são administrados diretamente pela CAIXA e não possuem ativos. Os ativos do plano de benefício Assistidos PREVHAB são compostos, exclusivamente, por aplicações financeiras em renda fixa.</w:t>
      </w:r>
    </w:p>
    <w:tbl>
      <w:tblPr>
        <w:tblW w:w="4918" w:type="pct"/>
        <w:tblLayout w:type="fixed"/>
        <w:tblCellMar>
          <w:left w:w="0" w:type="dxa"/>
          <w:right w:w="57" w:type="dxa"/>
        </w:tblCellMar>
        <w:tblLook w:val="04A0" w:firstRow="1" w:lastRow="0" w:firstColumn="1" w:lastColumn="0" w:noHBand="0" w:noVBand="1"/>
      </w:tblPr>
      <w:tblGrid>
        <w:gridCol w:w="4557"/>
        <w:gridCol w:w="1125"/>
        <w:gridCol w:w="1253"/>
        <w:gridCol w:w="1253"/>
        <w:gridCol w:w="1253"/>
        <w:gridCol w:w="1253"/>
        <w:gridCol w:w="1253"/>
        <w:gridCol w:w="1253"/>
        <w:gridCol w:w="1132"/>
      </w:tblGrid>
      <w:tr w:rsidR="00A47C19" w:rsidRPr="00E20D21" w14:paraId="2EF1500A" w14:textId="77777777" w:rsidTr="0096575F">
        <w:trPr>
          <w:trHeight w:val="283"/>
        </w:trPr>
        <w:tc>
          <w:tcPr>
            <w:tcW w:w="5000" w:type="pct"/>
            <w:gridSpan w:val="9"/>
            <w:tcBorders>
              <w:top w:val="single" w:sz="4" w:space="0" w:color="F68F00"/>
              <w:left w:val="nil"/>
              <w:bottom w:val="single" w:sz="4" w:space="0" w:color="F68F00"/>
              <w:right w:val="nil"/>
            </w:tcBorders>
            <w:shd w:val="clear" w:color="auto" w:fill="auto"/>
            <w:vAlign w:val="center"/>
          </w:tcPr>
          <w:p w14:paraId="72F1525B" w14:textId="18E9433A"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INDIVIDUAL</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CONSOLIDADO</w:t>
            </w:r>
          </w:p>
        </w:tc>
      </w:tr>
      <w:tr w:rsidR="00A47C19" w:rsidRPr="00E20D21" w14:paraId="58CB6A32" w14:textId="77777777" w:rsidTr="00C64D77">
        <w:trPr>
          <w:trHeight w:val="283"/>
        </w:trPr>
        <w:tc>
          <w:tcPr>
            <w:tcW w:w="1590" w:type="pct"/>
            <w:vMerge w:val="restart"/>
            <w:tcBorders>
              <w:top w:val="single" w:sz="4" w:space="0" w:color="F68F00"/>
              <w:left w:val="nil"/>
              <w:bottom w:val="single" w:sz="4" w:space="0" w:color="F68F00"/>
              <w:right w:val="nil"/>
            </w:tcBorders>
            <w:shd w:val="clear" w:color="auto" w:fill="auto"/>
            <w:vAlign w:val="center"/>
            <w:hideMark/>
          </w:tcPr>
          <w:p w14:paraId="7A986785"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Descrição</w:t>
            </w:r>
          </w:p>
        </w:tc>
        <w:tc>
          <w:tcPr>
            <w:tcW w:w="830" w:type="pct"/>
            <w:gridSpan w:val="2"/>
            <w:tcBorders>
              <w:top w:val="single" w:sz="4" w:space="0" w:color="F68F00"/>
              <w:left w:val="nil"/>
              <w:bottom w:val="single" w:sz="4" w:space="0" w:color="F68F00"/>
              <w:right w:val="nil"/>
            </w:tcBorders>
            <w:shd w:val="clear" w:color="auto" w:fill="auto"/>
            <w:vAlign w:val="center"/>
            <w:hideMark/>
          </w:tcPr>
          <w:p w14:paraId="43C85BFE"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Saldado</w:t>
            </w:r>
          </w:p>
        </w:tc>
        <w:tc>
          <w:tcPr>
            <w:tcW w:w="874" w:type="pct"/>
            <w:gridSpan w:val="2"/>
            <w:tcBorders>
              <w:top w:val="single" w:sz="4" w:space="0" w:color="F68F00"/>
              <w:left w:val="nil"/>
              <w:bottom w:val="single" w:sz="4" w:space="0" w:color="F68F00"/>
              <w:right w:val="nil"/>
            </w:tcBorders>
            <w:shd w:val="clear" w:color="auto" w:fill="auto"/>
            <w:vAlign w:val="center"/>
            <w:hideMark/>
          </w:tcPr>
          <w:p w14:paraId="787DF0B8"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Não saldado</w:t>
            </w:r>
          </w:p>
        </w:tc>
        <w:tc>
          <w:tcPr>
            <w:tcW w:w="874" w:type="pct"/>
            <w:gridSpan w:val="2"/>
            <w:tcBorders>
              <w:top w:val="single" w:sz="4" w:space="0" w:color="F68F00"/>
              <w:left w:val="nil"/>
              <w:bottom w:val="single" w:sz="4" w:space="0" w:color="F68F00"/>
              <w:right w:val="nil"/>
            </w:tcBorders>
            <w:shd w:val="clear" w:color="auto" w:fill="auto"/>
            <w:vAlign w:val="center"/>
            <w:hideMark/>
          </w:tcPr>
          <w:p w14:paraId="1288ADB2"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REB</w:t>
            </w:r>
          </w:p>
        </w:tc>
        <w:tc>
          <w:tcPr>
            <w:tcW w:w="832" w:type="pct"/>
            <w:gridSpan w:val="2"/>
            <w:tcBorders>
              <w:top w:val="single" w:sz="4" w:space="0" w:color="F68F00"/>
              <w:left w:val="nil"/>
              <w:bottom w:val="single" w:sz="4" w:space="0" w:color="F68F00"/>
              <w:right w:val="nil"/>
            </w:tcBorders>
            <w:shd w:val="clear" w:color="auto" w:fill="auto"/>
            <w:vAlign w:val="center"/>
            <w:hideMark/>
          </w:tcPr>
          <w:p w14:paraId="207C3A0B"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Novo Plano</w:t>
            </w:r>
          </w:p>
        </w:tc>
      </w:tr>
      <w:tr w:rsidR="0096575F" w:rsidRPr="00E20D21" w14:paraId="11E661B9" w14:textId="77777777" w:rsidTr="00C64D77">
        <w:trPr>
          <w:trHeight w:val="283"/>
        </w:trPr>
        <w:tc>
          <w:tcPr>
            <w:tcW w:w="1590" w:type="pct"/>
            <w:vMerge/>
            <w:tcBorders>
              <w:top w:val="single" w:sz="4" w:space="0" w:color="F68F00"/>
              <w:left w:val="nil"/>
              <w:bottom w:val="single" w:sz="4" w:space="0" w:color="F68F00"/>
              <w:right w:val="nil"/>
            </w:tcBorders>
            <w:vAlign w:val="center"/>
            <w:hideMark/>
          </w:tcPr>
          <w:p w14:paraId="0EB5F4D5" w14:textId="77777777" w:rsidR="0096575F" w:rsidRPr="00E20D21" w:rsidRDefault="0096575F" w:rsidP="0096575F">
            <w:pPr>
              <w:rPr>
                <w:rFonts w:ascii="CAIXA Std Book" w:hAnsi="CAIXA Std Book" w:cs="Symbol"/>
                <w:b/>
                <w:color w:val="005CA9"/>
                <w:sz w:val="18"/>
                <w:szCs w:val="18"/>
              </w:rPr>
            </w:pPr>
          </w:p>
        </w:tc>
        <w:tc>
          <w:tcPr>
            <w:tcW w:w="393" w:type="pct"/>
            <w:tcBorders>
              <w:top w:val="nil"/>
              <w:left w:val="nil"/>
              <w:bottom w:val="single" w:sz="4" w:space="0" w:color="F68F00"/>
              <w:right w:val="nil"/>
            </w:tcBorders>
            <w:shd w:val="clear" w:color="auto" w:fill="auto"/>
            <w:vAlign w:val="center"/>
          </w:tcPr>
          <w:p w14:paraId="757E3BBC" w14:textId="132FBAC9"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30/06/2024</w:t>
            </w:r>
          </w:p>
        </w:tc>
        <w:tc>
          <w:tcPr>
            <w:tcW w:w="437" w:type="pct"/>
            <w:tcBorders>
              <w:top w:val="nil"/>
              <w:left w:val="nil"/>
              <w:bottom w:val="single" w:sz="4" w:space="0" w:color="F68F00"/>
              <w:right w:val="nil"/>
            </w:tcBorders>
            <w:shd w:val="clear" w:color="auto" w:fill="auto"/>
            <w:vAlign w:val="center"/>
            <w:hideMark/>
          </w:tcPr>
          <w:p w14:paraId="06C68985" w14:textId="6E95FA3A"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31/12/2023</w:t>
            </w:r>
          </w:p>
        </w:tc>
        <w:tc>
          <w:tcPr>
            <w:tcW w:w="437" w:type="pct"/>
            <w:tcBorders>
              <w:top w:val="nil"/>
              <w:left w:val="nil"/>
              <w:bottom w:val="single" w:sz="4" w:space="0" w:color="F68F00"/>
              <w:right w:val="nil"/>
            </w:tcBorders>
            <w:shd w:val="clear" w:color="auto" w:fill="auto"/>
            <w:vAlign w:val="center"/>
          </w:tcPr>
          <w:p w14:paraId="09966E4A" w14:textId="628EA122"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30/06/2024</w:t>
            </w:r>
          </w:p>
        </w:tc>
        <w:tc>
          <w:tcPr>
            <w:tcW w:w="437" w:type="pct"/>
            <w:tcBorders>
              <w:top w:val="nil"/>
              <w:left w:val="nil"/>
              <w:bottom w:val="single" w:sz="4" w:space="0" w:color="F68F00"/>
              <w:right w:val="nil"/>
            </w:tcBorders>
            <w:shd w:val="clear" w:color="auto" w:fill="auto"/>
            <w:vAlign w:val="center"/>
            <w:hideMark/>
          </w:tcPr>
          <w:p w14:paraId="6B11BE7C" w14:textId="72531ABD"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31/12/2023</w:t>
            </w:r>
          </w:p>
        </w:tc>
        <w:tc>
          <w:tcPr>
            <w:tcW w:w="437" w:type="pct"/>
            <w:tcBorders>
              <w:top w:val="nil"/>
              <w:left w:val="nil"/>
              <w:bottom w:val="single" w:sz="4" w:space="0" w:color="F68F00"/>
              <w:right w:val="nil"/>
            </w:tcBorders>
            <w:shd w:val="clear" w:color="auto" w:fill="auto"/>
            <w:vAlign w:val="center"/>
          </w:tcPr>
          <w:p w14:paraId="22C57E54" w14:textId="6DD65D7D"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30/06/2024</w:t>
            </w:r>
          </w:p>
        </w:tc>
        <w:tc>
          <w:tcPr>
            <w:tcW w:w="437" w:type="pct"/>
            <w:tcBorders>
              <w:top w:val="nil"/>
              <w:left w:val="nil"/>
              <w:bottom w:val="single" w:sz="4" w:space="0" w:color="F68F00"/>
              <w:right w:val="nil"/>
            </w:tcBorders>
            <w:shd w:val="clear" w:color="auto" w:fill="auto"/>
            <w:vAlign w:val="center"/>
            <w:hideMark/>
          </w:tcPr>
          <w:p w14:paraId="0D8C29EC" w14:textId="253502C1"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31/12/2023</w:t>
            </w:r>
          </w:p>
        </w:tc>
        <w:tc>
          <w:tcPr>
            <w:tcW w:w="437" w:type="pct"/>
            <w:tcBorders>
              <w:top w:val="nil"/>
              <w:left w:val="nil"/>
              <w:bottom w:val="single" w:sz="4" w:space="0" w:color="F68F00"/>
              <w:right w:val="nil"/>
            </w:tcBorders>
            <w:shd w:val="clear" w:color="auto" w:fill="auto"/>
            <w:vAlign w:val="center"/>
          </w:tcPr>
          <w:p w14:paraId="5530E833" w14:textId="0C85424F"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30/06/2024</w:t>
            </w:r>
          </w:p>
        </w:tc>
        <w:tc>
          <w:tcPr>
            <w:tcW w:w="395" w:type="pct"/>
            <w:tcBorders>
              <w:top w:val="nil"/>
              <w:left w:val="nil"/>
              <w:bottom w:val="single" w:sz="4" w:space="0" w:color="F68F00"/>
              <w:right w:val="nil"/>
            </w:tcBorders>
            <w:shd w:val="clear" w:color="auto" w:fill="auto"/>
            <w:vAlign w:val="center"/>
            <w:hideMark/>
          </w:tcPr>
          <w:p w14:paraId="5048BF79" w14:textId="74060FF7"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31/12/2023</w:t>
            </w:r>
          </w:p>
        </w:tc>
      </w:tr>
      <w:tr w:rsidR="0096575F" w:rsidRPr="00E20D21" w14:paraId="7125FFD8" w14:textId="77777777" w:rsidTr="00C64D77">
        <w:trPr>
          <w:trHeight w:val="283"/>
        </w:trPr>
        <w:tc>
          <w:tcPr>
            <w:tcW w:w="1590" w:type="pct"/>
            <w:tcBorders>
              <w:top w:val="nil"/>
              <w:left w:val="nil"/>
              <w:bottom w:val="nil"/>
              <w:right w:val="nil"/>
            </w:tcBorders>
            <w:shd w:val="clear" w:color="auto" w:fill="auto"/>
            <w:vAlign w:val="center"/>
            <w:hideMark/>
          </w:tcPr>
          <w:p w14:paraId="4E3FA4BD" w14:textId="77777777" w:rsidR="0096575F" w:rsidRPr="00E20D21" w:rsidRDefault="0096575F" w:rsidP="0096575F">
            <w:pPr>
              <w:rPr>
                <w:rFonts w:ascii="CAIXA Std Book" w:hAnsi="CAIXA Std Book" w:cs="Symbol"/>
                <w:b/>
                <w:color w:val="005CA9"/>
                <w:sz w:val="18"/>
                <w:szCs w:val="18"/>
              </w:rPr>
            </w:pPr>
            <w:r w:rsidRPr="00E20D21">
              <w:rPr>
                <w:rFonts w:ascii="CAIXA Std Book" w:hAnsi="CAIXA Std Book" w:cs="Calibri"/>
                <w:color w:val="005CA9"/>
                <w:sz w:val="18"/>
                <w:szCs w:val="18"/>
              </w:rPr>
              <w:t>Renda fixa</w:t>
            </w:r>
          </w:p>
        </w:tc>
        <w:tc>
          <w:tcPr>
            <w:tcW w:w="393" w:type="pct"/>
            <w:tcBorders>
              <w:top w:val="nil"/>
              <w:left w:val="nil"/>
              <w:bottom w:val="nil"/>
              <w:right w:val="nil"/>
            </w:tcBorders>
            <w:shd w:val="clear" w:color="auto" w:fill="auto"/>
            <w:vAlign w:val="center"/>
          </w:tcPr>
          <w:p w14:paraId="7A9FB8C7" w14:textId="1AAB11C2"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36.830.415</w:t>
            </w:r>
          </w:p>
        </w:tc>
        <w:tc>
          <w:tcPr>
            <w:tcW w:w="437" w:type="pct"/>
            <w:tcBorders>
              <w:top w:val="nil"/>
              <w:left w:val="nil"/>
              <w:bottom w:val="nil"/>
              <w:right w:val="nil"/>
            </w:tcBorders>
            <w:shd w:val="clear" w:color="auto" w:fill="auto"/>
            <w:vAlign w:val="center"/>
          </w:tcPr>
          <w:p w14:paraId="5C80AD7E" w14:textId="1A36ACC2" w:rsidR="0096575F" w:rsidRPr="00E20D21" w:rsidRDefault="0096575F" w:rsidP="0096575F">
            <w:pPr>
              <w:ind w:right="54"/>
              <w:jc w:val="right"/>
              <w:rPr>
                <w:rFonts w:ascii="CAIXA Std Book" w:hAnsi="CAIXA Std Book" w:cs="Symbol"/>
                <w:color w:val="005CA9"/>
                <w:sz w:val="18"/>
                <w:szCs w:val="18"/>
              </w:rPr>
            </w:pPr>
            <w:r w:rsidRPr="00E20D21">
              <w:rPr>
                <w:rFonts w:ascii="CAIXA Std Book" w:hAnsi="CAIXA Std Book" w:cs="Calibri"/>
                <w:color w:val="005CA9"/>
                <w:sz w:val="16"/>
                <w:szCs w:val="16"/>
              </w:rPr>
              <w:t>37.400.390</w:t>
            </w:r>
          </w:p>
        </w:tc>
        <w:tc>
          <w:tcPr>
            <w:tcW w:w="437" w:type="pct"/>
            <w:tcBorders>
              <w:top w:val="nil"/>
              <w:left w:val="nil"/>
              <w:bottom w:val="nil"/>
              <w:right w:val="nil"/>
            </w:tcBorders>
            <w:shd w:val="clear" w:color="auto" w:fill="auto"/>
            <w:vAlign w:val="center"/>
          </w:tcPr>
          <w:p w14:paraId="4F8C96B6" w14:textId="63CAA215"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4.</w:t>
            </w:r>
            <w:r w:rsidR="00A324D2" w:rsidRPr="00E20D21">
              <w:rPr>
                <w:rFonts w:ascii="CAIXA Std Book" w:hAnsi="CAIXA Std Book" w:cs="Calibri"/>
                <w:color w:val="005CA9"/>
                <w:sz w:val="16"/>
                <w:szCs w:val="16"/>
              </w:rPr>
              <w:t>913.650</w:t>
            </w:r>
          </w:p>
        </w:tc>
        <w:tc>
          <w:tcPr>
            <w:tcW w:w="437" w:type="pct"/>
            <w:tcBorders>
              <w:top w:val="nil"/>
              <w:left w:val="nil"/>
              <w:bottom w:val="nil"/>
              <w:right w:val="nil"/>
            </w:tcBorders>
            <w:shd w:val="clear" w:color="auto" w:fill="auto"/>
            <w:vAlign w:val="center"/>
          </w:tcPr>
          <w:p w14:paraId="5F7E9916" w14:textId="1F3BD625" w:rsidR="0096575F" w:rsidRPr="00E20D21" w:rsidRDefault="0096575F"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5.222.991</w:t>
            </w:r>
          </w:p>
        </w:tc>
        <w:tc>
          <w:tcPr>
            <w:tcW w:w="437" w:type="pct"/>
            <w:tcBorders>
              <w:top w:val="nil"/>
              <w:left w:val="nil"/>
              <w:bottom w:val="nil"/>
              <w:right w:val="nil"/>
            </w:tcBorders>
            <w:shd w:val="clear" w:color="auto" w:fill="auto"/>
            <w:vAlign w:val="center"/>
          </w:tcPr>
          <w:p w14:paraId="16C3BA16" w14:textId="0498A28E"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565.493</w:t>
            </w:r>
          </w:p>
        </w:tc>
        <w:tc>
          <w:tcPr>
            <w:tcW w:w="437" w:type="pct"/>
            <w:tcBorders>
              <w:top w:val="nil"/>
              <w:left w:val="nil"/>
              <w:bottom w:val="nil"/>
              <w:right w:val="nil"/>
            </w:tcBorders>
            <w:shd w:val="clear" w:color="auto" w:fill="auto"/>
            <w:vAlign w:val="center"/>
          </w:tcPr>
          <w:p w14:paraId="6DC69057" w14:textId="28F59130" w:rsidR="0096575F" w:rsidRPr="00E20D21" w:rsidRDefault="0096575F" w:rsidP="0096575F">
            <w:pPr>
              <w:ind w:right="54"/>
              <w:jc w:val="right"/>
              <w:rPr>
                <w:rFonts w:ascii="CAIXA Std Book" w:hAnsi="CAIXA Std Book" w:cs="Symbol"/>
                <w:color w:val="005CA9"/>
                <w:sz w:val="18"/>
                <w:szCs w:val="18"/>
              </w:rPr>
            </w:pPr>
            <w:r w:rsidRPr="00E20D21">
              <w:rPr>
                <w:rFonts w:ascii="CAIXA Std Book" w:hAnsi="CAIXA Std Book" w:cs="Calibri"/>
                <w:color w:val="005CA9"/>
                <w:sz w:val="16"/>
                <w:szCs w:val="16"/>
              </w:rPr>
              <w:t>580.713</w:t>
            </w:r>
          </w:p>
        </w:tc>
        <w:tc>
          <w:tcPr>
            <w:tcW w:w="437" w:type="pct"/>
            <w:tcBorders>
              <w:top w:val="nil"/>
              <w:left w:val="nil"/>
              <w:bottom w:val="nil"/>
              <w:right w:val="nil"/>
            </w:tcBorders>
            <w:shd w:val="clear" w:color="auto" w:fill="auto"/>
            <w:vAlign w:val="center"/>
          </w:tcPr>
          <w:p w14:paraId="759C5C34" w14:textId="0C08EE0F"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1.953.178</w:t>
            </w:r>
          </w:p>
        </w:tc>
        <w:tc>
          <w:tcPr>
            <w:tcW w:w="395" w:type="pct"/>
            <w:tcBorders>
              <w:top w:val="nil"/>
              <w:left w:val="nil"/>
              <w:bottom w:val="nil"/>
              <w:right w:val="nil"/>
            </w:tcBorders>
            <w:shd w:val="clear" w:color="auto" w:fill="auto"/>
            <w:vAlign w:val="center"/>
          </w:tcPr>
          <w:p w14:paraId="0A8A27D0" w14:textId="449F19A2" w:rsidR="0096575F" w:rsidRPr="00E20D21" w:rsidRDefault="0096575F"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2.575.845</w:t>
            </w:r>
          </w:p>
        </w:tc>
      </w:tr>
      <w:tr w:rsidR="0096575F" w:rsidRPr="00E20D21" w14:paraId="4BBA23CB" w14:textId="77777777" w:rsidTr="00C64D77">
        <w:trPr>
          <w:trHeight w:val="283"/>
        </w:trPr>
        <w:tc>
          <w:tcPr>
            <w:tcW w:w="1590" w:type="pct"/>
            <w:tcBorders>
              <w:top w:val="nil"/>
              <w:left w:val="nil"/>
              <w:bottom w:val="nil"/>
              <w:right w:val="nil"/>
            </w:tcBorders>
            <w:shd w:val="clear" w:color="auto" w:fill="auto"/>
            <w:vAlign w:val="center"/>
            <w:hideMark/>
          </w:tcPr>
          <w:p w14:paraId="59D504E4" w14:textId="77777777" w:rsidR="0096575F" w:rsidRPr="00E20D21" w:rsidRDefault="0096575F" w:rsidP="0096575F">
            <w:pPr>
              <w:rPr>
                <w:rFonts w:ascii="CAIXA Std Book" w:hAnsi="CAIXA Std Book" w:cs="Symbol"/>
                <w:b/>
                <w:color w:val="005CA9"/>
                <w:sz w:val="18"/>
                <w:szCs w:val="18"/>
              </w:rPr>
            </w:pPr>
            <w:r w:rsidRPr="00E20D21">
              <w:rPr>
                <w:rFonts w:ascii="CAIXA Std Book" w:hAnsi="CAIXA Std Book" w:cs="Calibri"/>
                <w:color w:val="005CA9"/>
                <w:sz w:val="18"/>
                <w:szCs w:val="18"/>
              </w:rPr>
              <w:t>Renda variável</w:t>
            </w:r>
          </w:p>
        </w:tc>
        <w:tc>
          <w:tcPr>
            <w:tcW w:w="393" w:type="pct"/>
            <w:tcBorders>
              <w:top w:val="nil"/>
              <w:left w:val="nil"/>
              <w:bottom w:val="nil"/>
              <w:right w:val="nil"/>
            </w:tcBorders>
            <w:shd w:val="clear" w:color="auto" w:fill="auto"/>
            <w:vAlign w:val="center"/>
          </w:tcPr>
          <w:p w14:paraId="5C298FBE" w14:textId="752E76B7"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5.469.125</w:t>
            </w:r>
          </w:p>
        </w:tc>
        <w:tc>
          <w:tcPr>
            <w:tcW w:w="437" w:type="pct"/>
            <w:tcBorders>
              <w:top w:val="nil"/>
              <w:left w:val="nil"/>
              <w:bottom w:val="nil"/>
              <w:right w:val="nil"/>
            </w:tcBorders>
            <w:shd w:val="clear" w:color="auto" w:fill="auto"/>
            <w:vAlign w:val="center"/>
          </w:tcPr>
          <w:p w14:paraId="417C61F6" w14:textId="4FB6817F" w:rsidR="0096575F" w:rsidRPr="00E20D21" w:rsidRDefault="0096575F" w:rsidP="0096575F">
            <w:pPr>
              <w:ind w:right="54"/>
              <w:jc w:val="right"/>
              <w:rPr>
                <w:rFonts w:ascii="CAIXA Std Book" w:hAnsi="CAIXA Std Book" w:cs="Symbol"/>
                <w:color w:val="005CA9"/>
                <w:sz w:val="18"/>
                <w:szCs w:val="18"/>
              </w:rPr>
            </w:pPr>
            <w:r w:rsidRPr="00E20D21">
              <w:rPr>
                <w:rFonts w:ascii="CAIXA Std Book" w:hAnsi="CAIXA Std Book" w:cs="Calibri"/>
                <w:color w:val="005CA9"/>
                <w:sz w:val="16"/>
                <w:szCs w:val="16"/>
              </w:rPr>
              <w:t>7.818.991</w:t>
            </w:r>
          </w:p>
        </w:tc>
        <w:tc>
          <w:tcPr>
            <w:tcW w:w="437" w:type="pct"/>
            <w:tcBorders>
              <w:top w:val="nil"/>
              <w:left w:val="nil"/>
              <w:bottom w:val="nil"/>
              <w:right w:val="nil"/>
            </w:tcBorders>
            <w:shd w:val="clear" w:color="auto" w:fill="auto"/>
            <w:vAlign w:val="center"/>
          </w:tcPr>
          <w:p w14:paraId="5BC6F075" w14:textId="434AF347"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696.908</w:t>
            </w:r>
          </w:p>
        </w:tc>
        <w:tc>
          <w:tcPr>
            <w:tcW w:w="437" w:type="pct"/>
            <w:tcBorders>
              <w:top w:val="nil"/>
              <w:left w:val="nil"/>
              <w:bottom w:val="nil"/>
              <w:right w:val="nil"/>
            </w:tcBorders>
            <w:shd w:val="clear" w:color="auto" w:fill="auto"/>
            <w:vAlign w:val="center"/>
          </w:tcPr>
          <w:p w14:paraId="7A03AD64" w14:textId="6744AEFB" w:rsidR="0096575F" w:rsidRPr="00E20D21" w:rsidRDefault="0096575F"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893.156</w:t>
            </w:r>
          </w:p>
        </w:tc>
        <w:tc>
          <w:tcPr>
            <w:tcW w:w="437" w:type="pct"/>
            <w:tcBorders>
              <w:top w:val="nil"/>
              <w:left w:val="nil"/>
              <w:bottom w:val="nil"/>
              <w:right w:val="nil"/>
            </w:tcBorders>
            <w:shd w:val="clear" w:color="auto" w:fill="auto"/>
            <w:vAlign w:val="center"/>
          </w:tcPr>
          <w:p w14:paraId="7A1FBCF3" w14:textId="159AAEEA"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124.129</w:t>
            </w:r>
          </w:p>
        </w:tc>
        <w:tc>
          <w:tcPr>
            <w:tcW w:w="437" w:type="pct"/>
            <w:tcBorders>
              <w:top w:val="nil"/>
              <w:left w:val="nil"/>
              <w:bottom w:val="nil"/>
              <w:right w:val="nil"/>
            </w:tcBorders>
            <w:shd w:val="clear" w:color="auto" w:fill="auto"/>
            <w:vAlign w:val="center"/>
          </w:tcPr>
          <w:p w14:paraId="2EA0BE93" w14:textId="0FA4FFC3" w:rsidR="0096575F" w:rsidRPr="00E20D21" w:rsidRDefault="0096575F" w:rsidP="0096575F">
            <w:pPr>
              <w:ind w:right="54"/>
              <w:jc w:val="right"/>
              <w:rPr>
                <w:rFonts w:ascii="CAIXA Std Book" w:hAnsi="CAIXA Std Book" w:cs="Symbol"/>
                <w:color w:val="005CA9"/>
                <w:sz w:val="18"/>
                <w:szCs w:val="18"/>
              </w:rPr>
            </w:pPr>
            <w:r w:rsidRPr="00E20D21">
              <w:rPr>
                <w:rFonts w:ascii="CAIXA Std Book" w:hAnsi="CAIXA Std Book" w:cs="Calibri"/>
                <w:color w:val="005CA9"/>
                <w:sz w:val="16"/>
                <w:szCs w:val="16"/>
              </w:rPr>
              <w:t>135.777</w:t>
            </w:r>
          </w:p>
        </w:tc>
        <w:tc>
          <w:tcPr>
            <w:tcW w:w="437" w:type="pct"/>
            <w:tcBorders>
              <w:top w:val="nil"/>
              <w:left w:val="nil"/>
              <w:bottom w:val="nil"/>
              <w:right w:val="nil"/>
            </w:tcBorders>
            <w:shd w:val="clear" w:color="auto" w:fill="auto"/>
            <w:vAlign w:val="center"/>
          </w:tcPr>
          <w:p w14:paraId="67BBD076" w14:textId="0DA37729"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395.687</w:t>
            </w:r>
          </w:p>
        </w:tc>
        <w:tc>
          <w:tcPr>
            <w:tcW w:w="395" w:type="pct"/>
            <w:tcBorders>
              <w:top w:val="nil"/>
              <w:left w:val="nil"/>
              <w:bottom w:val="nil"/>
              <w:right w:val="nil"/>
            </w:tcBorders>
            <w:shd w:val="clear" w:color="auto" w:fill="auto"/>
            <w:vAlign w:val="center"/>
          </w:tcPr>
          <w:p w14:paraId="2B392E83" w14:textId="69BB5ABE" w:rsidR="0096575F" w:rsidRPr="00E20D21" w:rsidRDefault="0096575F"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560.444</w:t>
            </w:r>
          </w:p>
        </w:tc>
      </w:tr>
      <w:tr w:rsidR="0096575F" w:rsidRPr="00E20D21" w14:paraId="45BE93B5" w14:textId="77777777" w:rsidTr="00C64D77">
        <w:trPr>
          <w:trHeight w:val="283"/>
        </w:trPr>
        <w:tc>
          <w:tcPr>
            <w:tcW w:w="1590" w:type="pct"/>
            <w:tcBorders>
              <w:top w:val="nil"/>
              <w:left w:val="nil"/>
              <w:bottom w:val="nil"/>
              <w:right w:val="nil"/>
            </w:tcBorders>
            <w:shd w:val="clear" w:color="auto" w:fill="auto"/>
            <w:vAlign w:val="center"/>
            <w:hideMark/>
          </w:tcPr>
          <w:p w14:paraId="3EFBF22C" w14:textId="77777777" w:rsidR="0096575F" w:rsidRPr="00E20D21" w:rsidRDefault="0096575F" w:rsidP="0096575F">
            <w:pPr>
              <w:rPr>
                <w:rFonts w:ascii="CAIXA Std Book" w:hAnsi="CAIXA Std Book" w:cs="Symbol"/>
                <w:b/>
                <w:color w:val="005CA9"/>
                <w:sz w:val="18"/>
                <w:szCs w:val="18"/>
              </w:rPr>
            </w:pPr>
            <w:r w:rsidRPr="00E20D21">
              <w:rPr>
                <w:rFonts w:ascii="CAIXA Std Book" w:hAnsi="CAIXA Std Book" w:cs="Calibri"/>
                <w:color w:val="005CA9"/>
                <w:sz w:val="18"/>
                <w:szCs w:val="18"/>
              </w:rPr>
              <w:t>Investimentos estruturados</w:t>
            </w:r>
          </w:p>
        </w:tc>
        <w:tc>
          <w:tcPr>
            <w:tcW w:w="393" w:type="pct"/>
            <w:tcBorders>
              <w:top w:val="nil"/>
              <w:left w:val="nil"/>
              <w:bottom w:val="nil"/>
              <w:right w:val="nil"/>
            </w:tcBorders>
            <w:shd w:val="clear" w:color="auto" w:fill="auto"/>
            <w:vAlign w:val="center"/>
          </w:tcPr>
          <w:p w14:paraId="62864A23" w14:textId="1A665BBD"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308.337</w:t>
            </w:r>
          </w:p>
        </w:tc>
        <w:tc>
          <w:tcPr>
            <w:tcW w:w="437" w:type="pct"/>
            <w:tcBorders>
              <w:top w:val="nil"/>
              <w:left w:val="nil"/>
              <w:bottom w:val="nil"/>
              <w:right w:val="nil"/>
            </w:tcBorders>
            <w:shd w:val="clear" w:color="auto" w:fill="auto"/>
            <w:vAlign w:val="center"/>
          </w:tcPr>
          <w:p w14:paraId="54D71DD8" w14:textId="43BF6AFA" w:rsidR="0096575F" w:rsidRPr="00E20D21" w:rsidRDefault="0096575F" w:rsidP="0096575F">
            <w:pPr>
              <w:ind w:right="54"/>
              <w:jc w:val="right"/>
              <w:rPr>
                <w:rFonts w:ascii="CAIXA Std Book" w:hAnsi="CAIXA Std Book" w:cs="Symbol"/>
                <w:color w:val="005CA9"/>
                <w:sz w:val="18"/>
                <w:szCs w:val="18"/>
              </w:rPr>
            </w:pPr>
            <w:r w:rsidRPr="00E20D21">
              <w:rPr>
                <w:rFonts w:ascii="CAIXA Std Book" w:hAnsi="CAIXA Std Book" w:cs="Calibri"/>
                <w:color w:val="005CA9"/>
                <w:sz w:val="16"/>
                <w:szCs w:val="16"/>
              </w:rPr>
              <w:t>352.763</w:t>
            </w:r>
          </w:p>
        </w:tc>
        <w:tc>
          <w:tcPr>
            <w:tcW w:w="437" w:type="pct"/>
            <w:tcBorders>
              <w:top w:val="nil"/>
              <w:left w:val="nil"/>
              <w:bottom w:val="nil"/>
              <w:right w:val="nil"/>
            </w:tcBorders>
            <w:shd w:val="clear" w:color="auto" w:fill="auto"/>
            <w:vAlign w:val="center"/>
          </w:tcPr>
          <w:p w14:paraId="5BA0CE58" w14:textId="0D550982"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55.093</w:t>
            </w:r>
          </w:p>
        </w:tc>
        <w:tc>
          <w:tcPr>
            <w:tcW w:w="437" w:type="pct"/>
            <w:tcBorders>
              <w:top w:val="nil"/>
              <w:left w:val="nil"/>
              <w:bottom w:val="nil"/>
              <w:right w:val="nil"/>
            </w:tcBorders>
            <w:shd w:val="clear" w:color="auto" w:fill="auto"/>
            <w:vAlign w:val="center"/>
          </w:tcPr>
          <w:p w14:paraId="4318EEDE" w14:textId="3534D99F" w:rsidR="0096575F" w:rsidRPr="00E20D21" w:rsidRDefault="0096575F"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61.501</w:t>
            </w:r>
          </w:p>
        </w:tc>
        <w:tc>
          <w:tcPr>
            <w:tcW w:w="437" w:type="pct"/>
            <w:tcBorders>
              <w:top w:val="nil"/>
              <w:left w:val="nil"/>
              <w:bottom w:val="nil"/>
              <w:right w:val="nil"/>
            </w:tcBorders>
            <w:shd w:val="clear" w:color="auto" w:fill="auto"/>
            <w:vAlign w:val="center"/>
          </w:tcPr>
          <w:p w14:paraId="2E909FE1" w14:textId="19095471"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4.094</w:t>
            </w:r>
          </w:p>
        </w:tc>
        <w:tc>
          <w:tcPr>
            <w:tcW w:w="437" w:type="pct"/>
            <w:tcBorders>
              <w:top w:val="nil"/>
              <w:left w:val="nil"/>
              <w:bottom w:val="nil"/>
              <w:right w:val="nil"/>
            </w:tcBorders>
            <w:shd w:val="clear" w:color="auto" w:fill="auto"/>
            <w:vAlign w:val="center"/>
          </w:tcPr>
          <w:p w14:paraId="7D523D6C" w14:textId="13E8A7F7" w:rsidR="0096575F" w:rsidRPr="00E20D21" w:rsidRDefault="0096575F" w:rsidP="0096575F">
            <w:pPr>
              <w:ind w:right="54"/>
              <w:jc w:val="right"/>
              <w:rPr>
                <w:rFonts w:ascii="CAIXA Std Book" w:hAnsi="CAIXA Std Book" w:cs="Symbol"/>
                <w:color w:val="005CA9"/>
                <w:sz w:val="18"/>
                <w:szCs w:val="18"/>
              </w:rPr>
            </w:pPr>
            <w:r w:rsidRPr="00E20D21">
              <w:rPr>
                <w:rFonts w:ascii="CAIXA Std Book" w:hAnsi="CAIXA Std Book" w:cs="Calibri"/>
                <w:color w:val="005CA9"/>
                <w:sz w:val="16"/>
                <w:szCs w:val="16"/>
              </w:rPr>
              <w:t>4.490</w:t>
            </w:r>
          </w:p>
        </w:tc>
        <w:tc>
          <w:tcPr>
            <w:tcW w:w="437" w:type="pct"/>
            <w:tcBorders>
              <w:top w:val="nil"/>
              <w:left w:val="nil"/>
              <w:bottom w:val="nil"/>
              <w:right w:val="nil"/>
            </w:tcBorders>
            <w:shd w:val="clear" w:color="auto" w:fill="auto"/>
            <w:vAlign w:val="center"/>
          </w:tcPr>
          <w:p w14:paraId="570B4B66" w14:textId="5DA2E1A3"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10.288</w:t>
            </w:r>
          </w:p>
        </w:tc>
        <w:tc>
          <w:tcPr>
            <w:tcW w:w="395" w:type="pct"/>
            <w:tcBorders>
              <w:top w:val="nil"/>
              <w:left w:val="nil"/>
              <w:bottom w:val="nil"/>
              <w:right w:val="nil"/>
            </w:tcBorders>
            <w:shd w:val="clear" w:color="auto" w:fill="auto"/>
            <w:vAlign w:val="center"/>
          </w:tcPr>
          <w:p w14:paraId="675868EF" w14:textId="25FDA96C" w:rsidR="0096575F" w:rsidRPr="00E20D21" w:rsidRDefault="0096575F"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15.653</w:t>
            </w:r>
          </w:p>
        </w:tc>
      </w:tr>
      <w:tr w:rsidR="0096575F" w:rsidRPr="00E20D21" w14:paraId="60FC0445" w14:textId="77777777" w:rsidTr="00C64D77">
        <w:trPr>
          <w:trHeight w:val="283"/>
        </w:trPr>
        <w:tc>
          <w:tcPr>
            <w:tcW w:w="1590" w:type="pct"/>
            <w:tcBorders>
              <w:top w:val="nil"/>
              <w:left w:val="nil"/>
              <w:bottom w:val="nil"/>
              <w:right w:val="nil"/>
            </w:tcBorders>
            <w:shd w:val="clear" w:color="auto" w:fill="auto"/>
            <w:vAlign w:val="center"/>
          </w:tcPr>
          <w:p w14:paraId="3B355C66" w14:textId="77777777" w:rsidR="0096575F" w:rsidRPr="00E20D21" w:rsidRDefault="0096575F" w:rsidP="0096575F">
            <w:pPr>
              <w:rPr>
                <w:rFonts w:ascii="CAIXA Std Book" w:hAnsi="CAIXA Std Book" w:cs="Symbol"/>
                <w:b/>
                <w:color w:val="005CA9"/>
                <w:sz w:val="18"/>
                <w:szCs w:val="18"/>
              </w:rPr>
            </w:pPr>
            <w:r w:rsidRPr="00E20D21">
              <w:rPr>
                <w:rFonts w:ascii="CAIXA Std Book" w:hAnsi="CAIXA Std Book" w:cs="Calibri"/>
                <w:color w:val="005CA9"/>
                <w:sz w:val="18"/>
                <w:szCs w:val="18"/>
              </w:rPr>
              <w:t>Investimentos imobiliários</w:t>
            </w:r>
          </w:p>
        </w:tc>
        <w:tc>
          <w:tcPr>
            <w:tcW w:w="393" w:type="pct"/>
            <w:tcBorders>
              <w:top w:val="nil"/>
              <w:left w:val="nil"/>
              <w:bottom w:val="nil"/>
              <w:right w:val="nil"/>
            </w:tcBorders>
            <w:shd w:val="clear" w:color="auto" w:fill="auto"/>
            <w:vAlign w:val="center"/>
          </w:tcPr>
          <w:p w14:paraId="09268023" w14:textId="70A4F154"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4.318.684</w:t>
            </w:r>
          </w:p>
        </w:tc>
        <w:tc>
          <w:tcPr>
            <w:tcW w:w="437" w:type="pct"/>
            <w:tcBorders>
              <w:top w:val="nil"/>
              <w:left w:val="nil"/>
              <w:bottom w:val="nil"/>
              <w:right w:val="nil"/>
            </w:tcBorders>
            <w:shd w:val="clear" w:color="auto" w:fill="auto"/>
            <w:vAlign w:val="center"/>
          </w:tcPr>
          <w:p w14:paraId="250E7258" w14:textId="43321D87" w:rsidR="0096575F" w:rsidRPr="00E20D21" w:rsidRDefault="0096575F" w:rsidP="0096575F">
            <w:pPr>
              <w:ind w:right="54"/>
              <w:jc w:val="right"/>
              <w:rPr>
                <w:rFonts w:ascii="CAIXA Std Book" w:hAnsi="CAIXA Std Book" w:cs="Calibri"/>
                <w:color w:val="005CA9"/>
                <w:sz w:val="18"/>
                <w:szCs w:val="18"/>
              </w:rPr>
            </w:pPr>
            <w:r w:rsidRPr="00E20D21">
              <w:rPr>
                <w:rFonts w:ascii="CAIXA Std Book" w:hAnsi="CAIXA Std Book" w:cs="Calibri"/>
                <w:color w:val="005CA9"/>
                <w:sz w:val="16"/>
                <w:szCs w:val="16"/>
              </w:rPr>
              <w:t>4.455.119</w:t>
            </w:r>
          </w:p>
        </w:tc>
        <w:tc>
          <w:tcPr>
            <w:tcW w:w="437" w:type="pct"/>
            <w:tcBorders>
              <w:top w:val="nil"/>
              <w:left w:val="nil"/>
              <w:bottom w:val="nil"/>
              <w:right w:val="nil"/>
            </w:tcBorders>
            <w:shd w:val="clear" w:color="auto" w:fill="auto"/>
            <w:vAlign w:val="center"/>
          </w:tcPr>
          <w:p w14:paraId="36455337" w14:textId="454E5FDF"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502.541</w:t>
            </w:r>
          </w:p>
        </w:tc>
        <w:tc>
          <w:tcPr>
            <w:tcW w:w="437" w:type="pct"/>
            <w:tcBorders>
              <w:top w:val="nil"/>
              <w:left w:val="nil"/>
              <w:bottom w:val="nil"/>
              <w:right w:val="nil"/>
            </w:tcBorders>
            <w:shd w:val="clear" w:color="auto" w:fill="auto"/>
            <w:vAlign w:val="center"/>
          </w:tcPr>
          <w:p w14:paraId="1C963621" w14:textId="7E196662" w:rsidR="0096575F" w:rsidRPr="00E20D21" w:rsidRDefault="0096575F" w:rsidP="0096575F">
            <w:pPr>
              <w:jc w:val="right"/>
              <w:rPr>
                <w:rFonts w:ascii="CAIXA Std Book" w:hAnsi="CAIXA Std Book" w:cs="Calibri"/>
                <w:color w:val="005CA9"/>
                <w:sz w:val="18"/>
                <w:szCs w:val="18"/>
              </w:rPr>
            </w:pPr>
            <w:r w:rsidRPr="00E20D21">
              <w:rPr>
                <w:rFonts w:ascii="CAIXA Std Book" w:hAnsi="CAIXA Std Book" w:cs="Calibri"/>
                <w:color w:val="005CA9"/>
                <w:sz w:val="16"/>
                <w:szCs w:val="16"/>
              </w:rPr>
              <w:t>514.214</w:t>
            </w:r>
          </w:p>
        </w:tc>
        <w:tc>
          <w:tcPr>
            <w:tcW w:w="437" w:type="pct"/>
            <w:tcBorders>
              <w:top w:val="nil"/>
              <w:left w:val="nil"/>
              <w:bottom w:val="nil"/>
              <w:right w:val="nil"/>
            </w:tcBorders>
            <w:shd w:val="clear" w:color="auto" w:fill="auto"/>
            <w:vAlign w:val="center"/>
          </w:tcPr>
          <w:p w14:paraId="49A75EF6" w14:textId="6E678314"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34.106</w:t>
            </w:r>
          </w:p>
        </w:tc>
        <w:tc>
          <w:tcPr>
            <w:tcW w:w="437" w:type="pct"/>
            <w:tcBorders>
              <w:top w:val="nil"/>
              <w:left w:val="nil"/>
              <w:bottom w:val="nil"/>
              <w:right w:val="nil"/>
            </w:tcBorders>
            <w:shd w:val="clear" w:color="auto" w:fill="auto"/>
            <w:vAlign w:val="center"/>
          </w:tcPr>
          <w:p w14:paraId="34F2EE71" w14:textId="24C5CDCC" w:rsidR="0096575F" w:rsidRPr="00E20D21" w:rsidRDefault="0096575F" w:rsidP="0096575F">
            <w:pPr>
              <w:ind w:right="54"/>
              <w:jc w:val="right"/>
              <w:rPr>
                <w:rFonts w:ascii="CAIXA Std Book" w:hAnsi="CAIXA Std Book" w:cs="Calibri"/>
                <w:color w:val="005CA9"/>
                <w:sz w:val="18"/>
                <w:szCs w:val="18"/>
              </w:rPr>
            </w:pPr>
            <w:r w:rsidRPr="00E20D21">
              <w:rPr>
                <w:rFonts w:ascii="CAIXA Std Book" w:hAnsi="CAIXA Std Book" w:cs="Calibri"/>
                <w:color w:val="005CA9"/>
                <w:sz w:val="16"/>
                <w:szCs w:val="16"/>
              </w:rPr>
              <w:t>31.208</w:t>
            </w:r>
          </w:p>
        </w:tc>
        <w:tc>
          <w:tcPr>
            <w:tcW w:w="437" w:type="pct"/>
            <w:tcBorders>
              <w:top w:val="nil"/>
              <w:left w:val="nil"/>
              <w:bottom w:val="nil"/>
              <w:right w:val="nil"/>
            </w:tcBorders>
            <w:shd w:val="clear" w:color="auto" w:fill="auto"/>
            <w:vAlign w:val="center"/>
          </w:tcPr>
          <w:p w14:paraId="66B22E2E" w14:textId="449A45CE"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70.051</w:t>
            </w:r>
          </w:p>
        </w:tc>
        <w:tc>
          <w:tcPr>
            <w:tcW w:w="395" w:type="pct"/>
            <w:tcBorders>
              <w:top w:val="nil"/>
              <w:left w:val="nil"/>
              <w:bottom w:val="nil"/>
              <w:right w:val="nil"/>
            </w:tcBorders>
            <w:shd w:val="clear" w:color="auto" w:fill="auto"/>
            <w:vAlign w:val="center"/>
          </w:tcPr>
          <w:p w14:paraId="5CA27F57" w14:textId="353B9A14" w:rsidR="0096575F" w:rsidRPr="00E20D21" w:rsidRDefault="0096575F" w:rsidP="0096575F">
            <w:pPr>
              <w:jc w:val="right"/>
              <w:rPr>
                <w:rFonts w:ascii="CAIXA Std Book" w:hAnsi="CAIXA Std Book" w:cs="Calibri"/>
                <w:color w:val="005CA9"/>
                <w:sz w:val="18"/>
                <w:szCs w:val="18"/>
              </w:rPr>
            </w:pPr>
            <w:r w:rsidRPr="00E20D21">
              <w:rPr>
                <w:rFonts w:ascii="CAIXA Std Book" w:hAnsi="CAIXA Std Book" w:cs="Calibri"/>
                <w:color w:val="005CA9"/>
                <w:sz w:val="16"/>
                <w:szCs w:val="16"/>
              </w:rPr>
              <w:t>86.517</w:t>
            </w:r>
          </w:p>
        </w:tc>
      </w:tr>
      <w:tr w:rsidR="0096575F" w:rsidRPr="00E20D21" w14:paraId="3EFF106B" w14:textId="77777777" w:rsidTr="00C64D77">
        <w:trPr>
          <w:trHeight w:val="283"/>
        </w:trPr>
        <w:tc>
          <w:tcPr>
            <w:tcW w:w="1590" w:type="pct"/>
            <w:tcBorders>
              <w:top w:val="nil"/>
              <w:left w:val="nil"/>
              <w:bottom w:val="nil"/>
              <w:right w:val="nil"/>
            </w:tcBorders>
            <w:shd w:val="clear" w:color="auto" w:fill="auto"/>
            <w:vAlign w:val="center"/>
          </w:tcPr>
          <w:p w14:paraId="3F3CB8D6" w14:textId="77777777" w:rsidR="0096575F" w:rsidRPr="00E20D21" w:rsidRDefault="0096575F" w:rsidP="0096575F">
            <w:pPr>
              <w:rPr>
                <w:rFonts w:ascii="CAIXA Std Book" w:hAnsi="CAIXA Std Book" w:cs="Symbol"/>
                <w:b/>
                <w:color w:val="005CA9"/>
                <w:sz w:val="18"/>
                <w:szCs w:val="18"/>
              </w:rPr>
            </w:pPr>
            <w:r w:rsidRPr="00E20D21">
              <w:rPr>
                <w:rFonts w:ascii="CAIXA Std Book" w:hAnsi="CAIXA Std Book" w:cs="Calibri"/>
                <w:color w:val="005CA9"/>
                <w:sz w:val="18"/>
                <w:szCs w:val="18"/>
              </w:rPr>
              <w:t>Operações com participantes</w:t>
            </w:r>
          </w:p>
        </w:tc>
        <w:tc>
          <w:tcPr>
            <w:tcW w:w="393" w:type="pct"/>
            <w:tcBorders>
              <w:top w:val="nil"/>
              <w:left w:val="nil"/>
              <w:bottom w:val="nil"/>
              <w:right w:val="nil"/>
            </w:tcBorders>
            <w:shd w:val="clear" w:color="auto" w:fill="auto"/>
            <w:vAlign w:val="center"/>
          </w:tcPr>
          <w:p w14:paraId="178BC78E" w14:textId="7D6112A6"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1.294.649</w:t>
            </w:r>
          </w:p>
        </w:tc>
        <w:tc>
          <w:tcPr>
            <w:tcW w:w="437" w:type="pct"/>
            <w:tcBorders>
              <w:top w:val="nil"/>
              <w:left w:val="nil"/>
              <w:bottom w:val="nil"/>
              <w:right w:val="nil"/>
            </w:tcBorders>
            <w:shd w:val="clear" w:color="auto" w:fill="auto"/>
            <w:vAlign w:val="center"/>
          </w:tcPr>
          <w:p w14:paraId="687355F2" w14:textId="1FA11A9D" w:rsidR="0096575F" w:rsidRPr="00E20D21" w:rsidRDefault="0096575F" w:rsidP="0096575F">
            <w:pPr>
              <w:ind w:right="54"/>
              <w:jc w:val="right"/>
              <w:rPr>
                <w:rFonts w:ascii="CAIXA Std Book" w:hAnsi="CAIXA Std Book" w:cs="Calibri"/>
                <w:color w:val="005CA9"/>
                <w:sz w:val="18"/>
                <w:szCs w:val="18"/>
              </w:rPr>
            </w:pPr>
            <w:r w:rsidRPr="00E20D21">
              <w:rPr>
                <w:rFonts w:ascii="CAIXA Std Book" w:hAnsi="CAIXA Std Book" w:cs="Calibri"/>
                <w:color w:val="005CA9"/>
                <w:sz w:val="16"/>
                <w:szCs w:val="16"/>
              </w:rPr>
              <w:t>1.246.113</w:t>
            </w:r>
          </w:p>
        </w:tc>
        <w:tc>
          <w:tcPr>
            <w:tcW w:w="437" w:type="pct"/>
            <w:tcBorders>
              <w:top w:val="nil"/>
              <w:left w:val="nil"/>
              <w:bottom w:val="nil"/>
              <w:right w:val="nil"/>
            </w:tcBorders>
            <w:shd w:val="clear" w:color="auto" w:fill="auto"/>
            <w:vAlign w:val="center"/>
          </w:tcPr>
          <w:p w14:paraId="2BB50A12" w14:textId="086617C9"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90.826</w:t>
            </w:r>
          </w:p>
        </w:tc>
        <w:tc>
          <w:tcPr>
            <w:tcW w:w="437" w:type="pct"/>
            <w:tcBorders>
              <w:top w:val="nil"/>
              <w:left w:val="nil"/>
              <w:bottom w:val="nil"/>
              <w:right w:val="nil"/>
            </w:tcBorders>
            <w:shd w:val="clear" w:color="auto" w:fill="auto"/>
            <w:vAlign w:val="center"/>
          </w:tcPr>
          <w:p w14:paraId="5B501041" w14:textId="74707023" w:rsidR="0096575F" w:rsidRPr="00E20D21" w:rsidRDefault="0096575F" w:rsidP="0096575F">
            <w:pPr>
              <w:jc w:val="right"/>
              <w:rPr>
                <w:rFonts w:ascii="CAIXA Std Book" w:hAnsi="CAIXA Std Book" w:cs="Calibri"/>
                <w:color w:val="005CA9"/>
                <w:sz w:val="18"/>
                <w:szCs w:val="18"/>
              </w:rPr>
            </w:pPr>
            <w:r w:rsidRPr="00E20D21">
              <w:rPr>
                <w:rFonts w:ascii="CAIXA Std Book" w:hAnsi="CAIXA Std Book" w:cs="Calibri"/>
                <w:color w:val="005CA9"/>
                <w:sz w:val="16"/>
                <w:szCs w:val="16"/>
              </w:rPr>
              <w:t>84.054</w:t>
            </w:r>
          </w:p>
        </w:tc>
        <w:tc>
          <w:tcPr>
            <w:tcW w:w="437" w:type="pct"/>
            <w:tcBorders>
              <w:top w:val="nil"/>
              <w:left w:val="nil"/>
              <w:bottom w:val="nil"/>
              <w:right w:val="nil"/>
            </w:tcBorders>
            <w:shd w:val="clear" w:color="auto" w:fill="auto"/>
            <w:vAlign w:val="center"/>
          </w:tcPr>
          <w:p w14:paraId="298C84E7" w14:textId="22C91878"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23.006</w:t>
            </w:r>
          </w:p>
        </w:tc>
        <w:tc>
          <w:tcPr>
            <w:tcW w:w="437" w:type="pct"/>
            <w:tcBorders>
              <w:top w:val="nil"/>
              <w:left w:val="nil"/>
              <w:bottom w:val="nil"/>
              <w:right w:val="nil"/>
            </w:tcBorders>
            <w:shd w:val="clear" w:color="auto" w:fill="auto"/>
            <w:vAlign w:val="center"/>
          </w:tcPr>
          <w:p w14:paraId="0ED34BFE" w14:textId="33158057" w:rsidR="0096575F" w:rsidRPr="00E20D21" w:rsidRDefault="0096575F" w:rsidP="0096575F">
            <w:pPr>
              <w:ind w:right="54"/>
              <w:jc w:val="right"/>
              <w:rPr>
                <w:rFonts w:ascii="CAIXA Std Book" w:hAnsi="CAIXA Std Book" w:cs="Calibri"/>
                <w:color w:val="005CA9"/>
                <w:sz w:val="18"/>
                <w:szCs w:val="18"/>
              </w:rPr>
            </w:pPr>
            <w:r w:rsidRPr="00E20D21">
              <w:rPr>
                <w:rFonts w:ascii="CAIXA Std Book" w:hAnsi="CAIXA Std Book" w:cs="Calibri"/>
                <w:color w:val="005CA9"/>
                <w:sz w:val="16"/>
                <w:szCs w:val="16"/>
              </w:rPr>
              <w:t>20.610</w:t>
            </w:r>
          </w:p>
        </w:tc>
        <w:tc>
          <w:tcPr>
            <w:tcW w:w="437" w:type="pct"/>
            <w:tcBorders>
              <w:top w:val="nil"/>
              <w:left w:val="nil"/>
              <w:bottom w:val="nil"/>
              <w:right w:val="nil"/>
            </w:tcBorders>
            <w:shd w:val="clear" w:color="auto" w:fill="auto"/>
            <w:vAlign w:val="center"/>
          </w:tcPr>
          <w:p w14:paraId="5B16F9FB" w14:textId="447F5645"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95.400</w:t>
            </w:r>
          </w:p>
        </w:tc>
        <w:tc>
          <w:tcPr>
            <w:tcW w:w="395" w:type="pct"/>
            <w:tcBorders>
              <w:top w:val="nil"/>
              <w:left w:val="nil"/>
              <w:bottom w:val="nil"/>
              <w:right w:val="nil"/>
            </w:tcBorders>
            <w:shd w:val="clear" w:color="auto" w:fill="auto"/>
            <w:vAlign w:val="center"/>
          </w:tcPr>
          <w:p w14:paraId="1B81008E" w14:textId="58A4A6E8" w:rsidR="0096575F" w:rsidRPr="00E20D21" w:rsidRDefault="0096575F" w:rsidP="0096575F">
            <w:pPr>
              <w:jc w:val="right"/>
              <w:rPr>
                <w:rFonts w:ascii="CAIXA Std Book" w:hAnsi="CAIXA Std Book" w:cs="Calibri"/>
                <w:color w:val="005CA9"/>
                <w:sz w:val="18"/>
                <w:szCs w:val="18"/>
              </w:rPr>
            </w:pPr>
            <w:r w:rsidRPr="00E20D21">
              <w:rPr>
                <w:rFonts w:ascii="CAIXA Std Book" w:hAnsi="CAIXA Std Book" w:cs="Calibri"/>
                <w:color w:val="005CA9"/>
                <w:sz w:val="16"/>
                <w:szCs w:val="16"/>
              </w:rPr>
              <w:t>111.199</w:t>
            </w:r>
          </w:p>
        </w:tc>
      </w:tr>
      <w:tr w:rsidR="0096575F" w:rsidRPr="00E20D21" w14:paraId="5C474B4D" w14:textId="77777777" w:rsidTr="00C64D77">
        <w:trPr>
          <w:trHeight w:val="283"/>
        </w:trPr>
        <w:tc>
          <w:tcPr>
            <w:tcW w:w="1590" w:type="pct"/>
            <w:tcBorders>
              <w:top w:val="nil"/>
              <w:left w:val="nil"/>
              <w:bottom w:val="nil"/>
              <w:right w:val="nil"/>
            </w:tcBorders>
            <w:shd w:val="clear" w:color="auto" w:fill="auto"/>
            <w:vAlign w:val="center"/>
          </w:tcPr>
          <w:p w14:paraId="5A25A1A0" w14:textId="77777777" w:rsidR="0096575F" w:rsidRPr="00E20D21" w:rsidRDefault="0096575F" w:rsidP="0096575F">
            <w:pPr>
              <w:rPr>
                <w:rFonts w:ascii="CAIXA Std Book" w:hAnsi="CAIXA Std Book" w:cs="Calibri"/>
                <w:color w:val="005CA9"/>
                <w:sz w:val="18"/>
                <w:szCs w:val="18"/>
              </w:rPr>
            </w:pPr>
            <w:r w:rsidRPr="00E20D21">
              <w:rPr>
                <w:rFonts w:ascii="CAIXA Std Book" w:hAnsi="CAIXA Std Book" w:cs="Calibri"/>
                <w:color w:val="005CA9"/>
                <w:sz w:val="18"/>
                <w:szCs w:val="18"/>
              </w:rPr>
              <w:t>Investimentos no exterior</w:t>
            </w:r>
          </w:p>
        </w:tc>
        <w:tc>
          <w:tcPr>
            <w:tcW w:w="393" w:type="pct"/>
            <w:tcBorders>
              <w:top w:val="nil"/>
              <w:left w:val="nil"/>
              <w:bottom w:val="nil"/>
              <w:right w:val="nil"/>
            </w:tcBorders>
            <w:shd w:val="clear" w:color="auto" w:fill="auto"/>
            <w:vAlign w:val="center"/>
          </w:tcPr>
          <w:p w14:paraId="70B65F46" w14:textId="133DDE0B" w:rsidR="0096575F" w:rsidRPr="00E20D21" w:rsidRDefault="00C64D77" w:rsidP="0096575F">
            <w:pPr>
              <w:jc w:val="center"/>
              <w:rPr>
                <w:rFonts w:ascii="CAIXA Std Book" w:hAnsi="CAIXA Std Book" w:cs="Symbol"/>
                <w:color w:val="005CA9"/>
                <w:sz w:val="18"/>
                <w:szCs w:val="18"/>
              </w:rPr>
            </w:pPr>
            <w:r w:rsidRPr="00E20D21">
              <w:rPr>
                <w:rFonts w:ascii="CAIXA Std Book" w:hAnsi="CAIXA Std Book" w:cs="Calibri"/>
                <w:color w:val="005CA9"/>
                <w:sz w:val="16"/>
                <w:szCs w:val="16"/>
              </w:rPr>
              <w:t>-</w:t>
            </w:r>
          </w:p>
        </w:tc>
        <w:tc>
          <w:tcPr>
            <w:tcW w:w="437" w:type="pct"/>
            <w:tcBorders>
              <w:top w:val="nil"/>
              <w:left w:val="nil"/>
              <w:bottom w:val="nil"/>
              <w:right w:val="nil"/>
            </w:tcBorders>
            <w:shd w:val="clear" w:color="auto" w:fill="auto"/>
            <w:vAlign w:val="center"/>
          </w:tcPr>
          <w:p w14:paraId="1F71ECB4" w14:textId="7B523322" w:rsidR="0096575F" w:rsidRPr="00E20D21" w:rsidRDefault="0096575F" w:rsidP="0096575F">
            <w:pPr>
              <w:ind w:right="54"/>
              <w:jc w:val="center"/>
              <w:rPr>
                <w:rFonts w:ascii="CAIXA Std Book" w:hAnsi="CAIXA Std Book" w:cs="Calibri"/>
                <w:color w:val="005CA9"/>
                <w:sz w:val="18"/>
                <w:szCs w:val="18"/>
              </w:rPr>
            </w:pPr>
            <w:r w:rsidRPr="00E20D21">
              <w:rPr>
                <w:rFonts w:ascii="CAIXA Std Book" w:hAnsi="CAIXA Std Book" w:cs="Calibri"/>
                <w:color w:val="005CA9"/>
                <w:sz w:val="16"/>
                <w:szCs w:val="16"/>
              </w:rPr>
              <w:t>-</w:t>
            </w:r>
          </w:p>
        </w:tc>
        <w:tc>
          <w:tcPr>
            <w:tcW w:w="437" w:type="pct"/>
            <w:tcBorders>
              <w:top w:val="nil"/>
              <w:left w:val="nil"/>
              <w:bottom w:val="nil"/>
              <w:right w:val="nil"/>
            </w:tcBorders>
            <w:shd w:val="clear" w:color="auto" w:fill="auto"/>
            <w:vAlign w:val="center"/>
          </w:tcPr>
          <w:p w14:paraId="70927AFF" w14:textId="30F73670" w:rsidR="0096575F" w:rsidRPr="00E20D21" w:rsidRDefault="00C64D77" w:rsidP="0096575F">
            <w:pPr>
              <w:jc w:val="center"/>
              <w:rPr>
                <w:rFonts w:ascii="CAIXA Std Book" w:hAnsi="CAIXA Std Book" w:cs="Symbol"/>
                <w:color w:val="005CA9"/>
                <w:sz w:val="18"/>
                <w:szCs w:val="18"/>
              </w:rPr>
            </w:pPr>
            <w:r w:rsidRPr="00E20D21">
              <w:rPr>
                <w:rFonts w:ascii="CAIXA Std Book" w:hAnsi="CAIXA Std Book" w:cs="Calibri"/>
                <w:color w:val="005CA9"/>
                <w:sz w:val="16"/>
                <w:szCs w:val="16"/>
              </w:rPr>
              <w:t>-</w:t>
            </w:r>
          </w:p>
        </w:tc>
        <w:tc>
          <w:tcPr>
            <w:tcW w:w="437" w:type="pct"/>
            <w:tcBorders>
              <w:top w:val="nil"/>
              <w:left w:val="nil"/>
              <w:bottom w:val="nil"/>
              <w:right w:val="nil"/>
            </w:tcBorders>
            <w:shd w:val="clear" w:color="auto" w:fill="auto"/>
            <w:vAlign w:val="center"/>
          </w:tcPr>
          <w:p w14:paraId="3E857F06" w14:textId="1ACB6280" w:rsidR="0096575F" w:rsidRPr="00E20D21" w:rsidRDefault="0096575F" w:rsidP="0096575F">
            <w:pPr>
              <w:jc w:val="center"/>
              <w:rPr>
                <w:rFonts w:ascii="CAIXA Std Book" w:hAnsi="CAIXA Std Book" w:cs="Calibri"/>
                <w:color w:val="005CA9"/>
                <w:sz w:val="18"/>
                <w:szCs w:val="18"/>
              </w:rPr>
            </w:pPr>
            <w:r w:rsidRPr="00E20D21">
              <w:rPr>
                <w:rFonts w:ascii="CAIXA Std Book" w:hAnsi="CAIXA Std Book" w:cs="Calibri"/>
                <w:color w:val="005CA9"/>
                <w:sz w:val="16"/>
                <w:szCs w:val="16"/>
              </w:rPr>
              <w:t>-</w:t>
            </w:r>
          </w:p>
        </w:tc>
        <w:tc>
          <w:tcPr>
            <w:tcW w:w="437" w:type="pct"/>
            <w:tcBorders>
              <w:top w:val="nil"/>
              <w:left w:val="nil"/>
              <w:bottom w:val="nil"/>
              <w:right w:val="nil"/>
            </w:tcBorders>
            <w:shd w:val="clear" w:color="auto" w:fill="auto"/>
            <w:vAlign w:val="center"/>
          </w:tcPr>
          <w:p w14:paraId="2266E2B9" w14:textId="0319B642"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23.588</w:t>
            </w:r>
          </w:p>
        </w:tc>
        <w:tc>
          <w:tcPr>
            <w:tcW w:w="437" w:type="pct"/>
            <w:tcBorders>
              <w:top w:val="nil"/>
              <w:left w:val="nil"/>
              <w:bottom w:val="nil"/>
              <w:right w:val="nil"/>
            </w:tcBorders>
            <w:shd w:val="clear" w:color="auto" w:fill="auto"/>
            <w:vAlign w:val="center"/>
          </w:tcPr>
          <w:p w14:paraId="60148901" w14:textId="037B7B9A" w:rsidR="0096575F" w:rsidRPr="00E20D21" w:rsidRDefault="0096575F" w:rsidP="00C64D77">
            <w:pPr>
              <w:ind w:right="54"/>
              <w:jc w:val="right"/>
              <w:rPr>
                <w:rFonts w:ascii="CAIXA Std Book" w:hAnsi="CAIXA Std Book" w:cs="Calibri"/>
                <w:color w:val="005CA9"/>
                <w:sz w:val="18"/>
                <w:szCs w:val="18"/>
              </w:rPr>
            </w:pPr>
            <w:r w:rsidRPr="00E20D21">
              <w:rPr>
                <w:rFonts w:ascii="CAIXA Std Book" w:hAnsi="CAIXA Std Book" w:cs="Calibri"/>
                <w:color w:val="005CA9"/>
                <w:sz w:val="16"/>
                <w:szCs w:val="16"/>
              </w:rPr>
              <w:t>8.841</w:t>
            </w:r>
          </w:p>
        </w:tc>
        <w:tc>
          <w:tcPr>
            <w:tcW w:w="437" w:type="pct"/>
            <w:tcBorders>
              <w:top w:val="nil"/>
              <w:left w:val="nil"/>
              <w:bottom w:val="nil"/>
              <w:right w:val="nil"/>
            </w:tcBorders>
            <w:shd w:val="clear" w:color="auto" w:fill="auto"/>
            <w:vAlign w:val="center"/>
          </w:tcPr>
          <w:p w14:paraId="0ED8D53E" w14:textId="6F579AB7" w:rsidR="0096575F"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123.181</w:t>
            </w:r>
          </w:p>
        </w:tc>
        <w:tc>
          <w:tcPr>
            <w:tcW w:w="395" w:type="pct"/>
            <w:tcBorders>
              <w:top w:val="nil"/>
              <w:left w:val="nil"/>
              <w:bottom w:val="nil"/>
              <w:right w:val="nil"/>
            </w:tcBorders>
            <w:shd w:val="clear" w:color="auto" w:fill="auto"/>
            <w:vAlign w:val="center"/>
          </w:tcPr>
          <w:p w14:paraId="2F7951E3" w14:textId="76BA185B" w:rsidR="0096575F" w:rsidRPr="00E20D21" w:rsidRDefault="0096575F" w:rsidP="00C64D77">
            <w:pPr>
              <w:jc w:val="right"/>
              <w:rPr>
                <w:rFonts w:ascii="CAIXA Std Book" w:hAnsi="CAIXA Std Book" w:cs="Calibri"/>
                <w:color w:val="005CA9"/>
                <w:sz w:val="18"/>
                <w:szCs w:val="18"/>
              </w:rPr>
            </w:pPr>
            <w:r w:rsidRPr="00E20D21">
              <w:rPr>
                <w:rFonts w:ascii="CAIXA Std Book" w:hAnsi="CAIXA Std Book" w:cs="Calibri"/>
                <w:color w:val="005CA9"/>
                <w:sz w:val="16"/>
                <w:szCs w:val="16"/>
              </w:rPr>
              <w:t>124.272</w:t>
            </w:r>
          </w:p>
        </w:tc>
      </w:tr>
      <w:tr w:rsidR="00E506B9" w:rsidRPr="00E20D21" w14:paraId="4B82C9A4" w14:textId="77777777" w:rsidTr="00C64D77">
        <w:trPr>
          <w:trHeight w:val="283"/>
        </w:trPr>
        <w:tc>
          <w:tcPr>
            <w:tcW w:w="1590" w:type="pct"/>
            <w:tcBorders>
              <w:top w:val="nil"/>
              <w:left w:val="nil"/>
              <w:bottom w:val="nil"/>
              <w:right w:val="nil"/>
            </w:tcBorders>
            <w:shd w:val="clear" w:color="auto" w:fill="auto"/>
            <w:vAlign w:val="center"/>
          </w:tcPr>
          <w:p w14:paraId="23D9271D" w14:textId="276907AB" w:rsidR="00E506B9" w:rsidRPr="00E20D21" w:rsidRDefault="00E506B9" w:rsidP="0096575F">
            <w:pPr>
              <w:rPr>
                <w:rFonts w:ascii="CAIXA Std Book" w:hAnsi="CAIXA Std Book" w:cs="Calibri"/>
                <w:color w:val="005CA9"/>
                <w:sz w:val="18"/>
                <w:szCs w:val="18"/>
              </w:rPr>
            </w:pPr>
            <w:r w:rsidRPr="00E20D21">
              <w:rPr>
                <w:rFonts w:ascii="CAIXA Std Book" w:hAnsi="CAIXA Std Book" w:cs="Calibri"/>
                <w:color w:val="005CA9"/>
                <w:sz w:val="18"/>
                <w:szCs w:val="18"/>
              </w:rPr>
              <w:t>Precatórios</w:t>
            </w:r>
          </w:p>
        </w:tc>
        <w:tc>
          <w:tcPr>
            <w:tcW w:w="393" w:type="pct"/>
            <w:tcBorders>
              <w:top w:val="nil"/>
              <w:left w:val="nil"/>
              <w:bottom w:val="nil"/>
              <w:right w:val="nil"/>
            </w:tcBorders>
            <w:shd w:val="clear" w:color="auto" w:fill="auto"/>
            <w:vAlign w:val="center"/>
          </w:tcPr>
          <w:p w14:paraId="5CBE4732" w14:textId="6B329203" w:rsidR="00E506B9" w:rsidRPr="00E20D21" w:rsidRDefault="00C64D77" w:rsidP="00C64D77">
            <w:pPr>
              <w:jc w:val="right"/>
              <w:rPr>
                <w:rFonts w:ascii="CAIXA Std Book" w:hAnsi="CAIXA Std Book" w:cs="Symbol"/>
                <w:color w:val="005CA9"/>
                <w:sz w:val="18"/>
                <w:szCs w:val="18"/>
              </w:rPr>
            </w:pPr>
            <w:r w:rsidRPr="00E20D21">
              <w:rPr>
                <w:rFonts w:ascii="CAIXA Std Book" w:hAnsi="CAIXA Std Book" w:cs="Calibri"/>
                <w:color w:val="005CA9"/>
                <w:sz w:val="16"/>
                <w:szCs w:val="16"/>
              </w:rPr>
              <w:t>322.390</w:t>
            </w:r>
          </w:p>
        </w:tc>
        <w:tc>
          <w:tcPr>
            <w:tcW w:w="437" w:type="pct"/>
            <w:tcBorders>
              <w:top w:val="nil"/>
              <w:left w:val="nil"/>
              <w:bottom w:val="nil"/>
              <w:right w:val="nil"/>
            </w:tcBorders>
            <w:shd w:val="clear" w:color="auto" w:fill="auto"/>
            <w:vAlign w:val="center"/>
          </w:tcPr>
          <w:p w14:paraId="0ABE23D5" w14:textId="5CCD9518" w:rsidR="00E506B9" w:rsidRPr="00E20D21" w:rsidRDefault="00C64D77" w:rsidP="0096575F">
            <w:pPr>
              <w:ind w:right="54"/>
              <w:jc w:val="center"/>
              <w:rPr>
                <w:rFonts w:ascii="CAIXA Std Book" w:hAnsi="CAIXA Std Book" w:cs="Symbol"/>
                <w:color w:val="005CA9"/>
                <w:sz w:val="18"/>
                <w:szCs w:val="18"/>
              </w:rPr>
            </w:pPr>
            <w:r w:rsidRPr="00E20D21">
              <w:rPr>
                <w:rFonts w:ascii="CAIXA Std Book" w:hAnsi="CAIXA Std Book" w:cs="Calibri"/>
                <w:color w:val="005CA9"/>
                <w:sz w:val="16"/>
                <w:szCs w:val="16"/>
              </w:rPr>
              <w:t>-</w:t>
            </w:r>
          </w:p>
        </w:tc>
        <w:tc>
          <w:tcPr>
            <w:tcW w:w="437" w:type="pct"/>
            <w:tcBorders>
              <w:top w:val="nil"/>
              <w:left w:val="nil"/>
              <w:bottom w:val="nil"/>
              <w:right w:val="nil"/>
            </w:tcBorders>
            <w:shd w:val="clear" w:color="auto" w:fill="auto"/>
            <w:vAlign w:val="center"/>
          </w:tcPr>
          <w:p w14:paraId="3B714D9D" w14:textId="2FC34E83" w:rsidR="00E506B9" w:rsidRPr="00E20D21" w:rsidRDefault="00C64D77" w:rsidP="00C64D77">
            <w:pPr>
              <w:jc w:val="right"/>
              <w:rPr>
                <w:rFonts w:ascii="CAIXA Std Book" w:hAnsi="CAIXA Std Book" w:cs="Symbol"/>
                <w:color w:val="005CA9"/>
                <w:sz w:val="18"/>
                <w:szCs w:val="18"/>
              </w:rPr>
            </w:pPr>
            <w:r w:rsidRPr="00E20D21">
              <w:rPr>
                <w:rFonts w:ascii="CAIXA Std Book" w:hAnsi="CAIXA Std Book" w:cs="Calibri"/>
                <w:color w:val="005CA9"/>
                <w:sz w:val="16"/>
                <w:szCs w:val="16"/>
              </w:rPr>
              <w:t>37.669</w:t>
            </w:r>
          </w:p>
        </w:tc>
        <w:tc>
          <w:tcPr>
            <w:tcW w:w="437" w:type="pct"/>
            <w:tcBorders>
              <w:top w:val="nil"/>
              <w:left w:val="nil"/>
              <w:bottom w:val="nil"/>
              <w:right w:val="nil"/>
            </w:tcBorders>
            <w:shd w:val="clear" w:color="auto" w:fill="auto"/>
            <w:vAlign w:val="center"/>
          </w:tcPr>
          <w:p w14:paraId="04BB5276" w14:textId="2876B907" w:rsidR="00E506B9" w:rsidRPr="00E20D21" w:rsidRDefault="00C64D77" w:rsidP="0096575F">
            <w:pPr>
              <w:jc w:val="center"/>
              <w:rPr>
                <w:rFonts w:ascii="CAIXA Std Book" w:hAnsi="CAIXA Std Book" w:cs="Symbol"/>
                <w:color w:val="005CA9"/>
                <w:sz w:val="18"/>
                <w:szCs w:val="18"/>
              </w:rPr>
            </w:pPr>
            <w:r w:rsidRPr="00E20D21">
              <w:rPr>
                <w:rFonts w:ascii="CAIXA Std Book" w:hAnsi="CAIXA Std Book" w:cs="Calibri"/>
                <w:color w:val="005CA9"/>
                <w:sz w:val="16"/>
                <w:szCs w:val="16"/>
              </w:rPr>
              <w:t>-</w:t>
            </w:r>
          </w:p>
        </w:tc>
        <w:tc>
          <w:tcPr>
            <w:tcW w:w="437" w:type="pct"/>
            <w:tcBorders>
              <w:top w:val="nil"/>
              <w:left w:val="nil"/>
              <w:bottom w:val="nil"/>
              <w:right w:val="nil"/>
            </w:tcBorders>
            <w:shd w:val="clear" w:color="auto" w:fill="auto"/>
            <w:vAlign w:val="center"/>
          </w:tcPr>
          <w:p w14:paraId="215724DA" w14:textId="6DB182F7" w:rsidR="00E506B9"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994</w:t>
            </w:r>
          </w:p>
        </w:tc>
        <w:tc>
          <w:tcPr>
            <w:tcW w:w="437" w:type="pct"/>
            <w:tcBorders>
              <w:top w:val="nil"/>
              <w:left w:val="nil"/>
              <w:bottom w:val="nil"/>
              <w:right w:val="nil"/>
            </w:tcBorders>
            <w:shd w:val="clear" w:color="auto" w:fill="auto"/>
            <w:vAlign w:val="center"/>
          </w:tcPr>
          <w:p w14:paraId="272D8A93" w14:textId="14BC44D9" w:rsidR="00E506B9" w:rsidRPr="00E20D21" w:rsidRDefault="00C64D77" w:rsidP="0096575F">
            <w:pPr>
              <w:ind w:right="54"/>
              <w:jc w:val="center"/>
              <w:rPr>
                <w:rFonts w:ascii="CAIXA Std Book" w:hAnsi="CAIXA Std Book" w:cs="Calibri"/>
                <w:color w:val="005CA9"/>
                <w:sz w:val="18"/>
                <w:szCs w:val="18"/>
              </w:rPr>
            </w:pPr>
            <w:r w:rsidRPr="00E20D21">
              <w:rPr>
                <w:rFonts w:ascii="CAIXA Std Book" w:hAnsi="CAIXA Std Book" w:cs="Calibri"/>
                <w:color w:val="005CA9"/>
                <w:sz w:val="16"/>
                <w:szCs w:val="16"/>
              </w:rPr>
              <w:t>-</w:t>
            </w:r>
          </w:p>
        </w:tc>
        <w:tc>
          <w:tcPr>
            <w:tcW w:w="437" w:type="pct"/>
            <w:tcBorders>
              <w:top w:val="nil"/>
              <w:left w:val="nil"/>
              <w:bottom w:val="nil"/>
              <w:right w:val="nil"/>
            </w:tcBorders>
            <w:shd w:val="clear" w:color="auto" w:fill="auto"/>
            <w:vAlign w:val="center"/>
          </w:tcPr>
          <w:p w14:paraId="1929F8E7" w14:textId="3636DDB4" w:rsidR="00E506B9" w:rsidRPr="00E20D21" w:rsidRDefault="00C64D77" w:rsidP="0096575F">
            <w:pPr>
              <w:jc w:val="right"/>
              <w:rPr>
                <w:rFonts w:ascii="CAIXA Std Book" w:hAnsi="CAIXA Std Book" w:cs="Symbol"/>
                <w:color w:val="005CA9"/>
                <w:sz w:val="18"/>
                <w:szCs w:val="18"/>
              </w:rPr>
            </w:pPr>
            <w:r w:rsidRPr="00E20D21">
              <w:rPr>
                <w:rFonts w:ascii="CAIXA Std Book" w:hAnsi="CAIXA Std Book" w:cs="Calibri"/>
                <w:color w:val="005CA9"/>
                <w:sz w:val="16"/>
                <w:szCs w:val="16"/>
              </w:rPr>
              <w:t>335</w:t>
            </w:r>
          </w:p>
        </w:tc>
        <w:tc>
          <w:tcPr>
            <w:tcW w:w="395" w:type="pct"/>
            <w:tcBorders>
              <w:top w:val="nil"/>
              <w:left w:val="nil"/>
              <w:bottom w:val="nil"/>
              <w:right w:val="nil"/>
            </w:tcBorders>
            <w:shd w:val="clear" w:color="auto" w:fill="auto"/>
            <w:vAlign w:val="center"/>
          </w:tcPr>
          <w:p w14:paraId="7A3E850A" w14:textId="565B3DC5" w:rsidR="00E506B9" w:rsidRPr="00E20D21" w:rsidRDefault="00C64D77" w:rsidP="0096575F">
            <w:pPr>
              <w:jc w:val="center"/>
              <w:rPr>
                <w:rFonts w:ascii="CAIXA Std Book" w:hAnsi="CAIXA Std Book" w:cs="Calibri"/>
                <w:color w:val="005CA9"/>
                <w:sz w:val="18"/>
                <w:szCs w:val="18"/>
              </w:rPr>
            </w:pPr>
            <w:r w:rsidRPr="00E20D21">
              <w:rPr>
                <w:rFonts w:ascii="CAIXA Std Book" w:hAnsi="CAIXA Std Book" w:cs="Calibri"/>
                <w:color w:val="005CA9"/>
                <w:sz w:val="16"/>
                <w:szCs w:val="16"/>
              </w:rPr>
              <w:t>-</w:t>
            </w:r>
          </w:p>
        </w:tc>
      </w:tr>
      <w:tr w:rsidR="0096575F" w:rsidRPr="00E20D21" w14:paraId="5AAC37D4" w14:textId="77777777" w:rsidTr="00C64D77">
        <w:trPr>
          <w:trHeight w:val="283"/>
        </w:trPr>
        <w:tc>
          <w:tcPr>
            <w:tcW w:w="1590" w:type="pct"/>
            <w:tcBorders>
              <w:top w:val="single" w:sz="4" w:space="0" w:color="F68F00"/>
              <w:left w:val="nil"/>
              <w:bottom w:val="single" w:sz="4" w:space="0" w:color="F68F00"/>
              <w:right w:val="nil"/>
            </w:tcBorders>
            <w:shd w:val="clear" w:color="auto" w:fill="auto"/>
            <w:vAlign w:val="center"/>
            <w:hideMark/>
          </w:tcPr>
          <w:p w14:paraId="3620C102" w14:textId="77777777" w:rsidR="0096575F" w:rsidRPr="00E20D21" w:rsidRDefault="0096575F" w:rsidP="0096575F">
            <w:pPr>
              <w:rPr>
                <w:rFonts w:ascii="CAIXA Std Book" w:hAnsi="CAIXA Std Book" w:cs="Symbol"/>
                <w:b/>
                <w:color w:val="005CA9"/>
                <w:sz w:val="18"/>
                <w:szCs w:val="18"/>
              </w:rPr>
            </w:pPr>
            <w:r w:rsidRPr="00E20D21">
              <w:rPr>
                <w:rFonts w:ascii="CAIXA Std Book" w:hAnsi="CAIXA Std Book" w:cs="Symbol"/>
                <w:b/>
                <w:color w:val="005CA9"/>
                <w:sz w:val="18"/>
                <w:szCs w:val="18"/>
              </w:rPr>
              <w:t>Total</w:t>
            </w:r>
          </w:p>
        </w:tc>
        <w:tc>
          <w:tcPr>
            <w:tcW w:w="393" w:type="pct"/>
            <w:tcBorders>
              <w:top w:val="single" w:sz="4" w:space="0" w:color="F68F00"/>
              <w:left w:val="nil"/>
              <w:bottom w:val="single" w:sz="4" w:space="0" w:color="F68F00"/>
              <w:right w:val="nil"/>
            </w:tcBorders>
            <w:shd w:val="clear" w:color="auto" w:fill="auto"/>
            <w:vAlign w:val="center"/>
          </w:tcPr>
          <w:p w14:paraId="2199431E" w14:textId="715AC309" w:rsidR="0096575F" w:rsidRPr="00E20D21" w:rsidRDefault="00C64D77" w:rsidP="0096575F">
            <w:pPr>
              <w:jc w:val="right"/>
              <w:rPr>
                <w:rFonts w:ascii="CAIXA Std Book" w:hAnsi="CAIXA Std Book" w:cs="Symbol"/>
                <w:b/>
                <w:color w:val="005CA9"/>
                <w:sz w:val="18"/>
                <w:szCs w:val="18"/>
              </w:rPr>
            </w:pPr>
            <w:r w:rsidRPr="00E20D21">
              <w:rPr>
                <w:rFonts w:ascii="CAIXA Std Book" w:hAnsi="CAIXA Std Book" w:cs="Calibri"/>
                <w:b/>
                <w:bCs/>
                <w:color w:val="005CA9"/>
                <w:sz w:val="16"/>
                <w:szCs w:val="16"/>
              </w:rPr>
              <w:t>48.543.600</w:t>
            </w:r>
          </w:p>
        </w:tc>
        <w:tc>
          <w:tcPr>
            <w:tcW w:w="437" w:type="pct"/>
            <w:tcBorders>
              <w:top w:val="single" w:sz="4" w:space="0" w:color="F68F00"/>
              <w:left w:val="nil"/>
              <w:bottom w:val="single" w:sz="4" w:space="0" w:color="F68F00"/>
              <w:right w:val="nil"/>
            </w:tcBorders>
            <w:shd w:val="clear" w:color="auto" w:fill="auto"/>
            <w:vAlign w:val="center"/>
          </w:tcPr>
          <w:p w14:paraId="0FB0A420" w14:textId="0DE8392D" w:rsidR="0096575F" w:rsidRPr="00E20D21" w:rsidRDefault="0096575F" w:rsidP="0096575F">
            <w:pPr>
              <w:ind w:right="54"/>
              <w:jc w:val="right"/>
              <w:rPr>
                <w:rFonts w:ascii="CAIXA Std Book" w:hAnsi="CAIXA Std Book" w:cs="Symbol"/>
                <w:b/>
                <w:color w:val="005CA9"/>
                <w:sz w:val="18"/>
                <w:szCs w:val="18"/>
              </w:rPr>
            </w:pPr>
            <w:r w:rsidRPr="00E20D21">
              <w:rPr>
                <w:rFonts w:ascii="CAIXA Std Book" w:hAnsi="CAIXA Std Book" w:cs="Calibri"/>
                <w:b/>
                <w:color w:val="005CA9"/>
                <w:sz w:val="16"/>
                <w:szCs w:val="16"/>
              </w:rPr>
              <w:t>51.273.376</w:t>
            </w:r>
          </w:p>
        </w:tc>
        <w:tc>
          <w:tcPr>
            <w:tcW w:w="437" w:type="pct"/>
            <w:tcBorders>
              <w:top w:val="single" w:sz="4" w:space="0" w:color="F68F00"/>
              <w:left w:val="nil"/>
              <w:bottom w:val="single" w:sz="4" w:space="0" w:color="F68F00"/>
              <w:right w:val="nil"/>
            </w:tcBorders>
            <w:shd w:val="clear" w:color="auto" w:fill="auto"/>
            <w:vAlign w:val="center"/>
          </w:tcPr>
          <w:p w14:paraId="06952B62" w14:textId="49839CD3" w:rsidR="0096575F" w:rsidRPr="00E20D21" w:rsidRDefault="00550876" w:rsidP="0096575F">
            <w:pPr>
              <w:jc w:val="right"/>
              <w:rPr>
                <w:rFonts w:ascii="CAIXA Std Book" w:hAnsi="CAIXA Std Book" w:cs="Symbol"/>
                <w:b/>
                <w:color w:val="005CA9"/>
                <w:sz w:val="18"/>
                <w:szCs w:val="18"/>
              </w:rPr>
            </w:pPr>
            <w:r w:rsidRPr="00E20D21">
              <w:rPr>
                <w:rFonts w:ascii="CAIXA Std Book" w:hAnsi="CAIXA Std Book" w:cs="Calibri"/>
                <w:b/>
                <w:bCs/>
                <w:color w:val="005CA9"/>
                <w:sz w:val="16"/>
                <w:szCs w:val="16"/>
              </w:rPr>
              <w:t>6.296.687</w:t>
            </w:r>
          </w:p>
        </w:tc>
        <w:tc>
          <w:tcPr>
            <w:tcW w:w="437" w:type="pct"/>
            <w:tcBorders>
              <w:top w:val="single" w:sz="4" w:space="0" w:color="F68F00"/>
              <w:left w:val="nil"/>
              <w:bottom w:val="single" w:sz="4" w:space="0" w:color="F68F00"/>
              <w:right w:val="nil"/>
            </w:tcBorders>
            <w:shd w:val="clear" w:color="auto" w:fill="auto"/>
            <w:vAlign w:val="center"/>
          </w:tcPr>
          <w:p w14:paraId="23ADF438" w14:textId="303625ED" w:rsidR="0096575F" w:rsidRPr="00E20D21" w:rsidRDefault="0096575F" w:rsidP="0096575F">
            <w:pPr>
              <w:jc w:val="right"/>
              <w:rPr>
                <w:rFonts w:ascii="CAIXA Std Book" w:hAnsi="CAIXA Std Book" w:cs="Symbol"/>
                <w:b/>
                <w:color w:val="005CA9"/>
                <w:sz w:val="18"/>
                <w:szCs w:val="18"/>
              </w:rPr>
            </w:pPr>
            <w:r w:rsidRPr="00E20D21">
              <w:rPr>
                <w:rFonts w:ascii="CAIXA Std Book" w:hAnsi="CAIXA Std Book" w:cs="Calibri"/>
                <w:b/>
                <w:color w:val="005CA9"/>
                <w:sz w:val="16"/>
                <w:szCs w:val="16"/>
              </w:rPr>
              <w:t>6.775.916</w:t>
            </w:r>
          </w:p>
        </w:tc>
        <w:tc>
          <w:tcPr>
            <w:tcW w:w="437" w:type="pct"/>
            <w:tcBorders>
              <w:top w:val="single" w:sz="4" w:space="0" w:color="F68F00"/>
              <w:left w:val="nil"/>
              <w:bottom w:val="single" w:sz="4" w:space="0" w:color="F68F00"/>
              <w:right w:val="nil"/>
            </w:tcBorders>
            <w:shd w:val="clear" w:color="auto" w:fill="auto"/>
            <w:vAlign w:val="center"/>
          </w:tcPr>
          <w:p w14:paraId="637EC2DC" w14:textId="15C11D41" w:rsidR="0096575F" w:rsidRPr="00E20D21" w:rsidRDefault="00C64D77" w:rsidP="0096575F">
            <w:pPr>
              <w:jc w:val="right"/>
              <w:rPr>
                <w:rFonts w:ascii="CAIXA Std Book" w:hAnsi="CAIXA Std Book" w:cs="Symbol"/>
                <w:b/>
                <w:color w:val="005CA9"/>
                <w:sz w:val="18"/>
                <w:szCs w:val="18"/>
              </w:rPr>
            </w:pPr>
            <w:r w:rsidRPr="00E20D21">
              <w:rPr>
                <w:rFonts w:ascii="CAIXA Std Book" w:hAnsi="CAIXA Std Book" w:cs="Calibri"/>
                <w:b/>
                <w:bCs/>
                <w:color w:val="005CA9"/>
                <w:sz w:val="16"/>
                <w:szCs w:val="16"/>
              </w:rPr>
              <w:t>775.410</w:t>
            </w:r>
          </w:p>
        </w:tc>
        <w:tc>
          <w:tcPr>
            <w:tcW w:w="437" w:type="pct"/>
            <w:tcBorders>
              <w:top w:val="single" w:sz="4" w:space="0" w:color="F68F00"/>
              <w:left w:val="nil"/>
              <w:bottom w:val="single" w:sz="4" w:space="0" w:color="F68F00"/>
              <w:right w:val="nil"/>
            </w:tcBorders>
            <w:shd w:val="clear" w:color="auto" w:fill="auto"/>
            <w:vAlign w:val="center"/>
          </w:tcPr>
          <w:p w14:paraId="11066CCF" w14:textId="125C26A4" w:rsidR="0096575F" w:rsidRPr="00E20D21" w:rsidRDefault="0096575F" w:rsidP="0096575F">
            <w:pPr>
              <w:ind w:right="54"/>
              <w:jc w:val="right"/>
              <w:rPr>
                <w:rFonts w:ascii="CAIXA Std Book" w:hAnsi="CAIXA Std Book" w:cs="Symbol"/>
                <w:b/>
                <w:color w:val="005CA9"/>
                <w:sz w:val="18"/>
                <w:szCs w:val="18"/>
              </w:rPr>
            </w:pPr>
            <w:r w:rsidRPr="00E20D21">
              <w:rPr>
                <w:rFonts w:ascii="CAIXA Std Book" w:hAnsi="CAIXA Std Book" w:cs="Calibri"/>
                <w:b/>
                <w:color w:val="005CA9"/>
                <w:sz w:val="16"/>
                <w:szCs w:val="16"/>
              </w:rPr>
              <w:t>781.639</w:t>
            </w:r>
          </w:p>
        </w:tc>
        <w:tc>
          <w:tcPr>
            <w:tcW w:w="437" w:type="pct"/>
            <w:tcBorders>
              <w:top w:val="single" w:sz="4" w:space="0" w:color="F68F00"/>
              <w:left w:val="nil"/>
              <w:bottom w:val="single" w:sz="4" w:space="0" w:color="F68F00"/>
              <w:right w:val="nil"/>
            </w:tcBorders>
            <w:shd w:val="clear" w:color="auto" w:fill="auto"/>
            <w:vAlign w:val="center"/>
          </w:tcPr>
          <w:p w14:paraId="3E88F07B" w14:textId="4DB95E2E" w:rsidR="0096575F" w:rsidRPr="00E20D21" w:rsidRDefault="00C64D77" w:rsidP="0096575F">
            <w:pPr>
              <w:jc w:val="right"/>
              <w:rPr>
                <w:rFonts w:ascii="CAIXA Std Book" w:hAnsi="CAIXA Std Book" w:cs="Symbol"/>
                <w:b/>
                <w:color w:val="005CA9"/>
                <w:sz w:val="18"/>
                <w:szCs w:val="18"/>
              </w:rPr>
            </w:pPr>
            <w:r w:rsidRPr="00E20D21">
              <w:rPr>
                <w:rFonts w:ascii="CAIXA Std Book" w:hAnsi="CAIXA Std Book" w:cs="Calibri"/>
                <w:b/>
                <w:bCs/>
                <w:color w:val="005CA9"/>
                <w:sz w:val="16"/>
                <w:szCs w:val="16"/>
              </w:rPr>
              <w:t>2.648.120</w:t>
            </w:r>
          </w:p>
        </w:tc>
        <w:tc>
          <w:tcPr>
            <w:tcW w:w="395" w:type="pct"/>
            <w:tcBorders>
              <w:top w:val="single" w:sz="4" w:space="0" w:color="F68F00"/>
              <w:left w:val="nil"/>
              <w:bottom w:val="single" w:sz="4" w:space="0" w:color="F68F00"/>
              <w:right w:val="nil"/>
            </w:tcBorders>
            <w:shd w:val="clear" w:color="auto" w:fill="auto"/>
            <w:vAlign w:val="center"/>
          </w:tcPr>
          <w:p w14:paraId="267E69C3" w14:textId="60C95A08" w:rsidR="0096575F" w:rsidRPr="00E20D21" w:rsidRDefault="0096575F" w:rsidP="0096575F">
            <w:pPr>
              <w:jc w:val="right"/>
              <w:rPr>
                <w:rFonts w:ascii="CAIXA Std Book" w:hAnsi="CAIXA Std Book" w:cs="Symbol"/>
                <w:b/>
                <w:color w:val="005CA9"/>
                <w:sz w:val="18"/>
                <w:szCs w:val="18"/>
              </w:rPr>
            </w:pPr>
            <w:r w:rsidRPr="00E20D21">
              <w:rPr>
                <w:rFonts w:ascii="CAIXA Std Book" w:hAnsi="CAIXA Std Book" w:cs="Calibri"/>
                <w:b/>
                <w:color w:val="005CA9"/>
                <w:sz w:val="16"/>
                <w:szCs w:val="16"/>
              </w:rPr>
              <w:t>3.473.930</w:t>
            </w:r>
          </w:p>
        </w:tc>
      </w:tr>
    </w:tbl>
    <w:p w14:paraId="1BE69FA0" w14:textId="77777777" w:rsidR="003834D8" w:rsidRPr="00E20D21" w:rsidRDefault="003834D8" w:rsidP="003834D8">
      <w:pPr>
        <w:autoSpaceDE w:val="0"/>
        <w:autoSpaceDN w:val="0"/>
        <w:adjustRightInd w:val="0"/>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(i.12)</w:t>
      </w:r>
      <w:r w:rsidRPr="00E20D21">
        <w:rPr>
          <w:rFonts w:ascii="CAIXA Std Book" w:hAnsi="CAIXA Std Book"/>
          <w:b/>
          <w:color w:val="005CA9"/>
          <w:sz w:val="20"/>
          <w:szCs w:val="20"/>
        </w:rPr>
        <w:tab/>
        <w:t>Imóveis de propriedade dos planos ocupados pela CAIXA</w:t>
      </w:r>
    </w:p>
    <w:tbl>
      <w:tblPr>
        <w:tblW w:w="4918" w:type="pct"/>
        <w:tblCellMar>
          <w:left w:w="70" w:type="dxa"/>
          <w:right w:w="70" w:type="dxa"/>
        </w:tblCellMar>
        <w:tblLook w:val="04A0" w:firstRow="1" w:lastRow="0" w:firstColumn="1" w:lastColumn="0" w:noHBand="0" w:noVBand="1"/>
      </w:tblPr>
      <w:tblGrid>
        <w:gridCol w:w="4916"/>
        <w:gridCol w:w="1177"/>
        <w:gridCol w:w="1177"/>
        <w:gridCol w:w="1177"/>
        <w:gridCol w:w="1177"/>
        <w:gridCol w:w="1177"/>
        <w:gridCol w:w="1177"/>
        <w:gridCol w:w="1177"/>
        <w:gridCol w:w="1177"/>
      </w:tblGrid>
      <w:tr w:rsidR="00A47C19" w:rsidRPr="00E20D21" w14:paraId="3A0CE268" w14:textId="77777777" w:rsidTr="00A01778">
        <w:trPr>
          <w:trHeight w:val="283"/>
        </w:trPr>
        <w:tc>
          <w:tcPr>
            <w:tcW w:w="5000" w:type="pct"/>
            <w:gridSpan w:val="9"/>
            <w:tcBorders>
              <w:top w:val="single" w:sz="4" w:space="0" w:color="F68F00"/>
              <w:left w:val="nil"/>
              <w:bottom w:val="single" w:sz="4" w:space="0" w:color="F68F00"/>
              <w:right w:val="nil"/>
            </w:tcBorders>
            <w:shd w:val="clear" w:color="auto" w:fill="auto"/>
            <w:vAlign w:val="center"/>
          </w:tcPr>
          <w:p w14:paraId="79868E45" w14:textId="6258B026"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INDIVIDUAL</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CONSOLIDADO</w:t>
            </w:r>
          </w:p>
        </w:tc>
      </w:tr>
      <w:tr w:rsidR="00A47C19" w:rsidRPr="00E20D21" w14:paraId="72C2F366" w14:textId="77777777" w:rsidTr="0096575F">
        <w:trPr>
          <w:trHeight w:val="283"/>
        </w:trPr>
        <w:tc>
          <w:tcPr>
            <w:tcW w:w="1896" w:type="pct"/>
            <w:vMerge w:val="restart"/>
            <w:tcBorders>
              <w:top w:val="single" w:sz="4" w:space="0" w:color="F68F00"/>
              <w:left w:val="nil"/>
              <w:bottom w:val="single" w:sz="4" w:space="0" w:color="F68F00"/>
              <w:right w:val="nil"/>
            </w:tcBorders>
            <w:shd w:val="clear" w:color="auto" w:fill="auto"/>
            <w:vAlign w:val="center"/>
            <w:hideMark/>
          </w:tcPr>
          <w:p w14:paraId="1B5674A5"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Descrição</w:t>
            </w:r>
          </w:p>
        </w:tc>
        <w:tc>
          <w:tcPr>
            <w:tcW w:w="776" w:type="pct"/>
            <w:gridSpan w:val="2"/>
            <w:tcBorders>
              <w:top w:val="single" w:sz="4" w:space="0" w:color="F68F00"/>
              <w:left w:val="nil"/>
              <w:bottom w:val="single" w:sz="4" w:space="0" w:color="F68F00"/>
              <w:right w:val="nil"/>
            </w:tcBorders>
            <w:shd w:val="clear" w:color="auto" w:fill="auto"/>
            <w:vAlign w:val="center"/>
            <w:hideMark/>
          </w:tcPr>
          <w:p w14:paraId="5EC58EA5"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Saldado</w:t>
            </w:r>
          </w:p>
        </w:tc>
        <w:tc>
          <w:tcPr>
            <w:tcW w:w="776" w:type="pct"/>
            <w:gridSpan w:val="2"/>
            <w:tcBorders>
              <w:top w:val="single" w:sz="4" w:space="0" w:color="F68F00"/>
              <w:left w:val="nil"/>
              <w:bottom w:val="single" w:sz="4" w:space="0" w:color="F68F00"/>
              <w:right w:val="nil"/>
            </w:tcBorders>
            <w:shd w:val="clear" w:color="auto" w:fill="auto"/>
            <w:vAlign w:val="center"/>
            <w:hideMark/>
          </w:tcPr>
          <w:p w14:paraId="5BFE2C54"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Não saldado</w:t>
            </w:r>
          </w:p>
        </w:tc>
        <w:tc>
          <w:tcPr>
            <w:tcW w:w="776" w:type="pct"/>
            <w:gridSpan w:val="2"/>
            <w:tcBorders>
              <w:top w:val="single" w:sz="4" w:space="0" w:color="F68F00"/>
              <w:left w:val="nil"/>
              <w:bottom w:val="single" w:sz="4" w:space="0" w:color="F68F00"/>
              <w:right w:val="nil"/>
            </w:tcBorders>
            <w:shd w:val="clear" w:color="auto" w:fill="auto"/>
            <w:vAlign w:val="center"/>
            <w:hideMark/>
          </w:tcPr>
          <w:p w14:paraId="40F76AEE"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REB</w:t>
            </w:r>
          </w:p>
        </w:tc>
        <w:tc>
          <w:tcPr>
            <w:tcW w:w="776" w:type="pct"/>
            <w:gridSpan w:val="2"/>
            <w:tcBorders>
              <w:top w:val="single" w:sz="4" w:space="0" w:color="F68F00"/>
              <w:left w:val="nil"/>
              <w:bottom w:val="single" w:sz="4" w:space="0" w:color="F68F00"/>
              <w:right w:val="nil"/>
            </w:tcBorders>
            <w:shd w:val="clear" w:color="auto" w:fill="auto"/>
            <w:vAlign w:val="center"/>
            <w:hideMark/>
          </w:tcPr>
          <w:p w14:paraId="6ECE132F"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Novo Plano</w:t>
            </w:r>
          </w:p>
        </w:tc>
      </w:tr>
      <w:tr w:rsidR="0096575F" w:rsidRPr="00E20D21" w14:paraId="00608818" w14:textId="77777777" w:rsidTr="0096575F">
        <w:trPr>
          <w:trHeight w:val="283"/>
        </w:trPr>
        <w:tc>
          <w:tcPr>
            <w:tcW w:w="1896" w:type="pct"/>
            <w:vMerge/>
            <w:tcBorders>
              <w:top w:val="single" w:sz="4" w:space="0" w:color="F68F00"/>
              <w:left w:val="nil"/>
              <w:bottom w:val="single" w:sz="4" w:space="0" w:color="F68F00"/>
              <w:right w:val="nil"/>
            </w:tcBorders>
            <w:vAlign w:val="center"/>
            <w:hideMark/>
          </w:tcPr>
          <w:p w14:paraId="3C007DAD" w14:textId="77777777" w:rsidR="0096575F" w:rsidRPr="00E20D21" w:rsidRDefault="0096575F" w:rsidP="0096575F">
            <w:pPr>
              <w:rPr>
                <w:rFonts w:ascii="CAIXA Std Book" w:hAnsi="CAIXA Std Book" w:cs="Symbol"/>
                <w:b/>
                <w:color w:val="005CA9"/>
                <w:sz w:val="18"/>
                <w:szCs w:val="18"/>
              </w:rPr>
            </w:pPr>
          </w:p>
        </w:tc>
        <w:tc>
          <w:tcPr>
            <w:tcW w:w="388" w:type="pct"/>
            <w:tcBorders>
              <w:top w:val="nil"/>
              <w:left w:val="nil"/>
              <w:bottom w:val="single" w:sz="4" w:space="0" w:color="F68F00"/>
              <w:right w:val="nil"/>
            </w:tcBorders>
            <w:shd w:val="clear" w:color="auto" w:fill="auto"/>
            <w:vAlign w:val="center"/>
            <w:hideMark/>
          </w:tcPr>
          <w:p w14:paraId="79E225CB" w14:textId="46B22A15"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30/06/2024</w:t>
            </w:r>
          </w:p>
        </w:tc>
        <w:tc>
          <w:tcPr>
            <w:tcW w:w="388" w:type="pct"/>
            <w:tcBorders>
              <w:top w:val="nil"/>
              <w:left w:val="nil"/>
              <w:bottom w:val="single" w:sz="4" w:space="0" w:color="F68F00"/>
              <w:right w:val="nil"/>
            </w:tcBorders>
            <w:shd w:val="clear" w:color="auto" w:fill="auto"/>
            <w:vAlign w:val="center"/>
            <w:hideMark/>
          </w:tcPr>
          <w:p w14:paraId="73D0D5AD" w14:textId="47717240"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31/12/2023</w:t>
            </w:r>
          </w:p>
        </w:tc>
        <w:tc>
          <w:tcPr>
            <w:tcW w:w="388" w:type="pct"/>
            <w:tcBorders>
              <w:top w:val="nil"/>
              <w:left w:val="nil"/>
              <w:bottom w:val="single" w:sz="4" w:space="0" w:color="F68F00"/>
              <w:right w:val="nil"/>
            </w:tcBorders>
            <w:shd w:val="clear" w:color="auto" w:fill="auto"/>
            <w:vAlign w:val="center"/>
            <w:hideMark/>
          </w:tcPr>
          <w:p w14:paraId="2DA254A5" w14:textId="5E4D5C5C"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30/06/2024</w:t>
            </w:r>
          </w:p>
        </w:tc>
        <w:tc>
          <w:tcPr>
            <w:tcW w:w="388" w:type="pct"/>
            <w:tcBorders>
              <w:top w:val="nil"/>
              <w:left w:val="nil"/>
              <w:bottom w:val="single" w:sz="4" w:space="0" w:color="F68F00"/>
              <w:right w:val="nil"/>
            </w:tcBorders>
            <w:shd w:val="clear" w:color="auto" w:fill="auto"/>
            <w:vAlign w:val="center"/>
            <w:hideMark/>
          </w:tcPr>
          <w:p w14:paraId="47960F17" w14:textId="177AF75B"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31/12/2023</w:t>
            </w:r>
          </w:p>
        </w:tc>
        <w:tc>
          <w:tcPr>
            <w:tcW w:w="388" w:type="pct"/>
            <w:tcBorders>
              <w:top w:val="nil"/>
              <w:left w:val="nil"/>
              <w:bottom w:val="single" w:sz="4" w:space="0" w:color="F68F00"/>
              <w:right w:val="nil"/>
            </w:tcBorders>
            <w:shd w:val="clear" w:color="auto" w:fill="auto"/>
            <w:vAlign w:val="center"/>
            <w:hideMark/>
          </w:tcPr>
          <w:p w14:paraId="62CDB454" w14:textId="36E0E982"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30/06/2024</w:t>
            </w:r>
          </w:p>
        </w:tc>
        <w:tc>
          <w:tcPr>
            <w:tcW w:w="388" w:type="pct"/>
            <w:tcBorders>
              <w:top w:val="nil"/>
              <w:left w:val="nil"/>
              <w:bottom w:val="single" w:sz="4" w:space="0" w:color="F68F00"/>
              <w:right w:val="nil"/>
            </w:tcBorders>
            <w:shd w:val="clear" w:color="auto" w:fill="auto"/>
            <w:vAlign w:val="center"/>
            <w:hideMark/>
          </w:tcPr>
          <w:p w14:paraId="088BE598" w14:textId="3DE6CCEC"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31/12/2023</w:t>
            </w:r>
          </w:p>
        </w:tc>
        <w:tc>
          <w:tcPr>
            <w:tcW w:w="388" w:type="pct"/>
            <w:tcBorders>
              <w:top w:val="nil"/>
              <w:left w:val="nil"/>
              <w:bottom w:val="single" w:sz="4" w:space="0" w:color="F68F00"/>
              <w:right w:val="nil"/>
            </w:tcBorders>
            <w:shd w:val="clear" w:color="auto" w:fill="auto"/>
            <w:vAlign w:val="center"/>
            <w:hideMark/>
          </w:tcPr>
          <w:p w14:paraId="79F39AFB" w14:textId="3B16BAB6"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30/06/2024</w:t>
            </w:r>
          </w:p>
        </w:tc>
        <w:tc>
          <w:tcPr>
            <w:tcW w:w="388" w:type="pct"/>
            <w:tcBorders>
              <w:top w:val="nil"/>
              <w:left w:val="nil"/>
              <w:bottom w:val="single" w:sz="4" w:space="0" w:color="F68F00"/>
              <w:right w:val="nil"/>
            </w:tcBorders>
            <w:shd w:val="clear" w:color="auto" w:fill="auto"/>
            <w:vAlign w:val="center"/>
            <w:hideMark/>
          </w:tcPr>
          <w:p w14:paraId="118D9A2E" w14:textId="482BC7D6" w:rsidR="0096575F" w:rsidRPr="00E20D21" w:rsidRDefault="0096575F" w:rsidP="0096575F">
            <w:pPr>
              <w:jc w:val="center"/>
              <w:rPr>
                <w:rFonts w:ascii="CAIXA Std Book" w:hAnsi="CAIXA Std Book" w:cs="Symbol"/>
                <w:b/>
                <w:color w:val="005CA9"/>
                <w:sz w:val="18"/>
                <w:szCs w:val="18"/>
              </w:rPr>
            </w:pPr>
            <w:r w:rsidRPr="00E20D21">
              <w:rPr>
                <w:rFonts w:ascii="CAIXA Std Book" w:eastAsia="Times New Roman" w:hAnsi="CAIXA Std Book" w:cs="Calibri"/>
                <w:b/>
                <w:color w:val="005CA9"/>
                <w:sz w:val="18"/>
                <w:szCs w:val="18"/>
              </w:rPr>
              <w:t>31/12/2023</w:t>
            </w:r>
          </w:p>
        </w:tc>
      </w:tr>
      <w:tr w:rsidR="0096575F" w:rsidRPr="00E20D21" w14:paraId="38AD99C4" w14:textId="77777777" w:rsidTr="0096575F">
        <w:trPr>
          <w:trHeight w:val="283"/>
        </w:trPr>
        <w:tc>
          <w:tcPr>
            <w:tcW w:w="1896" w:type="pct"/>
            <w:tcBorders>
              <w:top w:val="nil"/>
              <w:left w:val="nil"/>
              <w:bottom w:val="single" w:sz="4" w:space="0" w:color="F68F00"/>
              <w:right w:val="nil"/>
            </w:tcBorders>
            <w:shd w:val="clear" w:color="auto" w:fill="auto"/>
            <w:vAlign w:val="center"/>
            <w:hideMark/>
          </w:tcPr>
          <w:p w14:paraId="1251A8BC" w14:textId="77777777" w:rsidR="0096575F" w:rsidRPr="00E20D21" w:rsidRDefault="0096575F" w:rsidP="0096575F">
            <w:pPr>
              <w:rPr>
                <w:rFonts w:ascii="CAIXA Std Book" w:hAnsi="CAIXA Std Book" w:cs="Symbol"/>
                <w:color w:val="005CA9"/>
                <w:sz w:val="18"/>
                <w:szCs w:val="18"/>
              </w:rPr>
            </w:pPr>
            <w:r w:rsidRPr="00E20D21">
              <w:rPr>
                <w:rFonts w:ascii="CAIXA Std Book" w:hAnsi="CAIXA Std Book" w:cs="Symbol"/>
                <w:color w:val="005CA9"/>
                <w:sz w:val="18"/>
                <w:szCs w:val="18"/>
              </w:rPr>
              <w:t>Imóveis - Locados à CAIXA</w:t>
            </w:r>
          </w:p>
        </w:tc>
        <w:tc>
          <w:tcPr>
            <w:tcW w:w="388" w:type="pct"/>
            <w:tcBorders>
              <w:top w:val="nil"/>
              <w:left w:val="nil"/>
              <w:bottom w:val="single" w:sz="4" w:space="0" w:color="F68F00"/>
              <w:right w:val="nil"/>
            </w:tcBorders>
            <w:shd w:val="clear" w:color="auto" w:fill="auto"/>
            <w:vAlign w:val="center"/>
          </w:tcPr>
          <w:p w14:paraId="61C2E79F" w14:textId="4F0EB845" w:rsidR="0096575F" w:rsidRPr="00E20D21" w:rsidRDefault="009E2617" w:rsidP="0096575F">
            <w:pPr>
              <w:ind w:right="149"/>
              <w:jc w:val="right"/>
              <w:rPr>
                <w:rFonts w:ascii="CAIXA Std Book" w:hAnsi="CAIXA Std Book" w:cs="Symbol"/>
                <w:color w:val="005CA9"/>
                <w:sz w:val="18"/>
                <w:szCs w:val="18"/>
              </w:rPr>
            </w:pPr>
            <w:r w:rsidRPr="00E20D21">
              <w:rPr>
                <w:rFonts w:ascii="CAIXA Std Book" w:hAnsi="CAIXA Std Book" w:cs="Calibri"/>
                <w:color w:val="005CA9"/>
                <w:sz w:val="16"/>
                <w:szCs w:val="16"/>
              </w:rPr>
              <w:t>256.355</w:t>
            </w:r>
          </w:p>
        </w:tc>
        <w:tc>
          <w:tcPr>
            <w:tcW w:w="388" w:type="pct"/>
            <w:tcBorders>
              <w:top w:val="nil"/>
              <w:left w:val="nil"/>
              <w:bottom w:val="single" w:sz="4" w:space="0" w:color="F68F00"/>
              <w:right w:val="nil"/>
            </w:tcBorders>
            <w:shd w:val="clear" w:color="auto" w:fill="auto"/>
            <w:vAlign w:val="center"/>
          </w:tcPr>
          <w:p w14:paraId="0D3CB73B" w14:textId="1A8D3031" w:rsidR="0096575F" w:rsidRPr="00E20D21" w:rsidRDefault="0096575F" w:rsidP="0096575F">
            <w:pPr>
              <w:ind w:right="163"/>
              <w:jc w:val="right"/>
              <w:rPr>
                <w:rFonts w:ascii="CAIXA Std Book" w:hAnsi="CAIXA Std Book" w:cs="Symbol"/>
                <w:color w:val="005CA9"/>
                <w:sz w:val="18"/>
                <w:szCs w:val="18"/>
              </w:rPr>
            </w:pPr>
            <w:r w:rsidRPr="00E20D21">
              <w:rPr>
                <w:rFonts w:ascii="CAIXA Std Book" w:hAnsi="CAIXA Std Book" w:cs="Calibri"/>
                <w:color w:val="005CA9"/>
                <w:sz w:val="16"/>
                <w:szCs w:val="16"/>
              </w:rPr>
              <w:t>319.361</w:t>
            </w:r>
          </w:p>
        </w:tc>
        <w:tc>
          <w:tcPr>
            <w:tcW w:w="388" w:type="pct"/>
            <w:tcBorders>
              <w:top w:val="nil"/>
              <w:left w:val="nil"/>
              <w:bottom w:val="single" w:sz="4" w:space="0" w:color="F68F00"/>
              <w:right w:val="nil"/>
            </w:tcBorders>
            <w:shd w:val="clear" w:color="auto" w:fill="auto"/>
            <w:vAlign w:val="center"/>
          </w:tcPr>
          <w:p w14:paraId="6D4E10C6" w14:textId="5112928B" w:rsidR="0096575F" w:rsidRPr="00E20D21" w:rsidRDefault="009E2617" w:rsidP="0096575F">
            <w:pPr>
              <w:ind w:right="57"/>
              <w:jc w:val="right"/>
              <w:rPr>
                <w:rFonts w:ascii="CAIXA Std Book" w:hAnsi="CAIXA Std Book" w:cs="Symbol"/>
                <w:color w:val="005CA9"/>
                <w:sz w:val="18"/>
                <w:szCs w:val="18"/>
              </w:rPr>
            </w:pPr>
            <w:r w:rsidRPr="00E20D21">
              <w:rPr>
                <w:rFonts w:ascii="CAIXA Std Book" w:hAnsi="CAIXA Std Book" w:cs="Calibri"/>
                <w:color w:val="005CA9"/>
                <w:sz w:val="16"/>
                <w:szCs w:val="16"/>
              </w:rPr>
              <w:t>27.452</w:t>
            </w:r>
          </w:p>
        </w:tc>
        <w:tc>
          <w:tcPr>
            <w:tcW w:w="388" w:type="pct"/>
            <w:tcBorders>
              <w:top w:val="nil"/>
              <w:left w:val="nil"/>
              <w:bottom w:val="single" w:sz="4" w:space="0" w:color="F68F00"/>
              <w:right w:val="nil"/>
            </w:tcBorders>
            <w:shd w:val="clear" w:color="auto" w:fill="auto"/>
            <w:vAlign w:val="center"/>
          </w:tcPr>
          <w:p w14:paraId="66E65A90" w14:textId="437CB669" w:rsidR="0096575F" w:rsidRPr="00E20D21" w:rsidRDefault="0096575F" w:rsidP="0096575F">
            <w:pPr>
              <w:ind w:right="78"/>
              <w:jc w:val="right"/>
              <w:rPr>
                <w:rFonts w:ascii="CAIXA Std Book" w:hAnsi="CAIXA Std Book" w:cs="Symbol"/>
                <w:color w:val="005CA9"/>
                <w:sz w:val="18"/>
                <w:szCs w:val="18"/>
              </w:rPr>
            </w:pPr>
            <w:r w:rsidRPr="00E20D21">
              <w:rPr>
                <w:rFonts w:ascii="CAIXA Std Book" w:hAnsi="CAIXA Std Book" w:cs="Calibri"/>
                <w:color w:val="005CA9"/>
                <w:sz w:val="16"/>
                <w:szCs w:val="16"/>
              </w:rPr>
              <w:t>34.199</w:t>
            </w:r>
          </w:p>
        </w:tc>
        <w:tc>
          <w:tcPr>
            <w:tcW w:w="388" w:type="pct"/>
            <w:tcBorders>
              <w:top w:val="nil"/>
              <w:left w:val="nil"/>
              <w:bottom w:val="single" w:sz="4" w:space="0" w:color="F68F00"/>
              <w:right w:val="nil"/>
            </w:tcBorders>
            <w:shd w:val="clear" w:color="auto" w:fill="auto"/>
            <w:vAlign w:val="center"/>
          </w:tcPr>
          <w:p w14:paraId="2E2D300A" w14:textId="0DB08891" w:rsidR="0096575F" w:rsidRPr="00E20D21" w:rsidRDefault="009E2617" w:rsidP="0096575F">
            <w:pPr>
              <w:ind w:right="99"/>
              <w:jc w:val="right"/>
              <w:rPr>
                <w:rFonts w:ascii="CAIXA Std Book" w:hAnsi="CAIXA Std Book" w:cs="Symbol"/>
                <w:color w:val="005CA9"/>
                <w:sz w:val="18"/>
                <w:szCs w:val="18"/>
              </w:rPr>
            </w:pPr>
            <w:r w:rsidRPr="00E20D21">
              <w:rPr>
                <w:rFonts w:ascii="CAIXA Std Book" w:hAnsi="CAIXA Std Book" w:cs="Calibri"/>
                <w:color w:val="005CA9"/>
                <w:sz w:val="16"/>
                <w:szCs w:val="16"/>
              </w:rPr>
              <w:t>3.395</w:t>
            </w:r>
          </w:p>
        </w:tc>
        <w:tc>
          <w:tcPr>
            <w:tcW w:w="388" w:type="pct"/>
            <w:tcBorders>
              <w:top w:val="nil"/>
              <w:left w:val="nil"/>
              <w:bottom w:val="single" w:sz="4" w:space="0" w:color="F68F00"/>
              <w:right w:val="nil"/>
            </w:tcBorders>
            <w:shd w:val="clear" w:color="auto" w:fill="auto"/>
            <w:vAlign w:val="center"/>
          </w:tcPr>
          <w:p w14:paraId="1698AE6D" w14:textId="1CF73E58" w:rsidR="0096575F" w:rsidRPr="00E20D21" w:rsidRDefault="0096575F" w:rsidP="0096575F">
            <w:pPr>
              <w:ind w:right="135"/>
              <w:jc w:val="right"/>
              <w:rPr>
                <w:rFonts w:ascii="CAIXA Std Book" w:hAnsi="CAIXA Std Book" w:cs="Symbol"/>
                <w:color w:val="005CA9"/>
                <w:sz w:val="18"/>
                <w:szCs w:val="18"/>
              </w:rPr>
            </w:pPr>
            <w:r w:rsidRPr="00E20D21">
              <w:rPr>
                <w:rFonts w:ascii="CAIXA Std Book" w:hAnsi="CAIXA Std Book" w:cs="Calibri"/>
                <w:color w:val="005CA9"/>
                <w:sz w:val="16"/>
                <w:szCs w:val="16"/>
              </w:rPr>
              <w:t>4.229</w:t>
            </w:r>
          </w:p>
        </w:tc>
        <w:tc>
          <w:tcPr>
            <w:tcW w:w="388" w:type="pct"/>
            <w:tcBorders>
              <w:top w:val="nil"/>
              <w:left w:val="nil"/>
              <w:bottom w:val="single" w:sz="4" w:space="0" w:color="F68F00"/>
              <w:right w:val="nil"/>
            </w:tcBorders>
            <w:shd w:val="clear" w:color="auto" w:fill="auto"/>
            <w:vAlign w:val="center"/>
          </w:tcPr>
          <w:p w14:paraId="7A684750" w14:textId="58055F14" w:rsidR="0096575F" w:rsidRPr="00E20D21" w:rsidRDefault="009E2617" w:rsidP="0096575F">
            <w:pPr>
              <w:ind w:right="156"/>
              <w:jc w:val="right"/>
              <w:rPr>
                <w:rFonts w:ascii="CAIXA Std Book" w:hAnsi="CAIXA Std Book" w:cs="Symbol"/>
                <w:color w:val="005CA9"/>
                <w:sz w:val="18"/>
                <w:szCs w:val="18"/>
              </w:rPr>
            </w:pPr>
            <w:r w:rsidRPr="00E20D21">
              <w:rPr>
                <w:rFonts w:ascii="CAIXA Std Book" w:hAnsi="CAIXA Std Book" w:cs="Calibri"/>
                <w:color w:val="005CA9"/>
                <w:sz w:val="16"/>
                <w:szCs w:val="16"/>
              </w:rPr>
              <w:t>2.989</w:t>
            </w:r>
          </w:p>
        </w:tc>
        <w:tc>
          <w:tcPr>
            <w:tcW w:w="388" w:type="pct"/>
            <w:tcBorders>
              <w:top w:val="nil"/>
              <w:left w:val="nil"/>
              <w:bottom w:val="single" w:sz="4" w:space="0" w:color="F68F00"/>
              <w:right w:val="nil"/>
            </w:tcBorders>
            <w:shd w:val="clear" w:color="auto" w:fill="auto"/>
            <w:vAlign w:val="center"/>
          </w:tcPr>
          <w:p w14:paraId="0D84BF5A" w14:textId="41DE6164" w:rsidR="0096575F" w:rsidRPr="00E20D21" w:rsidRDefault="0096575F" w:rsidP="0096575F">
            <w:pPr>
              <w:ind w:right="177"/>
              <w:jc w:val="right"/>
              <w:rPr>
                <w:rFonts w:ascii="CAIXA Std Book" w:hAnsi="CAIXA Std Book" w:cs="Symbol"/>
                <w:color w:val="005CA9"/>
                <w:sz w:val="18"/>
                <w:szCs w:val="18"/>
              </w:rPr>
            </w:pPr>
            <w:r w:rsidRPr="00E20D21">
              <w:rPr>
                <w:rFonts w:ascii="CAIXA Std Book" w:hAnsi="CAIXA Std Book" w:cs="Calibri"/>
                <w:color w:val="005CA9"/>
                <w:sz w:val="16"/>
                <w:szCs w:val="16"/>
              </w:rPr>
              <w:t>3.723</w:t>
            </w:r>
          </w:p>
        </w:tc>
      </w:tr>
      <w:tr w:rsidR="0096575F" w:rsidRPr="00E20D21" w14:paraId="795DB158" w14:textId="77777777" w:rsidTr="0096575F">
        <w:trPr>
          <w:trHeight w:val="283"/>
        </w:trPr>
        <w:tc>
          <w:tcPr>
            <w:tcW w:w="1896" w:type="pct"/>
            <w:tcBorders>
              <w:top w:val="single" w:sz="4" w:space="0" w:color="F68F00"/>
              <w:left w:val="nil"/>
              <w:bottom w:val="single" w:sz="4" w:space="0" w:color="F79646"/>
              <w:right w:val="nil"/>
            </w:tcBorders>
            <w:shd w:val="clear" w:color="auto" w:fill="auto"/>
            <w:vAlign w:val="center"/>
            <w:hideMark/>
          </w:tcPr>
          <w:p w14:paraId="76F0C546" w14:textId="77777777" w:rsidR="0096575F" w:rsidRPr="00E20D21" w:rsidRDefault="0096575F" w:rsidP="0096575F">
            <w:pPr>
              <w:rPr>
                <w:rFonts w:ascii="CAIXA Std Book" w:hAnsi="CAIXA Std Book" w:cs="Symbol"/>
                <w:b/>
                <w:color w:val="005CA9"/>
                <w:sz w:val="18"/>
                <w:szCs w:val="18"/>
              </w:rPr>
            </w:pPr>
            <w:r w:rsidRPr="00E20D21">
              <w:rPr>
                <w:rFonts w:ascii="CAIXA Std Book" w:hAnsi="CAIXA Std Book" w:cs="Symbol"/>
                <w:b/>
                <w:color w:val="005CA9"/>
                <w:sz w:val="18"/>
                <w:szCs w:val="18"/>
              </w:rPr>
              <w:t>Total</w:t>
            </w:r>
          </w:p>
        </w:tc>
        <w:tc>
          <w:tcPr>
            <w:tcW w:w="388" w:type="pct"/>
            <w:tcBorders>
              <w:top w:val="single" w:sz="4" w:space="0" w:color="F68F00"/>
              <w:left w:val="nil"/>
              <w:bottom w:val="single" w:sz="4" w:space="0" w:color="F79646"/>
              <w:right w:val="nil"/>
            </w:tcBorders>
            <w:shd w:val="clear" w:color="auto" w:fill="auto"/>
            <w:vAlign w:val="center"/>
          </w:tcPr>
          <w:p w14:paraId="0DCCFCCD" w14:textId="585F3EFC" w:rsidR="0096575F" w:rsidRPr="00E20D21" w:rsidRDefault="009E2617" w:rsidP="0096575F">
            <w:pPr>
              <w:ind w:right="149"/>
              <w:jc w:val="right"/>
              <w:rPr>
                <w:rFonts w:ascii="CAIXA Std Book" w:hAnsi="CAIXA Std Book" w:cs="Symbol"/>
                <w:b/>
                <w:color w:val="005CA9"/>
                <w:sz w:val="18"/>
                <w:szCs w:val="18"/>
              </w:rPr>
            </w:pPr>
            <w:r w:rsidRPr="00E20D21">
              <w:rPr>
                <w:rFonts w:ascii="CAIXA Std Book" w:hAnsi="CAIXA Std Book" w:cs="Calibri"/>
                <w:b/>
                <w:bCs/>
                <w:color w:val="005CA9"/>
                <w:sz w:val="16"/>
                <w:szCs w:val="16"/>
              </w:rPr>
              <w:t>256.355</w:t>
            </w:r>
          </w:p>
        </w:tc>
        <w:tc>
          <w:tcPr>
            <w:tcW w:w="388" w:type="pct"/>
            <w:tcBorders>
              <w:top w:val="single" w:sz="4" w:space="0" w:color="F68F00"/>
              <w:left w:val="nil"/>
              <w:bottom w:val="single" w:sz="4" w:space="0" w:color="F79646"/>
              <w:right w:val="nil"/>
            </w:tcBorders>
            <w:shd w:val="clear" w:color="auto" w:fill="auto"/>
            <w:vAlign w:val="center"/>
          </w:tcPr>
          <w:p w14:paraId="0C0B0D62" w14:textId="765D12FF" w:rsidR="0096575F" w:rsidRPr="00E20D21" w:rsidRDefault="0096575F" w:rsidP="0096575F">
            <w:pPr>
              <w:ind w:right="163"/>
              <w:jc w:val="right"/>
              <w:rPr>
                <w:rFonts w:ascii="CAIXA Std Book" w:hAnsi="CAIXA Std Book" w:cs="Symbol"/>
                <w:b/>
                <w:color w:val="005CA9"/>
                <w:sz w:val="18"/>
                <w:szCs w:val="18"/>
              </w:rPr>
            </w:pPr>
            <w:r w:rsidRPr="00E20D21">
              <w:rPr>
                <w:rFonts w:ascii="CAIXA Std Book" w:hAnsi="CAIXA Std Book" w:cs="Calibri"/>
                <w:b/>
                <w:color w:val="005CA9"/>
                <w:sz w:val="16"/>
                <w:szCs w:val="16"/>
              </w:rPr>
              <w:t>319.361</w:t>
            </w:r>
          </w:p>
        </w:tc>
        <w:tc>
          <w:tcPr>
            <w:tcW w:w="388" w:type="pct"/>
            <w:tcBorders>
              <w:top w:val="single" w:sz="4" w:space="0" w:color="F68F00"/>
              <w:left w:val="nil"/>
              <w:bottom w:val="single" w:sz="4" w:space="0" w:color="F79646"/>
              <w:right w:val="nil"/>
            </w:tcBorders>
            <w:shd w:val="clear" w:color="auto" w:fill="auto"/>
            <w:vAlign w:val="center"/>
          </w:tcPr>
          <w:p w14:paraId="1F0D11F7" w14:textId="264076DC" w:rsidR="0096575F" w:rsidRPr="00E20D21" w:rsidRDefault="009E2617" w:rsidP="0096575F">
            <w:pPr>
              <w:ind w:right="57"/>
              <w:jc w:val="right"/>
              <w:rPr>
                <w:rFonts w:ascii="CAIXA Std Book" w:hAnsi="CAIXA Std Book" w:cs="Symbol"/>
                <w:b/>
                <w:color w:val="005CA9"/>
                <w:sz w:val="18"/>
                <w:szCs w:val="18"/>
              </w:rPr>
            </w:pPr>
            <w:r w:rsidRPr="00E20D21">
              <w:rPr>
                <w:rFonts w:ascii="CAIXA Std Book" w:hAnsi="CAIXA Std Book" w:cs="Calibri"/>
                <w:b/>
                <w:bCs/>
                <w:color w:val="005CA9"/>
                <w:sz w:val="16"/>
                <w:szCs w:val="16"/>
              </w:rPr>
              <w:t>27.452</w:t>
            </w:r>
          </w:p>
        </w:tc>
        <w:tc>
          <w:tcPr>
            <w:tcW w:w="388" w:type="pct"/>
            <w:tcBorders>
              <w:top w:val="single" w:sz="4" w:space="0" w:color="F68F00"/>
              <w:left w:val="nil"/>
              <w:bottom w:val="single" w:sz="4" w:space="0" w:color="F79646"/>
              <w:right w:val="nil"/>
            </w:tcBorders>
            <w:shd w:val="clear" w:color="auto" w:fill="auto"/>
            <w:vAlign w:val="center"/>
          </w:tcPr>
          <w:p w14:paraId="5376EE65" w14:textId="6F003AFF" w:rsidR="0096575F" w:rsidRPr="00E20D21" w:rsidRDefault="0096575F" w:rsidP="0096575F">
            <w:pPr>
              <w:ind w:right="78"/>
              <w:jc w:val="right"/>
              <w:rPr>
                <w:rFonts w:ascii="CAIXA Std Book" w:hAnsi="CAIXA Std Book" w:cs="Symbol"/>
                <w:b/>
                <w:color w:val="005CA9"/>
                <w:sz w:val="18"/>
                <w:szCs w:val="18"/>
              </w:rPr>
            </w:pPr>
            <w:r w:rsidRPr="00E20D21">
              <w:rPr>
                <w:rFonts w:ascii="CAIXA Std Book" w:hAnsi="CAIXA Std Book" w:cs="Calibri"/>
                <w:b/>
                <w:color w:val="005CA9"/>
                <w:sz w:val="16"/>
                <w:szCs w:val="16"/>
              </w:rPr>
              <w:t>34.199</w:t>
            </w:r>
          </w:p>
        </w:tc>
        <w:tc>
          <w:tcPr>
            <w:tcW w:w="388" w:type="pct"/>
            <w:tcBorders>
              <w:top w:val="single" w:sz="4" w:space="0" w:color="F68F00"/>
              <w:left w:val="nil"/>
              <w:bottom w:val="single" w:sz="4" w:space="0" w:color="F79646"/>
              <w:right w:val="nil"/>
            </w:tcBorders>
            <w:shd w:val="clear" w:color="auto" w:fill="auto"/>
            <w:vAlign w:val="center"/>
          </w:tcPr>
          <w:p w14:paraId="14A48557" w14:textId="2BCE9441" w:rsidR="0096575F" w:rsidRPr="00E20D21" w:rsidRDefault="009E2617" w:rsidP="0096575F">
            <w:pPr>
              <w:ind w:right="99"/>
              <w:jc w:val="right"/>
              <w:rPr>
                <w:rFonts w:ascii="CAIXA Std Book" w:hAnsi="CAIXA Std Book" w:cs="Symbol"/>
                <w:b/>
                <w:color w:val="005CA9"/>
                <w:sz w:val="18"/>
                <w:szCs w:val="18"/>
              </w:rPr>
            </w:pPr>
            <w:r w:rsidRPr="00E20D21">
              <w:rPr>
                <w:rFonts w:ascii="CAIXA Std Book" w:hAnsi="CAIXA Std Book" w:cs="Calibri"/>
                <w:b/>
                <w:bCs/>
                <w:color w:val="005CA9"/>
                <w:sz w:val="16"/>
                <w:szCs w:val="16"/>
              </w:rPr>
              <w:t>3.395</w:t>
            </w:r>
          </w:p>
        </w:tc>
        <w:tc>
          <w:tcPr>
            <w:tcW w:w="388" w:type="pct"/>
            <w:tcBorders>
              <w:top w:val="single" w:sz="4" w:space="0" w:color="F68F00"/>
              <w:left w:val="nil"/>
              <w:bottom w:val="single" w:sz="4" w:space="0" w:color="F79646"/>
              <w:right w:val="nil"/>
            </w:tcBorders>
            <w:shd w:val="clear" w:color="auto" w:fill="auto"/>
            <w:vAlign w:val="center"/>
          </w:tcPr>
          <w:p w14:paraId="069C1C9F" w14:textId="1FBD93A1" w:rsidR="0096575F" w:rsidRPr="00E20D21" w:rsidRDefault="0096575F" w:rsidP="0096575F">
            <w:pPr>
              <w:ind w:right="135"/>
              <w:jc w:val="right"/>
              <w:rPr>
                <w:rFonts w:ascii="CAIXA Std Book" w:hAnsi="CAIXA Std Book" w:cs="Symbol"/>
                <w:b/>
                <w:color w:val="005CA9"/>
                <w:sz w:val="18"/>
                <w:szCs w:val="18"/>
              </w:rPr>
            </w:pPr>
            <w:r w:rsidRPr="00E20D21">
              <w:rPr>
                <w:rFonts w:ascii="CAIXA Std Book" w:hAnsi="CAIXA Std Book" w:cs="Calibri"/>
                <w:b/>
                <w:color w:val="005CA9"/>
                <w:sz w:val="16"/>
                <w:szCs w:val="16"/>
              </w:rPr>
              <w:t>4.229</w:t>
            </w:r>
          </w:p>
        </w:tc>
        <w:tc>
          <w:tcPr>
            <w:tcW w:w="388" w:type="pct"/>
            <w:tcBorders>
              <w:top w:val="single" w:sz="4" w:space="0" w:color="F68F00"/>
              <w:left w:val="nil"/>
              <w:bottom w:val="single" w:sz="4" w:space="0" w:color="F79646"/>
              <w:right w:val="nil"/>
            </w:tcBorders>
            <w:shd w:val="clear" w:color="auto" w:fill="auto"/>
            <w:vAlign w:val="center"/>
          </w:tcPr>
          <w:p w14:paraId="2E02B437" w14:textId="7CFEEA81" w:rsidR="0096575F" w:rsidRPr="00E20D21" w:rsidRDefault="009E2617" w:rsidP="0096575F">
            <w:pPr>
              <w:ind w:right="156"/>
              <w:jc w:val="right"/>
              <w:rPr>
                <w:rFonts w:ascii="CAIXA Std Book" w:hAnsi="CAIXA Std Book" w:cs="Symbol"/>
                <w:b/>
                <w:color w:val="005CA9"/>
                <w:sz w:val="18"/>
                <w:szCs w:val="18"/>
              </w:rPr>
            </w:pPr>
            <w:r w:rsidRPr="00E20D21">
              <w:rPr>
                <w:rFonts w:ascii="CAIXA Std Book" w:hAnsi="CAIXA Std Book" w:cs="Calibri"/>
                <w:b/>
                <w:bCs/>
                <w:color w:val="005CA9"/>
                <w:sz w:val="16"/>
                <w:szCs w:val="16"/>
              </w:rPr>
              <w:t>2.989</w:t>
            </w:r>
          </w:p>
        </w:tc>
        <w:tc>
          <w:tcPr>
            <w:tcW w:w="388" w:type="pct"/>
            <w:tcBorders>
              <w:top w:val="single" w:sz="4" w:space="0" w:color="F68F00"/>
              <w:left w:val="nil"/>
              <w:bottom w:val="single" w:sz="4" w:space="0" w:color="F79646"/>
              <w:right w:val="nil"/>
            </w:tcBorders>
            <w:shd w:val="clear" w:color="auto" w:fill="auto"/>
            <w:vAlign w:val="center"/>
          </w:tcPr>
          <w:p w14:paraId="38C85B27" w14:textId="2CD5D5A2" w:rsidR="0096575F" w:rsidRPr="00E20D21" w:rsidRDefault="0096575F" w:rsidP="0096575F">
            <w:pPr>
              <w:ind w:right="177"/>
              <w:jc w:val="right"/>
              <w:rPr>
                <w:rFonts w:ascii="CAIXA Std Book" w:hAnsi="CAIXA Std Book" w:cs="Symbol"/>
                <w:b/>
                <w:color w:val="005CA9"/>
                <w:sz w:val="18"/>
                <w:szCs w:val="18"/>
              </w:rPr>
            </w:pPr>
            <w:r w:rsidRPr="00E20D21">
              <w:rPr>
                <w:rFonts w:ascii="CAIXA Std Book" w:hAnsi="CAIXA Std Book" w:cs="Calibri"/>
                <w:b/>
                <w:color w:val="005CA9"/>
                <w:sz w:val="16"/>
                <w:szCs w:val="16"/>
              </w:rPr>
              <w:t>3.723</w:t>
            </w:r>
          </w:p>
        </w:tc>
      </w:tr>
    </w:tbl>
    <w:p w14:paraId="1A69766E" w14:textId="77777777" w:rsidR="003834D8" w:rsidRPr="00E20D21" w:rsidRDefault="003834D8" w:rsidP="003834D8">
      <w:pPr>
        <w:spacing w:before="120"/>
        <w:rPr>
          <w:rFonts w:ascii="CAIXA Std Book" w:hAnsi="CAIXA Std Book"/>
          <w:color w:val="005CA9"/>
          <w:sz w:val="16"/>
          <w:szCs w:val="16"/>
        </w:rPr>
      </w:pPr>
      <w:r w:rsidRPr="00E20D21">
        <w:rPr>
          <w:rFonts w:ascii="CAIXA Std Book" w:hAnsi="CAIXA Std Book"/>
          <w:color w:val="005CA9"/>
          <w:sz w:val="16"/>
          <w:szCs w:val="16"/>
        </w:rPr>
        <w:t>A FUNCEF não possui em seus ativos, instrumentos financeiros de emissão da CAIXA (CPC33 (R1), item 143).</w:t>
      </w:r>
    </w:p>
    <w:p w14:paraId="5AF11E5F" w14:textId="77777777" w:rsidR="003834D8" w:rsidRPr="00E20D21" w:rsidRDefault="003834D8" w:rsidP="003834D8">
      <w:pPr>
        <w:rPr>
          <w:rFonts w:ascii="CAIXA Std Book" w:hAnsi="CAIXA Std Book"/>
          <w:b/>
          <w:color w:val="005CA9"/>
          <w:sz w:val="20"/>
          <w:szCs w:val="20"/>
        </w:rPr>
      </w:pPr>
      <w:r w:rsidRPr="00E20D21">
        <w:rPr>
          <w:rFonts w:ascii="CAIXA Std Book" w:hAnsi="CAIXA Std Book"/>
          <w:b/>
          <w:color w:val="005CA9"/>
          <w:sz w:val="20"/>
          <w:szCs w:val="20"/>
        </w:rPr>
        <w:br w:type="page"/>
      </w:r>
    </w:p>
    <w:p w14:paraId="6F26F621" w14:textId="77777777" w:rsidR="003834D8" w:rsidRPr="00E20D21" w:rsidRDefault="003834D8" w:rsidP="003834D8">
      <w:pPr>
        <w:autoSpaceDE w:val="0"/>
        <w:autoSpaceDN w:val="0"/>
        <w:adjustRightInd w:val="0"/>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(i.13)</w:t>
      </w:r>
      <w:r w:rsidRPr="00E20D21">
        <w:rPr>
          <w:rFonts w:ascii="CAIXA Std Book" w:hAnsi="CAIXA Std Book"/>
          <w:b/>
          <w:color w:val="005CA9"/>
          <w:sz w:val="20"/>
          <w:szCs w:val="20"/>
        </w:rPr>
        <w:tab/>
        <w:t>(Despesas)/ Receitas e Pagamentos esperados para o próximo semestre</w:t>
      </w:r>
    </w:p>
    <w:tbl>
      <w:tblPr>
        <w:tblW w:w="5000" w:type="pct"/>
        <w:tblCellMar>
          <w:left w:w="70" w:type="dxa"/>
          <w:right w:w="70" w:type="dxa"/>
        </w:tblCellMar>
        <w:tblLook w:val="04A0" w:firstRow="1" w:lastRow="0" w:firstColumn="1" w:lastColumn="0" w:noHBand="0" w:noVBand="1"/>
      </w:tblPr>
      <w:tblGrid>
        <w:gridCol w:w="6673"/>
        <w:gridCol w:w="1334"/>
        <w:gridCol w:w="1338"/>
        <w:gridCol w:w="1341"/>
        <w:gridCol w:w="1343"/>
        <w:gridCol w:w="1341"/>
        <w:gridCol w:w="1201"/>
      </w:tblGrid>
      <w:tr w:rsidR="00A47C19" w:rsidRPr="00E20D21" w14:paraId="2C10CCB0" w14:textId="77777777" w:rsidTr="00C11FCD">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44BD451A" w14:textId="3629D72E"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INDIVIDUAL</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CONSOLIDADO</w:t>
            </w:r>
          </w:p>
        </w:tc>
      </w:tr>
      <w:tr w:rsidR="00A47C19" w:rsidRPr="00E20D21" w14:paraId="7F11206F" w14:textId="77777777" w:rsidTr="00C11FCD">
        <w:trPr>
          <w:trHeight w:val="283"/>
        </w:trPr>
        <w:tc>
          <w:tcPr>
            <w:tcW w:w="5000" w:type="pct"/>
            <w:gridSpan w:val="7"/>
            <w:tcBorders>
              <w:top w:val="single" w:sz="4" w:space="0" w:color="F68F00"/>
              <w:left w:val="nil"/>
              <w:bottom w:val="single" w:sz="4" w:space="0" w:color="F68F00"/>
              <w:right w:val="nil"/>
            </w:tcBorders>
            <w:shd w:val="clear" w:color="auto" w:fill="auto"/>
            <w:vAlign w:val="center"/>
            <w:hideMark/>
          </w:tcPr>
          <w:p w14:paraId="1B895867"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(Despesa) / Receita esperada – CPC 33 (R1)</w:t>
            </w:r>
          </w:p>
        </w:tc>
      </w:tr>
      <w:tr w:rsidR="00A47C19" w:rsidRPr="00E20D21" w14:paraId="65F5537C" w14:textId="77777777" w:rsidTr="00C11FCD">
        <w:trPr>
          <w:trHeight w:val="283"/>
        </w:trPr>
        <w:tc>
          <w:tcPr>
            <w:tcW w:w="2290" w:type="pct"/>
            <w:vMerge w:val="restart"/>
            <w:tcBorders>
              <w:top w:val="nil"/>
              <w:left w:val="nil"/>
              <w:bottom w:val="single" w:sz="4" w:space="0" w:color="F68F00"/>
              <w:right w:val="nil"/>
            </w:tcBorders>
            <w:shd w:val="clear" w:color="auto" w:fill="auto"/>
            <w:vAlign w:val="center"/>
            <w:hideMark/>
          </w:tcPr>
          <w:p w14:paraId="4F164B4B"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Descrição</w:t>
            </w:r>
          </w:p>
        </w:tc>
        <w:tc>
          <w:tcPr>
            <w:tcW w:w="458" w:type="pct"/>
            <w:tcBorders>
              <w:top w:val="nil"/>
              <w:left w:val="nil"/>
              <w:bottom w:val="single" w:sz="4" w:space="0" w:color="F68F00"/>
              <w:right w:val="nil"/>
            </w:tcBorders>
            <w:shd w:val="clear" w:color="auto" w:fill="auto"/>
            <w:vAlign w:val="center"/>
            <w:hideMark/>
          </w:tcPr>
          <w:p w14:paraId="25535796"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Saúde CAIXA</w:t>
            </w:r>
          </w:p>
        </w:tc>
        <w:tc>
          <w:tcPr>
            <w:tcW w:w="459" w:type="pct"/>
            <w:tcBorders>
              <w:top w:val="nil"/>
              <w:left w:val="nil"/>
              <w:bottom w:val="single" w:sz="4" w:space="0" w:color="F68F00"/>
              <w:right w:val="nil"/>
            </w:tcBorders>
            <w:shd w:val="clear" w:color="auto" w:fill="auto"/>
            <w:vAlign w:val="center"/>
            <w:hideMark/>
          </w:tcPr>
          <w:p w14:paraId="0953D915"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Auxílio/Cesta-alimentação</w:t>
            </w:r>
          </w:p>
        </w:tc>
        <w:tc>
          <w:tcPr>
            <w:tcW w:w="460" w:type="pct"/>
            <w:tcBorders>
              <w:top w:val="nil"/>
              <w:left w:val="nil"/>
              <w:bottom w:val="single" w:sz="4" w:space="0" w:color="F68F00"/>
              <w:right w:val="nil"/>
            </w:tcBorders>
            <w:shd w:val="clear" w:color="auto" w:fill="auto"/>
            <w:vAlign w:val="center"/>
            <w:hideMark/>
          </w:tcPr>
          <w:p w14:paraId="70BBA7F5"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Saldado</w:t>
            </w:r>
          </w:p>
        </w:tc>
        <w:tc>
          <w:tcPr>
            <w:tcW w:w="461" w:type="pct"/>
            <w:tcBorders>
              <w:top w:val="nil"/>
              <w:left w:val="nil"/>
              <w:bottom w:val="single" w:sz="4" w:space="0" w:color="F68F00"/>
              <w:right w:val="nil"/>
            </w:tcBorders>
            <w:shd w:val="clear" w:color="auto" w:fill="auto"/>
            <w:vAlign w:val="center"/>
            <w:hideMark/>
          </w:tcPr>
          <w:p w14:paraId="6A275E15"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Não saldado</w:t>
            </w:r>
          </w:p>
        </w:tc>
        <w:tc>
          <w:tcPr>
            <w:tcW w:w="460" w:type="pct"/>
            <w:tcBorders>
              <w:top w:val="nil"/>
              <w:left w:val="nil"/>
              <w:bottom w:val="single" w:sz="4" w:space="0" w:color="F68F00"/>
              <w:right w:val="nil"/>
            </w:tcBorders>
            <w:shd w:val="clear" w:color="auto" w:fill="auto"/>
            <w:vAlign w:val="center"/>
            <w:hideMark/>
          </w:tcPr>
          <w:p w14:paraId="0351440B"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REB</w:t>
            </w:r>
          </w:p>
        </w:tc>
        <w:tc>
          <w:tcPr>
            <w:tcW w:w="412" w:type="pct"/>
            <w:tcBorders>
              <w:top w:val="nil"/>
              <w:left w:val="nil"/>
              <w:bottom w:val="single" w:sz="4" w:space="0" w:color="F68F00"/>
              <w:right w:val="nil"/>
            </w:tcBorders>
            <w:shd w:val="clear" w:color="auto" w:fill="auto"/>
            <w:vAlign w:val="center"/>
            <w:hideMark/>
          </w:tcPr>
          <w:p w14:paraId="5FAC0980"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Novo Plano</w:t>
            </w:r>
          </w:p>
        </w:tc>
      </w:tr>
      <w:tr w:rsidR="0096575F" w:rsidRPr="00E20D21" w14:paraId="445ECAF4" w14:textId="77777777" w:rsidTr="00C11FCD">
        <w:trPr>
          <w:trHeight w:val="283"/>
        </w:trPr>
        <w:tc>
          <w:tcPr>
            <w:tcW w:w="2290" w:type="pct"/>
            <w:vMerge/>
            <w:tcBorders>
              <w:top w:val="nil"/>
              <w:left w:val="nil"/>
              <w:bottom w:val="single" w:sz="4" w:space="0" w:color="F68F00"/>
              <w:right w:val="nil"/>
            </w:tcBorders>
            <w:vAlign w:val="center"/>
            <w:hideMark/>
          </w:tcPr>
          <w:p w14:paraId="0F90A0AE" w14:textId="77777777" w:rsidR="0096575F" w:rsidRPr="00E20D21" w:rsidRDefault="0096575F" w:rsidP="0096575F">
            <w:pPr>
              <w:rPr>
                <w:rFonts w:ascii="CAIXA Std Book" w:hAnsi="CAIXA Std Book" w:cs="Symbol"/>
                <w:b/>
                <w:color w:val="005CA9"/>
                <w:sz w:val="18"/>
                <w:szCs w:val="18"/>
              </w:rPr>
            </w:pPr>
          </w:p>
        </w:tc>
        <w:tc>
          <w:tcPr>
            <w:tcW w:w="458" w:type="pct"/>
            <w:tcBorders>
              <w:top w:val="nil"/>
              <w:left w:val="nil"/>
              <w:bottom w:val="single" w:sz="4" w:space="0" w:color="F68F00"/>
              <w:right w:val="nil"/>
            </w:tcBorders>
            <w:shd w:val="clear" w:color="auto" w:fill="auto"/>
            <w:vAlign w:val="center"/>
            <w:hideMark/>
          </w:tcPr>
          <w:p w14:paraId="3A70E484" w14:textId="3F211264"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59" w:type="pct"/>
            <w:tcBorders>
              <w:top w:val="nil"/>
              <w:left w:val="nil"/>
              <w:bottom w:val="single" w:sz="4" w:space="0" w:color="F68F00"/>
              <w:right w:val="nil"/>
            </w:tcBorders>
            <w:shd w:val="clear" w:color="auto" w:fill="auto"/>
            <w:hideMark/>
          </w:tcPr>
          <w:p w14:paraId="17FB635D" w14:textId="7B7E36C1"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60" w:type="pct"/>
            <w:tcBorders>
              <w:top w:val="nil"/>
              <w:left w:val="nil"/>
              <w:bottom w:val="single" w:sz="4" w:space="0" w:color="F68F00"/>
              <w:right w:val="nil"/>
            </w:tcBorders>
            <w:shd w:val="clear" w:color="auto" w:fill="auto"/>
            <w:hideMark/>
          </w:tcPr>
          <w:p w14:paraId="221F9E3C" w14:textId="1DEDD2CC"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61" w:type="pct"/>
            <w:tcBorders>
              <w:top w:val="nil"/>
              <w:left w:val="nil"/>
              <w:bottom w:val="single" w:sz="4" w:space="0" w:color="F68F00"/>
              <w:right w:val="nil"/>
            </w:tcBorders>
            <w:shd w:val="clear" w:color="auto" w:fill="auto"/>
            <w:hideMark/>
          </w:tcPr>
          <w:p w14:paraId="32062729" w14:textId="29334FC7"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60" w:type="pct"/>
            <w:tcBorders>
              <w:top w:val="nil"/>
              <w:left w:val="nil"/>
              <w:bottom w:val="single" w:sz="4" w:space="0" w:color="F68F00"/>
              <w:right w:val="nil"/>
            </w:tcBorders>
            <w:shd w:val="clear" w:color="auto" w:fill="auto"/>
            <w:hideMark/>
          </w:tcPr>
          <w:p w14:paraId="31190EB0" w14:textId="762481A8"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12" w:type="pct"/>
            <w:tcBorders>
              <w:top w:val="nil"/>
              <w:left w:val="nil"/>
              <w:bottom w:val="single" w:sz="4" w:space="0" w:color="F68F00"/>
              <w:right w:val="nil"/>
            </w:tcBorders>
            <w:shd w:val="clear" w:color="auto" w:fill="auto"/>
            <w:hideMark/>
          </w:tcPr>
          <w:p w14:paraId="295531A8" w14:textId="15DC24E4"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r>
      <w:tr w:rsidR="00A47C19" w:rsidRPr="00E20D21" w14:paraId="46CA59CE" w14:textId="77777777" w:rsidTr="00C11FCD">
        <w:trPr>
          <w:trHeight w:val="283"/>
        </w:trPr>
        <w:tc>
          <w:tcPr>
            <w:tcW w:w="2290" w:type="pct"/>
            <w:tcBorders>
              <w:top w:val="nil"/>
              <w:left w:val="nil"/>
              <w:bottom w:val="nil"/>
              <w:right w:val="nil"/>
            </w:tcBorders>
            <w:shd w:val="clear" w:color="auto" w:fill="auto"/>
            <w:vAlign w:val="center"/>
            <w:hideMark/>
          </w:tcPr>
          <w:p w14:paraId="039CD314" w14:textId="77777777" w:rsidR="003834D8" w:rsidRPr="00E20D21" w:rsidRDefault="003834D8" w:rsidP="00A01778">
            <w:pPr>
              <w:rPr>
                <w:rFonts w:ascii="CAIXA Std Book" w:hAnsi="CAIXA Std Book" w:cs="Symbol"/>
                <w:color w:val="005CA9"/>
                <w:sz w:val="18"/>
                <w:szCs w:val="18"/>
              </w:rPr>
            </w:pPr>
            <w:r w:rsidRPr="00E20D21">
              <w:rPr>
                <w:rFonts w:ascii="CAIXA Std Book" w:hAnsi="CAIXA Std Book" w:cs="Symbol"/>
                <w:color w:val="005CA9"/>
                <w:sz w:val="18"/>
                <w:szCs w:val="18"/>
              </w:rPr>
              <w:t>Custo do serviço corrente</w:t>
            </w:r>
          </w:p>
        </w:tc>
        <w:tc>
          <w:tcPr>
            <w:tcW w:w="458" w:type="pct"/>
            <w:tcBorders>
              <w:top w:val="nil"/>
              <w:left w:val="nil"/>
              <w:bottom w:val="nil"/>
              <w:right w:val="nil"/>
            </w:tcBorders>
            <w:shd w:val="clear" w:color="auto" w:fill="auto"/>
            <w:vAlign w:val="center"/>
          </w:tcPr>
          <w:p w14:paraId="325A50FA" w14:textId="0E770609"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(109.619)</w:t>
            </w:r>
          </w:p>
        </w:tc>
        <w:tc>
          <w:tcPr>
            <w:tcW w:w="459" w:type="pct"/>
            <w:tcBorders>
              <w:top w:val="nil"/>
              <w:left w:val="nil"/>
              <w:bottom w:val="nil"/>
              <w:right w:val="nil"/>
            </w:tcBorders>
            <w:shd w:val="clear" w:color="auto" w:fill="auto"/>
            <w:vAlign w:val="center"/>
          </w:tcPr>
          <w:p w14:paraId="4DE14ED3" w14:textId="3918CCA1"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5799E3D8" w14:textId="4B5C6A53"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61" w:type="pct"/>
            <w:tcBorders>
              <w:top w:val="nil"/>
              <w:left w:val="nil"/>
              <w:bottom w:val="nil"/>
              <w:right w:val="nil"/>
            </w:tcBorders>
            <w:shd w:val="clear" w:color="auto" w:fill="auto"/>
            <w:vAlign w:val="center"/>
          </w:tcPr>
          <w:p w14:paraId="45C6C496" w14:textId="327C44C1"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757096A4" w14:textId="47E8F3C4"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12" w:type="pct"/>
            <w:tcBorders>
              <w:top w:val="nil"/>
              <w:left w:val="nil"/>
              <w:bottom w:val="nil"/>
              <w:right w:val="nil"/>
            </w:tcBorders>
            <w:shd w:val="clear" w:color="auto" w:fill="auto"/>
            <w:vAlign w:val="center"/>
          </w:tcPr>
          <w:p w14:paraId="7B4FFDD9" w14:textId="79FB50C1"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36.202</w:t>
            </w:r>
          </w:p>
        </w:tc>
      </w:tr>
      <w:tr w:rsidR="00A47C19" w:rsidRPr="00E20D21" w14:paraId="39B84C37" w14:textId="77777777" w:rsidTr="00C11FCD">
        <w:trPr>
          <w:trHeight w:val="283"/>
        </w:trPr>
        <w:tc>
          <w:tcPr>
            <w:tcW w:w="2290" w:type="pct"/>
            <w:tcBorders>
              <w:top w:val="nil"/>
              <w:left w:val="nil"/>
              <w:bottom w:val="nil"/>
              <w:right w:val="nil"/>
            </w:tcBorders>
            <w:shd w:val="clear" w:color="auto" w:fill="auto"/>
            <w:vAlign w:val="center"/>
            <w:hideMark/>
          </w:tcPr>
          <w:p w14:paraId="5BE403EF" w14:textId="77777777" w:rsidR="003834D8" w:rsidRPr="00E20D21" w:rsidRDefault="003834D8" w:rsidP="00A01778">
            <w:pPr>
              <w:rPr>
                <w:rFonts w:ascii="CAIXA Std Book" w:hAnsi="CAIXA Std Book" w:cs="Symbol"/>
                <w:color w:val="005CA9"/>
                <w:sz w:val="18"/>
                <w:szCs w:val="18"/>
              </w:rPr>
            </w:pPr>
            <w:r w:rsidRPr="00E20D21">
              <w:rPr>
                <w:rFonts w:ascii="CAIXA Std Book" w:hAnsi="CAIXA Std Book" w:cs="Symbol"/>
                <w:color w:val="005CA9"/>
                <w:sz w:val="18"/>
                <w:szCs w:val="18"/>
              </w:rPr>
              <w:t>Custo de juros sobre o VPO</w:t>
            </w:r>
          </w:p>
        </w:tc>
        <w:tc>
          <w:tcPr>
            <w:tcW w:w="458" w:type="pct"/>
            <w:tcBorders>
              <w:top w:val="nil"/>
              <w:left w:val="nil"/>
              <w:bottom w:val="nil"/>
              <w:right w:val="nil"/>
            </w:tcBorders>
            <w:shd w:val="clear" w:color="auto" w:fill="auto"/>
            <w:vAlign w:val="center"/>
          </w:tcPr>
          <w:p w14:paraId="5577C855" w14:textId="3955F5B9"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(550.044)</w:t>
            </w:r>
          </w:p>
        </w:tc>
        <w:tc>
          <w:tcPr>
            <w:tcW w:w="459" w:type="pct"/>
            <w:tcBorders>
              <w:top w:val="nil"/>
              <w:left w:val="nil"/>
              <w:bottom w:val="nil"/>
              <w:right w:val="nil"/>
            </w:tcBorders>
            <w:shd w:val="clear" w:color="auto" w:fill="auto"/>
            <w:vAlign w:val="center"/>
          </w:tcPr>
          <w:p w14:paraId="6F4D3CEB" w14:textId="31C08C8E"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(86.019)</w:t>
            </w:r>
          </w:p>
        </w:tc>
        <w:tc>
          <w:tcPr>
            <w:tcW w:w="460" w:type="pct"/>
            <w:tcBorders>
              <w:top w:val="nil"/>
              <w:left w:val="nil"/>
              <w:bottom w:val="nil"/>
              <w:right w:val="nil"/>
            </w:tcBorders>
            <w:shd w:val="clear" w:color="auto" w:fill="auto"/>
            <w:vAlign w:val="center"/>
          </w:tcPr>
          <w:p w14:paraId="0126EDA0" w14:textId="30C8493B"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3.006.251</w:t>
            </w:r>
          </w:p>
        </w:tc>
        <w:tc>
          <w:tcPr>
            <w:tcW w:w="461" w:type="pct"/>
            <w:tcBorders>
              <w:top w:val="nil"/>
              <w:left w:val="nil"/>
              <w:bottom w:val="nil"/>
              <w:right w:val="nil"/>
            </w:tcBorders>
            <w:shd w:val="clear" w:color="auto" w:fill="auto"/>
            <w:vAlign w:val="center"/>
          </w:tcPr>
          <w:p w14:paraId="4D76B61E" w14:textId="4AC9DF98"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327.353</w:t>
            </w:r>
          </w:p>
        </w:tc>
        <w:tc>
          <w:tcPr>
            <w:tcW w:w="460" w:type="pct"/>
            <w:tcBorders>
              <w:top w:val="nil"/>
              <w:left w:val="nil"/>
              <w:bottom w:val="nil"/>
              <w:right w:val="nil"/>
            </w:tcBorders>
            <w:shd w:val="clear" w:color="auto" w:fill="auto"/>
            <w:vAlign w:val="center"/>
          </w:tcPr>
          <w:p w14:paraId="5E357012" w14:textId="660C2DF8"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34.532</w:t>
            </w:r>
          </w:p>
        </w:tc>
        <w:tc>
          <w:tcPr>
            <w:tcW w:w="412" w:type="pct"/>
            <w:tcBorders>
              <w:top w:val="nil"/>
              <w:left w:val="nil"/>
              <w:bottom w:val="nil"/>
              <w:right w:val="nil"/>
            </w:tcBorders>
            <w:shd w:val="clear" w:color="auto" w:fill="auto"/>
            <w:vAlign w:val="center"/>
          </w:tcPr>
          <w:p w14:paraId="4319394E" w14:textId="1CF43C31"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221.168</w:t>
            </w:r>
          </w:p>
        </w:tc>
      </w:tr>
      <w:tr w:rsidR="00A47C19" w:rsidRPr="00E20D21" w14:paraId="7167EB73" w14:textId="77777777" w:rsidTr="00C11FCD">
        <w:trPr>
          <w:trHeight w:val="283"/>
        </w:trPr>
        <w:tc>
          <w:tcPr>
            <w:tcW w:w="2290" w:type="pct"/>
            <w:tcBorders>
              <w:top w:val="nil"/>
              <w:left w:val="nil"/>
              <w:bottom w:val="nil"/>
              <w:right w:val="nil"/>
            </w:tcBorders>
            <w:shd w:val="clear" w:color="auto" w:fill="auto"/>
            <w:vAlign w:val="center"/>
            <w:hideMark/>
          </w:tcPr>
          <w:p w14:paraId="6E509C84" w14:textId="77777777" w:rsidR="003834D8" w:rsidRPr="00E20D21" w:rsidRDefault="003834D8" w:rsidP="00A01778">
            <w:pPr>
              <w:rPr>
                <w:rFonts w:ascii="CAIXA Std Book" w:hAnsi="CAIXA Std Book" w:cs="Symbol"/>
                <w:color w:val="005CA9"/>
                <w:sz w:val="18"/>
                <w:szCs w:val="18"/>
              </w:rPr>
            </w:pPr>
            <w:r w:rsidRPr="00E20D21">
              <w:rPr>
                <w:rFonts w:ascii="CAIXA Std Book" w:hAnsi="CAIXA Std Book" w:cs="Symbol"/>
                <w:color w:val="005CA9"/>
                <w:sz w:val="18"/>
                <w:szCs w:val="18"/>
              </w:rPr>
              <w:t>Receita de juros sobre os ativos do plano</w:t>
            </w:r>
          </w:p>
        </w:tc>
        <w:tc>
          <w:tcPr>
            <w:tcW w:w="458" w:type="pct"/>
            <w:tcBorders>
              <w:top w:val="nil"/>
              <w:left w:val="nil"/>
              <w:bottom w:val="nil"/>
              <w:right w:val="nil"/>
            </w:tcBorders>
            <w:shd w:val="clear" w:color="auto" w:fill="auto"/>
            <w:vAlign w:val="center"/>
          </w:tcPr>
          <w:p w14:paraId="2591592F" w14:textId="3C3B8304"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59" w:type="pct"/>
            <w:tcBorders>
              <w:top w:val="nil"/>
              <w:left w:val="nil"/>
              <w:bottom w:val="nil"/>
              <w:right w:val="nil"/>
            </w:tcBorders>
            <w:shd w:val="clear" w:color="auto" w:fill="auto"/>
            <w:vAlign w:val="center"/>
          </w:tcPr>
          <w:p w14:paraId="541722D6" w14:textId="646F7D13"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16A03F84" w14:textId="241E1F0A" w:rsidR="003834D8" w:rsidRPr="00E20D21" w:rsidRDefault="003834D8"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(2.</w:t>
            </w:r>
            <w:r w:rsidR="00817479" w:rsidRPr="00E20D21">
              <w:rPr>
                <w:rFonts w:ascii="CAIXA Std Book" w:hAnsi="CAIXA Std Book" w:cs="Calibri"/>
                <w:color w:val="005CA9"/>
                <w:sz w:val="16"/>
                <w:szCs w:val="16"/>
              </w:rPr>
              <w:t>267.723</w:t>
            </w:r>
            <w:r w:rsidRPr="00E20D21">
              <w:rPr>
                <w:rFonts w:ascii="CAIXA Std Book" w:hAnsi="CAIXA Std Book" w:cs="Calibri"/>
                <w:color w:val="005CA9"/>
                <w:sz w:val="16"/>
                <w:szCs w:val="16"/>
              </w:rPr>
              <w:t>)</w:t>
            </w:r>
          </w:p>
        </w:tc>
        <w:tc>
          <w:tcPr>
            <w:tcW w:w="461" w:type="pct"/>
            <w:tcBorders>
              <w:top w:val="nil"/>
              <w:left w:val="nil"/>
              <w:bottom w:val="nil"/>
              <w:right w:val="nil"/>
            </w:tcBorders>
            <w:shd w:val="clear" w:color="auto" w:fill="auto"/>
            <w:vAlign w:val="center"/>
          </w:tcPr>
          <w:p w14:paraId="1CB16147" w14:textId="32999402"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(298.395)</w:t>
            </w:r>
          </w:p>
        </w:tc>
        <w:tc>
          <w:tcPr>
            <w:tcW w:w="460" w:type="pct"/>
            <w:tcBorders>
              <w:top w:val="nil"/>
              <w:left w:val="nil"/>
              <w:bottom w:val="nil"/>
              <w:right w:val="nil"/>
            </w:tcBorders>
            <w:shd w:val="clear" w:color="auto" w:fill="auto"/>
            <w:vAlign w:val="center"/>
          </w:tcPr>
          <w:p w14:paraId="5BEDAEB8" w14:textId="48CFCE3E"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(36.642)</w:t>
            </w:r>
          </w:p>
        </w:tc>
        <w:tc>
          <w:tcPr>
            <w:tcW w:w="412" w:type="pct"/>
            <w:tcBorders>
              <w:top w:val="nil"/>
              <w:left w:val="nil"/>
              <w:bottom w:val="nil"/>
              <w:right w:val="nil"/>
            </w:tcBorders>
            <w:shd w:val="clear" w:color="auto" w:fill="auto"/>
            <w:vAlign w:val="center"/>
          </w:tcPr>
          <w:p w14:paraId="48549F16" w14:textId="6727FF3B"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(125.040)</w:t>
            </w:r>
          </w:p>
        </w:tc>
      </w:tr>
      <w:tr w:rsidR="00A47C19" w:rsidRPr="00E20D21" w14:paraId="79AD1575" w14:textId="77777777" w:rsidTr="00C11FCD">
        <w:trPr>
          <w:trHeight w:val="283"/>
        </w:trPr>
        <w:tc>
          <w:tcPr>
            <w:tcW w:w="2290" w:type="pct"/>
            <w:tcBorders>
              <w:top w:val="nil"/>
              <w:left w:val="nil"/>
              <w:bottom w:val="nil"/>
              <w:right w:val="nil"/>
            </w:tcBorders>
            <w:shd w:val="clear" w:color="auto" w:fill="auto"/>
            <w:vAlign w:val="center"/>
            <w:hideMark/>
          </w:tcPr>
          <w:p w14:paraId="3AC0A086" w14:textId="77777777" w:rsidR="003834D8" w:rsidRPr="00E20D21" w:rsidRDefault="003834D8" w:rsidP="00A01778">
            <w:pPr>
              <w:rPr>
                <w:rFonts w:ascii="CAIXA Std Book" w:hAnsi="CAIXA Std Book" w:cs="Symbol"/>
                <w:color w:val="005CA9"/>
                <w:sz w:val="18"/>
                <w:szCs w:val="18"/>
              </w:rPr>
            </w:pPr>
            <w:r w:rsidRPr="00E20D21">
              <w:rPr>
                <w:rFonts w:ascii="CAIXA Std Book" w:hAnsi="CAIXA Std Book" w:cs="Symbol"/>
                <w:color w:val="005CA9"/>
                <w:sz w:val="18"/>
                <w:szCs w:val="18"/>
              </w:rPr>
              <w:t>Juros sobre o teto do ativo</w:t>
            </w:r>
          </w:p>
        </w:tc>
        <w:tc>
          <w:tcPr>
            <w:tcW w:w="458" w:type="pct"/>
            <w:tcBorders>
              <w:top w:val="nil"/>
              <w:left w:val="nil"/>
              <w:bottom w:val="nil"/>
              <w:right w:val="nil"/>
            </w:tcBorders>
            <w:shd w:val="clear" w:color="auto" w:fill="auto"/>
            <w:vAlign w:val="center"/>
          </w:tcPr>
          <w:p w14:paraId="0ADB175D" w14:textId="7452ABC9"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59" w:type="pct"/>
            <w:tcBorders>
              <w:top w:val="nil"/>
              <w:left w:val="nil"/>
              <w:bottom w:val="nil"/>
              <w:right w:val="nil"/>
            </w:tcBorders>
            <w:shd w:val="clear" w:color="auto" w:fill="auto"/>
            <w:vAlign w:val="center"/>
          </w:tcPr>
          <w:p w14:paraId="121C06BB" w14:textId="4EA9CEAF"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583AF366" w14:textId="17023F43"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61" w:type="pct"/>
            <w:tcBorders>
              <w:top w:val="nil"/>
              <w:left w:val="nil"/>
              <w:bottom w:val="nil"/>
              <w:right w:val="nil"/>
            </w:tcBorders>
            <w:shd w:val="clear" w:color="auto" w:fill="auto"/>
            <w:vAlign w:val="center"/>
          </w:tcPr>
          <w:p w14:paraId="6898641F" w14:textId="0CF9E125"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3945F1D2" w14:textId="30059B89" w:rsidR="003834D8" w:rsidRPr="00E20D21" w:rsidRDefault="00817479" w:rsidP="00817479">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2.110</w:t>
            </w:r>
          </w:p>
        </w:tc>
        <w:tc>
          <w:tcPr>
            <w:tcW w:w="412" w:type="pct"/>
            <w:tcBorders>
              <w:top w:val="nil"/>
              <w:left w:val="nil"/>
              <w:bottom w:val="nil"/>
              <w:right w:val="nil"/>
            </w:tcBorders>
            <w:shd w:val="clear" w:color="auto" w:fill="auto"/>
            <w:vAlign w:val="center"/>
          </w:tcPr>
          <w:p w14:paraId="4B5AE918" w14:textId="66DC49B7" w:rsidR="003834D8" w:rsidRPr="00E20D21" w:rsidRDefault="003834D8" w:rsidP="00C11FCD">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r>
      <w:tr w:rsidR="00A47C19" w:rsidRPr="00E20D21" w14:paraId="4620222D" w14:textId="77777777" w:rsidTr="00C11FCD">
        <w:trPr>
          <w:trHeight w:val="283"/>
        </w:trPr>
        <w:tc>
          <w:tcPr>
            <w:tcW w:w="2290" w:type="pct"/>
            <w:tcBorders>
              <w:top w:val="nil"/>
              <w:left w:val="nil"/>
              <w:bottom w:val="nil"/>
              <w:right w:val="nil"/>
            </w:tcBorders>
            <w:shd w:val="clear" w:color="auto" w:fill="auto"/>
            <w:vAlign w:val="center"/>
            <w:hideMark/>
          </w:tcPr>
          <w:p w14:paraId="001D1E3F" w14:textId="77777777" w:rsidR="003834D8" w:rsidRPr="00E20D21" w:rsidRDefault="003834D8" w:rsidP="00A01778">
            <w:pPr>
              <w:rPr>
                <w:rFonts w:ascii="CAIXA Std Book" w:hAnsi="CAIXA Std Book" w:cs="Symbol"/>
                <w:color w:val="005CA9"/>
                <w:sz w:val="18"/>
                <w:szCs w:val="18"/>
              </w:rPr>
            </w:pPr>
            <w:r w:rsidRPr="00E20D21">
              <w:rPr>
                <w:rFonts w:ascii="CAIXA Std Book" w:hAnsi="CAIXA Std Book" w:cs="Symbol"/>
                <w:color w:val="005CA9"/>
                <w:sz w:val="18"/>
                <w:szCs w:val="18"/>
              </w:rPr>
              <w:t xml:space="preserve">Juros sobre o efeito do </w:t>
            </w:r>
            <w:r w:rsidRPr="00E20D21">
              <w:rPr>
                <w:rFonts w:ascii="CAIXA Std Book" w:hAnsi="CAIXA Std Book" w:cs="Symbol"/>
                <w:i/>
                <w:color w:val="005CA9"/>
                <w:sz w:val="18"/>
                <w:szCs w:val="18"/>
              </w:rPr>
              <w:t xml:space="preserve">Risk </w:t>
            </w:r>
            <w:proofErr w:type="spellStart"/>
            <w:r w:rsidRPr="00E20D21">
              <w:rPr>
                <w:rFonts w:ascii="CAIXA Std Book" w:hAnsi="CAIXA Std Book" w:cs="Symbol"/>
                <w:i/>
                <w:color w:val="005CA9"/>
                <w:sz w:val="18"/>
                <w:szCs w:val="18"/>
              </w:rPr>
              <w:t>Sharing</w:t>
            </w:r>
            <w:proofErr w:type="spellEnd"/>
          </w:p>
        </w:tc>
        <w:tc>
          <w:tcPr>
            <w:tcW w:w="458" w:type="pct"/>
            <w:tcBorders>
              <w:top w:val="nil"/>
              <w:left w:val="nil"/>
              <w:bottom w:val="nil"/>
              <w:right w:val="nil"/>
            </w:tcBorders>
            <w:shd w:val="clear" w:color="auto" w:fill="auto"/>
            <w:vAlign w:val="center"/>
          </w:tcPr>
          <w:p w14:paraId="781E0A5C" w14:textId="4F9CB317"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59" w:type="pct"/>
            <w:tcBorders>
              <w:top w:val="nil"/>
              <w:left w:val="nil"/>
              <w:bottom w:val="nil"/>
              <w:right w:val="nil"/>
            </w:tcBorders>
            <w:shd w:val="clear" w:color="auto" w:fill="auto"/>
            <w:vAlign w:val="center"/>
          </w:tcPr>
          <w:p w14:paraId="33806376" w14:textId="19B11FC3"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5F746747" w14:textId="3B1C3EAD"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(369.264)</w:t>
            </w:r>
          </w:p>
        </w:tc>
        <w:tc>
          <w:tcPr>
            <w:tcW w:w="461" w:type="pct"/>
            <w:tcBorders>
              <w:top w:val="nil"/>
              <w:left w:val="nil"/>
              <w:bottom w:val="nil"/>
              <w:right w:val="nil"/>
            </w:tcBorders>
            <w:shd w:val="clear" w:color="auto" w:fill="auto"/>
            <w:vAlign w:val="center"/>
          </w:tcPr>
          <w:p w14:paraId="0FAAFE97" w14:textId="459D4D96"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(14.479)</w:t>
            </w:r>
          </w:p>
        </w:tc>
        <w:tc>
          <w:tcPr>
            <w:tcW w:w="460" w:type="pct"/>
            <w:tcBorders>
              <w:top w:val="nil"/>
              <w:left w:val="nil"/>
              <w:bottom w:val="nil"/>
              <w:right w:val="nil"/>
            </w:tcBorders>
            <w:shd w:val="clear" w:color="auto" w:fill="auto"/>
            <w:vAlign w:val="center"/>
          </w:tcPr>
          <w:p w14:paraId="2DF59AA2" w14:textId="7290A9BF" w:rsidR="003834D8" w:rsidRPr="00E20D21" w:rsidRDefault="00817479" w:rsidP="00817479">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12" w:type="pct"/>
            <w:tcBorders>
              <w:top w:val="nil"/>
              <w:left w:val="nil"/>
              <w:bottom w:val="nil"/>
              <w:right w:val="nil"/>
            </w:tcBorders>
            <w:shd w:val="clear" w:color="auto" w:fill="auto"/>
            <w:vAlign w:val="center"/>
          </w:tcPr>
          <w:p w14:paraId="423A0009" w14:textId="32CCFD79" w:rsidR="003834D8" w:rsidRPr="00E20D21" w:rsidRDefault="00817479"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(48.064)</w:t>
            </w:r>
          </w:p>
        </w:tc>
      </w:tr>
      <w:tr w:rsidR="0096575F" w:rsidRPr="00E20D21" w14:paraId="67655976" w14:textId="77777777" w:rsidTr="00C11FCD">
        <w:trPr>
          <w:trHeight w:val="283"/>
        </w:trPr>
        <w:tc>
          <w:tcPr>
            <w:tcW w:w="2290" w:type="pct"/>
            <w:tcBorders>
              <w:top w:val="single" w:sz="4" w:space="0" w:color="F68F00"/>
              <w:left w:val="nil"/>
              <w:bottom w:val="single" w:sz="4" w:space="0" w:color="F68F00"/>
              <w:right w:val="nil"/>
            </w:tcBorders>
            <w:shd w:val="clear" w:color="auto" w:fill="auto"/>
            <w:vAlign w:val="center"/>
            <w:hideMark/>
          </w:tcPr>
          <w:p w14:paraId="59CBE812" w14:textId="77777777" w:rsidR="003834D8" w:rsidRPr="00E20D21" w:rsidRDefault="003834D8" w:rsidP="00A01778">
            <w:pPr>
              <w:rPr>
                <w:rFonts w:ascii="CAIXA Std Book" w:hAnsi="CAIXA Std Book" w:cs="Symbol"/>
                <w:b/>
                <w:color w:val="005CA9"/>
                <w:sz w:val="18"/>
                <w:szCs w:val="18"/>
              </w:rPr>
            </w:pPr>
            <w:r w:rsidRPr="00E20D21">
              <w:rPr>
                <w:rFonts w:ascii="CAIXA Std Book" w:hAnsi="CAIXA Std Book" w:cs="Symbol"/>
                <w:b/>
                <w:color w:val="005CA9"/>
                <w:sz w:val="18"/>
                <w:szCs w:val="18"/>
              </w:rPr>
              <w:t>Total da (despesa)/ receita a reconhecer no próximo período</w:t>
            </w:r>
          </w:p>
        </w:tc>
        <w:tc>
          <w:tcPr>
            <w:tcW w:w="458" w:type="pct"/>
            <w:tcBorders>
              <w:top w:val="single" w:sz="4" w:space="0" w:color="F68F00"/>
              <w:left w:val="nil"/>
              <w:bottom w:val="single" w:sz="4" w:space="0" w:color="F68F00"/>
              <w:right w:val="nil"/>
            </w:tcBorders>
            <w:shd w:val="clear" w:color="auto" w:fill="auto"/>
            <w:vAlign w:val="center"/>
          </w:tcPr>
          <w:p w14:paraId="7E92DE91" w14:textId="7D24D2CF" w:rsidR="003834D8" w:rsidRPr="00E20D21" w:rsidRDefault="00817479" w:rsidP="00A01778">
            <w:pPr>
              <w:jc w:val="right"/>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(659.663)</w:t>
            </w:r>
          </w:p>
        </w:tc>
        <w:tc>
          <w:tcPr>
            <w:tcW w:w="459" w:type="pct"/>
            <w:tcBorders>
              <w:top w:val="single" w:sz="4" w:space="0" w:color="F68F00"/>
              <w:left w:val="nil"/>
              <w:bottom w:val="single" w:sz="4" w:space="0" w:color="F68F00"/>
              <w:right w:val="nil"/>
            </w:tcBorders>
            <w:shd w:val="clear" w:color="auto" w:fill="auto"/>
            <w:vAlign w:val="center"/>
          </w:tcPr>
          <w:p w14:paraId="63714D52" w14:textId="08B856D3" w:rsidR="003834D8" w:rsidRPr="00E20D21" w:rsidRDefault="00817479" w:rsidP="00A01778">
            <w:pPr>
              <w:jc w:val="right"/>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(86.019)</w:t>
            </w:r>
          </w:p>
        </w:tc>
        <w:tc>
          <w:tcPr>
            <w:tcW w:w="460" w:type="pct"/>
            <w:tcBorders>
              <w:top w:val="single" w:sz="4" w:space="0" w:color="F68F00"/>
              <w:left w:val="nil"/>
              <w:bottom w:val="single" w:sz="4" w:space="0" w:color="F68F00"/>
              <w:right w:val="nil"/>
            </w:tcBorders>
            <w:shd w:val="clear" w:color="auto" w:fill="auto"/>
            <w:vAlign w:val="center"/>
          </w:tcPr>
          <w:p w14:paraId="0CB02B51" w14:textId="2743A2AA" w:rsidR="003834D8" w:rsidRPr="00E20D21" w:rsidRDefault="00817479" w:rsidP="00A01778">
            <w:pPr>
              <w:jc w:val="right"/>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369.264</w:t>
            </w:r>
          </w:p>
        </w:tc>
        <w:tc>
          <w:tcPr>
            <w:tcW w:w="461" w:type="pct"/>
            <w:tcBorders>
              <w:top w:val="single" w:sz="4" w:space="0" w:color="F68F00"/>
              <w:left w:val="nil"/>
              <w:bottom w:val="single" w:sz="4" w:space="0" w:color="F68F00"/>
              <w:right w:val="nil"/>
            </w:tcBorders>
            <w:shd w:val="clear" w:color="auto" w:fill="auto"/>
            <w:vAlign w:val="center"/>
          </w:tcPr>
          <w:p w14:paraId="5D7A84D0" w14:textId="45EB7CB9" w:rsidR="003834D8" w:rsidRPr="00E20D21" w:rsidRDefault="00817479" w:rsidP="00A01778">
            <w:pPr>
              <w:jc w:val="right"/>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14.479</w:t>
            </w:r>
          </w:p>
        </w:tc>
        <w:tc>
          <w:tcPr>
            <w:tcW w:w="460" w:type="pct"/>
            <w:tcBorders>
              <w:top w:val="single" w:sz="4" w:space="0" w:color="F68F00"/>
              <w:left w:val="nil"/>
              <w:bottom w:val="single" w:sz="4" w:space="0" w:color="F68F00"/>
              <w:right w:val="nil"/>
            </w:tcBorders>
            <w:shd w:val="clear" w:color="auto" w:fill="auto"/>
            <w:vAlign w:val="center"/>
          </w:tcPr>
          <w:p w14:paraId="4045F6DB" w14:textId="44AC4E69" w:rsidR="003834D8" w:rsidRPr="00E20D21" w:rsidRDefault="00817479" w:rsidP="00817479">
            <w:pPr>
              <w:jc w:val="center"/>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w:t>
            </w:r>
          </w:p>
        </w:tc>
        <w:tc>
          <w:tcPr>
            <w:tcW w:w="412" w:type="pct"/>
            <w:tcBorders>
              <w:top w:val="single" w:sz="4" w:space="0" w:color="F68F00"/>
              <w:left w:val="nil"/>
              <w:bottom w:val="single" w:sz="4" w:space="0" w:color="F68F00"/>
              <w:right w:val="nil"/>
            </w:tcBorders>
            <w:shd w:val="clear" w:color="auto" w:fill="auto"/>
            <w:vAlign w:val="center"/>
          </w:tcPr>
          <w:p w14:paraId="571BFA7C" w14:textId="02D493C7" w:rsidR="003834D8" w:rsidRPr="00E20D21" w:rsidRDefault="00817479" w:rsidP="00A01778">
            <w:pPr>
              <w:jc w:val="right"/>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84.266</w:t>
            </w:r>
          </w:p>
        </w:tc>
      </w:tr>
    </w:tbl>
    <w:p w14:paraId="3625EBB8" w14:textId="77777777" w:rsidR="003834D8" w:rsidRPr="00E20D21" w:rsidRDefault="003834D8" w:rsidP="003834D8">
      <w:pPr>
        <w:rPr>
          <w:rFonts w:ascii="CAIXA Std Book" w:hAnsi="CAIXA Std Book"/>
          <w:color w:val="005CA9"/>
          <w:sz w:val="14"/>
          <w:szCs w:val="20"/>
        </w:rPr>
      </w:pPr>
    </w:p>
    <w:p w14:paraId="67D0C23D" w14:textId="77777777" w:rsidR="003834D8" w:rsidRPr="00E20D21" w:rsidRDefault="003834D8" w:rsidP="003834D8">
      <w:pPr>
        <w:rPr>
          <w:rFonts w:ascii="CAIXA Std Book" w:hAnsi="CAIXA Std Book"/>
          <w:color w:val="005CA9"/>
          <w:sz w:val="14"/>
          <w:szCs w:val="20"/>
        </w:rPr>
      </w:pPr>
    </w:p>
    <w:tbl>
      <w:tblPr>
        <w:tblW w:w="5000" w:type="pct"/>
        <w:tblCellMar>
          <w:left w:w="70" w:type="dxa"/>
          <w:right w:w="70" w:type="dxa"/>
        </w:tblCellMar>
        <w:tblLook w:val="04A0" w:firstRow="1" w:lastRow="0" w:firstColumn="1" w:lastColumn="0" w:noHBand="0" w:noVBand="1"/>
      </w:tblPr>
      <w:tblGrid>
        <w:gridCol w:w="6673"/>
        <w:gridCol w:w="1334"/>
        <w:gridCol w:w="1338"/>
        <w:gridCol w:w="1341"/>
        <w:gridCol w:w="1343"/>
        <w:gridCol w:w="1341"/>
        <w:gridCol w:w="1201"/>
      </w:tblGrid>
      <w:tr w:rsidR="00A47C19" w:rsidRPr="00E20D21" w14:paraId="1B0D8E0E" w14:textId="77777777" w:rsidTr="00C11FCD">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4EB89A8A" w14:textId="30876562"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INDIVIDUAL</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CONSOLIDADO</w:t>
            </w:r>
          </w:p>
        </w:tc>
      </w:tr>
      <w:tr w:rsidR="00A47C19" w:rsidRPr="00E20D21" w14:paraId="55F40113" w14:textId="77777777" w:rsidTr="00C11FCD">
        <w:trPr>
          <w:trHeight w:val="283"/>
        </w:trPr>
        <w:tc>
          <w:tcPr>
            <w:tcW w:w="5000" w:type="pct"/>
            <w:gridSpan w:val="7"/>
            <w:tcBorders>
              <w:top w:val="single" w:sz="4" w:space="0" w:color="F68F00"/>
              <w:left w:val="nil"/>
              <w:bottom w:val="single" w:sz="4" w:space="0" w:color="F68F00"/>
              <w:right w:val="nil"/>
            </w:tcBorders>
            <w:shd w:val="clear" w:color="auto" w:fill="auto"/>
            <w:vAlign w:val="center"/>
            <w:hideMark/>
          </w:tcPr>
          <w:p w14:paraId="720F7478"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Pagamentos esperados – CPC 33 (R1)</w:t>
            </w:r>
          </w:p>
        </w:tc>
      </w:tr>
      <w:tr w:rsidR="00A47C19" w:rsidRPr="00E20D21" w14:paraId="7F9A8788" w14:textId="77777777" w:rsidTr="00C11FCD">
        <w:trPr>
          <w:trHeight w:val="283"/>
        </w:trPr>
        <w:tc>
          <w:tcPr>
            <w:tcW w:w="2290" w:type="pct"/>
            <w:vMerge w:val="restart"/>
            <w:tcBorders>
              <w:top w:val="nil"/>
              <w:left w:val="nil"/>
              <w:bottom w:val="single" w:sz="4" w:space="0" w:color="F68F00"/>
              <w:right w:val="nil"/>
            </w:tcBorders>
            <w:shd w:val="clear" w:color="auto" w:fill="auto"/>
            <w:vAlign w:val="center"/>
            <w:hideMark/>
          </w:tcPr>
          <w:p w14:paraId="0CDA1BE2"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Descrição</w:t>
            </w:r>
          </w:p>
        </w:tc>
        <w:tc>
          <w:tcPr>
            <w:tcW w:w="458" w:type="pct"/>
            <w:tcBorders>
              <w:top w:val="nil"/>
              <w:left w:val="nil"/>
              <w:bottom w:val="single" w:sz="4" w:space="0" w:color="F68F00"/>
              <w:right w:val="nil"/>
            </w:tcBorders>
            <w:shd w:val="clear" w:color="auto" w:fill="auto"/>
            <w:vAlign w:val="center"/>
            <w:hideMark/>
          </w:tcPr>
          <w:p w14:paraId="266C68BF"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Saúde CAIXA</w:t>
            </w:r>
          </w:p>
        </w:tc>
        <w:tc>
          <w:tcPr>
            <w:tcW w:w="459" w:type="pct"/>
            <w:tcBorders>
              <w:top w:val="nil"/>
              <w:left w:val="nil"/>
              <w:bottom w:val="single" w:sz="4" w:space="0" w:color="F68F00"/>
              <w:right w:val="nil"/>
            </w:tcBorders>
            <w:shd w:val="clear" w:color="auto" w:fill="auto"/>
            <w:vAlign w:val="center"/>
            <w:hideMark/>
          </w:tcPr>
          <w:p w14:paraId="27FB3158"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Auxílio/Cesta-alimentação</w:t>
            </w:r>
          </w:p>
        </w:tc>
        <w:tc>
          <w:tcPr>
            <w:tcW w:w="460" w:type="pct"/>
            <w:tcBorders>
              <w:top w:val="nil"/>
              <w:left w:val="nil"/>
              <w:bottom w:val="single" w:sz="4" w:space="0" w:color="F68F00"/>
              <w:right w:val="nil"/>
            </w:tcBorders>
            <w:shd w:val="clear" w:color="auto" w:fill="auto"/>
            <w:vAlign w:val="center"/>
            <w:hideMark/>
          </w:tcPr>
          <w:p w14:paraId="6AA0BB28"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Saldado</w:t>
            </w:r>
          </w:p>
        </w:tc>
        <w:tc>
          <w:tcPr>
            <w:tcW w:w="461" w:type="pct"/>
            <w:tcBorders>
              <w:top w:val="nil"/>
              <w:left w:val="nil"/>
              <w:bottom w:val="single" w:sz="4" w:space="0" w:color="F68F00"/>
              <w:right w:val="nil"/>
            </w:tcBorders>
            <w:shd w:val="clear" w:color="auto" w:fill="auto"/>
            <w:vAlign w:val="center"/>
            <w:hideMark/>
          </w:tcPr>
          <w:p w14:paraId="3338E498"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Não saldado</w:t>
            </w:r>
          </w:p>
        </w:tc>
        <w:tc>
          <w:tcPr>
            <w:tcW w:w="460" w:type="pct"/>
            <w:tcBorders>
              <w:top w:val="nil"/>
              <w:left w:val="nil"/>
              <w:bottom w:val="single" w:sz="4" w:space="0" w:color="F68F00"/>
              <w:right w:val="nil"/>
            </w:tcBorders>
            <w:shd w:val="clear" w:color="auto" w:fill="auto"/>
            <w:vAlign w:val="center"/>
            <w:hideMark/>
          </w:tcPr>
          <w:p w14:paraId="28A666C0"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REB</w:t>
            </w:r>
          </w:p>
        </w:tc>
        <w:tc>
          <w:tcPr>
            <w:tcW w:w="412" w:type="pct"/>
            <w:tcBorders>
              <w:top w:val="nil"/>
              <w:left w:val="nil"/>
              <w:bottom w:val="single" w:sz="4" w:space="0" w:color="F68F00"/>
              <w:right w:val="nil"/>
            </w:tcBorders>
            <w:shd w:val="clear" w:color="auto" w:fill="auto"/>
            <w:vAlign w:val="center"/>
            <w:hideMark/>
          </w:tcPr>
          <w:p w14:paraId="12C08AD3" w14:textId="77777777" w:rsidR="003834D8" w:rsidRPr="00E20D21" w:rsidRDefault="003834D8" w:rsidP="00A01778">
            <w:pPr>
              <w:jc w:val="center"/>
              <w:rPr>
                <w:rFonts w:ascii="CAIXA Std Book" w:hAnsi="CAIXA Std Book" w:cs="Symbol"/>
                <w:b/>
                <w:color w:val="005CA9"/>
                <w:sz w:val="18"/>
                <w:szCs w:val="18"/>
              </w:rPr>
            </w:pPr>
            <w:r w:rsidRPr="00E20D21">
              <w:rPr>
                <w:rFonts w:ascii="CAIXA Std Book" w:hAnsi="CAIXA Std Book" w:cs="Symbol"/>
                <w:b/>
                <w:color w:val="005CA9"/>
                <w:sz w:val="18"/>
                <w:szCs w:val="18"/>
              </w:rPr>
              <w:t>Novo Plano</w:t>
            </w:r>
          </w:p>
        </w:tc>
      </w:tr>
      <w:tr w:rsidR="0096575F" w:rsidRPr="00E20D21" w14:paraId="7FB6C2D6" w14:textId="77777777" w:rsidTr="00C11FCD">
        <w:trPr>
          <w:trHeight w:val="283"/>
        </w:trPr>
        <w:tc>
          <w:tcPr>
            <w:tcW w:w="2290" w:type="pct"/>
            <w:vMerge/>
            <w:tcBorders>
              <w:top w:val="nil"/>
              <w:left w:val="nil"/>
              <w:bottom w:val="single" w:sz="4" w:space="0" w:color="F68F00"/>
              <w:right w:val="nil"/>
            </w:tcBorders>
            <w:vAlign w:val="center"/>
            <w:hideMark/>
          </w:tcPr>
          <w:p w14:paraId="664E662A" w14:textId="77777777" w:rsidR="0096575F" w:rsidRPr="00E20D21" w:rsidRDefault="0096575F" w:rsidP="0096575F">
            <w:pPr>
              <w:rPr>
                <w:rFonts w:ascii="CAIXA Std Book" w:hAnsi="CAIXA Std Book" w:cs="Symbol"/>
                <w:b/>
                <w:color w:val="005CA9"/>
                <w:sz w:val="18"/>
                <w:szCs w:val="18"/>
              </w:rPr>
            </w:pPr>
          </w:p>
        </w:tc>
        <w:tc>
          <w:tcPr>
            <w:tcW w:w="458" w:type="pct"/>
            <w:tcBorders>
              <w:top w:val="nil"/>
              <w:left w:val="nil"/>
              <w:bottom w:val="single" w:sz="4" w:space="0" w:color="F68F00"/>
              <w:right w:val="nil"/>
            </w:tcBorders>
            <w:shd w:val="clear" w:color="auto" w:fill="auto"/>
            <w:vAlign w:val="center"/>
            <w:hideMark/>
          </w:tcPr>
          <w:p w14:paraId="68B2398A" w14:textId="7B7BF137"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59" w:type="pct"/>
            <w:tcBorders>
              <w:top w:val="nil"/>
              <w:left w:val="nil"/>
              <w:bottom w:val="single" w:sz="4" w:space="0" w:color="F68F00"/>
              <w:right w:val="nil"/>
            </w:tcBorders>
            <w:shd w:val="clear" w:color="auto" w:fill="auto"/>
            <w:vAlign w:val="center"/>
            <w:hideMark/>
          </w:tcPr>
          <w:p w14:paraId="18564CA2" w14:textId="5A5F9CB9"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60" w:type="pct"/>
            <w:tcBorders>
              <w:top w:val="nil"/>
              <w:left w:val="nil"/>
              <w:bottom w:val="single" w:sz="4" w:space="0" w:color="F68F00"/>
              <w:right w:val="nil"/>
            </w:tcBorders>
            <w:shd w:val="clear" w:color="auto" w:fill="auto"/>
            <w:vAlign w:val="center"/>
            <w:hideMark/>
          </w:tcPr>
          <w:p w14:paraId="41C6B31A" w14:textId="700C07CF"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61" w:type="pct"/>
            <w:tcBorders>
              <w:top w:val="nil"/>
              <w:left w:val="nil"/>
              <w:bottom w:val="single" w:sz="4" w:space="0" w:color="F68F00"/>
              <w:right w:val="nil"/>
            </w:tcBorders>
            <w:shd w:val="clear" w:color="auto" w:fill="auto"/>
            <w:vAlign w:val="center"/>
            <w:hideMark/>
          </w:tcPr>
          <w:p w14:paraId="7ED1B486" w14:textId="16B0EE60"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60" w:type="pct"/>
            <w:tcBorders>
              <w:top w:val="nil"/>
              <w:left w:val="nil"/>
              <w:bottom w:val="single" w:sz="4" w:space="0" w:color="F68F00"/>
              <w:right w:val="nil"/>
            </w:tcBorders>
            <w:shd w:val="clear" w:color="auto" w:fill="auto"/>
            <w:vAlign w:val="center"/>
            <w:hideMark/>
          </w:tcPr>
          <w:p w14:paraId="4E076ED7" w14:textId="000C19E0"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c>
          <w:tcPr>
            <w:tcW w:w="412" w:type="pct"/>
            <w:tcBorders>
              <w:top w:val="nil"/>
              <w:left w:val="nil"/>
              <w:bottom w:val="single" w:sz="4" w:space="0" w:color="F68F00"/>
              <w:right w:val="nil"/>
            </w:tcBorders>
            <w:shd w:val="clear" w:color="auto" w:fill="auto"/>
            <w:vAlign w:val="center"/>
            <w:hideMark/>
          </w:tcPr>
          <w:p w14:paraId="0E34192E" w14:textId="7656C565"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31/12/2024</w:t>
            </w:r>
          </w:p>
        </w:tc>
      </w:tr>
      <w:tr w:rsidR="00A47C19" w:rsidRPr="00E20D21" w14:paraId="63B25B56" w14:textId="77777777" w:rsidTr="00C11FCD">
        <w:trPr>
          <w:trHeight w:val="283"/>
        </w:trPr>
        <w:tc>
          <w:tcPr>
            <w:tcW w:w="2290" w:type="pct"/>
            <w:tcBorders>
              <w:top w:val="nil"/>
              <w:left w:val="nil"/>
              <w:bottom w:val="nil"/>
              <w:right w:val="nil"/>
            </w:tcBorders>
            <w:shd w:val="clear" w:color="auto" w:fill="auto"/>
            <w:vAlign w:val="center"/>
            <w:hideMark/>
          </w:tcPr>
          <w:p w14:paraId="215D96BD" w14:textId="77777777" w:rsidR="003834D8" w:rsidRPr="00E20D21" w:rsidRDefault="003834D8" w:rsidP="00A01778">
            <w:pPr>
              <w:rPr>
                <w:rFonts w:ascii="CAIXA Std Book" w:hAnsi="CAIXA Std Book" w:cs="Symbol"/>
                <w:color w:val="005CA9"/>
                <w:sz w:val="18"/>
                <w:szCs w:val="18"/>
              </w:rPr>
            </w:pPr>
            <w:r w:rsidRPr="00E20D21">
              <w:rPr>
                <w:rFonts w:ascii="CAIXA Std Book" w:hAnsi="CAIXA Std Book" w:cs="Symbol"/>
                <w:color w:val="005CA9"/>
                <w:sz w:val="18"/>
                <w:szCs w:val="18"/>
              </w:rPr>
              <w:t>Benefícios</w:t>
            </w:r>
          </w:p>
        </w:tc>
        <w:tc>
          <w:tcPr>
            <w:tcW w:w="458" w:type="pct"/>
            <w:tcBorders>
              <w:top w:val="nil"/>
              <w:left w:val="nil"/>
              <w:bottom w:val="nil"/>
              <w:right w:val="nil"/>
            </w:tcBorders>
            <w:shd w:val="clear" w:color="auto" w:fill="auto"/>
            <w:vAlign w:val="center"/>
          </w:tcPr>
          <w:p w14:paraId="1E6C820A" w14:textId="47B9A252" w:rsidR="003834D8" w:rsidRPr="00E20D21" w:rsidRDefault="009D42FA" w:rsidP="00A01778">
            <w:pPr>
              <w:jc w:val="right"/>
              <w:rPr>
                <w:rFonts w:ascii="CAIXA Std Book" w:hAnsi="CAIXA Std Book" w:cs="Symbol"/>
                <w:color w:val="005CA9"/>
                <w:sz w:val="18"/>
                <w:szCs w:val="18"/>
                <w:highlight w:val="yellow"/>
              </w:rPr>
            </w:pPr>
            <w:r w:rsidRPr="00E20D21">
              <w:rPr>
                <w:rFonts w:ascii="CAIXA Std Book" w:hAnsi="CAIXA Std Book" w:cs="Calibri"/>
                <w:color w:val="005CA9"/>
                <w:sz w:val="16"/>
                <w:szCs w:val="16"/>
              </w:rPr>
              <w:t>506.005</w:t>
            </w:r>
          </w:p>
        </w:tc>
        <w:tc>
          <w:tcPr>
            <w:tcW w:w="459" w:type="pct"/>
            <w:tcBorders>
              <w:top w:val="nil"/>
              <w:left w:val="nil"/>
              <w:bottom w:val="nil"/>
              <w:right w:val="nil"/>
            </w:tcBorders>
            <w:shd w:val="clear" w:color="auto" w:fill="auto"/>
            <w:vAlign w:val="center"/>
          </w:tcPr>
          <w:p w14:paraId="43C58802" w14:textId="6C4E1E94" w:rsidR="003834D8" w:rsidRPr="00E20D21" w:rsidRDefault="009D42FA" w:rsidP="00A01778">
            <w:pPr>
              <w:jc w:val="right"/>
              <w:rPr>
                <w:rFonts w:ascii="CAIXA Std Book" w:hAnsi="CAIXA Std Book"/>
                <w:color w:val="005CA9"/>
                <w:sz w:val="18"/>
                <w:szCs w:val="18"/>
                <w:highlight w:val="yellow"/>
              </w:rPr>
            </w:pPr>
            <w:r w:rsidRPr="00E20D21">
              <w:rPr>
                <w:rFonts w:ascii="CAIXA Std Book" w:hAnsi="CAIXA Std Book" w:cs="Calibri"/>
                <w:color w:val="005CA9"/>
                <w:sz w:val="16"/>
                <w:szCs w:val="16"/>
              </w:rPr>
              <w:t>98.986</w:t>
            </w:r>
          </w:p>
        </w:tc>
        <w:tc>
          <w:tcPr>
            <w:tcW w:w="460" w:type="pct"/>
            <w:tcBorders>
              <w:top w:val="nil"/>
              <w:left w:val="nil"/>
              <w:bottom w:val="nil"/>
              <w:right w:val="nil"/>
            </w:tcBorders>
            <w:shd w:val="clear" w:color="auto" w:fill="auto"/>
            <w:vAlign w:val="center"/>
          </w:tcPr>
          <w:p w14:paraId="0BFF8E6B" w14:textId="42D034B5"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c>
          <w:tcPr>
            <w:tcW w:w="461" w:type="pct"/>
            <w:tcBorders>
              <w:top w:val="nil"/>
              <w:left w:val="nil"/>
              <w:bottom w:val="nil"/>
              <w:right w:val="nil"/>
            </w:tcBorders>
            <w:shd w:val="clear" w:color="auto" w:fill="auto"/>
            <w:vAlign w:val="center"/>
          </w:tcPr>
          <w:p w14:paraId="6607629B" w14:textId="5DCF9529"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445EB5F1" w14:textId="56B7A15B"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c>
          <w:tcPr>
            <w:tcW w:w="412" w:type="pct"/>
            <w:tcBorders>
              <w:top w:val="nil"/>
              <w:left w:val="nil"/>
              <w:bottom w:val="nil"/>
              <w:right w:val="nil"/>
            </w:tcBorders>
            <w:shd w:val="clear" w:color="auto" w:fill="auto"/>
            <w:vAlign w:val="center"/>
          </w:tcPr>
          <w:p w14:paraId="0076AC08" w14:textId="2B0CA989"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r>
      <w:tr w:rsidR="00A47C19" w:rsidRPr="00E20D21" w14:paraId="41E03496" w14:textId="77777777" w:rsidTr="00C11FCD">
        <w:trPr>
          <w:trHeight w:val="283"/>
        </w:trPr>
        <w:tc>
          <w:tcPr>
            <w:tcW w:w="2290" w:type="pct"/>
            <w:tcBorders>
              <w:top w:val="nil"/>
              <w:left w:val="nil"/>
              <w:bottom w:val="nil"/>
              <w:right w:val="nil"/>
            </w:tcBorders>
            <w:shd w:val="clear" w:color="auto" w:fill="auto"/>
            <w:vAlign w:val="center"/>
            <w:hideMark/>
          </w:tcPr>
          <w:p w14:paraId="4C66E76E" w14:textId="77777777" w:rsidR="003834D8" w:rsidRPr="00E20D21" w:rsidRDefault="003834D8" w:rsidP="00A01778">
            <w:pPr>
              <w:rPr>
                <w:rFonts w:ascii="CAIXA Std Book" w:hAnsi="CAIXA Std Book" w:cs="Symbol"/>
                <w:color w:val="005CA9"/>
                <w:sz w:val="18"/>
                <w:szCs w:val="18"/>
              </w:rPr>
            </w:pPr>
            <w:r w:rsidRPr="00E20D21">
              <w:rPr>
                <w:rFonts w:ascii="CAIXA Std Book" w:hAnsi="CAIXA Std Book" w:cs="Symbol"/>
                <w:color w:val="005CA9"/>
                <w:sz w:val="18"/>
                <w:szCs w:val="18"/>
              </w:rPr>
              <w:t>Contribuições de risco</w:t>
            </w:r>
          </w:p>
        </w:tc>
        <w:tc>
          <w:tcPr>
            <w:tcW w:w="458" w:type="pct"/>
            <w:tcBorders>
              <w:top w:val="nil"/>
              <w:left w:val="nil"/>
              <w:bottom w:val="nil"/>
              <w:right w:val="nil"/>
            </w:tcBorders>
            <w:shd w:val="clear" w:color="auto" w:fill="auto"/>
            <w:vAlign w:val="center"/>
          </w:tcPr>
          <w:p w14:paraId="22C94F90" w14:textId="263AED89"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59" w:type="pct"/>
            <w:tcBorders>
              <w:top w:val="nil"/>
              <w:left w:val="nil"/>
              <w:bottom w:val="nil"/>
              <w:right w:val="nil"/>
            </w:tcBorders>
            <w:shd w:val="clear" w:color="auto" w:fill="auto"/>
            <w:vAlign w:val="center"/>
          </w:tcPr>
          <w:p w14:paraId="1FFE10AB" w14:textId="429707F7"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70D2434A" w14:textId="64C7BAF8"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c>
          <w:tcPr>
            <w:tcW w:w="461" w:type="pct"/>
            <w:tcBorders>
              <w:top w:val="nil"/>
              <w:left w:val="nil"/>
              <w:bottom w:val="nil"/>
              <w:right w:val="nil"/>
            </w:tcBorders>
            <w:shd w:val="clear" w:color="auto" w:fill="auto"/>
            <w:vAlign w:val="center"/>
          </w:tcPr>
          <w:p w14:paraId="4D6C5F8C" w14:textId="451BB60C" w:rsidR="003834D8" w:rsidRPr="00E20D21" w:rsidRDefault="009D42FA" w:rsidP="00A01778">
            <w:pPr>
              <w:jc w:val="right"/>
              <w:rPr>
                <w:rFonts w:ascii="CAIXA Std Book" w:hAnsi="CAIXA Std Book"/>
                <w:color w:val="005CA9"/>
                <w:sz w:val="18"/>
                <w:szCs w:val="18"/>
                <w:highlight w:val="yellow"/>
              </w:rPr>
            </w:pPr>
            <w:r w:rsidRPr="00E20D21">
              <w:rPr>
                <w:rFonts w:ascii="CAIXA Std Book" w:hAnsi="CAIXA Std Book" w:cs="Calibri"/>
                <w:color w:val="005CA9"/>
                <w:sz w:val="16"/>
                <w:szCs w:val="16"/>
              </w:rPr>
              <w:t>3.633</w:t>
            </w:r>
          </w:p>
        </w:tc>
        <w:tc>
          <w:tcPr>
            <w:tcW w:w="460" w:type="pct"/>
            <w:tcBorders>
              <w:top w:val="nil"/>
              <w:left w:val="nil"/>
              <w:bottom w:val="nil"/>
              <w:right w:val="nil"/>
            </w:tcBorders>
            <w:shd w:val="clear" w:color="auto" w:fill="auto"/>
            <w:vAlign w:val="center"/>
          </w:tcPr>
          <w:p w14:paraId="519A6CD4" w14:textId="1D1C765C" w:rsidR="003834D8" w:rsidRPr="00E20D21" w:rsidRDefault="003834D8" w:rsidP="00A01778">
            <w:pPr>
              <w:jc w:val="right"/>
              <w:rPr>
                <w:rFonts w:ascii="CAIXA Std Book" w:hAnsi="CAIXA Std Book"/>
                <w:color w:val="005CA9"/>
                <w:sz w:val="18"/>
                <w:szCs w:val="18"/>
                <w:highlight w:val="yellow"/>
              </w:rPr>
            </w:pPr>
            <w:r w:rsidRPr="00E20D21">
              <w:rPr>
                <w:rFonts w:ascii="CAIXA Std Book" w:hAnsi="CAIXA Std Book" w:cs="Calibri"/>
                <w:color w:val="005CA9"/>
                <w:sz w:val="16"/>
                <w:szCs w:val="16"/>
              </w:rPr>
              <w:t>5.</w:t>
            </w:r>
            <w:r w:rsidR="009D42FA" w:rsidRPr="00E20D21">
              <w:rPr>
                <w:rFonts w:ascii="CAIXA Std Book" w:hAnsi="CAIXA Std Book" w:cs="Calibri"/>
                <w:color w:val="005CA9"/>
                <w:sz w:val="16"/>
                <w:szCs w:val="16"/>
              </w:rPr>
              <w:t>304</w:t>
            </w:r>
          </w:p>
        </w:tc>
        <w:tc>
          <w:tcPr>
            <w:tcW w:w="412" w:type="pct"/>
            <w:tcBorders>
              <w:top w:val="nil"/>
              <w:left w:val="nil"/>
              <w:bottom w:val="nil"/>
              <w:right w:val="nil"/>
            </w:tcBorders>
            <w:shd w:val="clear" w:color="auto" w:fill="auto"/>
            <w:vAlign w:val="center"/>
          </w:tcPr>
          <w:p w14:paraId="2C4DDB3B" w14:textId="4B2B7589" w:rsidR="003834D8" w:rsidRPr="00E20D21" w:rsidRDefault="003834D8" w:rsidP="00A01778">
            <w:pPr>
              <w:jc w:val="right"/>
              <w:rPr>
                <w:rFonts w:ascii="CAIXA Std Book" w:hAnsi="CAIXA Std Book"/>
                <w:color w:val="005CA9"/>
                <w:sz w:val="18"/>
                <w:szCs w:val="18"/>
                <w:highlight w:val="yellow"/>
              </w:rPr>
            </w:pPr>
            <w:r w:rsidRPr="00E20D21">
              <w:rPr>
                <w:rFonts w:ascii="CAIXA Std Book" w:hAnsi="CAIXA Std Book" w:cs="Calibri"/>
                <w:color w:val="005CA9"/>
                <w:sz w:val="16"/>
                <w:szCs w:val="16"/>
              </w:rPr>
              <w:t>67.</w:t>
            </w:r>
            <w:r w:rsidR="009D42FA" w:rsidRPr="00E20D21">
              <w:rPr>
                <w:rFonts w:ascii="CAIXA Std Book" w:hAnsi="CAIXA Std Book" w:cs="Calibri"/>
                <w:color w:val="005CA9"/>
                <w:sz w:val="16"/>
                <w:szCs w:val="16"/>
              </w:rPr>
              <w:t>880</w:t>
            </w:r>
          </w:p>
        </w:tc>
      </w:tr>
      <w:tr w:rsidR="00A47C19" w:rsidRPr="00E20D21" w14:paraId="0C0837FD" w14:textId="77777777" w:rsidTr="00C11FCD">
        <w:trPr>
          <w:trHeight w:val="283"/>
        </w:trPr>
        <w:tc>
          <w:tcPr>
            <w:tcW w:w="2290" w:type="pct"/>
            <w:tcBorders>
              <w:top w:val="nil"/>
              <w:left w:val="nil"/>
              <w:bottom w:val="nil"/>
              <w:right w:val="nil"/>
            </w:tcBorders>
            <w:shd w:val="clear" w:color="auto" w:fill="auto"/>
            <w:vAlign w:val="center"/>
            <w:hideMark/>
          </w:tcPr>
          <w:p w14:paraId="514E2347" w14:textId="77777777" w:rsidR="003834D8" w:rsidRPr="00E20D21" w:rsidRDefault="003834D8" w:rsidP="00A01778">
            <w:pPr>
              <w:rPr>
                <w:rFonts w:ascii="CAIXA Std Book" w:hAnsi="CAIXA Std Book" w:cs="Symbol"/>
                <w:color w:val="005CA9"/>
                <w:sz w:val="18"/>
                <w:szCs w:val="18"/>
              </w:rPr>
            </w:pPr>
            <w:r w:rsidRPr="00E20D21">
              <w:rPr>
                <w:rFonts w:ascii="CAIXA Std Book" w:hAnsi="CAIXA Std Book" w:cs="Symbol"/>
                <w:color w:val="005CA9"/>
                <w:sz w:val="18"/>
                <w:szCs w:val="18"/>
              </w:rPr>
              <w:t>Contribuições extraordinárias</w:t>
            </w:r>
          </w:p>
        </w:tc>
        <w:tc>
          <w:tcPr>
            <w:tcW w:w="458" w:type="pct"/>
            <w:tcBorders>
              <w:top w:val="nil"/>
              <w:left w:val="nil"/>
              <w:bottom w:val="nil"/>
              <w:right w:val="nil"/>
            </w:tcBorders>
            <w:shd w:val="clear" w:color="auto" w:fill="auto"/>
            <w:vAlign w:val="center"/>
          </w:tcPr>
          <w:p w14:paraId="3DAC2AE4" w14:textId="51AB7B03" w:rsidR="003834D8" w:rsidRPr="00E20D21" w:rsidRDefault="003834D8" w:rsidP="00A01778">
            <w:pPr>
              <w:jc w:val="center"/>
              <w:rPr>
                <w:rFonts w:ascii="CAIXA Std Book" w:hAnsi="CAIXA Std Book" w:cs="Symbol"/>
                <w:color w:val="005CA9"/>
                <w:sz w:val="18"/>
                <w:szCs w:val="18"/>
                <w:highlight w:val="yellow"/>
              </w:rPr>
            </w:pPr>
            <w:r w:rsidRPr="00E20D21">
              <w:rPr>
                <w:rFonts w:ascii="CAIXA Std Book" w:hAnsi="CAIXA Std Book" w:cs="Calibri"/>
                <w:color w:val="005CA9"/>
                <w:sz w:val="16"/>
                <w:szCs w:val="16"/>
              </w:rPr>
              <w:t>-</w:t>
            </w:r>
          </w:p>
        </w:tc>
        <w:tc>
          <w:tcPr>
            <w:tcW w:w="459" w:type="pct"/>
            <w:tcBorders>
              <w:top w:val="nil"/>
              <w:left w:val="nil"/>
              <w:bottom w:val="nil"/>
              <w:right w:val="nil"/>
            </w:tcBorders>
            <w:shd w:val="clear" w:color="auto" w:fill="auto"/>
            <w:vAlign w:val="center"/>
          </w:tcPr>
          <w:p w14:paraId="10F64D57" w14:textId="6A2983D1"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5401B448" w14:textId="47CF54E4"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c>
          <w:tcPr>
            <w:tcW w:w="461" w:type="pct"/>
            <w:tcBorders>
              <w:top w:val="nil"/>
              <w:left w:val="nil"/>
              <w:bottom w:val="nil"/>
              <w:right w:val="nil"/>
            </w:tcBorders>
            <w:shd w:val="clear" w:color="auto" w:fill="auto"/>
            <w:vAlign w:val="center"/>
          </w:tcPr>
          <w:p w14:paraId="606E1867" w14:textId="130D6BE7" w:rsidR="003834D8" w:rsidRPr="00E20D21" w:rsidRDefault="009D42FA" w:rsidP="00A01778">
            <w:pPr>
              <w:jc w:val="right"/>
              <w:rPr>
                <w:rFonts w:ascii="CAIXA Std Book" w:hAnsi="CAIXA Std Book"/>
                <w:color w:val="005CA9"/>
                <w:sz w:val="18"/>
                <w:szCs w:val="18"/>
                <w:highlight w:val="yellow"/>
              </w:rPr>
            </w:pPr>
            <w:r w:rsidRPr="00E20D21">
              <w:rPr>
                <w:rFonts w:ascii="CAIXA Std Book" w:hAnsi="CAIXA Std Book" w:cs="Calibri"/>
                <w:color w:val="005CA9"/>
                <w:sz w:val="16"/>
                <w:szCs w:val="16"/>
              </w:rPr>
              <w:t>20.808</w:t>
            </w:r>
          </w:p>
        </w:tc>
        <w:tc>
          <w:tcPr>
            <w:tcW w:w="460" w:type="pct"/>
            <w:tcBorders>
              <w:top w:val="nil"/>
              <w:left w:val="nil"/>
              <w:bottom w:val="nil"/>
              <w:right w:val="nil"/>
            </w:tcBorders>
            <w:shd w:val="clear" w:color="auto" w:fill="auto"/>
            <w:vAlign w:val="center"/>
          </w:tcPr>
          <w:p w14:paraId="7AAB16FC" w14:textId="3408624C" w:rsidR="003834D8" w:rsidRPr="00E20D21" w:rsidRDefault="009D42FA" w:rsidP="00A01778">
            <w:pPr>
              <w:jc w:val="right"/>
              <w:rPr>
                <w:rFonts w:ascii="CAIXA Std Book" w:hAnsi="CAIXA Std Book"/>
                <w:color w:val="005CA9"/>
                <w:sz w:val="18"/>
                <w:szCs w:val="18"/>
                <w:highlight w:val="yellow"/>
              </w:rPr>
            </w:pPr>
            <w:r w:rsidRPr="00E20D21">
              <w:rPr>
                <w:rFonts w:ascii="CAIXA Std Book" w:hAnsi="CAIXA Std Book" w:cs="Calibri"/>
                <w:color w:val="005CA9"/>
                <w:sz w:val="16"/>
                <w:szCs w:val="16"/>
              </w:rPr>
              <w:t>45</w:t>
            </w:r>
          </w:p>
        </w:tc>
        <w:tc>
          <w:tcPr>
            <w:tcW w:w="412" w:type="pct"/>
            <w:tcBorders>
              <w:top w:val="nil"/>
              <w:left w:val="nil"/>
              <w:bottom w:val="nil"/>
              <w:right w:val="nil"/>
            </w:tcBorders>
            <w:shd w:val="clear" w:color="auto" w:fill="auto"/>
            <w:vAlign w:val="center"/>
          </w:tcPr>
          <w:p w14:paraId="109DAD26" w14:textId="30B618D1" w:rsidR="003834D8" w:rsidRPr="00E20D21" w:rsidRDefault="009D42FA" w:rsidP="00A01778">
            <w:pPr>
              <w:jc w:val="right"/>
              <w:rPr>
                <w:rFonts w:ascii="CAIXA Std Book" w:hAnsi="CAIXA Std Book"/>
                <w:color w:val="005CA9"/>
                <w:sz w:val="18"/>
                <w:szCs w:val="18"/>
                <w:highlight w:val="yellow"/>
              </w:rPr>
            </w:pPr>
            <w:r w:rsidRPr="00E20D21">
              <w:rPr>
                <w:rFonts w:ascii="CAIXA Std Book" w:hAnsi="CAIXA Std Book" w:cs="Calibri"/>
                <w:color w:val="005CA9"/>
                <w:sz w:val="16"/>
                <w:szCs w:val="16"/>
              </w:rPr>
              <w:t>960</w:t>
            </w:r>
          </w:p>
        </w:tc>
      </w:tr>
      <w:tr w:rsidR="00A47C19" w:rsidRPr="00E20D21" w14:paraId="545348B0" w14:textId="77777777" w:rsidTr="00C11FCD">
        <w:trPr>
          <w:trHeight w:val="283"/>
        </w:trPr>
        <w:tc>
          <w:tcPr>
            <w:tcW w:w="2290" w:type="pct"/>
            <w:tcBorders>
              <w:top w:val="nil"/>
              <w:left w:val="nil"/>
              <w:bottom w:val="nil"/>
              <w:right w:val="nil"/>
            </w:tcBorders>
            <w:shd w:val="clear" w:color="auto" w:fill="auto"/>
            <w:vAlign w:val="center"/>
          </w:tcPr>
          <w:p w14:paraId="3258ACB1" w14:textId="77777777" w:rsidR="003834D8" w:rsidRPr="00E20D21" w:rsidRDefault="003834D8" w:rsidP="00A01778">
            <w:pPr>
              <w:rPr>
                <w:rFonts w:ascii="CAIXA Std Book" w:hAnsi="CAIXA Std Book" w:cs="Symbol"/>
                <w:color w:val="005CA9"/>
                <w:sz w:val="18"/>
                <w:szCs w:val="18"/>
              </w:rPr>
            </w:pPr>
            <w:r w:rsidRPr="00E20D21">
              <w:rPr>
                <w:rFonts w:ascii="CAIXA Std Book" w:hAnsi="CAIXA Std Book" w:cs="Symbol"/>
                <w:color w:val="005CA9"/>
                <w:sz w:val="18"/>
                <w:szCs w:val="18"/>
              </w:rPr>
              <w:t>Contribuições de equacionamento</w:t>
            </w:r>
          </w:p>
        </w:tc>
        <w:tc>
          <w:tcPr>
            <w:tcW w:w="458" w:type="pct"/>
            <w:tcBorders>
              <w:top w:val="nil"/>
              <w:left w:val="nil"/>
              <w:bottom w:val="nil"/>
              <w:right w:val="nil"/>
            </w:tcBorders>
            <w:shd w:val="clear" w:color="auto" w:fill="auto"/>
            <w:vAlign w:val="center"/>
          </w:tcPr>
          <w:p w14:paraId="0EE5DC98" w14:textId="203A1D04" w:rsidR="003834D8" w:rsidRPr="00E20D21" w:rsidRDefault="003834D8" w:rsidP="00A01778">
            <w:pPr>
              <w:jc w:val="center"/>
              <w:rPr>
                <w:rFonts w:ascii="CAIXA Std Book" w:hAnsi="CAIXA Std Book" w:cs="Calibri"/>
                <w:color w:val="005CA9"/>
                <w:sz w:val="18"/>
                <w:szCs w:val="18"/>
                <w:highlight w:val="yellow"/>
              </w:rPr>
            </w:pPr>
            <w:r w:rsidRPr="00E20D21">
              <w:rPr>
                <w:rFonts w:ascii="CAIXA Std Book" w:hAnsi="CAIXA Std Book" w:cs="Calibri"/>
                <w:color w:val="005CA9"/>
                <w:sz w:val="16"/>
                <w:szCs w:val="16"/>
              </w:rPr>
              <w:t>-</w:t>
            </w:r>
          </w:p>
        </w:tc>
        <w:tc>
          <w:tcPr>
            <w:tcW w:w="459" w:type="pct"/>
            <w:tcBorders>
              <w:top w:val="nil"/>
              <w:left w:val="nil"/>
              <w:bottom w:val="nil"/>
              <w:right w:val="nil"/>
            </w:tcBorders>
            <w:shd w:val="clear" w:color="auto" w:fill="auto"/>
            <w:vAlign w:val="center"/>
          </w:tcPr>
          <w:p w14:paraId="234C61FA" w14:textId="40231F76" w:rsidR="003834D8" w:rsidRPr="00E20D21" w:rsidRDefault="003834D8" w:rsidP="00A01778">
            <w:pPr>
              <w:jc w:val="center"/>
              <w:rPr>
                <w:rFonts w:ascii="CAIXA Std Book" w:hAnsi="CAIXA Std Book" w:cs="Calibri"/>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4457747C" w14:textId="6772B599" w:rsidR="003834D8" w:rsidRPr="00E20D21" w:rsidRDefault="003834D8" w:rsidP="00A01778">
            <w:pPr>
              <w:jc w:val="right"/>
              <w:rPr>
                <w:rFonts w:ascii="CAIXA Std Book" w:hAnsi="CAIXA Std Book"/>
                <w:color w:val="005CA9"/>
                <w:sz w:val="18"/>
                <w:szCs w:val="18"/>
                <w:highlight w:val="yellow"/>
              </w:rPr>
            </w:pPr>
            <w:r w:rsidRPr="00E20D21">
              <w:rPr>
                <w:rFonts w:ascii="CAIXA Std Book" w:hAnsi="CAIXA Std Book" w:cs="Calibri"/>
                <w:color w:val="005CA9"/>
                <w:sz w:val="16"/>
                <w:szCs w:val="16"/>
              </w:rPr>
              <w:t>567.</w:t>
            </w:r>
            <w:r w:rsidR="009D42FA" w:rsidRPr="00E20D21">
              <w:rPr>
                <w:rFonts w:ascii="CAIXA Std Book" w:hAnsi="CAIXA Std Book" w:cs="Calibri"/>
                <w:color w:val="005CA9"/>
                <w:sz w:val="16"/>
                <w:szCs w:val="16"/>
              </w:rPr>
              <w:t>937</w:t>
            </w:r>
          </w:p>
        </w:tc>
        <w:tc>
          <w:tcPr>
            <w:tcW w:w="461" w:type="pct"/>
            <w:tcBorders>
              <w:top w:val="nil"/>
              <w:left w:val="nil"/>
              <w:bottom w:val="nil"/>
              <w:right w:val="nil"/>
            </w:tcBorders>
            <w:shd w:val="clear" w:color="auto" w:fill="auto"/>
            <w:vAlign w:val="center"/>
          </w:tcPr>
          <w:p w14:paraId="6A1C8985" w14:textId="3BFB1606"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c>
          <w:tcPr>
            <w:tcW w:w="460" w:type="pct"/>
            <w:tcBorders>
              <w:top w:val="nil"/>
              <w:left w:val="nil"/>
              <w:bottom w:val="nil"/>
              <w:right w:val="nil"/>
            </w:tcBorders>
            <w:shd w:val="clear" w:color="auto" w:fill="auto"/>
            <w:vAlign w:val="center"/>
          </w:tcPr>
          <w:p w14:paraId="63D4904D" w14:textId="5CAF0350"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c>
          <w:tcPr>
            <w:tcW w:w="412" w:type="pct"/>
            <w:tcBorders>
              <w:top w:val="nil"/>
              <w:left w:val="nil"/>
              <w:bottom w:val="nil"/>
              <w:right w:val="nil"/>
            </w:tcBorders>
            <w:shd w:val="clear" w:color="auto" w:fill="auto"/>
            <w:vAlign w:val="center"/>
          </w:tcPr>
          <w:p w14:paraId="6CB0C3C5" w14:textId="5BECB954" w:rsidR="003834D8" w:rsidRPr="00E20D21" w:rsidRDefault="003834D8" w:rsidP="00A01778">
            <w:pPr>
              <w:jc w:val="center"/>
              <w:rPr>
                <w:rFonts w:ascii="CAIXA Std Book" w:hAnsi="CAIXA Std Book"/>
                <w:color w:val="005CA9"/>
                <w:sz w:val="18"/>
                <w:szCs w:val="18"/>
                <w:highlight w:val="yellow"/>
              </w:rPr>
            </w:pPr>
            <w:r w:rsidRPr="00E20D21">
              <w:rPr>
                <w:rFonts w:ascii="CAIXA Std Book" w:hAnsi="CAIXA Std Book" w:cs="Calibri"/>
                <w:color w:val="005CA9"/>
                <w:sz w:val="16"/>
                <w:szCs w:val="16"/>
              </w:rPr>
              <w:t>-</w:t>
            </w:r>
          </w:p>
        </w:tc>
      </w:tr>
      <w:tr w:rsidR="00A47C19" w:rsidRPr="00E20D21" w14:paraId="32102F2B" w14:textId="77777777" w:rsidTr="00C11FCD">
        <w:trPr>
          <w:trHeight w:val="283"/>
        </w:trPr>
        <w:tc>
          <w:tcPr>
            <w:tcW w:w="2290" w:type="pct"/>
            <w:tcBorders>
              <w:top w:val="single" w:sz="4" w:space="0" w:color="F68F00"/>
              <w:left w:val="nil"/>
              <w:bottom w:val="single" w:sz="4" w:space="0" w:color="F68F00"/>
              <w:right w:val="nil"/>
            </w:tcBorders>
            <w:shd w:val="clear" w:color="auto" w:fill="auto"/>
            <w:vAlign w:val="center"/>
            <w:hideMark/>
          </w:tcPr>
          <w:p w14:paraId="1A1865FA" w14:textId="77777777" w:rsidR="003834D8" w:rsidRPr="00E20D21" w:rsidRDefault="003834D8" w:rsidP="00A01778">
            <w:pPr>
              <w:rPr>
                <w:rFonts w:ascii="CAIXA Std Book" w:hAnsi="CAIXA Std Book" w:cs="Symbol"/>
                <w:b/>
                <w:color w:val="005CA9"/>
                <w:sz w:val="18"/>
                <w:szCs w:val="18"/>
              </w:rPr>
            </w:pPr>
            <w:r w:rsidRPr="00E20D21">
              <w:rPr>
                <w:rFonts w:ascii="CAIXA Std Book" w:hAnsi="CAIXA Std Book" w:cs="Symbol"/>
                <w:b/>
                <w:color w:val="005CA9"/>
                <w:sz w:val="18"/>
                <w:szCs w:val="18"/>
              </w:rPr>
              <w:t>Total dos pagamentos esperados para o plano</w:t>
            </w:r>
          </w:p>
        </w:tc>
        <w:tc>
          <w:tcPr>
            <w:tcW w:w="458" w:type="pct"/>
            <w:tcBorders>
              <w:top w:val="single" w:sz="4" w:space="0" w:color="F68F00"/>
              <w:left w:val="nil"/>
              <w:bottom w:val="single" w:sz="4" w:space="0" w:color="F68F00"/>
              <w:right w:val="nil"/>
            </w:tcBorders>
            <w:shd w:val="clear" w:color="auto" w:fill="auto"/>
            <w:vAlign w:val="center"/>
          </w:tcPr>
          <w:p w14:paraId="350CD9B9" w14:textId="3436510A" w:rsidR="003834D8" w:rsidRPr="00E20D21" w:rsidRDefault="009D42FA" w:rsidP="00A01778">
            <w:pPr>
              <w:jc w:val="right"/>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506.005</w:t>
            </w:r>
          </w:p>
        </w:tc>
        <w:tc>
          <w:tcPr>
            <w:tcW w:w="459" w:type="pct"/>
            <w:tcBorders>
              <w:top w:val="single" w:sz="4" w:space="0" w:color="F68F00"/>
              <w:left w:val="nil"/>
              <w:bottom w:val="single" w:sz="4" w:space="0" w:color="F68F00"/>
              <w:right w:val="nil"/>
            </w:tcBorders>
            <w:shd w:val="clear" w:color="auto" w:fill="auto"/>
            <w:vAlign w:val="center"/>
          </w:tcPr>
          <w:p w14:paraId="490966FF" w14:textId="16D8AED3" w:rsidR="003834D8" w:rsidRPr="00E20D21" w:rsidRDefault="009D42FA" w:rsidP="00A01778">
            <w:pPr>
              <w:jc w:val="right"/>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98.986</w:t>
            </w:r>
          </w:p>
        </w:tc>
        <w:tc>
          <w:tcPr>
            <w:tcW w:w="460" w:type="pct"/>
            <w:tcBorders>
              <w:top w:val="single" w:sz="4" w:space="0" w:color="F68F00"/>
              <w:left w:val="nil"/>
              <w:bottom w:val="single" w:sz="4" w:space="0" w:color="F68F00"/>
              <w:right w:val="nil"/>
            </w:tcBorders>
            <w:shd w:val="clear" w:color="auto" w:fill="auto"/>
            <w:vAlign w:val="center"/>
          </w:tcPr>
          <w:p w14:paraId="08C127D8" w14:textId="489DAF48" w:rsidR="003834D8" w:rsidRPr="00E20D21" w:rsidRDefault="003834D8" w:rsidP="00A01778">
            <w:pPr>
              <w:jc w:val="right"/>
              <w:rPr>
                <w:rFonts w:ascii="CAIXA Std Book" w:hAnsi="CAIXA Std Book" w:cs="Symbol"/>
                <w:b/>
                <w:color w:val="005CA9"/>
                <w:sz w:val="18"/>
                <w:szCs w:val="18"/>
                <w:highlight w:val="yellow"/>
              </w:rPr>
            </w:pPr>
            <w:r w:rsidRPr="00E20D21">
              <w:rPr>
                <w:rFonts w:ascii="CAIXA Std Book" w:hAnsi="CAIXA Std Book" w:cs="Calibri"/>
                <w:b/>
                <w:color w:val="005CA9"/>
                <w:sz w:val="16"/>
                <w:szCs w:val="16"/>
              </w:rPr>
              <w:t>567.</w:t>
            </w:r>
            <w:r w:rsidR="009D42FA" w:rsidRPr="00E20D21">
              <w:rPr>
                <w:rFonts w:ascii="CAIXA Std Book" w:hAnsi="CAIXA Std Book" w:cs="Calibri"/>
                <w:b/>
                <w:bCs/>
                <w:color w:val="005CA9"/>
                <w:sz w:val="16"/>
                <w:szCs w:val="16"/>
              </w:rPr>
              <w:t>937</w:t>
            </w:r>
          </w:p>
        </w:tc>
        <w:tc>
          <w:tcPr>
            <w:tcW w:w="461" w:type="pct"/>
            <w:tcBorders>
              <w:top w:val="single" w:sz="4" w:space="0" w:color="F68F00"/>
              <w:left w:val="nil"/>
              <w:bottom w:val="single" w:sz="4" w:space="0" w:color="F68F00"/>
              <w:right w:val="nil"/>
            </w:tcBorders>
            <w:shd w:val="clear" w:color="auto" w:fill="auto"/>
            <w:vAlign w:val="center"/>
          </w:tcPr>
          <w:p w14:paraId="75224FD3" w14:textId="73F6E690" w:rsidR="003834D8" w:rsidRPr="00E20D21" w:rsidRDefault="009D42FA" w:rsidP="00A01778">
            <w:pPr>
              <w:jc w:val="right"/>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24.441</w:t>
            </w:r>
          </w:p>
        </w:tc>
        <w:tc>
          <w:tcPr>
            <w:tcW w:w="460" w:type="pct"/>
            <w:tcBorders>
              <w:top w:val="single" w:sz="4" w:space="0" w:color="F68F00"/>
              <w:left w:val="nil"/>
              <w:bottom w:val="single" w:sz="4" w:space="0" w:color="F68F00"/>
              <w:right w:val="nil"/>
            </w:tcBorders>
            <w:shd w:val="clear" w:color="auto" w:fill="auto"/>
            <w:vAlign w:val="center"/>
          </w:tcPr>
          <w:p w14:paraId="405D40FF" w14:textId="087BE641" w:rsidR="003834D8" w:rsidRPr="00E20D21" w:rsidRDefault="003834D8" w:rsidP="00A01778">
            <w:pPr>
              <w:jc w:val="right"/>
              <w:rPr>
                <w:rFonts w:ascii="CAIXA Std Book" w:hAnsi="CAIXA Std Book" w:cs="Symbol"/>
                <w:b/>
                <w:color w:val="005CA9"/>
                <w:sz w:val="18"/>
                <w:szCs w:val="18"/>
                <w:highlight w:val="yellow"/>
              </w:rPr>
            </w:pPr>
            <w:r w:rsidRPr="00E20D21">
              <w:rPr>
                <w:rFonts w:ascii="CAIXA Std Book" w:hAnsi="CAIXA Std Book" w:cs="Calibri"/>
                <w:b/>
                <w:color w:val="005CA9"/>
                <w:sz w:val="16"/>
                <w:szCs w:val="16"/>
              </w:rPr>
              <w:t>5.</w:t>
            </w:r>
            <w:r w:rsidR="009D42FA" w:rsidRPr="00E20D21">
              <w:rPr>
                <w:rFonts w:ascii="CAIXA Std Book" w:hAnsi="CAIXA Std Book" w:cs="Calibri"/>
                <w:b/>
                <w:bCs/>
                <w:color w:val="005CA9"/>
                <w:sz w:val="16"/>
                <w:szCs w:val="16"/>
              </w:rPr>
              <w:t>349</w:t>
            </w:r>
          </w:p>
        </w:tc>
        <w:tc>
          <w:tcPr>
            <w:tcW w:w="412" w:type="pct"/>
            <w:tcBorders>
              <w:top w:val="single" w:sz="4" w:space="0" w:color="F68F00"/>
              <w:left w:val="nil"/>
              <w:bottom w:val="single" w:sz="4" w:space="0" w:color="F68F00"/>
              <w:right w:val="nil"/>
            </w:tcBorders>
            <w:shd w:val="clear" w:color="auto" w:fill="auto"/>
            <w:vAlign w:val="center"/>
          </w:tcPr>
          <w:p w14:paraId="54934D7A" w14:textId="03100729" w:rsidR="003834D8" w:rsidRPr="00E20D21" w:rsidRDefault="009D42FA" w:rsidP="00A01778">
            <w:pPr>
              <w:jc w:val="right"/>
              <w:rPr>
                <w:rFonts w:ascii="CAIXA Std Book" w:hAnsi="CAIXA Std Book" w:cs="Symbol"/>
                <w:b/>
                <w:color w:val="005CA9"/>
                <w:sz w:val="18"/>
                <w:szCs w:val="18"/>
                <w:highlight w:val="yellow"/>
              </w:rPr>
            </w:pPr>
            <w:r w:rsidRPr="00E20D21">
              <w:rPr>
                <w:rFonts w:ascii="CAIXA Std Book" w:hAnsi="CAIXA Std Book" w:cs="Calibri"/>
                <w:b/>
                <w:bCs/>
                <w:color w:val="005CA9"/>
                <w:sz w:val="16"/>
                <w:szCs w:val="16"/>
              </w:rPr>
              <w:t>68.840</w:t>
            </w:r>
          </w:p>
        </w:tc>
      </w:tr>
    </w:tbl>
    <w:p w14:paraId="1C8E95E0" w14:textId="77777777" w:rsidR="003834D8" w:rsidRPr="00E20D21" w:rsidRDefault="003834D8" w:rsidP="003834D8">
      <w:pPr>
        <w:rPr>
          <w:rFonts w:ascii="CAIXA Std Book" w:hAnsi="CAIXA Std Book"/>
          <w:b/>
          <w:color w:val="005CA9"/>
          <w:sz w:val="20"/>
          <w:szCs w:val="20"/>
        </w:rPr>
      </w:pPr>
      <w:r w:rsidRPr="00E20D21">
        <w:rPr>
          <w:rFonts w:ascii="CAIXA Std Book" w:hAnsi="CAIXA Std Book"/>
          <w:b/>
          <w:color w:val="005CA9"/>
          <w:sz w:val="20"/>
          <w:szCs w:val="20"/>
        </w:rPr>
        <w:br w:type="page"/>
      </w:r>
    </w:p>
    <w:p w14:paraId="2518718B" w14:textId="77777777" w:rsidR="003834D8" w:rsidRPr="00E20D21" w:rsidRDefault="003834D8" w:rsidP="003834D8">
      <w:pPr>
        <w:autoSpaceDE w:val="0"/>
        <w:autoSpaceDN w:val="0"/>
        <w:adjustRightInd w:val="0"/>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(i.14)</w:t>
      </w:r>
      <w:r w:rsidRPr="00E20D21">
        <w:rPr>
          <w:rFonts w:ascii="CAIXA Std Book" w:hAnsi="CAIXA Std Book"/>
          <w:b/>
          <w:color w:val="005CA9"/>
          <w:sz w:val="20"/>
          <w:szCs w:val="20"/>
        </w:rPr>
        <w:tab/>
        <w:t xml:space="preserve">Análise de sensibilidade das principais premissas financeiras e demográficas </w:t>
      </w:r>
    </w:p>
    <w:p w14:paraId="35C899B1" w14:textId="77777777" w:rsidR="003834D8" w:rsidRPr="00E20D21" w:rsidRDefault="003834D8" w:rsidP="003834D8">
      <w:pPr>
        <w:spacing w:before="120" w:after="240"/>
        <w:ind w:right="254"/>
        <w:jc w:val="both"/>
        <w:rPr>
          <w:rFonts w:ascii="CAIXA Std Book" w:hAnsi="CAIXA Std Book"/>
          <w:color w:val="005CA9"/>
          <w:sz w:val="20"/>
          <w:szCs w:val="20"/>
        </w:rPr>
      </w:pPr>
      <w:r w:rsidRPr="00E20D21">
        <w:rPr>
          <w:rFonts w:ascii="CAIXA Std Book" w:hAnsi="CAIXA Std Book"/>
          <w:color w:val="005CA9"/>
          <w:sz w:val="20"/>
          <w:szCs w:val="20"/>
        </w:rPr>
        <w:t>O objetivo da análise de sensibilidade é mensurar como a obrigação de benefício definido seria afetada por mudanças em determinadas premissas atuariais relevantes, mantidas todas as outras constantes.</w:t>
      </w:r>
    </w:p>
    <w:tbl>
      <w:tblPr>
        <w:tblW w:w="5000" w:type="pct"/>
        <w:tblCellMar>
          <w:left w:w="70" w:type="dxa"/>
          <w:right w:w="70" w:type="dxa"/>
        </w:tblCellMar>
        <w:tblLook w:val="04A0" w:firstRow="1" w:lastRow="0" w:firstColumn="1" w:lastColumn="0" w:noHBand="0" w:noVBand="1"/>
      </w:tblPr>
      <w:tblGrid>
        <w:gridCol w:w="5538"/>
        <w:gridCol w:w="1361"/>
        <w:gridCol w:w="1486"/>
        <w:gridCol w:w="1483"/>
        <w:gridCol w:w="1483"/>
        <w:gridCol w:w="1620"/>
        <w:gridCol w:w="1600"/>
      </w:tblGrid>
      <w:tr w:rsidR="00A47C19" w:rsidRPr="00E20D21" w14:paraId="4C68687D" w14:textId="77777777" w:rsidTr="00A01778">
        <w:trPr>
          <w:trHeight w:val="255"/>
        </w:trPr>
        <w:tc>
          <w:tcPr>
            <w:tcW w:w="5000" w:type="pct"/>
            <w:gridSpan w:val="7"/>
            <w:tcBorders>
              <w:top w:val="single" w:sz="4" w:space="0" w:color="F68F00"/>
              <w:left w:val="nil"/>
              <w:bottom w:val="single" w:sz="4" w:space="0" w:color="F68F00"/>
              <w:right w:val="nil"/>
            </w:tcBorders>
            <w:shd w:val="clear" w:color="auto" w:fill="auto"/>
            <w:vAlign w:val="center"/>
          </w:tcPr>
          <w:p w14:paraId="6BBCFDFB" w14:textId="725CF4DD"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INDIVIDUAL</w:t>
            </w:r>
            <w:r w:rsidR="003A677C">
              <w:rPr>
                <w:rFonts w:ascii="CAIXA Std Book" w:eastAsia="Times New Roman" w:hAnsi="CAIXA Std Book" w:cs="Calibri"/>
                <w:b/>
                <w:color w:val="005CA9"/>
                <w:sz w:val="18"/>
                <w:szCs w:val="18"/>
              </w:rPr>
              <w:t xml:space="preserve"> </w:t>
            </w:r>
            <w:r w:rsidRPr="00E20D21">
              <w:rPr>
                <w:rFonts w:ascii="CAIXA Std Book" w:eastAsia="Times New Roman" w:hAnsi="CAIXA Std Book" w:cs="Calibri"/>
                <w:b/>
                <w:color w:val="005CA9"/>
                <w:sz w:val="18"/>
                <w:szCs w:val="18"/>
              </w:rPr>
              <w:t>/</w:t>
            </w:r>
            <w:r w:rsidR="003A677C">
              <w:rPr>
                <w:rFonts w:ascii="CAIXA Std Book" w:eastAsia="Times New Roman" w:hAnsi="CAIXA Std Book" w:cs="Calibri"/>
                <w:b/>
                <w:color w:val="005CA9"/>
                <w:sz w:val="18"/>
                <w:szCs w:val="18"/>
              </w:rPr>
              <w:t xml:space="preserve"> </w:t>
            </w:r>
            <w:r w:rsidRPr="00E20D21">
              <w:rPr>
                <w:rFonts w:ascii="CAIXA Std Book" w:eastAsia="Times New Roman" w:hAnsi="CAIXA Std Book" w:cs="Calibri"/>
                <w:b/>
                <w:color w:val="005CA9"/>
                <w:sz w:val="18"/>
                <w:szCs w:val="18"/>
              </w:rPr>
              <w:t>CONSOLIDADO</w:t>
            </w:r>
          </w:p>
        </w:tc>
      </w:tr>
      <w:tr w:rsidR="00A47C19" w:rsidRPr="00E20D21" w14:paraId="523B1D3B" w14:textId="77777777" w:rsidTr="00A01778">
        <w:trPr>
          <w:trHeight w:val="255"/>
        </w:trPr>
        <w:tc>
          <w:tcPr>
            <w:tcW w:w="5000" w:type="pct"/>
            <w:gridSpan w:val="7"/>
            <w:tcBorders>
              <w:top w:val="single" w:sz="4" w:space="0" w:color="F68F00"/>
              <w:left w:val="nil"/>
              <w:bottom w:val="single" w:sz="4" w:space="0" w:color="F68F00"/>
              <w:right w:val="nil"/>
            </w:tcBorders>
            <w:shd w:val="clear" w:color="auto" w:fill="auto"/>
            <w:vAlign w:val="center"/>
            <w:hideMark/>
          </w:tcPr>
          <w:p w14:paraId="5C7D693C"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Análise de sensibilidade das principais hipóteses - CPC 33 (R1)</w:t>
            </w:r>
          </w:p>
        </w:tc>
      </w:tr>
      <w:tr w:rsidR="00A47C19" w:rsidRPr="00E20D21" w14:paraId="6F0D47BF" w14:textId="77777777" w:rsidTr="00A01778">
        <w:trPr>
          <w:trHeight w:val="255"/>
        </w:trPr>
        <w:tc>
          <w:tcPr>
            <w:tcW w:w="1900" w:type="pct"/>
            <w:vMerge w:val="restart"/>
            <w:tcBorders>
              <w:top w:val="nil"/>
              <w:left w:val="nil"/>
              <w:bottom w:val="single" w:sz="4" w:space="0" w:color="F68F00"/>
              <w:right w:val="nil"/>
            </w:tcBorders>
            <w:shd w:val="clear" w:color="auto" w:fill="auto"/>
            <w:vAlign w:val="center"/>
            <w:hideMark/>
          </w:tcPr>
          <w:p w14:paraId="40DD32A1"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Descrição</w:t>
            </w:r>
          </w:p>
        </w:tc>
        <w:tc>
          <w:tcPr>
            <w:tcW w:w="977" w:type="pct"/>
            <w:gridSpan w:val="2"/>
            <w:tcBorders>
              <w:top w:val="single" w:sz="4" w:space="0" w:color="F68F00"/>
              <w:left w:val="nil"/>
              <w:bottom w:val="single" w:sz="4" w:space="0" w:color="F68F00"/>
              <w:right w:val="nil"/>
            </w:tcBorders>
            <w:shd w:val="clear" w:color="auto" w:fill="auto"/>
            <w:vAlign w:val="center"/>
            <w:hideMark/>
          </w:tcPr>
          <w:p w14:paraId="00EC2E4C"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Tábua Biométrica</w:t>
            </w:r>
          </w:p>
        </w:tc>
        <w:tc>
          <w:tcPr>
            <w:tcW w:w="1018" w:type="pct"/>
            <w:gridSpan w:val="2"/>
            <w:tcBorders>
              <w:top w:val="single" w:sz="4" w:space="0" w:color="F68F00"/>
              <w:left w:val="nil"/>
              <w:bottom w:val="single" w:sz="4" w:space="0" w:color="F68F00"/>
              <w:right w:val="nil"/>
            </w:tcBorders>
            <w:shd w:val="clear" w:color="auto" w:fill="auto"/>
            <w:vAlign w:val="center"/>
            <w:hideMark/>
          </w:tcPr>
          <w:p w14:paraId="7FB8CAFC"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Taxa de Desconto</w:t>
            </w:r>
          </w:p>
        </w:tc>
        <w:tc>
          <w:tcPr>
            <w:tcW w:w="1105" w:type="pct"/>
            <w:gridSpan w:val="2"/>
            <w:tcBorders>
              <w:top w:val="single" w:sz="4" w:space="0" w:color="F68F00"/>
              <w:left w:val="nil"/>
              <w:bottom w:val="single" w:sz="4" w:space="0" w:color="F68F00"/>
              <w:right w:val="nil"/>
            </w:tcBorders>
            <w:shd w:val="clear" w:color="auto" w:fill="auto"/>
            <w:vAlign w:val="center"/>
            <w:hideMark/>
          </w:tcPr>
          <w:p w14:paraId="6F501A49" w14:textId="77777777" w:rsidR="003834D8" w:rsidRPr="00E20D21" w:rsidRDefault="003834D8" w:rsidP="00A01778">
            <w:pPr>
              <w:jc w:val="center"/>
              <w:rPr>
                <w:rFonts w:ascii="CAIXA Std Book" w:eastAsia="Times New Roman" w:hAnsi="CAIXA Std Book" w:cs="Calibri"/>
                <w:b/>
                <w:i/>
                <w:color w:val="005CA9"/>
                <w:sz w:val="18"/>
                <w:szCs w:val="18"/>
              </w:rPr>
            </w:pPr>
            <w:proofErr w:type="spellStart"/>
            <w:r w:rsidRPr="00E20D21">
              <w:rPr>
                <w:rFonts w:ascii="CAIXA Std Book" w:eastAsia="Times New Roman" w:hAnsi="CAIXA Std Book" w:cs="Calibri"/>
                <w:b/>
                <w:i/>
                <w:color w:val="005CA9"/>
                <w:sz w:val="18"/>
                <w:szCs w:val="18"/>
              </w:rPr>
              <w:t>Aging</w:t>
            </w:r>
            <w:proofErr w:type="spellEnd"/>
            <w:r w:rsidRPr="00E20D21">
              <w:rPr>
                <w:rFonts w:ascii="CAIXA Std Book" w:eastAsia="Times New Roman" w:hAnsi="CAIXA Std Book" w:cs="Calibri"/>
                <w:b/>
                <w:i/>
                <w:color w:val="005CA9"/>
                <w:sz w:val="18"/>
                <w:szCs w:val="18"/>
              </w:rPr>
              <w:t xml:space="preserve"> Factor</w:t>
            </w:r>
          </w:p>
        </w:tc>
      </w:tr>
      <w:tr w:rsidR="00A47C19" w:rsidRPr="00E20D21" w14:paraId="15FA7B8A" w14:textId="77777777" w:rsidTr="00A01778">
        <w:trPr>
          <w:trHeight w:val="255"/>
        </w:trPr>
        <w:tc>
          <w:tcPr>
            <w:tcW w:w="1900" w:type="pct"/>
            <w:vMerge/>
            <w:tcBorders>
              <w:top w:val="nil"/>
              <w:left w:val="nil"/>
              <w:bottom w:val="single" w:sz="4" w:space="0" w:color="F68F00"/>
              <w:right w:val="nil"/>
            </w:tcBorders>
            <w:vAlign w:val="center"/>
            <w:hideMark/>
          </w:tcPr>
          <w:p w14:paraId="6B865382" w14:textId="77777777" w:rsidR="003834D8" w:rsidRPr="00E20D21" w:rsidRDefault="003834D8" w:rsidP="00A01778">
            <w:pPr>
              <w:rPr>
                <w:rFonts w:ascii="CAIXA Std Book" w:eastAsia="Times New Roman" w:hAnsi="CAIXA Std Book" w:cs="Calibri"/>
                <w:b/>
                <w:color w:val="005CA9"/>
                <w:sz w:val="18"/>
                <w:szCs w:val="18"/>
              </w:rPr>
            </w:pPr>
          </w:p>
        </w:tc>
        <w:tc>
          <w:tcPr>
            <w:tcW w:w="467" w:type="pct"/>
            <w:tcBorders>
              <w:top w:val="nil"/>
              <w:left w:val="nil"/>
              <w:bottom w:val="single" w:sz="4" w:space="0" w:color="F68F00"/>
              <w:right w:val="nil"/>
            </w:tcBorders>
            <w:shd w:val="clear" w:color="auto" w:fill="auto"/>
            <w:vAlign w:val="center"/>
            <w:hideMark/>
          </w:tcPr>
          <w:p w14:paraId="1B3E9C70"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+ 1 ano na idade</w:t>
            </w:r>
          </w:p>
        </w:tc>
        <w:tc>
          <w:tcPr>
            <w:tcW w:w="510" w:type="pct"/>
            <w:tcBorders>
              <w:top w:val="nil"/>
              <w:left w:val="nil"/>
              <w:bottom w:val="single" w:sz="4" w:space="0" w:color="F68F00"/>
              <w:right w:val="nil"/>
            </w:tcBorders>
            <w:shd w:val="clear" w:color="auto" w:fill="auto"/>
            <w:vAlign w:val="center"/>
            <w:hideMark/>
          </w:tcPr>
          <w:p w14:paraId="4C04320E"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- 1 ano na idade</w:t>
            </w:r>
          </w:p>
        </w:tc>
        <w:tc>
          <w:tcPr>
            <w:tcW w:w="509" w:type="pct"/>
            <w:tcBorders>
              <w:top w:val="nil"/>
              <w:left w:val="nil"/>
              <w:bottom w:val="single" w:sz="4" w:space="0" w:color="F68F00"/>
              <w:right w:val="nil"/>
            </w:tcBorders>
            <w:shd w:val="clear" w:color="auto" w:fill="auto"/>
            <w:vAlign w:val="center"/>
            <w:hideMark/>
          </w:tcPr>
          <w:p w14:paraId="580113DC"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+ 0,25%</w:t>
            </w:r>
          </w:p>
        </w:tc>
        <w:tc>
          <w:tcPr>
            <w:tcW w:w="509" w:type="pct"/>
            <w:tcBorders>
              <w:top w:val="nil"/>
              <w:left w:val="nil"/>
              <w:bottom w:val="single" w:sz="4" w:space="0" w:color="F68F00"/>
              <w:right w:val="nil"/>
            </w:tcBorders>
            <w:shd w:val="clear" w:color="auto" w:fill="auto"/>
            <w:vAlign w:val="center"/>
            <w:hideMark/>
          </w:tcPr>
          <w:p w14:paraId="3C63B16B"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- 0,25%</w:t>
            </w:r>
          </w:p>
        </w:tc>
        <w:tc>
          <w:tcPr>
            <w:tcW w:w="556" w:type="pct"/>
            <w:tcBorders>
              <w:top w:val="nil"/>
              <w:left w:val="nil"/>
              <w:bottom w:val="single" w:sz="4" w:space="0" w:color="F68F00"/>
              <w:right w:val="nil"/>
            </w:tcBorders>
            <w:shd w:val="clear" w:color="auto" w:fill="auto"/>
            <w:vAlign w:val="center"/>
            <w:hideMark/>
          </w:tcPr>
          <w:p w14:paraId="579A2F2F"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+ 1%</w:t>
            </w:r>
          </w:p>
        </w:tc>
        <w:tc>
          <w:tcPr>
            <w:tcW w:w="549" w:type="pct"/>
            <w:tcBorders>
              <w:top w:val="nil"/>
              <w:left w:val="nil"/>
              <w:bottom w:val="single" w:sz="4" w:space="0" w:color="F68F00"/>
              <w:right w:val="nil"/>
            </w:tcBorders>
            <w:shd w:val="clear" w:color="auto" w:fill="auto"/>
            <w:vAlign w:val="center"/>
            <w:hideMark/>
          </w:tcPr>
          <w:p w14:paraId="51110BB2" w14:textId="77777777" w:rsidR="003834D8" w:rsidRPr="00E20D21" w:rsidRDefault="003834D8" w:rsidP="00A01778">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- 1%</w:t>
            </w:r>
          </w:p>
        </w:tc>
      </w:tr>
      <w:tr w:rsidR="00A47C19" w:rsidRPr="00E20D21" w14:paraId="70199954" w14:textId="77777777" w:rsidTr="00A01778">
        <w:trPr>
          <w:trHeight w:val="255"/>
        </w:trPr>
        <w:tc>
          <w:tcPr>
            <w:tcW w:w="1900" w:type="pct"/>
            <w:tcBorders>
              <w:top w:val="nil"/>
              <w:left w:val="nil"/>
              <w:bottom w:val="nil"/>
              <w:right w:val="nil"/>
            </w:tcBorders>
            <w:shd w:val="clear" w:color="auto" w:fill="auto"/>
            <w:vAlign w:val="center"/>
            <w:hideMark/>
          </w:tcPr>
          <w:p w14:paraId="456228BC" w14:textId="77777777" w:rsidR="003834D8" w:rsidRPr="00E20D21" w:rsidRDefault="003834D8" w:rsidP="00A01778">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Saúde CAIXA</w:t>
            </w:r>
          </w:p>
        </w:tc>
        <w:tc>
          <w:tcPr>
            <w:tcW w:w="467" w:type="pct"/>
            <w:tcBorders>
              <w:top w:val="nil"/>
              <w:left w:val="nil"/>
              <w:bottom w:val="nil"/>
              <w:right w:val="nil"/>
            </w:tcBorders>
            <w:shd w:val="clear" w:color="auto" w:fill="auto"/>
            <w:vAlign w:val="center"/>
            <w:hideMark/>
          </w:tcPr>
          <w:p w14:paraId="61C198B3" w14:textId="77777777" w:rsidR="003834D8" w:rsidRPr="00E20D21" w:rsidRDefault="003834D8" w:rsidP="00A01778">
            <w:pPr>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hideMark/>
          </w:tcPr>
          <w:p w14:paraId="5B0BF427" w14:textId="77777777" w:rsidR="003834D8" w:rsidRPr="00E20D21" w:rsidRDefault="003834D8" w:rsidP="00A01778">
            <w:pPr>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hideMark/>
          </w:tcPr>
          <w:p w14:paraId="74A24FEF" w14:textId="77777777" w:rsidR="003834D8" w:rsidRPr="00E20D21" w:rsidRDefault="003834D8" w:rsidP="00A01778">
            <w:pPr>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hideMark/>
          </w:tcPr>
          <w:p w14:paraId="11E186E0" w14:textId="77777777" w:rsidR="003834D8" w:rsidRPr="00E20D21" w:rsidRDefault="003834D8" w:rsidP="00A01778">
            <w:pPr>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hideMark/>
          </w:tcPr>
          <w:p w14:paraId="14000D61" w14:textId="77777777" w:rsidR="003834D8" w:rsidRPr="00E20D21" w:rsidRDefault="003834D8" w:rsidP="00A01778">
            <w:pPr>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hideMark/>
          </w:tcPr>
          <w:p w14:paraId="610DF916" w14:textId="77777777" w:rsidR="003834D8" w:rsidRPr="00E20D21" w:rsidRDefault="003834D8" w:rsidP="00A01778">
            <w:pPr>
              <w:rPr>
                <w:rFonts w:ascii="CAIXA Std Book" w:eastAsia="Times New Roman" w:hAnsi="CAIXA Std Book" w:cs="Times New Roman"/>
                <w:color w:val="005CA9"/>
                <w:sz w:val="18"/>
                <w:szCs w:val="18"/>
              </w:rPr>
            </w:pPr>
          </w:p>
        </w:tc>
      </w:tr>
      <w:tr w:rsidR="00A47C19" w:rsidRPr="00E20D21" w14:paraId="36BD68BC" w14:textId="77777777" w:rsidTr="00A01778">
        <w:trPr>
          <w:trHeight w:val="255"/>
        </w:trPr>
        <w:tc>
          <w:tcPr>
            <w:tcW w:w="1900" w:type="pct"/>
            <w:tcBorders>
              <w:top w:val="nil"/>
              <w:left w:val="nil"/>
              <w:bottom w:val="nil"/>
              <w:right w:val="nil"/>
            </w:tcBorders>
            <w:shd w:val="clear" w:color="auto" w:fill="auto"/>
            <w:vAlign w:val="center"/>
            <w:hideMark/>
          </w:tcPr>
          <w:p w14:paraId="211C31A4"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51A91973" w14:textId="366B9006"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(564.895)</w:t>
            </w:r>
          </w:p>
        </w:tc>
        <w:tc>
          <w:tcPr>
            <w:tcW w:w="510" w:type="pct"/>
            <w:tcBorders>
              <w:top w:val="nil"/>
              <w:left w:val="nil"/>
              <w:bottom w:val="nil"/>
              <w:right w:val="nil"/>
            </w:tcBorders>
            <w:shd w:val="clear" w:color="auto" w:fill="auto"/>
            <w:vAlign w:val="center"/>
          </w:tcPr>
          <w:p w14:paraId="5F422572" w14:textId="117AE9DE"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(54</w:t>
            </w:r>
            <w:r w:rsidR="00F967E8" w:rsidRPr="00E20D21">
              <w:rPr>
                <w:rFonts w:ascii="CAIXA Std Book" w:hAnsi="CAIXA Std Book" w:cs="Calibri"/>
                <w:color w:val="005CA9"/>
                <w:sz w:val="18"/>
                <w:szCs w:val="18"/>
              </w:rPr>
              <w:t>1</w:t>
            </w:r>
            <w:r w:rsidRPr="00E20D21">
              <w:rPr>
                <w:rFonts w:ascii="CAIXA Std Book" w:hAnsi="CAIXA Std Book" w:cs="Calibri"/>
                <w:color w:val="005CA9"/>
                <w:sz w:val="18"/>
                <w:szCs w:val="18"/>
              </w:rPr>
              <w:t>.552)</w:t>
            </w:r>
          </w:p>
        </w:tc>
        <w:tc>
          <w:tcPr>
            <w:tcW w:w="509" w:type="pct"/>
            <w:tcBorders>
              <w:top w:val="nil"/>
              <w:left w:val="nil"/>
              <w:bottom w:val="nil"/>
              <w:right w:val="nil"/>
            </w:tcBorders>
            <w:shd w:val="clear" w:color="auto" w:fill="auto"/>
            <w:vAlign w:val="center"/>
          </w:tcPr>
          <w:p w14:paraId="07A369FF" w14:textId="0DC35C52"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(552.094)</w:t>
            </w:r>
          </w:p>
        </w:tc>
        <w:tc>
          <w:tcPr>
            <w:tcW w:w="509" w:type="pct"/>
            <w:tcBorders>
              <w:top w:val="nil"/>
              <w:left w:val="nil"/>
              <w:bottom w:val="nil"/>
              <w:right w:val="nil"/>
            </w:tcBorders>
            <w:shd w:val="clear" w:color="auto" w:fill="auto"/>
            <w:vAlign w:val="center"/>
          </w:tcPr>
          <w:p w14:paraId="23261E7A" w14:textId="1AB95D6E"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(547.863)</w:t>
            </w:r>
          </w:p>
        </w:tc>
        <w:tc>
          <w:tcPr>
            <w:tcW w:w="556" w:type="pct"/>
            <w:tcBorders>
              <w:top w:val="nil"/>
              <w:left w:val="nil"/>
              <w:bottom w:val="nil"/>
              <w:right w:val="nil"/>
            </w:tcBorders>
            <w:shd w:val="clear" w:color="auto" w:fill="auto"/>
            <w:noWrap/>
            <w:vAlign w:val="center"/>
          </w:tcPr>
          <w:p w14:paraId="086BE2B3" w14:textId="5441FBCF"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(577.477)</w:t>
            </w:r>
          </w:p>
        </w:tc>
        <w:tc>
          <w:tcPr>
            <w:tcW w:w="549" w:type="pct"/>
            <w:tcBorders>
              <w:top w:val="nil"/>
              <w:left w:val="nil"/>
              <w:bottom w:val="nil"/>
              <w:right w:val="nil"/>
            </w:tcBorders>
            <w:shd w:val="clear" w:color="auto" w:fill="auto"/>
            <w:noWrap/>
            <w:vAlign w:val="center"/>
          </w:tcPr>
          <w:p w14:paraId="2DE49F3B" w14:textId="1E342E1E"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(52</w:t>
            </w:r>
            <w:r w:rsidR="00F967E8" w:rsidRPr="00E20D21">
              <w:rPr>
                <w:rFonts w:ascii="CAIXA Std Book" w:hAnsi="CAIXA Std Book" w:cs="Calibri"/>
                <w:color w:val="005CA9"/>
                <w:sz w:val="18"/>
                <w:szCs w:val="18"/>
              </w:rPr>
              <w:t>7</w:t>
            </w:r>
            <w:r w:rsidRPr="00E20D21">
              <w:rPr>
                <w:rFonts w:ascii="CAIXA Std Book" w:hAnsi="CAIXA Std Book" w:cs="Calibri"/>
                <w:color w:val="005CA9"/>
                <w:sz w:val="18"/>
                <w:szCs w:val="18"/>
              </w:rPr>
              <w:t>.454)</w:t>
            </w:r>
          </w:p>
        </w:tc>
      </w:tr>
      <w:tr w:rsidR="00A47C19" w:rsidRPr="00E20D21" w14:paraId="01044645" w14:textId="77777777" w:rsidTr="00A01778">
        <w:trPr>
          <w:trHeight w:val="255"/>
        </w:trPr>
        <w:tc>
          <w:tcPr>
            <w:tcW w:w="1900" w:type="pct"/>
            <w:tcBorders>
              <w:top w:val="nil"/>
              <w:left w:val="nil"/>
              <w:bottom w:val="nil"/>
              <w:right w:val="nil"/>
            </w:tcBorders>
            <w:shd w:val="clear" w:color="auto" w:fill="auto"/>
            <w:vAlign w:val="center"/>
            <w:hideMark/>
          </w:tcPr>
          <w:p w14:paraId="1B67C705"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774AD2AB" w14:textId="1FFBE9E5"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(12.210.969)</w:t>
            </w:r>
          </w:p>
        </w:tc>
        <w:tc>
          <w:tcPr>
            <w:tcW w:w="510" w:type="pct"/>
            <w:tcBorders>
              <w:top w:val="nil"/>
              <w:left w:val="nil"/>
              <w:bottom w:val="nil"/>
              <w:right w:val="nil"/>
            </w:tcBorders>
            <w:shd w:val="clear" w:color="auto" w:fill="auto"/>
            <w:vAlign w:val="center"/>
          </w:tcPr>
          <w:p w14:paraId="0C80F1BF" w14:textId="1E48AEEB"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(11.576.706)</w:t>
            </w:r>
          </w:p>
        </w:tc>
        <w:tc>
          <w:tcPr>
            <w:tcW w:w="509" w:type="pct"/>
            <w:tcBorders>
              <w:top w:val="nil"/>
              <w:left w:val="nil"/>
              <w:bottom w:val="nil"/>
              <w:right w:val="nil"/>
            </w:tcBorders>
            <w:shd w:val="clear" w:color="auto" w:fill="auto"/>
            <w:vAlign w:val="center"/>
          </w:tcPr>
          <w:p w14:paraId="49C6D72C" w14:textId="656B24BE"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(11.643.548)</w:t>
            </w:r>
          </w:p>
        </w:tc>
        <w:tc>
          <w:tcPr>
            <w:tcW w:w="509" w:type="pct"/>
            <w:tcBorders>
              <w:top w:val="nil"/>
              <w:left w:val="nil"/>
              <w:bottom w:val="nil"/>
              <w:right w:val="nil"/>
            </w:tcBorders>
            <w:shd w:val="clear" w:color="auto" w:fill="auto"/>
            <w:vAlign w:val="center"/>
          </w:tcPr>
          <w:p w14:paraId="6C3981F5" w14:textId="5A6D6FC7"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(12.145.216)</w:t>
            </w:r>
          </w:p>
        </w:tc>
        <w:tc>
          <w:tcPr>
            <w:tcW w:w="556" w:type="pct"/>
            <w:tcBorders>
              <w:top w:val="nil"/>
              <w:left w:val="nil"/>
              <w:bottom w:val="nil"/>
              <w:right w:val="nil"/>
            </w:tcBorders>
            <w:shd w:val="clear" w:color="auto" w:fill="auto"/>
            <w:noWrap/>
            <w:vAlign w:val="center"/>
          </w:tcPr>
          <w:p w14:paraId="753B7F13" w14:textId="33660E91"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(12.476.392)</w:t>
            </w:r>
          </w:p>
        </w:tc>
        <w:tc>
          <w:tcPr>
            <w:tcW w:w="549" w:type="pct"/>
            <w:tcBorders>
              <w:top w:val="nil"/>
              <w:left w:val="nil"/>
              <w:bottom w:val="nil"/>
              <w:right w:val="nil"/>
            </w:tcBorders>
            <w:shd w:val="clear" w:color="auto" w:fill="auto"/>
            <w:noWrap/>
            <w:vAlign w:val="center"/>
          </w:tcPr>
          <w:p w14:paraId="0686EB79" w14:textId="6D49B261" w:rsidR="003834D8" w:rsidRPr="00E20D21" w:rsidRDefault="00965A2F"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(11.406.571)</w:t>
            </w:r>
          </w:p>
        </w:tc>
      </w:tr>
      <w:tr w:rsidR="00A47C19" w:rsidRPr="00E20D21" w14:paraId="10565D34" w14:textId="77777777" w:rsidTr="00A01778">
        <w:trPr>
          <w:trHeight w:val="255"/>
        </w:trPr>
        <w:tc>
          <w:tcPr>
            <w:tcW w:w="1900" w:type="pct"/>
            <w:tcBorders>
              <w:top w:val="nil"/>
              <w:left w:val="nil"/>
              <w:bottom w:val="nil"/>
              <w:right w:val="nil"/>
            </w:tcBorders>
            <w:shd w:val="clear" w:color="auto" w:fill="auto"/>
            <w:vAlign w:val="center"/>
            <w:hideMark/>
          </w:tcPr>
          <w:p w14:paraId="1C087938" w14:textId="77777777" w:rsidR="003834D8" w:rsidRPr="00E20D21" w:rsidRDefault="003834D8" w:rsidP="00A01778">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Auxílio/Cesta-alimentação</w:t>
            </w:r>
          </w:p>
        </w:tc>
        <w:tc>
          <w:tcPr>
            <w:tcW w:w="467" w:type="pct"/>
            <w:tcBorders>
              <w:top w:val="nil"/>
              <w:left w:val="nil"/>
              <w:bottom w:val="nil"/>
              <w:right w:val="nil"/>
            </w:tcBorders>
            <w:shd w:val="clear" w:color="auto" w:fill="auto"/>
            <w:vAlign w:val="center"/>
            <w:hideMark/>
          </w:tcPr>
          <w:p w14:paraId="0C1F1D02" w14:textId="77777777" w:rsidR="003834D8" w:rsidRPr="00E20D21" w:rsidRDefault="003834D8" w:rsidP="00A01778">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hideMark/>
          </w:tcPr>
          <w:p w14:paraId="20A89588"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hideMark/>
          </w:tcPr>
          <w:p w14:paraId="7E7D3C49"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hideMark/>
          </w:tcPr>
          <w:p w14:paraId="257EB5B8"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hideMark/>
          </w:tcPr>
          <w:p w14:paraId="090E1303"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hideMark/>
          </w:tcPr>
          <w:p w14:paraId="7BFC1248" w14:textId="77777777" w:rsidR="003834D8" w:rsidRPr="00E20D21" w:rsidRDefault="003834D8" w:rsidP="00A01778">
            <w:pPr>
              <w:jc w:val="right"/>
              <w:rPr>
                <w:rFonts w:ascii="CAIXA Std Book" w:eastAsia="Times New Roman" w:hAnsi="CAIXA Std Book" w:cs="Times New Roman"/>
                <w:color w:val="005CA9"/>
                <w:sz w:val="18"/>
                <w:szCs w:val="18"/>
              </w:rPr>
            </w:pPr>
          </w:p>
        </w:tc>
      </w:tr>
      <w:tr w:rsidR="00A47C19" w:rsidRPr="00E20D21" w14:paraId="1004C2AB" w14:textId="77777777" w:rsidTr="00A01778">
        <w:trPr>
          <w:trHeight w:val="255"/>
        </w:trPr>
        <w:tc>
          <w:tcPr>
            <w:tcW w:w="1900" w:type="pct"/>
            <w:tcBorders>
              <w:top w:val="nil"/>
              <w:left w:val="nil"/>
              <w:bottom w:val="nil"/>
              <w:right w:val="nil"/>
            </w:tcBorders>
            <w:shd w:val="clear" w:color="auto" w:fill="auto"/>
            <w:vAlign w:val="center"/>
            <w:hideMark/>
          </w:tcPr>
          <w:p w14:paraId="5C424FE8"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77006413" w14:textId="075061D7"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(83.673)</w:t>
            </w:r>
          </w:p>
        </w:tc>
        <w:tc>
          <w:tcPr>
            <w:tcW w:w="510" w:type="pct"/>
            <w:tcBorders>
              <w:top w:val="nil"/>
              <w:left w:val="nil"/>
              <w:bottom w:val="nil"/>
              <w:right w:val="nil"/>
            </w:tcBorders>
            <w:shd w:val="clear" w:color="auto" w:fill="auto"/>
            <w:vAlign w:val="center"/>
          </w:tcPr>
          <w:p w14:paraId="650C2336" w14:textId="31C61E3E"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(88.344)</w:t>
            </w:r>
          </w:p>
        </w:tc>
        <w:tc>
          <w:tcPr>
            <w:tcW w:w="509" w:type="pct"/>
            <w:tcBorders>
              <w:top w:val="nil"/>
              <w:left w:val="nil"/>
              <w:bottom w:val="nil"/>
              <w:right w:val="nil"/>
            </w:tcBorders>
            <w:shd w:val="clear" w:color="auto" w:fill="auto"/>
            <w:vAlign w:val="center"/>
          </w:tcPr>
          <w:p w14:paraId="1DAFC7A1" w14:textId="1882FFA7"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(86.755)</w:t>
            </w:r>
          </w:p>
        </w:tc>
        <w:tc>
          <w:tcPr>
            <w:tcW w:w="509" w:type="pct"/>
            <w:tcBorders>
              <w:top w:val="nil"/>
              <w:left w:val="nil"/>
              <w:bottom w:val="nil"/>
              <w:right w:val="nil"/>
            </w:tcBorders>
            <w:shd w:val="clear" w:color="auto" w:fill="auto"/>
            <w:vAlign w:val="center"/>
          </w:tcPr>
          <w:p w14:paraId="7B8A2C5F" w14:textId="749655F3"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(85.254)</w:t>
            </w:r>
          </w:p>
        </w:tc>
        <w:tc>
          <w:tcPr>
            <w:tcW w:w="556" w:type="pct"/>
            <w:tcBorders>
              <w:top w:val="nil"/>
              <w:left w:val="nil"/>
              <w:bottom w:val="nil"/>
              <w:right w:val="nil"/>
            </w:tcBorders>
            <w:shd w:val="clear" w:color="auto" w:fill="auto"/>
            <w:noWrap/>
            <w:vAlign w:val="center"/>
          </w:tcPr>
          <w:p w14:paraId="7ED54440" w14:textId="77777777" w:rsidR="003834D8" w:rsidRPr="00E20D21" w:rsidRDefault="003834D8" w:rsidP="00833D52">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56A8424F" w14:textId="77777777" w:rsidR="003834D8" w:rsidRPr="00E20D21" w:rsidRDefault="003834D8" w:rsidP="00833D52">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1485E8F3" w14:textId="77777777" w:rsidTr="00A01778">
        <w:trPr>
          <w:trHeight w:val="255"/>
        </w:trPr>
        <w:tc>
          <w:tcPr>
            <w:tcW w:w="1900" w:type="pct"/>
            <w:tcBorders>
              <w:top w:val="nil"/>
              <w:left w:val="nil"/>
              <w:bottom w:val="nil"/>
              <w:right w:val="nil"/>
            </w:tcBorders>
            <w:shd w:val="clear" w:color="auto" w:fill="auto"/>
            <w:vAlign w:val="center"/>
            <w:hideMark/>
          </w:tcPr>
          <w:p w14:paraId="21ACD82A"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7EED8604" w14:textId="466C3287"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(1.826.922)</w:t>
            </w:r>
          </w:p>
        </w:tc>
        <w:tc>
          <w:tcPr>
            <w:tcW w:w="510" w:type="pct"/>
            <w:tcBorders>
              <w:top w:val="nil"/>
              <w:left w:val="nil"/>
              <w:bottom w:val="nil"/>
              <w:right w:val="nil"/>
            </w:tcBorders>
            <w:shd w:val="clear" w:color="auto" w:fill="auto"/>
            <w:vAlign w:val="center"/>
          </w:tcPr>
          <w:p w14:paraId="793B4195" w14:textId="3FDB4A92"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(1.923.393)</w:t>
            </w:r>
          </w:p>
        </w:tc>
        <w:tc>
          <w:tcPr>
            <w:tcW w:w="509" w:type="pct"/>
            <w:tcBorders>
              <w:top w:val="nil"/>
              <w:left w:val="nil"/>
              <w:bottom w:val="nil"/>
              <w:right w:val="nil"/>
            </w:tcBorders>
            <w:shd w:val="clear" w:color="auto" w:fill="auto"/>
            <w:vAlign w:val="center"/>
          </w:tcPr>
          <w:p w14:paraId="714FF453" w14:textId="5AC8A199"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(1.845.486)</w:t>
            </w:r>
          </w:p>
        </w:tc>
        <w:tc>
          <w:tcPr>
            <w:tcW w:w="509" w:type="pct"/>
            <w:tcBorders>
              <w:top w:val="nil"/>
              <w:left w:val="nil"/>
              <w:bottom w:val="nil"/>
              <w:right w:val="nil"/>
            </w:tcBorders>
            <w:shd w:val="clear" w:color="auto" w:fill="auto"/>
            <w:vAlign w:val="center"/>
          </w:tcPr>
          <w:p w14:paraId="235D1674" w14:textId="5DEC4D43"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(1.906.239)</w:t>
            </w:r>
          </w:p>
        </w:tc>
        <w:tc>
          <w:tcPr>
            <w:tcW w:w="556" w:type="pct"/>
            <w:tcBorders>
              <w:top w:val="nil"/>
              <w:left w:val="nil"/>
              <w:bottom w:val="nil"/>
              <w:right w:val="nil"/>
            </w:tcBorders>
            <w:shd w:val="clear" w:color="auto" w:fill="auto"/>
            <w:noWrap/>
            <w:vAlign w:val="center"/>
          </w:tcPr>
          <w:p w14:paraId="4533352F" w14:textId="77777777" w:rsidR="003834D8" w:rsidRPr="00E20D21" w:rsidRDefault="003834D8" w:rsidP="00833D52">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588C2C22" w14:textId="77777777" w:rsidR="003834D8" w:rsidRPr="00E20D21" w:rsidRDefault="003834D8" w:rsidP="00833D52">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228DC031" w14:textId="77777777" w:rsidTr="00A01778">
        <w:trPr>
          <w:trHeight w:val="255"/>
        </w:trPr>
        <w:tc>
          <w:tcPr>
            <w:tcW w:w="1900" w:type="pct"/>
            <w:tcBorders>
              <w:top w:val="nil"/>
              <w:left w:val="nil"/>
              <w:bottom w:val="nil"/>
              <w:right w:val="nil"/>
            </w:tcBorders>
            <w:shd w:val="clear" w:color="auto" w:fill="auto"/>
            <w:vAlign w:val="center"/>
            <w:hideMark/>
          </w:tcPr>
          <w:p w14:paraId="70466886" w14:textId="77777777" w:rsidR="003834D8" w:rsidRPr="00E20D21" w:rsidRDefault="003834D8" w:rsidP="00A01778">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EX-PREVHAB</w:t>
            </w:r>
          </w:p>
        </w:tc>
        <w:tc>
          <w:tcPr>
            <w:tcW w:w="467" w:type="pct"/>
            <w:tcBorders>
              <w:top w:val="nil"/>
              <w:left w:val="nil"/>
              <w:bottom w:val="nil"/>
              <w:right w:val="nil"/>
            </w:tcBorders>
            <w:shd w:val="clear" w:color="auto" w:fill="auto"/>
            <w:vAlign w:val="center"/>
          </w:tcPr>
          <w:p w14:paraId="5824CA00" w14:textId="77777777" w:rsidR="003834D8" w:rsidRPr="00E20D21" w:rsidRDefault="003834D8" w:rsidP="00A01778">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16663C71"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6B2977BE"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30E392CF"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2583E080" w14:textId="77777777" w:rsidR="003834D8" w:rsidRPr="00E20D21" w:rsidRDefault="003834D8" w:rsidP="00833D52">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4F48450C" w14:textId="77777777" w:rsidR="003834D8" w:rsidRPr="00E20D21" w:rsidRDefault="003834D8" w:rsidP="00833D52">
            <w:pPr>
              <w:jc w:val="right"/>
              <w:rPr>
                <w:rFonts w:ascii="CAIXA Std Book" w:eastAsia="Times New Roman" w:hAnsi="CAIXA Std Book" w:cs="Times New Roman"/>
                <w:color w:val="005CA9"/>
                <w:sz w:val="18"/>
                <w:szCs w:val="18"/>
              </w:rPr>
            </w:pPr>
          </w:p>
        </w:tc>
      </w:tr>
      <w:tr w:rsidR="00A47C19" w:rsidRPr="00E20D21" w14:paraId="0504BB3E" w14:textId="77777777" w:rsidTr="00A01778">
        <w:trPr>
          <w:trHeight w:val="255"/>
        </w:trPr>
        <w:tc>
          <w:tcPr>
            <w:tcW w:w="1900" w:type="pct"/>
            <w:tcBorders>
              <w:top w:val="nil"/>
              <w:left w:val="nil"/>
              <w:bottom w:val="nil"/>
              <w:right w:val="nil"/>
            </w:tcBorders>
            <w:shd w:val="clear" w:color="auto" w:fill="auto"/>
            <w:vAlign w:val="center"/>
            <w:hideMark/>
          </w:tcPr>
          <w:p w14:paraId="3312E1AE"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7668ADCB" w14:textId="4D5CE5A5"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(2.845)</w:t>
            </w:r>
          </w:p>
        </w:tc>
        <w:tc>
          <w:tcPr>
            <w:tcW w:w="510" w:type="pct"/>
            <w:tcBorders>
              <w:top w:val="nil"/>
              <w:left w:val="nil"/>
              <w:bottom w:val="nil"/>
              <w:right w:val="nil"/>
            </w:tcBorders>
            <w:shd w:val="clear" w:color="auto" w:fill="auto"/>
            <w:vAlign w:val="center"/>
          </w:tcPr>
          <w:p w14:paraId="28E03FEE" w14:textId="7FE2D0C4"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(2.977)</w:t>
            </w:r>
          </w:p>
        </w:tc>
        <w:tc>
          <w:tcPr>
            <w:tcW w:w="509" w:type="pct"/>
            <w:tcBorders>
              <w:top w:val="nil"/>
              <w:left w:val="nil"/>
              <w:bottom w:val="nil"/>
              <w:right w:val="nil"/>
            </w:tcBorders>
            <w:shd w:val="clear" w:color="auto" w:fill="auto"/>
            <w:vAlign w:val="center"/>
          </w:tcPr>
          <w:p w14:paraId="3E01589D" w14:textId="3B6FE9A3"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(2.862)</w:t>
            </w:r>
          </w:p>
        </w:tc>
        <w:tc>
          <w:tcPr>
            <w:tcW w:w="509" w:type="pct"/>
            <w:tcBorders>
              <w:top w:val="nil"/>
              <w:left w:val="nil"/>
              <w:bottom w:val="nil"/>
              <w:right w:val="nil"/>
            </w:tcBorders>
            <w:shd w:val="clear" w:color="auto" w:fill="auto"/>
            <w:vAlign w:val="center"/>
          </w:tcPr>
          <w:p w14:paraId="54B15FFE" w14:textId="4F62E48F"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(2.960)</w:t>
            </w:r>
          </w:p>
        </w:tc>
        <w:tc>
          <w:tcPr>
            <w:tcW w:w="556" w:type="pct"/>
            <w:tcBorders>
              <w:top w:val="nil"/>
              <w:left w:val="nil"/>
              <w:bottom w:val="nil"/>
              <w:right w:val="nil"/>
            </w:tcBorders>
            <w:shd w:val="clear" w:color="auto" w:fill="auto"/>
            <w:noWrap/>
            <w:vAlign w:val="center"/>
          </w:tcPr>
          <w:p w14:paraId="33BC6EC3"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5EF2005C"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532038DE" w14:textId="77777777" w:rsidTr="00A01778">
        <w:trPr>
          <w:trHeight w:val="255"/>
        </w:trPr>
        <w:tc>
          <w:tcPr>
            <w:tcW w:w="1900" w:type="pct"/>
            <w:tcBorders>
              <w:top w:val="nil"/>
              <w:left w:val="nil"/>
              <w:bottom w:val="nil"/>
              <w:right w:val="nil"/>
            </w:tcBorders>
            <w:shd w:val="clear" w:color="auto" w:fill="auto"/>
            <w:vAlign w:val="center"/>
            <w:hideMark/>
          </w:tcPr>
          <w:p w14:paraId="218FE9A1"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2902907E" w14:textId="1FE733B1"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(62.335)</w:t>
            </w:r>
          </w:p>
        </w:tc>
        <w:tc>
          <w:tcPr>
            <w:tcW w:w="510" w:type="pct"/>
            <w:tcBorders>
              <w:top w:val="nil"/>
              <w:left w:val="nil"/>
              <w:bottom w:val="nil"/>
              <w:right w:val="nil"/>
            </w:tcBorders>
            <w:shd w:val="clear" w:color="auto" w:fill="auto"/>
            <w:vAlign w:val="center"/>
          </w:tcPr>
          <w:p w14:paraId="626E04CB" w14:textId="03B6DCCE"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(65.060)</w:t>
            </w:r>
          </w:p>
        </w:tc>
        <w:tc>
          <w:tcPr>
            <w:tcW w:w="509" w:type="pct"/>
            <w:tcBorders>
              <w:top w:val="nil"/>
              <w:left w:val="nil"/>
              <w:bottom w:val="nil"/>
              <w:right w:val="nil"/>
            </w:tcBorders>
            <w:shd w:val="clear" w:color="auto" w:fill="auto"/>
            <w:vAlign w:val="center"/>
          </w:tcPr>
          <w:p w14:paraId="31BAC37A" w14:textId="1941739A"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(62.694)</w:t>
            </w:r>
          </w:p>
        </w:tc>
        <w:tc>
          <w:tcPr>
            <w:tcW w:w="509" w:type="pct"/>
            <w:tcBorders>
              <w:top w:val="nil"/>
              <w:left w:val="nil"/>
              <w:bottom w:val="nil"/>
              <w:right w:val="nil"/>
            </w:tcBorders>
            <w:shd w:val="clear" w:color="auto" w:fill="auto"/>
            <w:vAlign w:val="center"/>
          </w:tcPr>
          <w:p w14:paraId="64E9F017" w14:textId="7EFC8739"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(64.715)</w:t>
            </w:r>
          </w:p>
        </w:tc>
        <w:tc>
          <w:tcPr>
            <w:tcW w:w="556" w:type="pct"/>
            <w:tcBorders>
              <w:top w:val="nil"/>
              <w:left w:val="nil"/>
              <w:bottom w:val="nil"/>
              <w:right w:val="nil"/>
            </w:tcBorders>
            <w:shd w:val="clear" w:color="auto" w:fill="auto"/>
            <w:noWrap/>
            <w:vAlign w:val="center"/>
          </w:tcPr>
          <w:p w14:paraId="7DAC9B36"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61CB664B"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0527890F" w14:textId="77777777" w:rsidTr="00A01778">
        <w:trPr>
          <w:trHeight w:val="255"/>
        </w:trPr>
        <w:tc>
          <w:tcPr>
            <w:tcW w:w="1900" w:type="pct"/>
            <w:tcBorders>
              <w:top w:val="nil"/>
              <w:left w:val="nil"/>
              <w:bottom w:val="nil"/>
              <w:right w:val="nil"/>
            </w:tcBorders>
            <w:shd w:val="clear" w:color="auto" w:fill="auto"/>
            <w:vAlign w:val="center"/>
            <w:hideMark/>
          </w:tcPr>
          <w:p w14:paraId="16326C86" w14:textId="77777777" w:rsidR="003834D8" w:rsidRPr="00E20D21" w:rsidRDefault="003834D8" w:rsidP="00A01778">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REG/REPLAN saldado</w:t>
            </w:r>
          </w:p>
        </w:tc>
        <w:tc>
          <w:tcPr>
            <w:tcW w:w="467" w:type="pct"/>
            <w:tcBorders>
              <w:top w:val="nil"/>
              <w:left w:val="nil"/>
              <w:bottom w:val="nil"/>
              <w:right w:val="nil"/>
            </w:tcBorders>
            <w:shd w:val="clear" w:color="auto" w:fill="auto"/>
            <w:vAlign w:val="center"/>
          </w:tcPr>
          <w:p w14:paraId="277A1C49" w14:textId="77777777" w:rsidR="003834D8" w:rsidRPr="00E20D21" w:rsidRDefault="003834D8" w:rsidP="00A01778">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129BDA90"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001C8914"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61C371AC"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21ECB02D" w14:textId="77777777" w:rsidR="003834D8" w:rsidRPr="00E20D21" w:rsidRDefault="003834D8" w:rsidP="00D8530A">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102F644D" w14:textId="77777777" w:rsidR="003834D8" w:rsidRPr="00E20D21" w:rsidRDefault="003834D8" w:rsidP="00D8530A">
            <w:pPr>
              <w:jc w:val="right"/>
              <w:rPr>
                <w:rFonts w:ascii="CAIXA Std Book" w:eastAsia="Times New Roman" w:hAnsi="CAIXA Std Book" w:cs="Times New Roman"/>
                <w:color w:val="005CA9"/>
                <w:sz w:val="18"/>
                <w:szCs w:val="18"/>
              </w:rPr>
            </w:pPr>
          </w:p>
        </w:tc>
      </w:tr>
      <w:tr w:rsidR="00A47C19" w:rsidRPr="00E20D21" w14:paraId="63FCBC64" w14:textId="77777777" w:rsidTr="00A01778">
        <w:trPr>
          <w:trHeight w:val="255"/>
        </w:trPr>
        <w:tc>
          <w:tcPr>
            <w:tcW w:w="1900" w:type="pct"/>
            <w:tcBorders>
              <w:top w:val="nil"/>
              <w:left w:val="nil"/>
              <w:bottom w:val="nil"/>
              <w:right w:val="nil"/>
            </w:tcBorders>
            <w:shd w:val="clear" w:color="auto" w:fill="auto"/>
            <w:vAlign w:val="center"/>
            <w:hideMark/>
          </w:tcPr>
          <w:p w14:paraId="58C1C8EF"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1D46536A" w14:textId="38DCA353"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(2.948.094)</w:t>
            </w:r>
          </w:p>
        </w:tc>
        <w:tc>
          <w:tcPr>
            <w:tcW w:w="510" w:type="pct"/>
            <w:tcBorders>
              <w:top w:val="nil"/>
              <w:left w:val="nil"/>
              <w:bottom w:val="nil"/>
              <w:right w:val="nil"/>
            </w:tcBorders>
            <w:shd w:val="clear" w:color="auto" w:fill="auto"/>
            <w:vAlign w:val="center"/>
          </w:tcPr>
          <w:p w14:paraId="2DFAD423" w14:textId="03726652"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(3.062.906)</w:t>
            </w:r>
          </w:p>
        </w:tc>
        <w:tc>
          <w:tcPr>
            <w:tcW w:w="509" w:type="pct"/>
            <w:tcBorders>
              <w:top w:val="nil"/>
              <w:left w:val="nil"/>
              <w:bottom w:val="nil"/>
              <w:right w:val="nil"/>
            </w:tcBorders>
            <w:shd w:val="clear" w:color="auto" w:fill="auto"/>
            <w:vAlign w:val="center"/>
          </w:tcPr>
          <w:p w14:paraId="0AA91943" w14:textId="56CC0FFC"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(2.936.751)</w:t>
            </w:r>
          </w:p>
        </w:tc>
        <w:tc>
          <w:tcPr>
            <w:tcW w:w="509" w:type="pct"/>
            <w:tcBorders>
              <w:top w:val="nil"/>
              <w:left w:val="nil"/>
              <w:bottom w:val="nil"/>
              <w:right w:val="nil"/>
            </w:tcBorders>
            <w:shd w:val="clear" w:color="auto" w:fill="auto"/>
            <w:vAlign w:val="center"/>
          </w:tcPr>
          <w:p w14:paraId="143ACAF3" w14:textId="6D8E193A"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(3.073.051)</w:t>
            </w:r>
          </w:p>
        </w:tc>
        <w:tc>
          <w:tcPr>
            <w:tcW w:w="556" w:type="pct"/>
            <w:tcBorders>
              <w:top w:val="nil"/>
              <w:left w:val="nil"/>
              <w:bottom w:val="nil"/>
              <w:right w:val="nil"/>
            </w:tcBorders>
            <w:shd w:val="clear" w:color="auto" w:fill="auto"/>
            <w:noWrap/>
            <w:vAlign w:val="center"/>
          </w:tcPr>
          <w:p w14:paraId="2E889B2E"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49B5F174"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2FEC3EAC" w14:textId="77777777" w:rsidTr="00A01778">
        <w:trPr>
          <w:trHeight w:val="255"/>
        </w:trPr>
        <w:tc>
          <w:tcPr>
            <w:tcW w:w="1900" w:type="pct"/>
            <w:tcBorders>
              <w:top w:val="nil"/>
              <w:left w:val="nil"/>
              <w:bottom w:val="nil"/>
              <w:right w:val="nil"/>
            </w:tcBorders>
            <w:shd w:val="clear" w:color="auto" w:fill="auto"/>
            <w:vAlign w:val="center"/>
            <w:hideMark/>
          </w:tcPr>
          <w:p w14:paraId="71D42C94"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73BF2B50" w14:textId="7F6AA85F"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(63.759.847)</w:t>
            </w:r>
          </w:p>
        </w:tc>
        <w:tc>
          <w:tcPr>
            <w:tcW w:w="510" w:type="pct"/>
            <w:tcBorders>
              <w:top w:val="nil"/>
              <w:left w:val="nil"/>
              <w:bottom w:val="nil"/>
              <w:right w:val="nil"/>
            </w:tcBorders>
            <w:shd w:val="clear" w:color="auto" w:fill="auto"/>
            <w:vAlign w:val="center"/>
          </w:tcPr>
          <w:p w14:paraId="07ED9E84" w14:textId="39CA50B4"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(66.135.902)</w:t>
            </w:r>
          </w:p>
        </w:tc>
        <w:tc>
          <w:tcPr>
            <w:tcW w:w="509" w:type="pct"/>
            <w:tcBorders>
              <w:top w:val="nil"/>
              <w:left w:val="nil"/>
              <w:bottom w:val="nil"/>
              <w:right w:val="nil"/>
            </w:tcBorders>
            <w:shd w:val="clear" w:color="auto" w:fill="auto"/>
            <w:vAlign w:val="center"/>
          </w:tcPr>
          <w:p w14:paraId="41E6EA92" w14:textId="2186DD8A"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(63.525.116)</w:t>
            </w:r>
          </w:p>
        </w:tc>
        <w:tc>
          <w:tcPr>
            <w:tcW w:w="509" w:type="pct"/>
            <w:tcBorders>
              <w:top w:val="nil"/>
              <w:left w:val="nil"/>
              <w:bottom w:val="nil"/>
              <w:right w:val="nil"/>
            </w:tcBorders>
            <w:shd w:val="clear" w:color="auto" w:fill="auto"/>
            <w:vAlign w:val="center"/>
          </w:tcPr>
          <w:p w14:paraId="52C1BADB" w14:textId="4DEDA9EF"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(66.345.857)</w:t>
            </w:r>
          </w:p>
        </w:tc>
        <w:tc>
          <w:tcPr>
            <w:tcW w:w="556" w:type="pct"/>
            <w:tcBorders>
              <w:top w:val="nil"/>
              <w:left w:val="nil"/>
              <w:bottom w:val="nil"/>
              <w:right w:val="nil"/>
            </w:tcBorders>
            <w:shd w:val="clear" w:color="auto" w:fill="auto"/>
            <w:noWrap/>
            <w:vAlign w:val="center"/>
          </w:tcPr>
          <w:p w14:paraId="6D2A38E6"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07D5CB7D"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1A7F3AE7" w14:textId="77777777" w:rsidTr="00A01778">
        <w:trPr>
          <w:trHeight w:val="255"/>
        </w:trPr>
        <w:tc>
          <w:tcPr>
            <w:tcW w:w="1900" w:type="pct"/>
            <w:tcBorders>
              <w:top w:val="nil"/>
              <w:left w:val="nil"/>
              <w:bottom w:val="nil"/>
              <w:right w:val="nil"/>
            </w:tcBorders>
            <w:shd w:val="clear" w:color="auto" w:fill="auto"/>
            <w:vAlign w:val="center"/>
            <w:hideMark/>
          </w:tcPr>
          <w:p w14:paraId="152D122C" w14:textId="77777777" w:rsidR="003834D8" w:rsidRPr="00E20D21" w:rsidRDefault="003834D8" w:rsidP="00A01778">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REG/REPLAN não saldado</w:t>
            </w:r>
          </w:p>
        </w:tc>
        <w:tc>
          <w:tcPr>
            <w:tcW w:w="467" w:type="pct"/>
            <w:tcBorders>
              <w:top w:val="nil"/>
              <w:left w:val="nil"/>
              <w:bottom w:val="nil"/>
              <w:right w:val="nil"/>
            </w:tcBorders>
            <w:shd w:val="clear" w:color="auto" w:fill="auto"/>
            <w:vAlign w:val="center"/>
          </w:tcPr>
          <w:p w14:paraId="7D1ED29C" w14:textId="77777777" w:rsidR="003834D8" w:rsidRPr="00E20D21" w:rsidRDefault="003834D8" w:rsidP="00A01778">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2282A675"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09388CAE"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5979AF33"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2C431603" w14:textId="77777777" w:rsidR="003834D8" w:rsidRPr="00E20D21" w:rsidRDefault="003834D8" w:rsidP="00D8530A">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24B04CCE" w14:textId="77777777" w:rsidR="003834D8" w:rsidRPr="00E20D21" w:rsidRDefault="003834D8" w:rsidP="00D8530A">
            <w:pPr>
              <w:jc w:val="right"/>
              <w:rPr>
                <w:rFonts w:ascii="CAIXA Std Book" w:eastAsia="Times New Roman" w:hAnsi="CAIXA Std Book" w:cs="Times New Roman"/>
                <w:color w:val="005CA9"/>
                <w:sz w:val="18"/>
                <w:szCs w:val="18"/>
              </w:rPr>
            </w:pPr>
          </w:p>
        </w:tc>
      </w:tr>
      <w:tr w:rsidR="00A47C19" w:rsidRPr="00E20D21" w14:paraId="2DE132C6" w14:textId="77777777" w:rsidTr="00A01778">
        <w:trPr>
          <w:trHeight w:val="255"/>
        </w:trPr>
        <w:tc>
          <w:tcPr>
            <w:tcW w:w="1900" w:type="pct"/>
            <w:tcBorders>
              <w:top w:val="nil"/>
              <w:left w:val="nil"/>
              <w:bottom w:val="nil"/>
              <w:right w:val="nil"/>
            </w:tcBorders>
            <w:shd w:val="clear" w:color="auto" w:fill="auto"/>
            <w:vAlign w:val="center"/>
            <w:hideMark/>
          </w:tcPr>
          <w:p w14:paraId="1E036F03"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04C67752" w14:textId="319D1582"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(313.652)</w:t>
            </w:r>
          </w:p>
        </w:tc>
        <w:tc>
          <w:tcPr>
            <w:tcW w:w="510" w:type="pct"/>
            <w:tcBorders>
              <w:top w:val="nil"/>
              <w:left w:val="nil"/>
              <w:bottom w:val="nil"/>
              <w:right w:val="nil"/>
            </w:tcBorders>
            <w:shd w:val="clear" w:color="auto" w:fill="auto"/>
            <w:vAlign w:val="center"/>
          </w:tcPr>
          <w:p w14:paraId="4CDC453A" w14:textId="724EF457"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(325.445)</w:t>
            </w:r>
          </w:p>
        </w:tc>
        <w:tc>
          <w:tcPr>
            <w:tcW w:w="509" w:type="pct"/>
            <w:tcBorders>
              <w:top w:val="nil"/>
              <w:left w:val="nil"/>
              <w:bottom w:val="nil"/>
              <w:right w:val="nil"/>
            </w:tcBorders>
            <w:shd w:val="clear" w:color="auto" w:fill="auto"/>
            <w:vAlign w:val="center"/>
          </w:tcPr>
          <w:p w14:paraId="3958A401" w14:textId="5A009ED2"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(312.146)</w:t>
            </w:r>
          </w:p>
        </w:tc>
        <w:tc>
          <w:tcPr>
            <w:tcW w:w="509" w:type="pct"/>
            <w:tcBorders>
              <w:top w:val="nil"/>
              <w:left w:val="nil"/>
              <w:bottom w:val="nil"/>
              <w:right w:val="nil"/>
            </w:tcBorders>
            <w:shd w:val="clear" w:color="auto" w:fill="auto"/>
            <w:vAlign w:val="center"/>
          </w:tcPr>
          <w:p w14:paraId="18987D5A" w14:textId="64D9C9CF"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(327.017)</w:t>
            </w:r>
          </w:p>
        </w:tc>
        <w:tc>
          <w:tcPr>
            <w:tcW w:w="556" w:type="pct"/>
            <w:tcBorders>
              <w:top w:val="nil"/>
              <w:left w:val="nil"/>
              <w:bottom w:val="nil"/>
              <w:right w:val="nil"/>
            </w:tcBorders>
            <w:shd w:val="clear" w:color="auto" w:fill="auto"/>
            <w:noWrap/>
            <w:vAlign w:val="center"/>
          </w:tcPr>
          <w:p w14:paraId="2D0DA802"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7FF3250C"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30CBAFDC" w14:textId="77777777" w:rsidTr="00A01778">
        <w:trPr>
          <w:trHeight w:val="255"/>
        </w:trPr>
        <w:tc>
          <w:tcPr>
            <w:tcW w:w="1900" w:type="pct"/>
            <w:tcBorders>
              <w:top w:val="nil"/>
              <w:left w:val="nil"/>
              <w:bottom w:val="nil"/>
              <w:right w:val="nil"/>
            </w:tcBorders>
            <w:shd w:val="clear" w:color="auto" w:fill="auto"/>
            <w:vAlign w:val="center"/>
            <w:hideMark/>
          </w:tcPr>
          <w:p w14:paraId="3365A1AF"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5CF8828D" w14:textId="121FFD24"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(6.774.161)</w:t>
            </w:r>
          </w:p>
        </w:tc>
        <w:tc>
          <w:tcPr>
            <w:tcW w:w="510" w:type="pct"/>
            <w:tcBorders>
              <w:top w:val="nil"/>
              <w:left w:val="nil"/>
              <w:bottom w:val="nil"/>
              <w:right w:val="nil"/>
            </w:tcBorders>
            <w:shd w:val="clear" w:color="auto" w:fill="auto"/>
            <w:vAlign w:val="center"/>
          </w:tcPr>
          <w:p w14:paraId="44B53C1B" w14:textId="703F19FA"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(7.018.220)</w:t>
            </w:r>
          </w:p>
        </w:tc>
        <w:tc>
          <w:tcPr>
            <w:tcW w:w="509" w:type="pct"/>
            <w:tcBorders>
              <w:top w:val="nil"/>
              <w:left w:val="nil"/>
              <w:bottom w:val="nil"/>
              <w:right w:val="nil"/>
            </w:tcBorders>
            <w:shd w:val="clear" w:color="auto" w:fill="auto"/>
            <w:vAlign w:val="center"/>
          </w:tcPr>
          <w:p w14:paraId="77CFAC53" w14:textId="3FD48C19"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(6.742.997)</w:t>
            </w:r>
          </w:p>
        </w:tc>
        <w:tc>
          <w:tcPr>
            <w:tcW w:w="509" w:type="pct"/>
            <w:tcBorders>
              <w:top w:val="nil"/>
              <w:left w:val="nil"/>
              <w:bottom w:val="nil"/>
              <w:right w:val="nil"/>
            </w:tcBorders>
            <w:shd w:val="clear" w:color="auto" w:fill="auto"/>
            <w:vAlign w:val="center"/>
          </w:tcPr>
          <w:p w14:paraId="7512E828" w14:textId="580F73B9"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(7.050.747)</w:t>
            </w:r>
          </w:p>
        </w:tc>
        <w:tc>
          <w:tcPr>
            <w:tcW w:w="556" w:type="pct"/>
            <w:tcBorders>
              <w:top w:val="nil"/>
              <w:left w:val="nil"/>
              <w:bottom w:val="nil"/>
              <w:right w:val="nil"/>
            </w:tcBorders>
            <w:shd w:val="clear" w:color="auto" w:fill="auto"/>
            <w:noWrap/>
            <w:vAlign w:val="center"/>
          </w:tcPr>
          <w:p w14:paraId="7161380C"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39B00564"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50392EE3" w14:textId="77777777" w:rsidTr="00A01778">
        <w:trPr>
          <w:trHeight w:val="255"/>
        </w:trPr>
        <w:tc>
          <w:tcPr>
            <w:tcW w:w="1900" w:type="pct"/>
            <w:tcBorders>
              <w:top w:val="nil"/>
              <w:left w:val="nil"/>
              <w:bottom w:val="nil"/>
              <w:right w:val="nil"/>
            </w:tcBorders>
            <w:shd w:val="clear" w:color="auto" w:fill="auto"/>
            <w:vAlign w:val="center"/>
            <w:hideMark/>
          </w:tcPr>
          <w:p w14:paraId="11265F4B" w14:textId="77777777" w:rsidR="003834D8" w:rsidRPr="00E20D21" w:rsidRDefault="003834D8" w:rsidP="00A01778">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REB</w:t>
            </w:r>
          </w:p>
        </w:tc>
        <w:tc>
          <w:tcPr>
            <w:tcW w:w="467" w:type="pct"/>
            <w:tcBorders>
              <w:top w:val="nil"/>
              <w:left w:val="nil"/>
              <w:bottom w:val="nil"/>
              <w:right w:val="nil"/>
            </w:tcBorders>
            <w:shd w:val="clear" w:color="auto" w:fill="auto"/>
            <w:vAlign w:val="center"/>
          </w:tcPr>
          <w:p w14:paraId="082287F5" w14:textId="77777777" w:rsidR="003834D8" w:rsidRPr="00E20D21" w:rsidRDefault="003834D8" w:rsidP="00A01778">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2FC66EF6"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6A9BAC9B"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71399CF5"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4A475D5D" w14:textId="77777777" w:rsidR="003834D8" w:rsidRPr="00E20D21" w:rsidRDefault="003834D8" w:rsidP="00D8530A">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2ED58417" w14:textId="77777777" w:rsidR="003834D8" w:rsidRPr="00E20D21" w:rsidRDefault="003834D8" w:rsidP="00D8530A">
            <w:pPr>
              <w:jc w:val="right"/>
              <w:rPr>
                <w:rFonts w:ascii="CAIXA Std Book" w:eastAsia="Times New Roman" w:hAnsi="CAIXA Std Book" w:cs="Times New Roman"/>
                <w:color w:val="005CA9"/>
                <w:sz w:val="18"/>
                <w:szCs w:val="18"/>
              </w:rPr>
            </w:pPr>
          </w:p>
        </w:tc>
      </w:tr>
      <w:tr w:rsidR="00A47C19" w:rsidRPr="00E20D21" w14:paraId="1A65CFF1" w14:textId="77777777" w:rsidTr="00A01778">
        <w:trPr>
          <w:trHeight w:val="255"/>
        </w:trPr>
        <w:tc>
          <w:tcPr>
            <w:tcW w:w="1900" w:type="pct"/>
            <w:tcBorders>
              <w:top w:val="nil"/>
              <w:left w:val="nil"/>
              <w:bottom w:val="nil"/>
              <w:right w:val="nil"/>
            </w:tcBorders>
            <w:shd w:val="clear" w:color="auto" w:fill="auto"/>
            <w:vAlign w:val="center"/>
            <w:hideMark/>
          </w:tcPr>
          <w:p w14:paraId="3CC88DB6"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74F15163" w14:textId="63D75579"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(33.804)</w:t>
            </w:r>
          </w:p>
        </w:tc>
        <w:tc>
          <w:tcPr>
            <w:tcW w:w="510" w:type="pct"/>
            <w:tcBorders>
              <w:top w:val="nil"/>
              <w:left w:val="nil"/>
              <w:bottom w:val="nil"/>
              <w:right w:val="nil"/>
            </w:tcBorders>
            <w:shd w:val="clear" w:color="auto" w:fill="auto"/>
            <w:vAlign w:val="center"/>
          </w:tcPr>
          <w:p w14:paraId="68CC2DBC" w14:textId="56F6F7EB"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(35.214)</w:t>
            </w:r>
          </w:p>
        </w:tc>
        <w:tc>
          <w:tcPr>
            <w:tcW w:w="509" w:type="pct"/>
            <w:tcBorders>
              <w:top w:val="nil"/>
              <w:left w:val="nil"/>
              <w:bottom w:val="nil"/>
              <w:right w:val="nil"/>
            </w:tcBorders>
            <w:shd w:val="clear" w:color="auto" w:fill="auto"/>
            <w:vAlign w:val="center"/>
          </w:tcPr>
          <w:p w14:paraId="7C037F5A" w14:textId="5B91E0F7"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(33.808)</w:t>
            </w:r>
          </w:p>
        </w:tc>
        <w:tc>
          <w:tcPr>
            <w:tcW w:w="509" w:type="pct"/>
            <w:tcBorders>
              <w:top w:val="nil"/>
              <w:left w:val="nil"/>
              <w:bottom w:val="nil"/>
              <w:right w:val="nil"/>
            </w:tcBorders>
            <w:shd w:val="clear" w:color="auto" w:fill="auto"/>
            <w:vAlign w:val="center"/>
          </w:tcPr>
          <w:p w14:paraId="2D399BC7" w14:textId="06704178"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(36.073)</w:t>
            </w:r>
          </w:p>
        </w:tc>
        <w:tc>
          <w:tcPr>
            <w:tcW w:w="556" w:type="pct"/>
            <w:tcBorders>
              <w:top w:val="nil"/>
              <w:left w:val="nil"/>
              <w:bottom w:val="nil"/>
              <w:right w:val="nil"/>
            </w:tcBorders>
            <w:shd w:val="clear" w:color="auto" w:fill="auto"/>
            <w:noWrap/>
            <w:vAlign w:val="center"/>
          </w:tcPr>
          <w:p w14:paraId="1619F358"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7C992678"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5F101611" w14:textId="77777777" w:rsidTr="00A01778">
        <w:trPr>
          <w:trHeight w:val="255"/>
        </w:trPr>
        <w:tc>
          <w:tcPr>
            <w:tcW w:w="1900" w:type="pct"/>
            <w:tcBorders>
              <w:top w:val="nil"/>
              <w:left w:val="nil"/>
              <w:bottom w:val="nil"/>
              <w:right w:val="nil"/>
            </w:tcBorders>
            <w:shd w:val="clear" w:color="auto" w:fill="auto"/>
            <w:vAlign w:val="center"/>
            <w:hideMark/>
          </w:tcPr>
          <w:p w14:paraId="4EE71E40"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138064F4" w14:textId="1B8C54FD"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(727.267)</w:t>
            </w:r>
          </w:p>
        </w:tc>
        <w:tc>
          <w:tcPr>
            <w:tcW w:w="510" w:type="pct"/>
            <w:tcBorders>
              <w:top w:val="nil"/>
              <w:left w:val="nil"/>
              <w:bottom w:val="nil"/>
              <w:right w:val="nil"/>
            </w:tcBorders>
            <w:shd w:val="clear" w:color="auto" w:fill="auto"/>
            <w:vAlign w:val="center"/>
          </w:tcPr>
          <w:p w14:paraId="3FADA71A" w14:textId="71A530D2"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(756.480)</w:t>
            </w:r>
          </w:p>
        </w:tc>
        <w:tc>
          <w:tcPr>
            <w:tcW w:w="509" w:type="pct"/>
            <w:tcBorders>
              <w:top w:val="nil"/>
              <w:left w:val="nil"/>
              <w:bottom w:val="nil"/>
              <w:right w:val="nil"/>
            </w:tcBorders>
            <w:shd w:val="clear" w:color="auto" w:fill="auto"/>
            <w:vAlign w:val="center"/>
          </w:tcPr>
          <w:p w14:paraId="03F06EB6" w14:textId="694EC9FE"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(727.343)</w:t>
            </w:r>
          </w:p>
        </w:tc>
        <w:tc>
          <w:tcPr>
            <w:tcW w:w="509" w:type="pct"/>
            <w:tcBorders>
              <w:top w:val="nil"/>
              <w:left w:val="nil"/>
              <w:bottom w:val="nil"/>
              <w:right w:val="nil"/>
            </w:tcBorders>
            <w:shd w:val="clear" w:color="auto" w:fill="auto"/>
            <w:vAlign w:val="center"/>
          </w:tcPr>
          <w:p w14:paraId="39D3DC90" w14:textId="0EA81016"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(774.263)</w:t>
            </w:r>
          </w:p>
        </w:tc>
        <w:tc>
          <w:tcPr>
            <w:tcW w:w="556" w:type="pct"/>
            <w:tcBorders>
              <w:top w:val="nil"/>
              <w:left w:val="nil"/>
              <w:bottom w:val="nil"/>
              <w:right w:val="nil"/>
            </w:tcBorders>
            <w:shd w:val="clear" w:color="auto" w:fill="auto"/>
            <w:noWrap/>
            <w:vAlign w:val="center"/>
          </w:tcPr>
          <w:p w14:paraId="0FC14CBE"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05A9D2FE"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A47C19" w:rsidRPr="00E20D21" w14:paraId="615DAE24" w14:textId="77777777" w:rsidTr="00A01778">
        <w:trPr>
          <w:trHeight w:val="255"/>
        </w:trPr>
        <w:tc>
          <w:tcPr>
            <w:tcW w:w="1900" w:type="pct"/>
            <w:tcBorders>
              <w:top w:val="nil"/>
              <w:left w:val="nil"/>
              <w:bottom w:val="nil"/>
              <w:right w:val="nil"/>
            </w:tcBorders>
            <w:shd w:val="clear" w:color="auto" w:fill="auto"/>
            <w:vAlign w:val="center"/>
            <w:hideMark/>
          </w:tcPr>
          <w:p w14:paraId="072B6212" w14:textId="77777777" w:rsidR="003834D8" w:rsidRPr="00E20D21" w:rsidRDefault="003834D8" w:rsidP="00A01778">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Novo Plano</w:t>
            </w:r>
          </w:p>
        </w:tc>
        <w:tc>
          <w:tcPr>
            <w:tcW w:w="467" w:type="pct"/>
            <w:tcBorders>
              <w:top w:val="nil"/>
              <w:left w:val="nil"/>
              <w:bottom w:val="nil"/>
              <w:right w:val="nil"/>
            </w:tcBorders>
            <w:shd w:val="clear" w:color="auto" w:fill="auto"/>
            <w:vAlign w:val="center"/>
          </w:tcPr>
          <w:p w14:paraId="265E027D" w14:textId="77777777" w:rsidR="003834D8" w:rsidRPr="00E20D21" w:rsidRDefault="003834D8" w:rsidP="00A01778">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7F9246DB"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29B52A68"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2628B285" w14:textId="77777777" w:rsidR="003834D8" w:rsidRPr="00E20D21" w:rsidRDefault="003834D8" w:rsidP="00A01778">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025570E3" w14:textId="77777777" w:rsidR="003834D8" w:rsidRPr="00E20D21" w:rsidRDefault="003834D8" w:rsidP="00D8530A">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22D85C67" w14:textId="77777777" w:rsidR="003834D8" w:rsidRPr="00E20D21" w:rsidRDefault="003834D8" w:rsidP="00D8530A">
            <w:pPr>
              <w:jc w:val="right"/>
              <w:rPr>
                <w:rFonts w:ascii="CAIXA Std Book" w:eastAsia="Times New Roman" w:hAnsi="CAIXA Std Book" w:cs="Times New Roman"/>
                <w:color w:val="005CA9"/>
                <w:sz w:val="18"/>
                <w:szCs w:val="18"/>
              </w:rPr>
            </w:pPr>
          </w:p>
        </w:tc>
      </w:tr>
      <w:tr w:rsidR="00A47C19" w:rsidRPr="00E20D21" w14:paraId="397ADBBC" w14:textId="77777777" w:rsidTr="00A01778">
        <w:trPr>
          <w:trHeight w:val="255"/>
        </w:trPr>
        <w:tc>
          <w:tcPr>
            <w:tcW w:w="1900" w:type="pct"/>
            <w:tcBorders>
              <w:top w:val="nil"/>
              <w:left w:val="nil"/>
              <w:bottom w:val="nil"/>
              <w:right w:val="nil"/>
            </w:tcBorders>
            <w:shd w:val="clear" w:color="auto" w:fill="auto"/>
            <w:vAlign w:val="center"/>
            <w:hideMark/>
          </w:tcPr>
          <w:p w14:paraId="61EE79F0"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14C8C462" w14:textId="607DC44D"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(205.396)</w:t>
            </w:r>
          </w:p>
        </w:tc>
        <w:tc>
          <w:tcPr>
            <w:tcW w:w="510" w:type="pct"/>
            <w:tcBorders>
              <w:top w:val="nil"/>
              <w:left w:val="nil"/>
              <w:bottom w:val="nil"/>
              <w:right w:val="nil"/>
            </w:tcBorders>
            <w:shd w:val="clear" w:color="auto" w:fill="auto"/>
            <w:vAlign w:val="center"/>
          </w:tcPr>
          <w:p w14:paraId="75228F0F" w14:textId="53E0B389"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(212.713)</w:t>
            </w:r>
          </w:p>
        </w:tc>
        <w:tc>
          <w:tcPr>
            <w:tcW w:w="509" w:type="pct"/>
            <w:tcBorders>
              <w:top w:val="nil"/>
              <w:left w:val="nil"/>
              <w:bottom w:val="nil"/>
              <w:right w:val="nil"/>
            </w:tcBorders>
            <w:shd w:val="clear" w:color="auto" w:fill="auto"/>
            <w:vAlign w:val="center"/>
          </w:tcPr>
          <w:p w14:paraId="49D719C6" w14:textId="6E546862"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(200.403)</w:t>
            </w:r>
          </w:p>
        </w:tc>
        <w:tc>
          <w:tcPr>
            <w:tcW w:w="509" w:type="pct"/>
            <w:tcBorders>
              <w:top w:val="nil"/>
              <w:left w:val="nil"/>
              <w:bottom w:val="nil"/>
              <w:right w:val="nil"/>
            </w:tcBorders>
            <w:shd w:val="clear" w:color="auto" w:fill="auto"/>
            <w:vAlign w:val="center"/>
          </w:tcPr>
          <w:p w14:paraId="5C04AD59" w14:textId="37355ABC"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(217.827)</w:t>
            </w:r>
          </w:p>
        </w:tc>
        <w:tc>
          <w:tcPr>
            <w:tcW w:w="556" w:type="pct"/>
            <w:tcBorders>
              <w:top w:val="nil"/>
              <w:left w:val="nil"/>
              <w:bottom w:val="nil"/>
              <w:right w:val="nil"/>
            </w:tcBorders>
            <w:shd w:val="clear" w:color="auto" w:fill="auto"/>
            <w:noWrap/>
            <w:vAlign w:val="center"/>
          </w:tcPr>
          <w:p w14:paraId="3A7B292B"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21E71770"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r w:rsidR="003834D8" w:rsidRPr="00E20D21" w14:paraId="59DD9144" w14:textId="77777777" w:rsidTr="00A01778">
        <w:trPr>
          <w:trHeight w:val="255"/>
        </w:trPr>
        <w:tc>
          <w:tcPr>
            <w:tcW w:w="1900" w:type="pct"/>
            <w:tcBorders>
              <w:top w:val="nil"/>
              <w:left w:val="nil"/>
              <w:bottom w:val="single" w:sz="4" w:space="0" w:color="F68F00"/>
              <w:right w:val="nil"/>
            </w:tcBorders>
            <w:shd w:val="clear" w:color="auto" w:fill="auto"/>
            <w:vAlign w:val="center"/>
            <w:hideMark/>
          </w:tcPr>
          <w:p w14:paraId="394C900B" w14:textId="77777777" w:rsidR="003834D8" w:rsidRPr="00E20D21" w:rsidRDefault="003834D8" w:rsidP="00A01778">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single" w:sz="4" w:space="0" w:color="F68F00"/>
              <w:right w:val="nil"/>
            </w:tcBorders>
            <w:shd w:val="clear" w:color="auto" w:fill="auto"/>
            <w:vAlign w:val="center"/>
          </w:tcPr>
          <w:p w14:paraId="493EBA2E" w14:textId="14E69DC4"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(4.383.490)</w:t>
            </w:r>
          </w:p>
        </w:tc>
        <w:tc>
          <w:tcPr>
            <w:tcW w:w="510" w:type="pct"/>
            <w:tcBorders>
              <w:top w:val="nil"/>
              <w:left w:val="nil"/>
              <w:bottom w:val="single" w:sz="4" w:space="0" w:color="F68F00"/>
              <w:right w:val="nil"/>
            </w:tcBorders>
            <w:shd w:val="clear" w:color="auto" w:fill="auto"/>
            <w:vAlign w:val="center"/>
          </w:tcPr>
          <w:p w14:paraId="06795BCB" w14:textId="6E3F15E8"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(4.535.257)</w:t>
            </w:r>
          </w:p>
        </w:tc>
        <w:tc>
          <w:tcPr>
            <w:tcW w:w="509" w:type="pct"/>
            <w:tcBorders>
              <w:top w:val="nil"/>
              <w:left w:val="nil"/>
              <w:bottom w:val="single" w:sz="4" w:space="0" w:color="F68F00"/>
              <w:right w:val="nil"/>
            </w:tcBorders>
            <w:shd w:val="clear" w:color="auto" w:fill="auto"/>
            <w:vAlign w:val="center"/>
          </w:tcPr>
          <w:p w14:paraId="78C32F7E" w14:textId="05385DD8"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(4.279.958)</w:t>
            </w:r>
          </w:p>
        </w:tc>
        <w:tc>
          <w:tcPr>
            <w:tcW w:w="509" w:type="pct"/>
            <w:tcBorders>
              <w:top w:val="nil"/>
              <w:left w:val="nil"/>
              <w:bottom w:val="single" w:sz="4" w:space="0" w:color="F68F00"/>
              <w:right w:val="nil"/>
            </w:tcBorders>
            <w:shd w:val="clear" w:color="auto" w:fill="auto"/>
            <w:vAlign w:val="center"/>
          </w:tcPr>
          <w:p w14:paraId="7301F02D" w14:textId="5E74E4FC" w:rsidR="003834D8" w:rsidRPr="00E20D21" w:rsidRDefault="00663F9E" w:rsidP="00A01778">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(4.641.309)</w:t>
            </w:r>
          </w:p>
        </w:tc>
        <w:tc>
          <w:tcPr>
            <w:tcW w:w="556" w:type="pct"/>
            <w:tcBorders>
              <w:top w:val="nil"/>
              <w:left w:val="nil"/>
              <w:bottom w:val="single" w:sz="4" w:space="0" w:color="F68F00"/>
              <w:right w:val="nil"/>
            </w:tcBorders>
            <w:shd w:val="clear" w:color="auto" w:fill="auto"/>
            <w:vAlign w:val="center"/>
          </w:tcPr>
          <w:p w14:paraId="2C67F4D8"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c>
          <w:tcPr>
            <w:tcW w:w="549" w:type="pct"/>
            <w:tcBorders>
              <w:top w:val="nil"/>
              <w:left w:val="nil"/>
              <w:bottom w:val="single" w:sz="4" w:space="0" w:color="F68F00"/>
              <w:right w:val="nil"/>
            </w:tcBorders>
            <w:shd w:val="clear" w:color="auto" w:fill="auto"/>
            <w:vAlign w:val="center"/>
          </w:tcPr>
          <w:p w14:paraId="2B28DE1C" w14:textId="77777777" w:rsidR="003834D8" w:rsidRPr="00E20D21" w:rsidRDefault="003834D8" w:rsidP="00D8530A">
            <w:pPr>
              <w:jc w:val="right"/>
              <w:rPr>
                <w:rFonts w:ascii="CAIXA Std Book" w:eastAsia="Times New Roman" w:hAnsi="CAIXA Std Book" w:cs="Calibri"/>
                <w:color w:val="005CA9"/>
                <w:sz w:val="18"/>
                <w:szCs w:val="18"/>
              </w:rPr>
            </w:pPr>
            <w:r w:rsidRPr="00E20D21">
              <w:rPr>
                <w:rFonts w:ascii="CAIXA Std Book" w:hAnsi="CAIXA Std Book" w:cs="Calibri"/>
                <w:color w:val="005CA9"/>
                <w:sz w:val="18"/>
                <w:szCs w:val="18"/>
              </w:rPr>
              <w:t>Não aplicável</w:t>
            </w:r>
          </w:p>
        </w:tc>
      </w:tr>
    </w:tbl>
    <w:p w14:paraId="241AC747" w14:textId="77777777" w:rsidR="003834D8" w:rsidRPr="00E20D21" w:rsidRDefault="003834D8" w:rsidP="003834D8">
      <w:pPr>
        <w:jc w:val="both"/>
        <w:rPr>
          <w:rFonts w:ascii="CAIXA Std Book" w:hAnsi="CAIXA Std Book"/>
          <w:color w:val="005CA9"/>
          <w:sz w:val="20"/>
          <w:szCs w:val="20"/>
        </w:rPr>
      </w:pPr>
    </w:p>
    <w:p w14:paraId="325BC603" w14:textId="77777777" w:rsidR="009609B9" w:rsidRPr="00E20D21" w:rsidRDefault="009609B9" w:rsidP="009609B9">
      <w:pPr>
        <w:rPr>
          <w:rFonts w:ascii="CAIXA Std Book" w:hAnsi="CAIXA Std Book"/>
          <w:color w:val="005CA9"/>
          <w:sz w:val="20"/>
          <w:szCs w:val="20"/>
        </w:rPr>
        <w:sectPr w:rsidR="009609B9" w:rsidRPr="00E20D21" w:rsidSect="00C11FCD">
          <w:headerReference w:type="default" r:id="rId75"/>
          <w:footerReference w:type="default" r:id="rId76"/>
          <w:pgSz w:w="16840" w:h="11907" w:orient="landscape"/>
          <w:pgMar w:top="851" w:right="851" w:bottom="1418" w:left="1418" w:header="1134" w:footer="709" w:gutter="0"/>
          <w:cols w:space="720"/>
        </w:sectPr>
      </w:pPr>
    </w:p>
    <w:p w14:paraId="05C8250E" w14:textId="77777777" w:rsidR="0001727F" w:rsidRPr="00E20D21" w:rsidRDefault="009609B9" w:rsidP="00F31C31">
      <w:pPr>
        <w:pStyle w:val="PargrafodaLista"/>
        <w:numPr>
          <w:ilvl w:val="0"/>
          <w:numId w:val="29"/>
        </w:numPr>
        <w:autoSpaceDE w:val="0"/>
        <w:autoSpaceDN w:val="0"/>
        <w:adjustRightInd w:val="0"/>
        <w:spacing w:before="480" w:after="240"/>
        <w:ind w:left="567" w:hanging="567"/>
        <w:contextualSpacing w:val="0"/>
        <w:jc w:val="both"/>
        <w:rPr>
          <w:rFonts w:ascii="CAIXA Std Book" w:hAnsi="CAIXA Std Book"/>
          <w:b/>
          <w:color w:val="005CA9"/>
          <w:sz w:val="20"/>
          <w:szCs w:val="20"/>
        </w:rPr>
      </w:pPr>
      <w:r w:rsidRPr="00E20D21">
        <w:rPr>
          <w:rFonts w:ascii="CAIXA Std Book" w:hAnsi="CAIXA Std Book"/>
          <w:b/>
          <w:color w:val="005CA9"/>
          <w:sz w:val="20"/>
          <w:szCs w:val="20"/>
        </w:rPr>
        <w:lastRenderedPageBreak/>
        <w:t>Despesas reconhecidas com planos de previdência com características de contribuição definida</w:t>
      </w:r>
    </w:p>
    <w:tbl>
      <w:tblPr>
        <w:tblW w:w="5000" w:type="pct"/>
        <w:tblCellMar>
          <w:left w:w="70" w:type="dxa"/>
          <w:right w:w="70" w:type="dxa"/>
        </w:tblCellMar>
        <w:tblLook w:val="04A0" w:firstRow="1" w:lastRow="0" w:firstColumn="1" w:lastColumn="0" w:noHBand="0" w:noVBand="1"/>
      </w:tblPr>
      <w:tblGrid>
        <w:gridCol w:w="4745"/>
        <w:gridCol w:w="1629"/>
        <w:gridCol w:w="1629"/>
        <w:gridCol w:w="1634"/>
      </w:tblGrid>
      <w:tr w:rsidR="00A47C19" w:rsidRPr="00E20D21" w14:paraId="08CDBFAC" w14:textId="77777777" w:rsidTr="006E599C">
        <w:trPr>
          <w:trHeight w:val="283"/>
        </w:trPr>
        <w:tc>
          <w:tcPr>
            <w:tcW w:w="5000" w:type="pct"/>
            <w:gridSpan w:val="4"/>
            <w:tcBorders>
              <w:top w:val="single" w:sz="4" w:space="0" w:color="F68F00"/>
              <w:left w:val="nil"/>
              <w:bottom w:val="single" w:sz="4" w:space="0" w:color="F68F00"/>
              <w:right w:val="nil"/>
            </w:tcBorders>
            <w:shd w:val="clear" w:color="auto" w:fill="auto"/>
            <w:vAlign w:val="center"/>
          </w:tcPr>
          <w:p w14:paraId="6A4233E5" w14:textId="46B3F25A" w:rsidR="002A04C4" w:rsidRPr="00E20D21" w:rsidRDefault="002A04C4" w:rsidP="00D73144">
            <w:pPr>
              <w:jc w:val="center"/>
              <w:rPr>
                <w:rFonts w:ascii="CAIXA Std Book" w:hAnsi="CAIXA Std Book" w:cs="Symbol"/>
                <w:b/>
                <w:color w:val="005CA9"/>
                <w:sz w:val="18"/>
                <w:szCs w:val="18"/>
              </w:rPr>
            </w:pPr>
            <w:r w:rsidRPr="00E20D21">
              <w:rPr>
                <w:rFonts w:ascii="CAIXA Std Book" w:hAnsi="CAIXA Std Book" w:cs="Symbol"/>
                <w:b/>
                <w:color w:val="005CA9"/>
                <w:sz w:val="18"/>
                <w:szCs w:val="18"/>
              </w:rPr>
              <w:t>INDIVIDUAL</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w:t>
            </w:r>
            <w:r w:rsidR="003A677C">
              <w:rPr>
                <w:rFonts w:ascii="CAIXA Std Book" w:hAnsi="CAIXA Std Book" w:cs="Symbol"/>
                <w:b/>
                <w:color w:val="005CA9"/>
                <w:sz w:val="18"/>
                <w:szCs w:val="18"/>
              </w:rPr>
              <w:t xml:space="preserve"> </w:t>
            </w:r>
            <w:r w:rsidRPr="00E20D21">
              <w:rPr>
                <w:rFonts w:ascii="CAIXA Std Book" w:hAnsi="CAIXA Std Book" w:cs="Symbol"/>
                <w:b/>
                <w:color w:val="005CA9"/>
                <w:sz w:val="18"/>
                <w:szCs w:val="18"/>
              </w:rPr>
              <w:t>CONSOLIDADO</w:t>
            </w:r>
          </w:p>
        </w:tc>
      </w:tr>
      <w:tr w:rsidR="00A47C19" w:rsidRPr="00E20D21" w14:paraId="14B0F721" w14:textId="77777777" w:rsidTr="00D6274D">
        <w:trPr>
          <w:trHeight w:val="283"/>
        </w:trPr>
        <w:tc>
          <w:tcPr>
            <w:tcW w:w="2462" w:type="pct"/>
            <w:tcBorders>
              <w:top w:val="single" w:sz="4" w:space="0" w:color="F68F00"/>
              <w:left w:val="nil"/>
              <w:bottom w:val="single" w:sz="4" w:space="0" w:color="F68F00"/>
              <w:right w:val="nil"/>
            </w:tcBorders>
            <w:shd w:val="clear" w:color="auto" w:fill="auto"/>
            <w:vAlign w:val="center"/>
            <w:hideMark/>
          </w:tcPr>
          <w:p w14:paraId="583ED70A" w14:textId="77777777" w:rsidR="002A04C4" w:rsidRPr="00E20D21" w:rsidRDefault="002A04C4" w:rsidP="00D73144">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Descrição</w:t>
            </w:r>
          </w:p>
        </w:tc>
        <w:tc>
          <w:tcPr>
            <w:tcW w:w="845" w:type="pct"/>
            <w:tcBorders>
              <w:top w:val="single" w:sz="4" w:space="0" w:color="F68F00"/>
              <w:left w:val="nil"/>
              <w:bottom w:val="single" w:sz="4" w:space="0" w:color="F68F00"/>
              <w:right w:val="nil"/>
            </w:tcBorders>
            <w:shd w:val="clear" w:color="auto" w:fill="auto"/>
            <w:vAlign w:val="center"/>
          </w:tcPr>
          <w:p w14:paraId="7DCC8541" w14:textId="5D7EDD51" w:rsidR="002A04C4" w:rsidRPr="00E20D21" w:rsidRDefault="0096575F" w:rsidP="00D73144">
            <w:pPr>
              <w:jc w:val="center"/>
              <w:rPr>
                <w:rFonts w:ascii="CAIXA Std Book" w:hAnsi="CAIXA Std Book" w:cs="Symbol"/>
                <w:b/>
                <w:color w:val="005CA9"/>
                <w:sz w:val="18"/>
                <w:szCs w:val="18"/>
              </w:rPr>
            </w:pPr>
            <w:r w:rsidRPr="00E20D21">
              <w:rPr>
                <w:rFonts w:ascii="CAIXA Std Book" w:hAnsi="CAIXA Std Book" w:cs="Symbol"/>
                <w:b/>
                <w:color w:val="005CA9"/>
                <w:sz w:val="18"/>
                <w:szCs w:val="18"/>
              </w:rPr>
              <w:t>1º semestre 2024</w:t>
            </w:r>
          </w:p>
        </w:tc>
        <w:tc>
          <w:tcPr>
            <w:tcW w:w="845" w:type="pct"/>
            <w:tcBorders>
              <w:top w:val="single" w:sz="4" w:space="0" w:color="F68F00"/>
              <w:left w:val="nil"/>
              <w:bottom w:val="single" w:sz="4" w:space="0" w:color="F68F00"/>
              <w:right w:val="nil"/>
            </w:tcBorders>
            <w:shd w:val="clear" w:color="auto" w:fill="auto"/>
            <w:vAlign w:val="center"/>
            <w:hideMark/>
          </w:tcPr>
          <w:p w14:paraId="2A20FAA9" w14:textId="77777777" w:rsidR="002A04C4" w:rsidRPr="00E20D21" w:rsidRDefault="002A04C4" w:rsidP="00D73144">
            <w:pPr>
              <w:jc w:val="center"/>
              <w:rPr>
                <w:rFonts w:ascii="CAIXA Std Book" w:hAnsi="CAIXA Std Book" w:cs="Symbol"/>
                <w:b/>
                <w:color w:val="005CA9"/>
                <w:sz w:val="18"/>
                <w:szCs w:val="18"/>
              </w:rPr>
            </w:pPr>
            <w:r w:rsidRPr="00E20D21">
              <w:rPr>
                <w:rFonts w:ascii="CAIXA Std Book" w:hAnsi="CAIXA Std Book" w:cs="Symbol"/>
                <w:b/>
                <w:color w:val="005CA9"/>
                <w:sz w:val="18"/>
                <w:szCs w:val="18"/>
              </w:rPr>
              <w:t>Exercício 2023</w:t>
            </w:r>
          </w:p>
        </w:tc>
        <w:tc>
          <w:tcPr>
            <w:tcW w:w="848" w:type="pct"/>
            <w:tcBorders>
              <w:top w:val="single" w:sz="4" w:space="0" w:color="F68F00"/>
              <w:left w:val="nil"/>
              <w:bottom w:val="single" w:sz="4" w:space="0" w:color="F68F00"/>
              <w:right w:val="nil"/>
            </w:tcBorders>
            <w:shd w:val="clear" w:color="auto" w:fill="auto"/>
            <w:vAlign w:val="center"/>
          </w:tcPr>
          <w:p w14:paraId="4E3CFC89" w14:textId="0393C051" w:rsidR="002A04C4" w:rsidRPr="00E20D21" w:rsidRDefault="0096575F" w:rsidP="00D73144">
            <w:pPr>
              <w:jc w:val="center"/>
              <w:rPr>
                <w:rFonts w:ascii="CAIXA Std Book" w:hAnsi="CAIXA Std Book" w:cs="Symbol"/>
                <w:b/>
                <w:color w:val="005CA9"/>
                <w:sz w:val="18"/>
                <w:szCs w:val="18"/>
              </w:rPr>
            </w:pPr>
            <w:r w:rsidRPr="00E20D21">
              <w:rPr>
                <w:rFonts w:ascii="CAIXA Std Book" w:hAnsi="CAIXA Std Book" w:cs="Symbol"/>
                <w:b/>
                <w:color w:val="005CA9"/>
                <w:sz w:val="18"/>
                <w:szCs w:val="18"/>
              </w:rPr>
              <w:t>1º semestre 2023</w:t>
            </w:r>
          </w:p>
        </w:tc>
      </w:tr>
      <w:tr w:rsidR="002A7F04" w:rsidRPr="00E20D21" w14:paraId="7A69AF8B" w14:textId="77777777" w:rsidTr="00D6274D">
        <w:trPr>
          <w:trHeight w:val="283"/>
        </w:trPr>
        <w:tc>
          <w:tcPr>
            <w:tcW w:w="2462" w:type="pct"/>
            <w:tcBorders>
              <w:top w:val="nil"/>
              <w:left w:val="nil"/>
              <w:bottom w:val="nil"/>
              <w:right w:val="nil"/>
            </w:tcBorders>
            <w:shd w:val="clear" w:color="auto" w:fill="auto"/>
            <w:vAlign w:val="center"/>
            <w:hideMark/>
          </w:tcPr>
          <w:p w14:paraId="64055AEB" w14:textId="77777777" w:rsidR="002A7F04" w:rsidRPr="00E20D21" w:rsidRDefault="002A7F04" w:rsidP="002A7F04">
            <w:pPr>
              <w:rPr>
                <w:rFonts w:ascii="CAIXA Std Book" w:hAnsi="CAIXA Std Book" w:cs="Symbol"/>
                <w:color w:val="005CA9"/>
                <w:sz w:val="18"/>
                <w:szCs w:val="18"/>
              </w:rPr>
            </w:pPr>
            <w:r w:rsidRPr="00E20D21">
              <w:rPr>
                <w:rFonts w:ascii="CAIXA Std Book" w:hAnsi="CAIXA Std Book" w:cs="Symbol"/>
                <w:color w:val="005CA9"/>
                <w:sz w:val="18"/>
                <w:szCs w:val="18"/>
              </w:rPr>
              <w:t>REB</w:t>
            </w:r>
          </w:p>
        </w:tc>
        <w:tc>
          <w:tcPr>
            <w:tcW w:w="845" w:type="pct"/>
            <w:tcBorders>
              <w:top w:val="nil"/>
              <w:left w:val="nil"/>
              <w:bottom w:val="nil"/>
              <w:right w:val="nil"/>
            </w:tcBorders>
            <w:shd w:val="clear" w:color="auto" w:fill="auto"/>
            <w:vAlign w:val="center"/>
          </w:tcPr>
          <w:p w14:paraId="3C7DD079" w14:textId="74EA2230" w:rsidR="002A7F04" w:rsidRPr="00E20D21" w:rsidRDefault="00D6274D" w:rsidP="002A7F04">
            <w:pPr>
              <w:jc w:val="right"/>
              <w:rPr>
                <w:rFonts w:ascii="CAIXA Std Book" w:hAnsi="CAIXA Std Book" w:cs="Symbol"/>
                <w:color w:val="005CA9"/>
                <w:sz w:val="18"/>
                <w:szCs w:val="18"/>
              </w:rPr>
            </w:pPr>
            <w:r w:rsidRPr="00E20D21">
              <w:rPr>
                <w:rFonts w:ascii="CAIXA Std Book" w:hAnsi="CAIXA Std Book" w:cs="Calibri"/>
                <w:color w:val="005CA9"/>
                <w:sz w:val="18"/>
                <w:szCs w:val="18"/>
              </w:rPr>
              <w:t>28.355</w:t>
            </w:r>
          </w:p>
        </w:tc>
        <w:tc>
          <w:tcPr>
            <w:tcW w:w="845" w:type="pct"/>
            <w:tcBorders>
              <w:top w:val="nil"/>
              <w:left w:val="nil"/>
              <w:bottom w:val="nil"/>
              <w:right w:val="nil"/>
            </w:tcBorders>
            <w:shd w:val="clear" w:color="auto" w:fill="auto"/>
            <w:vAlign w:val="center"/>
          </w:tcPr>
          <w:p w14:paraId="41B38966" w14:textId="77777777" w:rsidR="002A7F04" w:rsidRPr="00E20D21" w:rsidRDefault="002A7F04" w:rsidP="002A7F04">
            <w:pPr>
              <w:jc w:val="right"/>
              <w:rPr>
                <w:rFonts w:ascii="CAIXA Std Book" w:hAnsi="CAIXA Std Book"/>
                <w:color w:val="005CA9"/>
                <w:sz w:val="18"/>
                <w:szCs w:val="18"/>
              </w:rPr>
            </w:pPr>
            <w:r w:rsidRPr="00E20D21">
              <w:rPr>
                <w:rFonts w:ascii="CAIXA Std Book" w:hAnsi="CAIXA Std Book" w:cs="Calibri"/>
                <w:color w:val="005CA9"/>
                <w:sz w:val="18"/>
                <w:szCs w:val="18"/>
              </w:rPr>
              <w:t>53.175</w:t>
            </w:r>
          </w:p>
        </w:tc>
        <w:tc>
          <w:tcPr>
            <w:tcW w:w="848" w:type="pct"/>
            <w:tcBorders>
              <w:top w:val="nil"/>
              <w:left w:val="nil"/>
              <w:bottom w:val="nil"/>
              <w:right w:val="nil"/>
            </w:tcBorders>
            <w:shd w:val="clear" w:color="auto" w:fill="auto"/>
            <w:vAlign w:val="center"/>
          </w:tcPr>
          <w:p w14:paraId="1FAAE6EC" w14:textId="1C4BA767" w:rsidR="002A7F04" w:rsidRPr="00E20D21" w:rsidRDefault="002A7F04" w:rsidP="002A7F04">
            <w:pPr>
              <w:jc w:val="right"/>
              <w:rPr>
                <w:rFonts w:ascii="CAIXA Std Book" w:hAnsi="CAIXA Std Book" w:cs="Symbol"/>
                <w:color w:val="005CA9"/>
                <w:sz w:val="18"/>
                <w:szCs w:val="18"/>
              </w:rPr>
            </w:pPr>
            <w:r w:rsidRPr="00E20D21">
              <w:rPr>
                <w:rFonts w:ascii="CAIXA Std Book" w:hAnsi="CAIXA Std Book" w:cs="Symbol"/>
                <w:color w:val="005CA9"/>
                <w:sz w:val="18"/>
                <w:szCs w:val="18"/>
              </w:rPr>
              <w:t>27.378</w:t>
            </w:r>
          </w:p>
        </w:tc>
      </w:tr>
      <w:tr w:rsidR="002A7F04" w:rsidRPr="00E20D21" w14:paraId="55D8FB9A" w14:textId="77777777" w:rsidTr="00D6274D">
        <w:trPr>
          <w:trHeight w:val="283"/>
        </w:trPr>
        <w:tc>
          <w:tcPr>
            <w:tcW w:w="2462" w:type="pct"/>
            <w:tcBorders>
              <w:top w:val="nil"/>
              <w:left w:val="nil"/>
              <w:bottom w:val="nil"/>
              <w:right w:val="nil"/>
            </w:tcBorders>
            <w:shd w:val="clear" w:color="auto" w:fill="auto"/>
            <w:vAlign w:val="center"/>
            <w:hideMark/>
          </w:tcPr>
          <w:p w14:paraId="43805019" w14:textId="77777777" w:rsidR="002A7F04" w:rsidRPr="00E20D21" w:rsidRDefault="002A7F04" w:rsidP="002A7F04">
            <w:pPr>
              <w:rPr>
                <w:rFonts w:ascii="CAIXA Std Book" w:hAnsi="CAIXA Std Book" w:cs="Symbol"/>
                <w:color w:val="005CA9"/>
                <w:sz w:val="18"/>
                <w:szCs w:val="18"/>
              </w:rPr>
            </w:pPr>
            <w:r w:rsidRPr="00E20D21">
              <w:rPr>
                <w:rFonts w:ascii="CAIXA Std Book" w:hAnsi="CAIXA Std Book" w:cs="Symbol"/>
                <w:color w:val="005CA9"/>
                <w:sz w:val="18"/>
                <w:szCs w:val="18"/>
              </w:rPr>
              <w:t>Novo Plano</w:t>
            </w:r>
          </w:p>
        </w:tc>
        <w:tc>
          <w:tcPr>
            <w:tcW w:w="845" w:type="pct"/>
            <w:tcBorders>
              <w:top w:val="nil"/>
              <w:left w:val="nil"/>
              <w:bottom w:val="nil"/>
              <w:right w:val="nil"/>
            </w:tcBorders>
            <w:shd w:val="clear" w:color="auto" w:fill="auto"/>
            <w:vAlign w:val="center"/>
          </w:tcPr>
          <w:p w14:paraId="2C8D9870" w14:textId="74C445DB" w:rsidR="002A7F04" w:rsidRPr="00E20D21" w:rsidRDefault="00D6274D" w:rsidP="002A7F04">
            <w:pPr>
              <w:jc w:val="right"/>
              <w:rPr>
                <w:rFonts w:ascii="CAIXA Std Book" w:hAnsi="CAIXA Std Book" w:cs="Symbol"/>
                <w:color w:val="005CA9"/>
                <w:sz w:val="18"/>
                <w:szCs w:val="18"/>
              </w:rPr>
            </w:pPr>
            <w:r w:rsidRPr="00E20D21">
              <w:rPr>
                <w:rFonts w:ascii="CAIXA Std Book" w:hAnsi="CAIXA Std Book" w:cs="Calibri"/>
                <w:color w:val="005CA9"/>
                <w:sz w:val="18"/>
                <w:szCs w:val="18"/>
              </w:rPr>
              <w:t>679.716</w:t>
            </w:r>
          </w:p>
        </w:tc>
        <w:tc>
          <w:tcPr>
            <w:tcW w:w="845" w:type="pct"/>
            <w:tcBorders>
              <w:top w:val="nil"/>
              <w:left w:val="nil"/>
              <w:bottom w:val="nil"/>
              <w:right w:val="nil"/>
            </w:tcBorders>
            <w:shd w:val="clear" w:color="auto" w:fill="auto"/>
            <w:vAlign w:val="center"/>
          </w:tcPr>
          <w:p w14:paraId="4F1DD3DB" w14:textId="77777777" w:rsidR="002A7F04" w:rsidRPr="00E20D21" w:rsidRDefault="002A7F04" w:rsidP="002A7F04">
            <w:pPr>
              <w:jc w:val="right"/>
              <w:rPr>
                <w:rFonts w:ascii="CAIXA Std Book" w:hAnsi="CAIXA Std Book"/>
                <w:color w:val="005CA9"/>
                <w:sz w:val="18"/>
                <w:szCs w:val="18"/>
              </w:rPr>
            </w:pPr>
            <w:r w:rsidRPr="00E20D21">
              <w:rPr>
                <w:rFonts w:ascii="CAIXA Std Book" w:hAnsi="CAIXA Std Book" w:cs="Calibri"/>
                <w:color w:val="005CA9"/>
                <w:sz w:val="18"/>
                <w:szCs w:val="18"/>
              </w:rPr>
              <w:t>1.236.916</w:t>
            </w:r>
          </w:p>
        </w:tc>
        <w:tc>
          <w:tcPr>
            <w:tcW w:w="848" w:type="pct"/>
            <w:tcBorders>
              <w:top w:val="nil"/>
              <w:left w:val="nil"/>
              <w:bottom w:val="nil"/>
              <w:right w:val="nil"/>
            </w:tcBorders>
            <w:shd w:val="clear" w:color="auto" w:fill="auto"/>
            <w:vAlign w:val="center"/>
          </w:tcPr>
          <w:p w14:paraId="46556A3A" w14:textId="1D61E7BF" w:rsidR="002A7F04" w:rsidRPr="00E20D21" w:rsidRDefault="002A7F04" w:rsidP="002A7F04">
            <w:pPr>
              <w:jc w:val="right"/>
              <w:rPr>
                <w:rFonts w:ascii="CAIXA Std Book" w:hAnsi="CAIXA Std Book" w:cs="Symbol"/>
                <w:color w:val="005CA9"/>
                <w:sz w:val="18"/>
                <w:szCs w:val="18"/>
              </w:rPr>
            </w:pPr>
            <w:r w:rsidRPr="00E20D21">
              <w:rPr>
                <w:rFonts w:ascii="CAIXA Std Book" w:hAnsi="CAIXA Std Book" w:cs="Symbol"/>
                <w:color w:val="005CA9"/>
                <w:sz w:val="18"/>
                <w:szCs w:val="18"/>
              </w:rPr>
              <w:t>630.124</w:t>
            </w:r>
          </w:p>
        </w:tc>
      </w:tr>
      <w:tr w:rsidR="002A7F04" w:rsidRPr="00E20D21" w14:paraId="5A078C7E" w14:textId="77777777" w:rsidTr="00D6274D">
        <w:trPr>
          <w:trHeight w:val="283"/>
        </w:trPr>
        <w:tc>
          <w:tcPr>
            <w:tcW w:w="2462" w:type="pct"/>
            <w:tcBorders>
              <w:top w:val="single" w:sz="4" w:space="0" w:color="F68F00"/>
              <w:left w:val="nil"/>
              <w:bottom w:val="single" w:sz="4" w:space="0" w:color="F68F00"/>
              <w:right w:val="nil"/>
            </w:tcBorders>
            <w:shd w:val="clear" w:color="auto" w:fill="auto"/>
            <w:vAlign w:val="center"/>
            <w:hideMark/>
          </w:tcPr>
          <w:p w14:paraId="00391632" w14:textId="77777777" w:rsidR="002A7F04" w:rsidRPr="00E20D21" w:rsidRDefault="002A7F04" w:rsidP="002A7F04">
            <w:pPr>
              <w:rPr>
                <w:rFonts w:ascii="CAIXA Std Book" w:hAnsi="CAIXA Std Book" w:cs="Symbol"/>
                <w:b/>
                <w:color w:val="005CA9"/>
                <w:sz w:val="18"/>
                <w:szCs w:val="18"/>
              </w:rPr>
            </w:pPr>
            <w:r w:rsidRPr="00E20D21">
              <w:rPr>
                <w:rFonts w:ascii="CAIXA Std Book" w:hAnsi="CAIXA Std Book" w:cs="Symbol"/>
                <w:b/>
                <w:color w:val="005CA9"/>
                <w:sz w:val="18"/>
                <w:szCs w:val="18"/>
              </w:rPr>
              <w:t>Total</w:t>
            </w:r>
          </w:p>
        </w:tc>
        <w:tc>
          <w:tcPr>
            <w:tcW w:w="845" w:type="pct"/>
            <w:tcBorders>
              <w:top w:val="single" w:sz="4" w:space="0" w:color="F68F00"/>
              <w:left w:val="nil"/>
              <w:bottom w:val="single" w:sz="4" w:space="0" w:color="F68F00"/>
              <w:right w:val="nil"/>
            </w:tcBorders>
            <w:shd w:val="clear" w:color="auto" w:fill="auto"/>
            <w:vAlign w:val="center"/>
          </w:tcPr>
          <w:p w14:paraId="29152813" w14:textId="555961C2" w:rsidR="002A7F04" w:rsidRPr="00E20D21" w:rsidRDefault="00D6274D" w:rsidP="002A7F04">
            <w:pPr>
              <w:jc w:val="right"/>
              <w:rPr>
                <w:rFonts w:ascii="CAIXA Std Book" w:hAnsi="CAIXA Std Book" w:cs="Symbol"/>
                <w:b/>
                <w:color w:val="005CA9"/>
                <w:sz w:val="18"/>
                <w:szCs w:val="18"/>
              </w:rPr>
            </w:pPr>
            <w:r w:rsidRPr="00E20D21">
              <w:rPr>
                <w:rFonts w:ascii="CAIXA Std Book" w:hAnsi="CAIXA Std Book" w:cs="Calibri"/>
                <w:b/>
                <w:bCs/>
                <w:color w:val="005CA9"/>
                <w:sz w:val="18"/>
                <w:szCs w:val="18"/>
              </w:rPr>
              <w:t>708.071</w:t>
            </w:r>
          </w:p>
        </w:tc>
        <w:tc>
          <w:tcPr>
            <w:tcW w:w="845" w:type="pct"/>
            <w:tcBorders>
              <w:top w:val="single" w:sz="4" w:space="0" w:color="F68F00"/>
              <w:left w:val="nil"/>
              <w:bottom w:val="single" w:sz="4" w:space="0" w:color="F68F00"/>
              <w:right w:val="nil"/>
            </w:tcBorders>
            <w:shd w:val="clear" w:color="auto" w:fill="auto"/>
            <w:vAlign w:val="center"/>
          </w:tcPr>
          <w:p w14:paraId="2BAF2551" w14:textId="77777777" w:rsidR="002A7F04" w:rsidRPr="00E20D21" w:rsidRDefault="002A7F04" w:rsidP="002A7F04">
            <w:pPr>
              <w:jc w:val="right"/>
              <w:rPr>
                <w:rFonts w:ascii="CAIXA Std Book" w:hAnsi="CAIXA Std Book" w:cs="Calibri"/>
                <w:b/>
                <w:color w:val="005CA9"/>
                <w:sz w:val="18"/>
                <w:szCs w:val="18"/>
              </w:rPr>
            </w:pPr>
            <w:r w:rsidRPr="00E20D21">
              <w:rPr>
                <w:rFonts w:ascii="CAIXA Std Book" w:hAnsi="CAIXA Std Book" w:cs="Calibri"/>
                <w:b/>
                <w:color w:val="005CA9"/>
                <w:sz w:val="18"/>
                <w:szCs w:val="18"/>
              </w:rPr>
              <w:t>1.290.091</w:t>
            </w:r>
          </w:p>
        </w:tc>
        <w:tc>
          <w:tcPr>
            <w:tcW w:w="848" w:type="pct"/>
            <w:tcBorders>
              <w:top w:val="single" w:sz="4" w:space="0" w:color="F68F00"/>
              <w:left w:val="nil"/>
              <w:bottom w:val="single" w:sz="4" w:space="0" w:color="F68F00"/>
              <w:right w:val="nil"/>
            </w:tcBorders>
            <w:shd w:val="clear" w:color="auto" w:fill="auto"/>
            <w:vAlign w:val="center"/>
          </w:tcPr>
          <w:p w14:paraId="79375011" w14:textId="50044F3F" w:rsidR="002A7F04" w:rsidRPr="00E20D21" w:rsidRDefault="002A7F04" w:rsidP="002A7F04">
            <w:pPr>
              <w:jc w:val="right"/>
              <w:rPr>
                <w:rFonts w:ascii="CAIXA Std Book" w:hAnsi="CAIXA Std Book" w:cs="Symbol"/>
                <w:b/>
                <w:color w:val="005CA9"/>
                <w:sz w:val="18"/>
                <w:szCs w:val="18"/>
              </w:rPr>
            </w:pPr>
            <w:r w:rsidRPr="00E20D21">
              <w:rPr>
                <w:rFonts w:ascii="CAIXA Std Book" w:hAnsi="CAIXA Std Book" w:cs="Symbol"/>
                <w:b/>
                <w:color w:val="005CA9"/>
                <w:sz w:val="18"/>
                <w:szCs w:val="18"/>
              </w:rPr>
              <w:t>657.502</w:t>
            </w:r>
          </w:p>
        </w:tc>
      </w:tr>
    </w:tbl>
    <w:p w14:paraId="6EA5A266" w14:textId="77777777" w:rsidR="00822DB4" w:rsidRPr="00E20D21" w:rsidRDefault="009609B9" w:rsidP="00F31C31">
      <w:pPr>
        <w:numPr>
          <w:ilvl w:val="0"/>
          <w:numId w:val="29"/>
        </w:numPr>
        <w:autoSpaceDE w:val="0"/>
        <w:autoSpaceDN w:val="0"/>
        <w:adjustRightInd w:val="0"/>
        <w:spacing w:before="480" w:after="240"/>
        <w:ind w:left="567" w:right="139" w:hanging="567"/>
        <w:jc w:val="both"/>
        <w:rPr>
          <w:rFonts w:ascii="CAIXA Std Book" w:hAnsi="CAIXA Std Book"/>
          <w:b/>
          <w:color w:val="005CA9"/>
          <w:sz w:val="20"/>
          <w:szCs w:val="20"/>
        </w:rPr>
      </w:pPr>
      <w:r w:rsidRPr="00E20D21">
        <w:rPr>
          <w:rFonts w:ascii="CAIXA Std Book" w:hAnsi="CAIXA Std Book"/>
          <w:b/>
          <w:color w:val="005CA9"/>
          <w:sz w:val="20"/>
          <w:szCs w:val="20"/>
        </w:rPr>
        <w:t>Despesas reconhecidas para cobertura de riscos com causas judiciais relacionados aos planos de benefícios</w:t>
      </w:r>
    </w:p>
    <w:tbl>
      <w:tblPr>
        <w:tblW w:w="5000" w:type="pct"/>
        <w:tblCellMar>
          <w:left w:w="70" w:type="dxa"/>
          <w:right w:w="70" w:type="dxa"/>
        </w:tblCellMar>
        <w:tblLook w:val="04A0" w:firstRow="1" w:lastRow="0" w:firstColumn="1" w:lastColumn="0" w:noHBand="0" w:noVBand="1"/>
      </w:tblPr>
      <w:tblGrid>
        <w:gridCol w:w="4743"/>
        <w:gridCol w:w="1629"/>
        <w:gridCol w:w="1631"/>
        <w:gridCol w:w="1634"/>
      </w:tblGrid>
      <w:tr w:rsidR="00A47C19" w:rsidRPr="00E20D21" w14:paraId="2D86108D" w14:textId="77777777" w:rsidTr="006E599C">
        <w:trPr>
          <w:trHeight w:val="283"/>
        </w:trPr>
        <w:tc>
          <w:tcPr>
            <w:tcW w:w="5000" w:type="pct"/>
            <w:gridSpan w:val="4"/>
            <w:tcBorders>
              <w:top w:val="single" w:sz="4" w:space="0" w:color="F68F00"/>
              <w:left w:val="nil"/>
              <w:bottom w:val="single" w:sz="4" w:space="0" w:color="F68F00"/>
              <w:right w:val="nil"/>
            </w:tcBorders>
            <w:shd w:val="clear" w:color="auto" w:fill="auto"/>
            <w:vAlign w:val="center"/>
          </w:tcPr>
          <w:bookmarkEnd w:id="73"/>
          <w:p w14:paraId="63542115" w14:textId="5FA1951B" w:rsidR="002A04C4" w:rsidRPr="00E20D21" w:rsidRDefault="002A04C4" w:rsidP="00D73144">
            <w:pPr>
              <w:jc w:val="center"/>
              <w:rPr>
                <w:rFonts w:ascii="CAIXA Std Book" w:hAnsi="CAIXA Std Book" w:cs="Symbol"/>
                <w:b/>
                <w:color w:val="005CA9"/>
                <w:sz w:val="18"/>
                <w:szCs w:val="18"/>
              </w:rPr>
            </w:pPr>
            <w:r w:rsidRPr="00E20D21">
              <w:rPr>
                <w:rFonts w:ascii="CAIXA Std Book" w:hAnsi="CAIXA Std Book" w:cs="Symbol"/>
                <w:b/>
                <w:color w:val="005CA9"/>
                <w:sz w:val="18"/>
                <w:szCs w:val="18"/>
              </w:rPr>
              <w:t>INDIVIDUAL</w:t>
            </w:r>
            <w:r w:rsidR="00DB0435">
              <w:rPr>
                <w:rFonts w:ascii="CAIXA Std Book" w:hAnsi="CAIXA Std Book" w:cs="Symbol"/>
                <w:b/>
                <w:color w:val="005CA9"/>
                <w:sz w:val="18"/>
                <w:szCs w:val="18"/>
              </w:rPr>
              <w:t xml:space="preserve"> </w:t>
            </w:r>
            <w:r w:rsidRPr="00E20D21">
              <w:rPr>
                <w:rFonts w:ascii="CAIXA Std Book" w:hAnsi="CAIXA Std Book" w:cs="Symbol"/>
                <w:b/>
                <w:color w:val="005CA9"/>
                <w:sz w:val="18"/>
                <w:szCs w:val="18"/>
              </w:rPr>
              <w:t>/</w:t>
            </w:r>
            <w:r w:rsidR="00DB0435">
              <w:rPr>
                <w:rFonts w:ascii="CAIXA Std Book" w:hAnsi="CAIXA Std Book" w:cs="Symbol"/>
                <w:b/>
                <w:color w:val="005CA9"/>
                <w:sz w:val="18"/>
                <w:szCs w:val="18"/>
              </w:rPr>
              <w:t xml:space="preserve"> </w:t>
            </w:r>
            <w:r w:rsidRPr="00E20D21">
              <w:rPr>
                <w:rFonts w:ascii="CAIXA Std Book" w:hAnsi="CAIXA Std Book" w:cs="Symbol"/>
                <w:b/>
                <w:color w:val="005CA9"/>
                <w:sz w:val="18"/>
                <w:szCs w:val="18"/>
              </w:rPr>
              <w:t>CONSOLIDADO</w:t>
            </w:r>
          </w:p>
        </w:tc>
      </w:tr>
      <w:tr w:rsidR="0096575F" w:rsidRPr="00E20D21" w14:paraId="446CDB06" w14:textId="77777777" w:rsidTr="00E643EE">
        <w:trPr>
          <w:trHeight w:val="283"/>
        </w:trPr>
        <w:tc>
          <w:tcPr>
            <w:tcW w:w="2461" w:type="pct"/>
            <w:tcBorders>
              <w:top w:val="single" w:sz="4" w:space="0" w:color="F68F00"/>
              <w:left w:val="nil"/>
              <w:bottom w:val="single" w:sz="4" w:space="0" w:color="F68F00"/>
              <w:right w:val="nil"/>
            </w:tcBorders>
            <w:shd w:val="clear" w:color="auto" w:fill="auto"/>
            <w:vAlign w:val="center"/>
            <w:hideMark/>
          </w:tcPr>
          <w:p w14:paraId="0B35B69C" w14:textId="77777777"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Descrição</w:t>
            </w:r>
          </w:p>
        </w:tc>
        <w:tc>
          <w:tcPr>
            <w:tcW w:w="845" w:type="pct"/>
            <w:tcBorders>
              <w:top w:val="single" w:sz="4" w:space="0" w:color="F68F00"/>
              <w:left w:val="nil"/>
              <w:bottom w:val="single" w:sz="4" w:space="0" w:color="F68F00"/>
              <w:right w:val="nil"/>
            </w:tcBorders>
            <w:shd w:val="clear" w:color="auto" w:fill="auto"/>
            <w:vAlign w:val="center"/>
          </w:tcPr>
          <w:p w14:paraId="26AB39CB" w14:textId="4E39180B"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1º semestre 2024</w:t>
            </w:r>
          </w:p>
        </w:tc>
        <w:tc>
          <w:tcPr>
            <w:tcW w:w="846" w:type="pct"/>
            <w:tcBorders>
              <w:top w:val="single" w:sz="4" w:space="0" w:color="F68F00"/>
              <w:left w:val="nil"/>
              <w:bottom w:val="single" w:sz="4" w:space="0" w:color="F68F00"/>
              <w:right w:val="nil"/>
            </w:tcBorders>
            <w:shd w:val="clear" w:color="auto" w:fill="auto"/>
            <w:vAlign w:val="center"/>
            <w:hideMark/>
          </w:tcPr>
          <w:p w14:paraId="11D4E04A" w14:textId="137024EE"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Exercício 2023</w:t>
            </w:r>
          </w:p>
        </w:tc>
        <w:tc>
          <w:tcPr>
            <w:tcW w:w="847" w:type="pct"/>
            <w:tcBorders>
              <w:top w:val="single" w:sz="4" w:space="0" w:color="F68F00"/>
              <w:left w:val="nil"/>
              <w:bottom w:val="single" w:sz="4" w:space="0" w:color="F68F00"/>
              <w:right w:val="nil"/>
            </w:tcBorders>
            <w:shd w:val="clear" w:color="auto" w:fill="auto"/>
            <w:vAlign w:val="center"/>
          </w:tcPr>
          <w:p w14:paraId="2EAD2B8F" w14:textId="504583EB" w:rsidR="0096575F" w:rsidRPr="00E20D21" w:rsidRDefault="0096575F" w:rsidP="0096575F">
            <w:pPr>
              <w:jc w:val="center"/>
              <w:rPr>
                <w:rFonts w:ascii="CAIXA Std Book" w:hAnsi="CAIXA Std Book" w:cs="Symbol"/>
                <w:b/>
                <w:color w:val="005CA9"/>
                <w:sz w:val="18"/>
                <w:szCs w:val="18"/>
              </w:rPr>
            </w:pPr>
            <w:r w:rsidRPr="00E20D21">
              <w:rPr>
                <w:rFonts w:ascii="CAIXA Std Book" w:hAnsi="CAIXA Std Book" w:cs="Symbol"/>
                <w:b/>
                <w:color w:val="005CA9"/>
                <w:sz w:val="18"/>
                <w:szCs w:val="18"/>
              </w:rPr>
              <w:t>1º semestre 2023</w:t>
            </w:r>
          </w:p>
        </w:tc>
      </w:tr>
      <w:tr w:rsidR="00E643EE" w:rsidRPr="00E20D21" w14:paraId="7041CDA5" w14:textId="77777777" w:rsidTr="00E643EE">
        <w:trPr>
          <w:trHeight w:val="283"/>
        </w:trPr>
        <w:tc>
          <w:tcPr>
            <w:tcW w:w="2461" w:type="pct"/>
            <w:tcBorders>
              <w:top w:val="nil"/>
              <w:left w:val="nil"/>
              <w:bottom w:val="nil"/>
              <w:right w:val="nil"/>
            </w:tcBorders>
            <w:shd w:val="clear" w:color="auto" w:fill="auto"/>
            <w:vAlign w:val="center"/>
            <w:hideMark/>
          </w:tcPr>
          <w:p w14:paraId="1F1B595C" w14:textId="6AFB4027" w:rsidR="00E643EE" w:rsidRPr="00E20D21" w:rsidRDefault="00E643EE" w:rsidP="00E643EE">
            <w:pPr>
              <w:rPr>
                <w:rFonts w:ascii="CAIXA Std Book" w:hAnsi="CAIXA Std Book" w:cs="Symbol"/>
                <w:color w:val="005CA9"/>
                <w:sz w:val="18"/>
                <w:szCs w:val="18"/>
              </w:rPr>
            </w:pPr>
            <w:r w:rsidRPr="00E20D21">
              <w:rPr>
                <w:rFonts w:ascii="CAIXA Std Book" w:hAnsi="CAIXA Std Book" w:cs="Symbol"/>
                <w:color w:val="005CA9"/>
                <w:sz w:val="18"/>
                <w:szCs w:val="18"/>
              </w:rPr>
              <w:t>Causas judiciais</w:t>
            </w:r>
          </w:p>
        </w:tc>
        <w:tc>
          <w:tcPr>
            <w:tcW w:w="845" w:type="pct"/>
            <w:tcBorders>
              <w:top w:val="nil"/>
              <w:left w:val="nil"/>
              <w:bottom w:val="nil"/>
              <w:right w:val="nil"/>
            </w:tcBorders>
            <w:shd w:val="clear" w:color="auto" w:fill="auto"/>
            <w:vAlign w:val="center"/>
          </w:tcPr>
          <w:p w14:paraId="773FF2A3" w14:textId="779D3B47" w:rsidR="00E643EE" w:rsidRPr="00E20D21" w:rsidRDefault="00D6274D" w:rsidP="00E643EE">
            <w:pPr>
              <w:jc w:val="right"/>
              <w:rPr>
                <w:rFonts w:ascii="CAIXA Std Book" w:hAnsi="CAIXA Std Book" w:cs="Symbol"/>
                <w:color w:val="005CA9"/>
                <w:sz w:val="18"/>
                <w:szCs w:val="18"/>
              </w:rPr>
            </w:pPr>
            <w:r w:rsidRPr="00E20D21">
              <w:rPr>
                <w:rFonts w:ascii="CAIXA Std Book" w:hAnsi="CAIXA Std Book" w:cs="Symbol"/>
                <w:color w:val="005CA9"/>
                <w:sz w:val="18"/>
                <w:szCs w:val="18"/>
              </w:rPr>
              <w:t>234</w:t>
            </w:r>
          </w:p>
        </w:tc>
        <w:tc>
          <w:tcPr>
            <w:tcW w:w="846" w:type="pct"/>
            <w:tcBorders>
              <w:top w:val="nil"/>
              <w:left w:val="nil"/>
              <w:bottom w:val="nil"/>
              <w:right w:val="nil"/>
            </w:tcBorders>
            <w:shd w:val="clear" w:color="auto" w:fill="auto"/>
            <w:vAlign w:val="center"/>
          </w:tcPr>
          <w:p w14:paraId="6B4C5DB5" w14:textId="77777777" w:rsidR="00E643EE" w:rsidRPr="00E20D21" w:rsidRDefault="00E643EE" w:rsidP="00E643EE">
            <w:pPr>
              <w:jc w:val="right"/>
              <w:rPr>
                <w:rFonts w:ascii="CAIXA Std Book" w:hAnsi="CAIXA Std Book"/>
                <w:color w:val="005CA9"/>
                <w:sz w:val="18"/>
                <w:szCs w:val="18"/>
              </w:rPr>
            </w:pPr>
            <w:r w:rsidRPr="00E20D21">
              <w:rPr>
                <w:rFonts w:ascii="CAIXA Std Book" w:hAnsi="CAIXA Std Book" w:cs="Calibri"/>
                <w:color w:val="005CA9"/>
                <w:sz w:val="18"/>
                <w:szCs w:val="18"/>
              </w:rPr>
              <w:t>523</w:t>
            </w:r>
          </w:p>
        </w:tc>
        <w:tc>
          <w:tcPr>
            <w:tcW w:w="847" w:type="pct"/>
            <w:tcBorders>
              <w:top w:val="nil"/>
              <w:left w:val="nil"/>
              <w:bottom w:val="nil"/>
              <w:right w:val="nil"/>
            </w:tcBorders>
            <w:shd w:val="clear" w:color="auto" w:fill="auto"/>
            <w:vAlign w:val="center"/>
          </w:tcPr>
          <w:p w14:paraId="6BB3EAC1" w14:textId="636CF681" w:rsidR="00E643EE" w:rsidRPr="00E20D21" w:rsidRDefault="00E643EE" w:rsidP="00E643EE">
            <w:pPr>
              <w:jc w:val="right"/>
              <w:rPr>
                <w:rFonts w:ascii="CAIXA Std Book" w:hAnsi="CAIXA Std Book" w:cs="Symbol"/>
                <w:color w:val="005CA9"/>
                <w:sz w:val="18"/>
                <w:szCs w:val="18"/>
              </w:rPr>
            </w:pPr>
            <w:r w:rsidRPr="00E20D21">
              <w:rPr>
                <w:rFonts w:ascii="CAIXA Std Book" w:hAnsi="CAIXA Std Book" w:cs="Symbol"/>
                <w:color w:val="005CA9"/>
                <w:sz w:val="18"/>
                <w:szCs w:val="18"/>
              </w:rPr>
              <w:t>373</w:t>
            </w:r>
          </w:p>
        </w:tc>
      </w:tr>
      <w:tr w:rsidR="00E643EE" w:rsidRPr="00E20D21" w14:paraId="7D3A465A" w14:textId="77777777" w:rsidTr="00E643EE">
        <w:trPr>
          <w:trHeight w:val="283"/>
        </w:trPr>
        <w:tc>
          <w:tcPr>
            <w:tcW w:w="2461" w:type="pct"/>
            <w:tcBorders>
              <w:top w:val="single" w:sz="4" w:space="0" w:color="F68F00"/>
              <w:left w:val="nil"/>
              <w:bottom w:val="single" w:sz="4" w:space="0" w:color="F68F00"/>
              <w:right w:val="nil"/>
            </w:tcBorders>
            <w:shd w:val="clear" w:color="auto" w:fill="auto"/>
            <w:vAlign w:val="center"/>
            <w:hideMark/>
          </w:tcPr>
          <w:p w14:paraId="277B238F" w14:textId="77777777" w:rsidR="00E643EE" w:rsidRPr="00E20D21" w:rsidRDefault="00E643EE" w:rsidP="00E643EE">
            <w:pPr>
              <w:rPr>
                <w:rFonts w:ascii="CAIXA Std Book" w:hAnsi="CAIXA Std Book" w:cs="Symbol"/>
                <w:b/>
                <w:color w:val="005CA9"/>
                <w:sz w:val="18"/>
                <w:szCs w:val="18"/>
              </w:rPr>
            </w:pPr>
            <w:r w:rsidRPr="00E20D21">
              <w:rPr>
                <w:rFonts w:ascii="CAIXA Std Book" w:hAnsi="CAIXA Std Book" w:cs="Symbol"/>
                <w:b/>
                <w:color w:val="005CA9"/>
                <w:sz w:val="18"/>
                <w:szCs w:val="18"/>
              </w:rPr>
              <w:t>Total</w:t>
            </w:r>
          </w:p>
        </w:tc>
        <w:tc>
          <w:tcPr>
            <w:tcW w:w="845" w:type="pct"/>
            <w:tcBorders>
              <w:top w:val="single" w:sz="4" w:space="0" w:color="F68F00"/>
              <w:left w:val="nil"/>
              <w:bottom w:val="single" w:sz="4" w:space="0" w:color="F68F00"/>
              <w:right w:val="nil"/>
            </w:tcBorders>
            <w:shd w:val="clear" w:color="auto" w:fill="auto"/>
            <w:vAlign w:val="center"/>
          </w:tcPr>
          <w:p w14:paraId="3A0FFF17" w14:textId="58FA58E2" w:rsidR="00E643EE" w:rsidRPr="00E20D21" w:rsidRDefault="00D6274D" w:rsidP="00E643EE">
            <w:pPr>
              <w:jc w:val="right"/>
              <w:rPr>
                <w:rFonts w:ascii="CAIXA Std Book" w:hAnsi="CAIXA Std Book" w:cs="Symbol"/>
                <w:b/>
                <w:color w:val="005CA9"/>
                <w:sz w:val="18"/>
                <w:szCs w:val="18"/>
              </w:rPr>
            </w:pPr>
            <w:r w:rsidRPr="00E20D21">
              <w:rPr>
                <w:rFonts w:ascii="CAIXA Std Book" w:hAnsi="CAIXA Std Book" w:cs="Symbol"/>
                <w:b/>
                <w:color w:val="005CA9"/>
                <w:sz w:val="18"/>
                <w:szCs w:val="18"/>
              </w:rPr>
              <w:t>234</w:t>
            </w:r>
          </w:p>
        </w:tc>
        <w:tc>
          <w:tcPr>
            <w:tcW w:w="846" w:type="pct"/>
            <w:tcBorders>
              <w:top w:val="single" w:sz="4" w:space="0" w:color="F68F00"/>
              <w:left w:val="nil"/>
              <w:bottom w:val="single" w:sz="4" w:space="0" w:color="F68F00"/>
              <w:right w:val="nil"/>
            </w:tcBorders>
            <w:shd w:val="clear" w:color="auto" w:fill="auto"/>
            <w:vAlign w:val="center"/>
          </w:tcPr>
          <w:p w14:paraId="12B9DC8A" w14:textId="77777777" w:rsidR="00E643EE" w:rsidRPr="00E20D21" w:rsidRDefault="00E643EE" w:rsidP="00E643EE">
            <w:pPr>
              <w:jc w:val="right"/>
              <w:rPr>
                <w:rFonts w:ascii="CAIXA Std Book" w:hAnsi="CAIXA Std Book" w:cs="Calibri"/>
                <w:b/>
                <w:color w:val="005CA9"/>
                <w:sz w:val="18"/>
                <w:szCs w:val="18"/>
              </w:rPr>
            </w:pPr>
            <w:r w:rsidRPr="00E20D21">
              <w:rPr>
                <w:rFonts w:ascii="CAIXA Std Book" w:hAnsi="CAIXA Std Book" w:cs="Calibri"/>
                <w:b/>
                <w:color w:val="005CA9"/>
                <w:sz w:val="18"/>
                <w:szCs w:val="18"/>
              </w:rPr>
              <w:t>523</w:t>
            </w:r>
          </w:p>
        </w:tc>
        <w:tc>
          <w:tcPr>
            <w:tcW w:w="847" w:type="pct"/>
            <w:tcBorders>
              <w:top w:val="single" w:sz="4" w:space="0" w:color="F68F00"/>
              <w:left w:val="nil"/>
              <w:bottom w:val="single" w:sz="4" w:space="0" w:color="F68F00"/>
              <w:right w:val="nil"/>
            </w:tcBorders>
            <w:shd w:val="clear" w:color="auto" w:fill="auto"/>
            <w:vAlign w:val="center"/>
          </w:tcPr>
          <w:p w14:paraId="7F4E6309" w14:textId="6639AAAC" w:rsidR="00E643EE" w:rsidRPr="00E20D21" w:rsidRDefault="00E643EE" w:rsidP="00E643EE">
            <w:pPr>
              <w:jc w:val="right"/>
              <w:rPr>
                <w:rFonts w:ascii="CAIXA Std Book" w:hAnsi="CAIXA Std Book" w:cs="Symbol"/>
                <w:b/>
                <w:color w:val="005CA9"/>
                <w:sz w:val="18"/>
                <w:szCs w:val="18"/>
              </w:rPr>
            </w:pPr>
            <w:r w:rsidRPr="00E20D21">
              <w:rPr>
                <w:rFonts w:ascii="CAIXA Std Book" w:hAnsi="CAIXA Std Book" w:cs="Symbol"/>
                <w:b/>
                <w:color w:val="005CA9"/>
                <w:sz w:val="18"/>
                <w:szCs w:val="18"/>
              </w:rPr>
              <w:t>373</w:t>
            </w:r>
          </w:p>
        </w:tc>
      </w:tr>
    </w:tbl>
    <w:p w14:paraId="604C361A" w14:textId="5BFAB9FA" w:rsidR="00C95AD1" w:rsidRPr="00E20D21" w:rsidRDefault="00C95AD1" w:rsidP="00FD7768">
      <w:pPr>
        <w:pStyle w:val="Ttulo1"/>
      </w:pPr>
      <w:bookmarkStart w:id="77" w:name="_Toc175067962"/>
      <w:r w:rsidRPr="00E20D21">
        <w:t>Nota 2</w:t>
      </w:r>
      <w:r w:rsidR="004917F8" w:rsidRPr="00E20D21">
        <w:t>2</w:t>
      </w:r>
      <w:r w:rsidRPr="00E20D21">
        <w:t xml:space="preserve"> – Outros passivos</w:t>
      </w:r>
      <w:bookmarkEnd w:id="77"/>
    </w:p>
    <w:tbl>
      <w:tblPr>
        <w:tblW w:w="5000" w:type="pct"/>
        <w:tblCellMar>
          <w:left w:w="70" w:type="dxa"/>
          <w:right w:w="70" w:type="dxa"/>
        </w:tblCellMar>
        <w:tblLook w:val="04A0" w:firstRow="1" w:lastRow="0" w:firstColumn="1" w:lastColumn="0" w:noHBand="0" w:noVBand="1"/>
      </w:tblPr>
      <w:tblGrid>
        <w:gridCol w:w="4686"/>
        <w:gridCol w:w="1239"/>
        <w:gridCol w:w="1239"/>
        <w:gridCol w:w="1239"/>
        <w:gridCol w:w="1234"/>
      </w:tblGrid>
      <w:tr w:rsidR="00A47C19" w:rsidRPr="00E20D21" w14:paraId="7E2D365A" w14:textId="77777777" w:rsidTr="00AC0F19">
        <w:trPr>
          <w:trHeight w:val="283"/>
        </w:trPr>
        <w:tc>
          <w:tcPr>
            <w:tcW w:w="2431" w:type="pct"/>
            <w:vMerge w:val="restart"/>
            <w:tcBorders>
              <w:top w:val="single" w:sz="4" w:space="0" w:color="F39200"/>
              <w:left w:val="nil"/>
              <w:bottom w:val="single" w:sz="4" w:space="0" w:color="F39200"/>
              <w:right w:val="nil"/>
            </w:tcBorders>
            <w:shd w:val="clear" w:color="auto" w:fill="auto"/>
            <w:vAlign w:val="center"/>
            <w:hideMark/>
          </w:tcPr>
          <w:p w14:paraId="05074CD3" w14:textId="77777777" w:rsidR="00027A61" w:rsidRPr="00E20D21" w:rsidRDefault="00027A61">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Descrição</w:t>
            </w:r>
          </w:p>
        </w:tc>
        <w:tc>
          <w:tcPr>
            <w:tcW w:w="1286" w:type="pct"/>
            <w:gridSpan w:val="2"/>
            <w:tcBorders>
              <w:top w:val="single" w:sz="4" w:space="0" w:color="F39200"/>
              <w:left w:val="nil"/>
              <w:bottom w:val="single" w:sz="4" w:space="0" w:color="F39200"/>
              <w:right w:val="nil"/>
            </w:tcBorders>
            <w:shd w:val="clear" w:color="auto" w:fill="auto"/>
            <w:vAlign w:val="center"/>
            <w:hideMark/>
          </w:tcPr>
          <w:p w14:paraId="1631708E" w14:textId="77777777" w:rsidR="00027A61" w:rsidRPr="00E20D21" w:rsidRDefault="00027A61" w:rsidP="00027A61">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INDIVIDUAL</w:t>
            </w:r>
          </w:p>
        </w:tc>
        <w:tc>
          <w:tcPr>
            <w:tcW w:w="1283" w:type="pct"/>
            <w:gridSpan w:val="2"/>
            <w:tcBorders>
              <w:top w:val="single" w:sz="4" w:space="0" w:color="F39200"/>
              <w:left w:val="nil"/>
              <w:bottom w:val="single" w:sz="4" w:space="0" w:color="F39200"/>
              <w:right w:val="nil"/>
            </w:tcBorders>
            <w:shd w:val="clear" w:color="auto" w:fill="auto"/>
            <w:vAlign w:val="center"/>
            <w:hideMark/>
          </w:tcPr>
          <w:p w14:paraId="01B7AB24" w14:textId="77777777" w:rsidR="00027A61" w:rsidRPr="00E20D21" w:rsidRDefault="00027A61">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CONSOLIDADO</w:t>
            </w:r>
          </w:p>
        </w:tc>
      </w:tr>
      <w:tr w:rsidR="0096575F" w:rsidRPr="00E20D21" w14:paraId="085DF04C" w14:textId="77777777" w:rsidTr="00AC0F19">
        <w:trPr>
          <w:trHeight w:val="283"/>
        </w:trPr>
        <w:tc>
          <w:tcPr>
            <w:tcW w:w="2431" w:type="pct"/>
            <w:vMerge/>
            <w:tcBorders>
              <w:top w:val="single" w:sz="4" w:space="0" w:color="F39200"/>
              <w:bottom w:val="single" w:sz="4" w:space="0" w:color="F39200"/>
            </w:tcBorders>
            <w:vAlign w:val="center"/>
            <w:hideMark/>
          </w:tcPr>
          <w:p w14:paraId="278B1655" w14:textId="77777777" w:rsidR="0096575F" w:rsidRPr="00E20D21" w:rsidRDefault="0096575F" w:rsidP="0096575F">
            <w:pPr>
              <w:rPr>
                <w:rFonts w:ascii="CAIXA Std Book" w:hAnsi="CAIXA Std Book" w:cs="Cambria Math"/>
                <w:b/>
                <w:color w:val="005CA9"/>
                <w:sz w:val="18"/>
                <w:szCs w:val="18"/>
              </w:rPr>
            </w:pPr>
          </w:p>
        </w:tc>
        <w:tc>
          <w:tcPr>
            <w:tcW w:w="643" w:type="pct"/>
            <w:tcBorders>
              <w:top w:val="single" w:sz="4" w:space="0" w:color="F39200"/>
              <w:left w:val="nil"/>
              <w:bottom w:val="single" w:sz="4" w:space="0" w:color="F39200"/>
              <w:right w:val="nil"/>
            </w:tcBorders>
            <w:shd w:val="clear" w:color="auto" w:fill="auto"/>
            <w:noWrap/>
            <w:vAlign w:val="center"/>
          </w:tcPr>
          <w:p w14:paraId="1DE47A32" w14:textId="5141005B" w:rsidR="0096575F" w:rsidRPr="00E20D21" w:rsidRDefault="0096575F" w:rsidP="0096575F">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30/06/2024</w:t>
            </w:r>
          </w:p>
        </w:tc>
        <w:tc>
          <w:tcPr>
            <w:tcW w:w="643" w:type="pct"/>
            <w:tcBorders>
              <w:top w:val="single" w:sz="4" w:space="0" w:color="F39200"/>
              <w:left w:val="nil"/>
              <w:bottom w:val="single" w:sz="4" w:space="0" w:color="F39200"/>
              <w:right w:val="nil"/>
            </w:tcBorders>
            <w:shd w:val="clear" w:color="auto" w:fill="auto"/>
            <w:vAlign w:val="center"/>
            <w:hideMark/>
          </w:tcPr>
          <w:p w14:paraId="6130964C" w14:textId="39C36FC8" w:rsidR="0096575F" w:rsidRPr="00E20D21" w:rsidRDefault="0096575F" w:rsidP="0096575F">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31/12/2023</w:t>
            </w:r>
          </w:p>
        </w:tc>
        <w:tc>
          <w:tcPr>
            <w:tcW w:w="643" w:type="pct"/>
            <w:tcBorders>
              <w:top w:val="single" w:sz="4" w:space="0" w:color="F39200"/>
              <w:left w:val="nil"/>
              <w:bottom w:val="single" w:sz="4" w:space="0" w:color="F39200"/>
              <w:right w:val="nil"/>
            </w:tcBorders>
            <w:shd w:val="clear" w:color="auto" w:fill="auto"/>
            <w:noWrap/>
            <w:vAlign w:val="center"/>
          </w:tcPr>
          <w:p w14:paraId="2002BC0D" w14:textId="0039B56C" w:rsidR="0096575F" w:rsidRPr="00E20D21" w:rsidRDefault="0096575F" w:rsidP="0096575F">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30/06/2024</w:t>
            </w:r>
          </w:p>
        </w:tc>
        <w:tc>
          <w:tcPr>
            <w:tcW w:w="640" w:type="pct"/>
            <w:tcBorders>
              <w:top w:val="single" w:sz="4" w:space="0" w:color="F39200"/>
              <w:left w:val="nil"/>
              <w:bottom w:val="single" w:sz="4" w:space="0" w:color="F39200"/>
              <w:right w:val="nil"/>
            </w:tcBorders>
            <w:shd w:val="clear" w:color="auto" w:fill="auto"/>
            <w:vAlign w:val="center"/>
            <w:hideMark/>
          </w:tcPr>
          <w:p w14:paraId="23F4FB6B" w14:textId="3EA1B0BC" w:rsidR="0096575F" w:rsidRPr="00E20D21" w:rsidRDefault="0096575F" w:rsidP="0096575F">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31/12/2023</w:t>
            </w:r>
          </w:p>
        </w:tc>
      </w:tr>
      <w:tr w:rsidR="00223A32" w:rsidRPr="00E20D21" w14:paraId="5CCA1E53" w14:textId="77777777" w:rsidTr="00AC0F19">
        <w:trPr>
          <w:trHeight w:val="283"/>
        </w:trPr>
        <w:tc>
          <w:tcPr>
            <w:tcW w:w="2431" w:type="pct"/>
            <w:tcBorders>
              <w:top w:val="single" w:sz="4" w:space="0" w:color="F39200"/>
              <w:left w:val="nil"/>
              <w:bottom w:val="nil"/>
              <w:right w:val="nil"/>
            </w:tcBorders>
            <w:shd w:val="clear" w:color="auto" w:fill="auto"/>
            <w:vAlign w:val="center"/>
            <w:hideMark/>
          </w:tcPr>
          <w:p w14:paraId="0E077EB8" w14:textId="77777777" w:rsidR="00223A32" w:rsidRPr="00E20D21" w:rsidRDefault="00223A32" w:rsidP="00223A32">
            <w:pPr>
              <w:rPr>
                <w:rFonts w:ascii="CAIXA Std Book" w:hAnsi="CAIXA Std Book" w:cs="Cambria Math"/>
                <w:color w:val="005CA9"/>
                <w:sz w:val="18"/>
                <w:szCs w:val="18"/>
              </w:rPr>
            </w:pPr>
            <w:r w:rsidRPr="00E20D21">
              <w:rPr>
                <w:rFonts w:ascii="CAIXA Std Book" w:hAnsi="CAIXA Std Book" w:cs="Arial"/>
                <w:color w:val="005CA9"/>
                <w:sz w:val="18"/>
                <w:szCs w:val="18"/>
              </w:rPr>
              <w:t>Relações Interfinanceiras e Interdependências</w:t>
            </w:r>
          </w:p>
        </w:tc>
        <w:tc>
          <w:tcPr>
            <w:tcW w:w="643" w:type="pct"/>
            <w:tcBorders>
              <w:top w:val="nil"/>
              <w:left w:val="nil"/>
              <w:bottom w:val="nil"/>
              <w:right w:val="nil"/>
            </w:tcBorders>
            <w:shd w:val="clear" w:color="auto" w:fill="auto"/>
            <w:vAlign w:val="center"/>
          </w:tcPr>
          <w:p w14:paraId="5095055A" w14:textId="43AAB31C"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15.089.281</w:t>
            </w:r>
          </w:p>
        </w:tc>
        <w:tc>
          <w:tcPr>
            <w:tcW w:w="643" w:type="pct"/>
            <w:tcBorders>
              <w:top w:val="nil"/>
              <w:left w:val="nil"/>
              <w:bottom w:val="nil"/>
              <w:right w:val="nil"/>
            </w:tcBorders>
            <w:shd w:val="clear" w:color="auto" w:fill="auto"/>
            <w:noWrap/>
            <w:vAlign w:val="center"/>
            <w:hideMark/>
          </w:tcPr>
          <w:p w14:paraId="7FFB237C" w14:textId="460EEF89"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13.669.646</w:t>
            </w:r>
          </w:p>
        </w:tc>
        <w:tc>
          <w:tcPr>
            <w:tcW w:w="643" w:type="pct"/>
            <w:tcBorders>
              <w:top w:val="nil"/>
              <w:left w:val="nil"/>
              <w:bottom w:val="nil"/>
              <w:right w:val="nil"/>
            </w:tcBorders>
            <w:shd w:val="clear" w:color="auto" w:fill="auto"/>
            <w:vAlign w:val="center"/>
          </w:tcPr>
          <w:p w14:paraId="608D4B6C" w14:textId="5E304924"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15.089.281</w:t>
            </w:r>
          </w:p>
        </w:tc>
        <w:tc>
          <w:tcPr>
            <w:tcW w:w="640" w:type="pct"/>
            <w:tcBorders>
              <w:top w:val="nil"/>
              <w:left w:val="nil"/>
              <w:bottom w:val="nil"/>
              <w:right w:val="nil"/>
            </w:tcBorders>
            <w:shd w:val="clear" w:color="auto" w:fill="auto"/>
            <w:noWrap/>
            <w:vAlign w:val="center"/>
            <w:hideMark/>
          </w:tcPr>
          <w:p w14:paraId="27936659" w14:textId="6BDD4418"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13.669.646</w:t>
            </w:r>
          </w:p>
        </w:tc>
      </w:tr>
      <w:tr w:rsidR="00223A32" w:rsidRPr="00E20D21" w14:paraId="158598A4" w14:textId="77777777" w:rsidTr="00AC0F19">
        <w:trPr>
          <w:trHeight w:val="283"/>
        </w:trPr>
        <w:tc>
          <w:tcPr>
            <w:tcW w:w="2431" w:type="pct"/>
            <w:tcBorders>
              <w:top w:val="nil"/>
              <w:left w:val="nil"/>
              <w:bottom w:val="nil"/>
              <w:right w:val="nil"/>
            </w:tcBorders>
            <w:shd w:val="clear" w:color="auto" w:fill="auto"/>
            <w:vAlign w:val="center"/>
            <w:hideMark/>
          </w:tcPr>
          <w:p w14:paraId="50FA469E" w14:textId="77777777" w:rsidR="00223A32" w:rsidRPr="00E20D21" w:rsidRDefault="00223A32" w:rsidP="00223A32">
            <w:pPr>
              <w:rPr>
                <w:rFonts w:ascii="CAIXA Std Book" w:hAnsi="CAIXA Std Book" w:cs="Cambria Math"/>
                <w:color w:val="005CA9"/>
                <w:sz w:val="18"/>
                <w:szCs w:val="18"/>
              </w:rPr>
            </w:pPr>
            <w:r w:rsidRPr="00E20D21">
              <w:rPr>
                <w:rFonts w:ascii="CAIXA Std Book" w:hAnsi="CAIXA Std Book" w:cs="Arial"/>
                <w:color w:val="005CA9"/>
                <w:sz w:val="18"/>
                <w:szCs w:val="18"/>
              </w:rPr>
              <w:t>Credores por recursos a liberar</w:t>
            </w:r>
          </w:p>
        </w:tc>
        <w:tc>
          <w:tcPr>
            <w:tcW w:w="643" w:type="pct"/>
            <w:tcBorders>
              <w:top w:val="nil"/>
              <w:left w:val="nil"/>
              <w:bottom w:val="nil"/>
              <w:right w:val="nil"/>
            </w:tcBorders>
            <w:shd w:val="clear" w:color="auto" w:fill="auto"/>
            <w:vAlign w:val="center"/>
          </w:tcPr>
          <w:p w14:paraId="2C740DE4" w14:textId="2EC38E47"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10.033.775</w:t>
            </w:r>
          </w:p>
        </w:tc>
        <w:tc>
          <w:tcPr>
            <w:tcW w:w="643" w:type="pct"/>
            <w:tcBorders>
              <w:top w:val="nil"/>
              <w:left w:val="nil"/>
              <w:bottom w:val="nil"/>
              <w:right w:val="nil"/>
            </w:tcBorders>
            <w:shd w:val="clear" w:color="auto" w:fill="auto"/>
            <w:noWrap/>
            <w:vAlign w:val="center"/>
            <w:hideMark/>
          </w:tcPr>
          <w:p w14:paraId="7B45AC48" w14:textId="46B1357F"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7.196.583</w:t>
            </w:r>
          </w:p>
        </w:tc>
        <w:tc>
          <w:tcPr>
            <w:tcW w:w="643" w:type="pct"/>
            <w:tcBorders>
              <w:top w:val="nil"/>
              <w:left w:val="nil"/>
              <w:bottom w:val="nil"/>
              <w:right w:val="nil"/>
            </w:tcBorders>
            <w:shd w:val="clear" w:color="auto" w:fill="auto"/>
            <w:vAlign w:val="center"/>
          </w:tcPr>
          <w:p w14:paraId="3AEF38CC" w14:textId="38CCC948"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10.033.775</w:t>
            </w:r>
          </w:p>
        </w:tc>
        <w:tc>
          <w:tcPr>
            <w:tcW w:w="640" w:type="pct"/>
            <w:tcBorders>
              <w:top w:val="nil"/>
              <w:left w:val="nil"/>
              <w:bottom w:val="nil"/>
              <w:right w:val="nil"/>
            </w:tcBorders>
            <w:shd w:val="clear" w:color="auto" w:fill="auto"/>
            <w:noWrap/>
            <w:vAlign w:val="center"/>
            <w:hideMark/>
          </w:tcPr>
          <w:p w14:paraId="0662C0A8" w14:textId="2CDB80E5"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7.196.583</w:t>
            </w:r>
          </w:p>
        </w:tc>
      </w:tr>
      <w:tr w:rsidR="00223A32" w:rsidRPr="00E20D21" w14:paraId="4696EE9D" w14:textId="77777777" w:rsidTr="00AC0F19">
        <w:trPr>
          <w:trHeight w:val="283"/>
        </w:trPr>
        <w:tc>
          <w:tcPr>
            <w:tcW w:w="2431" w:type="pct"/>
            <w:tcBorders>
              <w:top w:val="nil"/>
              <w:left w:val="nil"/>
              <w:bottom w:val="nil"/>
              <w:right w:val="nil"/>
            </w:tcBorders>
            <w:shd w:val="clear" w:color="auto" w:fill="auto"/>
            <w:vAlign w:val="center"/>
            <w:hideMark/>
          </w:tcPr>
          <w:p w14:paraId="413D9A7A" w14:textId="77777777" w:rsidR="00223A32" w:rsidRPr="00E20D21" w:rsidRDefault="00223A32" w:rsidP="00223A32">
            <w:pPr>
              <w:rPr>
                <w:rFonts w:ascii="CAIXA Std Book" w:hAnsi="CAIXA Std Book" w:cs="Cambria Math"/>
                <w:color w:val="005CA9"/>
                <w:sz w:val="18"/>
                <w:szCs w:val="18"/>
              </w:rPr>
            </w:pPr>
            <w:r w:rsidRPr="00E20D21">
              <w:rPr>
                <w:rFonts w:ascii="CAIXA Std Book" w:hAnsi="CAIXA Std Book" w:cs="Arial"/>
                <w:color w:val="005CA9"/>
                <w:sz w:val="18"/>
                <w:szCs w:val="18"/>
              </w:rPr>
              <w:t>Credores diversos - país</w:t>
            </w:r>
          </w:p>
        </w:tc>
        <w:tc>
          <w:tcPr>
            <w:tcW w:w="643" w:type="pct"/>
            <w:tcBorders>
              <w:top w:val="nil"/>
              <w:left w:val="nil"/>
              <w:bottom w:val="nil"/>
              <w:right w:val="nil"/>
            </w:tcBorders>
            <w:shd w:val="clear" w:color="auto" w:fill="auto"/>
            <w:vAlign w:val="center"/>
          </w:tcPr>
          <w:p w14:paraId="735C1E6C" w14:textId="75B660E3"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7.054.164</w:t>
            </w:r>
          </w:p>
        </w:tc>
        <w:tc>
          <w:tcPr>
            <w:tcW w:w="643" w:type="pct"/>
            <w:tcBorders>
              <w:top w:val="nil"/>
              <w:left w:val="nil"/>
              <w:bottom w:val="nil"/>
              <w:right w:val="nil"/>
            </w:tcBorders>
            <w:shd w:val="clear" w:color="auto" w:fill="auto"/>
            <w:noWrap/>
            <w:vAlign w:val="center"/>
            <w:hideMark/>
          </w:tcPr>
          <w:p w14:paraId="300808DA" w14:textId="0FBBB627"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6.322.522</w:t>
            </w:r>
          </w:p>
        </w:tc>
        <w:tc>
          <w:tcPr>
            <w:tcW w:w="643" w:type="pct"/>
            <w:tcBorders>
              <w:top w:val="nil"/>
              <w:left w:val="nil"/>
              <w:bottom w:val="nil"/>
              <w:right w:val="nil"/>
            </w:tcBorders>
            <w:shd w:val="clear" w:color="auto" w:fill="auto"/>
            <w:vAlign w:val="center"/>
          </w:tcPr>
          <w:p w14:paraId="3F485129" w14:textId="35A88A9F"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7.071.133</w:t>
            </w:r>
          </w:p>
        </w:tc>
        <w:tc>
          <w:tcPr>
            <w:tcW w:w="640" w:type="pct"/>
            <w:tcBorders>
              <w:top w:val="nil"/>
              <w:left w:val="nil"/>
              <w:bottom w:val="nil"/>
              <w:right w:val="nil"/>
            </w:tcBorders>
            <w:shd w:val="clear" w:color="auto" w:fill="auto"/>
            <w:noWrap/>
            <w:vAlign w:val="center"/>
            <w:hideMark/>
          </w:tcPr>
          <w:p w14:paraId="545E740D" w14:textId="41DA3E89"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6.327.152</w:t>
            </w:r>
          </w:p>
        </w:tc>
      </w:tr>
      <w:tr w:rsidR="00223A32" w:rsidRPr="00E20D21" w14:paraId="6EBA024A" w14:textId="77777777" w:rsidTr="00AC0F19">
        <w:trPr>
          <w:trHeight w:val="283"/>
        </w:trPr>
        <w:tc>
          <w:tcPr>
            <w:tcW w:w="2431" w:type="pct"/>
            <w:tcBorders>
              <w:top w:val="nil"/>
              <w:left w:val="nil"/>
              <w:bottom w:val="nil"/>
              <w:right w:val="nil"/>
            </w:tcBorders>
            <w:shd w:val="clear" w:color="auto" w:fill="auto"/>
            <w:vAlign w:val="center"/>
          </w:tcPr>
          <w:p w14:paraId="274CD959" w14:textId="77777777" w:rsidR="00223A32" w:rsidRPr="00E20D21" w:rsidRDefault="00223A32" w:rsidP="00223A32">
            <w:pPr>
              <w:rPr>
                <w:rFonts w:ascii="CAIXA Std Book" w:hAnsi="CAIXA Std Book" w:cs="Cambria Math"/>
                <w:color w:val="005CA9"/>
                <w:sz w:val="18"/>
                <w:szCs w:val="18"/>
              </w:rPr>
            </w:pPr>
            <w:r w:rsidRPr="00E20D21">
              <w:rPr>
                <w:rFonts w:ascii="CAIXA Std Book" w:hAnsi="CAIXA Std Book" w:cs="Arial"/>
                <w:color w:val="005CA9"/>
                <w:sz w:val="18"/>
                <w:szCs w:val="18"/>
              </w:rPr>
              <w:t>Sociais e estatutárias</w:t>
            </w:r>
          </w:p>
        </w:tc>
        <w:tc>
          <w:tcPr>
            <w:tcW w:w="643" w:type="pct"/>
            <w:tcBorders>
              <w:top w:val="nil"/>
              <w:left w:val="nil"/>
              <w:bottom w:val="nil"/>
              <w:right w:val="nil"/>
            </w:tcBorders>
            <w:shd w:val="clear" w:color="auto" w:fill="auto"/>
            <w:vAlign w:val="center"/>
          </w:tcPr>
          <w:p w14:paraId="4A3AFCC7" w14:textId="252F5987"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866.695</w:t>
            </w:r>
          </w:p>
        </w:tc>
        <w:tc>
          <w:tcPr>
            <w:tcW w:w="643" w:type="pct"/>
            <w:tcBorders>
              <w:top w:val="nil"/>
              <w:left w:val="nil"/>
              <w:bottom w:val="nil"/>
              <w:right w:val="nil"/>
            </w:tcBorders>
            <w:shd w:val="clear" w:color="auto" w:fill="auto"/>
            <w:noWrap/>
            <w:vAlign w:val="center"/>
          </w:tcPr>
          <w:p w14:paraId="54004924" w14:textId="6D159BA9"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4.064.976</w:t>
            </w:r>
          </w:p>
        </w:tc>
        <w:tc>
          <w:tcPr>
            <w:tcW w:w="643" w:type="pct"/>
            <w:tcBorders>
              <w:top w:val="nil"/>
              <w:left w:val="nil"/>
              <w:bottom w:val="nil"/>
              <w:right w:val="nil"/>
            </w:tcBorders>
            <w:shd w:val="clear" w:color="auto" w:fill="auto"/>
            <w:vAlign w:val="center"/>
          </w:tcPr>
          <w:p w14:paraId="2A02C4AB" w14:textId="6A1C8980"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1.018.668</w:t>
            </w:r>
          </w:p>
        </w:tc>
        <w:tc>
          <w:tcPr>
            <w:tcW w:w="640" w:type="pct"/>
            <w:tcBorders>
              <w:top w:val="nil"/>
              <w:left w:val="nil"/>
              <w:bottom w:val="nil"/>
              <w:right w:val="nil"/>
            </w:tcBorders>
            <w:shd w:val="clear" w:color="auto" w:fill="auto"/>
            <w:noWrap/>
            <w:vAlign w:val="center"/>
          </w:tcPr>
          <w:p w14:paraId="473F9EC0" w14:textId="7FA5EA88"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4.295.833</w:t>
            </w:r>
          </w:p>
        </w:tc>
      </w:tr>
      <w:tr w:rsidR="00223A32" w:rsidRPr="00E20D21" w14:paraId="44FDFBE1" w14:textId="77777777" w:rsidTr="006901B1">
        <w:trPr>
          <w:trHeight w:val="283"/>
        </w:trPr>
        <w:tc>
          <w:tcPr>
            <w:tcW w:w="2431" w:type="pct"/>
            <w:tcBorders>
              <w:top w:val="nil"/>
              <w:left w:val="nil"/>
              <w:bottom w:val="nil"/>
              <w:right w:val="nil"/>
            </w:tcBorders>
            <w:shd w:val="clear" w:color="auto" w:fill="auto"/>
            <w:vAlign w:val="center"/>
          </w:tcPr>
          <w:p w14:paraId="70F6C937" w14:textId="77777777" w:rsidR="00223A32" w:rsidRPr="00E20D21" w:rsidRDefault="00223A32" w:rsidP="00223A32">
            <w:pPr>
              <w:rPr>
                <w:rFonts w:ascii="CAIXA Std Book" w:hAnsi="CAIXA Std Book" w:cs="Cambria Math"/>
                <w:color w:val="005CA9"/>
                <w:sz w:val="18"/>
                <w:szCs w:val="18"/>
              </w:rPr>
            </w:pPr>
            <w:r w:rsidRPr="00E20D21">
              <w:rPr>
                <w:rFonts w:ascii="CAIXA Std Book" w:hAnsi="CAIXA Std Book" w:cs="Arial"/>
                <w:color w:val="005CA9"/>
                <w:sz w:val="18"/>
                <w:szCs w:val="18"/>
              </w:rPr>
              <w:t>Provisão para pagamentos a efetuar</w:t>
            </w:r>
          </w:p>
        </w:tc>
        <w:tc>
          <w:tcPr>
            <w:tcW w:w="643" w:type="pct"/>
            <w:tcBorders>
              <w:top w:val="nil"/>
              <w:left w:val="nil"/>
              <w:bottom w:val="nil"/>
              <w:right w:val="nil"/>
            </w:tcBorders>
            <w:shd w:val="clear" w:color="auto" w:fill="auto"/>
            <w:vAlign w:val="center"/>
          </w:tcPr>
          <w:p w14:paraId="46923865" w14:textId="6A2CF5E1" w:rsidR="00223A32" w:rsidRPr="00E20D21" w:rsidRDefault="00223A32" w:rsidP="006901B1">
            <w:pPr>
              <w:jc w:val="right"/>
              <w:rPr>
                <w:rFonts w:ascii="CAIXA Std Book" w:hAnsi="CAIXA Std Book" w:cs="Arial"/>
                <w:color w:val="005CA9"/>
                <w:sz w:val="18"/>
                <w:szCs w:val="18"/>
              </w:rPr>
            </w:pPr>
            <w:r w:rsidRPr="00E20D21">
              <w:rPr>
                <w:rFonts w:ascii="CAIXA Std Book" w:hAnsi="CAIXA Std Book" w:cs="Arial"/>
                <w:color w:val="005CA9"/>
                <w:sz w:val="18"/>
                <w:szCs w:val="18"/>
              </w:rPr>
              <w:t>5.647.663</w:t>
            </w:r>
          </w:p>
        </w:tc>
        <w:tc>
          <w:tcPr>
            <w:tcW w:w="643" w:type="pct"/>
            <w:tcBorders>
              <w:top w:val="nil"/>
              <w:left w:val="nil"/>
              <w:bottom w:val="nil"/>
              <w:right w:val="nil"/>
            </w:tcBorders>
            <w:shd w:val="clear" w:color="auto" w:fill="auto"/>
            <w:noWrap/>
            <w:vAlign w:val="center"/>
          </w:tcPr>
          <w:p w14:paraId="728A4671" w14:textId="646634BE"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4.005.806</w:t>
            </w:r>
          </w:p>
        </w:tc>
        <w:tc>
          <w:tcPr>
            <w:tcW w:w="643" w:type="pct"/>
            <w:tcBorders>
              <w:top w:val="nil"/>
              <w:left w:val="nil"/>
              <w:bottom w:val="nil"/>
              <w:right w:val="nil"/>
            </w:tcBorders>
            <w:shd w:val="clear" w:color="auto" w:fill="auto"/>
            <w:vAlign w:val="center"/>
          </w:tcPr>
          <w:p w14:paraId="3DBD4F64" w14:textId="52E32CF6"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5.648.568</w:t>
            </w:r>
          </w:p>
        </w:tc>
        <w:tc>
          <w:tcPr>
            <w:tcW w:w="640" w:type="pct"/>
            <w:tcBorders>
              <w:top w:val="nil"/>
              <w:left w:val="nil"/>
              <w:bottom w:val="nil"/>
              <w:right w:val="nil"/>
            </w:tcBorders>
            <w:shd w:val="clear" w:color="auto" w:fill="auto"/>
            <w:noWrap/>
            <w:vAlign w:val="center"/>
          </w:tcPr>
          <w:p w14:paraId="229B905D" w14:textId="3760AD0A"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4.027.470</w:t>
            </w:r>
          </w:p>
        </w:tc>
      </w:tr>
      <w:tr w:rsidR="00223A32" w:rsidRPr="00E20D21" w14:paraId="4E678BA0" w14:textId="77777777" w:rsidTr="00AC0F19">
        <w:trPr>
          <w:trHeight w:val="283"/>
        </w:trPr>
        <w:tc>
          <w:tcPr>
            <w:tcW w:w="2431" w:type="pct"/>
            <w:tcBorders>
              <w:top w:val="nil"/>
              <w:left w:val="nil"/>
              <w:bottom w:val="nil"/>
              <w:right w:val="nil"/>
            </w:tcBorders>
            <w:shd w:val="clear" w:color="auto" w:fill="auto"/>
            <w:vAlign w:val="center"/>
          </w:tcPr>
          <w:p w14:paraId="5EB4B423" w14:textId="6DCAC9B9" w:rsidR="00223A32" w:rsidRPr="00E20D21" w:rsidRDefault="00223A32" w:rsidP="00223A32">
            <w:pPr>
              <w:rPr>
                <w:rFonts w:ascii="CAIXA Std Book" w:hAnsi="CAIXA Std Book" w:cs="Cambria Math"/>
                <w:color w:val="005CA9"/>
                <w:sz w:val="18"/>
                <w:szCs w:val="18"/>
              </w:rPr>
            </w:pPr>
            <w:r w:rsidRPr="00E20D21">
              <w:rPr>
                <w:rFonts w:ascii="CAIXA Std Book" w:hAnsi="CAIXA Std Book" w:cs="Arial"/>
                <w:color w:val="005CA9"/>
                <w:sz w:val="18"/>
                <w:szCs w:val="18"/>
              </w:rPr>
              <w:t>Valores a pagar a sociedades ligadas</w:t>
            </w:r>
          </w:p>
        </w:tc>
        <w:tc>
          <w:tcPr>
            <w:tcW w:w="643" w:type="pct"/>
            <w:tcBorders>
              <w:top w:val="nil"/>
              <w:left w:val="nil"/>
              <w:bottom w:val="nil"/>
              <w:right w:val="nil"/>
            </w:tcBorders>
            <w:shd w:val="clear" w:color="auto" w:fill="auto"/>
            <w:vAlign w:val="center"/>
          </w:tcPr>
          <w:p w14:paraId="556F94E8" w14:textId="408FA91B"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499.904</w:t>
            </w:r>
          </w:p>
        </w:tc>
        <w:tc>
          <w:tcPr>
            <w:tcW w:w="643" w:type="pct"/>
            <w:tcBorders>
              <w:top w:val="nil"/>
              <w:left w:val="nil"/>
              <w:bottom w:val="nil"/>
              <w:right w:val="nil"/>
            </w:tcBorders>
            <w:shd w:val="clear" w:color="auto" w:fill="auto"/>
            <w:noWrap/>
            <w:vAlign w:val="center"/>
          </w:tcPr>
          <w:p w14:paraId="34B05B3A" w14:textId="356ECF5D"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598.430</w:t>
            </w:r>
          </w:p>
        </w:tc>
        <w:tc>
          <w:tcPr>
            <w:tcW w:w="643" w:type="pct"/>
            <w:tcBorders>
              <w:top w:val="nil"/>
              <w:left w:val="nil"/>
              <w:bottom w:val="nil"/>
              <w:right w:val="nil"/>
            </w:tcBorders>
            <w:shd w:val="clear" w:color="auto" w:fill="auto"/>
            <w:vAlign w:val="center"/>
          </w:tcPr>
          <w:p w14:paraId="6CA89CD4" w14:textId="7F1073F0"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501.786</w:t>
            </w:r>
          </w:p>
        </w:tc>
        <w:tc>
          <w:tcPr>
            <w:tcW w:w="640" w:type="pct"/>
            <w:tcBorders>
              <w:top w:val="nil"/>
              <w:left w:val="nil"/>
              <w:bottom w:val="nil"/>
              <w:right w:val="nil"/>
            </w:tcBorders>
            <w:shd w:val="clear" w:color="auto" w:fill="auto"/>
            <w:noWrap/>
            <w:vAlign w:val="center"/>
          </w:tcPr>
          <w:p w14:paraId="1B956C46" w14:textId="7F31B1DB"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598.430</w:t>
            </w:r>
          </w:p>
        </w:tc>
      </w:tr>
      <w:tr w:rsidR="00223A32" w:rsidRPr="00E20D21" w14:paraId="274AD918" w14:textId="77777777" w:rsidTr="00AC0F19">
        <w:trPr>
          <w:trHeight w:val="283"/>
        </w:trPr>
        <w:tc>
          <w:tcPr>
            <w:tcW w:w="2431" w:type="pct"/>
            <w:tcBorders>
              <w:top w:val="nil"/>
              <w:left w:val="nil"/>
              <w:bottom w:val="nil"/>
              <w:right w:val="nil"/>
            </w:tcBorders>
            <w:shd w:val="clear" w:color="auto" w:fill="auto"/>
            <w:vAlign w:val="center"/>
          </w:tcPr>
          <w:p w14:paraId="0CC37E48" w14:textId="77777777" w:rsidR="00223A32" w:rsidRPr="00E20D21" w:rsidRDefault="00223A32" w:rsidP="00223A32">
            <w:pPr>
              <w:rPr>
                <w:rFonts w:ascii="CAIXA Std Book" w:hAnsi="CAIXA Std Book" w:cs="Cambria Math"/>
                <w:color w:val="005CA9"/>
                <w:sz w:val="18"/>
                <w:szCs w:val="18"/>
              </w:rPr>
            </w:pPr>
            <w:r w:rsidRPr="00E20D21">
              <w:rPr>
                <w:rFonts w:ascii="CAIXA Std Book" w:hAnsi="CAIXA Std Book" w:cs="Arial"/>
                <w:color w:val="005CA9"/>
                <w:sz w:val="18"/>
                <w:szCs w:val="18"/>
              </w:rPr>
              <w:t>Prestação de serviços de pagamentos</w:t>
            </w:r>
          </w:p>
        </w:tc>
        <w:tc>
          <w:tcPr>
            <w:tcW w:w="643" w:type="pct"/>
            <w:tcBorders>
              <w:top w:val="nil"/>
              <w:left w:val="nil"/>
              <w:bottom w:val="nil"/>
              <w:right w:val="nil"/>
            </w:tcBorders>
            <w:shd w:val="clear" w:color="auto" w:fill="auto"/>
            <w:vAlign w:val="center"/>
          </w:tcPr>
          <w:p w14:paraId="42D04E6C" w14:textId="4A9B0B2F"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460.629</w:t>
            </w:r>
          </w:p>
        </w:tc>
        <w:tc>
          <w:tcPr>
            <w:tcW w:w="643" w:type="pct"/>
            <w:tcBorders>
              <w:top w:val="nil"/>
              <w:left w:val="nil"/>
              <w:bottom w:val="nil"/>
              <w:right w:val="nil"/>
            </w:tcBorders>
            <w:shd w:val="clear" w:color="auto" w:fill="auto"/>
            <w:noWrap/>
            <w:vAlign w:val="center"/>
          </w:tcPr>
          <w:p w14:paraId="4C5D5CE6" w14:textId="2183980F"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455.544</w:t>
            </w:r>
          </w:p>
        </w:tc>
        <w:tc>
          <w:tcPr>
            <w:tcW w:w="643" w:type="pct"/>
            <w:tcBorders>
              <w:top w:val="nil"/>
              <w:left w:val="nil"/>
              <w:bottom w:val="nil"/>
              <w:right w:val="nil"/>
            </w:tcBorders>
            <w:shd w:val="clear" w:color="auto" w:fill="auto"/>
            <w:vAlign w:val="center"/>
          </w:tcPr>
          <w:p w14:paraId="34C1D153" w14:textId="74CE662D"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460.629</w:t>
            </w:r>
          </w:p>
        </w:tc>
        <w:tc>
          <w:tcPr>
            <w:tcW w:w="640" w:type="pct"/>
            <w:tcBorders>
              <w:top w:val="nil"/>
              <w:left w:val="nil"/>
              <w:bottom w:val="nil"/>
              <w:right w:val="nil"/>
            </w:tcBorders>
            <w:shd w:val="clear" w:color="auto" w:fill="auto"/>
            <w:noWrap/>
            <w:vAlign w:val="center"/>
          </w:tcPr>
          <w:p w14:paraId="0A883AF7" w14:textId="65BF426A"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455.544</w:t>
            </w:r>
          </w:p>
        </w:tc>
      </w:tr>
      <w:tr w:rsidR="00223A32" w:rsidRPr="00E20D21" w14:paraId="7AA02F5E" w14:textId="77777777" w:rsidTr="00AC0F19">
        <w:trPr>
          <w:trHeight w:val="283"/>
        </w:trPr>
        <w:tc>
          <w:tcPr>
            <w:tcW w:w="2431" w:type="pct"/>
            <w:tcBorders>
              <w:top w:val="nil"/>
              <w:left w:val="nil"/>
              <w:bottom w:val="nil"/>
              <w:right w:val="nil"/>
            </w:tcBorders>
            <w:shd w:val="clear" w:color="auto" w:fill="auto"/>
            <w:vAlign w:val="center"/>
          </w:tcPr>
          <w:p w14:paraId="7D772C81" w14:textId="77777777" w:rsidR="00223A32" w:rsidRPr="00E20D21" w:rsidRDefault="00223A32" w:rsidP="00223A32">
            <w:pPr>
              <w:rPr>
                <w:rFonts w:ascii="CAIXA Std Book" w:hAnsi="CAIXA Std Book" w:cs="Cambria Math"/>
                <w:color w:val="005CA9"/>
                <w:sz w:val="18"/>
                <w:szCs w:val="18"/>
              </w:rPr>
            </w:pPr>
            <w:r w:rsidRPr="00E20D21">
              <w:rPr>
                <w:rFonts w:ascii="CAIXA Std Book" w:hAnsi="CAIXA Std Book" w:cs="Arial"/>
                <w:color w:val="005CA9"/>
                <w:sz w:val="18"/>
                <w:szCs w:val="18"/>
              </w:rPr>
              <w:t>Cobrança e arrecadações de tributos e assemelhados</w:t>
            </w:r>
          </w:p>
        </w:tc>
        <w:tc>
          <w:tcPr>
            <w:tcW w:w="643" w:type="pct"/>
            <w:tcBorders>
              <w:top w:val="nil"/>
              <w:left w:val="nil"/>
              <w:bottom w:val="nil"/>
              <w:right w:val="nil"/>
            </w:tcBorders>
            <w:shd w:val="clear" w:color="auto" w:fill="auto"/>
            <w:vAlign w:val="center"/>
          </w:tcPr>
          <w:p w14:paraId="5FF3594E" w14:textId="234AAEA2"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1.038.658</w:t>
            </w:r>
          </w:p>
        </w:tc>
        <w:tc>
          <w:tcPr>
            <w:tcW w:w="643" w:type="pct"/>
            <w:tcBorders>
              <w:top w:val="nil"/>
              <w:left w:val="nil"/>
              <w:bottom w:val="nil"/>
              <w:right w:val="nil"/>
            </w:tcBorders>
            <w:shd w:val="clear" w:color="auto" w:fill="auto"/>
            <w:noWrap/>
            <w:vAlign w:val="center"/>
          </w:tcPr>
          <w:p w14:paraId="15B5FCB3" w14:textId="083F8A53"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286.580</w:t>
            </w:r>
          </w:p>
        </w:tc>
        <w:tc>
          <w:tcPr>
            <w:tcW w:w="643" w:type="pct"/>
            <w:tcBorders>
              <w:top w:val="nil"/>
              <w:left w:val="nil"/>
              <w:bottom w:val="nil"/>
              <w:right w:val="nil"/>
            </w:tcBorders>
            <w:shd w:val="clear" w:color="auto" w:fill="auto"/>
            <w:vAlign w:val="center"/>
          </w:tcPr>
          <w:p w14:paraId="01AC2012" w14:textId="1211A136"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1.038.658</w:t>
            </w:r>
          </w:p>
        </w:tc>
        <w:tc>
          <w:tcPr>
            <w:tcW w:w="640" w:type="pct"/>
            <w:tcBorders>
              <w:top w:val="nil"/>
              <w:left w:val="nil"/>
              <w:bottom w:val="nil"/>
              <w:right w:val="nil"/>
            </w:tcBorders>
            <w:shd w:val="clear" w:color="auto" w:fill="auto"/>
            <w:noWrap/>
            <w:vAlign w:val="center"/>
          </w:tcPr>
          <w:p w14:paraId="4356F921" w14:textId="0EF25383"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286.580</w:t>
            </w:r>
          </w:p>
        </w:tc>
      </w:tr>
      <w:tr w:rsidR="00223A32" w:rsidRPr="00E20D21" w14:paraId="0CF5E0ED" w14:textId="77777777" w:rsidTr="00AC0F19">
        <w:trPr>
          <w:trHeight w:val="283"/>
        </w:trPr>
        <w:tc>
          <w:tcPr>
            <w:tcW w:w="2431" w:type="pct"/>
            <w:tcBorders>
              <w:top w:val="nil"/>
              <w:left w:val="nil"/>
              <w:bottom w:val="nil"/>
              <w:right w:val="nil"/>
            </w:tcBorders>
            <w:shd w:val="clear" w:color="auto" w:fill="auto"/>
            <w:vAlign w:val="center"/>
          </w:tcPr>
          <w:p w14:paraId="0BD60159" w14:textId="1C4E1C2A" w:rsidR="00223A32" w:rsidRPr="00E20D21" w:rsidRDefault="00223A32" w:rsidP="00223A32">
            <w:pPr>
              <w:rPr>
                <w:rFonts w:ascii="CAIXA Std Book" w:hAnsi="CAIXA Std Book" w:cs="Arial"/>
                <w:color w:val="005CA9"/>
                <w:sz w:val="18"/>
                <w:szCs w:val="18"/>
              </w:rPr>
            </w:pPr>
            <w:r w:rsidRPr="00E20D21">
              <w:rPr>
                <w:rFonts w:ascii="CAIXA Std Book" w:hAnsi="CAIXA Std Book" w:cs="Arial"/>
                <w:color w:val="005CA9"/>
                <w:sz w:val="18"/>
                <w:szCs w:val="18"/>
              </w:rPr>
              <w:t>Obrigações diversas</w:t>
            </w:r>
          </w:p>
        </w:tc>
        <w:tc>
          <w:tcPr>
            <w:tcW w:w="643" w:type="pct"/>
            <w:tcBorders>
              <w:top w:val="nil"/>
              <w:left w:val="nil"/>
              <w:bottom w:val="nil"/>
              <w:right w:val="nil"/>
            </w:tcBorders>
            <w:shd w:val="clear" w:color="auto" w:fill="auto"/>
            <w:vAlign w:val="center"/>
          </w:tcPr>
          <w:p w14:paraId="2BFE76B2" w14:textId="20FBBE53"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549.147</w:t>
            </w:r>
          </w:p>
        </w:tc>
        <w:tc>
          <w:tcPr>
            <w:tcW w:w="643" w:type="pct"/>
            <w:tcBorders>
              <w:top w:val="nil"/>
              <w:left w:val="nil"/>
              <w:bottom w:val="nil"/>
              <w:right w:val="nil"/>
            </w:tcBorders>
            <w:shd w:val="clear" w:color="auto" w:fill="auto"/>
            <w:noWrap/>
            <w:vAlign w:val="center"/>
          </w:tcPr>
          <w:p w14:paraId="5C1C4974" w14:textId="062FCF52"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493.469</w:t>
            </w:r>
          </w:p>
        </w:tc>
        <w:tc>
          <w:tcPr>
            <w:tcW w:w="643" w:type="pct"/>
            <w:tcBorders>
              <w:top w:val="nil"/>
              <w:left w:val="nil"/>
              <w:bottom w:val="nil"/>
              <w:right w:val="nil"/>
            </w:tcBorders>
            <w:shd w:val="clear" w:color="auto" w:fill="auto"/>
            <w:vAlign w:val="center"/>
          </w:tcPr>
          <w:p w14:paraId="443AC939" w14:textId="59A2BBD5"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549.147</w:t>
            </w:r>
          </w:p>
        </w:tc>
        <w:tc>
          <w:tcPr>
            <w:tcW w:w="640" w:type="pct"/>
            <w:tcBorders>
              <w:top w:val="nil"/>
              <w:left w:val="nil"/>
              <w:bottom w:val="nil"/>
              <w:right w:val="nil"/>
            </w:tcBorders>
            <w:shd w:val="clear" w:color="auto" w:fill="auto"/>
            <w:noWrap/>
            <w:vAlign w:val="center"/>
          </w:tcPr>
          <w:p w14:paraId="1E4660A2" w14:textId="56940034"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493.469</w:t>
            </w:r>
          </w:p>
        </w:tc>
      </w:tr>
      <w:tr w:rsidR="00223A32" w:rsidRPr="00E20D21" w14:paraId="54C13138" w14:textId="77777777" w:rsidTr="00AC0F19">
        <w:trPr>
          <w:trHeight w:val="283"/>
        </w:trPr>
        <w:tc>
          <w:tcPr>
            <w:tcW w:w="2431" w:type="pct"/>
            <w:tcBorders>
              <w:top w:val="single" w:sz="4" w:space="0" w:color="F39200"/>
              <w:left w:val="nil"/>
              <w:bottom w:val="single" w:sz="4" w:space="0" w:color="F39200"/>
              <w:right w:val="nil"/>
            </w:tcBorders>
            <w:shd w:val="clear" w:color="auto" w:fill="auto"/>
            <w:noWrap/>
            <w:vAlign w:val="center"/>
            <w:hideMark/>
          </w:tcPr>
          <w:p w14:paraId="64AD88BB" w14:textId="2036A8E3" w:rsidR="00223A32" w:rsidRPr="00E20D21" w:rsidRDefault="00223A32" w:rsidP="00223A32">
            <w:pPr>
              <w:rPr>
                <w:rFonts w:ascii="CAIXA Std Book" w:hAnsi="CAIXA Std Book" w:cs="Cambria Math"/>
                <w:b/>
                <w:color w:val="005CA9"/>
                <w:sz w:val="18"/>
                <w:szCs w:val="18"/>
              </w:rPr>
            </w:pPr>
            <w:r w:rsidRPr="00E20D21">
              <w:rPr>
                <w:rFonts w:ascii="CAIXA Std Book" w:hAnsi="CAIXA Std Book" w:cs="Arial"/>
                <w:b/>
                <w:color w:val="005CA9"/>
                <w:sz w:val="18"/>
                <w:szCs w:val="18"/>
              </w:rPr>
              <w:t>Total</w:t>
            </w:r>
          </w:p>
        </w:tc>
        <w:tc>
          <w:tcPr>
            <w:tcW w:w="643" w:type="pct"/>
            <w:tcBorders>
              <w:top w:val="single" w:sz="4" w:space="0" w:color="F39200"/>
              <w:left w:val="nil"/>
              <w:bottom w:val="single" w:sz="4" w:space="0" w:color="F39200"/>
              <w:right w:val="nil"/>
            </w:tcBorders>
            <w:shd w:val="clear" w:color="auto" w:fill="auto"/>
            <w:noWrap/>
            <w:vAlign w:val="center"/>
          </w:tcPr>
          <w:p w14:paraId="70635B07" w14:textId="187FB898" w:rsidR="00223A32" w:rsidRPr="00E20D21" w:rsidRDefault="00223A32" w:rsidP="00223A32">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41.239.916</w:t>
            </w:r>
          </w:p>
        </w:tc>
        <w:tc>
          <w:tcPr>
            <w:tcW w:w="643" w:type="pct"/>
            <w:tcBorders>
              <w:top w:val="single" w:sz="4" w:space="0" w:color="F39200"/>
              <w:left w:val="nil"/>
              <w:bottom w:val="single" w:sz="4" w:space="0" w:color="F39200"/>
              <w:right w:val="nil"/>
            </w:tcBorders>
            <w:shd w:val="clear" w:color="auto" w:fill="auto"/>
            <w:noWrap/>
            <w:vAlign w:val="center"/>
          </w:tcPr>
          <w:p w14:paraId="2EA8075E" w14:textId="4193ECAF" w:rsidR="00223A32" w:rsidRPr="00E20D21" w:rsidRDefault="00223A32" w:rsidP="00223A32">
            <w:pPr>
              <w:jc w:val="right"/>
              <w:rPr>
                <w:rFonts w:ascii="CAIXA Std Book" w:hAnsi="CAIXA Std Book" w:cs="Cambria Math"/>
                <w:b/>
                <w:color w:val="005CA9"/>
                <w:sz w:val="18"/>
                <w:szCs w:val="18"/>
              </w:rPr>
            </w:pPr>
            <w:r w:rsidRPr="00E20D21">
              <w:rPr>
                <w:rFonts w:ascii="CAIXA Std Book" w:hAnsi="CAIXA Std Book" w:cs="Arial"/>
                <w:b/>
                <w:bCs/>
                <w:color w:val="005CA9"/>
                <w:sz w:val="18"/>
                <w:szCs w:val="18"/>
              </w:rPr>
              <w:t>37.093.556</w:t>
            </w:r>
          </w:p>
        </w:tc>
        <w:tc>
          <w:tcPr>
            <w:tcW w:w="643" w:type="pct"/>
            <w:tcBorders>
              <w:top w:val="single" w:sz="4" w:space="0" w:color="F39200"/>
              <w:left w:val="nil"/>
              <w:bottom w:val="single" w:sz="4" w:space="0" w:color="F39200"/>
              <w:right w:val="nil"/>
            </w:tcBorders>
            <w:shd w:val="clear" w:color="auto" w:fill="auto"/>
            <w:noWrap/>
            <w:vAlign w:val="center"/>
          </w:tcPr>
          <w:p w14:paraId="7F2F634E" w14:textId="7A79A6E3" w:rsidR="00223A32" w:rsidRPr="00E20D21" w:rsidRDefault="00223A32" w:rsidP="00223A32">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41.411.645</w:t>
            </w:r>
          </w:p>
        </w:tc>
        <w:tc>
          <w:tcPr>
            <w:tcW w:w="640" w:type="pct"/>
            <w:tcBorders>
              <w:top w:val="single" w:sz="4" w:space="0" w:color="F39200"/>
              <w:left w:val="nil"/>
              <w:bottom w:val="single" w:sz="4" w:space="0" w:color="F39200"/>
              <w:right w:val="nil"/>
            </w:tcBorders>
            <w:shd w:val="clear" w:color="auto" w:fill="auto"/>
            <w:noWrap/>
            <w:vAlign w:val="center"/>
          </w:tcPr>
          <w:p w14:paraId="5801B673" w14:textId="427EDCB0" w:rsidR="00223A32" w:rsidRPr="00E20D21" w:rsidRDefault="00223A32" w:rsidP="00223A32">
            <w:pPr>
              <w:jc w:val="right"/>
              <w:rPr>
                <w:rFonts w:ascii="CAIXA Std Book" w:hAnsi="CAIXA Std Book" w:cs="Cambria Math"/>
                <w:b/>
                <w:color w:val="005CA9"/>
                <w:sz w:val="18"/>
                <w:szCs w:val="18"/>
              </w:rPr>
            </w:pPr>
            <w:r w:rsidRPr="00E20D21">
              <w:rPr>
                <w:rFonts w:ascii="CAIXA Std Book" w:hAnsi="CAIXA Std Book" w:cs="Arial"/>
                <w:b/>
                <w:bCs/>
                <w:color w:val="005CA9"/>
                <w:sz w:val="18"/>
                <w:szCs w:val="18"/>
              </w:rPr>
              <w:t>37.350.707</w:t>
            </w:r>
          </w:p>
        </w:tc>
      </w:tr>
      <w:tr w:rsidR="00223A32" w:rsidRPr="00E20D21" w14:paraId="43224D9A" w14:textId="77777777" w:rsidTr="00AC0F19">
        <w:trPr>
          <w:trHeight w:val="283"/>
        </w:trPr>
        <w:tc>
          <w:tcPr>
            <w:tcW w:w="2431" w:type="pct"/>
            <w:tcBorders>
              <w:top w:val="nil"/>
              <w:left w:val="nil"/>
              <w:bottom w:val="nil"/>
              <w:right w:val="nil"/>
            </w:tcBorders>
            <w:shd w:val="clear" w:color="auto" w:fill="auto"/>
            <w:noWrap/>
            <w:vAlign w:val="center"/>
            <w:hideMark/>
          </w:tcPr>
          <w:p w14:paraId="128A0A36" w14:textId="6761CDC5" w:rsidR="00223A32" w:rsidRPr="00E20D21" w:rsidRDefault="00223A32" w:rsidP="00223A32">
            <w:pPr>
              <w:rPr>
                <w:rFonts w:ascii="CAIXA Std Book" w:hAnsi="CAIXA Std Book" w:cs="Cambria Math"/>
                <w:color w:val="005CA9"/>
                <w:sz w:val="18"/>
                <w:szCs w:val="18"/>
              </w:rPr>
            </w:pPr>
            <w:r w:rsidRPr="00E20D21">
              <w:rPr>
                <w:rFonts w:ascii="CAIXA Std Book" w:hAnsi="CAIXA Std Book" w:cs="Arial"/>
                <w:color w:val="005CA9"/>
                <w:sz w:val="18"/>
                <w:szCs w:val="18"/>
              </w:rPr>
              <w:t>Passivo circulante</w:t>
            </w:r>
          </w:p>
        </w:tc>
        <w:tc>
          <w:tcPr>
            <w:tcW w:w="643" w:type="pct"/>
            <w:tcBorders>
              <w:top w:val="nil"/>
              <w:left w:val="nil"/>
              <w:bottom w:val="nil"/>
              <w:right w:val="nil"/>
            </w:tcBorders>
            <w:shd w:val="clear" w:color="auto" w:fill="auto"/>
            <w:noWrap/>
            <w:vAlign w:val="center"/>
          </w:tcPr>
          <w:p w14:paraId="54B67D6D" w14:textId="76D95983"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41.239.916</w:t>
            </w:r>
          </w:p>
        </w:tc>
        <w:tc>
          <w:tcPr>
            <w:tcW w:w="643" w:type="pct"/>
            <w:tcBorders>
              <w:top w:val="nil"/>
              <w:left w:val="nil"/>
              <w:bottom w:val="nil"/>
              <w:right w:val="nil"/>
            </w:tcBorders>
            <w:shd w:val="clear" w:color="auto" w:fill="auto"/>
            <w:noWrap/>
            <w:vAlign w:val="center"/>
            <w:hideMark/>
          </w:tcPr>
          <w:p w14:paraId="77F6A732" w14:textId="0D07D598"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37.093.556</w:t>
            </w:r>
          </w:p>
        </w:tc>
        <w:tc>
          <w:tcPr>
            <w:tcW w:w="643" w:type="pct"/>
            <w:tcBorders>
              <w:top w:val="nil"/>
              <w:left w:val="nil"/>
              <w:bottom w:val="nil"/>
              <w:right w:val="nil"/>
            </w:tcBorders>
            <w:shd w:val="clear" w:color="auto" w:fill="auto"/>
            <w:noWrap/>
            <w:vAlign w:val="center"/>
          </w:tcPr>
          <w:p w14:paraId="4C7918E2" w14:textId="28044F5F" w:rsidR="00223A32" w:rsidRPr="00E20D21" w:rsidRDefault="00223A32" w:rsidP="00223A32">
            <w:pPr>
              <w:jc w:val="right"/>
              <w:rPr>
                <w:rFonts w:ascii="CAIXA Std Book" w:hAnsi="CAIXA Std Book" w:cs="Arial"/>
                <w:color w:val="005CA9"/>
                <w:sz w:val="18"/>
                <w:szCs w:val="18"/>
              </w:rPr>
            </w:pPr>
            <w:r w:rsidRPr="00E20D21">
              <w:rPr>
                <w:rFonts w:ascii="CAIXA Std Book" w:hAnsi="CAIXA Std Book" w:cs="Arial"/>
                <w:color w:val="005CA9"/>
                <w:sz w:val="18"/>
                <w:szCs w:val="18"/>
              </w:rPr>
              <w:t>41.411.645</w:t>
            </w:r>
          </w:p>
        </w:tc>
        <w:tc>
          <w:tcPr>
            <w:tcW w:w="640" w:type="pct"/>
            <w:tcBorders>
              <w:top w:val="nil"/>
              <w:left w:val="nil"/>
              <w:bottom w:val="nil"/>
              <w:right w:val="nil"/>
            </w:tcBorders>
            <w:shd w:val="clear" w:color="auto" w:fill="auto"/>
            <w:noWrap/>
            <w:vAlign w:val="center"/>
            <w:hideMark/>
          </w:tcPr>
          <w:p w14:paraId="5CBC6958" w14:textId="4C20BDE3" w:rsidR="00223A32" w:rsidRPr="00E20D21" w:rsidRDefault="00223A32" w:rsidP="00223A32">
            <w:pPr>
              <w:jc w:val="right"/>
              <w:rPr>
                <w:rFonts w:ascii="CAIXA Std Book" w:hAnsi="CAIXA Std Book" w:cs="Cambria Math"/>
                <w:color w:val="005CA9"/>
                <w:sz w:val="18"/>
                <w:szCs w:val="18"/>
              </w:rPr>
            </w:pPr>
            <w:r w:rsidRPr="00E20D21">
              <w:rPr>
                <w:rFonts w:ascii="CAIXA Std Book" w:hAnsi="CAIXA Std Book" w:cs="Arial"/>
                <w:color w:val="005CA9"/>
                <w:sz w:val="18"/>
                <w:szCs w:val="18"/>
              </w:rPr>
              <w:t>37.350.707</w:t>
            </w:r>
          </w:p>
        </w:tc>
      </w:tr>
      <w:tr w:rsidR="0096575F" w:rsidRPr="00E20D21" w14:paraId="601309C2" w14:textId="77777777" w:rsidTr="00AC0F19">
        <w:trPr>
          <w:trHeight w:val="283"/>
        </w:trPr>
        <w:tc>
          <w:tcPr>
            <w:tcW w:w="2431" w:type="pct"/>
            <w:tcBorders>
              <w:top w:val="nil"/>
              <w:left w:val="nil"/>
              <w:bottom w:val="single" w:sz="4" w:space="0" w:color="F39200"/>
              <w:right w:val="nil"/>
            </w:tcBorders>
            <w:shd w:val="clear" w:color="auto" w:fill="auto"/>
            <w:noWrap/>
            <w:vAlign w:val="center"/>
            <w:hideMark/>
          </w:tcPr>
          <w:p w14:paraId="1607F7B9" w14:textId="390EC4F5" w:rsidR="0096575F" w:rsidRPr="00E20D21" w:rsidRDefault="0096575F" w:rsidP="0096575F">
            <w:pPr>
              <w:rPr>
                <w:rFonts w:ascii="CAIXA Std Book" w:hAnsi="CAIXA Std Book" w:cs="Cambria Math"/>
                <w:color w:val="005CA9"/>
                <w:sz w:val="18"/>
                <w:szCs w:val="18"/>
              </w:rPr>
            </w:pPr>
            <w:r w:rsidRPr="00E20D21">
              <w:rPr>
                <w:rFonts w:ascii="CAIXA Std Book" w:hAnsi="CAIXA Std Book" w:cs="Arial"/>
                <w:color w:val="005CA9"/>
                <w:sz w:val="18"/>
                <w:szCs w:val="18"/>
              </w:rPr>
              <w:t>Passivo não circulante</w:t>
            </w:r>
          </w:p>
        </w:tc>
        <w:tc>
          <w:tcPr>
            <w:tcW w:w="643" w:type="pct"/>
            <w:tcBorders>
              <w:top w:val="nil"/>
              <w:left w:val="nil"/>
              <w:bottom w:val="single" w:sz="4" w:space="0" w:color="F39200"/>
              <w:right w:val="nil"/>
            </w:tcBorders>
            <w:shd w:val="clear" w:color="auto" w:fill="auto"/>
            <w:noWrap/>
            <w:vAlign w:val="center"/>
          </w:tcPr>
          <w:p w14:paraId="4AB72177" w14:textId="3B7FCB5C" w:rsidR="0096575F" w:rsidRPr="00E20D21" w:rsidRDefault="0096575F" w:rsidP="0096575F">
            <w:pPr>
              <w:jc w:val="center"/>
              <w:rPr>
                <w:rFonts w:ascii="CAIXA Std Book" w:hAnsi="CAIXA Std Book" w:cs="Cambria Math"/>
                <w:color w:val="005CA9"/>
                <w:sz w:val="18"/>
                <w:szCs w:val="18"/>
              </w:rPr>
            </w:pPr>
            <w:r w:rsidRPr="00E20D21">
              <w:rPr>
                <w:rFonts w:ascii="CAIXA Std Book" w:hAnsi="CAIXA Std Book" w:cs="Cambria Math"/>
                <w:color w:val="005CA9"/>
                <w:sz w:val="18"/>
                <w:szCs w:val="18"/>
              </w:rPr>
              <w:t>-</w:t>
            </w:r>
          </w:p>
        </w:tc>
        <w:tc>
          <w:tcPr>
            <w:tcW w:w="643" w:type="pct"/>
            <w:tcBorders>
              <w:top w:val="nil"/>
              <w:left w:val="nil"/>
              <w:bottom w:val="single" w:sz="4" w:space="0" w:color="F39200"/>
              <w:right w:val="nil"/>
            </w:tcBorders>
            <w:shd w:val="clear" w:color="auto" w:fill="auto"/>
            <w:noWrap/>
            <w:vAlign w:val="center"/>
            <w:hideMark/>
          </w:tcPr>
          <w:p w14:paraId="6E8BA0FA" w14:textId="2BBBB440" w:rsidR="0096575F" w:rsidRPr="00E20D21" w:rsidRDefault="0096575F" w:rsidP="0096575F">
            <w:pPr>
              <w:jc w:val="center"/>
              <w:rPr>
                <w:rFonts w:ascii="CAIXA Std Book" w:hAnsi="CAIXA Std Book" w:cs="Cambria Math"/>
                <w:color w:val="005CA9"/>
                <w:sz w:val="18"/>
                <w:szCs w:val="18"/>
              </w:rPr>
            </w:pPr>
            <w:r w:rsidRPr="00E20D21">
              <w:rPr>
                <w:rFonts w:ascii="CAIXA Std Book" w:hAnsi="CAIXA Std Book" w:cs="Cambria Math"/>
                <w:color w:val="005CA9"/>
                <w:sz w:val="18"/>
                <w:szCs w:val="18"/>
              </w:rPr>
              <w:t>-</w:t>
            </w:r>
          </w:p>
        </w:tc>
        <w:tc>
          <w:tcPr>
            <w:tcW w:w="643" w:type="pct"/>
            <w:tcBorders>
              <w:top w:val="nil"/>
              <w:left w:val="nil"/>
              <w:bottom w:val="single" w:sz="4" w:space="0" w:color="F39200"/>
              <w:right w:val="nil"/>
            </w:tcBorders>
            <w:shd w:val="clear" w:color="auto" w:fill="auto"/>
            <w:noWrap/>
            <w:vAlign w:val="center"/>
          </w:tcPr>
          <w:p w14:paraId="7DAB9359" w14:textId="07230772" w:rsidR="0096575F" w:rsidRPr="00E20D21" w:rsidRDefault="0096575F" w:rsidP="0096575F">
            <w:pPr>
              <w:jc w:val="center"/>
              <w:rPr>
                <w:rFonts w:ascii="CAIXA Std Book" w:hAnsi="CAIXA Std Book" w:cs="Cambria Math"/>
                <w:color w:val="005CA9"/>
                <w:sz w:val="18"/>
                <w:szCs w:val="18"/>
              </w:rPr>
            </w:pPr>
            <w:r w:rsidRPr="00E20D21">
              <w:rPr>
                <w:rFonts w:ascii="CAIXA Std Book" w:hAnsi="CAIXA Std Book" w:cs="Cambria Math"/>
                <w:color w:val="005CA9"/>
                <w:sz w:val="18"/>
                <w:szCs w:val="18"/>
              </w:rPr>
              <w:t>-</w:t>
            </w:r>
          </w:p>
        </w:tc>
        <w:tc>
          <w:tcPr>
            <w:tcW w:w="640" w:type="pct"/>
            <w:tcBorders>
              <w:top w:val="nil"/>
              <w:left w:val="nil"/>
              <w:bottom w:val="single" w:sz="4" w:space="0" w:color="F39200"/>
              <w:right w:val="nil"/>
            </w:tcBorders>
            <w:shd w:val="clear" w:color="auto" w:fill="auto"/>
            <w:noWrap/>
            <w:vAlign w:val="center"/>
            <w:hideMark/>
          </w:tcPr>
          <w:p w14:paraId="3A40B957" w14:textId="06BBE465" w:rsidR="0096575F" w:rsidRPr="00E20D21" w:rsidRDefault="0096575F" w:rsidP="0096575F">
            <w:pPr>
              <w:jc w:val="center"/>
              <w:rPr>
                <w:rFonts w:ascii="CAIXA Std Book" w:hAnsi="CAIXA Std Book" w:cs="Cambria Math"/>
                <w:color w:val="005CA9"/>
                <w:sz w:val="18"/>
                <w:szCs w:val="18"/>
              </w:rPr>
            </w:pPr>
            <w:r w:rsidRPr="00E20D21">
              <w:rPr>
                <w:rFonts w:ascii="CAIXA Std Book" w:hAnsi="CAIXA Std Book" w:cs="Cambria Math"/>
                <w:color w:val="005CA9"/>
                <w:sz w:val="18"/>
                <w:szCs w:val="18"/>
              </w:rPr>
              <w:t>-</w:t>
            </w:r>
          </w:p>
        </w:tc>
      </w:tr>
    </w:tbl>
    <w:p w14:paraId="73729018" w14:textId="77777777" w:rsidR="007F06CE" w:rsidRPr="00E20D21" w:rsidRDefault="007F06CE">
      <w:pPr>
        <w:rPr>
          <w:rFonts w:ascii="CAIXA Std Book" w:hAnsi="CAIXA Std Book"/>
          <w:b/>
          <w:color w:val="005CA9"/>
        </w:rPr>
      </w:pPr>
      <w:r w:rsidRPr="00E20D21">
        <w:rPr>
          <w:rFonts w:ascii="CAIXA Std Book" w:hAnsi="CAIXA Std Book"/>
          <w:color w:val="005CA9"/>
        </w:rPr>
        <w:br w:type="page"/>
      </w:r>
    </w:p>
    <w:p w14:paraId="7A0EC65F" w14:textId="4717B474" w:rsidR="00F02172" w:rsidRPr="00E20D21" w:rsidRDefault="00F02172" w:rsidP="00FD7768">
      <w:pPr>
        <w:pStyle w:val="Ttulo1"/>
      </w:pPr>
      <w:bookmarkStart w:id="78" w:name="_Toc175067963"/>
      <w:r w:rsidRPr="00E20D21">
        <w:lastRenderedPageBreak/>
        <w:t xml:space="preserve">Nota </w:t>
      </w:r>
      <w:r w:rsidR="00C95AD1" w:rsidRPr="00E20D21">
        <w:t>2</w:t>
      </w:r>
      <w:r w:rsidR="004917F8" w:rsidRPr="00E20D21">
        <w:t>3</w:t>
      </w:r>
      <w:r w:rsidRPr="00E20D21">
        <w:t xml:space="preserve"> – Patrimônio </w:t>
      </w:r>
      <w:r w:rsidR="000978E3" w:rsidRPr="00E20D21">
        <w:t>l</w:t>
      </w:r>
      <w:r w:rsidRPr="00E20D21">
        <w:t>íquid</w:t>
      </w:r>
      <w:r w:rsidR="00FC74BA" w:rsidRPr="00E20D21">
        <w:t>o</w:t>
      </w:r>
      <w:bookmarkEnd w:id="78"/>
    </w:p>
    <w:p w14:paraId="58B95C14" w14:textId="1B037D76" w:rsidR="009047D2" w:rsidRPr="00E20D21" w:rsidRDefault="00D63CF5" w:rsidP="00D63CF5">
      <w:pPr>
        <w:keepNext/>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(a)</w:t>
      </w:r>
      <w:r w:rsidRPr="00E20D21">
        <w:rPr>
          <w:rFonts w:ascii="CAIXA Std Book" w:hAnsi="CAIXA Std Book"/>
          <w:b/>
          <w:color w:val="005CA9"/>
          <w:sz w:val="20"/>
          <w:szCs w:val="20"/>
        </w:rPr>
        <w:tab/>
      </w:r>
      <w:r w:rsidR="009047D2" w:rsidRPr="00E20D21">
        <w:rPr>
          <w:rFonts w:ascii="CAIXA Std Book" w:hAnsi="CAIXA Std Book"/>
          <w:b/>
          <w:color w:val="005CA9"/>
          <w:sz w:val="20"/>
          <w:szCs w:val="20"/>
        </w:rPr>
        <w:t>Reconciliação do Patrimônio Líquido – INDIVIDUAL x CONSOLIDADO</w:t>
      </w:r>
    </w:p>
    <w:tbl>
      <w:tblPr>
        <w:tblW w:w="4928" w:type="pct"/>
        <w:tblCellMar>
          <w:left w:w="70" w:type="dxa"/>
          <w:right w:w="70" w:type="dxa"/>
        </w:tblCellMar>
        <w:tblLook w:val="04A0" w:firstRow="1" w:lastRow="0" w:firstColumn="1" w:lastColumn="0" w:noHBand="0" w:noVBand="1"/>
      </w:tblPr>
      <w:tblGrid>
        <w:gridCol w:w="5845"/>
        <w:gridCol w:w="1826"/>
        <w:gridCol w:w="1827"/>
      </w:tblGrid>
      <w:tr w:rsidR="00A47C19" w:rsidRPr="00E20D21" w14:paraId="4156C8D1" w14:textId="77777777" w:rsidTr="00A07BE4">
        <w:trPr>
          <w:trHeight w:val="283"/>
        </w:trPr>
        <w:tc>
          <w:tcPr>
            <w:tcW w:w="3077" w:type="pct"/>
            <w:tcBorders>
              <w:top w:val="single" w:sz="4" w:space="0" w:color="F39200"/>
              <w:left w:val="nil"/>
              <w:bottom w:val="single" w:sz="4" w:space="0" w:color="F39200"/>
              <w:right w:val="nil"/>
            </w:tcBorders>
            <w:shd w:val="clear" w:color="auto" w:fill="auto"/>
            <w:noWrap/>
            <w:vAlign w:val="center"/>
            <w:hideMark/>
          </w:tcPr>
          <w:p w14:paraId="5A0E5B22" w14:textId="77777777" w:rsidR="00FC74BA" w:rsidRPr="00E20D21" w:rsidRDefault="00FC74BA" w:rsidP="00FC74BA">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Discriminação</w:t>
            </w:r>
          </w:p>
        </w:tc>
        <w:tc>
          <w:tcPr>
            <w:tcW w:w="961" w:type="pct"/>
            <w:tcBorders>
              <w:top w:val="single" w:sz="4" w:space="0" w:color="F39200"/>
              <w:left w:val="nil"/>
              <w:bottom w:val="single" w:sz="4" w:space="0" w:color="F39200"/>
              <w:right w:val="nil"/>
            </w:tcBorders>
            <w:shd w:val="clear" w:color="auto" w:fill="auto"/>
            <w:noWrap/>
            <w:vAlign w:val="center"/>
          </w:tcPr>
          <w:p w14:paraId="73CB0875" w14:textId="23D23051" w:rsidR="00FC74BA" w:rsidRPr="00E20D21" w:rsidRDefault="004B3D6E" w:rsidP="00FC74BA">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30/06/2024</w:t>
            </w:r>
          </w:p>
        </w:tc>
        <w:tc>
          <w:tcPr>
            <w:tcW w:w="962" w:type="pct"/>
            <w:tcBorders>
              <w:top w:val="single" w:sz="4" w:space="0" w:color="F39200"/>
              <w:left w:val="nil"/>
              <w:bottom w:val="single" w:sz="4" w:space="0" w:color="F39200"/>
              <w:right w:val="nil"/>
            </w:tcBorders>
            <w:vAlign w:val="center"/>
          </w:tcPr>
          <w:p w14:paraId="368EECCC" w14:textId="42D2422C" w:rsidR="00FC74BA" w:rsidRPr="00E20D21" w:rsidRDefault="00FC74BA" w:rsidP="00FC74BA">
            <w:pPr>
              <w:jc w:val="center"/>
              <w:rPr>
                <w:rFonts w:ascii="CAIXA Std Book" w:hAnsi="CAIXA Std Book" w:cs="Cambria Math"/>
                <w:b/>
                <w:color w:val="005CA9"/>
                <w:sz w:val="18"/>
                <w:szCs w:val="18"/>
              </w:rPr>
            </w:pPr>
            <w:r w:rsidRPr="00E20D21">
              <w:rPr>
                <w:rFonts w:ascii="CAIXA Std Book" w:hAnsi="CAIXA Std Book" w:cs="Cambria Math"/>
                <w:b/>
                <w:color w:val="005CA9"/>
                <w:sz w:val="18"/>
                <w:szCs w:val="18"/>
              </w:rPr>
              <w:t>31/12/202</w:t>
            </w:r>
            <w:r w:rsidR="004B3D6E" w:rsidRPr="00E20D21">
              <w:rPr>
                <w:rFonts w:ascii="CAIXA Std Book" w:hAnsi="CAIXA Std Book" w:cs="Cambria Math"/>
                <w:b/>
                <w:color w:val="005CA9"/>
                <w:sz w:val="18"/>
                <w:szCs w:val="18"/>
              </w:rPr>
              <w:t>3</w:t>
            </w:r>
          </w:p>
        </w:tc>
      </w:tr>
      <w:tr w:rsidR="0058610F" w:rsidRPr="00E20D21" w14:paraId="3F909C62" w14:textId="77777777" w:rsidTr="00A07BE4">
        <w:trPr>
          <w:trHeight w:val="283"/>
        </w:trPr>
        <w:tc>
          <w:tcPr>
            <w:tcW w:w="3077" w:type="pct"/>
            <w:tcBorders>
              <w:top w:val="nil"/>
              <w:left w:val="nil"/>
              <w:bottom w:val="nil"/>
              <w:right w:val="nil"/>
            </w:tcBorders>
            <w:shd w:val="clear" w:color="auto" w:fill="auto"/>
            <w:noWrap/>
            <w:vAlign w:val="center"/>
          </w:tcPr>
          <w:p w14:paraId="3962CD19" w14:textId="0B3CCF3A" w:rsidR="0058610F" w:rsidRPr="00E20D21" w:rsidRDefault="0058610F" w:rsidP="0058610F">
            <w:pPr>
              <w:rPr>
                <w:rFonts w:ascii="CAIXA Std Book" w:hAnsi="CAIXA Std Book" w:cs="Cambria Math"/>
                <w:b/>
                <w:color w:val="005CA9"/>
                <w:sz w:val="18"/>
                <w:szCs w:val="18"/>
              </w:rPr>
            </w:pPr>
            <w:r w:rsidRPr="00E20D21">
              <w:rPr>
                <w:rFonts w:ascii="CAIXA Std Book" w:hAnsi="CAIXA Std Book" w:cs="Cambria Math"/>
                <w:b/>
                <w:color w:val="005CA9"/>
                <w:sz w:val="18"/>
                <w:szCs w:val="18"/>
              </w:rPr>
              <w:t>Patrimônio Líquido – INDIVIDUAL</w:t>
            </w:r>
          </w:p>
        </w:tc>
        <w:tc>
          <w:tcPr>
            <w:tcW w:w="961" w:type="pct"/>
            <w:tcBorders>
              <w:top w:val="nil"/>
              <w:left w:val="nil"/>
              <w:bottom w:val="nil"/>
              <w:right w:val="nil"/>
            </w:tcBorders>
            <w:shd w:val="clear" w:color="auto" w:fill="auto"/>
            <w:noWrap/>
            <w:vAlign w:val="center"/>
          </w:tcPr>
          <w:p w14:paraId="1E630363" w14:textId="7296365E" w:rsidR="0058610F" w:rsidRPr="00E20D21" w:rsidRDefault="00EA1675" w:rsidP="0058610F">
            <w:pPr>
              <w:jc w:val="right"/>
              <w:rPr>
                <w:rFonts w:ascii="CAIXA Std Book" w:hAnsi="CAIXA Std Book" w:cs="Arial"/>
                <w:b/>
                <w:color w:val="005CA9"/>
                <w:sz w:val="18"/>
                <w:szCs w:val="18"/>
              </w:rPr>
            </w:pPr>
            <w:r w:rsidRPr="00E20D21">
              <w:rPr>
                <w:rFonts w:ascii="CAIXA Std Book" w:hAnsi="CAIXA Std Book" w:cs="Arial"/>
                <w:b/>
                <w:bCs/>
                <w:color w:val="2F75B5"/>
                <w:sz w:val="18"/>
                <w:szCs w:val="18"/>
              </w:rPr>
              <w:t>98.974.672</w:t>
            </w:r>
          </w:p>
        </w:tc>
        <w:tc>
          <w:tcPr>
            <w:tcW w:w="962" w:type="pct"/>
            <w:tcBorders>
              <w:top w:val="nil"/>
              <w:left w:val="nil"/>
              <w:bottom w:val="nil"/>
              <w:right w:val="nil"/>
            </w:tcBorders>
            <w:vAlign w:val="center"/>
          </w:tcPr>
          <w:p w14:paraId="573E8A20" w14:textId="0EBCAE58" w:rsidR="0058610F" w:rsidRPr="00E20D21" w:rsidRDefault="0058610F" w:rsidP="0058610F">
            <w:pPr>
              <w:jc w:val="right"/>
              <w:rPr>
                <w:rFonts w:ascii="CAIXA Std Book" w:hAnsi="CAIXA Std Book" w:cs="Cambria Math"/>
                <w:b/>
                <w:color w:val="005CA9"/>
                <w:sz w:val="18"/>
                <w:szCs w:val="18"/>
              </w:rPr>
            </w:pPr>
            <w:r w:rsidRPr="00E20D21">
              <w:rPr>
                <w:rFonts w:ascii="CAIXA Std Book" w:hAnsi="CAIXA Std Book" w:cs="Arial"/>
                <w:b/>
                <w:color w:val="005CA9"/>
                <w:sz w:val="18"/>
                <w:szCs w:val="18"/>
              </w:rPr>
              <w:t>93.220.539</w:t>
            </w:r>
          </w:p>
        </w:tc>
      </w:tr>
      <w:tr w:rsidR="0058610F" w:rsidRPr="00E20D21" w14:paraId="3BF1EA54" w14:textId="77777777" w:rsidTr="00C83585">
        <w:trPr>
          <w:trHeight w:val="283"/>
        </w:trPr>
        <w:tc>
          <w:tcPr>
            <w:tcW w:w="3077" w:type="pct"/>
            <w:tcBorders>
              <w:top w:val="nil"/>
              <w:left w:val="nil"/>
              <w:right w:val="nil"/>
            </w:tcBorders>
            <w:shd w:val="clear" w:color="auto" w:fill="auto"/>
            <w:noWrap/>
            <w:vAlign w:val="center"/>
          </w:tcPr>
          <w:p w14:paraId="29CC2DE0" w14:textId="47A7B1E5" w:rsidR="0058610F" w:rsidRPr="00E20D21" w:rsidRDefault="0058610F" w:rsidP="0058610F">
            <w:pPr>
              <w:ind w:firstLineChars="100" w:firstLine="180"/>
              <w:rPr>
                <w:rFonts w:ascii="CAIXA Std Book" w:hAnsi="CAIXA Std Book" w:cs="Cambria Math"/>
                <w:color w:val="005CA9"/>
                <w:sz w:val="18"/>
                <w:szCs w:val="18"/>
              </w:rPr>
            </w:pPr>
            <w:r w:rsidRPr="00E20D21">
              <w:rPr>
                <w:rFonts w:ascii="CAIXA Std Book" w:hAnsi="CAIXA Std Book" w:cs="Cambria Math"/>
                <w:color w:val="005CA9"/>
                <w:sz w:val="18"/>
                <w:szCs w:val="18"/>
              </w:rPr>
              <w:t>IHCD – Elegíveis a Capital</w:t>
            </w:r>
          </w:p>
        </w:tc>
        <w:tc>
          <w:tcPr>
            <w:tcW w:w="961" w:type="pct"/>
            <w:tcBorders>
              <w:top w:val="nil"/>
              <w:left w:val="nil"/>
              <w:right w:val="nil"/>
            </w:tcBorders>
            <w:shd w:val="clear" w:color="auto" w:fill="auto"/>
            <w:noWrap/>
            <w:vAlign w:val="center"/>
          </w:tcPr>
          <w:p w14:paraId="1908AECA" w14:textId="1F4BE64E" w:rsidR="0058610F" w:rsidRPr="00E20D21" w:rsidRDefault="0058610F" w:rsidP="0058610F">
            <w:pPr>
              <w:jc w:val="right"/>
              <w:rPr>
                <w:rFonts w:ascii="CAIXA Std Book" w:hAnsi="CAIXA Std Book" w:cs="Cambria Math"/>
                <w:color w:val="005CA9"/>
                <w:sz w:val="18"/>
                <w:szCs w:val="18"/>
              </w:rPr>
            </w:pPr>
            <w:r w:rsidRPr="00E20D21">
              <w:rPr>
                <w:rFonts w:ascii="CAIXA Std Book" w:hAnsi="CAIXA Std Book" w:cs="Arial"/>
                <w:color w:val="005CA9"/>
                <w:sz w:val="18"/>
                <w:szCs w:val="18"/>
              </w:rPr>
              <w:t>34.327.964</w:t>
            </w:r>
          </w:p>
        </w:tc>
        <w:tc>
          <w:tcPr>
            <w:tcW w:w="962" w:type="pct"/>
            <w:tcBorders>
              <w:top w:val="nil"/>
              <w:left w:val="nil"/>
              <w:right w:val="nil"/>
            </w:tcBorders>
            <w:vAlign w:val="center"/>
          </w:tcPr>
          <w:p w14:paraId="3232A432" w14:textId="77792175" w:rsidR="0058610F" w:rsidRPr="00E20D21" w:rsidRDefault="0058610F" w:rsidP="0058610F">
            <w:pPr>
              <w:jc w:val="right"/>
              <w:rPr>
                <w:rFonts w:ascii="CAIXA Std Book" w:hAnsi="CAIXA Std Book" w:cs="Cambria Math"/>
                <w:color w:val="005CA9"/>
                <w:sz w:val="18"/>
                <w:szCs w:val="18"/>
              </w:rPr>
            </w:pPr>
            <w:r w:rsidRPr="00E20D21">
              <w:rPr>
                <w:rFonts w:ascii="CAIXA Std Book" w:hAnsi="CAIXA Std Book" w:cs="Arial"/>
                <w:color w:val="005CA9"/>
                <w:sz w:val="18"/>
                <w:szCs w:val="18"/>
              </w:rPr>
              <w:t>33.047.743</w:t>
            </w:r>
          </w:p>
        </w:tc>
      </w:tr>
      <w:tr w:rsidR="0058610F" w:rsidRPr="00E20D21" w14:paraId="7414E9CE" w14:textId="77777777" w:rsidTr="00C83585">
        <w:trPr>
          <w:trHeight w:val="283"/>
        </w:trPr>
        <w:tc>
          <w:tcPr>
            <w:tcW w:w="3077" w:type="pct"/>
            <w:tcBorders>
              <w:top w:val="nil"/>
              <w:left w:val="nil"/>
              <w:bottom w:val="single" w:sz="4" w:space="0" w:color="F39200"/>
              <w:right w:val="nil"/>
            </w:tcBorders>
            <w:shd w:val="clear" w:color="auto" w:fill="auto"/>
            <w:noWrap/>
            <w:vAlign w:val="center"/>
          </w:tcPr>
          <w:p w14:paraId="78322381" w14:textId="07606AD9" w:rsidR="0058610F" w:rsidRPr="00E20D21" w:rsidRDefault="0058610F" w:rsidP="0058610F">
            <w:pPr>
              <w:ind w:firstLineChars="100" w:firstLine="180"/>
              <w:rPr>
                <w:rFonts w:ascii="CAIXA Std Book" w:hAnsi="CAIXA Std Book" w:cs="Cambria Math"/>
                <w:color w:val="005CA9"/>
                <w:sz w:val="18"/>
                <w:szCs w:val="18"/>
              </w:rPr>
            </w:pPr>
            <w:r w:rsidRPr="00E20D21">
              <w:rPr>
                <w:rFonts w:ascii="CAIXA Std Book" w:hAnsi="CAIXA Std Book" w:cs="Cambria Math"/>
                <w:color w:val="005CA9"/>
                <w:sz w:val="18"/>
                <w:szCs w:val="18"/>
              </w:rPr>
              <w:t>Participação dos não controladores</w:t>
            </w:r>
          </w:p>
        </w:tc>
        <w:tc>
          <w:tcPr>
            <w:tcW w:w="961" w:type="pct"/>
            <w:tcBorders>
              <w:top w:val="nil"/>
              <w:left w:val="nil"/>
              <w:bottom w:val="single" w:sz="4" w:space="0" w:color="F39200"/>
              <w:right w:val="nil"/>
            </w:tcBorders>
            <w:shd w:val="clear" w:color="auto" w:fill="auto"/>
            <w:noWrap/>
            <w:vAlign w:val="center"/>
          </w:tcPr>
          <w:p w14:paraId="368904B9" w14:textId="3DCF1002" w:rsidR="0058610F" w:rsidRPr="00E20D21" w:rsidRDefault="00EA1675" w:rsidP="0058610F">
            <w:pPr>
              <w:jc w:val="right"/>
              <w:rPr>
                <w:rFonts w:ascii="CAIXA Std Book" w:hAnsi="CAIXA Std Book" w:cs="Cambria Math"/>
                <w:color w:val="005CA9"/>
                <w:sz w:val="18"/>
                <w:szCs w:val="18"/>
              </w:rPr>
            </w:pPr>
            <w:r w:rsidRPr="00E20D21">
              <w:rPr>
                <w:rFonts w:ascii="CAIXA Std Book" w:hAnsi="CAIXA Std Book" w:cs="Arial"/>
                <w:color w:val="2F75B5"/>
                <w:sz w:val="18"/>
                <w:szCs w:val="18"/>
              </w:rPr>
              <w:t>2.221.029</w:t>
            </w:r>
          </w:p>
        </w:tc>
        <w:tc>
          <w:tcPr>
            <w:tcW w:w="962" w:type="pct"/>
            <w:tcBorders>
              <w:top w:val="nil"/>
              <w:left w:val="nil"/>
              <w:bottom w:val="single" w:sz="4" w:space="0" w:color="F39200"/>
              <w:right w:val="nil"/>
            </w:tcBorders>
            <w:vAlign w:val="center"/>
          </w:tcPr>
          <w:p w14:paraId="41870699" w14:textId="7D058E3F" w:rsidR="0058610F" w:rsidRPr="00E20D21" w:rsidRDefault="0058610F" w:rsidP="0058610F">
            <w:pPr>
              <w:jc w:val="right"/>
              <w:rPr>
                <w:rFonts w:ascii="CAIXA Std Book" w:hAnsi="CAIXA Std Book" w:cs="Cambria Math"/>
                <w:color w:val="005CA9"/>
                <w:sz w:val="18"/>
                <w:szCs w:val="18"/>
              </w:rPr>
            </w:pPr>
            <w:r w:rsidRPr="00E20D21">
              <w:rPr>
                <w:rFonts w:ascii="CAIXA Std Book" w:hAnsi="CAIXA Std Book" w:cs="Arial"/>
                <w:color w:val="005CA9"/>
                <w:sz w:val="18"/>
                <w:szCs w:val="18"/>
              </w:rPr>
              <w:t>2.206.978</w:t>
            </w:r>
          </w:p>
        </w:tc>
      </w:tr>
      <w:tr w:rsidR="0058610F" w:rsidRPr="00E20D21" w14:paraId="03CB85B9" w14:textId="77777777" w:rsidTr="00A07BE4">
        <w:trPr>
          <w:trHeight w:val="283"/>
        </w:trPr>
        <w:tc>
          <w:tcPr>
            <w:tcW w:w="3077" w:type="pct"/>
            <w:tcBorders>
              <w:top w:val="single" w:sz="4" w:space="0" w:color="F39200"/>
              <w:left w:val="nil"/>
              <w:bottom w:val="single" w:sz="4" w:space="0" w:color="F39200"/>
              <w:right w:val="nil"/>
            </w:tcBorders>
            <w:shd w:val="clear" w:color="auto" w:fill="auto"/>
            <w:noWrap/>
            <w:vAlign w:val="center"/>
          </w:tcPr>
          <w:p w14:paraId="4AB76EC2" w14:textId="4911135B" w:rsidR="0058610F" w:rsidRPr="00E20D21" w:rsidRDefault="0058610F" w:rsidP="0058610F">
            <w:pPr>
              <w:rPr>
                <w:rFonts w:ascii="CAIXA Std Book" w:hAnsi="CAIXA Std Book" w:cs="Cambria Math"/>
                <w:b/>
                <w:color w:val="005CA9"/>
                <w:sz w:val="18"/>
                <w:szCs w:val="18"/>
              </w:rPr>
            </w:pPr>
            <w:r w:rsidRPr="00E20D21">
              <w:rPr>
                <w:rFonts w:ascii="CAIXA Std Book" w:hAnsi="CAIXA Std Book" w:cs="Cambria Math"/>
                <w:b/>
                <w:color w:val="005CA9"/>
                <w:sz w:val="18"/>
                <w:szCs w:val="18"/>
              </w:rPr>
              <w:t>Patrimônio Líquido – CONSOLIDADO</w:t>
            </w:r>
          </w:p>
        </w:tc>
        <w:tc>
          <w:tcPr>
            <w:tcW w:w="961" w:type="pct"/>
            <w:tcBorders>
              <w:top w:val="single" w:sz="4" w:space="0" w:color="F39200"/>
              <w:left w:val="nil"/>
              <w:bottom w:val="single" w:sz="4" w:space="0" w:color="F39200"/>
              <w:right w:val="nil"/>
            </w:tcBorders>
            <w:shd w:val="clear" w:color="auto" w:fill="auto"/>
            <w:noWrap/>
            <w:vAlign w:val="center"/>
          </w:tcPr>
          <w:p w14:paraId="7A20E4EF" w14:textId="4BA5F61E" w:rsidR="0058610F" w:rsidRPr="00E20D21" w:rsidRDefault="00EA1675" w:rsidP="0058610F">
            <w:pPr>
              <w:jc w:val="right"/>
              <w:rPr>
                <w:rFonts w:ascii="CAIXA Std Book" w:hAnsi="CAIXA Std Book" w:cs="Arial"/>
                <w:b/>
                <w:color w:val="005CA9"/>
                <w:sz w:val="18"/>
                <w:szCs w:val="18"/>
              </w:rPr>
            </w:pPr>
            <w:r w:rsidRPr="00E20D21">
              <w:rPr>
                <w:rFonts w:ascii="CAIXA Std Book" w:hAnsi="CAIXA Std Book" w:cs="Arial"/>
                <w:b/>
                <w:bCs/>
                <w:color w:val="2F75B5"/>
                <w:sz w:val="18"/>
                <w:szCs w:val="18"/>
              </w:rPr>
              <w:t>135.523.665</w:t>
            </w:r>
          </w:p>
        </w:tc>
        <w:tc>
          <w:tcPr>
            <w:tcW w:w="962" w:type="pct"/>
            <w:tcBorders>
              <w:top w:val="single" w:sz="4" w:space="0" w:color="F39200"/>
              <w:left w:val="nil"/>
              <w:bottom w:val="single" w:sz="4" w:space="0" w:color="F39200"/>
              <w:right w:val="nil"/>
            </w:tcBorders>
            <w:vAlign w:val="center"/>
          </w:tcPr>
          <w:p w14:paraId="1D0D4E6C" w14:textId="592EF3C2" w:rsidR="0058610F" w:rsidRPr="00E20D21" w:rsidRDefault="0058610F" w:rsidP="0058610F">
            <w:pPr>
              <w:jc w:val="right"/>
              <w:rPr>
                <w:rFonts w:ascii="CAIXA Std Book" w:hAnsi="CAIXA Std Book" w:cs="Cambria Math"/>
                <w:b/>
                <w:color w:val="005CA9"/>
                <w:sz w:val="18"/>
                <w:szCs w:val="18"/>
              </w:rPr>
            </w:pPr>
            <w:r w:rsidRPr="00E20D21">
              <w:rPr>
                <w:rFonts w:ascii="CAIXA Std Book" w:hAnsi="CAIXA Std Book" w:cs="Arial"/>
                <w:b/>
                <w:color w:val="005CA9"/>
                <w:sz w:val="18"/>
                <w:szCs w:val="18"/>
              </w:rPr>
              <w:t>128.475.260</w:t>
            </w:r>
          </w:p>
        </w:tc>
      </w:tr>
    </w:tbl>
    <w:p w14:paraId="61566BEB" w14:textId="2859B43E" w:rsidR="009047D2" w:rsidRPr="00E20D21" w:rsidRDefault="00B61584" w:rsidP="00AD7280">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N</w:t>
      </w:r>
      <w:r w:rsidR="009047D2" w:rsidRPr="00E20D21">
        <w:rPr>
          <w:rFonts w:ascii="CAIXA Std Book" w:hAnsi="CAIXA Std Book"/>
          <w:color w:val="005CA9"/>
          <w:sz w:val="20"/>
          <w:szCs w:val="20"/>
        </w:rPr>
        <w:t>as demonstrações contábeis individuais, os instrumentos híbridos de capital e dívida elegíveis a compor o Capital Principal são registrados no passivo e seus encargos financeiros reconhecidos como despesas operacionais, enquanto nas demonstrações contábeis consolidadas são reclassificados para o patrimônio líquido, com base no entendimento e nas orientações do Banco Central do Brasil, com o objetivo de melhorar a qualidade dessas demonstrações contábeis consolidadas.</w:t>
      </w:r>
    </w:p>
    <w:p w14:paraId="4699B7D5" w14:textId="0503D987" w:rsidR="00F02172" w:rsidRPr="00E20D21" w:rsidRDefault="00BE2FB4" w:rsidP="00BE2FB4">
      <w:pPr>
        <w:keepNext/>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w:t>
      </w:r>
      <w:r w:rsidR="00D33795" w:rsidRPr="00E20D21">
        <w:rPr>
          <w:rFonts w:ascii="CAIXA Std Book" w:hAnsi="CAIXA Std Book"/>
          <w:b/>
          <w:color w:val="005CA9"/>
          <w:sz w:val="20"/>
          <w:szCs w:val="20"/>
        </w:rPr>
        <w:t>b</w:t>
      </w:r>
      <w:r w:rsidRPr="00E20D21">
        <w:rPr>
          <w:rFonts w:ascii="CAIXA Std Book" w:hAnsi="CAIXA Std Book"/>
          <w:b/>
          <w:color w:val="005CA9"/>
          <w:sz w:val="20"/>
          <w:szCs w:val="20"/>
        </w:rPr>
        <w:t>)</w:t>
      </w:r>
      <w:r w:rsidRPr="00E20D21">
        <w:rPr>
          <w:rFonts w:ascii="CAIXA Std Book" w:hAnsi="CAIXA Std Book"/>
          <w:b/>
          <w:color w:val="005CA9"/>
          <w:sz w:val="20"/>
          <w:szCs w:val="20"/>
        </w:rPr>
        <w:tab/>
      </w:r>
      <w:r w:rsidR="00F02172" w:rsidRPr="00E20D21">
        <w:rPr>
          <w:rFonts w:ascii="CAIXA Std Book" w:hAnsi="CAIXA Std Book"/>
          <w:b/>
          <w:color w:val="005CA9"/>
          <w:sz w:val="20"/>
          <w:szCs w:val="20"/>
        </w:rPr>
        <w:t>Enquadramento nos níveis exigidos pel</w:t>
      </w:r>
      <w:r w:rsidR="00EB05C4" w:rsidRPr="00E20D21">
        <w:rPr>
          <w:rFonts w:ascii="CAIXA Std Book" w:hAnsi="CAIXA Std Book"/>
          <w:b/>
          <w:color w:val="005CA9"/>
          <w:sz w:val="20"/>
          <w:szCs w:val="20"/>
        </w:rPr>
        <w:t xml:space="preserve">o </w:t>
      </w:r>
      <w:r w:rsidR="00F02172" w:rsidRPr="00E20D21">
        <w:rPr>
          <w:rFonts w:ascii="CAIXA Std Book" w:hAnsi="CAIXA Std Book"/>
          <w:b/>
          <w:color w:val="005CA9"/>
          <w:sz w:val="20"/>
          <w:szCs w:val="20"/>
        </w:rPr>
        <w:t>Acordo de Basil</w:t>
      </w:r>
      <w:r w:rsidR="00D45A92" w:rsidRPr="00E20D21">
        <w:rPr>
          <w:rFonts w:ascii="CAIXA Std Book" w:hAnsi="CAIXA Std Book"/>
          <w:b/>
          <w:color w:val="005CA9"/>
          <w:sz w:val="20"/>
          <w:szCs w:val="20"/>
        </w:rPr>
        <w:t>e</w:t>
      </w:r>
      <w:r w:rsidR="00F02172" w:rsidRPr="00E20D21">
        <w:rPr>
          <w:rFonts w:ascii="CAIXA Std Book" w:hAnsi="CAIXA Std Book"/>
          <w:b/>
          <w:color w:val="005CA9"/>
          <w:sz w:val="20"/>
          <w:szCs w:val="20"/>
        </w:rPr>
        <w:t>ia</w:t>
      </w:r>
    </w:p>
    <w:p w14:paraId="2ED39DFD" w14:textId="79B15E81" w:rsidR="000C5A14" w:rsidRPr="00E20D21" w:rsidRDefault="00C012DA" w:rsidP="00996B00">
      <w:pPr>
        <w:pStyle w:val="xmsonormal"/>
        <w:spacing w:before="0" w:beforeAutospacing="0" w:after="0" w:afterAutospacing="0"/>
        <w:jc w:val="both"/>
        <w:rPr>
          <w:rFonts w:ascii="CAIXA Std Book" w:hAnsi="CAIXA Std Book"/>
          <w:color w:val="005CA9"/>
        </w:rPr>
      </w:pPr>
      <w:bookmarkStart w:id="79" w:name="_Hlk65762701"/>
      <w:r w:rsidRPr="00E20D21">
        <w:rPr>
          <w:rFonts w:ascii="CAIXA Std Book" w:hAnsi="CAIXA Std Book"/>
          <w:color w:val="005CA9"/>
          <w:sz w:val="20"/>
          <w:szCs w:val="20"/>
        </w:rPr>
        <w:t>Em conformidade com</w:t>
      </w:r>
      <w:r w:rsidR="000C5A14" w:rsidRPr="00E20D21">
        <w:rPr>
          <w:rFonts w:ascii="CAIXA Std Book" w:hAnsi="CAIXA Std Book"/>
          <w:color w:val="005CA9"/>
          <w:sz w:val="20"/>
          <w:szCs w:val="20"/>
        </w:rPr>
        <w:t xml:space="preserve"> a</w:t>
      </w:r>
      <w:r w:rsidR="00586974" w:rsidRPr="00E20D21">
        <w:rPr>
          <w:rFonts w:ascii="CAIXA Std Book" w:hAnsi="CAIXA Std Book"/>
          <w:color w:val="005CA9"/>
          <w:sz w:val="20"/>
          <w:szCs w:val="20"/>
        </w:rPr>
        <w:t>s</w:t>
      </w:r>
      <w:r w:rsidR="00824BFD" w:rsidRPr="00E20D21">
        <w:rPr>
          <w:rFonts w:ascii="CAIXA Std Book" w:hAnsi="CAIXA Std Book"/>
          <w:color w:val="005CA9"/>
          <w:sz w:val="20"/>
          <w:szCs w:val="20"/>
        </w:rPr>
        <w:t xml:space="preserve"> </w:t>
      </w:r>
      <w:r w:rsidR="000C5A14" w:rsidRPr="00E20D21">
        <w:rPr>
          <w:rFonts w:ascii="CAIXA Std Book" w:hAnsi="CAIXA Std Book"/>
          <w:color w:val="005CA9"/>
          <w:sz w:val="20"/>
          <w:szCs w:val="20"/>
        </w:rPr>
        <w:t>Resoluç</w:t>
      </w:r>
      <w:r w:rsidR="00586974" w:rsidRPr="00E20D21">
        <w:rPr>
          <w:rFonts w:ascii="CAIXA Std Book" w:hAnsi="CAIXA Std Book"/>
          <w:color w:val="005CA9"/>
          <w:sz w:val="20"/>
          <w:szCs w:val="20"/>
        </w:rPr>
        <w:t>ões</w:t>
      </w:r>
      <w:r w:rsidR="004864C4" w:rsidRPr="00E20D21">
        <w:rPr>
          <w:rFonts w:ascii="CAIXA Std Book" w:hAnsi="CAIXA Std Book"/>
          <w:color w:val="005CA9"/>
          <w:sz w:val="20"/>
          <w:szCs w:val="20"/>
        </w:rPr>
        <w:t xml:space="preserve"> CMN</w:t>
      </w:r>
      <w:r w:rsidR="000C5A14" w:rsidRPr="00E20D21">
        <w:rPr>
          <w:rFonts w:ascii="CAIXA Std Book" w:hAnsi="CAIXA Std Book"/>
          <w:color w:val="005CA9"/>
          <w:sz w:val="20"/>
          <w:szCs w:val="20"/>
        </w:rPr>
        <w:t xml:space="preserve"> </w:t>
      </w:r>
      <w:r w:rsidR="004864C4" w:rsidRPr="00E20D21">
        <w:rPr>
          <w:rFonts w:ascii="CAIXA Std Book" w:hAnsi="CAIXA Std Book"/>
          <w:color w:val="005CA9"/>
          <w:sz w:val="20"/>
          <w:szCs w:val="20"/>
        </w:rPr>
        <w:t>nº 4.955/2021</w:t>
      </w:r>
      <w:r w:rsidR="00BE6ED2" w:rsidRPr="00E20D21">
        <w:rPr>
          <w:rFonts w:ascii="CAIXA Std Book" w:hAnsi="CAIXA Std Book"/>
          <w:color w:val="005CA9"/>
          <w:sz w:val="20"/>
          <w:szCs w:val="20"/>
        </w:rPr>
        <w:t xml:space="preserve"> e</w:t>
      </w:r>
      <w:r w:rsidR="004864C4" w:rsidRPr="00E20D21">
        <w:rPr>
          <w:rFonts w:ascii="CAIXA Std Book" w:hAnsi="CAIXA Std Book"/>
          <w:color w:val="005CA9"/>
          <w:sz w:val="20"/>
          <w:szCs w:val="20"/>
        </w:rPr>
        <w:t xml:space="preserve"> </w:t>
      </w:r>
      <w:r w:rsidR="000C5A14" w:rsidRPr="00E20D21">
        <w:rPr>
          <w:rFonts w:ascii="CAIXA Std Book" w:hAnsi="CAIXA Std Book"/>
          <w:color w:val="005CA9"/>
          <w:sz w:val="20"/>
          <w:szCs w:val="20"/>
        </w:rPr>
        <w:t xml:space="preserve">nº </w:t>
      </w:r>
      <w:r w:rsidR="00586974" w:rsidRPr="00E20D21">
        <w:rPr>
          <w:rFonts w:ascii="CAIXA Std Book" w:hAnsi="CAIXA Std Book"/>
          <w:color w:val="005CA9"/>
          <w:sz w:val="20"/>
          <w:szCs w:val="20"/>
        </w:rPr>
        <w:t>4.958</w:t>
      </w:r>
      <w:r w:rsidR="004864C4" w:rsidRPr="00E20D21">
        <w:rPr>
          <w:rFonts w:ascii="CAIXA Std Book" w:hAnsi="CAIXA Std Book"/>
          <w:color w:val="005CA9"/>
          <w:sz w:val="20"/>
          <w:szCs w:val="20"/>
        </w:rPr>
        <w:t>/2021</w:t>
      </w:r>
      <w:r w:rsidR="00E23EA6" w:rsidRPr="00E20D21">
        <w:rPr>
          <w:rFonts w:ascii="CAIXA Std Book" w:hAnsi="CAIXA Std Book"/>
          <w:color w:val="005CA9"/>
          <w:sz w:val="20"/>
          <w:szCs w:val="20"/>
        </w:rPr>
        <w:t>,</w:t>
      </w:r>
      <w:r w:rsidR="000C5A14" w:rsidRPr="00E20D21">
        <w:rPr>
          <w:rFonts w:ascii="CAIXA Std Book" w:hAnsi="CAIXA Std Book"/>
          <w:color w:val="005CA9"/>
          <w:sz w:val="20"/>
          <w:szCs w:val="20"/>
        </w:rPr>
        <w:t xml:space="preserve"> que estabelecem os níveis mínimos de patrimônio de referência </w:t>
      </w:r>
      <w:r w:rsidR="00996B00" w:rsidRPr="00E20D21">
        <w:rPr>
          <w:rFonts w:ascii="CAIXA Std Book" w:hAnsi="CAIXA Std Book"/>
          <w:color w:val="005CA9"/>
          <w:sz w:val="20"/>
          <w:szCs w:val="20"/>
        </w:rPr>
        <w:t xml:space="preserve">e da apuração dos níveis de capital </w:t>
      </w:r>
      <w:r w:rsidR="000C5A14" w:rsidRPr="00E20D21">
        <w:rPr>
          <w:rFonts w:ascii="CAIXA Std Book" w:hAnsi="CAIXA Std Book"/>
          <w:color w:val="005CA9"/>
          <w:sz w:val="20"/>
          <w:szCs w:val="20"/>
        </w:rPr>
        <w:t>para as instituições financeiras, com base nos volumes de suas operações, a CAIXA apresenta</w:t>
      </w:r>
      <w:r w:rsidR="00987532" w:rsidRPr="00E20D21">
        <w:rPr>
          <w:rFonts w:ascii="CAIXA Std Book" w:hAnsi="CAIXA Std Book"/>
          <w:color w:val="005CA9"/>
          <w:sz w:val="20"/>
          <w:szCs w:val="20"/>
        </w:rPr>
        <w:t>,</w:t>
      </w:r>
      <w:r w:rsidR="000C5A14" w:rsidRPr="00E20D21">
        <w:rPr>
          <w:rFonts w:ascii="CAIXA Std Book" w:hAnsi="CAIXA Std Book"/>
          <w:color w:val="005CA9"/>
          <w:sz w:val="20"/>
          <w:szCs w:val="20"/>
        </w:rPr>
        <w:t xml:space="preserve"> em 3</w:t>
      </w:r>
      <w:r w:rsidR="00F872BB" w:rsidRPr="00E20D21">
        <w:rPr>
          <w:rFonts w:ascii="CAIXA Std Book" w:hAnsi="CAIXA Std Book"/>
          <w:color w:val="005CA9"/>
          <w:sz w:val="20"/>
          <w:szCs w:val="20"/>
        </w:rPr>
        <w:t>0/06/2024</w:t>
      </w:r>
      <w:r w:rsidR="00373B6B" w:rsidRPr="00E20D21">
        <w:rPr>
          <w:rFonts w:ascii="CAIXA Std Book" w:hAnsi="CAIXA Std Book"/>
          <w:color w:val="005CA9"/>
          <w:sz w:val="20"/>
          <w:szCs w:val="20"/>
        </w:rPr>
        <w:t>,</w:t>
      </w:r>
      <w:r w:rsidR="000C5A14" w:rsidRPr="00E20D21">
        <w:rPr>
          <w:rFonts w:ascii="CAIXA Std Book" w:hAnsi="CAIXA Std Book"/>
          <w:color w:val="005CA9"/>
          <w:sz w:val="20"/>
          <w:szCs w:val="20"/>
        </w:rPr>
        <w:t xml:space="preserve"> </w:t>
      </w:r>
      <w:r w:rsidR="009861FE" w:rsidRPr="00E20D21">
        <w:rPr>
          <w:rFonts w:ascii="CAIXA Std Book" w:hAnsi="CAIXA Std Book"/>
          <w:color w:val="005CA9"/>
          <w:sz w:val="20"/>
          <w:szCs w:val="20"/>
        </w:rPr>
        <w:t>Í</w:t>
      </w:r>
      <w:r w:rsidR="000C5A14" w:rsidRPr="00E20D21">
        <w:rPr>
          <w:rFonts w:ascii="CAIXA Std Book" w:hAnsi="CAIXA Std Book"/>
          <w:color w:val="005CA9"/>
          <w:sz w:val="20"/>
          <w:szCs w:val="20"/>
        </w:rPr>
        <w:t>ndice de</w:t>
      </w:r>
      <w:r w:rsidR="009861FE" w:rsidRPr="00E20D21">
        <w:rPr>
          <w:rFonts w:ascii="CAIXA Std Book" w:hAnsi="CAIXA Std Book"/>
          <w:color w:val="005CA9"/>
          <w:sz w:val="20"/>
          <w:szCs w:val="20"/>
        </w:rPr>
        <w:t xml:space="preserve"> Basileia</w:t>
      </w:r>
      <w:r w:rsidR="00A95F01" w:rsidRPr="00E20D21">
        <w:rPr>
          <w:rFonts w:ascii="CAIXA Std Book" w:hAnsi="CAIXA Std Book"/>
          <w:color w:val="005CA9"/>
          <w:sz w:val="20"/>
          <w:szCs w:val="20"/>
        </w:rPr>
        <w:t xml:space="preserve"> (PR/RWA)</w:t>
      </w:r>
      <w:r w:rsidR="00F4036C" w:rsidRPr="00E20D21">
        <w:rPr>
          <w:rFonts w:ascii="CAIXA Std Book" w:hAnsi="CAIXA Std Book"/>
          <w:color w:val="005CA9"/>
          <w:sz w:val="20"/>
          <w:szCs w:val="20"/>
        </w:rPr>
        <w:t xml:space="preserve"> igual a</w:t>
      </w:r>
      <w:r w:rsidR="000C5A14" w:rsidRPr="00E20D21">
        <w:rPr>
          <w:rFonts w:ascii="CAIXA Std Book" w:hAnsi="CAIXA Std Book"/>
          <w:color w:val="005CA9"/>
          <w:sz w:val="20"/>
          <w:szCs w:val="20"/>
        </w:rPr>
        <w:t xml:space="preserve"> </w:t>
      </w:r>
      <w:r w:rsidR="002E484A" w:rsidRPr="00E20D21">
        <w:rPr>
          <w:rFonts w:ascii="CAIXA Std Book" w:hAnsi="CAIXA Std Book"/>
          <w:color w:val="005CA9"/>
          <w:sz w:val="20"/>
          <w:szCs w:val="20"/>
        </w:rPr>
        <w:t>16,40</w:t>
      </w:r>
      <w:r w:rsidR="000C5A14" w:rsidRPr="00E20D21">
        <w:rPr>
          <w:rFonts w:ascii="CAIXA Std Book" w:hAnsi="CAIXA Std Book"/>
          <w:color w:val="005CA9"/>
          <w:sz w:val="20"/>
          <w:szCs w:val="20"/>
        </w:rPr>
        <w:t xml:space="preserve"> % (31/12/202</w:t>
      </w:r>
      <w:r w:rsidR="00EE0573" w:rsidRPr="00E20D21">
        <w:rPr>
          <w:rFonts w:ascii="CAIXA Std Book" w:hAnsi="CAIXA Std Book"/>
          <w:color w:val="005CA9"/>
          <w:sz w:val="20"/>
          <w:szCs w:val="20"/>
        </w:rPr>
        <w:t>3</w:t>
      </w:r>
      <w:r w:rsidR="000C5A14" w:rsidRPr="00E20D21">
        <w:rPr>
          <w:rFonts w:ascii="CAIXA Std Book" w:hAnsi="CAIXA Std Book"/>
          <w:color w:val="005CA9"/>
          <w:sz w:val="20"/>
          <w:szCs w:val="20"/>
        </w:rPr>
        <w:t xml:space="preserve"> – 1</w:t>
      </w:r>
      <w:r w:rsidR="0049037D" w:rsidRPr="00E20D21">
        <w:rPr>
          <w:rFonts w:ascii="CAIXA Std Book" w:hAnsi="CAIXA Std Book"/>
          <w:color w:val="005CA9"/>
          <w:sz w:val="20"/>
          <w:szCs w:val="20"/>
        </w:rPr>
        <w:t>6,68</w:t>
      </w:r>
      <w:r w:rsidR="000C5A14" w:rsidRPr="00E20D21">
        <w:rPr>
          <w:rFonts w:ascii="CAIXA Std Book" w:hAnsi="CAIXA Std Book"/>
          <w:color w:val="005CA9"/>
          <w:sz w:val="20"/>
          <w:szCs w:val="20"/>
        </w:rPr>
        <w:t>%) (Nota 33), acima do mínimo regulamentar exigido no Brasil</w:t>
      </w:r>
      <w:r w:rsidR="00487F4A" w:rsidRPr="00E20D21">
        <w:rPr>
          <w:rFonts w:ascii="CAIXA Std Book" w:hAnsi="CAIXA Std Book"/>
          <w:color w:val="005CA9"/>
          <w:sz w:val="20"/>
          <w:szCs w:val="20"/>
        </w:rPr>
        <w:t>,</w:t>
      </w:r>
      <w:r w:rsidR="000C5A14" w:rsidRPr="00E20D21">
        <w:rPr>
          <w:rFonts w:ascii="CAIXA Std Book" w:hAnsi="CAIXA Std Book"/>
          <w:color w:val="005CA9"/>
          <w:sz w:val="20"/>
          <w:szCs w:val="20"/>
        </w:rPr>
        <w:t xml:space="preserve"> que é de 11,5%.</w:t>
      </w:r>
    </w:p>
    <w:bookmarkEnd w:id="79"/>
    <w:p w14:paraId="1209858A" w14:textId="5BDE05EF" w:rsidR="00F02172" w:rsidRPr="00E20D21" w:rsidRDefault="00BE2FB4" w:rsidP="00FB1A41">
      <w:pPr>
        <w:keepNext/>
        <w:spacing w:before="480" w:after="240"/>
        <w:ind w:right="139"/>
        <w:jc w:val="both"/>
        <w:rPr>
          <w:rFonts w:ascii="CAIXA Std Book" w:hAnsi="CAIXA Std Book"/>
          <w:b/>
          <w:color w:val="005CA9"/>
          <w:sz w:val="20"/>
          <w:szCs w:val="20"/>
        </w:rPr>
      </w:pPr>
      <w:r w:rsidRPr="00E20D21">
        <w:rPr>
          <w:rFonts w:ascii="CAIXA Std Book" w:hAnsi="CAIXA Std Book"/>
          <w:b/>
          <w:color w:val="005CA9"/>
          <w:sz w:val="20"/>
          <w:szCs w:val="20"/>
        </w:rPr>
        <w:t>(</w:t>
      </w:r>
      <w:r w:rsidR="00D33795" w:rsidRPr="00E20D21">
        <w:rPr>
          <w:rFonts w:ascii="CAIXA Std Book" w:hAnsi="CAIXA Std Book"/>
          <w:b/>
          <w:color w:val="005CA9"/>
          <w:sz w:val="20"/>
          <w:szCs w:val="20"/>
        </w:rPr>
        <w:t>c</w:t>
      </w:r>
      <w:r w:rsidRPr="00E20D21">
        <w:rPr>
          <w:rFonts w:ascii="CAIXA Std Book" w:hAnsi="CAIXA Std Book"/>
          <w:b/>
          <w:color w:val="005CA9"/>
          <w:sz w:val="20"/>
          <w:szCs w:val="20"/>
        </w:rPr>
        <w:t>)</w:t>
      </w:r>
      <w:r w:rsidRPr="00E20D21">
        <w:rPr>
          <w:rFonts w:ascii="CAIXA Std Book" w:hAnsi="CAIXA Std Book"/>
          <w:b/>
          <w:color w:val="005CA9"/>
          <w:sz w:val="20"/>
          <w:szCs w:val="20"/>
        </w:rPr>
        <w:tab/>
      </w:r>
      <w:r w:rsidR="00F02172" w:rsidRPr="00E20D21">
        <w:rPr>
          <w:rFonts w:ascii="CAIXA Std Book" w:hAnsi="CAIXA Std Book"/>
          <w:b/>
          <w:color w:val="005CA9"/>
          <w:sz w:val="20"/>
          <w:szCs w:val="20"/>
        </w:rPr>
        <w:t xml:space="preserve">Reservas de lucros </w:t>
      </w:r>
    </w:p>
    <w:p w14:paraId="5B885023" w14:textId="1A8D61B0" w:rsidR="00F02172" w:rsidRPr="00E20D21" w:rsidRDefault="00F02172" w:rsidP="00FB1A41">
      <w:pPr>
        <w:spacing w:before="120" w:after="120"/>
        <w:ind w:right="139"/>
        <w:jc w:val="both"/>
        <w:rPr>
          <w:rFonts w:ascii="CAIXA Std Book" w:hAnsi="CAIXA Std Book"/>
          <w:color w:val="005CA9"/>
          <w:sz w:val="20"/>
          <w:szCs w:val="20"/>
        </w:rPr>
      </w:pPr>
      <w:bookmarkStart w:id="80" w:name="_Hlk65762717"/>
      <w:r w:rsidRPr="00E20D21">
        <w:rPr>
          <w:rFonts w:ascii="CAIXA Std Book" w:hAnsi="CAIXA Std Book"/>
          <w:color w:val="005CA9"/>
          <w:sz w:val="20"/>
          <w:szCs w:val="20"/>
        </w:rPr>
        <w:t>As reservas de lucros são constituídas por reserva legal, calculada à base de 5% sobre o lucro líquido, reserva de loterias e reserva de margem operacional.</w:t>
      </w:r>
    </w:p>
    <w:p w14:paraId="17772C14" w14:textId="77777777" w:rsidR="00F02172" w:rsidRPr="00E20D21" w:rsidRDefault="00F02172" w:rsidP="00FB1A41">
      <w:pPr>
        <w:tabs>
          <w:tab w:val="left" w:pos="1650"/>
        </w:tabs>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As reservas de loterias são constituídas pelo resultado da administração das loterias federais que couberem à CAIXA como executora destes serviços públicos para incorporação ao seu patrimônio líquido.</w:t>
      </w:r>
    </w:p>
    <w:p w14:paraId="51E2BB2E" w14:textId="26BC7536" w:rsidR="00F02172" w:rsidRPr="00E20D21" w:rsidRDefault="00F02172" w:rsidP="00FB1A41">
      <w:pPr>
        <w:tabs>
          <w:tab w:val="left" w:pos="1650"/>
        </w:tabs>
        <w:spacing w:before="120" w:after="240"/>
        <w:ind w:right="139"/>
        <w:jc w:val="both"/>
        <w:rPr>
          <w:rFonts w:ascii="CAIXA Std Book" w:hAnsi="CAIXA Std Book"/>
          <w:color w:val="005CA9"/>
          <w:sz w:val="20"/>
          <w:szCs w:val="20"/>
        </w:rPr>
      </w:pPr>
      <w:r w:rsidRPr="00E20D21">
        <w:rPr>
          <w:rFonts w:ascii="CAIXA Std Book" w:hAnsi="CAIXA Std Book"/>
          <w:color w:val="005CA9"/>
          <w:sz w:val="20"/>
          <w:szCs w:val="20"/>
        </w:rPr>
        <w:t xml:space="preserve">A reserva de margem operacional é constituída mediante justificativa do percentual considerado de até 100% do saldo do lucro líquido deduzido da destinação para reserva legal, para reservas de lucros a realizar, para reservas para contingências, para reserva de incentivos fiscais e para pagamento mínimo (25% do lucro líquido ajustado) de dividendos e juros sobre capital próprio, até o limite de </w:t>
      </w:r>
      <w:r w:rsidR="0082126C" w:rsidRPr="00E20D21">
        <w:rPr>
          <w:rFonts w:ascii="CAIXA Std Book" w:hAnsi="CAIXA Std Book"/>
          <w:color w:val="005CA9"/>
          <w:sz w:val="20"/>
          <w:szCs w:val="20"/>
        </w:rPr>
        <w:t>80%</w:t>
      </w:r>
      <w:r w:rsidRPr="00E20D21">
        <w:rPr>
          <w:rFonts w:ascii="CAIXA Std Book" w:hAnsi="CAIXA Std Book"/>
          <w:color w:val="005CA9"/>
          <w:sz w:val="20"/>
          <w:szCs w:val="20"/>
        </w:rPr>
        <w:t xml:space="preserve"> do capital social.</w:t>
      </w:r>
    </w:p>
    <w:tbl>
      <w:tblPr>
        <w:tblW w:w="5000" w:type="pct"/>
        <w:tblCellMar>
          <w:left w:w="70" w:type="dxa"/>
          <w:right w:w="70" w:type="dxa"/>
        </w:tblCellMar>
        <w:tblLook w:val="04A0" w:firstRow="1" w:lastRow="0" w:firstColumn="1" w:lastColumn="0" w:noHBand="0" w:noVBand="1"/>
      </w:tblPr>
      <w:tblGrid>
        <w:gridCol w:w="5667"/>
        <w:gridCol w:w="1985"/>
        <w:gridCol w:w="1985"/>
      </w:tblGrid>
      <w:tr w:rsidR="00A47C19" w:rsidRPr="00E20D21" w14:paraId="01BF2813" w14:textId="77777777" w:rsidTr="00914948">
        <w:trPr>
          <w:trHeight w:val="283"/>
        </w:trPr>
        <w:tc>
          <w:tcPr>
            <w:tcW w:w="2940" w:type="pct"/>
            <w:tcBorders>
              <w:top w:val="single" w:sz="4" w:space="0" w:color="F39200"/>
              <w:left w:val="nil"/>
              <w:bottom w:val="single" w:sz="4" w:space="0" w:color="F39200"/>
              <w:right w:val="nil"/>
            </w:tcBorders>
            <w:shd w:val="clear" w:color="auto" w:fill="auto"/>
            <w:noWrap/>
            <w:vAlign w:val="center"/>
            <w:hideMark/>
          </w:tcPr>
          <w:bookmarkEnd w:id="80"/>
          <w:p w14:paraId="0233AB3B" w14:textId="77777777" w:rsidR="00FC74BA" w:rsidRPr="00E20D21" w:rsidRDefault="00FC74BA" w:rsidP="00FC74BA">
            <w:pPr>
              <w:jc w:val="center"/>
              <w:rPr>
                <w:rFonts w:ascii="CAIXA Std Book" w:hAnsi="CAIXA Std Book"/>
                <w:b/>
                <w:color w:val="005CA9"/>
                <w:sz w:val="18"/>
                <w:szCs w:val="18"/>
              </w:rPr>
            </w:pPr>
            <w:r w:rsidRPr="00E20D21">
              <w:rPr>
                <w:rFonts w:ascii="CAIXA Std Book" w:hAnsi="CAIXA Std Book"/>
                <w:b/>
                <w:color w:val="005CA9"/>
                <w:sz w:val="18"/>
                <w:szCs w:val="18"/>
              </w:rPr>
              <w:t>Descrição</w:t>
            </w:r>
          </w:p>
        </w:tc>
        <w:tc>
          <w:tcPr>
            <w:tcW w:w="1030" w:type="pct"/>
            <w:tcBorders>
              <w:top w:val="single" w:sz="4" w:space="0" w:color="F39200"/>
              <w:left w:val="nil"/>
              <w:bottom w:val="single" w:sz="4" w:space="0" w:color="F39200"/>
              <w:right w:val="nil"/>
            </w:tcBorders>
            <w:shd w:val="clear" w:color="auto" w:fill="auto"/>
            <w:noWrap/>
            <w:vAlign w:val="center"/>
          </w:tcPr>
          <w:p w14:paraId="133CAFE8" w14:textId="6C1722BE" w:rsidR="00FC74BA" w:rsidRPr="00E20D21" w:rsidRDefault="00170637" w:rsidP="00FC74BA">
            <w:pPr>
              <w:jc w:val="center"/>
              <w:rPr>
                <w:rFonts w:ascii="CAIXA Std Book" w:hAnsi="CAIXA Std Book"/>
                <w:b/>
                <w:color w:val="005CA9"/>
                <w:sz w:val="18"/>
                <w:szCs w:val="18"/>
              </w:rPr>
            </w:pPr>
            <w:r w:rsidRPr="00E20D21">
              <w:rPr>
                <w:rFonts w:ascii="CAIXA Std Book" w:hAnsi="CAIXA Std Book"/>
                <w:b/>
                <w:color w:val="005CA9"/>
                <w:sz w:val="18"/>
                <w:szCs w:val="18"/>
              </w:rPr>
              <w:t>3</w:t>
            </w:r>
            <w:r w:rsidR="00F872BB" w:rsidRPr="00E20D21">
              <w:rPr>
                <w:rFonts w:ascii="CAIXA Std Book" w:hAnsi="CAIXA Std Book"/>
                <w:b/>
                <w:color w:val="005CA9"/>
                <w:sz w:val="18"/>
                <w:szCs w:val="18"/>
              </w:rPr>
              <w:t>0/06/202</w:t>
            </w:r>
            <w:r w:rsidR="009E5DAC" w:rsidRPr="00E20D21">
              <w:rPr>
                <w:rFonts w:ascii="CAIXA Std Book" w:hAnsi="CAIXA Std Book"/>
                <w:b/>
                <w:color w:val="005CA9"/>
                <w:sz w:val="18"/>
                <w:szCs w:val="18"/>
              </w:rPr>
              <w:t>4</w:t>
            </w:r>
          </w:p>
        </w:tc>
        <w:tc>
          <w:tcPr>
            <w:tcW w:w="1030" w:type="pct"/>
            <w:tcBorders>
              <w:top w:val="single" w:sz="4" w:space="0" w:color="F39200"/>
              <w:left w:val="nil"/>
              <w:bottom w:val="single" w:sz="4" w:space="0" w:color="F39200"/>
              <w:right w:val="nil"/>
            </w:tcBorders>
            <w:vAlign w:val="center"/>
          </w:tcPr>
          <w:p w14:paraId="24598520" w14:textId="435702BD" w:rsidR="00FC74BA" w:rsidRPr="00E20D21" w:rsidRDefault="00FC74BA" w:rsidP="00FC74BA">
            <w:pPr>
              <w:jc w:val="center"/>
              <w:rPr>
                <w:rFonts w:ascii="CAIXA Std Book" w:hAnsi="CAIXA Std Book"/>
                <w:b/>
                <w:color w:val="005CA9"/>
                <w:sz w:val="18"/>
                <w:szCs w:val="18"/>
              </w:rPr>
            </w:pPr>
            <w:r w:rsidRPr="00E20D21">
              <w:rPr>
                <w:rFonts w:ascii="CAIXA Std Book" w:hAnsi="CAIXA Std Book"/>
                <w:b/>
                <w:color w:val="005CA9"/>
                <w:sz w:val="18"/>
                <w:szCs w:val="18"/>
              </w:rPr>
              <w:t>31/12/</w:t>
            </w:r>
            <w:r w:rsidR="00995AB2" w:rsidRPr="00E20D21">
              <w:rPr>
                <w:rFonts w:ascii="CAIXA Std Book" w:hAnsi="CAIXA Std Book"/>
                <w:b/>
                <w:color w:val="005CA9"/>
                <w:sz w:val="18"/>
                <w:szCs w:val="18"/>
              </w:rPr>
              <w:t>202</w:t>
            </w:r>
            <w:r w:rsidR="00F872BB" w:rsidRPr="00E20D21">
              <w:rPr>
                <w:rFonts w:ascii="CAIXA Std Book" w:hAnsi="CAIXA Std Book"/>
                <w:b/>
                <w:color w:val="005CA9"/>
                <w:sz w:val="18"/>
                <w:szCs w:val="18"/>
              </w:rPr>
              <w:t>3</w:t>
            </w:r>
          </w:p>
        </w:tc>
      </w:tr>
      <w:tr w:rsidR="000959B2" w:rsidRPr="00E20D21" w14:paraId="35AABAF0" w14:textId="77777777" w:rsidTr="00914948">
        <w:trPr>
          <w:trHeight w:val="283"/>
        </w:trPr>
        <w:tc>
          <w:tcPr>
            <w:tcW w:w="2940" w:type="pct"/>
            <w:tcBorders>
              <w:top w:val="nil"/>
              <w:left w:val="nil"/>
              <w:bottom w:val="nil"/>
              <w:right w:val="nil"/>
            </w:tcBorders>
            <w:shd w:val="clear" w:color="auto" w:fill="auto"/>
            <w:noWrap/>
            <w:vAlign w:val="center"/>
            <w:hideMark/>
          </w:tcPr>
          <w:p w14:paraId="1D711DAC" w14:textId="77777777" w:rsidR="000959B2" w:rsidRPr="00E20D21" w:rsidRDefault="000959B2" w:rsidP="000959B2">
            <w:pPr>
              <w:rPr>
                <w:rFonts w:ascii="CAIXA Std Book" w:hAnsi="CAIXA Std Book"/>
                <w:b/>
                <w:color w:val="005CA9"/>
                <w:sz w:val="18"/>
                <w:szCs w:val="18"/>
              </w:rPr>
            </w:pPr>
            <w:r w:rsidRPr="00E20D21">
              <w:rPr>
                <w:rFonts w:ascii="CAIXA Std Book" w:hAnsi="CAIXA Std Book"/>
                <w:b/>
                <w:color w:val="005CA9"/>
                <w:sz w:val="18"/>
                <w:szCs w:val="18"/>
              </w:rPr>
              <w:t>Reservas de reavaliação</w:t>
            </w:r>
          </w:p>
        </w:tc>
        <w:tc>
          <w:tcPr>
            <w:tcW w:w="1030" w:type="pct"/>
            <w:tcBorders>
              <w:top w:val="nil"/>
              <w:left w:val="nil"/>
              <w:bottom w:val="nil"/>
              <w:right w:val="nil"/>
            </w:tcBorders>
            <w:shd w:val="clear" w:color="auto" w:fill="auto"/>
            <w:noWrap/>
            <w:vAlign w:val="center"/>
          </w:tcPr>
          <w:p w14:paraId="178C0EE1" w14:textId="210D87BC" w:rsidR="000959B2" w:rsidRPr="00E20D21" w:rsidRDefault="000959B2" w:rsidP="000959B2">
            <w:pPr>
              <w:jc w:val="right"/>
              <w:rPr>
                <w:rFonts w:ascii="CAIXA Std Book" w:hAnsi="CAIXA Std Book"/>
                <w:b/>
                <w:color w:val="005CA9"/>
                <w:sz w:val="18"/>
                <w:szCs w:val="18"/>
              </w:rPr>
            </w:pPr>
            <w:r w:rsidRPr="00E20D21">
              <w:rPr>
                <w:rFonts w:ascii="CAIXA Std Book" w:hAnsi="CAIXA Std Book" w:cs="Arial"/>
                <w:b/>
                <w:bCs/>
                <w:color w:val="005CA9"/>
                <w:sz w:val="18"/>
                <w:szCs w:val="18"/>
              </w:rPr>
              <w:t>212.066</w:t>
            </w:r>
          </w:p>
        </w:tc>
        <w:tc>
          <w:tcPr>
            <w:tcW w:w="1030" w:type="pct"/>
            <w:tcBorders>
              <w:top w:val="nil"/>
              <w:left w:val="nil"/>
              <w:bottom w:val="nil"/>
              <w:right w:val="nil"/>
            </w:tcBorders>
            <w:vAlign w:val="center"/>
          </w:tcPr>
          <w:p w14:paraId="66BD3BBC" w14:textId="3DC78350" w:rsidR="000959B2" w:rsidRPr="00E20D21" w:rsidRDefault="000959B2" w:rsidP="000959B2">
            <w:pPr>
              <w:jc w:val="right"/>
              <w:rPr>
                <w:rFonts w:ascii="CAIXA Std Book" w:hAnsi="CAIXA Std Book"/>
                <w:b/>
                <w:color w:val="005CA9"/>
                <w:sz w:val="18"/>
                <w:szCs w:val="18"/>
              </w:rPr>
            </w:pPr>
            <w:r w:rsidRPr="00E20D21">
              <w:rPr>
                <w:rFonts w:ascii="CAIXA Std Book" w:hAnsi="CAIXA Std Book" w:cs="Arial"/>
                <w:b/>
                <w:bCs/>
                <w:color w:val="005CA9"/>
                <w:sz w:val="18"/>
                <w:szCs w:val="18"/>
              </w:rPr>
              <w:t>215.884</w:t>
            </w:r>
          </w:p>
        </w:tc>
      </w:tr>
      <w:tr w:rsidR="000959B2" w:rsidRPr="00E20D21" w14:paraId="148CD70D" w14:textId="77777777" w:rsidTr="00914948">
        <w:trPr>
          <w:trHeight w:val="283"/>
        </w:trPr>
        <w:tc>
          <w:tcPr>
            <w:tcW w:w="2940" w:type="pct"/>
            <w:tcBorders>
              <w:top w:val="nil"/>
              <w:left w:val="nil"/>
              <w:bottom w:val="nil"/>
              <w:right w:val="nil"/>
            </w:tcBorders>
            <w:shd w:val="clear" w:color="auto" w:fill="auto"/>
            <w:noWrap/>
            <w:vAlign w:val="center"/>
            <w:hideMark/>
          </w:tcPr>
          <w:p w14:paraId="71D24727" w14:textId="77777777" w:rsidR="000959B2" w:rsidRPr="00E20D21" w:rsidRDefault="000959B2" w:rsidP="000959B2">
            <w:pPr>
              <w:rPr>
                <w:rFonts w:ascii="CAIXA Std Book" w:hAnsi="CAIXA Std Book"/>
                <w:b/>
                <w:color w:val="005CA9"/>
                <w:sz w:val="18"/>
                <w:szCs w:val="18"/>
              </w:rPr>
            </w:pPr>
            <w:r w:rsidRPr="00E20D21">
              <w:rPr>
                <w:rFonts w:ascii="CAIXA Std Book" w:hAnsi="CAIXA Std Book"/>
                <w:b/>
                <w:color w:val="005CA9"/>
                <w:sz w:val="18"/>
                <w:szCs w:val="18"/>
              </w:rPr>
              <w:t>Reservas de lucros</w:t>
            </w:r>
          </w:p>
        </w:tc>
        <w:tc>
          <w:tcPr>
            <w:tcW w:w="1030" w:type="pct"/>
            <w:tcBorders>
              <w:top w:val="nil"/>
              <w:left w:val="nil"/>
              <w:bottom w:val="nil"/>
              <w:right w:val="nil"/>
            </w:tcBorders>
            <w:shd w:val="clear" w:color="auto" w:fill="auto"/>
            <w:noWrap/>
            <w:vAlign w:val="center"/>
          </w:tcPr>
          <w:p w14:paraId="2B008553" w14:textId="1F1CFFE8" w:rsidR="000959B2" w:rsidRPr="00E20D21" w:rsidRDefault="000959B2" w:rsidP="000959B2">
            <w:pPr>
              <w:jc w:val="right"/>
              <w:rPr>
                <w:rFonts w:ascii="CAIXA Std Book" w:hAnsi="CAIXA Std Book"/>
                <w:b/>
                <w:color w:val="005CA9"/>
                <w:sz w:val="18"/>
                <w:szCs w:val="18"/>
              </w:rPr>
            </w:pPr>
            <w:r w:rsidRPr="00E20D21">
              <w:rPr>
                <w:rFonts w:ascii="CAIXA Std Book" w:hAnsi="CAIXA Std Book" w:cs="Arial"/>
                <w:b/>
                <w:bCs/>
                <w:color w:val="005CA9"/>
                <w:sz w:val="18"/>
                <w:szCs w:val="18"/>
              </w:rPr>
              <w:t>19.388.792</w:t>
            </w:r>
          </w:p>
        </w:tc>
        <w:tc>
          <w:tcPr>
            <w:tcW w:w="1030" w:type="pct"/>
            <w:tcBorders>
              <w:top w:val="nil"/>
              <w:left w:val="nil"/>
              <w:bottom w:val="nil"/>
              <w:right w:val="nil"/>
            </w:tcBorders>
            <w:vAlign w:val="center"/>
          </w:tcPr>
          <w:p w14:paraId="77132DF3" w14:textId="2A057612" w:rsidR="000959B2" w:rsidRPr="00E20D21" w:rsidRDefault="000959B2" w:rsidP="000959B2">
            <w:pPr>
              <w:jc w:val="right"/>
              <w:rPr>
                <w:rFonts w:ascii="CAIXA Std Book" w:hAnsi="CAIXA Std Book"/>
                <w:b/>
                <w:color w:val="005CA9"/>
                <w:sz w:val="18"/>
                <w:szCs w:val="18"/>
              </w:rPr>
            </w:pPr>
            <w:r w:rsidRPr="00E20D21">
              <w:rPr>
                <w:rFonts w:ascii="CAIXA Std Book" w:hAnsi="CAIXA Std Book" w:cs="Arial"/>
                <w:b/>
                <w:bCs/>
                <w:color w:val="005CA9"/>
                <w:sz w:val="18"/>
                <w:szCs w:val="18"/>
              </w:rPr>
              <w:t>20.325.908</w:t>
            </w:r>
          </w:p>
        </w:tc>
      </w:tr>
      <w:tr w:rsidR="000959B2" w:rsidRPr="00E20D21" w14:paraId="3D46B466" w14:textId="77777777" w:rsidTr="00914948">
        <w:trPr>
          <w:trHeight w:val="283"/>
        </w:trPr>
        <w:tc>
          <w:tcPr>
            <w:tcW w:w="2940" w:type="pct"/>
            <w:tcBorders>
              <w:top w:val="nil"/>
              <w:left w:val="nil"/>
              <w:bottom w:val="nil"/>
              <w:right w:val="nil"/>
            </w:tcBorders>
            <w:shd w:val="clear" w:color="auto" w:fill="auto"/>
            <w:noWrap/>
            <w:vAlign w:val="center"/>
            <w:hideMark/>
          </w:tcPr>
          <w:p w14:paraId="7A22D6ED" w14:textId="77777777" w:rsidR="000959B2" w:rsidRPr="00E20D21" w:rsidRDefault="000959B2" w:rsidP="000959B2">
            <w:pPr>
              <w:rPr>
                <w:rFonts w:ascii="CAIXA Std Book" w:hAnsi="CAIXA Std Book"/>
                <w:color w:val="005CA9"/>
                <w:sz w:val="18"/>
                <w:szCs w:val="18"/>
              </w:rPr>
            </w:pPr>
            <w:r w:rsidRPr="00E20D21">
              <w:rPr>
                <w:rFonts w:ascii="CAIXA Std Book" w:hAnsi="CAIXA Std Book"/>
                <w:color w:val="005CA9"/>
                <w:sz w:val="18"/>
                <w:szCs w:val="18"/>
              </w:rPr>
              <w:t>Reserva legal</w:t>
            </w:r>
          </w:p>
        </w:tc>
        <w:tc>
          <w:tcPr>
            <w:tcW w:w="1030" w:type="pct"/>
            <w:tcBorders>
              <w:top w:val="nil"/>
              <w:left w:val="nil"/>
              <w:bottom w:val="nil"/>
              <w:right w:val="nil"/>
            </w:tcBorders>
            <w:shd w:val="clear" w:color="auto" w:fill="auto"/>
            <w:noWrap/>
            <w:vAlign w:val="center"/>
          </w:tcPr>
          <w:p w14:paraId="259C2DB2" w14:textId="36921B22" w:rsidR="000959B2" w:rsidRPr="00E20D21" w:rsidRDefault="000959B2" w:rsidP="000959B2">
            <w:pPr>
              <w:jc w:val="right"/>
              <w:rPr>
                <w:rFonts w:ascii="CAIXA Std Book" w:hAnsi="CAIXA Std Book"/>
                <w:color w:val="005CA9"/>
                <w:sz w:val="18"/>
                <w:szCs w:val="18"/>
              </w:rPr>
            </w:pPr>
            <w:r w:rsidRPr="00E20D21">
              <w:rPr>
                <w:rFonts w:ascii="CAIXA Std Book" w:hAnsi="CAIXA Std Book" w:cs="Arial"/>
                <w:color w:val="005CA9"/>
                <w:sz w:val="18"/>
                <w:szCs w:val="18"/>
              </w:rPr>
              <w:t>6.112.183</w:t>
            </w:r>
          </w:p>
        </w:tc>
        <w:tc>
          <w:tcPr>
            <w:tcW w:w="1030" w:type="pct"/>
            <w:tcBorders>
              <w:top w:val="nil"/>
              <w:left w:val="nil"/>
              <w:bottom w:val="nil"/>
              <w:right w:val="nil"/>
            </w:tcBorders>
            <w:vAlign w:val="center"/>
          </w:tcPr>
          <w:p w14:paraId="0886B4EC" w14:textId="2E8F65F5" w:rsidR="000959B2" w:rsidRPr="00E20D21" w:rsidRDefault="000959B2" w:rsidP="000959B2">
            <w:pPr>
              <w:jc w:val="right"/>
              <w:rPr>
                <w:rFonts w:ascii="CAIXA Std Book" w:hAnsi="CAIXA Std Book"/>
                <w:color w:val="005CA9"/>
                <w:sz w:val="18"/>
                <w:szCs w:val="18"/>
              </w:rPr>
            </w:pPr>
            <w:r w:rsidRPr="00E20D21">
              <w:rPr>
                <w:rFonts w:ascii="CAIXA Std Book" w:hAnsi="CAIXA Std Book" w:cs="Arial"/>
                <w:color w:val="005CA9"/>
                <w:sz w:val="18"/>
                <w:szCs w:val="18"/>
              </w:rPr>
              <w:t>6.112.183</w:t>
            </w:r>
          </w:p>
        </w:tc>
      </w:tr>
      <w:tr w:rsidR="000959B2" w:rsidRPr="00E20D21" w14:paraId="6B4347B1" w14:textId="77777777" w:rsidTr="00914948">
        <w:trPr>
          <w:trHeight w:val="283"/>
        </w:trPr>
        <w:tc>
          <w:tcPr>
            <w:tcW w:w="2940" w:type="pct"/>
            <w:tcBorders>
              <w:top w:val="nil"/>
              <w:left w:val="nil"/>
              <w:right w:val="nil"/>
            </w:tcBorders>
            <w:shd w:val="clear" w:color="auto" w:fill="auto"/>
            <w:noWrap/>
            <w:vAlign w:val="center"/>
            <w:hideMark/>
          </w:tcPr>
          <w:p w14:paraId="5C83877E" w14:textId="5A7EB2A9" w:rsidR="000959B2" w:rsidRPr="00E20D21" w:rsidRDefault="000959B2" w:rsidP="000959B2">
            <w:pPr>
              <w:rPr>
                <w:rFonts w:ascii="CAIXA Std Book" w:hAnsi="CAIXA Std Book"/>
                <w:color w:val="005CA9"/>
                <w:sz w:val="18"/>
                <w:szCs w:val="18"/>
              </w:rPr>
            </w:pPr>
            <w:r w:rsidRPr="00E20D21">
              <w:rPr>
                <w:rFonts w:ascii="CAIXA Std Book" w:hAnsi="CAIXA Std Book"/>
                <w:color w:val="005CA9"/>
                <w:sz w:val="18"/>
                <w:szCs w:val="18"/>
              </w:rPr>
              <w:t xml:space="preserve">Reserva estatutária – loterias </w:t>
            </w:r>
            <w:r w:rsidR="006B2DC4" w:rsidRPr="00E20D21">
              <w:rPr>
                <w:rFonts w:ascii="CAIXA Std Book" w:hAnsi="CAIXA Std Book"/>
                <w:color w:val="005CA9"/>
                <w:sz w:val="18"/>
                <w:szCs w:val="18"/>
              </w:rPr>
              <w:t>(</w:t>
            </w:r>
            <w:r w:rsidR="00941F9C" w:rsidRPr="00E20D21">
              <w:rPr>
                <w:rFonts w:ascii="CAIXA Std Book" w:hAnsi="CAIXA Std Book"/>
                <w:color w:val="005CA9"/>
                <w:sz w:val="18"/>
                <w:szCs w:val="18"/>
              </w:rPr>
              <w:t>1)</w:t>
            </w:r>
          </w:p>
        </w:tc>
        <w:tc>
          <w:tcPr>
            <w:tcW w:w="1030" w:type="pct"/>
            <w:tcBorders>
              <w:top w:val="nil"/>
              <w:left w:val="nil"/>
              <w:right w:val="nil"/>
            </w:tcBorders>
            <w:shd w:val="clear" w:color="auto" w:fill="auto"/>
            <w:noWrap/>
            <w:vAlign w:val="center"/>
          </w:tcPr>
          <w:p w14:paraId="3CF1CFD4" w14:textId="1E27B581" w:rsidR="000959B2" w:rsidRPr="00E20D21" w:rsidRDefault="000959B2" w:rsidP="000959B2">
            <w:pPr>
              <w:jc w:val="right"/>
              <w:rPr>
                <w:rFonts w:ascii="CAIXA Std Book" w:hAnsi="CAIXA Std Book"/>
                <w:color w:val="005CA9"/>
                <w:sz w:val="18"/>
                <w:szCs w:val="18"/>
              </w:rPr>
            </w:pPr>
            <w:r w:rsidRPr="00E20D21">
              <w:rPr>
                <w:rFonts w:ascii="CAIXA Std Book" w:hAnsi="CAIXA Std Book" w:cs="Arial"/>
                <w:color w:val="005CA9"/>
                <w:sz w:val="18"/>
                <w:szCs w:val="18"/>
              </w:rPr>
              <w:t>1</w:t>
            </w:r>
          </w:p>
        </w:tc>
        <w:tc>
          <w:tcPr>
            <w:tcW w:w="1030" w:type="pct"/>
            <w:tcBorders>
              <w:top w:val="nil"/>
              <w:left w:val="nil"/>
              <w:right w:val="nil"/>
            </w:tcBorders>
            <w:vAlign w:val="center"/>
          </w:tcPr>
          <w:p w14:paraId="0CC720AA" w14:textId="4E47448A" w:rsidR="000959B2" w:rsidRPr="00E20D21" w:rsidRDefault="000959B2" w:rsidP="000959B2">
            <w:pPr>
              <w:jc w:val="right"/>
              <w:rPr>
                <w:rFonts w:ascii="CAIXA Std Book" w:hAnsi="CAIXA Std Book"/>
                <w:color w:val="005CA9"/>
                <w:sz w:val="18"/>
                <w:szCs w:val="18"/>
              </w:rPr>
            </w:pPr>
            <w:r w:rsidRPr="00E20D21">
              <w:rPr>
                <w:rFonts w:ascii="CAIXA Std Book" w:hAnsi="CAIXA Std Book" w:cs="Arial"/>
                <w:color w:val="005CA9"/>
                <w:sz w:val="18"/>
                <w:szCs w:val="18"/>
              </w:rPr>
              <w:t>937.117</w:t>
            </w:r>
          </w:p>
        </w:tc>
      </w:tr>
      <w:tr w:rsidR="000959B2" w:rsidRPr="00E20D21" w14:paraId="6D9EBA77" w14:textId="77777777" w:rsidTr="00914948">
        <w:trPr>
          <w:trHeight w:val="283"/>
        </w:trPr>
        <w:tc>
          <w:tcPr>
            <w:tcW w:w="2940" w:type="pct"/>
            <w:tcBorders>
              <w:top w:val="nil"/>
              <w:left w:val="nil"/>
              <w:bottom w:val="single" w:sz="4" w:space="0" w:color="F79646"/>
              <w:right w:val="nil"/>
            </w:tcBorders>
            <w:shd w:val="clear" w:color="auto" w:fill="auto"/>
            <w:noWrap/>
            <w:vAlign w:val="center"/>
            <w:hideMark/>
          </w:tcPr>
          <w:p w14:paraId="0F224D9C" w14:textId="23F4FF21" w:rsidR="000959B2" w:rsidRPr="00E20D21" w:rsidRDefault="000959B2" w:rsidP="000959B2">
            <w:pPr>
              <w:rPr>
                <w:rFonts w:ascii="CAIXA Std Book" w:hAnsi="CAIXA Std Book"/>
                <w:color w:val="005CA9"/>
                <w:sz w:val="18"/>
                <w:szCs w:val="18"/>
              </w:rPr>
            </w:pPr>
            <w:r w:rsidRPr="00E20D21">
              <w:rPr>
                <w:rFonts w:ascii="CAIXA Std Book" w:hAnsi="CAIXA Std Book"/>
                <w:color w:val="005CA9"/>
                <w:sz w:val="18"/>
                <w:szCs w:val="18"/>
              </w:rPr>
              <w:t>Reservas estatutária - margem operacional</w:t>
            </w:r>
          </w:p>
        </w:tc>
        <w:tc>
          <w:tcPr>
            <w:tcW w:w="1030" w:type="pct"/>
            <w:tcBorders>
              <w:top w:val="nil"/>
              <w:left w:val="nil"/>
              <w:bottom w:val="single" w:sz="4" w:space="0" w:color="F79646"/>
              <w:right w:val="nil"/>
            </w:tcBorders>
            <w:shd w:val="clear" w:color="auto" w:fill="auto"/>
            <w:noWrap/>
            <w:vAlign w:val="center"/>
          </w:tcPr>
          <w:p w14:paraId="32081A56" w14:textId="746ADAA5" w:rsidR="000959B2" w:rsidRPr="00E20D21" w:rsidRDefault="000959B2" w:rsidP="000959B2">
            <w:pPr>
              <w:jc w:val="right"/>
              <w:rPr>
                <w:rFonts w:ascii="CAIXA Std Book" w:hAnsi="CAIXA Std Book"/>
                <w:color w:val="005CA9"/>
                <w:sz w:val="18"/>
                <w:szCs w:val="18"/>
              </w:rPr>
            </w:pPr>
            <w:r w:rsidRPr="00E20D21">
              <w:rPr>
                <w:rFonts w:ascii="CAIXA Std Book" w:hAnsi="CAIXA Std Book" w:cs="Arial"/>
                <w:color w:val="005CA9"/>
                <w:sz w:val="18"/>
                <w:szCs w:val="18"/>
              </w:rPr>
              <w:t>13.276.608</w:t>
            </w:r>
          </w:p>
        </w:tc>
        <w:tc>
          <w:tcPr>
            <w:tcW w:w="1030" w:type="pct"/>
            <w:tcBorders>
              <w:top w:val="nil"/>
              <w:left w:val="nil"/>
              <w:bottom w:val="single" w:sz="4" w:space="0" w:color="F79646"/>
              <w:right w:val="nil"/>
            </w:tcBorders>
            <w:vAlign w:val="center"/>
          </w:tcPr>
          <w:p w14:paraId="10E48294" w14:textId="1F1D487D" w:rsidR="000959B2" w:rsidRPr="00E20D21" w:rsidRDefault="000959B2" w:rsidP="000959B2">
            <w:pPr>
              <w:jc w:val="right"/>
              <w:rPr>
                <w:rFonts w:ascii="CAIXA Std Book" w:hAnsi="CAIXA Std Book" w:cs="Cambria Math"/>
                <w:color w:val="005CA9"/>
                <w:sz w:val="18"/>
                <w:szCs w:val="18"/>
              </w:rPr>
            </w:pPr>
            <w:r w:rsidRPr="00E20D21">
              <w:rPr>
                <w:rFonts w:ascii="CAIXA Std Book" w:hAnsi="CAIXA Std Book" w:cs="Arial"/>
                <w:color w:val="005CA9"/>
                <w:sz w:val="18"/>
                <w:szCs w:val="18"/>
              </w:rPr>
              <w:t>13.276.608</w:t>
            </w:r>
          </w:p>
        </w:tc>
      </w:tr>
    </w:tbl>
    <w:p w14:paraId="27CBAD56" w14:textId="400D14F3" w:rsidR="007B2DA0" w:rsidRPr="00E20D21" w:rsidRDefault="007B2DA0" w:rsidP="00AC43ED">
      <w:pPr>
        <w:rPr>
          <w:rFonts w:ascii="CAIXA Std Book" w:hAnsi="CAIXA Std Book"/>
          <w:color w:val="005CA9"/>
          <w:sz w:val="16"/>
          <w:szCs w:val="16"/>
        </w:rPr>
      </w:pPr>
      <w:r w:rsidRPr="00E20D21">
        <w:rPr>
          <w:rFonts w:ascii="CAIXA Std Book" w:hAnsi="CAIXA Std Book"/>
          <w:color w:val="005CA9"/>
          <w:sz w:val="16"/>
          <w:szCs w:val="16"/>
        </w:rPr>
        <w:t xml:space="preserve">(1) A variação </w:t>
      </w:r>
      <w:r w:rsidR="006E4D3D" w:rsidRPr="00E20D21">
        <w:rPr>
          <w:rFonts w:ascii="CAIXA Std Book" w:hAnsi="CAIXA Std Book"/>
          <w:color w:val="005CA9"/>
          <w:sz w:val="16"/>
          <w:szCs w:val="16"/>
        </w:rPr>
        <w:t>decorre</w:t>
      </w:r>
      <w:r w:rsidRPr="00E20D21">
        <w:rPr>
          <w:rFonts w:ascii="CAIXA Std Book" w:hAnsi="CAIXA Std Book"/>
          <w:color w:val="005CA9"/>
          <w:sz w:val="16"/>
          <w:szCs w:val="16"/>
        </w:rPr>
        <w:t xml:space="preserve"> da incorporação da Reserva de loterias ao Capital Social </w:t>
      </w:r>
      <w:r w:rsidR="006E4D3D" w:rsidRPr="00E20D21">
        <w:rPr>
          <w:rFonts w:ascii="CAIXA Std Book" w:hAnsi="CAIXA Std Book"/>
          <w:color w:val="005CA9"/>
          <w:sz w:val="16"/>
          <w:szCs w:val="16"/>
        </w:rPr>
        <w:t xml:space="preserve">ocorrida </w:t>
      </w:r>
      <w:r w:rsidRPr="00E20D21">
        <w:rPr>
          <w:rFonts w:ascii="CAIXA Std Book" w:hAnsi="CAIXA Std Book"/>
          <w:color w:val="005CA9"/>
          <w:sz w:val="16"/>
          <w:szCs w:val="16"/>
        </w:rPr>
        <w:t>em março</w:t>
      </w:r>
      <w:r w:rsidR="006E4D3D" w:rsidRPr="00E20D21">
        <w:rPr>
          <w:rFonts w:ascii="CAIXA Std Book" w:hAnsi="CAIXA Std Book"/>
          <w:color w:val="005CA9"/>
          <w:sz w:val="16"/>
          <w:szCs w:val="16"/>
        </w:rPr>
        <w:t xml:space="preserve"> de </w:t>
      </w:r>
      <w:r w:rsidRPr="00E20D21">
        <w:rPr>
          <w:rFonts w:ascii="CAIXA Std Book" w:hAnsi="CAIXA Std Book"/>
          <w:color w:val="005CA9"/>
          <w:sz w:val="16"/>
          <w:szCs w:val="16"/>
        </w:rPr>
        <w:t>2024</w:t>
      </w:r>
      <w:r w:rsidR="00344207" w:rsidRPr="00E20D21">
        <w:rPr>
          <w:rFonts w:ascii="CAIXA Std Book" w:hAnsi="CAIXA Std Book"/>
          <w:color w:val="005CA9"/>
          <w:sz w:val="16"/>
          <w:szCs w:val="16"/>
        </w:rPr>
        <w:t>.</w:t>
      </w:r>
    </w:p>
    <w:p w14:paraId="7D64511A" w14:textId="401AC89C" w:rsidR="00F02172" w:rsidRPr="00E20D21" w:rsidRDefault="003E1A54" w:rsidP="00F73E26">
      <w:pPr>
        <w:keepNext/>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lastRenderedPageBreak/>
        <w:t>(</w:t>
      </w:r>
      <w:r w:rsidR="00D33795" w:rsidRPr="00E20D21">
        <w:rPr>
          <w:rFonts w:ascii="CAIXA Std Book" w:hAnsi="CAIXA Std Book"/>
          <w:b/>
          <w:color w:val="005CA9"/>
          <w:sz w:val="20"/>
          <w:szCs w:val="20"/>
        </w:rPr>
        <w:t>d</w:t>
      </w:r>
      <w:r w:rsidRPr="00E20D21">
        <w:rPr>
          <w:rFonts w:ascii="CAIXA Std Book" w:hAnsi="CAIXA Std Book"/>
          <w:b/>
          <w:color w:val="005CA9"/>
          <w:sz w:val="20"/>
          <w:szCs w:val="20"/>
        </w:rPr>
        <w:t>)</w:t>
      </w:r>
      <w:r w:rsidRPr="00E20D21">
        <w:rPr>
          <w:rFonts w:ascii="CAIXA Std Book" w:hAnsi="CAIXA Std Book"/>
          <w:b/>
          <w:color w:val="005CA9"/>
          <w:sz w:val="20"/>
          <w:szCs w:val="20"/>
        </w:rPr>
        <w:tab/>
      </w:r>
      <w:r w:rsidR="00F02172" w:rsidRPr="00E20D21">
        <w:rPr>
          <w:rFonts w:ascii="CAIXA Std Book" w:hAnsi="CAIXA Std Book"/>
          <w:b/>
          <w:color w:val="005CA9"/>
          <w:sz w:val="20"/>
          <w:szCs w:val="20"/>
        </w:rPr>
        <w:t>Dividendos e juros sobre o capital próprio</w:t>
      </w:r>
    </w:p>
    <w:p w14:paraId="64C4F0F6" w14:textId="77777777" w:rsidR="002D038F" w:rsidRPr="00E20D21" w:rsidRDefault="002D038F" w:rsidP="00687FDF">
      <w:pPr>
        <w:spacing w:before="120" w:after="120"/>
        <w:ind w:right="139"/>
        <w:jc w:val="both"/>
        <w:rPr>
          <w:rFonts w:ascii="CAIXA Std Book" w:hAnsi="CAIXA Std Book"/>
          <w:color w:val="005CA9"/>
          <w:sz w:val="20"/>
          <w:szCs w:val="20"/>
        </w:rPr>
      </w:pPr>
      <w:bookmarkStart w:id="81" w:name="_Hlk65762744"/>
      <w:r w:rsidRPr="00E20D21">
        <w:rPr>
          <w:rFonts w:ascii="CAIXA Std Book" w:hAnsi="CAIXA Std Book"/>
          <w:color w:val="005CA9"/>
          <w:sz w:val="20"/>
          <w:szCs w:val="20"/>
        </w:rPr>
        <w:t xml:space="preserve">De acordo com o Estatuto Social e os parâmetros aprovados, a distribuição de resultado do exercício é de no mínimo 25% (vinte e cinco por cento) do Lucro Líquido Ajustado, conforme definido no Estatuto. </w:t>
      </w:r>
    </w:p>
    <w:p w14:paraId="725CE900" w14:textId="77777777" w:rsidR="002D038F" w:rsidRPr="00E20D21" w:rsidRDefault="002D038F" w:rsidP="00687FDF">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A distribuição de resultado do exercício é aprovada pela Assembleia Geral, após deliberação do Conselho de Administração, por proposta do Conselho Diretor e observado o </w:t>
      </w:r>
      <w:proofErr w:type="spellStart"/>
      <w:r w:rsidRPr="00E20D21">
        <w:rPr>
          <w:rFonts w:ascii="CAIXA Std Book" w:hAnsi="CAIXA Std Book"/>
          <w:color w:val="005CA9"/>
          <w:sz w:val="20"/>
          <w:szCs w:val="20"/>
        </w:rPr>
        <w:t>opinamento</w:t>
      </w:r>
      <w:proofErr w:type="spellEnd"/>
      <w:r w:rsidRPr="00E20D21">
        <w:rPr>
          <w:rFonts w:ascii="CAIXA Std Book" w:hAnsi="CAIXA Std Book"/>
          <w:color w:val="005CA9"/>
          <w:sz w:val="20"/>
          <w:szCs w:val="20"/>
        </w:rPr>
        <w:t xml:space="preserve"> do Conselho Fiscal, levando em consideração as previsões legais e as condições do Estatuto Social da CAIXA.</w:t>
      </w:r>
    </w:p>
    <w:bookmarkEnd w:id="81"/>
    <w:p w14:paraId="47E95EFF" w14:textId="5A490F20" w:rsidR="0070142E" w:rsidRPr="00E20D21" w:rsidRDefault="004724BD" w:rsidP="00244FB9">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Para efeito do cálculo da obrigação com dividendos</w:t>
      </w:r>
      <w:r w:rsidR="00F855EB" w:rsidRPr="00E20D21">
        <w:rPr>
          <w:rFonts w:ascii="CAIXA Std Book" w:hAnsi="CAIXA Std Book"/>
          <w:color w:val="005CA9"/>
          <w:sz w:val="20"/>
          <w:szCs w:val="20"/>
        </w:rPr>
        <w:t>,</w:t>
      </w:r>
      <w:r w:rsidRPr="00E20D21">
        <w:rPr>
          <w:rFonts w:ascii="CAIXA Std Book" w:hAnsi="CAIXA Std Book"/>
          <w:color w:val="005CA9"/>
          <w:sz w:val="20"/>
          <w:szCs w:val="20"/>
        </w:rPr>
        <w:t xml:space="preserve"> são computados os juros sobre o capital próprio, calculado pela remuneração da TJLP do período sobre o patrimônio líquido ajustado, limitado a 50% do lucro líquido do período</w:t>
      </w:r>
      <w:r w:rsidR="00244FB9" w:rsidRPr="00E20D21">
        <w:rPr>
          <w:rFonts w:ascii="CAIXA Std Book" w:hAnsi="CAIXA Std Book"/>
          <w:color w:val="005CA9"/>
          <w:sz w:val="20"/>
          <w:szCs w:val="20"/>
        </w:rPr>
        <w:t>.</w:t>
      </w:r>
      <w:r w:rsidR="00490CFE" w:rsidRPr="00E20D21">
        <w:rPr>
          <w:rFonts w:ascii="CAIXA Std Book" w:hAnsi="CAIXA Std Book"/>
          <w:color w:val="005CA9"/>
          <w:sz w:val="20"/>
          <w:szCs w:val="20"/>
        </w:rPr>
        <w:t xml:space="preserve"> </w:t>
      </w:r>
    </w:p>
    <w:p w14:paraId="6B024D3A" w14:textId="77777777" w:rsidR="00D56A48" w:rsidRPr="00E20D21" w:rsidRDefault="00D56A48" w:rsidP="00D56A48">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Em 26/03/2024, a CAIXA efetuou o pagamento, à Secretaria do Tesouro Nacional, dos juros sobre o capital próprio e dividendos referentes ao exercício de 2023, totalizando o montante de R$ 2.792.630.</w:t>
      </w:r>
    </w:p>
    <w:p w14:paraId="5218F735" w14:textId="603AB973" w:rsidR="00814F49" w:rsidRPr="00E20D21" w:rsidRDefault="00814F49" w:rsidP="00FD7768">
      <w:pPr>
        <w:pStyle w:val="Ttulo1"/>
      </w:pPr>
      <w:bookmarkStart w:id="82" w:name="_Toc175067964"/>
      <w:bookmarkStart w:id="83" w:name="_Toc380688052"/>
      <w:bookmarkStart w:id="84" w:name="_Toc18330283"/>
      <w:bookmarkStart w:id="85" w:name="_Toc18683203"/>
      <w:r w:rsidRPr="00E20D21">
        <w:t>Nota 24 – Receitas de prestação de serviços e tarifas bancárias</w:t>
      </w:r>
      <w:bookmarkEnd w:id="82"/>
    </w:p>
    <w:p w14:paraId="22D091B5" w14:textId="725711A9" w:rsidR="00814F49" w:rsidRPr="00E20D21" w:rsidRDefault="00814F49" w:rsidP="00687FDF">
      <w:pPr>
        <w:spacing w:before="120" w:after="120"/>
        <w:ind w:right="139"/>
        <w:jc w:val="both"/>
        <w:rPr>
          <w:rFonts w:ascii="CAIXA Std Book" w:eastAsiaTheme="minorHAnsi" w:hAnsi="CAIXA Std Book" w:cstheme="minorBidi"/>
          <w:color w:val="005CA9"/>
          <w:sz w:val="20"/>
          <w:szCs w:val="20"/>
          <w:lang w:eastAsia="en-US"/>
        </w:rPr>
      </w:pPr>
      <w:bookmarkStart w:id="86" w:name="_Hlk65762760"/>
      <w:r w:rsidRPr="00E20D21">
        <w:rPr>
          <w:rFonts w:ascii="CAIXA Std Book" w:eastAsiaTheme="minorHAnsi" w:hAnsi="CAIXA Std Book" w:cstheme="minorBidi"/>
          <w:color w:val="005CA9"/>
          <w:sz w:val="20"/>
          <w:szCs w:val="20"/>
          <w:lang w:eastAsia="en-US"/>
        </w:rPr>
        <w:t>Além dos serviços típicos de instituição financeira, por delegação do Governo Federal, a CAIXA exerce o papel de agente operador de fundos e programas, destacando-se o Fundo de Garantia do Tempo de Serviço (FGTS), e</w:t>
      </w:r>
      <w:r w:rsidR="00AC0636" w:rsidRPr="00E20D21">
        <w:rPr>
          <w:rFonts w:ascii="CAIXA Std Book" w:eastAsiaTheme="minorHAnsi" w:hAnsi="CAIXA Std Book" w:cstheme="minorBidi"/>
          <w:color w:val="005CA9"/>
          <w:sz w:val="20"/>
          <w:szCs w:val="20"/>
          <w:lang w:eastAsia="en-US"/>
        </w:rPr>
        <w:t>,</w:t>
      </w:r>
      <w:r w:rsidRPr="00E20D21">
        <w:rPr>
          <w:rFonts w:ascii="CAIXA Std Book" w:eastAsiaTheme="minorHAnsi" w:hAnsi="CAIXA Std Book" w:cstheme="minorBidi"/>
          <w:color w:val="005CA9"/>
          <w:sz w:val="20"/>
          <w:szCs w:val="20"/>
          <w:lang w:eastAsia="en-US"/>
        </w:rPr>
        <w:t xml:space="preserve"> em regime de exclusividade, as Loterias Federais.</w:t>
      </w:r>
    </w:p>
    <w:p w14:paraId="7D0702EE" w14:textId="492D212B" w:rsidR="00053845" w:rsidRPr="00E20D21" w:rsidRDefault="00814F49" w:rsidP="009E3E9D">
      <w:pPr>
        <w:spacing w:before="120" w:after="240"/>
        <w:ind w:right="142"/>
        <w:jc w:val="both"/>
        <w:rPr>
          <w:rFonts w:ascii="CAIXA Std Book" w:hAnsi="CAIXA Std Book"/>
          <w:color w:val="005CA9"/>
          <w:sz w:val="20"/>
          <w:szCs w:val="20"/>
        </w:rPr>
      </w:pPr>
      <w:r w:rsidRPr="00E20D21">
        <w:rPr>
          <w:rFonts w:ascii="CAIXA Std Book" w:hAnsi="CAIXA Std Book"/>
          <w:color w:val="005CA9"/>
          <w:sz w:val="20"/>
          <w:szCs w:val="20"/>
        </w:rPr>
        <w:t xml:space="preserve">Como principal parceira do Governo Federal na execução dos programas sociais, a CAIXA recebe tarifas decorrentes da prestação do serviço de pagamento dos programas de transferência de renda, destacando-se o Programa </w:t>
      </w:r>
      <w:r w:rsidR="00C64C24" w:rsidRPr="00E20D21">
        <w:rPr>
          <w:rFonts w:ascii="CAIXA Std Book" w:hAnsi="CAIXA Std Book"/>
          <w:color w:val="005CA9"/>
          <w:sz w:val="20"/>
          <w:szCs w:val="20"/>
        </w:rPr>
        <w:t>Novo</w:t>
      </w:r>
      <w:r w:rsidRPr="00E20D21">
        <w:rPr>
          <w:rFonts w:ascii="CAIXA Std Book" w:hAnsi="CAIXA Std Book"/>
          <w:color w:val="005CA9"/>
          <w:sz w:val="20"/>
          <w:szCs w:val="20"/>
        </w:rPr>
        <w:t xml:space="preserve"> </w:t>
      </w:r>
      <w:r w:rsidR="00C5124A" w:rsidRPr="00E20D21">
        <w:rPr>
          <w:rFonts w:ascii="CAIXA Std Book" w:hAnsi="CAIXA Std Book"/>
          <w:color w:val="005CA9"/>
          <w:sz w:val="20"/>
          <w:szCs w:val="20"/>
        </w:rPr>
        <w:t>Bolsa Família</w:t>
      </w:r>
      <w:r w:rsidRPr="00E20D21">
        <w:rPr>
          <w:rFonts w:ascii="CAIXA Std Book" w:hAnsi="CAIXA Std Book"/>
          <w:color w:val="005CA9"/>
          <w:sz w:val="20"/>
          <w:szCs w:val="20"/>
        </w:rPr>
        <w:t>, Seguro Desemprego</w:t>
      </w:r>
      <w:r w:rsidR="00D46D09" w:rsidRPr="00E20D21">
        <w:rPr>
          <w:rFonts w:ascii="CAIXA Std Book" w:hAnsi="CAIXA Std Book"/>
          <w:color w:val="005CA9"/>
          <w:sz w:val="20"/>
          <w:szCs w:val="20"/>
        </w:rPr>
        <w:t xml:space="preserve"> e</w:t>
      </w:r>
      <w:r w:rsidRPr="00E20D21">
        <w:rPr>
          <w:rFonts w:ascii="CAIXA Std Book" w:hAnsi="CAIXA Std Book"/>
          <w:color w:val="005CA9"/>
          <w:sz w:val="20"/>
          <w:szCs w:val="20"/>
        </w:rPr>
        <w:t xml:space="preserve"> Abono Salarial.</w:t>
      </w:r>
    </w:p>
    <w:tbl>
      <w:tblPr>
        <w:tblW w:w="5000" w:type="pct"/>
        <w:tblCellMar>
          <w:left w:w="70" w:type="dxa"/>
          <w:right w:w="70" w:type="dxa"/>
        </w:tblCellMar>
        <w:tblLook w:val="04A0" w:firstRow="1" w:lastRow="0" w:firstColumn="1" w:lastColumn="0" w:noHBand="0" w:noVBand="1"/>
      </w:tblPr>
      <w:tblGrid>
        <w:gridCol w:w="4685"/>
        <w:gridCol w:w="1237"/>
        <w:gridCol w:w="1239"/>
        <w:gridCol w:w="1237"/>
        <w:gridCol w:w="1239"/>
      </w:tblGrid>
      <w:tr w:rsidR="00053845" w:rsidRPr="00E20D21" w14:paraId="3A8D553D" w14:textId="77777777" w:rsidTr="00FA5C64">
        <w:trPr>
          <w:trHeight w:val="283"/>
        </w:trPr>
        <w:tc>
          <w:tcPr>
            <w:tcW w:w="2430" w:type="pct"/>
            <w:vMerge w:val="restart"/>
            <w:tcBorders>
              <w:top w:val="single" w:sz="4" w:space="0" w:color="F39200"/>
              <w:left w:val="nil"/>
              <w:bottom w:val="single" w:sz="4" w:space="0" w:color="F39200"/>
              <w:right w:val="nil"/>
            </w:tcBorders>
            <w:shd w:val="clear" w:color="auto" w:fill="auto"/>
            <w:noWrap/>
            <w:vAlign w:val="center"/>
            <w:hideMark/>
          </w:tcPr>
          <w:p w14:paraId="112DF0E0"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Descrição</w:t>
            </w:r>
          </w:p>
        </w:tc>
        <w:tc>
          <w:tcPr>
            <w:tcW w:w="1285" w:type="pct"/>
            <w:gridSpan w:val="2"/>
            <w:tcBorders>
              <w:top w:val="single" w:sz="4" w:space="0" w:color="F39200"/>
              <w:left w:val="nil"/>
              <w:bottom w:val="nil"/>
              <w:right w:val="nil"/>
            </w:tcBorders>
            <w:shd w:val="clear" w:color="auto" w:fill="auto"/>
            <w:noWrap/>
            <w:vAlign w:val="center"/>
            <w:hideMark/>
          </w:tcPr>
          <w:p w14:paraId="2A7E8B55"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INDIVIDUAL</w:t>
            </w:r>
          </w:p>
        </w:tc>
        <w:tc>
          <w:tcPr>
            <w:tcW w:w="1285" w:type="pct"/>
            <w:gridSpan w:val="2"/>
            <w:tcBorders>
              <w:top w:val="single" w:sz="4" w:space="0" w:color="F39200"/>
              <w:left w:val="nil"/>
              <w:bottom w:val="nil"/>
              <w:right w:val="nil"/>
            </w:tcBorders>
            <w:shd w:val="clear" w:color="auto" w:fill="auto"/>
            <w:noWrap/>
            <w:vAlign w:val="center"/>
            <w:hideMark/>
          </w:tcPr>
          <w:p w14:paraId="53B3FA12"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CONSOLIDADO</w:t>
            </w:r>
          </w:p>
        </w:tc>
      </w:tr>
      <w:tr w:rsidR="00053845" w:rsidRPr="00E20D21" w14:paraId="495E50A8" w14:textId="77777777" w:rsidTr="00FA5C64">
        <w:trPr>
          <w:trHeight w:val="283"/>
        </w:trPr>
        <w:tc>
          <w:tcPr>
            <w:tcW w:w="2430" w:type="pct"/>
            <w:vMerge/>
            <w:tcBorders>
              <w:top w:val="single" w:sz="4" w:space="0" w:color="F39200"/>
              <w:left w:val="nil"/>
              <w:bottom w:val="single" w:sz="4" w:space="0" w:color="F39200"/>
              <w:right w:val="nil"/>
            </w:tcBorders>
            <w:vAlign w:val="center"/>
            <w:hideMark/>
          </w:tcPr>
          <w:p w14:paraId="5B0BD0B0" w14:textId="77777777" w:rsidR="00053845" w:rsidRPr="00E20D21" w:rsidRDefault="00053845" w:rsidP="00053845">
            <w:pPr>
              <w:rPr>
                <w:rFonts w:ascii="CAIXA Std Book" w:eastAsia="Times New Roman" w:hAnsi="CAIXA Std Book" w:cs="Calibri"/>
                <w:b/>
                <w:bCs/>
                <w:color w:val="005CA9"/>
                <w:sz w:val="18"/>
                <w:szCs w:val="18"/>
              </w:rPr>
            </w:pPr>
          </w:p>
        </w:tc>
        <w:tc>
          <w:tcPr>
            <w:tcW w:w="642" w:type="pct"/>
            <w:tcBorders>
              <w:top w:val="single" w:sz="4" w:space="0" w:color="F79646"/>
              <w:left w:val="nil"/>
              <w:bottom w:val="single" w:sz="4" w:space="0" w:color="F79646"/>
              <w:right w:val="nil"/>
            </w:tcBorders>
            <w:shd w:val="clear" w:color="auto" w:fill="auto"/>
            <w:vAlign w:val="center"/>
            <w:hideMark/>
          </w:tcPr>
          <w:p w14:paraId="6F51CD5F"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2024</w:t>
            </w:r>
          </w:p>
        </w:tc>
        <w:tc>
          <w:tcPr>
            <w:tcW w:w="642" w:type="pct"/>
            <w:tcBorders>
              <w:top w:val="single" w:sz="4" w:space="0" w:color="F79646"/>
              <w:left w:val="nil"/>
              <w:bottom w:val="single" w:sz="4" w:space="0" w:color="F79646"/>
              <w:right w:val="nil"/>
            </w:tcBorders>
            <w:shd w:val="clear" w:color="auto" w:fill="auto"/>
            <w:vAlign w:val="center"/>
            <w:hideMark/>
          </w:tcPr>
          <w:p w14:paraId="3040A2C2"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2023</w:t>
            </w:r>
          </w:p>
        </w:tc>
        <w:tc>
          <w:tcPr>
            <w:tcW w:w="642" w:type="pct"/>
            <w:tcBorders>
              <w:top w:val="single" w:sz="4" w:space="0" w:color="F79646"/>
              <w:left w:val="nil"/>
              <w:bottom w:val="single" w:sz="4" w:space="0" w:color="F79646"/>
              <w:right w:val="nil"/>
            </w:tcBorders>
            <w:shd w:val="clear" w:color="auto" w:fill="auto"/>
            <w:vAlign w:val="center"/>
            <w:hideMark/>
          </w:tcPr>
          <w:p w14:paraId="3AB0C006"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2024</w:t>
            </w:r>
          </w:p>
        </w:tc>
        <w:tc>
          <w:tcPr>
            <w:tcW w:w="643" w:type="pct"/>
            <w:tcBorders>
              <w:top w:val="single" w:sz="4" w:space="0" w:color="F79646"/>
              <w:left w:val="nil"/>
              <w:bottom w:val="single" w:sz="4" w:space="0" w:color="F79646"/>
              <w:right w:val="nil"/>
            </w:tcBorders>
            <w:shd w:val="clear" w:color="auto" w:fill="auto"/>
            <w:vAlign w:val="center"/>
            <w:hideMark/>
          </w:tcPr>
          <w:p w14:paraId="29C36DF6"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2023</w:t>
            </w:r>
          </w:p>
        </w:tc>
      </w:tr>
      <w:tr w:rsidR="00053845" w:rsidRPr="00E20D21" w14:paraId="41396E59" w14:textId="77777777" w:rsidTr="00FA5C64">
        <w:trPr>
          <w:trHeight w:val="283"/>
        </w:trPr>
        <w:tc>
          <w:tcPr>
            <w:tcW w:w="2430" w:type="pct"/>
            <w:vMerge/>
            <w:tcBorders>
              <w:top w:val="single" w:sz="4" w:space="0" w:color="F39200"/>
              <w:left w:val="nil"/>
              <w:bottom w:val="single" w:sz="4" w:space="0" w:color="F39200"/>
              <w:right w:val="nil"/>
            </w:tcBorders>
            <w:vAlign w:val="center"/>
            <w:hideMark/>
          </w:tcPr>
          <w:p w14:paraId="42491226" w14:textId="77777777" w:rsidR="00053845" w:rsidRPr="00E20D21" w:rsidRDefault="00053845" w:rsidP="00053845">
            <w:pPr>
              <w:rPr>
                <w:rFonts w:ascii="CAIXA Std Book" w:eastAsia="Times New Roman" w:hAnsi="CAIXA Std Book" w:cs="Calibri"/>
                <w:b/>
                <w:bCs/>
                <w:color w:val="005CA9"/>
                <w:sz w:val="18"/>
                <w:szCs w:val="18"/>
              </w:rPr>
            </w:pPr>
          </w:p>
        </w:tc>
        <w:tc>
          <w:tcPr>
            <w:tcW w:w="642" w:type="pct"/>
            <w:tcBorders>
              <w:top w:val="nil"/>
              <w:left w:val="nil"/>
              <w:bottom w:val="single" w:sz="4" w:space="0" w:color="F39200"/>
              <w:right w:val="nil"/>
            </w:tcBorders>
            <w:shd w:val="clear" w:color="auto" w:fill="auto"/>
            <w:vAlign w:val="center"/>
            <w:hideMark/>
          </w:tcPr>
          <w:p w14:paraId="084A22D6"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1º semestre</w:t>
            </w:r>
          </w:p>
        </w:tc>
        <w:tc>
          <w:tcPr>
            <w:tcW w:w="642" w:type="pct"/>
            <w:tcBorders>
              <w:top w:val="nil"/>
              <w:left w:val="nil"/>
              <w:bottom w:val="single" w:sz="4" w:space="0" w:color="F39200"/>
              <w:right w:val="nil"/>
            </w:tcBorders>
            <w:shd w:val="clear" w:color="auto" w:fill="auto"/>
            <w:vAlign w:val="center"/>
            <w:hideMark/>
          </w:tcPr>
          <w:p w14:paraId="1F2715DB"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1º semestre</w:t>
            </w:r>
          </w:p>
        </w:tc>
        <w:tc>
          <w:tcPr>
            <w:tcW w:w="642" w:type="pct"/>
            <w:tcBorders>
              <w:top w:val="nil"/>
              <w:left w:val="nil"/>
              <w:bottom w:val="single" w:sz="4" w:space="0" w:color="F39200"/>
              <w:right w:val="nil"/>
            </w:tcBorders>
            <w:shd w:val="clear" w:color="auto" w:fill="auto"/>
            <w:vAlign w:val="center"/>
            <w:hideMark/>
          </w:tcPr>
          <w:p w14:paraId="397E292F"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1º semestre</w:t>
            </w:r>
          </w:p>
        </w:tc>
        <w:tc>
          <w:tcPr>
            <w:tcW w:w="643" w:type="pct"/>
            <w:tcBorders>
              <w:top w:val="nil"/>
              <w:left w:val="nil"/>
              <w:bottom w:val="single" w:sz="4" w:space="0" w:color="F39200"/>
              <w:right w:val="nil"/>
            </w:tcBorders>
            <w:shd w:val="clear" w:color="auto" w:fill="auto"/>
            <w:vAlign w:val="center"/>
            <w:hideMark/>
          </w:tcPr>
          <w:p w14:paraId="37FEB383" w14:textId="77777777" w:rsidR="00053845" w:rsidRPr="00E20D21" w:rsidRDefault="00053845" w:rsidP="00053845">
            <w:pPr>
              <w:jc w:val="cente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1º semestre</w:t>
            </w:r>
          </w:p>
        </w:tc>
      </w:tr>
      <w:tr w:rsidR="003F7821" w:rsidRPr="00E20D21" w14:paraId="55D6FB98" w14:textId="77777777" w:rsidTr="00FA5C64">
        <w:trPr>
          <w:trHeight w:val="283"/>
        </w:trPr>
        <w:tc>
          <w:tcPr>
            <w:tcW w:w="2430" w:type="pct"/>
            <w:tcBorders>
              <w:top w:val="nil"/>
              <w:left w:val="nil"/>
              <w:bottom w:val="nil"/>
              <w:right w:val="nil"/>
            </w:tcBorders>
            <w:shd w:val="clear" w:color="auto" w:fill="auto"/>
            <w:noWrap/>
            <w:vAlign w:val="center"/>
            <w:hideMark/>
          </w:tcPr>
          <w:p w14:paraId="534B2A4B" w14:textId="77777777" w:rsidR="003F7821" w:rsidRPr="00E20D21" w:rsidRDefault="003F7821" w:rsidP="003F7821">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Serviços de Governo</w:t>
            </w:r>
          </w:p>
        </w:tc>
        <w:tc>
          <w:tcPr>
            <w:tcW w:w="642" w:type="pct"/>
            <w:tcBorders>
              <w:top w:val="nil"/>
              <w:left w:val="nil"/>
              <w:bottom w:val="nil"/>
              <w:right w:val="nil"/>
            </w:tcBorders>
            <w:shd w:val="clear" w:color="auto" w:fill="auto"/>
            <w:noWrap/>
            <w:vAlign w:val="center"/>
            <w:hideMark/>
          </w:tcPr>
          <w:p w14:paraId="05A2508C" w14:textId="6302CEDA"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4.690.146</w:t>
            </w:r>
          </w:p>
        </w:tc>
        <w:tc>
          <w:tcPr>
            <w:tcW w:w="642" w:type="pct"/>
            <w:tcBorders>
              <w:top w:val="nil"/>
              <w:left w:val="nil"/>
              <w:bottom w:val="nil"/>
              <w:right w:val="nil"/>
            </w:tcBorders>
            <w:shd w:val="clear" w:color="auto" w:fill="auto"/>
            <w:noWrap/>
            <w:vAlign w:val="center"/>
            <w:hideMark/>
          </w:tcPr>
          <w:p w14:paraId="3EF8C168"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4.477.888</w:t>
            </w:r>
          </w:p>
        </w:tc>
        <w:tc>
          <w:tcPr>
            <w:tcW w:w="642" w:type="pct"/>
            <w:tcBorders>
              <w:top w:val="nil"/>
              <w:left w:val="nil"/>
              <w:bottom w:val="nil"/>
              <w:right w:val="nil"/>
            </w:tcBorders>
            <w:shd w:val="clear" w:color="auto" w:fill="auto"/>
            <w:noWrap/>
            <w:vAlign w:val="center"/>
            <w:hideMark/>
          </w:tcPr>
          <w:p w14:paraId="6820959C" w14:textId="455FF6F9"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4.746.171</w:t>
            </w:r>
          </w:p>
        </w:tc>
        <w:tc>
          <w:tcPr>
            <w:tcW w:w="643" w:type="pct"/>
            <w:tcBorders>
              <w:top w:val="nil"/>
              <w:left w:val="nil"/>
              <w:bottom w:val="nil"/>
              <w:right w:val="nil"/>
            </w:tcBorders>
            <w:shd w:val="clear" w:color="auto" w:fill="auto"/>
            <w:noWrap/>
            <w:vAlign w:val="center"/>
            <w:hideMark/>
          </w:tcPr>
          <w:p w14:paraId="451871EA"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4.477.888</w:t>
            </w:r>
          </w:p>
        </w:tc>
      </w:tr>
      <w:tr w:rsidR="003F7821" w:rsidRPr="00E20D21" w14:paraId="70FC1428" w14:textId="77777777" w:rsidTr="00FA5C64">
        <w:trPr>
          <w:trHeight w:val="283"/>
        </w:trPr>
        <w:tc>
          <w:tcPr>
            <w:tcW w:w="2430" w:type="pct"/>
            <w:tcBorders>
              <w:top w:val="nil"/>
              <w:left w:val="nil"/>
              <w:bottom w:val="nil"/>
              <w:right w:val="nil"/>
            </w:tcBorders>
            <w:shd w:val="clear" w:color="auto" w:fill="auto"/>
            <w:noWrap/>
            <w:vAlign w:val="center"/>
            <w:hideMark/>
          </w:tcPr>
          <w:p w14:paraId="337ECB0A" w14:textId="77777777" w:rsidR="003F7821" w:rsidRPr="00E20D21" w:rsidRDefault="003F7821" w:rsidP="003F7821">
            <w:pPr>
              <w:ind w:firstLineChars="100" w:firstLine="18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Administração e fomento de entidades e programas</w:t>
            </w:r>
          </w:p>
        </w:tc>
        <w:tc>
          <w:tcPr>
            <w:tcW w:w="642" w:type="pct"/>
            <w:tcBorders>
              <w:top w:val="nil"/>
              <w:left w:val="nil"/>
              <w:bottom w:val="nil"/>
              <w:right w:val="nil"/>
            </w:tcBorders>
            <w:shd w:val="clear" w:color="auto" w:fill="auto"/>
            <w:noWrap/>
            <w:vAlign w:val="center"/>
            <w:hideMark/>
          </w:tcPr>
          <w:p w14:paraId="224009CA" w14:textId="3EE9CB12"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3.740.647</w:t>
            </w:r>
          </w:p>
        </w:tc>
        <w:tc>
          <w:tcPr>
            <w:tcW w:w="642" w:type="pct"/>
            <w:tcBorders>
              <w:top w:val="nil"/>
              <w:left w:val="nil"/>
              <w:bottom w:val="nil"/>
              <w:right w:val="nil"/>
            </w:tcBorders>
            <w:shd w:val="clear" w:color="auto" w:fill="auto"/>
            <w:noWrap/>
            <w:vAlign w:val="center"/>
            <w:hideMark/>
          </w:tcPr>
          <w:p w14:paraId="0DC444FB"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3.650.182</w:t>
            </w:r>
          </w:p>
        </w:tc>
        <w:tc>
          <w:tcPr>
            <w:tcW w:w="642" w:type="pct"/>
            <w:tcBorders>
              <w:top w:val="nil"/>
              <w:left w:val="nil"/>
              <w:bottom w:val="nil"/>
              <w:right w:val="nil"/>
            </w:tcBorders>
            <w:shd w:val="clear" w:color="auto" w:fill="auto"/>
            <w:noWrap/>
            <w:vAlign w:val="center"/>
            <w:hideMark/>
          </w:tcPr>
          <w:p w14:paraId="3D97064F" w14:textId="48476B82"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3.796.672</w:t>
            </w:r>
          </w:p>
        </w:tc>
        <w:tc>
          <w:tcPr>
            <w:tcW w:w="643" w:type="pct"/>
            <w:tcBorders>
              <w:top w:val="nil"/>
              <w:left w:val="nil"/>
              <w:bottom w:val="nil"/>
              <w:right w:val="nil"/>
            </w:tcBorders>
            <w:shd w:val="clear" w:color="auto" w:fill="auto"/>
            <w:noWrap/>
            <w:vAlign w:val="center"/>
            <w:hideMark/>
          </w:tcPr>
          <w:p w14:paraId="65D9D638"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3.650.182</w:t>
            </w:r>
          </w:p>
        </w:tc>
      </w:tr>
      <w:tr w:rsidR="003F7821" w:rsidRPr="00E20D21" w14:paraId="2D7E8CEF" w14:textId="77777777" w:rsidTr="00FA5C64">
        <w:trPr>
          <w:trHeight w:val="283"/>
        </w:trPr>
        <w:tc>
          <w:tcPr>
            <w:tcW w:w="2430" w:type="pct"/>
            <w:tcBorders>
              <w:top w:val="nil"/>
              <w:left w:val="nil"/>
              <w:bottom w:val="nil"/>
              <w:right w:val="nil"/>
            </w:tcBorders>
            <w:shd w:val="clear" w:color="auto" w:fill="auto"/>
            <w:noWrap/>
            <w:vAlign w:val="center"/>
            <w:hideMark/>
          </w:tcPr>
          <w:p w14:paraId="119E3F5D" w14:textId="77777777" w:rsidR="003F7821" w:rsidRPr="00E20D21" w:rsidRDefault="003F7821" w:rsidP="003F7821">
            <w:pPr>
              <w:ind w:firstLineChars="200" w:firstLine="36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FGTS</w:t>
            </w:r>
          </w:p>
        </w:tc>
        <w:tc>
          <w:tcPr>
            <w:tcW w:w="642" w:type="pct"/>
            <w:tcBorders>
              <w:top w:val="nil"/>
              <w:left w:val="nil"/>
              <w:bottom w:val="nil"/>
              <w:right w:val="nil"/>
            </w:tcBorders>
            <w:shd w:val="clear" w:color="auto" w:fill="auto"/>
            <w:noWrap/>
            <w:vAlign w:val="center"/>
            <w:hideMark/>
          </w:tcPr>
          <w:p w14:paraId="7EF19DEF" w14:textId="31E1F1F7"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1.564.926</w:t>
            </w:r>
          </w:p>
        </w:tc>
        <w:tc>
          <w:tcPr>
            <w:tcW w:w="642" w:type="pct"/>
            <w:tcBorders>
              <w:top w:val="nil"/>
              <w:left w:val="nil"/>
              <w:bottom w:val="nil"/>
              <w:right w:val="nil"/>
            </w:tcBorders>
            <w:shd w:val="clear" w:color="auto" w:fill="auto"/>
            <w:noWrap/>
            <w:vAlign w:val="center"/>
            <w:hideMark/>
          </w:tcPr>
          <w:p w14:paraId="1644E126"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1.442.440</w:t>
            </w:r>
          </w:p>
        </w:tc>
        <w:tc>
          <w:tcPr>
            <w:tcW w:w="642" w:type="pct"/>
            <w:tcBorders>
              <w:top w:val="nil"/>
              <w:left w:val="nil"/>
              <w:bottom w:val="nil"/>
              <w:right w:val="nil"/>
            </w:tcBorders>
            <w:shd w:val="clear" w:color="auto" w:fill="auto"/>
            <w:noWrap/>
            <w:vAlign w:val="center"/>
            <w:hideMark/>
          </w:tcPr>
          <w:p w14:paraId="6B7E2414" w14:textId="105ECEC9"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1.564.926</w:t>
            </w:r>
          </w:p>
        </w:tc>
        <w:tc>
          <w:tcPr>
            <w:tcW w:w="643" w:type="pct"/>
            <w:tcBorders>
              <w:top w:val="nil"/>
              <w:left w:val="nil"/>
              <w:bottom w:val="nil"/>
              <w:right w:val="nil"/>
            </w:tcBorders>
            <w:shd w:val="clear" w:color="auto" w:fill="auto"/>
            <w:vAlign w:val="center"/>
            <w:hideMark/>
          </w:tcPr>
          <w:p w14:paraId="613AF2B9"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1.442.440</w:t>
            </w:r>
          </w:p>
        </w:tc>
      </w:tr>
      <w:tr w:rsidR="003F7821" w:rsidRPr="00E20D21" w14:paraId="5A7E6F70" w14:textId="77777777" w:rsidTr="00FA5C64">
        <w:trPr>
          <w:trHeight w:val="283"/>
        </w:trPr>
        <w:tc>
          <w:tcPr>
            <w:tcW w:w="2430" w:type="pct"/>
            <w:tcBorders>
              <w:top w:val="nil"/>
              <w:left w:val="nil"/>
              <w:bottom w:val="nil"/>
              <w:right w:val="nil"/>
            </w:tcBorders>
            <w:shd w:val="clear" w:color="auto" w:fill="auto"/>
            <w:noWrap/>
            <w:vAlign w:val="center"/>
            <w:hideMark/>
          </w:tcPr>
          <w:p w14:paraId="6AF16B9D" w14:textId="77777777" w:rsidR="003F7821" w:rsidRPr="00E20D21" w:rsidRDefault="003F7821" w:rsidP="003F7821">
            <w:pPr>
              <w:ind w:firstLineChars="200" w:firstLine="36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Loterias</w:t>
            </w:r>
          </w:p>
        </w:tc>
        <w:tc>
          <w:tcPr>
            <w:tcW w:w="642" w:type="pct"/>
            <w:tcBorders>
              <w:top w:val="nil"/>
              <w:left w:val="nil"/>
              <w:bottom w:val="nil"/>
              <w:right w:val="nil"/>
            </w:tcBorders>
            <w:shd w:val="clear" w:color="auto" w:fill="auto"/>
            <w:noWrap/>
            <w:vAlign w:val="center"/>
            <w:hideMark/>
          </w:tcPr>
          <w:p w14:paraId="4ABA481E" w14:textId="2B3336C8"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1.317.273</w:t>
            </w:r>
          </w:p>
        </w:tc>
        <w:tc>
          <w:tcPr>
            <w:tcW w:w="642" w:type="pct"/>
            <w:tcBorders>
              <w:top w:val="nil"/>
              <w:left w:val="nil"/>
              <w:bottom w:val="nil"/>
              <w:right w:val="nil"/>
            </w:tcBorders>
            <w:shd w:val="clear" w:color="auto" w:fill="auto"/>
            <w:noWrap/>
            <w:vAlign w:val="center"/>
            <w:hideMark/>
          </w:tcPr>
          <w:p w14:paraId="676D77E5"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1.133.241</w:t>
            </w:r>
          </w:p>
        </w:tc>
        <w:tc>
          <w:tcPr>
            <w:tcW w:w="642" w:type="pct"/>
            <w:tcBorders>
              <w:top w:val="nil"/>
              <w:left w:val="nil"/>
              <w:bottom w:val="nil"/>
              <w:right w:val="nil"/>
            </w:tcBorders>
            <w:shd w:val="clear" w:color="auto" w:fill="auto"/>
            <w:noWrap/>
            <w:vAlign w:val="center"/>
            <w:hideMark/>
          </w:tcPr>
          <w:p w14:paraId="6D9D7397" w14:textId="5DD8F365"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1.373.298</w:t>
            </w:r>
          </w:p>
        </w:tc>
        <w:tc>
          <w:tcPr>
            <w:tcW w:w="643" w:type="pct"/>
            <w:tcBorders>
              <w:top w:val="nil"/>
              <w:left w:val="nil"/>
              <w:bottom w:val="nil"/>
              <w:right w:val="nil"/>
            </w:tcBorders>
            <w:shd w:val="clear" w:color="auto" w:fill="auto"/>
            <w:vAlign w:val="center"/>
            <w:hideMark/>
          </w:tcPr>
          <w:p w14:paraId="4C685B2B"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1.133.241</w:t>
            </w:r>
          </w:p>
        </w:tc>
      </w:tr>
      <w:tr w:rsidR="003F7821" w:rsidRPr="00E20D21" w14:paraId="51A9E904" w14:textId="77777777" w:rsidTr="00FA5C64">
        <w:trPr>
          <w:trHeight w:val="283"/>
        </w:trPr>
        <w:tc>
          <w:tcPr>
            <w:tcW w:w="2430" w:type="pct"/>
            <w:tcBorders>
              <w:top w:val="nil"/>
              <w:left w:val="nil"/>
              <w:bottom w:val="nil"/>
              <w:right w:val="nil"/>
            </w:tcBorders>
            <w:shd w:val="clear" w:color="auto" w:fill="auto"/>
            <w:noWrap/>
            <w:vAlign w:val="center"/>
            <w:hideMark/>
          </w:tcPr>
          <w:p w14:paraId="3F860E54" w14:textId="77777777" w:rsidR="003F7821" w:rsidRPr="00E20D21" w:rsidRDefault="003F7821" w:rsidP="003F7821">
            <w:pPr>
              <w:ind w:firstLineChars="200" w:firstLine="36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FIES</w:t>
            </w:r>
          </w:p>
        </w:tc>
        <w:tc>
          <w:tcPr>
            <w:tcW w:w="642" w:type="pct"/>
            <w:tcBorders>
              <w:top w:val="nil"/>
              <w:left w:val="nil"/>
              <w:bottom w:val="nil"/>
              <w:right w:val="nil"/>
            </w:tcBorders>
            <w:shd w:val="clear" w:color="auto" w:fill="auto"/>
            <w:noWrap/>
            <w:vAlign w:val="center"/>
            <w:hideMark/>
          </w:tcPr>
          <w:p w14:paraId="14E082E9" w14:textId="573E5D35"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214.860</w:t>
            </w:r>
          </w:p>
        </w:tc>
        <w:tc>
          <w:tcPr>
            <w:tcW w:w="642" w:type="pct"/>
            <w:tcBorders>
              <w:top w:val="nil"/>
              <w:left w:val="nil"/>
              <w:bottom w:val="nil"/>
              <w:right w:val="nil"/>
            </w:tcBorders>
            <w:shd w:val="clear" w:color="auto" w:fill="auto"/>
            <w:noWrap/>
            <w:vAlign w:val="center"/>
            <w:hideMark/>
          </w:tcPr>
          <w:p w14:paraId="040AE8AF"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219.107</w:t>
            </w:r>
          </w:p>
        </w:tc>
        <w:tc>
          <w:tcPr>
            <w:tcW w:w="642" w:type="pct"/>
            <w:tcBorders>
              <w:top w:val="nil"/>
              <w:left w:val="nil"/>
              <w:bottom w:val="nil"/>
              <w:right w:val="nil"/>
            </w:tcBorders>
            <w:shd w:val="clear" w:color="auto" w:fill="auto"/>
            <w:noWrap/>
            <w:vAlign w:val="center"/>
            <w:hideMark/>
          </w:tcPr>
          <w:p w14:paraId="318D325B" w14:textId="46E12281"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214.860</w:t>
            </w:r>
          </w:p>
        </w:tc>
        <w:tc>
          <w:tcPr>
            <w:tcW w:w="643" w:type="pct"/>
            <w:tcBorders>
              <w:top w:val="nil"/>
              <w:left w:val="nil"/>
              <w:bottom w:val="nil"/>
              <w:right w:val="nil"/>
            </w:tcBorders>
            <w:shd w:val="clear" w:color="auto" w:fill="auto"/>
            <w:vAlign w:val="center"/>
            <w:hideMark/>
          </w:tcPr>
          <w:p w14:paraId="10D18A0E"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219.107</w:t>
            </w:r>
          </w:p>
        </w:tc>
      </w:tr>
      <w:tr w:rsidR="003F7821" w:rsidRPr="00E20D21" w14:paraId="575D1914" w14:textId="77777777" w:rsidTr="00FA5C64">
        <w:trPr>
          <w:trHeight w:val="283"/>
        </w:trPr>
        <w:tc>
          <w:tcPr>
            <w:tcW w:w="2430" w:type="pct"/>
            <w:tcBorders>
              <w:top w:val="nil"/>
              <w:left w:val="nil"/>
              <w:bottom w:val="nil"/>
              <w:right w:val="nil"/>
            </w:tcBorders>
            <w:shd w:val="clear" w:color="auto" w:fill="auto"/>
            <w:noWrap/>
            <w:vAlign w:val="center"/>
            <w:hideMark/>
          </w:tcPr>
          <w:p w14:paraId="7E5D258D" w14:textId="77777777" w:rsidR="003F7821" w:rsidRPr="00E20D21" w:rsidRDefault="003F7821" w:rsidP="003F7821">
            <w:pPr>
              <w:ind w:firstLineChars="200" w:firstLine="36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Minha Casa Minha Vida</w:t>
            </w:r>
          </w:p>
        </w:tc>
        <w:tc>
          <w:tcPr>
            <w:tcW w:w="642" w:type="pct"/>
            <w:tcBorders>
              <w:top w:val="nil"/>
              <w:left w:val="nil"/>
              <w:bottom w:val="nil"/>
              <w:right w:val="nil"/>
            </w:tcBorders>
            <w:shd w:val="clear" w:color="auto" w:fill="auto"/>
            <w:noWrap/>
            <w:vAlign w:val="center"/>
            <w:hideMark/>
          </w:tcPr>
          <w:p w14:paraId="56769007" w14:textId="75F5A7AA"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75.931</w:t>
            </w:r>
          </w:p>
        </w:tc>
        <w:tc>
          <w:tcPr>
            <w:tcW w:w="642" w:type="pct"/>
            <w:tcBorders>
              <w:top w:val="nil"/>
              <w:left w:val="nil"/>
              <w:bottom w:val="nil"/>
              <w:right w:val="nil"/>
            </w:tcBorders>
            <w:shd w:val="clear" w:color="auto" w:fill="auto"/>
            <w:noWrap/>
            <w:vAlign w:val="center"/>
            <w:hideMark/>
          </w:tcPr>
          <w:p w14:paraId="1D80357C"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160.460</w:t>
            </w:r>
          </w:p>
        </w:tc>
        <w:tc>
          <w:tcPr>
            <w:tcW w:w="642" w:type="pct"/>
            <w:tcBorders>
              <w:top w:val="nil"/>
              <w:left w:val="nil"/>
              <w:bottom w:val="nil"/>
              <w:right w:val="nil"/>
            </w:tcBorders>
            <w:shd w:val="clear" w:color="auto" w:fill="auto"/>
            <w:noWrap/>
            <w:vAlign w:val="center"/>
            <w:hideMark/>
          </w:tcPr>
          <w:p w14:paraId="5A90A0D3" w14:textId="7836AB4D"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75.931</w:t>
            </w:r>
          </w:p>
        </w:tc>
        <w:tc>
          <w:tcPr>
            <w:tcW w:w="643" w:type="pct"/>
            <w:tcBorders>
              <w:top w:val="nil"/>
              <w:left w:val="nil"/>
              <w:bottom w:val="nil"/>
              <w:right w:val="nil"/>
            </w:tcBorders>
            <w:shd w:val="clear" w:color="auto" w:fill="auto"/>
            <w:vAlign w:val="center"/>
            <w:hideMark/>
          </w:tcPr>
          <w:p w14:paraId="7976A321"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160.460</w:t>
            </w:r>
          </w:p>
        </w:tc>
      </w:tr>
      <w:tr w:rsidR="003F7821" w:rsidRPr="00E20D21" w14:paraId="796B7CD2" w14:textId="77777777" w:rsidTr="00FA5C64">
        <w:trPr>
          <w:trHeight w:val="283"/>
        </w:trPr>
        <w:tc>
          <w:tcPr>
            <w:tcW w:w="2430" w:type="pct"/>
            <w:tcBorders>
              <w:top w:val="nil"/>
              <w:left w:val="nil"/>
              <w:bottom w:val="nil"/>
              <w:right w:val="nil"/>
            </w:tcBorders>
            <w:shd w:val="clear" w:color="auto" w:fill="auto"/>
            <w:noWrap/>
            <w:vAlign w:val="center"/>
            <w:hideMark/>
          </w:tcPr>
          <w:p w14:paraId="29980A48" w14:textId="77777777" w:rsidR="003F7821" w:rsidRPr="00E20D21" w:rsidRDefault="003F7821" w:rsidP="003F7821">
            <w:pPr>
              <w:ind w:firstLineChars="200" w:firstLine="36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Programa Saneamento para todos</w:t>
            </w:r>
          </w:p>
        </w:tc>
        <w:tc>
          <w:tcPr>
            <w:tcW w:w="642" w:type="pct"/>
            <w:tcBorders>
              <w:top w:val="nil"/>
              <w:left w:val="nil"/>
              <w:bottom w:val="nil"/>
              <w:right w:val="nil"/>
            </w:tcBorders>
            <w:shd w:val="clear" w:color="auto" w:fill="auto"/>
            <w:noWrap/>
            <w:vAlign w:val="center"/>
            <w:hideMark/>
          </w:tcPr>
          <w:p w14:paraId="48CF22DB" w14:textId="3DDD2AB0"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269.930</w:t>
            </w:r>
          </w:p>
        </w:tc>
        <w:tc>
          <w:tcPr>
            <w:tcW w:w="642" w:type="pct"/>
            <w:tcBorders>
              <w:top w:val="nil"/>
              <w:left w:val="nil"/>
              <w:bottom w:val="nil"/>
              <w:right w:val="nil"/>
            </w:tcBorders>
            <w:shd w:val="clear" w:color="auto" w:fill="auto"/>
            <w:noWrap/>
            <w:vAlign w:val="center"/>
            <w:hideMark/>
          </w:tcPr>
          <w:p w14:paraId="4D78F5F6"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156.740</w:t>
            </w:r>
          </w:p>
        </w:tc>
        <w:tc>
          <w:tcPr>
            <w:tcW w:w="642" w:type="pct"/>
            <w:tcBorders>
              <w:top w:val="nil"/>
              <w:left w:val="nil"/>
              <w:bottom w:val="nil"/>
              <w:right w:val="nil"/>
            </w:tcBorders>
            <w:shd w:val="clear" w:color="auto" w:fill="auto"/>
            <w:noWrap/>
            <w:vAlign w:val="center"/>
            <w:hideMark/>
          </w:tcPr>
          <w:p w14:paraId="3480C65E" w14:textId="6904535B"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269.930</w:t>
            </w:r>
          </w:p>
        </w:tc>
        <w:tc>
          <w:tcPr>
            <w:tcW w:w="643" w:type="pct"/>
            <w:tcBorders>
              <w:top w:val="nil"/>
              <w:left w:val="nil"/>
              <w:bottom w:val="nil"/>
              <w:right w:val="nil"/>
            </w:tcBorders>
            <w:shd w:val="clear" w:color="auto" w:fill="auto"/>
            <w:vAlign w:val="center"/>
            <w:hideMark/>
          </w:tcPr>
          <w:p w14:paraId="4B46E27C"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156.740</w:t>
            </w:r>
          </w:p>
        </w:tc>
      </w:tr>
      <w:tr w:rsidR="003F7821" w:rsidRPr="00E20D21" w14:paraId="070ED4EB" w14:textId="77777777" w:rsidTr="00FA5C64">
        <w:trPr>
          <w:trHeight w:val="283"/>
        </w:trPr>
        <w:tc>
          <w:tcPr>
            <w:tcW w:w="2430" w:type="pct"/>
            <w:tcBorders>
              <w:top w:val="nil"/>
              <w:left w:val="nil"/>
              <w:bottom w:val="nil"/>
              <w:right w:val="nil"/>
            </w:tcBorders>
            <w:shd w:val="clear" w:color="auto" w:fill="auto"/>
            <w:noWrap/>
            <w:vAlign w:val="center"/>
            <w:hideMark/>
          </w:tcPr>
          <w:p w14:paraId="2BA072F6" w14:textId="77777777" w:rsidR="003F7821" w:rsidRPr="00E20D21" w:rsidRDefault="003F7821" w:rsidP="003F7821">
            <w:pPr>
              <w:ind w:firstLineChars="200" w:firstLine="36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Outras entidades e programas</w:t>
            </w:r>
          </w:p>
        </w:tc>
        <w:tc>
          <w:tcPr>
            <w:tcW w:w="642" w:type="pct"/>
            <w:tcBorders>
              <w:top w:val="nil"/>
              <w:left w:val="nil"/>
              <w:bottom w:val="nil"/>
              <w:right w:val="nil"/>
            </w:tcBorders>
            <w:shd w:val="clear" w:color="auto" w:fill="auto"/>
            <w:noWrap/>
            <w:vAlign w:val="center"/>
            <w:hideMark/>
          </w:tcPr>
          <w:p w14:paraId="456705C8" w14:textId="7BC7901E"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297.727</w:t>
            </w:r>
          </w:p>
        </w:tc>
        <w:tc>
          <w:tcPr>
            <w:tcW w:w="642" w:type="pct"/>
            <w:tcBorders>
              <w:top w:val="nil"/>
              <w:left w:val="nil"/>
              <w:bottom w:val="nil"/>
              <w:right w:val="nil"/>
            </w:tcBorders>
            <w:shd w:val="clear" w:color="auto" w:fill="auto"/>
            <w:noWrap/>
            <w:vAlign w:val="center"/>
            <w:hideMark/>
          </w:tcPr>
          <w:p w14:paraId="1C55AF43"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538.194</w:t>
            </w:r>
          </w:p>
        </w:tc>
        <w:tc>
          <w:tcPr>
            <w:tcW w:w="642" w:type="pct"/>
            <w:tcBorders>
              <w:top w:val="nil"/>
              <w:left w:val="nil"/>
              <w:bottom w:val="nil"/>
              <w:right w:val="nil"/>
            </w:tcBorders>
            <w:shd w:val="clear" w:color="auto" w:fill="auto"/>
            <w:noWrap/>
            <w:vAlign w:val="center"/>
            <w:hideMark/>
          </w:tcPr>
          <w:p w14:paraId="1E315C82" w14:textId="76A5CBEB"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297.727</w:t>
            </w:r>
          </w:p>
        </w:tc>
        <w:tc>
          <w:tcPr>
            <w:tcW w:w="643" w:type="pct"/>
            <w:tcBorders>
              <w:top w:val="nil"/>
              <w:left w:val="nil"/>
              <w:bottom w:val="nil"/>
              <w:right w:val="nil"/>
            </w:tcBorders>
            <w:shd w:val="clear" w:color="auto" w:fill="auto"/>
            <w:vAlign w:val="center"/>
            <w:hideMark/>
          </w:tcPr>
          <w:p w14:paraId="66B69F6C"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538.194</w:t>
            </w:r>
          </w:p>
        </w:tc>
      </w:tr>
      <w:tr w:rsidR="003F7821" w:rsidRPr="00E20D21" w14:paraId="4783F854" w14:textId="77777777" w:rsidTr="00FA5C64">
        <w:trPr>
          <w:trHeight w:val="283"/>
        </w:trPr>
        <w:tc>
          <w:tcPr>
            <w:tcW w:w="2430" w:type="pct"/>
            <w:tcBorders>
              <w:top w:val="nil"/>
              <w:left w:val="nil"/>
              <w:bottom w:val="nil"/>
              <w:right w:val="nil"/>
            </w:tcBorders>
            <w:shd w:val="clear" w:color="auto" w:fill="auto"/>
            <w:noWrap/>
            <w:vAlign w:val="center"/>
            <w:hideMark/>
          </w:tcPr>
          <w:p w14:paraId="5F0AF750" w14:textId="77777777" w:rsidR="003F7821" w:rsidRPr="00E20D21" w:rsidRDefault="003F7821" w:rsidP="003F7821">
            <w:pPr>
              <w:ind w:firstLineChars="100" w:firstLine="18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Transferência de Benefícios</w:t>
            </w:r>
          </w:p>
        </w:tc>
        <w:tc>
          <w:tcPr>
            <w:tcW w:w="642" w:type="pct"/>
            <w:tcBorders>
              <w:top w:val="nil"/>
              <w:left w:val="nil"/>
              <w:bottom w:val="nil"/>
              <w:right w:val="nil"/>
            </w:tcBorders>
            <w:shd w:val="clear" w:color="auto" w:fill="auto"/>
            <w:noWrap/>
            <w:vAlign w:val="center"/>
            <w:hideMark/>
          </w:tcPr>
          <w:p w14:paraId="42BE9DE4" w14:textId="7C1E0305"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724.652</w:t>
            </w:r>
          </w:p>
        </w:tc>
        <w:tc>
          <w:tcPr>
            <w:tcW w:w="642" w:type="pct"/>
            <w:tcBorders>
              <w:top w:val="nil"/>
              <w:left w:val="nil"/>
              <w:bottom w:val="nil"/>
              <w:right w:val="nil"/>
            </w:tcBorders>
            <w:shd w:val="clear" w:color="auto" w:fill="auto"/>
            <w:noWrap/>
            <w:vAlign w:val="center"/>
            <w:hideMark/>
          </w:tcPr>
          <w:p w14:paraId="25BC07E6"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637.740</w:t>
            </w:r>
          </w:p>
        </w:tc>
        <w:tc>
          <w:tcPr>
            <w:tcW w:w="642" w:type="pct"/>
            <w:tcBorders>
              <w:top w:val="nil"/>
              <w:left w:val="nil"/>
              <w:bottom w:val="nil"/>
              <w:right w:val="nil"/>
            </w:tcBorders>
            <w:shd w:val="clear" w:color="auto" w:fill="auto"/>
            <w:noWrap/>
            <w:vAlign w:val="center"/>
            <w:hideMark/>
          </w:tcPr>
          <w:p w14:paraId="3987D4C0" w14:textId="28914F14"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724.652</w:t>
            </w:r>
          </w:p>
        </w:tc>
        <w:tc>
          <w:tcPr>
            <w:tcW w:w="643" w:type="pct"/>
            <w:tcBorders>
              <w:top w:val="nil"/>
              <w:left w:val="nil"/>
              <w:bottom w:val="nil"/>
              <w:right w:val="nil"/>
            </w:tcBorders>
            <w:shd w:val="clear" w:color="auto" w:fill="auto"/>
            <w:vAlign w:val="center"/>
            <w:hideMark/>
          </w:tcPr>
          <w:p w14:paraId="2AF9AD8E"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637.740</w:t>
            </w:r>
          </w:p>
        </w:tc>
      </w:tr>
      <w:tr w:rsidR="003F7821" w:rsidRPr="00E20D21" w14:paraId="638DE86F" w14:textId="77777777" w:rsidTr="00FA5C64">
        <w:trPr>
          <w:trHeight w:val="283"/>
        </w:trPr>
        <w:tc>
          <w:tcPr>
            <w:tcW w:w="2430" w:type="pct"/>
            <w:tcBorders>
              <w:top w:val="nil"/>
              <w:left w:val="nil"/>
              <w:bottom w:val="nil"/>
              <w:right w:val="nil"/>
            </w:tcBorders>
            <w:shd w:val="clear" w:color="auto" w:fill="auto"/>
            <w:noWrap/>
            <w:vAlign w:val="center"/>
            <w:hideMark/>
          </w:tcPr>
          <w:p w14:paraId="2CDA7CE4" w14:textId="77777777" w:rsidR="003F7821" w:rsidRPr="00E20D21" w:rsidRDefault="003F7821" w:rsidP="003F7821">
            <w:pPr>
              <w:ind w:firstLineChars="100" w:firstLine="180"/>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Garantias prestadas - Agente operador</w:t>
            </w:r>
          </w:p>
        </w:tc>
        <w:tc>
          <w:tcPr>
            <w:tcW w:w="642" w:type="pct"/>
            <w:tcBorders>
              <w:top w:val="nil"/>
              <w:left w:val="nil"/>
              <w:bottom w:val="nil"/>
              <w:right w:val="nil"/>
            </w:tcBorders>
            <w:shd w:val="clear" w:color="auto" w:fill="auto"/>
            <w:noWrap/>
            <w:vAlign w:val="center"/>
            <w:hideMark/>
          </w:tcPr>
          <w:p w14:paraId="54F61084" w14:textId="5125DA37"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224.847</w:t>
            </w:r>
          </w:p>
        </w:tc>
        <w:tc>
          <w:tcPr>
            <w:tcW w:w="642" w:type="pct"/>
            <w:tcBorders>
              <w:top w:val="nil"/>
              <w:left w:val="nil"/>
              <w:bottom w:val="nil"/>
              <w:right w:val="nil"/>
            </w:tcBorders>
            <w:shd w:val="clear" w:color="auto" w:fill="auto"/>
            <w:noWrap/>
            <w:vAlign w:val="center"/>
            <w:hideMark/>
          </w:tcPr>
          <w:p w14:paraId="7EE4820C"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189.966</w:t>
            </w:r>
          </w:p>
        </w:tc>
        <w:tc>
          <w:tcPr>
            <w:tcW w:w="642" w:type="pct"/>
            <w:tcBorders>
              <w:top w:val="nil"/>
              <w:left w:val="nil"/>
              <w:bottom w:val="nil"/>
              <w:right w:val="nil"/>
            </w:tcBorders>
            <w:shd w:val="clear" w:color="auto" w:fill="auto"/>
            <w:noWrap/>
            <w:vAlign w:val="center"/>
            <w:hideMark/>
          </w:tcPr>
          <w:p w14:paraId="1F5E0E5B" w14:textId="5A0E7507"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224.847</w:t>
            </w:r>
          </w:p>
        </w:tc>
        <w:tc>
          <w:tcPr>
            <w:tcW w:w="643" w:type="pct"/>
            <w:tcBorders>
              <w:top w:val="nil"/>
              <w:left w:val="nil"/>
              <w:bottom w:val="nil"/>
              <w:right w:val="nil"/>
            </w:tcBorders>
            <w:shd w:val="clear" w:color="auto" w:fill="auto"/>
            <w:vAlign w:val="center"/>
            <w:hideMark/>
          </w:tcPr>
          <w:p w14:paraId="7659869B"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189.966</w:t>
            </w:r>
          </w:p>
        </w:tc>
      </w:tr>
      <w:tr w:rsidR="003F7821" w:rsidRPr="00E20D21" w14:paraId="775FF2B2" w14:textId="77777777" w:rsidTr="00FA5C64">
        <w:trPr>
          <w:trHeight w:val="283"/>
        </w:trPr>
        <w:tc>
          <w:tcPr>
            <w:tcW w:w="2430" w:type="pct"/>
            <w:tcBorders>
              <w:top w:val="nil"/>
              <w:left w:val="nil"/>
              <w:bottom w:val="nil"/>
              <w:right w:val="nil"/>
            </w:tcBorders>
            <w:shd w:val="clear" w:color="auto" w:fill="auto"/>
            <w:noWrap/>
            <w:vAlign w:val="center"/>
            <w:hideMark/>
          </w:tcPr>
          <w:p w14:paraId="561ADB8A" w14:textId="77777777" w:rsidR="003F7821" w:rsidRPr="00E20D21" w:rsidRDefault="003F7821" w:rsidP="003F7821">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Conta corrente e tarifas bancárias</w:t>
            </w:r>
          </w:p>
        </w:tc>
        <w:tc>
          <w:tcPr>
            <w:tcW w:w="642" w:type="pct"/>
            <w:tcBorders>
              <w:top w:val="nil"/>
              <w:left w:val="nil"/>
              <w:bottom w:val="nil"/>
              <w:right w:val="nil"/>
            </w:tcBorders>
            <w:shd w:val="clear" w:color="auto" w:fill="auto"/>
            <w:noWrap/>
            <w:vAlign w:val="center"/>
            <w:hideMark/>
          </w:tcPr>
          <w:p w14:paraId="5F652894" w14:textId="658A4530"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2.003.599</w:t>
            </w:r>
          </w:p>
        </w:tc>
        <w:tc>
          <w:tcPr>
            <w:tcW w:w="642" w:type="pct"/>
            <w:tcBorders>
              <w:top w:val="nil"/>
              <w:left w:val="nil"/>
              <w:bottom w:val="nil"/>
              <w:right w:val="nil"/>
            </w:tcBorders>
            <w:shd w:val="clear" w:color="auto" w:fill="auto"/>
            <w:noWrap/>
            <w:vAlign w:val="center"/>
            <w:hideMark/>
          </w:tcPr>
          <w:p w14:paraId="46D2A1BD"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1.893.593</w:t>
            </w:r>
          </w:p>
        </w:tc>
        <w:tc>
          <w:tcPr>
            <w:tcW w:w="642" w:type="pct"/>
            <w:tcBorders>
              <w:top w:val="nil"/>
              <w:left w:val="nil"/>
              <w:bottom w:val="nil"/>
              <w:right w:val="nil"/>
            </w:tcBorders>
            <w:shd w:val="clear" w:color="auto" w:fill="auto"/>
            <w:noWrap/>
            <w:vAlign w:val="center"/>
            <w:hideMark/>
          </w:tcPr>
          <w:p w14:paraId="19939FB0" w14:textId="2B4654F1"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2.003.526</w:t>
            </w:r>
          </w:p>
        </w:tc>
        <w:tc>
          <w:tcPr>
            <w:tcW w:w="643" w:type="pct"/>
            <w:tcBorders>
              <w:top w:val="nil"/>
              <w:left w:val="nil"/>
              <w:bottom w:val="nil"/>
              <w:right w:val="nil"/>
            </w:tcBorders>
            <w:shd w:val="clear" w:color="auto" w:fill="auto"/>
            <w:vAlign w:val="center"/>
            <w:hideMark/>
          </w:tcPr>
          <w:p w14:paraId="4F61D61D"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1.893.539</w:t>
            </w:r>
          </w:p>
        </w:tc>
      </w:tr>
      <w:tr w:rsidR="003F7821" w:rsidRPr="00E20D21" w14:paraId="17839DC8" w14:textId="77777777" w:rsidTr="00FA5C64">
        <w:trPr>
          <w:trHeight w:val="283"/>
        </w:trPr>
        <w:tc>
          <w:tcPr>
            <w:tcW w:w="2430" w:type="pct"/>
            <w:tcBorders>
              <w:top w:val="nil"/>
              <w:left w:val="nil"/>
              <w:bottom w:val="nil"/>
              <w:right w:val="nil"/>
            </w:tcBorders>
            <w:shd w:val="clear" w:color="auto" w:fill="auto"/>
            <w:noWrap/>
            <w:vAlign w:val="center"/>
            <w:hideMark/>
          </w:tcPr>
          <w:p w14:paraId="36EE808A" w14:textId="77777777" w:rsidR="003F7821" w:rsidRPr="00E20D21" w:rsidRDefault="003F7821" w:rsidP="003F7821">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Convênio e cobrança</w:t>
            </w:r>
          </w:p>
        </w:tc>
        <w:tc>
          <w:tcPr>
            <w:tcW w:w="642" w:type="pct"/>
            <w:tcBorders>
              <w:top w:val="nil"/>
              <w:left w:val="nil"/>
              <w:bottom w:val="nil"/>
              <w:right w:val="nil"/>
            </w:tcBorders>
            <w:shd w:val="clear" w:color="auto" w:fill="auto"/>
            <w:noWrap/>
            <w:vAlign w:val="center"/>
            <w:hideMark/>
          </w:tcPr>
          <w:p w14:paraId="76C5FAEE" w14:textId="362EEE32"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1.099.188</w:t>
            </w:r>
          </w:p>
        </w:tc>
        <w:tc>
          <w:tcPr>
            <w:tcW w:w="642" w:type="pct"/>
            <w:tcBorders>
              <w:top w:val="nil"/>
              <w:left w:val="nil"/>
              <w:bottom w:val="nil"/>
              <w:right w:val="nil"/>
            </w:tcBorders>
            <w:shd w:val="clear" w:color="auto" w:fill="auto"/>
            <w:noWrap/>
            <w:vAlign w:val="center"/>
            <w:hideMark/>
          </w:tcPr>
          <w:p w14:paraId="243883A2"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1.166.265</w:t>
            </w:r>
          </w:p>
        </w:tc>
        <w:tc>
          <w:tcPr>
            <w:tcW w:w="642" w:type="pct"/>
            <w:tcBorders>
              <w:top w:val="nil"/>
              <w:left w:val="nil"/>
              <w:bottom w:val="nil"/>
              <w:right w:val="nil"/>
            </w:tcBorders>
            <w:shd w:val="clear" w:color="auto" w:fill="auto"/>
            <w:noWrap/>
            <w:vAlign w:val="center"/>
            <w:hideMark/>
          </w:tcPr>
          <w:p w14:paraId="271EAB67" w14:textId="4E1FB2CD"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1.099.188</w:t>
            </w:r>
          </w:p>
        </w:tc>
        <w:tc>
          <w:tcPr>
            <w:tcW w:w="643" w:type="pct"/>
            <w:tcBorders>
              <w:top w:val="nil"/>
              <w:left w:val="nil"/>
              <w:bottom w:val="nil"/>
              <w:right w:val="nil"/>
            </w:tcBorders>
            <w:shd w:val="clear" w:color="auto" w:fill="auto"/>
            <w:vAlign w:val="center"/>
            <w:hideMark/>
          </w:tcPr>
          <w:p w14:paraId="5EA2682E"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1.166.265</w:t>
            </w:r>
          </w:p>
        </w:tc>
      </w:tr>
      <w:tr w:rsidR="003F7821" w:rsidRPr="00E20D21" w14:paraId="235F6BE6" w14:textId="77777777" w:rsidTr="00FA5C64">
        <w:trPr>
          <w:trHeight w:val="283"/>
        </w:trPr>
        <w:tc>
          <w:tcPr>
            <w:tcW w:w="2430" w:type="pct"/>
            <w:tcBorders>
              <w:top w:val="nil"/>
              <w:left w:val="nil"/>
              <w:bottom w:val="nil"/>
              <w:right w:val="nil"/>
            </w:tcBorders>
            <w:shd w:val="clear" w:color="auto" w:fill="auto"/>
            <w:noWrap/>
            <w:vAlign w:val="center"/>
            <w:hideMark/>
          </w:tcPr>
          <w:p w14:paraId="2F48B8CE" w14:textId="77777777" w:rsidR="003F7821" w:rsidRPr="00E20D21" w:rsidRDefault="003F7821" w:rsidP="003F7821">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Cartões de débito e crédito</w:t>
            </w:r>
          </w:p>
        </w:tc>
        <w:tc>
          <w:tcPr>
            <w:tcW w:w="642" w:type="pct"/>
            <w:tcBorders>
              <w:top w:val="nil"/>
              <w:left w:val="nil"/>
              <w:bottom w:val="nil"/>
              <w:right w:val="nil"/>
            </w:tcBorders>
            <w:shd w:val="clear" w:color="auto" w:fill="auto"/>
            <w:noWrap/>
            <w:vAlign w:val="center"/>
            <w:hideMark/>
          </w:tcPr>
          <w:p w14:paraId="13E684B0" w14:textId="38F5EF33"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1.386.000</w:t>
            </w:r>
          </w:p>
        </w:tc>
        <w:tc>
          <w:tcPr>
            <w:tcW w:w="642" w:type="pct"/>
            <w:tcBorders>
              <w:top w:val="nil"/>
              <w:left w:val="nil"/>
              <w:bottom w:val="nil"/>
              <w:right w:val="nil"/>
            </w:tcBorders>
            <w:shd w:val="clear" w:color="auto" w:fill="auto"/>
            <w:noWrap/>
            <w:vAlign w:val="center"/>
            <w:hideMark/>
          </w:tcPr>
          <w:p w14:paraId="0D7D2337"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1.301.240</w:t>
            </w:r>
          </w:p>
        </w:tc>
        <w:tc>
          <w:tcPr>
            <w:tcW w:w="642" w:type="pct"/>
            <w:tcBorders>
              <w:top w:val="nil"/>
              <w:left w:val="nil"/>
              <w:bottom w:val="nil"/>
              <w:right w:val="nil"/>
            </w:tcBorders>
            <w:shd w:val="clear" w:color="auto" w:fill="auto"/>
            <w:noWrap/>
            <w:vAlign w:val="center"/>
            <w:hideMark/>
          </w:tcPr>
          <w:p w14:paraId="14BCAF34" w14:textId="7B087033"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1.426.786</w:t>
            </w:r>
          </w:p>
        </w:tc>
        <w:tc>
          <w:tcPr>
            <w:tcW w:w="643" w:type="pct"/>
            <w:tcBorders>
              <w:top w:val="nil"/>
              <w:left w:val="nil"/>
              <w:bottom w:val="nil"/>
              <w:right w:val="nil"/>
            </w:tcBorders>
            <w:shd w:val="clear" w:color="auto" w:fill="auto"/>
            <w:vAlign w:val="center"/>
            <w:hideMark/>
          </w:tcPr>
          <w:p w14:paraId="259A168A"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1.330.255</w:t>
            </w:r>
          </w:p>
        </w:tc>
      </w:tr>
      <w:tr w:rsidR="003F7821" w:rsidRPr="00E20D21" w14:paraId="732937CF" w14:textId="77777777" w:rsidTr="00FA5C64">
        <w:trPr>
          <w:trHeight w:val="283"/>
        </w:trPr>
        <w:tc>
          <w:tcPr>
            <w:tcW w:w="2430" w:type="pct"/>
            <w:tcBorders>
              <w:top w:val="nil"/>
              <w:left w:val="nil"/>
              <w:bottom w:val="nil"/>
              <w:right w:val="nil"/>
            </w:tcBorders>
            <w:shd w:val="clear" w:color="auto" w:fill="auto"/>
            <w:noWrap/>
            <w:vAlign w:val="center"/>
            <w:hideMark/>
          </w:tcPr>
          <w:p w14:paraId="1EBB2023" w14:textId="77777777" w:rsidR="003F7821" w:rsidRPr="00E20D21" w:rsidRDefault="003F7821" w:rsidP="003F7821">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Operações de crédito</w:t>
            </w:r>
          </w:p>
        </w:tc>
        <w:tc>
          <w:tcPr>
            <w:tcW w:w="642" w:type="pct"/>
            <w:tcBorders>
              <w:top w:val="nil"/>
              <w:left w:val="nil"/>
              <w:bottom w:val="nil"/>
              <w:right w:val="nil"/>
            </w:tcBorders>
            <w:shd w:val="clear" w:color="auto" w:fill="auto"/>
            <w:noWrap/>
            <w:vAlign w:val="center"/>
            <w:hideMark/>
          </w:tcPr>
          <w:p w14:paraId="0BCCA06E" w14:textId="178A37CC"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1.334.037</w:t>
            </w:r>
          </w:p>
        </w:tc>
        <w:tc>
          <w:tcPr>
            <w:tcW w:w="642" w:type="pct"/>
            <w:tcBorders>
              <w:top w:val="nil"/>
              <w:left w:val="nil"/>
              <w:bottom w:val="nil"/>
              <w:right w:val="nil"/>
            </w:tcBorders>
            <w:shd w:val="clear" w:color="auto" w:fill="auto"/>
            <w:noWrap/>
            <w:vAlign w:val="center"/>
            <w:hideMark/>
          </w:tcPr>
          <w:p w14:paraId="44335AE7"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1.181.763</w:t>
            </w:r>
          </w:p>
        </w:tc>
        <w:tc>
          <w:tcPr>
            <w:tcW w:w="642" w:type="pct"/>
            <w:tcBorders>
              <w:top w:val="nil"/>
              <w:left w:val="nil"/>
              <w:bottom w:val="nil"/>
              <w:right w:val="nil"/>
            </w:tcBorders>
            <w:shd w:val="clear" w:color="auto" w:fill="auto"/>
            <w:noWrap/>
            <w:vAlign w:val="center"/>
            <w:hideMark/>
          </w:tcPr>
          <w:p w14:paraId="01331994" w14:textId="6547E794"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1.334.037</w:t>
            </w:r>
          </w:p>
        </w:tc>
        <w:tc>
          <w:tcPr>
            <w:tcW w:w="643" w:type="pct"/>
            <w:tcBorders>
              <w:top w:val="nil"/>
              <w:left w:val="nil"/>
              <w:bottom w:val="nil"/>
              <w:right w:val="nil"/>
            </w:tcBorders>
            <w:shd w:val="clear" w:color="auto" w:fill="auto"/>
            <w:vAlign w:val="center"/>
            <w:hideMark/>
          </w:tcPr>
          <w:p w14:paraId="2068E516"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1.181.763</w:t>
            </w:r>
          </w:p>
        </w:tc>
      </w:tr>
      <w:tr w:rsidR="003F7821" w:rsidRPr="00E20D21" w14:paraId="3B255CED" w14:textId="77777777" w:rsidTr="00FA5C64">
        <w:trPr>
          <w:trHeight w:val="283"/>
        </w:trPr>
        <w:tc>
          <w:tcPr>
            <w:tcW w:w="2430" w:type="pct"/>
            <w:tcBorders>
              <w:top w:val="nil"/>
              <w:left w:val="nil"/>
              <w:bottom w:val="nil"/>
              <w:right w:val="nil"/>
            </w:tcBorders>
            <w:shd w:val="clear" w:color="auto" w:fill="auto"/>
            <w:noWrap/>
            <w:vAlign w:val="center"/>
            <w:hideMark/>
          </w:tcPr>
          <w:p w14:paraId="0F4EFC19" w14:textId="77777777" w:rsidR="003F7821" w:rsidRPr="00E20D21" w:rsidRDefault="003F7821" w:rsidP="003F7821">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Fundos de investimento</w:t>
            </w:r>
          </w:p>
        </w:tc>
        <w:tc>
          <w:tcPr>
            <w:tcW w:w="642" w:type="pct"/>
            <w:tcBorders>
              <w:top w:val="nil"/>
              <w:left w:val="nil"/>
              <w:bottom w:val="nil"/>
              <w:right w:val="nil"/>
            </w:tcBorders>
            <w:shd w:val="clear" w:color="auto" w:fill="auto"/>
            <w:noWrap/>
            <w:vAlign w:val="center"/>
            <w:hideMark/>
          </w:tcPr>
          <w:p w14:paraId="6429F890" w14:textId="77DD0DC5"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263.072</w:t>
            </w:r>
          </w:p>
        </w:tc>
        <w:tc>
          <w:tcPr>
            <w:tcW w:w="642" w:type="pct"/>
            <w:tcBorders>
              <w:top w:val="nil"/>
              <w:left w:val="nil"/>
              <w:bottom w:val="nil"/>
              <w:right w:val="nil"/>
            </w:tcBorders>
            <w:shd w:val="clear" w:color="auto" w:fill="auto"/>
            <w:noWrap/>
            <w:vAlign w:val="center"/>
            <w:hideMark/>
          </w:tcPr>
          <w:p w14:paraId="39318FF8"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245.630</w:t>
            </w:r>
          </w:p>
        </w:tc>
        <w:tc>
          <w:tcPr>
            <w:tcW w:w="642" w:type="pct"/>
            <w:tcBorders>
              <w:top w:val="nil"/>
              <w:left w:val="nil"/>
              <w:bottom w:val="nil"/>
              <w:right w:val="nil"/>
            </w:tcBorders>
            <w:shd w:val="clear" w:color="auto" w:fill="auto"/>
            <w:noWrap/>
            <w:vAlign w:val="center"/>
            <w:hideMark/>
          </w:tcPr>
          <w:p w14:paraId="3D6CE6E6" w14:textId="1E34927E"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1.222.886</w:t>
            </w:r>
          </w:p>
        </w:tc>
        <w:tc>
          <w:tcPr>
            <w:tcW w:w="643" w:type="pct"/>
            <w:tcBorders>
              <w:top w:val="nil"/>
              <w:left w:val="nil"/>
              <w:bottom w:val="nil"/>
              <w:right w:val="nil"/>
            </w:tcBorders>
            <w:shd w:val="clear" w:color="auto" w:fill="auto"/>
            <w:vAlign w:val="center"/>
            <w:hideMark/>
          </w:tcPr>
          <w:p w14:paraId="15E2DC2D"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1.166.990</w:t>
            </w:r>
          </w:p>
        </w:tc>
      </w:tr>
      <w:tr w:rsidR="003F7821" w:rsidRPr="00E20D21" w14:paraId="6C5A9FFF" w14:textId="77777777" w:rsidTr="00FA5C64">
        <w:trPr>
          <w:trHeight w:val="283"/>
        </w:trPr>
        <w:tc>
          <w:tcPr>
            <w:tcW w:w="2430" w:type="pct"/>
            <w:tcBorders>
              <w:top w:val="nil"/>
              <w:left w:val="nil"/>
              <w:bottom w:val="nil"/>
              <w:right w:val="nil"/>
            </w:tcBorders>
            <w:shd w:val="clear" w:color="auto" w:fill="auto"/>
            <w:noWrap/>
            <w:vAlign w:val="center"/>
            <w:hideMark/>
          </w:tcPr>
          <w:p w14:paraId="236ABAE1" w14:textId="77777777" w:rsidR="003F7821" w:rsidRPr="00E20D21" w:rsidRDefault="003F7821" w:rsidP="003F7821">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Seguros, capitalização, previdência e consórcios</w:t>
            </w:r>
          </w:p>
        </w:tc>
        <w:tc>
          <w:tcPr>
            <w:tcW w:w="642" w:type="pct"/>
            <w:tcBorders>
              <w:top w:val="nil"/>
              <w:left w:val="nil"/>
              <w:bottom w:val="nil"/>
              <w:right w:val="nil"/>
            </w:tcBorders>
            <w:shd w:val="clear" w:color="auto" w:fill="auto"/>
            <w:noWrap/>
            <w:vAlign w:val="center"/>
            <w:hideMark/>
          </w:tcPr>
          <w:p w14:paraId="509007DA" w14:textId="4A0A4E2E"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397.408</w:t>
            </w:r>
          </w:p>
        </w:tc>
        <w:tc>
          <w:tcPr>
            <w:tcW w:w="642" w:type="pct"/>
            <w:tcBorders>
              <w:top w:val="nil"/>
              <w:left w:val="nil"/>
              <w:bottom w:val="nil"/>
              <w:right w:val="nil"/>
            </w:tcBorders>
            <w:shd w:val="clear" w:color="auto" w:fill="auto"/>
            <w:noWrap/>
            <w:vAlign w:val="center"/>
            <w:hideMark/>
          </w:tcPr>
          <w:p w14:paraId="408A264A"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366.695</w:t>
            </w:r>
          </w:p>
        </w:tc>
        <w:tc>
          <w:tcPr>
            <w:tcW w:w="642" w:type="pct"/>
            <w:tcBorders>
              <w:top w:val="nil"/>
              <w:left w:val="nil"/>
              <w:bottom w:val="nil"/>
              <w:right w:val="nil"/>
            </w:tcBorders>
            <w:shd w:val="clear" w:color="auto" w:fill="auto"/>
            <w:noWrap/>
            <w:vAlign w:val="center"/>
            <w:hideMark/>
          </w:tcPr>
          <w:p w14:paraId="0EEBB489" w14:textId="1B3F861B"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1.393.270</w:t>
            </w:r>
          </w:p>
        </w:tc>
        <w:tc>
          <w:tcPr>
            <w:tcW w:w="643" w:type="pct"/>
            <w:tcBorders>
              <w:top w:val="nil"/>
              <w:left w:val="nil"/>
              <w:bottom w:val="nil"/>
              <w:right w:val="nil"/>
            </w:tcBorders>
            <w:shd w:val="clear" w:color="auto" w:fill="auto"/>
            <w:vAlign w:val="center"/>
            <w:hideMark/>
          </w:tcPr>
          <w:p w14:paraId="0379A279"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1.242.541</w:t>
            </w:r>
          </w:p>
        </w:tc>
      </w:tr>
      <w:tr w:rsidR="003F7821" w:rsidRPr="00E20D21" w14:paraId="0082CA37" w14:textId="77777777" w:rsidTr="00FA5C64">
        <w:trPr>
          <w:trHeight w:val="283"/>
        </w:trPr>
        <w:tc>
          <w:tcPr>
            <w:tcW w:w="2430" w:type="pct"/>
            <w:tcBorders>
              <w:top w:val="nil"/>
              <w:left w:val="nil"/>
              <w:bottom w:val="nil"/>
              <w:right w:val="nil"/>
            </w:tcBorders>
            <w:shd w:val="clear" w:color="auto" w:fill="auto"/>
            <w:noWrap/>
            <w:vAlign w:val="center"/>
            <w:hideMark/>
          </w:tcPr>
          <w:p w14:paraId="6BB8E1A3" w14:textId="77777777" w:rsidR="003F7821" w:rsidRPr="00E20D21" w:rsidRDefault="003F7821" w:rsidP="003F7821">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Outros</w:t>
            </w:r>
          </w:p>
        </w:tc>
        <w:tc>
          <w:tcPr>
            <w:tcW w:w="642" w:type="pct"/>
            <w:tcBorders>
              <w:top w:val="nil"/>
              <w:left w:val="nil"/>
              <w:bottom w:val="nil"/>
              <w:right w:val="nil"/>
            </w:tcBorders>
            <w:shd w:val="clear" w:color="auto" w:fill="auto"/>
            <w:noWrap/>
            <w:vAlign w:val="center"/>
            <w:hideMark/>
          </w:tcPr>
          <w:p w14:paraId="2EB5088D" w14:textId="4F8B32C1"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138.555</w:t>
            </w:r>
          </w:p>
        </w:tc>
        <w:tc>
          <w:tcPr>
            <w:tcW w:w="642" w:type="pct"/>
            <w:tcBorders>
              <w:top w:val="nil"/>
              <w:left w:val="nil"/>
              <w:bottom w:val="nil"/>
              <w:right w:val="nil"/>
            </w:tcBorders>
            <w:shd w:val="clear" w:color="auto" w:fill="auto"/>
            <w:noWrap/>
            <w:vAlign w:val="center"/>
            <w:hideMark/>
          </w:tcPr>
          <w:p w14:paraId="7215D712"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71.017</w:t>
            </w:r>
          </w:p>
        </w:tc>
        <w:tc>
          <w:tcPr>
            <w:tcW w:w="642" w:type="pct"/>
            <w:tcBorders>
              <w:top w:val="nil"/>
              <w:left w:val="nil"/>
              <w:bottom w:val="nil"/>
              <w:right w:val="nil"/>
            </w:tcBorders>
            <w:shd w:val="clear" w:color="auto" w:fill="auto"/>
            <w:noWrap/>
            <w:vAlign w:val="center"/>
            <w:hideMark/>
          </w:tcPr>
          <w:p w14:paraId="4AE8C32D" w14:textId="323870FA" w:rsidR="003F7821" w:rsidRPr="00E20D21" w:rsidRDefault="00414B30" w:rsidP="00414B30">
            <w:pPr>
              <w:jc w:val="right"/>
              <w:rPr>
                <w:rFonts w:ascii="CAIXA Std Book" w:eastAsia="Times New Roman" w:hAnsi="CAIXA Std Book" w:cs="Calibri"/>
                <w:color w:val="005CA9"/>
                <w:sz w:val="18"/>
                <w:szCs w:val="18"/>
              </w:rPr>
            </w:pPr>
            <w:r w:rsidRPr="00E20D21">
              <w:rPr>
                <w:rFonts w:ascii="CAIXA Std Book" w:hAnsi="CAIXA Std Book" w:cs="Arial"/>
                <w:color w:val="005CA9"/>
                <w:sz w:val="18"/>
                <w:szCs w:val="18"/>
              </w:rPr>
              <w:t>158.116</w:t>
            </w:r>
          </w:p>
        </w:tc>
        <w:tc>
          <w:tcPr>
            <w:tcW w:w="643" w:type="pct"/>
            <w:tcBorders>
              <w:top w:val="nil"/>
              <w:left w:val="nil"/>
              <w:bottom w:val="nil"/>
              <w:right w:val="nil"/>
            </w:tcBorders>
            <w:shd w:val="clear" w:color="auto" w:fill="auto"/>
            <w:vAlign w:val="center"/>
            <w:hideMark/>
          </w:tcPr>
          <w:p w14:paraId="5E947614" w14:textId="77777777" w:rsidR="003F7821" w:rsidRPr="00E20D21" w:rsidRDefault="003F7821" w:rsidP="003F7821">
            <w:pPr>
              <w:jc w:val="right"/>
              <w:rPr>
                <w:rFonts w:ascii="CAIXA Std Book" w:eastAsia="Times New Roman" w:hAnsi="CAIXA Std Book" w:cs="Calibri"/>
                <w:color w:val="005CA9"/>
                <w:sz w:val="18"/>
                <w:szCs w:val="18"/>
              </w:rPr>
            </w:pPr>
            <w:r w:rsidRPr="00E20D21">
              <w:rPr>
                <w:rFonts w:ascii="CAIXA Std Book" w:eastAsia="Times New Roman" w:hAnsi="CAIXA Std Book" w:cs="Arial"/>
                <w:color w:val="005CA9"/>
                <w:sz w:val="18"/>
                <w:szCs w:val="18"/>
              </w:rPr>
              <w:t>85.035</w:t>
            </w:r>
          </w:p>
        </w:tc>
      </w:tr>
      <w:tr w:rsidR="003F7821" w:rsidRPr="00E20D21" w14:paraId="1D7A4D15" w14:textId="77777777" w:rsidTr="00FA5C64">
        <w:trPr>
          <w:trHeight w:val="283"/>
        </w:trPr>
        <w:tc>
          <w:tcPr>
            <w:tcW w:w="2430" w:type="pct"/>
            <w:tcBorders>
              <w:top w:val="single" w:sz="4" w:space="0" w:color="F39200"/>
              <w:left w:val="nil"/>
              <w:bottom w:val="single" w:sz="4" w:space="0" w:color="F39200"/>
              <w:right w:val="nil"/>
            </w:tcBorders>
            <w:shd w:val="clear" w:color="auto" w:fill="auto"/>
            <w:noWrap/>
            <w:vAlign w:val="center"/>
            <w:hideMark/>
          </w:tcPr>
          <w:p w14:paraId="34945781" w14:textId="77777777" w:rsidR="003F7821" w:rsidRPr="00E20D21" w:rsidRDefault="003F7821" w:rsidP="003F7821">
            <w:pPr>
              <w:rPr>
                <w:rFonts w:ascii="CAIXA Std Book" w:eastAsia="Times New Roman" w:hAnsi="CAIXA Std Book" w:cs="Calibri"/>
                <w:b/>
                <w:bCs/>
                <w:color w:val="005CA9"/>
                <w:sz w:val="18"/>
                <w:szCs w:val="18"/>
              </w:rPr>
            </w:pPr>
            <w:r w:rsidRPr="00E20D21">
              <w:rPr>
                <w:rFonts w:ascii="CAIXA Std Book" w:eastAsia="Times New Roman" w:hAnsi="CAIXA Std Book" w:cs="Calibri"/>
                <w:b/>
                <w:bCs/>
                <w:color w:val="005CA9"/>
                <w:sz w:val="18"/>
                <w:szCs w:val="18"/>
              </w:rPr>
              <w:t>Total</w:t>
            </w:r>
          </w:p>
        </w:tc>
        <w:tc>
          <w:tcPr>
            <w:tcW w:w="642" w:type="pct"/>
            <w:tcBorders>
              <w:top w:val="single" w:sz="4" w:space="0" w:color="F39200"/>
              <w:left w:val="nil"/>
              <w:bottom w:val="single" w:sz="4" w:space="0" w:color="F39200"/>
              <w:right w:val="nil"/>
            </w:tcBorders>
            <w:shd w:val="clear" w:color="auto" w:fill="auto"/>
            <w:noWrap/>
            <w:vAlign w:val="center"/>
            <w:hideMark/>
          </w:tcPr>
          <w:p w14:paraId="39EDBA32" w14:textId="35FAD0D8" w:rsidR="003F7821" w:rsidRPr="00E20D21" w:rsidRDefault="00CC3B9D" w:rsidP="00CC3B9D">
            <w:pPr>
              <w:jc w:val="right"/>
              <w:rPr>
                <w:rFonts w:ascii="CAIXA Std Book" w:eastAsia="Times New Roman" w:hAnsi="CAIXA Std Book" w:cs="Calibri"/>
                <w:color w:val="005CA9"/>
                <w:sz w:val="18"/>
                <w:szCs w:val="18"/>
              </w:rPr>
            </w:pPr>
            <w:r w:rsidRPr="00E20D21">
              <w:rPr>
                <w:rFonts w:ascii="CAIXA Std Book" w:hAnsi="CAIXA Std Book" w:cs="Arial"/>
                <w:b/>
                <w:bCs/>
                <w:color w:val="005CA9"/>
                <w:sz w:val="18"/>
                <w:szCs w:val="18"/>
              </w:rPr>
              <w:t>11.312.005</w:t>
            </w:r>
          </w:p>
        </w:tc>
        <w:tc>
          <w:tcPr>
            <w:tcW w:w="642" w:type="pct"/>
            <w:tcBorders>
              <w:top w:val="single" w:sz="4" w:space="0" w:color="F39200"/>
              <w:left w:val="nil"/>
              <w:bottom w:val="single" w:sz="4" w:space="0" w:color="F39200"/>
              <w:right w:val="nil"/>
            </w:tcBorders>
            <w:shd w:val="clear" w:color="auto" w:fill="auto"/>
            <w:noWrap/>
            <w:vAlign w:val="center"/>
            <w:hideMark/>
          </w:tcPr>
          <w:p w14:paraId="700CD655" w14:textId="77777777" w:rsidR="003F7821" w:rsidRPr="00E20D21" w:rsidRDefault="003F7821" w:rsidP="003F7821">
            <w:pPr>
              <w:jc w:val="right"/>
              <w:rPr>
                <w:rFonts w:ascii="CAIXA Std Book" w:eastAsia="Times New Roman" w:hAnsi="CAIXA Std Book" w:cs="Calibri"/>
                <w:b/>
                <w:bCs/>
                <w:color w:val="005CA9"/>
                <w:sz w:val="18"/>
                <w:szCs w:val="18"/>
              </w:rPr>
            </w:pPr>
            <w:r w:rsidRPr="00E20D21">
              <w:rPr>
                <w:rFonts w:ascii="CAIXA Std Book" w:eastAsia="Times New Roman" w:hAnsi="CAIXA Std Book" w:cs="Arial"/>
                <w:b/>
                <w:bCs/>
                <w:color w:val="005CA9"/>
                <w:sz w:val="18"/>
                <w:szCs w:val="18"/>
              </w:rPr>
              <w:t>10.704.091</w:t>
            </w:r>
          </w:p>
        </w:tc>
        <w:tc>
          <w:tcPr>
            <w:tcW w:w="642" w:type="pct"/>
            <w:tcBorders>
              <w:top w:val="single" w:sz="4" w:space="0" w:color="F39200"/>
              <w:left w:val="nil"/>
              <w:bottom w:val="single" w:sz="4" w:space="0" w:color="F39200"/>
              <w:right w:val="nil"/>
            </w:tcBorders>
            <w:shd w:val="clear" w:color="auto" w:fill="auto"/>
            <w:noWrap/>
            <w:vAlign w:val="center"/>
            <w:hideMark/>
          </w:tcPr>
          <w:p w14:paraId="37876C05" w14:textId="1A7305EB" w:rsidR="003F7821" w:rsidRPr="00E20D21" w:rsidRDefault="00414B30" w:rsidP="00414B30">
            <w:pPr>
              <w:jc w:val="right"/>
              <w:rPr>
                <w:rFonts w:ascii="CAIXA Std Book" w:eastAsia="Times New Roman" w:hAnsi="CAIXA Std Book" w:cs="Calibri"/>
                <w:b/>
                <w:bCs/>
                <w:color w:val="005CA9"/>
                <w:sz w:val="18"/>
                <w:szCs w:val="18"/>
              </w:rPr>
            </w:pPr>
            <w:r w:rsidRPr="00E20D21">
              <w:rPr>
                <w:rFonts w:ascii="CAIXA Std Book" w:hAnsi="CAIXA Std Book" w:cs="Arial"/>
                <w:b/>
                <w:bCs/>
                <w:color w:val="005CA9"/>
                <w:sz w:val="18"/>
                <w:szCs w:val="18"/>
              </w:rPr>
              <w:t>13.383.980</w:t>
            </w:r>
          </w:p>
        </w:tc>
        <w:tc>
          <w:tcPr>
            <w:tcW w:w="643" w:type="pct"/>
            <w:tcBorders>
              <w:top w:val="single" w:sz="4" w:space="0" w:color="F39200"/>
              <w:left w:val="nil"/>
              <w:bottom w:val="single" w:sz="4" w:space="0" w:color="F39200"/>
              <w:right w:val="nil"/>
            </w:tcBorders>
            <w:shd w:val="clear" w:color="auto" w:fill="auto"/>
            <w:noWrap/>
            <w:vAlign w:val="center"/>
            <w:hideMark/>
          </w:tcPr>
          <w:p w14:paraId="6147E072" w14:textId="77777777" w:rsidR="003F7821" w:rsidRPr="00E20D21" w:rsidRDefault="003F7821" w:rsidP="003F7821">
            <w:pPr>
              <w:jc w:val="right"/>
              <w:rPr>
                <w:rFonts w:ascii="CAIXA Std Book" w:eastAsia="Times New Roman" w:hAnsi="CAIXA Std Book" w:cs="Calibri"/>
                <w:b/>
                <w:bCs/>
                <w:color w:val="005CA9"/>
                <w:sz w:val="18"/>
                <w:szCs w:val="18"/>
              </w:rPr>
            </w:pPr>
            <w:r w:rsidRPr="00E20D21">
              <w:rPr>
                <w:rFonts w:ascii="CAIXA Std Book" w:eastAsia="Times New Roman" w:hAnsi="CAIXA Std Book" w:cs="Arial"/>
                <w:b/>
                <w:bCs/>
                <w:color w:val="005CA9"/>
                <w:sz w:val="18"/>
                <w:szCs w:val="18"/>
              </w:rPr>
              <w:t>12.544.276</w:t>
            </w:r>
          </w:p>
        </w:tc>
      </w:tr>
    </w:tbl>
    <w:p w14:paraId="0A3E5D2E" w14:textId="7E9E271D" w:rsidR="00A80CFE" w:rsidRPr="00E20D21" w:rsidRDefault="00A80CFE" w:rsidP="009E3E9D">
      <w:pPr>
        <w:spacing w:before="120" w:after="240"/>
        <w:ind w:right="142"/>
        <w:jc w:val="both"/>
        <w:rPr>
          <w:rFonts w:ascii="CAIXA Std Book" w:hAnsi="CAIXA Std Book"/>
          <w:color w:val="005CA9"/>
          <w:sz w:val="20"/>
          <w:szCs w:val="20"/>
        </w:rPr>
      </w:pPr>
    </w:p>
    <w:p w14:paraId="144F8D1B" w14:textId="77777777" w:rsidR="00A80CFE" w:rsidRPr="00E20D21" w:rsidRDefault="00A80CFE">
      <w:pPr>
        <w:rPr>
          <w:rFonts w:ascii="CAIXA Std Book" w:hAnsi="CAIXA Std Book"/>
          <w:color w:val="005CA9"/>
          <w:sz w:val="20"/>
          <w:szCs w:val="20"/>
        </w:rPr>
      </w:pPr>
      <w:r w:rsidRPr="00E20D21">
        <w:rPr>
          <w:rFonts w:ascii="CAIXA Std Book" w:hAnsi="CAIXA Std Book"/>
          <w:color w:val="005CA9"/>
          <w:sz w:val="20"/>
          <w:szCs w:val="20"/>
        </w:rPr>
        <w:br w:type="page"/>
      </w:r>
    </w:p>
    <w:p w14:paraId="17DA0718" w14:textId="2C169A6D" w:rsidR="00814F49" w:rsidRPr="00E20D21" w:rsidRDefault="00814F49" w:rsidP="00FD7768">
      <w:pPr>
        <w:pStyle w:val="Ttulo1"/>
      </w:pPr>
      <w:bookmarkStart w:id="87" w:name="_Toc175067965"/>
      <w:bookmarkEnd w:id="86"/>
      <w:r w:rsidRPr="00E20D21">
        <w:lastRenderedPageBreak/>
        <w:t xml:space="preserve">Nota 25 – Despesas </w:t>
      </w:r>
      <w:r w:rsidR="00273EF6" w:rsidRPr="00E20D21">
        <w:t>de</w:t>
      </w:r>
      <w:r w:rsidRPr="00E20D21">
        <w:t xml:space="preserve"> pessoal</w:t>
      </w:r>
      <w:bookmarkEnd w:id="87"/>
    </w:p>
    <w:tbl>
      <w:tblPr>
        <w:tblW w:w="5000" w:type="pct"/>
        <w:tblCellMar>
          <w:left w:w="70" w:type="dxa"/>
          <w:right w:w="70" w:type="dxa"/>
        </w:tblCellMar>
        <w:tblLook w:val="04A0" w:firstRow="1" w:lastRow="0" w:firstColumn="1" w:lastColumn="0" w:noHBand="0" w:noVBand="1"/>
      </w:tblPr>
      <w:tblGrid>
        <w:gridCol w:w="3789"/>
        <w:gridCol w:w="1463"/>
        <w:gridCol w:w="1463"/>
        <w:gridCol w:w="1463"/>
        <w:gridCol w:w="1459"/>
      </w:tblGrid>
      <w:tr w:rsidR="00E9764A" w:rsidRPr="00E20D21" w14:paraId="55779C84" w14:textId="77777777" w:rsidTr="00FD216B">
        <w:trPr>
          <w:trHeight w:val="283"/>
        </w:trPr>
        <w:tc>
          <w:tcPr>
            <w:tcW w:w="1966" w:type="pct"/>
            <w:vMerge w:val="restart"/>
            <w:tcBorders>
              <w:top w:val="single" w:sz="4" w:space="0" w:color="F79646"/>
              <w:left w:val="nil"/>
              <w:right w:val="nil"/>
            </w:tcBorders>
            <w:shd w:val="clear" w:color="auto" w:fill="auto"/>
            <w:noWrap/>
            <w:vAlign w:val="center"/>
            <w:hideMark/>
          </w:tcPr>
          <w:p w14:paraId="0E64D750" w14:textId="77777777" w:rsidR="00E9764A" w:rsidRPr="00E20D21" w:rsidRDefault="00E9764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518" w:type="pct"/>
            <w:gridSpan w:val="2"/>
            <w:tcBorders>
              <w:top w:val="single" w:sz="4" w:space="0" w:color="F79646"/>
              <w:left w:val="nil"/>
              <w:bottom w:val="single" w:sz="4" w:space="0" w:color="F79646"/>
              <w:right w:val="nil"/>
            </w:tcBorders>
            <w:shd w:val="clear" w:color="auto" w:fill="auto"/>
            <w:noWrap/>
            <w:vAlign w:val="center"/>
            <w:hideMark/>
          </w:tcPr>
          <w:p w14:paraId="4DA4C060" w14:textId="77777777" w:rsidR="00E9764A" w:rsidRPr="00E20D21" w:rsidRDefault="00E9764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516" w:type="pct"/>
            <w:gridSpan w:val="2"/>
            <w:tcBorders>
              <w:top w:val="single" w:sz="4" w:space="0" w:color="F79646"/>
              <w:left w:val="nil"/>
              <w:bottom w:val="single" w:sz="4" w:space="0" w:color="F79646"/>
              <w:right w:val="nil"/>
            </w:tcBorders>
            <w:shd w:val="clear" w:color="auto" w:fill="auto"/>
            <w:noWrap/>
            <w:vAlign w:val="center"/>
            <w:hideMark/>
          </w:tcPr>
          <w:p w14:paraId="4474F213" w14:textId="77777777" w:rsidR="00E9764A" w:rsidRPr="00E20D21" w:rsidRDefault="00E9764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E9764A" w:rsidRPr="00E20D21" w14:paraId="19538D58" w14:textId="77777777" w:rsidTr="00FD216B">
        <w:trPr>
          <w:trHeight w:val="283"/>
        </w:trPr>
        <w:tc>
          <w:tcPr>
            <w:tcW w:w="1966" w:type="pct"/>
            <w:vMerge/>
            <w:tcBorders>
              <w:left w:val="nil"/>
              <w:right w:val="nil"/>
            </w:tcBorders>
            <w:shd w:val="clear" w:color="auto" w:fill="auto"/>
            <w:vAlign w:val="center"/>
            <w:hideMark/>
          </w:tcPr>
          <w:p w14:paraId="68BC5715" w14:textId="77777777" w:rsidR="00E9764A" w:rsidRPr="00E20D21" w:rsidRDefault="00E9764A">
            <w:pPr>
              <w:jc w:val="center"/>
              <w:rPr>
                <w:rFonts w:ascii="CAIXA Std Book" w:eastAsia="Times New Roman" w:hAnsi="CAIXA Std Book" w:cs="Arial"/>
                <w:b/>
                <w:bCs/>
                <w:color w:val="005CA9"/>
                <w:sz w:val="18"/>
                <w:szCs w:val="18"/>
              </w:rPr>
            </w:pPr>
          </w:p>
        </w:tc>
        <w:tc>
          <w:tcPr>
            <w:tcW w:w="759" w:type="pct"/>
            <w:tcBorders>
              <w:top w:val="nil"/>
              <w:left w:val="nil"/>
              <w:bottom w:val="single" w:sz="4" w:space="0" w:color="F79646"/>
              <w:right w:val="nil"/>
            </w:tcBorders>
            <w:shd w:val="clear" w:color="auto" w:fill="auto"/>
            <w:vAlign w:val="center"/>
            <w:hideMark/>
          </w:tcPr>
          <w:p w14:paraId="1C65A662" w14:textId="4627F52A" w:rsidR="00E9764A" w:rsidRPr="00E20D21" w:rsidRDefault="00E9764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w:t>
            </w:r>
            <w:r w:rsidR="00F5633A" w:rsidRPr="00E20D21">
              <w:rPr>
                <w:rFonts w:ascii="CAIXA Std Book" w:eastAsia="Times New Roman" w:hAnsi="CAIXA Std Book" w:cs="Arial"/>
                <w:b/>
                <w:bCs/>
                <w:color w:val="005CA9"/>
                <w:sz w:val="18"/>
                <w:szCs w:val="18"/>
              </w:rPr>
              <w:t>4</w:t>
            </w:r>
          </w:p>
        </w:tc>
        <w:tc>
          <w:tcPr>
            <w:tcW w:w="759" w:type="pct"/>
            <w:tcBorders>
              <w:top w:val="nil"/>
              <w:left w:val="nil"/>
              <w:bottom w:val="single" w:sz="4" w:space="0" w:color="F79646"/>
              <w:right w:val="nil"/>
            </w:tcBorders>
            <w:shd w:val="clear" w:color="auto" w:fill="auto"/>
            <w:vAlign w:val="center"/>
            <w:hideMark/>
          </w:tcPr>
          <w:p w14:paraId="02ACCAB5" w14:textId="72D2C635" w:rsidR="00E9764A" w:rsidRPr="00E20D21" w:rsidRDefault="00F5633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759" w:type="pct"/>
            <w:tcBorders>
              <w:top w:val="nil"/>
              <w:left w:val="nil"/>
              <w:bottom w:val="single" w:sz="4" w:space="0" w:color="F79646"/>
              <w:right w:val="nil"/>
            </w:tcBorders>
            <w:shd w:val="clear" w:color="auto" w:fill="auto"/>
            <w:vAlign w:val="center"/>
            <w:hideMark/>
          </w:tcPr>
          <w:p w14:paraId="39E931B5" w14:textId="18BF4D95" w:rsidR="00E9764A" w:rsidRPr="00E20D21" w:rsidRDefault="00E9764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w:t>
            </w:r>
            <w:r w:rsidR="00F5633A" w:rsidRPr="00E20D21">
              <w:rPr>
                <w:rFonts w:ascii="CAIXA Std Book" w:eastAsia="Times New Roman" w:hAnsi="CAIXA Std Book" w:cs="Arial"/>
                <w:b/>
                <w:bCs/>
                <w:color w:val="005CA9"/>
                <w:sz w:val="18"/>
                <w:szCs w:val="18"/>
              </w:rPr>
              <w:t>4</w:t>
            </w:r>
          </w:p>
        </w:tc>
        <w:tc>
          <w:tcPr>
            <w:tcW w:w="757" w:type="pct"/>
            <w:tcBorders>
              <w:top w:val="nil"/>
              <w:left w:val="nil"/>
              <w:bottom w:val="single" w:sz="4" w:space="0" w:color="F79646"/>
              <w:right w:val="nil"/>
            </w:tcBorders>
            <w:shd w:val="clear" w:color="auto" w:fill="auto"/>
            <w:vAlign w:val="center"/>
            <w:hideMark/>
          </w:tcPr>
          <w:p w14:paraId="4224D030" w14:textId="098D6FE1" w:rsidR="00E9764A" w:rsidRPr="00E20D21" w:rsidRDefault="00F5633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E9764A" w:rsidRPr="00E20D21" w14:paraId="65F64573" w14:textId="77777777" w:rsidTr="00FD216B">
        <w:trPr>
          <w:trHeight w:val="283"/>
        </w:trPr>
        <w:tc>
          <w:tcPr>
            <w:tcW w:w="1966" w:type="pct"/>
            <w:vMerge/>
            <w:tcBorders>
              <w:left w:val="nil"/>
              <w:bottom w:val="single" w:sz="4" w:space="0" w:color="F39200"/>
              <w:right w:val="nil"/>
            </w:tcBorders>
            <w:vAlign w:val="center"/>
            <w:hideMark/>
          </w:tcPr>
          <w:p w14:paraId="35621C85" w14:textId="77777777" w:rsidR="00E9764A" w:rsidRPr="00E20D21" w:rsidRDefault="00E9764A">
            <w:pPr>
              <w:jc w:val="center"/>
              <w:rPr>
                <w:rFonts w:ascii="CAIXA Std Book" w:eastAsia="Times New Roman" w:hAnsi="CAIXA Std Book" w:cs="Arial"/>
                <w:b/>
                <w:bCs/>
                <w:color w:val="005CA9"/>
                <w:sz w:val="18"/>
                <w:szCs w:val="18"/>
              </w:rPr>
            </w:pPr>
          </w:p>
        </w:tc>
        <w:tc>
          <w:tcPr>
            <w:tcW w:w="759" w:type="pct"/>
            <w:tcBorders>
              <w:top w:val="nil"/>
              <w:left w:val="nil"/>
              <w:bottom w:val="single" w:sz="4" w:space="0" w:color="F39200"/>
              <w:right w:val="nil"/>
            </w:tcBorders>
            <w:shd w:val="clear" w:color="auto" w:fill="auto"/>
            <w:vAlign w:val="center"/>
            <w:hideMark/>
          </w:tcPr>
          <w:p w14:paraId="0FECF2F6" w14:textId="77777777" w:rsidR="00E9764A" w:rsidRPr="00E20D21" w:rsidRDefault="00E9764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59" w:type="pct"/>
            <w:tcBorders>
              <w:top w:val="nil"/>
              <w:left w:val="nil"/>
              <w:bottom w:val="single" w:sz="4" w:space="0" w:color="F39200"/>
              <w:right w:val="nil"/>
            </w:tcBorders>
            <w:shd w:val="clear" w:color="auto" w:fill="auto"/>
            <w:vAlign w:val="center"/>
            <w:hideMark/>
          </w:tcPr>
          <w:p w14:paraId="10317647" w14:textId="77777777" w:rsidR="00E9764A" w:rsidRPr="00E20D21" w:rsidRDefault="00E9764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59" w:type="pct"/>
            <w:tcBorders>
              <w:top w:val="nil"/>
              <w:left w:val="nil"/>
              <w:bottom w:val="single" w:sz="4" w:space="0" w:color="F39200"/>
              <w:right w:val="nil"/>
            </w:tcBorders>
            <w:shd w:val="clear" w:color="auto" w:fill="auto"/>
            <w:vAlign w:val="center"/>
            <w:hideMark/>
          </w:tcPr>
          <w:p w14:paraId="54932A07" w14:textId="77777777" w:rsidR="00E9764A" w:rsidRPr="00E20D21" w:rsidRDefault="00E9764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57" w:type="pct"/>
            <w:tcBorders>
              <w:top w:val="nil"/>
              <w:left w:val="nil"/>
              <w:bottom w:val="single" w:sz="4" w:space="0" w:color="F39200"/>
              <w:right w:val="nil"/>
            </w:tcBorders>
            <w:shd w:val="clear" w:color="auto" w:fill="auto"/>
            <w:vAlign w:val="center"/>
            <w:hideMark/>
          </w:tcPr>
          <w:p w14:paraId="2CC03D23" w14:textId="77777777" w:rsidR="00E9764A" w:rsidRPr="00E20D21" w:rsidRDefault="00E9764A">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C72CC5" w:rsidRPr="00E20D21" w14:paraId="6D1FD724" w14:textId="77777777" w:rsidTr="00FD216B">
        <w:trPr>
          <w:trHeight w:val="283"/>
        </w:trPr>
        <w:tc>
          <w:tcPr>
            <w:tcW w:w="1966" w:type="pct"/>
            <w:tcBorders>
              <w:top w:val="nil"/>
              <w:left w:val="nil"/>
              <w:bottom w:val="nil"/>
              <w:right w:val="nil"/>
            </w:tcBorders>
            <w:shd w:val="clear" w:color="auto" w:fill="auto"/>
            <w:vAlign w:val="center"/>
            <w:hideMark/>
          </w:tcPr>
          <w:p w14:paraId="33D32F89" w14:textId="26E13C57" w:rsidR="00C72CC5" w:rsidRPr="00E20D21" w:rsidRDefault="00C72CC5" w:rsidP="00C72CC5">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Sal</w:t>
            </w:r>
            <w:r w:rsidR="009E01D1" w:rsidRPr="00E20D21">
              <w:rPr>
                <w:rFonts w:ascii="CAIXA Std Book" w:hAnsi="CAIXA Std Book" w:cs="Arial"/>
                <w:color w:val="005CA9"/>
                <w:sz w:val="18"/>
                <w:szCs w:val="18"/>
              </w:rPr>
              <w:t>á</w:t>
            </w:r>
            <w:r w:rsidRPr="00E20D21">
              <w:rPr>
                <w:rFonts w:ascii="CAIXA Std Book" w:hAnsi="CAIXA Std Book" w:cs="Arial"/>
                <w:color w:val="005CA9"/>
                <w:sz w:val="18"/>
                <w:szCs w:val="18"/>
              </w:rPr>
              <w:t>rios</w:t>
            </w:r>
          </w:p>
        </w:tc>
        <w:tc>
          <w:tcPr>
            <w:tcW w:w="759" w:type="pct"/>
            <w:tcBorders>
              <w:top w:val="nil"/>
              <w:left w:val="nil"/>
              <w:bottom w:val="nil"/>
              <w:right w:val="nil"/>
            </w:tcBorders>
            <w:shd w:val="clear" w:color="auto" w:fill="auto"/>
            <w:noWrap/>
            <w:vAlign w:val="center"/>
          </w:tcPr>
          <w:p w14:paraId="47D35DAE" w14:textId="63934CE0"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(8.552.310)</w:t>
            </w:r>
          </w:p>
        </w:tc>
        <w:tc>
          <w:tcPr>
            <w:tcW w:w="759" w:type="pct"/>
            <w:tcBorders>
              <w:top w:val="nil"/>
              <w:left w:val="nil"/>
              <w:bottom w:val="nil"/>
              <w:right w:val="nil"/>
            </w:tcBorders>
            <w:shd w:val="clear" w:color="auto" w:fill="auto"/>
            <w:vAlign w:val="center"/>
            <w:hideMark/>
          </w:tcPr>
          <w:p w14:paraId="12BDBDEC" w14:textId="232D97A4"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(8.041.447)</w:t>
            </w:r>
          </w:p>
        </w:tc>
        <w:tc>
          <w:tcPr>
            <w:tcW w:w="759" w:type="pct"/>
            <w:tcBorders>
              <w:top w:val="nil"/>
              <w:left w:val="nil"/>
              <w:bottom w:val="nil"/>
              <w:right w:val="nil"/>
            </w:tcBorders>
            <w:shd w:val="clear" w:color="auto" w:fill="auto"/>
            <w:noWrap/>
            <w:vAlign w:val="center"/>
          </w:tcPr>
          <w:p w14:paraId="142BB4D1" w14:textId="65A2EF1C" w:rsidR="00C72CC5" w:rsidRPr="00E20D21" w:rsidRDefault="00B513D8" w:rsidP="00FD216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(8.617.656)</w:t>
            </w:r>
          </w:p>
        </w:tc>
        <w:tc>
          <w:tcPr>
            <w:tcW w:w="757" w:type="pct"/>
            <w:tcBorders>
              <w:top w:val="nil"/>
              <w:left w:val="nil"/>
              <w:bottom w:val="nil"/>
              <w:right w:val="nil"/>
            </w:tcBorders>
            <w:shd w:val="clear" w:color="auto" w:fill="auto"/>
            <w:vAlign w:val="center"/>
            <w:hideMark/>
          </w:tcPr>
          <w:p w14:paraId="6BC48499" w14:textId="52DA7015"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(8.110.736)</w:t>
            </w:r>
          </w:p>
        </w:tc>
      </w:tr>
      <w:tr w:rsidR="00C72CC5" w:rsidRPr="00E20D21" w14:paraId="41A1396C" w14:textId="77777777" w:rsidTr="00FD216B">
        <w:trPr>
          <w:trHeight w:val="283"/>
        </w:trPr>
        <w:tc>
          <w:tcPr>
            <w:tcW w:w="1966" w:type="pct"/>
            <w:tcBorders>
              <w:top w:val="nil"/>
              <w:left w:val="nil"/>
              <w:bottom w:val="nil"/>
              <w:right w:val="nil"/>
            </w:tcBorders>
            <w:shd w:val="clear" w:color="auto" w:fill="auto"/>
            <w:vAlign w:val="center"/>
            <w:hideMark/>
          </w:tcPr>
          <w:p w14:paraId="798D8021" w14:textId="5ABB2F5E" w:rsidR="00C72CC5" w:rsidRPr="00E20D21" w:rsidRDefault="00C72CC5" w:rsidP="00C72CC5">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Benef</w:t>
            </w:r>
            <w:r w:rsidR="009E01D1" w:rsidRPr="00E20D21">
              <w:rPr>
                <w:rFonts w:ascii="CAIXA Std Book" w:hAnsi="CAIXA Std Book" w:cs="Arial"/>
                <w:color w:val="005CA9"/>
                <w:sz w:val="18"/>
                <w:szCs w:val="18"/>
              </w:rPr>
              <w:t>í</w:t>
            </w:r>
            <w:r w:rsidRPr="00E20D21">
              <w:rPr>
                <w:rFonts w:ascii="CAIXA Std Book" w:hAnsi="CAIXA Std Book" w:cs="Arial"/>
                <w:color w:val="005CA9"/>
                <w:sz w:val="18"/>
                <w:szCs w:val="18"/>
              </w:rPr>
              <w:t>cios</w:t>
            </w:r>
          </w:p>
        </w:tc>
        <w:tc>
          <w:tcPr>
            <w:tcW w:w="759" w:type="pct"/>
            <w:tcBorders>
              <w:top w:val="nil"/>
              <w:left w:val="nil"/>
              <w:bottom w:val="nil"/>
              <w:right w:val="nil"/>
            </w:tcBorders>
            <w:shd w:val="clear" w:color="auto" w:fill="auto"/>
            <w:noWrap/>
            <w:vAlign w:val="center"/>
          </w:tcPr>
          <w:p w14:paraId="44795C29" w14:textId="24F9092A" w:rsidR="00C72CC5" w:rsidRPr="00E20D21" w:rsidRDefault="00C72CC5" w:rsidP="00C72CC5">
            <w:pPr>
              <w:jc w:val="right"/>
              <w:rPr>
                <w:rFonts w:ascii="CAIXA Std Book" w:eastAsia="Times New Roman" w:hAnsi="CAIXA Std Book" w:cs="Arial"/>
                <w:color w:val="005CA9"/>
                <w:sz w:val="18"/>
                <w:szCs w:val="18"/>
                <w:highlight w:val="yellow"/>
              </w:rPr>
            </w:pPr>
            <w:r w:rsidRPr="00E20D21">
              <w:rPr>
                <w:rFonts w:ascii="CAIXA Std Book" w:hAnsi="CAIXA Std Book" w:cs="Arial"/>
                <w:color w:val="005CA9"/>
                <w:sz w:val="18"/>
                <w:szCs w:val="18"/>
              </w:rPr>
              <w:t>(2.033.595)</w:t>
            </w:r>
          </w:p>
        </w:tc>
        <w:tc>
          <w:tcPr>
            <w:tcW w:w="759" w:type="pct"/>
            <w:tcBorders>
              <w:top w:val="nil"/>
              <w:left w:val="nil"/>
              <w:bottom w:val="nil"/>
              <w:right w:val="nil"/>
            </w:tcBorders>
            <w:shd w:val="clear" w:color="auto" w:fill="auto"/>
            <w:vAlign w:val="center"/>
            <w:hideMark/>
          </w:tcPr>
          <w:p w14:paraId="7ED17991" w14:textId="305C72E4" w:rsidR="00C72CC5" w:rsidRPr="00E20D21" w:rsidRDefault="00C72CC5" w:rsidP="00C72CC5">
            <w:pPr>
              <w:jc w:val="right"/>
              <w:rPr>
                <w:rFonts w:ascii="CAIXA Std Book" w:eastAsia="Times New Roman" w:hAnsi="CAIXA Std Book" w:cs="Arial"/>
                <w:color w:val="005CA9"/>
                <w:sz w:val="18"/>
                <w:szCs w:val="18"/>
                <w:highlight w:val="yellow"/>
              </w:rPr>
            </w:pPr>
            <w:r w:rsidRPr="00E20D21">
              <w:rPr>
                <w:rFonts w:ascii="CAIXA Std Book" w:hAnsi="CAIXA Std Book" w:cs="Arial"/>
                <w:color w:val="005CA9"/>
                <w:sz w:val="18"/>
                <w:szCs w:val="18"/>
              </w:rPr>
              <w:t>(1.947.010)</w:t>
            </w:r>
          </w:p>
        </w:tc>
        <w:tc>
          <w:tcPr>
            <w:tcW w:w="759" w:type="pct"/>
            <w:tcBorders>
              <w:top w:val="nil"/>
              <w:left w:val="nil"/>
              <w:bottom w:val="nil"/>
              <w:right w:val="nil"/>
            </w:tcBorders>
            <w:shd w:val="clear" w:color="auto" w:fill="auto"/>
            <w:noWrap/>
            <w:vAlign w:val="center"/>
          </w:tcPr>
          <w:p w14:paraId="4531A65D" w14:textId="36BBFC15" w:rsidR="00C72CC5" w:rsidRPr="00E20D21" w:rsidRDefault="00B513D8" w:rsidP="00FD216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(2.211.194)</w:t>
            </w:r>
          </w:p>
        </w:tc>
        <w:tc>
          <w:tcPr>
            <w:tcW w:w="757" w:type="pct"/>
            <w:tcBorders>
              <w:top w:val="nil"/>
              <w:left w:val="nil"/>
              <w:bottom w:val="nil"/>
              <w:right w:val="nil"/>
            </w:tcBorders>
            <w:shd w:val="clear" w:color="auto" w:fill="auto"/>
            <w:vAlign w:val="center"/>
            <w:hideMark/>
          </w:tcPr>
          <w:p w14:paraId="1CC80CD6" w14:textId="172DB289"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(2.095.992)</w:t>
            </w:r>
          </w:p>
        </w:tc>
      </w:tr>
      <w:tr w:rsidR="00C72CC5" w:rsidRPr="00E20D21" w14:paraId="2CD3389B" w14:textId="77777777" w:rsidTr="00FD216B">
        <w:trPr>
          <w:trHeight w:val="283"/>
        </w:trPr>
        <w:tc>
          <w:tcPr>
            <w:tcW w:w="1966" w:type="pct"/>
            <w:tcBorders>
              <w:top w:val="nil"/>
              <w:left w:val="nil"/>
              <w:bottom w:val="nil"/>
              <w:right w:val="nil"/>
            </w:tcBorders>
            <w:shd w:val="clear" w:color="auto" w:fill="auto"/>
            <w:vAlign w:val="center"/>
            <w:hideMark/>
          </w:tcPr>
          <w:p w14:paraId="6124A93E" w14:textId="0692DD7C" w:rsidR="00C72CC5" w:rsidRPr="00E20D21" w:rsidRDefault="00C72CC5" w:rsidP="00C72CC5">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Indeniza</w:t>
            </w:r>
            <w:r w:rsidR="009E01D1" w:rsidRPr="00E20D21">
              <w:rPr>
                <w:rFonts w:ascii="CAIXA Std Book" w:hAnsi="CAIXA Std Book" w:cs="Arial"/>
                <w:color w:val="005CA9"/>
                <w:sz w:val="18"/>
                <w:szCs w:val="18"/>
              </w:rPr>
              <w:t>çõ</w:t>
            </w:r>
            <w:r w:rsidRPr="00E20D21">
              <w:rPr>
                <w:rFonts w:ascii="CAIXA Std Book" w:hAnsi="CAIXA Std Book" w:cs="Arial"/>
                <w:color w:val="005CA9"/>
                <w:sz w:val="18"/>
                <w:szCs w:val="18"/>
              </w:rPr>
              <w:t>es trabalhistas</w:t>
            </w:r>
            <w:r w:rsidR="0040383C" w:rsidRPr="00E20D21">
              <w:rPr>
                <w:rFonts w:ascii="CAIXA Std Book" w:hAnsi="CAIXA Std Book" w:cs="Arial"/>
                <w:color w:val="005CA9"/>
                <w:sz w:val="18"/>
                <w:szCs w:val="18"/>
              </w:rPr>
              <w:t xml:space="preserve"> (1)</w:t>
            </w:r>
          </w:p>
        </w:tc>
        <w:tc>
          <w:tcPr>
            <w:tcW w:w="759" w:type="pct"/>
            <w:tcBorders>
              <w:top w:val="nil"/>
              <w:left w:val="nil"/>
              <w:bottom w:val="nil"/>
              <w:right w:val="nil"/>
            </w:tcBorders>
            <w:shd w:val="clear" w:color="auto" w:fill="auto"/>
            <w:noWrap/>
            <w:vAlign w:val="center"/>
          </w:tcPr>
          <w:p w14:paraId="567D9487" w14:textId="00E1574B" w:rsidR="00C72CC5" w:rsidRPr="00E20D21" w:rsidRDefault="00C72CC5" w:rsidP="00C72CC5">
            <w:pPr>
              <w:jc w:val="right"/>
              <w:rPr>
                <w:rFonts w:ascii="CAIXA Std Book" w:eastAsia="Times New Roman" w:hAnsi="CAIXA Std Book" w:cs="Arial"/>
                <w:color w:val="005CA9"/>
                <w:sz w:val="18"/>
                <w:szCs w:val="18"/>
                <w:highlight w:val="yellow"/>
              </w:rPr>
            </w:pPr>
            <w:r w:rsidRPr="00E20D21">
              <w:rPr>
                <w:rFonts w:ascii="CAIXA Std Book" w:hAnsi="CAIXA Std Book" w:cs="Arial"/>
                <w:color w:val="005CA9"/>
                <w:sz w:val="18"/>
                <w:szCs w:val="18"/>
              </w:rPr>
              <w:t>(979.904)</w:t>
            </w:r>
          </w:p>
        </w:tc>
        <w:tc>
          <w:tcPr>
            <w:tcW w:w="759" w:type="pct"/>
            <w:tcBorders>
              <w:top w:val="nil"/>
              <w:left w:val="nil"/>
              <w:bottom w:val="nil"/>
              <w:right w:val="nil"/>
            </w:tcBorders>
            <w:shd w:val="clear" w:color="auto" w:fill="auto"/>
            <w:vAlign w:val="center"/>
            <w:hideMark/>
          </w:tcPr>
          <w:p w14:paraId="2AB7D330" w14:textId="221B94BA" w:rsidR="00C72CC5" w:rsidRPr="00E20D21" w:rsidRDefault="00C72CC5" w:rsidP="00C72CC5">
            <w:pPr>
              <w:jc w:val="right"/>
              <w:rPr>
                <w:rFonts w:ascii="CAIXA Std Book" w:eastAsia="Times New Roman" w:hAnsi="CAIXA Std Book" w:cs="Arial"/>
                <w:color w:val="005CA9"/>
                <w:sz w:val="18"/>
                <w:szCs w:val="18"/>
                <w:highlight w:val="yellow"/>
              </w:rPr>
            </w:pPr>
            <w:r w:rsidRPr="00E20D21">
              <w:rPr>
                <w:rFonts w:ascii="CAIXA Std Book" w:hAnsi="CAIXA Std Book" w:cs="Arial"/>
                <w:color w:val="005CA9"/>
                <w:sz w:val="18"/>
                <w:szCs w:val="18"/>
              </w:rPr>
              <w:t>(102.478)</w:t>
            </w:r>
          </w:p>
        </w:tc>
        <w:tc>
          <w:tcPr>
            <w:tcW w:w="759" w:type="pct"/>
            <w:tcBorders>
              <w:top w:val="nil"/>
              <w:left w:val="nil"/>
              <w:bottom w:val="nil"/>
              <w:right w:val="nil"/>
            </w:tcBorders>
            <w:shd w:val="clear" w:color="auto" w:fill="auto"/>
            <w:noWrap/>
            <w:vAlign w:val="center"/>
          </w:tcPr>
          <w:p w14:paraId="692DB19A" w14:textId="64C29595" w:rsidR="00C72CC5" w:rsidRPr="00E20D21" w:rsidRDefault="00B513D8" w:rsidP="00FD216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(979.904)</w:t>
            </w:r>
          </w:p>
        </w:tc>
        <w:tc>
          <w:tcPr>
            <w:tcW w:w="757" w:type="pct"/>
            <w:tcBorders>
              <w:top w:val="nil"/>
              <w:left w:val="nil"/>
              <w:bottom w:val="nil"/>
              <w:right w:val="nil"/>
            </w:tcBorders>
            <w:shd w:val="clear" w:color="auto" w:fill="auto"/>
            <w:vAlign w:val="center"/>
            <w:hideMark/>
          </w:tcPr>
          <w:p w14:paraId="190340A2" w14:textId="590A3DCF"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(102.478)</w:t>
            </w:r>
          </w:p>
        </w:tc>
      </w:tr>
      <w:tr w:rsidR="00C72CC5" w:rsidRPr="00E20D21" w14:paraId="5A9EB6F8" w14:textId="77777777" w:rsidTr="00FD216B">
        <w:trPr>
          <w:trHeight w:val="283"/>
        </w:trPr>
        <w:tc>
          <w:tcPr>
            <w:tcW w:w="1966" w:type="pct"/>
            <w:tcBorders>
              <w:top w:val="nil"/>
              <w:left w:val="nil"/>
              <w:bottom w:val="nil"/>
              <w:right w:val="nil"/>
            </w:tcBorders>
            <w:shd w:val="clear" w:color="auto" w:fill="auto"/>
            <w:vAlign w:val="center"/>
            <w:hideMark/>
          </w:tcPr>
          <w:p w14:paraId="3E2F5D2A" w14:textId="7BFAEFE0" w:rsidR="00C72CC5" w:rsidRPr="00E20D21" w:rsidRDefault="00C72CC5" w:rsidP="00C72CC5">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Outros</w:t>
            </w:r>
          </w:p>
        </w:tc>
        <w:tc>
          <w:tcPr>
            <w:tcW w:w="759" w:type="pct"/>
            <w:tcBorders>
              <w:top w:val="nil"/>
              <w:left w:val="nil"/>
              <w:bottom w:val="nil"/>
              <w:right w:val="nil"/>
            </w:tcBorders>
            <w:shd w:val="clear" w:color="auto" w:fill="auto"/>
            <w:noWrap/>
            <w:vAlign w:val="center"/>
          </w:tcPr>
          <w:p w14:paraId="3A15D958" w14:textId="5FDE9337"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(42.110)</w:t>
            </w:r>
          </w:p>
        </w:tc>
        <w:tc>
          <w:tcPr>
            <w:tcW w:w="759" w:type="pct"/>
            <w:tcBorders>
              <w:top w:val="nil"/>
              <w:left w:val="nil"/>
              <w:bottom w:val="nil"/>
              <w:right w:val="nil"/>
            </w:tcBorders>
            <w:shd w:val="clear" w:color="auto" w:fill="auto"/>
            <w:vAlign w:val="center"/>
            <w:hideMark/>
          </w:tcPr>
          <w:p w14:paraId="733FCA93" w14:textId="7AE2DA01"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(35.634)</w:t>
            </w:r>
          </w:p>
        </w:tc>
        <w:tc>
          <w:tcPr>
            <w:tcW w:w="759" w:type="pct"/>
            <w:tcBorders>
              <w:top w:val="nil"/>
              <w:left w:val="nil"/>
              <w:bottom w:val="nil"/>
              <w:right w:val="nil"/>
            </w:tcBorders>
            <w:shd w:val="clear" w:color="auto" w:fill="auto"/>
            <w:noWrap/>
            <w:vAlign w:val="center"/>
          </w:tcPr>
          <w:p w14:paraId="714B5FC9" w14:textId="17F15ACF" w:rsidR="00C72CC5" w:rsidRPr="00E20D21" w:rsidRDefault="00B513D8" w:rsidP="00FD216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(49.397)</w:t>
            </w:r>
          </w:p>
        </w:tc>
        <w:tc>
          <w:tcPr>
            <w:tcW w:w="757" w:type="pct"/>
            <w:tcBorders>
              <w:top w:val="nil"/>
              <w:left w:val="nil"/>
              <w:bottom w:val="nil"/>
              <w:right w:val="nil"/>
            </w:tcBorders>
            <w:shd w:val="clear" w:color="auto" w:fill="auto"/>
            <w:vAlign w:val="center"/>
            <w:hideMark/>
          </w:tcPr>
          <w:p w14:paraId="73A6A1EB" w14:textId="79775C1A"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(36.209)</w:t>
            </w:r>
          </w:p>
        </w:tc>
      </w:tr>
      <w:tr w:rsidR="00C72CC5" w:rsidRPr="00E20D21" w14:paraId="17676287" w14:textId="77777777" w:rsidTr="00FD216B">
        <w:trPr>
          <w:trHeight w:val="283"/>
        </w:trPr>
        <w:tc>
          <w:tcPr>
            <w:tcW w:w="1966" w:type="pct"/>
            <w:tcBorders>
              <w:top w:val="nil"/>
              <w:left w:val="nil"/>
              <w:bottom w:val="nil"/>
              <w:right w:val="nil"/>
            </w:tcBorders>
            <w:shd w:val="clear" w:color="auto" w:fill="auto"/>
            <w:vAlign w:val="center"/>
            <w:hideMark/>
          </w:tcPr>
          <w:p w14:paraId="15DE3903" w14:textId="76D618C4" w:rsidR="00C72CC5" w:rsidRPr="00E20D21" w:rsidRDefault="00C72CC5" w:rsidP="00C72CC5">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Encargos sociais</w:t>
            </w:r>
          </w:p>
        </w:tc>
        <w:tc>
          <w:tcPr>
            <w:tcW w:w="759" w:type="pct"/>
            <w:tcBorders>
              <w:top w:val="nil"/>
              <w:left w:val="nil"/>
              <w:bottom w:val="nil"/>
              <w:right w:val="nil"/>
            </w:tcBorders>
            <w:shd w:val="clear" w:color="auto" w:fill="auto"/>
            <w:noWrap/>
            <w:vAlign w:val="center"/>
          </w:tcPr>
          <w:p w14:paraId="093DF7AB" w14:textId="78C27CF2"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(3.561.160)</w:t>
            </w:r>
          </w:p>
        </w:tc>
        <w:tc>
          <w:tcPr>
            <w:tcW w:w="759" w:type="pct"/>
            <w:tcBorders>
              <w:top w:val="nil"/>
              <w:left w:val="nil"/>
              <w:bottom w:val="nil"/>
              <w:right w:val="nil"/>
            </w:tcBorders>
            <w:shd w:val="clear" w:color="auto" w:fill="auto"/>
            <w:vAlign w:val="center"/>
            <w:hideMark/>
          </w:tcPr>
          <w:p w14:paraId="29530ADA" w14:textId="126330A5"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(3.332.316)</w:t>
            </w:r>
          </w:p>
        </w:tc>
        <w:tc>
          <w:tcPr>
            <w:tcW w:w="759" w:type="pct"/>
            <w:tcBorders>
              <w:top w:val="nil"/>
              <w:left w:val="nil"/>
              <w:bottom w:val="nil"/>
              <w:right w:val="nil"/>
            </w:tcBorders>
            <w:shd w:val="clear" w:color="auto" w:fill="auto"/>
            <w:vAlign w:val="center"/>
          </w:tcPr>
          <w:p w14:paraId="71D41BB8" w14:textId="21357D56" w:rsidR="00C72CC5" w:rsidRPr="00E20D21" w:rsidRDefault="00B513D8" w:rsidP="00FD216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(3.590.819)</w:t>
            </w:r>
          </w:p>
        </w:tc>
        <w:tc>
          <w:tcPr>
            <w:tcW w:w="757" w:type="pct"/>
            <w:tcBorders>
              <w:top w:val="nil"/>
              <w:left w:val="nil"/>
              <w:bottom w:val="nil"/>
              <w:right w:val="nil"/>
            </w:tcBorders>
            <w:shd w:val="clear" w:color="auto" w:fill="auto"/>
            <w:vAlign w:val="center"/>
            <w:hideMark/>
          </w:tcPr>
          <w:p w14:paraId="71384978" w14:textId="2C761123"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(3.359.785)</w:t>
            </w:r>
          </w:p>
        </w:tc>
      </w:tr>
      <w:tr w:rsidR="00C72CC5" w:rsidRPr="00E20D21" w14:paraId="19D00115" w14:textId="77777777" w:rsidTr="00FD216B">
        <w:trPr>
          <w:trHeight w:val="283"/>
        </w:trPr>
        <w:tc>
          <w:tcPr>
            <w:tcW w:w="1966" w:type="pct"/>
            <w:tcBorders>
              <w:top w:val="nil"/>
              <w:left w:val="nil"/>
              <w:bottom w:val="nil"/>
              <w:right w:val="nil"/>
            </w:tcBorders>
            <w:shd w:val="clear" w:color="auto" w:fill="auto"/>
            <w:vAlign w:val="center"/>
            <w:hideMark/>
          </w:tcPr>
          <w:p w14:paraId="743B981A" w14:textId="42CE6AEF" w:rsidR="00C72CC5" w:rsidRPr="00E20D21" w:rsidRDefault="00C72CC5" w:rsidP="00C72CC5">
            <w:pPr>
              <w:ind w:firstLineChars="100" w:firstLine="180"/>
              <w:rPr>
                <w:rFonts w:ascii="CAIXA Std Book" w:eastAsia="Times New Roman" w:hAnsi="CAIXA Std Book" w:cs="Arial"/>
                <w:color w:val="005CA9"/>
                <w:sz w:val="18"/>
                <w:szCs w:val="18"/>
              </w:rPr>
            </w:pPr>
            <w:r w:rsidRPr="00E20D21">
              <w:rPr>
                <w:rFonts w:ascii="CAIXA Std Book" w:hAnsi="CAIXA Std Book" w:cs="Arial"/>
                <w:color w:val="005CA9"/>
                <w:sz w:val="18"/>
                <w:szCs w:val="18"/>
              </w:rPr>
              <w:t>Previdência social</w:t>
            </w:r>
          </w:p>
        </w:tc>
        <w:tc>
          <w:tcPr>
            <w:tcW w:w="759" w:type="pct"/>
            <w:tcBorders>
              <w:top w:val="nil"/>
              <w:left w:val="nil"/>
              <w:bottom w:val="nil"/>
              <w:right w:val="nil"/>
            </w:tcBorders>
            <w:shd w:val="clear" w:color="auto" w:fill="auto"/>
            <w:noWrap/>
            <w:vAlign w:val="center"/>
          </w:tcPr>
          <w:p w14:paraId="2D470D17" w14:textId="58403EA8" w:rsidR="00C72CC5" w:rsidRPr="00E20D21" w:rsidRDefault="00C72CC5" w:rsidP="00C72CC5">
            <w:pPr>
              <w:jc w:val="right"/>
              <w:rPr>
                <w:rFonts w:ascii="CAIXA Std Book" w:eastAsia="Times New Roman" w:hAnsi="CAIXA Std Book" w:cs="Arial"/>
                <w:color w:val="005CA9"/>
                <w:sz w:val="18"/>
                <w:szCs w:val="18"/>
                <w:highlight w:val="yellow"/>
              </w:rPr>
            </w:pPr>
            <w:r w:rsidRPr="00E20D21">
              <w:rPr>
                <w:rFonts w:ascii="CAIXA Std Book" w:hAnsi="CAIXA Std Book" w:cs="Arial"/>
                <w:color w:val="005CA9"/>
                <w:sz w:val="18"/>
                <w:szCs w:val="18"/>
              </w:rPr>
              <w:t>(2.016.943)</w:t>
            </w:r>
          </w:p>
        </w:tc>
        <w:tc>
          <w:tcPr>
            <w:tcW w:w="759" w:type="pct"/>
            <w:tcBorders>
              <w:top w:val="nil"/>
              <w:left w:val="nil"/>
              <w:bottom w:val="nil"/>
              <w:right w:val="nil"/>
            </w:tcBorders>
            <w:shd w:val="clear" w:color="auto" w:fill="auto"/>
            <w:vAlign w:val="center"/>
            <w:hideMark/>
          </w:tcPr>
          <w:p w14:paraId="19CDF7B6" w14:textId="5DF05F05" w:rsidR="00C72CC5" w:rsidRPr="00E20D21" w:rsidRDefault="00C72CC5" w:rsidP="00C72CC5">
            <w:pPr>
              <w:jc w:val="right"/>
              <w:rPr>
                <w:rFonts w:ascii="CAIXA Std Book" w:eastAsia="Times New Roman" w:hAnsi="CAIXA Std Book" w:cs="Arial"/>
                <w:color w:val="005CA9"/>
                <w:sz w:val="18"/>
                <w:szCs w:val="18"/>
                <w:highlight w:val="yellow"/>
              </w:rPr>
            </w:pPr>
            <w:r w:rsidRPr="00E20D21">
              <w:rPr>
                <w:rFonts w:ascii="CAIXA Std Book" w:hAnsi="CAIXA Std Book" w:cs="Arial"/>
                <w:color w:val="005CA9"/>
                <w:sz w:val="18"/>
                <w:szCs w:val="18"/>
              </w:rPr>
              <w:t>(1.891.289)</w:t>
            </w:r>
          </w:p>
        </w:tc>
        <w:tc>
          <w:tcPr>
            <w:tcW w:w="759" w:type="pct"/>
            <w:tcBorders>
              <w:top w:val="nil"/>
              <w:left w:val="nil"/>
              <w:bottom w:val="nil"/>
              <w:right w:val="nil"/>
            </w:tcBorders>
            <w:shd w:val="clear" w:color="auto" w:fill="auto"/>
            <w:noWrap/>
            <w:vAlign w:val="center"/>
          </w:tcPr>
          <w:p w14:paraId="0DA4B81E" w14:textId="1C160052" w:rsidR="00C72CC5" w:rsidRPr="00E20D21" w:rsidRDefault="00B513D8" w:rsidP="00FD216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(2.034.492)</w:t>
            </w:r>
          </w:p>
        </w:tc>
        <w:tc>
          <w:tcPr>
            <w:tcW w:w="757" w:type="pct"/>
            <w:tcBorders>
              <w:top w:val="nil"/>
              <w:left w:val="nil"/>
              <w:bottom w:val="nil"/>
              <w:right w:val="nil"/>
            </w:tcBorders>
            <w:shd w:val="clear" w:color="auto" w:fill="auto"/>
            <w:vAlign w:val="center"/>
            <w:hideMark/>
          </w:tcPr>
          <w:p w14:paraId="033816D1" w14:textId="062DFB15"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(1.906.526)</w:t>
            </w:r>
          </w:p>
        </w:tc>
      </w:tr>
      <w:tr w:rsidR="00C72CC5" w:rsidRPr="00E20D21" w14:paraId="17C90ECD" w14:textId="77777777" w:rsidTr="00FD216B">
        <w:trPr>
          <w:trHeight w:val="283"/>
        </w:trPr>
        <w:tc>
          <w:tcPr>
            <w:tcW w:w="1966" w:type="pct"/>
            <w:tcBorders>
              <w:top w:val="nil"/>
              <w:left w:val="nil"/>
              <w:bottom w:val="nil"/>
              <w:right w:val="nil"/>
            </w:tcBorders>
            <w:shd w:val="clear" w:color="auto" w:fill="auto"/>
            <w:vAlign w:val="center"/>
            <w:hideMark/>
          </w:tcPr>
          <w:p w14:paraId="5BC63C1A" w14:textId="607F3A5E" w:rsidR="00C72CC5" w:rsidRPr="00E20D21" w:rsidRDefault="00C72CC5" w:rsidP="00C72CC5">
            <w:pPr>
              <w:ind w:firstLineChars="100" w:firstLine="180"/>
              <w:rPr>
                <w:rFonts w:ascii="CAIXA Std Book" w:eastAsia="Times New Roman" w:hAnsi="CAIXA Std Book" w:cs="Arial"/>
                <w:color w:val="005CA9"/>
                <w:sz w:val="18"/>
                <w:szCs w:val="18"/>
              </w:rPr>
            </w:pPr>
            <w:r w:rsidRPr="00E20D21">
              <w:rPr>
                <w:rFonts w:ascii="CAIXA Std Book" w:hAnsi="CAIXA Std Book" w:cs="Arial"/>
                <w:color w:val="005CA9"/>
                <w:sz w:val="18"/>
                <w:szCs w:val="18"/>
              </w:rPr>
              <w:t>FGTS</w:t>
            </w:r>
          </w:p>
        </w:tc>
        <w:tc>
          <w:tcPr>
            <w:tcW w:w="759" w:type="pct"/>
            <w:tcBorders>
              <w:top w:val="nil"/>
              <w:left w:val="nil"/>
              <w:bottom w:val="nil"/>
              <w:right w:val="nil"/>
            </w:tcBorders>
            <w:shd w:val="clear" w:color="auto" w:fill="auto"/>
            <w:noWrap/>
            <w:vAlign w:val="center"/>
          </w:tcPr>
          <w:p w14:paraId="5EFC8823" w14:textId="33B09EDB"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(672.309)</w:t>
            </w:r>
          </w:p>
        </w:tc>
        <w:tc>
          <w:tcPr>
            <w:tcW w:w="759" w:type="pct"/>
            <w:tcBorders>
              <w:top w:val="nil"/>
              <w:left w:val="nil"/>
              <w:bottom w:val="nil"/>
              <w:right w:val="nil"/>
            </w:tcBorders>
            <w:shd w:val="clear" w:color="auto" w:fill="auto"/>
            <w:vAlign w:val="center"/>
            <w:hideMark/>
          </w:tcPr>
          <w:p w14:paraId="18FF86A0" w14:textId="5A2CF418"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(630.713)</w:t>
            </w:r>
          </w:p>
        </w:tc>
        <w:tc>
          <w:tcPr>
            <w:tcW w:w="759" w:type="pct"/>
            <w:tcBorders>
              <w:top w:val="nil"/>
              <w:left w:val="nil"/>
              <w:bottom w:val="nil"/>
              <w:right w:val="nil"/>
            </w:tcBorders>
            <w:shd w:val="clear" w:color="auto" w:fill="auto"/>
            <w:noWrap/>
            <w:vAlign w:val="center"/>
          </w:tcPr>
          <w:p w14:paraId="1DDC6EC9" w14:textId="1317067C" w:rsidR="00C72CC5" w:rsidRPr="00E20D21" w:rsidRDefault="00B513D8" w:rsidP="00FD216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(677.146)</w:t>
            </w:r>
          </w:p>
        </w:tc>
        <w:tc>
          <w:tcPr>
            <w:tcW w:w="757" w:type="pct"/>
            <w:tcBorders>
              <w:top w:val="nil"/>
              <w:left w:val="nil"/>
              <w:bottom w:val="nil"/>
              <w:right w:val="nil"/>
            </w:tcBorders>
            <w:shd w:val="clear" w:color="auto" w:fill="auto"/>
            <w:vAlign w:val="center"/>
            <w:hideMark/>
          </w:tcPr>
          <w:p w14:paraId="2C92D383" w14:textId="7B64B90A"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(635.997)</w:t>
            </w:r>
          </w:p>
        </w:tc>
      </w:tr>
      <w:tr w:rsidR="00C72CC5" w:rsidRPr="00E20D21" w14:paraId="5AE6F04D" w14:textId="77777777" w:rsidTr="00FD216B">
        <w:trPr>
          <w:trHeight w:val="283"/>
        </w:trPr>
        <w:tc>
          <w:tcPr>
            <w:tcW w:w="1966" w:type="pct"/>
            <w:tcBorders>
              <w:top w:val="nil"/>
              <w:left w:val="nil"/>
              <w:bottom w:val="nil"/>
              <w:right w:val="nil"/>
            </w:tcBorders>
            <w:shd w:val="clear" w:color="auto" w:fill="auto"/>
            <w:vAlign w:val="center"/>
            <w:hideMark/>
          </w:tcPr>
          <w:p w14:paraId="17498985" w14:textId="52C5FDD6" w:rsidR="00C72CC5" w:rsidRPr="00E20D21" w:rsidRDefault="00C72CC5" w:rsidP="00C72CC5">
            <w:pPr>
              <w:ind w:firstLineChars="100" w:firstLine="180"/>
              <w:rPr>
                <w:rFonts w:ascii="CAIXA Std Book" w:eastAsia="Times New Roman" w:hAnsi="CAIXA Std Book" w:cs="Arial"/>
                <w:color w:val="005CA9"/>
                <w:sz w:val="18"/>
                <w:szCs w:val="18"/>
              </w:rPr>
            </w:pPr>
            <w:r w:rsidRPr="00E20D21">
              <w:rPr>
                <w:rFonts w:ascii="CAIXA Std Book" w:hAnsi="CAIXA Std Book" w:cs="Arial"/>
                <w:color w:val="005CA9"/>
                <w:sz w:val="18"/>
                <w:szCs w:val="18"/>
              </w:rPr>
              <w:t>Previdência complementar</w:t>
            </w:r>
          </w:p>
        </w:tc>
        <w:tc>
          <w:tcPr>
            <w:tcW w:w="759" w:type="pct"/>
            <w:tcBorders>
              <w:top w:val="nil"/>
              <w:left w:val="nil"/>
              <w:bottom w:val="nil"/>
              <w:right w:val="nil"/>
            </w:tcBorders>
            <w:shd w:val="clear" w:color="auto" w:fill="auto"/>
            <w:noWrap/>
            <w:vAlign w:val="center"/>
          </w:tcPr>
          <w:p w14:paraId="7B2D6BE2" w14:textId="19CAF9A6"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(662.649)</w:t>
            </w:r>
          </w:p>
        </w:tc>
        <w:tc>
          <w:tcPr>
            <w:tcW w:w="759" w:type="pct"/>
            <w:tcBorders>
              <w:top w:val="nil"/>
              <w:left w:val="nil"/>
              <w:bottom w:val="nil"/>
              <w:right w:val="nil"/>
            </w:tcBorders>
            <w:shd w:val="clear" w:color="auto" w:fill="auto"/>
            <w:vAlign w:val="center"/>
            <w:hideMark/>
          </w:tcPr>
          <w:p w14:paraId="1890C2A0" w14:textId="5DE3B13E"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(615.379)</w:t>
            </w:r>
          </w:p>
        </w:tc>
        <w:tc>
          <w:tcPr>
            <w:tcW w:w="759" w:type="pct"/>
            <w:tcBorders>
              <w:top w:val="nil"/>
              <w:left w:val="nil"/>
              <w:bottom w:val="nil"/>
              <w:right w:val="nil"/>
            </w:tcBorders>
            <w:shd w:val="clear" w:color="auto" w:fill="auto"/>
            <w:noWrap/>
            <w:vAlign w:val="center"/>
          </w:tcPr>
          <w:p w14:paraId="048741FB" w14:textId="75607B77" w:rsidR="00C72CC5" w:rsidRPr="00E20D21" w:rsidRDefault="00B513D8" w:rsidP="00FD216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(668.611)</w:t>
            </w:r>
          </w:p>
        </w:tc>
        <w:tc>
          <w:tcPr>
            <w:tcW w:w="757" w:type="pct"/>
            <w:tcBorders>
              <w:top w:val="nil"/>
              <w:left w:val="nil"/>
              <w:bottom w:val="nil"/>
              <w:right w:val="nil"/>
            </w:tcBorders>
            <w:shd w:val="clear" w:color="auto" w:fill="auto"/>
            <w:vAlign w:val="center"/>
            <w:hideMark/>
          </w:tcPr>
          <w:p w14:paraId="53FAE318" w14:textId="6BD20F14"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(620.803)</w:t>
            </w:r>
          </w:p>
        </w:tc>
      </w:tr>
      <w:tr w:rsidR="00C72CC5" w:rsidRPr="00E20D21" w14:paraId="3C726166" w14:textId="77777777" w:rsidTr="00FD216B">
        <w:trPr>
          <w:trHeight w:val="283"/>
        </w:trPr>
        <w:tc>
          <w:tcPr>
            <w:tcW w:w="1966" w:type="pct"/>
            <w:tcBorders>
              <w:top w:val="nil"/>
              <w:left w:val="nil"/>
              <w:bottom w:val="nil"/>
              <w:right w:val="nil"/>
            </w:tcBorders>
            <w:shd w:val="clear" w:color="auto" w:fill="auto"/>
            <w:vAlign w:val="center"/>
            <w:hideMark/>
          </w:tcPr>
          <w:p w14:paraId="689D98FB" w14:textId="152F4B61" w:rsidR="00C72CC5" w:rsidRPr="00E20D21" w:rsidRDefault="00C72CC5" w:rsidP="00C72CC5">
            <w:pPr>
              <w:ind w:firstLineChars="100" w:firstLine="180"/>
              <w:rPr>
                <w:rFonts w:ascii="CAIXA Std Book" w:eastAsia="Times New Roman" w:hAnsi="CAIXA Std Book" w:cs="Arial"/>
                <w:color w:val="005CA9"/>
                <w:sz w:val="18"/>
                <w:szCs w:val="18"/>
              </w:rPr>
            </w:pPr>
            <w:r w:rsidRPr="00E20D21">
              <w:rPr>
                <w:rFonts w:ascii="CAIXA Std Book" w:hAnsi="CAIXA Std Book" w:cs="Arial"/>
                <w:color w:val="005CA9"/>
                <w:sz w:val="18"/>
                <w:szCs w:val="18"/>
              </w:rPr>
              <w:t>Outros encargos</w:t>
            </w:r>
          </w:p>
        </w:tc>
        <w:tc>
          <w:tcPr>
            <w:tcW w:w="759" w:type="pct"/>
            <w:tcBorders>
              <w:top w:val="nil"/>
              <w:left w:val="nil"/>
              <w:bottom w:val="nil"/>
              <w:right w:val="nil"/>
            </w:tcBorders>
            <w:shd w:val="clear" w:color="auto" w:fill="auto"/>
            <w:noWrap/>
            <w:vAlign w:val="center"/>
          </w:tcPr>
          <w:p w14:paraId="0102BB51" w14:textId="1AD810BA"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(209.259)</w:t>
            </w:r>
          </w:p>
        </w:tc>
        <w:tc>
          <w:tcPr>
            <w:tcW w:w="759" w:type="pct"/>
            <w:tcBorders>
              <w:top w:val="nil"/>
              <w:left w:val="nil"/>
              <w:bottom w:val="nil"/>
              <w:right w:val="nil"/>
            </w:tcBorders>
            <w:shd w:val="clear" w:color="auto" w:fill="auto"/>
            <w:vAlign w:val="center"/>
            <w:hideMark/>
          </w:tcPr>
          <w:p w14:paraId="60D8B5A4" w14:textId="3C6D6710"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(194.935)</w:t>
            </w:r>
          </w:p>
        </w:tc>
        <w:tc>
          <w:tcPr>
            <w:tcW w:w="759" w:type="pct"/>
            <w:tcBorders>
              <w:top w:val="nil"/>
              <w:left w:val="nil"/>
              <w:bottom w:val="nil"/>
              <w:right w:val="nil"/>
            </w:tcBorders>
            <w:shd w:val="clear" w:color="auto" w:fill="auto"/>
            <w:noWrap/>
            <w:vAlign w:val="center"/>
          </w:tcPr>
          <w:p w14:paraId="74BD3CA7" w14:textId="116D7BD2" w:rsidR="00C72CC5" w:rsidRPr="00E20D21" w:rsidRDefault="00B513D8" w:rsidP="00FD216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(210.570)</w:t>
            </w:r>
          </w:p>
        </w:tc>
        <w:tc>
          <w:tcPr>
            <w:tcW w:w="757" w:type="pct"/>
            <w:tcBorders>
              <w:top w:val="nil"/>
              <w:left w:val="nil"/>
              <w:bottom w:val="nil"/>
              <w:right w:val="nil"/>
            </w:tcBorders>
            <w:shd w:val="clear" w:color="auto" w:fill="auto"/>
            <w:vAlign w:val="center"/>
            <w:hideMark/>
          </w:tcPr>
          <w:p w14:paraId="1ACCC370" w14:textId="2C824951" w:rsidR="00C72CC5" w:rsidRPr="00E20D21" w:rsidRDefault="00C72CC5" w:rsidP="00C72CC5">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(196.459)</w:t>
            </w:r>
          </w:p>
        </w:tc>
      </w:tr>
      <w:tr w:rsidR="00C72CC5" w:rsidRPr="00E20D21" w14:paraId="7CC7E4B1" w14:textId="77777777" w:rsidTr="00FD216B">
        <w:trPr>
          <w:trHeight w:val="283"/>
        </w:trPr>
        <w:tc>
          <w:tcPr>
            <w:tcW w:w="1966" w:type="pct"/>
            <w:tcBorders>
              <w:top w:val="single" w:sz="4" w:space="0" w:color="F39200"/>
              <w:left w:val="nil"/>
              <w:bottom w:val="single" w:sz="4" w:space="0" w:color="F39200"/>
              <w:right w:val="nil"/>
            </w:tcBorders>
            <w:shd w:val="clear" w:color="auto" w:fill="auto"/>
            <w:noWrap/>
            <w:vAlign w:val="center"/>
            <w:hideMark/>
          </w:tcPr>
          <w:p w14:paraId="0B0F6B5C" w14:textId="53906318" w:rsidR="00C72CC5" w:rsidRPr="00E20D21" w:rsidRDefault="00C72CC5" w:rsidP="00C72CC5">
            <w:pPr>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Total</w:t>
            </w:r>
          </w:p>
        </w:tc>
        <w:tc>
          <w:tcPr>
            <w:tcW w:w="759" w:type="pct"/>
            <w:tcBorders>
              <w:top w:val="single" w:sz="4" w:space="0" w:color="F39200"/>
              <w:left w:val="nil"/>
              <w:bottom w:val="single" w:sz="4" w:space="0" w:color="F39200"/>
              <w:right w:val="nil"/>
            </w:tcBorders>
            <w:shd w:val="clear" w:color="auto" w:fill="auto"/>
            <w:noWrap/>
            <w:vAlign w:val="center"/>
          </w:tcPr>
          <w:p w14:paraId="69967213" w14:textId="6E06649E" w:rsidR="00C72CC5" w:rsidRPr="00E20D21" w:rsidRDefault="00C72CC5" w:rsidP="00C72CC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(15.169.079)</w:t>
            </w:r>
          </w:p>
        </w:tc>
        <w:tc>
          <w:tcPr>
            <w:tcW w:w="759" w:type="pct"/>
            <w:tcBorders>
              <w:top w:val="single" w:sz="4" w:space="0" w:color="F39200"/>
              <w:left w:val="nil"/>
              <w:bottom w:val="single" w:sz="4" w:space="0" w:color="F39200"/>
              <w:right w:val="nil"/>
            </w:tcBorders>
            <w:shd w:val="clear" w:color="auto" w:fill="auto"/>
            <w:noWrap/>
            <w:vAlign w:val="center"/>
            <w:hideMark/>
          </w:tcPr>
          <w:p w14:paraId="4BA331F2" w14:textId="3EC74075" w:rsidR="00C72CC5" w:rsidRPr="00E20D21" w:rsidRDefault="00C72CC5" w:rsidP="00C72CC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(13.458.885)</w:t>
            </w:r>
          </w:p>
        </w:tc>
        <w:tc>
          <w:tcPr>
            <w:tcW w:w="759" w:type="pct"/>
            <w:tcBorders>
              <w:top w:val="single" w:sz="4" w:space="0" w:color="F39200"/>
              <w:left w:val="nil"/>
              <w:bottom w:val="single" w:sz="4" w:space="0" w:color="F39200"/>
              <w:right w:val="nil"/>
            </w:tcBorders>
            <w:shd w:val="clear" w:color="auto" w:fill="auto"/>
            <w:noWrap/>
            <w:vAlign w:val="center"/>
          </w:tcPr>
          <w:p w14:paraId="4EBFF218" w14:textId="3033D6DF" w:rsidR="00C72CC5" w:rsidRPr="00E20D21" w:rsidRDefault="00B513D8" w:rsidP="00FD216B">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(15.448.970)</w:t>
            </w:r>
          </w:p>
        </w:tc>
        <w:tc>
          <w:tcPr>
            <w:tcW w:w="757" w:type="pct"/>
            <w:tcBorders>
              <w:top w:val="single" w:sz="4" w:space="0" w:color="F39200"/>
              <w:left w:val="nil"/>
              <w:bottom w:val="single" w:sz="4" w:space="0" w:color="F39200"/>
              <w:right w:val="nil"/>
            </w:tcBorders>
            <w:shd w:val="clear" w:color="auto" w:fill="auto"/>
            <w:noWrap/>
            <w:vAlign w:val="center"/>
            <w:hideMark/>
          </w:tcPr>
          <w:p w14:paraId="34B7731D" w14:textId="3F104C57" w:rsidR="00C72CC5" w:rsidRPr="00E20D21" w:rsidRDefault="00C72CC5" w:rsidP="00C72CC5">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(13.705.200)</w:t>
            </w:r>
          </w:p>
        </w:tc>
      </w:tr>
    </w:tbl>
    <w:p w14:paraId="74CC62DD" w14:textId="7A795642" w:rsidR="0089591D" w:rsidRPr="00E20D21" w:rsidRDefault="0089591D" w:rsidP="00606835">
      <w:pPr>
        <w:pStyle w:val="Default0"/>
        <w:ind w:right="-2"/>
        <w:jc w:val="both"/>
        <w:rPr>
          <w:rFonts w:ascii="CAIXA Std Book" w:hAnsi="CAIXA Std Book"/>
          <w:color w:val="005CA9"/>
          <w:sz w:val="16"/>
          <w:szCs w:val="16"/>
        </w:rPr>
      </w:pPr>
      <w:r w:rsidRPr="00E20D21">
        <w:rPr>
          <w:rFonts w:ascii="CAIXA Std Book" w:hAnsi="CAIXA Std Book"/>
          <w:color w:val="005CA9"/>
          <w:sz w:val="16"/>
          <w:szCs w:val="16"/>
        </w:rPr>
        <w:t xml:space="preserve">(1) </w:t>
      </w:r>
      <w:r w:rsidR="001568A6" w:rsidRPr="00E20D21">
        <w:rPr>
          <w:rFonts w:ascii="CAIXA Std Book" w:hAnsi="CAIXA Std Book"/>
          <w:color w:val="005CA9"/>
          <w:sz w:val="16"/>
          <w:szCs w:val="16"/>
        </w:rPr>
        <w:t>I</w:t>
      </w:r>
      <w:r w:rsidR="00EE1AC5" w:rsidRPr="00E20D21">
        <w:rPr>
          <w:rFonts w:ascii="CAIXA Std Book" w:hAnsi="CAIXA Std Book"/>
          <w:color w:val="005CA9"/>
          <w:sz w:val="16"/>
          <w:szCs w:val="16"/>
        </w:rPr>
        <w:t>ncremento de despesas com verbas indenizatórias e auxílios do Programa de Desligamento Voluntário 2024</w:t>
      </w:r>
      <w:r w:rsidR="00036591" w:rsidRPr="00E20D21">
        <w:rPr>
          <w:rFonts w:ascii="CAIXA Std Book" w:hAnsi="CAIXA Std Book"/>
          <w:color w:val="005CA9"/>
          <w:sz w:val="16"/>
          <w:szCs w:val="16"/>
        </w:rPr>
        <w:t>.</w:t>
      </w:r>
    </w:p>
    <w:p w14:paraId="78B2A587" w14:textId="66EF5153" w:rsidR="00814F49" w:rsidRPr="00E20D21" w:rsidRDefault="00814F49" w:rsidP="00FD7768">
      <w:pPr>
        <w:pStyle w:val="Ttulo1"/>
      </w:pPr>
      <w:bookmarkStart w:id="88" w:name="_Toc175067966"/>
      <w:r w:rsidRPr="00E20D21">
        <w:t>Nota 26 – Outras despesas administrativas</w:t>
      </w:r>
      <w:bookmarkEnd w:id="88"/>
    </w:p>
    <w:tbl>
      <w:tblPr>
        <w:tblW w:w="5000" w:type="pct"/>
        <w:tblCellMar>
          <w:left w:w="70" w:type="dxa"/>
          <w:right w:w="70" w:type="dxa"/>
        </w:tblCellMar>
        <w:tblLook w:val="04A0" w:firstRow="1" w:lastRow="0" w:firstColumn="1" w:lastColumn="0" w:noHBand="0" w:noVBand="1"/>
      </w:tblPr>
      <w:tblGrid>
        <w:gridCol w:w="3860"/>
        <w:gridCol w:w="1443"/>
        <w:gridCol w:w="1446"/>
        <w:gridCol w:w="1444"/>
        <w:gridCol w:w="1444"/>
      </w:tblGrid>
      <w:tr w:rsidR="003A2CC8" w:rsidRPr="00E20D21" w14:paraId="73604638" w14:textId="77777777" w:rsidTr="007E4A21">
        <w:trPr>
          <w:trHeight w:val="283"/>
        </w:trPr>
        <w:tc>
          <w:tcPr>
            <w:tcW w:w="2003" w:type="pct"/>
            <w:vMerge w:val="restart"/>
            <w:tcBorders>
              <w:top w:val="single" w:sz="4" w:space="0" w:color="F79646"/>
              <w:left w:val="nil"/>
              <w:bottom w:val="single" w:sz="4" w:space="0" w:color="F39200"/>
              <w:right w:val="nil"/>
            </w:tcBorders>
            <w:shd w:val="clear" w:color="auto" w:fill="auto"/>
            <w:vAlign w:val="center"/>
            <w:hideMark/>
          </w:tcPr>
          <w:p w14:paraId="0A7862CC" w14:textId="77777777"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499" w:type="pct"/>
            <w:gridSpan w:val="2"/>
            <w:tcBorders>
              <w:top w:val="single" w:sz="4" w:space="0" w:color="F79646"/>
              <w:left w:val="nil"/>
              <w:bottom w:val="single" w:sz="4" w:space="0" w:color="F79646"/>
              <w:right w:val="nil"/>
            </w:tcBorders>
            <w:shd w:val="clear" w:color="auto" w:fill="auto"/>
            <w:noWrap/>
            <w:vAlign w:val="center"/>
            <w:hideMark/>
          </w:tcPr>
          <w:p w14:paraId="4772D6F8" w14:textId="77777777"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498" w:type="pct"/>
            <w:gridSpan w:val="2"/>
            <w:tcBorders>
              <w:top w:val="single" w:sz="4" w:space="0" w:color="F79646"/>
              <w:left w:val="nil"/>
              <w:bottom w:val="single" w:sz="4" w:space="0" w:color="F79646"/>
              <w:right w:val="nil"/>
            </w:tcBorders>
            <w:shd w:val="clear" w:color="auto" w:fill="auto"/>
            <w:noWrap/>
            <w:vAlign w:val="center"/>
            <w:hideMark/>
          </w:tcPr>
          <w:p w14:paraId="1BADBE0A" w14:textId="77777777"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3A2CC8" w:rsidRPr="00E20D21" w14:paraId="45B35A98" w14:textId="77777777" w:rsidTr="007E4A21">
        <w:trPr>
          <w:trHeight w:val="283"/>
        </w:trPr>
        <w:tc>
          <w:tcPr>
            <w:tcW w:w="2003" w:type="pct"/>
            <w:vMerge/>
            <w:tcBorders>
              <w:top w:val="single" w:sz="4" w:space="0" w:color="F79646"/>
              <w:left w:val="nil"/>
              <w:bottom w:val="single" w:sz="4" w:space="0" w:color="F39200"/>
              <w:right w:val="nil"/>
            </w:tcBorders>
            <w:vAlign w:val="center"/>
            <w:hideMark/>
          </w:tcPr>
          <w:p w14:paraId="4F72C236" w14:textId="77777777" w:rsidR="003A2CC8" w:rsidRPr="00E20D21" w:rsidRDefault="003A2CC8">
            <w:pPr>
              <w:jc w:val="center"/>
              <w:rPr>
                <w:rFonts w:ascii="CAIXA Std Book" w:eastAsia="Times New Roman" w:hAnsi="CAIXA Std Book" w:cs="Arial"/>
                <w:b/>
                <w:bCs/>
                <w:color w:val="005CA9"/>
                <w:sz w:val="18"/>
                <w:szCs w:val="18"/>
              </w:rPr>
            </w:pPr>
          </w:p>
        </w:tc>
        <w:tc>
          <w:tcPr>
            <w:tcW w:w="749" w:type="pct"/>
            <w:tcBorders>
              <w:top w:val="nil"/>
              <w:left w:val="nil"/>
              <w:bottom w:val="single" w:sz="4" w:space="0" w:color="F79646"/>
              <w:right w:val="nil"/>
            </w:tcBorders>
            <w:shd w:val="clear" w:color="auto" w:fill="auto"/>
            <w:vAlign w:val="center"/>
            <w:hideMark/>
          </w:tcPr>
          <w:p w14:paraId="009172CE" w14:textId="5B4C413D"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w:t>
            </w:r>
            <w:r w:rsidR="0040195C" w:rsidRPr="00E20D21">
              <w:rPr>
                <w:rFonts w:ascii="CAIXA Std Book" w:eastAsia="Times New Roman" w:hAnsi="CAIXA Std Book" w:cs="Arial"/>
                <w:b/>
                <w:bCs/>
                <w:color w:val="005CA9"/>
                <w:sz w:val="18"/>
                <w:szCs w:val="18"/>
              </w:rPr>
              <w:t>4</w:t>
            </w:r>
          </w:p>
        </w:tc>
        <w:tc>
          <w:tcPr>
            <w:tcW w:w="750" w:type="pct"/>
            <w:tcBorders>
              <w:top w:val="nil"/>
              <w:left w:val="nil"/>
              <w:bottom w:val="single" w:sz="4" w:space="0" w:color="F79646"/>
              <w:right w:val="nil"/>
            </w:tcBorders>
            <w:shd w:val="clear" w:color="auto" w:fill="auto"/>
            <w:vAlign w:val="center"/>
            <w:hideMark/>
          </w:tcPr>
          <w:p w14:paraId="66EDEC80" w14:textId="7BF5EB92"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w:t>
            </w:r>
            <w:r w:rsidR="0040195C" w:rsidRPr="00E20D21">
              <w:rPr>
                <w:rFonts w:ascii="CAIXA Std Book" w:eastAsia="Times New Roman" w:hAnsi="CAIXA Std Book" w:cs="Arial"/>
                <w:b/>
                <w:bCs/>
                <w:color w:val="005CA9"/>
                <w:sz w:val="18"/>
                <w:szCs w:val="18"/>
              </w:rPr>
              <w:t>3</w:t>
            </w:r>
          </w:p>
        </w:tc>
        <w:tc>
          <w:tcPr>
            <w:tcW w:w="749" w:type="pct"/>
            <w:tcBorders>
              <w:top w:val="nil"/>
              <w:left w:val="nil"/>
              <w:bottom w:val="single" w:sz="4" w:space="0" w:color="F79646"/>
              <w:right w:val="nil"/>
            </w:tcBorders>
            <w:shd w:val="clear" w:color="auto" w:fill="auto"/>
            <w:vAlign w:val="center"/>
            <w:hideMark/>
          </w:tcPr>
          <w:p w14:paraId="5096D606" w14:textId="5C861A94"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w:t>
            </w:r>
            <w:r w:rsidR="0040195C" w:rsidRPr="00E20D21">
              <w:rPr>
                <w:rFonts w:ascii="CAIXA Std Book" w:eastAsia="Times New Roman" w:hAnsi="CAIXA Std Book" w:cs="Arial"/>
                <w:b/>
                <w:bCs/>
                <w:color w:val="005CA9"/>
                <w:sz w:val="18"/>
                <w:szCs w:val="18"/>
              </w:rPr>
              <w:t>4</w:t>
            </w:r>
          </w:p>
        </w:tc>
        <w:tc>
          <w:tcPr>
            <w:tcW w:w="749" w:type="pct"/>
            <w:tcBorders>
              <w:top w:val="nil"/>
              <w:left w:val="nil"/>
              <w:bottom w:val="single" w:sz="4" w:space="0" w:color="F79646"/>
              <w:right w:val="nil"/>
            </w:tcBorders>
            <w:shd w:val="clear" w:color="auto" w:fill="auto"/>
            <w:vAlign w:val="center"/>
            <w:hideMark/>
          </w:tcPr>
          <w:p w14:paraId="459D7C38" w14:textId="35B4A8DF"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w:t>
            </w:r>
            <w:r w:rsidR="0040195C" w:rsidRPr="00E20D21">
              <w:rPr>
                <w:rFonts w:ascii="CAIXA Std Book" w:eastAsia="Times New Roman" w:hAnsi="CAIXA Std Book" w:cs="Arial"/>
                <w:b/>
                <w:bCs/>
                <w:color w:val="005CA9"/>
                <w:sz w:val="18"/>
                <w:szCs w:val="18"/>
              </w:rPr>
              <w:t>3</w:t>
            </w:r>
          </w:p>
        </w:tc>
      </w:tr>
      <w:tr w:rsidR="003A2CC8" w:rsidRPr="00E20D21" w14:paraId="6FCC9866" w14:textId="77777777" w:rsidTr="007E4A21">
        <w:trPr>
          <w:trHeight w:val="283"/>
        </w:trPr>
        <w:tc>
          <w:tcPr>
            <w:tcW w:w="2003" w:type="pct"/>
            <w:vMerge/>
            <w:tcBorders>
              <w:top w:val="single" w:sz="4" w:space="0" w:color="F79646"/>
              <w:left w:val="nil"/>
              <w:bottom w:val="single" w:sz="4" w:space="0" w:color="F39200"/>
              <w:right w:val="nil"/>
            </w:tcBorders>
            <w:vAlign w:val="center"/>
            <w:hideMark/>
          </w:tcPr>
          <w:p w14:paraId="0CA7426D" w14:textId="77777777" w:rsidR="003A2CC8" w:rsidRPr="00E20D21" w:rsidRDefault="003A2CC8">
            <w:pPr>
              <w:jc w:val="center"/>
              <w:rPr>
                <w:rFonts w:ascii="CAIXA Std Book" w:eastAsia="Times New Roman" w:hAnsi="CAIXA Std Book" w:cs="Arial"/>
                <w:b/>
                <w:bCs/>
                <w:color w:val="005CA9"/>
                <w:sz w:val="18"/>
                <w:szCs w:val="18"/>
              </w:rPr>
            </w:pPr>
          </w:p>
        </w:tc>
        <w:tc>
          <w:tcPr>
            <w:tcW w:w="749" w:type="pct"/>
            <w:tcBorders>
              <w:top w:val="nil"/>
              <w:left w:val="nil"/>
              <w:bottom w:val="single" w:sz="4" w:space="0" w:color="F39200"/>
              <w:right w:val="nil"/>
            </w:tcBorders>
            <w:shd w:val="clear" w:color="auto" w:fill="auto"/>
            <w:vAlign w:val="center"/>
            <w:hideMark/>
          </w:tcPr>
          <w:p w14:paraId="07AC14D6" w14:textId="77777777"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50" w:type="pct"/>
            <w:tcBorders>
              <w:top w:val="nil"/>
              <w:left w:val="nil"/>
              <w:bottom w:val="single" w:sz="4" w:space="0" w:color="F39200"/>
              <w:right w:val="nil"/>
            </w:tcBorders>
            <w:shd w:val="clear" w:color="auto" w:fill="auto"/>
            <w:vAlign w:val="center"/>
            <w:hideMark/>
          </w:tcPr>
          <w:p w14:paraId="6FA802EC" w14:textId="77777777"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49" w:type="pct"/>
            <w:tcBorders>
              <w:top w:val="nil"/>
              <w:left w:val="nil"/>
              <w:bottom w:val="single" w:sz="4" w:space="0" w:color="F39200"/>
              <w:right w:val="nil"/>
            </w:tcBorders>
            <w:shd w:val="clear" w:color="auto" w:fill="auto"/>
            <w:vAlign w:val="center"/>
            <w:hideMark/>
          </w:tcPr>
          <w:p w14:paraId="1B8505E2" w14:textId="77777777"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49" w:type="pct"/>
            <w:tcBorders>
              <w:top w:val="nil"/>
              <w:left w:val="nil"/>
              <w:bottom w:val="single" w:sz="4" w:space="0" w:color="F39200"/>
              <w:right w:val="nil"/>
            </w:tcBorders>
            <w:shd w:val="clear" w:color="auto" w:fill="auto"/>
            <w:vAlign w:val="center"/>
            <w:hideMark/>
          </w:tcPr>
          <w:p w14:paraId="593F632D" w14:textId="77777777" w:rsidR="003A2CC8" w:rsidRPr="00E20D21" w:rsidRDefault="003A2CC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061E53" w:rsidRPr="00E20D21" w14:paraId="18AD2E4E" w14:textId="77777777" w:rsidTr="00061E53">
        <w:trPr>
          <w:trHeight w:val="283"/>
        </w:trPr>
        <w:tc>
          <w:tcPr>
            <w:tcW w:w="2003" w:type="pct"/>
            <w:tcBorders>
              <w:top w:val="nil"/>
              <w:left w:val="nil"/>
              <w:bottom w:val="nil"/>
              <w:right w:val="nil"/>
            </w:tcBorders>
            <w:shd w:val="clear" w:color="auto" w:fill="auto"/>
            <w:vAlign w:val="center"/>
            <w:hideMark/>
          </w:tcPr>
          <w:p w14:paraId="16FF8635"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Processamento de dados</w:t>
            </w:r>
          </w:p>
        </w:tc>
        <w:tc>
          <w:tcPr>
            <w:tcW w:w="749" w:type="pct"/>
            <w:tcBorders>
              <w:top w:val="nil"/>
              <w:left w:val="nil"/>
              <w:bottom w:val="nil"/>
              <w:right w:val="nil"/>
            </w:tcBorders>
            <w:shd w:val="clear" w:color="auto" w:fill="auto"/>
            <w:noWrap/>
            <w:vAlign w:val="center"/>
          </w:tcPr>
          <w:p w14:paraId="63CC4A30" w14:textId="7862A1BB"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(1.070.451)</w:t>
            </w:r>
          </w:p>
        </w:tc>
        <w:tc>
          <w:tcPr>
            <w:tcW w:w="750" w:type="pct"/>
            <w:tcBorders>
              <w:top w:val="nil"/>
              <w:left w:val="nil"/>
              <w:bottom w:val="nil"/>
              <w:right w:val="nil"/>
            </w:tcBorders>
            <w:shd w:val="clear" w:color="auto" w:fill="auto"/>
            <w:noWrap/>
            <w:vAlign w:val="center"/>
            <w:hideMark/>
          </w:tcPr>
          <w:p w14:paraId="2F46F05A" w14:textId="7AE3786B"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(1.065.550)</w:t>
            </w:r>
          </w:p>
        </w:tc>
        <w:tc>
          <w:tcPr>
            <w:tcW w:w="749" w:type="pct"/>
            <w:tcBorders>
              <w:top w:val="nil"/>
              <w:left w:val="nil"/>
              <w:bottom w:val="nil"/>
              <w:right w:val="nil"/>
            </w:tcBorders>
            <w:shd w:val="clear" w:color="auto" w:fill="auto"/>
            <w:noWrap/>
            <w:vAlign w:val="center"/>
            <w:hideMark/>
          </w:tcPr>
          <w:p w14:paraId="4F7F6929" w14:textId="5428A567"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(1.078.005)</w:t>
            </w:r>
          </w:p>
        </w:tc>
        <w:tc>
          <w:tcPr>
            <w:tcW w:w="749" w:type="pct"/>
            <w:tcBorders>
              <w:top w:val="nil"/>
              <w:left w:val="nil"/>
              <w:bottom w:val="nil"/>
              <w:right w:val="nil"/>
            </w:tcBorders>
            <w:shd w:val="clear" w:color="auto" w:fill="auto"/>
            <w:noWrap/>
            <w:vAlign w:val="center"/>
            <w:hideMark/>
          </w:tcPr>
          <w:p w14:paraId="65F23A23" w14:textId="370F3411"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(1.073.746)</w:t>
            </w:r>
          </w:p>
        </w:tc>
      </w:tr>
      <w:tr w:rsidR="00061E53" w:rsidRPr="00E20D21" w14:paraId="1525F7B6" w14:textId="77777777" w:rsidTr="00061E53">
        <w:trPr>
          <w:trHeight w:val="283"/>
        </w:trPr>
        <w:tc>
          <w:tcPr>
            <w:tcW w:w="2003" w:type="pct"/>
            <w:tcBorders>
              <w:top w:val="nil"/>
              <w:left w:val="nil"/>
              <w:bottom w:val="nil"/>
              <w:right w:val="nil"/>
            </w:tcBorders>
            <w:shd w:val="clear" w:color="auto" w:fill="auto"/>
            <w:vAlign w:val="center"/>
            <w:hideMark/>
          </w:tcPr>
          <w:p w14:paraId="46D614CB" w14:textId="77777777" w:rsidR="00061E53" w:rsidRPr="00E20D21" w:rsidRDefault="00061E53" w:rsidP="00061E53">
            <w:pPr>
              <w:rPr>
                <w:rFonts w:ascii="CAIXA Std Book" w:eastAsia="Times New Roman" w:hAnsi="CAIXA Std Book" w:cs="Arial"/>
                <w:color w:val="005CA9"/>
                <w:sz w:val="18"/>
                <w:szCs w:val="18"/>
              </w:rPr>
            </w:pPr>
            <w:proofErr w:type="gramStart"/>
            <w:r w:rsidRPr="00E20D21">
              <w:rPr>
                <w:rFonts w:ascii="CAIXA Std Book" w:eastAsia="Times New Roman" w:hAnsi="CAIXA Std Book" w:cs="Arial"/>
                <w:color w:val="005CA9"/>
                <w:sz w:val="18"/>
                <w:szCs w:val="18"/>
              </w:rPr>
              <w:t>Alugueis</w:t>
            </w:r>
            <w:proofErr w:type="gramEnd"/>
            <w:r w:rsidRPr="00E20D21">
              <w:rPr>
                <w:rFonts w:ascii="CAIXA Std Book" w:eastAsia="Times New Roman" w:hAnsi="CAIXA Std Book" w:cs="Arial"/>
                <w:color w:val="005CA9"/>
                <w:sz w:val="18"/>
                <w:szCs w:val="18"/>
              </w:rPr>
              <w:t xml:space="preserve"> e arrendamento de bens</w:t>
            </w:r>
          </w:p>
        </w:tc>
        <w:tc>
          <w:tcPr>
            <w:tcW w:w="749" w:type="pct"/>
            <w:tcBorders>
              <w:top w:val="nil"/>
              <w:left w:val="nil"/>
              <w:bottom w:val="nil"/>
              <w:right w:val="nil"/>
            </w:tcBorders>
            <w:shd w:val="clear" w:color="auto" w:fill="auto"/>
            <w:noWrap/>
            <w:vAlign w:val="center"/>
          </w:tcPr>
          <w:p w14:paraId="1DE87AE7" w14:textId="5D4D3628"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(1.003.345)</w:t>
            </w:r>
          </w:p>
        </w:tc>
        <w:tc>
          <w:tcPr>
            <w:tcW w:w="750" w:type="pct"/>
            <w:tcBorders>
              <w:top w:val="nil"/>
              <w:left w:val="nil"/>
              <w:bottom w:val="nil"/>
              <w:right w:val="nil"/>
            </w:tcBorders>
            <w:shd w:val="clear" w:color="auto" w:fill="auto"/>
            <w:noWrap/>
            <w:vAlign w:val="center"/>
            <w:hideMark/>
          </w:tcPr>
          <w:p w14:paraId="7ABFAA82" w14:textId="76238F65"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(1.168.315)</w:t>
            </w:r>
          </w:p>
        </w:tc>
        <w:tc>
          <w:tcPr>
            <w:tcW w:w="749" w:type="pct"/>
            <w:tcBorders>
              <w:top w:val="nil"/>
              <w:left w:val="nil"/>
              <w:bottom w:val="nil"/>
              <w:right w:val="nil"/>
            </w:tcBorders>
            <w:shd w:val="clear" w:color="auto" w:fill="auto"/>
            <w:noWrap/>
            <w:vAlign w:val="center"/>
            <w:hideMark/>
          </w:tcPr>
          <w:p w14:paraId="25FD3F14" w14:textId="365E4127"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(1.003.345)</w:t>
            </w:r>
          </w:p>
        </w:tc>
        <w:tc>
          <w:tcPr>
            <w:tcW w:w="749" w:type="pct"/>
            <w:tcBorders>
              <w:top w:val="nil"/>
              <w:left w:val="nil"/>
              <w:bottom w:val="nil"/>
              <w:right w:val="nil"/>
            </w:tcBorders>
            <w:shd w:val="clear" w:color="auto" w:fill="auto"/>
            <w:noWrap/>
            <w:vAlign w:val="center"/>
            <w:hideMark/>
          </w:tcPr>
          <w:p w14:paraId="7F69B3DC" w14:textId="51CFC7F2"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(1.168.315)</w:t>
            </w:r>
          </w:p>
        </w:tc>
      </w:tr>
      <w:tr w:rsidR="00061E53" w:rsidRPr="00E20D21" w14:paraId="150B033B" w14:textId="77777777" w:rsidTr="00061E53">
        <w:trPr>
          <w:trHeight w:val="283"/>
        </w:trPr>
        <w:tc>
          <w:tcPr>
            <w:tcW w:w="2003" w:type="pct"/>
            <w:tcBorders>
              <w:top w:val="nil"/>
              <w:left w:val="nil"/>
              <w:bottom w:val="nil"/>
              <w:right w:val="nil"/>
            </w:tcBorders>
            <w:shd w:val="clear" w:color="auto" w:fill="auto"/>
            <w:vAlign w:val="center"/>
            <w:hideMark/>
          </w:tcPr>
          <w:p w14:paraId="6C9CAD19"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Serviços de terceiros</w:t>
            </w:r>
          </w:p>
        </w:tc>
        <w:tc>
          <w:tcPr>
            <w:tcW w:w="749" w:type="pct"/>
            <w:tcBorders>
              <w:top w:val="nil"/>
              <w:left w:val="nil"/>
              <w:bottom w:val="nil"/>
              <w:right w:val="nil"/>
            </w:tcBorders>
            <w:shd w:val="clear" w:color="auto" w:fill="auto"/>
            <w:noWrap/>
            <w:vAlign w:val="center"/>
          </w:tcPr>
          <w:p w14:paraId="51A989D3" w14:textId="2B36672E"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(516.878)</w:t>
            </w:r>
          </w:p>
        </w:tc>
        <w:tc>
          <w:tcPr>
            <w:tcW w:w="750" w:type="pct"/>
            <w:tcBorders>
              <w:top w:val="nil"/>
              <w:left w:val="nil"/>
              <w:bottom w:val="nil"/>
              <w:right w:val="nil"/>
            </w:tcBorders>
            <w:shd w:val="clear" w:color="auto" w:fill="auto"/>
            <w:noWrap/>
            <w:vAlign w:val="center"/>
            <w:hideMark/>
          </w:tcPr>
          <w:p w14:paraId="7019334C" w14:textId="61212880"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(450.228)</w:t>
            </w:r>
          </w:p>
        </w:tc>
        <w:tc>
          <w:tcPr>
            <w:tcW w:w="749" w:type="pct"/>
            <w:tcBorders>
              <w:top w:val="nil"/>
              <w:left w:val="nil"/>
              <w:bottom w:val="nil"/>
              <w:right w:val="nil"/>
            </w:tcBorders>
            <w:shd w:val="clear" w:color="auto" w:fill="auto"/>
            <w:noWrap/>
            <w:vAlign w:val="center"/>
            <w:hideMark/>
          </w:tcPr>
          <w:p w14:paraId="11D1EE09" w14:textId="58F63BC0"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(516.878)</w:t>
            </w:r>
          </w:p>
        </w:tc>
        <w:tc>
          <w:tcPr>
            <w:tcW w:w="749" w:type="pct"/>
            <w:tcBorders>
              <w:top w:val="nil"/>
              <w:left w:val="nil"/>
              <w:bottom w:val="nil"/>
              <w:right w:val="nil"/>
            </w:tcBorders>
            <w:shd w:val="clear" w:color="auto" w:fill="auto"/>
            <w:noWrap/>
            <w:vAlign w:val="center"/>
            <w:hideMark/>
          </w:tcPr>
          <w:p w14:paraId="3DA599D3" w14:textId="4DE47B1C"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(450.228)</w:t>
            </w:r>
          </w:p>
        </w:tc>
      </w:tr>
      <w:tr w:rsidR="00061E53" w:rsidRPr="00E20D21" w14:paraId="4138E477" w14:textId="77777777" w:rsidTr="00061E53">
        <w:trPr>
          <w:trHeight w:val="283"/>
        </w:trPr>
        <w:tc>
          <w:tcPr>
            <w:tcW w:w="2003" w:type="pct"/>
            <w:tcBorders>
              <w:top w:val="nil"/>
              <w:left w:val="nil"/>
              <w:bottom w:val="nil"/>
              <w:right w:val="nil"/>
            </w:tcBorders>
            <w:shd w:val="clear" w:color="auto" w:fill="auto"/>
            <w:noWrap/>
            <w:vAlign w:val="center"/>
            <w:hideMark/>
          </w:tcPr>
          <w:p w14:paraId="62879E29"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Serviços de vigilância e segurança</w:t>
            </w:r>
          </w:p>
        </w:tc>
        <w:tc>
          <w:tcPr>
            <w:tcW w:w="749" w:type="pct"/>
            <w:tcBorders>
              <w:top w:val="nil"/>
              <w:left w:val="nil"/>
              <w:bottom w:val="nil"/>
              <w:right w:val="nil"/>
            </w:tcBorders>
            <w:shd w:val="clear" w:color="auto" w:fill="auto"/>
            <w:noWrap/>
            <w:vAlign w:val="center"/>
          </w:tcPr>
          <w:p w14:paraId="07CB7FC9" w14:textId="5153D084"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(483.269)</w:t>
            </w:r>
          </w:p>
        </w:tc>
        <w:tc>
          <w:tcPr>
            <w:tcW w:w="750" w:type="pct"/>
            <w:tcBorders>
              <w:top w:val="nil"/>
              <w:left w:val="nil"/>
              <w:bottom w:val="nil"/>
              <w:right w:val="nil"/>
            </w:tcBorders>
            <w:shd w:val="clear" w:color="auto" w:fill="auto"/>
            <w:noWrap/>
            <w:vAlign w:val="center"/>
            <w:hideMark/>
          </w:tcPr>
          <w:p w14:paraId="24F20349" w14:textId="17732EA6"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(383.274)</w:t>
            </w:r>
          </w:p>
        </w:tc>
        <w:tc>
          <w:tcPr>
            <w:tcW w:w="749" w:type="pct"/>
            <w:tcBorders>
              <w:top w:val="nil"/>
              <w:left w:val="nil"/>
              <w:bottom w:val="nil"/>
              <w:right w:val="nil"/>
            </w:tcBorders>
            <w:shd w:val="clear" w:color="auto" w:fill="auto"/>
            <w:noWrap/>
            <w:vAlign w:val="center"/>
            <w:hideMark/>
          </w:tcPr>
          <w:p w14:paraId="7374C303" w14:textId="795F12A2"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(483.269)</w:t>
            </w:r>
          </w:p>
        </w:tc>
        <w:tc>
          <w:tcPr>
            <w:tcW w:w="749" w:type="pct"/>
            <w:tcBorders>
              <w:top w:val="nil"/>
              <w:left w:val="nil"/>
              <w:bottom w:val="nil"/>
              <w:right w:val="nil"/>
            </w:tcBorders>
            <w:shd w:val="clear" w:color="auto" w:fill="auto"/>
            <w:noWrap/>
            <w:vAlign w:val="center"/>
            <w:hideMark/>
          </w:tcPr>
          <w:p w14:paraId="616A2C78" w14:textId="50F124DA"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(383.274)</w:t>
            </w:r>
          </w:p>
        </w:tc>
      </w:tr>
      <w:tr w:rsidR="00061E53" w:rsidRPr="00E20D21" w14:paraId="15CB5352" w14:textId="77777777" w:rsidTr="00061E53">
        <w:trPr>
          <w:trHeight w:val="283"/>
        </w:trPr>
        <w:tc>
          <w:tcPr>
            <w:tcW w:w="2003" w:type="pct"/>
            <w:tcBorders>
              <w:top w:val="nil"/>
              <w:left w:val="nil"/>
              <w:bottom w:val="nil"/>
              <w:right w:val="nil"/>
            </w:tcBorders>
            <w:shd w:val="clear" w:color="auto" w:fill="auto"/>
            <w:vAlign w:val="center"/>
            <w:hideMark/>
          </w:tcPr>
          <w:p w14:paraId="3EA18026"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Depreciação / Impairment</w:t>
            </w:r>
          </w:p>
        </w:tc>
        <w:tc>
          <w:tcPr>
            <w:tcW w:w="749" w:type="pct"/>
            <w:tcBorders>
              <w:top w:val="nil"/>
              <w:left w:val="nil"/>
              <w:bottom w:val="nil"/>
              <w:right w:val="nil"/>
            </w:tcBorders>
            <w:shd w:val="clear" w:color="auto" w:fill="auto"/>
            <w:noWrap/>
            <w:vAlign w:val="center"/>
          </w:tcPr>
          <w:p w14:paraId="54BE0041" w14:textId="4E1FA40C"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(468.095)</w:t>
            </w:r>
          </w:p>
        </w:tc>
        <w:tc>
          <w:tcPr>
            <w:tcW w:w="750" w:type="pct"/>
            <w:tcBorders>
              <w:top w:val="nil"/>
              <w:left w:val="nil"/>
              <w:bottom w:val="nil"/>
              <w:right w:val="nil"/>
            </w:tcBorders>
            <w:shd w:val="clear" w:color="auto" w:fill="auto"/>
            <w:noWrap/>
            <w:vAlign w:val="center"/>
            <w:hideMark/>
          </w:tcPr>
          <w:p w14:paraId="181C9E46" w14:textId="2EE54CEF"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(439.740)</w:t>
            </w:r>
          </w:p>
        </w:tc>
        <w:tc>
          <w:tcPr>
            <w:tcW w:w="749" w:type="pct"/>
            <w:tcBorders>
              <w:top w:val="nil"/>
              <w:left w:val="nil"/>
              <w:bottom w:val="nil"/>
              <w:right w:val="nil"/>
            </w:tcBorders>
            <w:shd w:val="clear" w:color="auto" w:fill="auto"/>
            <w:noWrap/>
            <w:vAlign w:val="center"/>
            <w:hideMark/>
          </w:tcPr>
          <w:p w14:paraId="1CF0A30C" w14:textId="4F5AC18B"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(468.111)</w:t>
            </w:r>
          </w:p>
        </w:tc>
        <w:tc>
          <w:tcPr>
            <w:tcW w:w="749" w:type="pct"/>
            <w:tcBorders>
              <w:top w:val="nil"/>
              <w:left w:val="nil"/>
              <w:bottom w:val="nil"/>
              <w:right w:val="nil"/>
            </w:tcBorders>
            <w:shd w:val="clear" w:color="auto" w:fill="auto"/>
            <w:noWrap/>
            <w:vAlign w:val="center"/>
            <w:hideMark/>
          </w:tcPr>
          <w:p w14:paraId="56ABBF00" w14:textId="7F974E94"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(439.747)</w:t>
            </w:r>
          </w:p>
        </w:tc>
      </w:tr>
      <w:tr w:rsidR="00061E53" w:rsidRPr="00E20D21" w14:paraId="1A1ED795" w14:textId="77777777" w:rsidTr="00061E53">
        <w:trPr>
          <w:trHeight w:val="283"/>
        </w:trPr>
        <w:tc>
          <w:tcPr>
            <w:tcW w:w="2003" w:type="pct"/>
            <w:tcBorders>
              <w:top w:val="nil"/>
              <w:left w:val="nil"/>
              <w:bottom w:val="nil"/>
              <w:right w:val="nil"/>
            </w:tcBorders>
            <w:shd w:val="clear" w:color="auto" w:fill="auto"/>
            <w:vAlign w:val="center"/>
            <w:hideMark/>
          </w:tcPr>
          <w:p w14:paraId="34482EFB"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Manutenção e conservação de bens</w:t>
            </w:r>
          </w:p>
        </w:tc>
        <w:tc>
          <w:tcPr>
            <w:tcW w:w="749" w:type="pct"/>
            <w:tcBorders>
              <w:top w:val="nil"/>
              <w:left w:val="nil"/>
              <w:bottom w:val="nil"/>
              <w:right w:val="nil"/>
            </w:tcBorders>
            <w:shd w:val="clear" w:color="auto" w:fill="auto"/>
            <w:noWrap/>
            <w:vAlign w:val="center"/>
          </w:tcPr>
          <w:p w14:paraId="503F23E1" w14:textId="6AAE8949"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(507.834)</w:t>
            </w:r>
          </w:p>
        </w:tc>
        <w:tc>
          <w:tcPr>
            <w:tcW w:w="750" w:type="pct"/>
            <w:tcBorders>
              <w:top w:val="nil"/>
              <w:left w:val="nil"/>
              <w:bottom w:val="nil"/>
              <w:right w:val="nil"/>
            </w:tcBorders>
            <w:shd w:val="clear" w:color="auto" w:fill="auto"/>
            <w:noWrap/>
            <w:vAlign w:val="center"/>
            <w:hideMark/>
          </w:tcPr>
          <w:p w14:paraId="215060A2" w14:textId="44D5A9BC"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(451.584)</w:t>
            </w:r>
          </w:p>
        </w:tc>
        <w:tc>
          <w:tcPr>
            <w:tcW w:w="749" w:type="pct"/>
            <w:tcBorders>
              <w:top w:val="nil"/>
              <w:left w:val="nil"/>
              <w:bottom w:val="nil"/>
              <w:right w:val="nil"/>
            </w:tcBorders>
            <w:shd w:val="clear" w:color="auto" w:fill="auto"/>
            <w:noWrap/>
            <w:vAlign w:val="center"/>
            <w:hideMark/>
          </w:tcPr>
          <w:p w14:paraId="2397DDED" w14:textId="67BFD287"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(507.834)</w:t>
            </w:r>
          </w:p>
        </w:tc>
        <w:tc>
          <w:tcPr>
            <w:tcW w:w="749" w:type="pct"/>
            <w:tcBorders>
              <w:top w:val="nil"/>
              <w:left w:val="nil"/>
              <w:bottom w:val="nil"/>
              <w:right w:val="nil"/>
            </w:tcBorders>
            <w:shd w:val="clear" w:color="auto" w:fill="auto"/>
            <w:noWrap/>
            <w:vAlign w:val="center"/>
            <w:hideMark/>
          </w:tcPr>
          <w:p w14:paraId="142993FC" w14:textId="6ECEA19E"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(451.670)</w:t>
            </w:r>
          </w:p>
        </w:tc>
      </w:tr>
      <w:tr w:rsidR="00061E53" w:rsidRPr="00E20D21" w14:paraId="1561098D" w14:textId="77777777" w:rsidTr="00061E53">
        <w:trPr>
          <w:trHeight w:val="283"/>
        </w:trPr>
        <w:tc>
          <w:tcPr>
            <w:tcW w:w="2003" w:type="pct"/>
            <w:tcBorders>
              <w:top w:val="nil"/>
              <w:left w:val="nil"/>
              <w:bottom w:val="nil"/>
              <w:right w:val="nil"/>
            </w:tcBorders>
            <w:shd w:val="clear" w:color="auto" w:fill="auto"/>
            <w:vAlign w:val="center"/>
            <w:hideMark/>
          </w:tcPr>
          <w:p w14:paraId="2C4128FA"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Amortização / Impairment</w:t>
            </w:r>
          </w:p>
        </w:tc>
        <w:tc>
          <w:tcPr>
            <w:tcW w:w="749" w:type="pct"/>
            <w:tcBorders>
              <w:top w:val="nil"/>
              <w:left w:val="nil"/>
              <w:bottom w:val="nil"/>
              <w:right w:val="nil"/>
            </w:tcBorders>
            <w:shd w:val="clear" w:color="auto" w:fill="auto"/>
            <w:noWrap/>
            <w:vAlign w:val="center"/>
          </w:tcPr>
          <w:p w14:paraId="5ACDBAFD" w14:textId="081B2FC6"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(740.444)</w:t>
            </w:r>
          </w:p>
        </w:tc>
        <w:tc>
          <w:tcPr>
            <w:tcW w:w="750" w:type="pct"/>
            <w:tcBorders>
              <w:top w:val="nil"/>
              <w:left w:val="nil"/>
              <w:bottom w:val="nil"/>
              <w:right w:val="nil"/>
            </w:tcBorders>
            <w:shd w:val="clear" w:color="auto" w:fill="auto"/>
            <w:noWrap/>
            <w:vAlign w:val="center"/>
            <w:hideMark/>
          </w:tcPr>
          <w:p w14:paraId="218B5048" w14:textId="16047EB2"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(507.184)</w:t>
            </w:r>
          </w:p>
        </w:tc>
        <w:tc>
          <w:tcPr>
            <w:tcW w:w="749" w:type="pct"/>
            <w:tcBorders>
              <w:top w:val="nil"/>
              <w:left w:val="nil"/>
              <w:bottom w:val="nil"/>
              <w:right w:val="nil"/>
            </w:tcBorders>
            <w:shd w:val="clear" w:color="auto" w:fill="auto"/>
            <w:noWrap/>
            <w:vAlign w:val="center"/>
            <w:hideMark/>
          </w:tcPr>
          <w:p w14:paraId="7893A1DC" w14:textId="44FC6780"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(740.444)</w:t>
            </w:r>
          </w:p>
        </w:tc>
        <w:tc>
          <w:tcPr>
            <w:tcW w:w="749" w:type="pct"/>
            <w:tcBorders>
              <w:top w:val="nil"/>
              <w:left w:val="nil"/>
              <w:bottom w:val="nil"/>
              <w:right w:val="nil"/>
            </w:tcBorders>
            <w:shd w:val="clear" w:color="auto" w:fill="auto"/>
            <w:noWrap/>
            <w:vAlign w:val="center"/>
            <w:hideMark/>
          </w:tcPr>
          <w:p w14:paraId="52B56E9B" w14:textId="707CFE99"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(507.184)</w:t>
            </w:r>
          </w:p>
        </w:tc>
      </w:tr>
      <w:tr w:rsidR="00061E53" w:rsidRPr="00E20D21" w14:paraId="4FA3E4B8" w14:textId="77777777" w:rsidTr="00061E53">
        <w:trPr>
          <w:trHeight w:val="283"/>
        </w:trPr>
        <w:tc>
          <w:tcPr>
            <w:tcW w:w="2003" w:type="pct"/>
            <w:tcBorders>
              <w:top w:val="nil"/>
              <w:left w:val="nil"/>
              <w:bottom w:val="nil"/>
              <w:right w:val="nil"/>
            </w:tcBorders>
            <w:shd w:val="clear" w:color="auto" w:fill="auto"/>
            <w:vAlign w:val="center"/>
            <w:hideMark/>
          </w:tcPr>
          <w:p w14:paraId="46B82683"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Serviços de transporte</w:t>
            </w:r>
          </w:p>
        </w:tc>
        <w:tc>
          <w:tcPr>
            <w:tcW w:w="749" w:type="pct"/>
            <w:tcBorders>
              <w:top w:val="nil"/>
              <w:left w:val="nil"/>
              <w:bottom w:val="nil"/>
              <w:right w:val="nil"/>
            </w:tcBorders>
            <w:shd w:val="clear" w:color="auto" w:fill="auto"/>
            <w:noWrap/>
            <w:vAlign w:val="center"/>
          </w:tcPr>
          <w:p w14:paraId="21AA4396" w14:textId="064018E4"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(319.364)</w:t>
            </w:r>
          </w:p>
        </w:tc>
        <w:tc>
          <w:tcPr>
            <w:tcW w:w="750" w:type="pct"/>
            <w:tcBorders>
              <w:top w:val="nil"/>
              <w:left w:val="nil"/>
              <w:bottom w:val="nil"/>
              <w:right w:val="nil"/>
            </w:tcBorders>
            <w:shd w:val="clear" w:color="auto" w:fill="auto"/>
            <w:noWrap/>
            <w:vAlign w:val="center"/>
            <w:hideMark/>
          </w:tcPr>
          <w:p w14:paraId="1BEF9CB9" w14:textId="6407861E"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(301.697)</w:t>
            </w:r>
          </w:p>
        </w:tc>
        <w:tc>
          <w:tcPr>
            <w:tcW w:w="749" w:type="pct"/>
            <w:tcBorders>
              <w:top w:val="nil"/>
              <w:left w:val="nil"/>
              <w:bottom w:val="nil"/>
              <w:right w:val="nil"/>
            </w:tcBorders>
            <w:shd w:val="clear" w:color="auto" w:fill="auto"/>
            <w:noWrap/>
            <w:vAlign w:val="center"/>
            <w:hideMark/>
          </w:tcPr>
          <w:p w14:paraId="525C26C5" w14:textId="221B66E7"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(319.364)</w:t>
            </w:r>
          </w:p>
        </w:tc>
        <w:tc>
          <w:tcPr>
            <w:tcW w:w="749" w:type="pct"/>
            <w:tcBorders>
              <w:top w:val="nil"/>
              <w:left w:val="nil"/>
              <w:bottom w:val="nil"/>
              <w:right w:val="nil"/>
            </w:tcBorders>
            <w:shd w:val="clear" w:color="auto" w:fill="auto"/>
            <w:noWrap/>
            <w:vAlign w:val="center"/>
            <w:hideMark/>
          </w:tcPr>
          <w:p w14:paraId="34482AEF" w14:textId="1889CDBC"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(301.697)</w:t>
            </w:r>
          </w:p>
        </w:tc>
      </w:tr>
      <w:tr w:rsidR="00061E53" w:rsidRPr="00E20D21" w14:paraId="18D9B47A" w14:textId="77777777" w:rsidTr="00061E53">
        <w:trPr>
          <w:trHeight w:val="283"/>
        </w:trPr>
        <w:tc>
          <w:tcPr>
            <w:tcW w:w="2003" w:type="pct"/>
            <w:tcBorders>
              <w:top w:val="nil"/>
              <w:left w:val="nil"/>
              <w:bottom w:val="nil"/>
              <w:right w:val="nil"/>
            </w:tcBorders>
            <w:shd w:val="clear" w:color="auto" w:fill="auto"/>
            <w:vAlign w:val="center"/>
            <w:hideMark/>
          </w:tcPr>
          <w:p w14:paraId="5D8A5523"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Serviços especializados</w:t>
            </w:r>
          </w:p>
        </w:tc>
        <w:tc>
          <w:tcPr>
            <w:tcW w:w="749" w:type="pct"/>
            <w:tcBorders>
              <w:top w:val="nil"/>
              <w:left w:val="nil"/>
              <w:bottom w:val="nil"/>
              <w:right w:val="nil"/>
            </w:tcBorders>
            <w:shd w:val="clear" w:color="auto" w:fill="auto"/>
            <w:noWrap/>
            <w:vAlign w:val="center"/>
          </w:tcPr>
          <w:p w14:paraId="1EF107F1" w14:textId="79A66F53"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(385.857)</w:t>
            </w:r>
          </w:p>
        </w:tc>
        <w:tc>
          <w:tcPr>
            <w:tcW w:w="750" w:type="pct"/>
            <w:tcBorders>
              <w:top w:val="nil"/>
              <w:left w:val="nil"/>
              <w:bottom w:val="nil"/>
              <w:right w:val="nil"/>
            </w:tcBorders>
            <w:shd w:val="clear" w:color="auto" w:fill="auto"/>
            <w:noWrap/>
            <w:vAlign w:val="center"/>
            <w:hideMark/>
          </w:tcPr>
          <w:p w14:paraId="1FCA756E" w14:textId="0109AEAE"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(339.270)</w:t>
            </w:r>
          </w:p>
        </w:tc>
        <w:tc>
          <w:tcPr>
            <w:tcW w:w="749" w:type="pct"/>
            <w:tcBorders>
              <w:top w:val="nil"/>
              <w:left w:val="nil"/>
              <w:bottom w:val="nil"/>
              <w:right w:val="nil"/>
            </w:tcBorders>
            <w:shd w:val="clear" w:color="auto" w:fill="auto"/>
            <w:noWrap/>
            <w:vAlign w:val="center"/>
            <w:hideMark/>
          </w:tcPr>
          <w:p w14:paraId="3507BE60" w14:textId="104777C0"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(388.787)</w:t>
            </w:r>
          </w:p>
        </w:tc>
        <w:tc>
          <w:tcPr>
            <w:tcW w:w="749" w:type="pct"/>
            <w:tcBorders>
              <w:top w:val="nil"/>
              <w:left w:val="nil"/>
              <w:bottom w:val="nil"/>
              <w:right w:val="nil"/>
            </w:tcBorders>
            <w:shd w:val="clear" w:color="auto" w:fill="auto"/>
            <w:noWrap/>
            <w:vAlign w:val="center"/>
            <w:hideMark/>
          </w:tcPr>
          <w:p w14:paraId="051F324F" w14:textId="7FB6D45E"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(341.479)</w:t>
            </w:r>
          </w:p>
        </w:tc>
      </w:tr>
      <w:tr w:rsidR="00061E53" w:rsidRPr="00E20D21" w14:paraId="627A8189" w14:textId="77777777" w:rsidTr="00061E53">
        <w:trPr>
          <w:trHeight w:val="283"/>
        </w:trPr>
        <w:tc>
          <w:tcPr>
            <w:tcW w:w="2003" w:type="pct"/>
            <w:tcBorders>
              <w:top w:val="nil"/>
              <w:left w:val="nil"/>
              <w:bottom w:val="nil"/>
              <w:right w:val="nil"/>
            </w:tcBorders>
            <w:shd w:val="clear" w:color="auto" w:fill="auto"/>
            <w:vAlign w:val="center"/>
            <w:hideMark/>
          </w:tcPr>
          <w:p w14:paraId="72ED7380"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Comunicações</w:t>
            </w:r>
          </w:p>
        </w:tc>
        <w:tc>
          <w:tcPr>
            <w:tcW w:w="749" w:type="pct"/>
            <w:tcBorders>
              <w:top w:val="nil"/>
              <w:left w:val="nil"/>
              <w:bottom w:val="nil"/>
              <w:right w:val="nil"/>
            </w:tcBorders>
            <w:shd w:val="clear" w:color="auto" w:fill="auto"/>
            <w:noWrap/>
            <w:vAlign w:val="center"/>
          </w:tcPr>
          <w:p w14:paraId="1A74E4C5" w14:textId="23FE21D8"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(277.636)</w:t>
            </w:r>
          </w:p>
        </w:tc>
        <w:tc>
          <w:tcPr>
            <w:tcW w:w="750" w:type="pct"/>
            <w:tcBorders>
              <w:top w:val="nil"/>
              <w:left w:val="nil"/>
              <w:bottom w:val="nil"/>
              <w:right w:val="nil"/>
            </w:tcBorders>
            <w:shd w:val="clear" w:color="auto" w:fill="auto"/>
            <w:noWrap/>
            <w:vAlign w:val="center"/>
            <w:hideMark/>
          </w:tcPr>
          <w:p w14:paraId="1179295E" w14:textId="67653382"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(207.283)</w:t>
            </w:r>
          </w:p>
        </w:tc>
        <w:tc>
          <w:tcPr>
            <w:tcW w:w="749" w:type="pct"/>
            <w:tcBorders>
              <w:top w:val="nil"/>
              <w:left w:val="nil"/>
              <w:bottom w:val="nil"/>
              <w:right w:val="nil"/>
            </w:tcBorders>
            <w:shd w:val="clear" w:color="auto" w:fill="auto"/>
            <w:noWrap/>
            <w:vAlign w:val="center"/>
            <w:hideMark/>
          </w:tcPr>
          <w:p w14:paraId="7034BFC8" w14:textId="20C9AD56"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(277.659)</w:t>
            </w:r>
          </w:p>
        </w:tc>
        <w:tc>
          <w:tcPr>
            <w:tcW w:w="749" w:type="pct"/>
            <w:tcBorders>
              <w:top w:val="nil"/>
              <w:left w:val="nil"/>
              <w:bottom w:val="nil"/>
              <w:right w:val="nil"/>
            </w:tcBorders>
            <w:shd w:val="clear" w:color="auto" w:fill="auto"/>
            <w:noWrap/>
            <w:vAlign w:val="center"/>
            <w:hideMark/>
          </w:tcPr>
          <w:p w14:paraId="32AE442F" w14:textId="36FDCD87"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(207.301)</w:t>
            </w:r>
          </w:p>
        </w:tc>
      </w:tr>
      <w:tr w:rsidR="00061E53" w:rsidRPr="00E20D21" w14:paraId="4E51E6E8" w14:textId="77777777" w:rsidTr="00061E53">
        <w:trPr>
          <w:trHeight w:val="283"/>
        </w:trPr>
        <w:tc>
          <w:tcPr>
            <w:tcW w:w="2003" w:type="pct"/>
            <w:tcBorders>
              <w:top w:val="nil"/>
              <w:left w:val="nil"/>
              <w:bottom w:val="nil"/>
              <w:right w:val="nil"/>
            </w:tcBorders>
            <w:shd w:val="clear" w:color="auto" w:fill="auto"/>
            <w:vAlign w:val="center"/>
            <w:hideMark/>
          </w:tcPr>
          <w:p w14:paraId="10C84308"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Água e energia</w:t>
            </w:r>
          </w:p>
        </w:tc>
        <w:tc>
          <w:tcPr>
            <w:tcW w:w="749" w:type="pct"/>
            <w:tcBorders>
              <w:top w:val="nil"/>
              <w:left w:val="nil"/>
              <w:bottom w:val="nil"/>
              <w:right w:val="nil"/>
            </w:tcBorders>
            <w:shd w:val="clear" w:color="auto" w:fill="auto"/>
            <w:noWrap/>
            <w:vAlign w:val="center"/>
          </w:tcPr>
          <w:p w14:paraId="6DC050B6" w14:textId="41C27947"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(275.881)</w:t>
            </w:r>
          </w:p>
        </w:tc>
        <w:tc>
          <w:tcPr>
            <w:tcW w:w="750" w:type="pct"/>
            <w:tcBorders>
              <w:top w:val="nil"/>
              <w:left w:val="nil"/>
              <w:bottom w:val="nil"/>
              <w:right w:val="nil"/>
            </w:tcBorders>
            <w:shd w:val="clear" w:color="auto" w:fill="auto"/>
            <w:noWrap/>
            <w:vAlign w:val="center"/>
            <w:hideMark/>
          </w:tcPr>
          <w:p w14:paraId="05E548E9" w14:textId="5CB36C56"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(256.972)</w:t>
            </w:r>
          </w:p>
        </w:tc>
        <w:tc>
          <w:tcPr>
            <w:tcW w:w="749" w:type="pct"/>
            <w:tcBorders>
              <w:top w:val="nil"/>
              <w:left w:val="nil"/>
              <w:bottom w:val="nil"/>
              <w:right w:val="nil"/>
            </w:tcBorders>
            <w:shd w:val="clear" w:color="auto" w:fill="auto"/>
            <w:noWrap/>
            <w:vAlign w:val="center"/>
            <w:hideMark/>
          </w:tcPr>
          <w:p w14:paraId="482AD09C" w14:textId="740B72A3"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(275.881)</w:t>
            </w:r>
          </w:p>
        </w:tc>
        <w:tc>
          <w:tcPr>
            <w:tcW w:w="749" w:type="pct"/>
            <w:tcBorders>
              <w:top w:val="nil"/>
              <w:left w:val="nil"/>
              <w:bottom w:val="nil"/>
              <w:right w:val="nil"/>
            </w:tcBorders>
            <w:shd w:val="clear" w:color="auto" w:fill="auto"/>
            <w:noWrap/>
            <w:vAlign w:val="center"/>
            <w:hideMark/>
          </w:tcPr>
          <w:p w14:paraId="2D91D2D4" w14:textId="1C1E6942"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(256.972)</w:t>
            </w:r>
          </w:p>
        </w:tc>
      </w:tr>
      <w:tr w:rsidR="00061E53" w:rsidRPr="00E20D21" w14:paraId="5CB0319D" w14:textId="77777777" w:rsidTr="00061E53">
        <w:trPr>
          <w:trHeight w:val="283"/>
        </w:trPr>
        <w:tc>
          <w:tcPr>
            <w:tcW w:w="2003" w:type="pct"/>
            <w:tcBorders>
              <w:top w:val="nil"/>
              <w:left w:val="nil"/>
              <w:bottom w:val="nil"/>
              <w:right w:val="nil"/>
            </w:tcBorders>
            <w:shd w:val="clear" w:color="auto" w:fill="auto"/>
            <w:vAlign w:val="center"/>
            <w:hideMark/>
          </w:tcPr>
          <w:p w14:paraId="37142E98"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Serviços do sistema financeiro</w:t>
            </w:r>
          </w:p>
        </w:tc>
        <w:tc>
          <w:tcPr>
            <w:tcW w:w="749" w:type="pct"/>
            <w:tcBorders>
              <w:top w:val="nil"/>
              <w:left w:val="nil"/>
              <w:bottom w:val="nil"/>
              <w:right w:val="nil"/>
            </w:tcBorders>
            <w:shd w:val="clear" w:color="auto" w:fill="auto"/>
            <w:noWrap/>
            <w:vAlign w:val="center"/>
          </w:tcPr>
          <w:p w14:paraId="1C4C4EAB" w14:textId="55B8B7BB"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(202.404)</w:t>
            </w:r>
          </w:p>
        </w:tc>
        <w:tc>
          <w:tcPr>
            <w:tcW w:w="750" w:type="pct"/>
            <w:tcBorders>
              <w:top w:val="nil"/>
              <w:left w:val="nil"/>
              <w:bottom w:val="nil"/>
              <w:right w:val="nil"/>
            </w:tcBorders>
            <w:shd w:val="clear" w:color="auto" w:fill="auto"/>
            <w:noWrap/>
            <w:vAlign w:val="center"/>
            <w:hideMark/>
          </w:tcPr>
          <w:p w14:paraId="3672BA9B" w14:textId="2A6D67F6"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(201.778)</w:t>
            </w:r>
          </w:p>
        </w:tc>
        <w:tc>
          <w:tcPr>
            <w:tcW w:w="749" w:type="pct"/>
            <w:tcBorders>
              <w:top w:val="nil"/>
              <w:left w:val="nil"/>
              <w:bottom w:val="nil"/>
              <w:right w:val="nil"/>
            </w:tcBorders>
            <w:shd w:val="clear" w:color="auto" w:fill="auto"/>
            <w:noWrap/>
            <w:vAlign w:val="center"/>
            <w:hideMark/>
          </w:tcPr>
          <w:p w14:paraId="6A6DA6E5" w14:textId="7639D278"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(202.976)</w:t>
            </w:r>
          </w:p>
        </w:tc>
        <w:tc>
          <w:tcPr>
            <w:tcW w:w="749" w:type="pct"/>
            <w:tcBorders>
              <w:top w:val="nil"/>
              <w:left w:val="nil"/>
              <w:bottom w:val="nil"/>
              <w:right w:val="nil"/>
            </w:tcBorders>
            <w:shd w:val="clear" w:color="auto" w:fill="auto"/>
            <w:noWrap/>
            <w:vAlign w:val="center"/>
            <w:hideMark/>
          </w:tcPr>
          <w:p w14:paraId="0BA89030" w14:textId="49D7CD17"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(202.560)</w:t>
            </w:r>
          </w:p>
        </w:tc>
      </w:tr>
      <w:tr w:rsidR="00061E53" w:rsidRPr="00E20D21" w14:paraId="35539C81" w14:textId="77777777" w:rsidTr="00061E53">
        <w:trPr>
          <w:trHeight w:val="283"/>
        </w:trPr>
        <w:tc>
          <w:tcPr>
            <w:tcW w:w="2003" w:type="pct"/>
            <w:tcBorders>
              <w:top w:val="nil"/>
              <w:left w:val="nil"/>
              <w:bottom w:val="nil"/>
              <w:right w:val="nil"/>
            </w:tcBorders>
            <w:shd w:val="clear" w:color="auto" w:fill="auto"/>
            <w:vAlign w:val="center"/>
            <w:hideMark/>
          </w:tcPr>
          <w:p w14:paraId="6E6C4C5E"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Propaganda e publicidade</w:t>
            </w:r>
          </w:p>
        </w:tc>
        <w:tc>
          <w:tcPr>
            <w:tcW w:w="749" w:type="pct"/>
            <w:tcBorders>
              <w:top w:val="nil"/>
              <w:left w:val="nil"/>
              <w:bottom w:val="nil"/>
              <w:right w:val="nil"/>
            </w:tcBorders>
            <w:shd w:val="clear" w:color="auto" w:fill="auto"/>
            <w:noWrap/>
            <w:vAlign w:val="center"/>
          </w:tcPr>
          <w:p w14:paraId="4BBAA769" w14:textId="76E3D527"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(143.616)</w:t>
            </w:r>
          </w:p>
        </w:tc>
        <w:tc>
          <w:tcPr>
            <w:tcW w:w="750" w:type="pct"/>
            <w:tcBorders>
              <w:top w:val="nil"/>
              <w:left w:val="nil"/>
              <w:bottom w:val="nil"/>
              <w:right w:val="nil"/>
            </w:tcBorders>
            <w:shd w:val="clear" w:color="auto" w:fill="auto"/>
            <w:noWrap/>
            <w:vAlign w:val="center"/>
            <w:hideMark/>
          </w:tcPr>
          <w:p w14:paraId="52B54B53" w14:textId="1D75254B"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(60.570)</w:t>
            </w:r>
          </w:p>
        </w:tc>
        <w:tc>
          <w:tcPr>
            <w:tcW w:w="749" w:type="pct"/>
            <w:tcBorders>
              <w:top w:val="nil"/>
              <w:left w:val="nil"/>
              <w:bottom w:val="nil"/>
              <w:right w:val="nil"/>
            </w:tcBorders>
            <w:shd w:val="clear" w:color="auto" w:fill="auto"/>
            <w:noWrap/>
            <w:vAlign w:val="center"/>
            <w:hideMark/>
          </w:tcPr>
          <w:p w14:paraId="10178360" w14:textId="234C3E28"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(143.716)</w:t>
            </w:r>
          </w:p>
        </w:tc>
        <w:tc>
          <w:tcPr>
            <w:tcW w:w="749" w:type="pct"/>
            <w:tcBorders>
              <w:top w:val="nil"/>
              <w:left w:val="nil"/>
              <w:bottom w:val="nil"/>
              <w:right w:val="nil"/>
            </w:tcBorders>
            <w:shd w:val="clear" w:color="auto" w:fill="auto"/>
            <w:noWrap/>
            <w:vAlign w:val="center"/>
            <w:hideMark/>
          </w:tcPr>
          <w:p w14:paraId="7117B3A4" w14:textId="3966C0A3"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(60.570)</w:t>
            </w:r>
          </w:p>
        </w:tc>
      </w:tr>
      <w:tr w:rsidR="00061E53" w:rsidRPr="00E20D21" w14:paraId="38516F25" w14:textId="77777777" w:rsidTr="00061E53">
        <w:trPr>
          <w:trHeight w:val="283"/>
        </w:trPr>
        <w:tc>
          <w:tcPr>
            <w:tcW w:w="2003" w:type="pct"/>
            <w:tcBorders>
              <w:top w:val="nil"/>
              <w:left w:val="nil"/>
              <w:bottom w:val="nil"/>
              <w:right w:val="nil"/>
            </w:tcBorders>
            <w:shd w:val="clear" w:color="auto" w:fill="auto"/>
            <w:noWrap/>
            <w:vAlign w:val="center"/>
            <w:hideMark/>
          </w:tcPr>
          <w:p w14:paraId="63A7D980"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Material</w:t>
            </w:r>
          </w:p>
        </w:tc>
        <w:tc>
          <w:tcPr>
            <w:tcW w:w="749" w:type="pct"/>
            <w:tcBorders>
              <w:top w:val="nil"/>
              <w:left w:val="nil"/>
              <w:bottom w:val="nil"/>
              <w:right w:val="nil"/>
            </w:tcBorders>
            <w:shd w:val="clear" w:color="auto" w:fill="auto"/>
            <w:noWrap/>
            <w:vAlign w:val="center"/>
          </w:tcPr>
          <w:p w14:paraId="394FFF22" w14:textId="35F90601"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(83.240)</w:t>
            </w:r>
          </w:p>
        </w:tc>
        <w:tc>
          <w:tcPr>
            <w:tcW w:w="750" w:type="pct"/>
            <w:tcBorders>
              <w:top w:val="nil"/>
              <w:left w:val="nil"/>
              <w:bottom w:val="nil"/>
              <w:right w:val="nil"/>
            </w:tcBorders>
            <w:shd w:val="clear" w:color="auto" w:fill="auto"/>
            <w:noWrap/>
            <w:vAlign w:val="center"/>
            <w:hideMark/>
          </w:tcPr>
          <w:p w14:paraId="4CFB89F3" w14:textId="2D683792"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(59.646)</w:t>
            </w:r>
          </w:p>
        </w:tc>
        <w:tc>
          <w:tcPr>
            <w:tcW w:w="749" w:type="pct"/>
            <w:tcBorders>
              <w:top w:val="nil"/>
              <w:left w:val="nil"/>
              <w:bottom w:val="nil"/>
              <w:right w:val="nil"/>
            </w:tcBorders>
            <w:shd w:val="clear" w:color="auto" w:fill="auto"/>
            <w:noWrap/>
            <w:vAlign w:val="center"/>
            <w:hideMark/>
          </w:tcPr>
          <w:p w14:paraId="68E81DDF" w14:textId="3EF9420C"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(83.255)</w:t>
            </w:r>
          </w:p>
        </w:tc>
        <w:tc>
          <w:tcPr>
            <w:tcW w:w="749" w:type="pct"/>
            <w:tcBorders>
              <w:top w:val="nil"/>
              <w:left w:val="nil"/>
              <w:bottom w:val="nil"/>
              <w:right w:val="nil"/>
            </w:tcBorders>
            <w:shd w:val="clear" w:color="auto" w:fill="auto"/>
            <w:noWrap/>
            <w:vAlign w:val="center"/>
            <w:hideMark/>
          </w:tcPr>
          <w:p w14:paraId="2BCED1C0" w14:textId="3BEAEC09"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(59.657)</w:t>
            </w:r>
          </w:p>
        </w:tc>
      </w:tr>
      <w:tr w:rsidR="00061E53" w:rsidRPr="00E20D21" w14:paraId="599C764A" w14:textId="77777777" w:rsidTr="00061E53">
        <w:trPr>
          <w:trHeight w:val="283"/>
        </w:trPr>
        <w:tc>
          <w:tcPr>
            <w:tcW w:w="2003" w:type="pct"/>
            <w:tcBorders>
              <w:top w:val="nil"/>
              <w:left w:val="nil"/>
              <w:bottom w:val="nil"/>
              <w:right w:val="nil"/>
            </w:tcBorders>
            <w:shd w:val="clear" w:color="auto" w:fill="auto"/>
            <w:noWrap/>
            <w:vAlign w:val="center"/>
            <w:hideMark/>
          </w:tcPr>
          <w:p w14:paraId="2721A15B"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Promoções e relações públicas</w:t>
            </w:r>
          </w:p>
        </w:tc>
        <w:tc>
          <w:tcPr>
            <w:tcW w:w="749" w:type="pct"/>
            <w:tcBorders>
              <w:top w:val="nil"/>
              <w:left w:val="nil"/>
              <w:bottom w:val="nil"/>
              <w:right w:val="nil"/>
            </w:tcBorders>
            <w:shd w:val="clear" w:color="auto" w:fill="auto"/>
            <w:noWrap/>
            <w:vAlign w:val="center"/>
          </w:tcPr>
          <w:p w14:paraId="5037DB67" w14:textId="3E6DEBF6"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(39.538)</w:t>
            </w:r>
          </w:p>
        </w:tc>
        <w:tc>
          <w:tcPr>
            <w:tcW w:w="750" w:type="pct"/>
            <w:tcBorders>
              <w:top w:val="nil"/>
              <w:left w:val="nil"/>
              <w:bottom w:val="nil"/>
              <w:right w:val="nil"/>
            </w:tcBorders>
            <w:shd w:val="clear" w:color="auto" w:fill="auto"/>
            <w:noWrap/>
            <w:vAlign w:val="center"/>
            <w:hideMark/>
          </w:tcPr>
          <w:p w14:paraId="09E8D2DE" w14:textId="1A021C47"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(13.567)</w:t>
            </w:r>
          </w:p>
        </w:tc>
        <w:tc>
          <w:tcPr>
            <w:tcW w:w="749" w:type="pct"/>
            <w:tcBorders>
              <w:top w:val="nil"/>
              <w:left w:val="nil"/>
              <w:bottom w:val="nil"/>
              <w:right w:val="nil"/>
            </w:tcBorders>
            <w:shd w:val="clear" w:color="auto" w:fill="auto"/>
            <w:noWrap/>
            <w:vAlign w:val="center"/>
            <w:hideMark/>
          </w:tcPr>
          <w:p w14:paraId="43EE36F6" w14:textId="7B67A511"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(39.538)</w:t>
            </w:r>
          </w:p>
        </w:tc>
        <w:tc>
          <w:tcPr>
            <w:tcW w:w="749" w:type="pct"/>
            <w:tcBorders>
              <w:top w:val="nil"/>
              <w:left w:val="nil"/>
              <w:bottom w:val="nil"/>
              <w:right w:val="nil"/>
            </w:tcBorders>
            <w:shd w:val="clear" w:color="auto" w:fill="auto"/>
            <w:noWrap/>
            <w:vAlign w:val="center"/>
            <w:hideMark/>
          </w:tcPr>
          <w:p w14:paraId="24BF4A92" w14:textId="4AAF9EA1"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(13.569)</w:t>
            </w:r>
          </w:p>
        </w:tc>
      </w:tr>
      <w:tr w:rsidR="00061E53" w:rsidRPr="00E20D21" w14:paraId="4C020490" w14:textId="77777777" w:rsidTr="00061E53">
        <w:trPr>
          <w:trHeight w:val="283"/>
        </w:trPr>
        <w:tc>
          <w:tcPr>
            <w:tcW w:w="2003" w:type="pct"/>
            <w:tcBorders>
              <w:top w:val="nil"/>
              <w:left w:val="nil"/>
              <w:bottom w:val="nil"/>
              <w:right w:val="nil"/>
            </w:tcBorders>
            <w:shd w:val="clear" w:color="auto" w:fill="auto"/>
            <w:noWrap/>
            <w:vAlign w:val="center"/>
            <w:hideMark/>
          </w:tcPr>
          <w:p w14:paraId="6272D803" w14:textId="77777777" w:rsidR="00061E53" w:rsidRPr="00E20D21" w:rsidRDefault="00061E53" w:rsidP="00061E5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Outras</w:t>
            </w:r>
          </w:p>
        </w:tc>
        <w:tc>
          <w:tcPr>
            <w:tcW w:w="749" w:type="pct"/>
            <w:tcBorders>
              <w:top w:val="nil"/>
              <w:left w:val="nil"/>
              <w:bottom w:val="nil"/>
              <w:right w:val="nil"/>
            </w:tcBorders>
            <w:shd w:val="clear" w:color="auto" w:fill="auto"/>
            <w:noWrap/>
            <w:vAlign w:val="center"/>
          </w:tcPr>
          <w:p w14:paraId="6AD5D0D7" w14:textId="4E65730F"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(160.296)</w:t>
            </w:r>
          </w:p>
        </w:tc>
        <w:tc>
          <w:tcPr>
            <w:tcW w:w="750" w:type="pct"/>
            <w:tcBorders>
              <w:top w:val="nil"/>
              <w:left w:val="nil"/>
              <w:bottom w:val="nil"/>
              <w:right w:val="nil"/>
            </w:tcBorders>
            <w:shd w:val="clear" w:color="auto" w:fill="auto"/>
            <w:noWrap/>
            <w:vAlign w:val="center"/>
            <w:hideMark/>
          </w:tcPr>
          <w:p w14:paraId="27B9BB92" w14:textId="24FBE7DC"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(135.794)</w:t>
            </w:r>
          </w:p>
        </w:tc>
        <w:tc>
          <w:tcPr>
            <w:tcW w:w="749" w:type="pct"/>
            <w:tcBorders>
              <w:top w:val="nil"/>
              <w:left w:val="nil"/>
              <w:bottom w:val="nil"/>
              <w:right w:val="nil"/>
            </w:tcBorders>
            <w:shd w:val="clear" w:color="auto" w:fill="auto"/>
            <w:noWrap/>
            <w:vAlign w:val="center"/>
            <w:hideMark/>
          </w:tcPr>
          <w:p w14:paraId="1B5DA66F" w14:textId="52346DCB"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(210.438)</w:t>
            </w:r>
          </w:p>
        </w:tc>
        <w:tc>
          <w:tcPr>
            <w:tcW w:w="749" w:type="pct"/>
            <w:tcBorders>
              <w:top w:val="nil"/>
              <w:left w:val="nil"/>
              <w:bottom w:val="nil"/>
              <w:right w:val="nil"/>
            </w:tcBorders>
            <w:shd w:val="clear" w:color="auto" w:fill="auto"/>
            <w:noWrap/>
            <w:vAlign w:val="center"/>
            <w:hideMark/>
          </w:tcPr>
          <w:p w14:paraId="72C6B45B" w14:textId="1F2C0FEF" w:rsidR="00061E53" w:rsidRPr="00E20D21" w:rsidRDefault="00061E53" w:rsidP="00061E5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(181.005)</w:t>
            </w:r>
          </w:p>
        </w:tc>
      </w:tr>
      <w:tr w:rsidR="00061E53" w:rsidRPr="00E20D21" w14:paraId="61366B22" w14:textId="77777777" w:rsidTr="00061E53">
        <w:trPr>
          <w:trHeight w:val="283"/>
        </w:trPr>
        <w:tc>
          <w:tcPr>
            <w:tcW w:w="2003" w:type="pct"/>
            <w:tcBorders>
              <w:top w:val="single" w:sz="4" w:space="0" w:color="F39200"/>
              <w:left w:val="nil"/>
              <w:bottom w:val="single" w:sz="4" w:space="0" w:color="F39200"/>
              <w:right w:val="nil"/>
            </w:tcBorders>
            <w:shd w:val="clear" w:color="auto" w:fill="auto"/>
            <w:noWrap/>
            <w:vAlign w:val="center"/>
            <w:hideMark/>
          </w:tcPr>
          <w:p w14:paraId="0475EBBF" w14:textId="77777777" w:rsidR="00061E53" w:rsidRPr="00E20D21" w:rsidRDefault="00061E53" w:rsidP="00061E53">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49" w:type="pct"/>
            <w:tcBorders>
              <w:top w:val="single" w:sz="4" w:space="0" w:color="F39200"/>
              <w:left w:val="nil"/>
              <w:bottom w:val="single" w:sz="4" w:space="0" w:color="F39200"/>
              <w:right w:val="nil"/>
            </w:tcBorders>
            <w:shd w:val="clear" w:color="auto" w:fill="auto"/>
            <w:noWrap/>
            <w:vAlign w:val="center"/>
          </w:tcPr>
          <w:p w14:paraId="3AE1B349" w14:textId="1BE06956" w:rsidR="00061E53" w:rsidRPr="00E20D21" w:rsidRDefault="00061E53" w:rsidP="00061E5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(6.678.148)</w:t>
            </w:r>
          </w:p>
        </w:tc>
        <w:tc>
          <w:tcPr>
            <w:tcW w:w="750" w:type="pct"/>
            <w:tcBorders>
              <w:top w:val="single" w:sz="4" w:space="0" w:color="F39200"/>
              <w:left w:val="nil"/>
              <w:bottom w:val="single" w:sz="4" w:space="0" w:color="F39200"/>
              <w:right w:val="nil"/>
            </w:tcBorders>
            <w:shd w:val="clear" w:color="auto" w:fill="auto"/>
            <w:noWrap/>
            <w:vAlign w:val="center"/>
            <w:hideMark/>
          </w:tcPr>
          <w:p w14:paraId="7FA7DA7F" w14:textId="2ADC0C13" w:rsidR="00061E53" w:rsidRPr="00E20D21" w:rsidRDefault="00061E53" w:rsidP="00061E5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(6.042.452)</w:t>
            </w:r>
          </w:p>
        </w:tc>
        <w:tc>
          <w:tcPr>
            <w:tcW w:w="749" w:type="pct"/>
            <w:tcBorders>
              <w:top w:val="single" w:sz="4" w:space="0" w:color="F39200"/>
              <w:left w:val="nil"/>
              <w:bottom w:val="single" w:sz="4" w:space="0" w:color="F39200"/>
              <w:right w:val="nil"/>
            </w:tcBorders>
            <w:shd w:val="clear" w:color="auto" w:fill="auto"/>
            <w:noWrap/>
            <w:vAlign w:val="center"/>
            <w:hideMark/>
          </w:tcPr>
          <w:p w14:paraId="65763850" w14:textId="7651F3EB" w:rsidR="00061E53" w:rsidRPr="00E20D21" w:rsidRDefault="00061E53" w:rsidP="00061E5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(6.739.500)</w:t>
            </w:r>
          </w:p>
        </w:tc>
        <w:tc>
          <w:tcPr>
            <w:tcW w:w="749" w:type="pct"/>
            <w:tcBorders>
              <w:top w:val="single" w:sz="4" w:space="0" w:color="F39200"/>
              <w:left w:val="nil"/>
              <w:bottom w:val="single" w:sz="4" w:space="0" w:color="F39200"/>
              <w:right w:val="nil"/>
            </w:tcBorders>
            <w:shd w:val="clear" w:color="auto" w:fill="auto"/>
            <w:noWrap/>
            <w:vAlign w:val="center"/>
            <w:hideMark/>
          </w:tcPr>
          <w:p w14:paraId="035B50C6" w14:textId="44DB94D0" w:rsidR="00061E53" w:rsidRPr="00E20D21" w:rsidRDefault="00061E53" w:rsidP="00061E5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(6.098.974)</w:t>
            </w:r>
          </w:p>
        </w:tc>
      </w:tr>
    </w:tbl>
    <w:p w14:paraId="1E9D0FEB" w14:textId="77777777" w:rsidR="003A2CC8" w:rsidRPr="00E20D21" w:rsidRDefault="003A2CC8" w:rsidP="003A2CC8">
      <w:pPr>
        <w:rPr>
          <w:rFonts w:ascii="CAIXA Std Book" w:hAnsi="CAIXA Std Book"/>
        </w:rPr>
      </w:pPr>
    </w:p>
    <w:p w14:paraId="4CCF74C5" w14:textId="77777777" w:rsidR="00922DB4" w:rsidRPr="00E20D21" w:rsidRDefault="00922DB4">
      <w:pPr>
        <w:rPr>
          <w:rFonts w:ascii="CAIXA Std Book" w:hAnsi="CAIXA Std Book"/>
          <w:color w:val="005CA9"/>
        </w:rPr>
      </w:pPr>
      <w:r w:rsidRPr="00E20D21">
        <w:rPr>
          <w:rFonts w:ascii="CAIXA Std Book" w:hAnsi="CAIXA Std Book"/>
          <w:color w:val="005CA9"/>
        </w:rPr>
        <w:br w:type="page"/>
      </w:r>
    </w:p>
    <w:p w14:paraId="3CFDF0C3" w14:textId="6AAE121B" w:rsidR="00814F49" w:rsidRPr="00E20D21" w:rsidRDefault="00814F49" w:rsidP="00FD7768">
      <w:pPr>
        <w:pStyle w:val="Ttulo1"/>
      </w:pPr>
      <w:bookmarkStart w:id="89" w:name="_Toc175067967"/>
      <w:r w:rsidRPr="00E20D21">
        <w:lastRenderedPageBreak/>
        <w:t>Nota 27 – Despesas tributárias</w:t>
      </w:r>
      <w:bookmarkEnd w:id="89"/>
    </w:p>
    <w:tbl>
      <w:tblPr>
        <w:tblW w:w="5000" w:type="pct"/>
        <w:tblCellMar>
          <w:left w:w="70" w:type="dxa"/>
          <w:right w:w="70" w:type="dxa"/>
        </w:tblCellMar>
        <w:tblLook w:val="04A0" w:firstRow="1" w:lastRow="0" w:firstColumn="1" w:lastColumn="0" w:noHBand="0" w:noVBand="1"/>
      </w:tblPr>
      <w:tblGrid>
        <w:gridCol w:w="4160"/>
        <w:gridCol w:w="1369"/>
        <w:gridCol w:w="1370"/>
        <w:gridCol w:w="1368"/>
        <w:gridCol w:w="1370"/>
      </w:tblGrid>
      <w:tr w:rsidR="009C18C6" w:rsidRPr="00E20D21" w14:paraId="6354720D" w14:textId="77777777" w:rsidTr="00C73724">
        <w:trPr>
          <w:trHeight w:val="283"/>
        </w:trPr>
        <w:tc>
          <w:tcPr>
            <w:tcW w:w="2158" w:type="pct"/>
            <w:vMerge w:val="restart"/>
            <w:tcBorders>
              <w:top w:val="single" w:sz="4" w:space="0" w:color="F79646"/>
              <w:left w:val="nil"/>
              <w:right w:val="nil"/>
            </w:tcBorders>
            <w:vAlign w:val="center"/>
          </w:tcPr>
          <w:p w14:paraId="000B2FA6" w14:textId="1BC9F3CC" w:rsidR="009C18C6" w:rsidRPr="00E20D21" w:rsidRDefault="009C18C6" w:rsidP="009C18C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421" w:type="pct"/>
            <w:gridSpan w:val="2"/>
            <w:tcBorders>
              <w:top w:val="single" w:sz="4" w:space="0" w:color="F79646"/>
              <w:left w:val="nil"/>
              <w:bottom w:val="single" w:sz="4" w:space="0" w:color="F79646"/>
              <w:right w:val="nil"/>
            </w:tcBorders>
            <w:shd w:val="clear" w:color="auto" w:fill="auto"/>
            <w:vAlign w:val="center"/>
          </w:tcPr>
          <w:p w14:paraId="482FAFB2" w14:textId="1356937D" w:rsidR="009C18C6" w:rsidRPr="00E20D21" w:rsidRDefault="009C18C6" w:rsidP="0040195C">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421" w:type="pct"/>
            <w:gridSpan w:val="2"/>
            <w:tcBorders>
              <w:top w:val="single" w:sz="4" w:space="0" w:color="F79646"/>
              <w:left w:val="nil"/>
              <w:bottom w:val="single" w:sz="4" w:space="0" w:color="F79646"/>
              <w:right w:val="nil"/>
            </w:tcBorders>
            <w:shd w:val="clear" w:color="auto" w:fill="auto"/>
            <w:vAlign w:val="center"/>
          </w:tcPr>
          <w:p w14:paraId="037E4F80" w14:textId="24926418" w:rsidR="009C18C6" w:rsidRPr="00E20D21" w:rsidRDefault="009C18C6" w:rsidP="005B728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9C18C6" w:rsidRPr="00E20D21" w14:paraId="62BCF15C" w14:textId="77777777" w:rsidTr="00C73724">
        <w:trPr>
          <w:trHeight w:val="283"/>
        </w:trPr>
        <w:tc>
          <w:tcPr>
            <w:tcW w:w="2158" w:type="pct"/>
            <w:vMerge/>
            <w:tcBorders>
              <w:left w:val="nil"/>
              <w:right w:val="nil"/>
            </w:tcBorders>
            <w:shd w:val="clear" w:color="auto" w:fill="auto"/>
            <w:vAlign w:val="center"/>
            <w:hideMark/>
          </w:tcPr>
          <w:p w14:paraId="39A839B6" w14:textId="14C2B520" w:rsidR="009C18C6" w:rsidRPr="00E20D21" w:rsidRDefault="009C18C6" w:rsidP="001B2016">
            <w:pPr>
              <w:jc w:val="center"/>
              <w:rPr>
                <w:rFonts w:ascii="CAIXA Std Book" w:eastAsia="Times New Roman" w:hAnsi="CAIXA Std Book" w:cs="Arial"/>
                <w:b/>
                <w:bCs/>
                <w:color w:val="005CA9"/>
                <w:sz w:val="18"/>
                <w:szCs w:val="18"/>
              </w:rPr>
            </w:pPr>
          </w:p>
        </w:tc>
        <w:tc>
          <w:tcPr>
            <w:tcW w:w="710" w:type="pct"/>
            <w:tcBorders>
              <w:top w:val="single" w:sz="4" w:space="0" w:color="F79646"/>
              <w:left w:val="nil"/>
              <w:bottom w:val="single" w:sz="4" w:space="0" w:color="F79646"/>
              <w:right w:val="nil"/>
            </w:tcBorders>
            <w:vAlign w:val="center"/>
          </w:tcPr>
          <w:p w14:paraId="2373E01C" w14:textId="4DACF045" w:rsidR="009C18C6" w:rsidRPr="00E20D21" w:rsidRDefault="009C18C6" w:rsidP="001B201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11" w:type="pct"/>
            <w:tcBorders>
              <w:top w:val="single" w:sz="4" w:space="0" w:color="F79646"/>
              <w:left w:val="nil"/>
              <w:bottom w:val="single" w:sz="4" w:space="0" w:color="F79646"/>
              <w:right w:val="nil"/>
            </w:tcBorders>
            <w:vAlign w:val="center"/>
          </w:tcPr>
          <w:p w14:paraId="75014517" w14:textId="7E8A6F37" w:rsidR="009C18C6" w:rsidRPr="00E20D21" w:rsidRDefault="009C18C6" w:rsidP="001B201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710" w:type="pct"/>
            <w:tcBorders>
              <w:top w:val="single" w:sz="4" w:space="0" w:color="F79646"/>
              <w:left w:val="nil"/>
              <w:bottom w:val="single" w:sz="4" w:space="0" w:color="F79646"/>
              <w:right w:val="nil"/>
            </w:tcBorders>
            <w:shd w:val="clear" w:color="auto" w:fill="auto"/>
            <w:vAlign w:val="center"/>
            <w:hideMark/>
          </w:tcPr>
          <w:p w14:paraId="4D0FB4C5" w14:textId="160C6812" w:rsidR="009C18C6" w:rsidRPr="00E20D21" w:rsidRDefault="009C18C6" w:rsidP="001B201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11" w:type="pct"/>
            <w:tcBorders>
              <w:top w:val="single" w:sz="4" w:space="0" w:color="F79646"/>
              <w:left w:val="nil"/>
              <w:bottom w:val="single" w:sz="4" w:space="0" w:color="F79646"/>
              <w:right w:val="nil"/>
            </w:tcBorders>
            <w:shd w:val="clear" w:color="auto" w:fill="auto"/>
            <w:vAlign w:val="center"/>
          </w:tcPr>
          <w:p w14:paraId="05BAD58F" w14:textId="0135FDFA" w:rsidR="009C18C6" w:rsidRPr="00E20D21" w:rsidRDefault="009C18C6" w:rsidP="001B201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9C18C6" w:rsidRPr="00E20D21" w14:paraId="10997F43" w14:textId="77777777" w:rsidTr="00C73724">
        <w:trPr>
          <w:trHeight w:val="283"/>
        </w:trPr>
        <w:tc>
          <w:tcPr>
            <w:tcW w:w="2158" w:type="pct"/>
            <w:vMerge/>
            <w:tcBorders>
              <w:left w:val="nil"/>
              <w:bottom w:val="single" w:sz="4" w:space="0" w:color="F79646"/>
              <w:right w:val="nil"/>
            </w:tcBorders>
            <w:vAlign w:val="center"/>
            <w:hideMark/>
          </w:tcPr>
          <w:p w14:paraId="05844E16" w14:textId="77777777" w:rsidR="009C18C6" w:rsidRPr="00E20D21" w:rsidRDefault="009C18C6" w:rsidP="001B2016">
            <w:pPr>
              <w:rPr>
                <w:rFonts w:ascii="CAIXA Std Book" w:eastAsia="Times New Roman" w:hAnsi="CAIXA Std Book" w:cs="Arial"/>
                <w:b/>
                <w:bCs/>
                <w:color w:val="005CA9"/>
                <w:sz w:val="18"/>
                <w:szCs w:val="18"/>
              </w:rPr>
            </w:pPr>
          </w:p>
        </w:tc>
        <w:tc>
          <w:tcPr>
            <w:tcW w:w="710" w:type="pct"/>
            <w:tcBorders>
              <w:top w:val="nil"/>
              <w:left w:val="nil"/>
              <w:bottom w:val="single" w:sz="4" w:space="0" w:color="F79646"/>
              <w:right w:val="nil"/>
            </w:tcBorders>
            <w:vAlign w:val="center"/>
          </w:tcPr>
          <w:p w14:paraId="5F787217" w14:textId="6F644823" w:rsidR="009C18C6" w:rsidRPr="00E20D21" w:rsidRDefault="009C18C6" w:rsidP="001B201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11" w:type="pct"/>
            <w:tcBorders>
              <w:top w:val="nil"/>
              <w:left w:val="nil"/>
              <w:bottom w:val="single" w:sz="4" w:space="0" w:color="F79646"/>
              <w:right w:val="nil"/>
            </w:tcBorders>
            <w:vAlign w:val="center"/>
          </w:tcPr>
          <w:p w14:paraId="185E6D66" w14:textId="753066C4" w:rsidR="009C18C6" w:rsidRPr="00E20D21" w:rsidRDefault="009C18C6" w:rsidP="001B201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10" w:type="pct"/>
            <w:tcBorders>
              <w:top w:val="nil"/>
              <w:left w:val="nil"/>
              <w:bottom w:val="single" w:sz="4" w:space="0" w:color="F79646"/>
              <w:right w:val="nil"/>
            </w:tcBorders>
            <w:shd w:val="clear" w:color="auto" w:fill="auto"/>
            <w:vAlign w:val="center"/>
          </w:tcPr>
          <w:p w14:paraId="3FB4588A" w14:textId="28CE921E" w:rsidR="009C18C6" w:rsidRPr="00E20D21" w:rsidRDefault="009C18C6" w:rsidP="001B201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11" w:type="pct"/>
            <w:tcBorders>
              <w:top w:val="nil"/>
              <w:left w:val="nil"/>
              <w:bottom w:val="single" w:sz="4" w:space="0" w:color="F79646"/>
              <w:right w:val="nil"/>
            </w:tcBorders>
            <w:shd w:val="clear" w:color="auto" w:fill="auto"/>
            <w:vAlign w:val="center"/>
          </w:tcPr>
          <w:p w14:paraId="04B588F8" w14:textId="7BF6F00C" w:rsidR="009C18C6" w:rsidRPr="00E20D21" w:rsidRDefault="009C18C6" w:rsidP="001B2016">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CB7B9D" w:rsidRPr="00E20D21" w14:paraId="3A73DC5E" w14:textId="77777777" w:rsidTr="00C73724">
        <w:trPr>
          <w:trHeight w:val="283"/>
        </w:trPr>
        <w:tc>
          <w:tcPr>
            <w:tcW w:w="2158" w:type="pct"/>
            <w:tcBorders>
              <w:top w:val="nil"/>
              <w:left w:val="nil"/>
              <w:bottom w:val="nil"/>
              <w:right w:val="nil"/>
            </w:tcBorders>
            <w:shd w:val="clear" w:color="auto" w:fill="auto"/>
            <w:vAlign w:val="center"/>
            <w:hideMark/>
          </w:tcPr>
          <w:p w14:paraId="6BB3DBCB" w14:textId="77777777" w:rsidR="00CB7B9D" w:rsidRPr="00E20D21" w:rsidRDefault="00CB7B9D" w:rsidP="00CB7B9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COFINS</w:t>
            </w:r>
          </w:p>
        </w:tc>
        <w:tc>
          <w:tcPr>
            <w:tcW w:w="710" w:type="pct"/>
            <w:tcBorders>
              <w:top w:val="nil"/>
              <w:left w:val="nil"/>
              <w:bottom w:val="nil"/>
              <w:right w:val="nil"/>
            </w:tcBorders>
            <w:vAlign w:val="center"/>
          </w:tcPr>
          <w:p w14:paraId="266E7566" w14:textId="77D4B690"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(1.345.063)</w:t>
            </w:r>
          </w:p>
        </w:tc>
        <w:tc>
          <w:tcPr>
            <w:tcW w:w="711" w:type="pct"/>
            <w:tcBorders>
              <w:top w:val="nil"/>
              <w:left w:val="nil"/>
              <w:bottom w:val="nil"/>
              <w:right w:val="nil"/>
            </w:tcBorders>
            <w:vAlign w:val="center"/>
          </w:tcPr>
          <w:p w14:paraId="43F0EEDA" w14:textId="313A8E66"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(1.336.820)</w:t>
            </w:r>
          </w:p>
        </w:tc>
        <w:tc>
          <w:tcPr>
            <w:tcW w:w="710" w:type="pct"/>
            <w:tcBorders>
              <w:top w:val="nil"/>
              <w:left w:val="nil"/>
              <w:bottom w:val="nil"/>
              <w:right w:val="nil"/>
            </w:tcBorders>
            <w:shd w:val="clear" w:color="auto" w:fill="auto"/>
            <w:noWrap/>
            <w:vAlign w:val="center"/>
          </w:tcPr>
          <w:p w14:paraId="6E03EC43" w14:textId="1D6A4682" w:rsidR="00CB7B9D" w:rsidRPr="00E20D21" w:rsidRDefault="00F808BA" w:rsidP="00F808B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(1.481.289)</w:t>
            </w:r>
          </w:p>
        </w:tc>
        <w:tc>
          <w:tcPr>
            <w:tcW w:w="711" w:type="pct"/>
            <w:tcBorders>
              <w:top w:val="nil"/>
              <w:left w:val="nil"/>
              <w:bottom w:val="nil"/>
              <w:right w:val="nil"/>
            </w:tcBorders>
            <w:shd w:val="clear" w:color="auto" w:fill="auto"/>
            <w:vAlign w:val="center"/>
          </w:tcPr>
          <w:p w14:paraId="278BA760" w14:textId="4C1CE067" w:rsidR="00CB7B9D" w:rsidRPr="00E20D21" w:rsidRDefault="00CB7B9D" w:rsidP="00CB7B9D">
            <w:pPr>
              <w:jc w:val="right"/>
              <w:rPr>
                <w:rFonts w:ascii="CAIXA Std Book" w:eastAsia="Times New Roman" w:hAnsi="CAIXA Std Book" w:cs="Times New Roman"/>
                <w:color w:val="005CA9"/>
                <w:sz w:val="18"/>
                <w:szCs w:val="18"/>
              </w:rPr>
            </w:pPr>
            <w:r w:rsidRPr="00E20D21">
              <w:rPr>
                <w:rFonts w:ascii="CAIXA Std Book" w:hAnsi="CAIXA Std Book" w:cs="Arial"/>
                <w:color w:val="005CA9"/>
                <w:sz w:val="18"/>
                <w:szCs w:val="18"/>
              </w:rPr>
              <w:t>(1.457.587)</w:t>
            </w:r>
          </w:p>
        </w:tc>
      </w:tr>
      <w:tr w:rsidR="00CB7B9D" w:rsidRPr="00E20D21" w14:paraId="44C832F4" w14:textId="77777777" w:rsidTr="00C73724">
        <w:trPr>
          <w:trHeight w:val="283"/>
        </w:trPr>
        <w:tc>
          <w:tcPr>
            <w:tcW w:w="2158" w:type="pct"/>
            <w:tcBorders>
              <w:top w:val="nil"/>
              <w:left w:val="nil"/>
              <w:bottom w:val="nil"/>
              <w:right w:val="nil"/>
            </w:tcBorders>
            <w:shd w:val="clear" w:color="auto" w:fill="auto"/>
            <w:vAlign w:val="center"/>
            <w:hideMark/>
          </w:tcPr>
          <w:p w14:paraId="09D9C9DC" w14:textId="77777777" w:rsidR="00CB7B9D" w:rsidRPr="00E20D21" w:rsidRDefault="00CB7B9D" w:rsidP="00CB7B9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ISS</w:t>
            </w:r>
          </w:p>
        </w:tc>
        <w:tc>
          <w:tcPr>
            <w:tcW w:w="710" w:type="pct"/>
            <w:tcBorders>
              <w:top w:val="nil"/>
              <w:left w:val="nil"/>
              <w:bottom w:val="nil"/>
              <w:right w:val="nil"/>
            </w:tcBorders>
            <w:vAlign w:val="center"/>
          </w:tcPr>
          <w:p w14:paraId="3354AE01" w14:textId="004BE342"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(418.397)</w:t>
            </w:r>
          </w:p>
        </w:tc>
        <w:tc>
          <w:tcPr>
            <w:tcW w:w="711" w:type="pct"/>
            <w:tcBorders>
              <w:top w:val="nil"/>
              <w:left w:val="nil"/>
              <w:bottom w:val="nil"/>
              <w:right w:val="nil"/>
            </w:tcBorders>
            <w:vAlign w:val="center"/>
          </w:tcPr>
          <w:p w14:paraId="3D14B479" w14:textId="2E75B2AD"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(387.270)</w:t>
            </w:r>
          </w:p>
        </w:tc>
        <w:tc>
          <w:tcPr>
            <w:tcW w:w="710" w:type="pct"/>
            <w:tcBorders>
              <w:top w:val="nil"/>
              <w:left w:val="nil"/>
              <w:bottom w:val="nil"/>
              <w:right w:val="nil"/>
            </w:tcBorders>
            <w:shd w:val="clear" w:color="auto" w:fill="auto"/>
            <w:noWrap/>
            <w:vAlign w:val="center"/>
          </w:tcPr>
          <w:p w14:paraId="0321A9E2" w14:textId="111FA134" w:rsidR="00CB7B9D" w:rsidRPr="00E20D21" w:rsidRDefault="00F808BA" w:rsidP="00F808B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(472.666)</w:t>
            </w:r>
          </w:p>
        </w:tc>
        <w:tc>
          <w:tcPr>
            <w:tcW w:w="711" w:type="pct"/>
            <w:tcBorders>
              <w:top w:val="nil"/>
              <w:left w:val="nil"/>
              <w:bottom w:val="nil"/>
              <w:right w:val="nil"/>
            </w:tcBorders>
            <w:shd w:val="clear" w:color="auto" w:fill="auto"/>
            <w:vAlign w:val="center"/>
          </w:tcPr>
          <w:p w14:paraId="3D7EF5FA" w14:textId="0AD99C86" w:rsidR="00CB7B9D" w:rsidRPr="00E20D21" w:rsidRDefault="00CB7B9D" w:rsidP="00CB7B9D">
            <w:pPr>
              <w:jc w:val="right"/>
              <w:rPr>
                <w:rFonts w:ascii="CAIXA Std Book" w:eastAsia="Times New Roman" w:hAnsi="CAIXA Std Book" w:cs="Times New Roman"/>
                <w:color w:val="005CA9"/>
                <w:sz w:val="18"/>
                <w:szCs w:val="18"/>
              </w:rPr>
            </w:pPr>
            <w:r w:rsidRPr="00E20D21">
              <w:rPr>
                <w:rFonts w:ascii="CAIXA Std Book" w:hAnsi="CAIXA Std Book" w:cs="Arial"/>
                <w:color w:val="005CA9"/>
                <w:sz w:val="18"/>
                <w:szCs w:val="18"/>
              </w:rPr>
              <w:t>(433.356)</w:t>
            </w:r>
          </w:p>
        </w:tc>
      </w:tr>
      <w:tr w:rsidR="00CB7B9D" w:rsidRPr="00E20D21" w14:paraId="0B99C850" w14:textId="77777777" w:rsidTr="00C73724">
        <w:trPr>
          <w:trHeight w:val="283"/>
        </w:trPr>
        <w:tc>
          <w:tcPr>
            <w:tcW w:w="2158" w:type="pct"/>
            <w:tcBorders>
              <w:top w:val="nil"/>
              <w:left w:val="nil"/>
              <w:bottom w:val="nil"/>
              <w:right w:val="nil"/>
            </w:tcBorders>
            <w:shd w:val="clear" w:color="auto" w:fill="auto"/>
            <w:vAlign w:val="center"/>
            <w:hideMark/>
          </w:tcPr>
          <w:p w14:paraId="4F57A32A" w14:textId="77777777" w:rsidR="00CB7B9D" w:rsidRPr="00E20D21" w:rsidRDefault="00CB7B9D" w:rsidP="00CB7B9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PIS/PASEP</w:t>
            </w:r>
          </w:p>
        </w:tc>
        <w:tc>
          <w:tcPr>
            <w:tcW w:w="710" w:type="pct"/>
            <w:tcBorders>
              <w:top w:val="nil"/>
              <w:left w:val="nil"/>
              <w:bottom w:val="nil"/>
              <w:right w:val="nil"/>
            </w:tcBorders>
            <w:vAlign w:val="center"/>
          </w:tcPr>
          <w:p w14:paraId="249177A2" w14:textId="6E19D098"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(218.594)</w:t>
            </w:r>
          </w:p>
        </w:tc>
        <w:tc>
          <w:tcPr>
            <w:tcW w:w="711" w:type="pct"/>
            <w:tcBorders>
              <w:top w:val="nil"/>
              <w:left w:val="nil"/>
              <w:bottom w:val="nil"/>
              <w:right w:val="nil"/>
            </w:tcBorders>
            <w:vAlign w:val="center"/>
          </w:tcPr>
          <w:p w14:paraId="16D33E9B" w14:textId="74546598"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(217.254)</w:t>
            </w:r>
          </w:p>
        </w:tc>
        <w:tc>
          <w:tcPr>
            <w:tcW w:w="710" w:type="pct"/>
            <w:tcBorders>
              <w:top w:val="nil"/>
              <w:left w:val="nil"/>
              <w:bottom w:val="nil"/>
              <w:right w:val="nil"/>
            </w:tcBorders>
            <w:shd w:val="clear" w:color="auto" w:fill="auto"/>
            <w:noWrap/>
            <w:vAlign w:val="center"/>
          </w:tcPr>
          <w:p w14:paraId="701B6B01" w14:textId="0577EF4F" w:rsidR="00CB7B9D" w:rsidRPr="00E20D21" w:rsidRDefault="00F808BA" w:rsidP="00F808B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(245.806)</w:t>
            </w:r>
          </w:p>
        </w:tc>
        <w:tc>
          <w:tcPr>
            <w:tcW w:w="711" w:type="pct"/>
            <w:tcBorders>
              <w:top w:val="nil"/>
              <w:left w:val="nil"/>
              <w:bottom w:val="nil"/>
              <w:right w:val="nil"/>
            </w:tcBorders>
            <w:shd w:val="clear" w:color="auto" w:fill="auto"/>
            <w:vAlign w:val="center"/>
          </w:tcPr>
          <w:p w14:paraId="66E50304" w14:textId="595670A2" w:rsidR="00CB7B9D" w:rsidRPr="00E20D21" w:rsidRDefault="00CB7B9D" w:rsidP="00CB7B9D">
            <w:pPr>
              <w:jc w:val="right"/>
              <w:rPr>
                <w:rFonts w:ascii="CAIXA Std Book" w:eastAsia="Times New Roman" w:hAnsi="CAIXA Std Book" w:cs="Times New Roman"/>
                <w:color w:val="005CA9"/>
                <w:sz w:val="18"/>
                <w:szCs w:val="18"/>
              </w:rPr>
            </w:pPr>
            <w:r w:rsidRPr="00E20D21">
              <w:rPr>
                <w:rFonts w:ascii="CAIXA Std Book" w:hAnsi="CAIXA Std Book" w:cs="Arial"/>
                <w:color w:val="005CA9"/>
                <w:sz w:val="18"/>
                <w:szCs w:val="18"/>
              </w:rPr>
              <w:t>(241.052)</w:t>
            </w:r>
          </w:p>
        </w:tc>
      </w:tr>
      <w:tr w:rsidR="00CB7B9D" w:rsidRPr="00E20D21" w14:paraId="7BF409F0" w14:textId="77777777" w:rsidTr="00C73724">
        <w:trPr>
          <w:trHeight w:val="283"/>
        </w:trPr>
        <w:tc>
          <w:tcPr>
            <w:tcW w:w="2158" w:type="pct"/>
            <w:tcBorders>
              <w:top w:val="nil"/>
              <w:left w:val="nil"/>
              <w:bottom w:val="nil"/>
              <w:right w:val="nil"/>
            </w:tcBorders>
            <w:shd w:val="clear" w:color="auto" w:fill="auto"/>
            <w:vAlign w:val="center"/>
            <w:hideMark/>
          </w:tcPr>
          <w:p w14:paraId="25A6626E" w14:textId="77777777" w:rsidR="00CB7B9D" w:rsidRPr="00E20D21" w:rsidRDefault="00CB7B9D" w:rsidP="00CB7B9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IPTU</w:t>
            </w:r>
          </w:p>
        </w:tc>
        <w:tc>
          <w:tcPr>
            <w:tcW w:w="710" w:type="pct"/>
            <w:tcBorders>
              <w:top w:val="nil"/>
              <w:left w:val="nil"/>
              <w:bottom w:val="nil"/>
              <w:right w:val="nil"/>
            </w:tcBorders>
            <w:vAlign w:val="center"/>
          </w:tcPr>
          <w:p w14:paraId="36541437" w14:textId="74220284"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(86.281)</w:t>
            </w:r>
          </w:p>
        </w:tc>
        <w:tc>
          <w:tcPr>
            <w:tcW w:w="711" w:type="pct"/>
            <w:tcBorders>
              <w:top w:val="nil"/>
              <w:left w:val="nil"/>
              <w:bottom w:val="nil"/>
              <w:right w:val="nil"/>
            </w:tcBorders>
            <w:vAlign w:val="center"/>
          </w:tcPr>
          <w:p w14:paraId="34A0C5D4" w14:textId="64CA74BF"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(84.360)</w:t>
            </w:r>
          </w:p>
        </w:tc>
        <w:tc>
          <w:tcPr>
            <w:tcW w:w="710" w:type="pct"/>
            <w:tcBorders>
              <w:top w:val="nil"/>
              <w:left w:val="nil"/>
              <w:bottom w:val="nil"/>
              <w:right w:val="nil"/>
            </w:tcBorders>
            <w:shd w:val="clear" w:color="auto" w:fill="auto"/>
            <w:noWrap/>
            <w:vAlign w:val="center"/>
          </w:tcPr>
          <w:p w14:paraId="7B1AE6BB" w14:textId="65244BA4" w:rsidR="00CB7B9D" w:rsidRPr="00E20D21" w:rsidRDefault="00F808BA" w:rsidP="00F808B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(86.281)</w:t>
            </w:r>
          </w:p>
        </w:tc>
        <w:tc>
          <w:tcPr>
            <w:tcW w:w="711" w:type="pct"/>
            <w:tcBorders>
              <w:top w:val="nil"/>
              <w:left w:val="nil"/>
              <w:bottom w:val="nil"/>
              <w:right w:val="nil"/>
            </w:tcBorders>
            <w:shd w:val="clear" w:color="auto" w:fill="auto"/>
            <w:vAlign w:val="center"/>
          </w:tcPr>
          <w:p w14:paraId="52128CCB" w14:textId="642BDA48" w:rsidR="00CB7B9D" w:rsidRPr="00E20D21" w:rsidRDefault="00CB7B9D" w:rsidP="00CB7B9D">
            <w:pPr>
              <w:jc w:val="right"/>
              <w:rPr>
                <w:rFonts w:ascii="CAIXA Std Book" w:eastAsia="Times New Roman" w:hAnsi="CAIXA Std Book" w:cs="Times New Roman"/>
                <w:color w:val="005CA9"/>
                <w:sz w:val="18"/>
                <w:szCs w:val="18"/>
              </w:rPr>
            </w:pPr>
            <w:r w:rsidRPr="00E20D21">
              <w:rPr>
                <w:rFonts w:ascii="CAIXA Std Book" w:hAnsi="CAIXA Std Book" w:cs="Arial"/>
                <w:color w:val="005CA9"/>
                <w:sz w:val="18"/>
                <w:szCs w:val="18"/>
              </w:rPr>
              <w:t>(84.360)</w:t>
            </w:r>
          </w:p>
        </w:tc>
      </w:tr>
      <w:tr w:rsidR="00CB7B9D" w:rsidRPr="00E20D21" w14:paraId="4013BEE9" w14:textId="77777777" w:rsidTr="00C73724">
        <w:trPr>
          <w:trHeight w:val="283"/>
        </w:trPr>
        <w:tc>
          <w:tcPr>
            <w:tcW w:w="2158" w:type="pct"/>
            <w:tcBorders>
              <w:top w:val="nil"/>
              <w:left w:val="nil"/>
              <w:bottom w:val="nil"/>
              <w:right w:val="nil"/>
            </w:tcBorders>
            <w:shd w:val="clear" w:color="auto" w:fill="auto"/>
            <w:vAlign w:val="center"/>
            <w:hideMark/>
          </w:tcPr>
          <w:p w14:paraId="5C2E2E4D" w14:textId="77777777" w:rsidR="00CB7B9D" w:rsidRPr="00E20D21" w:rsidRDefault="00CB7B9D" w:rsidP="00CB7B9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Outras</w:t>
            </w:r>
          </w:p>
        </w:tc>
        <w:tc>
          <w:tcPr>
            <w:tcW w:w="710" w:type="pct"/>
            <w:tcBorders>
              <w:top w:val="nil"/>
              <w:left w:val="nil"/>
              <w:bottom w:val="nil"/>
              <w:right w:val="nil"/>
            </w:tcBorders>
            <w:vAlign w:val="center"/>
          </w:tcPr>
          <w:p w14:paraId="5F4FFE02" w14:textId="1CE73E20"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(36.263)</w:t>
            </w:r>
          </w:p>
        </w:tc>
        <w:tc>
          <w:tcPr>
            <w:tcW w:w="711" w:type="pct"/>
            <w:tcBorders>
              <w:top w:val="nil"/>
              <w:left w:val="nil"/>
              <w:bottom w:val="nil"/>
              <w:right w:val="nil"/>
            </w:tcBorders>
            <w:vAlign w:val="center"/>
          </w:tcPr>
          <w:p w14:paraId="1648E1A0" w14:textId="45EDBF65" w:rsidR="00CB7B9D" w:rsidRPr="00E20D21" w:rsidRDefault="00CB7B9D" w:rsidP="00CB7B9D">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(34.672)</w:t>
            </w:r>
          </w:p>
        </w:tc>
        <w:tc>
          <w:tcPr>
            <w:tcW w:w="710" w:type="pct"/>
            <w:tcBorders>
              <w:top w:val="nil"/>
              <w:left w:val="nil"/>
              <w:bottom w:val="nil"/>
              <w:right w:val="nil"/>
            </w:tcBorders>
            <w:shd w:val="clear" w:color="auto" w:fill="auto"/>
            <w:noWrap/>
            <w:vAlign w:val="center"/>
          </w:tcPr>
          <w:p w14:paraId="72B33263" w14:textId="3C76B748" w:rsidR="00CB7B9D" w:rsidRPr="00E20D21" w:rsidRDefault="00F808BA" w:rsidP="00F808BA">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(36.726)</w:t>
            </w:r>
          </w:p>
        </w:tc>
        <w:tc>
          <w:tcPr>
            <w:tcW w:w="711" w:type="pct"/>
            <w:tcBorders>
              <w:top w:val="nil"/>
              <w:left w:val="nil"/>
              <w:bottom w:val="nil"/>
              <w:right w:val="nil"/>
            </w:tcBorders>
            <w:shd w:val="clear" w:color="auto" w:fill="auto"/>
            <w:noWrap/>
            <w:vAlign w:val="center"/>
          </w:tcPr>
          <w:p w14:paraId="5FA0E7D0" w14:textId="0161D76C" w:rsidR="00CB7B9D" w:rsidRPr="00E20D21" w:rsidRDefault="00CB7B9D" w:rsidP="00CB7B9D">
            <w:pPr>
              <w:jc w:val="right"/>
              <w:rPr>
                <w:rFonts w:ascii="CAIXA Std Book" w:eastAsia="Times New Roman" w:hAnsi="CAIXA Std Book" w:cs="Times New Roman"/>
                <w:color w:val="005CA9"/>
                <w:sz w:val="18"/>
                <w:szCs w:val="18"/>
              </w:rPr>
            </w:pPr>
            <w:r w:rsidRPr="00E20D21">
              <w:rPr>
                <w:rFonts w:ascii="CAIXA Std Book" w:hAnsi="CAIXA Std Book" w:cs="Arial"/>
                <w:color w:val="005CA9"/>
                <w:sz w:val="18"/>
                <w:szCs w:val="18"/>
              </w:rPr>
              <w:t>(35.683)</w:t>
            </w:r>
          </w:p>
        </w:tc>
      </w:tr>
      <w:tr w:rsidR="00CB7B9D" w:rsidRPr="00E20D21" w14:paraId="04F56E3D" w14:textId="77777777" w:rsidTr="00C73724">
        <w:trPr>
          <w:trHeight w:val="283"/>
        </w:trPr>
        <w:tc>
          <w:tcPr>
            <w:tcW w:w="2158" w:type="pct"/>
            <w:tcBorders>
              <w:top w:val="single" w:sz="4" w:space="0" w:color="F79646"/>
              <w:left w:val="nil"/>
              <w:bottom w:val="single" w:sz="4" w:space="0" w:color="F79646"/>
              <w:right w:val="nil"/>
            </w:tcBorders>
            <w:shd w:val="clear" w:color="auto" w:fill="auto"/>
            <w:noWrap/>
            <w:vAlign w:val="center"/>
            <w:hideMark/>
          </w:tcPr>
          <w:p w14:paraId="508FD652" w14:textId="77777777" w:rsidR="00CB7B9D" w:rsidRPr="00E20D21" w:rsidRDefault="00CB7B9D" w:rsidP="00CB7B9D">
            <w:pP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Total</w:t>
            </w:r>
          </w:p>
        </w:tc>
        <w:tc>
          <w:tcPr>
            <w:tcW w:w="710" w:type="pct"/>
            <w:tcBorders>
              <w:top w:val="single" w:sz="4" w:space="0" w:color="F79646"/>
              <w:left w:val="nil"/>
              <w:bottom w:val="single" w:sz="4" w:space="0" w:color="F79646"/>
              <w:right w:val="nil"/>
            </w:tcBorders>
            <w:vAlign w:val="center"/>
          </w:tcPr>
          <w:p w14:paraId="7AE94966" w14:textId="3605E355" w:rsidR="00CB7B9D" w:rsidRPr="00E20D21" w:rsidRDefault="00CB7B9D" w:rsidP="00CB7B9D">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(2.104.598)</w:t>
            </w:r>
          </w:p>
        </w:tc>
        <w:tc>
          <w:tcPr>
            <w:tcW w:w="711" w:type="pct"/>
            <w:tcBorders>
              <w:top w:val="single" w:sz="4" w:space="0" w:color="F79646"/>
              <w:left w:val="nil"/>
              <w:bottom w:val="single" w:sz="4" w:space="0" w:color="F79646"/>
              <w:right w:val="nil"/>
            </w:tcBorders>
            <w:vAlign w:val="center"/>
          </w:tcPr>
          <w:p w14:paraId="0067E7FC" w14:textId="4CD450C5" w:rsidR="00CB7B9D" w:rsidRPr="00E20D21" w:rsidRDefault="00CB7B9D" w:rsidP="00CB7B9D">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(2.060.376)</w:t>
            </w:r>
          </w:p>
        </w:tc>
        <w:tc>
          <w:tcPr>
            <w:tcW w:w="710" w:type="pct"/>
            <w:tcBorders>
              <w:top w:val="single" w:sz="4" w:space="0" w:color="F79646"/>
              <w:left w:val="nil"/>
              <w:bottom w:val="single" w:sz="4" w:space="0" w:color="F79646"/>
              <w:right w:val="nil"/>
            </w:tcBorders>
            <w:shd w:val="clear" w:color="auto" w:fill="auto"/>
            <w:noWrap/>
            <w:vAlign w:val="center"/>
          </w:tcPr>
          <w:p w14:paraId="391DF449" w14:textId="316223CB" w:rsidR="00CB7B9D" w:rsidRPr="00E20D21" w:rsidRDefault="00F808BA" w:rsidP="00F808BA">
            <w:pPr>
              <w:jc w:val="right"/>
              <w:rPr>
                <w:rFonts w:ascii="CAIXA Std Book" w:eastAsia="Times New Roman" w:hAnsi="CAIXA Std Book" w:cs="Arial"/>
                <w:b/>
                <w:color w:val="005CA9"/>
                <w:sz w:val="18"/>
                <w:szCs w:val="18"/>
              </w:rPr>
            </w:pPr>
            <w:r w:rsidRPr="00E20D21">
              <w:rPr>
                <w:rFonts w:ascii="CAIXA Std Book" w:hAnsi="CAIXA Std Book" w:cs="Arial"/>
                <w:b/>
                <w:bCs/>
                <w:color w:val="005CA9"/>
                <w:sz w:val="18"/>
                <w:szCs w:val="18"/>
              </w:rPr>
              <w:t>(2.322.768)</w:t>
            </w:r>
          </w:p>
        </w:tc>
        <w:tc>
          <w:tcPr>
            <w:tcW w:w="711" w:type="pct"/>
            <w:tcBorders>
              <w:top w:val="single" w:sz="4" w:space="0" w:color="F79646"/>
              <w:left w:val="nil"/>
              <w:bottom w:val="single" w:sz="4" w:space="0" w:color="F79646"/>
              <w:right w:val="nil"/>
            </w:tcBorders>
            <w:shd w:val="clear" w:color="auto" w:fill="auto"/>
            <w:noWrap/>
            <w:vAlign w:val="center"/>
          </w:tcPr>
          <w:p w14:paraId="4D316EF5" w14:textId="219206DB" w:rsidR="00CB7B9D" w:rsidRPr="00E20D21" w:rsidRDefault="00CB7B9D" w:rsidP="00CB7B9D">
            <w:pPr>
              <w:jc w:val="right"/>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(2.252.038)</w:t>
            </w:r>
          </w:p>
        </w:tc>
      </w:tr>
    </w:tbl>
    <w:p w14:paraId="3863B0FD" w14:textId="1C3A27DE" w:rsidR="00814F49" w:rsidRPr="00E20D21" w:rsidRDefault="00814F49" w:rsidP="00FD7768">
      <w:pPr>
        <w:pStyle w:val="Ttulo1"/>
      </w:pPr>
      <w:bookmarkStart w:id="90" w:name="_Toc175067968"/>
      <w:r w:rsidRPr="00E20D21">
        <w:t>Nota 28 – Outras receitas operacionais</w:t>
      </w:r>
      <w:bookmarkEnd w:id="90"/>
    </w:p>
    <w:tbl>
      <w:tblPr>
        <w:tblW w:w="9639" w:type="dxa"/>
        <w:tblLayout w:type="fixed"/>
        <w:tblCellMar>
          <w:left w:w="70" w:type="dxa"/>
          <w:right w:w="70" w:type="dxa"/>
        </w:tblCellMar>
        <w:tblLook w:val="04A0" w:firstRow="1" w:lastRow="0" w:firstColumn="1" w:lastColumn="0" w:noHBand="0" w:noVBand="1"/>
      </w:tblPr>
      <w:tblGrid>
        <w:gridCol w:w="4678"/>
        <w:gridCol w:w="1240"/>
        <w:gridCol w:w="1240"/>
        <w:gridCol w:w="1240"/>
        <w:gridCol w:w="1241"/>
      </w:tblGrid>
      <w:tr w:rsidR="00486559" w:rsidRPr="00E20D21" w14:paraId="6EFE5FC9" w14:textId="220D5384" w:rsidTr="00216CFA">
        <w:trPr>
          <w:trHeight w:val="283"/>
        </w:trPr>
        <w:tc>
          <w:tcPr>
            <w:tcW w:w="4678" w:type="dxa"/>
            <w:vMerge w:val="restart"/>
            <w:tcBorders>
              <w:top w:val="single" w:sz="4" w:space="0" w:color="F79646"/>
              <w:left w:val="nil"/>
              <w:right w:val="nil"/>
            </w:tcBorders>
            <w:shd w:val="clear" w:color="auto" w:fill="auto"/>
            <w:vAlign w:val="center"/>
            <w:hideMark/>
          </w:tcPr>
          <w:p w14:paraId="0ADAA80F" w14:textId="3744FE69" w:rsidR="00486559" w:rsidRPr="00E20D21" w:rsidRDefault="00486559" w:rsidP="002B68B0">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Descrição</w:t>
            </w:r>
          </w:p>
        </w:tc>
        <w:tc>
          <w:tcPr>
            <w:tcW w:w="2480" w:type="dxa"/>
            <w:gridSpan w:val="2"/>
            <w:tcBorders>
              <w:top w:val="single" w:sz="4" w:space="0" w:color="F79646"/>
              <w:left w:val="nil"/>
              <w:bottom w:val="single" w:sz="4" w:space="0" w:color="F79646"/>
              <w:right w:val="nil"/>
            </w:tcBorders>
            <w:shd w:val="clear" w:color="auto" w:fill="auto"/>
            <w:vAlign w:val="center"/>
          </w:tcPr>
          <w:p w14:paraId="07923364" w14:textId="636AAAD1" w:rsidR="00486559" w:rsidRPr="00E20D21" w:rsidRDefault="00486559" w:rsidP="00486559">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INDIVIDUAL</w:t>
            </w:r>
          </w:p>
        </w:tc>
        <w:tc>
          <w:tcPr>
            <w:tcW w:w="2481" w:type="dxa"/>
            <w:gridSpan w:val="2"/>
            <w:tcBorders>
              <w:top w:val="single" w:sz="4" w:space="0" w:color="F79646"/>
              <w:left w:val="nil"/>
              <w:bottom w:val="single" w:sz="4" w:space="0" w:color="F79646"/>
              <w:right w:val="nil"/>
            </w:tcBorders>
            <w:shd w:val="clear" w:color="auto" w:fill="auto"/>
            <w:vAlign w:val="center"/>
          </w:tcPr>
          <w:p w14:paraId="7449C139" w14:textId="30CA3C7C" w:rsidR="00486559" w:rsidRPr="00E20D21" w:rsidRDefault="00486559" w:rsidP="00486559">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CONSOLIDADO</w:t>
            </w:r>
          </w:p>
        </w:tc>
      </w:tr>
      <w:tr w:rsidR="00A20B8B" w:rsidRPr="00E20D21" w14:paraId="0DA36596" w14:textId="76B4FAF4" w:rsidTr="00216CFA">
        <w:trPr>
          <w:trHeight w:val="283"/>
        </w:trPr>
        <w:tc>
          <w:tcPr>
            <w:tcW w:w="4678" w:type="dxa"/>
            <w:vMerge/>
            <w:tcBorders>
              <w:left w:val="nil"/>
              <w:right w:val="nil"/>
            </w:tcBorders>
            <w:shd w:val="clear" w:color="auto" w:fill="auto"/>
            <w:vAlign w:val="center"/>
            <w:hideMark/>
          </w:tcPr>
          <w:p w14:paraId="2FADA705" w14:textId="37B37C39" w:rsidR="00A20B8B" w:rsidRPr="00E20D21" w:rsidRDefault="00A20B8B" w:rsidP="002B68B0">
            <w:pPr>
              <w:jc w:val="center"/>
              <w:rPr>
                <w:rFonts w:ascii="CAIXA Std Book" w:eastAsia="Times New Roman" w:hAnsi="CAIXA Std Book" w:cs="Arial"/>
                <w:b/>
                <w:color w:val="005CA9"/>
                <w:sz w:val="18"/>
                <w:szCs w:val="18"/>
              </w:rPr>
            </w:pPr>
          </w:p>
        </w:tc>
        <w:tc>
          <w:tcPr>
            <w:tcW w:w="1240" w:type="dxa"/>
            <w:tcBorders>
              <w:top w:val="single" w:sz="4" w:space="0" w:color="F79646"/>
              <w:left w:val="nil"/>
              <w:bottom w:val="single" w:sz="4" w:space="0" w:color="F39200"/>
              <w:right w:val="nil"/>
            </w:tcBorders>
            <w:shd w:val="clear" w:color="auto" w:fill="auto"/>
            <w:vAlign w:val="center"/>
            <w:hideMark/>
          </w:tcPr>
          <w:p w14:paraId="0FD54AD8" w14:textId="5F2D00FC" w:rsidR="00A20B8B" w:rsidRPr="00E20D21" w:rsidRDefault="00A20B8B" w:rsidP="00BE1733">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w:t>
            </w:r>
            <w:r w:rsidR="00830EBD" w:rsidRPr="00E20D21">
              <w:rPr>
                <w:rFonts w:ascii="CAIXA Std Book" w:eastAsia="Times New Roman" w:hAnsi="CAIXA Std Book" w:cs="Arial"/>
                <w:b/>
                <w:color w:val="005CA9"/>
                <w:sz w:val="18"/>
                <w:szCs w:val="18"/>
              </w:rPr>
              <w:t>4</w:t>
            </w:r>
          </w:p>
        </w:tc>
        <w:tc>
          <w:tcPr>
            <w:tcW w:w="1240" w:type="dxa"/>
            <w:tcBorders>
              <w:top w:val="single" w:sz="4" w:space="0" w:color="F79646"/>
              <w:left w:val="nil"/>
              <w:bottom w:val="single" w:sz="4" w:space="0" w:color="F39200"/>
              <w:right w:val="nil"/>
            </w:tcBorders>
            <w:shd w:val="clear" w:color="auto" w:fill="auto"/>
            <w:vAlign w:val="center"/>
          </w:tcPr>
          <w:p w14:paraId="33ED2E2E" w14:textId="03016C5D" w:rsidR="00A20B8B" w:rsidRPr="00E20D21" w:rsidRDefault="00830EBD" w:rsidP="00BE1733">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2023</w:t>
            </w:r>
          </w:p>
        </w:tc>
        <w:tc>
          <w:tcPr>
            <w:tcW w:w="1240" w:type="dxa"/>
            <w:tcBorders>
              <w:top w:val="single" w:sz="4" w:space="0" w:color="F79646"/>
              <w:left w:val="nil"/>
              <w:bottom w:val="single" w:sz="4" w:space="0" w:color="F39200"/>
              <w:right w:val="nil"/>
            </w:tcBorders>
            <w:shd w:val="clear" w:color="auto" w:fill="auto"/>
            <w:vAlign w:val="center"/>
            <w:hideMark/>
          </w:tcPr>
          <w:p w14:paraId="2D115981" w14:textId="66BB517A" w:rsidR="00A20B8B" w:rsidRPr="00E20D21" w:rsidRDefault="00830EBD" w:rsidP="00BE1733">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2024</w:t>
            </w:r>
          </w:p>
        </w:tc>
        <w:tc>
          <w:tcPr>
            <w:tcW w:w="1241" w:type="dxa"/>
            <w:tcBorders>
              <w:top w:val="single" w:sz="4" w:space="0" w:color="F79646"/>
              <w:left w:val="nil"/>
              <w:bottom w:val="single" w:sz="4" w:space="0" w:color="F39200"/>
              <w:right w:val="nil"/>
            </w:tcBorders>
            <w:vAlign w:val="center"/>
          </w:tcPr>
          <w:p w14:paraId="180C5B0E" w14:textId="1F27757F" w:rsidR="00A20B8B" w:rsidRPr="00E20D21" w:rsidRDefault="00A20B8B" w:rsidP="00BE1733">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2023</w:t>
            </w:r>
          </w:p>
        </w:tc>
      </w:tr>
      <w:tr w:rsidR="00486559" w:rsidRPr="00E20D21" w14:paraId="1A380242" w14:textId="2AF1BEA0" w:rsidTr="00216CFA">
        <w:trPr>
          <w:trHeight w:val="283"/>
        </w:trPr>
        <w:tc>
          <w:tcPr>
            <w:tcW w:w="4678" w:type="dxa"/>
            <w:vMerge/>
            <w:tcBorders>
              <w:left w:val="nil"/>
              <w:bottom w:val="single" w:sz="4" w:space="0" w:color="F39200"/>
              <w:right w:val="nil"/>
            </w:tcBorders>
            <w:shd w:val="clear" w:color="auto" w:fill="auto"/>
            <w:vAlign w:val="center"/>
          </w:tcPr>
          <w:p w14:paraId="507CD60D" w14:textId="77777777" w:rsidR="00486559" w:rsidRPr="00E20D21" w:rsidRDefault="00486559" w:rsidP="002B68B0">
            <w:pPr>
              <w:rPr>
                <w:rFonts w:ascii="CAIXA Std Book" w:eastAsia="Times New Roman" w:hAnsi="CAIXA Std Book" w:cs="Arial"/>
                <w:b/>
                <w:color w:val="005CA9"/>
                <w:sz w:val="18"/>
                <w:szCs w:val="18"/>
              </w:rPr>
            </w:pPr>
          </w:p>
        </w:tc>
        <w:tc>
          <w:tcPr>
            <w:tcW w:w="1240" w:type="dxa"/>
            <w:tcBorders>
              <w:top w:val="single" w:sz="4" w:space="0" w:color="F39200"/>
              <w:left w:val="nil"/>
              <w:bottom w:val="single" w:sz="4" w:space="0" w:color="F39200"/>
              <w:right w:val="nil"/>
            </w:tcBorders>
            <w:shd w:val="clear" w:color="auto" w:fill="auto"/>
            <w:vAlign w:val="center"/>
          </w:tcPr>
          <w:p w14:paraId="602C9127" w14:textId="62A1166C" w:rsidR="00486559" w:rsidRPr="00E20D21" w:rsidRDefault="00486559" w:rsidP="00BE1733">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1º semestre</w:t>
            </w:r>
          </w:p>
        </w:tc>
        <w:tc>
          <w:tcPr>
            <w:tcW w:w="1240" w:type="dxa"/>
            <w:tcBorders>
              <w:top w:val="single" w:sz="4" w:space="0" w:color="F39200"/>
              <w:left w:val="nil"/>
              <w:bottom w:val="single" w:sz="4" w:space="0" w:color="F39200"/>
              <w:right w:val="nil"/>
            </w:tcBorders>
            <w:shd w:val="clear" w:color="auto" w:fill="auto"/>
            <w:vAlign w:val="center"/>
          </w:tcPr>
          <w:p w14:paraId="28C97C9B" w14:textId="0F648AA4" w:rsidR="00486559" w:rsidRPr="00E20D21" w:rsidRDefault="00486559" w:rsidP="00BE1733">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1º semestre</w:t>
            </w:r>
          </w:p>
        </w:tc>
        <w:tc>
          <w:tcPr>
            <w:tcW w:w="1240" w:type="dxa"/>
            <w:tcBorders>
              <w:top w:val="single" w:sz="4" w:space="0" w:color="F39200"/>
              <w:left w:val="nil"/>
              <w:bottom w:val="single" w:sz="4" w:space="0" w:color="F39200"/>
              <w:right w:val="nil"/>
            </w:tcBorders>
            <w:shd w:val="clear" w:color="auto" w:fill="auto"/>
            <w:vAlign w:val="center"/>
          </w:tcPr>
          <w:p w14:paraId="54BE0E50" w14:textId="0D7008B8" w:rsidR="00486559" w:rsidRPr="00E20D21" w:rsidRDefault="00486559" w:rsidP="00BE1733">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1º semestre</w:t>
            </w:r>
          </w:p>
        </w:tc>
        <w:tc>
          <w:tcPr>
            <w:tcW w:w="1241" w:type="dxa"/>
            <w:tcBorders>
              <w:top w:val="single" w:sz="4" w:space="0" w:color="F39200"/>
              <w:left w:val="nil"/>
              <w:bottom w:val="single" w:sz="4" w:space="0" w:color="F39200"/>
              <w:right w:val="nil"/>
            </w:tcBorders>
            <w:vAlign w:val="center"/>
          </w:tcPr>
          <w:p w14:paraId="172ABADF" w14:textId="1E0B3A89" w:rsidR="00486559" w:rsidRPr="00E20D21" w:rsidRDefault="00486559" w:rsidP="00BE1733">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1º semestre</w:t>
            </w:r>
          </w:p>
        </w:tc>
      </w:tr>
      <w:tr w:rsidR="00A10D3D" w:rsidRPr="00E20D21" w14:paraId="57833AFA" w14:textId="262B7147" w:rsidTr="00216CFA">
        <w:trPr>
          <w:trHeight w:val="283"/>
        </w:trPr>
        <w:tc>
          <w:tcPr>
            <w:tcW w:w="4678" w:type="dxa"/>
            <w:tcBorders>
              <w:top w:val="nil"/>
              <w:left w:val="nil"/>
              <w:bottom w:val="nil"/>
              <w:right w:val="nil"/>
            </w:tcBorders>
            <w:shd w:val="clear" w:color="auto" w:fill="auto"/>
            <w:noWrap/>
            <w:vAlign w:val="center"/>
          </w:tcPr>
          <w:p w14:paraId="71BB66BB" w14:textId="1D1493B4" w:rsidR="00A10D3D" w:rsidRPr="00E20D21" w:rsidRDefault="00A10D3D" w:rsidP="00A10D3D">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Recuperação de despesas</w:t>
            </w:r>
          </w:p>
        </w:tc>
        <w:tc>
          <w:tcPr>
            <w:tcW w:w="1240" w:type="dxa"/>
            <w:tcBorders>
              <w:top w:val="single" w:sz="4" w:space="0" w:color="F39200"/>
              <w:left w:val="nil"/>
              <w:bottom w:val="nil"/>
              <w:right w:val="nil"/>
            </w:tcBorders>
            <w:shd w:val="clear" w:color="auto" w:fill="auto"/>
            <w:vAlign w:val="center"/>
          </w:tcPr>
          <w:p w14:paraId="3D60FC16" w14:textId="3117497B"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1.023.111</w:t>
            </w:r>
          </w:p>
        </w:tc>
        <w:tc>
          <w:tcPr>
            <w:tcW w:w="1240" w:type="dxa"/>
            <w:tcBorders>
              <w:top w:val="single" w:sz="4" w:space="0" w:color="F39200"/>
              <w:left w:val="nil"/>
              <w:bottom w:val="nil"/>
              <w:right w:val="nil"/>
            </w:tcBorders>
            <w:shd w:val="clear" w:color="auto" w:fill="auto"/>
            <w:vAlign w:val="center"/>
          </w:tcPr>
          <w:p w14:paraId="4CB39E0D" w14:textId="5E47041B"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876.605</w:t>
            </w:r>
          </w:p>
        </w:tc>
        <w:tc>
          <w:tcPr>
            <w:tcW w:w="1240" w:type="dxa"/>
            <w:tcBorders>
              <w:top w:val="single" w:sz="4" w:space="0" w:color="F39200"/>
              <w:left w:val="nil"/>
              <w:bottom w:val="nil"/>
              <w:right w:val="nil"/>
            </w:tcBorders>
            <w:shd w:val="clear" w:color="auto" w:fill="auto"/>
            <w:vAlign w:val="center"/>
          </w:tcPr>
          <w:p w14:paraId="21C32C32" w14:textId="2FE386D7"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994.867</w:t>
            </w:r>
          </w:p>
        </w:tc>
        <w:tc>
          <w:tcPr>
            <w:tcW w:w="1241" w:type="dxa"/>
            <w:tcBorders>
              <w:top w:val="single" w:sz="4" w:space="0" w:color="F39200"/>
              <w:left w:val="nil"/>
              <w:bottom w:val="nil"/>
              <w:right w:val="nil"/>
            </w:tcBorders>
            <w:vAlign w:val="center"/>
          </w:tcPr>
          <w:p w14:paraId="6BA58037" w14:textId="3F6E42D4"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853.261</w:t>
            </w:r>
          </w:p>
        </w:tc>
      </w:tr>
      <w:tr w:rsidR="00A10D3D" w:rsidRPr="00E20D21" w14:paraId="37E42B2E" w14:textId="55D0D473" w:rsidTr="00216CFA">
        <w:trPr>
          <w:trHeight w:val="283"/>
        </w:trPr>
        <w:tc>
          <w:tcPr>
            <w:tcW w:w="4678" w:type="dxa"/>
            <w:tcBorders>
              <w:top w:val="nil"/>
              <w:left w:val="nil"/>
              <w:bottom w:val="nil"/>
              <w:right w:val="nil"/>
            </w:tcBorders>
            <w:shd w:val="clear" w:color="auto" w:fill="auto"/>
            <w:noWrap/>
            <w:vAlign w:val="center"/>
            <w:hideMark/>
          </w:tcPr>
          <w:p w14:paraId="607A673A" w14:textId="79A78112"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Comissões e taxas à vista – ag. financeiro FGTS</w:t>
            </w:r>
            <w:r w:rsidR="00D3331A" w:rsidRPr="00E20D21">
              <w:rPr>
                <w:rFonts w:ascii="CAIXA Std Book" w:hAnsi="CAIXA Std Book" w:cs="Arial"/>
                <w:color w:val="005CA9"/>
                <w:sz w:val="18"/>
                <w:szCs w:val="18"/>
              </w:rPr>
              <w:t xml:space="preserve"> (1)</w:t>
            </w:r>
          </w:p>
        </w:tc>
        <w:tc>
          <w:tcPr>
            <w:tcW w:w="1240" w:type="dxa"/>
            <w:tcBorders>
              <w:top w:val="nil"/>
              <w:left w:val="nil"/>
              <w:bottom w:val="nil"/>
              <w:right w:val="nil"/>
            </w:tcBorders>
            <w:shd w:val="clear" w:color="auto" w:fill="auto"/>
            <w:vAlign w:val="center"/>
          </w:tcPr>
          <w:p w14:paraId="52D7172D" w14:textId="656ABC36"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1.665.871</w:t>
            </w:r>
          </w:p>
        </w:tc>
        <w:tc>
          <w:tcPr>
            <w:tcW w:w="1240" w:type="dxa"/>
            <w:tcBorders>
              <w:top w:val="nil"/>
              <w:left w:val="nil"/>
              <w:bottom w:val="nil"/>
              <w:right w:val="nil"/>
            </w:tcBorders>
            <w:shd w:val="clear" w:color="auto" w:fill="auto"/>
            <w:vAlign w:val="center"/>
          </w:tcPr>
          <w:p w14:paraId="20A103E6" w14:textId="0497990B"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1.192.487</w:t>
            </w:r>
          </w:p>
        </w:tc>
        <w:tc>
          <w:tcPr>
            <w:tcW w:w="1240" w:type="dxa"/>
            <w:tcBorders>
              <w:top w:val="nil"/>
              <w:left w:val="nil"/>
              <w:bottom w:val="nil"/>
              <w:right w:val="nil"/>
            </w:tcBorders>
            <w:shd w:val="clear" w:color="auto" w:fill="auto"/>
            <w:vAlign w:val="center"/>
          </w:tcPr>
          <w:p w14:paraId="5C1F4D45" w14:textId="39075452"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1.665.871</w:t>
            </w:r>
          </w:p>
        </w:tc>
        <w:tc>
          <w:tcPr>
            <w:tcW w:w="1241" w:type="dxa"/>
            <w:tcBorders>
              <w:top w:val="nil"/>
              <w:left w:val="nil"/>
              <w:bottom w:val="nil"/>
              <w:right w:val="nil"/>
            </w:tcBorders>
            <w:vAlign w:val="center"/>
          </w:tcPr>
          <w:p w14:paraId="4773248E" w14:textId="4E9D0A3D"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1.192.487</w:t>
            </w:r>
          </w:p>
        </w:tc>
      </w:tr>
      <w:tr w:rsidR="00A10D3D" w:rsidRPr="00E20D21" w14:paraId="5CD79232" w14:textId="0E2FE94B" w:rsidTr="00216CFA">
        <w:trPr>
          <w:trHeight w:val="283"/>
        </w:trPr>
        <w:tc>
          <w:tcPr>
            <w:tcW w:w="4678" w:type="dxa"/>
            <w:tcBorders>
              <w:top w:val="nil"/>
              <w:left w:val="nil"/>
              <w:bottom w:val="nil"/>
              <w:right w:val="nil"/>
            </w:tcBorders>
            <w:shd w:val="clear" w:color="auto" w:fill="auto"/>
            <w:noWrap/>
            <w:vAlign w:val="center"/>
            <w:hideMark/>
          </w:tcPr>
          <w:p w14:paraId="475958C1" w14:textId="77777777"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 xml:space="preserve">Atualização monetária sobre operações diversas </w:t>
            </w:r>
          </w:p>
        </w:tc>
        <w:tc>
          <w:tcPr>
            <w:tcW w:w="1240" w:type="dxa"/>
            <w:tcBorders>
              <w:top w:val="nil"/>
              <w:left w:val="nil"/>
              <w:bottom w:val="nil"/>
              <w:right w:val="nil"/>
            </w:tcBorders>
            <w:shd w:val="clear" w:color="auto" w:fill="auto"/>
            <w:vAlign w:val="center"/>
          </w:tcPr>
          <w:p w14:paraId="49AEC42C" w14:textId="4AC35D3A"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729.015</w:t>
            </w:r>
          </w:p>
        </w:tc>
        <w:tc>
          <w:tcPr>
            <w:tcW w:w="1240" w:type="dxa"/>
            <w:tcBorders>
              <w:top w:val="nil"/>
              <w:left w:val="nil"/>
              <w:bottom w:val="nil"/>
              <w:right w:val="nil"/>
            </w:tcBorders>
            <w:shd w:val="clear" w:color="auto" w:fill="auto"/>
            <w:vAlign w:val="center"/>
          </w:tcPr>
          <w:p w14:paraId="50A8A094" w14:textId="5D85DCBA"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795.320</w:t>
            </w:r>
          </w:p>
        </w:tc>
        <w:tc>
          <w:tcPr>
            <w:tcW w:w="1240" w:type="dxa"/>
            <w:tcBorders>
              <w:top w:val="nil"/>
              <w:left w:val="nil"/>
              <w:bottom w:val="nil"/>
              <w:right w:val="nil"/>
            </w:tcBorders>
            <w:shd w:val="clear" w:color="auto" w:fill="auto"/>
            <w:vAlign w:val="center"/>
          </w:tcPr>
          <w:p w14:paraId="70252A60" w14:textId="6DE33F49"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680.362</w:t>
            </w:r>
          </w:p>
        </w:tc>
        <w:tc>
          <w:tcPr>
            <w:tcW w:w="1241" w:type="dxa"/>
            <w:tcBorders>
              <w:top w:val="nil"/>
              <w:left w:val="nil"/>
              <w:bottom w:val="nil"/>
              <w:right w:val="nil"/>
            </w:tcBorders>
            <w:vAlign w:val="center"/>
          </w:tcPr>
          <w:p w14:paraId="5F159E90" w14:textId="1ADF01C9"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750.541</w:t>
            </w:r>
          </w:p>
        </w:tc>
      </w:tr>
      <w:tr w:rsidR="00A10D3D" w:rsidRPr="00E20D21" w14:paraId="37CC5356" w14:textId="407830A4" w:rsidTr="00216CFA">
        <w:trPr>
          <w:trHeight w:val="283"/>
        </w:trPr>
        <w:tc>
          <w:tcPr>
            <w:tcW w:w="4678" w:type="dxa"/>
            <w:tcBorders>
              <w:top w:val="nil"/>
              <w:left w:val="nil"/>
              <w:bottom w:val="nil"/>
              <w:right w:val="nil"/>
            </w:tcBorders>
            <w:shd w:val="clear" w:color="auto" w:fill="auto"/>
            <w:noWrap/>
            <w:vAlign w:val="center"/>
            <w:hideMark/>
          </w:tcPr>
          <w:p w14:paraId="5510629A" w14:textId="40375DC0" w:rsidR="00A10D3D" w:rsidRPr="00E20D21" w:rsidRDefault="00A10D3D" w:rsidP="00A10D3D">
            <w:pPr>
              <w:rPr>
                <w:rFonts w:ascii="CAIXA Std Book" w:hAnsi="CAIXA Std Book" w:cs="Arial"/>
                <w:color w:val="005CA9"/>
                <w:sz w:val="18"/>
                <w:szCs w:val="18"/>
              </w:rPr>
            </w:pPr>
            <w:proofErr w:type="gramStart"/>
            <w:r w:rsidRPr="00E20D21">
              <w:rPr>
                <w:rFonts w:ascii="CAIXA Std Book" w:hAnsi="CAIXA Std Book" w:cs="Arial"/>
                <w:color w:val="005CA9"/>
                <w:sz w:val="18"/>
                <w:szCs w:val="18"/>
              </w:rPr>
              <w:t>Comissões e taxas cota</w:t>
            </w:r>
            <w:proofErr w:type="gramEnd"/>
            <w:r w:rsidRPr="00E20D21">
              <w:rPr>
                <w:rFonts w:ascii="CAIXA Std Book" w:hAnsi="CAIXA Std Book" w:cs="Arial"/>
                <w:color w:val="005CA9"/>
                <w:sz w:val="18"/>
                <w:szCs w:val="18"/>
              </w:rPr>
              <w:t xml:space="preserve"> mensal diferida - ag. </w:t>
            </w:r>
            <w:proofErr w:type="spellStart"/>
            <w:r w:rsidRPr="00E20D21">
              <w:rPr>
                <w:rFonts w:ascii="CAIXA Std Book" w:hAnsi="CAIXA Std Book" w:cs="Arial"/>
                <w:color w:val="005CA9"/>
                <w:sz w:val="18"/>
                <w:szCs w:val="18"/>
              </w:rPr>
              <w:t>financ</w:t>
            </w:r>
            <w:proofErr w:type="spellEnd"/>
            <w:r w:rsidRPr="00E20D21">
              <w:rPr>
                <w:rFonts w:ascii="CAIXA Std Book" w:hAnsi="CAIXA Std Book" w:cs="Arial"/>
                <w:color w:val="005CA9"/>
                <w:sz w:val="18"/>
                <w:szCs w:val="18"/>
              </w:rPr>
              <w:t>. FGTS</w:t>
            </w:r>
          </w:p>
        </w:tc>
        <w:tc>
          <w:tcPr>
            <w:tcW w:w="1240" w:type="dxa"/>
            <w:tcBorders>
              <w:top w:val="nil"/>
              <w:left w:val="nil"/>
              <w:bottom w:val="nil"/>
              <w:right w:val="nil"/>
            </w:tcBorders>
            <w:shd w:val="clear" w:color="auto" w:fill="auto"/>
            <w:vAlign w:val="center"/>
          </w:tcPr>
          <w:p w14:paraId="70A390FF" w14:textId="43DC4C57"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1.230.893</w:t>
            </w:r>
          </w:p>
        </w:tc>
        <w:tc>
          <w:tcPr>
            <w:tcW w:w="1240" w:type="dxa"/>
            <w:tcBorders>
              <w:top w:val="nil"/>
              <w:left w:val="nil"/>
              <w:bottom w:val="nil"/>
              <w:right w:val="nil"/>
            </w:tcBorders>
            <w:shd w:val="clear" w:color="auto" w:fill="auto"/>
            <w:vAlign w:val="center"/>
          </w:tcPr>
          <w:p w14:paraId="4DFE8BC9" w14:textId="4B220FE9"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956.187</w:t>
            </w:r>
          </w:p>
        </w:tc>
        <w:tc>
          <w:tcPr>
            <w:tcW w:w="1240" w:type="dxa"/>
            <w:tcBorders>
              <w:top w:val="nil"/>
              <w:left w:val="nil"/>
              <w:bottom w:val="nil"/>
              <w:right w:val="nil"/>
            </w:tcBorders>
            <w:shd w:val="clear" w:color="auto" w:fill="auto"/>
            <w:vAlign w:val="center"/>
          </w:tcPr>
          <w:p w14:paraId="39456F51" w14:textId="4105FFF5"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1.230.893</w:t>
            </w:r>
          </w:p>
        </w:tc>
        <w:tc>
          <w:tcPr>
            <w:tcW w:w="1241" w:type="dxa"/>
            <w:tcBorders>
              <w:top w:val="nil"/>
              <w:left w:val="nil"/>
              <w:bottom w:val="nil"/>
              <w:right w:val="nil"/>
            </w:tcBorders>
            <w:vAlign w:val="center"/>
          </w:tcPr>
          <w:p w14:paraId="5DEEECA0" w14:textId="32D34B17"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956.187</w:t>
            </w:r>
          </w:p>
        </w:tc>
      </w:tr>
      <w:tr w:rsidR="00A10D3D" w:rsidRPr="00E20D21" w14:paraId="7B0CEB1E" w14:textId="6987BFD9" w:rsidTr="00216CFA">
        <w:trPr>
          <w:trHeight w:val="283"/>
        </w:trPr>
        <w:tc>
          <w:tcPr>
            <w:tcW w:w="4678" w:type="dxa"/>
            <w:tcBorders>
              <w:top w:val="nil"/>
              <w:left w:val="nil"/>
              <w:bottom w:val="nil"/>
              <w:right w:val="nil"/>
            </w:tcBorders>
            <w:shd w:val="clear" w:color="auto" w:fill="auto"/>
            <w:noWrap/>
            <w:vAlign w:val="center"/>
            <w:hideMark/>
          </w:tcPr>
          <w:p w14:paraId="34A5ED13" w14:textId="77777777"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Recuperação de perdas operacionais</w:t>
            </w:r>
          </w:p>
        </w:tc>
        <w:tc>
          <w:tcPr>
            <w:tcW w:w="1240" w:type="dxa"/>
            <w:tcBorders>
              <w:top w:val="nil"/>
              <w:left w:val="nil"/>
              <w:bottom w:val="nil"/>
              <w:right w:val="nil"/>
            </w:tcBorders>
            <w:shd w:val="clear" w:color="auto" w:fill="auto"/>
            <w:vAlign w:val="center"/>
          </w:tcPr>
          <w:p w14:paraId="5C84BBC8" w14:textId="75699060"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146.697</w:t>
            </w:r>
          </w:p>
        </w:tc>
        <w:tc>
          <w:tcPr>
            <w:tcW w:w="1240" w:type="dxa"/>
            <w:tcBorders>
              <w:top w:val="nil"/>
              <w:left w:val="nil"/>
              <w:bottom w:val="nil"/>
              <w:right w:val="nil"/>
            </w:tcBorders>
            <w:shd w:val="clear" w:color="auto" w:fill="auto"/>
            <w:vAlign w:val="center"/>
          </w:tcPr>
          <w:p w14:paraId="6B24C53D" w14:textId="0247E9F5"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335.710</w:t>
            </w:r>
          </w:p>
        </w:tc>
        <w:tc>
          <w:tcPr>
            <w:tcW w:w="1240" w:type="dxa"/>
            <w:tcBorders>
              <w:top w:val="nil"/>
              <w:left w:val="nil"/>
              <w:bottom w:val="nil"/>
              <w:right w:val="nil"/>
            </w:tcBorders>
            <w:shd w:val="clear" w:color="auto" w:fill="auto"/>
            <w:vAlign w:val="center"/>
          </w:tcPr>
          <w:p w14:paraId="7CAFB057" w14:textId="1258E4B9"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146.700</w:t>
            </w:r>
          </w:p>
        </w:tc>
        <w:tc>
          <w:tcPr>
            <w:tcW w:w="1241" w:type="dxa"/>
            <w:tcBorders>
              <w:top w:val="nil"/>
              <w:left w:val="nil"/>
              <w:bottom w:val="nil"/>
              <w:right w:val="nil"/>
            </w:tcBorders>
            <w:vAlign w:val="center"/>
          </w:tcPr>
          <w:p w14:paraId="17D7E7F6" w14:textId="727B9C75"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335.710</w:t>
            </w:r>
          </w:p>
        </w:tc>
      </w:tr>
      <w:tr w:rsidR="00A10D3D" w:rsidRPr="00E20D21" w14:paraId="45272B8D" w14:textId="22CA7B93" w:rsidTr="00216CFA">
        <w:trPr>
          <w:trHeight w:val="283"/>
        </w:trPr>
        <w:tc>
          <w:tcPr>
            <w:tcW w:w="4678" w:type="dxa"/>
            <w:tcBorders>
              <w:top w:val="nil"/>
              <w:left w:val="nil"/>
              <w:bottom w:val="nil"/>
              <w:right w:val="nil"/>
            </w:tcBorders>
            <w:shd w:val="clear" w:color="auto" w:fill="auto"/>
            <w:noWrap/>
            <w:vAlign w:val="center"/>
            <w:hideMark/>
          </w:tcPr>
          <w:p w14:paraId="39A4E54B" w14:textId="77777777"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Direito de uso - Rede CAIXA</w:t>
            </w:r>
          </w:p>
        </w:tc>
        <w:tc>
          <w:tcPr>
            <w:tcW w:w="1240" w:type="dxa"/>
            <w:tcBorders>
              <w:top w:val="nil"/>
              <w:left w:val="nil"/>
              <w:bottom w:val="nil"/>
              <w:right w:val="nil"/>
            </w:tcBorders>
            <w:shd w:val="clear" w:color="auto" w:fill="auto"/>
            <w:vAlign w:val="center"/>
          </w:tcPr>
          <w:p w14:paraId="05FD50C8" w14:textId="6DD4ACDB"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194.831</w:t>
            </w:r>
          </w:p>
        </w:tc>
        <w:tc>
          <w:tcPr>
            <w:tcW w:w="1240" w:type="dxa"/>
            <w:tcBorders>
              <w:top w:val="nil"/>
              <w:left w:val="nil"/>
              <w:bottom w:val="nil"/>
              <w:right w:val="nil"/>
            </w:tcBorders>
            <w:shd w:val="clear" w:color="auto" w:fill="auto"/>
            <w:vAlign w:val="center"/>
          </w:tcPr>
          <w:p w14:paraId="6210B6A9" w14:textId="18F0FA75"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194.831</w:t>
            </w:r>
          </w:p>
        </w:tc>
        <w:tc>
          <w:tcPr>
            <w:tcW w:w="1240" w:type="dxa"/>
            <w:tcBorders>
              <w:top w:val="nil"/>
              <w:left w:val="nil"/>
              <w:bottom w:val="nil"/>
              <w:right w:val="nil"/>
            </w:tcBorders>
            <w:shd w:val="clear" w:color="auto" w:fill="auto"/>
            <w:vAlign w:val="center"/>
          </w:tcPr>
          <w:p w14:paraId="363C5F77" w14:textId="1E871988"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194.831</w:t>
            </w:r>
          </w:p>
        </w:tc>
        <w:tc>
          <w:tcPr>
            <w:tcW w:w="1241" w:type="dxa"/>
            <w:tcBorders>
              <w:top w:val="nil"/>
              <w:left w:val="nil"/>
              <w:bottom w:val="nil"/>
              <w:right w:val="nil"/>
            </w:tcBorders>
            <w:vAlign w:val="center"/>
          </w:tcPr>
          <w:p w14:paraId="4CF385AD" w14:textId="00E72AE4"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194.831</w:t>
            </w:r>
          </w:p>
        </w:tc>
      </w:tr>
      <w:tr w:rsidR="00A10D3D" w:rsidRPr="00E20D21" w14:paraId="2AE5CACF" w14:textId="19B15039" w:rsidTr="00216CFA">
        <w:trPr>
          <w:trHeight w:val="283"/>
        </w:trPr>
        <w:tc>
          <w:tcPr>
            <w:tcW w:w="4678" w:type="dxa"/>
            <w:tcBorders>
              <w:top w:val="nil"/>
              <w:left w:val="nil"/>
              <w:bottom w:val="nil"/>
              <w:right w:val="nil"/>
            </w:tcBorders>
            <w:shd w:val="clear" w:color="auto" w:fill="auto"/>
            <w:noWrap/>
            <w:vAlign w:val="center"/>
            <w:hideMark/>
          </w:tcPr>
          <w:p w14:paraId="0ABE9977" w14:textId="4A1A2C50"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Créditos específicos</w:t>
            </w:r>
          </w:p>
        </w:tc>
        <w:tc>
          <w:tcPr>
            <w:tcW w:w="1240" w:type="dxa"/>
            <w:tcBorders>
              <w:top w:val="nil"/>
              <w:left w:val="nil"/>
              <w:bottom w:val="nil"/>
              <w:right w:val="nil"/>
            </w:tcBorders>
            <w:shd w:val="clear" w:color="auto" w:fill="auto"/>
            <w:vAlign w:val="center"/>
          </w:tcPr>
          <w:p w14:paraId="4D122A85" w14:textId="12F842AD" w:rsidR="00A10D3D" w:rsidRPr="00E20D21" w:rsidRDefault="00A10D3D" w:rsidP="00A10D3D">
            <w:pPr>
              <w:ind w:left="15"/>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1240" w:type="dxa"/>
            <w:tcBorders>
              <w:top w:val="nil"/>
              <w:left w:val="nil"/>
              <w:bottom w:val="nil"/>
              <w:right w:val="nil"/>
            </w:tcBorders>
            <w:shd w:val="clear" w:color="auto" w:fill="auto"/>
            <w:vAlign w:val="center"/>
          </w:tcPr>
          <w:p w14:paraId="4CF60450" w14:textId="404E1D12" w:rsidR="00A10D3D" w:rsidRPr="00E20D21" w:rsidRDefault="00A10D3D" w:rsidP="00A10D3D">
            <w:pPr>
              <w:ind w:left="15"/>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82.296</w:t>
            </w:r>
          </w:p>
        </w:tc>
        <w:tc>
          <w:tcPr>
            <w:tcW w:w="1240" w:type="dxa"/>
            <w:tcBorders>
              <w:top w:val="nil"/>
              <w:left w:val="nil"/>
              <w:bottom w:val="nil"/>
              <w:right w:val="nil"/>
            </w:tcBorders>
            <w:shd w:val="clear" w:color="auto" w:fill="auto"/>
            <w:vAlign w:val="center"/>
          </w:tcPr>
          <w:p w14:paraId="15103C4B" w14:textId="3D4502AB" w:rsidR="00A10D3D" w:rsidRPr="00E20D21" w:rsidRDefault="00A10D3D" w:rsidP="00A10D3D">
            <w:pPr>
              <w:ind w:left="15"/>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c>
          <w:tcPr>
            <w:tcW w:w="1241" w:type="dxa"/>
            <w:tcBorders>
              <w:top w:val="nil"/>
              <w:left w:val="nil"/>
              <w:bottom w:val="nil"/>
              <w:right w:val="nil"/>
            </w:tcBorders>
            <w:vAlign w:val="center"/>
          </w:tcPr>
          <w:p w14:paraId="425F6449" w14:textId="6737A3E9" w:rsidR="00A10D3D" w:rsidRPr="00E20D21" w:rsidRDefault="00A10D3D" w:rsidP="00A10D3D">
            <w:pPr>
              <w:ind w:left="15"/>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82.296</w:t>
            </w:r>
          </w:p>
        </w:tc>
      </w:tr>
      <w:tr w:rsidR="00A10D3D" w:rsidRPr="00E20D21" w14:paraId="347AAAB0" w14:textId="08CBE657" w:rsidTr="00216CFA">
        <w:trPr>
          <w:trHeight w:val="283"/>
        </w:trPr>
        <w:tc>
          <w:tcPr>
            <w:tcW w:w="4678" w:type="dxa"/>
            <w:tcBorders>
              <w:top w:val="nil"/>
              <w:left w:val="nil"/>
              <w:bottom w:val="nil"/>
              <w:right w:val="nil"/>
            </w:tcBorders>
            <w:shd w:val="clear" w:color="auto" w:fill="auto"/>
            <w:noWrap/>
            <w:vAlign w:val="center"/>
            <w:hideMark/>
          </w:tcPr>
          <w:p w14:paraId="4CA23E91" w14:textId="77777777"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Cartão de crédito</w:t>
            </w:r>
          </w:p>
        </w:tc>
        <w:tc>
          <w:tcPr>
            <w:tcW w:w="1240" w:type="dxa"/>
            <w:tcBorders>
              <w:top w:val="nil"/>
              <w:left w:val="nil"/>
              <w:bottom w:val="nil"/>
              <w:right w:val="nil"/>
            </w:tcBorders>
            <w:shd w:val="clear" w:color="auto" w:fill="auto"/>
            <w:vAlign w:val="center"/>
          </w:tcPr>
          <w:p w14:paraId="07471294" w14:textId="592296BA"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84.602</w:t>
            </w:r>
          </w:p>
        </w:tc>
        <w:tc>
          <w:tcPr>
            <w:tcW w:w="1240" w:type="dxa"/>
            <w:tcBorders>
              <w:top w:val="nil"/>
              <w:left w:val="nil"/>
              <w:bottom w:val="nil"/>
              <w:right w:val="nil"/>
            </w:tcBorders>
            <w:shd w:val="clear" w:color="auto" w:fill="auto"/>
            <w:vAlign w:val="center"/>
          </w:tcPr>
          <w:p w14:paraId="4CA05955" w14:textId="0ACC532C"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73.036</w:t>
            </w:r>
          </w:p>
        </w:tc>
        <w:tc>
          <w:tcPr>
            <w:tcW w:w="1240" w:type="dxa"/>
            <w:tcBorders>
              <w:top w:val="nil"/>
              <w:left w:val="nil"/>
              <w:bottom w:val="nil"/>
              <w:right w:val="nil"/>
            </w:tcBorders>
            <w:shd w:val="clear" w:color="auto" w:fill="auto"/>
            <w:vAlign w:val="center"/>
          </w:tcPr>
          <w:p w14:paraId="3E8FFA1B" w14:textId="397F7967"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84.602</w:t>
            </w:r>
          </w:p>
        </w:tc>
        <w:tc>
          <w:tcPr>
            <w:tcW w:w="1241" w:type="dxa"/>
            <w:tcBorders>
              <w:top w:val="nil"/>
              <w:left w:val="nil"/>
              <w:bottom w:val="nil"/>
              <w:right w:val="nil"/>
            </w:tcBorders>
            <w:vAlign w:val="center"/>
          </w:tcPr>
          <w:p w14:paraId="115039ED" w14:textId="631E2440" w:rsidR="00A10D3D" w:rsidRPr="00E20D21" w:rsidRDefault="00A10D3D" w:rsidP="00A10D3D">
            <w:pPr>
              <w:ind w:left="15"/>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73.036</w:t>
            </w:r>
          </w:p>
        </w:tc>
      </w:tr>
      <w:tr w:rsidR="00A10D3D" w:rsidRPr="00E20D21" w14:paraId="1D8EAADF" w14:textId="52725C93" w:rsidTr="00216CFA">
        <w:trPr>
          <w:trHeight w:val="283"/>
        </w:trPr>
        <w:tc>
          <w:tcPr>
            <w:tcW w:w="4678" w:type="dxa"/>
            <w:tcBorders>
              <w:top w:val="nil"/>
              <w:left w:val="nil"/>
              <w:bottom w:val="nil"/>
              <w:right w:val="nil"/>
            </w:tcBorders>
            <w:shd w:val="clear" w:color="auto" w:fill="auto"/>
            <w:noWrap/>
            <w:vAlign w:val="center"/>
            <w:hideMark/>
          </w:tcPr>
          <w:p w14:paraId="60F2E359" w14:textId="243550F5"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 xml:space="preserve">Comissões e taxas sobre operações </w:t>
            </w:r>
          </w:p>
        </w:tc>
        <w:tc>
          <w:tcPr>
            <w:tcW w:w="1240" w:type="dxa"/>
            <w:tcBorders>
              <w:top w:val="nil"/>
              <w:left w:val="nil"/>
              <w:bottom w:val="nil"/>
              <w:right w:val="nil"/>
            </w:tcBorders>
            <w:shd w:val="clear" w:color="auto" w:fill="auto"/>
            <w:vAlign w:val="center"/>
          </w:tcPr>
          <w:p w14:paraId="6108BD20" w14:textId="1EFD3A09"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58.789</w:t>
            </w:r>
          </w:p>
        </w:tc>
        <w:tc>
          <w:tcPr>
            <w:tcW w:w="1240" w:type="dxa"/>
            <w:tcBorders>
              <w:top w:val="nil"/>
              <w:left w:val="nil"/>
              <w:bottom w:val="nil"/>
              <w:right w:val="nil"/>
            </w:tcBorders>
            <w:shd w:val="clear" w:color="auto" w:fill="auto"/>
            <w:vAlign w:val="center"/>
          </w:tcPr>
          <w:p w14:paraId="274C4EC4" w14:textId="46B4E3A5"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20.613</w:t>
            </w:r>
          </w:p>
        </w:tc>
        <w:tc>
          <w:tcPr>
            <w:tcW w:w="1240" w:type="dxa"/>
            <w:tcBorders>
              <w:top w:val="nil"/>
              <w:left w:val="nil"/>
              <w:bottom w:val="nil"/>
              <w:right w:val="nil"/>
            </w:tcBorders>
            <w:shd w:val="clear" w:color="auto" w:fill="auto"/>
            <w:vAlign w:val="center"/>
          </w:tcPr>
          <w:p w14:paraId="35767C63" w14:textId="2E5C4A22"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151.411</w:t>
            </w:r>
          </w:p>
        </w:tc>
        <w:tc>
          <w:tcPr>
            <w:tcW w:w="1241" w:type="dxa"/>
            <w:tcBorders>
              <w:top w:val="nil"/>
              <w:left w:val="nil"/>
              <w:bottom w:val="nil"/>
              <w:right w:val="nil"/>
            </w:tcBorders>
            <w:vAlign w:val="center"/>
          </w:tcPr>
          <w:p w14:paraId="0856666C" w14:textId="2FA18CF2" w:rsidR="00A10D3D" w:rsidRPr="00E20D21" w:rsidRDefault="00A10D3D" w:rsidP="00A10D3D">
            <w:pPr>
              <w:ind w:left="15"/>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99.225</w:t>
            </w:r>
          </w:p>
        </w:tc>
      </w:tr>
      <w:tr w:rsidR="00A10D3D" w:rsidRPr="00E20D21" w14:paraId="162809F0" w14:textId="52787204" w:rsidTr="00216CFA">
        <w:trPr>
          <w:trHeight w:val="283"/>
        </w:trPr>
        <w:tc>
          <w:tcPr>
            <w:tcW w:w="4678" w:type="dxa"/>
            <w:tcBorders>
              <w:top w:val="nil"/>
              <w:left w:val="nil"/>
              <w:bottom w:val="nil"/>
              <w:right w:val="nil"/>
            </w:tcBorders>
            <w:shd w:val="clear" w:color="auto" w:fill="auto"/>
            <w:noWrap/>
            <w:vAlign w:val="center"/>
            <w:hideMark/>
          </w:tcPr>
          <w:p w14:paraId="053DFCBD" w14:textId="77777777"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 xml:space="preserve">Deságio na aquisição de </w:t>
            </w:r>
            <w:r w:rsidRPr="00E20D21">
              <w:rPr>
                <w:rFonts w:ascii="CAIXA Std Book" w:hAnsi="CAIXA Std Book" w:cs="Arial"/>
                <w:i/>
                <w:color w:val="005CA9"/>
                <w:sz w:val="18"/>
                <w:szCs w:val="18"/>
              </w:rPr>
              <w:t>royalties</w:t>
            </w:r>
          </w:p>
        </w:tc>
        <w:tc>
          <w:tcPr>
            <w:tcW w:w="1240" w:type="dxa"/>
            <w:tcBorders>
              <w:top w:val="nil"/>
              <w:left w:val="nil"/>
              <w:bottom w:val="nil"/>
              <w:right w:val="nil"/>
            </w:tcBorders>
            <w:shd w:val="clear" w:color="auto" w:fill="auto"/>
            <w:vAlign w:val="center"/>
          </w:tcPr>
          <w:p w14:paraId="36159C54" w14:textId="73A8244A"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8.265</w:t>
            </w:r>
          </w:p>
        </w:tc>
        <w:tc>
          <w:tcPr>
            <w:tcW w:w="1240" w:type="dxa"/>
            <w:tcBorders>
              <w:top w:val="nil"/>
              <w:left w:val="nil"/>
              <w:bottom w:val="nil"/>
              <w:right w:val="nil"/>
            </w:tcBorders>
            <w:shd w:val="clear" w:color="auto" w:fill="auto"/>
            <w:vAlign w:val="center"/>
          </w:tcPr>
          <w:p w14:paraId="761B08CC" w14:textId="5E5D00F1"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8.265</w:t>
            </w:r>
          </w:p>
        </w:tc>
        <w:tc>
          <w:tcPr>
            <w:tcW w:w="1240" w:type="dxa"/>
            <w:tcBorders>
              <w:top w:val="nil"/>
              <w:left w:val="nil"/>
              <w:bottom w:val="nil"/>
              <w:right w:val="nil"/>
            </w:tcBorders>
            <w:shd w:val="clear" w:color="auto" w:fill="auto"/>
            <w:vAlign w:val="center"/>
          </w:tcPr>
          <w:p w14:paraId="062D627D" w14:textId="7CB07C33"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8.265</w:t>
            </w:r>
          </w:p>
        </w:tc>
        <w:tc>
          <w:tcPr>
            <w:tcW w:w="1241" w:type="dxa"/>
            <w:tcBorders>
              <w:top w:val="nil"/>
              <w:left w:val="nil"/>
              <w:bottom w:val="nil"/>
              <w:right w:val="nil"/>
            </w:tcBorders>
            <w:vAlign w:val="center"/>
          </w:tcPr>
          <w:p w14:paraId="71BADC2A" w14:textId="17EEC3BA" w:rsidR="00A10D3D" w:rsidRPr="00E20D21" w:rsidRDefault="00A10D3D" w:rsidP="00A10D3D">
            <w:pPr>
              <w:ind w:left="15"/>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8.265</w:t>
            </w:r>
          </w:p>
        </w:tc>
      </w:tr>
      <w:tr w:rsidR="00A10D3D" w:rsidRPr="00E20D21" w14:paraId="69D48BD8" w14:textId="431152E5" w:rsidTr="00216CFA">
        <w:trPr>
          <w:trHeight w:val="283"/>
        </w:trPr>
        <w:tc>
          <w:tcPr>
            <w:tcW w:w="4678" w:type="dxa"/>
            <w:tcBorders>
              <w:top w:val="nil"/>
              <w:left w:val="nil"/>
              <w:right w:val="nil"/>
            </w:tcBorders>
            <w:shd w:val="clear" w:color="auto" w:fill="auto"/>
            <w:noWrap/>
            <w:vAlign w:val="center"/>
            <w:hideMark/>
          </w:tcPr>
          <w:p w14:paraId="1911FC54" w14:textId="77777777"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Crédito comercial</w:t>
            </w:r>
          </w:p>
        </w:tc>
        <w:tc>
          <w:tcPr>
            <w:tcW w:w="1240" w:type="dxa"/>
            <w:tcBorders>
              <w:top w:val="nil"/>
              <w:left w:val="nil"/>
              <w:bottom w:val="nil"/>
              <w:right w:val="nil"/>
            </w:tcBorders>
            <w:shd w:val="clear" w:color="auto" w:fill="auto"/>
            <w:vAlign w:val="center"/>
          </w:tcPr>
          <w:p w14:paraId="6209E892" w14:textId="14850D7E"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7.219</w:t>
            </w:r>
          </w:p>
        </w:tc>
        <w:tc>
          <w:tcPr>
            <w:tcW w:w="1240" w:type="dxa"/>
            <w:tcBorders>
              <w:top w:val="nil"/>
              <w:left w:val="nil"/>
              <w:bottom w:val="nil"/>
              <w:right w:val="nil"/>
            </w:tcBorders>
            <w:shd w:val="clear" w:color="auto" w:fill="auto"/>
            <w:vAlign w:val="center"/>
          </w:tcPr>
          <w:p w14:paraId="312C22E0" w14:textId="1459B91F"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6.783</w:t>
            </w:r>
          </w:p>
        </w:tc>
        <w:tc>
          <w:tcPr>
            <w:tcW w:w="1240" w:type="dxa"/>
            <w:tcBorders>
              <w:top w:val="nil"/>
              <w:left w:val="nil"/>
              <w:bottom w:val="nil"/>
              <w:right w:val="nil"/>
            </w:tcBorders>
            <w:shd w:val="clear" w:color="auto" w:fill="auto"/>
            <w:vAlign w:val="center"/>
          </w:tcPr>
          <w:p w14:paraId="0542AC31" w14:textId="2939CA96"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7.219</w:t>
            </w:r>
          </w:p>
        </w:tc>
        <w:tc>
          <w:tcPr>
            <w:tcW w:w="1241" w:type="dxa"/>
            <w:tcBorders>
              <w:top w:val="nil"/>
              <w:left w:val="nil"/>
              <w:bottom w:val="nil"/>
              <w:right w:val="nil"/>
            </w:tcBorders>
            <w:vAlign w:val="center"/>
          </w:tcPr>
          <w:p w14:paraId="0AA5F14A" w14:textId="1EFF7796" w:rsidR="00A10D3D" w:rsidRPr="00E20D21" w:rsidRDefault="00A10D3D" w:rsidP="00A10D3D">
            <w:pPr>
              <w:ind w:left="15"/>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6.783</w:t>
            </w:r>
          </w:p>
        </w:tc>
      </w:tr>
      <w:tr w:rsidR="00A10D3D" w:rsidRPr="00E20D21" w14:paraId="66B0217C" w14:textId="131AF8E9" w:rsidTr="00216CFA">
        <w:trPr>
          <w:trHeight w:val="283"/>
        </w:trPr>
        <w:tc>
          <w:tcPr>
            <w:tcW w:w="4678" w:type="dxa"/>
            <w:tcBorders>
              <w:left w:val="nil"/>
              <w:bottom w:val="single" w:sz="4" w:space="0" w:color="F39200"/>
              <w:right w:val="nil"/>
            </w:tcBorders>
            <w:shd w:val="clear" w:color="auto" w:fill="auto"/>
            <w:noWrap/>
            <w:vAlign w:val="center"/>
          </w:tcPr>
          <w:p w14:paraId="4D99217E" w14:textId="77777777" w:rsidR="00A10D3D" w:rsidRPr="00E20D21" w:rsidRDefault="00A10D3D" w:rsidP="00A10D3D">
            <w:pPr>
              <w:rPr>
                <w:rFonts w:ascii="CAIXA Std Book" w:hAnsi="CAIXA Std Book" w:cs="Arial"/>
                <w:color w:val="005CA9"/>
                <w:sz w:val="18"/>
                <w:szCs w:val="18"/>
              </w:rPr>
            </w:pPr>
            <w:r w:rsidRPr="00E20D21">
              <w:rPr>
                <w:rFonts w:ascii="CAIXA Std Book" w:hAnsi="CAIXA Std Book" w:cs="Arial"/>
                <w:color w:val="005CA9"/>
                <w:sz w:val="18"/>
                <w:szCs w:val="18"/>
              </w:rPr>
              <w:t>Outras</w:t>
            </w:r>
          </w:p>
        </w:tc>
        <w:tc>
          <w:tcPr>
            <w:tcW w:w="1240" w:type="dxa"/>
            <w:tcBorders>
              <w:top w:val="nil"/>
              <w:left w:val="nil"/>
              <w:bottom w:val="nil"/>
              <w:right w:val="nil"/>
            </w:tcBorders>
            <w:shd w:val="clear" w:color="auto" w:fill="auto"/>
            <w:noWrap/>
            <w:vAlign w:val="center"/>
          </w:tcPr>
          <w:p w14:paraId="06A6B3BF" w14:textId="2FF73C56"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166.750</w:t>
            </w:r>
          </w:p>
        </w:tc>
        <w:tc>
          <w:tcPr>
            <w:tcW w:w="1240" w:type="dxa"/>
            <w:tcBorders>
              <w:top w:val="nil"/>
              <w:left w:val="nil"/>
              <w:bottom w:val="nil"/>
              <w:right w:val="nil"/>
            </w:tcBorders>
            <w:shd w:val="clear" w:color="auto" w:fill="auto"/>
            <w:noWrap/>
            <w:vAlign w:val="center"/>
          </w:tcPr>
          <w:p w14:paraId="444A591D" w14:textId="6D109741" w:rsidR="00A10D3D" w:rsidRPr="00E20D21" w:rsidRDefault="00A10D3D" w:rsidP="00A10D3D">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119.279</w:t>
            </w:r>
          </w:p>
        </w:tc>
        <w:tc>
          <w:tcPr>
            <w:tcW w:w="1240" w:type="dxa"/>
            <w:tcBorders>
              <w:top w:val="nil"/>
              <w:left w:val="nil"/>
              <w:bottom w:val="nil"/>
              <w:right w:val="nil"/>
            </w:tcBorders>
            <w:shd w:val="clear" w:color="auto" w:fill="auto"/>
            <w:vAlign w:val="center"/>
          </w:tcPr>
          <w:p w14:paraId="7349863F" w14:textId="615FD57C" w:rsidR="00A10D3D" w:rsidRPr="00E20D21" w:rsidRDefault="00A10D3D" w:rsidP="00A10D3D">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166.937</w:t>
            </w:r>
          </w:p>
        </w:tc>
        <w:tc>
          <w:tcPr>
            <w:tcW w:w="1241" w:type="dxa"/>
            <w:tcBorders>
              <w:top w:val="nil"/>
              <w:left w:val="nil"/>
              <w:bottom w:val="nil"/>
              <w:right w:val="nil"/>
            </w:tcBorders>
            <w:vAlign w:val="center"/>
          </w:tcPr>
          <w:p w14:paraId="0CCBBC91" w14:textId="29751FE8" w:rsidR="00A10D3D" w:rsidRPr="00E20D21" w:rsidRDefault="00A10D3D" w:rsidP="00A10D3D">
            <w:pPr>
              <w:ind w:left="15"/>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23.838</w:t>
            </w:r>
          </w:p>
        </w:tc>
      </w:tr>
      <w:tr w:rsidR="00A10D3D" w:rsidRPr="00E20D21" w14:paraId="514BB59E" w14:textId="679FF3B7" w:rsidTr="00216CFA">
        <w:trPr>
          <w:trHeight w:val="283"/>
        </w:trPr>
        <w:tc>
          <w:tcPr>
            <w:tcW w:w="4678" w:type="dxa"/>
            <w:tcBorders>
              <w:top w:val="single" w:sz="4" w:space="0" w:color="F39200"/>
              <w:left w:val="nil"/>
              <w:bottom w:val="single" w:sz="4" w:space="0" w:color="F39200"/>
              <w:right w:val="nil"/>
            </w:tcBorders>
            <w:shd w:val="clear" w:color="auto" w:fill="auto"/>
            <w:noWrap/>
            <w:vAlign w:val="center"/>
            <w:hideMark/>
          </w:tcPr>
          <w:p w14:paraId="0E0182F8" w14:textId="77777777" w:rsidR="00A10D3D" w:rsidRPr="00E20D21" w:rsidRDefault="00A10D3D" w:rsidP="00A10D3D">
            <w:pPr>
              <w:rPr>
                <w:rFonts w:ascii="CAIXA Std Book" w:eastAsia="Times New Roman" w:hAnsi="CAIXA Std Book" w:cs="Arial"/>
                <w:b/>
                <w:color w:val="005CA9"/>
                <w:sz w:val="18"/>
                <w:szCs w:val="18"/>
              </w:rPr>
            </w:pPr>
            <w:r w:rsidRPr="00E20D21">
              <w:rPr>
                <w:rFonts w:ascii="CAIXA Std Book" w:hAnsi="CAIXA Std Book" w:cs="Arial"/>
                <w:b/>
                <w:color w:val="005CA9"/>
                <w:sz w:val="18"/>
                <w:szCs w:val="18"/>
              </w:rPr>
              <w:t>Total</w:t>
            </w:r>
          </w:p>
        </w:tc>
        <w:tc>
          <w:tcPr>
            <w:tcW w:w="1240" w:type="dxa"/>
            <w:tcBorders>
              <w:top w:val="single" w:sz="4" w:space="0" w:color="F39200"/>
              <w:left w:val="nil"/>
              <w:bottom w:val="single" w:sz="4" w:space="0" w:color="F39200"/>
              <w:right w:val="nil"/>
            </w:tcBorders>
            <w:shd w:val="clear" w:color="auto" w:fill="auto"/>
            <w:noWrap/>
            <w:vAlign w:val="center"/>
          </w:tcPr>
          <w:p w14:paraId="6B0A0D4D" w14:textId="3AD282F0" w:rsidR="00A10D3D" w:rsidRPr="00E20D21" w:rsidRDefault="00A10D3D" w:rsidP="00A10D3D">
            <w:pPr>
              <w:ind w:left="15"/>
              <w:jc w:val="right"/>
              <w:rPr>
                <w:rFonts w:ascii="CAIXA Std Book" w:hAnsi="CAIXA Std Book" w:cs="Arial"/>
                <w:b/>
                <w:color w:val="005CA9"/>
                <w:sz w:val="18"/>
                <w:szCs w:val="18"/>
              </w:rPr>
            </w:pPr>
            <w:r w:rsidRPr="00E20D21">
              <w:rPr>
                <w:rFonts w:ascii="CAIXA Std Book" w:hAnsi="CAIXA Std Book" w:cs="Arial"/>
                <w:b/>
                <w:bCs/>
                <w:color w:val="005CA9"/>
                <w:sz w:val="18"/>
                <w:szCs w:val="18"/>
              </w:rPr>
              <w:t>5.316.043</w:t>
            </w:r>
          </w:p>
        </w:tc>
        <w:tc>
          <w:tcPr>
            <w:tcW w:w="1240" w:type="dxa"/>
            <w:tcBorders>
              <w:top w:val="single" w:sz="4" w:space="0" w:color="F39200"/>
              <w:left w:val="nil"/>
              <w:bottom w:val="single" w:sz="4" w:space="0" w:color="F39200"/>
              <w:right w:val="nil"/>
            </w:tcBorders>
            <w:shd w:val="clear" w:color="auto" w:fill="auto"/>
            <w:noWrap/>
            <w:vAlign w:val="center"/>
          </w:tcPr>
          <w:p w14:paraId="7BAD3F6D" w14:textId="5247767B" w:rsidR="00A10D3D" w:rsidRPr="00E20D21" w:rsidRDefault="00A10D3D" w:rsidP="00A10D3D">
            <w:pPr>
              <w:ind w:left="15"/>
              <w:jc w:val="right"/>
              <w:rPr>
                <w:rFonts w:ascii="CAIXA Std Book" w:hAnsi="CAIXA Std Book" w:cs="Arial"/>
                <w:b/>
                <w:color w:val="005CA9"/>
                <w:sz w:val="18"/>
                <w:szCs w:val="18"/>
              </w:rPr>
            </w:pPr>
            <w:r w:rsidRPr="00E20D21">
              <w:rPr>
                <w:rFonts w:ascii="CAIXA Std Book" w:eastAsia="Times New Roman" w:hAnsi="CAIXA Std Book" w:cs="Arial"/>
                <w:b/>
                <w:color w:val="005CA9"/>
                <w:sz w:val="18"/>
                <w:szCs w:val="18"/>
              </w:rPr>
              <w:t>4.661.412</w:t>
            </w:r>
          </w:p>
        </w:tc>
        <w:tc>
          <w:tcPr>
            <w:tcW w:w="1240" w:type="dxa"/>
            <w:tcBorders>
              <w:top w:val="single" w:sz="4" w:space="0" w:color="F39200"/>
              <w:left w:val="nil"/>
              <w:bottom w:val="single" w:sz="4" w:space="0" w:color="F39200"/>
              <w:right w:val="nil"/>
            </w:tcBorders>
            <w:shd w:val="clear" w:color="auto" w:fill="auto"/>
            <w:noWrap/>
            <w:vAlign w:val="center"/>
          </w:tcPr>
          <w:p w14:paraId="40672D90" w14:textId="4124D55A" w:rsidR="00A10D3D" w:rsidRPr="00E20D21" w:rsidRDefault="00A10D3D" w:rsidP="00A10D3D">
            <w:pPr>
              <w:ind w:left="15"/>
              <w:jc w:val="right"/>
              <w:rPr>
                <w:rFonts w:ascii="CAIXA Std Book" w:hAnsi="CAIXA Std Book" w:cs="Arial"/>
                <w:b/>
                <w:color w:val="005CA9"/>
                <w:sz w:val="18"/>
                <w:szCs w:val="18"/>
              </w:rPr>
            </w:pPr>
            <w:r w:rsidRPr="00E20D21">
              <w:rPr>
                <w:rFonts w:ascii="CAIXA Std Book" w:hAnsi="CAIXA Std Book" w:cs="Arial"/>
                <w:b/>
                <w:bCs/>
                <w:color w:val="005CA9"/>
                <w:sz w:val="18"/>
                <w:szCs w:val="18"/>
              </w:rPr>
              <w:t>5.331.958</w:t>
            </w:r>
          </w:p>
        </w:tc>
        <w:tc>
          <w:tcPr>
            <w:tcW w:w="1241" w:type="dxa"/>
            <w:tcBorders>
              <w:top w:val="single" w:sz="4" w:space="0" w:color="F39200"/>
              <w:left w:val="nil"/>
              <w:bottom w:val="single" w:sz="4" w:space="0" w:color="F39200"/>
              <w:right w:val="nil"/>
            </w:tcBorders>
            <w:vAlign w:val="center"/>
          </w:tcPr>
          <w:p w14:paraId="7E55B09B" w14:textId="479A8168" w:rsidR="00A10D3D" w:rsidRPr="00E20D21" w:rsidRDefault="00A10D3D" w:rsidP="00A10D3D">
            <w:pPr>
              <w:ind w:left="15"/>
              <w:jc w:val="right"/>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4.576.460</w:t>
            </w:r>
          </w:p>
        </w:tc>
      </w:tr>
    </w:tbl>
    <w:p w14:paraId="61DC63D2" w14:textId="77777777" w:rsidR="0093193B" w:rsidRPr="00E20D21" w:rsidRDefault="00C65250" w:rsidP="00B16CF5">
      <w:pPr>
        <w:pStyle w:val="Default0"/>
        <w:ind w:right="-2"/>
        <w:jc w:val="both"/>
        <w:rPr>
          <w:rFonts w:ascii="CAIXA Std Book" w:hAnsi="CAIXA Std Book"/>
          <w:color w:val="005CA9"/>
          <w:sz w:val="16"/>
          <w:szCs w:val="16"/>
        </w:rPr>
      </w:pPr>
      <w:bookmarkStart w:id="91" w:name="_Hlk99466317"/>
      <w:r w:rsidRPr="00E20D21">
        <w:rPr>
          <w:rFonts w:ascii="CAIXA Std Book" w:hAnsi="CAIXA Std Book"/>
          <w:color w:val="005CA9"/>
          <w:sz w:val="16"/>
          <w:szCs w:val="16"/>
        </w:rPr>
        <w:t>(</w:t>
      </w:r>
      <w:r w:rsidR="0002765D" w:rsidRPr="00E20D21">
        <w:rPr>
          <w:rFonts w:ascii="CAIXA Std Book" w:hAnsi="CAIXA Std Book"/>
          <w:color w:val="005CA9"/>
          <w:sz w:val="16"/>
          <w:szCs w:val="16"/>
        </w:rPr>
        <w:t>1</w:t>
      </w:r>
      <w:r w:rsidRPr="00E20D21">
        <w:rPr>
          <w:rFonts w:ascii="CAIXA Std Book" w:hAnsi="CAIXA Std Book"/>
          <w:color w:val="005CA9"/>
          <w:sz w:val="16"/>
          <w:szCs w:val="16"/>
        </w:rPr>
        <w:t xml:space="preserve">) Para as operações de crédito habitacional pessoa física com subsídios do FGTS, a CAIXA reconhece as receitas até o limite dos custos relacionados a cada contrato. Em </w:t>
      </w:r>
      <w:r w:rsidR="00FD1693" w:rsidRPr="00E20D21">
        <w:rPr>
          <w:rFonts w:ascii="CAIXA Std Book" w:hAnsi="CAIXA Std Book"/>
          <w:color w:val="005CA9"/>
          <w:sz w:val="16"/>
          <w:szCs w:val="16"/>
        </w:rPr>
        <w:t>junho</w:t>
      </w:r>
      <w:r w:rsidR="00BB19A5" w:rsidRPr="00E20D21">
        <w:rPr>
          <w:rFonts w:ascii="CAIXA Std Book" w:hAnsi="CAIXA Std Book"/>
          <w:color w:val="005CA9"/>
          <w:sz w:val="16"/>
          <w:szCs w:val="16"/>
        </w:rPr>
        <w:t xml:space="preserve"> de</w:t>
      </w:r>
      <w:r w:rsidRPr="00E20D21">
        <w:rPr>
          <w:rFonts w:ascii="CAIXA Std Book" w:hAnsi="CAIXA Std Book"/>
          <w:color w:val="005CA9"/>
          <w:sz w:val="16"/>
          <w:szCs w:val="16"/>
        </w:rPr>
        <w:t xml:space="preserve"> 202</w:t>
      </w:r>
      <w:r w:rsidR="002A5968" w:rsidRPr="00E20D21">
        <w:rPr>
          <w:rFonts w:ascii="CAIXA Std Book" w:hAnsi="CAIXA Std Book"/>
          <w:color w:val="005CA9"/>
          <w:sz w:val="16"/>
          <w:szCs w:val="16"/>
        </w:rPr>
        <w:t>4</w:t>
      </w:r>
      <w:r w:rsidR="005F3A95" w:rsidRPr="00E20D21">
        <w:rPr>
          <w:rFonts w:ascii="CAIXA Std Book" w:hAnsi="CAIXA Std Book"/>
          <w:color w:val="005CA9"/>
          <w:sz w:val="16"/>
          <w:szCs w:val="16"/>
        </w:rPr>
        <w:t xml:space="preserve">, </w:t>
      </w:r>
      <w:r w:rsidR="00A34D18" w:rsidRPr="00E20D21">
        <w:rPr>
          <w:rFonts w:ascii="CAIXA Std Book" w:hAnsi="CAIXA Std Book"/>
          <w:color w:val="005CA9"/>
          <w:sz w:val="16"/>
          <w:szCs w:val="16"/>
        </w:rPr>
        <w:t>registrou o montante</w:t>
      </w:r>
      <w:r w:rsidRPr="00E20D21">
        <w:rPr>
          <w:rFonts w:ascii="CAIXA Std Book" w:hAnsi="CAIXA Std Book"/>
          <w:color w:val="005CA9"/>
          <w:sz w:val="16"/>
          <w:szCs w:val="16"/>
        </w:rPr>
        <w:t xml:space="preserve"> de R$ </w:t>
      </w:r>
      <w:r w:rsidR="00F14F2D" w:rsidRPr="00E20D21">
        <w:rPr>
          <w:rFonts w:ascii="CAIXA Std Book" w:hAnsi="CAIXA Std Book"/>
          <w:color w:val="005CA9"/>
          <w:sz w:val="16"/>
          <w:szCs w:val="16"/>
        </w:rPr>
        <w:t>9.458,43</w:t>
      </w:r>
      <w:r w:rsidR="000B2902" w:rsidRPr="00E20D21">
        <w:rPr>
          <w:rFonts w:ascii="CAIXA Std Book" w:hAnsi="CAIXA Std Book"/>
          <w:color w:val="005CA9"/>
          <w:sz w:val="16"/>
          <w:szCs w:val="16"/>
        </w:rPr>
        <w:t xml:space="preserve"> reais</w:t>
      </w:r>
      <w:r w:rsidRPr="00E20D21">
        <w:rPr>
          <w:rFonts w:ascii="CAIXA Std Book" w:hAnsi="CAIXA Std Book"/>
          <w:color w:val="005CA9"/>
          <w:sz w:val="16"/>
          <w:szCs w:val="16"/>
        </w:rPr>
        <w:t xml:space="preserve"> </w:t>
      </w:r>
      <w:r w:rsidR="004259A6" w:rsidRPr="00E20D21">
        <w:rPr>
          <w:rFonts w:ascii="CAIXA Std Book" w:hAnsi="CAIXA Std Book"/>
          <w:color w:val="005CA9"/>
          <w:sz w:val="16"/>
          <w:szCs w:val="16"/>
        </w:rPr>
        <w:t>(</w:t>
      </w:r>
      <w:r w:rsidR="00D95D6D" w:rsidRPr="00E20D21">
        <w:rPr>
          <w:rFonts w:ascii="CAIXA Std Book" w:hAnsi="CAIXA Std Book"/>
          <w:color w:val="005CA9"/>
          <w:sz w:val="16"/>
          <w:szCs w:val="16"/>
        </w:rPr>
        <w:t xml:space="preserve">Em </w:t>
      </w:r>
      <w:r w:rsidR="000426C5" w:rsidRPr="00E20D21">
        <w:rPr>
          <w:rFonts w:ascii="CAIXA Std Book" w:hAnsi="CAIXA Std Book"/>
          <w:color w:val="005CA9"/>
          <w:sz w:val="16"/>
          <w:szCs w:val="16"/>
        </w:rPr>
        <w:t xml:space="preserve">junho de </w:t>
      </w:r>
      <w:r w:rsidR="00D95D6D" w:rsidRPr="00E20D21">
        <w:rPr>
          <w:rFonts w:ascii="CAIXA Std Book" w:hAnsi="CAIXA Std Book"/>
          <w:color w:val="005CA9"/>
          <w:sz w:val="16"/>
          <w:szCs w:val="16"/>
        </w:rPr>
        <w:t xml:space="preserve">2023 </w:t>
      </w:r>
      <w:r w:rsidR="000426C5" w:rsidRPr="00E20D21">
        <w:rPr>
          <w:rFonts w:ascii="CAIXA Std Book" w:hAnsi="CAIXA Std Book"/>
          <w:color w:val="005CA9"/>
          <w:sz w:val="16"/>
          <w:szCs w:val="16"/>
        </w:rPr>
        <w:t xml:space="preserve">- </w:t>
      </w:r>
      <w:r w:rsidR="00CF3B67" w:rsidRPr="00E20D21">
        <w:rPr>
          <w:rFonts w:ascii="CAIXA Std Book" w:hAnsi="CAIXA Std Book"/>
          <w:color w:val="005CA9"/>
          <w:sz w:val="16"/>
          <w:szCs w:val="16"/>
        </w:rPr>
        <w:t xml:space="preserve">R$ </w:t>
      </w:r>
      <w:r w:rsidR="008D126B" w:rsidRPr="00E20D21">
        <w:rPr>
          <w:rFonts w:ascii="CAIXA Std Book" w:hAnsi="CAIXA Std Book"/>
          <w:color w:val="005CA9"/>
          <w:sz w:val="16"/>
          <w:szCs w:val="16"/>
        </w:rPr>
        <w:t>9.241,72</w:t>
      </w:r>
      <w:r w:rsidR="00CF3B67" w:rsidRPr="00E20D21">
        <w:rPr>
          <w:rFonts w:ascii="CAIXA Std Book" w:hAnsi="CAIXA Std Book"/>
          <w:color w:val="005CA9"/>
          <w:sz w:val="16"/>
          <w:szCs w:val="16"/>
        </w:rPr>
        <w:t xml:space="preserve"> reais</w:t>
      </w:r>
      <w:r w:rsidR="000426C5" w:rsidRPr="00E20D21">
        <w:rPr>
          <w:rFonts w:ascii="CAIXA Std Book" w:hAnsi="CAIXA Std Book"/>
          <w:color w:val="005CA9"/>
          <w:sz w:val="16"/>
          <w:szCs w:val="16"/>
        </w:rPr>
        <w:t>)</w:t>
      </w:r>
      <w:r w:rsidR="00F32E41" w:rsidRPr="00E20D21">
        <w:rPr>
          <w:rFonts w:ascii="CAIXA Std Book" w:hAnsi="CAIXA Std Book"/>
          <w:color w:val="005CA9"/>
          <w:sz w:val="16"/>
          <w:szCs w:val="16"/>
        </w:rPr>
        <w:t xml:space="preserve"> t</w:t>
      </w:r>
      <w:r w:rsidR="002100CD" w:rsidRPr="00E20D21">
        <w:rPr>
          <w:rFonts w:ascii="CAIXA Std Book" w:hAnsi="CAIXA Std Book"/>
          <w:color w:val="005CA9"/>
          <w:sz w:val="16"/>
          <w:szCs w:val="16"/>
        </w:rPr>
        <w:t>otali</w:t>
      </w:r>
      <w:r w:rsidR="00F32E41" w:rsidRPr="00E20D21">
        <w:rPr>
          <w:rFonts w:ascii="CAIXA Std Book" w:hAnsi="CAIXA Std Book"/>
          <w:color w:val="005CA9"/>
          <w:sz w:val="16"/>
          <w:szCs w:val="16"/>
        </w:rPr>
        <w:t>zando</w:t>
      </w:r>
      <w:r w:rsidRPr="00E20D21">
        <w:rPr>
          <w:rFonts w:ascii="CAIXA Std Book" w:hAnsi="CAIXA Std Book"/>
          <w:color w:val="005CA9"/>
          <w:sz w:val="16"/>
          <w:szCs w:val="16"/>
        </w:rPr>
        <w:t xml:space="preserve"> </w:t>
      </w:r>
      <w:r w:rsidR="00700344" w:rsidRPr="00E20D21">
        <w:rPr>
          <w:rFonts w:ascii="CAIXA Std Book" w:hAnsi="CAIXA Std Book"/>
          <w:color w:val="005CA9"/>
          <w:sz w:val="16"/>
          <w:szCs w:val="16"/>
        </w:rPr>
        <w:t>160.255</w:t>
      </w:r>
      <w:r w:rsidRPr="00E20D21">
        <w:rPr>
          <w:rFonts w:ascii="CAIXA Std Book" w:hAnsi="CAIXA Std Book"/>
          <w:color w:val="005CA9"/>
          <w:sz w:val="16"/>
          <w:szCs w:val="16"/>
        </w:rPr>
        <w:t xml:space="preserve"> contratações no </w:t>
      </w:r>
      <w:r w:rsidR="009719AD" w:rsidRPr="00E20D21">
        <w:rPr>
          <w:rFonts w:ascii="CAIXA Std Book" w:hAnsi="CAIXA Std Book"/>
          <w:color w:val="005CA9"/>
          <w:sz w:val="16"/>
          <w:szCs w:val="16"/>
        </w:rPr>
        <w:t xml:space="preserve">1º </w:t>
      </w:r>
      <w:r w:rsidR="007A46C4" w:rsidRPr="00E20D21">
        <w:rPr>
          <w:rFonts w:ascii="CAIXA Std Book" w:hAnsi="CAIXA Std Book"/>
          <w:color w:val="005CA9"/>
          <w:sz w:val="16"/>
          <w:szCs w:val="16"/>
        </w:rPr>
        <w:t>semestre de</w:t>
      </w:r>
      <w:r w:rsidRPr="00E20D21">
        <w:rPr>
          <w:rFonts w:ascii="CAIXA Std Book" w:hAnsi="CAIXA Std Book"/>
          <w:color w:val="005CA9"/>
          <w:sz w:val="16"/>
          <w:szCs w:val="16"/>
        </w:rPr>
        <w:t xml:space="preserve"> 202</w:t>
      </w:r>
      <w:r w:rsidR="007A46C4" w:rsidRPr="00E20D21">
        <w:rPr>
          <w:rFonts w:ascii="CAIXA Std Book" w:hAnsi="CAIXA Std Book"/>
          <w:color w:val="005CA9"/>
          <w:sz w:val="16"/>
          <w:szCs w:val="16"/>
        </w:rPr>
        <w:t>4</w:t>
      </w:r>
      <w:r w:rsidR="000426C5" w:rsidRPr="00E20D21">
        <w:rPr>
          <w:rFonts w:ascii="CAIXA Std Book" w:hAnsi="CAIXA Std Book"/>
          <w:color w:val="005CA9"/>
          <w:sz w:val="16"/>
          <w:szCs w:val="16"/>
        </w:rPr>
        <w:t xml:space="preserve"> </w:t>
      </w:r>
      <w:proofErr w:type="gramStart"/>
      <w:r w:rsidR="000426C5" w:rsidRPr="00E20D21">
        <w:rPr>
          <w:rFonts w:ascii="CAIXA Std Book" w:hAnsi="CAIXA Std Book"/>
          <w:color w:val="005CA9"/>
          <w:sz w:val="16"/>
          <w:szCs w:val="16"/>
        </w:rPr>
        <w:t>(</w:t>
      </w:r>
      <w:r w:rsidR="00194476" w:rsidRPr="00E20D21">
        <w:rPr>
          <w:rFonts w:ascii="CAIXA Std Book" w:hAnsi="CAIXA Std Book"/>
          <w:color w:val="005CA9"/>
          <w:sz w:val="16"/>
          <w:szCs w:val="16"/>
        </w:rPr>
        <w:t xml:space="preserve"> </w:t>
      </w:r>
      <w:r w:rsidR="00204CDE" w:rsidRPr="00E20D21">
        <w:rPr>
          <w:rFonts w:ascii="CAIXA Std Book" w:hAnsi="CAIXA Std Book"/>
          <w:color w:val="005CA9"/>
          <w:sz w:val="16"/>
          <w:szCs w:val="16"/>
        </w:rPr>
        <w:t>129.033</w:t>
      </w:r>
      <w:proofErr w:type="gramEnd"/>
      <w:r w:rsidR="00194476" w:rsidRPr="00E20D21">
        <w:rPr>
          <w:rFonts w:ascii="CAIXA Std Book" w:hAnsi="CAIXA Std Book"/>
          <w:color w:val="005CA9"/>
          <w:sz w:val="16"/>
          <w:szCs w:val="16"/>
        </w:rPr>
        <w:t xml:space="preserve"> contratações no 1º semestre de 2023).</w:t>
      </w:r>
    </w:p>
    <w:p w14:paraId="3E8DE7DA" w14:textId="43424EF8" w:rsidR="00C137A6" w:rsidRPr="00E20D21" w:rsidRDefault="00C137A6" w:rsidP="00B16CF5">
      <w:pPr>
        <w:pStyle w:val="Default0"/>
        <w:ind w:right="-2"/>
        <w:jc w:val="both"/>
        <w:rPr>
          <w:rFonts w:ascii="CAIXA Std Book" w:hAnsi="CAIXA Std Book"/>
          <w:color w:val="005CA9"/>
          <w:sz w:val="14"/>
          <w:szCs w:val="14"/>
        </w:rPr>
      </w:pPr>
      <w:r w:rsidRPr="00E20D21">
        <w:rPr>
          <w:rFonts w:ascii="CAIXA Std Book" w:hAnsi="CAIXA Std Book"/>
          <w:color w:val="005CA9"/>
          <w:sz w:val="14"/>
          <w:szCs w:val="14"/>
        </w:rPr>
        <w:br w:type="page"/>
      </w:r>
    </w:p>
    <w:p w14:paraId="291A1664" w14:textId="376A4246" w:rsidR="00814F49" w:rsidRPr="00E20D21" w:rsidRDefault="00814F49" w:rsidP="00FD7768">
      <w:pPr>
        <w:pStyle w:val="Ttulo1"/>
      </w:pPr>
      <w:bookmarkStart w:id="92" w:name="_Toc175067969"/>
      <w:bookmarkEnd w:id="91"/>
      <w:r w:rsidRPr="00E20D21">
        <w:lastRenderedPageBreak/>
        <w:t>Nota 29 – Outras despesas operacionais</w:t>
      </w:r>
      <w:bookmarkEnd w:id="92"/>
    </w:p>
    <w:tbl>
      <w:tblPr>
        <w:tblW w:w="5000" w:type="pct"/>
        <w:tblCellMar>
          <w:left w:w="70" w:type="dxa"/>
          <w:right w:w="70" w:type="dxa"/>
        </w:tblCellMar>
        <w:tblLook w:val="04A0" w:firstRow="1" w:lastRow="0" w:firstColumn="1" w:lastColumn="0" w:noHBand="0" w:noVBand="1"/>
      </w:tblPr>
      <w:tblGrid>
        <w:gridCol w:w="4111"/>
        <w:gridCol w:w="1382"/>
        <w:gridCol w:w="1382"/>
        <w:gridCol w:w="1382"/>
        <w:gridCol w:w="1380"/>
      </w:tblGrid>
      <w:tr w:rsidR="00762A1C" w:rsidRPr="00E20D21" w14:paraId="3E36A3BF" w14:textId="77777777" w:rsidTr="004633EB">
        <w:trPr>
          <w:trHeight w:val="283"/>
        </w:trPr>
        <w:tc>
          <w:tcPr>
            <w:tcW w:w="2133" w:type="pct"/>
            <w:vMerge w:val="restart"/>
            <w:tcBorders>
              <w:top w:val="single" w:sz="4" w:space="0" w:color="F79646" w:themeColor="accent6"/>
            </w:tcBorders>
            <w:vAlign w:val="center"/>
          </w:tcPr>
          <w:p w14:paraId="7C473A46" w14:textId="55AAC186" w:rsidR="00762A1C" w:rsidRPr="00E20D21" w:rsidRDefault="00762A1C" w:rsidP="00762A1C">
            <w:pPr>
              <w:jc w:val="center"/>
              <w:rPr>
                <w:rFonts w:ascii="CAIXA Std Book" w:hAnsi="CAIXA Std Book" w:cs="Arial"/>
                <w:color w:val="005CA9"/>
                <w:sz w:val="18"/>
                <w:szCs w:val="18"/>
              </w:rPr>
            </w:pPr>
            <w:r w:rsidRPr="00E20D21">
              <w:rPr>
                <w:rFonts w:ascii="CAIXA Std Book" w:hAnsi="CAIXA Std Book" w:cs="Arial"/>
                <w:b/>
                <w:bCs/>
                <w:color w:val="005CA9"/>
                <w:sz w:val="18"/>
                <w:szCs w:val="18"/>
              </w:rPr>
              <w:t>Descrição</w:t>
            </w:r>
          </w:p>
        </w:tc>
        <w:tc>
          <w:tcPr>
            <w:tcW w:w="1434" w:type="pct"/>
            <w:gridSpan w:val="2"/>
            <w:tcBorders>
              <w:top w:val="single" w:sz="4" w:space="0" w:color="F79646" w:themeColor="accent6"/>
            </w:tcBorders>
            <w:shd w:val="clear" w:color="auto" w:fill="auto"/>
            <w:vAlign w:val="center"/>
          </w:tcPr>
          <w:p w14:paraId="2695B816" w14:textId="7AFD1C77" w:rsidR="00762A1C" w:rsidRPr="00E20D21" w:rsidRDefault="00762A1C" w:rsidP="0005456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433" w:type="pct"/>
            <w:gridSpan w:val="2"/>
            <w:tcBorders>
              <w:top w:val="single" w:sz="4" w:space="0" w:color="F79646" w:themeColor="accent6"/>
              <w:right w:val="nil"/>
            </w:tcBorders>
            <w:shd w:val="clear" w:color="auto" w:fill="auto"/>
            <w:vAlign w:val="center"/>
          </w:tcPr>
          <w:p w14:paraId="61B0298B" w14:textId="05B5481A" w:rsidR="00762A1C" w:rsidRPr="00E20D21" w:rsidRDefault="00762A1C" w:rsidP="005B728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762A1C" w:rsidRPr="00E20D21" w14:paraId="31826FCC" w14:textId="77777777" w:rsidTr="004633EB">
        <w:trPr>
          <w:trHeight w:val="283"/>
        </w:trPr>
        <w:tc>
          <w:tcPr>
            <w:tcW w:w="2133" w:type="pct"/>
            <w:vMerge/>
            <w:shd w:val="clear" w:color="auto" w:fill="auto"/>
            <w:vAlign w:val="center"/>
            <w:hideMark/>
          </w:tcPr>
          <w:p w14:paraId="51349F97" w14:textId="18C168C1" w:rsidR="00762A1C" w:rsidRPr="00E20D21" w:rsidRDefault="00762A1C" w:rsidP="00054567">
            <w:pPr>
              <w:jc w:val="center"/>
              <w:rPr>
                <w:rFonts w:ascii="CAIXA Std Book" w:hAnsi="CAIXA Std Book" w:cs="Arial"/>
                <w:color w:val="005CA9"/>
                <w:sz w:val="18"/>
                <w:szCs w:val="18"/>
              </w:rPr>
            </w:pPr>
          </w:p>
        </w:tc>
        <w:tc>
          <w:tcPr>
            <w:tcW w:w="717" w:type="pct"/>
            <w:tcBorders>
              <w:top w:val="single" w:sz="4" w:space="0" w:color="F79646" w:themeColor="accent6"/>
              <w:bottom w:val="single" w:sz="4" w:space="0" w:color="F79646" w:themeColor="accent6"/>
            </w:tcBorders>
            <w:shd w:val="clear" w:color="auto" w:fill="auto"/>
            <w:vAlign w:val="center"/>
          </w:tcPr>
          <w:p w14:paraId="6CDF51FD" w14:textId="1A346546" w:rsidR="00762A1C" w:rsidRPr="00E20D21" w:rsidRDefault="00762A1C" w:rsidP="00BE173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17" w:type="pct"/>
            <w:tcBorders>
              <w:top w:val="single" w:sz="4" w:space="0" w:color="F79646" w:themeColor="accent6"/>
              <w:left w:val="nil"/>
              <w:bottom w:val="single" w:sz="4" w:space="0" w:color="F79646" w:themeColor="accent6"/>
              <w:right w:val="nil"/>
            </w:tcBorders>
            <w:shd w:val="clear" w:color="auto" w:fill="auto"/>
            <w:vAlign w:val="center"/>
          </w:tcPr>
          <w:p w14:paraId="6ADB4F73" w14:textId="0A76FFD8" w:rsidR="00762A1C" w:rsidRPr="00E20D21" w:rsidRDefault="00762A1C" w:rsidP="00BE173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717" w:type="pct"/>
            <w:tcBorders>
              <w:top w:val="single" w:sz="4" w:space="0" w:color="F39200"/>
              <w:left w:val="nil"/>
              <w:bottom w:val="single" w:sz="4" w:space="0" w:color="F39200"/>
              <w:right w:val="nil"/>
            </w:tcBorders>
            <w:vAlign w:val="center"/>
          </w:tcPr>
          <w:p w14:paraId="0C0725CD" w14:textId="0442FF89" w:rsidR="00762A1C" w:rsidRPr="00E20D21" w:rsidRDefault="00762A1C" w:rsidP="00BE173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716" w:type="pct"/>
            <w:tcBorders>
              <w:top w:val="single" w:sz="4" w:space="0" w:color="F39200"/>
              <w:left w:val="nil"/>
              <w:bottom w:val="single" w:sz="4" w:space="0" w:color="F39200"/>
              <w:right w:val="nil"/>
            </w:tcBorders>
            <w:shd w:val="clear" w:color="auto" w:fill="auto"/>
            <w:vAlign w:val="center"/>
          </w:tcPr>
          <w:p w14:paraId="7A83E8AF" w14:textId="29CAC83E" w:rsidR="00762A1C" w:rsidRPr="00E20D21" w:rsidRDefault="00762A1C" w:rsidP="00BE173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762A1C" w:rsidRPr="00E20D21" w14:paraId="4A0D2FD7" w14:textId="77777777" w:rsidTr="004633EB">
        <w:trPr>
          <w:trHeight w:val="283"/>
        </w:trPr>
        <w:tc>
          <w:tcPr>
            <w:tcW w:w="2133" w:type="pct"/>
            <w:vMerge/>
            <w:tcBorders>
              <w:bottom w:val="single" w:sz="4" w:space="0" w:color="F79646" w:themeColor="accent6"/>
            </w:tcBorders>
            <w:shd w:val="clear" w:color="auto" w:fill="auto"/>
            <w:vAlign w:val="center"/>
          </w:tcPr>
          <w:p w14:paraId="7407A013" w14:textId="77777777" w:rsidR="00762A1C" w:rsidRPr="00E20D21" w:rsidRDefault="00762A1C" w:rsidP="00054567">
            <w:pPr>
              <w:jc w:val="center"/>
              <w:rPr>
                <w:rFonts w:ascii="CAIXA Std Book" w:hAnsi="CAIXA Std Book" w:cs="Arial"/>
                <w:color w:val="005CA9"/>
                <w:sz w:val="18"/>
                <w:szCs w:val="18"/>
              </w:rPr>
            </w:pPr>
          </w:p>
        </w:tc>
        <w:tc>
          <w:tcPr>
            <w:tcW w:w="717" w:type="pct"/>
            <w:tcBorders>
              <w:top w:val="single" w:sz="4" w:space="0" w:color="F79646" w:themeColor="accent6"/>
              <w:bottom w:val="single" w:sz="4" w:space="0" w:color="F79646" w:themeColor="accent6"/>
            </w:tcBorders>
            <w:shd w:val="clear" w:color="auto" w:fill="auto"/>
            <w:vAlign w:val="center"/>
          </w:tcPr>
          <w:p w14:paraId="6394F73B" w14:textId="34CF42CB" w:rsidR="00762A1C" w:rsidRPr="00E20D21" w:rsidRDefault="00762A1C" w:rsidP="00BE173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17" w:type="pct"/>
            <w:tcBorders>
              <w:top w:val="single" w:sz="4" w:space="0" w:color="F79646" w:themeColor="accent6"/>
              <w:left w:val="nil"/>
              <w:bottom w:val="single" w:sz="4" w:space="0" w:color="F79646" w:themeColor="accent6"/>
              <w:right w:val="nil"/>
            </w:tcBorders>
            <w:shd w:val="clear" w:color="auto" w:fill="auto"/>
            <w:vAlign w:val="center"/>
          </w:tcPr>
          <w:p w14:paraId="64DD75DD" w14:textId="1AF098CF" w:rsidR="00762A1C" w:rsidRPr="00E20D21" w:rsidRDefault="00762A1C" w:rsidP="00BE173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17" w:type="pct"/>
            <w:tcBorders>
              <w:top w:val="single" w:sz="4" w:space="0" w:color="F39200"/>
              <w:left w:val="nil"/>
              <w:bottom w:val="single" w:sz="4" w:space="0" w:color="F39200"/>
              <w:right w:val="nil"/>
            </w:tcBorders>
            <w:vAlign w:val="center"/>
          </w:tcPr>
          <w:p w14:paraId="21BC975A" w14:textId="6370AD57" w:rsidR="00762A1C" w:rsidRPr="00E20D21" w:rsidRDefault="00762A1C" w:rsidP="00BE173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716" w:type="pct"/>
            <w:tcBorders>
              <w:top w:val="single" w:sz="4" w:space="0" w:color="F39200"/>
              <w:left w:val="nil"/>
              <w:bottom w:val="single" w:sz="4" w:space="0" w:color="F39200"/>
              <w:right w:val="nil"/>
            </w:tcBorders>
            <w:shd w:val="clear" w:color="auto" w:fill="auto"/>
            <w:vAlign w:val="center"/>
          </w:tcPr>
          <w:p w14:paraId="1EFF7A8D" w14:textId="24C96C29" w:rsidR="00762A1C" w:rsidRPr="00E20D21" w:rsidRDefault="00762A1C" w:rsidP="00BE1733">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154814" w:rsidRPr="00E20D21" w14:paraId="4C7C7151" w14:textId="77777777" w:rsidTr="00154814">
        <w:trPr>
          <w:trHeight w:val="283"/>
        </w:trPr>
        <w:tc>
          <w:tcPr>
            <w:tcW w:w="2133" w:type="pct"/>
            <w:tcBorders>
              <w:top w:val="single" w:sz="4" w:space="0" w:color="F79646" w:themeColor="accent6"/>
              <w:left w:val="nil"/>
              <w:bottom w:val="nil"/>
              <w:right w:val="nil"/>
            </w:tcBorders>
            <w:shd w:val="clear" w:color="auto" w:fill="auto"/>
            <w:vAlign w:val="center"/>
            <w:hideMark/>
          </w:tcPr>
          <w:p w14:paraId="3C25C835" w14:textId="0CBF0FE8"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Lotéricos e parceiros comerciais</w:t>
            </w:r>
          </w:p>
        </w:tc>
        <w:tc>
          <w:tcPr>
            <w:tcW w:w="717" w:type="pct"/>
            <w:tcBorders>
              <w:top w:val="single" w:sz="4" w:space="0" w:color="F79646" w:themeColor="accent6"/>
              <w:left w:val="nil"/>
              <w:bottom w:val="nil"/>
              <w:right w:val="nil"/>
            </w:tcBorders>
            <w:shd w:val="clear" w:color="auto" w:fill="auto"/>
            <w:vAlign w:val="center"/>
          </w:tcPr>
          <w:p w14:paraId="107E6995" w14:textId="6DC705EF"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(2.139.918)</w:t>
            </w:r>
          </w:p>
        </w:tc>
        <w:tc>
          <w:tcPr>
            <w:tcW w:w="717" w:type="pct"/>
            <w:tcBorders>
              <w:top w:val="single" w:sz="4" w:space="0" w:color="F79646" w:themeColor="accent6"/>
              <w:left w:val="nil"/>
              <w:bottom w:val="nil"/>
              <w:right w:val="nil"/>
            </w:tcBorders>
            <w:shd w:val="clear" w:color="auto" w:fill="auto"/>
            <w:noWrap/>
            <w:vAlign w:val="center"/>
          </w:tcPr>
          <w:p w14:paraId="5CA521D0" w14:textId="24068DEB"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(2.053.869)</w:t>
            </w:r>
          </w:p>
        </w:tc>
        <w:tc>
          <w:tcPr>
            <w:tcW w:w="717" w:type="pct"/>
            <w:tcBorders>
              <w:top w:val="single" w:sz="4" w:space="0" w:color="F39200"/>
              <w:left w:val="nil"/>
              <w:bottom w:val="nil"/>
              <w:right w:val="nil"/>
            </w:tcBorders>
            <w:vAlign w:val="center"/>
          </w:tcPr>
          <w:p w14:paraId="6644B255" w14:textId="23A64BC9"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(2.139.918)</w:t>
            </w:r>
          </w:p>
        </w:tc>
        <w:tc>
          <w:tcPr>
            <w:tcW w:w="716" w:type="pct"/>
            <w:tcBorders>
              <w:top w:val="single" w:sz="4" w:space="0" w:color="F39200"/>
              <w:left w:val="nil"/>
              <w:bottom w:val="nil"/>
              <w:right w:val="nil"/>
            </w:tcBorders>
            <w:shd w:val="clear" w:color="auto" w:fill="auto"/>
            <w:vAlign w:val="center"/>
          </w:tcPr>
          <w:p w14:paraId="460F1A9A" w14:textId="008C8D93"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(2.053.869)</w:t>
            </w:r>
          </w:p>
        </w:tc>
      </w:tr>
      <w:tr w:rsidR="00154814" w:rsidRPr="00E20D21" w14:paraId="53EF6631" w14:textId="77777777" w:rsidTr="00154814">
        <w:trPr>
          <w:trHeight w:val="283"/>
        </w:trPr>
        <w:tc>
          <w:tcPr>
            <w:tcW w:w="2133" w:type="pct"/>
            <w:tcBorders>
              <w:top w:val="nil"/>
              <w:left w:val="nil"/>
              <w:bottom w:val="nil"/>
              <w:right w:val="nil"/>
            </w:tcBorders>
            <w:shd w:val="clear" w:color="auto" w:fill="auto"/>
            <w:vAlign w:val="center"/>
            <w:hideMark/>
          </w:tcPr>
          <w:p w14:paraId="5D14156D" w14:textId="2F53ED7F"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Benefício pós-emprego</w:t>
            </w:r>
          </w:p>
        </w:tc>
        <w:tc>
          <w:tcPr>
            <w:tcW w:w="717" w:type="pct"/>
            <w:tcBorders>
              <w:top w:val="nil"/>
              <w:left w:val="nil"/>
              <w:bottom w:val="nil"/>
              <w:right w:val="nil"/>
            </w:tcBorders>
            <w:shd w:val="clear" w:color="auto" w:fill="auto"/>
            <w:vAlign w:val="center"/>
          </w:tcPr>
          <w:p w14:paraId="6686F11A" w14:textId="073BA2A1"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(1.028.174)</w:t>
            </w:r>
          </w:p>
        </w:tc>
        <w:tc>
          <w:tcPr>
            <w:tcW w:w="717" w:type="pct"/>
            <w:tcBorders>
              <w:top w:val="nil"/>
              <w:left w:val="nil"/>
              <w:bottom w:val="nil"/>
              <w:right w:val="nil"/>
            </w:tcBorders>
            <w:shd w:val="clear" w:color="auto" w:fill="auto"/>
            <w:noWrap/>
            <w:vAlign w:val="center"/>
          </w:tcPr>
          <w:p w14:paraId="61DC71F9" w14:textId="69AB21E2"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(946.436)</w:t>
            </w:r>
          </w:p>
        </w:tc>
        <w:tc>
          <w:tcPr>
            <w:tcW w:w="717" w:type="pct"/>
            <w:tcBorders>
              <w:top w:val="nil"/>
              <w:left w:val="nil"/>
              <w:bottom w:val="nil"/>
              <w:right w:val="nil"/>
            </w:tcBorders>
            <w:vAlign w:val="center"/>
          </w:tcPr>
          <w:p w14:paraId="2ECB4EF9" w14:textId="3DB61F35"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(1.028.174)</w:t>
            </w:r>
          </w:p>
        </w:tc>
        <w:tc>
          <w:tcPr>
            <w:tcW w:w="716" w:type="pct"/>
            <w:tcBorders>
              <w:top w:val="nil"/>
              <w:left w:val="nil"/>
              <w:bottom w:val="nil"/>
              <w:right w:val="nil"/>
            </w:tcBorders>
            <w:shd w:val="clear" w:color="auto" w:fill="auto"/>
            <w:vAlign w:val="center"/>
          </w:tcPr>
          <w:p w14:paraId="610D3D24" w14:textId="53F2BBAB"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(946.436)</w:t>
            </w:r>
          </w:p>
        </w:tc>
      </w:tr>
      <w:tr w:rsidR="00154814" w:rsidRPr="00E20D21" w14:paraId="2DD9BAB7" w14:textId="77777777" w:rsidTr="00154814">
        <w:trPr>
          <w:trHeight w:val="283"/>
        </w:trPr>
        <w:tc>
          <w:tcPr>
            <w:tcW w:w="2133" w:type="pct"/>
            <w:tcBorders>
              <w:top w:val="nil"/>
              <w:left w:val="nil"/>
              <w:bottom w:val="nil"/>
              <w:right w:val="nil"/>
            </w:tcBorders>
            <w:shd w:val="clear" w:color="auto" w:fill="auto"/>
            <w:vAlign w:val="center"/>
          </w:tcPr>
          <w:p w14:paraId="22305705" w14:textId="77777777"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Perdas de risco operacional</w:t>
            </w:r>
          </w:p>
        </w:tc>
        <w:tc>
          <w:tcPr>
            <w:tcW w:w="717" w:type="pct"/>
            <w:tcBorders>
              <w:top w:val="nil"/>
              <w:left w:val="nil"/>
              <w:bottom w:val="nil"/>
              <w:right w:val="nil"/>
            </w:tcBorders>
            <w:shd w:val="clear" w:color="auto" w:fill="auto"/>
            <w:vAlign w:val="center"/>
          </w:tcPr>
          <w:p w14:paraId="33871FE7" w14:textId="15DAB742" w:rsidR="00154814" w:rsidRPr="00E20D21" w:rsidRDefault="00154814" w:rsidP="00154814">
            <w:pPr>
              <w:ind w:left="15"/>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(701.841)</w:t>
            </w:r>
          </w:p>
        </w:tc>
        <w:tc>
          <w:tcPr>
            <w:tcW w:w="717" w:type="pct"/>
            <w:tcBorders>
              <w:top w:val="nil"/>
              <w:left w:val="nil"/>
              <w:bottom w:val="nil"/>
              <w:right w:val="nil"/>
            </w:tcBorders>
            <w:shd w:val="clear" w:color="auto" w:fill="auto"/>
            <w:noWrap/>
            <w:vAlign w:val="center"/>
          </w:tcPr>
          <w:p w14:paraId="61DFA686" w14:textId="0391778A"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(788.963)</w:t>
            </w:r>
          </w:p>
        </w:tc>
        <w:tc>
          <w:tcPr>
            <w:tcW w:w="717" w:type="pct"/>
            <w:tcBorders>
              <w:top w:val="nil"/>
              <w:left w:val="nil"/>
              <w:bottom w:val="nil"/>
              <w:right w:val="nil"/>
            </w:tcBorders>
            <w:vAlign w:val="center"/>
          </w:tcPr>
          <w:p w14:paraId="6E4D081B" w14:textId="0ED80F25"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(701.841)</w:t>
            </w:r>
          </w:p>
        </w:tc>
        <w:tc>
          <w:tcPr>
            <w:tcW w:w="716" w:type="pct"/>
            <w:tcBorders>
              <w:top w:val="nil"/>
              <w:left w:val="nil"/>
              <w:bottom w:val="nil"/>
              <w:right w:val="nil"/>
            </w:tcBorders>
            <w:shd w:val="clear" w:color="auto" w:fill="auto"/>
            <w:vAlign w:val="center"/>
          </w:tcPr>
          <w:p w14:paraId="5C045911" w14:textId="18258A00"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(788.963)</w:t>
            </w:r>
          </w:p>
        </w:tc>
      </w:tr>
      <w:tr w:rsidR="00154814" w:rsidRPr="00E20D21" w14:paraId="3463FC15" w14:textId="77777777" w:rsidTr="00154814">
        <w:trPr>
          <w:trHeight w:val="283"/>
        </w:trPr>
        <w:tc>
          <w:tcPr>
            <w:tcW w:w="2133" w:type="pct"/>
            <w:tcBorders>
              <w:top w:val="nil"/>
              <w:left w:val="nil"/>
              <w:bottom w:val="nil"/>
              <w:right w:val="nil"/>
            </w:tcBorders>
            <w:shd w:val="clear" w:color="auto" w:fill="auto"/>
            <w:vAlign w:val="center"/>
          </w:tcPr>
          <w:p w14:paraId="14DCDAA5" w14:textId="4A091152"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Obrigações com fundos e programas</w:t>
            </w:r>
          </w:p>
        </w:tc>
        <w:tc>
          <w:tcPr>
            <w:tcW w:w="717" w:type="pct"/>
            <w:tcBorders>
              <w:top w:val="nil"/>
              <w:left w:val="nil"/>
              <w:bottom w:val="nil"/>
              <w:right w:val="nil"/>
            </w:tcBorders>
            <w:shd w:val="clear" w:color="auto" w:fill="auto"/>
            <w:vAlign w:val="center"/>
          </w:tcPr>
          <w:p w14:paraId="77BCAF73" w14:textId="02B51E5F"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(523.835)</w:t>
            </w:r>
          </w:p>
        </w:tc>
        <w:tc>
          <w:tcPr>
            <w:tcW w:w="717" w:type="pct"/>
            <w:tcBorders>
              <w:top w:val="nil"/>
              <w:left w:val="nil"/>
              <w:bottom w:val="nil"/>
              <w:right w:val="nil"/>
            </w:tcBorders>
            <w:shd w:val="clear" w:color="auto" w:fill="auto"/>
            <w:noWrap/>
            <w:vAlign w:val="center"/>
          </w:tcPr>
          <w:p w14:paraId="1CA3C1DF" w14:textId="2997EB71"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(306.624)</w:t>
            </w:r>
          </w:p>
        </w:tc>
        <w:tc>
          <w:tcPr>
            <w:tcW w:w="717" w:type="pct"/>
            <w:tcBorders>
              <w:top w:val="nil"/>
              <w:left w:val="nil"/>
              <w:bottom w:val="nil"/>
              <w:right w:val="nil"/>
            </w:tcBorders>
            <w:vAlign w:val="center"/>
          </w:tcPr>
          <w:p w14:paraId="30434CA4" w14:textId="11C9BE95"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(523.835)</w:t>
            </w:r>
          </w:p>
        </w:tc>
        <w:tc>
          <w:tcPr>
            <w:tcW w:w="716" w:type="pct"/>
            <w:tcBorders>
              <w:top w:val="nil"/>
              <w:left w:val="nil"/>
              <w:bottom w:val="nil"/>
              <w:right w:val="nil"/>
            </w:tcBorders>
            <w:shd w:val="clear" w:color="auto" w:fill="auto"/>
            <w:vAlign w:val="center"/>
          </w:tcPr>
          <w:p w14:paraId="51513B7D" w14:textId="2E34A13E"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(306.624)</w:t>
            </w:r>
          </w:p>
        </w:tc>
      </w:tr>
      <w:tr w:rsidR="00154814" w:rsidRPr="00E20D21" w14:paraId="21086774" w14:textId="77777777" w:rsidTr="00154814">
        <w:trPr>
          <w:trHeight w:val="283"/>
        </w:trPr>
        <w:tc>
          <w:tcPr>
            <w:tcW w:w="2133" w:type="pct"/>
            <w:tcBorders>
              <w:top w:val="nil"/>
              <w:left w:val="nil"/>
              <w:bottom w:val="nil"/>
              <w:right w:val="nil"/>
            </w:tcBorders>
            <w:shd w:val="clear" w:color="auto" w:fill="auto"/>
            <w:vAlign w:val="center"/>
          </w:tcPr>
          <w:p w14:paraId="7ACA8B04" w14:textId="5E4F2F50"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Cartão de crédito</w:t>
            </w:r>
          </w:p>
        </w:tc>
        <w:tc>
          <w:tcPr>
            <w:tcW w:w="717" w:type="pct"/>
            <w:tcBorders>
              <w:top w:val="nil"/>
              <w:left w:val="nil"/>
              <w:bottom w:val="nil"/>
              <w:right w:val="nil"/>
            </w:tcBorders>
            <w:shd w:val="clear" w:color="auto" w:fill="auto"/>
            <w:vAlign w:val="center"/>
          </w:tcPr>
          <w:p w14:paraId="47440D0B" w14:textId="795AC93F" w:rsidR="00154814" w:rsidRPr="00E20D21" w:rsidRDefault="00154814" w:rsidP="00154814">
            <w:pPr>
              <w:ind w:left="15"/>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(723.721)</w:t>
            </w:r>
          </w:p>
        </w:tc>
        <w:tc>
          <w:tcPr>
            <w:tcW w:w="717" w:type="pct"/>
            <w:tcBorders>
              <w:top w:val="nil"/>
              <w:left w:val="nil"/>
              <w:bottom w:val="nil"/>
              <w:right w:val="nil"/>
            </w:tcBorders>
            <w:shd w:val="clear" w:color="auto" w:fill="auto"/>
            <w:noWrap/>
            <w:vAlign w:val="center"/>
          </w:tcPr>
          <w:p w14:paraId="18B52AC0" w14:textId="2F2EB254"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(505.208)</w:t>
            </w:r>
          </w:p>
        </w:tc>
        <w:tc>
          <w:tcPr>
            <w:tcW w:w="717" w:type="pct"/>
            <w:tcBorders>
              <w:top w:val="nil"/>
              <w:left w:val="nil"/>
              <w:bottom w:val="nil"/>
              <w:right w:val="nil"/>
            </w:tcBorders>
            <w:vAlign w:val="center"/>
          </w:tcPr>
          <w:p w14:paraId="056E4F94" w14:textId="03A12031"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(724.750)</w:t>
            </w:r>
          </w:p>
        </w:tc>
        <w:tc>
          <w:tcPr>
            <w:tcW w:w="716" w:type="pct"/>
            <w:tcBorders>
              <w:top w:val="nil"/>
              <w:left w:val="nil"/>
              <w:bottom w:val="nil"/>
              <w:right w:val="nil"/>
            </w:tcBorders>
            <w:shd w:val="clear" w:color="auto" w:fill="auto"/>
            <w:vAlign w:val="center"/>
          </w:tcPr>
          <w:p w14:paraId="7935D3B9" w14:textId="27A44D4A"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(505.230)</w:t>
            </w:r>
          </w:p>
        </w:tc>
      </w:tr>
      <w:tr w:rsidR="00154814" w:rsidRPr="00E20D21" w14:paraId="65789AA8" w14:textId="77777777" w:rsidTr="00154814">
        <w:trPr>
          <w:trHeight w:val="283"/>
        </w:trPr>
        <w:tc>
          <w:tcPr>
            <w:tcW w:w="2133" w:type="pct"/>
            <w:tcBorders>
              <w:top w:val="nil"/>
              <w:left w:val="nil"/>
              <w:bottom w:val="nil"/>
              <w:right w:val="nil"/>
            </w:tcBorders>
            <w:shd w:val="clear" w:color="auto" w:fill="auto"/>
            <w:vAlign w:val="center"/>
          </w:tcPr>
          <w:p w14:paraId="5A75A1BC" w14:textId="74CD8B05"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Financiamento imobiliário</w:t>
            </w:r>
          </w:p>
        </w:tc>
        <w:tc>
          <w:tcPr>
            <w:tcW w:w="717" w:type="pct"/>
            <w:tcBorders>
              <w:top w:val="nil"/>
              <w:left w:val="nil"/>
              <w:bottom w:val="nil"/>
              <w:right w:val="nil"/>
            </w:tcBorders>
            <w:shd w:val="clear" w:color="auto" w:fill="auto"/>
            <w:vAlign w:val="center"/>
          </w:tcPr>
          <w:p w14:paraId="6DCA85E8" w14:textId="2AE77292" w:rsidR="00154814" w:rsidRPr="00E20D21" w:rsidRDefault="00154814" w:rsidP="00154814">
            <w:pPr>
              <w:ind w:left="15"/>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(500.430)</w:t>
            </w:r>
          </w:p>
        </w:tc>
        <w:tc>
          <w:tcPr>
            <w:tcW w:w="717" w:type="pct"/>
            <w:tcBorders>
              <w:top w:val="nil"/>
              <w:left w:val="nil"/>
              <w:bottom w:val="nil"/>
              <w:right w:val="nil"/>
            </w:tcBorders>
            <w:shd w:val="clear" w:color="auto" w:fill="auto"/>
            <w:noWrap/>
            <w:vAlign w:val="center"/>
          </w:tcPr>
          <w:p w14:paraId="0D80029B" w14:textId="5CDF0A7E"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(537.152)</w:t>
            </w:r>
          </w:p>
        </w:tc>
        <w:tc>
          <w:tcPr>
            <w:tcW w:w="717" w:type="pct"/>
            <w:tcBorders>
              <w:top w:val="nil"/>
              <w:left w:val="nil"/>
              <w:bottom w:val="nil"/>
              <w:right w:val="nil"/>
            </w:tcBorders>
            <w:vAlign w:val="center"/>
          </w:tcPr>
          <w:p w14:paraId="7A774281" w14:textId="575CA4E8"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(500.430)</w:t>
            </w:r>
          </w:p>
        </w:tc>
        <w:tc>
          <w:tcPr>
            <w:tcW w:w="716" w:type="pct"/>
            <w:tcBorders>
              <w:top w:val="nil"/>
              <w:left w:val="nil"/>
              <w:bottom w:val="nil"/>
              <w:right w:val="nil"/>
            </w:tcBorders>
            <w:shd w:val="clear" w:color="auto" w:fill="auto"/>
            <w:vAlign w:val="center"/>
          </w:tcPr>
          <w:p w14:paraId="02F0A863" w14:textId="21751EB0"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(537.152)</w:t>
            </w:r>
          </w:p>
        </w:tc>
      </w:tr>
      <w:tr w:rsidR="00154814" w:rsidRPr="00E20D21" w14:paraId="223DEA5D" w14:textId="77777777" w:rsidTr="00154814">
        <w:trPr>
          <w:trHeight w:val="283"/>
        </w:trPr>
        <w:tc>
          <w:tcPr>
            <w:tcW w:w="2133" w:type="pct"/>
            <w:tcBorders>
              <w:top w:val="nil"/>
              <w:left w:val="nil"/>
              <w:bottom w:val="nil"/>
              <w:right w:val="nil"/>
            </w:tcBorders>
            <w:shd w:val="clear" w:color="auto" w:fill="auto"/>
            <w:vAlign w:val="center"/>
          </w:tcPr>
          <w:p w14:paraId="5ED1FDD1" w14:textId="2BC6B319"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Benefícios sociais</w:t>
            </w:r>
          </w:p>
        </w:tc>
        <w:tc>
          <w:tcPr>
            <w:tcW w:w="717" w:type="pct"/>
            <w:tcBorders>
              <w:top w:val="nil"/>
              <w:left w:val="nil"/>
              <w:bottom w:val="nil"/>
              <w:right w:val="nil"/>
            </w:tcBorders>
            <w:shd w:val="clear" w:color="auto" w:fill="auto"/>
            <w:vAlign w:val="center"/>
          </w:tcPr>
          <w:p w14:paraId="39032327" w14:textId="0C231F30"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(348.424)</w:t>
            </w:r>
          </w:p>
        </w:tc>
        <w:tc>
          <w:tcPr>
            <w:tcW w:w="717" w:type="pct"/>
            <w:tcBorders>
              <w:top w:val="nil"/>
              <w:left w:val="nil"/>
              <w:bottom w:val="nil"/>
              <w:right w:val="nil"/>
            </w:tcBorders>
            <w:shd w:val="clear" w:color="auto" w:fill="auto"/>
            <w:noWrap/>
            <w:vAlign w:val="center"/>
          </w:tcPr>
          <w:p w14:paraId="48685C0B" w14:textId="199F39EE"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(542.694)</w:t>
            </w:r>
          </w:p>
        </w:tc>
        <w:tc>
          <w:tcPr>
            <w:tcW w:w="717" w:type="pct"/>
            <w:tcBorders>
              <w:top w:val="nil"/>
              <w:left w:val="nil"/>
              <w:bottom w:val="nil"/>
              <w:right w:val="nil"/>
            </w:tcBorders>
            <w:vAlign w:val="center"/>
          </w:tcPr>
          <w:p w14:paraId="3928DA01" w14:textId="182F3F76"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(348.424)</w:t>
            </w:r>
          </w:p>
        </w:tc>
        <w:tc>
          <w:tcPr>
            <w:tcW w:w="716" w:type="pct"/>
            <w:tcBorders>
              <w:top w:val="nil"/>
              <w:left w:val="nil"/>
              <w:bottom w:val="nil"/>
              <w:right w:val="nil"/>
            </w:tcBorders>
            <w:shd w:val="clear" w:color="auto" w:fill="auto"/>
            <w:vAlign w:val="center"/>
          </w:tcPr>
          <w:p w14:paraId="669FF9C5" w14:textId="6443B12C"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(542.694)</w:t>
            </w:r>
          </w:p>
        </w:tc>
      </w:tr>
      <w:tr w:rsidR="00154814" w:rsidRPr="00E20D21" w14:paraId="1C508CE0" w14:textId="77777777" w:rsidTr="00154814">
        <w:trPr>
          <w:trHeight w:val="283"/>
        </w:trPr>
        <w:tc>
          <w:tcPr>
            <w:tcW w:w="2133" w:type="pct"/>
            <w:tcBorders>
              <w:top w:val="nil"/>
              <w:left w:val="nil"/>
              <w:bottom w:val="nil"/>
              <w:right w:val="nil"/>
            </w:tcBorders>
            <w:shd w:val="clear" w:color="auto" w:fill="auto"/>
            <w:vAlign w:val="center"/>
          </w:tcPr>
          <w:p w14:paraId="3C54A590" w14:textId="6365B6B1"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 xml:space="preserve">Imóveis adjudicados e arrematados </w:t>
            </w:r>
          </w:p>
        </w:tc>
        <w:tc>
          <w:tcPr>
            <w:tcW w:w="717" w:type="pct"/>
            <w:tcBorders>
              <w:top w:val="nil"/>
              <w:left w:val="nil"/>
              <w:bottom w:val="nil"/>
              <w:right w:val="nil"/>
            </w:tcBorders>
            <w:shd w:val="clear" w:color="auto" w:fill="auto"/>
            <w:vAlign w:val="center"/>
          </w:tcPr>
          <w:p w14:paraId="16604C7F" w14:textId="3A70273D"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(670.242)</w:t>
            </w:r>
          </w:p>
        </w:tc>
        <w:tc>
          <w:tcPr>
            <w:tcW w:w="717" w:type="pct"/>
            <w:tcBorders>
              <w:top w:val="nil"/>
              <w:left w:val="nil"/>
              <w:bottom w:val="nil"/>
              <w:right w:val="nil"/>
            </w:tcBorders>
            <w:shd w:val="clear" w:color="auto" w:fill="auto"/>
            <w:noWrap/>
            <w:vAlign w:val="center"/>
          </w:tcPr>
          <w:p w14:paraId="07636D0C" w14:textId="503F5795"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(423.173)</w:t>
            </w:r>
          </w:p>
        </w:tc>
        <w:tc>
          <w:tcPr>
            <w:tcW w:w="717" w:type="pct"/>
            <w:tcBorders>
              <w:top w:val="nil"/>
              <w:left w:val="nil"/>
              <w:bottom w:val="nil"/>
              <w:right w:val="nil"/>
            </w:tcBorders>
            <w:vAlign w:val="center"/>
          </w:tcPr>
          <w:p w14:paraId="4FD0DC83" w14:textId="67A249E9"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(670.242)</w:t>
            </w:r>
          </w:p>
        </w:tc>
        <w:tc>
          <w:tcPr>
            <w:tcW w:w="716" w:type="pct"/>
            <w:tcBorders>
              <w:top w:val="nil"/>
              <w:left w:val="nil"/>
              <w:bottom w:val="nil"/>
              <w:right w:val="nil"/>
            </w:tcBorders>
            <w:shd w:val="clear" w:color="auto" w:fill="auto"/>
            <w:vAlign w:val="center"/>
          </w:tcPr>
          <w:p w14:paraId="0C5B0EB9" w14:textId="6F40DCC6"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(423.173)</w:t>
            </w:r>
          </w:p>
        </w:tc>
      </w:tr>
      <w:tr w:rsidR="00154814" w:rsidRPr="00E20D21" w14:paraId="6C23174B" w14:textId="77777777" w:rsidTr="00154814">
        <w:trPr>
          <w:trHeight w:val="283"/>
        </w:trPr>
        <w:tc>
          <w:tcPr>
            <w:tcW w:w="2133" w:type="pct"/>
            <w:tcBorders>
              <w:top w:val="nil"/>
              <w:left w:val="nil"/>
              <w:bottom w:val="nil"/>
              <w:right w:val="nil"/>
            </w:tcBorders>
            <w:shd w:val="clear" w:color="auto" w:fill="auto"/>
            <w:vAlign w:val="center"/>
            <w:hideMark/>
          </w:tcPr>
          <w:p w14:paraId="593933A8" w14:textId="0067A6A8"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Alavancagem de negócios</w:t>
            </w:r>
          </w:p>
        </w:tc>
        <w:tc>
          <w:tcPr>
            <w:tcW w:w="717" w:type="pct"/>
            <w:tcBorders>
              <w:top w:val="nil"/>
              <w:left w:val="nil"/>
              <w:bottom w:val="nil"/>
              <w:right w:val="nil"/>
            </w:tcBorders>
            <w:shd w:val="clear" w:color="auto" w:fill="auto"/>
            <w:vAlign w:val="center"/>
          </w:tcPr>
          <w:p w14:paraId="027F9C69" w14:textId="7B9E2ED7"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(420.931)</w:t>
            </w:r>
          </w:p>
        </w:tc>
        <w:tc>
          <w:tcPr>
            <w:tcW w:w="717" w:type="pct"/>
            <w:tcBorders>
              <w:top w:val="nil"/>
              <w:left w:val="nil"/>
              <w:bottom w:val="nil"/>
              <w:right w:val="nil"/>
            </w:tcBorders>
            <w:shd w:val="clear" w:color="auto" w:fill="auto"/>
            <w:noWrap/>
            <w:vAlign w:val="center"/>
          </w:tcPr>
          <w:p w14:paraId="74A01C97" w14:textId="4F25514D"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(351.181)</w:t>
            </w:r>
          </w:p>
        </w:tc>
        <w:tc>
          <w:tcPr>
            <w:tcW w:w="717" w:type="pct"/>
            <w:tcBorders>
              <w:top w:val="nil"/>
              <w:left w:val="nil"/>
              <w:bottom w:val="nil"/>
              <w:right w:val="nil"/>
            </w:tcBorders>
            <w:vAlign w:val="center"/>
          </w:tcPr>
          <w:p w14:paraId="4E6BC77F" w14:textId="57FA6AC0"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(420.931)</w:t>
            </w:r>
          </w:p>
        </w:tc>
        <w:tc>
          <w:tcPr>
            <w:tcW w:w="716" w:type="pct"/>
            <w:tcBorders>
              <w:top w:val="nil"/>
              <w:left w:val="nil"/>
              <w:bottom w:val="nil"/>
              <w:right w:val="nil"/>
            </w:tcBorders>
            <w:shd w:val="clear" w:color="auto" w:fill="auto"/>
            <w:vAlign w:val="center"/>
          </w:tcPr>
          <w:p w14:paraId="3D75D2C1" w14:textId="10560707"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(351.181)</w:t>
            </w:r>
          </w:p>
        </w:tc>
      </w:tr>
      <w:tr w:rsidR="00154814" w:rsidRPr="00E20D21" w14:paraId="3C869DBB" w14:textId="77777777" w:rsidTr="00154814">
        <w:trPr>
          <w:trHeight w:val="283"/>
        </w:trPr>
        <w:tc>
          <w:tcPr>
            <w:tcW w:w="2133" w:type="pct"/>
            <w:tcBorders>
              <w:top w:val="nil"/>
              <w:left w:val="nil"/>
              <w:bottom w:val="nil"/>
              <w:right w:val="nil"/>
            </w:tcBorders>
            <w:shd w:val="clear" w:color="auto" w:fill="auto"/>
            <w:vAlign w:val="center"/>
            <w:hideMark/>
          </w:tcPr>
          <w:p w14:paraId="194188A4" w14:textId="621833C2"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Serviços automatizados</w:t>
            </w:r>
          </w:p>
        </w:tc>
        <w:tc>
          <w:tcPr>
            <w:tcW w:w="717" w:type="pct"/>
            <w:tcBorders>
              <w:top w:val="nil"/>
              <w:left w:val="nil"/>
              <w:bottom w:val="nil"/>
              <w:right w:val="nil"/>
            </w:tcBorders>
            <w:shd w:val="clear" w:color="auto" w:fill="auto"/>
            <w:vAlign w:val="center"/>
          </w:tcPr>
          <w:p w14:paraId="0223C0BE" w14:textId="7E77EC95"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(292.193)</w:t>
            </w:r>
          </w:p>
        </w:tc>
        <w:tc>
          <w:tcPr>
            <w:tcW w:w="717" w:type="pct"/>
            <w:tcBorders>
              <w:top w:val="nil"/>
              <w:left w:val="nil"/>
              <w:bottom w:val="nil"/>
              <w:right w:val="nil"/>
            </w:tcBorders>
            <w:shd w:val="clear" w:color="auto" w:fill="auto"/>
            <w:noWrap/>
            <w:vAlign w:val="center"/>
          </w:tcPr>
          <w:p w14:paraId="30A5DF3D" w14:textId="3F6396FD"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(292.341)</w:t>
            </w:r>
          </w:p>
        </w:tc>
        <w:tc>
          <w:tcPr>
            <w:tcW w:w="717" w:type="pct"/>
            <w:tcBorders>
              <w:top w:val="nil"/>
              <w:left w:val="nil"/>
              <w:bottom w:val="nil"/>
              <w:right w:val="nil"/>
            </w:tcBorders>
            <w:vAlign w:val="center"/>
          </w:tcPr>
          <w:p w14:paraId="0133FCAC" w14:textId="3CDE324C"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(292.193)</w:t>
            </w:r>
          </w:p>
        </w:tc>
        <w:tc>
          <w:tcPr>
            <w:tcW w:w="716" w:type="pct"/>
            <w:tcBorders>
              <w:top w:val="nil"/>
              <w:left w:val="nil"/>
              <w:bottom w:val="nil"/>
              <w:right w:val="nil"/>
            </w:tcBorders>
            <w:shd w:val="clear" w:color="auto" w:fill="auto"/>
            <w:vAlign w:val="center"/>
          </w:tcPr>
          <w:p w14:paraId="6671F310" w14:textId="063D46A4"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(292.341)</w:t>
            </w:r>
          </w:p>
        </w:tc>
      </w:tr>
      <w:tr w:rsidR="00154814" w:rsidRPr="00E20D21" w14:paraId="3853C0CB" w14:textId="77777777" w:rsidTr="00154814">
        <w:trPr>
          <w:trHeight w:val="283"/>
        </w:trPr>
        <w:tc>
          <w:tcPr>
            <w:tcW w:w="2133" w:type="pct"/>
            <w:tcBorders>
              <w:top w:val="nil"/>
              <w:left w:val="nil"/>
              <w:bottom w:val="nil"/>
              <w:right w:val="nil"/>
            </w:tcBorders>
            <w:shd w:val="clear" w:color="auto" w:fill="auto"/>
            <w:vAlign w:val="center"/>
            <w:hideMark/>
          </w:tcPr>
          <w:p w14:paraId="135DDE83" w14:textId="102AB8EE"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Ágio na aquisição de carteiras comerciais</w:t>
            </w:r>
          </w:p>
        </w:tc>
        <w:tc>
          <w:tcPr>
            <w:tcW w:w="717" w:type="pct"/>
            <w:tcBorders>
              <w:top w:val="nil"/>
              <w:left w:val="nil"/>
              <w:bottom w:val="nil"/>
              <w:right w:val="nil"/>
            </w:tcBorders>
            <w:shd w:val="clear" w:color="auto" w:fill="auto"/>
            <w:vAlign w:val="center"/>
          </w:tcPr>
          <w:p w14:paraId="132DF752" w14:textId="59BC0158"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(234.605)</w:t>
            </w:r>
          </w:p>
        </w:tc>
        <w:tc>
          <w:tcPr>
            <w:tcW w:w="717" w:type="pct"/>
            <w:tcBorders>
              <w:top w:val="nil"/>
              <w:left w:val="nil"/>
              <w:bottom w:val="nil"/>
              <w:right w:val="nil"/>
            </w:tcBorders>
            <w:shd w:val="clear" w:color="auto" w:fill="auto"/>
            <w:noWrap/>
            <w:vAlign w:val="center"/>
          </w:tcPr>
          <w:p w14:paraId="6575D350" w14:textId="2B6E1053"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(278.717)</w:t>
            </w:r>
          </w:p>
        </w:tc>
        <w:tc>
          <w:tcPr>
            <w:tcW w:w="717" w:type="pct"/>
            <w:tcBorders>
              <w:top w:val="nil"/>
              <w:left w:val="nil"/>
              <w:bottom w:val="nil"/>
              <w:right w:val="nil"/>
            </w:tcBorders>
            <w:vAlign w:val="center"/>
          </w:tcPr>
          <w:p w14:paraId="04EB2021" w14:textId="333C72B0"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(234.605)</w:t>
            </w:r>
          </w:p>
        </w:tc>
        <w:tc>
          <w:tcPr>
            <w:tcW w:w="716" w:type="pct"/>
            <w:tcBorders>
              <w:top w:val="nil"/>
              <w:left w:val="nil"/>
              <w:bottom w:val="nil"/>
              <w:right w:val="nil"/>
            </w:tcBorders>
            <w:shd w:val="clear" w:color="auto" w:fill="auto"/>
            <w:vAlign w:val="center"/>
          </w:tcPr>
          <w:p w14:paraId="74388BAF" w14:textId="0BFA98F0"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(278.717)</w:t>
            </w:r>
          </w:p>
        </w:tc>
      </w:tr>
      <w:tr w:rsidR="00154814" w:rsidRPr="00E20D21" w14:paraId="6EDCF76C" w14:textId="77777777" w:rsidTr="00154814">
        <w:trPr>
          <w:trHeight w:val="283"/>
        </w:trPr>
        <w:tc>
          <w:tcPr>
            <w:tcW w:w="2133" w:type="pct"/>
            <w:tcBorders>
              <w:top w:val="nil"/>
              <w:left w:val="nil"/>
              <w:bottom w:val="nil"/>
              <w:right w:val="nil"/>
            </w:tcBorders>
            <w:shd w:val="clear" w:color="auto" w:fill="auto"/>
            <w:vAlign w:val="center"/>
            <w:hideMark/>
          </w:tcPr>
          <w:p w14:paraId="00180E48" w14:textId="15FB5862"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Loterias</w:t>
            </w:r>
          </w:p>
        </w:tc>
        <w:tc>
          <w:tcPr>
            <w:tcW w:w="717" w:type="pct"/>
            <w:tcBorders>
              <w:top w:val="nil"/>
              <w:left w:val="nil"/>
              <w:bottom w:val="nil"/>
              <w:right w:val="nil"/>
            </w:tcBorders>
            <w:shd w:val="clear" w:color="auto" w:fill="auto"/>
            <w:vAlign w:val="center"/>
          </w:tcPr>
          <w:p w14:paraId="35E88E2A" w14:textId="1C8C787E"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(233.715)</w:t>
            </w:r>
          </w:p>
        </w:tc>
        <w:tc>
          <w:tcPr>
            <w:tcW w:w="717" w:type="pct"/>
            <w:tcBorders>
              <w:top w:val="nil"/>
              <w:left w:val="nil"/>
              <w:bottom w:val="nil"/>
              <w:right w:val="nil"/>
            </w:tcBorders>
            <w:shd w:val="clear" w:color="auto" w:fill="auto"/>
            <w:noWrap/>
            <w:vAlign w:val="center"/>
          </w:tcPr>
          <w:p w14:paraId="35A2A8F7" w14:textId="05AE4C09"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(238.557)</w:t>
            </w:r>
          </w:p>
        </w:tc>
        <w:tc>
          <w:tcPr>
            <w:tcW w:w="717" w:type="pct"/>
            <w:tcBorders>
              <w:top w:val="nil"/>
              <w:left w:val="nil"/>
              <w:bottom w:val="nil"/>
              <w:right w:val="nil"/>
            </w:tcBorders>
            <w:vAlign w:val="center"/>
          </w:tcPr>
          <w:p w14:paraId="3FACF76C" w14:textId="3108A50D"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(242.228)</w:t>
            </w:r>
          </w:p>
        </w:tc>
        <w:tc>
          <w:tcPr>
            <w:tcW w:w="716" w:type="pct"/>
            <w:tcBorders>
              <w:top w:val="nil"/>
              <w:left w:val="nil"/>
              <w:bottom w:val="nil"/>
              <w:right w:val="nil"/>
            </w:tcBorders>
            <w:shd w:val="clear" w:color="auto" w:fill="auto"/>
            <w:vAlign w:val="center"/>
          </w:tcPr>
          <w:p w14:paraId="3C38ECB0" w14:textId="62DC54EB"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(238.557)</w:t>
            </w:r>
          </w:p>
        </w:tc>
      </w:tr>
      <w:tr w:rsidR="00154814" w:rsidRPr="00E20D21" w14:paraId="1175622E" w14:textId="77777777" w:rsidTr="00154814">
        <w:trPr>
          <w:trHeight w:val="283"/>
        </w:trPr>
        <w:tc>
          <w:tcPr>
            <w:tcW w:w="2133" w:type="pct"/>
            <w:tcBorders>
              <w:top w:val="nil"/>
              <w:left w:val="nil"/>
              <w:bottom w:val="nil"/>
              <w:right w:val="nil"/>
            </w:tcBorders>
            <w:shd w:val="clear" w:color="auto" w:fill="auto"/>
            <w:vAlign w:val="center"/>
            <w:hideMark/>
          </w:tcPr>
          <w:p w14:paraId="2E0CE21F" w14:textId="65B3F55B"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Descontos em operações de crédito</w:t>
            </w:r>
          </w:p>
        </w:tc>
        <w:tc>
          <w:tcPr>
            <w:tcW w:w="717" w:type="pct"/>
            <w:tcBorders>
              <w:top w:val="nil"/>
              <w:left w:val="nil"/>
              <w:bottom w:val="nil"/>
              <w:right w:val="nil"/>
            </w:tcBorders>
            <w:shd w:val="clear" w:color="auto" w:fill="auto"/>
            <w:vAlign w:val="center"/>
          </w:tcPr>
          <w:p w14:paraId="3F4B8AB7" w14:textId="53F74659"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(180.210)</w:t>
            </w:r>
          </w:p>
        </w:tc>
        <w:tc>
          <w:tcPr>
            <w:tcW w:w="717" w:type="pct"/>
            <w:tcBorders>
              <w:top w:val="nil"/>
              <w:left w:val="nil"/>
              <w:bottom w:val="nil"/>
              <w:right w:val="nil"/>
            </w:tcBorders>
            <w:shd w:val="clear" w:color="auto" w:fill="auto"/>
            <w:noWrap/>
            <w:vAlign w:val="center"/>
          </w:tcPr>
          <w:p w14:paraId="501564F2" w14:textId="33424750"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(131.669)</w:t>
            </w:r>
          </w:p>
        </w:tc>
        <w:tc>
          <w:tcPr>
            <w:tcW w:w="717" w:type="pct"/>
            <w:tcBorders>
              <w:top w:val="nil"/>
              <w:left w:val="nil"/>
              <w:bottom w:val="nil"/>
              <w:right w:val="nil"/>
            </w:tcBorders>
            <w:vAlign w:val="center"/>
          </w:tcPr>
          <w:p w14:paraId="108D9B04" w14:textId="33B0B8C4"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(180.210)</w:t>
            </w:r>
          </w:p>
        </w:tc>
        <w:tc>
          <w:tcPr>
            <w:tcW w:w="716" w:type="pct"/>
            <w:tcBorders>
              <w:top w:val="nil"/>
              <w:left w:val="nil"/>
              <w:bottom w:val="nil"/>
              <w:right w:val="nil"/>
            </w:tcBorders>
            <w:shd w:val="clear" w:color="auto" w:fill="auto"/>
            <w:vAlign w:val="center"/>
          </w:tcPr>
          <w:p w14:paraId="5FCE8947" w14:textId="7038F599"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(131.669)</w:t>
            </w:r>
          </w:p>
        </w:tc>
      </w:tr>
      <w:tr w:rsidR="00154814" w:rsidRPr="00E20D21" w14:paraId="2021A498" w14:textId="77777777" w:rsidTr="00154814">
        <w:trPr>
          <w:trHeight w:val="283"/>
        </w:trPr>
        <w:tc>
          <w:tcPr>
            <w:tcW w:w="2133" w:type="pct"/>
            <w:tcBorders>
              <w:top w:val="nil"/>
              <w:left w:val="nil"/>
              <w:bottom w:val="nil"/>
              <w:right w:val="nil"/>
            </w:tcBorders>
            <w:shd w:val="clear" w:color="auto" w:fill="auto"/>
            <w:vAlign w:val="center"/>
            <w:hideMark/>
          </w:tcPr>
          <w:p w14:paraId="5F443C13" w14:textId="6144EBEA"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FGTS – arrecadação/pagamento</w:t>
            </w:r>
          </w:p>
        </w:tc>
        <w:tc>
          <w:tcPr>
            <w:tcW w:w="717" w:type="pct"/>
            <w:tcBorders>
              <w:top w:val="nil"/>
              <w:left w:val="nil"/>
              <w:bottom w:val="nil"/>
              <w:right w:val="nil"/>
            </w:tcBorders>
            <w:shd w:val="clear" w:color="auto" w:fill="auto"/>
            <w:vAlign w:val="center"/>
          </w:tcPr>
          <w:p w14:paraId="57C19C0A" w14:textId="5052B699"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(105.482)</w:t>
            </w:r>
          </w:p>
        </w:tc>
        <w:tc>
          <w:tcPr>
            <w:tcW w:w="717" w:type="pct"/>
            <w:tcBorders>
              <w:top w:val="nil"/>
              <w:left w:val="nil"/>
              <w:bottom w:val="nil"/>
              <w:right w:val="nil"/>
            </w:tcBorders>
            <w:shd w:val="clear" w:color="auto" w:fill="auto"/>
            <w:noWrap/>
            <w:vAlign w:val="center"/>
          </w:tcPr>
          <w:p w14:paraId="398BFE21" w14:textId="33542CB8"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(122.320)</w:t>
            </w:r>
          </w:p>
        </w:tc>
        <w:tc>
          <w:tcPr>
            <w:tcW w:w="717" w:type="pct"/>
            <w:tcBorders>
              <w:top w:val="nil"/>
              <w:left w:val="nil"/>
              <w:bottom w:val="nil"/>
              <w:right w:val="nil"/>
            </w:tcBorders>
            <w:vAlign w:val="center"/>
          </w:tcPr>
          <w:p w14:paraId="5EB941CF" w14:textId="1DAD1743"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(105.482)</w:t>
            </w:r>
          </w:p>
        </w:tc>
        <w:tc>
          <w:tcPr>
            <w:tcW w:w="716" w:type="pct"/>
            <w:tcBorders>
              <w:top w:val="nil"/>
              <w:left w:val="nil"/>
              <w:bottom w:val="nil"/>
              <w:right w:val="nil"/>
            </w:tcBorders>
            <w:shd w:val="clear" w:color="auto" w:fill="auto"/>
            <w:vAlign w:val="center"/>
          </w:tcPr>
          <w:p w14:paraId="4AA1114D" w14:textId="4ACAF5B6"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(122.320)</w:t>
            </w:r>
          </w:p>
        </w:tc>
      </w:tr>
      <w:tr w:rsidR="00154814" w:rsidRPr="00E20D21" w14:paraId="299CC4DF" w14:textId="77777777" w:rsidTr="00154814">
        <w:trPr>
          <w:trHeight w:val="283"/>
        </w:trPr>
        <w:tc>
          <w:tcPr>
            <w:tcW w:w="2133" w:type="pct"/>
            <w:tcBorders>
              <w:top w:val="nil"/>
              <w:left w:val="nil"/>
              <w:bottom w:val="nil"/>
              <w:right w:val="nil"/>
            </w:tcBorders>
            <w:shd w:val="clear" w:color="auto" w:fill="auto"/>
            <w:vAlign w:val="center"/>
            <w:hideMark/>
          </w:tcPr>
          <w:p w14:paraId="45B42B18" w14:textId="7B0931DD" w:rsidR="00154814" w:rsidRPr="00E20D21" w:rsidRDefault="00154814" w:rsidP="00154814">
            <w:pPr>
              <w:rPr>
                <w:rFonts w:ascii="CAIXA Std Book" w:eastAsia="Times New Roman" w:hAnsi="CAIXA Std Book" w:cs="Arial"/>
                <w:color w:val="005CA9"/>
                <w:sz w:val="18"/>
                <w:szCs w:val="18"/>
                <w:highlight w:val="yellow"/>
              </w:rPr>
            </w:pPr>
            <w:r w:rsidRPr="00E20D21">
              <w:rPr>
                <w:rFonts w:ascii="CAIXA Std Book" w:hAnsi="CAIXA Std Book" w:cs="Arial"/>
                <w:color w:val="005CA9"/>
                <w:sz w:val="18"/>
                <w:szCs w:val="18"/>
              </w:rPr>
              <w:t xml:space="preserve">FCVS a receber - provisão/perdas </w:t>
            </w:r>
          </w:p>
        </w:tc>
        <w:tc>
          <w:tcPr>
            <w:tcW w:w="717" w:type="pct"/>
            <w:tcBorders>
              <w:top w:val="nil"/>
              <w:left w:val="nil"/>
              <w:bottom w:val="nil"/>
              <w:right w:val="nil"/>
            </w:tcBorders>
            <w:shd w:val="clear" w:color="auto" w:fill="auto"/>
            <w:vAlign w:val="center"/>
          </w:tcPr>
          <w:p w14:paraId="2BE60353" w14:textId="1033E580" w:rsidR="00154814" w:rsidRPr="00E20D21" w:rsidRDefault="00154814" w:rsidP="00154814">
            <w:pPr>
              <w:ind w:left="15"/>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(6.355)</w:t>
            </w:r>
          </w:p>
        </w:tc>
        <w:tc>
          <w:tcPr>
            <w:tcW w:w="717" w:type="pct"/>
            <w:tcBorders>
              <w:top w:val="nil"/>
              <w:left w:val="nil"/>
              <w:bottom w:val="nil"/>
              <w:right w:val="nil"/>
            </w:tcBorders>
            <w:shd w:val="clear" w:color="auto" w:fill="auto"/>
            <w:noWrap/>
            <w:vAlign w:val="center"/>
          </w:tcPr>
          <w:p w14:paraId="321A4532" w14:textId="2B73908E" w:rsidR="00154814" w:rsidRPr="00E20D21" w:rsidRDefault="00154814" w:rsidP="00154814">
            <w:pPr>
              <w:ind w:left="15"/>
              <w:jc w:val="right"/>
              <w:rPr>
                <w:rFonts w:ascii="CAIXA Std Book" w:hAnsi="CAIXA Std Book" w:cs="Arial"/>
                <w:color w:val="005CA9"/>
                <w:sz w:val="18"/>
                <w:szCs w:val="18"/>
                <w:highlight w:val="yellow"/>
              </w:rPr>
            </w:pPr>
            <w:r w:rsidRPr="00E20D21">
              <w:rPr>
                <w:rFonts w:ascii="CAIXA Std Book" w:hAnsi="CAIXA Std Book" w:cs="Arial"/>
                <w:color w:val="005CA9"/>
                <w:sz w:val="18"/>
                <w:szCs w:val="18"/>
              </w:rPr>
              <w:t>(189.213)</w:t>
            </w:r>
          </w:p>
        </w:tc>
        <w:tc>
          <w:tcPr>
            <w:tcW w:w="717" w:type="pct"/>
            <w:tcBorders>
              <w:top w:val="nil"/>
              <w:left w:val="nil"/>
              <w:bottom w:val="nil"/>
              <w:right w:val="nil"/>
            </w:tcBorders>
            <w:vAlign w:val="center"/>
          </w:tcPr>
          <w:p w14:paraId="71A0E6DA" w14:textId="146239F0"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(6.355)</w:t>
            </w:r>
          </w:p>
        </w:tc>
        <w:tc>
          <w:tcPr>
            <w:tcW w:w="716" w:type="pct"/>
            <w:tcBorders>
              <w:top w:val="nil"/>
              <w:left w:val="nil"/>
              <w:bottom w:val="nil"/>
              <w:right w:val="nil"/>
            </w:tcBorders>
            <w:shd w:val="clear" w:color="auto" w:fill="auto"/>
            <w:vAlign w:val="center"/>
          </w:tcPr>
          <w:p w14:paraId="34DD51ED" w14:textId="3EC7089D"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(189.213)</w:t>
            </w:r>
          </w:p>
        </w:tc>
      </w:tr>
      <w:tr w:rsidR="00154814" w:rsidRPr="00E20D21" w14:paraId="125F680E" w14:textId="77777777" w:rsidTr="00154814">
        <w:trPr>
          <w:trHeight w:val="283"/>
        </w:trPr>
        <w:tc>
          <w:tcPr>
            <w:tcW w:w="2133" w:type="pct"/>
            <w:tcBorders>
              <w:top w:val="nil"/>
              <w:left w:val="nil"/>
              <w:bottom w:val="single" w:sz="4" w:space="0" w:color="F79646" w:themeColor="accent6"/>
              <w:right w:val="nil"/>
            </w:tcBorders>
            <w:shd w:val="clear" w:color="auto" w:fill="auto"/>
            <w:vAlign w:val="center"/>
          </w:tcPr>
          <w:p w14:paraId="4F223F74" w14:textId="73A404AE" w:rsidR="00154814" w:rsidRPr="00E20D21" w:rsidRDefault="00154814" w:rsidP="00154814">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Outras</w:t>
            </w:r>
          </w:p>
        </w:tc>
        <w:tc>
          <w:tcPr>
            <w:tcW w:w="717" w:type="pct"/>
            <w:tcBorders>
              <w:top w:val="nil"/>
              <w:left w:val="nil"/>
              <w:bottom w:val="nil"/>
              <w:right w:val="nil"/>
            </w:tcBorders>
            <w:shd w:val="clear" w:color="auto" w:fill="auto"/>
            <w:vAlign w:val="center"/>
          </w:tcPr>
          <w:p w14:paraId="6FE9286B" w14:textId="31F811C7"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color w:val="005CA9"/>
                <w:sz w:val="18"/>
                <w:szCs w:val="18"/>
              </w:rPr>
              <w:t>(611.334)</w:t>
            </w:r>
          </w:p>
        </w:tc>
        <w:tc>
          <w:tcPr>
            <w:tcW w:w="717" w:type="pct"/>
            <w:tcBorders>
              <w:top w:val="nil"/>
              <w:left w:val="nil"/>
              <w:bottom w:val="nil"/>
              <w:right w:val="nil"/>
            </w:tcBorders>
            <w:shd w:val="clear" w:color="auto" w:fill="auto"/>
            <w:noWrap/>
            <w:vAlign w:val="center"/>
          </w:tcPr>
          <w:p w14:paraId="5EC0848F" w14:textId="2327E684"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(442.706)</w:t>
            </w:r>
          </w:p>
        </w:tc>
        <w:tc>
          <w:tcPr>
            <w:tcW w:w="717" w:type="pct"/>
            <w:tcBorders>
              <w:top w:val="nil"/>
              <w:left w:val="nil"/>
              <w:bottom w:val="nil"/>
              <w:right w:val="nil"/>
            </w:tcBorders>
            <w:vAlign w:val="center"/>
          </w:tcPr>
          <w:p w14:paraId="444F5718" w14:textId="17556270" w:rsidR="00154814" w:rsidRPr="00E20D21" w:rsidRDefault="00154814" w:rsidP="00154814">
            <w:pPr>
              <w:jc w:val="right"/>
              <w:rPr>
                <w:rFonts w:ascii="CAIXA Std Book" w:hAnsi="CAIXA Std Book" w:cs="Arial"/>
                <w:color w:val="005CA9"/>
                <w:sz w:val="18"/>
                <w:szCs w:val="18"/>
              </w:rPr>
            </w:pPr>
            <w:r w:rsidRPr="00E20D21">
              <w:rPr>
                <w:rFonts w:ascii="CAIXA Std Book" w:hAnsi="CAIXA Std Book" w:cs="Arial"/>
                <w:color w:val="005CA9"/>
                <w:sz w:val="18"/>
                <w:szCs w:val="18"/>
              </w:rPr>
              <w:t>(619.849)</w:t>
            </w:r>
          </w:p>
        </w:tc>
        <w:tc>
          <w:tcPr>
            <w:tcW w:w="716" w:type="pct"/>
            <w:tcBorders>
              <w:top w:val="nil"/>
              <w:left w:val="nil"/>
              <w:bottom w:val="nil"/>
              <w:right w:val="nil"/>
            </w:tcBorders>
            <w:shd w:val="clear" w:color="auto" w:fill="auto"/>
            <w:vAlign w:val="center"/>
          </w:tcPr>
          <w:p w14:paraId="1AAA4D2D" w14:textId="1B3B2988"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(440.143)</w:t>
            </w:r>
          </w:p>
        </w:tc>
      </w:tr>
      <w:tr w:rsidR="00154814" w:rsidRPr="00E20D21" w14:paraId="36A6A6B3" w14:textId="77777777" w:rsidTr="00154814">
        <w:trPr>
          <w:trHeight w:val="283"/>
        </w:trPr>
        <w:tc>
          <w:tcPr>
            <w:tcW w:w="2133" w:type="pct"/>
            <w:tcBorders>
              <w:top w:val="single" w:sz="4" w:space="0" w:color="F79646" w:themeColor="accent6"/>
              <w:bottom w:val="single" w:sz="4" w:space="0" w:color="F79646" w:themeColor="accent6"/>
            </w:tcBorders>
            <w:shd w:val="clear" w:color="auto" w:fill="auto"/>
            <w:vAlign w:val="center"/>
          </w:tcPr>
          <w:p w14:paraId="245820B0" w14:textId="0678A4E1" w:rsidR="00154814" w:rsidRPr="00E20D21" w:rsidRDefault="00154814" w:rsidP="00154814">
            <w:pPr>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T</w:t>
            </w:r>
            <w:r w:rsidRPr="00E20D21">
              <w:rPr>
                <w:rFonts w:ascii="CAIXA Std Book" w:eastAsia="Times New Roman" w:hAnsi="CAIXA Std Book" w:cs="Arial"/>
                <w:b/>
                <w:bCs/>
                <w:color w:val="005CA9"/>
                <w:sz w:val="18"/>
                <w:szCs w:val="18"/>
              </w:rPr>
              <w:t>otal</w:t>
            </w:r>
          </w:p>
        </w:tc>
        <w:tc>
          <w:tcPr>
            <w:tcW w:w="717" w:type="pct"/>
            <w:tcBorders>
              <w:top w:val="single" w:sz="4" w:space="0" w:color="F39200"/>
              <w:left w:val="nil"/>
              <w:bottom w:val="single" w:sz="4" w:space="0" w:color="F39200"/>
              <w:right w:val="nil"/>
            </w:tcBorders>
            <w:shd w:val="clear" w:color="auto" w:fill="auto"/>
            <w:vAlign w:val="center"/>
          </w:tcPr>
          <w:p w14:paraId="63EAD4AE" w14:textId="6A107A25" w:rsidR="00154814" w:rsidRPr="00E20D21" w:rsidRDefault="00154814" w:rsidP="00154814">
            <w:pPr>
              <w:ind w:left="15"/>
              <w:jc w:val="right"/>
              <w:rPr>
                <w:rFonts w:ascii="CAIXA Std Book" w:hAnsi="CAIXA Std Book" w:cs="Arial"/>
                <w:color w:val="005CA9"/>
                <w:sz w:val="18"/>
                <w:szCs w:val="18"/>
              </w:rPr>
            </w:pPr>
            <w:r w:rsidRPr="00E20D21">
              <w:rPr>
                <w:rFonts w:ascii="CAIXA Std Book" w:hAnsi="CAIXA Std Book" w:cs="Arial"/>
                <w:b/>
                <w:bCs/>
                <w:color w:val="005CA9"/>
                <w:sz w:val="18"/>
                <w:szCs w:val="18"/>
              </w:rPr>
              <w:t>(8.721.410)</w:t>
            </w:r>
          </w:p>
        </w:tc>
        <w:tc>
          <w:tcPr>
            <w:tcW w:w="717" w:type="pct"/>
            <w:tcBorders>
              <w:top w:val="single" w:sz="4" w:space="0" w:color="F39200"/>
              <w:left w:val="nil"/>
              <w:bottom w:val="single" w:sz="4" w:space="0" w:color="F39200"/>
              <w:right w:val="nil"/>
            </w:tcBorders>
            <w:shd w:val="clear" w:color="auto" w:fill="auto"/>
            <w:noWrap/>
            <w:vAlign w:val="center"/>
          </w:tcPr>
          <w:p w14:paraId="42EE01C2" w14:textId="130CDE66" w:rsidR="00154814" w:rsidRPr="00E20D21" w:rsidRDefault="00154814" w:rsidP="00154814">
            <w:pPr>
              <w:ind w:left="15"/>
              <w:jc w:val="right"/>
              <w:rPr>
                <w:rFonts w:ascii="CAIXA Std Book" w:hAnsi="CAIXA Std Book" w:cs="Arial"/>
                <w:color w:val="005CA9"/>
                <w:sz w:val="18"/>
                <w:szCs w:val="18"/>
              </w:rPr>
            </w:pPr>
            <w:r w:rsidRPr="00E20D21">
              <w:rPr>
                <w:rFonts w:ascii="CAIXA Std Book" w:eastAsia="Times New Roman" w:hAnsi="CAIXA Std Book" w:cs="Arial"/>
                <w:b/>
                <w:color w:val="005CA9"/>
                <w:sz w:val="18"/>
                <w:szCs w:val="18"/>
              </w:rPr>
              <w:t>(8.150.823)</w:t>
            </w:r>
          </w:p>
        </w:tc>
        <w:tc>
          <w:tcPr>
            <w:tcW w:w="717" w:type="pct"/>
            <w:tcBorders>
              <w:top w:val="single" w:sz="4" w:space="0" w:color="F39200"/>
              <w:left w:val="nil"/>
              <w:bottom w:val="single" w:sz="4" w:space="0" w:color="F39200"/>
              <w:right w:val="nil"/>
            </w:tcBorders>
            <w:vAlign w:val="center"/>
          </w:tcPr>
          <w:p w14:paraId="759FE8EC" w14:textId="125C4543" w:rsidR="00154814" w:rsidRPr="00E20D21" w:rsidRDefault="00154814" w:rsidP="00154814">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(8.739.467)</w:t>
            </w:r>
          </w:p>
        </w:tc>
        <w:tc>
          <w:tcPr>
            <w:tcW w:w="716" w:type="pct"/>
            <w:tcBorders>
              <w:top w:val="single" w:sz="4" w:space="0" w:color="F39200"/>
              <w:left w:val="nil"/>
              <w:bottom w:val="single" w:sz="4" w:space="0" w:color="F39200"/>
              <w:right w:val="nil"/>
            </w:tcBorders>
            <w:shd w:val="clear" w:color="auto" w:fill="auto"/>
            <w:vAlign w:val="center"/>
          </w:tcPr>
          <w:p w14:paraId="3FC6548E" w14:textId="53CE6362" w:rsidR="00154814" w:rsidRPr="00E20D21" w:rsidRDefault="00154814" w:rsidP="00154814">
            <w:pPr>
              <w:jc w:val="right"/>
              <w:rPr>
                <w:rFonts w:ascii="CAIXA Std Book" w:hAnsi="CAIXA Std Book" w:cs="Arial"/>
                <w:color w:val="005CA9"/>
                <w:sz w:val="18"/>
                <w:szCs w:val="18"/>
              </w:rPr>
            </w:pPr>
            <w:r w:rsidRPr="00E20D21">
              <w:rPr>
                <w:rFonts w:ascii="CAIXA Std Book" w:eastAsia="Times New Roman" w:hAnsi="CAIXA Std Book" w:cs="Arial"/>
                <w:b/>
                <w:color w:val="005CA9"/>
                <w:sz w:val="18"/>
                <w:szCs w:val="18"/>
              </w:rPr>
              <w:t>(8.148.282)</w:t>
            </w:r>
          </w:p>
        </w:tc>
      </w:tr>
    </w:tbl>
    <w:p w14:paraId="5AE9F3EB" w14:textId="77777777" w:rsidR="00053FC5" w:rsidRPr="00E20D21" w:rsidRDefault="00814F49" w:rsidP="00FD7768">
      <w:pPr>
        <w:pStyle w:val="Ttulo1"/>
      </w:pPr>
      <w:bookmarkStart w:id="93" w:name="_Toc175067970"/>
      <w:r w:rsidRPr="00E20D21">
        <w:t>Nota 30 – Constituição e reversão de provisões</w:t>
      </w:r>
      <w:bookmarkEnd w:id="93"/>
    </w:p>
    <w:tbl>
      <w:tblPr>
        <w:tblW w:w="4999" w:type="pct"/>
        <w:tblCellMar>
          <w:left w:w="70" w:type="dxa"/>
          <w:right w:w="70" w:type="dxa"/>
        </w:tblCellMar>
        <w:tblLook w:val="04A0" w:firstRow="1" w:lastRow="0" w:firstColumn="1" w:lastColumn="0" w:noHBand="0" w:noVBand="1"/>
      </w:tblPr>
      <w:tblGrid>
        <w:gridCol w:w="5955"/>
        <w:gridCol w:w="1842"/>
        <w:gridCol w:w="1838"/>
      </w:tblGrid>
      <w:tr w:rsidR="001739D2" w:rsidRPr="00E20D21" w14:paraId="2A4140D4" w14:textId="77777777" w:rsidTr="00013FE2">
        <w:trPr>
          <w:trHeight w:val="283"/>
        </w:trPr>
        <w:tc>
          <w:tcPr>
            <w:tcW w:w="5000" w:type="pct"/>
            <w:gridSpan w:val="3"/>
            <w:tcBorders>
              <w:top w:val="single" w:sz="4" w:space="0" w:color="F79646" w:themeColor="accent6"/>
              <w:bottom w:val="single" w:sz="4" w:space="0" w:color="F79646" w:themeColor="accent6"/>
            </w:tcBorders>
            <w:shd w:val="clear" w:color="auto" w:fill="auto"/>
            <w:vAlign w:val="center"/>
            <w:hideMark/>
          </w:tcPr>
          <w:p w14:paraId="59DA6428" w14:textId="0B734970" w:rsidR="001739D2" w:rsidRPr="00E20D21" w:rsidRDefault="001739D2" w:rsidP="0071057F">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INDIVIDUAL</w:t>
            </w:r>
            <w:r w:rsidR="00CD7F0A">
              <w:rPr>
                <w:rFonts w:ascii="CAIXA Std Book" w:eastAsia="Times New Roman" w:hAnsi="CAIXA Std Book" w:cs="Arial"/>
                <w:b/>
                <w:color w:val="005CA9"/>
                <w:sz w:val="18"/>
                <w:szCs w:val="18"/>
              </w:rPr>
              <w:t xml:space="preserve"> </w:t>
            </w:r>
            <w:r w:rsidRPr="00E20D21">
              <w:rPr>
                <w:rFonts w:ascii="CAIXA Std Book" w:eastAsia="Times New Roman" w:hAnsi="CAIXA Std Book" w:cs="Arial"/>
                <w:b/>
                <w:color w:val="005CA9"/>
                <w:sz w:val="18"/>
                <w:szCs w:val="18"/>
              </w:rPr>
              <w:t>/</w:t>
            </w:r>
            <w:r w:rsidR="00CD7F0A">
              <w:rPr>
                <w:rFonts w:ascii="CAIXA Std Book" w:eastAsia="Times New Roman" w:hAnsi="CAIXA Std Book" w:cs="Arial"/>
                <w:b/>
                <w:color w:val="005CA9"/>
                <w:sz w:val="18"/>
                <w:szCs w:val="18"/>
              </w:rPr>
              <w:t xml:space="preserve"> </w:t>
            </w:r>
            <w:r w:rsidRPr="00E20D21">
              <w:rPr>
                <w:rFonts w:ascii="CAIXA Std Book" w:eastAsia="Times New Roman" w:hAnsi="CAIXA Std Book" w:cs="Arial"/>
                <w:b/>
                <w:color w:val="005CA9"/>
                <w:sz w:val="18"/>
                <w:szCs w:val="18"/>
              </w:rPr>
              <w:t>CONSOLIDADO</w:t>
            </w:r>
          </w:p>
        </w:tc>
      </w:tr>
      <w:tr w:rsidR="001739D2" w:rsidRPr="00E20D21" w14:paraId="384115BE" w14:textId="77777777" w:rsidTr="007B7477">
        <w:trPr>
          <w:trHeight w:val="283"/>
        </w:trPr>
        <w:tc>
          <w:tcPr>
            <w:tcW w:w="3090" w:type="pct"/>
            <w:vMerge w:val="restart"/>
            <w:tcBorders>
              <w:top w:val="single" w:sz="4" w:space="0" w:color="F79646" w:themeColor="accent6"/>
            </w:tcBorders>
            <w:shd w:val="clear" w:color="auto" w:fill="auto"/>
            <w:vAlign w:val="center"/>
          </w:tcPr>
          <w:p w14:paraId="452C3358" w14:textId="709B34AA" w:rsidR="001739D2" w:rsidRPr="00E20D21" w:rsidRDefault="00013FE2" w:rsidP="0071057F">
            <w:pPr>
              <w:jc w:val="center"/>
              <w:rPr>
                <w:rFonts w:ascii="CAIXA Std Book" w:hAnsi="CAIXA Std Book" w:cs="Arial"/>
                <w:color w:val="005CA9"/>
                <w:sz w:val="18"/>
                <w:szCs w:val="18"/>
              </w:rPr>
            </w:pPr>
            <w:r w:rsidRPr="00E20D21">
              <w:rPr>
                <w:rFonts w:ascii="CAIXA Std Book" w:hAnsi="CAIXA Std Book" w:cs="Arial"/>
                <w:b/>
                <w:color w:val="005CA9"/>
                <w:sz w:val="18"/>
                <w:szCs w:val="18"/>
              </w:rPr>
              <w:t>Descrição</w:t>
            </w:r>
          </w:p>
        </w:tc>
        <w:tc>
          <w:tcPr>
            <w:tcW w:w="956" w:type="pct"/>
            <w:tcBorders>
              <w:top w:val="single" w:sz="4" w:space="0" w:color="F79646" w:themeColor="accent6"/>
              <w:bottom w:val="single" w:sz="4" w:space="0" w:color="F79646" w:themeColor="accent6"/>
            </w:tcBorders>
            <w:shd w:val="clear" w:color="auto" w:fill="auto"/>
            <w:vAlign w:val="center"/>
          </w:tcPr>
          <w:p w14:paraId="22E345B9" w14:textId="77777777" w:rsidR="001739D2" w:rsidRPr="00E20D21" w:rsidRDefault="001739D2" w:rsidP="0071057F">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2024</w:t>
            </w:r>
          </w:p>
        </w:tc>
        <w:tc>
          <w:tcPr>
            <w:tcW w:w="954" w:type="pct"/>
            <w:tcBorders>
              <w:top w:val="single" w:sz="4" w:space="0" w:color="F79646" w:themeColor="accent6"/>
              <w:bottom w:val="single" w:sz="4" w:space="0" w:color="F79646" w:themeColor="accent6"/>
            </w:tcBorders>
            <w:shd w:val="clear" w:color="auto" w:fill="auto"/>
            <w:vAlign w:val="center"/>
          </w:tcPr>
          <w:p w14:paraId="062E4606" w14:textId="4F163B06" w:rsidR="001739D2" w:rsidRPr="00E20D21" w:rsidRDefault="001739D2" w:rsidP="0071057F">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2023</w:t>
            </w:r>
          </w:p>
        </w:tc>
      </w:tr>
      <w:tr w:rsidR="001739D2" w:rsidRPr="00E20D21" w14:paraId="42B977B1" w14:textId="77777777" w:rsidTr="007B7477">
        <w:trPr>
          <w:trHeight w:val="283"/>
        </w:trPr>
        <w:tc>
          <w:tcPr>
            <w:tcW w:w="3090" w:type="pct"/>
            <w:vMerge/>
            <w:tcBorders>
              <w:bottom w:val="single" w:sz="4" w:space="0" w:color="F79646" w:themeColor="accent6"/>
            </w:tcBorders>
            <w:shd w:val="clear" w:color="auto" w:fill="auto"/>
            <w:vAlign w:val="center"/>
          </w:tcPr>
          <w:p w14:paraId="2460C6E1" w14:textId="3E3683F9" w:rsidR="001739D2" w:rsidRPr="00E20D21" w:rsidRDefault="001739D2" w:rsidP="0071057F">
            <w:pPr>
              <w:jc w:val="center"/>
              <w:rPr>
                <w:rFonts w:ascii="CAIXA Std Book" w:hAnsi="CAIXA Std Book" w:cs="Arial"/>
                <w:color w:val="005CA9"/>
                <w:sz w:val="18"/>
                <w:szCs w:val="18"/>
              </w:rPr>
            </w:pPr>
          </w:p>
        </w:tc>
        <w:tc>
          <w:tcPr>
            <w:tcW w:w="956" w:type="pct"/>
            <w:tcBorders>
              <w:top w:val="single" w:sz="4" w:space="0" w:color="F79646" w:themeColor="accent6"/>
              <w:bottom w:val="single" w:sz="4" w:space="0" w:color="F79646" w:themeColor="accent6"/>
            </w:tcBorders>
            <w:shd w:val="clear" w:color="auto" w:fill="auto"/>
            <w:vAlign w:val="center"/>
          </w:tcPr>
          <w:p w14:paraId="3D430F46" w14:textId="77777777" w:rsidR="001739D2" w:rsidRPr="00E20D21" w:rsidRDefault="001739D2" w:rsidP="0071057F">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1º semestre</w:t>
            </w:r>
          </w:p>
        </w:tc>
        <w:tc>
          <w:tcPr>
            <w:tcW w:w="954" w:type="pct"/>
            <w:tcBorders>
              <w:top w:val="single" w:sz="4" w:space="0" w:color="F79646" w:themeColor="accent6"/>
              <w:bottom w:val="single" w:sz="4" w:space="0" w:color="F79646" w:themeColor="accent6"/>
            </w:tcBorders>
            <w:shd w:val="clear" w:color="auto" w:fill="auto"/>
            <w:vAlign w:val="center"/>
          </w:tcPr>
          <w:p w14:paraId="54E72669" w14:textId="20BAE72B" w:rsidR="001739D2" w:rsidRPr="00E20D21" w:rsidRDefault="001739D2" w:rsidP="0071057F">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1º semestre</w:t>
            </w:r>
          </w:p>
        </w:tc>
      </w:tr>
      <w:tr w:rsidR="0071057F" w:rsidRPr="00E20D21" w14:paraId="0567F47B" w14:textId="77777777" w:rsidTr="007B7477">
        <w:trPr>
          <w:trHeight w:val="283"/>
        </w:trPr>
        <w:tc>
          <w:tcPr>
            <w:tcW w:w="3090" w:type="pct"/>
            <w:tcBorders>
              <w:top w:val="single" w:sz="4" w:space="0" w:color="F79646" w:themeColor="accent6"/>
              <w:left w:val="nil"/>
              <w:bottom w:val="nil"/>
              <w:right w:val="nil"/>
            </w:tcBorders>
            <w:shd w:val="clear" w:color="auto" w:fill="auto"/>
            <w:vAlign w:val="center"/>
          </w:tcPr>
          <w:p w14:paraId="60318A34" w14:textId="76398C4E" w:rsidR="0071057F" w:rsidRPr="00E20D21" w:rsidRDefault="0071057F" w:rsidP="0071057F">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Contingências Judiciais</w:t>
            </w:r>
          </w:p>
        </w:tc>
        <w:tc>
          <w:tcPr>
            <w:tcW w:w="956" w:type="pct"/>
            <w:tcBorders>
              <w:top w:val="single" w:sz="4" w:space="0" w:color="F79646" w:themeColor="accent6"/>
              <w:left w:val="nil"/>
              <w:right w:val="nil"/>
            </w:tcBorders>
            <w:shd w:val="clear" w:color="auto" w:fill="auto"/>
            <w:vAlign w:val="center"/>
          </w:tcPr>
          <w:p w14:paraId="66329E1F" w14:textId="1A5F3E6D"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(2.338.189)</w:t>
            </w:r>
          </w:p>
        </w:tc>
        <w:tc>
          <w:tcPr>
            <w:tcW w:w="954" w:type="pct"/>
            <w:tcBorders>
              <w:top w:val="single" w:sz="4" w:space="0" w:color="F79646" w:themeColor="accent6"/>
              <w:left w:val="nil"/>
              <w:right w:val="nil"/>
            </w:tcBorders>
            <w:shd w:val="clear" w:color="auto" w:fill="auto"/>
            <w:vAlign w:val="center"/>
          </w:tcPr>
          <w:p w14:paraId="1AC151B3" w14:textId="2CF62448"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(2.607.320)</w:t>
            </w:r>
          </w:p>
        </w:tc>
      </w:tr>
      <w:tr w:rsidR="0071057F" w:rsidRPr="00E20D21" w14:paraId="6BB4CCEE" w14:textId="77777777" w:rsidTr="007B7477">
        <w:trPr>
          <w:trHeight w:val="283"/>
        </w:trPr>
        <w:tc>
          <w:tcPr>
            <w:tcW w:w="3090" w:type="pct"/>
            <w:tcBorders>
              <w:top w:val="nil"/>
              <w:left w:val="nil"/>
              <w:bottom w:val="nil"/>
              <w:right w:val="nil"/>
            </w:tcBorders>
            <w:shd w:val="clear" w:color="auto" w:fill="auto"/>
            <w:vAlign w:val="center"/>
          </w:tcPr>
          <w:p w14:paraId="001ACBDC" w14:textId="004DB526" w:rsidR="0071057F" w:rsidRPr="00E20D21" w:rsidRDefault="0071057F" w:rsidP="0071057F">
            <w:pPr>
              <w:ind w:left="209"/>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Trabalhistas</w:t>
            </w:r>
          </w:p>
        </w:tc>
        <w:tc>
          <w:tcPr>
            <w:tcW w:w="956" w:type="pct"/>
            <w:tcBorders>
              <w:left w:val="nil"/>
              <w:right w:val="nil"/>
            </w:tcBorders>
            <w:shd w:val="clear" w:color="auto" w:fill="auto"/>
            <w:vAlign w:val="center"/>
          </w:tcPr>
          <w:p w14:paraId="4D906526" w14:textId="52EA8DA6"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(1.675.874)</w:t>
            </w:r>
          </w:p>
        </w:tc>
        <w:tc>
          <w:tcPr>
            <w:tcW w:w="954" w:type="pct"/>
            <w:tcBorders>
              <w:left w:val="nil"/>
              <w:right w:val="nil"/>
            </w:tcBorders>
            <w:shd w:val="clear" w:color="auto" w:fill="auto"/>
            <w:vAlign w:val="center"/>
          </w:tcPr>
          <w:p w14:paraId="27726C63" w14:textId="565E887B"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(1.660.677)</w:t>
            </w:r>
          </w:p>
        </w:tc>
      </w:tr>
      <w:tr w:rsidR="0071057F" w:rsidRPr="00E20D21" w14:paraId="2E87921E" w14:textId="77777777" w:rsidTr="007B7477">
        <w:trPr>
          <w:trHeight w:val="283"/>
        </w:trPr>
        <w:tc>
          <w:tcPr>
            <w:tcW w:w="3090" w:type="pct"/>
            <w:tcBorders>
              <w:top w:val="nil"/>
              <w:left w:val="nil"/>
              <w:bottom w:val="nil"/>
              <w:right w:val="nil"/>
            </w:tcBorders>
            <w:shd w:val="clear" w:color="auto" w:fill="auto"/>
            <w:vAlign w:val="center"/>
          </w:tcPr>
          <w:p w14:paraId="1226C4CB" w14:textId="41A55B14" w:rsidR="0071057F" w:rsidRPr="00E20D21" w:rsidRDefault="0071057F" w:rsidP="0071057F">
            <w:pPr>
              <w:ind w:left="209"/>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Cíveis</w:t>
            </w:r>
          </w:p>
        </w:tc>
        <w:tc>
          <w:tcPr>
            <w:tcW w:w="956" w:type="pct"/>
            <w:tcBorders>
              <w:left w:val="nil"/>
              <w:right w:val="nil"/>
            </w:tcBorders>
            <w:shd w:val="clear" w:color="auto" w:fill="auto"/>
            <w:vAlign w:val="center"/>
          </w:tcPr>
          <w:p w14:paraId="70CBC4B6" w14:textId="0B490009"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(710.954)</w:t>
            </w:r>
          </w:p>
        </w:tc>
        <w:tc>
          <w:tcPr>
            <w:tcW w:w="954" w:type="pct"/>
            <w:tcBorders>
              <w:left w:val="nil"/>
              <w:right w:val="nil"/>
            </w:tcBorders>
            <w:shd w:val="clear" w:color="auto" w:fill="auto"/>
            <w:vAlign w:val="center"/>
          </w:tcPr>
          <w:p w14:paraId="07143D7D" w14:textId="2E784336"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(898.245)</w:t>
            </w:r>
          </w:p>
        </w:tc>
      </w:tr>
      <w:tr w:rsidR="0071057F" w:rsidRPr="00E20D21" w14:paraId="2A2A8186" w14:textId="77777777" w:rsidTr="007B7477">
        <w:trPr>
          <w:trHeight w:val="283"/>
        </w:trPr>
        <w:tc>
          <w:tcPr>
            <w:tcW w:w="3090" w:type="pct"/>
            <w:tcBorders>
              <w:top w:val="nil"/>
              <w:left w:val="nil"/>
              <w:bottom w:val="nil"/>
              <w:right w:val="nil"/>
            </w:tcBorders>
            <w:shd w:val="clear" w:color="auto" w:fill="auto"/>
            <w:vAlign w:val="center"/>
          </w:tcPr>
          <w:p w14:paraId="21FD5B19" w14:textId="72BD097F" w:rsidR="0071057F" w:rsidRPr="00E20D21" w:rsidRDefault="0071057F" w:rsidP="0071057F">
            <w:pPr>
              <w:ind w:left="209"/>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Fiscais</w:t>
            </w:r>
          </w:p>
        </w:tc>
        <w:tc>
          <w:tcPr>
            <w:tcW w:w="956" w:type="pct"/>
            <w:tcBorders>
              <w:left w:val="nil"/>
              <w:right w:val="nil"/>
            </w:tcBorders>
            <w:shd w:val="clear" w:color="auto" w:fill="auto"/>
            <w:vAlign w:val="center"/>
          </w:tcPr>
          <w:p w14:paraId="5A6F80DC" w14:textId="0A930DDF"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48.639</w:t>
            </w:r>
          </w:p>
        </w:tc>
        <w:tc>
          <w:tcPr>
            <w:tcW w:w="954" w:type="pct"/>
            <w:tcBorders>
              <w:left w:val="nil"/>
              <w:right w:val="nil"/>
            </w:tcBorders>
            <w:shd w:val="clear" w:color="auto" w:fill="auto"/>
            <w:vAlign w:val="center"/>
          </w:tcPr>
          <w:p w14:paraId="1CF6265D" w14:textId="50E7BC3A"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(48.398)</w:t>
            </w:r>
          </w:p>
        </w:tc>
      </w:tr>
      <w:tr w:rsidR="0071057F" w:rsidRPr="00E20D21" w14:paraId="5894B8F1" w14:textId="77777777" w:rsidTr="007B7477">
        <w:trPr>
          <w:trHeight w:val="283"/>
        </w:trPr>
        <w:tc>
          <w:tcPr>
            <w:tcW w:w="3090" w:type="pct"/>
            <w:tcBorders>
              <w:top w:val="nil"/>
              <w:left w:val="nil"/>
              <w:bottom w:val="nil"/>
              <w:right w:val="nil"/>
            </w:tcBorders>
            <w:shd w:val="clear" w:color="auto" w:fill="auto"/>
            <w:vAlign w:val="center"/>
          </w:tcPr>
          <w:p w14:paraId="6528B95D" w14:textId="39244348" w:rsidR="0071057F" w:rsidRPr="00E20D21" w:rsidRDefault="0071057F" w:rsidP="0071057F">
            <w:pPr>
              <w:rPr>
                <w:rFonts w:ascii="CAIXA Std Book" w:eastAsia="Times New Roman" w:hAnsi="CAIXA Std Book" w:cs="Arial"/>
                <w:color w:val="005CA9"/>
                <w:sz w:val="18"/>
                <w:szCs w:val="18"/>
              </w:rPr>
            </w:pPr>
            <w:r w:rsidRPr="00E20D21">
              <w:rPr>
                <w:rFonts w:ascii="CAIXA Std Book" w:eastAsia="Times New Roman" w:hAnsi="CAIXA Std Book" w:cs="Arial"/>
                <w:i/>
                <w:iCs/>
                <w:color w:val="005CA9"/>
                <w:sz w:val="18"/>
                <w:szCs w:val="18"/>
              </w:rPr>
              <w:t>Impairment</w:t>
            </w:r>
            <w:r w:rsidRPr="00E20D21">
              <w:rPr>
                <w:rFonts w:ascii="CAIXA Std Book" w:eastAsia="Times New Roman" w:hAnsi="CAIXA Std Book" w:cs="Arial"/>
                <w:color w:val="005CA9"/>
                <w:sz w:val="18"/>
                <w:szCs w:val="18"/>
              </w:rPr>
              <w:t xml:space="preserve"> valores a receber</w:t>
            </w:r>
          </w:p>
        </w:tc>
        <w:tc>
          <w:tcPr>
            <w:tcW w:w="956" w:type="pct"/>
            <w:tcBorders>
              <w:left w:val="nil"/>
              <w:right w:val="nil"/>
            </w:tcBorders>
            <w:shd w:val="clear" w:color="auto" w:fill="auto"/>
            <w:vAlign w:val="center"/>
          </w:tcPr>
          <w:p w14:paraId="0E786D7E" w14:textId="4687EB1E"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25.748</w:t>
            </w:r>
          </w:p>
        </w:tc>
        <w:tc>
          <w:tcPr>
            <w:tcW w:w="954" w:type="pct"/>
            <w:tcBorders>
              <w:left w:val="nil"/>
              <w:right w:val="nil"/>
            </w:tcBorders>
            <w:shd w:val="clear" w:color="auto" w:fill="auto"/>
            <w:vAlign w:val="center"/>
          </w:tcPr>
          <w:p w14:paraId="4E98D79E" w14:textId="31AAF678" w:rsidR="0071057F" w:rsidRPr="00E20D21" w:rsidRDefault="0071057F" w:rsidP="0071057F">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r>
      <w:tr w:rsidR="0071057F" w:rsidRPr="00E20D21" w14:paraId="2968DF01" w14:textId="77777777" w:rsidTr="007B7477">
        <w:trPr>
          <w:trHeight w:val="283"/>
        </w:trPr>
        <w:tc>
          <w:tcPr>
            <w:tcW w:w="3090" w:type="pct"/>
            <w:tcBorders>
              <w:top w:val="nil"/>
              <w:left w:val="nil"/>
              <w:bottom w:val="nil"/>
              <w:right w:val="nil"/>
            </w:tcBorders>
            <w:shd w:val="clear" w:color="auto" w:fill="auto"/>
            <w:vAlign w:val="center"/>
          </w:tcPr>
          <w:p w14:paraId="5C87C8A5" w14:textId="207A1877" w:rsidR="0071057F" w:rsidRPr="00E20D21" w:rsidRDefault="0071057F" w:rsidP="0071057F">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Fundo de compensação de variações salariais – FCVS</w:t>
            </w:r>
          </w:p>
        </w:tc>
        <w:tc>
          <w:tcPr>
            <w:tcW w:w="956" w:type="pct"/>
            <w:tcBorders>
              <w:left w:val="nil"/>
              <w:right w:val="nil"/>
            </w:tcBorders>
            <w:shd w:val="clear" w:color="auto" w:fill="auto"/>
            <w:vAlign w:val="center"/>
          </w:tcPr>
          <w:p w14:paraId="426658BB" w14:textId="6753C632"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(1.086.016)</w:t>
            </w:r>
          </w:p>
        </w:tc>
        <w:tc>
          <w:tcPr>
            <w:tcW w:w="954" w:type="pct"/>
            <w:tcBorders>
              <w:left w:val="nil"/>
              <w:right w:val="nil"/>
            </w:tcBorders>
            <w:shd w:val="clear" w:color="auto" w:fill="auto"/>
            <w:vAlign w:val="center"/>
          </w:tcPr>
          <w:p w14:paraId="799A2420" w14:textId="15F05337"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(858.512)</w:t>
            </w:r>
          </w:p>
        </w:tc>
      </w:tr>
      <w:tr w:rsidR="0071057F" w:rsidRPr="00E20D21" w14:paraId="5C2CE240" w14:textId="77777777" w:rsidTr="007B7477">
        <w:trPr>
          <w:trHeight w:val="283"/>
        </w:trPr>
        <w:tc>
          <w:tcPr>
            <w:tcW w:w="3090" w:type="pct"/>
            <w:tcBorders>
              <w:top w:val="nil"/>
              <w:left w:val="nil"/>
              <w:bottom w:val="nil"/>
              <w:right w:val="nil"/>
            </w:tcBorders>
            <w:shd w:val="clear" w:color="auto" w:fill="auto"/>
            <w:vAlign w:val="center"/>
          </w:tcPr>
          <w:p w14:paraId="373FFB1C" w14:textId="63499911" w:rsidR="0071057F" w:rsidRPr="00E20D21" w:rsidRDefault="0071057F" w:rsidP="0071057F">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Pré-pagamento – FGTS</w:t>
            </w:r>
          </w:p>
        </w:tc>
        <w:tc>
          <w:tcPr>
            <w:tcW w:w="956" w:type="pct"/>
            <w:tcBorders>
              <w:left w:val="nil"/>
              <w:right w:val="nil"/>
            </w:tcBorders>
            <w:shd w:val="clear" w:color="auto" w:fill="auto"/>
            <w:vAlign w:val="center"/>
          </w:tcPr>
          <w:p w14:paraId="17127724" w14:textId="13E76660"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(78.229)</w:t>
            </w:r>
          </w:p>
        </w:tc>
        <w:tc>
          <w:tcPr>
            <w:tcW w:w="954" w:type="pct"/>
            <w:tcBorders>
              <w:left w:val="nil"/>
              <w:right w:val="nil"/>
            </w:tcBorders>
            <w:shd w:val="clear" w:color="auto" w:fill="auto"/>
            <w:vAlign w:val="center"/>
          </w:tcPr>
          <w:p w14:paraId="1185FC4D" w14:textId="2025534D"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(47.436)</w:t>
            </w:r>
          </w:p>
        </w:tc>
      </w:tr>
      <w:tr w:rsidR="0071057F" w:rsidRPr="00E20D21" w14:paraId="0073979B" w14:textId="77777777" w:rsidTr="007B7477">
        <w:trPr>
          <w:trHeight w:val="283"/>
        </w:trPr>
        <w:tc>
          <w:tcPr>
            <w:tcW w:w="3090" w:type="pct"/>
            <w:tcBorders>
              <w:top w:val="nil"/>
              <w:left w:val="nil"/>
              <w:bottom w:val="nil"/>
              <w:right w:val="nil"/>
            </w:tcBorders>
            <w:shd w:val="clear" w:color="auto" w:fill="auto"/>
            <w:vAlign w:val="center"/>
          </w:tcPr>
          <w:p w14:paraId="40F087A5" w14:textId="0DE62EE9" w:rsidR="0071057F" w:rsidRPr="00E20D21" w:rsidRDefault="0071057F" w:rsidP="0071057F">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Taxa Performance das carteiras adquiridas</w:t>
            </w:r>
          </w:p>
        </w:tc>
        <w:tc>
          <w:tcPr>
            <w:tcW w:w="956" w:type="pct"/>
            <w:tcBorders>
              <w:left w:val="nil"/>
              <w:right w:val="nil"/>
            </w:tcBorders>
            <w:shd w:val="clear" w:color="auto" w:fill="auto"/>
            <w:vAlign w:val="center"/>
          </w:tcPr>
          <w:p w14:paraId="06FABB80" w14:textId="2F4F2E2B"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(36.645)</w:t>
            </w:r>
          </w:p>
        </w:tc>
        <w:tc>
          <w:tcPr>
            <w:tcW w:w="954" w:type="pct"/>
            <w:tcBorders>
              <w:left w:val="nil"/>
              <w:right w:val="nil"/>
            </w:tcBorders>
            <w:shd w:val="clear" w:color="auto" w:fill="auto"/>
            <w:vAlign w:val="center"/>
          </w:tcPr>
          <w:p w14:paraId="52256A80" w14:textId="158A55BF"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(57.057)</w:t>
            </w:r>
          </w:p>
        </w:tc>
      </w:tr>
      <w:tr w:rsidR="0071057F" w:rsidRPr="00E20D21" w14:paraId="5FFC150C" w14:textId="77777777" w:rsidTr="007B7477">
        <w:trPr>
          <w:trHeight w:val="283"/>
        </w:trPr>
        <w:tc>
          <w:tcPr>
            <w:tcW w:w="3090" w:type="pct"/>
            <w:tcBorders>
              <w:top w:val="nil"/>
              <w:left w:val="nil"/>
              <w:bottom w:val="nil"/>
              <w:right w:val="nil"/>
            </w:tcBorders>
            <w:shd w:val="clear" w:color="auto" w:fill="auto"/>
            <w:vAlign w:val="center"/>
          </w:tcPr>
          <w:p w14:paraId="6D8BC662" w14:textId="30209819" w:rsidR="0071057F" w:rsidRPr="00E20D21" w:rsidRDefault="0071057F" w:rsidP="0071057F">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Garantias financeiras prestadas</w:t>
            </w:r>
          </w:p>
        </w:tc>
        <w:tc>
          <w:tcPr>
            <w:tcW w:w="956" w:type="pct"/>
            <w:tcBorders>
              <w:left w:val="nil"/>
              <w:right w:val="nil"/>
            </w:tcBorders>
            <w:shd w:val="clear" w:color="auto" w:fill="auto"/>
            <w:vAlign w:val="center"/>
          </w:tcPr>
          <w:p w14:paraId="38781437" w14:textId="0BAAF16E"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16.817</w:t>
            </w:r>
          </w:p>
        </w:tc>
        <w:tc>
          <w:tcPr>
            <w:tcW w:w="954" w:type="pct"/>
            <w:tcBorders>
              <w:left w:val="nil"/>
              <w:right w:val="nil"/>
            </w:tcBorders>
            <w:shd w:val="clear" w:color="auto" w:fill="auto"/>
            <w:vAlign w:val="center"/>
          </w:tcPr>
          <w:p w14:paraId="251CE14D" w14:textId="18D59909"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(13.211)</w:t>
            </w:r>
          </w:p>
        </w:tc>
      </w:tr>
      <w:tr w:rsidR="0071057F" w:rsidRPr="00E20D21" w14:paraId="3677240D" w14:textId="77777777" w:rsidTr="007B7477">
        <w:trPr>
          <w:trHeight w:val="283"/>
        </w:trPr>
        <w:tc>
          <w:tcPr>
            <w:tcW w:w="3090" w:type="pct"/>
            <w:tcBorders>
              <w:top w:val="nil"/>
              <w:left w:val="nil"/>
              <w:bottom w:val="nil"/>
              <w:right w:val="nil"/>
            </w:tcBorders>
            <w:shd w:val="clear" w:color="auto" w:fill="auto"/>
            <w:vAlign w:val="center"/>
          </w:tcPr>
          <w:p w14:paraId="64C05189" w14:textId="1884D039" w:rsidR="0071057F" w:rsidRPr="00E20D21" w:rsidRDefault="0071057F" w:rsidP="0071057F">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Outras (</w:t>
            </w:r>
            <w:r w:rsidR="00740D4A" w:rsidRPr="00E20D21">
              <w:rPr>
                <w:rFonts w:ascii="CAIXA Std Book" w:eastAsia="Times New Roman" w:hAnsi="CAIXA Std Book" w:cs="Arial"/>
                <w:color w:val="005CA9"/>
                <w:sz w:val="18"/>
                <w:szCs w:val="18"/>
              </w:rPr>
              <w:t>1</w:t>
            </w:r>
            <w:r w:rsidRPr="00E20D21">
              <w:rPr>
                <w:rFonts w:ascii="CAIXA Std Book" w:eastAsia="Times New Roman" w:hAnsi="CAIXA Std Book" w:cs="Arial"/>
                <w:color w:val="005CA9"/>
                <w:sz w:val="18"/>
                <w:szCs w:val="18"/>
              </w:rPr>
              <w:t>)</w:t>
            </w:r>
            <w:r w:rsidR="008242E4" w:rsidRPr="00E20D21">
              <w:rPr>
                <w:rFonts w:ascii="CAIXA Std Book" w:eastAsia="Times New Roman" w:hAnsi="CAIXA Std Book" w:cs="Arial"/>
                <w:color w:val="005CA9"/>
                <w:sz w:val="18"/>
                <w:szCs w:val="18"/>
              </w:rPr>
              <w:t xml:space="preserve"> (2)</w:t>
            </w:r>
          </w:p>
        </w:tc>
        <w:tc>
          <w:tcPr>
            <w:tcW w:w="956" w:type="pct"/>
            <w:tcBorders>
              <w:left w:val="nil"/>
              <w:right w:val="nil"/>
            </w:tcBorders>
            <w:shd w:val="clear" w:color="auto" w:fill="auto"/>
            <w:vAlign w:val="center"/>
          </w:tcPr>
          <w:p w14:paraId="5E2569E1" w14:textId="37FCB937" w:rsidR="0071057F" w:rsidRPr="00E20D21" w:rsidRDefault="008030E8" w:rsidP="0071057F">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25.199</w:t>
            </w:r>
          </w:p>
        </w:tc>
        <w:tc>
          <w:tcPr>
            <w:tcW w:w="954" w:type="pct"/>
            <w:tcBorders>
              <w:left w:val="nil"/>
              <w:right w:val="nil"/>
            </w:tcBorders>
            <w:shd w:val="clear" w:color="auto" w:fill="auto"/>
            <w:vAlign w:val="center"/>
          </w:tcPr>
          <w:p w14:paraId="18880D69" w14:textId="077D56C1"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color w:val="005CA9"/>
                <w:sz w:val="18"/>
                <w:szCs w:val="18"/>
              </w:rPr>
              <w:t>428.293</w:t>
            </w:r>
          </w:p>
        </w:tc>
      </w:tr>
      <w:tr w:rsidR="0071057F" w:rsidRPr="00E20D21" w14:paraId="3FC3FD3B" w14:textId="77777777" w:rsidTr="007B7477">
        <w:trPr>
          <w:trHeight w:val="283"/>
        </w:trPr>
        <w:tc>
          <w:tcPr>
            <w:tcW w:w="3090" w:type="pct"/>
            <w:tcBorders>
              <w:top w:val="single" w:sz="4" w:space="0" w:color="F79646" w:themeColor="accent6"/>
              <w:bottom w:val="single" w:sz="4" w:space="0" w:color="F79646" w:themeColor="accent6"/>
            </w:tcBorders>
            <w:shd w:val="clear" w:color="auto" w:fill="auto"/>
            <w:vAlign w:val="center"/>
          </w:tcPr>
          <w:p w14:paraId="439A2D51" w14:textId="03206BB6" w:rsidR="00013FE2" w:rsidRPr="00E20D21" w:rsidRDefault="008030E8" w:rsidP="007B7477">
            <w:pPr>
              <w:rPr>
                <w:rFonts w:ascii="CAIXA Std Book" w:hAnsi="CAIXA Std Book" w:cs="Arial"/>
                <w:color w:val="005CA9"/>
                <w:sz w:val="18"/>
                <w:szCs w:val="18"/>
              </w:rPr>
            </w:pPr>
            <w:r w:rsidRPr="00E20D21">
              <w:rPr>
                <w:rFonts w:ascii="CAIXA Std Book" w:hAnsi="CAIXA Std Book" w:cs="Arial"/>
                <w:b/>
                <w:color w:val="005CA9"/>
                <w:sz w:val="18"/>
                <w:szCs w:val="18"/>
              </w:rPr>
              <w:t>T</w:t>
            </w:r>
            <w:r w:rsidRPr="00E20D21">
              <w:rPr>
                <w:rFonts w:ascii="CAIXA Std Book" w:eastAsia="Times New Roman" w:hAnsi="CAIXA Std Book" w:cs="Arial"/>
                <w:b/>
                <w:color w:val="005CA9"/>
                <w:sz w:val="18"/>
                <w:szCs w:val="18"/>
              </w:rPr>
              <w:t>otal</w:t>
            </w:r>
          </w:p>
        </w:tc>
        <w:tc>
          <w:tcPr>
            <w:tcW w:w="956" w:type="pct"/>
            <w:tcBorders>
              <w:top w:val="single" w:sz="4" w:space="0" w:color="F79646" w:themeColor="accent6"/>
              <w:bottom w:val="single" w:sz="4" w:space="0" w:color="F79646" w:themeColor="accent6"/>
            </w:tcBorders>
            <w:shd w:val="clear" w:color="auto" w:fill="auto"/>
            <w:vAlign w:val="center"/>
          </w:tcPr>
          <w:p w14:paraId="51258886" w14:textId="3E57C36D" w:rsidR="008030E8" w:rsidRPr="00E20D21" w:rsidRDefault="008030E8" w:rsidP="008030E8">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(3.471.315)</w:t>
            </w:r>
          </w:p>
        </w:tc>
        <w:tc>
          <w:tcPr>
            <w:tcW w:w="954" w:type="pct"/>
            <w:tcBorders>
              <w:top w:val="single" w:sz="4" w:space="0" w:color="F79646" w:themeColor="accent6"/>
              <w:bottom w:val="single" w:sz="4" w:space="0" w:color="F79646" w:themeColor="accent6"/>
            </w:tcBorders>
            <w:shd w:val="clear" w:color="auto" w:fill="auto"/>
            <w:vAlign w:val="center"/>
          </w:tcPr>
          <w:p w14:paraId="0CD76ED8" w14:textId="0C950940" w:rsidR="0071057F" w:rsidRPr="00E20D21" w:rsidRDefault="0071057F" w:rsidP="0071057F">
            <w:pPr>
              <w:jc w:val="right"/>
              <w:rPr>
                <w:rFonts w:ascii="CAIXA Std Book" w:hAnsi="CAIXA Std Book" w:cs="Arial"/>
                <w:color w:val="005CA9"/>
                <w:sz w:val="18"/>
                <w:szCs w:val="18"/>
              </w:rPr>
            </w:pPr>
            <w:r w:rsidRPr="00E20D21">
              <w:rPr>
                <w:rFonts w:ascii="CAIXA Std Book" w:eastAsia="Times New Roman" w:hAnsi="CAIXA Std Book" w:cs="Arial"/>
                <w:b/>
                <w:bCs/>
                <w:color w:val="005CA9"/>
                <w:sz w:val="18"/>
                <w:szCs w:val="18"/>
              </w:rPr>
              <w:t>(3.155.243)</w:t>
            </w:r>
          </w:p>
        </w:tc>
      </w:tr>
    </w:tbl>
    <w:p w14:paraId="6C6AFD86" w14:textId="4A80CF3B" w:rsidR="000D6335" w:rsidRPr="00E20D21" w:rsidRDefault="00912C50" w:rsidP="00221C0B">
      <w:pPr>
        <w:pStyle w:val="Default0"/>
        <w:ind w:right="139"/>
        <w:jc w:val="both"/>
        <w:rPr>
          <w:rFonts w:ascii="CAIXA Std Book" w:hAnsi="CAIXA Std Book"/>
          <w:color w:val="005CA9"/>
          <w:sz w:val="16"/>
          <w:szCs w:val="16"/>
        </w:rPr>
      </w:pPr>
      <w:r w:rsidRPr="00E20D21">
        <w:rPr>
          <w:rFonts w:ascii="CAIXA Std Book" w:hAnsi="CAIXA Std Book"/>
          <w:color w:val="005CA9"/>
          <w:sz w:val="16"/>
          <w:szCs w:val="16"/>
        </w:rPr>
        <w:t>(</w:t>
      </w:r>
      <w:r w:rsidR="008E5590" w:rsidRPr="00E20D21">
        <w:rPr>
          <w:rFonts w:ascii="CAIXA Std Book" w:hAnsi="CAIXA Std Book"/>
          <w:color w:val="005CA9"/>
          <w:sz w:val="16"/>
          <w:szCs w:val="16"/>
        </w:rPr>
        <w:t>1</w:t>
      </w:r>
      <w:r w:rsidR="00B03004" w:rsidRPr="00E20D21">
        <w:rPr>
          <w:rFonts w:ascii="CAIXA Std Book" w:hAnsi="CAIXA Std Book"/>
          <w:color w:val="005CA9"/>
          <w:sz w:val="16"/>
          <w:szCs w:val="16"/>
        </w:rPr>
        <w:t xml:space="preserve">) Inclui a reversão de provisão administrativa, restos </w:t>
      </w:r>
      <w:proofErr w:type="gramStart"/>
      <w:r w:rsidR="00B03004" w:rsidRPr="00E20D21">
        <w:rPr>
          <w:rFonts w:ascii="CAIXA Std Book" w:hAnsi="CAIXA Std Book"/>
          <w:color w:val="005CA9"/>
          <w:sz w:val="16"/>
          <w:szCs w:val="16"/>
        </w:rPr>
        <w:t>à</w:t>
      </w:r>
      <w:proofErr w:type="gramEnd"/>
      <w:r w:rsidR="00B03004" w:rsidRPr="00E20D21">
        <w:rPr>
          <w:rFonts w:ascii="CAIXA Std Book" w:hAnsi="CAIXA Std Book"/>
          <w:color w:val="005CA9"/>
          <w:sz w:val="16"/>
          <w:szCs w:val="16"/>
        </w:rPr>
        <w:t xml:space="preserve"> pagar e custos relativos a manutenção de imóveis</w:t>
      </w:r>
      <w:r w:rsidR="001B4CB2" w:rsidRPr="00E20D21">
        <w:rPr>
          <w:rFonts w:ascii="CAIXA Std Book" w:hAnsi="CAIXA Std Book"/>
          <w:color w:val="005CA9"/>
          <w:sz w:val="16"/>
          <w:szCs w:val="16"/>
        </w:rPr>
        <w:t>.</w:t>
      </w:r>
    </w:p>
    <w:p w14:paraId="46872DE9" w14:textId="26B52976" w:rsidR="008242E4" w:rsidRPr="00E20D21" w:rsidRDefault="008242E4" w:rsidP="00DC440C">
      <w:pPr>
        <w:pStyle w:val="Default0"/>
        <w:ind w:right="-2"/>
        <w:jc w:val="both"/>
        <w:rPr>
          <w:rFonts w:ascii="CAIXA Std Book" w:hAnsi="CAIXA Std Book"/>
          <w:color w:val="005CA9"/>
          <w:sz w:val="16"/>
          <w:szCs w:val="16"/>
        </w:rPr>
      </w:pPr>
      <w:r w:rsidRPr="00E20D21">
        <w:rPr>
          <w:rFonts w:ascii="CAIXA Std Book" w:hAnsi="CAIXA Std Book"/>
          <w:color w:val="005CA9"/>
          <w:sz w:val="16"/>
          <w:szCs w:val="16"/>
        </w:rPr>
        <w:t>(2) Variação decorre, principalmente, da reversão da provisão de PLR constituída</w:t>
      </w:r>
      <w:r w:rsidR="00DC440C" w:rsidRPr="00E20D21">
        <w:rPr>
          <w:rFonts w:ascii="CAIXA Std Book" w:hAnsi="CAIXA Std Book"/>
          <w:color w:val="005CA9"/>
          <w:sz w:val="16"/>
          <w:szCs w:val="16"/>
        </w:rPr>
        <w:t xml:space="preserve"> a maior considerando os pagamentos realizados aos empregados.</w:t>
      </w:r>
    </w:p>
    <w:p w14:paraId="2986F97B" w14:textId="71070B68" w:rsidR="008A03DB" w:rsidRPr="00E20D21" w:rsidRDefault="007B7477">
      <w:pPr>
        <w:rPr>
          <w:rFonts w:ascii="CAIXA Std Book" w:hAnsi="CAIXA Std Book" w:cs="Cambria Math"/>
          <w:color w:val="005CA9"/>
          <w:sz w:val="16"/>
          <w:szCs w:val="16"/>
        </w:rPr>
      </w:pPr>
      <w:r w:rsidRPr="00E20D21">
        <w:rPr>
          <w:rFonts w:ascii="CAIXA Std Book" w:hAnsi="CAIXA Std Book"/>
          <w:color w:val="005CA9"/>
          <w:sz w:val="16"/>
          <w:szCs w:val="16"/>
        </w:rPr>
        <w:br w:type="page"/>
      </w:r>
    </w:p>
    <w:p w14:paraId="3A64CD40" w14:textId="08E88AB7" w:rsidR="00814F49" w:rsidRPr="00E20D21" w:rsidRDefault="00814F49" w:rsidP="00FD7768">
      <w:pPr>
        <w:pStyle w:val="Ttulo1"/>
      </w:pPr>
      <w:bookmarkStart w:id="94" w:name="_Toc175067971"/>
      <w:r w:rsidRPr="00E20D21">
        <w:lastRenderedPageBreak/>
        <w:t>Nota 31 – Resultado não operacional</w:t>
      </w:r>
      <w:bookmarkEnd w:id="94"/>
    </w:p>
    <w:tbl>
      <w:tblPr>
        <w:tblW w:w="5000" w:type="pct"/>
        <w:tblCellMar>
          <w:left w:w="70" w:type="dxa"/>
          <w:right w:w="70" w:type="dxa"/>
        </w:tblCellMar>
        <w:tblLook w:val="04A0" w:firstRow="1" w:lastRow="0" w:firstColumn="1" w:lastColumn="0" w:noHBand="0" w:noVBand="1"/>
      </w:tblPr>
      <w:tblGrid>
        <w:gridCol w:w="4262"/>
        <w:gridCol w:w="1345"/>
        <w:gridCol w:w="1345"/>
        <w:gridCol w:w="1345"/>
        <w:gridCol w:w="1340"/>
      </w:tblGrid>
      <w:tr w:rsidR="003915BB" w:rsidRPr="00E20D21" w14:paraId="390C93A6" w14:textId="77777777" w:rsidTr="006901B1">
        <w:trPr>
          <w:trHeight w:val="283"/>
        </w:trPr>
        <w:tc>
          <w:tcPr>
            <w:tcW w:w="2211" w:type="pct"/>
            <w:vMerge w:val="restart"/>
            <w:tcBorders>
              <w:top w:val="single" w:sz="4" w:space="0" w:color="F79646"/>
              <w:left w:val="nil"/>
              <w:right w:val="nil"/>
            </w:tcBorders>
            <w:vAlign w:val="center"/>
          </w:tcPr>
          <w:p w14:paraId="553CD27E" w14:textId="77777777" w:rsidR="003915BB" w:rsidRPr="00E20D21" w:rsidRDefault="003915BB" w:rsidP="003915B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396" w:type="pct"/>
            <w:gridSpan w:val="2"/>
            <w:tcBorders>
              <w:top w:val="single" w:sz="4" w:space="0" w:color="F79646"/>
              <w:left w:val="nil"/>
              <w:bottom w:val="single" w:sz="4" w:space="0" w:color="F79646"/>
              <w:right w:val="nil"/>
            </w:tcBorders>
            <w:shd w:val="clear" w:color="auto" w:fill="auto"/>
            <w:vAlign w:val="center"/>
          </w:tcPr>
          <w:p w14:paraId="19640CCF"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393" w:type="pct"/>
            <w:gridSpan w:val="2"/>
            <w:tcBorders>
              <w:top w:val="single" w:sz="4" w:space="0" w:color="F79646"/>
              <w:left w:val="nil"/>
              <w:bottom w:val="single" w:sz="4" w:space="0" w:color="F79646"/>
              <w:right w:val="nil"/>
            </w:tcBorders>
            <w:shd w:val="clear" w:color="auto" w:fill="auto"/>
            <w:vAlign w:val="center"/>
          </w:tcPr>
          <w:p w14:paraId="2E4C1D4B"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3915BB" w:rsidRPr="00E20D21" w14:paraId="6419F0C1" w14:textId="77777777" w:rsidTr="006901B1">
        <w:trPr>
          <w:trHeight w:val="283"/>
        </w:trPr>
        <w:tc>
          <w:tcPr>
            <w:tcW w:w="2211" w:type="pct"/>
            <w:vMerge/>
            <w:tcBorders>
              <w:left w:val="nil"/>
              <w:right w:val="nil"/>
            </w:tcBorders>
            <w:shd w:val="clear" w:color="auto" w:fill="auto"/>
            <w:vAlign w:val="center"/>
            <w:hideMark/>
          </w:tcPr>
          <w:p w14:paraId="32891322" w14:textId="77777777" w:rsidR="003915BB" w:rsidRPr="00E20D21" w:rsidRDefault="003915BB" w:rsidP="001A1D35">
            <w:pPr>
              <w:jc w:val="center"/>
              <w:rPr>
                <w:rFonts w:ascii="CAIXA Std Book" w:eastAsia="Times New Roman" w:hAnsi="CAIXA Std Book" w:cs="Arial"/>
                <w:b/>
                <w:bCs/>
                <w:color w:val="005CA9"/>
                <w:sz w:val="18"/>
                <w:szCs w:val="18"/>
              </w:rPr>
            </w:pPr>
          </w:p>
        </w:tc>
        <w:tc>
          <w:tcPr>
            <w:tcW w:w="698" w:type="pct"/>
            <w:tcBorders>
              <w:top w:val="single" w:sz="4" w:space="0" w:color="F79646"/>
              <w:left w:val="nil"/>
              <w:bottom w:val="single" w:sz="4" w:space="0" w:color="F79646"/>
              <w:right w:val="nil"/>
            </w:tcBorders>
            <w:vAlign w:val="center"/>
          </w:tcPr>
          <w:p w14:paraId="4FAFD24C"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98" w:type="pct"/>
            <w:tcBorders>
              <w:top w:val="single" w:sz="4" w:space="0" w:color="F79646"/>
              <w:left w:val="nil"/>
              <w:bottom w:val="single" w:sz="4" w:space="0" w:color="F79646"/>
              <w:right w:val="nil"/>
            </w:tcBorders>
            <w:vAlign w:val="center"/>
          </w:tcPr>
          <w:p w14:paraId="27238A5F"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698" w:type="pct"/>
            <w:tcBorders>
              <w:top w:val="single" w:sz="4" w:space="0" w:color="F79646"/>
              <w:left w:val="nil"/>
              <w:bottom w:val="single" w:sz="4" w:space="0" w:color="F79646"/>
              <w:right w:val="nil"/>
            </w:tcBorders>
            <w:shd w:val="clear" w:color="auto" w:fill="auto"/>
            <w:vAlign w:val="center"/>
            <w:hideMark/>
          </w:tcPr>
          <w:p w14:paraId="19803368"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95" w:type="pct"/>
            <w:tcBorders>
              <w:top w:val="single" w:sz="4" w:space="0" w:color="F79646"/>
              <w:left w:val="nil"/>
              <w:bottom w:val="single" w:sz="4" w:space="0" w:color="F79646"/>
              <w:right w:val="nil"/>
            </w:tcBorders>
            <w:shd w:val="clear" w:color="auto" w:fill="auto"/>
            <w:vAlign w:val="center"/>
          </w:tcPr>
          <w:p w14:paraId="6640EEE7"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3915BB" w:rsidRPr="00E20D21" w14:paraId="5C90E65E" w14:textId="77777777" w:rsidTr="006901B1">
        <w:trPr>
          <w:trHeight w:val="283"/>
        </w:trPr>
        <w:tc>
          <w:tcPr>
            <w:tcW w:w="2211" w:type="pct"/>
            <w:vMerge/>
            <w:tcBorders>
              <w:left w:val="nil"/>
              <w:bottom w:val="single" w:sz="4" w:space="0" w:color="F79646"/>
              <w:right w:val="nil"/>
            </w:tcBorders>
            <w:vAlign w:val="center"/>
            <w:hideMark/>
          </w:tcPr>
          <w:p w14:paraId="5235F7F9" w14:textId="77777777" w:rsidR="003915BB" w:rsidRPr="00E20D21" w:rsidRDefault="003915BB" w:rsidP="001A1D35">
            <w:pPr>
              <w:rPr>
                <w:rFonts w:ascii="CAIXA Std Book" w:eastAsia="Times New Roman" w:hAnsi="CAIXA Std Book" w:cs="Arial"/>
                <w:b/>
                <w:bCs/>
                <w:color w:val="005CA9"/>
                <w:sz w:val="18"/>
                <w:szCs w:val="18"/>
              </w:rPr>
            </w:pPr>
          </w:p>
        </w:tc>
        <w:tc>
          <w:tcPr>
            <w:tcW w:w="698" w:type="pct"/>
            <w:tcBorders>
              <w:top w:val="nil"/>
              <w:left w:val="nil"/>
              <w:bottom w:val="single" w:sz="4" w:space="0" w:color="F79646"/>
              <w:right w:val="nil"/>
            </w:tcBorders>
            <w:vAlign w:val="center"/>
          </w:tcPr>
          <w:p w14:paraId="7B76FFD1"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98" w:type="pct"/>
            <w:tcBorders>
              <w:top w:val="nil"/>
              <w:left w:val="nil"/>
              <w:bottom w:val="single" w:sz="4" w:space="0" w:color="F79646"/>
              <w:right w:val="nil"/>
            </w:tcBorders>
            <w:vAlign w:val="center"/>
          </w:tcPr>
          <w:p w14:paraId="1F40F881"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98" w:type="pct"/>
            <w:tcBorders>
              <w:top w:val="nil"/>
              <w:left w:val="nil"/>
              <w:bottom w:val="single" w:sz="4" w:space="0" w:color="F79646"/>
              <w:right w:val="nil"/>
            </w:tcBorders>
            <w:shd w:val="clear" w:color="auto" w:fill="auto"/>
            <w:vAlign w:val="center"/>
          </w:tcPr>
          <w:p w14:paraId="1A8A1ED8"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95" w:type="pct"/>
            <w:tcBorders>
              <w:top w:val="nil"/>
              <w:left w:val="nil"/>
              <w:bottom w:val="single" w:sz="4" w:space="0" w:color="F79646"/>
              <w:right w:val="nil"/>
            </w:tcBorders>
            <w:shd w:val="clear" w:color="auto" w:fill="auto"/>
            <w:vAlign w:val="center"/>
          </w:tcPr>
          <w:p w14:paraId="3FCDFDDD" w14:textId="77777777" w:rsidR="003915BB" w:rsidRPr="00E20D21" w:rsidRDefault="003915BB" w:rsidP="001A1D3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7F7031" w:rsidRPr="00E20D21" w14:paraId="0A2F8F30" w14:textId="77777777" w:rsidTr="006901B1">
        <w:trPr>
          <w:trHeight w:val="283"/>
        </w:trPr>
        <w:tc>
          <w:tcPr>
            <w:tcW w:w="2211" w:type="pct"/>
            <w:tcBorders>
              <w:top w:val="nil"/>
              <w:left w:val="nil"/>
              <w:bottom w:val="nil"/>
              <w:right w:val="nil"/>
            </w:tcBorders>
            <w:shd w:val="clear" w:color="auto" w:fill="auto"/>
            <w:vAlign w:val="center"/>
            <w:hideMark/>
          </w:tcPr>
          <w:p w14:paraId="3DE2913F" w14:textId="3F4DA750" w:rsidR="007F7031" w:rsidRPr="00E20D21" w:rsidRDefault="007F7031" w:rsidP="007F703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Resultado na alienação e baixa de invest. e ativos não financeiros mantidos para venda</w:t>
            </w:r>
          </w:p>
        </w:tc>
        <w:tc>
          <w:tcPr>
            <w:tcW w:w="698" w:type="pct"/>
            <w:tcBorders>
              <w:top w:val="nil"/>
              <w:left w:val="nil"/>
              <w:bottom w:val="nil"/>
              <w:right w:val="nil"/>
            </w:tcBorders>
            <w:vAlign w:val="center"/>
          </w:tcPr>
          <w:p w14:paraId="37EAE359" w14:textId="4D721AD5" w:rsidR="007F7031" w:rsidRPr="00E20D21" w:rsidRDefault="00C92DFA"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164.411</w:t>
            </w:r>
          </w:p>
        </w:tc>
        <w:tc>
          <w:tcPr>
            <w:tcW w:w="698" w:type="pct"/>
            <w:tcBorders>
              <w:top w:val="nil"/>
              <w:left w:val="nil"/>
              <w:bottom w:val="nil"/>
              <w:right w:val="nil"/>
            </w:tcBorders>
            <w:vAlign w:val="center"/>
          </w:tcPr>
          <w:p w14:paraId="49208F6B" w14:textId="2342C878" w:rsidR="007F7031" w:rsidRPr="00E20D21" w:rsidRDefault="007F7031"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(72.915)</w:t>
            </w:r>
          </w:p>
        </w:tc>
        <w:tc>
          <w:tcPr>
            <w:tcW w:w="698" w:type="pct"/>
            <w:tcBorders>
              <w:top w:val="nil"/>
              <w:left w:val="nil"/>
              <w:bottom w:val="nil"/>
              <w:right w:val="nil"/>
            </w:tcBorders>
            <w:shd w:val="clear" w:color="auto" w:fill="auto"/>
            <w:noWrap/>
            <w:vAlign w:val="center"/>
          </w:tcPr>
          <w:p w14:paraId="012ADDA8" w14:textId="4BB6A475" w:rsidR="007F7031" w:rsidRPr="00E20D21" w:rsidRDefault="00CC4239"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164.411</w:t>
            </w:r>
          </w:p>
        </w:tc>
        <w:tc>
          <w:tcPr>
            <w:tcW w:w="695" w:type="pct"/>
            <w:tcBorders>
              <w:top w:val="nil"/>
              <w:left w:val="nil"/>
              <w:bottom w:val="nil"/>
              <w:right w:val="nil"/>
            </w:tcBorders>
            <w:shd w:val="clear" w:color="auto" w:fill="auto"/>
            <w:vAlign w:val="center"/>
          </w:tcPr>
          <w:p w14:paraId="64862B14" w14:textId="35447311" w:rsidR="007F7031" w:rsidRPr="00E20D21" w:rsidRDefault="007F7031"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(72.915)</w:t>
            </w:r>
          </w:p>
        </w:tc>
      </w:tr>
      <w:tr w:rsidR="007F7031" w:rsidRPr="00E20D21" w14:paraId="0027DF25" w14:textId="77777777" w:rsidTr="006901B1">
        <w:trPr>
          <w:trHeight w:val="283"/>
        </w:trPr>
        <w:tc>
          <w:tcPr>
            <w:tcW w:w="2211" w:type="pct"/>
            <w:tcBorders>
              <w:top w:val="nil"/>
              <w:left w:val="nil"/>
              <w:bottom w:val="nil"/>
              <w:right w:val="nil"/>
            </w:tcBorders>
            <w:shd w:val="clear" w:color="auto" w:fill="auto"/>
            <w:vAlign w:val="center"/>
            <w:hideMark/>
          </w:tcPr>
          <w:p w14:paraId="5D94D91C" w14:textId="1685522C" w:rsidR="007F7031" w:rsidRPr="00E20D21" w:rsidRDefault="007F7031" w:rsidP="007F703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Constituição/Reversão de provisões</w:t>
            </w:r>
            <w:r w:rsidR="00420978" w:rsidRPr="00E20D21">
              <w:rPr>
                <w:rFonts w:ascii="CAIXA Std Book" w:eastAsia="Times New Roman" w:hAnsi="CAIXA Std Book" w:cs="Arial"/>
                <w:color w:val="005CA9"/>
                <w:sz w:val="18"/>
                <w:szCs w:val="18"/>
              </w:rPr>
              <w:t xml:space="preserve"> (1)</w:t>
            </w:r>
          </w:p>
        </w:tc>
        <w:tc>
          <w:tcPr>
            <w:tcW w:w="698" w:type="pct"/>
            <w:tcBorders>
              <w:top w:val="nil"/>
              <w:left w:val="nil"/>
              <w:bottom w:val="nil"/>
              <w:right w:val="nil"/>
            </w:tcBorders>
            <w:vAlign w:val="center"/>
          </w:tcPr>
          <w:p w14:paraId="3259FB9D" w14:textId="2D7C4CBA" w:rsidR="007F7031" w:rsidRPr="00E20D21" w:rsidRDefault="00C92DFA"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(102.959)</w:t>
            </w:r>
          </w:p>
        </w:tc>
        <w:tc>
          <w:tcPr>
            <w:tcW w:w="698" w:type="pct"/>
            <w:tcBorders>
              <w:top w:val="nil"/>
              <w:left w:val="nil"/>
              <w:bottom w:val="nil"/>
              <w:right w:val="nil"/>
            </w:tcBorders>
            <w:vAlign w:val="center"/>
          </w:tcPr>
          <w:p w14:paraId="411673DA" w14:textId="54116980" w:rsidR="007F7031" w:rsidRPr="00E20D21" w:rsidRDefault="007F7031"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(58.385)</w:t>
            </w:r>
          </w:p>
        </w:tc>
        <w:tc>
          <w:tcPr>
            <w:tcW w:w="698" w:type="pct"/>
            <w:tcBorders>
              <w:top w:val="nil"/>
              <w:left w:val="nil"/>
              <w:bottom w:val="nil"/>
              <w:right w:val="nil"/>
            </w:tcBorders>
            <w:shd w:val="clear" w:color="auto" w:fill="auto"/>
            <w:noWrap/>
            <w:vAlign w:val="center"/>
          </w:tcPr>
          <w:p w14:paraId="1567466B" w14:textId="38CFF0A6" w:rsidR="007F7031" w:rsidRPr="00E20D21" w:rsidRDefault="00CC4239"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(102.959)</w:t>
            </w:r>
          </w:p>
        </w:tc>
        <w:tc>
          <w:tcPr>
            <w:tcW w:w="695" w:type="pct"/>
            <w:tcBorders>
              <w:top w:val="nil"/>
              <w:left w:val="nil"/>
              <w:bottom w:val="nil"/>
              <w:right w:val="nil"/>
            </w:tcBorders>
            <w:shd w:val="clear" w:color="auto" w:fill="auto"/>
            <w:vAlign w:val="center"/>
          </w:tcPr>
          <w:p w14:paraId="360530A4" w14:textId="1DFF19D6" w:rsidR="007F7031" w:rsidRPr="00E20D21" w:rsidRDefault="007F7031"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(58.385)</w:t>
            </w:r>
          </w:p>
        </w:tc>
      </w:tr>
      <w:tr w:rsidR="007F7031" w:rsidRPr="00E20D21" w14:paraId="477CA618" w14:textId="77777777" w:rsidTr="006901B1">
        <w:trPr>
          <w:trHeight w:val="283"/>
        </w:trPr>
        <w:tc>
          <w:tcPr>
            <w:tcW w:w="2211" w:type="pct"/>
            <w:tcBorders>
              <w:top w:val="nil"/>
              <w:left w:val="nil"/>
              <w:bottom w:val="nil"/>
              <w:right w:val="nil"/>
            </w:tcBorders>
            <w:shd w:val="clear" w:color="auto" w:fill="auto"/>
            <w:vAlign w:val="center"/>
            <w:hideMark/>
          </w:tcPr>
          <w:p w14:paraId="14A84092" w14:textId="1ABBE78C" w:rsidR="007F7031" w:rsidRPr="00E20D21" w:rsidRDefault="007F7031" w:rsidP="007F703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Ganhos e perdas de capital (</w:t>
            </w:r>
            <w:r w:rsidR="00420978" w:rsidRPr="00E20D21">
              <w:rPr>
                <w:rFonts w:ascii="CAIXA Std Book" w:eastAsia="Times New Roman" w:hAnsi="CAIXA Std Book" w:cs="Arial"/>
                <w:color w:val="005CA9"/>
                <w:sz w:val="18"/>
                <w:szCs w:val="18"/>
              </w:rPr>
              <w:t xml:space="preserve">2) </w:t>
            </w:r>
          </w:p>
        </w:tc>
        <w:tc>
          <w:tcPr>
            <w:tcW w:w="698" w:type="pct"/>
            <w:tcBorders>
              <w:top w:val="nil"/>
              <w:left w:val="nil"/>
              <w:bottom w:val="nil"/>
              <w:right w:val="nil"/>
            </w:tcBorders>
            <w:vAlign w:val="center"/>
          </w:tcPr>
          <w:p w14:paraId="15C1E860" w14:textId="149842E8" w:rsidR="007F7031" w:rsidRPr="00E20D21" w:rsidRDefault="00C92DFA"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250.832</w:t>
            </w:r>
          </w:p>
        </w:tc>
        <w:tc>
          <w:tcPr>
            <w:tcW w:w="698" w:type="pct"/>
            <w:tcBorders>
              <w:top w:val="nil"/>
              <w:left w:val="nil"/>
              <w:bottom w:val="nil"/>
              <w:right w:val="nil"/>
            </w:tcBorders>
            <w:vAlign w:val="center"/>
          </w:tcPr>
          <w:p w14:paraId="4AFC69B9" w14:textId="459A3902" w:rsidR="007F7031" w:rsidRPr="00E20D21" w:rsidRDefault="00420978" w:rsidP="00420978">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(22.492)</w:t>
            </w:r>
          </w:p>
        </w:tc>
        <w:tc>
          <w:tcPr>
            <w:tcW w:w="698" w:type="pct"/>
            <w:tcBorders>
              <w:top w:val="nil"/>
              <w:left w:val="nil"/>
              <w:bottom w:val="nil"/>
              <w:right w:val="nil"/>
            </w:tcBorders>
            <w:shd w:val="clear" w:color="auto" w:fill="auto"/>
            <w:noWrap/>
            <w:vAlign w:val="center"/>
          </w:tcPr>
          <w:p w14:paraId="5070A8BE" w14:textId="1C4FE979" w:rsidR="007F7031" w:rsidRPr="00E20D21" w:rsidRDefault="00CC4239"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250.832</w:t>
            </w:r>
          </w:p>
        </w:tc>
        <w:tc>
          <w:tcPr>
            <w:tcW w:w="695" w:type="pct"/>
            <w:tcBorders>
              <w:top w:val="nil"/>
              <w:left w:val="nil"/>
              <w:bottom w:val="nil"/>
              <w:right w:val="nil"/>
            </w:tcBorders>
            <w:shd w:val="clear" w:color="auto" w:fill="auto"/>
            <w:vAlign w:val="center"/>
          </w:tcPr>
          <w:p w14:paraId="0D065878" w14:textId="621BB38B" w:rsidR="007F7031" w:rsidRPr="00E20D21" w:rsidRDefault="00420978"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(22.492)</w:t>
            </w:r>
          </w:p>
        </w:tc>
      </w:tr>
      <w:tr w:rsidR="00420978" w:rsidRPr="00E20D21" w14:paraId="155499D6" w14:textId="77777777" w:rsidTr="006901B1">
        <w:trPr>
          <w:trHeight w:val="283"/>
        </w:trPr>
        <w:tc>
          <w:tcPr>
            <w:tcW w:w="2211" w:type="pct"/>
            <w:tcBorders>
              <w:top w:val="nil"/>
              <w:left w:val="nil"/>
              <w:bottom w:val="nil"/>
              <w:right w:val="nil"/>
            </w:tcBorders>
            <w:shd w:val="clear" w:color="auto" w:fill="auto"/>
            <w:vAlign w:val="center"/>
          </w:tcPr>
          <w:p w14:paraId="584FEA44" w14:textId="7305240C" w:rsidR="00420978" w:rsidRPr="00E20D21" w:rsidRDefault="00420978" w:rsidP="00420978">
            <w:pPr>
              <w:rPr>
                <w:rFonts w:ascii="CAIXA Std Book" w:eastAsia="Times New Roman" w:hAnsi="CAIXA Std Book" w:cs="Arial"/>
                <w:color w:val="005CA9"/>
                <w:sz w:val="18"/>
                <w:szCs w:val="18"/>
              </w:rPr>
            </w:pPr>
            <w:proofErr w:type="spellStart"/>
            <w:r w:rsidRPr="00E20D21">
              <w:rPr>
                <w:rFonts w:ascii="CAIXA Std Book" w:eastAsia="Times New Roman" w:hAnsi="CAIXA Std Book" w:cs="Arial"/>
                <w:color w:val="005CA9"/>
                <w:sz w:val="18"/>
                <w:szCs w:val="18"/>
              </w:rPr>
              <w:t>Remensurações</w:t>
            </w:r>
            <w:proofErr w:type="spellEnd"/>
            <w:r w:rsidRPr="00E20D21">
              <w:rPr>
                <w:rFonts w:ascii="CAIXA Std Book" w:eastAsia="Times New Roman" w:hAnsi="CAIXA Std Book" w:cs="Arial"/>
                <w:color w:val="005CA9"/>
                <w:sz w:val="18"/>
                <w:szCs w:val="18"/>
              </w:rPr>
              <w:t xml:space="preserve"> ao valor justo - participações</w:t>
            </w:r>
          </w:p>
        </w:tc>
        <w:tc>
          <w:tcPr>
            <w:tcW w:w="698" w:type="pct"/>
            <w:tcBorders>
              <w:top w:val="nil"/>
              <w:left w:val="nil"/>
              <w:bottom w:val="nil"/>
              <w:right w:val="nil"/>
            </w:tcBorders>
            <w:vAlign w:val="center"/>
          </w:tcPr>
          <w:p w14:paraId="0CDB0F51" w14:textId="33EFD7FC" w:rsidR="00420978" w:rsidRPr="00E20D21" w:rsidRDefault="00420978" w:rsidP="00420978">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698" w:type="pct"/>
            <w:tcBorders>
              <w:top w:val="nil"/>
              <w:left w:val="nil"/>
              <w:bottom w:val="nil"/>
              <w:right w:val="nil"/>
            </w:tcBorders>
            <w:vAlign w:val="center"/>
          </w:tcPr>
          <w:p w14:paraId="4AE75D62" w14:textId="4889E95A" w:rsidR="00420978" w:rsidRPr="00E20D21" w:rsidRDefault="00420978" w:rsidP="00420978">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698" w:type="pct"/>
            <w:tcBorders>
              <w:top w:val="nil"/>
              <w:left w:val="nil"/>
              <w:bottom w:val="nil"/>
              <w:right w:val="nil"/>
            </w:tcBorders>
            <w:shd w:val="clear" w:color="auto" w:fill="auto"/>
            <w:noWrap/>
            <w:vAlign w:val="center"/>
          </w:tcPr>
          <w:p w14:paraId="28F652F8" w14:textId="40BC8047" w:rsidR="00420978" w:rsidRPr="00E20D21" w:rsidRDefault="00CC4239" w:rsidP="003653F6">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695" w:type="pct"/>
            <w:tcBorders>
              <w:top w:val="nil"/>
              <w:left w:val="nil"/>
              <w:bottom w:val="nil"/>
              <w:right w:val="nil"/>
            </w:tcBorders>
            <w:shd w:val="clear" w:color="auto" w:fill="auto"/>
            <w:vAlign w:val="center"/>
          </w:tcPr>
          <w:p w14:paraId="0CD9A9D2" w14:textId="7173FAC9" w:rsidR="00420978" w:rsidRPr="00E20D21" w:rsidRDefault="00420978" w:rsidP="00420978">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30.680</w:t>
            </w:r>
          </w:p>
        </w:tc>
      </w:tr>
      <w:tr w:rsidR="007F7031" w:rsidRPr="00E20D21" w14:paraId="530FF6BC" w14:textId="77777777" w:rsidTr="006901B1">
        <w:trPr>
          <w:trHeight w:val="283"/>
        </w:trPr>
        <w:tc>
          <w:tcPr>
            <w:tcW w:w="2211" w:type="pct"/>
            <w:tcBorders>
              <w:top w:val="nil"/>
              <w:left w:val="nil"/>
              <w:bottom w:val="nil"/>
              <w:right w:val="nil"/>
            </w:tcBorders>
            <w:shd w:val="clear" w:color="auto" w:fill="auto"/>
            <w:vAlign w:val="center"/>
            <w:hideMark/>
          </w:tcPr>
          <w:p w14:paraId="13FCD0E5" w14:textId="7FF81B73" w:rsidR="007F7031" w:rsidRPr="00E20D21" w:rsidRDefault="007F7031" w:rsidP="007F703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698" w:type="pct"/>
            <w:tcBorders>
              <w:top w:val="nil"/>
              <w:left w:val="nil"/>
              <w:bottom w:val="nil"/>
              <w:right w:val="nil"/>
            </w:tcBorders>
            <w:vAlign w:val="center"/>
          </w:tcPr>
          <w:p w14:paraId="64E6A36D" w14:textId="133DA6B5" w:rsidR="007F7031" w:rsidRPr="00E20D21" w:rsidRDefault="00420978" w:rsidP="00420978">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(169.318)</w:t>
            </w:r>
          </w:p>
        </w:tc>
        <w:tc>
          <w:tcPr>
            <w:tcW w:w="698" w:type="pct"/>
            <w:tcBorders>
              <w:top w:val="nil"/>
              <w:left w:val="nil"/>
              <w:bottom w:val="nil"/>
              <w:right w:val="nil"/>
            </w:tcBorders>
            <w:vAlign w:val="center"/>
          </w:tcPr>
          <w:p w14:paraId="7F187C50" w14:textId="34ACBC23" w:rsidR="007F7031" w:rsidRPr="00E20D21" w:rsidRDefault="00420978"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(63.443)</w:t>
            </w:r>
          </w:p>
        </w:tc>
        <w:tc>
          <w:tcPr>
            <w:tcW w:w="698" w:type="pct"/>
            <w:tcBorders>
              <w:top w:val="nil"/>
              <w:left w:val="nil"/>
              <w:bottom w:val="nil"/>
              <w:right w:val="nil"/>
            </w:tcBorders>
            <w:shd w:val="clear" w:color="auto" w:fill="auto"/>
            <w:noWrap/>
            <w:vAlign w:val="center"/>
          </w:tcPr>
          <w:p w14:paraId="69660298" w14:textId="1A91FBE9" w:rsidR="007F7031" w:rsidRPr="00E20D21" w:rsidRDefault="00CC4239"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(169.318)</w:t>
            </w:r>
          </w:p>
        </w:tc>
        <w:tc>
          <w:tcPr>
            <w:tcW w:w="695" w:type="pct"/>
            <w:tcBorders>
              <w:top w:val="nil"/>
              <w:left w:val="nil"/>
              <w:bottom w:val="nil"/>
              <w:right w:val="nil"/>
            </w:tcBorders>
            <w:shd w:val="clear" w:color="auto" w:fill="auto"/>
            <w:vAlign w:val="center"/>
          </w:tcPr>
          <w:p w14:paraId="097E730A" w14:textId="0A53C2ED" w:rsidR="007F7031" w:rsidRPr="00E20D21" w:rsidRDefault="00420978" w:rsidP="003915BB">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(63.443)</w:t>
            </w:r>
          </w:p>
        </w:tc>
      </w:tr>
      <w:tr w:rsidR="007F7031" w:rsidRPr="00E20D21" w14:paraId="7BEB532D" w14:textId="77777777" w:rsidTr="006901B1">
        <w:trPr>
          <w:trHeight w:val="283"/>
        </w:trPr>
        <w:tc>
          <w:tcPr>
            <w:tcW w:w="2211" w:type="pct"/>
            <w:tcBorders>
              <w:top w:val="single" w:sz="4" w:space="0" w:color="F79646"/>
              <w:left w:val="nil"/>
              <w:bottom w:val="single" w:sz="4" w:space="0" w:color="F79646"/>
              <w:right w:val="nil"/>
            </w:tcBorders>
            <w:shd w:val="clear" w:color="auto" w:fill="auto"/>
            <w:noWrap/>
            <w:vAlign w:val="center"/>
            <w:hideMark/>
          </w:tcPr>
          <w:p w14:paraId="70ACF029" w14:textId="77777777" w:rsidR="007F7031" w:rsidRPr="00E20D21" w:rsidRDefault="007F7031" w:rsidP="007F7031">
            <w:pP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Total</w:t>
            </w:r>
          </w:p>
        </w:tc>
        <w:tc>
          <w:tcPr>
            <w:tcW w:w="698" w:type="pct"/>
            <w:tcBorders>
              <w:top w:val="single" w:sz="4" w:space="0" w:color="F79646"/>
              <w:left w:val="nil"/>
              <w:bottom w:val="single" w:sz="4" w:space="0" w:color="F79646"/>
              <w:right w:val="nil"/>
            </w:tcBorders>
            <w:vAlign w:val="center"/>
          </w:tcPr>
          <w:p w14:paraId="35864B22" w14:textId="3F311E28" w:rsidR="007F7031" w:rsidRPr="00E20D21" w:rsidRDefault="00420978" w:rsidP="003915BB">
            <w:pPr>
              <w:jc w:val="right"/>
              <w:rPr>
                <w:rFonts w:ascii="CAIXA Std Book" w:eastAsia="Times New Roman" w:hAnsi="CAIXA Std Book" w:cs="Arial"/>
                <w:b/>
                <w:color w:val="005CA9"/>
                <w:sz w:val="18"/>
                <w:szCs w:val="18"/>
              </w:rPr>
            </w:pPr>
            <w:r w:rsidRPr="00E20D21">
              <w:rPr>
                <w:rFonts w:ascii="CAIXA Std Book" w:eastAsia="Times New Roman" w:hAnsi="CAIXA Std Book" w:cs="Arial"/>
                <w:b/>
                <w:bCs/>
                <w:color w:val="005CA9"/>
                <w:sz w:val="18"/>
                <w:szCs w:val="18"/>
              </w:rPr>
              <w:t>142.966</w:t>
            </w:r>
          </w:p>
        </w:tc>
        <w:tc>
          <w:tcPr>
            <w:tcW w:w="698" w:type="pct"/>
            <w:tcBorders>
              <w:top w:val="single" w:sz="4" w:space="0" w:color="F79646"/>
              <w:left w:val="nil"/>
              <w:bottom w:val="single" w:sz="4" w:space="0" w:color="F79646"/>
              <w:right w:val="nil"/>
            </w:tcBorders>
            <w:vAlign w:val="center"/>
          </w:tcPr>
          <w:p w14:paraId="7BFD231A" w14:textId="5065ACC3" w:rsidR="007F7031" w:rsidRPr="00E20D21" w:rsidRDefault="007F7031" w:rsidP="003915BB">
            <w:pPr>
              <w:jc w:val="right"/>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(217.235)</w:t>
            </w:r>
          </w:p>
        </w:tc>
        <w:tc>
          <w:tcPr>
            <w:tcW w:w="698" w:type="pct"/>
            <w:tcBorders>
              <w:top w:val="single" w:sz="4" w:space="0" w:color="F79646"/>
              <w:left w:val="nil"/>
              <w:bottom w:val="single" w:sz="4" w:space="0" w:color="F79646"/>
              <w:right w:val="nil"/>
            </w:tcBorders>
            <w:shd w:val="clear" w:color="auto" w:fill="auto"/>
            <w:noWrap/>
            <w:vAlign w:val="center"/>
          </w:tcPr>
          <w:p w14:paraId="39388EC9" w14:textId="6D79E47F" w:rsidR="007F7031" w:rsidRPr="00E20D21" w:rsidRDefault="00CC4239" w:rsidP="003915BB">
            <w:pPr>
              <w:jc w:val="right"/>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142.966</w:t>
            </w:r>
          </w:p>
        </w:tc>
        <w:tc>
          <w:tcPr>
            <w:tcW w:w="695" w:type="pct"/>
            <w:tcBorders>
              <w:top w:val="single" w:sz="4" w:space="0" w:color="F79646"/>
              <w:left w:val="nil"/>
              <w:bottom w:val="single" w:sz="4" w:space="0" w:color="F79646"/>
              <w:right w:val="nil"/>
            </w:tcBorders>
            <w:shd w:val="clear" w:color="auto" w:fill="auto"/>
            <w:noWrap/>
            <w:vAlign w:val="center"/>
          </w:tcPr>
          <w:p w14:paraId="49CA960D" w14:textId="3723F344" w:rsidR="007F7031" w:rsidRPr="00E20D21" w:rsidRDefault="00146134" w:rsidP="003915BB">
            <w:pPr>
              <w:jc w:val="right"/>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(186.555</w:t>
            </w:r>
            <w:r w:rsidR="007F7031" w:rsidRPr="00E20D21">
              <w:rPr>
                <w:rFonts w:ascii="CAIXA Std Book" w:eastAsia="Times New Roman" w:hAnsi="CAIXA Std Book" w:cs="Arial"/>
                <w:b/>
                <w:color w:val="005CA9"/>
                <w:sz w:val="18"/>
                <w:szCs w:val="18"/>
              </w:rPr>
              <w:t>)</w:t>
            </w:r>
          </w:p>
        </w:tc>
      </w:tr>
    </w:tbl>
    <w:p w14:paraId="1E104854" w14:textId="77777777" w:rsidR="004C430F" w:rsidRPr="00E20D21" w:rsidRDefault="004C430F" w:rsidP="004C430F">
      <w:pPr>
        <w:jc w:val="both"/>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(1) Variação decorre, principalmente, da desvalorização de ativos não financeiros mantidos para venda.</w:t>
      </w:r>
    </w:p>
    <w:p w14:paraId="261E429C" w14:textId="25992D70" w:rsidR="00C03090" w:rsidRPr="00E20D21" w:rsidRDefault="004C430F" w:rsidP="004C430F">
      <w:pPr>
        <w:rPr>
          <w:rFonts w:ascii="CAIXA Std Book" w:hAnsi="CAIXA Std Book"/>
          <w:sz w:val="16"/>
          <w:szCs w:val="16"/>
        </w:rPr>
      </w:pPr>
      <w:r w:rsidRPr="00E20D21">
        <w:rPr>
          <w:rFonts w:ascii="CAIXA Std Book" w:eastAsia="Times New Roman" w:hAnsi="CAIXA Std Book" w:cs="Arial"/>
          <w:color w:val="005CA9"/>
          <w:sz w:val="16"/>
          <w:szCs w:val="16"/>
        </w:rPr>
        <w:t>(2) Inclui ganho de capital na baixa por desapropriação de imóvel próprio disponível para venda</w:t>
      </w:r>
      <w:r w:rsidR="005E3704" w:rsidRPr="00E20D21">
        <w:rPr>
          <w:rFonts w:ascii="CAIXA Std Book" w:eastAsia="Times New Roman" w:hAnsi="CAIXA Std Book" w:cs="Arial"/>
          <w:color w:val="005CA9"/>
          <w:sz w:val="14"/>
          <w:szCs w:val="14"/>
        </w:rPr>
        <w:t>.</w:t>
      </w:r>
    </w:p>
    <w:p w14:paraId="25D80E60" w14:textId="1E4F849E" w:rsidR="005E3238" w:rsidRPr="00E20D21" w:rsidRDefault="005E3238" w:rsidP="00FD7768">
      <w:pPr>
        <w:pStyle w:val="Ttulo1"/>
      </w:pPr>
      <w:bookmarkStart w:id="95" w:name="_Toc175067972"/>
      <w:r w:rsidRPr="00E20D21">
        <w:t xml:space="preserve">Nota </w:t>
      </w:r>
      <w:r w:rsidR="002150B1" w:rsidRPr="00E20D21">
        <w:t>3</w:t>
      </w:r>
      <w:r w:rsidR="004917F8" w:rsidRPr="00E20D21">
        <w:t>2</w:t>
      </w:r>
      <w:r w:rsidRPr="00E20D21">
        <w:t xml:space="preserve"> – </w:t>
      </w:r>
      <w:bookmarkEnd w:id="83"/>
      <w:bookmarkEnd w:id="84"/>
      <w:r w:rsidRPr="00E20D21">
        <w:t xml:space="preserve">Partes </w:t>
      </w:r>
      <w:r w:rsidR="007268A4" w:rsidRPr="00E20D21">
        <w:t>r</w:t>
      </w:r>
      <w:r w:rsidRPr="00E20D21">
        <w:t>elacionadas</w:t>
      </w:r>
      <w:bookmarkEnd w:id="85"/>
      <w:bookmarkEnd w:id="95"/>
    </w:p>
    <w:p w14:paraId="1C6E3E8A" w14:textId="77777777" w:rsidR="0054776D" w:rsidRPr="00E20D21" w:rsidRDefault="0054776D" w:rsidP="0024150E">
      <w:pPr>
        <w:pStyle w:val="wordsection1"/>
        <w:spacing w:before="120" w:beforeAutospacing="0" w:after="120" w:afterAutospacing="0"/>
        <w:ind w:right="139"/>
        <w:jc w:val="both"/>
        <w:rPr>
          <w:rFonts w:ascii="CAIXA Std Book" w:hAnsi="CAIXA Std Book" w:cs="Cambria Math"/>
          <w:color w:val="005CA9"/>
          <w:sz w:val="20"/>
          <w:szCs w:val="20"/>
        </w:rPr>
      </w:pPr>
      <w:bookmarkStart w:id="96" w:name="_Hlk65762986"/>
      <w:r w:rsidRPr="00E20D21">
        <w:rPr>
          <w:rFonts w:ascii="CAIXA Std Book" w:hAnsi="CAIXA Std Book" w:cs="Cambria Math"/>
          <w:color w:val="005CA9"/>
          <w:sz w:val="20"/>
          <w:szCs w:val="20"/>
        </w:rPr>
        <w:t>As transações com partes relacionadas são realizadas no curso das atividades operacionais da CAIXA e de suas atribuições estabelecidas em regulamentação específica.</w:t>
      </w:r>
    </w:p>
    <w:p w14:paraId="4C61FE9C" w14:textId="1544D2A0" w:rsidR="0054776D" w:rsidRPr="00E20D21" w:rsidRDefault="0054776D" w:rsidP="0024150E">
      <w:pPr>
        <w:pStyle w:val="wordsection1"/>
        <w:spacing w:before="120" w:beforeAutospacing="0" w:after="120" w:afterAutospacing="0"/>
        <w:ind w:right="139"/>
        <w:jc w:val="both"/>
        <w:rPr>
          <w:rFonts w:ascii="CAIXA Std Book" w:hAnsi="CAIXA Std Book" w:cs="Cambria Math"/>
          <w:color w:val="005CA9"/>
          <w:sz w:val="20"/>
          <w:szCs w:val="20"/>
        </w:rPr>
      </w:pPr>
      <w:r w:rsidRPr="00E20D21">
        <w:rPr>
          <w:rFonts w:ascii="CAIXA Std Book" w:hAnsi="CAIXA Std Book" w:cs="Cambria Math"/>
          <w:color w:val="005CA9"/>
          <w:sz w:val="20"/>
          <w:szCs w:val="20"/>
        </w:rPr>
        <w:t>O Código de Conduta dos Empregados e Dirigentes da CAIXA veda aos seus empregados e dirigentes estabelecer relações comerciais ou profissionais, diretamente ou por terceiros, com seus controladores e empresas do mesmo grupo econômico.</w:t>
      </w:r>
      <w:r w:rsidR="0017274E" w:rsidRPr="00E20D21">
        <w:rPr>
          <w:rFonts w:ascii="CAIXA Std Book" w:hAnsi="CAIXA Std Book" w:cs="Cambria Math"/>
          <w:color w:val="005CA9"/>
          <w:sz w:val="20"/>
          <w:szCs w:val="20"/>
        </w:rPr>
        <w:tab/>
      </w:r>
    </w:p>
    <w:p w14:paraId="667195A3" w14:textId="1E21AA12" w:rsidR="0054776D" w:rsidRPr="00E20D21" w:rsidRDefault="0054776D" w:rsidP="0024150E">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De acordo com legislação vigente, no que se aplica à CAIXA como empresa pública e suas partes relacionadas, é permitida a realização de operações nas mesmas condições às apresentadas ao mercado, especialmente quanto a limites, taxas de juros, carência, prazos, garantias, bem como critérios para classificação de risco para fins de constituição de provisão para perdas e baixas para prejuízo, não existindo benefícios adicionais ou diferenciados comparativamente às operações realizadas com os demais clientes de mesmo perfil na empresa.</w:t>
      </w:r>
    </w:p>
    <w:p w14:paraId="2E868ECB" w14:textId="77777777" w:rsidR="0054776D" w:rsidRPr="00E20D21" w:rsidRDefault="0054776D" w:rsidP="0024150E">
      <w:pPr>
        <w:pStyle w:val="wordsection1"/>
        <w:numPr>
          <w:ilvl w:val="0"/>
          <w:numId w:val="17"/>
        </w:numPr>
        <w:autoSpaceDE w:val="0"/>
        <w:autoSpaceDN w:val="0"/>
        <w:adjustRightInd w:val="0"/>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E20D21">
        <w:rPr>
          <w:rFonts w:ascii="CAIXA Std Book" w:hAnsi="CAIXA Std Book" w:cs="Cambria Math"/>
          <w:b/>
          <w:color w:val="005CA9"/>
          <w:sz w:val="20"/>
          <w:szCs w:val="20"/>
        </w:rPr>
        <w:t>Controladora</w:t>
      </w:r>
    </w:p>
    <w:p w14:paraId="6EF61813" w14:textId="3C4ACD93" w:rsidR="0054776D" w:rsidRPr="00E20D21" w:rsidRDefault="0054776D" w:rsidP="62135403">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Os saldos com a controladora estão representados pelas transações com a União, seus respectivos ministérios, autarquias, secretarias de governo</w:t>
      </w:r>
      <w:r w:rsidR="616021BB" w:rsidRPr="00E20D21">
        <w:rPr>
          <w:rFonts w:ascii="CAIXA Std Book" w:hAnsi="CAIXA Std Book"/>
          <w:color w:val="005CA9"/>
          <w:sz w:val="20"/>
          <w:szCs w:val="20"/>
        </w:rPr>
        <w:t>, fundos de governo</w:t>
      </w:r>
      <w:r w:rsidRPr="00E20D21">
        <w:rPr>
          <w:rFonts w:ascii="CAIXA Std Book" w:hAnsi="CAIXA Std Book"/>
          <w:color w:val="005CA9"/>
          <w:sz w:val="20"/>
          <w:szCs w:val="20"/>
        </w:rPr>
        <w:t xml:space="preserve"> e demais órgãos.</w:t>
      </w:r>
    </w:p>
    <w:p w14:paraId="226EFC24" w14:textId="0D1A42C5" w:rsidR="540D3321" w:rsidRPr="00E20D21" w:rsidRDefault="540D3321" w:rsidP="62135403">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No curso de suas operações, a CAIXA reconhece valores a receber de seu relacionamento com a União (Controlador e Fundos de Governo). Do montante apresentado em 30/06/2024, R$ </w:t>
      </w:r>
      <w:r w:rsidR="00D268FB" w:rsidRPr="00E20D21">
        <w:rPr>
          <w:rFonts w:ascii="CAIXA Std Book" w:hAnsi="CAIXA Std Book"/>
          <w:color w:val="005CA9"/>
          <w:sz w:val="20"/>
          <w:szCs w:val="20"/>
        </w:rPr>
        <w:t>742</w:t>
      </w:r>
      <w:r w:rsidR="008124FF" w:rsidRPr="00E20D21">
        <w:rPr>
          <w:rFonts w:ascii="CAIXA Std Book" w:hAnsi="CAIXA Std Book"/>
          <w:color w:val="005CA9"/>
          <w:sz w:val="20"/>
          <w:szCs w:val="20"/>
        </w:rPr>
        <w:t>.751</w:t>
      </w:r>
      <w:r w:rsidRPr="00E20D21">
        <w:rPr>
          <w:rFonts w:ascii="CAIXA Std Book" w:hAnsi="CAIXA Std Book"/>
          <w:color w:val="005CA9"/>
          <w:sz w:val="20"/>
          <w:szCs w:val="20"/>
        </w:rPr>
        <w:t xml:space="preserve"> (31/12/2023 – R$ 723.030) está constituído por saldos relativos a operações de longa data, relativos ao Fundo Nacional de Desenvolvimento – FND, para as quais a Administração da CAIXA está em tratativas com a União com a finalidade de quitação dos valores envolvidos.</w:t>
      </w:r>
    </w:p>
    <w:p w14:paraId="07DBC006" w14:textId="77777777" w:rsidR="0054776D" w:rsidRPr="00E20D21" w:rsidRDefault="0054776D" w:rsidP="0024150E">
      <w:pPr>
        <w:pStyle w:val="wordsection1"/>
        <w:numPr>
          <w:ilvl w:val="0"/>
          <w:numId w:val="17"/>
        </w:numPr>
        <w:autoSpaceDE w:val="0"/>
        <w:autoSpaceDN w:val="0"/>
        <w:adjustRightInd w:val="0"/>
        <w:spacing w:before="240" w:beforeAutospacing="0" w:after="240" w:afterAutospacing="0"/>
        <w:ind w:left="709" w:right="139" w:hanging="709"/>
        <w:jc w:val="both"/>
        <w:rPr>
          <w:rFonts w:ascii="CAIXA Std Book" w:hAnsi="CAIXA Std Book" w:cs="Cambria Math"/>
          <w:b/>
          <w:color w:val="005CA9"/>
          <w:sz w:val="20"/>
          <w:szCs w:val="20"/>
        </w:rPr>
      </w:pPr>
      <w:r w:rsidRPr="00E20D21">
        <w:rPr>
          <w:rFonts w:ascii="CAIXA Std Book" w:hAnsi="CAIXA Std Book" w:cs="Cambria Math"/>
          <w:b/>
          <w:color w:val="005CA9"/>
          <w:sz w:val="20"/>
          <w:szCs w:val="20"/>
        </w:rPr>
        <w:t>Controladas</w:t>
      </w:r>
      <w:r w:rsidR="001378A8" w:rsidRPr="00E20D21">
        <w:rPr>
          <w:rFonts w:ascii="CAIXA Std Book" w:hAnsi="CAIXA Std Book" w:cs="Cambria Math"/>
          <w:b/>
          <w:color w:val="005CA9"/>
          <w:sz w:val="20"/>
          <w:szCs w:val="20"/>
        </w:rPr>
        <w:t xml:space="preserve"> </w:t>
      </w:r>
    </w:p>
    <w:p w14:paraId="14625084" w14:textId="77777777" w:rsidR="0054776D" w:rsidRPr="00E20D21" w:rsidRDefault="00500641" w:rsidP="00943C99">
      <w:pPr>
        <w:pStyle w:val="wordsection1"/>
        <w:spacing w:before="120" w:after="120"/>
        <w:ind w:right="139"/>
        <w:jc w:val="both"/>
        <w:rPr>
          <w:rFonts w:ascii="CAIXA Std Book" w:hAnsi="CAIXA Std Book" w:cs="Cambria Math"/>
          <w:color w:val="005CA9"/>
          <w:sz w:val="20"/>
          <w:szCs w:val="20"/>
        </w:rPr>
      </w:pPr>
      <w:r w:rsidRPr="00E20D21">
        <w:rPr>
          <w:rFonts w:ascii="CAIXA Std Book" w:hAnsi="CAIXA Std Book" w:cs="Cambria Math"/>
          <w:color w:val="005CA9"/>
          <w:sz w:val="20"/>
          <w:szCs w:val="20"/>
        </w:rPr>
        <w:t>Em consonância com sua estratégia</w:t>
      </w:r>
      <w:r w:rsidR="0054776D" w:rsidRPr="00E20D21">
        <w:rPr>
          <w:rFonts w:ascii="CAIXA Std Book" w:hAnsi="CAIXA Std Book" w:cs="Cambria Math"/>
          <w:color w:val="005CA9"/>
          <w:sz w:val="20"/>
          <w:szCs w:val="20"/>
        </w:rPr>
        <w:t xml:space="preserve">, a CAIXA realiza negócios </w:t>
      </w:r>
      <w:r w:rsidR="00C71AD0" w:rsidRPr="00E20D21">
        <w:rPr>
          <w:rFonts w:ascii="CAIXA Std Book" w:hAnsi="CAIXA Std Book" w:cs="Cambria Math"/>
          <w:color w:val="005CA9"/>
          <w:sz w:val="20"/>
          <w:szCs w:val="20"/>
        </w:rPr>
        <w:t>através</w:t>
      </w:r>
      <w:r w:rsidR="0054776D" w:rsidRPr="00E20D21">
        <w:rPr>
          <w:rFonts w:ascii="CAIXA Std Book" w:hAnsi="CAIXA Std Book" w:cs="Cambria Math"/>
          <w:color w:val="005CA9"/>
          <w:sz w:val="20"/>
          <w:szCs w:val="20"/>
        </w:rPr>
        <w:t xml:space="preserve"> de suas </w:t>
      </w:r>
      <w:r w:rsidR="00A52940" w:rsidRPr="00E20D21">
        <w:rPr>
          <w:rFonts w:ascii="CAIXA Std Book" w:hAnsi="CAIXA Std Book" w:cs="Cambria Math"/>
          <w:color w:val="005CA9"/>
          <w:sz w:val="20"/>
          <w:szCs w:val="20"/>
        </w:rPr>
        <w:t>subsidiárias</w:t>
      </w:r>
      <w:r w:rsidR="0054776D" w:rsidRPr="00E20D21">
        <w:rPr>
          <w:rFonts w:ascii="CAIXA Std Book" w:hAnsi="CAIXA Std Book" w:cs="Cambria Math"/>
          <w:color w:val="005CA9"/>
          <w:sz w:val="20"/>
          <w:szCs w:val="20"/>
        </w:rPr>
        <w:t xml:space="preserve"> CAIXA Seguridade, CAIXA Cartões e CAIXA </w:t>
      </w:r>
      <w:proofErr w:type="spellStart"/>
      <w:r w:rsidR="0003156F" w:rsidRPr="00E20D21">
        <w:rPr>
          <w:rFonts w:ascii="CAIXA Std Book" w:hAnsi="CAIXA Std Book" w:cs="Cambria Math"/>
          <w:color w:val="005CA9"/>
          <w:sz w:val="20"/>
          <w:szCs w:val="20"/>
        </w:rPr>
        <w:t>Asset</w:t>
      </w:r>
      <w:proofErr w:type="spellEnd"/>
      <w:r w:rsidR="004D43FC" w:rsidRPr="00E20D21">
        <w:rPr>
          <w:rFonts w:ascii="CAIXA Std Book" w:hAnsi="CAIXA Std Book" w:cs="Cambria Math"/>
          <w:color w:val="005CA9"/>
          <w:sz w:val="20"/>
          <w:szCs w:val="20"/>
        </w:rPr>
        <w:t>, estando a CAIXA Loterias em fase pré-operacional</w:t>
      </w:r>
      <w:r w:rsidR="0054776D" w:rsidRPr="00E20D21">
        <w:rPr>
          <w:rFonts w:ascii="CAIXA Std Book" w:hAnsi="CAIXA Std Book" w:cs="Cambria Math"/>
          <w:color w:val="005CA9"/>
          <w:sz w:val="20"/>
          <w:szCs w:val="20"/>
        </w:rPr>
        <w:t>.</w:t>
      </w:r>
    </w:p>
    <w:p w14:paraId="0AE27714" w14:textId="77777777" w:rsidR="0093193B" w:rsidRPr="00E20D21" w:rsidRDefault="0093193B">
      <w:pPr>
        <w:rPr>
          <w:rFonts w:ascii="CAIXA Std Book" w:eastAsiaTheme="minorHAnsi" w:hAnsi="CAIXA Std Book" w:cs="Cambria Math"/>
          <w:b/>
          <w:color w:val="005CA9"/>
          <w:sz w:val="20"/>
          <w:szCs w:val="20"/>
        </w:rPr>
      </w:pPr>
      <w:r w:rsidRPr="00E20D21">
        <w:rPr>
          <w:rFonts w:ascii="CAIXA Std Book" w:hAnsi="CAIXA Std Book" w:cs="Cambria Math"/>
          <w:b/>
          <w:color w:val="005CA9"/>
          <w:sz w:val="20"/>
          <w:szCs w:val="20"/>
        </w:rPr>
        <w:br w:type="page"/>
      </w:r>
    </w:p>
    <w:p w14:paraId="1AB7A37C" w14:textId="2C531893" w:rsidR="0054776D" w:rsidRPr="00E20D21" w:rsidRDefault="0054776D" w:rsidP="0024150E">
      <w:pPr>
        <w:pStyle w:val="wordsection1"/>
        <w:numPr>
          <w:ilvl w:val="0"/>
          <w:numId w:val="17"/>
        </w:numPr>
        <w:autoSpaceDE w:val="0"/>
        <w:autoSpaceDN w:val="0"/>
        <w:adjustRightInd w:val="0"/>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E20D21">
        <w:rPr>
          <w:rFonts w:ascii="CAIXA Std Book" w:hAnsi="CAIXA Std Book" w:cs="Cambria Math"/>
          <w:b/>
          <w:color w:val="005CA9"/>
          <w:sz w:val="20"/>
          <w:szCs w:val="20"/>
        </w:rPr>
        <w:lastRenderedPageBreak/>
        <w:t>Controladas em Conjunto</w:t>
      </w:r>
      <w:r w:rsidR="0068795E" w:rsidRPr="00E20D21">
        <w:rPr>
          <w:rFonts w:ascii="CAIXA Std Book" w:hAnsi="CAIXA Std Book" w:cs="Cambria Math"/>
          <w:b/>
          <w:color w:val="005CA9"/>
          <w:sz w:val="20"/>
          <w:szCs w:val="20"/>
        </w:rPr>
        <w:t xml:space="preserve"> </w:t>
      </w:r>
    </w:p>
    <w:p w14:paraId="1207831F" w14:textId="29D9811A" w:rsidR="00BB0884" w:rsidRPr="00E20D21" w:rsidRDefault="00BB0884" w:rsidP="00943C99">
      <w:pPr>
        <w:spacing w:before="120" w:after="120"/>
        <w:ind w:right="139"/>
        <w:jc w:val="both"/>
        <w:rPr>
          <w:rFonts w:ascii="CAIXA Std Book" w:eastAsia="Futura Lt BT" w:hAnsi="CAIXA Std Book" w:cs="Futura Lt BT"/>
          <w:color w:val="005CA9"/>
          <w:sz w:val="20"/>
          <w:szCs w:val="20"/>
        </w:rPr>
      </w:pPr>
      <w:r w:rsidRPr="00E20D21">
        <w:rPr>
          <w:rFonts w:ascii="CAIXA Std Book" w:hAnsi="CAIXA Std Book" w:cs="Cambria Math"/>
          <w:color w:val="005CA9"/>
          <w:sz w:val="20"/>
          <w:szCs w:val="20"/>
        </w:rPr>
        <w:t xml:space="preserve">São </w:t>
      </w:r>
      <w:r w:rsidRPr="00E20D21">
        <w:rPr>
          <w:rFonts w:ascii="CAIXA Std Book" w:eastAsia="Futura Lt BT" w:hAnsi="CAIXA Std Book" w:cs="Futura Lt BT"/>
          <w:color w:val="005CA9"/>
          <w:sz w:val="20"/>
          <w:szCs w:val="20"/>
        </w:rPr>
        <w:t>controladas em conjunto, via participação direta da CAIXA</w:t>
      </w:r>
      <w:r w:rsidR="00350025" w:rsidRPr="00E20D21">
        <w:rPr>
          <w:rFonts w:ascii="CAIXA Std Book" w:eastAsia="Futura Lt BT" w:hAnsi="CAIXA Std Book" w:cs="Futura Lt BT"/>
          <w:color w:val="005CA9"/>
          <w:sz w:val="20"/>
          <w:szCs w:val="20"/>
        </w:rPr>
        <w:t>,</w:t>
      </w:r>
      <w:r w:rsidR="0078222E" w:rsidRPr="00E20D21">
        <w:rPr>
          <w:rFonts w:ascii="CAIXA Std Book" w:eastAsia="Futura Lt BT" w:hAnsi="CAIXA Std Book" w:cs="Futura Lt BT"/>
          <w:color w:val="005CA9"/>
          <w:sz w:val="20"/>
          <w:szCs w:val="20"/>
        </w:rPr>
        <w:t xml:space="preserve"> as empresas</w:t>
      </w:r>
      <w:r w:rsidRPr="00E20D21">
        <w:rPr>
          <w:rFonts w:ascii="CAIXA Std Book" w:eastAsia="Futura Lt BT" w:hAnsi="CAIXA Std Book" w:cs="Futura Lt BT"/>
          <w:color w:val="005CA9"/>
          <w:sz w:val="20"/>
          <w:szCs w:val="20"/>
        </w:rPr>
        <w:t xml:space="preserve"> Caixa Imóveis e Negócios Digitais.</w:t>
      </w:r>
      <w:r w:rsidR="00943C99" w:rsidRPr="00E20D21">
        <w:rPr>
          <w:rFonts w:ascii="CAIXA Std Book" w:eastAsia="Futura Lt BT" w:hAnsi="CAIXA Std Book" w:cs="Futura Lt BT"/>
          <w:color w:val="005CA9"/>
          <w:sz w:val="20"/>
          <w:szCs w:val="20"/>
        </w:rPr>
        <w:t xml:space="preserve"> </w:t>
      </w:r>
    </w:p>
    <w:p w14:paraId="453E0325" w14:textId="183A9CD0" w:rsidR="00E01DA4" w:rsidRPr="00E20D21" w:rsidRDefault="00734A80" w:rsidP="00943C99">
      <w:pPr>
        <w:spacing w:before="120" w:after="120"/>
        <w:ind w:right="139"/>
        <w:jc w:val="both"/>
        <w:rPr>
          <w:rFonts w:ascii="CAIXA Std Book" w:hAnsi="CAIXA Std Book" w:cs="Cambria Math"/>
          <w:color w:val="005CA9"/>
          <w:sz w:val="20"/>
          <w:szCs w:val="20"/>
        </w:rPr>
      </w:pPr>
      <w:r w:rsidRPr="00E20D21">
        <w:rPr>
          <w:rFonts w:ascii="CAIXA Std Book" w:eastAsia="Futura Lt BT" w:hAnsi="CAIXA Std Book" w:cs="Futura Lt BT"/>
          <w:color w:val="005CA9"/>
          <w:sz w:val="20"/>
          <w:szCs w:val="20"/>
        </w:rPr>
        <w:t>Enquadram-se</w:t>
      </w:r>
      <w:r w:rsidR="00483048" w:rsidRPr="00E20D21">
        <w:rPr>
          <w:rFonts w:ascii="CAIXA Std Book" w:eastAsia="Futura Lt BT" w:hAnsi="CAIXA Std Book" w:cs="Futura Lt BT"/>
          <w:color w:val="005CA9"/>
          <w:sz w:val="20"/>
          <w:szCs w:val="20"/>
        </w:rPr>
        <w:t xml:space="preserve"> </w:t>
      </w:r>
      <w:r w:rsidR="00A647D0" w:rsidRPr="00E20D21">
        <w:rPr>
          <w:rFonts w:ascii="CAIXA Std Book" w:eastAsia="Futura Lt BT" w:hAnsi="CAIXA Std Book" w:cs="Futura Lt BT"/>
          <w:color w:val="005CA9"/>
          <w:sz w:val="20"/>
          <w:szCs w:val="20"/>
        </w:rPr>
        <w:t xml:space="preserve">também </w:t>
      </w:r>
      <w:r w:rsidR="00483048" w:rsidRPr="00E20D21">
        <w:rPr>
          <w:rFonts w:ascii="CAIXA Std Book" w:eastAsia="Futura Lt BT" w:hAnsi="CAIXA Std Book" w:cs="Futura Lt BT"/>
          <w:color w:val="005CA9"/>
          <w:sz w:val="20"/>
          <w:szCs w:val="20"/>
        </w:rPr>
        <w:t>como</w:t>
      </w:r>
      <w:r w:rsidR="00483048" w:rsidRPr="00E20D21">
        <w:rPr>
          <w:rFonts w:ascii="CAIXA Std Book" w:hAnsi="CAIXA Std Book" w:cs="Cambria Math"/>
          <w:color w:val="005CA9"/>
          <w:sz w:val="20"/>
          <w:szCs w:val="20"/>
        </w:rPr>
        <w:t xml:space="preserve"> partes relacionadas</w:t>
      </w:r>
      <w:r w:rsidR="00350025" w:rsidRPr="00E20D21">
        <w:rPr>
          <w:rFonts w:ascii="CAIXA Std Book" w:hAnsi="CAIXA Std Book" w:cs="Cambria Math"/>
          <w:color w:val="005CA9"/>
          <w:sz w:val="20"/>
          <w:szCs w:val="20"/>
        </w:rPr>
        <w:t>,</w:t>
      </w:r>
      <w:r w:rsidR="00483048" w:rsidRPr="00E20D21">
        <w:rPr>
          <w:rFonts w:ascii="CAIXA Std Book" w:hAnsi="CAIXA Std Book" w:cs="Cambria Math"/>
          <w:color w:val="005CA9"/>
          <w:sz w:val="20"/>
          <w:szCs w:val="20"/>
        </w:rPr>
        <w:t xml:space="preserve"> as entidades nas quais a CAIXA participa em regime de controle conjunto</w:t>
      </w:r>
      <w:r w:rsidRPr="00E20D21">
        <w:rPr>
          <w:rFonts w:ascii="CAIXA Std Book" w:hAnsi="CAIXA Std Book" w:cs="Cambria Math"/>
          <w:color w:val="005CA9"/>
          <w:sz w:val="20"/>
          <w:szCs w:val="20"/>
        </w:rPr>
        <w:t xml:space="preserve"> indireto</w:t>
      </w:r>
      <w:r w:rsidR="00E77C2D" w:rsidRPr="00E20D21">
        <w:rPr>
          <w:rFonts w:ascii="CAIXA Std Book" w:hAnsi="CAIXA Std Book" w:cs="Cambria Math"/>
          <w:color w:val="005CA9"/>
          <w:sz w:val="20"/>
          <w:szCs w:val="20"/>
        </w:rPr>
        <w:t>,</w:t>
      </w:r>
      <w:r w:rsidR="00483048" w:rsidRPr="00E20D21">
        <w:rPr>
          <w:rFonts w:ascii="CAIXA Std Book" w:hAnsi="CAIXA Std Book" w:cs="Cambria Math"/>
          <w:color w:val="005CA9"/>
          <w:sz w:val="20"/>
          <w:szCs w:val="20"/>
        </w:rPr>
        <w:t xml:space="preserve"> por meio de suas </w:t>
      </w:r>
      <w:r w:rsidR="004F2441" w:rsidRPr="00E20D21">
        <w:rPr>
          <w:rFonts w:ascii="CAIXA Std Book" w:hAnsi="CAIXA Std Book" w:cs="Cambria Math"/>
          <w:color w:val="005CA9"/>
          <w:sz w:val="20"/>
          <w:szCs w:val="20"/>
        </w:rPr>
        <w:t>controladas</w:t>
      </w:r>
      <w:r w:rsidR="00483048" w:rsidRPr="00E20D21">
        <w:rPr>
          <w:rFonts w:ascii="CAIXA Std Book" w:hAnsi="CAIXA Std Book" w:cs="Cambria Math"/>
          <w:color w:val="005CA9"/>
          <w:sz w:val="20"/>
          <w:szCs w:val="20"/>
        </w:rPr>
        <w:t xml:space="preserve"> CAIXA Seguridade e CAIXA Cartões.</w:t>
      </w:r>
    </w:p>
    <w:p w14:paraId="770B75D5" w14:textId="77777777" w:rsidR="0054776D" w:rsidRPr="00E20D21" w:rsidRDefault="0054776D" w:rsidP="00657B66">
      <w:pPr>
        <w:pStyle w:val="wordsection1"/>
        <w:numPr>
          <w:ilvl w:val="0"/>
          <w:numId w:val="17"/>
        </w:numPr>
        <w:autoSpaceDE w:val="0"/>
        <w:autoSpaceDN w:val="0"/>
        <w:adjustRightInd w:val="0"/>
        <w:spacing w:before="240" w:beforeAutospacing="0" w:after="240" w:afterAutospacing="0"/>
        <w:ind w:left="709" w:hanging="709"/>
        <w:jc w:val="both"/>
        <w:rPr>
          <w:rFonts w:ascii="CAIXA Std Book" w:eastAsia="Yu Mincho Light" w:hAnsi="CAIXA Std Book" w:cs="Cambria Math"/>
          <w:b/>
          <w:color w:val="005CA9"/>
          <w:sz w:val="20"/>
          <w:szCs w:val="20"/>
        </w:rPr>
      </w:pPr>
      <w:r w:rsidRPr="00E20D21">
        <w:rPr>
          <w:rFonts w:ascii="CAIXA Std Book" w:hAnsi="CAIXA Std Book" w:cs="Cambria Math"/>
          <w:b/>
          <w:color w:val="005CA9"/>
          <w:sz w:val="20"/>
          <w:szCs w:val="20"/>
        </w:rPr>
        <w:t>Coligadas</w:t>
      </w:r>
      <w:r w:rsidR="00773899" w:rsidRPr="00E20D21">
        <w:rPr>
          <w:rFonts w:ascii="CAIXA Std Book" w:hAnsi="CAIXA Std Book" w:cs="Cambria Math"/>
          <w:b/>
          <w:color w:val="005CA9"/>
          <w:sz w:val="20"/>
          <w:szCs w:val="20"/>
        </w:rPr>
        <w:t xml:space="preserve"> </w:t>
      </w:r>
    </w:p>
    <w:p w14:paraId="0DB472F4" w14:textId="77777777" w:rsidR="00C046DE" w:rsidRPr="00E20D21" w:rsidRDefault="69BE3AAE" w:rsidP="0024150E">
      <w:pPr>
        <w:spacing w:before="120" w:after="120"/>
        <w:ind w:right="139"/>
        <w:jc w:val="both"/>
        <w:rPr>
          <w:rFonts w:ascii="CAIXA Std Book" w:eastAsia="Futura Lt BT" w:hAnsi="CAIXA Std Book" w:cs="Futura Lt BT"/>
          <w:color w:val="005CA9"/>
          <w:sz w:val="20"/>
          <w:szCs w:val="20"/>
        </w:rPr>
      </w:pPr>
      <w:r w:rsidRPr="00E20D21">
        <w:rPr>
          <w:rFonts w:ascii="CAIXA Std Book" w:eastAsia="Futura Lt BT" w:hAnsi="CAIXA Std Book" w:cs="Futura Lt BT"/>
          <w:color w:val="005CA9"/>
          <w:sz w:val="20"/>
          <w:szCs w:val="20"/>
        </w:rPr>
        <w:t>São coligadas diretas da CAIXA a Galgo Sistemas de Informações</w:t>
      </w:r>
      <w:r w:rsidR="00A53C09" w:rsidRPr="00E20D21">
        <w:rPr>
          <w:rFonts w:ascii="CAIXA Std Book" w:eastAsia="Futura Lt BT" w:hAnsi="CAIXA Std Book" w:cs="Futura Lt BT"/>
          <w:color w:val="005CA9"/>
          <w:sz w:val="20"/>
          <w:szCs w:val="20"/>
        </w:rPr>
        <w:t>,</w:t>
      </w:r>
      <w:r w:rsidRPr="00E20D21">
        <w:rPr>
          <w:rFonts w:ascii="CAIXA Std Book" w:eastAsia="Futura Lt BT" w:hAnsi="CAIXA Std Book" w:cs="Futura Lt BT"/>
          <w:color w:val="005CA9"/>
          <w:sz w:val="20"/>
          <w:szCs w:val="20"/>
        </w:rPr>
        <w:t xml:space="preserve"> </w:t>
      </w:r>
      <w:proofErr w:type="spellStart"/>
      <w:r w:rsidR="00943C99" w:rsidRPr="00E20D21">
        <w:rPr>
          <w:rFonts w:ascii="CAIXA Std Book" w:eastAsia="Futura Lt BT" w:hAnsi="CAIXA Std Book" w:cs="Futura Lt BT"/>
          <w:color w:val="005CA9"/>
          <w:sz w:val="20"/>
          <w:szCs w:val="20"/>
        </w:rPr>
        <w:t>Núclea</w:t>
      </w:r>
      <w:proofErr w:type="spellEnd"/>
      <w:r w:rsidR="00943C99" w:rsidRPr="00E20D21">
        <w:rPr>
          <w:rFonts w:ascii="CAIXA Std Book" w:eastAsia="Futura Lt BT" w:hAnsi="CAIXA Std Book" w:cs="Futura Lt BT"/>
          <w:color w:val="005CA9"/>
          <w:sz w:val="20"/>
          <w:szCs w:val="20"/>
        </w:rPr>
        <w:t xml:space="preserve">, Tecban e Quod. </w:t>
      </w:r>
    </w:p>
    <w:p w14:paraId="5EAAB6CE" w14:textId="77777777" w:rsidR="00943C99" w:rsidRPr="00E20D21" w:rsidRDefault="00943C99" w:rsidP="00943C99">
      <w:pPr>
        <w:spacing w:before="120" w:after="120"/>
        <w:ind w:right="139"/>
        <w:jc w:val="both"/>
        <w:rPr>
          <w:rFonts w:ascii="CAIXA Std Book" w:eastAsia="Futura Lt BT" w:hAnsi="CAIXA Std Book" w:cs="Futura Lt BT"/>
          <w:color w:val="005CA9"/>
          <w:sz w:val="20"/>
          <w:szCs w:val="20"/>
        </w:rPr>
      </w:pPr>
      <w:r w:rsidRPr="00E20D21">
        <w:rPr>
          <w:rFonts w:ascii="CAIXA Std Book" w:eastAsia="Futura Lt BT" w:hAnsi="CAIXA Std Book" w:cs="Futura Lt BT"/>
          <w:color w:val="005CA9"/>
          <w:sz w:val="20"/>
          <w:szCs w:val="20"/>
        </w:rPr>
        <w:t xml:space="preserve">Por meio da CAIXA Seguridade, é coligada a CNP Seguros Holding Brasil S.A. (antiga Caixa Seguros Holding S.A.), constituída para viabilizar a participação nas empresas do Grupo CNP Seguros, assim como a companhia Holding XS1, que possui a XS2 Vida e Previdência S.A. e a Caixa Vida e Previdência S.A. como subsidiárias integrais. </w:t>
      </w:r>
    </w:p>
    <w:p w14:paraId="5633F791" w14:textId="77777777" w:rsidR="00051792" w:rsidRPr="00E20D21" w:rsidRDefault="00C046DE" w:rsidP="00943C99">
      <w:pPr>
        <w:spacing w:before="120" w:after="120"/>
        <w:ind w:right="139"/>
        <w:jc w:val="both"/>
        <w:rPr>
          <w:rFonts w:ascii="CAIXA Std Book" w:hAnsi="CAIXA Std Book"/>
          <w:color w:val="005CA9"/>
          <w:sz w:val="20"/>
          <w:szCs w:val="20"/>
        </w:rPr>
      </w:pPr>
      <w:r w:rsidRPr="00E20D21">
        <w:rPr>
          <w:rFonts w:ascii="CAIXA Std Book" w:eastAsia="Futura Lt BT" w:hAnsi="CAIXA Std Book" w:cs="Futura Lt BT"/>
          <w:color w:val="005CA9"/>
          <w:sz w:val="20"/>
          <w:szCs w:val="20"/>
        </w:rPr>
        <w:t>A CAIXA mantém transações diversas com a CAIXA Seguridade Participações S.A., incluindo suas investidas</w:t>
      </w:r>
      <w:r w:rsidRPr="00E20D21">
        <w:rPr>
          <w:rFonts w:ascii="CAIXA Std Book" w:hAnsi="CAIXA Std Book"/>
          <w:color w:val="005CA9"/>
          <w:sz w:val="20"/>
          <w:szCs w:val="20"/>
        </w:rPr>
        <w:t>.</w:t>
      </w:r>
    </w:p>
    <w:p w14:paraId="22AD63BF" w14:textId="6BE965BF" w:rsidR="0054776D" w:rsidRPr="00E20D21" w:rsidRDefault="0054776D" w:rsidP="0024150E">
      <w:pPr>
        <w:pStyle w:val="wordsection1"/>
        <w:numPr>
          <w:ilvl w:val="0"/>
          <w:numId w:val="17"/>
        </w:numPr>
        <w:spacing w:before="240" w:beforeAutospacing="0" w:after="240" w:afterAutospacing="0"/>
        <w:ind w:left="709" w:right="139" w:hanging="709"/>
        <w:jc w:val="both"/>
        <w:rPr>
          <w:rFonts w:ascii="CAIXA Std Book" w:eastAsia="Yu Mincho Light" w:hAnsi="CAIXA Std Book" w:cs="Cambria Math"/>
          <w:b/>
          <w:color w:val="005CA9"/>
          <w:sz w:val="20"/>
          <w:szCs w:val="20"/>
        </w:rPr>
      </w:pPr>
      <w:proofErr w:type="gramStart"/>
      <w:r w:rsidRPr="00E20D21">
        <w:rPr>
          <w:rFonts w:ascii="CAIXA Std Book" w:hAnsi="CAIXA Std Book" w:cs="Cambria Math"/>
          <w:b/>
          <w:color w:val="005CA9"/>
          <w:sz w:val="20"/>
          <w:szCs w:val="20"/>
        </w:rPr>
        <w:t>Pessoal</w:t>
      </w:r>
      <w:proofErr w:type="gramEnd"/>
      <w:r w:rsidRPr="00E20D21">
        <w:rPr>
          <w:rFonts w:ascii="CAIXA Std Book" w:hAnsi="CAIXA Std Book" w:cs="Cambria Math"/>
          <w:b/>
          <w:color w:val="005CA9"/>
          <w:sz w:val="20"/>
          <w:szCs w:val="20"/>
        </w:rPr>
        <w:t xml:space="preserve"> Chave da Administração</w:t>
      </w:r>
    </w:p>
    <w:p w14:paraId="70D869B4" w14:textId="77777777" w:rsidR="00CC0395" w:rsidRPr="00E20D21" w:rsidRDefault="00CC0395" w:rsidP="00CC0395">
      <w:pPr>
        <w:ind w:right="139"/>
        <w:jc w:val="both"/>
        <w:rPr>
          <w:rFonts w:ascii="CAIXA Std Book" w:hAnsi="CAIXA Std Book" w:cs="Cambria Math"/>
          <w:color w:val="005CA9"/>
          <w:sz w:val="20"/>
          <w:szCs w:val="20"/>
        </w:rPr>
      </w:pPr>
      <w:r w:rsidRPr="00E20D21">
        <w:rPr>
          <w:rFonts w:ascii="CAIXA Std Book" w:eastAsiaTheme="minorHAnsi" w:hAnsi="CAIXA Std Book" w:cs="Cambria Math"/>
          <w:color w:val="005CA9"/>
          <w:sz w:val="20"/>
          <w:szCs w:val="20"/>
        </w:rPr>
        <w:t>Na CAIXA, integram o rol do pessoal chave os membros do Conselho de Administração, do Conselho Fiscal, do Conselho Diretor e da Diretoria Executiva, bem como os membros dos demais órgãos estatutários da CAIXA e dos órgãos estatutários das subsidiárias da CAI</w:t>
      </w:r>
      <w:r w:rsidRPr="00E20D21">
        <w:rPr>
          <w:rFonts w:ascii="CAIXA Std Book" w:hAnsi="CAIXA Std Book" w:cs="Cambria Math"/>
          <w:color w:val="005CA9"/>
          <w:sz w:val="20"/>
          <w:szCs w:val="20"/>
        </w:rPr>
        <w:t>XA.</w:t>
      </w:r>
    </w:p>
    <w:p w14:paraId="395C1DFF" w14:textId="77777777" w:rsidR="0054776D" w:rsidRPr="00E20D21" w:rsidRDefault="0054776D" w:rsidP="0024150E">
      <w:pPr>
        <w:pStyle w:val="wordsection1"/>
        <w:numPr>
          <w:ilvl w:val="0"/>
          <w:numId w:val="17"/>
        </w:numPr>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E20D21">
        <w:rPr>
          <w:rFonts w:ascii="CAIXA Std Book" w:hAnsi="CAIXA Std Book" w:cs="Cambria Math"/>
          <w:b/>
          <w:color w:val="005CA9"/>
          <w:sz w:val="20"/>
          <w:szCs w:val="20"/>
        </w:rPr>
        <w:t>Outras entidades</w:t>
      </w:r>
    </w:p>
    <w:p w14:paraId="1DF78001" w14:textId="2BB71535" w:rsidR="0054776D" w:rsidRPr="00E20D21" w:rsidRDefault="08E6717D" w:rsidP="00943C99">
      <w:pPr>
        <w:spacing w:before="120" w:after="120"/>
        <w:ind w:right="139"/>
        <w:jc w:val="both"/>
        <w:rPr>
          <w:rFonts w:ascii="CAIXA Std Book" w:eastAsia="Futura Lt BT" w:hAnsi="CAIXA Std Book" w:cs="Futura Lt BT"/>
          <w:color w:val="005CA9"/>
          <w:sz w:val="20"/>
          <w:szCs w:val="20"/>
        </w:rPr>
      </w:pPr>
      <w:r w:rsidRPr="00E20D21">
        <w:rPr>
          <w:rFonts w:ascii="CAIXA Std Book" w:hAnsi="CAIXA Std Book" w:cs="Cambria Math"/>
          <w:color w:val="005CA9"/>
          <w:sz w:val="20"/>
          <w:szCs w:val="20"/>
        </w:rPr>
        <w:t>Esse item é composto por transações com empresas públicas e sociedades de economia mista controladas pelo governo, tais como Petrobr</w:t>
      </w:r>
      <w:r w:rsidR="42C1F9F9" w:rsidRPr="00E20D21">
        <w:rPr>
          <w:rFonts w:ascii="CAIXA Std Book" w:hAnsi="CAIXA Std Book" w:cs="Cambria Math"/>
          <w:color w:val="005CA9"/>
          <w:sz w:val="20"/>
          <w:szCs w:val="20"/>
        </w:rPr>
        <w:t>á</w:t>
      </w:r>
      <w:r w:rsidRPr="00E20D21">
        <w:rPr>
          <w:rFonts w:ascii="CAIXA Std Book" w:hAnsi="CAIXA Std Book" w:cs="Cambria Math"/>
          <w:color w:val="005CA9"/>
          <w:sz w:val="20"/>
          <w:szCs w:val="20"/>
        </w:rPr>
        <w:t xml:space="preserve">s, Banco do Brasil, BNDES, Banco do Nordeste e </w:t>
      </w:r>
      <w:proofErr w:type="spellStart"/>
      <w:r w:rsidRPr="00E20D21">
        <w:rPr>
          <w:rFonts w:ascii="CAIXA Std Book" w:hAnsi="CAIXA Std Book" w:cs="Cambria Math"/>
          <w:color w:val="005CA9"/>
          <w:sz w:val="20"/>
          <w:szCs w:val="20"/>
        </w:rPr>
        <w:t>Emgea</w:t>
      </w:r>
      <w:proofErr w:type="spellEnd"/>
      <w:r w:rsidRPr="00E20D21">
        <w:rPr>
          <w:rFonts w:ascii="CAIXA Std Book" w:hAnsi="CAIXA Std Book" w:cs="Cambria Math"/>
          <w:color w:val="005CA9"/>
          <w:sz w:val="20"/>
          <w:szCs w:val="20"/>
        </w:rPr>
        <w:t xml:space="preserve">; além dos fundos de investimento e fundos de </w:t>
      </w:r>
      <w:r w:rsidRPr="00E20D21">
        <w:rPr>
          <w:rFonts w:ascii="CAIXA Std Book" w:eastAsia="Futura Lt BT" w:hAnsi="CAIXA Std Book" w:cs="Futura Lt BT"/>
          <w:color w:val="005CA9"/>
          <w:sz w:val="20"/>
          <w:szCs w:val="20"/>
        </w:rPr>
        <w:t>governo operados e/ou administrados pela CAIXA, como o F</w:t>
      </w:r>
      <w:r w:rsidR="030C7896" w:rsidRPr="00E20D21">
        <w:rPr>
          <w:rFonts w:ascii="CAIXA Std Book" w:eastAsia="Futura Lt BT" w:hAnsi="CAIXA Std Book" w:cs="Futura Lt BT"/>
          <w:color w:val="005CA9"/>
          <w:sz w:val="20"/>
          <w:szCs w:val="20"/>
        </w:rPr>
        <w:t>GTS</w:t>
      </w:r>
      <w:r w:rsidRPr="00E20D21">
        <w:rPr>
          <w:rFonts w:ascii="CAIXA Std Book" w:eastAsia="Futura Lt BT" w:hAnsi="CAIXA Std Book" w:cs="Futura Lt BT"/>
          <w:color w:val="005CA9"/>
          <w:sz w:val="20"/>
          <w:szCs w:val="20"/>
        </w:rPr>
        <w:t>, FAR, FCVS</w:t>
      </w:r>
      <w:r w:rsidR="2B7E088B" w:rsidRPr="00E20D21">
        <w:rPr>
          <w:rFonts w:ascii="CAIXA Std Book" w:eastAsia="Futura Lt BT" w:hAnsi="CAIXA Std Book" w:cs="Futura Lt BT"/>
          <w:color w:val="005CA9"/>
          <w:sz w:val="20"/>
          <w:szCs w:val="20"/>
        </w:rPr>
        <w:t>,</w:t>
      </w:r>
      <w:r w:rsidRPr="00E20D21">
        <w:rPr>
          <w:rFonts w:ascii="CAIXA Std Book" w:eastAsia="Futura Lt BT" w:hAnsi="CAIXA Std Book" w:cs="Futura Lt BT"/>
          <w:color w:val="005CA9"/>
          <w:sz w:val="20"/>
          <w:szCs w:val="20"/>
        </w:rPr>
        <w:t xml:space="preserve"> FIES</w:t>
      </w:r>
      <w:r w:rsidR="12A31477" w:rsidRPr="00E20D21">
        <w:rPr>
          <w:rFonts w:ascii="CAIXA Std Book" w:eastAsia="Futura Lt BT" w:hAnsi="CAIXA Std Book" w:cs="Futura Lt BT"/>
          <w:color w:val="005CA9"/>
          <w:sz w:val="20"/>
          <w:szCs w:val="20"/>
        </w:rPr>
        <w:t>.</w:t>
      </w:r>
    </w:p>
    <w:p w14:paraId="3AF65AF7" w14:textId="767F1927" w:rsidR="0054776D" w:rsidRPr="00E20D21" w:rsidRDefault="0054776D" w:rsidP="00943C99">
      <w:pPr>
        <w:spacing w:before="120" w:after="120"/>
        <w:ind w:right="139"/>
        <w:jc w:val="both"/>
        <w:rPr>
          <w:rFonts w:ascii="CAIXA Std Book" w:hAnsi="CAIXA Std Book" w:cs="Cambria Math"/>
          <w:color w:val="005CA9"/>
          <w:sz w:val="20"/>
          <w:szCs w:val="20"/>
        </w:rPr>
      </w:pPr>
      <w:r w:rsidRPr="00E20D21">
        <w:rPr>
          <w:rFonts w:ascii="CAIXA Std Book" w:eastAsia="Futura Lt BT" w:hAnsi="CAIXA Std Book" w:cs="Futura Lt BT"/>
          <w:color w:val="005CA9"/>
          <w:sz w:val="20"/>
          <w:szCs w:val="20"/>
        </w:rPr>
        <w:t>A Funcef, entidade q</w:t>
      </w:r>
      <w:r w:rsidRPr="00E20D21">
        <w:rPr>
          <w:rFonts w:ascii="CAIXA Std Book" w:hAnsi="CAIXA Std Book" w:cs="Cambria Math"/>
          <w:color w:val="005CA9"/>
          <w:sz w:val="20"/>
          <w:szCs w:val="20"/>
        </w:rPr>
        <w:t>ue administra plano de benefícios pós</w:t>
      </w:r>
      <w:r w:rsidR="00410E83" w:rsidRPr="00E20D21">
        <w:rPr>
          <w:rFonts w:ascii="CAIXA Std Book" w:hAnsi="CAIXA Std Book" w:cs="Cambria Math"/>
          <w:color w:val="005CA9"/>
          <w:sz w:val="20"/>
          <w:szCs w:val="20"/>
        </w:rPr>
        <w:t>-</w:t>
      </w:r>
      <w:r w:rsidRPr="00E20D21">
        <w:rPr>
          <w:rFonts w:ascii="CAIXA Std Book" w:hAnsi="CAIXA Std Book" w:cs="Cambria Math"/>
          <w:color w:val="005CA9"/>
          <w:sz w:val="20"/>
          <w:szCs w:val="20"/>
        </w:rPr>
        <w:t>emprego dos empregados da CAIXA, mant</w:t>
      </w:r>
      <w:r w:rsidR="00410E83" w:rsidRPr="00E20D21">
        <w:rPr>
          <w:rFonts w:ascii="CAIXA Std Book" w:hAnsi="CAIXA Std Book" w:cs="Cambria Math"/>
          <w:color w:val="005CA9"/>
          <w:sz w:val="20"/>
          <w:szCs w:val="20"/>
        </w:rPr>
        <w:t>é</w:t>
      </w:r>
      <w:r w:rsidRPr="00E20D21">
        <w:rPr>
          <w:rFonts w:ascii="CAIXA Std Book" w:hAnsi="CAIXA Std Book" w:cs="Cambria Math"/>
          <w:color w:val="005CA9"/>
          <w:sz w:val="20"/>
          <w:szCs w:val="20"/>
        </w:rPr>
        <w:t xml:space="preserve">m com a CAIXA contratos de prestação de serviços bancários e de locação de imóveis de propriedade </w:t>
      </w:r>
      <w:r w:rsidR="00943C99" w:rsidRPr="00E20D21">
        <w:rPr>
          <w:rFonts w:ascii="CAIXA Std Book" w:hAnsi="CAIXA Std Book" w:cs="Cambria Math"/>
          <w:color w:val="005CA9"/>
          <w:sz w:val="20"/>
          <w:szCs w:val="20"/>
        </w:rPr>
        <w:t>da</w:t>
      </w:r>
      <w:r w:rsidR="00512312" w:rsidRPr="00E20D21">
        <w:rPr>
          <w:rFonts w:ascii="CAIXA Std Book" w:hAnsi="CAIXA Std Book" w:cs="Cambria Math"/>
          <w:color w:val="005CA9"/>
          <w:sz w:val="20"/>
          <w:szCs w:val="20"/>
        </w:rPr>
        <w:t>quela entidade</w:t>
      </w:r>
      <w:r w:rsidRPr="00E20D21">
        <w:rPr>
          <w:rFonts w:ascii="CAIXA Std Book" w:hAnsi="CAIXA Std Book" w:cs="Cambria Math"/>
          <w:color w:val="005CA9"/>
          <w:sz w:val="20"/>
          <w:szCs w:val="20"/>
        </w:rPr>
        <w:t>.</w:t>
      </w:r>
    </w:p>
    <w:bookmarkEnd w:id="96"/>
    <w:p w14:paraId="458F8C2E" w14:textId="77777777" w:rsidR="00BC537A" w:rsidRPr="00E20D21" w:rsidRDefault="00BC537A" w:rsidP="0054776D">
      <w:pPr>
        <w:spacing w:before="120" w:after="120"/>
        <w:jc w:val="both"/>
        <w:rPr>
          <w:rFonts w:ascii="CAIXA Std Book" w:hAnsi="CAIXA Std Book"/>
          <w:color w:val="005CA9"/>
          <w:szCs w:val="20"/>
        </w:rPr>
      </w:pPr>
    </w:p>
    <w:p w14:paraId="3AE947F4" w14:textId="66B47F12" w:rsidR="00BC537A" w:rsidRPr="00E20D21" w:rsidRDefault="00BC537A" w:rsidP="008D4D4D">
      <w:pPr>
        <w:spacing w:before="120" w:after="120"/>
        <w:jc w:val="both"/>
        <w:rPr>
          <w:rFonts w:ascii="CAIXA Std Book" w:hAnsi="CAIXA Std Book"/>
          <w:color w:val="005CA9"/>
          <w:szCs w:val="20"/>
        </w:rPr>
        <w:sectPr w:rsidR="00BC537A" w:rsidRPr="00E20D21" w:rsidSect="001F0E96">
          <w:headerReference w:type="default" r:id="rId77"/>
          <w:footerReference w:type="default" r:id="rId78"/>
          <w:headerReference w:type="first" r:id="rId79"/>
          <w:footerReference w:type="first" r:id="rId80"/>
          <w:pgSz w:w="11906" w:h="16838"/>
          <w:pgMar w:top="1276" w:right="851" w:bottom="851" w:left="1418" w:header="1134"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2514"/>
        <w:gridCol w:w="964"/>
        <w:gridCol w:w="896"/>
        <w:gridCol w:w="1278"/>
        <w:gridCol w:w="768"/>
        <w:gridCol w:w="1345"/>
        <w:gridCol w:w="950"/>
        <w:gridCol w:w="964"/>
        <w:gridCol w:w="839"/>
        <w:gridCol w:w="1090"/>
        <w:gridCol w:w="819"/>
        <w:gridCol w:w="1131"/>
        <w:gridCol w:w="1011"/>
      </w:tblGrid>
      <w:tr w:rsidR="00A47C19" w:rsidRPr="00E20D21" w14:paraId="74B55AAB" w14:textId="77777777" w:rsidTr="006C1D19">
        <w:trPr>
          <w:trHeight w:val="181"/>
        </w:trPr>
        <w:tc>
          <w:tcPr>
            <w:tcW w:w="4998" w:type="pct"/>
            <w:gridSpan w:val="13"/>
            <w:tcBorders>
              <w:top w:val="single" w:sz="4" w:space="0" w:color="F39200"/>
              <w:left w:val="nil"/>
              <w:bottom w:val="single" w:sz="4" w:space="0" w:color="F39200"/>
              <w:right w:val="nil"/>
            </w:tcBorders>
            <w:shd w:val="clear" w:color="auto" w:fill="auto"/>
            <w:noWrap/>
            <w:vAlign w:val="center"/>
            <w:hideMark/>
          </w:tcPr>
          <w:p w14:paraId="6F3C3B21" w14:textId="77777777"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lastRenderedPageBreak/>
              <w:t>INDIVIDUAL</w:t>
            </w:r>
          </w:p>
        </w:tc>
      </w:tr>
      <w:tr w:rsidR="00A47C19" w:rsidRPr="00E20D21" w14:paraId="66C3775C" w14:textId="77777777" w:rsidTr="006C1D19">
        <w:trPr>
          <w:trHeight w:val="181"/>
        </w:trPr>
        <w:tc>
          <w:tcPr>
            <w:tcW w:w="863" w:type="pct"/>
            <w:vMerge w:val="restart"/>
            <w:tcBorders>
              <w:top w:val="nil"/>
              <w:left w:val="nil"/>
              <w:right w:val="nil"/>
            </w:tcBorders>
            <w:shd w:val="clear" w:color="auto" w:fill="auto"/>
            <w:vAlign w:val="center"/>
            <w:hideMark/>
          </w:tcPr>
          <w:p w14:paraId="6C6451B9" w14:textId="77777777"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Descrição</w:t>
            </w:r>
          </w:p>
        </w:tc>
        <w:tc>
          <w:tcPr>
            <w:tcW w:w="2128" w:type="pct"/>
            <w:gridSpan w:val="6"/>
            <w:tcBorders>
              <w:top w:val="nil"/>
              <w:left w:val="nil"/>
              <w:bottom w:val="single" w:sz="4" w:space="0" w:color="F39200"/>
            </w:tcBorders>
            <w:shd w:val="clear" w:color="auto" w:fill="auto"/>
            <w:vAlign w:val="center"/>
            <w:hideMark/>
          </w:tcPr>
          <w:p w14:paraId="5FA00CEF" w14:textId="105915F0" w:rsidR="00254E5B" w:rsidRPr="00E20D21" w:rsidRDefault="005100AC">
            <w:pPr>
              <w:jc w:val="center"/>
              <w:rPr>
                <w:rFonts w:ascii="CAIXA Std Book" w:hAnsi="CAIXA Std Book"/>
                <w:b/>
                <w:color w:val="005CA9"/>
                <w:sz w:val="13"/>
                <w:szCs w:val="13"/>
              </w:rPr>
            </w:pPr>
            <w:r w:rsidRPr="00E20D21">
              <w:rPr>
                <w:rFonts w:ascii="CAIXA Std Book" w:hAnsi="CAIXA Std Book"/>
                <w:b/>
                <w:color w:val="005CA9"/>
                <w:sz w:val="13"/>
                <w:szCs w:val="13"/>
              </w:rPr>
              <w:t>30/06/2024</w:t>
            </w:r>
          </w:p>
        </w:tc>
        <w:tc>
          <w:tcPr>
            <w:tcW w:w="2007" w:type="pct"/>
            <w:gridSpan w:val="6"/>
            <w:tcBorders>
              <w:top w:val="nil"/>
              <w:left w:val="nil"/>
            </w:tcBorders>
            <w:shd w:val="clear" w:color="auto" w:fill="auto"/>
            <w:vAlign w:val="center"/>
            <w:hideMark/>
          </w:tcPr>
          <w:p w14:paraId="1A1D07DD" w14:textId="6A63BADF"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31/12/202</w:t>
            </w:r>
            <w:r w:rsidR="00773A32" w:rsidRPr="00E20D21">
              <w:rPr>
                <w:rFonts w:ascii="CAIXA Std Book" w:hAnsi="CAIXA Std Book"/>
                <w:b/>
                <w:color w:val="005CA9"/>
                <w:sz w:val="13"/>
                <w:szCs w:val="13"/>
              </w:rPr>
              <w:t>3</w:t>
            </w:r>
          </w:p>
        </w:tc>
      </w:tr>
      <w:tr w:rsidR="00A47C19" w:rsidRPr="00E20D21" w14:paraId="55AF599D" w14:textId="77777777" w:rsidTr="006C1D19">
        <w:trPr>
          <w:trHeight w:val="181"/>
        </w:trPr>
        <w:tc>
          <w:tcPr>
            <w:tcW w:w="863" w:type="pct"/>
            <w:vMerge/>
            <w:vAlign w:val="center"/>
            <w:hideMark/>
          </w:tcPr>
          <w:p w14:paraId="73C6E899" w14:textId="77777777" w:rsidR="00254E5B" w:rsidRPr="00E20D21" w:rsidRDefault="00254E5B">
            <w:pPr>
              <w:rPr>
                <w:rFonts w:ascii="CAIXA Std Book" w:hAnsi="CAIXA Std Book"/>
                <w:b/>
                <w:color w:val="005CA9"/>
                <w:sz w:val="13"/>
                <w:szCs w:val="13"/>
              </w:rPr>
            </w:pPr>
          </w:p>
        </w:tc>
        <w:tc>
          <w:tcPr>
            <w:tcW w:w="330" w:type="pct"/>
            <w:tcBorders>
              <w:top w:val="nil"/>
              <w:left w:val="nil"/>
              <w:bottom w:val="single" w:sz="4" w:space="0" w:color="F39200"/>
              <w:right w:val="nil"/>
            </w:tcBorders>
            <w:shd w:val="clear" w:color="auto" w:fill="auto"/>
            <w:noWrap/>
            <w:vAlign w:val="center"/>
            <w:hideMark/>
          </w:tcPr>
          <w:p w14:paraId="30D6302A" w14:textId="77777777"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 xml:space="preserve">Controladora </w:t>
            </w:r>
          </w:p>
        </w:tc>
        <w:tc>
          <w:tcPr>
            <w:tcW w:w="308" w:type="pct"/>
            <w:tcBorders>
              <w:top w:val="nil"/>
              <w:left w:val="nil"/>
              <w:bottom w:val="single" w:sz="4" w:space="0" w:color="F39200"/>
              <w:right w:val="nil"/>
            </w:tcBorders>
            <w:shd w:val="clear" w:color="auto" w:fill="auto"/>
            <w:vAlign w:val="center"/>
            <w:hideMark/>
          </w:tcPr>
          <w:p w14:paraId="71057EA1" w14:textId="185BF79C" w:rsidR="00254E5B" w:rsidRPr="00E20D21" w:rsidRDefault="00254E5B" w:rsidP="55284E34">
            <w:pPr>
              <w:jc w:val="center"/>
              <w:rPr>
                <w:rFonts w:ascii="CAIXA Std Book" w:hAnsi="CAIXA Std Book"/>
                <w:b/>
                <w:bCs/>
                <w:color w:val="005CA9"/>
                <w:sz w:val="13"/>
                <w:szCs w:val="13"/>
              </w:rPr>
            </w:pPr>
            <w:r w:rsidRPr="00E20D21">
              <w:rPr>
                <w:rFonts w:ascii="CAIXA Std Book" w:hAnsi="CAIXA Std Book"/>
                <w:b/>
                <w:color w:val="005CA9"/>
                <w:sz w:val="13"/>
                <w:szCs w:val="13"/>
              </w:rPr>
              <w:t xml:space="preserve">Controlada </w:t>
            </w:r>
          </w:p>
          <w:p w14:paraId="24029B65" w14:textId="24C0152B" w:rsidR="00254E5B" w:rsidRPr="00E20D21" w:rsidRDefault="00254E5B">
            <w:pPr>
              <w:jc w:val="center"/>
              <w:rPr>
                <w:rFonts w:ascii="CAIXA Std Book" w:hAnsi="CAIXA Std Book"/>
                <w:b/>
                <w:color w:val="005CA9"/>
                <w:sz w:val="13"/>
                <w:szCs w:val="13"/>
              </w:rPr>
            </w:pPr>
          </w:p>
        </w:tc>
        <w:tc>
          <w:tcPr>
            <w:tcW w:w="439" w:type="pct"/>
            <w:tcBorders>
              <w:top w:val="single" w:sz="4" w:space="0" w:color="F39200"/>
              <w:left w:val="nil"/>
              <w:bottom w:val="single" w:sz="4" w:space="0" w:color="F39200"/>
              <w:right w:val="nil"/>
            </w:tcBorders>
            <w:shd w:val="clear" w:color="auto" w:fill="auto"/>
            <w:vAlign w:val="center"/>
            <w:hideMark/>
          </w:tcPr>
          <w:p w14:paraId="131026E5" w14:textId="7FE4510F"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 xml:space="preserve">Controlada em conjunto </w:t>
            </w:r>
          </w:p>
        </w:tc>
        <w:tc>
          <w:tcPr>
            <w:tcW w:w="264" w:type="pct"/>
            <w:tcBorders>
              <w:top w:val="single" w:sz="4" w:space="0" w:color="F39200"/>
              <w:left w:val="nil"/>
              <w:bottom w:val="single" w:sz="4" w:space="0" w:color="F39200"/>
              <w:right w:val="nil"/>
            </w:tcBorders>
            <w:shd w:val="clear" w:color="auto" w:fill="auto"/>
            <w:vAlign w:val="center"/>
            <w:hideMark/>
          </w:tcPr>
          <w:p w14:paraId="1AB44C26" w14:textId="273681CA" w:rsidR="00254E5B" w:rsidRPr="00E20D21" w:rsidRDefault="00254E5B" w:rsidP="55284E34">
            <w:pPr>
              <w:spacing w:line="259" w:lineRule="auto"/>
              <w:jc w:val="center"/>
              <w:rPr>
                <w:rFonts w:ascii="CAIXA Std Book" w:hAnsi="CAIXA Std Book"/>
                <w:b/>
                <w:bCs/>
                <w:color w:val="005CA9"/>
                <w:sz w:val="13"/>
                <w:szCs w:val="13"/>
              </w:rPr>
            </w:pPr>
            <w:r w:rsidRPr="00E20D21">
              <w:rPr>
                <w:rFonts w:ascii="CAIXA Std Book" w:hAnsi="CAIXA Std Book"/>
                <w:b/>
                <w:color w:val="005CA9"/>
                <w:sz w:val="13"/>
                <w:szCs w:val="13"/>
              </w:rPr>
              <w:t>Coligada</w:t>
            </w:r>
          </w:p>
          <w:p w14:paraId="6DB0D151" w14:textId="58A1F4BF" w:rsidR="00254E5B" w:rsidRPr="00E20D21" w:rsidRDefault="00254E5B">
            <w:pPr>
              <w:jc w:val="center"/>
              <w:rPr>
                <w:rFonts w:ascii="CAIXA Std Book" w:hAnsi="CAIXA Std Book"/>
                <w:b/>
                <w:color w:val="005CA9"/>
                <w:sz w:val="13"/>
                <w:szCs w:val="13"/>
              </w:rPr>
            </w:pPr>
          </w:p>
        </w:tc>
        <w:tc>
          <w:tcPr>
            <w:tcW w:w="462" w:type="pct"/>
            <w:tcBorders>
              <w:top w:val="single" w:sz="4" w:space="0" w:color="F39200"/>
              <w:left w:val="nil"/>
              <w:bottom w:val="single" w:sz="4" w:space="0" w:color="F39200"/>
              <w:right w:val="nil"/>
            </w:tcBorders>
            <w:shd w:val="clear" w:color="auto" w:fill="auto"/>
            <w:vAlign w:val="center"/>
            <w:hideMark/>
          </w:tcPr>
          <w:p w14:paraId="335AFE1F" w14:textId="77777777" w:rsidR="00254E5B" w:rsidRPr="00E20D21" w:rsidRDefault="00254E5B">
            <w:pPr>
              <w:jc w:val="center"/>
              <w:rPr>
                <w:rFonts w:ascii="CAIXA Std Book" w:hAnsi="CAIXA Std Book"/>
                <w:b/>
                <w:color w:val="005CA9"/>
                <w:sz w:val="13"/>
                <w:szCs w:val="13"/>
              </w:rPr>
            </w:pPr>
            <w:proofErr w:type="gramStart"/>
            <w:r w:rsidRPr="00E20D21">
              <w:rPr>
                <w:rFonts w:ascii="CAIXA Std Book" w:hAnsi="CAIXA Std Book"/>
                <w:b/>
                <w:color w:val="005CA9"/>
                <w:sz w:val="13"/>
                <w:szCs w:val="13"/>
              </w:rPr>
              <w:t>Pessoal</w:t>
            </w:r>
            <w:proofErr w:type="gramEnd"/>
            <w:r w:rsidRPr="00E20D21">
              <w:rPr>
                <w:rFonts w:ascii="CAIXA Std Book" w:hAnsi="CAIXA Std Book"/>
                <w:b/>
                <w:color w:val="005CA9"/>
                <w:sz w:val="13"/>
                <w:szCs w:val="13"/>
              </w:rPr>
              <w:t xml:space="preserve"> chave da administração</w:t>
            </w:r>
          </w:p>
        </w:tc>
        <w:tc>
          <w:tcPr>
            <w:tcW w:w="326" w:type="pct"/>
            <w:tcBorders>
              <w:top w:val="single" w:sz="4" w:space="0" w:color="F39200"/>
              <w:left w:val="nil"/>
              <w:bottom w:val="single" w:sz="4" w:space="0" w:color="F39200"/>
            </w:tcBorders>
            <w:shd w:val="clear" w:color="auto" w:fill="auto"/>
            <w:vAlign w:val="center"/>
            <w:hideMark/>
          </w:tcPr>
          <w:p w14:paraId="44D3C21B" w14:textId="6534E685"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 xml:space="preserve">Outras entidades </w:t>
            </w:r>
          </w:p>
        </w:tc>
        <w:tc>
          <w:tcPr>
            <w:tcW w:w="330" w:type="pct"/>
            <w:tcBorders>
              <w:top w:val="single" w:sz="4" w:space="0" w:color="F39200"/>
              <w:left w:val="nil"/>
              <w:bottom w:val="single" w:sz="4" w:space="0" w:color="F39200"/>
              <w:right w:val="nil"/>
            </w:tcBorders>
            <w:shd w:val="clear" w:color="auto" w:fill="auto"/>
            <w:noWrap/>
            <w:vAlign w:val="center"/>
            <w:hideMark/>
          </w:tcPr>
          <w:p w14:paraId="0ACA4D4B" w14:textId="77777777"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 xml:space="preserve">Controladora </w:t>
            </w:r>
          </w:p>
        </w:tc>
        <w:tc>
          <w:tcPr>
            <w:tcW w:w="288" w:type="pct"/>
            <w:tcBorders>
              <w:top w:val="single" w:sz="4" w:space="0" w:color="F39200"/>
              <w:left w:val="nil"/>
              <w:bottom w:val="single" w:sz="4" w:space="0" w:color="F39200"/>
              <w:right w:val="nil"/>
            </w:tcBorders>
            <w:shd w:val="clear" w:color="auto" w:fill="auto"/>
            <w:vAlign w:val="center"/>
            <w:hideMark/>
          </w:tcPr>
          <w:p w14:paraId="0E03F4AA" w14:textId="77777777"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Controlada</w:t>
            </w:r>
          </w:p>
        </w:tc>
        <w:tc>
          <w:tcPr>
            <w:tcW w:w="374" w:type="pct"/>
            <w:tcBorders>
              <w:top w:val="single" w:sz="4" w:space="0" w:color="F39200"/>
              <w:left w:val="nil"/>
              <w:bottom w:val="single" w:sz="4" w:space="0" w:color="F39200"/>
              <w:right w:val="nil"/>
            </w:tcBorders>
            <w:shd w:val="clear" w:color="auto" w:fill="auto"/>
            <w:vAlign w:val="center"/>
            <w:hideMark/>
          </w:tcPr>
          <w:p w14:paraId="48CDDCFF" w14:textId="77777777"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Controlada em conjunto</w:t>
            </w:r>
          </w:p>
        </w:tc>
        <w:tc>
          <w:tcPr>
            <w:tcW w:w="281" w:type="pct"/>
            <w:tcBorders>
              <w:top w:val="single" w:sz="4" w:space="0" w:color="F39200"/>
              <w:left w:val="nil"/>
              <w:bottom w:val="single" w:sz="4" w:space="0" w:color="F39200"/>
              <w:right w:val="nil"/>
            </w:tcBorders>
            <w:shd w:val="clear" w:color="auto" w:fill="auto"/>
            <w:vAlign w:val="center"/>
            <w:hideMark/>
          </w:tcPr>
          <w:p w14:paraId="1CA4082B" w14:textId="77777777"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Coligada</w:t>
            </w:r>
          </w:p>
        </w:tc>
        <w:tc>
          <w:tcPr>
            <w:tcW w:w="388" w:type="pct"/>
            <w:tcBorders>
              <w:top w:val="single" w:sz="4" w:space="0" w:color="F39200"/>
              <w:left w:val="nil"/>
              <w:bottom w:val="single" w:sz="4" w:space="0" w:color="F39200"/>
              <w:right w:val="nil"/>
            </w:tcBorders>
            <w:shd w:val="clear" w:color="auto" w:fill="auto"/>
            <w:vAlign w:val="center"/>
            <w:hideMark/>
          </w:tcPr>
          <w:p w14:paraId="5BDA11D1" w14:textId="77777777" w:rsidR="00254E5B" w:rsidRPr="00E20D21" w:rsidRDefault="00254E5B">
            <w:pPr>
              <w:jc w:val="center"/>
              <w:rPr>
                <w:rFonts w:ascii="CAIXA Std Book" w:hAnsi="CAIXA Std Book"/>
                <w:b/>
                <w:color w:val="005CA9"/>
                <w:sz w:val="13"/>
                <w:szCs w:val="13"/>
              </w:rPr>
            </w:pPr>
            <w:proofErr w:type="gramStart"/>
            <w:r w:rsidRPr="00E20D21">
              <w:rPr>
                <w:rFonts w:ascii="CAIXA Std Book" w:hAnsi="CAIXA Std Book"/>
                <w:b/>
                <w:color w:val="005CA9"/>
                <w:sz w:val="13"/>
                <w:szCs w:val="13"/>
              </w:rPr>
              <w:t>Pessoal</w:t>
            </w:r>
            <w:proofErr w:type="gramEnd"/>
            <w:r w:rsidRPr="00E20D21">
              <w:rPr>
                <w:rFonts w:ascii="CAIXA Std Book" w:hAnsi="CAIXA Std Book"/>
                <w:b/>
                <w:color w:val="005CA9"/>
                <w:sz w:val="13"/>
                <w:szCs w:val="13"/>
              </w:rPr>
              <w:t xml:space="preserve"> chave da administração</w:t>
            </w:r>
          </w:p>
        </w:tc>
        <w:tc>
          <w:tcPr>
            <w:tcW w:w="347" w:type="pct"/>
            <w:tcBorders>
              <w:top w:val="single" w:sz="4" w:space="0" w:color="F39200"/>
              <w:left w:val="nil"/>
              <w:bottom w:val="single" w:sz="4" w:space="0" w:color="F39200"/>
            </w:tcBorders>
            <w:shd w:val="clear" w:color="auto" w:fill="auto"/>
            <w:vAlign w:val="center"/>
            <w:hideMark/>
          </w:tcPr>
          <w:p w14:paraId="57EA619B" w14:textId="77777777" w:rsidR="00254E5B" w:rsidRPr="00E20D21" w:rsidRDefault="00254E5B">
            <w:pPr>
              <w:jc w:val="center"/>
              <w:rPr>
                <w:rFonts w:ascii="CAIXA Std Book" w:hAnsi="CAIXA Std Book"/>
                <w:b/>
                <w:color w:val="005CA9"/>
                <w:sz w:val="13"/>
                <w:szCs w:val="13"/>
              </w:rPr>
            </w:pPr>
            <w:r w:rsidRPr="00E20D21">
              <w:rPr>
                <w:rFonts w:ascii="CAIXA Std Book" w:hAnsi="CAIXA Std Book"/>
                <w:b/>
                <w:color w:val="005CA9"/>
                <w:sz w:val="13"/>
                <w:szCs w:val="13"/>
              </w:rPr>
              <w:t>Outras entidades</w:t>
            </w:r>
          </w:p>
        </w:tc>
      </w:tr>
      <w:tr w:rsidR="003F0FD2" w:rsidRPr="00E20D21" w14:paraId="11A78130" w14:textId="77777777" w:rsidTr="006C1D19">
        <w:trPr>
          <w:trHeight w:val="181"/>
        </w:trPr>
        <w:tc>
          <w:tcPr>
            <w:tcW w:w="863" w:type="pct"/>
            <w:tcBorders>
              <w:top w:val="single" w:sz="4" w:space="0" w:color="F39200"/>
              <w:left w:val="nil"/>
              <w:bottom w:val="single" w:sz="4" w:space="0" w:color="F39200"/>
              <w:right w:val="nil"/>
            </w:tcBorders>
            <w:shd w:val="clear" w:color="auto" w:fill="auto"/>
            <w:vAlign w:val="center"/>
            <w:hideMark/>
          </w:tcPr>
          <w:p w14:paraId="430DC1DD" w14:textId="77777777" w:rsidR="003F0FD2" w:rsidRPr="00E20D21" w:rsidRDefault="003F0FD2" w:rsidP="003F0FD2">
            <w:pPr>
              <w:jc w:val="both"/>
              <w:rPr>
                <w:rFonts w:ascii="CAIXA Std Book" w:hAnsi="CAIXA Std Book"/>
                <w:b/>
                <w:color w:val="005CA9"/>
                <w:sz w:val="13"/>
                <w:szCs w:val="13"/>
              </w:rPr>
            </w:pPr>
            <w:r w:rsidRPr="00E20D21">
              <w:rPr>
                <w:rFonts w:ascii="CAIXA Std Book" w:hAnsi="CAIXA Std Book" w:cs="Calibri"/>
                <w:b/>
                <w:bCs/>
                <w:color w:val="005CA9"/>
                <w:sz w:val="13"/>
                <w:szCs w:val="13"/>
              </w:rPr>
              <w:t>ATIVO:</w:t>
            </w:r>
          </w:p>
        </w:tc>
        <w:tc>
          <w:tcPr>
            <w:tcW w:w="330" w:type="pct"/>
            <w:tcBorders>
              <w:top w:val="single" w:sz="4" w:space="0" w:color="F39200"/>
              <w:left w:val="nil"/>
              <w:bottom w:val="single" w:sz="4" w:space="0" w:color="F39200"/>
              <w:right w:val="nil"/>
            </w:tcBorders>
            <w:shd w:val="clear" w:color="auto" w:fill="auto"/>
            <w:vAlign w:val="center"/>
          </w:tcPr>
          <w:p w14:paraId="01D30F5C" w14:textId="523D2AE2" w:rsidR="003F0FD2" w:rsidRPr="00E20D21" w:rsidRDefault="00954734" w:rsidP="003F0FD2">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27</w:t>
            </w:r>
            <w:r w:rsidR="00FB24A9" w:rsidRPr="00E20D21">
              <w:rPr>
                <w:rFonts w:ascii="CAIXA Std Book" w:eastAsia="Futura Lt BT" w:hAnsi="CAIXA Std Book" w:cs="Futura Lt BT"/>
                <w:b/>
                <w:color w:val="005CA9"/>
                <w:sz w:val="13"/>
                <w:szCs w:val="13"/>
              </w:rPr>
              <w:t>5.82</w:t>
            </w:r>
            <w:r w:rsidR="00C054A8" w:rsidRPr="00E20D21">
              <w:rPr>
                <w:rFonts w:ascii="CAIXA Std Book" w:eastAsia="Futura Lt BT" w:hAnsi="CAIXA Std Book" w:cs="Futura Lt BT"/>
                <w:b/>
                <w:color w:val="005CA9"/>
                <w:sz w:val="13"/>
                <w:szCs w:val="13"/>
              </w:rPr>
              <w:t>7.553</w:t>
            </w:r>
          </w:p>
        </w:tc>
        <w:tc>
          <w:tcPr>
            <w:tcW w:w="308" w:type="pct"/>
            <w:tcBorders>
              <w:top w:val="single" w:sz="4" w:space="0" w:color="F39200"/>
              <w:left w:val="nil"/>
              <w:bottom w:val="single" w:sz="4" w:space="0" w:color="F39200"/>
              <w:right w:val="nil"/>
            </w:tcBorders>
            <w:shd w:val="clear" w:color="auto" w:fill="auto"/>
            <w:vAlign w:val="center"/>
          </w:tcPr>
          <w:p w14:paraId="1900E842" w14:textId="17A3BB8D" w:rsidR="003F0FD2" w:rsidRPr="00E20D21" w:rsidRDefault="00954734" w:rsidP="003F0FD2">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2.081.380</w:t>
            </w:r>
          </w:p>
        </w:tc>
        <w:tc>
          <w:tcPr>
            <w:tcW w:w="439" w:type="pct"/>
            <w:tcBorders>
              <w:top w:val="single" w:sz="4" w:space="0" w:color="F39200"/>
              <w:left w:val="nil"/>
              <w:bottom w:val="single" w:sz="4" w:space="0" w:color="F39200"/>
              <w:right w:val="nil"/>
            </w:tcBorders>
            <w:shd w:val="clear" w:color="auto" w:fill="auto"/>
            <w:vAlign w:val="center"/>
          </w:tcPr>
          <w:p w14:paraId="52DAE96B" w14:textId="5DF2993E" w:rsidR="003F0FD2" w:rsidRPr="00E20D21" w:rsidRDefault="00954734" w:rsidP="003F0FD2">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14.090</w:t>
            </w:r>
          </w:p>
        </w:tc>
        <w:tc>
          <w:tcPr>
            <w:tcW w:w="264" w:type="pct"/>
            <w:tcBorders>
              <w:top w:val="single" w:sz="4" w:space="0" w:color="F39200"/>
              <w:left w:val="nil"/>
              <w:bottom w:val="single" w:sz="4" w:space="0" w:color="F39200"/>
              <w:right w:val="nil"/>
            </w:tcBorders>
            <w:shd w:val="clear" w:color="auto" w:fill="auto"/>
            <w:vAlign w:val="center"/>
          </w:tcPr>
          <w:p w14:paraId="33399C9E" w14:textId="05D9FE14" w:rsidR="003F0FD2" w:rsidRPr="00E20D21" w:rsidRDefault="00954734" w:rsidP="003F0FD2">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1.921</w:t>
            </w:r>
            <w:r w:rsidR="0096550B" w:rsidRPr="00E20D21">
              <w:rPr>
                <w:rFonts w:ascii="CAIXA Std Book" w:eastAsia="Futura Lt BT" w:hAnsi="CAIXA Std Book" w:cs="Futura Lt BT"/>
                <w:b/>
                <w:color w:val="005CA9"/>
                <w:sz w:val="13"/>
                <w:szCs w:val="13"/>
              </w:rPr>
              <w:t>.871</w:t>
            </w:r>
          </w:p>
        </w:tc>
        <w:tc>
          <w:tcPr>
            <w:tcW w:w="462" w:type="pct"/>
            <w:tcBorders>
              <w:top w:val="single" w:sz="4" w:space="0" w:color="F39200"/>
              <w:left w:val="nil"/>
              <w:bottom w:val="single" w:sz="4" w:space="0" w:color="F39200"/>
              <w:right w:val="nil"/>
            </w:tcBorders>
            <w:shd w:val="clear" w:color="auto" w:fill="auto"/>
            <w:vAlign w:val="center"/>
          </w:tcPr>
          <w:p w14:paraId="443A1EB5" w14:textId="7FF727E9" w:rsidR="003F0FD2" w:rsidRPr="00E20D21" w:rsidRDefault="0096550B" w:rsidP="003F0FD2">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30.029</w:t>
            </w:r>
          </w:p>
        </w:tc>
        <w:tc>
          <w:tcPr>
            <w:tcW w:w="326" w:type="pct"/>
            <w:tcBorders>
              <w:top w:val="single" w:sz="4" w:space="0" w:color="F39200"/>
              <w:left w:val="nil"/>
              <w:bottom w:val="single" w:sz="4" w:space="0" w:color="F39200"/>
            </w:tcBorders>
            <w:shd w:val="clear" w:color="auto" w:fill="auto"/>
            <w:vAlign w:val="center"/>
          </w:tcPr>
          <w:p w14:paraId="04B8E045" w14:textId="538A8B01" w:rsidR="003F0FD2" w:rsidRPr="00E20D21" w:rsidRDefault="0096550B" w:rsidP="003F0FD2">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37.</w:t>
            </w:r>
            <w:r w:rsidR="00C82BFD" w:rsidRPr="00E20D21">
              <w:rPr>
                <w:rFonts w:ascii="CAIXA Std Book" w:eastAsia="Futura Lt BT" w:hAnsi="CAIXA Std Book" w:cs="Futura Lt BT"/>
                <w:b/>
                <w:color w:val="005CA9"/>
                <w:sz w:val="13"/>
                <w:szCs w:val="13"/>
              </w:rPr>
              <w:t>67</w:t>
            </w:r>
            <w:r w:rsidR="00245B85" w:rsidRPr="00E20D21">
              <w:rPr>
                <w:rFonts w:ascii="CAIXA Std Book" w:eastAsia="Futura Lt BT" w:hAnsi="CAIXA Std Book" w:cs="Futura Lt BT"/>
                <w:b/>
                <w:color w:val="005CA9"/>
                <w:sz w:val="13"/>
                <w:szCs w:val="13"/>
              </w:rPr>
              <w:t>6</w:t>
            </w:r>
            <w:r w:rsidR="0048640E" w:rsidRPr="00E20D21">
              <w:rPr>
                <w:rFonts w:ascii="CAIXA Std Book" w:eastAsia="Futura Lt BT" w:hAnsi="CAIXA Std Book" w:cs="Futura Lt BT"/>
                <w:b/>
                <w:color w:val="005CA9"/>
                <w:sz w:val="13"/>
                <w:szCs w:val="13"/>
              </w:rPr>
              <w:t>.637</w:t>
            </w:r>
          </w:p>
        </w:tc>
        <w:tc>
          <w:tcPr>
            <w:tcW w:w="330" w:type="pct"/>
            <w:tcBorders>
              <w:top w:val="single" w:sz="4" w:space="0" w:color="F39200"/>
              <w:left w:val="nil"/>
              <w:bottom w:val="single" w:sz="4" w:space="0" w:color="F39200"/>
              <w:right w:val="nil"/>
            </w:tcBorders>
            <w:shd w:val="clear" w:color="auto" w:fill="auto"/>
            <w:vAlign w:val="center"/>
          </w:tcPr>
          <w:p w14:paraId="43807ABA" w14:textId="5D9231E5" w:rsidR="003F0FD2" w:rsidRPr="00E20D21" w:rsidRDefault="003F0FD2" w:rsidP="003F0FD2">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264.905.417</w:t>
            </w:r>
          </w:p>
        </w:tc>
        <w:tc>
          <w:tcPr>
            <w:tcW w:w="288" w:type="pct"/>
            <w:tcBorders>
              <w:top w:val="single" w:sz="4" w:space="0" w:color="F39200"/>
              <w:left w:val="nil"/>
              <w:bottom w:val="single" w:sz="4" w:space="0" w:color="F39200"/>
              <w:right w:val="nil"/>
            </w:tcBorders>
            <w:shd w:val="clear" w:color="auto" w:fill="auto"/>
            <w:vAlign w:val="center"/>
          </w:tcPr>
          <w:p w14:paraId="32F10C3C" w14:textId="4C90FAE1" w:rsidR="003F0FD2" w:rsidRPr="00E20D21" w:rsidRDefault="003F0FD2" w:rsidP="003F0FD2">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2.400.292</w:t>
            </w:r>
          </w:p>
        </w:tc>
        <w:tc>
          <w:tcPr>
            <w:tcW w:w="374" w:type="pct"/>
            <w:tcBorders>
              <w:top w:val="single" w:sz="4" w:space="0" w:color="F39200"/>
              <w:left w:val="nil"/>
              <w:bottom w:val="single" w:sz="4" w:space="0" w:color="F39200"/>
              <w:right w:val="nil"/>
            </w:tcBorders>
            <w:shd w:val="clear" w:color="auto" w:fill="auto"/>
            <w:vAlign w:val="center"/>
          </w:tcPr>
          <w:p w14:paraId="646F2B64" w14:textId="70F557A9" w:rsidR="003F0FD2" w:rsidRPr="00E20D21" w:rsidRDefault="003F0FD2" w:rsidP="003F0FD2">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1.794.798</w:t>
            </w:r>
          </w:p>
        </w:tc>
        <w:tc>
          <w:tcPr>
            <w:tcW w:w="281" w:type="pct"/>
            <w:tcBorders>
              <w:top w:val="single" w:sz="4" w:space="0" w:color="F39200"/>
              <w:left w:val="nil"/>
              <w:bottom w:val="single" w:sz="4" w:space="0" w:color="F39200"/>
              <w:right w:val="nil"/>
            </w:tcBorders>
            <w:shd w:val="clear" w:color="auto" w:fill="auto"/>
            <w:vAlign w:val="center"/>
          </w:tcPr>
          <w:p w14:paraId="17E0941E" w14:textId="0F30EB01" w:rsidR="003F0FD2" w:rsidRPr="00E20D21" w:rsidRDefault="003F0FD2" w:rsidP="003F0FD2">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142.497</w:t>
            </w:r>
          </w:p>
        </w:tc>
        <w:tc>
          <w:tcPr>
            <w:tcW w:w="388" w:type="pct"/>
            <w:tcBorders>
              <w:top w:val="single" w:sz="4" w:space="0" w:color="F39200"/>
              <w:left w:val="nil"/>
              <w:bottom w:val="single" w:sz="4" w:space="0" w:color="F39200"/>
              <w:right w:val="nil"/>
            </w:tcBorders>
            <w:shd w:val="clear" w:color="auto" w:fill="auto"/>
            <w:vAlign w:val="center"/>
          </w:tcPr>
          <w:p w14:paraId="1D9EEEE2" w14:textId="18666751" w:rsidR="003F0FD2" w:rsidRPr="00E20D21" w:rsidRDefault="00E87B14" w:rsidP="003F0FD2">
            <w:pPr>
              <w:jc w:val="right"/>
              <w:rPr>
                <w:rFonts w:ascii="CAIXA Std Book" w:hAnsi="CAIXA Std Book" w:cs="Calibri"/>
                <w:b/>
                <w:color w:val="005CA9"/>
                <w:sz w:val="13"/>
                <w:szCs w:val="13"/>
              </w:rPr>
            </w:pPr>
            <w:r w:rsidRPr="00E20D21">
              <w:rPr>
                <w:rFonts w:ascii="CAIXA Std Book" w:hAnsi="CAIXA Std Book" w:cs="Calibri"/>
                <w:b/>
                <w:color w:val="005CA9"/>
                <w:sz w:val="13"/>
                <w:szCs w:val="13"/>
              </w:rPr>
              <w:t>33.</w:t>
            </w:r>
            <w:r w:rsidR="0062061D" w:rsidRPr="00E20D21">
              <w:rPr>
                <w:rFonts w:ascii="CAIXA Std Book" w:hAnsi="CAIXA Std Book" w:cs="Calibri"/>
                <w:b/>
                <w:color w:val="005CA9"/>
                <w:sz w:val="13"/>
                <w:szCs w:val="13"/>
              </w:rPr>
              <w:t>943</w:t>
            </w:r>
          </w:p>
        </w:tc>
        <w:tc>
          <w:tcPr>
            <w:tcW w:w="347" w:type="pct"/>
            <w:tcBorders>
              <w:top w:val="single" w:sz="4" w:space="0" w:color="F39200"/>
              <w:left w:val="nil"/>
              <w:bottom w:val="single" w:sz="4" w:space="0" w:color="F39200"/>
            </w:tcBorders>
            <w:shd w:val="clear" w:color="auto" w:fill="auto"/>
            <w:vAlign w:val="center"/>
          </w:tcPr>
          <w:p w14:paraId="753F1F7A" w14:textId="375CDD1F" w:rsidR="003F0FD2" w:rsidRPr="00E20D21" w:rsidRDefault="003F0FD2" w:rsidP="003F0FD2">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36.521.142</w:t>
            </w:r>
          </w:p>
        </w:tc>
      </w:tr>
      <w:tr w:rsidR="00BE74CA" w:rsidRPr="00E20D21" w14:paraId="35EFC8C2" w14:textId="77777777" w:rsidTr="006C1D19">
        <w:trPr>
          <w:trHeight w:val="181"/>
        </w:trPr>
        <w:tc>
          <w:tcPr>
            <w:tcW w:w="863" w:type="pct"/>
            <w:tcBorders>
              <w:top w:val="nil"/>
              <w:left w:val="nil"/>
              <w:bottom w:val="nil"/>
              <w:right w:val="nil"/>
            </w:tcBorders>
            <w:shd w:val="clear" w:color="auto" w:fill="auto"/>
            <w:vAlign w:val="center"/>
            <w:hideMark/>
          </w:tcPr>
          <w:p w14:paraId="6213B746" w14:textId="2C32A12A" w:rsidR="00BE74CA" w:rsidRPr="00E20D21" w:rsidRDefault="00BE74CA" w:rsidP="00BE74CA">
            <w:pPr>
              <w:rPr>
                <w:rFonts w:ascii="CAIXA Std Book" w:hAnsi="CAIXA Std Book" w:cs="Calibri"/>
                <w:color w:val="005CA9"/>
                <w:sz w:val="13"/>
                <w:szCs w:val="13"/>
              </w:rPr>
            </w:pPr>
            <w:r w:rsidRPr="00E20D21">
              <w:rPr>
                <w:rFonts w:ascii="CAIXA Std Book" w:hAnsi="CAIXA Std Book" w:cs="Calibri"/>
                <w:color w:val="005CA9"/>
                <w:sz w:val="13"/>
                <w:szCs w:val="13"/>
              </w:rPr>
              <w:t>Caixa e equivalentes de caixa (1)</w:t>
            </w:r>
          </w:p>
        </w:tc>
        <w:tc>
          <w:tcPr>
            <w:tcW w:w="330" w:type="pct"/>
            <w:tcBorders>
              <w:top w:val="nil"/>
              <w:left w:val="nil"/>
              <w:bottom w:val="nil"/>
              <w:right w:val="nil"/>
            </w:tcBorders>
            <w:shd w:val="clear" w:color="auto" w:fill="auto"/>
            <w:noWrap/>
            <w:vAlign w:val="center"/>
          </w:tcPr>
          <w:p w14:paraId="296AD20C" w14:textId="3053663E" w:rsidR="00BE74CA" w:rsidRPr="00E20D21" w:rsidRDefault="00BE74CA"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308" w:type="pct"/>
            <w:tcBorders>
              <w:top w:val="nil"/>
              <w:left w:val="nil"/>
              <w:bottom w:val="nil"/>
              <w:right w:val="nil"/>
            </w:tcBorders>
            <w:shd w:val="clear" w:color="auto" w:fill="auto"/>
            <w:noWrap/>
            <w:vAlign w:val="center"/>
          </w:tcPr>
          <w:p w14:paraId="0208D321" w14:textId="1BA2E3C7" w:rsidR="00BE74CA" w:rsidRPr="00E20D21" w:rsidRDefault="00BE74CA"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39" w:type="pct"/>
            <w:tcBorders>
              <w:top w:val="nil"/>
              <w:left w:val="nil"/>
              <w:bottom w:val="nil"/>
              <w:right w:val="nil"/>
            </w:tcBorders>
            <w:shd w:val="clear" w:color="auto" w:fill="auto"/>
            <w:noWrap/>
            <w:vAlign w:val="center"/>
          </w:tcPr>
          <w:p w14:paraId="27985861" w14:textId="530910EC" w:rsidR="00BE74CA" w:rsidRPr="00E20D21" w:rsidRDefault="00BE74CA"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264" w:type="pct"/>
            <w:tcBorders>
              <w:top w:val="nil"/>
              <w:left w:val="nil"/>
              <w:bottom w:val="nil"/>
              <w:right w:val="nil"/>
            </w:tcBorders>
            <w:shd w:val="clear" w:color="auto" w:fill="auto"/>
            <w:noWrap/>
          </w:tcPr>
          <w:p w14:paraId="1A834E58" w14:textId="383F3DA7" w:rsidR="00BE74CA" w:rsidRPr="00E20D21" w:rsidRDefault="0006612F" w:rsidP="00BE74CA">
            <w:pPr>
              <w:jc w:val="center"/>
              <w:rPr>
                <w:rFonts w:ascii="CAIXA Std Book" w:eastAsia="Futura Lt BT" w:hAnsi="CAIXA Std Book" w:cs="Futura Lt BT"/>
                <w:color w:val="005CA9"/>
                <w:sz w:val="13"/>
                <w:szCs w:val="13"/>
              </w:rPr>
            </w:pPr>
            <w:r w:rsidRPr="00E20D21">
              <w:rPr>
                <w:rFonts w:ascii="CAIXA Std Book" w:hAnsi="CAIXA Std Book" w:cs="Calibri"/>
                <w:color w:val="005CA9"/>
                <w:sz w:val="13"/>
                <w:szCs w:val="13"/>
              </w:rPr>
              <w:t>1.781.292</w:t>
            </w:r>
          </w:p>
        </w:tc>
        <w:tc>
          <w:tcPr>
            <w:tcW w:w="462" w:type="pct"/>
            <w:tcBorders>
              <w:top w:val="nil"/>
              <w:left w:val="nil"/>
              <w:bottom w:val="nil"/>
              <w:right w:val="nil"/>
            </w:tcBorders>
            <w:shd w:val="clear" w:color="auto" w:fill="auto"/>
            <w:noWrap/>
            <w:vAlign w:val="center"/>
          </w:tcPr>
          <w:p w14:paraId="3A614CED" w14:textId="7A78B922" w:rsidR="00BE74CA" w:rsidRPr="00E20D21" w:rsidRDefault="00BE74CA" w:rsidP="00BE74CA">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326" w:type="pct"/>
            <w:tcBorders>
              <w:top w:val="nil"/>
              <w:left w:val="nil"/>
              <w:bottom w:val="nil"/>
            </w:tcBorders>
            <w:shd w:val="clear" w:color="auto" w:fill="auto"/>
            <w:noWrap/>
            <w:vAlign w:val="center"/>
          </w:tcPr>
          <w:p w14:paraId="41D0FA76" w14:textId="046359FF" w:rsidR="00BE74CA" w:rsidRPr="00E20D21" w:rsidRDefault="00BE74CA" w:rsidP="00BE74CA">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330" w:type="pct"/>
            <w:tcBorders>
              <w:top w:val="nil"/>
              <w:left w:val="nil"/>
              <w:bottom w:val="nil"/>
              <w:right w:val="nil"/>
            </w:tcBorders>
            <w:shd w:val="clear" w:color="auto" w:fill="auto"/>
            <w:noWrap/>
            <w:vAlign w:val="center"/>
          </w:tcPr>
          <w:p w14:paraId="09255CF5" w14:textId="009BCCC0"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796BDF8B" w14:textId="740A9719"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3A6BCEB5" w14:textId="55538082" w:rsidR="00BE74CA" w:rsidRPr="00E20D21" w:rsidRDefault="00BE74CA" w:rsidP="00BE74CA">
            <w:pPr>
              <w:jc w:val="right"/>
              <w:rPr>
                <w:rFonts w:ascii="CAIXA Std Book" w:hAnsi="CAIXA Std Book" w:cs="Calibri"/>
                <w:color w:val="005CA9"/>
                <w:sz w:val="13"/>
                <w:szCs w:val="13"/>
              </w:rPr>
            </w:pPr>
            <w:r w:rsidRPr="00E20D21">
              <w:rPr>
                <w:rFonts w:ascii="CAIXA Std Book" w:hAnsi="CAIXA Std Book" w:cs="Calibri"/>
                <w:color w:val="005CA9"/>
                <w:sz w:val="13"/>
                <w:szCs w:val="13"/>
              </w:rPr>
              <w:t>1.794.780</w:t>
            </w:r>
          </w:p>
        </w:tc>
        <w:tc>
          <w:tcPr>
            <w:tcW w:w="281" w:type="pct"/>
            <w:tcBorders>
              <w:top w:val="nil"/>
              <w:left w:val="nil"/>
              <w:bottom w:val="nil"/>
              <w:right w:val="nil"/>
            </w:tcBorders>
            <w:shd w:val="clear" w:color="auto" w:fill="auto"/>
            <w:noWrap/>
            <w:vAlign w:val="center"/>
          </w:tcPr>
          <w:p w14:paraId="54E5CF4B" w14:textId="7F75EC4A"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0F4E4C69" w14:textId="69F6D6C1"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49D61BA8" w14:textId="3D999E54"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r>
      <w:tr w:rsidR="00BE74CA" w:rsidRPr="00E20D21" w14:paraId="03E50CBF" w14:textId="77777777" w:rsidTr="006C1D19">
        <w:trPr>
          <w:trHeight w:val="181"/>
        </w:trPr>
        <w:tc>
          <w:tcPr>
            <w:tcW w:w="863" w:type="pct"/>
            <w:tcBorders>
              <w:top w:val="nil"/>
              <w:left w:val="nil"/>
              <w:bottom w:val="nil"/>
              <w:right w:val="nil"/>
            </w:tcBorders>
            <w:shd w:val="clear" w:color="auto" w:fill="auto"/>
            <w:vAlign w:val="center"/>
          </w:tcPr>
          <w:p w14:paraId="18BD673B" w14:textId="395B43D4" w:rsidR="00BE74CA" w:rsidRPr="00E20D21" w:rsidRDefault="00BE74CA" w:rsidP="00BE74CA">
            <w:pPr>
              <w:rPr>
                <w:rFonts w:ascii="CAIXA Std Book" w:hAnsi="CAIXA Std Book" w:cs="Calibri"/>
                <w:color w:val="005CA9"/>
                <w:sz w:val="13"/>
                <w:szCs w:val="13"/>
              </w:rPr>
            </w:pPr>
            <w:r w:rsidRPr="00E20D21">
              <w:rPr>
                <w:rFonts w:ascii="CAIXA Std Book" w:hAnsi="CAIXA Std Book" w:cs="Calibri"/>
                <w:color w:val="005CA9"/>
                <w:sz w:val="13"/>
                <w:szCs w:val="13"/>
              </w:rPr>
              <w:t>Aplicações interfinanceiras de liquidez</w:t>
            </w:r>
          </w:p>
        </w:tc>
        <w:tc>
          <w:tcPr>
            <w:tcW w:w="330" w:type="pct"/>
            <w:tcBorders>
              <w:top w:val="nil"/>
              <w:left w:val="nil"/>
              <w:bottom w:val="nil"/>
              <w:right w:val="nil"/>
            </w:tcBorders>
            <w:shd w:val="clear" w:color="auto" w:fill="auto"/>
            <w:noWrap/>
            <w:vAlign w:val="center"/>
          </w:tcPr>
          <w:p w14:paraId="352E0CEA" w14:textId="46D37999" w:rsidR="00BE74CA" w:rsidRPr="00E20D21" w:rsidRDefault="00BE74CA" w:rsidP="00DD751F">
            <w:pPr>
              <w:jc w:val="center"/>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w:t>
            </w:r>
          </w:p>
        </w:tc>
        <w:tc>
          <w:tcPr>
            <w:tcW w:w="308" w:type="pct"/>
            <w:tcBorders>
              <w:top w:val="nil"/>
              <w:left w:val="nil"/>
              <w:bottom w:val="nil"/>
              <w:right w:val="nil"/>
            </w:tcBorders>
            <w:shd w:val="clear" w:color="auto" w:fill="auto"/>
            <w:noWrap/>
            <w:vAlign w:val="center"/>
          </w:tcPr>
          <w:p w14:paraId="42B2359D" w14:textId="39ECCC02" w:rsidR="00BE74CA" w:rsidRPr="00E20D21" w:rsidRDefault="00BE74CA" w:rsidP="00DD751F">
            <w:pPr>
              <w:jc w:val="center"/>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w:t>
            </w:r>
          </w:p>
        </w:tc>
        <w:tc>
          <w:tcPr>
            <w:tcW w:w="439" w:type="pct"/>
            <w:tcBorders>
              <w:top w:val="nil"/>
              <w:left w:val="nil"/>
              <w:bottom w:val="nil"/>
              <w:right w:val="nil"/>
            </w:tcBorders>
            <w:shd w:val="clear" w:color="auto" w:fill="auto"/>
            <w:noWrap/>
            <w:vAlign w:val="center"/>
          </w:tcPr>
          <w:p w14:paraId="49BFA240" w14:textId="4C5B3202" w:rsidR="00BE74CA" w:rsidRPr="00E20D21" w:rsidRDefault="00BE74CA" w:rsidP="00DD751F">
            <w:pPr>
              <w:jc w:val="center"/>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w:t>
            </w:r>
          </w:p>
        </w:tc>
        <w:tc>
          <w:tcPr>
            <w:tcW w:w="264" w:type="pct"/>
            <w:tcBorders>
              <w:top w:val="nil"/>
              <w:left w:val="nil"/>
              <w:bottom w:val="nil"/>
              <w:right w:val="nil"/>
            </w:tcBorders>
            <w:shd w:val="clear" w:color="auto" w:fill="auto"/>
            <w:noWrap/>
            <w:vAlign w:val="center"/>
          </w:tcPr>
          <w:p w14:paraId="57C03F66" w14:textId="71882C47" w:rsidR="00BE74CA" w:rsidRPr="00E20D21" w:rsidRDefault="0006612F"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62" w:type="pct"/>
            <w:tcBorders>
              <w:top w:val="nil"/>
              <w:left w:val="nil"/>
              <w:bottom w:val="nil"/>
              <w:right w:val="nil"/>
            </w:tcBorders>
            <w:shd w:val="clear" w:color="auto" w:fill="auto"/>
            <w:noWrap/>
            <w:vAlign w:val="center"/>
          </w:tcPr>
          <w:p w14:paraId="054D1735" w14:textId="2ABCB2C8" w:rsidR="00BE74CA" w:rsidRPr="00E20D21" w:rsidRDefault="00BE74CA" w:rsidP="00BE74CA">
            <w:pPr>
              <w:jc w:val="center"/>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w:t>
            </w:r>
          </w:p>
        </w:tc>
        <w:tc>
          <w:tcPr>
            <w:tcW w:w="326" w:type="pct"/>
            <w:tcBorders>
              <w:top w:val="nil"/>
              <w:left w:val="nil"/>
              <w:bottom w:val="nil"/>
            </w:tcBorders>
            <w:shd w:val="clear" w:color="auto" w:fill="auto"/>
            <w:noWrap/>
            <w:vAlign w:val="center"/>
          </w:tcPr>
          <w:p w14:paraId="797FF5FC" w14:textId="6CDF852B" w:rsidR="00BE74CA" w:rsidRPr="00E20D21" w:rsidRDefault="00907036" w:rsidP="003D0FB4">
            <w:pPr>
              <w:jc w:val="right"/>
              <w:rPr>
                <w:rFonts w:ascii="CAIXA Std Book" w:hAnsi="CAIXA Std Book" w:cs="Calibri"/>
                <w:color w:val="005CA9"/>
                <w:sz w:val="13"/>
                <w:szCs w:val="13"/>
              </w:rPr>
            </w:pPr>
            <w:r w:rsidRPr="00E20D21">
              <w:rPr>
                <w:rFonts w:ascii="CAIXA Std Book" w:hAnsi="CAIXA Std Book" w:cs="Calibri"/>
                <w:color w:val="005CA9"/>
                <w:sz w:val="13"/>
                <w:szCs w:val="13"/>
              </w:rPr>
              <w:t>2.217</w:t>
            </w:r>
            <w:r w:rsidR="003D6C30" w:rsidRPr="00E20D21">
              <w:rPr>
                <w:rFonts w:ascii="CAIXA Std Book" w:hAnsi="CAIXA Std Book" w:cs="Calibri"/>
                <w:color w:val="005CA9"/>
                <w:sz w:val="13"/>
                <w:szCs w:val="13"/>
              </w:rPr>
              <w:t>.367</w:t>
            </w:r>
          </w:p>
        </w:tc>
        <w:tc>
          <w:tcPr>
            <w:tcW w:w="330" w:type="pct"/>
            <w:tcBorders>
              <w:top w:val="nil"/>
              <w:left w:val="nil"/>
              <w:bottom w:val="nil"/>
              <w:right w:val="nil"/>
            </w:tcBorders>
            <w:shd w:val="clear" w:color="auto" w:fill="auto"/>
            <w:noWrap/>
            <w:vAlign w:val="center"/>
          </w:tcPr>
          <w:p w14:paraId="3D0CCB6B" w14:textId="495BCBCA"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2EE49FEA" w14:textId="61A5E4F7"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13D797E5" w14:textId="344DB6BE"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50EAF565" w14:textId="246856CA"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60D50F49" w14:textId="51D64CF6" w:rsidR="00BE74CA" w:rsidRPr="00E20D21" w:rsidRDefault="00BE74CA" w:rsidP="00BE74CA">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68B85D6D" w14:textId="25536172" w:rsidR="00BE74CA" w:rsidRPr="00E20D21" w:rsidRDefault="00BE74CA" w:rsidP="00B168C1">
            <w:pPr>
              <w:jc w:val="right"/>
              <w:rPr>
                <w:rFonts w:ascii="CAIXA Std Book" w:hAnsi="CAIXA Std Book" w:cs="Calibri"/>
                <w:color w:val="005CA9"/>
                <w:sz w:val="13"/>
                <w:szCs w:val="13"/>
              </w:rPr>
            </w:pPr>
            <w:r w:rsidRPr="00E20D21">
              <w:rPr>
                <w:rFonts w:ascii="CAIXA Std Book" w:hAnsi="CAIXA Std Book" w:cs="Calibri"/>
                <w:color w:val="005CA9"/>
                <w:sz w:val="13"/>
                <w:szCs w:val="13"/>
              </w:rPr>
              <w:t>15.036</w:t>
            </w:r>
          </w:p>
        </w:tc>
      </w:tr>
      <w:tr w:rsidR="00A26B4D" w:rsidRPr="00E20D21" w14:paraId="19810C8F" w14:textId="77777777" w:rsidTr="006C1D19">
        <w:trPr>
          <w:trHeight w:val="181"/>
        </w:trPr>
        <w:tc>
          <w:tcPr>
            <w:tcW w:w="863" w:type="pct"/>
            <w:tcBorders>
              <w:top w:val="nil"/>
              <w:left w:val="nil"/>
              <w:bottom w:val="nil"/>
              <w:right w:val="nil"/>
            </w:tcBorders>
            <w:shd w:val="clear" w:color="auto" w:fill="auto"/>
            <w:vAlign w:val="center"/>
            <w:hideMark/>
          </w:tcPr>
          <w:p w14:paraId="4AF59451" w14:textId="70CCB46D" w:rsidR="00A26B4D" w:rsidRPr="00E20D21" w:rsidRDefault="00A26B4D" w:rsidP="00A26B4D">
            <w:pPr>
              <w:rPr>
                <w:rFonts w:ascii="CAIXA Std Book" w:hAnsi="CAIXA Std Book" w:cs="Calibri"/>
                <w:color w:val="005CA9"/>
                <w:sz w:val="13"/>
                <w:szCs w:val="13"/>
              </w:rPr>
            </w:pPr>
            <w:r w:rsidRPr="00E20D21">
              <w:rPr>
                <w:rFonts w:ascii="CAIXA Std Book" w:hAnsi="CAIXA Std Book" w:cs="Calibri"/>
                <w:color w:val="005CA9"/>
                <w:sz w:val="13"/>
                <w:szCs w:val="13"/>
              </w:rPr>
              <w:t>Títulos e valores mobiliários (2)</w:t>
            </w:r>
          </w:p>
        </w:tc>
        <w:tc>
          <w:tcPr>
            <w:tcW w:w="330" w:type="pct"/>
            <w:tcBorders>
              <w:top w:val="nil"/>
              <w:left w:val="nil"/>
              <w:bottom w:val="nil"/>
              <w:right w:val="nil"/>
            </w:tcBorders>
            <w:shd w:val="clear" w:color="auto" w:fill="auto"/>
            <w:noWrap/>
            <w:vAlign w:val="center"/>
          </w:tcPr>
          <w:p w14:paraId="4A47B919" w14:textId="562ACF4D" w:rsidR="00A26B4D" w:rsidRPr="00E20D21" w:rsidRDefault="00A26B4D" w:rsidP="00666BEE">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274.971.776</w:t>
            </w:r>
          </w:p>
        </w:tc>
        <w:tc>
          <w:tcPr>
            <w:tcW w:w="308" w:type="pct"/>
            <w:tcBorders>
              <w:top w:val="nil"/>
              <w:left w:val="nil"/>
              <w:bottom w:val="nil"/>
              <w:right w:val="nil"/>
            </w:tcBorders>
            <w:shd w:val="clear" w:color="auto" w:fill="auto"/>
            <w:noWrap/>
            <w:vAlign w:val="center"/>
          </w:tcPr>
          <w:p w14:paraId="3C94CD79" w14:textId="3F43F0C7" w:rsidR="00A26B4D" w:rsidRPr="00E20D21" w:rsidRDefault="00A26B4D" w:rsidP="00666BEE">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1.3</w:t>
            </w:r>
            <w:r w:rsidR="00D80DFB" w:rsidRPr="00E20D21">
              <w:rPr>
                <w:rFonts w:ascii="CAIXA Std Book" w:eastAsia="Futura Lt BT" w:hAnsi="CAIXA Std Book" w:cs="Futura Lt BT"/>
                <w:color w:val="005CA9"/>
                <w:sz w:val="13"/>
                <w:szCs w:val="13"/>
              </w:rPr>
              <w:t>61</w:t>
            </w:r>
            <w:r w:rsidRPr="00E20D21">
              <w:rPr>
                <w:rFonts w:ascii="CAIXA Std Book" w:eastAsia="Futura Lt BT" w:hAnsi="CAIXA Std Book" w:cs="Futura Lt BT"/>
                <w:color w:val="005CA9"/>
                <w:sz w:val="13"/>
                <w:szCs w:val="13"/>
              </w:rPr>
              <w:t>.724</w:t>
            </w:r>
          </w:p>
        </w:tc>
        <w:tc>
          <w:tcPr>
            <w:tcW w:w="439" w:type="pct"/>
            <w:tcBorders>
              <w:top w:val="nil"/>
              <w:left w:val="nil"/>
              <w:bottom w:val="nil"/>
              <w:right w:val="nil"/>
            </w:tcBorders>
            <w:shd w:val="clear" w:color="auto" w:fill="auto"/>
            <w:noWrap/>
          </w:tcPr>
          <w:p w14:paraId="339B692F" w14:textId="3A0A0ACE" w:rsidR="00A26B4D" w:rsidRPr="00E20D21" w:rsidRDefault="00A26B4D" w:rsidP="00A26B4D">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264" w:type="pct"/>
            <w:tcBorders>
              <w:top w:val="nil"/>
              <w:left w:val="nil"/>
              <w:bottom w:val="nil"/>
              <w:right w:val="nil"/>
            </w:tcBorders>
            <w:shd w:val="clear" w:color="auto" w:fill="auto"/>
            <w:noWrap/>
          </w:tcPr>
          <w:p w14:paraId="6C1EFBD3" w14:textId="2E4D526F" w:rsidR="00A26B4D" w:rsidRPr="00E20D21" w:rsidRDefault="00A26B4D" w:rsidP="00A26B4D">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62" w:type="pct"/>
            <w:tcBorders>
              <w:top w:val="nil"/>
              <w:left w:val="nil"/>
              <w:bottom w:val="nil"/>
              <w:right w:val="nil"/>
            </w:tcBorders>
            <w:shd w:val="clear" w:color="auto" w:fill="auto"/>
            <w:noWrap/>
            <w:vAlign w:val="center"/>
          </w:tcPr>
          <w:p w14:paraId="7BAFBFFD" w14:textId="67603EBE" w:rsidR="00A26B4D" w:rsidRPr="00E20D21" w:rsidRDefault="00A26B4D" w:rsidP="00A26B4D">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326" w:type="pct"/>
            <w:tcBorders>
              <w:top w:val="nil"/>
              <w:left w:val="nil"/>
              <w:bottom w:val="nil"/>
            </w:tcBorders>
            <w:shd w:val="clear" w:color="auto" w:fill="auto"/>
            <w:noWrap/>
          </w:tcPr>
          <w:p w14:paraId="2065544F" w14:textId="5AF5CBFC" w:rsidR="00A26B4D" w:rsidRPr="00E20D21" w:rsidRDefault="002B02C0" w:rsidP="00A26B4D">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1.299.756</w:t>
            </w:r>
          </w:p>
        </w:tc>
        <w:tc>
          <w:tcPr>
            <w:tcW w:w="330" w:type="pct"/>
            <w:tcBorders>
              <w:top w:val="nil"/>
              <w:left w:val="nil"/>
              <w:bottom w:val="nil"/>
              <w:right w:val="nil"/>
            </w:tcBorders>
            <w:shd w:val="clear" w:color="auto" w:fill="auto"/>
            <w:noWrap/>
            <w:vAlign w:val="center"/>
          </w:tcPr>
          <w:p w14:paraId="6A6016DD" w14:textId="0ACE115B" w:rsidR="00A26B4D" w:rsidRPr="00E20D21" w:rsidRDefault="00A26B4D" w:rsidP="00A26B4D">
            <w:pPr>
              <w:jc w:val="right"/>
              <w:rPr>
                <w:rFonts w:ascii="CAIXA Std Book" w:hAnsi="CAIXA Std Book" w:cs="Calibri"/>
                <w:color w:val="005CA9"/>
                <w:sz w:val="13"/>
                <w:szCs w:val="13"/>
              </w:rPr>
            </w:pPr>
            <w:r w:rsidRPr="00E20D21">
              <w:rPr>
                <w:rFonts w:ascii="CAIXA Std Book" w:hAnsi="CAIXA Std Book" w:cs="Calibri"/>
                <w:color w:val="005CA9"/>
                <w:sz w:val="13"/>
                <w:szCs w:val="13"/>
              </w:rPr>
              <w:t>262.101.501</w:t>
            </w:r>
          </w:p>
        </w:tc>
        <w:tc>
          <w:tcPr>
            <w:tcW w:w="288" w:type="pct"/>
            <w:tcBorders>
              <w:top w:val="nil"/>
              <w:left w:val="nil"/>
              <w:bottom w:val="nil"/>
              <w:right w:val="nil"/>
            </w:tcBorders>
            <w:shd w:val="clear" w:color="auto" w:fill="auto"/>
            <w:noWrap/>
            <w:vAlign w:val="center"/>
          </w:tcPr>
          <w:p w14:paraId="035A1706" w14:textId="1E7C99B7" w:rsidR="00A26B4D" w:rsidRPr="00E20D21" w:rsidRDefault="00A26B4D" w:rsidP="00A26B4D">
            <w:pPr>
              <w:jc w:val="right"/>
              <w:rPr>
                <w:rFonts w:ascii="CAIXA Std Book" w:hAnsi="CAIXA Std Book" w:cs="Calibri"/>
                <w:color w:val="005CA9"/>
                <w:sz w:val="13"/>
                <w:szCs w:val="13"/>
              </w:rPr>
            </w:pPr>
            <w:r w:rsidRPr="00E20D21">
              <w:rPr>
                <w:rFonts w:ascii="CAIXA Std Book" w:hAnsi="CAIXA Std Book" w:cs="Calibri"/>
                <w:color w:val="005CA9"/>
                <w:sz w:val="13"/>
                <w:szCs w:val="13"/>
              </w:rPr>
              <w:t>1.017.521</w:t>
            </w:r>
          </w:p>
        </w:tc>
        <w:tc>
          <w:tcPr>
            <w:tcW w:w="374" w:type="pct"/>
            <w:tcBorders>
              <w:top w:val="nil"/>
              <w:left w:val="nil"/>
              <w:bottom w:val="nil"/>
              <w:right w:val="nil"/>
            </w:tcBorders>
            <w:shd w:val="clear" w:color="auto" w:fill="auto"/>
            <w:noWrap/>
            <w:vAlign w:val="center"/>
          </w:tcPr>
          <w:p w14:paraId="3231E286" w14:textId="2D21CA2A" w:rsidR="00A26B4D" w:rsidRPr="00E20D21" w:rsidRDefault="00A26B4D" w:rsidP="00A26B4D">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3ECC0200" w14:textId="04556815" w:rsidR="00A26B4D" w:rsidRPr="00E20D21" w:rsidRDefault="00A26B4D" w:rsidP="00A26B4D">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3375933E" w14:textId="5B86914B" w:rsidR="00A26B4D" w:rsidRPr="00E20D21" w:rsidRDefault="00A26B4D" w:rsidP="00A26B4D">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409E71D0" w14:textId="5480D5C4" w:rsidR="00A26B4D" w:rsidRPr="00E20D21" w:rsidRDefault="00A26B4D" w:rsidP="00A26B4D">
            <w:pPr>
              <w:jc w:val="right"/>
              <w:rPr>
                <w:rFonts w:ascii="CAIXA Std Book" w:hAnsi="CAIXA Std Book" w:cs="Calibri"/>
                <w:color w:val="005CA9"/>
                <w:sz w:val="13"/>
                <w:szCs w:val="13"/>
              </w:rPr>
            </w:pPr>
            <w:r w:rsidRPr="00E20D21">
              <w:rPr>
                <w:rFonts w:ascii="CAIXA Std Book" w:hAnsi="CAIXA Std Book" w:cs="Calibri"/>
                <w:color w:val="005CA9"/>
                <w:sz w:val="13"/>
                <w:szCs w:val="13"/>
              </w:rPr>
              <w:t>1.271.216</w:t>
            </w:r>
          </w:p>
        </w:tc>
      </w:tr>
      <w:tr w:rsidR="00954734" w:rsidRPr="00E20D21" w14:paraId="63E32EC8" w14:textId="77777777" w:rsidTr="006C1D19">
        <w:trPr>
          <w:trHeight w:val="181"/>
        </w:trPr>
        <w:tc>
          <w:tcPr>
            <w:tcW w:w="863" w:type="pct"/>
            <w:tcBorders>
              <w:top w:val="nil"/>
              <w:left w:val="nil"/>
              <w:bottom w:val="nil"/>
              <w:right w:val="nil"/>
            </w:tcBorders>
            <w:shd w:val="clear" w:color="auto" w:fill="auto"/>
            <w:vAlign w:val="center"/>
            <w:hideMark/>
          </w:tcPr>
          <w:p w14:paraId="06CB952E" w14:textId="27858BA9"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Rendas a receber (3)</w:t>
            </w:r>
          </w:p>
        </w:tc>
        <w:tc>
          <w:tcPr>
            <w:tcW w:w="330" w:type="pct"/>
            <w:tcBorders>
              <w:top w:val="nil"/>
              <w:left w:val="nil"/>
              <w:bottom w:val="nil"/>
              <w:right w:val="nil"/>
            </w:tcBorders>
            <w:shd w:val="clear" w:color="auto" w:fill="auto"/>
            <w:noWrap/>
            <w:vAlign w:val="center"/>
          </w:tcPr>
          <w:p w14:paraId="4B26C746" w14:textId="4D69B466" w:rsidR="00954734" w:rsidRPr="00E20D21" w:rsidRDefault="00C479EF" w:rsidP="00666BEE">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18</w:t>
            </w:r>
            <w:r w:rsidR="006B4803" w:rsidRPr="00E20D21">
              <w:rPr>
                <w:rFonts w:ascii="CAIXA Std Book" w:eastAsia="Futura Lt BT" w:hAnsi="CAIXA Std Book" w:cs="Futura Lt BT"/>
                <w:color w:val="005CA9"/>
                <w:sz w:val="13"/>
                <w:szCs w:val="13"/>
              </w:rPr>
              <w:t>5.809</w:t>
            </w:r>
          </w:p>
        </w:tc>
        <w:tc>
          <w:tcPr>
            <w:tcW w:w="308" w:type="pct"/>
            <w:tcBorders>
              <w:top w:val="nil"/>
              <w:left w:val="nil"/>
              <w:bottom w:val="nil"/>
              <w:right w:val="nil"/>
            </w:tcBorders>
            <w:shd w:val="clear" w:color="auto" w:fill="auto"/>
            <w:noWrap/>
            <w:vAlign w:val="center"/>
          </w:tcPr>
          <w:p w14:paraId="29B79FCC" w14:textId="5307B32B" w:rsidR="00954734" w:rsidRPr="00E20D21" w:rsidRDefault="007774F2" w:rsidP="00666BEE">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695.100</w:t>
            </w:r>
          </w:p>
        </w:tc>
        <w:tc>
          <w:tcPr>
            <w:tcW w:w="439" w:type="pct"/>
            <w:tcBorders>
              <w:top w:val="nil"/>
              <w:left w:val="nil"/>
              <w:bottom w:val="nil"/>
              <w:right w:val="nil"/>
            </w:tcBorders>
            <w:shd w:val="clear" w:color="auto" w:fill="auto"/>
            <w:noWrap/>
            <w:vAlign w:val="center"/>
          </w:tcPr>
          <w:p w14:paraId="047A2703" w14:textId="64695CE0" w:rsidR="00954734" w:rsidRPr="00E20D21" w:rsidRDefault="007774F2" w:rsidP="00666BEE">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14.037</w:t>
            </w:r>
          </w:p>
        </w:tc>
        <w:tc>
          <w:tcPr>
            <w:tcW w:w="264" w:type="pct"/>
            <w:tcBorders>
              <w:top w:val="nil"/>
              <w:left w:val="nil"/>
              <w:bottom w:val="nil"/>
              <w:right w:val="nil"/>
            </w:tcBorders>
            <w:shd w:val="clear" w:color="auto" w:fill="auto"/>
            <w:noWrap/>
            <w:vAlign w:val="center"/>
          </w:tcPr>
          <w:p w14:paraId="5D373FA8" w14:textId="2B73B443" w:rsidR="00954734" w:rsidRPr="00E20D21" w:rsidRDefault="007774F2"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140</w:t>
            </w:r>
            <w:r w:rsidR="001807B0" w:rsidRPr="00E20D21">
              <w:rPr>
                <w:rFonts w:ascii="CAIXA Std Book" w:eastAsia="Futura Lt BT" w:hAnsi="CAIXA Std Book" w:cs="Futura Lt BT"/>
                <w:color w:val="005CA9"/>
                <w:sz w:val="13"/>
                <w:szCs w:val="13"/>
              </w:rPr>
              <w:t>.577</w:t>
            </w:r>
          </w:p>
        </w:tc>
        <w:tc>
          <w:tcPr>
            <w:tcW w:w="462" w:type="pct"/>
            <w:tcBorders>
              <w:top w:val="nil"/>
              <w:left w:val="nil"/>
              <w:bottom w:val="nil"/>
              <w:right w:val="nil"/>
            </w:tcBorders>
            <w:shd w:val="clear" w:color="auto" w:fill="auto"/>
            <w:noWrap/>
            <w:vAlign w:val="center"/>
          </w:tcPr>
          <w:p w14:paraId="2B91F842" w14:textId="040F709D" w:rsidR="00954734" w:rsidRPr="00E20D21" w:rsidRDefault="00954734" w:rsidP="00954734">
            <w:pPr>
              <w:jc w:val="center"/>
              <w:rPr>
                <w:rFonts w:ascii="CAIXA Std Book" w:eastAsia="Futura Lt BT" w:hAnsi="CAIXA Std Book" w:cs="Futura Lt BT"/>
                <w:color w:val="005CA9"/>
                <w:sz w:val="13"/>
                <w:szCs w:val="13"/>
              </w:rPr>
            </w:pPr>
          </w:p>
        </w:tc>
        <w:tc>
          <w:tcPr>
            <w:tcW w:w="326" w:type="pct"/>
            <w:tcBorders>
              <w:top w:val="nil"/>
              <w:left w:val="nil"/>
              <w:bottom w:val="nil"/>
            </w:tcBorders>
            <w:shd w:val="clear" w:color="auto" w:fill="auto"/>
            <w:noWrap/>
            <w:vAlign w:val="center"/>
          </w:tcPr>
          <w:p w14:paraId="19EDC8DB" w14:textId="25E146A5" w:rsidR="00954734" w:rsidRPr="00E20D21" w:rsidRDefault="00F82D67"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604.</w:t>
            </w:r>
            <w:r w:rsidR="0048640E" w:rsidRPr="00E20D21">
              <w:rPr>
                <w:rFonts w:ascii="CAIXA Std Book" w:eastAsia="Futura Lt BT" w:hAnsi="CAIXA Std Book" w:cs="Futura Lt BT"/>
                <w:color w:val="005CA9"/>
                <w:sz w:val="13"/>
                <w:szCs w:val="13"/>
              </w:rPr>
              <w:t>967</w:t>
            </w:r>
          </w:p>
        </w:tc>
        <w:tc>
          <w:tcPr>
            <w:tcW w:w="330" w:type="pct"/>
            <w:tcBorders>
              <w:top w:val="nil"/>
              <w:left w:val="nil"/>
              <w:bottom w:val="nil"/>
              <w:right w:val="nil"/>
            </w:tcBorders>
            <w:shd w:val="clear" w:color="auto" w:fill="auto"/>
            <w:noWrap/>
            <w:vAlign w:val="center"/>
          </w:tcPr>
          <w:p w14:paraId="523F3AF8" w14:textId="6D95B324"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600.645</w:t>
            </w:r>
          </w:p>
        </w:tc>
        <w:tc>
          <w:tcPr>
            <w:tcW w:w="288" w:type="pct"/>
            <w:tcBorders>
              <w:top w:val="nil"/>
              <w:left w:val="nil"/>
              <w:bottom w:val="nil"/>
              <w:right w:val="nil"/>
            </w:tcBorders>
            <w:shd w:val="clear" w:color="auto" w:fill="auto"/>
            <w:noWrap/>
            <w:vAlign w:val="center"/>
          </w:tcPr>
          <w:p w14:paraId="5EC62BE3" w14:textId="23065E59"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1.358.422</w:t>
            </w:r>
          </w:p>
        </w:tc>
        <w:tc>
          <w:tcPr>
            <w:tcW w:w="374" w:type="pct"/>
            <w:tcBorders>
              <w:top w:val="nil"/>
              <w:left w:val="nil"/>
              <w:bottom w:val="nil"/>
              <w:right w:val="nil"/>
            </w:tcBorders>
            <w:shd w:val="clear" w:color="auto" w:fill="auto"/>
            <w:noWrap/>
            <w:vAlign w:val="center"/>
          </w:tcPr>
          <w:p w14:paraId="738E7D9A" w14:textId="465E2FF5" w:rsidR="00954734" w:rsidRPr="00E20D21" w:rsidRDefault="00954734" w:rsidP="00666BEE">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3C756A7E" w14:textId="2662A99D"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84.039</w:t>
            </w:r>
          </w:p>
        </w:tc>
        <w:tc>
          <w:tcPr>
            <w:tcW w:w="388" w:type="pct"/>
            <w:tcBorders>
              <w:top w:val="nil"/>
              <w:left w:val="nil"/>
              <w:bottom w:val="nil"/>
              <w:right w:val="nil"/>
            </w:tcBorders>
            <w:shd w:val="clear" w:color="auto" w:fill="auto"/>
            <w:noWrap/>
            <w:vAlign w:val="center"/>
          </w:tcPr>
          <w:p w14:paraId="7F832CD3" w14:textId="3211BD2F"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665B9EAD" w14:textId="6D93830C"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186.307</w:t>
            </w:r>
          </w:p>
        </w:tc>
      </w:tr>
      <w:tr w:rsidR="00BD5A49" w:rsidRPr="00E20D21" w14:paraId="67008746" w14:textId="77777777" w:rsidTr="006C1D19">
        <w:trPr>
          <w:trHeight w:val="181"/>
        </w:trPr>
        <w:tc>
          <w:tcPr>
            <w:tcW w:w="863" w:type="pct"/>
            <w:tcBorders>
              <w:top w:val="nil"/>
              <w:left w:val="nil"/>
              <w:bottom w:val="nil"/>
              <w:right w:val="nil"/>
            </w:tcBorders>
            <w:shd w:val="clear" w:color="auto" w:fill="auto"/>
            <w:vAlign w:val="center"/>
            <w:hideMark/>
          </w:tcPr>
          <w:p w14:paraId="1D86A9FE" w14:textId="05155C75" w:rsidR="00BD5A49" w:rsidRPr="00E20D21" w:rsidRDefault="00BD5A49" w:rsidP="00BD5A49">
            <w:pPr>
              <w:rPr>
                <w:rFonts w:ascii="CAIXA Std Book" w:hAnsi="CAIXA Std Book" w:cs="Calibri"/>
                <w:color w:val="005CA9"/>
                <w:sz w:val="13"/>
                <w:szCs w:val="13"/>
              </w:rPr>
            </w:pPr>
            <w:r w:rsidRPr="00E20D21">
              <w:rPr>
                <w:rFonts w:ascii="CAIXA Std Book" w:hAnsi="CAIXA Std Book" w:cs="Calibri"/>
                <w:color w:val="005CA9"/>
                <w:sz w:val="13"/>
                <w:szCs w:val="13"/>
              </w:rPr>
              <w:t>Carteira de crédito (4)</w:t>
            </w:r>
          </w:p>
        </w:tc>
        <w:tc>
          <w:tcPr>
            <w:tcW w:w="330" w:type="pct"/>
            <w:tcBorders>
              <w:top w:val="nil"/>
              <w:left w:val="nil"/>
              <w:bottom w:val="nil"/>
              <w:right w:val="nil"/>
            </w:tcBorders>
            <w:shd w:val="clear" w:color="auto" w:fill="auto"/>
            <w:noWrap/>
            <w:vAlign w:val="center"/>
          </w:tcPr>
          <w:p w14:paraId="52342800" w14:textId="5942E790" w:rsidR="00BD5A49" w:rsidRPr="00E20D21" w:rsidRDefault="00BD5A49" w:rsidP="00666BEE">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62</w:t>
            </w:r>
          </w:p>
        </w:tc>
        <w:tc>
          <w:tcPr>
            <w:tcW w:w="308" w:type="pct"/>
            <w:tcBorders>
              <w:top w:val="nil"/>
              <w:left w:val="nil"/>
              <w:bottom w:val="nil"/>
              <w:right w:val="nil"/>
            </w:tcBorders>
            <w:shd w:val="clear" w:color="auto" w:fill="auto"/>
            <w:noWrap/>
            <w:vAlign w:val="center"/>
          </w:tcPr>
          <w:p w14:paraId="35EF60B7" w14:textId="32CF1A13" w:rsidR="00BD5A49" w:rsidRPr="00E20D21" w:rsidRDefault="00BD5A49"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39" w:type="pct"/>
            <w:tcBorders>
              <w:top w:val="nil"/>
              <w:left w:val="nil"/>
              <w:bottom w:val="nil"/>
              <w:right w:val="nil"/>
            </w:tcBorders>
            <w:shd w:val="clear" w:color="auto" w:fill="auto"/>
            <w:noWrap/>
            <w:vAlign w:val="center"/>
          </w:tcPr>
          <w:p w14:paraId="3B5E28B8" w14:textId="2B30A61A" w:rsidR="00BD5A49" w:rsidRPr="00E20D21" w:rsidRDefault="00BD5A49"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264" w:type="pct"/>
            <w:tcBorders>
              <w:top w:val="nil"/>
              <w:left w:val="nil"/>
              <w:bottom w:val="nil"/>
              <w:right w:val="nil"/>
            </w:tcBorders>
            <w:shd w:val="clear" w:color="auto" w:fill="auto"/>
            <w:noWrap/>
            <w:vAlign w:val="center"/>
          </w:tcPr>
          <w:p w14:paraId="264CE553" w14:textId="04610EA3" w:rsidR="00BD5A49" w:rsidRPr="00E20D21" w:rsidRDefault="00BD5A49"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62" w:type="pct"/>
            <w:tcBorders>
              <w:top w:val="nil"/>
              <w:left w:val="nil"/>
              <w:bottom w:val="nil"/>
              <w:right w:val="nil"/>
            </w:tcBorders>
            <w:shd w:val="clear" w:color="auto" w:fill="auto"/>
            <w:noWrap/>
            <w:vAlign w:val="center"/>
          </w:tcPr>
          <w:p w14:paraId="6F0669C1" w14:textId="79B3B268" w:rsidR="00BD5A49" w:rsidRPr="00E20D21" w:rsidRDefault="00BD5A49" w:rsidP="00BD5A49">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498.800</w:t>
            </w:r>
          </w:p>
        </w:tc>
        <w:tc>
          <w:tcPr>
            <w:tcW w:w="326" w:type="pct"/>
            <w:tcBorders>
              <w:top w:val="nil"/>
              <w:left w:val="nil"/>
              <w:bottom w:val="nil"/>
            </w:tcBorders>
            <w:shd w:val="clear" w:color="auto" w:fill="auto"/>
            <w:noWrap/>
            <w:vAlign w:val="center"/>
          </w:tcPr>
          <w:p w14:paraId="641411B0" w14:textId="62C2D302" w:rsidR="00BD5A49" w:rsidRPr="00E20D21" w:rsidRDefault="00BD5A49" w:rsidP="00BD5A49">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2.735.841</w:t>
            </w:r>
          </w:p>
        </w:tc>
        <w:tc>
          <w:tcPr>
            <w:tcW w:w="330" w:type="pct"/>
            <w:tcBorders>
              <w:top w:val="nil"/>
              <w:left w:val="nil"/>
              <w:bottom w:val="nil"/>
              <w:right w:val="nil"/>
            </w:tcBorders>
            <w:shd w:val="clear" w:color="auto" w:fill="auto"/>
            <w:noWrap/>
            <w:vAlign w:val="center"/>
          </w:tcPr>
          <w:p w14:paraId="70F78173" w14:textId="4F174E6E" w:rsidR="00BD5A49" w:rsidRPr="00E20D21" w:rsidRDefault="00BD5A49" w:rsidP="00BD5A49">
            <w:pPr>
              <w:jc w:val="right"/>
              <w:rPr>
                <w:rFonts w:ascii="CAIXA Std Book" w:hAnsi="CAIXA Std Book" w:cs="Calibri"/>
                <w:color w:val="005CA9"/>
                <w:sz w:val="13"/>
                <w:szCs w:val="13"/>
              </w:rPr>
            </w:pPr>
            <w:r w:rsidRPr="00E20D21">
              <w:rPr>
                <w:rFonts w:ascii="CAIXA Std Book" w:hAnsi="CAIXA Std Book" w:cs="Calibri"/>
                <w:color w:val="005CA9"/>
                <w:sz w:val="13"/>
                <w:szCs w:val="13"/>
              </w:rPr>
              <w:t>63</w:t>
            </w:r>
          </w:p>
        </w:tc>
        <w:tc>
          <w:tcPr>
            <w:tcW w:w="288" w:type="pct"/>
            <w:tcBorders>
              <w:top w:val="nil"/>
              <w:left w:val="nil"/>
              <w:bottom w:val="nil"/>
              <w:right w:val="nil"/>
            </w:tcBorders>
            <w:shd w:val="clear" w:color="auto" w:fill="auto"/>
            <w:noWrap/>
            <w:vAlign w:val="center"/>
          </w:tcPr>
          <w:p w14:paraId="622E03EC" w14:textId="4C28C187" w:rsidR="00BD5A49" w:rsidRPr="00E20D21" w:rsidRDefault="00BD5A49" w:rsidP="00BD5A4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1A596B59" w14:textId="529543A4" w:rsidR="00BD5A49" w:rsidRPr="00E20D21" w:rsidRDefault="00BD5A49" w:rsidP="00BD5A4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7377FD69" w14:textId="4350BE20" w:rsidR="00BD5A49" w:rsidRPr="00E20D21" w:rsidRDefault="00BD5A49" w:rsidP="00BD5A4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5D419B4E" w14:textId="0B9A9969" w:rsidR="00BD5A49" w:rsidRPr="00E20D21" w:rsidRDefault="00BD5A49" w:rsidP="00BD5A49">
            <w:pPr>
              <w:jc w:val="right"/>
              <w:rPr>
                <w:rFonts w:ascii="CAIXA Std Book" w:hAnsi="CAIXA Std Book" w:cs="Calibri"/>
                <w:color w:val="005CA9"/>
                <w:sz w:val="13"/>
                <w:szCs w:val="13"/>
              </w:rPr>
            </w:pPr>
            <w:r w:rsidRPr="00E20D21">
              <w:rPr>
                <w:rFonts w:ascii="CAIXA Std Book" w:hAnsi="CAIXA Std Book" w:cs="Calibri"/>
                <w:color w:val="005CA9"/>
                <w:sz w:val="13"/>
                <w:szCs w:val="13"/>
              </w:rPr>
              <w:t>528.966</w:t>
            </w:r>
          </w:p>
        </w:tc>
        <w:tc>
          <w:tcPr>
            <w:tcW w:w="347" w:type="pct"/>
            <w:tcBorders>
              <w:top w:val="nil"/>
              <w:left w:val="nil"/>
              <w:bottom w:val="nil"/>
            </w:tcBorders>
            <w:shd w:val="clear" w:color="auto" w:fill="auto"/>
            <w:noWrap/>
            <w:vAlign w:val="center"/>
          </w:tcPr>
          <w:p w14:paraId="38EFEA69" w14:textId="44FC0512" w:rsidR="00BD5A49" w:rsidRPr="00E20D21" w:rsidRDefault="00BD5A49" w:rsidP="00BD5A49">
            <w:pPr>
              <w:jc w:val="right"/>
              <w:rPr>
                <w:rFonts w:ascii="CAIXA Std Book" w:hAnsi="CAIXA Std Book" w:cs="Calibri"/>
                <w:color w:val="005CA9"/>
                <w:sz w:val="13"/>
                <w:szCs w:val="13"/>
              </w:rPr>
            </w:pPr>
            <w:r w:rsidRPr="00E20D21">
              <w:rPr>
                <w:rFonts w:ascii="CAIXA Std Book" w:hAnsi="CAIXA Std Book" w:cs="Calibri"/>
                <w:color w:val="005CA9"/>
                <w:sz w:val="13"/>
                <w:szCs w:val="13"/>
              </w:rPr>
              <w:t>2.795.369</w:t>
            </w:r>
          </w:p>
        </w:tc>
      </w:tr>
      <w:tr w:rsidR="00BD5A49" w:rsidRPr="00E20D21" w14:paraId="5882E99E" w14:textId="77777777" w:rsidTr="00571E70">
        <w:trPr>
          <w:trHeight w:val="181"/>
        </w:trPr>
        <w:tc>
          <w:tcPr>
            <w:tcW w:w="863" w:type="pct"/>
            <w:tcBorders>
              <w:top w:val="nil"/>
              <w:left w:val="nil"/>
              <w:bottom w:val="nil"/>
              <w:right w:val="nil"/>
            </w:tcBorders>
            <w:shd w:val="clear" w:color="auto" w:fill="auto"/>
            <w:vAlign w:val="center"/>
            <w:hideMark/>
          </w:tcPr>
          <w:p w14:paraId="1A526D10" w14:textId="77777777" w:rsidR="00BD5A49" w:rsidRPr="00E20D21" w:rsidRDefault="00BD5A49" w:rsidP="00BD5A49">
            <w:pPr>
              <w:rPr>
                <w:rFonts w:ascii="CAIXA Std Book" w:hAnsi="CAIXA Std Book" w:cs="Calibri"/>
                <w:color w:val="005CA9"/>
                <w:sz w:val="13"/>
                <w:szCs w:val="13"/>
              </w:rPr>
            </w:pPr>
            <w:r w:rsidRPr="00E20D21">
              <w:rPr>
                <w:rFonts w:ascii="CAIXA Std Book" w:hAnsi="CAIXA Std Book" w:cs="Calibri"/>
                <w:color w:val="005CA9"/>
                <w:sz w:val="13"/>
                <w:szCs w:val="13"/>
              </w:rPr>
              <w:t>Provisões para operações de crédito</w:t>
            </w:r>
          </w:p>
        </w:tc>
        <w:tc>
          <w:tcPr>
            <w:tcW w:w="330" w:type="pct"/>
            <w:tcBorders>
              <w:top w:val="nil"/>
              <w:left w:val="nil"/>
              <w:bottom w:val="nil"/>
              <w:right w:val="nil"/>
            </w:tcBorders>
            <w:shd w:val="clear" w:color="auto" w:fill="auto"/>
            <w:noWrap/>
            <w:vAlign w:val="center"/>
          </w:tcPr>
          <w:p w14:paraId="672EB01D" w14:textId="5F045B31" w:rsidR="00BD5A49" w:rsidRPr="00E20D21" w:rsidRDefault="00BD5A49"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308" w:type="pct"/>
            <w:tcBorders>
              <w:top w:val="nil"/>
              <w:left w:val="nil"/>
              <w:bottom w:val="nil"/>
              <w:right w:val="nil"/>
            </w:tcBorders>
            <w:shd w:val="clear" w:color="auto" w:fill="auto"/>
            <w:noWrap/>
            <w:vAlign w:val="center"/>
          </w:tcPr>
          <w:p w14:paraId="0527364F" w14:textId="452B424A" w:rsidR="00BD5A49" w:rsidRPr="00E20D21" w:rsidRDefault="00BD5A49"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39" w:type="pct"/>
            <w:tcBorders>
              <w:top w:val="nil"/>
              <w:left w:val="nil"/>
              <w:bottom w:val="nil"/>
              <w:right w:val="nil"/>
            </w:tcBorders>
            <w:shd w:val="clear" w:color="auto" w:fill="auto"/>
            <w:noWrap/>
            <w:vAlign w:val="center"/>
          </w:tcPr>
          <w:p w14:paraId="4C5B2C25" w14:textId="279AE268" w:rsidR="00BD5A49" w:rsidRPr="00E20D21" w:rsidRDefault="00BD5A49"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264" w:type="pct"/>
            <w:tcBorders>
              <w:top w:val="nil"/>
              <w:left w:val="nil"/>
              <w:bottom w:val="nil"/>
              <w:right w:val="nil"/>
            </w:tcBorders>
            <w:shd w:val="clear" w:color="auto" w:fill="auto"/>
            <w:noWrap/>
            <w:vAlign w:val="center"/>
          </w:tcPr>
          <w:p w14:paraId="60B9712A" w14:textId="7BEC7B3B" w:rsidR="00BD5A49" w:rsidRPr="00E20D21" w:rsidRDefault="00BD5A49"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62" w:type="pct"/>
            <w:tcBorders>
              <w:top w:val="nil"/>
              <w:left w:val="nil"/>
              <w:bottom w:val="nil"/>
              <w:right w:val="nil"/>
            </w:tcBorders>
            <w:shd w:val="clear" w:color="auto" w:fill="auto"/>
            <w:noWrap/>
            <w:vAlign w:val="center"/>
          </w:tcPr>
          <w:p w14:paraId="45373D69" w14:textId="64F635C8" w:rsidR="00BD5A49" w:rsidRPr="00E20D21" w:rsidRDefault="00BD5A49" w:rsidP="00571E70">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(470.805)</w:t>
            </w:r>
          </w:p>
        </w:tc>
        <w:tc>
          <w:tcPr>
            <w:tcW w:w="326" w:type="pct"/>
            <w:tcBorders>
              <w:top w:val="nil"/>
              <w:left w:val="nil"/>
              <w:bottom w:val="nil"/>
            </w:tcBorders>
            <w:shd w:val="clear" w:color="auto" w:fill="auto"/>
            <w:noWrap/>
            <w:vAlign w:val="center"/>
          </w:tcPr>
          <w:p w14:paraId="733BC739" w14:textId="7B9C35F6" w:rsidR="00BD5A49" w:rsidRPr="00E20D21" w:rsidRDefault="00BD5A49" w:rsidP="00BD5A49">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(821)</w:t>
            </w:r>
          </w:p>
        </w:tc>
        <w:tc>
          <w:tcPr>
            <w:tcW w:w="330" w:type="pct"/>
            <w:tcBorders>
              <w:top w:val="nil"/>
              <w:left w:val="nil"/>
              <w:bottom w:val="nil"/>
              <w:right w:val="nil"/>
            </w:tcBorders>
            <w:shd w:val="clear" w:color="auto" w:fill="auto"/>
            <w:noWrap/>
            <w:vAlign w:val="center"/>
          </w:tcPr>
          <w:p w14:paraId="5756CCFE" w14:textId="135B58A9" w:rsidR="00BD5A49" w:rsidRPr="00E20D21" w:rsidRDefault="00BD5A49" w:rsidP="00BD5A4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38030CB5" w14:textId="32650C0F" w:rsidR="00BD5A49" w:rsidRPr="00E20D21" w:rsidRDefault="00BD5A49" w:rsidP="00BD5A4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680B4CD3" w14:textId="698C6BEC" w:rsidR="00BD5A49" w:rsidRPr="00E20D21" w:rsidRDefault="00BD5A49" w:rsidP="00BD5A4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148F2906" w14:textId="4B1519B8" w:rsidR="00BD5A49" w:rsidRPr="00E20D21" w:rsidRDefault="00BD5A49" w:rsidP="00BD5A4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53259402" w14:textId="16CDE3D7" w:rsidR="00BD5A49" w:rsidRPr="00E20D21" w:rsidRDefault="00CD486D" w:rsidP="00BD5A49">
            <w:pPr>
              <w:jc w:val="right"/>
              <w:rPr>
                <w:rFonts w:ascii="CAIXA Std Book" w:hAnsi="CAIXA Std Book" w:cs="Calibri"/>
                <w:color w:val="005CA9"/>
                <w:sz w:val="13"/>
                <w:szCs w:val="13"/>
              </w:rPr>
            </w:pPr>
            <w:r w:rsidRPr="00E20D21">
              <w:rPr>
                <w:rFonts w:ascii="CAIXA Std Book" w:hAnsi="CAIXA Std Book" w:cs="Calibri"/>
                <w:color w:val="005CA9"/>
                <w:sz w:val="13"/>
                <w:szCs w:val="13"/>
              </w:rPr>
              <w:t>(</w:t>
            </w:r>
            <w:r w:rsidR="00BD5A49" w:rsidRPr="00E20D21">
              <w:rPr>
                <w:rFonts w:ascii="CAIXA Std Book" w:hAnsi="CAIXA Std Book" w:cs="Calibri"/>
                <w:color w:val="005CA9"/>
                <w:sz w:val="13"/>
                <w:szCs w:val="13"/>
              </w:rPr>
              <w:t>496.780</w:t>
            </w: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63ABFFD8" w14:textId="29482CB4" w:rsidR="00BD5A49" w:rsidRPr="00E20D21" w:rsidRDefault="00BD5A49" w:rsidP="00BD5A49">
            <w:pPr>
              <w:jc w:val="right"/>
              <w:rPr>
                <w:rFonts w:ascii="CAIXA Std Book" w:hAnsi="CAIXA Std Book" w:cs="Calibri"/>
                <w:color w:val="005CA9"/>
                <w:sz w:val="13"/>
                <w:szCs w:val="13"/>
              </w:rPr>
            </w:pPr>
            <w:r w:rsidRPr="00E20D21">
              <w:rPr>
                <w:rFonts w:ascii="CAIXA Std Book" w:hAnsi="CAIXA Std Book" w:cs="Calibri"/>
                <w:color w:val="005CA9"/>
                <w:sz w:val="13"/>
                <w:szCs w:val="13"/>
              </w:rPr>
              <w:t>(839)</w:t>
            </w:r>
          </w:p>
        </w:tc>
      </w:tr>
      <w:tr w:rsidR="00954734" w:rsidRPr="00E20D21" w14:paraId="14D0601A" w14:textId="77777777" w:rsidTr="006C1D19">
        <w:trPr>
          <w:trHeight w:val="181"/>
        </w:trPr>
        <w:tc>
          <w:tcPr>
            <w:tcW w:w="863" w:type="pct"/>
            <w:tcBorders>
              <w:top w:val="nil"/>
              <w:left w:val="nil"/>
              <w:bottom w:val="nil"/>
              <w:right w:val="nil"/>
            </w:tcBorders>
            <w:shd w:val="clear" w:color="auto" w:fill="auto"/>
            <w:vAlign w:val="center"/>
            <w:hideMark/>
          </w:tcPr>
          <w:p w14:paraId="31493EAC" w14:textId="5872E5B8"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Outros créditos (5)</w:t>
            </w:r>
          </w:p>
        </w:tc>
        <w:tc>
          <w:tcPr>
            <w:tcW w:w="330" w:type="pct"/>
            <w:tcBorders>
              <w:top w:val="nil"/>
              <w:left w:val="nil"/>
              <w:bottom w:val="nil"/>
              <w:right w:val="nil"/>
            </w:tcBorders>
            <w:shd w:val="clear" w:color="auto" w:fill="auto"/>
            <w:noWrap/>
            <w:vAlign w:val="center"/>
          </w:tcPr>
          <w:p w14:paraId="61F61204" w14:textId="63500C85" w:rsidR="00954734" w:rsidRPr="00E20D21" w:rsidRDefault="00621E52"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2.218.855</w:t>
            </w:r>
          </w:p>
        </w:tc>
        <w:tc>
          <w:tcPr>
            <w:tcW w:w="308" w:type="pct"/>
            <w:tcBorders>
              <w:top w:val="nil"/>
              <w:left w:val="nil"/>
              <w:bottom w:val="nil"/>
              <w:right w:val="nil"/>
            </w:tcBorders>
            <w:shd w:val="clear" w:color="auto" w:fill="auto"/>
            <w:noWrap/>
            <w:vAlign w:val="center"/>
          </w:tcPr>
          <w:p w14:paraId="381E12DF" w14:textId="339F242E" w:rsidR="00954734" w:rsidRPr="00E20D21" w:rsidRDefault="00621E52"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24.556</w:t>
            </w:r>
          </w:p>
        </w:tc>
        <w:tc>
          <w:tcPr>
            <w:tcW w:w="439" w:type="pct"/>
            <w:tcBorders>
              <w:top w:val="nil"/>
              <w:left w:val="nil"/>
              <w:bottom w:val="nil"/>
              <w:right w:val="nil"/>
            </w:tcBorders>
            <w:shd w:val="clear" w:color="auto" w:fill="auto"/>
            <w:noWrap/>
            <w:vAlign w:val="center"/>
          </w:tcPr>
          <w:p w14:paraId="74C6D2AB" w14:textId="40F23DEE" w:rsidR="00954734" w:rsidRPr="00E20D21" w:rsidRDefault="00621E52"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53</w:t>
            </w:r>
          </w:p>
        </w:tc>
        <w:tc>
          <w:tcPr>
            <w:tcW w:w="264" w:type="pct"/>
            <w:tcBorders>
              <w:top w:val="nil"/>
              <w:left w:val="nil"/>
              <w:bottom w:val="nil"/>
              <w:right w:val="nil"/>
            </w:tcBorders>
            <w:shd w:val="clear" w:color="auto" w:fill="auto"/>
            <w:noWrap/>
            <w:vAlign w:val="center"/>
          </w:tcPr>
          <w:p w14:paraId="0A8CEC46" w14:textId="283EA79B" w:rsidR="00954734" w:rsidRPr="00E20D21" w:rsidRDefault="00621E52"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w:t>
            </w:r>
          </w:p>
        </w:tc>
        <w:tc>
          <w:tcPr>
            <w:tcW w:w="462" w:type="pct"/>
            <w:tcBorders>
              <w:top w:val="nil"/>
              <w:left w:val="nil"/>
              <w:bottom w:val="nil"/>
              <w:right w:val="nil"/>
            </w:tcBorders>
            <w:shd w:val="clear" w:color="auto" w:fill="auto"/>
            <w:noWrap/>
            <w:vAlign w:val="center"/>
          </w:tcPr>
          <w:p w14:paraId="5B510089" w14:textId="7FA11466" w:rsidR="00954734" w:rsidRPr="00E20D21" w:rsidRDefault="00621E52"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2.059</w:t>
            </w:r>
          </w:p>
        </w:tc>
        <w:tc>
          <w:tcPr>
            <w:tcW w:w="326" w:type="pct"/>
            <w:tcBorders>
              <w:top w:val="nil"/>
              <w:left w:val="nil"/>
              <w:bottom w:val="nil"/>
            </w:tcBorders>
            <w:shd w:val="clear" w:color="auto" w:fill="auto"/>
            <w:noWrap/>
            <w:vAlign w:val="center"/>
          </w:tcPr>
          <w:p w14:paraId="4D8E7012" w14:textId="4F8BCA58" w:rsidR="00954734" w:rsidRPr="00E20D21" w:rsidRDefault="00345C8B"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41.330.960</w:t>
            </w:r>
          </w:p>
        </w:tc>
        <w:tc>
          <w:tcPr>
            <w:tcW w:w="330" w:type="pct"/>
            <w:tcBorders>
              <w:top w:val="nil"/>
              <w:left w:val="nil"/>
              <w:bottom w:val="nil"/>
              <w:right w:val="nil"/>
            </w:tcBorders>
            <w:shd w:val="clear" w:color="auto" w:fill="auto"/>
            <w:noWrap/>
            <w:vAlign w:val="center"/>
          </w:tcPr>
          <w:p w14:paraId="6C6E3662" w14:textId="50E7ACFD"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2.203.208</w:t>
            </w:r>
          </w:p>
        </w:tc>
        <w:tc>
          <w:tcPr>
            <w:tcW w:w="288" w:type="pct"/>
            <w:tcBorders>
              <w:top w:val="nil"/>
              <w:left w:val="nil"/>
              <w:bottom w:val="nil"/>
              <w:right w:val="nil"/>
            </w:tcBorders>
            <w:shd w:val="clear" w:color="auto" w:fill="auto"/>
            <w:noWrap/>
            <w:vAlign w:val="center"/>
          </w:tcPr>
          <w:p w14:paraId="5B293141" w14:textId="62E43735"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24.349</w:t>
            </w:r>
          </w:p>
        </w:tc>
        <w:tc>
          <w:tcPr>
            <w:tcW w:w="374" w:type="pct"/>
            <w:tcBorders>
              <w:top w:val="nil"/>
              <w:left w:val="nil"/>
              <w:bottom w:val="nil"/>
              <w:right w:val="nil"/>
            </w:tcBorders>
            <w:shd w:val="clear" w:color="auto" w:fill="auto"/>
            <w:noWrap/>
            <w:vAlign w:val="center"/>
          </w:tcPr>
          <w:p w14:paraId="56537AEE" w14:textId="6826C92A"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18</w:t>
            </w:r>
          </w:p>
        </w:tc>
        <w:tc>
          <w:tcPr>
            <w:tcW w:w="281" w:type="pct"/>
            <w:tcBorders>
              <w:top w:val="nil"/>
              <w:left w:val="nil"/>
              <w:bottom w:val="nil"/>
              <w:right w:val="nil"/>
            </w:tcBorders>
            <w:shd w:val="clear" w:color="auto" w:fill="auto"/>
            <w:noWrap/>
            <w:vAlign w:val="center"/>
          </w:tcPr>
          <w:p w14:paraId="5B9FE103" w14:textId="33003317"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58.458</w:t>
            </w:r>
          </w:p>
        </w:tc>
        <w:tc>
          <w:tcPr>
            <w:tcW w:w="388" w:type="pct"/>
            <w:tcBorders>
              <w:top w:val="nil"/>
              <w:left w:val="nil"/>
              <w:bottom w:val="nil"/>
              <w:right w:val="nil"/>
            </w:tcBorders>
            <w:shd w:val="clear" w:color="auto" w:fill="auto"/>
            <w:noWrap/>
            <w:vAlign w:val="center"/>
          </w:tcPr>
          <w:p w14:paraId="1F882727" w14:textId="29B4C33D"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1.774</w:t>
            </w:r>
          </w:p>
        </w:tc>
        <w:tc>
          <w:tcPr>
            <w:tcW w:w="347" w:type="pct"/>
            <w:tcBorders>
              <w:top w:val="nil"/>
              <w:left w:val="nil"/>
              <w:bottom w:val="nil"/>
            </w:tcBorders>
            <w:shd w:val="clear" w:color="auto" w:fill="auto"/>
            <w:noWrap/>
            <w:vAlign w:val="center"/>
          </w:tcPr>
          <w:p w14:paraId="4552CEB2" w14:textId="16B2B263"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41.671.600</w:t>
            </w:r>
          </w:p>
        </w:tc>
      </w:tr>
      <w:tr w:rsidR="00DD751F" w:rsidRPr="00E20D21" w14:paraId="4E2CEEDF" w14:textId="77777777" w:rsidTr="006C1D19">
        <w:trPr>
          <w:trHeight w:val="181"/>
        </w:trPr>
        <w:tc>
          <w:tcPr>
            <w:tcW w:w="863" w:type="pct"/>
            <w:tcBorders>
              <w:top w:val="nil"/>
              <w:left w:val="nil"/>
              <w:bottom w:val="nil"/>
              <w:right w:val="nil"/>
            </w:tcBorders>
            <w:shd w:val="clear" w:color="auto" w:fill="auto"/>
            <w:vAlign w:val="center"/>
            <w:hideMark/>
          </w:tcPr>
          <w:p w14:paraId="19038C55" w14:textId="05EC6EFB" w:rsidR="00DD751F" w:rsidRPr="00E20D21" w:rsidRDefault="00DD751F" w:rsidP="00DD751F">
            <w:pPr>
              <w:rPr>
                <w:rFonts w:ascii="CAIXA Std Book" w:hAnsi="CAIXA Std Book" w:cs="Calibri"/>
                <w:color w:val="005CA9"/>
                <w:sz w:val="13"/>
                <w:szCs w:val="13"/>
              </w:rPr>
            </w:pPr>
            <w:r w:rsidRPr="00E20D21">
              <w:rPr>
                <w:rFonts w:ascii="CAIXA Std Book" w:hAnsi="CAIXA Std Book" w:cs="Calibri"/>
                <w:color w:val="005CA9"/>
                <w:sz w:val="13"/>
                <w:szCs w:val="13"/>
              </w:rPr>
              <w:t>Provisões para outros créditos (6)</w:t>
            </w:r>
          </w:p>
        </w:tc>
        <w:tc>
          <w:tcPr>
            <w:tcW w:w="330" w:type="pct"/>
            <w:tcBorders>
              <w:top w:val="nil"/>
              <w:left w:val="nil"/>
              <w:bottom w:val="nil"/>
              <w:right w:val="nil"/>
            </w:tcBorders>
            <w:shd w:val="clear" w:color="auto" w:fill="auto"/>
            <w:noWrap/>
            <w:vAlign w:val="center"/>
          </w:tcPr>
          <w:p w14:paraId="382B45E9" w14:textId="6FF30F84" w:rsidR="00DD751F" w:rsidRPr="00E20D21" w:rsidRDefault="00DD751F" w:rsidP="00666BEE">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(1.548.949)</w:t>
            </w:r>
          </w:p>
        </w:tc>
        <w:tc>
          <w:tcPr>
            <w:tcW w:w="308" w:type="pct"/>
            <w:tcBorders>
              <w:top w:val="nil"/>
              <w:left w:val="nil"/>
              <w:bottom w:val="nil"/>
              <w:right w:val="nil"/>
            </w:tcBorders>
            <w:shd w:val="clear" w:color="auto" w:fill="auto"/>
            <w:noWrap/>
            <w:vAlign w:val="center"/>
          </w:tcPr>
          <w:p w14:paraId="6F25DBDA" w14:textId="79ED6ADB" w:rsidR="00DD751F" w:rsidRPr="00E20D21" w:rsidRDefault="00DD751F"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39" w:type="pct"/>
            <w:tcBorders>
              <w:top w:val="nil"/>
              <w:left w:val="nil"/>
              <w:bottom w:val="nil"/>
              <w:right w:val="nil"/>
            </w:tcBorders>
            <w:shd w:val="clear" w:color="auto" w:fill="auto"/>
            <w:noWrap/>
            <w:vAlign w:val="center"/>
          </w:tcPr>
          <w:p w14:paraId="1A701CBB" w14:textId="242944ED" w:rsidR="00DD751F" w:rsidRPr="00E20D21" w:rsidRDefault="00DD751F"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264" w:type="pct"/>
            <w:tcBorders>
              <w:top w:val="nil"/>
              <w:left w:val="nil"/>
              <w:bottom w:val="nil"/>
              <w:right w:val="nil"/>
            </w:tcBorders>
            <w:shd w:val="clear" w:color="auto" w:fill="auto"/>
            <w:noWrap/>
            <w:vAlign w:val="center"/>
          </w:tcPr>
          <w:p w14:paraId="5A0AE003" w14:textId="5E460B31" w:rsidR="00DD751F" w:rsidRPr="00E20D21" w:rsidRDefault="00DD751F"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62" w:type="pct"/>
            <w:tcBorders>
              <w:top w:val="nil"/>
              <w:left w:val="nil"/>
              <w:bottom w:val="nil"/>
              <w:right w:val="nil"/>
            </w:tcBorders>
            <w:shd w:val="clear" w:color="auto" w:fill="auto"/>
            <w:noWrap/>
            <w:vAlign w:val="center"/>
          </w:tcPr>
          <w:p w14:paraId="6E40C820" w14:textId="5B7D0A2D" w:rsidR="00DD751F" w:rsidRPr="00E20D21" w:rsidRDefault="00DD751F" w:rsidP="00DD751F">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(25)</w:t>
            </w:r>
          </w:p>
        </w:tc>
        <w:tc>
          <w:tcPr>
            <w:tcW w:w="326" w:type="pct"/>
            <w:tcBorders>
              <w:top w:val="nil"/>
              <w:left w:val="nil"/>
              <w:bottom w:val="nil"/>
            </w:tcBorders>
            <w:shd w:val="clear" w:color="auto" w:fill="auto"/>
            <w:noWrap/>
            <w:vAlign w:val="center"/>
          </w:tcPr>
          <w:p w14:paraId="464A6930" w14:textId="7AA01CA7" w:rsidR="00DD751F" w:rsidRPr="00E20D21" w:rsidRDefault="00DD751F" w:rsidP="00DD751F">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(10.520.072)</w:t>
            </w:r>
          </w:p>
        </w:tc>
        <w:tc>
          <w:tcPr>
            <w:tcW w:w="330" w:type="pct"/>
            <w:tcBorders>
              <w:top w:val="nil"/>
              <w:left w:val="nil"/>
              <w:bottom w:val="nil"/>
              <w:right w:val="nil"/>
            </w:tcBorders>
            <w:shd w:val="clear" w:color="auto" w:fill="auto"/>
            <w:noWrap/>
            <w:vAlign w:val="center"/>
          </w:tcPr>
          <w:p w14:paraId="2FB23021" w14:textId="60722E6B"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61ED25B9" w14:textId="176BB064"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61CD0BD6" w14:textId="195AA6ED"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124C0496" w14:textId="45C28739"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09589AEE" w14:textId="6E82D289" w:rsidR="00DD751F" w:rsidRPr="00E20D21" w:rsidRDefault="00CD486D" w:rsidP="00DD751F">
            <w:pPr>
              <w:jc w:val="right"/>
              <w:rPr>
                <w:rFonts w:ascii="CAIXA Std Book" w:hAnsi="CAIXA Std Book" w:cs="Calibri"/>
                <w:color w:val="005CA9"/>
                <w:sz w:val="13"/>
                <w:szCs w:val="13"/>
              </w:rPr>
            </w:pPr>
            <w:r w:rsidRPr="00E20D21">
              <w:rPr>
                <w:rFonts w:ascii="CAIXA Std Book" w:hAnsi="CAIXA Std Book" w:cs="Calibri"/>
                <w:color w:val="005CA9"/>
                <w:sz w:val="13"/>
                <w:szCs w:val="13"/>
              </w:rPr>
              <w:t>(</w:t>
            </w:r>
            <w:r w:rsidR="00DD751F" w:rsidRPr="00E20D21">
              <w:rPr>
                <w:rFonts w:ascii="CAIXA Std Book" w:hAnsi="CAIXA Std Book" w:cs="Calibri"/>
                <w:color w:val="005CA9"/>
                <w:sz w:val="13"/>
                <w:szCs w:val="13"/>
              </w:rPr>
              <w:t>17</w:t>
            </w: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273C44ED" w14:textId="39E70DE3" w:rsidR="00DD751F" w:rsidRPr="00E20D21" w:rsidRDefault="00DD751F" w:rsidP="00DD751F">
            <w:pPr>
              <w:jc w:val="right"/>
              <w:rPr>
                <w:rFonts w:ascii="CAIXA Std Book" w:hAnsi="CAIXA Std Book" w:cs="Calibri"/>
                <w:color w:val="005CA9"/>
                <w:sz w:val="13"/>
                <w:szCs w:val="13"/>
              </w:rPr>
            </w:pPr>
            <w:r w:rsidRPr="00E20D21">
              <w:rPr>
                <w:rFonts w:ascii="CAIXA Std Book" w:hAnsi="CAIXA Std Book" w:cs="Calibri"/>
                <w:color w:val="005CA9"/>
                <w:sz w:val="13"/>
                <w:szCs w:val="13"/>
              </w:rPr>
              <w:t>(9.417.547)</w:t>
            </w:r>
          </w:p>
        </w:tc>
      </w:tr>
      <w:tr w:rsidR="00DD751F" w:rsidRPr="00E20D21" w14:paraId="7708B356" w14:textId="77777777" w:rsidTr="006C1D19">
        <w:trPr>
          <w:trHeight w:val="181"/>
        </w:trPr>
        <w:tc>
          <w:tcPr>
            <w:tcW w:w="863" w:type="pct"/>
            <w:tcBorders>
              <w:top w:val="nil"/>
              <w:left w:val="nil"/>
              <w:bottom w:val="single" w:sz="4" w:space="0" w:color="F79646" w:themeColor="accent6"/>
              <w:right w:val="nil"/>
            </w:tcBorders>
            <w:shd w:val="clear" w:color="auto" w:fill="auto"/>
            <w:vAlign w:val="center"/>
            <w:hideMark/>
          </w:tcPr>
          <w:p w14:paraId="2CD4B263" w14:textId="77777777" w:rsidR="00DD751F" w:rsidRPr="00E20D21" w:rsidRDefault="00DD751F" w:rsidP="00DD751F">
            <w:pPr>
              <w:rPr>
                <w:rFonts w:ascii="CAIXA Std Book" w:hAnsi="CAIXA Std Book" w:cs="Calibri"/>
                <w:color w:val="005CA9"/>
                <w:sz w:val="13"/>
                <w:szCs w:val="13"/>
              </w:rPr>
            </w:pPr>
            <w:r w:rsidRPr="00E20D21">
              <w:rPr>
                <w:rFonts w:ascii="CAIXA Std Book" w:hAnsi="CAIXA Std Book" w:cs="Calibri"/>
                <w:color w:val="005CA9"/>
                <w:sz w:val="13"/>
                <w:szCs w:val="13"/>
              </w:rPr>
              <w:t>Outros investimentos, valores e bens</w:t>
            </w:r>
          </w:p>
        </w:tc>
        <w:tc>
          <w:tcPr>
            <w:tcW w:w="330" w:type="pct"/>
            <w:tcBorders>
              <w:top w:val="nil"/>
              <w:left w:val="nil"/>
              <w:bottom w:val="nil"/>
              <w:right w:val="nil"/>
            </w:tcBorders>
            <w:shd w:val="clear" w:color="auto" w:fill="auto"/>
            <w:noWrap/>
          </w:tcPr>
          <w:p w14:paraId="76CC3D7A" w14:textId="351E1CDD" w:rsidR="00DD751F" w:rsidRPr="00E20D21" w:rsidRDefault="00DD751F"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308" w:type="pct"/>
            <w:tcBorders>
              <w:top w:val="nil"/>
              <w:left w:val="nil"/>
              <w:bottom w:val="nil"/>
              <w:right w:val="nil"/>
            </w:tcBorders>
            <w:shd w:val="clear" w:color="auto" w:fill="auto"/>
            <w:noWrap/>
            <w:vAlign w:val="center"/>
          </w:tcPr>
          <w:p w14:paraId="145F7665" w14:textId="5F461A88" w:rsidR="00DD751F" w:rsidRPr="00E20D21" w:rsidRDefault="00DD751F"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39" w:type="pct"/>
            <w:tcBorders>
              <w:top w:val="nil"/>
              <w:left w:val="nil"/>
              <w:bottom w:val="nil"/>
              <w:right w:val="nil"/>
            </w:tcBorders>
            <w:shd w:val="clear" w:color="auto" w:fill="auto"/>
            <w:noWrap/>
            <w:vAlign w:val="center"/>
          </w:tcPr>
          <w:p w14:paraId="2D4DCAF2" w14:textId="1F74C1DA" w:rsidR="00DD751F" w:rsidRPr="00E20D21" w:rsidRDefault="00DD751F"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264" w:type="pct"/>
            <w:tcBorders>
              <w:top w:val="nil"/>
              <w:left w:val="nil"/>
              <w:bottom w:val="nil"/>
              <w:right w:val="nil"/>
            </w:tcBorders>
            <w:shd w:val="clear" w:color="auto" w:fill="auto"/>
            <w:noWrap/>
            <w:vAlign w:val="center"/>
          </w:tcPr>
          <w:p w14:paraId="1C6F7FFB" w14:textId="5D3D97FE" w:rsidR="00DD751F" w:rsidRPr="00E20D21" w:rsidRDefault="00DD751F"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62" w:type="pct"/>
            <w:tcBorders>
              <w:top w:val="nil"/>
              <w:left w:val="nil"/>
              <w:bottom w:val="nil"/>
              <w:right w:val="nil"/>
            </w:tcBorders>
            <w:shd w:val="clear" w:color="auto" w:fill="auto"/>
            <w:noWrap/>
          </w:tcPr>
          <w:p w14:paraId="7C8D8065" w14:textId="1EFCD646" w:rsidR="00DD751F" w:rsidRPr="00E20D21" w:rsidRDefault="00DD751F" w:rsidP="00DD751F">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326" w:type="pct"/>
            <w:tcBorders>
              <w:top w:val="nil"/>
              <w:left w:val="nil"/>
              <w:bottom w:val="nil"/>
            </w:tcBorders>
            <w:shd w:val="clear" w:color="auto" w:fill="auto"/>
            <w:noWrap/>
            <w:vAlign w:val="center"/>
          </w:tcPr>
          <w:p w14:paraId="5B839614" w14:textId="0281B095" w:rsidR="00DD751F" w:rsidRPr="00E20D21" w:rsidRDefault="00DD751F" w:rsidP="00666BEE">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8.639</w:t>
            </w:r>
          </w:p>
        </w:tc>
        <w:tc>
          <w:tcPr>
            <w:tcW w:w="330" w:type="pct"/>
            <w:tcBorders>
              <w:top w:val="nil"/>
              <w:left w:val="nil"/>
              <w:bottom w:val="single" w:sz="4" w:space="0" w:color="F79646" w:themeColor="accent6"/>
              <w:right w:val="nil"/>
            </w:tcBorders>
            <w:shd w:val="clear" w:color="auto" w:fill="auto"/>
            <w:noWrap/>
            <w:vAlign w:val="center"/>
          </w:tcPr>
          <w:p w14:paraId="622172FA" w14:textId="700C93EE"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single" w:sz="4" w:space="0" w:color="F79646" w:themeColor="accent6"/>
              <w:right w:val="nil"/>
            </w:tcBorders>
            <w:shd w:val="clear" w:color="auto" w:fill="auto"/>
            <w:noWrap/>
            <w:vAlign w:val="center"/>
          </w:tcPr>
          <w:p w14:paraId="3844C85F" w14:textId="2D9402D4"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single" w:sz="4" w:space="0" w:color="F79646" w:themeColor="accent6"/>
              <w:right w:val="nil"/>
            </w:tcBorders>
            <w:shd w:val="clear" w:color="auto" w:fill="auto"/>
            <w:noWrap/>
            <w:vAlign w:val="center"/>
          </w:tcPr>
          <w:p w14:paraId="41C7BF66" w14:textId="223D521D"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single" w:sz="4" w:space="0" w:color="F79646" w:themeColor="accent6"/>
              <w:right w:val="nil"/>
            </w:tcBorders>
            <w:shd w:val="clear" w:color="auto" w:fill="auto"/>
            <w:noWrap/>
            <w:vAlign w:val="center"/>
          </w:tcPr>
          <w:p w14:paraId="2706928F" w14:textId="2583E6DF"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single" w:sz="4" w:space="0" w:color="F79646" w:themeColor="accent6"/>
              <w:right w:val="nil"/>
            </w:tcBorders>
            <w:shd w:val="clear" w:color="auto" w:fill="auto"/>
            <w:noWrap/>
            <w:vAlign w:val="center"/>
          </w:tcPr>
          <w:p w14:paraId="42313E02" w14:textId="503CC5AA"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single" w:sz="4" w:space="0" w:color="F79646" w:themeColor="accent6"/>
            </w:tcBorders>
            <w:shd w:val="clear" w:color="auto" w:fill="auto"/>
            <w:noWrap/>
            <w:vAlign w:val="center"/>
          </w:tcPr>
          <w:p w14:paraId="7624A632" w14:textId="4677DDA1" w:rsidR="00DD751F" w:rsidRPr="00E20D21" w:rsidRDefault="00DD751F" w:rsidP="00DD751F">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r>
      <w:tr w:rsidR="00954734" w:rsidRPr="00E20D21" w14:paraId="4692F90E" w14:textId="77777777" w:rsidTr="006C1D19">
        <w:trPr>
          <w:trHeight w:val="181"/>
        </w:trPr>
        <w:tc>
          <w:tcPr>
            <w:tcW w:w="863" w:type="pct"/>
            <w:tcBorders>
              <w:top w:val="single" w:sz="4" w:space="0" w:color="F79646" w:themeColor="accent6"/>
              <w:left w:val="nil"/>
              <w:bottom w:val="single" w:sz="4" w:space="0" w:color="F79646" w:themeColor="accent6"/>
              <w:right w:val="nil"/>
            </w:tcBorders>
            <w:shd w:val="clear" w:color="auto" w:fill="auto"/>
            <w:vAlign w:val="center"/>
            <w:hideMark/>
          </w:tcPr>
          <w:p w14:paraId="23D4EF18" w14:textId="77777777" w:rsidR="00954734" w:rsidRPr="00E20D21" w:rsidRDefault="00954734" w:rsidP="00954734">
            <w:pPr>
              <w:rPr>
                <w:rFonts w:ascii="CAIXA Std Book" w:hAnsi="CAIXA Std Book" w:cs="Calibri"/>
                <w:b/>
                <w:bCs/>
                <w:color w:val="005CA9"/>
                <w:sz w:val="13"/>
                <w:szCs w:val="13"/>
              </w:rPr>
            </w:pPr>
            <w:r w:rsidRPr="00E20D21">
              <w:rPr>
                <w:rFonts w:ascii="CAIXA Std Book" w:hAnsi="CAIXA Std Book" w:cs="Calibri"/>
                <w:b/>
                <w:bCs/>
                <w:color w:val="005CA9"/>
                <w:sz w:val="13"/>
                <w:szCs w:val="13"/>
              </w:rPr>
              <w:t>PASSIVO:</w:t>
            </w:r>
          </w:p>
        </w:tc>
        <w:tc>
          <w:tcPr>
            <w:tcW w:w="330" w:type="pct"/>
            <w:tcBorders>
              <w:top w:val="single" w:sz="4" w:space="0" w:color="F39200"/>
              <w:left w:val="nil"/>
              <w:bottom w:val="single" w:sz="4" w:space="0" w:color="F39200"/>
              <w:right w:val="nil"/>
            </w:tcBorders>
            <w:shd w:val="clear" w:color="auto" w:fill="auto"/>
            <w:vAlign w:val="center"/>
          </w:tcPr>
          <w:p w14:paraId="3AE52125" w14:textId="35F82075" w:rsidR="00954734" w:rsidRPr="00E20D21" w:rsidRDefault="00823663" w:rsidP="00954734">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46</w:t>
            </w:r>
            <w:r w:rsidR="004F3496" w:rsidRPr="00E20D21">
              <w:rPr>
                <w:rFonts w:ascii="CAIXA Std Book" w:eastAsia="Futura Lt BT" w:hAnsi="CAIXA Std Book" w:cs="Futura Lt BT"/>
                <w:b/>
                <w:color w:val="005CA9"/>
                <w:sz w:val="13"/>
                <w:szCs w:val="13"/>
              </w:rPr>
              <w:t>.</w:t>
            </w:r>
            <w:r w:rsidR="00B0418A" w:rsidRPr="00E20D21">
              <w:rPr>
                <w:rFonts w:ascii="CAIXA Std Book" w:eastAsia="Futura Lt BT" w:hAnsi="CAIXA Std Book" w:cs="Futura Lt BT"/>
                <w:b/>
                <w:color w:val="005CA9"/>
                <w:sz w:val="13"/>
                <w:szCs w:val="13"/>
              </w:rPr>
              <w:t>145.844</w:t>
            </w:r>
          </w:p>
        </w:tc>
        <w:tc>
          <w:tcPr>
            <w:tcW w:w="308" w:type="pct"/>
            <w:tcBorders>
              <w:top w:val="single" w:sz="4" w:space="0" w:color="F39200"/>
              <w:left w:val="nil"/>
              <w:bottom w:val="single" w:sz="4" w:space="0" w:color="F39200"/>
              <w:right w:val="nil"/>
            </w:tcBorders>
            <w:shd w:val="clear" w:color="auto" w:fill="auto"/>
            <w:vAlign w:val="center"/>
          </w:tcPr>
          <w:p w14:paraId="03354F7A" w14:textId="00802EDB" w:rsidR="00954734" w:rsidRPr="00E20D21" w:rsidRDefault="004F3496" w:rsidP="00954734">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747</w:t>
            </w:r>
          </w:p>
        </w:tc>
        <w:tc>
          <w:tcPr>
            <w:tcW w:w="439" w:type="pct"/>
            <w:tcBorders>
              <w:top w:val="single" w:sz="4" w:space="0" w:color="F39200"/>
              <w:left w:val="nil"/>
              <w:bottom w:val="single" w:sz="4" w:space="0" w:color="F39200"/>
              <w:right w:val="nil"/>
            </w:tcBorders>
            <w:shd w:val="clear" w:color="auto" w:fill="auto"/>
            <w:vAlign w:val="center"/>
          </w:tcPr>
          <w:p w14:paraId="2F36B64A" w14:textId="0B1CF09F" w:rsidR="00954734" w:rsidRPr="00E20D21" w:rsidRDefault="004F3496" w:rsidP="00954734">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167.079</w:t>
            </w:r>
          </w:p>
        </w:tc>
        <w:tc>
          <w:tcPr>
            <w:tcW w:w="264" w:type="pct"/>
            <w:tcBorders>
              <w:top w:val="single" w:sz="4" w:space="0" w:color="F39200"/>
              <w:left w:val="nil"/>
              <w:bottom w:val="single" w:sz="4" w:space="0" w:color="F39200"/>
              <w:right w:val="nil"/>
            </w:tcBorders>
            <w:shd w:val="clear" w:color="auto" w:fill="auto"/>
            <w:vAlign w:val="center"/>
          </w:tcPr>
          <w:p w14:paraId="60FC0CD9" w14:textId="54C61C67" w:rsidR="00954734" w:rsidRPr="00E20D21" w:rsidRDefault="004F3496" w:rsidP="00954734">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189.458</w:t>
            </w:r>
          </w:p>
        </w:tc>
        <w:tc>
          <w:tcPr>
            <w:tcW w:w="462" w:type="pct"/>
            <w:tcBorders>
              <w:top w:val="single" w:sz="4" w:space="0" w:color="F39200"/>
              <w:left w:val="nil"/>
              <w:bottom w:val="single" w:sz="4" w:space="0" w:color="F39200"/>
              <w:right w:val="nil"/>
            </w:tcBorders>
            <w:shd w:val="clear" w:color="auto" w:fill="auto"/>
            <w:vAlign w:val="center"/>
          </w:tcPr>
          <w:p w14:paraId="4085DB1E" w14:textId="1A5E6747" w:rsidR="00954734" w:rsidRPr="00E20D21" w:rsidRDefault="004F3496" w:rsidP="00954734">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253.027</w:t>
            </w:r>
          </w:p>
        </w:tc>
        <w:tc>
          <w:tcPr>
            <w:tcW w:w="326" w:type="pct"/>
            <w:tcBorders>
              <w:top w:val="single" w:sz="4" w:space="0" w:color="F39200"/>
              <w:left w:val="nil"/>
              <w:bottom w:val="single" w:sz="4" w:space="0" w:color="F39200"/>
              <w:right w:val="nil"/>
            </w:tcBorders>
            <w:shd w:val="clear" w:color="auto" w:fill="auto"/>
            <w:vAlign w:val="center"/>
          </w:tcPr>
          <w:p w14:paraId="6A33D228" w14:textId="614A510E" w:rsidR="00954734" w:rsidRPr="00E20D21" w:rsidRDefault="00AC2B29" w:rsidP="00954734">
            <w:pPr>
              <w:jc w:val="right"/>
              <w:rPr>
                <w:rFonts w:ascii="CAIXA Std Book" w:eastAsia="Futura Lt BT" w:hAnsi="CAIXA Std Book" w:cs="Futura Lt BT"/>
                <w:b/>
                <w:color w:val="005CA9"/>
                <w:sz w:val="13"/>
                <w:szCs w:val="13"/>
              </w:rPr>
            </w:pPr>
            <w:r w:rsidRPr="00E20D21">
              <w:rPr>
                <w:rFonts w:ascii="CAIXA Std Book" w:eastAsia="Futura Lt BT" w:hAnsi="CAIXA Std Book" w:cs="Futura Lt BT"/>
                <w:b/>
                <w:color w:val="005CA9"/>
                <w:sz w:val="13"/>
                <w:szCs w:val="13"/>
              </w:rPr>
              <w:t>665.</w:t>
            </w:r>
            <w:r w:rsidR="0095115A" w:rsidRPr="00E20D21">
              <w:rPr>
                <w:rFonts w:ascii="CAIXA Std Book" w:eastAsia="Futura Lt BT" w:hAnsi="CAIXA Std Book" w:cs="Futura Lt BT"/>
                <w:b/>
                <w:color w:val="005CA9"/>
                <w:sz w:val="13"/>
                <w:szCs w:val="13"/>
              </w:rPr>
              <w:t>382</w:t>
            </w:r>
            <w:r w:rsidR="00334E4A" w:rsidRPr="00E20D21">
              <w:rPr>
                <w:rFonts w:ascii="CAIXA Std Book" w:eastAsia="Futura Lt BT" w:hAnsi="CAIXA Std Book" w:cs="Futura Lt BT"/>
                <w:b/>
                <w:color w:val="005CA9"/>
                <w:sz w:val="13"/>
                <w:szCs w:val="13"/>
              </w:rPr>
              <w:t>.430</w:t>
            </w:r>
          </w:p>
        </w:tc>
        <w:tc>
          <w:tcPr>
            <w:tcW w:w="330" w:type="pct"/>
            <w:tcBorders>
              <w:top w:val="single" w:sz="4" w:space="0" w:color="F79646" w:themeColor="accent6"/>
              <w:left w:val="nil"/>
              <w:bottom w:val="single" w:sz="4" w:space="0" w:color="F39200"/>
              <w:right w:val="nil"/>
            </w:tcBorders>
            <w:shd w:val="clear" w:color="auto" w:fill="auto"/>
            <w:vAlign w:val="center"/>
          </w:tcPr>
          <w:p w14:paraId="61123493" w14:textId="7F7E3F47"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45.636.508</w:t>
            </w:r>
          </w:p>
        </w:tc>
        <w:tc>
          <w:tcPr>
            <w:tcW w:w="288" w:type="pct"/>
            <w:tcBorders>
              <w:top w:val="single" w:sz="4" w:space="0" w:color="F79646" w:themeColor="accent6"/>
              <w:left w:val="nil"/>
              <w:bottom w:val="single" w:sz="4" w:space="0" w:color="F39200"/>
              <w:right w:val="nil"/>
            </w:tcBorders>
            <w:shd w:val="clear" w:color="auto" w:fill="auto"/>
            <w:vAlign w:val="center"/>
          </w:tcPr>
          <w:p w14:paraId="1277E8C3" w14:textId="294E862C"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350</w:t>
            </w:r>
          </w:p>
        </w:tc>
        <w:tc>
          <w:tcPr>
            <w:tcW w:w="374" w:type="pct"/>
            <w:tcBorders>
              <w:top w:val="single" w:sz="4" w:space="0" w:color="F79646" w:themeColor="accent6"/>
              <w:left w:val="nil"/>
              <w:bottom w:val="single" w:sz="4" w:space="0" w:color="F39200"/>
              <w:right w:val="nil"/>
            </w:tcBorders>
            <w:shd w:val="clear" w:color="auto" w:fill="auto"/>
            <w:vAlign w:val="center"/>
          </w:tcPr>
          <w:p w14:paraId="1D292FE6" w14:textId="447E17BB"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218.532</w:t>
            </w:r>
          </w:p>
        </w:tc>
        <w:tc>
          <w:tcPr>
            <w:tcW w:w="281" w:type="pct"/>
            <w:tcBorders>
              <w:top w:val="single" w:sz="4" w:space="0" w:color="F79646" w:themeColor="accent6"/>
              <w:left w:val="nil"/>
              <w:bottom w:val="single" w:sz="4" w:space="0" w:color="F39200"/>
              <w:right w:val="nil"/>
            </w:tcBorders>
            <w:shd w:val="clear" w:color="auto" w:fill="auto"/>
            <w:vAlign w:val="center"/>
          </w:tcPr>
          <w:p w14:paraId="501F40BA" w14:textId="3461414B"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86.345</w:t>
            </w:r>
          </w:p>
        </w:tc>
        <w:tc>
          <w:tcPr>
            <w:tcW w:w="388" w:type="pct"/>
            <w:tcBorders>
              <w:top w:val="single" w:sz="4" w:space="0" w:color="F79646" w:themeColor="accent6"/>
              <w:left w:val="nil"/>
              <w:bottom w:val="single" w:sz="4" w:space="0" w:color="F39200"/>
              <w:right w:val="nil"/>
            </w:tcBorders>
            <w:shd w:val="clear" w:color="auto" w:fill="auto"/>
            <w:vAlign w:val="center"/>
          </w:tcPr>
          <w:p w14:paraId="5A0305EC" w14:textId="1212A45A"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25.615</w:t>
            </w:r>
          </w:p>
        </w:tc>
        <w:tc>
          <w:tcPr>
            <w:tcW w:w="347" w:type="pct"/>
            <w:tcBorders>
              <w:top w:val="single" w:sz="4" w:space="0" w:color="F79646" w:themeColor="accent6"/>
              <w:left w:val="nil"/>
              <w:bottom w:val="single" w:sz="4" w:space="0" w:color="F39200"/>
              <w:right w:val="nil"/>
            </w:tcBorders>
            <w:shd w:val="clear" w:color="auto" w:fill="auto"/>
            <w:vAlign w:val="center"/>
          </w:tcPr>
          <w:p w14:paraId="41070D38" w14:textId="7037DCD2"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642.276.331</w:t>
            </w:r>
          </w:p>
        </w:tc>
      </w:tr>
      <w:tr w:rsidR="00954734" w:rsidRPr="00E20D21" w14:paraId="7EE36B77" w14:textId="77777777" w:rsidTr="006C1D19">
        <w:trPr>
          <w:trHeight w:val="181"/>
        </w:trPr>
        <w:tc>
          <w:tcPr>
            <w:tcW w:w="863" w:type="pct"/>
            <w:tcBorders>
              <w:top w:val="single" w:sz="4" w:space="0" w:color="F79646" w:themeColor="accent6"/>
              <w:left w:val="nil"/>
              <w:bottom w:val="nil"/>
              <w:right w:val="nil"/>
            </w:tcBorders>
            <w:shd w:val="clear" w:color="auto" w:fill="auto"/>
            <w:vAlign w:val="center"/>
            <w:hideMark/>
          </w:tcPr>
          <w:p w14:paraId="0F697484" w14:textId="5A8C9987"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Depósitos à vista e poupança (7)</w:t>
            </w:r>
          </w:p>
        </w:tc>
        <w:tc>
          <w:tcPr>
            <w:tcW w:w="330" w:type="pct"/>
            <w:tcBorders>
              <w:top w:val="nil"/>
              <w:left w:val="nil"/>
              <w:bottom w:val="nil"/>
              <w:right w:val="nil"/>
            </w:tcBorders>
            <w:shd w:val="clear" w:color="auto" w:fill="auto"/>
            <w:noWrap/>
            <w:vAlign w:val="center"/>
          </w:tcPr>
          <w:p w14:paraId="5BA7AB0B" w14:textId="4226A757" w:rsidR="00954734" w:rsidRPr="00E20D21" w:rsidRDefault="0063003E"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401.287</w:t>
            </w:r>
          </w:p>
        </w:tc>
        <w:tc>
          <w:tcPr>
            <w:tcW w:w="308" w:type="pct"/>
            <w:tcBorders>
              <w:top w:val="nil"/>
              <w:left w:val="nil"/>
              <w:bottom w:val="nil"/>
              <w:right w:val="nil"/>
            </w:tcBorders>
            <w:shd w:val="clear" w:color="auto" w:fill="auto"/>
            <w:noWrap/>
            <w:vAlign w:val="center"/>
          </w:tcPr>
          <w:p w14:paraId="4A599C96" w14:textId="5D537A3A" w:rsidR="00954734" w:rsidRPr="00E20D21" w:rsidRDefault="005B6F9C"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747</w:t>
            </w:r>
          </w:p>
        </w:tc>
        <w:tc>
          <w:tcPr>
            <w:tcW w:w="439" w:type="pct"/>
            <w:tcBorders>
              <w:top w:val="nil"/>
              <w:left w:val="nil"/>
              <w:bottom w:val="nil"/>
              <w:right w:val="nil"/>
            </w:tcBorders>
            <w:shd w:val="clear" w:color="auto" w:fill="auto"/>
            <w:noWrap/>
            <w:vAlign w:val="center"/>
          </w:tcPr>
          <w:p w14:paraId="6AD90D4B" w14:textId="12F88828" w:rsidR="00954734" w:rsidRPr="00E20D21" w:rsidRDefault="005B6F9C"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14.985</w:t>
            </w:r>
          </w:p>
        </w:tc>
        <w:tc>
          <w:tcPr>
            <w:tcW w:w="264" w:type="pct"/>
            <w:tcBorders>
              <w:top w:val="nil"/>
              <w:left w:val="nil"/>
              <w:bottom w:val="nil"/>
              <w:right w:val="nil"/>
            </w:tcBorders>
            <w:shd w:val="clear" w:color="auto" w:fill="auto"/>
            <w:noWrap/>
            <w:vAlign w:val="center"/>
          </w:tcPr>
          <w:p w14:paraId="23DFD82E" w14:textId="653E228A" w:rsidR="00954734" w:rsidRPr="00E20D21" w:rsidRDefault="005B6F9C" w:rsidP="00666BEE">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92.079</w:t>
            </w:r>
          </w:p>
        </w:tc>
        <w:tc>
          <w:tcPr>
            <w:tcW w:w="462" w:type="pct"/>
            <w:tcBorders>
              <w:top w:val="nil"/>
              <w:left w:val="nil"/>
              <w:bottom w:val="nil"/>
              <w:right w:val="nil"/>
            </w:tcBorders>
            <w:shd w:val="clear" w:color="auto" w:fill="auto"/>
            <w:noWrap/>
            <w:vAlign w:val="center"/>
          </w:tcPr>
          <w:p w14:paraId="5D751FC5" w14:textId="131C1C6A" w:rsidR="00954734" w:rsidRPr="00E20D21" w:rsidRDefault="000E3087" w:rsidP="00241B3C">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20.796</w:t>
            </w:r>
          </w:p>
        </w:tc>
        <w:tc>
          <w:tcPr>
            <w:tcW w:w="326" w:type="pct"/>
            <w:tcBorders>
              <w:top w:val="nil"/>
              <w:left w:val="nil"/>
              <w:bottom w:val="nil"/>
            </w:tcBorders>
            <w:shd w:val="clear" w:color="auto" w:fill="auto"/>
            <w:noWrap/>
            <w:vAlign w:val="center"/>
          </w:tcPr>
          <w:p w14:paraId="7150B835" w14:textId="2549805A" w:rsidR="00954734" w:rsidRPr="00E20D21" w:rsidRDefault="000E3087"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2.438</w:t>
            </w:r>
            <w:r w:rsidR="00297A8A" w:rsidRPr="00E20D21">
              <w:rPr>
                <w:rFonts w:ascii="CAIXA Std Book" w:eastAsia="Futura Lt BT" w:hAnsi="CAIXA Std Book" w:cs="Futura Lt BT"/>
                <w:color w:val="005CA9"/>
                <w:sz w:val="13"/>
                <w:szCs w:val="13"/>
              </w:rPr>
              <w:t>.207</w:t>
            </w:r>
          </w:p>
        </w:tc>
        <w:tc>
          <w:tcPr>
            <w:tcW w:w="330" w:type="pct"/>
            <w:tcBorders>
              <w:top w:val="nil"/>
              <w:left w:val="nil"/>
              <w:bottom w:val="nil"/>
              <w:right w:val="nil"/>
            </w:tcBorders>
            <w:shd w:val="clear" w:color="auto" w:fill="auto"/>
            <w:noWrap/>
            <w:vAlign w:val="center"/>
          </w:tcPr>
          <w:p w14:paraId="40B7BBD2" w14:textId="2A1F531C"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364.053</w:t>
            </w:r>
          </w:p>
        </w:tc>
        <w:tc>
          <w:tcPr>
            <w:tcW w:w="288" w:type="pct"/>
            <w:tcBorders>
              <w:top w:val="nil"/>
              <w:left w:val="nil"/>
              <w:bottom w:val="nil"/>
              <w:right w:val="nil"/>
            </w:tcBorders>
            <w:shd w:val="clear" w:color="auto" w:fill="auto"/>
            <w:noWrap/>
            <w:vAlign w:val="center"/>
          </w:tcPr>
          <w:p w14:paraId="63AD36C9" w14:textId="0EC42587"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350</w:t>
            </w:r>
          </w:p>
        </w:tc>
        <w:tc>
          <w:tcPr>
            <w:tcW w:w="374" w:type="pct"/>
            <w:tcBorders>
              <w:top w:val="nil"/>
              <w:left w:val="nil"/>
              <w:bottom w:val="nil"/>
              <w:right w:val="nil"/>
            </w:tcBorders>
            <w:shd w:val="clear" w:color="auto" w:fill="auto"/>
            <w:noWrap/>
            <w:vAlign w:val="center"/>
          </w:tcPr>
          <w:p w14:paraId="071BB283" w14:textId="15E0630B"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34.837</w:t>
            </w:r>
          </w:p>
        </w:tc>
        <w:tc>
          <w:tcPr>
            <w:tcW w:w="281" w:type="pct"/>
            <w:tcBorders>
              <w:top w:val="nil"/>
              <w:left w:val="nil"/>
              <w:bottom w:val="nil"/>
              <w:right w:val="nil"/>
            </w:tcBorders>
            <w:shd w:val="clear" w:color="auto" w:fill="auto"/>
            <w:noWrap/>
            <w:vAlign w:val="center"/>
          </w:tcPr>
          <w:p w14:paraId="4C9BF7DF" w14:textId="5C445CE9"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86.345</w:t>
            </w:r>
          </w:p>
        </w:tc>
        <w:tc>
          <w:tcPr>
            <w:tcW w:w="388" w:type="pct"/>
            <w:tcBorders>
              <w:top w:val="nil"/>
              <w:left w:val="nil"/>
              <w:bottom w:val="nil"/>
              <w:right w:val="nil"/>
            </w:tcBorders>
            <w:shd w:val="clear" w:color="auto" w:fill="auto"/>
            <w:noWrap/>
            <w:vAlign w:val="center"/>
          </w:tcPr>
          <w:p w14:paraId="16810D44" w14:textId="45AD2E29"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10.337</w:t>
            </w:r>
          </w:p>
        </w:tc>
        <w:tc>
          <w:tcPr>
            <w:tcW w:w="347" w:type="pct"/>
            <w:tcBorders>
              <w:top w:val="nil"/>
              <w:left w:val="nil"/>
              <w:bottom w:val="nil"/>
            </w:tcBorders>
            <w:shd w:val="clear" w:color="auto" w:fill="auto"/>
            <w:noWrap/>
            <w:vAlign w:val="center"/>
          </w:tcPr>
          <w:p w14:paraId="6FE6A8B7" w14:textId="1FD0BABB"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3.575.190</w:t>
            </w:r>
          </w:p>
        </w:tc>
      </w:tr>
      <w:tr w:rsidR="00954734" w:rsidRPr="00E20D21" w14:paraId="650B441E" w14:textId="77777777" w:rsidTr="006C1D19">
        <w:trPr>
          <w:trHeight w:val="181"/>
        </w:trPr>
        <w:tc>
          <w:tcPr>
            <w:tcW w:w="863" w:type="pct"/>
            <w:tcBorders>
              <w:top w:val="nil"/>
              <w:left w:val="nil"/>
              <w:bottom w:val="nil"/>
              <w:right w:val="nil"/>
            </w:tcBorders>
            <w:shd w:val="clear" w:color="auto" w:fill="auto"/>
            <w:vAlign w:val="center"/>
            <w:hideMark/>
          </w:tcPr>
          <w:p w14:paraId="759E9F26" w14:textId="77777777"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Depósitos a prazo e letras</w:t>
            </w:r>
          </w:p>
        </w:tc>
        <w:tc>
          <w:tcPr>
            <w:tcW w:w="330" w:type="pct"/>
            <w:tcBorders>
              <w:top w:val="nil"/>
              <w:left w:val="nil"/>
              <w:bottom w:val="nil"/>
              <w:right w:val="nil"/>
            </w:tcBorders>
            <w:shd w:val="clear" w:color="auto" w:fill="auto"/>
            <w:noWrap/>
            <w:vAlign w:val="center"/>
          </w:tcPr>
          <w:p w14:paraId="614C7CCC" w14:textId="5C5F2986" w:rsidR="00954734" w:rsidRPr="00E20D21" w:rsidRDefault="00297A8A"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1.634.245</w:t>
            </w:r>
          </w:p>
        </w:tc>
        <w:tc>
          <w:tcPr>
            <w:tcW w:w="308" w:type="pct"/>
            <w:tcBorders>
              <w:top w:val="nil"/>
              <w:left w:val="nil"/>
              <w:bottom w:val="nil"/>
              <w:right w:val="nil"/>
            </w:tcBorders>
            <w:shd w:val="clear" w:color="auto" w:fill="auto"/>
            <w:noWrap/>
            <w:vAlign w:val="center"/>
          </w:tcPr>
          <w:p w14:paraId="4E5C9206" w14:textId="49C8F3F6" w:rsidR="00954734" w:rsidRPr="00E20D21" w:rsidRDefault="00297A8A"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39" w:type="pct"/>
            <w:tcBorders>
              <w:top w:val="nil"/>
              <w:left w:val="nil"/>
              <w:bottom w:val="nil"/>
              <w:right w:val="nil"/>
            </w:tcBorders>
            <w:shd w:val="clear" w:color="auto" w:fill="auto"/>
            <w:noWrap/>
            <w:vAlign w:val="center"/>
          </w:tcPr>
          <w:p w14:paraId="505AC9F1" w14:textId="68FF5E38" w:rsidR="00954734" w:rsidRPr="00E20D21" w:rsidRDefault="00297A8A"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121.073</w:t>
            </w:r>
          </w:p>
        </w:tc>
        <w:tc>
          <w:tcPr>
            <w:tcW w:w="264" w:type="pct"/>
            <w:tcBorders>
              <w:top w:val="nil"/>
              <w:left w:val="nil"/>
              <w:bottom w:val="nil"/>
              <w:right w:val="nil"/>
            </w:tcBorders>
            <w:shd w:val="clear" w:color="auto" w:fill="auto"/>
            <w:noWrap/>
            <w:vAlign w:val="center"/>
          </w:tcPr>
          <w:p w14:paraId="4602139E" w14:textId="27CE88E6" w:rsidR="00954734" w:rsidRPr="00E20D21" w:rsidRDefault="00297A8A"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62" w:type="pct"/>
            <w:tcBorders>
              <w:top w:val="nil"/>
              <w:left w:val="nil"/>
              <w:bottom w:val="nil"/>
              <w:right w:val="nil"/>
            </w:tcBorders>
            <w:shd w:val="clear" w:color="auto" w:fill="auto"/>
            <w:noWrap/>
            <w:vAlign w:val="center"/>
          </w:tcPr>
          <w:p w14:paraId="58B771E8" w14:textId="5D85D6EA" w:rsidR="00954734" w:rsidRPr="00E20D21" w:rsidRDefault="00297A8A" w:rsidP="00241B3C">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232.</w:t>
            </w:r>
            <w:r w:rsidR="00003276" w:rsidRPr="00E20D21">
              <w:rPr>
                <w:rFonts w:ascii="CAIXA Std Book" w:eastAsia="Futura Lt BT" w:hAnsi="CAIXA Std Book" w:cs="Futura Lt BT"/>
                <w:color w:val="005CA9"/>
                <w:sz w:val="13"/>
                <w:szCs w:val="13"/>
              </w:rPr>
              <w:t>231</w:t>
            </w:r>
          </w:p>
        </w:tc>
        <w:tc>
          <w:tcPr>
            <w:tcW w:w="326" w:type="pct"/>
            <w:tcBorders>
              <w:top w:val="nil"/>
              <w:left w:val="nil"/>
              <w:bottom w:val="nil"/>
            </w:tcBorders>
            <w:shd w:val="clear" w:color="auto" w:fill="auto"/>
            <w:noWrap/>
            <w:vAlign w:val="center"/>
          </w:tcPr>
          <w:p w14:paraId="1099C580" w14:textId="4D355710" w:rsidR="00954734" w:rsidRPr="00E20D21" w:rsidRDefault="00003276"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14.202.120</w:t>
            </w:r>
          </w:p>
        </w:tc>
        <w:tc>
          <w:tcPr>
            <w:tcW w:w="330" w:type="pct"/>
            <w:tcBorders>
              <w:top w:val="nil"/>
              <w:left w:val="nil"/>
              <w:bottom w:val="nil"/>
              <w:right w:val="nil"/>
            </w:tcBorders>
            <w:shd w:val="clear" w:color="auto" w:fill="auto"/>
            <w:noWrap/>
            <w:vAlign w:val="center"/>
          </w:tcPr>
          <w:p w14:paraId="763A6868" w14:textId="259857A0"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1.266.900</w:t>
            </w:r>
          </w:p>
        </w:tc>
        <w:tc>
          <w:tcPr>
            <w:tcW w:w="288" w:type="pct"/>
            <w:tcBorders>
              <w:top w:val="nil"/>
              <w:left w:val="nil"/>
              <w:bottom w:val="nil"/>
              <w:right w:val="nil"/>
            </w:tcBorders>
            <w:shd w:val="clear" w:color="auto" w:fill="auto"/>
            <w:noWrap/>
            <w:vAlign w:val="center"/>
          </w:tcPr>
          <w:p w14:paraId="39C464BA" w14:textId="606657BC"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3E5912A8" w14:textId="5140B37E" w:rsidR="00954734" w:rsidRPr="00E20D21" w:rsidRDefault="00954734" w:rsidP="00666BEE">
            <w:pPr>
              <w:jc w:val="right"/>
              <w:rPr>
                <w:rFonts w:ascii="CAIXA Std Book" w:hAnsi="CAIXA Std Book" w:cs="Calibri"/>
                <w:color w:val="005CA9"/>
                <w:sz w:val="13"/>
                <w:szCs w:val="13"/>
              </w:rPr>
            </w:pPr>
            <w:r w:rsidRPr="00E20D21">
              <w:rPr>
                <w:rFonts w:ascii="CAIXA Std Book" w:hAnsi="CAIXA Std Book" w:cs="Calibri"/>
                <w:color w:val="005CA9"/>
                <w:sz w:val="13"/>
                <w:szCs w:val="13"/>
              </w:rPr>
              <w:t>97.349</w:t>
            </w:r>
          </w:p>
        </w:tc>
        <w:tc>
          <w:tcPr>
            <w:tcW w:w="281" w:type="pct"/>
            <w:tcBorders>
              <w:top w:val="nil"/>
              <w:left w:val="nil"/>
              <w:bottom w:val="nil"/>
              <w:right w:val="nil"/>
            </w:tcBorders>
            <w:shd w:val="clear" w:color="auto" w:fill="auto"/>
            <w:noWrap/>
            <w:vAlign w:val="center"/>
          </w:tcPr>
          <w:p w14:paraId="7A2D7DC3" w14:textId="3A32CDB4"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3E3E8DA9" w14:textId="4A0A3F91"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15.278</w:t>
            </w:r>
          </w:p>
        </w:tc>
        <w:tc>
          <w:tcPr>
            <w:tcW w:w="347" w:type="pct"/>
            <w:tcBorders>
              <w:top w:val="nil"/>
              <w:left w:val="nil"/>
              <w:bottom w:val="nil"/>
            </w:tcBorders>
            <w:shd w:val="clear" w:color="auto" w:fill="auto"/>
            <w:noWrap/>
            <w:vAlign w:val="center"/>
          </w:tcPr>
          <w:p w14:paraId="00CD74EC" w14:textId="06357AF7"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13.492.997</w:t>
            </w:r>
          </w:p>
        </w:tc>
      </w:tr>
      <w:tr w:rsidR="00954734" w:rsidRPr="00E20D21" w14:paraId="2EA2B6E5" w14:textId="77777777" w:rsidTr="006C1D19">
        <w:trPr>
          <w:trHeight w:val="181"/>
        </w:trPr>
        <w:tc>
          <w:tcPr>
            <w:tcW w:w="863" w:type="pct"/>
            <w:tcBorders>
              <w:top w:val="nil"/>
              <w:left w:val="nil"/>
              <w:bottom w:val="nil"/>
              <w:right w:val="nil"/>
            </w:tcBorders>
            <w:shd w:val="clear" w:color="auto" w:fill="auto"/>
            <w:vAlign w:val="center"/>
            <w:hideMark/>
          </w:tcPr>
          <w:p w14:paraId="7C41308D" w14:textId="0EC64E63"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Depósitos especiais de fundos e programas (8)</w:t>
            </w:r>
          </w:p>
        </w:tc>
        <w:tc>
          <w:tcPr>
            <w:tcW w:w="330" w:type="pct"/>
            <w:tcBorders>
              <w:top w:val="nil"/>
              <w:left w:val="nil"/>
              <w:bottom w:val="nil"/>
              <w:right w:val="nil"/>
            </w:tcBorders>
            <w:shd w:val="clear" w:color="auto" w:fill="auto"/>
            <w:noWrap/>
            <w:vAlign w:val="center"/>
          </w:tcPr>
          <w:p w14:paraId="6BF08DFA" w14:textId="757780BD" w:rsidR="00954734" w:rsidRPr="00E20D21" w:rsidRDefault="003D5797"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275.255</w:t>
            </w:r>
          </w:p>
        </w:tc>
        <w:tc>
          <w:tcPr>
            <w:tcW w:w="308" w:type="pct"/>
            <w:tcBorders>
              <w:top w:val="nil"/>
              <w:left w:val="nil"/>
              <w:bottom w:val="nil"/>
              <w:right w:val="nil"/>
            </w:tcBorders>
            <w:shd w:val="clear" w:color="auto" w:fill="auto"/>
            <w:noWrap/>
            <w:vAlign w:val="center"/>
          </w:tcPr>
          <w:p w14:paraId="06839A4C" w14:textId="561B01D8" w:rsidR="00954734" w:rsidRPr="00E20D21" w:rsidRDefault="008862B7"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39" w:type="pct"/>
            <w:tcBorders>
              <w:top w:val="nil"/>
              <w:left w:val="nil"/>
              <w:bottom w:val="nil"/>
              <w:right w:val="nil"/>
            </w:tcBorders>
            <w:shd w:val="clear" w:color="auto" w:fill="auto"/>
            <w:noWrap/>
            <w:vAlign w:val="center"/>
          </w:tcPr>
          <w:p w14:paraId="01C30D6F" w14:textId="50148433" w:rsidR="00954734" w:rsidRPr="00E20D21" w:rsidRDefault="000C1B5C"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264" w:type="pct"/>
            <w:tcBorders>
              <w:top w:val="nil"/>
              <w:left w:val="nil"/>
              <w:bottom w:val="nil"/>
              <w:right w:val="nil"/>
            </w:tcBorders>
            <w:shd w:val="clear" w:color="auto" w:fill="auto"/>
            <w:noWrap/>
            <w:vAlign w:val="center"/>
          </w:tcPr>
          <w:p w14:paraId="32E71B2A" w14:textId="3E208207" w:rsidR="00954734" w:rsidRPr="00E20D21" w:rsidRDefault="000C1B5C"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62" w:type="pct"/>
            <w:tcBorders>
              <w:top w:val="nil"/>
              <w:left w:val="nil"/>
              <w:bottom w:val="nil"/>
              <w:right w:val="nil"/>
            </w:tcBorders>
            <w:shd w:val="clear" w:color="auto" w:fill="auto"/>
            <w:noWrap/>
            <w:vAlign w:val="center"/>
          </w:tcPr>
          <w:p w14:paraId="6709EACE" w14:textId="002916CC" w:rsidR="00954734" w:rsidRPr="00E20D21" w:rsidRDefault="000C1B5C"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326" w:type="pct"/>
            <w:tcBorders>
              <w:top w:val="nil"/>
              <w:left w:val="nil"/>
              <w:bottom w:val="nil"/>
            </w:tcBorders>
            <w:shd w:val="clear" w:color="auto" w:fill="auto"/>
            <w:noWrap/>
            <w:vAlign w:val="center"/>
          </w:tcPr>
          <w:p w14:paraId="0281DBCC" w14:textId="1F9A3C72" w:rsidR="00954734" w:rsidRPr="00E20D21" w:rsidRDefault="000C1B5C"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35.</w:t>
            </w:r>
            <w:r w:rsidR="00334E4A" w:rsidRPr="00E20D21">
              <w:rPr>
                <w:rFonts w:ascii="CAIXA Std Book" w:eastAsia="Futura Lt BT" w:hAnsi="CAIXA Std Book" w:cs="Futura Lt BT"/>
                <w:color w:val="005CA9"/>
                <w:sz w:val="13"/>
                <w:szCs w:val="13"/>
              </w:rPr>
              <w:t>529</w:t>
            </w:r>
            <w:r w:rsidR="00C262E6" w:rsidRPr="00E20D21">
              <w:rPr>
                <w:rFonts w:ascii="CAIXA Std Book" w:eastAsia="Futura Lt BT" w:hAnsi="CAIXA Std Book" w:cs="Futura Lt BT"/>
                <w:color w:val="005CA9"/>
                <w:sz w:val="13"/>
                <w:szCs w:val="13"/>
              </w:rPr>
              <w:t>.305</w:t>
            </w:r>
          </w:p>
        </w:tc>
        <w:tc>
          <w:tcPr>
            <w:tcW w:w="330" w:type="pct"/>
            <w:tcBorders>
              <w:top w:val="nil"/>
              <w:left w:val="nil"/>
              <w:bottom w:val="nil"/>
              <w:right w:val="nil"/>
            </w:tcBorders>
            <w:shd w:val="clear" w:color="auto" w:fill="auto"/>
            <w:noWrap/>
            <w:vAlign w:val="center"/>
          </w:tcPr>
          <w:p w14:paraId="4AD9D75B" w14:textId="4CBB0EAD"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395.568</w:t>
            </w:r>
          </w:p>
        </w:tc>
        <w:tc>
          <w:tcPr>
            <w:tcW w:w="288" w:type="pct"/>
            <w:tcBorders>
              <w:top w:val="nil"/>
              <w:left w:val="nil"/>
              <w:bottom w:val="nil"/>
              <w:right w:val="nil"/>
            </w:tcBorders>
            <w:shd w:val="clear" w:color="auto" w:fill="auto"/>
            <w:noWrap/>
            <w:vAlign w:val="center"/>
          </w:tcPr>
          <w:p w14:paraId="2227AB62" w14:textId="3F2EDE7C"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66E6999A" w14:textId="041A1A82"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379FA254" w14:textId="7877B06F"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02235440" w14:textId="22B88FE8"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2063C5A9" w14:textId="1D757B3E"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29.290.195</w:t>
            </w:r>
          </w:p>
        </w:tc>
      </w:tr>
      <w:tr w:rsidR="00954734" w:rsidRPr="00E20D21" w14:paraId="7BAB477D" w14:textId="77777777" w:rsidTr="006C1D19">
        <w:trPr>
          <w:trHeight w:val="181"/>
        </w:trPr>
        <w:tc>
          <w:tcPr>
            <w:tcW w:w="863" w:type="pct"/>
            <w:tcBorders>
              <w:top w:val="nil"/>
              <w:left w:val="nil"/>
              <w:bottom w:val="nil"/>
              <w:right w:val="nil"/>
            </w:tcBorders>
            <w:shd w:val="clear" w:color="auto" w:fill="auto"/>
            <w:vAlign w:val="center"/>
            <w:hideMark/>
          </w:tcPr>
          <w:p w14:paraId="334F3926" w14:textId="6D6AE364"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Recursos de emissões de títulos e valores mobiliários (9)</w:t>
            </w:r>
          </w:p>
        </w:tc>
        <w:tc>
          <w:tcPr>
            <w:tcW w:w="330" w:type="pct"/>
            <w:tcBorders>
              <w:top w:val="nil"/>
              <w:left w:val="nil"/>
              <w:bottom w:val="nil"/>
              <w:right w:val="nil"/>
            </w:tcBorders>
            <w:shd w:val="clear" w:color="auto" w:fill="auto"/>
            <w:noWrap/>
            <w:vAlign w:val="center"/>
          </w:tcPr>
          <w:p w14:paraId="01502500" w14:textId="5A18843A" w:rsidR="00954734" w:rsidRPr="00E20D21" w:rsidRDefault="009B6FDA"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35.404.288</w:t>
            </w:r>
          </w:p>
        </w:tc>
        <w:tc>
          <w:tcPr>
            <w:tcW w:w="308" w:type="pct"/>
            <w:tcBorders>
              <w:top w:val="nil"/>
              <w:left w:val="nil"/>
              <w:bottom w:val="nil"/>
              <w:right w:val="nil"/>
            </w:tcBorders>
            <w:shd w:val="clear" w:color="auto" w:fill="auto"/>
            <w:noWrap/>
            <w:vAlign w:val="center"/>
          </w:tcPr>
          <w:p w14:paraId="7AA81B55" w14:textId="79957DC8" w:rsidR="00954734" w:rsidRPr="00E20D21" w:rsidRDefault="009B6FDA"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39" w:type="pct"/>
            <w:tcBorders>
              <w:top w:val="nil"/>
              <w:left w:val="nil"/>
              <w:bottom w:val="nil"/>
              <w:right w:val="nil"/>
            </w:tcBorders>
            <w:shd w:val="clear" w:color="auto" w:fill="auto"/>
            <w:noWrap/>
            <w:vAlign w:val="center"/>
          </w:tcPr>
          <w:p w14:paraId="1E2D7DC6" w14:textId="665A71EC" w:rsidR="00954734" w:rsidRPr="00E20D21" w:rsidRDefault="009F03E9"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264" w:type="pct"/>
            <w:tcBorders>
              <w:top w:val="nil"/>
              <w:left w:val="nil"/>
              <w:bottom w:val="nil"/>
              <w:right w:val="nil"/>
            </w:tcBorders>
            <w:shd w:val="clear" w:color="auto" w:fill="auto"/>
            <w:noWrap/>
            <w:vAlign w:val="center"/>
          </w:tcPr>
          <w:p w14:paraId="523ED78A" w14:textId="36D14852" w:rsidR="00954734" w:rsidRPr="00E20D21" w:rsidRDefault="009F03E9"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462" w:type="pct"/>
            <w:tcBorders>
              <w:top w:val="nil"/>
              <w:left w:val="nil"/>
              <w:bottom w:val="nil"/>
              <w:right w:val="nil"/>
            </w:tcBorders>
            <w:shd w:val="clear" w:color="auto" w:fill="auto"/>
            <w:noWrap/>
            <w:vAlign w:val="center"/>
          </w:tcPr>
          <w:p w14:paraId="4FDFB554" w14:textId="15D0469C" w:rsidR="00954734" w:rsidRPr="00E20D21" w:rsidRDefault="009F03E9" w:rsidP="00954734">
            <w:pPr>
              <w:jc w:val="center"/>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w:t>
            </w:r>
          </w:p>
        </w:tc>
        <w:tc>
          <w:tcPr>
            <w:tcW w:w="326" w:type="pct"/>
            <w:tcBorders>
              <w:top w:val="nil"/>
              <w:left w:val="nil"/>
              <w:bottom w:val="nil"/>
            </w:tcBorders>
            <w:shd w:val="clear" w:color="auto" w:fill="auto"/>
            <w:noWrap/>
            <w:vAlign w:val="center"/>
          </w:tcPr>
          <w:p w14:paraId="543C3C71" w14:textId="698E832D" w:rsidR="00954734" w:rsidRPr="00E20D21" w:rsidRDefault="00345C5B" w:rsidP="00954734">
            <w:pPr>
              <w:jc w:val="right"/>
              <w:rPr>
                <w:rFonts w:ascii="CAIXA Std Book" w:eastAsia="Futura Lt BT" w:hAnsi="CAIXA Std Book" w:cs="Futura Lt BT"/>
                <w:color w:val="005CA9"/>
                <w:sz w:val="13"/>
                <w:szCs w:val="13"/>
              </w:rPr>
            </w:pPr>
            <w:r w:rsidRPr="00E20D21">
              <w:rPr>
                <w:rFonts w:ascii="CAIXA Std Book" w:eastAsia="Futura Lt BT" w:hAnsi="CAIXA Std Book" w:cs="Futura Lt BT"/>
                <w:color w:val="005CA9"/>
                <w:sz w:val="13"/>
                <w:szCs w:val="13"/>
              </w:rPr>
              <w:t>132.641.078</w:t>
            </w:r>
          </w:p>
        </w:tc>
        <w:tc>
          <w:tcPr>
            <w:tcW w:w="330" w:type="pct"/>
            <w:tcBorders>
              <w:top w:val="nil"/>
              <w:left w:val="nil"/>
              <w:bottom w:val="nil"/>
              <w:right w:val="nil"/>
            </w:tcBorders>
            <w:shd w:val="clear" w:color="auto" w:fill="auto"/>
            <w:noWrap/>
            <w:vAlign w:val="center"/>
          </w:tcPr>
          <w:p w14:paraId="25E7AE98" w14:textId="3F05C9B2"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35.085.061</w:t>
            </w:r>
          </w:p>
        </w:tc>
        <w:tc>
          <w:tcPr>
            <w:tcW w:w="288" w:type="pct"/>
            <w:tcBorders>
              <w:top w:val="nil"/>
              <w:left w:val="nil"/>
              <w:bottom w:val="nil"/>
              <w:right w:val="nil"/>
            </w:tcBorders>
            <w:shd w:val="clear" w:color="auto" w:fill="auto"/>
            <w:noWrap/>
            <w:vAlign w:val="center"/>
          </w:tcPr>
          <w:p w14:paraId="4421B424" w14:textId="5C179923"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5C08A863" w14:textId="105ACE00"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5330B99A" w14:textId="069D9A43"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0F4D2868" w14:textId="6733C205"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1E13E0FF" w14:textId="47A7372C"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146.748.912</w:t>
            </w:r>
          </w:p>
        </w:tc>
      </w:tr>
      <w:tr w:rsidR="00954734" w:rsidRPr="00E20D21" w14:paraId="7FB08240" w14:textId="77777777" w:rsidTr="006C1D19">
        <w:trPr>
          <w:trHeight w:val="181"/>
        </w:trPr>
        <w:tc>
          <w:tcPr>
            <w:tcW w:w="863" w:type="pct"/>
            <w:tcBorders>
              <w:top w:val="nil"/>
              <w:left w:val="nil"/>
              <w:bottom w:val="nil"/>
              <w:right w:val="nil"/>
            </w:tcBorders>
            <w:shd w:val="clear" w:color="auto" w:fill="auto"/>
            <w:vAlign w:val="center"/>
            <w:hideMark/>
          </w:tcPr>
          <w:p w14:paraId="74E270BB" w14:textId="69EBED97"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Repasses do país - instituições oficiais (10)</w:t>
            </w:r>
          </w:p>
        </w:tc>
        <w:tc>
          <w:tcPr>
            <w:tcW w:w="330" w:type="pct"/>
            <w:tcBorders>
              <w:top w:val="nil"/>
              <w:left w:val="nil"/>
              <w:bottom w:val="nil"/>
              <w:right w:val="nil"/>
            </w:tcBorders>
            <w:shd w:val="clear" w:color="auto" w:fill="auto"/>
            <w:noWrap/>
            <w:vAlign w:val="center"/>
          </w:tcPr>
          <w:p w14:paraId="2E0BAC8C" w14:textId="79A7E06C" w:rsidR="00954734" w:rsidRPr="00E20D21" w:rsidRDefault="007B339F"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19.261</w:t>
            </w:r>
          </w:p>
        </w:tc>
        <w:tc>
          <w:tcPr>
            <w:tcW w:w="308" w:type="pct"/>
            <w:tcBorders>
              <w:top w:val="nil"/>
              <w:left w:val="nil"/>
              <w:bottom w:val="nil"/>
              <w:right w:val="nil"/>
            </w:tcBorders>
            <w:shd w:val="clear" w:color="auto" w:fill="auto"/>
            <w:noWrap/>
            <w:vAlign w:val="center"/>
          </w:tcPr>
          <w:p w14:paraId="10E73F05" w14:textId="385997D4" w:rsidR="00954734" w:rsidRPr="00E20D21" w:rsidRDefault="007B339F"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9" w:type="pct"/>
            <w:tcBorders>
              <w:top w:val="nil"/>
              <w:left w:val="nil"/>
              <w:bottom w:val="nil"/>
              <w:right w:val="nil"/>
            </w:tcBorders>
            <w:shd w:val="clear" w:color="auto" w:fill="auto"/>
            <w:noWrap/>
            <w:vAlign w:val="center"/>
          </w:tcPr>
          <w:p w14:paraId="12695339" w14:textId="42743B35" w:rsidR="00954734" w:rsidRPr="00E20D21" w:rsidRDefault="000964C6"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64" w:type="pct"/>
            <w:tcBorders>
              <w:top w:val="nil"/>
              <w:left w:val="nil"/>
              <w:bottom w:val="nil"/>
              <w:right w:val="nil"/>
            </w:tcBorders>
            <w:shd w:val="clear" w:color="auto" w:fill="auto"/>
            <w:noWrap/>
            <w:vAlign w:val="center"/>
          </w:tcPr>
          <w:p w14:paraId="6DAA7238" w14:textId="001047F5" w:rsidR="00954734" w:rsidRPr="00E20D21" w:rsidRDefault="000964C6"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62" w:type="pct"/>
            <w:tcBorders>
              <w:top w:val="nil"/>
              <w:left w:val="nil"/>
              <w:bottom w:val="nil"/>
              <w:right w:val="nil"/>
            </w:tcBorders>
            <w:shd w:val="clear" w:color="auto" w:fill="auto"/>
            <w:noWrap/>
            <w:vAlign w:val="center"/>
          </w:tcPr>
          <w:p w14:paraId="3EECB73E" w14:textId="0BA54478" w:rsidR="00954734" w:rsidRPr="00E20D21" w:rsidRDefault="000964C6"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26" w:type="pct"/>
            <w:tcBorders>
              <w:top w:val="nil"/>
              <w:left w:val="nil"/>
              <w:bottom w:val="nil"/>
            </w:tcBorders>
            <w:shd w:val="clear" w:color="auto" w:fill="auto"/>
            <w:noWrap/>
            <w:vAlign w:val="center"/>
          </w:tcPr>
          <w:p w14:paraId="1A3EAAC1" w14:textId="0B032D63" w:rsidR="00954734" w:rsidRPr="00E20D21" w:rsidRDefault="000964C6"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465.952.091</w:t>
            </w:r>
          </w:p>
        </w:tc>
        <w:tc>
          <w:tcPr>
            <w:tcW w:w="330" w:type="pct"/>
            <w:tcBorders>
              <w:top w:val="nil"/>
              <w:left w:val="nil"/>
              <w:bottom w:val="nil"/>
              <w:right w:val="nil"/>
            </w:tcBorders>
            <w:shd w:val="clear" w:color="auto" w:fill="auto"/>
            <w:noWrap/>
            <w:vAlign w:val="center"/>
          </w:tcPr>
          <w:p w14:paraId="712970CC" w14:textId="74FC6866"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13.674</w:t>
            </w:r>
          </w:p>
        </w:tc>
        <w:tc>
          <w:tcPr>
            <w:tcW w:w="288" w:type="pct"/>
            <w:tcBorders>
              <w:top w:val="nil"/>
              <w:left w:val="nil"/>
              <w:bottom w:val="nil"/>
              <w:right w:val="nil"/>
            </w:tcBorders>
            <w:shd w:val="clear" w:color="auto" w:fill="auto"/>
            <w:noWrap/>
            <w:vAlign w:val="center"/>
          </w:tcPr>
          <w:p w14:paraId="5DD93546" w14:textId="123E13F5"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70DD9F4F" w14:textId="72905E11"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01359496" w14:textId="277597A1"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7F91EDC5" w14:textId="6546D33A"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1C5B9003" w14:textId="69224CCE"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433.480.389</w:t>
            </w:r>
          </w:p>
        </w:tc>
      </w:tr>
      <w:tr w:rsidR="00954734" w:rsidRPr="00E20D21" w14:paraId="18B9421A" w14:textId="77777777" w:rsidTr="006C1D19">
        <w:trPr>
          <w:trHeight w:val="181"/>
        </w:trPr>
        <w:tc>
          <w:tcPr>
            <w:tcW w:w="863" w:type="pct"/>
            <w:tcBorders>
              <w:top w:val="nil"/>
              <w:left w:val="nil"/>
              <w:bottom w:val="nil"/>
              <w:right w:val="nil"/>
            </w:tcBorders>
            <w:shd w:val="clear" w:color="auto" w:fill="auto"/>
            <w:vAlign w:val="center"/>
          </w:tcPr>
          <w:p w14:paraId="3181D62D" w14:textId="393C642A"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Recursos para destinação específica (11)</w:t>
            </w:r>
          </w:p>
        </w:tc>
        <w:tc>
          <w:tcPr>
            <w:tcW w:w="330" w:type="pct"/>
            <w:tcBorders>
              <w:top w:val="nil"/>
              <w:left w:val="nil"/>
              <w:bottom w:val="nil"/>
              <w:right w:val="nil"/>
            </w:tcBorders>
            <w:shd w:val="clear" w:color="auto" w:fill="auto"/>
            <w:noWrap/>
            <w:vAlign w:val="center"/>
          </w:tcPr>
          <w:p w14:paraId="5D0238D0" w14:textId="0A081B27" w:rsidR="00954734" w:rsidRPr="00E20D21" w:rsidRDefault="00EB19AE"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3.083.171</w:t>
            </w:r>
          </w:p>
        </w:tc>
        <w:tc>
          <w:tcPr>
            <w:tcW w:w="308" w:type="pct"/>
            <w:tcBorders>
              <w:top w:val="nil"/>
              <w:left w:val="nil"/>
              <w:bottom w:val="nil"/>
              <w:right w:val="nil"/>
            </w:tcBorders>
            <w:shd w:val="clear" w:color="auto" w:fill="auto"/>
            <w:noWrap/>
            <w:vAlign w:val="center"/>
          </w:tcPr>
          <w:p w14:paraId="394A73CE" w14:textId="51396737" w:rsidR="00954734" w:rsidRPr="00E20D21" w:rsidRDefault="0065344E"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9" w:type="pct"/>
            <w:tcBorders>
              <w:top w:val="nil"/>
              <w:left w:val="nil"/>
              <w:bottom w:val="nil"/>
              <w:right w:val="nil"/>
            </w:tcBorders>
            <w:shd w:val="clear" w:color="auto" w:fill="auto"/>
            <w:noWrap/>
            <w:vAlign w:val="center"/>
          </w:tcPr>
          <w:p w14:paraId="7849836B" w14:textId="2239787B" w:rsidR="00954734" w:rsidRPr="00E20D21" w:rsidRDefault="0065344E"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64" w:type="pct"/>
            <w:tcBorders>
              <w:top w:val="nil"/>
              <w:left w:val="nil"/>
              <w:bottom w:val="nil"/>
              <w:right w:val="nil"/>
            </w:tcBorders>
            <w:shd w:val="clear" w:color="auto" w:fill="auto"/>
            <w:noWrap/>
            <w:vAlign w:val="center"/>
          </w:tcPr>
          <w:p w14:paraId="37439B0E" w14:textId="11CFD5D0" w:rsidR="00954734" w:rsidRPr="00E20D21" w:rsidRDefault="0065344E"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62" w:type="pct"/>
            <w:tcBorders>
              <w:top w:val="nil"/>
              <w:left w:val="nil"/>
              <w:bottom w:val="nil"/>
              <w:right w:val="nil"/>
            </w:tcBorders>
            <w:shd w:val="clear" w:color="auto" w:fill="auto"/>
            <w:noWrap/>
            <w:vAlign w:val="center"/>
          </w:tcPr>
          <w:p w14:paraId="37A0333D" w14:textId="6D4A38D8" w:rsidR="00954734" w:rsidRPr="00E20D21" w:rsidRDefault="0065344E"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26" w:type="pct"/>
            <w:tcBorders>
              <w:top w:val="nil"/>
              <w:left w:val="nil"/>
              <w:bottom w:val="nil"/>
            </w:tcBorders>
            <w:shd w:val="clear" w:color="auto" w:fill="auto"/>
            <w:noWrap/>
            <w:vAlign w:val="center"/>
          </w:tcPr>
          <w:p w14:paraId="17DA8C1F" w14:textId="5B20B748" w:rsidR="00954734" w:rsidRPr="00E20D21" w:rsidRDefault="0065344E"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11.204.508</w:t>
            </w:r>
          </w:p>
        </w:tc>
        <w:tc>
          <w:tcPr>
            <w:tcW w:w="330" w:type="pct"/>
            <w:tcBorders>
              <w:top w:val="nil"/>
              <w:left w:val="nil"/>
              <w:bottom w:val="nil"/>
              <w:right w:val="nil"/>
            </w:tcBorders>
            <w:shd w:val="clear" w:color="auto" w:fill="auto"/>
            <w:noWrap/>
            <w:vAlign w:val="center"/>
          </w:tcPr>
          <w:p w14:paraId="363E3663" w14:textId="63E97AE3"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1.751.718</w:t>
            </w:r>
          </w:p>
        </w:tc>
        <w:tc>
          <w:tcPr>
            <w:tcW w:w="288" w:type="pct"/>
            <w:tcBorders>
              <w:top w:val="nil"/>
              <w:left w:val="nil"/>
              <w:bottom w:val="nil"/>
              <w:right w:val="nil"/>
            </w:tcBorders>
            <w:shd w:val="clear" w:color="auto" w:fill="auto"/>
            <w:noWrap/>
            <w:vAlign w:val="center"/>
          </w:tcPr>
          <w:p w14:paraId="0BB9457E" w14:textId="0F1C4091"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5DAB97DD" w14:textId="49E5B5F2"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1AEDCFC1" w14:textId="0C81D265"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3047EA1E" w14:textId="6B71191F"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51ED53EB" w14:textId="6CDDAF72"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12.023.480</w:t>
            </w:r>
          </w:p>
        </w:tc>
      </w:tr>
      <w:tr w:rsidR="00954734" w:rsidRPr="00E20D21" w14:paraId="61601C9B" w14:textId="77777777" w:rsidTr="006C1D19">
        <w:trPr>
          <w:trHeight w:val="181"/>
        </w:trPr>
        <w:tc>
          <w:tcPr>
            <w:tcW w:w="863" w:type="pct"/>
            <w:tcBorders>
              <w:top w:val="nil"/>
              <w:left w:val="nil"/>
              <w:bottom w:val="nil"/>
              <w:right w:val="nil"/>
            </w:tcBorders>
            <w:shd w:val="clear" w:color="auto" w:fill="auto"/>
            <w:vAlign w:val="center"/>
          </w:tcPr>
          <w:p w14:paraId="1629B039" w14:textId="48CA9B84"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Obrigações fiscais e previdenciárias (12)</w:t>
            </w:r>
          </w:p>
        </w:tc>
        <w:tc>
          <w:tcPr>
            <w:tcW w:w="330" w:type="pct"/>
            <w:tcBorders>
              <w:top w:val="nil"/>
              <w:left w:val="nil"/>
              <w:bottom w:val="nil"/>
              <w:right w:val="nil"/>
            </w:tcBorders>
            <w:shd w:val="clear" w:color="auto" w:fill="auto"/>
            <w:noWrap/>
            <w:vAlign w:val="center"/>
          </w:tcPr>
          <w:p w14:paraId="585A26D7" w14:textId="59607EB3" w:rsidR="00954734" w:rsidRPr="00E20D21" w:rsidRDefault="00597E2F"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5.090.157</w:t>
            </w:r>
          </w:p>
        </w:tc>
        <w:tc>
          <w:tcPr>
            <w:tcW w:w="308" w:type="pct"/>
            <w:tcBorders>
              <w:top w:val="nil"/>
              <w:left w:val="nil"/>
              <w:bottom w:val="nil"/>
              <w:right w:val="nil"/>
            </w:tcBorders>
            <w:shd w:val="clear" w:color="auto" w:fill="auto"/>
            <w:noWrap/>
            <w:vAlign w:val="center"/>
          </w:tcPr>
          <w:p w14:paraId="1590DF6C" w14:textId="1CE4ED67" w:rsidR="00954734" w:rsidRPr="00E20D21" w:rsidRDefault="00E13AE5"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9" w:type="pct"/>
            <w:tcBorders>
              <w:top w:val="nil"/>
              <w:left w:val="nil"/>
              <w:bottom w:val="nil"/>
              <w:right w:val="nil"/>
            </w:tcBorders>
            <w:shd w:val="clear" w:color="auto" w:fill="auto"/>
            <w:noWrap/>
            <w:vAlign w:val="center"/>
          </w:tcPr>
          <w:p w14:paraId="71D7F97D" w14:textId="15745A64" w:rsidR="00954734" w:rsidRPr="00E20D21" w:rsidRDefault="00E13AE5"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64" w:type="pct"/>
            <w:tcBorders>
              <w:top w:val="nil"/>
              <w:left w:val="nil"/>
              <w:bottom w:val="nil"/>
              <w:right w:val="nil"/>
            </w:tcBorders>
            <w:shd w:val="clear" w:color="auto" w:fill="auto"/>
            <w:noWrap/>
            <w:vAlign w:val="center"/>
          </w:tcPr>
          <w:p w14:paraId="058B26A7" w14:textId="2BBC7D3B" w:rsidR="00954734" w:rsidRPr="00E20D21" w:rsidRDefault="00E13AE5"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62" w:type="pct"/>
            <w:tcBorders>
              <w:top w:val="nil"/>
              <w:left w:val="nil"/>
              <w:bottom w:val="nil"/>
              <w:right w:val="nil"/>
            </w:tcBorders>
            <w:shd w:val="clear" w:color="auto" w:fill="auto"/>
            <w:noWrap/>
            <w:vAlign w:val="center"/>
          </w:tcPr>
          <w:p w14:paraId="46567A0F" w14:textId="791CFE2C" w:rsidR="00954734" w:rsidRPr="00E20D21" w:rsidRDefault="00E13AE5"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26" w:type="pct"/>
            <w:tcBorders>
              <w:top w:val="nil"/>
              <w:left w:val="nil"/>
              <w:bottom w:val="nil"/>
            </w:tcBorders>
            <w:shd w:val="clear" w:color="auto" w:fill="auto"/>
            <w:noWrap/>
            <w:vAlign w:val="center"/>
          </w:tcPr>
          <w:p w14:paraId="7E955D6C" w14:textId="684FD199" w:rsidR="00954734" w:rsidRPr="00E20D21" w:rsidRDefault="00E13AE5"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30" w:type="pct"/>
            <w:tcBorders>
              <w:top w:val="nil"/>
              <w:left w:val="nil"/>
              <w:bottom w:val="nil"/>
              <w:right w:val="nil"/>
            </w:tcBorders>
            <w:shd w:val="clear" w:color="auto" w:fill="auto"/>
            <w:noWrap/>
            <w:vAlign w:val="center"/>
          </w:tcPr>
          <w:p w14:paraId="432DFF7B" w14:textId="0FA0ABEB"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6.215.075</w:t>
            </w:r>
          </w:p>
        </w:tc>
        <w:tc>
          <w:tcPr>
            <w:tcW w:w="288" w:type="pct"/>
            <w:tcBorders>
              <w:top w:val="nil"/>
              <w:left w:val="nil"/>
              <w:bottom w:val="nil"/>
              <w:right w:val="nil"/>
            </w:tcBorders>
            <w:shd w:val="clear" w:color="auto" w:fill="auto"/>
            <w:noWrap/>
            <w:vAlign w:val="center"/>
          </w:tcPr>
          <w:p w14:paraId="56AEE647" w14:textId="21F00175"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0EC50E68" w14:textId="0F74A9FE"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nil"/>
              <w:right w:val="nil"/>
            </w:tcBorders>
            <w:shd w:val="clear" w:color="auto" w:fill="auto"/>
            <w:noWrap/>
            <w:vAlign w:val="center"/>
          </w:tcPr>
          <w:p w14:paraId="38C672BD" w14:textId="09AA2981"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302C9706" w14:textId="6006DE20"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39AA9D44" w14:textId="02846E89"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r>
      <w:tr w:rsidR="00954734" w:rsidRPr="00E20D21" w14:paraId="2B3B84EE" w14:textId="77777777" w:rsidTr="006C1D19">
        <w:trPr>
          <w:trHeight w:val="181"/>
        </w:trPr>
        <w:tc>
          <w:tcPr>
            <w:tcW w:w="863" w:type="pct"/>
            <w:tcBorders>
              <w:top w:val="nil"/>
              <w:left w:val="nil"/>
              <w:bottom w:val="nil"/>
              <w:right w:val="nil"/>
            </w:tcBorders>
            <w:shd w:val="clear" w:color="auto" w:fill="auto"/>
            <w:vAlign w:val="center"/>
          </w:tcPr>
          <w:p w14:paraId="3F365D85" w14:textId="4E5612E6"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Obrigações diversas (13)</w:t>
            </w:r>
          </w:p>
        </w:tc>
        <w:tc>
          <w:tcPr>
            <w:tcW w:w="330" w:type="pct"/>
            <w:tcBorders>
              <w:top w:val="nil"/>
              <w:left w:val="nil"/>
              <w:bottom w:val="nil"/>
              <w:right w:val="nil"/>
            </w:tcBorders>
            <w:shd w:val="clear" w:color="auto" w:fill="auto"/>
            <w:noWrap/>
            <w:vAlign w:val="center"/>
          </w:tcPr>
          <w:p w14:paraId="23AE90C8" w14:textId="5DE348A2" w:rsidR="00954734" w:rsidRPr="00E20D21" w:rsidRDefault="00916B2C"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96.780</w:t>
            </w:r>
          </w:p>
        </w:tc>
        <w:tc>
          <w:tcPr>
            <w:tcW w:w="308" w:type="pct"/>
            <w:tcBorders>
              <w:top w:val="nil"/>
              <w:left w:val="nil"/>
              <w:bottom w:val="nil"/>
              <w:right w:val="nil"/>
            </w:tcBorders>
            <w:shd w:val="clear" w:color="auto" w:fill="auto"/>
            <w:noWrap/>
            <w:vAlign w:val="center"/>
          </w:tcPr>
          <w:p w14:paraId="7AF51DD9" w14:textId="736644CB" w:rsidR="00954734" w:rsidRPr="00E20D21" w:rsidRDefault="00916B2C"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9" w:type="pct"/>
            <w:tcBorders>
              <w:top w:val="nil"/>
              <w:left w:val="nil"/>
              <w:bottom w:val="nil"/>
              <w:right w:val="nil"/>
            </w:tcBorders>
            <w:shd w:val="clear" w:color="auto" w:fill="auto"/>
            <w:noWrap/>
            <w:vAlign w:val="center"/>
          </w:tcPr>
          <w:p w14:paraId="2886FBD4" w14:textId="68DF983C" w:rsidR="00954734" w:rsidRPr="00E20D21" w:rsidRDefault="00916B2C"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31.021</w:t>
            </w:r>
          </w:p>
        </w:tc>
        <w:tc>
          <w:tcPr>
            <w:tcW w:w="264" w:type="pct"/>
            <w:tcBorders>
              <w:top w:val="nil"/>
              <w:left w:val="nil"/>
              <w:bottom w:val="nil"/>
              <w:right w:val="nil"/>
            </w:tcBorders>
            <w:shd w:val="clear" w:color="auto" w:fill="auto"/>
            <w:noWrap/>
            <w:vAlign w:val="center"/>
          </w:tcPr>
          <w:p w14:paraId="5D77C05E" w14:textId="5647F378" w:rsidR="00954734" w:rsidRPr="00E20D21" w:rsidRDefault="00916B2C" w:rsidP="00666BEE">
            <w:pPr>
              <w:jc w:val="right"/>
              <w:rPr>
                <w:rFonts w:ascii="CAIXA Std Book" w:hAnsi="CAIXA Std Book" w:cs="Calibri"/>
                <w:color w:val="005CA9"/>
                <w:sz w:val="13"/>
                <w:szCs w:val="13"/>
              </w:rPr>
            </w:pPr>
            <w:r w:rsidRPr="00E20D21">
              <w:rPr>
                <w:rFonts w:ascii="CAIXA Std Book" w:hAnsi="CAIXA Std Book" w:cs="Calibri"/>
                <w:color w:val="005CA9"/>
                <w:sz w:val="13"/>
                <w:szCs w:val="13"/>
              </w:rPr>
              <w:t>97.379</w:t>
            </w:r>
          </w:p>
        </w:tc>
        <w:tc>
          <w:tcPr>
            <w:tcW w:w="462" w:type="pct"/>
            <w:tcBorders>
              <w:top w:val="nil"/>
              <w:left w:val="nil"/>
              <w:bottom w:val="nil"/>
              <w:right w:val="nil"/>
            </w:tcBorders>
            <w:shd w:val="clear" w:color="auto" w:fill="auto"/>
            <w:noWrap/>
            <w:vAlign w:val="center"/>
          </w:tcPr>
          <w:p w14:paraId="561BB382" w14:textId="21543310" w:rsidR="00954734" w:rsidRPr="00E20D21" w:rsidRDefault="00916B2C"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26" w:type="pct"/>
            <w:tcBorders>
              <w:top w:val="nil"/>
              <w:left w:val="nil"/>
              <w:bottom w:val="nil"/>
            </w:tcBorders>
            <w:shd w:val="clear" w:color="auto" w:fill="auto"/>
            <w:noWrap/>
            <w:vAlign w:val="center"/>
          </w:tcPr>
          <w:p w14:paraId="7FC26880" w14:textId="1BD7F5D5" w:rsidR="00954734" w:rsidRPr="00E20D21" w:rsidRDefault="007B7669"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1.786.441</w:t>
            </w:r>
          </w:p>
        </w:tc>
        <w:tc>
          <w:tcPr>
            <w:tcW w:w="330" w:type="pct"/>
            <w:tcBorders>
              <w:top w:val="nil"/>
              <w:left w:val="nil"/>
              <w:bottom w:val="nil"/>
              <w:right w:val="nil"/>
            </w:tcBorders>
            <w:shd w:val="clear" w:color="auto" w:fill="auto"/>
            <w:noWrap/>
            <w:vAlign w:val="center"/>
          </w:tcPr>
          <w:p w14:paraId="602FF461" w14:textId="2D912961"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415.154</w:t>
            </w:r>
          </w:p>
        </w:tc>
        <w:tc>
          <w:tcPr>
            <w:tcW w:w="288" w:type="pct"/>
            <w:tcBorders>
              <w:top w:val="nil"/>
              <w:left w:val="nil"/>
              <w:bottom w:val="nil"/>
              <w:right w:val="nil"/>
            </w:tcBorders>
            <w:shd w:val="clear" w:color="auto" w:fill="auto"/>
            <w:noWrap/>
            <w:vAlign w:val="center"/>
          </w:tcPr>
          <w:p w14:paraId="2ABF0D13" w14:textId="34ED3D24"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nil"/>
              <w:right w:val="nil"/>
            </w:tcBorders>
            <w:shd w:val="clear" w:color="auto" w:fill="auto"/>
            <w:noWrap/>
            <w:vAlign w:val="center"/>
          </w:tcPr>
          <w:p w14:paraId="7E655197" w14:textId="0C4F62D3"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86.346</w:t>
            </w:r>
          </w:p>
        </w:tc>
        <w:tc>
          <w:tcPr>
            <w:tcW w:w="281" w:type="pct"/>
            <w:tcBorders>
              <w:top w:val="nil"/>
              <w:left w:val="nil"/>
              <w:bottom w:val="nil"/>
              <w:right w:val="nil"/>
            </w:tcBorders>
            <w:shd w:val="clear" w:color="auto" w:fill="auto"/>
            <w:noWrap/>
            <w:vAlign w:val="center"/>
          </w:tcPr>
          <w:p w14:paraId="0FF7F6D5" w14:textId="5C8EFCD6"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tcPr>
          <w:p w14:paraId="36C50F4A" w14:textId="748682D1"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nil"/>
            </w:tcBorders>
            <w:shd w:val="clear" w:color="auto" w:fill="auto"/>
            <w:noWrap/>
            <w:vAlign w:val="center"/>
          </w:tcPr>
          <w:p w14:paraId="40E84F6B" w14:textId="67558D66"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1.678.905</w:t>
            </w:r>
          </w:p>
        </w:tc>
      </w:tr>
      <w:tr w:rsidR="00954734" w:rsidRPr="00E20D21" w14:paraId="4771DECE" w14:textId="77777777" w:rsidTr="006C1D19">
        <w:trPr>
          <w:trHeight w:val="181"/>
        </w:trPr>
        <w:tc>
          <w:tcPr>
            <w:tcW w:w="863" w:type="pct"/>
            <w:tcBorders>
              <w:top w:val="nil"/>
              <w:left w:val="nil"/>
              <w:bottom w:val="single" w:sz="4" w:space="0" w:color="F39200"/>
              <w:right w:val="nil"/>
            </w:tcBorders>
            <w:shd w:val="clear" w:color="auto" w:fill="auto"/>
            <w:noWrap/>
            <w:vAlign w:val="center"/>
            <w:hideMark/>
          </w:tcPr>
          <w:p w14:paraId="256755C3" w14:textId="4DA63E49" w:rsidR="00954734" w:rsidRPr="00E20D21" w:rsidRDefault="00954734" w:rsidP="00954734">
            <w:pPr>
              <w:rPr>
                <w:rFonts w:ascii="CAIXA Std Book" w:hAnsi="CAIXA Std Book" w:cs="Calibri"/>
                <w:color w:val="005CA9"/>
                <w:sz w:val="13"/>
                <w:szCs w:val="13"/>
              </w:rPr>
            </w:pPr>
            <w:r w:rsidRPr="00E20D21">
              <w:rPr>
                <w:rFonts w:ascii="CAIXA Std Book" w:hAnsi="CAIXA Std Book" w:cs="Calibri"/>
                <w:color w:val="005CA9"/>
                <w:sz w:val="13"/>
                <w:szCs w:val="13"/>
              </w:rPr>
              <w:t>Outros passivos financeiros (14)</w:t>
            </w:r>
          </w:p>
        </w:tc>
        <w:tc>
          <w:tcPr>
            <w:tcW w:w="330" w:type="pct"/>
            <w:tcBorders>
              <w:top w:val="nil"/>
              <w:left w:val="nil"/>
              <w:bottom w:val="single" w:sz="4" w:space="0" w:color="F39200"/>
              <w:right w:val="nil"/>
            </w:tcBorders>
            <w:shd w:val="clear" w:color="auto" w:fill="auto"/>
            <w:noWrap/>
            <w:vAlign w:val="center"/>
          </w:tcPr>
          <w:p w14:paraId="0851CF44" w14:textId="09EF8D16" w:rsidR="00954734" w:rsidRPr="00E20D21" w:rsidRDefault="007B7669"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141.400</w:t>
            </w:r>
          </w:p>
        </w:tc>
        <w:tc>
          <w:tcPr>
            <w:tcW w:w="308" w:type="pct"/>
            <w:tcBorders>
              <w:top w:val="nil"/>
              <w:left w:val="nil"/>
              <w:bottom w:val="single" w:sz="4" w:space="0" w:color="F39200"/>
              <w:right w:val="nil"/>
            </w:tcBorders>
            <w:shd w:val="clear" w:color="auto" w:fill="auto"/>
            <w:noWrap/>
            <w:vAlign w:val="center"/>
          </w:tcPr>
          <w:p w14:paraId="45892ABC" w14:textId="46044C2D" w:rsidR="00954734" w:rsidRPr="00E20D21" w:rsidRDefault="007B7669"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9" w:type="pct"/>
            <w:tcBorders>
              <w:top w:val="nil"/>
              <w:left w:val="nil"/>
              <w:bottom w:val="single" w:sz="4" w:space="0" w:color="F39200"/>
              <w:right w:val="nil"/>
            </w:tcBorders>
            <w:shd w:val="clear" w:color="auto" w:fill="auto"/>
            <w:noWrap/>
            <w:vAlign w:val="center"/>
          </w:tcPr>
          <w:p w14:paraId="3A394FA1" w14:textId="2DEB2341" w:rsidR="00954734" w:rsidRPr="00E20D21" w:rsidRDefault="007B7669"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64" w:type="pct"/>
            <w:tcBorders>
              <w:top w:val="nil"/>
              <w:left w:val="nil"/>
              <w:bottom w:val="single" w:sz="4" w:space="0" w:color="F39200"/>
              <w:right w:val="nil"/>
            </w:tcBorders>
            <w:shd w:val="clear" w:color="auto" w:fill="auto"/>
            <w:noWrap/>
            <w:vAlign w:val="center"/>
          </w:tcPr>
          <w:p w14:paraId="43B0AB74" w14:textId="30B44457" w:rsidR="00954734" w:rsidRPr="00E20D21" w:rsidRDefault="007B7669"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62" w:type="pct"/>
            <w:tcBorders>
              <w:top w:val="nil"/>
              <w:left w:val="nil"/>
              <w:bottom w:val="single" w:sz="4" w:space="0" w:color="F39200"/>
              <w:right w:val="nil"/>
            </w:tcBorders>
            <w:shd w:val="clear" w:color="auto" w:fill="auto"/>
            <w:noWrap/>
            <w:vAlign w:val="center"/>
          </w:tcPr>
          <w:p w14:paraId="6BAE646B" w14:textId="0EAE7B46" w:rsidR="00954734" w:rsidRPr="00E20D21" w:rsidRDefault="007B7669"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26" w:type="pct"/>
            <w:tcBorders>
              <w:top w:val="nil"/>
              <w:left w:val="nil"/>
              <w:bottom w:val="single" w:sz="4" w:space="0" w:color="F39200"/>
            </w:tcBorders>
            <w:shd w:val="clear" w:color="auto" w:fill="auto"/>
            <w:noWrap/>
            <w:vAlign w:val="center"/>
          </w:tcPr>
          <w:p w14:paraId="1C4F5090" w14:textId="587444FD" w:rsidR="00954734" w:rsidRPr="00E20D21" w:rsidRDefault="007B7669"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1.628.680</w:t>
            </w:r>
          </w:p>
        </w:tc>
        <w:tc>
          <w:tcPr>
            <w:tcW w:w="330" w:type="pct"/>
            <w:tcBorders>
              <w:top w:val="nil"/>
              <w:left w:val="nil"/>
              <w:bottom w:val="single" w:sz="4" w:space="0" w:color="F39200"/>
              <w:right w:val="nil"/>
            </w:tcBorders>
            <w:shd w:val="clear" w:color="auto" w:fill="auto"/>
            <w:noWrap/>
            <w:vAlign w:val="center"/>
          </w:tcPr>
          <w:p w14:paraId="29D2692C" w14:textId="581E7D76"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129.305</w:t>
            </w:r>
          </w:p>
        </w:tc>
        <w:tc>
          <w:tcPr>
            <w:tcW w:w="288" w:type="pct"/>
            <w:tcBorders>
              <w:top w:val="nil"/>
              <w:left w:val="nil"/>
              <w:bottom w:val="single" w:sz="4" w:space="0" w:color="F39200"/>
              <w:right w:val="nil"/>
            </w:tcBorders>
            <w:shd w:val="clear" w:color="auto" w:fill="auto"/>
            <w:noWrap/>
            <w:vAlign w:val="center"/>
          </w:tcPr>
          <w:p w14:paraId="0819940E" w14:textId="24BFF7ED"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74" w:type="pct"/>
            <w:tcBorders>
              <w:top w:val="nil"/>
              <w:left w:val="nil"/>
              <w:bottom w:val="single" w:sz="4" w:space="0" w:color="F39200"/>
              <w:right w:val="nil"/>
            </w:tcBorders>
            <w:shd w:val="clear" w:color="auto" w:fill="auto"/>
            <w:noWrap/>
            <w:vAlign w:val="center"/>
          </w:tcPr>
          <w:p w14:paraId="5851931C" w14:textId="739713B0"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1" w:type="pct"/>
            <w:tcBorders>
              <w:top w:val="nil"/>
              <w:left w:val="nil"/>
              <w:bottom w:val="single" w:sz="4" w:space="0" w:color="F39200"/>
              <w:right w:val="nil"/>
            </w:tcBorders>
            <w:shd w:val="clear" w:color="auto" w:fill="auto"/>
            <w:noWrap/>
            <w:vAlign w:val="center"/>
          </w:tcPr>
          <w:p w14:paraId="4C857196" w14:textId="05DB49EB"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88" w:type="pct"/>
            <w:tcBorders>
              <w:top w:val="nil"/>
              <w:left w:val="nil"/>
              <w:bottom w:val="single" w:sz="4" w:space="0" w:color="F39200"/>
              <w:right w:val="nil"/>
            </w:tcBorders>
            <w:shd w:val="clear" w:color="auto" w:fill="auto"/>
            <w:noWrap/>
            <w:vAlign w:val="center"/>
          </w:tcPr>
          <w:p w14:paraId="36636E38" w14:textId="48AF5CF7" w:rsidR="00954734" w:rsidRPr="00E20D21" w:rsidRDefault="00954734" w:rsidP="0095473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47" w:type="pct"/>
            <w:tcBorders>
              <w:top w:val="nil"/>
              <w:left w:val="nil"/>
              <w:bottom w:val="single" w:sz="4" w:space="0" w:color="F39200"/>
            </w:tcBorders>
            <w:shd w:val="clear" w:color="auto" w:fill="auto"/>
            <w:noWrap/>
            <w:vAlign w:val="center"/>
          </w:tcPr>
          <w:p w14:paraId="1F88354F" w14:textId="0A8E4A19" w:rsidR="00954734" w:rsidRPr="00E20D21" w:rsidRDefault="00954734" w:rsidP="00954734">
            <w:pPr>
              <w:jc w:val="right"/>
              <w:rPr>
                <w:rFonts w:ascii="CAIXA Std Book" w:hAnsi="CAIXA Std Book" w:cs="Calibri"/>
                <w:color w:val="005CA9"/>
                <w:sz w:val="13"/>
                <w:szCs w:val="13"/>
              </w:rPr>
            </w:pPr>
            <w:r w:rsidRPr="00E20D21">
              <w:rPr>
                <w:rFonts w:ascii="CAIXA Std Book" w:hAnsi="CAIXA Std Book" w:cs="Calibri"/>
                <w:color w:val="005CA9"/>
                <w:sz w:val="13"/>
                <w:szCs w:val="13"/>
              </w:rPr>
              <w:t>1.986.263</w:t>
            </w:r>
          </w:p>
        </w:tc>
      </w:tr>
      <w:tr w:rsidR="00954734" w:rsidRPr="00E20D21" w14:paraId="07645DA3" w14:textId="77777777" w:rsidTr="006C1D19">
        <w:trPr>
          <w:trHeight w:val="181"/>
        </w:trPr>
        <w:tc>
          <w:tcPr>
            <w:tcW w:w="863" w:type="pct"/>
            <w:tcBorders>
              <w:top w:val="nil"/>
              <w:left w:val="nil"/>
              <w:bottom w:val="single" w:sz="4" w:space="0" w:color="F39200"/>
              <w:right w:val="nil"/>
            </w:tcBorders>
            <w:shd w:val="clear" w:color="auto" w:fill="auto"/>
            <w:noWrap/>
            <w:vAlign w:val="center"/>
          </w:tcPr>
          <w:p w14:paraId="767D6D22" w14:textId="4420D31C" w:rsidR="00954734" w:rsidRPr="00E20D21" w:rsidRDefault="00954734" w:rsidP="00954734">
            <w:pPr>
              <w:rPr>
                <w:rFonts w:ascii="CAIXA Std Book" w:hAnsi="CAIXA Std Book" w:cs="Calibri"/>
                <w:b/>
                <w:bCs/>
                <w:color w:val="005CA9"/>
                <w:sz w:val="13"/>
                <w:szCs w:val="13"/>
              </w:rPr>
            </w:pPr>
            <w:r w:rsidRPr="00E20D21">
              <w:rPr>
                <w:rFonts w:ascii="CAIXA Std Book" w:hAnsi="CAIXA Std Book" w:cs="Calibri"/>
                <w:b/>
                <w:bCs/>
                <w:color w:val="005CA9"/>
                <w:sz w:val="13"/>
                <w:szCs w:val="13"/>
              </w:rPr>
              <w:t>Garantias recebidas (15)</w:t>
            </w:r>
          </w:p>
        </w:tc>
        <w:tc>
          <w:tcPr>
            <w:tcW w:w="330" w:type="pct"/>
            <w:tcBorders>
              <w:top w:val="nil"/>
              <w:left w:val="nil"/>
              <w:bottom w:val="single" w:sz="4" w:space="0" w:color="F39200"/>
              <w:right w:val="nil"/>
            </w:tcBorders>
            <w:shd w:val="clear" w:color="auto" w:fill="auto"/>
            <w:noWrap/>
            <w:vAlign w:val="center"/>
          </w:tcPr>
          <w:p w14:paraId="44D0AB8F" w14:textId="75CC8A2E" w:rsidR="00954734" w:rsidRPr="00E20D21" w:rsidRDefault="007B7669" w:rsidP="00954734">
            <w:pPr>
              <w:jc w:val="right"/>
              <w:rPr>
                <w:rFonts w:ascii="CAIXA Std Book" w:hAnsi="CAIXA Std Book" w:cs="Calibri"/>
                <w:b/>
                <w:color w:val="005CA9"/>
                <w:sz w:val="13"/>
                <w:szCs w:val="13"/>
              </w:rPr>
            </w:pPr>
            <w:r w:rsidRPr="00E20D21">
              <w:rPr>
                <w:rFonts w:ascii="CAIXA Std Book" w:hAnsi="CAIXA Std Book" w:cs="Calibri"/>
                <w:b/>
                <w:color w:val="005CA9"/>
                <w:sz w:val="13"/>
                <w:szCs w:val="13"/>
              </w:rPr>
              <w:t>11.758</w:t>
            </w:r>
          </w:p>
        </w:tc>
        <w:tc>
          <w:tcPr>
            <w:tcW w:w="308" w:type="pct"/>
            <w:tcBorders>
              <w:top w:val="nil"/>
              <w:left w:val="nil"/>
              <w:bottom w:val="single" w:sz="4" w:space="0" w:color="F39200"/>
              <w:right w:val="nil"/>
            </w:tcBorders>
            <w:shd w:val="clear" w:color="auto" w:fill="auto"/>
            <w:noWrap/>
            <w:vAlign w:val="center"/>
          </w:tcPr>
          <w:p w14:paraId="145270AF" w14:textId="42DE05DD" w:rsidR="00954734" w:rsidRPr="00E20D21" w:rsidRDefault="007B7669"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439" w:type="pct"/>
            <w:tcBorders>
              <w:top w:val="nil"/>
              <w:left w:val="nil"/>
              <w:bottom w:val="single" w:sz="4" w:space="0" w:color="F39200"/>
              <w:right w:val="nil"/>
            </w:tcBorders>
            <w:shd w:val="clear" w:color="auto" w:fill="auto"/>
            <w:noWrap/>
            <w:vAlign w:val="center"/>
          </w:tcPr>
          <w:p w14:paraId="39B993FC" w14:textId="5A93D290" w:rsidR="00954734" w:rsidRPr="00E20D21" w:rsidRDefault="007B7669"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264" w:type="pct"/>
            <w:tcBorders>
              <w:top w:val="nil"/>
              <w:left w:val="nil"/>
              <w:bottom w:val="single" w:sz="4" w:space="0" w:color="F39200"/>
              <w:right w:val="nil"/>
            </w:tcBorders>
            <w:shd w:val="clear" w:color="auto" w:fill="auto"/>
            <w:noWrap/>
            <w:vAlign w:val="center"/>
          </w:tcPr>
          <w:p w14:paraId="1F6EFD0C" w14:textId="7401D200" w:rsidR="00954734" w:rsidRPr="00E20D21" w:rsidRDefault="007B7669"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462" w:type="pct"/>
            <w:tcBorders>
              <w:top w:val="nil"/>
              <w:left w:val="nil"/>
              <w:bottom w:val="single" w:sz="4" w:space="0" w:color="F39200"/>
              <w:right w:val="nil"/>
            </w:tcBorders>
            <w:shd w:val="clear" w:color="auto" w:fill="auto"/>
            <w:noWrap/>
            <w:vAlign w:val="center"/>
          </w:tcPr>
          <w:p w14:paraId="7FEE684F" w14:textId="319267DA" w:rsidR="00954734" w:rsidRPr="00E20D21" w:rsidRDefault="007B7669" w:rsidP="00954734">
            <w:pPr>
              <w:jc w:val="right"/>
              <w:rPr>
                <w:rFonts w:ascii="CAIXA Std Book" w:hAnsi="CAIXA Std Book" w:cs="Calibri"/>
                <w:b/>
                <w:color w:val="005CA9"/>
                <w:sz w:val="13"/>
                <w:szCs w:val="13"/>
              </w:rPr>
            </w:pPr>
            <w:r w:rsidRPr="00E20D21">
              <w:rPr>
                <w:rFonts w:ascii="CAIXA Std Book" w:hAnsi="CAIXA Std Book" w:cs="Calibri"/>
                <w:b/>
                <w:color w:val="005CA9"/>
                <w:sz w:val="13"/>
                <w:szCs w:val="13"/>
              </w:rPr>
              <w:t>284.627</w:t>
            </w:r>
          </w:p>
        </w:tc>
        <w:tc>
          <w:tcPr>
            <w:tcW w:w="326" w:type="pct"/>
            <w:tcBorders>
              <w:top w:val="nil"/>
              <w:left w:val="nil"/>
              <w:bottom w:val="single" w:sz="4" w:space="0" w:color="F39200"/>
            </w:tcBorders>
            <w:shd w:val="clear" w:color="auto" w:fill="auto"/>
            <w:noWrap/>
            <w:vAlign w:val="center"/>
          </w:tcPr>
          <w:p w14:paraId="78248C51" w14:textId="0A5A7E08" w:rsidR="00954734" w:rsidRPr="00E20D21" w:rsidRDefault="007B7669" w:rsidP="00954734">
            <w:pPr>
              <w:jc w:val="right"/>
              <w:rPr>
                <w:rFonts w:ascii="CAIXA Std Book" w:hAnsi="CAIXA Std Book" w:cs="Calibri"/>
                <w:b/>
                <w:color w:val="005CA9"/>
                <w:sz w:val="13"/>
                <w:szCs w:val="13"/>
              </w:rPr>
            </w:pPr>
            <w:r w:rsidRPr="00E20D21">
              <w:rPr>
                <w:rFonts w:ascii="CAIXA Std Book" w:hAnsi="CAIXA Std Book" w:cs="Calibri"/>
                <w:b/>
                <w:color w:val="005CA9"/>
                <w:sz w:val="13"/>
                <w:szCs w:val="13"/>
              </w:rPr>
              <w:t>7.196.854</w:t>
            </w:r>
          </w:p>
        </w:tc>
        <w:tc>
          <w:tcPr>
            <w:tcW w:w="330" w:type="pct"/>
            <w:tcBorders>
              <w:top w:val="nil"/>
              <w:left w:val="nil"/>
              <w:bottom w:val="single" w:sz="4" w:space="0" w:color="F39200"/>
              <w:right w:val="nil"/>
            </w:tcBorders>
            <w:shd w:val="clear" w:color="auto" w:fill="auto"/>
            <w:noWrap/>
            <w:vAlign w:val="center"/>
          </w:tcPr>
          <w:p w14:paraId="2D27F5BD" w14:textId="0FBD56CF"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110.202</w:t>
            </w:r>
          </w:p>
        </w:tc>
        <w:tc>
          <w:tcPr>
            <w:tcW w:w="288" w:type="pct"/>
            <w:tcBorders>
              <w:top w:val="nil"/>
              <w:left w:val="nil"/>
              <w:bottom w:val="single" w:sz="4" w:space="0" w:color="F39200"/>
              <w:right w:val="nil"/>
            </w:tcBorders>
            <w:shd w:val="clear" w:color="auto" w:fill="auto"/>
            <w:noWrap/>
            <w:vAlign w:val="center"/>
          </w:tcPr>
          <w:p w14:paraId="710B264E" w14:textId="6DB7FFBD" w:rsidR="00954734" w:rsidRPr="00E20D21" w:rsidRDefault="00954734"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374" w:type="pct"/>
            <w:tcBorders>
              <w:top w:val="nil"/>
              <w:left w:val="nil"/>
              <w:bottom w:val="single" w:sz="4" w:space="0" w:color="F39200"/>
              <w:right w:val="nil"/>
            </w:tcBorders>
            <w:shd w:val="clear" w:color="auto" w:fill="auto"/>
            <w:noWrap/>
            <w:vAlign w:val="center"/>
          </w:tcPr>
          <w:p w14:paraId="53C96596" w14:textId="46DAECDF" w:rsidR="00954734" w:rsidRPr="00E20D21" w:rsidRDefault="00954734"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281" w:type="pct"/>
            <w:tcBorders>
              <w:top w:val="nil"/>
              <w:left w:val="nil"/>
              <w:bottom w:val="single" w:sz="4" w:space="0" w:color="F39200"/>
              <w:right w:val="nil"/>
            </w:tcBorders>
            <w:shd w:val="clear" w:color="auto" w:fill="auto"/>
            <w:noWrap/>
            <w:vAlign w:val="center"/>
          </w:tcPr>
          <w:p w14:paraId="704B1104" w14:textId="57BE008D" w:rsidR="00954734" w:rsidRPr="00E20D21" w:rsidRDefault="00954734"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388" w:type="pct"/>
            <w:tcBorders>
              <w:top w:val="nil"/>
              <w:left w:val="nil"/>
              <w:bottom w:val="single" w:sz="4" w:space="0" w:color="F39200"/>
              <w:right w:val="nil"/>
            </w:tcBorders>
            <w:shd w:val="clear" w:color="auto" w:fill="auto"/>
            <w:noWrap/>
            <w:vAlign w:val="center"/>
          </w:tcPr>
          <w:p w14:paraId="0AD8CB61" w14:textId="2F27FD63"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293.010</w:t>
            </w:r>
          </w:p>
        </w:tc>
        <w:tc>
          <w:tcPr>
            <w:tcW w:w="347" w:type="pct"/>
            <w:tcBorders>
              <w:top w:val="nil"/>
              <w:left w:val="nil"/>
              <w:bottom w:val="single" w:sz="4" w:space="0" w:color="F39200"/>
            </w:tcBorders>
            <w:shd w:val="clear" w:color="auto" w:fill="auto"/>
            <w:noWrap/>
            <w:vAlign w:val="center"/>
          </w:tcPr>
          <w:p w14:paraId="39FF04B5" w14:textId="2C30827A"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3.468.572</w:t>
            </w:r>
          </w:p>
        </w:tc>
      </w:tr>
      <w:tr w:rsidR="00954734" w:rsidRPr="00E20D21" w14:paraId="622A659F" w14:textId="77777777" w:rsidTr="006C1D19">
        <w:trPr>
          <w:trHeight w:val="181"/>
        </w:trPr>
        <w:tc>
          <w:tcPr>
            <w:tcW w:w="863" w:type="pct"/>
            <w:tcBorders>
              <w:top w:val="single" w:sz="4" w:space="0" w:color="F39200"/>
              <w:left w:val="nil"/>
              <w:bottom w:val="single" w:sz="4" w:space="0" w:color="F79646" w:themeColor="accent6"/>
              <w:right w:val="nil"/>
            </w:tcBorders>
            <w:shd w:val="clear" w:color="auto" w:fill="auto"/>
            <w:noWrap/>
            <w:vAlign w:val="center"/>
            <w:hideMark/>
          </w:tcPr>
          <w:p w14:paraId="3068ED70" w14:textId="29B837FD" w:rsidR="00954734" w:rsidRPr="00E20D21" w:rsidRDefault="00954734" w:rsidP="00954734">
            <w:pPr>
              <w:rPr>
                <w:rFonts w:ascii="CAIXA Std Book" w:hAnsi="CAIXA Std Book" w:cs="Calibri"/>
                <w:b/>
                <w:bCs/>
                <w:color w:val="005CA9"/>
                <w:sz w:val="13"/>
                <w:szCs w:val="13"/>
              </w:rPr>
            </w:pPr>
            <w:r w:rsidRPr="00E20D21">
              <w:rPr>
                <w:rFonts w:ascii="CAIXA Std Book" w:hAnsi="CAIXA Std Book" w:cs="Calibri"/>
                <w:b/>
                <w:bCs/>
                <w:color w:val="005CA9"/>
                <w:sz w:val="13"/>
                <w:szCs w:val="13"/>
              </w:rPr>
              <w:t>Garantias prestadas (16)</w:t>
            </w:r>
          </w:p>
        </w:tc>
        <w:tc>
          <w:tcPr>
            <w:tcW w:w="330" w:type="pct"/>
            <w:tcBorders>
              <w:top w:val="single" w:sz="4" w:space="0" w:color="F39200"/>
              <w:left w:val="nil"/>
              <w:bottom w:val="single" w:sz="4" w:space="0" w:color="F79646" w:themeColor="accent6"/>
              <w:right w:val="nil"/>
            </w:tcBorders>
            <w:shd w:val="clear" w:color="auto" w:fill="auto"/>
            <w:noWrap/>
            <w:vAlign w:val="center"/>
          </w:tcPr>
          <w:p w14:paraId="4469B682" w14:textId="4CA1ADF4" w:rsidR="00954734" w:rsidRPr="00E20D21" w:rsidRDefault="007B7669"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308" w:type="pct"/>
            <w:tcBorders>
              <w:top w:val="single" w:sz="4" w:space="0" w:color="F39200"/>
              <w:left w:val="nil"/>
              <w:bottom w:val="single" w:sz="4" w:space="0" w:color="F79646" w:themeColor="accent6"/>
              <w:right w:val="nil"/>
            </w:tcBorders>
            <w:shd w:val="clear" w:color="auto" w:fill="auto"/>
            <w:noWrap/>
            <w:vAlign w:val="center"/>
          </w:tcPr>
          <w:p w14:paraId="268B6462" w14:textId="719B5A8E" w:rsidR="00954734" w:rsidRPr="00E20D21" w:rsidRDefault="007B7669"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439" w:type="pct"/>
            <w:tcBorders>
              <w:top w:val="single" w:sz="4" w:space="0" w:color="F39200"/>
              <w:left w:val="nil"/>
              <w:bottom w:val="single" w:sz="4" w:space="0" w:color="F79646" w:themeColor="accent6"/>
              <w:right w:val="nil"/>
            </w:tcBorders>
            <w:shd w:val="clear" w:color="auto" w:fill="auto"/>
            <w:noWrap/>
            <w:vAlign w:val="center"/>
          </w:tcPr>
          <w:p w14:paraId="4C96BE32" w14:textId="6FEDEF85" w:rsidR="00954734" w:rsidRPr="00E20D21" w:rsidRDefault="007B7669"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264" w:type="pct"/>
            <w:tcBorders>
              <w:top w:val="single" w:sz="4" w:space="0" w:color="F39200"/>
              <w:left w:val="nil"/>
              <w:bottom w:val="single" w:sz="4" w:space="0" w:color="F79646" w:themeColor="accent6"/>
              <w:right w:val="nil"/>
            </w:tcBorders>
            <w:shd w:val="clear" w:color="auto" w:fill="auto"/>
            <w:noWrap/>
            <w:vAlign w:val="center"/>
          </w:tcPr>
          <w:p w14:paraId="4E0B5FA7" w14:textId="160ABDED" w:rsidR="00954734" w:rsidRPr="00E20D21" w:rsidRDefault="007B7669"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462" w:type="pct"/>
            <w:tcBorders>
              <w:top w:val="single" w:sz="4" w:space="0" w:color="F39200"/>
              <w:left w:val="nil"/>
              <w:bottom w:val="single" w:sz="4" w:space="0" w:color="F79646" w:themeColor="accent6"/>
              <w:right w:val="nil"/>
            </w:tcBorders>
            <w:shd w:val="clear" w:color="auto" w:fill="auto"/>
            <w:noWrap/>
            <w:vAlign w:val="center"/>
          </w:tcPr>
          <w:p w14:paraId="25615B31" w14:textId="3524E346" w:rsidR="00954734" w:rsidRPr="00E20D21" w:rsidRDefault="007B7669"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326" w:type="pct"/>
            <w:tcBorders>
              <w:top w:val="single" w:sz="4" w:space="0" w:color="F39200"/>
              <w:left w:val="nil"/>
              <w:bottom w:val="single" w:sz="4" w:space="0" w:color="F79646" w:themeColor="accent6"/>
            </w:tcBorders>
            <w:shd w:val="clear" w:color="auto" w:fill="auto"/>
            <w:noWrap/>
            <w:vAlign w:val="center"/>
          </w:tcPr>
          <w:p w14:paraId="22F43241" w14:textId="2E142B89" w:rsidR="00954734" w:rsidRPr="00E20D21" w:rsidRDefault="007B7669" w:rsidP="00954734">
            <w:pPr>
              <w:jc w:val="right"/>
              <w:rPr>
                <w:rFonts w:ascii="CAIXA Std Book" w:hAnsi="CAIXA Std Book" w:cs="Calibri"/>
                <w:b/>
                <w:color w:val="005CA9"/>
                <w:sz w:val="13"/>
                <w:szCs w:val="13"/>
              </w:rPr>
            </w:pPr>
            <w:r w:rsidRPr="00E20D21">
              <w:rPr>
                <w:rFonts w:ascii="CAIXA Std Book" w:hAnsi="CAIXA Std Book" w:cs="Calibri"/>
                <w:b/>
                <w:color w:val="005CA9"/>
                <w:sz w:val="13"/>
                <w:szCs w:val="13"/>
              </w:rPr>
              <w:t>30.647.</w:t>
            </w:r>
            <w:r w:rsidR="00E253D5" w:rsidRPr="00E20D21">
              <w:rPr>
                <w:rFonts w:ascii="CAIXA Std Book" w:hAnsi="CAIXA Std Book" w:cs="Calibri"/>
                <w:b/>
                <w:color w:val="005CA9"/>
                <w:sz w:val="13"/>
                <w:szCs w:val="13"/>
              </w:rPr>
              <w:t>28</w:t>
            </w:r>
            <w:r w:rsidR="003B47A9" w:rsidRPr="00E20D21">
              <w:rPr>
                <w:rFonts w:ascii="CAIXA Std Book" w:hAnsi="CAIXA Std Book" w:cs="Calibri"/>
                <w:b/>
                <w:color w:val="005CA9"/>
                <w:sz w:val="13"/>
                <w:szCs w:val="13"/>
              </w:rPr>
              <w:t>7</w:t>
            </w:r>
          </w:p>
        </w:tc>
        <w:tc>
          <w:tcPr>
            <w:tcW w:w="330" w:type="pct"/>
            <w:tcBorders>
              <w:top w:val="single" w:sz="4" w:space="0" w:color="F39200"/>
              <w:left w:val="nil"/>
              <w:bottom w:val="single" w:sz="4" w:space="0" w:color="F79646" w:themeColor="accent6"/>
              <w:right w:val="nil"/>
            </w:tcBorders>
            <w:shd w:val="clear" w:color="auto" w:fill="auto"/>
            <w:noWrap/>
            <w:vAlign w:val="center"/>
          </w:tcPr>
          <w:p w14:paraId="0D38BE15" w14:textId="5C0A4F0C" w:rsidR="00954734" w:rsidRPr="00E20D21" w:rsidRDefault="00954734"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288" w:type="pct"/>
            <w:tcBorders>
              <w:top w:val="single" w:sz="4" w:space="0" w:color="F39200"/>
              <w:left w:val="nil"/>
              <w:bottom w:val="single" w:sz="4" w:space="0" w:color="F79646" w:themeColor="accent6"/>
              <w:right w:val="nil"/>
            </w:tcBorders>
            <w:shd w:val="clear" w:color="auto" w:fill="auto"/>
            <w:noWrap/>
            <w:vAlign w:val="center"/>
          </w:tcPr>
          <w:p w14:paraId="54E0F6A2" w14:textId="12875934" w:rsidR="00954734" w:rsidRPr="00E20D21" w:rsidRDefault="00954734"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374" w:type="pct"/>
            <w:tcBorders>
              <w:top w:val="single" w:sz="4" w:space="0" w:color="F39200"/>
              <w:left w:val="nil"/>
              <w:bottom w:val="single" w:sz="4" w:space="0" w:color="F79646" w:themeColor="accent6"/>
              <w:right w:val="nil"/>
            </w:tcBorders>
            <w:shd w:val="clear" w:color="auto" w:fill="auto"/>
            <w:noWrap/>
            <w:vAlign w:val="center"/>
          </w:tcPr>
          <w:p w14:paraId="556277DF" w14:textId="6D75CB32" w:rsidR="00954734" w:rsidRPr="00E20D21" w:rsidRDefault="00954734"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281" w:type="pct"/>
            <w:tcBorders>
              <w:top w:val="single" w:sz="4" w:space="0" w:color="F39200"/>
              <w:left w:val="nil"/>
              <w:bottom w:val="single" w:sz="4" w:space="0" w:color="F79646" w:themeColor="accent6"/>
              <w:right w:val="nil"/>
            </w:tcBorders>
            <w:shd w:val="clear" w:color="auto" w:fill="auto"/>
            <w:noWrap/>
            <w:vAlign w:val="center"/>
          </w:tcPr>
          <w:p w14:paraId="3D9D89BE" w14:textId="5B013CEA" w:rsidR="00954734" w:rsidRPr="00E20D21" w:rsidRDefault="00954734"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388" w:type="pct"/>
            <w:tcBorders>
              <w:top w:val="single" w:sz="4" w:space="0" w:color="F39200"/>
              <w:left w:val="nil"/>
              <w:bottom w:val="single" w:sz="4" w:space="0" w:color="F79646" w:themeColor="accent6"/>
              <w:right w:val="nil"/>
            </w:tcBorders>
            <w:shd w:val="clear" w:color="auto" w:fill="auto"/>
            <w:noWrap/>
            <w:vAlign w:val="center"/>
          </w:tcPr>
          <w:p w14:paraId="5FBA0ECB" w14:textId="598AD1AC" w:rsidR="00954734" w:rsidRPr="00E20D21" w:rsidRDefault="00954734" w:rsidP="00954734">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347" w:type="pct"/>
            <w:tcBorders>
              <w:top w:val="single" w:sz="4" w:space="0" w:color="F39200"/>
              <w:left w:val="nil"/>
              <w:bottom w:val="single" w:sz="4" w:space="0" w:color="F79646" w:themeColor="accent6"/>
            </w:tcBorders>
            <w:shd w:val="clear" w:color="auto" w:fill="auto"/>
            <w:noWrap/>
            <w:vAlign w:val="center"/>
          </w:tcPr>
          <w:p w14:paraId="7FD67A9A" w14:textId="3D9A8635" w:rsidR="00954734" w:rsidRPr="00E20D21" w:rsidRDefault="00954734" w:rsidP="00954734">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30.941.504</w:t>
            </w:r>
          </w:p>
        </w:tc>
      </w:tr>
    </w:tbl>
    <w:p w14:paraId="25EDCE64" w14:textId="6B01FC30" w:rsidR="2E1FA9DB" w:rsidRPr="00E20D21" w:rsidRDefault="0C2C1BD4" w:rsidP="55284E34">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 xml:space="preserve">(1) </w:t>
      </w:r>
      <w:r w:rsidR="2DC4CFF7" w:rsidRPr="00E20D21">
        <w:rPr>
          <w:rFonts w:ascii="CAIXA Std Book" w:hAnsi="CAIXA Std Book" w:cs="Calibri"/>
          <w:color w:val="005CA9"/>
          <w:sz w:val="12"/>
          <w:szCs w:val="12"/>
        </w:rPr>
        <w:t>Valores por contratos com a TecBan, relativos a disponibilidades em canais de atendimento da rede Banco24Horas.</w:t>
      </w:r>
    </w:p>
    <w:p w14:paraId="2AD4F2C0" w14:textId="5E01AB3C" w:rsidR="2E1FA9DB" w:rsidRPr="00E20D21" w:rsidRDefault="50C41866"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w:t>
      </w:r>
      <w:r w:rsidR="3ECFB770" w:rsidRPr="00E20D21">
        <w:rPr>
          <w:rFonts w:ascii="CAIXA Std Book" w:hAnsi="CAIXA Std Book" w:cs="Calibri"/>
          <w:color w:val="005CA9"/>
          <w:sz w:val="12"/>
          <w:szCs w:val="12"/>
        </w:rPr>
        <w:t xml:space="preserve">2) Títulos Públicos Federais (Controladora), conforme Nota 7(a), e aplicações em cotas do FIDC ACR IV (Controlada), </w:t>
      </w:r>
      <w:proofErr w:type="spellStart"/>
      <w:r w:rsidR="3ECFB770" w:rsidRPr="00E20D21">
        <w:rPr>
          <w:rFonts w:ascii="CAIXA Std Book" w:hAnsi="CAIXA Std Book" w:cs="Calibri"/>
          <w:color w:val="005CA9"/>
          <w:sz w:val="12"/>
          <w:szCs w:val="12"/>
        </w:rPr>
        <w:t>FGHab</w:t>
      </w:r>
      <w:proofErr w:type="spellEnd"/>
      <w:r w:rsidR="3ECFB770" w:rsidRPr="00E20D21">
        <w:rPr>
          <w:rFonts w:ascii="CAIXA Std Book" w:hAnsi="CAIXA Std Book" w:cs="Calibri"/>
          <w:color w:val="005CA9"/>
          <w:sz w:val="12"/>
          <w:szCs w:val="12"/>
        </w:rPr>
        <w:t xml:space="preserve"> e FGI (Outras entidades).</w:t>
      </w:r>
    </w:p>
    <w:p w14:paraId="7B8D54C9" w14:textId="769BDC3C" w:rsidR="2E1FA9DB" w:rsidRPr="00E20D21" w:rsidRDefault="3ECFB770"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(3) Em Controlada, corresponde a dividendos propostos pelas subsidiárias e, em Coligadas, à remuneração devida pelo grupo Caixa Seguridade, pelo uso da rede de distribuição CAIXA.</w:t>
      </w:r>
    </w:p>
    <w:p w14:paraId="01B8C7A0" w14:textId="487D949E" w:rsidR="2E1FA9DB" w:rsidRPr="00E20D21" w:rsidRDefault="3ECFB770"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(4) Em Outras entidades, o valor apresentado refere-se ao saldo de operações de crédito com a Eletrobras.</w:t>
      </w:r>
    </w:p>
    <w:p w14:paraId="32DBE63E" w14:textId="1E69AD98" w:rsidR="2E1FA9DB" w:rsidRPr="00E20D21" w:rsidRDefault="3ECFB770"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(5) Os valores apresentados referem-se a haveres da União (Controladora) e a valores a serem ressarcidos pelo FGTS e FCVS (Outras entidades), conforme Notas 10(b) e 14(a).</w:t>
      </w:r>
    </w:p>
    <w:p w14:paraId="322407CE" w14:textId="39CCE3B5" w:rsidR="2E1FA9DB" w:rsidRPr="00E20D21" w:rsidRDefault="3ECFB770"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 xml:space="preserve">(6) Provisões para </w:t>
      </w:r>
      <w:r w:rsidRPr="00E20D21">
        <w:rPr>
          <w:rFonts w:ascii="CAIXA Std Book" w:hAnsi="CAIXA Std Book" w:cs="Calibri"/>
          <w:i/>
          <w:color w:val="005CA9"/>
          <w:sz w:val="12"/>
          <w:szCs w:val="12"/>
        </w:rPr>
        <w:t>impairment</w:t>
      </w:r>
      <w:r w:rsidRPr="00E20D21">
        <w:rPr>
          <w:rFonts w:ascii="CAIXA Std Book" w:hAnsi="CAIXA Std Book" w:cs="Calibri"/>
          <w:color w:val="005CA9"/>
          <w:sz w:val="12"/>
          <w:szCs w:val="12"/>
        </w:rPr>
        <w:t xml:space="preserve"> em haveres da União (Voto CMN 162/95 e Bônus BNH) e, em Outras entidades, para perdas com o FCVS, conforme Nota 10. </w:t>
      </w:r>
    </w:p>
    <w:p w14:paraId="325C8D33" w14:textId="0E688805" w:rsidR="2E1FA9DB" w:rsidRPr="00E20D21" w:rsidRDefault="3ECFB770"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(7) Em Outras entidades, o saldo refere-se principalmente a depósitos de fundos de investimento.</w:t>
      </w:r>
    </w:p>
    <w:p w14:paraId="62291E55" w14:textId="3B50FFF1" w:rsidR="52B8B245" w:rsidRPr="00E20D21" w:rsidRDefault="52B8B245"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w:t>
      </w:r>
      <w:r w:rsidR="6B87CEED" w:rsidRPr="00E20D21">
        <w:rPr>
          <w:rFonts w:ascii="CAIXA Std Book" w:hAnsi="CAIXA Std Book" w:cs="Calibri"/>
          <w:color w:val="005CA9"/>
          <w:sz w:val="12"/>
          <w:szCs w:val="12"/>
        </w:rPr>
        <w:t>8) A apresentação em Outras entidades corresponde aos depósitos especiais e de fundos e programas (FGTS, FAR, FDS, FGS, FIPEM e outros), conforme Nota 15(b).</w:t>
      </w:r>
    </w:p>
    <w:p w14:paraId="537B748A" w14:textId="09485F9B" w:rsidR="6B87CEED" w:rsidRPr="00E20D21" w:rsidRDefault="6B87CEED"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(9) O saldo em Controladora é representado por IHCD, conforme Nota 17(a) e, em Outras entidades, por captações no mercado aberto.</w:t>
      </w:r>
    </w:p>
    <w:p w14:paraId="28CE4076" w14:textId="7EDE1290" w:rsidR="6B87CEED" w:rsidRPr="00E20D21" w:rsidRDefault="5F814C59"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(10) Em Outras entidades, o saldo apresentado decorre de obrigações por empréstimos e repasses do FGTS, BNDES, Fundo da Marinha Mercante, Tesouro Nacional e outras insti</w:t>
      </w:r>
      <w:r w:rsidR="38F3C008" w:rsidRPr="00E20D21">
        <w:rPr>
          <w:rFonts w:ascii="CAIXA Std Book" w:hAnsi="CAIXA Std Book" w:cs="Calibri"/>
          <w:color w:val="005CA9"/>
          <w:sz w:val="12"/>
          <w:szCs w:val="12"/>
        </w:rPr>
        <w:t>t</w:t>
      </w:r>
      <w:r w:rsidRPr="00E20D21">
        <w:rPr>
          <w:rFonts w:ascii="CAIXA Std Book" w:hAnsi="CAIXA Std Book" w:cs="Calibri"/>
          <w:color w:val="005CA9"/>
          <w:sz w:val="12"/>
          <w:szCs w:val="12"/>
        </w:rPr>
        <w:t>uições, conforme Nota 16(b).</w:t>
      </w:r>
    </w:p>
    <w:p w14:paraId="2D523AC0" w14:textId="3B696C40" w:rsidR="001D25DC" w:rsidRPr="00E20D21" w:rsidRDefault="0064763E"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 xml:space="preserve">(11) </w:t>
      </w:r>
      <w:r w:rsidR="001D25DC" w:rsidRPr="00E20D21">
        <w:rPr>
          <w:rFonts w:ascii="CAIXA Std Book" w:hAnsi="CAIXA Std Book" w:cs="Calibri"/>
          <w:color w:val="005CA9"/>
          <w:sz w:val="12"/>
          <w:szCs w:val="12"/>
        </w:rPr>
        <w:t xml:space="preserve">Em Controladora, a variação refere-se a repasses </w:t>
      </w:r>
      <w:r w:rsidR="005760AA" w:rsidRPr="00E20D21">
        <w:rPr>
          <w:rFonts w:ascii="CAIXA Std Book" w:hAnsi="CAIXA Std Book" w:cs="Calibri"/>
          <w:color w:val="005CA9"/>
          <w:sz w:val="12"/>
          <w:szCs w:val="12"/>
        </w:rPr>
        <w:t xml:space="preserve">no âmbito </w:t>
      </w:r>
      <w:r w:rsidR="001D25DC" w:rsidRPr="00E20D21">
        <w:rPr>
          <w:rFonts w:ascii="CAIXA Std Book" w:hAnsi="CAIXA Std Book" w:cs="Calibri"/>
          <w:color w:val="005CA9"/>
          <w:sz w:val="12"/>
          <w:szCs w:val="12"/>
        </w:rPr>
        <w:t xml:space="preserve">de </w:t>
      </w:r>
      <w:r w:rsidR="005760AA" w:rsidRPr="00E20D21">
        <w:rPr>
          <w:rFonts w:ascii="CAIXA Std Book" w:hAnsi="CAIXA Std Book" w:cs="Calibri"/>
          <w:color w:val="005CA9"/>
          <w:sz w:val="12"/>
          <w:szCs w:val="12"/>
        </w:rPr>
        <w:t xml:space="preserve">programas federais como </w:t>
      </w:r>
      <w:r w:rsidR="001D25DC" w:rsidRPr="00E20D21">
        <w:rPr>
          <w:rFonts w:ascii="CAIXA Std Book" w:hAnsi="CAIXA Std Book" w:cs="Calibri"/>
          <w:color w:val="005CA9"/>
          <w:sz w:val="12"/>
          <w:szCs w:val="12"/>
        </w:rPr>
        <w:t xml:space="preserve">Auxílio Reconstrução e MCMV-Rural, </w:t>
      </w:r>
      <w:r w:rsidR="005760AA" w:rsidRPr="00E20D21">
        <w:rPr>
          <w:rFonts w:ascii="CAIXA Std Book" w:hAnsi="CAIXA Std Book" w:cs="Calibri"/>
          <w:color w:val="005CA9"/>
          <w:sz w:val="12"/>
          <w:szCs w:val="12"/>
        </w:rPr>
        <w:t xml:space="preserve">em função da calamidade pública no Rio Grande do Sul em 2024, com </w:t>
      </w:r>
      <w:r w:rsidR="001D25DC" w:rsidRPr="00E20D21">
        <w:rPr>
          <w:rFonts w:ascii="CAIXA Std Book" w:hAnsi="CAIXA Std Book" w:cs="Calibri"/>
          <w:color w:val="005CA9"/>
          <w:sz w:val="12"/>
          <w:szCs w:val="12"/>
        </w:rPr>
        <w:t xml:space="preserve">destaque </w:t>
      </w:r>
      <w:r w:rsidR="005760AA" w:rsidRPr="00E20D21">
        <w:rPr>
          <w:rFonts w:ascii="CAIXA Std Book" w:hAnsi="CAIXA Std Book" w:cs="Calibri"/>
          <w:color w:val="005CA9"/>
          <w:sz w:val="12"/>
          <w:szCs w:val="12"/>
        </w:rPr>
        <w:t xml:space="preserve">também para </w:t>
      </w:r>
      <w:r w:rsidR="001D25DC" w:rsidRPr="00E20D21">
        <w:rPr>
          <w:rFonts w:ascii="CAIXA Std Book" w:hAnsi="CAIXA Std Book" w:cs="Calibri"/>
          <w:color w:val="005CA9"/>
          <w:sz w:val="12"/>
          <w:szCs w:val="12"/>
        </w:rPr>
        <w:t xml:space="preserve">o Novo Bolsa Família e </w:t>
      </w:r>
      <w:r w:rsidR="005760AA" w:rsidRPr="00E20D21">
        <w:rPr>
          <w:rFonts w:ascii="CAIXA Std Book" w:hAnsi="CAIXA Std Book" w:cs="Calibri"/>
          <w:color w:val="005CA9"/>
          <w:sz w:val="12"/>
          <w:szCs w:val="12"/>
        </w:rPr>
        <w:t xml:space="preserve">o </w:t>
      </w:r>
      <w:r w:rsidR="001D25DC" w:rsidRPr="00E20D21">
        <w:rPr>
          <w:rFonts w:ascii="CAIXA Std Book" w:hAnsi="CAIXA Std Book" w:cs="Calibri"/>
          <w:color w:val="005CA9"/>
          <w:sz w:val="12"/>
          <w:szCs w:val="12"/>
        </w:rPr>
        <w:t>Programa Pé</w:t>
      </w:r>
      <w:r w:rsidR="005760AA" w:rsidRPr="00E20D21">
        <w:rPr>
          <w:rFonts w:ascii="CAIXA Std Book" w:hAnsi="CAIXA Std Book" w:cs="Calibri"/>
          <w:color w:val="005CA9"/>
          <w:sz w:val="12"/>
          <w:szCs w:val="12"/>
        </w:rPr>
        <w:t>-</w:t>
      </w:r>
      <w:r w:rsidR="001D25DC" w:rsidRPr="00E20D21">
        <w:rPr>
          <w:rFonts w:ascii="CAIXA Std Book" w:hAnsi="CAIXA Std Book" w:cs="Calibri"/>
          <w:color w:val="005CA9"/>
          <w:sz w:val="12"/>
          <w:szCs w:val="12"/>
        </w:rPr>
        <w:t>de</w:t>
      </w:r>
      <w:r w:rsidR="005760AA" w:rsidRPr="00E20D21">
        <w:rPr>
          <w:rFonts w:ascii="CAIXA Std Book" w:hAnsi="CAIXA Std Book" w:cs="Calibri"/>
          <w:color w:val="005CA9"/>
          <w:sz w:val="12"/>
          <w:szCs w:val="12"/>
        </w:rPr>
        <w:t>-</w:t>
      </w:r>
      <w:r w:rsidR="001D25DC" w:rsidRPr="00E20D21">
        <w:rPr>
          <w:rFonts w:ascii="CAIXA Std Book" w:hAnsi="CAIXA Std Book" w:cs="Calibri"/>
          <w:color w:val="005CA9"/>
          <w:sz w:val="12"/>
          <w:szCs w:val="12"/>
        </w:rPr>
        <w:t>Meia</w:t>
      </w:r>
      <w:r w:rsidR="005760AA" w:rsidRPr="00E20D21">
        <w:rPr>
          <w:rFonts w:ascii="CAIXA Std Book" w:hAnsi="CAIXA Std Book" w:cs="Calibri"/>
          <w:color w:val="005CA9"/>
          <w:sz w:val="12"/>
          <w:szCs w:val="12"/>
        </w:rPr>
        <w:t xml:space="preserve"> (incentivo financeiro-educacional para estudantes do Ensino Médio). Em</w:t>
      </w:r>
      <w:r w:rsidR="001D25DC" w:rsidRPr="00E20D21">
        <w:rPr>
          <w:rFonts w:ascii="CAIXA Std Book" w:hAnsi="CAIXA Std Book" w:cs="Calibri"/>
          <w:color w:val="005CA9"/>
          <w:sz w:val="12"/>
          <w:szCs w:val="12"/>
        </w:rPr>
        <w:t xml:space="preserve"> Outras entidades</w:t>
      </w:r>
      <w:r w:rsidR="005760AA" w:rsidRPr="00E20D21">
        <w:rPr>
          <w:rFonts w:ascii="CAIXA Std Book" w:hAnsi="CAIXA Std Book" w:cs="Calibri"/>
          <w:color w:val="005CA9"/>
          <w:sz w:val="12"/>
          <w:szCs w:val="12"/>
        </w:rPr>
        <w:t>, o saldo</w:t>
      </w:r>
      <w:r w:rsidR="001D25DC" w:rsidRPr="00E20D21">
        <w:rPr>
          <w:rFonts w:ascii="CAIXA Std Book" w:hAnsi="CAIXA Std Book" w:cs="Calibri"/>
          <w:color w:val="005CA9"/>
          <w:sz w:val="12"/>
          <w:szCs w:val="12"/>
        </w:rPr>
        <w:t xml:space="preserve"> refere-se principalmente à remuneração do agente financeiro CAIXA, recebida em operações habitacionais com recursos do FGTS, conforme Nota 18(b).</w:t>
      </w:r>
    </w:p>
    <w:p w14:paraId="7F647959" w14:textId="0D73C4D1" w:rsidR="6B87CEED" w:rsidRPr="00E20D21" w:rsidRDefault="6B87CEED"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(12) O saldo apresentado corresponde a obrigações fiscais e previdenciárias com a União, conforme Nota 20.</w:t>
      </w:r>
    </w:p>
    <w:p w14:paraId="14935060" w14:textId="73CB2D07" w:rsidR="6B87CEED" w:rsidRPr="00E20D21" w:rsidRDefault="6B87CEED"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(13) Em Controladora, o saldo é composto principalmente por obrigações junto à União.</w:t>
      </w:r>
    </w:p>
    <w:p w14:paraId="2290DF38" w14:textId="4459C6BD" w:rsidR="6B87CEED" w:rsidRPr="00E20D21" w:rsidRDefault="6B87CEED"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(14) Em Outras entidades, o saldo é constituído por recursos do FGTS, FAR e FDS para amortização de contratos em programas habitacionais e respectivos juros remuneratórios devidos aos fundos, conforme Nota 18(b).</w:t>
      </w:r>
    </w:p>
    <w:p w14:paraId="77EBBD73" w14:textId="37D23841" w:rsidR="6B87CEED" w:rsidRPr="00E20D21" w:rsidRDefault="6B87CEED"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(15) Operações garantidas pelo governo, notas promissórias, penhor e garantias fidejussórias.</w:t>
      </w:r>
    </w:p>
    <w:p w14:paraId="2B9D85DC" w14:textId="566E3AD6" w:rsidR="6B87CEED" w:rsidRPr="00E20D21" w:rsidRDefault="6B87CEED" w:rsidP="62135403">
      <w:pPr>
        <w:spacing w:line="259" w:lineRule="auto"/>
        <w:jc w:val="both"/>
        <w:rPr>
          <w:rFonts w:ascii="CAIXA Std Book" w:hAnsi="CAIXA Std Book" w:cs="Calibri"/>
          <w:color w:val="005CA9"/>
          <w:sz w:val="12"/>
          <w:szCs w:val="12"/>
        </w:rPr>
      </w:pPr>
      <w:r w:rsidRPr="00E20D21">
        <w:rPr>
          <w:rFonts w:ascii="CAIXA Std Book" w:hAnsi="CAIXA Std Book" w:cs="Calibri"/>
          <w:color w:val="005CA9"/>
          <w:sz w:val="12"/>
          <w:szCs w:val="12"/>
        </w:rPr>
        <w:t>(16) Garantia</w:t>
      </w:r>
      <w:r w:rsidR="00D66A84" w:rsidRPr="00E20D21">
        <w:rPr>
          <w:rFonts w:ascii="CAIXA Std Book" w:hAnsi="CAIXA Std Book" w:cs="Calibri"/>
          <w:color w:val="005CA9"/>
          <w:sz w:val="12"/>
          <w:szCs w:val="12"/>
        </w:rPr>
        <w:t xml:space="preserve"> financeira prestada pela CAIXA às operações de crédito com recursos do FGTS (coobrigação), FIES e FAR, conforme Nota 19(e).</w:t>
      </w:r>
    </w:p>
    <w:p w14:paraId="61354894" w14:textId="2144346D" w:rsidR="62135403" w:rsidRPr="00E20D21" w:rsidRDefault="62135403" w:rsidP="62135403">
      <w:pPr>
        <w:spacing w:line="259" w:lineRule="auto"/>
        <w:jc w:val="both"/>
        <w:rPr>
          <w:rFonts w:ascii="CAIXA Std Book" w:hAnsi="CAIXA Std Book" w:cs="Calibri"/>
          <w:color w:val="005CA9"/>
          <w:sz w:val="12"/>
          <w:szCs w:val="12"/>
          <w:highlight w:val="yellow"/>
        </w:rPr>
      </w:pPr>
    </w:p>
    <w:p w14:paraId="52BA2C96" w14:textId="3742D319" w:rsidR="006928A2" w:rsidRPr="00E20D21" w:rsidRDefault="006928A2">
      <w:pPr>
        <w:rPr>
          <w:rFonts w:ascii="CAIXA Std Book" w:hAnsi="CAIXA Std Book" w:cs="Calibri"/>
          <w:color w:val="005CA9"/>
          <w:sz w:val="12"/>
          <w:szCs w:val="12"/>
          <w:highlight w:val="yellow"/>
        </w:rPr>
      </w:pPr>
      <w:r w:rsidRPr="00E20D21">
        <w:rPr>
          <w:rFonts w:ascii="CAIXA Std Book" w:hAnsi="CAIXA Std Book" w:cs="Calibri"/>
          <w:color w:val="005CA9"/>
          <w:sz w:val="12"/>
          <w:szCs w:val="12"/>
          <w:highlight w:val="yellow"/>
        </w:rPr>
        <w:br w:type="page"/>
      </w:r>
    </w:p>
    <w:tbl>
      <w:tblPr>
        <w:tblW w:w="14602" w:type="dxa"/>
        <w:tblInd w:w="-142" w:type="dxa"/>
        <w:tblLayout w:type="fixed"/>
        <w:tblCellMar>
          <w:left w:w="70" w:type="dxa"/>
          <w:right w:w="70" w:type="dxa"/>
        </w:tblCellMar>
        <w:tblLook w:val="04A0" w:firstRow="1" w:lastRow="0" w:firstColumn="1" w:lastColumn="0" w:noHBand="0" w:noVBand="1"/>
      </w:tblPr>
      <w:tblGrid>
        <w:gridCol w:w="2977"/>
        <w:gridCol w:w="1087"/>
        <w:gridCol w:w="1121"/>
        <w:gridCol w:w="1121"/>
        <w:gridCol w:w="1106"/>
        <w:gridCol w:w="1235"/>
        <w:gridCol w:w="1034"/>
        <w:gridCol w:w="1156"/>
        <w:gridCol w:w="1163"/>
        <w:gridCol w:w="1161"/>
        <w:gridCol w:w="1441"/>
      </w:tblGrid>
      <w:tr w:rsidR="00A47C19" w:rsidRPr="00E20D21" w14:paraId="45431642" w14:textId="77777777" w:rsidTr="005100AC">
        <w:trPr>
          <w:trHeight w:val="181"/>
        </w:trPr>
        <w:tc>
          <w:tcPr>
            <w:tcW w:w="14602" w:type="dxa"/>
            <w:gridSpan w:val="11"/>
            <w:tcBorders>
              <w:top w:val="single" w:sz="4" w:space="0" w:color="F79646" w:themeColor="accent6"/>
              <w:left w:val="nil"/>
              <w:bottom w:val="nil"/>
              <w:right w:val="nil"/>
            </w:tcBorders>
            <w:shd w:val="clear" w:color="auto" w:fill="auto"/>
            <w:noWrap/>
            <w:vAlign w:val="center"/>
            <w:hideMark/>
          </w:tcPr>
          <w:p w14:paraId="2BDFD6E0" w14:textId="77777777" w:rsidR="00EE522D" w:rsidRPr="00E20D21" w:rsidRDefault="00EE522D">
            <w:pPr>
              <w:jc w:val="center"/>
              <w:rPr>
                <w:rFonts w:ascii="CAIXA Std Book" w:hAnsi="CAIXA Std Book" w:cs="Symbol"/>
                <w:b/>
                <w:color w:val="005CA9"/>
                <w:sz w:val="13"/>
                <w:szCs w:val="13"/>
              </w:rPr>
            </w:pPr>
            <w:r w:rsidRPr="00E20D21">
              <w:rPr>
                <w:rFonts w:ascii="CAIXA Std Book" w:hAnsi="CAIXA Std Book" w:cs="Symbol"/>
                <w:b/>
                <w:color w:val="005CA9"/>
                <w:sz w:val="13"/>
                <w:szCs w:val="13"/>
              </w:rPr>
              <w:lastRenderedPageBreak/>
              <w:br w:type="page"/>
              <w:t>CONSOLIDADO</w:t>
            </w:r>
          </w:p>
        </w:tc>
      </w:tr>
      <w:tr w:rsidR="008A5BAC" w:rsidRPr="00E20D21" w14:paraId="0F293D3F" w14:textId="77777777" w:rsidTr="005100AC">
        <w:trPr>
          <w:trHeight w:val="181"/>
        </w:trPr>
        <w:tc>
          <w:tcPr>
            <w:tcW w:w="2977" w:type="dxa"/>
            <w:vMerge w:val="restart"/>
            <w:tcBorders>
              <w:top w:val="single" w:sz="4" w:space="0" w:color="F79646" w:themeColor="accent6"/>
              <w:left w:val="nil"/>
              <w:right w:val="nil"/>
            </w:tcBorders>
            <w:shd w:val="clear" w:color="auto" w:fill="auto"/>
            <w:vAlign w:val="center"/>
            <w:hideMark/>
          </w:tcPr>
          <w:p w14:paraId="39B9B55F" w14:textId="77777777" w:rsidR="00EE522D" w:rsidRPr="00E20D21" w:rsidRDefault="00EE522D">
            <w:pPr>
              <w:jc w:val="center"/>
              <w:rPr>
                <w:rFonts w:ascii="CAIXA Std Book" w:hAnsi="CAIXA Std Book"/>
                <w:b/>
                <w:color w:val="005CA9"/>
                <w:sz w:val="13"/>
                <w:szCs w:val="13"/>
              </w:rPr>
            </w:pPr>
            <w:r w:rsidRPr="00E20D21">
              <w:rPr>
                <w:rFonts w:ascii="CAIXA Std Book" w:hAnsi="CAIXA Std Book"/>
                <w:b/>
                <w:color w:val="005CA9"/>
                <w:sz w:val="13"/>
                <w:szCs w:val="13"/>
              </w:rPr>
              <w:t>Descrição</w:t>
            </w:r>
          </w:p>
        </w:tc>
        <w:tc>
          <w:tcPr>
            <w:tcW w:w="5670" w:type="dxa"/>
            <w:gridSpan w:val="5"/>
            <w:tcBorders>
              <w:top w:val="single" w:sz="4" w:space="0" w:color="F79646" w:themeColor="accent6"/>
              <w:left w:val="nil"/>
              <w:bottom w:val="single" w:sz="4" w:space="0" w:color="F39200"/>
            </w:tcBorders>
            <w:shd w:val="clear" w:color="auto" w:fill="auto"/>
            <w:vAlign w:val="center"/>
            <w:hideMark/>
          </w:tcPr>
          <w:p w14:paraId="246FDDB9" w14:textId="4EF688B8" w:rsidR="00EE522D" w:rsidRPr="00E20D21" w:rsidRDefault="005100AC">
            <w:pPr>
              <w:jc w:val="center"/>
              <w:rPr>
                <w:rFonts w:ascii="CAIXA Std Book" w:hAnsi="CAIXA Std Book"/>
                <w:b/>
                <w:color w:val="005CA9"/>
                <w:sz w:val="13"/>
                <w:szCs w:val="13"/>
              </w:rPr>
            </w:pPr>
            <w:r w:rsidRPr="00E20D21">
              <w:rPr>
                <w:rFonts w:ascii="CAIXA Std Book" w:hAnsi="CAIXA Std Book"/>
                <w:b/>
                <w:color w:val="005CA9"/>
                <w:sz w:val="13"/>
                <w:szCs w:val="13"/>
              </w:rPr>
              <w:t>30/06/2024</w:t>
            </w:r>
          </w:p>
        </w:tc>
        <w:tc>
          <w:tcPr>
            <w:tcW w:w="5955" w:type="dxa"/>
            <w:gridSpan w:val="5"/>
            <w:tcBorders>
              <w:top w:val="single" w:sz="4" w:space="0" w:color="F79646" w:themeColor="accent6"/>
              <w:left w:val="nil"/>
              <w:bottom w:val="single" w:sz="4" w:space="0" w:color="F39200"/>
            </w:tcBorders>
            <w:shd w:val="clear" w:color="auto" w:fill="auto"/>
            <w:vAlign w:val="center"/>
            <w:hideMark/>
          </w:tcPr>
          <w:p w14:paraId="7299BE5F" w14:textId="3D3F81C2" w:rsidR="00EE522D" w:rsidRPr="00E20D21" w:rsidRDefault="00EE522D">
            <w:pPr>
              <w:jc w:val="center"/>
              <w:rPr>
                <w:rFonts w:ascii="CAIXA Std Book" w:hAnsi="CAIXA Std Book"/>
                <w:b/>
                <w:color w:val="005CA9"/>
                <w:sz w:val="13"/>
                <w:szCs w:val="13"/>
              </w:rPr>
            </w:pPr>
            <w:r w:rsidRPr="00E20D21">
              <w:rPr>
                <w:rFonts w:ascii="CAIXA Std Book" w:hAnsi="CAIXA Std Book"/>
                <w:b/>
                <w:color w:val="005CA9"/>
                <w:sz w:val="13"/>
                <w:szCs w:val="13"/>
              </w:rPr>
              <w:t>31/12/202</w:t>
            </w:r>
            <w:r w:rsidR="00773A32" w:rsidRPr="00E20D21">
              <w:rPr>
                <w:rFonts w:ascii="CAIXA Std Book" w:hAnsi="CAIXA Std Book"/>
                <w:b/>
                <w:color w:val="005CA9"/>
                <w:sz w:val="13"/>
                <w:szCs w:val="13"/>
              </w:rPr>
              <w:t>3</w:t>
            </w:r>
          </w:p>
        </w:tc>
      </w:tr>
      <w:tr w:rsidR="00312447" w:rsidRPr="00E20D21" w14:paraId="22CA04E7" w14:textId="77777777" w:rsidTr="62135403">
        <w:trPr>
          <w:trHeight w:val="181"/>
        </w:trPr>
        <w:tc>
          <w:tcPr>
            <w:tcW w:w="2977" w:type="dxa"/>
            <w:vMerge/>
            <w:vAlign w:val="center"/>
            <w:hideMark/>
          </w:tcPr>
          <w:p w14:paraId="3C1F61BE" w14:textId="77777777" w:rsidR="00EE522D" w:rsidRPr="00E20D21" w:rsidRDefault="00EE522D">
            <w:pPr>
              <w:jc w:val="right"/>
              <w:rPr>
                <w:rFonts w:ascii="CAIXA Std Book" w:hAnsi="CAIXA Std Book"/>
                <w:b/>
                <w:color w:val="005CA9"/>
                <w:sz w:val="13"/>
                <w:szCs w:val="13"/>
              </w:rPr>
            </w:pPr>
          </w:p>
        </w:tc>
        <w:tc>
          <w:tcPr>
            <w:tcW w:w="1087" w:type="dxa"/>
            <w:tcBorders>
              <w:top w:val="nil"/>
              <w:left w:val="nil"/>
              <w:bottom w:val="single" w:sz="4" w:space="0" w:color="F39200"/>
              <w:right w:val="nil"/>
            </w:tcBorders>
            <w:shd w:val="clear" w:color="auto" w:fill="auto"/>
            <w:vAlign w:val="center"/>
            <w:hideMark/>
          </w:tcPr>
          <w:p w14:paraId="37BB4898" w14:textId="51F87C97" w:rsidR="00EE522D" w:rsidRPr="00E20D21" w:rsidRDefault="00EE522D" w:rsidP="62135403">
            <w:pPr>
              <w:jc w:val="center"/>
              <w:rPr>
                <w:rFonts w:ascii="CAIXA Std Book" w:hAnsi="CAIXA Std Book"/>
                <w:b/>
                <w:bCs/>
                <w:color w:val="005CA9"/>
                <w:sz w:val="13"/>
                <w:szCs w:val="13"/>
              </w:rPr>
            </w:pPr>
            <w:r w:rsidRPr="00E20D21">
              <w:rPr>
                <w:rFonts w:ascii="CAIXA Std Book" w:hAnsi="CAIXA Std Book"/>
                <w:b/>
                <w:color w:val="005CA9"/>
                <w:sz w:val="13"/>
                <w:szCs w:val="13"/>
              </w:rPr>
              <w:t>Controladora</w:t>
            </w:r>
          </w:p>
          <w:p w14:paraId="1AF59748" w14:textId="2D3C702F" w:rsidR="00EE522D" w:rsidRPr="00E20D21" w:rsidRDefault="00EE522D">
            <w:pPr>
              <w:jc w:val="center"/>
              <w:rPr>
                <w:rFonts w:ascii="CAIXA Std Book" w:hAnsi="CAIXA Std Book"/>
                <w:b/>
                <w:color w:val="005CA9"/>
                <w:sz w:val="13"/>
                <w:szCs w:val="13"/>
              </w:rPr>
            </w:pPr>
          </w:p>
        </w:tc>
        <w:tc>
          <w:tcPr>
            <w:tcW w:w="1121" w:type="dxa"/>
            <w:tcBorders>
              <w:top w:val="nil"/>
              <w:left w:val="nil"/>
              <w:bottom w:val="single" w:sz="4" w:space="0" w:color="F39200"/>
              <w:right w:val="nil"/>
            </w:tcBorders>
            <w:shd w:val="clear" w:color="auto" w:fill="auto"/>
            <w:vAlign w:val="center"/>
            <w:hideMark/>
          </w:tcPr>
          <w:p w14:paraId="5AB97627" w14:textId="41018825" w:rsidR="00EE522D" w:rsidRPr="00E20D21" w:rsidRDefault="00EE522D">
            <w:pPr>
              <w:jc w:val="center"/>
              <w:rPr>
                <w:rFonts w:ascii="CAIXA Std Book" w:hAnsi="CAIXA Std Book"/>
                <w:b/>
                <w:color w:val="005CA9"/>
                <w:sz w:val="13"/>
                <w:szCs w:val="13"/>
              </w:rPr>
            </w:pPr>
            <w:r w:rsidRPr="00E20D21">
              <w:rPr>
                <w:rFonts w:ascii="CAIXA Std Book" w:hAnsi="CAIXA Std Book"/>
                <w:b/>
                <w:color w:val="005CA9"/>
                <w:sz w:val="13"/>
                <w:szCs w:val="13"/>
              </w:rPr>
              <w:t xml:space="preserve">Controlada em conjunto </w:t>
            </w:r>
          </w:p>
        </w:tc>
        <w:tc>
          <w:tcPr>
            <w:tcW w:w="1121" w:type="dxa"/>
            <w:tcBorders>
              <w:top w:val="nil"/>
              <w:left w:val="nil"/>
              <w:bottom w:val="single" w:sz="4" w:space="0" w:color="F39200"/>
              <w:right w:val="nil"/>
            </w:tcBorders>
            <w:shd w:val="clear" w:color="auto" w:fill="auto"/>
            <w:vAlign w:val="center"/>
            <w:hideMark/>
          </w:tcPr>
          <w:p w14:paraId="2FE7E831" w14:textId="278CAE4F" w:rsidR="00EE522D" w:rsidRPr="00E20D21" w:rsidRDefault="00EE522D" w:rsidP="62135403">
            <w:pPr>
              <w:jc w:val="center"/>
              <w:rPr>
                <w:rFonts w:ascii="CAIXA Std Book" w:hAnsi="CAIXA Std Book"/>
                <w:b/>
                <w:bCs/>
                <w:color w:val="005CA9"/>
                <w:sz w:val="13"/>
                <w:szCs w:val="13"/>
              </w:rPr>
            </w:pPr>
            <w:r w:rsidRPr="00E20D21">
              <w:rPr>
                <w:rFonts w:ascii="CAIXA Std Book" w:hAnsi="CAIXA Std Book"/>
                <w:b/>
                <w:color w:val="005CA9"/>
                <w:sz w:val="13"/>
                <w:szCs w:val="13"/>
              </w:rPr>
              <w:t>Coligada</w:t>
            </w:r>
          </w:p>
          <w:p w14:paraId="17F69D92" w14:textId="2F37B5B9" w:rsidR="00EE522D" w:rsidRPr="00E20D21" w:rsidRDefault="36A1F3B8">
            <w:pPr>
              <w:jc w:val="center"/>
              <w:rPr>
                <w:rFonts w:ascii="CAIXA Std Book" w:hAnsi="CAIXA Std Book"/>
                <w:b/>
                <w:color w:val="005CA9"/>
                <w:sz w:val="13"/>
                <w:szCs w:val="13"/>
              </w:rPr>
            </w:pPr>
            <w:r w:rsidRPr="00E20D21">
              <w:rPr>
                <w:rFonts w:ascii="CAIXA Std Book" w:hAnsi="CAIXA Std Book"/>
                <w:b/>
                <w:bCs/>
                <w:color w:val="005CA9"/>
                <w:sz w:val="13"/>
                <w:szCs w:val="13"/>
              </w:rPr>
              <w:t xml:space="preserve"> </w:t>
            </w:r>
          </w:p>
        </w:tc>
        <w:tc>
          <w:tcPr>
            <w:tcW w:w="1106" w:type="dxa"/>
            <w:tcBorders>
              <w:top w:val="nil"/>
              <w:left w:val="nil"/>
              <w:bottom w:val="single" w:sz="4" w:space="0" w:color="F39200"/>
              <w:right w:val="nil"/>
            </w:tcBorders>
            <w:shd w:val="clear" w:color="auto" w:fill="auto"/>
            <w:vAlign w:val="center"/>
            <w:hideMark/>
          </w:tcPr>
          <w:p w14:paraId="6B07B6FD" w14:textId="77777777" w:rsidR="00EE522D" w:rsidRPr="00E20D21" w:rsidRDefault="00EE522D">
            <w:pPr>
              <w:jc w:val="center"/>
              <w:rPr>
                <w:rFonts w:ascii="CAIXA Std Book" w:hAnsi="CAIXA Std Book"/>
                <w:b/>
                <w:color w:val="005CA9"/>
                <w:sz w:val="13"/>
                <w:szCs w:val="13"/>
              </w:rPr>
            </w:pPr>
            <w:proofErr w:type="gramStart"/>
            <w:r w:rsidRPr="00E20D21">
              <w:rPr>
                <w:rFonts w:ascii="CAIXA Std Book" w:hAnsi="CAIXA Std Book"/>
                <w:b/>
                <w:color w:val="005CA9"/>
                <w:sz w:val="13"/>
                <w:szCs w:val="13"/>
              </w:rPr>
              <w:t>Pessoal</w:t>
            </w:r>
            <w:proofErr w:type="gramEnd"/>
            <w:r w:rsidRPr="00E20D21">
              <w:rPr>
                <w:rFonts w:ascii="CAIXA Std Book" w:hAnsi="CAIXA Std Book"/>
                <w:b/>
                <w:color w:val="005CA9"/>
                <w:sz w:val="13"/>
                <w:szCs w:val="13"/>
              </w:rPr>
              <w:t xml:space="preserve"> chave da administração</w:t>
            </w:r>
          </w:p>
        </w:tc>
        <w:tc>
          <w:tcPr>
            <w:tcW w:w="1235" w:type="dxa"/>
            <w:tcBorders>
              <w:top w:val="nil"/>
              <w:left w:val="nil"/>
              <w:bottom w:val="single" w:sz="4" w:space="0" w:color="F39200"/>
            </w:tcBorders>
            <w:shd w:val="clear" w:color="auto" w:fill="auto"/>
            <w:vAlign w:val="center"/>
            <w:hideMark/>
          </w:tcPr>
          <w:p w14:paraId="2203F6A8" w14:textId="649A2FC1" w:rsidR="00EE522D" w:rsidRPr="00E20D21" w:rsidRDefault="00EE522D">
            <w:pPr>
              <w:jc w:val="center"/>
              <w:rPr>
                <w:rFonts w:ascii="CAIXA Std Book" w:hAnsi="CAIXA Std Book"/>
                <w:b/>
                <w:color w:val="005CA9"/>
                <w:sz w:val="13"/>
                <w:szCs w:val="13"/>
              </w:rPr>
            </w:pPr>
            <w:r w:rsidRPr="00E20D21">
              <w:rPr>
                <w:rFonts w:ascii="CAIXA Std Book" w:hAnsi="CAIXA Std Book"/>
                <w:b/>
                <w:color w:val="005CA9"/>
                <w:sz w:val="13"/>
                <w:szCs w:val="13"/>
              </w:rPr>
              <w:t xml:space="preserve">Outras entidades </w:t>
            </w:r>
          </w:p>
        </w:tc>
        <w:tc>
          <w:tcPr>
            <w:tcW w:w="1034" w:type="dxa"/>
            <w:tcBorders>
              <w:top w:val="single" w:sz="4" w:space="0" w:color="F39200"/>
              <w:left w:val="nil"/>
              <w:bottom w:val="single" w:sz="4" w:space="0" w:color="F39200"/>
              <w:right w:val="nil"/>
            </w:tcBorders>
            <w:shd w:val="clear" w:color="auto" w:fill="auto"/>
            <w:noWrap/>
            <w:vAlign w:val="center"/>
            <w:hideMark/>
          </w:tcPr>
          <w:p w14:paraId="0D1A507E" w14:textId="77777777" w:rsidR="00EE522D" w:rsidRPr="00E20D21" w:rsidRDefault="00EE522D">
            <w:pPr>
              <w:jc w:val="center"/>
              <w:rPr>
                <w:rFonts w:ascii="CAIXA Std Book" w:hAnsi="CAIXA Std Book"/>
                <w:b/>
                <w:color w:val="005CA9"/>
                <w:sz w:val="13"/>
                <w:szCs w:val="13"/>
              </w:rPr>
            </w:pPr>
            <w:r w:rsidRPr="00E20D21">
              <w:rPr>
                <w:rFonts w:ascii="CAIXA Std Book" w:hAnsi="CAIXA Std Book"/>
                <w:b/>
                <w:color w:val="005CA9"/>
                <w:sz w:val="13"/>
                <w:szCs w:val="13"/>
              </w:rPr>
              <w:t>Controladora</w:t>
            </w:r>
          </w:p>
        </w:tc>
        <w:tc>
          <w:tcPr>
            <w:tcW w:w="1156" w:type="dxa"/>
            <w:tcBorders>
              <w:top w:val="single" w:sz="4" w:space="0" w:color="F39200"/>
              <w:left w:val="nil"/>
              <w:bottom w:val="single" w:sz="4" w:space="0" w:color="F39200"/>
              <w:right w:val="nil"/>
            </w:tcBorders>
            <w:shd w:val="clear" w:color="auto" w:fill="auto"/>
            <w:vAlign w:val="center"/>
            <w:hideMark/>
          </w:tcPr>
          <w:p w14:paraId="458EB3DC" w14:textId="77777777" w:rsidR="00EE522D" w:rsidRPr="00E20D21" w:rsidRDefault="00EE522D">
            <w:pPr>
              <w:jc w:val="center"/>
              <w:rPr>
                <w:rFonts w:ascii="CAIXA Std Book" w:hAnsi="CAIXA Std Book"/>
                <w:b/>
                <w:color w:val="005CA9"/>
                <w:sz w:val="13"/>
                <w:szCs w:val="13"/>
              </w:rPr>
            </w:pPr>
            <w:r w:rsidRPr="00E20D21">
              <w:rPr>
                <w:rFonts w:ascii="CAIXA Std Book" w:hAnsi="CAIXA Std Book"/>
                <w:b/>
                <w:color w:val="005CA9"/>
                <w:sz w:val="13"/>
                <w:szCs w:val="13"/>
              </w:rPr>
              <w:t>Controlada em conjunto</w:t>
            </w:r>
          </w:p>
        </w:tc>
        <w:tc>
          <w:tcPr>
            <w:tcW w:w="1163" w:type="dxa"/>
            <w:tcBorders>
              <w:top w:val="single" w:sz="4" w:space="0" w:color="F39200"/>
              <w:left w:val="nil"/>
              <w:bottom w:val="single" w:sz="4" w:space="0" w:color="F39200"/>
              <w:right w:val="nil"/>
            </w:tcBorders>
            <w:shd w:val="clear" w:color="auto" w:fill="auto"/>
            <w:vAlign w:val="center"/>
            <w:hideMark/>
          </w:tcPr>
          <w:p w14:paraId="0E96E0B5" w14:textId="77777777" w:rsidR="00EE522D" w:rsidRPr="00E20D21" w:rsidRDefault="00EE522D">
            <w:pPr>
              <w:jc w:val="center"/>
              <w:rPr>
                <w:rFonts w:ascii="CAIXA Std Book" w:hAnsi="CAIXA Std Book"/>
                <w:b/>
                <w:color w:val="005CA9"/>
                <w:sz w:val="13"/>
                <w:szCs w:val="13"/>
              </w:rPr>
            </w:pPr>
            <w:r w:rsidRPr="00E20D21">
              <w:rPr>
                <w:rFonts w:ascii="CAIXA Std Book" w:hAnsi="CAIXA Std Book"/>
                <w:b/>
                <w:color w:val="005CA9"/>
                <w:sz w:val="13"/>
                <w:szCs w:val="13"/>
              </w:rPr>
              <w:t>Coligada</w:t>
            </w:r>
          </w:p>
        </w:tc>
        <w:tc>
          <w:tcPr>
            <w:tcW w:w="1161" w:type="dxa"/>
            <w:tcBorders>
              <w:top w:val="single" w:sz="4" w:space="0" w:color="F39200"/>
              <w:left w:val="nil"/>
              <w:bottom w:val="single" w:sz="4" w:space="0" w:color="F39200"/>
              <w:right w:val="nil"/>
            </w:tcBorders>
            <w:shd w:val="clear" w:color="auto" w:fill="auto"/>
            <w:vAlign w:val="center"/>
            <w:hideMark/>
          </w:tcPr>
          <w:p w14:paraId="4D3734CD" w14:textId="77777777" w:rsidR="00EE522D" w:rsidRPr="00E20D21" w:rsidRDefault="00EE522D">
            <w:pPr>
              <w:jc w:val="center"/>
              <w:rPr>
                <w:rFonts w:ascii="CAIXA Std Book" w:hAnsi="CAIXA Std Book"/>
                <w:b/>
                <w:color w:val="005CA9"/>
                <w:sz w:val="13"/>
                <w:szCs w:val="13"/>
              </w:rPr>
            </w:pPr>
            <w:proofErr w:type="gramStart"/>
            <w:r w:rsidRPr="00E20D21">
              <w:rPr>
                <w:rFonts w:ascii="CAIXA Std Book" w:hAnsi="CAIXA Std Book"/>
                <w:b/>
                <w:color w:val="005CA9"/>
                <w:sz w:val="13"/>
                <w:szCs w:val="13"/>
              </w:rPr>
              <w:t>Pessoal</w:t>
            </w:r>
            <w:proofErr w:type="gramEnd"/>
            <w:r w:rsidRPr="00E20D21">
              <w:rPr>
                <w:rFonts w:ascii="CAIXA Std Book" w:hAnsi="CAIXA Std Book"/>
                <w:b/>
                <w:color w:val="005CA9"/>
                <w:sz w:val="13"/>
                <w:szCs w:val="13"/>
              </w:rPr>
              <w:t xml:space="preserve"> chave da administração</w:t>
            </w:r>
          </w:p>
        </w:tc>
        <w:tc>
          <w:tcPr>
            <w:tcW w:w="1441" w:type="dxa"/>
            <w:tcBorders>
              <w:top w:val="single" w:sz="4" w:space="0" w:color="F39200"/>
              <w:left w:val="nil"/>
              <w:bottom w:val="single" w:sz="4" w:space="0" w:color="F39200"/>
            </w:tcBorders>
            <w:shd w:val="clear" w:color="auto" w:fill="auto"/>
            <w:vAlign w:val="center"/>
            <w:hideMark/>
          </w:tcPr>
          <w:p w14:paraId="59F18D63" w14:textId="77777777" w:rsidR="00EE522D" w:rsidRPr="00E20D21" w:rsidRDefault="00EE522D">
            <w:pPr>
              <w:jc w:val="center"/>
              <w:rPr>
                <w:rFonts w:ascii="CAIXA Std Book" w:hAnsi="CAIXA Std Book"/>
                <w:b/>
                <w:color w:val="005CA9"/>
                <w:sz w:val="13"/>
                <w:szCs w:val="13"/>
              </w:rPr>
            </w:pPr>
            <w:r w:rsidRPr="00E20D21">
              <w:rPr>
                <w:rFonts w:ascii="CAIXA Std Book" w:hAnsi="CAIXA Std Book"/>
                <w:b/>
                <w:color w:val="005CA9"/>
                <w:sz w:val="13"/>
                <w:szCs w:val="13"/>
              </w:rPr>
              <w:t>Outras entidades</w:t>
            </w:r>
          </w:p>
        </w:tc>
      </w:tr>
      <w:tr w:rsidR="002868B8" w:rsidRPr="00E20D21" w14:paraId="0A73CA9A" w14:textId="77777777" w:rsidTr="005100AC">
        <w:trPr>
          <w:trHeight w:val="181"/>
        </w:trPr>
        <w:tc>
          <w:tcPr>
            <w:tcW w:w="2977" w:type="dxa"/>
            <w:tcBorders>
              <w:top w:val="single" w:sz="4" w:space="0" w:color="F39200"/>
              <w:left w:val="nil"/>
              <w:bottom w:val="single" w:sz="4" w:space="0" w:color="F39200"/>
              <w:right w:val="nil"/>
            </w:tcBorders>
            <w:shd w:val="clear" w:color="auto" w:fill="auto"/>
            <w:vAlign w:val="center"/>
            <w:hideMark/>
          </w:tcPr>
          <w:p w14:paraId="3B2AE803" w14:textId="77777777" w:rsidR="005100AC" w:rsidRPr="00E20D21" w:rsidRDefault="005100AC" w:rsidP="005100AC">
            <w:pPr>
              <w:rPr>
                <w:rFonts w:ascii="CAIXA Std Book" w:hAnsi="CAIXA Std Book"/>
                <w:b/>
                <w:color w:val="005CA9"/>
                <w:sz w:val="13"/>
                <w:szCs w:val="13"/>
              </w:rPr>
            </w:pPr>
            <w:r w:rsidRPr="00E20D21">
              <w:rPr>
                <w:rFonts w:ascii="CAIXA Std Book" w:hAnsi="CAIXA Std Book" w:cs="Calibri"/>
                <w:b/>
                <w:bCs/>
                <w:color w:val="005CA9"/>
                <w:sz w:val="13"/>
                <w:szCs w:val="13"/>
              </w:rPr>
              <w:t>ATIVO:</w:t>
            </w:r>
          </w:p>
        </w:tc>
        <w:tc>
          <w:tcPr>
            <w:tcW w:w="1087" w:type="dxa"/>
            <w:tcBorders>
              <w:top w:val="single" w:sz="4" w:space="0" w:color="F39200"/>
              <w:left w:val="nil"/>
              <w:bottom w:val="single" w:sz="4" w:space="0" w:color="F39200"/>
              <w:right w:val="nil"/>
            </w:tcBorders>
            <w:shd w:val="clear" w:color="auto" w:fill="auto"/>
            <w:vAlign w:val="center"/>
          </w:tcPr>
          <w:p w14:paraId="7813899D" w14:textId="6AFD591A" w:rsidR="005100AC" w:rsidRPr="00E20D21" w:rsidRDefault="00CB3A26" w:rsidP="005100AC">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27</w:t>
            </w:r>
            <w:r w:rsidR="00F76A09" w:rsidRPr="00E20D21">
              <w:rPr>
                <w:rFonts w:ascii="CAIXA Std Book" w:hAnsi="CAIXA Std Book" w:cs="Calibri"/>
                <w:b/>
                <w:bCs/>
                <w:color w:val="005CA9"/>
                <w:sz w:val="13"/>
                <w:szCs w:val="13"/>
              </w:rPr>
              <w:t>6.69</w:t>
            </w:r>
            <w:r w:rsidR="0053655D" w:rsidRPr="00E20D21">
              <w:rPr>
                <w:rFonts w:ascii="CAIXA Std Book" w:hAnsi="CAIXA Std Book" w:cs="Calibri"/>
                <w:b/>
                <w:bCs/>
                <w:color w:val="005CA9"/>
                <w:sz w:val="13"/>
                <w:szCs w:val="13"/>
              </w:rPr>
              <w:t>3.833</w:t>
            </w:r>
          </w:p>
        </w:tc>
        <w:tc>
          <w:tcPr>
            <w:tcW w:w="1121" w:type="dxa"/>
            <w:tcBorders>
              <w:top w:val="single" w:sz="4" w:space="0" w:color="F39200"/>
              <w:left w:val="nil"/>
              <w:bottom w:val="single" w:sz="4" w:space="0" w:color="F39200"/>
              <w:right w:val="nil"/>
            </w:tcBorders>
            <w:shd w:val="clear" w:color="auto" w:fill="auto"/>
            <w:vAlign w:val="center"/>
          </w:tcPr>
          <w:p w14:paraId="209333AA" w14:textId="698D6833" w:rsidR="005100AC" w:rsidRPr="00E20D21" w:rsidRDefault="00724D1E" w:rsidP="005100AC">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14.090</w:t>
            </w:r>
          </w:p>
        </w:tc>
        <w:tc>
          <w:tcPr>
            <w:tcW w:w="1121" w:type="dxa"/>
            <w:tcBorders>
              <w:top w:val="single" w:sz="4" w:space="0" w:color="F39200"/>
              <w:left w:val="nil"/>
              <w:bottom w:val="single" w:sz="4" w:space="0" w:color="F39200"/>
              <w:right w:val="nil"/>
            </w:tcBorders>
            <w:shd w:val="clear" w:color="auto" w:fill="auto"/>
            <w:vAlign w:val="center"/>
          </w:tcPr>
          <w:p w14:paraId="4A31BC53" w14:textId="7C84A494" w:rsidR="005100AC" w:rsidRPr="00E20D21" w:rsidRDefault="00724D1E" w:rsidP="005100AC">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2.076.673</w:t>
            </w:r>
          </w:p>
        </w:tc>
        <w:tc>
          <w:tcPr>
            <w:tcW w:w="1106" w:type="dxa"/>
            <w:tcBorders>
              <w:top w:val="single" w:sz="4" w:space="0" w:color="F39200"/>
              <w:left w:val="nil"/>
              <w:bottom w:val="single" w:sz="4" w:space="0" w:color="F39200"/>
              <w:right w:val="nil"/>
            </w:tcBorders>
            <w:shd w:val="clear" w:color="auto" w:fill="auto"/>
            <w:vAlign w:val="center"/>
          </w:tcPr>
          <w:p w14:paraId="7112A580" w14:textId="0203D9C6" w:rsidR="005100AC" w:rsidRPr="00E20D21" w:rsidRDefault="00724D1E" w:rsidP="005100AC">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30.029</w:t>
            </w:r>
          </w:p>
        </w:tc>
        <w:tc>
          <w:tcPr>
            <w:tcW w:w="1235" w:type="dxa"/>
            <w:tcBorders>
              <w:top w:val="single" w:sz="4" w:space="0" w:color="F39200"/>
              <w:left w:val="nil"/>
              <w:bottom w:val="single" w:sz="4" w:space="0" w:color="F39200"/>
            </w:tcBorders>
            <w:shd w:val="clear" w:color="auto" w:fill="auto"/>
            <w:vAlign w:val="center"/>
          </w:tcPr>
          <w:p w14:paraId="7364082C" w14:textId="04138525" w:rsidR="005100AC" w:rsidRPr="00E20D21" w:rsidRDefault="00724D1E" w:rsidP="005100AC">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37</w:t>
            </w:r>
            <w:r w:rsidR="00CC38D5" w:rsidRPr="00E20D21">
              <w:rPr>
                <w:rFonts w:ascii="CAIXA Std Book" w:hAnsi="CAIXA Std Book" w:cs="Calibri"/>
                <w:b/>
                <w:bCs/>
                <w:color w:val="005CA9"/>
                <w:sz w:val="13"/>
                <w:szCs w:val="13"/>
              </w:rPr>
              <w:t>.67</w:t>
            </w:r>
            <w:r w:rsidR="00DB1BAE" w:rsidRPr="00E20D21">
              <w:rPr>
                <w:rFonts w:ascii="CAIXA Std Book" w:hAnsi="CAIXA Std Book" w:cs="Calibri"/>
                <w:b/>
                <w:bCs/>
                <w:color w:val="005CA9"/>
                <w:sz w:val="13"/>
                <w:szCs w:val="13"/>
              </w:rPr>
              <w:t>8.613</w:t>
            </w:r>
          </w:p>
        </w:tc>
        <w:tc>
          <w:tcPr>
            <w:tcW w:w="1034" w:type="dxa"/>
            <w:tcBorders>
              <w:top w:val="single" w:sz="4" w:space="0" w:color="F39200"/>
              <w:left w:val="nil"/>
              <w:bottom w:val="single" w:sz="4" w:space="0" w:color="F39200"/>
              <w:right w:val="nil"/>
            </w:tcBorders>
            <w:shd w:val="clear" w:color="auto" w:fill="auto"/>
            <w:vAlign w:val="center"/>
          </w:tcPr>
          <w:p w14:paraId="5F9A76BE" w14:textId="37C96DE6" w:rsidR="005100AC" w:rsidRPr="00E20D21" w:rsidRDefault="005100AC" w:rsidP="005100AC">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264.905.417</w:t>
            </w:r>
          </w:p>
        </w:tc>
        <w:tc>
          <w:tcPr>
            <w:tcW w:w="1156" w:type="dxa"/>
            <w:tcBorders>
              <w:top w:val="single" w:sz="4" w:space="0" w:color="F39200"/>
              <w:left w:val="nil"/>
              <w:bottom w:val="single" w:sz="4" w:space="0" w:color="F39200"/>
              <w:right w:val="nil"/>
            </w:tcBorders>
            <w:shd w:val="clear" w:color="auto" w:fill="auto"/>
            <w:vAlign w:val="center"/>
          </w:tcPr>
          <w:p w14:paraId="43CA537B" w14:textId="57A14E79" w:rsidR="005100AC" w:rsidRPr="00E20D21" w:rsidRDefault="005100AC" w:rsidP="005100AC">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1.794.798</w:t>
            </w:r>
          </w:p>
        </w:tc>
        <w:tc>
          <w:tcPr>
            <w:tcW w:w="1163" w:type="dxa"/>
            <w:tcBorders>
              <w:top w:val="single" w:sz="4" w:space="0" w:color="F39200"/>
              <w:left w:val="nil"/>
              <w:bottom w:val="single" w:sz="4" w:space="0" w:color="F39200"/>
              <w:right w:val="nil"/>
            </w:tcBorders>
            <w:shd w:val="clear" w:color="auto" w:fill="auto"/>
            <w:vAlign w:val="center"/>
          </w:tcPr>
          <w:p w14:paraId="43F16435" w14:textId="276BD3F2" w:rsidR="005100AC" w:rsidRPr="00E20D21" w:rsidRDefault="005100AC" w:rsidP="005100AC">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277.430</w:t>
            </w:r>
          </w:p>
        </w:tc>
        <w:tc>
          <w:tcPr>
            <w:tcW w:w="1161" w:type="dxa"/>
            <w:tcBorders>
              <w:top w:val="single" w:sz="4" w:space="0" w:color="F39200"/>
              <w:left w:val="nil"/>
              <w:bottom w:val="single" w:sz="4" w:space="0" w:color="F39200"/>
              <w:right w:val="nil"/>
            </w:tcBorders>
            <w:shd w:val="clear" w:color="auto" w:fill="auto"/>
            <w:vAlign w:val="center"/>
          </w:tcPr>
          <w:p w14:paraId="1E9E2CE2" w14:textId="68AFCDAF" w:rsidR="005100AC" w:rsidRPr="00E20D21" w:rsidRDefault="003943FC" w:rsidP="005100AC">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33.943</w:t>
            </w:r>
          </w:p>
        </w:tc>
        <w:tc>
          <w:tcPr>
            <w:tcW w:w="1441" w:type="dxa"/>
            <w:tcBorders>
              <w:top w:val="single" w:sz="4" w:space="0" w:color="F39200"/>
              <w:left w:val="nil"/>
              <w:bottom w:val="single" w:sz="4" w:space="0" w:color="F39200"/>
            </w:tcBorders>
            <w:shd w:val="clear" w:color="auto" w:fill="auto"/>
            <w:vAlign w:val="center"/>
          </w:tcPr>
          <w:p w14:paraId="352C9598" w14:textId="5FD4A6DF" w:rsidR="005100AC" w:rsidRPr="00E20D21" w:rsidRDefault="005100AC" w:rsidP="005100AC">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37.371.973</w:t>
            </w:r>
          </w:p>
        </w:tc>
      </w:tr>
      <w:tr w:rsidR="00312447" w:rsidRPr="00E20D21" w14:paraId="4E63F436" w14:textId="77777777" w:rsidTr="00DC1C45">
        <w:trPr>
          <w:trHeight w:val="181"/>
        </w:trPr>
        <w:tc>
          <w:tcPr>
            <w:tcW w:w="2977" w:type="dxa"/>
            <w:tcBorders>
              <w:top w:val="nil"/>
              <w:left w:val="nil"/>
              <w:bottom w:val="nil"/>
              <w:right w:val="nil"/>
            </w:tcBorders>
            <w:shd w:val="clear" w:color="auto" w:fill="auto"/>
            <w:vAlign w:val="center"/>
            <w:hideMark/>
          </w:tcPr>
          <w:p w14:paraId="17303C61" w14:textId="4E2A5973" w:rsidR="005100AC" w:rsidRPr="00E20D21" w:rsidRDefault="005100AC" w:rsidP="005100AC">
            <w:pPr>
              <w:rPr>
                <w:rFonts w:ascii="CAIXA Std Book" w:hAnsi="CAIXA Std Book"/>
                <w:color w:val="005CA9"/>
                <w:sz w:val="13"/>
                <w:szCs w:val="13"/>
              </w:rPr>
            </w:pPr>
            <w:r w:rsidRPr="00E20D21">
              <w:rPr>
                <w:rFonts w:ascii="CAIXA Std Book" w:hAnsi="CAIXA Std Book" w:cs="Calibri"/>
                <w:color w:val="005CA9"/>
                <w:sz w:val="13"/>
                <w:szCs w:val="13"/>
              </w:rPr>
              <w:t>Caixa e equivalentes de caixa</w:t>
            </w:r>
            <w:r w:rsidR="46707DBE" w:rsidRPr="00E20D21">
              <w:rPr>
                <w:rFonts w:ascii="CAIXA Std Book" w:hAnsi="CAIXA Std Book" w:cs="Calibri"/>
                <w:color w:val="005CA9"/>
                <w:sz w:val="13"/>
                <w:szCs w:val="13"/>
              </w:rPr>
              <w:t xml:space="preserve"> (1)</w:t>
            </w:r>
          </w:p>
        </w:tc>
        <w:tc>
          <w:tcPr>
            <w:tcW w:w="1087" w:type="dxa"/>
            <w:tcBorders>
              <w:top w:val="nil"/>
              <w:left w:val="nil"/>
              <w:bottom w:val="nil"/>
              <w:right w:val="nil"/>
            </w:tcBorders>
            <w:shd w:val="clear" w:color="auto" w:fill="auto"/>
            <w:noWrap/>
            <w:vAlign w:val="center"/>
          </w:tcPr>
          <w:p w14:paraId="30892530" w14:textId="3A86EA32" w:rsidR="005100AC" w:rsidRPr="00E20D21" w:rsidRDefault="00E17302"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18647503" w14:textId="64D358E1" w:rsidR="005100AC" w:rsidRPr="00E20D21" w:rsidRDefault="00E17302" w:rsidP="00DC1C45">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60E9AE02" w14:textId="6F88BE69" w:rsidR="005100AC" w:rsidRPr="00E20D21" w:rsidRDefault="008D08C5" w:rsidP="00DC1C45">
            <w:pPr>
              <w:jc w:val="right"/>
              <w:rPr>
                <w:rFonts w:ascii="CAIXA Std Book" w:hAnsi="CAIXA Std Book" w:cs="Calibri"/>
                <w:color w:val="005CA9"/>
                <w:sz w:val="13"/>
                <w:szCs w:val="13"/>
              </w:rPr>
            </w:pPr>
            <w:r w:rsidRPr="00E20D21">
              <w:rPr>
                <w:rFonts w:ascii="CAIXA Std Book" w:hAnsi="CAIXA Std Book" w:cs="Calibri"/>
                <w:color w:val="005CA9"/>
                <w:sz w:val="13"/>
                <w:szCs w:val="13"/>
              </w:rPr>
              <w:t>1.781.292</w:t>
            </w:r>
          </w:p>
        </w:tc>
        <w:tc>
          <w:tcPr>
            <w:tcW w:w="1106" w:type="dxa"/>
            <w:tcBorders>
              <w:top w:val="nil"/>
              <w:left w:val="nil"/>
              <w:bottom w:val="nil"/>
              <w:right w:val="nil"/>
            </w:tcBorders>
            <w:shd w:val="clear" w:color="auto" w:fill="auto"/>
            <w:noWrap/>
            <w:vAlign w:val="center"/>
          </w:tcPr>
          <w:p w14:paraId="7FC56C39" w14:textId="6BFDC7E4" w:rsidR="005100AC" w:rsidRPr="00E20D21" w:rsidRDefault="008D08C5"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53D5BD51" w14:textId="6F309218" w:rsidR="005100AC" w:rsidRPr="00E20D21" w:rsidRDefault="00A6532B"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034" w:type="dxa"/>
            <w:tcBorders>
              <w:top w:val="nil"/>
              <w:left w:val="nil"/>
              <w:bottom w:val="nil"/>
              <w:right w:val="nil"/>
            </w:tcBorders>
            <w:shd w:val="clear" w:color="auto" w:fill="auto"/>
            <w:noWrap/>
            <w:vAlign w:val="center"/>
          </w:tcPr>
          <w:p w14:paraId="49CCBAF2" w14:textId="6F64C931"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56" w:type="dxa"/>
            <w:tcBorders>
              <w:top w:val="nil"/>
              <w:left w:val="nil"/>
              <w:bottom w:val="nil"/>
              <w:right w:val="nil"/>
            </w:tcBorders>
            <w:shd w:val="clear" w:color="auto" w:fill="auto"/>
            <w:noWrap/>
            <w:vAlign w:val="center"/>
          </w:tcPr>
          <w:p w14:paraId="4E2CACAE" w14:textId="4B94C648"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1.794.780</w:t>
            </w:r>
          </w:p>
        </w:tc>
        <w:tc>
          <w:tcPr>
            <w:tcW w:w="1163" w:type="dxa"/>
            <w:tcBorders>
              <w:top w:val="nil"/>
              <w:left w:val="nil"/>
              <w:bottom w:val="nil"/>
              <w:right w:val="nil"/>
            </w:tcBorders>
            <w:shd w:val="clear" w:color="auto" w:fill="auto"/>
            <w:noWrap/>
            <w:vAlign w:val="center"/>
          </w:tcPr>
          <w:p w14:paraId="22E97617" w14:textId="5FA7B666"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716412E4" w14:textId="594E2E0A"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27359A0F" w14:textId="3CDFD8B8"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r>
      <w:tr w:rsidR="00312447" w:rsidRPr="00E20D21" w14:paraId="34B4AEA2" w14:textId="77777777" w:rsidTr="00DC1C45">
        <w:trPr>
          <w:trHeight w:val="181"/>
        </w:trPr>
        <w:tc>
          <w:tcPr>
            <w:tcW w:w="2977" w:type="dxa"/>
            <w:tcBorders>
              <w:top w:val="nil"/>
              <w:left w:val="nil"/>
              <w:bottom w:val="nil"/>
              <w:right w:val="nil"/>
            </w:tcBorders>
            <w:shd w:val="clear" w:color="auto" w:fill="auto"/>
            <w:vAlign w:val="center"/>
          </w:tcPr>
          <w:p w14:paraId="20D2627C" w14:textId="57E6F867" w:rsidR="005100AC" w:rsidRPr="00E20D21" w:rsidRDefault="005100AC" w:rsidP="005100AC">
            <w:pPr>
              <w:rPr>
                <w:rFonts w:ascii="CAIXA Std Book" w:hAnsi="CAIXA Std Book" w:cs="Calibri"/>
                <w:color w:val="005CA9"/>
                <w:sz w:val="13"/>
                <w:szCs w:val="13"/>
              </w:rPr>
            </w:pPr>
            <w:r w:rsidRPr="00E20D21">
              <w:rPr>
                <w:rFonts w:ascii="CAIXA Std Book" w:hAnsi="CAIXA Std Book" w:cs="Calibri"/>
                <w:color w:val="005CA9"/>
                <w:sz w:val="13"/>
                <w:szCs w:val="13"/>
              </w:rPr>
              <w:t>Aplicações Interfinanceiras de liquidez</w:t>
            </w:r>
          </w:p>
        </w:tc>
        <w:tc>
          <w:tcPr>
            <w:tcW w:w="1087" w:type="dxa"/>
            <w:tcBorders>
              <w:top w:val="nil"/>
              <w:left w:val="nil"/>
              <w:bottom w:val="nil"/>
              <w:right w:val="nil"/>
            </w:tcBorders>
            <w:shd w:val="clear" w:color="auto" w:fill="auto"/>
            <w:noWrap/>
            <w:vAlign w:val="center"/>
          </w:tcPr>
          <w:p w14:paraId="4218ECB7" w14:textId="7D256A6D" w:rsidR="005100AC" w:rsidRPr="00E20D21" w:rsidRDefault="002A651B"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513DEEC3" w14:textId="5E959052" w:rsidR="005100AC" w:rsidRPr="00E20D21" w:rsidRDefault="0024267E"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4FFD9737" w14:textId="2ACE8E3B" w:rsidR="005100AC" w:rsidRPr="00E20D21" w:rsidRDefault="0024267E"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4E9EF3CB" w14:textId="51332B40" w:rsidR="005100AC" w:rsidRPr="00E20D21" w:rsidRDefault="0024267E"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42FB9248" w14:textId="5C57DC15" w:rsidR="005100AC" w:rsidRPr="00E20D21" w:rsidRDefault="004F3C11"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2.217.367</w:t>
            </w:r>
          </w:p>
        </w:tc>
        <w:tc>
          <w:tcPr>
            <w:tcW w:w="1034" w:type="dxa"/>
            <w:tcBorders>
              <w:top w:val="nil"/>
              <w:left w:val="nil"/>
              <w:bottom w:val="nil"/>
              <w:right w:val="nil"/>
            </w:tcBorders>
            <w:shd w:val="clear" w:color="auto" w:fill="auto"/>
            <w:noWrap/>
            <w:vAlign w:val="center"/>
          </w:tcPr>
          <w:p w14:paraId="48279E56" w14:textId="2E3F48F2"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56" w:type="dxa"/>
            <w:tcBorders>
              <w:top w:val="nil"/>
              <w:left w:val="nil"/>
              <w:bottom w:val="nil"/>
              <w:right w:val="nil"/>
            </w:tcBorders>
            <w:shd w:val="clear" w:color="auto" w:fill="auto"/>
            <w:noWrap/>
            <w:vAlign w:val="center"/>
          </w:tcPr>
          <w:p w14:paraId="32F21C57" w14:textId="066BCBAF"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0D35F9F2" w14:textId="563DE53C"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6AC25F33" w14:textId="76208A6F"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3DCB20C3" w14:textId="12AAAB78" w:rsidR="005100AC" w:rsidRPr="00E20D21" w:rsidRDefault="005100AC" w:rsidP="00DC1C45">
            <w:pPr>
              <w:jc w:val="right"/>
              <w:rPr>
                <w:rFonts w:ascii="CAIXA Std Book" w:hAnsi="CAIXA Std Book" w:cs="Calibri"/>
                <w:color w:val="005CA9"/>
                <w:sz w:val="13"/>
                <w:szCs w:val="13"/>
              </w:rPr>
            </w:pPr>
            <w:r w:rsidRPr="00E20D21">
              <w:rPr>
                <w:rFonts w:ascii="CAIXA Std Book" w:hAnsi="CAIXA Std Book" w:cs="Calibri"/>
                <w:color w:val="005CA9"/>
                <w:sz w:val="13"/>
                <w:szCs w:val="13"/>
              </w:rPr>
              <w:t>15.036</w:t>
            </w:r>
          </w:p>
        </w:tc>
      </w:tr>
      <w:tr w:rsidR="00312447" w:rsidRPr="00E20D21" w14:paraId="465483D6" w14:textId="77777777" w:rsidTr="005100AC">
        <w:trPr>
          <w:trHeight w:val="181"/>
        </w:trPr>
        <w:tc>
          <w:tcPr>
            <w:tcW w:w="2977" w:type="dxa"/>
            <w:tcBorders>
              <w:top w:val="nil"/>
              <w:left w:val="nil"/>
              <w:bottom w:val="nil"/>
              <w:right w:val="nil"/>
            </w:tcBorders>
            <w:shd w:val="clear" w:color="auto" w:fill="auto"/>
            <w:vAlign w:val="center"/>
            <w:hideMark/>
          </w:tcPr>
          <w:p w14:paraId="6B9C8F62" w14:textId="554E622F" w:rsidR="005100AC" w:rsidRPr="00E20D21" w:rsidRDefault="005100AC" w:rsidP="005100AC">
            <w:pPr>
              <w:rPr>
                <w:rFonts w:ascii="CAIXA Std Book" w:hAnsi="CAIXA Std Book"/>
                <w:color w:val="005CA9"/>
                <w:sz w:val="13"/>
                <w:szCs w:val="13"/>
              </w:rPr>
            </w:pPr>
            <w:r w:rsidRPr="00E20D21">
              <w:rPr>
                <w:rFonts w:ascii="CAIXA Std Book" w:hAnsi="CAIXA Std Book" w:cs="Calibri"/>
                <w:color w:val="005CA9"/>
                <w:sz w:val="13"/>
                <w:szCs w:val="13"/>
              </w:rPr>
              <w:t>Títulos e valores mobiliários (</w:t>
            </w:r>
            <w:r w:rsidR="5AB1BA52" w:rsidRPr="00E20D21">
              <w:rPr>
                <w:rFonts w:ascii="CAIXA Std Book" w:hAnsi="CAIXA Std Book" w:cs="Calibri"/>
                <w:color w:val="005CA9"/>
                <w:sz w:val="13"/>
                <w:szCs w:val="13"/>
              </w:rPr>
              <w:t>2</w:t>
            </w:r>
            <w:r w:rsidRPr="00E20D21">
              <w:rPr>
                <w:rFonts w:ascii="CAIXA Std Book" w:hAnsi="CAIXA Std Book" w:cs="Calibri"/>
                <w:color w:val="005CA9"/>
                <w:sz w:val="13"/>
                <w:szCs w:val="13"/>
              </w:rPr>
              <w:t>)</w:t>
            </w:r>
          </w:p>
        </w:tc>
        <w:tc>
          <w:tcPr>
            <w:tcW w:w="1087" w:type="dxa"/>
            <w:tcBorders>
              <w:top w:val="nil"/>
              <w:left w:val="nil"/>
              <w:bottom w:val="nil"/>
              <w:right w:val="nil"/>
            </w:tcBorders>
            <w:shd w:val="clear" w:color="auto" w:fill="auto"/>
            <w:noWrap/>
            <w:vAlign w:val="center"/>
          </w:tcPr>
          <w:p w14:paraId="7035A5A6" w14:textId="216457DF" w:rsidR="005100AC" w:rsidRPr="00E20D21" w:rsidRDefault="004F3C11"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275.838.056</w:t>
            </w:r>
          </w:p>
        </w:tc>
        <w:tc>
          <w:tcPr>
            <w:tcW w:w="1121" w:type="dxa"/>
            <w:tcBorders>
              <w:top w:val="nil"/>
              <w:left w:val="nil"/>
              <w:bottom w:val="nil"/>
              <w:right w:val="nil"/>
            </w:tcBorders>
            <w:shd w:val="clear" w:color="auto" w:fill="auto"/>
            <w:noWrap/>
            <w:vAlign w:val="center"/>
          </w:tcPr>
          <w:p w14:paraId="5520C5AB" w14:textId="218BB84A" w:rsidR="005100AC" w:rsidRPr="00E20D21" w:rsidRDefault="004F3C11"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654C0E68" w14:textId="0829C428" w:rsidR="005100AC" w:rsidRPr="00E20D21" w:rsidRDefault="004F3C11"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31D18B17" w14:textId="56DD78D4" w:rsidR="005100AC" w:rsidRPr="00E20D21" w:rsidRDefault="00745760"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4ED1CCFE" w14:textId="3F235527" w:rsidR="005100AC" w:rsidRPr="00E20D21" w:rsidRDefault="00745760"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1.301.732</w:t>
            </w:r>
          </w:p>
        </w:tc>
        <w:tc>
          <w:tcPr>
            <w:tcW w:w="1034" w:type="dxa"/>
            <w:tcBorders>
              <w:top w:val="nil"/>
              <w:left w:val="nil"/>
              <w:bottom w:val="nil"/>
              <w:right w:val="nil"/>
            </w:tcBorders>
            <w:shd w:val="clear" w:color="auto" w:fill="auto"/>
            <w:noWrap/>
            <w:vAlign w:val="center"/>
          </w:tcPr>
          <w:p w14:paraId="61B20BBB" w14:textId="43FD9137"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262.101.501</w:t>
            </w:r>
          </w:p>
        </w:tc>
        <w:tc>
          <w:tcPr>
            <w:tcW w:w="1156" w:type="dxa"/>
            <w:tcBorders>
              <w:top w:val="nil"/>
              <w:left w:val="nil"/>
              <w:bottom w:val="nil"/>
              <w:right w:val="nil"/>
            </w:tcBorders>
            <w:shd w:val="clear" w:color="auto" w:fill="auto"/>
            <w:noWrap/>
            <w:vAlign w:val="center"/>
          </w:tcPr>
          <w:p w14:paraId="0678EE83" w14:textId="5804A23A"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6862C871" w14:textId="0CCFACE2"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30B08160" w14:textId="1CCE13B6"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7E60100B" w14:textId="59361913"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2.076.590</w:t>
            </w:r>
          </w:p>
        </w:tc>
      </w:tr>
      <w:tr w:rsidR="00312447" w:rsidRPr="00E20D21" w14:paraId="586410F0" w14:textId="77777777" w:rsidTr="00DC1C45">
        <w:trPr>
          <w:trHeight w:val="181"/>
        </w:trPr>
        <w:tc>
          <w:tcPr>
            <w:tcW w:w="2977" w:type="dxa"/>
            <w:tcBorders>
              <w:top w:val="nil"/>
              <w:left w:val="nil"/>
              <w:bottom w:val="nil"/>
              <w:right w:val="nil"/>
            </w:tcBorders>
            <w:shd w:val="clear" w:color="auto" w:fill="auto"/>
            <w:vAlign w:val="center"/>
            <w:hideMark/>
          </w:tcPr>
          <w:p w14:paraId="33527CBD" w14:textId="5D3D5373" w:rsidR="005100AC" w:rsidRPr="00E20D21" w:rsidRDefault="005100AC" w:rsidP="005100AC">
            <w:pPr>
              <w:rPr>
                <w:rFonts w:ascii="CAIXA Std Book" w:hAnsi="CAIXA Std Book"/>
                <w:color w:val="005CA9"/>
                <w:sz w:val="13"/>
                <w:szCs w:val="13"/>
              </w:rPr>
            </w:pPr>
            <w:r w:rsidRPr="00E20D21">
              <w:rPr>
                <w:rFonts w:ascii="CAIXA Std Book" w:hAnsi="CAIXA Std Book" w:cs="Calibri"/>
                <w:color w:val="005CA9"/>
                <w:sz w:val="13"/>
                <w:szCs w:val="13"/>
              </w:rPr>
              <w:t>Rendas a receber</w:t>
            </w:r>
            <w:r w:rsidR="0055D4BC" w:rsidRPr="00E20D21">
              <w:rPr>
                <w:rFonts w:ascii="CAIXA Std Book" w:hAnsi="CAIXA Std Book" w:cs="Calibri"/>
                <w:color w:val="005CA9"/>
                <w:sz w:val="13"/>
                <w:szCs w:val="13"/>
              </w:rPr>
              <w:t xml:space="preserve"> (3)</w:t>
            </w:r>
          </w:p>
        </w:tc>
        <w:tc>
          <w:tcPr>
            <w:tcW w:w="1087" w:type="dxa"/>
            <w:tcBorders>
              <w:top w:val="nil"/>
              <w:left w:val="nil"/>
              <w:bottom w:val="nil"/>
              <w:right w:val="nil"/>
            </w:tcBorders>
            <w:shd w:val="clear" w:color="auto" w:fill="auto"/>
            <w:noWrap/>
            <w:vAlign w:val="center"/>
          </w:tcPr>
          <w:p w14:paraId="7E8829E2" w14:textId="642178BA" w:rsidR="005100AC" w:rsidRPr="00E20D21" w:rsidRDefault="002F3F7A"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18</w:t>
            </w:r>
            <w:r w:rsidR="0053655D" w:rsidRPr="00E20D21">
              <w:rPr>
                <w:rFonts w:ascii="CAIXA Std Book" w:hAnsi="CAIXA Std Book" w:cs="Calibri"/>
                <w:color w:val="005CA9"/>
                <w:sz w:val="13"/>
                <w:szCs w:val="13"/>
              </w:rPr>
              <w:t>5.809</w:t>
            </w:r>
          </w:p>
        </w:tc>
        <w:tc>
          <w:tcPr>
            <w:tcW w:w="1121" w:type="dxa"/>
            <w:tcBorders>
              <w:top w:val="nil"/>
              <w:left w:val="nil"/>
              <w:bottom w:val="nil"/>
              <w:right w:val="nil"/>
            </w:tcBorders>
            <w:shd w:val="clear" w:color="auto" w:fill="auto"/>
            <w:noWrap/>
            <w:vAlign w:val="center"/>
          </w:tcPr>
          <w:p w14:paraId="48BBD164" w14:textId="00E2A356" w:rsidR="005100AC" w:rsidRPr="00E20D21" w:rsidRDefault="004644FB" w:rsidP="00DC1C45">
            <w:pPr>
              <w:jc w:val="right"/>
              <w:rPr>
                <w:rFonts w:ascii="CAIXA Std Book" w:hAnsi="CAIXA Std Book" w:cs="Calibri"/>
                <w:color w:val="005CA9"/>
                <w:sz w:val="13"/>
                <w:szCs w:val="13"/>
              </w:rPr>
            </w:pPr>
            <w:r w:rsidRPr="00E20D21">
              <w:rPr>
                <w:rFonts w:ascii="CAIXA Std Book" w:hAnsi="CAIXA Std Book" w:cs="Calibri"/>
                <w:color w:val="005CA9"/>
                <w:sz w:val="13"/>
                <w:szCs w:val="13"/>
              </w:rPr>
              <w:t>14.037</w:t>
            </w:r>
          </w:p>
        </w:tc>
        <w:tc>
          <w:tcPr>
            <w:tcW w:w="1121" w:type="dxa"/>
            <w:tcBorders>
              <w:top w:val="nil"/>
              <w:left w:val="nil"/>
              <w:bottom w:val="nil"/>
              <w:right w:val="nil"/>
            </w:tcBorders>
            <w:shd w:val="clear" w:color="auto" w:fill="auto"/>
            <w:noWrap/>
            <w:vAlign w:val="center"/>
          </w:tcPr>
          <w:p w14:paraId="685CC0C4" w14:textId="6EAFA6CC" w:rsidR="005100AC" w:rsidRPr="00E20D21" w:rsidRDefault="005E69A6"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295.379</w:t>
            </w:r>
          </w:p>
        </w:tc>
        <w:tc>
          <w:tcPr>
            <w:tcW w:w="1106" w:type="dxa"/>
            <w:tcBorders>
              <w:top w:val="nil"/>
              <w:left w:val="nil"/>
              <w:bottom w:val="nil"/>
              <w:right w:val="nil"/>
            </w:tcBorders>
            <w:shd w:val="clear" w:color="auto" w:fill="auto"/>
            <w:noWrap/>
            <w:vAlign w:val="center"/>
          </w:tcPr>
          <w:p w14:paraId="495C1E6E" w14:textId="639EC70F" w:rsidR="005100AC" w:rsidRPr="00E20D21" w:rsidRDefault="005E69A6"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6E084C22" w14:textId="0B29771E" w:rsidR="005100AC" w:rsidRPr="00E20D21" w:rsidRDefault="00CC38D5"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604.</w:t>
            </w:r>
            <w:r w:rsidR="00DB1BAE" w:rsidRPr="00E20D21">
              <w:rPr>
                <w:rFonts w:ascii="CAIXA Std Book" w:hAnsi="CAIXA Std Book" w:cs="Calibri"/>
                <w:color w:val="005CA9"/>
                <w:sz w:val="13"/>
                <w:szCs w:val="13"/>
              </w:rPr>
              <w:t>967</w:t>
            </w:r>
          </w:p>
        </w:tc>
        <w:tc>
          <w:tcPr>
            <w:tcW w:w="1034" w:type="dxa"/>
            <w:tcBorders>
              <w:top w:val="nil"/>
              <w:left w:val="nil"/>
              <w:bottom w:val="nil"/>
              <w:right w:val="nil"/>
            </w:tcBorders>
            <w:shd w:val="clear" w:color="auto" w:fill="auto"/>
            <w:noWrap/>
            <w:vAlign w:val="center"/>
          </w:tcPr>
          <w:p w14:paraId="4F5D9CF3" w14:textId="6A737072"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600.645</w:t>
            </w:r>
          </w:p>
        </w:tc>
        <w:tc>
          <w:tcPr>
            <w:tcW w:w="1156" w:type="dxa"/>
            <w:tcBorders>
              <w:top w:val="nil"/>
              <w:left w:val="nil"/>
              <w:bottom w:val="nil"/>
              <w:right w:val="nil"/>
            </w:tcBorders>
            <w:shd w:val="clear" w:color="auto" w:fill="auto"/>
            <w:noWrap/>
            <w:vAlign w:val="center"/>
          </w:tcPr>
          <w:p w14:paraId="555B05FF" w14:textId="4ACDCCB5" w:rsidR="005100AC" w:rsidRPr="00E20D21" w:rsidRDefault="005100AC" w:rsidP="00DC1C45">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2001DACF" w14:textId="47EFACF5" w:rsidR="005100AC" w:rsidRPr="00E20D21" w:rsidRDefault="005100AC" w:rsidP="00603C88">
            <w:pPr>
              <w:jc w:val="right"/>
              <w:rPr>
                <w:rFonts w:ascii="CAIXA Std Book" w:hAnsi="CAIXA Std Book" w:cs="Calibri"/>
                <w:color w:val="005CA9"/>
                <w:sz w:val="13"/>
                <w:szCs w:val="13"/>
              </w:rPr>
            </w:pPr>
            <w:r w:rsidRPr="00E20D21">
              <w:rPr>
                <w:rFonts w:ascii="CAIXA Std Book" w:hAnsi="CAIXA Std Book" w:cs="Calibri"/>
                <w:color w:val="005CA9"/>
                <w:sz w:val="13"/>
                <w:szCs w:val="13"/>
              </w:rPr>
              <w:t>218.972</w:t>
            </w:r>
          </w:p>
        </w:tc>
        <w:tc>
          <w:tcPr>
            <w:tcW w:w="1161" w:type="dxa"/>
            <w:tcBorders>
              <w:top w:val="nil"/>
              <w:left w:val="nil"/>
              <w:bottom w:val="nil"/>
              <w:right w:val="nil"/>
            </w:tcBorders>
            <w:shd w:val="clear" w:color="auto" w:fill="auto"/>
            <w:noWrap/>
            <w:vAlign w:val="center"/>
          </w:tcPr>
          <w:p w14:paraId="02340282" w14:textId="1A22BBD9"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2050D765" w14:textId="61C4B55E"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186.319</w:t>
            </w:r>
          </w:p>
        </w:tc>
      </w:tr>
      <w:tr w:rsidR="00312447" w:rsidRPr="00E20D21" w14:paraId="69CD0384" w14:textId="77777777" w:rsidTr="00DC1C45">
        <w:trPr>
          <w:trHeight w:val="181"/>
        </w:trPr>
        <w:tc>
          <w:tcPr>
            <w:tcW w:w="2977" w:type="dxa"/>
            <w:tcBorders>
              <w:top w:val="nil"/>
              <w:left w:val="nil"/>
              <w:bottom w:val="nil"/>
              <w:right w:val="nil"/>
            </w:tcBorders>
            <w:shd w:val="clear" w:color="auto" w:fill="auto"/>
            <w:vAlign w:val="center"/>
            <w:hideMark/>
          </w:tcPr>
          <w:p w14:paraId="11EAB077" w14:textId="0DB046AB" w:rsidR="005100AC" w:rsidRPr="00E20D21" w:rsidRDefault="005100AC" w:rsidP="005100AC">
            <w:pPr>
              <w:rPr>
                <w:rFonts w:ascii="CAIXA Std Book" w:hAnsi="CAIXA Std Book"/>
                <w:color w:val="005CA9"/>
                <w:sz w:val="13"/>
                <w:szCs w:val="13"/>
              </w:rPr>
            </w:pPr>
            <w:r w:rsidRPr="00E20D21">
              <w:rPr>
                <w:rFonts w:ascii="CAIXA Std Book" w:hAnsi="CAIXA Std Book" w:cs="Calibri"/>
                <w:color w:val="005CA9"/>
                <w:sz w:val="13"/>
                <w:szCs w:val="13"/>
              </w:rPr>
              <w:t>Carteira de crédito (</w:t>
            </w:r>
            <w:r w:rsidR="1E1469FE" w:rsidRPr="00E20D21">
              <w:rPr>
                <w:rFonts w:ascii="CAIXA Std Book" w:hAnsi="CAIXA Std Book" w:cs="Calibri"/>
                <w:color w:val="005CA9"/>
                <w:sz w:val="13"/>
                <w:szCs w:val="13"/>
              </w:rPr>
              <w:t>4</w:t>
            </w:r>
            <w:r w:rsidRPr="00E20D21">
              <w:rPr>
                <w:rFonts w:ascii="CAIXA Std Book" w:hAnsi="CAIXA Std Book" w:cs="Calibri"/>
                <w:color w:val="005CA9"/>
                <w:sz w:val="13"/>
                <w:szCs w:val="13"/>
              </w:rPr>
              <w:t>)</w:t>
            </w:r>
          </w:p>
        </w:tc>
        <w:tc>
          <w:tcPr>
            <w:tcW w:w="1087" w:type="dxa"/>
            <w:tcBorders>
              <w:top w:val="nil"/>
              <w:left w:val="nil"/>
              <w:bottom w:val="nil"/>
              <w:right w:val="nil"/>
            </w:tcBorders>
            <w:shd w:val="clear" w:color="auto" w:fill="auto"/>
            <w:noWrap/>
            <w:vAlign w:val="center"/>
          </w:tcPr>
          <w:p w14:paraId="73808092" w14:textId="50D4D5BC" w:rsidR="005100AC" w:rsidRPr="00E20D21" w:rsidRDefault="00886E5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62</w:t>
            </w:r>
          </w:p>
        </w:tc>
        <w:tc>
          <w:tcPr>
            <w:tcW w:w="1121" w:type="dxa"/>
            <w:tcBorders>
              <w:top w:val="nil"/>
              <w:left w:val="nil"/>
              <w:bottom w:val="nil"/>
              <w:right w:val="nil"/>
            </w:tcBorders>
            <w:shd w:val="clear" w:color="auto" w:fill="auto"/>
            <w:noWrap/>
            <w:vAlign w:val="center"/>
          </w:tcPr>
          <w:p w14:paraId="23D15BD9" w14:textId="101880B1" w:rsidR="005100AC" w:rsidRPr="00E20D21" w:rsidRDefault="00886E5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31BD6295" w14:textId="170DAF4A" w:rsidR="005100AC" w:rsidRPr="00E20D21" w:rsidRDefault="00886E5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497BC44C" w14:textId="24D670BF" w:rsidR="005100AC" w:rsidRPr="00E20D21" w:rsidRDefault="00886E5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498.800</w:t>
            </w:r>
          </w:p>
        </w:tc>
        <w:tc>
          <w:tcPr>
            <w:tcW w:w="1235" w:type="dxa"/>
            <w:tcBorders>
              <w:top w:val="nil"/>
              <w:left w:val="nil"/>
              <w:bottom w:val="nil"/>
            </w:tcBorders>
            <w:shd w:val="clear" w:color="auto" w:fill="auto"/>
            <w:noWrap/>
            <w:vAlign w:val="center"/>
          </w:tcPr>
          <w:p w14:paraId="2C266D1B" w14:textId="51AC3632" w:rsidR="005100AC" w:rsidRPr="00E20D21" w:rsidRDefault="00886E5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2.735.841</w:t>
            </w:r>
          </w:p>
        </w:tc>
        <w:tc>
          <w:tcPr>
            <w:tcW w:w="1034" w:type="dxa"/>
            <w:tcBorders>
              <w:top w:val="nil"/>
              <w:left w:val="nil"/>
              <w:bottom w:val="nil"/>
              <w:right w:val="nil"/>
            </w:tcBorders>
            <w:shd w:val="clear" w:color="auto" w:fill="auto"/>
            <w:noWrap/>
            <w:vAlign w:val="center"/>
          </w:tcPr>
          <w:p w14:paraId="593461F3" w14:textId="7BEA672E"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63</w:t>
            </w:r>
          </w:p>
        </w:tc>
        <w:tc>
          <w:tcPr>
            <w:tcW w:w="1156" w:type="dxa"/>
            <w:tcBorders>
              <w:top w:val="nil"/>
              <w:left w:val="nil"/>
              <w:bottom w:val="nil"/>
              <w:right w:val="nil"/>
            </w:tcBorders>
            <w:shd w:val="clear" w:color="auto" w:fill="auto"/>
            <w:noWrap/>
            <w:vAlign w:val="center"/>
          </w:tcPr>
          <w:p w14:paraId="499E8982" w14:textId="1945FF83"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620E1F16" w14:textId="0CA0E7F1" w:rsidR="005100AC" w:rsidRPr="00E20D21" w:rsidRDefault="005100AC" w:rsidP="00DC1C45">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52CB672F" w14:textId="47D893EA"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528.966</w:t>
            </w:r>
          </w:p>
        </w:tc>
        <w:tc>
          <w:tcPr>
            <w:tcW w:w="1441" w:type="dxa"/>
            <w:tcBorders>
              <w:top w:val="nil"/>
              <w:left w:val="nil"/>
              <w:bottom w:val="nil"/>
            </w:tcBorders>
            <w:shd w:val="clear" w:color="auto" w:fill="auto"/>
            <w:noWrap/>
            <w:vAlign w:val="center"/>
          </w:tcPr>
          <w:p w14:paraId="604247E5" w14:textId="1325E088"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2.795.369</w:t>
            </w:r>
          </w:p>
        </w:tc>
      </w:tr>
      <w:tr w:rsidR="00312447" w:rsidRPr="00E20D21" w14:paraId="0172D74B" w14:textId="77777777" w:rsidTr="005100AC">
        <w:trPr>
          <w:trHeight w:val="181"/>
        </w:trPr>
        <w:tc>
          <w:tcPr>
            <w:tcW w:w="2977" w:type="dxa"/>
            <w:tcBorders>
              <w:top w:val="nil"/>
              <w:left w:val="nil"/>
              <w:bottom w:val="nil"/>
              <w:right w:val="nil"/>
            </w:tcBorders>
            <w:shd w:val="clear" w:color="auto" w:fill="auto"/>
            <w:vAlign w:val="center"/>
            <w:hideMark/>
          </w:tcPr>
          <w:p w14:paraId="790CCB4C" w14:textId="77777777" w:rsidR="005100AC" w:rsidRPr="00E20D21" w:rsidRDefault="005100AC" w:rsidP="005100AC">
            <w:pPr>
              <w:rPr>
                <w:rFonts w:ascii="CAIXA Std Book" w:hAnsi="CAIXA Std Book"/>
                <w:color w:val="005CA9"/>
                <w:sz w:val="13"/>
                <w:szCs w:val="13"/>
              </w:rPr>
            </w:pPr>
            <w:r w:rsidRPr="00E20D21">
              <w:rPr>
                <w:rFonts w:ascii="CAIXA Std Book" w:hAnsi="CAIXA Std Book" w:cs="Calibri"/>
                <w:color w:val="005CA9"/>
                <w:sz w:val="13"/>
                <w:szCs w:val="13"/>
              </w:rPr>
              <w:t xml:space="preserve">Provisões para operações de crédito </w:t>
            </w:r>
          </w:p>
        </w:tc>
        <w:tc>
          <w:tcPr>
            <w:tcW w:w="1087" w:type="dxa"/>
            <w:tcBorders>
              <w:top w:val="nil"/>
              <w:left w:val="nil"/>
              <w:bottom w:val="nil"/>
              <w:right w:val="nil"/>
            </w:tcBorders>
            <w:shd w:val="clear" w:color="auto" w:fill="auto"/>
            <w:noWrap/>
            <w:vAlign w:val="center"/>
          </w:tcPr>
          <w:p w14:paraId="7AE01579" w14:textId="169B3789" w:rsidR="005100AC" w:rsidRPr="00E20D21" w:rsidRDefault="00F213F3"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01A4AE55" w14:textId="5BAE4A8D" w:rsidR="005100AC" w:rsidRPr="00E20D21" w:rsidRDefault="00F213F3"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25C0B199" w14:textId="486EDD83" w:rsidR="005100AC" w:rsidRPr="00E20D21" w:rsidRDefault="00F213F3"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6C69EF55" w14:textId="12589058" w:rsidR="005100AC" w:rsidRPr="00E20D21" w:rsidRDefault="00F213F3"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(470.805)</w:t>
            </w:r>
          </w:p>
        </w:tc>
        <w:tc>
          <w:tcPr>
            <w:tcW w:w="1235" w:type="dxa"/>
            <w:tcBorders>
              <w:top w:val="nil"/>
              <w:left w:val="nil"/>
              <w:bottom w:val="nil"/>
            </w:tcBorders>
            <w:shd w:val="clear" w:color="auto" w:fill="auto"/>
            <w:noWrap/>
            <w:vAlign w:val="center"/>
          </w:tcPr>
          <w:p w14:paraId="370F706D" w14:textId="035C210D" w:rsidR="005100AC" w:rsidRPr="00E20D21" w:rsidRDefault="00F213F3"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(821)</w:t>
            </w:r>
          </w:p>
        </w:tc>
        <w:tc>
          <w:tcPr>
            <w:tcW w:w="1034" w:type="dxa"/>
            <w:tcBorders>
              <w:top w:val="nil"/>
              <w:left w:val="nil"/>
              <w:bottom w:val="nil"/>
              <w:right w:val="nil"/>
            </w:tcBorders>
            <w:shd w:val="clear" w:color="auto" w:fill="auto"/>
            <w:noWrap/>
            <w:vAlign w:val="center"/>
          </w:tcPr>
          <w:p w14:paraId="6658CE0D" w14:textId="01419182"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56" w:type="dxa"/>
            <w:tcBorders>
              <w:top w:val="nil"/>
              <w:left w:val="nil"/>
              <w:bottom w:val="nil"/>
              <w:right w:val="nil"/>
            </w:tcBorders>
            <w:shd w:val="clear" w:color="auto" w:fill="auto"/>
            <w:noWrap/>
            <w:vAlign w:val="center"/>
          </w:tcPr>
          <w:p w14:paraId="77E5BB5C" w14:textId="4D7419BF"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4351B52D" w14:textId="523430A6"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30A069D2" w14:textId="13E56203" w:rsidR="005100AC" w:rsidRPr="00E20D21" w:rsidRDefault="008E55C9"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w:t>
            </w:r>
            <w:r w:rsidR="005100AC" w:rsidRPr="00E20D21">
              <w:rPr>
                <w:rFonts w:ascii="CAIXA Std Book" w:hAnsi="CAIXA Std Book" w:cs="Calibri"/>
                <w:color w:val="005CA9"/>
                <w:sz w:val="13"/>
                <w:szCs w:val="13"/>
              </w:rPr>
              <w:t>496.780</w:t>
            </w: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15087B67" w14:textId="24AF3DC6"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(839)</w:t>
            </w:r>
          </w:p>
        </w:tc>
      </w:tr>
      <w:tr w:rsidR="00312447" w:rsidRPr="00E20D21" w14:paraId="52882D46" w14:textId="77777777" w:rsidTr="00DC1C45">
        <w:trPr>
          <w:trHeight w:val="181"/>
        </w:trPr>
        <w:tc>
          <w:tcPr>
            <w:tcW w:w="2977" w:type="dxa"/>
            <w:tcBorders>
              <w:top w:val="nil"/>
              <w:left w:val="nil"/>
              <w:bottom w:val="nil"/>
              <w:right w:val="nil"/>
            </w:tcBorders>
            <w:shd w:val="clear" w:color="auto" w:fill="auto"/>
            <w:vAlign w:val="center"/>
            <w:hideMark/>
          </w:tcPr>
          <w:p w14:paraId="2DBA068E" w14:textId="738A0507" w:rsidR="005100AC" w:rsidRPr="00E20D21" w:rsidRDefault="005100AC" w:rsidP="005100AC">
            <w:pPr>
              <w:rPr>
                <w:rFonts w:ascii="CAIXA Std Book" w:hAnsi="CAIXA Std Book"/>
                <w:color w:val="005CA9"/>
                <w:sz w:val="13"/>
                <w:szCs w:val="13"/>
              </w:rPr>
            </w:pPr>
            <w:r w:rsidRPr="00E20D21">
              <w:rPr>
                <w:rFonts w:ascii="CAIXA Std Book" w:hAnsi="CAIXA Std Book" w:cs="Calibri"/>
                <w:color w:val="005CA9"/>
                <w:sz w:val="13"/>
                <w:szCs w:val="13"/>
              </w:rPr>
              <w:t>Outros créditos (</w:t>
            </w:r>
            <w:r w:rsidR="08013EC5" w:rsidRPr="00E20D21">
              <w:rPr>
                <w:rFonts w:ascii="CAIXA Std Book" w:hAnsi="CAIXA Std Book" w:cs="Calibri"/>
                <w:color w:val="005CA9"/>
                <w:sz w:val="13"/>
                <w:szCs w:val="13"/>
              </w:rPr>
              <w:t>5</w:t>
            </w:r>
            <w:r w:rsidRPr="00E20D21">
              <w:rPr>
                <w:rFonts w:ascii="CAIXA Std Book" w:hAnsi="CAIXA Std Book" w:cs="Calibri"/>
                <w:color w:val="005CA9"/>
                <w:sz w:val="13"/>
                <w:szCs w:val="13"/>
              </w:rPr>
              <w:t>)</w:t>
            </w:r>
          </w:p>
        </w:tc>
        <w:tc>
          <w:tcPr>
            <w:tcW w:w="1087" w:type="dxa"/>
            <w:tcBorders>
              <w:top w:val="nil"/>
              <w:left w:val="nil"/>
              <w:bottom w:val="nil"/>
              <w:right w:val="nil"/>
            </w:tcBorders>
            <w:shd w:val="clear" w:color="auto" w:fill="auto"/>
            <w:noWrap/>
            <w:vAlign w:val="center"/>
          </w:tcPr>
          <w:p w14:paraId="549A32CD" w14:textId="0B3FFF7C" w:rsidR="005100AC" w:rsidRPr="00E20D21" w:rsidRDefault="000F704F" w:rsidP="00DC1C45">
            <w:pPr>
              <w:jc w:val="right"/>
              <w:rPr>
                <w:rFonts w:ascii="CAIXA Std Book" w:hAnsi="CAIXA Std Book" w:cs="Calibri"/>
                <w:color w:val="005CA9"/>
                <w:sz w:val="13"/>
                <w:szCs w:val="13"/>
              </w:rPr>
            </w:pPr>
            <w:r w:rsidRPr="00E20D21">
              <w:rPr>
                <w:rFonts w:ascii="CAIXA Std Book" w:hAnsi="CAIXA Std Book" w:cs="Calibri"/>
                <w:color w:val="005CA9"/>
                <w:sz w:val="13"/>
                <w:szCs w:val="13"/>
              </w:rPr>
              <w:t>2.218.855</w:t>
            </w:r>
          </w:p>
        </w:tc>
        <w:tc>
          <w:tcPr>
            <w:tcW w:w="1121" w:type="dxa"/>
            <w:tcBorders>
              <w:top w:val="nil"/>
              <w:left w:val="nil"/>
              <w:bottom w:val="nil"/>
              <w:right w:val="nil"/>
            </w:tcBorders>
            <w:shd w:val="clear" w:color="auto" w:fill="auto"/>
            <w:noWrap/>
            <w:vAlign w:val="center"/>
          </w:tcPr>
          <w:p w14:paraId="3A9BD72D" w14:textId="72062A73" w:rsidR="005100AC" w:rsidRPr="00E20D21" w:rsidRDefault="000F704F"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53</w:t>
            </w:r>
          </w:p>
        </w:tc>
        <w:tc>
          <w:tcPr>
            <w:tcW w:w="1121" w:type="dxa"/>
            <w:tcBorders>
              <w:top w:val="nil"/>
              <w:left w:val="nil"/>
              <w:bottom w:val="nil"/>
              <w:right w:val="nil"/>
            </w:tcBorders>
            <w:shd w:val="clear" w:color="auto" w:fill="auto"/>
            <w:noWrap/>
            <w:vAlign w:val="center"/>
          </w:tcPr>
          <w:p w14:paraId="079A9C56" w14:textId="71977057" w:rsidR="005100AC" w:rsidRPr="00E20D21" w:rsidRDefault="000F704F"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w:t>
            </w:r>
          </w:p>
        </w:tc>
        <w:tc>
          <w:tcPr>
            <w:tcW w:w="1106" w:type="dxa"/>
            <w:tcBorders>
              <w:top w:val="nil"/>
              <w:left w:val="nil"/>
              <w:bottom w:val="nil"/>
              <w:right w:val="nil"/>
            </w:tcBorders>
            <w:shd w:val="clear" w:color="auto" w:fill="auto"/>
            <w:noWrap/>
            <w:vAlign w:val="center"/>
          </w:tcPr>
          <w:p w14:paraId="516C518E" w14:textId="33F380FA" w:rsidR="005100AC" w:rsidRPr="00E20D21" w:rsidRDefault="000F704F"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2.059</w:t>
            </w:r>
          </w:p>
        </w:tc>
        <w:tc>
          <w:tcPr>
            <w:tcW w:w="1235" w:type="dxa"/>
            <w:tcBorders>
              <w:top w:val="nil"/>
              <w:left w:val="nil"/>
              <w:bottom w:val="nil"/>
            </w:tcBorders>
            <w:shd w:val="clear" w:color="auto" w:fill="auto"/>
            <w:noWrap/>
            <w:vAlign w:val="center"/>
          </w:tcPr>
          <w:p w14:paraId="438184E9" w14:textId="60A302A7" w:rsidR="005100AC" w:rsidRPr="00E20D21" w:rsidRDefault="000F704F"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41.330.960</w:t>
            </w:r>
          </w:p>
        </w:tc>
        <w:tc>
          <w:tcPr>
            <w:tcW w:w="1034" w:type="dxa"/>
            <w:tcBorders>
              <w:top w:val="nil"/>
              <w:left w:val="nil"/>
              <w:bottom w:val="nil"/>
              <w:right w:val="nil"/>
            </w:tcBorders>
            <w:shd w:val="clear" w:color="auto" w:fill="auto"/>
            <w:noWrap/>
            <w:vAlign w:val="center"/>
          </w:tcPr>
          <w:p w14:paraId="5AD4ADB1" w14:textId="771D8E37"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2.203.208</w:t>
            </w:r>
          </w:p>
        </w:tc>
        <w:tc>
          <w:tcPr>
            <w:tcW w:w="1156" w:type="dxa"/>
            <w:tcBorders>
              <w:top w:val="nil"/>
              <w:left w:val="nil"/>
              <w:bottom w:val="nil"/>
              <w:right w:val="nil"/>
            </w:tcBorders>
            <w:shd w:val="clear" w:color="auto" w:fill="auto"/>
            <w:noWrap/>
            <w:vAlign w:val="center"/>
          </w:tcPr>
          <w:p w14:paraId="2C185158" w14:textId="5F7D89B0"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18</w:t>
            </w:r>
          </w:p>
        </w:tc>
        <w:tc>
          <w:tcPr>
            <w:tcW w:w="1163" w:type="dxa"/>
            <w:tcBorders>
              <w:top w:val="nil"/>
              <w:left w:val="nil"/>
              <w:bottom w:val="nil"/>
              <w:right w:val="nil"/>
            </w:tcBorders>
            <w:shd w:val="clear" w:color="auto" w:fill="auto"/>
            <w:noWrap/>
            <w:vAlign w:val="center"/>
          </w:tcPr>
          <w:p w14:paraId="3BF561FA" w14:textId="2A3F8256"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58.458</w:t>
            </w:r>
          </w:p>
        </w:tc>
        <w:tc>
          <w:tcPr>
            <w:tcW w:w="1161" w:type="dxa"/>
            <w:tcBorders>
              <w:top w:val="nil"/>
              <w:left w:val="nil"/>
              <w:bottom w:val="nil"/>
              <w:right w:val="nil"/>
            </w:tcBorders>
            <w:shd w:val="clear" w:color="auto" w:fill="auto"/>
            <w:noWrap/>
            <w:vAlign w:val="center"/>
          </w:tcPr>
          <w:p w14:paraId="4FBC98D3" w14:textId="504F0952"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1.774</w:t>
            </w:r>
          </w:p>
        </w:tc>
        <w:tc>
          <w:tcPr>
            <w:tcW w:w="1441" w:type="dxa"/>
            <w:tcBorders>
              <w:top w:val="nil"/>
              <w:left w:val="nil"/>
              <w:bottom w:val="nil"/>
            </w:tcBorders>
            <w:shd w:val="clear" w:color="auto" w:fill="auto"/>
            <w:noWrap/>
            <w:vAlign w:val="center"/>
          </w:tcPr>
          <w:p w14:paraId="113FAACD" w14:textId="4DCCB2EB"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41.717.045</w:t>
            </w:r>
          </w:p>
        </w:tc>
      </w:tr>
      <w:tr w:rsidR="00312447" w:rsidRPr="00E20D21" w14:paraId="5211BCEA" w14:textId="77777777" w:rsidTr="00DC1C45">
        <w:trPr>
          <w:trHeight w:val="181"/>
        </w:trPr>
        <w:tc>
          <w:tcPr>
            <w:tcW w:w="2977" w:type="dxa"/>
            <w:tcBorders>
              <w:top w:val="nil"/>
              <w:left w:val="nil"/>
              <w:bottom w:val="nil"/>
              <w:right w:val="nil"/>
            </w:tcBorders>
            <w:shd w:val="clear" w:color="auto" w:fill="auto"/>
            <w:vAlign w:val="center"/>
            <w:hideMark/>
          </w:tcPr>
          <w:p w14:paraId="4D3DB61D" w14:textId="4BC4BD55" w:rsidR="005100AC" w:rsidRPr="00E20D21" w:rsidRDefault="005100AC" w:rsidP="005100AC">
            <w:pPr>
              <w:rPr>
                <w:rFonts w:ascii="CAIXA Std Book" w:hAnsi="CAIXA Std Book"/>
                <w:color w:val="005CA9"/>
                <w:sz w:val="13"/>
                <w:szCs w:val="13"/>
              </w:rPr>
            </w:pPr>
            <w:r w:rsidRPr="00E20D21">
              <w:rPr>
                <w:rFonts w:ascii="CAIXA Std Book" w:hAnsi="CAIXA Std Book" w:cs="Calibri"/>
                <w:color w:val="005CA9"/>
                <w:sz w:val="13"/>
                <w:szCs w:val="13"/>
              </w:rPr>
              <w:t>Provisões para outros créditos (</w:t>
            </w:r>
            <w:r w:rsidR="163D01CE" w:rsidRPr="00E20D21">
              <w:rPr>
                <w:rFonts w:ascii="CAIXA Std Book" w:hAnsi="CAIXA Std Book" w:cs="Calibri"/>
                <w:color w:val="005CA9"/>
                <w:sz w:val="13"/>
                <w:szCs w:val="13"/>
              </w:rPr>
              <w:t>6</w:t>
            </w:r>
            <w:r w:rsidRPr="00E20D21">
              <w:rPr>
                <w:rFonts w:ascii="CAIXA Std Book" w:hAnsi="CAIXA Std Book" w:cs="Calibri"/>
                <w:color w:val="005CA9"/>
                <w:sz w:val="13"/>
                <w:szCs w:val="13"/>
              </w:rPr>
              <w:t>)</w:t>
            </w:r>
          </w:p>
        </w:tc>
        <w:tc>
          <w:tcPr>
            <w:tcW w:w="1087" w:type="dxa"/>
            <w:tcBorders>
              <w:top w:val="nil"/>
              <w:left w:val="nil"/>
              <w:bottom w:val="nil"/>
              <w:right w:val="nil"/>
            </w:tcBorders>
            <w:shd w:val="clear" w:color="auto" w:fill="auto"/>
            <w:noWrap/>
            <w:vAlign w:val="center"/>
          </w:tcPr>
          <w:p w14:paraId="53804EA6" w14:textId="72ED0CA7" w:rsidR="005100AC" w:rsidRPr="00E20D21" w:rsidRDefault="00771C83" w:rsidP="00DC1C45">
            <w:pPr>
              <w:jc w:val="right"/>
              <w:rPr>
                <w:rFonts w:ascii="CAIXA Std Book" w:hAnsi="CAIXA Std Book" w:cs="Calibri"/>
                <w:color w:val="005CA9"/>
                <w:sz w:val="13"/>
                <w:szCs w:val="13"/>
              </w:rPr>
            </w:pPr>
            <w:r w:rsidRPr="00E20D21">
              <w:rPr>
                <w:rFonts w:ascii="CAIXA Std Book" w:hAnsi="CAIXA Std Book" w:cs="Calibri"/>
                <w:color w:val="005CA9"/>
                <w:sz w:val="13"/>
                <w:szCs w:val="13"/>
              </w:rPr>
              <w:t>(1.548.949)</w:t>
            </w:r>
          </w:p>
        </w:tc>
        <w:tc>
          <w:tcPr>
            <w:tcW w:w="1121" w:type="dxa"/>
            <w:tcBorders>
              <w:top w:val="nil"/>
              <w:left w:val="nil"/>
              <w:bottom w:val="nil"/>
              <w:right w:val="nil"/>
            </w:tcBorders>
            <w:shd w:val="clear" w:color="auto" w:fill="auto"/>
            <w:noWrap/>
            <w:vAlign w:val="center"/>
          </w:tcPr>
          <w:p w14:paraId="7C562785" w14:textId="0B0B5F81" w:rsidR="005100AC" w:rsidRPr="00E20D21" w:rsidRDefault="00771C83"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103704C4" w14:textId="24A08B70" w:rsidR="005100AC" w:rsidRPr="00E20D21" w:rsidRDefault="00450A27"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29BE98F7" w14:textId="31B653EB" w:rsidR="005100AC" w:rsidRPr="00E20D21" w:rsidRDefault="00450A27"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(25)</w:t>
            </w:r>
          </w:p>
        </w:tc>
        <w:tc>
          <w:tcPr>
            <w:tcW w:w="1235" w:type="dxa"/>
            <w:tcBorders>
              <w:top w:val="nil"/>
              <w:left w:val="nil"/>
              <w:bottom w:val="nil"/>
            </w:tcBorders>
            <w:shd w:val="clear" w:color="auto" w:fill="auto"/>
            <w:noWrap/>
            <w:vAlign w:val="center"/>
          </w:tcPr>
          <w:p w14:paraId="0FFEF355" w14:textId="22663B67" w:rsidR="005100AC" w:rsidRPr="00E20D21" w:rsidRDefault="00450A27"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(10.520.072)</w:t>
            </w:r>
          </w:p>
        </w:tc>
        <w:tc>
          <w:tcPr>
            <w:tcW w:w="1034" w:type="dxa"/>
            <w:tcBorders>
              <w:top w:val="nil"/>
              <w:left w:val="nil"/>
              <w:bottom w:val="nil"/>
              <w:right w:val="nil"/>
            </w:tcBorders>
            <w:shd w:val="clear" w:color="auto" w:fill="auto"/>
            <w:noWrap/>
            <w:vAlign w:val="center"/>
          </w:tcPr>
          <w:p w14:paraId="42C9AED0" w14:textId="210AB11B"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56" w:type="dxa"/>
            <w:tcBorders>
              <w:top w:val="nil"/>
              <w:left w:val="nil"/>
              <w:bottom w:val="nil"/>
              <w:right w:val="nil"/>
            </w:tcBorders>
            <w:shd w:val="clear" w:color="auto" w:fill="auto"/>
            <w:noWrap/>
            <w:vAlign w:val="center"/>
          </w:tcPr>
          <w:p w14:paraId="4E443E79" w14:textId="5311AD40"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2B1D8ACA" w14:textId="1F1B8B97"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27623144" w14:textId="7CE0FFBA" w:rsidR="005100AC" w:rsidRPr="00E20D21" w:rsidRDefault="008E55C9"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w:t>
            </w:r>
            <w:r w:rsidR="005100AC" w:rsidRPr="00E20D21">
              <w:rPr>
                <w:rFonts w:ascii="CAIXA Std Book" w:hAnsi="CAIXA Std Book" w:cs="Calibri"/>
                <w:color w:val="005CA9"/>
                <w:sz w:val="13"/>
                <w:szCs w:val="13"/>
              </w:rPr>
              <w:t>17</w:t>
            </w: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7D08B4EC" w14:textId="51F11331" w:rsidR="005100AC" w:rsidRPr="00E20D21" w:rsidRDefault="005100AC" w:rsidP="005100AC">
            <w:pPr>
              <w:jc w:val="right"/>
              <w:rPr>
                <w:rFonts w:ascii="CAIXA Std Book" w:hAnsi="CAIXA Std Book" w:cs="Calibri"/>
                <w:color w:val="005CA9"/>
                <w:sz w:val="13"/>
                <w:szCs w:val="13"/>
              </w:rPr>
            </w:pPr>
            <w:r w:rsidRPr="00E20D21">
              <w:rPr>
                <w:rFonts w:ascii="CAIXA Std Book" w:hAnsi="CAIXA Std Book" w:cs="Calibri"/>
                <w:color w:val="005CA9"/>
                <w:sz w:val="13"/>
                <w:szCs w:val="13"/>
              </w:rPr>
              <w:t>(9.417.547)</w:t>
            </w:r>
          </w:p>
        </w:tc>
      </w:tr>
      <w:tr w:rsidR="00E76E9C" w:rsidRPr="00E20D21" w14:paraId="4A55ABF8" w14:textId="77777777" w:rsidTr="00DC1C45">
        <w:trPr>
          <w:trHeight w:val="181"/>
        </w:trPr>
        <w:tc>
          <w:tcPr>
            <w:tcW w:w="2977" w:type="dxa"/>
            <w:tcBorders>
              <w:top w:val="nil"/>
              <w:left w:val="nil"/>
              <w:bottom w:val="single" w:sz="4" w:space="0" w:color="F79646" w:themeColor="accent6"/>
              <w:right w:val="nil"/>
            </w:tcBorders>
            <w:shd w:val="clear" w:color="auto" w:fill="auto"/>
            <w:vAlign w:val="center"/>
            <w:hideMark/>
          </w:tcPr>
          <w:p w14:paraId="0D894E87" w14:textId="77777777" w:rsidR="005100AC" w:rsidRPr="00E20D21" w:rsidRDefault="005100AC" w:rsidP="005100AC">
            <w:pPr>
              <w:rPr>
                <w:rFonts w:ascii="CAIXA Std Book" w:hAnsi="CAIXA Std Book"/>
                <w:color w:val="005CA9"/>
                <w:sz w:val="13"/>
                <w:szCs w:val="13"/>
              </w:rPr>
            </w:pPr>
            <w:r w:rsidRPr="00E20D21">
              <w:rPr>
                <w:rFonts w:ascii="CAIXA Std Book" w:hAnsi="CAIXA Std Book" w:cs="Calibri"/>
                <w:color w:val="005CA9"/>
                <w:sz w:val="13"/>
                <w:szCs w:val="13"/>
              </w:rPr>
              <w:t>Outros investimentos, valores e bens</w:t>
            </w:r>
          </w:p>
        </w:tc>
        <w:tc>
          <w:tcPr>
            <w:tcW w:w="1087" w:type="dxa"/>
            <w:tcBorders>
              <w:top w:val="nil"/>
              <w:left w:val="nil"/>
              <w:bottom w:val="nil"/>
              <w:right w:val="nil"/>
            </w:tcBorders>
            <w:shd w:val="clear" w:color="auto" w:fill="auto"/>
            <w:noWrap/>
            <w:vAlign w:val="center"/>
          </w:tcPr>
          <w:p w14:paraId="67964BA3" w14:textId="3DFE2215" w:rsidR="005100AC" w:rsidRPr="00E20D21" w:rsidRDefault="00DC1C45"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0BE087B5" w14:textId="596E62E8" w:rsidR="005100AC" w:rsidRPr="00E20D21" w:rsidRDefault="00DC1C45"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3FC2D5EA" w14:textId="7AD551F8" w:rsidR="005100AC" w:rsidRPr="00E20D21" w:rsidRDefault="00DC1C45"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30953D76" w14:textId="64B68250" w:rsidR="005100AC" w:rsidRPr="00E20D21" w:rsidRDefault="00DC1C45"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6863AE55" w14:textId="29F45FCD" w:rsidR="005100AC" w:rsidRPr="00E20D21" w:rsidRDefault="00DC1C45" w:rsidP="00DC1C45">
            <w:pPr>
              <w:jc w:val="right"/>
              <w:rPr>
                <w:rFonts w:ascii="CAIXA Std Book" w:hAnsi="CAIXA Std Book" w:cs="Calibri"/>
                <w:color w:val="005CA9"/>
                <w:sz w:val="13"/>
                <w:szCs w:val="13"/>
              </w:rPr>
            </w:pPr>
            <w:r w:rsidRPr="00E20D21">
              <w:rPr>
                <w:rFonts w:ascii="CAIXA Std Book" w:hAnsi="CAIXA Std Book" w:cs="Calibri"/>
                <w:color w:val="005CA9"/>
                <w:sz w:val="13"/>
                <w:szCs w:val="13"/>
              </w:rPr>
              <w:t>8.639</w:t>
            </w:r>
          </w:p>
        </w:tc>
        <w:tc>
          <w:tcPr>
            <w:tcW w:w="1034" w:type="dxa"/>
            <w:tcBorders>
              <w:top w:val="nil"/>
              <w:left w:val="nil"/>
              <w:bottom w:val="single" w:sz="4" w:space="0" w:color="F79646" w:themeColor="accent6"/>
              <w:right w:val="nil"/>
            </w:tcBorders>
            <w:shd w:val="clear" w:color="auto" w:fill="auto"/>
            <w:noWrap/>
            <w:vAlign w:val="center"/>
          </w:tcPr>
          <w:p w14:paraId="5323E43F" w14:textId="6EED9ECD"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56" w:type="dxa"/>
            <w:tcBorders>
              <w:top w:val="nil"/>
              <w:left w:val="nil"/>
              <w:bottom w:val="single" w:sz="4" w:space="0" w:color="F79646" w:themeColor="accent6"/>
              <w:right w:val="nil"/>
            </w:tcBorders>
            <w:shd w:val="clear" w:color="auto" w:fill="auto"/>
            <w:noWrap/>
            <w:vAlign w:val="center"/>
          </w:tcPr>
          <w:p w14:paraId="22F817E9" w14:textId="5B681472"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single" w:sz="4" w:space="0" w:color="F79646" w:themeColor="accent6"/>
              <w:right w:val="nil"/>
            </w:tcBorders>
            <w:shd w:val="clear" w:color="auto" w:fill="auto"/>
            <w:noWrap/>
            <w:vAlign w:val="center"/>
          </w:tcPr>
          <w:p w14:paraId="22BA0303" w14:textId="6D707BD8"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single" w:sz="4" w:space="0" w:color="F79646" w:themeColor="accent6"/>
              <w:right w:val="nil"/>
            </w:tcBorders>
            <w:shd w:val="clear" w:color="auto" w:fill="auto"/>
            <w:noWrap/>
            <w:vAlign w:val="center"/>
          </w:tcPr>
          <w:p w14:paraId="55125ADD" w14:textId="71738B4C"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single" w:sz="4" w:space="0" w:color="F79646" w:themeColor="accent6"/>
            </w:tcBorders>
            <w:shd w:val="clear" w:color="auto" w:fill="auto"/>
            <w:noWrap/>
            <w:vAlign w:val="center"/>
          </w:tcPr>
          <w:p w14:paraId="3C34A2C8" w14:textId="27BDBB23" w:rsidR="005100AC" w:rsidRPr="00E20D21" w:rsidRDefault="005100AC" w:rsidP="005100AC">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r>
      <w:tr w:rsidR="00E76E9C" w:rsidRPr="00E20D21" w14:paraId="0460B03A" w14:textId="77777777" w:rsidTr="005100AC">
        <w:trPr>
          <w:trHeight w:val="181"/>
        </w:trPr>
        <w:tc>
          <w:tcPr>
            <w:tcW w:w="2977" w:type="dxa"/>
            <w:tcBorders>
              <w:top w:val="single" w:sz="4" w:space="0" w:color="F79646" w:themeColor="accent6"/>
              <w:left w:val="nil"/>
              <w:bottom w:val="single" w:sz="4" w:space="0" w:color="F39200"/>
              <w:right w:val="nil"/>
            </w:tcBorders>
            <w:shd w:val="clear" w:color="auto" w:fill="auto"/>
            <w:vAlign w:val="center"/>
            <w:hideMark/>
          </w:tcPr>
          <w:p w14:paraId="53B336B7" w14:textId="77777777" w:rsidR="009F03E9" w:rsidRPr="00E20D21" w:rsidRDefault="009F03E9" w:rsidP="009F03E9">
            <w:pPr>
              <w:rPr>
                <w:rFonts w:ascii="CAIXA Std Book" w:hAnsi="CAIXA Std Book"/>
                <w:b/>
                <w:color w:val="005CA9"/>
                <w:sz w:val="13"/>
                <w:szCs w:val="13"/>
              </w:rPr>
            </w:pPr>
            <w:r w:rsidRPr="00E20D21">
              <w:rPr>
                <w:rFonts w:ascii="CAIXA Std Book" w:hAnsi="CAIXA Std Book" w:cs="Calibri"/>
                <w:b/>
                <w:bCs/>
                <w:color w:val="005CA9"/>
                <w:sz w:val="13"/>
                <w:szCs w:val="13"/>
              </w:rPr>
              <w:t>PASSIVO:</w:t>
            </w:r>
          </w:p>
        </w:tc>
        <w:tc>
          <w:tcPr>
            <w:tcW w:w="1087" w:type="dxa"/>
            <w:tcBorders>
              <w:top w:val="single" w:sz="4" w:space="0" w:color="F39200"/>
              <w:left w:val="nil"/>
              <w:bottom w:val="single" w:sz="4" w:space="0" w:color="F39200"/>
              <w:right w:val="nil"/>
            </w:tcBorders>
            <w:shd w:val="clear" w:color="auto" w:fill="auto"/>
            <w:vAlign w:val="center"/>
          </w:tcPr>
          <w:p w14:paraId="1D46DA5B" w14:textId="0BDF4019" w:rsidR="009F03E9" w:rsidRPr="00E20D21" w:rsidRDefault="009F03E9" w:rsidP="009F03E9">
            <w:pPr>
              <w:jc w:val="right"/>
              <w:rPr>
                <w:rFonts w:ascii="CAIXA Std Book" w:hAnsi="CAIXA Std Book" w:cs="Calibri"/>
                <w:b/>
                <w:bCs/>
                <w:color w:val="005CA9"/>
                <w:sz w:val="13"/>
                <w:szCs w:val="13"/>
              </w:rPr>
            </w:pPr>
            <w:r w:rsidRPr="00E20D21">
              <w:rPr>
                <w:rFonts w:ascii="CAIXA Std Book" w:eastAsia="Futura Lt BT" w:hAnsi="CAIXA Std Book" w:cs="Futura Lt BT"/>
                <w:b/>
                <w:color w:val="005CA9"/>
                <w:sz w:val="13"/>
                <w:szCs w:val="13"/>
              </w:rPr>
              <w:t>46.</w:t>
            </w:r>
            <w:r w:rsidR="00DB1133" w:rsidRPr="00E20D21">
              <w:rPr>
                <w:rFonts w:ascii="CAIXA Std Book" w:eastAsia="Futura Lt BT" w:hAnsi="CAIXA Std Book" w:cs="Futura Lt BT"/>
                <w:b/>
                <w:color w:val="005CA9"/>
                <w:sz w:val="13"/>
                <w:szCs w:val="13"/>
              </w:rPr>
              <w:t>145.844</w:t>
            </w:r>
          </w:p>
        </w:tc>
        <w:tc>
          <w:tcPr>
            <w:tcW w:w="1121" w:type="dxa"/>
            <w:tcBorders>
              <w:top w:val="single" w:sz="4" w:space="0" w:color="F39200"/>
              <w:left w:val="nil"/>
              <w:bottom w:val="single" w:sz="4" w:space="0" w:color="F39200"/>
              <w:right w:val="nil"/>
            </w:tcBorders>
            <w:shd w:val="clear" w:color="auto" w:fill="auto"/>
            <w:vAlign w:val="center"/>
          </w:tcPr>
          <w:p w14:paraId="4233A0A9" w14:textId="3747517B" w:rsidR="009F03E9" w:rsidRPr="00E20D21" w:rsidRDefault="009F03E9" w:rsidP="009F03E9">
            <w:pPr>
              <w:jc w:val="right"/>
              <w:rPr>
                <w:rFonts w:ascii="CAIXA Std Book" w:hAnsi="CAIXA Std Book" w:cs="Calibri"/>
                <w:b/>
                <w:bCs/>
                <w:color w:val="005CA9"/>
                <w:sz w:val="13"/>
                <w:szCs w:val="13"/>
              </w:rPr>
            </w:pPr>
            <w:r w:rsidRPr="00E20D21">
              <w:rPr>
                <w:rFonts w:ascii="CAIXA Std Book" w:eastAsia="Futura Lt BT" w:hAnsi="CAIXA Std Book" w:cs="Futura Lt BT"/>
                <w:b/>
                <w:color w:val="005CA9"/>
                <w:sz w:val="13"/>
                <w:szCs w:val="13"/>
              </w:rPr>
              <w:t>167.079</w:t>
            </w:r>
          </w:p>
        </w:tc>
        <w:tc>
          <w:tcPr>
            <w:tcW w:w="1121" w:type="dxa"/>
            <w:tcBorders>
              <w:top w:val="single" w:sz="4" w:space="0" w:color="F39200"/>
              <w:left w:val="nil"/>
              <w:bottom w:val="single" w:sz="4" w:space="0" w:color="F39200"/>
              <w:right w:val="nil"/>
            </w:tcBorders>
            <w:shd w:val="clear" w:color="auto" w:fill="auto"/>
            <w:vAlign w:val="center"/>
          </w:tcPr>
          <w:p w14:paraId="51A757CC" w14:textId="460DAC3B" w:rsidR="009F03E9" w:rsidRPr="00E20D21" w:rsidRDefault="009F03E9" w:rsidP="009F03E9">
            <w:pPr>
              <w:jc w:val="right"/>
              <w:rPr>
                <w:rFonts w:ascii="CAIXA Std Book" w:hAnsi="CAIXA Std Book" w:cs="Calibri"/>
                <w:b/>
                <w:bCs/>
                <w:color w:val="005CA9"/>
                <w:sz w:val="13"/>
                <w:szCs w:val="13"/>
              </w:rPr>
            </w:pPr>
            <w:r w:rsidRPr="00E20D21">
              <w:rPr>
                <w:rFonts w:ascii="CAIXA Std Book" w:eastAsia="Futura Lt BT" w:hAnsi="CAIXA Std Book" w:cs="Futura Lt BT"/>
                <w:b/>
                <w:color w:val="005CA9"/>
                <w:sz w:val="13"/>
                <w:szCs w:val="13"/>
              </w:rPr>
              <w:t>189.458</w:t>
            </w:r>
          </w:p>
        </w:tc>
        <w:tc>
          <w:tcPr>
            <w:tcW w:w="1106" w:type="dxa"/>
            <w:tcBorders>
              <w:top w:val="single" w:sz="4" w:space="0" w:color="F39200"/>
              <w:left w:val="nil"/>
              <w:bottom w:val="single" w:sz="4" w:space="0" w:color="F39200"/>
              <w:right w:val="nil"/>
            </w:tcBorders>
            <w:shd w:val="clear" w:color="auto" w:fill="auto"/>
            <w:vAlign w:val="center"/>
          </w:tcPr>
          <w:p w14:paraId="1BE0163C" w14:textId="15953764" w:rsidR="009F03E9" w:rsidRPr="00E20D21" w:rsidRDefault="009F03E9" w:rsidP="009F03E9">
            <w:pPr>
              <w:jc w:val="right"/>
              <w:rPr>
                <w:rFonts w:ascii="CAIXA Std Book" w:hAnsi="CAIXA Std Book" w:cs="Calibri"/>
                <w:b/>
                <w:bCs/>
                <w:color w:val="005CA9"/>
                <w:sz w:val="13"/>
                <w:szCs w:val="13"/>
              </w:rPr>
            </w:pPr>
            <w:r w:rsidRPr="00E20D21">
              <w:rPr>
                <w:rFonts w:ascii="CAIXA Std Book" w:eastAsia="Futura Lt BT" w:hAnsi="CAIXA Std Book" w:cs="Futura Lt BT"/>
                <w:b/>
                <w:color w:val="005CA9"/>
                <w:sz w:val="13"/>
                <w:szCs w:val="13"/>
              </w:rPr>
              <w:t>253.027</w:t>
            </w:r>
          </w:p>
        </w:tc>
        <w:tc>
          <w:tcPr>
            <w:tcW w:w="1235" w:type="dxa"/>
            <w:tcBorders>
              <w:top w:val="single" w:sz="4" w:space="0" w:color="F39200"/>
              <w:left w:val="nil"/>
              <w:bottom w:val="single" w:sz="4" w:space="0" w:color="F39200"/>
            </w:tcBorders>
            <w:shd w:val="clear" w:color="auto" w:fill="auto"/>
            <w:vAlign w:val="center"/>
          </w:tcPr>
          <w:p w14:paraId="7EC1CF90" w14:textId="699B64AF" w:rsidR="009F03E9" w:rsidRPr="00E20D21" w:rsidRDefault="009F03E9" w:rsidP="009F03E9">
            <w:pPr>
              <w:jc w:val="right"/>
              <w:rPr>
                <w:rFonts w:ascii="CAIXA Std Book" w:hAnsi="CAIXA Std Book" w:cs="Calibri"/>
                <w:b/>
                <w:bCs/>
                <w:color w:val="005CA9"/>
                <w:sz w:val="13"/>
                <w:szCs w:val="13"/>
              </w:rPr>
            </w:pPr>
            <w:r w:rsidRPr="00E20D21">
              <w:rPr>
                <w:rFonts w:ascii="CAIXA Std Book" w:eastAsia="Futura Lt BT" w:hAnsi="CAIXA Std Book" w:cs="Futura Lt BT"/>
                <w:b/>
                <w:color w:val="005CA9"/>
                <w:sz w:val="13"/>
                <w:szCs w:val="13"/>
              </w:rPr>
              <w:t>665.</w:t>
            </w:r>
            <w:r w:rsidR="008B0774" w:rsidRPr="00E20D21">
              <w:rPr>
                <w:rFonts w:ascii="CAIXA Std Book" w:eastAsia="Futura Lt BT" w:hAnsi="CAIXA Std Book" w:cs="Futura Lt BT"/>
                <w:b/>
                <w:color w:val="005CA9"/>
                <w:sz w:val="13"/>
                <w:szCs w:val="13"/>
              </w:rPr>
              <w:t>382</w:t>
            </w:r>
            <w:r w:rsidR="008604B0" w:rsidRPr="00E20D21">
              <w:rPr>
                <w:rFonts w:ascii="CAIXA Std Book" w:eastAsia="Futura Lt BT" w:hAnsi="CAIXA Std Book" w:cs="Futura Lt BT"/>
                <w:b/>
                <w:color w:val="005CA9"/>
                <w:sz w:val="13"/>
                <w:szCs w:val="13"/>
              </w:rPr>
              <w:t>.430</w:t>
            </w:r>
          </w:p>
        </w:tc>
        <w:tc>
          <w:tcPr>
            <w:tcW w:w="1034" w:type="dxa"/>
            <w:tcBorders>
              <w:top w:val="single" w:sz="4" w:space="0" w:color="F79646" w:themeColor="accent6"/>
              <w:left w:val="nil"/>
              <w:bottom w:val="single" w:sz="4" w:space="0" w:color="F39200"/>
              <w:right w:val="nil"/>
            </w:tcBorders>
            <w:shd w:val="clear" w:color="auto" w:fill="auto"/>
            <w:vAlign w:val="center"/>
          </w:tcPr>
          <w:p w14:paraId="6C44CA5C" w14:textId="693DC76F" w:rsidR="009F03E9" w:rsidRPr="00E20D21" w:rsidRDefault="009F03E9" w:rsidP="009F03E9">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45.636.508</w:t>
            </w:r>
          </w:p>
        </w:tc>
        <w:tc>
          <w:tcPr>
            <w:tcW w:w="1156" w:type="dxa"/>
            <w:tcBorders>
              <w:top w:val="single" w:sz="4" w:space="0" w:color="F79646" w:themeColor="accent6"/>
              <w:left w:val="nil"/>
              <w:bottom w:val="single" w:sz="4" w:space="0" w:color="F39200"/>
              <w:right w:val="nil"/>
            </w:tcBorders>
            <w:shd w:val="clear" w:color="auto" w:fill="auto"/>
            <w:vAlign w:val="center"/>
          </w:tcPr>
          <w:p w14:paraId="26141FCA" w14:textId="0CCE1A39" w:rsidR="009F03E9" w:rsidRPr="00E20D21" w:rsidRDefault="009F03E9" w:rsidP="009F03E9">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218.532</w:t>
            </w:r>
          </w:p>
        </w:tc>
        <w:tc>
          <w:tcPr>
            <w:tcW w:w="1163" w:type="dxa"/>
            <w:tcBorders>
              <w:top w:val="single" w:sz="4" w:space="0" w:color="F79646" w:themeColor="accent6"/>
              <w:left w:val="nil"/>
              <w:bottom w:val="single" w:sz="4" w:space="0" w:color="F39200"/>
              <w:right w:val="nil"/>
            </w:tcBorders>
            <w:shd w:val="clear" w:color="auto" w:fill="auto"/>
            <w:vAlign w:val="center"/>
          </w:tcPr>
          <w:p w14:paraId="6D143F4E" w14:textId="39793BE8" w:rsidR="009F03E9" w:rsidRPr="00E20D21" w:rsidRDefault="009F03E9" w:rsidP="009F03E9">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86.345</w:t>
            </w:r>
          </w:p>
        </w:tc>
        <w:tc>
          <w:tcPr>
            <w:tcW w:w="1161" w:type="dxa"/>
            <w:tcBorders>
              <w:top w:val="single" w:sz="4" w:space="0" w:color="F79646" w:themeColor="accent6"/>
              <w:left w:val="nil"/>
              <w:bottom w:val="single" w:sz="4" w:space="0" w:color="F39200"/>
              <w:right w:val="nil"/>
            </w:tcBorders>
            <w:shd w:val="clear" w:color="auto" w:fill="auto"/>
            <w:vAlign w:val="center"/>
          </w:tcPr>
          <w:p w14:paraId="3CCD72A5" w14:textId="3419FE38" w:rsidR="009F03E9" w:rsidRPr="00E20D21" w:rsidRDefault="009F03E9" w:rsidP="009F03E9">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25.615</w:t>
            </w:r>
          </w:p>
        </w:tc>
        <w:tc>
          <w:tcPr>
            <w:tcW w:w="1441" w:type="dxa"/>
            <w:tcBorders>
              <w:top w:val="single" w:sz="4" w:space="0" w:color="F79646" w:themeColor="accent6"/>
              <w:left w:val="nil"/>
              <w:bottom w:val="single" w:sz="4" w:space="0" w:color="F39200"/>
            </w:tcBorders>
            <w:shd w:val="clear" w:color="auto" w:fill="auto"/>
            <w:vAlign w:val="center"/>
          </w:tcPr>
          <w:p w14:paraId="30B3FF94" w14:textId="2FC080DB" w:rsidR="009F03E9" w:rsidRPr="00E20D21" w:rsidRDefault="009F03E9" w:rsidP="009F03E9">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642.333.792</w:t>
            </w:r>
          </w:p>
        </w:tc>
      </w:tr>
      <w:tr w:rsidR="00312447" w:rsidRPr="00E20D21" w14:paraId="752D4E19" w14:textId="77777777" w:rsidTr="005100AC">
        <w:trPr>
          <w:trHeight w:val="181"/>
        </w:trPr>
        <w:tc>
          <w:tcPr>
            <w:tcW w:w="2977" w:type="dxa"/>
            <w:tcBorders>
              <w:top w:val="nil"/>
              <w:left w:val="nil"/>
              <w:bottom w:val="nil"/>
              <w:right w:val="nil"/>
            </w:tcBorders>
            <w:shd w:val="clear" w:color="auto" w:fill="auto"/>
            <w:vAlign w:val="center"/>
            <w:hideMark/>
          </w:tcPr>
          <w:p w14:paraId="0C556449" w14:textId="544EA3CB" w:rsidR="009F03E9" w:rsidRPr="00E20D21" w:rsidRDefault="009F03E9" w:rsidP="009F03E9">
            <w:pPr>
              <w:rPr>
                <w:rFonts w:ascii="CAIXA Std Book" w:hAnsi="CAIXA Std Book"/>
                <w:color w:val="005CA9"/>
                <w:sz w:val="13"/>
                <w:szCs w:val="13"/>
              </w:rPr>
            </w:pPr>
            <w:r w:rsidRPr="00E20D21">
              <w:rPr>
                <w:rFonts w:ascii="CAIXA Std Book" w:hAnsi="CAIXA Std Book" w:cs="Calibri"/>
                <w:color w:val="005CA9"/>
                <w:sz w:val="13"/>
                <w:szCs w:val="13"/>
              </w:rPr>
              <w:t>Depósitos à vista e poupança (7)</w:t>
            </w:r>
          </w:p>
        </w:tc>
        <w:tc>
          <w:tcPr>
            <w:tcW w:w="1087" w:type="dxa"/>
            <w:tcBorders>
              <w:top w:val="nil"/>
              <w:left w:val="nil"/>
              <w:bottom w:val="nil"/>
              <w:right w:val="nil"/>
            </w:tcBorders>
            <w:shd w:val="clear" w:color="auto" w:fill="auto"/>
            <w:noWrap/>
            <w:vAlign w:val="center"/>
          </w:tcPr>
          <w:p w14:paraId="42F4F55F" w14:textId="73ADBDD2"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401.287</w:t>
            </w:r>
          </w:p>
        </w:tc>
        <w:tc>
          <w:tcPr>
            <w:tcW w:w="1121" w:type="dxa"/>
            <w:tcBorders>
              <w:top w:val="nil"/>
              <w:left w:val="nil"/>
              <w:bottom w:val="nil"/>
              <w:right w:val="nil"/>
            </w:tcBorders>
            <w:shd w:val="clear" w:color="auto" w:fill="auto"/>
            <w:noWrap/>
            <w:vAlign w:val="center"/>
          </w:tcPr>
          <w:p w14:paraId="4A7627D6" w14:textId="36BD9E13"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14.985</w:t>
            </w:r>
          </w:p>
        </w:tc>
        <w:tc>
          <w:tcPr>
            <w:tcW w:w="1121" w:type="dxa"/>
            <w:tcBorders>
              <w:top w:val="nil"/>
              <w:left w:val="nil"/>
              <w:bottom w:val="nil"/>
              <w:right w:val="nil"/>
            </w:tcBorders>
            <w:shd w:val="clear" w:color="auto" w:fill="auto"/>
            <w:noWrap/>
            <w:vAlign w:val="center"/>
          </w:tcPr>
          <w:p w14:paraId="31E30CEB" w14:textId="23661958"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92.079</w:t>
            </w:r>
          </w:p>
        </w:tc>
        <w:tc>
          <w:tcPr>
            <w:tcW w:w="1106" w:type="dxa"/>
            <w:tcBorders>
              <w:top w:val="nil"/>
              <w:left w:val="nil"/>
              <w:bottom w:val="nil"/>
              <w:right w:val="nil"/>
            </w:tcBorders>
            <w:shd w:val="clear" w:color="auto" w:fill="auto"/>
            <w:noWrap/>
            <w:vAlign w:val="center"/>
          </w:tcPr>
          <w:p w14:paraId="6E73547B" w14:textId="1EE701AA"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20.796</w:t>
            </w:r>
          </w:p>
        </w:tc>
        <w:tc>
          <w:tcPr>
            <w:tcW w:w="1235" w:type="dxa"/>
            <w:tcBorders>
              <w:top w:val="nil"/>
              <w:left w:val="nil"/>
              <w:bottom w:val="nil"/>
            </w:tcBorders>
            <w:shd w:val="clear" w:color="auto" w:fill="auto"/>
            <w:noWrap/>
            <w:vAlign w:val="center"/>
          </w:tcPr>
          <w:p w14:paraId="597CECF7" w14:textId="1F378F2E"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2.438.207</w:t>
            </w:r>
          </w:p>
        </w:tc>
        <w:tc>
          <w:tcPr>
            <w:tcW w:w="1034" w:type="dxa"/>
            <w:tcBorders>
              <w:top w:val="nil"/>
              <w:left w:val="nil"/>
              <w:bottom w:val="nil"/>
              <w:right w:val="nil"/>
            </w:tcBorders>
            <w:shd w:val="clear" w:color="auto" w:fill="auto"/>
            <w:noWrap/>
            <w:vAlign w:val="center"/>
          </w:tcPr>
          <w:p w14:paraId="289BAA5B" w14:textId="5E6EFD16"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364.053</w:t>
            </w:r>
          </w:p>
        </w:tc>
        <w:tc>
          <w:tcPr>
            <w:tcW w:w="1156" w:type="dxa"/>
            <w:tcBorders>
              <w:top w:val="nil"/>
              <w:left w:val="nil"/>
              <w:bottom w:val="nil"/>
              <w:right w:val="nil"/>
            </w:tcBorders>
            <w:shd w:val="clear" w:color="auto" w:fill="auto"/>
            <w:noWrap/>
            <w:vAlign w:val="center"/>
          </w:tcPr>
          <w:p w14:paraId="76E32ABD" w14:textId="32F39F52"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34.837</w:t>
            </w:r>
          </w:p>
        </w:tc>
        <w:tc>
          <w:tcPr>
            <w:tcW w:w="1163" w:type="dxa"/>
            <w:tcBorders>
              <w:top w:val="nil"/>
              <w:left w:val="nil"/>
              <w:bottom w:val="nil"/>
              <w:right w:val="nil"/>
            </w:tcBorders>
            <w:shd w:val="clear" w:color="auto" w:fill="auto"/>
            <w:noWrap/>
            <w:vAlign w:val="center"/>
          </w:tcPr>
          <w:p w14:paraId="03EB9205" w14:textId="2D403EDE"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86.345</w:t>
            </w:r>
          </w:p>
        </w:tc>
        <w:tc>
          <w:tcPr>
            <w:tcW w:w="1161" w:type="dxa"/>
            <w:tcBorders>
              <w:top w:val="nil"/>
              <w:left w:val="nil"/>
              <w:bottom w:val="nil"/>
              <w:right w:val="nil"/>
            </w:tcBorders>
            <w:shd w:val="clear" w:color="auto" w:fill="auto"/>
            <w:noWrap/>
            <w:vAlign w:val="center"/>
          </w:tcPr>
          <w:p w14:paraId="7F4D78F1" w14:textId="0A0CA6C7"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10.337</w:t>
            </w:r>
          </w:p>
        </w:tc>
        <w:tc>
          <w:tcPr>
            <w:tcW w:w="1441" w:type="dxa"/>
            <w:tcBorders>
              <w:top w:val="nil"/>
              <w:left w:val="nil"/>
              <w:bottom w:val="nil"/>
            </w:tcBorders>
            <w:shd w:val="clear" w:color="auto" w:fill="auto"/>
            <w:noWrap/>
            <w:vAlign w:val="center"/>
          </w:tcPr>
          <w:p w14:paraId="5A25BF6B" w14:textId="5C33511E"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3.575.190</w:t>
            </w:r>
          </w:p>
        </w:tc>
      </w:tr>
      <w:tr w:rsidR="00312447" w:rsidRPr="00E20D21" w14:paraId="59B52918" w14:textId="77777777" w:rsidTr="008D7763">
        <w:trPr>
          <w:trHeight w:val="181"/>
        </w:trPr>
        <w:tc>
          <w:tcPr>
            <w:tcW w:w="2977" w:type="dxa"/>
            <w:tcBorders>
              <w:top w:val="nil"/>
              <w:left w:val="nil"/>
              <w:bottom w:val="nil"/>
              <w:right w:val="nil"/>
            </w:tcBorders>
            <w:shd w:val="clear" w:color="auto" w:fill="auto"/>
            <w:vAlign w:val="center"/>
            <w:hideMark/>
          </w:tcPr>
          <w:p w14:paraId="661A1A4D" w14:textId="77777777" w:rsidR="009F03E9" w:rsidRPr="00E20D21" w:rsidRDefault="009F03E9" w:rsidP="009F03E9">
            <w:pPr>
              <w:rPr>
                <w:rFonts w:ascii="CAIXA Std Book" w:hAnsi="CAIXA Std Book"/>
                <w:color w:val="005CA9"/>
                <w:sz w:val="13"/>
                <w:szCs w:val="13"/>
              </w:rPr>
            </w:pPr>
            <w:r w:rsidRPr="00E20D21">
              <w:rPr>
                <w:rFonts w:ascii="CAIXA Std Book" w:hAnsi="CAIXA Std Book" w:cs="Calibri"/>
                <w:color w:val="005CA9"/>
                <w:sz w:val="13"/>
                <w:szCs w:val="13"/>
              </w:rPr>
              <w:t>Depósitos a prazo e letras</w:t>
            </w:r>
          </w:p>
        </w:tc>
        <w:tc>
          <w:tcPr>
            <w:tcW w:w="1087" w:type="dxa"/>
            <w:tcBorders>
              <w:top w:val="nil"/>
              <w:left w:val="nil"/>
              <w:bottom w:val="nil"/>
              <w:right w:val="nil"/>
            </w:tcBorders>
            <w:shd w:val="clear" w:color="auto" w:fill="auto"/>
            <w:noWrap/>
            <w:vAlign w:val="center"/>
          </w:tcPr>
          <w:p w14:paraId="126FFAAE" w14:textId="6B58253C"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1.634.245</w:t>
            </w:r>
          </w:p>
        </w:tc>
        <w:tc>
          <w:tcPr>
            <w:tcW w:w="1121" w:type="dxa"/>
            <w:tcBorders>
              <w:top w:val="nil"/>
              <w:left w:val="nil"/>
              <w:bottom w:val="nil"/>
              <w:right w:val="nil"/>
            </w:tcBorders>
            <w:shd w:val="clear" w:color="auto" w:fill="auto"/>
            <w:noWrap/>
            <w:vAlign w:val="center"/>
          </w:tcPr>
          <w:p w14:paraId="6CF09E9B" w14:textId="317CA8EF"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121.073</w:t>
            </w:r>
          </w:p>
        </w:tc>
        <w:tc>
          <w:tcPr>
            <w:tcW w:w="1121" w:type="dxa"/>
            <w:tcBorders>
              <w:top w:val="nil"/>
              <w:left w:val="nil"/>
              <w:bottom w:val="nil"/>
              <w:right w:val="nil"/>
            </w:tcBorders>
            <w:shd w:val="clear" w:color="auto" w:fill="auto"/>
            <w:noWrap/>
            <w:vAlign w:val="center"/>
          </w:tcPr>
          <w:p w14:paraId="66017F64" w14:textId="1669AEC5" w:rsidR="009F03E9" w:rsidRPr="00E20D21" w:rsidRDefault="009F03E9" w:rsidP="009F03E9">
            <w:pPr>
              <w:jc w:val="center"/>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w:t>
            </w:r>
          </w:p>
        </w:tc>
        <w:tc>
          <w:tcPr>
            <w:tcW w:w="1106" w:type="dxa"/>
            <w:tcBorders>
              <w:top w:val="nil"/>
              <w:left w:val="nil"/>
              <w:bottom w:val="nil"/>
              <w:right w:val="nil"/>
            </w:tcBorders>
            <w:shd w:val="clear" w:color="auto" w:fill="auto"/>
            <w:noWrap/>
            <w:vAlign w:val="center"/>
          </w:tcPr>
          <w:p w14:paraId="62810C7F" w14:textId="6F627C27"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232.231</w:t>
            </w:r>
          </w:p>
        </w:tc>
        <w:tc>
          <w:tcPr>
            <w:tcW w:w="1235" w:type="dxa"/>
            <w:tcBorders>
              <w:top w:val="nil"/>
              <w:left w:val="nil"/>
              <w:bottom w:val="nil"/>
            </w:tcBorders>
            <w:shd w:val="clear" w:color="auto" w:fill="auto"/>
            <w:noWrap/>
            <w:vAlign w:val="center"/>
          </w:tcPr>
          <w:p w14:paraId="0BC956EE" w14:textId="3041D40A"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14.202.120</w:t>
            </w:r>
          </w:p>
        </w:tc>
        <w:tc>
          <w:tcPr>
            <w:tcW w:w="1034" w:type="dxa"/>
            <w:tcBorders>
              <w:top w:val="nil"/>
              <w:left w:val="nil"/>
              <w:bottom w:val="nil"/>
              <w:right w:val="nil"/>
            </w:tcBorders>
            <w:shd w:val="clear" w:color="auto" w:fill="auto"/>
            <w:noWrap/>
            <w:vAlign w:val="center"/>
          </w:tcPr>
          <w:p w14:paraId="4618A66D" w14:textId="3D7A88D8"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1.266.900</w:t>
            </w:r>
          </w:p>
        </w:tc>
        <w:tc>
          <w:tcPr>
            <w:tcW w:w="1156" w:type="dxa"/>
            <w:tcBorders>
              <w:top w:val="nil"/>
              <w:left w:val="nil"/>
              <w:bottom w:val="nil"/>
              <w:right w:val="nil"/>
            </w:tcBorders>
            <w:shd w:val="clear" w:color="auto" w:fill="auto"/>
            <w:noWrap/>
            <w:vAlign w:val="center"/>
          </w:tcPr>
          <w:p w14:paraId="3AB585C1" w14:textId="64A6860B" w:rsidR="009F03E9" w:rsidRPr="00E20D21" w:rsidRDefault="009F03E9" w:rsidP="008D7763">
            <w:pPr>
              <w:jc w:val="right"/>
              <w:rPr>
                <w:rFonts w:ascii="CAIXA Std Book" w:hAnsi="CAIXA Std Book" w:cs="Calibri"/>
                <w:color w:val="005CA9"/>
                <w:sz w:val="13"/>
                <w:szCs w:val="13"/>
              </w:rPr>
            </w:pPr>
            <w:r w:rsidRPr="00E20D21">
              <w:rPr>
                <w:rFonts w:ascii="CAIXA Std Book" w:hAnsi="CAIXA Std Book" w:cs="Calibri"/>
                <w:color w:val="005CA9"/>
                <w:sz w:val="13"/>
                <w:szCs w:val="13"/>
              </w:rPr>
              <w:t>97.349</w:t>
            </w:r>
          </w:p>
        </w:tc>
        <w:tc>
          <w:tcPr>
            <w:tcW w:w="1163" w:type="dxa"/>
            <w:tcBorders>
              <w:top w:val="nil"/>
              <w:left w:val="nil"/>
              <w:bottom w:val="nil"/>
              <w:right w:val="nil"/>
            </w:tcBorders>
            <w:shd w:val="clear" w:color="auto" w:fill="auto"/>
            <w:noWrap/>
            <w:vAlign w:val="center"/>
          </w:tcPr>
          <w:p w14:paraId="60D91501" w14:textId="0848B8CC"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0307A3AE" w14:textId="5EED1675"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15.278</w:t>
            </w:r>
          </w:p>
        </w:tc>
        <w:tc>
          <w:tcPr>
            <w:tcW w:w="1441" w:type="dxa"/>
            <w:tcBorders>
              <w:top w:val="nil"/>
              <w:left w:val="nil"/>
              <w:bottom w:val="nil"/>
            </w:tcBorders>
            <w:shd w:val="clear" w:color="auto" w:fill="auto"/>
            <w:noWrap/>
            <w:vAlign w:val="center"/>
          </w:tcPr>
          <w:p w14:paraId="571EF54B" w14:textId="736FDD80"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13.492.997</w:t>
            </w:r>
          </w:p>
        </w:tc>
      </w:tr>
      <w:tr w:rsidR="00312447" w:rsidRPr="00E20D21" w14:paraId="5BC95FDF" w14:textId="77777777" w:rsidTr="005100AC">
        <w:trPr>
          <w:trHeight w:val="181"/>
        </w:trPr>
        <w:tc>
          <w:tcPr>
            <w:tcW w:w="2977" w:type="dxa"/>
            <w:tcBorders>
              <w:top w:val="nil"/>
              <w:left w:val="nil"/>
              <w:bottom w:val="nil"/>
              <w:right w:val="nil"/>
            </w:tcBorders>
            <w:shd w:val="clear" w:color="auto" w:fill="auto"/>
            <w:vAlign w:val="center"/>
            <w:hideMark/>
          </w:tcPr>
          <w:p w14:paraId="15F66F50" w14:textId="77777777" w:rsidR="009F03E9" w:rsidRPr="00E20D21" w:rsidRDefault="009F03E9" w:rsidP="009F03E9">
            <w:pPr>
              <w:rPr>
                <w:rFonts w:ascii="CAIXA Std Book" w:hAnsi="CAIXA Std Book"/>
                <w:color w:val="005CA9"/>
                <w:sz w:val="13"/>
                <w:szCs w:val="13"/>
              </w:rPr>
            </w:pPr>
            <w:r w:rsidRPr="00E20D21">
              <w:rPr>
                <w:rFonts w:ascii="CAIXA Std Book" w:hAnsi="CAIXA Std Book" w:cs="Calibri"/>
                <w:color w:val="005CA9"/>
                <w:sz w:val="13"/>
                <w:szCs w:val="13"/>
              </w:rPr>
              <w:t>Depósitos especiais de fundos e programas (8)</w:t>
            </w:r>
          </w:p>
        </w:tc>
        <w:tc>
          <w:tcPr>
            <w:tcW w:w="1087" w:type="dxa"/>
            <w:tcBorders>
              <w:top w:val="nil"/>
              <w:left w:val="nil"/>
              <w:bottom w:val="nil"/>
              <w:right w:val="nil"/>
            </w:tcBorders>
            <w:shd w:val="clear" w:color="auto" w:fill="auto"/>
            <w:noWrap/>
            <w:vAlign w:val="center"/>
          </w:tcPr>
          <w:p w14:paraId="2A1911A0" w14:textId="5F970EAE" w:rsidR="009F03E9" w:rsidRPr="00E20D21" w:rsidRDefault="00976056"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275.</w:t>
            </w:r>
            <w:r w:rsidR="003B78A9" w:rsidRPr="00E20D21">
              <w:rPr>
                <w:rFonts w:ascii="CAIXA Std Book" w:eastAsia="Futura Lt BT" w:hAnsi="CAIXA Std Book" w:cs="Futura Lt BT"/>
                <w:color w:val="005CA9"/>
                <w:sz w:val="13"/>
                <w:szCs w:val="13"/>
              </w:rPr>
              <w:t>255</w:t>
            </w:r>
          </w:p>
        </w:tc>
        <w:tc>
          <w:tcPr>
            <w:tcW w:w="1121" w:type="dxa"/>
            <w:tcBorders>
              <w:top w:val="nil"/>
              <w:left w:val="nil"/>
              <w:bottom w:val="nil"/>
              <w:right w:val="nil"/>
            </w:tcBorders>
            <w:shd w:val="clear" w:color="auto" w:fill="auto"/>
            <w:noWrap/>
            <w:vAlign w:val="center"/>
          </w:tcPr>
          <w:p w14:paraId="1EC5FE7E" w14:textId="68703E73" w:rsidR="009F03E9" w:rsidRPr="00E20D21" w:rsidRDefault="009F03E9" w:rsidP="009F03E9">
            <w:pPr>
              <w:jc w:val="center"/>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w:t>
            </w:r>
          </w:p>
        </w:tc>
        <w:tc>
          <w:tcPr>
            <w:tcW w:w="1121" w:type="dxa"/>
            <w:tcBorders>
              <w:top w:val="nil"/>
              <w:left w:val="nil"/>
              <w:bottom w:val="nil"/>
              <w:right w:val="nil"/>
            </w:tcBorders>
            <w:shd w:val="clear" w:color="auto" w:fill="auto"/>
            <w:noWrap/>
            <w:vAlign w:val="center"/>
          </w:tcPr>
          <w:p w14:paraId="2CC0F9AC" w14:textId="3518B22C" w:rsidR="009F03E9" w:rsidRPr="00E20D21" w:rsidRDefault="009F03E9" w:rsidP="009F03E9">
            <w:pPr>
              <w:jc w:val="center"/>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w:t>
            </w:r>
          </w:p>
        </w:tc>
        <w:tc>
          <w:tcPr>
            <w:tcW w:w="1106" w:type="dxa"/>
            <w:tcBorders>
              <w:top w:val="nil"/>
              <w:left w:val="nil"/>
              <w:bottom w:val="nil"/>
              <w:right w:val="nil"/>
            </w:tcBorders>
            <w:shd w:val="clear" w:color="auto" w:fill="auto"/>
            <w:noWrap/>
            <w:vAlign w:val="center"/>
          </w:tcPr>
          <w:p w14:paraId="0237036B" w14:textId="0F780725" w:rsidR="009F03E9" w:rsidRPr="00E20D21" w:rsidRDefault="009F03E9" w:rsidP="009F03E9">
            <w:pPr>
              <w:jc w:val="center"/>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w:t>
            </w:r>
          </w:p>
        </w:tc>
        <w:tc>
          <w:tcPr>
            <w:tcW w:w="1235" w:type="dxa"/>
            <w:tcBorders>
              <w:top w:val="nil"/>
              <w:left w:val="nil"/>
              <w:bottom w:val="nil"/>
            </w:tcBorders>
            <w:shd w:val="clear" w:color="auto" w:fill="auto"/>
            <w:noWrap/>
            <w:vAlign w:val="center"/>
          </w:tcPr>
          <w:p w14:paraId="138AE1BC" w14:textId="1DFE5B33"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35.</w:t>
            </w:r>
            <w:r w:rsidR="008604B0" w:rsidRPr="00E20D21">
              <w:rPr>
                <w:rFonts w:ascii="CAIXA Std Book" w:eastAsia="Futura Lt BT" w:hAnsi="CAIXA Std Book" w:cs="Futura Lt BT"/>
                <w:color w:val="005CA9"/>
                <w:sz w:val="13"/>
                <w:szCs w:val="13"/>
              </w:rPr>
              <w:t>529.305</w:t>
            </w:r>
          </w:p>
        </w:tc>
        <w:tc>
          <w:tcPr>
            <w:tcW w:w="1034" w:type="dxa"/>
            <w:tcBorders>
              <w:top w:val="nil"/>
              <w:left w:val="nil"/>
              <w:bottom w:val="nil"/>
              <w:right w:val="nil"/>
            </w:tcBorders>
            <w:shd w:val="clear" w:color="auto" w:fill="auto"/>
            <w:noWrap/>
            <w:vAlign w:val="center"/>
          </w:tcPr>
          <w:p w14:paraId="5202B62D" w14:textId="5614E3E2"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395.568</w:t>
            </w:r>
          </w:p>
        </w:tc>
        <w:tc>
          <w:tcPr>
            <w:tcW w:w="1156" w:type="dxa"/>
            <w:tcBorders>
              <w:top w:val="nil"/>
              <w:left w:val="nil"/>
              <w:bottom w:val="nil"/>
              <w:right w:val="nil"/>
            </w:tcBorders>
            <w:shd w:val="clear" w:color="auto" w:fill="auto"/>
            <w:noWrap/>
            <w:vAlign w:val="center"/>
          </w:tcPr>
          <w:p w14:paraId="4D13B4C3" w14:textId="489B8D5F"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080A8392" w14:textId="040B9168"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16662CA4" w14:textId="0F1B3F38"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68CB56AF" w14:textId="0E3E1AEE"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29.347.649</w:t>
            </w:r>
          </w:p>
        </w:tc>
      </w:tr>
      <w:tr w:rsidR="00312447" w:rsidRPr="00E20D21" w14:paraId="5CE00FA3" w14:textId="77777777" w:rsidTr="005100AC">
        <w:trPr>
          <w:trHeight w:val="181"/>
        </w:trPr>
        <w:tc>
          <w:tcPr>
            <w:tcW w:w="2977" w:type="dxa"/>
            <w:tcBorders>
              <w:top w:val="nil"/>
              <w:left w:val="nil"/>
              <w:bottom w:val="nil"/>
              <w:right w:val="nil"/>
            </w:tcBorders>
            <w:shd w:val="clear" w:color="auto" w:fill="auto"/>
            <w:vAlign w:val="center"/>
            <w:hideMark/>
          </w:tcPr>
          <w:p w14:paraId="576FE838" w14:textId="3DD47286" w:rsidR="009F03E9" w:rsidRPr="00E20D21" w:rsidRDefault="009F03E9" w:rsidP="009F03E9">
            <w:pPr>
              <w:rPr>
                <w:rFonts w:ascii="CAIXA Std Book" w:hAnsi="CAIXA Std Book"/>
                <w:color w:val="005CA9"/>
                <w:sz w:val="13"/>
                <w:szCs w:val="13"/>
              </w:rPr>
            </w:pPr>
            <w:r w:rsidRPr="00E20D21">
              <w:rPr>
                <w:rFonts w:ascii="CAIXA Std Book" w:hAnsi="CAIXA Std Book" w:cs="Calibri"/>
                <w:color w:val="005CA9"/>
                <w:sz w:val="13"/>
                <w:szCs w:val="13"/>
              </w:rPr>
              <w:t>Recursos de emissões de títulos e valores mobiliários (9)</w:t>
            </w:r>
          </w:p>
        </w:tc>
        <w:tc>
          <w:tcPr>
            <w:tcW w:w="1087" w:type="dxa"/>
            <w:tcBorders>
              <w:top w:val="nil"/>
              <w:left w:val="nil"/>
              <w:bottom w:val="nil"/>
              <w:right w:val="nil"/>
            </w:tcBorders>
            <w:shd w:val="clear" w:color="auto" w:fill="auto"/>
            <w:noWrap/>
            <w:vAlign w:val="center"/>
          </w:tcPr>
          <w:p w14:paraId="7B2C8FFF" w14:textId="2B866D49"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35.404.288</w:t>
            </w:r>
          </w:p>
        </w:tc>
        <w:tc>
          <w:tcPr>
            <w:tcW w:w="1121" w:type="dxa"/>
            <w:tcBorders>
              <w:top w:val="nil"/>
              <w:left w:val="nil"/>
              <w:bottom w:val="nil"/>
              <w:right w:val="nil"/>
            </w:tcBorders>
            <w:shd w:val="clear" w:color="auto" w:fill="auto"/>
            <w:noWrap/>
            <w:vAlign w:val="center"/>
          </w:tcPr>
          <w:p w14:paraId="779D19CD" w14:textId="67FFDA25"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60F3CA87" w14:textId="5D609A5A"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03AD7D08" w14:textId="5E0E5186"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31A2432B" w14:textId="253002B9" w:rsidR="009F03E9" w:rsidRPr="00E20D21" w:rsidRDefault="009F03E9" w:rsidP="009F03E9">
            <w:pPr>
              <w:jc w:val="right"/>
              <w:rPr>
                <w:rFonts w:ascii="CAIXA Std Book" w:hAnsi="CAIXA Std Book" w:cs="Calibri"/>
                <w:color w:val="005CA9"/>
                <w:sz w:val="13"/>
                <w:szCs w:val="13"/>
              </w:rPr>
            </w:pPr>
            <w:r w:rsidRPr="00E20D21">
              <w:rPr>
                <w:rFonts w:ascii="CAIXA Std Book" w:eastAsia="Futura Lt BT" w:hAnsi="CAIXA Std Book" w:cs="Futura Lt BT"/>
                <w:color w:val="005CA9"/>
                <w:sz w:val="13"/>
                <w:szCs w:val="13"/>
              </w:rPr>
              <w:t>132.641.078</w:t>
            </w:r>
          </w:p>
        </w:tc>
        <w:tc>
          <w:tcPr>
            <w:tcW w:w="1034" w:type="dxa"/>
            <w:tcBorders>
              <w:top w:val="nil"/>
              <w:left w:val="nil"/>
              <w:bottom w:val="nil"/>
              <w:right w:val="nil"/>
            </w:tcBorders>
            <w:shd w:val="clear" w:color="auto" w:fill="auto"/>
            <w:noWrap/>
            <w:vAlign w:val="center"/>
          </w:tcPr>
          <w:p w14:paraId="38F7A95B" w14:textId="1842B354"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35.085.061</w:t>
            </w:r>
          </w:p>
        </w:tc>
        <w:tc>
          <w:tcPr>
            <w:tcW w:w="1156" w:type="dxa"/>
            <w:tcBorders>
              <w:top w:val="nil"/>
              <w:left w:val="nil"/>
              <w:bottom w:val="nil"/>
              <w:right w:val="nil"/>
            </w:tcBorders>
            <w:shd w:val="clear" w:color="auto" w:fill="auto"/>
            <w:noWrap/>
            <w:vAlign w:val="center"/>
          </w:tcPr>
          <w:p w14:paraId="1028CEA5" w14:textId="0B2878AC"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088C4778" w14:textId="5CCCF604"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089E6A90" w14:textId="28EDE105"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406AD0FB" w14:textId="12A4143E"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146.748.912</w:t>
            </w:r>
          </w:p>
        </w:tc>
      </w:tr>
      <w:tr w:rsidR="00312447" w:rsidRPr="00E20D21" w14:paraId="0477F44E" w14:textId="77777777" w:rsidTr="005100AC">
        <w:trPr>
          <w:trHeight w:val="181"/>
        </w:trPr>
        <w:tc>
          <w:tcPr>
            <w:tcW w:w="2977" w:type="dxa"/>
            <w:tcBorders>
              <w:top w:val="nil"/>
              <w:left w:val="nil"/>
              <w:bottom w:val="nil"/>
              <w:right w:val="nil"/>
            </w:tcBorders>
            <w:shd w:val="clear" w:color="auto" w:fill="auto"/>
            <w:vAlign w:val="center"/>
            <w:hideMark/>
          </w:tcPr>
          <w:p w14:paraId="1AC4D3FB" w14:textId="77777777" w:rsidR="009F03E9" w:rsidRPr="00E20D21" w:rsidRDefault="009F03E9" w:rsidP="009F03E9">
            <w:pPr>
              <w:rPr>
                <w:rFonts w:ascii="CAIXA Std Book" w:hAnsi="CAIXA Std Book"/>
                <w:color w:val="005CA9"/>
                <w:sz w:val="13"/>
                <w:szCs w:val="13"/>
              </w:rPr>
            </w:pPr>
            <w:r w:rsidRPr="00E20D21">
              <w:rPr>
                <w:rFonts w:ascii="CAIXA Std Book" w:hAnsi="CAIXA Std Book" w:cs="Calibri"/>
                <w:color w:val="005CA9"/>
                <w:sz w:val="13"/>
                <w:szCs w:val="13"/>
              </w:rPr>
              <w:t>Repasses do país - instituições oficiais (10)</w:t>
            </w:r>
          </w:p>
        </w:tc>
        <w:tc>
          <w:tcPr>
            <w:tcW w:w="1087" w:type="dxa"/>
            <w:tcBorders>
              <w:top w:val="nil"/>
              <w:left w:val="nil"/>
              <w:bottom w:val="nil"/>
              <w:right w:val="nil"/>
            </w:tcBorders>
            <w:shd w:val="clear" w:color="auto" w:fill="auto"/>
            <w:noWrap/>
            <w:vAlign w:val="center"/>
          </w:tcPr>
          <w:p w14:paraId="0C051004" w14:textId="5F1B46F6"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19.261</w:t>
            </w:r>
          </w:p>
        </w:tc>
        <w:tc>
          <w:tcPr>
            <w:tcW w:w="1121" w:type="dxa"/>
            <w:tcBorders>
              <w:top w:val="nil"/>
              <w:left w:val="nil"/>
              <w:bottom w:val="nil"/>
              <w:right w:val="nil"/>
            </w:tcBorders>
            <w:shd w:val="clear" w:color="auto" w:fill="auto"/>
            <w:noWrap/>
            <w:vAlign w:val="center"/>
          </w:tcPr>
          <w:p w14:paraId="39441609" w14:textId="3DE526C2"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040E3409" w14:textId="1B0CB91F"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2FEEEBCD" w14:textId="5226892B"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7BD8E997" w14:textId="2B690539"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465.952.091</w:t>
            </w:r>
          </w:p>
        </w:tc>
        <w:tc>
          <w:tcPr>
            <w:tcW w:w="1034" w:type="dxa"/>
            <w:tcBorders>
              <w:top w:val="nil"/>
              <w:left w:val="nil"/>
              <w:bottom w:val="nil"/>
              <w:right w:val="nil"/>
            </w:tcBorders>
            <w:shd w:val="clear" w:color="auto" w:fill="auto"/>
            <w:noWrap/>
            <w:vAlign w:val="center"/>
          </w:tcPr>
          <w:p w14:paraId="4B86490E" w14:textId="6A6F27FA"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13.674</w:t>
            </w:r>
          </w:p>
        </w:tc>
        <w:tc>
          <w:tcPr>
            <w:tcW w:w="1156" w:type="dxa"/>
            <w:tcBorders>
              <w:top w:val="nil"/>
              <w:left w:val="nil"/>
              <w:bottom w:val="nil"/>
              <w:right w:val="nil"/>
            </w:tcBorders>
            <w:shd w:val="clear" w:color="auto" w:fill="auto"/>
            <w:noWrap/>
            <w:vAlign w:val="center"/>
          </w:tcPr>
          <w:p w14:paraId="79AD7A05" w14:textId="3051FD91"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0F2F0D27" w14:textId="4FC6312E"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1B18440C" w14:textId="6717062E"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0CF740A7" w14:textId="4DEC0D5A"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433.480.389</w:t>
            </w:r>
          </w:p>
        </w:tc>
      </w:tr>
      <w:tr w:rsidR="00312447" w:rsidRPr="00E20D21" w14:paraId="3D0E6058" w14:textId="77777777" w:rsidTr="005100AC">
        <w:trPr>
          <w:trHeight w:val="181"/>
        </w:trPr>
        <w:tc>
          <w:tcPr>
            <w:tcW w:w="2977" w:type="dxa"/>
            <w:tcBorders>
              <w:top w:val="nil"/>
              <w:left w:val="nil"/>
              <w:bottom w:val="nil"/>
              <w:right w:val="nil"/>
            </w:tcBorders>
            <w:shd w:val="clear" w:color="auto" w:fill="auto"/>
            <w:vAlign w:val="center"/>
            <w:hideMark/>
          </w:tcPr>
          <w:p w14:paraId="08E3F934" w14:textId="77777777" w:rsidR="009F03E9" w:rsidRPr="00E20D21" w:rsidRDefault="009F03E9" w:rsidP="009F03E9">
            <w:pPr>
              <w:rPr>
                <w:rFonts w:ascii="CAIXA Std Book" w:hAnsi="CAIXA Std Book"/>
                <w:color w:val="005CA9"/>
                <w:sz w:val="13"/>
                <w:szCs w:val="13"/>
              </w:rPr>
            </w:pPr>
            <w:r w:rsidRPr="00E20D21">
              <w:rPr>
                <w:rFonts w:ascii="CAIXA Std Book" w:hAnsi="CAIXA Std Book" w:cs="Calibri"/>
                <w:color w:val="005CA9"/>
                <w:sz w:val="13"/>
                <w:szCs w:val="13"/>
              </w:rPr>
              <w:t>Recursos para destinação específica (11)</w:t>
            </w:r>
          </w:p>
        </w:tc>
        <w:tc>
          <w:tcPr>
            <w:tcW w:w="1087" w:type="dxa"/>
            <w:tcBorders>
              <w:top w:val="nil"/>
              <w:left w:val="nil"/>
              <w:bottom w:val="nil"/>
              <w:right w:val="nil"/>
            </w:tcBorders>
            <w:shd w:val="clear" w:color="auto" w:fill="auto"/>
            <w:noWrap/>
            <w:vAlign w:val="center"/>
          </w:tcPr>
          <w:p w14:paraId="2CDC0174" w14:textId="347E231C"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3.083.171</w:t>
            </w:r>
          </w:p>
        </w:tc>
        <w:tc>
          <w:tcPr>
            <w:tcW w:w="1121" w:type="dxa"/>
            <w:tcBorders>
              <w:top w:val="nil"/>
              <w:left w:val="nil"/>
              <w:bottom w:val="nil"/>
              <w:right w:val="nil"/>
            </w:tcBorders>
            <w:shd w:val="clear" w:color="auto" w:fill="auto"/>
            <w:noWrap/>
            <w:vAlign w:val="center"/>
          </w:tcPr>
          <w:p w14:paraId="0F309683" w14:textId="76FA23EF"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560ACB1F" w14:textId="75418BEB"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771F528E" w14:textId="6EA1BF90"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07AEF9D1" w14:textId="4E3EE7A1"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11.204.508</w:t>
            </w:r>
          </w:p>
        </w:tc>
        <w:tc>
          <w:tcPr>
            <w:tcW w:w="1034" w:type="dxa"/>
            <w:tcBorders>
              <w:top w:val="nil"/>
              <w:left w:val="nil"/>
              <w:bottom w:val="nil"/>
              <w:right w:val="nil"/>
            </w:tcBorders>
            <w:shd w:val="clear" w:color="auto" w:fill="auto"/>
            <w:noWrap/>
            <w:vAlign w:val="center"/>
          </w:tcPr>
          <w:p w14:paraId="5EB26D83" w14:textId="05B03210"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1.751.718</w:t>
            </w:r>
          </w:p>
        </w:tc>
        <w:tc>
          <w:tcPr>
            <w:tcW w:w="1156" w:type="dxa"/>
            <w:tcBorders>
              <w:top w:val="nil"/>
              <w:left w:val="nil"/>
              <w:bottom w:val="nil"/>
              <w:right w:val="nil"/>
            </w:tcBorders>
            <w:shd w:val="clear" w:color="auto" w:fill="auto"/>
            <w:noWrap/>
            <w:vAlign w:val="center"/>
          </w:tcPr>
          <w:p w14:paraId="7E202955" w14:textId="07FE3A63"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32DE8D8D" w14:textId="461BE428"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1EE934D0" w14:textId="7C040CC4"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739BDA30" w14:textId="146D8D7A"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12.023.487</w:t>
            </w:r>
          </w:p>
        </w:tc>
      </w:tr>
      <w:tr w:rsidR="00312447" w:rsidRPr="00E20D21" w14:paraId="41832DF2" w14:textId="77777777" w:rsidTr="005100AC">
        <w:trPr>
          <w:trHeight w:val="181"/>
        </w:trPr>
        <w:tc>
          <w:tcPr>
            <w:tcW w:w="2977" w:type="dxa"/>
            <w:tcBorders>
              <w:top w:val="nil"/>
              <w:left w:val="nil"/>
              <w:bottom w:val="nil"/>
              <w:right w:val="nil"/>
            </w:tcBorders>
            <w:shd w:val="clear" w:color="auto" w:fill="auto"/>
            <w:vAlign w:val="center"/>
          </w:tcPr>
          <w:p w14:paraId="6B92E203" w14:textId="77777777" w:rsidR="009F03E9" w:rsidRPr="00E20D21" w:rsidRDefault="009F03E9" w:rsidP="009F03E9">
            <w:pPr>
              <w:rPr>
                <w:rFonts w:ascii="CAIXA Std Book" w:hAnsi="CAIXA Std Book" w:cs="Calibri"/>
                <w:color w:val="005CA9"/>
                <w:sz w:val="13"/>
                <w:szCs w:val="13"/>
              </w:rPr>
            </w:pPr>
            <w:r w:rsidRPr="00E20D21">
              <w:rPr>
                <w:rFonts w:ascii="CAIXA Std Book" w:hAnsi="CAIXA Std Book" w:cs="Calibri"/>
                <w:color w:val="005CA9"/>
                <w:sz w:val="13"/>
                <w:szCs w:val="13"/>
              </w:rPr>
              <w:t>Obrigações fiscais e previdenciárias (12)</w:t>
            </w:r>
          </w:p>
        </w:tc>
        <w:tc>
          <w:tcPr>
            <w:tcW w:w="1087" w:type="dxa"/>
            <w:tcBorders>
              <w:top w:val="nil"/>
              <w:left w:val="nil"/>
              <w:bottom w:val="nil"/>
              <w:right w:val="nil"/>
            </w:tcBorders>
            <w:shd w:val="clear" w:color="auto" w:fill="auto"/>
            <w:noWrap/>
            <w:vAlign w:val="center"/>
          </w:tcPr>
          <w:p w14:paraId="7CF58951" w14:textId="6615B78B"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5.090.157</w:t>
            </w:r>
          </w:p>
        </w:tc>
        <w:tc>
          <w:tcPr>
            <w:tcW w:w="1121" w:type="dxa"/>
            <w:tcBorders>
              <w:top w:val="nil"/>
              <w:left w:val="nil"/>
              <w:bottom w:val="nil"/>
              <w:right w:val="nil"/>
            </w:tcBorders>
            <w:shd w:val="clear" w:color="auto" w:fill="auto"/>
            <w:noWrap/>
            <w:vAlign w:val="center"/>
          </w:tcPr>
          <w:p w14:paraId="72A1EEEB" w14:textId="5E48F01E"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4957AF5F" w14:textId="2F308691"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43EFAF0C" w14:textId="73A73014"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5D1B2989" w14:textId="6FEC7370"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034" w:type="dxa"/>
            <w:tcBorders>
              <w:top w:val="nil"/>
              <w:left w:val="nil"/>
              <w:bottom w:val="nil"/>
              <w:right w:val="nil"/>
            </w:tcBorders>
            <w:shd w:val="clear" w:color="auto" w:fill="auto"/>
            <w:noWrap/>
            <w:vAlign w:val="center"/>
          </w:tcPr>
          <w:p w14:paraId="7615663A" w14:textId="30887CB8"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6.215.075</w:t>
            </w:r>
          </w:p>
        </w:tc>
        <w:tc>
          <w:tcPr>
            <w:tcW w:w="1156" w:type="dxa"/>
            <w:tcBorders>
              <w:top w:val="nil"/>
              <w:left w:val="nil"/>
              <w:bottom w:val="nil"/>
              <w:right w:val="nil"/>
            </w:tcBorders>
            <w:shd w:val="clear" w:color="auto" w:fill="auto"/>
            <w:noWrap/>
            <w:vAlign w:val="center"/>
          </w:tcPr>
          <w:p w14:paraId="2DFFA9C5" w14:textId="5712F71B"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nil"/>
              <w:right w:val="nil"/>
            </w:tcBorders>
            <w:shd w:val="clear" w:color="auto" w:fill="auto"/>
            <w:noWrap/>
            <w:vAlign w:val="center"/>
          </w:tcPr>
          <w:p w14:paraId="4420B738" w14:textId="19E78D95"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3621B237" w14:textId="28BCB5BD"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45BEBDC6" w14:textId="6B997980"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r>
      <w:tr w:rsidR="00312447" w:rsidRPr="00E20D21" w14:paraId="510CB1B9" w14:textId="77777777" w:rsidTr="005100AC">
        <w:trPr>
          <w:trHeight w:val="181"/>
        </w:trPr>
        <w:tc>
          <w:tcPr>
            <w:tcW w:w="2977" w:type="dxa"/>
            <w:tcBorders>
              <w:top w:val="nil"/>
              <w:left w:val="nil"/>
              <w:bottom w:val="nil"/>
              <w:right w:val="nil"/>
            </w:tcBorders>
            <w:shd w:val="clear" w:color="auto" w:fill="auto"/>
            <w:vAlign w:val="center"/>
          </w:tcPr>
          <w:p w14:paraId="60866EA9" w14:textId="77777777" w:rsidR="009F03E9" w:rsidRPr="00E20D21" w:rsidRDefault="009F03E9" w:rsidP="009F03E9">
            <w:pPr>
              <w:rPr>
                <w:rFonts w:ascii="CAIXA Std Book" w:hAnsi="CAIXA Std Book" w:cs="Calibri"/>
                <w:color w:val="005CA9"/>
                <w:sz w:val="13"/>
                <w:szCs w:val="13"/>
              </w:rPr>
            </w:pPr>
            <w:r w:rsidRPr="00E20D21">
              <w:rPr>
                <w:rFonts w:ascii="CAIXA Std Book" w:hAnsi="CAIXA Std Book" w:cs="Calibri"/>
                <w:color w:val="005CA9"/>
                <w:sz w:val="13"/>
                <w:szCs w:val="13"/>
              </w:rPr>
              <w:t>Obrigações diversas (13)</w:t>
            </w:r>
          </w:p>
        </w:tc>
        <w:tc>
          <w:tcPr>
            <w:tcW w:w="1087" w:type="dxa"/>
            <w:tcBorders>
              <w:top w:val="nil"/>
              <w:left w:val="nil"/>
              <w:bottom w:val="nil"/>
              <w:right w:val="nil"/>
            </w:tcBorders>
            <w:shd w:val="clear" w:color="auto" w:fill="auto"/>
            <w:noWrap/>
            <w:vAlign w:val="center"/>
          </w:tcPr>
          <w:p w14:paraId="205029C1" w14:textId="6A2F4F8C"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96.780</w:t>
            </w:r>
          </w:p>
        </w:tc>
        <w:tc>
          <w:tcPr>
            <w:tcW w:w="1121" w:type="dxa"/>
            <w:tcBorders>
              <w:top w:val="nil"/>
              <w:left w:val="nil"/>
              <w:bottom w:val="nil"/>
              <w:right w:val="nil"/>
            </w:tcBorders>
            <w:shd w:val="clear" w:color="auto" w:fill="auto"/>
            <w:noWrap/>
            <w:vAlign w:val="center"/>
          </w:tcPr>
          <w:p w14:paraId="3E5E9B38" w14:textId="5D157969"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31.021</w:t>
            </w:r>
          </w:p>
        </w:tc>
        <w:tc>
          <w:tcPr>
            <w:tcW w:w="1121" w:type="dxa"/>
            <w:tcBorders>
              <w:top w:val="nil"/>
              <w:left w:val="nil"/>
              <w:bottom w:val="nil"/>
              <w:right w:val="nil"/>
            </w:tcBorders>
            <w:shd w:val="clear" w:color="auto" w:fill="auto"/>
            <w:noWrap/>
            <w:vAlign w:val="center"/>
          </w:tcPr>
          <w:p w14:paraId="4E757F78" w14:textId="1BDF9660" w:rsidR="009F03E9" w:rsidRPr="00E20D21" w:rsidRDefault="009F03E9" w:rsidP="00BC7F76">
            <w:pPr>
              <w:jc w:val="right"/>
              <w:rPr>
                <w:rFonts w:ascii="CAIXA Std Book" w:hAnsi="CAIXA Std Book" w:cs="Calibri"/>
                <w:color w:val="005CA9"/>
                <w:sz w:val="13"/>
                <w:szCs w:val="13"/>
              </w:rPr>
            </w:pPr>
            <w:r w:rsidRPr="00E20D21">
              <w:rPr>
                <w:rFonts w:ascii="CAIXA Std Book" w:hAnsi="CAIXA Std Book" w:cs="Calibri"/>
                <w:color w:val="005CA9"/>
                <w:sz w:val="13"/>
                <w:szCs w:val="13"/>
              </w:rPr>
              <w:t>97.379</w:t>
            </w:r>
          </w:p>
        </w:tc>
        <w:tc>
          <w:tcPr>
            <w:tcW w:w="1106" w:type="dxa"/>
            <w:tcBorders>
              <w:top w:val="nil"/>
              <w:left w:val="nil"/>
              <w:bottom w:val="nil"/>
              <w:right w:val="nil"/>
            </w:tcBorders>
            <w:shd w:val="clear" w:color="auto" w:fill="auto"/>
            <w:noWrap/>
            <w:vAlign w:val="center"/>
          </w:tcPr>
          <w:p w14:paraId="0CA80D6B" w14:textId="6B98A38F"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nil"/>
            </w:tcBorders>
            <w:shd w:val="clear" w:color="auto" w:fill="auto"/>
            <w:noWrap/>
            <w:vAlign w:val="center"/>
          </w:tcPr>
          <w:p w14:paraId="261767C9" w14:textId="59C7981D"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1.786.441</w:t>
            </w:r>
          </w:p>
        </w:tc>
        <w:tc>
          <w:tcPr>
            <w:tcW w:w="1034" w:type="dxa"/>
            <w:tcBorders>
              <w:top w:val="nil"/>
              <w:left w:val="nil"/>
              <w:bottom w:val="nil"/>
              <w:right w:val="nil"/>
            </w:tcBorders>
            <w:shd w:val="clear" w:color="auto" w:fill="auto"/>
            <w:noWrap/>
            <w:vAlign w:val="center"/>
          </w:tcPr>
          <w:p w14:paraId="6AF56069" w14:textId="4C9B8C7C"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415.154</w:t>
            </w:r>
          </w:p>
        </w:tc>
        <w:tc>
          <w:tcPr>
            <w:tcW w:w="1156" w:type="dxa"/>
            <w:tcBorders>
              <w:top w:val="nil"/>
              <w:left w:val="nil"/>
              <w:bottom w:val="nil"/>
              <w:right w:val="nil"/>
            </w:tcBorders>
            <w:shd w:val="clear" w:color="auto" w:fill="auto"/>
            <w:noWrap/>
            <w:vAlign w:val="center"/>
          </w:tcPr>
          <w:p w14:paraId="6280868A" w14:textId="0F11C7A9"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86.346</w:t>
            </w:r>
          </w:p>
        </w:tc>
        <w:tc>
          <w:tcPr>
            <w:tcW w:w="1163" w:type="dxa"/>
            <w:tcBorders>
              <w:top w:val="nil"/>
              <w:left w:val="nil"/>
              <w:bottom w:val="nil"/>
              <w:right w:val="nil"/>
            </w:tcBorders>
            <w:shd w:val="clear" w:color="auto" w:fill="auto"/>
            <w:noWrap/>
            <w:vAlign w:val="center"/>
          </w:tcPr>
          <w:p w14:paraId="77B659A2" w14:textId="0A1071B5"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nil"/>
              <w:right w:val="nil"/>
            </w:tcBorders>
            <w:shd w:val="clear" w:color="auto" w:fill="auto"/>
            <w:noWrap/>
            <w:vAlign w:val="center"/>
          </w:tcPr>
          <w:p w14:paraId="2999A592" w14:textId="392FA063"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nil"/>
            </w:tcBorders>
            <w:shd w:val="clear" w:color="auto" w:fill="auto"/>
            <w:noWrap/>
            <w:vAlign w:val="center"/>
          </w:tcPr>
          <w:p w14:paraId="0671A67D" w14:textId="7BD65040"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1.678.905</w:t>
            </w:r>
          </w:p>
        </w:tc>
      </w:tr>
      <w:tr w:rsidR="00312447" w:rsidRPr="00E20D21" w14:paraId="3A1EBE09" w14:textId="77777777" w:rsidTr="005100AC">
        <w:trPr>
          <w:trHeight w:val="181"/>
        </w:trPr>
        <w:tc>
          <w:tcPr>
            <w:tcW w:w="2977" w:type="dxa"/>
            <w:tcBorders>
              <w:top w:val="nil"/>
              <w:left w:val="nil"/>
              <w:bottom w:val="single" w:sz="4" w:space="0" w:color="F39200"/>
              <w:right w:val="nil"/>
            </w:tcBorders>
            <w:shd w:val="clear" w:color="auto" w:fill="auto"/>
            <w:noWrap/>
            <w:vAlign w:val="center"/>
            <w:hideMark/>
          </w:tcPr>
          <w:p w14:paraId="6F0AD567" w14:textId="77777777" w:rsidR="009F03E9" w:rsidRPr="00E20D21" w:rsidRDefault="009F03E9" w:rsidP="009F03E9">
            <w:pPr>
              <w:rPr>
                <w:rFonts w:ascii="CAIXA Std Book" w:hAnsi="CAIXA Std Book"/>
                <w:color w:val="005CA9"/>
                <w:sz w:val="13"/>
                <w:szCs w:val="13"/>
              </w:rPr>
            </w:pPr>
            <w:r w:rsidRPr="00E20D21">
              <w:rPr>
                <w:rFonts w:ascii="CAIXA Std Book" w:hAnsi="CAIXA Std Book" w:cs="Calibri"/>
                <w:color w:val="005CA9"/>
                <w:sz w:val="13"/>
                <w:szCs w:val="13"/>
              </w:rPr>
              <w:t>Outros passivos financeiros (14)</w:t>
            </w:r>
          </w:p>
        </w:tc>
        <w:tc>
          <w:tcPr>
            <w:tcW w:w="1087" w:type="dxa"/>
            <w:tcBorders>
              <w:top w:val="nil"/>
              <w:left w:val="nil"/>
              <w:bottom w:val="single" w:sz="4" w:space="0" w:color="F39200"/>
              <w:right w:val="nil"/>
            </w:tcBorders>
            <w:shd w:val="clear" w:color="auto" w:fill="auto"/>
            <w:noWrap/>
            <w:vAlign w:val="center"/>
          </w:tcPr>
          <w:p w14:paraId="0DA9D066" w14:textId="340B97F5"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141.400</w:t>
            </w:r>
          </w:p>
        </w:tc>
        <w:tc>
          <w:tcPr>
            <w:tcW w:w="1121" w:type="dxa"/>
            <w:tcBorders>
              <w:top w:val="nil"/>
              <w:left w:val="nil"/>
              <w:bottom w:val="single" w:sz="4" w:space="0" w:color="F39200"/>
              <w:right w:val="nil"/>
            </w:tcBorders>
            <w:shd w:val="clear" w:color="auto" w:fill="auto"/>
            <w:noWrap/>
            <w:vAlign w:val="center"/>
          </w:tcPr>
          <w:p w14:paraId="46AC95D2" w14:textId="5923716B"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21" w:type="dxa"/>
            <w:tcBorders>
              <w:top w:val="nil"/>
              <w:left w:val="nil"/>
              <w:bottom w:val="single" w:sz="4" w:space="0" w:color="F39200"/>
              <w:right w:val="nil"/>
            </w:tcBorders>
            <w:shd w:val="clear" w:color="auto" w:fill="auto"/>
            <w:noWrap/>
            <w:vAlign w:val="center"/>
          </w:tcPr>
          <w:p w14:paraId="65FC7F0A" w14:textId="3FC2EA64"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06" w:type="dxa"/>
            <w:tcBorders>
              <w:top w:val="nil"/>
              <w:left w:val="nil"/>
              <w:bottom w:val="single" w:sz="4" w:space="0" w:color="F39200"/>
              <w:right w:val="nil"/>
            </w:tcBorders>
            <w:shd w:val="clear" w:color="auto" w:fill="auto"/>
            <w:noWrap/>
            <w:vAlign w:val="center"/>
          </w:tcPr>
          <w:p w14:paraId="22A29619" w14:textId="33A6D3F9"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235" w:type="dxa"/>
            <w:tcBorders>
              <w:top w:val="nil"/>
              <w:left w:val="nil"/>
              <w:bottom w:val="single" w:sz="4" w:space="0" w:color="F39200"/>
            </w:tcBorders>
            <w:shd w:val="clear" w:color="auto" w:fill="auto"/>
            <w:noWrap/>
            <w:vAlign w:val="center"/>
          </w:tcPr>
          <w:p w14:paraId="52651366" w14:textId="221EC28A"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1.628.680</w:t>
            </w:r>
          </w:p>
        </w:tc>
        <w:tc>
          <w:tcPr>
            <w:tcW w:w="1034" w:type="dxa"/>
            <w:tcBorders>
              <w:top w:val="nil"/>
              <w:left w:val="nil"/>
              <w:bottom w:val="single" w:sz="4" w:space="0" w:color="F39200"/>
              <w:right w:val="nil"/>
            </w:tcBorders>
            <w:shd w:val="clear" w:color="auto" w:fill="auto"/>
            <w:noWrap/>
            <w:vAlign w:val="center"/>
          </w:tcPr>
          <w:p w14:paraId="0AA6137D" w14:textId="71F7D48A"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129.305</w:t>
            </w:r>
          </w:p>
        </w:tc>
        <w:tc>
          <w:tcPr>
            <w:tcW w:w="1156" w:type="dxa"/>
            <w:tcBorders>
              <w:top w:val="nil"/>
              <w:left w:val="nil"/>
              <w:bottom w:val="single" w:sz="4" w:space="0" w:color="F39200"/>
              <w:right w:val="nil"/>
            </w:tcBorders>
            <w:shd w:val="clear" w:color="auto" w:fill="auto"/>
            <w:noWrap/>
            <w:vAlign w:val="center"/>
          </w:tcPr>
          <w:p w14:paraId="20465750" w14:textId="12D39B21"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3" w:type="dxa"/>
            <w:tcBorders>
              <w:top w:val="nil"/>
              <w:left w:val="nil"/>
              <w:bottom w:val="single" w:sz="4" w:space="0" w:color="F39200"/>
              <w:right w:val="nil"/>
            </w:tcBorders>
            <w:shd w:val="clear" w:color="auto" w:fill="auto"/>
            <w:noWrap/>
            <w:vAlign w:val="center"/>
          </w:tcPr>
          <w:p w14:paraId="459054AE" w14:textId="3967BF10"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161" w:type="dxa"/>
            <w:tcBorders>
              <w:top w:val="nil"/>
              <w:left w:val="nil"/>
              <w:bottom w:val="single" w:sz="4" w:space="0" w:color="F39200"/>
              <w:right w:val="nil"/>
            </w:tcBorders>
            <w:shd w:val="clear" w:color="auto" w:fill="auto"/>
            <w:noWrap/>
            <w:vAlign w:val="center"/>
          </w:tcPr>
          <w:p w14:paraId="4D0D6F07" w14:textId="5C0C2EA9" w:rsidR="009F03E9" w:rsidRPr="00E20D21" w:rsidRDefault="009F03E9" w:rsidP="009F03E9">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1441" w:type="dxa"/>
            <w:tcBorders>
              <w:top w:val="nil"/>
              <w:left w:val="nil"/>
              <w:bottom w:val="single" w:sz="4" w:space="0" w:color="F39200"/>
            </w:tcBorders>
            <w:shd w:val="clear" w:color="auto" w:fill="auto"/>
            <w:noWrap/>
            <w:vAlign w:val="center"/>
          </w:tcPr>
          <w:p w14:paraId="176934E4" w14:textId="3B1C4475" w:rsidR="009F03E9" w:rsidRPr="00E20D21" w:rsidRDefault="009F03E9" w:rsidP="009F03E9">
            <w:pPr>
              <w:jc w:val="right"/>
              <w:rPr>
                <w:rFonts w:ascii="CAIXA Std Book" w:hAnsi="CAIXA Std Book" w:cs="Calibri"/>
                <w:color w:val="005CA9"/>
                <w:sz w:val="13"/>
                <w:szCs w:val="13"/>
              </w:rPr>
            </w:pPr>
            <w:r w:rsidRPr="00E20D21">
              <w:rPr>
                <w:rFonts w:ascii="CAIXA Std Book" w:hAnsi="CAIXA Std Book" w:cs="Calibri"/>
                <w:color w:val="005CA9"/>
                <w:sz w:val="13"/>
                <w:szCs w:val="13"/>
              </w:rPr>
              <w:t>1.986.263</w:t>
            </w:r>
          </w:p>
        </w:tc>
      </w:tr>
      <w:tr w:rsidR="00312447" w:rsidRPr="00E20D21" w14:paraId="7EE85A18" w14:textId="77777777" w:rsidTr="005100AC">
        <w:trPr>
          <w:trHeight w:val="181"/>
        </w:trPr>
        <w:tc>
          <w:tcPr>
            <w:tcW w:w="2977" w:type="dxa"/>
            <w:tcBorders>
              <w:top w:val="nil"/>
              <w:left w:val="nil"/>
              <w:bottom w:val="single" w:sz="4" w:space="0" w:color="F39200"/>
              <w:right w:val="nil"/>
            </w:tcBorders>
            <w:shd w:val="clear" w:color="auto" w:fill="auto"/>
            <w:noWrap/>
            <w:vAlign w:val="center"/>
          </w:tcPr>
          <w:p w14:paraId="486D2361" w14:textId="77777777" w:rsidR="009F03E9" w:rsidRPr="00E20D21" w:rsidRDefault="009F03E9" w:rsidP="009F03E9">
            <w:pPr>
              <w:rPr>
                <w:rFonts w:ascii="CAIXA Std Book" w:hAnsi="CAIXA Std Book" w:cs="Symbol"/>
                <w:b/>
                <w:color w:val="005CA9"/>
                <w:sz w:val="13"/>
                <w:szCs w:val="13"/>
              </w:rPr>
            </w:pPr>
            <w:r w:rsidRPr="00E20D21">
              <w:rPr>
                <w:rFonts w:ascii="CAIXA Std Book" w:hAnsi="CAIXA Std Book" w:cs="Calibri"/>
                <w:b/>
                <w:bCs/>
                <w:color w:val="005CA9"/>
                <w:sz w:val="13"/>
                <w:szCs w:val="13"/>
              </w:rPr>
              <w:t>Garantias recebidas (15)</w:t>
            </w:r>
          </w:p>
        </w:tc>
        <w:tc>
          <w:tcPr>
            <w:tcW w:w="1087" w:type="dxa"/>
            <w:tcBorders>
              <w:top w:val="nil"/>
              <w:left w:val="nil"/>
              <w:bottom w:val="single" w:sz="4" w:space="0" w:color="F39200"/>
              <w:right w:val="nil"/>
            </w:tcBorders>
            <w:shd w:val="clear" w:color="auto" w:fill="auto"/>
            <w:noWrap/>
            <w:vAlign w:val="center"/>
          </w:tcPr>
          <w:p w14:paraId="1DF31E5A" w14:textId="3BD173A3" w:rsidR="009F03E9" w:rsidRPr="00E20D21" w:rsidRDefault="009F03E9" w:rsidP="009F03E9">
            <w:pPr>
              <w:jc w:val="right"/>
              <w:rPr>
                <w:rFonts w:ascii="CAIXA Std Book" w:hAnsi="CAIXA Std Book" w:cs="Calibri"/>
                <w:b/>
                <w:bCs/>
                <w:color w:val="005CA9"/>
                <w:sz w:val="13"/>
                <w:szCs w:val="13"/>
              </w:rPr>
            </w:pPr>
            <w:r w:rsidRPr="00E20D21">
              <w:rPr>
                <w:rFonts w:ascii="CAIXA Std Book" w:hAnsi="CAIXA Std Book" w:cs="Calibri"/>
                <w:b/>
                <w:color w:val="005CA9"/>
                <w:sz w:val="13"/>
                <w:szCs w:val="13"/>
              </w:rPr>
              <w:t>11.758</w:t>
            </w:r>
          </w:p>
        </w:tc>
        <w:tc>
          <w:tcPr>
            <w:tcW w:w="1121" w:type="dxa"/>
            <w:tcBorders>
              <w:top w:val="nil"/>
              <w:left w:val="nil"/>
              <w:bottom w:val="single" w:sz="4" w:space="0" w:color="F39200"/>
              <w:right w:val="nil"/>
            </w:tcBorders>
            <w:shd w:val="clear" w:color="auto" w:fill="auto"/>
            <w:noWrap/>
            <w:vAlign w:val="center"/>
          </w:tcPr>
          <w:p w14:paraId="12E01B92" w14:textId="1119DBC3" w:rsidR="009F03E9" w:rsidRPr="00E20D21" w:rsidRDefault="009F03E9" w:rsidP="009F03E9">
            <w:pPr>
              <w:jc w:val="center"/>
              <w:rPr>
                <w:rFonts w:ascii="CAIXA Std Book" w:hAnsi="CAIXA Std Book" w:cs="Calibri"/>
                <w:b/>
                <w:bCs/>
                <w:color w:val="005CA9"/>
                <w:sz w:val="13"/>
                <w:szCs w:val="13"/>
              </w:rPr>
            </w:pPr>
            <w:r w:rsidRPr="00E20D21">
              <w:rPr>
                <w:rFonts w:ascii="CAIXA Std Book" w:hAnsi="CAIXA Std Book" w:cs="Calibri"/>
                <w:b/>
                <w:color w:val="005CA9"/>
                <w:sz w:val="13"/>
                <w:szCs w:val="13"/>
              </w:rPr>
              <w:t>-</w:t>
            </w:r>
          </w:p>
        </w:tc>
        <w:tc>
          <w:tcPr>
            <w:tcW w:w="1121" w:type="dxa"/>
            <w:tcBorders>
              <w:top w:val="nil"/>
              <w:left w:val="nil"/>
              <w:bottom w:val="single" w:sz="4" w:space="0" w:color="F39200"/>
              <w:right w:val="nil"/>
            </w:tcBorders>
            <w:shd w:val="clear" w:color="auto" w:fill="auto"/>
            <w:noWrap/>
            <w:vAlign w:val="center"/>
          </w:tcPr>
          <w:p w14:paraId="3A8E5E58" w14:textId="28108116" w:rsidR="009F03E9" w:rsidRPr="00E20D21" w:rsidRDefault="009F03E9" w:rsidP="009F03E9">
            <w:pPr>
              <w:jc w:val="center"/>
              <w:rPr>
                <w:rFonts w:ascii="CAIXA Std Book" w:hAnsi="CAIXA Std Book" w:cs="Calibri"/>
                <w:b/>
                <w:bCs/>
                <w:color w:val="005CA9"/>
                <w:sz w:val="13"/>
                <w:szCs w:val="13"/>
              </w:rPr>
            </w:pPr>
            <w:r w:rsidRPr="00E20D21">
              <w:rPr>
                <w:rFonts w:ascii="CAIXA Std Book" w:hAnsi="CAIXA Std Book" w:cs="Calibri"/>
                <w:b/>
                <w:color w:val="005CA9"/>
                <w:sz w:val="13"/>
                <w:szCs w:val="13"/>
              </w:rPr>
              <w:t>-</w:t>
            </w:r>
          </w:p>
        </w:tc>
        <w:tc>
          <w:tcPr>
            <w:tcW w:w="1106" w:type="dxa"/>
            <w:tcBorders>
              <w:top w:val="nil"/>
              <w:left w:val="nil"/>
              <w:bottom w:val="single" w:sz="4" w:space="0" w:color="F39200"/>
              <w:right w:val="nil"/>
            </w:tcBorders>
            <w:shd w:val="clear" w:color="auto" w:fill="auto"/>
            <w:noWrap/>
            <w:vAlign w:val="center"/>
          </w:tcPr>
          <w:p w14:paraId="02C6398D" w14:textId="1C34FA24" w:rsidR="009F03E9" w:rsidRPr="00E20D21" w:rsidRDefault="009F03E9" w:rsidP="009F03E9">
            <w:pPr>
              <w:jc w:val="right"/>
              <w:rPr>
                <w:rFonts w:ascii="CAIXA Std Book" w:hAnsi="CAIXA Std Book" w:cs="Calibri"/>
                <w:b/>
                <w:bCs/>
                <w:color w:val="005CA9"/>
                <w:sz w:val="13"/>
                <w:szCs w:val="13"/>
              </w:rPr>
            </w:pPr>
            <w:r w:rsidRPr="00E20D21">
              <w:rPr>
                <w:rFonts w:ascii="CAIXA Std Book" w:hAnsi="CAIXA Std Book" w:cs="Calibri"/>
                <w:b/>
                <w:color w:val="005CA9"/>
                <w:sz w:val="13"/>
                <w:szCs w:val="13"/>
              </w:rPr>
              <w:t>284.627</w:t>
            </w:r>
          </w:p>
        </w:tc>
        <w:tc>
          <w:tcPr>
            <w:tcW w:w="1235" w:type="dxa"/>
            <w:tcBorders>
              <w:top w:val="nil"/>
              <w:left w:val="nil"/>
              <w:bottom w:val="single" w:sz="4" w:space="0" w:color="F39200"/>
            </w:tcBorders>
            <w:shd w:val="clear" w:color="auto" w:fill="auto"/>
            <w:noWrap/>
            <w:vAlign w:val="center"/>
          </w:tcPr>
          <w:p w14:paraId="099A9910" w14:textId="376D060E" w:rsidR="009F03E9" w:rsidRPr="00E20D21" w:rsidRDefault="009F03E9" w:rsidP="009F03E9">
            <w:pPr>
              <w:jc w:val="right"/>
              <w:rPr>
                <w:rFonts w:ascii="CAIXA Std Book" w:hAnsi="CAIXA Std Book" w:cs="Calibri"/>
                <w:b/>
                <w:bCs/>
                <w:color w:val="005CA9"/>
                <w:sz w:val="13"/>
                <w:szCs w:val="13"/>
              </w:rPr>
            </w:pPr>
            <w:r w:rsidRPr="00E20D21">
              <w:rPr>
                <w:rFonts w:ascii="CAIXA Std Book" w:hAnsi="CAIXA Std Book" w:cs="Calibri"/>
                <w:b/>
                <w:color w:val="005CA9"/>
                <w:sz w:val="13"/>
                <w:szCs w:val="13"/>
              </w:rPr>
              <w:t>7.196.854</w:t>
            </w:r>
          </w:p>
        </w:tc>
        <w:tc>
          <w:tcPr>
            <w:tcW w:w="1034" w:type="dxa"/>
            <w:tcBorders>
              <w:top w:val="nil"/>
              <w:left w:val="nil"/>
              <w:bottom w:val="single" w:sz="4" w:space="0" w:color="F39200"/>
              <w:right w:val="nil"/>
            </w:tcBorders>
            <w:shd w:val="clear" w:color="auto" w:fill="auto"/>
            <w:noWrap/>
            <w:vAlign w:val="center"/>
          </w:tcPr>
          <w:p w14:paraId="0AEEAF31" w14:textId="7990F119" w:rsidR="009F03E9" w:rsidRPr="00E20D21" w:rsidRDefault="009F03E9" w:rsidP="009F03E9">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110.202</w:t>
            </w:r>
          </w:p>
        </w:tc>
        <w:tc>
          <w:tcPr>
            <w:tcW w:w="1156" w:type="dxa"/>
            <w:tcBorders>
              <w:top w:val="nil"/>
              <w:left w:val="nil"/>
              <w:bottom w:val="single" w:sz="4" w:space="0" w:color="F39200"/>
              <w:right w:val="nil"/>
            </w:tcBorders>
            <w:shd w:val="clear" w:color="auto" w:fill="auto"/>
            <w:noWrap/>
            <w:vAlign w:val="center"/>
          </w:tcPr>
          <w:p w14:paraId="01C3B400" w14:textId="2D532019" w:rsidR="009F03E9" w:rsidRPr="00E20D21" w:rsidRDefault="009F03E9" w:rsidP="009F03E9">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1163" w:type="dxa"/>
            <w:tcBorders>
              <w:top w:val="nil"/>
              <w:left w:val="nil"/>
              <w:bottom w:val="single" w:sz="4" w:space="0" w:color="F39200"/>
              <w:right w:val="nil"/>
            </w:tcBorders>
            <w:shd w:val="clear" w:color="auto" w:fill="auto"/>
            <w:noWrap/>
            <w:vAlign w:val="center"/>
          </w:tcPr>
          <w:p w14:paraId="4BDD19FA" w14:textId="3827CFE3" w:rsidR="009F03E9" w:rsidRPr="00E20D21" w:rsidRDefault="009F03E9" w:rsidP="009F03E9">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1161" w:type="dxa"/>
            <w:tcBorders>
              <w:top w:val="nil"/>
              <w:left w:val="nil"/>
              <w:bottom w:val="single" w:sz="4" w:space="0" w:color="F39200"/>
              <w:right w:val="nil"/>
            </w:tcBorders>
            <w:shd w:val="clear" w:color="auto" w:fill="auto"/>
            <w:noWrap/>
            <w:vAlign w:val="center"/>
          </w:tcPr>
          <w:p w14:paraId="7C3A64AD" w14:textId="59EBA8BE" w:rsidR="009F03E9" w:rsidRPr="00E20D21" w:rsidRDefault="009F03E9" w:rsidP="009F03E9">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293.010</w:t>
            </w:r>
          </w:p>
        </w:tc>
        <w:tc>
          <w:tcPr>
            <w:tcW w:w="1441" w:type="dxa"/>
            <w:tcBorders>
              <w:top w:val="nil"/>
              <w:left w:val="nil"/>
              <w:bottom w:val="single" w:sz="4" w:space="0" w:color="F39200"/>
            </w:tcBorders>
            <w:shd w:val="clear" w:color="auto" w:fill="auto"/>
            <w:noWrap/>
            <w:vAlign w:val="center"/>
          </w:tcPr>
          <w:p w14:paraId="673532BD" w14:textId="0A8529C7" w:rsidR="009F03E9" w:rsidRPr="00E20D21" w:rsidRDefault="009F03E9" w:rsidP="009F03E9">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3.468.572</w:t>
            </w:r>
          </w:p>
        </w:tc>
      </w:tr>
      <w:tr w:rsidR="00312447" w:rsidRPr="00E20D21" w14:paraId="7FB86012" w14:textId="77777777" w:rsidTr="005100AC">
        <w:trPr>
          <w:trHeight w:val="181"/>
        </w:trPr>
        <w:tc>
          <w:tcPr>
            <w:tcW w:w="2977" w:type="dxa"/>
            <w:tcBorders>
              <w:top w:val="nil"/>
              <w:left w:val="nil"/>
              <w:bottom w:val="single" w:sz="4" w:space="0" w:color="F39200"/>
              <w:right w:val="nil"/>
            </w:tcBorders>
            <w:shd w:val="clear" w:color="auto" w:fill="auto"/>
            <w:noWrap/>
            <w:vAlign w:val="center"/>
            <w:hideMark/>
          </w:tcPr>
          <w:p w14:paraId="32D537F7" w14:textId="77777777" w:rsidR="009F03E9" w:rsidRPr="00E20D21" w:rsidRDefault="009F03E9" w:rsidP="009F03E9">
            <w:pPr>
              <w:rPr>
                <w:rFonts w:ascii="CAIXA Std Book" w:hAnsi="CAIXA Std Book"/>
                <w:b/>
                <w:color w:val="005CA9"/>
                <w:sz w:val="13"/>
                <w:szCs w:val="13"/>
              </w:rPr>
            </w:pPr>
            <w:r w:rsidRPr="00E20D21">
              <w:rPr>
                <w:rFonts w:ascii="CAIXA Std Book" w:hAnsi="CAIXA Std Book" w:cs="Calibri"/>
                <w:b/>
                <w:bCs/>
                <w:color w:val="005CA9"/>
                <w:sz w:val="13"/>
                <w:szCs w:val="13"/>
              </w:rPr>
              <w:t>Garantias prestadas (16)</w:t>
            </w:r>
          </w:p>
        </w:tc>
        <w:tc>
          <w:tcPr>
            <w:tcW w:w="1087" w:type="dxa"/>
            <w:tcBorders>
              <w:top w:val="nil"/>
              <w:left w:val="nil"/>
              <w:bottom w:val="single" w:sz="4" w:space="0" w:color="F39200"/>
              <w:right w:val="nil"/>
            </w:tcBorders>
            <w:shd w:val="clear" w:color="auto" w:fill="auto"/>
            <w:noWrap/>
            <w:vAlign w:val="center"/>
          </w:tcPr>
          <w:p w14:paraId="38D0D247" w14:textId="6D4E01B0" w:rsidR="009F03E9" w:rsidRPr="00E20D21" w:rsidRDefault="009F03E9" w:rsidP="009F03E9">
            <w:pPr>
              <w:jc w:val="center"/>
              <w:rPr>
                <w:rFonts w:ascii="CAIXA Std Book" w:hAnsi="CAIXA Std Book" w:cs="Calibri"/>
                <w:b/>
                <w:bCs/>
                <w:color w:val="005CA9"/>
                <w:sz w:val="13"/>
                <w:szCs w:val="13"/>
              </w:rPr>
            </w:pPr>
            <w:r w:rsidRPr="00E20D21">
              <w:rPr>
                <w:rFonts w:ascii="CAIXA Std Book" w:hAnsi="CAIXA Std Book" w:cs="Calibri"/>
                <w:b/>
                <w:color w:val="005CA9"/>
                <w:sz w:val="13"/>
                <w:szCs w:val="13"/>
              </w:rPr>
              <w:t>-</w:t>
            </w:r>
          </w:p>
        </w:tc>
        <w:tc>
          <w:tcPr>
            <w:tcW w:w="1121" w:type="dxa"/>
            <w:tcBorders>
              <w:top w:val="nil"/>
              <w:left w:val="nil"/>
              <w:bottom w:val="single" w:sz="4" w:space="0" w:color="F39200"/>
              <w:right w:val="nil"/>
            </w:tcBorders>
            <w:shd w:val="clear" w:color="auto" w:fill="auto"/>
            <w:noWrap/>
            <w:vAlign w:val="center"/>
          </w:tcPr>
          <w:p w14:paraId="3E1FB593" w14:textId="6C8E0BCB" w:rsidR="009F03E9" w:rsidRPr="00E20D21" w:rsidRDefault="009F03E9" w:rsidP="009F03E9">
            <w:pPr>
              <w:jc w:val="center"/>
              <w:rPr>
                <w:rFonts w:ascii="CAIXA Std Book" w:hAnsi="CAIXA Std Book" w:cs="Calibri"/>
                <w:b/>
                <w:bCs/>
                <w:color w:val="005CA9"/>
                <w:sz w:val="13"/>
                <w:szCs w:val="13"/>
              </w:rPr>
            </w:pPr>
            <w:r w:rsidRPr="00E20D21">
              <w:rPr>
                <w:rFonts w:ascii="CAIXA Std Book" w:hAnsi="CAIXA Std Book" w:cs="Calibri"/>
                <w:b/>
                <w:color w:val="005CA9"/>
                <w:sz w:val="13"/>
                <w:szCs w:val="13"/>
              </w:rPr>
              <w:t>-</w:t>
            </w:r>
          </w:p>
        </w:tc>
        <w:tc>
          <w:tcPr>
            <w:tcW w:w="1121" w:type="dxa"/>
            <w:tcBorders>
              <w:top w:val="nil"/>
              <w:left w:val="nil"/>
              <w:bottom w:val="single" w:sz="4" w:space="0" w:color="F39200"/>
              <w:right w:val="nil"/>
            </w:tcBorders>
            <w:shd w:val="clear" w:color="auto" w:fill="auto"/>
            <w:noWrap/>
            <w:vAlign w:val="center"/>
          </w:tcPr>
          <w:p w14:paraId="6185A2B0" w14:textId="20675A3E" w:rsidR="009F03E9" w:rsidRPr="00E20D21" w:rsidRDefault="009F03E9" w:rsidP="009F03E9">
            <w:pPr>
              <w:jc w:val="center"/>
              <w:rPr>
                <w:rFonts w:ascii="CAIXA Std Book" w:hAnsi="CAIXA Std Book" w:cs="Calibri"/>
                <w:b/>
                <w:bCs/>
                <w:color w:val="005CA9"/>
                <w:sz w:val="13"/>
                <w:szCs w:val="13"/>
              </w:rPr>
            </w:pPr>
            <w:r w:rsidRPr="00E20D21">
              <w:rPr>
                <w:rFonts w:ascii="CAIXA Std Book" w:hAnsi="CAIXA Std Book" w:cs="Calibri"/>
                <w:b/>
                <w:color w:val="005CA9"/>
                <w:sz w:val="13"/>
                <w:szCs w:val="13"/>
              </w:rPr>
              <w:t>-</w:t>
            </w:r>
          </w:p>
        </w:tc>
        <w:tc>
          <w:tcPr>
            <w:tcW w:w="1106" w:type="dxa"/>
            <w:tcBorders>
              <w:top w:val="nil"/>
              <w:left w:val="nil"/>
              <w:bottom w:val="single" w:sz="4" w:space="0" w:color="F39200"/>
              <w:right w:val="nil"/>
            </w:tcBorders>
            <w:shd w:val="clear" w:color="auto" w:fill="auto"/>
            <w:noWrap/>
            <w:vAlign w:val="center"/>
          </w:tcPr>
          <w:p w14:paraId="5EBF356B" w14:textId="37FDBACA" w:rsidR="009F03E9" w:rsidRPr="00E20D21" w:rsidRDefault="009F03E9" w:rsidP="009F03E9">
            <w:pPr>
              <w:jc w:val="center"/>
              <w:rPr>
                <w:rFonts w:ascii="CAIXA Std Book" w:hAnsi="CAIXA Std Book" w:cs="Calibri"/>
                <w:b/>
                <w:bCs/>
                <w:color w:val="005CA9"/>
                <w:sz w:val="13"/>
                <w:szCs w:val="13"/>
              </w:rPr>
            </w:pPr>
            <w:r w:rsidRPr="00E20D21">
              <w:rPr>
                <w:rFonts w:ascii="CAIXA Std Book" w:hAnsi="CAIXA Std Book" w:cs="Calibri"/>
                <w:b/>
                <w:color w:val="005CA9"/>
                <w:sz w:val="13"/>
                <w:szCs w:val="13"/>
              </w:rPr>
              <w:t>-</w:t>
            </w:r>
          </w:p>
        </w:tc>
        <w:tc>
          <w:tcPr>
            <w:tcW w:w="1235" w:type="dxa"/>
            <w:tcBorders>
              <w:top w:val="nil"/>
              <w:left w:val="nil"/>
              <w:bottom w:val="single" w:sz="4" w:space="0" w:color="F39200"/>
            </w:tcBorders>
            <w:shd w:val="clear" w:color="auto" w:fill="auto"/>
            <w:noWrap/>
            <w:vAlign w:val="center"/>
          </w:tcPr>
          <w:p w14:paraId="687130E5" w14:textId="118FAEBA" w:rsidR="009F03E9" w:rsidRPr="00E20D21" w:rsidRDefault="009F03E9" w:rsidP="009F03E9">
            <w:pPr>
              <w:jc w:val="right"/>
              <w:rPr>
                <w:rFonts w:ascii="CAIXA Std Book" w:hAnsi="CAIXA Std Book" w:cs="Calibri"/>
                <w:b/>
                <w:bCs/>
                <w:color w:val="005CA9"/>
                <w:sz w:val="13"/>
                <w:szCs w:val="13"/>
              </w:rPr>
            </w:pPr>
            <w:r w:rsidRPr="00E20D21">
              <w:rPr>
                <w:rFonts w:ascii="CAIXA Std Book" w:hAnsi="CAIXA Std Book" w:cs="Calibri"/>
                <w:b/>
                <w:color w:val="005CA9"/>
                <w:sz w:val="13"/>
                <w:szCs w:val="13"/>
              </w:rPr>
              <w:t>30.647.28</w:t>
            </w:r>
            <w:r w:rsidR="003B47A9" w:rsidRPr="00E20D21">
              <w:rPr>
                <w:rFonts w:ascii="CAIXA Std Book" w:hAnsi="CAIXA Std Book" w:cs="Calibri"/>
                <w:b/>
                <w:color w:val="005CA9"/>
                <w:sz w:val="13"/>
                <w:szCs w:val="13"/>
              </w:rPr>
              <w:t>7</w:t>
            </w:r>
          </w:p>
        </w:tc>
        <w:tc>
          <w:tcPr>
            <w:tcW w:w="1034" w:type="dxa"/>
            <w:tcBorders>
              <w:top w:val="nil"/>
              <w:left w:val="nil"/>
              <w:bottom w:val="single" w:sz="4" w:space="0" w:color="F39200"/>
              <w:right w:val="nil"/>
            </w:tcBorders>
            <w:shd w:val="clear" w:color="auto" w:fill="auto"/>
            <w:noWrap/>
            <w:vAlign w:val="center"/>
          </w:tcPr>
          <w:p w14:paraId="596DB807" w14:textId="719A3FD5" w:rsidR="009F03E9" w:rsidRPr="00E20D21" w:rsidRDefault="009F03E9" w:rsidP="009F03E9">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1156" w:type="dxa"/>
            <w:tcBorders>
              <w:top w:val="nil"/>
              <w:left w:val="nil"/>
              <w:bottom w:val="single" w:sz="4" w:space="0" w:color="F39200"/>
              <w:right w:val="nil"/>
            </w:tcBorders>
            <w:shd w:val="clear" w:color="auto" w:fill="auto"/>
            <w:noWrap/>
            <w:vAlign w:val="center"/>
          </w:tcPr>
          <w:p w14:paraId="6139C187" w14:textId="35E43F42" w:rsidR="009F03E9" w:rsidRPr="00E20D21" w:rsidRDefault="009F03E9" w:rsidP="009F03E9">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1163" w:type="dxa"/>
            <w:tcBorders>
              <w:top w:val="nil"/>
              <w:left w:val="nil"/>
              <w:bottom w:val="single" w:sz="4" w:space="0" w:color="F39200"/>
              <w:right w:val="nil"/>
            </w:tcBorders>
            <w:shd w:val="clear" w:color="auto" w:fill="auto"/>
            <w:noWrap/>
            <w:vAlign w:val="center"/>
          </w:tcPr>
          <w:p w14:paraId="7FC241D7" w14:textId="245AF8F0" w:rsidR="009F03E9" w:rsidRPr="00E20D21" w:rsidRDefault="009F03E9" w:rsidP="009F03E9">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1161" w:type="dxa"/>
            <w:tcBorders>
              <w:top w:val="nil"/>
              <w:left w:val="nil"/>
              <w:bottom w:val="single" w:sz="4" w:space="0" w:color="F39200"/>
              <w:right w:val="nil"/>
            </w:tcBorders>
            <w:shd w:val="clear" w:color="auto" w:fill="auto"/>
            <w:noWrap/>
            <w:vAlign w:val="center"/>
          </w:tcPr>
          <w:p w14:paraId="5A64C13A" w14:textId="75ADF639" w:rsidR="009F03E9" w:rsidRPr="00E20D21" w:rsidRDefault="009F03E9" w:rsidP="009F03E9">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w:t>
            </w:r>
          </w:p>
        </w:tc>
        <w:tc>
          <w:tcPr>
            <w:tcW w:w="1441" w:type="dxa"/>
            <w:tcBorders>
              <w:top w:val="nil"/>
              <w:left w:val="nil"/>
              <w:bottom w:val="single" w:sz="4" w:space="0" w:color="F39200"/>
            </w:tcBorders>
            <w:shd w:val="clear" w:color="auto" w:fill="auto"/>
            <w:noWrap/>
            <w:vAlign w:val="center"/>
          </w:tcPr>
          <w:p w14:paraId="6655AC1A" w14:textId="016E3316" w:rsidR="009F03E9" w:rsidRPr="00E20D21" w:rsidRDefault="009F03E9" w:rsidP="009F03E9">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30.941.504</w:t>
            </w:r>
          </w:p>
        </w:tc>
      </w:tr>
    </w:tbl>
    <w:p w14:paraId="10C13549" w14:textId="22D3EE84"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(1) Valores por contratos com a TecBan, relativos a disponibilidades em canais de atendimento da rede Banco24Horas.</w:t>
      </w:r>
    </w:p>
    <w:p w14:paraId="421F71E9" w14:textId="1607F8A0"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 xml:space="preserve">(2) Títulos Públicos Federais (Controladora), conforme Nota 7(a), e aplicações em cotas do FIDC ACR IV (Controlada), </w:t>
      </w:r>
      <w:proofErr w:type="spellStart"/>
      <w:r w:rsidRPr="00E20D21">
        <w:rPr>
          <w:rFonts w:ascii="CAIXA Std Book" w:hAnsi="CAIXA Std Book" w:cs="Calibri"/>
          <w:color w:val="005CA9"/>
          <w:sz w:val="12"/>
          <w:szCs w:val="12"/>
        </w:rPr>
        <w:t>FGHab</w:t>
      </w:r>
      <w:proofErr w:type="spellEnd"/>
      <w:r w:rsidRPr="00E20D21">
        <w:rPr>
          <w:rFonts w:ascii="CAIXA Std Book" w:hAnsi="CAIXA Std Book" w:cs="Calibri"/>
          <w:color w:val="005CA9"/>
          <w:sz w:val="12"/>
          <w:szCs w:val="12"/>
        </w:rPr>
        <w:t xml:space="preserve"> e FGI (Outras entidades).</w:t>
      </w:r>
    </w:p>
    <w:p w14:paraId="2630C815" w14:textId="114289E8"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(3) Em Controlada, corresponde a dividendos propostos pelas subsidiárias e, em Coligadas, à remuneração devida pelo grupo Caixa Seguridade, pelo uso da rede de distribuição CAIXA.</w:t>
      </w:r>
    </w:p>
    <w:p w14:paraId="2F6F39C8" w14:textId="37C9DCAC"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(4) Em Outras entidades, o valor apresentado refere-se ao saldo de operações de crédito com a Eletrobras.</w:t>
      </w:r>
    </w:p>
    <w:p w14:paraId="28803A1D" w14:textId="63156706"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(5) Os valores apresentados referem-se a haveres da União (Controladora) e a valores a serem ressarcidos pelo FGTS e FCVS (Outras entidades), conforme Notas 10(b) e 14(a).</w:t>
      </w:r>
    </w:p>
    <w:p w14:paraId="390F1A8F" w14:textId="3D2C36EA"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 xml:space="preserve">(6) Provisões para </w:t>
      </w:r>
      <w:r w:rsidRPr="00E20D21">
        <w:rPr>
          <w:rFonts w:ascii="CAIXA Std Book" w:hAnsi="CAIXA Std Book" w:cs="Calibri"/>
          <w:i/>
          <w:color w:val="005CA9"/>
          <w:sz w:val="12"/>
          <w:szCs w:val="12"/>
        </w:rPr>
        <w:t>impairment</w:t>
      </w:r>
      <w:r w:rsidRPr="00E20D21">
        <w:rPr>
          <w:rFonts w:ascii="CAIXA Std Book" w:hAnsi="CAIXA Std Book" w:cs="Calibri"/>
          <w:color w:val="005CA9"/>
          <w:sz w:val="12"/>
          <w:szCs w:val="12"/>
        </w:rPr>
        <w:t xml:space="preserve"> em haveres da União (Voto CMN 162/95 e Bônus BNH) e, em Outras entidades, para perdas com o FCVS, conforme Nota 10.</w:t>
      </w:r>
    </w:p>
    <w:p w14:paraId="7F20B769" w14:textId="0F600D26"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(7) Em Outras entidades, o saldo refere-se principalmente a depósitos de fundos de investimento.</w:t>
      </w:r>
    </w:p>
    <w:p w14:paraId="61D31658" w14:textId="6DF82C72"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(8) A apresentação em Outras entidades corresponde aos depósitos especiais e de fundos e programas (FGTS, FAR, FDS, FGS, FIPEM e outros), conforme Nota 15(b).</w:t>
      </w:r>
    </w:p>
    <w:p w14:paraId="57232BA7" w14:textId="26F8DBCB"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(9) O saldo em Controladora é representado por IHCD, conforme Nota 17(a) e, em Outras entidades, por captações no mercado aberto.</w:t>
      </w:r>
    </w:p>
    <w:p w14:paraId="54088415" w14:textId="1FFEEBDE" w:rsidR="00E03AFF" w:rsidRPr="00E20D21" w:rsidRDefault="11557FBE"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(10) Em Outras entidades, o saldo apresentado decorre de obrigações por empréstimos e repasses do FGTS, BNDES, Fundo da Marinha Mercante, Tesouro Nacional e outras insti</w:t>
      </w:r>
      <w:r w:rsidR="4C4D7039" w:rsidRPr="00E20D21">
        <w:rPr>
          <w:rFonts w:ascii="CAIXA Std Book" w:hAnsi="CAIXA Std Book" w:cs="Calibri"/>
          <w:color w:val="005CA9"/>
          <w:sz w:val="12"/>
          <w:szCs w:val="12"/>
        </w:rPr>
        <w:t>t</w:t>
      </w:r>
      <w:r w:rsidRPr="00E20D21">
        <w:rPr>
          <w:rFonts w:ascii="CAIXA Std Book" w:hAnsi="CAIXA Std Book" w:cs="Calibri"/>
          <w:color w:val="005CA9"/>
          <w:sz w:val="12"/>
          <w:szCs w:val="12"/>
        </w:rPr>
        <w:t>uições, conforme Nota 16(b).</w:t>
      </w:r>
    </w:p>
    <w:p w14:paraId="04E1A276" w14:textId="7A626574"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 xml:space="preserve">(11) </w:t>
      </w:r>
      <w:r w:rsidR="00E122CF" w:rsidRPr="00E20D21">
        <w:rPr>
          <w:rFonts w:ascii="CAIXA Std Book" w:hAnsi="CAIXA Std Book" w:cs="Calibri"/>
          <w:color w:val="005CA9"/>
          <w:sz w:val="12"/>
          <w:szCs w:val="12"/>
        </w:rPr>
        <w:t>Em Controladora, a variação</w:t>
      </w:r>
      <w:r w:rsidR="005950CE" w:rsidRPr="00E20D21">
        <w:rPr>
          <w:rFonts w:ascii="CAIXA Std Book" w:hAnsi="CAIXA Std Book" w:cs="Calibri"/>
          <w:color w:val="005CA9"/>
          <w:sz w:val="12"/>
          <w:szCs w:val="12"/>
        </w:rPr>
        <w:t xml:space="preserve"> </w:t>
      </w:r>
      <w:r w:rsidR="00E122CF" w:rsidRPr="00E20D21">
        <w:rPr>
          <w:rFonts w:ascii="CAIXA Std Book" w:hAnsi="CAIXA Std Book" w:cs="Calibri"/>
          <w:color w:val="005CA9"/>
          <w:sz w:val="12"/>
          <w:szCs w:val="12"/>
        </w:rPr>
        <w:t xml:space="preserve">refere-se a repasses </w:t>
      </w:r>
      <w:r w:rsidR="005760AA" w:rsidRPr="00E20D21">
        <w:rPr>
          <w:rFonts w:ascii="CAIXA Std Book" w:hAnsi="CAIXA Std Book" w:cs="Calibri"/>
          <w:color w:val="005CA9"/>
          <w:sz w:val="12"/>
          <w:szCs w:val="12"/>
        </w:rPr>
        <w:t xml:space="preserve">no âmbito </w:t>
      </w:r>
      <w:r w:rsidR="00E122CF" w:rsidRPr="00E20D21">
        <w:rPr>
          <w:rFonts w:ascii="CAIXA Std Book" w:hAnsi="CAIXA Std Book" w:cs="Calibri"/>
          <w:color w:val="005CA9"/>
          <w:sz w:val="12"/>
          <w:szCs w:val="12"/>
        </w:rPr>
        <w:t xml:space="preserve">de </w:t>
      </w:r>
      <w:r w:rsidR="005760AA" w:rsidRPr="00E20D21">
        <w:rPr>
          <w:rFonts w:ascii="CAIXA Std Book" w:hAnsi="CAIXA Std Book" w:cs="Calibri"/>
          <w:color w:val="005CA9"/>
          <w:sz w:val="12"/>
          <w:szCs w:val="12"/>
        </w:rPr>
        <w:t xml:space="preserve">programas federais como </w:t>
      </w:r>
      <w:r w:rsidR="00E122CF" w:rsidRPr="00E20D21">
        <w:rPr>
          <w:rFonts w:ascii="CAIXA Std Book" w:hAnsi="CAIXA Std Book" w:cs="Calibri"/>
          <w:color w:val="005CA9"/>
          <w:sz w:val="12"/>
          <w:szCs w:val="12"/>
        </w:rPr>
        <w:t xml:space="preserve">Auxílio Reconstrução e MCMV-Rural, </w:t>
      </w:r>
      <w:r w:rsidR="005760AA" w:rsidRPr="00E20D21">
        <w:rPr>
          <w:rFonts w:ascii="CAIXA Std Book" w:hAnsi="CAIXA Std Book" w:cs="Calibri"/>
          <w:color w:val="005CA9"/>
          <w:sz w:val="12"/>
          <w:szCs w:val="12"/>
        </w:rPr>
        <w:t xml:space="preserve">em função da calamidade pública no Rio Grande do Sul em 2024, com </w:t>
      </w:r>
      <w:r w:rsidR="00E122CF" w:rsidRPr="00E20D21">
        <w:rPr>
          <w:rFonts w:ascii="CAIXA Std Book" w:hAnsi="CAIXA Std Book" w:cs="Calibri"/>
          <w:color w:val="005CA9"/>
          <w:sz w:val="12"/>
          <w:szCs w:val="12"/>
        </w:rPr>
        <w:t xml:space="preserve">destaque </w:t>
      </w:r>
      <w:r w:rsidR="005760AA" w:rsidRPr="00E20D21">
        <w:rPr>
          <w:rFonts w:ascii="CAIXA Std Book" w:hAnsi="CAIXA Std Book" w:cs="Calibri"/>
          <w:color w:val="005CA9"/>
          <w:sz w:val="12"/>
          <w:szCs w:val="12"/>
        </w:rPr>
        <w:t xml:space="preserve">também para </w:t>
      </w:r>
      <w:r w:rsidR="00E122CF" w:rsidRPr="00E20D21">
        <w:rPr>
          <w:rFonts w:ascii="CAIXA Std Book" w:hAnsi="CAIXA Std Book" w:cs="Calibri"/>
          <w:color w:val="005CA9"/>
          <w:sz w:val="12"/>
          <w:szCs w:val="12"/>
        </w:rPr>
        <w:t xml:space="preserve">o Novo Bolsa Família e </w:t>
      </w:r>
      <w:r w:rsidR="005760AA" w:rsidRPr="00E20D21">
        <w:rPr>
          <w:rFonts w:ascii="CAIXA Std Book" w:hAnsi="CAIXA Std Book" w:cs="Calibri"/>
          <w:color w:val="005CA9"/>
          <w:sz w:val="12"/>
          <w:szCs w:val="12"/>
        </w:rPr>
        <w:t xml:space="preserve">o </w:t>
      </w:r>
      <w:r w:rsidR="00E122CF" w:rsidRPr="00E20D21">
        <w:rPr>
          <w:rFonts w:ascii="CAIXA Std Book" w:hAnsi="CAIXA Std Book" w:cs="Calibri"/>
          <w:color w:val="005CA9"/>
          <w:sz w:val="12"/>
          <w:szCs w:val="12"/>
        </w:rPr>
        <w:t>Programa Pé</w:t>
      </w:r>
      <w:r w:rsidR="005760AA" w:rsidRPr="00E20D21">
        <w:rPr>
          <w:rFonts w:ascii="CAIXA Std Book" w:hAnsi="CAIXA Std Book" w:cs="Calibri"/>
          <w:color w:val="005CA9"/>
          <w:sz w:val="12"/>
          <w:szCs w:val="12"/>
        </w:rPr>
        <w:t>-</w:t>
      </w:r>
      <w:r w:rsidR="00E122CF" w:rsidRPr="00E20D21">
        <w:rPr>
          <w:rFonts w:ascii="CAIXA Std Book" w:hAnsi="CAIXA Std Book" w:cs="Calibri"/>
          <w:color w:val="005CA9"/>
          <w:sz w:val="12"/>
          <w:szCs w:val="12"/>
        </w:rPr>
        <w:t>de</w:t>
      </w:r>
      <w:r w:rsidR="005760AA" w:rsidRPr="00E20D21">
        <w:rPr>
          <w:rFonts w:ascii="CAIXA Std Book" w:hAnsi="CAIXA Std Book" w:cs="Calibri"/>
          <w:color w:val="005CA9"/>
          <w:sz w:val="12"/>
          <w:szCs w:val="12"/>
        </w:rPr>
        <w:t>-</w:t>
      </w:r>
      <w:r w:rsidR="00E122CF" w:rsidRPr="00E20D21">
        <w:rPr>
          <w:rFonts w:ascii="CAIXA Std Book" w:hAnsi="CAIXA Std Book" w:cs="Calibri"/>
          <w:color w:val="005CA9"/>
          <w:sz w:val="12"/>
          <w:szCs w:val="12"/>
        </w:rPr>
        <w:t>Meia</w:t>
      </w:r>
      <w:r w:rsidR="005760AA" w:rsidRPr="00E20D21">
        <w:rPr>
          <w:rFonts w:ascii="CAIXA Std Book" w:hAnsi="CAIXA Std Book" w:cs="Calibri"/>
          <w:color w:val="005CA9"/>
          <w:sz w:val="12"/>
          <w:szCs w:val="12"/>
        </w:rPr>
        <w:t xml:space="preserve"> (incentivo financeiro-educacional para estudantes do Ensino Médio). Em</w:t>
      </w:r>
      <w:r w:rsidR="00E122CF" w:rsidRPr="00E20D21">
        <w:rPr>
          <w:rFonts w:ascii="CAIXA Std Book" w:hAnsi="CAIXA Std Book" w:cs="Calibri"/>
          <w:color w:val="005CA9"/>
          <w:sz w:val="12"/>
          <w:szCs w:val="12"/>
        </w:rPr>
        <w:t xml:space="preserve"> Outras entidades</w:t>
      </w:r>
      <w:r w:rsidR="005760AA" w:rsidRPr="00E20D21">
        <w:rPr>
          <w:rFonts w:ascii="CAIXA Std Book" w:hAnsi="CAIXA Std Book" w:cs="Calibri"/>
          <w:color w:val="005CA9"/>
          <w:sz w:val="12"/>
          <w:szCs w:val="12"/>
        </w:rPr>
        <w:t>, o saldo</w:t>
      </w:r>
      <w:r w:rsidR="00E122CF" w:rsidRPr="00E20D21">
        <w:rPr>
          <w:rFonts w:ascii="CAIXA Std Book" w:hAnsi="CAIXA Std Book" w:cs="Calibri"/>
          <w:color w:val="005CA9"/>
          <w:sz w:val="12"/>
          <w:szCs w:val="12"/>
        </w:rPr>
        <w:t xml:space="preserve"> refere-se principalmente à remuneração do agente financeiro CAIXA, recebida em operações habitacionais com recursos do FGTS, conforme Nota 18(b).</w:t>
      </w:r>
    </w:p>
    <w:p w14:paraId="507A4EE3" w14:textId="4063F75E"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(12) O saldo apresentado corresponde a obrigações fiscais e previdenciárias com a União, conforme Nota 20.</w:t>
      </w:r>
    </w:p>
    <w:p w14:paraId="06F063CB" w14:textId="06E0BC55"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(13) Em Controladora, o saldo é composto principalmente por obrigações junto à União.</w:t>
      </w:r>
    </w:p>
    <w:p w14:paraId="3BF211C1" w14:textId="1A64DE2E"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(14) Em Outras entidades, o saldo é constituído por recursos do FGTS, FAR e FDS para amortização de contratos em programas habitacionais e respectivos juros remuneratórios devidos aos fundos, conforme Nota 18(b).</w:t>
      </w:r>
    </w:p>
    <w:p w14:paraId="26E818E9" w14:textId="6A337DFA"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(15) Operações garantidas pelo governo, notas promissórias, penhor e garantias fidejussórias.</w:t>
      </w:r>
    </w:p>
    <w:p w14:paraId="032835AF" w14:textId="2A3FCF00" w:rsidR="00E03AFF" w:rsidRPr="00E20D21" w:rsidRDefault="4AEECDD3" w:rsidP="62135403">
      <w:pPr>
        <w:spacing w:line="259" w:lineRule="auto"/>
        <w:ind w:left="-142"/>
        <w:jc w:val="both"/>
        <w:rPr>
          <w:rFonts w:ascii="CAIXA Std Book" w:hAnsi="CAIXA Std Book" w:cs="Calibri"/>
          <w:color w:val="005CA9"/>
          <w:sz w:val="12"/>
          <w:szCs w:val="12"/>
        </w:rPr>
      </w:pPr>
      <w:r w:rsidRPr="00E20D21">
        <w:rPr>
          <w:rFonts w:ascii="CAIXA Std Book" w:hAnsi="CAIXA Std Book" w:cs="Calibri"/>
          <w:color w:val="005CA9"/>
          <w:sz w:val="12"/>
          <w:szCs w:val="12"/>
        </w:rPr>
        <w:t>(16) Garantia financeira prestada pela CAIXA às operações de crédito com recursos do FGTS (coobrigação), FIES e FAR, conforme Nota 19(e).</w:t>
      </w:r>
    </w:p>
    <w:p w14:paraId="1142E41B" w14:textId="76329E2B" w:rsidR="00E03AFF" w:rsidRPr="00E20D21" w:rsidRDefault="00E03AFF" w:rsidP="00E03AFF">
      <w:pPr>
        <w:spacing w:line="259" w:lineRule="auto"/>
        <w:ind w:left="-142"/>
        <w:jc w:val="both"/>
        <w:rPr>
          <w:rFonts w:ascii="CAIXA Std Book" w:hAnsi="CAIXA Std Book" w:cs="Calibri"/>
          <w:color w:val="005CA9"/>
          <w:sz w:val="12"/>
          <w:szCs w:val="12"/>
          <w:highlight w:val="yellow"/>
        </w:rPr>
      </w:pPr>
    </w:p>
    <w:p w14:paraId="54850D94" w14:textId="01B6C75B" w:rsidR="00F16780" w:rsidRPr="00E20D21" w:rsidRDefault="00F16780">
      <w:pPr>
        <w:rPr>
          <w:rFonts w:ascii="CAIXA Std Book" w:hAnsi="CAIXA Std Book" w:cs="Calibri"/>
          <w:color w:val="005CA9"/>
          <w:sz w:val="12"/>
          <w:szCs w:val="12"/>
          <w:highlight w:val="yellow"/>
        </w:rPr>
      </w:pPr>
      <w:r w:rsidRPr="00E20D21">
        <w:rPr>
          <w:rFonts w:ascii="CAIXA Std Book" w:hAnsi="CAIXA Std Book" w:cs="Calibri"/>
          <w:color w:val="005CA9"/>
          <w:sz w:val="12"/>
          <w:szCs w:val="12"/>
          <w:highlight w:val="yellow"/>
        </w:rPr>
        <w:br w:type="page"/>
      </w:r>
    </w:p>
    <w:p w14:paraId="7C72696D" w14:textId="7DA3FE57" w:rsidR="62135403" w:rsidRPr="00E20D21" w:rsidRDefault="62135403" w:rsidP="62135403">
      <w:pPr>
        <w:spacing w:line="259" w:lineRule="auto"/>
        <w:ind w:left="-142"/>
        <w:jc w:val="both"/>
        <w:rPr>
          <w:rFonts w:ascii="CAIXA Std Book" w:hAnsi="CAIXA Std Book" w:cs="Calibri"/>
          <w:color w:val="005CA9"/>
          <w:sz w:val="12"/>
          <w:szCs w:val="12"/>
          <w:highlight w:val="yellow"/>
        </w:rPr>
      </w:pPr>
    </w:p>
    <w:tbl>
      <w:tblPr>
        <w:tblW w:w="5000" w:type="pct"/>
        <w:tblCellMar>
          <w:left w:w="70" w:type="dxa"/>
          <w:right w:w="70" w:type="dxa"/>
        </w:tblCellMar>
        <w:tblLook w:val="04A0" w:firstRow="1" w:lastRow="0" w:firstColumn="1" w:lastColumn="0" w:noHBand="0" w:noVBand="1"/>
      </w:tblPr>
      <w:tblGrid>
        <w:gridCol w:w="3449"/>
        <w:gridCol w:w="1479"/>
        <w:gridCol w:w="839"/>
        <w:gridCol w:w="1486"/>
        <w:gridCol w:w="1480"/>
        <w:gridCol w:w="1489"/>
        <w:gridCol w:w="964"/>
        <w:gridCol w:w="839"/>
        <w:gridCol w:w="839"/>
        <w:gridCol w:w="775"/>
        <w:gridCol w:w="930"/>
      </w:tblGrid>
      <w:tr w:rsidR="00DA70F7" w:rsidRPr="00E20D21" w14:paraId="33F87DD2" w14:textId="77777777" w:rsidTr="00AC718B">
        <w:trPr>
          <w:trHeight w:val="283"/>
        </w:trPr>
        <w:tc>
          <w:tcPr>
            <w:tcW w:w="5000" w:type="pct"/>
            <w:gridSpan w:val="11"/>
            <w:tcBorders>
              <w:top w:val="single" w:sz="4" w:space="0" w:color="F39200"/>
              <w:left w:val="nil"/>
              <w:right w:val="nil"/>
            </w:tcBorders>
            <w:shd w:val="clear" w:color="auto" w:fill="auto"/>
            <w:vAlign w:val="center"/>
          </w:tcPr>
          <w:p w14:paraId="3B4A7F0A"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Calibri"/>
                <w:b/>
                <w:color w:val="005CA9"/>
                <w:sz w:val="13"/>
                <w:szCs w:val="13"/>
              </w:rPr>
              <w:t>INDIVIDUAL</w:t>
            </w:r>
          </w:p>
        </w:tc>
      </w:tr>
      <w:tr w:rsidR="00DA70F7" w:rsidRPr="00E20D21" w14:paraId="2335C121" w14:textId="77777777" w:rsidTr="00D7777A">
        <w:trPr>
          <w:trHeight w:val="283"/>
        </w:trPr>
        <w:tc>
          <w:tcPr>
            <w:tcW w:w="1184" w:type="pct"/>
            <w:vMerge w:val="restart"/>
            <w:tcBorders>
              <w:top w:val="single" w:sz="4" w:space="0" w:color="F39200"/>
              <w:left w:val="nil"/>
              <w:right w:val="nil"/>
            </w:tcBorders>
            <w:shd w:val="clear" w:color="auto" w:fill="auto"/>
            <w:vAlign w:val="center"/>
          </w:tcPr>
          <w:p w14:paraId="5EFFBD4D"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Descrição</w:t>
            </w:r>
          </w:p>
        </w:tc>
        <w:tc>
          <w:tcPr>
            <w:tcW w:w="2324" w:type="pct"/>
            <w:gridSpan w:val="5"/>
            <w:tcBorders>
              <w:top w:val="single" w:sz="4" w:space="0" w:color="F39200"/>
              <w:left w:val="nil"/>
              <w:bottom w:val="single" w:sz="4" w:space="0" w:color="F39200"/>
            </w:tcBorders>
            <w:shd w:val="clear" w:color="auto" w:fill="auto"/>
            <w:noWrap/>
            <w:vAlign w:val="center"/>
          </w:tcPr>
          <w:p w14:paraId="140E0EEA" w14:textId="01C3C590" w:rsidR="00DA70F7" w:rsidRPr="00E20D21" w:rsidRDefault="00DA70F7" w:rsidP="00AC718B">
            <w:pPr>
              <w:jc w:val="center"/>
              <w:rPr>
                <w:rFonts w:ascii="CAIXA Std Book" w:hAnsi="CAIXA Std Book" w:cs="Calibri"/>
                <w:color w:val="005CA9"/>
                <w:sz w:val="13"/>
                <w:szCs w:val="13"/>
              </w:rPr>
            </w:pPr>
            <w:r w:rsidRPr="00E20D21">
              <w:rPr>
                <w:rFonts w:ascii="CAIXA Std Book" w:eastAsia="Times New Roman" w:hAnsi="CAIXA Std Book" w:cs="Arial"/>
                <w:b/>
                <w:color w:val="005CA9"/>
                <w:sz w:val="13"/>
                <w:szCs w:val="13"/>
              </w:rPr>
              <w:t xml:space="preserve">1º </w:t>
            </w:r>
            <w:r w:rsidR="00013D4B" w:rsidRPr="00E20D21">
              <w:rPr>
                <w:rFonts w:ascii="CAIXA Std Book" w:eastAsia="Times New Roman" w:hAnsi="CAIXA Std Book" w:cs="Arial"/>
                <w:b/>
                <w:color w:val="005CA9"/>
                <w:sz w:val="13"/>
                <w:szCs w:val="13"/>
              </w:rPr>
              <w:t>semestre</w:t>
            </w:r>
            <w:r w:rsidRPr="00E20D21">
              <w:rPr>
                <w:rFonts w:ascii="CAIXA Std Book" w:eastAsia="Times New Roman" w:hAnsi="CAIXA Std Book" w:cs="Arial"/>
                <w:b/>
                <w:color w:val="005CA9"/>
                <w:sz w:val="13"/>
                <w:szCs w:val="13"/>
              </w:rPr>
              <w:t xml:space="preserve"> - 2024</w:t>
            </w:r>
          </w:p>
        </w:tc>
        <w:tc>
          <w:tcPr>
            <w:tcW w:w="1492" w:type="pct"/>
            <w:gridSpan w:val="5"/>
            <w:tcBorders>
              <w:top w:val="single" w:sz="4" w:space="0" w:color="F39200"/>
              <w:left w:val="nil"/>
              <w:bottom w:val="single" w:sz="4" w:space="0" w:color="F39200"/>
              <w:right w:val="nil"/>
            </w:tcBorders>
            <w:shd w:val="clear" w:color="auto" w:fill="auto"/>
            <w:noWrap/>
            <w:vAlign w:val="center"/>
          </w:tcPr>
          <w:p w14:paraId="7A5ED59C" w14:textId="155B0948" w:rsidR="00DA70F7" w:rsidRPr="00E20D21" w:rsidRDefault="00DA70F7" w:rsidP="00AC718B">
            <w:pPr>
              <w:jc w:val="center"/>
              <w:rPr>
                <w:rFonts w:ascii="CAIXA Std Book" w:hAnsi="CAIXA Std Book" w:cs="Calibri"/>
                <w:color w:val="005CA9"/>
                <w:sz w:val="13"/>
                <w:szCs w:val="13"/>
              </w:rPr>
            </w:pPr>
            <w:r w:rsidRPr="00E20D21">
              <w:rPr>
                <w:rFonts w:ascii="CAIXA Std Book" w:eastAsia="Times New Roman" w:hAnsi="CAIXA Std Book" w:cs="Arial"/>
                <w:b/>
                <w:color w:val="005CA9"/>
                <w:sz w:val="13"/>
                <w:szCs w:val="13"/>
              </w:rPr>
              <w:t xml:space="preserve">1º </w:t>
            </w:r>
            <w:r w:rsidR="00013D4B" w:rsidRPr="00E20D21">
              <w:rPr>
                <w:rFonts w:ascii="CAIXA Std Book" w:eastAsia="Times New Roman" w:hAnsi="CAIXA Std Book" w:cs="Arial"/>
                <w:b/>
                <w:color w:val="005CA9"/>
                <w:sz w:val="13"/>
                <w:szCs w:val="13"/>
              </w:rPr>
              <w:t>semestre</w:t>
            </w:r>
            <w:r w:rsidRPr="00E20D21">
              <w:rPr>
                <w:rFonts w:ascii="CAIXA Std Book" w:eastAsia="Times New Roman" w:hAnsi="CAIXA Std Book" w:cs="Arial"/>
                <w:b/>
                <w:color w:val="005CA9"/>
                <w:sz w:val="13"/>
                <w:szCs w:val="13"/>
              </w:rPr>
              <w:t xml:space="preserve"> - 2023</w:t>
            </w:r>
          </w:p>
        </w:tc>
      </w:tr>
      <w:tr w:rsidR="00DA70F7" w:rsidRPr="00E20D21" w14:paraId="2C892144" w14:textId="77777777" w:rsidTr="006371F3">
        <w:trPr>
          <w:trHeight w:val="283"/>
        </w:trPr>
        <w:tc>
          <w:tcPr>
            <w:tcW w:w="1184" w:type="pct"/>
            <w:vMerge/>
            <w:tcBorders>
              <w:left w:val="nil"/>
              <w:bottom w:val="single" w:sz="4" w:space="0" w:color="F39200"/>
              <w:right w:val="nil"/>
            </w:tcBorders>
            <w:shd w:val="clear" w:color="auto" w:fill="auto"/>
            <w:vAlign w:val="center"/>
          </w:tcPr>
          <w:p w14:paraId="603EC16A" w14:textId="77777777" w:rsidR="00DA70F7" w:rsidRPr="00E20D21" w:rsidRDefault="00DA70F7" w:rsidP="00AC718B">
            <w:pPr>
              <w:jc w:val="center"/>
              <w:rPr>
                <w:rFonts w:ascii="CAIXA Std Book" w:hAnsi="CAIXA Std Book" w:cs="Calibri"/>
                <w:b/>
                <w:color w:val="005CA9"/>
                <w:sz w:val="13"/>
                <w:szCs w:val="13"/>
              </w:rPr>
            </w:pPr>
          </w:p>
        </w:tc>
        <w:tc>
          <w:tcPr>
            <w:tcW w:w="508" w:type="pct"/>
            <w:tcBorders>
              <w:top w:val="single" w:sz="4" w:space="0" w:color="F39200"/>
              <w:left w:val="nil"/>
              <w:bottom w:val="single" w:sz="4" w:space="0" w:color="F39200"/>
            </w:tcBorders>
            <w:shd w:val="clear" w:color="auto" w:fill="auto"/>
            <w:noWrap/>
            <w:vAlign w:val="center"/>
          </w:tcPr>
          <w:p w14:paraId="628EE2B6"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Controladora</w:t>
            </w:r>
          </w:p>
        </w:tc>
        <w:tc>
          <w:tcPr>
            <w:tcW w:w="288" w:type="pct"/>
            <w:tcBorders>
              <w:top w:val="single" w:sz="4" w:space="0" w:color="F39200"/>
              <w:left w:val="nil"/>
              <w:bottom w:val="single" w:sz="4" w:space="0" w:color="F39200"/>
            </w:tcBorders>
            <w:shd w:val="clear" w:color="auto" w:fill="auto"/>
            <w:vAlign w:val="center"/>
          </w:tcPr>
          <w:p w14:paraId="1E9C4CD7"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Controlada</w:t>
            </w:r>
          </w:p>
        </w:tc>
        <w:tc>
          <w:tcPr>
            <w:tcW w:w="510" w:type="pct"/>
            <w:tcBorders>
              <w:top w:val="single" w:sz="4" w:space="0" w:color="F39200"/>
              <w:left w:val="nil"/>
              <w:bottom w:val="single" w:sz="4" w:space="0" w:color="F39200"/>
            </w:tcBorders>
            <w:shd w:val="clear" w:color="auto" w:fill="auto"/>
            <w:vAlign w:val="center"/>
          </w:tcPr>
          <w:p w14:paraId="6D3C9D15"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Controlada em conjunto</w:t>
            </w:r>
          </w:p>
        </w:tc>
        <w:tc>
          <w:tcPr>
            <w:tcW w:w="508" w:type="pct"/>
            <w:tcBorders>
              <w:top w:val="single" w:sz="4" w:space="0" w:color="F39200"/>
              <w:left w:val="nil"/>
              <w:bottom w:val="single" w:sz="4" w:space="0" w:color="F39200"/>
            </w:tcBorders>
            <w:shd w:val="clear" w:color="auto" w:fill="auto"/>
            <w:vAlign w:val="center"/>
          </w:tcPr>
          <w:p w14:paraId="49632BAF"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Coligada</w:t>
            </w:r>
          </w:p>
        </w:tc>
        <w:tc>
          <w:tcPr>
            <w:tcW w:w="511" w:type="pct"/>
            <w:tcBorders>
              <w:top w:val="single" w:sz="4" w:space="0" w:color="F39200"/>
              <w:left w:val="nil"/>
              <w:bottom w:val="single" w:sz="4" w:space="0" w:color="F39200"/>
            </w:tcBorders>
            <w:shd w:val="clear" w:color="auto" w:fill="auto"/>
            <w:vAlign w:val="center"/>
          </w:tcPr>
          <w:p w14:paraId="7C8FB88E"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Outras entidades</w:t>
            </w:r>
          </w:p>
        </w:tc>
        <w:tc>
          <w:tcPr>
            <w:tcW w:w="331" w:type="pct"/>
            <w:tcBorders>
              <w:top w:val="single" w:sz="4" w:space="0" w:color="F39200"/>
              <w:left w:val="nil"/>
              <w:bottom w:val="single" w:sz="4" w:space="0" w:color="F39200"/>
              <w:right w:val="nil"/>
            </w:tcBorders>
            <w:shd w:val="clear" w:color="auto" w:fill="auto"/>
            <w:noWrap/>
            <w:vAlign w:val="center"/>
          </w:tcPr>
          <w:p w14:paraId="30A81394"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Controladora</w:t>
            </w:r>
          </w:p>
        </w:tc>
        <w:tc>
          <w:tcPr>
            <w:tcW w:w="288" w:type="pct"/>
            <w:tcBorders>
              <w:top w:val="single" w:sz="4" w:space="0" w:color="F39200"/>
              <w:left w:val="nil"/>
              <w:bottom w:val="single" w:sz="4" w:space="0" w:color="F39200"/>
              <w:right w:val="nil"/>
            </w:tcBorders>
            <w:shd w:val="clear" w:color="auto" w:fill="auto"/>
            <w:vAlign w:val="center"/>
          </w:tcPr>
          <w:p w14:paraId="3B03CF23"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Controlada</w:t>
            </w:r>
          </w:p>
        </w:tc>
        <w:tc>
          <w:tcPr>
            <w:tcW w:w="288" w:type="pct"/>
            <w:tcBorders>
              <w:top w:val="single" w:sz="4" w:space="0" w:color="F39200"/>
              <w:left w:val="nil"/>
              <w:bottom w:val="single" w:sz="4" w:space="0" w:color="F39200"/>
              <w:right w:val="nil"/>
            </w:tcBorders>
            <w:shd w:val="clear" w:color="auto" w:fill="auto"/>
            <w:vAlign w:val="center"/>
          </w:tcPr>
          <w:p w14:paraId="1C2E384D"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Controlada em conjunto</w:t>
            </w:r>
          </w:p>
        </w:tc>
        <w:tc>
          <w:tcPr>
            <w:tcW w:w="266" w:type="pct"/>
            <w:tcBorders>
              <w:top w:val="single" w:sz="4" w:space="0" w:color="F39200"/>
              <w:left w:val="nil"/>
              <w:bottom w:val="single" w:sz="4" w:space="0" w:color="F39200"/>
              <w:right w:val="nil"/>
            </w:tcBorders>
            <w:shd w:val="clear" w:color="auto" w:fill="auto"/>
            <w:vAlign w:val="center"/>
          </w:tcPr>
          <w:p w14:paraId="3432997F"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Coligada</w:t>
            </w:r>
          </w:p>
        </w:tc>
        <w:tc>
          <w:tcPr>
            <w:tcW w:w="319" w:type="pct"/>
            <w:tcBorders>
              <w:top w:val="single" w:sz="4" w:space="0" w:color="F39200"/>
              <w:left w:val="nil"/>
              <w:bottom w:val="single" w:sz="4" w:space="0" w:color="F39200"/>
              <w:right w:val="nil"/>
            </w:tcBorders>
            <w:shd w:val="clear" w:color="auto" w:fill="auto"/>
            <w:vAlign w:val="center"/>
          </w:tcPr>
          <w:p w14:paraId="14376778" w14:textId="77777777" w:rsidR="00DA70F7" w:rsidRPr="00E20D21" w:rsidRDefault="00DA70F7"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Outras entidades</w:t>
            </w:r>
          </w:p>
        </w:tc>
      </w:tr>
      <w:tr w:rsidR="00221E1F" w:rsidRPr="00E20D21" w14:paraId="0FF3E424" w14:textId="77777777" w:rsidTr="006371F3">
        <w:trPr>
          <w:trHeight w:val="283"/>
        </w:trPr>
        <w:tc>
          <w:tcPr>
            <w:tcW w:w="1184" w:type="pct"/>
            <w:tcBorders>
              <w:top w:val="single" w:sz="4" w:space="0" w:color="F39200"/>
              <w:left w:val="nil"/>
              <w:bottom w:val="single" w:sz="4" w:space="0" w:color="F79646" w:themeColor="accent6"/>
              <w:right w:val="nil"/>
            </w:tcBorders>
            <w:shd w:val="clear" w:color="auto" w:fill="auto"/>
            <w:vAlign w:val="center"/>
          </w:tcPr>
          <w:p w14:paraId="23CDE9CC" w14:textId="77777777" w:rsidR="00221E1F" w:rsidRPr="00E20D21" w:rsidRDefault="00221E1F" w:rsidP="00221E1F">
            <w:pPr>
              <w:rPr>
                <w:rFonts w:ascii="CAIXA Std Book" w:hAnsi="CAIXA Std Book" w:cs="Calibri"/>
                <w:color w:val="005CA9"/>
                <w:sz w:val="13"/>
                <w:szCs w:val="13"/>
              </w:rPr>
            </w:pPr>
            <w:r w:rsidRPr="00E20D21">
              <w:rPr>
                <w:rFonts w:ascii="CAIXA Std Book" w:hAnsi="CAIXA Std Book" w:cs="Calibri"/>
                <w:b/>
                <w:color w:val="005CA9"/>
                <w:sz w:val="13"/>
                <w:szCs w:val="13"/>
              </w:rPr>
              <w:t>RECEITAS</w:t>
            </w:r>
          </w:p>
        </w:tc>
        <w:tc>
          <w:tcPr>
            <w:tcW w:w="508" w:type="pct"/>
            <w:tcBorders>
              <w:top w:val="single" w:sz="4" w:space="0" w:color="F39200"/>
              <w:left w:val="nil"/>
              <w:bottom w:val="single" w:sz="4" w:space="0" w:color="F79646" w:themeColor="accent6"/>
              <w:right w:val="nil"/>
            </w:tcBorders>
            <w:shd w:val="clear" w:color="auto" w:fill="auto"/>
            <w:noWrap/>
            <w:vAlign w:val="center"/>
          </w:tcPr>
          <w:p w14:paraId="2D8F0483" w14:textId="3C1762D6" w:rsidR="00221E1F" w:rsidRPr="00E20D21" w:rsidRDefault="00015532" w:rsidP="00221E1F">
            <w:pPr>
              <w:jc w:val="right"/>
              <w:rPr>
                <w:rFonts w:ascii="CAIXA Std Book" w:hAnsi="CAIXA Std Book" w:cs="Calibri"/>
                <w:b/>
                <w:color w:val="005CA9"/>
                <w:sz w:val="13"/>
                <w:szCs w:val="13"/>
              </w:rPr>
            </w:pPr>
            <w:r w:rsidRPr="00E20D21">
              <w:rPr>
                <w:rFonts w:ascii="CAIXA Std Book" w:hAnsi="CAIXA Std Book" w:cs="Calibri"/>
                <w:b/>
                <w:color w:val="005CA9"/>
                <w:sz w:val="13"/>
                <w:szCs w:val="13"/>
              </w:rPr>
              <w:t>1.</w:t>
            </w:r>
            <w:r w:rsidR="004F3297" w:rsidRPr="00E20D21">
              <w:rPr>
                <w:rFonts w:ascii="CAIXA Std Book" w:hAnsi="CAIXA Std Book" w:cs="Calibri"/>
                <w:b/>
                <w:color w:val="005CA9"/>
                <w:sz w:val="13"/>
                <w:szCs w:val="13"/>
              </w:rPr>
              <w:t>166.472</w:t>
            </w:r>
          </w:p>
        </w:tc>
        <w:tc>
          <w:tcPr>
            <w:tcW w:w="288" w:type="pct"/>
            <w:tcBorders>
              <w:top w:val="single" w:sz="4" w:space="0" w:color="F39200"/>
              <w:left w:val="nil"/>
              <w:bottom w:val="single" w:sz="4" w:space="0" w:color="F39200"/>
              <w:right w:val="nil"/>
            </w:tcBorders>
            <w:shd w:val="clear" w:color="auto" w:fill="auto"/>
            <w:vAlign w:val="center"/>
          </w:tcPr>
          <w:p w14:paraId="62ACE16A" w14:textId="583EF430" w:rsidR="00221E1F" w:rsidRPr="00E20D21" w:rsidRDefault="004F3297" w:rsidP="00221E1F">
            <w:pPr>
              <w:jc w:val="right"/>
              <w:rPr>
                <w:rFonts w:ascii="CAIXA Std Book" w:hAnsi="CAIXA Std Book" w:cs="Calibri"/>
                <w:b/>
                <w:color w:val="005CA9"/>
                <w:sz w:val="13"/>
                <w:szCs w:val="13"/>
              </w:rPr>
            </w:pPr>
            <w:r w:rsidRPr="00E20D21">
              <w:rPr>
                <w:rFonts w:ascii="CAIXA Std Book" w:hAnsi="CAIXA Std Book" w:cs="Calibri"/>
                <w:b/>
                <w:color w:val="005CA9"/>
                <w:sz w:val="13"/>
                <w:szCs w:val="13"/>
              </w:rPr>
              <w:t>108.555</w:t>
            </w:r>
          </w:p>
        </w:tc>
        <w:tc>
          <w:tcPr>
            <w:tcW w:w="510" w:type="pct"/>
            <w:tcBorders>
              <w:top w:val="single" w:sz="4" w:space="0" w:color="F39200"/>
              <w:left w:val="nil"/>
              <w:bottom w:val="single" w:sz="4" w:space="0" w:color="F39200"/>
              <w:right w:val="nil"/>
            </w:tcBorders>
            <w:shd w:val="clear" w:color="auto" w:fill="auto"/>
            <w:noWrap/>
            <w:vAlign w:val="center"/>
          </w:tcPr>
          <w:p w14:paraId="1D5098D2" w14:textId="0B12319E" w:rsidR="00221E1F" w:rsidRPr="00E20D21" w:rsidRDefault="002A1F0D" w:rsidP="00221E1F">
            <w:pPr>
              <w:jc w:val="right"/>
              <w:rPr>
                <w:rFonts w:ascii="CAIXA Std Book" w:hAnsi="CAIXA Std Book" w:cs="Calibri"/>
                <w:b/>
                <w:color w:val="005CA9"/>
                <w:sz w:val="13"/>
                <w:szCs w:val="13"/>
              </w:rPr>
            </w:pPr>
            <w:r w:rsidRPr="00E20D21">
              <w:rPr>
                <w:rFonts w:ascii="CAIXA Std Book" w:hAnsi="CAIXA Std Book" w:cs="Calibri"/>
                <w:b/>
                <w:color w:val="005CA9"/>
                <w:sz w:val="13"/>
                <w:szCs w:val="13"/>
              </w:rPr>
              <w:t>432.839</w:t>
            </w:r>
          </w:p>
        </w:tc>
        <w:tc>
          <w:tcPr>
            <w:tcW w:w="508" w:type="pct"/>
            <w:tcBorders>
              <w:top w:val="single" w:sz="4" w:space="0" w:color="F39200"/>
              <w:left w:val="nil"/>
              <w:bottom w:val="single" w:sz="4" w:space="0" w:color="F39200"/>
              <w:right w:val="nil"/>
            </w:tcBorders>
            <w:shd w:val="clear" w:color="auto" w:fill="auto"/>
            <w:noWrap/>
            <w:vAlign w:val="center"/>
          </w:tcPr>
          <w:p w14:paraId="380366B0" w14:textId="1B5DA722" w:rsidR="00221E1F" w:rsidRPr="00E20D21" w:rsidRDefault="002A1F0D" w:rsidP="00221E1F">
            <w:pPr>
              <w:jc w:val="right"/>
              <w:rPr>
                <w:rFonts w:ascii="CAIXA Std Book" w:hAnsi="CAIXA Std Book" w:cs="Calibri"/>
                <w:b/>
                <w:color w:val="005CA9"/>
                <w:sz w:val="13"/>
                <w:szCs w:val="13"/>
              </w:rPr>
            </w:pPr>
            <w:r w:rsidRPr="00E20D21">
              <w:rPr>
                <w:rFonts w:ascii="CAIXA Std Book" w:hAnsi="CAIXA Std Book" w:cs="Calibri"/>
                <w:b/>
                <w:color w:val="005CA9"/>
                <w:sz w:val="13"/>
                <w:szCs w:val="13"/>
              </w:rPr>
              <w:t>396</w:t>
            </w:r>
            <w:r w:rsidR="00CF7C72" w:rsidRPr="00E20D21">
              <w:rPr>
                <w:rFonts w:ascii="CAIXA Std Book" w:hAnsi="CAIXA Std Book" w:cs="Calibri"/>
                <w:b/>
                <w:color w:val="005CA9"/>
                <w:sz w:val="13"/>
                <w:szCs w:val="13"/>
              </w:rPr>
              <w:t>.549</w:t>
            </w:r>
          </w:p>
        </w:tc>
        <w:tc>
          <w:tcPr>
            <w:tcW w:w="511" w:type="pct"/>
            <w:tcBorders>
              <w:top w:val="single" w:sz="4" w:space="0" w:color="F39200"/>
              <w:left w:val="nil"/>
              <w:bottom w:val="single" w:sz="4" w:space="0" w:color="F39200"/>
            </w:tcBorders>
            <w:shd w:val="clear" w:color="auto" w:fill="auto"/>
            <w:noWrap/>
            <w:vAlign w:val="center"/>
          </w:tcPr>
          <w:p w14:paraId="758742D4" w14:textId="668FC33F" w:rsidR="00221E1F" w:rsidRPr="00E20D21" w:rsidRDefault="00CF7C72" w:rsidP="00221E1F">
            <w:pPr>
              <w:jc w:val="right"/>
              <w:rPr>
                <w:rFonts w:ascii="CAIXA Std Book" w:hAnsi="CAIXA Std Book" w:cs="Calibri"/>
                <w:b/>
                <w:color w:val="005CA9"/>
                <w:sz w:val="13"/>
                <w:szCs w:val="13"/>
              </w:rPr>
            </w:pPr>
            <w:r w:rsidRPr="00E20D21">
              <w:rPr>
                <w:rFonts w:ascii="CAIXA Std Book" w:hAnsi="CAIXA Std Book" w:cs="Calibri"/>
                <w:b/>
                <w:color w:val="005CA9"/>
                <w:sz w:val="13"/>
                <w:szCs w:val="13"/>
              </w:rPr>
              <w:t>6.951.542</w:t>
            </w:r>
          </w:p>
        </w:tc>
        <w:tc>
          <w:tcPr>
            <w:tcW w:w="331" w:type="pct"/>
            <w:tcBorders>
              <w:top w:val="nil"/>
              <w:left w:val="nil"/>
              <w:bottom w:val="single" w:sz="4" w:space="0" w:color="F79646" w:themeColor="accent6"/>
              <w:right w:val="nil"/>
            </w:tcBorders>
            <w:shd w:val="clear" w:color="auto" w:fill="auto"/>
            <w:noWrap/>
            <w:vAlign w:val="center"/>
          </w:tcPr>
          <w:p w14:paraId="611BB780" w14:textId="4135B635" w:rsidR="00221E1F" w:rsidRPr="00E20D21" w:rsidRDefault="00221E1F" w:rsidP="00631EFC">
            <w:pPr>
              <w:ind w:left="-84"/>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1.184.829</w:t>
            </w:r>
          </w:p>
        </w:tc>
        <w:tc>
          <w:tcPr>
            <w:tcW w:w="288" w:type="pct"/>
            <w:tcBorders>
              <w:top w:val="nil"/>
              <w:left w:val="nil"/>
              <w:bottom w:val="single" w:sz="4" w:space="0" w:color="F79646" w:themeColor="accent6"/>
              <w:right w:val="nil"/>
            </w:tcBorders>
            <w:shd w:val="clear" w:color="auto" w:fill="auto"/>
            <w:noWrap/>
            <w:vAlign w:val="center"/>
          </w:tcPr>
          <w:p w14:paraId="7F5B8655" w14:textId="2EA8941B" w:rsidR="00221E1F" w:rsidRPr="00E20D21" w:rsidRDefault="00221E1F" w:rsidP="00221E1F">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32.802</w:t>
            </w:r>
          </w:p>
        </w:tc>
        <w:tc>
          <w:tcPr>
            <w:tcW w:w="288" w:type="pct"/>
            <w:tcBorders>
              <w:top w:val="nil"/>
              <w:left w:val="nil"/>
              <w:bottom w:val="single" w:sz="4" w:space="0" w:color="F79646" w:themeColor="accent6"/>
              <w:right w:val="nil"/>
            </w:tcBorders>
            <w:shd w:val="clear" w:color="auto" w:fill="auto"/>
            <w:noWrap/>
            <w:vAlign w:val="center"/>
          </w:tcPr>
          <w:p w14:paraId="753D6D1A" w14:textId="7201A3DA" w:rsidR="00221E1F" w:rsidRPr="00E20D21" w:rsidRDefault="00221E1F" w:rsidP="00221E1F">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424.257</w:t>
            </w:r>
          </w:p>
        </w:tc>
        <w:tc>
          <w:tcPr>
            <w:tcW w:w="266" w:type="pct"/>
            <w:tcBorders>
              <w:top w:val="nil"/>
              <w:left w:val="nil"/>
              <w:bottom w:val="single" w:sz="4" w:space="0" w:color="F79646" w:themeColor="accent6"/>
              <w:right w:val="nil"/>
            </w:tcBorders>
            <w:shd w:val="clear" w:color="auto" w:fill="auto"/>
            <w:noWrap/>
            <w:vAlign w:val="center"/>
          </w:tcPr>
          <w:p w14:paraId="508F72F5" w14:textId="137985A3" w:rsidR="00221E1F" w:rsidRPr="00E20D21" w:rsidRDefault="00221E1F" w:rsidP="00221E1F">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367.411</w:t>
            </w:r>
          </w:p>
        </w:tc>
        <w:tc>
          <w:tcPr>
            <w:tcW w:w="319" w:type="pct"/>
            <w:tcBorders>
              <w:top w:val="nil"/>
              <w:left w:val="nil"/>
              <w:bottom w:val="single" w:sz="4" w:space="0" w:color="F79646" w:themeColor="accent6"/>
              <w:right w:val="single" w:sz="8" w:space="0" w:color="FCE4D6"/>
            </w:tcBorders>
            <w:shd w:val="clear" w:color="auto" w:fill="auto"/>
            <w:noWrap/>
            <w:vAlign w:val="center"/>
          </w:tcPr>
          <w:p w14:paraId="2A3A0C3A" w14:textId="36210EEE" w:rsidR="00221E1F" w:rsidRPr="00E20D21" w:rsidRDefault="00221E1F" w:rsidP="00221E1F">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6.658.786</w:t>
            </w:r>
          </w:p>
        </w:tc>
      </w:tr>
      <w:tr w:rsidR="004F6EF2" w:rsidRPr="00E20D21" w14:paraId="71DB78AA" w14:textId="77777777" w:rsidTr="00616051">
        <w:trPr>
          <w:trHeight w:val="283"/>
        </w:trPr>
        <w:tc>
          <w:tcPr>
            <w:tcW w:w="1184" w:type="pct"/>
            <w:tcBorders>
              <w:left w:val="nil"/>
            </w:tcBorders>
            <w:shd w:val="clear" w:color="auto" w:fill="auto"/>
            <w:vAlign w:val="center"/>
          </w:tcPr>
          <w:p w14:paraId="53074BBA" w14:textId="5C0498A6" w:rsidR="004F6EF2" w:rsidRPr="00E20D21" w:rsidRDefault="004F6EF2" w:rsidP="004F6EF2">
            <w:pPr>
              <w:rPr>
                <w:rFonts w:ascii="CAIXA Std Book" w:hAnsi="CAIXA Std Book" w:cs="Calibri"/>
                <w:color w:val="005CA9"/>
                <w:sz w:val="13"/>
                <w:szCs w:val="13"/>
              </w:rPr>
            </w:pPr>
            <w:r w:rsidRPr="00E20D21">
              <w:rPr>
                <w:rFonts w:ascii="CAIXA Std Book" w:hAnsi="CAIXA Std Book" w:cs="Calibri"/>
                <w:color w:val="005CA9"/>
                <w:sz w:val="13"/>
                <w:szCs w:val="13"/>
              </w:rPr>
              <w:t xml:space="preserve">Resultado com títulos e valores mobiliários </w:t>
            </w:r>
          </w:p>
        </w:tc>
        <w:tc>
          <w:tcPr>
            <w:tcW w:w="508" w:type="pct"/>
            <w:tcBorders>
              <w:top w:val="nil"/>
              <w:left w:val="nil"/>
              <w:bottom w:val="nil"/>
              <w:right w:val="nil"/>
            </w:tcBorders>
            <w:shd w:val="clear" w:color="auto" w:fill="auto"/>
            <w:noWrap/>
            <w:vAlign w:val="center"/>
          </w:tcPr>
          <w:p w14:paraId="59F10B71" w14:textId="6D2FF42F" w:rsidR="004F6EF2" w:rsidRPr="00E20D21" w:rsidRDefault="004F6EF2" w:rsidP="00C93B96">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vAlign w:val="center"/>
          </w:tcPr>
          <w:p w14:paraId="0F50C4F9" w14:textId="782E439F" w:rsidR="004F6EF2" w:rsidRPr="00E20D21" w:rsidRDefault="00C93B96" w:rsidP="00C93B96">
            <w:pPr>
              <w:jc w:val="right"/>
              <w:rPr>
                <w:rFonts w:ascii="CAIXA Std Book" w:hAnsi="CAIXA Std Book" w:cs="Calibri"/>
                <w:color w:val="005CA9"/>
                <w:sz w:val="13"/>
                <w:szCs w:val="13"/>
              </w:rPr>
            </w:pPr>
            <w:r w:rsidRPr="00E20D21">
              <w:rPr>
                <w:rFonts w:ascii="CAIXA Std Book" w:hAnsi="CAIXA Std Book" w:cs="Calibri"/>
                <w:color w:val="005CA9"/>
                <w:sz w:val="13"/>
                <w:szCs w:val="13"/>
              </w:rPr>
              <w:t>61.666</w:t>
            </w:r>
          </w:p>
        </w:tc>
        <w:tc>
          <w:tcPr>
            <w:tcW w:w="510" w:type="pct"/>
            <w:tcBorders>
              <w:top w:val="nil"/>
              <w:left w:val="nil"/>
              <w:bottom w:val="nil"/>
              <w:right w:val="nil"/>
            </w:tcBorders>
            <w:shd w:val="clear" w:color="auto" w:fill="auto"/>
            <w:noWrap/>
            <w:vAlign w:val="center"/>
          </w:tcPr>
          <w:p w14:paraId="28A12C8C" w14:textId="5D258B89" w:rsidR="004F6EF2" w:rsidRPr="00E20D21" w:rsidRDefault="004F6EF2" w:rsidP="00C93B96">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08" w:type="pct"/>
            <w:tcBorders>
              <w:top w:val="nil"/>
              <w:left w:val="nil"/>
              <w:bottom w:val="nil"/>
              <w:right w:val="nil"/>
            </w:tcBorders>
            <w:shd w:val="clear" w:color="auto" w:fill="auto"/>
            <w:noWrap/>
            <w:vAlign w:val="center"/>
          </w:tcPr>
          <w:p w14:paraId="4A36B127" w14:textId="7DE8429E" w:rsidR="004F6EF2" w:rsidRPr="00E20D21" w:rsidRDefault="004F6EF2" w:rsidP="00C93B96">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11" w:type="pct"/>
            <w:tcBorders>
              <w:top w:val="nil"/>
              <w:left w:val="nil"/>
              <w:bottom w:val="nil"/>
            </w:tcBorders>
            <w:shd w:val="clear" w:color="auto" w:fill="auto"/>
            <w:noWrap/>
            <w:vAlign w:val="center"/>
          </w:tcPr>
          <w:p w14:paraId="2F370B26" w14:textId="68D6CD2A" w:rsidR="004F6EF2" w:rsidRPr="00E20D21" w:rsidRDefault="00F26650"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6DB36C72" w14:textId="4BBF366B" w:rsidR="004F6EF2" w:rsidRPr="00E20D21" w:rsidRDefault="00616051"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175441BC" w14:textId="01978FB3" w:rsidR="004F6EF2" w:rsidRPr="00E20D21" w:rsidRDefault="00616051"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166A8791" w14:textId="2E707DED" w:rsidR="004F6EF2" w:rsidRPr="00E20D21" w:rsidRDefault="00616051"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66" w:type="pct"/>
            <w:tcBorders>
              <w:top w:val="nil"/>
              <w:left w:val="nil"/>
              <w:bottom w:val="nil"/>
              <w:right w:val="nil"/>
            </w:tcBorders>
            <w:shd w:val="clear" w:color="auto" w:fill="auto"/>
            <w:noWrap/>
            <w:vAlign w:val="center"/>
          </w:tcPr>
          <w:p w14:paraId="0FDF76FB" w14:textId="2C9BB3E8" w:rsidR="004F6EF2" w:rsidRPr="00E20D21" w:rsidRDefault="00616051"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19" w:type="pct"/>
            <w:tcBorders>
              <w:top w:val="nil"/>
              <w:left w:val="nil"/>
              <w:bottom w:val="nil"/>
              <w:right w:val="single" w:sz="8" w:space="0" w:color="FCE4D6"/>
            </w:tcBorders>
            <w:shd w:val="clear" w:color="auto" w:fill="auto"/>
            <w:noWrap/>
            <w:vAlign w:val="center"/>
          </w:tcPr>
          <w:p w14:paraId="0AE44298" w14:textId="6C51A335" w:rsidR="004F6EF2" w:rsidRPr="00E20D21" w:rsidRDefault="00616051"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r>
      <w:tr w:rsidR="004F6EF2" w:rsidRPr="00E20D21" w14:paraId="55AF14AA" w14:textId="77777777" w:rsidTr="006371F3">
        <w:trPr>
          <w:trHeight w:val="283"/>
        </w:trPr>
        <w:tc>
          <w:tcPr>
            <w:tcW w:w="1184" w:type="pct"/>
            <w:tcBorders>
              <w:left w:val="nil"/>
            </w:tcBorders>
            <w:shd w:val="clear" w:color="auto" w:fill="auto"/>
            <w:vAlign w:val="center"/>
          </w:tcPr>
          <w:p w14:paraId="1A83EF1B" w14:textId="77777777" w:rsidR="004F6EF2" w:rsidRPr="00E20D21" w:rsidRDefault="004F6EF2" w:rsidP="004F6EF2">
            <w:pPr>
              <w:rPr>
                <w:rFonts w:ascii="CAIXA Std Book" w:hAnsi="CAIXA Std Book" w:cs="Calibri"/>
                <w:color w:val="005CA9"/>
                <w:sz w:val="13"/>
                <w:szCs w:val="13"/>
              </w:rPr>
            </w:pPr>
            <w:r w:rsidRPr="00E20D21">
              <w:rPr>
                <w:rFonts w:ascii="CAIXA Std Book" w:hAnsi="CAIXA Std Book" w:cs="Calibri"/>
                <w:color w:val="005CA9"/>
                <w:sz w:val="13"/>
                <w:szCs w:val="13"/>
              </w:rPr>
              <w:t>Rendas com prestação de serviços (1 a 4)</w:t>
            </w:r>
          </w:p>
        </w:tc>
        <w:tc>
          <w:tcPr>
            <w:tcW w:w="508" w:type="pct"/>
            <w:tcBorders>
              <w:top w:val="nil"/>
              <w:left w:val="nil"/>
              <w:bottom w:val="nil"/>
              <w:right w:val="nil"/>
            </w:tcBorders>
            <w:shd w:val="clear" w:color="auto" w:fill="auto"/>
            <w:noWrap/>
            <w:vAlign w:val="center"/>
          </w:tcPr>
          <w:p w14:paraId="527890DC" w14:textId="1E40B4D4"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714.304</w:t>
            </w:r>
          </w:p>
        </w:tc>
        <w:tc>
          <w:tcPr>
            <w:tcW w:w="288" w:type="pct"/>
            <w:tcBorders>
              <w:top w:val="nil"/>
              <w:left w:val="nil"/>
              <w:bottom w:val="nil"/>
              <w:right w:val="nil"/>
            </w:tcBorders>
            <w:shd w:val="clear" w:color="auto" w:fill="auto"/>
            <w:vAlign w:val="center"/>
          </w:tcPr>
          <w:p w14:paraId="765A2EA5" w14:textId="70EFF707" w:rsidR="004F6EF2" w:rsidRPr="00E20D21" w:rsidRDefault="004F6EF2" w:rsidP="00463C25">
            <w:pPr>
              <w:jc w:val="right"/>
              <w:rPr>
                <w:rFonts w:ascii="CAIXA Std Book" w:hAnsi="CAIXA Std Book" w:cs="Calibri"/>
                <w:color w:val="005CA9"/>
                <w:sz w:val="13"/>
                <w:szCs w:val="13"/>
              </w:rPr>
            </w:pPr>
            <w:r w:rsidRPr="00E20D21">
              <w:rPr>
                <w:rFonts w:ascii="CAIXA Std Book" w:hAnsi="CAIXA Std Book" w:cs="Calibri"/>
                <w:color w:val="005CA9"/>
                <w:sz w:val="13"/>
                <w:szCs w:val="13"/>
              </w:rPr>
              <w:t>304</w:t>
            </w:r>
          </w:p>
        </w:tc>
        <w:tc>
          <w:tcPr>
            <w:tcW w:w="510" w:type="pct"/>
            <w:tcBorders>
              <w:top w:val="nil"/>
              <w:left w:val="nil"/>
              <w:bottom w:val="nil"/>
              <w:right w:val="nil"/>
            </w:tcBorders>
            <w:shd w:val="clear" w:color="auto" w:fill="auto"/>
            <w:noWrap/>
            <w:vAlign w:val="center"/>
          </w:tcPr>
          <w:p w14:paraId="7CBC7144" w14:textId="6821646A" w:rsidR="004F6EF2" w:rsidRPr="00E20D21" w:rsidRDefault="004F6EF2" w:rsidP="00C93B96">
            <w:pPr>
              <w:jc w:val="right"/>
              <w:rPr>
                <w:rFonts w:ascii="CAIXA Std Book" w:hAnsi="CAIXA Std Book" w:cs="Calibri"/>
                <w:color w:val="005CA9"/>
                <w:sz w:val="13"/>
                <w:szCs w:val="13"/>
              </w:rPr>
            </w:pPr>
            <w:r w:rsidRPr="00E20D21">
              <w:rPr>
                <w:rFonts w:ascii="CAIXA Std Book" w:hAnsi="CAIXA Std Book" w:cs="Calibri"/>
                <w:color w:val="005CA9"/>
                <w:sz w:val="13"/>
                <w:szCs w:val="13"/>
              </w:rPr>
              <w:t>427.035</w:t>
            </w:r>
          </w:p>
        </w:tc>
        <w:tc>
          <w:tcPr>
            <w:tcW w:w="508" w:type="pct"/>
            <w:tcBorders>
              <w:top w:val="nil"/>
              <w:left w:val="nil"/>
              <w:bottom w:val="nil"/>
              <w:right w:val="nil"/>
            </w:tcBorders>
            <w:shd w:val="clear" w:color="auto" w:fill="auto"/>
            <w:noWrap/>
            <w:vAlign w:val="center"/>
          </w:tcPr>
          <w:p w14:paraId="64522B52" w14:textId="40947471" w:rsidR="004F6EF2" w:rsidRPr="00E20D21" w:rsidRDefault="004F6EF2" w:rsidP="00C93B96">
            <w:pPr>
              <w:jc w:val="right"/>
              <w:rPr>
                <w:rFonts w:ascii="CAIXA Std Book" w:hAnsi="CAIXA Std Book" w:cs="Calibri"/>
                <w:color w:val="005CA9"/>
                <w:sz w:val="13"/>
                <w:szCs w:val="13"/>
              </w:rPr>
            </w:pPr>
            <w:r w:rsidRPr="00E20D21">
              <w:rPr>
                <w:rFonts w:ascii="CAIXA Std Book" w:hAnsi="CAIXA Std Book" w:cs="Calibri"/>
                <w:color w:val="005CA9"/>
                <w:sz w:val="13"/>
                <w:szCs w:val="13"/>
              </w:rPr>
              <w:t>396.431</w:t>
            </w:r>
          </w:p>
        </w:tc>
        <w:tc>
          <w:tcPr>
            <w:tcW w:w="511" w:type="pct"/>
            <w:tcBorders>
              <w:top w:val="nil"/>
              <w:left w:val="nil"/>
              <w:bottom w:val="nil"/>
            </w:tcBorders>
            <w:shd w:val="clear" w:color="auto" w:fill="auto"/>
            <w:noWrap/>
            <w:vAlign w:val="center"/>
          </w:tcPr>
          <w:p w14:paraId="3F54DF1A" w14:textId="07D8A65C" w:rsidR="004F6EF2" w:rsidRPr="00E20D21" w:rsidRDefault="00F26650"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2.4</w:t>
            </w:r>
            <w:r w:rsidR="00051A4F" w:rsidRPr="00E20D21">
              <w:rPr>
                <w:rFonts w:ascii="CAIXA Std Book" w:hAnsi="CAIXA Std Book" w:cs="Calibri"/>
                <w:color w:val="005CA9"/>
                <w:sz w:val="13"/>
                <w:szCs w:val="13"/>
              </w:rPr>
              <w:t>10.118</w:t>
            </w:r>
          </w:p>
        </w:tc>
        <w:tc>
          <w:tcPr>
            <w:tcW w:w="331" w:type="pct"/>
            <w:tcBorders>
              <w:top w:val="nil"/>
              <w:left w:val="nil"/>
              <w:bottom w:val="nil"/>
              <w:right w:val="nil"/>
            </w:tcBorders>
            <w:shd w:val="clear" w:color="auto" w:fill="auto"/>
            <w:noWrap/>
            <w:vAlign w:val="center"/>
          </w:tcPr>
          <w:p w14:paraId="35FFBB04" w14:textId="4A5E9D09"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612.587</w:t>
            </w:r>
          </w:p>
        </w:tc>
        <w:tc>
          <w:tcPr>
            <w:tcW w:w="288" w:type="pct"/>
            <w:tcBorders>
              <w:top w:val="nil"/>
              <w:left w:val="nil"/>
              <w:bottom w:val="nil"/>
              <w:right w:val="nil"/>
            </w:tcBorders>
            <w:shd w:val="clear" w:color="auto" w:fill="auto"/>
            <w:noWrap/>
            <w:vAlign w:val="center"/>
          </w:tcPr>
          <w:p w14:paraId="2EB668BD" w14:textId="6F08CCCB"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69</w:t>
            </w:r>
          </w:p>
        </w:tc>
        <w:tc>
          <w:tcPr>
            <w:tcW w:w="288" w:type="pct"/>
            <w:tcBorders>
              <w:top w:val="nil"/>
              <w:left w:val="nil"/>
              <w:bottom w:val="nil"/>
              <w:right w:val="nil"/>
            </w:tcBorders>
            <w:shd w:val="clear" w:color="auto" w:fill="auto"/>
            <w:noWrap/>
            <w:vAlign w:val="center"/>
          </w:tcPr>
          <w:p w14:paraId="26DCDDCC" w14:textId="4BA82F19"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423.513</w:t>
            </w:r>
          </w:p>
        </w:tc>
        <w:tc>
          <w:tcPr>
            <w:tcW w:w="266" w:type="pct"/>
            <w:tcBorders>
              <w:top w:val="nil"/>
              <w:left w:val="nil"/>
              <w:bottom w:val="nil"/>
              <w:right w:val="nil"/>
            </w:tcBorders>
            <w:shd w:val="clear" w:color="auto" w:fill="auto"/>
            <w:noWrap/>
            <w:vAlign w:val="center"/>
          </w:tcPr>
          <w:p w14:paraId="0235AB5D" w14:textId="081FFE93"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367.411</w:t>
            </w:r>
          </w:p>
        </w:tc>
        <w:tc>
          <w:tcPr>
            <w:tcW w:w="319" w:type="pct"/>
            <w:tcBorders>
              <w:top w:val="nil"/>
              <w:left w:val="nil"/>
              <w:bottom w:val="nil"/>
              <w:right w:val="single" w:sz="8" w:space="0" w:color="FCE4D6"/>
            </w:tcBorders>
            <w:shd w:val="clear" w:color="auto" w:fill="auto"/>
            <w:noWrap/>
            <w:vAlign w:val="center"/>
          </w:tcPr>
          <w:p w14:paraId="5FFBB080" w14:textId="2270CDDE"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2.475.671</w:t>
            </w:r>
          </w:p>
        </w:tc>
      </w:tr>
      <w:tr w:rsidR="004F6EF2" w:rsidRPr="00E20D21" w14:paraId="6F172713" w14:textId="77777777" w:rsidTr="006371F3">
        <w:trPr>
          <w:trHeight w:val="283"/>
        </w:trPr>
        <w:tc>
          <w:tcPr>
            <w:tcW w:w="1184" w:type="pct"/>
            <w:tcBorders>
              <w:top w:val="nil"/>
              <w:left w:val="nil"/>
            </w:tcBorders>
            <w:shd w:val="clear" w:color="auto" w:fill="auto"/>
            <w:vAlign w:val="center"/>
          </w:tcPr>
          <w:p w14:paraId="38B89965" w14:textId="77777777" w:rsidR="004F6EF2" w:rsidRPr="00E20D21" w:rsidRDefault="004F6EF2" w:rsidP="004F6EF2">
            <w:pPr>
              <w:rPr>
                <w:rFonts w:ascii="CAIXA Std Book" w:hAnsi="CAIXA Std Book" w:cs="Calibri"/>
                <w:color w:val="005CA9"/>
                <w:sz w:val="13"/>
                <w:szCs w:val="13"/>
              </w:rPr>
            </w:pPr>
            <w:r w:rsidRPr="00E20D21">
              <w:rPr>
                <w:rFonts w:ascii="CAIXA Std Book" w:hAnsi="CAIXA Std Book" w:cs="Calibri"/>
                <w:color w:val="005CA9"/>
                <w:sz w:val="13"/>
                <w:szCs w:val="13"/>
              </w:rPr>
              <w:t>Rendas com administração de fundos de investimento</w:t>
            </w:r>
          </w:p>
        </w:tc>
        <w:tc>
          <w:tcPr>
            <w:tcW w:w="508" w:type="pct"/>
            <w:tcBorders>
              <w:top w:val="nil"/>
              <w:left w:val="nil"/>
              <w:bottom w:val="nil"/>
              <w:right w:val="nil"/>
            </w:tcBorders>
            <w:shd w:val="clear" w:color="auto" w:fill="auto"/>
            <w:noWrap/>
            <w:vAlign w:val="center"/>
          </w:tcPr>
          <w:p w14:paraId="1CE19727" w14:textId="18E5E74E" w:rsidR="004F6EF2" w:rsidRPr="00E20D21" w:rsidRDefault="004F6EF2" w:rsidP="00C93B96">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vAlign w:val="center"/>
          </w:tcPr>
          <w:p w14:paraId="15707662" w14:textId="1F9CAC81" w:rsidR="004F6EF2" w:rsidRPr="00E20D21" w:rsidRDefault="004F6EF2" w:rsidP="00C93B96">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10" w:type="pct"/>
            <w:tcBorders>
              <w:top w:val="nil"/>
              <w:left w:val="nil"/>
              <w:bottom w:val="nil"/>
              <w:right w:val="nil"/>
            </w:tcBorders>
            <w:shd w:val="clear" w:color="auto" w:fill="auto"/>
            <w:noWrap/>
            <w:vAlign w:val="center"/>
          </w:tcPr>
          <w:p w14:paraId="167A3E75" w14:textId="32E6F1D0" w:rsidR="004F6EF2" w:rsidRPr="00E20D21" w:rsidRDefault="004F6EF2" w:rsidP="00C93B96">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08" w:type="pct"/>
            <w:tcBorders>
              <w:top w:val="nil"/>
              <w:left w:val="nil"/>
              <w:bottom w:val="nil"/>
              <w:right w:val="nil"/>
            </w:tcBorders>
            <w:shd w:val="clear" w:color="auto" w:fill="auto"/>
            <w:noWrap/>
            <w:vAlign w:val="center"/>
          </w:tcPr>
          <w:p w14:paraId="6ABAD276" w14:textId="47FBB7E5" w:rsidR="004F6EF2" w:rsidRPr="00E20D21" w:rsidRDefault="004F6EF2" w:rsidP="00C93B96">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11" w:type="pct"/>
            <w:tcBorders>
              <w:top w:val="nil"/>
              <w:left w:val="nil"/>
              <w:bottom w:val="nil"/>
            </w:tcBorders>
            <w:shd w:val="clear" w:color="auto" w:fill="auto"/>
            <w:noWrap/>
            <w:vAlign w:val="center"/>
          </w:tcPr>
          <w:p w14:paraId="1C28EF68" w14:textId="1A43D7B0"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1</w:t>
            </w:r>
            <w:r w:rsidR="00373378" w:rsidRPr="00E20D21">
              <w:rPr>
                <w:rFonts w:ascii="CAIXA Std Book" w:hAnsi="CAIXA Std Book" w:cs="Calibri"/>
                <w:color w:val="005CA9"/>
                <w:sz w:val="13"/>
                <w:szCs w:val="13"/>
              </w:rPr>
              <w:t>98</w:t>
            </w:r>
            <w:r w:rsidR="000D0ACC" w:rsidRPr="00E20D21">
              <w:rPr>
                <w:rFonts w:ascii="CAIXA Std Book" w:hAnsi="CAIXA Std Book" w:cs="Calibri"/>
                <w:color w:val="005CA9"/>
                <w:sz w:val="13"/>
                <w:szCs w:val="13"/>
              </w:rPr>
              <w:t>.549</w:t>
            </w:r>
          </w:p>
        </w:tc>
        <w:tc>
          <w:tcPr>
            <w:tcW w:w="331" w:type="pct"/>
            <w:tcBorders>
              <w:top w:val="nil"/>
              <w:left w:val="nil"/>
              <w:bottom w:val="nil"/>
              <w:right w:val="nil"/>
            </w:tcBorders>
            <w:shd w:val="clear" w:color="auto" w:fill="auto"/>
            <w:noWrap/>
            <w:vAlign w:val="center"/>
          </w:tcPr>
          <w:p w14:paraId="697529E4" w14:textId="131CC330" w:rsidR="004F6EF2" w:rsidRPr="00E20D21" w:rsidRDefault="004F6EF2" w:rsidP="004F6EF2">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4ED50A1C" w14:textId="2043AC61" w:rsidR="004F6EF2" w:rsidRPr="00E20D21" w:rsidRDefault="004F6EF2" w:rsidP="004F6EF2">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5DF1BECB" w14:textId="216E8F7C" w:rsidR="004F6EF2" w:rsidRPr="00E20D21" w:rsidRDefault="004F6EF2" w:rsidP="004F6EF2">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66" w:type="pct"/>
            <w:tcBorders>
              <w:top w:val="nil"/>
              <w:left w:val="nil"/>
              <w:bottom w:val="nil"/>
              <w:right w:val="nil"/>
            </w:tcBorders>
            <w:shd w:val="clear" w:color="auto" w:fill="auto"/>
            <w:noWrap/>
            <w:vAlign w:val="center"/>
          </w:tcPr>
          <w:p w14:paraId="1E315DCC" w14:textId="2F8E7BCE" w:rsidR="004F6EF2" w:rsidRPr="00E20D21" w:rsidRDefault="004F6EF2" w:rsidP="004F6EF2">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19" w:type="pct"/>
            <w:tcBorders>
              <w:top w:val="nil"/>
              <w:left w:val="nil"/>
              <w:bottom w:val="nil"/>
              <w:right w:val="single" w:sz="8" w:space="0" w:color="FCE4D6"/>
            </w:tcBorders>
            <w:shd w:val="clear" w:color="auto" w:fill="auto"/>
            <w:noWrap/>
            <w:vAlign w:val="center"/>
          </w:tcPr>
          <w:p w14:paraId="66E80BBC" w14:textId="3F577F73"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174.196</w:t>
            </w:r>
          </w:p>
        </w:tc>
      </w:tr>
      <w:tr w:rsidR="004F6EF2" w:rsidRPr="00E20D21" w14:paraId="635884AE" w14:textId="77777777" w:rsidTr="006371F3">
        <w:trPr>
          <w:trHeight w:val="283"/>
        </w:trPr>
        <w:tc>
          <w:tcPr>
            <w:tcW w:w="1184" w:type="pct"/>
            <w:tcBorders>
              <w:top w:val="nil"/>
              <w:left w:val="nil"/>
              <w:bottom w:val="single" w:sz="4" w:space="0" w:color="F79646" w:themeColor="accent6"/>
            </w:tcBorders>
            <w:shd w:val="clear" w:color="auto" w:fill="auto"/>
            <w:vAlign w:val="center"/>
          </w:tcPr>
          <w:p w14:paraId="664306CD" w14:textId="77777777" w:rsidR="004F6EF2" w:rsidRPr="00E20D21" w:rsidRDefault="004F6EF2" w:rsidP="004F6EF2">
            <w:pPr>
              <w:rPr>
                <w:rFonts w:ascii="CAIXA Std Book" w:hAnsi="CAIXA Std Book" w:cs="Calibri"/>
                <w:color w:val="005CA9"/>
                <w:sz w:val="13"/>
                <w:szCs w:val="13"/>
              </w:rPr>
            </w:pPr>
            <w:r w:rsidRPr="00E20D21">
              <w:rPr>
                <w:rFonts w:ascii="CAIXA Std Book" w:hAnsi="CAIXA Std Book" w:cs="Calibri"/>
                <w:color w:val="005CA9"/>
                <w:sz w:val="13"/>
                <w:szCs w:val="13"/>
              </w:rPr>
              <w:t>Outras receitas operacionais (5)</w:t>
            </w:r>
          </w:p>
        </w:tc>
        <w:tc>
          <w:tcPr>
            <w:tcW w:w="508" w:type="pct"/>
            <w:tcBorders>
              <w:top w:val="nil"/>
              <w:left w:val="nil"/>
              <w:bottom w:val="single" w:sz="4" w:space="0" w:color="F39200"/>
              <w:right w:val="nil"/>
            </w:tcBorders>
            <w:shd w:val="clear" w:color="auto" w:fill="auto"/>
            <w:noWrap/>
            <w:vAlign w:val="center"/>
          </w:tcPr>
          <w:p w14:paraId="3468CCE7" w14:textId="6552D0D4"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452.168</w:t>
            </w:r>
          </w:p>
        </w:tc>
        <w:tc>
          <w:tcPr>
            <w:tcW w:w="288" w:type="pct"/>
            <w:tcBorders>
              <w:top w:val="nil"/>
              <w:left w:val="nil"/>
              <w:bottom w:val="single" w:sz="4" w:space="0" w:color="F39200"/>
              <w:right w:val="nil"/>
            </w:tcBorders>
            <w:shd w:val="clear" w:color="auto" w:fill="auto"/>
            <w:vAlign w:val="center"/>
          </w:tcPr>
          <w:p w14:paraId="33897902" w14:textId="0C348016"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46.585</w:t>
            </w:r>
          </w:p>
        </w:tc>
        <w:tc>
          <w:tcPr>
            <w:tcW w:w="510" w:type="pct"/>
            <w:tcBorders>
              <w:top w:val="nil"/>
              <w:left w:val="nil"/>
              <w:bottom w:val="single" w:sz="4" w:space="0" w:color="F39200"/>
              <w:right w:val="nil"/>
            </w:tcBorders>
            <w:shd w:val="clear" w:color="auto" w:fill="auto"/>
            <w:noWrap/>
            <w:vAlign w:val="center"/>
          </w:tcPr>
          <w:p w14:paraId="3BF41951" w14:textId="00CA5B6B"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5.804</w:t>
            </w:r>
          </w:p>
        </w:tc>
        <w:tc>
          <w:tcPr>
            <w:tcW w:w="508" w:type="pct"/>
            <w:tcBorders>
              <w:top w:val="nil"/>
              <w:left w:val="nil"/>
              <w:bottom w:val="single" w:sz="4" w:space="0" w:color="F39200"/>
              <w:right w:val="nil"/>
            </w:tcBorders>
            <w:shd w:val="clear" w:color="auto" w:fill="auto"/>
            <w:noWrap/>
            <w:vAlign w:val="center"/>
          </w:tcPr>
          <w:p w14:paraId="1E7C1F3B" w14:textId="1F71FECE"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118</w:t>
            </w:r>
          </w:p>
        </w:tc>
        <w:tc>
          <w:tcPr>
            <w:tcW w:w="511" w:type="pct"/>
            <w:tcBorders>
              <w:top w:val="nil"/>
              <w:left w:val="nil"/>
              <w:bottom w:val="single" w:sz="4" w:space="0" w:color="F39200"/>
            </w:tcBorders>
            <w:shd w:val="clear" w:color="auto" w:fill="auto"/>
            <w:noWrap/>
            <w:vAlign w:val="center"/>
          </w:tcPr>
          <w:p w14:paraId="1AC6D601" w14:textId="1CCA389F" w:rsidR="004F6EF2" w:rsidRPr="00E20D21" w:rsidRDefault="00C8004C"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4.</w:t>
            </w:r>
            <w:r w:rsidR="00AA6DF9" w:rsidRPr="00E20D21">
              <w:rPr>
                <w:rFonts w:ascii="CAIXA Std Book" w:hAnsi="CAIXA Std Book" w:cs="Calibri"/>
                <w:color w:val="005CA9"/>
                <w:sz w:val="13"/>
                <w:szCs w:val="13"/>
              </w:rPr>
              <w:t>342.875</w:t>
            </w:r>
          </w:p>
        </w:tc>
        <w:tc>
          <w:tcPr>
            <w:tcW w:w="331" w:type="pct"/>
            <w:tcBorders>
              <w:top w:val="nil"/>
              <w:left w:val="nil"/>
              <w:bottom w:val="single" w:sz="4" w:space="0" w:color="F79646" w:themeColor="accent6"/>
              <w:right w:val="nil"/>
            </w:tcBorders>
            <w:shd w:val="clear" w:color="auto" w:fill="auto"/>
            <w:noWrap/>
            <w:vAlign w:val="center"/>
          </w:tcPr>
          <w:p w14:paraId="590CA759" w14:textId="0066C56E"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572.242</w:t>
            </w:r>
          </w:p>
        </w:tc>
        <w:tc>
          <w:tcPr>
            <w:tcW w:w="288" w:type="pct"/>
            <w:tcBorders>
              <w:top w:val="nil"/>
              <w:left w:val="nil"/>
              <w:bottom w:val="single" w:sz="4" w:space="0" w:color="F79646" w:themeColor="accent6"/>
              <w:right w:val="nil"/>
            </w:tcBorders>
            <w:shd w:val="clear" w:color="auto" w:fill="auto"/>
            <w:noWrap/>
            <w:vAlign w:val="center"/>
          </w:tcPr>
          <w:p w14:paraId="557CEA02" w14:textId="7452002D"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32.733</w:t>
            </w:r>
          </w:p>
        </w:tc>
        <w:tc>
          <w:tcPr>
            <w:tcW w:w="288" w:type="pct"/>
            <w:tcBorders>
              <w:top w:val="nil"/>
              <w:left w:val="nil"/>
              <w:bottom w:val="single" w:sz="4" w:space="0" w:color="F79646" w:themeColor="accent6"/>
              <w:right w:val="nil"/>
            </w:tcBorders>
            <w:shd w:val="clear" w:color="auto" w:fill="auto"/>
            <w:noWrap/>
            <w:vAlign w:val="center"/>
          </w:tcPr>
          <w:p w14:paraId="342A1F0D" w14:textId="3F05D8E5"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744</w:t>
            </w:r>
          </w:p>
        </w:tc>
        <w:tc>
          <w:tcPr>
            <w:tcW w:w="266" w:type="pct"/>
            <w:tcBorders>
              <w:top w:val="nil"/>
              <w:left w:val="nil"/>
              <w:bottom w:val="single" w:sz="4" w:space="0" w:color="F79646" w:themeColor="accent6"/>
              <w:right w:val="nil"/>
            </w:tcBorders>
            <w:shd w:val="clear" w:color="auto" w:fill="auto"/>
            <w:noWrap/>
            <w:vAlign w:val="center"/>
          </w:tcPr>
          <w:p w14:paraId="4EF604C5" w14:textId="6CC43C8E" w:rsidR="004F6EF2" w:rsidRPr="00E20D21" w:rsidRDefault="004F6EF2" w:rsidP="004F6EF2">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19" w:type="pct"/>
            <w:tcBorders>
              <w:top w:val="nil"/>
              <w:left w:val="nil"/>
              <w:bottom w:val="single" w:sz="4" w:space="0" w:color="F79646" w:themeColor="accent6"/>
              <w:right w:val="single" w:sz="8" w:space="0" w:color="FCE4D6"/>
            </w:tcBorders>
            <w:shd w:val="clear" w:color="auto" w:fill="auto"/>
            <w:noWrap/>
            <w:vAlign w:val="center"/>
          </w:tcPr>
          <w:p w14:paraId="4F21EB9B" w14:textId="13F8C734" w:rsidR="004F6EF2" w:rsidRPr="00E20D21" w:rsidRDefault="004F6EF2" w:rsidP="004F6EF2">
            <w:pPr>
              <w:jc w:val="right"/>
              <w:rPr>
                <w:rFonts w:ascii="CAIXA Std Book" w:hAnsi="CAIXA Std Book" w:cs="Calibri"/>
                <w:color w:val="005CA9"/>
                <w:sz w:val="13"/>
                <w:szCs w:val="13"/>
              </w:rPr>
            </w:pPr>
            <w:r w:rsidRPr="00E20D21">
              <w:rPr>
                <w:rFonts w:ascii="CAIXA Std Book" w:hAnsi="CAIXA Std Book" w:cs="Calibri"/>
                <w:color w:val="005CA9"/>
                <w:sz w:val="13"/>
                <w:szCs w:val="13"/>
              </w:rPr>
              <w:t>4.008.919</w:t>
            </w:r>
          </w:p>
        </w:tc>
      </w:tr>
      <w:tr w:rsidR="00D7777A" w:rsidRPr="00E20D21" w14:paraId="547C15A7" w14:textId="77777777" w:rsidTr="006371F3">
        <w:trPr>
          <w:trHeight w:val="283"/>
        </w:trPr>
        <w:tc>
          <w:tcPr>
            <w:tcW w:w="1184" w:type="pct"/>
            <w:tcBorders>
              <w:top w:val="single" w:sz="4" w:space="0" w:color="F79646" w:themeColor="accent6"/>
              <w:left w:val="nil"/>
              <w:bottom w:val="single" w:sz="4" w:space="0" w:color="F79646" w:themeColor="accent6"/>
            </w:tcBorders>
            <w:shd w:val="clear" w:color="auto" w:fill="auto"/>
            <w:vAlign w:val="center"/>
          </w:tcPr>
          <w:p w14:paraId="55E6EC37" w14:textId="77777777" w:rsidR="00D7777A" w:rsidRPr="00E20D21" w:rsidRDefault="00D7777A" w:rsidP="00D7777A">
            <w:pPr>
              <w:rPr>
                <w:rFonts w:ascii="CAIXA Std Book" w:hAnsi="CAIXA Std Book" w:cs="Calibri"/>
                <w:color w:val="005CA9"/>
                <w:sz w:val="13"/>
                <w:szCs w:val="13"/>
              </w:rPr>
            </w:pPr>
            <w:r w:rsidRPr="00E20D21">
              <w:rPr>
                <w:rFonts w:ascii="CAIXA Std Book" w:hAnsi="CAIXA Std Book" w:cs="Calibri"/>
                <w:b/>
                <w:color w:val="005CA9"/>
                <w:sz w:val="13"/>
                <w:szCs w:val="13"/>
              </w:rPr>
              <w:t>DESPESAS</w:t>
            </w:r>
          </w:p>
        </w:tc>
        <w:tc>
          <w:tcPr>
            <w:tcW w:w="508" w:type="pct"/>
            <w:tcBorders>
              <w:top w:val="nil"/>
              <w:left w:val="nil"/>
              <w:bottom w:val="single" w:sz="4" w:space="0" w:color="F39200"/>
              <w:right w:val="nil"/>
            </w:tcBorders>
            <w:shd w:val="clear" w:color="auto" w:fill="auto"/>
            <w:noWrap/>
            <w:vAlign w:val="center"/>
          </w:tcPr>
          <w:p w14:paraId="1700CE21" w14:textId="7348DA68" w:rsidR="00D7777A" w:rsidRPr="00E20D21" w:rsidRDefault="00D7777A" w:rsidP="00D7777A">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(1.339.001)</w:t>
            </w:r>
          </w:p>
        </w:tc>
        <w:tc>
          <w:tcPr>
            <w:tcW w:w="288" w:type="pct"/>
            <w:tcBorders>
              <w:top w:val="nil"/>
              <w:left w:val="nil"/>
              <w:bottom w:val="single" w:sz="4" w:space="0" w:color="F39200"/>
              <w:right w:val="nil"/>
            </w:tcBorders>
            <w:shd w:val="clear" w:color="auto" w:fill="auto"/>
            <w:vAlign w:val="center"/>
          </w:tcPr>
          <w:p w14:paraId="14F07ACB" w14:textId="10265FC0" w:rsidR="00D7777A" w:rsidRPr="00E20D21" w:rsidRDefault="00D80C92" w:rsidP="00D7777A">
            <w:pPr>
              <w:jc w:val="right"/>
              <w:rPr>
                <w:rFonts w:ascii="CAIXA Std Book" w:hAnsi="CAIXA Std Book" w:cs="Calibri"/>
                <w:b/>
                <w:color w:val="005CA9"/>
                <w:sz w:val="13"/>
                <w:szCs w:val="13"/>
              </w:rPr>
            </w:pPr>
            <w:r w:rsidRPr="00E20D21">
              <w:rPr>
                <w:rFonts w:ascii="CAIXA Std Book" w:hAnsi="CAIXA Std Book" w:cs="Calibri"/>
                <w:b/>
                <w:color w:val="005CA9"/>
                <w:sz w:val="13"/>
                <w:szCs w:val="13"/>
              </w:rPr>
              <w:t>(75.</w:t>
            </w:r>
            <w:r w:rsidR="006A63B6" w:rsidRPr="00E20D21">
              <w:rPr>
                <w:rFonts w:ascii="CAIXA Std Book" w:hAnsi="CAIXA Std Book" w:cs="Calibri"/>
                <w:b/>
                <w:color w:val="005CA9"/>
                <w:sz w:val="13"/>
                <w:szCs w:val="13"/>
              </w:rPr>
              <w:t>289)</w:t>
            </w:r>
          </w:p>
        </w:tc>
        <w:tc>
          <w:tcPr>
            <w:tcW w:w="510" w:type="pct"/>
            <w:tcBorders>
              <w:top w:val="nil"/>
              <w:left w:val="nil"/>
              <w:bottom w:val="single" w:sz="4" w:space="0" w:color="F39200"/>
              <w:right w:val="nil"/>
            </w:tcBorders>
            <w:shd w:val="clear" w:color="auto" w:fill="auto"/>
            <w:noWrap/>
            <w:vAlign w:val="center"/>
          </w:tcPr>
          <w:p w14:paraId="68A37710" w14:textId="4CEFC31D" w:rsidR="00D7777A" w:rsidRPr="00E20D21" w:rsidRDefault="00D7777A" w:rsidP="00D7777A">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(237.015)</w:t>
            </w:r>
          </w:p>
        </w:tc>
        <w:tc>
          <w:tcPr>
            <w:tcW w:w="508" w:type="pct"/>
            <w:tcBorders>
              <w:top w:val="nil"/>
              <w:left w:val="nil"/>
              <w:bottom w:val="single" w:sz="4" w:space="0" w:color="F39200"/>
              <w:right w:val="nil"/>
            </w:tcBorders>
            <w:shd w:val="clear" w:color="auto" w:fill="auto"/>
            <w:noWrap/>
            <w:vAlign w:val="center"/>
          </w:tcPr>
          <w:p w14:paraId="621B9F4A" w14:textId="251D08C7" w:rsidR="00D7777A" w:rsidRPr="00E20D21" w:rsidRDefault="00D7777A" w:rsidP="00D7777A">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(320.957)</w:t>
            </w:r>
          </w:p>
        </w:tc>
        <w:tc>
          <w:tcPr>
            <w:tcW w:w="511" w:type="pct"/>
            <w:tcBorders>
              <w:top w:val="nil"/>
              <w:left w:val="nil"/>
              <w:bottom w:val="single" w:sz="4" w:space="0" w:color="F39200"/>
            </w:tcBorders>
            <w:shd w:val="clear" w:color="auto" w:fill="auto"/>
            <w:noWrap/>
            <w:vAlign w:val="center"/>
          </w:tcPr>
          <w:p w14:paraId="58BACB19" w14:textId="65E67A94" w:rsidR="00D7777A" w:rsidRPr="00E20D21" w:rsidRDefault="00D7777A" w:rsidP="00D7777A">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(18.050.288)</w:t>
            </w:r>
          </w:p>
        </w:tc>
        <w:tc>
          <w:tcPr>
            <w:tcW w:w="331" w:type="pct"/>
            <w:tcBorders>
              <w:top w:val="single" w:sz="4" w:space="0" w:color="F79646" w:themeColor="accent6"/>
              <w:left w:val="nil"/>
              <w:bottom w:val="single" w:sz="4" w:space="0" w:color="F79646" w:themeColor="accent6"/>
              <w:right w:val="nil"/>
            </w:tcBorders>
            <w:shd w:val="clear" w:color="auto" w:fill="auto"/>
            <w:noWrap/>
            <w:vAlign w:val="center"/>
          </w:tcPr>
          <w:p w14:paraId="110E6988" w14:textId="04B1146B" w:rsidR="00D7777A" w:rsidRPr="00E20D21" w:rsidRDefault="00D7777A" w:rsidP="00D7777A">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(1.286.965)</w:t>
            </w:r>
          </w:p>
        </w:tc>
        <w:tc>
          <w:tcPr>
            <w:tcW w:w="288" w:type="pct"/>
            <w:tcBorders>
              <w:top w:val="single" w:sz="4" w:space="0" w:color="F79646" w:themeColor="accent6"/>
              <w:left w:val="nil"/>
              <w:bottom w:val="single" w:sz="4" w:space="0" w:color="F79646" w:themeColor="accent6"/>
              <w:right w:val="nil"/>
            </w:tcBorders>
            <w:shd w:val="clear" w:color="auto" w:fill="auto"/>
            <w:noWrap/>
            <w:vAlign w:val="center"/>
          </w:tcPr>
          <w:p w14:paraId="70F34C03" w14:textId="0C67E8BA" w:rsidR="00D7777A" w:rsidRPr="00E20D21" w:rsidRDefault="00D7777A" w:rsidP="00D7777A">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(131.245)</w:t>
            </w:r>
          </w:p>
        </w:tc>
        <w:tc>
          <w:tcPr>
            <w:tcW w:w="288" w:type="pct"/>
            <w:tcBorders>
              <w:top w:val="single" w:sz="4" w:space="0" w:color="F79646" w:themeColor="accent6"/>
              <w:left w:val="nil"/>
              <w:bottom w:val="single" w:sz="4" w:space="0" w:color="F79646" w:themeColor="accent6"/>
              <w:right w:val="nil"/>
            </w:tcBorders>
            <w:shd w:val="clear" w:color="auto" w:fill="auto"/>
            <w:noWrap/>
            <w:vAlign w:val="center"/>
          </w:tcPr>
          <w:p w14:paraId="40B8057A" w14:textId="0B6F820B" w:rsidR="00D7777A" w:rsidRPr="00E20D21" w:rsidRDefault="00D7777A" w:rsidP="00D7777A">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(415.533)</w:t>
            </w:r>
          </w:p>
        </w:tc>
        <w:tc>
          <w:tcPr>
            <w:tcW w:w="266" w:type="pct"/>
            <w:tcBorders>
              <w:top w:val="single" w:sz="4" w:space="0" w:color="F79646" w:themeColor="accent6"/>
              <w:left w:val="nil"/>
              <w:bottom w:val="single" w:sz="4" w:space="0" w:color="F79646" w:themeColor="accent6"/>
              <w:right w:val="nil"/>
            </w:tcBorders>
            <w:shd w:val="clear" w:color="auto" w:fill="auto"/>
            <w:noWrap/>
            <w:vAlign w:val="center"/>
          </w:tcPr>
          <w:p w14:paraId="6EB6F2DB" w14:textId="5B408411" w:rsidR="00D7777A" w:rsidRPr="00E20D21" w:rsidRDefault="00D7777A" w:rsidP="00D7777A">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(12.855)</w:t>
            </w:r>
          </w:p>
        </w:tc>
        <w:tc>
          <w:tcPr>
            <w:tcW w:w="319" w:type="pct"/>
            <w:tcBorders>
              <w:top w:val="single" w:sz="4" w:space="0" w:color="F79646" w:themeColor="accent6"/>
              <w:left w:val="nil"/>
              <w:bottom w:val="single" w:sz="4" w:space="0" w:color="F79646" w:themeColor="accent6"/>
              <w:right w:val="single" w:sz="8" w:space="0" w:color="FCE4D6"/>
            </w:tcBorders>
            <w:shd w:val="clear" w:color="auto" w:fill="auto"/>
            <w:noWrap/>
            <w:vAlign w:val="center"/>
          </w:tcPr>
          <w:p w14:paraId="7B8FBE15" w14:textId="00AAC62A" w:rsidR="00D7777A" w:rsidRPr="00E20D21" w:rsidRDefault="00D7777A" w:rsidP="00D7777A">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(18.614.973)</w:t>
            </w:r>
          </w:p>
        </w:tc>
      </w:tr>
      <w:tr w:rsidR="006371F3" w:rsidRPr="00E20D21" w14:paraId="377ED0A7" w14:textId="77777777" w:rsidTr="002D5382">
        <w:trPr>
          <w:trHeight w:val="283"/>
        </w:trPr>
        <w:tc>
          <w:tcPr>
            <w:tcW w:w="1184" w:type="pct"/>
            <w:tcBorders>
              <w:top w:val="single" w:sz="4" w:space="0" w:color="F79646" w:themeColor="accent6"/>
              <w:left w:val="nil"/>
            </w:tcBorders>
            <w:shd w:val="clear" w:color="auto" w:fill="auto"/>
            <w:vAlign w:val="center"/>
          </w:tcPr>
          <w:p w14:paraId="37578268" w14:textId="77777777" w:rsidR="006371F3" w:rsidRPr="00E20D21" w:rsidRDefault="006371F3" w:rsidP="006371F3">
            <w:pPr>
              <w:rPr>
                <w:rFonts w:ascii="CAIXA Std Book" w:hAnsi="CAIXA Std Book" w:cs="Calibri"/>
                <w:color w:val="005CA9"/>
                <w:sz w:val="13"/>
                <w:szCs w:val="13"/>
              </w:rPr>
            </w:pPr>
            <w:r w:rsidRPr="00E20D21">
              <w:rPr>
                <w:rFonts w:ascii="CAIXA Std Book" w:hAnsi="CAIXA Std Book" w:cs="Calibri"/>
                <w:color w:val="005CA9"/>
                <w:sz w:val="13"/>
                <w:szCs w:val="13"/>
              </w:rPr>
              <w:t>Despesas de emissões de títulos e valores mobiliários (6)</w:t>
            </w:r>
          </w:p>
        </w:tc>
        <w:tc>
          <w:tcPr>
            <w:tcW w:w="508" w:type="pct"/>
            <w:tcBorders>
              <w:top w:val="nil"/>
              <w:left w:val="nil"/>
              <w:bottom w:val="nil"/>
              <w:right w:val="nil"/>
            </w:tcBorders>
            <w:shd w:val="clear" w:color="auto" w:fill="auto"/>
            <w:noWrap/>
            <w:vAlign w:val="center"/>
          </w:tcPr>
          <w:p w14:paraId="3332A859" w14:textId="55F97A1F"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(967.465)</w:t>
            </w:r>
          </w:p>
        </w:tc>
        <w:tc>
          <w:tcPr>
            <w:tcW w:w="288" w:type="pct"/>
            <w:tcBorders>
              <w:top w:val="nil"/>
              <w:left w:val="nil"/>
              <w:bottom w:val="nil"/>
              <w:right w:val="nil"/>
            </w:tcBorders>
            <w:shd w:val="clear" w:color="auto" w:fill="auto"/>
            <w:vAlign w:val="center"/>
          </w:tcPr>
          <w:p w14:paraId="39712CA2" w14:textId="574C9C7A" w:rsidR="006371F3" w:rsidRPr="00E20D21" w:rsidRDefault="00274CB5"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(75.289)</w:t>
            </w:r>
          </w:p>
        </w:tc>
        <w:tc>
          <w:tcPr>
            <w:tcW w:w="510" w:type="pct"/>
            <w:tcBorders>
              <w:top w:val="nil"/>
              <w:left w:val="nil"/>
              <w:bottom w:val="nil"/>
              <w:right w:val="nil"/>
            </w:tcBorders>
            <w:shd w:val="clear" w:color="auto" w:fill="auto"/>
            <w:noWrap/>
            <w:vAlign w:val="center"/>
          </w:tcPr>
          <w:p w14:paraId="45CA1593" w14:textId="5ECEE8DA"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(9.439)</w:t>
            </w:r>
          </w:p>
        </w:tc>
        <w:tc>
          <w:tcPr>
            <w:tcW w:w="508" w:type="pct"/>
            <w:tcBorders>
              <w:top w:val="nil"/>
              <w:left w:val="nil"/>
              <w:bottom w:val="nil"/>
              <w:right w:val="nil"/>
            </w:tcBorders>
            <w:shd w:val="clear" w:color="auto" w:fill="auto"/>
            <w:noWrap/>
            <w:vAlign w:val="center"/>
          </w:tcPr>
          <w:p w14:paraId="74AA7041" w14:textId="0002BD46" w:rsidR="006371F3" w:rsidRPr="00E20D21" w:rsidRDefault="006371F3" w:rsidP="002D5382">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11" w:type="pct"/>
            <w:tcBorders>
              <w:top w:val="nil"/>
              <w:left w:val="nil"/>
              <w:bottom w:val="nil"/>
            </w:tcBorders>
            <w:shd w:val="clear" w:color="auto" w:fill="auto"/>
            <w:noWrap/>
            <w:vAlign w:val="center"/>
          </w:tcPr>
          <w:p w14:paraId="49A1753C" w14:textId="42C7DB1F"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(480.935)</w:t>
            </w:r>
          </w:p>
        </w:tc>
        <w:tc>
          <w:tcPr>
            <w:tcW w:w="331" w:type="pct"/>
            <w:tcBorders>
              <w:top w:val="single" w:sz="4" w:space="0" w:color="F79646" w:themeColor="accent6"/>
              <w:left w:val="nil"/>
              <w:bottom w:val="nil"/>
              <w:right w:val="nil"/>
            </w:tcBorders>
            <w:shd w:val="clear" w:color="auto" w:fill="auto"/>
            <w:noWrap/>
            <w:vAlign w:val="center"/>
          </w:tcPr>
          <w:p w14:paraId="521B4FF2" w14:textId="18F243DC"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(765.089)</w:t>
            </w:r>
          </w:p>
        </w:tc>
        <w:tc>
          <w:tcPr>
            <w:tcW w:w="288" w:type="pct"/>
            <w:tcBorders>
              <w:top w:val="single" w:sz="4" w:space="0" w:color="F79646" w:themeColor="accent6"/>
              <w:left w:val="nil"/>
              <w:bottom w:val="nil"/>
              <w:right w:val="nil"/>
            </w:tcBorders>
            <w:shd w:val="clear" w:color="auto" w:fill="auto"/>
            <w:noWrap/>
            <w:vAlign w:val="center"/>
          </w:tcPr>
          <w:p w14:paraId="7CD6C5E3" w14:textId="304B8A18"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(131.245)</w:t>
            </w:r>
          </w:p>
        </w:tc>
        <w:tc>
          <w:tcPr>
            <w:tcW w:w="288" w:type="pct"/>
            <w:tcBorders>
              <w:top w:val="single" w:sz="4" w:space="0" w:color="F79646" w:themeColor="accent6"/>
              <w:left w:val="nil"/>
              <w:bottom w:val="nil"/>
              <w:right w:val="nil"/>
            </w:tcBorders>
            <w:shd w:val="clear" w:color="auto" w:fill="auto"/>
            <w:noWrap/>
            <w:vAlign w:val="center"/>
          </w:tcPr>
          <w:p w14:paraId="56728089" w14:textId="06E9F72E"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(8.689)</w:t>
            </w:r>
          </w:p>
        </w:tc>
        <w:tc>
          <w:tcPr>
            <w:tcW w:w="266" w:type="pct"/>
            <w:tcBorders>
              <w:top w:val="single" w:sz="4" w:space="0" w:color="F79646" w:themeColor="accent6"/>
              <w:left w:val="nil"/>
              <w:bottom w:val="nil"/>
              <w:right w:val="nil"/>
            </w:tcBorders>
            <w:shd w:val="clear" w:color="auto" w:fill="auto"/>
            <w:noWrap/>
            <w:vAlign w:val="center"/>
          </w:tcPr>
          <w:p w14:paraId="01B9F758" w14:textId="4E5CACC0"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19" w:type="pct"/>
            <w:tcBorders>
              <w:top w:val="single" w:sz="4" w:space="0" w:color="F79646" w:themeColor="accent6"/>
              <w:left w:val="nil"/>
              <w:bottom w:val="nil"/>
              <w:right w:val="single" w:sz="8" w:space="0" w:color="FCE4D6"/>
            </w:tcBorders>
            <w:shd w:val="clear" w:color="auto" w:fill="auto"/>
            <w:noWrap/>
            <w:vAlign w:val="center"/>
          </w:tcPr>
          <w:p w14:paraId="565289D7" w14:textId="70137990"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(246.635)</w:t>
            </w:r>
          </w:p>
        </w:tc>
      </w:tr>
      <w:tr w:rsidR="006371F3" w:rsidRPr="00E20D21" w14:paraId="089CCCAA" w14:textId="77777777" w:rsidTr="00616051">
        <w:trPr>
          <w:trHeight w:val="283"/>
        </w:trPr>
        <w:tc>
          <w:tcPr>
            <w:tcW w:w="1184" w:type="pct"/>
            <w:tcBorders>
              <w:top w:val="nil"/>
              <w:left w:val="nil"/>
            </w:tcBorders>
            <w:shd w:val="clear" w:color="auto" w:fill="auto"/>
            <w:vAlign w:val="center"/>
          </w:tcPr>
          <w:p w14:paraId="17177575" w14:textId="77777777" w:rsidR="006371F3" w:rsidRPr="00E20D21" w:rsidRDefault="006371F3" w:rsidP="006371F3">
            <w:pPr>
              <w:rPr>
                <w:rFonts w:ascii="CAIXA Std Book" w:hAnsi="CAIXA Std Book" w:cs="Calibri"/>
                <w:color w:val="005CA9"/>
                <w:sz w:val="13"/>
                <w:szCs w:val="13"/>
              </w:rPr>
            </w:pPr>
            <w:r w:rsidRPr="00E20D21">
              <w:rPr>
                <w:rFonts w:ascii="CAIXA Std Book" w:hAnsi="CAIXA Std Book" w:cs="Calibri"/>
                <w:color w:val="005CA9"/>
                <w:sz w:val="13"/>
                <w:szCs w:val="13"/>
              </w:rPr>
              <w:t>Pessoal (7)</w:t>
            </w:r>
          </w:p>
        </w:tc>
        <w:tc>
          <w:tcPr>
            <w:tcW w:w="508" w:type="pct"/>
            <w:tcBorders>
              <w:top w:val="nil"/>
              <w:left w:val="nil"/>
              <w:bottom w:val="nil"/>
              <w:right w:val="nil"/>
            </w:tcBorders>
            <w:shd w:val="clear" w:color="auto" w:fill="auto"/>
            <w:noWrap/>
            <w:vAlign w:val="center"/>
          </w:tcPr>
          <w:p w14:paraId="7A01B45C" w14:textId="77C7B5AF" w:rsidR="006371F3" w:rsidRPr="00E20D21" w:rsidRDefault="006371F3"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vAlign w:val="center"/>
          </w:tcPr>
          <w:p w14:paraId="2E7129BB" w14:textId="50268EDF" w:rsidR="006371F3" w:rsidRPr="00E20D21" w:rsidRDefault="006371F3"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10" w:type="pct"/>
            <w:tcBorders>
              <w:top w:val="nil"/>
              <w:left w:val="nil"/>
              <w:bottom w:val="nil"/>
              <w:right w:val="nil"/>
            </w:tcBorders>
            <w:shd w:val="clear" w:color="auto" w:fill="auto"/>
            <w:noWrap/>
            <w:vAlign w:val="center"/>
          </w:tcPr>
          <w:p w14:paraId="465AAB99" w14:textId="53DECC70" w:rsidR="006371F3" w:rsidRPr="00E20D21" w:rsidRDefault="006371F3"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08" w:type="pct"/>
            <w:tcBorders>
              <w:top w:val="nil"/>
              <w:left w:val="nil"/>
              <w:bottom w:val="nil"/>
              <w:right w:val="nil"/>
            </w:tcBorders>
            <w:shd w:val="clear" w:color="auto" w:fill="auto"/>
            <w:noWrap/>
            <w:vAlign w:val="center"/>
          </w:tcPr>
          <w:p w14:paraId="1F75DD0F" w14:textId="666C87D9" w:rsidR="006371F3" w:rsidRPr="00E20D21" w:rsidRDefault="006371F3"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11" w:type="pct"/>
            <w:tcBorders>
              <w:top w:val="nil"/>
              <w:left w:val="nil"/>
              <w:bottom w:val="nil"/>
            </w:tcBorders>
            <w:shd w:val="clear" w:color="auto" w:fill="auto"/>
            <w:noWrap/>
            <w:vAlign w:val="center"/>
          </w:tcPr>
          <w:p w14:paraId="07AE3F13" w14:textId="082E0BA2"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(662.649)</w:t>
            </w:r>
          </w:p>
        </w:tc>
        <w:tc>
          <w:tcPr>
            <w:tcW w:w="331" w:type="pct"/>
            <w:tcBorders>
              <w:top w:val="nil"/>
              <w:left w:val="nil"/>
              <w:bottom w:val="nil"/>
              <w:right w:val="nil"/>
            </w:tcBorders>
            <w:shd w:val="clear" w:color="auto" w:fill="auto"/>
            <w:noWrap/>
            <w:vAlign w:val="center"/>
          </w:tcPr>
          <w:p w14:paraId="42B67F57" w14:textId="3E198C5B"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6E3FF25C" w14:textId="7281F9AB"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2641B7BF" w14:textId="53B251B7"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66" w:type="pct"/>
            <w:tcBorders>
              <w:top w:val="nil"/>
              <w:left w:val="nil"/>
              <w:bottom w:val="nil"/>
              <w:right w:val="nil"/>
            </w:tcBorders>
            <w:shd w:val="clear" w:color="auto" w:fill="auto"/>
            <w:noWrap/>
            <w:vAlign w:val="center"/>
          </w:tcPr>
          <w:p w14:paraId="4232EBD5" w14:textId="3F435E95"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19" w:type="pct"/>
            <w:tcBorders>
              <w:top w:val="nil"/>
              <w:left w:val="nil"/>
              <w:bottom w:val="nil"/>
              <w:right w:val="single" w:sz="8" w:space="0" w:color="FCE4D6"/>
            </w:tcBorders>
            <w:shd w:val="clear" w:color="auto" w:fill="auto"/>
            <w:noWrap/>
            <w:vAlign w:val="center"/>
          </w:tcPr>
          <w:p w14:paraId="368E353A" w14:textId="38993249"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(615.379)</w:t>
            </w:r>
          </w:p>
        </w:tc>
      </w:tr>
      <w:tr w:rsidR="006371F3" w:rsidRPr="00E20D21" w14:paraId="6C42759F" w14:textId="77777777" w:rsidTr="00616051">
        <w:trPr>
          <w:trHeight w:val="283"/>
        </w:trPr>
        <w:tc>
          <w:tcPr>
            <w:tcW w:w="1184" w:type="pct"/>
            <w:tcBorders>
              <w:top w:val="nil"/>
              <w:left w:val="nil"/>
            </w:tcBorders>
            <w:shd w:val="clear" w:color="auto" w:fill="auto"/>
            <w:vAlign w:val="center"/>
          </w:tcPr>
          <w:p w14:paraId="02643A07" w14:textId="77777777" w:rsidR="006371F3" w:rsidRPr="00E20D21" w:rsidRDefault="006371F3" w:rsidP="006371F3">
            <w:pPr>
              <w:rPr>
                <w:rFonts w:ascii="CAIXA Std Book" w:hAnsi="CAIXA Std Book" w:cs="Calibri"/>
                <w:color w:val="005CA9"/>
                <w:sz w:val="13"/>
                <w:szCs w:val="13"/>
              </w:rPr>
            </w:pPr>
            <w:r w:rsidRPr="00E20D21">
              <w:rPr>
                <w:rFonts w:ascii="CAIXA Std Book" w:hAnsi="CAIXA Std Book" w:cs="Calibri"/>
                <w:color w:val="005CA9"/>
                <w:sz w:val="13"/>
                <w:szCs w:val="13"/>
              </w:rPr>
              <w:t>Administrativas (8)</w:t>
            </w:r>
          </w:p>
        </w:tc>
        <w:tc>
          <w:tcPr>
            <w:tcW w:w="508" w:type="pct"/>
            <w:tcBorders>
              <w:top w:val="nil"/>
              <w:left w:val="nil"/>
              <w:bottom w:val="nil"/>
              <w:right w:val="nil"/>
            </w:tcBorders>
            <w:shd w:val="clear" w:color="auto" w:fill="auto"/>
            <w:noWrap/>
            <w:vAlign w:val="center"/>
          </w:tcPr>
          <w:p w14:paraId="5A12CEB8" w14:textId="6DF87020" w:rsidR="006371F3" w:rsidRPr="00E20D21" w:rsidRDefault="006371F3"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vAlign w:val="center"/>
          </w:tcPr>
          <w:p w14:paraId="1E91612F" w14:textId="657BE935" w:rsidR="006371F3" w:rsidRPr="00E20D21" w:rsidRDefault="006371F3"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10" w:type="pct"/>
            <w:tcBorders>
              <w:top w:val="nil"/>
              <w:left w:val="nil"/>
              <w:bottom w:val="nil"/>
              <w:right w:val="nil"/>
            </w:tcBorders>
            <w:shd w:val="clear" w:color="auto" w:fill="auto"/>
            <w:noWrap/>
            <w:vAlign w:val="center"/>
          </w:tcPr>
          <w:p w14:paraId="4A4A079D" w14:textId="0BB2707E" w:rsidR="006371F3" w:rsidRPr="00E20D21" w:rsidRDefault="006371F3"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08" w:type="pct"/>
            <w:tcBorders>
              <w:top w:val="nil"/>
              <w:left w:val="nil"/>
              <w:bottom w:val="nil"/>
              <w:right w:val="nil"/>
            </w:tcBorders>
            <w:shd w:val="clear" w:color="auto" w:fill="auto"/>
            <w:noWrap/>
            <w:vAlign w:val="center"/>
          </w:tcPr>
          <w:p w14:paraId="1512ED13" w14:textId="2285ADC4" w:rsidR="006371F3" w:rsidRPr="00E20D21" w:rsidRDefault="006371F3" w:rsidP="00616051">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11" w:type="pct"/>
            <w:tcBorders>
              <w:top w:val="nil"/>
              <w:left w:val="nil"/>
              <w:bottom w:val="nil"/>
            </w:tcBorders>
            <w:shd w:val="clear" w:color="auto" w:fill="auto"/>
            <w:noWrap/>
            <w:vAlign w:val="center"/>
          </w:tcPr>
          <w:p w14:paraId="121DBFFB" w14:textId="6980F162"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(18.921)</w:t>
            </w:r>
          </w:p>
        </w:tc>
        <w:tc>
          <w:tcPr>
            <w:tcW w:w="331" w:type="pct"/>
            <w:tcBorders>
              <w:top w:val="nil"/>
              <w:left w:val="nil"/>
              <w:bottom w:val="nil"/>
              <w:right w:val="nil"/>
            </w:tcBorders>
            <w:shd w:val="clear" w:color="auto" w:fill="auto"/>
            <w:noWrap/>
            <w:vAlign w:val="center"/>
          </w:tcPr>
          <w:p w14:paraId="1A5ABE01" w14:textId="523B071C"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2637DA39" w14:textId="594474D3"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nil"/>
              <w:right w:val="nil"/>
            </w:tcBorders>
            <w:shd w:val="clear" w:color="auto" w:fill="auto"/>
            <w:noWrap/>
            <w:vAlign w:val="center"/>
          </w:tcPr>
          <w:p w14:paraId="47BB767A" w14:textId="425789FA"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66" w:type="pct"/>
            <w:tcBorders>
              <w:top w:val="nil"/>
              <w:left w:val="nil"/>
              <w:bottom w:val="nil"/>
              <w:right w:val="nil"/>
            </w:tcBorders>
            <w:shd w:val="clear" w:color="auto" w:fill="auto"/>
            <w:noWrap/>
            <w:vAlign w:val="center"/>
          </w:tcPr>
          <w:p w14:paraId="7DBD01E1" w14:textId="6312BBB8"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319" w:type="pct"/>
            <w:tcBorders>
              <w:top w:val="nil"/>
              <w:left w:val="nil"/>
              <w:bottom w:val="nil"/>
              <w:right w:val="single" w:sz="8" w:space="0" w:color="FCE4D6"/>
            </w:tcBorders>
            <w:shd w:val="clear" w:color="auto" w:fill="auto"/>
            <w:noWrap/>
            <w:vAlign w:val="center"/>
          </w:tcPr>
          <w:p w14:paraId="56FE1397" w14:textId="1DE6C020"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(19.452)</w:t>
            </w:r>
          </w:p>
        </w:tc>
      </w:tr>
      <w:tr w:rsidR="006371F3" w:rsidRPr="00E20D21" w14:paraId="414615DE" w14:textId="77777777" w:rsidTr="00406E94">
        <w:trPr>
          <w:trHeight w:val="283"/>
        </w:trPr>
        <w:tc>
          <w:tcPr>
            <w:tcW w:w="1184" w:type="pct"/>
            <w:tcBorders>
              <w:top w:val="nil"/>
              <w:left w:val="nil"/>
              <w:bottom w:val="single" w:sz="4" w:space="0" w:color="F79646" w:themeColor="accent6"/>
            </w:tcBorders>
            <w:shd w:val="clear" w:color="auto" w:fill="auto"/>
            <w:vAlign w:val="center"/>
          </w:tcPr>
          <w:p w14:paraId="4CA758EF" w14:textId="77777777" w:rsidR="006371F3" w:rsidRPr="00E20D21" w:rsidRDefault="006371F3" w:rsidP="006371F3">
            <w:pPr>
              <w:rPr>
                <w:rFonts w:ascii="CAIXA Std Book" w:hAnsi="CAIXA Std Book" w:cs="Calibri"/>
                <w:color w:val="005CA9"/>
                <w:sz w:val="13"/>
                <w:szCs w:val="13"/>
              </w:rPr>
            </w:pPr>
            <w:r w:rsidRPr="00E20D21">
              <w:rPr>
                <w:rFonts w:ascii="CAIXA Std Book" w:hAnsi="CAIXA Std Book" w:cs="Calibri"/>
                <w:color w:val="005CA9"/>
                <w:sz w:val="13"/>
                <w:szCs w:val="13"/>
              </w:rPr>
              <w:t>Outras despesas operacionais (9)</w:t>
            </w:r>
          </w:p>
        </w:tc>
        <w:tc>
          <w:tcPr>
            <w:tcW w:w="508" w:type="pct"/>
            <w:tcBorders>
              <w:top w:val="nil"/>
              <w:left w:val="nil"/>
              <w:bottom w:val="single" w:sz="4" w:space="0" w:color="F39200"/>
              <w:right w:val="nil"/>
            </w:tcBorders>
            <w:shd w:val="clear" w:color="auto" w:fill="auto"/>
            <w:noWrap/>
            <w:vAlign w:val="center"/>
          </w:tcPr>
          <w:p w14:paraId="4B0BB28C" w14:textId="12B92AE6" w:rsidR="006371F3" w:rsidRPr="00E20D21" w:rsidRDefault="006371F3" w:rsidP="00406E94">
            <w:pPr>
              <w:jc w:val="right"/>
              <w:rPr>
                <w:rFonts w:ascii="CAIXA Std Book" w:hAnsi="CAIXA Std Book" w:cs="Calibri"/>
                <w:color w:val="005CA9"/>
                <w:sz w:val="13"/>
                <w:szCs w:val="13"/>
              </w:rPr>
            </w:pPr>
            <w:r w:rsidRPr="00E20D21">
              <w:rPr>
                <w:rFonts w:ascii="CAIXA Std Book" w:hAnsi="CAIXA Std Book" w:cs="Calibri"/>
                <w:color w:val="005CA9"/>
                <w:sz w:val="13"/>
                <w:szCs w:val="13"/>
              </w:rPr>
              <w:t>(371.536)</w:t>
            </w:r>
          </w:p>
        </w:tc>
        <w:tc>
          <w:tcPr>
            <w:tcW w:w="288" w:type="pct"/>
            <w:tcBorders>
              <w:top w:val="nil"/>
              <w:left w:val="nil"/>
              <w:bottom w:val="single" w:sz="4" w:space="0" w:color="F39200"/>
              <w:right w:val="nil"/>
            </w:tcBorders>
            <w:shd w:val="clear" w:color="auto" w:fill="auto"/>
            <w:vAlign w:val="center"/>
          </w:tcPr>
          <w:p w14:paraId="1ACD8A04" w14:textId="64E43BB8" w:rsidR="006371F3" w:rsidRPr="00E20D21" w:rsidRDefault="006371F3" w:rsidP="00406E9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510" w:type="pct"/>
            <w:tcBorders>
              <w:top w:val="nil"/>
              <w:left w:val="nil"/>
              <w:bottom w:val="single" w:sz="4" w:space="0" w:color="F39200"/>
              <w:right w:val="nil"/>
            </w:tcBorders>
            <w:shd w:val="clear" w:color="auto" w:fill="auto"/>
            <w:noWrap/>
            <w:vAlign w:val="center"/>
          </w:tcPr>
          <w:p w14:paraId="5A34772B" w14:textId="64AF7B6A" w:rsidR="006371F3" w:rsidRPr="00E20D21" w:rsidRDefault="006371F3" w:rsidP="00406E94">
            <w:pPr>
              <w:jc w:val="right"/>
              <w:rPr>
                <w:rFonts w:ascii="CAIXA Std Book" w:hAnsi="CAIXA Std Book" w:cs="Calibri"/>
                <w:color w:val="005CA9"/>
                <w:sz w:val="13"/>
                <w:szCs w:val="13"/>
              </w:rPr>
            </w:pPr>
            <w:r w:rsidRPr="00E20D21">
              <w:rPr>
                <w:rFonts w:ascii="CAIXA Std Book" w:hAnsi="CAIXA Std Book" w:cs="Calibri"/>
                <w:color w:val="005CA9"/>
                <w:sz w:val="13"/>
                <w:szCs w:val="13"/>
              </w:rPr>
              <w:t>(227.576)</w:t>
            </w:r>
          </w:p>
        </w:tc>
        <w:tc>
          <w:tcPr>
            <w:tcW w:w="508" w:type="pct"/>
            <w:tcBorders>
              <w:top w:val="nil"/>
              <w:left w:val="nil"/>
              <w:bottom w:val="single" w:sz="4" w:space="0" w:color="F39200"/>
              <w:right w:val="nil"/>
            </w:tcBorders>
            <w:shd w:val="clear" w:color="auto" w:fill="auto"/>
            <w:noWrap/>
            <w:vAlign w:val="center"/>
          </w:tcPr>
          <w:p w14:paraId="29CCA3E9" w14:textId="3B1E84C0" w:rsidR="006371F3" w:rsidRPr="00E20D21" w:rsidRDefault="006371F3" w:rsidP="00406E94">
            <w:pPr>
              <w:jc w:val="right"/>
              <w:rPr>
                <w:rFonts w:ascii="CAIXA Std Book" w:hAnsi="CAIXA Std Book" w:cs="Calibri"/>
                <w:color w:val="005CA9"/>
                <w:sz w:val="13"/>
                <w:szCs w:val="13"/>
              </w:rPr>
            </w:pPr>
            <w:r w:rsidRPr="00E20D21">
              <w:rPr>
                <w:rFonts w:ascii="CAIXA Std Book" w:hAnsi="CAIXA Std Book" w:cs="Calibri"/>
                <w:color w:val="005CA9"/>
                <w:sz w:val="13"/>
                <w:szCs w:val="13"/>
              </w:rPr>
              <w:t>(320.957)</w:t>
            </w:r>
          </w:p>
        </w:tc>
        <w:tc>
          <w:tcPr>
            <w:tcW w:w="511" w:type="pct"/>
            <w:tcBorders>
              <w:top w:val="nil"/>
              <w:left w:val="nil"/>
              <w:bottom w:val="single" w:sz="4" w:space="0" w:color="F39200"/>
            </w:tcBorders>
            <w:shd w:val="clear" w:color="auto" w:fill="auto"/>
            <w:noWrap/>
            <w:vAlign w:val="center"/>
          </w:tcPr>
          <w:p w14:paraId="2AB8DBB7" w14:textId="1CD77B2A"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(16.887.783)</w:t>
            </w:r>
          </w:p>
        </w:tc>
        <w:tc>
          <w:tcPr>
            <w:tcW w:w="331" w:type="pct"/>
            <w:tcBorders>
              <w:top w:val="nil"/>
              <w:left w:val="nil"/>
              <w:bottom w:val="single" w:sz="4" w:space="0" w:color="F79646" w:themeColor="accent6"/>
              <w:right w:val="nil"/>
            </w:tcBorders>
            <w:shd w:val="clear" w:color="auto" w:fill="auto"/>
            <w:noWrap/>
            <w:vAlign w:val="center"/>
          </w:tcPr>
          <w:p w14:paraId="10D1CC8E" w14:textId="20DC06FB"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(521.876)</w:t>
            </w:r>
          </w:p>
        </w:tc>
        <w:tc>
          <w:tcPr>
            <w:tcW w:w="288" w:type="pct"/>
            <w:tcBorders>
              <w:top w:val="nil"/>
              <w:left w:val="nil"/>
              <w:bottom w:val="single" w:sz="4" w:space="0" w:color="F79646" w:themeColor="accent6"/>
              <w:right w:val="nil"/>
            </w:tcBorders>
            <w:shd w:val="clear" w:color="auto" w:fill="auto"/>
            <w:noWrap/>
            <w:vAlign w:val="center"/>
          </w:tcPr>
          <w:p w14:paraId="5BA12B97" w14:textId="2C00251E" w:rsidR="006371F3" w:rsidRPr="00E20D21" w:rsidRDefault="006371F3" w:rsidP="006371F3">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288" w:type="pct"/>
            <w:tcBorders>
              <w:top w:val="nil"/>
              <w:left w:val="nil"/>
              <w:bottom w:val="single" w:sz="4" w:space="0" w:color="F79646" w:themeColor="accent6"/>
              <w:right w:val="nil"/>
            </w:tcBorders>
            <w:shd w:val="clear" w:color="auto" w:fill="auto"/>
            <w:noWrap/>
            <w:vAlign w:val="center"/>
          </w:tcPr>
          <w:p w14:paraId="51122F0C" w14:textId="4639263A"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(406.844)</w:t>
            </w:r>
          </w:p>
        </w:tc>
        <w:tc>
          <w:tcPr>
            <w:tcW w:w="266" w:type="pct"/>
            <w:tcBorders>
              <w:top w:val="nil"/>
              <w:left w:val="nil"/>
              <w:bottom w:val="single" w:sz="4" w:space="0" w:color="F79646" w:themeColor="accent6"/>
              <w:right w:val="nil"/>
            </w:tcBorders>
            <w:shd w:val="clear" w:color="auto" w:fill="auto"/>
            <w:noWrap/>
            <w:vAlign w:val="center"/>
          </w:tcPr>
          <w:p w14:paraId="41A3CE7A" w14:textId="54C75928"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(12.855)</w:t>
            </w:r>
          </w:p>
        </w:tc>
        <w:tc>
          <w:tcPr>
            <w:tcW w:w="319" w:type="pct"/>
            <w:tcBorders>
              <w:top w:val="nil"/>
              <w:left w:val="nil"/>
              <w:bottom w:val="single" w:sz="4" w:space="0" w:color="F79646" w:themeColor="accent6"/>
              <w:right w:val="single" w:sz="8" w:space="0" w:color="FCE4D6"/>
            </w:tcBorders>
            <w:shd w:val="clear" w:color="auto" w:fill="auto"/>
            <w:noWrap/>
            <w:vAlign w:val="center"/>
          </w:tcPr>
          <w:p w14:paraId="44350679" w14:textId="63B5CABB" w:rsidR="006371F3" w:rsidRPr="00E20D21" w:rsidRDefault="006371F3" w:rsidP="006371F3">
            <w:pPr>
              <w:jc w:val="right"/>
              <w:rPr>
                <w:rFonts w:ascii="CAIXA Std Book" w:hAnsi="CAIXA Std Book" w:cs="Calibri"/>
                <w:color w:val="005CA9"/>
                <w:sz w:val="13"/>
                <w:szCs w:val="13"/>
              </w:rPr>
            </w:pPr>
            <w:r w:rsidRPr="00E20D21">
              <w:rPr>
                <w:rFonts w:ascii="CAIXA Std Book" w:hAnsi="CAIXA Std Book" w:cs="Calibri"/>
                <w:color w:val="005CA9"/>
                <w:sz w:val="13"/>
                <w:szCs w:val="13"/>
              </w:rPr>
              <w:t>(17.733.507)</w:t>
            </w:r>
          </w:p>
        </w:tc>
      </w:tr>
    </w:tbl>
    <w:p w14:paraId="4C9726CA" w14:textId="45F9855E" w:rsidR="003915BB" w:rsidRPr="00E20D21" w:rsidRDefault="34578F34" w:rsidP="784F6A4F">
      <w:pPr>
        <w:jc w:val="both"/>
        <w:rPr>
          <w:rFonts w:ascii="CAIXA Std Book" w:hAnsi="CAIXA Std Book"/>
          <w:color w:val="005CA9"/>
          <w:sz w:val="12"/>
          <w:szCs w:val="12"/>
        </w:rPr>
      </w:pPr>
      <w:r w:rsidRPr="00E20D21">
        <w:rPr>
          <w:rFonts w:ascii="CAIXA Std Book" w:hAnsi="CAIXA Std Book"/>
          <w:color w:val="005CA9"/>
          <w:sz w:val="12"/>
          <w:szCs w:val="12"/>
        </w:rPr>
        <w:t xml:space="preserve">(1) </w:t>
      </w:r>
      <w:r w:rsidR="5E3CA7DC" w:rsidRPr="00E20D21">
        <w:rPr>
          <w:rFonts w:ascii="CAIXA Std Book" w:hAnsi="CAIXA Std Book"/>
          <w:color w:val="005CA9"/>
          <w:sz w:val="12"/>
          <w:szCs w:val="12"/>
        </w:rPr>
        <w:t xml:space="preserve"> Em Controladora, corresponde à renda de prestação de serviços em programas sociais e operações de repasses do OGU.</w:t>
      </w:r>
    </w:p>
    <w:p w14:paraId="6C4841EA" w14:textId="34BD678D" w:rsidR="003915BB" w:rsidRPr="00E20D21" w:rsidRDefault="5E3CA7DC" w:rsidP="784F6A4F">
      <w:pPr>
        <w:rPr>
          <w:rFonts w:ascii="CAIXA Std Book" w:hAnsi="CAIXA Std Book"/>
          <w:color w:val="005CA9"/>
          <w:sz w:val="12"/>
          <w:szCs w:val="12"/>
        </w:rPr>
      </w:pPr>
      <w:r w:rsidRPr="00E20D21">
        <w:rPr>
          <w:rFonts w:ascii="CAIXA Std Book" w:hAnsi="CAIXA Std Book"/>
          <w:color w:val="005CA9"/>
          <w:sz w:val="12"/>
          <w:szCs w:val="12"/>
        </w:rPr>
        <w:t>(2) Em Controlada em conjunto, representa operações de cartões de débito e crédito contratadas com a Elo Serviços.</w:t>
      </w:r>
    </w:p>
    <w:p w14:paraId="2C497088" w14:textId="19C931AA" w:rsidR="003915BB" w:rsidRPr="00E20D21" w:rsidRDefault="5E3CA7DC" w:rsidP="784F6A4F">
      <w:pPr>
        <w:jc w:val="both"/>
        <w:rPr>
          <w:rFonts w:ascii="CAIXA Std Book" w:hAnsi="CAIXA Std Book"/>
          <w:color w:val="005CA9"/>
          <w:sz w:val="12"/>
          <w:szCs w:val="12"/>
        </w:rPr>
      </w:pPr>
      <w:r w:rsidRPr="00E20D21">
        <w:rPr>
          <w:rFonts w:ascii="CAIXA Std Book" w:hAnsi="CAIXA Std Book"/>
          <w:color w:val="005CA9"/>
          <w:sz w:val="12"/>
          <w:szCs w:val="12"/>
        </w:rPr>
        <w:t>(3) Em Coligadas, trata-se de rendas provenientes da comercialização de produtos de coligadas do grupo Caixa Seguridade.</w:t>
      </w:r>
    </w:p>
    <w:p w14:paraId="3AE73B15" w14:textId="4D810C49" w:rsidR="003915BB" w:rsidRPr="00E20D21" w:rsidRDefault="5E3CA7DC" w:rsidP="784F6A4F">
      <w:pPr>
        <w:jc w:val="both"/>
        <w:rPr>
          <w:rFonts w:ascii="CAIXA Std Book" w:hAnsi="CAIXA Std Book"/>
          <w:color w:val="005CA9"/>
          <w:sz w:val="12"/>
          <w:szCs w:val="12"/>
        </w:rPr>
      </w:pPr>
      <w:r w:rsidRPr="00E20D21">
        <w:rPr>
          <w:rFonts w:ascii="CAIXA Std Book" w:hAnsi="CAIXA Std Book"/>
          <w:color w:val="005CA9"/>
          <w:sz w:val="12"/>
          <w:szCs w:val="12"/>
        </w:rPr>
        <w:t>(4) Em Outras entidades, refere-se a rendas com prestação de serviços e tarifas sobre FGTS, FIES, fundos de investimento e outras entidades e programas governamentais, representados na Nota 24.</w:t>
      </w:r>
    </w:p>
    <w:p w14:paraId="75BE289B" w14:textId="70277665" w:rsidR="003915BB" w:rsidRPr="00E20D21" w:rsidRDefault="5E3CA7DC" w:rsidP="784F6A4F">
      <w:pPr>
        <w:jc w:val="both"/>
        <w:rPr>
          <w:rFonts w:ascii="CAIXA Std Book" w:hAnsi="CAIXA Std Book"/>
          <w:color w:val="005CA9"/>
          <w:sz w:val="12"/>
          <w:szCs w:val="12"/>
        </w:rPr>
      </w:pPr>
      <w:r w:rsidRPr="00E20D21">
        <w:rPr>
          <w:rFonts w:ascii="CAIXA Std Book" w:hAnsi="CAIXA Std Book"/>
          <w:color w:val="005CA9"/>
          <w:sz w:val="12"/>
          <w:szCs w:val="12"/>
        </w:rPr>
        <w:t>(5) Em Controlada em conjunto, o saldo é composto por transações com a Elo Serviços e em Coligada, com a TecBan.</w:t>
      </w:r>
    </w:p>
    <w:p w14:paraId="6DDA751A" w14:textId="0016A720" w:rsidR="003915BB" w:rsidRPr="00E20D21" w:rsidRDefault="5E3CA7DC" w:rsidP="784F6A4F">
      <w:pPr>
        <w:jc w:val="both"/>
        <w:rPr>
          <w:rFonts w:ascii="CAIXA Std Book" w:hAnsi="CAIXA Std Book"/>
          <w:color w:val="005CA9"/>
          <w:sz w:val="12"/>
          <w:szCs w:val="12"/>
        </w:rPr>
      </w:pPr>
      <w:r w:rsidRPr="00E20D21">
        <w:rPr>
          <w:rFonts w:ascii="CAIXA Std Book" w:hAnsi="CAIXA Std Book"/>
          <w:color w:val="005CA9"/>
          <w:sz w:val="12"/>
          <w:szCs w:val="12"/>
        </w:rPr>
        <w:t xml:space="preserve">(6) Despesas com juros remuneratórios e atualização monetária </w:t>
      </w:r>
      <w:r w:rsidR="00B27EAA" w:rsidRPr="00E20D21">
        <w:rPr>
          <w:rFonts w:ascii="CAIXA Std Book" w:hAnsi="CAIXA Std Book"/>
          <w:color w:val="005CA9"/>
          <w:sz w:val="12"/>
          <w:szCs w:val="12"/>
        </w:rPr>
        <w:t xml:space="preserve">provenientes </w:t>
      </w:r>
      <w:r w:rsidRPr="00E20D21">
        <w:rPr>
          <w:rFonts w:ascii="CAIXA Std Book" w:hAnsi="CAIXA Std Book"/>
          <w:color w:val="005CA9"/>
          <w:sz w:val="12"/>
          <w:szCs w:val="12"/>
        </w:rPr>
        <w:t>dos IHCD (Controladora). Operações com o FGTS, FAR, FDS, FGS (Outras entidades).</w:t>
      </w:r>
    </w:p>
    <w:p w14:paraId="467D03C9" w14:textId="3DF72D85" w:rsidR="003915BB" w:rsidRPr="00E20D21" w:rsidRDefault="5E3CA7DC" w:rsidP="784F6A4F">
      <w:pPr>
        <w:jc w:val="both"/>
        <w:rPr>
          <w:rFonts w:ascii="CAIXA Std Book" w:hAnsi="CAIXA Std Book"/>
          <w:color w:val="005CA9"/>
          <w:sz w:val="12"/>
          <w:szCs w:val="12"/>
        </w:rPr>
      </w:pPr>
      <w:r w:rsidRPr="00E20D21">
        <w:rPr>
          <w:rFonts w:ascii="CAIXA Std Book" w:hAnsi="CAIXA Std Book"/>
          <w:color w:val="005CA9"/>
          <w:sz w:val="12"/>
          <w:szCs w:val="12"/>
        </w:rPr>
        <w:t>(7) Despesas de previdência complementar com a Funcef, conforme Nota 25.</w:t>
      </w:r>
    </w:p>
    <w:p w14:paraId="69863370" w14:textId="206C9974" w:rsidR="003915BB" w:rsidRPr="00E20D21" w:rsidRDefault="5E3CA7DC" w:rsidP="784F6A4F">
      <w:pPr>
        <w:jc w:val="both"/>
        <w:rPr>
          <w:rFonts w:ascii="CAIXA Std Book" w:hAnsi="CAIXA Std Book"/>
          <w:color w:val="005CA9"/>
          <w:sz w:val="12"/>
          <w:szCs w:val="12"/>
        </w:rPr>
      </w:pPr>
      <w:r w:rsidRPr="00E20D21">
        <w:rPr>
          <w:rFonts w:ascii="CAIXA Std Book" w:hAnsi="CAIXA Std Book"/>
          <w:color w:val="005CA9"/>
          <w:sz w:val="12"/>
          <w:szCs w:val="12"/>
        </w:rPr>
        <w:t>(8) Refere-se a despesas de aluguel de imóveis devidas à Funcef.</w:t>
      </w:r>
    </w:p>
    <w:p w14:paraId="2ACD70E0" w14:textId="03FF66D1" w:rsidR="003915BB" w:rsidRPr="00E20D21" w:rsidRDefault="5E3CA7DC" w:rsidP="784F6A4F">
      <w:pPr>
        <w:rPr>
          <w:rFonts w:ascii="CAIXA Std Book" w:hAnsi="CAIXA Std Book"/>
          <w:color w:val="005CA9"/>
          <w:sz w:val="12"/>
          <w:szCs w:val="12"/>
        </w:rPr>
      </w:pPr>
      <w:r w:rsidRPr="00E20D21">
        <w:rPr>
          <w:rFonts w:ascii="CAIXA Std Book" w:hAnsi="CAIXA Std Book"/>
          <w:color w:val="005CA9"/>
          <w:sz w:val="12"/>
          <w:szCs w:val="12"/>
        </w:rPr>
        <w:t>(9) Em Outras entidades, destacam-se as despesas com operações de repasses do FGTS, BNDES e outros, conforme Nota 16(b).</w:t>
      </w:r>
    </w:p>
    <w:p w14:paraId="29350102" w14:textId="05CC1421" w:rsidR="003915BB" w:rsidRPr="00E20D21" w:rsidRDefault="003915BB" w:rsidP="62135403">
      <w:pPr>
        <w:spacing w:line="259" w:lineRule="auto"/>
        <w:rPr>
          <w:rFonts w:ascii="CAIXA Std Book" w:hAnsi="CAIXA Std Book"/>
          <w:color w:val="005CA9"/>
          <w:sz w:val="13"/>
          <w:szCs w:val="13"/>
          <w:highlight w:val="yellow"/>
        </w:rPr>
      </w:pPr>
      <w:r w:rsidRPr="00E20D21">
        <w:rPr>
          <w:rFonts w:ascii="CAIXA Std Book" w:hAnsi="CAIXA Std Book"/>
          <w:color w:val="005CA9"/>
          <w:sz w:val="13"/>
          <w:szCs w:val="13"/>
          <w:highlight w:val="yellow"/>
        </w:rPr>
        <w:br w:type="page"/>
      </w:r>
    </w:p>
    <w:tbl>
      <w:tblPr>
        <w:tblW w:w="4962" w:type="pct"/>
        <w:tblLayout w:type="fixed"/>
        <w:tblCellMar>
          <w:left w:w="70" w:type="dxa"/>
          <w:right w:w="70" w:type="dxa"/>
        </w:tblCellMar>
        <w:tblLook w:val="04A0" w:firstRow="1" w:lastRow="0" w:firstColumn="1" w:lastColumn="0" w:noHBand="0" w:noVBand="1"/>
      </w:tblPr>
      <w:tblGrid>
        <w:gridCol w:w="3688"/>
        <w:gridCol w:w="1238"/>
        <w:gridCol w:w="1379"/>
        <w:gridCol w:w="1379"/>
        <w:gridCol w:w="1379"/>
        <w:gridCol w:w="1379"/>
        <w:gridCol w:w="1379"/>
        <w:gridCol w:w="1379"/>
        <w:gridCol w:w="1258"/>
      </w:tblGrid>
      <w:tr w:rsidR="006E231C" w:rsidRPr="00E20D21" w14:paraId="09FBB407" w14:textId="77777777" w:rsidTr="009C6D91">
        <w:trPr>
          <w:trHeight w:val="283"/>
        </w:trPr>
        <w:tc>
          <w:tcPr>
            <w:tcW w:w="5000" w:type="pct"/>
            <w:gridSpan w:val="9"/>
            <w:tcBorders>
              <w:top w:val="single" w:sz="4" w:space="0" w:color="F79646" w:themeColor="accent6"/>
              <w:left w:val="nil"/>
              <w:bottom w:val="single" w:sz="4" w:space="0" w:color="F79646" w:themeColor="accent6"/>
              <w:right w:val="nil"/>
            </w:tcBorders>
            <w:shd w:val="clear" w:color="auto" w:fill="auto"/>
            <w:vAlign w:val="center"/>
          </w:tcPr>
          <w:p w14:paraId="600DBC3F" w14:textId="77777777" w:rsidR="006E231C" w:rsidRPr="00E20D21" w:rsidRDefault="006E231C" w:rsidP="00AC718B">
            <w:pPr>
              <w:jc w:val="center"/>
              <w:rPr>
                <w:rFonts w:ascii="CAIXA Std Book" w:hAnsi="CAIXA Std Book" w:cs="Symbol"/>
                <w:b/>
                <w:color w:val="005CA9"/>
                <w:sz w:val="13"/>
                <w:szCs w:val="13"/>
              </w:rPr>
            </w:pPr>
            <w:r w:rsidRPr="00E20D21">
              <w:rPr>
                <w:rFonts w:ascii="CAIXA Std Book" w:hAnsi="CAIXA Std Book" w:cs="Symbol"/>
                <w:b/>
                <w:color w:val="005CA9"/>
                <w:sz w:val="13"/>
                <w:szCs w:val="13"/>
              </w:rPr>
              <w:lastRenderedPageBreak/>
              <w:t>CONSOLIDADO</w:t>
            </w:r>
          </w:p>
        </w:tc>
      </w:tr>
      <w:tr w:rsidR="006E231C" w:rsidRPr="00E20D21" w14:paraId="444823E7" w14:textId="77777777" w:rsidTr="00AC718B">
        <w:trPr>
          <w:trHeight w:val="283"/>
        </w:trPr>
        <w:tc>
          <w:tcPr>
            <w:tcW w:w="1275" w:type="pct"/>
            <w:vMerge w:val="restart"/>
            <w:tcBorders>
              <w:top w:val="nil"/>
              <w:left w:val="nil"/>
              <w:right w:val="nil"/>
            </w:tcBorders>
            <w:shd w:val="clear" w:color="auto" w:fill="auto"/>
            <w:vAlign w:val="center"/>
          </w:tcPr>
          <w:p w14:paraId="18361CAE" w14:textId="77777777" w:rsidR="006E231C" w:rsidRPr="00E20D21" w:rsidRDefault="006E231C" w:rsidP="00AC718B">
            <w:pPr>
              <w:jc w:val="center"/>
              <w:rPr>
                <w:rFonts w:ascii="CAIXA Std Book" w:hAnsi="CAIXA Std Book" w:cs="Calibri"/>
                <w:color w:val="005CA9"/>
                <w:sz w:val="13"/>
                <w:szCs w:val="13"/>
              </w:rPr>
            </w:pPr>
            <w:r w:rsidRPr="00E20D21">
              <w:rPr>
                <w:rFonts w:ascii="CAIXA Std Book" w:hAnsi="CAIXA Std Book" w:cs="Calibri"/>
                <w:b/>
                <w:color w:val="005CA9"/>
                <w:sz w:val="13"/>
                <w:szCs w:val="13"/>
              </w:rPr>
              <w:t>Descrição</w:t>
            </w:r>
          </w:p>
        </w:tc>
        <w:tc>
          <w:tcPr>
            <w:tcW w:w="1859" w:type="pct"/>
            <w:gridSpan w:val="4"/>
            <w:tcBorders>
              <w:top w:val="nil"/>
              <w:left w:val="nil"/>
              <w:bottom w:val="single" w:sz="4" w:space="0" w:color="F79646" w:themeColor="accent6"/>
            </w:tcBorders>
            <w:shd w:val="clear" w:color="auto" w:fill="auto"/>
            <w:noWrap/>
            <w:vAlign w:val="center"/>
          </w:tcPr>
          <w:p w14:paraId="6EF6F229" w14:textId="660D7308" w:rsidR="006E231C" w:rsidRPr="00E20D21" w:rsidRDefault="006E231C" w:rsidP="00AC718B">
            <w:pPr>
              <w:jc w:val="center"/>
              <w:rPr>
                <w:rFonts w:ascii="CAIXA Std Book" w:hAnsi="CAIXA Std Book" w:cs="Calibri"/>
                <w:b/>
                <w:color w:val="005CA9"/>
                <w:sz w:val="13"/>
                <w:szCs w:val="13"/>
              </w:rPr>
            </w:pPr>
            <w:r w:rsidRPr="00E20D21">
              <w:rPr>
                <w:rFonts w:ascii="CAIXA Std Book" w:eastAsia="Times New Roman" w:hAnsi="CAIXA Std Book" w:cs="Arial"/>
                <w:b/>
                <w:color w:val="005CA9"/>
                <w:sz w:val="13"/>
                <w:szCs w:val="13"/>
              </w:rPr>
              <w:t>1º semestre - 2024</w:t>
            </w:r>
          </w:p>
        </w:tc>
        <w:tc>
          <w:tcPr>
            <w:tcW w:w="1866" w:type="pct"/>
            <w:gridSpan w:val="4"/>
            <w:tcBorders>
              <w:top w:val="nil"/>
              <w:left w:val="nil"/>
              <w:bottom w:val="single" w:sz="4" w:space="0" w:color="F79646" w:themeColor="accent6"/>
              <w:right w:val="nil"/>
            </w:tcBorders>
            <w:shd w:val="clear" w:color="auto" w:fill="auto"/>
            <w:noWrap/>
            <w:vAlign w:val="center"/>
          </w:tcPr>
          <w:p w14:paraId="12B4FC85" w14:textId="1397614B" w:rsidR="006E231C" w:rsidRPr="00E20D21" w:rsidRDefault="006E231C" w:rsidP="00AC718B">
            <w:pPr>
              <w:jc w:val="center"/>
              <w:rPr>
                <w:rFonts w:ascii="CAIXA Std Book" w:hAnsi="CAIXA Std Book" w:cs="Calibri"/>
                <w:color w:val="005CA9"/>
                <w:sz w:val="13"/>
                <w:szCs w:val="13"/>
              </w:rPr>
            </w:pPr>
            <w:r w:rsidRPr="00E20D21">
              <w:rPr>
                <w:rFonts w:ascii="CAIXA Std Book" w:eastAsia="Times New Roman" w:hAnsi="CAIXA Std Book" w:cs="Arial"/>
                <w:b/>
                <w:color w:val="005CA9"/>
                <w:sz w:val="13"/>
                <w:szCs w:val="13"/>
              </w:rPr>
              <w:t>1º semestre - 2023</w:t>
            </w:r>
          </w:p>
        </w:tc>
      </w:tr>
      <w:tr w:rsidR="006E231C" w:rsidRPr="00E20D21" w14:paraId="270775CF" w14:textId="77777777" w:rsidTr="00AC718B">
        <w:trPr>
          <w:trHeight w:val="283"/>
        </w:trPr>
        <w:tc>
          <w:tcPr>
            <w:tcW w:w="1275" w:type="pct"/>
            <w:vMerge/>
            <w:tcBorders>
              <w:left w:val="nil"/>
              <w:bottom w:val="single" w:sz="4" w:space="0" w:color="F79646" w:themeColor="accent6"/>
              <w:right w:val="nil"/>
            </w:tcBorders>
            <w:shd w:val="clear" w:color="auto" w:fill="auto"/>
            <w:vAlign w:val="center"/>
          </w:tcPr>
          <w:p w14:paraId="1E96277E" w14:textId="77777777" w:rsidR="006E231C" w:rsidRPr="00E20D21" w:rsidRDefault="006E231C" w:rsidP="00AC718B">
            <w:pPr>
              <w:jc w:val="center"/>
              <w:rPr>
                <w:rFonts w:ascii="CAIXA Std Book" w:hAnsi="CAIXA Std Book" w:cs="Calibri"/>
                <w:b/>
                <w:color w:val="005CA9"/>
                <w:sz w:val="13"/>
                <w:szCs w:val="13"/>
              </w:rPr>
            </w:pPr>
          </w:p>
        </w:tc>
        <w:tc>
          <w:tcPr>
            <w:tcW w:w="428" w:type="pct"/>
            <w:tcBorders>
              <w:top w:val="nil"/>
              <w:left w:val="nil"/>
              <w:bottom w:val="single" w:sz="4" w:space="0" w:color="F79646" w:themeColor="accent6"/>
            </w:tcBorders>
            <w:shd w:val="clear" w:color="auto" w:fill="auto"/>
            <w:noWrap/>
            <w:vAlign w:val="center"/>
          </w:tcPr>
          <w:p w14:paraId="0175C6B2" w14:textId="77777777" w:rsidR="006E231C" w:rsidRPr="00E20D21" w:rsidRDefault="006E231C"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Controladora</w:t>
            </w:r>
          </w:p>
        </w:tc>
        <w:tc>
          <w:tcPr>
            <w:tcW w:w="477" w:type="pct"/>
            <w:tcBorders>
              <w:top w:val="nil"/>
              <w:left w:val="nil"/>
              <w:bottom w:val="single" w:sz="4" w:space="0" w:color="F79646" w:themeColor="accent6"/>
            </w:tcBorders>
            <w:shd w:val="clear" w:color="auto" w:fill="auto"/>
            <w:vAlign w:val="center"/>
          </w:tcPr>
          <w:p w14:paraId="1E545DCD" w14:textId="77777777" w:rsidR="006E231C" w:rsidRPr="00E20D21" w:rsidRDefault="006E231C"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Controlada em conjunto</w:t>
            </w:r>
          </w:p>
        </w:tc>
        <w:tc>
          <w:tcPr>
            <w:tcW w:w="477" w:type="pct"/>
            <w:tcBorders>
              <w:top w:val="nil"/>
              <w:left w:val="nil"/>
              <w:bottom w:val="single" w:sz="4" w:space="0" w:color="F79646" w:themeColor="accent6"/>
            </w:tcBorders>
            <w:shd w:val="clear" w:color="auto" w:fill="auto"/>
            <w:vAlign w:val="center"/>
          </w:tcPr>
          <w:p w14:paraId="259F51B9" w14:textId="77777777" w:rsidR="006E231C" w:rsidRPr="00E20D21" w:rsidRDefault="006E231C"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Coligada</w:t>
            </w:r>
          </w:p>
        </w:tc>
        <w:tc>
          <w:tcPr>
            <w:tcW w:w="477" w:type="pct"/>
            <w:tcBorders>
              <w:top w:val="nil"/>
              <w:left w:val="nil"/>
              <w:bottom w:val="single" w:sz="4" w:space="0" w:color="F79646" w:themeColor="accent6"/>
            </w:tcBorders>
            <w:shd w:val="clear" w:color="auto" w:fill="auto"/>
            <w:vAlign w:val="center"/>
          </w:tcPr>
          <w:p w14:paraId="6C0EF9CA" w14:textId="77777777" w:rsidR="006E231C" w:rsidRPr="00E20D21" w:rsidRDefault="006E231C"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Outras entidades</w:t>
            </w:r>
          </w:p>
        </w:tc>
        <w:tc>
          <w:tcPr>
            <w:tcW w:w="477" w:type="pct"/>
            <w:tcBorders>
              <w:top w:val="nil"/>
              <w:left w:val="nil"/>
              <w:bottom w:val="single" w:sz="4" w:space="0" w:color="F79646" w:themeColor="accent6"/>
              <w:right w:val="nil"/>
            </w:tcBorders>
            <w:shd w:val="clear" w:color="auto" w:fill="auto"/>
            <w:noWrap/>
            <w:vAlign w:val="center"/>
          </w:tcPr>
          <w:p w14:paraId="159198D5" w14:textId="77777777" w:rsidR="006E231C" w:rsidRPr="00E20D21" w:rsidRDefault="006E231C"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Controladora</w:t>
            </w:r>
          </w:p>
        </w:tc>
        <w:tc>
          <w:tcPr>
            <w:tcW w:w="477" w:type="pct"/>
            <w:tcBorders>
              <w:top w:val="nil"/>
              <w:left w:val="nil"/>
              <w:bottom w:val="single" w:sz="4" w:space="0" w:color="F79646" w:themeColor="accent6"/>
              <w:right w:val="nil"/>
            </w:tcBorders>
            <w:shd w:val="clear" w:color="auto" w:fill="auto"/>
            <w:vAlign w:val="center"/>
          </w:tcPr>
          <w:p w14:paraId="0DA0E88B" w14:textId="77777777" w:rsidR="006E231C" w:rsidRPr="00E20D21" w:rsidRDefault="006E231C"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Controlada em conjunto</w:t>
            </w:r>
          </w:p>
        </w:tc>
        <w:tc>
          <w:tcPr>
            <w:tcW w:w="477" w:type="pct"/>
            <w:tcBorders>
              <w:top w:val="nil"/>
              <w:left w:val="nil"/>
              <w:bottom w:val="single" w:sz="4" w:space="0" w:color="F79646" w:themeColor="accent6"/>
              <w:right w:val="nil"/>
            </w:tcBorders>
            <w:shd w:val="clear" w:color="auto" w:fill="auto"/>
            <w:vAlign w:val="center"/>
          </w:tcPr>
          <w:p w14:paraId="7105C2B5" w14:textId="77777777" w:rsidR="006E231C" w:rsidRPr="00E20D21" w:rsidRDefault="006E231C"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Coligada</w:t>
            </w:r>
          </w:p>
        </w:tc>
        <w:tc>
          <w:tcPr>
            <w:tcW w:w="435" w:type="pct"/>
            <w:tcBorders>
              <w:top w:val="nil"/>
              <w:left w:val="nil"/>
              <w:bottom w:val="single" w:sz="4" w:space="0" w:color="F79646" w:themeColor="accent6"/>
              <w:right w:val="nil"/>
            </w:tcBorders>
            <w:shd w:val="clear" w:color="auto" w:fill="auto"/>
            <w:vAlign w:val="center"/>
          </w:tcPr>
          <w:p w14:paraId="050B8C06" w14:textId="77777777" w:rsidR="006E231C" w:rsidRPr="00E20D21" w:rsidRDefault="006E231C" w:rsidP="00AC718B">
            <w:pPr>
              <w:jc w:val="center"/>
              <w:rPr>
                <w:rFonts w:ascii="CAIXA Std Book" w:hAnsi="CAIXA Std Book" w:cs="Calibri"/>
                <w:b/>
                <w:color w:val="005CA9"/>
                <w:sz w:val="13"/>
                <w:szCs w:val="13"/>
              </w:rPr>
            </w:pPr>
            <w:r w:rsidRPr="00E20D21">
              <w:rPr>
                <w:rFonts w:ascii="CAIXA Std Book" w:hAnsi="CAIXA Std Book" w:cs="Symbol"/>
                <w:b/>
                <w:color w:val="005CA9"/>
                <w:sz w:val="13"/>
                <w:szCs w:val="13"/>
              </w:rPr>
              <w:t>Outras entidades</w:t>
            </w:r>
          </w:p>
        </w:tc>
      </w:tr>
      <w:tr w:rsidR="00AC718B" w:rsidRPr="00E20D21" w14:paraId="3740F2E8" w14:textId="77777777" w:rsidTr="00AC718B">
        <w:trPr>
          <w:trHeight w:val="283"/>
        </w:trPr>
        <w:tc>
          <w:tcPr>
            <w:tcW w:w="1275" w:type="pct"/>
            <w:tcBorders>
              <w:top w:val="single" w:sz="4" w:space="0" w:color="F79646" w:themeColor="accent6"/>
              <w:left w:val="nil"/>
              <w:bottom w:val="single" w:sz="4" w:space="0" w:color="F79646" w:themeColor="accent6"/>
            </w:tcBorders>
            <w:shd w:val="clear" w:color="auto" w:fill="auto"/>
            <w:vAlign w:val="center"/>
          </w:tcPr>
          <w:p w14:paraId="643F3F71" w14:textId="77777777" w:rsidR="00AC718B" w:rsidRPr="00E20D21" w:rsidRDefault="00AC718B" w:rsidP="00AC718B">
            <w:pPr>
              <w:rPr>
                <w:rFonts w:ascii="CAIXA Std Book" w:hAnsi="CAIXA Std Book" w:cs="Calibri"/>
                <w:color w:val="005CA9"/>
                <w:sz w:val="13"/>
                <w:szCs w:val="13"/>
              </w:rPr>
            </w:pPr>
            <w:r w:rsidRPr="00E20D21">
              <w:rPr>
                <w:rFonts w:ascii="CAIXA Std Book" w:hAnsi="CAIXA Std Book" w:cs="Calibri"/>
                <w:b/>
                <w:color w:val="005CA9"/>
                <w:sz w:val="13"/>
                <w:szCs w:val="13"/>
              </w:rPr>
              <w:t>RECEITAS</w:t>
            </w:r>
          </w:p>
        </w:tc>
        <w:tc>
          <w:tcPr>
            <w:tcW w:w="428" w:type="pct"/>
            <w:tcBorders>
              <w:top w:val="single" w:sz="4" w:space="0" w:color="F39200"/>
              <w:left w:val="nil"/>
              <w:bottom w:val="single" w:sz="4" w:space="0" w:color="F39200"/>
              <w:right w:val="nil"/>
            </w:tcBorders>
            <w:shd w:val="clear" w:color="auto" w:fill="auto"/>
            <w:noWrap/>
            <w:vAlign w:val="center"/>
          </w:tcPr>
          <w:p w14:paraId="6971C98F" w14:textId="60F9E06B" w:rsidR="00AC718B" w:rsidRPr="00E20D21" w:rsidRDefault="00AC718B" w:rsidP="00AC718B">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 xml:space="preserve">            </w:t>
            </w:r>
            <w:r w:rsidR="00D7275B" w:rsidRPr="00E20D21">
              <w:rPr>
                <w:rFonts w:ascii="CAIXA Std Book" w:hAnsi="CAIXA Std Book" w:cs="Calibri"/>
                <w:b/>
                <w:bCs/>
                <w:color w:val="005CA9"/>
                <w:sz w:val="13"/>
                <w:szCs w:val="13"/>
              </w:rPr>
              <w:t>1.</w:t>
            </w:r>
            <w:r w:rsidR="00B65598" w:rsidRPr="00E20D21">
              <w:rPr>
                <w:rFonts w:ascii="CAIXA Std Book" w:hAnsi="CAIXA Std Book" w:cs="Calibri"/>
                <w:b/>
                <w:bCs/>
                <w:color w:val="005CA9"/>
                <w:sz w:val="13"/>
                <w:szCs w:val="13"/>
              </w:rPr>
              <w:t>166.472</w:t>
            </w:r>
            <w:r w:rsidRPr="00E20D21">
              <w:rPr>
                <w:rFonts w:ascii="CAIXA Std Book" w:hAnsi="CAIXA Std Book" w:cs="Calibri"/>
                <w:b/>
                <w:bCs/>
                <w:color w:val="005CA9"/>
                <w:sz w:val="13"/>
                <w:szCs w:val="13"/>
              </w:rPr>
              <w:t xml:space="preserve"> </w:t>
            </w:r>
          </w:p>
        </w:tc>
        <w:tc>
          <w:tcPr>
            <w:tcW w:w="477" w:type="pct"/>
            <w:tcBorders>
              <w:top w:val="single" w:sz="4" w:space="0" w:color="F39200"/>
              <w:left w:val="nil"/>
              <w:bottom w:val="single" w:sz="4" w:space="0" w:color="F39200"/>
              <w:right w:val="nil"/>
            </w:tcBorders>
            <w:shd w:val="clear" w:color="auto" w:fill="auto"/>
            <w:noWrap/>
            <w:vAlign w:val="center"/>
          </w:tcPr>
          <w:p w14:paraId="4D4E6849" w14:textId="38E69139" w:rsidR="00AC718B" w:rsidRPr="00E20D21" w:rsidRDefault="00AC718B" w:rsidP="00AC718B">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 xml:space="preserve">               </w:t>
            </w:r>
            <w:r w:rsidR="00D7275B" w:rsidRPr="00E20D21">
              <w:rPr>
                <w:rFonts w:ascii="CAIXA Std Book" w:hAnsi="CAIXA Std Book" w:cs="Calibri"/>
                <w:b/>
                <w:bCs/>
                <w:color w:val="005CA9"/>
                <w:sz w:val="13"/>
                <w:szCs w:val="13"/>
              </w:rPr>
              <w:t>432.839</w:t>
            </w:r>
            <w:r w:rsidRPr="00E20D21">
              <w:rPr>
                <w:rFonts w:ascii="CAIXA Std Book" w:hAnsi="CAIXA Std Book" w:cs="Calibri"/>
                <w:b/>
                <w:bCs/>
                <w:color w:val="005CA9"/>
                <w:sz w:val="13"/>
                <w:szCs w:val="13"/>
              </w:rPr>
              <w:t xml:space="preserve"> </w:t>
            </w:r>
          </w:p>
        </w:tc>
        <w:tc>
          <w:tcPr>
            <w:tcW w:w="477" w:type="pct"/>
            <w:tcBorders>
              <w:top w:val="single" w:sz="4" w:space="0" w:color="F39200"/>
              <w:left w:val="nil"/>
              <w:bottom w:val="single" w:sz="4" w:space="0" w:color="F39200"/>
              <w:right w:val="nil"/>
            </w:tcBorders>
            <w:shd w:val="clear" w:color="auto" w:fill="auto"/>
            <w:noWrap/>
            <w:vAlign w:val="center"/>
          </w:tcPr>
          <w:p w14:paraId="5403A397" w14:textId="005E0796" w:rsidR="00AC718B" w:rsidRPr="00E20D21" w:rsidRDefault="00AC718B" w:rsidP="00AC718B">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 xml:space="preserve">               </w:t>
            </w:r>
            <w:r w:rsidR="00D7275B" w:rsidRPr="00E20D21">
              <w:rPr>
                <w:rFonts w:ascii="CAIXA Std Book" w:hAnsi="CAIXA Std Book" w:cs="Calibri"/>
                <w:b/>
                <w:bCs/>
                <w:color w:val="005CA9"/>
                <w:sz w:val="13"/>
                <w:szCs w:val="13"/>
              </w:rPr>
              <w:t>477.855</w:t>
            </w:r>
            <w:r w:rsidRPr="00E20D21">
              <w:rPr>
                <w:rFonts w:ascii="CAIXA Std Book" w:hAnsi="CAIXA Std Book" w:cs="Calibri"/>
                <w:b/>
                <w:bCs/>
                <w:color w:val="005CA9"/>
                <w:sz w:val="13"/>
                <w:szCs w:val="13"/>
              </w:rPr>
              <w:t xml:space="preserve"> </w:t>
            </w:r>
          </w:p>
        </w:tc>
        <w:tc>
          <w:tcPr>
            <w:tcW w:w="477" w:type="pct"/>
            <w:tcBorders>
              <w:top w:val="single" w:sz="4" w:space="0" w:color="F39200"/>
              <w:left w:val="nil"/>
              <w:bottom w:val="single" w:sz="4" w:space="0" w:color="F39200"/>
            </w:tcBorders>
            <w:shd w:val="clear" w:color="auto" w:fill="auto"/>
            <w:noWrap/>
            <w:vAlign w:val="center"/>
          </w:tcPr>
          <w:p w14:paraId="2AA7C75A" w14:textId="507A23E6" w:rsidR="00AC718B" w:rsidRPr="00E20D21" w:rsidRDefault="00AC718B" w:rsidP="00AC718B">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 xml:space="preserve">            </w:t>
            </w:r>
            <w:r w:rsidR="004644C8" w:rsidRPr="00E20D21">
              <w:rPr>
                <w:rFonts w:ascii="CAIXA Std Book" w:hAnsi="CAIXA Std Book" w:cs="Calibri"/>
                <w:b/>
                <w:bCs/>
                <w:color w:val="005CA9"/>
                <w:sz w:val="13"/>
                <w:szCs w:val="13"/>
              </w:rPr>
              <w:t>7.002.588</w:t>
            </w:r>
            <w:r w:rsidRPr="00E20D21">
              <w:rPr>
                <w:rFonts w:ascii="CAIXA Std Book" w:hAnsi="CAIXA Std Book" w:cs="Calibri"/>
                <w:b/>
                <w:bCs/>
                <w:color w:val="005CA9"/>
                <w:sz w:val="13"/>
                <w:szCs w:val="13"/>
              </w:rPr>
              <w:t xml:space="preserve"> </w:t>
            </w:r>
          </w:p>
        </w:tc>
        <w:tc>
          <w:tcPr>
            <w:tcW w:w="477" w:type="pct"/>
            <w:tcBorders>
              <w:top w:val="single" w:sz="4" w:space="0" w:color="F39200"/>
              <w:left w:val="nil"/>
              <w:bottom w:val="single" w:sz="4" w:space="0" w:color="F39200"/>
              <w:right w:val="nil"/>
            </w:tcBorders>
            <w:shd w:val="clear" w:color="auto" w:fill="auto"/>
            <w:noWrap/>
            <w:vAlign w:val="center"/>
          </w:tcPr>
          <w:p w14:paraId="019785F7" w14:textId="16C6C429" w:rsidR="00AC718B" w:rsidRPr="00E20D21" w:rsidRDefault="00AC718B" w:rsidP="00AC718B">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1.184.829</w:t>
            </w:r>
          </w:p>
        </w:tc>
        <w:tc>
          <w:tcPr>
            <w:tcW w:w="477" w:type="pct"/>
            <w:tcBorders>
              <w:top w:val="single" w:sz="4" w:space="0" w:color="F39200"/>
              <w:left w:val="nil"/>
              <w:bottom w:val="single" w:sz="4" w:space="0" w:color="F39200"/>
              <w:right w:val="nil"/>
            </w:tcBorders>
            <w:shd w:val="clear" w:color="auto" w:fill="auto"/>
            <w:noWrap/>
            <w:vAlign w:val="center"/>
          </w:tcPr>
          <w:p w14:paraId="2CFB0609" w14:textId="1AB8DF53" w:rsidR="00AC718B" w:rsidRPr="00E20D21" w:rsidRDefault="00AC718B" w:rsidP="00AC718B">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424.257</w:t>
            </w:r>
          </w:p>
        </w:tc>
        <w:tc>
          <w:tcPr>
            <w:tcW w:w="477" w:type="pct"/>
            <w:tcBorders>
              <w:top w:val="single" w:sz="4" w:space="0" w:color="F39200"/>
              <w:left w:val="nil"/>
              <w:bottom w:val="single" w:sz="4" w:space="0" w:color="F39200"/>
              <w:right w:val="nil"/>
            </w:tcBorders>
            <w:shd w:val="clear" w:color="auto" w:fill="auto"/>
            <w:noWrap/>
            <w:vAlign w:val="center"/>
          </w:tcPr>
          <w:p w14:paraId="35234EAE" w14:textId="070F027E" w:rsidR="00AC718B" w:rsidRPr="00E20D21" w:rsidRDefault="00AC718B" w:rsidP="00AC718B">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444.278</w:t>
            </w:r>
          </w:p>
        </w:tc>
        <w:tc>
          <w:tcPr>
            <w:tcW w:w="435" w:type="pct"/>
            <w:tcBorders>
              <w:top w:val="single" w:sz="4" w:space="0" w:color="F39200"/>
              <w:left w:val="nil"/>
              <w:bottom w:val="single" w:sz="4" w:space="0" w:color="F39200"/>
              <w:right w:val="nil"/>
            </w:tcBorders>
            <w:shd w:val="clear" w:color="auto" w:fill="auto"/>
            <w:noWrap/>
            <w:vAlign w:val="center"/>
          </w:tcPr>
          <w:p w14:paraId="268E2C29" w14:textId="427D2118" w:rsidR="00AC718B" w:rsidRPr="00E20D21" w:rsidRDefault="00AC718B" w:rsidP="00AC718B">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6.658.786</w:t>
            </w:r>
          </w:p>
        </w:tc>
      </w:tr>
      <w:tr w:rsidR="00A44514" w:rsidRPr="00E20D21" w14:paraId="665B0E0F" w14:textId="77777777" w:rsidTr="00AC718B">
        <w:trPr>
          <w:trHeight w:val="283"/>
        </w:trPr>
        <w:tc>
          <w:tcPr>
            <w:tcW w:w="1275" w:type="pct"/>
            <w:tcBorders>
              <w:top w:val="nil"/>
              <w:left w:val="nil"/>
            </w:tcBorders>
            <w:shd w:val="clear" w:color="auto" w:fill="auto"/>
            <w:vAlign w:val="center"/>
          </w:tcPr>
          <w:p w14:paraId="51B36D7C" w14:textId="77777777" w:rsidR="00A44514" w:rsidRPr="00E20D21" w:rsidRDefault="00A44514" w:rsidP="00A44514">
            <w:pPr>
              <w:rPr>
                <w:rFonts w:ascii="CAIXA Std Book" w:hAnsi="CAIXA Std Book" w:cs="Calibri"/>
                <w:color w:val="005CA9"/>
                <w:sz w:val="13"/>
                <w:szCs w:val="13"/>
              </w:rPr>
            </w:pPr>
            <w:r w:rsidRPr="00E20D21">
              <w:rPr>
                <w:rFonts w:ascii="CAIXA Std Book" w:hAnsi="CAIXA Std Book" w:cs="Calibri"/>
                <w:color w:val="005CA9"/>
                <w:sz w:val="13"/>
                <w:szCs w:val="13"/>
              </w:rPr>
              <w:t>Rendas com prestação de serviços (1 a 4)</w:t>
            </w:r>
          </w:p>
        </w:tc>
        <w:tc>
          <w:tcPr>
            <w:tcW w:w="428" w:type="pct"/>
            <w:tcBorders>
              <w:top w:val="nil"/>
              <w:left w:val="nil"/>
              <w:bottom w:val="nil"/>
              <w:right w:val="nil"/>
            </w:tcBorders>
            <w:shd w:val="clear" w:color="auto" w:fill="auto"/>
            <w:noWrap/>
            <w:vAlign w:val="center"/>
          </w:tcPr>
          <w:p w14:paraId="6B7BFCDE" w14:textId="3490A5F9" w:rsidR="00A44514" w:rsidRPr="00E20D21" w:rsidRDefault="009F5A99"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714.304</w:t>
            </w:r>
          </w:p>
        </w:tc>
        <w:tc>
          <w:tcPr>
            <w:tcW w:w="477" w:type="pct"/>
            <w:tcBorders>
              <w:top w:val="nil"/>
              <w:left w:val="nil"/>
              <w:bottom w:val="nil"/>
              <w:right w:val="nil"/>
            </w:tcBorders>
            <w:shd w:val="clear" w:color="auto" w:fill="auto"/>
            <w:noWrap/>
            <w:vAlign w:val="center"/>
          </w:tcPr>
          <w:p w14:paraId="0EA0D427" w14:textId="3241497D" w:rsidR="00A44514" w:rsidRPr="00E20D21" w:rsidRDefault="009E6DD0"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427.035</w:t>
            </w:r>
          </w:p>
        </w:tc>
        <w:tc>
          <w:tcPr>
            <w:tcW w:w="477" w:type="pct"/>
            <w:tcBorders>
              <w:top w:val="nil"/>
              <w:left w:val="nil"/>
              <w:bottom w:val="nil"/>
              <w:right w:val="nil"/>
            </w:tcBorders>
            <w:shd w:val="clear" w:color="auto" w:fill="auto"/>
            <w:noWrap/>
            <w:vAlign w:val="center"/>
          </w:tcPr>
          <w:p w14:paraId="4AF78740" w14:textId="56710ABF" w:rsidR="00A44514" w:rsidRPr="00E20D21" w:rsidRDefault="009E6DD0"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477.737</w:t>
            </w:r>
          </w:p>
        </w:tc>
        <w:tc>
          <w:tcPr>
            <w:tcW w:w="477" w:type="pct"/>
            <w:tcBorders>
              <w:top w:val="nil"/>
              <w:left w:val="nil"/>
              <w:bottom w:val="nil"/>
            </w:tcBorders>
            <w:shd w:val="clear" w:color="auto" w:fill="auto"/>
            <w:noWrap/>
            <w:vAlign w:val="center"/>
          </w:tcPr>
          <w:p w14:paraId="150C8D1A" w14:textId="79A3C628" w:rsidR="00A44514" w:rsidRPr="00E20D21" w:rsidRDefault="009E6DD0"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2.410.118</w:t>
            </w:r>
          </w:p>
        </w:tc>
        <w:tc>
          <w:tcPr>
            <w:tcW w:w="477" w:type="pct"/>
            <w:tcBorders>
              <w:top w:val="nil"/>
              <w:left w:val="nil"/>
              <w:bottom w:val="nil"/>
              <w:right w:val="nil"/>
            </w:tcBorders>
            <w:shd w:val="clear" w:color="auto" w:fill="auto"/>
            <w:noWrap/>
            <w:vAlign w:val="center"/>
          </w:tcPr>
          <w:p w14:paraId="1D8DD2AC" w14:textId="0D0A0602" w:rsidR="00A44514" w:rsidRPr="00E20D21" w:rsidRDefault="00A44514"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612.587</w:t>
            </w:r>
          </w:p>
        </w:tc>
        <w:tc>
          <w:tcPr>
            <w:tcW w:w="477" w:type="pct"/>
            <w:tcBorders>
              <w:top w:val="nil"/>
              <w:left w:val="nil"/>
              <w:bottom w:val="nil"/>
              <w:right w:val="nil"/>
            </w:tcBorders>
            <w:shd w:val="clear" w:color="auto" w:fill="auto"/>
            <w:noWrap/>
            <w:vAlign w:val="center"/>
          </w:tcPr>
          <w:p w14:paraId="64D7DB1C" w14:textId="78262910" w:rsidR="00A44514" w:rsidRPr="00E20D21" w:rsidRDefault="00A44514"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423.513</w:t>
            </w:r>
          </w:p>
        </w:tc>
        <w:tc>
          <w:tcPr>
            <w:tcW w:w="477" w:type="pct"/>
            <w:tcBorders>
              <w:top w:val="nil"/>
              <w:left w:val="nil"/>
              <w:bottom w:val="nil"/>
              <w:right w:val="nil"/>
            </w:tcBorders>
            <w:shd w:val="clear" w:color="auto" w:fill="auto"/>
            <w:noWrap/>
            <w:vAlign w:val="center"/>
          </w:tcPr>
          <w:p w14:paraId="47FDBE14" w14:textId="502D3F69" w:rsidR="00A44514" w:rsidRPr="00E20D21" w:rsidRDefault="00A44514"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444.278</w:t>
            </w:r>
          </w:p>
        </w:tc>
        <w:tc>
          <w:tcPr>
            <w:tcW w:w="435" w:type="pct"/>
            <w:tcBorders>
              <w:top w:val="nil"/>
              <w:left w:val="nil"/>
              <w:bottom w:val="nil"/>
              <w:right w:val="nil"/>
            </w:tcBorders>
            <w:shd w:val="clear" w:color="auto" w:fill="auto"/>
            <w:noWrap/>
            <w:vAlign w:val="center"/>
          </w:tcPr>
          <w:p w14:paraId="6C71D73C" w14:textId="0D85BB30" w:rsidR="00A44514" w:rsidRPr="00E20D21" w:rsidRDefault="00A44514"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2.475.671</w:t>
            </w:r>
          </w:p>
        </w:tc>
      </w:tr>
      <w:tr w:rsidR="00A44514" w:rsidRPr="00E20D21" w14:paraId="714E956A" w14:textId="77777777" w:rsidTr="00AC718B">
        <w:trPr>
          <w:trHeight w:val="283"/>
        </w:trPr>
        <w:tc>
          <w:tcPr>
            <w:tcW w:w="1275" w:type="pct"/>
            <w:tcBorders>
              <w:top w:val="nil"/>
              <w:left w:val="nil"/>
            </w:tcBorders>
            <w:shd w:val="clear" w:color="auto" w:fill="auto"/>
            <w:vAlign w:val="center"/>
          </w:tcPr>
          <w:p w14:paraId="4E3739A1" w14:textId="77777777" w:rsidR="00A44514" w:rsidRPr="00E20D21" w:rsidRDefault="00A44514" w:rsidP="00A44514">
            <w:pPr>
              <w:rPr>
                <w:rFonts w:ascii="CAIXA Std Book" w:hAnsi="CAIXA Std Book" w:cs="Calibri"/>
                <w:color w:val="005CA9"/>
                <w:sz w:val="13"/>
                <w:szCs w:val="13"/>
              </w:rPr>
            </w:pPr>
            <w:r w:rsidRPr="00E20D21">
              <w:rPr>
                <w:rFonts w:ascii="CAIXA Std Book" w:hAnsi="CAIXA Std Book" w:cs="Calibri"/>
                <w:color w:val="005CA9"/>
                <w:sz w:val="13"/>
                <w:szCs w:val="13"/>
              </w:rPr>
              <w:t>Rendas com administração de fundos de investimento</w:t>
            </w:r>
          </w:p>
        </w:tc>
        <w:tc>
          <w:tcPr>
            <w:tcW w:w="428" w:type="pct"/>
            <w:tcBorders>
              <w:top w:val="nil"/>
              <w:left w:val="nil"/>
              <w:bottom w:val="nil"/>
              <w:right w:val="nil"/>
            </w:tcBorders>
            <w:shd w:val="clear" w:color="auto" w:fill="auto"/>
            <w:noWrap/>
            <w:vAlign w:val="center"/>
          </w:tcPr>
          <w:p w14:paraId="37AAA9B5" w14:textId="22618D3D" w:rsidR="00A44514" w:rsidRPr="00E20D21" w:rsidRDefault="00C9316B" w:rsidP="00A4451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293D64E3" w14:textId="6BF0525C" w:rsidR="00A44514" w:rsidRPr="00E20D21" w:rsidRDefault="00C9316B" w:rsidP="00A4451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33543407" w14:textId="464C85C1" w:rsidR="00A44514" w:rsidRPr="00E20D21" w:rsidRDefault="00C9316B" w:rsidP="00A4451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tcBorders>
            <w:shd w:val="clear" w:color="auto" w:fill="auto"/>
            <w:noWrap/>
            <w:vAlign w:val="center"/>
          </w:tcPr>
          <w:p w14:paraId="405CC909" w14:textId="70A62D45" w:rsidR="00A44514" w:rsidRPr="00E20D21" w:rsidRDefault="00261C5A"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198.549</w:t>
            </w:r>
          </w:p>
        </w:tc>
        <w:tc>
          <w:tcPr>
            <w:tcW w:w="477" w:type="pct"/>
            <w:tcBorders>
              <w:top w:val="nil"/>
              <w:left w:val="nil"/>
              <w:bottom w:val="nil"/>
              <w:right w:val="nil"/>
            </w:tcBorders>
            <w:shd w:val="clear" w:color="auto" w:fill="auto"/>
            <w:noWrap/>
            <w:vAlign w:val="center"/>
          </w:tcPr>
          <w:p w14:paraId="4299259A" w14:textId="46BA625D" w:rsidR="00A44514" w:rsidRPr="00E20D21" w:rsidRDefault="00A44514" w:rsidP="00A4451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08445BCA" w14:textId="304F6CD0" w:rsidR="00A44514" w:rsidRPr="00E20D21" w:rsidRDefault="00A44514" w:rsidP="00A4451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41821BDD" w14:textId="265D7033" w:rsidR="00A44514" w:rsidRPr="00E20D21" w:rsidRDefault="00A44514" w:rsidP="00A4451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5" w:type="pct"/>
            <w:tcBorders>
              <w:top w:val="nil"/>
              <w:left w:val="nil"/>
              <w:bottom w:val="nil"/>
              <w:right w:val="nil"/>
            </w:tcBorders>
            <w:shd w:val="clear" w:color="auto" w:fill="auto"/>
            <w:noWrap/>
            <w:vAlign w:val="center"/>
          </w:tcPr>
          <w:p w14:paraId="3773D211" w14:textId="21BBDDF8" w:rsidR="00A44514" w:rsidRPr="00E20D21" w:rsidRDefault="00A44514"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174.196</w:t>
            </w:r>
          </w:p>
        </w:tc>
      </w:tr>
      <w:tr w:rsidR="00A44514" w:rsidRPr="00E20D21" w14:paraId="6C956E04" w14:textId="77777777" w:rsidTr="00AC718B">
        <w:trPr>
          <w:trHeight w:val="283"/>
        </w:trPr>
        <w:tc>
          <w:tcPr>
            <w:tcW w:w="1275" w:type="pct"/>
            <w:tcBorders>
              <w:top w:val="nil"/>
              <w:left w:val="nil"/>
              <w:bottom w:val="single" w:sz="4" w:space="0" w:color="F79646" w:themeColor="accent6"/>
            </w:tcBorders>
            <w:shd w:val="clear" w:color="auto" w:fill="auto"/>
            <w:vAlign w:val="center"/>
          </w:tcPr>
          <w:p w14:paraId="6EC6E908" w14:textId="77777777" w:rsidR="00A44514" w:rsidRPr="00E20D21" w:rsidRDefault="00A44514" w:rsidP="00A44514">
            <w:pPr>
              <w:rPr>
                <w:rFonts w:ascii="CAIXA Std Book" w:hAnsi="CAIXA Std Book" w:cs="Calibri"/>
                <w:color w:val="005CA9"/>
                <w:sz w:val="13"/>
                <w:szCs w:val="13"/>
              </w:rPr>
            </w:pPr>
            <w:r w:rsidRPr="00E20D21">
              <w:rPr>
                <w:rFonts w:ascii="CAIXA Std Book" w:hAnsi="CAIXA Std Book" w:cs="Calibri"/>
                <w:color w:val="005CA9"/>
                <w:sz w:val="13"/>
                <w:szCs w:val="13"/>
              </w:rPr>
              <w:t>Outras receitas operacionais (5)</w:t>
            </w:r>
          </w:p>
        </w:tc>
        <w:tc>
          <w:tcPr>
            <w:tcW w:w="428" w:type="pct"/>
            <w:tcBorders>
              <w:top w:val="nil"/>
              <w:left w:val="nil"/>
              <w:bottom w:val="single" w:sz="4" w:space="0" w:color="F39200"/>
              <w:right w:val="nil"/>
            </w:tcBorders>
            <w:shd w:val="clear" w:color="auto" w:fill="auto"/>
            <w:noWrap/>
            <w:vAlign w:val="center"/>
          </w:tcPr>
          <w:p w14:paraId="5FE6DCE7" w14:textId="2BCA3C2E" w:rsidR="00A44514" w:rsidRPr="00E20D21" w:rsidRDefault="00321198"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4</w:t>
            </w:r>
            <w:r w:rsidR="00B65598" w:rsidRPr="00E20D21">
              <w:rPr>
                <w:rFonts w:ascii="CAIXA Std Book" w:hAnsi="CAIXA Std Book" w:cs="Calibri"/>
                <w:color w:val="005CA9"/>
                <w:sz w:val="13"/>
                <w:szCs w:val="13"/>
              </w:rPr>
              <w:t>52</w:t>
            </w:r>
            <w:r w:rsidR="003F3632" w:rsidRPr="00E20D21">
              <w:rPr>
                <w:rFonts w:ascii="CAIXA Std Book" w:hAnsi="CAIXA Std Book" w:cs="Calibri"/>
                <w:color w:val="005CA9"/>
                <w:sz w:val="13"/>
                <w:szCs w:val="13"/>
              </w:rPr>
              <w:t>.168</w:t>
            </w:r>
          </w:p>
        </w:tc>
        <w:tc>
          <w:tcPr>
            <w:tcW w:w="477" w:type="pct"/>
            <w:tcBorders>
              <w:top w:val="nil"/>
              <w:left w:val="nil"/>
              <w:bottom w:val="single" w:sz="4" w:space="0" w:color="F39200"/>
              <w:right w:val="nil"/>
            </w:tcBorders>
            <w:shd w:val="clear" w:color="auto" w:fill="auto"/>
            <w:noWrap/>
            <w:vAlign w:val="center"/>
          </w:tcPr>
          <w:p w14:paraId="36B573A5" w14:textId="77C4CF13" w:rsidR="00A44514" w:rsidRPr="00E20D21" w:rsidRDefault="00321198"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5.804</w:t>
            </w:r>
          </w:p>
        </w:tc>
        <w:tc>
          <w:tcPr>
            <w:tcW w:w="477" w:type="pct"/>
            <w:tcBorders>
              <w:top w:val="nil"/>
              <w:left w:val="nil"/>
              <w:bottom w:val="single" w:sz="4" w:space="0" w:color="F39200"/>
              <w:right w:val="nil"/>
            </w:tcBorders>
            <w:shd w:val="clear" w:color="auto" w:fill="auto"/>
            <w:noWrap/>
            <w:vAlign w:val="center"/>
          </w:tcPr>
          <w:p w14:paraId="6A223FBB" w14:textId="6BDB1DA1" w:rsidR="00A44514" w:rsidRPr="00E20D21" w:rsidRDefault="00321198"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118</w:t>
            </w:r>
          </w:p>
        </w:tc>
        <w:tc>
          <w:tcPr>
            <w:tcW w:w="477" w:type="pct"/>
            <w:tcBorders>
              <w:top w:val="nil"/>
              <w:left w:val="nil"/>
              <w:bottom w:val="single" w:sz="4" w:space="0" w:color="F39200"/>
            </w:tcBorders>
            <w:shd w:val="clear" w:color="auto" w:fill="auto"/>
            <w:noWrap/>
            <w:vAlign w:val="center"/>
          </w:tcPr>
          <w:p w14:paraId="3EF3CB04" w14:textId="79CC0CC7" w:rsidR="00A44514" w:rsidRPr="00E20D21" w:rsidRDefault="00321198"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4.3</w:t>
            </w:r>
            <w:r w:rsidR="00761CC4" w:rsidRPr="00E20D21">
              <w:rPr>
                <w:rFonts w:ascii="CAIXA Std Book" w:hAnsi="CAIXA Std Book" w:cs="Calibri"/>
                <w:color w:val="005CA9"/>
                <w:sz w:val="13"/>
                <w:szCs w:val="13"/>
              </w:rPr>
              <w:t>93.921</w:t>
            </w:r>
          </w:p>
        </w:tc>
        <w:tc>
          <w:tcPr>
            <w:tcW w:w="477" w:type="pct"/>
            <w:tcBorders>
              <w:top w:val="nil"/>
              <w:left w:val="nil"/>
              <w:bottom w:val="single" w:sz="4" w:space="0" w:color="F39200"/>
              <w:right w:val="nil"/>
            </w:tcBorders>
            <w:shd w:val="clear" w:color="auto" w:fill="auto"/>
            <w:noWrap/>
            <w:vAlign w:val="center"/>
          </w:tcPr>
          <w:p w14:paraId="29C02961" w14:textId="76442EDC" w:rsidR="00A44514" w:rsidRPr="00E20D21" w:rsidRDefault="00A44514"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572.242</w:t>
            </w:r>
          </w:p>
        </w:tc>
        <w:tc>
          <w:tcPr>
            <w:tcW w:w="477" w:type="pct"/>
            <w:tcBorders>
              <w:top w:val="nil"/>
              <w:left w:val="nil"/>
              <w:bottom w:val="single" w:sz="4" w:space="0" w:color="F39200"/>
              <w:right w:val="nil"/>
            </w:tcBorders>
            <w:shd w:val="clear" w:color="auto" w:fill="auto"/>
            <w:noWrap/>
            <w:vAlign w:val="center"/>
          </w:tcPr>
          <w:p w14:paraId="4C00284F" w14:textId="52044882" w:rsidR="00A44514" w:rsidRPr="00E20D21" w:rsidRDefault="00A44514"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744</w:t>
            </w:r>
          </w:p>
        </w:tc>
        <w:tc>
          <w:tcPr>
            <w:tcW w:w="477" w:type="pct"/>
            <w:tcBorders>
              <w:top w:val="nil"/>
              <w:left w:val="nil"/>
              <w:bottom w:val="single" w:sz="4" w:space="0" w:color="F39200"/>
              <w:right w:val="nil"/>
            </w:tcBorders>
            <w:shd w:val="clear" w:color="auto" w:fill="auto"/>
            <w:noWrap/>
            <w:vAlign w:val="center"/>
          </w:tcPr>
          <w:p w14:paraId="3D172FC6" w14:textId="09C85D27" w:rsidR="00A44514" w:rsidRPr="00E20D21" w:rsidRDefault="00A44514" w:rsidP="00A44514">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5" w:type="pct"/>
            <w:tcBorders>
              <w:top w:val="nil"/>
              <w:left w:val="nil"/>
              <w:bottom w:val="single" w:sz="4" w:space="0" w:color="F39200"/>
              <w:right w:val="nil"/>
            </w:tcBorders>
            <w:shd w:val="clear" w:color="auto" w:fill="auto"/>
            <w:noWrap/>
            <w:vAlign w:val="center"/>
          </w:tcPr>
          <w:p w14:paraId="3D9086F0" w14:textId="2F197424" w:rsidR="00A44514" w:rsidRPr="00E20D21" w:rsidRDefault="00A44514" w:rsidP="00A44514">
            <w:pPr>
              <w:jc w:val="right"/>
              <w:rPr>
                <w:rFonts w:ascii="CAIXA Std Book" w:hAnsi="CAIXA Std Book" w:cs="Calibri"/>
                <w:color w:val="005CA9"/>
                <w:sz w:val="13"/>
                <w:szCs w:val="13"/>
              </w:rPr>
            </w:pPr>
            <w:r w:rsidRPr="00E20D21">
              <w:rPr>
                <w:rFonts w:ascii="CAIXA Std Book" w:hAnsi="CAIXA Std Book" w:cs="Calibri"/>
                <w:color w:val="005CA9"/>
                <w:sz w:val="13"/>
                <w:szCs w:val="13"/>
              </w:rPr>
              <w:t>4.008.919</w:t>
            </w:r>
          </w:p>
        </w:tc>
      </w:tr>
      <w:tr w:rsidR="00FC6170" w:rsidRPr="00E20D21" w14:paraId="1085031D" w14:textId="77777777" w:rsidTr="00AC718B">
        <w:trPr>
          <w:trHeight w:val="283"/>
        </w:trPr>
        <w:tc>
          <w:tcPr>
            <w:tcW w:w="1275" w:type="pct"/>
            <w:tcBorders>
              <w:top w:val="single" w:sz="4" w:space="0" w:color="F79646" w:themeColor="accent6"/>
              <w:left w:val="nil"/>
              <w:bottom w:val="single" w:sz="4" w:space="0" w:color="F79646" w:themeColor="accent6"/>
            </w:tcBorders>
            <w:shd w:val="clear" w:color="auto" w:fill="auto"/>
            <w:vAlign w:val="center"/>
          </w:tcPr>
          <w:p w14:paraId="3BAA7E93" w14:textId="77777777" w:rsidR="00FC6170" w:rsidRPr="00E20D21" w:rsidRDefault="00FC6170" w:rsidP="00FC6170">
            <w:pPr>
              <w:rPr>
                <w:rFonts w:ascii="CAIXA Std Book" w:hAnsi="CAIXA Std Book" w:cs="Calibri"/>
                <w:color w:val="005CA9"/>
                <w:sz w:val="13"/>
                <w:szCs w:val="13"/>
              </w:rPr>
            </w:pPr>
            <w:r w:rsidRPr="00E20D21">
              <w:rPr>
                <w:rFonts w:ascii="CAIXA Std Book" w:hAnsi="CAIXA Std Book" w:cs="Calibri"/>
                <w:b/>
                <w:color w:val="005CA9"/>
                <w:sz w:val="13"/>
                <w:szCs w:val="13"/>
              </w:rPr>
              <w:t>DESPESAS</w:t>
            </w:r>
          </w:p>
        </w:tc>
        <w:tc>
          <w:tcPr>
            <w:tcW w:w="428" w:type="pct"/>
            <w:tcBorders>
              <w:top w:val="nil"/>
              <w:left w:val="nil"/>
              <w:bottom w:val="single" w:sz="4" w:space="0" w:color="F39200"/>
              <w:right w:val="nil"/>
            </w:tcBorders>
            <w:shd w:val="clear" w:color="auto" w:fill="auto"/>
            <w:noWrap/>
            <w:vAlign w:val="center"/>
          </w:tcPr>
          <w:p w14:paraId="16C68F44" w14:textId="31483CDD" w:rsidR="00FC6170" w:rsidRPr="00E20D21" w:rsidRDefault="00FC6170" w:rsidP="00FC6170">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 xml:space="preserve">          </w:t>
            </w:r>
            <w:r w:rsidR="00974A9B" w:rsidRPr="00E20D21">
              <w:rPr>
                <w:rFonts w:ascii="CAIXA Std Book" w:hAnsi="CAIXA Std Book" w:cs="Calibri"/>
                <w:b/>
                <w:bCs/>
                <w:color w:val="005CA9"/>
                <w:sz w:val="13"/>
                <w:szCs w:val="13"/>
              </w:rPr>
              <w:t>(1.339.001</w:t>
            </w:r>
            <w:r w:rsidRPr="00E20D21">
              <w:rPr>
                <w:rFonts w:ascii="CAIXA Std Book" w:hAnsi="CAIXA Std Book" w:cs="Calibri"/>
                <w:b/>
                <w:bCs/>
                <w:color w:val="005CA9"/>
                <w:sz w:val="13"/>
                <w:szCs w:val="13"/>
              </w:rPr>
              <w:t>)</w:t>
            </w:r>
          </w:p>
        </w:tc>
        <w:tc>
          <w:tcPr>
            <w:tcW w:w="477" w:type="pct"/>
            <w:tcBorders>
              <w:top w:val="nil"/>
              <w:left w:val="nil"/>
              <w:bottom w:val="single" w:sz="4" w:space="0" w:color="F39200"/>
              <w:right w:val="nil"/>
            </w:tcBorders>
            <w:shd w:val="clear" w:color="auto" w:fill="auto"/>
            <w:noWrap/>
            <w:vAlign w:val="center"/>
          </w:tcPr>
          <w:p w14:paraId="5A72F094" w14:textId="3B53AC4C" w:rsidR="00FC6170" w:rsidRPr="00E20D21" w:rsidRDefault="00FC6170" w:rsidP="00FC6170">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 xml:space="preserve">             (</w:t>
            </w:r>
            <w:r w:rsidR="00974A9B" w:rsidRPr="00E20D21">
              <w:rPr>
                <w:rFonts w:ascii="CAIXA Std Book" w:hAnsi="CAIXA Std Book" w:cs="Calibri"/>
                <w:b/>
                <w:bCs/>
                <w:color w:val="005CA9"/>
                <w:sz w:val="13"/>
                <w:szCs w:val="13"/>
              </w:rPr>
              <w:t>237.015</w:t>
            </w:r>
            <w:r w:rsidRPr="00E20D21">
              <w:rPr>
                <w:rFonts w:ascii="CAIXA Std Book" w:hAnsi="CAIXA Std Book" w:cs="Calibri"/>
                <w:b/>
                <w:bCs/>
                <w:color w:val="005CA9"/>
                <w:sz w:val="13"/>
                <w:szCs w:val="13"/>
              </w:rPr>
              <w:t>)</w:t>
            </w:r>
          </w:p>
        </w:tc>
        <w:tc>
          <w:tcPr>
            <w:tcW w:w="477" w:type="pct"/>
            <w:tcBorders>
              <w:top w:val="nil"/>
              <w:left w:val="nil"/>
              <w:bottom w:val="single" w:sz="4" w:space="0" w:color="F39200"/>
              <w:right w:val="nil"/>
            </w:tcBorders>
            <w:shd w:val="clear" w:color="auto" w:fill="auto"/>
            <w:noWrap/>
            <w:vAlign w:val="center"/>
          </w:tcPr>
          <w:p w14:paraId="0684458C" w14:textId="1405BA6D" w:rsidR="00FC6170" w:rsidRPr="00E20D21" w:rsidRDefault="00FC6170" w:rsidP="00FC6170">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 xml:space="preserve">             (</w:t>
            </w:r>
            <w:r w:rsidR="00974A9B" w:rsidRPr="00E20D21">
              <w:rPr>
                <w:rFonts w:ascii="CAIXA Std Book" w:hAnsi="CAIXA Std Book" w:cs="Calibri"/>
                <w:b/>
                <w:bCs/>
                <w:color w:val="005CA9"/>
                <w:sz w:val="13"/>
                <w:szCs w:val="13"/>
              </w:rPr>
              <w:t>324.079</w:t>
            </w:r>
            <w:r w:rsidRPr="00E20D21">
              <w:rPr>
                <w:rFonts w:ascii="CAIXA Std Book" w:hAnsi="CAIXA Std Book" w:cs="Calibri"/>
                <w:b/>
                <w:bCs/>
                <w:color w:val="005CA9"/>
                <w:sz w:val="13"/>
                <w:szCs w:val="13"/>
              </w:rPr>
              <w:t>)</w:t>
            </w:r>
          </w:p>
        </w:tc>
        <w:tc>
          <w:tcPr>
            <w:tcW w:w="477" w:type="pct"/>
            <w:tcBorders>
              <w:top w:val="nil"/>
              <w:left w:val="nil"/>
              <w:bottom w:val="single" w:sz="4" w:space="0" w:color="F39200"/>
            </w:tcBorders>
            <w:shd w:val="clear" w:color="auto" w:fill="auto"/>
            <w:noWrap/>
            <w:vAlign w:val="center"/>
          </w:tcPr>
          <w:p w14:paraId="1B6CAEEE" w14:textId="45AA2A54" w:rsidR="00FC6170" w:rsidRPr="00E20D21" w:rsidRDefault="00FC6170" w:rsidP="00FC6170">
            <w:pPr>
              <w:jc w:val="right"/>
              <w:rPr>
                <w:rFonts w:ascii="CAIXA Std Book" w:hAnsi="CAIXA Std Book" w:cs="Calibri"/>
                <w:b/>
                <w:color w:val="005CA9"/>
                <w:sz w:val="13"/>
                <w:szCs w:val="13"/>
              </w:rPr>
            </w:pPr>
            <w:r w:rsidRPr="00E20D21">
              <w:rPr>
                <w:rFonts w:ascii="CAIXA Std Book" w:hAnsi="CAIXA Std Book" w:cs="Calibri"/>
                <w:b/>
                <w:bCs/>
                <w:color w:val="005CA9"/>
                <w:sz w:val="13"/>
                <w:szCs w:val="13"/>
              </w:rPr>
              <w:t xml:space="preserve">        </w:t>
            </w:r>
            <w:r w:rsidR="00974A9B" w:rsidRPr="00E20D21">
              <w:rPr>
                <w:rFonts w:ascii="CAIXA Std Book" w:hAnsi="CAIXA Std Book" w:cs="Calibri"/>
                <w:b/>
                <w:bCs/>
                <w:color w:val="005CA9"/>
                <w:sz w:val="13"/>
                <w:szCs w:val="13"/>
              </w:rPr>
              <w:t>(18.05</w:t>
            </w:r>
            <w:r w:rsidR="00967B5E" w:rsidRPr="00E20D21">
              <w:rPr>
                <w:rFonts w:ascii="CAIXA Std Book" w:hAnsi="CAIXA Std Book" w:cs="Calibri"/>
                <w:b/>
                <w:bCs/>
                <w:color w:val="005CA9"/>
                <w:sz w:val="13"/>
                <w:szCs w:val="13"/>
              </w:rPr>
              <w:t>6.250</w:t>
            </w:r>
            <w:r w:rsidRPr="00E20D21">
              <w:rPr>
                <w:rFonts w:ascii="CAIXA Std Book" w:hAnsi="CAIXA Std Book" w:cs="Calibri"/>
                <w:b/>
                <w:bCs/>
                <w:color w:val="005CA9"/>
                <w:sz w:val="13"/>
                <w:szCs w:val="13"/>
              </w:rPr>
              <w:t>)</w:t>
            </w:r>
          </w:p>
        </w:tc>
        <w:tc>
          <w:tcPr>
            <w:tcW w:w="477" w:type="pct"/>
            <w:tcBorders>
              <w:top w:val="nil"/>
              <w:left w:val="nil"/>
              <w:bottom w:val="single" w:sz="4" w:space="0" w:color="F39200"/>
              <w:right w:val="nil"/>
            </w:tcBorders>
            <w:shd w:val="clear" w:color="auto" w:fill="auto"/>
            <w:noWrap/>
            <w:vAlign w:val="center"/>
          </w:tcPr>
          <w:p w14:paraId="337F943D" w14:textId="2134D251" w:rsidR="00FC6170" w:rsidRPr="00E20D21" w:rsidRDefault="00FC6170" w:rsidP="00FC6170">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(1.286.965)</w:t>
            </w:r>
          </w:p>
        </w:tc>
        <w:tc>
          <w:tcPr>
            <w:tcW w:w="477" w:type="pct"/>
            <w:tcBorders>
              <w:top w:val="nil"/>
              <w:left w:val="nil"/>
              <w:bottom w:val="single" w:sz="4" w:space="0" w:color="F39200"/>
              <w:right w:val="nil"/>
            </w:tcBorders>
            <w:shd w:val="clear" w:color="auto" w:fill="auto"/>
            <w:noWrap/>
            <w:vAlign w:val="center"/>
          </w:tcPr>
          <w:p w14:paraId="4066AF58" w14:textId="625F50E2" w:rsidR="00FC6170" w:rsidRPr="00E20D21" w:rsidRDefault="00FC6170" w:rsidP="00FC6170">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(415.533)</w:t>
            </w:r>
          </w:p>
        </w:tc>
        <w:tc>
          <w:tcPr>
            <w:tcW w:w="477" w:type="pct"/>
            <w:tcBorders>
              <w:top w:val="nil"/>
              <w:left w:val="nil"/>
              <w:bottom w:val="single" w:sz="4" w:space="0" w:color="F39200"/>
              <w:right w:val="nil"/>
            </w:tcBorders>
            <w:shd w:val="clear" w:color="auto" w:fill="auto"/>
            <w:noWrap/>
            <w:vAlign w:val="center"/>
          </w:tcPr>
          <w:p w14:paraId="3E618BE0" w14:textId="35954D17" w:rsidR="00FC6170" w:rsidRPr="00E20D21" w:rsidRDefault="00FC6170" w:rsidP="00FC6170">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(12.855)</w:t>
            </w:r>
          </w:p>
        </w:tc>
        <w:tc>
          <w:tcPr>
            <w:tcW w:w="435" w:type="pct"/>
            <w:tcBorders>
              <w:top w:val="nil"/>
              <w:left w:val="nil"/>
              <w:bottom w:val="single" w:sz="4" w:space="0" w:color="F39200"/>
              <w:right w:val="nil"/>
            </w:tcBorders>
            <w:shd w:val="clear" w:color="auto" w:fill="auto"/>
            <w:noWrap/>
            <w:vAlign w:val="center"/>
          </w:tcPr>
          <w:p w14:paraId="3F3FE019" w14:textId="166C4E1A" w:rsidR="00FC6170" w:rsidRPr="00E20D21" w:rsidRDefault="00FC6170" w:rsidP="00FC6170">
            <w:pPr>
              <w:jc w:val="right"/>
              <w:rPr>
                <w:rFonts w:ascii="CAIXA Std Book" w:hAnsi="CAIXA Std Book" w:cs="Calibri"/>
                <w:b/>
                <w:bCs/>
                <w:color w:val="005CA9"/>
                <w:sz w:val="13"/>
                <w:szCs w:val="13"/>
              </w:rPr>
            </w:pPr>
            <w:r w:rsidRPr="00E20D21">
              <w:rPr>
                <w:rFonts w:ascii="CAIXA Std Book" w:hAnsi="CAIXA Std Book" w:cs="Calibri"/>
                <w:b/>
                <w:bCs/>
                <w:color w:val="005CA9"/>
                <w:sz w:val="13"/>
                <w:szCs w:val="13"/>
              </w:rPr>
              <w:t>(18.620.397)</w:t>
            </w:r>
          </w:p>
        </w:tc>
      </w:tr>
      <w:tr w:rsidR="00FC6170" w:rsidRPr="00E20D21" w14:paraId="2EDCB078" w14:textId="77777777" w:rsidTr="00AC718B">
        <w:trPr>
          <w:trHeight w:val="283"/>
        </w:trPr>
        <w:tc>
          <w:tcPr>
            <w:tcW w:w="1275" w:type="pct"/>
            <w:tcBorders>
              <w:top w:val="single" w:sz="4" w:space="0" w:color="F79646" w:themeColor="accent6"/>
              <w:left w:val="nil"/>
            </w:tcBorders>
            <w:shd w:val="clear" w:color="auto" w:fill="auto"/>
            <w:vAlign w:val="center"/>
          </w:tcPr>
          <w:p w14:paraId="59D535D1" w14:textId="77777777" w:rsidR="00FC6170" w:rsidRPr="00E20D21" w:rsidRDefault="00FC6170" w:rsidP="00FC6170">
            <w:pPr>
              <w:rPr>
                <w:rFonts w:ascii="CAIXA Std Book" w:hAnsi="CAIXA Std Book" w:cs="Calibri"/>
                <w:color w:val="005CA9"/>
                <w:sz w:val="13"/>
                <w:szCs w:val="13"/>
              </w:rPr>
            </w:pPr>
            <w:r w:rsidRPr="00E20D21">
              <w:rPr>
                <w:rFonts w:ascii="CAIXA Std Book" w:hAnsi="CAIXA Std Book" w:cs="Calibri"/>
                <w:color w:val="005CA9"/>
                <w:sz w:val="13"/>
                <w:szCs w:val="13"/>
              </w:rPr>
              <w:t>Despesas de emissões de títulos e valores mobiliários (6)</w:t>
            </w:r>
          </w:p>
        </w:tc>
        <w:tc>
          <w:tcPr>
            <w:tcW w:w="428" w:type="pct"/>
            <w:tcBorders>
              <w:top w:val="nil"/>
              <w:left w:val="nil"/>
              <w:bottom w:val="nil"/>
              <w:right w:val="nil"/>
            </w:tcBorders>
            <w:shd w:val="clear" w:color="auto" w:fill="auto"/>
            <w:noWrap/>
            <w:vAlign w:val="center"/>
          </w:tcPr>
          <w:p w14:paraId="637E7B4D" w14:textId="0120B665" w:rsidR="00FC6170" w:rsidRPr="00E20D21" w:rsidRDefault="00B501D4"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(967.465)</w:t>
            </w:r>
          </w:p>
        </w:tc>
        <w:tc>
          <w:tcPr>
            <w:tcW w:w="477" w:type="pct"/>
            <w:tcBorders>
              <w:top w:val="nil"/>
              <w:left w:val="nil"/>
              <w:bottom w:val="nil"/>
              <w:right w:val="nil"/>
            </w:tcBorders>
            <w:shd w:val="clear" w:color="auto" w:fill="auto"/>
            <w:noWrap/>
            <w:vAlign w:val="center"/>
          </w:tcPr>
          <w:p w14:paraId="064D13CA" w14:textId="56068ABC" w:rsidR="00FC6170" w:rsidRPr="00E20D21" w:rsidRDefault="00604B71"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(9.439)</w:t>
            </w:r>
          </w:p>
        </w:tc>
        <w:tc>
          <w:tcPr>
            <w:tcW w:w="477" w:type="pct"/>
            <w:tcBorders>
              <w:top w:val="nil"/>
              <w:left w:val="nil"/>
              <w:bottom w:val="nil"/>
              <w:right w:val="nil"/>
            </w:tcBorders>
            <w:shd w:val="clear" w:color="auto" w:fill="auto"/>
            <w:noWrap/>
            <w:vAlign w:val="center"/>
          </w:tcPr>
          <w:p w14:paraId="55FCE58D" w14:textId="13C9638B" w:rsidR="00FC6170" w:rsidRPr="00E20D21" w:rsidRDefault="009F5A99"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tcBorders>
            <w:shd w:val="clear" w:color="auto" w:fill="auto"/>
            <w:noWrap/>
            <w:vAlign w:val="center"/>
          </w:tcPr>
          <w:p w14:paraId="61FF42C3" w14:textId="42CEA02F" w:rsidR="00FC6170" w:rsidRPr="00E20D21" w:rsidRDefault="009F5A99"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(480.935)</w:t>
            </w:r>
          </w:p>
        </w:tc>
        <w:tc>
          <w:tcPr>
            <w:tcW w:w="477" w:type="pct"/>
            <w:tcBorders>
              <w:top w:val="nil"/>
              <w:left w:val="nil"/>
              <w:bottom w:val="nil"/>
              <w:right w:val="nil"/>
            </w:tcBorders>
            <w:shd w:val="clear" w:color="auto" w:fill="auto"/>
            <w:noWrap/>
            <w:vAlign w:val="center"/>
          </w:tcPr>
          <w:p w14:paraId="18B12C4D" w14:textId="57F7AE5A" w:rsidR="00FC6170" w:rsidRPr="00E20D21" w:rsidRDefault="00107726"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(765</w:t>
            </w:r>
            <w:r w:rsidR="008C6B77" w:rsidRPr="00E20D21">
              <w:rPr>
                <w:rFonts w:ascii="CAIXA Std Book" w:hAnsi="CAIXA Std Book" w:cs="Calibri"/>
                <w:color w:val="005CA9"/>
                <w:sz w:val="13"/>
                <w:szCs w:val="13"/>
              </w:rPr>
              <w:t>.089</w:t>
            </w: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5FFD4A4E" w14:textId="6EB84309" w:rsidR="00FC6170" w:rsidRPr="00E20D21" w:rsidRDefault="00FC6170"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(8.689)</w:t>
            </w:r>
          </w:p>
        </w:tc>
        <w:tc>
          <w:tcPr>
            <w:tcW w:w="477" w:type="pct"/>
            <w:tcBorders>
              <w:top w:val="nil"/>
              <w:left w:val="nil"/>
              <w:bottom w:val="nil"/>
              <w:right w:val="nil"/>
            </w:tcBorders>
            <w:shd w:val="clear" w:color="auto" w:fill="auto"/>
            <w:noWrap/>
            <w:vAlign w:val="center"/>
          </w:tcPr>
          <w:p w14:paraId="1318855B" w14:textId="0638DD80" w:rsidR="00FC6170" w:rsidRPr="00E20D21" w:rsidRDefault="00FC6170"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5" w:type="pct"/>
            <w:tcBorders>
              <w:top w:val="nil"/>
              <w:left w:val="nil"/>
              <w:bottom w:val="nil"/>
              <w:right w:val="nil"/>
            </w:tcBorders>
            <w:shd w:val="clear" w:color="auto" w:fill="auto"/>
            <w:noWrap/>
            <w:vAlign w:val="center"/>
          </w:tcPr>
          <w:p w14:paraId="2EC0A091" w14:textId="720FA996" w:rsidR="00FC6170" w:rsidRPr="00E20D21" w:rsidRDefault="00FC6170"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(246.635)</w:t>
            </w:r>
          </w:p>
        </w:tc>
      </w:tr>
      <w:tr w:rsidR="00FC6170" w:rsidRPr="00E20D21" w14:paraId="2914F4EC" w14:textId="77777777" w:rsidTr="00AC718B">
        <w:trPr>
          <w:trHeight w:val="283"/>
        </w:trPr>
        <w:tc>
          <w:tcPr>
            <w:tcW w:w="1275" w:type="pct"/>
            <w:tcBorders>
              <w:top w:val="nil"/>
              <w:left w:val="nil"/>
            </w:tcBorders>
            <w:shd w:val="clear" w:color="auto" w:fill="auto"/>
            <w:vAlign w:val="center"/>
          </w:tcPr>
          <w:p w14:paraId="636AC49B" w14:textId="77777777" w:rsidR="00FC6170" w:rsidRPr="00E20D21" w:rsidRDefault="00FC6170" w:rsidP="00FC6170">
            <w:pPr>
              <w:rPr>
                <w:rFonts w:ascii="CAIXA Std Book" w:hAnsi="CAIXA Std Book" w:cs="Calibri"/>
                <w:color w:val="005CA9"/>
                <w:sz w:val="13"/>
                <w:szCs w:val="13"/>
              </w:rPr>
            </w:pPr>
            <w:r w:rsidRPr="00E20D21">
              <w:rPr>
                <w:rFonts w:ascii="CAIXA Std Book" w:hAnsi="CAIXA Std Book" w:cs="Calibri"/>
                <w:color w:val="005CA9"/>
                <w:sz w:val="13"/>
                <w:szCs w:val="13"/>
              </w:rPr>
              <w:t>Pessoal (7)</w:t>
            </w:r>
          </w:p>
        </w:tc>
        <w:tc>
          <w:tcPr>
            <w:tcW w:w="428" w:type="pct"/>
            <w:tcBorders>
              <w:top w:val="nil"/>
              <w:left w:val="nil"/>
              <w:bottom w:val="nil"/>
              <w:right w:val="nil"/>
            </w:tcBorders>
            <w:shd w:val="clear" w:color="auto" w:fill="auto"/>
            <w:noWrap/>
            <w:vAlign w:val="center"/>
          </w:tcPr>
          <w:p w14:paraId="1205666C" w14:textId="5B9E91D6" w:rsidR="00FC6170" w:rsidRPr="00E20D21" w:rsidRDefault="00975BF4"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7436F73A" w14:textId="6D4DB713" w:rsidR="00FC6170" w:rsidRPr="00E20D21" w:rsidRDefault="00975BF4"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7BB75C89" w14:textId="5975492A" w:rsidR="00FC6170" w:rsidRPr="00E20D21" w:rsidRDefault="00975BF4"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tcBorders>
            <w:shd w:val="clear" w:color="auto" w:fill="auto"/>
            <w:noWrap/>
            <w:vAlign w:val="center"/>
          </w:tcPr>
          <w:p w14:paraId="4465E656" w14:textId="1C2F0310" w:rsidR="00FC6170" w:rsidRPr="00E20D21" w:rsidRDefault="00975BF4"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(66</w:t>
            </w:r>
            <w:r w:rsidR="00967B5E" w:rsidRPr="00E20D21">
              <w:rPr>
                <w:rFonts w:ascii="CAIXA Std Book" w:hAnsi="CAIXA Std Book" w:cs="Calibri"/>
                <w:color w:val="005CA9"/>
                <w:sz w:val="13"/>
                <w:szCs w:val="13"/>
              </w:rPr>
              <w:t>8.611</w:t>
            </w: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144240BE" w14:textId="6BD393E6" w:rsidR="00FC6170" w:rsidRPr="00E20D21" w:rsidRDefault="00FC6170"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4CBA8826" w14:textId="10A92AF3" w:rsidR="00FC6170" w:rsidRPr="00E20D21" w:rsidRDefault="00FC6170"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2B05EC74" w14:textId="147F6829" w:rsidR="00FC6170" w:rsidRPr="00E20D21" w:rsidRDefault="00FC6170"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5" w:type="pct"/>
            <w:tcBorders>
              <w:top w:val="nil"/>
              <w:left w:val="nil"/>
              <w:bottom w:val="nil"/>
              <w:right w:val="nil"/>
            </w:tcBorders>
            <w:shd w:val="clear" w:color="auto" w:fill="auto"/>
            <w:noWrap/>
            <w:vAlign w:val="center"/>
          </w:tcPr>
          <w:p w14:paraId="1D4CDF08" w14:textId="7D7806CF" w:rsidR="00FC6170" w:rsidRPr="00E20D21" w:rsidRDefault="00FC6170"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(620.803)</w:t>
            </w:r>
          </w:p>
        </w:tc>
      </w:tr>
      <w:tr w:rsidR="00FC6170" w:rsidRPr="00E20D21" w14:paraId="44D294FA" w14:textId="77777777" w:rsidTr="00AC718B">
        <w:trPr>
          <w:trHeight w:val="283"/>
        </w:trPr>
        <w:tc>
          <w:tcPr>
            <w:tcW w:w="1275" w:type="pct"/>
            <w:tcBorders>
              <w:top w:val="nil"/>
              <w:left w:val="nil"/>
            </w:tcBorders>
            <w:shd w:val="clear" w:color="auto" w:fill="auto"/>
            <w:vAlign w:val="center"/>
          </w:tcPr>
          <w:p w14:paraId="2404D25C" w14:textId="77777777" w:rsidR="00FC6170" w:rsidRPr="00E20D21" w:rsidRDefault="00FC6170" w:rsidP="00FC6170">
            <w:pPr>
              <w:rPr>
                <w:rFonts w:ascii="CAIXA Std Book" w:hAnsi="CAIXA Std Book" w:cs="Calibri"/>
                <w:color w:val="005CA9"/>
                <w:sz w:val="13"/>
                <w:szCs w:val="13"/>
              </w:rPr>
            </w:pPr>
            <w:r w:rsidRPr="00E20D21">
              <w:rPr>
                <w:rFonts w:ascii="CAIXA Std Book" w:hAnsi="CAIXA Std Book" w:cs="Calibri"/>
                <w:color w:val="005CA9"/>
                <w:sz w:val="13"/>
                <w:szCs w:val="13"/>
              </w:rPr>
              <w:t>Administrativas (8)</w:t>
            </w:r>
          </w:p>
        </w:tc>
        <w:tc>
          <w:tcPr>
            <w:tcW w:w="428" w:type="pct"/>
            <w:tcBorders>
              <w:top w:val="nil"/>
              <w:left w:val="nil"/>
              <w:bottom w:val="nil"/>
              <w:right w:val="nil"/>
            </w:tcBorders>
            <w:shd w:val="clear" w:color="auto" w:fill="auto"/>
            <w:noWrap/>
            <w:vAlign w:val="center"/>
          </w:tcPr>
          <w:p w14:paraId="6806D7FB" w14:textId="516611DF" w:rsidR="00FC6170" w:rsidRPr="00E20D21" w:rsidRDefault="0059140C"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699899BD" w14:textId="53C88555" w:rsidR="00FC6170" w:rsidRPr="00E20D21" w:rsidRDefault="0059140C"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1E4ED489" w14:textId="4EAFE83E" w:rsidR="00FC6170" w:rsidRPr="00E20D21" w:rsidRDefault="0059140C"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tcBorders>
            <w:shd w:val="clear" w:color="auto" w:fill="auto"/>
            <w:noWrap/>
            <w:vAlign w:val="center"/>
          </w:tcPr>
          <w:p w14:paraId="513C3C53" w14:textId="31BCCF8F" w:rsidR="00FC6170" w:rsidRPr="00E20D21" w:rsidRDefault="0059140C"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(18.921)</w:t>
            </w:r>
          </w:p>
        </w:tc>
        <w:tc>
          <w:tcPr>
            <w:tcW w:w="477" w:type="pct"/>
            <w:tcBorders>
              <w:top w:val="nil"/>
              <w:left w:val="nil"/>
              <w:bottom w:val="nil"/>
              <w:right w:val="nil"/>
            </w:tcBorders>
            <w:shd w:val="clear" w:color="auto" w:fill="auto"/>
            <w:noWrap/>
            <w:vAlign w:val="center"/>
          </w:tcPr>
          <w:p w14:paraId="0EE30A9B" w14:textId="1BBF50F6" w:rsidR="00FC6170" w:rsidRPr="00E20D21" w:rsidRDefault="00FC6170"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371A969B" w14:textId="118EDC38" w:rsidR="00FC6170" w:rsidRPr="00E20D21" w:rsidRDefault="00FC6170"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77" w:type="pct"/>
            <w:tcBorders>
              <w:top w:val="nil"/>
              <w:left w:val="nil"/>
              <w:bottom w:val="nil"/>
              <w:right w:val="nil"/>
            </w:tcBorders>
            <w:shd w:val="clear" w:color="auto" w:fill="auto"/>
            <w:noWrap/>
            <w:vAlign w:val="center"/>
          </w:tcPr>
          <w:p w14:paraId="121077ED" w14:textId="7A5EBF4E" w:rsidR="00FC6170" w:rsidRPr="00E20D21" w:rsidRDefault="00FC6170" w:rsidP="00FC6170">
            <w:pPr>
              <w:jc w:val="center"/>
              <w:rPr>
                <w:rFonts w:ascii="CAIXA Std Book" w:hAnsi="CAIXA Std Book" w:cs="Calibri"/>
                <w:color w:val="005CA9"/>
                <w:sz w:val="13"/>
                <w:szCs w:val="13"/>
              </w:rPr>
            </w:pPr>
            <w:r w:rsidRPr="00E20D21">
              <w:rPr>
                <w:rFonts w:ascii="CAIXA Std Book" w:hAnsi="CAIXA Std Book" w:cs="Calibri"/>
                <w:color w:val="005CA9"/>
                <w:sz w:val="13"/>
                <w:szCs w:val="13"/>
              </w:rPr>
              <w:t>-</w:t>
            </w:r>
          </w:p>
        </w:tc>
        <w:tc>
          <w:tcPr>
            <w:tcW w:w="435" w:type="pct"/>
            <w:tcBorders>
              <w:top w:val="nil"/>
              <w:left w:val="nil"/>
              <w:bottom w:val="nil"/>
              <w:right w:val="nil"/>
            </w:tcBorders>
            <w:shd w:val="clear" w:color="auto" w:fill="auto"/>
            <w:noWrap/>
            <w:vAlign w:val="center"/>
          </w:tcPr>
          <w:p w14:paraId="1CD57ABE" w14:textId="249F226B" w:rsidR="00FC6170" w:rsidRPr="00E20D21" w:rsidRDefault="00FC6170"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(19.452)</w:t>
            </w:r>
          </w:p>
        </w:tc>
      </w:tr>
      <w:tr w:rsidR="00FC6170" w:rsidRPr="00E20D21" w14:paraId="74854B61" w14:textId="77777777" w:rsidTr="00AC718B">
        <w:trPr>
          <w:trHeight w:val="283"/>
        </w:trPr>
        <w:tc>
          <w:tcPr>
            <w:tcW w:w="1275" w:type="pct"/>
            <w:tcBorders>
              <w:top w:val="nil"/>
              <w:left w:val="nil"/>
              <w:bottom w:val="single" w:sz="4" w:space="0" w:color="F79646" w:themeColor="accent6"/>
            </w:tcBorders>
            <w:shd w:val="clear" w:color="auto" w:fill="auto"/>
            <w:vAlign w:val="center"/>
          </w:tcPr>
          <w:p w14:paraId="5DAA1F5F" w14:textId="77777777" w:rsidR="00FC6170" w:rsidRPr="00E20D21" w:rsidRDefault="00FC6170" w:rsidP="00FC6170">
            <w:pPr>
              <w:rPr>
                <w:rFonts w:ascii="CAIXA Std Book" w:hAnsi="CAIXA Std Book" w:cs="Calibri"/>
                <w:color w:val="005CA9"/>
                <w:sz w:val="13"/>
                <w:szCs w:val="13"/>
              </w:rPr>
            </w:pPr>
            <w:r w:rsidRPr="00E20D21">
              <w:rPr>
                <w:rFonts w:ascii="CAIXA Std Book" w:hAnsi="CAIXA Std Book" w:cs="Calibri"/>
                <w:color w:val="005CA9"/>
                <w:sz w:val="13"/>
                <w:szCs w:val="13"/>
              </w:rPr>
              <w:t>Outras despesas operacionais (9)</w:t>
            </w:r>
          </w:p>
        </w:tc>
        <w:tc>
          <w:tcPr>
            <w:tcW w:w="428" w:type="pct"/>
            <w:tcBorders>
              <w:top w:val="nil"/>
              <w:left w:val="nil"/>
              <w:bottom w:val="single" w:sz="4" w:space="0" w:color="F39200"/>
              <w:right w:val="nil"/>
            </w:tcBorders>
            <w:shd w:val="clear" w:color="auto" w:fill="auto"/>
            <w:noWrap/>
            <w:vAlign w:val="center"/>
          </w:tcPr>
          <w:p w14:paraId="62827692" w14:textId="5ACC8733" w:rsidR="00FC6170" w:rsidRPr="00E20D21" w:rsidRDefault="009F5A99"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(371.536)</w:t>
            </w:r>
          </w:p>
        </w:tc>
        <w:tc>
          <w:tcPr>
            <w:tcW w:w="477" w:type="pct"/>
            <w:tcBorders>
              <w:top w:val="nil"/>
              <w:left w:val="nil"/>
              <w:bottom w:val="single" w:sz="4" w:space="0" w:color="F39200"/>
              <w:right w:val="nil"/>
            </w:tcBorders>
            <w:shd w:val="clear" w:color="auto" w:fill="auto"/>
            <w:noWrap/>
            <w:vAlign w:val="center"/>
          </w:tcPr>
          <w:p w14:paraId="420BB0EE" w14:textId="01C4CB2F" w:rsidR="00FC6170" w:rsidRPr="00E20D21" w:rsidRDefault="009F5A99"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(227.576)</w:t>
            </w:r>
          </w:p>
        </w:tc>
        <w:tc>
          <w:tcPr>
            <w:tcW w:w="477" w:type="pct"/>
            <w:tcBorders>
              <w:top w:val="nil"/>
              <w:left w:val="nil"/>
              <w:bottom w:val="single" w:sz="4" w:space="0" w:color="F39200"/>
              <w:right w:val="nil"/>
            </w:tcBorders>
            <w:shd w:val="clear" w:color="auto" w:fill="auto"/>
            <w:noWrap/>
            <w:vAlign w:val="center"/>
          </w:tcPr>
          <w:p w14:paraId="558F77E5" w14:textId="3F2E0BA4" w:rsidR="00FC6170" w:rsidRPr="00E20D21" w:rsidRDefault="009F5A99"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(324.079)</w:t>
            </w:r>
          </w:p>
        </w:tc>
        <w:tc>
          <w:tcPr>
            <w:tcW w:w="477" w:type="pct"/>
            <w:tcBorders>
              <w:top w:val="nil"/>
              <w:left w:val="nil"/>
              <w:bottom w:val="single" w:sz="4" w:space="0" w:color="F39200"/>
            </w:tcBorders>
            <w:shd w:val="clear" w:color="auto" w:fill="auto"/>
            <w:noWrap/>
            <w:vAlign w:val="center"/>
          </w:tcPr>
          <w:p w14:paraId="7BF7796F" w14:textId="26E1D356" w:rsidR="00FC6170" w:rsidRPr="00E20D21" w:rsidRDefault="009F5A99"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(16.887.783)</w:t>
            </w:r>
          </w:p>
        </w:tc>
        <w:tc>
          <w:tcPr>
            <w:tcW w:w="477" w:type="pct"/>
            <w:tcBorders>
              <w:top w:val="nil"/>
              <w:left w:val="nil"/>
              <w:bottom w:val="single" w:sz="4" w:space="0" w:color="F39200"/>
              <w:right w:val="nil"/>
            </w:tcBorders>
            <w:shd w:val="clear" w:color="auto" w:fill="auto"/>
            <w:noWrap/>
            <w:vAlign w:val="center"/>
          </w:tcPr>
          <w:p w14:paraId="5FFA9115" w14:textId="577A9818" w:rsidR="00FC6170" w:rsidRPr="00E20D21" w:rsidRDefault="00FC6170"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(521.876)</w:t>
            </w:r>
          </w:p>
        </w:tc>
        <w:tc>
          <w:tcPr>
            <w:tcW w:w="477" w:type="pct"/>
            <w:tcBorders>
              <w:top w:val="nil"/>
              <w:left w:val="nil"/>
              <w:bottom w:val="single" w:sz="4" w:space="0" w:color="F39200"/>
              <w:right w:val="nil"/>
            </w:tcBorders>
            <w:shd w:val="clear" w:color="auto" w:fill="auto"/>
            <w:noWrap/>
            <w:vAlign w:val="center"/>
          </w:tcPr>
          <w:p w14:paraId="2A9CB2EA" w14:textId="79A96B51" w:rsidR="00FC6170" w:rsidRPr="00E20D21" w:rsidRDefault="00FC6170"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(406.844)</w:t>
            </w:r>
          </w:p>
        </w:tc>
        <w:tc>
          <w:tcPr>
            <w:tcW w:w="477" w:type="pct"/>
            <w:tcBorders>
              <w:top w:val="nil"/>
              <w:left w:val="nil"/>
              <w:bottom w:val="single" w:sz="4" w:space="0" w:color="F39200"/>
              <w:right w:val="nil"/>
            </w:tcBorders>
            <w:shd w:val="clear" w:color="auto" w:fill="auto"/>
            <w:noWrap/>
            <w:vAlign w:val="center"/>
          </w:tcPr>
          <w:p w14:paraId="58887E24" w14:textId="1DBEC957" w:rsidR="00FC6170" w:rsidRPr="00E20D21" w:rsidRDefault="00FC6170"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(12.855)</w:t>
            </w:r>
          </w:p>
        </w:tc>
        <w:tc>
          <w:tcPr>
            <w:tcW w:w="435" w:type="pct"/>
            <w:tcBorders>
              <w:top w:val="nil"/>
              <w:left w:val="nil"/>
              <w:bottom w:val="single" w:sz="4" w:space="0" w:color="F39200"/>
              <w:right w:val="nil"/>
            </w:tcBorders>
            <w:shd w:val="clear" w:color="auto" w:fill="auto"/>
            <w:noWrap/>
            <w:vAlign w:val="center"/>
          </w:tcPr>
          <w:p w14:paraId="075C21B2" w14:textId="70FBF90F" w:rsidR="00FC6170" w:rsidRPr="00E20D21" w:rsidRDefault="00FC6170" w:rsidP="00FC6170">
            <w:pPr>
              <w:jc w:val="right"/>
              <w:rPr>
                <w:rFonts w:ascii="CAIXA Std Book" w:hAnsi="CAIXA Std Book" w:cs="Calibri"/>
                <w:color w:val="005CA9"/>
                <w:sz w:val="13"/>
                <w:szCs w:val="13"/>
              </w:rPr>
            </w:pPr>
            <w:r w:rsidRPr="00E20D21">
              <w:rPr>
                <w:rFonts w:ascii="CAIXA Std Book" w:hAnsi="CAIXA Std Book" w:cs="Calibri"/>
                <w:color w:val="005CA9"/>
                <w:sz w:val="13"/>
                <w:szCs w:val="13"/>
              </w:rPr>
              <w:t>(17.733.507)</w:t>
            </w:r>
          </w:p>
        </w:tc>
      </w:tr>
    </w:tbl>
    <w:p w14:paraId="3DF87D93" w14:textId="2AE3FAAE" w:rsidR="0054776D" w:rsidRPr="00E20D21" w:rsidRDefault="53A4C34B" w:rsidP="62135403">
      <w:pPr>
        <w:jc w:val="both"/>
        <w:rPr>
          <w:rFonts w:ascii="CAIXA Std Book" w:hAnsi="CAIXA Std Book"/>
          <w:color w:val="005CA9"/>
          <w:sz w:val="12"/>
          <w:szCs w:val="12"/>
        </w:rPr>
      </w:pPr>
      <w:r w:rsidRPr="00E20D21">
        <w:rPr>
          <w:rFonts w:ascii="CAIXA Std Book" w:hAnsi="CAIXA Std Book"/>
          <w:color w:val="005CA9"/>
          <w:sz w:val="12"/>
          <w:szCs w:val="12"/>
        </w:rPr>
        <w:t>(1) Em Controladora, corresponde à renda de prestação de serviços em programas sociais e operações de repasses do OGU.</w:t>
      </w:r>
    </w:p>
    <w:p w14:paraId="41266C98" w14:textId="55132288" w:rsidR="0054776D" w:rsidRPr="00E20D21" w:rsidRDefault="53A4C34B" w:rsidP="62135403">
      <w:pPr>
        <w:spacing w:line="259" w:lineRule="auto"/>
        <w:jc w:val="both"/>
        <w:rPr>
          <w:rFonts w:ascii="CAIXA Std Book" w:hAnsi="CAIXA Std Book"/>
          <w:color w:val="005CA9"/>
          <w:sz w:val="12"/>
          <w:szCs w:val="12"/>
        </w:rPr>
      </w:pPr>
      <w:r w:rsidRPr="00E20D21">
        <w:rPr>
          <w:rFonts w:ascii="CAIXA Std Book" w:hAnsi="CAIXA Std Book"/>
          <w:color w:val="005CA9"/>
          <w:sz w:val="12"/>
          <w:szCs w:val="12"/>
        </w:rPr>
        <w:t>(2) Em Controlada em conjunto, representa operações de cartões de débito e crédito contratadas com a Elo Serviços.</w:t>
      </w:r>
    </w:p>
    <w:p w14:paraId="188B26F4" w14:textId="074E242F" w:rsidR="0054776D" w:rsidRPr="00E20D21" w:rsidRDefault="201DD343" w:rsidP="62135403">
      <w:pPr>
        <w:spacing w:line="259" w:lineRule="auto"/>
        <w:jc w:val="both"/>
        <w:rPr>
          <w:rFonts w:ascii="CAIXA Std Book" w:hAnsi="CAIXA Std Book"/>
          <w:color w:val="005CA9"/>
          <w:sz w:val="12"/>
          <w:szCs w:val="12"/>
        </w:rPr>
      </w:pPr>
      <w:r w:rsidRPr="00E20D21">
        <w:rPr>
          <w:rFonts w:ascii="CAIXA Std Book" w:hAnsi="CAIXA Std Book"/>
          <w:color w:val="005CA9"/>
          <w:sz w:val="12"/>
          <w:szCs w:val="12"/>
        </w:rPr>
        <w:t>(3) Em Coligadas, trata-se de rendas provenientes da comercialização de produtos de coligadas do grupo Caixa Seguridade.</w:t>
      </w:r>
    </w:p>
    <w:p w14:paraId="0B6F1712" w14:textId="6106A14B" w:rsidR="0054776D" w:rsidRPr="00E20D21" w:rsidRDefault="53A4C34B" w:rsidP="62135403">
      <w:pPr>
        <w:spacing w:line="259" w:lineRule="auto"/>
        <w:jc w:val="both"/>
        <w:rPr>
          <w:rFonts w:ascii="CAIXA Std Book" w:hAnsi="CAIXA Std Book"/>
          <w:color w:val="005CA9"/>
          <w:sz w:val="12"/>
          <w:szCs w:val="12"/>
        </w:rPr>
      </w:pPr>
      <w:r w:rsidRPr="00E20D21">
        <w:rPr>
          <w:rFonts w:ascii="CAIXA Std Book" w:hAnsi="CAIXA Std Book"/>
          <w:color w:val="005CA9"/>
          <w:sz w:val="12"/>
          <w:szCs w:val="12"/>
        </w:rPr>
        <w:t>(4) Em Outras entidades, refere-se a rendas com prestação de serviços e tarifas sobre FGTS, FIES, fundos de investimento e outras entidades e programas governamentais, representados na Nota 24.</w:t>
      </w:r>
    </w:p>
    <w:p w14:paraId="65E3BE0C" w14:textId="12A05FD6" w:rsidR="0054776D" w:rsidRPr="00E20D21" w:rsidRDefault="53A4C34B" w:rsidP="62135403">
      <w:pPr>
        <w:spacing w:line="259" w:lineRule="auto"/>
        <w:jc w:val="both"/>
        <w:rPr>
          <w:rFonts w:ascii="CAIXA Std Book" w:hAnsi="CAIXA Std Book"/>
          <w:color w:val="005CA9"/>
          <w:sz w:val="12"/>
          <w:szCs w:val="12"/>
        </w:rPr>
      </w:pPr>
      <w:r w:rsidRPr="00E20D21">
        <w:rPr>
          <w:rFonts w:ascii="CAIXA Std Book" w:hAnsi="CAIXA Std Book"/>
          <w:color w:val="005CA9"/>
          <w:sz w:val="12"/>
          <w:szCs w:val="12"/>
        </w:rPr>
        <w:t>(5) Em Controlada em conjunto, o saldo é composto por transações com a Elo Serviços e em Coligada, com a TecBan.</w:t>
      </w:r>
    </w:p>
    <w:p w14:paraId="24285919" w14:textId="2C76A1DA" w:rsidR="0054776D" w:rsidRPr="00E20D21" w:rsidRDefault="53A4C34B" w:rsidP="62135403">
      <w:pPr>
        <w:spacing w:line="259" w:lineRule="auto"/>
        <w:jc w:val="both"/>
        <w:rPr>
          <w:rFonts w:ascii="CAIXA Std Book" w:hAnsi="CAIXA Std Book"/>
          <w:color w:val="005CA9"/>
          <w:sz w:val="12"/>
          <w:szCs w:val="12"/>
        </w:rPr>
      </w:pPr>
      <w:r w:rsidRPr="00E20D21">
        <w:rPr>
          <w:rFonts w:ascii="CAIXA Std Book" w:hAnsi="CAIXA Std Book"/>
          <w:color w:val="005CA9"/>
          <w:sz w:val="12"/>
          <w:szCs w:val="12"/>
        </w:rPr>
        <w:t xml:space="preserve">(6) Despesas com juros remuneratórios e atualização monetária </w:t>
      </w:r>
      <w:r w:rsidR="00664F93" w:rsidRPr="00E20D21">
        <w:rPr>
          <w:rFonts w:ascii="CAIXA Std Book" w:hAnsi="CAIXA Std Book"/>
          <w:color w:val="005CA9"/>
          <w:sz w:val="12"/>
          <w:szCs w:val="12"/>
        </w:rPr>
        <w:t>provenientes</w:t>
      </w:r>
      <w:r w:rsidRPr="00E20D21">
        <w:rPr>
          <w:rFonts w:ascii="CAIXA Std Book" w:hAnsi="CAIXA Std Book"/>
          <w:color w:val="005CA9"/>
          <w:sz w:val="12"/>
          <w:szCs w:val="12"/>
        </w:rPr>
        <w:t xml:space="preserve"> dos IHCD (Controladora). Operações com o FGTS, FAR, FDS, FGS (Outras entidades).</w:t>
      </w:r>
    </w:p>
    <w:p w14:paraId="4C4C9542" w14:textId="1A27C03C" w:rsidR="0054776D" w:rsidRPr="00E20D21" w:rsidRDefault="53A4C34B" w:rsidP="62135403">
      <w:pPr>
        <w:spacing w:line="259" w:lineRule="auto"/>
        <w:jc w:val="both"/>
        <w:rPr>
          <w:rFonts w:ascii="CAIXA Std Book" w:hAnsi="CAIXA Std Book"/>
          <w:color w:val="005CA9"/>
          <w:sz w:val="12"/>
          <w:szCs w:val="12"/>
        </w:rPr>
      </w:pPr>
      <w:r w:rsidRPr="00E20D21">
        <w:rPr>
          <w:rFonts w:ascii="CAIXA Std Book" w:hAnsi="CAIXA Std Book"/>
          <w:color w:val="005CA9"/>
          <w:sz w:val="12"/>
          <w:szCs w:val="12"/>
        </w:rPr>
        <w:t>(7) Despesas de previdência complementar com a Funcef, conforme Nota 25.</w:t>
      </w:r>
    </w:p>
    <w:p w14:paraId="30E649CF" w14:textId="20C1FF9C" w:rsidR="0054776D" w:rsidRPr="00E20D21" w:rsidRDefault="53A4C34B" w:rsidP="62135403">
      <w:pPr>
        <w:spacing w:line="259" w:lineRule="auto"/>
        <w:jc w:val="both"/>
        <w:rPr>
          <w:rFonts w:ascii="CAIXA Std Book" w:hAnsi="CAIXA Std Book"/>
          <w:color w:val="005CA9"/>
          <w:sz w:val="12"/>
          <w:szCs w:val="12"/>
        </w:rPr>
      </w:pPr>
      <w:r w:rsidRPr="00E20D21">
        <w:rPr>
          <w:rFonts w:ascii="CAIXA Std Book" w:hAnsi="CAIXA Std Book"/>
          <w:color w:val="005CA9"/>
          <w:sz w:val="12"/>
          <w:szCs w:val="12"/>
        </w:rPr>
        <w:t>(8) Refere-se a despesas de aluguel de imóveis devidas à Funcef.</w:t>
      </w:r>
    </w:p>
    <w:p w14:paraId="2A267AF7" w14:textId="07C40E6F" w:rsidR="0054776D" w:rsidRPr="00E20D21" w:rsidRDefault="53A4C34B" w:rsidP="62135403">
      <w:pPr>
        <w:spacing w:line="259" w:lineRule="auto"/>
        <w:jc w:val="both"/>
        <w:rPr>
          <w:rFonts w:ascii="CAIXA Std Book" w:hAnsi="CAIXA Std Book"/>
          <w:color w:val="005CA9"/>
          <w:sz w:val="12"/>
          <w:szCs w:val="12"/>
        </w:rPr>
      </w:pPr>
      <w:r w:rsidRPr="00E20D21">
        <w:rPr>
          <w:rFonts w:ascii="CAIXA Std Book" w:hAnsi="CAIXA Std Book"/>
          <w:color w:val="005CA9"/>
          <w:sz w:val="12"/>
          <w:szCs w:val="12"/>
        </w:rPr>
        <w:t>(9) Em Outras entidades, destacam-se as</w:t>
      </w:r>
      <w:r w:rsidR="003915BB" w:rsidRPr="00E20D21">
        <w:rPr>
          <w:rFonts w:ascii="CAIXA Std Book" w:hAnsi="CAIXA Std Book"/>
          <w:color w:val="005CA9"/>
          <w:sz w:val="12"/>
          <w:szCs w:val="12"/>
        </w:rPr>
        <w:t xml:space="preserve"> despesas com operações de repasses </w:t>
      </w:r>
      <w:r w:rsidRPr="00E20D21">
        <w:rPr>
          <w:rFonts w:ascii="CAIXA Std Book" w:hAnsi="CAIXA Std Book"/>
          <w:color w:val="005CA9"/>
          <w:sz w:val="12"/>
          <w:szCs w:val="12"/>
        </w:rPr>
        <w:t>do</w:t>
      </w:r>
      <w:r w:rsidR="003915BB" w:rsidRPr="00E20D21">
        <w:rPr>
          <w:rFonts w:ascii="CAIXA Std Book" w:hAnsi="CAIXA Std Book"/>
          <w:color w:val="005CA9"/>
          <w:sz w:val="12"/>
          <w:szCs w:val="12"/>
        </w:rPr>
        <w:t xml:space="preserve"> FGTS, BNDES e outros, conforme Nota 16(b).</w:t>
      </w:r>
    </w:p>
    <w:p w14:paraId="1664DFB3" w14:textId="7DD73189" w:rsidR="0054776D" w:rsidRPr="00E20D21" w:rsidRDefault="0054776D" w:rsidP="62135403">
      <w:pPr>
        <w:jc w:val="both"/>
        <w:rPr>
          <w:rFonts w:ascii="CAIXA Std Book" w:hAnsi="CAIXA Std Book"/>
          <w:color w:val="005CA9"/>
          <w:sz w:val="12"/>
          <w:szCs w:val="12"/>
        </w:rPr>
      </w:pPr>
    </w:p>
    <w:p w14:paraId="70511FB6" w14:textId="18678531" w:rsidR="0054776D" w:rsidRPr="00E20D21" w:rsidRDefault="0054776D" w:rsidP="003915BB">
      <w:pPr>
        <w:jc w:val="both"/>
        <w:rPr>
          <w:rFonts w:ascii="CAIXA Std Book" w:hAnsi="CAIXA Std Book"/>
          <w:color w:val="005CA9"/>
          <w:sz w:val="12"/>
          <w:szCs w:val="12"/>
          <w:highlight w:val="yellow"/>
        </w:rPr>
        <w:sectPr w:rsidR="0054776D" w:rsidRPr="00E20D21" w:rsidSect="001F0E96">
          <w:headerReference w:type="default" r:id="rId81"/>
          <w:footerReference w:type="default" r:id="rId82"/>
          <w:pgSz w:w="16838" w:h="11906" w:orient="landscape"/>
          <w:pgMar w:top="1418" w:right="851" w:bottom="851" w:left="1418" w:header="1134" w:footer="709" w:gutter="0"/>
          <w:cols w:space="708"/>
          <w:docGrid w:linePitch="360"/>
        </w:sectPr>
      </w:pPr>
    </w:p>
    <w:p w14:paraId="14729B9B" w14:textId="350F763A" w:rsidR="0054776D" w:rsidRPr="00E20D21" w:rsidRDefault="0054776D" w:rsidP="00697492">
      <w:pPr>
        <w:pStyle w:val="PargrafodaLista"/>
        <w:numPr>
          <w:ilvl w:val="0"/>
          <w:numId w:val="17"/>
        </w:numPr>
        <w:spacing w:before="480" w:after="240"/>
        <w:ind w:left="151" w:hanging="151"/>
        <w:jc w:val="both"/>
        <w:rPr>
          <w:rFonts w:ascii="CAIXA Std Book" w:hAnsi="CAIXA Std Book"/>
          <w:b/>
          <w:color w:val="005CA9"/>
          <w:sz w:val="20"/>
          <w:szCs w:val="20"/>
        </w:rPr>
      </w:pPr>
      <w:r w:rsidRPr="00E20D21">
        <w:rPr>
          <w:rFonts w:ascii="CAIXA Std Book" w:hAnsi="CAIXA Std Book"/>
          <w:b/>
          <w:color w:val="005CA9"/>
          <w:sz w:val="20"/>
          <w:szCs w:val="20"/>
        </w:rPr>
        <w:lastRenderedPageBreak/>
        <w:t>Média salarial (valores em R$)</w:t>
      </w:r>
    </w:p>
    <w:tbl>
      <w:tblPr>
        <w:tblW w:w="5000" w:type="pct"/>
        <w:tblCellMar>
          <w:left w:w="0" w:type="dxa"/>
          <w:right w:w="28" w:type="dxa"/>
        </w:tblCellMar>
        <w:tblLook w:val="04A0" w:firstRow="1" w:lastRow="0" w:firstColumn="1" w:lastColumn="0" w:noHBand="0" w:noVBand="1"/>
      </w:tblPr>
      <w:tblGrid>
        <w:gridCol w:w="4373"/>
        <w:gridCol w:w="1343"/>
        <w:gridCol w:w="1343"/>
        <w:gridCol w:w="1343"/>
        <w:gridCol w:w="1345"/>
      </w:tblGrid>
      <w:tr w:rsidR="00A47C19" w:rsidRPr="00E20D21" w14:paraId="20045ACD" w14:textId="77777777" w:rsidTr="00072188">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28AA156A" w14:textId="7C800D59" w:rsidR="0054776D" w:rsidRPr="00E20D21" w:rsidRDefault="0054776D" w:rsidP="00072188">
            <w:pPr>
              <w:jc w:val="center"/>
              <w:rPr>
                <w:rFonts w:ascii="CAIXA Std Book" w:hAnsi="CAIXA Std Book" w:cs="Symbol"/>
                <w:b/>
                <w:color w:val="005CA9"/>
                <w:sz w:val="18"/>
                <w:szCs w:val="18"/>
              </w:rPr>
            </w:pPr>
            <w:bookmarkStart w:id="97" w:name="_Hlk48302948"/>
            <w:r w:rsidRPr="00E20D21">
              <w:rPr>
                <w:rFonts w:ascii="CAIXA Std Book" w:hAnsi="CAIXA Std Book" w:cs="Symbol"/>
                <w:b/>
                <w:color w:val="005CA9"/>
                <w:sz w:val="18"/>
                <w:szCs w:val="18"/>
              </w:rPr>
              <w:t>INDIVIDUAL</w:t>
            </w:r>
            <w:r w:rsidR="00FC1AF7">
              <w:rPr>
                <w:rFonts w:ascii="CAIXA Std Book" w:hAnsi="CAIXA Std Book" w:cs="Symbol"/>
                <w:b/>
                <w:color w:val="005CA9"/>
                <w:sz w:val="18"/>
                <w:szCs w:val="18"/>
              </w:rPr>
              <w:t xml:space="preserve"> / </w:t>
            </w:r>
            <w:r w:rsidR="0082171D" w:rsidRPr="00E20D21">
              <w:rPr>
                <w:rFonts w:ascii="CAIXA Std Book" w:hAnsi="CAIXA Std Book" w:cs="Symbol"/>
                <w:b/>
                <w:color w:val="005CA9"/>
                <w:sz w:val="18"/>
                <w:szCs w:val="18"/>
              </w:rPr>
              <w:t>CONSOLIDADO</w:t>
            </w:r>
          </w:p>
        </w:tc>
      </w:tr>
      <w:tr w:rsidR="00A47C19" w:rsidRPr="00E20D21" w14:paraId="53B6B8F6" w14:textId="77777777" w:rsidTr="00365B9B">
        <w:trPr>
          <w:trHeight w:val="283"/>
        </w:trPr>
        <w:tc>
          <w:tcPr>
            <w:tcW w:w="2243" w:type="pct"/>
            <w:vMerge w:val="restart"/>
            <w:tcBorders>
              <w:top w:val="nil"/>
              <w:left w:val="nil"/>
              <w:bottom w:val="single" w:sz="4" w:space="0" w:color="F39200"/>
              <w:right w:val="nil"/>
            </w:tcBorders>
            <w:shd w:val="clear" w:color="auto" w:fill="auto"/>
            <w:noWrap/>
            <w:vAlign w:val="center"/>
            <w:hideMark/>
          </w:tcPr>
          <w:p w14:paraId="621C3566" w14:textId="77777777" w:rsidR="0054776D" w:rsidRPr="00E20D21" w:rsidRDefault="0054776D" w:rsidP="00072188">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Descrição</w:t>
            </w:r>
          </w:p>
        </w:tc>
        <w:tc>
          <w:tcPr>
            <w:tcW w:w="1378" w:type="pct"/>
            <w:gridSpan w:val="2"/>
            <w:tcBorders>
              <w:top w:val="single" w:sz="4" w:space="0" w:color="F39200"/>
              <w:left w:val="nil"/>
              <w:bottom w:val="single" w:sz="4" w:space="0" w:color="F39200"/>
              <w:right w:val="nil"/>
            </w:tcBorders>
            <w:shd w:val="clear" w:color="auto" w:fill="auto"/>
            <w:noWrap/>
            <w:vAlign w:val="center"/>
            <w:hideMark/>
          </w:tcPr>
          <w:p w14:paraId="6F397C78" w14:textId="0CAA1BCE" w:rsidR="0054776D" w:rsidRPr="00E20D21" w:rsidRDefault="009F0054" w:rsidP="00072188">
            <w:pPr>
              <w:jc w:val="center"/>
              <w:rPr>
                <w:rFonts w:ascii="CAIXA Std Book" w:hAnsi="CAIXA Std Book" w:cs="Symbol"/>
                <w:b/>
                <w:color w:val="005CA9"/>
                <w:sz w:val="18"/>
                <w:szCs w:val="18"/>
              </w:rPr>
            </w:pPr>
            <w:r w:rsidRPr="00E20D21">
              <w:rPr>
                <w:rFonts w:ascii="CAIXA Std Book" w:hAnsi="CAIXA Std Book" w:cs="Symbol"/>
                <w:b/>
                <w:color w:val="005CA9"/>
                <w:sz w:val="18"/>
                <w:szCs w:val="18"/>
              </w:rPr>
              <w:t>3</w:t>
            </w:r>
            <w:r w:rsidR="001C15B4" w:rsidRPr="00E20D21">
              <w:rPr>
                <w:rFonts w:ascii="CAIXA Std Book" w:hAnsi="CAIXA Std Book" w:cs="Symbol"/>
                <w:b/>
                <w:color w:val="005CA9"/>
                <w:sz w:val="18"/>
                <w:szCs w:val="18"/>
              </w:rPr>
              <w:t>0/06/2024</w:t>
            </w:r>
          </w:p>
        </w:tc>
        <w:tc>
          <w:tcPr>
            <w:tcW w:w="1379" w:type="pct"/>
            <w:gridSpan w:val="2"/>
            <w:tcBorders>
              <w:top w:val="single" w:sz="4" w:space="0" w:color="F39200"/>
              <w:left w:val="nil"/>
              <w:bottom w:val="single" w:sz="4" w:space="0" w:color="F39200"/>
              <w:right w:val="nil"/>
            </w:tcBorders>
            <w:shd w:val="clear" w:color="auto" w:fill="auto"/>
            <w:noWrap/>
            <w:vAlign w:val="center"/>
            <w:hideMark/>
          </w:tcPr>
          <w:p w14:paraId="0B68EF73" w14:textId="7465687A" w:rsidR="0054776D" w:rsidRPr="00E20D21" w:rsidRDefault="00841161" w:rsidP="00072188">
            <w:pPr>
              <w:jc w:val="center"/>
              <w:rPr>
                <w:rFonts w:ascii="CAIXA Std Book" w:hAnsi="CAIXA Std Book" w:cs="Symbol"/>
                <w:b/>
                <w:color w:val="005CA9"/>
                <w:sz w:val="18"/>
                <w:szCs w:val="18"/>
              </w:rPr>
            </w:pPr>
            <w:r w:rsidRPr="00E20D21">
              <w:rPr>
                <w:rFonts w:ascii="CAIXA Std Book" w:hAnsi="CAIXA Std Book" w:cs="Symbol"/>
                <w:b/>
                <w:color w:val="005CA9"/>
                <w:sz w:val="18"/>
                <w:szCs w:val="18"/>
              </w:rPr>
              <w:t>31/12</w:t>
            </w:r>
            <w:r w:rsidR="0054776D" w:rsidRPr="00E20D21">
              <w:rPr>
                <w:rFonts w:ascii="CAIXA Std Book" w:hAnsi="CAIXA Std Book" w:cs="Symbol"/>
                <w:b/>
                <w:color w:val="005CA9"/>
                <w:sz w:val="18"/>
                <w:szCs w:val="18"/>
              </w:rPr>
              <w:t>/202</w:t>
            </w:r>
            <w:r w:rsidR="001C15B4" w:rsidRPr="00E20D21">
              <w:rPr>
                <w:rFonts w:ascii="CAIXA Std Book" w:hAnsi="CAIXA Std Book" w:cs="Symbol"/>
                <w:b/>
                <w:color w:val="005CA9"/>
                <w:sz w:val="18"/>
                <w:szCs w:val="18"/>
              </w:rPr>
              <w:t>3</w:t>
            </w:r>
          </w:p>
        </w:tc>
      </w:tr>
      <w:tr w:rsidR="00A47C19" w:rsidRPr="00E20D21" w14:paraId="7038BD70" w14:textId="77777777" w:rsidTr="000A3B84">
        <w:trPr>
          <w:trHeight w:val="283"/>
        </w:trPr>
        <w:tc>
          <w:tcPr>
            <w:tcW w:w="2243" w:type="pct"/>
            <w:vMerge/>
            <w:tcBorders>
              <w:top w:val="nil"/>
              <w:left w:val="nil"/>
              <w:bottom w:val="single" w:sz="4" w:space="0" w:color="F39200"/>
              <w:right w:val="nil"/>
            </w:tcBorders>
            <w:vAlign w:val="center"/>
            <w:hideMark/>
          </w:tcPr>
          <w:p w14:paraId="23E29953" w14:textId="77777777" w:rsidR="0054776D" w:rsidRPr="00E20D21" w:rsidRDefault="0054776D" w:rsidP="00072188">
            <w:pPr>
              <w:rPr>
                <w:rFonts w:ascii="CAIXA Std Book" w:hAnsi="CAIXA Std Book" w:cs="Symbol"/>
                <w:b/>
                <w:color w:val="005CA9"/>
                <w:sz w:val="18"/>
                <w:szCs w:val="18"/>
              </w:rPr>
            </w:pPr>
          </w:p>
        </w:tc>
        <w:tc>
          <w:tcPr>
            <w:tcW w:w="689" w:type="pct"/>
            <w:tcBorders>
              <w:top w:val="nil"/>
              <w:left w:val="nil"/>
              <w:bottom w:val="single" w:sz="4" w:space="0" w:color="F39200"/>
              <w:right w:val="nil"/>
            </w:tcBorders>
            <w:shd w:val="clear" w:color="auto" w:fill="auto"/>
            <w:noWrap/>
            <w:vAlign w:val="center"/>
            <w:hideMark/>
          </w:tcPr>
          <w:p w14:paraId="4720C477" w14:textId="77777777" w:rsidR="0054776D" w:rsidRPr="00E20D21" w:rsidRDefault="0054776D" w:rsidP="00072188">
            <w:pPr>
              <w:jc w:val="center"/>
              <w:rPr>
                <w:rFonts w:ascii="CAIXA Std Book" w:hAnsi="CAIXA Std Book" w:cs="Symbol"/>
                <w:b/>
                <w:color w:val="005CA9"/>
                <w:sz w:val="18"/>
                <w:szCs w:val="18"/>
              </w:rPr>
            </w:pPr>
            <w:r w:rsidRPr="00E20D21">
              <w:rPr>
                <w:rFonts w:ascii="CAIXA Std Book" w:hAnsi="CAIXA Std Book" w:cs="Symbol"/>
                <w:b/>
                <w:color w:val="005CA9"/>
                <w:sz w:val="18"/>
                <w:szCs w:val="18"/>
              </w:rPr>
              <w:t>Administrador</w:t>
            </w:r>
          </w:p>
        </w:tc>
        <w:tc>
          <w:tcPr>
            <w:tcW w:w="689" w:type="pct"/>
            <w:tcBorders>
              <w:top w:val="nil"/>
              <w:left w:val="nil"/>
              <w:bottom w:val="single" w:sz="4" w:space="0" w:color="F39200"/>
              <w:right w:val="nil"/>
            </w:tcBorders>
            <w:shd w:val="clear" w:color="auto" w:fill="auto"/>
            <w:noWrap/>
            <w:vAlign w:val="center"/>
            <w:hideMark/>
          </w:tcPr>
          <w:p w14:paraId="4F1DF5BA" w14:textId="77777777" w:rsidR="0054776D" w:rsidRPr="00E20D21" w:rsidRDefault="0054776D" w:rsidP="00072188">
            <w:pPr>
              <w:jc w:val="center"/>
              <w:rPr>
                <w:rFonts w:ascii="CAIXA Std Book" w:hAnsi="CAIXA Std Book" w:cs="Symbol"/>
                <w:b/>
                <w:color w:val="005CA9"/>
                <w:sz w:val="18"/>
                <w:szCs w:val="18"/>
              </w:rPr>
            </w:pPr>
            <w:r w:rsidRPr="00E20D21">
              <w:rPr>
                <w:rFonts w:ascii="CAIXA Std Book" w:hAnsi="CAIXA Std Book" w:cs="Symbol"/>
                <w:b/>
                <w:color w:val="005CA9"/>
                <w:sz w:val="18"/>
                <w:szCs w:val="18"/>
              </w:rPr>
              <w:t>Empregado</w:t>
            </w:r>
          </w:p>
        </w:tc>
        <w:tc>
          <w:tcPr>
            <w:tcW w:w="689" w:type="pct"/>
            <w:tcBorders>
              <w:top w:val="nil"/>
              <w:left w:val="nil"/>
              <w:bottom w:val="single" w:sz="4" w:space="0" w:color="F39200"/>
              <w:right w:val="nil"/>
            </w:tcBorders>
            <w:shd w:val="clear" w:color="auto" w:fill="auto"/>
            <w:noWrap/>
            <w:vAlign w:val="center"/>
            <w:hideMark/>
          </w:tcPr>
          <w:p w14:paraId="4B68BB02" w14:textId="77777777" w:rsidR="0054776D" w:rsidRPr="00E20D21" w:rsidRDefault="0054776D" w:rsidP="00072188">
            <w:pPr>
              <w:jc w:val="center"/>
              <w:rPr>
                <w:rFonts w:ascii="CAIXA Std Book" w:hAnsi="CAIXA Std Book" w:cs="Symbol"/>
                <w:b/>
                <w:color w:val="005CA9"/>
                <w:sz w:val="18"/>
                <w:szCs w:val="18"/>
              </w:rPr>
            </w:pPr>
            <w:r w:rsidRPr="00E20D21">
              <w:rPr>
                <w:rFonts w:ascii="CAIXA Std Book" w:hAnsi="CAIXA Std Book" w:cs="Symbol"/>
                <w:b/>
                <w:color w:val="005CA9"/>
                <w:sz w:val="18"/>
                <w:szCs w:val="18"/>
              </w:rPr>
              <w:t>Administrador</w:t>
            </w:r>
          </w:p>
        </w:tc>
        <w:tc>
          <w:tcPr>
            <w:tcW w:w="690" w:type="pct"/>
            <w:tcBorders>
              <w:top w:val="nil"/>
              <w:left w:val="nil"/>
              <w:bottom w:val="single" w:sz="4" w:space="0" w:color="F39200"/>
              <w:right w:val="nil"/>
            </w:tcBorders>
            <w:shd w:val="clear" w:color="auto" w:fill="auto"/>
            <w:noWrap/>
            <w:vAlign w:val="center"/>
            <w:hideMark/>
          </w:tcPr>
          <w:p w14:paraId="0BDB1EC9" w14:textId="77777777" w:rsidR="0054776D" w:rsidRPr="00E20D21" w:rsidRDefault="0054776D" w:rsidP="00072188">
            <w:pPr>
              <w:jc w:val="center"/>
              <w:rPr>
                <w:rFonts w:ascii="CAIXA Std Book" w:hAnsi="CAIXA Std Book" w:cs="Symbol"/>
                <w:b/>
                <w:color w:val="005CA9"/>
                <w:sz w:val="18"/>
                <w:szCs w:val="18"/>
              </w:rPr>
            </w:pPr>
            <w:r w:rsidRPr="00E20D21">
              <w:rPr>
                <w:rFonts w:ascii="CAIXA Std Book" w:hAnsi="CAIXA Std Book" w:cs="Symbol"/>
                <w:b/>
                <w:color w:val="005CA9"/>
                <w:sz w:val="18"/>
                <w:szCs w:val="18"/>
              </w:rPr>
              <w:t>Empregado</w:t>
            </w:r>
          </w:p>
        </w:tc>
      </w:tr>
      <w:tr w:rsidR="00FD5C5B" w:rsidRPr="00E20D21" w14:paraId="0098C6D9" w14:textId="77777777" w:rsidTr="000A3B84">
        <w:trPr>
          <w:trHeight w:val="283"/>
        </w:trPr>
        <w:tc>
          <w:tcPr>
            <w:tcW w:w="2243" w:type="pct"/>
            <w:tcBorders>
              <w:top w:val="nil"/>
              <w:left w:val="nil"/>
              <w:bottom w:val="nil"/>
              <w:right w:val="nil"/>
            </w:tcBorders>
            <w:shd w:val="clear" w:color="auto" w:fill="auto"/>
            <w:noWrap/>
            <w:vAlign w:val="center"/>
            <w:hideMark/>
          </w:tcPr>
          <w:p w14:paraId="4BC86946" w14:textId="77777777" w:rsidR="00FD5C5B" w:rsidRPr="00E20D21" w:rsidRDefault="00FD5C5B" w:rsidP="00FD5C5B">
            <w:pPr>
              <w:rPr>
                <w:rFonts w:ascii="CAIXA Std Book" w:hAnsi="CAIXA Std Book" w:cs="Symbol"/>
                <w:color w:val="005CA9"/>
                <w:sz w:val="18"/>
                <w:szCs w:val="18"/>
              </w:rPr>
            </w:pPr>
            <w:r w:rsidRPr="00E20D21">
              <w:rPr>
                <w:rFonts w:ascii="CAIXA Std Book" w:hAnsi="CAIXA Std Book" w:cs="Symbol"/>
                <w:color w:val="005CA9"/>
                <w:sz w:val="18"/>
                <w:szCs w:val="18"/>
              </w:rPr>
              <w:t>Maior salário</w:t>
            </w:r>
          </w:p>
        </w:tc>
        <w:tc>
          <w:tcPr>
            <w:tcW w:w="689" w:type="pct"/>
            <w:tcBorders>
              <w:top w:val="nil"/>
              <w:left w:val="nil"/>
              <w:bottom w:val="nil"/>
              <w:right w:val="nil"/>
            </w:tcBorders>
            <w:shd w:val="clear" w:color="auto" w:fill="auto"/>
            <w:noWrap/>
            <w:vAlign w:val="center"/>
          </w:tcPr>
          <w:p w14:paraId="627B785F" w14:textId="4A9BF041" w:rsidR="00FD5C5B" w:rsidRPr="00E20D21" w:rsidRDefault="00FD5C5B" w:rsidP="00FD5C5B">
            <w:pPr>
              <w:jc w:val="right"/>
              <w:rPr>
                <w:rFonts w:ascii="CAIXA Std Book" w:hAnsi="CAIXA Std Book" w:cs="Calibri"/>
                <w:color w:val="005CA9"/>
                <w:sz w:val="18"/>
                <w:szCs w:val="18"/>
              </w:rPr>
            </w:pPr>
            <w:r w:rsidRPr="00E20D21">
              <w:rPr>
                <w:rFonts w:ascii="CAIXA Std Book" w:hAnsi="CAIXA Std Book" w:cs="Calibri"/>
                <w:color w:val="005CA9"/>
                <w:sz w:val="18"/>
                <w:szCs w:val="18"/>
              </w:rPr>
              <w:t>64.084</w:t>
            </w:r>
          </w:p>
        </w:tc>
        <w:tc>
          <w:tcPr>
            <w:tcW w:w="689" w:type="pct"/>
            <w:tcBorders>
              <w:top w:val="nil"/>
              <w:left w:val="nil"/>
              <w:bottom w:val="nil"/>
              <w:right w:val="nil"/>
            </w:tcBorders>
            <w:shd w:val="clear" w:color="auto" w:fill="auto"/>
            <w:noWrap/>
            <w:vAlign w:val="center"/>
          </w:tcPr>
          <w:p w14:paraId="35C5BB77" w14:textId="5B5CBA90" w:rsidR="00FD5C5B" w:rsidRPr="00E20D21" w:rsidRDefault="00FD5C5B" w:rsidP="00FD5C5B">
            <w:pPr>
              <w:jc w:val="right"/>
              <w:rPr>
                <w:rFonts w:ascii="CAIXA Std Book" w:hAnsi="CAIXA Std Book" w:cs="Calibri"/>
                <w:color w:val="005CA9"/>
                <w:sz w:val="18"/>
                <w:szCs w:val="18"/>
              </w:rPr>
            </w:pPr>
            <w:r w:rsidRPr="00E20D21">
              <w:rPr>
                <w:rFonts w:ascii="CAIXA Std Book" w:hAnsi="CAIXA Std Book" w:cs="Calibri"/>
                <w:color w:val="005CA9"/>
                <w:sz w:val="18"/>
                <w:szCs w:val="18"/>
              </w:rPr>
              <w:t>72.558</w:t>
            </w:r>
          </w:p>
        </w:tc>
        <w:tc>
          <w:tcPr>
            <w:tcW w:w="689" w:type="pct"/>
            <w:tcBorders>
              <w:top w:val="nil"/>
              <w:left w:val="nil"/>
              <w:bottom w:val="nil"/>
              <w:right w:val="nil"/>
            </w:tcBorders>
            <w:shd w:val="clear" w:color="auto" w:fill="auto"/>
            <w:noWrap/>
            <w:vAlign w:val="center"/>
          </w:tcPr>
          <w:p w14:paraId="7DB58DBB" w14:textId="22BCAD20" w:rsidR="00FD5C5B" w:rsidRPr="00E20D21" w:rsidRDefault="00FD5C5B" w:rsidP="00FD5C5B">
            <w:pPr>
              <w:jc w:val="right"/>
              <w:rPr>
                <w:rFonts w:ascii="CAIXA Std Book" w:hAnsi="CAIXA Std Book" w:cs="Symbol"/>
                <w:color w:val="005CA9"/>
                <w:sz w:val="18"/>
                <w:szCs w:val="18"/>
              </w:rPr>
            </w:pPr>
            <w:r w:rsidRPr="00E20D21">
              <w:rPr>
                <w:rFonts w:ascii="CAIXA Std Book" w:hAnsi="CAIXA Std Book" w:cs="Calibri"/>
                <w:color w:val="005CA9"/>
                <w:sz w:val="18"/>
                <w:szCs w:val="18"/>
              </w:rPr>
              <w:t>61.254</w:t>
            </w:r>
          </w:p>
        </w:tc>
        <w:tc>
          <w:tcPr>
            <w:tcW w:w="690" w:type="pct"/>
            <w:tcBorders>
              <w:top w:val="nil"/>
              <w:left w:val="nil"/>
              <w:bottom w:val="nil"/>
              <w:right w:val="nil"/>
            </w:tcBorders>
            <w:shd w:val="clear" w:color="auto" w:fill="auto"/>
            <w:noWrap/>
            <w:vAlign w:val="center"/>
          </w:tcPr>
          <w:p w14:paraId="390B4668" w14:textId="31A0A6E6" w:rsidR="00FD5C5B" w:rsidRPr="00E20D21" w:rsidRDefault="00FD5C5B" w:rsidP="00FD5C5B">
            <w:pPr>
              <w:jc w:val="right"/>
              <w:rPr>
                <w:rFonts w:ascii="CAIXA Std Book" w:hAnsi="CAIXA Std Book" w:cs="Symbol"/>
                <w:color w:val="005CA9"/>
                <w:sz w:val="18"/>
                <w:szCs w:val="18"/>
              </w:rPr>
            </w:pPr>
            <w:r w:rsidRPr="00E20D21">
              <w:rPr>
                <w:rFonts w:ascii="CAIXA Std Book" w:hAnsi="CAIXA Std Book" w:cs="Calibri"/>
                <w:color w:val="005CA9"/>
                <w:sz w:val="18"/>
                <w:szCs w:val="18"/>
              </w:rPr>
              <w:t>71.614</w:t>
            </w:r>
          </w:p>
        </w:tc>
      </w:tr>
      <w:tr w:rsidR="00FD5C5B" w:rsidRPr="00E20D21" w14:paraId="17981726" w14:textId="77777777" w:rsidTr="000A3B84">
        <w:trPr>
          <w:trHeight w:val="283"/>
        </w:trPr>
        <w:tc>
          <w:tcPr>
            <w:tcW w:w="2243" w:type="pct"/>
            <w:tcBorders>
              <w:top w:val="nil"/>
              <w:left w:val="nil"/>
              <w:bottom w:val="nil"/>
              <w:right w:val="nil"/>
            </w:tcBorders>
            <w:shd w:val="clear" w:color="auto" w:fill="auto"/>
            <w:noWrap/>
            <w:vAlign w:val="center"/>
            <w:hideMark/>
          </w:tcPr>
          <w:p w14:paraId="001115C1" w14:textId="77777777" w:rsidR="00FD5C5B" w:rsidRPr="00E20D21" w:rsidRDefault="00FD5C5B" w:rsidP="00FD5C5B">
            <w:pPr>
              <w:rPr>
                <w:rFonts w:ascii="CAIXA Std Book" w:hAnsi="CAIXA Std Book" w:cs="Symbol"/>
                <w:color w:val="005CA9"/>
                <w:sz w:val="18"/>
                <w:szCs w:val="18"/>
              </w:rPr>
            </w:pPr>
            <w:r w:rsidRPr="00E20D21">
              <w:rPr>
                <w:rFonts w:ascii="CAIXA Std Book" w:hAnsi="CAIXA Std Book" w:cs="Symbol"/>
                <w:color w:val="005CA9"/>
                <w:sz w:val="18"/>
                <w:szCs w:val="18"/>
              </w:rPr>
              <w:t>Salário médio</w:t>
            </w:r>
          </w:p>
        </w:tc>
        <w:tc>
          <w:tcPr>
            <w:tcW w:w="689" w:type="pct"/>
            <w:tcBorders>
              <w:top w:val="nil"/>
              <w:left w:val="nil"/>
              <w:bottom w:val="nil"/>
              <w:right w:val="nil"/>
            </w:tcBorders>
            <w:shd w:val="clear" w:color="auto" w:fill="auto"/>
            <w:noWrap/>
            <w:vAlign w:val="center"/>
          </w:tcPr>
          <w:p w14:paraId="2A7C32F4" w14:textId="0F6E150F" w:rsidR="00FD5C5B" w:rsidRPr="00E20D21" w:rsidRDefault="00FD5C5B" w:rsidP="00FD5C5B">
            <w:pPr>
              <w:jc w:val="right"/>
              <w:rPr>
                <w:rFonts w:ascii="CAIXA Std Book" w:hAnsi="CAIXA Std Book" w:cs="Calibri"/>
                <w:color w:val="005CA9"/>
                <w:sz w:val="18"/>
                <w:szCs w:val="18"/>
              </w:rPr>
            </w:pPr>
            <w:r w:rsidRPr="00E20D21">
              <w:rPr>
                <w:rFonts w:ascii="CAIXA Std Book" w:hAnsi="CAIXA Std Book" w:cs="Calibri"/>
                <w:color w:val="005CA9"/>
                <w:sz w:val="18"/>
                <w:szCs w:val="18"/>
              </w:rPr>
              <w:t>51.209</w:t>
            </w:r>
          </w:p>
        </w:tc>
        <w:tc>
          <w:tcPr>
            <w:tcW w:w="689" w:type="pct"/>
            <w:tcBorders>
              <w:top w:val="nil"/>
              <w:left w:val="nil"/>
              <w:bottom w:val="nil"/>
              <w:right w:val="nil"/>
            </w:tcBorders>
            <w:shd w:val="clear" w:color="auto" w:fill="auto"/>
            <w:noWrap/>
            <w:vAlign w:val="center"/>
          </w:tcPr>
          <w:p w14:paraId="79BB9590" w14:textId="0D2AA5C3" w:rsidR="00FD5C5B" w:rsidRPr="00E20D21" w:rsidRDefault="00FD5C5B" w:rsidP="00FD5C5B">
            <w:pPr>
              <w:jc w:val="right"/>
              <w:rPr>
                <w:rFonts w:ascii="CAIXA Std Book" w:hAnsi="CAIXA Std Book" w:cs="Calibri"/>
                <w:color w:val="005CA9"/>
                <w:sz w:val="18"/>
                <w:szCs w:val="18"/>
              </w:rPr>
            </w:pPr>
            <w:r w:rsidRPr="00E20D21">
              <w:rPr>
                <w:rFonts w:ascii="CAIXA Std Book" w:hAnsi="CAIXA Std Book" w:cs="Calibri"/>
                <w:color w:val="005CA9"/>
                <w:sz w:val="18"/>
                <w:szCs w:val="18"/>
              </w:rPr>
              <w:t>14.475</w:t>
            </w:r>
          </w:p>
        </w:tc>
        <w:tc>
          <w:tcPr>
            <w:tcW w:w="689" w:type="pct"/>
            <w:tcBorders>
              <w:top w:val="nil"/>
              <w:left w:val="nil"/>
              <w:bottom w:val="nil"/>
              <w:right w:val="nil"/>
            </w:tcBorders>
            <w:shd w:val="clear" w:color="auto" w:fill="auto"/>
            <w:noWrap/>
            <w:vAlign w:val="center"/>
          </w:tcPr>
          <w:p w14:paraId="2C659DA7" w14:textId="6A98B32B" w:rsidR="00FD5C5B" w:rsidRPr="00E20D21" w:rsidRDefault="00FD5C5B" w:rsidP="00FD5C5B">
            <w:pPr>
              <w:jc w:val="right"/>
              <w:rPr>
                <w:rFonts w:ascii="CAIXA Std Book" w:hAnsi="CAIXA Std Book" w:cs="Symbol"/>
                <w:color w:val="005CA9"/>
                <w:sz w:val="18"/>
                <w:szCs w:val="18"/>
              </w:rPr>
            </w:pPr>
            <w:r w:rsidRPr="00E20D21">
              <w:rPr>
                <w:rFonts w:ascii="CAIXA Std Book" w:hAnsi="CAIXA Std Book" w:cs="Calibri"/>
                <w:color w:val="005CA9"/>
                <w:sz w:val="18"/>
                <w:szCs w:val="18"/>
              </w:rPr>
              <w:t>48.929</w:t>
            </w:r>
          </w:p>
        </w:tc>
        <w:tc>
          <w:tcPr>
            <w:tcW w:w="690" w:type="pct"/>
            <w:tcBorders>
              <w:top w:val="nil"/>
              <w:left w:val="nil"/>
              <w:bottom w:val="nil"/>
              <w:right w:val="nil"/>
            </w:tcBorders>
            <w:shd w:val="clear" w:color="auto" w:fill="auto"/>
            <w:noWrap/>
            <w:vAlign w:val="center"/>
          </w:tcPr>
          <w:p w14:paraId="515DD3ED" w14:textId="49CCC4D9" w:rsidR="00FD5C5B" w:rsidRPr="00E20D21" w:rsidRDefault="00FD5C5B" w:rsidP="00FD5C5B">
            <w:pPr>
              <w:jc w:val="right"/>
              <w:rPr>
                <w:rFonts w:ascii="CAIXA Std Book" w:hAnsi="CAIXA Std Book" w:cs="Symbol"/>
                <w:color w:val="005CA9"/>
                <w:sz w:val="18"/>
                <w:szCs w:val="18"/>
              </w:rPr>
            </w:pPr>
            <w:r w:rsidRPr="00E20D21">
              <w:rPr>
                <w:rFonts w:ascii="CAIXA Std Book" w:hAnsi="CAIXA Std Book" w:cs="Calibri"/>
                <w:color w:val="005CA9"/>
                <w:sz w:val="18"/>
                <w:szCs w:val="18"/>
              </w:rPr>
              <w:t>14.231</w:t>
            </w:r>
          </w:p>
        </w:tc>
      </w:tr>
      <w:tr w:rsidR="00FD5C5B" w:rsidRPr="00E20D21" w14:paraId="23110039" w14:textId="77777777" w:rsidTr="000A3B84">
        <w:trPr>
          <w:trHeight w:val="283"/>
        </w:trPr>
        <w:tc>
          <w:tcPr>
            <w:tcW w:w="2243" w:type="pct"/>
            <w:tcBorders>
              <w:top w:val="nil"/>
              <w:left w:val="nil"/>
              <w:bottom w:val="nil"/>
              <w:right w:val="nil"/>
            </w:tcBorders>
            <w:shd w:val="clear" w:color="auto" w:fill="auto"/>
            <w:noWrap/>
            <w:vAlign w:val="center"/>
            <w:hideMark/>
          </w:tcPr>
          <w:p w14:paraId="40BCBD6F" w14:textId="77777777" w:rsidR="00FD5C5B" w:rsidRPr="00E20D21" w:rsidRDefault="00FD5C5B" w:rsidP="00FD5C5B">
            <w:pPr>
              <w:rPr>
                <w:rFonts w:ascii="CAIXA Std Book" w:hAnsi="CAIXA Std Book" w:cs="Symbol"/>
                <w:color w:val="005CA9"/>
                <w:sz w:val="18"/>
                <w:szCs w:val="18"/>
              </w:rPr>
            </w:pPr>
            <w:r w:rsidRPr="00E20D21">
              <w:rPr>
                <w:rFonts w:ascii="CAIXA Std Book" w:hAnsi="CAIXA Std Book" w:cs="Symbol"/>
                <w:color w:val="005CA9"/>
                <w:sz w:val="18"/>
                <w:szCs w:val="18"/>
              </w:rPr>
              <w:t>Menor salário</w:t>
            </w:r>
          </w:p>
        </w:tc>
        <w:tc>
          <w:tcPr>
            <w:tcW w:w="689" w:type="pct"/>
            <w:tcBorders>
              <w:top w:val="nil"/>
              <w:left w:val="nil"/>
              <w:bottom w:val="nil"/>
              <w:right w:val="nil"/>
            </w:tcBorders>
            <w:shd w:val="clear" w:color="auto" w:fill="auto"/>
            <w:noWrap/>
            <w:vAlign w:val="center"/>
          </w:tcPr>
          <w:p w14:paraId="23BC20BF" w14:textId="3825DDFE" w:rsidR="00FD5C5B" w:rsidRPr="00E20D21" w:rsidRDefault="00FD5C5B" w:rsidP="00FD5C5B">
            <w:pPr>
              <w:jc w:val="right"/>
              <w:rPr>
                <w:rFonts w:ascii="CAIXA Std Book" w:hAnsi="CAIXA Std Book" w:cs="Calibri"/>
                <w:color w:val="005CA9"/>
                <w:sz w:val="18"/>
                <w:szCs w:val="18"/>
              </w:rPr>
            </w:pPr>
            <w:r w:rsidRPr="00E20D21">
              <w:rPr>
                <w:rFonts w:ascii="CAIXA Std Book" w:hAnsi="CAIXA Std Book" w:cs="Calibri"/>
                <w:color w:val="005CA9"/>
                <w:sz w:val="18"/>
                <w:szCs w:val="18"/>
              </w:rPr>
              <w:t>47.744</w:t>
            </w:r>
          </w:p>
        </w:tc>
        <w:tc>
          <w:tcPr>
            <w:tcW w:w="689" w:type="pct"/>
            <w:tcBorders>
              <w:top w:val="nil"/>
              <w:left w:val="nil"/>
              <w:bottom w:val="nil"/>
              <w:right w:val="nil"/>
            </w:tcBorders>
            <w:shd w:val="clear" w:color="auto" w:fill="auto"/>
            <w:noWrap/>
            <w:vAlign w:val="center"/>
          </w:tcPr>
          <w:p w14:paraId="0340F590" w14:textId="1FC21CF0" w:rsidR="00FD5C5B" w:rsidRPr="00E20D21" w:rsidRDefault="00FD5C5B" w:rsidP="00FD5C5B">
            <w:pPr>
              <w:jc w:val="right"/>
              <w:rPr>
                <w:rFonts w:ascii="CAIXA Std Book" w:hAnsi="CAIXA Std Book" w:cs="Calibri"/>
                <w:color w:val="005CA9"/>
                <w:sz w:val="18"/>
                <w:szCs w:val="18"/>
              </w:rPr>
            </w:pPr>
            <w:r w:rsidRPr="00E20D21">
              <w:rPr>
                <w:rFonts w:ascii="CAIXA Std Book" w:hAnsi="CAIXA Std Book" w:cs="Calibri"/>
                <w:color w:val="005CA9"/>
                <w:sz w:val="18"/>
                <w:szCs w:val="18"/>
              </w:rPr>
              <w:t>3.768</w:t>
            </w:r>
          </w:p>
        </w:tc>
        <w:tc>
          <w:tcPr>
            <w:tcW w:w="689" w:type="pct"/>
            <w:tcBorders>
              <w:top w:val="nil"/>
              <w:left w:val="nil"/>
              <w:bottom w:val="nil"/>
              <w:right w:val="nil"/>
            </w:tcBorders>
            <w:shd w:val="clear" w:color="auto" w:fill="auto"/>
            <w:noWrap/>
            <w:vAlign w:val="center"/>
          </w:tcPr>
          <w:p w14:paraId="6E19554C" w14:textId="12969092" w:rsidR="00FD5C5B" w:rsidRPr="00E20D21" w:rsidRDefault="00FD5C5B" w:rsidP="00FD5C5B">
            <w:pPr>
              <w:jc w:val="right"/>
              <w:rPr>
                <w:rFonts w:ascii="CAIXA Std Book" w:hAnsi="CAIXA Std Book" w:cs="Symbol"/>
                <w:color w:val="005CA9"/>
                <w:sz w:val="18"/>
                <w:szCs w:val="18"/>
              </w:rPr>
            </w:pPr>
            <w:r w:rsidRPr="00E20D21">
              <w:rPr>
                <w:rFonts w:ascii="CAIXA Std Book" w:hAnsi="CAIXA Std Book" w:cs="Calibri"/>
                <w:color w:val="005CA9"/>
                <w:sz w:val="18"/>
                <w:szCs w:val="18"/>
              </w:rPr>
              <w:t>45.636</w:t>
            </w:r>
          </w:p>
        </w:tc>
        <w:tc>
          <w:tcPr>
            <w:tcW w:w="690" w:type="pct"/>
            <w:tcBorders>
              <w:top w:val="nil"/>
              <w:left w:val="nil"/>
              <w:bottom w:val="nil"/>
              <w:right w:val="nil"/>
            </w:tcBorders>
            <w:shd w:val="clear" w:color="auto" w:fill="auto"/>
            <w:noWrap/>
            <w:vAlign w:val="center"/>
          </w:tcPr>
          <w:p w14:paraId="5CEA4975" w14:textId="4B5D1489" w:rsidR="00FD5C5B" w:rsidRPr="00E20D21" w:rsidRDefault="00FD5C5B" w:rsidP="00FD5C5B">
            <w:pPr>
              <w:jc w:val="right"/>
              <w:rPr>
                <w:rFonts w:ascii="CAIXA Std Book" w:hAnsi="CAIXA Std Book" w:cs="Symbol"/>
                <w:color w:val="005CA9"/>
                <w:sz w:val="18"/>
                <w:szCs w:val="18"/>
              </w:rPr>
            </w:pPr>
            <w:r w:rsidRPr="00E20D21">
              <w:rPr>
                <w:rFonts w:ascii="CAIXA Std Book" w:hAnsi="CAIXA Std Book"/>
                <w:color w:val="005CA9"/>
                <w:sz w:val="18"/>
                <w:szCs w:val="18"/>
              </w:rPr>
              <w:t>3.</w:t>
            </w:r>
            <w:r w:rsidRPr="00E20D21">
              <w:rPr>
                <w:rFonts w:ascii="CAIXA Std Book" w:hAnsi="CAIXA Std Book" w:cs="Calibri"/>
                <w:color w:val="005CA9"/>
                <w:sz w:val="18"/>
                <w:szCs w:val="18"/>
              </w:rPr>
              <w:t>762</w:t>
            </w:r>
          </w:p>
        </w:tc>
      </w:tr>
      <w:tr w:rsidR="00FD5C5B" w:rsidRPr="00E20D21" w14:paraId="44125345" w14:textId="77777777" w:rsidTr="000A3B84">
        <w:trPr>
          <w:trHeight w:val="283"/>
        </w:trPr>
        <w:tc>
          <w:tcPr>
            <w:tcW w:w="2243" w:type="pct"/>
            <w:tcBorders>
              <w:top w:val="nil"/>
              <w:left w:val="nil"/>
              <w:bottom w:val="single" w:sz="4" w:space="0" w:color="F39200"/>
              <w:right w:val="nil"/>
            </w:tcBorders>
            <w:shd w:val="clear" w:color="auto" w:fill="auto"/>
            <w:noWrap/>
            <w:vAlign w:val="center"/>
            <w:hideMark/>
          </w:tcPr>
          <w:p w14:paraId="5E4241B4" w14:textId="77777777" w:rsidR="00FD5C5B" w:rsidRPr="00E20D21" w:rsidRDefault="00FD5C5B" w:rsidP="00FD5C5B">
            <w:pPr>
              <w:rPr>
                <w:rFonts w:ascii="CAIXA Std Book" w:hAnsi="CAIXA Std Book" w:cs="Symbol"/>
                <w:color w:val="005CA9"/>
                <w:sz w:val="18"/>
                <w:szCs w:val="18"/>
              </w:rPr>
            </w:pPr>
            <w:r w:rsidRPr="00E20D21">
              <w:rPr>
                <w:rFonts w:ascii="CAIXA Std Book" w:hAnsi="CAIXA Std Book" w:cs="Symbol"/>
                <w:color w:val="005CA9"/>
                <w:sz w:val="18"/>
                <w:szCs w:val="18"/>
              </w:rPr>
              <w:t xml:space="preserve">Benefícios </w:t>
            </w:r>
          </w:p>
        </w:tc>
        <w:tc>
          <w:tcPr>
            <w:tcW w:w="689" w:type="pct"/>
            <w:tcBorders>
              <w:top w:val="nil"/>
              <w:left w:val="nil"/>
              <w:bottom w:val="single" w:sz="4" w:space="0" w:color="F39200"/>
              <w:right w:val="nil"/>
            </w:tcBorders>
            <w:shd w:val="clear" w:color="auto" w:fill="auto"/>
            <w:noWrap/>
            <w:vAlign w:val="center"/>
          </w:tcPr>
          <w:p w14:paraId="2EDF7CAB" w14:textId="74DCD77C" w:rsidR="00FD5C5B" w:rsidRPr="00E20D21" w:rsidRDefault="00FD5C5B" w:rsidP="00FD5C5B">
            <w:pPr>
              <w:jc w:val="right"/>
              <w:rPr>
                <w:rFonts w:ascii="CAIXA Std Book" w:hAnsi="CAIXA Std Book" w:cs="Calibri"/>
                <w:color w:val="005CA9"/>
                <w:sz w:val="18"/>
                <w:szCs w:val="18"/>
              </w:rPr>
            </w:pPr>
            <w:r w:rsidRPr="00E20D21">
              <w:rPr>
                <w:rFonts w:ascii="CAIXA Std Book" w:hAnsi="CAIXA Std Book" w:cs="Calibri"/>
                <w:color w:val="005CA9"/>
                <w:sz w:val="18"/>
                <w:szCs w:val="18"/>
              </w:rPr>
              <w:t>69.659</w:t>
            </w:r>
          </w:p>
        </w:tc>
        <w:tc>
          <w:tcPr>
            <w:tcW w:w="689" w:type="pct"/>
            <w:tcBorders>
              <w:top w:val="nil"/>
              <w:left w:val="nil"/>
              <w:bottom w:val="single" w:sz="4" w:space="0" w:color="F39200"/>
              <w:right w:val="nil"/>
            </w:tcBorders>
            <w:shd w:val="clear" w:color="auto" w:fill="auto"/>
            <w:noWrap/>
            <w:vAlign w:val="center"/>
          </w:tcPr>
          <w:p w14:paraId="4EBE83A3" w14:textId="5743A802" w:rsidR="00FD5C5B" w:rsidRPr="00E20D21" w:rsidRDefault="00FD5C5B" w:rsidP="00FD5C5B">
            <w:pPr>
              <w:jc w:val="right"/>
              <w:rPr>
                <w:rFonts w:ascii="CAIXA Std Book" w:hAnsi="CAIXA Std Book" w:cs="Calibri"/>
                <w:color w:val="005CA9"/>
                <w:sz w:val="18"/>
                <w:szCs w:val="18"/>
              </w:rPr>
            </w:pPr>
            <w:r w:rsidRPr="00E20D21">
              <w:rPr>
                <w:rFonts w:ascii="CAIXA Std Book" w:hAnsi="CAIXA Std Book" w:cs="Calibri"/>
                <w:color w:val="005CA9"/>
                <w:sz w:val="18"/>
                <w:szCs w:val="18"/>
              </w:rPr>
              <w:t>3.962</w:t>
            </w:r>
          </w:p>
        </w:tc>
        <w:tc>
          <w:tcPr>
            <w:tcW w:w="689" w:type="pct"/>
            <w:tcBorders>
              <w:top w:val="nil"/>
              <w:left w:val="nil"/>
              <w:bottom w:val="single" w:sz="4" w:space="0" w:color="F39200"/>
              <w:right w:val="nil"/>
            </w:tcBorders>
            <w:shd w:val="clear" w:color="auto" w:fill="auto"/>
            <w:noWrap/>
            <w:vAlign w:val="center"/>
          </w:tcPr>
          <w:p w14:paraId="7DCCE40B" w14:textId="3B5D9984" w:rsidR="00FD5C5B" w:rsidRPr="00E20D21" w:rsidRDefault="00FD5C5B" w:rsidP="00FD5C5B">
            <w:pPr>
              <w:jc w:val="right"/>
              <w:rPr>
                <w:rFonts w:ascii="CAIXA Std Book" w:hAnsi="CAIXA Std Book" w:cs="Symbol"/>
                <w:color w:val="005CA9"/>
                <w:sz w:val="18"/>
                <w:szCs w:val="18"/>
              </w:rPr>
            </w:pPr>
            <w:r w:rsidRPr="00E20D21">
              <w:rPr>
                <w:rFonts w:ascii="CAIXA Std Book" w:hAnsi="CAIXA Std Book" w:cs="Calibri"/>
                <w:color w:val="005CA9"/>
                <w:sz w:val="18"/>
                <w:szCs w:val="18"/>
              </w:rPr>
              <w:t>14.462</w:t>
            </w:r>
          </w:p>
        </w:tc>
        <w:tc>
          <w:tcPr>
            <w:tcW w:w="690" w:type="pct"/>
            <w:tcBorders>
              <w:top w:val="nil"/>
              <w:left w:val="nil"/>
              <w:bottom w:val="single" w:sz="4" w:space="0" w:color="F39200"/>
              <w:right w:val="nil"/>
            </w:tcBorders>
            <w:shd w:val="clear" w:color="auto" w:fill="auto"/>
            <w:noWrap/>
            <w:vAlign w:val="center"/>
          </w:tcPr>
          <w:p w14:paraId="3855866A" w14:textId="2A5B270F" w:rsidR="00FD5C5B" w:rsidRPr="00E20D21" w:rsidRDefault="00FD5C5B" w:rsidP="00FD5C5B">
            <w:pPr>
              <w:jc w:val="right"/>
              <w:rPr>
                <w:rFonts w:ascii="CAIXA Std Book" w:hAnsi="CAIXA Std Book" w:cs="Symbol"/>
                <w:color w:val="005CA9"/>
                <w:sz w:val="18"/>
                <w:szCs w:val="18"/>
              </w:rPr>
            </w:pPr>
            <w:r w:rsidRPr="00E20D21">
              <w:rPr>
                <w:rFonts w:ascii="CAIXA Std Book" w:hAnsi="CAIXA Std Book" w:cs="Calibri"/>
                <w:color w:val="005CA9"/>
                <w:sz w:val="18"/>
                <w:szCs w:val="18"/>
              </w:rPr>
              <w:t>4.053</w:t>
            </w:r>
          </w:p>
        </w:tc>
      </w:tr>
    </w:tbl>
    <w:p w14:paraId="0E1151D7" w14:textId="4AB70669" w:rsidR="0054776D" w:rsidRPr="00E20D21" w:rsidRDefault="0054776D" w:rsidP="0054776D">
      <w:pPr>
        <w:spacing w:before="480" w:after="240"/>
        <w:ind w:left="709" w:hanging="709"/>
        <w:jc w:val="both"/>
        <w:rPr>
          <w:rFonts w:ascii="CAIXA Std Book" w:hAnsi="CAIXA Std Book"/>
          <w:b/>
          <w:color w:val="005CA9"/>
          <w:sz w:val="20"/>
          <w:szCs w:val="20"/>
        </w:rPr>
      </w:pPr>
      <w:r w:rsidRPr="00E20D21">
        <w:rPr>
          <w:rFonts w:ascii="CAIXA Std Book" w:hAnsi="CAIXA Std Book"/>
          <w:b/>
          <w:color w:val="005CA9"/>
          <w:sz w:val="20"/>
          <w:szCs w:val="20"/>
        </w:rPr>
        <w:t>(</w:t>
      </w:r>
      <w:r w:rsidR="0093193B" w:rsidRPr="00E20D21">
        <w:rPr>
          <w:rFonts w:ascii="CAIXA Std Book" w:hAnsi="CAIXA Std Book"/>
          <w:b/>
          <w:color w:val="005CA9"/>
          <w:sz w:val="20"/>
          <w:szCs w:val="20"/>
        </w:rPr>
        <w:t>h</w:t>
      </w:r>
      <w:r w:rsidRPr="00E20D21">
        <w:rPr>
          <w:rFonts w:ascii="CAIXA Std Book" w:hAnsi="CAIXA Std Book"/>
          <w:b/>
          <w:color w:val="005CA9"/>
          <w:sz w:val="20"/>
          <w:szCs w:val="20"/>
        </w:rPr>
        <w:t>)</w:t>
      </w:r>
      <w:r w:rsidRPr="00E20D21">
        <w:rPr>
          <w:rFonts w:ascii="CAIXA Std Book" w:hAnsi="CAIXA Std Book"/>
          <w:b/>
          <w:color w:val="005CA9"/>
          <w:sz w:val="20"/>
          <w:szCs w:val="20"/>
        </w:rPr>
        <w:tab/>
        <w:t>Remuneração do pessoal</w:t>
      </w:r>
      <w:r w:rsidR="00484191" w:rsidRPr="00E20D21">
        <w:rPr>
          <w:rFonts w:ascii="CAIXA Std Book" w:hAnsi="CAIXA Std Book"/>
          <w:b/>
          <w:color w:val="005CA9"/>
          <w:sz w:val="20"/>
          <w:szCs w:val="20"/>
        </w:rPr>
        <w:t xml:space="preserve"> </w:t>
      </w:r>
      <w:r w:rsidRPr="00E20D21">
        <w:rPr>
          <w:rFonts w:ascii="CAIXA Std Book" w:hAnsi="CAIXA Std Book"/>
          <w:b/>
          <w:color w:val="005CA9"/>
          <w:sz w:val="20"/>
          <w:szCs w:val="20"/>
        </w:rPr>
        <w:t>chave da administração</w:t>
      </w:r>
    </w:p>
    <w:p w14:paraId="782EB7CB" w14:textId="77777777" w:rsidR="004B4B11" w:rsidRPr="00E20D21" w:rsidRDefault="004B4B11" w:rsidP="004B4B11">
      <w:pPr>
        <w:pStyle w:val="wordsection1"/>
        <w:spacing w:after="120" w:afterAutospacing="0"/>
        <w:jc w:val="both"/>
        <w:rPr>
          <w:rFonts w:ascii="CAIXA Std Book" w:eastAsia="Yu Mincho Light" w:hAnsi="CAIXA Std Book"/>
          <w:color w:val="005CA9"/>
          <w:sz w:val="20"/>
          <w:szCs w:val="20"/>
        </w:rPr>
      </w:pPr>
      <w:r w:rsidRPr="00E20D21">
        <w:rPr>
          <w:rFonts w:ascii="CAIXA Std Book" w:eastAsia="Yu Mincho Light" w:hAnsi="CAIXA Std Book"/>
          <w:color w:val="005CA9"/>
          <w:sz w:val="20"/>
          <w:szCs w:val="20"/>
        </w:rPr>
        <w:t>O montante da remuneração global dos administradores, membros do Conselho de Administração, Conselho Fiscal, Comitê de Auditoria, Comitê de Risco e Comitê de Pessoas, Elegibilidade, Sucessão e Remuneração da CAIXA é submetido anualmente pelo Conselho de Administração para aprovação da Assembleia Geral da CAIXA.</w:t>
      </w:r>
    </w:p>
    <w:p w14:paraId="334DCD2D" w14:textId="77777777" w:rsidR="004B4B11" w:rsidRPr="00E20D21" w:rsidRDefault="004B4B11" w:rsidP="004B4B11">
      <w:pPr>
        <w:spacing w:before="120" w:after="240"/>
        <w:jc w:val="both"/>
        <w:rPr>
          <w:rFonts w:ascii="CAIXA Std Book" w:hAnsi="CAIXA Std Book"/>
          <w:color w:val="005CA9"/>
          <w:sz w:val="20"/>
          <w:szCs w:val="20"/>
        </w:rPr>
      </w:pPr>
      <w:r w:rsidRPr="00E20D21">
        <w:rPr>
          <w:rFonts w:ascii="CAIXA Std Book" w:hAnsi="CAIXA Std Book"/>
          <w:color w:val="005CA9"/>
          <w:sz w:val="20"/>
          <w:szCs w:val="20"/>
        </w:rPr>
        <w:t>Os custos com remunerações e outros benefícios atribuídos ao pessoal chave da administração são apresentados como segue:</w:t>
      </w:r>
    </w:p>
    <w:tbl>
      <w:tblPr>
        <w:tblW w:w="5000" w:type="pct"/>
        <w:tblCellMar>
          <w:left w:w="70" w:type="dxa"/>
          <w:right w:w="70" w:type="dxa"/>
        </w:tblCellMar>
        <w:tblLook w:val="04A0" w:firstRow="1" w:lastRow="0" w:firstColumn="1" w:lastColumn="0" w:noHBand="0" w:noVBand="1"/>
      </w:tblPr>
      <w:tblGrid>
        <w:gridCol w:w="6669"/>
        <w:gridCol w:w="1538"/>
        <w:gridCol w:w="1540"/>
      </w:tblGrid>
      <w:tr w:rsidR="004B4B11" w:rsidRPr="00E20D21" w14:paraId="0131DE27" w14:textId="77777777">
        <w:trPr>
          <w:trHeight w:val="282"/>
        </w:trPr>
        <w:tc>
          <w:tcPr>
            <w:tcW w:w="5000" w:type="pct"/>
            <w:gridSpan w:val="3"/>
            <w:tcBorders>
              <w:top w:val="single" w:sz="4" w:space="0" w:color="F79646" w:themeColor="accent6"/>
              <w:left w:val="nil"/>
              <w:bottom w:val="single" w:sz="4" w:space="0" w:color="F39200"/>
              <w:right w:val="nil"/>
            </w:tcBorders>
            <w:vAlign w:val="center"/>
          </w:tcPr>
          <w:p w14:paraId="4AC4F683" w14:textId="5674F0BA" w:rsidR="004B4B11" w:rsidRPr="00E20D21" w:rsidRDefault="004B4B11">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INDIVIDUAL</w:t>
            </w:r>
            <w:r w:rsidR="00FC1AF7">
              <w:rPr>
                <w:rFonts w:ascii="CAIXA Std Book" w:hAnsi="CAIXA Std Book" w:cs="Calibri"/>
                <w:b/>
                <w:color w:val="005CA9"/>
                <w:sz w:val="18"/>
                <w:szCs w:val="18"/>
              </w:rPr>
              <w:t xml:space="preserve"> </w:t>
            </w:r>
            <w:r w:rsidRPr="00E20D21">
              <w:rPr>
                <w:rFonts w:ascii="CAIXA Std Book" w:hAnsi="CAIXA Std Book" w:cs="Calibri"/>
                <w:b/>
                <w:color w:val="005CA9"/>
                <w:sz w:val="18"/>
                <w:szCs w:val="18"/>
              </w:rPr>
              <w:t>/</w:t>
            </w:r>
            <w:r w:rsidR="00FC1AF7">
              <w:rPr>
                <w:rFonts w:ascii="CAIXA Std Book" w:hAnsi="CAIXA Std Book" w:cs="Calibri"/>
                <w:b/>
                <w:color w:val="005CA9"/>
                <w:sz w:val="18"/>
                <w:szCs w:val="18"/>
              </w:rPr>
              <w:t xml:space="preserve"> </w:t>
            </w:r>
            <w:r w:rsidRPr="00E20D21">
              <w:rPr>
                <w:rFonts w:ascii="CAIXA Std Book" w:hAnsi="CAIXA Std Book" w:cs="Calibri"/>
                <w:b/>
                <w:color w:val="005CA9"/>
                <w:sz w:val="18"/>
                <w:szCs w:val="18"/>
              </w:rPr>
              <w:t>CONSOLIDADO</w:t>
            </w:r>
          </w:p>
        </w:tc>
      </w:tr>
      <w:tr w:rsidR="004B4B11" w:rsidRPr="00E20D21" w14:paraId="0091BFD6" w14:textId="77777777">
        <w:trPr>
          <w:trHeight w:val="282"/>
        </w:trPr>
        <w:tc>
          <w:tcPr>
            <w:tcW w:w="3421" w:type="pct"/>
            <w:vMerge w:val="restart"/>
            <w:tcBorders>
              <w:top w:val="nil"/>
              <w:left w:val="nil"/>
              <w:bottom w:val="single" w:sz="4" w:space="0" w:color="F39200"/>
              <w:right w:val="nil"/>
            </w:tcBorders>
            <w:shd w:val="clear" w:color="auto" w:fill="auto"/>
            <w:vAlign w:val="center"/>
            <w:hideMark/>
          </w:tcPr>
          <w:p w14:paraId="71243A7C" w14:textId="77777777" w:rsidR="004B4B11" w:rsidRPr="00E20D21" w:rsidRDefault="004B4B11">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Descrição</w:t>
            </w:r>
          </w:p>
        </w:tc>
        <w:tc>
          <w:tcPr>
            <w:tcW w:w="789" w:type="pct"/>
            <w:tcBorders>
              <w:top w:val="single" w:sz="4" w:space="0" w:color="F39200"/>
              <w:left w:val="nil"/>
              <w:bottom w:val="single" w:sz="4" w:space="0" w:color="F39200"/>
              <w:right w:val="nil"/>
            </w:tcBorders>
            <w:vAlign w:val="center"/>
          </w:tcPr>
          <w:p w14:paraId="15E4895B" w14:textId="77777777" w:rsidR="004B4B11" w:rsidRPr="00E20D21" w:rsidRDefault="004B4B11">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2024</w:t>
            </w:r>
          </w:p>
        </w:tc>
        <w:tc>
          <w:tcPr>
            <w:tcW w:w="790" w:type="pct"/>
            <w:tcBorders>
              <w:top w:val="single" w:sz="4" w:space="0" w:color="F39200"/>
              <w:left w:val="nil"/>
              <w:bottom w:val="single" w:sz="4" w:space="0" w:color="F39200"/>
              <w:right w:val="nil"/>
            </w:tcBorders>
            <w:shd w:val="clear" w:color="auto" w:fill="auto"/>
            <w:vAlign w:val="center"/>
          </w:tcPr>
          <w:p w14:paraId="7B76330F" w14:textId="77777777" w:rsidR="004B4B11" w:rsidRPr="00E20D21" w:rsidRDefault="004B4B11">
            <w:pPr>
              <w:jc w:val="center"/>
              <w:rPr>
                <w:rFonts w:ascii="CAIXA Std Book" w:hAnsi="CAIXA Std Book" w:cs="Calibri"/>
                <w:b/>
                <w:color w:val="005CA9"/>
                <w:sz w:val="18"/>
                <w:szCs w:val="18"/>
              </w:rPr>
            </w:pPr>
            <w:r w:rsidRPr="00E20D21">
              <w:rPr>
                <w:rFonts w:ascii="CAIXA Std Book" w:hAnsi="CAIXA Std Book" w:cs="Calibri"/>
                <w:b/>
                <w:color w:val="005CA9"/>
                <w:sz w:val="18"/>
                <w:szCs w:val="18"/>
              </w:rPr>
              <w:t>2023</w:t>
            </w:r>
          </w:p>
        </w:tc>
      </w:tr>
      <w:tr w:rsidR="004B4B11" w:rsidRPr="00E20D21" w14:paraId="3532CB8B" w14:textId="77777777">
        <w:trPr>
          <w:trHeight w:val="282"/>
        </w:trPr>
        <w:tc>
          <w:tcPr>
            <w:tcW w:w="3421" w:type="pct"/>
            <w:vMerge/>
            <w:tcBorders>
              <w:top w:val="nil"/>
              <w:left w:val="nil"/>
              <w:bottom w:val="single" w:sz="4" w:space="0" w:color="F39200"/>
              <w:right w:val="nil"/>
            </w:tcBorders>
            <w:vAlign w:val="center"/>
            <w:hideMark/>
          </w:tcPr>
          <w:p w14:paraId="7279321B" w14:textId="77777777" w:rsidR="004B4B11" w:rsidRPr="00E20D21" w:rsidRDefault="004B4B11">
            <w:pPr>
              <w:jc w:val="right"/>
              <w:rPr>
                <w:rFonts w:ascii="CAIXA Std Book" w:hAnsi="CAIXA Std Book" w:cs="Calibri"/>
                <w:b/>
                <w:bCs/>
                <w:color w:val="005CA9"/>
                <w:sz w:val="18"/>
                <w:szCs w:val="18"/>
              </w:rPr>
            </w:pPr>
          </w:p>
        </w:tc>
        <w:tc>
          <w:tcPr>
            <w:tcW w:w="789" w:type="pct"/>
            <w:tcBorders>
              <w:top w:val="nil"/>
              <w:left w:val="nil"/>
              <w:bottom w:val="single" w:sz="4" w:space="0" w:color="F39200"/>
              <w:right w:val="nil"/>
            </w:tcBorders>
            <w:vAlign w:val="center"/>
          </w:tcPr>
          <w:p w14:paraId="2E842CF2" w14:textId="065B0BD0" w:rsidR="004B4B11" w:rsidRPr="00E20D21" w:rsidRDefault="004B4B11">
            <w:pPr>
              <w:jc w:val="center"/>
              <w:rPr>
                <w:rFonts w:ascii="CAIXA Std Book" w:hAnsi="CAIXA Std Book" w:cs="Calibri"/>
                <w:b/>
                <w:bCs/>
                <w:color w:val="005CA9"/>
                <w:sz w:val="18"/>
                <w:szCs w:val="18"/>
              </w:rPr>
            </w:pPr>
            <w:r w:rsidRPr="00E20D21">
              <w:rPr>
                <w:rFonts w:ascii="CAIXA Std Book" w:hAnsi="CAIXA Std Book" w:cs="Arial"/>
                <w:b/>
                <w:bCs/>
                <w:color w:val="005CA9"/>
                <w:sz w:val="18"/>
                <w:szCs w:val="18"/>
              </w:rPr>
              <w:t>1º semestre</w:t>
            </w:r>
          </w:p>
        </w:tc>
        <w:tc>
          <w:tcPr>
            <w:tcW w:w="790" w:type="pct"/>
            <w:tcBorders>
              <w:top w:val="nil"/>
              <w:left w:val="nil"/>
              <w:bottom w:val="single" w:sz="4" w:space="0" w:color="F39200"/>
              <w:right w:val="nil"/>
            </w:tcBorders>
            <w:shd w:val="clear" w:color="auto" w:fill="auto"/>
            <w:noWrap/>
            <w:vAlign w:val="center"/>
          </w:tcPr>
          <w:p w14:paraId="1FBD1DF4" w14:textId="47B75A42" w:rsidR="004B4B11" w:rsidRPr="00E20D21" w:rsidRDefault="004B4B11">
            <w:pPr>
              <w:jc w:val="center"/>
              <w:rPr>
                <w:rFonts w:ascii="CAIXA Std Book" w:hAnsi="CAIXA Std Book" w:cs="Calibri"/>
                <w:b/>
                <w:bCs/>
                <w:color w:val="005CA9"/>
                <w:sz w:val="18"/>
                <w:szCs w:val="18"/>
              </w:rPr>
            </w:pPr>
            <w:r w:rsidRPr="00E20D21">
              <w:rPr>
                <w:rFonts w:ascii="CAIXA Std Book" w:hAnsi="CAIXA Std Book" w:cs="Arial"/>
                <w:b/>
                <w:bCs/>
                <w:color w:val="005CA9"/>
                <w:sz w:val="18"/>
                <w:szCs w:val="18"/>
              </w:rPr>
              <w:t>1º semestre</w:t>
            </w:r>
          </w:p>
        </w:tc>
      </w:tr>
      <w:tr w:rsidR="00F04958" w:rsidRPr="00E20D21" w14:paraId="76E32B70" w14:textId="77777777">
        <w:trPr>
          <w:trHeight w:val="282"/>
        </w:trPr>
        <w:tc>
          <w:tcPr>
            <w:tcW w:w="3421" w:type="pct"/>
            <w:tcBorders>
              <w:top w:val="nil"/>
              <w:left w:val="nil"/>
              <w:bottom w:val="single" w:sz="4" w:space="0" w:color="F39200"/>
              <w:right w:val="nil"/>
            </w:tcBorders>
            <w:shd w:val="clear" w:color="auto" w:fill="auto"/>
            <w:noWrap/>
            <w:vAlign w:val="center"/>
            <w:hideMark/>
          </w:tcPr>
          <w:p w14:paraId="78B76C48" w14:textId="77777777" w:rsidR="00F04958" w:rsidRPr="00E20D21" w:rsidRDefault="00F04958" w:rsidP="00F04958">
            <w:pPr>
              <w:rPr>
                <w:rFonts w:ascii="CAIXA Std Book" w:hAnsi="CAIXA Std Book" w:cs="Calibri"/>
                <w:b/>
                <w:bCs/>
                <w:color w:val="005CA9"/>
                <w:sz w:val="18"/>
                <w:szCs w:val="18"/>
              </w:rPr>
            </w:pPr>
            <w:r w:rsidRPr="00E20D21">
              <w:rPr>
                <w:rFonts w:ascii="CAIXA Std Book" w:hAnsi="CAIXA Std Book" w:cs="Calibri"/>
                <w:b/>
                <w:bCs/>
                <w:color w:val="005CA9"/>
                <w:sz w:val="18"/>
                <w:szCs w:val="18"/>
              </w:rPr>
              <w:t>Benefícios de curto prazo</w:t>
            </w:r>
          </w:p>
        </w:tc>
        <w:tc>
          <w:tcPr>
            <w:tcW w:w="789" w:type="pct"/>
            <w:tcBorders>
              <w:top w:val="single" w:sz="4" w:space="0" w:color="F39200"/>
              <w:left w:val="nil"/>
              <w:bottom w:val="single" w:sz="4" w:space="0" w:color="F39200"/>
              <w:right w:val="nil"/>
            </w:tcBorders>
            <w:vAlign w:val="center"/>
          </w:tcPr>
          <w:p w14:paraId="2FC20FBA" w14:textId="14415B50" w:rsidR="00F04958" w:rsidRPr="00E20D21" w:rsidRDefault="00B0439E" w:rsidP="00F04958">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36</w:t>
            </w:r>
            <w:r w:rsidR="001B299E" w:rsidRPr="00E20D21">
              <w:rPr>
                <w:rFonts w:ascii="CAIXA Std Book" w:hAnsi="CAIXA Std Book" w:cs="Calibri"/>
                <w:b/>
                <w:bCs/>
                <w:color w:val="005CA9"/>
                <w:sz w:val="18"/>
                <w:szCs w:val="18"/>
              </w:rPr>
              <w:t>.</w:t>
            </w:r>
            <w:r w:rsidR="00CA3160" w:rsidRPr="00E20D21">
              <w:rPr>
                <w:rFonts w:ascii="CAIXA Std Book" w:hAnsi="CAIXA Std Book" w:cs="Calibri"/>
                <w:b/>
                <w:bCs/>
                <w:color w:val="005CA9"/>
                <w:sz w:val="18"/>
                <w:szCs w:val="18"/>
              </w:rPr>
              <w:t>6</w:t>
            </w:r>
            <w:r w:rsidR="000C1280" w:rsidRPr="00E20D21">
              <w:rPr>
                <w:rFonts w:ascii="CAIXA Std Book" w:hAnsi="CAIXA Std Book" w:cs="Calibri"/>
                <w:b/>
                <w:bCs/>
                <w:color w:val="005CA9"/>
                <w:sz w:val="18"/>
                <w:szCs w:val="18"/>
              </w:rPr>
              <w:t>1</w:t>
            </w:r>
            <w:r w:rsidR="001B299E" w:rsidRPr="00E20D21">
              <w:rPr>
                <w:rFonts w:ascii="CAIXA Std Book" w:hAnsi="CAIXA Std Book" w:cs="Calibri"/>
                <w:b/>
                <w:bCs/>
                <w:color w:val="005CA9"/>
                <w:sz w:val="18"/>
                <w:szCs w:val="18"/>
              </w:rPr>
              <w:t>7</w:t>
            </w:r>
          </w:p>
        </w:tc>
        <w:tc>
          <w:tcPr>
            <w:tcW w:w="790" w:type="pct"/>
            <w:tcBorders>
              <w:top w:val="single" w:sz="4" w:space="0" w:color="F39200"/>
              <w:left w:val="nil"/>
              <w:bottom w:val="single" w:sz="4" w:space="0" w:color="F39200"/>
              <w:right w:val="nil"/>
            </w:tcBorders>
            <w:shd w:val="clear" w:color="auto" w:fill="auto"/>
            <w:vAlign w:val="center"/>
          </w:tcPr>
          <w:p w14:paraId="42E218EE" w14:textId="33AEAB4D" w:rsidR="00F04958" w:rsidRPr="00E20D21" w:rsidRDefault="00F04958" w:rsidP="00F04958">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21.615</w:t>
            </w:r>
          </w:p>
        </w:tc>
      </w:tr>
      <w:tr w:rsidR="00F04958" w:rsidRPr="00E20D21" w14:paraId="2024A46E" w14:textId="77777777">
        <w:trPr>
          <w:trHeight w:val="282"/>
        </w:trPr>
        <w:tc>
          <w:tcPr>
            <w:tcW w:w="3421" w:type="pct"/>
            <w:tcBorders>
              <w:top w:val="nil"/>
              <w:left w:val="nil"/>
              <w:bottom w:val="nil"/>
              <w:right w:val="nil"/>
            </w:tcBorders>
            <w:shd w:val="clear" w:color="auto" w:fill="auto"/>
            <w:noWrap/>
            <w:vAlign w:val="center"/>
            <w:hideMark/>
          </w:tcPr>
          <w:p w14:paraId="040664BF" w14:textId="77777777" w:rsidR="00F04958" w:rsidRPr="00E20D21" w:rsidRDefault="00F04958" w:rsidP="00F04958">
            <w:pPr>
              <w:rPr>
                <w:rFonts w:ascii="CAIXA Std Book" w:hAnsi="CAIXA Std Book" w:cs="Calibri"/>
                <w:b/>
                <w:bCs/>
                <w:color w:val="005CA9"/>
                <w:sz w:val="18"/>
                <w:szCs w:val="18"/>
              </w:rPr>
            </w:pPr>
            <w:r w:rsidRPr="00E20D21">
              <w:rPr>
                <w:rFonts w:ascii="CAIXA Std Book" w:hAnsi="CAIXA Std Book" w:cs="Calibri"/>
                <w:b/>
                <w:bCs/>
                <w:color w:val="005CA9"/>
                <w:sz w:val="18"/>
                <w:szCs w:val="18"/>
              </w:rPr>
              <w:t>Proventos</w:t>
            </w:r>
          </w:p>
        </w:tc>
        <w:tc>
          <w:tcPr>
            <w:tcW w:w="789" w:type="pct"/>
            <w:tcBorders>
              <w:top w:val="nil"/>
              <w:left w:val="nil"/>
              <w:bottom w:val="nil"/>
              <w:right w:val="nil"/>
            </w:tcBorders>
            <w:vAlign w:val="center"/>
          </w:tcPr>
          <w:p w14:paraId="0453AD03" w14:textId="01D156A2" w:rsidR="00F04958" w:rsidRPr="00E20D21" w:rsidRDefault="00B13D3B" w:rsidP="00F04958">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12.856</w:t>
            </w:r>
          </w:p>
        </w:tc>
        <w:tc>
          <w:tcPr>
            <w:tcW w:w="790" w:type="pct"/>
            <w:tcBorders>
              <w:top w:val="nil"/>
              <w:left w:val="nil"/>
              <w:bottom w:val="nil"/>
              <w:right w:val="nil"/>
            </w:tcBorders>
            <w:shd w:val="clear" w:color="auto" w:fill="auto"/>
            <w:vAlign w:val="center"/>
          </w:tcPr>
          <w:p w14:paraId="1920F35B" w14:textId="4EEE6BE2" w:rsidR="00F04958" w:rsidRPr="00E20D21" w:rsidRDefault="00F04958" w:rsidP="00F04958">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11.070</w:t>
            </w:r>
          </w:p>
        </w:tc>
      </w:tr>
      <w:tr w:rsidR="00F04958" w:rsidRPr="00E20D21" w14:paraId="4908707E" w14:textId="77777777">
        <w:trPr>
          <w:trHeight w:val="282"/>
        </w:trPr>
        <w:tc>
          <w:tcPr>
            <w:tcW w:w="3421" w:type="pct"/>
            <w:tcBorders>
              <w:top w:val="nil"/>
              <w:left w:val="nil"/>
              <w:bottom w:val="nil"/>
              <w:right w:val="nil"/>
            </w:tcBorders>
            <w:shd w:val="clear" w:color="auto" w:fill="auto"/>
            <w:noWrap/>
            <w:vAlign w:val="center"/>
            <w:hideMark/>
          </w:tcPr>
          <w:p w14:paraId="38C4D68B" w14:textId="77777777" w:rsidR="00F04958" w:rsidRPr="00E20D21" w:rsidRDefault="00F04958" w:rsidP="00F04958">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Diretoria</w:t>
            </w:r>
          </w:p>
        </w:tc>
        <w:tc>
          <w:tcPr>
            <w:tcW w:w="789" w:type="pct"/>
            <w:tcBorders>
              <w:top w:val="nil"/>
              <w:left w:val="nil"/>
              <w:bottom w:val="nil"/>
              <w:right w:val="nil"/>
            </w:tcBorders>
            <w:vAlign w:val="center"/>
          </w:tcPr>
          <w:p w14:paraId="72677061" w14:textId="60EDC76F" w:rsidR="00F04958" w:rsidRPr="00E20D21" w:rsidRDefault="00B13D3B" w:rsidP="00F04958">
            <w:pPr>
              <w:jc w:val="right"/>
              <w:rPr>
                <w:rFonts w:ascii="CAIXA Std Book" w:hAnsi="CAIXA Std Book" w:cs="Calibri"/>
                <w:color w:val="005CA9"/>
                <w:sz w:val="18"/>
                <w:szCs w:val="18"/>
              </w:rPr>
            </w:pPr>
            <w:r w:rsidRPr="00E20D21">
              <w:rPr>
                <w:rFonts w:ascii="CAIXA Std Book" w:hAnsi="CAIXA Std Book" w:cs="Calibri"/>
                <w:color w:val="005CA9"/>
                <w:sz w:val="18"/>
                <w:szCs w:val="18"/>
              </w:rPr>
              <w:t>10.864</w:t>
            </w:r>
          </w:p>
        </w:tc>
        <w:tc>
          <w:tcPr>
            <w:tcW w:w="790" w:type="pct"/>
            <w:tcBorders>
              <w:top w:val="nil"/>
              <w:left w:val="nil"/>
              <w:bottom w:val="nil"/>
              <w:right w:val="nil"/>
            </w:tcBorders>
            <w:shd w:val="clear" w:color="auto" w:fill="auto"/>
            <w:vAlign w:val="center"/>
          </w:tcPr>
          <w:p w14:paraId="054F29EF" w14:textId="2BAD9ECF" w:rsidR="00F04958" w:rsidRPr="00E20D21" w:rsidRDefault="00F04958" w:rsidP="00F04958">
            <w:pPr>
              <w:jc w:val="right"/>
              <w:rPr>
                <w:rFonts w:ascii="CAIXA Std Book" w:hAnsi="CAIXA Std Book" w:cs="Calibri"/>
                <w:color w:val="005CA9"/>
                <w:sz w:val="18"/>
                <w:szCs w:val="18"/>
              </w:rPr>
            </w:pPr>
            <w:r w:rsidRPr="00E20D21">
              <w:rPr>
                <w:rFonts w:ascii="CAIXA Std Book" w:hAnsi="CAIXA Std Book" w:cs="Calibri"/>
                <w:color w:val="005CA9"/>
                <w:sz w:val="18"/>
                <w:szCs w:val="18"/>
              </w:rPr>
              <w:t>9.608</w:t>
            </w:r>
          </w:p>
        </w:tc>
      </w:tr>
      <w:tr w:rsidR="00F04958" w:rsidRPr="00E20D21" w14:paraId="270104FD" w14:textId="77777777">
        <w:trPr>
          <w:trHeight w:val="282"/>
        </w:trPr>
        <w:tc>
          <w:tcPr>
            <w:tcW w:w="3421" w:type="pct"/>
            <w:tcBorders>
              <w:top w:val="nil"/>
              <w:left w:val="nil"/>
              <w:bottom w:val="nil"/>
              <w:right w:val="nil"/>
            </w:tcBorders>
            <w:shd w:val="clear" w:color="auto" w:fill="auto"/>
            <w:noWrap/>
            <w:vAlign w:val="center"/>
            <w:hideMark/>
          </w:tcPr>
          <w:p w14:paraId="63D0743A" w14:textId="77777777" w:rsidR="00F04958" w:rsidRPr="00E20D21" w:rsidRDefault="00F04958" w:rsidP="00F04958">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Conselho de Administração</w:t>
            </w:r>
          </w:p>
        </w:tc>
        <w:tc>
          <w:tcPr>
            <w:tcW w:w="789" w:type="pct"/>
            <w:tcBorders>
              <w:top w:val="nil"/>
              <w:left w:val="nil"/>
              <w:bottom w:val="nil"/>
              <w:right w:val="nil"/>
            </w:tcBorders>
            <w:vAlign w:val="center"/>
          </w:tcPr>
          <w:p w14:paraId="4F07C8D5" w14:textId="0AA87CC5" w:rsidR="00F04958" w:rsidRPr="00E20D21" w:rsidRDefault="00B13D3B" w:rsidP="00F04958">
            <w:pPr>
              <w:jc w:val="right"/>
              <w:rPr>
                <w:rFonts w:ascii="CAIXA Std Book" w:hAnsi="CAIXA Std Book" w:cs="Calibri"/>
                <w:color w:val="005CA9"/>
                <w:sz w:val="18"/>
                <w:szCs w:val="18"/>
              </w:rPr>
            </w:pPr>
            <w:r w:rsidRPr="00E20D21">
              <w:rPr>
                <w:rFonts w:ascii="CAIXA Std Book" w:hAnsi="CAIXA Std Book" w:cs="Calibri"/>
                <w:color w:val="005CA9"/>
                <w:sz w:val="18"/>
                <w:szCs w:val="18"/>
              </w:rPr>
              <w:t>162</w:t>
            </w:r>
          </w:p>
        </w:tc>
        <w:tc>
          <w:tcPr>
            <w:tcW w:w="790" w:type="pct"/>
            <w:tcBorders>
              <w:top w:val="nil"/>
              <w:left w:val="nil"/>
              <w:bottom w:val="nil"/>
              <w:right w:val="nil"/>
            </w:tcBorders>
            <w:shd w:val="clear" w:color="auto" w:fill="auto"/>
            <w:vAlign w:val="center"/>
          </w:tcPr>
          <w:p w14:paraId="78B08591" w14:textId="3EB23FA5" w:rsidR="00F04958" w:rsidRPr="00E20D21" w:rsidRDefault="00F04958" w:rsidP="00F04958">
            <w:pPr>
              <w:jc w:val="right"/>
              <w:rPr>
                <w:rFonts w:ascii="CAIXA Std Book" w:hAnsi="CAIXA Std Book" w:cs="Calibri"/>
                <w:color w:val="005CA9"/>
                <w:sz w:val="18"/>
                <w:szCs w:val="18"/>
              </w:rPr>
            </w:pPr>
            <w:r w:rsidRPr="00E20D21">
              <w:rPr>
                <w:rFonts w:ascii="CAIXA Std Book" w:hAnsi="CAIXA Std Book" w:cs="Calibri"/>
                <w:color w:val="005CA9"/>
                <w:sz w:val="18"/>
                <w:szCs w:val="18"/>
              </w:rPr>
              <w:t>127</w:t>
            </w:r>
          </w:p>
        </w:tc>
      </w:tr>
      <w:tr w:rsidR="00F04958" w:rsidRPr="00E20D21" w14:paraId="0A1B3264" w14:textId="77777777">
        <w:trPr>
          <w:trHeight w:val="282"/>
        </w:trPr>
        <w:tc>
          <w:tcPr>
            <w:tcW w:w="3421" w:type="pct"/>
            <w:tcBorders>
              <w:top w:val="nil"/>
              <w:left w:val="nil"/>
              <w:bottom w:val="nil"/>
              <w:right w:val="nil"/>
            </w:tcBorders>
            <w:shd w:val="clear" w:color="auto" w:fill="auto"/>
            <w:noWrap/>
            <w:vAlign w:val="center"/>
            <w:hideMark/>
          </w:tcPr>
          <w:p w14:paraId="6D291461" w14:textId="77777777" w:rsidR="00F04958" w:rsidRPr="00E20D21" w:rsidRDefault="00F04958" w:rsidP="00F04958">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Conselho Fiscal</w:t>
            </w:r>
          </w:p>
        </w:tc>
        <w:tc>
          <w:tcPr>
            <w:tcW w:w="789" w:type="pct"/>
            <w:tcBorders>
              <w:top w:val="nil"/>
              <w:left w:val="nil"/>
              <w:bottom w:val="nil"/>
              <w:right w:val="nil"/>
            </w:tcBorders>
            <w:vAlign w:val="center"/>
          </w:tcPr>
          <w:p w14:paraId="5BFFCF76" w14:textId="01CD9E66" w:rsidR="00F04958" w:rsidRPr="00E20D21" w:rsidRDefault="00B13D3B" w:rsidP="00F04958">
            <w:pPr>
              <w:jc w:val="right"/>
              <w:rPr>
                <w:rFonts w:ascii="CAIXA Std Book" w:hAnsi="CAIXA Std Book" w:cs="Calibri"/>
                <w:color w:val="005CA9"/>
                <w:sz w:val="18"/>
                <w:szCs w:val="18"/>
              </w:rPr>
            </w:pPr>
            <w:r w:rsidRPr="00E20D21">
              <w:rPr>
                <w:rFonts w:ascii="CAIXA Std Book" w:hAnsi="CAIXA Std Book" w:cs="Calibri"/>
                <w:color w:val="005CA9"/>
                <w:sz w:val="18"/>
                <w:szCs w:val="18"/>
              </w:rPr>
              <w:t>98</w:t>
            </w:r>
          </w:p>
        </w:tc>
        <w:tc>
          <w:tcPr>
            <w:tcW w:w="790" w:type="pct"/>
            <w:tcBorders>
              <w:top w:val="nil"/>
              <w:left w:val="nil"/>
              <w:bottom w:val="nil"/>
              <w:right w:val="nil"/>
            </w:tcBorders>
            <w:shd w:val="clear" w:color="auto" w:fill="auto"/>
            <w:vAlign w:val="center"/>
          </w:tcPr>
          <w:p w14:paraId="7FC6D661" w14:textId="57406B9D" w:rsidR="00F04958" w:rsidRPr="00E20D21" w:rsidRDefault="00F04958" w:rsidP="00F04958">
            <w:pPr>
              <w:jc w:val="right"/>
              <w:rPr>
                <w:rFonts w:ascii="CAIXA Std Book" w:hAnsi="CAIXA Std Book"/>
                <w:color w:val="005CA9"/>
                <w:sz w:val="18"/>
                <w:szCs w:val="18"/>
              </w:rPr>
            </w:pPr>
            <w:r w:rsidRPr="00E20D21">
              <w:rPr>
                <w:rFonts w:ascii="CAIXA Std Book" w:hAnsi="CAIXA Std Book" w:cs="Calibri"/>
                <w:color w:val="005CA9"/>
                <w:sz w:val="18"/>
                <w:szCs w:val="18"/>
              </w:rPr>
              <w:t>97</w:t>
            </w:r>
          </w:p>
        </w:tc>
      </w:tr>
      <w:tr w:rsidR="00F04958" w:rsidRPr="00E20D21" w14:paraId="590452AB" w14:textId="77777777">
        <w:trPr>
          <w:trHeight w:val="282"/>
        </w:trPr>
        <w:tc>
          <w:tcPr>
            <w:tcW w:w="3421" w:type="pct"/>
            <w:tcBorders>
              <w:top w:val="nil"/>
              <w:left w:val="nil"/>
              <w:bottom w:val="nil"/>
              <w:right w:val="nil"/>
            </w:tcBorders>
            <w:shd w:val="clear" w:color="auto" w:fill="auto"/>
            <w:noWrap/>
            <w:vAlign w:val="center"/>
            <w:hideMark/>
          </w:tcPr>
          <w:p w14:paraId="5068D036" w14:textId="77777777" w:rsidR="00F04958" w:rsidRPr="00E20D21" w:rsidRDefault="00F04958" w:rsidP="00F04958">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Comitê de Auditoria</w:t>
            </w:r>
          </w:p>
        </w:tc>
        <w:tc>
          <w:tcPr>
            <w:tcW w:w="789" w:type="pct"/>
            <w:tcBorders>
              <w:top w:val="nil"/>
              <w:left w:val="nil"/>
              <w:bottom w:val="nil"/>
              <w:right w:val="nil"/>
            </w:tcBorders>
            <w:vAlign w:val="center"/>
          </w:tcPr>
          <w:p w14:paraId="6008960F" w14:textId="134BCB7A" w:rsidR="00F04958" w:rsidRPr="00E20D21" w:rsidRDefault="00201AC5" w:rsidP="00F04958">
            <w:pPr>
              <w:jc w:val="right"/>
              <w:rPr>
                <w:rFonts w:ascii="CAIXA Std Book" w:hAnsi="CAIXA Std Book" w:cs="Calibri"/>
                <w:color w:val="005CA9"/>
                <w:sz w:val="18"/>
                <w:szCs w:val="18"/>
              </w:rPr>
            </w:pPr>
            <w:r w:rsidRPr="00E20D21">
              <w:rPr>
                <w:rFonts w:ascii="CAIXA Std Book" w:hAnsi="CAIXA Std Book" w:cs="Calibri"/>
                <w:color w:val="005CA9"/>
                <w:sz w:val="18"/>
                <w:szCs w:val="18"/>
              </w:rPr>
              <w:t>952</w:t>
            </w:r>
          </w:p>
        </w:tc>
        <w:tc>
          <w:tcPr>
            <w:tcW w:w="790" w:type="pct"/>
            <w:tcBorders>
              <w:top w:val="nil"/>
              <w:left w:val="nil"/>
              <w:bottom w:val="nil"/>
              <w:right w:val="nil"/>
            </w:tcBorders>
            <w:shd w:val="clear" w:color="auto" w:fill="auto"/>
            <w:vAlign w:val="center"/>
          </w:tcPr>
          <w:p w14:paraId="4471B39C" w14:textId="5D6D5B99" w:rsidR="00F04958" w:rsidRPr="00E20D21" w:rsidRDefault="00F04958" w:rsidP="00F04958">
            <w:pPr>
              <w:jc w:val="right"/>
              <w:rPr>
                <w:rFonts w:ascii="CAIXA Std Book" w:hAnsi="CAIXA Std Book"/>
                <w:color w:val="005CA9"/>
                <w:sz w:val="18"/>
                <w:szCs w:val="18"/>
              </w:rPr>
            </w:pPr>
            <w:r w:rsidRPr="00E20D21">
              <w:rPr>
                <w:rFonts w:ascii="CAIXA Std Book" w:hAnsi="CAIXA Std Book" w:cs="Calibri"/>
                <w:color w:val="005CA9"/>
                <w:sz w:val="18"/>
                <w:szCs w:val="18"/>
              </w:rPr>
              <w:t>750</w:t>
            </w:r>
          </w:p>
        </w:tc>
      </w:tr>
      <w:tr w:rsidR="00F04958" w:rsidRPr="00E20D21" w14:paraId="2AEA2739" w14:textId="77777777">
        <w:trPr>
          <w:trHeight w:val="282"/>
        </w:trPr>
        <w:tc>
          <w:tcPr>
            <w:tcW w:w="3421" w:type="pct"/>
            <w:tcBorders>
              <w:top w:val="nil"/>
              <w:left w:val="nil"/>
              <w:bottom w:val="nil"/>
              <w:right w:val="nil"/>
            </w:tcBorders>
            <w:shd w:val="clear" w:color="auto" w:fill="auto"/>
            <w:noWrap/>
            <w:vAlign w:val="center"/>
            <w:hideMark/>
          </w:tcPr>
          <w:p w14:paraId="15E452A6" w14:textId="77777777" w:rsidR="00F04958" w:rsidRPr="00E20D21" w:rsidRDefault="00F04958" w:rsidP="00F04958">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Comitê Independente de Risco</w:t>
            </w:r>
          </w:p>
        </w:tc>
        <w:tc>
          <w:tcPr>
            <w:tcW w:w="789" w:type="pct"/>
            <w:tcBorders>
              <w:top w:val="nil"/>
              <w:left w:val="nil"/>
              <w:bottom w:val="nil"/>
              <w:right w:val="nil"/>
            </w:tcBorders>
            <w:vAlign w:val="center"/>
          </w:tcPr>
          <w:p w14:paraId="73436CB0" w14:textId="701A390E" w:rsidR="00F04958" w:rsidRPr="00E20D21" w:rsidRDefault="00796B4B" w:rsidP="00F04958">
            <w:pPr>
              <w:jc w:val="right"/>
              <w:rPr>
                <w:rFonts w:ascii="CAIXA Std Book" w:hAnsi="CAIXA Std Book" w:cs="Calibri"/>
                <w:color w:val="005CA9"/>
                <w:sz w:val="18"/>
                <w:szCs w:val="18"/>
              </w:rPr>
            </w:pPr>
            <w:r w:rsidRPr="00E20D21">
              <w:rPr>
                <w:rFonts w:ascii="CAIXA Std Book" w:hAnsi="CAIXA Std Book" w:cs="Calibri"/>
                <w:color w:val="005CA9"/>
                <w:sz w:val="18"/>
                <w:szCs w:val="18"/>
              </w:rPr>
              <w:t>728</w:t>
            </w:r>
          </w:p>
        </w:tc>
        <w:tc>
          <w:tcPr>
            <w:tcW w:w="790" w:type="pct"/>
            <w:tcBorders>
              <w:top w:val="nil"/>
              <w:left w:val="nil"/>
              <w:bottom w:val="nil"/>
              <w:right w:val="nil"/>
            </w:tcBorders>
            <w:shd w:val="clear" w:color="auto" w:fill="auto"/>
            <w:vAlign w:val="center"/>
          </w:tcPr>
          <w:p w14:paraId="7CAD9997" w14:textId="475FD632" w:rsidR="00F04958" w:rsidRPr="00E20D21" w:rsidRDefault="00F04958" w:rsidP="00F04958">
            <w:pPr>
              <w:jc w:val="right"/>
              <w:rPr>
                <w:rFonts w:ascii="CAIXA Std Book" w:hAnsi="CAIXA Std Book"/>
                <w:color w:val="005CA9"/>
                <w:sz w:val="18"/>
                <w:szCs w:val="18"/>
              </w:rPr>
            </w:pPr>
            <w:r w:rsidRPr="00E20D21">
              <w:rPr>
                <w:rFonts w:ascii="CAIXA Std Book" w:hAnsi="CAIXA Std Book" w:cs="Calibri"/>
                <w:color w:val="005CA9"/>
                <w:sz w:val="18"/>
                <w:szCs w:val="18"/>
              </w:rPr>
              <w:t>448</w:t>
            </w:r>
          </w:p>
        </w:tc>
      </w:tr>
      <w:tr w:rsidR="00F04958" w:rsidRPr="00E20D21" w14:paraId="79903715" w14:textId="77777777">
        <w:trPr>
          <w:trHeight w:val="282"/>
        </w:trPr>
        <w:tc>
          <w:tcPr>
            <w:tcW w:w="3421" w:type="pct"/>
            <w:tcBorders>
              <w:top w:val="nil"/>
              <w:left w:val="nil"/>
              <w:bottom w:val="nil"/>
              <w:right w:val="nil"/>
            </w:tcBorders>
            <w:shd w:val="clear" w:color="auto" w:fill="auto"/>
            <w:noWrap/>
            <w:vAlign w:val="center"/>
          </w:tcPr>
          <w:p w14:paraId="73EF88CD" w14:textId="77777777" w:rsidR="00F04958" w:rsidRPr="00E20D21" w:rsidRDefault="00F04958" w:rsidP="00F04958">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Comitê de Pessoas, Elegibilidade, Sucessão e Remuneração</w:t>
            </w:r>
          </w:p>
        </w:tc>
        <w:tc>
          <w:tcPr>
            <w:tcW w:w="789" w:type="pct"/>
            <w:tcBorders>
              <w:top w:val="nil"/>
              <w:left w:val="nil"/>
              <w:bottom w:val="nil"/>
              <w:right w:val="nil"/>
            </w:tcBorders>
            <w:vAlign w:val="center"/>
          </w:tcPr>
          <w:p w14:paraId="47600B2C" w14:textId="144F0622" w:rsidR="00F04958" w:rsidRPr="00E20D21" w:rsidRDefault="00796B4B" w:rsidP="00F04958">
            <w:pPr>
              <w:jc w:val="right"/>
              <w:rPr>
                <w:rFonts w:ascii="CAIXA Std Book" w:hAnsi="CAIXA Std Book" w:cs="Calibri"/>
                <w:color w:val="005CA9"/>
                <w:sz w:val="18"/>
                <w:szCs w:val="18"/>
              </w:rPr>
            </w:pPr>
            <w:r w:rsidRPr="00E20D21">
              <w:rPr>
                <w:rFonts w:ascii="CAIXA Std Book" w:hAnsi="CAIXA Std Book" w:cs="Calibri"/>
                <w:color w:val="005CA9"/>
                <w:sz w:val="18"/>
                <w:szCs w:val="18"/>
              </w:rPr>
              <w:t>52</w:t>
            </w:r>
          </w:p>
        </w:tc>
        <w:tc>
          <w:tcPr>
            <w:tcW w:w="790" w:type="pct"/>
            <w:tcBorders>
              <w:top w:val="nil"/>
              <w:left w:val="nil"/>
              <w:bottom w:val="nil"/>
              <w:right w:val="nil"/>
            </w:tcBorders>
            <w:shd w:val="clear" w:color="auto" w:fill="auto"/>
            <w:vAlign w:val="center"/>
          </w:tcPr>
          <w:p w14:paraId="4A9963A3" w14:textId="42A91F4B" w:rsidR="00F04958" w:rsidRPr="00E20D21" w:rsidRDefault="00F04958" w:rsidP="00F04958">
            <w:pPr>
              <w:jc w:val="right"/>
              <w:rPr>
                <w:rFonts w:ascii="CAIXA Std Book" w:hAnsi="CAIXA Std Book" w:cs="Calibri"/>
                <w:color w:val="005CA9"/>
                <w:sz w:val="18"/>
                <w:szCs w:val="18"/>
              </w:rPr>
            </w:pPr>
            <w:r w:rsidRPr="00E20D21">
              <w:rPr>
                <w:rFonts w:ascii="CAIXA Std Book" w:hAnsi="CAIXA Std Book" w:cs="Calibri"/>
                <w:color w:val="005CA9"/>
                <w:sz w:val="18"/>
                <w:szCs w:val="18"/>
              </w:rPr>
              <w:t>40</w:t>
            </w:r>
          </w:p>
        </w:tc>
      </w:tr>
      <w:tr w:rsidR="00AB3BD9" w:rsidRPr="00E20D21" w14:paraId="6C82B91A" w14:textId="77777777">
        <w:trPr>
          <w:trHeight w:val="282"/>
        </w:trPr>
        <w:tc>
          <w:tcPr>
            <w:tcW w:w="3421" w:type="pct"/>
            <w:tcBorders>
              <w:top w:val="nil"/>
              <w:left w:val="nil"/>
              <w:bottom w:val="nil"/>
              <w:right w:val="nil"/>
            </w:tcBorders>
            <w:shd w:val="clear" w:color="auto" w:fill="auto"/>
            <w:noWrap/>
            <w:vAlign w:val="center"/>
          </w:tcPr>
          <w:p w14:paraId="7A8AA990" w14:textId="00B0EEDE" w:rsidR="00AB3BD9" w:rsidRPr="00E20D21" w:rsidRDefault="00AB3BD9" w:rsidP="00AB3BD9">
            <w:pPr>
              <w:rPr>
                <w:rFonts w:ascii="CAIXA Std Book" w:hAnsi="CAIXA Std Book" w:cs="Calibri"/>
                <w:b/>
                <w:bCs/>
                <w:color w:val="005CA9"/>
                <w:sz w:val="18"/>
                <w:szCs w:val="18"/>
              </w:rPr>
            </w:pPr>
            <w:r w:rsidRPr="00E20D21">
              <w:rPr>
                <w:rFonts w:ascii="CAIXA Std Book" w:hAnsi="CAIXA Std Book" w:cs="Calibri"/>
                <w:b/>
                <w:bCs/>
                <w:color w:val="005CA9"/>
                <w:sz w:val="18"/>
                <w:szCs w:val="18"/>
              </w:rPr>
              <w:t>Remuneração variável</w:t>
            </w:r>
          </w:p>
        </w:tc>
        <w:tc>
          <w:tcPr>
            <w:tcW w:w="789" w:type="pct"/>
            <w:tcBorders>
              <w:top w:val="nil"/>
              <w:left w:val="nil"/>
              <w:bottom w:val="nil"/>
              <w:right w:val="nil"/>
            </w:tcBorders>
            <w:vAlign w:val="center"/>
          </w:tcPr>
          <w:p w14:paraId="3497F6F8" w14:textId="25188218" w:rsidR="00AB3BD9" w:rsidRPr="00E20D21" w:rsidRDefault="00796B4B"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13.980</w:t>
            </w:r>
          </w:p>
        </w:tc>
        <w:tc>
          <w:tcPr>
            <w:tcW w:w="790" w:type="pct"/>
            <w:tcBorders>
              <w:top w:val="nil"/>
              <w:left w:val="nil"/>
              <w:bottom w:val="nil"/>
              <w:right w:val="nil"/>
            </w:tcBorders>
            <w:shd w:val="clear" w:color="auto" w:fill="auto"/>
            <w:vAlign w:val="center"/>
          </w:tcPr>
          <w:p w14:paraId="44EA5319" w14:textId="4F1A8BDA" w:rsidR="00AB3BD9" w:rsidRPr="00E20D21" w:rsidRDefault="00AB3BD9"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4.925</w:t>
            </w:r>
          </w:p>
        </w:tc>
      </w:tr>
      <w:tr w:rsidR="00AB3BD9" w:rsidRPr="00E20D21" w14:paraId="658E1CEF" w14:textId="77777777">
        <w:trPr>
          <w:trHeight w:val="282"/>
        </w:trPr>
        <w:tc>
          <w:tcPr>
            <w:tcW w:w="3421" w:type="pct"/>
            <w:tcBorders>
              <w:top w:val="nil"/>
              <w:left w:val="nil"/>
              <w:bottom w:val="nil"/>
              <w:right w:val="nil"/>
            </w:tcBorders>
            <w:shd w:val="clear" w:color="auto" w:fill="auto"/>
            <w:noWrap/>
            <w:vAlign w:val="center"/>
          </w:tcPr>
          <w:p w14:paraId="2C2B39A0" w14:textId="1EC868F5" w:rsidR="00AB3BD9" w:rsidRPr="00E20D21" w:rsidRDefault="00AB3BD9" w:rsidP="00AB3BD9">
            <w:pPr>
              <w:rPr>
                <w:rFonts w:ascii="CAIXA Std Book" w:hAnsi="CAIXA Std Book" w:cs="Calibri"/>
                <w:b/>
                <w:bCs/>
                <w:color w:val="005CA9"/>
                <w:sz w:val="18"/>
                <w:szCs w:val="18"/>
              </w:rPr>
            </w:pPr>
            <w:r w:rsidRPr="00E20D21">
              <w:rPr>
                <w:rFonts w:ascii="CAIXA Std Book" w:hAnsi="CAIXA Std Book" w:cs="Calibri"/>
                <w:color w:val="005CA9"/>
                <w:sz w:val="18"/>
                <w:szCs w:val="18"/>
              </w:rPr>
              <w:t>Diretoria</w:t>
            </w:r>
          </w:p>
        </w:tc>
        <w:tc>
          <w:tcPr>
            <w:tcW w:w="789" w:type="pct"/>
            <w:tcBorders>
              <w:top w:val="nil"/>
              <w:left w:val="nil"/>
              <w:bottom w:val="nil"/>
              <w:right w:val="nil"/>
            </w:tcBorders>
            <w:vAlign w:val="center"/>
          </w:tcPr>
          <w:p w14:paraId="114E7244" w14:textId="1FC2500F" w:rsidR="00AB3BD9" w:rsidRPr="00E20D21" w:rsidRDefault="00C021D4"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13.980</w:t>
            </w:r>
          </w:p>
        </w:tc>
        <w:tc>
          <w:tcPr>
            <w:tcW w:w="790" w:type="pct"/>
            <w:tcBorders>
              <w:top w:val="nil"/>
              <w:left w:val="nil"/>
              <w:bottom w:val="nil"/>
              <w:right w:val="nil"/>
            </w:tcBorders>
            <w:shd w:val="clear" w:color="auto" w:fill="auto"/>
            <w:vAlign w:val="center"/>
          </w:tcPr>
          <w:p w14:paraId="09824497" w14:textId="487406BB" w:rsidR="00AB3BD9" w:rsidRPr="00E20D21" w:rsidRDefault="00AB3BD9" w:rsidP="00AB3BD9">
            <w:pPr>
              <w:jc w:val="right"/>
              <w:rPr>
                <w:rFonts w:ascii="CAIXA Std Book" w:hAnsi="CAIXA Std Book" w:cs="Calibri"/>
                <w:b/>
                <w:bCs/>
                <w:color w:val="005CA9"/>
                <w:sz w:val="18"/>
                <w:szCs w:val="18"/>
              </w:rPr>
            </w:pPr>
            <w:r w:rsidRPr="00E20D21">
              <w:rPr>
                <w:rFonts w:ascii="CAIXA Std Book" w:hAnsi="CAIXA Std Book" w:cs="Calibri"/>
                <w:color w:val="005CA9"/>
                <w:sz w:val="18"/>
                <w:szCs w:val="18"/>
              </w:rPr>
              <w:t>4.925</w:t>
            </w:r>
          </w:p>
        </w:tc>
      </w:tr>
      <w:tr w:rsidR="00AB3BD9" w:rsidRPr="00E20D21" w14:paraId="06A6C6B5" w14:textId="77777777">
        <w:trPr>
          <w:trHeight w:val="282"/>
        </w:trPr>
        <w:tc>
          <w:tcPr>
            <w:tcW w:w="3421" w:type="pct"/>
            <w:tcBorders>
              <w:top w:val="nil"/>
              <w:left w:val="nil"/>
              <w:bottom w:val="nil"/>
              <w:right w:val="nil"/>
            </w:tcBorders>
            <w:shd w:val="clear" w:color="auto" w:fill="auto"/>
            <w:noWrap/>
            <w:vAlign w:val="center"/>
            <w:hideMark/>
          </w:tcPr>
          <w:p w14:paraId="2C9E1CC9" w14:textId="77777777" w:rsidR="00AB3BD9" w:rsidRPr="00E20D21" w:rsidRDefault="00AB3BD9" w:rsidP="00AB3BD9">
            <w:pPr>
              <w:rPr>
                <w:rFonts w:ascii="CAIXA Std Book" w:hAnsi="CAIXA Std Book" w:cs="Calibri"/>
                <w:b/>
                <w:bCs/>
                <w:color w:val="005CA9"/>
                <w:sz w:val="18"/>
                <w:szCs w:val="18"/>
              </w:rPr>
            </w:pPr>
            <w:r w:rsidRPr="00E20D21">
              <w:rPr>
                <w:rFonts w:ascii="CAIXA Std Book" w:hAnsi="CAIXA Std Book" w:cs="Calibri"/>
                <w:b/>
                <w:bCs/>
                <w:color w:val="005CA9"/>
                <w:sz w:val="18"/>
                <w:szCs w:val="18"/>
              </w:rPr>
              <w:t>Benefícios</w:t>
            </w:r>
          </w:p>
        </w:tc>
        <w:tc>
          <w:tcPr>
            <w:tcW w:w="789" w:type="pct"/>
            <w:tcBorders>
              <w:top w:val="nil"/>
              <w:left w:val="nil"/>
              <w:bottom w:val="nil"/>
              <w:right w:val="nil"/>
            </w:tcBorders>
            <w:vAlign w:val="center"/>
          </w:tcPr>
          <w:p w14:paraId="48C3241C" w14:textId="539A362A" w:rsidR="00AB3BD9" w:rsidRPr="00E20D21" w:rsidRDefault="00FF5756"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1.477</w:t>
            </w:r>
          </w:p>
        </w:tc>
        <w:tc>
          <w:tcPr>
            <w:tcW w:w="790" w:type="pct"/>
            <w:tcBorders>
              <w:top w:val="nil"/>
              <w:left w:val="nil"/>
              <w:bottom w:val="nil"/>
              <w:right w:val="nil"/>
            </w:tcBorders>
            <w:shd w:val="clear" w:color="auto" w:fill="auto"/>
            <w:vAlign w:val="center"/>
          </w:tcPr>
          <w:p w14:paraId="014D1EE4" w14:textId="26331A4A" w:rsidR="00AB3BD9" w:rsidRPr="00E20D21" w:rsidRDefault="00AB3BD9"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563</w:t>
            </w:r>
          </w:p>
        </w:tc>
      </w:tr>
      <w:tr w:rsidR="00AB3BD9" w:rsidRPr="00E20D21" w14:paraId="14A5DDE5" w14:textId="77777777">
        <w:trPr>
          <w:trHeight w:val="282"/>
        </w:trPr>
        <w:tc>
          <w:tcPr>
            <w:tcW w:w="3421" w:type="pct"/>
            <w:tcBorders>
              <w:top w:val="nil"/>
              <w:left w:val="nil"/>
              <w:bottom w:val="nil"/>
              <w:right w:val="nil"/>
            </w:tcBorders>
            <w:shd w:val="clear" w:color="auto" w:fill="auto"/>
            <w:noWrap/>
            <w:vAlign w:val="center"/>
            <w:hideMark/>
          </w:tcPr>
          <w:p w14:paraId="4721B1DF" w14:textId="77777777" w:rsidR="00AB3BD9" w:rsidRPr="00E20D21" w:rsidRDefault="00AB3BD9" w:rsidP="00AB3BD9">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Diretoria</w:t>
            </w:r>
          </w:p>
        </w:tc>
        <w:tc>
          <w:tcPr>
            <w:tcW w:w="789" w:type="pct"/>
            <w:tcBorders>
              <w:top w:val="nil"/>
              <w:left w:val="nil"/>
              <w:bottom w:val="nil"/>
              <w:right w:val="nil"/>
            </w:tcBorders>
            <w:vAlign w:val="center"/>
          </w:tcPr>
          <w:p w14:paraId="72B18C1C" w14:textId="1BEC9ACF" w:rsidR="00AB3BD9" w:rsidRPr="00E20D21" w:rsidRDefault="00FF5756" w:rsidP="00AB3BD9">
            <w:pPr>
              <w:jc w:val="right"/>
              <w:rPr>
                <w:rFonts w:ascii="CAIXA Std Book" w:hAnsi="CAIXA Std Book" w:cs="Calibri"/>
                <w:color w:val="005CA9"/>
                <w:sz w:val="18"/>
                <w:szCs w:val="18"/>
              </w:rPr>
            </w:pPr>
            <w:r w:rsidRPr="00E20D21">
              <w:rPr>
                <w:rFonts w:ascii="CAIXA Std Book" w:hAnsi="CAIXA Std Book" w:cs="Calibri"/>
                <w:color w:val="005CA9"/>
                <w:sz w:val="18"/>
                <w:szCs w:val="18"/>
              </w:rPr>
              <w:t>1.477</w:t>
            </w:r>
          </w:p>
        </w:tc>
        <w:tc>
          <w:tcPr>
            <w:tcW w:w="790" w:type="pct"/>
            <w:tcBorders>
              <w:top w:val="nil"/>
              <w:left w:val="nil"/>
              <w:bottom w:val="nil"/>
              <w:right w:val="nil"/>
            </w:tcBorders>
            <w:shd w:val="clear" w:color="auto" w:fill="auto"/>
            <w:vAlign w:val="center"/>
          </w:tcPr>
          <w:p w14:paraId="205915CB" w14:textId="11844102" w:rsidR="00AB3BD9" w:rsidRPr="00E20D21" w:rsidRDefault="00AB3BD9" w:rsidP="00AB3BD9">
            <w:pPr>
              <w:jc w:val="right"/>
              <w:rPr>
                <w:rFonts w:ascii="CAIXA Std Book" w:hAnsi="CAIXA Std Book"/>
                <w:color w:val="005CA9"/>
                <w:sz w:val="18"/>
                <w:szCs w:val="18"/>
              </w:rPr>
            </w:pPr>
            <w:r w:rsidRPr="00E20D21">
              <w:rPr>
                <w:rFonts w:ascii="CAIXA Std Book" w:hAnsi="CAIXA Std Book" w:cs="Calibri"/>
                <w:color w:val="005CA9"/>
                <w:sz w:val="18"/>
                <w:szCs w:val="18"/>
              </w:rPr>
              <w:t>563</w:t>
            </w:r>
          </w:p>
        </w:tc>
      </w:tr>
      <w:tr w:rsidR="00AB3BD9" w:rsidRPr="00E20D21" w14:paraId="686A525A" w14:textId="77777777">
        <w:trPr>
          <w:trHeight w:val="282"/>
        </w:trPr>
        <w:tc>
          <w:tcPr>
            <w:tcW w:w="3421" w:type="pct"/>
            <w:tcBorders>
              <w:top w:val="nil"/>
              <w:left w:val="nil"/>
              <w:bottom w:val="nil"/>
              <w:right w:val="nil"/>
            </w:tcBorders>
            <w:shd w:val="clear" w:color="auto" w:fill="auto"/>
            <w:noWrap/>
            <w:vAlign w:val="center"/>
            <w:hideMark/>
          </w:tcPr>
          <w:p w14:paraId="3A3E692B" w14:textId="77777777" w:rsidR="00AB3BD9" w:rsidRPr="00E20D21" w:rsidRDefault="00AB3BD9" w:rsidP="00AB3BD9">
            <w:pPr>
              <w:rPr>
                <w:rFonts w:ascii="CAIXA Std Book" w:hAnsi="CAIXA Std Book" w:cs="Calibri"/>
                <w:b/>
                <w:bCs/>
                <w:color w:val="005CA9"/>
                <w:sz w:val="18"/>
                <w:szCs w:val="18"/>
              </w:rPr>
            </w:pPr>
            <w:r w:rsidRPr="00E20D21">
              <w:rPr>
                <w:rFonts w:ascii="CAIXA Std Book" w:hAnsi="CAIXA Std Book" w:cs="Calibri"/>
                <w:b/>
                <w:bCs/>
                <w:color w:val="005CA9"/>
                <w:sz w:val="18"/>
                <w:szCs w:val="18"/>
              </w:rPr>
              <w:t>Treinamento</w:t>
            </w:r>
          </w:p>
        </w:tc>
        <w:tc>
          <w:tcPr>
            <w:tcW w:w="789" w:type="pct"/>
            <w:tcBorders>
              <w:top w:val="nil"/>
              <w:left w:val="nil"/>
              <w:bottom w:val="nil"/>
              <w:right w:val="nil"/>
            </w:tcBorders>
            <w:vAlign w:val="center"/>
          </w:tcPr>
          <w:p w14:paraId="07555B56" w14:textId="755E17CF" w:rsidR="00AB3BD9" w:rsidRPr="00E20D21" w:rsidRDefault="00F95399"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129</w:t>
            </w:r>
          </w:p>
        </w:tc>
        <w:tc>
          <w:tcPr>
            <w:tcW w:w="790" w:type="pct"/>
            <w:tcBorders>
              <w:top w:val="nil"/>
              <w:left w:val="nil"/>
              <w:bottom w:val="nil"/>
              <w:right w:val="nil"/>
            </w:tcBorders>
            <w:shd w:val="clear" w:color="auto" w:fill="auto"/>
            <w:vAlign w:val="center"/>
          </w:tcPr>
          <w:p w14:paraId="709D9502" w14:textId="19BE9F14" w:rsidR="00AB3BD9" w:rsidRPr="00E20D21" w:rsidRDefault="00AB3BD9" w:rsidP="00AB3BD9">
            <w:pPr>
              <w:jc w:val="right"/>
              <w:rPr>
                <w:rFonts w:ascii="CAIXA Std Book" w:hAnsi="CAIXA Std Book"/>
                <w:b/>
                <w:color w:val="005CA9"/>
                <w:sz w:val="18"/>
                <w:szCs w:val="18"/>
              </w:rPr>
            </w:pPr>
            <w:r w:rsidRPr="00E20D21">
              <w:rPr>
                <w:rFonts w:ascii="CAIXA Std Book" w:hAnsi="CAIXA Std Book" w:cs="Calibri"/>
                <w:b/>
                <w:bCs/>
                <w:color w:val="005CA9"/>
                <w:sz w:val="18"/>
                <w:szCs w:val="18"/>
              </w:rPr>
              <w:t>209</w:t>
            </w:r>
          </w:p>
        </w:tc>
      </w:tr>
      <w:tr w:rsidR="00AB3BD9" w:rsidRPr="00E20D21" w14:paraId="3249886B" w14:textId="77777777">
        <w:trPr>
          <w:trHeight w:val="282"/>
        </w:trPr>
        <w:tc>
          <w:tcPr>
            <w:tcW w:w="3421" w:type="pct"/>
            <w:tcBorders>
              <w:top w:val="nil"/>
              <w:left w:val="nil"/>
              <w:bottom w:val="single" w:sz="4" w:space="0" w:color="F39200"/>
              <w:right w:val="nil"/>
            </w:tcBorders>
            <w:shd w:val="clear" w:color="auto" w:fill="auto"/>
            <w:noWrap/>
            <w:vAlign w:val="center"/>
            <w:hideMark/>
          </w:tcPr>
          <w:p w14:paraId="51E644CD" w14:textId="77777777" w:rsidR="00AB3BD9" w:rsidRPr="00E20D21" w:rsidRDefault="00AB3BD9" w:rsidP="00AB3BD9">
            <w:pPr>
              <w:rPr>
                <w:rFonts w:ascii="CAIXA Std Book" w:hAnsi="CAIXA Std Book" w:cs="Calibri"/>
                <w:b/>
                <w:bCs/>
                <w:color w:val="005CA9"/>
                <w:sz w:val="18"/>
                <w:szCs w:val="18"/>
              </w:rPr>
            </w:pPr>
            <w:r w:rsidRPr="00E20D21">
              <w:rPr>
                <w:rFonts w:ascii="CAIXA Std Book" w:hAnsi="CAIXA Std Book" w:cs="Calibri"/>
                <w:b/>
                <w:bCs/>
                <w:color w:val="005CA9"/>
                <w:sz w:val="18"/>
                <w:szCs w:val="18"/>
              </w:rPr>
              <w:t>Encargos sociais</w:t>
            </w:r>
          </w:p>
        </w:tc>
        <w:tc>
          <w:tcPr>
            <w:tcW w:w="789" w:type="pct"/>
            <w:tcBorders>
              <w:top w:val="nil"/>
              <w:left w:val="nil"/>
              <w:bottom w:val="nil"/>
              <w:right w:val="nil"/>
            </w:tcBorders>
            <w:vAlign w:val="center"/>
          </w:tcPr>
          <w:p w14:paraId="09EA3ADA" w14:textId="3ACB84F2" w:rsidR="00AB3BD9" w:rsidRPr="00E20D21" w:rsidRDefault="00BA0CA8"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8.1</w:t>
            </w:r>
            <w:r w:rsidR="00A11B5D" w:rsidRPr="00E20D21">
              <w:rPr>
                <w:rFonts w:ascii="CAIXA Std Book" w:hAnsi="CAIXA Std Book" w:cs="Calibri"/>
                <w:b/>
                <w:bCs/>
                <w:color w:val="005CA9"/>
                <w:sz w:val="18"/>
                <w:szCs w:val="18"/>
              </w:rPr>
              <w:t>75</w:t>
            </w:r>
          </w:p>
        </w:tc>
        <w:tc>
          <w:tcPr>
            <w:tcW w:w="790" w:type="pct"/>
            <w:tcBorders>
              <w:top w:val="nil"/>
              <w:left w:val="nil"/>
              <w:bottom w:val="nil"/>
              <w:right w:val="nil"/>
            </w:tcBorders>
            <w:shd w:val="clear" w:color="auto" w:fill="auto"/>
            <w:vAlign w:val="center"/>
          </w:tcPr>
          <w:p w14:paraId="79E07085" w14:textId="40E98254" w:rsidR="00AB3BD9" w:rsidRPr="00E20D21" w:rsidRDefault="00AB3BD9"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4.848</w:t>
            </w:r>
          </w:p>
        </w:tc>
      </w:tr>
      <w:tr w:rsidR="00AB3BD9" w:rsidRPr="00E20D21" w14:paraId="34FE0E81" w14:textId="77777777" w:rsidTr="0045012A">
        <w:trPr>
          <w:trHeight w:val="282"/>
        </w:trPr>
        <w:tc>
          <w:tcPr>
            <w:tcW w:w="3421" w:type="pct"/>
            <w:tcBorders>
              <w:top w:val="nil"/>
              <w:left w:val="nil"/>
              <w:bottom w:val="single" w:sz="4" w:space="0" w:color="F39200"/>
              <w:right w:val="nil"/>
            </w:tcBorders>
            <w:shd w:val="clear" w:color="auto" w:fill="auto"/>
            <w:noWrap/>
            <w:vAlign w:val="center"/>
            <w:hideMark/>
          </w:tcPr>
          <w:p w14:paraId="4A032C24" w14:textId="77777777" w:rsidR="00AB3BD9" w:rsidRPr="00E20D21" w:rsidRDefault="00AB3BD9" w:rsidP="00AB3BD9">
            <w:pPr>
              <w:rPr>
                <w:rFonts w:ascii="CAIXA Std Book" w:hAnsi="CAIXA Std Book" w:cs="Calibri"/>
                <w:b/>
                <w:bCs/>
                <w:color w:val="005CA9"/>
                <w:sz w:val="18"/>
                <w:szCs w:val="18"/>
              </w:rPr>
            </w:pPr>
            <w:r w:rsidRPr="00E20D21">
              <w:rPr>
                <w:rFonts w:ascii="CAIXA Std Book" w:hAnsi="CAIXA Std Book" w:cs="Calibri"/>
                <w:b/>
                <w:bCs/>
                <w:color w:val="005CA9"/>
                <w:sz w:val="18"/>
                <w:szCs w:val="18"/>
              </w:rPr>
              <w:t>Benefícios motivados pela cessação do exercício do cargo</w:t>
            </w:r>
          </w:p>
        </w:tc>
        <w:tc>
          <w:tcPr>
            <w:tcW w:w="789" w:type="pct"/>
            <w:tcBorders>
              <w:top w:val="single" w:sz="4" w:space="0" w:color="ED7D31"/>
              <w:left w:val="nil"/>
              <w:bottom w:val="single" w:sz="4" w:space="0" w:color="F39200"/>
              <w:right w:val="nil"/>
            </w:tcBorders>
            <w:vAlign w:val="center"/>
          </w:tcPr>
          <w:p w14:paraId="76C12E8D" w14:textId="0EB1476C" w:rsidR="00AB3BD9" w:rsidRPr="00E20D21" w:rsidRDefault="00BA0CA8" w:rsidP="0045012A">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369</w:t>
            </w:r>
          </w:p>
        </w:tc>
        <w:tc>
          <w:tcPr>
            <w:tcW w:w="790" w:type="pct"/>
            <w:tcBorders>
              <w:top w:val="single" w:sz="4" w:space="0" w:color="ED7D31"/>
              <w:left w:val="nil"/>
              <w:bottom w:val="single" w:sz="4" w:space="0" w:color="F39200"/>
              <w:right w:val="nil"/>
            </w:tcBorders>
            <w:shd w:val="clear" w:color="auto" w:fill="auto"/>
            <w:vAlign w:val="center"/>
          </w:tcPr>
          <w:p w14:paraId="6C23D061" w14:textId="5939B5F8" w:rsidR="00AB3BD9" w:rsidRPr="00E20D21" w:rsidRDefault="00AB3BD9"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533</w:t>
            </w:r>
          </w:p>
        </w:tc>
      </w:tr>
      <w:tr w:rsidR="00AB3BD9" w:rsidRPr="00E20D21" w14:paraId="5A350748" w14:textId="77777777">
        <w:trPr>
          <w:trHeight w:val="282"/>
        </w:trPr>
        <w:tc>
          <w:tcPr>
            <w:tcW w:w="3421" w:type="pct"/>
            <w:tcBorders>
              <w:top w:val="nil"/>
              <w:left w:val="nil"/>
              <w:bottom w:val="nil"/>
              <w:right w:val="nil"/>
            </w:tcBorders>
            <w:shd w:val="clear" w:color="auto" w:fill="auto"/>
            <w:noWrap/>
            <w:vAlign w:val="center"/>
            <w:hideMark/>
          </w:tcPr>
          <w:p w14:paraId="117F28AF" w14:textId="77777777" w:rsidR="00AB3BD9" w:rsidRPr="00E20D21" w:rsidRDefault="00AB3BD9" w:rsidP="00AB3BD9">
            <w:pPr>
              <w:rPr>
                <w:rFonts w:ascii="CAIXA Std Book" w:hAnsi="CAIXA Std Book" w:cs="Calibri"/>
                <w:b/>
                <w:bCs/>
                <w:color w:val="005CA9"/>
                <w:sz w:val="18"/>
                <w:szCs w:val="18"/>
              </w:rPr>
            </w:pPr>
            <w:r w:rsidRPr="00E20D21">
              <w:rPr>
                <w:rFonts w:ascii="CAIXA Std Book" w:hAnsi="CAIXA Std Book" w:cs="Calibri"/>
                <w:b/>
                <w:bCs/>
                <w:color w:val="005CA9"/>
                <w:sz w:val="18"/>
                <w:szCs w:val="18"/>
              </w:rPr>
              <w:t>Benefícios pós emprego</w:t>
            </w:r>
          </w:p>
        </w:tc>
        <w:tc>
          <w:tcPr>
            <w:tcW w:w="789" w:type="pct"/>
            <w:tcBorders>
              <w:top w:val="nil"/>
              <w:left w:val="nil"/>
              <w:bottom w:val="nil"/>
              <w:right w:val="nil"/>
            </w:tcBorders>
            <w:vAlign w:val="center"/>
          </w:tcPr>
          <w:p w14:paraId="56486F6E" w14:textId="5093262D" w:rsidR="00AB3BD9" w:rsidRPr="00E20D21" w:rsidRDefault="0045012A"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1.040</w:t>
            </w:r>
          </w:p>
        </w:tc>
        <w:tc>
          <w:tcPr>
            <w:tcW w:w="790" w:type="pct"/>
            <w:tcBorders>
              <w:top w:val="nil"/>
              <w:left w:val="nil"/>
              <w:bottom w:val="nil"/>
              <w:right w:val="nil"/>
            </w:tcBorders>
            <w:shd w:val="clear" w:color="auto" w:fill="auto"/>
            <w:vAlign w:val="center"/>
          </w:tcPr>
          <w:p w14:paraId="33E7AF18" w14:textId="1606C2B0" w:rsidR="00AB3BD9" w:rsidRPr="00E20D21" w:rsidRDefault="00AB3BD9" w:rsidP="00AB3BD9">
            <w:pPr>
              <w:jc w:val="right"/>
              <w:rPr>
                <w:rFonts w:ascii="CAIXA Std Book" w:hAnsi="CAIXA Std Book" w:cs="Calibri"/>
                <w:b/>
                <w:bCs/>
                <w:color w:val="005CA9"/>
                <w:sz w:val="18"/>
                <w:szCs w:val="18"/>
              </w:rPr>
            </w:pPr>
            <w:r w:rsidRPr="00E20D21">
              <w:rPr>
                <w:rFonts w:ascii="CAIXA Std Book" w:hAnsi="CAIXA Std Book" w:cs="Calibri"/>
                <w:b/>
                <w:bCs/>
                <w:color w:val="005CA9"/>
                <w:sz w:val="18"/>
                <w:szCs w:val="18"/>
              </w:rPr>
              <w:t>854</w:t>
            </w:r>
          </w:p>
        </w:tc>
      </w:tr>
      <w:tr w:rsidR="00AB3BD9" w:rsidRPr="00E20D21" w14:paraId="14ADBAEF" w14:textId="77777777">
        <w:trPr>
          <w:trHeight w:val="282"/>
        </w:trPr>
        <w:tc>
          <w:tcPr>
            <w:tcW w:w="3421" w:type="pct"/>
            <w:tcBorders>
              <w:top w:val="nil"/>
              <w:left w:val="nil"/>
              <w:bottom w:val="single" w:sz="4" w:space="0" w:color="F39200"/>
              <w:right w:val="nil"/>
            </w:tcBorders>
            <w:shd w:val="clear" w:color="auto" w:fill="auto"/>
            <w:noWrap/>
            <w:vAlign w:val="center"/>
            <w:hideMark/>
          </w:tcPr>
          <w:p w14:paraId="3F652DA6" w14:textId="77777777" w:rsidR="00AB3BD9" w:rsidRPr="00E20D21" w:rsidRDefault="00AB3BD9" w:rsidP="00AB3BD9">
            <w:pPr>
              <w:ind w:firstLineChars="100" w:firstLine="180"/>
              <w:rPr>
                <w:rFonts w:ascii="CAIXA Std Book" w:hAnsi="CAIXA Std Book" w:cs="Calibri"/>
                <w:color w:val="005CA9"/>
                <w:sz w:val="18"/>
                <w:szCs w:val="18"/>
              </w:rPr>
            </w:pPr>
            <w:r w:rsidRPr="00E20D21">
              <w:rPr>
                <w:rFonts w:ascii="CAIXA Std Book" w:hAnsi="CAIXA Std Book" w:cs="Calibri"/>
                <w:color w:val="005CA9"/>
                <w:sz w:val="18"/>
                <w:szCs w:val="18"/>
              </w:rPr>
              <w:t>Previdência complementar</w:t>
            </w:r>
          </w:p>
        </w:tc>
        <w:tc>
          <w:tcPr>
            <w:tcW w:w="789" w:type="pct"/>
            <w:tcBorders>
              <w:top w:val="nil"/>
              <w:left w:val="nil"/>
              <w:bottom w:val="single" w:sz="4" w:space="0" w:color="F79646" w:themeColor="accent6"/>
              <w:right w:val="nil"/>
            </w:tcBorders>
            <w:vAlign w:val="center"/>
          </w:tcPr>
          <w:p w14:paraId="279500A3" w14:textId="6616EF77" w:rsidR="00AB3BD9" w:rsidRPr="00E20D21" w:rsidRDefault="0045012A" w:rsidP="00AB3BD9">
            <w:pPr>
              <w:jc w:val="right"/>
              <w:rPr>
                <w:rFonts w:ascii="CAIXA Std Book" w:hAnsi="CAIXA Std Book" w:cs="Calibri"/>
                <w:color w:val="005CA9"/>
                <w:sz w:val="18"/>
                <w:szCs w:val="18"/>
              </w:rPr>
            </w:pPr>
            <w:r w:rsidRPr="00E20D21">
              <w:rPr>
                <w:rFonts w:ascii="CAIXA Std Book" w:hAnsi="CAIXA Std Book" w:cs="Calibri"/>
                <w:color w:val="005CA9"/>
                <w:sz w:val="18"/>
                <w:szCs w:val="18"/>
              </w:rPr>
              <w:t>1.040</w:t>
            </w:r>
          </w:p>
        </w:tc>
        <w:tc>
          <w:tcPr>
            <w:tcW w:w="790" w:type="pct"/>
            <w:tcBorders>
              <w:top w:val="nil"/>
              <w:left w:val="nil"/>
              <w:bottom w:val="single" w:sz="4" w:space="0" w:color="F79646" w:themeColor="accent6"/>
              <w:right w:val="nil"/>
            </w:tcBorders>
            <w:shd w:val="clear" w:color="auto" w:fill="auto"/>
            <w:noWrap/>
            <w:vAlign w:val="center"/>
          </w:tcPr>
          <w:p w14:paraId="1A46440F" w14:textId="1C679A61" w:rsidR="00AB3BD9" w:rsidRPr="00E20D21" w:rsidRDefault="00AB3BD9" w:rsidP="00AB3BD9">
            <w:pPr>
              <w:jc w:val="right"/>
              <w:rPr>
                <w:rFonts w:ascii="CAIXA Std Book" w:hAnsi="CAIXA Std Book" w:cs="Calibri"/>
                <w:color w:val="005CA9"/>
                <w:sz w:val="18"/>
                <w:szCs w:val="18"/>
              </w:rPr>
            </w:pPr>
            <w:r w:rsidRPr="00E20D21">
              <w:rPr>
                <w:rFonts w:ascii="CAIXA Std Book" w:hAnsi="CAIXA Std Book" w:cs="Calibri"/>
                <w:color w:val="005CA9"/>
                <w:sz w:val="18"/>
                <w:szCs w:val="18"/>
              </w:rPr>
              <w:t>854</w:t>
            </w:r>
          </w:p>
        </w:tc>
      </w:tr>
    </w:tbl>
    <w:p w14:paraId="641F4CAE" w14:textId="7F9F03FF" w:rsidR="0054776D" w:rsidRPr="00E20D21" w:rsidRDefault="0054776D" w:rsidP="0054776D">
      <w:pPr>
        <w:spacing w:before="240" w:after="120"/>
        <w:jc w:val="both"/>
        <w:rPr>
          <w:rFonts w:ascii="CAIXA Std Book" w:hAnsi="CAIXA Std Book"/>
          <w:color w:val="005CA9"/>
          <w:sz w:val="20"/>
          <w:szCs w:val="20"/>
        </w:rPr>
      </w:pPr>
      <w:r w:rsidRPr="00E20D21">
        <w:rPr>
          <w:rFonts w:ascii="CAIXA Std Book" w:hAnsi="CAIXA Std Book"/>
          <w:color w:val="005CA9"/>
          <w:sz w:val="20"/>
          <w:szCs w:val="20"/>
        </w:rPr>
        <w:t xml:space="preserve">Os benefícios incluem auxílio alimentação, auxílio moradia e plano de saúde aos membros da diretoria. </w:t>
      </w:r>
    </w:p>
    <w:p w14:paraId="1FCDAD51" w14:textId="77777777" w:rsidR="0054776D" w:rsidRPr="00E20D21" w:rsidRDefault="0054776D" w:rsidP="0054776D">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No item Previdência Complementar, os benefícios pós-emprego são restritos aos membros da diretoria, Conselho de Administração e Conselho Fiscal da CAIXA.</w:t>
      </w:r>
    </w:p>
    <w:p w14:paraId="4C72C333" w14:textId="1205254A" w:rsidR="001F143B" w:rsidRPr="00E20D21" w:rsidRDefault="0054776D" w:rsidP="00E55DC1">
      <w:pPr>
        <w:spacing w:before="120" w:after="120"/>
        <w:jc w:val="both"/>
        <w:rPr>
          <w:rFonts w:ascii="CAIXA Std Book" w:hAnsi="CAIXA Std Book"/>
          <w:color w:val="005CA9"/>
        </w:rPr>
      </w:pPr>
      <w:r w:rsidRPr="00E20D21">
        <w:rPr>
          <w:rFonts w:ascii="CAIXA Std Book" w:hAnsi="CAIXA Std Book"/>
          <w:color w:val="005CA9"/>
          <w:sz w:val="20"/>
          <w:szCs w:val="20"/>
        </w:rPr>
        <w:t xml:space="preserve">A CAIXA não possui remuneração baseada em ações ou </w:t>
      </w:r>
      <w:r w:rsidR="00775750" w:rsidRPr="00E20D21">
        <w:rPr>
          <w:rFonts w:ascii="CAIXA Std Book" w:hAnsi="CAIXA Std Book"/>
          <w:color w:val="005CA9"/>
          <w:sz w:val="20"/>
          <w:szCs w:val="20"/>
        </w:rPr>
        <w:t xml:space="preserve">outros </w:t>
      </w:r>
      <w:r w:rsidRPr="00E20D21">
        <w:rPr>
          <w:rFonts w:ascii="CAIXA Std Book" w:hAnsi="CAIXA Std Book"/>
          <w:color w:val="005CA9"/>
          <w:sz w:val="20"/>
          <w:szCs w:val="20"/>
        </w:rPr>
        <w:t>benefícios de longo prazo a seus funcionários e pessoal chave da administração.</w:t>
      </w:r>
      <w:bookmarkEnd w:id="97"/>
    </w:p>
    <w:p w14:paraId="30DEB95D" w14:textId="469E92CE" w:rsidR="008B1CEB" w:rsidRPr="00E20D21" w:rsidRDefault="008B1CEB" w:rsidP="00FD7768">
      <w:pPr>
        <w:pStyle w:val="Ttulo1"/>
      </w:pPr>
      <w:bookmarkStart w:id="98" w:name="_Toc175067973"/>
      <w:r w:rsidRPr="00E20D21">
        <w:lastRenderedPageBreak/>
        <w:t>Nota 3</w:t>
      </w:r>
      <w:r w:rsidR="004917F8" w:rsidRPr="00E20D21">
        <w:t>3</w:t>
      </w:r>
      <w:r w:rsidRPr="00E20D21">
        <w:t xml:space="preserve"> – Gerenciamento de riscos e de capital</w:t>
      </w:r>
      <w:bookmarkEnd w:id="98"/>
    </w:p>
    <w:p w14:paraId="191C99EA" w14:textId="77777777" w:rsidR="007441C8" w:rsidRPr="00E20D21" w:rsidRDefault="007441C8" w:rsidP="007441C8">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Na CAIXA, o gerenciamento de riscos e de capital é percebido como fator de diferencial competitivo no mercado financeiro e principal meio para preservação de sua solvência, liquidez e rentabilidade.</w:t>
      </w:r>
    </w:p>
    <w:p w14:paraId="79496133"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gerenciamento de riscos e de capital é realizado por estruturas dedicadas que abrangem sistemas, rotinas, procedimentos e modelos, e são responsáveis pela identificação, mensuração, avaliação, monitoramento, controle, mitigação e comunicação à Alta Administração, visando suportar a tomada de decisão.</w:t>
      </w:r>
    </w:p>
    <w:p w14:paraId="0F22E568" w14:textId="16D58D59"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Em conformidade com a regulação vigente e às boas práticas de governança corporativa, as estruturas de riscos e de capital são compostas pelo Conselho de Administração – CA; pelo Comitê Independente de Risco – CORIS, que subsidia o CA na tomada de decisões nas questões relacionadas à gestão de riscos e de capital; pelo Conselho Diretor – CD; pela Vice-Presidência de Riscos – VICOR e </w:t>
      </w:r>
      <w:r w:rsidR="00A158F9" w:rsidRPr="00E20D21">
        <w:rPr>
          <w:rFonts w:ascii="CAIXA Std Book" w:hAnsi="CAIXA Std Book"/>
          <w:color w:val="005CA9"/>
          <w:sz w:val="20"/>
          <w:szCs w:val="20"/>
        </w:rPr>
        <w:t>pel</w:t>
      </w:r>
      <w:r w:rsidRPr="00E20D21">
        <w:rPr>
          <w:rFonts w:ascii="CAIXA Std Book" w:hAnsi="CAIXA Std Book"/>
          <w:color w:val="005CA9"/>
          <w:sz w:val="20"/>
          <w:szCs w:val="20"/>
        </w:rPr>
        <w:t xml:space="preserve">o Diretor Executivo de Riscos – DECOR como </w:t>
      </w:r>
      <w:proofErr w:type="spellStart"/>
      <w:r w:rsidRPr="00E20D21">
        <w:rPr>
          <w:rFonts w:ascii="CAIXA Std Book" w:hAnsi="CAIXA Std Book"/>
          <w:i/>
          <w:iCs/>
          <w:color w:val="005CA9"/>
          <w:sz w:val="20"/>
          <w:szCs w:val="20"/>
        </w:rPr>
        <w:t>Chief</w:t>
      </w:r>
      <w:proofErr w:type="spellEnd"/>
      <w:r w:rsidRPr="00E20D21">
        <w:rPr>
          <w:rFonts w:ascii="CAIXA Std Book" w:hAnsi="CAIXA Std Book"/>
          <w:i/>
          <w:iCs/>
          <w:color w:val="005CA9"/>
          <w:sz w:val="20"/>
          <w:szCs w:val="20"/>
        </w:rPr>
        <w:t xml:space="preserve"> Risk Officer – CRO.</w:t>
      </w:r>
    </w:p>
    <w:p w14:paraId="48C76E45" w14:textId="194F77C8"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Superintendência Nacional de Riscos Corporativos – SUCOR, subordinada </w:t>
      </w:r>
      <w:r w:rsidR="00A158F9" w:rsidRPr="00E20D21">
        <w:rPr>
          <w:rFonts w:ascii="CAIXA Std Book" w:hAnsi="CAIXA Std Book"/>
          <w:color w:val="005CA9"/>
          <w:sz w:val="20"/>
          <w:szCs w:val="20"/>
        </w:rPr>
        <w:t>à</w:t>
      </w:r>
      <w:r w:rsidRPr="00E20D21">
        <w:rPr>
          <w:rFonts w:ascii="CAIXA Std Book" w:hAnsi="CAIXA Std Book"/>
          <w:color w:val="005CA9"/>
          <w:sz w:val="20"/>
          <w:szCs w:val="20"/>
        </w:rPr>
        <w:t xml:space="preserve"> DECOR coordena as iniciativas de adequação da CAIXA ao Novo Acordo de Capitais de Basileia e é responsável por propor a política de gerenciamento de risco do conglomerado CAIXA, a política de gerenciamento de capital e de distribuição de resultados da CAIXA, bem como avaliar e emitir parecer para negócios e demais ações correlatas ao gerenciamento de riscos e </w:t>
      </w:r>
      <w:r w:rsidR="006A4F56" w:rsidRPr="00E20D21">
        <w:rPr>
          <w:rFonts w:ascii="CAIXA Std Book" w:hAnsi="CAIXA Std Book"/>
          <w:color w:val="005CA9"/>
          <w:sz w:val="20"/>
          <w:szCs w:val="20"/>
        </w:rPr>
        <w:t xml:space="preserve">de </w:t>
      </w:r>
      <w:r w:rsidRPr="00E20D21">
        <w:rPr>
          <w:rFonts w:ascii="CAIXA Std Book" w:hAnsi="CAIXA Std Book"/>
          <w:color w:val="005CA9"/>
          <w:sz w:val="20"/>
          <w:szCs w:val="20"/>
        </w:rPr>
        <w:t>capital do conglomerado.</w:t>
      </w:r>
    </w:p>
    <w:p w14:paraId="25DE1C58" w14:textId="6F4FFC24" w:rsidR="00F15CAF" w:rsidRPr="00E20D21" w:rsidRDefault="00F15CAF"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t xml:space="preserve">Estrutura de </w:t>
      </w:r>
      <w:r w:rsidR="003808BB" w:rsidRPr="00E20D21">
        <w:rPr>
          <w:rFonts w:ascii="CAIXA Std Book" w:hAnsi="CAIXA Std Book"/>
          <w:b/>
          <w:color w:val="005CA9"/>
          <w:sz w:val="20"/>
          <w:szCs w:val="20"/>
        </w:rPr>
        <w:t>g</w:t>
      </w:r>
      <w:r w:rsidRPr="00E20D21">
        <w:rPr>
          <w:rFonts w:ascii="CAIXA Std Book" w:hAnsi="CAIXA Std Book"/>
          <w:b/>
          <w:color w:val="005CA9"/>
          <w:sz w:val="20"/>
          <w:szCs w:val="20"/>
        </w:rPr>
        <w:t xml:space="preserve">erenciamento de </w:t>
      </w:r>
      <w:r w:rsidR="003808BB" w:rsidRPr="00E20D21">
        <w:rPr>
          <w:rFonts w:ascii="CAIXA Std Book" w:hAnsi="CAIXA Std Book"/>
          <w:b/>
          <w:color w:val="005CA9"/>
          <w:sz w:val="20"/>
          <w:szCs w:val="20"/>
        </w:rPr>
        <w:t>r</w:t>
      </w:r>
      <w:r w:rsidRPr="00E20D21">
        <w:rPr>
          <w:rFonts w:ascii="CAIXA Std Book" w:hAnsi="CAIXA Std Book"/>
          <w:b/>
          <w:color w:val="005CA9"/>
          <w:sz w:val="20"/>
          <w:szCs w:val="20"/>
        </w:rPr>
        <w:t>iscos</w:t>
      </w:r>
    </w:p>
    <w:p w14:paraId="54F21630" w14:textId="62EEB34F"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mantém estruturas de gerenciamento de risco</w:t>
      </w:r>
      <w:r w:rsidR="007B57D6" w:rsidRPr="00E20D21">
        <w:rPr>
          <w:rFonts w:ascii="CAIXA Std Book" w:hAnsi="CAIXA Std Book"/>
          <w:color w:val="005CA9"/>
          <w:sz w:val="20"/>
          <w:szCs w:val="20"/>
        </w:rPr>
        <w:t>s</w:t>
      </w:r>
      <w:r w:rsidRPr="00E20D21">
        <w:rPr>
          <w:rFonts w:ascii="CAIXA Std Book" w:hAnsi="CAIXA Std Book"/>
          <w:color w:val="005CA9"/>
          <w:sz w:val="20"/>
          <w:szCs w:val="20"/>
        </w:rPr>
        <w:t xml:space="preserve"> adequada à natureza das operações e </w:t>
      </w:r>
      <w:r w:rsidR="00B72A7E" w:rsidRPr="00E20D21">
        <w:rPr>
          <w:rFonts w:ascii="CAIXA Std Book" w:hAnsi="CAIXA Std Book"/>
          <w:color w:val="005CA9"/>
          <w:sz w:val="20"/>
          <w:szCs w:val="20"/>
        </w:rPr>
        <w:t>à</w:t>
      </w:r>
      <w:r w:rsidRPr="00E20D21">
        <w:rPr>
          <w:rFonts w:ascii="CAIXA Std Book" w:hAnsi="CAIXA Std Book"/>
          <w:color w:val="005CA9"/>
          <w:sz w:val="20"/>
          <w:szCs w:val="20"/>
        </w:rPr>
        <w:t xml:space="preserve"> complexidade de seus produtos, serviços, atividades e processos compatíveis à sua exposição a cada modalidade de risco.</w:t>
      </w:r>
    </w:p>
    <w:p w14:paraId="664A0E72"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Compõem as estruturas de gerenciamento de riscos os sistemas, rotinas, procedimentos e modelos que possibilitam a identificação, mensuração, monitoramento, controle, mitigação e comunicação dos riscos relevantes incorridos pela CAIXA, inclusive simulações em condições normais e de estresse. </w:t>
      </w:r>
    </w:p>
    <w:p w14:paraId="4219118B"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adota postura prospectiva segundo os níveis de riscos que está disposta a assumir, constantes na Declaração de Apetite por Riscos – RAS.</w:t>
      </w:r>
    </w:p>
    <w:p w14:paraId="56C2CB13" w14:textId="45B24CEC"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identificação, avaliação e tomada de decisão quanto à mitigação, transferência ou assunção do risco tem atuação efetiva por parte do gestor responsável, e quando se tratar de exposição relevante</w:t>
      </w:r>
      <w:r w:rsidR="00F50B0B" w:rsidRPr="00E20D21">
        <w:rPr>
          <w:rFonts w:ascii="CAIXA Std Book" w:hAnsi="CAIXA Std Book"/>
          <w:color w:val="005CA9"/>
          <w:sz w:val="20"/>
          <w:szCs w:val="20"/>
        </w:rPr>
        <w:t>,</w:t>
      </w:r>
      <w:r w:rsidRPr="00E20D21">
        <w:rPr>
          <w:rFonts w:ascii="CAIXA Std Book" w:hAnsi="CAIXA Std Book"/>
          <w:color w:val="005CA9"/>
          <w:sz w:val="20"/>
          <w:szCs w:val="20"/>
        </w:rPr>
        <w:t xml:space="preserve"> toda decisão tem a anuência dos colegiados pertinentes.</w:t>
      </w:r>
    </w:p>
    <w:p w14:paraId="09F57FFB"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critérios para definir as exposições relevantes são aprovados pela governança e revisados com o objetivo de compreender suas fontes e identificar formas de reduzi-las ao estritamente necessário para a consecução dos objetivos estratégicos da CAIXA.</w:t>
      </w:r>
    </w:p>
    <w:p w14:paraId="2A3B7F20" w14:textId="4708FFB1"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estabelece</w:t>
      </w:r>
      <w:r w:rsidR="00864C8F" w:rsidRPr="00E20D21">
        <w:rPr>
          <w:rFonts w:ascii="CAIXA Std Book" w:hAnsi="CAIXA Std Book"/>
          <w:color w:val="005CA9"/>
          <w:sz w:val="20"/>
          <w:szCs w:val="20"/>
        </w:rPr>
        <w:t>,</w:t>
      </w:r>
      <w:r w:rsidRPr="00E20D21">
        <w:rPr>
          <w:rFonts w:ascii="CAIXA Std Book" w:hAnsi="CAIXA Std Book"/>
          <w:color w:val="005CA9"/>
          <w:sz w:val="20"/>
          <w:szCs w:val="20"/>
        </w:rPr>
        <w:t xml:space="preserve"> ainda, limites para cada categoria de risco visando preservar a sua solvência, liquidez, rentabilidade e estrutura de capital, observando as normas regulatórias, determinações do controlador e as boas práticas de mercado. Tais limites são ajustados periodicamente, considerando a estratégia e o ambiente de negócios, fatores macroeconômicos e a capacidade de cada subsidiária assumir riscos e suportar perdas.</w:t>
      </w:r>
    </w:p>
    <w:p w14:paraId="126AA852" w14:textId="77777777" w:rsidR="007E4C64" w:rsidRPr="00E20D21" w:rsidRDefault="007E4C64">
      <w:pPr>
        <w:rPr>
          <w:rFonts w:ascii="CAIXA Std Book" w:hAnsi="CAIXA Std Book"/>
          <w:b/>
          <w:color w:val="005CA9"/>
          <w:sz w:val="20"/>
          <w:szCs w:val="20"/>
        </w:rPr>
      </w:pPr>
      <w:r w:rsidRPr="00E20D21">
        <w:rPr>
          <w:rFonts w:ascii="CAIXA Std Book" w:hAnsi="CAIXA Std Book"/>
          <w:b/>
          <w:color w:val="005CA9"/>
          <w:sz w:val="20"/>
          <w:szCs w:val="20"/>
        </w:rPr>
        <w:br w:type="page"/>
      </w:r>
    </w:p>
    <w:p w14:paraId="4788B848" w14:textId="482069E3" w:rsidR="00F15CAF" w:rsidRPr="00E20D21" w:rsidRDefault="00F15CAF"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lastRenderedPageBreak/>
        <w:t xml:space="preserve">Risco de </w:t>
      </w:r>
      <w:r w:rsidR="003808BB" w:rsidRPr="00E20D21">
        <w:rPr>
          <w:rFonts w:ascii="CAIXA Std Book" w:hAnsi="CAIXA Std Book"/>
          <w:b/>
          <w:color w:val="005CA9"/>
          <w:sz w:val="20"/>
          <w:szCs w:val="20"/>
        </w:rPr>
        <w:t>c</w:t>
      </w:r>
      <w:r w:rsidRPr="00E20D21">
        <w:rPr>
          <w:rFonts w:ascii="CAIXA Std Book" w:hAnsi="CAIXA Std Book"/>
          <w:b/>
          <w:color w:val="005CA9"/>
          <w:sz w:val="20"/>
          <w:szCs w:val="20"/>
        </w:rPr>
        <w:t>rédito</w:t>
      </w:r>
    </w:p>
    <w:p w14:paraId="63126AD6" w14:textId="35CDFA9D"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risco de crédito, conforme definição da Resolução </w:t>
      </w:r>
      <w:r w:rsidR="003808BB" w:rsidRPr="00E20D21">
        <w:rPr>
          <w:rFonts w:ascii="CAIXA Std Book" w:hAnsi="CAIXA Std Book"/>
          <w:color w:val="005CA9"/>
          <w:sz w:val="20"/>
          <w:szCs w:val="20"/>
        </w:rPr>
        <w:t xml:space="preserve">CMN </w:t>
      </w:r>
      <w:r w:rsidRPr="00E20D21">
        <w:rPr>
          <w:rFonts w:ascii="CAIXA Std Book" w:hAnsi="CAIXA Std Book"/>
          <w:color w:val="005CA9"/>
          <w:sz w:val="20"/>
          <w:szCs w:val="20"/>
        </w:rPr>
        <w:t xml:space="preserve">nº 4.557/2017, é entendido como a possibilidade de ocorrência de perdas associadas ao não cumprimento, pelo tomador ou contraparte, de suas respectivas obrigações financeiras nos termos pactuados, bem como </w:t>
      </w:r>
      <w:r w:rsidR="00F7531C" w:rsidRPr="00E20D21">
        <w:rPr>
          <w:rFonts w:ascii="CAIXA Std Book" w:hAnsi="CAIXA Std Book"/>
          <w:color w:val="005CA9"/>
          <w:sz w:val="20"/>
          <w:szCs w:val="20"/>
        </w:rPr>
        <w:t>a</w:t>
      </w:r>
      <w:r w:rsidRPr="00E20D21">
        <w:rPr>
          <w:rFonts w:ascii="CAIXA Std Book" w:hAnsi="CAIXA Std Book"/>
          <w:color w:val="005CA9"/>
          <w:sz w:val="20"/>
          <w:szCs w:val="20"/>
        </w:rPr>
        <w:t xml:space="preserve"> desvalorização de contrato de crédito decorrente da deterioração na classificação de risco de tomador, </w:t>
      </w:r>
      <w:r w:rsidR="00F7531C" w:rsidRPr="00E20D21">
        <w:rPr>
          <w:rFonts w:ascii="CAIXA Std Book" w:hAnsi="CAIXA Std Book"/>
          <w:color w:val="005CA9"/>
          <w:sz w:val="20"/>
          <w:szCs w:val="20"/>
        </w:rPr>
        <w:t>a</w:t>
      </w:r>
      <w:r w:rsidRPr="00E20D21">
        <w:rPr>
          <w:rFonts w:ascii="CAIXA Std Book" w:hAnsi="CAIXA Std Book"/>
          <w:color w:val="005CA9"/>
          <w:sz w:val="20"/>
          <w:szCs w:val="20"/>
        </w:rPr>
        <w:t xml:space="preserve"> redução de ganhos ou remunerações, </w:t>
      </w:r>
      <w:r w:rsidR="00F7531C" w:rsidRPr="00E20D21">
        <w:rPr>
          <w:rFonts w:ascii="CAIXA Std Book" w:hAnsi="CAIXA Std Book"/>
          <w:color w:val="005CA9"/>
          <w:sz w:val="20"/>
          <w:szCs w:val="20"/>
        </w:rPr>
        <w:t>a</w:t>
      </w:r>
      <w:r w:rsidRPr="00E20D21">
        <w:rPr>
          <w:rFonts w:ascii="CAIXA Std Book" w:hAnsi="CAIXA Std Book"/>
          <w:color w:val="005CA9"/>
          <w:sz w:val="20"/>
          <w:szCs w:val="20"/>
        </w:rPr>
        <w:t>s vantagens concedidas na renegociação, aos custos de recuperação e a outros valores relativos ao descumprimento de obrigações financeiras da contraparte. Adicionalmente, inclui o risco de concentração e o risco país/risco de transferência.</w:t>
      </w:r>
    </w:p>
    <w:p w14:paraId="549974EC" w14:textId="2F5F4979"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gerenciamento do risco de crédito visa manter a qualidade da carteira de crédito em níveis coerentes com o apetite de risco da instituição para cada segmento, e sua gestão rigorosa e abrangente fornece estabilidade para os resultados financeiros</w:t>
      </w:r>
      <w:r w:rsidR="00801614" w:rsidRPr="00E20D21">
        <w:rPr>
          <w:rFonts w:ascii="CAIXA Std Book" w:hAnsi="CAIXA Std Book"/>
          <w:color w:val="005CA9"/>
          <w:sz w:val="20"/>
          <w:szCs w:val="20"/>
        </w:rPr>
        <w:t>, contribuindo</w:t>
      </w:r>
      <w:r w:rsidRPr="00E20D21">
        <w:rPr>
          <w:rFonts w:ascii="CAIXA Std Book" w:hAnsi="CAIXA Std Book"/>
          <w:color w:val="005CA9"/>
          <w:sz w:val="20"/>
          <w:szCs w:val="20"/>
        </w:rPr>
        <w:t xml:space="preserve"> na geração de valor e na consolidação da imagem de banco público sólido, integrado, rentável, socialmente responsável e eficiente.</w:t>
      </w:r>
    </w:p>
    <w:p w14:paraId="1E277221" w14:textId="2C4E8F4A"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possui políticas, normas e procedimentos, os quais estabelecem as diretrizes básicas de atuação relacionadas ao gerenciamento do risco de crédito e asseguram que a Instituição mantenha uma estrutura de controle compatível com a natureza de suas operações, complexidade dos seus produtos e serviços, atividades, processos, sistemas e a dimensão de sua exposição aos riscos.</w:t>
      </w:r>
    </w:p>
    <w:p w14:paraId="6A522125"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regras aplicáveis aos limites internos associados ao risco de crédito estão alinhadas ao tratamento prudencial brasileiro e às recomendações do Comitê de Basileia para Supervisão Bancária e levam em consideração os elementos críticos associados aos processos, sistemas e pessoas que trazem impacto direto na execução do plano estratégico e nos resultados da Instituição, vinculando-se diretamente à Declaração de Apetite por Riscos – RAS e à Política de Gerenciamento de Risco do Conglomerado CAIXA.</w:t>
      </w:r>
    </w:p>
    <w:p w14:paraId="6BCE7B61" w14:textId="340E4614"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Ademais, as regras e os limites de exposição a riscos vigente</w:t>
      </w:r>
      <w:r w:rsidR="00766F9A" w:rsidRPr="00E20D21">
        <w:rPr>
          <w:rFonts w:ascii="CAIXA Std Book" w:hAnsi="CAIXA Std Book"/>
          <w:color w:val="005CA9"/>
          <w:sz w:val="20"/>
          <w:szCs w:val="20"/>
        </w:rPr>
        <w:t>s</w:t>
      </w:r>
      <w:r w:rsidRPr="00E20D21">
        <w:rPr>
          <w:rFonts w:ascii="CAIXA Std Book" w:hAnsi="CAIXA Std Book"/>
          <w:color w:val="005CA9"/>
          <w:sz w:val="20"/>
          <w:szCs w:val="20"/>
        </w:rPr>
        <w:t xml:space="preserve"> são revisados regularmente, ou sempre que modificações nas condições macroeconômicas, nas condições do mercado financeiro, na estrutura de capital ou na estratégia da CAIXA possam trazer impactos significativos ao risco de crédito.</w:t>
      </w:r>
    </w:p>
    <w:p w14:paraId="6B602A80"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Assim, a diretriz estratégica de manter a qualidade da carteira de crédito sem comprometer sua expansão, alinhada às políticas de risco e de crédito, exige aprimoramento contínuo dos processos relacionados à estrutura de gerenciamento de risco de crédito.</w:t>
      </w:r>
    </w:p>
    <w:p w14:paraId="634B70DA" w14:textId="6DB51E76" w:rsidR="00F15CAF" w:rsidRPr="00E20D21" w:rsidRDefault="00F15CAF"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t xml:space="preserve">Risco de </w:t>
      </w:r>
      <w:r w:rsidR="009667DB" w:rsidRPr="00E20D21">
        <w:rPr>
          <w:rFonts w:ascii="CAIXA Std Book" w:hAnsi="CAIXA Std Book"/>
          <w:b/>
          <w:color w:val="005CA9"/>
          <w:sz w:val="20"/>
          <w:szCs w:val="20"/>
        </w:rPr>
        <w:t>m</w:t>
      </w:r>
      <w:r w:rsidRPr="00E20D21">
        <w:rPr>
          <w:rFonts w:ascii="CAIXA Std Book" w:hAnsi="CAIXA Std Book"/>
          <w:b/>
          <w:color w:val="005CA9"/>
          <w:sz w:val="20"/>
          <w:szCs w:val="20"/>
        </w:rPr>
        <w:t>ercado</w:t>
      </w:r>
    </w:p>
    <w:p w14:paraId="60353AE1" w14:textId="64B332F4"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estrutura de gerenciamento do risco de mercado implementada na CAIXA estava aderente às determinações das Resoluções CMN nº 3.464/2007 e nº 4.388/2014. Com a publicação da Resolução CMN nº 4.557/2017 que revogou a Resolução CMN nº 3.464/2007, o gerenciamento de risco incorporou como premissa a visão prospectiva, com monitoramento contínuo e integrado dos riscos, considerando o apetite por risco</w:t>
      </w:r>
      <w:r w:rsidR="006B5764" w:rsidRPr="00E20D21">
        <w:rPr>
          <w:rFonts w:ascii="CAIXA Std Book" w:hAnsi="CAIXA Std Book"/>
          <w:color w:val="005CA9"/>
          <w:sz w:val="20"/>
          <w:szCs w:val="20"/>
        </w:rPr>
        <w:t>s</w:t>
      </w:r>
      <w:r w:rsidRPr="00E20D21">
        <w:rPr>
          <w:rFonts w:ascii="CAIXA Std Book" w:hAnsi="CAIXA Std Book"/>
          <w:color w:val="005CA9"/>
          <w:sz w:val="20"/>
          <w:szCs w:val="20"/>
        </w:rPr>
        <w:t xml:space="preserve"> e a importância sistêmica da instituição, a compatibilidade com o modelo de negócio, com a natureza das operações e com a complexidade dos produtos</w:t>
      </w:r>
      <w:r w:rsidR="00D92736" w:rsidRPr="00E20D21">
        <w:rPr>
          <w:rFonts w:ascii="CAIXA Std Book" w:hAnsi="CAIXA Std Book"/>
          <w:color w:val="005CA9"/>
          <w:sz w:val="20"/>
          <w:szCs w:val="20"/>
        </w:rPr>
        <w:t>,</w:t>
      </w:r>
      <w:r w:rsidRPr="00E20D21">
        <w:rPr>
          <w:rFonts w:ascii="CAIXA Std Book" w:hAnsi="CAIXA Std Book"/>
          <w:color w:val="005CA9"/>
          <w:sz w:val="20"/>
          <w:szCs w:val="20"/>
        </w:rPr>
        <w:t xml:space="preserve"> serviços</w:t>
      </w:r>
      <w:r w:rsidR="00DA2521" w:rsidRPr="00E20D21">
        <w:rPr>
          <w:rFonts w:ascii="CAIXA Std Book" w:hAnsi="CAIXA Std Book"/>
          <w:color w:val="005CA9"/>
          <w:sz w:val="20"/>
          <w:szCs w:val="20"/>
        </w:rPr>
        <w:t>,</w:t>
      </w:r>
      <w:r w:rsidRPr="00E20D21">
        <w:rPr>
          <w:rFonts w:ascii="CAIXA Std Book" w:hAnsi="CAIXA Std Book"/>
          <w:color w:val="005CA9"/>
          <w:sz w:val="20"/>
          <w:szCs w:val="20"/>
        </w:rPr>
        <w:t xml:space="preserve"> atividades e processos da instituição.</w:t>
      </w:r>
    </w:p>
    <w:p w14:paraId="7520A1DA"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atividades de administração do risco de mercado são segregadas e independentes das negociais, de registro e liquidação de operações, de monitoramento de modelos e de auditoria, de forma a evitar conflitos de interesses e a resguardar a imparcialidade dos trabalhos executados.</w:t>
      </w:r>
    </w:p>
    <w:p w14:paraId="7FEE1969" w14:textId="6726CAC8"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área de riscos faz a proposta para a revisão da estrutura de apetite </w:t>
      </w:r>
      <w:r w:rsidR="00C62169" w:rsidRPr="00E20D21">
        <w:rPr>
          <w:rFonts w:ascii="CAIXA Std Book" w:hAnsi="CAIXA Std Book"/>
          <w:color w:val="005CA9"/>
          <w:sz w:val="20"/>
          <w:szCs w:val="20"/>
        </w:rPr>
        <w:t>por</w:t>
      </w:r>
      <w:r w:rsidRPr="00E20D21">
        <w:rPr>
          <w:rFonts w:ascii="CAIXA Std Book" w:hAnsi="CAIXA Std Book"/>
          <w:color w:val="005CA9"/>
          <w:sz w:val="20"/>
          <w:szCs w:val="20"/>
        </w:rPr>
        <w:t xml:space="preserve"> riscos e demais limites e submete à aprovação das instâncias internas de governança de riscos e</w:t>
      </w:r>
      <w:r w:rsidR="005B4D75" w:rsidRPr="00E20D21">
        <w:rPr>
          <w:rFonts w:ascii="CAIXA Std Book" w:hAnsi="CAIXA Std Book"/>
          <w:color w:val="005CA9"/>
          <w:sz w:val="20"/>
          <w:szCs w:val="20"/>
        </w:rPr>
        <w:t>,</w:t>
      </w:r>
      <w:r w:rsidRPr="00E20D21">
        <w:rPr>
          <w:rFonts w:ascii="CAIXA Std Book" w:hAnsi="CAIXA Std Book"/>
          <w:color w:val="005CA9"/>
          <w:sz w:val="20"/>
          <w:szCs w:val="20"/>
        </w:rPr>
        <w:t xml:space="preserve"> por fim</w:t>
      </w:r>
      <w:r w:rsidR="005B4D75" w:rsidRPr="00E20D21">
        <w:rPr>
          <w:rFonts w:ascii="CAIXA Std Book" w:hAnsi="CAIXA Std Book"/>
          <w:color w:val="005CA9"/>
          <w:sz w:val="20"/>
          <w:szCs w:val="20"/>
        </w:rPr>
        <w:t>,</w:t>
      </w:r>
      <w:r w:rsidRPr="00E20D21">
        <w:rPr>
          <w:rFonts w:ascii="CAIXA Std Book" w:hAnsi="CAIXA Std Book"/>
          <w:color w:val="005CA9"/>
          <w:sz w:val="20"/>
          <w:szCs w:val="20"/>
        </w:rPr>
        <w:t xml:space="preserve"> para aprovação do Conselho de Administração da CAIXA. A comunicação das propostas de revisão dos limites tramita em sistema informatizado interno construído para essa finalidade. </w:t>
      </w:r>
    </w:p>
    <w:p w14:paraId="6C51BCAA"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resultados dos indicadores de risco de mercado e seus limites são acompanhados diariamente pela área de riscos, pela tesouraria e pela área de finanças responsável pela gestão de ativos e passivos.</w:t>
      </w:r>
    </w:p>
    <w:p w14:paraId="6812142E" w14:textId="77777777" w:rsidR="00227191" w:rsidRPr="00E20D21" w:rsidRDefault="00227191">
      <w:pPr>
        <w:rPr>
          <w:rFonts w:ascii="CAIXA Std Book" w:hAnsi="CAIXA Std Book"/>
          <w:b/>
          <w:color w:val="005CA9"/>
          <w:sz w:val="20"/>
          <w:szCs w:val="20"/>
        </w:rPr>
      </w:pPr>
      <w:r w:rsidRPr="00E20D21">
        <w:rPr>
          <w:rFonts w:ascii="CAIXA Std Book" w:hAnsi="CAIXA Std Book"/>
          <w:b/>
          <w:color w:val="005CA9"/>
          <w:sz w:val="20"/>
          <w:szCs w:val="20"/>
        </w:rPr>
        <w:br w:type="page"/>
      </w:r>
    </w:p>
    <w:p w14:paraId="16BFB8C7" w14:textId="15BBFE28" w:rsidR="00F15CAF" w:rsidRPr="00E20D21" w:rsidRDefault="00F15CAF"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lastRenderedPageBreak/>
        <w:t xml:space="preserve">Risco de </w:t>
      </w:r>
      <w:r w:rsidR="006815B5" w:rsidRPr="00E20D21">
        <w:rPr>
          <w:rFonts w:ascii="CAIXA Std Book" w:hAnsi="CAIXA Std Book"/>
          <w:b/>
          <w:color w:val="005CA9"/>
          <w:sz w:val="20"/>
          <w:szCs w:val="20"/>
        </w:rPr>
        <w:t>l</w:t>
      </w:r>
      <w:r w:rsidRPr="00E20D21">
        <w:rPr>
          <w:rFonts w:ascii="CAIXA Std Book" w:hAnsi="CAIXA Std Book"/>
          <w:b/>
          <w:color w:val="005CA9"/>
          <w:sz w:val="20"/>
          <w:szCs w:val="20"/>
        </w:rPr>
        <w:t>iquidez</w:t>
      </w:r>
    </w:p>
    <w:p w14:paraId="542056E0" w14:textId="27EBE8E9"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mantém estrutura de gerenciamento de risco de liquidez compatível com a natureza das operações e a complexidade dos produtos e serviços oferecidos em conformidade ao estabelecido na</w:t>
      </w:r>
      <w:r w:rsidR="006E744C"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Resolução CMN nº 4.557/2017. </w:t>
      </w:r>
    </w:p>
    <w:p w14:paraId="557F7A3E" w14:textId="77777777" w:rsidR="00550E50" w:rsidRPr="00E20D21" w:rsidRDefault="00550E50" w:rsidP="00550E50">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risco de liquidez tem como objetivo demonstrar a liquidez da instituição. Os limites definidos para a gestão do risco de liquidez são acompanhados diariamente e, em caso de violação, o PCL pode ser acionado.</w:t>
      </w:r>
    </w:p>
    <w:p w14:paraId="76258F9B" w14:textId="06249457" w:rsidR="00F15CAF" w:rsidRPr="00E20D21" w:rsidRDefault="00F15CAF"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t xml:space="preserve">Risco </w:t>
      </w:r>
      <w:r w:rsidR="00A17847" w:rsidRPr="00E20D21">
        <w:rPr>
          <w:rFonts w:ascii="CAIXA Std Book" w:hAnsi="CAIXA Std Book"/>
          <w:b/>
          <w:color w:val="005CA9"/>
          <w:sz w:val="20"/>
          <w:szCs w:val="20"/>
        </w:rPr>
        <w:t>o</w:t>
      </w:r>
      <w:r w:rsidRPr="00E20D21">
        <w:rPr>
          <w:rFonts w:ascii="CAIXA Std Book" w:hAnsi="CAIXA Std Book"/>
          <w:b/>
          <w:color w:val="005CA9"/>
          <w:sz w:val="20"/>
          <w:szCs w:val="20"/>
        </w:rPr>
        <w:t>peracional</w:t>
      </w:r>
    </w:p>
    <w:p w14:paraId="1A0325DF" w14:textId="7D39801B"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Resolução CMN nº 4.557/2017 define o risco operacional como a possibilidade de ocorrência de perdas resultantes de eventos externos ou de falha, deficiência ou inadequação de processos internos, pessoas e sistemas, incluído nesta definição o risco legal associado à inadequação ou deficiência em contratos firmados, bem como a</w:t>
      </w:r>
      <w:r w:rsidR="00F34A50" w:rsidRPr="00E20D21">
        <w:rPr>
          <w:rFonts w:ascii="CAIXA Std Book" w:hAnsi="CAIXA Std Book"/>
          <w:color w:val="005CA9"/>
          <w:sz w:val="20"/>
          <w:szCs w:val="20"/>
        </w:rPr>
        <w:t>s</w:t>
      </w:r>
      <w:r w:rsidRPr="00E20D21">
        <w:rPr>
          <w:rFonts w:ascii="CAIXA Std Book" w:hAnsi="CAIXA Std Book"/>
          <w:color w:val="005CA9"/>
          <w:sz w:val="20"/>
          <w:szCs w:val="20"/>
        </w:rPr>
        <w:t xml:space="preserve"> sanções em razão de descumprimento de dispositivos legais e a</w:t>
      </w:r>
      <w:r w:rsidR="00F34A50" w:rsidRPr="00E20D21">
        <w:rPr>
          <w:rFonts w:ascii="CAIXA Std Book" w:hAnsi="CAIXA Std Book"/>
          <w:color w:val="005CA9"/>
          <w:sz w:val="20"/>
          <w:szCs w:val="20"/>
        </w:rPr>
        <w:t>s</w:t>
      </w:r>
      <w:r w:rsidRPr="00E20D21">
        <w:rPr>
          <w:rFonts w:ascii="CAIXA Std Book" w:hAnsi="CAIXA Std Book"/>
          <w:color w:val="005CA9"/>
          <w:sz w:val="20"/>
          <w:szCs w:val="20"/>
        </w:rPr>
        <w:t xml:space="preserve"> indenizações por danos a terceiros decorrentes das atividades desenvolvidas pela instituição.</w:t>
      </w:r>
    </w:p>
    <w:p w14:paraId="05D09988"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gerenciamento do risco operacional considera os fatores internos (pessoas, processos e sistemas) e externos que podem afetar adversamente a realização dos objetivos da CAIXA, e em caráter preventivo gera informações qualitativas associadas às perdas operacionais. </w:t>
      </w:r>
    </w:p>
    <w:p w14:paraId="2E9EAEC1"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Essas informações estão armazenadas em banco de dados estruturado e hospedadas em servidor de grande porte. São apresentadas por meio de sistema corporativo e sua construção, manutenção e operacionalização estão documentadas em normativos internos.</w:t>
      </w:r>
    </w:p>
    <w:p w14:paraId="18A2EC5F"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gestão do risco operacional integra também a gestão de crise, de segurança da informação e de continuidade dos negócios, atuando esta última frente em possíveis interrupções nos serviços e atividades, como elemento fundamental para o sucesso de qualquer iniciativa de preservação ou recomposição da capacidade de realizar negócios.</w:t>
      </w:r>
    </w:p>
    <w:p w14:paraId="3D52AC36" w14:textId="5C95336F"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Além dos riscos de crédito, de mercado, de liquidez e operacional, também são considerados relevantes os riscos de taxas de ju</w:t>
      </w:r>
      <w:r w:rsidR="002A1ABD" w:rsidRPr="00E20D21">
        <w:rPr>
          <w:rFonts w:ascii="CAIXA Std Book" w:hAnsi="CAIXA Std Book"/>
          <w:color w:val="005CA9"/>
          <w:sz w:val="20"/>
          <w:szCs w:val="20"/>
        </w:rPr>
        <w:t>r</w:t>
      </w:r>
      <w:r w:rsidRPr="00E20D21">
        <w:rPr>
          <w:rFonts w:ascii="CAIXA Std Book" w:hAnsi="CAIXA Std Book"/>
          <w:color w:val="005CA9"/>
          <w:sz w:val="20"/>
          <w:szCs w:val="20"/>
        </w:rPr>
        <w:t>os das operações não classificadas na carteira de negociação; de crédito de contraparte; de concentração; de estratégia; de imagem/reputação; atuarial; e social, ambiental e climático.</w:t>
      </w:r>
    </w:p>
    <w:p w14:paraId="387ACA26" w14:textId="77777777" w:rsidR="00C43929" w:rsidRPr="00E20D21" w:rsidRDefault="00C43929"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t>Riscos Social, Ambiental e Climático – RSAC</w:t>
      </w:r>
    </w:p>
    <w:p w14:paraId="59A9F523" w14:textId="77777777" w:rsidR="00C43929" w:rsidRPr="00E20D21" w:rsidRDefault="00C43929" w:rsidP="00C43929">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Política de Gerenciamento de Riscos e de Capital da CAIXA contempla a atualização estabelecida na Resolução CMN nº 4.943/2021 para os Riscos Social, Ambiental e Climático, anteriormente disciplinado como Risco Socioambiental através da Resolução CMN nº 4.327/2014. </w:t>
      </w:r>
    </w:p>
    <w:p w14:paraId="682E17AE" w14:textId="379C40B7" w:rsidR="00C43929" w:rsidRPr="00E20D21" w:rsidRDefault="00C43929" w:rsidP="00C43929">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Resolução 4.943/2021 alterou a Resolução nº 4.557/2017, que dispõe sobre a estrutura de gerenciamento de riscos, a estrutura de gerenciamento de capital e a política de divulgação de informações, e estabeleceu os riscos Social, Ambiental e Climático – RSAC como riscos relevantes. </w:t>
      </w:r>
    </w:p>
    <w:p w14:paraId="4B4F517E" w14:textId="5CA807DB" w:rsidR="00C43929" w:rsidRPr="00E20D21" w:rsidRDefault="00C43929" w:rsidP="00C43929">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Risco Social avalia a possibilidade de ocorrência de perdas para a instituição ocasionadas por eventos associados à violação de direitos e garantias fundamentais ou a atos lesivos a</w:t>
      </w:r>
      <w:r w:rsidR="008D7D4E" w:rsidRPr="00E20D21">
        <w:rPr>
          <w:rFonts w:ascii="CAIXA Std Book" w:hAnsi="CAIXA Std Book"/>
          <w:color w:val="005CA9"/>
          <w:sz w:val="20"/>
          <w:szCs w:val="20"/>
        </w:rPr>
        <w:t>o</w:t>
      </w:r>
      <w:r w:rsidRPr="00E20D21">
        <w:rPr>
          <w:rFonts w:ascii="CAIXA Std Book" w:hAnsi="CAIXA Std Book"/>
          <w:color w:val="005CA9"/>
          <w:sz w:val="20"/>
          <w:szCs w:val="20"/>
        </w:rPr>
        <w:t xml:space="preserve"> interesse comum.</w:t>
      </w:r>
    </w:p>
    <w:p w14:paraId="3CF61C1A" w14:textId="77777777" w:rsidR="00C43929" w:rsidRPr="00E20D21" w:rsidRDefault="00C43929" w:rsidP="00C43929">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No Risco Ambiental são verificadas as possibilidades de ocorrência de perdas para a instituição ocasionadas por eventos associados à degradação do meio ambiente, incluindo o uso excessivo de recursos naturais.</w:t>
      </w:r>
    </w:p>
    <w:p w14:paraId="5AF34755" w14:textId="77777777" w:rsidR="00227191" w:rsidRPr="00E20D21" w:rsidRDefault="00227191">
      <w:pPr>
        <w:rPr>
          <w:rFonts w:ascii="CAIXA Std Book" w:hAnsi="CAIXA Std Book"/>
          <w:color w:val="005CA9"/>
          <w:sz w:val="20"/>
          <w:szCs w:val="20"/>
        </w:rPr>
      </w:pPr>
      <w:r w:rsidRPr="00E20D21">
        <w:rPr>
          <w:rFonts w:ascii="CAIXA Std Book" w:hAnsi="CAIXA Std Book"/>
          <w:color w:val="005CA9"/>
          <w:sz w:val="20"/>
          <w:szCs w:val="20"/>
        </w:rPr>
        <w:br w:type="page"/>
      </w:r>
    </w:p>
    <w:p w14:paraId="48A0D64E" w14:textId="189D05C6" w:rsidR="00C43929" w:rsidRPr="00E20D21" w:rsidRDefault="00C43929" w:rsidP="00C43929">
      <w:pPr>
        <w:spacing w:before="120" w:after="120"/>
        <w:jc w:val="both"/>
        <w:rPr>
          <w:rFonts w:ascii="CAIXA Std Book" w:hAnsi="CAIXA Std Book"/>
          <w:color w:val="005CA9"/>
          <w:sz w:val="20"/>
          <w:szCs w:val="20"/>
        </w:rPr>
      </w:pPr>
      <w:r w:rsidRPr="00E20D21">
        <w:rPr>
          <w:rFonts w:ascii="CAIXA Std Book" w:hAnsi="CAIXA Std Book"/>
          <w:color w:val="005CA9"/>
          <w:sz w:val="20"/>
          <w:szCs w:val="20"/>
        </w:rPr>
        <w:lastRenderedPageBreak/>
        <w:t xml:space="preserve">O Risco Climático está dividido entre riscos físicos e de transição: a) Risco Climático de Transição – verifica-se possibilidade de ocorrência de perdas para a instituição ocasionadas por eventos associados ao processo de transição para uma economia de baixo carbono; b) Risco Climático Físico – é verificada a possibilidade de ocorrência de perdas para a instituição ocasionadas por eventos associados a intempéries frequentes e severas ou a alterações ambientais de longo prazo, que possam ser relacionadas a mudanças em padrões climáticos. </w:t>
      </w:r>
    </w:p>
    <w:p w14:paraId="5D4A4567" w14:textId="77777777" w:rsidR="00C43929" w:rsidRPr="00E20D21" w:rsidRDefault="00C43929" w:rsidP="00C43929">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exposição da CAIXA ao Risco Social, Ambiental e Climático é evidenciada por eventos categorizados e definidos pelo Conselho Monetário Nacional - CMN, cujas regras estão internalizadas nos processos internos da CAIXA e em suas normas.</w:t>
      </w:r>
    </w:p>
    <w:p w14:paraId="05555CCF" w14:textId="583FFB1B" w:rsidR="00C43929" w:rsidRPr="00E20D21" w:rsidRDefault="00C43929" w:rsidP="00C43929">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gerenciamento desses riscos é melhor detalhado no Relatório de Riscos e Oportunidades Sociais, Ambientais e Climáticas, documento público disponibilizado no site da CAIXA (</w:t>
      </w:r>
      <w:hyperlink r:id="rId83">
        <w:r w:rsidRPr="00E20D21">
          <w:rPr>
            <w:rStyle w:val="Hyperlink"/>
            <w:rFonts w:ascii="CAIXA Std Book" w:hAnsi="CAIXA Std Book"/>
            <w:color w:val="005CA9"/>
            <w:sz w:val="20"/>
            <w:szCs w:val="20"/>
          </w:rPr>
          <w:t>https://www.caixa.gov.br/sustentabilidade/riscos-socioambientais/Paginas/default.aspx</w:t>
        </w:r>
      </w:hyperlink>
      <w:r w:rsidRPr="00E20D21">
        <w:rPr>
          <w:rFonts w:ascii="CAIXA Std Book" w:hAnsi="CAIXA Std Book"/>
          <w:color w:val="005CA9"/>
          <w:sz w:val="20"/>
          <w:szCs w:val="20"/>
        </w:rPr>
        <w:t>).</w:t>
      </w:r>
    </w:p>
    <w:p w14:paraId="27A57A32" w14:textId="75E88D1A" w:rsidR="00F15CAF" w:rsidRPr="00E20D21" w:rsidRDefault="00F15CAF"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t xml:space="preserve">Estrutura de </w:t>
      </w:r>
      <w:r w:rsidR="00332318" w:rsidRPr="00E20D21">
        <w:rPr>
          <w:rFonts w:ascii="CAIXA Std Book" w:hAnsi="CAIXA Std Book"/>
          <w:b/>
          <w:color w:val="005CA9"/>
          <w:sz w:val="20"/>
          <w:szCs w:val="20"/>
        </w:rPr>
        <w:t>g</w:t>
      </w:r>
      <w:r w:rsidRPr="00E20D21">
        <w:rPr>
          <w:rFonts w:ascii="CAIXA Std Book" w:hAnsi="CAIXA Std Book"/>
          <w:b/>
          <w:color w:val="005CA9"/>
          <w:sz w:val="20"/>
          <w:szCs w:val="20"/>
        </w:rPr>
        <w:t xml:space="preserve">erenciamento de </w:t>
      </w:r>
      <w:r w:rsidR="00332318" w:rsidRPr="00E20D21">
        <w:rPr>
          <w:rFonts w:ascii="CAIXA Std Book" w:hAnsi="CAIXA Std Book"/>
          <w:b/>
          <w:color w:val="005CA9"/>
          <w:sz w:val="20"/>
          <w:szCs w:val="20"/>
        </w:rPr>
        <w:t>c</w:t>
      </w:r>
      <w:r w:rsidRPr="00E20D21">
        <w:rPr>
          <w:rFonts w:ascii="CAIXA Std Book" w:hAnsi="CAIXA Std Book"/>
          <w:b/>
          <w:color w:val="005CA9"/>
          <w:sz w:val="20"/>
          <w:szCs w:val="20"/>
        </w:rPr>
        <w:t>apital</w:t>
      </w:r>
    </w:p>
    <w:p w14:paraId="124D9D32"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Resolução CMN nº 4.557/2017 define o gerenciamento de capital como o processo contínuo de monitoramento e controle do capital mantido pela instituição, de avaliação da necessidade de capital para fazer face aos riscos a que a instituição está exposta, e o planejamento de metas e de necessidade de capital, considerando os objetivos estratégicos da instituição.</w:t>
      </w:r>
    </w:p>
    <w:p w14:paraId="46943026" w14:textId="550800A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reconhece que o gerenciamento de capital é parte integrante e fundamental para o atingimento dos objetivos estratégicos, e possui compreensão abrangente e integrada dos riscos que podem impactar o capital. Considera o seu Plano Estratégico, a Declaração de Apetite por Riscos e os riscos a que está sujeita na avaliação da suficiência d</w:t>
      </w:r>
      <w:r w:rsidR="00E66CDE" w:rsidRPr="00E20D21">
        <w:rPr>
          <w:rFonts w:ascii="CAIXA Std Book" w:hAnsi="CAIXA Std Book"/>
          <w:color w:val="005CA9"/>
          <w:sz w:val="20"/>
          <w:szCs w:val="20"/>
        </w:rPr>
        <w:t>e</w:t>
      </w:r>
      <w:r w:rsidRPr="00E20D21">
        <w:rPr>
          <w:rFonts w:ascii="CAIXA Std Book" w:hAnsi="CAIXA Std Book"/>
          <w:color w:val="005CA9"/>
          <w:sz w:val="20"/>
          <w:szCs w:val="20"/>
        </w:rPr>
        <w:t xml:space="preserve"> capital, por meio do Processo Interno de Avaliação da Adequação de Capital – ICAAP e da elaboração de Plano de Capital para um horizonte mínimo de 3 anos.</w:t>
      </w:r>
    </w:p>
    <w:p w14:paraId="3E08095B"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limites mínimos de capital e regras de distribuição de resultado aderentes ao planejamento de capital da CAIXA são formalizados em documentos específicos, como a Declaração de Apetite por Riscos e outras normas internas, aprovadas periodicamente pelo Conselho de Administração da CAIXA.</w:t>
      </w:r>
    </w:p>
    <w:p w14:paraId="555BC2F2"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prioriza fontes de capital com características (fonte de recurso, prazo e taxas) compatíveis com seus objetivos estratégicos e sua necessidade de capital, visando a otimização da sua estrutura de capital e de sua eficiência operacional.</w:t>
      </w:r>
    </w:p>
    <w:p w14:paraId="3C52A46B" w14:textId="0F5E2AF5"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Processo Interno de Avaliação da Adequação de Capital – ICAAP está definido na Resolução CMN nº 4.557/2017, que dispõe sobre a Estrutura de Gerenciamento de Riscos e de Capital. Os procedimentos e parâmetros relativos ao ICAAP estão normatizados na Circular </w:t>
      </w:r>
      <w:r w:rsidR="00671B7A" w:rsidRPr="00E20D21">
        <w:rPr>
          <w:rFonts w:ascii="CAIXA Std Book" w:hAnsi="CAIXA Std Book"/>
          <w:color w:val="005CA9"/>
          <w:sz w:val="20"/>
          <w:szCs w:val="20"/>
        </w:rPr>
        <w:t>BCB</w:t>
      </w:r>
      <w:r w:rsidRPr="00E20D21">
        <w:rPr>
          <w:rFonts w:ascii="CAIXA Std Book" w:hAnsi="CAIXA Std Book"/>
          <w:color w:val="005CA9"/>
          <w:sz w:val="20"/>
          <w:szCs w:val="20"/>
        </w:rPr>
        <w:t xml:space="preserve"> nº 3.846/2017.</w:t>
      </w:r>
    </w:p>
    <w:p w14:paraId="497A62EE" w14:textId="68548A2E"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ICAAP foi implementado na CAIXA em consonância com o disposto na regulamentação e é objeto de relatório anual, com data-base de 31 de dezembro, validado por unidade independente e aprovado pelo Conselho Diretor e Conselho de Administração antes da disponibilização ao B</w:t>
      </w:r>
      <w:r w:rsidR="00671B7A" w:rsidRPr="00E20D21">
        <w:rPr>
          <w:rFonts w:ascii="CAIXA Std Book" w:hAnsi="CAIXA Std Book"/>
          <w:color w:val="005CA9"/>
          <w:sz w:val="20"/>
          <w:szCs w:val="20"/>
        </w:rPr>
        <w:t>acen</w:t>
      </w:r>
      <w:r w:rsidRPr="00E20D21">
        <w:rPr>
          <w:rFonts w:ascii="CAIXA Std Book" w:hAnsi="CAIXA Std Book"/>
          <w:color w:val="005CA9"/>
          <w:sz w:val="20"/>
          <w:szCs w:val="20"/>
        </w:rPr>
        <w:t>.</w:t>
      </w:r>
    </w:p>
    <w:p w14:paraId="773217EE"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acompanha a suficiência do seu capital por meio da avaliação e mensuração da necessidade de capital para cobertura dos riscos de crédito (inclui o risco de crédito da contraparte e o risco de concentração), mercado, operacional, e de variação das taxas de juros para os instrumentos classificados na carteira bancária; da avaliação da necessidade de capital para cobertura dos demais riscos relevantes, considerando, no mínimo, os riscos de liquidez, estratégia, reputação e socioambiental; e, ainda, por meio da avaliação da necessidade de capital em função dos resultados do programa de testes de estresse.</w:t>
      </w:r>
    </w:p>
    <w:p w14:paraId="57CCECA3" w14:textId="77777777" w:rsidR="00F15CAF" w:rsidRPr="00E20D21" w:rsidRDefault="00F15CAF" w:rsidP="00F15CA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elaboração de cenários de estresse parte de uma discussão que visa identificar os eventos que poderiam caracterizar uma situação de estresse capaz de produzir efeitos significativos sobre a economia e sobre a CAIXA. Os eventos são selecionados com base tanto nas expectativas de impactos que esses poderão ter sobre a economia e sobre o negócio da CAIXA, quanto na sua probabilidade de ocorrência. </w:t>
      </w:r>
    </w:p>
    <w:p w14:paraId="1DCE0D58" w14:textId="6D27CDF5" w:rsidR="00866553" w:rsidRPr="00E20D21" w:rsidRDefault="00F15CAF" w:rsidP="0060564C">
      <w:pPr>
        <w:spacing w:before="120" w:after="120"/>
        <w:jc w:val="both"/>
        <w:rPr>
          <w:rFonts w:ascii="CAIXA Std Book" w:hAnsi="CAIXA Std Book"/>
          <w:color w:val="005CA9"/>
          <w:sz w:val="20"/>
          <w:szCs w:val="20"/>
        </w:rPr>
      </w:pPr>
      <w:r w:rsidRPr="00E20D21">
        <w:rPr>
          <w:rFonts w:ascii="CAIXA Std Book" w:hAnsi="CAIXA Std Book"/>
          <w:color w:val="005CA9"/>
          <w:sz w:val="20"/>
          <w:szCs w:val="20"/>
        </w:rPr>
        <w:lastRenderedPageBreak/>
        <w:t>O resultado do último ICAAP considerando o cenário de normalidade, realizado para data-base dezembro de 202</w:t>
      </w:r>
      <w:r w:rsidR="00140EC6" w:rsidRPr="00E20D21">
        <w:rPr>
          <w:rFonts w:ascii="CAIXA Std Book" w:hAnsi="CAIXA Std Book"/>
          <w:color w:val="005CA9"/>
          <w:sz w:val="20"/>
          <w:szCs w:val="20"/>
        </w:rPr>
        <w:t>2</w:t>
      </w:r>
      <w:r w:rsidRPr="00E20D21">
        <w:rPr>
          <w:rFonts w:ascii="CAIXA Std Book" w:hAnsi="CAIXA Std Book"/>
          <w:color w:val="005CA9"/>
          <w:sz w:val="20"/>
          <w:szCs w:val="20"/>
        </w:rPr>
        <w:t>, apontou que a CAIXA dispõe de capital para fazer frente a todos os riscos materiais e margem de capital relevante, refletindo a capacidade de garantir a solidez patrimonial da instituição.</w:t>
      </w:r>
    </w:p>
    <w:p w14:paraId="048FC51B" w14:textId="706640BA" w:rsidR="009D0D37" w:rsidRPr="00E20D21" w:rsidRDefault="009D0D37"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t>Cálculo da exigência de capital regulamentar</w:t>
      </w:r>
    </w:p>
    <w:p w14:paraId="1A895216" w14:textId="3F721274" w:rsidR="009D0D37" w:rsidRPr="00E20D21" w:rsidRDefault="007441C8" w:rsidP="009D0D37">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Em conformidade com as Resoluções CMN nº 4.955/2021 e nº 4.958/2021, o cálculo do patrimônio de referência e o cálculo dos requerimentos mínimos de capital consideram o Conglomerado Prudencial</w:t>
      </w:r>
      <w:r w:rsidR="009D0D37" w:rsidRPr="00E20D21">
        <w:rPr>
          <w:rFonts w:ascii="CAIXA Std Book" w:hAnsi="CAIXA Std Book"/>
          <w:color w:val="005CA9"/>
          <w:sz w:val="20"/>
          <w:szCs w:val="20"/>
        </w:rPr>
        <w:t>.</w:t>
      </w:r>
    </w:p>
    <w:p w14:paraId="211ECF17" w14:textId="3AA0FA11" w:rsidR="009D0D37" w:rsidRPr="00E20D21" w:rsidRDefault="009D0D37" w:rsidP="009D0D37">
      <w:pPr>
        <w:spacing w:before="120" w:after="240"/>
        <w:jc w:val="both"/>
        <w:rPr>
          <w:rFonts w:ascii="CAIXA Std Book" w:hAnsi="CAIXA Std Book"/>
          <w:color w:val="005CA9"/>
          <w:sz w:val="20"/>
          <w:szCs w:val="20"/>
        </w:rPr>
      </w:pPr>
      <w:r w:rsidRPr="00E20D21">
        <w:rPr>
          <w:rFonts w:ascii="CAIXA Std Book" w:hAnsi="CAIXA Std Book"/>
          <w:color w:val="005CA9"/>
          <w:sz w:val="20"/>
          <w:szCs w:val="20"/>
        </w:rPr>
        <w:t>O quadro a seguir apresenta o detalhamento desses indicadores de capital.</w:t>
      </w:r>
    </w:p>
    <w:tbl>
      <w:tblPr>
        <w:tblW w:w="5000" w:type="pct"/>
        <w:tblCellMar>
          <w:left w:w="70" w:type="dxa"/>
          <w:right w:w="70" w:type="dxa"/>
        </w:tblCellMar>
        <w:tblLook w:val="04A0" w:firstRow="1" w:lastRow="0" w:firstColumn="1" w:lastColumn="0" w:noHBand="0" w:noVBand="1"/>
      </w:tblPr>
      <w:tblGrid>
        <w:gridCol w:w="6160"/>
        <w:gridCol w:w="2094"/>
        <w:gridCol w:w="1493"/>
      </w:tblGrid>
      <w:tr w:rsidR="00866553" w:rsidRPr="00E20D21" w14:paraId="23457A2C" w14:textId="77777777" w:rsidTr="00866553">
        <w:trPr>
          <w:trHeight w:val="283"/>
        </w:trPr>
        <w:tc>
          <w:tcPr>
            <w:tcW w:w="3160" w:type="pct"/>
            <w:tcBorders>
              <w:top w:val="single" w:sz="4" w:space="0" w:color="F39200"/>
              <w:left w:val="nil"/>
              <w:bottom w:val="single" w:sz="4" w:space="0" w:color="F39200"/>
              <w:right w:val="nil"/>
            </w:tcBorders>
            <w:shd w:val="clear" w:color="auto" w:fill="auto"/>
            <w:noWrap/>
            <w:vAlign w:val="center"/>
            <w:hideMark/>
          </w:tcPr>
          <w:p w14:paraId="73FF0238" w14:textId="77777777" w:rsidR="00866553" w:rsidRPr="00E20D21" w:rsidRDefault="00866553" w:rsidP="00866553">
            <w:pPr>
              <w:jc w:val="center"/>
              <w:rPr>
                <w:rFonts w:ascii="CAIXA Std Book" w:hAnsi="CAIXA Std Book"/>
                <w:b/>
                <w:color w:val="005CA9"/>
                <w:sz w:val="18"/>
                <w:szCs w:val="18"/>
              </w:rPr>
            </w:pPr>
            <w:bookmarkStart w:id="99" w:name="RANGE!B3"/>
            <w:bookmarkStart w:id="100" w:name="_Hlk65763081"/>
            <w:r w:rsidRPr="00E20D21">
              <w:rPr>
                <w:rFonts w:ascii="CAIXA Std Book" w:hAnsi="CAIXA Std Book"/>
                <w:b/>
                <w:color w:val="005CA9"/>
                <w:sz w:val="18"/>
                <w:szCs w:val="18"/>
              </w:rPr>
              <w:t>Descrição</w:t>
            </w:r>
            <w:bookmarkEnd w:id="99"/>
          </w:p>
        </w:tc>
        <w:tc>
          <w:tcPr>
            <w:tcW w:w="1074" w:type="pct"/>
            <w:tcBorders>
              <w:top w:val="single" w:sz="4" w:space="0" w:color="F39200"/>
              <w:left w:val="nil"/>
              <w:bottom w:val="single" w:sz="4" w:space="0" w:color="F39200"/>
              <w:right w:val="nil"/>
            </w:tcBorders>
            <w:shd w:val="clear" w:color="auto" w:fill="auto"/>
            <w:noWrap/>
            <w:vAlign w:val="center"/>
          </w:tcPr>
          <w:p w14:paraId="190525BE" w14:textId="32D9C038" w:rsidR="00866553" w:rsidRPr="00E20D21" w:rsidRDefault="00866553" w:rsidP="00866553">
            <w:pPr>
              <w:jc w:val="center"/>
              <w:rPr>
                <w:rFonts w:ascii="CAIXA Std Book" w:hAnsi="CAIXA Std Book"/>
                <w:b/>
                <w:color w:val="005CA9"/>
                <w:sz w:val="18"/>
                <w:szCs w:val="18"/>
              </w:rPr>
            </w:pPr>
            <w:r w:rsidRPr="00E20D21">
              <w:rPr>
                <w:rFonts w:ascii="CAIXA Std Book" w:hAnsi="CAIXA Std Book"/>
                <w:b/>
                <w:color w:val="005CA9"/>
                <w:sz w:val="18"/>
                <w:szCs w:val="18"/>
              </w:rPr>
              <w:t>30/06/2024</w:t>
            </w:r>
          </w:p>
        </w:tc>
        <w:tc>
          <w:tcPr>
            <w:tcW w:w="766" w:type="pct"/>
            <w:tcBorders>
              <w:top w:val="single" w:sz="4" w:space="0" w:color="F39200"/>
              <w:left w:val="nil"/>
              <w:bottom w:val="single" w:sz="4" w:space="0" w:color="F39200"/>
              <w:right w:val="nil"/>
            </w:tcBorders>
            <w:vAlign w:val="center"/>
          </w:tcPr>
          <w:p w14:paraId="083BDB81" w14:textId="30A0271F" w:rsidR="00866553" w:rsidRPr="00E20D21" w:rsidRDefault="00866553" w:rsidP="00866553">
            <w:pPr>
              <w:jc w:val="center"/>
              <w:rPr>
                <w:rFonts w:ascii="CAIXA Std Book" w:hAnsi="CAIXA Std Book"/>
                <w:b/>
                <w:color w:val="005CA9"/>
                <w:sz w:val="18"/>
                <w:szCs w:val="18"/>
              </w:rPr>
            </w:pPr>
            <w:r w:rsidRPr="00E20D21">
              <w:rPr>
                <w:rFonts w:ascii="CAIXA Std Book" w:hAnsi="CAIXA Std Book"/>
                <w:b/>
                <w:color w:val="005CA9"/>
                <w:sz w:val="18"/>
                <w:szCs w:val="18"/>
              </w:rPr>
              <w:t>31/12/2023</w:t>
            </w:r>
          </w:p>
        </w:tc>
      </w:tr>
      <w:tr w:rsidR="00866553" w:rsidRPr="00E20D21" w14:paraId="2BA7B60F" w14:textId="77777777" w:rsidTr="00866553">
        <w:trPr>
          <w:trHeight w:val="283"/>
        </w:trPr>
        <w:tc>
          <w:tcPr>
            <w:tcW w:w="3160" w:type="pct"/>
            <w:tcBorders>
              <w:top w:val="nil"/>
              <w:left w:val="nil"/>
              <w:bottom w:val="single" w:sz="4" w:space="0" w:color="F39200"/>
              <w:right w:val="nil"/>
            </w:tcBorders>
            <w:shd w:val="clear" w:color="auto" w:fill="auto"/>
            <w:noWrap/>
            <w:vAlign w:val="center"/>
            <w:hideMark/>
          </w:tcPr>
          <w:p w14:paraId="3B6CB1D7"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Patrimônio de Referência – PR</w:t>
            </w:r>
          </w:p>
        </w:tc>
        <w:tc>
          <w:tcPr>
            <w:tcW w:w="1074" w:type="pct"/>
            <w:tcBorders>
              <w:top w:val="single" w:sz="4" w:space="0" w:color="F39200"/>
              <w:left w:val="nil"/>
              <w:bottom w:val="single" w:sz="4" w:space="0" w:color="F39200"/>
              <w:right w:val="nil"/>
            </w:tcBorders>
            <w:shd w:val="clear" w:color="auto" w:fill="auto"/>
            <w:noWrap/>
            <w:vAlign w:val="center"/>
          </w:tcPr>
          <w:p w14:paraId="53EF665D" w14:textId="718AA1D7"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129.887.763</w:t>
            </w:r>
          </w:p>
        </w:tc>
        <w:tc>
          <w:tcPr>
            <w:tcW w:w="766" w:type="pct"/>
            <w:tcBorders>
              <w:top w:val="nil"/>
              <w:left w:val="nil"/>
              <w:bottom w:val="single" w:sz="4" w:space="0" w:color="F39200"/>
              <w:right w:val="nil"/>
            </w:tcBorders>
            <w:vAlign w:val="center"/>
          </w:tcPr>
          <w:p w14:paraId="75FE5645" w14:textId="0EDA69E3"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bCs/>
                <w:color w:val="005CA9"/>
                <w:sz w:val="18"/>
                <w:szCs w:val="18"/>
              </w:rPr>
              <w:t>126.431.245</w:t>
            </w:r>
          </w:p>
        </w:tc>
      </w:tr>
      <w:tr w:rsidR="00866553" w:rsidRPr="00E20D21" w14:paraId="20183D2C" w14:textId="77777777" w:rsidTr="00866553">
        <w:trPr>
          <w:trHeight w:val="283"/>
        </w:trPr>
        <w:tc>
          <w:tcPr>
            <w:tcW w:w="3160" w:type="pct"/>
            <w:tcBorders>
              <w:top w:val="nil"/>
              <w:left w:val="nil"/>
              <w:bottom w:val="nil"/>
              <w:right w:val="nil"/>
            </w:tcBorders>
            <w:shd w:val="clear" w:color="auto" w:fill="auto"/>
            <w:noWrap/>
            <w:vAlign w:val="center"/>
            <w:hideMark/>
          </w:tcPr>
          <w:p w14:paraId="5C002A66"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 xml:space="preserve"> Nível I </w:t>
            </w:r>
          </w:p>
        </w:tc>
        <w:tc>
          <w:tcPr>
            <w:tcW w:w="1074" w:type="pct"/>
            <w:tcBorders>
              <w:top w:val="nil"/>
              <w:left w:val="nil"/>
              <w:bottom w:val="nil"/>
              <w:right w:val="nil"/>
            </w:tcBorders>
            <w:shd w:val="clear" w:color="auto" w:fill="auto"/>
            <w:noWrap/>
            <w:vAlign w:val="center"/>
          </w:tcPr>
          <w:p w14:paraId="0D6779CD" w14:textId="6E6FB109"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113.714.892</w:t>
            </w:r>
          </w:p>
        </w:tc>
        <w:tc>
          <w:tcPr>
            <w:tcW w:w="766" w:type="pct"/>
            <w:tcBorders>
              <w:top w:val="nil"/>
              <w:left w:val="nil"/>
              <w:bottom w:val="nil"/>
              <w:right w:val="nil"/>
            </w:tcBorders>
            <w:vAlign w:val="center"/>
          </w:tcPr>
          <w:p w14:paraId="3B1962B7" w14:textId="2CB35FF0"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color w:val="005CA9"/>
                <w:sz w:val="18"/>
                <w:szCs w:val="18"/>
              </w:rPr>
              <w:t>107.020.333</w:t>
            </w:r>
          </w:p>
        </w:tc>
      </w:tr>
      <w:tr w:rsidR="00866553" w:rsidRPr="00E20D21" w14:paraId="077C5DC8" w14:textId="77777777" w:rsidTr="00866553">
        <w:trPr>
          <w:trHeight w:val="283"/>
        </w:trPr>
        <w:tc>
          <w:tcPr>
            <w:tcW w:w="3160" w:type="pct"/>
            <w:tcBorders>
              <w:top w:val="nil"/>
              <w:left w:val="nil"/>
              <w:bottom w:val="nil"/>
              <w:right w:val="nil"/>
            </w:tcBorders>
            <w:shd w:val="clear" w:color="auto" w:fill="auto"/>
            <w:noWrap/>
            <w:vAlign w:val="center"/>
            <w:hideMark/>
          </w:tcPr>
          <w:p w14:paraId="5CEF84A5"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 xml:space="preserve"> Capital Principal – CP </w:t>
            </w:r>
          </w:p>
        </w:tc>
        <w:tc>
          <w:tcPr>
            <w:tcW w:w="1074" w:type="pct"/>
            <w:tcBorders>
              <w:top w:val="nil"/>
              <w:left w:val="nil"/>
              <w:bottom w:val="nil"/>
              <w:right w:val="nil"/>
            </w:tcBorders>
            <w:shd w:val="clear" w:color="auto" w:fill="auto"/>
            <w:noWrap/>
            <w:vAlign w:val="center"/>
          </w:tcPr>
          <w:p w14:paraId="6BC0889A" w14:textId="75B8296A"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112.001.65</w:t>
            </w:r>
            <w:r w:rsidR="00DC324F" w:rsidRPr="00E20D21">
              <w:rPr>
                <w:rFonts w:ascii="CAIXA Std Book" w:hAnsi="CAIXA Std Book" w:cs="Arial"/>
                <w:b/>
                <w:bCs/>
                <w:color w:val="005CA9"/>
                <w:sz w:val="18"/>
                <w:szCs w:val="18"/>
              </w:rPr>
              <w:t>0</w:t>
            </w:r>
          </w:p>
        </w:tc>
        <w:tc>
          <w:tcPr>
            <w:tcW w:w="766" w:type="pct"/>
            <w:tcBorders>
              <w:top w:val="nil"/>
              <w:left w:val="nil"/>
              <w:bottom w:val="nil"/>
              <w:right w:val="nil"/>
            </w:tcBorders>
            <w:vAlign w:val="center"/>
          </w:tcPr>
          <w:p w14:paraId="52D67D5E" w14:textId="1DE5CEF7"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color w:val="005CA9"/>
                <w:sz w:val="18"/>
                <w:szCs w:val="18"/>
              </w:rPr>
              <w:t>105.307.092</w:t>
            </w:r>
          </w:p>
        </w:tc>
      </w:tr>
      <w:tr w:rsidR="00866553" w:rsidRPr="00E20D21" w14:paraId="5B5FE3D8" w14:textId="77777777" w:rsidTr="00866553">
        <w:trPr>
          <w:trHeight w:val="283"/>
        </w:trPr>
        <w:tc>
          <w:tcPr>
            <w:tcW w:w="3160" w:type="pct"/>
            <w:tcBorders>
              <w:top w:val="nil"/>
              <w:left w:val="nil"/>
              <w:bottom w:val="nil"/>
              <w:right w:val="nil"/>
            </w:tcBorders>
            <w:shd w:val="clear" w:color="auto" w:fill="auto"/>
            <w:noWrap/>
            <w:vAlign w:val="center"/>
            <w:hideMark/>
          </w:tcPr>
          <w:p w14:paraId="4926749B" w14:textId="269562CA" w:rsidR="00866553" w:rsidRPr="00E20D21" w:rsidRDefault="00866553" w:rsidP="00866553">
            <w:pPr>
              <w:ind w:firstLineChars="100" w:firstLine="180"/>
              <w:rPr>
                <w:rFonts w:ascii="CAIXA Std Book" w:hAnsi="CAIXA Std Book"/>
                <w:color w:val="005CA9"/>
                <w:sz w:val="18"/>
                <w:szCs w:val="18"/>
              </w:rPr>
            </w:pPr>
            <w:r w:rsidRPr="00E20D21">
              <w:rPr>
                <w:rFonts w:ascii="CAIXA Std Book" w:hAnsi="CAIXA Std Book"/>
                <w:color w:val="005CA9"/>
                <w:sz w:val="18"/>
                <w:szCs w:val="18"/>
              </w:rPr>
              <w:t>Patrimônio líquido prudencial (1)</w:t>
            </w:r>
          </w:p>
        </w:tc>
        <w:tc>
          <w:tcPr>
            <w:tcW w:w="1074" w:type="pct"/>
            <w:tcBorders>
              <w:top w:val="nil"/>
              <w:left w:val="nil"/>
              <w:bottom w:val="nil"/>
              <w:right w:val="nil"/>
            </w:tcBorders>
            <w:shd w:val="clear" w:color="auto" w:fill="auto"/>
            <w:noWrap/>
            <w:vAlign w:val="center"/>
          </w:tcPr>
          <w:p w14:paraId="63544BED" w14:textId="47AE66F3" w:rsidR="00866553" w:rsidRPr="00E20D21" w:rsidRDefault="00A8500B" w:rsidP="00866553">
            <w:pPr>
              <w:jc w:val="right"/>
              <w:rPr>
                <w:rFonts w:ascii="CAIXA Std Book" w:hAnsi="CAIXA Std Book" w:cs="Arial"/>
                <w:color w:val="005CA9"/>
                <w:sz w:val="18"/>
                <w:szCs w:val="18"/>
              </w:rPr>
            </w:pPr>
            <w:r w:rsidRPr="00E20D21">
              <w:rPr>
                <w:rFonts w:ascii="CAIXA Std Book" w:hAnsi="CAIXA Std Book" w:cs="Arial"/>
                <w:color w:val="005CA9"/>
                <w:sz w:val="18"/>
                <w:szCs w:val="18"/>
              </w:rPr>
              <w:t>133.532.510</w:t>
            </w:r>
          </w:p>
        </w:tc>
        <w:tc>
          <w:tcPr>
            <w:tcW w:w="766" w:type="pct"/>
            <w:tcBorders>
              <w:top w:val="nil"/>
              <w:left w:val="nil"/>
              <w:bottom w:val="nil"/>
              <w:right w:val="nil"/>
            </w:tcBorders>
            <w:vAlign w:val="center"/>
          </w:tcPr>
          <w:p w14:paraId="6BFAD534" w14:textId="32B8F195" w:rsidR="00866553" w:rsidRPr="00E20D21" w:rsidRDefault="00866553" w:rsidP="00866553">
            <w:pPr>
              <w:jc w:val="right"/>
              <w:rPr>
                <w:rFonts w:ascii="CAIXA Std Book" w:hAnsi="CAIXA Std Book" w:cs="Calibri"/>
                <w:color w:val="005CA9"/>
                <w:sz w:val="18"/>
                <w:szCs w:val="18"/>
              </w:rPr>
            </w:pPr>
            <w:r w:rsidRPr="00E20D21">
              <w:rPr>
                <w:rFonts w:ascii="CAIXA Std Book" w:hAnsi="CAIXA Std Book" w:cs="Arial"/>
                <w:color w:val="005CA9"/>
                <w:sz w:val="18"/>
                <w:szCs w:val="18"/>
              </w:rPr>
              <w:t>126.458.588</w:t>
            </w:r>
          </w:p>
        </w:tc>
      </w:tr>
      <w:tr w:rsidR="00866553" w:rsidRPr="00E20D21" w14:paraId="2DCF8CBC" w14:textId="77777777" w:rsidTr="00866553">
        <w:trPr>
          <w:trHeight w:val="283"/>
        </w:trPr>
        <w:tc>
          <w:tcPr>
            <w:tcW w:w="3160" w:type="pct"/>
            <w:tcBorders>
              <w:top w:val="nil"/>
              <w:left w:val="nil"/>
              <w:bottom w:val="nil"/>
              <w:right w:val="nil"/>
            </w:tcBorders>
            <w:shd w:val="clear" w:color="auto" w:fill="auto"/>
            <w:noWrap/>
            <w:vAlign w:val="center"/>
            <w:hideMark/>
          </w:tcPr>
          <w:p w14:paraId="08B4B9E0" w14:textId="11F23D69" w:rsidR="00866553" w:rsidRPr="00E20D21" w:rsidRDefault="00866553" w:rsidP="00866553">
            <w:pPr>
              <w:ind w:firstLineChars="100" w:firstLine="180"/>
              <w:rPr>
                <w:rFonts w:ascii="CAIXA Std Book" w:hAnsi="CAIXA Std Book"/>
                <w:color w:val="005CA9"/>
                <w:sz w:val="18"/>
                <w:szCs w:val="18"/>
              </w:rPr>
            </w:pPr>
            <w:r w:rsidRPr="00E20D21">
              <w:rPr>
                <w:rFonts w:ascii="CAIXA Std Book" w:hAnsi="CAIXA Std Book"/>
                <w:color w:val="005CA9"/>
                <w:sz w:val="18"/>
                <w:szCs w:val="18"/>
              </w:rPr>
              <w:t>Ajustes prudenciais</w:t>
            </w:r>
          </w:p>
        </w:tc>
        <w:tc>
          <w:tcPr>
            <w:tcW w:w="1074" w:type="pct"/>
            <w:tcBorders>
              <w:top w:val="nil"/>
              <w:left w:val="nil"/>
              <w:bottom w:val="nil"/>
              <w:right w:val="nil"/>
            </w:tcBorders>
            <w:shd w:val="clear" w:color="auto" w:fill="auto"/>
            <w:noWrap/>
            <w:vAlign w:val="center"/>
          </w:tcPr>
          <w:p w14:paraId="184B8924" w14:textId="08B0563E" w:rsidR="00866553" w:rsidRPr="00E20D21" w:rsidRDefault="00A8500B" w:rsidP="00866553">
            <w:pPr>
              <w:jc w:val="right"/>
              <w:rPr>
                <w:rFonts w:ascii="CAIXA Std Book" w:hAnsi="CAIXA Std Book" w:cs="Arial"/>
                <w:color w:val="005CA9"/>
                <w:sz w:val="18"/>
                <w:szCs w:val="18"/>
              </w:rPr>
            </w:pPr>
            <w:r w:rsidRPr="00E20D21">
              <w:rPr>
                <w:rFonts w:ascii="CAIXA Std Book" w:hAnsi="CAIXA Std Book" w:cs="Arial"/>
                <w:color w:val="005CA9"/>
                <w:sz w:val="18"/>
                <w:szCs w:val="18"/>
              </w:rPr>
              <w:t>(21.530.860)</w:t>
            </w:r>
          </w:p>
        </w:tc>
        <w:tc>
          <w:tcPr>
            <w:tcW w:w="766" w:type="pct"/>
            <w:tcBorders>
              <w:top w:val="nil"/>
              <w:left w:val="nil"/>
              <w:bottom w:val="nil"/>
              <w:right w:val="nil"/>
            </w:tcBorders>
            <w:vAlign w:val="center"/>
          </w:tcPr>
          <w:p w14:paraId="0906EA2D" w14:textId="7C18A3BD" w:rsidR="00866553" w:rsidRPr="00E20D21" w:rsidRDefault="00866553" w:rsidP="00866553">
            <w:pPr>
              <w:jc w:val="right"/>
              <w:rPr>
                <w:rFonts w:ascii="CAIXA Std Book" w:hAnsi="CAIXA Std Book" w:cs="Calibri"/>
                <w:color w:val="005CA9"/>
                <w:sz w:val="18"/>
                <w:szCs w:val="18"/>
              </w:rPr>
            </w:pPr>
            <w:r w:rsidRPr="00E20D21">
              <w:rPr>
                <w:rFonts w:ascii="CAIXA Std Book" w:hAnsi="CAIXA Std Book" w:cs="Arial"/>
                <w:color w:val="005CA9"/>
                <w:sz w:val="18"/>
                <w:szCs w:val="18"/>
              </w:rPr>
              <w:t>(21.151.496)</w:t>
            </w:r>
          </w:p>
        </w:tc>
      </w:tr>
      <w:tr w:rsidR="00866553" w:rsidRPr="00E20D21" w14:paraId="78FE2E0A" w14:textId="77777777" w:rsidTr="00866553">
        <w:trPr>
          <w:trHeight w:val="283"/>
        </w:trPr>
        <w:tc>
          <w:tcPr>
            <w:tcW w:w="3160" w:type="pct"/>
            <w:tcBorders>
              <w:top w:val="nil"/>
              <w:left w:val="nil"/>
              <w:bottom w:val="nil"/>
              <w:right w:val="nil"/>
            </w:tcBorders>
            <w:shd w:val="clear" w:color="auto" w:fill="auto"/>
            <w:noWrap/>
            <w:vAlign w:val="center"/>
            <w:hideMark/>
          </w:tcPr>
          <w:p w14:paraId="0E56D63A"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 xml:space="preserve"> Capital Complementar – CC </w:t>
            </w:r>
          </w:p>
        </w:tc>
        <w:tc>
          <w:tcPr>
            <w:tcW w:w="1074" w:type="pct"/>
            <w:tcBorders>
              <w:top w:val="nil"/>
              <w:left w:val="nil"/>
              <w:bottom w:val="nil"/>
              <w:right w:val="nil"/>
            </w:tcBorders>
            <w:shd w:val="clear" w:color="auto" w:fill="auto"/>
            <w:noWrap/>
            <w:vAlign w:val="center"/>
          </w:tcPr>
          <w:p w14:paraId="34651EF3" w14:textId="6FE93374"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1.713.241</w:t>
            </w:r>
          </w:p>
        </w:tc>
        <w:tc>
          <w:tcPr>
            <w:tcW w:w="766" w:type="pct"/>
            <w:tcBorders>
              <w:top w:val="nil"/>
              <w:left w:val="nil"/>
              <w:bottom w:val="nil"/>
              <w:right w:val="nil"/>
            </w:tcBorders>
            <w:vAlign w:val="center"/>
          </w:tcPr>
          <w:p w14:paraId="1AF23587" w14:textId="550C377C" w:rsidR="00866553" w:rsidRPr="00E20D21" w:rsidRDefault="00866553" w:rsidP="00866553">
            <w:pPr>
              <w:jc w:val="right"/>
              <w:rPr>
                <w:rFonts w:ascii="CAIXA Std Book" w:hAnsi="CAIXA Std Book" w:cs="Calibri"/>
                <w:b/>
                <w:color w:val="005CA9"/>
                <w:sz w:val="18"/>
                <w:szCs w:val="18"/>
              </w:rPr>
            </w:pPr>
            <w:r w:rsidRPr="00E20D21">
              <w:rPr>
                <w:rFonts w:ascii="CAIXA Std Book" w:hAnsi="CAIXA Std Book" w:cs="Calibri"/>
                <w:b/>
                <w:bCs/>
                <w:color w:val="005CA9"/>
                <w:sz w:val="18"/>
                <w:szCs w:val="18"/>
              </w:rPr>
              <w:t>1.713.241</w:t>
            </w:r>
          </w:p>
        </w:tc>
      </w:tr>
      <w:tr w:rsidR="00866553" w:rsidRPr="00E20D21" w14:paraId="649D2080" w14:textId="77777777" w:rsidTr="00866553">
        <w:trPr>
          <w:trHeight w:val="283"/>
        </w:trPr>
        <w:tc>
          <w:tcPr>
            <w:tcW w:w="3160" w:type="pct"/>
            <w:tcBorders>
              <w:top w:val="nil"/>
              <w:left w:val="nil"/>
              <w:bottom w:val="nil"/>
              <w:right w:val="nil"/>
            </w:tcBorders>
            <w:shd w:val="clear" w:color="auto" w:fill="auto"/>
            <w:noWrap/>
            <w:vAlign w:val="center"/>
            <w:hideMark/>
          </w:tcPr>
          <w:p w14:paraId="4A393E9A" w14:textId="1722A0B4"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 xml:space="preserve"> Nível II </w:t>
            </w:r>
            <w:r w:rsidR="00CE718D" w:rsidRPr="00E20D21">
              <w:rPr>
                <w:rFonts w:ascii="CAIXA Std Book" w:hAnsi="CAIXA Std Book"/>
                <w:b/>
                <w:color w:val="005CA9"/>
                <w:sz w:val="18"/>
                <w:szCs w:val="18"/>
              </w:rPr>
              <w:t>(2)</w:t>
            </w:r>
          </w:p>
        </w:tc>
        <w:tc>
          <w:tcPr>
            <w:tcW w:w="1074" w:type="pct"/>
            <w:tcBorders>
              <w:top w:val="nil"/>
              <w:left w:val="nil"/>
              <w:bottom w:val="nil"/>
              <w:right w:val="nil"/>
            </w:tcBorders>
            <w:shd w:val="clear" w:color="auto" w:fill="auto"/>
            <w:noWrap/>
            <w:vAlign w:val="center"/>
          </w:tcPr>
          <w:p w14:paraId="11237549" w14:textId="6067EC6A"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16.172.871</w:t>
            </w:r>
          </w:p>
        </w:tc>
        <w:tc>
          <w:tcPr>
            <w:tcW w:w="766" w:type="pct"/>
            <w:tcBorders>
              <w:top w:val="nil"/>
              <w:left w:val="nil"/>
              <w:bottom w:val="nil"/>
              <w:right w:val="nil"/>
            </w:tcBorders>
            <w:vAlign w:val="center"/>
          </w:tcPr>
          <w:p w14:paraId="0B6A1A1B" w14:textId="77F9EEC6"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bCs/>
                <w:color w:val="005CA9"/>
                <w:sz w:val="18"/>
                <w:szCs w:val="18"/>
              </w:rPr>
              <w:t>19.410.912</w:t>
            </w:r>
          </w:p>
        </w:tc>
      </w:tr>
      <w:tr w:rsidR="00866553" w:rsidRPr="00E20D21" w14:paraId="176B89D6" w14:textId="77777777" w:rsidTr="00866553">
        <w:trPr>
          <w:trHeight w:val="283"/>
        </w:trPr>
        <w:tc>
          <w:tcPr>
            <w:tcW w:w="3160" w:type="pct"/>
            <w:tcBorders>
              <w:top w:val="single" w:sz="4" w:space="0" w:color="F39200"/>
              <w:left w:val="nil"/>
              <w:bottom w:val="single" w:sz="4" w:space="0" w:color="F39200"/>
              <w:right w:val="nil"/>
            </w:tcBorders>
            <w:shd w:val="clear" w:color="auto" w:fill="auto"/>
            <w:noWrap/>
            <w:vAlign w:val="center"/>
            <w:hideMark/>
          </w:tcPr>
          <w:p w14:paraId="7AF4CA94"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Ativos ponderados pelo risco – RWA</w:t>
            </w:r>
          </w:p>
        </w:tc>
        <w:tc>
          <w:tcPr>
            <w:tcW w:w="1074" w:type="pct"/>
            <w:tcBorders>
              <w:top w:val="single" w:sz="4" w:space="0" w:color="F39200"/>
              <w:left w:val="nil"/>
              <w:bottom w:val="single" w:sz="4" w:space="0" w:color="F39200"/>
              <w:right w:val="nil"/>
            </w:tcBorders>
            <w:shd w:val="clear" w:color="auto" w:fill="auto"/>
            <w:noWrap/>
            <w:vAlign w:val="center"/>
          </w:tcPr>
          <w:p w14:paraId="1C0C882E" w14:textId="0DE58157"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792.216.916</w:t>
            </w:r>
          </w:p>
        </w:tc>
        <w:tc>
          <w:tcPr>
            <w:tcW w:w="766" w:type="pct"/>
            <w:tcBorders>
              <w:top w:val="single" w:sz="4" w:space="0" w:color="F39200"/>
              <w:left w:val="nil"/>
              <w:bottom w:val="single" w:sz="4" w:space="0" w:color="F39200"/>
              <w:right w:val="nil"/>
            </w:tcBorders>
            <w:vAlign w:val="center"/>
          </w:tcPr>
          <w:p w14:paraId="45A58582" w14:textId="19DE1A96"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color w:val="005CA9"/>
                <w:sz w:val="18"/>
                <w:szCs w:val="18"/>
              </w:rPr>
              <w:t>757.921.788</w:t>
            </w:r>
          </w:p>
        </w:tc>
      </w:tr>
      <w:tr w:rsidR="00866553" w:rsidRPr="00E20D21" w14:paraId="51D6CA4E" w14:textId="77777777" w:rsidTr="00866553">
        <w:trPr>
          <w:trHeight w:val="283"/>
        </w:trPr>
        <w:tc>
          <w:tcPr>
            <w:tcW w:w="3160" w:type="pct"/>
            <w:tcBorders>
              <w:top w:val="nil"/>
              <w:left w:val="nil"/>
              <w:bottom w:val="nil"/>
              <w:right w:val="nil"/>
            </w:tcBorders>
            <w:shd w:val="clear" w:color="auto" w:fill="auto"/>
            <w:noWrap/>
            <w:vAlign w:val="center"/>
            <w:hideMark/>
          </w:tcPr>
          <w:p w14:paraId="1393A040" w14:textId="77777777" w:rsidR="00866553" w:rsidRPr="00E20D21" w:rsidRDefault="00866553" w:rsidP="00866553">
            <w:pPr>
              <w:rPr>
                <w:rFonts w:ascii="CAIXA Std Book" w:hAnsi="CAIXA Std Book"/>
                <w:color w:val="005CA9"/>
                <w:sz w:val="18"/>
                <w:szCs w:val="18"/>
              </w:rPr>
            </w:pPr>
            <w:r w:rsidRPr="00E20D21">
              <w:rPr>
                <w:rFonts w:ascii="CAIXA Std Book" w:hAnsi="CAIXA Std Book"/>
                <w:color w:val="005CA9"/>
                <w:sz w:val="18"/>
                <w:szCs w:val="18"/>
              </w:rPr>
              <w:t xml:space="preserve"> Risco de crédito – RWACPAD </w:t>
            </w:r>
          </w:p>
        </w:tc>
        <w:tc>
          <w:tcPr>
            <w:tcW w:w="1074" w:type="pct"/>
            <w:tcBorders>
              <w:top w:val="nil"/>
              <w:left w:val="nil"/>
              <w:bottom w:val="nil"/>
              <w:right w:val="nil"/>
            </w:tcBorders>
            <w:shd w:val="clear" w:color="auto" w:fill="auto"/>
            <w:noWrap/>
            <w:vAlign w:val="center"/>
          </w:tcPr>
          <w:p w14:paraId="217771FF" w14:textId="389FB07C" w:rsidR="00866553" w:rsidRPr="00E20D21" w:rsidRDefault="00A8500B" w:rsidP="00866553">
            <w:pPr>
              <w:jc w:val="right"/>
              <w:rPr>
                <w:rFonts w:ascii="CAIXA Std Book" w:hAnsi="CAIXA Std Book" w:cs="Arial"/>
                <w:color w:val="005CA9"/>
                <w:sz w:val="18"/>
                <w:szCs w:val="18"/>
              </w:rPr>
            </w:pPr>
            <w:r w:rsidRPr="00E20D21">
              <w:rPr>
                <w:rFonts w:ascii="CAIXA Std Book" w:hAnsi="CAIXA Std Book" w:cs="Arial"/>
                <w:color w:val="005CA9"/>
                <w:sz w:val="18"/>
                <w:szCs w:val="18"/>
              </w:rPr>
              <w:t>694.956.868</w:t>
            </w:r>
          </w:p>
        </w:tc>
        <w:tc>
          <w:tcPr>
            <w:tcW w:w="766" w:type="pct"/>
            <w:tcBorders>
              <w:top w:val="nil"/>
              <w:left w:val="nil"/>
              <w:bottom w:val="nil"/>
              <w:right w:val="nil"/>
            </w:tcBorders>
            <w:vAlign w:val="center"/>
          </w:tcPr>
          <w:p w14:paraId="68F950AA" w14:textId="5F135511" w:rsidR="00866553" w:rsidRPr="00E20D21" w:rsidRDefault="00866553" w:rsidP="00866553">
            <w:pPr>
              <w:jc w:val="right"/>
              <w:rPr>
                <w:rFonts w:ascii="CAIXA Std Book" w:hAnsi="CAIXA Std Book" w:cs="Calibri"/>
                <w:color w:val="005CA9"/>
                <w:sz w:val="18"/>
                <w:szCs w:val="18"/>
              </w:rPr>
            </w:pPr>
            <w:r w:rsidRPr="00E20D21">
              <w:rPr>
                <w:rFonts w:ascii="CAIXA Std Book" w:hAnsi="CAIXA Std Book" w:cs="Arial"/>
                <w:color w:val="005CA9"/>
                <w:sz w:val="18"/>
                <w:szCs w:val="18"/>
              </w:rPr>
              <w:t>668.681.422</w:t>
            </w:r>
          </w:p>
        </w:tc>
      </w:tr>
      <w:tr w:rsidR="00866553" w:rsidRPr="00E20D21" w14:paraId="4B4B03CC" w14:textId="77777777" w:rsidTr="00866553">
        <w:trPr>
          <w:trHeight w:val="283"/>
        </w:trPr>
        <w:tc>
          <w:tcPr>
            <w:tcW w:w="3160" w:type="pct"/>
            <w:tcBorders>
              <w:top w:val="nil"/>
              <w:left w:val="nil"/>
              <w:bottom w:val="nil"/>
              <w:right w:val="nil"/>
            </w:tcBorders>
            <w:shd w:val="clear" w:color="auto" w:fill="auto"/>
            <w:noWrap/>
            <w:vAlign w:val="center"/>
            <w:hideMark/>
          </w:tcPr>
          <w:p w14:paraId="381C050D" w14:textId="77777777" w:rsidR="00866553" w:rsidRPr="00E20D21" w:rsidRDefault="00866553" w:rsidP="00866553">
            <w:pPr>
              <w:rPr>
                <w:rFonts w:ascii="CAIXA Std Book" w:hAnsi="CAIXA Std Book"/>
                <w:color w:val="005CA9"/>
                <w:sz w:val="18"/>
                <w:szCs w:val="18"/>
              </w:rPr>
            </w:pPr>
            <w:r w:rsidRPr="00E20D21">
              <w:rPr>
                <w:rFonts w:ascii="CAIXA Std Book" w:hAnsi="CAIXA Std Book"/>
                <w:color w:val="005CA9"/>
                <w:sz w:val="18"/>
                <w:szCs w:val="18"/>
              </w:rPr>
              <w:t xml:space="preserve"> Risco de mercado – RWAMPAD </w:t>
            </w:r>
          </w:p>
        </w:tc>
        <w:tc>
          <w:tcPr>
            <w:tcW w:w="1074" w:type="pct"/>
            <w:tcBorders>
              <w:top w:val="nil"/>
              <w:left w:val="nil"/>
              <w:bottom w:val="nil"/>
              <w:right w:val="nil"/>
            </w:tcBorders>
            <w:shd w:val="clear" w:color="auto" w:fill="auto"/>
            <w:noWrap/>
            <w:vAlign w:val="center"/>
          </w:tcPr>
          <w:p w14:paraId="25FAA116" w14:textId="614262A1" w:rsidR="00866553" w:rsidRPr="00E20D21" w:rsidRDefault="00A8500B" w:rsidP="00866553">
            <w:pPr>
              <w:jc w:val="right"/>
              <w:rPr>
                <w:rFonts w:ascii="CAIXA Std Book" w:hAnsi="CAIXA Std Book" w:cs="Arial"/>
                <w:color w:val="005CA9"/>
                <w:sz w:val="18"/>
                <w:szCs w:val="18"/>
              </w:rPr>
            </w:pPr>
            <w:r w:rsidRPr="00E20D21">
              <w:rPr>
                <w:rFonts w:ascii="CAIXA Std Book" w:hAnsi="CAIXA Std Book" w:cs="Arial"/>
                <w:color w:val="005CA9"/>
                <w:sz w:val="18"/>
                <w:szCs w:val="18"/>
              </w:rPr>
              <w:t>17.775.311</w:t>
            </w:r>
          </w:p>
        </w:tc>
        <w:tc>
          <w:tcPr>
            <w:tcW w:w="766" w:type="pct"/>
            <w:tcBorders>
              <w:top w:val="nil"/>
              <w:left w:val="nil"/>
              <w:bottom w:val="nil"/>
              <w:right w:val="nil"/>
            </w:tcBorders>
            <w:vAlign w:val="center"/>
          </w:tcPr>
          <w:p w14:paraId="09F95FBB" w14:textId="0F567A86" w:rsidR="00866553" w:rsidRPr="00E20D21" w:rsidRDefault="00866553" w:rsidP="00866553">
            <w:pPr>
              <w:jc w:val="right"/>
              <w:rPr>
                <w:rFonts w:ascii="CAIXA Std Book" w:hAnsi="CAIXA Std Book" w:cs="Calibri"/>
                <w:color w:val="005CA9"/>
                <w:sz w:val="18"/>
                <w:szCs w:val="18"/>
              </w:rPr>
            </w:pPr>
            <w:r w:rsidRPr="00E20D21">
              <w:rPr>
                <w:rFonts w:ascii="CAIXA Std Book" w:hAnsi="CAIXA Std Book" w:cs="Arial"/>
                <w:color w:val="005CA9"/>
                <w:sz w:val="18"/>
                <w:szCs w:val="18"/>
              </w:rPr>
              <w:t>13.748.115</w:t>
            </w:r>
          </w:p>
        </w:tc>
      </w:tr>
      <w:tr w:rsidR="00866553" w:rsidRPr="00E20D21" w14:paraId="35F0B292" w14:textId="77777777" w:rsidTr="00866553">
        <w:trPr>
          <w:trHeight w:val="283"/>
        </w:trPr>
        <w:tc>
          <w:tcPr>
            <w:tcW w:w="3160" w:type="pct"/>
            <w:tcBorders>
              <w:top w:val="nil"/>
              <w:left w:val="nil"/>
              <w:bottom w:val="nil"/>
              <w:right w:val="nil"/>
            </w:tcBorders>
            <w:shd w:val="clear" w:color="auto" w:fill="auto"/>
            <w:noWrap/>
            <w:vAlign w:val="center"/>
            <w:hideMark/>
          </w:tcPr>
          <w:p w14:paraId="17DD88F2" w14:textId="77777777" w:rsidR="00866553" w:rsidRPr="00E20D21" w:rsidRDefault="00866553" w:rsidP="00866553">
            <w:pPr>
              <w:rPr>
                <w:rFonts w:ascii="CAIXA Std Book" w:hAnsi="CAIXA Std Book"/>
                <w:color w:val="005CA9"/>
                <w:sz w:val="18"/>
                <w:szCs w:val="18"/>
              </w:rPr>
            </w:pPr>
            <w:r w:rsidRPr="00E20D21">
              <w:rPr>
                <w:rFonts w:ascii="CAIXA Std Book" w:hAnsi="CAIXA Std Book"/>
                <w:color w:val="005CA9"/>
                <w:sz w:val="18"/>
                <w:szCs w:val="18"/>
              </w:rPr>
              <w:t xml:space="preserve"> Risco operacional – RWAOPAD </w:t>
            </w:r>
          </w:p>
        </w:tc>
        <w:tc>
          <w:tcPr>
            <w:tcW w:w="1074" w:type="pct"/>
            <w:tcBorders>
              <w:top w:val="nil"/>
              <w:left w:val="nil"/>
              <w:bottom w:val="nil"/>
              <w:right w:val="nil"/>
            </w:tcBorders>
            <w:shd w:val="clear" w:color="auto" w:fill="auto"/>
            <w:noWrap/>
            <w:vAlign w:val="center"/>
          </w:tcPr>
          <w:p w14:paraId="28DB6B9B" w14:textId="4ACEB5AC" w:rsidR="00866553" w:rsidRPr="00E20D21" w:rsidRDefault="00A8500B" w:rsidP="00866553">
            <w:pPr>
              <w:jc w:val="right"/>
              <w:rPr>
                <w:rFonts w:ascii="CAIXA Std Book" w:hAnsi="CAIXA Std Book" w:cs="Arial"/>
                <w:color w:val="005CA9"/>
                <w:sz w:val="18"/>
                <w:szCs w:val="18"/>
              </w:rPr>
            </w:pPr>
            <w:r w:rsidRPr="00E20D21">
              <w:rPr>
                <w:rFonts w:ascii="CAIXA Std Book" w:hAnsi="CAIXA Std Book" w:cs="Arial"/>
                <w:color w:val="005CA9"/>
                <w:sz w:val="18"/>
                <w:szCs w:val="18"/>
              </w:rPr>
              <w:t>79.484.737</w:t>
            </w:r>
          </w:p>
        </w:tc>
        <w:tc>
          <w:tcPr>
            <w:tcW w:w="766" w:type="pct"/>
            <w:tcBorders>
              <w:top w:val="nil"/>
              <w:left w:val="nil"/>
              <w:bottom w:val="nil"/>
              <w:right w:val="nil"/>
            </w:tcBorders>
            <w:vAlign w:val="center"/>
          </w:tcPr>
          <w:p w14:paraId="0EBC561D" w14:textId="405217C9" w:rsidR="00866553" w:rsidRPr="00E20D21" w:rsidRDefault="00866553" w:rsidP="00866553">
            <w:pPr>
              <w:jc w:val="right"/>
              <w:rPr>
                <w:rFonts w:ascii="CAIXA Std Book" w:hAnsi="CAIXA Std Book" w:cs="Calibri"/>
                <w:color w:val="005CA9"/>
                <w:sz w:val="18"/>
                <w:szCs w:val="18"/>
              </w:rPr>
            </w:pPr>
            <w:r w:rsidRPr="00E20D21">
              <w:rPr>
                <w:rFonts w:ascii="CAIXA Std Book" w:hAnsi="CAIXA Std Book" w:cs="Arial"/>
                <w:color w:val="005CA9"/>
                <w:sz w:val="18"/>
                <w:szCs w:val="18"/>
              </w:rPr>
              <w:t>75.492.251</w:t>
            </w:r>
          </w:p>
        </w:tc>
      </w:tr>
      <w:tr w:rsidR="00866553" w:rsidRPr="00E20D21" w14:paraId="03F0B202" w14:textId="77777777" w:rsidTr="00866553">
        <w:trPr>
          <w:trHeight w:val="283"/>
        </w:trPr>
        <w:tc>
          <w:tcPr>
            <w:tcW w:w="3160" w:type="pct"/>
            <w:tcBorders>
              <w:top w:val="single" w:sz="4" w:space="0" w:color="F39200"/>
              <w:left w:val="nil"/>
              <w:bottom w:val="single" w:sz="4" w:space="0" w:color="F39200"/>
              <w:right w:val="nil"/>
            </w:tcBorders>
            <w:shd w:val="clear" w:color="auto" w:fill="auto"/>
            <w:noWrap/>
            <w:vAlign w:val="center"/>
            <w:hideMark/>
          </w:tcPr>
          <w:p w14:paraId="6DFF499A"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Adicional de Capital Principal - ACP</w:t>
            </w:r>
          </w:p>
        </w:tc>
        <w:tc>
          <w:tcPr>
            <w:tcW w:w="1074" w:type="pct"/>
            <w:tcBorders>
              <w:top w:val="single" w:sz="4" w:space="0" w:color="F39200"/>
              <w:left w:val="nil"/>
              <w:bottom w:val="single" w:sz="4" w:space="0" w:color="F39200"/>
              <w:right w:val="nil"/>
            </w:tcBorders>
            <w:shd w:val="clear" w:color="auto" w:fill="auto"/>
            <w:noWrap/>
            <w:vAlign w:val="center"/>
          </w:tcPr>
          <w:p w14:paraId="75B78C7B" w14:textId="771C52A2"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27.727.592</w:t>
            </w:r>
          </w:p>
        </w:tc>
        <w:tc>
          <w:tcPr>
            <w:tcW w:w="766" w:type="pct"/>
            <w:tcBorders>
              <w:top w:val="single" w:sz="4" w:space="0" w:color="F39200"/>
              <w:left w:val="nil"/>
              <w:bottom w:val="single" w:sz="4" w:space="0" w:color="F39200"/>
              <w:right w:val="nil"/>
            </w:tcBorders>
            <w:vAlign w:val="center"/>
          </w:tcPr>
          <w:p w14:paraId="53546554" w14:textId="1D9EC0E4"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bCs/>
                <w:color w:val="005CA9"/>
                <w:sz w:val="18"/>
                <w:szCs w:val="18"/>
              </w:rPr>
              <w:t>26.527.263</w:t>
            </w:r>
          </w:p>
        </w:tc>
      </w:tr>
      <w:tr w:rsidR="00866553" w:rsidRPr="00E20D21" w14:paraId="06A8600A" w14:textId="77777777" w:rsidTr="00866553">
        <w:trPr>
          <w:trHeight w:val="283"/>
        </w:trPr>
        <w:tc>
          <w:tcPr>
            <w:tcW w:w="3160" w:type="pct"/>
            <w:tcBorders>
              <w:top w:val="single" w:sz="4" w:space="0" w:color="F39200"/>
              <w:left w:val="nil"/>
              <w:bottom w:val="single" w:sz="4" w:space="0" w:color="F39200"/>
              <w:right w:val="nil"/>
            </w:tcBorders>
            <w:shd w:val="clear" w:color="auto" w:fill="auto"/>
            <w:noWrap/>
            <w:vAlign w:val="center"/>
          </w:tcPr>
          <w:p w14:paraId="43E9AABA" w14:textId="7BA317AF" w:rsidR="00866553" w:rsidRPr="00E20D21" w:rsidRDefault="00866553" w:rsidP="00866553">
            <w:pPr>
              <w:rPr>
                <w:rFonts w:ascii="CAIXA Std Book" w:hAnsi="CAIXA Std Book"/>
                <w:b/>
                <w:color w:val="005CA9"/>
                <w:sz w:val="18"/>
                <w:szCs w:val="18"/>
              </w:rPr>
            </w:pPr>
            <w:proofErr w:type="spellStart"/>
            <w:r w:rsidRPr="00E20D21">
              <w:rPr>
                <w:rFonts w:ascii="CAIXA Std Book" w:hAnsi="CAIXA Std Book"/>
                <w:b/>
                <w:color w:val="005CA9"/>
                <w:sz w:val="18"/>
                <w:szCs w:val="18"/>
              </w:rPr>
              <w:t>Patrim</w:t>
            </w:r>
            <w:proofErr w:type="spellEnd"/>
            <w:r w:rsidRPr="00E20D21">
              <w:rPr>
                <w:rFonts w:ascii="CAIXA Std Book" w:hAnsi="CAIXA Std Book"/>
                <w:b/>
                <w:color w:val="005CA9"/>
                <w:sz w:val="18"/>
                <w:szCs w:val="18"/>
              </w:rPr>
              <w:t>. de Referência Mínimo Requerido - PRMR (RWA*Fator F) + ACP</w:t>
            </w:r>
          </w:p>
        </w:tc>
        <w:tc>
          <w:tcPr>
            <w:tcW w:w="1074" w:type="pct"/>
            <w:tcBorders>
              <w:top w:val="nil"/>
              <w:left w:val="nil"/>
              <w:bottom w:val="single" w:sz="4" w:space="0" w:color="F39200"/>
              <w:right w:val="nil"/>
            </w:tcBorders>
            <w:shd w:val="clear" w:color="auto" w:fill="auto"/>
            <w:vAlign w:val="center"/>
          </w:tcPr>
          <w:p w14:paraId="76477DA7" w14:textId="149B182D"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91.104.945</w:t>
            </w:r>
          </w:p>
        </w:tc>
        <w:tc>
          <w:tcPr>
            <w:tcW w:w="766" w:type="pct"/>
            <w:tcBorders>
              <w:top w:val="nil"/>
              <w:left w:val="nil"/>
              <w:bottom w:val="single" w:sz="4" w:space="0" w:color="F39200"/>
              <w:right w:val="nil"/>
            </w:tcBorders>
            <w:vAlign w:val="center"/>
          </w:tcPr>
          <w:p w14:paraId="75C74681" w14:textId="287A455A"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bCs/>
                <w:color w:val="005CA9"/>
                <w:sz w:val="18"/>
                <w:szCs w:val="18"/>
              </w:rPr>
              <w:t>87.161.006</w:t>
            </w:r>
          </w:p>
        </w:tc>
      </w:tr>
      <w:tr w:rsidR="00866553" w:rsidRPr="00E20D21" w14:paraId="030EEA23" w14:textId="77777777" w:rsidTr="00866553">
        <w:trPr>
          <w:trHeight w:val="283"/>
        </w:trPr>
        <w:tc>
          <w:tcPr>
            <w:tcW w:w="3160" w:type="pct"/>
            <w:tcBorders>
              <w:top w:val="nil"/>
              <w:left w:val="nil"/>
              <w:bottom w:val="single" w:sz="4" w:space="0" w:color="F39200"/>
              <w:right w:val="nil"/>
            </w:tcBorders>
            <w:shd w:val="clear" w:color="auto" w:fill="auto"/>
            <w:noWrap/>
            <w:vAlign w:val="center"/>
            <w:hideMark/>
          </w:tcPr>
          <w:p w14:paraId="047912BD"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Risco de mercado – carteira de não negociação - RBAN</w:t>
            </w:r>
          </w:p>
        </w:tc>
        <w:tc>
          <w:tcPr>
            <w:tcW w:w="1074" w:type="pct"/>
            <w:tcBorders>
              <w:top w:val="nil"/>
              <w:left w:val="nil"/>
              <w:bottom w:val="single" w:sz="4" w:space="0" w:color="F39200"/>
              <w:right w:val="nil"/>
            </w:tcBorders>
            <w:shd w:val="clear" w:color="auto" w:fill="auto"/>
            <w:noWrap/>
            <w:vAlign w:val="center"/>
          </w:tcPr>
          <w:p w14:paraId="33D08B7E" w14:textId="1CFB2BA0"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4.722.769</w:t>
            </w:r>
          </w:p>
        </w:tc>
        <w:tc>
          <w:tcPr>
            <w:tcW w:w="766" w:type="pct"/>
            <w:tcBorders>
              <w:top w:val="nil"/>
              <w:left w:val="nil"/>
              <w:bottom w:val="single" w:sz="4" w:space="0" w:color="F39200"/>
              <w:right w:val="nil"/>
            </w:tcBorders>
            <w:vAlign w:val="center"/>
          </w:tcPr>
          <w:p w14:paraId="19C7162C" w14:textId="5FD2F934"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bCs/>
                <w:color w:val="005CA9"/>
                <w:sz w:val="18"/>
                <w:szCs w:val="18"/>
              </w:rPr>
              <w:t>2.400.587</w:t>
            </w:r>
          </w:p>
        </w:tc>
      </w:tr>
      <w:tr w:rsidR="00866553" w:rsidRPr="00E20D21" w14:paraId="2AE87A63" w14:textId="77777777" w:rsidTr="00866553">
        <w:trPr>
          <w:trHeight w:val="283"/>
        </w:trPr>
        <w:tc>
          <w:tcPr>
            <w:tcW w:w="3160" w:type="pct"/>
            <w:tcBorders>
              <w:top w:val="nil"/>
              <w:left w:val="nil"/>
              <w:bottom w:val="single" w:sz="4" w:space="0" w:color="F39200"/>
              <w:right w:val="nil"/>
            </w:tcBorders>
            <w:shd w:val="clear" w:color="auto" w:fill="auto"/>
            <w:noWrap/>
            <w:vAlign w:val="center"/>
            <w:hideMark/>
          </w:tcPr>
          <w:p w14:paraId="6E38F7B6"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Margem de capital (PR - PRMR - RBAN)</w:t>
            </w:r>
          </w:p>
        </w:tc>
        <w:tc>
          <w:tcPr>
            <w:tcW w:w="1074" w:type="pct"/>
            <w:tcBorders>
              <w:top w:val="nil"/>
              <w:left w:val="nil"/>
              <w:bottom w:val="single" w:sz="4" w:space="0" w:color="F39200"/>
              <w:right w:val="nil"/>
            </w:tcBorders>
            <w:shd w:val="clear" w:color="auto" w:fill="auto"/>
            <w:noWrap/>
            <w:vAlign w:val="center"/>
          </w:tcPr>
          <w:p w14:paraId="1A83E766" w14:textId="6AC55238"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34.060.048</w:t>
            </w:r>
          </w:p>
        </w:tc>
        <w:tc>
          <w:tcPr>
            <w:tcW w:w="766" w:type="pct"/>
            <w:tcBorders>
              <w:top w:val="nil"/>
              <w:left w:val="nil"/>
              <w:bottom w:val="single" w:sz="4" w:space="0" w:color="F39200"/>
              <w:right w:val="nil"/>
            </w:tcBorders>
            <w:vAlign w:val="center"/>
          </w:tcPr>
          <w:p w14:paraId="6893188B" w14:textId="4C32364A"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bCs/>
                <w:color w:val="005CA9"/>
                <w:sz w:val="18"/>
                <w:szCs w:val="18"/>
              </w:rPr>
              <w:t>36.869.652</w:t>
            </w:r>
          </w:p>
        </w:tc>
      </w:tr>
      <w:tr w:rsidR="00866553" w:rsidRPr="00E20D21" w14:paraId="03FA5018" w14:textId="77777777" w:rsidTr="00866553">
        <w:trPr>
          <w:trHeight w:val="283"/>
        </w:trPr>
        <w:tc>
          <w:tcPr>
            <w:tcW w:w="3160" w:type="pct"/>
            <w:tcBorders>
              <w:top w:val="nil"/>
              <w:left w:val="nil"/>
              <w:bottom w:val="single" w:sz="4" w:space="0" w:color="F39200"/>
              <w:right w:val="nil"/>
            </w:tcBorders>
            <w:shd w:val="clear" w:color="auto" w:fill="auto"/>
            <w:noWrap/>
            <w:vAlign w:val="center"/>
            <w:hideMark/>
          </w:tcPr>
          <w:p w14:paraId="33ABE87B"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Índice de capital principal (CP / RWA)</w:t>
            </w:r>
          </w:p>
        </w:tc>
        <w:tc>
          <w:tcPr>
            <w:tcW w:w="1074" w:type="pct"/>
            <w:tcBorders>
              <w:top w:val="nil"/>
              <w:left w:val="nil"/>
              <w:bottom w:val="single" w:sz="4" w:space="0" w:color="F39200"/>
              <w:right w:val="nil"/>
            </w:tcBorders>
            <w:shd w:val="clear" w:color="auto" w:fill="auto"/>
            <w:noWrap/>
            <w:vAlign w:val="center"/>
          </w:tcPr>
          <w:p w14:paraId="65027938" w14:textId="2EF017EB"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14,14%</w:t>
            </w:r>
          </w:p>
        </w:tc>
        <w:tc>
          <w:tcPr>
            <w:tcW w:w="766" w:type="pct"/>
            <w:tcBorders>
              <w:top w:val="nil"/>
              <w:left w:val="nil"/>
              <w:bottom w:val="single" w:sz="4" w:space="0" w:color="F39200"/>
              <w:right w:val="nil"/>
            </w:tcBorders>
            <w:vAlign w:val="center"/>
          </w:tcPr>
          <w:p w14:paraId="03C4AA96" w14:textId="253A9560" w:rsidR="00866553" w:rsidRPr="00E20D21" w:rsidRDefault="00866553" w:rsidP="00866553">
            <w:pPr>
              <w:jc w:val="right"/>
              <w:rPr>
                <w:rFonts w:ascii="CAIXA Std Book" w:hAnsi="CAIXA Std Book" w:cs="Calibri"/>
                <w:b/>
                <w:color w:val="005CA9"/>
                <w:sz w:val="18"/>
                <w:szCs w:val="18"/>
              </w:rPr>
            </w:pPr>
            <w:r w:rsidRPr="00E20D21">
              <w:rPr>
                <w:rFonts w:ascii="CAIXA Std Book" w:hAnsi="CAIXA Std Book" w:cs="Arial"/>
                <w:b/>
                <w:color w:val="005CA9"/>
                <w:sz w:val="18"/>
                <w:szCs w:val="18"/>
              </w:rPr>
              <w:t>13,89%</w:t>
            </w:r>
          </w:p>
        </w:tc>
      </w:tr>
      <w:tr w:rsidR="00866553" w:rsidRPr="00E20D21" w14:paraId="75E8955E" w14:textId="77777777" w:rsidTr="00866553">
        <w:trPr>
          <w:trHeight w:val="283"/>
        </w:trPr>
        <w:tc>
          <w:tcPr>
            <w:tcW w:w="3160" w:type="pct"/>
            <w:tcBorders>
              <w:top w:val="nil"/>
              <w:left w:val="nil"/>
              <w:bottom w:val="single" w:sz="4" w:space="0" w:color="F39200"/>
              <w:right w:val="nil"/>
            </w:tcBorders>
            <w:shd w:val="clear" w:color="auto" w:fill="auto"/>
            <w:noWrap/>
            <w:vAlign w:val="center"/>
            <w:hideMark/>
          </w:tcPr>
          <w:p w14:paraId="34DF4F28"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Índice de capital nível I (Nível I / RWA)</w:t>
            </w:r>
          </w:p>
        </w:tc>
        <w:tc>
          <w:tcPr>
            <w:tcW w:w="1074" w:type="pct"/>
            <w:tcBorders>
              <w:top w:val="nil"/>
              <w:left w:val="nil"/>
              <w:bottom w:val="single" w:sz="4" w:space="0" w:color="F39200"/>
              <w:right w:val="nil"/>
            </w:tcBorders>
            <w:shd w:val="clear" w:color="auto" w:fill="auto"/>
            <w:noWrap/>
            <w:vAlign w:val="center"/>
          </w:tcPr>
          <w:p w14:paraId="75EC9256" w14:textId="4BD269AA"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14,35%</w:t>
            </w:r>
          </w:p>
        </w:tc>
        <w:tc>
          <w:tcPr>
            <w:tcW w:w="766" w:type="pct"/>
            <w:tcBorders>
              <w:top w:val="nil"/>
              <w:left w:val="nil"/>
              <w:bottom w:val="single" w:sz="4" w:space="0" w:color="F39200"/>
              <w:right w:val="nil"/>
            </w:tcBorders>
            <w:vAlign w:val="center"/>
          </w:tcPr>
          <w:p w14:paraId="77A236B9" w14:textId="538139D3" w:rsidR="00866553" w:rsidRPr="00E20D21" w:rsidRDefault="00866553" w:rsidP="00866553">
            <w:pPr>
              <w:jc w:val="right"/>
              <w:rPr>
                <w:rFonts w:ascii="CAIXA Std Book" w:hAnsi="CAIXA Std Book" w:cs="Calibri"/>
                <w:b/>
                <w:color w:val="005CA9"/>
                <w:sz w:val="18"/>
                <w:szCs w:val="18"/>
              </w:rPr>
            </w:pPr>
            <w:r w:rsidRPr="00E20D21">
              <w:rPr>
                <w:rFonts w:ascii="CAIXA Std Book" w:hAnsi="CAIXA Std Book" w:cs="Arial"/>
                <w:b/>
                <w:color w:val="005CA9"/>
                <w:sz w:val="18"/>
                <w:szCs w:val="18"/>
              </w:rPr>
              <w:t>14,12%</w:t>
            </w:r>
          </w:p>
        </w:tc>
      </w:tr>
      <w:tr w:rsidR="00866553" w:rsidRPr="00E20D21" w14:paraId="173F2DFC" w14:textId="77777777" w:rsidTr="00866553">
        <w:trPr>
          <w:trHeight w:val="283"/>
        </w:trPr>
        <w:tc>
          <w:tcPr>
            <w:tcW w:w="3160" w:type="pct"/>
            <w:tcBorders>
              <w:top w:val="nil"/>
              <w:left w:val="nil"/>
              <w:bottom w:val="single" w:sz="4" w:space="0" w:color="F39200"/>
              <w:right w:val="nil"/>
            </w:tcBorders>
            <w:shd w:val="clear" w:color="auto" w:fill="auto"/>
            <w:noWrap/>
            <w:vAlign w:val="center"/>
            <w:hideMark/>
          </w:tcPr>
          <w:p w14:paraId="76B72F2E" w14:textId="77777777"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Índice de Basileia (PR / RWA)</w:t>
            </w:r>
          </w:p>
        </w:tc>
        <w:tc>
          <w:tcPr>
            <w:tcW w:w="1074" w:type="pct"/>
            <w:tcBorders>
              <w:top w:val="nil"/>
              <w:left w:val="nil"/>
              <w:bottom w:val="single" w:sz="4" w:space="0" w:color="F39200"/>
              <w:right w:val="nil"/>
            </w:tcBorders>
            <w:shd w:val="clear" w:color="auto" w:fill="auto"/>
            <w:noWrap/>
            <w:vAlign w:val="center"/>
          </w:tcPr>
          <w:p w14:paraId="6C99F79C" w14:textId="622C69AF"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16,40%</w:t>
            </w:r>
          </w:p>
        </w:tc>
        <w:tc>
          <w:tcPr>
            <w:tcW w:w="766" w:type="pct"/>
            <w:tcBorders>
              <w:top w:val="nil"/>
              <w:left w:val="nil"/>
              <w:bottom w:val="single" w:sz="4" w:space="0" w:color="F39200"/>
              <w:right w:val="nil"/>
            </w:tcBorders>
            <w:vAlign w:val="center"/>
          </w:tcPr>
          <w:p w14:paraId="3D7C2EC9" w14:textId="1F94251A" w:rsidR="00866553" w:rsidRPr="00E20D21" w:rsidRDefault="00866553" w:rsidP="00866553">
            <w:pPr>
              <w:jc w:val="right"/>
              <w:rPr>
                <w:rFonts w:ascii="CAIXA Std Book" w:hAnsi="CAIXA Std Book" w:cs="Calibri"/>
                <w:b/>
                <w:bCs/>
                <w:color w:val="005CA9"/>
                <w:sz w:val="18"/>
                <w:szCs w:val="18"/>
              </w:rPr>
            </w:pPr>
            <w:r w:rsidRPr="00E20D21">
              <w:rPr>
                <w:rFonts w:ascii="CAIXA Std Book" w:hAnsi="CAIXA Std Book" w:cs="Arial"/>
                <w:b/>
                <w:color w:val="005CA9"/>
                <w:sz w:val="18"/>
                <w:szCs w:val="18"/>
              </w:rPr>
              <w:t>16,68%</w:t>
            </w:r>
          </w:p>
        </w:tc>
      </w:tr>
      <w:tr w:rsidR="00866553" w:rsidRPr="00E20D21" w14:paraId="079357B4" w14:textId="77777777" w:rsidTr="00866553">
        <w:trPr>
          <w:trHeight w:val="283"/>
        </w:trPr>
        <w:tc>
          <w:tcPr>
            <w:tcW w:w="3160" w:type="pct"/>
            <w:tcBorders>
              <w:top w:val="nil"/>
              <w:left w:val="nil"/>
              <w:bottom w:val="single" w:sz="4" w:space="0" w:color="F39200"/>
              <w:right w:val="nil"/>
            </w:tcBorders>
            <w:shd w:val="clear" w:color="auto" w:fill="auto"/>
            <w:noWrap/>
            <w:vAlign w:val="center"/>
            <w:hideMark/>
          </w:tcPr>
          <w:p w14:paraId="6DD3EC1E" w14:textId="58E0F4E1" w:rsidR="00866553" w:rsidRPr="00E20D21" w:rsidRDefault="00866553" w:rsidP="00866553">
            <w:pPr>
              <w:rPr>
                <w:rFonts w:ascii="CAIXA Std Book" w:hAnsi="CAIXA Std Book"/>
                <w:b/>
                <w:color w:val="005CA9"/>
                <w:sz w:val="18"/>
                <w:szCs w:val="18"/>
              </w:rPr>
            </w:pPr>
            <w:r w:rsidRPr="00E20D21">
              <w:rPr>
                <w:rFonts w:ascii="CAIXA Std Book" w:hAnsi="CAIXA Std Book"/>
                <w:b/>
                <w:color w:val="005CA9"/>
                <w:sz w:val="18"/>
                <w:szCs w:val="18"/>
              </w:rPr>
              <w:t>Fator F</w:t>
            </w:r>
          </w:p>
        </w:tc>
        <w:tc>
          <w:tcPr>
            <w:tcW w:w="1074" w:type="pct"/>
            <w:tcBorders>
              <w:top w:val="nil"/>
              <w:left w:val="nil"/>
              <w:bottom w:val="single" w:sz="4" w:space="0" w:color="F39200"/>
              <w:right w:val="nil"/>
            </w:tcBorders>
            <w:shd w:val="clear" w:color="auto" w:fill="auto"/>
            <w:noWrap/>
            <w:vAlign w:val="center"/>
          </w:tcPr>
          <w:p w14:paraId="7616375A" w14:textId="5CDF50FD" w:rsidR="00866553" w:rsidRPr="00E20D21" w:rsidRDefault="00A8500B" w:rsidP="00866553">
            <w:pPr>
              <w:jc w:val="right"/>
              <w:rPr>
                <w:rFonts w:ascii="CAIXA Std Book" w:hAnsi="CAIXA Std Book"/>
                <w:b/>
                <w:color w:val="005CA9"/>
                <w:sz w:val="18"/>
                <w:szCs w:val="18"/>
              </w:rPr>
            </w:pPr>
            <w:r w:rsidRPr="00E20D21">
              <w:rPr>
                <w:rFonts w:ascii="CAIXA Std Book" w:hAnsi="CAIXA Std Book" w:cs="Arial"/>
                <w:b/>
                <w:bCs/>
                <w:color w:val="005CA9"/>
                <w:sz w:val="18"/>
                <w:szCs w:val="18"/>
              </w:rPr>
              <w:t>8,00%</w:t>
            </w:r>
          </w:p>
        </w:tc>
        <w:tc>
          <w:tcPr>
            <w:tcW w:w="766" w:type="pct"/>
            <w:tcBorders>
              <w:top w:val="nil"/>
              <w:left w:val="nil"/>
              <w:bottom w:val="single" w:sz="4" w:space="0" w:color="F39200"/>
              <w:right w:val="nil"/>
            </w:tcBorders>
            <w:vAlign w:val="center"/>
          </w:tcPr>
          <w:p w14:paraId="043C429A" w14:textId="11601AEF" w:rsidR="00866553" w:rsidRPr="00E20D21" w:rsidRDefault="00866553" w:rsidP="00866553">
            <w:pPr>
              <w:jc w:val="right"/>
              <w:rPr>
                <w:rFonts w:ascii="CAIXA Std Book" w:hAnsi="CAIXA Std Book" w:cs="Calibri"/>
                <w:b/>
                <w:color w:val="005CA9"/>
                <w:sz w:val="18"/>
                <w:szCs w:val="18"/>
              </w:rPr>
            </w:pPr>
            <w:r w:rsidRPr="00E20D21">
              <w:rPr>
                <w:rFonts w:ascii="CAIXA Std Book" w:hAnsi="CAIXA Std Book" w:cs="Calibri"/>
                <w:b/>
                <w:bCs/>
                <w:color w:val="005CA9"/>
                <w:sz w:val="18"/>
                <w:szCs w:val="18"/>
              </w:rPr>
              <w:t>8,00%</w:t>
            </w:r>
          </w:p>
        </w:tc>
      </w:tr>
    </w:tbl>
    <w:bookmarkEnd w:id="100"/>
    <w:p w14:paraId="27837001" w14:textId="77777777" w:rsidR="00297BD3" w:rsidRPr="00E20D21" w:rsidRDefault="009D0D37" w:rsidP="00C04127">
      <w:pPr>
        <w:rPr>
          <w:rFonts w:ascii="CAIXA Std Book" w:hAnsi="CAIXA Std Book" w:cs="Symbol"/>
          <w:color w:val="005CA9"/>
          <w:sz w:val="16"/>
          <w:szCs w:val="16"/>
        </w:rPr>
      </w:pPr>
      <w:r w:rsidRPr="00E20D21">
        <w:rPr>
          <w:rFonts w:ascii="CAIXA Std Book" w:hAnsi="CAIXA Std Book" w:cs="Symbol"/>
          <w:color w:val="005CA9"/>
          <w:sz w:val="16"/>
          <w:szCs w:val="16"/>
        </w:rPr>
        <w:t>(1) Patrimônio Líquido considera os instrumentos híbridos de capital e dívida autorizados conforme Resolução CMN nº 4.</w:t>
      </w:r>
      <w:r w:rsidR="005B1F4C" w:rsidRPr="00E20D21">
        <w:rPr>
          <w:rFonts w:ascii="CAIXA Std Book" w:hAnsi="CAIXA Std Book" w:cs="Symbol"/>
          <w:color w:val="005CA9"/>
          <w:sz w:val="16"/>
          <w:szCs w:val="16"/>
        </w:rPr>
        <w:t>955</w:t>
      </w:r>
      <w:r w:rsidRPr="00E20D21">
        <w:rPr>
          <w:rFonts w:ascii="CAIXA Std Book" w:hAnsi="CAIXA Std Book" w:cs="Symbol"/>
          <w:color w:val="005CA9"/>
          <w:sz w:val="16"/>
          <w:szCs w:val="16"/>
        </w:rPr>
        <w:t>/20</w:t>
      </w:r>
      <w:r w:rsidR="005B1F4C" w:rsidRPr="00E20D21">
        <w:rPr>
          <w:rFonts w:ascii="CAIXA Std Book" w:hAnsi="CAIXA Std Book" w:cs="Symbol"/>
          <w:color w:val="005CA9"/>
          <w:sz w:val="16"/>
          <w:szCs w:val="16"/>
        </w:rPr>
        <w:t>21</w:t>
      </w:r>
      <w:r w:rsidRPr="00E20D21">
        <w:rPr>
          <w:rFonts w:ascii="CAIXA Std Book" w:hAnsi="CAIXA Std Book" w:cs="Symbol"/>
          <w:color w:val="005CA9"/>
          <w:sz w:val="16"/>
          <w:szCs w:val="16"/>
        </w:rPr>
        <w:t>.</w:t>
      </w:r>
    </w:p>
    <w:p w14:paraId="170BEC81" w14:textId="52B29177" w:rsidR="002C3C2E" w:rsidRPr="00E20D21" w:rsidRDefault="002C3C2E" w:rsidP="002C3C2E">
      <w:pPr>
        <w:spacing w:after="240"/>
        <w:rPr>
          <w:rFonts w:ascii="CAIXA Std Book" w:hAnsi="CAIXA Std Book" w:cs="Symbol"/>
          <w:color w:val="005CA9"/>
          <w:sz w:val="16"/>
          <w:szCs w:val="16"/>
        </w:rPr>
      </w:pPr>
      <w:r w:rsidRPr="00E20D21">
        <w:rPr>
          <w:rFonts w:ascii="CAIXA Std Book" w:hAnsi="CAIXA Std Book" w:cs="Symbol"/>
          <w:color w:val="005CA9"/>
          <w:sz w:val="16"/>
          <w:szCs w:val="16"/>
        </w:rPr>
        <w:t>(2) Consoante ao disposto nos art. 29 e 31 da Resolução CMN nº 4.955/2021.</w:t>
      </w:r>
    </w:p>
    <w:p w14:paraId="032936A8" w14:textId="1631BE18" w:rsidR="009D0D37" w:rsidRPr="00E20D21" w:rsidRDefault="009D0D37"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t xml:space="preserve">Análise de </w:t>
      </w:r>
      <w:r w:rsidR="00F50180" w:rsidRPr="00E20D21">
        <w:rPr>
          <w:rFonts w:ascii="CAIXA Std Book" w:hAnsi="CAIXA Std Book"/>
          <w:b/>
          <w:color w:val="005CA9"/>
          <w:sz w:val="20"/>
          <w:szCs w:val="20"/>
        </w:rPr>
        <w:t>s</w:t>
      </w:r>
      <w:r w:rsidRPr="00E20D21">
        <w:rPr>
          <w:rFonts w:ascii="CAIXA Std Book" w:hAnsi="CAIXA Std Book"/>
          <w:b/>
          <w:color w:val="005CA9"/>
          <w:sz w:val="20"/>
          <w:szCs w:val="20"/>
        </w:rPr>
        <w:t xml:space="preserve">ensibilidade das </w:t>
      </w:r>
      <w:r w:rsidR="00F50180" w:rsidRPr="00E20D21">
        <w:rPr>
          <w:rFonts w:ascii="CAIXA Std Book" w:hAnsi="CAIXA Std Book"/>
          <w:b/>
          <w:color w:val="005CA9"/>
          <w:sz w:val="20"/>
          <w:szCs w:val="20"/>
        </w:rPr>
        <w:t>p</w:t>
      </w:r>
      <w:r w:rsidRPr="00E20D21">
        <w:rPr>
          <w:rFonts w:ascii="CAIXA Std Book" w:hAnsi="CAIXA Std Book"/>
          <w:b/>
          <w:color w:val="005CA9"/>
          <w:sz w:val="20"/>
          <w:szCs w:val="20"/>
        </w:rPr>
        <w:t xml:space="preserve">osições </w:t>
      </w:r>
      <w:r w:rsidR="00F50180" w:rsidRPr="00E20D21">
        <w:rPr>
          <w:rFonts w:ascii="CAIXA Std Book" w:hAnsi="CAIXA Std Book"/>
          <w:b/>
          <w:color w:val="005CA9"/>
          <w:sz w:val="20"/>
          <w:szCs w:val="20"/>
        </w:rPr>
        <w:t>r</w:t>
      </w:r>
      <w:r w:rsidRPr="00E20D21">
        <w:rPr>
          <w:rFonts w:ascii="CAIXA Std Book" w:hAnsi="CAIXA Std Book"/>
          <w:b/>
          <w:color w:val="005CA9"/>
          <w:sz w:val="20"/>
          <w:szCs w:val="20"/>
        </w:rPr>
        <w:t xml:space="preserve">elevantes </w:t>
      </w:r>
    </w:p>
    <w:p w14:paraId="08984583" w14:textId="77777777" w:rsidR="009D0D37" w:rsidRPr="00E20D21" w:rsidRDefault="009D0D37" w:rsidP="00C417E8">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análise de sensibilidade permite verificar o impacto das variações das taxas de juros sobre os preços dos ativos e passivos, por fator de risco. Estes estudos hipotéticos tornam-se ferramenta de gestão do risco de mercado, possibilitando a definição de medidas de mitigação em caso de concretização de tais cenários, uma vez que as exposições são monitoradas diariamente e movimentos adversos do mercado produzem a imediata atuação das unidades envolvidas no processo visando minimizar eventuais perdas que venham a ocorrer.</w:t>
      </w:r>
    </w:p>
    <w:p w14:paraId="54AF652A" w14:textId="5B0A83D6" w:rsidR="00415B52" w:rsidRPr="00E20D21" w:rsidRDefault="00415B52" w:rsidP="00415B52">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instrumentos objeto da análise de sensibilidade são aqueles avaliados pelo valor justo, no caso os instrumentos da carteira TVM classificados nas categorias I – Para negociação e II – Disponíveis para venda</w:t>
      </w:r>
      <w:r w:rsidR="00217CDD" w:rsidRPr="00E20D21">
        <w:rPr>
          <w:rFonts w:ascii="CAIXA Std Book" w:hAnsi="CAIXA Std Book"/>
          <w:color w:val="005CA9"/>
          <w:sz w:val="20"/>
          <w:szCs w:val="20"/>
        </w:rPr>
        <w:t>,</w:t>
      </w:r>
      <w:r w:rsidRPr="00E20D21">
        <w:rPr>
          <w:rFonts w:ascii="CAIXA Std Book" w:hAnsi="CAIXA Std Book"/>
          <w:color w:val="005CA9"/>
          <w:sz w:val="20"/>
          <w:szCs w:val="20"/>
        </w:rPr>
        <w:t xml:space="preserve"> conforme categorização da Circular BCB </w:t>
      </w:r>
      <w:r w:rsidR="00F50180" w:rsidRPr="00E20D21">
        <w:rPr>
          <w:rFonts w:ascii="CAIXA Std Book" w:hAnsi="CAIXA Std Book"/>
          <w:color w:val="005CA9"/>
          <w:sz w:val="20"/>
          <w:szCs w:val="20"/>
        </w:rPr>
        <w:t xml:space="preserve">nº </w:t>
      </w:r>
      <w:r w:rsidRPr="00E20D21">
        <w:rPr>
          <w:rFonts w:ascii="CAIXA Std Book" w:hAnsi="CAIXA Std Book"/>
          <w:color w:val="005CA9"/>
          <w:sz w:val="20"/>
          <w:szCs w:val="20"/>
        </w:rPr>
        <w:t>3</w:t>
      </w:r>
      <w:r w:rsidR="00F50180" w:rsidRPr="00E20D21">
        <w:rPr>
          <w:rFonts w:ascii="CAIXA Std Book" w:hAnsi="CAIXA Std Book"/>
          <w:color w:val="005CA9"/>
          <w:sz w:val="20"/>
          <w:szCs w:val="20"/>
        </w:rPr>
        <w:t>.</w:t>
      </w:r>
      <w:r w:rsidRPr="00E20D21">
        <w:rPr>
          <w:rFonts w:ascii="CAIXA Std Book" w:hAnsi="CAIXA Std Book"/>
          <w:color w:val="005CA9"/>
          <w:sz w:val="20"/>
          <w:szCs w:val="20"/>
        </w:rPr>
        <w:t xml:space="preserve">068/2001, além dos derivativos financeiros que são avaliados ao valor de mercado conforme Circular BCB </w:t>
      </w:r>
      <w:r w:rsidR="00F50180" w:rsidRPr="00E20D21">
        <w:rPr>
          <w:rFonts w:ascii="CAIXA Std Book" w:hAnsi="CAIXA Std Book"/>
          <w:color w:val="005CA9"/>
          <w:sz w:val="20"/>
          <w:szCs w:val="20"/>
        </w:rPr>
        <w:t xml:space="preserve">nº </w:t>
      </w:r>
      <w:r w:rsidRPr="00E20D21">
        <w:rPr>
          <w:rFonts w:ascii="CAIXA Std Book" w:hAnsi="CAIXA Std Book"/>
          <w:color w:val="005CA9"/>
          <w:sz w:val="20"/>
          <w:szCs w:val="20"/>
        </w:rPr>
        <w:t>3</w:t>
      </w:r>
      <w:r w:rsidR="00F50180" w:rsidRPr="00E20D21">
        <w:rPr>
          <w:rFonts w:ascii="CAIXA Std Book" w:hAnsi="CAIXA Std Book"/>
          <w:color w:val="005CA9"/>
          <w:sz w:val="20"/>
          <w:szCs w:val="20"/>
        </w:rPr>
        <w:t>.</w:t>
      </w:r>
      <w:r w:rsidRPr="00E20D21">
        <w:rPr>
          <w:rFonts w:ascii="CAIXA Std Book" w:hAnsi="CAIXA Std Book"/>
          <w:color w:val="005CA9"/>
          <w:sz w:val="20"/>
          <w:szCs w:val="20"/>
        </w:rPr>
        <w:t>082</w:t>
      </w:r>
      <w:r w:rsidR="00217CDD" w:rsidRPr="00E20D21">
        <w:rPr>
          <w:rFonts w:ascii="CAIXA Std Book" w:hAnsi="CAIXA Std Book"/>
          <w:color w:val="005CA9"/>
          <w:sz w:val="20"/>
          <w:szCs w:val="20"/>
        </w:rPr>
        <w:t>/2002</w:t>
      </w:r>
      <w:r w:rsidRPr="00E20D21">
        <w:rPr>
          <w:rFonts w:ascii="CAIXA Std Book" w:hAnsi="CAIXA Std Book"/>
          <w:color w:val="005CA9"/>
          <w:sz w:val="20"/>
          <w:szCs w:val="20"/>
        </w:rPr>
        <w:t>.</w:t>
      </w:r>
    </w:p>
    <w:p w14:paraId="773BBC0D" w14:textId="77777777" w:rsidR="0093193B" w:rsidRPr="00E20D21" w:rsidRDefault="0093193B">
      <w:pPr>
        <w:rPr>
          <w:rFonts w:ascii="CAIXA Std Book" w:hAnsi="CAIXA Std Book"/>
          <w:color w:val="005CA9"/>
          <w:sz w:val="20"/>
          <w:szCs w:val="20"/>
        </w:rPr>
      </w:pPr>
      <w:r w:rsidRPr="00E20D21">
        <w:rPr>
          <w:rFonts w:ascii="CAIXA Std Book" w:hAnsi="CAIXA Std Book"/>
          <w:color w:val="005CA9"/>
          <w:sz w:val="20"/>
          <w:szCs w:val="20"/>
        </w:rPr>
        <w:br w:type="page"/>
      </w:r>
    </w:p>
    <w:p w14:paraId="67C8ED66" w14:textId="6A7DCD59" w:rsidR="00415B52" w:rsidRPr="00E20D21" w:rsidRDefault="00415B52" w:rsidP="00415B52">
      <w:pPr>
        <w:spacing w:before="120" w:after="120"/>
        <w:jc w:val="both"/>
        <w:rPr>
          <w:rFonts w:ascii="CAIXA Std Book" w:hAnsi="CAIXA Std Book"/>
          <w:color w:val="005CA9"/>
          <w:sz w:val="20"/>
          <w:szCs w:val="20"/>
        </w:rPr>
      </w:pPr>
      <w:r w:rsidRPr="00E20D21">
        <w:rPr>
          <w:rFonts w:ascii="CAIXA Std Book" w:hAnsi="CAIXA Std Book"/>
          <w:color w:val="005CA9"/>
          <w:sz w:val="20"/>
          <w:szCs w:val="20"/>
        </w:rPr>
        <w:lastRenderedPageBreak/>
        <w:t>As flutuações nas taxas de juros, nas taxas cambiais, de preços de ações e preços de mercadorias podem trazer incertezas futuras aos preços dos ativos atrelados a esses fatores de risco contabilizados no balanço patrimonial. A volatilidade dos fatores de risco, portanto, ocasionam volatilidade nos valores contabilizados no balanço patrimonial.</w:t>
      </w:r>
    </w:p>
    <w:p w14:paraId="22484689" w14:textId="185C4AE0" w:rsidR="00415B52" w:rsidRPr="00E20D21" w:rsidRDefault="00415B52" w:rsidP="00415B52">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exercício de análise de sensibilidade captura possibilidades de volatilidade nos fatores de risco e prevê os impactos nos valores contabilizados nos instrumentos financeiros. Contudo</w:t>
      </w:r>
      <w:r w:rsidR="00FC6070" w:rsidRPr="00E20D21">
        <w:rPr>
          <w:rFonts w:ascii="CAIXA Std Book" w:hAnsi="CAIXA Std Book"/>
          <w:color w:val="005CA9"/>
          <w:sz w:val="20"/>
          <w:szCs w:val="20"/>
        </w:rPr>
        <w:t>,</w:t>
      </w:r>
      <w:r w:rsidRPr="00E20D21">
        <w:rPr>
          <w:rFonts w:ascii="CAIXA Std Book" w:hAnsi="CAIXA Std Book"/>
          <w:color w:val="005CA9"/>
          <w:sz w:val="20"/>
          <w:szCs w:val="20"/>
        </w:rPr>
        <w:t xml:space="preserve"> valem algumas ressalvas importantes quanto à metodologia do exercício: i – o exercício é aplicado considerando uma composição estática de balanço, ignorando a capacidade de gerenciamento das exposições da instituição. Principalmente para os títulos prefixados da carteira de negociação, a capacidade para proteção</w:t>
      </w:r>
      <w:r w:rsidR="00D6330C" w:rsidRPr="00E20D21">
        <w:rPr>
          <w:rFonts w:ascii="CAIXA Std Book" w:hAnsi="CAIXA Std Book"/>
          <w:color w:val="005CA9"/>
          <w:sz w:val="20"/>
          <w:szCs w:val="20"/>
        </w:rPr>
        <w:t xml:space="preserve"> </w:t>
      </w:r>
      <w:r w:rsidRPr="00E20D21">
        <w:rPr>
          <w:rFonts w:ascii="CAIXA Std Book" w:hAnsi="CAIXA Std Book"/>
          <w:color w:val="005CA9"/>
          <w:sz w:val="20"/>
          <w:szCs w:val="20"/>
        </w:rPr>
        <w:t>(</w:t>
      </w:r>
      <w:r w:rsidRPr="00E20D21">
        <w:rPr>
          <w:rFonts w:ascii="CAIXA Std Book" w:hAnsi="CAIXA Std Book"/>
          <w:i/>
          <w:color w:val="005CA9"/>
          <w:sz w:val="20"/>
          <w:szCs w:val="20"/>
        </w:rPr>
        <w:t>hedge</w:t>
      </w:r>
      <w:r w:rsidRPr="00E20D21">
        <w:rPr>
          <w:rFonts w:ascii="CAIXA Std Book" w:hAnsi="CAIXA Std Book"/>
          <w:color w:val="005CA9"/>
          <w:sz w:val="20"/>
          <w:szCs w:val="20"/>
        </w:rPr>
        <w:t>)</w:t>
      </w:r>
      <w:r w:rsidR="002F7634" w:rsidRPr="00E20D21">
        <w:rPr>
          <w:rFonts w:ascii="CAIXA Std Book" w:hAnsi="CAIXA Std Book"/>
          <w:color w:val="005CA9"/>
          <w:sz w:val="20"/>
          <w:szCs w:val="20"/>
        </w:rPr>
        <w:t>,</w:t>
      </w:r>
      <w:r w:rsidRPr="00E20D21">
        <w:rPr>
          <w:rFonts w:ascii="CAIXA Std Book" w:hAnsi="CAIXA Std Book"/>
          <w:color w:val="005CA9"/>
          <w:sz w:val="20"/>
          <w:szCs w:val="20"/>
        </w:rPr>
        <w:t xml:space="preserve"> com a utilização de instrumentos derivativos</w:t>
      </w:r>
      <w:r w:rsidR="009715FC" w:rsidRPr="00E20D21">
        <w:rPr>
          <w:rFonts w:ascii="CAIXA Std Book" w:hAnsi="CAIXA Std Book"/>
          <w:color w:val="005CA9"/>
          <w:sz w:val="20"/>
          <w:szCs w:val="20"/>
        </w:rPr>
        <w:t>,</w:t>
      </w:r>
      <w:r w:rsidRPr="00E20D21">
        <w:rPr>
          <w:rFonts w:ascii="CAIXA Std Book" w:hAnsi="CAIXA Std Book"/>
          <w:color w:val="005CA9"/>
          <w:sz w:val="20"/>
          <w:szCs w:val="20"/>
        </w:rPr>
        <w:t xml:space="preserve"> é alta; </w:t>
      </w:r>
      <w:proofErr w:type="spellStart"/>
      <w:r w:rsidRPr="00E20D21">
        <w:rPr>
          <w:rFonts w:ascii="CAIXA Std Book" w:hAnsi="CAIXA Std Book"/>
          <w:color w:val="005CA9"/>
          <w:sz w:val="20"/>
          <w:szCs w:val="20"/>
        </w:rPr>
        <w:t>ii</w:t>
      </w:r>
      <w:proofErr w:type="spellEnd"/>
      <w:r w:rsidRPr="00E20D21">
        <w:rPr>
          <w:rFonts w:ascii="CAIXA Std Book" w:hAnsi="CAIXA Std Book"/>
          <w:color w:val="005CA9"/>
          <w:sz w:val="20"/>
          <w:szCs w:val="20"/>
        </w:rPr>
        <w:t xml:space="preserve"> – </w:t>
      </w:r>
      <w:r w:rsidR="00761584" w:rsidRPr="00E20D21">
        <w:rPr>
          <w:rFonts w:ascii="CAIXA Std Book" w:hAnsi="CAIXA Std Book"/>
          <w:color w:val="005CA9"/>
          <w:sz w:val="20"/>
          <w:szCs w:val="20"/>
        </w:rPr>
        <w:t>n</w:t>
      </w:r>
      <w:r w:rsidRPr="00E20D21">
        <w:rPr>
          <w:rFonts w:ascii="CAIXA Std Book" w:hAnsi="CAIXA Std Book"/>
          <w:color w:val="005CA9"/>
          <w:sz w:val="20"/>
          <w:szCs w:val="20"/>
        </w:rPr>
        <w:t xml:space="preserve">ão foram aplicados choques ao </w:t>
      </w:r>
      <w:r w:rsidRPr="00E20D21">
        <w:rPr>
          <w:rFonts w:ascii="CAIXA Std Book" w:hAnsi="CAIXA Std Book"/>
          <w:i/>
          <w:color w:val="005CA9"/>
          <w:sz w:val="20"/>
          <w:szCs w:val="20"/>
        </w:rPr>
        <w:t>spread</w:t>
      </w:r>
      <w:r w:rsidRPr="00E20D21">
        <w:rPr>
          <w:rFonts w:ascii="CAIXA Std Book" w:hAnsi="CAIXA Std Book"/>
          <w:color w:val="005CA9"/>
          <w:sz w:val="20"/>
          <w:szCs w:val="20"/>
        </w:rPr>
        <w:t xml:space="preserve"> de crédito dos instrumentos financeiros privados ou aos títulos públicos; </w:t>
      </w:r>
      <w:proofErr w:type="spellStart"/>
      <w:r w:rsidRPr="00E20D21">
        <w:rPr>
          <w:rFonts w:ascii="CAIXA Std Book" w:hAnsi="CAIXA Std Book"/>
          <w:color w:val="005CA9"/>
          <w:sz w:val="20"/>
          <w:szCs w:val="20"/>
        </w:rPr>
        <w:t>iii</w:t>
      </w:r>
      <w:proofErr w:type="spellEnd"/>
      <w:r w:rsidRPr="00E20D21">
        <w:rPr>
          <w:rFonts w:ascii="CAIXA Std Book" w:hAnsi="CAIXA Std Book"/>
          <w:color w:val="005CA9"/>
          <w:sz w:val="20"/>
          <w:szCs w:val="20"/>
        </w:rPr>
        <w:t xml:space="preserve"> – </w:t>
      </w:r>
      <w:r w:rsidR="00761584" w:rsidRPr="00E20D21">
        <w:rPr>
          <w:rFonts w:ascii="CAIXA Std Book" w:hAnsi="CAIXA Std Book"/>
          <w:color w:val="005CA9"/>
          <w:sz w:val="20"/>
          <w:szCs w:val="20"/>
        </w:rPr>
        <w:t>o</w:t>
      </w:r>
      <w:r w:rsidRPr="00E20D21">
        <w:rPr>
          <w:rFonts w:ascii="CAIXA Std Book" w:hAnsi="CAIXA Std Book"/>
          <w:color w:val="005CA9"/>
          <w:sz w:val="20"/>
          <w:szCs w:val="20"/>
        </w:rPr>
        <w:t xml:space="preserve">s instrumentos que são objeto de contabilidade de </w:t>
      </w:r>
      <w:r w:rsidRPr="00E20D21">
        <w:rPr>
          <w:rFonts w:ascii="CAIXA Std Book" w:hAnsi="CAIXA Std Book"/>
          <w:i/>
          <w:iCs/>
          <w:color w:val="005CA9"/>
          <w:sz w:val="20"/>
          <w:szCs w:val="20"/>
        </w:rPr>
        <w:t>hedge</w:t>
      </w:r>
      <w:r w:rsidRPr="00E20D21">
        <w:rPr>
          <w:rFonts w:ascii="CAIXA Std Book" w:hAnsi="CAIXA Std Book"/>
          <w:color w:val="005CA9"/>
          <w:sz w:val="20"/>
          <w:szCs w:val="20"/>
        </w:rPr>
        <w:t xml:space="preserve"> (</w:t>
      </w:r>
      <w:r w:rsidRPr="00E20D21">
        <w:rPr>
          <w:rFonts w:ascii="CAIXA Std Book" w:hAnsi="CAIXA Std Book"/>
          <w:i/>
          <w:iCs/>
          <w:color w:val="005CA9"/>
          <w:sz w:val="20"/>
          <w:szCs w:val="20"/>
        </w:rPr>
        <w:t>hedge</w:t>
      </w:r>
      <w:r w:rsidRPr="00E20D21">
        <w:rPr>
          <w:rFonts w:ascii="CAIXA Std Book" w:hAnsi="CAIXA Std Book"/>
          <w:color w:val="005CA9"/>
          <w:sz w:val="20"/>
          <w:szCs w:val="20"/>
        </w:rPr>
        <w:t xml:space="preserve"> </w:t>
      </w:r>
      <w:proofErr w:type="spellStart"/>
      <w:r w:rsidRPr="00E20D21">
        <w:rPr>
          <w:rFonts w:ascii="CAIXA Std Book" w:hAnsi="CAIXA Std Book"/>
          <w:i/>
          <w:iCs/>
          <w:color w:val="005CA9"/>
          <w:sz w:val="20"/>
          <w:szCs w:val="20"/>
        </w:rPr>
        <w:t>accounting</w:t>
      </w:r>
      <w:proofErr w:type="spellEnd"/>
      <w:r w:rsidRPr="00E20D21">
        <w:rPr>
          <w:rFonts w:ascii="CAIXA Std Book" w:hAnsi="CAIXA Std Book"/>
          <w:color w:val="005CA9"/>
          <w:sz w:val="20"/>
          <w:szCs w:val="20"/>
        </w:rPr>
        <w:t xml:space="preserve">) e seus respectivos instrumentos de </w:t>
      </w:r>
      <w:r w:rsidRPr="00E20D21">
        <w:rPr>
          <w:rFonts w:ascii="CAIXA Std Book" w:hAnsi="CAIXA Std Book"/>
          <w:i/>
          <w:color w:val="005CA9"/>
          <w:sz w:val="20"/>
          <w:szCs w:val="20"/>
        </w:rPr>
        <w:t>hedge</w:t>
      </w:r>
      <w:r w:rsidRPr="00E20D21">
        <w:rPr>
          <w:rFonts w:ascii="CAIXA Std Book" w:hAnsi="CAIXA Std Book"/>
          <w:color w:val="005CA9"/>
          <w:sz w:val="20"/>
          <w:szCs w:val="20"/>
        </w:rPr>
        <w:t xml:space="preserve"> não estão no escopo do exercício, pois a CAIXA acompanha sistematicamente a efetividade dessas estruturas que</w:t>
      </w:r>
      <w:r w:rsidR="00CD366C" w:rsidRPr="00E20D21">
        <w:rPr>
          <w:rFonts w:ascii="CAIXA Std Book" w:hAnsi="CAIXA Std Book"/>
          <w:color w:val="005CA9"/>
          <w:sz w:val="20"/>
          <w:szCs w:val="20"/>
        </w:rPr>
        <w:t>,</w:t>
      </w:r>
      <w:r w:rsidRPr="00E20D21">
        <w:rPr>
          <w:rFonts w:ascii="CAIXA Std Book" w:hAnsi="CAIXA Std Book"/>
          <w:color w:val="005CA9"/>
          <w:sz w:val="20"/>
          <w:szCs w:val="20"/>
        </w:rPr>
        <w:t xml:space="preserve"> de certa forma</w:t>
      </w:r>
      <w:r w:rsidR="00CD366C" w:rsidRPr="00E20D21">
        <w:rPr>
          <w:rFonts w:ascii="CAIXA Std Book" w:hAnsi="CAIXA Std Book"/>
          <w:color w:val="005CA9"/>
          <w:sz w:val="20"/>
          <w:szCs w:val="20"/>
        </w:rPr>
        <w:t>,</w:t>
      </w:r>
      <w:r w:rsidRPr="00E20D21">
        <w:rPr>
          <w:rFonts w:ascii="CAIXA Std Book" w:hAnsi="CAIXA Std Book"/>
          <w:color w:val="005CA9"/>
          <w:sz w:val="20"/>
          <w:szCs w:val="20"/>
        </w:rPr>
        <w:t xml:space="preserve"> estão imunes à choques nos fatores de risco.   </w:t>
      </w:r>
    </w:p>
    <w:p w14:paraId="49C6BF80" w14:textId="1130E7C5" w:rsidR="00415B52" w:rsidRPr="00E20D21" w:rsidRDefault="00415B52" w:rsidP="00913A89">
      <w:pPr>
        <w:jc w:val="both"/>
        <w:rPr>
          <w:rFonts w:ascii="CAIXA Std Book" w:hAnsi="CAIXA Std Book"/>
          <w:color w:val="005CA9"/>
          <w:sz w:val="20"/>
          <w:szCs w:val="20"/>
        </w:rPr>
      </w:pPr>
      <w:r w:rsidRPr="00E20D21">
        <w:rPr>
          <w:rFonts w:ascii="CAIXA Std Book" w:hAnsi="CAIXA Std Book"/>
          <w:color w:val="005CA9"/>
          <w:sz w:val="20"/>
          <w:szCs w:val="20"/>
        </w:rPr>
        <w:t>Destaca-se que os instrumentos que não são avaliados ao valor justo no balanço patrimonial, como os instrumentos d</w:t>
      </w:r>
      <w:r w:rsidR="00EF2EE6" w:rsidRPr="00E20D21">
        <w:rPr>
          <w:rFonts w:ascii="CAIXA Std Book" w:hAnsi="CAIXA Std Book"/>
          <w:color w:val="005CA9"/>
          <w:sz w:val="20"/>
          <w:szCs w:val="20"/>
        </w:rPr>
        <w:t>e</w:t>
      </w:r>
      <w:r w:rsidRPr="00E20D21">
        <w:rPr>
          <w:rFonts w:ascii="CAIXA Std Book" w:hAnsi="CAIXA Std Book"/>
          <w:color w:val="005CA9"/>
          <w:sz w:val="20"/>
          <w:szCs w:val="20"/>
        </w:rPr>
        <w:t xml:space="preserve"> TVM categoria III – Mantidos até o vencimento, as disponibilidades, as aplicações/captações interfinanceiras de liquidez, as operações de crédito, os depósitos bancári</w:t>
      </w:r>
      <w:r w:rsidR="00DB055B" w:rsidRPr="00E20D21">
        <w:rPr>
          <w:rFonts w:ascii="CAIXA Std Book" w:hAnsi="CAIXA Std Book"/>
          <w:color w:val="005CA9"/>
          <w:sz w:val="20"/>
          <w:szCs w:val="20"/>
        </w:rPr>
        <w:t>o</w:t>
      </w:r>
      <w:r w:rsidRPr="00E20D21">
        <w:rPr>
          <w:rFonts w:ascii="CAIXA Std Book" w:hAnsi="CAIXA Std Book"/>
          <w:color w:val="005CA9"/>
          <w:sz w:val="20"/>
          <w:szCs w:val="20"/>
        </w:rPr>
        <w:t>s, os depósitos especiais</w:t>
      </w:r>
      <w:r w:rsidR="006234B9" w:rsidRPr="00E20D21">
        <w:rPr>
          <w:rFonts w:ascii="CAIXA Std Book" w:hAnsi="CAIXA Std Book"/>
          <w:color w:val="005CA9"/>
          <w:sz w:val="20"/>
          <w:szCs w:val="20"/>
        </w:rPr>
        <w:t>,</w:t>
      </w:r>
      <w:r w:rsidRPr="00E20D21">
        <w:rPr>
          <w:rFonts w:ascii="CAIXA Std Book" w:hAnsi="CAIXA Std Book"/>
          <w:color w:val="005CA9"/>
          <w:sz w:val="20"/>
          <w:szCs w:val="20"/>
        </w:rPr>
        <w:t xml:space="preserve"> bem como outros instrumentos no balanço que são sujeitos ao risco de variação das taxas de juros</w:t>
      </w:r>
      <w:r w:rsidR="00CD3707" w:rsidRPr="00E20D21">
        <w:rPr>
          <w:rFonts w:ascii="CAIXA Std Book" w:hAnsi="CAIXA Std Book"/>
          <w:color w:val="005CA9"/>
          <w:sz w:val="20"/>
          <w:szCs w:val="20"/>
        </w:rPr>
        <w:t>,</w:t>
      </w:r>
      <w:r w:rsidRPr="00E20D21">
        <w:rPr>
          <w:rFonts w:ascii="CAIXA Std Book" w:hAnsi="CAIXA Std Book"/>
          <w:color w:val="005CA9"/>
          <w:sz w:val="20"/>
          <w:szCs w:val="20"/>
        </w:rPr>
        <w:t xml:space="preserve"> têm seus risco</w:t>
      </w:r>
      <w:r w:rsidR="00B62975" w:rsidRPr="00E20D21">
        <w:rPr>
          <w:rFonts w:ascii="CAIXA Std Book" w:hAnsi="CAIXA Std Book"/>
          <w:color w:val="005CA9"/>
          <w:sz w:val="20"/>
          <w:szCs w:val="20"/>
        </w:rPr>
        <w:t>s</w:t>
      </w:r>
      <w:r w:rsidRPr="00E20D21">
        <w:rPr>
          <w:rFonts w:ascii="CAIXA Std Book" w:hAnsi="CAIXA Std Book"/>
          <w:color w:val="005CA9"/>
          <w:sz w:val="20"/>
          <w:szCs w:val="20"/>
        </w:rPr>
        <w:t xml:space="preserve"> identificados, mensurados, monitorados, mitigados e reportados à governança de riscos da CAIXA</w:t>
      </w:r>
      <w:r w:rsidR="0067705E" w:rsidRPr="00E20D21">
        <w:rPr>
          <w:rFonts w:ascii="CAIXA Std Book" w:hAnsi="CAIXA Std Book"/>
          <w:color w:val="005CA9"/>
          <w:sz w:val="20"/>
          <w:szCs w:val="20"/>
        </w:rPr>
        <w:t>,</w:t>
      </w:r>
      <w:r w:rsidRPr="00E20D21">
        <w:rPr>
          <w:rFonts w:ascii="CAIXA Std Book" w:hAnsi="CAIXA Std Book"/>
          <w:color w:val="005CA9"/>
          <w:sz w:val="20"/>
          <w:szCs w:val="20"/>
        </w:rPr>
        <w:t xml:space="preserve"> em arcabouço próprio de gerenciamento de riscos, consubstanciados na Resolução CMN </w:t>
      </w:r>
      <w:r w:rsidR="00B62975" w:rsidRPr="00E20D21">
        <w:rPr>
          <w:rFonts w:ascii="CAIXA Std Book" w:hAnsi="CAIXA Std Book"/>
          <w:color w:val="005CA9"/>
          <w:sz w:val="20"/>
          <w:szCs w:val="20"/>
        </w:rPr>
        <w:t xml:space="preserve">nº </w:t>
      </w:r>
      <w:r w:rsidRPr="00E20D21">
        <w:rPr>
          <w:rFonts w:ascii="CAIXA Std Book" w:hAnsi="CAIXA Std Book"/>
          <w:color w:val="005CA9"/>
          <w:sz w:val="20"/>
          <w:szCs w:val="20"/>
        </w:rPr>
        <w:t>4</w:t>
      </w:r>
      <w:r w:rsidR="00B62975" w:rsidRPr="00E20D21">
        <w:rPr>
          <w:rFonts w:ascii="CAIXA Std Book" w:hAnsi="CAIXA Std Book"/>
          <w:color w:val="005CA9"/>
          <w:sz w:val="20"/>
          <w:szCs w:val="20"/>
        </w:rPr>
        <w:t>.</w:t>
      </w:r>
      <w:r w:rsidRPr="00E20D21">
        <w:rPr>
          <w:rFonts w:ascii="CAIXA Std Book" w:hAnsi="CAIXA Std Book"/>
          <w:color w:val="005CA9"/>
          <w:sz w:val="20"/>
          <w:szCs w:val="20"/>
        </w:rPr>
        <w:t xml:space="preserve">557/2017 e Circular </w:t>
      </w:r>
      <w:r w:rsidR="00B62975" w:rsidRPr="00E20D21">
        <w:rPr>
          <w:rFonts w:ascii="CAIXA Std Book" w:hAnsi="CAIXA Std Book"/>
          <w:color w:val="005CA9"/>
          <w:sz w:val="20"/>
          <w:szCs w:val="20"/>
        </w:rPr>
        <w:t xml:space="preserve">BCB nº </w:t>
      </w:r>
      <w:r w:rsidRPr="00E20D21">
        <w:rPr>
          <w:rFonts w:ascii="CAIXA Std Book" w:hAnsi="CAIXA Std Book"/>
          <w:color w:val="005CA9"/>
          <w:sz w:val="20"/>
          <w:szCs w:val="20"/>
        </w:rPr>
        <w:t>3</w:t>
      </w:r>
      <w:r w:rsidR="00B62975" w:rsidRPr="00E20D21">
        <w:rPr>
          <w:rFonts w:ascii="CAIXA Std Book" w:hAnsi="CAIXA Std Book"/>
          <w:color w:val="005CA9"/>
          <w:sz w:val="20"/>
          <w:szCs w:val="20"/>
        </w:rPr>
        <w:t>.</w:t>
      </w:r>
      <w:r w:rsidRPr="00E20D21">
        <w:rPr>
          <w:rFonts w:ascii="CAIXA Std Book" w:hAnsi="CAIXA Std Book"/>
          <w:color w:val="005CA9"/>
          <w:sz w:val="20"/>
          <w:szCs w:val="20"/>
        </w:rPr>
        <w:t>876/2019, e</w:t>
      </w:r>
      <w:r w:rsidR="00CD3707" w:rsidRPr="00E20D21">
        <w:rPr>
          <w:rFonts w:ascii="CAIXA Std Book" w:hAnsi="CAIXA Std Book"/>
          <w:color w:val="005CA9"/>
          <w:sz w:val="20"/>
          <w:szCs w:val="20"/>
        </w:rPr>
        <w:t>,</w:t>
      </w:r>
      <w:r w:rsidRPr="00E20D21">
        <w:rPr>
          <w:rFonts w:ascii="CAIXA Std Book" w:hAnsi="CAIXA Std Book"/>
          <w:color w:val="005CA9"/>
          <w:sz w:val="20"/>
          <w:szCs w:val="20"/>
        </w:rPr>
        <w:t xml:space="preserve"> portanto</w:t>
      </w:r>
      <w:r w:rsidR="00CA339F" w:rsidRPr="00E20D21">
        <w:rPr>
          <w:rFonts w:ascii="CAIXA Std Book" w:hAnsi="CAIXA Std Book"/>
          <w:color w:val="005CA9"/>
          <w:sz w:val="20"/>
          <w:szCs w:val="20"/>
        </w:rPr>
        <w:t>,</w:t>
      </w:r>
      <w:r w:rsidRPr="00E20D21">
        <w:rPr>
          <w:rFonts w:ascii="CAIXA Std Book" w:hAnsi="CAIXA Std Book"/>
          <w:color w:val="005CA9"/>
          <w:sz w:val="20"/>
          <w:szCs w:val="20"/>
        </w:rPr>
        <w:t xml:space="preserve"> não fazem parte do presente exercício. As sensibilidades desses instrumentos são analisadas e monitoradas e a instituição separa parte de seu capital para o enfrentamento das perdas decorrentes das variações desses fatores de risco. As informações para esses riscos con</w:t>
      </w:r>
      <w:r w:rsidR="00CC4808" w:rsidRPr="00E20D21">
        <w:rPr>
          <w:rFonts w:ascii="CAIXA Std Book" w:hAnsi="CAIXA Std Book"/>
          <w:color w:val="005CA9"/>
          <w:sz w:val="20"/>
          <w:szCs w:val="20"/>
        </w:rPr>
        <w:t>s</w:t>
      </w:r>
      <w:r w:rsidRPr="00E20D21">
        <w:rPr>
          <w:rFonts w:ascii="CAIXA Std Book" w:hAnsi="CAIXA Std Book"/>
          <w:color w:val="005CA9"/>
          <w:sz w:val="20"/>
          <w:szCs w:val="20"/>
        </w:rPr>
        <w:t xml:space="preserve">tam do relatório de Pilar III, disponível no sítio da CAIXA na internet. </w:t>
      </w:r>
    </w:p>
    <w:p w14:paraId="68AD6126" w14:textId="77777777" w:rsidR="009D0D37" w:rsidRPr="00E20D21" w:rsidRDefault="00B070EC" w:rsidP="00C417E8">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w:t>
      </w:r>
      <w:r w:rsidR="009D0D37" w:rsidRPr="00E20D21">
        <w:rPr>
          <w:rFonts w:ascii="CAIXA Std Book" w:hAnsi="CAIXA Std Book"/>
          <w:color w:val="005CA9"/>
          <w:sz w:val="20"/>
          <w:szCs w:val="20"/>
        </w:rPr>
        <w:t>s análises de sensibilidade para cada tipo de risco de mercado considerado relevante pela Alta Administração, ao qual a CAIXA estava exposta, incluíram todas as operações relevantes com instrumentos financeiros e consideraram as maiores perdas em cada um dos cenários a seguir:</w:t>
      </w:r>
    </w:p>
    <w:p w14:paraId="5E74CBDD" w14:textId="77777777" w:rsidR="009D0D37" w:rsidRPr="00E20D21" w:rsidRDefault="009D0D37" w:rsidP="00C417E8">
      <w:pPr>
        <w:spacing w:before="120" w:after="120"/>
        <w:ind w:left="1276" w:hanging="1276"/>
        <w:jc w:val="both"/>
        <w:rPr>
          <w:rFonts w:ascii="CAIXA Std Book" w:hAnsi="CAIXA Std Book"/>
          <w:color w:val="005CA9"/>
          <w:sz w:val="20"/>
          <w:szCs w:val="20"/>
        </w:rPr>
      </w:pPr>
      <w:r w:rsidRPr="00E20D21">
        <w:rPr>
          <w:rFonts w:ascii="CAIXA Std Book" w:hAnsi="CAIXA Std Book"/>
          <w:color w:val="005CA9"/>
          <w:sz w:val="20"/>
          <w:szCs w:val="20"/>
        </w:rPr>
        <w:t>Cenário I:</w:t>
      </w:r>
      <w:r w:rsidRPr="00E20D21">
        <w:rPr>
          <w:rFonts w:ascii="CAIXA Std Book" w:hAnsi="CAIXA Std Book"/>
          <w:color w:val="005CA9"/>
          <w:sz w:val="20"/>
          <w:szCs w:val="20"/>
        </w:rPr>
        <w:tab/>
        <w:t>Cenário provável considerando a trajetória mais provável das variáveis e indicadores macroeconômicos;</w:t>
      </w:r>
    </w:p>
    <w:p w14:paraId="41BDCE0D" w14:textId="77777777" w:rsidR="00415B52" w:rsidRPr="00E20D21" w:rsidRDefault="00415B52" w:rsidP="00415B52">
      <w:pPr>
        <w:spacing w:before="120" w:after="120"/>
        <w:ind w:left="1276" w:hanging="1276"/>
        <w:jc w:val="both"/>
        <w:rPr>
          <w:rFonts w:ascii="CAIXA Std Book" w:hAnsi="CAIXA Std Book"/>
          <w:color w:val="005CA9"/>
          <w:sz w:val="20"/>
          <w:szCs w:val="20"/>
        </w:rPr>
      </w:pPr>
      <w:r w:rsidRPr="00E20D21">
        <w:rPr>
          <w:rFonts w:ascii="CAIXA Std Book" w:hAnsi="CAIXA Std Book"/>
          <w:color w:val="005CA9"/>
          <w:sz w:val="20"/>
          <w:szCs w:val="20"/>
        </w:rPr>
        <w:t>Cenário II:</w:t>
      </w:r>
      <w:r w:rsidRPr="00E20D21">
        <w:rPr>
          <w:rFonts w:ascii="CAIXA Std Book" w:hAnsi="CAIXA Std Book"/>
          <w:color w:val="005CA9"/>
          <w:sz w:val="20"/>
          <w:szCs w:val="20"/>
        </w:rPr>
        <w:tab/>
        <w:t>Cenário eventual que considera um choque paralelo multiplicativo de 25% ao cenário I para o fator de risco Cupom SELIC Títulos Públicos e aditivo de 1% para os demais fatores de risco;</w:t>
      </w:r>
    </w:p>
    <w:p w14:paraId="2996B0BA" w14:textId="77777777" w:rsidR="00415B52" w:rsidRPr="00E20D21" w:rsidRDefault="00415B52" w:rsidP="00415B52">
      <w:pPr>
        <w:spacing w:before="120" w:after="120"/>
        <w:ind w:left="1276" w:hanging="1276"/>
        <w:jc w:val="both"/>
        <w:rPr>
          <w:rFonts w:ascii="CAIXA Std Book" w:hAnsi="CAIXA Std Book"/>
          <w:color w:val="005CA9"/>
          <w:sz w:val="20"/>
          <w:szCs w:val="20"/>
        </w:rPr>
      </w:pPr>
      <w:r w:rsidRPr="00E20D21">
        <w:rPr>
          <w:rFonts w:ascii="CAIXA Std Book" w:hAnsi="CAIXA Std Book"/>
          <w:color w:val="005CA9"/>
          <w:sz w:val="20"/>
          <w:szCs w:val="20"/>
        </w:rPr>
        <w:t>Cenário III:</w:t>
      </w:r>
      <w:r w:rsidRPr="00E20D21">
        <w:rPr>
          <w:rFonts w:ascii="CAIXA Std Book" w:hAnsi="CAIXA Std Book"/>
          <w:color w:val="005CA9"/>
          <w:sz w:val="20"/>
          <w:szCs w:val="20"/>
        </w:rPr>
        <w:tab/>
        <w:t>Cenário eventual que considera um choque paralelo multiplicativo de 50% ao cenário I para o fator de risco Cupom SELIC Títulos Públicos e aditivo de 2,5% para os demais fatores de risco;</w:t>
      </w:r>
    </w:p>
    <w:p w14:paraId="1506878B" w14:textId="77777777" w:rsidR="00415B52" w:rsidRPr="00E20D21" w:rsidRDefault="00415B52" w:rsidP="00415B52">
      <w:pPr>
        <w:spacing w:before="120" w:after="120"/>
        <w:ind w:left="1276" w:hanging="1276"/>
        <w:jc w:val="both"/>
        <w:rPr>
          <w:rFonts w:ascii="CAIXA Std Book" w:hAnsi="CAIXA Std Book"/>
          <w:color w:val="005CA9"/>
          <w:sz w:val="20"/>
          <w:szCs w:val="20"/>
        </w:rPr>
      </w:pPr>
      <w:r w:rsidRPr="00E20D21">
        <w:rPr>
          <w:rFonts w:ascii="CAIXA Std Book" w:hAnsi="CAIXA Std Book"/>
          <w:color w:val="005CA9"/>
          <w:sz w:val="20"/>
          <w:szCs w:val="20"/>
        </w:rPr>
        <w:t>Cenário IV:</w:t>
      </w:r>
      <w:r w:rsidRPr="00E20D21">
        <w:rPr>
          <w:rFonts w:ascii="CAIXA Std Book" w:hAnsi="CAIXA Std Book"/>
          <w:color w:val="005CA9"/>
          <w:sz w:val="20"/>
          <w:szCs w:val="20"/>
        </w:rPr>
        <w:tab/>
        <w:t>Cenário eventual que considera um choque paralelo multiplicativo de 50% ao cenário I para o fator primitivo de risco Cupom SELIC Títulos Públicos e aditivo de 5% para os demais fatores de risco;</w:t>
      </w:r>
    </w:p>
    <w:p w14:paraId="368AAD46" w14:textId="77777777" w:rsidR="00415B52" w:rsidRPr="00E20D21" w:rsidRDefault="00415B52" w:rsidP="00415B52">
      <w:pPr>
        <w:spacing w:before="120" w:after="120"/>
        <w:ind w:left="1276" w:hanging="1276"/>
        <w:jc w:val="both"/>
        <w:rPr>
          <w:rFonts w:ascii="CAIXA Std Book" w:hAnsi="CAIXA Std Book"/>
          <w:color w:val="005CA9"/>
          <w:sz w:val="20"/>
          <w:szCs w:val="20"/>
        </w:rPr>
      </w:pPr>
      <w:r w:rsidRPr="00E20D21">
        <w:rPr>
          <w:rFonts w:ascii="CAIXA Std Book" w:hAnsi="CAIXA Std Book"/>
          <w:color w:val="005CA9"/>
          <w:sz w:val="20"/>
          <w:szCs w:val="20"/>
        </w:rPr>
        <w:t>Cenário V:</w:t>
      </w:r>
      <w:r w:rsidRPr="00E20D21">
        <w:rPr>
          <w:rFonts w:ascii="CAIXA Std Book" w:hAnsi="CAIXA Std Book"/>
          <w:color w:val="005CA9"/>
          <w:sz w:val="20"/>
          <w:szCs w:val="20"/>
        </w:rPr>
        <w:tab/>
        <w:t>Cenário eventual que considera um choque paralelo multiplicativo de 0,75% ao cenário I para o fator primitivo de risco Cupom SELIC Títulos Públicos e subtrativo de 1% para os demais fatores de risco;</w:t>
      </w:r>
    </w:p>
    <w:p w14:paraId="01261EBD" w14:textId="0C9C95DA" w:rsidR="00415B52" w:rsidRPr="00E20D21" w:rsidRDefault="00415B52" w:rsidP="00415B52">
      <w:pPr>
        <w:spacing w:before="120" w:after="120"/>
        <w:ind w:left="1276" w:hanging="1276"/>
        <w:jc w:val="both"/>
        <w:rPr>
          <w:rFonts w:ascii="CAIXA Std Book" w:hAnsi="CAIXA Std Book"/>
          <w:color w:val="005CA9"/>
          <w:sz w:val="20"/>
          <w:szCs w:val="20"/>
        </w:rPr>
      </w:pPr>
      <w:r w:rsidRPr="00E20D21">
        <w:rPr>
          <w:rFonts w:ascii="CAIXA Std Book" w:hAnsi="CAIXA Std Book"/>
          <w:color w:val="005CA9"/>
          <w:sz w:val="20"/>
          <w:szCs w:val="20"/>
        </w:rPr>
        <w:t>Cenário VI:</w:t>
      </w:r>
      <w:r w:rsidRPr="00E20D21">
        <w:rPr>
          <w:rFonts w:ascii="CAIXA Std Book" w:hAnsi="CAIXA Std Book"/>
          <w:color w:val="005CA9"/>
          <w:sz w:val="20"/>
          <w:szCs w:val="20"/>
        </w:rPr>
        <w:tab/>
        <w:t>Cenário eventual que considera um choque paralelo multiplicativo de 0,5% ao cenário I para o fator primitivo de risco Cupom SELIC Títulos Públicos e subtrativo de 2,5% para os demais fatores de risco;</w:t>
      </w:r>
      <w:r w:rsidR="00793DEB" w:rsidRPr="00E20D21">
        <w:rPr>
          <w:rFonts w:ascii="CAIXA Std Book" w:hAnsi="CAIXA Std Book"/>
          <w:color w:val="005CA9"/>
          <w:sz w:val="20"/>
          <w:szCs w:val="20"/>
        </w:rPr>
        <w:t xml:space="preserve"> e</w:t>
      </w:r>
    </w:p>
    <w:p w14:paraId="2E75F700" w14:textId="602C3984" w:rsidR="00415B52" w:rsidRPr="00E20D21" w:rsidRDefault="00415B52" w:rsidP="00415B52">
      <w:pPr>
        <w:spacing w:before="120" w:after="120"/>
        <w:ind w:left="1276" w:hanging="1276"/>
        <w:jc w:val="both"/>
        <w:rPr>
          <w:rFonts w:ascii="CAIXA Std Book" w:hAnsi="CAIXA Std Book"/>
          <w:color w:val="005CA9"/>
          <w:sz w:val="20"/>
          <w:szCs w:val="20"/>
        </w:rPr>
      </w:pPr>
      <w:r w:rsidRPr="00E20D21">
        <w:rPr>
          <w:rFonts w:ascii="CAIXA Std Book" w:hAnsi="CAIXA Std Book"/>
          <w:color w:val="005CA9"/>
          <w:sz w:val="20"/>
          <w:szCs w:val="20"/>
        </w:rPr>
        <w:lastRenderedPageBreak/>
        <w:t>Cenário VII:</w:t>
      </w:r>
      <w:r w:rsidRPr="00E20D21">
        <w:rPr>
          <w:rFonts w:ascii="CAIXA Std Book" w:hAnsi="CAIXA Std Book"/>
          <w:color w:val="005CA9"/>
        </w:rPr>
        <w:tab/>
      </w:r>
      <w:r w:rsidRPr="00E20D21">
        <w:rPr>
          <w:rFonts w:ascii="CAIXA Std Book" w:hAnsi="CAIXA Std Book"/>
          <w:color w:val="005CA9"/>
          <w:sz w:val="20"/>
          <w:szCs w:val="20"/>
        </w:rPr>
        <w:t>Cenário eventual que considera um choque paralelo multiplicativo de 0,25% ao cenário I para o fator primitivo de risco Cupom SELIC Títulos Públicos e subtrativo de 5% para os demais fatores de risco</w:t>
      </w:r>
      <w:r w:rsidR="00793DEB" w:rsidRPr="00E20D21">
        <w:rPr>
          <w:rFonts w:ascii="CAIXA Std Book" w:hAnsi="CAIXA Std Book"/>
          <w:color w:val="005CA9"/>
          <w:sz w:val="20"/>
          <w:szCs w:val="20"/>
        </w:rPr>
        <w:t>.</w:t>
      </w:r>
    </w:p>
    <w:p w14:paraId="32BFD101" w14:textId="49AA2E11" w:rsidR="00A63366" w:rsidRDefault="00A63366" w:rsidP="000154D4">
      <w:pPr>
        <w:rPr>
          <w:rFonts w:ascii="CAIXA Std Book" w:hAnsi="CAIXA Std Book"/>
          <w:color w:val="005CA9"/>
          <w:sz w:val="20"/>
          <w:szCs w:val="20"/>
        </w:rPr>
      </w:pPr>
      <w:r w:rsidRPr="00E20D21">
        <w:rPr>
          <w:rFonts w:ascii="CAIXA Std Book" w:hAnsi="CAIXA Std Book"/>
          <w:color w:val="005CA9"/>
          <w:sz w:val="20"/>
          <w:szCs w:val="20"/>
        </w:rPr>
        <w:t xml:space="preserve">Os resultados dos </w:t>
      </w:r>
      <w:r w:rsidR="000C36ED" w:rsidRPr="00E20D21">
        <w:rPr>
          <w:rFonts w:ascii="CAIXA Std Book" w:hAnsi="CAIXA Std Book"/>
          <w:color w:val="005CA9"/>
          <w:sz w:val="20"/>
          <w:szCs w:val="20"/>
        </w:rPr>
        <w:t>i</w:t>
      </w:r>
      <w:r w:rsidRPr="00E20D21">
        <w:rPr>
          <w:rFonts w:ascii="CAIXA Std Book" w:hAnsi="CAIXA Std Book"/>
          <w:color w:val="005CA9"/>
          <w:sz w:val="20"/>
          <w:szCs w:val="20"/>
        </w:rPr>
        <w:t xml:space="preserve">nstrumentos </w:t>
      </w:r>
      <w:r w:rsidR="000C36ED" w:rsidRPr="00E20D21">
        <w:rPr>
          <w:rFonts w:ascii="CAIXA Std Book" w:hAnsi="CAIXA Std Book"/>
          <w:color w:val="005CA9"/>
          <w:sz w:val="20"/>
          <w:szCs w:val="20"/>
        </w:rPr>
        <w:t>f</w:t>
      </w:r>
      <w:r w:rsidRPr="00E20D21">
        <w:rPr>
          <w:rFonts w:ascii="CAIXA Std Book" w:hAnsi="CAIXA Std Book"/>
          <w:color w:val="005CA9"/>
          <w:sz w:val="20"/>
          <w:szCs w:val="20"/>
        </w:rPr>
        <w:t xml:space="preserve">inanceiros </w:t>
      </w:r>
      <w:r w:rsidR="000C36ED" w:rsidRPr="00E20D21">
        <w:rPr>
          <w:rFonts w:ascii="CAIXA Std Book" w:hAnsi="CAIXA Std Book"/>
          <w:color w:val="005CA9"/>
          <w:sz w:val="20"/>
          <w:szCs w:val="20"/>
        </w:rPr>
        <w:t xml:space="preserve">apurados </w:t>
      </w:r>
      <w:r w:rsidRPr="00E20D21">
        <w:rPr>
          <w:rFonts w:ascii="CAIXA Std Book" w:hAnsi="CAIXA Std Book"/>
          <w:color w:val="005CA9"/>
          <w:sz w:val="20"/>
          <w:szCs w:val="20"/>
        </w:rPr>
        <w:t xml:space="preserve">em </w:t>
      </w:r>
      <w:r w:rsidR="00866553" w:rsidRPr="00E20D21">
        <w:rPr>
          <w:rFonts w:ascii="CAIXA Std Book" w:hAnsi="CAIXA Std Book"/>
          <w:color w:val="005CA9"/>
          <w:sz w:val="20"/>
          <w:szCs w:val="20"/>
        </w:rPr>
        <w:t>30/06/2024</w:t>
      </w:r>
      <w:r w:rsidRPr="00E20D21">
        <w:rPr>
          <w:rFonts w:ascii="CAIXA Std Book" w:hAnsi="CAIXA Std Book"/>
          <w:color w:val="005CA9"/>
          <w:sz w:val="20"/>
          <w:szCs w:val="20"/>
        </w:rPr>
        <w:t xml:space="preserve"> estão sintetizados no quadro a seguir:</w:t>
      </w:r>
    </w:p>
    <w:p w14:paraId="26E38881" w14:textId="77777777" w:rsidR="00724D59" w:rsidRPr="00E20D21" w:rsidRDefault="00724D59" w:rsidP="000154D4">
      <w:pPr>
        <w:rPr>
          <w:rFonts w:ascii="CAIXA Std Book" w:hAnsi="CAIXA Std Book"/>
          <w:color w:val="005CA9"/>
          <w:sz w:val="20"/>
          <w:szCs w:val="20"/>
        </w:rPr>
      </w:pPr>
    </w:p>
    <w:tbl>
      <w:tblPr>
        <w:tblW w:w="5000" w:type="pct"/>
        <w:tblCellMar>
          <w:left w:w="70" w:type="dxa"/>
          <w:right w:w="70" w:type="dxa"/>
        </w:tblCellMar>
        <w:tblLook w:val="04A0" w:firstRow="1" w:lastRow="0" w:firstColumn="1" w:lastColumn="0" w:noHBand="0" w:noVBand="1"/>
      </w:tblPr>
      <w:tblGrid>
        <w:gridCol w:w="1759"/>
        <w:gridCol w:w="1267"/>
        <w:gridCol w:w="1103"/>
        <w:gridCol w:w="1103"/>
        <w:gridCol w:w="1214"/>
        <w:gridCol w:w="1092"/>
        <w:gridCol w:w="1088"/>
        <w:gridCol w:w="1121"/>
      </w:tblGrid>
      <w:tr w:rsidR="00A47C19" w:rsidRPr="00E20D21" w14:paraId="457F99AF" w14:textId="77777777" w:rsidTr="00C25DA8">
        <w:trPr>
          <w:trHeight w:val="283"/>
        </w:trPr>
        <w:tc>
          <w:tcPr>
            <w:tcW w:w="902" w:type="pct"/>
            <w:vMerge w:val="restart"/>
            <w:tcBorders>
              <w:top w:val="single" w:sz="4" w:space="0" w:color="F79646"/>
              <w:left w:val="nil"/>
              <w:bottom w:val="single" w:sz="4" w:space="0" w:color="F79646"/>
              <w:right w:val="nil"/>
            </w:tcBorders>
            <w:shd w:val="clear" w:color="auto" w:fill="auto"/>
            <w:vAlign w:val="center"/>
            <w:hideMark/>
          </w:tcPr>
          <w:p w14:paraId="27B6658F" w14:textId="77777777"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Fator de Risco</w:t>
            </w:r>
          </w:p>
        </w:tc>
        <w:tc>
          <w:tcPr>
            <w:tcW w:w="650" w:type="pct"/>
            <w:vMerge w:val="restart"/>
            <w:tcBorders>
              <w:top w:val="single" w:sz="4" w:space="0" w:color="F79646"/>
              <w:left w:val="nil"/>
              <w:bottom w:val="single" w:sz="4" w:space="0" w:color="F79646"/>
              <w:right w:val="nil"/>
            </w:tcBorders>
            <w:shd w:val="clear" w:color="auto" w:fill="auto"/>
            <w:vAlign w:val="center"/>
            <w:hideMark/>
          </w:tcPr>
          <w:p w14:paraId="1B62DC05" w14:textId="08CD3212"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Cenário </w:t>
            </w:r>
            <w:r w:rsidR="006E744C" w:rsidRPr="00E20D21">
              <w:rPr>
                <w:rFonts w:ascii="CAIXA Std Book" w:eastAsia="Times New Roman" w:hAnsi="CAIXA Std Book" w:cs="Arial"/>
                <w:b/>
                <w:bCs/>
                <w:color w:val="005CA9"/>
                <w:sz w:val="16"/>
                <w:szCs w:val="16"/>
              </w:rPr>
              <w:t>I</w:t>
            </w:r>
            <w:r w:rsidRPr="00E20D21">
              <w:rPr>
                <w:rFonts w:ascii="CAIXA Std Book" w:eastAsia="Times New Roman" w:hAnsi="CAIXA Std Book" w:cs="Arial"/>
                <w:b/>
                <w:bCs/>
                <w:color w:val="005CA9"/>
                <w:sz w:val="16"/>
                <w:szCs w:val="16"/>
              </w:rPr>
              <w:t xml:space="preserve"> - </w:t>
            </w:r>
            <w:proofErr w:type="spellStart"/>
            <w:r w:rsidRPr="00E20D21">
              <w:rPr>
                <w:rFonts w:ascii="CAIXA Std Book" w:eastAsia="Times New Roman" w:hAnsi="CAIXA Std Book" w:cs="Arial"/>
                <w:b/>
                <w:bCs/>
                <w:color w:val="005CA9"/>
                <w:sz w:val="16"/>
                <w:szCs w:val="16"/>
              </w:rPr>
              <w:t>MtM</w:t>
            </w:r>
            <w:proofErr w:type="spellEnd"/>
            <w:r w:rsidRPr="00E20D21">
              <w:rPr>
                <w:rFonts w:ascii="CAIXA Std Book" w:eastAsia="Times New Roman" w:hAnsi="CAIXA Std Book" w:cs="Arial"/>
                <w:b/>
                <w:bCs/>
                <w:color w:val="005CA9"/>
                <w:sz w:val="16"/>
                <w:szCs w:val="16"/>
              </w:rPr>
              <w:t xml:space="preserve"> R$ mil</w:t>
            </w:r>
          </w:p>
        </w:tc>
        <w:tc>
          <w:tcPr>
            <w:tcW w:w="1754" w:type="pct"/>
            <w:gridSpan w:val="3"/>
            <w:tcBorders>
              <w:top w:val="single" w:sz="4" w:space="0" w:color="F79646"/>
              <w:left w:val="nil"/>
              <w:bottom w:val="single" w:sz="4" w:space="0" w:color="F79646"/>
              <w:right w:val="nil"/>
            </w:tcBorders>
            <w:shd w:val="clear" w:color="auto" w:fill="auto"/>
            <w:vAlign w:val="center"/>
            <w:hideMark/>
          </w:tcPr>
          <w:p w14:paraId="3A9F60B7" w14:textId="77777777"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Choque de Alta nas Taxas de Juros</w:t>
            </w:r>
          </w:p>
        </w:tc>
        <w:tc>
          <w:tcPr>
            <w:tcW w:w="1693" w:type="pct"/>
            <w:gridSpan w:val="3"/>
            <w:tcBorders>
              <w:top w:val="single" w:sz="4" w:space="0" w:color="F79646"/>
              <w:left w:val="nil"/>
              <w:bottom w:val="single" w:sz="4" w:space="0" w:color="F79646"/>
              <w:right w:val="nil"/>
            </w:tcBorders>
            <w:shd w:val="clear" w:color="auto" w:fill="auto"/>
            <w:vAlign w:val="center"/>
            <w:hideMark/>
          </w:tcPr>
          <w:p w14:paraId="0F4E2F77" w14:textId="77777777"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Choque de Baixa nas Taxas de Juros</w:t>
            </w:r>
          </w:p>
        </w:tc>
      </w:tr>
      <w:tr w:rsidR="00A47C19" w:rsidRPr="00E20D21" w14:paraId="5F394338" w14:textId="77777777" w:rsidTr="00321762">
        <w:trPr>
          <w:trHeight w:val="283"/>
        </w:trPr>
        <w:tc>
          <w:tcPr>
            <w:tcW w:w="902" w:type="pct"/>
            <w:vMerge/>
            <w:tcBorders>
              <w:left w:val="nil"/>
              <w:bottom w:val="single" w:sz="4" w:space="0" w:color="F79646"/>
              <w:right w:val="nil"/>
            </w:tcBorders>
            <w:vAlign w:val="center"/>
            <w:hideMark/>
          </w:tcPr>
          <w:p w14:paraId="4B37A3EB" w14:textId="77777777" w:rsidR="00C901BC" w:rsidRPr="00E20D21" w:rsidRDefault="00C901BC" w:rsidP="00C901BC">
            <w:pPr>
              <w:rPr>
                <w:rFonts w:ascii="CAIXA Std Book" w:eastAsia="Times New Roman" w:hAnsi="CAIXA Std Book" w:cs="Arial"/>
                <w:b/>
                <w:bCs/>
                <w:color w:val="005CA9"/>
                <w:sz w:val="16"/>
                <w:szCs w:val="16"/>
              </w:rPr>
            </w:pPr>
          </w:p>
        </w:tc>
        <w:tc>
          <w:tcPr>
            <w:tcW w:w="650" w:type="pct"/>
            <w:vMerge/>
            <w:tcBorders>
              <w:left w:val="nil"/>
              <w:bottom w:val="single" w:sz="4" w:space="0" w:color="F79646"/>
              <w:right w:val="nil"/>
            </w:tcBorders>
            <w:vAlign w:val="center"/>
            <w:hideMark/>
          </w:tcPr>
          <w:p w14:paraId="309843F1" w14:textId="77777777" w:rsidR="00C901BC" w:rsidRPr="00E20D21" w:rsidRDefault="00C901BC" w:rsidP="00C901BC">
            <w:pPr>
              <w:rPr>
                <w:rFonts w:ascii="CAIXA Std Book" w:eastAsia="Times New Roman" w:hAnsi="CAIXA Std Book" w:cs="Arial"/>
                <w:b/>
                <w:bCs/>
                <w:color w:val="005CA9"/>
                <w:sz w:val="16"/>
                <w:szCs w:val="16"/>
              </w:rPr>
            </w:pPr>
          </w:p>
        </w:tc>
        <w:tc>
          <w:tcPr>
            <w:tcW w:w="566" w:type="pct"/>
            <w:tcBorders>
              <w:top w:val="single" w:sz="4" w:space="0" w:color="F79646"/>
              <w:left w:val="nil"/>
              <w:bottom w:val="single" w:sz="4" w:space="0" w:color="F79646"/>
              <w:right w:val="nil"/>
            </w:tcBorders>
            <w:shd w:val="clear" w:color="auto" w:fill="auto"/>
            <w:noWrap/>
            <w:vAlign w:val="center"/>
            <w:hideMark/>
          </w:tcPr>
          <w:p w14:paraId="5C7338A9" w14:textId="77777777"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Cenário II</w:t>
            </w:r>
          </w:p>
        </w:tc>
        <w:tc>
          <w:tcPr>
            <w:tcW w:w="566" w:type="pct"/>
            <w:tcBorders>
              <w:top w:val="single" w:sz="4" w:space="0" w:color="F79646"/>
              <w:left w:val="nil"/>
              <w:bottom w:val="single" w:sz="4" w:space="0" w:color="F79646"/>
              <w:right w:val="nil"/>
            </w:tcBorders>
            <w:shd w:val="clear" w:color="auto" w:fill="auto"/>
            <w:noWrap/>
            <w:vAlign w:val="center"/>
            <w:hideMark/>
          </w:tcPr>
          <w:p w14:paraId="4B518981" w14:textId="77777777"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Cenário III</w:t>
            </w:r>
          </w:p>
        </w:tc>
        <w:tc>
          <w:tcPr>
            <w:tcW w:w="623" w:type="pct"/>
            <w:tcBorders>
              <w:top w:val="single" w:sz="4" w:space="0" w:color="F79646"/>
              <w:left w:val="nil"/>
              <w:bottom w:val="single" w:sz="4" w:space="0" w:color="F79646"/>
              <w:right w:val="nil"/>
            </w:tcBorders>
            <w:shd w:val="clear" w:color="auto" w:fill="auto"/>
            <w:noWrap/>
            <w:vAlign w:val="center"/>
            <w:hideMark/>
          </w:tcPr>
          <w:p w14:paraId="1214F91A" w14:textId="77777777"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Cenário IV</w:t>
            </w:r>
          </w:p>
        </w:tc>
        <w:tc>
          <w:tcPr>
            <w:tcW w:w="560" w:type="pct"/>
            <w:tcBorders>
              <w:top w:val="single" w:sz="4" w:space="0" w:color="F79646"/>
              <w:left w:val="nil"/>
              <w:bottom w:val="single" w:sz="4" w:space="0" w:color="F79646"/>
              <w:right w:val="nil"/>
            </w:tcBorders>
            <w:shd w:val="clear" w:color="auto" w:fill="auto"/>
            <w:noWrap/>
            <w:vAlign w:val="center"/>
            <w:hideMark/>
          </w:tcPr>
          <w:p w14:paraId="49A508C0" w14:textId="77777777"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Cenário V</w:t>
            </w:r>
          </w:p>
        </w:tc>
        <w:tc>
          <w:tcPr>
            <w:tcW w:w="558" w:type="pct"/>
            <w:tcBorders>
              <w:top w:val="single" w:sz="4" w:space="0" w:color="F79646"/>
              <w:left w:val="nil"/>
              <w:bottom w:val="single" w:sz="4" w:space="0" w:color="F79646"/>
              <w:right w:val="nil"/>
            </w:tcBorders>
            <w:shd w:val="clear" w:color="auto" w:fill="auto"/>
            <w:noWrap/>
            <w:vAlign w:val="center"/>
            <w:hideMark/>
          </w:tcPr>
          <w:p w14:paraId="5B4D9154" w14:textId="77777777"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Cenário VI</w:t>
            </w:r>
          </w:p>
        </w:tc>
        <w:tc>
          <w:tcPr>
            <w:tcW w:w="575" w:type="pct"/>
            <w:tcBorders>
              <w:top w:val="single" w:sz="4" w:space="0" w:color="F79646"/>
              <w:left w:val="nil"/>
              <w:bottom w:val="single" w:sz="4" w:space="0" w:color="F79646"/>
              <w:right w:val="nil"/>
            </w:tcBorders>
            <w:shd w:val="clear" w:color="auto" w:fill="auto"/>
            <w:noWrap/>
            <w:vAlign w:val="center"/>
            <w:hideMark/>
          </w:tcPr>
          <w:p w14:paraId="49CD2CB7" w14:textId="77777777" w:rsidR="00C901BC" w:rsidRPr="00E20D21" w:rsidRDefault="00C901BC" w:rsidP="00C901BC">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Cenário VII</w:t>
            </w:r>
          </w:p>
        </w:tc>
      </w:tr>
      <w:tr w:rsidR="00A47C19" w:rsidRPr="00E20D21" w14:paraId="33C7FC6C" w14:textId="77777777" w:rsidTr="00321762">
        <w:trPr>
          <w:trHeight w:val="283"/>
        </w:trPr>
        <w:tc>
          <w:tcPr>
            <w:tcW w:w="902" w:type="pct"/>
            <w:vMerge/>
            <w:tcBorders>
              <w:left w:val="nil"/>
              <w:bottom w:val="single" w:sz="4" w:space="0" w:color="F79646"/>
              <w:right w:val="nil"/>
            </w:tcBorders>
            <w:vAlign w:val="center"/>
            <w:hideMark/>
          </w:tcPr>
          <w:p w14:paraId="32D493E9" w14:textId="77777777" w:rsidR="00C901BC" w:rsidRPr="00E20D21" w:rsidRDefault="00C901BC" w:rsidP="00C901BC">
            <w:pPr>
              <w:rPr>
                <w:rFonts w:ascii="CAIXA Std Book" w:eastAsia="Times New Roman" w:hAnsi="CAIXA Std Book" w:cs="Arial"/>
                <w:b/>
                <w:bCs/>
                <w:color w:val="005CA9"/>
                <w:sz w:val="16"/>
                <w:szCs w:val="16"/>
              </w:rPr>
            </w:pPr>
          </w:p>
        </w:tc>
        <w:tc>
          <w:tcPr>
            <w:tcW w:w="650" w:type="pct"/>
            <w:vMerge/>
            <w:tcBorders>
              <w:left w:val="nil"/>
              <w:bottom w:val="single" w:sz="4" w:space="0" w:color="F79646"/>
              <w:right w:val="nil"/>
            </w:tcBorders>
            <w:vAlign w:val="center"/>
            <w:hideMark/>
          </w:tcPr>
          <w:p w14:paraId="203B1FF2" w14:textId="77777777" w:rsidR="00C901BC" w:rsidRPr="00E20D21" w:rsidRDefault="00C901BC" w:rsidP="00C901BC">
            <w:pPr>
              <w:rPr>
                <w:rFonts w:ascii="CAIXA Std Book" w:eastAsia="Times New Roman" w:hAnsi="CAIXA Std Book" w:cs="Arial"/>
                <w:b/>
                <w:bCs/>
                <w:color w:val="005CA9"/>
                <w:sz w:val="16"/>
                <w:szCs w:val="16"/>
              </w:rPr>
            </w:pPr>
          </w:p>
        </w:tc>
        <w:tc>
          <w:tcPr>
            <w:tcW w:w="566" w:type="pct"/>
            <w:tcBorders>
              <w:top w:val="single" w:sz="4" w:space="0" w:color="F79646"/>
              <w:left w:val="nil"/>
              <w:bottom w:val="single" w:sz="4" w:space="0" w:color="F79646"/>
              <w:right w:val="nil"/>
            </w:tcBorders>
            <w:shd w:val="clear" w:color="auto" w:fill="auto"/>
            <w:vAlign w:val="center"/>
            <w:hideMark/>
          </w:tcPr>
          <w:p w14:paraId="174559A3" w14:textId="77777777" w:rsidR="00C901BC" w:rsidRPr="00E20D21" w:rsidRDefault="00C901BC" w:rsidP="001057F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Var. </w:t>
            </w:r>
            <w:proofErr w:type="spellStart"/>
            <w:r w:rsidRPr="00E20D21">
              <w:rPr>
                <w:rFonts w:ascii="CAIXA Std Book" w:eastAsia="Times New Roman" w:hAnsi="CAIXA Std Book" w:cs="Arial"/>
                <w:b/>
                <w:bCs/>
                <w:color w:val="005CA9"/>
                <w:sz w:val="16"/>
                <w:szCs w:val="16"/>
              </w:rPr>
              <w:t>MtM</w:t>
            </w:r>
            <w:proofErr w:type="spellEnd"/>
            <w:r w:rsidRPr="00E20D21">
              <w:rPr>
                <w:rFonts w:ascii="CAIXA Std Book" w:eastAsia="Times New Roman" w:hAnsi="CAIXA Std Book" w:cs="Arial"/>
                <w:b/>
                <w:bCs/>
                <w:color w:val="005CA9"/>
                <w:sz w:val="16"/>
                <w:szCs w:val="16"/>
              </w:rPr>
              <w:t xml:space="preserve">      R$ mil</w:t>
            </w:r>
          </w:p>
        </w:tc>
        <w:tc>
          <w:tcPr>
            <w:tcW w:w="566" w:type="pct"/>
            <w:tcBorders>
              <w:top w:val="single" w:sz="4" w:space="0" w:color="F79646"/>
              <w:left w:val="nil"/>
              <w:bottom w:val="single" w:sz="4" w:space="0" w:color="F79646"/>
              <w:right w:val="nil"/>
            </w:tcBorders>
            <w:shd w:val="clear" w:color="auto" w:fill="auto"/>
            <w:vAlign w:val="center"/>
            <w:hideMark/>
          </w:tcPr>
          <w:p w14:paraId="5A8C8A12" w14:textId="77777777" w:rsidR="00C901BC" w:rsidRPr="00E20D21" w:rsidRDefault="00C901BC" w:rsidP="001057F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Var. </w:t>
            </w:r>
            <w:proofErr w:type="spellStart"/>
            <w:r w:rsidRPr="00E20D21">
              <w:rPr>
                <w:rFonts w:ascii="CAIXA Std Book" w:eastAsia="Times New Roman" w:hAnsi="CAIXA Std Book" w:cs="Arial"/>
                <w:b/>
                <w:bCs/>
                <w:color w:val="005CA9"/>
                <w:sz w:val="16"/>
                <w:szCs w:val="16"/>
              </w:rPr>
              <w:t>MtM</w:t>
            </w:r>
            <w:proofErr w:type="spellEnd"/>
            <w:r w:rsidRPr="00E20D21">
              <w:rPr>
                <w:rFonts w:ascii="CAIXA Std Book" w:eastAsia="Times New Roman" w:hAnsi="CAIXA Std Book" w:cs="Arial"/>
                <w:b/>
                <w:bCs/>
                <w:color w:val="005CA9"/>
                <w:sz w:val="16"/>
                <w:szCs w:val="16"/>
              </w:rPr>
              <w:t xml:space="preserve">      R$ mil</w:t>
            </w:r>
          </w:p>
        </w:tc>
        <w:tc>
          <w:tcPr>
            <w:tcW w:w="623" w:type="pct"/>
            <w:tcBorders>
              <w:top w:val="single" w:sz="4" w:space="0" w:color="F79646"/>
              <w:left w:val="nil"/>
              <w:bottom w:val="single" w:sz="4" w:space="0" w:color="F79646"/>
              <w:right w:val="nil"/>
            </w:tcBorders>
            <w:shd w:val="clear" w:color="auto" w:fill="auto"/>
            <w:vAlign w:val="center"/>
            <w:hideMark/>
          </w:tcPr>
          <w:p w14:paraId="5C99B5CB" w14:textId="77777777" w:rsidR="00C901BC" w:rsidRPr="00E20D21" w:rsidRDefault="00C901BC" w:rsidP="001057F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Var. </w:t>
            </w:r>
            <w:proofErr w:type="spellStart"/>
            <w:r w:rsidRPr="00E20D21">
              <w:rPr>
                <w:rFonts w:ascii="CAIXA Std Book" w:eastAsia="Times New Roman" w:hAnsi="CAIXA Std Book" w:cs="Arial"/>
                <w:b/>
                <w:bCs/>
                <w:color w:val="005CA9"/>
                <w:sz w:val="16"/>
                <w:szCs w:val="16"/>
              </w:rPr>
              <w:t>MtM</w:t>
            </w:r>
            <w:proofErr w:type="spellEnd"/>
            <w:r w:rsidRPr="00E20D21">
              <w:rPr>
                <w:rFonts w:ascii="CAIXA Std Book" w:eastAsia="Times New Roman" w:hAnsi="CAIXA Std Book" w:cs="Arial"/>
                <w:b/>
                <w:bCs/>
                <w:color w:val="005CA9"/>
                <w:sz w:val="16"/>
                <w:szCs w:val="16"/>
              </w:rPr>
              <w:t xml:space="preserve">      R$ mil</w:t>
            </w:r>
          </w:p>
        </w:tc>
        <w:tc>
          <w:tcPr>
            <w:tcW w:w="560" w:type="pct"/>
            <w:tcBorders>
              <w:top w:val="single" w:sz="4" w:space="0" w:color="F79646"/>
              <w:left w:val="nil"/>
              <w:bottom w:val="single" w:sz="4" w:space="0" w:color="F79646"/>
              <w:right w:val="nil"/>
            </w:tcBorders>
            <w:shd w:val="clear" w:color="auto" w:fill="auto"/>
            <w:vAlign w:val="center"/>
            <w:hideMark/>
          </w:tcPr>
          <w:p w14:paraId="0FE0241C" w14:textId="77777777" w:rsidR="00C901BC" w:rsidRPr="00E20D21" w:rsidRDefault="00C901BC" w:rsidP="001057F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Var. </w:t>
            </w:r>
            <w:proofErr w:type="spellStart"/>
            <w:r w:rsidRPr="00E20D21">
              <w:rPr>
                <w:rFonts w:ascii="CAIXA Std Book" w:eastAsia="Times New Roman" w:hAnsi="CAIXA Std Book" w:cs="Arial"/>
                <w:b/>
                <w:bCs/>
                <w:color w:val="005CA9"/>
                <w:sz w:val="16"/>
                <w:szCs w:val="16"/>
              </w:rPr>
              <w:t>MtM</w:t>
            </w:r>
            <w:proofErr w:type="spellEnd"/>
            <w:r w:rsidRPr="00E20D21">
              <w:rPr>
                <w:rFonts w:ascii="CAIXA Std Book" w:eastAsia="Times New Roman" w:hAnsi="CAIXA Std Book" w:cs="Arial"/>
                <w:b/>
                <w:bCs/>
                <w:color w:val="005CA9"/>
                <w:sz w:val="16"/>
                <w:szCs w:val="16"/>
              </w:rPr>
              <w:t xml:space="preserve">      R$ mil</w:t>
            </w:r>
          </w:p>
        </w:tc>
        <w:tc>
          <w:tcPr>
            <w:tcW w:w="558" w:type="pct"/>
            <w:tcBorders>
              <w:top w:val="single" w:sz="4" w:space="0" w:color="F79646"/>
              <w:left w:val="nil"/>
              <w:bottom w:val="single" w:sz="4" w:space="0" w:color="F79646"/>
              <w:right w:val="nil"/>
            </w:tcBorders>
            <w:shd w:val="clear" w:color="auto" w:fill="auto"/>
            <w:vAlign w:val="center"/>
            <w:hideMark/>
          </w:tcPr>
          <w:p w14:paraId="24D60736" w14:textId="77777777" w:rsidR="00C901BC" w:rsidRPr="00E20D21" w:rsidRDefault="00C901BC" w:rsidP="001057F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Var. </w:t>
            </w:r>
            <w:proofErr w:type="spellStart"/>
            <w:r w:rsidRPr="00E20D21">
              <w:rPr>
                <w:rFonts w:ascii="CAIXA Std Book" w:eastAsia="Times New Roman" w:hAnsi="CAIXA Std Book" w:cs="Arial"/>
                <w:b/>
                <w:bCs/>
                <w:color w:val="005CA9"/>
                <w:sz w:val="16"/>
                <w:szCs w:val="16"/>
              </w:rPr>
              <w:t>MtM</w:t>
            </w:r>
            <w:proofErr w:type="spellEnd"/>
            <w:r w:rsidRPr="00E20D21">
              <w:rPr>
                <w:rFonts w:ascii="CAIXA Std Book" w:eastAsia="Times New Roman" w:hAnsi="CAIXA Std Book" w:cs="Arial"/>
                <w:b/>
                <w:bCs/>
                <w:color w:val="005CA9"/>
                <w:sz w:val="16"/>
                <w:szCs w:val="16"/>
              </w:rPr>
              <w:t xml:space="preserve">      R$ mil</w:t>
            </w:r>
          </w:p>
        </w:tc>
        <w:tc>
          <w:tcPr>
            <w:tcW w:w="575" w:type="pct"/>
            <w:tcBorders>
              <w:top w:val="single" w:sz="4" w:space="0" w:color="F79646"/>
              <w:left w:val="nil"/>
              <w:bottom w:val="single" w:sz="4" w:space="0" w:color="F79646"/>
              <w:right w:val="nil"/>
            </w:tcBorders>
            <w:shd w:val="clear" w:color="auto" w:fill="auto"/>
            <w:vAlign w:val="center"/>
            <w:hideMark/>
          </w:tcPr>
          <w:p w14:paraId="41DF6F92" w14:textId="77777777" w:rsidR="00C901BC" w:rsidRPr="00E20D21" w:rsidRDefault="00C901BC" w:rsidP="001057F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Var. </w:t>
            </w:r>
            <w:proofErr w:type="spellStart"/>
            <w:r w:rsidRPr="00E20D21">
              <w:rPr>
                <w:rFonts w:ascii="CAIXA Std Book" w:eastAsia="Times New Roman" w:hAnsi="CAIXA Std Book" w:cs="Arial"/>
                <w:b/>
                <w:bCs/>
                <w:color w:val="005CA9"/>
                <w:sz w:val="16"/>
                <w:szCs w:val="16"/>
              </w:rPr>
              <w:t>MtM</w:t>
            </w:r>
            <w:proofErr w:type="spellEnd"/>
            <w:r w:rsidRPr="00E20D21">
              <w:rPr>
                <w:rFonts w:ascii="CAIXA Std Book" w:eastAsia="Times New Roman" w:hAnsi="CAIXA Std Book" w:cs="Arial"/>
                <w:b/>
                <w:bCs/>
                <w:color w:val="005CA9"/>
                <w:sz w:val="16"/>
                <w:szCs w:val="16"/>
              </w:rPr>
              <w:t xml:space="preserve">      R$ mil</w:t>
            </w:r>
          </w:p>
        </w:tc>
      </w:tr>
      <w:tr w:rsidR="00A47C19" w:rsidRPr="00E20D21" w14:paraId="366898EB" w14:textId="77777777" w:rsidTr="00321762">
        <w:trPr>
          <w:trHeight w:val="283"/>
        </w:trPr>
        <w:tc>
          <w:tcPr>
            <w:tcW w:w="902" w:type="pct"/>
            <w:tcBorders>
              <w:top w:val="single" w:sz="4" w:space="0" w:color="F79646"/>
              <w:left w:val="nil"/>
              <w:bottom w:val="nil"/>
              <w:right w:val="nil"/>
            </w:tcBorders>
            <w:shd w:val="clear" w:color="auto" w:fill="auto"/>
            <w:vAlign w:val="center"/>
            <w:hideMark/>
          </w:tcPr>
          <w:p w14:paraId="1A2B808C" w14:textId="77777777" w:rsidR="00C901BC" w:rsidRPr="00E20D21" w:rsidRDefault="00C901BC" w:rsidP="00C901B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CDI</w:t>
            </w:r>
          </w:p>
        </w:tc>
        <w:tc>
          <w:tcPr>
            <w:tcW w:w="650" w:type="pct"/>
            <w:tcBorders>
              <w:top w:val="single" w:sz="4" w:space="0" w:color="F79646"/>
              <w:left w:val="nil"/>
              <w:bottom w:val="nil"/>
              <w:right w:val="nil"/>
            </w:tcBorders>
            <w:shd w:val="clear" w:color="auto" w:fill="auto"/>
            <w:vAlign w:val="center"/>
          </w:tcPr>
          <w:p w14:paraId="11EF2F03" w14:textId="4F05E826"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48.910.103 </w:t>
            </w:r>
          </w:p>
        </w:tc>
        <w:tc>
          <w:tcPr>
            <w:tcW w:w="566" w:type="pct"/>
            <w:tcBorders>
              <w:top w:val="single" w:sz="4" w:space="0" w:color="F79646"/>
              <w:left w:val="nil"/>
              <w:bottom w:val="nil"/>
              <w:right w:val="nil"/>
            </w:tcBorders>
            <w:shd w:val="clear" w:color="auto" w:fill="auto"/>
            <w:vAlign w:val="center"/>
          </w:tcPr>
          <w:p w14:paraId="1FEB49C1" w14:textId="30A7CB07"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(919.102)</w:t>
            </w:r>
          </w:p>
        </w:tc>
        <w:tc>
          <w:tcPr>
            <w:tcW w:w="566" w:type="pct"/>
            <w:tcBorders>
              <w:top w:val="single" w:sz="4" w:space="0" w:color="F79646"/>
              <w:left w:val="nil"/>
              <w:bottom w:val="nil"/>
              <w:right w:val="nil"/>
            </w:tcBorders>
            <w:shd w:val="clear" w:color="auto" w:fill="auto"/>
            <w:vAlign w:val="center"/>
          </w:tcPr>
          <w:p w14:paraId="2079256A" w14:textId="3024A17D"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(2.244.299)</w:t>
            </w:r>
          </w:p>
        </w:tc>
        <w:tc>
          <w:tcPr>
            <w:tcW w:w="623" w:type="pct"/>
            <w:tcBorders>
              <w:top w:val="single" w:sz="4" w:space="0" w:color="F79646"/>
              <w:left w:val="nil"/>
              <w:bottom w:val="nil"/>
              <w:right w:val="nil"/>
            </w:tcBorders>
            <w:shd w:val="clear" w:color="auto" w:fill="auto"/>
            <w:vAlign w:val="center"/>
          </w:tcPr>
          <w:p w14:paraId="629D251A" w14:textId="0853F901"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(4.320.264)</w:t>
            </w:r>
          </w:p>
        </w:tc>
        <w:tc>
          <w:tcPr>
            <w:tcW w:w="560" w:type="pct"/>
            <w:tcBorders>
              <w:top w:val="single" w:sz="4" w:space="0" w:color="F79646"/>
              <w:left w:val="nil"/>
              <w:bottom w:val="nil"/>
              <w:right w:val="nil"/>
            </w:tcBorders>
            <w:shd w:val="clear" w:color="auto" w:fill="auto"/>
            <w:vAlign w:val="center"/>
          </w:tcPr>
          <w:p w14:paraId="41A54F3B" w14:textId="18843E82"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949.112 </w:t>
            </w:r>
          </w:p>
        </w:tc>
        <w:tc>
          <w:tcPr>
            <w:tcW w:w="558" w:type="pct"/>
            <w:tcBorders>
              <w:top w:val="single" w:sz="4" w:space="0" w:color="F79646"/>
              <w:left w:val="nil"/>
              <w:bottom w:val="nil"/>
              <w:right w:val="nil"/>
            </w:tcBorders>
            <w:shd w:val="clear" w:color="auto" w:fill="auto"/>
            <w:vAlign w:val="center"/>
          </w:tcPr>
          <w:p w14:paraId="7DDD5CC7" w14:textId="245EBBF9"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2.432.060 </w:t>
            </w:r>
          </w:p>
        </w:tc>
        <w:tc>
          <w:tcPr>
            <w:tcW w:w="575" w:type="pct"/>
            <w:tcBorders>
              <w:top w:val="single" w:sz="4" w:space="0" w:color="F79646"/>
              <w:left w:val="nil"/>
              <w:bottom w:val="nil"/>
              <w:right w:val="nil"/>
            </w:tcBorders>
            <w:shd w:val="clear" w:color="auto" w:fill="auto"/>
            <w:vAlign w:val="center"/>
          </w:tcPr>
          <w:p w14:paraId="303D3009" w14:textId="615E0284"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5.074.241 </w:t>
            </w:r>
          </w:p>
        </w:tc>
      </w:tr>
      <w:tr w:rsidR="00A47C19" w:rsidRPr="00E20D21" w14:paraId="667DF8B1" w14:textId="77777777" w:rsidTr="00321762">
        <w:trPr>
          <w:trHeight w:val="283"/>
        </w:trPr>
        <w:tc>
          <w:tcPr>
            <w:tcW w:w="902" w:type="pct"/>
            <w:tcBorders>
              <w:top w:val="nil"/>
              <w:left w:val="nil"/>
              <w:bottom w:val="nil"/>
              <w:right w:val="nil"/>
            </w:tcBorders>
            <w:shd w:val="clear" w:color="auto" w:fill="auto"/>
            <w:vAlign w:val="center"/>
            <w:hideMark/>
          </w:tcPr>
          <w:p w14:paraId="65BF4C6E" w14:textId="77777777" w:rsidR="00C901BC" w:rsidRPr="00E20D21" w:rsidRDefault="00C901BC" w:rsidP="00C901BC">
            <w:pPr>
              <w:rPr>
                <w:rFonts w:ascii="CAIXA Std Book" w:eastAsia="Times New Roman" w:hAnsi="CAIXA Std Book" w:cs="Arial"/>
                <w:color w:val="005CA9"/>
                <w:sz w:val="16"/>
                <w:szCs w:val="16"/>
              </w:rPr>
            </w:pPr>
            <w:proofErr w:type="spellStart"/>
            <w:r w:rsidRPr="00E20D21">
              <w:rPr>
                <w:rFonts w:ascii="CAIXA Std Book" w:eastAsia="Times New Roman" w:hAnsi="CAIXA Std Book" w:cs="Arial"/>
                <w:color w:val="005CA9"/>
                <w:sz w:val="16"/>
                <w:szCs w:val="16"/>
              </w:rPr>
              <w:t>Pré</w:t>
            </w:r>
            <w:proofErr w:type="spellEnd"/>
          </w:p>
        </w:tc>
        <w:tc>
          <w:tcPr>
            <w:tcW w:w="650" w:type="pct"/>
            <w:tcBorders>
              <w:top w:val="nil"/>
              <w:left w:val="nil"/>
              <w:bottom w:val="nil"/>
              <w:right w:val="nil"/>
            </w:tcBorders>
            <w:shd w:val="clear" w:color="auto" w:fill="auto"/>
            <w:vAlign w:val="center"/>
          </w:tcPr>
          <w:p w14:paraId="76E408BA" w14:textId="6E937198"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20.884.196 </w:t>
            </w:r>
          </w:p>
        </w:tc>
        <w:tc>
          <w:tcPr>
            <w:tcW w:w="566" w:type="pct"/>
            <w:tcBorders>
              <w:top w:val="nil"/>
              <w:left w:val="nil"/>
              <w:bottom w:val="nil"/>
              <w:right w:val="nil"/>
            </w:tcBorders>
            <w:shd w:val="clear" w:color="auto" w:fill="auto"/>
            <w:vAlign w:val="center"/>
          </w:tcPr>
          <w:p w14:paraId="252FAF93" w14:textId="2979C6C9"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(466.925)</w:t>
            </w:r>
          </w:p>
        </w:tc>
        <w:tc>
          <w:tcPr>
            <w:tcW w:w="566" w:type="pct"/>
            <w:tcBorders>
              <w:top w:val="nil"/>
              <w:left w:val="nil"/>
              <w:bottom w:val="nil"/>
              <w:right w:val="nil"/>
            </w:tcBorders>
            <w:shd w:val="clear" w:color="auto" w:fill="auto"/>
            <w:vAlign w:val="center"/>
          </w:tcPr>
          <w:p w14:paraId="316F5260" w14:textId="3FCBDC85"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(1.132.078)</w:t>
            </w:r>
          </w:p>
        </w:tc>
        <w:tc>
          <w:tcPr>
            <w:tcW w:w="623" w:type="pct"/>
            <w:tcBorders>
              <w:top w:val="nil"/>
              <w:left w:val="nil"/>
              <w:bottom w:val="nil"/>
              <w:right w:val="nil"/>
            </w:tcBorders>
            <w:shd w:val="clear" w:color="auto" w:fill="auto"/>
            <w:vAlign w:val="center"/>
          </w:tcPr>
          <w:p w14:paraId="16B7FAA7" w14:textId="0AD7A972"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(2.154.960)</w:t>
            </w:r>
          </w:p>
        </w:tc>
        <w:tc>
          <w:tcPr>
            <w:tcW w:w="560" w:type="pct"/>
            <w:tcBorders>
              <w:top w:val="nil"/>
              <w:left w:val="nil"/>
              <w:bottom w:val="nil"/>
              <w:right w:val="nil"/>
            </w:tcBorders>
            <w:shd w:val="clear" w:color="auto" w:fill="auto"/>
            <w:vAlign w:val="center"/>
          </w:tcPr>
          <w:p w14:paraId="2B17A0FA" w14:textId="0E8C26B3"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486.995 </w:t>
            </w:r>
          </w:p>
        </w:tc>
        <w:tc>
          <w:tcPr>
            <w:tcW w:w="558" w:type="pct"/>
            <w:tcBorders>
              <w:top w:val="nil"/>
              <w:left w:val="nil"/>
              <w:bottom w:val="nil"/>
              <w:right w:val="nil"/>
            </w:tcBorders>
            <w:shd w:val="clear" w:color="auto" w:fill="auto"/>
            <w:vAlign w:val="center"/>
          </w:tcPr>
          <w:p w14:paraId="44875529" w14:textId="31B561EB"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1.257.738 </w:t>
            </w:r>
          </w:p>
        </w:tc>
        <w:tc>
          <w:tcPr>
            <w:tcW w:w="575" w:type="pct"/>
            <w:tcBorders>
              <w:top w:val="nil"/>
              <w:left w:val="nil"/>
              <w:bottom w:val="nil"/>
              <w:right w:val="nil"/>
            </w:tcBorders>
            <w:shd w:val="clear" w:color="auto" w:fill="auto"/>
            <w:vAlign w:val="center"/>
          </w:tcPr>
          <w:p w14:paraId="16DAE488" w14:textId="167A3363"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2.660.763 </w:t>
            </w:r>
          </w:p>
        </w:tc>
      </w:tr>
      <w:tr w:rsidR="00A47C19" w:rsidRPr="00E20D21" w14:paraId="14808928" w14:textId="77777777" w:rsidTr="00321762">
        <w:trPr>
          <w:trHeight w:val="283"/>
        </w:trPr>
        <w:tc>
          <w:tcPr>
            <w:tcW w:w="902" w:type="pct"/>
            <w:tcBorders>
              <w:top w:val="nil"/>
              <w:left w:val="nil"/>
              <w:bottom w:val="nil"/>
              <w:right w:val="nil"/>
            </w:tcBorders>
            <w:shd w:val="clear" w:color="auto" w:fill="auto"/>
            <w:vAlign w:val="center"/>
            <w:hideMark/>
          </w:tcPr>
          <w:p w14:paraId="09BA7C7D" w14:textId="77777777" w:rsidR="00C901BC" w:rsidRPr="00E20D21" w:rsidRDefault="00C901BC" w:rsidP="00C901B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Cupom IPCA</w:t>
            </w:r>
          </w:p>
        </w:tc>
        <w:tc>
          <w:tcPr>
            <w:tcW w:w="650" w:type="pct"/>
            <w:tcBorders>
              <w:top w:val="nil"/>
              <w:left w:val="nil"/>
              <w:bottom w:val="nil"/>
              <w:right w:val="nil"/>
            </w:tcBorders>
            <w:shd w:val="clear" w:color="auto" w:fill="auto"/>
            <w:vAlign w:val="center"/>
          </w:tcPr>
          <w:p w14:paraId="52468740" w14:textId="69122D96"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3.723.963 </w:t>
            </w:r>
          </w:p>
        </w:tc>
        <w:tc>
          <w:tcPr>
            <w:tcW w:w="566" w:type="pct"/>
            <w:tcBorders>
              <w:top w:val="nil"/>
              <w:left w:val="nil"/>
              <w:bottom w:val="nil"/>
              <w:right w:val="nil"/>
            </w:tcBorders>
            <w:shd w:val="clear" w:color="auto" w:fill="auto"/>
            <w:vAlign w:val="center"/>
          </w:tcPr>
          <w:p w14:paraId="76BF72CB" w14:textId="796BBE69"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(225.023)</w:t>
            </w:r>
          </w:p>
        </w:tc>
        <w:tc>
          <w:tcPr>
            <w:tcW w:w="566" w:type="pct"/>
            <w:tcBorders>
              <w:top w:val="nil"/>
              <w:left w:val="nil"/>
              <w:bottom w:val="nil"/>
              <w:right w:val="nil"/>
            </w:tcBorders>
            <w:shd w:val="clear" w:color="auto" w:fill="auto"/>
            <w:vAlign w:val="center"/>
          </w:tcPr>
          <w:p w14:paraId="29A3E011" w14:textId="3574CA11"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(512.373)</w:t>
            </w:r>
          </w:p>
        </w:tc>
        <w:tc>
          <w:tcPr>
            <w:tcW w:w="623" w:type="pct"/>
            <w:tcBorders>
              <w:top w:val="nil"/>
              <w:left w:val="nil"/>
              <w:bottom w:val="nil"/>
              <w:right w:val="nil"/>
            </w:tcBorders>
            <w:shd w:val="clear" w:color="auto" w:fill="auto"/>
            <w:vAlign w:val="center"/>
          </w:tcPr>
          <w:p w14:paraId="0ED7ABA5" w14:textId="5C78B4D5"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(894.575)</w:t>
            </w:r>
          </w:p>
        </w:tc>
        <w:tc>
          <w:tcPr>
            <w:tcW w:w="560" w:type="pct"/>
            <w:tcBorders>
              <w:top w:val="nil"/>
              <w:left w:val="nil"/>
              <w:bottom w:val="nil"/>
              <w:right w:val="nil"/>
            </w:tcBorders>
            <w:shd w:val="clear" w:color="auto" w:fill="auto"/>
            <w:vAlign w:val="center"/>
          </w:tcPr>
          <w:p w14:paraId="02E086A7" w14:textId="1DBE343C"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259.441 </w:t>
            </w:r>
          </w:p>
        </w:tc>
        <w:tc>
          <w:tcPr>
            <w:tcW w:w="558" w:type="pct"/>
            <w:tcBorders>
              <w:top w:val="nil"/>
              <w:left w:val="nil"/>
              <w:bottom w:val="nil"/>
              <w:right w:val="nil"/>
            </w:tcBorders>
            <w:shd w:val="clear" w:color="auto" w:fill="auto"/>
            <w:vAlign w:val="center"/>
          </w:tcPr>
          <w:p w14:paraId="7A9A607F" w14:textId="24E6A802"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733.554 </w:t>
            </w:r>
          </w:p>
        </w:tc>
        <w:tc>
          <w:tcPr>
            <w:tcW w:w="575" w:type="pct"/>
            <w:tcBorders>
              <w:top w:val="nil"/>
              <w:left w:val="nil"/>
              <w:bottom w:val="nil"/>
              <w:right w:val="nil"/>
            </w:tcBorders>
            <w:shd w:val="clear" w:color="auto" w:fill="auto"/>
            <w:vAlign w:val="center"/>
          </w:tcPr>
          <w:p w14:paraId="0F74F24F" w14:textId="3FC80FC5"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1.873.855 </w:t>
            </w:r>
          </w:p>
        </w:tc>
      </w:tr>
      <w:tr w:rsidR="00A47C19" w:rsidRPr="00E20D21" w14:paraId="52E86BC3" w14:textId="77777777" w:rsidTr="00321762">
        <w:trPr>
          <w:trHeight w:val="283"/>
        </w:trPr>
        <w:tc>
          <w:tcPr>
            <w:tcW w:w="902" w:type="pct"/>
            <w:tcBorders>
              <w:top w:val="nil"/>
              <w:left w:val="nil"/>
              <w:bottom w:val="nil"/>
              <w:right w:val="nil"/>
            </w:tcBorders>
            <w:shd w:val="clear" w:color="auto" w:fill="auto"/>
            <w:vAlign w:val="center"/>
            <w:hideMark/>
          </w:tcPr>
          <w:p w14:paraId="221A8FCF" w14:textId="77777777" w:rsidR="00C901BC" w:rsidRPr="00E20D21" w:rsidRDefault="00C901BC" w:rsidP="00C901B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Cupom TR</w:t>
            </w:r>
          </w:p>
        </w:tc>
        <w:tc>
          <w:tcPr>
            <w:tcW w:w="650" w:type="pct"/>
            <w:tcBorders>
              <w:top w:val="nil"/>
              <w:left w:val="nil"/>
              <w:bottom w:val="nil"/>
              <w:right w:val="nil"/>
            </w:tcBorders>
            <w:shd w:val="clear" w:color="auto" w:fill="auto"/>
            <w:vAlign w:val="center"/>
          </w:tcPr>
          <w:p w14:paraId="700BCE97" w14:textId="7911D77F"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1.476.353 </w:t>
            </w:r>
          </w:p>
        </w:tc>
        <w:tc>
          <w:tcPr>
            <w:tcW w:w="566" w:type="pct"/>
            <w:tcBorders>
              <w:top w:val="nil"/>
              <w:left w:val="nil"/>
              <w:bottom w:val="nil"/>
              <w:right w:val="nil"/>
            </w:tcBorders>
            <w:shd w:val="clear" w:color="auto" w:fill="auto"/>
            <w:vAlign w:val="center"/>
          </w:tcPr>
          <w:p w14:paraId="10016142" w14:textId="3C8528A9"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(73.586)</w:t>
            </w:r>
          </w:p>
        </w:tc>
        <w:tc>
          <w:tcPr>
            <w:tcW w:w="566" w:type="pct"/>
            <w:tcBorders>
              <w:top w:val="nil"/>
              <w:left w:val="nil"/>
              <w:bottom w:val="nil"/>
              <w:right w:val="nil"/>
            </w:tcBorders>
            <w:shd w:val="clear" w:color="auto" w:fill="auto"/>
            <w:vAlign w:val="center"/>
          </w:tcPr>
          <w:p w14:paraId="1FFCD1C2" w14:textId="5B75A93E"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(172.561)</w:t>
            </w:r>
          </w:p>
        </w:tc>
        <w:tc>
          <w:tcPr>
            <w:tcW w:w="623" w:type="pct"/>
            <w:tcBorders>
              <w:top w:val="nil"/>
              <w:left w:val="nil"/>
              <w:bottom w:val="nil"/>
              <w:right w:val="nil"/>
            </w:tcBorders>
            <w:shd w:val="clear" w:color="auto" w:fill="auto"/>
            <w:vAlign w:val="center"/>
          </w:tcPr>
          <w:p w14:paraId="4107BC78" w14:textId="4BEAA529"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(312.067)</w:t>
            </w:r>
          </w:p>
        </w:tc>
        <w:tc>
          <w:tcPr>
            <w:tcW w:w="560" w:type="pct"/>
            <w:tcBorders>
              <w:top w:val="nil"/>
              <w:left w:val="nil"/>
              <w:bottom w:val="nil"/>
              <w:right w:val="nil"/>
            </w:tcBorders>
            <w:shd w:val="clear" w:color="auto" w:fill="auto"/>
            <w:vAlign w:val="center"/>
          </w:tcPr>
          <w:p w14:paraId="60D61BE3" w14:textId="03CEF67B"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80.508 </w:t>
            </w:r>
          </w:p>
        </w:tc>
        <w:tc>
          <w:tcPr>
            <w:tcW w:w="558" w:type="pct"/>
            <w:tcBorders>
              <w:top w:val="nil"/>
              <w:left w:val="nil"/>
              <w:bottom w:val="nil"/>
              <w:right w:val="nil"/>
            </w:tcBorders>
            <w:shd w:val="clear" w:color="auto" w:fill="auto"/>
            <w:vAlign w:val="center"/>
          </w:tcPr>
          <w:p w14:paraId="10F8BA92" w14:textId="35D28555"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216.105 </w:t>
            </w:r>
          </w:p>
        </w:tc>
        <w:tc>
          <w:tcPr>
            <w:tcW w:w="575" w:type="pct"/>
            <w:tcBorders>
              <w:top w:val="nil"/>
              <w:left w:val="nil"/>
              <w:bottom w:val="nil"/>
              <w:right w:val="nil"/>
            </w:tcBorders>
            <w:shd w:val="clear" w:color="auto" w:fill="auto"/>
            <w:vAlign w:val="center"/>
          </w:tcPr>
          <w:p w14:paraId="311A241E" w14:textId="6851CDA4"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490.343 </w:t>
            </w:r>
          </w:p>
        </w:tc>
      </w:tr>
      <w:tr w:rsidR="00A47C19" w:rsidRPr="00E20D21" w14:paraId="26E422A7" w14:textId="77777777" w:rsidTr="00321762">
        <w:trPr>
          <w:trHeight w:val="283"/>
        </w:trPr>
        <w:tc>
          <w:tcPr>
            <w:tcW w:w="902" w:type="pct"/>
            <w:tcBorders>
              <w:top w:val="nil"/>
              <w:left w:val="nil"/>
              <w:right w:val="nil"/>
            </w:tcBorders>
            <w:shd w:val="clear" w:color="auto" w:fill="auto"/>
            <w:vAlign w:val="center"/>
            <w:hideMark/>
          </w:tcPr>
          <w:p w14:paraId="397B0204" w14:textId="77777777" w:rsidR="00C901BC" w:rsidRPr="00E20D21" w:rsidRDefault="00C901BC" w:rsidP="00C901B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Cupom SELIC</w:t>
            </w:r>
          </w:p>
        </w:tc>
        <w:tc>
          <w:tcPr>
            <w:tcW w:w="650" w:type="pct"/>
            <w:tcBorders>
              <w:top w:val="nil"/>
              <w:left w:val="nil"/>
              <w:right w:val="nil"/>
            </w:tcBorders>
            <w:shd w:val="clear" w:color="auto" w:fill="auto"/>
            <w:vAlign w:val="center"/>
          </w:tcPr>
          <w:p w14:paraId="3F0915B1" w14:textId="254AFC86"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209.446.071 </w:t>
            </w:r>
          </w:p>
        </w:tc>
        <w:tc>
          <w:tcPr>
            <w:tcW w:w="566" w:type="pct"/>
            <w:tcBorders>
              <w:top w:val="nil"/>
              <w:left w:val="nil"/>
              <w:right w:val="nil"/>
            </w:tcBorders>
            <w:shd w:val="clear" w:color="auto" w:fill="auto"/>
            <w:vAlign w:val="center"/>
          </w:tcPr>
          <w:p w14:paraId="5A91F0A7" w14:textId="48C66264"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(355.712)</w:t>
            </w:r>
          </w:p>
        </w:tc>
        <w:tc>
          <w:tcPr>
            <w:tcW w:w="566" w:type="pct"/>
            <w:tcBorders>
              <w:top w:val="nil"/>
              <w:left w:val="nil"/>
              <w:right w:val="nil"/>
            </w:tcBorders>
            <w:shd w:val="clear" w:color="auto" w:fill="auto"/>
            <w:vAlign w:val="center"/>
          </w:tcPr>
          <w:p w14:paraId="2BCA3034" w14:textId="7DB97BA1"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(710.534)</w:t>
            </w:r>
          </w:p>
        </w:tc>
        <w:tc>
          <w:tcPr>
            <w:tcW w:w="623" w:type="pct"/>
            <w:tcBorders>
              <w:top w:val="nil"/>
              <w:left w:val="nil"/>
              <w:right w:val="nil"/>
            </w:tcBorders>
            <w:shd w:val="clear" w:color="auto" w:fill="auto"/>
            <w:vAlign w:val="center"/>
          </w:tcPr>
          <w:p w14:paraId="06A80633" w14:textId="4FC8BF81"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(1.064.469)</w:t>
            </w:r>
          </w:p>
        </w:tc>
        <w:tc>
          <w:tcPr>
            <w:tcW w:w="560" w:type="pct"/>
            <w:tcBorders>
              <w:top w:val="nil"/>
              <w:left w:val="nil"/>
              <w:right w:val="nil"/>
            </w:tcBorders>
            <w:shd w:val="clear" w:color="auto" w:fill="auto"/>
            <w:vAlign w:val="center"/>
          </w:tcPr>
          <w:p w14:paraId="770274B1" w14:textId="6367A6FB"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356.604 </w:t>
            </w:r>
          </w:p>
        </w:tc>
        <w:tc>
          <w:tcPr>
            <w:tcW w:w="558" w:type="pct"/>
            <w:tcBorders>
              <w:top w:val="nil"/>
              <w:left w:val="nil"/>
              <w:right w:val="nil"/>
            </w:tcBorders>
            <w:shd w:val="clear" w:color="auto" w:fill="auto"/>
            <w:vAlign w:val="center"/>
          </w:tcPr>
          <w:p w14:paraId="3443A3E9" w14:textId="1A7DD356"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714.103 </w:t>
            </w:r>
          </w:p>
        </w:tc>
        <w:tc>
          <w:tcPr>
            <w:tcW w:w="575" w:type="pct"/>
            <w:tcBorders>
              <w:top w:val="nil"/>
              <w:left w:val="nil"/>
              <w:right w:val="nil"/>
            </w:tcBorders>
            <w:shd w:val="clear" w:color="auto" w:fill="auto"/>
            <w:vAlign w:val="center"/>
          </w:tcPr>
          <w:p w14:paraId="21F3F3FE" w14:textId="68215026"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1.072.500 </w:t>
            </w:r>
          </w:p>
        </w:tc>
      </w:tr>
      <w:tr w:rsidR="00A47C19" w:rsidRPr="00E20D21" w14:paraId="06FD6016" w14:textId="77777777" w:rsidTr="00321762">
        <w:trPr>
          <w:trHeight w:val="283"/>
        </w:trPr>
        <w:tc>
          <w:tcPr>
            <w:tcW w:w="902" w:type="pct"/>
            <w:tcBorders>
              <w:top w:val="nil"/>
              <w:left w:val="nil"/>
              <w:bottom w:val="single" w:sz="4" w:space="0" w:color="F79646"/>
              <w:right w:val="nil"/>
            </w:tcBorders>
            <w:shd w:val="clear" w:color="auto" w:fill="auto"/>
            <w:vAlign w:val="center"/>
            <w:hideMark/>
          </w:tcPr>
          <w:p w14:paraId="1912302B" w14:textId="77777777" w:rsidR="00C901BC" w:rsidRPr="00E20D21" w:rsidRDefault="00C901BC" w:rsidP="00C901B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Cupom IGPM</w:t>
            </w:r>
          </w:p>
        </w:tc>
        <w:tc>
          <w:tcPr>
            <w:tcW w:w="650" w:type="pct"/>
            <w:tcBorders>
              <w:top w:val="nil"/>
              <w:left w:val="nil"/>
              <w:bottom w:val="single" w:sz="4" w:space="0" w:color="F79646"/>
              <w:right w:val="nil"/>
            </w:tcBorders>
            <w:shd w:val="clear" w:color="auto" w:fill="auto"/>
            <w:vAlign w:val="center"/>
          </w:tcPr>
          <w:p w14:paraId="69CEB0BE" w14:textId="610CADB3"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12.006 </w:t>
            </w:r>
          </w:p>
        </w:tc>
        <w:tc>
          <w:tcPr>
            <w:tcW w:w="566" w:type="pct"/>
            <w:tcBorders>
              <w:top w:val="nil"/>
              <w:left w:val="nil"/>
              <w:bottom w:val="single" w:sz="4" w:space="0" w:color="F79646"/>
              <w:right w:val="nil"/>
            </w:tcBorders>
            <w:shd w:val="clear" w:color="auto" w:fill="auto"/>
            <w:vAlign w:val="center"/>
          </w:tcPr>
          <w:p w14:paraId="395F6209" w14:textId="3E709B72" w:rsidR="00C901BC" w:rsidRPr="00E20D21" w:rsidRDefault="00D20DC3" w:rsidP="003879D8">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(520)</w:t>
            </w:r>
          </w:p>
        </w:tc>
        <w:tc>
          <w:tcPr>
            <w:tcW w:w="566" w:type="pct"/>
            <w:tcBorders>
              <w:top w:val="nil"/>
              <w:left w:val="nil"/>
              <w:bottom w:val="single" w:sz="4" w:space="0" w:color="F79646"/>
              <w:right w:val="nil"/>
            </w:tcBorders>
            <w:shd w:val="clear" w:color="auto" w:fill="auto"/>
            <w:vAlign w:val="center"/>
          </w:tcPr>
          <w:p w14:paraId="1B40B429" w14:textId="01084214"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(1.241)</w:t>
            </w:r>
          </w:p>
        </w:tc>
        <w:tc>
          <w:tcPr>
            <w:tcW w:w="623" w:type="pct"/>
            <w:tcBorders>
              <w:top w:val="nil"/>
              <w:left w:val="nil"/>
              <w:bottom w:val="single" w:sz="4" w:space="0" w:color="F79646"/>
              <w:right w:val="nil"/>
            </w:tcBorders>
            <w:shd w:val="clear" w:color="auto" w:fill="auto"/>
            <w:vAlign w:val="center"/>
          </w:tcPr>
          <w:p w14:paraId="1C4C47E9" w14:textId="34DBAEB1"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(2.303)</w:t>
            </w:r>
          </w:p>
        </w:tc>
        <w:tc>
          <w:tcPr>
            <w:tcW w:w="560" w:type="pct"/>
            <w:tcBorders>
              <w:top w:val="nil"/>
              <w:left w:val="nil"/>
              <w:bottom w:val="single" w:sz="4" w:space="0" w:color="F79646"/>
              <w:right w:val="nil"/>
            </w:tcBorders>
            <w:shd w:val="clear" w:color="auto" w:fill="auto"/>
            <w:vAlign w:val="center"/>
          </w:tcPr>
          <w:p w14:paraId="356F8645" w14:textId="6AC98355"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555 </w:t>
            </w:r>
          </w:p>
        </w:tc>
        <w:tc>
          <w:tcPr>
            <w:tcW w:w="558" w:type="pct"/>
            <w:tcBorders>
              <w:top w:val="nil"/>
              <w:left w:val="nil"/>
              <w:bottom w:val="single" w:sz="4" w:space="0" w:color="F79646"/>
              <w:right w:val="nil"/>
            </w:tcBorders>
            <w:shd w:val="clear" w:color="auto" w:fill="auto"/>
            <w:vAlign w:val="center"/>
          </w:tcPr>
          <w:p w14:paraId="127EC9A1" w14:textId="4FC040B6"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1.456 </w:t>
            </w:r>
          </w:p>
        </w:tc>
        <w:tc>
          <w:tcPr>
            <w:tcW w:w="575" w:type="pct"/>
            <w:tcBorders>
              <w:top w:val="nil"/>
              <w:left w:val="nil"/>
              <w:bottom w:val="single" w:sz="4" w:space="0" w:color="F79646"/>
              <w:right w:val="nil"/>
            </w:tcBorders>
            <w:shd w:val="clear" w:color="auto" w:fill="auto"/>
            <w:vAlign w:val="center"/>
          </w:tcPr>
          <w:p w14:paraId="2509E0AF" w14:textId="1D7F6CD9" w:rsidR="00C901BC" w:rsidRPr="00E20D21" w:rsidRDefault="00D20DC3" w:rsidP="00C901BC">
            <w:pPr>
              <w:jc w:val="right"/>
              <w:rPr>
                <w:rFonts w:ascii="CAIXA Std Book" w:eastAsia="Times New Roman" w:hAnsi="CAIXA Std Book" w:cs="Arial"/>
                <w:color w:val="005CA9"/>
                <w:sz w:val="16"/>
                <w:szCs w:val="16"/>
              </w:rPr>
            </w:pPr>
            <w:r w:rsidRPr="00E20D21">
              <w:rPr>
                <w:rFonts w:ascii="CAIXA Std Book" w:hAnsi="CAIXA Std Book" w:cs="Calibri"/>
                <w:color w:val="005CA9"/>
                <w:sz w:val="16"/>
                <w:szCs w:val="16"/>
              </w:rPr>
              <w:t xml:space="preserve">3.174 </w:t>
            </w:r>
          </w:p>
        </w:tc>
      </w:tr>
      <w:tr w:rsidR="00A47C19" w:rsidRPr="00E20D21" w14:paraId="20BD1298" w14:textId="77777777" w:rsidTr="00321762">
        <w:trPr>
          <w:trHeight w:val="283"/>
        </w:trPr>
        <w:tc>
          <w:tcPr>
            <w:tcW w:w="902" w:type="pct"/>
            <w:tcBorders>
              <w:top w:val="single" w:sz="4" w:space="0" w:color="F79646"/>
              <w:left w:val="nil"/>
              <w:bottom w:val="single" w:sz="4" w:space="0" w:color="F79646"/>
              <w:right w:val="nil"/>
            </w:tcBorders>
            <w:shd w:val="clear" w:color="auto" w:fill="auto"/>
            <w:noWrap/>
            <w:vAlign w:val="center"/>
            <w:hideMark/>
          </w:tcPr>
          <w:p w14:paraId="415BDC8C" w14:textId="77777777" w:rsidR="00C901BC" w:rsidRPr="00E20D21" w:rsidRDefault="00C901BC" w:rsidP="00C901BC">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TAXA DE EXPOSIÇÃO</w:t>
            </w:r>
          </w:p>
        </w:tc>
        <w:tc>
          <w:tcPr>
            <w:tcW w:w="650" w:type="pct"/>
            <w:tcBorders>
              <w:top w:val="single" w:sz="4" w:space="0" w:color="F79646"/>
              <w:left w:val="nil"/>
              <w:bottom w:val="single" w:sz="4" w:space="0" w:color="F79646"/>
              <w:right w:val="nil"/>
            </w:tcBorders>
            <w:shd w:val="clear" w:color="auto" w:fill="auto"/>
            <w:noWrap/>
            <w:vAlign w:val="center"/>
          </w:tcPr>
          <w:p w14:paraId="7C28B54E" w14:textId="3C7F756F" w:rsidR="00C901BC" w:rsidRPr="00E20D21" w:rsidRDefault="00D20DC3" w:rsidP="00B25641">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284.452.692</w:t>
            </w:r>
          </w:p>
        </w:tc>
        <w:tc>
          <w:tcPr>
            <w:tcW w:w="566" w:type="pct"/>
            <w:tcBorders>
              <w:top w:val="single" w:sz="4" w:space="0" w:color="F79646"/>
              <w:left w:val="nil"/>
              <w:bottom w:val="single" w:sz="4" w:space="0" w:color="F79646"/>
              <w:right w:val="nil"/>
            </w:tcBorders>
            <w:shd w:val="clear" w:color="auto" w:fill="auto"/>
            <w:noWrap/>
            <w:vAlign w:val="center"/>
          </w:tcPr>
          <w:p w14:paraId="40C0785B" w14:textId="00C8EA6F" w:rsidR="00C901BC" w:rsidRPr="00E20D21" w:rsidRDefault="00D20DC3" w:rsidP="00B2564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(2.040.868)</w:t>
            </w:r>
          </w:p>
        </w:tc>
        <w:tc>
          <w:tcPr>
            <w:tcW w:w="566" w:type="pct"/>
            <w:tcBorders>
              <w:top w:val="single" w:sz="4" w:space="0" w:color="F79646"/>
              <w:left w:val="nil"/>
              <w:bottom w:val="single" w:sz="4" w:space="0" w:color="F79646"/>
              <w:right w:val="nil"/>
            </w:tcBorders>
            <w:shd w:val="clear" w:color="auto" w:fill="auto"/>
            <w:noWrap/>
            <w:vAlign w:val="center"/>
          </w:tcPr>
          <w:p w14:paraId="32D62130" w14:textId="36D66643" w:rsidR="00C901BC" w:rsidRPr="00E20D21" w:rsidRDefault="00D20DC3" w:rsidP="00B2564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(4.773.086)</w:t>
            </w:r>
          </w:p>
        </w:tc>
        <w:tc>
          <w:tcPr>
            <w:tcW w:w="623" w:type="pct"/>
            <w:tcBorders>
              <w:top w:val="single" w:sz="4" w:space="0" w:color="F79646"/>
              <w:left w:val="nil"/>
              <w:bottom w:val="single" w:sz="4" w:space="0" w:color="F79646"/>
              <w:right w:val="nil"/>
            </w:tcBorders>
            <w:shd w:val="clear" w:color="auto" w:fill="auto"/>
            <w:noWrap/>
            <w:vAlign w:val="center"/>
          </w:tcPr>
          <w:p w14:paraId="5BC3F804" w14:textId="5A1DEC2F" w:rsidR="00C901BC" w:rsidRPr="00E20D21" w:rsidRDefault="00D20DC3" w:rsidP="00B2564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(8.748.638)</w:t>
            </w:r>
          </w:p>
        </w:tc>
        <w:tc>
          <w:tcPr>
            <w:tcW w:w="560" w:type="pct"/>
            <w:tcBorders>
              <w:top w:val="single" w:sz="4" w:space="0" w:color="F79646"/>
              <w:left w:val="nil"/>
              <w:bottom w:val="single" w:sz="4" w:space="0" w:color="F79646"/>
              <w:right w:val="nil"/>
            </w:tcBorders>
            <w:shd w:val="clear" w:color="auto" w:fill="auto"/>
            <w:noWrap/>
            <w:vAlign w:val="center"/>
          </w:tcPr>
          <w:p w14:paraId="080E9988" w14:textId="48FAB631" w:rsidR="00C901BC" w:rsidRPr="00E20D21" w:rsidRDefault="00D20DC3" w:rsidP="00B2564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 xml:space="preserve">2.133.215 </w:t>
            </w:r>
          </w:p>
        </w:tc>
        <w:tc>
          <w:tcPr>
            <w:tcW w:w="558" w:type="pct"/>
            <w:tcBorders>
              <w:top w:val="single" w:sz="4" w:space="0" w:color="F79646"/>
              <w:left w:val="nil"/>
              <w:bottom w:val="single" w:sz="4" w:space="0" w:color="F79646"/>
              <w:right w:val="nil"/>
            </w:tcBorders>
            <w:shd w:val="clear" w:color="auto" w:fill="auto"/>
            <w:noWrap/>
            <w:vAlign w:val="center"/>
          </w:tcPr>
          <w:p w14:paraId="3324B559" w14:textId="552C5DF3" w:rsidR="00C901BC" w:rsidRPr="00E20D21" w:rsidRDefault="00D20DC3" w:rsidP="00B2564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 xml:space="preserve">5.355.016 </w:t>
            </w:r>
          </w:p>
        </w:tc>
        <w:tc>
          <w:tcPr>
            <w:tcW w:w="575" w:type="pct"/>
            <w:tcBorders>
              <w:top w:val="single" w:sz="4" w:space="0" w:color="F79646"/>
              <w:left w:val="nil"/>
              <w:bottom w:val="single" w:sz="4" w:space="0" w:color="F79646"/>
              <w:right w:val="nil"/>
            </w:tcBorders>
            <w:shd w:val="clear" w:color="auto" w:fill="auto"/>
            <w:noWrap/>
            <w:vAlign w:val="center"/>
          </w:tcPr>
          <w:p w14:paraId="224DE0FD" w14:textId="221D1F8D" w:rsidR="00C901BC" w:rsidRPr="00E20D21" w:rsidRDefault="00D20DC3" w:rsidP="00B2564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 xml:space="preserve">11.174.876 </w:t>
            </w:r>
          </w:p>
        </w:tc>
      </w:tr>
      <w:tr w:rsidR="00A47C19" w:rsidRPr="00E20D21" w14:paraId="45BB2377" w14:textId="77777777" w:rsidTr="00321762">
        <w:trPr>
          <w:trHeight w:val="283"/>
        </w:trPr>
        <w:tc>
          <w:tcPr>
            <w:tcW w:w="902" w:type="pct"/>
            <w:tcBorders>
              <w:top w:val="single" w:sz="4" w:space="0" w:color="F79646"/>
              <w:left w:val="nil"/>
              <w:bottom w:val="single" w:sz="4" w:space="0" w:color="F79646"/>
              <w:right w:val="nil"/>
            </w:tcBorders>
            <w:shd w:val="clear" w:color="auto" w:fill="auto"/>
            <w:noWrap/>
            <w:vAlign w:val="center"/>
            <w:hideMark/>
          </w:tcPr>
          <w:p w14:paraId="107F0C0A" w14:textId="77777777" w:rsidR="00C901BC" w:rsidRPr="00E20D21" w:rsidRDefault="00C901BC" w:rsidP="00C901BC">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Variação %</w:t>
            </w:r>
          </w:p>
        </w:tc>
        <w:tc>
          <w:tcPr>
            <w:tcW w:w="650" w:type="pct"/>
            <w:tcBorders>
              <w:top w:val="single" w:sz="4" w:space="0" w:color="F79646"/>
              <w:left w:val="nil"/>
              <w:bottom w:val="single" w:sz="4" w:space="0" w:color="F79646"/>
              <w:right w:val="nil"/>
            </w:tcBorders>
            <w:shd w:val="clear" w:color="auto" w:fill="auto"/>
            <w:noWrap/>
            <w:vAlign w:val="center"/>
          </w:tcPr>
          <w:p w14:paraId="74FDA5A9" w14:textId="525029C1" w:rsidR="00C901BC" w:rsidRPr="00E20D21" w:rsidRDefault="00D20DC3" w:rsidP="006A56C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 </w:t>
            </w:r>
          </w:p>
        </w:tc>
        <w:tc>
          <w:tcPr>
            <w:tcW w:w="566" w:type="pct"/>
            <w:tcBorders>
              <w:top w:val="single" w:sz="4" w:space="0" w:color="F79646"/>
              <w:left w:val="nil"/>
              <w:bottom w:val="single" w:sz="4" w:space="0" w:color="F79646"/>
              <w:right w:val="nil"/>
            </w:tcBorders>
            <w:shd w:val="clear" w:color="auto" w:fill="auto"/>
            <w:noWrap/>
            <w:vAlign w:val="center"/>
          </w:tcPr>
          <w:p w14:paraId="41C92FEB" w14:textId="685EC088" w:rsidR="00C901BC" w:rsidRPr="00E20D21" w:rsidRDefault="00D20DC3" w:rsidP="006A56C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(0,72%)</w:t>
            </w:r>
          </w:p>
        </w:tc>
        <w:tc>
          <w:tcPr>
            <w:tcW w:w="566" w:type="pct"/>
            <w:tcBorders>
              <w:top w:val="single" w:sz="4" w:space="0" w:color="F79646"/>
              <w:left w:val="nil"/>
              <w:bottom w:val="single" w:sz="4" w:space="0" w:color="F79646"/>
              <w:right w:val="nil"/>
            </w:tcBorders>
            <w:shd w:val="clear" w:color="auto" w:fill="auto"/>
            <w:noWrap/>
            <w:vAlign w:val="center"/>
          </w:tcPr>
          <w:p w14:paraId="5E401705" w14:textId="160CFF12" w:rsidR="00C901BC" w:rsidRPr="00E20D21" w:rsidRDefault="00D20DC3" w:rsidP="006A56C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(1,68%)</w:t>
            </w:r>
          </w:p>
        </w:tc>
        <w:tc>
          <w:tcPr>
            <w:tcW w:w="623" w:type="pct"/>
            <w:tcBorders>
              <w:top w:val="single" w:sz="4" w:space="0" w:color="F79646"/>
              <w:left w:val="nil"/>
              <w:bottom w:val="single" w:sz="4" w:space="0" w:color="F79646"/>
              <w:right w:val="nil"/>
            </w:tcBorders>
            <w:shd w:val="clear" w:color="auto" w:fill="auto"/>
            <w:noWrap/>
            <w:vAlign w:val="center"/>
          </w:tcPr>
          <w:p w14:paraId="5BC0140D" w14:textId="0BA20AF7" w:rsidR="00C901BC" w:rsidRPr="00E20D21" w:rsidRDefault="00D20DC3" w:rsidP="006A56C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(3,08%)</w:t>
            </w:r>
          </w:p>
        </w:tc>
        <w:tc>
          <w:tcPr>
            <w:tcW w:w="560" w:type="pct"/>
            <w:tcBorders>
              <w:top w:val="single" w:sz="4" w:space="0" w:color="F79646"/>
              <w:left w:val="nil"/>
              <w:bottom w:val="single" w:sz="4" w:space="0" w:color="F79646"/>
              <w:right w:val="nil"/>
            </w:tcBorders>
            <w:shd w:val="clear" w:color="auto" w:fill="auto"/>
            <w:noWrap/>
            <w:vAlign w:val="center"/>
          </w:tcPr>
          <w:p w14:paraId="72CE0C83" w14:textId="628B6CC3" w:rsidR="00C901BC" w:rsidRPr="00E20D21" w:rsidRDefault="00D20DC3" w:rsidP="006A56C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0,75%</w:t>
            </w:r>
          </w:p>
        </w:tc>
        <w:tc>
          <w:tcPr>
            <w:tcW w:w="558" w:type="pct"/>
            <w:tcBorders>
              <w:top w:val="single" w:sz="4" w:space="0" w:color="F79646"/>
              <w:left w:val="nil"/>
              <w:bottom w:val="single" w:sz="4" w:space="0" w:color="F79646"/>
              <w:right w:val="nil"/>
            </w:tcBorders>
            <w:shd w:val="clear" w:color="auto" w:fill="auto"/>
            <w:noWrap/>
            <w:vAlign w:val="center"/>
          </w:tcPr>
          <w:p w14:paraId="65C2FCF7" w14:textId="19D8562D" w:rsidR="00C901BC" w:rsidRPr="00E20D21" w:rsidRDefault="00D20DC3" w:rsidP="006A56C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1,88%</w:t>
            </w:r>
          </w:p>
        </w:tc>
        <w:tc>
          <w:tcPr>
            <w:tcW w:w="575" w:type="pct"/>
            <w:tcBorders>
              <w:top w:val="single" w:sz="4" w:space="0" w:color="F79646"/>
              <w:left w:val="nil"/>
              <w:bottom w:val="single" w:sz="4" w:space="0" w:color="F79646"/>
              <w:right w:val="nil"/>
            </w:tcBorders>
            <w:shd w:val="clear" w:color="auto" w:fill="auto"/>
            <w:noWrap/>
            <w:vAlign w:val="center"/>
          </w:tcPr>
          <w:p w14:paraId="046F87D8" w14:textId="1B6EADF4" w:rsidR="00C901BC" w:rsidRPr="00E20D21" w:rsidRDefault="00D20DC3" w:rsidP="006A56C1">
            <w:pPr>
              <w:jc w:val="right"/>
              <w:rPr>
                <w:rFonts w:ascii="CAIXA Std Book" w:eastAsia="Times New Roman" w:hAnsi="CAIXA Std Book" w:cs="Arial"/>
                <w:b/>
                <w:bCs/>
                <w:color w:val="005CA9"/>
                <w:sz w:val="16"/>
                <w:szCs w:val="16"/>
              </w:rPr>
            </w:pPr>
            <w:r w:rsidRPr="00E20D21">
              <w:rPr>
                <w:rFonts w:ascii="CAIXA Std Book" w:hAnsi="CAIXA Std Book" w:cs="Calibri"/>
                <w:b/>
                <w:bCs/>
                <w:color w:val="005CA9"/>
                <w:sz w:val="16"/>
                <w:szCs w:val="16"/>
              </w:rPr>
              <w:t>3,93%</w:t>
            </w:r>
          </w:p>
        </w:tc>
      </w:tr>
    </w:tbl>
    <w:p w14:paraId="500C76E9" w14:textId="1353B58F" w:rsidR="00415B52" w:rsidRPr="00E20D21" w:rsidRDefault="00415B52" w:rsidP="00602A3F">
      <w:pPr>
        <w:pStyle w:val="PargrafodaLista"/>
        <w:numPr>
          <w:ilvl w:val="0"/>
          <w:numId w:val="43"/>
        </w:numPr>
        <w:spacing w:before="240" w:after="120"/>
        <w:ind w:left="350"/>
        <w:jc w:val="both"/>
        <w:rPr>
          <w:rFonts w:ascii="CAIXA Std Book" w:hAnsi="CAIXA Std Book"/>
          <w:b/>
          <w:color w:val="005CA9"/>
          <w:sz w:val="20"/>
          <w:szCs w:val="20"/>
        </w:rPr>
      </w:pPr>
      <w:r w:rsidRPr="00E20D21">
        <w:rPr>
          <w:rFonts w:ascii="CAIXA Std Book" w:hAnsi="CAIXA Std Book"/>
          <w:b/>
          <w:color w:val="005CA9"/>
          <w:sz w:val="20"/>
          <w:szCs w:val="20"/>
        </w:rPr>
        <w:t xml:space="preserve">Valor </w:t>
      </w:r>
      <w:r w:rsidR="000C36ED" w:rsidRPr="00E20D21">
        <w:rPr>
          <w:rFonts w:ascii="CAIXA Std Book" w:hAnsi="CAIXA Std Book"/>
          <w:b/>
          <w:color w:val="005CA9"/>
          <w:sz w:val="20"/>
          <w:szCs w:val="20"/>
        </w:rPr>
        <w:t>j</w:t>
      </w:r>
      <w:r w:rsidRPr="00E20D21">
        <w:rPr>
          <w:rFonts w:ascii="CAIXA Std Book" w:hAnsi="CAIXA Std Book"/>
          <w:b/>
          <w:color w:val="005CA9"/>
          <w:sz w:val="20"/>
          <w:szCs w:val="20"/>
        </w:rPr>
        <w:t>usto</w:t>
      </w:r>
    </w:p>
    <w:p w14:paraId="093AA94E" w14:textId="7B02308F" w:rsidR="00415B52" w:rsidRPr="00E20D21" w:rsidRDefault="00415B52" w:rsidP="001057F2">
      <w:pPr>
        <w:autoSpaceDE w:val="0"/>
        <w:autoSpaceDN w:val="0"/>
        <w:adjustRightInd w:val="0"/>
        <w:spacing w:before="120" w:after="120"/>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 xml:space="preserve">Considerando o conceito de valor justo, quando não houver preço cotado em mercado ativo disponível para um instrumento financeiro e também não seja possível identificar operações recentes com instrumento financeiro similar, a </w:t>
      </w:r>
      <w:r w:rsidR="00D70BB9" w:rsidRPr="00E20D21">
        <w:rPr>
          <w:rFonts w:ascii="CAIXA Std Book" w:eastAsia="Times New Roman" w:hAnsi="CAIXA Std Book" w:cs="Arial"/>
          <w:color w:val="005CA9"/>
          <w:sz w:val="20"/>
          <w:szCs w:val="20"/>
        </w:rPr>
        <w:t>CAIXA</w:t>
      </w:r>
      <w:r w:rsidRPr="00E20D21">
        <w:rPr>
          <w:rFonts w:ascii="CAIXA Std Book" w:eastAsia="Times New Roman" w:hAnsi="CAIXA Std Book" w:cs="Arial"/>
          <w:color w:val="005CA9"/>
          <w:sz w:val="20"/>
          <w:szCs w:val="20"/>
        </w:rPr>
        <w:t xml:space="preserve"> define o valor justo de instrumentos financeiros com base em metodologias de apreçamento praticada pelo mercado, como o método do valor presente obtido pelo fluxo de caixa descontado, e assumindo pressupostos como a adoção de um </w:t>
      </w:r>
      <w:r w:rsidRPr="00E20D21">
        <w:rPr>
          <w:rFonts w:ascii="CAIXA Std Book" w:eastAsia="Times New Roman" w:hAnsi="CAIXA Std Book" w:cs="Arial"/>
          <w:i/>
          <w:iCs/>
          <w:color w:val="005CA9"/>
          <w:sz w:val="20"/>
          <w:szCs w:val="20"/>
        </w:rPr>
        <w:t>spread</w:t>
      </w:r>
      <w:r w:rsidRPr="00E20D21">
        <w:rPr>
          <w:rFonts w:ascii="CAIXA Std Book" w:eastAsia="Times New Roman" w:hAnsi="CAIXA Std Book" w:cs="Arial"/>
          <w:color w:val="005CA9"/>
          <w:sz w:val="20"/>
          <w:szCs w:val="20"/>
        </w:rPr>
        <w:t xml:space="preserve"> de crédito a partir do </w:t>
      </w:r>
      <w:r w:rsidRPr="00E20D21">
        <w:rPr>
          <w:rFonts w:ascii="CAIXA Std Book" w:eastAsia="Times New Roman" w:hAnsi="CAIXA Std Book" w:cs="Arial"/>
          <w:i/>
          <w:iCs/>
          <w:color w:val="005CA9"/>
          <w:sz w:val="20"/>
          <w:szCs w:val="20"/>
        </w:rPr>
        <w:t>rating</w:t>
      </w:r>
      <w:r w:rsidRPr="00E20D21">
        <w:rPr>
          <w:rFonts w:ascii="CAIXA Std Book" w:eastAsia="Times New Roman" w:hAnsi="CAIXA Std Book" w:cs="Arial"/>
          <w:color w:val="005CA9"/>
          <w:sz w:val="20"/>
          <w:szCs w:val="20"/>
        </w:rPr>
        <w:t xml:space="preserve"> de crédito do emissor, a inclusão de um modelo de resgate antecipado por taxa de desconto definida na construção de árvore binomial de probabilidade (para instrumentos com possibilidade de resgate antecipado) ou de outras técnicas de avaliação.</w:t>
      </w:r>
    </w:p>
    <w:p w14:paraId="385F5049" w14:textId="77777777" w:rsidR="00415B52" w:rsidRPr="00E20D21" w:rsidRDefault="00415B52" w:rsidP="001057F2">
      <w:pPr>
        <w:autoSpaceDE w:val="0"/>
        <w:autoSpaceDN w:val="0"/>
        <w:adjustRightInd w:val="0"/>
        <w:spacing w:before="120" w:after="120"/>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Pelo método do valor presente de avaliação de instrumentos financeiros, os fluxos de caixa futuros projetados com base nos índices de rentabilidade dos instrumentos são descontados a valor presente considerando-se os fluxos de juros, pagamento de principal e curvas de desconto.</w:t>
      </w:r>
    </w:p>
    <w:p w14:paraId="493F6883" w14:textId="77777777" w:rsidR="00415B52" w:rsidRPr="00E20D21" w:rsidRDefault="00415B52" w:rsidP="001057F2">
      <w:pPr>
        <w:autoSpaceDE w:val="0"/>
        <w:autoSpaceDN w:val="0"/>
        <w:adjustRightInd w:val="0"/>
        <w:spacing w:before="120" w:after="120"/>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 xml:space="preserve">O </w:t>
      </w:r>
      <w:r w:rsidRPr="00E20D21">
        <w:rPr>
          <w:rFonts w:ascii="CAIXA Std Book" w:eastAsia="Times New Roman" w:hAnsi="CAIXA Std Book" w:cs="Arial"/>
          <w:i/>
          <w:iCs/>
          <w:color w:val="005CA9"/>
          <w:sz w:val="20"/>
          <w:szCs w:val="20"/>
        </w:rPr>
        <w:t>spread</w:t>
      </w:r>
      <w:r w:rsidRPr="00E20D21">
        <w:rPr>
          <w:rFonts w:ascii="CAIXA Std Book" w:eastAsia="Times New Roman" w:hAnsi="CAIXA Std Book" w:cs="Arial"/>
          <w:color w:val="005CA9"/>
          <w:sz w:val="20"/>
          <w:szCs w:val="20"/>
        </w:rPr>
        <w:t xml:space="preserve"> de crédito visa ajustar o preço com base na percepção de mercado ou interna sobre a situação do emissor de um determinado instrumento na data do balanço.</w:t>
      </w:r>
    </w:p>
    <w:p w14:paraId="315DF469" w14:textId="77777777" w:rsidR="00415B52" w:rsidRPr="00E20D21" w:rsidRDefault="00415B52" w:rsidP="001057F2">
      <w:pPr>
        <w:autoSpaceDE w:val="0"/>
        <w:autoSpaceDN w:val="0"/>
        <w:adjustRightInd w:val="0"/>
        <w:spacing w:before="120" w:after="120"/>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O modelo de construção de árvore binomial de probabilidade de Hull é utilizado para avaliar instrumentos privados com cláusula de resgate antecipado.</w:t>
      </w:r>
    </w:p>
    <w:p w14:paraId="7C763D94" w14:textId="5A146773" w:rsidR="00415B52" w:rsidRPr="00E20D21" w:rsidRDefault="00415B52" w:rsidP="001057F2">
      <w:pPr>
        <w:tabs>
          <w:tab w:val="left" w:pos="1650"/>
        </w:tabs>
        <w:spacing w:before="120" w:after="120"/>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 xml:space="preserve">O IFRS 7 </w:t>
      </w:r>
      <w:r w:rsidR="00AF3FB7" w:rsidRPr="00E20D21">
        <w:rPr>
          <w:rFonts w:ascii="CAIXA Std Book" w:eastAsia="Times New Roman" w:hAnsi="CAIXA Std Book" w:cs="Arial"/>
          <w:color w:val="005CA9"/>
          <w:sz w:val="20"/>
          <w:szCs w:val="20"/>
        </w:rPr>
        <w:t>(CPC 4</w:t>
      </w:r>
      <w:r w:rsidR="00E91653" w:rsidRPr="00E20D21">
        <w:rPr>
          <w:rFonts w:ascii="CAIXA Std Book" w:eastAsia="Times New Roman" w:hAnsi="CAIXA Std Book" w:cs="Arial"/>
          <w:color w:val="005CA9"/>
          <w:sz w:val="20"/>
          <w:szCs w:val="20"/>
        </w:rPr>
        <w:t>6</w:t>
      </w:r>
      <w:r w:rsidR="00AF3FB7" w:rsidRPr="00E20D21">
        <w:rPr>
          <w:rFonts w:ascii="CAIXA Std Book" w:eastAsia="Times New Roman" w:hAnsi="CAIXA Std Book" w:cs="Arial"/>
          <w:color w:val="005CA9"/>
          <w:sz w:val="20"/>
          <w:szCs w:val="20"/>
        </w:rPr>
        <w:t>)</w:t>
      </w:r>
      <w:r w:rsidRPr="00E20D21">
        <w:rPr>
          <w:rFonts w:ascii="CAIXA Std Book" w:eastAsia="Times New Roman" w:hAnsi="CAIXA Std Book" w:cs="Arial"/>
          <w:color w:val="005CA9"/>
          <w:sz w:val="20"/>
          <w:szCs w:val="20"/>
        </w:rPr>
        <w:t xml:space="preserve"> especifica uma hierarquia de técnicas de avaliação com base no critério utilização de dados observáveis ou não observáveis. </w:t>
      </w:r>
    </w:p>
    <w:p w14:paraId="5F254402" w14:textId="77777777" w:rsidR="00415B52" w:rsidRPr="00E20D21" w:rsidRDefault="00415B52" w:rsidP="001057F2">
      <w:pPr>
        <w:tabs>
          <w:tab w:val="left" w:pos="1650"/>
        </w:tabs>
        <w:spacing w:before="120" w:after="120"/>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 xml:space="preserve">Dados observáveis refletem informações obtidas no mercado via fontes independentes e os dados não observáveis refletem as premissas de mercado utilizadas pela Instituição. </w:t>
      </w:r>
    </w:p>
    <w:p w14:paraId="33AEFAA3" w14:textId="77777777" w:rsidR="00415B52" w:rsidRPr="00E20D21" w:rsidRDefault="00415B52" w:rsidP="001057F2">
      <w:pPr>
        <w:tabs>
          <w:tab w:val="left" w:pos="1650"/>
        </w:tabs>
        <w:spacing w:before="120" w:after="120"/>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Estes dois tipos de dados criaram a seguinte hierarquia de valor justo:</w:t>
      </w:r>
    </w:p>
    <w:p w14:paraId="5AD206FF" w14:textId="77777777" w:rsidR="00415B52" w:rsidRPr="00E20D21" w:rsidRDefault="00415B52" w:rsidP="001057F2">
      <w:pPr>
        <w:numPr>
          <w:ilvl w:val="0"/>
          <w:numId w:val="22"/>
        </w:numPr>
        <w:spacing w:before="120" w:after="120"/>
        <w:ind w:left="709" w:hanging="283"/>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Nível 1 – preços cotados (não ajustados) nos mercados de ativos para ativos e passivos idênticos. Este nível inclui títulos listados e instrumentos de dívida em negociação na bolsa de valores, mercadorias e futuros, por exemplo.</w:t>
      </w:r>
    </w:p>
    <w:p w14:paraId="46633EED" w14:textId="77777777" w:rsidR="00415B52" w:rsidRPr="00E20D21" w:rsidRDefault="00415B52" w:rsidP="001057F2">
      <w:pPr>
        <w:numPr>
          <w:ilvl w:val="0"/>
          <w:numId w:val="22"/>
        </w:numPr>
        <w:spacing w:before="120" w:after="120"/>
        <w:ind w:left="709" w:hanging="283"/>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lastRenderedPageBreak/>
        <w:t xml:space="preserve">Nível 2 – outros dados observáveis para ativo ou passivo, diretamente (preços) ou indiretamente (derivada de preços), exceto os do nível 1, incluindo a maioria dos contratos de balcão de derivativos, empréstimos negociados e emissão de dívida estruturada. </w:t>
      </w:r>
    </w:p>
    <w:p w14:paraId="6871DF37" w14:textId="2ADE84A0" w:rsidR="00415B52" w:rsidRPr="00E20D21" w:rsidRDefault="00415B52" w:rsidP="001057F2">
      <w:pPr>
        <w:numPr>
          <w:ilvl w:val="0"/>
          <w:numId w:val="22"/>
        </w:numPr>
        <w:spacing w:before="120" w:after="120"/>
        <w:ind w:left="709" w:hanging="283"/>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Nível 3 – dados para mensurar o ativo ou passivo que não se baseiam em informações de mercado observáveis (dados não observáveis). Este nível inclui instrumentos de patrimônio e dívida composto significativamente por dados não observáveis.</w:t>
      </w:r>
    </w:p>
    <w:p w14:paraId="0944A534" w14:textId="13D1E7A5" w:rsidR="00415B52" w:rsidRPr="00E20D21" w:rsidRDefault="00415B52" w:rsidP="00866553">
      <w:pPr>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Os métodos e pressupostos descritos acima podem resultar em um valor justo que não indique o valor realizável líquido de um instrumento em uma operação específica, dadas as condições de mercado. No entanto, a CAIXA acredita que os métodos e pressupostos adotados são apropriados às características contratuais de cada instrumento e consistentes com as melhores práticas de mercado. Além disso, a aplicação de métodos ou o uso de pressupostos diferentes na apuração do valor justo pode gerar outros resultados de valor justo na data do balanço, dado que esses instrumentos são naturalmente sensíveis aos métodos e pressupostos assumidos dadas as suas características contratuais.</w:t>
      </w:r>
    </w:p>
    <w:p w14:paraId="0C75B522" w14:textId="77777777" w:rsidR="00415B52" w:rsidRPr="00E20D21" w:rsidRDefault="00415B52" w:rsidP="001057F2">
      <w:pPr>
        <w:spacing w:before="120" w:after="120"/>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Os insumos para coleta de dados, que compõem o processo de formação de preço dos instrumentos, como fonte primária, são obtidos das seguintes fontes:</w:t>
      </w:r>
    </w:p>
    <w:p w14:paraId="1F0E9727" w14:textId="77777777" w:rsidR="00415B52" w:rsidRPr="00E20D21" w:rsidRDefault="00415B52" w:rsidP="00BC2B1B">
      <w:pPr>
        <w:numPr>
          <w:ilvl w:val="0"/>
          <w:numId w:val="22"/>
        </w:numPr>
        <w:spacing w:before="120" w:after="120"/>
        <w:ind w:left="709" w:hanging="283"/>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Mercado secundários de títulos públicos federais: ANBIMA;</w:t>
      </w:r>
    </w:p>
    <w:p w14:paraId="66373DF8" w14:textId="1D7F7448" w:rsidR="00415B52" w:rsidRPr="00E20D21" w:rsidRDefault="00415B52" w:rsidP="00BC2B1B">
      <w:pPr>
        <w:numPr>
          <w:ilvl w:val="0"/>
          <w:numId w:val="22"/>
        </w:numPr>
        <w:spacing w:before="120" w:after="120"/>
        <w:ind w:left="709" w:hanging="283"/>
        <w:jc w:val="both"/>
        <w:rPr>
          <w:rFonts w:ascii="CAIXA Std Book" w:eastAsia="Times New Roman" w:hAnsi="CAIXA Std Book" w:cs="Arial"/>
          <w:color w:val="005CA9"/>
          <w:sz w:val="20"/>
          <w:szCs w:val="20"/>
        </w:rPr>
      </w:pPr>
      <w:r w:rsidRPr="00E20D21">
        <w:rPr>
          <w:rFonts w:ascii="CAIXA Std Book" w:eastAsia="Times New Roman" w:hAnsi="CAIXA Std Book" w:cs="Arial"/>
          <w:color w:val="005CA9"/>
          <w:sz w:val="20"/>
          <w:szCs w:val="20"/>
        </w:rPr>
        <w:t xml:space="preserve">Cotações de ações, preços e ajustes de contratos futuros, taxas de mercado para swap, taxa DI: B3 </w:t>
      </w:r>
      <w:proofErr w:type="spellStart"/>
      <w:proofErr w:type="gramStart"/>
      <w:r w:rsidRPr="00E20D21">
        <w:rPr>
          <w:rFonts w:ascii="CAIXA Std Book" w:eastAsia="Times New Roman" w:hAnsi="CAIXA Std Book" w:cs="Arial"/>
          <w:color w:val="005CA9"/>
          <w:sz w:val="20"/>
          <w:szCs w:val="20"/>
        </w:rPr>
        <w:t>S.Al</w:t>
      </w:r>
      <w:proofErr w:type="spellEnd"/>
      <w:proofErr w:type="gramEnd"/>
      <w:r w:rsidRPr="00E20D21">
        <w:rPr>
          <w:rFonts w:ascii="CAIXA Std Book" w:eastAsia="Times New Roman" w:hAnsi="CAIXA Std Book" w:cs="Arial"/>
          <w:color w:val="005CA9"/>
          <w:sz w:val="20"/>
          <w:szCs w:val="20"/>
        </w:rPr>
        <w:t xml:space="preserve"> – Brasil, Bolsa, Balcão</w:t>
      </w:r>
      <w:r w:rsidR="004E442B" w:rsidRPr="00E20D21">
        <w:rPr>
          <w:rFonts w:ascii="CAIXA Std Book" w:eastAsia="Times New Roman" w:hAnsi="CAIXA Std Book" w:cs="Arial"/>
          <w:color w:val="005CA9"/>
          <w:sz w:val="20"/>
          <w:szCs w:val="20"/>
        </w:rPr>
        <w:t>.</w:t>
      </w:r>
    </w:p>
    <w:p w14:paraId="73EA3526" w14:textId="76B051D2" w:rsidR="00BE285A" w:rsidRPr="00E20D21" w:rsidRDefault="00602A3F" w:rsidP="00602A3F">
      <w:pPr>
        <w:spacing w:before="240" w:after="120"/>
        <w:jc w:val="both"/>
        <w:rPr>
          <w:rFonts w:ascii="CAIXA Std Book" w:eastAsia="Times New Roman" w:hAnsi="CAIXA Std Book" w:cs="Arial"/>
          <w:b/>
          <w:bCs/>
          <w:color w:val="005CA9"/>
          <w:sz w:val="20"/>
          <w:szCs w:val="20"/>
        </w:rPr>
      </w:pPr>
      <w:r w:rsidRPr="00E20D21">
        <w:rPr>
          <w:rFonts w:ascii="CAIXA Std Book" w:hAnsi="CAIXA Std Book"/>
          <w:b/>
          <w:color w:val="005CA9"/>
          <w:sz w:val="20"/>
          <w:szCs w:val="20"/>
        </w:rPr>
        <w:t>(</w:t>
      </w:r>
      <w:r w:rsidR="00FF3E19" w:rsidRPr="00E20D21">
        <w:rPr>
          <w:rFonts w:ascii="CAIXA Std Book" w:hAnsi="CAIXA Std Book"/>
          <w:b/>
          <w:color w:val="005CA9"/>
          <w:sz w:val="20"/>
          <w:szCs w:val="20"/>
        </w:rPr>
        <w:t>j</w:t>
      </w:r>
      <w:r w:rsidRPr="00E20D21">
        <w:rPr>
          <w:rFonts w:ascii="CAIXA Std Book" w:hAnsi="CAIXA Std Book"/>
          <w:b/>
          <w:color w:val="005CA9"/>
          <w:sz w:val="20"/>
          <w:szCs w:val="20"/>
        </w:rPr>
        <w:t>.1)</w:t>
      </w:r>
      <w:r w:rsidRPr="00E20D21">
        <w:rPr>
          <w:rFonts w:ascii="CAIXA Std Book" w:hAnsi="CAIXA Std Book"/>
          <w:b/>
          <w:color w:val="005CA9"/>
          <w:sz w:val="20"/>
          <w:szCs w:val="20"/>
        </w:rPr>
        <w:tab/>
      </w:r>
      <w:r w:rsidR="00BE285A" w:rsidRPr="00E20D21">
        <w:rPr>
          <w:rFonts w:ascii="CAIXA Std Book" w:eastAsia="Times New Roman" w:hAnsi="CAIXA Std Book" w:cs="Arial"/>
          <w:b/>
          <w:bCs/>
          <w:color w:val="005CA9"/>
          <w:sz w:val="20"/>
          <w:szCs w:val="20"/>
        </w:rPr>
        <w:t xml:space="preserve">Hierarquia do valor </w:t>
      </w:r>
      <w:r w:rsidR="008917CE" w:rsidRPr="00E20D21">
        <w:rPr>
          <w:rFonts w:ascii="CAIXA Std Book" w:eastAsia="Times New Roman" w:hAnsi="CAIXA Std Book" w:cs="Arial"/>
          <w:b/>
          <w:bCs/>
          <w:color w:val="005CA9"/>
          <w:sz w:val="20"/>
          <w:szCs w:val="20"/>
        </w:rPr>
        <w:t>justo</w:t>
      </w:r>
    </w:p>
    <w:p w14:paraId="0B789212" w14:textId="77777777" w:rsidR="00EC6CC2" w:rsidRPr="00E20D21" w:rsidRDefault="00EC6CC2">
      <w:pPr>
        <w:rPr>
          <w:rFonts w:ascii="CAIXA Std Book" w:eastAsia="Times New Roman" w:hAnsi="CAIXA Std Book" w:cs="Arial"/>
          <w:b/>
          <w:bCs/>
          <w:color w:val="005CA9"/>
          <w:sz w:val="20"/>
          <w:szCs w:val="20"/>
        </w:rPr>
      </w:pPr>
    </w:p>
    <w:tbl>
      <w:tblPr>
        <w:tblW w:w="5090" w:type="pct"/>
        <w:tblLayout w:type="fixed"/>
        <w:tblCellMar>
          <w:left w:w="70" w:type="dxa"/>
          <w:right w:w="70" w:type="dxa"/>
        </w:tblCellMar>
        <w:tblLook w:val="04A0" w:firstRow="1" w:lastRow="0" w:firstColumn="1" w:lastColumn="0" w:noHBand="0" w:noVBand="1"/>
      </w:tblPr>
      <w:tblGrid>
        <w:gridCol w:w="3685"/>
        <w:gridCol w:w="1276"/>
        <w:gridCol w:w="1278"/>
        <w:gridCol w:w="1135"/>
        <w:gridCol w:w="1274"/>
        <w:gridCol w:w="1274"/>
      </w:tblGrid>
      <w:tr w:rsidR="00A47C19" w:rsidRPr="00E20D21" w14:paraId="71101CE7" w14:textId="77777777" w:rsidTr="005E257A">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5D326316" w14:textId="5BFDA417" w:rsidR="00232740" w:rsidRPr="00E20D21" w:rsidRDefault="00232740" w:rsidP="00F737F0">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INDIVIDUAL</w:t>
            </w:r>
          </w:p>
        </w:tc>
      </w:tr>
      <w:tr w:rsidR="00A47C19" w:rsidRPr="00E20D21" w14:paraId="1BDB21A0" w14:textId="77777777" w:rsidTr="005E257A">
        <w:trPr>
          <w:trHeight w:val="283"/>
        </w:trPr>
        <w:tc>
          <w:tcPr>
            <w:tcW w:w="1857" w:type="pct"/>
            <w:vMerge w:val="restart"/>
            <w:tcBorders>
              <w:top w:val="single" w:sz="4" w:space="0" w:color="F39200"/>
              <w:left w:val="nil"/>
              <w:bottom w:val="single" w:sz="4" w:space="0" w:color="F39200"/>
              <w:right w:val="nil"/>
            </w:tcBorders>
            <w:shd w:val="clear" w:color="auto" w:fill="auto"/>
            <w:noWrap/>
            <w:vAlign w:val="center"/>
            <w:hideMark/>
          </w:tcPr>
          <w:p w14:paraId="12D8AC04" w14:textId="0DC08C93" w:rsidR="008455D6" w:rsidRPr="00E20D21" w:rsidRDefault="00410D46" w:rsidP="00094E08">
            <w:pPr>
              <w:jc w:val="center"/>
              <w:rPr>
                <w:rFonts w:ascii="CAIXA Std Book" w:eastAsia="Times New Roman" w:hAnsi="CAIXA Std Book" w:cs="Calibri"/>
                <w:b/>
                <w:bCs/>
                <w:color w:val="005CA9"/>
                <w:sz w:val="16"/>
                <w:szCs w:val="16"/>
              </w:rPr>
            </w:pPr>
            <w:proofErr w:type="spellStart"/>
            <w:r w:rsidRPr="00E20D21">
              <w:rPr>
                <w:rFonts w:ascii="CAIXA Std Book" w:eastAsia="Times New Roman" w:hAnsi="CAIXA Std Book" w:cs="Calibri"/>
                <w:b/>
                <w:bCs/>
                <w:color w:val="005CA9"/>
                <w:sz w:val="16"/>
                <w:szCs w:val="16"/>
              </w:rPr>
              <w:t>Decrição</w:t>
            </w:r>
            <w:proofErr w:type="spellEnd"/>
          </w:p>
        </w:tc>
        <w:tc>
          <w:tcPr>
            <w:tcW w:w="1287" w:type="pct"/>
            <w:gridSpan w:val="2"/>
            <w:tcBorders>
              <w:top w:val="single" w:sz="4" w:space="0" w:color="F39200"/>
              <w:left w:val="nil"/>
              <w:bottom w:val="single" w:sz="4" w:space="0" w:color="F39200"/>
              <w:right w:val="single" w:sz="4" w:space="0" w:color="FFFFFF" w:themeColor="background1"/>
            </w:tcBorders>
            <w:vAlign w:val="center"/>
          </w:tcPr>
          <w:p w14:paraId="1D4BD6B8" w14:textId="116B5518" w:rsidR="008455D6" w:rsidRPr="00E20D21" w:rsidRDefault="005E257A" w:rsidP="008455D6">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30/06/2024</w:t>
            </w:r>
          </w:p>
        </w:tc>
        <w:tc>
          <w:tcPr>
            <w:tcW w:w="1856" w:type="pct"/>
            <w:gridSpan w:val="3"/>
            <w:tcBorders>
              <w:top w:val="single" w:sz="4" w:space="0" w:color="F39200"/>
              <w:left w:val="single" w:sz="4" w:space="0" w:color="FFFFFF" w:themeColor="background1"/>
              <w:bottom w:val="single" w:sz="4" w:space="0" w:color="F39200"/>
              <w:right w:val="nil"/>
            </w:tcBorders>
            <w:shd w:val="clear" w:color="auto" w:fill="auto"/>
            <w:noWrap/>
            <w:vAlign w:val="center"/>
            <w:hideMark/>
          </w:tcPr>
          <w:p w14:paraId="01790C57" w14:textId="77777777" w:rsidR="008455D6" w:rsidRPr="00E20D21" w:rsidRDefault="008455D6" w:rsidP="00F737F0">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Níveis de valor justo</w:t>
            </w:r>
          </w:p>
        </w:tc>
      </w:tr>
      <w:tr w:rsidR="00A47C19" w:rsidRPr="00E20D21" w14:paraId="36D76826" w14:textId="77777777" w:rsidTr="005E257A">
        <w:trPr>
          <w:trHeight w:val="283"/>
        </w:trPr>
        <w:tc>
          <w:tcPr>
            <w:tcW w:w="1857" w:type="pct"/>
            <w:vMerge/>
            <w:tcBorders>
              <w:top w:val="single" w:sz="4" w:space="0" w:color="F39200"/>
              <w:left w:val="nil"/>
              <w:bottom w:val="single" w:sz="4" w:space="0" w:color="F39200"/>
              <w:right w:val="nil"/>
            </w:tcBorders>
            <w:vAlign w:val="center"/>
            <w:hideMark/>
          </w:tcPr>
          <w:p w14:paraId="40A5BD8F" w14:textId="77777777" w:rsidR="008455D6" w:rsidRPr="00E20D21" w:rsidRDefault="008455D6" w:rsidP="008455D6">
            <w:pPr>
              <w:rPr>
                <w:rFonts w:ascii="CAIXA Std Book" w:eastAsia="Times New Roman" w:hAnsi="CAIXA Std Book" w:cs="Calibri"/>
                <w:b/>
                <w:bCs/>
                <w:color w:val="005CA9"/>
                <w:sz w:val="16"/>
                <w:szCs w:val="16"/>
              </w:rPr>
            </w:pPr>
          </w:p>
        </w:tc>
        <w:tc>
          <w:tcPr>
            <w:tcW w:w="643" w:type="pct"/>
            <w:tcBorders>
              <w:top w:val="single" w:sz="4" w:space="0" w:color="F39200"/>
              <w:left w:val="nil"/>
              <w:bottom w:val="single" w:sz="4" w:space="0" w:color="F39200"/>
              <w:right w:val="nil"/>
            </w:tcBorders>
            <w:shd w:val="clear" w:color="000000" w:fill="FFFFFF"/>
            <w:vAlign w:val="center"/>
          </w:tcPr>
          <w:p w14:paraId="2E529810" w14:textId="08E15187" w:rsidR="008455D6" w:rsidRPr="00E20D21" w:rsidRDefault="008455D6" w:rsidP="00193DC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contábil</w:t>
            </w:r>
          </w:p>
        </w:tc>
        <w:tc>
          <w:tcPr>
            <w:tcW w:w="644" w:type="pct"/>
            <w:tcBorders>
              <w:top w:val="single" w:sz="4" w:space="0" w:color="F39200"/>
              <w:left w:val="nil"/>
              <w:bottom w:val="single" w:sz="4" w:space="0" w:color="F39200"/>
              <w:right w:val="nil"/>
            </w:tcBorders>
            <w:shd w:val="clear" w:color="000000" w:fill="FFFFFF"/>
            <w:noWrap/>
            <w:vAlign w:val="center"/>
            <w:hideMark/>
          </w:tcPr>
          <w:p w14:paraId="3165F267" w14:textId="18FE7C0E" w:rsidR="008455D6" w:rsidRPr="00E20D21" w:rsidRDefault="008455D6" w:rsidP="00193DC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justo</w:t>
            </w:r>
          </w:p>
        </w:tc>
        <w:tc>
          <w:tcPr>
            <w:tcW w:w="572" w:type="pct"/>
            <w:tcBorders>
              <w:top w:val="nil"/>
              <w:left w:val="nil"/>
              <w:bottom w:val="single" w:sz="4" w:space="0" w:color="F39200"/>
              <w:right w:val="nil"/>
            </w:tcBorders>
            <w:shd w:val="clear" w:color="000000" w:fill="FFFFFF"/>
            <w:noWrap/>
            <w:vAlign w:val="center"/>
            <w:hideMark/>
          </w:tcPr>
          <w:p w14:paraId="2F111450" w14:textId="77777777" w:rsidR="008455D6" w:rsidRPr="00E20D21" w:rsidRDefault="008455D6" w:rsidP="00193DC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1</w:t>
            </w:r>
          </w:p>
        </w:tc>
        <w:tc>
          <w:tcPr>
            <w:tcW w:w="642" w:type="pct"/>
            <w:tcBorders>
              <w:top w:val="nil"/>
              <w:left w:val="nil"/>
              <w:bottom w:val="single" w:sz="4" w:space="0" w:color="F39200"/>
              <w:right w:val="nil"/>
            </w:tcBorders>
            <w:shd w:val="clear" w:color="000000" w:fill="FFFFFF"/>
            <w:noWrap/>
            <w:vAlign w:val="center"/>
            <w:hideMark/>
          </w:tcPr>
          <w:p w14:paraId="3D45120F" w14:textId="77777777" w:rsidR="008455D6" w:rsidRPr="00E20D21" w:rsidRDefault="008455D6" w:rsidP="00193DC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2</w:t>
            </w:r>
          </w:p>
        </w:tc>
        <w:tc>
          <w:tcPr>
            <w:tcW w:w="642" w:type="pct"/>
            <w:tcBorders>
              <w:top w:val="nil"/>
              <w:left w:val="nil"/>
              <w:bottom w:val="single" w:sz="4" w:space="0" w:color="F39200"/>
              <w:right w:val="nil"/>
            </w:tcBorders>
            <w:shd w:val="clear" w:color="000000" w:fill="FFFFFF"/>
            <w:noWrap/>
            <w:vAlign w:val="center"/>
            <w:hideMark/>
          </w:tcPr>
          <w:p w14:paraId="1DD2B0DA" w14:textId="77777777" w:rsidR="008455D6" w:rsidRPr="00E20D21" w:rsidRDefault="008455D6" w:rsidP="00193DC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3</w:t>
            </w:r>
          </w:p>
        </w:tc>
      </w:tr>
      <w:tr w:rsidR="00A47C19" w:rsidRPr="00E20D21" w14:paraId="45C5F4D4" w14:textId="77777777" w:rsidTr="005E257A">
        <w:trPr>
          <w:trHeight w:val="283"/>
        </w:trPr>
        <w:tc>
          <w:tcPr>
            <w:tcW w:w="5000" w:type="pct"/>
            <w:gridSpan w:val="6"/>
            <w:tcBorders>
              <w:top w:val="nil"/>
              <w:left w:val="nil"/>
              <w:bottom w:val="single" w:sz="4" w:space="0" w:color="F39200"/>
              <w:right w:val="nil"/>
            </w:tcBorders>
            <w:shd w:val="clear" w:color="auto" w:fill="auto"/>
            <w:vAlign w:val="center"/>
            <w:hideMark/>
          </w:tcPr>
          <w:p w14:paraId="0EE6C2A5" w14:textId="2EC908CA" w:rsidR="00AF76EB" w:rsidRPr="00E20D21" w:rsidRDefault="00AF76EB" w:rsidP="00193DC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Ativos e passivos financeiros mensurados a valor justo</w:t>
            </w:r>
          </w:p>
        </w:tc>
      </w:tr>
      <w:tr w:rsidR="00A47C19" w:rsidRPr="00E20D21" w14:paraId="5646ED57" w14:textId="77777777" w:rsidTr="005E257A">
        <w:trPr>
          <w:trHeight w:val="283"/>
        </w:trPr>
        <w:tc>
          <w:tcPr>
            <w:tcW w:w="1857" w:type="pct"/>
            <w:tcBorders>
              <w:top w:val="nil"/>
              <w:left w:val="nil"/>
              <w:bottom w:val="nil"/>
              <w:right w:val="nil"/>
            </w:tcBorders>
            <w:shd w:val="clear" w:color="auto" w:fill="auto"/>
            <w:noWrap/>
            <w:vAlign w:val="center"/>
            <w:hideMark/>
          </w:tcPr>
          <w:p w14:paraId="564E4E64" w14:textId="77777777" w:rsidR="00427CFA" w:rsidRPr="00E20D21" w:rsidRDefault="00427CFA" w:rsidP="00193DCE">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ATIVO</w:t>
            </w:r>
          </w:p>
        </w:tc>
        <w:tc>
          <w:tcPr>
            <w:tcW w:w="643" w:type="pct"/>
            <w:tcBorders>
              <w:top w:val="nil"/>
              <w:left w:val="nil"/>
              <w:bottom w:val="nil"/>
              <w:right w:val="nil"/>
            </w:tcBorders>
            <w:vAlign w:val="center"/>
          </w:tcPr>
          <w:p w14:paraId="442B5B61" w14:textId="62459D2D" w:rsidR="00427CFA" w:rsidRPr="00E20D21" w:rsidRDefault="00427CFA" w:rsidP="00094E08">
            <w:pPr>
              <w:jc w:val="right"/>
              <w:rPr>
                <w:rFonts w:ascii="CAIXA Std Book" w:eastAsia="Times New Roman" w:hAnsi="CAIXA Std Book" w:cs="Calibri"/>
                <w:b/>
                <w:bCs/>
                <w:color w:val="005CA9"/>
                <w:sz w:val="16"/>
                <w:szCs w:val="16"/>
              </w:rPr>
            </w:pPr>
          </w:p>
        </w:tc>
        <w:tc>
          <w:tcPr>
            <w:tcW w:w="644" w:type="pct"/>
            <w:tcBorders>
              <w:top w:val="nil"/>
              <w:left w:val="nil"/>
              <w:bottom w:val="nil"/>
              <w:right w:val="nil"/>
            </w:tcBorders>
            <w:shd w:val="clear" w:color="auto" w:fill="auto"/>
            <w:noWrap/>
            <w:vAlign w:val="center"/>
            <w:hideMark/>
          </w:tcPr>
          <w:p w14:paraId="15224951" w14:textId="4C49BED9" w:rsidR="00427CFA" w:rsidRPr="00E20D21" w:rsidRDefault="00427CFA" w:rsidP="00094E08">
            <w:pPr>
              <w:jc w:val="right"/>
              <w:rPr>
                <w:rFonts w:ascii="CAIXA Std Book" w:eastAsia="Times New Roman" w:hAnsi="CAIXA Std Book" w:cs="Calibri"/>
                <w:b/>
                <w:bCs/>
                <w:color w:val="005CA9"/>
                <w:sz w:val="16"/>
                <w:szCs w:val="16"/>
              </w:rPr>
            </w:pPr>
          </w:p>
        </w:tc>
        <w:tc>
          <w:tcPr>
            <w:tcW w:w="572" w:type="pct"/>
            <w:tcBorders>
              <w:top w:val="nil"/>
              <w:left w:val="nil"/>
              <w:bottom w:val="nil"/>
              <w:right w:val="nil"/>
            </w:tcBorders>
            <w:shd w:val="clear" w:color="auto" w:fill="auto"/>
            <w:noWrap/>
            <w:vAlign w:val="center"/>
            <w:hideMark/>
          </w:tcPr>
          <w:p w14:paraId="5F636CFC" w14:textId="77777777" w:rsidR="00427CFA" w:rsidRPr="00E20D21" w:rsidRDefault="00427CFA" w:rsidP="00094E08">
            <w:pPr>
              <w:jc w:val="right"/>
              <w:rPr>
                <w:rFonts w:ascii="CAIXA Std Book" w:eastAsia="Times New Roman" w:hAnsi="CAIXA Std Book" w:cs="Times New Roman"/>
                <w:color w:val="005CA9"/>
                <w:sz w:val="16"/>
                <w:szCs w:val="16"/>
              </w:rPr>
            </w:pPr>
          </w:p>
        </w:tc>
        <w:tc>
          <w:tcPr>
            <w:tcW w:w="642" w:type="pct"/>
            <w:tcBorders>
              <w:top w:val="nil"/>
              <w:left w:val="nil"/>
              <w:bottom w:val="nil"/>
              <w:right w:val="nil"/>
            </w:tcBorders>
            <w:shd w:val="clear" w:color="auto" w:fill="auto"/>
            <w:noWrap/>
            <w:vAlign w:val="center"/>
            <w:hideMark/>
          </w:tcPr>
          <w:p w14:paraId="0458E11C" w14:textId="77777777" w:rsidR="00427CFA" w:rsidRPr="00E20D21" w:rsidRDefault="00427CFA" w:rsidP="00094E08">
            <w:pPr>
              <w:jc w:val="right"/>
              <w:rPr>
                <w:rFonts w:ascii="CAIXA Std Book" w:eastAsia="Times New Roman" w:hAnsi="CAIXA Std Book" w:cs="Times New Roman"/>
                <w:color w:val="005CA9"/>
                <w:sz w:val="16"/>
                <w:szCs w:val="16"/>
              </w:rPr>
            </w:pPr>
          </w:p>
        </w:tc>
        <w:tc>
          <w:tcPr>
            <w:tcW w:w="642" w:type="pct"/>
            <w:tcBorders>
              <w:top w:val="nil"/>
              <w:left w:val="nil"/>
              <w:bottom w:val="nil"/>
              <w:right w:val="nil"/>
            </w:tcBorders>
            <w:shd w:val="clear" w:color="auto" w:fill="auto"/>
            <w:noWrap/>
            <w:vAlign w:val="center"/>
            <w:hideMark/>
          </w:tcPr>
          <w:p w14:paraId="60C08F50" w14:textId="77777777" w:rsidR="00427CFA" w:rsidRPr="00E20D21" w:rsidRDefault="00427CFA" w:rsidP="00094E08">
            <w:pPr>
              <w:jc w:val="right"/>
              <w:rPr>
                <w:rFonts w:ascii="CAIXA Std Book" w:eastAsia="Times New Roman" w:hAnsi="CAIXA Std Book" w:cs="Times New Roman"/>
                <w:color w:val="005CA9"/>
                <w:sz w:val="16"/>
                <w:szCs w:val="16"/>
              </w:rPr>
            </w:pPr>
          </w:p>
        </w:tc>
      </w:tr>
      <w:tr w:rsidR="00A47C19" w:rsidRPr="00E20D21" w14:paraId="05BB1946" w14:textId="77777777" w:rsidTr="005E257A">
        <w:trPr>
          <w:trHeight w:val="283"/>
        </w:trPr>
        <w:tc>
          <w:tcPr>
            <w:tcW w:w="1857" w:type="pct"/>
            <w:tcBorders>
              <w:top w:val="nil"/>
              <w:left w:val="nil"/>
              <w:bottom w:val="nil"/>
              <w:right w:val="nil"/>
            </w:tcBorders>
            <w:shd w:val="clear" w:color="auto" w:fill="auto"/>
            <w:noWrap/>
            <w:vAlign w:val="center"/>
            <w:hideMark/>
          </w:tcPr>
          <w:p w14:paraId="7A0C176A" w14:textId="77777777" w:rsidR="00AD6E87" w:rsidRPr="00E20D21" w:rsidRDefault="00AD6E87" w:rsidP="00AD6E87">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xml:space="preserve">Ativos Financeiros </w:t>
            </w:r>
          </w:p>
        </w:tc>
        <w:tc>
          <w:tcPr>
            <w:tcW w:w="643" w:type="pct"/>
            <w:tcBorders>
              <w:top w:val="nil"/>
              <w:left w:val="nil"/>
              <w:bottom w:val="nil"/>
              <w:right w:val="nil"/>
            </w:tcBorders>
            <w:vAlign w:val="center"/>
          </w:tcPr>
          <w:p w14:paraId="12DA615E" w14:textId="113070DF" w:rsidR="00AD6E87" w:rsidRPr="00E20D21" w:rsidRDefault="003C2E6C" w:rsidP="00AD6E87">
            <w:pPr>
              <w:jc w:val="right"/>
              <w:rPr>
                <w:rFonts w:ascii="CAIXA Std Book" w:eastAsia="Times New Roman" w:hAnsi="CAIXA Std Book" w:cs="Aldhabi"/>
                <w:b/>
                <w:color w:val="005CA9"/>
                <w:sz w:val="16"/>
                <w:szCs w:val="16"/>
              </w:rPr>
            </w:pPr>
            <w:r w:rsidRPr="00E20D21">
              <w:rPr>
                <w:rFonts w:ascii="CAIXA Std Book" w:hAnsi="CAIXA Std Book" w:cs="Calibri"/>
                <w:b/>
                <w:bCs/>
                <w:color w:val="005CA9"/>
                <w:sz w:val="16"/>
                <w:szCs w:val="16"/>
              </w:rPr>
              <w:t>1.855.906.308</w:t>
            </w:r>
          </w:p>
        </w:tc>
        <w:tc>
          <w:tcPr>
            <w:tcW w:w="644" w:type="pct"/>
            <w:tcBorders>
              <w:top w:val="nil"/>
              <w:left w:val="nil"/>
              <w:bottom w:val="nil"/>
              <w:right w:val="nil"/>
            </w:tcBorders>
            <w:shd w:val="clear" w:color="auto" w:fill="auto"/>
            <w:noWrap/>
            <w:vAlign w:val="center"/>
          </w:tcPr>
          <w:p w14:paraId="3CEB4487" w14:textId="263D1560" w:rsidR="00AD6E87" w:rsidRPr="00E20D21" w:rsidRDefault="003C2E6C" w:rsidP="00AD6E87">
            <w:pPr>
              <w:jc w:val="right"/>
              <w:rPr>
                <w:rFonts w:ascii="CAIXA Std Book" w:eastAsia="Times New Roman" w:hAnsi="CAIXA Std Book" w:cs="Aldhabi"/>
                <w:b/>
                <w:color w:val="005CA9"/>
                <w:sz w:val="16"/>
                <w:szCs w:val="16"/>
              </w:rPr>
            </w:pPr>
            <w:r w:rsidRPr="00E20D21">
              <w:rPr>
                <w:rFonts w:ascii="CAIXA Std Book" w:hAnsi="CAIXA Std Book" w:cs="Calibri"/>
                <w:b/>
                <w:bCs/>
                <w:color w:val="005CA9"/>
                <w:sz w:val="16"/>
                <w:szCs w:val="16"/>
              </w:rPr>
              <w:t>1.622.424.</w:t>
            </w:r>
            <w:r w:rsidR="00AC163E" w:rsidRPr="00E20D21">
              <w:rPr>
                <w:rFonts w:ascii="CAIXA Std Book" w:hAnsi="CAIXA Std Book" w:cs="Calibri"/>
                <w:b/>
                <w:bCs/>
                <w:color w:val="005CA9"/>
                <w:sz w:val="16"/>
                <w:szCs w:val="16"/>
              </w:rPr>
              <w:t>766</w:t>
            </w:r>
          </w:p>
        </w:tc>
        <w:tc>
          <w:tcPr>
            <w:tcW w:w="572" w:type="pct"/>
            <w:tcBorders>
              <w:top w:val="nil"/>
              <w:left w:val="nil"/>
              <w:bottom w:val="nil"/>
              <w:right w:val="nil"/>
            </w:tcBorders>
            <w:shd w:val="clear" w:color="auto" w:fill="auto"/>
            <w:noWrap/>
            <w:vAlign w:val="center"/>
          </w:tcPr>
          <w:p w14:paraId="28B0D52C" w14:textId="46212189" w:rsidR="00AD6E87" w:rsidRPr="00E20D21" w:rsidRDefault="003C2E6C" w:rsidP="00AD6E87">
            <w:pPr>
              <w:jc w:val="right"/>
              <w:rPr>
                <w:rFonts w:ascii="CAIXA Std Book" w:eastAsia="Times New Roman" w:hAnsi="CAIXA Std Book" w:cs="Aldhabi"/>
                <w:b/>
                <w:color w:val="005CA9"/>
                <w:sz w:val="16"/>
                <w:szCs w:val="16"/>
              </w:rPr>
            </w:pPr>
            <w:r w:rsidRPr="00E20D21">
              <w:rPr>
                <w:rFonts w:ascii="CAIXA Std Book" w:hAnsi="CAIXA Std Book" w:cs="Calibri"/>
                <w:b/>
                <w:bCs/>
                <w:color w:val="005CA9"/>
                <w:sz w:val="16"/>
                <w:szCs w:val="16"/>
              </w:rPr>
              <w:t>272.379.168</w:t>
            </w:r>
          </w:p>
        </w:tc>
        <w:tc>
          <w:tcPr>
            <w:tcW w:w="642" w:type="pct"/>
            <w:tcBorders>
              <w:top w:val="nil"/>
              <w:left w:val="nil"/>
              <w:bottom w:val="nil"/>
              <w:right w:val="nil"/>
            </w:tcBorders>
            <w:shd w:val="clear" w:color="auto" w:fill="auto"/>
            <w:noWrap/>
            <w:vAlign w:val="center"/>
          </w:tcPr>
          <w:p w14:paraId="22EEC291" w14:textId="0E7A9ED0" w:rsidR="00AD6E87" w:rsidRPr="00E20D21" w:rsidRDefault="003C2E6C" w:rsidP="00AD6E87">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1.339.081.786</w:t>
            </w:r>
          </w:p>
        </w:tc>
        <w:tc>
          <w:tcPr>
            <w:tcW w:w="642" w:type="pct"/>
            <w:tcBorders>
              <w:top w:val="nil"/>
              <w:left w:val="nil"/>
              <w:bottom w:val="nil"/>
              <w:right w:val="nil"/>
            </w:tcBorders>
            <w:shd w:val="clear" w:color="auto" w:fill="auto"/>
            <w:noWrap/>
            <w:vAlign w:val="center"/>
          </w:tcPr>
          <w:p w14:paraId="3CAAF663" w14:textId="4615582A" w:rsidR="00AD6E87" w:rsidRPr="00E20D21" w:rsidRDefault="003C2E6C" w:rsidP="00AD6E87">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10.963.812</w:t>
            </w:r>
          </w:p>
        </w:tc>
      </w:tr>
      <w:tr w:rsidR="00CF0F5C" w:rsidRPr="00E20D21" w14:paraId="48BFB991" w14:textId="77777777">
        <w:trPr>
          <w:trHeight w:val="283"/>
        </w:trPr>
        <w:tc>
          <w:tcPr>
            <w:tcW w:w="1857" w:type="pct"/>
            <w:tcBorders>
              <w:top w:val="nil"/>
              <w:left w:val="nil"/>
              <w:bottom w:val="nil"/>
              <w:right w:val="nil"/>
            </w:tcBorders>
            <w:shd w:val="clear" w:color="auto" w:fill="auto"/>
            <w:noWrap/>
            <w:vAlign w:val="center"/>
            <w:hideMark/>
          </w:tcPr>
          <w:p w14:paraId="2E15A0AC" w14:textId="77777777" w:rsidR="00CF0F5C" w:rsidRPr="00E20D21" w:rsidRDefault="00CF0F5C">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Aplicações interfinanceiras de liquidez</w:t>
            </w:r>
          </w:p>
        </w:tc>
        <w:tc>
          <w:tcPr>
            <w:tcW w:w="643" w:type="pct"/>
            <w:tcBorders>
              <w:top w:val="nil"/>
              <w:left w:val="nil"/>
              <w:bottom w:val="nil"/>
              <w:right w:val="nil"/>
            </w:tcBorders>
            <w:vAlign w:val="center"/>
          </w:tcPr>
          <w:p w14:paraId="0EC1A953" w14:textId="39ADECA9" w:rsidR="00CF0F5C" w:rsidRPr="00E20D21" w:rsidRDefault="00AC163E">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184.470.736</w:t>
            </w:r>
          </w:p>
        </w:tc>
        <w:tc>
          <w:tcPr>
            <w:tcW w:w="644" w:type="pct"/>
            <w:tcBorders>
              <w:top w:val="nil"/>
              <w:left w:val="nil"/>
              <w:bottom w:val="nil"/>
              <w:right w:val="nil"/>
            </w:tcBorders>
            <w:shd w:val="clear" w:color="auto" w:fill="auto"/>
            <w:noWrap/>
            <w:vAlign w:val="center"/>
          </w:tcPr>
          <w:p w14:paraId="36898987" w14:textId="65DA0693" w:rsidR="00CF0F5C" w:rsidRPr="00E20D21" w:rsidRDefault="00AC163E">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184.471.234</w:t>
            </w:r>
          </w:p>
        </w:tc>
        <w:tc>
          <w:tcPr>
            <w:tcW w:w="572" w:type="pct"/>
            <w:tcBorders>
              <w:top w:val="nil"/>
              <w:left w:val="nil"/>
              <w:bottom w:val="nil"/>
              <w:right w:val="nil"/>
            </w:tcBorders>
            <w:shd w:val="clear" w:color="auto" w:fill="auto"/>
            <w:noWrap/>
            <w:vAlign w:val="center"/>
          </w:tcPr>
          <w:p w14:paraId="556DD89B" w14:textId="0CECCD63" w:rsidR="00CF0F5C" w:rsidRPr="00E20D21" w:rsidRDefault="00CF0F5C">
            <w:pPr>
              <w:jc w:val="center"/>
              <w:rPr>
                <w:rFonts w:ascii="CAIXA Std Book" w:eastAsia="Times New Roman" w:hAnsi="CAIXA Std Book" w:cs="Aldhabi"/>
                <w:color w:val="005CA9"/>
                <w:sz w:val="16"/>
                <w:szCs w:val="16"/>
              </w:rPr>
            </w:pPr>
            <w:r w:rsidRPr="00E20D21">
              <w:rPr>
                <w:rFonts w:ascii="CAIXA Std Book" w:hAnsi="CAIXA Std Book" w:cs="Calibri"/>
                <w:color w:val="005CA9"/>
                <w:sz w:val="16"/>
                <w:szCs w:val="16"/>
              </w:rPr>
              <w:t>-</w:t>
            </w:r>
          </w:p>
        </w:tc>
        <w:tc>
          <w:tcPr>
            <w:tcW w:w="642" w:type="pct"/>
            <w:tcBorders>
              <w:top w:val="nil"/>
              <w:left w:val="nil"/>
              <w:bottom w:val="nil"/>
              <w:right w:val="nil"/>
            </w:tcBorders>
            <w:shd w:val="clear" w:color="auto" w:fill="auto"/>
            <w:noWrap/>
            <w:vAlign w:val="center"/>
          </w:tcPr>
          <w:p w14:paraId="721BA6F8" w14:textId="79835AA6" w:rsidR="00CF0F5C" w:rsidRPr="00E20D21" w:rsidRDefault="00AC163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184.471.234</w:t>
            </w:r>
          </w:p>
        </w:tc>
        <w:tc>
          <w:tcPr>
            <w:tcW w:w="642" w:type="pct"/>
            <w:tcBorders>
              <w:top w:val="nil"/>
              <w:left w:val="nil"/>
              <w:bottom w:val="nil"/>
              <w:right w:val="nil"/>
            </w:tcBorders>
            <w:shd w:val="clear" w:color="auto" w:fill="auto"/>
            <w:noWrap/>
            <w:vAlign w:val="center"/>
          </w:tcPr>
          <w:p w14:paraId="29E1712E" w14:textId="1AFC01E9" w:rsidR="00CF0F5C" w:rsidRPr="00E20D21" w:rsidRDefault="00CF0F5C">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2054397A" w14:textId="77777777" w:rsidTr="005E257A">
        <w:trPr>
          <w:trHeight w:val="283"/>
        </w:trPr>
        <w:tc>
          <w:tcPr>
            <w:tcW w:w="1857" w:type="pct"/>
            <w:tcBorders>
              <w:top w:val="nil"/>
              <w:left w:val="nil"/>
              <w:bottom w:val="nil"/>
              <w:right w:val="nil"/>
            </w:tcBorders>
            <w:shd w:val="clear" w:color="auto" w:fill="auto"/>
            <w:noWrap/>
            <w:vAlign w:val="center"/>
            <w:hideMark/>
          </w:tcPr>
          <w:p w14:paraId="75C535B8" w14:textId="196C9DAF" w:rsidR="00AD6E87" w:rsidRPr="00E20D21" w:rsidRDefault="00AD6E87" w:rsidP="00AD6E87">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Depósitos no Banco Central</w:t>
            </w:r>
          </w:p>
        </w:tc>
        <w:tc>
          <w:tcPr>
            <w:tcW w:w="643" w:type="pct"/>
            <w:tcBorders>
              <w:top w:val="nil"/>
              <w:left w:val="nil"/>
              <w:bottom w:val="nil"/>
              <w:right w:val="nil"/>
            </w:tcBorders>
            <w:vAlign w:val="center"/>
          </w:tcPr>
          <w:p w14:paraId="2F83E21A" w14:textId="0D370EB7" w:rsidR="00AD6E87" w:rsidRPr="00E20D21" w:rsidRDefault="00AC163E"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140.257.502</w:t>
            </w:r>
          </w:p>
        </w:tc>
        <w:tc>
          <w:tcPr>
            <w:tcW w:w="644" w:type="pct"/>
            <w:tcBorders>
              <w:top w:val="nil"/>
              <w:left w:val="nil"/>
              <w:bottom w:val="nil"/>
              <w:right w:val="nil"/>
            </w:tcBorders>
            <w:shd w:val="clear" w:color="auto" w:fill="auto"/>
            <w:noWrap/>
            <w:vAlign w:val="center"/>
          </w:tcPr>
          <w:p w14:paraId="29AAC2E4" w14:textId="659E21C9" w:rsidR="00AD6E87" w:rsidRPr="00E20D21" w:rsidRDefault="00AC163E"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130.902.511</w:t>
            </w:r>
          </w:p>
        </w:tc>
        <w:tc>
          <w:tcPr>
            <w:tcW w:w="572" w:type="pct"/>
            <w:tcBorders>
              <w:top w:val="nil"/>
              <w:left w:val="nil"/>
              <w:bottom w:val="nil"/>
              <w:right w:val="nil"/>
            </w:tcBorders>
            <w:shd w:val="clear" w:color="auto" w:fill="auto"/>
            <w:noWrap/>
            <w:vAlign w:val="center"/>
          </w:tcPr>
          <w:p w14:paraId="17035FCD" w14:textId="039FCDC2" w:rsidR="00AD6E87" w:rsidRPr="00E20D21" w:rsidRDefault="003C2E6C" w:rsidP="00AD6E87">
            <w:pPr>
              <w:jc w:val="center"/>
              <w:rPr>
                <w:rFonts w:ascii="CAIXA Std Book" w:eastAsia="Times New Roman" w:hAnsi="CAIXA Std Book" w:cs="Aldhabi"/>
                <w:color w:val="005CA9"/>
                <w:sz w:val="16"/>
                <w:szCs w:val="16"/>
              </w:rPr>
            </w:pPr>
            <w:r w:rsidRPr="00E20D21">
              <w:rPr>
                <w:rFonts w:ascii="CAIXA Std Book" w:hAnsi="CAIXA Std Book" w:cs="Calibri"/>
                <w:color w:val="005CA9"/>
                <w:sz w:val="16"/>
                <w:szCs w:val="16"/>
              </w:rPr>
              <w:t>-</w:t>
            </w:r>
          </w:p>
        </w:tc>
        <w:tc>
          <w:tcPr>
            <w:tcW w:w="642" w:type="pct"/>
            <w:tcBorders>
              <w:top w:val="nil"/>
              <w:left w:val="nil"/>
              <w:bottom w:val="nil"/>
              <w:right w:val="nil"/>
            </w:tcBorders>
            <w:shd w:val="clear" w:color="auto" w:fill="auto"/>
            <w:noWrap/>
            <w:vAlign w:val="center"/>
          </w:tcPr>
          <w:p w14:paraId="777EED12" w14:textId="72A0A5FB" w:rsidR="00AD6E87" w:rsidRPr="00E20D21" w:rsidRDefault="00AC163E" w:rsidP="00AD6E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130.902.511</w:t>
            </w:r>
          </w:p>
        </w:tc>
        <w:tc>
          <w:tcPr>
            <w:tcW w:w="642" w:type="pct"/>
            <w:tcBorders>
              <w:top w:val="nil"/>
              <w:left w:val="nil"/>
              <w:bottom w:val="nil"/>
              <w:right w:val="nil"/>
            </w:tcBorders>
            <w:shd w:val="clear" w:color="auto" w:fill="auto"/>
            <w:noWrap/>
            <w:vAlign w:val="center"/>
          </w:tcPr>
          <w:p w14:paraId="5B59D52E" w14:textId="350FBA17" w:rsidR="00AD6E87" w:rsidRPr="00E20D21" w:rsidRDefault="003C2E6C" w:rsidP="00AD6E87">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2C494119" w14:textId="77777777" w:rsidTr="005E257A">
        <w:trPr>
          <w:trHeight w:val="283"/>
        </w:trPr>
        <w:tc>
          <w:tcPr>
            <w:tcW w:w="1857" w:type="pct"/>
            <w:tcBorders>
              <w:top w:val="nil"/>
              <w:left w:val="nil"/>
              <w:bottom w:val="nil"/>
              <w:right w:val="nil"/>
            </w:tcBorders>
            <w:shd w:val="clear" w:color="auto" w:fill="auto"/>
            <w:noWrap/>
            <w:vAlign w:val="center"/>
            <w:hideMark/>
          </w:tcPr>
          <w:p w14:paraId="4542FE5E" w14:textId="77777777" w:rsidR="00AD6E87" w:rsidRPr="00E20D21" w:rsidRDefault="00AD6E87" w:rsidP="00AD6E87">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Títulos e Valores Mobiliários</w:t>
            </w:r>
          </w:p>
        </w:tc>
        <w:tc>
          <w:tcPr>
            <w:tcW w:w="643" w:type="pct"/>
            <w:tcBorders>
              <w:top w:val="nil"/>
              <w:left w:val="nil"/>
              <w:bottom w:val="nil"/>
              <w:right w:val="nil"/>
            </w:tcBorders>
            <w:vAlign w:val="center"/>
          </w:tcPr>
          <w:p w14:paraId="32C63763" w14:textId="67E18B1A" w:rsidR="00AD6E87" w:rsidRPr="00E20D21" w:rsidRDefault="003C2E6C"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295.380.965</w:t>
            </w:r>
          </w:p>
        </w:tc>
        <w:tc>
          <w:tcPr>
            <w:tcW w:w="644" w:type="pct"/>
            <w:tcBorders>
              <w:top w:val="nil"/>
              <w:left w:val="nil"/>
              <w:bottom w:val="nil"/>
              <w:right w:val="nil"/>
            </w:tcBorders>
            <w:shd w:val="clear" w:color="auto" w:fill="auto"/>
            <w:noWrap/>
            <w:vAlign w:val="center"/>
          </w:tcPr>
          <w:p w14:paraId="36252A26" w14:textId="35A6A368" w:rsidR="00AD6E87" w:rsidRPr="00E20D21" w:rsidRDefault="003C2E6C"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285.831.</w:t>
            </w:r>
            <w:r w:rsidR="00AC163E" w:rsidRPr="00E20D21">
              <w:rPr>
                <w:rFonts w:ascii="CAIXA Std Book" w:hAnsi="CAIXA Std Book" w:cs="Calibri"/>
                <w:color w:val="005CA9"/>
                <w:sz w:val="16"/>
                <w:szCs w:val="16"/>
              </w:rPr>
              <w:t>129</w:t>
            </w:r>
          </w:p>
        </w:tc>
        <w:tc>
          <w:tcPr>
            <w:tcW w:w="572" w:type="pct"/>
            <w:tcBorders>
              <w:top w:val="nil"/>
              <w:left w:val="nil"/>
              <w:bottom w:val="nil"/>
              <w:right w:val="nil"/>
            </w:tcBorders>
            <w:shd w:val="clear" w:color="auto" w:fill="auto"/>
            <w:noWrap/>
            <w:vAlign w:val="center"/>
          </w:tcPr>
          <w:p w14:paraId="4ACED104" w14:textId="70341287" w:rsidR="00AD6E87" w:rsidRPr="00E20D21" w:rsidRDefault="003C2E6C" w:rsidP="00AD6E87">
            <w:pPr>
              <w:jc w:val="right"/>
              <w:rPr>
                <w:rFonts w:ascii="CAIXA Std Book" w:hAnsi="CAIXA Std Book" w:cs="Aldhabi"/>
                <w:color w:val="005CA9"/>
                <w:sz w:val="16"/>
                <w:szCs w:val="16"/>
              </w:rPr>
            </w:pPr>
            <w:r w:rsidRPr="00E20D21">
              <w:rPr>
                <w:rFonts w:ascii="CAIXA Std Book" w:hAnsi="CAIXA Std Book" w:cs="Calibri"/>
                <w:color w:val="005CA9"/>
                <w:sz w:val="16"/>
                <w:szCs w:val="16"/>
              </w:rPr>
              <w:t>272.379.168</w:t>
            </w:r>
          </w:p>
        </w:tc>
        <w:tc>
          <w:tcPr>
            <w:tcW w:w="642" w:type="pct"/>
            <w:tcBorders>
              <w:top w:val="nil"/>
              <w:left w:val="nil"/>
              <w:bottom w:val="nil"/>
              <w:right w:val="nil"/>
            </w:tcBorders>
            <w:shd w:val="clear" w:color="auto" w:fill="auto"/>
            <w:noWrap/>
            <w:vAlign w:val="center"/>
          </w:tcPr>
          <w:p w14:paraId="7B355ECA" w14:textId="58B2E620" w:rsidR="00AD6E87" w:rsidRPr="00E20D21" w:rsidRDefault="003C2E6C" w:rsidP="00AD6E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2.488.149</w:t>
            </w:r>
          </w:p>
        </w:tc>
        <w:tc>
          <w:tcPr>
            <w:tcW w:w="642" w:type="pct"/>
            <w:tcBorders>
              <w:top w:val="nil"/>
              <w:left w:val="nil"/>
              <w:bottom w:val="nil"/>
              <w:right w:val="nil"/>
            </w:tcBorders>
            <w:shd w:val="clear" w:color="auto" w:fill="auto"/>
            <w:noWrap/>
            <w:vAlign w:val="center"/>
          </w:tcPr>
          <w:p w14:paraId="49827181" w14:textId="613BCE8C" w:rsidR="00AD6E87" w:rsidRPr="00E20D21" w:rsidRDefault="003C2E6C" w:rsidP="00AD6E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10.963.812</w:t>
            </w:r>
          </w:p>
        </w:tc>
      </w:tr>
      <w:tr w:rsidR="00A47C19" w:rsidRPr="00E20D21" w14:paraId="11D907D2" w14:textId="77777777" w:rsidTr="005E257A">
        <w:trPr>
          <w:trHeight w:val="283"/>
        </w:trPr>
        <w:tc>
          <w:tcPr>
            <w:tcW w:w="1857" w:type="pct"/>
            <w:tcBorders>
              <w:top w:val="nil"/>
              <w:left w:val="nil"/>
              <w:bottom w:val="nil"/>
              <w:right w:val="nil"/>
            </w:tcBorders>
            <w:shd w:val="clear" w:color="auto" w:fill="auto"/>
            <w:noWrap/>
            <w:vAlign w:val="center"/>
            <w:hideMark/>
          </w:tcPr>
          <w:p w14:paraId="115330C1" w14:textId="77777777" w:rsidR="00AD6E87" w:rsidRPr="00E20D21" w:rsidRDefault="00AD6E87" w:rsidP="00AD6E87">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Instrumentos financeiros derivativos</w:t>
            </w:r>
          </w:p>
        </w:tc>
        <w:tc>
          <w:tcPr>
            <w:tcW w:w="643" w:type="pct"/>
            <w:tcBorders>
              <w:top w:val="nil"/>
              <w:left w:val="nil"/>
              <w:bottom w:val="nil"/>
              <w:right w:val="nil"/>
            </w:tcBorders>
            <w:vAlign w:val="center"/>
          </w:tcPr>
          <w:p w14:paraId="079738AB" w14:textId="2FF9A3E9" w:rsidR="00AD6E87" w:rsidRPr="00E20D21" w:rsidRDefault="003C2E6C"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7.248</w:t>
            </w:r>
          </w:p>
        </w:tc>
        <w:tc>
          <w:tcPr>
            <w:tcW w:w="644" w:type="pct"/>
            <w:tcBorders>
              <w:top w:val="nil"/>
              <w:left w:val="nil"/>
              <w:bottom w:val="nil"/>
              <w:right w:val="nil"/>
            </w:tcBorders>
            <w:shd w:val="clear" w:color="auto" w:fill="auto"/>
            <w:noWrap/>
            <w:vAlign w:val="center"/>
          </w:tcPr>
          <w:p w14:paraId="3F821954" w14:textId="2870AFA4" w:rsidR="00AD6E87" w:rsidRPr="00E20D21" w:rsidRDefault="003C2E6C"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7.229</w:t>
            </w:r>
          </w:p>
        </w:tc>
        <w:tc>
          <w:tcPr>
            <w:tcW w:w="572" w:type="pct"/>
            <w:tcBorders>
              <w:top w:val="nil"/>
              <w:left w:val="nil"/>
              <w:bottom w:val="nil"/>
              <w:right w:val="nil"/>
            </w:tcBorders>
            <w:shd w:val="clear" w:color="auto" w:fill="auto"/>
            <w:noWrap/>
            <w:vAlign w:val="center"/>
          </w:tcPr>
          <w:p w14:paraId="7D1294B6" w14:textId="0836BE8E" w:rsidR="00AD6E87" w:rsidRPr="00E20D21" w:rsidRDefault="003C2E6C" w:rsidP="00AD6E87">
            <w:pPr>
              <w:jc w:val="center"/>
              <w:rPr>
                <w:rFonts w:ascii="CAIXA Std Book" w:eastAsia="Times New Roman" w:hAnsi="CAIXA Std Book" w:cs="Aldhabi"/>
                <w:color w:val="005CA9"/>
                <w:sz w:val="16"/>
                <w:szCs w:val="16"/>
              </w:rPr>
            </w:pPr>
            <w:r w:rsidRPr="00E20D21">
              <w:rPr>
                <w:rFonts w:ascii="CAIXA Std Book" w:hAnsi="CAIXA Std Book" w:cs="Calibri"/>
                <w:color w:val="005CA9"/>
                <w:sz w:val="16"/>
                <w:szCs w:val="16"/>
              </w:rPr>
              <w:t>-</w:t>
            </w:r>
          </w:p>
        </w:tc>
        <w:tc>
          <w:tcPr>
            <w:tcW w:w="642" w:type="pct"/>
            <w:tcBorders>
              <w:top w:val="nil"/>
              <w:left w:val="nil"/>
              <w:bottom w:val="nil"/>
              <w:right w:val="nil"/>
            </w:tcBorders>
            <w:shd w:val="clear" w:color="auto" w:fill="auto"/>
            <w:noWrap/>
            <w:vAlign w:val="center"/>
          </w:tcPr>
          <w:p w14:paraId="4CE00B38" w14:textId="22BF1F68" w:rsidR="00AD6E87" w:rsidRPr="00E20D21" w:rsidRDefault="003C2E6C" w:rsidP="00AD6E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7.229</w:t>
            </w:r>
          </w:p>
        </w:tc>
        <w:tc>
          <w:tcPr>
            <w:tcW w:w="642" w:type="pct"/>
            <w:tcBorders>
              <w:top w:val="nil"/>
              <w:left w:val="nil"/>
              <w:bottom w:val="nil"/>
              <w:right w:val="nil"/>
            </w:tcBorders>
            <w:shd w:val="clear" w:color="auto" w:fill="auto"/>
            <w:noWrap/>
            <w:vAlign w:val="center"/>
          </w:tcPr>
          <w:p w14:paraId="4A1B3BFC" w14:textId="2CE5D1F7" w:rsidR="00AD6E87" w:rsidRPr="00E20D21" w:rsidRDefault="003C2E6C" w:rsidP="00AD6E87">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31D94E89" w14:textId="77777777" w:rsidTr="005E257A">
        <w:trPr>
          <w:trHeight w:val="283"/>
        </w:trPr>
        <w:tc>
          <w:tcPr>
            <w:tcW w:w="1857" w:type="pct"/>
            <w:tcBorders>
              <w:top w:val="nil"/>
              <w:left w:val="nil"/>
              <w:right w:val="nil"/>
            </w:tcBorders>
            <w:shd w:val="clear" w:color="auto" w:fill="auto"/>
            <w:noWrap/>
            <w:vAlign w:val="center"/>
            <w:hideMark/>
          </w:tcPr>
          <w:p w14:paraId="4E0DAB86" w14:textId="77777777" w:rsidR="00AD6E87" w:rsidRPr="00E20D21" w:rsidRDefault="00AD6E87" w:rsidP="00AD6E87">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Carteira de crédito</w:t>
            </w:r>
          </w:p>
        </w:tc>
        <w:tc>
          <w:tcPr>
            <w:tcW w:w="643" w:type="pct"/>
            <w:tcBorders>
              <w:top w:val="nil"/>
              <w:left w:val="nil"/>
              <w:right w:val="nil"/>
            </w:tcBorders>
            <w:vAlign w:val="center"/>
          </w:tcPr>
          <w:p w14:paraId="15284FD7" w14:textId="3BE64A91" w:rsidR="00AD6E87" w:rsidRPr="00E20D21" w:rsidRDefault="003C2E6C"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1.174.179.348</w:t>
            </w:r>
          </w:p>
        </w:tc>
        <w:tc>
          <w:tcPr>
            <w:tcW w:w="644" w:type="pct"/>
            <w:tcBorders>
              <w:top w:val="nil"/>
              <w:left w:val="nil"/>
              <w:right w:val="nil"/>
            </w:tcBorders>
            <w:shd w:val="clear" w:color="auto" w:fill="auto"/>
            <w:noWrap/>
            <w:vAlign w:val="center"/>
          </w:tcPr>
          <w:p w14:paraId="7D7A2245" w14:textId="5BEC4E2F" w:rsidR="00AD6E87" w:rsidRPr="00E20D21" w:rsidRDefault="003C2E6C"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965.911.522</w:t>
            </w:r>
          </w:p>
        </w:tc>
        <w:tc>
          <w:tcPr>
            <w:tcW w:w="572" w:type="pct"/>
            <w:tcBorders>
              <w:top w:val="nil"/>
              <w:left w:val="nil"/>
              <w:right w:val="nil"/>
            </w:tcBorders>
            <w:shd w:val="clear" w:color="auto" w:fill="auto"/>
            <w:noWrap/>
            <w:vAlign w:val="center"/>
          </w:tcPr>
          <w:p w14:paraId="5181B52A" w14:textId="3A388AFB" w:rsidR="00AD6E87" w:rsidRPr="00E20D21" w:rsidRDefault="003C2E6C" w:rsidP="00AD6E87">
            <w:pPr>
              <w:jc w:val="center"/>
              <w:rPr>
                <w:rFonts w:ascii="CAIXA Std Book" w:eastAsia="Times New Roman" w:hAnsi="CAIXA Std Book" w:cs="Aldhabi"/>
                <w:color w:val="005CA9"/>
                <w:sz w:val="16"/>
                <w:szCs w:val="16"/>
              </w:rPr>
            </w:pPr>
            <w:r w:rsidRPr="00E20D21">
              <w:rPr>
                <w:rFonts w:ascii="CAIXA Std Book" w:hAnsi="CAIXA Std Book" w:cs="Calibri"/>
                <w:color w:val="005CA9"/>
                <w:sz w:val="16"/>
                <w:szCs w:val="16"/>
              </w:rPr>
              <w:t>-</w:t>
            </w:r>
          </w:p>
        </w:tc>
        <w:tc>
          <w:tcPr>
            <w:tcW w:w="642" w:type="pct"/>
            <w:tcBorders>
              <w:top w:val="nil"/>
              <w:left w:val="nil"/>
              <w:right w:val="nil"/>
            </w:tcBorders>
            <w:shd w:val="clear" w:color="auto" w:fill="auto"/>
            <w:noWrap/>
            <w:vAlign w:val="center"/>
          </w:tcPr>
          <w:p w14:paraId="780FEF16" w14:textId="63EEB160" w:rsidR="00AD6E87" w:rsidRPr="00E20D21" w:rsidRDefault="003C2E6C" w:rsidP="00AD6E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965.911.522</w:t>
            </w:r>
          </w:p>
        </w:tc>
        <w:tc>
          <w:tcPr>
            <w:tcW w:w="642" w:type="pct"/>
            <w:tcBorders>
              <w:top w:val="nil"/>
              <w:left w:val="nil"/>
              <w:right w:val="nil"/>
            </w:tcBorders>
            <w:shd w:val="clear" w:color="auto" w:fill="auto"/>
            <w:noWrap/>
            <w:vAlign w:val="center"/>
          </w:tcPr>
          <w:p w14:paraId="16540F3D" w14:textId="4157F19F" w:rsidR="00AD6E87" w:rsidRPr="00E20D21" w:rsidRDefault="003C2E6C" w:rsidP="00AD6E87">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44E21A66" w14:textId="77777777" w:rsidTr="005E257A">
        <w:trPr>
          <w:trHeight w:val="283"/>
        </w:trPr>
        <w:tc>
          <w:tcPr>
            <w:tcW w:w="1857" w:type="pct"/>
            <w:tcBorders>
              <w:top w:val="nil"/>
              <w:left w:val="nil"/>
              <w:right w:val="nil"/>
            </w:tcBorders>
            <w:shd w:val="clear" w:color="auto" w:fill="auto"/>
            <w:noWrap/>
            <w:vAlign w:val="center"/>
            <w:hideMark/>
          </w:tcPr>
          <w:p w14:paraId="78A69A29" w14:textId="77777777" w:rsidR="00AD6E87" w:rsidRPr="00E20D21" w:rsidRDefault="00AD6E87" w:rsidP="00AD6E87">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Outros ativos financeiros</w:t>
            </w:r>
          </w:p>
        </w:tc>
        <w:tc>
          <w:tcPr>
            <w:tcW w:w="643" w:type="pct"/>
            <w:tcBorders>
              <w:top w:val="nil"/>
              <w:left w:val="nil"/>
              <w:right w:val="nil"/>
            </w:tcBorders>
            <w:vAlign w:val="center"/>
          </w:tcPr>
          <w:p w14:paraId="6E3E431C" w14:textId="723AE1D5" w:rsidR="00AD6E87" w:rsidRPr="00E20D21" w:rsidRDefault="003C2E6C"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61.610.509</w:t>
            </w:r>
          </w:p>
        </w:tc>
        <w:tc>
          <w:tcPr>
            <w:tcW w:w="644" w:type="pct"/>
            <w:tcBorders>
              <w:top w:val="nil"/>
              <w:left w:val="nil"/>
              <w:right w:val="nil"/>
            </w:tcBorders>
            <w:shd w:val="clear" w:color="auto" w:fill="auto"/>
            <w:noWrap/>
            <w:vAlign w:val="center"/>
          </w:tcPr>
          <w:p w14:paraId="2A75002C" w14:textId="29A8F0BE" w:rsidR="00AD6E87" w:rsidRPr="00E20D21" w:rsidRDefault="003C2E6C" w:rsidP="00AD6E87">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55.301.141</w:t>
            </w:r>
          </w:p>
        </w:tc>
        <w:tc>
          <w:tcPr>
            <w:tcW w:w="572" w:type="pct"/>
            <w:tcBorders>
              <w:top w:val="nil"/>
              <w:left w:val="nil"/>
              <w:right w:val="nil"/>
            </w:tcBorders>
            <w:shd w:val="clear" w:color="auto" w:fill="auto"/>
            <w:noWrap/>
            <w:vAlign w:val="center"/>
          </w:tcPr>
          <w:p w14:paraId="65945367" w14:textId="15DE7BC0" w:rsidR="00AD6E87" w:rsidRPr="00E20D21" w:rsidRDefault="003C2E6C" w:rsidP="00AD6E87">
            <w:pPr>
              <w:jc w:val="center"/>
              <w:rPr>
                <w:rFonts w:ascii="CAIXA Std Book" w:eastAsia="Times New Roman" w:hAnsi="CAIXA Std Book" w:cs="Aldhabi"/>
                <w:color w:val="005CA9"/>
                <w:sz w:val="16"/>
                <w:szCs w:val="16"/>
              </w:rPr>
            </w:pPr>
            <w:r w:rsidRPr="00E20D21">
              <w:rPr>
                <w:rFonts w:ascii="CAIXA Std Book" w:hAnsi="CAIXA Std Book" w:cs="Calibri"/>
                <w:color w:val="005CA9"/>
                <w:sz w:val="16"/>
                <w:szCs w:val="16"/>
              </w:rPr>
              <w:t>-</w:t>
            </w:r>
          </w:p>
        </w:tc>
        <w:tc>
          <w:tcPr>
            <w:tcW w:w="642" w:type="pct"/>
            <w:tcBorders>
              <w:top w:val="nil"/>
              <w:left w:val="nil"/>
              <w:right w:val="nil"/>
            </w:tcBorders>
            <w:shd w:val="clear" w:color="auto" w:fill="auto"/>
            <w:noWrap/>
            <w:vAlign w:val="center"/>
          </w:tcPr>
          <w:p w14:paraId="065071D6" w14:textId="5496D3DA" w:rsidR="00AD6E87" w:rsidRPr="00E20D21" w:rsidRDefault="003C2E6C" w:rsidP="00AD6E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55.301.141</w:t>
            </w:r>
          </w:p>
        </w:tc>
        <w:tc>
          <w:tcPr>
            <w:tcW w:w="642" w:type="pct"/>
            <w:tcBorders>
              <w:top w:val="nil"/>
              <w:left w:val="nil"/>
              <w:right w:val="nil"/>
            </w:tcBorders>
            <w:shd w:val="clear" w:color="auto" w:fill="auto"/>
            <w:noWrap/>
            <w:vAlign w:val="center"/>
          </w:tcPr>
          <w:p w14:paraId="572BC2EE" w14:textId="6D62C89F" w:rsidR="00AD6E87" w:rsidRPr="00E20D21" w:rsidRDefault="003C2E6C" w:rsidP="00AD6E87">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49E9E7B0" w14:textId="77777777" w:rsidTr="005E257A">
        <w:trPr>
          <w:trHeight w:val="283"/>
        </w:trPr>
        <w:tc>
          <w:tcPr>
            <w:tcW w:w="1857" w:type="pct"/>
            <w:tcBorders>
              <w:left w:val="nil"/>
              <w:bottom w:val="nil"/>
              <w:right w:val="nil"/>
            </w:tcBorders>
            <w:shd w:val="clear" w:color="auto" w:fill="auto"/>
            <w:noWrap/>
            <w:vAlign w:val="center"/>
            <w:hideMark/>
          </w:tcPr>
          <w:p w14:paraId="311B9126" w14:textId="77777777" w:rsidR="00413D7C" w:rsidRPr="00E20D21" w:rsidRDefault="00413D7C" w:rsidP="00193DCE">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PASSIVO</w:t>
            </w:r>
          </w:p>
        </w:tc>
        <w:tc>
          <w:tcPr>
            <w:tcW w:w="643" w:type="pct"/>
            <w:tcBorders>
              <w:left w:val="nil"/>
              <w:bottom w:val="nil"/>
              <w:right w:val="nil"/>
            </w:tcBorders>
            <w:vAlign w:val="center"/>
          </w:tcPr>
          <w:p w14:paraId="79A42D51" w14:textId="77777777" w:rsidR="00413D7C" w:rsidRPr="00E20D21" w:rsidRDefault="00413D7C" w:rsidP="00193DCE">
            <w:pPr>
              <w:jc w:val="right"/>
              <w:rPr>
                <w:rFonts w:ascii="CAIXA Std Book" w:eastAsia="Times New Roman" w:hAnsi="CAIXA Std Book" w:cs="Aldhabi"/>
                <w:b/>
                <w:color w:val="005CA9"/>
                <w:sz w:val="16"/>
                <w:szCs w:val="16"/>
              </w:rPr>
            </w:pPr>
          </w:p>
        </w:tc>
        <w:tc>
          <w:tcPr>
            <w:tcW w:w="644" w:type="pct"/>
            <w:tcBorders>
              <w:left w:val="nil"/>
              <w:bottom w:val="nil"/>
              <w:right w:val="nil"/>
            </w:tcBorders>
            <w:shd w:val="clear" w:color="auto" w:fill="auto"/>
            <w:noWrap/>
            <w:vAlign w:val="center"/>
          </w:tcPr>
          <w:p w14:paraId="099C2D55" w14:textId="7C704215" w:rsidR="00413D7C" w:rsidRPr="00E20D21" w:rsidRDefault="00413D7C" w:rsidP="00193DCE">
            <w:pPr>
              <w:jc w:val="right"/>
              <w:rPr>
                <w:rFonts w:ascii="CAIXA Std Book" w:eastAsia="Times New Roman" w:hAnsi="CAIXA Std Book" w:cs="Aldhabi"/>
                <w:b/>
                <w:color w:val="005CA9"/>
                <w:sz w:val="16"/>
                <w:szCs w:val="16"/>
              </w:rPr>
            </w:pPr>
          </w:p>
        </w:tc>
        <w:tc>
          <w:tcPr>
            <w:tcW w:w="572" w:type="pct"/>
            <w:tcBorders>
              <w:left w:val="nil"/>
              <w:bottom w:val="nil"/>
              <w:right w:val="nil"/>
            </w:tcBorders>
            <w:shd w:val="clear" w:color="auto" w:fill="auto"/>
            <w:noWrap/>
            <w:vAlign w:val="center"/>
          </w:tcPr>
          <w:p w14:paraId="4783D724" w14:textId="77777777" w:rsidR="00413D7C" w:rsidRPr="00E20D21" w:rsidRDefault="00413D7C" w:rsidP="00147240">
            <w:pPr>
              <w:jc w:val="center"/>
              <w:rPr>
                <w:rFonts w:ascii="CAIXA Std Book" w:eastAsia="Times New Roman" w:hAnsi="CAIXA Std Book" w:cs="Aldhabi"/>
                <w:color w:val="005CA9"/>
                <w:sz w:val="16"/>
                <w:szCs w:val="16"/>
              </w:rPr>
            </w:pPr>
          </w:p>
        </w:tc>
        <w:tc>
          <w:tcPr>
            <w:tcW w:w="642" w:type="pct"/>
            <w:tcBorders>
              <w:left w:val="nil"/>
              <w:bottom w:val="nil"/>
              <w:right w:val="nil"/>
            </w:tcBorders>
            <w:shd w:val="clear" w:color="auto" w:fill="auto"/>
            <w:noWrap/>
            <w:vAlign w:val="center"/>
          </w:tcPr>
          <w:p w14:paraId="27E161F0" w14:textId="77777777" w:rsidR="00413D7C" w:rsidRPr="00E20D21" w:rsidRDefault="00413D7C" w:rsidP="00193DCE">
            <w:pPr>
              <w:jc w:val="right"/>
              <w:rPr>
                <w:rFonts w:ascii="CAIXA Std Book" w:eastAsia="Times New Roman" w:hAnsi="CAIXA Std Book" w:cs="Times New Roman"/>
                <w:color w:val="005CA9"/>
                <w:sz w:val="16"/>
                <w:szCs w:val="16"/>
              </w:rPr>
            </w:pPr>
          </w:p>
        </w:tc>
        <w:tc>
          <w:tcPr>
            <w:tcW w:w="642" w:type="pct"/>
            <w:tcBorders>
              <w:left w:val="nil"/>
              <w:bottom w:val="nil"/>
              <w:right w:val="nil"/>
            </w:tcBorders>
            <w:shd w:val="clear" w:color="auto" w:fill="auto"/>
            <w:noWrap/>
            <w:vAlign w:val="center"/>
          </w:tcPr>
          <w:p w14:paraId="0C76F035" w14:textId="77777777" w:rsidR="00413D7C" w:rsidRPr="00E20D21" w:rsidRDefault="00413D7C" w:rsidP="00193DCE">
            <w:pPr>
              <w:jc w:val="right"/>
              <w:rPr>
                <w:rFonts w:ascii="CAIXA Std Book" w:eastAsia="Times New Roman" w:hAnsi="CAIXA Std Book" w:cs="Times New Roman"/>
                <w:color w:val="005CA9"/>
                <w:sz w:val="16"/>
                <w:szCs w:val="16"/>
              </w:rPr>
            </w:pPr>
          </w:p>
        </w:tc>
      </w:tr>
      <w:tr w:rsidR="00B153D9" w:rsidRPr="00E20D21" w14:paraId="0D29A597" w14:textId="77777777" w:rsidTr="005E257A">
        <w:trPr>
          <w:trHeight w:val="283"/>
        </w:trPr>
        <w:tc>
          <w:tcPr>
            <w:tcW w:w="1857" w:type="pct"/>
            <w:tcBorders>
              <w:top w:val="nil"/>
              <w:left w:val="nil"/>
              <w:bottom w:val="nil"/>
              <w:right w:val="nil"/>
            </w:tcBorders>
            <w:shd w:val="clear" w:color="auto" w:fill="auto"/>
            <w:noWrap/>
            <w:vAlign w:val="center"/>
            <w:hideMark/>
          </w:tcPr>
          <w:p w14:paraId="2D6A1AE3" w14:textId="77777777" w:rsidR="00B153D9" w:rsidRPr="00E20D21" w:rsidRDefault="00B153D9" w:rsidP="00B153D9">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xml:space="preserve">Passivos Financeiros </w:t>
            </w:r>
          </w:p>
        </w:tc>
        <w:tc>
          <w:tcPr>
            <w:tcW w:w="643" w:type="pct"/>
            <w:tcBorders>
              <w:top w:val="nil"/>
              <w:left w:val="nil"/>
              <w:bottom w:val="nil"/>
              <w:right w:val="nil"/>
            </w:tcBorders>
            <w:vAlign w:val="center"/>
          </w:tcPr>
          <w:p w14:paraId="6FEB2741" w14:textId="54B283B6" w:rsidR="00B153D9" w:rsidRPr="00E20D21" w:rsidRDefault="00B153D9" w:rsidP="00B153D9">
            <w:pPr>
              <w:jc w:val="right"/>
              <w:rPr>
                <w:rFonts w:ascii="CAIXA Std Book" w:eastAsia="Times New Roman" w:hAnsi="CAIXA Std Book" w:cs="Aldhabi"/>
                <w:b/>
                <w:color w:val="005CA9"/>
                <w:sz w:val="16"/>
                <w:szCs w:val="16"/>
              </w:rPr>
            </w:pPr>
            <w:r w:rsidRPr="00E20D21">
              <w:rPr>
                <w:rFonts w:ascii="CAIXA Std Book" w:hAnsi="CAIXA Std Book" w:cs="Calibri"/>
                <w:b/>
                <w:bCs/>
                <w:color w:val="005CA9"/>
                <w:sz w:val="16"/>
                <w:szCs w:val="16"/>
              </w:rPr>
              <w:t>1.689.671.293</w:t>
            </w:r>
          </w:p>
        </w:tc>
        <w:tc>
          <w:tcPr>
            <w:tcW w:w="644" w:type="pct"/>
            <w:tcBorders>
              <w:top w:val="nil"/>
              <w:left w:val="nil"/>
              <w:bottom w:val="nil"/>
              <w:right w:val="nil"/>
            </w:tcBorders>
            <w:shd w:val="clear" w:color="auto" w:fill="auto"/>
            <w:noWrap/>
            <w:vAlign w:val="center"/>
          </w:tcPr>
          <w:p w14:paraId="5A964909" w14:textId="5D6582C0" w:rsidR="00B153D9" w:rsidRPr="00E20D21" w:rsidRDefault="00B153D9" w:rsidP="00B153D9">
            <w:pPr>
              <w:jc w:val="right"/>
              <w:rPr>
                <w:rFonts w:ascii="CAIXA Std Book" w:eastAsia="Times New Roman" w:hAnsi="CAIXA Std Book" w:cs="Aldhabi"/>
                <w:b/>
                <w:color w:val="005CA9"/>
                <w:sz w:val="16"/>
                <w:szCs w:val="16"/>
              </w:rPr>
            </w:pPr>
            <w:r w:rsidRPr="00E20D21">
              <w:rPr>
                <w:rFonts w:ascii="CAIXA Std Book" w:hAnsi="CAIXA Std Book" w:cs="Calibri"/>
                <w:b/>
                <w:bCs/>
                <w:color w:val="005CA9"/>
                <w:sz w:val="16"/>
                <w:szCs w:val="16"/>
              </w:rPr>
              <w:t>1.475.768.461</w:t>
            </w:r>
          </w:p>
        </w:tc>
        <w:tc>
          <w:tcPr>
            <w:tcW w:w="572" w:type="pct"/>
            <w:tcBorders>
              <w:top w:val="nil"/>
              <w:left w:val="nil"/>
              <w:bottom w:val="nil"/>
              <w:right w:val="nil"/>
            </w:tcBorders>
            <w:shd w:val="clear" w:color="auto" w:fill="auto"/>
            <w:noWrap/>
            <w:vAlign w:val="center"/>
          </w:tcPr>
          <w:p w14:paraId="527CBE8D" w14:textId="2559B1AC" w:rsidR="00B153D9" w:rsidRPr="00E20D21" w:rsidRDefault="00B153D9" w:rsidP="00B153D9">
            <w:pPr>
              <w:jc w:val="center"/>
              <w:rPr>
                <w:rFonts w:ascii="CAIXA Std Book" w:hAnsi="CAIXA Std Book" w:cs="Aldhabi"/>
                <w:b/>
                <w:color w:val="005CA9"/>
                <w:sz w:val="16"/>
                <w:szCs w:val="16"/>
              </w:rPr>
            </w:pPr>
            <w:r w:rsidRPr="00E20D21">
              <w:rPr>
                <w:rFonts w:ascii="CAIXA Std Book" w:hAnsi="CAIXA Std Book" w:cs="Calibri"/>
                <w:b/>
                <w:bCs/>
                <w:color w:val="005CA9"/>
                <w:sz w:val="16"/>
                <w:szCs w:val="16"/>
              </w:rPr>
              <w:t>-</w:t>
            </w:r>
          </w:p>
        </w:tc>
        <w:tc>
          <w:tcPr>
            <w:tcW w:w="642" w:type="pct"/>
            <w:tcBorders>
              <w:top w:val="nil"/>
              <w:left w:val="nil"/>
              <w:bottom w:val="nil"/>
              <w:right w:val="nil"/>
            </w:tcBorders>
            <w:shd w:val="clear" w:color="auto" w:fill="auto"/>
            <w:noWrap/>
            <w:vAlign w:val="center"/>
          </w:tcPr>
          <w:p w14:paraId="16A710B9" w14:textId="25D66E89" w:rsidR="00B153D9" w:rsidRPr="00E20D21" w:rsidRDefault="00B153D9" w:rsidP="00B153D9">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794.798.327</w:t>
            </w:r>
          </w:p>
        </w:tc>
        <w:tc>
          <w:tcPr>
            <w:tcW w:w="642" w:type="pct"/>
            <w:tcBorders>
              <w:top w:val="nil"/>
              <w:left w:val="nil"/>
              <w:bottom w:val="nil"/>
              <w:right w:val="nil"/>
            </w:tcBorders>
            <w:shd w:val="clear" w:color="auto" w:fill="auto"/>
            <w:noWrap/>
            <w:vAlign w:val="center"/>
          </w:tcPr>
          <w:p w14:paraId="22395975" w14:textId="00037B72" w:rsidR="00B153D9" w:rsidRPr="00E20D21" w:rsidRDefault="00B153D9" w:rsidP="00B153D9">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680.970.134</w:t>
            </w:r>
          </w:p>
        </w:tc>
      </w:tr>
      <w:tr w:rsidR="00BC234E" w:rsidRPr="00E20D21" w14:paraId="77BA4D60" w14:textId="77777777" w:rsidTr="005E257A">
        <w:trPr>
          <w:trHeight w:val="283"/>
        </w:trPr>
        <w:tc>
          <w:tcPr>
            <w:tcW w:w="1857" w:type="pct"/>
            <w:tcBorders>
              <w:top w:val="nil"/>
              <w:left w:val="nil"/>
              <w:bottom w:val="nil"/>
              <w:right w:val="nil"/>
            </w:tcBorders>
            <w:shd w:val="clear" w:color="auto" w:fill="auto"/>
            <w:noWrap/>
            <w:vAlign w:val="center"/>
            <w:hideMark/>
          </w:tcPr>
          <w:p w14:paraId="45A4FE9F" w14:textId="77777777" w:rsidR="00BC234E" w:rsidRPr="00E20D21" w:rsidRDefault="00BC234E" w:rsidP="00BC234E">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clientes</w:t>
            </w:r>
          </w:p>
        </w:tc>
        <w:tc>
          <w:tcPr>
            <w:tcW w:w="643" w:type="pct"/>
            <w:tcBorders>
              <w:top w:val="nil"/>
              <w:left w:val="nil"/>
              <w:bottom w:val="nil"/>
              <w:right w:val="nil"/>
            </w:tcBorders>
            <w:vAlign w:val="center"/>
          </w:tcPr>
          <w:p w14:paraId="65C902E2" w14:textId="630D7D56" w:rsidR="00BC234E" w:rsidRPr="00E20D21" w:rsidRDefault="00BC234E" w:rsidP="00BC234E">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741.191.576</w:t>
            </w:r>
          </w:p>
        </w:tc>
        <w:tc>
          <w:tcPr>
            <w:tcW w:w="644" w:type="pct"/>
            <w:tcBorders>
              <w:top w:val="nil"/>
              <w:left w:val="nil"/>
              <w:bottom w:val="nil"/>
              <w:right w:val="nil"/>
            </w:tcBorders>
            <w:shd w:val="clear" w:color="auto" w:fill="auto"/>
            <w:noWrap/>
            <w:vAlign w:val="center"/>
          </w:tcPr>
          <w:p w14:paraId="6B80923B" w14:textId="44437AB2" w:rsidR="00BC234E" w:rsidRPr="00E20D21" w:rsidRDefault="00BC234E" w:rsidP="00BC234E">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680.970.134</w:t>
            </w:r>
          </w:p>
        </w:tc>
        <w:tc>
          <w:tcPr>
            <w:tcW w:w="572" w:type="pct"/>
            <w:tcBorders>
              <w:top w:val="nil"/>
              <w:left w:val="nil"/>
              <w:bottom w:val="nil"/>
              <w:right w:val="nil"/>
            </w:tcBorders>
            <w:shd w:val="clear" w:color="auto" w:fill="auto"/>
            <w:noWrap/>
            <w:vAlign w:val="center"/>
          </w:tcPr>
          <w:p w14:paraId="3E76E47C" w14:textId="477512A3" w:rsidR="00BC234E" w:rsidRPr="00E20D21" w:rsidRDefault="00BC234E" w:rsidP="00BC234E">
            <w:pPr>
              <w:jc w:val="center"/>
              <w:rPr>
                <w:rFonts w:ascii="CAIXA Std Book" w:eastAsia="Times New Roman" w:hAnsi="CAIXA Std Book" w:cs="Aldhabi"/>
                <w:color w:val="005CA9"/>
                <w:sz w:val="16"/>
                <w:szCs w:val="16"/>
              </w:rPr>
            </w:pPr>
            <w:r w:rsidRPr="00E20D21">
              <w:rPr>
                <w:rFonts w:ascii="CAIXA Std Book" w:hAnsi="CAIXA Std Book" w:cs="Calibri"/>
                <w:color w:val="005CA9"/>
                <w:sz w:val="16"/>
                <w:szCs w:val="16"/>
              </w:rPr>
              <w:t>-</w:t>
            </w:r>
          </w:p>
        </w:tc>
        <w:tc>
          <w:tcPr>
            <w:tcW w:w="642" w:type="pct"/>
            <w:tcBorders>
              <w:top w:val="nil"/>
              <w:left w:val="nil"/>
              <w:bottom w:val="nil"/>
              <w:right w:val="nil"/>
            </w:tcBorders>
            <w:shd w:val="clear" w:color="auto" w:fill="auto"/>
            <w:noWrap/>
            <w:vAlign w:val="center"/>
          </w:tcPr>
          <w:p w14:paraId="7228370B" w14:textId="77F9D083" w:rsidR="00BC234E" w:rsidRPr="00E20D21" w:rsidRDefault="00BC234E" w:rsidP="00C14256">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c>
          <w:tcPr>
            <w:tcW w:w="642" w:type="pct"/>
            <w:tcBorders>
              <w:top w:val="nil"/>
              <w:left w:val="nil"/>
              <w:bottom w:val="nil"/>
              <w:right w:val="nil"/>
            </w:tcBorders>
            <w:shd w:val="clear" w:color="auto" w:fill="auto"/>
            <w:noWrap/>
            <w:vAlign w:val="center"/>
          </w:tcPr>
          <w:p w14:paraId="0BD4A493" w14:textId="1F7D8C0C" w:rsidR="00BC234E" w:rsidRPr="00E20D21" w:rsidRDefault="00BC234E" w:rsidP="00BC234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680.970.134</w:t>
            </w:r>
          </w:p>
        </w:tc>
      </w:tr>
      <w:tr w:rsidR="00BC234E" w:rsidRPr="00E20D21" w14:paraId="485F8B3C" w14:textId="77777777" w:rsidTr="005E257A">
        <w:trPr>
          <w:trHeight w:val="283"/>
        </w:trPr>
        <w:tc>
          <w:tcPr>
            <w:tcW w:w="1857" w:type="pct"/>
            <w:tcBorders>
              <w:top w:val="nil"/>
              <w:left w:val="nil"/>
              <w:right w:val="nil"/>
            </w:tcBorders>
            <w:shd w:val="clear" w:color="auto" w:fill="auto"/>
            <w:noWrap/>
            <w:vAlign w:val="center"/>
            <w:hideMark/>
          </w:tcPr>
          <w:p w14:paraId="11C23B4B" w14:textId="365DC83F" w:rsidR="00BC234E" w:rsidRPr="00E20D21" w:rsidRDefault="00BC234E" w:rsidP="00BC234E">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instituições financeiras e outras</w:t>
            </w:r>
          </w:p>
        </w:tc>
        <w:tc>
          <w:tcPr>
            <w:tcW w:w="643" w:type="pct"/>
            <w:tcBorders>
              <w:top w:val="nil"/>
              <w:left w:val="nil"/>
              <w:right w:val="nil"/>
            </w:tcBorders>
            <w:vAlign w:val="center"/>
          </w:tcPr>
          <w:p w14:paraId="16700497" w14:textId="76DD7405" w:rsidR="00BC234E" w:rsidRPr="00E20D21" w:rsidRDefault="00BC234E" w:rsidP="00BC234E">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692.098.001</w:t>
            </w:r>
          </w:p>
        </w:tc>
        <w:tc>
          <w:tcPr>
            <w:tcW w:w="644" w:type="pct"/>
            <w:tcBorders>
              <w:top w:val="nil"/>
              <w:left w:val="nil"/>
              <w:right w:val="nil"/>
            </w:tcBorders>
            <w:shd w:val="clear" w:color="auto" w:fill="auto"/>
            <w:noWrap/>
            <w:vAlign w:val="center"/>
          </w:tcPr>
          <w:p w14:paraId="636970E1" w14:textId="5697D66E" w:rsidR="00BC234E" w:rsidRPr="00E20D21" w:rsidRDefault="00BC234E" w:rsidP="00BC234E">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552.759.327</w:t>
            </w:r>
          </w:p>
        </w:tc>
        <w:tc>
          <w:tcPr>
            <w:tcW w:w="572" w:type="pct"/>
            <w:tcBorders>
              <w:top w:val="nil"/>
              <w:left w:val="nil"/>
              <w:right w:val="nil"/>
            </w:tcBorders>
            <w:shd w:val="clear" w:color="auto" w:fill="auto"/>
            <w:noWrap/>
            <w:vAlign w:val="center"/>
          </w:tcPr>
          <w:p w14:paraId="5F1C5043" w14:textId="0FFF8D23" w:rsidR="00BC234E" w:rsidRPr="00E20D21" w:rsidRDefault="00BC234E" w:rsidP="00BC234E">
            <w:pPr>
              <w:jc w:val="center"/>
              <w:rPr>
                <w:rFonts w:ascii="CAIXA Std Book" w:eastAsia="Times New Roman" w:hAnsi="CAIXA Std Book" w:cs="Aldhabi"/>
                <w:color w:val="005CA9"/>
                <w:sz w:val="16"/>
                <w:szCs w:val="16"/>
              </w:rPr>
            </w:pPr>
            <w:r w:rsidRPr="00E20D21">
              <w:rPr>
                <w:rFonts w:ascii="CAIXA Std Book" w:hAnsi="CAIXA Std Book" w:cs="Calibri"/>
                <w:color w:val="005CA9"/>
                <w:sz w:val="16"/>
                <w:szCs w:val="16"/>
              </w:rPr>
              <w:t>-</w:t>
            </w:r>
          </w:p>
        </w:tc>
        <w:tc>
          <w:tcPr>
            <w:tcW w:w="642" w:type="pct"/>
            <w:tcBorders>
              <w:top w:val="nil"/>
              <w:left w:val="nil"/>
              <w:right w:val="nil"/>
            </w:tcBorders>
            <w:shd w:val="clear" w:color="auto" w:fill="auto"/>
            <w:noWrap/>
            <w:vAlign w:val="center"/>
          </w:tcPr>
          <w:p w14:paraId="5C400317" w14:textId="0C0C7CE5" w:rsidR="00BC234E" w:rsidRPr="00E20D21" w:rsidRDefault="00BC234E" w:rsidP="00BC234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552.759.327</w:t>
            </w:r>
          </w:p>
        </w:tc>
        <w:tc>
          <w:tcPr>
            <w:tcW w:w="642" w:type="pct"/>
            <w:tcBorders>
              <w:top w:val="nil"/>
              <w:left w:val="nil"/>
              <w:right w:val="nil"/>
            </w:tcBorders>
            <w:shd w:val="clear" w:color="auto" w:fill="auto"/>
            <w:noWrap/>
            <w:vAlign w:val="center"/>
          </w:tcPr>
          <w:p w14:paraId="1EC360A6" w14:textId="25F2EFE4" w:rsidR="00BC234E" w:rsidRPr="00E20D21" w:rsidRDefault="00BC234E" w:rsidP="00BC234E">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0418B" w:rsidRPr="00E20D21" w14:paraId="42C6F5C0" w14:textId="77777777" w:rsidTr="005E257A">
        <w:trPr>
          <w:trHeight w:val="283"/>
        </w:trPr>
        <w:tc>
          <w:tcPr>
            <w:tcW w:w="1857" w:type="pct"/>
            <w:tcBorders>
              <w:top w:val="nil"/>
              <w:left w:val="nil"/>
              <w:bottom w:val="single" w:sz="4" w:space="0" w:color="F39200"/>
              <w:right w:val="nil"/>
            </w:tcBorders>
            <w:shd w:val="clear" w:color="auto" w:fill="auto"/>
            <w:noWrap/>
            <w:vAlign w:val="center"/>
            <w:hideMark/>
          </w:tcPr>
          <w:p w14:paraId="70A9D1E4" w14:textId="77777777" w:rsidR="00A0418B" w:rsidRPr="00E20D21" w:rsidRDefault="00A0418B" w:rsidP="00A0418B">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emissões de títulos e valores mobiliários</w:t>
            </w:r>
          </w:p>
        </w:tc>
        <w:tc>
          <w:tcPr>
            <w:tcW w:w="643" w:type="pct"/>
            <w:tcBorders>
              <w:top w:val="nil"/>
              <w:left w:val="nil"/>
              <w:bottom w:val="single" w:sz="4" w:space="0" w:color="F39200"/>
              <w:right w:val="nil"/>
            </w:tcBorders>
            <w:vAlign w:val="center"/>
          </w:tcPr>
          <w:p w14:paraId="0482CE4E" w14:textId="73F81643" w:rsidR="00A0418B" w:rsidRPr="00E20D21" w:rsidRDefault="00A0418B" w:rsidP="00A0418B">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256.381.716</w:t>
            </w:r>
          </w:p>
        </w:tc>
        <w:tc>
          <w:tcPr>
            <w:tcW w:w="644" w:type="pct"/>
            <w:tcBorders>
              <w:top w:val="nil"/>
              <w:left w:val="nil"/>
              <w:bottom w:val="single" w:sz="4" w:space="0" w:color="F39200"/>
              <w:right w:val="nil"/>
            </w:tcBorders>
            <w:shd w:val="clear" w:color="auto" w:fill="auto"/>
            <w:noWrap/>
            <w:vAlign w:val="center"/>
          </w:tcPr>
          <w:p w14:paraId="3DE60BAB" w14:textId="7E9067D4" w:rsidR="00A0418B" w:rsidRPr="00E20D21" w:rsidRDefault="00A0418B" w:rsidP="00A0418B">
            <w:pPr>
              <w:jc w:val="right"/>
              <w:rPr>
                <w:rFonts w:ascii="CAIXA Std Book" w:eastAsia="Times New Roman" w:hAnsi="CAIXA Std Book" w:cs="Aldhabi"/>
                <w:color w:val="005CA9"/>
                <w:sz w:val="16"/>
                <w:szCs w:val="16"/>
              </w:rPr>
            </w:pPr>
            <w:r w:rsidRPr="00E20D21">
              <w:rPr>
                <w:rFonts w:ascii="CAIXA Std Book" w:hAnsi="CAIXA Std Book" w:cs="Calibri"/>
                <w:color w:val="005CA9"/>
                <w:sz w:val="16"/>
                <w:szCs w:val="16"/>
              </w:rPr>
              <w:t>242.039.000</w:t>
            </w:r>
          </w:p>
        </w:tc>
        <w:tc>
          <w:tcPr>
            <w:tcW w:w="572" w:type="pct"/>
            <w:tcBorders>
              <w:top w:val="nil"/>
              <w:left w:val="nil"/>
              <w:bottom w:val="single" w:sz="4" w:space="0" w:color="F39200"/>
              <w:right w:val="nil"/>
            </w:tcBorders>
            <w:shd w:val="clear" w:color="auto" w:fill="auto"/>
            <w:noWrap/>
            <w:vAlign w:val="center"/>
          </w:tcPr>
          <w:p w14:paraId="3D5A7211" w14:textId="726D5866" w:rsidR="00A0418B" w:rsidRPr="00E20D21" w:rsidRDefault="00A0418B" w:rsidP="00A0418B">
            <w:pPr>
              <w:jc w:val="center"/>
              <w:rPr>
                <w:rFonts w:ascii="CAIXA Std Book" w:eastAsia="Times New Roman" w:hAnsi="CAIXA Std Book" w:cs="Aldhabi"/>
                <w:color w:val="005CA9"/>
                <w:sz w:val="16"/>
                <w:szCs w:val="16"/>
              </w:rPr>
            </w:pPr>
            <w:r w:rsidRPr="00E20D21">
              <w:rPr>
                <w:rFonts w:ascii="CAIXA Std Book" w:hAnsi="CAIXA Std Book" w:cs="Calibri"/>
                <w:color w:val="005CA9"/>
                <w:sz w:val="16"/>
                <w:szCs w:val="16"/>
              </w:rPr>
              <w:t>-</w:t>
            </w:r>
          </w:p>
        </w:tc>
        <w:tc>
          <w:tcPr>
            <w:tcW w:w="642" w:type="pct"/>
            <w:tcBorders>
              <w:top w:val="nil"/>
              <w:left w:val="nil"/>
              <w:bottom w:val="single" w:sz="4" w:space="0" w:color="F39200"/>
              <w:right w:val="nil"/>
            </w:tcBorders>
            <w:shd w:val="clear" w:color="auto" w:fill="auto"/>
            <w:noWrap/>
            <w:vAlign w:val="center"/>
          </w:tcPr>
          <w:p w14:paraId="51D6D2F0" w14:textId="1A163AEE" w:rsidR="00A0418B" w:rsidRPr="00E20D21" w:rsidRDefault="00A0418B" w:rsidP="00A0418B">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242.039.000</w:t>
            </w:r>
          </w:p>
        </w:tc>
        <w:tc>
          <w:tcPr>
            <w:tcW w:w="642" w:type="pct"/>
            <w:tcBorders>
              <w:top w:val="nil"/>
              <w:left w:val="nil"/>
              <w:bottom w:val="single" w:sz="4" w:space="0" w:color="F39200"/>
              <w:right w:val="nil"/>
            </w:tcBorders>
            <w:shd w:val="clear" w:color="auto" w:fill="auto"/>
            <w:noWrap/>
            <w:vAlign w:val="center"/>
          </w:tcPr>
          <w:p w14:paraId="39671615" w14:textId="55432B6F" w:rsidR="00A0418B" w:rsidRPr="00E20D21" w:rsidRDefault="00A0418B" w:rsidP="00A0418B">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r>
    </w:tbl>
    <w:p w14:paraId="4F7E8EC0" w14:textId="1C837EC6" w:rsidR="00631240" w:rsidRPr="00E20D21" w:rsidRDefault="00631240">
      <w:pPr>
        <w:rPr>
          <w:rFonts w:ascii="CAIXA Std Book" w:hAnsi="CAIXA Std Book"/>
          <w:b/>
          <w:color w:val="005CA9"/>
        </w:rPr>
      </w:pPr>
    </w:p>
    <w:p w14:paraId="7D395BCB" w14:textId="35E4F2D5" w:rsidR="00C96F2C" w:rsidRPr="00E20D21" w:rsidRDefault="00C96F2C">
      <w:pPr>
        <w:rPr>
          <w:rFonts w:ascii="CAIXA Std Book" w:hAnsi="CAIXA Std Book"/>
          <w:b/>
          <w:color w:val="005CA9"/>
        </w:rPr>
      </w:pPr>
      <w:r w:rsidRPr="00E20D21">
        <w:rPr>
          <w:rFonts w:ascii="CAIXA Std Book" w:hAnsi="CAIXA Std Book"/>
          <w:b/>
          <w:color w:val="005CA9"/>
        </w:rPr>
        <w:br w:type="page"/>
      </w:r>
    </w:p>
    <w:tbl>
      <w:tblPr>
        <w:tblW w:w="5151" w:type="pct"/>
        <w:tblLayout w:type="fixed"/>
        <w:tblCellMar>
          <w:left w:w="70" w:type="dxa"/>
          <w:right w:w="70" w:type="dxa"/>
        </w:tblCellMar>
        <w:tblLook w:val="04A0" w:firstRow="1" w:lastRow="0" w:firstColumn="1" w:lastColumn="0" w:noHBand="0" w:noVBand="1"/>
      </w:tblPr>
      <w:tblGrid>
        <w:gridCol w:w="3545"/>
        <w:gridCol w:w="1297"/>
        <w:gridCol w:w="1297"/>
        <w:gridCol w:w="1297"/>
        <w:gridCol w:w="1416"/>
        <w:gridCol w:w="1189"/>
      </w:tblGrid>
      <w:tr w:rsidR="00A47C19" w:rsidRPr="00E20D21" w14:paraId="4842A37E" w14:textId="77777777" w:rsidTr="00F11DB2">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20A07F5C" w14:textId="77777777" w:rsidR="00410D46" w:rsidRPr="00E20D21" w:rsidRDefault="00410D4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lastRenderedPageBreak/>
              <w:t>INDIVIDUAL</w:t>
            </w:r>
          </w:p>
        </w:tc>
      </w:tr>
      <w:tr w:rsidR="00A47C19" w:rsidRPr="00E20D21" w14:paraId="2AF6C52F" w14:textId="77777777" w:rsidTr="00F11DB2">
        <w:trPr>
          <w:trHeight w:val="283"/>
        </w:trPr>
        <w:tc>
          <w:tcPr>
            <w:tcW w:w="1765" w:type="pct"/>
            <w:vMerge w:val="restart"/>
            <w:tcBorders>
              <w:top w:val="single" w:sz="4" w:space="0" w:color="F39200"/>
              <w:left w:val="nil"/>
              <w:bottom w:val="single" w:sz="4" w:space="0" w:color="F39200"/>
              <w:right w:val="nil"/>
            </w:tcBorders>
            <w:shd w:val="clear" w:color="auto" w:fill="auto"/>
            <w:noWrap/>
            <w:vAlign w:val="center"/>
            <w:hideMark/>
          </w:tcPr>
          <w:p w14:paraId="3F870605" w14:textId="77777777" w:rsidR="00410D46" w:rsidRPr="00E20D21" w:rsidRDefault="00410D46" w:rsidP="0052608D">
            <w:pPr>
              <w:jc w:val="center"/>
              <w:rPr>
                <w:rFonts w:ascii="CAIXA Std Book" w:eastAsia="Times New Roman" w:hAnsi="CAIXA Std Book" w:cs="Calibri"/>
                <w:b/>
                <w:bCs/>
                <w:color w:val="005CA9"/>
                <w:sz w:val="16"/>
                <w:szCs w:val="16"/>
              </w:rPr>
            </w:pPr>
            <w:proofErr w:type="spellStart"/>
            <w:r w:rsidRPr="00E20D21">
              <w:rPr>
                <w:rFonts w:ascii="CAIXA Std Book" w:eastAsia="Times New Roman" w:hAnsi="CAIXA Std Book" w:cs="Calibri"/>
                <w:b/>
                <w:bCs/>
                <w:color w:val="005CA9"/>
                <w:sz w:val="16"/>
                <w:szCs w:val="16"/>
              </w:rPr>
              <w:t>Decrição</w:t>
            </w:r>
            <w:proofErr w:type="spellEnd"/>
          </w:p>
        </w:tc>
        <w:tc>
          <w:tcPr>
            <w:tcW w:w="1292" w:type="pct"/>
            <w:gridSpan w:val="2"/>
            <w:tcBorders>
              <w:top w:val="single" w:sz="4" w:space="0" w:color="F39200"/>
              <w:left w:val="nil"/>
              <w:bottom w:val="single" w:sz="4" w:space="0" w:color="F39200"/>
              <w:right w:val="single" w:sz="4" w:space="0" w:color="FFFFFF" w:themeColor="background1"/>
            </w:tcBorders>
            <w:vAlign w:val="center"/>
          </w:tcPr>
          <w:p w14:paraId="39FEC136" w14:textId="3E759667" w:rsidR="00410D46" w:rsidRPr="00E20D21" w:rsidRDefault="00410D4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31/12/202</w:t>
            </w:r>
            <w:r w:rsidR="005E257A" w:rsidRPr="00E20D21">
              <w:rPr>
                <w:rFonts w:ascii="CAIXA Std Book" w:eastAsia="Times New Roman" w:hAnsi="CAIXA Std Book" w:cs="Calibri"/>
                <w:b/>
                <w:bCs/>
                <w:color w:val="005CA9"/>
                <w:sz w:val="16"/>
                <w:szCs w:val="16"/>
              </w:rPr>
              <w:t>3</w:t>
            </w:r>
          </w:p>
        </w:tc>
        <w:tc>
          <w:tcPr>
            <w:tcW w:w="1941" w:type="pct"/>
            <w:gridSpan w:val="3"/>
            <w:tcBorders>
              <w:top w:val="single" w:sz="4" w:space="0" w:color="F39200"/>
              <w:left w:val="single" w:sz="4" w:space="0" w:color="FFFFFF" w:themeColor="background1"/>
              <w:bottom w:val="single" w:sz="4" w:space="0" w:color="F39200"/>
              <w:right w:val="nil"/>
            </w:tcBorders>
            <w:shd w:val="clear" w:color="auto" w:fill="auto"/>
            <w:noWrap/>
            <w:vAlign w:val="center"/>
            <w:hideMark/>
          </w:tcPr>
          <w:p w14:paraId="7D4714D2" w14:textId="77777777" w:rsidR="00410D46" w:rsidRPr="00E20D21" w:rsidRDefault="00410D4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Níveis de valor justo</w:t>
            </w:r>
          </w:p>
        </w:tc>
      </w:tr>
      <w:tr w:rsidR="00A47C19" w:rsidRPr="00E20D21" w14:paraId="6F87A0F9" w14:textId="77777777" w:rsidTr="00F11DB2">
        <w:trPr>
          <w:trHeight w:val="283"/>
        </w:trPr>
        <w:tc>
          <w:tcPr>
            <w:tcW w:w="1765" w:type="pct"/>
            <w:vMerge/>
            <w:tcBorders>
              <w:top w:val="single" w:sz="4" w:space="0" w:color="F39200"/>
              <w:left w:val="nil"/>
              <w:bottom w:val="single" w:sz="4" w:space="0" w:color="F39200"/>
              <w:right w:val="nil"/>
            </w:tcBorders>
            <w:vAlign w:val="center"/>
            <w:hideMark/>
          </w:tcPr>
          <w:p w14:paraId="57F77084" w14:textId="77777777" w:rsidR="00410D46" w:rsidRPr="00E20D21" w:rsidRDefault="00410D46" w:rsidP="0052608D">
            <w:pPr>
              <w:rPr>
                <w:rFonts w:ascii="CAIXA Std Book" w:eastAsia="Times New Roman" w:hAnsi="CAIXA Std Book" w:cs="Calibri"/>
                <w:b/>
                <w:bCs/>
                <w:color w:val="005CA9"/>
                <w:sz w:val="16"/>
                <w:szCs w:val="16"/>
              </w:rPr>
            </w:pPr>
          </w:p>
        </w:tc>
        <w:tc>
          <w:tcPr>
            <w:tcW w:w="646" w:type="pct"/>
            <w:tcBorders>
              <w:top w:val="single" w:sz="4" w:space="0" w:color="F39200"/>
              <w:left w:val="nil"/>
              <w:bottom w:val="single" w:sz="4" w:space="0" w:color="F39200"/>
              <w:right w:val="nil"/>
            </w:tcBorders>
            <w:shd w:val="clear" w:color="000000" w:fill="FFFFFF"/>
            <w:vAlign w:val="center"/>
          </w:tcPr>
          <w:p w14:paraId="4AA46CFE" w14:textId="77777777" w:rsidR="00410D46" w:rsidRPr="00E20D21" w:rsidRDefault="00410D4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contábil</w:t>
            </w:r>
          </w:p>
        </w:tc>
        <w:tc>
          <w:tcPr>
            <w:tcW w:w="645" w:type="pct"/>
            <w:tcBorders>
              <w:top w:val="single" w:sz="4" w:space="0" w:color="F39200"/>
              <w:left w:val="nil"/>
              <w:bottom w:val="single" w:sz="4" w:space="0" w:color="F39200"/>
              <w:right w:val="nil"/>
            </w:tcBorders>
            <w:shd w:val="clear" w:color="000000" w:fill="FFFFFF"/>
            <w:noWrap/>
            <w:vAlign w:val="center"/>
            <w:hideMark/>
          </w:tcPr>
          <w:p w14:paraId="20F61B7A" w14:textId="77777777" w:rsidR="00410D46" w:rsidRPr="00E20D21" w:rsidRDefault="00410D4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justo</w:t>
            </w:r>
          </w:p>
        </w:tc>
        <w:tc>
          <w:tcPr>
            <w:tcW w:w="646" w:type="pct"/>
            <w:tcBorders>
              <w:top w:val="nil"/>
              <w:left w:val="nil"/>
              <w:bottom w:val="single" w:sz="4" w:space="0" w:color="F39200"/>
              <w:right w:val="nil"/>
            </w:tcBorders>
            <w:shd w:val="clear" w:color="000000" w:fill="FFFFFF"/>
            <w:noWrap/>
            <w:vAlign w:val="center"/>
            <w:hideMark/>
          </w:tcPr>
          <w:p w14:paraId="1C88CA93" w14:textId="77777777" w:rsidR="00410D46" w:rsidRPr="00E20D21" w:rsidRDefault="00410D4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1</w:t>
            </w:r>
          </w:p>
        </w:tc>
        <w:tc>
          <w:tcPr>
            <w:tcW w:w="705" w:type="pct"/>
            <w:tcBorders>
              <w:top w:val="nil"/>
              <w:left w:val="nil"/>
              <w:bottom w:val="single" w:sz="4" w:space="0" w:color="F39200"/>
              <w:right w:val="nil"/>
            </w:tcBorders>
            <w:shd w:val="clear" w:color="000000" w:fill="FFFFFF"/>
            <w:noWrap/>
            <w:vAlign w:val="center"/>
            <w:hideMark/>
          </w:tcPr>
          <w:p w14:paraId="46D0262B" w14:textId="77777777" w:rsidR="00410D46" w:rsidRPr="00E20D21" w:rsidRDefault="00410D4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2</w:t>
            </w:r>
          </w:p>
        </w:tc>
        <w:tc>
          <w:tcPr>
            <w:tcW w:w="590" w:type="pct"/>
            <w:tcBorders>
              <w:top w:val="nil"/>
              <w:left w:val="nil"/>
              <w:bottom w:val="single" w:sz="4" w:space="0" w:color="F39200"/>
              <w:right w:val="nil"/>
            </w:tcBorders>
            <w:shd w:val="clear" w:color="000000" w:fill="FFFFFF"/>
            <w:noWrap/>
            <w:vAlign w:val="center"/>
            <w:hideMark/>
          </w:tcPr>
          <w:p w14:paraId="3A552560" w14:textId="77777777" w:rsidR="00410D46" w:rsidRPr="00E20D21" w:rsidRDefault="00410D4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3</w:t>
            </w:r>
          </w:p>
        </w:tc>
      </w:tr>
      <w:tr w:rsidR="00A47C19" w:rsidRPr="00E20D21" w14:paraId="0662BB26" w14:textId="77777777" w:rsidTr="00F11DB2">
        <w:trPr>
          <w:trHeight w:val="283"/>
        </w:trPr>
        <w:tc>
          <w:tcPr>
            <w:tcW w:w="5000" w:type="pct"/>
            <w:gridSpan w:val="6"/>
            <w:tcBorders>
              <w:top w:val="nil"/>
              <w:left w:val="nil"/>
              <w:bottom w:val="single" w:sz="4" w:space="0" w:color="F39200"/>
              <w:right w:val="nil"/>
            </w:tcBorders>
            <w:shd w:val="clear" w:color="auto" w:fill="auto"/>
            <w:vAlign w:val="center"/>
            <w:hideMark/>
          </w:tcPr>
          <w:p w14:paraId="41376D23" w14:textId="1E6460D4" w:rsidR="00410D46" w:rsidRPr="00E20D21" w:rsidRDefault="00410D4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Ativos e passivos financeiros mensurados a valor justo</w:t>
            </w:r>
          </w:p>
        </w:tc>
      </w:tr>
      <w:tr w:rsidR="00A47C19" w:rsidRPr="00E20D21" w14:paraId="61AA0636" w14:textId="77777777" w:rsidTr="00F11DB2">
        <w:trPr>
          <w:trHeight w:val="283"/>
        </w:trPr>
        <w:tc>
          <w:tcPr>
            <w:tcW w:w="1765" w:type="pct"/>
            <w:tcBorders>
              <w:top w:val="nil"/>
              <w:left w:val="nil"/>
              <w:bottom w:val="nil"/>
              <w:right w:val="nil"/>
            </w:tcBorders>
            <w:shd w:val="clear" w:color="auto" w:fill="auto"/>
            <w:noWrap/>
            <w:vAlign w:val="center"/>
            <w:hideMark/>
          </w:tcPr>
          <w:p w14:paraId="14B255B5" w14:textId="77777777" w:rsidR="00410D46" w:rsidRPr="00E20D21" w:rsidRDefault="00410D46" w:rsidP="0052608D">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ATIVO</w:t>
            </w:r>
          </w:p>
        </w:tc>
        <w:tc>
          <w:tcPr>
            <w:tcW w:w="646" w:type="pct"/>
            <w:tcBorders>
              <w:top w:val="nil"/>
              <w:left w:val="nil"/>
              <w:bottom w:val="nil"/>
              <w:right w:val="nil"/>
            </w:tcBorders>
          </w:tcPr>
          <w:p w14:paraId="188EBD60" w14:textId="77777777" w:rsidR="00410D46" w:rsidRPr="00E20D21" w:rsidRDefault="00410D46" w:rsidP="0052608D">
            <w:pPr>
              <w:jc w:val="right"/>
              <w:rPr>
                <w:rFonts w:ascii="CAIXA Std Book" w:eastAsia="Times New Roman" w:hAnsi="CAIXA Std Book" w:cs="Calibri"/>
                <w:b/>
                <w:bCs/>
                <w:color w:val="005CA9"/>
                <w:sz w:val="16"/>
                <w:szCs w:val="16"/>
              </w:rPr>
            </w:pPr>
          </w:p>
        </w:tc>
        <w:tc>
          <w:tcPr>
            <w:tcW w:w="645" w:type="pct"/>
            <w:tcBorders>
              <w:top w:val="nil"/>
              <w:left w:val="nil"/>
              <w:bottom w:val="nil"/>
              <w:right w:val="nil"/>
            </w:tcBorders>
            <w:shd w:val="clear" w:color="auto" w:fill="auto"/>
            <w:noWrap/>
            <w:vAlign w:val="center"/>
            <w:hideMark/>
          </w:tcPr>
          <w:p w14:paraId="3703BD54" w14:textId="77777777" w:rsidR="00410D46" w:rsidRPr="00E20D21" w:rsidRDefault="00410D46" w:rsidP="0052608D">
            <w:pPr>
              <w:jc w:val="right"/>
              <w:rPr>
                <w:rFonts w:ascii="CAIXA Std Book" w:eastAsia="Times New Roman" w:hAnsi="CAIXA Std Book" w:cs="Calibri"/>
                <w:b/>
                <w:bCs/>
                <w:color w:val="005CA9"/>
                <w:sz w:val="16"/>
                <w:szCs w:val="16"/>
              </w:rPr>
            </w:pPr>
          </w:p>
        </w:tc>
        <w:tc>
          <w:tcPr>
            <w:tcW w:w="646" w:type="pct"/>
            <w:tcBorders>
              <w:top w:val="nil"/>
              <w:left w:val="nil"/>
              <w:bottom w:val="nil"/>
              <w:right w:val="nil"/>
            </w:tcBorders>
            <w:shd w:val="clear" w:color="auto" w:fill="auto"/>
            <w:noWrap/>
            <w:vAlign w:val="center"/>
            <w:hideMark/>
          </w:tcPr>
          <w:p w14:paraId="258314DC" w14:textId="77777777" w:rsidR="00410D46" w:rsidRPr="00E20D21" w:rsidRDefault="00410D46" w:rsidP="0052608D">
            <w:pPr>
              <w:jc w:val="right"/>
              <w:rPr>
                <w:rFonts w:ascii="CAIXA Std Book" w:eastAsia="Times New Roman" w:hAnsi="CAIXA Std Book" w:cs="Times New Roman"/>
                <w:color w:val="005CA9"/>
                <w:sz w:val="16"/>
                <w:szCs w:val="16"/>
              </w:rPr>
            </w:pPr>
          </w:p>
        </w:tc>
        <w:tc>
          <w:tcPr>
            <w:tcW w:w="705" w:type="pct"/>
            <w:tcBorders>
              <w:top w:val="nil"/>
              <w:left w:val="nil"/>
              <w:bottom w:val="nil"/>
              <w:right w:val="nil"/>
            </w:tcBorders>
            <w:shd w:val="clear" w:color="auto" w:fill="auto"/>
            <w:noWrap/>
            <w:vAlign w:val="center"/>
            <w:hideMark/>
          </w:tcPr>
          <w:p w14:paraId="30C4117E" w14:textId="77777777" w:rsidR="00410D46" w:rsidRPr="00E20D21" w:rsidRDefault="00410D46" w:rsidP="0052608D">
            <w:pPr>
              <w:jc w:val="right"/>
              <w:rPr>
                <w:rFonts w:ascii="CAIXA Std Book" w:eastAsia="Times New Roman" w:hAnsi="CAIXA Std Book" w:cs="Times New Roman"/>
                <w:color w:val="005CA9"/>
                <w:sz w:val="16"/>
                <w:szCs w:val="16"/>
              </w:rPr>
            </w:pPr>
          </w:p>
        </w:tc>
        <w:tc>
          <w:tcPr>
            <w:tcW w:w="590" w:type="pct"/>
            <w:tcBorders>
              <w:top w:val="nil"/>
              <w:left w:val="nil"/>
              <w:bottom w:val="nil"/>
              <w:right w:val="nil"/>
            </w:tcBorders>
            <w:shd w:val="clear" w:color="auto" w:fill="auto"/>
            <w:noWrap/>
            <w:vAlign w:val="center"/>
            <w:hideMark/>
          </w:tcPr>
          <w:p w14:paraId="6CDFD2E1" w14:textId="77777777" w:rsidR="00410D46" w:rsidRPr="00E20D21" w:rsidRDefault="00410D46" w:rsidP="0052608D">
            <w:pPr>
              <w:jc w:val="right"/>
              <w:rPr>
                <w:rFonts w:ascii="CAIXA Std Book" w:eastAsia="Times New Roman" w:hAnsi="CAIXA Std Book" w:cs="Times New Roman"/>
                <w:color w:val="005CA9"/>
                <w:sz w:val="16"/>
                <w:szCs w:val="16"/>
              </w:rPr>
            </w:pPr>
          </w:p>
        </w:tc>
      </w:tr>
      <w:tr w:rsidR="005E257A" w:rsidRPr="00E20D21" w14:paraId="1B7935CB" w14:textId="77777777" w:rsidTr="00F11DB2">
        <w:trPr>
          <w:trHeight w:val="283"/>
        </w:trPr>
        <w:tc>
          <w:tcPr>
            <w:tcW w:w="1765" w:type="pct"/>
            <w:tcBorders>
              <w:top w:val="nil"/>
              <w:left w:val="nil"/>
              <w:bottom w:val="nil"/>
              <w:right w:val="nil"/>
            </w:tcBorders>
            <w:shd w:val="clear" w:color="auto" w:fill="auto"/>
            <w:noWrap/>
            <w:vAlign w:val="center"/>
            <w:hideMark/>
          </w:tcPr>
          <w:p w14:paraId="52BD24DA" w14:textId="77777777" w:rsidR="005E257A" w:rsidRPr="00E20D21" w:rsidRDefault="005E257A" w:rsidP="005E257A">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xml:space="preserve">Ativos Financeiros </w:t>
            </w:r>
          </w:p>
        </w:tc>
        <w:tc>
          <w:tcPr>
            <w:tcW w:w="646" w:type="pct"/>
            <w:tcBorders>
              <w:top w:val="nil"/>
              <w:left w:val="nil"/>
              <w:bottom w:val="nil"/>
              <w:right w:val="nil"/>
            </w:tcBorders>
            <w:vAlign w:val="center"/>
          </w:tcPr>
          <w:p w14:paraId="3D3B93DD" w14:textId="7B55ABF1" w:rsidR="005E257A" w:rsidRPr="00E20D21" w:rsidRDefault="005E257A" w:rsidP="005E257A">
            <w:pPr>
              <w:jc w:val="right"/>
              <w:rPr>
                <w:rFonts w:ascii="CAIXA Std Book" w:hAnsi="CAIXA Std Book"/>
                <w:b/>
                <w:color w:val="005CA9"/>
                <w:sz w:val="22"/>
                <w:szCs w:val="22"/>
              </w:rPr>
            </w:pPr>
            <w:r w:rsidRPr="00E20D21">
              <w:rPr>
                <w:rFonts w:ascii="CAIXA Std Book" w:hAnsi="CAIXA Std Book" w:cs="Calibri"/>
                <w:b/>
                <w:bCs/>
                <w:color w:val="005CA9"/>
                <w:sz w:val="16"/>
                <w:szCs w:val="16"/>
              </w:rPr>
              <w:t>1.779.520.873</w:t>
            </w:r>
          </w:p>
        </w:tc>
        <w:tc>
          <w:tcPr>
            <w:tcW w:w="645" w:type="pct"/>
            <w:tcBorders>
              <w:top w:val="nil"/>
              <w:left w:val="nil"/>
              <w:bottom w:val="nil"/>
              <w:right w:val="nil"/>
            </w:tcBorders>
            <w:shd w:val="clear" w:color="auto" w:fill="auto"/>
            <w:noWrap/>
            <w:vAlign w:val="center"/>
            <w:hideMark/>
          </w:tcPr>
          <w:p w14:paraId="31A468DE" w14:textId="7058CF4A" w:rsidR="005E257A" w:rsidRPr="00E20D21" w:rsidRDefault="005E257A" w:rsidP="005E257A">
            <w:pPr>
              <w:jc w:val="right"/>
              <w:rPr>
                <w:rFonts w:ascii="CAIXA Std Book" w:eastAsia="Times New Roman" w:hAnsi="CAIXA Std Book" w:cs="Calibri"/>
                <w:b/>
                <w:bCs/>
                <w:color w:val="005CA9"/>
                <w:sz w:val="16"/>
                <w:szCs w:val="16"/>
              </w:rPr>
            </w:pPr>
            <w:r w:rsidRPr="00E20D21">
              <w:rPr>
                <w:rFonts w:ascii="CAIXA Std Book" w:hAnsi="CAIXA Std Book" w:cs="Calibri"/>
                <w:b/>
                <w:bCs/>
                <w:color w:val="005CA9"/>
                <w:sz w:val="16"/>
                <w:szCs w:val="16"/>
              </w:rPr>
              <w:t>1.617.776.979</w:t>
            </w:r>
          </w:p>
        </w:tc>
        <w:tc>
          <w:tcPr>
            <w:tcW w:w="646" w:type="pct"/>
            <w:tcBorders>
              <w:top w:val="nil"/>
              <w:left w:val="nil"/>
              <w:bottom w:val="nil"/>
              <w:right w:val="nil"/>
            </w:tcBorders>
            <w:shd w:val="clear" w:color="auto" w:fill="auto"/>
            <w:noWrap/>
            <w:vAlign w:val="center"/>
            <w:hideMark/>
          </w:tcPr>
          <w:p w14:paraId="0B57CF7D" w14:textId="3BF374BF" w:rsidR="005E257A" w:rsidRPr="00E20D21" w:rsidRDefault="005E257A" w:rsidP="005E257A">
            <w:pPr>
              <w:jc w:val="right"/>
              <w:rPr>
                <w:rFonts w:ascii="CAIXA Std Book" w:eastAsia="Times New Roman" w:hAnsi="CAIXA Std Book" w:cs="Times New Roman"/>
                <w:color w:val="005CA9"/>
                <w:sz w:val="16"/>
                <w:szCs w:val="16"/>
              </w:rPr>
            </w:pPr>
            <w:r w:rsidRPr="00E20D21">
              <w:rPr>
                <w:rFonts w:ascii="CAIXA Std Book" w:hAnsi="CAIXA Std Book" w:cs="Calibri"/>
                <w:b/>
                <w:bCs/>
                <w:color w:val="005CA9"/>
                <w:sz w:val="16"/>
                <w:szCs w:val="16"/>
              </w:rPr>
              <w:t>261.941.909</w:t>
            </w:r>
          </w:p>
        </w:tc>
        <w:tc>
          <w:tcPr>
            <w:tcW w:w="705" w:type="pct"/>
            <w:tcBorders>
              <w:top w:val="nil"/>
              <w:left w:val="nil"/>
              <w:bottom w:val="nil"/>
              <w:right w:val="nil"/>
            </w:tcBorders>
            <w:shd w:val="clear" w:color="auto" w:fill="auto"/>
            <w:noWrap/>
            <w:vAlign w:val="center"/>
            <w:hideMark/>
          </w:tcPr>
          <w:p w14:paraId="42BFA2C9" w14:textId="7903CCFA" w:rsidR="005E257A" w:rsidRPr="00E20D21" w:rsidRDefault="005E257A" w:rsidP="005E257A">
            <w:pPr>
              <w:jc w:val="right"/>
              <w:rPr>
                <w:rFonts w:ascii="CAIXA Std Book" w:eastAsia="Times New Roman" w:hAnsi="CAIXA Std Book" w:cs="Times New Roman"/>
                <w:color w:val="005CA9"/>
                <w:sz w:val="16"/>
                <w:szCs w:val="16"/>
              </w:rPr>
            </w:pPr>
            <w:r w:rsidRPr="00E20D21">
              <w:rPr>
                <w:rFonts w:ascii="CAIXA Std Book" w:hAnsi="CAIXA Std Book" w:cs="Calibri"/>
                <w:b/>
                <w:bCs/>
                <w:color w:val="005CA9"/>
                <w:sz w:val="16"/>
                <w:szCs w:val="16"/>
              </w:rPr>
              <w:t>1.342.426.424</w:t>
            </w:r>
          </w:p>
        </w:tc>
        <w:tc>
          <w:tcPr>
            <w:tcW w:w="590" w:type="pct"/>
            <w:tcBorders>
              <w:top w:val="nil"/>
              <w:left w:val="nil"/>
              <w:bottom w:val="nil"/>
              <w:right w:val="nil"/>
            </w:tcBorders>
            <w:shd w:val="clear" w:color="auto" w:fill="auto"/>
            <w:noWrap/>
            <w:vAlign w:val="center"/>
            <w:hideMark/>
          </w:tcPr>
          <w:p w14:paraId="4CD4D196" w14:textId="7D51199E" w:rsidR="005E257A" w:rsidRPr="00E20D21" w:rsidRDefault="005E257A" w:rsidP="005E257A">
            <w:pPr>
              <w:jc w:val="right"/>
              <w:rPr>
                <w:rFonts w:ascii="CAIXA Std Book" w:eastAsia="Times New Roman" w:hAnsi="CAIXA Std Book" w:cs="Times New Roman"/>
                <w:b/>
                <w:color w:val="005CA9"/>
                <w:sz w:val="16"/>
                <w:szCs w:val="16"/>
              </w:rPr>
            </w:pPr>
            <w:r w:rsidRPr="00E20D21">
              <w:rPr>
                <w:rFonts w:ascii="CAIXA Std Book" w:hAnsi="CAIXA Std Book" w:cs="Calibri"/>
                <w:b/>
                <w:bCs/>
                <w:color w:val="005CA9"/>
                <w:sz w:val="16"/>
                <w:szCs w:val="16"/>
              </w:rPr>
              <w:t>13.408.646</w:t>
            </w:r>
          </w:p>
        </w:tc>
      </w:tr>
      <w:tr w:rsidR="00CF0F5C" w:rsidRPr="00E20D21" w14:paraId="232D4465" w14:textId="77777777" w:rsidTr="00F11DB2">
        <w:trPr>
          <w:trHeight w:val="283"/>
        </w:trPr>
        <w:tc>
          <w:tcPr>
            <w:tcW w:w="1765" w:type="pct"/>
            <w:tcBorders>
              <w:top w:val="nil"/>
              <w:left w:val="nil"/>
              <w:bottom w:val="nil"/>
              <w:right w:val="nil"/>
            </w:tcBorders>
            <w:shd w:val="clear" w:color="auto" w:fill="auto"/>
            <w:noWrap/>
            <w:vAlign w:val="center"/>
            <w:hideMark/>
          </w:tcPr>
          <w:p w14:paraId="75CEF97C" w14:textId="77777777" w:rsidR="00CF0F5C" w:rsidRPr="00E20D21" w:rsidRDefault="00CF0F5C">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Aplicações interfinanceiras de liquidez</w:t>
            </w:r>
          </w:p>
        </w:tc>
        <w:tc>
          <w:tcPr>
            <w:tcW w:w="646" w:type="pct"/>
            <w:tcBorders>
              <w:top w:val="nil"/>
              <w:left w:val="nil"/>
              <w:bottom w:val="nil"/>
              <w:right w:val="nil"/>
            </w:tcBorders>
            <w:vAlign w:val="center"/>
          </w:tcPr>
          <w:p w14:paraId="2045F99E" w14:textId="411AE217" w:rsidR="00CF0F5C" w:rsidRPr="00E20D21" w:rsidRDefault="00FF2F29">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180.978.966</w:t>
            </w:r>
          </w:p>
        </w:tc>
        <w:tc>
          <w:tcPr>
            <w:tcW w:w="645" w:type="pct"/>
            <w:tcBorders>
              <w:top w:val="nil"/>
              <w:left w:val="nil"/>
              <w:bottom w:val="nil"/>
              <w:right w:val="nil"/>
            </w:tcBorders>
            <w:shd w:val="clear" w:color="auto" w:fill="auto"/>
            <w:noWrap/>
            <w:vAlign w:val="center"/>
          </w:tcPr>
          <w:p w14:paraId="3785E7B5" w14:textId="3F605CC1" w:rsidR="00CF0F5C" w:rsidRPr="00E20D21" w:rsidRDefault="00FF2F29">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180.980.309</w:t>
            </w:r>
          </w:p>
        </w:tc>
        <w:tc>
          <w:tcPr>
            <w:tcW w:w="646" w:type="pct"/>
            <w:tcBorders>
              <w:top w:val="nil"/>
              <w:left w:val="nil"/>
              <w:bottom w:val="nil"/>
              <w:right w:val="nil"/>
            </w:tcBorders>
            <w:shd w:val="clear" w:color="auto" w:fill="auto"/>
            <w:noWrap/>
            <w:vAlign w:val="center"/>
          </w:tcPr>
          <w:p w14:paraId="2716E545" w14:textId="6ED32E21" w:rsidR="00CF0F5C" w:rsidRPr="00E20D21" w:rsidRDefault="00CF0F5C">
            <w:pPr>
              <w:jc w:val="center"/>
              <w:rPr>
                <w:rFonts w:ascii="CAIXA Std Book" w:eastAsia="Times New Roman" w:hAnsi="CAIXA Std Book" w:cs="Calibri"/>
                <w:color w:val="005CA9"/>
                <w:sz w:val="16"/>
                <w:szCs w:val="16"/>
              </w:rPr>
            </w:pPr>
            <w:r w:rsidRPr="00E20D21">
              <w:rPr>
                <w:rFonts w:ascii="CAIXA Std Book" w:eastAsia="Times New Roman" w:hAnsi="CAIXA Std Book" w:cs="Aldhabi"/>
                <w:color w:val="005CA9"/>
                <w:sz w:val="16"/>
                <w:szCs w:val="16"/>
              </w:rPr>
              <w:t>-</w:t>
            </w:r>
          </w:p>
        </w:tc>
        <w:tc>
          <w:tcPr>
            <w:tcW w:w="705" w:type="pct"/>
            <w:tcBorders>
              <w:top w:val="nil"/>
              <w:left w:val="nil"/>
              <w:bottom w:val="nil"/>
              <w:right w:val="nil"/>
            </w:tcBorders>
            <w:shd w:val="clear" w:color="auto" w:fill="auto"/>
            <w:noWrap/>
            <w:vAlign w:val="center"/>
          </w:tcPr>
          <w:p w14:paraId="34664BBA" w14:textId="369D95E9" w:rsidR="00CF0F5C" w:rsidRPr="00E20D21" w:rsidRDefault="00FF2F29">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180.980.309</w:t>
            </w:r>
          </w:p>
        </w:tc>
        <w:tc>
          <w:tcPr>
            <w:tcW w:w="590" w:type="pct"/>
            <w:tcBorders>
              <w:top w:val="nil"/>
              <w:left w:val="nil"/>
              <w:bottom w:val="nil"/>
              <w:right w:val="nil"/>
            </w:tcBorders>
            <w:shd w:val="clear" w:color="auto" w:fill="auto"/>
            <w:noWrap/>
            <w:vAlign w:val="center"/>
          </w:tcPr>
          <w:p w14:paraId="5373F93C" w14:textId="568CD11A" w:rsidR="00CF0F5C" w:rsidRPr="00E20D21" w:rsidRDefault="00CF0F5C">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5F6DDE0C" w14:textId="77777777" w:rsidTr="00F11DB2">
        <w:trPr>
          <w:trHeight w:val="283"/>
        </w:trPr>
        <w:tc>
          <w:tcPr>
            <w:tcW w:w="1765" w:type="pct"/>
            <w:tcBorders>
              <w:top w:val="nil"/>
              <w:left w:val="nil"/>
              <w:bottom w:val="nil"/>
              <w:right w:val="nil"/>
            </w:tcBorders>
            <w:shd w:val="clear" w:color="auto" w:fill="auto"/>
            <w:noWrap/>
            <w:vAlign w:val="center"/>
            <w:hideMark/>
          </w:tcPr>
          <w:p w14:paraId="727F01AB" w14:textId="2003F702"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Depósitos no Banco Central</w:t>
            </w:r>
          </w:p>
        </w:tc>
        <w:tc>
          <w:tcPr>
            <w:tcW w:w="646" w:type="pct"/>
            <w:tcBorders>
              <w:top w:val="nil"/>
              <w:left w:val="nil"/>
              <w:bottom w:val="nil"/>
              <w:right w:val="nil"/>
            </w:tcBorders>
            <w:vAlign w:val="center"/>
          </w:tcPr>
          <w:p w14:paraId="0D6FED71" w14:textId="1E1CD637" w:rsidR="005E257A" w:rsidRPr="00E20D21" w:rsidRDefault="00FF2F29"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133.393.149</w:t>
            </w:r>
          </w:p>
        </w:tc>
        <w:tc>
          <w:tcPr>
            <w:tcW w:w="645" w:type="pct"/>
            <w:tcBorders>
              <w:top w:val="nil"/>
              <w:left w:val="nil"/>
              <w:bottom w:val="nil"/>
              <w:right w:val="nil"/>
            </w:tcBorders>
            <w:shd w:val="clear" w:color="auto" w:fill="auto"/>
            <w:noWrap/>
            <w:vAlign w:val="center"/>
          </w:tcPr>
          <w:p w14:paraId="19F4C652" w14:textId="5352CBEE" w:rsidR="005E257A" w:rsidRPr="00E20D21" w:rsidRDefault="00FF2F29"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126.694.762</w:t>
            </w:r>
          </w:p>
        </w:tc>
        <w:tc>
          <w:tcPr>
            <w:tcW w:w="646" w:type="pct"/>
            <w:tcBorders>
              <w:top w:val="nil"/>
              <w:left w:val="nil"/>
              <w:bottom w:val="nil"/>
              <w:right w:val="nil"/>
            </w:tcBorders>
            <w:shd w:val="clear" w:color="auto" w:fill="auto"/>
            <w:noWrap/>
            <w:vAlign w:val="center"/>
          </w:tcPr>
          <w:p w14:paraId="5E68E917" w14:textId="2A665309"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Aldhabi"/>
                <w:color w:val="005CA9"/>
                <w:sz w:val="16"/>
                <w:szCs w:val="16"/>
              </w:rPr>
              <w:t>-</w:t>
            </w:r>
          </w:p>
        </w:tc>
        <w:tc>
          <w:tcPr>
            <w:tcW w:w="705" w:type="pct"/>
            <w:tcBorders>
              <w:top w:val="nil"/>
              <w:left w:val="nil"/>
              <w:bottom w:val="nil"/>
              <w:right w:val="nil"/>
            </w:tcBorders>
            <w:shd w:val="clear" w:color="auto" w:fill="auto"/>
            <w:noWrap/>
            <w:vAlign w:val="center"/>
          </w:tcPr>
          <w:p w14:paraId="79C3051F" w14:textId="328C577D" w:rsidR="005E257A" w:rsidRPr="00E20D21" w:rsidRDefault="00FF2F29"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126.694.762</w:t>
            </w:r>
          </w:p>
        </w:tc>
        <w:tc>
          <w:tcPr>
            <w:tcW w:w="590" w:type="pct"/>
            <w:tcBorders>
              <w:top w:val="nil"/>
              <w:left w:val="nil"/>
              <w:bottom w:val="nil"/>
              <w:right w:val="nil"/>
            </w:tcBorders>
            <w:shd w:val="clear" w:color="auto" w:fill="auto"/>
            <w:noWrap/>
            <w:vAlign w:val="center"/>
          </w:tcPr>
          <w:p w14:paraId="49A87A6F" w14:textId="4D051A5F"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311CFEC2" w14:textId="77777777" w:rsidTr="00F11DB2">
        <w:trPr>
          <w:trHeight w:val="283"/>
        </w:trPr>
        <w:tc>
          <w:tcPr>
            <w:tcW w:w="1765" w:type="pct"/>
            <w:tcBorders>
              <w:top w:val="nil"/>
              <w:left w:val="nil"/>
              <w:bottom w:val="nil"/>
              <w:right w:val="nil"/>
            </w:tcBorders>
            <w:shd w:val="clear" w:color="auto" w:fill="auto"/>
            <w:noWrap/>
            <w:vAlign w:val="center"/>
            <w:hideMark/>
          </w:tcPr>
          <w:p w14:paraId="56E368E9"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Títulos e Valores Mobiliários</w:t>
            </w:r>
          </w:p>
        </w:tc>
        <w:tc>
          <w:tcPr>
            <w:tcW w:w="646" w:type="pct"/>
            <w:tcBorders>
              <w:top w:val="nil"/>
              <w:left w:val="nil"/>
              <w:bottom w:val="nil"/>
              <w:right w:val="nil"/>
            </w:tcBorders>
            <w:vAlign w:val="center"/>
          </w:tcPr>
          <w:p w14:paraId="6D3CA3DC" w14:textId="77C134BF"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281.716.676</w:t>
            </w:r>
          </w:p>
        </w:tc>
        <w:tc>
          <w:tcPr>
            <w:tcW w:w="645" w:type="pct"/>
            <w:tcBorders>
              <w:top w:val="nil"/>
              <w:left w:val="nil"/>
              <w:bottom w:val="nil"/>
              <w:right w:val="nil"/>
            </w:tcBorders>
            <w:shd w:val="clear" w:color="auto" w:fill="auto"/>
            <w:noWrap/>
            <w:vAlign w:val="center"/>
            <w:hideMark/>
          </w:tcPr>
          <w:p w14:paraId="4A671A5E" w14:textId="1CE0E14F"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276.816.851</w:t>
            </w:r>
          </w:p>
        </w:tc>
        <w:tc>
          <w:tcPr>
            <w:tcW w:w="646" w:type="pct"/>
            <w:tcBorders>
              <w:top w:val="nil"/>
              <w:left w:val="nil"/>
              <w:bottom w:val="nil"/>
              <w:right w:val="nil"/>
            </w:tcBorders>
            <w:shd w:val="clear" w:color="auto" w:fill="auto"/>
            <w:noWrap/>
            <w:vAlign w:val="center"/>
            <w:hideMark/>
          </w:tcPr>
          <w:p w14:paraId="706B7444" w14:textId="2B6EE0C5"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261.941.909</w:t>
            </w:r>
          </w:p>
        </w:tc>
        <w:tc>
          <w:tcPr>
            <w:tcW w:w="705" w:type="pct"/>
            <w:tcBorders>
              <w:top w:val="nil"/>
              <w:left w:val="nil"/>
              <w:bottom w:val="nil"/>
              <w:right w:val="nil"/>
            </w:tcBorders>
            <w:shd w:val="clear" w:color="auto" w:fill="auto"/>
            <w:noWrap/>
            <w:vAlign w:val="center"/>
            <w:hideMark/>
          </w:tcPr>
          <w:p w14:paraId="65585906" w14:textId="54574083"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1.466.296</w:t>
            </w:r>
          </w:p>
        </w:tc>
        <w:tc>
          <w:tcPr>
            <w:tcW w:w="590" w:type="pct"/>
            <w:tcBorders>
              <w:top w:val="nil"/>
              <w:left w:val="nil"/>
              <w:bottom w:val="nil"/>
              <w:right w:val="nil"/>
            </w:tcBorders>
            <w:shd w:val="clear" w:color="auto" w:fill="auto"/>
            <w:noWrap/>
            <w:vAlign w:val="center"/>
            <w:hideMark/>
          </w:tcPr>
          <w:p w14:paraId="095C32FE" w14:textId="2A4C43E0"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13.408.646</w:t>
            </w:r>
          </w:p>
        </w:tc>
      </w:tr>
      <w:tr w:rsidR="005E257A" w:rsidRPr="00E20D21" w14:paraId="7D9443B2" w14:textId="77777777" w:rsidTr="00F11DB2">
        <w:trPr>
          <w:trHeight w:val="283"/>
        </w:trPr>
        <w:tc>
          <w:tcPr>
            <w:tcW w:w="1765" w:type="pct"/>
            <w:tcBorders>
              <w:top w:val="nil"/>
              <w:left w:val="nil"/>
              <w:bottom w:val="nil"/>
              <w:right w:val="nil"/>
            </w:tcBorders>
            <w:shd w:val="clear" w:color="auto" w:fill="auto"/>
            <w:noWrap/>
            <w:vAlign w:val="center"/>
            <w:hideMark/>
          </w:tcPr>
          <w:p w14:paraId="40663311"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Instrumentos financeiros derivativos</w:t>
            </w:r>
          </w:p>
        </w:tc>
        <w:tc>
          <w:tcPr>
            <w:tcW w:w="646" w:type="pct"/>
            <w:tcBorders>
              <w:top w:val="nil"/>
              <w:left w:val="nil"/>
              <w:bottom w:val="nil"/>
              <w:right w:val="nil"/>
            </w:tcBorders>
            <w:vAlign w:val="center"/>
          </w:tcPr>
          <w:p w14:paraId="2BC1DDCE" w14:textId="5F314964"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163.206</w:t>
            </w:r>
          </w:p>
        </w:tc>
        <w:tc>
          <w:tcPr>
            <w:tcW w:w="645" w:type="pct"/>
            <w:tcBorders>
              <w:top w:val="nil"/>
              <w:left w:val="nil"/>
              <w:bottom w:val="nil"/>
              <w:right w:val="nil"/>
            </w:tcBorders>
            <w:shd w:val="clear" w:color="auto" w:fill="auto"/>
            <w:noWrap/>
            <w:vAlign w:val="center"/>
            <w:hideMark/>
          </w:tcPr>
          <w:p w14:paraId="4766FE61" w14:textId="31FD9F15"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163.154</w:t>
            </w:r>
          </w:p>
        </w:tc>
        <w:tc>
          <w:tcPr>
            <w:tcW w:w="646" w:type="pct"/>
            <w:tcBorders>
              <w:top w:val="nil"/>
              <w:left w:val="nil"/>
              <w:bottom w:val="nil"/>
              <w:right w:val="nil"/>
            </w:tcBorders>
            <w:shd w:val="clear" w:color="auto" w:fill="auto"/>
            <w:noWrap/>
            <w:vAlign w:val="center"/>
            <w:hideMark/>
          </w:tcPr>
          <w:p w14:paraId="5539A135" w14:textId="6C22B73C"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Aldhabi"/>
                <w:color w:val="005CA9"/>
                <w:sz w:val="16"/>
                <w:szCs w:val="16"/>
              </w:rPr>
              <w:t>-</w:t>
            </w:r>
          </w:p>
        </w:tc>
        <w:tc>
          <w:tcPr>
            <w:tcW w:w="705" w:type="pct"/>
            <w:tcBorders>
              <w:top w:val="nil"/>
              <w:left w:val="nil"/>
              <w:bottom w:val="nil"/>
              <w:right w:val="nil"/>
            </w:tcBorders>
            <w:shd w:val="clear" w:color="auto" w:fill="auto"/>
            <w:noWrap/>
            <w:vAlign w:val="center"/>
            <w:hideMark/>
          </w:tcPr>
          <w:p w14:paraId="1EEA6385" w14:textId="45297D32"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163.154</w:t>
            </w:r>
          </w:p>
        </w:tc>
        <w:tc>
          <w:tcPr>
            <w:tcW w:w="590" w:type="pct"/>
            <w:tcBorders>
              <w:top w:val="nil"/>
              <w:left w:val="nil"/>
              <w:bottom w:val="nil"/>
              <w:right w:val="nil"/>
            </w:tcBorders>
            <w:shd w:val="clear" w:color="auto" w:fill="auto"/>
            <w:noWrap/>
            <w:vAlign w:val="center"/>
            <w:hideMark/>
          </w:tcPr>
          <w:p w14:paraId="20F8A30F" w14:textId="27FE394E"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3964A435" w14:textId="77777777" w:rsidTr="00F11DB2">
        <w:trPr>
          <w:trHeight w:val="283"/>
        </w:trPr>
        <w:tc>
          <w:tcPr>
            <w:tcW w:w="1765" w:type="pct"/>
            <w:tcBorders>
              <w:top w:val="nil"/>
              <w:left w:val="nil"/>
              <w:right w:val="nil"/>
            </w:tcBorders>
            <w:shd w:val="clear" w:color="auto" w:fill="auto"/>
            <w:noWrap/>
            <w:vAlign w:val="center"/>
            <w:hideMark/>
          </w:tcPr>
          <w:p w14:paraId="3BF60E48"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Carteira de crédito</w:t>
            </w:r>
          </w:p>
        </w:tc>
        <w:tc>
          <w:tcPr>
            <w:tcW w:w="646" w:type="pct"/>
            <w:tcBorders>
              <w:top w:val="nil"/>
              <w:left w:val="nil"/>
              <w:right w:val="nil"/>
            </w:tcBorders>
            <w:vAlign w:val="center"/>
          </w:tcPr>
          <w:p w14:paraId="698EBB7E" w14:textId="327A71EE"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1.119.820.258</w:t>
            </w:r>
          </w:p>
        </w:tc>
        <w:tc>
          <w:tcPr>
            <w:tcW w:w="645" w:type="pct"/>
            <w:tcBorders>
              <w:top w:val="nil"/>
              <w:left w:val="nil"/>
              <w:right w:val="nil"/>
            </w:tcBorders>
            <w:shd w:val="clear" w:color="auto" w:fill="auto"/>
            <w:noWrap/>
            <w:vAlign w:val="center"/>
            <w:hideMark/>
          </w:tcPr>
          <w:p w14:paraId="23BBBAB9" w14:textId="03EEBF06"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972.508.550</w:t>
            </w:r>
          </w:p>
        </w:tc>
        <w:tc>
          <w:tcPr>
            <w:tcW w:w="646" w:type="pct"/>
            <w:tcBorders>
              <w:top w:val="nil"/>
              <w:left w:val="nil"/>
              <w:right w:val="nil"/>
            </w:tcBorders>
            <w:shd w:val="clear" w:color="auto" w:fill="auto"/>
            <w:noWrap/>
            <w:vAlign w:val="center"/>
            <w:hideMark/>
          </w:tcPr>
          <w:p w14:paraId="73F71EE6" w14:textId="4BCE0706"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Aldhabi"/>
                <w:color w:val="005CA9"/>
                <w:sz w:val="16"/>
                <w:szCs w:val="16"/>
              </w:rPr>
              <w:t>-</w:t>
            </w:r>
          </w:p>
        </w:tc>
        <w:tc>
          <w:tcPr>
            <w:tcW w:w="705" w:type="pct"/>
            <w:tcBorders>
              <w:top w:val="nil"/>
              <w:left w:val="nil"/>
              <w:right w:val="nil"/>
            </w:tcBorders>
            <w:shd w:val="clear" w:color="auto" w:fill="auto"/>
            <w:noWrap/>
            <w:vAlign w:val="center"/>
            <w:hideMark/>
          </w:tcPr>
          <w:p w14:paraId="6A6959A2" w14:textId="5571AE58"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972.508.550</w:t>
            </w:r>
          </w:p>
        </w:tc>
        <w:tc>
          <w:tcPr>
            <w:tcW w:w="590" w:type="pct"/>
            <w:tcBorders>
              <w:top w:val="nil"/>
              <w:left w:val="nil"/>
              <w:right w:val="nil"/>
            </w:tcBorders>
            <w:shd w:val="clear" w:color="auto" w:fill="auto"/>
            <w:noWrap/>
            <w:vAlign w:val="center"/>
            <w:hideMark/>
          </w:tcPr>
          <w:p w14:paraId="66A09442" w14:textId="2A4C503B"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09D95E42" w14:textId="77777777" w:rsidTr="00F11DB2">
        <w:trPr>
          <w:trHeight w:val="283"/>
        </w:trPr>
        <w:tc>
          <w:tcPr>
            <w:tcW w:w="1765" w:type="pct"/>
            <w:tcBorders>
              <w:top w:val="nil"/>
              <w:left w:val="nil"/>
              <w:right w:val="nil"/>
            </w:tcBorders>
            <w:shd w:val="clear" w:color="auto" w:fill="auto"/>
            <w:noWrap/>
            <w:vAlign w:val="center"/>
            <w:hideMark/>
          </w:tcPr>
          <w:p w14:paraId="64FC653C"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Outros ativos financeiros</w:t>
            </w:r>
          </w:p>
        </w:tc>
        <w:tc>
          <w:tcPr>
            <w:tcW w:w="646" w:type="pct"/>
            <w:tcBorders>
              <w:top w:val="nil"/>
              <w:left w:val="nil"/>
              <w:right w:val="nil"/>
            </w:tcBorders>
            <w:vAlign w:val="center"/>
          </w:tcPr>
          <w:p w14:paraId="41C4A2C9" w14:textId="63C413EF"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63.448.618</w:t>
            </w:r>
          </w:p>
        </w:tc>
        <w:tc>
          <w:tcPr>
            <w:tcW w:w="645" w:type="pct"/>
            <w:tcBorders>
              <w:top w:val="nil"/>
              <w:left w:val="nil"/>
              <w:right w:val="nil"/>
            </w:tcBorders>
            <w:shd w:val="clear" w:color="auto" w:fill="auto"/>
            <w:noWrap/>
            <w:vAlign w:val="center"/>
            <w:hideMark/>
          </w:tcPr>
          <w:p w14:paraId="2FA5D9C1" w14:textId="79773383"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60.613.353</w:t>
            </w:r>
          </w:p>
        </w:tc>
        <w:tc>
          <w:tcPr>
            <w:tcW w:w="646" w:type="pct"/>
            <w:tcBorders>
              <w:top w:val="nil"/>
              <w:left w:val="nil"/>
              <w:right w:val="nil"/>
            </w:tcBorders>
            <w:shd w:val="clear" w:color="auto" w:fill="auto"/>
            <w:noWrap/>
            <w:vAlign w:val="center"/>
            <w:hideMark/>
          </w:tcPr>
          <w:p w14:paraId="089F87B3" w14:textId="399FCBB4"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Aldhabi"/>
                <w:color w:val="005CA9"/>
                <w:sz w:val="16"/>
                <w:szCs w:val="16"/>
              </w:rPr>
              <w:t>-</w:t>
            </w:r>
          </w:p>
        </w:tc>
        <w:tc>
          <w:tcPr>
            <w:tcW w:w="705" w:type="pct"/>
            <w:tcBorders>
              <w:top w:val="nil"/>
              <w:left w:val="nil"/>
              <w:right w:val="nil"/>
            </w:tcBorders>
            <w:shd w:val="clear" w:color="auto" w:fill="auto"/>
            <w:noWrap/>
            <w:vAlign w:val="center"/>
            <w:hideMark/>
          </w:tcPr>
          <w:p w14:paraId="6B25958C" w14:textId="0A57DF99"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60.613.353</w:t>
            </w:r>
          </w:p>
        </w:tc>
        <w:tc>
          <w:tcPr>
            <w:tcW w:w="590" w:type="pct"/>
            <w:tcBorders>
              <w:top w:val="nil"/>
              <w:left w:val="nil"/>
              <w:right w:val="nil"/>
            </w:tcBorders>
            <w:shd w:val="clear" w:color="auto" w:fill="auto"/>
            <w:noWrap/>
            <w:vAlign w:val="center"/>
            <w:hideMark/>
          </w:tcPr>
          <w:p w14:paraId="1BE70C8E" w14:textId="20316901"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7F2408B4" w14:textId="77777777" w:rsidTr="00F11DB2">
        <w:trPr>
          <w:trHeight w:val="283"/>
        </w:trPr>
        <w:tc>
          <w:tcPr>
            <w:tcW w:w="1765" w:type="pct"/>
            <w:tcBorders>
              <w:left w:val="nil"/>
              <w:bottom w:val="nil"/>
              <w:right w:val="nil"/>
            </w:tcBorders>
            <w:shd w:val="clear" w:color="auto" w:fill="auto"/>
            <w:noWrap/>
            <w:vAlign w:val="center"/>
            <w:hideMark/>
          </w:tcPr>
          <w:p w14:paraId="7301C611" w14:textId="77777777" w:rsidR="005E257A" w:rsidRPr="00E20D21" w:rsidRDefault="005E257A" w:rsidP="005E257A">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PASSIVO</w:t>
            </w:r>
          </w:p>
        </w:tc>
        <w:tc>
          <w:tcPr>
            <w:tcW w:w="646" w:type="pct"/>
            <w:tcBorders>
              <w:left w:val="nil"/>
              <w:bottom w:val="nil"/>
              <w:right w:val="nil"/>
            </w:tcBorders>
            <w:vAlign w:val="center"/>
          </w:tcPr>
          <w:p w14:paraId="26186DF1" w14:textId="77777777" w:rsidR="005E257A" w:rsidRPr="00E20D21" w:rsidRDefault="005E257A" w:rsidP="005E257A">
            <w:pPr>
              <w:jc w:val="right"/>
              <w:rPr>
                <w:rFonts w:ascii="CAIXA Std Book" w:eastAsia="Times New Roman" w:hAnsi="CAIXA Std Book" w:cs="Calibri"/>
                <w:b/>
                <w:bCs/>
                <w:color w:val="005CA9"/>
                <w:sz w:val="16"/>
                <w:szCs w:val="16"/>
              </w:rPr>
            </w:pPr>
          </w:p>
        </w:tc>
        <w:tc>
          <w:tcPr>
            <w:tcW w:w="645" w:type="pct"/>
            <w:tcBorders>
              <w:left w:val="nil"/>
              <w:bottom w:val="nil"/>
              <w:right w:val="nil"/>
            </w:tcBorders>
            <w:shd w:val="clear" w:color="auto" w:fill="auto"/>
            <w:noWrap/>
            <w:vAlign w:val="center"/>
            <w:hideMark/>
          </w:tcPr>
          <w:p w14:paraId="123E8275" w14:textId="77777777" w:rsidR="005E257A" w:rsidRPr="00E20D21" w:rsidRDefault="005E257A" w:rsidP="005E257A">
            <w:pPr>
              <w:jc w:val="right"/>
              <w:rPr>
                <w:rFonts w:ascii="CAIXA Std Book" w:eastAsia="Times New Roman" w:hAnsi="CAIXA Std Book" w:cs="Calibri"/>
                <w:b/>
                <w:bCs/>
                <w:color w:val="005CA9"/>
                <w:sz w:val="16"/>
                <w:szCs w:val="16"/>
              </w:rPr>
            </w:pPr>
          </w:p>
        </w:tc>
        <w:tc>
          <w:tcPr>
            <w:tcW w:w="646" w:type="pct"/>
            <w:tcBorders>
              <w:left w:val="nil"/>
              <w:bottom w:val="nil"/>
              <w:right w:val="nil"/>
            </w:tcBorders>
            <w:shd w:val="clear" w:color="auto" w:fill="auto"/>
            <w:noWrap/>
            <w:vAlign w:val="center"/>
            <w:hideMark/>
          </w:tcPr>
          <w:p w14:paraId="031F760F" w14:textId="77777777" w:rsidR="005E257A" w:rsidRPr="00E20D21" w:rsidRDefault="005E257A" w:rsidP="005E257A">
            <w:pPr>
              <w:jc w:val="right"/>
              <w:rPr>
                <w:rFonts w:ascii="CAIXA Std Book" w:eastAsia="Times New Roman" w:hAnsi="CAIXA Std Book" w:cs="Times New Roman"/>
                <w:color w:val="005CA9"/>
                <w:sz w:val="16"/>
                <w:szCs w:val="16"/>
              </w:rPr>
            </w:pPr>
          </w:p>
        </w:tc>
        <w:tc>
          <w:tcPr>
            <w:tcW w:w="705" w:type="pct"/>
            <w:tcBorders>
              <w:left w:val="nil"/>
              <w:bottom w:val="nil"/>
              <w:right w:val="nil"/>
            </w:tcBorders>
            <w:shd w:val="clear" w:color="auto" w:fill="auto"/>
            <w:noWrap/>
            <w:vAlign w:val="center"/>
            <w:hideMark/>
          </w:tcPr>
          <w:p w14:paraId="6900CFB9" w14:textId="77777777" w:rsidR="005E257A" w:rsidRPr="00E20D21" w:rsidRDefault="005E257A" w:rsidP="005E257A">
            <w:pPr>
              <w:jc w:val="right"/>
              <w:rPr>
                <w:rFonts w:ascii="CAIXA Std Book" w:eastAsia="Times New Roman" w:hAnsi="CAIXA Std Book" w:cs="Times New Roman"/>
                <w:color w:val="005CA9"/>
                <w:sz w:val="16"/>
                <w:szCs w:val="16"/>
              </w:rPr>
            </w:pPr>
          </w:p>
        </w:tc>
        <w:tc>
          <w:tcPr>
            <w:tcW w:w="590" w:type="pct"/>
            <w:tcBorders>
              <w:left w:val="nil"/>
              <w:bottom w:val="nil"/>
              <w:right w:val="nil"/>
            </w:tcBorders>
            <w:shd w:val="clear" w:color="auto" w:fill="auto"/>
            <w:noWrap/>
            <w:vAlign w:val="center"/>
            <w:hideMark/>
          </w:tcPr>
          <w:p w14:paraId="5F2DE7D7" w14:textId="77777777" w:rsidR="005E257A" w:rsidRPr="00E20D21" w:rsidRDefault="005E257A" w:rsidP="005E257A">
            <w:pPr>
              <w:jc w:val="right"/>
              <w:rPr>
                <w:rFonts w:ascii="CAIXA Std Book" w:eastAsia="Times New Roman" w:hAnsi="CAIXA Std Book" w:cs="Times New Roman"/>
                <w:color w:val="005CA9"/>
                <w:sz w:val="16"/>
                <w:szCs w:val="16"/>
              </w:rPr>
            </w:pPr>
          </w:p>
        </w:tc>
      </w:tr>
      <w:tr w:rsidR="005E257A" w:rsidRPr="00E20D21" w14:paraId="6EF5EB17" w14:textId="77777777" w:rsidTr="00F11DB2">
        <w:trPr>
          <w:trHeight w:val="283"/>
        </w:trPr>
        <w:tc>
          <w:tcPr>
            <w:tcW w:w="1765" w:type="pct"/>
            <w:tcBorders>
              <w:top w:val="nil"/>
              <w:left w:val="nil"/>
              <w:bottom w:val="nil"/>
              <w:right w:val="nil"/>
            </w:tcBorders>
            <w:shd w:val="clear" w:color="auto" w:fill="auto"/>
            <w:noWrap/>
            <w:vAlign w:val="center"/>
            <w:hideMark/>
          </w:tcPr>
          <w:p w14:paraId="246EED49" w14:textId="77777777" w:rsidR="005E257A" w:rsidRPr="00E20D21" w:rsidRDefault="005E257A" w:rsidP="005E257A">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xml:space="preserve">Passivos Financeiros </w:t>
            </w:r>
          </w:p>
        </w:tc>
        <w:tc>
          <w:tcPr>
            <w:tcW w:w="646" w:type="pct"/>
            <w:tcBorders>
              <w:top w:val="nil"/>
              <w:left w:val="nil"/>
              <w:bottom w:val="nil"/>
              <w:right w:val="nil"/>
            </w:tcBorders>
            <w:vAlign w:val="center"/>
          </w:tcPr>
          <w:p w14:paraId="4E91C1CA" w14:textId="423B30F3" w:rsidR="005E257A" w:rsidRPr="00E20D21" w:rsidRDefault="005E257A" w:rsidP="005E257A">
            <w:pPr>
              <w:jc w:val="right"/>
              <w:rPr>
                <w:rFonts w:ascii="CAIXA Std Book" w:eastAsia="Times New Roman" w:hAnsi="CAIXA Std Book" w:cs="Calibri"/>
                <w:b/>
                <w:bCs/>
                <w:color w:val="005CA9"/>
                <w:sz w:val="16"/>
                <w:szCs w:val="16"/>
              </w:rPr>
            </w:pPr>
            <w:r w:rsidRPr="00E20D21">
              <w:rPr>
                <w:rFonts w:ascii="CAIXA Std Book" w:hAnsi="CAIXA Std Book" w:cs="Calibri"/>
                <w:b/>
                <w:bCs/>
                <w:color w:val="005CA9"/>
                <w:sz w:val="16"/>
                <w:szCs w:val="16"/>
              </w:rPr>
              <w:t>1.616.268.614</w:t>
            </w:r>
          </w:p>
        </w:tc>
        <w:tc>
          <w:tcPr>
            <w:tcW w:w="645" w:type="pct"/>
            <w:tcBorders>
              <w:top w:val="nil"/>
              <w:left w:val="nil"/>
              <w:bottom w:val="nil"/>
              <w:right w:val="nil"/>
            </w:tcBorders>
            <w:shd w:val="clear" w:color="auto" w:fill="auto"/>
            <w:noWrap/>
            <w:vAlign w:val="center"/>
            <w:hideMark/>
          </w:tcPr>
          <w:p w14:paraId="48C44C08" w14:textId="4C2914E7" w:rsidR="005E257A" w:rsidRPr="00E20D21" w:rsidRDefault="005E257A" w:rsidP="005E257A">
            <w:pPr>
              <w:jc w:val="right"/>
              <w:rPr>
                <w:rFonts w:ascii="CAIXA Std Book" w:eastAsia="Times New Roman" w:hAnsi="CAIXA Std Book" w:cs="Calibri"/>
                <w:b/>
                <w:bCs/>
                <w:color w:val="005CA9"/>
                <w:sz w:val="16"/>
                <w:szCs w:val="16"/>
              </w:rPr>
            </w:pPr>
            <w:r w:rsidRPr="00E20D21">
              <w:rPr>
                <w:rFonts w:ascii="CAIXA Std Book" w:hAnsi="CAIXA Std Book" w:cs="Calibri"/>
                <w:b/>
                <w:bCs/>
                <w:color w:val="005CA9"/>
                <w:sz w:val="16"/>
                <w:szCs w:val="16"/>
              </w:rPr>
              <w:t>1.</w:t>
            </w:r>
            <w:r w:rsidR="00963DC9" w:rsidRPr="00E20D21">
              <w:rPr>
                <w:rFonts w:ascii="CAIXA Std Book" w:hAnsi="CAIXA Std Book" w:cs="Calibri"/>
                <w:b/>
                <w:bCs/>
                <w:color w:val="005CA9"/>
                <w:sz w:val="16"/>
                <w:szCs w:val="16"/>
              </w:rPr>
              <w:t>438.</w:t>
            </w:r>
            <w:r w:rsidR="0006636C" w:rsidRPr="00E20D21">
              <w:rPr>
                <w:rFonts w:ascii="CAIXA Std Book" w:hAnsi="CAIXA Std Book" w:cs="Calibri"/>
                <w:b/>
                <w:bCs/>
                <w:color w:val="005CA9"/>
                <w:sz w:val="16"/>
                <w:szCs w:val="16"/>
              </w:rPr>
              <w:t>657.556</w:t>
            </w:r>
          </w:p>
        </w:tc>
        <w:tc>
          <w:tcPr>
            <w:tcW w:w="646" w:type="pct"/>
            <w:tcBorders>
              <w:top w:val="nil"/>
              <w:left w:val="nil"/>
              <w:bottom w:val="nil"/>
              <w:right w:val="nil"/>
            </w:tcBorders>
            <w:shd w:val="clear" w:color="auto" w:fill="auto"/>
            <w:noWrap/>
            <w:vAlign w:val="center"/>
            <w:hideMark/>
          </w:tcPr>
          <w:p w14:paraId="2DA5AD18" w14:textId="1230DD7F" w:rsidR="005E257A" w:rsidRPr="00E20D21" w:rsidRDefault="005E257A" w:rsidP="005E257A">
            <w:pPr>
              <w:jc w:val="center"/>
              <w:rPr>
                <w:rFonts w:ascii="CAIXA Std Book" w:hAnsi="CAIXA Std Book"/>
                <w:b/>
                <w:color w:val="005CA9"/>
                <w:sz w:val="16"/>
                <w:szCs w:val="16"/>
              </w:rPr>
            </w:pPr>
            <w:r w:rsidRPr="00E20D21">
              <w:rPr>
                <w:rFonts w:ascii="CAIXA Std Book" w:hAnsi="CAIXA Std Book" w:cs="Aldhabi"/>
                <w:b/>
                <w:color w:val="005CA9"/>
                <w:sz w:val="16"/>
                <w:szCs w:val="16"/>
              </w:rPr>
              <w:t>-</w:t>
            </w:r>
          </w:p>
        </w:tc>
        <w:tc>
          <w:tcPr>
            <w:tcW w:w="705" w:type="pct"/>
            <w:tcBorders>
              <w:top w:val="nil"/>
              <w:left w:val="nil"/>
              <w:bottom w:val="nil"/>
              <w:right w:val="nil"/>
            </w:tcBorders>
            <w:shd w:val="clear" w:color="auto" w:fill="auto"/>
            <w:noWrap/>
            <w:vAlign w:val="center"/>
            <w:hideMark/>
          </w:tcPr>
          <w:p w14:paraId="47EE318F" w14:textId="6D4C662A" w:rsidR="005E257A" w:rsidRPr="00E20D21" w:rsidRDefault="005E257A" w:rsidP="005E257A">
            <w:pPr>
              <w:jc w:val="right"/>
              <w:rPr>
                <w:rFonts w:ascii="CAIXA Std Book" w:eastAsia="Times New Roman" w:hAnsi="CAIXA Std Book" w:cs="Times New Roman"/>
                <w:color w:val="005CA9"/>
                <w:sz w:val="16"/>
                <w:szCs w:val="16"/>
              </w:rPr>
            </w:pPr>
            <w:r w:rsidRPr="00E20D21">
              <w:rPr>
                <w:rFonts w:ascii="CAIXA Std Book" w:hAnsi="CAIXA Std Book" w:cs="Calibri"/>
                <w:b/>
                <w:bCs/>
                <w:color w:val="005CA9"/>
                <w:sz w:val="16"/>
                <w:szCs w:val="16"/>
              </w:rPr>
              <w:t>777.298.799</w:t>
            </w:r>
          </w:p>
        </w:tc>
        <w:tc>
          <w:tcPr>
            <w:tcW w:w="590" w:type="pct"/>
            <w:tcBorders>
              <w:top w:val="nil"/>
              <w:left w:val="nil"/>
              <w:bottom w:val="nil"/>
              <w:right w:val="nil"/>
            </w:tcBorders>
            <w:shd w:val="clear" w:color="auto" w:fill="auto"/>
            <w:noWrap/>
            <w:vAlign w:val="center"/>
            <w:hideMark/>
          </w:tcPr>
          <w:p w14:paraId="17F00B80" w14:textId="206A572B" w:rsidR="005E257A" w:rsidRPr="00E20D21" w:rsidRDefault="005E257A" w:rsidP="005E257A">
            <w:pPr>
              <w:jc w:val="right"/>
              <w:rPr>
                <w:rFonts w:ascii="CAIXA Std Book" w:eastAsia="Times New Roman" w:hAnsi="CAIXA Std Book" w:cs="Times New Roman"/>
                <w:color w:val="005CA9"/>
                <w:sz w:val="16"/>
                <w:szCs w:val="16"/>
              </w:rPr>
            </w:pPr>
            <w:r w:rsidRPr="00E20D21">
              <w:rPr>
                <w:rFonts w:ascii="CAIXA Std Book" w:hAnsi="CAIXA Std Book" w:cs="Calibri"/>
                <w:b/>
                <w:bCs/>
                <w:color w:val="005CA9"/>
                <w:sz w:val="16"/>
                <w:szCs w:val="16"/>
              </w:rPr>
              <w:t>661.</w:t>
            </w:r>
            <w:r w:rsidR="00066931" w:rsidRPr="00E20D21">
              <w:rPr>
                <w:rFonts w:ascii="CAIXA Std Book" w:hAnsi="CAIXA Std Book" w:cs="Calibri"/>
                <w:b/>
                <w:bCs/>
                <w:color w:val="005CA9"/>
                <w:sz w:val="16"/>
                <w:szCs w:val="16"/>
              </w:rPr>
              <w:t>358.757</w:t>
            </w:r>
          </w:p>
        </w:tc>
      </w:tr>
      <w:tr w:rsidR="005E257A" w:rsidRPr="00E20D21" w14:paraId="14C914DE" w14:textId="77777777" w:rsidTr="00F11DB2">
        <w:trPr>
          <w:trHeight w:val="283"/>
        </w:trPr>
        <w:tc>
          <w:tcPr>
            <w:tcW w:w="1765" w:type="pct"/>
            <w:tcBorders>
              <w:top w:val="nil"/>
              <w:left w:val="nil"/>
              <w:bottom w:val="nil"/>
              <w:right w:val="nil"/>
            </w:tcBorders>
            <w:shd w:val="clear" w:color="auto" w:fill="auto"/>
            <w:noWrap/>
            <w:vAlign w:val="center"/>
            <w:hideMark/>
          </w:tcPr>
          <w:p w14:paraId="3F9FBF17"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clientes</w:t>
            </w:r>
          </w:p>
        </w:tc>
        <w:tc>
          <w:tcPr>
            <w:tcW w:w="646" w:type="pct"/>
            <w:tcBorders>
              <w:top w:val="nil"/>
              <w:left w:val="nil"/>
              <w:bottom w:val="nil"/>
              <w:right w:val="nil"/>
            </w:tcBorders>
            <w:vAlign w:val="center"/>
          </w:tcPr>
          <w:p w14:paraId="6E729FAF" w14:textId="29DFD25D"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714.074.459</w:t>
            </w:r>
          </w:p>
        </w:tc>
        <w:tc>
          <w:tcPr>
            <w:tcW w:w="645" w:type="pct"/>
            <w:tcBorders>
              <w:top w:val="nil"/>
              <w:left w:val="nil"/>
              <w:bottom w:val="nil"/>
              <w:right w:val="nil"/>
            </w:tcBorders>
            <w:shd w:val="clear" w:color="auto" w:fill="auto"/>
            <w:noWrap/>
            <w:vAlign w:val="center"/>
            <w:hideMark/>
          </w:tcPr>
          <w:p w14:paraId="3E64DD9B" w14:textId="390323BD"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661.358.757</w:t>
            </w:r>
          </w:p>
        </w:tc>
        <w:tc>
          <w:tcPr>
            <w:tcW w:w="646" w:type="pct"/>
            <w:tcBorders>
              <w:top w:val="nil"/>
              <w:left w:val="nil"/>
              <w:bottom w:val="nil"/>
              <w:right w:val="nil"/>
            </w:tcBorders>
            <w:shd w:val="clear" w:color="auto" w:fill="auto"/>
            <w:noWrap/>
            <w:vAlign w:val="center"/>
            <w:hideMark/>
          </w:tcPr>
          <w:p w14:paraId="3E9665D7" w14:textId="4743932A"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Aldhabi"/>
                <w:color w:val="005CA9"/>
                <w:sz w:val="16"/>
                <w:szCs w:val="16"/>
              </w:rPr>
              <w:t>-</w:t>
            </w:r>
          </w:p>
        </w:tc>
        <w:tc>
          <w:tcPr>
            <w:tcW w:w="705" w:type="pct"/>
            <w:tcBorders>
              <w:top w:val="nil"/>
              <w:left w:val="nil"/>
              <w:bottom w:val="nil"/>
              <w:right w:val="nil"/>
            </w:tcBorders>
            <w:shd w:val="clear" w:color="auto" w:fill="auto"/>
            <w:noWrap/>
            <w:vAlign w:val="center"/>
            <w:hideMark/>
          </w:tcPr>
          <w:p w14:paraId="2ACDBD7A" w14:textId="4B216363"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590" w:type="pct"/>
            <w:tcBorders>
              <w:top w:val="nil"/>
              <w:left w:val="nil"/>
              <w:bottom w:val="nil"/>
              <w:right w:val="nil"/>
            </w:tcBorders>
            <w:shd w:val="clear" w:color="auto" w:fill="auto"/>
            <w:noWrap/>
            <w:vAlign w:val="center"/>
            <w:hideMark/>
          </w:tcPr>
          <w:p w14:paraId="31EAB907" w14:textId="0F48AC9C"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661.358.757</w:t>
            </w:r>
          </w:p>
        </w:tc>
      </w:tr>
      <w:tr w:rsidR="005E257A" w:rsidRPr="00E20D21" w14:paraId="3FD412CF" w14:textId="77777777" w:rsidTr="00F11DB2">
        <w:trPr>
          <w:trHeight w:val="283"/>
        </w:trPr>
        <w:tc>
          <w:tcPr>
            <w:tcW w:w="1765" w:type="pct"/>
            <w:tcBorders>
              <w:top w:val="nil"/>
              <w:left w:val="nil"/>
              <w:right w:val="nil"/>
            </w:tcBorders>
            <w:shd w:val="clear" w:color="auto" w:fill="auto"/>
            <w:noWrap/>
            <w:vAlign w:val="center"/>
            <w:hideMark/>
          </w:tcPr>
          <w:p w14:paraId="6B48B708"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instituições financeiras e outras</w:t>
            </w:r>
          </w:p>
        </w:tc>
        <w:tc>
          <w:tcPr>
            <w:tcW w:w="646" w:type="pct"/>
            <w:tcBorders>
              <w:top w:val="nil"/>
              <w:left w:val="nil"/>
              <w:right w:val="nil"/>
            </w:tcBorders>
            <w:vAlign w:val="center"/>
          </w:tcPr>
          <w:p w14:paraId="5FA29A7A" w14:textId="4B734786"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665.024.676</w:t>
            </w:r>
          </w:p>
        </w:tc>
        <w:tc>
          <w:tcPr>
            <w:tcW w:w="645" w:type="pct"/>
            <w:tcBorders>
              <w:top w:val="nil"/>
              <w:left w:val="nil"/>
              <w:right w:val="nil"/>
            </w:tcBorders>
            <w:shd w:val="clear" w:color="auto" w:fill="auto"/>
            <w:noWrap/>
            <w:vAlign w:val="center"/>
            <w:hideMark/>
          </w:tcPr>
          <w:p w14:paraId="7C0D1BCC" w14:textId="29480CC9"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548.055.892</w:t>
            </w:r>
          </w:p>
        </w:tc>
        <w:tc>
          <w:tcPr>
            <w:tcW w:w="646" w:type="pct"/>
            <w:tcBorders>
              <w:top w:val="nil"/>
              <w:left w:val="nil"/>
              <w:right w:val="nil"/>
            </w:tcBorders>
            <w:shd w:val="clear" w:color="auto" w:fill="auto"/>
            <w:noWrap/>
            <w:vAlign w:val="center"/>
            <w:hideMark/>
          </w:tcPr>
          <w:p w14:paraId="1DF06D61" w14:textId="679D1DE3"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Aldhabi"/>
                <w:color w:val="005CA9"/>
                <w:sz w:val="16"/>
                <w:szCs w:val="16"/>
              </w:rPr>
              <w:t>-</w:t>
            </w:r>
          </w:p>
        </w:tc>
        <w:tc>
          <w:tcPr>
            <w:tcW w:w="705" w:type="pct"/>
            <w:tcBorders>
              <w:top w:val="nil"/>
              <w:left w:val="nil"/>
              <w:right w:val="nil"/>
            </w:tcBorders>
            <w:shd w:val="clear" w:color="auto" w:fill="auto"/>
            <w:noWrap/>
            <w:vAlign w:val="center"/>
            <w:hideMark/>
          </w:tcPr>
          <w:p w14:paraId="2BA0D6EA" w14:textId="6EDA4A59"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548.055.892</w:t>
            </w:r>
          </w:p>
        </w:tc>
        <w:tc>
          <w:tcPr>
            <w:tcW w:w="590" w:type="pct"/>
            <w:tcBorders>
              <w:top w:val="nil"/>
              <w:left w:val="nil"/>
              <w:right w:val="nil"/>
            </w:tcBorders>
            <w:shd w:val="clear" w:color="auto" w:fill="auto"/>
            <w:noWrap/>
            <w:vAlign w:val="center"/>
            <w:hideMark/>
          </w:tcPr>
          <w:p w14:paraId="54619D15" w14:textId="3FE2268A"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1A50384F" w14:textId="77777777" w:rsidTr="00F11DB2">
        <w:trPr>
          <w:trHeight w:val="283"/>
        </w:trPr>
        <w:tc>
          <w:tcPr>
            <w:tcW w:w="1765" w:type="pct"/>
            <w:tcBorders>
              <w:top w:val="nil"/>
              <w:left w:val="nil"/>
              <w:bottom w:val="single" w:sz="4" w:space="0" w:color="F39200"/>
              <w:right w:val="nil"/>
            </w:tcBorders>
            <w:shd w:val="clear" w:color="auto" w:fill="auto"/>
            <w:noWrap/>
            <w:vAlign w:val="center"/>
            <w:hideMark/>
          </w:tcPr>
          <w:p w14:paraId="155817DE"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emissões de títulos e valores mobiliários</w:t>
            </w:r>
          </w:p>
        </w:tc>
        <w:tc>
          <w:tcPr>
            <w:tcW w:w="646" w:type="pct"/>
            <w:tcBorders>
              <w:top w:val="nil"/>
              <w:left w:val="nil"/>
              <w:bottom w:val="single" w:sz="4" w:space="0" w:color="F39200"/>
              <w:right w:val="nil"/>
            </w:tcBorders>
            <w:vAlign w:val="center"/>
          </w:tcPr>
          <w:p w14:paraId="6F985AEA" w14:textId="6A415508"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237.169.479</w:t>
            </w:r>
          </w:p>
        </w:tc>
        <w:tc>
          <w:tcPr>
            <w:tcW w:w="645" w:type="pct"/>
            <w:tcBorders>
              <w:top w:val="nil"/>
              <w:left w:val="nil"/>
              <w:bottom w:val="single" w:sz="4" w:space="0" w:color="F39200"/>
              <w:right w:val="nil"/>
            </w:tcBorders>
            <w:shd w:val="clear" w:color="auto" w:fill="auto"/>
            <w:noWrap/>
            <w:vAlign w:val="center"/>
            <w:hideMark/>
          </w:tcPr>
          <w:p w14:paraId="42E4B6D9" w14:textId="1AB39791"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229.242.907</w:t>
            </w:r>
          </w:p>
        </w:tc>
        <w:tc>
          <w:tcPr>
            <w:tcW w:w="646" w:type="pct"/>
            <w:tcBorders>
              <w:top w:val="nil"/>
              <w:left w:val="nil"/>
              <w:bottom w:val="single" w:sz="4" w:space="0" w:color="F39200"/>
              <w:right w:val="nil"/>
            </w:tcBorders>
            <w:shd w:val="clear" w:color="auto" w:fill="auto"/>
            <w:noWrap/>
            <w:vAlign w:val="center"/>
            <w:hideMark/>
          </w:tcPr>
          <w:p w14:paraId="5B4775C7" w14:textId="4CFFE553"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Aldhabi"/>
                <w:color w:val="005CA9"/>
                <w:sz w:val="16"/>
                <w:szCs w:val="16"/>
              </w:rPr>
              <w:t>-</w:t>
            </w:r>
          </w:p>
        </w:tc>
        <w:tc>
          <w:tcPr>
            <w:tcW w:w="705" w:type="pct"/>
            <w:tcBorders>
              <w:top w:val="nil"/>
              <w:left w:val="nil"/>
              <w:bottom w:val="single" w:sz="4" w:space="0" w:color="F39200"/>
              <w:right w:val="nil"/>
            </w:tcBorders>
            <w:shd w:val="clear" w:color="auto" w:fill="auto"/>
            <w:noWrap/>
            <w:vAlign w:val="center"/>
            <w:hideMark/>
          </w:tcPr>
          <w:p w14:paraId="5F7E300D" w14:textId="731F9251"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229.242.907</w:t>
            </w:r>
          </w:p>
        </w:tc>
        <w:tc>
          <w:tcPr>
            <w:tcW w:w="590" w:type="pct"/>
            <w:tcBorders>
              <w:top w:val="nil"/>
              <w:left w:val="nil"/>
              <w:bottom w:val="single" w:sz="4" w:space="0" w:color="F39200"/>
              <w:right w:val="nil"/>
            </w:tcBorders>
            <w:shd w:val="clear" w:color="auto" w:fill="auto"/>
            <w:noWrap/>
            <w:vAlign w:val="center"/>
            <w:hideMark/>
          </w:tcPr>
          <w:p w14:paraId="07065DFC" w14:textId="4F62875B"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bl>
    <w:p w14:paraId="6E2093DF" w14:textId="556DDAD9" w:rsidR="0056310D" w:rsidRPr="00E20D21" w:rsidRDefault="0056310D">
      <w:pPr>
        <w:rPr>
          <w:rFonts w:ascii="CAIXA Std Book" w:hAnsi="CAIXA Std Book"/>
          <w:b/>
          <w:color w:val="005CA9"/>
        </w:rPr>
      </w:pPr>
    </w:p>
    <w:p w14:paraId="33833E42" w14:textId="77777777" w:rsidR="005E257A" w:rsidRPr="00E20D21" w:rsidRDefault="005E257A">
      <w:pPr>
        <w:rPr>
          <w:rFonts w:ascii="CAIXA Std Book" w:hAnsi="CAIXA Std Book"/>
          <w:b/>
          <w:color w:val="005CA9"/>
        </w:rPr>
      </w:pPr>
    </w:p>
    <w:tbl>
      <w:tblPr>
        <w:tblW w:w="5225" w:type="pct"/>
        <w:tblLayout w:type="fixed"/>
        <w:tblCellMar>
          <w:left w:w="70" w:type="dxa"/>
          <w:right w:w="70" w:type="dxa"/>
        </w:tblCellMar>
        <w:tblLook w:val="04A0" w:firstRow="1" w:lastRow="0" w:firstColumn="1" w:lastColumn="0" w:noHBand="0" w:noVBand="1"/>
      </w:tblPr>
      <w:tblGrid>
        <w:gridCol w:w="3545"/>
        <w:gridCol w:w="1269"/>
        <w:gridCol w:w="1277"/>
        <w:gridCol w:w="1410"/>
        <w:gridCol w:w="1269"/>
        <w:gridCol w:w="1416"/>
      </w:tblGrid>
      <w:tr w:rsidR="00A47C19" w:rsidRPr="00E20D21" w14:paraId="2176E6F6" w14:textId="77777777" w:rsidTr="00272688">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5DEE7E7A" w14:textId="6FEDD00D" w:rsidR="004F3E26" w:rsidRPr="00E20D21" w:rsidRDefault="004F3E26" w:rsidP="008A29C9">
            <w:pPr>
              <w:ind w:left="351" w:right="-75"/>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CONSOLIDADO</w:t>
            </w:r>
          </w:p>
        </w:tc>
      </w:tr>
      <w:tr w:rsidR="00A47C19" w:rsidRPr="00E20D21" w14:paraId="038FC603" w14:textId="77777777" w:rsidTr="00272688">
        <w:trPr>
          <w:trHeight w:val="283"/>
        </w:trPr>
        <w:tc>
          <w:tcPr>
            <w:tcW w:w="1740" w:type="pct"/>
            <w:vMerge w:val="restart"/>
            <w:tcBorders>
              <w:top w:val="single" w:sz="4" w:space="0" w:color="F39200"/>
              <w:left w:val="nil"/>
              <w:bottom w:val="single" w:sz="4" w:space="0" w:color="F39200"/>
              <w:right w:val="nil"/>
            </w:tcBorders>
            <w:shd w:val="clear" w:color="auto" w:fill="auto"/>
            <w:noWrap/>
            <w:vAlign w:val="center"/>
            <w:hideMark/>
          </w:tcPr>
          <w:p w14:paraId="4504DD50" w14:textId="2C4B9157" w:rsidR="008D3492" w:rsidRPr="00E20D21" w:rsidRDefault="004F3E26" w:rsidP="00BD5472">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Descrição</w:t>
            </w:r>
          </w:p>
        </w:tc>
        <w:tc>
          <w:tcPr>
            <w:tcW w:w="1250" w:type="pct"/>
            <w:gridSpan w:val="2"/>
            <w:tcBorders>
              <w:top w:val="single" w:sz="4" w:space="0" w:color="F39200"/>
              <w:left w:val="nil"/>
              <w:bottom w:val="nil"/>
              <w:right w:val="nil"/>
            </w:tcBorders>
            <w:vAlign w:val="center"/>
          </w:tcPr>
          <w:p w14:paraId="66AB1A94" w14:textId="56E6C065" w:rsidR="008D3492" w:rsidRPr="00E20D21" w:rsidRDefault="005E257A" w:rsidP="00BD5472">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30/06/2024</w:t>
            </w:r>
          </w:p>
        </w:tc>
        <w:tc>
          <w:tcPr>
            <w:tcW w:w="2010" w:type="pct"/>
            <w:gridSpan w:val="3"/>
            <w:tcBorders>
              <w:top w:val="single" w:sz="4" w:space="0" w:color="F39200"/>
              <w:left w:val="nil"/>
              <w:bottom w:val="single" w:sz="4" w:space="0" w:color="F39200"/>
              <w:right w:val="nil"/>
            </w:tcBorders>
            <w:shd w:val="clear" w:color="auto" w:fill="auto"/>
            <w:noWrap/>
            <w:vAlign w:val="center"/>
            <w:hideMark/>
          </w:tcPr>
          <w:p w14:paraId="4D279BC5" w14:textId="77777777" w:rsidR="008D3492" w:rsidRPr="00E20D21" w:rsidRDefault="008D3492" w:rsidP="00BD5472">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Níveis de valor justo</w:t>
            </w:r>
          </w:p>
        </w:tc>
      </w:tr>
      <w:tr w:rsidR="004B7325" w:rsidRPr="00E20D21" w14:paraId="3120010F" w14:textId="77777777" w:rsidTr="00272688">
        <w:trPr>
          <w:trHeight w:val="283"/>
        </w:trPr>
        <w:tc>
          <w:tcPr>
            <w:tcW w:w="1740" w:type="pct"/>
            <w:vMerge/>
            <w:tcBorders>
              <w:top w:val="single" w:sz="4" w:space="0" w:color="F39200"/>
              <w:left w:val="nil"/>
              <w:bottom w:val="single" w:sz="4" w:space="0" w:color="F39200"/>
              <w:right w:val="nil"/>
            </w:tcBorders>
            <w:vAlign w:val="center"/>
            <w:hideMark/>
          </w:tcPr>
          <w:p w14:paraId="3DAC14B7" w14:textId="77777777" w:rsidR="00BD5472" w:rsidRPr="00E20D21" w:rsidRDefault="00BD5472" w:rsidP="00BD5472">
            <w:pPr>
              <w:rPr>
                <w:rFonts w:ascii="CAIXA Std Book" w:eastAsia="Times New Roman" w:hAnsi="CAIXA Std Book" w:cs="Calibri"/>
                <w:b/>
                <w:bCs/>
                <w:color w:val="005CA9"/>
                <w:sz w:val="16"/>
                <w:szCs w:val="16"/>
              </w:rPr>
            </w:pPr>
          </w:p>
        </w:tc>
        <w:tc>
          <w:tcPr>
            <w:tcW w:w="623" w:type="pct"/>
            <w:tcBorders>
              <w:top w:val="single" w:sz="4" w:space="0" w:color="F39200"/>
              <w:left w:val="nil"/>
              <w:bottom w:val="single" w:sz="4" w:space="0" w:color="F39200"/>
              <w:right w:val="nil"/>
            </w:tcBorders>
            <w:shd w:val="clear" w:color="000000" w:fill="FFFFFF"/>
            <w:vAlign w:val="center"/>
          </w:tcPr>
          <w:p w14:paraId="4264BFDC" w14:textId="2FFA86F7" w:rsidR="00BD5472" w:rsidRPr="00E20D21" w:rsidRDefault="001918A7" w:rsidP="0009208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contábil</w:t>
            </w:r>
          </w:p>
        </w:tc>
        <w:tc>
          <w:tcPr>
            <w:tcW w:w="627" w:type="pct"/>
            <w:tcBorders>
              <w:top w:val="single" w:sz="4" w:space="0" w:color="F39200"/>
              <w:left w:val="nil"/>
              <w:bottom w:val="single" w:sz="4" w:space="0" w:color="F39200"/>
              <w:right w:val="nil"/>
            </w:tcBorders>
            <w:shd w:val="clear" w:color="000000" w:fill="FFFFFF"/>
            <w:noWrap/>
            <w:vAlign w:val="center"/>
            <w:hideMark/>
          </w:tcPr>
          <w:p w14:paraId="0DA39018" w14:textId="62F2AD34" w:rsidR="00BD5472" w:rsidRPr="00E20D21" w:rsidRDefault="00BD5472" w:rsidP="0009208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justo</w:t>
            </w:r>
          </w:p>
        </w:tc>
        <w:tc>
          <w:tcPr>
            <w:tcW w:w="692" w:type="pct"/>
            <w:tcBorders>
              <w:top w:val="nil"/>
              <w:left w:val="nil"/>
              <w:bottom w:val="single" w:sz="4" w:space="0" w:color="F39200"/>
              <w:right w:val="nil"/>
            </w:tcBorders>
            <w:shd w:val="clear" w:color="000000" w:fill="FFFFFF"/>
            <w:noWrap/>
            <w:vAlign w:val="center"/>
            <w:hideMark/>
          </w:tcPr>
          <w:p w14:paraId="56DB9380" w14:textId="77777777" w:rsidR="00BD5472" w:rsidRPr="00E20D21" w:rsidRDefault="00BD5472" w:rsidP="0009208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1</w:t>
            </w:r>
          </w:p>
        </w:tc>
        <w:tc>
          <w:tcPr>
            <w:tcW w:w="623" w:type="pct"/>
            <w:tcBorders>
              <w:top w:val="nil"/>
              <w:left w:val="nil"/>
              <w:bottom w:val="single" w:sz="4" w:space="0" w:color="F39200"/>
              <w:right w:val="nil"/>
            </w:tcBorders>
            <w:shd w:val="clear" w:color="000000" w:fill="FFFFFF"/>
            <w:noWrap/>
            <w:vAlign w:val="center"/>
            <w:hideMark/>
          </w:tcPr>
          <w:p w14:paraId="40B68AD7" w14:textId="77777777" w:rsidR="00BD5472" w:rsidRPr="00E20D21" w:rsidRDefault="00BD5472" w:rsidP="0009208E">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2</w:t>
            </w:r>
          </w:p>
        </w:tc>
        <w:tc>
          <w:tcPr>
            <w:tcW w:w="695" w:type="pct"/>
            <w:tcBorders>
              <w:top w:val="nil"/>
              <w:left w:val="nil"/>
              <w:bottom w:val="single" w:sz="4" w:space="0" w:color="F39200"/>
              <w:right w:val="nil"/>
            </w:tcBorders>
            <w:shd w:val="clear" w:color="000000" w:fill="FFFFFF"/>
            <w:noWrap/>
            <w:vAlign w:val="center"/>
            <w:hideMark/>
          </w:tcPr>
          <w:p w14:paraId="35F91ED1" w14:textId="77777777" w:rsidR="00BD5472" w:rsidRPr="00E20D21" w:rsidRDefault="00BD5472" w:rsidP="00BD5472">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3</w:t>
            </w:r>
          </w:p>
        </w:tc>
      </w:tr>
      <w:tr w:rsidR="00A47C19" w:rsidRPr="00E20D21" w14:paraId="3A24A1F1" w14:textId="77777777" w:rsidTr="00272688">
        <w:trPr>
          <w:trHeight w:val="283"/>
        </w:trPr>
        <w:tc>
          <w:tcPr>
            <w:tcW w:w="5000" w:type="pct"/>
            <w:gridSpan w:val="6"/>
            <w:tcBorders>
              <w:top w:val="nil"/>
              <w:left w:val="nil"/>
              <w:bottom w:val="single" w:sz="4" w:space="0" w:color="F39200"/>
              <w:right w:val="nil"/>
            </w:tcBorders>
            <w:shd w:val="clear" w:color="auto" w:fill="auto"/>
            <w:vAlign w:val="center"/>
            <w:hideMark/>
          </w:tcPr>
          <w:p w14:paraId="2B3C0F53" w14:textId="1B8BF039" w:rsidR="00193DCE" w:rsidRPr="00E20D21" w:rsidRDefault="00193DCE" w:rsidP="00193DCE">
            <w:pPr>
              <w:jc w:val="center"/>
              <w:rPr>
                <w:rFonts w:ascii="CAIXA Std Book" w:eastAsia="Times New Roman" w:hAnsi="CAIXA Std Book" w:cs="Calibri"/>
                <w:color w:val="005CA9"/>
                <w:sz w:val="16"/>
                <w:szCs w:val="16"/>
              </w:rPr>
            </w:pPr>
            <w:r w:rsidRPr="00E20D21">
              <w:rPr>
                <w:rFonts w:ascii="CAIXA Std Book" w:eastAsia="Times New Roman" w:hAnsi="CAIXA Std Book" w:cs="Calibri"/>
                <w:b/>
                <w:bCs/>
                <w:color w:val="005CA9"/>
                <w:sz w:val="16"/>
                <w:szCs w:val="16"/>
              </w:rPr>
              <w:t>Ativos e passivos financeiros mensurados a valor justo</w:t>
            </w:r>
          </w:p>
        </w:tc>
      </w:tr>
      <w:tr w:rsidR="00A47C19" w:rsidRPr="00E20D21" w14:paraId="3AAAE55E" w14:textId="77777777" w:rsidTr="00272688">
        <w:trPr>
          <w:trHeight w:val="283"/>
        </w:trPr>
        <w:tc>
          <w:tcPr>
            <w:tcW w:w="1740" w:type="pct"/>
            <w:tcBorders>
              <w:top w:val="nil"/>
              <w:left w:val="nil"/>
              <w:bottom w:val="nil"/>
              <w:right w:val="nil"/>
            </w:tcBorders>
            <w:shd w:val="clear" w:color="auto" w:fill="auto"/>
            <w:noWrap/>
            <w:vAlign w:val="center"/>
            <w:hideMark/>
          </w:tcPr>
          <w:p w14:paraId="2A657CA2" w14:textId="77777777" w:rsidR="00BD5472" w:rsidRPr="00E20D21" w:rsidRDefault="00BD5472" w:rsidP="00193DCE">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ATIVO</w:t>
            </w:r>
          </w:p>
        </w:tc>
        <w:tc>
          <w:tcPr>
            <w:tcW w:w="623" w:type="pct"/>
            <w:tcBorders>
              <w:top w:val="nil"/>
              <w:left w:val="nil"/>
              <w:bottom w:val="nil"/>
              <w:right w:val="nil"/>
            </w:tcBorders>
            <w:vAlign w:val="center"/>
          </w:tcPr>
          <w:p w14:paraId="36A86158" w14:textId="6F058E67" w:rsidR="00BD5472" w:rsidRPr="00E20D21" w:rsidRDefault="00BD5472" w:rsidP="00193DCE">
            <w:pPr>
              <w:jc w:val="right"/>
              <w:rPr>
                <w:rFonts w:ascii="CAIXA Std Book" w:eastAsia="Times New Roman" w:hAnsi="CAIXA Std Book" w:cs="Calibri"/>
                <w:b/>
                <w:bCs/>
                <w:color w:val="005CA9"/>
                <w:sz w:val="16"/>
                <w:szCs w:val="16"/>
              </w:rPr>
            </w:pPr>
          </w:p>
        </w:tc>
        <w:tc>
          <w:tcPr>
            <w:tcW w:w="627" w:type="pct"/>
            <w:tcBorders>
              <w:top w:val="nil"/>
              <w:left w:val="nil"/>
              <w:bottom w:val="nil"/>
              <w:right w:val="nil"/>
            </w:tcBorders>
            <w:shd w:val="clear" w:color="auto" w:fill="auto"/>
            <w:noWrap/>
            <w:vAlign w:val="center"/>
            <w:hideMark/>
          </w:tcPr>
          <w:p w14:paraId="126B23C7" w14:textId="794DBF14" w:rsidR="00BD5472" w:rsidRPr="00E20D21" w:rsidRDefault="00BD5472" w:rsidP="00193DCE">
            <w:pPr>
              <w:jc w:val="right"/>
              <w:rPr>
                <w:rFonts w:ascii="CAIXA Std Book" w:eastAsia="Times New Roman" w:hAnsi="CAIXA Std Book" w:cs="Calibri"/>
                <w:b/>
                <w:bCs/>
                <w:color w:val="005CA9"/>
                <w:sz w:val="16"/>
                <w:szCs w:val="16"/>
              </w:rPr>
            </w:pPr>
          </w:p>
        </w:tc>
        <w:tc>
          <w:tcPr>
            <w:tcW w:w="692" w:type="pct"/>
            <w:tcBorders>
              <w:top w:val="nil"/>
              <w:left w:val="nil"/>
              <w:bottom w:val="nil"/>
              <w:right w:val="nil"/>
            </w:tcBorders>
            <w:shd w:val="clear" w:color="auto" w:fill="auto"/>
            <w:noWrap/>
            <w:vAlign w:val="center"/>
            <w:hideMark/>
          </w:tcPr>
          <w:p w14:paraId="3348435D" w14:textId="77777777" w:rsidR="00BD5472" w:rsidRPr="00E20D21" w:rsidRDefault="00BD5472" w:rsidP="00193DCE">
            <w:pPr>
              <w:jc w:val="right"/>
              <w:rPr>
                <w:rFonts w:ascii="CAIXA Std Book" w:eastAsia="Times New Roman" w:hAnsi="CAIXA Std Book" w:cs="Times New Roman"/>
                <w:color w:val="005CA9"/>
                <w:sz w:val="16"/>
                <w:szCs w:val="16"/>
              </w:rPr>
            </w:pPr>
          </w:p>
        </w:tc>
        <w:tc>
          <w:tcPr>
            <w:tcW w:w="623" w:type="pct"/>
            <w:tcBorders>
              <w:top w:val="nil"/>
              <w:left w:val="nil"/>
              <w:bottom w:val="nil"/>
              <w:right w:val="nil"/>
            </w:tcBorders>
            <w:shd w:val="clear" w:color="auto" w:fill="auto"/>
            <w:noWrap/>
            <w:vAlign w:val="center"/>
            <w:hideMark/>
          </w:tcPr>
          <w:p w14:paraId="764D17DB" w14:textId="77777777" w:rsidR="00BD5472" w:rsidRPr="00E20D21" w:rsidRDefault="00BD5472" w:rsidP="00193DCE">
            <w:pPr>
              <w:jc w:val="right"/>
              <w:rPr>
                <w:rFonts w:ascii="CAIXA Std Book" w:eastAsia="Times New Roman" w:hAnsi="CAIXA Std Book" w:cs="Times New Roman"/>
                <w:color w:val="005CA9"/>
                <w:sz w:val="16"/>
                <w:szCs w:val="16"/>
              </w:rPr>
            </w:pPr>
          </w:p>
        </w:tc>
        <w:tc>
          <w:tcPr>
            <w:tcW w:w="695" w:type="pct"/>
            <w:tcBorders>
              <w:top w:val="nil"/>
              <w:left w:val="nil"/>
              <w:bottom w:val="nil"/>
              <w:right w:val="nil"/>
            </w:tcBorders>
            <w:shd w:val="clear" w:color="auto" w:fill="auto"/>
            <w:noWrap/>
            <w:vAlign w:val="center"/>
            <w:hideMark/>
          </w:tcPr>
          <w:p w14:paraId="06991AEF" w14:textId="77777777" w:rsidR="00BD5472" w:rsidRPr="00E20D21" w:rsidRDefault="00BD5472" w:rsidP="00193DCE">
            <w:pPr>
              <w:jc w:val="right"/>
              <w:rPr>
                <w:rFonts w:ascii="CAIXA Std Book" w:eastAsia="Times New Roman" w:hAnsi="CAIXA Std Book" w:cs="Times New Roman"/>
                <w:color w:val="005CA9"/>
                <w:sz w:val="16"/>
                <w:szCs w:val="16"/>
              </w:rPr>
            </w:pPr>
          </w:p>
        </w:tc>
      </w:tr>
      <w:tr w:rsidR="00A47C19" w:rsidRPr="00E20D21" w14:paraId="785302DB" w14:textId="77777777" w:rsidTr="00272688">
        <w:trPr>
          <w:trHeight w:val="283"/>
        </w:trPr>
        <w:tc>
          <w:tcPr>
            <w:tcW w:w="1740" w:type="pct"/>
            <w:tcBorders>
              <w:top w:val="nil"/>
              <w:left w:val="nil"/>
              <w:bottom w:val="nil"/>
              <w:right w:val="nil"/>
            </w:tcBorders>
            <w:shd w:val="clear" w:color="auto" w:fill="auto"/>
            <w:noWrap/>
            <w:vAlign w:val="center"/>
            <w:hideMark/>
          </w:tcPr>
          <w:p w14:paraId="492E16DF" w14:textId="77777777" w:rsidR="00BD5472" w:rsidRPr="00E20D21" w:rsidRDefault="00BD5472" w:rsidP="00193DCE">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xml:space="preserve">Ativos Financeiros </w:t>
            </w:r>
          </w:p>
        </w:tc>
        <w:tc>
          <w:tcPr>
            <w:tcW w:w="623" w:type="pct"/>
            <w:tcBorders>
              <w:top w:val="nil"/>
              <w:left w:val="nil"/>
              <w:bottom w:val="nil"/>
              <w:right w:val="nil"/>
            </w:tcBorders>
            <w:vAlign w:val="center"/>
          </w:tcPr>
          <w:p w14:paraId="67041BDF" w14:textId="30229FEF" w:rsidR="00BD5472" w:rsidRPr="00E20D21" w:rsidRDefault="00FF041B" w:rsidP="004A3A0F">
            <w:pPr>
              <w:jc w:val="right"/>
              <w:rPr>
                <w:rFonts w:ascii="CAIXA Std Book" w:hAnsi="CAIXA Std Book"/>
                <w:b/>
                <w:color w:val="005CA9"/>
                <w:sz w:val="16"/>
                <w:szCs w:val="16"/>
              </w:rPr>
            </w:pPr>
            <w:r w:rsidRPr="00E20D21">
              <w:rPr>
                <w:rFonts w:ascii="CAIXA Std Book" w:hAnsi="CAIXA Std Book" w:cs="Calibri"/>
                <w:b/>
                <w:bCs/>
                <w:color w:val="005CA9"/>
                <w:sz w:val="16"/>
                <w:szCs w:val="16"/>
              </w:rPr>
              <w:t>1.857.413.768</w:t>
            </w:r>
          </w:p>
        </w:tc>
        <w:tc>
          <w:tcPr>
            <w:tcW w:w="627" w:type="pct"/>
            <w:tcBorders>
              <w:top w:val="nil"/>
              <w:left w:val="nil"/>
              <w:bottom w:val="nil"/>
              <w:right w:val="nil"/>
            </w:tcBorders>
            <w:shd w:val="clear" w:color="auto" w:fill="auto"/>
            <w:noWrap/>
            <w:vAlign w:val="center"/>
          </w:tcPr>
          <w:p w14:paraId="08304D0B" w14:textId="3E05FA8D" w:rsidR="00BD5472" w:rsidRPr="00E20D21" w:rsidRDefault="00FF041B" w:rsidP="00193DCE">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1.665.526.22</w:t>
            </w:r>
            <w:r w:rsidR="00DD2FBA" w:rsidRPr="00E20D21">
              <w:rPr>
                <w:rFonts w:ascii="CAIXA Std Book" w:hAnsi="CAIXA Std Book" w:cs="Calibri"/>
                <w:b/>
                <w:bCs/>
                <w:color w:val="005CA9"/>
                <w:sz w:val="16"/>
                <w:szCs w:val="16"/>
              </w:rPr>
              <w:t>8</w:t>
            </w:r>
          </w:p>
        </w:tc>
        <w:tc>
          <w:tcPr>
            <w:tcW w:w="692" w:type="pct"/>
            <w:tcBorders>
              <w:top w:val="nil"/>
              <w:left w:val="nil"/>
              <w:bottom w:val="nil"/>
              <w:right w:val="nil"/>
            </w:tcBorders>
            <w:shd w:val="clear" w:color="auto" w:fill="auto"/>
            <w:noWrap/>
            <w:vAlign w:val="center"/>
          </w:tcPr>
          <w:p w14:paraId="40086547" w14:textId="7867A626" w:rsidR="00BD5472" w:rsidRPr="00E20D21" w:rsidRDefault="00FF041B" w:rsidP="00193DCE">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272.379.168</w:t>
            </w:r>
          </w:p>
        </w:tc>
        <w:tc>
          <w:tcPr>
            <w:tcW w:w="623" w:type="pct"/>
            <w:tcBorders>
              <w:top w:val="nil"/>
              <w:left w:val="nil"/>
              <w:bottom w:val="nil"/>
              <w:right w:val="nil"/>
            </w:tcBorders>
            <w:shd w:val="clear" w:color="auto" w:fill="auto"/>
            <w:noWrap/>
            <w:vAlign w:val="center"/>
          </w:tcPr>
          <w:p w14:paraId="1D223D2C" w14:textId="68D2E93C" w:rsidR="00BD5472" w:rsidRPr="00E20D21" w:rsidRDefault="00FF041B" w:rsidP="00193DCE">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1.383.544.97</w:t>
            </w:r>
            <w:r w:rsidR="00CA6EA6" w:rsidRPr="00E20D21">
              <w:rPr>
                <w:rFonts w:ascii="CAIXA Std Book" w:hAnsi="CAIXA Std Book" w:cs="Calibri"/>
                <w:b/>
                <w:bCs/>
                <w:color w:val="005CA9"/>
                <w:sz w:val="16"/>
                <w:szCs w:val="16"/>
              </w:rPr>
              <w:t>1</w:t>
            </w:r>
          </w:p>
        </w:tc>
        <w:tc>
          <w:tcPr>
            <w:tcW w:w="695" w:type="pct"/>
            <w:tcBorders>
              <w:top w:val="nil"/>
              <w:left w:val="nil"/>
              <w:bottom w:val="nil"/>
              <w:right w:val="nil"/>
            </w:tcBorders>
            <w:shd w:val="clear" w:color="auto" w:fill="auto"/>
            <w:noWrap/>
            <w:vAlign w:val="center"/>
          </w:tcPr>
          <w:p w14:paraId="4591756F" w14:textId="732FE614" w:rsidR="00BD5472" w:rsidRPr="00E20D21" w:rsidRDefault="00FF041B" w:rsidP="00193DCE">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9.602.089</w:t>
            </w:r>
          </w:p>
        </w:tc>
      </w:tr>
      <w:tr w:rsidR="00A47C19" w:rsidRPr="00E20D21" w14:paraId="7DEEC3F4" w14:textId="77777777" w:rsidTr="00272688">
        <w:trPr>
          <w:trHeight w:val="283"/>
        </w:trPr>
        <w:tc>
          <w:tcPr>
            <w:tcW w:w="1740" w:type="pct"/>
            <w:tcBorders>
              <w:top w:val="nil"/>
              <w:left w:val="nil"/>
              <w:bottom w:val="nil"/>
              <w:right w:val="nil"/>
            </w:tcBorders>
            <w:shd w:val="clear" w:color="auto" w:fill="auto"/>
            <w:noWrap/>
            <w:vAlign w:val="center"/>
            <w:hideMark/>
          </w:tcPr>
          <w:p w14:paraId="5E4A9D1D" w14:textId="77777777" w:rsidR="007F12B1" w:rsidRPr="00E20D21" w:rsidRDefault="007F12B1" w:rsidP="00225A23">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Aplicações interfinanceiras de liquidez</w:t>
            </w:r>
          </w:p>
        </w:tc>
        <w:tc>
          <w:tcPr>
            <w:tcW w:w="623" w:type="pct"/>
            <w:tcBorders>
              <w:top w:val="nil"/>
              <w:left w:val="nil"/>
              <w:bottom w:val="nil"/>
              <w:right w:val="nil"/>
            </w:tcBorders>
            <w:vAlign w:val="center"/>
          </w:tcPr>
          <w:p w14:paraId="6F7A40EB" w14:textId="37E71E45" w:rsidR="007F12B1" w:rsidRPr="00E20D21" w:rsidRDefault="00FF041B" w:rsidP="00225A23">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184.470.736</w:t>
            </w:r>
          </w:p>
        </w:tc>
        <w:tc>
          <w:tcPr>
            <w:tcW w:w="627" w:type="pct"/>
            <w:tcBorders>
              <w:top w:val="nil"/>
              <w:left w:val="nil"/>
              <w:bottom w:val="nil"/>
              <w:right w:val="nil"/>
            </w:tcBorders>
            <w:shd w:val="clear" w:color="auto" w:fill="auto"/>
            <w:noWrap/>
            <w:vAlign w:val="center"/>
          </w:tcPr>
          <w:p w14:paraId="401959FA" w14:textId="48F44F80" w:rsidR="007F12B1" w:rsidRPr="00E20D21" w:rsidRDefault="00FF041B" w:rsidP="00225A23">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130.902.511</w:t>
            </w:r>
          </w:p>
        </w:tc>
        <w:tc>
          <w:tcPr>
            <w:tcW w:w="692" w:type="pct"/>
            <w:tcBorders>
              <w:top w:val="nil"/>
              <w:left w:val="nil"/>
              <w:bottom w:val="nil"/>
              <w:right w:val="nil"/>
            </w:tcBorders>
            <w:shd w:val="clear" w:color="auto" w:fill="auto"/>
            <w:noWrap/>
            <w:vAlign w:val="center"/>
          </w:tcPr>
          <w:p w14:paraId="279DA729" w14:textId="4D5132F1" w:rsidR="007F12B1"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c>
          <w:tcPr>
            <w:tcW w:w="623" w:type="pct"/>
            <w:tcBorders>
              <w:top w:val="nil"/>
              <w:left w:val="nil"/>
              <w:bottom w:val="nil"/>
              <w:right w:val="nil"/>
            </w:tcBorders>
            <w:shd w:val="clear" w:color="auto" w:fill="auto"/>
            <w:noWrap/>
            <w:vAlign w:val="center"/>
          </w:tcPr>
          <w:p w14:paraId="6622937A" w14:textId="364ADEB7" w:rsidR="007F12B1" w:rsidRPr="00E20D21" w:rsidRDefault="00FF041B" w:rsidP="00225A23">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130.902.511</w:t>
            </w:r>
          </w:p>
        </w:tc>
        <w:tc>
          <w:tcPr>
            <w:tcW w:w="695" w:type="pct"/>
            <w:tcBorders>
              <w:top w:val="nil"/>
              <w:left w:val="nil"/>
              <w:bottom w:val="nil"/>
              <w:right w:val="nil"/>
            </w:tcBorders>
            <w:shd w:val="clear" w:color="auto" w:fill="auto"/>
            <w:noWrap/>
            <w:vAlign w:val="center"/>
          </w:tcPr>
          <w:p w14:paraId="5780A961" w14:textId="7A8DC5D0" w:rsidR="007F12B1"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6FDC9BD2" w14:textId="77777777" w:rsidTr="00272688">
        <w:trPr>
          <w:trHeight w:val="283"/>
        </w:trPr>
        <w:tc>
          <w:tcPr>
            <w:tcW w:w="1740" w:type="pct"/>
            <w:tcBorders>
              <w:top w:val="nil"/>
              <w:left w:val="nil"/>
              <w:bottom w:val="nil"/>
              <w:right w:val="nil"/>
            </w:tcBorders>
            <w:shd w:val="clear" w:color="auto" w:fill="auto"/>
            <w:noWrap/>
            <w:vAlign w:val="center"/>
            <w:hideMark/>
          </w:tcPr>
          <w:p w14:paraId="23A17C1A" w14:textId="71B3F226" w:rsidR="00A901DD" w:rsidRPr="00E20D21" w:rsidRDefault="00A901DD" w:rsidP="00193DCE">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Depósitos no Banco Central</w:t>
            </w:r>
          </w:p>
        </w:tc>
        <w:tc>
          <w:tcPr>
            <w:tcW w:w="623" w:type="pct"/>
            <w:tcBorders>
              <w:top w:val="nil"/>
              <w:left w:val="nil"/>
              <w:bottom w:val="nil"/>
              <w:right w:val="nil"/>
            </w:tcBorders>
            <w:vAlign w:val="center"/>
          </w:tcPr>
          <w:p w14:paraId="481900D0" w14:textId="66DA02A3"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140.257.502</w:t>
            </w:r>
          </w:p>
        </w:tc>
        <w:tc>
          <w:tcPr>
            <w:tcW w:w="627" w:type="pct"/>
            <w:tcBorders>
              <w:top w:val="nil"/>
              <w:left w:val="nil"/>
              <w:bottom w:val="nil"/>
              <w:right w:val="nil"/>
            </w:tcBorders>
            <w:shd w:val="clear" w:color="auto" w:fill="auto"/>
            <w:noWrap/>
            <w:vAlign w:val="center"/>
          </w:tcPr>
          <w:p w14:paraId="0522C4B2" w14:textId="37F0AC66"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184.471.234</w:t>
            </w:r>
          </w:p>
        </w:tc>
        <w:tc>
          <w:tcPr>
            <w:tcW w:w="692" w:type="pct"/>
            <w:tcBorders>
              <w:top w:val="nil"/>
              <w:left w:val="nil"/>
              <w:bottom w:val="nil"/>
              <w:right w:val="nil"/>
            </w:tcBorders>
            <w:shd w:val="clear" w:color="auto" w:fill="auto"/>
            <w:noWrap/>
            <w:vAlign w:val="center"/>
          </w:tcPr>
          <w:p w14:paraId="21E08C93" w14:textId="0E91FDF2" w:rsidR="00A901DD"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c>
          <w:tcPr>
            <w:tcW w:w="623" w:type="pct"/>
            <w:tcBorders>
              <w:top w:val="nil"/>
              <w:left w:val="nil"/>
              <w:bottom w:val="nil"/>
              <w:right w:val="nil"/>
            </w:tcBorders>
            <w:shd w:val="clear" w:color="auto" w:fill="auto"/>
            <w:noWrap/>
            <w:vAlign w:val="center"/>
          </w:tcPr>
          <w:p w14:paraId="3E7DA7D0" w14:textId="3ED52D06"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184.471.234</w:t>
            </w:r>
          </w:p>
        </w:tc>
        <w:tc>
          <w:tcPr>
            <w:tcW w:w="695" w:type="pct"/>
            <w:tcBorders>
              <w:top w:val="nil"/>
              <w:left w:val="nil"/>
              <w:bottom w:val="nil"/>
              <w:right w:val="nil"/>
            </w:tcBorders>
            <w:shd w:val="clear" w:color="auto" w:fill="auto"/>
            <w:noWrap/>
            <w:vAlign w:val="center"/>
          </w:tcPr>
          <w:p w14:paraId="759BAA2E" w14:textId="41D2A142" w:rsidR="00A901DD"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54212159" w14:textId="77777777" w:rsidTr="00272688">
        <w:trPr>
          <w:trHeight w:val="283"/>
        </w:trPr>
        <w:tc>
          <w:tcPr>
            <w:tcW w:w="1740" w:type="pct"/>
            <w:tcBorders>
              <w:top w:val="nil"/>
              <w:left w:val="nil"/>
              <w:bottom w:val="nil"/>
              <w:right w:val="nil"/>
            </w:tcBorders>
            <w:shd w:val="clear" w:color="auto" w:fill="auto"/>
            <w:noWrap/>
            <w:vAlign w:val="center"/>
            <w:hideMark/>
          </w:tcPr>
          <w:p w14:paraId="642AB0A7" w14:textId="77777777" w:rsidR="00A901DD" w:rsidRPr="00E20D21" w:rsidRDefault="00A901DD" w:rsidP="00193DCE">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Títulos e Valores Mobiliários</w:t>
            </w:r>
          </w:p>
        </w:tc>
        <w:tc>
          <w:tcPr>
            <w:tcW w:w="623" w:type="pct"/>
            <w:tcBorders>
              <w:top w:val="nil"/>
              <w:left w:val="nil"/>
              <w:bottom w:val="nil"/>
              <w:right w:val="nil"/>
            </w:tcBorders>
            <w:vAlign w:val="center"/>
          </w:tcPr>
          <w:p w14:paraId="11E279E1" w14:textId="2204C6BA" w:rsidR="00A901DD" w:rsidRPr="00E20D21" w:rsidRDefault="00FF041B" w:rsidP="00193DCE">
            <w:pPr>
              <w:jc w:val="right"/>
              <w:rPr>
                <w:rFonts w:ascii="CAIXA Std Book" w:hAnsi="CAIXA Std Book"/>
                <w:color w:val="005CA9"/>
                <w:sz w:val="16"/>
                <w:szCs w:val="16"/>
              </w:rPr>
            </w:pPr>
            <w:r w:rsidRPr="00E20D21">
              <w:rPr>
                <w:rFonts w:ascii="CAIXA Std Book" w:hAnsi="CAIXA Std Book" w:cs="Calibri"/>
                <w:color w:val="005CA9"/>
                <w:sz w:val="16"/>
                <w:szCs w:val="16"/>
              </w:rPr>
              <w:t>295.706.773</w:t>
            </w:r>
          </w:p>
        </w:tc>
        <w:tc>
          <w:tcPr>
            <w:tcW w:w="627" w:type="pct"/>
            <w:tcBorders>
              <w:top w:val="nil"/>
              <w:left w:val="nil"/>
              <w:bottom w:val="nil"/>
              <w:right w:val="nil"/>
            </w:tcBorders>
            <w:shd w:val="clear" w:color="auto" w:fill="auto"/>
            <w:noWrap/>
            <w:vAlign w:val="center"/>
          </w:tcPr>
          <w:p w14:paraId="54C7EACE" w14:textId="2AEE46E2"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284.469.40</w:t>
            </w:r>
            <w:r w:rsidR="00DD2FBA" w:rsidRPr="00E20D21">
              <w:rPr>
                <w:rFonts w:ascii="CAIXA Std Book" w:hAnsi="CAIXA Std Book" w:cs="Calibri"/>
                <w:color w:val="005CA9"/>
                <w:sz w:val="16"/>
                <w:szCs w:val="16"/>
              </w:rPr>
              <w:t>6</w:t>
            </w:r>
          </w:p>
        </w:tc>
        <w:tc>
          <w:tcPr>
            <w:tcW w:w="692" w:type="pct"/>
            <w:tcBorders>
              <w:top w:val="nil"/>
              <w:left w:val="nil"/>
              <w:bottom w:val="nil"/>
              <w:right w:val="nil"/>
            </w:tcBorders>
            <w:shd w:val="clear" w:color="auto" w:fill="auto"/>
            <w:noWrap/>
            <w:vAlign w:val="center"/>
          </w:tcPr>
          <w:p w14:paraId="1487CF82" w14:textId="752EF2E1"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272.379.168</w:t>
            </w:r>
          </w:p>
        </w:tc>
        <w:tc>
          <w:tcPr>
            <w:tcW w:w="623" w:type="pct"/>
            <w:tcBorders>
              <w:top w:val="nil"/>
              <w:left w:val="nil"/>
              <w:bottom w:val="nil"/>
              <w:right w:val="nil"/>
            </w:tcBorders>
            <w:shd w:val="clear" w:color="auto" w:fill="auto"/>
            <w:noWrap/>
            <w:vAlign w:val="center"/>
          </w:tcPr>
          <w:p w14:paraId="39306C91" w14:textId="23C801A4"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2.488.149</w:t>
            </w:r>
          </w:p>
        </w:tc>
        <w:tc>
          <w:tcPr>
            <w:tcW w:w="695" w:type="pct"/>
            <w:tcBorders>
              <w:top w:val="nil"/>
              <w:left w:val="nil"/>
              <w:bottom w:val="nil"/>
              <w:right w:val="nil"/>
            </w:tcBorders>
            <w:shd w:val="clear" w:color="auto" w:fill="auto"/>
            <w:noWrap/>
            <w:vAlign w:val="center"/>
          </w:tcPr>
          <w:p w14:paraId="11C1D550" w14:textId="026A81EC"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9.602.089</w:t>
            </w:r>
          </w:p>
        </w:tc>
      </w:tr>
      <w:tr w:rsidR="00A47C19" w:rsidRPr="00E20D21" w14:paraId="36638926" w14:textId="77777777" w:rsidTr="00272688">
        <w:trPr>
          <w:trHeight w:val="283"/>
        </w:trPr>
        <w:tc>
          <w:tcPr>
            <w:tcW w:w="1740" w:type="pct"/>
            <w:tcBorders>
              <w:top w:val="nil"/>
              <w:left w:val="nil"/>
              <w:bottom w:val="nil"/>
              <w:right w:val="nil"/>
            </w:tcBorders>
            <w:shd w:val="clear" w:color="auto" w:fill="auto"/>
            <w:noWrap/>
            <w:vAlign w:val="center"/>
            <w:hideMark/>
          </w:tcPr>
          <w:p w14:paraId="16093185" w14:textId="77777777" w:rsidR="00A901DD" w:rsidRPr="00E20D21" w:rsidRDefault="00A901DD" w:rsidP="00193DCE">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Instrumentos financeiros derivativos</w:t>
            </w:r>
          </w:p>
        </w:tc>
        <w:tc>
          <w:tcPr>
            <w:tcW w:w="623" w:type="pct"/>
            <w:tcBorders>
              <w:top w:val="nil"/>
              <w:left w:val="nil"/>
              <w:bottom w:val="nil"/>
              <w:right w:val="nil"/>
            </w:tcBorders>
            <w:vAlign w:val="center"/>
          </w:tcPr>
          <w:p w14:paraId="3F09B115" w14:textId="641E3D17"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7.437</w:t>
            </w:r>
          </w:p>
        </w:tc>
        <w:tc>
          <w:tcPr>
            <w:tcW w:w="627" w:type="pct"/>
            <w:tcBorders>
              <w:top w:val="nil"/>
              <w:left w:val="nil"/>
              <w:bottom w:val="nil"/>
              <w:right w:val="nil"/>
            </w:tcBorders>
            <w:shd w:val="clear" w:color="auto" w:fill="auto"/>
            <w:noWrap/>
            <w:vAlign w:val="center"/>
          </w:tcPr>
          <w:p w14:paraId="79BD7B27" w14:textId="516FDE66"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7.229</w:t>
            </w:r>
          </w:p>
        </w:tc>
        <w:tc>
          <w:tcPr>
            <w:tcW w:w="692" w:type="pct"/>
            <w:tcBorders>
              <w:top w:val="nil"/>
              <w:left w:val="nil"/>
              <w:bottom w:val="nil"/>
              <w:right w:val="nil"/>
            </w:tcBorders>
            <w:shd w:val="clear" w:color="auto" w:fill="auto"/>
            <w:noWrap/>
            <w:vAlign w:val="center"/>
          </w:tcPr>
          <w:p w14:paraId="752A7E14" w14:textId="4BB8C4A8" w:rsidR="00A901DD"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c>
          <w:tcPr>
            <w:tcW w:w="623" w:type="pct"/>
            <w:tcBorders>
              <w:top w:val="nil"/>
              <w:left w:val="nil"/>
              <w:bottom w:val="nil"/>
              <w:right w:val="nil"/>
            </w:tcBorders>
            <w:shd w:val="clear" w:color="auto" w:fill="auto"/>
            <w:noWrap/>
            <w:vAlign w:val="center"/>
          </w:tcPr>
          <w:p w14:paraId="7A33A94B" w14:textId="34B119CE"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7.229</w:t>
            </w:r>
          </w:p>
        </w:tc>
        <w:tc>
          <w:tcPr>
            <w:tcW w:w="695" w:type="pct"/>
            <w:tcBorders>
              <w:top w:val="nil"/>
              <w:left w:val="nil"/>
              <w:bottom w:val="nil"/>
              <w:right w:val="nil"/>
            </w:tcBorders>
            <w:shd w:val="clear" w:color="auto" w:fill="auto"/>
            <w:noWrap/>
            <w:vAlign w:val="center"/>
          </w:tcPr>
          <w:p w14:paraId="2AF28EF8" w14:textId="3E27A885" w:rsidR="00A901DD"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23A21E24" w14:textId="77777777" w:rsidTr="00272688">
        <w:trPr>
          <w:trHeight w:val="283"/>
        </w:trPr>
        <w:tc>
          <w:tcPr>
            <w:tcW w:w="1740" w:type="pct"/>
            <w:tcBorders>
              <w:top w:val="nil"/>
              <w:left w:val="nil"/>
              <w:right w:val="nil"/>
            </w:tcBorders>
            <w:shd w:val="clear" w:color="auto" w:fill="auto"/>
            <w:noWrap/>
            <w:vAlign w:val="center"/>
            <w:hideMark/>
          </w:tcPr>
          <w:p w14:paraId="23915478" w14:textId="77777777" w:rsidR="00A901DD" w:rsidRPr="00E20D21" w:rsidRDefault="00A901DD" w:rsidP="00193DCE">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Carteira de crédito</w:t>
            </w:r>
          </w:p>
        </w:tc>
        <w:tc>
          <w:tcPr>
            <w:tcW w:w="623" w:type="pct"/>
            <w:tcBorders>
              <w:top w:val="nil"/>
              <w:left w:val="nil"/>
              <w:right w:val="nil"/>
            </w:tcBorders>
            <w:vAlign w:val="center"/>
          </w:tcPr>
          <w:p w14:paraId="6F46D8F3" w14:textId="3D1EBF80" w:rsidR="00A901DD" w:rsidRPr="00E20D21" w:rsidRDefault="00FF041B" w:rsidP="00193DCE">
            <w:pPr>
              <w:jc w:val="right"/>
              <w:rPr>
                <w:rFonts w:ascii="CAIXA Std Book" w:hAnsi="CAIXA Std Book"/>
                <w:color w:val="005CA9"/>
                <w:sz w:val="16"/>
                <w:szCs w:val="16"/>
              </w:rPr>
            </w:pPr>
            <w:r w:rsidRPr="00E20D21">
              <w:rPr>
                <w:rFonts w:ascii="CAIXA Std Book" w:hAnsi="CAIXA Std Book" w:cs="Calibri"/>
                <w:color w:val="005CA9"/>
                <w:sz w:val="16"/>
                <w:szCs w:val="16"/>
              </w:rPr>
              <w:t>1.175.225.425</w:t>
            </w:r>
          </w:p>
        </w:tc>
        <w:tc>
          <w:tcPr>
            <w:tcW w:w="627" w:type="pct"/>
            <w:tcBorders>
              <w:top w:val="nil"/>
              <w:left w:val="nil"/>
              <w:right w:val="nil"/>
            </w:tcBorders>
            <w:shd w:val="clear" w:color="auto" w:fill="auto"/>
            <w:noWrap/>
            <w:vAlign w:val="center"/>
          </w:tcPr>
          <w:p w14:paraId="19623505" w14:textId="67FCBB4F"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1.009.446.728</w:t>
            </w:r>
          </w:p>
        </w:tc>
        <w:tc>
          <w:tcPr>
            <w:tcW w:w="692" w:type="pct"/>
            <w:tcBorders>
              <w:top w:val="nil"/>
              <w:left w:val="nil"/>
              <w:right w:val="nil"/>
            </w:tcBorders>
            <w:shd w:val="clear" w:color="auto" w:fill="auto"/>
            <w:noWrap/>
            <w:vAlign w:val="center"/>
          </w:tcPr>
          <w:p w14:paraId="6798C7D9" w14:textId="6296CAAD" w:rsidR="00A901DD"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c>
          <w:tcPr>
            <w:tcW w:w="623" w:type="pct"/>
            <w:tcBorders>
              <w:top w:val="nil"/>
              <w:left w:val="nil"/>
              <w:right w:val="nil"/>
            </w:tcBorders>
            <w:shd w:val="clear" w:color="auto" w:fill="auto"/>
            <w:noWrap/>
            <w:vAlign w:val="center"/>
          </w:tcPr>
          <w:p w14:paraId="6B37B129" w14:textId="2D44214C"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1.009.446.728</w:t>
            </w:r>
          </w:p>
        </w:tc>
        <w:tc>
          <w:tcPr>
            <w:tcW w:w="695" w:type="pct"/>
            <w:tcBorders>
              <w:top w:val="nil"/>
              <w:left w:val="nil"/>
              <w:right w:val="nil"/>
            </w:tcBorders>
            <w:shd w:val="clear" w:color="auto" w:fill="auto"/>
            <w:noWrap/>
            <w:vAlign w:val="center"/>
          </w:tcPr>
          <w:p w14:paraId="52947039" w14:textId="00A46D29" w:rsidR="00A901DD"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1E74DDB1" w14:textId="77777777" w:rsidTr="00272688">
        <w:trPr>
          <w:trHeight w:val="283"/>
        </w:trPr>
        <w:tc>
          <w:tcPr>
            <w:tcW w:w="1740" w:type="pct"/>
            <w:tcBorders>
              <w:top w:val="nil"/>
              <w:left w:val="nil"/>
              <w:right w:val="nil"/>
            </w:tcBorders>
            <w:shd w:val="clear" w:color="auto" w:fill="auto"/>
            <w:noWrap/>
            <w:vAlign w:val="center"/>
            <w:hideMark/>
          </w:tcPr>
          <w:p w14:paraId="1D6AFFFB" w14:textId="77777777" w:rsidR="00A901DD" w:rsidRPr="00E20D21" w:rsidRDefault="00A901DD" w:rsidP="00193DCE">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Outros ativos financeiros</w:t>
            </w:r>
          </w:p>
        </w:tc>
        <w:tc>
          <w:tcPr>
            <w:tcW w:w="623" w:type="pct"/>
            <w:tcBorders>
              <w:top w:val="nil"/>
              <w:left w:val="nil"/>
              <w:right w:val="nil"/>
            </w:tcBorders>
            <w:vAlign w:val="center"/>
          </w:tcPr>
          <w:p w14:paraId="413BF5B8" w14:textId="77BE025A"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61.745.895</w:t>
            </w:r>
          </w:p>
        </w:tc>
        <w:tc>
          <w:tcPr>
            <w:tcW w:w="627" w:type="pct"/>
            <w:tcBorders>
              <w:top w:val="nil"/>
              <w:left w:val="nil"/>
              <w:right w:val="nil"/>
            </w:tcBorders>
            <w:shd w:val="clear" w:color="auto" w:fill="auto"/>
            <w:noWrap/>
            <w:vAlign w:val="center"/>
          </w:tcPr>
          <w:p w14:paraId="2CEAFCCD" w14:textId="29EE9DC0"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56.229.120</w:t>
            </w:r>
          </w:p>
        </w:tc>
        <w:tc>
          <w:tcPr>
            <w:tcW w:w="692" w:type="pct"/>
            <w:tcBorders>
              <w:top w:val="nil"/>
              <w:left w:val="nil"/>
              <w:right w:val="nil"/>
            </w:tcBorders>
            <w:shd w:val="clear" w:color="auto" w:fill="auto"/>
            <w:noWrap/>
            <w:vAlign w:val="center"/>
          </w:tcPr>
          <w:p w14:paraId="4DF11C4A" w14:textId="5FBF9ECB" w:rsidR="00A901DD"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c>
          <w:tcPr>
            <w:tcW w:w="623" w:type="pct"/>
            <w:tcBorders>
              <w:top w:val="nil"/>
              <w:left w:val="nil"/>
              <w:right w:val="nil"/>
            </w:tcBorders>
            <w:shd w:val="clear" w:color="auto" w:fill="auto"/>
            <w:noWrap/>
            <w:vAlign w:val="center"/>
          </w:tcPr>
          <w:p w14:paraId="35D7183A" w14:textId="704327DB" w:rsidR="00A901DD" w:rsidRPr="00E20D21" w:rsidRDefault="00FF041B" w:rsidP="00193DCE">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56.229.120</w:t>
            </w:r>
          </w:p>
        </w:tc>
        <w:tc>
          <w:tcPr>
            <w:tcW w:w="695" w:type="pct"/>
            <w:tcBorders>
              <w:top w:val="nil"/>
              <w:left w:val="nil"/>
              <w:right w:val="nil"/>
            </w:tcBorders>
            <w:shd w:val="clear" w:color="auto" w:fill="auto"/>
            <w:noWrap/>
            <w:vAlign w:val="center"/>
          </w:tcPr>
          <w:p w14:paraId="17C93EA4" w14:textId="17684D0A" w:rsidR="00A901DD" w:rsidRPr="00E20D21" w:rsidRDefault="00FF041B" w:rsidP="00FF041B">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r>
      <w:tr w:rsidR="00A47C19" w:rsidRPr="00E20D21" w14:paraId="781B10E6" w14:textId="77777777" w:rsidTr="00272688">
        <w:trPr>
          <w:trHeight w:val="283"/>
        </w:trPr>
        <w:tc>
          <w:tcPr>
            <w:tcW w:w="1740" w:type="pct"/>
            <w:tcBorders>
              <w:left w:val="nil"/>
              <w:bottom w:val="nil"/>
              <w:right w:val="nil"/>
            </w:tcBorders>
            <w:shd w:val="clear" w:color="auto" w:fill="auto"/>
            <w:noWrap/>
            <w:vAlign w:val="center"/>
            <w:hideMark/>
          </w:tcPr>
          <w:p w14:paraId="0469870D" w14:textId="77777777" w:rsidR="00BD5472" w:rsidRPr="00E20D21" w:rsidRDefault="00BD5472" w:rsidP="00193DCE">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PASSIVO</w:t>
            </w:r>
          </w:p>
        </w:tc>
        <w:tc>
          <w:tcPr>
            <w:tcW w:w="623" w:type="pct"/>
            <w:tcBorders>
              <w:left w:val="nil"/>
              <w:bottom w:val="nil"/>
              <w:right w:val="nil"/>
            </w:tcBorders>
            <w:vAlign w:val="center"/>
          </w:tcPr>
          <w:p w14:paraId="32BE2769" w14:textId="77777777" w:rsidR="00BD5472" w:rsidRPr="00E20D21" w:rsidRDefault="00BD5472" w:rsidP="00193DCE">
            <w:pPr>
              <w:jc w:val="right"/>
              <w:rPr>
                <w:rFonts w:ascii="CAIXA Std Book" w:eastAsia="Times New Roman" w:hAnsi="CAIXA Std Book" w:cs="Calibri"/>
                <w:b/>
                <w:bCs/>
                <w:color w:val="005CA9"/>
                <w:sz w:val="16"/>
                <w:szCs w:val="16"/>
              </w:rPr>
            </w:pPr>
          </w:p>
        </w:tc>
        <w:tc>
          <w:tcPr>
            <w:tcW w:w="627" w:type="pct"/>
            <w:tcBorders>
              <w:left w:val="nil"/>
              <w:bottom w:val="nil"/>
              <w:right w:val="nil"/>
            </w:tcBorders>
            <w:shd w:val="clear" w:color="auto" w:fill="auto"/>
            <w:noWrap/>
            <w:vAlign w:val="center"/>
          </w:tcPr>
          <w:p w14:paraId="5F6EB697" w14:textId="4420A09B" w:rsidR="00BD5472" w:rsidRPr="00E20D21" w:rsidRDefault="00BD5472" w:rsidP="00193DCE">
            <w:pPr>
              <w:jc w:val="right"/>
              <w:rPr>
                <w:rFonts w:ascii="CAIXA Std Book" w:eastAsia="Times New Roman" w:hAnsi="CAIXA Std Book" w:cs="Calibri"/>
                <w:color w:val="005CA9"/>
                <w:sz w:val="16"/>
                <w:szCs w:val="16"/>
              </w:rPr>
            </w:pPr>
          </w:p>
        </w:tc>
        <w:tc>
          <w:tcPr>
            <w:tcW w:w="692" w:type="pct"/>
            <w:tcBorders>
              <w:left w:val="nil"/>
              <w:bottom w:val="nil"/>
              <w:right w:val="nil"/>
            </w:tcBorders>
            <w:shd w:val="clear" w:color="auto" w:fill="auto"/>
            <w:noWrap/>
            <w:vAlign w:val="center"/>
          </w:tcPr>
          <w:p w14:paraId="355FB9E4" w14:textId="77777777" w:rsidR="00BD5472" w:rsidRPr="00E20D21" w:rsidRDefault="00BD5472" w:rsidP="00FF041B">
            <w:pPr>
              <w:jc w:val="center"/>
              <w:rPr>
                <w:rFonts w:ascii="CAIXA Std Book" w:eastAsia="Times New Roman" w:hAnsi="CAIXA Std Book" w:cs="Calibri"/>
                <w:color w:val="005CA9"/>
                <w:sz w:val="16"/>
                <w:szCs w:val="16"/>
              </w:rPr>
            </w:pPr>
          </w:p>
        </w:tc>
        <w:tc>
          <w:tcPr>
            <w:tcW w:w="623" w:type="pct"/>
            <w:tcBorders>
              <w:left w:val="nil"/>
              <w:bottom w:val="nil"/>
              <w:right w:val="nil"/>
            </w:tcBorders>
            <w:shd w:val="clear" w:color="auto" w:fill="auto"/>
            <w:noWrap/>
            <w:vAlign w:val="center"/>
          </w:tcPr>
          <w:p w14:paraId="346B1D0C" w14:textId="77777777" w:rsidR="00BD5472" w:rsidRPr="00E20D21" w:rsidRDefault="00BD5472" w:rsidP="00193DCE">
            <w:pPr>
              <w:jc w:val="right"/>
              <w:rPr>
                <w:rFonts w:ascii="CAIXA Std Book" w:eastAsia="Times New Roman" w:hAnsi="CAIXA Std Book" w:cs="Calibri"/>
                <w:color w:val="005CA9"/>
                <w:sz w:val="16"/>
                <w:szCs w:val="16"/>
              </w:rPr>
            </w:pPr>
          </w:p>
        </w:tc>
        <w:tc>
          <w:tcPr>
            <w:tcW w:w="695" w:type="pct"/>
            <w:tcBorders>
              <w:left w:val="nil"/>
              <w:bottom w:val="nil"/>
              <w:right w:val="nil"/>
            </w:tcBorders>
            <w:shd w:val="clear" w:color="auto" w:fill="auto"/>
            <w:noWrap/>
            <w:vAlign w:val="center"/>
          </w:tcPr>
          <w:p w14:paraId="0C461833" w14:textId="77777777" w:rsidR="00BD5472" w:rsidRPr="00E20D21" w:rsidRDefault="00BD5472" w:rsidP="00193DCE">
            <w:pPr>
              <w:jc w:val="right"/>
              <w:rPr>
                <w:rFonts w:ascii="CAIXA Std Book" w:eastAsia="Times New Roman" w:hAnsi="CAIXA Std Book" w:cs="Calibri"/>
                <w:color w:val="005CA9"/>
                <w:sz w:val="16"/>
                <w:szCs w:val="16"/>
              </w:rPr>
            </w:pPr>
          </w:p>
        </w:tc>
      </w:tr>
      <w:tr w:rsidR="00E54130" w:rsidRPr="00E20D21" w14:paraId="523818EF" w14:textId="77777777" w:rsidTr="00272688">
        <w:trPr>
          <w:trHeight w:val="283"/>
        </w:trPr>
        <w:tc>
          <w:tcPr>
            <w:tcW w:w="1740" w:type="pct"/>
            <w:tcBorders>
              <w:top w:val="nil"/>
              <w:left w:val="nil"/>
              <w:bottom w:val="nil"/>
              <w:right w:val="nil"/>
            </w:tcBorders>
            <w:shd w:val="clear" w:color="auto" w:fill="auto"/>
            <w:noWrap/>
            <w:vAlign w:val="center"/>
            <w:hideMark/>
          </w:tcPr>
          <w:p w14:paraId="4164467C" w14:textId="77777777" w:rsidR="00E54130" w:rsidRPr="00E20D21" w:rsidRDefault="00E54130" w:rsidP="00E54130">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xml:space="preserve">Passivos Financeiros </w:t>
            </w:r>
          </w:p>
        </w:tc>
        <w:tc>
          <w:tcPr>
            <w:tcW w:w="623" w:type="pct"/>
            <w:tcBorders>
              <w:top w:val="nil"/>
              <w:left w:val="nil"/>
              <w:bottom w:val="nil"/>
              <w:right w:val="nil"/>
            </w:tcBorders>
            <w:vAlign w:val="center"/>
          </w:tcPr>
          <w:p w14:paraId="558926FE" w14:textId="0235F7D4" w:rsidR="00E54130" w:rsidRPr="00E20D21" w:rsidRDefault="00E54130" w:rsidP="00E54130">
            <w:pPr>
              <w:jc w:val="right"/>
              <w:rPr>
                <w:rFonts w:ascii="CAIXA Std Book" w:hAnsi="CAIXA Std Book"/>
                <w:b/>
                <w:color w:val="005CA9"/>
                <w:sz w:val="16"/>
                <w:szCs w:val="16"/>
              </w:rPr>
            </w:pPr>
            <w:r w:rsidRPr="00E20D21">
              <w:rPr>
                <w:rFonts w:ascii="CAIXA Std Book" w:hAnsi="CAIXA Std Book" w:cs="Calibri"/>
                <w:b/>
                <w:bCs/>
                <w:color w:val="005CA9"/>
                <w:sz w:val="16"/>
                <w:szCs w:val="16"/>
              </w:rPr>
              <w:t>1.655.007.228</w:t>
            </w:r>
          </w:p>
        </w:tc>
        <w:tc>
          <w:tcPr>
            <w:tcW w:w="627" w:type="pct"/>
            <w:tcBorders>
              <w:top w:val="nil"/>
              <w:left w:val="nil"/>
              <w:bottom w:val="nil"/>
              <w:right w:val="nil"/>
            </w:tcBorders>
            <w:shd w:val="clear" w:color="auto" w:fill="auto"/>
            <w:noWrap/>
            <w:vAlign w:val="center"/>
          </w:tcPr>
          <w:p w14:paraId="3EF0D17F" w14:textId="6FE2A52E" w:rsidR="00E54130" w:rsidRPr="00E20D21" w:rsidRDefault="00E54130" w:rsidP="00E54130">
            <w:pPr>
              <w:jc w:val="right"/>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1.442.669.712</w:t>
            </w:r>
          </w:p>
        </w:tc>
        <w:tc>
          <w:tcPr>
            <w:tcW w:w="692" w:type="pct"/>
            <w:tcBorders>
              <w:top w:val="nil"/>
              <w:left w:val="nil"/>
              <w:bottom w:val="nil"/>
              <w:right w:val="nil"/>
            </w:tcBorders>
            <w:shd w:val="clear" w:color="auto" w:fill="auto"/>
            <w:noWrap/>
            <w:vAlign w:val="center"/>
          </w:tcPr>
          <w:p w14:paraId="37A1D5CC" w14:textId="2A2C249B" w:rsidR="00E54130" w:rsidRPr="00E20D21" w:rsidRDefault="00E54130" w:rsidP="00E54130">
            <w:pPr>
              <w:jc w:val="center"/>
              <w:rPr>
                <w:rFonts w:ascii="CAIXA Std Book" w:eastAsia="Times New Roman" w:hAnsi="CAIXA Std Book" w:cs="Calibri"/>
                <w:b/>
                <w:color w:val="005CA9"/>
                <w:sz w:val="16"/>
                <w:szCs w:val="16"/>
              </w:rPr>
            </w:pPr>
            <w:r w:rsidRPr="00E20D21">
              <w:rPr>
                <w:rFonts w:ascii="CAIXA Std Book" w:hAnsi="CAIXA Std Book" w:cs="Calibri"/>
                <w:b/>
                <w:bCs/>
                <w:color w:val="005CA9"/>
                <w:sz w:val="16"/>
                <w:szCs w:val="16"/>
              </w:rPr>
              <w:t>-</w:t>
            </w:r>
          </w:p>
        </w:tc>
        <w:tc>
          <w:tcPr>
            <w:tcW w:w="623" w:type="pct"/>
            <w:tcBorders>
              <w:top w:val="nil"/>
              <w:left w:val="nil"/>
              <w:bottom w:val="nil"/>
              <w:right w:val="nil"/>
            </w:tcBorders>
            <w:shd w:val="clear" w:color="auto" w:fill="auto"/>
            <w:noWrap/>
            <w:vAlign w:val="center"/>
          </w:tcPr>
          <w:p w14:paraId="5693B2B9" w14:textId="0B2E8F49" w:rsidR="00E54130" w:rsidRPr="00E20D21" w:rsidRDefault="00E54130" w:rsidP="00E54130">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761.700.055</w:t>
            </w:r>
          </w:p>
        </w:tc>
        <w:tc>
          <w:tcPr>
            <w:tcW w:w="695" w:type="pct"/>
            <w:tcBorders>
              <w:top w:val="nil"/>
              <w:left w:val="nil"/>
              <w:bottom w:val="nil"/>
              <w:right w:val="nil"/>
            </w:tcBorders>
            <w:shd w:val="clear" w:color="auto" w:fill="auto"/>
            <w:noWrap/>
            <w:vAlign w:val="center"/>
          </w:tcPr>
          <w:p w14:paraId="7B3C4536" w14:textId="4DDD1DA5" w:rsidR="00E54130" w:rsidRPr="00E20D21" w:rsidRDefault="00E54130" w:rsidP="00E54130">
            <w:pPr>
              <w:jc w:val="right"/>
              <w:rPr>
                <w:rFonts w:ascii="CAIXA Std Book" w:eastAsia="Times New Roman" w:hAnsi="CAIXA Std Book" w:cs="Calibri"/>
                <w:b/>
                <w:bCs/>
                <w:color w:val="005CA9"/>
                <w:sz w:val="16"/>
                <w:szCs w:val="16"/>
              </w:rPr>
            </w:pPr>
            <w:r>
              <w:rPr>
                <w:rFonts w:ascii="CAIXA Std Book" w:hAnsi="CAIXA Std Book" w:cs="Calibri"/>
                <w:b/>
                <w:bCs/>
                <w:color w:val="005CA9"/>
                <w:sz w:val="16"/>
                <w:szCs w:val="16"/>
              </w:rPr>
              <w:t>680.969.657</w:t>
            </w:r>
          </w:p>
        </w:tc>
      </w:tr>
      <w:tr w:rsidR="008201F8" w:rsidRPr="00E20D21" w14:paraId="7F07A9B9" w14:textId="77777777" w:rsidTr="00272688">
        <w:trPr>
          <w:trHeight w:val="283"/>
        </w:trPr>
        <w:tc>
          <w:tcPr>
            <w:tcW w:w="1740" w:type="pct"/>
            <w:tcBorders>
              <w:top w:val="nil"/>
              <w:left w:val="nil"/>
              <w:bottom w:val="nil"/>
              <w:right w:val="nil"/>
            </w:tcBorders>
            <w:shd w:val="clear" w:color="auto" w:fill="auto"/>
            <w:noWrap/>
            <w:vAlign w:val="center"/>
            <w:hideMark/>
          </w:tcPr>
          <w:p w14:paraId="315A7DEB" w14:textId="77777777" w:rsidR="008201F8" w:rsidRPr="00E20D21" w:rsidRDefault="008201F8" w:rsidP="008201F8">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clientes</w:t>
            </w:r>
          </w:p>
        </w:tc>
        <w:tc>
          <w:tcPr>
            <w:tcW w:w="623" w:type="pct"/>
            <w:tcBorders>
              <w:top w:val="nil"/>
              <w:left w:val="nil"/>
              <w:bottom w:val="nil"/>
              <w:right w:val="nil"/>
            </w:tcBorders>
            <w:vAlign w:val="center"/>
          </w:tcPr>
          <w:p w14:paraId="779D73FD" w14:textId="1FCB6D7E" w:rsidR="008201F8" w:rsidRPr="00E20D21" w:rsidRDefault="008201F8" w:rsidP="008201F8">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741.191.056</w:t>
            </w:r>
          </w:p>
        </w:tc>
        <w:tc>
          <w:tcPr>
            <w:tcW w:w="627" w:type="pct"/>
            <w:tcBorders>
              <w:top w:val="nil"/>
              <w:left w:val="nil"/>
              <w:bottom w:val="nil"/>
              <w:right w:val="nil"/>
            </w:tcBorders>
            <w:shd w:val="clear" w:color="auto" w:fill="auto"/>
            <w:noWrap/>
            <w:vAlign w:val="center"/>
          </w:tcPr>
          <w:p w14:paraId="6E77A605" w14:textId="2E2505ED" w:rsidR="008201F8" w:rsidRPr="00E20D21" w:rsidRDefault="008201F8" w:rsidP="008201F8">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680.969.657</w:t>
            </w:r>
          </w:p>
        </w:tc>
        <w:tc>
          <w:tcPr>
            <w:tcW w:w="692" w:type="pct"/>
            <w:tcBorders>
              <w:top w:val="nil"/>
              <w:left w:val="nil"/>
              <w:bottom w:val="nil"/>
              <w:right w:val="nil"/>
            </w:tcBorders>
            <w:shd w:val="clear" w:color="auto" w:fill="auto"/>
            <w:noWrap/>
            <w:vAlign w:val="center"/>
          </w:tcPr>
          <w:p w14:paraId="7F290A6B" w14:textId="139F5384" w:rsidR="008201F8" w:rsidRPr="00E20D21" w:rsidRDefault="008201F8" w:rsidP="008201F8">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c>
          <w:tcPr>
            <w:tcW w:w="623" w:type="pct"/>
            <w:tcBorders>
              <w:top w:val="nil"/>
              <w:left w:val="nil"/>
              <w:bottom w:val="nil"/>
              <w:right w:val="nil"/>
            </w:tcBorders>
            <w:shd w:val="clear" w:color="auto" w:fill="auto"/>
            <w:noWrap/>
            <w:vAlign w:val="center"/>
          </w:tcPr>
          <w:p w14:paraId="6481ADC5" w14:textId="4F5C822C" w:rsidR="008201F8" w:rsidRPr="00E20D21" w:rsidRDefault="008201F8" w:rsidP="008201F8">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c>
          <w:tcPr>
            <w:tcW w:w="695" w:type="pct"/>
            <w:tcBorders>
              <w:top w:val="nil"/>
              <w:left w:val="nil"/>
              <w:bottom w:val="nil"/>
              <w:right w:val="nil"/>
            </w:tcBorders>
            <w:shd w:val="clear" w:color="auto" w:fill="auto"/>
            <w:noWrap/>
            <w:vAlign w:val="center"/>
          </w:tcPr>
          <w:p w14:paraId="5DF444FE" w14:textId="6852F699" w:rsidR="008201F8" w:rsidRPr="00E20D21" w:rsidRDefault="008201F8" w:rsidP="008201F8">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680.969.657</w:t>
            </w:r>
          </w:p>
        </w:tc>
      </w:tr>
      <w:tr w:rsidR="008201F8" w:rsidRPr="00E20D21" w14:paraId="3CCAD26B" w14:textId="77777777" w:rsidTr="00272688">
        <w:trPr>
          <w:trHeight w:val="283"/>
        </w:trPr>
        <w:tc>
          <w:tcPr>
            <w:tcW w:w="1740" w:type="pct"/>
            <w:tcBorders>
              <w:top w:val="nil"/>
              <w:left w:val="nil"/>
              <w:right w:val="nil"/>
            </w:tcBorders>
            <w:shd w:val="clear" w:color="auto" w:fill="auto"/>
            <w:noWrap/>
            <w:vAlign w:val="center"/>
            <w:hideMark/>
          </w:tcPr>
          <w:p w14:paraId="4D216D74" w14:textId="7EBC2D34" w:rsidR="008201F8" w:rsidRPr="00E20D21" w:rsidRDefault="008201F8" w:rsidP="008201F8">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instituições financeiras e outras</w:t>
            </w:r>
          </w:p>
        </w:tc>
        <w:tc>
          <w:tcPr>
            <w:tcW w:w="623" w:type="pct"/>
            <w:tcBorders>
              <w:top w:val="nil"/>
              <w:left w:val="nil"/>
              <w:right w:val="nil"/>
            </w:tcBorders>
            <w:vAlign w:val="center"/>
          </w:tcPr>
          <w:p w14:paraId="647B56E5" w14:textId="3FDE9C06" w:rsidR="008201F8" w:rsidRPr="00E20D21" w:rsidRDefault="008201F8" w:rsidP="008201F8">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691.762.420</w:t>
            </w:r>
          </w:p>
        </w:tc>
        <w:tc>
          <w:tcPr>
            <w:tcW w:w="627" w:type="pct"/>
            <w:tcBorders>
              <w:top w:val="nil"/>
              <w:left w:val="nil"/>
              <w:right w:val="nil"/>
            </w:tcBorders>
            <w:shd w:val="clear" w:color="auto" w:fill="auto"/>
            <w:noWrap/>
            <w:vAlign w:val="center"/>
          </w:tcPr>
          <w:p w14:paraId="1670D2CF" w14:textId="665BCAD2" w:rsidR="008201F8" w:rsidRPr="00E20D21" w:rsidRDefault="008201F8" w:rsidP="008201F8">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552.491.307</w:t>
            </w:r>
          </w:p>
        </w:tc>
        <w:tc>
          <w:tcPr>
            <w:tcW w:w="692" w:type="pct"/>
            <w:tcBorders>
              <w:top w:val="nil"/>
              <w:left w:val="nil"/>
              <w:right w:val="nil"/>
            </w:tcBorders>
            <w:shd w:val="clear" w:color="auto" w:fill="auto"/>
            <w:noWrap/>
            <w:vAlign w:val="center"/>
          </w:tcPr>
          <w:p w14:paraId="0154169C" w14:textId="4911F6D0" w:rsidR="008201F8" w:rsidRPr="00E20D21" w:rsidRDefault="008201F8" w:rsidP="008201F8">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c>
          <w:tcPr>
            <w:tcW w:w="623" w:type="pct"/>
            <w:tcBorders>
              <w:top w:val="nil"/>
              <w:left w:val="nil"/>
              <w:right w:val="nil"/>
            </w:tcBorders>
            <w:shd w:val="clear" w:color="auto" w:fill="auto"/>
            <w:noWrap/>
            <w:vAlign w:val="center"/>
          </w:tcPr>
          <w:p w14:paraId="11F4161F" w14:textId="5FE4955F" w:rsidR="008201F8" w:rsidRPr="00E20D21" w:rsidRDefault="008201F8" w:rsidP="008201F8">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552.491.307</w:t>
            </w:r>
          </w:p>
        </w:tc>
        <w:tc>
          <w:tcPr>
            <w:tcW w:w="695" w:type="pct"/>
            <w:tcBorders>
              <w:top w:val="nil"/>
              <w:left w:val="nil"/>
              <w:right w:val="nil"/>
            </w:tcBorders>
            <w:shd w:val="clear" w:color="auto" w:fill="auto"/>
            <w:noWrap/>
            <w:vAlign w:val="center"/>
          </w:tcPr>
          <w:p w14:paraId="5C01669F" w14:textId="19D4CDA3" w:rsidR="008201F8" w:rsidRPr="00E20D21" w:rsidRDefault="008201F8" w:rsidP="008201F8">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r>
      <w:tr w:rsidR="00714FC1" w:rsidRPr="00E20D21" w14:paraId="631DEAFB" w14:textId="77777777" w:rsidTr="00272688">
        <w:trPr>
          <w:trHeight w:val="283"/>
        </w:trPr>
        <w:tc>
          <w:tcPr>
            <w:tcW w:w="1740" w:type="pct"/>
            <w:tcBorders>
              <w:top w:val="nil"/>
              <w:left w:val="nil"/>
              <w:bottom w:val="single" w:sz="4" w:space="0" w:color="F39200"/>
              <w:right w:val="nil"/>
            </w:tcBorders>
            <w:shd w:val="clear" w:color="auto" w:fill="auto"/>
            <w:noWrap/>
            <w:vAlign w:val="center"/>
            <w:hideMark/>
          </w:tcPr>
          <w:p w14:paraId="2810E60C" w14:textId="77777777" w:rsidR="00714FC1" w:rsidRPr="00E20D21" w:rsidRDefault="00714FC1" w:rsidP="00714FC1">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emissões de títulos e valores mobiliários</w:t>
            </w:r>
          </w:p>
        </w:tc>
        <w:tc>
          <w:tcPr>
            <w:tcW w:w="623" w:type="pct"/>
            <w:tcBorders>
              <w:top w:val="nil"/>
              <w:left w:val="nil"/>
              <w:bottom w:val="single" w:sz="4" w:space="0" w:color="F39200"/>
              <w:right w:val="nil"/>
            </w:tcBorders>
            <w:vAlign w:val="center"/>
          </w:tcPr>
          <w:p w14:paraId="1BF35E24" w14:textId="17DE9F21" w:rsidR="00714FC1" w:rsidRPr="00E20D21" w:rsidRDefault="00714FC1" w:rsidP="00714FC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222.053.752</w:t>
            </w:r>
          </w:p>
        </w:tc>
        <w:tc>
          <w:tcPr>
            <w:tcW w:w="627" w:type="pct"/>
            <w:tcBorders>
              <w:top w:val="nil"/>
              <w:left w:val="nil"/>
              <w:bottom w:val="single" w:sz="4" w:space="0" w:color="F39200"/>
              <w:right w:val="nil"/>
            </w:tcBorders>
            <w:shd w:val="clear" w:color="auto" w:fill="auto"/>
            <w:noWrap/>
            <w:vAlign w:val="center"/>
          </w:tcPr>
          <w:p w14:paraId="2B562F41" w14:textId="4BF68F16" w:rsidR="00714FC1" w:rsidRPr="00E20D21" w:rsidRDefault="00714FC1" w:rsidP="00714FC1">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209.208.748</w:t>
            </w:r>
          </w:p>
        </w:tc>
        <w:tc>
          <w:tcPr>
            <w:tcW w:w="692" w:type="pct"/>
            <w:tcBorders>
              <w:top w:val="nil"/>
              <w:left w:val="nil"/>
              <w:bottom w:val="single" w:sz="4" w:space="0" w:color="F39200"/>
              <w:right w:val="nil"/>
            </w:tcBorders>
            <w:shd w:val="clear" w:color="auto" w:fill="auto"/>
            <w:noWrap/>
            <w:vAlign w:val="center"/>
          </w:tcPr>
          <w:p w14:paraId="245FA2BD" w14:textId="35ED4FCE" w:rsidR="00714FC1" w:rsidRPr="00E20D21" w:rsidRDefault="00714FC1" w:rsidP="00714FC1">
            <w:pPr>
              <w:jc w:val="center"/>
              <w:rPr>
                <w:rFonts w:ascii="CAIXA Std Book" w:eastAsia="Times New Roman" w:hAnsi="CAIXA Std Book" w:cs="Calibri"/>
                <w:color w:val="005CA9"/>
                <w:sz w:val="16"/>
                <w:szCs w:val="16"/>
              </w:rPr>
            </w:pPr>
            <w:r w:rsidRPr="00E20D21">
              <w:rPr>
                <w:rFonts w:ascii="CAIXA Std Book" w:hAnsi="CAIXA Std Book" w:cs="Calibri"/>
                <w:color w:val="005CA9"/>
                <w:sz w:val="16"/>
                <w:szCs w:val="16"/>
              </w:rPr>
              <w:t>-</w:t>
            </w:r>
          </w:p>
        </w:tc>
        <w:tc>
          <w:tcPr>
            <w:tcW w:w="623" w:type="pct"/>
            <w:tcBorders>
              <w:top w:val="nil"/>
              <w:left w:val="nil"/>
              <w:bottom w:val="single" w:sz="4" w:space="0" w:color="F39200"/>
              <w:right w:val="nil"/>
            </w:tcBorders>
            <w:shd w:val="clear" w:color="auto" w:fill="auto"/>
            <w:noWrap/>
            <w:vAlign w:val="center"/>
          </w:tcPr>
          <w:p w14:paraId="03F2E323" w14:textId="5241DC6B" w:rsidR="00714FC1" w:rsidRPr="00E20D21" w:rsidRDefault="00714FC1" w:rsidP="00714FC1">
            <w:pPr>
              <w:jc w:val="right"/>
              <w:rPr>
                <w:rFonts w:ascii="CAIXA Std Book" w:eastAsia="Times New Roman" w:hAnsi="CAIXA Std Book" w:cs="Calibri"/>
                <w:color w:val="005CA9"/>
                <w:sz w:val="16"/>
                <w:szCs w:val="16"/>
              </w:rPr>
            </w:pPr>
            <w:r w:rsidRPr="00E20D21">
              <w:rPr>
                <w:rFonts w:ascii="CAIXA Std Book" w:hAnsi="CAIXA Std Book" w:cs="Arial"/>
                <w:color w:val="005CA9"/>
                <w:sz w:val="16"/>
                <w:szCs w:val="16"/>
              </w:rPr>
              <w:t>209.208.748</w:t>
            </w:r>
          </w:p>
        </w:tc>
        <w:tc>
          <w:tcPr>
            <w:tcW w:w="695" w:type="pct"/>
            <w:tcBorders>
              <w:top w:val="nil"/>
              <w:left w:val="nil"/>
              <w:bottom w:val="single" w:sz="4" w:space="0" w:color="F39200"/>
              <w:right w:val="nil"/>
            </w:tcBorders>
            <w:shd w:val="clear" w:color="auto" w:fill="auto"/>
            <w:noWrap/>
            <w:vAlign w:val="center"/>
          </w:tcPr>
          <w:p w14:paraId="18006B37" w14:textId="18B29E04" w:rsidR="00714FC1" w:rsidRPr="00E20D21" w:rsidRDefault="00714FC1" w:rsidP="00714FC1">
            <w:pPr>
              <w:jc w:val="center"/>
              <w:rPr>
                <w:rFonts w:ascii="CAIXA Std Book" w:eastAsia="Times New Roman" w:hAnsi="CAIXA Std Book" w:cs="Calibri"/>
                <w:color w:val="005CA9"/>
                <w:sz w:val="16"/>
                <w:szCs w:val="16"/>
              </w:rPr>
            </w:pPr>
            <w:r w:rsidRPr="00E20D21">
              <w:rPr>
                <w:rFonts w:ascii="CAIXA Std Book" w:hAnsi="CAIXA Std Book" w:cs="Arial"/>
                <w:color w:val="005CA9"/>
                <w:sz w:val="16"/>
                <w:szCs w:val="16"/>
              </w:rPr>
              <w:t>-</w:t>
            </w:r>
          </w:p>
        </w:tc>
      </w:tr>
    </w:tbl>
    <w:p w14:paraId="314919B3" w14:textId="410123D8" w:rsidR="00CD24C9" w:rsidRPr="00E20D21" w:rsidRDefault="00CD24C9">
      <w:pPr>
        <w:rPr>
          <w:rFonts w:ascii="CAIXA Std Book" w:hAnsi="CAIXA Std Book"/>
          <w:b/>
          <w:color w:val="005CA9"/>
        </w:rPr>
      </w:pPr>
    </w:p>
    <w:p w14:paraId="307A2563" w14:textId="5B1F0ED8" w:rsidR="00C96F2C" w:rsidRPr="00E20D21" w:rsidRDefault="00C96F2C">
      <w:pPr>
        <w:rPr>
          <w:rFonts w:ascii="CAIXA Std Book" w:hAnsi="CAIXA Std Book"/>
          <w:b/>
          <w:color w:val="005CA9"/>
        </w:rPr>
      </w:pPr>
      <w:r w:rsidRPr="00E20D21">
        <w:rPr>
          <w:rFonts w:ascii="CAIXA Std Book" w:hAnsi="CAIXA Std Book"/>
          <w:b/>
          <w:color w:val="005CA9"/>
        </w:rPr>
        <w:br w:type="page"/>
      </w:r>
    </w:p>
    <w:tbl>
      <w:tblPr>
        <w:tblW w:w="5118" w:type="pct"/>
        <w:tblLayout w:type="fixed"/>
        <w:tblCellMar>
          <w:left w:w="70" w:type="dxa"/>
          <w:right w:w="70" w:type="dxa"/>
        </w:tblCellMar>
        <w:tblLook w:val="04A0" w:firstRow="1" w:lastRow="0" w:firstColumn="1" w:lastColumn="0" w:noHBand="0" w:noVBand="1"/>
      </w:tblPr>
      <w:tblGrid>
        <w:gridCol w:w="3686"/>
        <w:gridCol w:w="1331"/>
        <w:gridCol w:w="1365"/>
        <w:gridCol w:w="1145"/>
        <w:gridCol w:w="1265"/>
        <w:gridCol w:w="1185"/>
      </w:tblGrid>
      <w:tr w:rsidR="00A47C19" w:rsidRPr="00E20D21" w14:paraId="61DBCCB2" w14:textId="77777777" w:rsidTr="005E257A">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632A1E5D" w14:textId="77777777" w:rsidR="004F3E26" w:rsidRPr="00E20D21" w:rsidRDefault="004F3E2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lastRenderedPageBreak/>
              <w:t>CONSOLIDADO</w:t>
            </w:r>
          </w:p>
        </w:tc>
      </w:tr>
      <w:tr w:rsidR="00A47C19" w:rsidRPr="00E20D21" w14:paraId="381E7B7E" w14:textId="77777777" w:rsidTr="005E257A">
        <w:trPr>
          <w:trHeight w:val="283"/>
        </w:trPr>
        <w:tc>
          <w:tcPr>
            <w:tcW w:w="1847" w:type="pct"/>
            <w:vMerge w:val="restart"/>
            <w:tcBorders>
              <w:top w:val="single" w:sz="4" w:space="0" w:color="F39200"/>
              <w:left w:val="nil"/>
              <w:bottom w:val="single" w:sz="4" w:space="0" w:color="F39200"/>
              <w:right w:val="nil"/>
            </w:tcBorders>
            <w:shd w:val="clear" w:color="auto" w:fill="auto"/>
            <w:noWrap/>
            <w:vAlign w:val="center"/>
            <w:hideMark/>
          </w:tcPr>
          <w:p w14:paraId="4848AC9E" w14:textId="77777777" w:rsidR="004F3E26" w:rsidRPr="00E20D21" w:rsidRDefault="004F3E2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Descrição</w:t>
            </w:r>
          </w:p>
        </w:tc>
        <w:tc>
          <w:tcPr>
            <w:tcW w:w="1351" w:type="pct"/>
            <w:gridSpan w:val="2"/>
            <w:tcBorders>
              <w:top w:val="single" w:sz="4" w:space="0" w:color="F39200"/>
              <w:left w:val="nil"/>
              <w:bottom w:val="nil"/>
              <w:right w:val="nil"/>
            </w:tcBorders>
            <w:vAlign w:val="center"/>
          </w:tcPr>
          <w:p w14:paraId="27130F14" w14:textId="3EBF2D5F" w:rsidR="004F3E26" w:rsidRPr="00E20D21" w:rsidRDefault="004F3E2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31/12/20</w:t>
            </w:r>
            <w:r w:rsidR="00FC60D1" w:rsidRPr="00E20D21">
              <w:rPr>
                <w:rFonts w:ascii="CAIXA Std Book" w:eastAsia="Times New Roman" w:hAnsi="CAIXA Std Book" w:cs="Calibri"/>
                <w:b/>
                <w:bCs/>
                <w:color w:val="005CA9"/>
                <w:sz w:val="16"/>
                <w:szCs w:val="16"/>
              </w:rPr>
              <w:t>2</w:t>
            </w:r>
            <w:r w:rsidR="005E257A" w:rsidRPr="00E20D21">
              <w:rPr>
                <w:rFonts w:ascii="CAIXA Std Book" w:eastAsia="Times New Roman" w:hAnsi="CAIXA Std Book" w:cs="Calibri"/>
                <w:b/>
                <w:bCs/>
                <w:color w:val="005CA9"/>
                <w:sz w:val="16"/>
                <w:szCs w:val="16"/>
              </w:rPr>
              <w:t>3</w:t>
            </w:r>
          </w:p>
        </w:tc>
        <w:tc>
          <w:tcPr>
            <w:tcW w:w="1802" w:type="pct"/>
            <w:gridSpan w:val="3"/>
            <w:tcBorders>
              <w:top w:val="single" w:sz="4" w:space="0" w:color="F39200"/>
              <w:left w:val="nil"/>
              <w:bottom w:val="single" w:sz="4" w:space="0" w:color="F39200"/>
              <w:right w:val="nil"/>
            </w:tcBorders>
            <w:shd w:val="clear" w:color="auto" w:fill="auto"/>
            <w:noWrap/>
            <w:vAlign w:val="center"/>
            <w:hideMark/>
          </w:tcPr>
          <w:p w14:paraId="21363867" w14:textId="77777777" w:rsidR="004F3E26" w:rsidRPr="00E20D21" w:rsidRDefault="004F3E2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Níveis de valor justo</w:t>
            </w:r>
          </w:p>
        </w:tc>
      </w:tr>
      <w:tr w:rsidR="00A47C19" w:rsidRPr="00E20D21" w14:paraId="12CB5103" w14:textId="77777777" w:rsidTr="005E257A">
        <w:trPr>
          <w:trHeight w:val="283"/>
        </w:trPr>
        <w:tc>
          <w:tcPr>
            <w:tcW w:w="1847" w:type="pct"/>
            <w:vMerge/>
            <w:tcBorders>
              <w:top w:val="single" w:sz="4" w:space="0" w:color="F39200"/>
              <w:left w:val="nil"/>
              <w:bottom w:val="single" w:sz="4" w:space="0" w:color="F39200"/>
              <w:right w:val="nil"/>
            </w:tcBorders>
            <w:vAlign w:val="center"/>
            <w:hideMark/>
          </w:tcPr>
          <w:p w14:paraId="047473D5" w14:textId="77777777" w:rsidR="004F3E26" w:rsidRPr="00E20D21" w:rsidRDefault="004F3E26" w:rsidP="0052608D">
            <w:pPr>
              <w:rPr>
                <w:rFonts w:ascii="CAIXA Std Book" w:eastAsia="Times New Roman" w:hAnsi="CAIXA Std Book" w:cs="Calibri"/>
                <w:b/>
                <w:bCs/>
                <w:color w:val="005CA9"/>
                <w:sz w:val="16"/>
                <w:szCs w:val="16"/>
              </w:rPr>
            </w:pPr>
          </w:p>
        </w:tc>
        <w:tc>
          <w:tcPr>
            <w:tcW w:w="667" w:type="pct"/>
            <w:tcBorders>
              <w:top w:val="single" w:sz="4" w:space="0" w:color="F39200"/>
              <w:left w:val="nil"/>
              <w:bottom w:val="single" w:sz="4" w:space="0" w:color="F39200"/>
              <w:right w:val="nil"/>
            </w:tcBorders>
            <w:shd w:val="clear" w:color="000000" w:fill="FFFFFF"/>
            <w:vAlign w:val="center"/>
          </w:tcPr>
          <w:p w14:paraId="028C6ACE" w14:textId="77777777" w:rsidR="004F3E26" w:rsidRPr="00E20D21" w:rsidRDefault="004F3E2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contábil</w:t>
            </w:r>
          </w:p>
        </w:tc>
        <w:tc>
          <w:tcPr>
            <w:tcW w:w="684" w:type="pct"/>
            <w:tcBorders>
              <w:top w:val="single" w:sz="4" w:space="0" w:color="F39200"/>
              <w:left w:val="nil"/>
              <w:bottom w:val="single" w:sz="4" w:space="0" w:color="F39200"/>
              <w:right w:val="nil"/>
            </w:tcBorders>
            <w:shd w:val="clear" w:color="000000" w:fill="FFFFFF"/>
            <w:noWrap/>
            <w:vAlign w:val="center"/>
            <w:hideMark/>
          </w:tcPr>
          <w:p w14:paraId="5FEA0BB1" w14:textId="77777777" w:rsidR="004F3E26" w:rsidRPr="00E20D21" w:rsidRDefault="004F3E2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Valor justo</w:t>
            </w:r>
          </w:p>
        </w:tc>
        <w:tc>
          <w:tcPr>
            <w:tcW w:w="574" w:type="pct"/>
            <w:tcBorders>
              <w:top w:val="nil"/>
              <w:left w:val="nil"/>
              <w:bottom w:val="single" w:sz="4" w:space="0" w:color="F39200"/>
              <w:right w:val="nil"/>
            </w:tcBorders>
            <w:shd w:val="clear" w:color="000000" w:fill="FFFFFF"/>
            <w:noWrap/>
            <w:vAlign w:val="center"/>
            <w:hideMark/>
          </w:tcPr>
          <w:p w14:paraId="30CF819C" w14:textId="77777777" w:rsidR="004F3E26" w:rsidRPr="00E20D21" w:rsidRDefault="004F3E2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1</w:t>
            </w:r>
          </w:p>
        </w:tc>
        <w:tc>
          <w:tcPr>
            <w:tcW w:w="634" w:type="pct"/>
            <w:tcBorders>
              <w:top w:val="nil"/>
              <w:left w:val="nil"/>
              <w:bottom w:val="single" w:sz="4" w:space="0" w:color="F39200"/>
              <w:right w:val="nil"/>
            </w:tcBorders>
            <w:shd w:val="clear" w:color="000000" w:fill="FFFFFF"/>
            <w:noWrap/>
            <w:vAlign w:val="center"/>
            <w:hideMark/>
          </w:tcPr>
          <w:p w14:paraId="23AC1544" w14:textId="77777777" w:rsidR="004F3E26" w:rsidRPr="00E20D21" w:rsidRDefault="004F3E2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2</w:t>
            </w:r>
          </w:p>
        </w:tc>
        <w:tc>
          <w:tcPr>
            <w:tcW w:w="594" w:type="pct"/>
            <w:tcBorders>
              <w:top w:val="nil"/>
              <w:left w:val="nil"/>
              <w:bottom w:val="single" w:sz="4" w:space="0" w:color="F39200"/>
              <w:right w:val="nil"/>
            </w:tcBorders>
            <w:shd w:val="clear" w:color="000000" w:fill="FFFFFF"/>
            <w:noWrap/>
            <w:vAlign w:val="center"/>
            <w:hideMark/>
          </w:tcPr>
          <w:p w14:paraId="1BB89225" w14:textId="77777777" w:rsidR="004F3E26" w:rsidRPr="00E20D21" w:rsidRDefault="004F3E26" w:rsidP="0052608D">
            <w:pPr>
              <w:jc w:val="cente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Nível 3</w:t>
            </w:r>
          </w:p>
        </w:tc>
      </w:tr>
      <w:tr w:rsidR="00A47C19" w:rsidRPr="00E20D21" w14:paraId="304FF894" w14:textId="77777777" w:rsidTr="005E257A">
        <w:trPr>
          <w:trHeight w:val="283"/>
        </w:trPr>
        <w:tc>
          <w:tcPr>
            <w:tcW w:w="5000" w:type="pct"/>
            <w:gridSpan w:val="6"/>
            <w:tcBorders>
              <w:top w:val="nil"/>
              <w:left w:val="nil"/>
              <w:bottom w:val="single" w:sz="4" w:space="0" w:color="F39200"/>
              <w:right w:val="nil"/>
            </w:tcBorders>
            <w:shd w:val="clear" w:color="auto" w:fill="auto"/>
            <w:vAlign w:val="center"/>
            <w:hideMark/>
          </w:tcPr>
          <w:p w14:paraId="1CEFA314" w14:textId="5CABB674" w:rsidR="004F3E26" w:rsidRPr="00E20D21" w:rsidRDefault="004F3E26" w:rsidP="0052608D">
            <w:pPr>
              <w:jc w:val="center"/>
              <w:rPr>
                <w:rFonts w:ascii="CAIXA Std Book" w:eastAsia="Times New Roman" w:hAnsi="CAIXA Std Book" w:cs="Calibri"/>
                <w:color w:val="005CA9"/>
                <w:sz w:val="16"/>
                <w:szCs w:val="16"/>
              </w:rPr>
            </w:pPr>
            <w:r w:rsidRPr="00E20D21">
              <w:rPr>
                <w:rFonts w:ascii="CAIXA Std Book" w:eastAsia="Times New Roman" w:hAnsi="CAIXA Std Book" w:cs="Calibri"/>
                <w:b/>
                <w:bCs/>
                <w:color w:val="005CA9"/>
                <w:sz w:val="16"/>
                <w:szCs w:val="16"/>
              </w:rPr>
              <w:t>Ativos e passivos financeiros mensurados a valor justo</w:t>
            </w:r>
          </w:p>
        </w:tc>
      </w:tr>
      <w:tr w:rsidR="00A47C19" w:rsidRPr="00E20D21" w14:paraId="54BFBAC4" w14:textId="77777777" w:rsidTr="005E257A">
        <w:trPr>
          <w:trHeight w:val="283"/>
        </w:trPr>
        <w:tc>
          <w:tcPr>
            <w:tcW w:w="1847" w:type="pct"/>
            <w:tcBorders>
              <w:top w:val="nil"/>
              <w:left w:val="nil"/>
              <w:bottom w:val="nil"/>
              <w:right w:val="nil"/>
            </w:tcBorders>
            <w:shd w:val="clear" w:color="auto" w:fill="auto"/>
            <w:noWrap/>
            <w:vAlign w:val="center"/>
            <w:hideMark/>
          </w:tcPr>
          <w:p w14:paraId="07001618" w14:textId="77777777" w:rsidR="004F3E26" w:rsidRPr="00E20D21" w:rsidRDefault="004F3E26" w:rsidP="0052608D">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ATIVO</w:t>
            </w:r>
          </w:p>
        </w:tc>
        <w:tc>
          <w:tcPr>
            <w:tcW w:w="667" w:type="pct"/>
            <w:tcBorders>
              <w:top w:val="nil"/>
              <w:left w:val="nil"/>
              <w:bottom w:val="nil"/>
              <w:right w:val="nil"/>
            </w:tcBorders>
            <w:vAlign w:val="center"/>
          </w:tcPr>
          <w:p w14:paraId="295C3F68" w14:textId="77777777" w:rsidR="004F3E26" w:rsidRPr="00E20D21" w:rsidRDefault="004F3E26" w:rsidP="0052608D">
            <w:pPr>
              <w:jc w:val="right"/>
              <w:rPr>
                <w:rFonts w:ascii="CAIXA Std Book" w:eastAsia="Times New Roman" w:hAnsi="CAIXA Std Book" w:cs="Calibri"/>
                <w:b/>
                <w:bCs/>
                <w:color w:val="005CA9"/>
                <w:sz w:val="16"/>
                <w:szCs w:val="16"/>
              </w:rPr>
            </w:pPr>
          </w:p>
        </w:tc>
        <w:tc>
          <w:tcPr>
            <w:tcW w:w="684" w:type="pct"/>
            <w:tcBorders>
              <w:top w:val="nil"/>
              <w:left w:val="nil"/>
              <w:bottom w:val="nil"/>
              <w:right w:val="nil"/>
            </w:tcBorders>
            <w:shd w:val="clear" w:color="auto" w:fill="auto"/>
            <w:noWrap/>
            <w:vAlign w:val="center"/>
            <w:hideMark/>
          </w:tcPr>
          <w:p w14:paraId="52F94475" w14:textId="77777777" w:rsidR="004F3E26" w:rsidRPr="00E20D21" w:rsidRDefault="004F3E26" w:rsidP="0052608D">
            <w:pPr>
              <w:jc w:val="right"/>
              <w:rPr>
                <w:rFonts w:ascii="CAIXA Std Book" w:eastAsia="Times New Roman" w:hAnsi="CAIXA Std Book" w:cs="Calibri"/>
                <w:b/>
                <w:bCs/>
                <w:color w:val="005CA9"/>
                <w:sz w:val="16"/>
                <w:szCs w:val="16"/>
              </w:rPr>
            </w:pPr>
          </w:p>
        </w:tc>
        <w:tc>
          <w:tcPr>
            <w:tcW w:w="574" w:type="pct"/>
            <w:tcBorders>
              <w:top w:val="nil"/>
              <w:left w:val="nil"/>
              <w:bottom w:val="nil"/>
              <w:right w:val="nil"/>
            </w:tcBorders>
            <w:shd w:val="clear" w:color="auto" w:fill="auto"/>
            <w:noWrap/>
            <w:vAlign w:val="center"/>
            <w:hideMark/>
          </w:tcPr>
          <w:p w14:paraId="3FC427E0" w14:textId="77777777" w:rsidR="004F3E26" w:rsidRPr="00E20D21" w:rsidRDefault="004F3E26" w:rsidP="0052608D">
            <w:pPr>
              <w:jc w:val="right"/>
              <w:rPr>
                <w:rFonts w:ascii="CAIXA Std Book" w:eastAsia="Times New Roman" w:hAnsi="CAIXA Std Book" w:cs="Times New Roman"/>
                <w:color w:val="005CA9"/>
                <w:sz w:val="16"/>
                <w:szCs w:val="16"/>
              </w:rPr>
            </w:pPr>
          </w:p>
        </w:tc>
        <w:tc>
          <w:tcPr>
            <w:tcW w:w="634" w:type="pct"/>
            <w:tcBorders>
              <w:top w:val="nil"/>
              <w:left w:val="nil"/>
              <w:bottom w:val="nil"/>
              <w:right w:val="nil"/>
            </w:tcBorders>
            <w:shd w:val="clear" w:color="auto" w:fill="auto"/>
            <w:noWrap/>
            <w:vAlign w:val="center"/>
            <w:hideMark/>
          </w:tcPr>
          <w:p w14:paraId="633AA160" w14:textId="77777777" w:rsidR="004F3E26" w:rsidRPr="00E20D21" w:rsidRDefault="004F3E26" w:rsidP="0052608D">
            <w:pPr>
              <w:jc w:val="right"/>
              <w:rPr>
                <w:rFonts w:ascii="CAIXA Std Book" w:eastAsia="Times New Roman" w:hAnsi="CAIXA Std Book" w:cs="Times New Roman"/>
                <w:color w:val="005CA9"/>
                <w:sz w:val="16"/>
                <w:szCs w:val="16"/>
              </w:rPr>
            </w:pPr>
          </w:p>
        </w:tc>
        <w:tc>
          <w:tcPr>
            <w:tcW w:w="594" w:type="pct"/>
            <w:tcBorders>
              <w:top w:val="nil"/>
              <w:left w:val="nil"/>
              <w:bottom w:val="nil"/>
              <w:right w:val="nil"/>
            </w:tcBorders>
            <w:shd w:val="clear" w:color="auto" w:fill="auto"/>
            <w:noWrap/>
            <w:vAlign w:val="center"/>
            <w:hideMark/>
          </w:tcPr>
          <w:p w14:paraId="5B4DDA62" w14:textId="77777777" w:rsidR="004F3E26" w:rsidRPr="00E20D21" w:rsidRDefault="004F3E26" w:rsidP="0052608D">
            <w:pPr>
              <w:jc w:val="right"/>
              <w:rPr>
                <w:rFonts w:ascii="CAIXA Std Book" w:eastAsia="Times New Roman" w:hAnsi="CAIXA Std Book" w:cs="Times New Roman"/>
                <w:color w:val="005CA9"/>
                <w:sz w:val="16"/>
                <w:szCs w:val="16"/>
              </w:rPr>
            </w:pPr>
          </w:p>
        </w:tc>
      </w:tr>
      <w:tr w:rsidR="005E257A" w:rsidRPr="00E20D21" w14:paraId="03050C06" w14:textId="77777777" w:rsidTr="005E257A">
        <w:trPr>
          <w:trHeight w:val="283"/>
        </w:trPr>
        <w:tc>
          <w:tcPr>
            <w:tcW w:w="1847" w:type="pct"/>
            <w:tcBorders>
              <w:top w:val="nil"/>
              <w:left w:val="nil"/>
              <w:bottom w:val="nil"/>
              <w:right w:val="nil"/>
            </w:tcBorders>
            <w:shd w:val="clear" w:color="auto" w:fill="auto"/>
            <w:noWrap/>
            <w:vAlign w:val="center"/>
            <w:hideMark/>
          </w:tcPr>
          <w:p w14:paraId="5A6CD0E3" w14:textId="77777777" w:rsidR="005E257A" w:rsidRPr="00E20D21" w:rsidRDefault="005E257A" w:rsidP="005E257A">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xml:space="preserve">Ativos Financeiros </w:t>
            </w:r>
          </w:p>
        </w:tc>
        <w:tc>
          <w:tcPr>
            <w:tcW w:w="667" w:type="pct"/>
            <w:tcBorders>
              <w:top w:val="nil"/>
              <w:left w:val="nil"/>
              <w:bottom w:val="nil"/>
              <w:right w:val="nil"/>
            </w:tcBorders>
            <w:vAlign w:val="center"/>
          </w:tcPr>
          <w:p w14:paraId="1B966C95" w14:textId="370B0FF8" w:rsidR="005E257A" w:rsidRPr="00E20D21" w:rsidRDefault="005E257A" w:rsidP="005E257A">
            <w:pPr>
              <w:jc w:val="right"/>
              <w:rPr>
                <w:rFonts w:ascii="CAIXA Std Book" w:hAnsi="CAIXA Std Book"/>
                <w:b/>
                <w:color w:val="005CA9"/>
                <w:sz w:val="16"/>
                <w:szCs w:val="16"/>
              </w:rPr>
            </w:pPr>
            <w:r w:rsidRPr="00E20D21">
              <w:rPr>
                <w:rFonts w:ascii="CAIXA Std Book" w:hAnsi="CAIXA Std Book" w:cs="Calibri"/>
                <w:b/>
                <w:bCs/>
                <w:color w:val="005CA9"/>
                <w:sz w:val="16"/>
                <w:szCs w:val="16"/>
              </w:rPr>
              <w:t>1.780.968.365</w:t>
            </w:r>
          </w:p>
        </w:tc>
        <w:tc>
          <w:tcPr>
            <w:tcW w:w="684" w:type="pct"/>
            <w:tcBorders>
              <w:top w:val="nil"/>
              <w:left w:val="nil"/>
              <w:bottom w:val="nil"/>
              <w:right w:val="nil"/>
            </w:tcBorders>
            <w:shd w:val="clear" w:color="auto" w:fill="auto"/>
            <w:noWrap/>
            <w:vAlign w:val="center"/>
            <w:hideMark/>
          </w:tcPr>
          <w:p w14:paraId="74D05AFB" w14:textId="7A9B2B7C" w:rsidR="005E257A" w:rsidRPr="00E20D21" w:rsidRDefault="005E257A" w:rsidP="005E257A">
            <w:pPr>
              <w:jc w:val="right"/>
              <w:rPr>
                <w:rFonts w:ascii="CAIXA Std Book" w:hAnsi="CAIXA Std Book"/>
                <w:b/>
                <w:color w:val="005CA9"/>
                <w:sz w:val="16"/>
                <w:szCs w:val="16"/>
              </w:rPr>
            </w:pPr>
            <w:r w:rsidRPr="00E20D21">
              <w:rPr>
                <w:rFonts w:ascii="CAIXA Std Book" w:hAnsi="CAIXA Std Book" w:cs="Calibri"/>
                <w:b/>
                <w:bCs/>
                <w:color w:val="005CA9"/>
                <w:sz w:val="16"/>
                <w:szCs w:val="16"/>
              </w:rPr>
              <w:t>1.662.976.267</w:t>
            </w:r>
          </w:p>
        </w:tc>
        <w:tc>
          <w:tcPr>
            <w:tcW w:w="574" w:type="pct"/>
            <w:tcBorders>
              <w:top w:val="nil"/>
              <w:left w:val="nil"/>
              <w:bottom w:val="nil"/>
              <w:right w:val="nil"/>
            </w:tcBorders>
            <w:shd w:val="clear" w:color="auto" w:fill="auto"/>
            <w:noWrap/>
            <w:vAlign w:val="center"/>
          </w:tcPr>
          <w:p w14:paraId="783F3AA1" w14:textId="0DF0A509" w:rsidR="005E257A" w:rsidRPr="00E20D21" w:rsidRDefault="005E257A" w:rsidP="005E257A">
            <w:pPr>
              <w:jc w:val="right"/>
              <w:rPr>
                <w:rFonts w:ascii="CAIXA Std Book" w:hAnsi="CAIXA Std Book"/>
                <w:b/>
                <w:color w:val="005CA9"/>
                <w:sz w:val="16"/>
                <w:szCs w:val="16"/>
              </w:rPr>
            </w:pPr>
            <w:r w:rsidRPr="00E20D21">
              <w:rPr>
                <w:rFonts w:ascii="CAIXA Std Book" w:hAnsi="CAIXA Std Book" w:cs="Calibri"/>
                <w:b/>
                <w:bCs/>
                <w:color w:val="005CA9"/>
                <w:sz w:val="16"/>
                <w:szCs w:val="16"/>
              </w:rPr>
              <w:t>261.941.909</w:t>
            </w:r>
          </w:p>
        </w:tc>
        <w:tc>
          <w:tcPr>
            <w:tcW w:w="634" w:type="pct"/>
            <w:tcBorders>
              <w:top w:val="nil"/>
              <w:left w:val="nil"/>
              <w:bottom w:val="nil"/>
              <w:right w:val="nil"/>
            </w:tcBorders>
            <w:shd w:val="clear" w:color="auto" w:fill="auto"/>
            <w:noWrap/>
            <w:vAlign w:val="center"/>
          </w:tcPr>
          <w:p w14:paraId="2CB91E9C" w14:textId="3E4F5D38" w:rsidR="005E257A" w:rsidRPr="00E20D21" w:rsidRDefault="005E257A" w:rsidP="005E257A">
            <w:pPr>
              <w:jc w:val="right"/>
              <w:rPr>
                <w:rFonts w:ascii="CAIXA Std Book" w:hAnsi="CAIXA Std Book"/>
                <w:b/>
                <w:color w:val="005CA9"/>
                <w:sz w:val="16"/>
                <w:szCs w:val="16"/>
              </w:rPr>
            </w:pPr>
            <w:r w:rsidRPr="00E20D21">
              <w:rPr>
                <w:rFonts w:ascii="CAIXA Std Book" w:hAnsi="CAIXA Std Book" w:cs="Calibri"/>
                <w:b/>
                <w:bCs/>
                <w:color w:val="005CA9"/>
                <w:sz w:val="16"/>
                <w:szCs w:val="16"/>
              </w:rPr>
              <w:t>1.386.608.698</w:t>
            </w:r>
          </w:p>
        </w:tc>
        <w:tc>
          <w:tcPr>
            <w:tcW w:w="594" w:type="pct"/>
            <w:tcBorders>
              <w:top w:val="nil"/>
              <w:left w:val="nil"/>
              <w:bottom w:val="nil"/>
              <w:right w:val="nil"/>
            </w:tcBorders>
            <w:shd w:val="clear" w:color="auto" w:fill="auto"/>
            <w:noWrap/>
            <w:vAlign w:val="center"/>
          </w:tcPr>
          <w:p w14:paraId="54D824B5" w14:textId="0029458D" w:rsidR="005E257A" w:rsidRPr="00E20D21" w:rsidRDefault="005E257A" w:rsidP="005E257A">
            <w:pPr>
              <w:jc w:val="right"/>
              <w:rPr>
                <w:rFonts w:ascii="CAIXA Std Book" w:eastAsia="Times New Roman" w:hAnsi="CAIXA Std Book" w:cs="Times New Roman"/>
                <w:b/>
                <w:color w:val="005CA9"/>
                <w:sz w:val="16"/>
                <w:szCs w:val="16"/>
              </w:rPr>
            </w:pPr>
            <w:r w:rsidRPr="00E20D21">
              <w:rPr>
                <w:rFonts w:ascii="CAIXA Std Book" w:hAnsi="CAIXA Std Book" w:cs="Calibri"/>
                <w:b/>
                <w:bCs/>
                <w:color w:val="005CA9"/>
                <w:sz w:val="16"/>
                <w:szCs w:val="16"/>
              </w:rPr>
              <w:t>14.425.660</w:t>
            </w:r>
          </w:p>
        </w:tc>
      </w:tr>
      <w:tr w:rsidR="005E257A" w:rsidRPr="00E20D21" w14:paraId="077EB823" w14:textId="77777777" w:rsidTr="005E257A">
        <w:trPr>
          <w:trHeight w:val="283"/>
        </w:trPr>
        <w:tc>
          <w:tcPr>
            <w:tcW w:w="1847" w:type="pct"/>
            <w:tcBorders>
              <w:top w:val="nil"/>
              <w:left w:val="nil"/>
              <w:bottom w:val="nil"/>
              <w:right w:val="nil"/>
            </w:tcBorders>
            <w:shd w:val="clear" w:color="auto" w:fill="auto"/>
            <w:noWrap/>
            <w:vAlign w:val="center"/>
            <w:hideMark/>
          </w:tcPr>
          <w:p w14:paraId="02A0BAB7"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Aplicações interfinanceiras de liquidez</w:t>
            </w:r>
          </w:p>
        </w:tc>
        <w:tc>
          <w:tcPr>
            <w:tcW w:w="667" w:type="pct"/>
            <w:tcBorders>
              <w:top w:val="nil"/>
              <w:left w:val="nil"/>
              <w:bottom w:val="nil"/>
              <w:right w:val="nil"/>
            </w:tcBorders>
            <w:vAlign w:val="center"/>
          </w:tcPr>
          <w:p w14:paraId="6B27A5F7" w14:textId="10306AF8"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180.978.966</w:t>
            </w:r>
          </w:p>
        </w:tc>
        <w:tc>
          <w:tcPr>
            <w:tcW w:w="684" w:type="pct"/>
            <w:tcBorders>
              <w:top w:val="nil"/>
              <w:left w:val="nil"/>
              <w:bottom w:val="nil"/>
              <w:right w:val="nil"/>
            </w:tcBorders>
            <w:shd w:val="clear" w:color="auto" w:fill="auto"/>
            <w:noWrap/>
            <w:vAlign w:val="center"/>
            <w:hideMark/>
          </w:tcPr>
          <w:p w14:paraId="6B16EA5E" w14:textId="6FE57818"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180.980.309</w:t>
            </w:r>
          </w:p>
        </w:tc>
        <w:tc>
          <w:tcPr>
            <w:tcW w:w="574" w:type="pct"/>
            <w:tcBorders>
              <w:top w:val="nil"/>
              <w:left w:val="nil"/>
              <w:bottom w:val="nil"/>
              <w:right w:val="nil"/>
            </w:tcBorders>
            <w:shd w:val="clear" w:color="auto" w:fill="auto"/>
            <w:noWrap/>
            <w:vAlign w:val="center"/>
            <w:hideMark/>
          </w:tcPr>
          <w:p w14:paraId="692A0FCF" w14:textId="3006E809"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34" w:type="pct"/>
            <w:tcBorders>
              <w:top w:val="nil"/>
              <w:left w:val="nil"/>
              <w:bottom w:val="nil"/>
              <w:right w:val="nil"/>
            </w:tcBorders>
            <w:shd w:val="clear" w:color="auto" w:fill="auto"/>
            <w:noWrap/>
            <w:vAlign w:val="center"/>
            <w:hideMark/>
          </w:tcPr>
          <w:p w14:paraId="0DAD5530" w14:textId="715A5486"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180.980.309</w:t>
            </w:r>
          </w:p>
        </w:tc>
        <w:tc>
          <w:tcPr>
            <w:tcW w:w="594" w:type="pct"/>
            <w:tcBorders>
              <w:top w:val="nil"/>
              <w:left w:val="nil"/>
              <w:bottom w:val="nil"/>
              <w:right w:val="nil"/>
            </w:tcBorders>
            <w:shd w:val="clear" w:color="auto" w:fill="auto"/>
            <w:noWrap/>
            <w:vAlign w:val="center"/>
            <w:hideMark/>
          </w:tcPr>
          <w:p w14:paraId="4DA9D5DF" w14:textId="37917083"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05DB6A7E" w14:textId="77777777" w:rsidTr="005E257A">
        <w:trPr>
          <w:trHeight w:val="283"/>
        </w:trPr>
        <w:tc>
          <w:tcPr>
            <w:tcW w:w="1847" w:type="pct"/>
            <w:tcBorders>
              <w:top w:val="nil"/>
              <w:left w:val="nil"/>
              <w:bottom w:val="nil"/>
              <w:right w:val="nil"/>
            </w:tcBorders>
            <w:shd w:val="clear" w:color="auto" w:fill="auto"/>
            <w:noWrap/>
            <w:vAlign w:val="center"/>
            <w:hideMark/>
          </w:tcPr>
          <w:p w14:paraId="73AAF49B" w14:textId="6C3D9709"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Depósitos no Banco Central</w:t>
            </w:r>
          </w:p>
        </w:tc>
        <w:tc>
          <w:tcPr>
            <w:tcW w:w="667" w:type="pct"/>
            <w:tcBorders>
              <w:top w:val="nil"/>
              <w:left w:val="nil"/>
              <w:bottom w:val="nil"/>
              <w:right w:val="nil"/>
            </w:tcBorders>
            <w:vAlign w:val="center"/>
          </w:tcPr>
          <w:p w14:paraId="0076C185" w14:textId="580D1824"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133.393.149</w:t>
            </w:r>
          </w:p>
        </w:tc>
        <w:tc>
          <w:tcPr>
            <w:tcW w:w="684" w:type="pct"/>
            <w:tcBorders>
              <w:top w:val="nil"/>
              <w:left w:val="nil"/>
              <w:bottom w:val="nil"/>
              <w:right w:val="nil"/>
            </w:tcBorders>
            <w:shd w:val="clear" w:color="auto" w:fill="auto"/>
            <w:noWrap/>
            <w:vAlign w:val="center"/>
            <w:hideMark/>
          </w:tcPr>
          <w:p w14:paraId="66EAC263" w14:textId="5E2C22B3"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126.694.762</w:t>
            </w:r>
          </w:p>
        </w:tc>
        <w:tc>
          <w:tcPr>
            <w:tcW w:w="574" w:type="pct"/>
            <w:tcBorders>
              <w:top w:val="nil"/>
              <w:left w:val="nil"/>
              <w:bottom w:val="nil"/>
              <w:right w:val="nil"/>
            </w:tcBorders>
            <w:shd w:val="clear" w:color="auto" w:fill="auto"/>
            <w:noWrap/>
            <w:vAlign w:val="center"/>
            <w:hideMark/>
          </w:tcPr>
          <w:p w14:paraId="57303D36" w14:textId="447DAF2B"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34" w:type="pct"/>
            <w:tcBorders>
              <w:top w:val="nil"/>
              <w:left w:val="nil"/>
              <w:bottom w:val="nil"/>
              <w:right w:val="nil"/>
            </w:tcBorders>
            <w:shd w:val="clear" w:color="auto" w:fill="auto"/>
            <w:noWrap/>
            <w:vAlign w:val="center"/>
            <w:hideMark/>
          </w:tcPr>
          <w:p w14:paraId="70A91F79" w14:textId="6F359145"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126.694.762</w:t>
            </w:r>
          </w:p>
        </w:tc>
        <w:tc>
          <w:tcPr>
            <w:tcW w:w="594" w:type="pct"/>
            <w:tcBorders>
              <w:top w:val="nil"/>
              <w:left w:val="nil"/>
              <w:bottom w:val="nil"/>
              <w:right w:val="nil"/>
            </w:tcBorders>
            <w:shd w:val="clear" w:color="auto" w:fill="auto"/>
            <w:noWrap/>
            <w:vAlign w:val="center"/>
            <w:hideMark/>
          </w:tcPr>
          <w:p w14:paraId="23296383" w14:textId="750AC339"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6B933708" w14:textId="77777777" w:rsidTr="005E257A">
        <w:trPr>
          <w:trHeight w:val="283"/>
        </w:trPr>
        <w:tc>
          <w:tcPr>
            <w:tcW w:w="1847" w:type="pct"/>
            <w:tcBorders>
              <w:top w:val="nil"/>
              <w:left w:val="nil"/>
              <w:bottom w:val="nil"/>
              <w:right w:val="nil"/>
            </w:tcBorders>
            <w:shd w:val="clear" w:color="auto" w:fill="auto"/>
            <w:noWrap/>
            <w:vAlign w:val="center"/>
            <w:hideMark/>
          </w:tcPr>
          <w:p w14:paraId="4CADB53D"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Títulos e Valores Mobiliários</w:t>
            </w:r>
          </w:p>
        </w:tc>
        <w:tc>
          <w:tcPr>
            <w:tcW w:w="667" w:type="pct"/>
            <w:tcBorders>
              <w:top w:val="nil"/>
              <w:left w:val="nil"/>
              <w:bottom w:val="nil"/>
              <w:right w:val="nil"/>
            </w:tcBorders>
            <w:vAlign w:val="center"/>
          </w:tcPr>
          <w:p w14:paraId="3F0EB15D" w14:textId="76B592BC"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281.956.233</w:t>
            </w:r>
          </w:p>
        </w:tc>
        <w:tc>
          <w:tcPr>
            <w:tcW w:w="684" w:type="pct"/>
            <w:tcBorders>
              <w:top w:val="nil"/>
              <w:left w:val="nil"/>
              <w:bottom w:val="nil"/>
              <w:right w:val="nil"/>
            </w:tcBorders>
            <w:shd w:val="clear" w:color="auto" w:fill="auto"/>
            <w:noWrap/>
            <w:vAlign w:val="center"/>
            <w:hideMark/>
          </w:tcPr>
          <w:p w14:paraId="31B70C36" w14:textId="46412F73"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277.833.865</w:t>
            </w:r>
          </w:p>
        </w:tc>
        <w:tc>
          <w:tcPr>
            <w:tcW w:w="574" w:type="pct"/>
            <w:tcBorders>
              <w:top w:val="nil"/>
              <w:left w:val="nil"/>
              <w:bottom w:val="nil"/>
              <w:right w:val="nil"/>
            </w:tcBorders>
            <w:shd w:val="clear" w:color="auto" w:fill="auto"/>
            <w:noWrap/>
            <w:vAlign w:val="center"/>
            <w:hideMark/>
          </w:tcPr>
          <w:p w14:paraId="565C3BC6" w14:textId="460E2733"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261.941.909</w:t>
            </w:r>
          </w:p>
        </w:tc>
        <w:tc>
          <w:tcPr>
            <w:tcW w:w="634" w:type="pct"/>
            <w:tcBorders>
              <w:top w:val="nil"/>
              <w:left w:val="nil"/>
              <w:bottom w:val="nil"/>
              <w:right w:val="nil"/>
            </w:tcBorders>
            <w:shd w:val="clear" w:color="auto" w:fill="auto"/>
            <w:noWrap/>
            <w:vAlign w:val="center"/>
            <w:hideMark/>
          </w:tcPr>
          <w:p w14:paraId="2B6DF1B3" w14:textId="09B5267D"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1.466.296</w:t>
            </w:r>
          </w:p>
        </w:tc>
        <w:tc>
          <w:tcPr>
            <w:tcW w:w="594" w:type="pct"/>
            <w:tcBorders>
              <w:top w:val="nil"/>
              <w:left w:val="nil"/>
              <w:bottom w:val="nil"/>
              <w:right w:val="nil"/>
            </w:tcBorders>
            <w:shd w:val="clear" w:color="auto" w:fill="auto"/>
            <w:noWrap/>
            <w:vAlign w:val="center"/>
            <w:hideMark/>
          </w:tcPr>
          <w:p w14:paraId="33DE208B" w14:textId="54A1545F"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14.425.660</w:t>
            </w:r>
          </w:p>
        </w:tc>
      </w:tr>
      <w:tr w:rsidR="005E257A" w:rsidRPr="00E20D21" w14:paraId="2B8D5449" w14:textId="77777777" w:rsidTr="005E257A">
        <w:trPr>
          <w:trHeight w:val="283"/>
        </w:trPr>
        <w:tc>
          <w:tcPr>
            <w:tcW w:w="1847" w:type="pct"/>
            <w:tcBorders>
              <w:top w:val="nil"/>
              <w:left w:val="nil"/>
              <w:bottom w:val="nil"/>
              <w:right w:val="nil"/>
            </w:tcBorders>
            <w:shd w:val="clear" w:color="auto" w:fill="auto"/>
            <w:noWrap/>
            <w:vAlign w:val="center"/>
            <w:hideMark/>
          </w:tcPr>
          <w:p w14:paraId="09B31323"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Instrumentos financeiros derivativos</w:t>
            </w:r>
          </w:p>
        </w:tc>
        <w:tc>
          <w:tcPr>
            <w:tcW w:w="667" w:type="pct"/>
            <w:tcBorders>
              <w:top w:val="nil"/>
              <w:left w:val="nil"/>
              <w:bottom w:val="nil"/>
              <w:right w:val="nil"/>
            </w:tcBorders>
            <w:vAlign w:val="center"/>
          </w:tcPr>
          <w:p w14:paraId="35F1E87A" w14:textId="33AA9772"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163.206</w:t>
            </w:r>
          </w:p>
        </w:tc>
        <w:tc>
          <w:tcPr>
            <w:tcW w:w="684" w:type="pct"/>
            <w:tcBorders>
              <w:top w:val="nil"/>
              <w:left w:val="nil"/>
              <w:bottom w:val="nil"/>
              <w:right w:val="nil"/>
            </w:tcBorders>
            <w:shd w:val="clear" w:color="auto" w:fill="auto"/>
            <w:noWrap/>
            <w:vAlign w:val="center"/>
            <w:hideMark/>
          </w:tcPr>
          <w:p w14:paraId="1C706418" w14:textId="0F6C2D5A"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163.154</w:t>
            </w:r>
          </w:p>
        </w:tc>
        <w:tc>
          <w:tcPr>
            <w:tcW w:w="574" w:type="pct"/>
            <w:tcBorders>
              <w:top w:val="nil"/>
              <w:left w:val="nil"/>
              <w:bottom w:val="nil"/>
              <w:right w:val="nil"/>
            </w:tcBorders>
            <w:shd w:val="clear" w:color="auto" w:fill="auto"/>
            <w:noWrap/>
            <w:vAlign w:val="center"/>
            <w:hideMark/>
          </w:tcPr>
          <w:p w14:paraId="1EBCA30B" w14:textId="6496FADE"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34" w:type="pct"/>
            <w:tcBorders>
              <w:top w:val="nil"/>
              <w:left w:val="nil"/>
              <w:bottom w:val="nil"/>
              <w:right w:val="nil"/>
            </w:tcBorders>
            <w:shd w:val="clear" w:color="auto" w:fill="auto"/>
            <w:noWrap/>
            <w:vAlign w:val="center"/>
            <w:hideMark/>
          </w:tcPr>
          <w:p w14:paraId="45C7AAEC" w14:textId="4D9E387B"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163.154</w:t>
            </w:r>
          </w:p>
        </w:tc>
        <w:tc>
          <w:tcPr>
            <w:tcW w:w="594" w:type="pct"/>
            <w:tcBorders>
              <w:top w:val="nil"/>
              <w:left w:val="nil"/>
              <w:bottom w:val="nil"/>
              <w:right w:val="nil"/>
            </w:tcBorders>
            <w:shd w:val="clear" w:color="auto" w:fill="auto"/>
            <w:noWrap/>
            <w:vAlign w:val="center"/>
            <w:hideMark/>
          </w:tcPr>
          <w:p w14:paraId="17F4F5FB" w14:textId="26213F6D"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315FAB94" w14:textId="77777777" w:rsidTr="005E257A">
        <w:trPr>
          <w:trHeight w:val="283"/>
        </w:trPr>
        <w:tc>
          <w:tcPr>
            <w:tcW w:w="1847" w:type="pct"/>
            <w:tcBorders>
              <w:top w:val="nil"/>
              <w:left w:val="nil"/>
              <w:right w:val="nil"/>
            </w:tcBorders>
            <w:shd w:val="clear" w:color="auto" w:fill="auto"/>
            <w:noWrap/>
            <w:vAlign w:val="center"/>
            <w:hideMark/>
          </w:tcPr>
          <w:p w14:paraId="67E72D8A"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Carteira de crédito</w:t>
            </w:r>
          </w:p>
        </w:tc>
        <w:tc>
          <w:tcPr>
            <w:tcW w:w="667" w:type="pct"/>
            <w:tcBorders>
              <w:top w:val="nil"/>
              <w:left w:val="nil"/>
              <w:right w:val="nil"/>
            </w:tcBorders>
            <w:vAlign w:val="center"/>
          </w:tcPr>
          <w:p w14:paraId="2ACAE9BD" w14:textId="44525B40"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1.120.867.849</w:t>
            </w:r>
          </w:p>
        </w:tc>
        <w:tc>
          <w:tcPr>
            <w:tcW w:w="684" w:type="pct"/>
            <w:tcBorders>
              <w:top w:val="nil"/>
              <w:left w:val="nil"/>
              <w:right w:val="nil"/>
            </w:tcBorders>
            <w:shd w:val="clear" w:color="auto" w:fill="auto"/>
            <w:noWrap/>
            <w:vAlign w:val="center"/>
            <w:hideMark/>
          </w:tcPr>
          <w:p w14:paraId="4575D2FF" w14:textId="1DD8A3E7"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1.017.929.624</w:t>
            </w:r>
          </w:p>
        </w:tc>
        <w:tc>
          <w:tcPr>
            <w:tcW w:w="574" w:type="pct"/>
            <w:tcBorders>
              <w:top w:val="nil"/>
              <w:left w:val="nil"/>
              <w:right w:val="nil"/>
            </w:tcBorders>
            <w:shd w:val="clear" w:color="auto" w:fill="auto"/>
            <w:noWrap/>
            <w:vAlign w:val="center"/>
            <w:hideMark/>
          </w:tcPr>
          <w:p w14:paraId="542C6A96" w14:textId="7D120440"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34" w:type="pct"/>
            <w:tcBorders>
              <w:top w:val="nil"/>
              <w:left w:val="nil"/>
              <w:right w:val="nil"/>
            </w:tcBorders>
            <w:shd w:val="clear" w:color="auto" w:fill="auto"/>
            <w:noWrap/>
            <w:vAlign w:val="center"/>
            <w:hideMark/>
          </w:tcPr>
          <w:p w14:paraId="4701D030" w14:textId="4632B134"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1.017.929.624</w:t>
            </w:r>
          </w:p>
        </w:tc>
        <w:tc>
          <w:tcPr>
            <w:tcW w:w="594" w:type="pct"/>
            <w:tcBorders>
              <w:top w:val="nil"/>
              <w:left w:val="nil"/>
              <w:right w:val="nil"/>
            </w:tcBorders>
            <w:shd w:val="clear" w:color="auto" w:fill="auto"/>
            <w:noWrap/>
            <w:vAlign w:val="center"/>
            <w:hideMark/>
          </w:tcPr>
          <w:p w14:paraId="2B9C9728" w14:textId="1CD07538"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5745F545" w14:textId="77777777" w:rsidTr="005E257A">
        <w:trPr>
          <w:trHeight w:val="283"/>
        </w:trPr>
        <w:tc>
          <w:tcPr>
            <w:tcW w:w="1847" w:type="pct"/>
            <w:tcBorders>
              <w:top w:val="nil"/>
              <w:left w:val="nil"/>
              <w:right w:val="nil"/>
            </w:tcBorders>
            <w:shd w:val="clear" w:color="auto" w:fill="auto"/>
            <w:noWrap/>
            <w:vAlign w:val="center"/>
            <w:hideMark/>
          </w:tcPr>
          <w:p w14:paraId="3E4622A2"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Outros ativos financeiros</w:t>
            </w:r>
          </w:p>
        </w:tc>
        <w:tc>
          <w:tcPr>
            <w:tcW w:w="667" w:type="pct"/>
            <w:tcBorders>
              <w:top w:val="nil"/>
              <w:left w:val="nil"/>
              <w:right w:val="nil"/>
            </w:tcBorders>
            <w:vAlign w:val="center"/>
          </w:tcPr>
          <w:p w14:paraId="23AB80D6" w14:textId="657A5461"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63.608.962</w:t>
            </w:r>
          </w:p>
        </w:tc>
        <w:tc>
          <w:tcPr>
            <w:tcW w:w="684" w:type="pct"/>
            <w:tcBorders>
              <w:top w:val="nil"/>
              <w:left w:val="nil"/>
              <w:right w:val="nil"/>
            </w:tcBorders>
            <w:shd w:val="clear" w:color="auto" w:fill="auto"/>
            <w:noWrap/>
            <w:vAlign w:val="center"/>
            <w:hideMark/>
          </w:tcPr>
          <w:p w14:paraId="057A5F5F" w14:textId="31D82CFE"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59.374.553</w:t>
            </w:r>
          </w:p>
        </w:tc>
        <w:tc>
          <w:tcPr>
            <w:tcW w:w="574" w:type="pct"/>
            <w:tcBorders>
              <w:top w:val="nil"/>
              <w:left w:val="nil"/>
              <w:right w:val="nil"/>
            </w:tcBorders>
            <w:shd w:val="clear" w:color="auto" w:fill="auto"/>
            <w:noWrap/>
            <w:vAlign w:val="center"/>
            <w:hideMark/>
          </w:tcPr>
          <w:p w14:paraId="42A979E2" w14:textId="1A7A1899"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34" w:type="pct"/>
            <w:tcBorders>
              <w:top w:val="nil"/>
              <w:left w:val="nil"/>
              <w:right w:val="nil"/>
            </w:tcBorders>
            <w:shd w:val="clear" w:color="auto" w:fill="auto"/>
            <w:noWrap/>
            <w:vAlign w:val="center"/>
            <w:hideMark/>
          </w:tcPr>
          <w:p w14:paraId="7AB599AE" w14:textId="18447190"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59.374.553</w:t>
            </w:r>
          </w:p>
        </w:tc>
        <w:tc>
          <w:tcPr>
            <w:tcW w:w="594" w:type="pct"/>
            <w:tcBorders>
              <w:top w:val="nil"/>
              <w:left w:val="nil"/>
              <w:right w:val="nil"/>
            </w:tcBorders>
            <w:shd w:val="clear" w:color="auto" w:fill="auto"/>
            <w:noWrap/>
            <w:vAlign w:val="center"/>
            <w:hideMark/>
          </w:tcPr>
          <w:p w14:paraId="23D5AC76" w14:textId="70CB8121"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7D4BAEFB" w14:textId="77777777" w:rsidTr="005E257A">
        <w:trPr>
          <w:trHeight w:val="283"/>
        </w:trPr>
        <w:tc>
          <w:tcPr>
            <w:tcW w:w="1847" w:type="pct"/>
            <w:tcBorders>
              <w:left w:val="nil"/>
              <w:bottom w:val="nil"/>
              <w:right w:val="nil"/>
            </w:tcBorders>
            <w:shd w:val="clear" w:color="auto" w:fill="auto"/>
            <w:noWrap/>
            <w:vAlign w:val="center"/>
            <w:hideMark/>
          </w:tcPr>
          <w:p w14:paraId="31DF4011" w14:textId="77777777" w:rsidR="005E257A" w:rsidRPr="00E20D21" w:rsidRDefault="005E257A" w:rsidP="005E257A">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PASSIVO</w:t>
            </w:r>
          </w:p>
        </w:tc>
        <w:tc>
          <w:tcPr>
            <w:tcW w:w="667" w:type="pct"/>
            <w:tcBorders>
              <w:left w:val="nil"/>
              <w:bottom w:val="nil"/>
              <w:right w:val="nil"/>
            </w:tcBorders>
            <w:vAlign w:val="center"/>
          </w:tcPr>
          <w:p w14:paraId="5CA9AA82" w14:textId="77777777" w:rsidR="005E257A" w:rsidRPr="00E20D21" w:rsidRDefault="005E257A" w:rsidP="005E257A">
            <w:pPr>
              <w:jc w:val="right"/>
              <w:rPr>
                <w:rFonts w:ascii="CAIXA Std Book" w:eastAsia="Times New Roman" w:hAnsi="CAIXA Std Book" w:cs="Calibri"/>
                <w:b/>
                <w:bCs/>
                <w:color w:val="005CA9"/>
                <w:sz w:val="16"/>
                <w:szCs w:val="16"/>
              </w:rPr>
            </w:pPr>
          </w:p>
        </w:tc>
        <w:tc>
          <w:tcPr>
            <w:tcW w:w="684" w:type="pct"/>
            <w:tcBorders>
              <w:left w:val="nil"/>
              <w:bottom w:val="nil"/>
              <w:right w:val="nil"/>
            </w:tcBorders>
            <w:shd w:val="clear" w:color="auto" w:fill="auto"/>
            <w:noWrap/>
            <w:vAlign w:val="center"/>
            <w:hideMark/>
          </w:tcPr>
          <w:p w14:paraId="73FF315D" w14:textId="77777777" w:rsidR="005E257A" w:rsidRPr="00E20D21" w:rsidRDefault="005E257A" w:rsidP="005E257A">
            <w:pPr>
              <w:jc w:val="right"/>
              <w:rPr>
                <w:rFonts w:ascii="CAIXA Std Book" w:eastAsia="Times New Roman" w:hAnsi="CAIXA Std Book" w:cs="Calibri"/>
                <w:b/>
                <w:bCs/>
                <w:color w:val="005CA9"/>
                <w:sz w:val="16"/>
                <w:szCs w:val="16"/>
              </w:rPr>
            </w:pPr>
          </w:p>
        </w:tc>
        <w:tc>
          <w:tcPr>
            <w:tcW w:w="574" w:type="pct"/>
            <w:tcBorders>
              <w:left w:val="nil"/>
              <w:bottom w:val="nil"/>
              <w:right w:val="nil"/>
            </w:tcBorders>
            <w:shd w:val="clear" w:color="auto" w:fill="auto"/>
            <w:noWrap/>
            <w:vAlign w:val="center"/>
            <w:hideMark/>
          </w:tcPr>
          <w:p w14:paraId="2015AB75" w14:textId="77777777" w:rsidR="005E257A" w:rsidRPr="00E20D21" w:rsidRDefault="005E257A" w:rsidP="005E257A">
            <w:pPr>
              <w:jc w:val="right"/>
              <w:rPr>
                <w:rFonts w:ascii="CAIXA Std Book" w:eastAsia="Times New Roman" w:hAnsi="CAIXA Std Book" w:cs="Times New Roman"/>
                <w:color w:val="005CA9"/>
                <w:sz w:val="16"/>
                <w:szCs w:val="16"/>
              </w:rPr>
            </w:pPr>
          </w:p>
        </w:tc>
        <w:tc>
          <w:tcPr>
            <w:tcW w:w="634" w:type="pct"/>
            <w:tcBorders>
              <w:left w:val="nil"/>
              <w:bottom w:val="nil"/>
              <w:right w:val="nil"/>
            </w:tcBorders>
            <w:shd w:val="clear" w:color="auto" w:fill="auto"/>
            <w:noWrap/>
            <w:vAlign w:val="center"/>
            <w:hideMark/>
          </w:tcPr>
          <w:p w14:paraId="7A5F65EA" w14:textId="77777777" w:rsidR="005E257A" w:rsidRPr="00E20D21" w:rsidRDefault="005E257A" w:rsidP="005E257A">
            <w:pPr>
              <w:jc w:val="right"/>
              <w:rPr>
                <w:rFonts w:ascii="CAIXA Std Book" w:eastAsia="Times New Roman" w:hAnsi="CAIXA Std Book" w:cs="Times New Roman"/>
                <w:color w:val="005CA9"/>
                <w:sz w:val="16"/>
                <w:szCs w:val="16"/>
              </w:rPr>
            </w:pPr>
          </w:p>
        </w:tc>
        <w:tc>
          <w:tcPr>
            <w:tcW w:w="594" w:type="pct"/>
            <w:tcBorders>
              <w:left w:val="nil"/>
              <w:bottom w:val="nil"/>
              <w:right w:val="nil"/>
            </w:tcBorders>
            <w:shd w:val="clear" w:color="auto" w:fill="auto"/>
            <w:noWrap/>
            <w:vAlign w:val="center"/>
            <w:hideMark/>
          </w:tcPr>
          <w:p w14:paraId="38D5CDFA" w14:textId="77777777" w:rsidR="005E257A" w:rsidRPr="00E20D21" w:rsidRDefault="005E257A" w:rsidP="005E257A">
            <w:pPr>
              <w:jc w:val="right"/>
              <w:rPr>
                <w:rFonts w:ascii="CAIXA Std Book" w:eastAsia="Times New Roman" w:hAnsi="CAIXA Std Book" w:cs="Times New Roman"/>
                <w:color w:val="005CA9"/>
                <w:sz w:val="16"/>
                <w:szCs w:val="16"/>
              </w:rPr>
            </w:pPr>
          </w:p>
        </w:tc>
      </w:tr>
      <w:tr w:rsidR="005E257A" w:rsidRPr="00E20D21" w14:paraId="18E2EC76" w14:textId="77777777" w:rsidTr="005E257A">
        <w:trPr>
          <w:trHeight w:val="283"/>
        </w:trPr>
        <w:tc>
          <w:tcPr>
            <w:tcW w:w="1847" w:type="pct"/>
            <w:tcBorders>
              <w:top w:val="nil"/>
              <w:left w:val="nil"/>
              <w:bottom w:val="nil"/>
              <w:right w:val="nil"/>
            </w:tcBorders>
            <w:shd w:val="clear" w:color="auto" w:fill="auto"/>
            <w:noWrap/>
            <w:vAlign w:val="center"/>
            <w:hideMark/>
          </w:tcPr>
          <w:p w14:paraId="5B84D81B" w14:textId="77777777" w:rsidR="005E257A" w:rsidRPr="00E20D21" w:rsidRDefault="005E257A" w:rsidP="005E257A">
            <w:pPr>
              <w:rPr>
                <w:rFonts w:ascii="CAIXA Std Book" w:eastAsia="Times New Roman" w:hAnsi="CAIXA Std Book" w:cs="Calibri"/>
                <w:b/>
                <w:bCs/>
                <w:color w:val="005CA9"/>
                <w:sz w:val="16"/>
                <w:szCs w:val="16"/>
              </w:rPr>
            </w:pPr>
            <w:r w:rsidRPr="00E20D21">
              <w:rPr>
                <w:rFonts w:ascii="CAIXA Std Book" w:eastAsia="Times New Roman" w:hAnsi="CAIXA Std Book" w:cs="Calibri"/>
                <w:b/>
                <w:bCs/>
                <w:color w:val="005CA9"/>
                <w:sz w:val="16"/>
                <w:szCs w:val="16"/>
              </w:rPr>
              <w:t xml:space="preserve">Passivos Financeiros </w:t>
            </w:r>
          </w:p>
        </w:tc>
        <w:tc>
          <w:tcPr>
            <w:tcW w:w="667" w:type="pct"/>
            <w:tcBorders>
              <w:top w:val="nil"/>
              <w:left w:val="nil"/>
              <w:bottom w:val="nil"/>
              <w:right w:val="nil"/>
            </w:tcBorders>
            <w:vAlign w:val="center"/>
          </w:tcPr>
          <w:p w14:paraId="126366A4" w14:textId="51A1D08E" w:rsidR="005E257A" w:rsidRPr="00E20D21" w:rsidRDefault="005E257A" w:rsidP="005E257A">
            <w:pPr>
              <w:jc w:val="right"/>
              <w:rPr>
                <w:rFonts w:ascii="CAIXA Std Book" w:hAnsi="CAIXA Std Book"/>
                <w:b/>
                <w:color w:val="005CA9"/>
                <w:sz w:val="22"/>
                <w:szCs w:val="22"/>
              </w:rPr>
            </w:pPr>
            <w:r w:rsidRPr="00E20D21">
              <w:rPr>
                <w:rFonts w:ascii="CAIXA Std Book" w:hAnsi="CAIXA Std Book" w:cs="Calibri"/>
                <w:b/>
                <w:bCs/>
                <w:color w:val="005CA9"/>
                <w:sz w:val="16"/>
                <w:szCs w:val="16"/>
              </w:rPr>
              <w:t>1.582.318.</w:t>
            </w:r>
            <w:r w:rsidR="005F6A6C" w:rsidRPr="00E20D21">
              <w:rPr>
                <w:rFonts w:ascii="CAIXA Std Book" w:hAnsi="CAIXA Std Book" w:cs="Calibri"/>
                <w:b/>
                <w:bCs/>
                <w:color w:val="005CA9"/>
                <w:sz w:val="16"/>
                <w:szCs w:val="16"/>
              </w:rPr>
              <w:t>661</w:t>
            </w:r>
          </w:p>
        </w:tc>
        <w:tc>
          <w:tcPr>
            <w:tcW w:w="684" w:type="pct"/>
            <w:tcBorders>
              <w:top w:val="nil"/>
              <w:left w:val="nil"/>
              <w:bottom w:val="nil"/>
              <w:right w:val="nil"/>
            </w:tcBorders>
            <w:shd w:val="clear" w:color="auto" w:fill="auto"/>
            <w:noWrap/>
            <w:vAlign w:val="center"/>
            <w:hideMark/>
          </w:tcPr>
          <w:p w14:paraId="0A656B76" w14:textId="497DAC4F" w:rsidR="005E257A" w:rsidRPr="00E20D21" w:rsidRDefault="005E257A" w:rsidP="005E257A">
            <w:pPr>
              <w:jc w:val="right"/>
              <w:rPr>
                <w:rFonts w:ascii="CAIXA Std Book" w:hAnsi="CAIXA Std Book"/>
                <w:b/>
                <w:color w:val="005CA9"/>
                <w:sz w:val="16"/>
                <w:szCs w:val="16"/>
              </w:rPr>
            </w:pPr>
            <w:r w:rsidRPr="00E20D21">
              <w:rPr>
                <w:rFonts w:ascii="CAIXA Std Book" w:hAnsi="CAIXA Std Book" w:cs="Calibri"/>
                <w:b/>
                <w:bCs/>
                <w:color w:val="005CA9"/>
                <w:sz w:val="16"/>
                <w:szCs w:val="16"/>
              </w:rPr>
              <w:t>1.</w:t>
            </w:r>
            <w:r w:rsidR="00FB4AF6" w:rsidRPr="00E20D21">
              <w:rPr>
                <w:rFonts w:ascii="CAIXA Std Book" w:hAnsi="CAIXA Std Book" w:cs="Calibri"/>
                <w:b/>
                <w:bCs/>
                <w:color w:val="005CA9"/>
                <w:sz w:val="16"/>
                <w:szCs w:val="16"/>
              </w:rPr>
              <w:t>405.689.582</w:t>
            </w:r>
          </w:p>
        </w:tc>
        <w:tc>
          <w:tcPr>
            <w:tcW w:w="574" w:type="pct"/>
            <w:tcBorders>
              <w:top w:val="nil"/>
              <w:left w:val="nil"/>
              <w:bottom w:val="nil"/>
              <w:right w:val="nil"/>
            </w:tcBorders>
            <w:shd w:val="clear" w:color="auto" w:fill="auto"/>
            <w:noWrap/>
            <w:vAlign w:val="center"/>
            <w:hideMark/>
          </w:tcPr>
          <w:p w14:paraId="6FD84516" w14:textId="6BB3A962" w:rsidR="005E257A" w:rsidRPr="00E20D21" w:rsidRDefault="005E257A" w:rsidP="005E257A">
            <w:pPr>
              <w:jc w:val="center"/>
              <w:rPr>
                <w:rFonts w:ascii="CAIXA Std Book" w:hAnsi="CAIXA Std Book"/>
                <w:b/>
                <w:color w:val="005CA9"/>
                <w:sz w:val="16"/>
                <w:szCs w:val="16"/>
              </w:rPr>
            </w:pPr>
            <w:r w:rsidRPr="00E20D21">
              <w:rPr>
                <w:rFonts w:ascii="CAIXA Std Book" w:eastAsia="Times New Roman" w:hAnsi="CAIXA Std Book" w:cs="Calibri"/>
                <w:b/>
                <w:color w:val="005CA9"/>
                <w:sz w:val="16"/>
                <w:szCs w:val="16"/>
              </w:rPr>
              <w:t>-</w:t>
            </w:r>
          </w:p>
        </w:tc>
        <w:tc>
          <w:tcPr>
            <w:tcW w:w="634" w:type="pct"/>
            <w:tcBorders>
              <w:top w:val="nil"/>
              <w:left w:val="nil"/>
              <w:bottom w:val="nil"/>
              <w:right w:val="nil"/>
            </w:tcBorders>
            <w:shd w:val="clear" w:color="auto" w:fill="auto"/>
            <w:noWrap/>
            <w:vAlign w:val="center"/>
          </w:tcPr>
          <w:p w14:paraId="56DF582C" w14:textId="56D5E4F3" w:rsidR="005E257A" w:rsidRPr="00E20D21" w:rsidRDefault="005E257A" w:rsidP="005E257A">
            <w:pPr>
              <w:jc w:val="right"/>
              <w:rPr>
                <w:rFonts w:ascii="CAIXA Std Book" w:hAnsi="CAIXA Std Book"/>
                <w:b/>
                <w:color w:val="005CA9"/>
                <w:sz w:val="16"/>
                <w:szCs w:val="16"/>
              </w:rPr>
            </w:pPr>
            <w:r w:rsidRPr="00E20D21">
              <w:rPr>
                <w:rFonts w:ascii="CAIXA Std Book" w:hAnsi="CAIXA Std Book" w:cs="Calibri"/>
                <w:b/>
                <w:bCs/>
                <w:color w:val="005CA9"/>
                <w:sz w:val="16"/>
                <w:szCs w:val="16"/>
              </w:rPr>
              <w:t>744.331.178</w:t>
            </w:r>
          </w:p>
        </w:tc>
        <w:tc>
          <w:tcPr>
            <w:tcW w:w="594" w:type="pct"/>
            <w:tcBorders>
              <w:top w:val="nil"/>
              <w:left w:val="nil"/>
              <w:bottom w:val="nil"/>
              <w:right w:val="nil"/>
            </w:tcBorders>
            <w:shd w:val="clear" w:color="auto" w:fill="auto"/>
            <w:noWrap/>
            <w:vAlign w:val="center"/>
          </w:tcPr>
          <w:p w14:paraId="51468180" w14:textId="014FD1AF" w:rsidR="005E257A" w:rsidRPr="00E20D21" w:rsidRDefault="005E257A" w:rsidP="005E257A">
            <w:pPr>
              <w:jc w:val="right"/>
              <w:rPr>
                <w:rFonts w:ascii="CAIXA Std Book" w:eastAsia="Times New Roman" w:hAnsi="CAIXA Std Book" w:cs="Calibri"/>
                <w:b/>
                <w:bCs/>
                <w:color w:val="005CA9"/>
                <w:sz w:val="16"/>
                <w:szCs w:val="16"/>
              </w:rPr>
            </w:pPr>
            <w:r w:rsidRPr="00E20D21">
              <w:rPr>
                <w:rFonts w:ascii="CAIXA Std Book" w:hAnsi="CAIXA Std Book" w:cs="Calibri"/>
                <w:b/>
                <w:bCs/>
                <w:color w:val="005CA9"/>
                <w:sz w:val="16"/>
                <w:szCs w:val="16"/>
              </w:rPr>
              <w:t>661.</w:t>
            </w:r>
            <w:r w:rsidR="009F6BF4" w:rsidRPr="00E20D21">
              <w:rPr>
                <w:rFonts w:ascii="CAIXA Std Book" w:hAnsi="CAIXA Std Book" w:cs="Calibri"/>
                <w:b/>
                <w:bCs/>
                <w:color w:val="005CA9"/>
                <w:sz w:val="16"/>
                <w:szCs w:val="16"/>
              </w:rPr>
              <w:t>358.404</w:t>
            </w:r>
          </w:p>
        </w:tc>
      </w:tr>
      <w:tr w:rsidR="005E257A" w:rsidRPr="00E20D21" w14:paraId="30FE6F91" w14:textId="77777777" w:rsidTr="005E257A">
        <w:trPr>
          <w:trHeight w:val="283"/>
        </w:trPr>
        <w:tc>
          <w:tcPr>
            <w:tcW w:w="1847" w:type="pct"/>
            <w:tcBorders>
              <w:top w:val="nil"/>
              <w:left w:val="nil"/>
              <w:bottom w:val="nil"/>
              <w:right w:val="nil"/>
            </w:tcBorders>
            <w:shd w:val="clear" w:color="auto" w:fill="auto"/>
            <w:noWrap/>
            <w:vAlign w:val="center"/>
            <w:hideMark/>
          </w:tcPr>
          <w:p w14:paraId="3AD429CC"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clientes</w:t>
            </w:r>
          </w:p>
        </w:tc>
        <w:tc>
          <w:tcPr>
            <w:tcW w:w="667" w:type="pct"/>
            <w:tcBorders>
              <w:top w:val="nil"/>
              <w:left w:val="nil"/>
              <w:bottom w:val="nil"/>
              <w:right w:val="nil"/>
            </w:tcBorders>
            <w:vAlign w:val="center"/>
          </w:tcPr>
          <w:p w14:paraId="78543991" w14:textId="23339814"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714.074.077</w:t>
            </w:r>
          </w:p>
        </w:tc>
        <w:tc>
          <w:tcPr>
            <w:tcW w:w="684" w:type="pct"/>
            <w:tcBorders>
              <w:top w:val="nil"/>
              <w:left w:val="nil"/>
              <w:bottom w:val="nil"/>
              <w:right w:val="nil"/>
            </w:tcBorders>
            <w:shd w:val="clear" w:color="auto" w:fill="auto"/>
            <w:noWrap/>
            <w:vAlign w:val="center"/>
            <w:hideMark/>
          </w:tcPr>
          <w:p w14:paraId="5231744C" w14:textId="6AF71F2C"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661.358.404</w:t>
            </w:r>
          </w:p>
        </w:tc>
        <w:tc>
          <w:tcPr>
            <w:tcW w:w="574" w:type="pct"/>
            <w:tcBorders>
              <w:top w:val="nil"/>
              <w:left w:val="nil"/>
              <w:bottom w:val="nil"/>
              <w:right w:val="nil"/>
            </w:tcBorders>
            <w:shd w:val="clear" w:color="auto" w:fill="auto"/>
            <w:noWrap/>
            <w:vAlign w:val="center"/>
            <w:hideMark/>
          </w:tcPr>
          <w:p w14:paraId="4E4774EE" w14:textId="63EF88C2"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34" w:type="pct"/>
            <w:tcBorders>
              <w:top w:val="nil"/>
              <w:left w:val="nil"/>
              <w:bottom w:val="nil"/>
              <w:right w:val="nil"/>
            </w:tcBorders>
            <w:shd w:val="clear" w:color="auto" w:fill="auto"/>
            <w:noWrap/>
            <w:vAlign w:val="center"/>
            <w:hideMark/>
          </w:tcPr>
          <w:p w14:paraId="265DA8D4" w14:textId="7BB837DC" w:rsidR="005E257A" w:rsidRPr="00E20D21" w:rsidRDefault="008F5B99" w:rsidP="005E257A">
            <w:pPr>
              <w:jc w:val="center"/>
              <w:rPr>
                <w:rFonts w:ascii="CAIXA Std Book" w:eastAsia="Times New Roman" w:hAnsi="CAIXA Std Book" w:cs="Times New Roman"/>
                <w:color w:val="005CA9"/>
                <w:sz w:val="16"/>
                <w:szCs w:val="16"/>
              </w:rPr>
            </w:pPr>
            <w:r w:rsidRPr="00E20D21">
              <w:rPr>
                <w:rFonts w:ascii="CAIXA Std Book" w:eastAsia="Times New Roman" w:hAnsi="CAIXA Std Book" w:cs="Times New Roman"/>
                <w:color w:val="005CA9"/>
                <w:sz w:val="16"/>
                <w:szCs w:val="16"/>
              </w:rPr>
              <w:t>-</w:t>
            </w:r>
          </w:p>
        </w:tc>
        <w:tc>
          <w:tcPr>
            <w:tcW w:w="594" w:type="pct"/>
            <w:tcBorders>
              <w:top w:val="nil"/>
              <w:left w:val="nil"/>
              <w:bottom w:val="nil"/>
              <w:right w:val="nil"/>
            </w:tcBorders>
            <w:shd w:val="clear" w:color="auto" w:fill="auto"/>
            <w:noWrap/>
            <w:vAlign w:val="center"/>
            <w:hideMark/>
          </w:tcPr>
          <w:p w14:paraId="722282BD" w14:textId="77468D3C"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661.358.404</w:t>
            </w:r>
          </w:p>
        </w:tc>
      </w:tr>
      <w:tr w:rsidR="005E257A" w:rsidRPr="00E20D21" w14:paraId="5EA4023C" w14:textId="77777777" w:rsidTr="005E257A">
        <w:trPr>
          <w:trHeight w:val="283"/>
        </w:trPr>
        <w:tc>
          <w:tcPr>
            <w:tcW w:w="1847" w:type="pct"/>
            <w:tcBorders>
              <w:top w:val="nil"/>
              <w:left w:val="nil"/>
              <w:right w:val="nil"/>
            </w:tcBorders>
            <w:shd w:val="clear" w:color="auto" w:fill="auto"/>
            <w:noWrap/>
            <w:vAlign w:val="center"/>
            <w:hideMark/>
          </w:tcPr>
          <w:p w14:paraId="54961FFE"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instituições financeiras e outras</w:t>
            </w:r>
          </w:p>
        </w:tc>
        <w:tc>
          <w:tcPr>
            <w:tcW w:w="667" w:type="pct"/>
            <w:tcBorders>
              <w:top w:val="nil"/>
              <w:left w:val="nil"/>
              <w:right w:val="nil"/>
            </w:tcBorders>
            <w:vAlign w:val="center"/>
          </w:tcPr>
          <w:p w14:paraId="1E5624CC" w14:textId="25E56532"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664.122.848</w:t>
            </w:r>
          </w:p>
        </w:tc>
        <w:tc>
          <w:tcPr>
            <w:tcW w:w="684" w:type="pct"/>
            <w:tcBorders>
              <w:top w:val="nil"/>
              <w:left w:val="nil"/>
              <w:right w:val="nil"/>
            </w:tcBorders>
            <w:shd w:val="clear" w:color="auto" w:fill="auto"/>
            <w:noWrap/>
            <w:vAlign w:val="center"/>
            <w:hideMark/>
          </w:tcPr>
          <w:p w14:paraId="69CE718F" w14:textId="68829E58"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547.312.684</w:t>
            </w:r>
          </w:p>
        </w:tc>
        <w:tc>
          <w:tcPr>
            <w:tcW w:w="574" w:type="pct"/>
            <w:tcBorders>
              <w:top w:val="nil"/>
              <w:left w:val="nil"/>
              <w:right w:val="nil"/>
            </w:tcBorders>
            <w:shd w:val="clear" w:color="auto" w:fill="auto"/>
            <w:noWrap/>
            <w:vAlign w:val="center"/>
            <w:hideMark/>
          </w:tcPr>
          <w:p w14:paraId="2FE777C8" w14:textId="3189DA18"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34" w:type="pct"/>
            <w:tcBorders>
              <w:top w:val="nil"/>
              <w:left w:val="nil"/>
              <w:right w:val="nil"/>
            </w:tcBorders>
            <w:shd w:val="clear" w:color="auto" w:fill="auto"/>
            <w:noWrap/>
            <w:vAlign w:val="center"/>
            <w:hideMark/>
          </w:tcPr>
          <w:p w14:paraId="5DEAFEA8" w14:textId="31895B62"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547.312.684</w:t>
            </w:r>
          </w:p>
        </w:tc>
        <w:tc>
          <w:tcPr>
            <w:tcW w:w="594" w:type="pct"/>
            <w:tcBorders>
              <w:top w:val="nil"/>
              <w:left w:val="nil"/>
              <w:right w:val="nil"/>
            </w:tcBorders>
            <w:shd w:val="clear" w:color="auto" w:fill="auto"/>
            <w:noWrap/>
            <w:vAlign w:val="center"/>
            <w:hideMark/>
          </w:tcPr>
          <w:p w14:paraId="1B386C6B" w14:textId="393A5E3A"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r w:rsidR="005E257A" w:rsidRPr="00E20D21" w14:paraId="62BBAB57" w14:textId="77777777" w:rsidTr="005E257A">
        <w:trPr>
          <w:trHeight w:val="283"/>
        </w:trPr>
        <w:tc>
          <w:tcPr>
            <w:tcW w:w="1847" w:type="pct"/>
            <w:tcBorders>
              <w:top w:val="nil"/>
              <w:left w:val="nil"/>
              <w:bottom w:val="single" w:sz="4" w:space="0" w:color="F39200"/>
              <w:right w:val="nil"/>
            </w:tcBorders>
            <w:shd w:val="clear" w:color="auto" w:fill="auto"/>
            <w:noWrap/>
            <w:vAlign w:val="center"/>
            <w:hideMark/>
          </w:tcPr>
          <w:p w14:paraId="7A8C89B5" w14:textId="77777777" w:rsidR="005E257A" w:rsidRPr="00E20D21" w:rsidRDefault="005E257A" w:rsidP="005E257A">
            <w:pPr>
              <w:ind w:firstLineChars="100" w:firstLine="160"/>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Recursos de emissões de títulos e valores mobiliários</w:t>
            </w:r>
          </w:p>
        </w:tc>
        <w:tc>
          <w:tcPr>
            <w:tcW w:w="667" w:type="pct"/>
            <w:tcBorders>
              <w:top w:val="nil"/>
              <w:left w:val="nil"/>
              <w:bottom w:val="single" w:sz="4" w:space="0" w:color="F39200"/>
              <w:right w:val="nil"/>
            </w:tcBorders>
            <w:vAlign w:val="center"/>
          </w:tcPr>
          <w:p w14:paraId="7C8BDEE2" w14:textId="4D87A301"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204.121.736</w:t>
            </w:r>
          </w:p>
        </w:tc>
        <w:tc>
          <w:tcPr>
            <w:tcW w:w="684" w:type="pct"/>
            <w:tcBorders>
              <w:top w:val="nil"/>
              <w:left w:val="nil"/>
              <w:bottom w:val="single" w:sz="4" w:space="0" w:color="F39200"/>
              <w:right w:val="nil"/>
            </w:tcBorders>
            <w:shd w:val="clear" w:color="auto" w:fill="auto"/>
            <w:noWrap/>
            <w:vAlign w:val="center"/>
            <w:hideMark/>
          </w:tcPr>
          <w:p w14:paraId="1CF2874E" w14:textId="7E1946BF"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197.018.494</w:t>
            </w:r>
          </w:p>
        </w:tc>
        <w:tc>
          <w:tcPr>
            <w:tcW w:w="574" w:type="pct"/>
            <w:tcBorders>
              <w:top w:val="nil"/>
              <w:left w:val="nil"/>
              <w:bottom w:val="single" w:sz="4" w:space="0" w:color="F39200"/>
              <w:right w:val="nil"/>
            </w:tcBorders>
            <w:shd w:val="clear" w:color="auto" w:fill="auto"/>
            <w:noWrap/>
            <w:vAlign w:val="center"/>
            <w:hideMark/>
          </w:tcPr>
          <w:p w14:paraId="1F3D70E9" w14:textId="0B84AA0E"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c>
          <w:tcPr>
            <w:tcW w:w="634" w:type="pct"/>
            <w:tcBorders>
              <w:top w:val="nil"/>
              <w:left w:val="nil"/>
              <w:bottom w:val="single" w:sz="4" w:space="0" w:color="F39200"/>
              <w:right w:val="nil"/>
            </w:tcBorders>
            <w:shd w:val="clear" w:color="auto" w:fill="auto"/>
            <w:noWrap/>
            <w:vAlign w:val="center"/>
            <w:hideMark/>
          </w:tcPr>
          <w:p w14:paraId="13216F9E" w14:textId="73C6A3DF" w:rsidR="005E257A" w:rsidRPr="00E20D21" w:rsidRDefault="005E257A" w:rsidP="005E257A">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197.018.494</w:t>
            </w:r>
          </w:p>
        </w:tc>
        <w:tc>
          <w:tcPr>
            <w:tcW w:w="594" w:type="pct"/>
            <w:tcBorders>
              <w:top w:val="nil"/>
              <w:left w:val="nil"/>
              <w:bottom w:val="single" w:sz="4" w:space="0" w:color="F39200"/>
              <w:right w:val="nil"/>
            </w:tcBorders>
            <w:shd w:val="clear" w:color="auto" w:fill="auto"/>
            <w:noWrap/>
            <w:vAlign w:val="center"/>
            <w:hideMark/>
          </w:tcPr>
          <w:p w14:paraId="04C3B321" w14:textId="068047FE" w:rsidR="005E257A" w:rsidRPr="00E20D21" w:rsidRDefault="005E257A" w:rsidP="005E257A">
            <w:pPr>
              <w:jc w:val="cente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w:t>
            </w:r>
          </w:p>
        </w:tc>
      </w:tr>
    </w:tbl>
    <w:p w14:paraId="05343119" w14:textId="36D60791" w:rsidR="00D02D99" w:rsidRPr="00E20D21" w:rsidRDefault="00D02D99" w:rsidP="00FD7768">
      <w:pPr>
        <w:pStyle w:val="Ttulo1"/>
      </w:pPr>
      <w:bookmarkStart w:id="101" w:name="_Toc175067974"/>
      <w:r w:rsidRPr="00E20D21">
        <w:t>Nota 34 – Resultado recorrente e não recorrente</w:t>
      </w:r>
      <w:bookmarkEnd w:id="101"/>
    </w:p>
    <w:p w14:paraId="3E4C397D" w14:textId="7F61E2B6" w:rsidR="00BF5595" w:rsidRPr="00E20D21" w:rsidRDefault="00BF5595" w:rsidP="00BF5595">
      <w:pPr>
        <w:spacing w:before="120" w:after="240"/>
        <w:jc w:val="both"/>
        <w:rPr>
          <w:rFonts w:ascii="CAIXA Std Book" w:hAnsi="CAIXA Std Book"/>
          <w:color w:val="005CA9"/>
          <w:sz w:val="20"/>
          <w:szCs w:val="20"/>
        </w:rPr>
      </w:pPr>
      <w:bookmarkStart w:id="102" w:name="_Hlk65763109"/>
      <w:r w:rsidRPr="00E20D21">
        <w:rPr>
          <w:rFonts w:ascii="CAIXA Std Book" w:hAnsi="CAIXA Std Book"/>
          <w:color w:val="005CA9"/>
          <w:sz w:val="20"/>
          <w:szCs w:val="20"/>
        </w:rPr>
        <w:t>Conforme Resolução BCB n° 2/2020</w:t>
      </w:r>
      <w:r w:rsidR="001D6095" w:rsidRPr="00E20D21">
        <w:rPr>
          <w:rFonts w:ascii="CAIXA Std Book" w:hAnsi="CAIXA Std Book"/>
          <w:color w:val="005CA9"/>
          <w:sz w:val="20"/>
          <w:szCs w:val="20"/>
        </w:rPr>
        <w:t>,</w:t>
      </w:r>
      <w:r w:rsidRPr="00E20D21">
        <w:rPr>
          <w:rFonts w:ascii="CAIXA Std Book" w:hAnsi="CAIXA Std Book"/>
          <w:color w:val="005CA9"/>
          <w:sz w:val="20"/>
          <w:szCs w:val="20"/>
        </w:rPr>
        <w:t xml:space="preserve"> destacamos</w:t>
      </w:r>
      <w:r w:rsidR="00905FFD" w:rsidRPr="00E20D21">
        <w:rPr>
          <w:rFonts w:ascii="CAIXA Std Book" w:hAnsi="CAIXA Std Book"/>
          <w:color w:val="005CA9"/>
          <w:sz w:val="20"/>
          <w:szCs w:val="20"/>
        </w:rPr>
        <w:t>,</w:t>
      </w:r>
      <w:r w:rsidRPr="00E20D21">
        <w:rPr>
          <w:rFonts w:ascii="CAIXA Std Book" w:hAnsi="CAIXA Std Book"/>
          <w:color w:val="005CA9"/>
          <w:sz w:val="20"/>
          <w:szCs w:val="20"/>
        </w:rPr>
        <w:t xml:space="preserve"> a seguir</w:t>
      </w:r>
      <w:r w:rsidR="00905FFD" w:rsidRPr="00E20D21">
        <w:rPr>
          <w:rFonts w:ascii="CAIXA Std Book" w:hAnsi="CAIXA Std Book"/>
          <w:color w:val="005CA9"/>
          <w:sz w:val="20"/>
          <w:szCs w:val="20"/>
        </w:rPr>
        <w:t>,</w:t>
      </w:r>
      <w:r w:rsidRPr="00E20D21">
        <w:rPr>
          <w:rFonts w:ascii="CAIXA Std Book" w:hAnsi="CAIXA Std Book"/>
          <w:color w:val="005CA9"/>
          <w:sz w:val="20"/>
          <w:szCs w:val="20"/>
        </w:rPr>
        <w:t xml:space="preserve"> o resultado recorrente e não recorrente, líquido dos efeitos fiscais:</w:t>
      </w:r>
    </w:p>
    <w:tbl>
      <w:tblPr>
        <w:tblW w:w="5000" w:type="pct"/>
        <w:tblCellMar>
          <w:left w:w="70" w:type="dxa"/>
          <w:right w:w="70" w:type="dxa"/>
        </w:tblCellMar>
        <w:tblLook w:val="04A0" w:firstRow="1" w:lastRow="0" w:firstColumn="1" w:lastColumn="0" w:noHBand="0" w:noVBand="1"/>
      </w:tblPr>
      <w:tblGrid>
        <w:gridCol w:w="4679"/>
        <w:gridCol w:w="1267"/>
        <w:gridCol w:w="1267"/>
        <w:gridCol w:w="1267"/>
        <w:gridCol w:w="1267"/>
      </w:tblGrid>
      <w:tr w:rsidR="009D08A5" w:rsidRPr="00E20D21" w14:paraId="78C48355" w14:textId="77777777" w:rsidTr="00D7053A">
        <w:trPr>
          <w:trHeight w:val="283"/>
        </w:trPr>
        <w:tc>
          <w:tcPr>
            <w:tcW w:w="2400" w:type="pct"/>
            <w:vMerge w:val="restart"/>
            <w:tcBorders>
              <w:top w:val="single" w:sz="4" w:space="0" w:color="F79646"/>
              <w:left w:val="nil"/>
              <w:bottom w:val="single" w:sz="4" w:space="0" w:color="F79646"/>
              <w:right w:val="nil"/>
            </w:tcBorders>
            <w:shd w:val="clear" w:color="auto" w:fill="auto"/>
            <w:vAlign w:val="center"/>
            <w:hideMark/>
          </w:tcPr>
          <w:p w14:paraId="60530970"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Evento</w:t>
            </w:r>
          </w:p>
        </w:tc>
        <w:tc>
          <w:tcPr>
            <w:tcW w:w="1300" w:type="pct"/>
            <w:gridSpan w:val="2"/>
            <w:tcBorders>
              <w:top w:val="single" w:sz="4" w:space="0" w:color="F79646"/>
              <w:left w:val="nil"/>
              <w:bottom w:val="single" w:sz="4" w:space="0" w:color="F79646"/>
              <w:right w:val="nil"/>
            </w:tcBorders>
            <w:shd w:val="clear" w:color="auto" w:fill="auto"/>
            <w:noWrap/>
            <w:vAlign w:val="center"/>
            <w:hideMark/>
          </w:tcPr>
          <w:p w14:paraId="6C9DEB6C"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300" w:type="pct"/>
            <w:gridSpan w:val="2"/>
            <w:tcBorders>
              <w:top w:val="single" w:sz="4" w:space="0" w:color="F79646"/>
              <w:left w:val="nil"/>
              <w:bottom w:val="single" w:sz="4" w:space="0" w:color="F79646"/>
              <w:right w:val="nil"/>
            </w:tcBorders>
            <w:shd w:val="clear" w:color="auto" w:fill="auto"/>
            <w:noWrap/>
            <w:vAlign w:val="center"/>
            <w:hideMark/>
          </w:tcPr>
          <w:p w14:paraId="015D70FE"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9D08A5" w:rsidRPr="00E20D21" w14:paraId="356C04F3" w14:textId="77777777" w:rsidTr="00D7053A">
        <w:trPr>
          <w:trHeight w:val="283"/>
        </w:trPr>
        <w:tc>
          <w:tcPr>
            <w:tcW w:w="2400" w:type="pct"/>
            <w:vMerge/>
            <w:tcBorders>
              <w:top w:val="single" w:sz="4" w:space="0" w:color="F79646"/>
              <w:left w:val="nil"/>
              <w:bottom w:val="single" w:sz="4" w:space="0" w:color="F79646"/>
              <w:right w:val="nil"/>
            </w:tcBorders>
            <w:vAlign w:val="center"/>
            <w:hideMark/>
          </w:tcPr>
          <w:p w14:paraId="25EF4386" w14:textId="77777777" w:rsidR="009D08A5" w:rsidRPr="00E20D21" w:rsidRDefault="009D08A5" w:rsidP="009D08A5">
            <w:pPr>
              <w:rPr>
                <w:rFonts w:ascii="CAIXA Std Book" w:eastAsia="Times New Roman" w:hAnsi="CAIXA Std Book" w:cs="Arial"/>
                <w:b/>
                <w:bCs/>
                <w:color w:val="005CA9"/>
                <w:sz w:val="18"/>
                <w:szCs w:val="18"/>
              </w:rPr>
            </w:pPr>
          </w:p>
        </w:tc>
        <w:tc>
          <w:tcPr>
            <w:tcW w:w="650" w:type="pct"/>
            <w:tcBorders>
              <w:top w:val="nil"/>
              <w:left w:val="nil"/>
              <w:bottom w:val="single" w:sz="4" w:space="0" w:color="F79646"/>
              <w:right w:val="nil"/>
            </w:tcBorders>
            <w:shd w:val="clear" w:color="auto" w:fill="auto"/>
            <w:vAlign w:val="center"/>
            <w:hideMark/>
          </w:tcPr>
          <w:p w14:paraId="66FE436B"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50" w:type="pct"/>
            <w:tcBorders>
              <w:top w:val="nil"/>
              <w:left w:val="nil"/>
              <w:bottom w:val="single" w:sz="4" w:space="0" w:color="F79646"/>
              <w:right w:val="nil"/>
            </w:tcBorders>
            <w:shd w:val="clear" w:color="auto" w:fill="auto"/>
            <w:vAlign w:val="center"/>
            <w:hideMark/>
          </w:tcPr>
          <w:p w14:paraId="436D549C"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c>
          <w:tcPr>
            <w:tcW w:w="650" w:type="pct"/>
            <w:tcBorders>
              <w:top w:val="nil"/>
              <w:left w:val="nil"/>
              <w:bottom w:val="single" w:sz="4" w:space="0" w:color="F79646"/>
              <w:right w:val="nil"/>
            </w:tcBorders>
            <w:shd w:val="clear" w:color="auto" w:fill="auto"/>
            <w:vAlign w:val="center"/>
            <w:hideMark/>
          </w:tcPr>
          <w:p w14:paraId="5453BE5C"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650" w:type="pct"/>
            <w:tcBorders>
              <w:top w:val="nil"/>
              <w:left w:val="nil"/>
              <w:bottom w:val="single" w:sz="4" w:space="0" w:color="F79646"/>
              <w:right w:val="nil"/>
            </w:tcBorders>
            <w:shd w:val="clear" w:color="auto" w:fill="auto"/>
            <w:vAlign w:val="center"/>
            <w:hideMark/>
          </w:tcPr>
          <w:p w14:paraId="2BBAB986"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9D08A5" w:rsidRPr="00E20D21" w14:paraId="07455138" w14:textId="77777777" w:rsidTr="00D7053A">
        <w:trPr>
          <w:trHeight w:val="283"/>
        </w:trPr>
        <w:tc>
          <w:tcPr>
            <w:tcW w:w="2400" w:type="pct"/>
            <w:vMerge/>
            <w:tcBorders>
              <w:top w:val="single" w:sz="4" w:space="0" w:color="F79646"/>
              <w:left w:val="nil"/>
              <w:bottom w:val="single" w:sz="4" w:space="0" w:color="F79646"/>
              <w:right w:val="nil"/>
            </w:tcBorders>
            <w:vAlign w:val="center"/>
            <w:hideMark/>
          </w:tcPr>
          <w:p w14:paraId="0C06ABC2" w14:textId="77777777" w:rsidR="009D08A5" w:rsidRPr="00E20D21" w:rsidRDefault="009D08A5" w:rsidP="009D08A5">
            <w:pPr>
              <w:rPr>
                <w:rFonts w:ascii="CAIXA Std Book" w:eastAsia="Times New Roman" w:hAnsi="CAIXA Std Book" w:cs="Arial"/>
                <w:b/>
                <w:bCs/>
                <w:color w:val="005CA9"/>
                <w:sz w:val="18"/>
                <w:szCs w:val="18"/>
              </w:rPr>
            </w:pPr>
          </w:p>
        </w:tc>
        <w:tc>
          <w:tcPr>
            <w:tcW w:w="650" w:type="pct"/>
            <w:tcBorders>
              <w:top w:val="nil"/>
              <w:left w:val="nil"/>
              <w:bottom w:val="single" w:sz="4" w:space="0" w:color="F39200"/>
              <w:right w:val="nil"/>
            </w:tcBorders>
            <w:shd w:val="clear" w:color="auto" w:fill="auto"/>
            <w:vAlign w:val="center"/>
            <w:hideMark/>
          </w:tcPr>
          <w:p w14:paraId="76F7DDE8"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50" w:type="pct"/>
            <w:tcBorders>
              <w:top w:val="nil"/>
              <w:left w:val="nil"/>
              <w:bottom w:val="single" w:sz="4" w:space="0" w:color="F39200"/>
              <w:right w:val="nil"/>
            </w:tcBorders>
            <w:shd w:val="clear" w:color="auto" w:fill="auto"/>
            <w:vAlign w:val="center"/>
            <w:hideMark/>
          </w:tcPr>
          <w:p w14:paraId="1E090279"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50" w:type="pct"/>
            <w:tcBorders>
              <w:top w:val="nil"/>
              <w:left w:val="nil"/>
              <w:bottom w:val="single" w:sz="4" w:space="0" w:color="F39200"/>
              <w:right w:val="nil"/>
            </w:tcBorders>
            <w:shd w:val="clear" w:color="auto" w:fill="auto"/>
            <w:vAlign w:val="center"/>
            <w:hideMark/>
          </w:tcPr>
          <w:p w14:paraId="5AB092BA"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c>
          <w:tcPr>
            <w:tcW w:w="650" w:type="pct"/>
            <w:tcBorders>
              <w:top w:val="nil"/>
              <w:left w:val="nil"/>
              <w:bottom w:val="single" w:sz="4" w:space="0" w:color="F39200"/>
              <w:right w:val="nil"/>
            </w:tcBorders>
            <w:shd w:val="clear" w:color="auto" w:fill="auto"/>
            <w:vAlign w:val="center"/>
            <w:hideMark/>
          </w:tcPr>
          <w:p w14:paraId="42F9E14E"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1º semestre</w:t>
            </w:r>
          </w:p>
        </w:tc>
      </w:tr>
      <w:tr w:rsidR="009D08A5" w:rsidRPr="00E20D21" w14:paraId="6EA92056" w14:textId="77777777" w:rsidTr="00D7053A">
        <w:trPr>
          <w:trHeight w:val="283"/>
        </w:trPr>
        <w:tc>
          <w:tcPr>
            <w:tcW w:w="2400" w:type="pct"/>
            <w:tcBorders>
              <w:top w:val="nil"/>
              <w:left w:val="nil"/>
              <w:bottom w:val="single" w:sz="4" w:space="0" w:color="F79646"/>
              <w:right w:val="nil"/>
            </w:tcBorders>
            <w:shd w:val="clear" w:color="auto" w:fill="auto"/>
            <w:vAlign w:val="center"/>
            <w:hideMark/>
          </w:tcPr>
          <w:p w14:paraId="094989B2" w14:textId="77777777" w:rsidR="009D08A5" w:rsidRPr="00E20D21" w:rsidRDefault="009D08A5" w:rsidP="009D08A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Lucro Líquido Contábil (a)</w:t>
            </w:r>
          </w:p>
        </w:tc>
        <w:tc>
          <w:tcPr>
            <w:tcW w:w="650" w:type="pct"/>
            <w:tcBorders>
              <w:top w:val="single" w:sz="4" w:space="0" w:color="F79646"/>
              <w:left w:val="nil"/>
              <w:bottom w:val="single" w:sz="4" w:space="0" w:color="F79646"/>
              <w:right w:val="nil"/>
            </w:tcBorders>
            <w:shd w:val="clear" w:color="auto" w:fill="auto"/>
            <w:vAlign w:val="center"/>
            <w:hideMark/>
          </w:tcPr>
          <w:p w14:paraId="6534158E"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5.300.681</w:t>
            </w:r>
          </w:p>
        </w:tc>
        <w:tc>
          <w:tcPr>
            <w:tcW w:w="650" w:type="pct"/>
            <w:tcBorders>
              <w:top w:val="single" w:sz="4" w:space="0" w:color="F79646"/>
              <w:left w:val="nil"/>
              <w:bottom w:val="single" w:sz="4" w:space="0" w:color="F79646"/>
              <w:right w:val="nil"/>
            </w:tcBorders>
            <w:shd w:val="clear" w:color="auto" w:fill="auto"/>
            <w:vAlign w:val="center"/>
            <w:hideMark/>
          </w:tcPr>
          <w:p w14:paraId="1A2BC2A7"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4.217.933</w:t>
            </w:r>
          </w:p>
        </w:tc>
        <w:tc>
          <w:tcPr>
            <w:tcW w:w="650" w:type="pct"/>
            <w:tcBorders>
              <w:top w:val="single" w:sz="4" w:space="0" w:color="F79646"/>
              <w:left w:val="nil"/>
              <w:bottom w:val="single" w:sz="4" w:space="0" w:color="F79646"/>
              <w:right w:val="nil"/>
            </w:tcBorders>
            <w:shd w:val="clear" w:color="auto" w:fill="auto"/>
            <w:vAlign w:val="center"/>
            <w:hideMark/>
          </w:tcPr>
          <w:p w14:paraId="1BD740E2"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5.748.419</w:t>
            </w:r>
          </w:p>
        </w:tc>
        <w:tc>
          <w:tcPr>
            <w:tcW w:w="650" w:type="pct"/>
            <w:tcBorders>
              <w:top w:val="single" w:sz="4" w:space="0" w:color="F79646"/>
              <w:left w:val="nil"/>
              <w:bottom w:val="single" w:sz="4" w:space="0" w:color="F79646"/>
              <w:right w:val="nil"/>
            </w:tcBorders>
            <w:shd w:val="clear" w:color="auto" w:fill="auto"/>
            <w:vAlign w:val="center"/>
            <w:hideMark/>
          </w:tcPr>
          <w:p w14:paraId="2BE0EB21"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4.516.072</w:t>
            </w:r>
          </w:p>
        </w:tc>
      </w:tr>
      <w:tr w:rsidR="009D08A5" w:rsidRPr="00E20D21" w14:paraId="5B311010" w14:textId="77777777" w:rsidTr="00D7053A">
        <w:trPr>
          <w:trHeight w:val="283"/>
        </w:trPr>
        <w:tc>
          <w:tcPr>
            <w:tcW w:w="2400" w:type="pct"/>
            <w:tcBorders>
              <w:top w:val="nil"/>
              <w:left w:val="nil"/>
              <w:bottom w:val="nil"/>
              <w:right w:val="nil"/>
            </w:tcBorders>
            <w:shd w:val="clear" w:color="auto" w:fill="auto"/>
            <w:vAlign w:val="center"/>
            <w:hideMark/>
          </w:tcPr>
          <w:p w14:paraId="694A6ACA" w14:textId="77777777" w:rsidR="009D08A5" w:rsidRPr="00E20D21" w:rsidRDefault="009D08A5" w:rsidP="009D08A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Eventos Não Recorrentes (b)</w:t>
            </w:r>
          </w:p>
        </w:tc>
        <w:tc>
          <w:tcPr>
            <w:tcW w:w="650" w:type="pct"/>
            <w:tcBorders>
              <w:top w:val="nil"/>
              <w:left w:val="nil"/>
              <w:bottom w:val="nil"/>
              <w:right w:val="nil"/>
            </w:tcBorders>
            <w:shd w:val="clear" w:color="auto" w:fill="auto"/>
            <w:vAlign w:val="center"/>
            <w:hideMark/>
          </w:tcPr>
          <w:p w14:paraId="66EFC8C8"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(875.134)</w:t>
            </w:r>
          </w:p>
        </w:tc>
        <w:tc>
          <w:tcPr>
            <w:tcW w:w="650" w:type="pct"/>
            <w:tcBorders>
              <w:top w:val="nil"/>
              <w:left w:val="nil"/>
              <w:bottom w:val="nil"/>
              <w:right w:val="nil"/>
            </w:tcBorders>
            <w:shd w:val="clear" w:color="auto" w:fill="auto"/>
            <w:vAlign w:val="center"/>
            <w:hideMark/>
          </w:tcPr>
          <w:p w14:paraId="17F69519"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c>
          <w:tcPr>
            <w:tcW w:w="650" w:type="pct"/>
            <w:tcBorders>
              <w:top w:val="nil"/>
              <w:left w:val="nil"/>
              <w:bottom w:val="nil"/>
              <w:right w:val="nil"/>
            </w:tcBorders>
            <w:shd w:val="clear" w:color="auto" w:fill="auto"/>
            <w:vAlign w:val="center"/>
            <w:hideMark/>
          </w:tcPr>
          <w:p w14:paraId="69C29DE5"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(875.134)</w:t>
            </w:r>
          </w:p>
        </w:tc>
        <w:tc>
          <w:tcPr>
            <w:tcW w:w="650" w:type="pct"/>
            <w:tcBorders>
              <w:top w:val="nil"/>
              <w:left w:val="nil"/>
              <w:bottom w:val="nil"/>
              <w:right w:val="nil"/>
            </w:tcBorders>
            <w:shd w:val="clear" w:color="auto" w:fill="auto"/>
            <w:vAlign w:val="center"/>
            <w:hideMark/>
          </w:tcPr>
          <w:p w14:paraId="6A3054C6"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r>
      <w:tr w:rsidR="009D08A5" w:rsidRPr="00E20D21" w14:paraId="5DB51975" w14:textId="77777777" w:rsidTr="00D7053A">
        <w:trPr>
          <w:trHeight w:val="283"/>
        </w:trPr>
        <w:tc>
          <w:tcPr>
            <w:tcW w:w="2400" w:type="pct"/>
            <w:tcBorders>
              <w:top w:val="nil"/>
              <w:left w:val="nil"/>
              <w:bottom w:val="nil"/>
              <w:right w:val="nil"/>
            </w:tcBorders>
            <w:shd w:val="clear" w:color="auto" w:fill="auto"/>
            <w:vAlign w:val="center"/>
            <w:hideMark/>
          </w:tcPr>
          <w:p w14:paraId="04421161" w14:textId="17CC90DD" w:rsidR="009D08A5" w:rsidRPr="00E20D21" w:rsidRDefault="009D08A5" w:rsidP="009D08A5">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PDV 2024</w:t>
            </w:r>
            <w:r w:rsidR="00B706D3" w:rsidRPr="00E20D21">
              <w:rPr>
                <w:rFonts w:ascii="CAIXA Std Book" w:eastAsia="Times New Roman" w:hAnsi="CAIXA Std Book" w:cs="Arial"/>
                <w:color w:val="005CA9"/>
                <w:sz w:val="18"/>
                <w:szCs w:val="18"/>
              </w:rPr>
              <w:t xml:space="preserve"> (1)</w:t>
            </w:r>
          </w:p>
        </w:tc>
        <w:tc>
          <w:tcPr>
            <w:tcW w:w="650" w:type="pct"/>
            <w:tcBorders>
              <w:top w:val="nil"/>
              <w:left w:val="nil"/>
              <w:bottom w:val="nil"/>
              <w:right w:val="nil"/>
            </w:tcBorders>
            <w:shd w:val="clear" w:color="auto" w:fill="auto"/>
            <w:vAlign w:val="center"/>
            <w:hideMark/>
          </w:tcPr>
          <w:p w14:paraId="75A1685D" w14:textId="77777777" w:rsidR="009D08A5" w:rsidRPr="00E20D21" w:rsidRDefault="009D08A5" w:rsidP="009D08A5">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(875.134)</w:t>
            </w:r>
          </w:p>
        </w:tc>
        <w:tc>
          <w:tcPr>
            <w:tcW w:w="650" w:type="pct"/>
            <w:tcBorders>
              <w:top w:val="nil"/>
              <w:left w:val="nil"/>
              <w:bottom w:val="nil"/>
              <w:right w:val="nil"/>
            </w:tcBorders>
            <w:shd w:val="clear" w:color="auto" w:fill="auto"/>
            <w:vAlign w:val="center"/>
            <w:hideMark/>
          </w:tcPr>
          <w:p w14:paraId="4C2DA57B" w14:textId="77777777" w:rsidR="009D08A5" w:rsidRPr="00E20D21" w:rsidRDefault="009D08A5" w:rsidP="009D08A5">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c>
          <w:tcPr>
            <w:tcW w:w="650" w:type="pct"/>
            <w:tcBorders>
              <w:top w:val="nil"/>
              <w:left w:val="nil"/>
              <w:bottom w:val="nil"/>
              <w:right w:val="nil"/>
            </w:tcBorders>
            <w:shd w:val="clear" w:color="auto" w:fill="auto"/>
            <w:vAlign w:val="center"/>
            <w:hideMark/>
          </w:tcPr>
          <w:p w14:paraId="0E323687" w14:textId="77777777" w:rsidR="009D08A5" w:rsidRPr="00E20D21" w:rsidRDefault="009D08A5" w:rsidP="009D08A5">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(875.134)</w:t>
            </w:r>
          </w:p>
        </w:tc>
        <w:tc>
          <w:tcPr>
            <w:tcW w:w="650" w:type="pct"/>
            <w:tcBorders>
              <w:top w:val="nil"/>
              <w:left w:val="nil"/>
              <w:bottom w:val="nil"/>
              <w:right w:val="nil"/>
            </w:tcBorders>
            <w:shd w:val="clear" w:color="auto" w:fill="auto"/>
            <w:vAlign w:val="center"/>
            <w:hideMark/>
          </w:tcPr>
          <w:p w14:paraId="3762A087" w14:textId="77777777" w:rsidR="009D08A5" w:rsidRPr="00E20D21" w:rsidRDefault="009D08A5" w:rsidP="009D08A5">
            <w:pPr>
              <w:jc w:val="cente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w:t>
            </w:r>
          </w:p>
        </w:tc>
      </w:tr>
      <w:tr w:rsidR="009D08A5" w:rsidRPr="00E20D21" w14:paraId="273C19C9" w14:textId="77777777" w:rsidTr="00D7053A">
        <w:trPr>
          <w:trHeight w:val="283"/>
        </w:trPr>
        <w:tc>
          <w:tcPr>
            <w:tcW w:w="2400" w:type="pct"/>
            <w:tcBorders>
              <w:top w:val="nil"/>
              <w:left w:val="nil"/>
              <w:bottom w:val="nil"/>
              <w:right w:val="nil"/>
            </w:tcBorders>
            <w:shd w:val="clear" w:color="auto" w:fill="auto"/>
            <w:vAlign w:val="center"/>
            <w:hideMark/>
          </w:tcPr>
          <w:p w14:paraId="079E831C" w14:textId="1A09DC83" w:rsidR="009D08A5" w:rsidRPr="00E20D21" w:rsidRDefault="009D08A5" w:rsidP="009D08A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Despesas Impactadas pelos Eventos (c) </w:t>
            </w:r>
            <w:r w:rsidR="00B706D3" w:rsidRPr="00E20D21">
              <w:rPr>
                <w:rFonts w:ascii="CAIXA Std Book" w:eastAsia="Times New Roman" w:hAnsi="CAIXA Std Book" w:cs="Arial"/>
                <w:b/>
                <w:bCs/>
                <w:color w:val="005CA9"/>
                <w:sz w:val="18"/>
                <w:szCs w:val="18"/>
              </w:rPr>
              <w:t>(2)</w:t>
            </w:r>
          </w:p>
        </w:tc>
        <w:tc>
          <w:tcPr>
            <w:tcW w:w="650" w:type="pct"/>
            <w:tcBorders>
              <w:top w:val="nil"/>
              <w:left w:val="nil"/>
              <w:bottom w:val="nil"/>
              <w:right w:val="nil"/>
            </w:tcBorders>
            <w:shd w:val="clear" w:color="auto" w:fill="auto"/>
            <w:vAlign w:val="center"/>
            <w:hideMark/>
          </w:tcPr>
          <w:p w14:paraId="67188856"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457.960</w:t>
            </w:r>
          </w:p>
        </w:tc>
        <w:tc>
          <w:tcPr>
            <w:tcW w:w="650" w:type="pct"/>
            <w:tcBorders>
              <w:top w:val="nil"/>
              <w:left w:val="nil"/>
              <w:bottom w:val="nil"/>
              <w:right w:val="nil"/>
            </w:tcBorders>
            <w:shd w:val="clear" w:color="auto" w:fill="auto"/>
            <w:vAlign w:val="center"/>
            <w:hideMark/>
          </w:tcPr>
          <w:p w14:paraId="333329CE"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c>
          <w:tcPr>
            <w:tcW w:w="650" w:type="pct"/>
            <w:tcBorders>
              <w:top w:val="nil"/>
              <w:left w:val="nil"/>
              <w:bottom w:val="nil"/>
              <w:right w:val="nil"/>
            </w:tcBorders>
            <w:shd w:val="clear" w:color="auto" w:fill="auto"/>
            <w:vAlign w:val="center"/>
            <w:hideMark/>
          </w:tcPr>
          <w:p w14:paraId="4CD78027"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453.564</w:t>
            </w:r>
          </w:p>
        </w:tc>
        <w:tc>
          <w:tcPr>
            <w:tcW w:w="650" w:type="pct"/>
            <w:tcBorders>
              <w:top w:val="nil"/>
              <w:left w:val="nil"/>
              <w:bottom w:val="nil"/>
              <w:right w:val="nil"/>
            </w:tcBorders>
            <w:shd w:val="clear" w:color="auto" w:fill="auto"/>
            <w:vAlign w:val="center"/>
            <w:hideMark/>
          </w:tcPr>
          <w:p w14:paraId="025C3A7A"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r>
      <w:tr w:rsidR="009D08A5" w:rsidRPr="00E20D21" w14:paraId="66BC803C" w14:textId="77777777" w:rsidTr="00D7053A">
        <w:trPr>
          <w:trHeight w:val="283"/>
        </w:trPr>
        <w:tc>
          <w:tcPr>
            <w:tcW w:w="2400" w:type="pct"/>
            <w:tcBorders>
              <w:top w:val="nil"/>
              <w:left w:val="nil"/>
              <w:bottom w:val="single" w:sz="4" w:space="0" w:color="F79646"/>
              <w:right w:val="nil"/>
            </w:tcBorders>
            <w:shd w:val="clear" w:color="auto" w:fill="auto"/>
            <w:vAlign w:val="center"/>
            <w:hideMark/>
          </w:tcPr>
          <w:p w14:paraId="47B60817" w14:textId="77777777" w:rsidR="009D08A5" w:rsidRPr="00E20D21" w:rsidRDefault="009D08A5" w:rsidP="009D08A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Resultado Não Recorrente (d = b + c)</w:t>
            </w:r>
          </w:p>
        </w:tc>
        <w:tc>
          <w:tcPr>
            <w:tcW w:w="650" w:type="pct"/>
            <w:tcBorders>
              <w:top w:val="nil"/>
              <w:left w:val="nil"/>
              <w:bottom w:val="single" w:sz="4" w:space="0" w:color="F79646"/>
              <w:right w:val="nil"/>
            </w:tcBorders>
            <w:shd w:val="clear" w:color="auto" w:fill="auto"/>
            <w:vAlign w:val="center"/>
            <w:hideMark/>
          </w:tcPr>
          <w:p w14:paraId="2D61438E"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(417.174)</w:t>
            </w:r>
          </w:p>
        </w:tc>
        <w:tc>
          <w:tcPr>
            <w:tcW w:w="650" w:type="pct"/>
            <w:tcBorders>
              <w:top w:val="nil"/>
              <w:left w:val="nil"/>
              <w:bottom w:val="single" w:sz="4" w:space="0" w:color="F79646"/>
              <w:right w:val="nil"/>
            </w:tcBorders>
            <w:shd w:val="clear" w:color="auto" w:fill="auto"/>
            <w:vAlign w:val="center"/>
            <w:hideMark/>
          </w:tcPr>
          <w:p w14:paraId="07697954"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c>
          <w:tcPr>
            <w:tcW w:w="650" w:type="pct"/>
            <w:tcBorders>
              <w:top w:val="nil"/>
              <w:left w:val="nil"/>
              <w:bottom w:val="single" w:sz="4" w:space="0" w:color="F79646"/>
              <w:right w:val="nil"/>
            </w:tcBorders>
            <w:shd w:val="clear" w:color="auto" w:fill="auto"/>
            <w:vAlign w:val="center"/>
            <w:hideMark/>
          </w:tcPr>
          <w:p w14:paraId="74603DB7"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(421.570)</w:t>
            </w:r>
          </w:p>
        </w:tc>
        <w:tc>
          <w:tcPr>
            <w:tcW w:w="650" w:type="pct"/>
            <w:tcBorders>
              <w:top w:val="nil"/>
              <w:left w:val="nil"/>
              <w:bottom w:val="single" w:sz="4" w:space="0" w:color="F79646"/>
              <w:right w:val="nil"/>
            </w:tcBorders>
            <w:shd w:val="clear" w:color="auto" w:fill="auto"/>
            <w:vAlign w:val="center"/>
            <w:hideMark/>
          </w:tcPr>
          <w:p w14:paraId="2B2C8A25" w14:textId="77777777" w:rsidR="009D08A5" w:rsidRPr="00E20D21" w:rsidRDefault="009D08A5" w:rsidP="009D08A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w:t>
            </w:r>
          </w:p>
        </w:tc>
      </w:tr>
      <w:tr w:rsidR="009D08A5" w:rsidRPr="00E20D21" w14:paraId="58F02FC2" w14:textId="77777777" w:rsidTr="00D7053A">
        <w:trPr>
          <w:trHeight w:val="283"/>
        </w:trPr>
        <w:tc>
          <w:tcPr>
            <w:tcW w:w="2400" w:type="pct"/>
            <w:tcBorders>
              <w:top w:val="nil"/>
              <w:left w:val="nil"/>
              <w:bottom w:val="single" w:sz="4" w:space="0" w:color="F79646"/>
              <w:right w:val="nil"/>
            </w:tcBorders>
            <w:shd w:val="clear" w:color="auto" w:fill="auto"/>
            <w:vAlign w:val="center"/>
            <w:hideMark/>
          </w:tcPr>
          <w:p w14:paraId="689072FC" w14:textId="77777777" w:rsidR="009D08A5" w:rsidRPr="00E20D21" w:rsidRDefault="009D08A5" w:rsidP="009D08A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Resultado Recorrente Regulatório (e = a - d)</w:t>
            </w:r>
          </w:p>
        </w:tc>
        <w:tc>
          <w:tcPr>
            <w:tcW w:w="650" w:type="pct"/>
            <w:tcBorders>
              <w:top w:val="nil"/>
              <w:left w:val="nil"/>
              <w:bottom w:val="single" w:sz="4" w:space="0" w:color="F79646"/>
              <w:right w:val="nil"/>
            </w:tcBorders>
            <w:shd w:val="clear" w:color="auto" w:fill="auto"/>
            <w:vAlign w:val="center"/>
            <w:hideMark/>
          </w:tcPr>
          <w:p w14:paraId="08980AB0"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5.717.855</w:t>
            </w:r>
          </w:p>
        </w:tc>
        <w:tc>
          <w:tcPr>
            <w:tcW w:w="650" w:type="pct"/>
            <w:tcBorders>
              <w:top w:val="nil"/>
              <w:left w:val="nil"/>
              <w:bottom w:val="single" w:sz="4" w:space="0" w:color="F79646"/>
              <w:right w:val="nil"/>
            </w:tcBorders>
            <w:shd w:val="clear" w:color="auto" w:fill="auto"/>
            <w:vAlign w:val="center"/>
            <w:hideMark/>
          </w:tcPr>
          <w:p w14:paraId="4BDEACF2"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4.217.933</w:t>
            </w:r>
          </w:p>
        </w:tc>
        <w:tc>
          <w:tcPr>
            <w:tcW w:w="650" w:type="pct"/>
            <w:tcBorders>
              <w:top w:val="nil"/>
              <w:left w:val="nil"/>
              <w:bottom w:val="single" w:sz="4" w:space="0" w:color="F79646"/>
              <w:right w:val="nil"/>
            </w:tcBorders>
            <w:shd w:val="clear" w:color="auto" w:fill="auto"/>
            <w:vAlign w:val="center"/>
            <w:hideMark/>
          </w:tcPr>
          <w:p w14:paraId="389DA3CB"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6.169.989</w:t>
            </w:r>
          </w:p>
        </w:tc>
        <w:tc>
          <w:tcPr>
            <w:tcW w:w="650" w:type="pct"/>
            <w:tcBorders>
              <w:top w:val="nil"/>
              <w:left w:val="nil"/>
              <w:bottom w:val="single" w:sz="4" w:space="0" w:color="F79646"/>
              <w:right w:val="nil"/>
            </w:tcBorders>
            <w:shd w:val="clear" w:color="auto" w:fill="auto"/>
            <w:vAlign w:val="center"/>
            <w:hideMark/>
          </w:tcPr>
          <w:p w14:paraId="12A18175" w14:textId="77777777" w:rsidR="009D08A5" w:rsidRPr="00E20D21" w:rsidRDefault="009D08A5" w:rsidP="009D08A5">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4.516.072</w:t>
            </w:r>
          </w:p>
        </w:tc>
      </w:tr>
    </w:tbl>
    <w:p w14:paraId="45D4F6DB" w14:textId="61BF1DE9" w:rsidR="00493F22" w:rsidRPr="00E20D21" w:rsidRDefault="00B71007" w:rsidP="00B706D3">
      <w:pPr>
        <w:jc w:val="both"/>
        <w:rPr>
          <w:rFonts w:ascii="CAIXA Std Book" w:hAnsi="CAIXA Std Book"/>
          <w:color w:val="005CA9"/>
          <w:sz w:val="16"/>
          <w:szCs w:val="16"/>
        </w:rPr>
      </w:pPr>
      <w:r w:rsidRPr="00E20D21">
        <w:rPr>
          <w:rFonts w:ascii="CAIXA Std Book" w:hAnsi="CAIXA Std Book"/>
          <w:color w:val="005CA9"/>
          <w:sz w:val="16"/>
          <w:szCs w:val="16"/>
        </w:rPr>
        <w:t xml:space="preserve">(1) </w:t>
      </w:r>
      <w:r w:rsidR="00AC3F22" w:rsidRPr="00E20D21">
        <w:rPr>
          <w:rFonts w:ascii="CAIXA Std Book" w:hAnsi="CAIXA Std Book"/>
          <w:color w:val="005CA9"/>
          <w:sz w:val="16"/>
          <w:szCs w:val="16"/>
        </w:rPr>
        <w:t>Programa de Desligamento Voluntário (PDV) 2024.</w:t>
      </w:r>
    </w:p>
    <w:p w14:paraId="0E5E7055" w14:textId="13FA009E" w:rsidR="00AC3F22" w:rsidRPr="00E20D21" w:rsidRDefault="00447D82" w:rsidP="00B706D3">
      <w:pPr>
        <w:jc w:val="both"/>
        <w:rPr>
          <w:rFonts w:ascii="CAIXA Std Book" w:hAnsi="CAIXA Std Book"/>
          <w:color w:val="005CA9"/>
          <w:sz w:val="16"/>
          <w:szCs w:val="16"/>
        </w:rPr>
      </w:pPr>
      <w:r w:rsidRPr="00E20D21">
        <w:rPr>
          <w:rFonts w:ascii="CAIXA Std Book" w:hAnsi="CAIXA Std Book"/>
          <w:color w:val="005CA9"/>
          <w:sz w:val="16"/>
          <w:szCs w:val="16"/>
        </w:rPr>
        <w:t>(2) Despesas impactadas pelos eventos incluem efeitos tributários</w:t>
      </w:r>
      <w:r w:rsidR="00B706D3" w:rsidRPr="00E20D21">
        <w:rPr>
          <w:rFonts w:ascii="CAIXA Std Book" w:hAnsi="CAIXA Std Book"/>
          <w:color w:val="005CA9"/>
          <w:sz w:val="16"/>
          <w:szCs w:val="16"/>
        </w:rPr>
        <w:t>, de despesas de PLR e de IHCD sobre os itens não recorrentes.</w:t>
      </w:r>
    </w:p>
    <w:p w14:paraId="62A3FF74" w14:textId="7BD34892" w:rsidR="00C80BC3" w:rsidRPr="00E20D21" w:rsidRDefault="00A145AF" w:rsidP="00FD7768">
      <w:pPr>
        <w:pStyle w:val="Ttulo1"/>
      </w:pPr>
      <w:bookmarkStart w:id="103" w:name="_Toc175067975"/>
      <w:bookmarkEnd w:id="102"/>
      <w:r w:rsidRPr="00E20D21">
        <w:t>Nota 3</w:t>
      </w:r>
      <w:r w:rsidR="00914730" w:rsidRPr="00E20D21">
        <w:t>5</w:t>
      </w:r>
      <w:r w:rsidR="00C80BC3" w:rsidRPr="00E20D21">
        <w:t xml:space="preserve"> – Outras informações</w:t>
      </w:r>
      <w:bookmarkEnd w:id="103"/>
      <w:r w:rsidR="00C80BC3" w:rsidRPr="00E20D21">
        <w:t xml:space="preserve"> </w:t>
      </w:r>
    </w:p>
    <w:p w14:paraId="522D51EB" w14:textId="1898275E" w:rsidR="00C80BC3" w:rsidRPr="00E20D21" w:rsidRDefault="00C80BC3" w:rsidP="000F5C98">
      <w:pPr>
        <w:pStyle w:val="PargrafodaLista"/>
        <w:numPr>
          <w:ilvl w:val="0"/>
          <w:numId w:val="18"/>
        </w:numPr>
        <w:spacing w:before="480" w:after="240"/>
        <w:ind w:left="425" w:hanging="425"/>
        <w:contextualSpacing w:val="0"/>
        <w:rPr>
          <w:rFonts w:ascii="CAIXA Std Book" w:hAnsi="CAIXA Std Book"/>
          <w:color w:val="005CA9"/>
        </w:rPr>
      </w:pPr>
      <w:r w:rsidRPr="00E20D21">
        <w:rPr>
          <w:rFonts w:ascii="CAIXA Std Book" w:hAnsi="CAIXA Std Book"/>
          <w:b/>
          <w:color w:val="005CA9"/>
          <w:sz w:val="20"/>
          <w:szCs w:val="20"/>
        </w:rPr>
        <w:t>Ativos de Fundos de Investimento administrados pela CAIXA</w:t>
      </w:r>
    </w:p>
    <w:tbl>
      <w:tblPr>
        <w:tblW w:w="5000" w:type="pct"/>
        <w:tblCellMar>
          <w:left w:w="0" w:type="dxa"/>
          <w:right w:w="57" w:type="dxa"/>
        </w:tblCellMar>
        <w:tblLook w:val="04A0" w:firstRow="1" w:lastRow="0" w:firstColumn="1" w:lastColumn="0" w:noHBand="0" w:noVBand="1"/>
      </w:tblPr>
      <w:tblGrid>
        <w:gridCol w:w="6217"/>
        <w:gridCol w:w="1998"/>
        <w:gridCol w:w="1532"/>
      </w:tblGrid>
      <w:tr w:rsidR="00A47C19" w:rsidRPr="00E20D21" w14:paraId="3937045B" w14:textId="77777777" w:rsidTr="003F20C6">
        <w:trPr>
          <w:trHeight w:val="283"/>
        </w:trPr>
        <w:tc>
          <w:tcPr>
            <w:tcW w:w="3189" w:type="pct"/>
            <w:tcBorders>
              <w:top w:val="single" w:sz="4" w:space="0" w:color="F39200"/>
              <w:left w:val="nil"/>
              <w:bottom w:val="single" w:sz="4" w:space="0" w:color="F39200"/>
              <w:right w:val="nil"/>
            </w:tcBorders>
            <w:shd w:val="clear" w:color="auto" w:fill="auto"/>
            <w:noWrap/>
            <w:vAlign w:val="center"/>
            <w:hideMark/>
          </w:tcPr>
          <w:p w14:paraId="04E45C1B" w14:textId="77777777" w:rsidR="00BC2E67" w:rsidRPr="00E20D21" w:rsidRDefault="00BC2E67" w:rsidP="00BC2E67">
            <w:pPr>
              <w:jc w:val="center"/>
              <w:rPr>
                <w:rFonts w:ascii="CAIXA Std Book" w:hAnsi="CAIXA Std Book"/>
                <w:b/>
                <w:color w:val="005CA9"/>
                <w:sz w:val="18"/>
                <w:szCs w:val="18"/>
              </w:rPr>
            </w:pPr>
            <w:r w:rsidRPr="00E20D21">
              <w:rPr>
                <w:rFonts w:ascii="CAIXA Std Book" w:hAnsi="CAIXA Std Book"/>
                <w:b/>
                <w:color w:val="005CA9"/>
                <w:sz w:val="18"/>
                <w:szCs w:val="18"/>
              </w:rPr>
              <w:t>Descrição (1)</w:t>
            </w:r>
          </w:p>
        </w:tc>
        <w:tc>
          <w:tcPr>
            <w:tcW w:w="1025" w:type="pct"/>
            <w:tcBorders>
              <w:top w:val="single" w:sz="4" w:space="0" w:color="F39200"/>
              <w:left w:val="nil"/>
              <w:bottom w:val="single" w:sz="4" w:space="0" w:color="F39200"/>
              <w:right w:val="nil"/>
            </w:tcBorders>
            <w:shd w:val="clear" w:color="auto" w:fill="auto"/>
            <w:noWrap/>
            <w:vAlign w:val="center"/>
          </w:tcPr>
          <w:p w14:paraId="47AE1ABA" w14:textId="466836E5" w:rsidR="00BC2E67" w:rsidRPr="00E20D21" w:rsidRDefault="00F764CE" w:rsidP="00BC2E67">
            <w:pPr>
              <w:jc w:val="center"/>
              <w:rPr>
                <w:rFonts w:ascii="CAIXA Std Book" w:hAnsi="CAIXA Std Book"/>
                <w:b/>
                <w:color w:val="005CA9"/>
                <w:sz w:val="18"/>
                <w:szCs w:val="18"/>
              </w:rPr>
            </w:pPr>
            <w:r w:rsidRPr="00E20D21">
              <w:rPr>
                <w:rFonts w:ascii="CAIXA Std Book" w:hAnsi="CAIXA Std Book"/>
                <w:b/>
                <w:color w:val="005CA9"/>
                <w:sz w:val="18"/>
                <w:szCs w:val="18"/>
              </w:rPr>
              <w:t>30/06/2024</w:t>
            </w:r>
          </w:p>
        </w:tc>
        <w:tc>
          <w:tcPr>
            <w:tcW w:w="786" w:type="pct"/>
            <w:tcBorders>
              <w:top w:val="single" w:sz="4" w:space="0" w:color="F39200"/>
              <w:left w:val="nil"/>
              <w:bottom w:val="single" w:sz="4" w:space="0" w:color="F39200"/>
              <w:right w:val="nil"/>
            </w:tcBorders>
            <w:vAlign w:val="center"/>
          </w:tcPr>
          <w:p w14:paraId="3AEBD22A" w14:textId="66C32D3F" w:rsidR="00BC2E67" w:rsidRPr="00E20D21" w:rsidRDefault="00BC2E67" w:rsidP="00BC2E67">
            <w:pPr>
              <w:jc w:val="center"/>
              <w:rPr>
                <w:rFonts w:ascii="CAIXA Std Book" w:hAnsi="CAIXA Std Book"/>
                <w:b/>
                <w:color w:val="005CA9"/>
                <w:sz w:val="18"/>
                <w:szCs w:val="18"/>
              </w:rPr>
            </w:pPr>
            <w:r w:rsidRPr="00E20D21">
              <w:rPr>
                <w:rFonts w:ascii="CAIXA Std Book" w:hAnsi="CAIXA Std Book"/>
                <w:b/>
                <w:color w:val="005CA9"/>
                <w:sz w:val="18"/>
                <w:szCs w:val="18"/>
              </w:rPr>
              <w:t>31/12/202</w:t>
            </w:r>
            <w:r w:rsidR="00C433F8" w:rsidRPr="00E20D21">
              <w:rPr>
                <w:rFonts w:ascii="CAIXA Std Book" w:hAnsi="CAIXA Std Book"/>
                <w:b/>
                <w:color w:val="005CA9"/>
                <w:sz w:val="18"/>
                <w:szCs w:val="18"/>
              </w:rPr>
              <w:t>3</w:t>
            </w:r>
          </w:p>
        </w:tc>
      </w:tr>
      <w:tr w:rsidR="00A47C19" w:rsidRPr="00E20D21" w14:paraId="63A8E2B5" w14:textId="77777777" w:rsidTr="003F20C6">
        <w:trPr>
          <w:trHeight w:val="283"/>
        </w:trPr>
        <w:tc>
          <w:tcPr>
            <w:tcW w:w="3189" w:type="pct"/>
            <w:tcBorders>
              <w:top w:val="nil"/>
              <w:left w:val="nil"/>
              <w:bottom w:val="nil"/>
              <w:right w:val="nil"/>
            </w:tcBorders>
            <w:shd w:val="clear" w:color="auto" w:fill="auto"/>
            <w:noWrap/>
            <w:vAlign w:val="center"/>
            <w:hideMark/>
          </w:tcPr>
          <w:p w14:paraId="772DE50F" w14:textId="77777777" w:rsidR="00515689" w:rsidRPr="00E20D21" w:rsidRDefault="00515689" w:rsidP="00515689">
            <w:pPr>
              <w:rPr>
                <w:rFonts w:ascii="CAIXA Std Book" w:hAnsi="CAIXA Std Book"/>
                <w:color w:val="005CA9"/>
                <w:sz w:val="18"/>
                <w:szCs w:val="18"/>
              </w:rPr>
            </w:pPr>
            <w:r w:rsidRPr="00E20D21">
              <w:rPr>
                <w:rFonts w:ascii="CAIXA Std Book" w:hAnsi="CAIXA Std Book"/>
                <w:color w:val="005CA9"/>
                <w:sz w:val="18"/>
                <w:szCs w:val="18"/>
              </w:rPr>
              <w:t>Fundos de investimento financeiro</w:t>
            </w:r>
          </w:p>
        </w:tc>
        <w:tc>
          <w:tcPr>
            <w:tcW w:w="1025" w:type="pct"/>
            <w:tcBorders>
              <w:top w:val="nil"/>
              <w:left w:val="nil"/>
              <w:bottom w:val="nil"/>
              <w:right w:val="nil"/>
            </w:tcBorders>
            <w:shd w:val="clear" w:color="auto" w:fill="auto"/>
            <w:noWrap/>
            <w:vAlign w:val="center"/>
          </w:tcPr>
          <w:p w14:paraId="36B97380" w14:textId="2320C9DF" w:rsidR="00515689" w:rsidRPr="00E20D21" w:rsidRDefault="00CF622E" w:rsidP="00F54FF8">
            <w:pPr>
              <w:jc w:val="right"/>
              <w:rPr>
                <w:rFonts w:ascii="CAIXA Std Book" w:hAnsi="CAIXA Std Book" w:cs="Arial"/>
                <w:color w:val="005CA9"/>
                <w:sz w:val="18"/>
                <w:szCs w:val="18"/>
              </w:rPr>
            </w:pPr>
            <w:r w:rsidRPr="00E20D21">
              <w:rPr>
                <w:rFonts w:ascii="CAIXA Std Book" w:hAnsi="CAIXA Std Book" w:cs="Arial"/>
                <w:color w:val="005CA9"/>
                <w:sz w:val="18"/>
                <w:szCs w:val="18"/>
              </w:rPr>
              <w:t>465.676.501</w:t>
            </w:r>
          </w:p>
        </w:tc>
        <w:tc>
          <w:tcPr>
            <w:tcW w:w="786" w:type="pct"/>
            <w:tcBorders>
              <w:top w:val="nil"/>
              <w:left w:val="nil"/>
              <w:bottom w:val="nil"/>
              <w:right w:val="nil"/>
            </w:tcBorders>
            <w:shd w:val="clear" w:color="auto" w:fill="auto"/>
            <w:vAlign w:val="center"/>
          </w:tcPr>
          <w:p w14:paraId="0390C381" w14:textId="6B5196B2" w:rsidR="00515689" w:rsidRPr="00E20D21" w:rsidRDefault="00D24CBC" w:rsidP="00515689">
            <w:pPr>
              <w:jc w:val="right"/>
              <w:rPr>
                <w:rFonts w:ascii="CAIXA Std Book" w:hAnsi="CAIXA Std Book"/>
                <w:color w:val="005CA9"/>
                <w:sz w:val="18"/>
                <w:szCs w:val="18"/>
              </w:rPr>
            </w:pPr>
            <w:r w:rsidRPr="00E20D21">
              <w:rPr>
                <w:rFonts w:ascii="CAIXA Std Book" w:hAnsi="CAIXA Std Book" w:cs="Arial"/>
                <w:color w:val="005CA9"/>
                <w:sz w:val="18"/>
                <w:szCs w:val="18"/>
              </w:rPr>
              <w:t>455.969.818</w:t>
            </w:r>
          </w:p>
        </w:tc>
      </w:tr>
      <w:tr w:rsidR="00A47C19" w:rsidRPr="00E20D21" w14:paraId="57B48167" w14:textId="77777777" w:rsidTr="003F20C6">
        <w:trPr>
          <w:trHeight w:val="283"/>
        </w:trPr>
        <w:tc>
          <w:tcPr>
            <w:tcW w:w="3189" w:type="pct"/>
            <w:tcBorders>
              <w:top w:val="nil"/>
              <w:left w:val="nil"/>
              <w:bottom w:val="nil"/>
              <w:right w:val="nil"/>
            </w:tcBorders>
            <w:shd w:val="clear" w:color="auto" w:fill="auto"/>
            <w:noWrap/>
            <w:vAlign w:val="center"/>
            <w:hideMark/>
          </w:tcPr>
          <w:p w14:paraId="610E3875" w14:textId="77777777" w:rsidR="00515689" w:rsidRPr="00E20D21" w:rsidRDefault="00515689" w:rsidP="00515689">
            <w:pPr>
              <w:rPr>
                <w:rFonts w:ascii="CAIXA Std Book" w:hAnsi="CAIXA Std Book"/>
                <w:color w:val="005CA9"/>
                <w:sz w:val="18"/>
                <w:szCs w:val="18"/>
              </w:rPr>
            </w:pPr>
            <w:r w:rsidRPr="00E20D21">
              <w:rPr>
                <w:rFonts w:ascii="CAIXA Std Book" w:hAnsi="CAIXA Std Book"/>
                <w:color w:val="005CA9"/>
                <w:sz w:val="18"/>
                <w:szCs w:val="18"/>
              </w:rPr>
              <w:t>Fundos de investimento em cotas - FIC (2)</w:t>
            </w:r>
          </w:p>
        </w:tc>
        <w:tc>
          <w:tcPr>
            <w:tcW w:w="1025" w:type="pct"/>
            <w:tcBorders>
              <w:top w:val="nil"/>
              <w:left w:val="nil"/>
              <w:bottom w:val="nil"/>
              <w:right w:val="nil"/>
            </w:tcBorders>
            <w:shd w:val="clear" w:color="auto" w:fill="auto"/>
            <w:noWrap/>
            <w:vAlign w:val="center"/>
          </w:tcPr>
          <w:p w14:paraId="7998C042" w14:textId="3BED38FE" w:rsidR="00515689" w:rsidRPr="00E20D21" w:rsidRDefault="00CF622E" w:rsidP="00F54FF8">
            <w:pPr>
              <w:jc w:val="right"/>
              <w:rPr>
                <w:rFonts w:ascii="CAIXA Std Book" w:hAnsi="CAIXA Std Book" w:cs="Arial"/>
                <w:color w:val="005CA9"/>
                <w:sz w:val="18"/>
                <w:szCs w:val="18"/>
              </w:rPr>
            </w:pPr>
            <w:r w:rsidRPr="00E20D21">
              <w:rPr>
                <w:rFonts w:ascii="CAIXA Std Book" w:hAnsi="CAIXA Std Book" w:cs="Arial"/>
                <w:color w:val="005CA9"/>
                <w:sz w:val="18"/>
                <w:szCs w:val="18"/>
              </w:rPr>
              <w:t>318.510.845</w:t>
            </w:r>
          </w:p>
        </w:tc>
        <w:tc>
          <w:tcPr>
            <w:tcW w:w="786" w:type="pct"/>
            <w:tcBorders>
              <w:top w:val="nil"/>
              <w:left w:val="nil"/>
              <w:bottom w:val="nil"/>
              <w:right w:val="nil"/>
            </w:tcBorders>
            <w:shd w:val="clear" w:color="auto" w:fill="auto"/>
            <w:vAlign w:val="center"/>
          </w:tcPr>
          <w:p w14:paraId="7414A96C" w14:textId="42F54EF4" w:rsidR="00515689" w:rsidRPr="00E20D21" w:rsidRDefault="00D24CBC" w:rsidP="00515689">
            <w:pPr>
              <w:jc w:val="right"/>
              <w:rPr>
                <w:rFonts w:ascii="CAIXA Std Book" w:hAnsi="CAIXA Std Book"/>
                <w:color w:val="005CA9"/>
                <w:sz w:val="18"/>
                <w:szCs w:val="18"/>
              </w:rPr>
            </w:pPr>
            <w:r w:rsidRPr="00E20D21">
              <w:rPr>
                <w:rFonts w:ascii="CAIXA Std Book" w:hAnsi="CAIXA Std Book" w:cs="Arial"/>
                <w:color w:val="005CA9"/>
                <w:sz w:val="18"/>
                <w:szCs w:val="18"/>
              </w:rPr>
              <w:t>310.756.753</w:t>
            </w:r>
          </w:p>
        </w:tc>
      </w:tr>
      <w:tr w:rsidR="00A47C19" w:rsidRPr="00E20D21" w14:paraId="18312E9E" w14:textId="77777777" w:rsidTr="003F20C6">
        <w:trPr>
          <w:trHeight w:val="283"/>
        </w:trPr>
        <w:tc>
          <w:tcPr>
            <w:tcW w:w="3189" w:type="pct"/>
            <w:tcBorders>
              <w:top w:val="nil"/>
              <w:left w:val="nil"/>
              <w:bottom w:val="nil"/>
              <w:right w:val="nil"/>
            </w:tcBorders>
            <w:shd w:val="clear" w:color="auto" w:fill="auto"/>
            <w:noWrap/>
            <w:vAlign w:val="center"/>
            <w:hideMark/>
          </w:tcPr>
          <w:p w14:paraId="42D53F48" w14:textId="77777777" w:rsidR="00515689" w:rsidRPr="00E20D21" w:rsidRDefault="00515689" w:rsidP="00515689">
            <w:pPr>
              <w:rPr>
                <w:rFonts w:ascii="CAIXA Std Book" w:hAnsi="CAIXA Std Book"/>
                <w:color w:val="005CA9"/>
                <w:sz w:val="18"/>
                <w:szCs w:val="18"/>
              </w:rPr>
            </w:pPr>
            <w:r w:rsidRPr="00E20D21">
              <w:rPr>
                <w:rFonts w:ascii="CAIXA Std Book" w:hAnsi="CAIXA Std Book"/>
                <w:color w:val="005CA9"/>
                <w:sz w:val="18"/>
                <w:szCs w:val="18"/>
              </w:rPr>
              <w:t>Fundos de ações</w:t>
            </w:r>
          </w:p>
        </w:tc>
        <w:tc>
          <w:tcPr>
            <w:tcW w:w="1025" w:type="pct"/>
            <w:tcBorders>
              <w:top w:val="nil"/>
              <w:left w:val="nil"/>
              <w:bottom w:val="nil"/>
              <w:right w:val="nil"/>
            </w:tcBorders>
            <w:shd w:val="clear" w:color="auto" w:fill="auto"/>
            <w:noWrap/>
            <w:vAlign w:val="center"/>
          </w:tcPr>
          <w:p w14:paraId="09E99875" w14:textId="16B03EF8" w:rsidR="00515689" w:rsidRPr="00E20D21" w:rsidRDefault="00CF622E" w:rsidP="00515689">
            <w:pPr>
              <w:jc w:val="right"/>
              <w:rPr>
                <w:rFonts w:ascii="CAIXA Std Book" w:hAnsi="CAIXA Std Book" w:cs="Arial"/>
                <w:color w:val="005CA9"/>
                <w:sz w:val="18"/>
                <w:szCs w:val="18"/>
              </w:rPr>
            </w:pPr>
            <w:r w:rsidRPr="00E20D21">
              <w:rPr>
                <w:rFonts w:ascii="CAIXA Std Book" w:hAnsi="CAIXA Std Book" w:cs="Arial"/>
                <w:color w:val="005CA9"/>
                <w:sz w:val="18"/>
                <w:szCs w:val="18"/>
              </w:rPr>
              <w:t>25.972.780</w:t>
            </w:r>
          </w:p>
        </w:tc>
        <w:tc>
          <w:tcPr>
            <w:tcW w:w="786" w:type="pct"/>
            <w:tcBorders>
              <w:top w:val="nil"/>
              <w:left w:val="nil"/>
              <w:bottom w:val="nil"/>
              <w:right w:val="nil"/>
            </w:tcBorders>
            <w:shd w:val="clear" w:color="auto" w:fill="auto"/>
            <w:vAlign w:val="center"/>
          </w:tcPr>
          <w:p w14:paraId="618A782D" w14:textId="2FC5AE74" w:rsidR="00515689" w:rsidRPr="00E20D21" w:rsidRDefault="00D24CBC" w:rsidP="00515689">
            <w:pPr>
              <w:jc w:val="right"/>
              <w:rPr>
                <w:rFonts w:ascii="CAIXA Std Book" w:hAnsi="CAIXA Std Book"/>
                <w:color w:val="005CA9"/>
                <w:sz w:val="18"/>
                <w:szCs w:val="18"/>
              </w:rPr>
            </w:pPr>
            <w:r w:rsidRPr="00E20D21">
              <w:rPr>
                <w:rFonts w:ascii="CAIXA Std Book" w:hAnsi="CAIXA Std Book" w:cs="Arial"/>
                <w:color w:val="005CA9"/>
                <w:sz w:val="18"/>
                <w:szCs w:val="18"/>
              </w:rPr>
              <w:t>27.344.917</w:t>
            </w:r>
          </w:p>
        </w:tc>
      </w:tr>
      <w:tr w:rsidR="00A47C19" w:rsidRPr="00E20D21" w14:paraId="49318193" w14:textId="77777777" w:rsidTr="003F20C6">
        <w:trPr>
          <w:trHeight w:val="283"/>
        </w:trPr>
        <w:tc>
          <w:tcPr>
            <w:tcW w:w="3189" w:type="pct"/>
            <w:tcBorders>
              <w:top w:val="single" w:sz="4" w:space="0" w:color="F39200"/>
              <w:left w:val="nil"/>
              <w:bottom w:val="single" w:sz="4" w:space="0" w:color="F39200"/>
              <w:right w:val="nil"/>
            </w:tcBorders>
            <w:shd w:val="clear" w:color="auto" w:fill="auto"/>
            <w:noWrap/>
            <w:vAlign w:val="center"/>
            <w:hideMark/>
          </w:tcPr>
          <w:p w14:paraId="47A4E3B2" w14:textId="77777777" w:rsidR="00515689" w:rsidRPr="00E20D21" w:rsidRDefault="00515689" w:rsidP="00515689">
            <w:pPr>
              <w:rPr>
                <w:rFonts w:ascii="CAIXA Std Book" w:hAnsi="CAIXA Std Book"/>
                <w:b/>
                <w:color w:val="005CA9"/>
                <w:sz w:val="18"/>
                <w:szCs w:val="18"/>
              </w:rPr>
            </w:pPr>
            <w:r w:rsidRPr="00E20D21">
              <w:rPr>
                <w:rFonts w:ascii="CAIXA Std Book" w:hAnsi="CAIXA Std Book"/>
                <w:b/>
                <w:color w:val="005CA9"/>
                <w:sz w:val="18"/>
                <w:szCs w:val="18"/>
              </w:rPr>
              <w:t>Total</w:t>
            </w:r>
          </w:p>
        </w:tc>
        <w:tc>
          <w:tcPr>
            <w:tcW w:w="1025" w:type="pct"/>
            <w:tcBorders>
              <w:top w:val="single" w:sz="4" w:space="0" w:color="F39200"/>
              <w:left w:val="nil"/>
              <w:bottom w:val="single" w:sz="4" w:space="0" w:color="F39200"/>
              <w:right w:val="nil"/>
            </w:tcBorders>
            <w:shd w:val="clear" w:color="auto" w:fill="auto"/>
            <w:noWrap/>
            <w:vAlign w:val="center"/>
          </w:tcPr>
          <w:p w14:paraId="1BBFF2F1" w14:textId="026C69A5" w:rsidR="00515689" w:rsidRPr="00E20D21" w:rsidRDefault="00CF622E" w:rsidP="00515689">
            <w:pPr>
              <w:jc w:val="right"/>
              <w:rPr>
                <w:rFonts w:ascii="CAIXA Std Book" w:hAnsi="CAIXA Std Book"/>
                <w:b/>
                <w:color w:val="005CA9"/>
                <w:sz w:val="18"/>
                <w:szCs w:val="18"/>
              </w:rPr>
            </w:pPr>
            <w:r w:rsidRPr="00E20D21">
              <w:rPr>
                <w:rFonts w:ascii="CAIXA Std Book" w:hAnsi="CAIXA Std Book" w:cs="Arial"/>
                <w:b/>
                <w:bCs/>
                <w:color w:val="005CA9"/>
                <w:sz w:val="18"/>
                <w:szCs w:val="18"/>
              </w:rPr>
              <w:t>810.160.126</w:t>
            </w:r>
          </w:p>
        </w:tc>
        <w:tc>
          <w:tcPr>
            <w:tcW w:w="786" w:type="pct"/>
            <w:tcBorders>
              <w:top w:val="single" w:sz="4" w:space="0" w:color="F39200"/>
              <w:left w:val="nil"/>
              <w:bottom w:val="single" w:sz="4" w:space="0" w:color="F39200"/>
              <w:right w:val="nil"/>
            </w:tcBorders>
            <w:shd w:val="clear" w:color="auto" w:fill="auto"/>
            <w:vAlign w:val="center"/>
          </w:tcPr>
          <w:p w14:paraId="68091212" w14:textId="35DDEFE7" w:rsidR="00515689" w:rsidRPr="00E20D21" w:rsidRDefault="00D24CBC" w:rsidP="00515689">
            <w:pPr>
              <w:jc w:val="right"/>
              <w:rPr>
                <w:rFonts w:ascii="CAIXA Std Book" w:hAnsi="CAIXA Std Book"/>
                <w:b/>
                <w:color w:val="005CA9"/>
                <w:sz w:val="18"/>
                <w:szCs w:val="18"/>
              </w:rPr>
            </w:pPr>
            <w:r w:rsidRPr="00E20D21">
              <w:rPr>
                <w:rFonts w:ascii="CAIXA Std Book" w:hAnsi="CAIXA Std Book" w:cs="Arial"/>
                <w:b/>
                <w:bCs/>
                <w:color w:val="005CA9"/>
                <w:sz w:val="18"/>
                <w:szCs w:val="18"/>
              </w:rPr>
              <w:t>794.071.488</w:t>
            </w:r>
          </w:p>
        </w:tc>
      </w:tr>
    </w:tbl>
    <w:p w14:paraId="1F8A1EE2" w14:textId="0F32E1FD" w:rsidR="000D036E" w:rsidRPr="00E20D21" w:rsidRDefault="000D036E" w:rsidP="009A006C">
      <w:pPr>
        <w:ind w:left="425" w:hanging="425"/>
        <w:rPr>
          <w:rFonts w:ascii="CAIXA Std Book" w:hAnsi="CAIXA Std Book"/>
          <w:color w:val="005CA9"/>
          <w:sz w:val="16"/>
          <w:szCs w:val="16"/>
        </w:rPr>
      </w:pPr>
      <w:r w:rsidRPr="00E20D21">
        <w:rPr>
          <w:rFonts w:ascii="CAIXA Std Book" w:hAnsi="CAIXA Std Book"/>
          <w:color w:val="005CA9"/>
          <w:sz w:val="16"/>
          <w:szCs w:val="16"/>
        </w:rPr>
        <w:t>(1) A informação apresentada não é auditada pela auditoria independente.</w:t>
      </w:r>
    </w:p>
    <w:p w14:paraId="26099D6A" w14:textId="5188B79C" w:rsidR="004B2603" w:rsidRPr="00E20D21" w:rsidRDefault="000D036E" w:rsidP="009A006C">
      <w:pPr>
        <w:ind w:left="425" w:hanging="425"/>
        <w:rPr>
          <w:rFonts w:ascii="CAIXA Std Book" w:hAnsi="CAIXA Std Book"/>
          <w:color w:val="005CA9"/>
          <w:sz w:val="16"/>
          <w:szCs w:val="16"/>
        </w:rPr>
      </w:pPr>
      <w:r w:rsidRPr="00E20D21">
        <w:rPr>
          <w:rFonts w:ascii="CAIXA Std Book" w:hAnsi="CAIXA Std Book"/>
          <w:color w:val="005CA9"/>
          <w:sz w:val="16"/>
          <w:szCs w:val="16"/>
        </w:rPr>
        <w:t xml:space="preserve">(2) </w:t>
      </w:r>
      <w:r w:rsidR="00D138A3" w:rsidRPr="00E20D21">
        <w:rPr>
          <w:rFonts w:ascii="CAIXA Std Book" w:hAnsi="CAIXA Std Book"/>
          <w:color w:val="005CA9"/>
          <w:sz w:val="16"/>
          <w:szCs w:val="16"/>
        </w:rPr>
        <w:t>Inclui Fundos de aplicação em cotas, que nã</w:t>
      </w:r>
      <w:r w:rsidR="005B149D" w:rsidRPr="00E20D21">
        <w:rPr>
          <w:rFonts w:ascii="CAIXA Std Book" w:hAnsi="CAIXA Std Book"/>
          <w:color w:val="005CA9"/>
          <w:sz w:val="16"/>
          <w:szCs w:val="16"/>
        </w:rPr>
        <w:t>o são considerados no ranking AN</w:t>
      </w:r>
      <w:r w:rsidR="00D138A3" w:rsidRPr="00E20D21">
        <w:rPr>
          <w:rFonts w:ascii="CAIXA Std Book" w:hAnsi="CAIXA Std Book"/>
          <w:color w:val="005CA9"/>
          <w:sz w:val="16"/>
          <w:szCs w:val="16"/>
        </w:rPr>
        <w:t>BIMA.</w:t>
      </w:r>
    </w:p>
    <w:p w14:paraId="36CD0792" w14:textId="05E78751" w:rsidR="008A62F3" w:rsidRPr="00E20D21" w:rsidRDefault="008A62F3" w:rsidP="008A62F3">
      <w:pPr>
        <w:pStyle w:val="Default0"/>
        <w:ind w:left="426" w:hanging="426"/>
        <w:jc w:val="both"/>
        <w:rPr>
          <w:rFonts w:ascii="CAIXA Std Book" w:hAnsi="CAIXA Std Book"/>
          <w:b/>
          <w:bCs/>
          <w:color w:val="005CA9"/>
          <w:sz w:val="20"/>
          <w:szCs w:val="20"/>
        </w:rPr>
      </w:pPr>
      <w:r w:rsidRPr="00E20D21">
        <w:rPr>
          <w:rFonts w:ascii="CAIXA Std Book" w:hAnsi="CAIXA Std Book"/>
          <w:b/>
          <w:bCs/>
          <w:color w:val="005CA9"/>
          <w:sz w:val="20"/>
          <w:szCs w:val="20"/>
        </w:rPr>
        <w:lastRenderedPageBreak/>
        <w:t>(b)</w:t>
      </w:r>
      <w:r w:rsidRPr="00E20D21">
        <w:rPr>
          <w:rFonts w:ascii="CAIXA Std Book" w:hAnsi="CAIXA Std Book"/>
          <w:b/>
          <w:bCs/>
          <w:color w:val="005CA9"/>
          <w:sz w:val="20"/>
          <w:szCs w:val="20"/>
        </w:rPr>
        <w:tab/>
        <w:t>Ativo problemático</w:t>
      </w:r>
    </w:p>
    <w:p w14:paraId="6E9D4C70" w14:textId="1893C0DB" w:rsidR="008A62F3" w:rsidRPr="00E20D21" w:rsidRDefault="008A62F3" w:rsidP="00080828">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 xml:space="preserve">De acordo com a Resolução CMN nº 4.557/2017, ativo problemático é um ativo financeiro no qual é verificado que a respectiva obrigação está em atraso há mais de 90 dias e/ou há indicativos de que </w:t>
      </w:r>
      <w:r w:rsidR="0061150A" w:rsidRPr="00E20D21">
        <w:rPr>
          <w:rFonts w:ascii="CAIXA Std Book" w:hAnsi="CAIXA Std Book" w:cs="Cambria Math"/>
          <w:color w:val="005CA9"/>
          <w:sz w:val="20"/>
          <w:szCs w:val="20"/>
        </w:rPr>
        <w:t>essa obrigação</w:t>
      </w:r>
      <w:r w:rsidRPr="00E20D21">
        <w:rPr>
          <w:rFonts w:ascii="CAIXA Std Book" w:hAnsi="CAIXA Std Book" w:cs="Cambria Math"/>
          <w:color w:val="005CA9"/>
          <w:sz w:val="20"/>
          <w:szCs w:val="20"/>
        </w:rPr>
        <w:t xml:space="preserve"> não será integralmente honrada</w:t>
      </w:r>
      <w:r w:rsidR="00625B05" w:rsidRPr="00E20D21">
        <w:rPr>
          <w:rFonts w:ascii="CAIXA Std Book" w:hAnsi="CAIXA Std Book" w:cs="Cambria Math"/>
          <w:color w:val="005CA9"/>
          <w:sz w:val="20"/>
          <w:szCs w:val="20"/>
        </w:rPr>
        <w:t>,</w:t>
      </w:r>
      <w:r w:rsidRPr="00E20D21">
        <w:rPr>
          <w:rFonts w:ascii="CAIXA Std Book" w:hAnsi="CAIXA Std Book" w:cs="Cambria Math"/>
          <w:color w:val="005CA9"/>
          <w:sz w:val="20"/>
          <w:szCs w:val="20"/>
        </w:rPr>
        <w:t xml:space="preserve"> sem que seja necessário recorrer a garantias ou a colaterais.</w:t>
      </w:r>
    </w:p>
    <w:p w14:paraId="238A4EA4" w14:textId="775A59C9" w:rsidR="00192395" w:rsidRPr="00E20D21" w:rsidRDefault="008A62F3" w:rsidP="00080828">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 xml:space="preserve">Em </w:t>
      </w:r>
      <w:r w:rsidR="00F764CE" w:rsidRPr="00E20D21">
        <w:rPr>
          <w:rFonts w:ascii="CAIXA Std Book" w:hAnsi="CAIXA Std Book" w:cs="Cambria Math"/>
          <w:color w:val="005CA9"/>
          <w:sz w:val="20"/>
          <w:szCs w:val="20"/>
        </w:rPr>
        <w:t>30/06/2024</w:t>
      </w:r>
      <w:r w:rsidR="001865B5" w:rsidRPr="00E20D21">
        <w:rPr>
          <w:rFonts w:ascii="CAIXA Std Book" w:hAnsi="CAIXA Std Book" w:cs="Cambria Math"/>
          <w:color w:val="005CA9"/>
          <w:sz w:val="20"/>
          <w:szCs w:val="20"/>
        </w:rPr>
        <w:t>,</w:t>
      </w:r>
      <w:r w:rsidRPr="00E20D21">
        <w:rPr>
          <w:rFonts w:ascii="CAIXA Std Book" w:hAnsi="CAIXA Std Book" w:cs="Cambria Math"/>
          <w:color w:val="005CA9"/>
          <w:sz w:val="20"/>
          <w:szCs w:val="20"/>
        </w:rPr>
        <w:t xml:space="preserve"> a carteira problemática alcançou o montante de R$</w:t>
      </w:r>
      <w:r w:rsidR="00593D37" w:rsidRPr="00E20D21">
        <w:rPr>
          <w:rFonts w:ascii="CAIXA Std Book" w:hAnsi="CAIXA Std Book" w:cs="Cambria Math"/>
          <w:color w:val="005CA9"/>
          <w:sz w:val="20"/>
          <w:szCs w:val="20"/>
        </w:rPr>
        <w:t xml:space="preserve"> </w:t>
      </w:r>
      <w:r w:rsidR="006B79B4" w:rsidRPr="00E20D21">
        <w:rPr>
          <w:rFonts w:ascii="CAIXA Std Book" w:hAnsi="CAIXA Std Book" w:cs="Cambria Math"/>
          <w:color w:val="005CA9"/>
          <w:sz w:val="20"/>
          <w:szCs w:val="20"/>
        </w:rPr>
        <w:t>70.870.654</w:t>
      </w:r>
      <w:r w:rsidRPr="00E20D21">
        <w:rPr>
          <w:rFonts w:ascii="CAIXA Std Book" w:hAnsi="CAIXA Std Book" w:cs="Cambria Math"/>
          <w:color w:val="005CA9"/>
          <w:sz w:val="20"/>
          <w:szCs w:val="20"/>
        </w:rPr>
        <w:t xml:space="preserve"> (31/12/202</w:t>
      </w:r>
      <w:r w:rsidR="00362430" w:rsidRPr="00E20D21">
        <w:rPr>
          <w:rFonts w:ascii="CAIXA Std Book" w:hAnsi="CAIXA Std Book" w:cs="Cambria Math"/>
          <w:color w:val="005CA9"/>
          <w:sz w:val="20"/>
          <w:szCs w:val="20"/>
        </w:rPr>
        <w:t>3</w:t>
      </w:r>
      <w:r w:rsidRPr="00E20D21">
        <w:rPr>
          <w:rFonts w:ascii="CAIXA Std Book" w:hAnsi="CAIXA Std Book" w:cs="Cambria Math"/>
          <w:color w:val="005CA9"/>
          <w:sz w:val="20"/>
          <w:szCs w:val="20"/>
        </w:rPr>
        <w:t xml:space="preserve"> - R$ </w:t>
      </w:r>
      <w:r w:rsidR="00D37F24" w:rsidRPr="00E20D21">
        <w:rPr>
          <w:rFonts w:ascii="CAIXA Std Book" w:hAnsi="CAIXA Std Book" w:cs="Cambria Math"/>
          <w:color w:val="005CA9"/>
          <w:sz w:val="20"/>
          <w:szCs w:val="20"/>
        </w:rPr>
        <w:t>88.577</w:t>
      </w:r>
      <w:r w:rsidR="00362430" w:rsidRPr="00E20D21">
        <w:rPr>
          <w:rFonts w:ascii="CAIXA Std Book" w:hAnsi="CAIXA Std Book" w:cs="Cambria Math"/>
          <w:color w:val="005CA9"/>
          <w:sz w:val="20"/>
          <w:szCs w:val="20"/>
        </w:rPr>
        <w:t>.816</w:t>
      </w:r>
      <w:r w:rsidRPr="00E20D21">
        <w:rPr>
          <w:rFonts w:ascii="CAIXA Std Book" w:hAnsi="CAIXA Std Book" w:cs="Cambria Math"/>
          <w:color w:val="005CA9"/>
          <w:sz w:val="20"/>
          <w:szCs w:val="20"/>
        </w:rPr>
        <w:t xml:space="preserve">), sendo constituída provisão no montante de R$ </w:t>
      </w:r>
      <w:r w:rsidR="003D5AB7" w:rsidRPr="00E20D21">
        <w:rPr>
          <w:rFonts w:ascii="CAIXA Std Book" w:hAnsi="CAIXA Std Book" w:cs="Cambria Math"/>
          <w:color w:val="005CA9"/>
          <w:sz w:val="20"/>
          <w:szCs w:val="20"/>
        </w:rPr>
        <w:t xml:space="preserve">31.803.906 </w:t>
      </w:r>
      <w:r w:rsidRPr="00E20D21">
        <w:rPr>
          <w:rFonts w:ascii="CAIXA Std Book" w:hAnsi="CAIXA Std Book" w:cs="Cambria Math"/>
          <w:color w:val="005CA9"/>
          <w:sz w:val="20"/>
          <w:szCs w:val="20"/>
        </w:rPr>
        <w:t>(31/12/202</w:t>
      </w:r>
      <w:r w:rsidR="00C6452A" w:rsidRPr="00E20D21">
        <w:rPr>
          <w:rFonts w:ascii="CAIXA Std Book" w:hAnsi="CAIXA Std Book" w:cs="Cambria Math"/>
          <w:color w:val="005CA9"/>
          <w:sz w:val="20"/>
          <w:szCs w:val="20"/>
        </w:rPr>
        <w:t>3</w:t>
      </w:r>
      <w:r w:rsidRPr="00E20D21">
        <w:rPr>
          <w:rFonts w:ascii="CAIXA Std Book" w:hAnsi="CAIXA Std Book" w:cs="Cambria Math"/>
          <w:color w:val="005CA9"/>
          <w:sz w:val="20"/>
          <w:szCs w:val="20"/>
        </w:rPr>
        <w:t xml:space="preserve"> – R$ </w:t>
      </w:r>
      <w:r w:rsidR="00362430" w:rsidRPr="00E20D21">
        <w:rPr>
          <w:rFonts w:ascii="CAIXA Std Book" w:hAnsi="CAIXA Std Book" w:cs="Cambria Math"/>
          <w:color w:val="005CA9"/>
          <w:sz w:val="20"/>
          <w:szCs w:val="20"/>
        </w:rPr>
        <w:t>30.247</w:t>
      </w:r>
      <w:r w:rsidR="00C6452A" w:rsidRPr="00E20D21">
        <w:rPr>
          <w:rFonts w:ascii="CAIXA Std Book" w:hAnsi="CAIXA Std Book" w:cs="Cambria Math"/>
          <w:color w:val="005CA9"/>
          <w:sz w:val="20"/>
          <w:szCs w:val="20"/>
        </w:rPr>
        <w:t>.431</w:t>
      </w:r>
      <w:r w:rsidRPr="00E20D21">
        <w:rPr>
          <w:rFonts w:ascii="CAIXA Std Book" w:hAnsi="CAIXA Std Book" w:cs="Cambria Math"/>
          <w:color w:val="005CA9"/>
          <w:sz w:val="20"/>
          <w:szCs w:val="20"/>
        </w:rPr>
        <w:t>) para a referida carteira.</w:t>
      </w:r>
    </w:p>
    <w:p w14:paraId="0BF7A274" w14:textId="537455C2" w:rsidR="00825FFF" w:rsidRPr="00E20D21" w:rsidRDefault="008A62F3" w:rsidP="00080828">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 xml:space="preserve">Destaca-se que o componente de maior relevância na carteira </w:t>
      </w:r>
      <w:r w:rsidR="00D068DF" w:rsidRPr="00E20D21">
        <w:rPr>
          <w:rFonts w:ascii="CAIXA Std Book" w:hAnsi="CAIXA Std Book" w:cs="Cambria Math"/>
          <w:color w:val="005CA9"/>
          <w:sz w:val="20"/>
          <w:szCs w:val="20"/>
        </w:rPr>
        <w:t xml:space="preserve">problemática </w:t>
      </w:r>
      <w:r w:rsidRPr="00E20D21">
        <w:rPr>
          <w:rFonts w:ascii="CAIXA Std Book" w:hAnsi="CAIXA Std Book" w:cs="Cambria Math"/>
          <w:color w:val="005CA9"/>
          <w:sz w:val="20"/>
          <w:szCs w:val="20"/>
        </w:rPr>
        <w:t xml:space="preserve">decorre da reestruturação que responde por </w:t>
      </w:r>
      <w:r w:rsidR="00DE09CB" w:rsidRPr="00E20D21">
        <w:rPr>
          <w:rFonts w:ascii="CAIXA Std Book" w:hAnsi="CAIXA Std Book" w:cs="Cambria Math"/>
          <w:color w:val="005CA9"/>
          <w:sz w:val="20"/>
          <w:szCs w:val="20"/>
        </w:rPr>
        <w:t>38,53</w:t>
      </w:r>
      <w:r w:rsidRPr="00E20D21">
        <w:rPr>
          <w:rFonts w:ascii="CAIXA Std Book" w:hAnsi="CAIXA Std Book" w:cs="Cambria Math"/>
          <w:color w:val="005CA9"/>
          <w:sz w:val="20"/>
          <w:szCs w:val="20"/>
        </w:rPr>
        <w:t xml:space="preserve">% (R$ </w:t>
      </w:r>
      <w:r w:rsidR="005F4B43" w:rsidRPr="00E20D21">
        <w:rPr>
          <w:rFonts w:ascii="CAIXA Std Book" w:hAnsi="CAIXA Std Book" w:cs="Cambria Math"/>
          <w:color w:val="005CA9"/>
          <w:sz w:val="20"/>
          <w:szCs w:val="20"/>
        </w:rPr>
        <w:t>27.309.192</w:t>
      </w:r>
      <w:r w:rsidR="003F2505" w:rsidRPr="00E20D21">
        <w:rPr>
          <w:rFonts w:ascii="CAIXA Std Book" w:hAnsi="CAIXA Std Book" w:cs="Cambria Math"/>
          <w:color w:val="005CA9"/>
          <w:sz w:val="20"/>
          <w:szCs w:val="20"/>
        </w:rPr>
        <w:t>)</w:t>
      </w:r>
      <w:r w:rsidR="00825FFF" w:rsidRPr="00E20D21">
        <w:rPr>
          <w:rFonts w:ascii="CAIXA Std Book" w:hAnsi="CAIXA Std Book" w:cs="Cambria Math"/>
          <w:color w:val="005CA9"/>
          <w:sz w:val="20"/>
          <w:szCs w:val="20"/>
        </w:rPr>
        <w:t xml:space="preserve">, seguido pelo componente Inadimplência com </w:t>
      </w:r>
      <w:r w:rsidR="00793DD0" w:rsidRPr="00E20D21">
        <w:rPr>
          <w:rFonts w:ascii="CAIXA Std Book" w:hAnsi="CAIXA Std Book" w:cs="Cambria Math"/>
          <w:color w:val="005CA9"/>
          <w:sz w:val="20"/>
          <w:szCs w:val="20"/>
        </w:rPr>
        <w:t>36,48% (</w:t>
      </w:r>
      <w:r w:rsidR="00825FFF" w:rsidRPr="00E20D21">
        <w:rPr>
          <w:rFonts w:ascii="CAIXA Std Book" w:hAnsi="CAIXA Std Book" w:cs="Cambria Math"/>
          <w:color w:val="005CA9"/>
          <w:sz w:val="20"/>
          <w:szCs w:val="20"/>
        </w:rPr>
        <w:t>R$ 25.854.211</w:t>
      </w:r>
      <w:r w:rsidR="00793DD0" w:rsidRPr="00E20D21">
        <w:rPr>
          <w:rFonts w:ascii="CAIXA Std Book" w:hAnsi="CAIXA Std Book" w:cs="Cambria Math"/>
          <w:color w:val="005CA9"/>
          <w:sz w:val="20"/>
          <w:szCs w:val="20"/>
        </w:rPr>
        <w:t>).</w:t>
      </w:r>
    </w:p>
    <w:p w14:paraId="361FEA72" w14:textId="77777777" w:rsidR="00080828" w:rsidRPr="00E20D21" w:rsidRDefault="00080828" w:rsidP="00080828">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A carteira habitacional responde por 52,84% (R$21.933.483) da carteira classificada como problemática, quando considerado todos os componentes de marcação.</w:t>
      </w:r>
    </w:p>
    <w:p w14:paraId="30C997A6" w14:textId="055187E6" w:rsidR="00F129D5" w:rsidRPr="00E20D21" w:rsidRDefault="00F129D5" w:rsidP="00BA42A6">
      <w:pPr>
        <w:pStyle w:val="Default0"/>
        <w:ind w:left="426" w:hanging="426"/>
        <w:jc w:val="both"/>
        <w:rPr>
          <w:rFonts w:ascii="CAIXA Std Book" w:hAnsi="CAIXA Std Book"/>
          <w:b/>
          <w:color w:val="005CA9"/>
          <w:sz w:val="20"/>
          <w:szCs w:val="20"/>
        </w:rPr>
      </w:pPr>
      <w:r w:rsidRPr="00E20D21">
        <w:rPr>
          <w:rFonts w:ascii="CAIXA Std Book" w:hAnsi="CAIXA Std Book"/>
          <w:b/>
          <w:color w:val="005CA9"/>
          <w:sz w:val="20"/>
          <w:szCs w:val="20"/>
        </w:rPr>
        <w:t>(c)</w:t>
      </w:r>
      <w:r w:rsidR="00735514" w:rsidRPr="00E20D21">
        <w:rPr>
          <w:rFonts w:ascii="CAIXA Std Book" w:hAnsi="CAIXA Std Book"/>
          <w:b/>
          <w:bCs/>
          <w:color w:val="005CA9"/>
          <w:sz w:val="20"/>
          <w:szCs w:val="20"/>
        </w:rPr>
        <w:tab/>
      </w:r>
      <w:r w:rsidR="005E27AC" w:rsidRPr="00E20D21">
        <w:rPr>
          <w:rFonts w:ascii="CAIXA Std Book" w:hAnsi="CAIXA Std Book"/>
          <w:b/>
          <w:bCs/>
          <w:color w:val="005CA9"/>
          <w:sz w:val="20"/>
          <w:szCs w:val="20"/>
        </w:rPr>
        <w:t>Medidas de enfrentamento à</w:t>
      </w:r>
      <w:r w:rsidR="00891FEE" w:rsidRPr="00E20D21">
        <w:rPr>
          <w:rFonts w:ascii="CAIXA Std Book" w:hAnsi="CAIXA Std Book"/>
          <w:b/>
          <w:color w:val="005CA9"/>
          <w:sz w:val="20"/>
          <w:szCs w:val="20"/>
        </w:rPr>
        <w:t xml:space="preserve"> </w:t>
      </w:r>
      <w:r w:rsidR="005A6BC4" w:rsidRPr="00E20D21">
        <w:rPr>
          <w:rFonts w:ascii="CAIXA Std Book" w:hAnsi="CAIXA Std Book"/>
          <w:b/>
          <w:color w:val="005CA9"/>
          <w:sz w:val="20"/>
          <w:szCs w:val="20"/>
        </w:rPr>
        <w:t xml:space="preserve">Calamidade do </w:t>
      </w:r>
      <w:r w:rsidR="00891FEE" w:rsidRPr="00E20D21">
        <w:rPr>
          <w:rFonts w:ascii="CAIXA Std Book" w:hAnsi="CAIXA Std Book"/>
          <w:b/>
          <w:color w:val="005CA9"/>
          <w:sz w:val="20"/>
          <w:szCs w:val="20"/>
        </w:rPr>
        <w:t>Rio Grande do Sul</w:t>
      </w:r>
      <w:r w:rsidR="00A22F45" w:rsidRPr="00E20D21">
        <w:rPr>
          <w:rFonts w:ascii="CAIXA Std Book" w:hAnsi="CAIXA Std Book"/>
          <w:b/>
          <w:color w:val="005CA9"/>
          <w:sz w:val="20"/>
          <w:szCs w:val="20"/>
        </w:rPr>
        <w:t xml:space="preserve"> (RS)</w:t>
      </w:r>
    </w:p>
    <w:p w14:paraId="20F91FBC" w14:textId="6C1CA1EF" w:rsidR="001A0F6E" w:rsidRPr="00E20D21" w:rsidRDefault="002F5F6E" w:rsidP="002F5F6E">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 xml:space="preserve">A Medida Provisória </w:t>
      </w:r>
      <w:r w:rsidR="0057171A" w:rsidRPr="00E20D21">
        <w:rPr>
          <w:rFonts w:ascii="CAIXA Std Book" w:hAnsi="CAIXA Std Book" w:cs="Cambria Math"/>
          <w:color w:val="005CA9"/>
          <w:sz w:val="20"/>
          <w:szCs w:val="20"/>
        </w:rPr>
        <w:t>nº</w:t>
      </w:r>
      <w:r w:rsidR="00D5423D" w:rsidRPr="00E20D21">
        <w:rPr>
          <w:rFonts w:ascii="CAIXA Std Book" w:hAnsi="CAIXA Std Book" w:cs="Cambria Math"/>
          <w:color w:val="005CA9"/>
          <w:sz w:val="20"/>
          <w:szCs w:val="20"/>
        </w:rPr>
        <w:t xml:space="preserve"> </w:t>
      </w:r>
      <w:r w:rsidRPr="00E20D21">
        <w:rPr>
          <w:rFonts w:ascii="CAIXA Std Book" w:hAnsi="CAIXA Std Book" w:cs="Cambria Math"/>
          <w:color w:val="005CA9"/>
          <w:sz w:val="20"/>
          <w:szCs w:val="20"/>
        </w:rPr>
        <w:t>1</w:t>
      </w:r>
      <w:r w:rsidR="00923BA2" w:rsidRPr="00E20D21">
        <w:rPr>
          <w:rFonts w:ascii="CAIXA Std Book" w:hAnsi="CAIXA Std Book" w:cs="Cambria Math"/>
          <w:color w:val="005CA9"/>
          <w:sz w:val="20"/>
          <w:szCs w:val="20"/>
        </w:rPr>
        <w:t>.</w:t>
      </w:r>
      <w:r w:rsidRPr="00E20D21">
        <w:rPr>
          <w:rFonts w:ascii="CAIXA Std Book" w:hAnsi="CAIXA Std Book" w:cs="Cambria Math"/>
          <w:color w:val="005CA9"/>
          <w:sz w:val="20"/>
          <w:szCs w:val="20"/>
        </w:rPr>
        <w:t>2</w:t>
      </w:r>
      <w:r w:rsidR="006218B2" w:rsidRPr="00E20D21">
        <w:rPr>
          <w:rFonts w:ascii="CAIXA Std Book" w:hAnsi="CAIXA Std Book" w:cs="Cambria Math"/>
          <w:color w:val="005CA9"/>
          <w:sz w:val="20"/>
          <w:szCs w:val="20"/>
        </w:rPr>
        <w:t>2</w:t>
      </w:r>
      <w:r w:rsidRPr="00E20D21">
        <w:rPr>
          <w:rFonts w:ascii="CAIXA Std Book" w:hAnsi="CAIXA Std Book" w:cs="Cambria Math"/>
          <w:color w:val="005CA9"/>
          <w:sz w:val="20"/>
          <w:szCs w:val="20"/>
        </w:rPr>
        <w:t xml:space="preserve">9/24 </w:t>
      </w:r>
      <w:r w:rsidR="00CD0009" w:rsidRPr="00E20D21">
        <w:rPr>
          <w:rFonts w:ascii="CAIXA Std Book" w:hAnsi="CAIXA Std Book" w:cs="Cambria Math"/>
          <w:color w:val="005CA9"/>
          <w:sz w:val="20"/>
          <w:szCs w:val="20"/>
        </w:rPr>
        <w:t xml:space="preserve">instituiu apoio financeiro destinado às famílias desalojadas ou desabrigadas nos municípios </w:t>
      </w:r>
      <w:r w:rsidR="001A0F6E" w:rsidRPr="00E20D21">
        <w:rPr>
          <w:rFonts w:ascii="CAIXA Std Book" w:hAnsi="CAIXA Std Book" w:cs="Cambria Math"/>
          <w:color w:val="005CA9"/>
          <w:sz w:val="20"/>
          <w:szCs w:val="20"/>
        </w:rPr>
        <w:t xml:space="preserve">do estado do Rio Grande do Sul com estado de calamidade pública ou </w:t>
      </w:r>
      <w:proofErr w:type="gramStart"/>
      <w:r w:rsidR="001A0F6E" w:rsidRPr="00E20D21">
        <w:rPr>
          <w:rFonts w:ascii="CAIXA Std Book" w:hAnsi="CAIXA Std Book" w:cs="Cambria Math"/>
          <w:color w:val="005CA9"/>
          <w:sz w:val="20"/>
          <w:szCs w:val="20"/>
        </w:rPr>
        <w:t>situação de emergência</w:t>
      </w:r>
      <w:proofErr w:type="gramEnd"/>
      <w:r w:rsidR="001A0F6E" w:rsidRPr="00E20D21">
        <w:rPr>
          <w:rFonts w:ascii="CAIXA Std Book" w:hAnsi="CAIXA Std Book" w:cs="Cambria Math"/>
          <w:color w:val="005CA9"/>
          <w:sz w:val="20"/>
          <w:szCs w:val="20"/>
        </w:rPr>
        <w:t xml:space="preserve"> reconhecida pelo pode</w:t>
      </w:r>
      <w:r w:rsidR="003C2244" w:rsidRPr="00E20D21">
        <w:rPr>
          <w:rFonts w:ascii="CAIXA Std Book" w:hAnsi="CAIXA Std Book" w:cs="Cambria Math"/>
          <w:color w:val="005CA9"/>
          <w:sz w:val="20"/>
          <w:szCs w:val="20"/>
        </w:rPr>
        <w:t>r</w:t>
      </w:r>
      <w:r w:rsidR="001A0F6E" w:rsidRPr="00E20D21">
        <w:rPr>
          <w:rFonts w:ascii="CAIXA Std Book" w:hAnsi="CAIXA Std Book" w:cs="Cambria Math"/>
          <w:color w:val="005CA9"/>
          <w:sz w:val="20"/>
          <w:szCs w:val="20"/>
        </w:rPr>
        <w:t xml:space="preserve"> executivo federal. </w:t>
      </w:r>
    </w:p>
    <w:p w14:paraId="49DFDC5A" w14:textId="6AF6695D" w:rsidR="00DE4394" w:rsidRPr="00E20D21" w:rsidRDefault="001A0F6E" w:rsidP="00DE4394">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A medida prev</w:t>
      </w:r>
      <w:r w:rsidR="00AD1113" w:rsidRPr="00E20D21">
        <w:rPr>
          <w:rFonts w:ascii="CAIXA Std Book" w:hAnsi="CAIXA Std Book" w:cs="Cambria Math"/>
          <w:color w:val="005CA9"/>
          <w:sz w:val="20"/>
          <w:szCs w:val="20"/>
        </w:rPr>
        <w:t>iu</w:t>
      </w:r>
      <w:r w:rsidRPr="00E20D21">
        <w:rPr>
          <w:rFonts w:ascii="CAIXA Std Book" w:hAnsi="CAIXA Std Book" w:cs="Cambria Math"/>
          <w:color w:val="005CA9"/>
          <w:sz w:val="20"/>
          <w:szCs w:val="20"/>
        </w:rPr>
        <w:t xml:space="preserve"> apoio financeiro de R$ 5</w:t>
      </w:r>
      <w:r w:rsidR="00937A0F" w:rsidRPr="00E20D21">
        <w:rPr>
          <w:rFonts w:ascii="CAIXA Std Book" w:hAnsi="CAIXA Std Book" w:cs="Cambria Math"/>
          <w:color w:val="005CA9"/>
          <w:sz w:val="20"/>
          <w:szCs w:val="20"/>
        </w:rPr>
        <w:t>,1 mil</w:t>
      </w:r>
      <w:r w:rsidR="00FB6530" w:rsidRPr="00E20D21">
        <w:rPr>
          <w:rFonts w:ascii="CAIXA Std Book" w:hAnsi="CAIXA Std Book" w:cs="Cambria Math"/>
          <w:color w:val="005CA9"/>
          <w:sz w:val="20"/>
          <w:szCs w:val="20"/>
        </w:rPr>
        <w:t xml:space="preserve">, em parcela única, </w:t>
      </w:r>
      <w:r w:rsidR="00937A0F" w:rsidRPr="00E20D21">
        <w:rPr>
          <w:rFonts w:ascii="CAIXA Std Book" w:hAnsi="CAIXA Std Book" w:cs="Cambria Math"/>
          <w:color w:val="005CA9"/>
          <w:sz w:val="20"/>
          <w:szCs w:val="20"/>
        </w:rPr>
        <w:t xml:space="preserve">para cada </w:t>
      </w:r>
      <w:r w:rsidR="002F5F6E" w:rsidRPr="00E20D21">
        <w:rPr>
          <w:rFonts w:ascii="CAIXA Std Book" w:hAnsi="CAIXA Std Book" w:cs="Cambria Math"/>
          <w:color w:val="005CA9"/>
          <w:sz w:val="20"/>
          <w:szCs w:val="20"/>
        </w:rPr>
        <w:t>família do Rio Grande do Sul afetada pelas recentes chuvas e enchentes.</w:t>
      </w:r>
      <w:r w:rsidR="00DE4394" w:rsidRPr="00E20D21">
        <w:rPr>
          <w:rFonts w:ascii="CAIXA Std Book" w:hAnsi="CAIXA Std Book" w:cs="Cambria Math"/>
          <w:color w:val="005CA9"/>
          <w:sz w:val="20"/>
          <w:szCs w:val="20"/>
        </w:rPr>
        <w:t xml:space="preserve"> O apoio financeiro, batizado como </w:t>
      </w:r>
      <w:r w:rsidR="00484C50" w:rsidRPr="00E20D21">
        <w:rPr>
          <w:rFonts w:ascii="CAIXA Std Book" w:hAnsi="CAIXA Std Book" w:cs="Cambria Math"/>
          <w:color w:val="005CA9"/>
          <w:sz w:val="20"/>
          <w:szCs w:val="20"/>
        </w:rPr>
        <w:t xml:space="preserve">Programa Auxílio </w:t>
      </w:r>
      <w:r w:rsidR="00DE4394" w:rsidRPr="00E20D21">
        <w:rPr>
          <w:rFonts w:ascii="CAIXA Std Book" w:hAnsi="CAIXA Std Book" w:cs="Cambria Math"/>
          <w:color w:val="005CA9"/>
          <w:sz w:val="20"/>
          <w:szCs w:val="20"/>
        </w:rPr>
        <w:t xml:space="preserve">Reconstrução, </w:t>
      </w:r>
      <w:r w:rsidR="00163441" w:rsidRPr="00E20D21">
        <w:rPr>
          <w:rFonts w:ascii="CAIXA Std Book" w:hAnsi="CAIXA Std Book" w:cs="Cambria Math"/>
          <w:color w:val="005CA9"/>
          <w:sz w:val="20"/>
          <w:szCs w:val="20"/>
        </w:rPr>
        <w:t>foi</w:t>
      </w:r>
      <w:r w:rsidR="00DE4394" w:rsidRPr="00E20D21">
        <w:rPr>
          <w:rFonts w:ascii="CAIXA Std Book" w:hAnsi="CAIXA Std Book" w:cs="Cambria Math"/>
          <w:color w:val="005CA9"/>
          <w:sz w:val="20"/>
          <w:szCs w:val="20"/>
        </w:rPr>
        <w:t xml:space="preserve"> repassado pela Caixa Econômica Federal por meio de </w:t>
      </w:r>
      <w:proofErr w:type="spellStart"/>
      <w:r w:rsidR="00DE4394" w:rsidRPr="00E20D21">
        <w:rPr>
          <w:rFonts w:ascii="CAIXA Std Book" w:hAnsi="CAIXA Std Book" w:cs="Cambria Math"/>
          <w:color w:val="005CA9"/>
          <w:sz w:val="20"/>
          <w:szCs w:val="20"/>
        </w:rPr>
        <w:t>P</w:t>
      </w:r>
      <w:r w:rsidR="00484C50" w:rsidRPr="00E20D21">
        <w:rPr>
          <w:rFonts w:ascii="CAIXA Std Book" w:hAnsi="CAIXA Std Book" w:cs="Cambria Math"/>
          <w:color w:val="005CA9"/>
          <w:sz w:val="20"/>
          <w:szCs w:val="20"/>
        </w:rPr>
        <w:t>ix</w:t>
      </w:r>
      <w:proofErr w:type="spellEnd"/>
      <w:r w:rsidR="00DE4394" w:rsidRPr="00E20D21">
        <w:rPr>
          <w:rFonts w:ascii="CAIXA Std Book" w:hAnsi="CAIXA Std Book" w:cs="Cambria Math"/>
          <w:color w:val="005CA9"/>
          <w:sz w:val="20"/>
          <w:szCs w:val="20"/>
        </w:rPr>
        <w:t xml:space="preserve"> para a conta dos beneficiários. </w:t>
      </w:r>
      <w:r w:rsidR="00163441" w:rsidRPr="00E20D21">
        <w:rPr>
          <w:rFonts w:ascii="CAIXA Std Book" w:hAnsi="CAIXA Std Book" w:cs="Cambria Math"/>
          <w:color w:val="005CA9"/>
          <w:sz w:val="20"/>
          <w:szCs w:val="20"/>
        </w:rPr>
        <w:t>É</w:t>
      </w:r>
      <w:r w:rsidR="00DE4394" w:rsidRPr="00E20D21">
        <w:rPr>
          <w:rFonts w:ascii="CAIXA Std Book" w:hAnsi="CAIXA Std Book" w:cs="Cambria Math"/>
          <w:color w:val="005CA9"/>
          <w:sz w:val="20"/>
          <w:szCs w:val="20"/>
        </w:rPr>
        <w:t xml:space="preserve"> preciso, sob as penas da lei, que a pessoa se autodeclare atingida pelos recentes eventos.</w:t>
      </w:r>
    </w:p>
    <w:p w14:paraId="5974C12E" w14:textId="77777777" w:rsidR="0048721A" w:rsidRPr="00E20D21" w:rsidRDefault="00495E4D" w:rsidP="00AA6CF9">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Os pagamento</w:t>
      </w:r>
      <w:r w:rsidR="00BF0155" w:rsidRPr="00E20D21">
        <w:rPr>
          <w:rFonts w:ascii="CAIXA Std Book" w:hAnsi="CAIXA Std Book" w:cs="Cambria Math"/>
          <w:color w:val="005CA9"/>
          <w:sz w:val="20"/>
          <w:szCs w:val="20"/>
        </w:rPr>
        <w:t xml:space="preserve">s se iniciaram em 31 de maio de </w:t>
      </w:r>
      <w:r w:rsidR="003A0B0D" w:rsidRPr="00E20D21">
        <w:rPr>
          <w:rFonts w:ascii="CAIXA Std Book" w:hAnsi="CAIXA Std Book" w:cs="Cambria Math"/>
          <w:color w:val="005CA9"/>
          <w:sz w:val="20"/>
          <w:szCs w:val="20"/>
        </w:rPr>
        <w:t xml:space="preserve">2024, </w:t>
      </w:r>
      <w:r w:rsidR="007D7236" w:rsidRPr="00E20D21">
        <w:rPr>
          <w:rFonts w:ascii="CAIXA Std Book" w:hAnsi="CAIXA Std Book" w:cs="Cambria Math"/>
          <w:color w:val="005CA9"/>
          <w:sz w:val="20"/>
          <w:szCs w:val="20"/>
        </w:rPr>
        <w:t xml:space="preserve">contemplando cerca de </w:t>
      </w:r>
      <w:r w:rsidR="003642E0" w:rsidRPr="00E20D21">
        <w:rPr>
          <w:rFonts w:ascii="CAIXA Std Book" w:hAnsi="CAIXA Std Book" w:cs="Cambria Math"/>
          <w:color w:val="005CA9"/>
          <w:sz w:val="20"/>
          <w:szCs w:val="20"/>
        </w:rPr>
        <w:t>235,8 mil beneficiários</w:t>
      </w:r>
      <w:r w:rsidR="00564ADA" w:rsidRPr="00E20D21">
        <w:rPr>
          <w:rFonts w:ascii="CAIXA Std Book" w:hAnsi="CAIXA Std Book" w:cs="Cambria Math"/>
          <w:color w:val="005CA9"/>
          <w:sz w:val="20"/>
          <w:szCs w:val="20"/>
        </w:rPr>
        <w:t xml:space="preserve">, </w:t>
      </w:r>
      <w:r w:rsidR="002F5F6E" w:rsidRPr="00E20D21">
        <w:rPr>
          <w:rFonts w:ascii="CAIXA Std Book" w:hAnsi="CAIXA Std Book" w:cs="Cambria Math"/>
          <w:color w:val="005CA9"/>
          <w:sz w:val="20"/>
          <w:szCs w:val="20"/>
        </w:rPr>
        <w:t>totalizando um socorro de R$ 1,2 bilhão para reposição de bens domésticos em razão da atual situação de calamidade pública.</w:t>
      </w:r>
      <w:r w:rsidR="00AA6CF9" w:rsidRPr="00E20D21">
        <w:rPr>
          <w:rFonts w:ascii="CAIXA Std Book" w:hAnsi="CAIXA Std Book" w:cs="Cambria Math"/>
          <w:color w:val="005CA9"/>
          <w:sz w:val="20"/>
          <w:szCs w:val="20"/>
        </w:rPr>
        <w:t xml:space="preserve"> </w:t>
      </w:r>
      <w:r w:rsidR="0048721A" w:rsidRPr="00E20D21">
        <w:rPr>
          <w:rFonts w:ascii="CAIXA Std Book" w:hAnsi="CAIXA Std Book" w:cs="Cambria Math"/>
          <w:color w:val="005CA9"/>
          <w:sz w:val="20"/>
          <w:szCs w:val="20"/>
        </w:rPr>
        <w:t>Ainda, foram disponibilizados R$ 30 milhões do Fundo Socioambiental CAIXA (FSA) para projetos com objetivo de recompor perdas materiais e capacidade produtiva das famílias. As ações devem ser executadas em até 30 meses, tendo foco em melhorias habitacionais, recuperação de micro empreendimentos e soluções para o pós-crise. Pretende-se constituir um banco de projetos aptos para receber recursos, entre R$ 500 mil e R$ 3 milhões.</w:t>
      </w:r>
    </w:p>
    <w:p w14:paraId="28C349C9" w14:textId="77777777" w:rsidR="00E45537" w:rsidRPr="00E20D21" w:rsidRDefault="0048721A" w:rsidP="00AA6CF9">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 xml:space="preserve">Também foi iniciada a operação do </w:t>
      </w:r>
      <w:proofErr w:type="spellStart"/>
      <w:r w:rsidRPr="00E20D21">
        <w:rPr>
          <w:rFonts w:ascii="CAIXA Std Book" w:hAnsi="CAIXA Std Book" w:cs="Cambria Math"/>
          <w:color w:val="005CA9"/>
          <w:sz w:val="20"/>
          <w:szCs w:val="20"/>
        </w:rPr>
        <w:t>Pronampe</w:t>
      </w:r>
      <w:proofErr w:type="spellEnd"/>
      <w:r w:rsidRPr="00E20D21">
        <w:rPr>
          <w:rFonts w:ascii="CAIXA Std Book" w:hAnsi="CAIXA Std Book" w:cs="Cambria Math"/>
          <w:color w:val="005CA9"/>
          <w:sz w:val="20"/>
          <w:szCs w:val="20"/>
        </w:rPr>
        <w:t xml:space="preserve"> Solidário para empresas no Rio Grande do Sul, com crédito de até 60% do faturamento do ano anterior, limitado a R$ 150 mil. A linha de crédito nos municípios com estado de calamidade pública é subsidiada pelo Governo Federal, com amortização de 40% na contratação dos recursos. Os valores podem ser acessados por micro, pequenas e médias empresas com faturamento de até R$ 4,8 milhões ao ano. Os recursos disponibilizados devem atenuar os prejuízos econômicos dos empresários locais, apoiando na reestruturação dos negócios e na manutenção dos empregos gerados.</w:t>
      </w:r>
    </w:p>
    <w:p w14:paraId="46D8D073" w14:textId="57EFE223" w:rsidR="0048721A" w:rsidRPr="00E20D21" w:rsidRDefault="0048721A" w:rsidP="00AA6CF9">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 xml:space="preserve">O banco disponibilizou sua estrutura para instalação do escritório de monitoramento do Governo Federal, além de enviar especialistas de áreas como habitação, FGTS e governo para a região afetada. Destaca-se o reforço no atendimento da CAIXA durante a calamidade, com o direcionamento de caminhões agência, instalação de unidade contêiner e estrutura provisória, sendo designados 600 empregados adicionais para atendimento presencial ou por meio de agência digital. </w:t>
      </w:r>
    </w:p>
    <w:p w14:paraId="0A661A5F" w14:textId="77777777" w:rsidR="003A72A7" w:rsidRPr="00E20D21" w:rsidRDefault="003A72A7">
      <w:pPr>
        <w:rPr>
          <w:rFonts w:ascii="CAIXA Std Book" w:hAnsi="CAIXA Std Book" w:cs="Cambria Math"/>
          <w:color w:val="005CA9"/>
          <w:sz w:val="20"/>
          <w:szCs w:val="20"/>
        </w:rPr>
      </w:pPr>
      <w:r w:rsidRPr="00E20D21">
        <w:rPr>
          <w:rFonts w:ascii="CAIXA Std Book" w:hAnsi="CAIXA Std Book" w:cs="Cambria Math"/>
          <w:color w:val="005CA9"/>
          <w:sz w:val="20"/>
          <w:szCs w:val="20"/>
        </w:rPr>
        <w:br w:type="page"/>
      </w:r>
    </w:p>
    <w:p w14:paraId="40396B8E" w14:textId="3BC18708" w:rsidR="008E1F7F" w:rsidRPr="00E20D21" w:rsidRDefault="0048721A" w:rsidP="00AA6CF9">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lastRenderedPageBreak/>
        <w:t>Em junho, a CAIXA e o Governo do Rio Grande do Sul celebraram Acordo de Cooperação Técnica (ACT) para fornecimento de apoio logístico para infraestrutura, viabilizando a continuidade de execução das atividades do estado e o atendimento à população gaúcha, bem como auxiliar nas medidas de enfrentamento à calamidade pública. Está contemplada no acordo a doação de mobiliário e</w:t>
      </w:r>
      <w:r w:rsidRPr="00E20D21">
        <w:rPr>
          <w:rFonts w:ascii="CAIXA Std Book" w:hAnsi="CAIXA Std Book" w:cs="Cambria Math"/>
          <w:b/>
          <w:bCs/>
          <w:color w:val="005CA9"/>
          <w:sz w:val="20"/>
          <w:szCs w:val="20"/>
        </w:rPr>
        <w:t xml:space="preserve"> </w:t>
      </w:r>
      <w:r w:rsidRPr="00E20D21">
        <w:rPr>
          <w:rFonts w:ascii="CAIXA Std Book" w:hAnsi="CAIXA Std Book" w:cs="Cambria Math"/>
          <w:color w:val="005CA9"/>
          <w:sz w:val="20"/>
          <w:szCs w:val="20"/>
        </w:rPr>
        <w:t>computadores</w:t>
      </w:r>
      <w:r w:rsidRPr="00E20D21">
        <w:rPr>
          <w:rFonts w:ascii="CAIXA Std Book" w:hAnsi="CAIXA Std Book" w:cs="Cambria Math"/>
          <w:b/>
          <w:bCs/>
          <w:color w:val="005CA9"/>
          <w:sz w:val="20"/>
          <w:szCs w:val="20"/>
        </w:rPr>
        <w:t xml:space="preserve"> </w:t>
      </w:r>
      <w:r w:rsidRPr="00E20D21">
        <w:rPr>
          <w:rFonts w:ascii="CAIXA Std Book" w:hAnsi="CAIXA Std Book" w:cs="Cambria Math"/>
          <w:color w:val="005CA9"/>
          <w:sz w:val="20"/>
          <w:szCs w:val="20"/>
        </w:rPr>
        <w:t>não utilizados pelo banco. O conjunto de medidas anunciadas e a atuação do banco desde o início das fortes chuvas que atingiram o Rio Grande do Sul ratificam o apoio e o compromisso da CAIXA com o povo gaúcho.</w:t>
      </w:r>
    </w:p>
    <w:p w14:paraId="504E9203" w14:textId="19D0AE71" w:rsidR="00D129E0" w:rsidRPr="00E20D21" w:rsidRDefault="00D129E0" w:rsidP="002F5F6E">
      <w:pPr>
        <w:spacing w:before="120" w:after="120"/>
        <w:jc w:val="both"/>
        <w:rPr>
          <w:rFonts w:ascii="CAIXA Std Book" w:hAnsi="CAIXA Std Book" w:cs="Cambria Math"/>
          <w:b/>
          <w:bCs/>
          <w:color w:val="005CA9"/>
          <w:sz w:val="20"/>
          <w:szCs w:val="20"/>
        </w:rPr>
      </w:pPr>
      <w:r w:rsidRPr="00E20D21">
        <w:rPr>
          <w:rFonts w:ascii="CAIXA Std Book" w:hAnsi="CAIXA Std Book" w:cs="Cambria Math"/>
          <w:b/>
          <w:bCs/>
          <w:color w:val="005CA9"/>
          <w:sz w:val="20"/>
          <w:szCs w:val="20"/>
        </w:rPr>
        <w:t>Resoluções CMN</w:t>
      </w:r>
    </w:p>
    <w:p w14:paraId="3B51DEC1" w14:textId="47BA7286" w:rsidR="00395524" w:rsidRPr="00E20D21" w:rsidRDefault="00DC0D27" w:rsidP="00395524">
      <w:pPr>
        <w:pStyle w:val="Default0"/>
        <w:jc w:val="both"/>
        <w:rPr>
          <w:rFonts w:ascii="CAIXA Std Book" w:hAnsi="CAIXA Std Book"/>
          <w:color w:val="005CA9"/>
          <w:sz w:val="20"/>
          <w:szCs w:val="20"/>
        </w:rPr>
      </w:pPr>
      <w:r w:rsidRPr="00E20D21">
        <w:rPr>
          <w:rFonts w:ascii="CAIXA Std Book" w:hAnsi="CAIXA Std Book"/>
          <w:color w:val="005CA9"/>
          <w:sz w:val="20"/>
          <w:szCs w:val="20"/>
        </w:rPr>
        <w:t xml:space="preserve">A </w:t>
      </w:r>
      <w:r w:rsidR="00395524" w:rsidRPr="00E20D21">
        <w:rPr>
          <w:rFonts w:ascii="CAIXA Std Book" w:hAnsi="CAIXA Std Book"/>
          <w:color w:val="005CA9"/>
          <w:sz w:val="20"/>
          <w:szCs w:val="20"/>
        </w:rPr>
        <w:t xml:space="preserve">Resolução CMN nº 5.132/24 </w:t>
      </w:r>
      <w:r w:rsidR="00F84174" w:rsidRPr="00E20D21">
        <w:rPr>
          <w:rFonts w:ascii="CAIXA Std Book" w:hAnsi="CAIXA Std Book"/>
          <w:color w:val="005CA9"/>
          <w:sz w:val="20"/>
          <w:szCs w:val="20"/>
        </w:rPr>
        <w:t xml:space="preserve">estabelece que </w:t>
      </w:r>
      <w:r w:rsidR="00395524" w:rsidRPr="00E20D21">
        <w:rPr>
          <w:rFonts w:ascii="CAIXA Std Book" w:hAnsi="CAIXA Std Book"/>
          <w:color w:val="005CA9"/>
          <w:sz w:val="20"/>
          <w:szCs w:val="20"/>
        </w:rPr>
        <w:t>as instituições financeiras</w:t>
      </w:r>
      <w:r w:rsidR="00B27237" w:rsidRPr="00E20D21">
        <w:rPr>
          <w:rFonts w:ascii="CAIXA Std Book" w:hAnsi="CAIXA Std Book"/>
          <w:color w:val="005CA9"/>
          <w:sz w:val="20"/>
          <w:szCs w:val="20"/>
        </w:rPr>
        <w:t xml:space="preserve"> </w:t>
      </w:r>
      <w:r w:rsidR="00395524" w:rsidRPr="00E20D21">
        <w:rPr>
          <w:rFonts w:ascii="CAIXA Std Book" w:hAnsi="CAIXA Std Book"/>
          <w:color w:val="005CA9"/>
          <w:sz w:val="20"/>
          <w:szCs w:val="20"/>
        </w:rPr>
        <w:t>ficam autorizadas a prorrogar de forma automática, para 15 de agosto de 2024, o vencimento das parcelas de principal</w:t>
      </w:r>
      <w:r w:rsidR="00BE453A" w:rsidRPr="00E20D21">
        <w:rPr>
          <w:rFonts w:ascii="CAIXA Std Book" w:hAnsi="CAIXA Std Book"/>
          <w:color w:val="005CA9"/>
          <w:sz w:val="20"/>
          <w:szCs w:val="20"/>
        </w:rPr>
        <w:t xml:space="preserve"> e juros das operações de crédito rural que tenham vencimento</w:t>
      </w:r>
      <w:r w:rsidR="4B5CC2D7" w:rsidRPr="00E20D21">
        <w:rPr>
          <w:rFonts w:ascii="CAIXA Std Book" w:hAnsi="CAIXA Std Book"/>
          <w:color w:val="005CA9"/>
          <w:sz w:val="20"/>
          <w:szCs w:val="20"/>
        </w:rPr>
        <w:t xml:space="preserve"> </w:t>
      </w:r>
      <w:r w:rsidR="00D7152C" w:rsidRPr="00E20D21">
        <w:rPr>
          <w:rFonts w:ascii="CAIXA Std Book" w:hAnsi="CAIXA Std Book"/>
          <w:color w:val="005CA9"/>
          <w:sz w:val="20"/>
          <w:szCs w:val="20"/>
        </w:rPr>
        <w:t>de 1º de maio de 2024 a 14 de agosto de 2024</w:t>
      </w:r>
      <w:r w:rsidR="00F54062" w:rsidRPr="00E20D21">
        <w:rPr>
          <w:rFonts w:ascii="CAIXA Std Book" w:hAnsi="CAIXA Std Book"/>
          <w:color w:val="005CA9"/>
          <w:sz w:val="20"/>
          <w:szCs w:val="20"/>
        </w:rPr>
        <w:t xml:space="preserve">, de empreendimentos </w:t>
      </w:r>
      <w:r w:rsidR="00C10A02" w:rsidRPr="00E20D21">
        <w:rPr>
          <w:rFonts w:ascii="CAIXA Std Book" w:hAnsi="CAIXA Std Book"/>
          <w:color w:val="005CA9"/>
          <w:sz w:val="20"/>
          <w:szCs w:val="20"/>
        </w:rPr>
        <w:t xml:space="preserve">localizados em municípios do estado do </w:t>
      </w:r>
      <w:r w:rsidRPr="00E20D21">
        <w:rPr>
          <w:rFonts w:ascii="CAIXA Std Book" w:hAnsi="CAIXA Std Book"/>
          <w:color w:val="005CA9"/>
          <w:sz w:val="20"/>
          <w:szCs w:val="20"/>
        </w:rPr>
        <w:t>R</w:t>
      </w:r>
      <w:r w:rsidR="00C10A02" w:rsidRPr="00E20D21">
        <w:rPr>
          <w:rFonts w:ascii="CAIXA Std Book" w:hAnsi="CAIXA Std Book"/>
          <w:color w:val="005CA9"/>
          <w:sz w:val="20"/>
          <w:szCs w:val="20"/>
        </w:rPr>
        <w:t xml:space="preserve">io Grande do </w:t>
      </w:r>
      <w:r w:rsidRPr="00E20D21">
        <w:rPr>
          <w:rFonts w:ascii="CAIXA Std Book" w:hAnsi="CAIXA Std Book"/>
          <w:color w:val="005CA9"/>
          <w:sz w:val="20"/>
          <w:szCs w:val="20"/>
        </w:rPr>
        <w:t>Sul.</w:t>
      </w:r>
    </w:p>
    <w:p w14:paraId="63F3137D" w14:textId="191D0A82" w:rsidR="004263BB" w:rsidRPr="00E20D21" w:rsidRDefault="004263BB" w:rsidP="004263BB">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Resolução CMN nº 5.137/24 dispõe sobre os critérios a serem observados sobre os níveis mínimos de provisão diferenciados das operações de crédito, em decorrência ao enfrentamento das consequências econômicas derivadas de eventos climáticos no estado do Rio Grande do Sul.</w:t>
      </w:r>
    </w:p>
    <w:p w14:paraId="764537FB" w14:textId="13FBC73C" w:rsidR="00012DD4" w:rsidRPr="00E20D21" w:rsidRDefault="00001956" w:rsidP="002F5F6E">
      <w:pPr>
        <w:spacing w:before="120" w:after="120"/>
        <w:jc w:val="both"/>
        <w:rPr>
          <w:rFonts w:ascii="CAIXA Std Book" w:hAnsi="CAIXA Std Book" w:cs="Cambria Math"/>
          <w:b/>
          <w:bCs/>
          <w:color w:val="005CA9"/>
          <w:sz w:val="20"/>
          <w:szCs w:val="20"/>
        </w:rPr>
      </w:pPr>
      <w:r w:rsidRPr="00E20D21">
        <w:rPr>
          <w:rFonts w:ascii="CAIXA Std Book" w:hAnsi="CAIXA Std Book" w:cs="Cambria Math"/>
          <w:b/>
          <w:bCs/>
          <w:color w:val="005CA9"/>
          <w:sz w:val="20"/>
          <w:szCs w:val="20"/>
        </w:rPr>
        <w:t>Medidas</w:t>
      </w:r>
      <w:r w:rsidR="00012DD4" w:rsidRPr="00E20D21">
        <w:rPr>
          <w:rFonts w:ascii="CAIXA Std Book" w:hAnsi="CAIXA Std Book" w:cs="Cambria Math"/>
          <w:b/>
          <w:bCs/>
          <w:color w:val="005CA9"/>
          <w:sz w:val="20"/>
          <w:szCs w:val="20"/>
        </w:rPr>
        <w:t xml:space="preserve"> Caixa</w:t>
      </w:r>
    </w:p>
    <w:p w14:paraId="78EBA93A" w14:textId="51467A1E" w:rsidR="00D676E6" w:rsidRPr="00E20D21" w:rsidRDefault="003F4BF7" w:rsidP="002F5F6E">
      <w:pPr>
        <w:spacing w:before="120" w:after="120"/>
        <w:jc w:val="both"/>
        <w:rPr>
          <w:rFonts w:ascii="CAIXA Std Book" w:hAnsi="CAIXA Std Book" w:cs="Cambria Math"/>
          <w:color w:val="005CA9"/>
          <w:sz w:val="20"/>
          <w:szCs w:val="20"/>
        </w:rPr>
      </w:pPr>
      <w:r w:rsidRPr="00E20D21">
        <w:rPr>
          <w:rFonts w:ascii="CAIXA Std Book" w:hAnsi="CAIXA Std Book" w:cs="Cambria Math"/>
          <w:color w:val="005CA9"/>
          <w:sz w:val="20"/>
          <w:szCs w:val="20"/>
        </w:rPr>
        <w:t>F</w:t>
      </w:r>
      <w:r w:rsidR="00A725A3" w:rsidRPr="00E20D21">
        <w:rPr>
          <w:rFonts w:ascii="CAIXA Std Book" w:hAnsi="CAIXA Std Book" w:cs="Cambria Math"/>
          <w:color w:val="005CA9"/>
          <w:sz w:val="20"/>
          <w:szCs w:val="20"/>
        </w:rPr>
        <w:t>oram estabelecid</w:t>
      </w:r>
      <w:r w:rsidR="000229E0" w:rsidRPr="00E20D21">
        <w:rPr>
          <w:rFonts w:ascii="CAIXA Std Book" w:hAnsi="CAIXA Std Book" w:cs="Cambria Math"/>
          <w:color w:val="005CA9"/>
          <w:sz w:val="20"/>
          <w:szCs w:val="20"/>
        </w:rPr>
        <w:t>a</w:t>
      </w:r>
      <w:r w:rsidR="00A725A3" w:rsidRPr="00E20D21">
        <w:rPr>
          <w:rFonts w:ascii="CAIXA Std Book" w:hAnsi="CAIXA Std Book" w:cs="Cambria Math"/>
          <w:color w:val="005CA9"/>
          <w:sz w:val="20"/>
          <w:szCs w:val="20"/>
        </w:rPr>
        <w:t xml:space="preserve">s as seguintes </w:t>
      </w:r>
      <w:r w:rsidR="000229E0" w:rsidRPr="00E20D21">
        <w:rPr>
          <w:rFonts w:ascii="CAIXA Std Book" w:hAnsi="CAIXA Std Book" w:cs="Cambria Math"/>
          <w:color w:val="005CA9"/>
          <w:sz w:val="20"/>
          <w:szCs w:val="20"/>
        </w:rPr>
        <w:t xml:space="preserve">condições especiais </w:t>
      </w:r>
      <w:r w:rsidR="003426E4" w:rsidRPr="00E20D21">
        <w:rPr>
          <w:rFonts w:ascii="CAIXA Std Book" w:hAnsi="CAIXA Std Book" w:cs="Cambria Math"/>
          <w:color w:val="005CA9"/>
          <w:sz w:val="20"/>
          <w:szCs w:val="20"/>
        </w:rPr>
        <w:t>aos clientes Caixa</w:t>
      </w:r>
      <w:r w:rsidR="000229E0" w:rsidRPr="00E20D21">
        <w:rPr>
          <w:rFonts w:ascii="CAIXA Std Book" w:hAnsi="CAIXA Std Book" w:cs="Cambria Math"/>
          <w:color w:val="005CA9"/>
          <w:sz w:val="20"/>
          <w:szCs w:val="20"/>
        </w:rPr>
        <w:t>:</w:t>
      </w:r>
    </w:p>
    <w:p w14:paraId="74F5F835" w14:textId="4C87D284" w:rsidR="00BA42A6" w:rsidRPr="00E20D21" w:rsidRDefault="00363A7B"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Habitação</w:t>
      </w:r>
      <w:r w:rsidR="00F108F2" w:rsidRPr="00E20D21">
        <w:rPr>
          <w:rFonts w:ascii="CAIXA Std Book" w:hAnsi="CAIXA Std Book"/>
          <w:color w:val="005CA9"/>
          <w:sz w:val="20"/>
          <w:szCs w:val="20"/>
        </w:rPr>
        <w:t>:</w:t>
      </w:r>
      <w:r w:rsidR="004C4114" w:rsidRPr="00E20D21">
        <w:rPr>
          <w:rFonts w:ascii="CAIXA Std Book" w:hAnsi="CAIXA Std Book"/>
          <w:color w:val="005CA9"/>
          <w:sz w:val="20"/>
          <w:szCs w:val="20"/>
        </w:rPr>
        <w:t xml:space="preserve"> </w:t>
      </w:r>
      <w:r w:rsidR="00AD04D2" w:rsidRPr="00E20D21">
        <w:rPr>
          <w:rFonts w:ascii="CAIXA Std Book" w:hAnsi="CAIXA Std Book"/>
          <w:color w:val="005CA9"/>
          <w:sz w:val="20"/>
          <w:szCs w:val="20"/>
        </w:rPr>
        <w:t>P</w:t>
      </w:r>
      <w:r w:rsidRPr="00E20D21">
        <w:rPr>
          <w:rFonts w:ascii="CAIXA Std Book" w:hAnsi="CAIXA Std Book"/>
          <w:color w:val="005CA9"/>
          <w:sz w:val="20"/>
          <w:szCs w:val="20"/>
        </w:rPr>
        <w:t>ausa de</w:t>
      </w:r>
      <w:r w:rsidR="002A4669" w:rsidRPr="00E20D21">
        <w:rPr>
          <w:rFonts w:ascii="CAIXA Std Book" w:hAnsi="CAIXA Std Book"/>
          <w:color w:val="005CA9"/>
          <w:sz w:val="20"/>
          <w:szCs w:val="20"/>
        </w:rPr>
        <w:t xml:space="preserve"> até</w:t>
      </w:r>
      <w:r w:rsidRPr="00E20D21">
        <w:rPr>
          <w:rFonts w:ascii="CAIXA Std Book" w:hAnsi="CAIXA Std Book"/>
          <w:color w:val="005CA9"/>
          <w:sz w:val="20"/>
          <w:szCs w:val="20"/>
        </w:rPr>
        <w:t xml:space="preserve"> 6 meses</w:t>
      </w:r>
      <w:r w:rsidR="00C26F11" w:rsidRPr="00E20D21">
        <w:rPr>
          <w:rFonts w:ascii="CAIXA Std Book" w:hAnsi="CAIXA Std Book"/>
          <w:color w:val="005CA9"/>
          <w:sz w:val="20"/>
          <w:szCs w:val="20"/>
        </w:rPr>
        <w:t xml:space="preserve"> n</w:t>
      </w:r>
      <w:r w:rsidR="00C158C5" w:rsidRPr="00E20D21">
        <w:rPr>
          <w:rFonts w:ascii="CAIXA Std Book" w:hAnsi="CAIXA Std Book"/>
          <w:color w:val="005CA9"/>
          <w:sz w:val="20"/>
          <w:szCs w:val="20"/>
        </w:rPr>
        <w:t>os contratos de financiamento</w:t>
      </w:r>
      <w:r w:rsidR="00D73BBC" w:rsidRPr="00E20D21">
        <w:rPr>
          <w:rFonts w:ascii="CAIXA Std Book" w:hAnsi="CAIXA Std Book"/>
          <w:color w:val="005CA9"/>
          <w:sz w:val="20"/>
          <w:szCs w:val="20"/>
        </w:rPr>
        <w:t xml:space="preserve"> habitacional nas regiões atingidas</w:t>
      </w:r>
      <w:r w:rsidR="002213A8" w:rsidRPr="00E20D21">
        <w:rPr>
          <w:rFonts w:ascii="CAIXA Std Book" w:hAnsi="CAIXA Std Book"/>
          <w:color w:val="005CA9"/>
          <w:sz w:val="20"/>
          <w:szCs w:val="20"/>
        </w:rPr>
        <w:t xml:space="preserve"> e suporte </w:t>
      </w:r>
      <w:r w:rsidR="00573B84" w:rsidRPr="00E20D21">
        <w:rPr>
          <w:rFonts w:ascii="CAIXA Std Book" w:hAnsi="CAIXA Std Book"/>
          <w:color w:val="005CA9"/>
          <w:sz w:val="20"/>
          <w:szCs w:val="20"/>
        </w:rPr>
        <w:t xml:space="preserve">para acionamento de seguro </w:t>
      </w:r>
      <w:r w:rsidR="00843905" w:rsidRPr="00E20D21">
        <w:rPr>
          <w:rFonts w:ascii="CAIXA Std Book" w:hAnsi="CAIXA Std Book"/>
          <w:color w:val="005CA9"/>
          <w:sz w:val="20"/>
          <w:szCs w:val="20"/>
        </w:rPr>
        <w:t>e pagamento de indenizações, de forma ágil</w:t>
      </w:r>
      <w:r w:rsidR="004C4114" w:rsidRPr="00E20D21">
        <w:rPr>
          <w:rFonts w:ascii="CAIXA Std Book" w:hAnsi="CAIXA Std Book"/>
          <w:color w:val="005CA9"/>
          <w:sz w:val="20"/>
          <w:szCs w:val="20"/>
        </w:rPr>
        <w:t>;</w:t>
      </w:r>
    </w:p>
    <w:p w14:paraId="5ECA14C7" w14:textId="240A5686" w:rsidR="00332E67" w:rsidRPr="00E20D21" w:rsidRDefault="00332E67"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CDC: </w:t>
      </w:r>
      <w:r w:rsidR="00FA6761" w:rsidRPr="00E20D21">
        <w:rPr>
          <w:rFonts w:ascii="CAIXA Std Book" w:hAnsi="CAIXA Std Book"/>
          <w:color w:val="005CA9"/>
          <w:sz w:val="20"/>
          <w:szCs w:val="20"/>
        </w:rPr>
        <w:t xml:space="preserve">Pausa de </w:t>
      </w:r>
      <w:r w:rsidR="00D64920" w:rsidRPr="00E20D21">
        <w:rPr>
          <w:rFonts w:ascii="CAIXA Std Book" w:hAnsi="CAIXA Std Book"/>
          <w:color w:val="005CA9"/>
          <w:sz w:val="20"/>
          <w:szCs w:val="20"/>
        </w:rPr>
        <w:t xml:space="preserve">até </w:t>
      </w:r>
      <w:r w:rsidR="00FA6761" w:rsidRPr="00E20D21">
        <w:rPr>
          <w:rFonts w:ascii="CAIXA Std Book" w:hAnsi="CAIXA Std Book"/>
          <w:color w:val="005CA9"/>
          <w:sz w:val="20"/>
          <w:szCs w:val="20"/>
        </w:rPr>
        <w:t>6 meses nas prestações</w:t>
      </w:r>
      <w:r w:rsidR="006A6438" w:rsidRPr="00E20D21">
        <w:rPr>
          <w:rFonts w:ascii="CAIXA Std Book" w:hAnsi="CAIXA Std Book"/>
          <w:color w:val="005CA9"/>
          <w:sz w:val="20"/>
          <w:szCs w:val="20"/>
        </w:rPr>
        <w:t xml:space="preserve"> e carência de até 90 di</w:t>
      </w:r>
      <w:r w:rsidRPr="00E20D21">
        <w:rPr>
          <w:rFonts w:ascii="CAIXA Std Book" w:hAnsi="CAIXA Std Book"/>
          <w:color w:val="005CA9"/>
          <w:sz w:val="20"/>
          <w:szCs w:val="20"/>
        </w:rPr>
        <w:t>a</w:t>
      </w:r>
      <w:r w:rsidR="006A6438" w:rsidRPr="00E20D21">
        <w:rPr>
          <w:rFonts w:ascii="CAIXA Std Book" w:hAnsi="CAIXA Std Book"/>
          <w:color w:val="005CA9"/>
          <w:sz w:val="20"/>
          <w:szCs w:val="20"/>
        </w:rPr>
        <w:t>s para pagamento da primeira prestação na linha de crédito</w:t>
      </w:r>
      <w:r w:rsidR="004C4114" w:rsidRPr="00E20D21">
        <w:rPr>
          <w:rFonts w:ascii="CAIXA Std Book" w:hAnsi="CAIXA Std Book"/>
          <w:color w:val="005CA9"/>
          <w:sz w:val="20"/>
          <w:szCs w:val="20"/>
        </w:rPr>
        <w:t>;</w:t>
      </w:r>
    </w:p>
    <w:p w14:paraId="08190530" w14:textId="7B344480" w:rsidR="004C4114" w:rsidRPr="00E20D21" w:rsidRDefault="004C4114"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Consignado:</w:t>
      </w:r>
      <w:r w:rsidR="00393A0B" w:rsidRPr="00E20D21">
        <w:rPr>
          <w:rFonts w:ascii="CAIXA Std Book" w:hAnsi="CAIXA Std Book"/>
          <w:color w:val="005CA9"/>
          <w:sz w:val="20"/>
          <w:szCs w:val="20"/>
        </w:rPr>
        <w:t xml:space="preserve"> </w:t>
      </w:r>
      <w:r w:rsidR="00AD04D2" w:rsidRPr="00E20D21">
        <w:rPr>
          <w:rFonts w:ascii="CAIXA Std Book" w:hAnsi="CAIXA Std Book"/>
          <w:color w:val="005CA9"/>
          <w:sz w:val="20"/>
          <w:szCs w:val="20"/>
        </w:rPr>
        <w:t>R</w:t>
      </w:r>
      <w:r w:rsidR="00393A0B" w:rsidRPr="00E20D21">
        <w:rPr>
          <w:rFonts w:ascii="CAIXA Std Book" w:hAnsi="CAIXA Std Book"/>
          <w:color w:val="005CA9"/>
          <w:sz w:val="20"/>
          <w:szCs w:val="20"/>
        </w:rPr>
        <w:t xml:space="preserve">edução da taxa </w:t>
      </w:r>
      <w:r w:rsidR="009D43FC" w:rsidRPr="00E20D21">
        <w:rPr>
          <w:rFonts w:ascii="CAIXA Std Book" w:hAnsi="CAIXA Std Book"/>
          <w:color w:val="005CA9"/>
          <w:sz w:val="20"/>
          <w:szCs w:val="20"/>
        </w:rPr>
        <w:t xml:space="preserve">para 872 convênios </w:t>
      </w:r>
      <w:r w:rsidR="006169D3" w:rsidRPr="00E20D21">
        <w:rPr>
          <w:rFonts w:ascii="CAIXA Std Book" w:hAnsi="CAIXA Std Book"/>
          <w:color w:val="005CA9"/>
          <w:sz w:val="20"/>
          <w:szCs w:val="20"/>
        </w:rPr>
        <w:t xml:space="preserve">de </w:t>
      </w:r>
      <w:r w:rsidR="006A6438" w:rsidRPr="00E20D21">
        <w:rPr>
          <w:rFonts w:ascii="CAIXA Std Book" w:hAnsi="CAIXA Std Book"/>
          <w:color w:val="005CA9"/>
          <w:sz w:val="20"/>
          <w:szCs w:val="20"/>
        </w:rPr>
        <w:t xml:space="preserve">crédito </w:t>
      </w:r>
      <w:r w:rsidR="006169D3" w:rsidRPr="00E20D21">
        <w:rPr>
          <w:rFonts w:ascii="CAIXA Std Book" w:hAnsi="CAIXA Std Book"/>
          <w:color w:val="005CA9"/>
          <w:sz w:val="20"/>
          <w:szCs w:val="20"/>
        </w:rPr>
        <w:t xml:space="preserve">consignado </w:t>
      </w:r>
      <w:r w:rsidR="00393A0B" w:rsidRPr="00E20D21">
        <w:rPr>
          <w:rFonts w:ascii="CAIXA Std Book" w:hAnsi="CAIXA Std Book"/>
          <w:color w:val="005CA9"/>
          <w:sz w:val="20"/>
          <w:szCs w:val="20"/>
        </w:rPr>
        <w:t xml:space="preserve">do </w:t>
      </w:r>
      <w:r w:rsidR="009D43FC" w:rsidRPr="00E20D21">
        <w:rPr>
          <w:rFonts w:ascii="CAIXA Std Book" w:hAnsi="CAIXA Std Book"/>
          <w:color w:val="005CA9"/>
          <w:sz w:val="20"/>
          <w:szCs w:val="20"/>
        </w:rPr>
        <w:t>Rio Grande do Sul</w:t>
      </w:r>
      <w:r w:rsidR="001F081C" w:rsidRPr="00E20D21">
        <w:rPr>
          <w:rFonts w:ascii="CAIXA Std Book" w:hAnsi="CAIXA Std Book"/>
          <w:color w:val="005CA9"/>
          <w:sz w:val="20"/>
          <w:szCs w:val="20"/>
        </w:rPr>
        <w:t xml:space="preserve"> com possibilidade de </w:t>
      </w:r>
      <w:r w:rsidR="00D45413" w:rsidRPr="00E20D21">
        <w:rPr>
          <w:rFonts w:ascii="CAIXA Std Book" w:hAnsi="CAIXA Std Book"/>
          <w:color w:val="005CA9"/>
          <w:sz w:val="20"/>
          <w:szCs w:val="20"/>
        </w:rPr>
        <w:t>aumento do prazo de concessão</w:t>
      </w:r>
      <w:r w:rsidR="00393A0B" w:rsidRPr="00E20D21">
        <w:rPr>
          <w:rFonts w:ascii="CAIXA Std Book" w:hAnsi="CAIXA Std Book"/>
          <w:color w:val="005CA9"/>
          <w:sz w:val="20"/>
          <w:szCs w:val="20"/>
        </w:rPr>
        <w:t>;</w:t>
      </w:r>
    </w:p>
    <w:p w14:paraId="7F5B1457" w14:textId="31267032" w:rsidR="008A4581" w:rsidRPr="00E20D21" w:rsidRDefault="004C4114"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Penhor: </w:t>
      </w:r>
      <w:r w:rsidR="00AD04D2" w:rsidRPr="00E20D21">
        <w:rPr>
          <w:rFonts w:ascii="CAIXA Std Book" w:hAnsi="CAIXA Std Book"/>
          <w:color w:val="005CA9"/>
          <w:sz w:val="20"/>
          <w:szCs w:val="20"/>
        </w:rPr>
        <w:t>S</w:t>
      </w:r>
      <w:r w:rsidR="00301226" w:rsidRPr="00E20D21">
        <w:rPr>
          <w:rFonts w:ascii="CAIXA Std Book" w:hAnsi="CAIXA Std Book"/>
          <w:color w:val="005CA9"/>
          <w:sz w:val="20"/>
          <w:szCs w:val="20"/>
        </w:rPr>
        <w:t xml:space="preserve">uspensão </w:t>
      </w:r>
      <w:r w:rsidR="00764BD5" w:rsidRPr="00E20D21">
        <w:rPr>
          <w:rFonts w:ascii="CAIXA Std Book" w:hAnsi="CAIXA Std Book"/>
          <w:color w:val="005CA9"/>
          <w:sz w:val="20"/>
          <w:szCs w:val="20"/>
        </w:rPr>
        <w:t xml:space="preserve">do leilão do </w:t>
      </w:r>
      <w:r w:rsidR="006D3F1B" w:rsidRPr="00E20D21">
        <w:rPr>
          <w:rFonts w:ascii="CAIXA Std Book" w:hAnsi="CAIXA Std Book"/>
          <w:color w:val="005CA9"/>
          <w:sz w:val="20"/>
          <w:szCs w:val="20"/>
        </w:rPr>
        <w:t>p</w:t>
      </w:r>
      <w:r w:rsidR="00764BD5" w:rsidRPr="00E20D21">
        <w:rPr>
          <w:rFonts w:ascii="CAIXA Std Book" w:hAnsi="CAIXA Std Book"/>
          <w:color w:val="005CA9"/>
          <w:sz w:val="20"/>
          <w:szCs w:val="20"/>
        </w:rPr>
        <w:t>enhor</w:t>
      </w:r>
      <w:r w:rsidR="004B64D5" w:rsidRPr="00E20D21">
        <w:rPr>
          <w:rFonts w:ascii="CAIXA Std Book" w:hAnsi="CAIXA Std Book"/>
          <w:color w:val="005CA9"/>
          <w:sz w:val="20"/>
          <w:szCs w:val="20"/>
        </w:rPr>
        <w:t xml:space="preserve"> pelo prazo do decreto</w:t>
      </w:r>
      <w:r w:rsidR="00332E67" w:rsidRPr="00E20D21">
        <w:rPr>
          <w:rFonts w:ascii="CAIXA Std Book" w:hAnsi="CAIXA Std Book"/>
          <w:color w:val="005CA9"/>
          <w:sz w:val="20"/>
          <w:szCs w:val="20"/>
        </w:rPr>
        <w:t xml:space="preserve"> e disp</w:t>
      </w:r>
      <w:r w:rsidRPr="00E20D21">
        <w:rPr>
          <w:rFonts w:ascii="CAIXA Std Book" w:hAnsi="CAIXA Std Book"/>
          <w:color w:val="005CA9"/>
          <w:sz w:val="20"/>
          <w:szCs w:val="20"/>
        </w:rPr>
        <w:t>e</w:t>
      </w:r>
      <w:r w:rsidR="00332E67" w:rsidRPr="00E20D21">
        <w:rPr>
          <w:rFonts w:ascii="CAIXA Std Book" w:hAnsi="CAIXA Std Book"/>
          <w:color w:val="005CA9"/>
          <w:sz w:val="20"/>
          <w:szCs w:val="20"/>
        </w:rPr>
        <w:t>nsa de encargos por atraso na renovação dos contratos, de forma automática, por 90 dias</w:t>
      </w:r>
      <w:r w:rsidR="008A4581" w:rsidRPr="00E20D21">
        <w:rPr>
          <w:rFonts w:ascii="CAIXA Std Book" w:hAnsi="CAIXA Std Book"/>
          <w:color w:val="005CA9"/>
          <w:sz w:val="20"/>
          <w:szCs w:val="20"/>
        </w:rPr>
        <w:t>;</w:t>
      </w:r>
    </w:p>
    <w:p w14:paraId="72F36AF4" w14:textId="49D14EA3" w:rsidR="008A4581" w:rsidRPr="00E20D21" w:rsidRDefault="008A4581"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Crédito especial Empresa Pós: </w:t>
      </w:r>
      <w:r w:rsidR="00AD04D2" w:rsidRPr="00E20D21">
        <w:rPr>
          <w:rFonts w:ascii="CAIXA Std Book" w:hAnsi="CAIXA Std Book"/>
          <w:color w:val="005CA9"/>
          <w:sz w:val="20"/>
          <w:szCs w:val="20"/>
        </w:rPr>
        <w:t>P</w:t>
      </w:r>
      <w:r w:rsidRPr="00E20D21">
        <w:rPr>
          <w:rFonts w:ascii="CAIXA Std Book" w:hAnsi="CAIXA Std Book"/>
          <w:color w:val="005CA9"/>
          <w:sz w:val="20"/>
          <w:szCs w:val="20"/>
        </w:rPr>
        <w:t>ausa no pagamento por até 6 meses e contratação com taxas especiais;</w:t>
      </w:r>
    </w:p>
    <w:p w14:paraId="37A06B83" w14:textId="53DF0473" w:rsidR="00492991" w:rsidRPr="00E20D21" w:rsidRDefault="008A4581"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Giro Caixa Empresarial: </w:t>
      </w:r>
      <w:r w:rsidR="00AD04D2" w:rsidRPr="00E20D21">
        <w:rPr>
          <w:rFonts w:ascii="CAIXA Std Book" w:hAnsi="CAIXA Std Book"/>
          <w:color w:val="005CA9"/>
          <w:sz w:val="20"/>
          <w:szCs w:val="20"/>
        </w:rPr>
        <w:t>O</w:t>
      </w:r>
      <w:r w:rsidRPr="00E20D21">
        <w:rPr>
          <w:rFonts w:ascii="CAIXA Std Book" w:hAnsi="CAIXA Std Book"/>
          <w:color w:val="005CA9"/>
          <w:sz w:val="20"/>
          <w:szCs w:val="20"/>
        </w:rPr>
        <w:t>ferta de crédito solidário com 80% de garantia para as empresas que se enquadrarem nos critérios</w:t>
      </w:r>
      <w:r w:rsidR="00B65BF2" w:rsidRPr="00E20D21">
        <w:rPr>
          <w:rFonts w:ascii="CAIXA Std Book" w:hAnsi="CAIXA Std Book"/>
          <w:color w:val="005CA9"/>
          <w:sz w:val="20"/>
          <w:szCs w:val="20"/>
        </w:rPr>
        <w:t xml:space="preserve"> </w:t>
      </w:r>
      <w:r w:rsidRPr="00E20D21">
        <w:rPr>
          <w:rFonts w:ascii="CAIXA Std Book" w:hAnsi="CAIXA Std Book"/>
          <w:color w:val="005CA9"/>
          <w:sz w:val="20"/>
          <w:szCs w:val="20"/>
        </w:rPr>
        <w:t xml:space="preserve">do programa </w:t>
      </w:r>
      <w:r w:rsidR="00492991" w:rsidRPr="00E20D21">
        <w:rPr>
          <w:rFonts w:ascii="CAIXA Std Book" w:hAnsi="CAIXA Std Book"/>
          <w:color w:val="005CA9"/>
          <w:sz w:val="20"/>
          <w:szCs w:val="20"/>
        </w:rPr>
        <w:t>e estejam localizadas em municípios do R</w:t>
      </w:r>
      <w:r w:rsidR="00B65BF2" w:rsidRPr="00E20D21">
        <w:rPr>
          <w:rFonts w:ascii="CAIXA Std Book" w:hAnsi="CAIXA Std Book"/>
          <w:color w:val="005CA9"/>
          <w:sz w:val="20"/>
          <w:szCs w:val="20"/>
        </w:rPr>
        <w:t xml:space="preserve">io Grande do </w:t>
      </w:r>
      <w:r w:rsidR="00492991" w:rsidRPr="00E20D21">
        <w:rPr>
          <w:rFonts w:ascii="CAIXA Std Book" w:hAnsi="CAIXA Std Book"/>
          <w:color w:val="005CA9"/>
          <w:sz w:val="20"/>
          <w:szCs w:val="20"/>
        </w:rPr>
        <w:t>S</w:t>
      </w:r>
      <w:r w:rsidR="00B65BF2" w:rsidRPr="00E20D21">
        <w:rPr>
          <w:rFonts w:ascii="CAIXA Std Book" w:hAnsi="CAIXA Std Book"/>
          <w:color w:val="005CA9"/>
          <w:sz w:val="20"/>
          <w:szCs w:val="20"/>
        </w:rPr>
        <w:t>ul</w:t>
      </w:r>
      <w:r w:rsidR="00492991" w:rsidRPr="00E20D21">
        <w:rPr>
          <w:rFonts w:ascii="CAIXA Std Book" w:hAnsi="CAIXA Std Book"/>
          <w:color w:val="005CA9"/>
          <w:sz w:val="20"/>
          <w:szCs w:val="20"/>
        </w:rPr>
        <w:t>. Além da redução da taxa de juros, possibilidade de até 12 meses de carência na contratação e de até 60 meses para amortização;</w:t>
      </w:r>
    </w:p>
    <w:p w14:paraId="7C3E6A47" w14:textId="77777777" w:rsidR="004263BB" w:rsidRPr="00E20D21" w:rsidRDefault="00492991"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Azulzinha: </w:t>
      </w:r>
      <w:r w:rsidR="004263BB" w:rsidRPr="00E20D21">
        <w:rPr>
          <w:rFonts w:ascii="CAIXA Std Book" w:hAnsi="CAIXA Std Book"/>
          <w:color w:val="005CA9"/>
          <w:sz w:val="20"/>
          <w:szCs w:val="20"/>
        </w:rPr>
        <w:t>Isenção de um mês no aluguel do produto azulzinha para os clientes das regiões afetadas.</w:t>
      </w:r>
    </w:p>
    <w:p w14:paraId="2C72CF90" w14:textId="0C169B64" w:rsidR="00764BD5" w:rsidRPr="00E20D21" w:rsidRDefault="00660D2C"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Crédito Rural</w:t>
      </w:r>
      <w:r w:rsidR="00F108F2" w:rsidRPr="00E20D21">
        <w:rPr>
          <w:rFonts w:ascii="CAIXA Std Book" w:hAnsi="CAIXA Std Book"/>
          <w:color w:val="005CA9"/>
          <w:sz w:val="20"/>
          <w:szCs w:val="20"/>
        </w:rPr>
        <w:t>:</w:t>
      </w:r>
      <w:r w:rsidRPr="00E20D21">
        <w:rPr>
          <w:rFonts w:ascii="CAIXA Std Book" w:hAnsi="CAIXA Std Book"/>
          <w:color w:val="005CA9"/>
          <w:sz w:val="20"/>
          <w:szCs w:val="20"/>
        </w:rPr>
        <w:t xml:space="preserve"> </w:t>
      </w:r>
      <w:r w:rsidR="004C4114" w:rsidRPr="00E20D21">
        <w:rPr>
          <w:rFonts w:ascii="CAIXA Std Book" w:hAnsi="CAIXA Std Book"/>
          <w:color w:val="005CA9"/>
          <w:sz w:val="20"/>
          <w:szCs w:val="20"/>
        </w:rPr>
        <w:t>p</w:t>
      </w:r>
      <w:r w:rsidR="004E4EA5" w:rsidRPr="00E20D21">
        <w:rPr>
          <w:rFonts w:ascii="CAIXA Std Book" w:hAnsi="CAIXA Std Book"/>
          <w:color w:val="005CA9"/>
          <w:sz w:val="20"/>
          <w:szCs w:val="20"/>
        </w:rPr>
        <w:t xml:space="preserve">rorrogação de parcela de Investimento </w:t>
      </w:r>
      <w:r w:rsidR="00785C21" w:rsidRPr="00E20D21">
        <w:rPr>
          <w:rFonts w:ascii="CAIXA Std Book" w:hAnsi="CAIXA Std Book"/>
          <w:color w:val="005CA9"/>
          <w:sz w:val="20"/>
          <w:szCs w:val="20"/>
        </w:rPr>
        <w:t xml:space="preserve">por </w:t>
      </w:r>
      <w:r w:rsidR="004E4EA5" w:rsidRPr="00E20D21">
        <w:rPr>
          <w:rFonts w:ascii="CAIXA Std Book" w:hAnsi="CAIXA Std Book"/>
          <w:color w:val="005CA9"/>
          <w:sz w:val="20"/>
          <w:szCs w:val="20"/>
        </w:rPr>
        <w:t>até 12 meses</w:t>
      </w:r>
      <w:r w:rsidR="00A869A3" w:rsidRPr="00E20D21">
        <w:rPr>
          <w:rFonts w:ascii="CAIXA Std Book" w:hAnsi="CAIXA Std Book"/>
          <w:color w:val="005CA9"/>
          <w:sz w:val="20"/>
          <w:szCs w:val="20"/>
        </w:rPr>
        <w:t xml:space="preserve">, prorrogação do custeio </w:t>
      </w:r>
      <w:r w:rsidR="00785C21" w:rsidRPr="00E20D21">
        <w:rPr>
          <w:rFonts w:ascii="CAIXA Std Book" w:hAnsi="CAIXA Std Book"/>
          <w:color w:val="005CA9"/>
          <w:sz w:val="20"/>
          <w:szCs w:val="20"/>
        </w:rPr>
        <w:t xml:space="preserve">em </w:t>
      </w:r>
      <w:r w:rsidR="00A869A3" w:rsidRPr="00E20D21">
        <w:rPr>
          <w:rFonts w:ascii="CAIXA Std Book" w:hAnsi="CAIXA Std Book"/>
          <w:color w:val="005CA9"/>
          <w:sz w:val="20"/>
          <w:szCs w:val="20"/>
        </w:rPr>
        <w:t>até 24 meses</w:t>
      </w:r>
      <w:r w:rsidR="003426E4" w:rsidRPr="00E20D21">
        <w:rPr>
          <w:rFonts w:ascii="CAIXA Std Book" w:hAnsi="CAIXA Std Book"/>
          <w:color w:val="005CA9"/>
          <w:sz w:val="20"/>
          <w:szCs w:val="20"/>
        </w:rPr>
        <w:t>, com pagamento de 50% do saldo devedor em 12 meses e os 50% restantes ao fim dos 24 meses</w:t>
      </w:r>
      <w:r w:rsidR="008A4581" w:rsidRPr="00E20D21">
        <w:rPr>
          <w:rFonts w:ascii="CAIXA Std Book" w:hAnsi="CAIXA Std Book"/>
          <w:color w:val="005CA9"/>
          <w:sz w:val="20"/>
          <w:szCs w:val="20"/>
        </w:rPr>
        <w:t>;</w:t>
      </w:r>
    </w:p>
    <w:p w14:paraId="558A3BF2" w14:textId="353EE8BC" w:rsidR="00107CB7" w:rsidRPr="00E20D21" w:rsidRDefault="008A4581"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Renegociações PF e PJ: </w:t>
      </w:r>
      <w:r w:rsidR="00AD04D2" w:rsidRPr="00E20D21">
        <w:rPr>
          <w:rFonts w:ascii="CAIXA Std Book" w:hAnsi="CAIXA Std Book"/>
          <w:color w:val="005CA9"/>
          <w:sz w:val="20"/>
          <w:szCs w:val="20"/>
        </w:rPr>
        <w:t>P</w:t>
      </w:r>
      <w:r w:rsidRPr="00E20D21">
        <w:rPr>
          <w:rFonts w:ascii="CAIXA Std Book" w:hAnsi="CAIXA Std Book"/>
          <w:color w:val="005CA9"/>
          <w:sz w:val="20"/>
          <w:szCs w:val="20"/>
        </w:rPr>
        <w:t>ausa no pagamento por até 6 prestações;</w:t>
      </w:r>
    </w:p>
    <w:p w14:paraId="48EB11B6" w14:textId="64A0E7E1" w:rsidR="00D31B62" w:rsidRPr="00E20D21" w:rsidRDefault="008A4581"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Operações de crédito para </w:t>
      </w:r>
      <w:r w:rsidR="00D31B62" w:rsidRPr="00E20D21">
        <w:rPr>
          <w:rFonts w:ascii="CAIXA Std Book" w:hAnsi="CAIXA Std Book"/>
          <w:color w:val="005CA9"/>
          <w:sz w:val="20"/>
          <w:szCs w:val="20"/>
        </w:rPr>
        <w:t>Municípios</w:t>
      </w:r>
      <w:r w:rsidR="00F108F2" w:rsidRPr="00E20D21">
        <w:rPr>
          <w:rFonts w:ascii="CAIXA Std Book" w:hAnsi="CAIXA Std Book"/>
          <w:color w:val="005CA9"/>
          <w:sz w:val="20"/>
          <w:szCs w:val="20"/>
        </w:rPr>
        <w:t>:</w:t>
      </w:r>
      <w:r w:rsidR="00D31B62" w:rsidRPr="00E20D21">
        <w:rPr>
          <w:rFonts w:ascii="CAIXA Std Book" w:hAnsi="CAIXA Std Book"/>
          <w:color w:val="005CA9"/>
          <w:sz w:val="20"/>
          <w:szCs w:val="20"/>
        </w:rPr>
        <w:t xml:space="preserve"> </w:t>
      </w:r>
      <w:r w:rsidR="00561941" w:rsidRPr="00E20D21">
        <w:rPr>
          <w:rFonts w:ascii="CAIXA Std Book" w:hAnsi="CAIXA Std Book"/>
          <w:color w:val="005CA9"/>
          <w:sz w:val="20"/>
          <w:szCs w:val="20"/>
        </w:rPr>
        <w:t xml:space="preserve">Prorrogação dos </w:t>
      </w:r>
      <w:r w:rsidR="00FD70E2" w:rsidRPr="00E20D21">
        <w:rPr>
          <w:rFonts w:ascii="CAIXA Std Book" w:hAnsi="CAIXA Std Book"/>
          <w:color w:val="005CA9"/>
          <w:sz w:val="20"/>
          <w:szCs w:val="20"/>
        </w:rPr>
        <w:t>prazos</w:t>
      </w:r>
      <w:r w:rsidR="00561941" w:rsidRPr="00E20D21">
        <w:rPr>
          <w:rFonts w:ascii="CAIXA Std Book" w:hAnsi="CAIXA Std Book"/>
          <w:color w:val="005CA9"/>
          <w:sz w:val="20"/>
          <w:szCs w:val="20"/>
        </w:rPr>
        <w:t xml:space="preserve"> de desembolso</w:t>
      </w:r>
      <w:r w:rsidR="00DC555E" w:rsidRPr="00E20D21">
        <w:rPr>
          <w:rFonts w:ascii="CAIXA Std Book" w:hAnsi="CAIXA Std Book"/>
          <w:color w:val="005CA9"/>
          <w:sz w:val="20"/>
          <w:szCs w:val="20"/>
        </w:rPr>
        <w:t>, utilização do crédito</w:t>
      </w:r>
      <w:r w:rsidR="00456D6C" w:rsidRPr="00E20D21">
        <w:rPr>
          <w:rFonts w:ascii="CAIXA Std Book" w:hAnsi="CAIXA Std Book"/>
          <w:color w:val="005CA9"/>
          <w:sz w:val="20"/>
          <w:szCs w:val="20"/>
        </w:rPr>
        <w:t xml:space="preserve"> </w:t>
      </w:r>
      <w:r w:rsidR="006433C2" w:rsidRPr="00E20D21">
        <w:rPr>
          <w:rFonts w:ascii="CAIXA Std Book" w:hAnsi="CAIXA Std Book"/>
          <w:color w:val="005CA9"/>
          <w:sz w:val="20"/>
          <w:szCs w:val="20"/>
        </w:rPr>
        <w:t>e comprovação por até 90 dias</w:t>
      </w:r>
      <w:r w:rsidR="006931C2" w:rsidRPr="00E20D21">
        <w:rPr>
          <w:rFonts w:ascii="CAIXA Std Book" w:hAnsi="CAIXA Std Book"/>
          <w:color w:val="005CA9"/>
          <w:sz w:val="20"/>
          <w:szCs w:val="20"/>
        </w:rPr>
        <w:t>, dispensa</w:t>
      </w:r>
      <w:r w:rsidR="00561941" w:rsidRPr="00E20D21">
        <w:rPr>
          <w:rFonts w:ascii="CAIXA Std Book" w:hAnsi="CAIXA Std Book"/>
          <w:color w:val="005CA9"/>
          <w:sz w:val="20"/>
          <w:szCs w:val="20"/>
        </w:rPr>
        <w:t xml:space="preserve"> de </w:t>
      </w:r>
      <w:r w:rsidR="006931C2" w:rsidRPr="00E20D21">
        <w:rPr>
          <w:rFonts w:ascii="CAIXA Std Book" w:hAnsi="CAIXA Std Book"/>
          <w:color w:val="005CA9"/>
          <w:sz w:val="20"/>
          <w:szCs w:val="20"/>
        </w:rPr>
        <w:t>tarifa contratual</w:t>
      </w:r>
      <w:r w:rsidRPr="00E20D21">
        <w:rPr>
          <w:rFonts w:ascii="CAIXA Std Book" w:hAnsi="CAIXA Std Book"/>
          <w:color w:val="005CA9"/>
          <w:sz w:val="20"/>
          <w:szCs w:val="20"/>
        </w:rPr>
        <w:t>;</w:t>
      </w:r>
    </w:p>
    <w:p w14:paraId="67F199C8" w14:textId="0F1CF5C5" w:rsidR="00C6282F" w:rsidRPr="00E20D21" w:rsidRDefault="00880BA1" w:rsidP="004263BB">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lastRenderedPageBreak/>
        <w:t xml:space="preserve">Hospitais </w:t>
      </w:r>
      <w:r w:rsidR="00784051" w:rsidRPr="00E20D21">
        <w:rPr>
          <w:rFonts w:ascii="CAIXA Std Book" w:hAnsi="CAIXA Std Book"/>
          <w:color w:val="005CA9"/>
          <w:sz w:val="20"/>
          <w:szCs w:val="20"/>
        </w:rPr>
        <w:t>f</w:t>
      </w:r>
      <w:r w:rsidRPr="00E20D21">
        <w:rPr>
          <w:rFonts w:ascii="CAIXA Std Book" w:hAnsi="CAIXA Std Book"/>
          <w:color w:val="005CA9"/>
          <w:sz w:val="20"/>
          <w:szCs w:val="20"/>
        </w:rPr>
        <w:t>ilantrópicos</w:t>
      </w:r>
      <w:r w:rsidR="00784051" w:rsidRPr="00E20D21">
        <w:rPr>
          <w:rFonts w:ascii="CAIXA Std Book" w:hAnsi="CAIXA Std Book"/>
          <w:color w:val="005CA9"/>
          <w:sz w:val="20"/>
          <w:szCs w:val="20"/>
        </w:rPr>
        <w:t xml:space="preserve"> e não filantrópicos e santas </w:t>
      </w:r>
      <w:proofErr w:type="gramStart"/>
      <w:r w:rsidR="00784051" w:rsidRPr="00E20D21">
        <w:rPr>
          <w:rFonts w:ascii="CAIXA Std Book" w:hAnsi="CAIXA Std Book"/>
          <w:color w:val="005CA9"/>
          <w:sz w:val="20"/>
          <w:szCs w:val="20"/>
        </w:rPr>
        <w:t>casas</w:t>
      </w:r>
      <w:proofErr w:type="gramEnd"/>
      <w:r w:rsidR="00F108F2" w:rsidRPr="00E20D21">
        <w:rPr>
          <w:rFonts w:ascii="CAIXA Std Book" w:hAnsi="CAIXA Std Book"/>
          <w:color w:val="005CA9"/>
          <w:sz w:val="20"/>
          <w:szCs w:val="20"/>
        </w:rPr>
        <w:t>:</w:t>
      </w:r>
      <w:r w:rsidRPr="00E20D21">
        <w:rPr>
          <w:rFonts w:ascii="CAIXA Std Book" w:hAnsi="CAIXA Std Book"/>
          <w:color w:val="005CA9"/>
          <w:sz w:val="20"/>
          <w:szCs w:val="20"/>
        </w:rPr>
        <w:t xml:space="preserve"> Pausa de até 12 meses nas prestações</w:t>
      </w:r>
      <w:r w:rsidR="003426E4" w:rsidRPr="00E20D21">
        <w:rPr>
          <w:rFonts w:ascii="CAIXA Std Book" w:hAnsi="CAIXA Std Book"/>
          <w:color w:val="005CA9"/>
          <w:sz w:val="20"/>
          <w:szCs w:val="20"/>
        </w:rPr>
        <w:t xml:space="preserve"> e</w:t>
      </w:r>
      <w:r w:rsidR="00C6282F" w:rsidRPr="00E20D21">
        <w:rPr>
          <w:rFonts w:ascii="CAIXA Std Book" w:hAnsi="CAIXA Std Book"/>
          <w:color w:val="005CA9"/>
          <w:sz w:val="20"/>
          <w:szCs w:val="20"/>
        </w:rPr>
        <w:t xml:space="preserve"> até 6 meses de carência </w:t>
      </w:r>
      <w:r w:rsidR="007B69D1" w:rsidRPr="00E20D21">
        <w:rPr>
          <w:rFonts w:ascii="CAIXA Std Book" w:hAnsi="CAIXA Std Book"/>
          <w:color w:val="005CA9"/>
          <w:sz w:val="20"/>
          <w:szCs w:val="20"/>
        </w:rPr>
        <w:t>nas novas contratações.</w:t>
      </w:r>
    </w:p>
    <w:p w14:paraId="190474BC" w14:textId="21E35363" w:rsidR="00012DD4" w:rsidRPr="00E20D21" w:rsidRDefault="00001956" w:rsidP="00012DD4">
      <w:pPr>
        <w:pStyle w:val="Default0"/>
        <w:spacing w:after="240"/>
        <w:jc w:val="both"/>
        <w:rPr>
          <w:rFonts w:ascii="CAIXA Std Book" w:hAnsi="CAIXA Std Book"/>
          <w:b/>
          <w:bCs/>
          <w:color w:val="005CA9"/>
          <w:sz w:val="20"/>
          <w:szCs w:val="20"/>
        </w:rPr>
      </w:pPr>
      <w:r w:rsidRPr="00E20D21">
        <w:rPr>
          <w:rFonts w:ascii="CAIXA Std Book" w:hAnsi="CAIXA Std Book"/>
          <w:b/>
          <w:bCs/>
          <w:color w:val="005CA9"/>
          <w:sz w:val="20"/>
          <w:szCs w:val="20"/>
        </w:rPr>
        <w:t>Medidas</w:t>
      </w:r>
      <w:r w:rsidR="00012DD4" w:rsidRPr="00E20D21">
        <w:rPr>
          <w:rFonts w:ascii="CAIXA Std Book" w:hAnsi="CAIXA Std Book"/>
          <w:b/>
          <w:bCs/>
          <w:color w:val="005CA9"/>
          <w:sz w:val="20"/>
          <w:szCs w:val="20"/>
        </w:rPr>
        <w:t xml:space="preserve"> CAIXA Seguridade</w:t>
      </w:r>
    </w:p>
    <w:p w14:paraId="5AFF1D06" w14:textId="77777777" w:rsidR="00012DD4" w:rsidRPr="00E20D21" w:rsidRDefault="00012DD4" w:rsidP="00012DD4">
      <w:pPr>
        <w:pStyle w:val="Default0"/>
        <w:spacing w:after="240"/>
        <w:jc w:val="both"/>
        <w:rPr>
          <w:rFonts w:ascii="CAIXA Std Book" w:hAnsi="CAIXA Std Book"/>
          <w:color w:val="005CA9"/>
          <w:sz w:val="20"/>
          <w:szCs w:val="20"/>
        </w:rPr>
      </w:pPr>
      <w:r w:rsidRPr="00E20D21">
        <w:rPr>
          <w:rFonts w:ascii="CAIXA Std Book" w:hAnsi="CAIXA Std Book"/>
          <w:color w:val="005CA9"/>
          <w:sz w:val="20"/>
          <w:szCs w:val="20"/>
        </w:rPr>
        <w:t>A CAIXA Seguridade presta apoio aos moradores dos municípios atingidos pelas chuvas. Dentre as ações adotadas, destacam-se:</w:t>
      </w:r>
    </w:p>
    <w:p w14:paraId="209D8FD4" w14:textId="77777777" w:rsidR="00012DD4" w:rsidRPr="00E20D21" w:rsidRDefault="00012DD4">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Central de atendimento (sinistros e assistência) com equipe reforçada;</w:t>
      </w:r>
    </w:p>
    <w:p w14:paraId="6743167C" w14:textId="25CF668A" w:rsidR="00012DD4" w:rsidRPr="00E20D21" w:rsidRDefault="00012DD4">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Fluxo facilitado para acionamento de sinistro, com documentação simplificada, proporcionando celeridade no atendimento;</w:t>
      </w:r>
    </w:p>
    <w:p w14:paraId="13C292CD" w14:textId="77777777" w:rsidR="00012DD4" w:rsidRPr="00E20D21" w:rsidRDefault="00012DD4" w:rsidP="00012DD4">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Apoio técnico no atendimento aos beneficiários de seguros;</w:t>
      </w:r>
    </w:p>
    <w:p w14:paraId="2A8690B3" w14:textId="4A89130E" w:rsidR="00012DD4" w:rsidRPr="00E20D21" w:rsidRDefault="00012DD4" w:rsidP="00012DD4">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Esteira ágil de sinistros: </w:t>
      </w:r>
      <w:r w:rsidR="008912D5" w:rsidRPr="00E20D21">
        <w:rPr>
          <w:rFonts w:ascii="CAIXA Std Book" w:hAnsi="CAIXA Std Book"/>
          <w:color w:val="005CA9"/>
          <w:sz w:val="20"/>
          <w:szCs w:val="20"/>
        </w:rPr>
        <w:t>l</w:t>
      </w:r>
      <w:r w:rsidRPr="00E20D21">
        <w:rPr>
          <w:rFonts w:ascii="CAIXA Std Book" w:hAnsi="CAIXA Std Book"/>
          <w:color w:val="005CA9"/>
          <w:sz w:val="20"/>
          <w:szCs w:val="20"/>
        </w:rPr>
        <w:t>iberação de até R$ 4</w:t>
      </w:r>
      <w:r w:rsidR="00E32AD7" w:rsidRPr="00E20D21">
        <w:rPr>
          <w:rFonts w:ascii="CAIXA Std Book" w:hAnsi="CAIXA Std Book"/>
          <w:color w:val="005CA9"/>
          <w:sz w:val="20"/>
          <w:szCs w:val="20"/>
        </w:rPr>
        <w:t xml:space="preserve"> mil</w:t>
      </w:r>
      <w:r w:rsidR="008912D5" w:rsidRPr="00E20D21">
        <w:rPr>
          <w:rFonts w:ascii="CAIXA Std Book" w:hAnsi="CAIXA Std Book"/>
          <w:color w:val="005CA9"/>
          <w:sz w:val="20"/>
          <w:szCs w:val="20"/>
        </w:rPr>
        <w:t xml:space="preserve"> </w:t>
      </w:r>
      <w:r w:rsidRPr="00E20D21">
        <w:rPr>
          <w:rFonts w:ascii="CAIXA Std Book" w:hAnsi="CAIXA Std Book"/>
          <w:color w:val="005CA9"/>
          <w:sz w:val="20"/>
          <w:szCs w:val="20"/>
        </w:rPr>
        <w:t>de forma antecipada, quando não fo</w:t>
      </w:r>
      <w:r w:rsidR="00664BC2" w:rsidRPr="00E20D21">
        <w:rPr>
          <w:rFonts w:ascii="CAIXA Std Book" w:hAnsi="CAIXA Std Book"/>
          <w:color w:val="005CA9"/>
          <w:sz w:val="20"/>
          <w:szCs w:val="20"/>
        </w:rPr>
        <w:t>i</w:t>
      </w:r>
      <w:r w:rsidRPr="00E20D21">
        <w:rPr>
          <w:rFonts w:ascii="CAIXA Std Book" w:hAnsi="CAIXA Std Book"/>
          <w:color w:val="005CA9"/>
          <w:sz w:val="20"/>
          <w:szCs w:val="20"/>
        </w:rPr>
        <w:t xml:space="preserve"> possível a realização de vistoria para o Seguro Habitacional da Caixa Residencial</w:t>
      </w:r>
      <w:r w:rsidR="00151F49" w:rsidRPr="00E20D21">
        <w:rPr>
          <w:rFonts w:ascii="CAIXA Std Book" w:hAnsi="CAIXA Std Book"/>
          <w:color w:val="005CA9"/>
          <w:sz w:val="20"/>
          <w:szCs w:val="20"/>
        </w:rPr>
        <w:t>;</w:t>
      </w:r>
    </w:p>
    <w:p w14:paraId="0769EEC9" w14:textId="6C86E13F" w:rsidR="00012DD4" w:rsidRPr="00E20D21" w:rsidRDefault="00012DD4" w:rsidP="00012DD4">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1% do valor arrecadado com a contratação de seguro residencial em todo o país, no período de 3 a 10 de maio, </w:t>
      </w:r>
      <w:r w:rsidR="008912D5" w:rsidRPr="00E20D21">
        <w:rPr>
          <w:rFonts w:ascii="CAIXA Std Book" w:hAnsi="CAIXA Std Book"/>
          <w:color w:val="005CA9"/>
          <w:sz w:val="20"/>
          <w:szCs w:val="20"/>
        </w:rPr>
        <w:t>foi</w:t>
      </w:r>
      <w:r w:rsidRPr="00E20D21">
        <w:rPr>
          <w:rFonts w:ascii="CAIXA Std Book" w:hAnsi="CAIXA Std Book"/>
          <w:color w:val="005CA9"/>
          <w:sz w:val="20"/>
          <w:szCs w:val="20"/>
        </w:rPr>
        <w:t xml:space="preserve"> direcionado para doação às famílias de baixa renda atingidas pelas chuvas;</w:t>
      </w:r>
    </w:p>
    <w:p w14:paraId="05FA3AA3" w14:textId="65B5B503" w:rsidR="00012DD4" w:rsidRPr="00E20D21" w:rsidRDefault="00012DD4" w:rsidP="00012DD4">
      <w:pPr>
        <w:pStyle w:val="Default0"/>
        <w:numPr>
          <w:ilvl w:val="0"/>
          <w:numId w:val="44"/>
        </w:numPr>
        <w:spacing w:after="240"/>
        <w:jc w:val="both"/>
        <w:rPr>
          <w:rFonts w:ascii="CAIXA Std Book" w:hAnsi="CAIXA Std Book"/>
          <w:color w:val="005CA9"/>
          <w:sz w:val="20"/>
          <w:szCs w:val="20"/>
        </w:rPr>
      </w:pPr>
      <w:r w:rsidRPr="00E20D21">
        <w:rPr>
          <w:rFonts w:ascii="CAIXA Std Book" w:hAnsi="CAIXA Std Book"/>
          <w:color w:val="005CA9"/>
          <w:sz w:val="20"/>
          <w:szCs w:val="20"/>
        </w:rPr>
        <w:t xml:space="preserve">1% do valor arrecadado com a contratação do </w:t>
      </w:r>
      <w:proofErr w:type="spellStart"/>
      <w:r w:rsidRPr="00E20D21">
        <w:rPr>
          <w:rFonts w:ascii="CAIXA Std Book" w:hAnsi="CAIXA Std Book"/>
          <w:color w:val="005CA9"/>
          <w:sz w:val="20"/>
          <w:szCs w:val="20"/>
        </w:rPr>
        <w:t>Rapidex</w:t>
      </w:r>
      <w:proofErr w:type="spellEnd"/>
      <w:r w:rsidRPr="00E20D21">
        <w:rPr>
          <w:rFonts w:ascii="CAIXA Std Book" w:hAnsi="CAIXA Std Book"/>
          <w:color w:val="005CA9"/>
          <w:sz w:val="20"/>
          <w:szCs w:val="20"/>
        </w:rPr>
        <w:t xml:space="preserve"> do Bem em todo o país</w:t>
      </w:r>
      <w:r w:rsidR="00A46395" w:rsidRPr="00E20D21">
        <w:rPr>
          <w:rFonts w:ascii="CAIXA Std Book" w:hAnsi="CAIXA Std Book"/>
          <w:color w:val="005CA9"/>
          <w:sz w:val="20"/>
          <w:szCs w:val="20"/>
        </w:rPr>
        <w:t xml:space="preserve"> foi</w:t>
      </w:r>
      <w:r w:rsidRPr="00E20D21">
        <w:rPr>
          <w:rFonts w:ascii="CAIXA Std Book" w:hAnsi="CAIXA Std Book"/>
          <w:color w:val="005CA9"/>
          <w:sz w:val="20"/>
          <w:szCs w:val="20"/>
        </w:rPr>
        <w:t xml:space="preserve"> direcionado para instituições sem fins lucrativos que prestam suporte às famílias atingidas.</w:t>
      </w:r>
    </w:p>
    <w:p w14:paraId="6BA839BB" w14:textId="77777777" w:rsidR="00012DD4" w:rsidRPr="00E20D21" w:rsidRDefault="00012DD4" w:rsidP="00151F49">
      <w:pPr>
        <w:pStyle w:val="Default0"/>
        <w:spacing w:after="240"/>
        <w:jc w:val="both"/>
        <w:rPr>
          <w:rFonts w:ascii="CAIXA Std Book" w:eastAsia="Times New Roman" w:hAnsi="CAIXA Std Book" w:cs="Arial"/>
          <w:color w:val="313131"/>
          <w:sz w:val="20"/>
          <w:szCs w:val="20"/>
        </w:rPr>
      </w:pPr>
      <w:r w:rsidRPr="00E20D21">
        <w:rPr>
          <w:rFonts w:ascii="CAIXA Std Book" w:hAnsi="CAIXA Std Book"/>
          <w:color w:val="005CA9"/>
          <w:sz w:val="20"/>
          <w:szCs w:val="20"/>
        </w:rPr>
        <w:t>Além disso, a Caixa Vida e Previdência, a Caixa Consórcio, a Caixa Capitalização e a CNP Seguros Holding realizaram doações à ONG Moradia e Cidadania, para apoiar as famílias atingidas.</w:t>
      </w:r>
    </w:p>
    <w:p w14:paraId="327A003F" w14:textId="08EFB08D" w:rsidR="003A66EB" w:rsidRPr="00E20D21" w:rsidRDefault="00FC2BC8" w:rsidP="00834CC1">
      <w:pPr>
        <w:pStyle w:val="Default0"/>
        <w:ind w:left="426" w:hanging="426"/>
        <w:jc w:val="both"/>
        <w:rPr>
          <w:rFonts w:ascii="CAIXA Std Book" w:hAnsi="CAIXA Std Book"/>
          <w:color w:val="005CA9"/>
          <w:sz w:val="20"/>
          <w:szCs w:val="20"/>
        </w:rPr>
      </w:pPr>
      <w:r w:rsidRPr="00E20D21">
        <w:rPr>
          <w:rFonts w:ascii="CAIXA Std Book" w:hAnsi="CAIXA Std Book"/>
          <w:b/>
          <w:bCs/>
          <w:color w:val="005CA9"/>
          <w:sz w:val="20"/>
          <w:szCs w:val="20"/>
        </w:rPr>
        <w:t>(</w:t>
      </w:r>
      <w:r w:rsidR="00FE09CE">
        <w:rPr>
          <w:rFonts w:ascii="CAIXA Std Book" w:hAnsi="CAIXA Std Book"/>
          <w:b/>
          <w:bCs/>
          <w:color w:val="005CA9"/>
          <w:sz w:val="20"/>
          <w:szCs w:val="20"/>
        </w:rPr>
        <w:t>d</w:t>
      </w:r>
      <w:r w:rsidRPr="00E20D21">
        <w:rPr>
          <w:rFonts w:ascii="CAIXA Std Book" w:hAnsi="CAIXA Std Book"/>
          <w:b/>
          <w:bCs/>
          <w:color w:val="005CA9"/>
          <w:sz w:val="20"/>
          <w:szCs w:val="20"/>
        </w:rPr>
        <w:t xml:space="preserve">) </w:t>
      </w:r>
      <w:r w:rsidRPr="00E20D21">
        <w:rPr>
          <w:rFonts w:ascii="CAIXA Std Book" w:hAnsi="CAIXA Std Book"/>
          <w:b/>
          <w:bCs/>
          <w:color w:val="005CA9"/>
          <w:sz w:val="20"/>
          <w:szCs w:val="20"/>
        </w:rPr>
        <w:tab/>
      </w:r>
      <w:r w:rsidR="003A66EB" w:rsidRPr="00E20D21">
        <w:rPr>
          <w:rFonts w:ascii="CAIXA Std Book" w:hAnsi="CAIXA Std Book"/>
          <w:b/>
          <w:bCs/>
          <w:color w:val="005CA9"/>
          <w:sz w:val="20"/>
          <w:szCs w:val="20"/>
        </w:rPr>
        <w:t xml:space="preserve">Fato Relevante </w:t>
      </w:r>
      <w:r w:rsidR="00893A6B" w:rsidRPr="00E20D21">
        <w:rPr>
          <w:rFonts w:ascii="CAIXA Std Book" w:hAnsi="CAIXA Std Book"/>
          <w:b/>
          <w:bCs/>
          <w:color w:val="005CA9"/>
          <w:sz w:val="20"/>
          <w:szCs w:val="20"/>
        </w:rPr>
        <w:t xml:space="preserve">sobre o ramo de </w:t>
      </w:r>
      <w:r w:rsidR="0096304E" w:rsidRPr="00E20D21">
        <w:rPr>
          <w:rFonts w:ascii="CAIXA Std Book" w:hAnsi="CAIXA Std Book"/>
          <w:b/>
          <w:bCs/>
          <w:color w:val="005CA9"/>
          <w:sz w:val="20"/>
          <w:szCs w:val="20"/>
        </w:rPr>
        <w:t>S</w:t>
      </w:r>
      <w:r w:rsidR="00893A6B" w:rsidRPr="00E20D21">
        <w:rPr>
          <w:rFonts w:ascii="CAIXA Std Book" w:hAnsi="CAIXA Std Book"/>
          <w:b/>
          <w:bCs/>
          <w:color w:val="005CA9"/>
          <w:sz w:val="20"/>
          <w:szCs w:val="20"/>
        </w:rPr>
        <w:t>eguridade</w:t>
      </w:r>
    </w:p>
    <w:p w14:paraId="3F8C028D" w14:textId="77777777" w:rsidR="003A66EB" w:rsidRPr="00E20D21" w:rsidRDefault="003A66EB" w:rsidP="003F4BF7">
      <w:pPr>
        <w:pStyle w:val="Default0"/>
        <w:jc w:val="both"/>
        <w:rPr>
          <w:rFonts w:ascii="CAIXA Std Book" w:hAnsi="CAIXA Std Book"/>
          <w:color w:val="005CA9"/>
          <w:sz w:val="20"/>
          <w:szCs w:val="20"/>
        </w:rPr>
      </w:pPr>
    </w:p>
    <w:p w14:paraId="117772AC" w14:textId="4FD156BF" w:rsidR="0096304E" w:rsidRPr="00E20D21" w:rsidRDefault="00AE1B87" w:rsidP="003F4BF7">
      <w:pPr>
        <w:pStyle w:val="Default0"/>
        <w:jc w:val="both"/>
        <w:rPr>
          <w:rFonts w:ascii="CAIXA Std Book" w:hAnsi="CAIXA Std Book"/>
          <w:color w:val="005CA9"/>
          <w:sz w:val="20"/>
          <w:szCs w:val="20"/>
        </w:rPr>
      </w:pPr>
      <w:r w:rsidRPr="00E20D21">
        <w:rPr>
          <w:rFonts w:ascii="CAIXA Std Book" w:hAnsi="CAIXA Std Book"/>
          <w:color w:val="005CA9"/>
          <w:sz w:val="20"/>
          <w:szCs w:val="20"/>
        </w:rPr>
        <w:t xml:space="preserve">Conforme Fato Relevante divulgado pela Caixa Seguridade em 08/07/2024, foi recebida da estipulante das apólices de seguros prestamista, </w:t>
      </w:r>
      <w:r w:rsidR="004824F3" w:rsidRPr="00E20D21">
        <w:rPr>
          <w:rFonts w:ascii="CAIXA Std Book" w:hAnsi="CAIXA Std Book"/>
          <w:color w:val="005CA9"/>
          <w:sz w:val="20"/>
          <w:szCs w:val="20"/>
        </w:rPr>
        <w:t xml:space="preserve">a </w:t>
      </w:r>
      <w:r w:rsidRPr="00E20D21">
        <w:rPr>
          <w:rFonts w:ascii="CAIXA Std Book" w:hAnsi="CAIXA Std Book"/>
          <w:color w:val="005CA9"/>
          <w:sz w:val="20"/>
          <w:szCs w:val="20"/>
        </w:rPr>
        <w:t>Caixa, base de dados contendo a relação de pessoas naturais falecidas, que figuravam como titulares de contratos de crédito, sem aviso de sinistro por parte do estipulante até então, a</w:t>
      </w:r>
      <w:r w:rsidR="00D5380F" w:rsidRPr="00E20D21">
        <w:rPr>
          <w:rFonts w:ascii="CAIXA Std Book" w:hAnsi="CAIXA Std Book"/>
          <w:color w:val="005CA9"/>
          <w:sz w:val="20"/>
          <w:szCs w:val="20"/>
        </w:rPr>
        <w:t>ssim, considerando a expectativa de desembolso a partir da análise da base de dados recebida, as Seguradoras realizaram, entre maio e junho de 2024, o provisionamento de sinistros no montante de R$ 342.196.</w:t>
      </w:r>
      <w:r w:rsidR="00B02FFA" w:rsidRPr="00E20D21">
        <w:rPr>
          <w:rFonts w:ascii="CAIXA Std Book" w:hAnsi="CAIXA Std Book"/>
          <w:color w:val="005CA9"/>
          <w:sz w:val="20"/>
          <w:szCs w:val="20"/>
        </w:rPr>
        <w:t xml:space="preserve"> </w:t>
      </w:r>
    </w:p>
    <w:p w14:paraId="3F29BC8E" w14:textId="77777777" w:rsidR="00211328" w:rsidRPr="00E20D21" w:rsidRDefault="00211328" w:rsidP="003F4BF7">
      <w:pPr>
        <w:pStyle w:val="Default0"/>
        <w:jc w:val="both"/>
        <w:rPr>
          <w:rFonts w:ascii="CAIXA Std Book" w:hAnsi="CAIXA Std Book"/>
          <w:color w:val="005CA9"/>
          <w:sz w:val="20"/>
          <w:szCs w:val="20"/>
        </w:rPr>
      </w:pPr>
    </w:p>
    <w:p w14:paraId="5D4938DD" w14:textId="1D45F466" w:rsidR="008E38B6" w:rsidRPr="00E20D21" w:rsidRDefault="00926F02" w:rsidP="00FD7768">
      <w:pPr>
        <w:pStyle w:val="Ttulo1"/>
      </w:pPr>
      <w:bookmarkStart w:id="104" w:name="_Toc175067976"/>
      <w:bookmarkStart w:id="105" w:name="_Hlk65763178"/>
      <w:r w:rsidRPr="00E20D21">
        <w:t xml:space="preserve">Nota 36 </w:t>
      </w:r>
      <w:r w:rsidR="008F4736" w:rsidRPr="00E20D21">
        <w:t>–</w:t>
      </w:r>
      <w:r w:rsidRPr="00E20D21">
        <w:t xml:space="preserve"> </w:t>
      </w:r>
      <w:r w:rsidR="008E38B6" w:rsidRPr="00E20D21">
        <w:t>Evento</w:t>
      </w:r>
      <w:r w:rsidR="00997D19" w:rsidRPr="00E20D21">
        <w:t>s</w:t>
      </w:r>
      <w:r w:rsidR="008E38B6" w:rsidRPr="00E20D21">
        <w:t xml:space="preserve"> </w:t>
      </w:r>
      <w:r w:rsidR="00361F96" w:rsidRPr="00E20D21">
        <w:t>s</w:t>
      </w:r>
      <w:r w:rsidR="008E38B6" w:rsidRPr="00E20D21">
        <w:t>ubsequente</w:t>
      </w:r>
      <w:r w:rsidR="00361F96" w:rsidRPr="00E20D21">
        <w:t>s</w:t>
      </w:r>
      <w:bookmarkEnd w:id="104"/>
    </w:p>
    <w:p w14:paraId="4A753BA1" w14:textId="5E7EEBE4" w:rsidR="0056310D" w:rsidRPr="00E20D21" w:rsidRDefault="00A432FF" w:rsidP="00FE2D9E">
      <w:pPr>
        <w:spacing w:before="120" w:after="120"/>
        <w:ind w:right="139"/>
        <w:jc w:val="both"/>
        <w:rPr>
          <w:rFonts w:ascii="CAIXA Std Book" w:hAnsi="CAIXA Std Book" w:cs="Cambria Math"/>
          <w:color w:val="005CA9"/>
          <w:sz w:val="20"/>
          <w:szCs w:val="20"/>
        </w:rPr>
      </w:pPr>
      <w:r w:rsidRPr="00E20D21">
        <w:rPr>
          <w:rFonts w:ascii="CAIXA Std Book" w:hAnsi="CAIXA Std Book"/>
          <w:color w:val="005CA9"/>
          <w:sz w:val="20"/>
          <w:szCs w:val="20"/>
        </w:rPr>
        <w:t>Não houve eventos subsequentes no período.</w:t>
      </w:r>
      <w:r w:rsidR="00FE2D9E" w:rsidRPr="00E20D21">
        <w:rPr>
          <w:rFonts w:ascii="CAIXA Std Book" w:hAnsi="CAIXA Std Book"/>
          <w:color w:val="005CA9"/>
          <w:sz w:val="20"/>
          <w:szCs w:val="20"/>
        </w:rPr>
        <w:t xml:space="preserve"> </w:t>
      </w:r>
      <w:r w:rsidR="0056310D" w:rsidRPr="00E20D21">
        <w:rPr>
          <w:rFonts w:ascii="CAIXA Std Book" w:hAnsi="CAIXA Std Book"/>
          <w:color w:val="005CA9"/>
          <w:sz w:val="20"/>
          <w:szCs w:val="20"/>
        </w:rPr>
        <w:br w:type="page"/>
      </w:r>
    </w:p>
    <w:p w14:paraId="3760F21A" w14:textId="1D34A517" w:rsidR="00F6722D" w:rsidRPr="00E20D21" w:rsidRDefault="00F6722D" w:rsidP="0056310D">
      <w:pPr>
        <w:rPr>
          <w:rFonts w:ascii="CAIXA Std Book" w:hAnsi="CAIXA Std Book"/>
          <w:color w:val="005CA9"/>
          <w:sz w:val="16"/>
          <w:szCs w:val="16"/>
        </w:rPr>
      </w:pPr>
    </w:p>
    <w:p w14:paraId="3CBC3239" w14:textId="77777777" w:rsidR="0056310D" w:rsidRPr="00E20D21" w:rsidRDefault="0056310D" w:rsidP="0056310D">
      <w:pPr>
        <w:rPr>
          <w:rFonts w:ascii="CAIXA Std Book" w:hAnsi="CAIXA Std Book"/>
          <w:color w:val="005CA9"/>
          <w:sz w:val="16"/>
          <w:szCs w:val="16"/>
        </w:rPr>
      </w:pPr>
    </w:p>
    <w:p w14:paraId="28E4DB3B" w14:textId="77777777" w:rsidR="008133D9" w:rsidRPr="00E20D21" w:rsidRDefault="008133D9" w:rsidP="009A006C">
      <w:pPr>
        <w:ind w:left="425" w:hanging="425"/>
        <w:rPr>
          <w:rFonts w:ascii="CAIXA Std Book" w:hAnsi="CAIXA Std Book"/>
          <w:color w:val="005CA9"/>
          <w:sz w:val="16"/>
          <w:szCs w:val="16"/>
        </w:rPr>
      </w:pPr>
    </w:p>
    <w:p w14:paraId="722EFBFE"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4ABD01FE" w14:textId="33F6B7CD" w:rsidR="00F6722D" w:rsidRPr="00E20D21" w:rsidRDefault="00A91BAC"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 xml:space="preserve">Carlos Antonio Vieira </w:t>
      </w:r>
      <w:r w:rsidR="008F7DE8" w:rsidRPr="00E20D21">
        <w:rPr>
          <w:rFonts w:ascii="CAIXA Std Book" w:hAnsi="CAIXA Std Book"/>
          <w:color w:val="005CA9"/>
          <w:sz w:val="20"/>
          <w:szCs w:val="20"/>
        </w:rPr>
        <w:t>Fernandes</w:t>
      </w:r>
    </w:p>
    <w:p w14:paraId="50A163AC" w14:textId="742F16D3" w:rsidR="00F6722D" w:rsidRPr="00E20D21" w:rsidRDefault="00F6722D"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bookmarkStart w:id="106" w:name="_Hlk48230001"/>
      <w:r w:rsidRPr="00E20D21">
        <w:rPr>
          <w:rFonts w:ascii="CAIXA Std Book" w:hAnsi="CAIXA Std Book"/>
          <w:color w:val="005CA9"/>
          <w:sz w:val="20"/>
          <w:szCs w:val="20"/>
        </w:rPr>
        <w:t>President</w:t>
      </w:r>
      <w:r w:rsidR="00321762" w:rsidRPr="00E20D21">
        <w:rPr>
          <w:rFonts w:ascii="CAIXA Std Book" w:hAnsi="CAIXA Std Book"/>
          <w:color w:val="005CA9"/>
          <w:sz w:val="20"/>
          <w:szCs w:val="20"/>
        </w:rPr>
        <w:t>e</w:t>
      </w:r>
    </w:p>
    <w:p w14:paraId="5A79A45C" w14:textId="77777777" w:rsidR="00F6722D" w:rsidRPr="00E20D21"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1B2C036B" w14:textId="77777777" w:rsidR="00362310" w:rsidRPr="00E20D21" w:rsidRDefault="00362310"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07A34653" w14:textId="77777777" w:rsidR="00F6722D" w:rsidRPr="00E20D21"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73C4FD5" w14:textId="77777777" w:rsidR="006A16C1" w:rsidRPr="00E20D21" w:rsidRDefault="006A16C1"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7D322492" w14:textId="49305BEE" w:rsidR="0031241E" w:rsidRPr="00E20D21" w:rsidRDefault="007B30CB"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Adriano Assis Matias</w:t>
      </w:r>
      <w:r w:rsidR="0031241E" w:rsidRPr="00E20D21">
        <w:rPr>
          <w:rFonts w:ascii="CAIXA Std Book" w:hAnsi="CAIXA Std Book"/>
          <w:color w:val="005CA9"/>
          <w:sz w:val="20"/>
          <w:szCs w:val="20"/>
        </w:rPr>
        <w:tab/>
      </w:r>
      <w:r w:rsidR="005E5143" w:rsidRPr="00E20D21">
        <w:rPr>
          <w:rFonts w:ascii="CAIXA Std Book" w:hAnsi="CAIXA Std Book"/>
          <w:color w:val="005CA9"/>
          <w:sz w:val="20"/>
          <w:szCs w:val="20"/>
        </w:rPr>
        <w:t xml:space="preserve">Francisco </w:t>
      </w:r>
      <w:proofErr w:type="spellStart"/>
      <w:r w:rsidR="005E5143" w:rsidRPr="00E20D21">
        <w:rPr>
          <w:rFonts w:ascii="CAIXA Std Book" w:hAnsi="CAIXA Std Book"/>
          <w:color w:val="005CA9"/>
          <w:sz w:val="20"/>
          <w:szCs w:val="20"/>
        </w:rPr>
        <w:t>Egidio</w:t>
      </w:r>
      <w:proofErr w:type="spellEnd"/>
      <w:r w:rsidR="005E5143" w:rsidRPr="00E20D21">
        <w:rPr>
          <w:rFonts w:ascii="CAIXA Std Book" w:hAnsi="CAIXA Std Book"/>
          <w:color w:val="005CA9"/>
          <w:sz w:val="20"/>
          <w:szCs w:val="20"/>
        </w:rPr>
        <w:t xml:space="preserve"> </w:t>
      </w:r>
      <w:proofErr w:type="spellStart"/>
      <w:r w:rsidR="005E5143" w:rsidRPr="00E20D21">
        <w:rPr>
          <w:rFonts w:ascii="CAIXA Std Book" w:hAnsi="CAIXA Std Book"/>
          <w:color w:val="005CA9"/>
          <w:sz w:val="20"/>
          <w:szCs w:val="20"/>
        </w:rPr>
        <w:t>Pel</w:t>
      </w:r>
      <w:r w:rsidR="00061585" w:rsidRPr="00E20D21">
        <w:rPr>
          <w:rFonts w:ascii="CAIXA Std Book" w:hAnsi="CAIXA Std Book"/>
          <w:color w:val="005CA9"/>
          <w:sz w:val="20"/>
          <w:szCs w:val="20"/>
        </w:rPr>
        <w:t>ú</w:t>
      </w:r>
      <w:r w:rsidR="005E5143" w:rsidRPr="00E20D21">
        <w:rPr>
          <w:rFonts w:ascii="CAIXA Std Book" w:hAnsi="CAIXA Std Book"/>
          <w:color w:val="005CA9"/>
          <w:sz w:val="20"/>
          <w:szCs w:val="20"/>
        </w:rPr>
        <w:t>cio</w:t>
      </w:r>
      <w:proofErr w:type="spellEnd"/>
      <w:r w:rsidR="005E5143" w:rsidRPr="00E20D21">
        <w:rPr>
          <w:rFonts w:ascii="CAIXA Std Book" w:hAnsi="CAIXA Std Book"/>
          <w:color w:val="005CA9"/>
          <w:sz w:val="20"/>
          <w:szCs w:val="20"/>
        </w:rPr>
        <w:t xml:space="preserve"> Martins</w:t>
      </w:r>
    </w:p>
    <w:p w14:paraId="07B1EA02" w14:textId="1DDEC253"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Vice-presidente</w:t>
      </w:r>
      <w:r w:rsidRPr="00E20D21">
        <w:rPr>
          <w:rFonts w:ascii="CAIXA Std Book" w:hAnsi="CAIXA Std Book"/>
          <w:color w:val="005CA9"/>
          <w:sz w:val="20"/>
          <w:szCs w:val="20"/>
        </w:rPr>
        <w:tab/>
        <w:t>Vice-presidente</w:t>
      </w:r>
    </w:p>
    <w:p w14:paraId="4F6AF0AB" w14:textId="77777777" w:rsidR="0031241E" w:rsidRPr="00E20D21"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549FB4D3" w14:textId="77777777" w:rsidR="0031241E" w:rsidRPr="00E20D21"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0DE8E14A" w14:textId="77777777" w:rsidR="0031241E" w:rsidRPr="00E20D21"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A17972B" w14:textId="77777777" w:rsidR="0031241E" w:rsidRPr="00E20D21"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60F2ACF" w14:textId="2DE38FA0" w:rsidR="0031241E" w:rsidRPr="00E20D21" w:rsidRDefault="005E5143"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roofErr w:type="spellStart"/>
      <w:r w:rsidRPr="00E20D21">
        <w:rPr>
          <w:rFonts w:ascii="CAIXA Std Book" w:hAnsi="CAIXA Std Book"/>
          <w:color w:val="005CA9"/>
          <w:sz w:val="20"/>
          <w:szCs w:val="20"/>
        </w:rPr>
        <w:t>Henriete</w:t>
      </w:r>
      <w:proofErr w:type="spellEnd"/>
      <w:r w:rsidRPr="00E20D21">
        <w:rPr>
          <w:rFonts w:ascii="CAIXA Std Book" w:hAnsi="CAIXA Std Book"/>
          <w:color w:val="005CA9"/>
          <w:sz w:val="20"/>
          <w:szCs w:val="20"/>
        </w:rPr>
        <w:t xml:space="preserve"> Alexandra Sartori Bernabé</w:t>
      </w:r>
      <w:r w:rsidR="0031241E" w:rsidRPr="00E20D21">
        <w:rPr>
          <w:rFonts w:ascii="CAIXA Std Book" w:hAnsi="CAIXA Std Book"/>
          <w:color w:val="005CA9"/>
          <w:sz w:val="20"/>
          <w:szCs w:val="20"/>
        </w:rPr>
        <w:tab/>
      </w:r>
      <w:r w:rsidR="009F70DA" w:rsidRPr="00E20D21">
        <w:rPr>
          <w:rFonts w:ascii="CAIXA Std Book" w:hAnsi="CAIXA Std Book"/>
          <w:color w:val="005CA9"/>
          <w:sz w:val="20"/>
          <w:szCs w:val="20"/>
        </w:rPr>
        <w:t>Inês da Silva Magalhães</w:t>
      </w:r>
    </w:p>
    <w:p w14:paraId="7EEA0709"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Vice-presidente</w:t>
      </w:r>
      <w:r w:rsidRPr="00E20D21">
        <w:rPr>
          <w:rFonts w:ascii="CAIXA Std Book" w:hAnsi="CAIXA Std Book"/>
          <w:color w:val="005CA9"/>
          <w:sz w:val="20"/>
          <w:szCs w:val="20"/>
        </w:rPr>
        <w:tab/>
        <w:t>Vice-presidente</w:t>
      </w:r>
    </w:p>
    <w:p w14:paraId="731CDB2E" w14:textId="77777777" w:rsidR="0031241E" w:rsidRPr="00E20D21"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51157BE" w14:textId="77777777" w:rsidR="0031241E" w:rsidRPr="00E20D21"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755FDA61"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7949AA94"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A21ECF9" w14:textId="7D793A3A" w:rsidR="0031241E" w:rsidRPr="00E20D21" w:rsidRDefault="00503317"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Laércio Roberto Lemos de Souza</w:t>
      </w:r>
      <w:r w:rsidR="0031241E" w:rsidRPr="00E20D21">
        <w:rPr>
          <w:rFonts w:ascii="CAIXA Std Book" w:hAnsi="CAIXA Std Book"/>
          <w:color w:val="005CA9"/>
          <w:sz w:val="20"/>
          <w:szCs w:val="20"/>
        </w:rPr>
        <w:tab/>
      </w:r>
      <w:r w:rsidR="002A07A7" w:rsidRPr="00E20D21">
        <w:rPr>
          <w:rFonts w:ascii="CAIXA Std Book" w:hAnsi="CAIXA Std Book"/>
          <w:color w:val="005CA9"/>
          <w:sz w:val="20"/>
          <w:szCs w:val="20"/>
        </w:rPr>
        <w:t>Marconi Nogueira Plácido</w:t>
      </w:r>
    </w:p>
    <w:p w14:paraId="079827E4" w14:textId="6C26E411" w:rsidR="00263553"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Vice-presidente</w:t>
      </w:r>
      <w:r w:rsidRPr="00E20D21">
        <w:rPr>
          <w:rFonts w:ascii="CAIXA Std Book" w:hAnsi="CAIXA Std Book"/>
          <w:color w:val="005CA9"/>
          <w:sz w:val="20"/>
          <w:szCs w:val="20"/>
        </w:rPr>
        <w:tab/>
        <w:t>Vice-presidente</w:t>
      </w:r>
      <w:r w:rsidR="0094546B" w:rsidRPr="00E20D21">
        <w:rPr>
          <w:rFonts w:ascii="CAIXA Std Book" w:hAnsi="CAIXA Std Book"/>
          <w:color w:val="005CA9"/>
          <w:sz w:val="20"/>
          <w:szCs w:val="20"/>
        </w:rPr>
        <w:t xml:space="preserve"> em exercício</w:t>
      </w:r>
    </w:p>
    <w:p w14:paraId="0FAE62D7" w14:textId="52BB8B5C"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30128D3A"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52C0A99C"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8EB0000" w14:textId="77777777" w:rsidR="001A6067" w:rsidRPr="00E20D21" w:rsidRDefault="001A6067" w:rsidP="001A6067">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4437A0B6" w14:textId="7A1AC48D" w:rsidR="0031241E" w:rsidRPr="00E20D21" w:rsidRDefault="00EA78BD" w:rsidP="001A6067">
      <w:pPr>
        <w:rPr>
          <w:rFonts w:ascii="CAIXA Std Book" w:hAnsi="CAIXA Std Book"/>
          <w:color w:val="005CA9"/>
          <w:sz w:val="20"/>
          <w:szCs w:val="20"/>
        </w:rPr>
      </w:pPr>
      <w:r w:rsidRPr="00E20D21">
        <w:rPr>
          <w:rFonts w:ascii="CAIXA Std Book" w:hAnsi="CAIXA Std Book"/>
          <w:color w:val="005CA9"/>
          <w:sz w:val="20"/>
          <w:szCs w:val="20"/>
        </w:rPr>
        <w:t>Marcos Brasiliano Rosa</w:t>
      </w:r>
      <w:r w:rsidR="006513D5" w:rsidRPr="00E20D21">
        <w:rPr>
          <w:rFonts w:ascii="CAIXA Std Book" w:hAnsi="CAIXA Std Book"/>
          <w:color w:val="005CA9"/>
          <w:sz w:val="20"/>
          <w:szCs w:val="20"/>
        </w:rPr>
        <w:tab/>
      </w:r>
      <w:r w:rsidR="001A6067" w:rsidRPr="00E20D21">
        <w:rPr>
          <w:rFonts w:ascii="CAIXA Std Book" w:hAnsi="CAIXA Std Book"/>
          <w:color w:val="005CA9"/>
          <w:sz w:val="20"/>
          <w:szCs w:val="20"/>
        </w:rPr>
        <w:tab/>
      </w:r>
      <w:r w:rsidR="001A6067" w:rsidRPr="00E20D21">
        <w:rPr>
          <w:rFonts w:ascii="CAIXA Std Book" w:hAnsi="CAIXA Std Book"/>
          <w:color w:val="005CA9"/>
          <w:sz w:val="20"/>
          <w:szCs w:val="20"/>
        </w:rPr>
        <w:tab/>
      </w:r>
      <w:r w:rsidR="001A6067" w:rsidRPr="00E20D21">
        <w:rPr>
          <w:rFonts w:ascii="CAIXA Std Book" w:hAnsi="CAIXA Std Book"/>
          <w:color w:val="005CA9"/>
          <w:sz w:val="20"/>
          <w:szCs w:val="20"/>
        </w:rPr>
        <w:tab/>
      </w:r>
      <w:r w:rsidR="001A6067" w:rsidRPr="00E20D21">
        <w:rPr>
          <w:rFonts w:ascii="CAIXA Std Book" w:hAnsi="CAIXA Std Book"/>
          <w:color w:val="005CA9"/>
          <w:sz w:val="20"/>
          <w:szCs w:val="20"/>
        </w:rPr>
        <w:tab/>
      </w:r>
      <w:r w:rsidR="0025051C" w:rsidRPr="00E20D21">
        <w:rPr>
          <w:rFonts w:ascii="CAIXA Std Book" w:hAnsi="CAIXA Std Book"/>
          <w:color w:val="005CA9"/>
          <w:sz w:val="20"/>
          <w:szCs w:val="20"/>
        </w:rPr>
        <w:t>Paulo Rodrigo De Lemos Lopes</w:t>
      </w:r>
      <w:r w:rsidR="0031241E" w:rsidRPr="00E20D21">
        <w:rPr>
          <w:rFonts w:ascii="CAIXA Std Book" w:hAnsi="CAIXA Std Book"/>
          <w:color w:val="005CA9"/>
          <w:sz w:val="20"/>
          <w:szCs w:val="20"/>
        </w:rPr>
        <w:tab/>
        <w:t xml:space="preserve"> </w:t>
      </w:r>
    </w:p>
    <w:p w14:paraId="251D3432" w14:textId="3C20CE0A" w:rsidR="0031241E" w:rsidRPr="00E20D21" w:rsidRDefault="001A6067" w:rsidP="001A6067">
      <w:pPr>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Vice-Presidente</w:t>
      </w:r>
      <w:r w:rsidRPr="00E20D21">
        <w:rPr>
          <w:rFonts w:ascii="CAIXA Std Book" w:hAnsi="CAIXA Std Book"/>
          <w:color w:val="005CA9"/>
          <w:sz w:val="20"/>
          <w:szCs w:val="20"/>
        </w:rPr>
        <w:tab/>
      </w:r>
      <w:r w:rsidRPr="00E20D21">
        <w:rPr>
          <w:rFonts w:ascii="CAIXA Std Book" w:hAnsi="CAIXA Std Book"/>
          <w:color w:val="005CA9"/>
          <w:sz w:val="20"/>
          <w:szCs w:val="20"/>
        </w:rPr>
        <w:tab/>
      </w:r>
      <w:r w:rsidRPr="00E20D21">
        <w:rPr>
          <w:rFonts w:ascii="CAIXA Std Book" w:hAnsi="CAIXA Std Book"/>
          <w:color w:val="005CA9"/>
          <w:sz w:val="20"/>
          <w:szCs w:val="20"/>
        </w:rPr>
        <w:tab/>
      </w:r>
      <w:r w:rsidRPr="00E20D21">
        <w:rPr>
          <w:rFonts w:ascii="CAIXA Std Book" w:hAnsi="CAIXA Std Book"/>
          <w:color w:val="005CA9"/>
          <w:sz w:val="20"/>
          <w:szCs w:val="20"/>
        </w:rPr>
        <w:tab/>
      </w:r>
      <w:r w:rsidRPr="00E20D21">
        <w:rPr>
          <w:rFonts w:ascii="CAIXA Std Book" w:hAnsi="CAIXA Std Book"/>
          <w:color w:val="005CA9"/>
          <w:sz w:val="20"/>
          <w:szCs w:val="20"/>
        </w:rPr>
        <w:tab/>
      </w:r>
      <w:r w:rsidR="0031241E" w:rsidRPr="00E20D21">
        <w:rPr>
          <w:rFonts w:ascii="CAIXA Std Book" w:hAnsi="CAIXA Std Book"/>
          <w:color w:val="005CA9"/>
          <w:sz w:val="20"/>
          <w:szCs w:val="20"/>
        </w:rPr>
        <w:t>Vice-presidente</w:t>
      </w:r>
      <w:r w:rsidR="0031241E" w:rsidRPr="00E20D21">
        <w:rPr>
          <w:rFonts w:ascii="CAIXA Std Book" w:hAnsi="CAIXA Std Book"/>
          <w:color w:val="005CA9"/>
          <w:sz w:val="20"/>
          <w:szCs w:val="20"/>
        </w:rPr>
        <w:tab/>
      </w:r>
    </w:p>
    <w:p w14:paraId="6C681FFA"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719FB466"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6D8B38E"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26D03DD" w14:textId="77777777" w:rsidR="0031241E" w:rsidRPr="00E20D21"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3A62659F" w14:textId="6C99F1C4" w:rsidR="004E0EBE" w:rsidRPr="00E20D21" w:rsidRDefault="00622686" w:rsidP="004E0EB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Saulo Farhat Paiva</w:t>
      </w:r>
      <w:r w:rsidR="001A6067" w:rsidRPr="00E20D21">
        <w:rPr>
          <w:rFonts w:ascii="CAIXA Std Book" w:hAnsi="CAIXA Std Book"/>
          <w:color w:val="005CA9"/>
          <w:sz w:val="20"/>
          <w:szCs w:val="20"/>
        </w:rPr>
        <w:tab/>
      </w:r>
      <w:r w:rsidR="00675B9A" w:rsidRPr="00E20D21">
        <w:rPr>
          <w:rFonts w:ascii="CAIXA Std Book" w:hAnsi="CAIXA Std Book"/>
          <w:color w:val="005CA9"/>
          <w:sz w:val="20"/>
          <w:szCs w:val="20"/>
        </w:rPr>
        <w:t>T</w:t>
      </w:r>
      <w:r w:rsidR="003D4676" w:rsidRPr="00E20D21">
        <w:rPr>
          <w:rFonts w:ascii="CAIXA Std Book" w:hAnsi="CAIXA Std Book"/>
          <w:color w:val="005CA9"/>
          <w:sz w:val="20"/>
          <w:szCs w:val="20"/>
        </w:rPr>
        <w:t>iago Cordeiro de Oliveira</w:t>
      </w:r>
      <w:r w:rsidR="0031241E" w:rsidRPr="00E20D21">
        <w:rPr>
          <w:rFonts w:ascii="CAIXA Std Book" w:hAnsi="CAIXA Std Book"/>
          <w:color w:val="005CA9"/>
          <w:sz w:val="20"/>
          <w:szCs w:val="20"/>
        </w:rPr>
        <w:tab/>
      </w:r>
    </w:p>
    <w:p w14:paraId="6BE165B7" w14:textId="449F51CC" w:rsidR="004E0EBE" w:rsidRPr="00E20D21" w:rsidRDefault="001A6067" w:rsidP="004E0EB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Vice-presidente</w:t>
      </w:r>
      <w:r w:rsidR="00DF2237" w:rsidRPr="00E20D21">
        <w:rPr>
          <w:rFonts w:ascii="CAIXA Std Book" w:hAnsi="CAIXA Std Book"/>
          <w:color w:val="005CA9"/>
          <w:sz w:val="20"/>
          <w:szCs w:val="20"/>
        </w:rPr>
        <w:t xml:space="preserve"> em exercício</w:t>
      </w:r>
      <w:r w:rsidRPr="00E20D21">
        <w:rPr>
          <w:rFonts w:ascii="CAIXA Std Book" w:hAnsi="CAIXA Std Book"/>
          <w:color w:val="005CA9"/>
          <w:sz w:val="20"/>
          <w:szCs w:val="20"/>
        </w:rPr>
        <w:tab/>
      </w:r>
      <w:r w:rsidR="004E0EBE" w:rsidRPr="00E20D21">
        <w:rPr>
          <w:rFonts w:ascii="CAIXA Std Book" w:hAnsi="CAIXA Std Book"/>
          <w:color w:val="005CA9"/>
          <w:sz w:val="20"/>
          <w:szCs w:val="20"/>
        </w:rPr>
        <w:t>Vice-presidente</w:t>
      </w:r>
      <w:r w:rsidR="00DF2237" w:rsidRPr="00E20D21">
        <w:rPr>
          <w:rFonts w:ascii="CAIXA Std Book" w:hAnsi="CAIXA Std Book"/>
          <w:color w:val="005CA9"/>
          <w:sz w:val="20"/>
          <w:szCs w:val="20"/>
        </w:rPr>
        <w:t xml:space="preserve"> em exercício</w:t>
      </w:r>
      <w:r w:rsidR="004E0EBE" w:rsidRPr="00E20D21">
        <w:rPr>
          <w:rFonts w:ascii="CAIXA Std Book" w:hAnsi="CAIXA Std Book"/>
          <w:color w:val="005CA9"/>
          <w:sz w:val="20"/>
          <w:szCs w:val="20"/>
        </w:rPr>
        <w:tab/>
      </w:r>
    </w:p>
    <w:p w14:paraId="4E008CAD" w14:textId="77777777" w:rsidR="00384044" w:rsidRPr="00E20D21" w:rsidRDefault="00384044"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0012BECF" w14:textId="77777777" w:rsidR="00D57718" w:rsidRPr="00E20D21" w:rsidRDefault="00D57718"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5293754F" w14:textId="77777777" w:rsidR="00384044" w:rsidRPr="00E20D21" w:rsidRDefault="00384044"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3AF7A06E" w14:textId="77777777" w:rsidR="00F47EA2" w:rsidRPr="00E20D21" w:rsidRDefault="00F47EA2" w:rsidP="007D1B39">
      <w:pPr>
        <w:rPr>
          <w:rFonts w:ascii="CAIXA Std Book" w:hAnsi="CAIXA Std Book"/>
          <w:color w:val="005CA9"/>
          <w:sz w:val="20"/>
          <w:szCs w:val="20"/>
        </w:rPr>
      </w:pPr>
    </w:p>
    <w:p w14:paraId="4CA0C730" w14:textId="6E2C77AA" w:rsidR="007D1B39" w:rsidRPr="00E20D21" w:rsidRDefault="007D1B39" w:rsidP="007D1B39">
      <w:pPr>
        <w:rPr>
          <w:rFonts w:ascii="CAIXA Std Book" w:hAnsi="CAIXA Std Book"/>
          <w:color w:val="005CA9"/>
          <w:sz w:val="20"/>
          <w:szCs w:val="20"/>
        </w:rPr>
      </w:pPr>
      <w:r w:rsidRPr="00E20D21">
        <w:rPr>
          <w:rFonts w:ascii="CAIXA Std Book" w:hAnsi="CAIXA Std Book"/>
          <w:color w:val="005CA9"/>
          <w:sz w:val="20"/>
          <w:szCs w:val="20"/>
        </w:rPr>
        <w:t xml:space="preserve">Juliana </w:t>
      </w:r>
      <w:proofErr w:type="spellStart"/>
      <w:r w:rsidRPr="00E20D21">
        <w:rPr>
          <w:rFonts w:ascii="CAIXA Std Book" w:hAnsi="CAIXA Std Book"/>
          <w:color w:val="005CA9"/>
          <w:sz w:val="20"/>
          <w:szCs w:val="20"/>
        </w:rPr>
        <w:t>Grigol</w:t>
      </w:r>
      <w:proofErr w:type="spellEnd"/>
      <w:r w:rsidRPr="00E20D21">
        <w:rPr>
          <w:rFonts w:ascii="CAIXA Std Book" w:hAnsi="CAIXA Std Book"/>
          <w:color w:val="005CA9"/>
          <w:sz w:val="20"/>
          <w:szCs w:val="20"/>
        </w:rPr>
        <w:t xml:space="preserve"> </w:t>
      </w:r>
      <w:proofErr w:type="spellStart"/>
      <w:r w:rsidRPr="00E20D21">
        <w:rPr>
          <w:rFonts w:ascii="CAIXA Std Book" w:hAnsi="CAIXA Std Book"/>
          <w:color w:val="005CA9"/>
          <w:sz w:val="20"/>
          <w:szCs w:val="20"/>
        </w:rPr>
        <w:t>Fonsechi</w:t>
      </w:r>
      <w:proofErr w:type="spellEnd"/>
    </w:p>
    <w:p w14:paraId="0714B7E1" w14:textId="7DC6D939" w:rsidR="00D023E9" w:rsidRPr="00E20D21" w:rsidRDefault="00D023E9" w:rsidP="007D1B39">
      <w:pPr>
        <w:rPr>
          <w:rFonts w:ascii="CAIXA Std Book" w:hAnsi="CAIXA Std Book"/>
          <w:color w:val="005CA9"/>
          <w:sz w:val="20"/>
          <w:szCs w:val="20"/>
        </w:rPr>
      </w:pPr>
      <w:r w:rsidRPr="00E20D21">
        <w:rPr>
          <w:rFonts w:ascii="CAIXA Std Book" w:hAnsi="CAIXA Std Book"/>
          <w:color w:val="005CA9"/>
          <w:sz w:val="20"/>
          <w:szCs w:val="20"/>
        </w:rPr>
        <w:t xml:space="preserve">Diretora de </w:t>
      </w:r>
      <w:r w:rsidR="007B39B3">
        <w:rPr>
          <w:rFonts w:ascii="CAIXA Std Book" w:hAnsi="CAIXA Std Book"/>
          <w:color w:val="005CA9"/>
          <w:sz w:val="20"/>
          <w:szCs w:val="20"/>
        </w:rPr>
        <w:t xml:space="preserve">Contadoria e </w:t>
      </w:r>
      <w:r w:rsidRPr="00E20D21">
        <w:rPr>
          <w:rFonts w:ascii="CAIXA Std Book" w:hAnsi="CAIXA Std Book"/>
          <w:color w:val="005CA9"/>
          <w:sz w:val="20"/>
          <w:szCs w:val="20"/>
        </w:rPr>
        <w:t>Controladoria</w:t>
      </w:r>
    </w:p>
    <w:p w14:paraId="354AF0A5" w14:textId="77777777" w:rsidR="007D1B39" w:rsidRPr="00E20D21" w:rsidRDefault="007D1B39" w:rsidP="007D1B39">
      <w:pPr>
        <w:rPr>
          <w:rFonts w:ascii="CAIXA Std Book" w:hAnsi="CAIXA Std Book"/>
          <w:color w:val="005CA9"/>
          <w:sz w:val="20"/>
          <w:szCs w:val="20"/>
        </w:rPr>
      </w:pPr>
    </w:p>
    <w:p w14:paraId="6347D194" w14:textId="77777777" w:rsidR="002C5E4A" w:rsidRPr="00E20D21" w:rsidRDefault="002C5E4A" w:rsidP="00F6722D">
      <w:pPr>
        <w:autoSpaceDE w:val="0"/>
        <w:autoSpaceDN w:val="0"/>
        <w:adjustRightInd w:val="0"/>
        <w:jc w:val="both"/>
        <w:rPr>
          <w:rFonts w:ascii="CAIXA Std Book" w:hAnsi="CAIXA Std Book"/>
          <w:color w:val="005CA9"/>
          <w:sz w:val="20"/>
          <w:szCs w:val="20"/>
        </w:rPr>
      </w:pPr>
    </w:p>
    <w:p w14:paraId="40666BCC" w14:textId="77777777" w:rsidR="001A6067" w:rsidRPr="00E20D21" w:rsidRDefault="001A6067" w:rsidP="00F6722D">
      <w:pPr>
        <w:autoSpaceDE w:val="0"/>
        <w:autoSpaceDN w:val="0"/>
        <w:adjustRightInd w:val="0"/>
        <w:jc w:val="both"/>
        <w:rPr>
          <w:rFonts w:ascii="CAIXA Std Book" w:hAnsi="CAIXA Std Book"/>
          <w:color w:val="005CA9"/>
          <w:sz w:val="20"/>
          <w:szCs w:val="20"/>
        </w:rPr>
      </w:pPr>
    </w:p>
    <w:p w14:paraId="6480C75C" w14:textId="77777777" w:rsidR="00F6722D" w:rsidRPr="00E20D21" w:rsidRDefault="00F6722D"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3B6D02F1" w14:textId="67E34BC1" w:rsidR="00F6722D" w:rsidRPr="00E20D21" w:rsidRDefault="00582196" w:rsidP="00F6722D">
      <w:pPr>
        <w:rPr>
          <w:rFonts w:ascii="CAIXA Std Book" w:hAnsi="CAIXA Std Book"/>
          <w:color w:val="005CA9"/>
          <w:sz w:val="20"/>
          <w:szCs w:val="20"/>
        </w:rPr>
      </w:pPr>
      <w:r w:rsidRPr="00E20D21">
        <w:rPr>
          <w:rFonts w:ascii="CAIXA Std Book" w:hAnsi="CAIXA Std Book"/>
          <w:color w:val="005CA9"/>
          <w:sz w:val="20"/>
          <w:szCs w:val="20"/>
        </w:rPr>
        <w:t>C</w:t>
      </w:r>
      <w:r w:rsidR="00B21E64" w:rsidRPr="00E20D21">
        <w:rPr>
          <w:rFonts w:ascii="CAIXA Std Book" w:hAnsi="CAIXA Std Book"/>
          <w:color w:val="005CA9"/>
          <w:sz w:val="20"/>
          <w:szCs w:val="20"/>
        </w:rPr>
        <w:t>e</w:t>
      </w:r>
      <w:r w:rsidRPr="00E20D21">
        <w:rPr>
          <w:rFonts w:ascii="CAIXA Std Book" w:hAnsi="CAIXA Std Book"/>
          <w:color w:val="005CA9"/>
          <w:sz w:val="20"/>
          <w:szCs w:val="20"/>
        </w:rPr>
        <w:t xml:space="preserve">lio </w:t>
      </w:r>
      <w:proofErr w:type="spellStart"/>
      <w:r w:rsidRPr="00E20D21">
        <w:rPr>
          <w:rFonts w:ascii="CAIXA Std Book" w:hAnsi="CAIXA Std Book"/>
          <w:color w:val="005CA9"/>
          <w:sz w:val="20"/>
          <w:szCs w:val="20"/>
        </w:rPr>
        <w:t>Cesario</w:t>
      </w:r>
      <w:proofErr w:type="spellEnd"/>
      <w:r w:rsidRPr="00E20D21">
        <w:rPr>
          <w:rFonts w:ascii="CAIXA Std Book" w:hAnsi="CAIXA Std Book"/>
          <w:color w:val="005CA9"/>
          <w:sz w:val="20"/>
          <w:szCs w:val="20"/>
        </w:rPr>
        <w:t xml:space="preserve"> de Torres</w:t>
      </w:r>
    </w:p>
    <w:p w14:paraId="6016AE51" w14:textId="77777777" w:rsidR="00F6722D" w:rsidRPr="00E20D21" w:rsidRDefault="00F6722D" w:rsidP="00F6722D">
      <w:pPr>
        <w:autoSpaceDE w:val="0"/>
        <w:autoSpaceDN w:val="0"/>
        <w:adjustRightInd w:val="0"/>
        <w:jc w:val="both"/>
        <w:rPr>
          <w:rFonts w:ascii="CAIXA Std Book" w:hAnsi="CAIXA Std Book"/>
          <w:color w:val="005CA9"/>
          <w:sz w:val="20"/>
          <w:szCs w:val="20"/>
        </w:rPr>
      </w:pPr>
      <w:r w:rsidRPr="00E20D21">
        <w:rPr>
          <w:rFonts w:ascii="CAIXA Std Book" w:hAnsi="CAIXA Std Book"/>
          <w:color w:val="005CA9"/>
          <w:sz w:val="20"/>
          <w:szCs w:val="20"/>
        </w:rPr>
        <w:t>Superintendente Nacional</w:t>
      </w:r>
    </w:p>
    <w:p w14:paraId="07122B70" w14:textId="01F1D480" w:rsidR="00B3489E" w:rsidRPr="00E20D21" w:rsidRDefault="00F6722D" w:rsidP="00B3489E">
      <w:pPr>
        <w:autoSpaceDE w:val="0"/>
        <w:autoSpaceDN w:val="0"/>
        <w:adjustRightInd w:val="0"/>
        <w:jc w:val="both"/>
        <w:rPr>
          <w:rFonts w:ascii="CAIXA Std Book" w:hAnsi="CAIXA Std Book"/>
          <w:color w:val="005CA9"/>
          <w:sz w:val="16"/>
          <w:szCs w:val="16"/>
        </w:rPr>
      </w:pPr>
      <w:r w:rsidRPr="00E20D21">
        <w:rPr>
          <w:rFonts w:ascii="CAIXA Std Book" w:hAnsi="CAIXA Std Book"/>
          <w:color w:val="005CA9"/>
          <w:sz w:val="20"/>
          <w:szCs w:val="20"/>
        </w:rPr>
        <w:t>Contador CRC</w:t>
      </w:r>
      <w:r w:rsidR="003178DC" w:rsidRPr="00E20D21">
        <w:rPr>
          <w:rFonts w:ascii="CAIXA Std Book" w:hAnsi="CAIXA Std Book"/>
          <w:color w:val="005CA9"/>
          <w:sz w:val="20"/>
          <w:szCs w:val="20"/>
        </w:rPr>
        <w:t>/</w:t>
      </w:r>
      <w:r w:rsidR="00950D92" w:rsidRPr="00E20D21">
        <w:rPr>
          <w:rFonts w:ascii="CAIXA Std Book" w:hAnsi="CAIXA Std Book"/>
          <w:color w:val="005CA9"/>
          <w:sz w:val="20"/>
          <w:szCs w:val="20"/>
        </w:rPr>
        <w:t>GO</w:t>
      </w:r>
      <w:r w:rsidRPr="00E20D21">
        <w:rPr>
          <w:rFonts w:ascii="CAIXA Std Book" w:hAnsi="CAIXA Std Book"/>
          <w:color w:val="005CA9"/>
          <w:sz w:val="20"/>
          <w:szCs w:val="20"/>
        </w:rPr>
        <w:t xml:space="preserve"> </w:t>
      </w:r>
      <w:r w:rsidR="00950D92" w:rsidRPr="00E20D21">
        <w:rPr>
          <w:rFonts w:ascii="CAIXA Std Book" w:hAnsi="CAIXA Std Book"/>
          <w:color w:val="005CA9"/>
          <w:sz w:val="20"/>
          <w:szCs w:val="20"/>
        </w:rPr>
        <w:t>0095</w:t>
      </w:r>
      <w:r w:rsidR="0077307F" w:rsidRPr="00E20D21">
        <w:rPr>
          <w:rFonts w:ascii="CAIXA Std Book" w:hAnsi="CAIXA Std Book"/>
          <w:color w:val="005CA9"/>
          <w:sz w:val="20"/>
          <w:szCs w:val="20"/>
        </w:rPr>
        <w:t>77</w:t>
      </w:r>
      <w:r w:rsidRPr="00E20D21">
        <w:rPr>
          <w:rFonts w:ascii="CAIXA Std Book" w:hAnsi="CAIXA Std Book"/>
          <w:color w:val="005CA9"/>
          <w:sz w:val="20"/>
          <w:szCs w:val="20"/>
        </w:rPr>
        <w:t>/</w:t>
      </w:r>
      <w:r w:rsidR="003C37EB" w:rsidRPr="00E20D21">
        <w:rPr>
          <w:rFonts w:ascii="CAIXA Std Book" w:hAnsi="CAIXA Std Book"/>
          <w:color w:val="005CA9"/>
          <w:sz w:val="20"/>
          <w:szCs w:val="20"/>
        </w:rPr>
        <w:t>O</w:t>
      </w:r>
      <w:r w:rsidRPr="00E20D21">
        <w:rPr>
          <w:rFonts w:ascii="CAIXA Std Book" w:hAnsi="CAIXA Std Book"/>
          <w:color w:val="005CA9"/>
          <w:sz w:val="20"/>
          <w:szCs w:val="20"/>
        </w:rPr>
        <w:t>-</w:t>
      </w:r>
      <w:r w:rsidR="00B5111F" w:rsidRPr="00E20D21">
        <w:rPr>
          <w:rFonts w:ascii="CAIXA Std Book" w:hAnsi="CAIXA Std Book"/>
          <w:color w:val="005CA9"/>
          <w:sz w:val="20"/>
          <w:szCs w:val="20"/>
        </w:rPr>
        <w:t>1</w:t>
      </w:r>
      <w:r w:rsidR="009A3F77" w:rsidRPr="00E20D21">
        <w:rPr>
          <w:rFonts w:ascii="CAIXA Std Book" w:hAnsi="CAIXA Std Book"/>
          <w:color w:val="005CA9"/>
          <w:sz w:val="20"/>
          <w:szCs w:val="20"/>
        </w:rPr>
        <w:t>-</w:t>
      </w:r>
      <w:r w:rsidR="00B5111F" w:rsidRPr="00E20D21">
        <w:rPr>
          <w:rFonts w:ascii="CAIXA Std Book" w:hAnsi="CAIXA Std Book"/>
          <w:color w:val="005CA9"/>
          <w:sz w:val="20"/>
          <w:szCs w:val="20"/>
        </w:rPr>
        <w:t>T</w:t>
      </w:r>
      <w:r w:rsidRPr="00E20D21">
        <w:rPr>
          <w:rFonts w:ascii="CAIXA Std Book" w:hAnsi="CAIXA Std Book"/>
          <w:color w:val="005CA9"/>
          <w:sz w:val="20"/>
          <w:szCs w:val="20"/>
        </w:rPr>
        <w:t>-DF</w:t>
      </w:r>
      <w:bookmarkEnd w:id="105"/>
      <w:bookmarkEnd w:id="106"/>
    </w:p>
    <w:p w14:paraId="5CBD6B43" w14:textId="77777777" w:rsidR="00133736" w:rsidRDefault="00133736" w:rsidP="0031241E">
      <w:pPr>
        <w:tabs>
          <w:tab w:val="left" w:pos="4921"/>
          <w:tab w:val="decimal" w:pos="8948"/>
        </w:tabs>
        <w:suppressAutoHyphens/>
        <w:autoSpaceDE w:val="0"/>
        <w:autoSpaceDN w:val="0"/>
        <w:adjustRightInd w:val="0"/>
        <w:jc w:val="both"/>
        <w:rPr>
          <w:rFonts w:ascii="CAIXA Std Book" w:hAnsi="CAIXA Std Book"/>
          <w:color w:val="005CA9"/>
          <w:sz w:val="16"/>
          <w:szCs w:val="16"/>
        </w:rPr>
        <w:sectPr w:rsidR="00133736" w:rsidSect="001F0E96">
          <w:headerReference w:type="default" r:id="rId84"/>
          <w:footerReference w:type="default" r:id="rId85"/>
          <w:headerReference w:type="first" r:id="rId86"/>
          <w:footerReference w:type="first" r:id="rId87"/>
          <w:pgSz w:w="11907" w:h="16840" w:code="9"/>
          <w:pgMar w:top="1440" w:right="1080" w:bottom="1440" w:left="1080" w:header="1134" w:footer="709" w:gutter="0"/>
          <w:cols w:space="708"/>
          <w:titlePg/>
          <w:docGrid w:linePitch="360"/>
        </w:sectPr>
      </w:pPr>
    </w:p>
    <w:p w14:paraId="767BB145" w14:textId="562549A6" w:rsidR="00BF11D3" w:rsidRDefault="00BF11D3" w:rsidP="00BF11D3">
      <w:pPr>
        <w:pStyle w:val="Ttulo1"/>
      </w:pPr>
      <w:bookmarkStart w:id="107" w:name="_Toc175067977"/>
      <w:r>
        <w:lastRenderedPageBreak/>
        <w:t>Resumo do Relatório do Comitê de Auditoria</w:t>
      </w:r>
      <w:bookmarkEnd w:id="107"/>
    </w:p>
    <w:p w14:paraId="79CB0E38" w14:textId="77777777" w:rsidR="00BC1B7E" w:rsidRPr="00BC1B7E" w:rsidRDefault="00BC1B7E" w:rsidP="00BC1B7E">
      <w:pPr>
        <w:autoSpaceDE w:val="0"/>
        <w:autoSpaceDN w:val="0"/>
        <w:adjustRightInd w:val="0"/>
        <w:spacing w:line="330" w:lineRule="exact"/>
        <w:jc w:val="center"/>
        <w:rPr>
          <w:rFonts w:ascii="Futura Lt BT" w:eastAsia="Times New Roman" w:hAnsi="Futura Lt BT" w:cs="Arial"/>
          <w:b/>
          <w:bCs/>
          <w:sz w:val="22"/>
          <w:szCs w:val="22"/>
        </w:rPr>
      </w:pPr>
      <w:r w:rsidRPr="00BC1B7E">
        <w:rPr>
          <w:rFonts w:ascii="Futura Lt BT" w:eastAsia="Times New Roman" w:hAnsi="Futura Lt BT" w:cs="Arial"/>
          <w:b/>
          <w:bCs/>
        </w:rPr>
        <w:t>RELATÓRIO DO COMITÊ DE AUDITORIA</w:t>
      </w:r>
    </w:p>
    <w:p w14:paraId="7DED8110" w14:textId="77777777" w:rsidR="00BC1B7E" w:rsidRPr="00BC1B7E" w:rsidRDefault="00BC1B7E" w:rsidP="00BC1B7E">
      <w:pPr>
        <w:autoSpaceDE w:val="0"/>
        <w:autoSpaceDN w:val="0"/>
        <w:adjustRightInd w:val="0"/>
        <w:jc w:val="center"/>
        <w:rPr>
          <w:rFonts w:ascii="Futura Lt BT" w:eastAsia="Times New Roman" w:hAnsi="Futura Lt BT" w:cs="Arial"/>
          <w:b/>
          <w:bCs/>
        </w:rPr>
      </w:pPr>
      <w:r w:rsidRPr="00BC1B7E">
        <w:rPr>
          <w:rFonts w:ascii="Futura Lt BT" w:eastAsia="Times New Roman" w:hAnsi="Futura Lt BT" w:cs="Arial"/>
          <w:b/>
          <w:bCs/>
        </w:rPr>
        <w:t>30 DE JUNHO DE 2024</w:t>
      </w:r>
    </w:p>
    <w:p w14:paraId="4E5DBCFF" w14:textId="77777777" w:rsidR="00BF11D3" w:rsidRDefault="00BF11D3" w:rsidP="00BF11D3"/>
    <w:p w14:paraId="4A3AF15A" w14:textId="77777777" w:rsidR="00BC1B7E" w:rsidRDefault="00BC1B7E" w:rsidP="00BF11D3"/>
    <w:p w14:paraId="3BF23F9F"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1</w:t>
      </w:r>
      <w:r w:rsidRPr="00566AC1">
        <w:rPr>
          <w:rFonts w:ascii="Futura Lt BT" w:eastAsia="Times New Roman" w:hAnsi="Futura Lt BT" w:cs="Arial"/>
          <w:b/>
          <w:bCs/>
        </w:rPr>
        <w:tab/>
      </w:r>
      <w:r w:rsidRPr="00566AC1">
        <w:rPr>
          <w:rFonts w:ascii="Futura Lt BT" w:eastAsia="Times New Roman" w:hAnsi="Futura Lt BT" w:cs="Arial"/>
          <w:b/>
          <w:bCs/>
        </w:rPr>
        <w:tab/>
        <w:t>Introdução</w:t>
      </w:r>
    </w:p>
    <w:p w14:paraId="577F9745"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O Comitê de Auditoria da CAIXA Econômica Federal (COAUD ou Comitê), órgão estatutário vinculado diretamente ao Conselho de Administração (CA), exerce suas funções de forma unificada para a Instituição Financeira Caixa Econômica Federal (CAIXA) e para as subsidiárias que adotaram o regime de COAUD único: CAIXA Loterias S.A. e CAIXA </w:t>
      </w:r>
      <w:proofErr w:type="spellStart"/>
      <w:r w:rsidRPr="00566AC1">
        <w:rPr>
          <w:rFonts w:ascii="Futura Lt BT" w:eastAsia="Times New Roman" w:hAnsi="Futura Lt BT" w:cs="Arial"/>
          <w:i/>
          <w:iCs/>
        </w:rPr>
        <w:t>Asset</w:t>
      </w:r>
      <w:proofErr w:type="spellEnd"/>
      <w:r w:rsidRPr="00566AC1">
        <w:rPr>
          <w:rFonts w:ascii="Futura Lt BT" w:eastAsia="Times New Roman" w:hAnsi="Futura Lt BT" w:cs="Arial"/>
        </w:rPr>
        <w:t xml:space="preserve">. O Comitê atua de forma permanente, com autonomia e independência, como órgão de assessoramento ao Conselho de Administração, sem poder decisório ou funções executivas. Suas competências estão definidas pela Lei nº 13.303/2016 (Lei das Estatais), pelo Decreto nº 8.945/2016, pela Resolução Conselho Monetário Nacional (CMN) nº 4.910/2021, pelo Estatuto Social da CAIXA e por seu próprio Regimento Interno, disponível no site </w:t>
      </w:r>
      <w:r w:rsidRPr="00566AC1">
        <w:rPr>
          <w:rFonts w:ascii="Futura Lt BT" w:eastAsia="Times New Roman" w:hAnsi="Futura Lt BT" w:cs="Arial"/>
          <w:sz w:val="21"/>
          <w:szCs w:val="21"/>
        </w:rPr>
        <w:t>https://www.caixa.gov.br/Downloads/caixa-governanca/Regimento_Comite_Auditoria.pdf</w:t>
      </w:r>
      <w:r w:rsidRPr="00566AC1">
        <w:rPr>
          <w:rFonts w:ascii="Futura Lt BT" w:eastAsia="Times New Roman" w:hAnsi="Futura Lt BT" w:cs="Arial"/>
        </w:rPr>
        <w:t xml:space="preserve">. </w:t>
      </w:r>
    </w:p>
    <w:p w14:paraId="54DB0A1B"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rPr>
      </w:pPr>
      <w:r w:rsidRPr="00566AC1">
        <w:rPr>
          <w:rFonts w:ascii="Futura Lt BT" w:eastAsia="Times New Roman" w:hAnsi="Futura Lt BT" w:cs="Arial"/>
        </w:rPr>
        <w:t>O Comitê é composto por quatro participantes independentes, nomeados pelo Conselho de Administração (CA), com mandatos de 3 anos, permitida uma recondução.</w:t>
      </w:r>
    </w:p>
    <w:p w14:paraId="721F980E"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O COAUD tem como principais atribuições acompanhar e avaliar: (i) a qualidade, transparência e integridade das Demonstrações Contábeis; (</w:t>
      </w:r>
      <w:proofErr w:type="spellStart"/>
      <w:r w:rsidRPr="00566AC1">
        <w:rPr>
          <w:rFonts w:ascii="Futura Lt BT" w:eastAsia="Times New Roman" w:hAnsi="Futura Lt BT" w:cs="Arial"/>
        </w:rPr>
        <w:t>ii</w:t>
      </w:r>
      <w:proofErr w:type="spellEnd"/>
      <w:r w:rsidRPr="00566AC1">
        <w:rPr>
          <w:rFonts w:ascii="Futura Lt BT" w:eastAsia="Times New Roman" w:hAnsi="Futura Lt BT" w:cs="Arial"/>
        </w:rPr>
        <w:t>) a independência e qualidade dos trabalhos da Auditoria Independente e da Auditoria Interna; (</w:t>
      </w:r>
      <w:proofErr w:type="spellStart"/>
      <w:r w:rsidRPr="00566AC1">
        <w:rPr>
          <w:rFonts w:ascii="Futura Lt BT" w:eastAsia="Times New Roman" w:hAnsi="Futura Lt BT" w:cs="Arial"/>
        </w:rPr>
        <w:t>iii</w:t>
      </w:r>
      <w:proofErr w:type="spellEnd"/>
      <w:r w:rsidRPr="00566AC1">
        <w:rPr>
          <w:rFonts w:ascii="Futura Lt BT" w:eastAsia="Times New Roman" w:hAnsi="Futura Lt BT" w:cs="Arial"/>
        </w:rPr>
        <w:t>) o cumprimento, pela administração, das recomendações feitas pelos auditores independentes, auditores internos, órgão regulador e demais órgãos de controle; (</w:t>
      </w:r>
      <w:proofErr w:type="spellStart"/>
      <w:r w:rsidRPr="00566AC1">
        <w:rPr>
          <w:rFonts w:ascii="Futura Lt BT" w:eastAsia="Times New Roman" w:hAnsi="Futura Lt BT" w:cs="Arial"/>
        </w:rPr>
        <w:t>iv</w:t>
      </w:r>
      <w:proofErr w:type="spellEnd"/>
      <w:r w:rsidRPr="00566AC1">
        <w:rPr>
          <w:rFonts w:ascii="Futura Lt BT" w:eastAsia="Times New Roman" w:hAnsi="Futura Lt BT" w:cs="Arial"/>
        </w:rPr>
        <w:t>) a efetividade dos controles internos para a mitigação dos riscos relevantes a eles associados; (v) os procedimentos para recepção e tratamento de informações acerca do descumprimento de dispositivos legais e regulamentares; (vi) a correção ou o aprimoramento de políticas, práticas e procedimentos por parte da administração.</w:t>
      </w:r>
    </w:p>
    <w:p w14:paraId="411940A8"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highlight w:val="yellow"/>
        </w:rPr>
      </w:pPr>
    </w:p>
    <w:p w14:paraId="7AE6AB31" w14:textId="77777777" w:rsidR="00BC1B7E" w:rsidRDefault="00BC1B7E">
      <w:pPr>
        <w:rPr>
          <w:rFonts w:ascii="Futura Lt BT" w:eastAsia="Times New Roman" w:hAnsi="Futura Lt BT" w:cs="Arial"/>
          <w:b/>
          <w:bCs/>
        </w:rPr>
      </w:pPr>
      <w:r>
        <w:rPr>
          <w:rFonts w:ascii="Futura Lt BT" w:eastAsia="Times New Roman" w:hAnsi="Futura Lt BT" w:cs="Arial"/>
          <w:b/>
          <w:bCs/>
        </w:rPr>
        <w:br w:type="page"/>
      </w:r>
    </w:p>
    <w:p w14:paraId="00D23258" w14:textId="5249F91D"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lastRenderedPageBreak/>
        <w:t>2</w:t>
      </w:r>
      <w:r w:rsidRPr="00566AC1">
        <w:rPr>
          <w:rFonts w:ascii="Futura Lt BT" w:eastAsia="Times New Roman" w:hAnsi="Futura Lt BT" w:cs="Arial"/>
          <w:b/>
          <w:bCs/>
        </w:rPr>
        <w:tab/>
      </w:r>
      <w:r w:rsidRPr="00566AC1">
        <w:rPr>
          <w:rFonts w:ascii="Futura Lt BT" w:eastAsia="Times New Roman" w:hAnsi="Futura Lt BT" w:cs="Arial"/>
          <w:b/>
          <w:bCs/>
        </w:rPr>
        <w:tab/>
        <w:t>Responsabilidades</w:t>
      </w:r>
    </w:p>
    <w:p w14:paraId="1AE20E1F"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A Administração da CAIXA é responsável pela elaboração das demonstrações contábeis, com base em processos e controles capazes de garantir sua qualidade e integridade. A Administração também é responsável por gerir os riscos, manter o sistema de controles internos efetivo e zelar pela conformidade das atividades em atendimento às normas legais e regulamentares, bem como atender às recomendações dos órgãos de supervisão, de auditoria e de controle.</w:t>
      </w:r>
    </w:p>
    <w:p w14:paraId="6D447EEC"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A KPMG Auditores Independentes é responsável pela auditoria das demonstrações contábeis, individuais e consolidadas da CAIXA, devendo opinar se elas apresentam adequadamente, em todos os aspectos relevantes, a posição patrimonial e financeira da instituição, o desempenho individual e consolidado de suas operações e os seus respectivos fluxos de caixa, de acordo com as práticas contábeis adotadas no Brasil, aplicáveis às instituições autorizadas a funcionar pelo Banco Central do Brasil (Bacen). </w:t>
      </w:r>
    </w:p>
    <w:p w14:paraId="77C609E5"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A Auditoria Interna, diretamente subordinada ao CA, inclui, entre seus trabalhos regulares, a verificação da qualidade e a aderência dos sistemas de controles internos e de gerenciamento de riscos e o cumprimento de políticas e normativos, inclusive aqueles com impacto na elaboração das demonstrações contábeis. A Auditoria interna atua como terceira linha de defesa. </w:t>
      </w:r>
    </w:p>
    <w:p w14:paraId="03769CD7"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O controle interno e a função </w:t>
      </w:r>
      <w:r w:rsidRPr="00566AC1">
        <w:rPr>
          <w:rFonts w:ascii="Futura Lt BT" w:eastAsia="Times New Roman" w:hAnsi="Futura Lt BT" w:cs="Arial"/>
          <w:i/>
          <w:iCs/>
        </w:rPr>
        <w:t>compliance</w:t>
      </w:r>
      <w:r w:rsidRPr="00566AC1">
        <w:rPr>
          <w:rFonts w:ascii="Futura Lt BT" w:eastAsia="Times New Roman" w:hAnsi="Futura Lt BT" w:cs="Arial"/>
        </w:rPr>
        <w:t xml:space="preserve"> atuam de forma continuada para monitoramento da efetividade dos controles internos, para a mitigação dos riscos relevantes e para avaliação do cumprimento das normas legais e regulamentares e das políticas e normativos internos, atuando como segunda linha de defesa.</w:t>
      </w:r>
    </w:p>
    <w:p w14:paraId="786BA750"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O Comitê Independente de Riscos e Capital (CORIS) assessora o CA em suas funções relativas à gestão de riscos e de capital, bem como opina sobre matérias submetidas ao Conselho, em seu âmbito de atuação, de acordo com as atribuições das Resoluções CMN nº 4.557/2017 e 4.926/2021.</w:t>
      </w:r>
    </w:p>
    <w:p w14:paraId="54FEA5A4"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O assessoramento desempenhado pelo COAUD baseia-se, principalmente: (i) nas informações recebidas da Administração, em apresentações realizadas pelas unidades negociais e funcionais, em especial, pelas áreas responsáveis pela elaboração das demonstrações contábeis, gerenciamento de riscos, corregedoria, ouvidoria, integridade, controles internos e conformidade; </w:t>
      </w:r>
      <w:r w:rsidRPr="00566AC1">
        <w:rPr>
          <w:rFonts w:ascii="Futura Lt BT" w:eastAsia="Times New Roman" w:hAnsi="Futura Lt BT" w:cs="Arial"/>
        </w:rPr>
        <w:lastRenderedPageBreak/>
        <w:t>(</w:t>
      </w:r>
      <w:proofErr w:type="spellStart"/>
      <w:r w:rsidRPr="00566AC1">
        <w:rPr>
          <w:rFonts w:ascii="Futura Lt BT" w:eastAsia="Times New Roman" w:hAnsi="Futura Lt BT" w:cs="Arial"/>
        </w:rPr>
        <w:t>ii</w:t>
      </w:r>
      <w:proofErr w:type="spellEnd"/>
      <w:r w:rsidRPr="00566AC1">
        <w:rPr>
          <w:rFonts w:ascii="Futura Lt BT" w:eastAsia="Times New Roman" w:hAnsi="Futura Lt BT" w:cs="Arial"/>
        </w:rPr>
        <w:t>) no resultado dos trabalhos dos auditores independentes e da auditoria interna; (</w:t>
      </w:r>
      <w:proofErr w:type="spellStart"/>
      <w:r w:rsidRPr="00566AC1">
        <w:rPr>
          <w:rFonts w:ascii="Futura Lt BT" w:eastAsia="Times New Roman" w:hAnsi="Futura Lt BT" w:cs="Arial"/>
        </w:rPr>
        <w:t>iii</w:t>
      </w:r>
      <w:proofErr w:type="spellEnd"/>
      <w:r w:rsidRPr="00566AC1">
        <w:rPr>
          <w:rFonts w:ascii="Futura Lt BT" w:eastAsia="Times New Roman" w:hAnsi="Futura Lt BT" w:cs="Arial"/>
        </w:rPr>
        <w:t>) nas análises decorrentes da atuação direta de supervisão e monitoramento do Comitê.</w:t>
      </w:r>
    </w:p>
    <w:p w14:paraId="48256EE7"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3</w:t>
      </w:r>
      <w:r w:rsidRPr="00566AC1">
        <w:rPr>
          <w:rFonts w:ascii="Futura Lt BT" w:eastAsia="Times New Roman" w:hAnsi="Futura Lt BT" w:cs="Arial"/>
          <w:b/>
          <w:bCs/>
        </w:rPr>
        <w:tab/>
      </w:r>
      <w:r w:rsidRPr="00566AC1">
        <w:rPr>
          <w:rFonts w:ascii="Futura Lt BT" w:eastAsia="Times New Roman" w:hAnsi="Futura Lt BT" w:cs="Arial"/>
          <w:b/>
          <w:bCs/>
        </w:rPr>
        <w:tab/>
        <w:t>Atividades do período</w:t>
      </w:r>
    </w:p>
    <w:p w14:paraId="5F1C6417"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O Regimento Interno prevê que o Comitê se reúna, ordinariamente, no mínimo, 4 vezes por mês, conforme calendário anual aprovado e, extraordinariamente, por convocação de seu Presidente. </w:t>
      </w:r>
    </w:p>
    <w:p w14:paraId="5F38ADD4"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Em cumprimento ao Plano Anual de Trabalho de 2024, em andamento, e considerando as responsabilidade e atribuições do Comitê, foram examinados e avaliados assuntos relacionados a contabilidade e tributos, controladoria, resultado atuarial, controles internos, conformidade, gerenciamento de riscos, integridade, ouvidoria, canal de denúncias, corregedoria, Tecnologia da Informação (TI), entre outros.</w:t>
      </w:r>
    </w:p>
    <w:p w14:paraId="1C71984D"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Conforme previsto no Art. 69, §2º, do Estatuto da CAIXA, o presidente, como membro do Conselho de Administração, participou também das reuniões do CA da CAIXA, apresentando os posicionamentos e recomendações do Comitê em matérias que lhe são correlatas.</w:t>
      </w:r>
    </w:p>
    <w:p w14:paraId="4CEC863B"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w:t>
      </w:r>
      <w:r w:rsidRPr="00566AC1">
        <w:rPr>
          <w:rFonts w:ascii="Futura Lt BT" w:eastAsia="Times New Roman" w:hAnsi="Futura Lt BT" w:cs="Arial"/>
          <w:b/>
          <w:bCs/>
        </w:rPr>
        <w:tab/>
      </w:r>
      <w:r w:rsidRPr="00566AC1">
        <w:rPr>
          <w:rFonts w:ascii="Futura Lt BT" w:eastAsia="Times New Roman" w:hAnsi="Futura Lt BT" w:cs="Arial"/>
          <w:b/>
          <w:bCs/>
        </w:rPr>
        <w:tab/>
        <w:t xml:space="preserve">Destaques </w:t>
      </w:r>
    </w:p>
    <w:p w14:paraId="28E6717B"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Durante o primeiro semestre de 2024, o Comitê apreciou 142 matérias, sendo 18 para emissão de parecer enviados para o Conselho de Administração, e 124 para conhecimento. </w:t>
      </w:r>
    </w:p>
    <w:p w14:paraId="2B9C52AD"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highlight w:val="yellow"/>
        </w:rPr>
      </w:pPr>
      <w:r w:rsidRPr="00566AC1">
        <w:rPr>
          <w:rFonts w:ascii="Futura Lt BT" w:eastAsia="Times New Roman" w:hAnsi="Futura Lt BT" w:cs="Arial"/>
        </w:rPr>
        <w:t>Entre os assuntos apresentados destacam-se os seguintes: (i) adequação das demonstrações contábeis individuais e consolidadas; (</w:t>
      </w:r>
      <w:proofErr w:type="spellStart"/>
      <w:r w:rsidRPr="00566AC1">
        <w:rPr>
          <w:rFonts w:ascii="Futura Lt BT" w:eastAsia="Times New Roman" w:hAnsi="Futura Lt BT" w:cs="Arial"/>
        </w:rPr>
        <w:t>ii</w:t>
      </w:r>
      <w:proofErr w:type="spellEnd"/>
      <w:r w:rsidRPr="00566AC1">
        <w:rPr>
          <w:rFonts w:ascii="Futura Lt BT" w:eastAsia="Times New Roman" w:hAnsi="Futura Lt BT" w:cs="Arial"/>
        </w:rPr>
        <w:t xml:space="preserve">) adequação das demonstrações contábeis em </w:t>
      </w:r>
      <w:proofErr w:type="spellStart"/>
      <w:r w:rsidRPr="00566AC1">
        <w:rPr>
          <w:rFonts w:ascii="Futura Lt BT" w:eastAsia="Times New Roman" w:hAnsi="Futura Lt BT" w:cs="Arial"/>
          <w:i/>
          <w:iCs/>
        </w:rPr>
        <w:t>International</w:t>
      </w:r>
      <w:proofErr w:type="spellEnd"/>
      <w:r w:rsidRPr="00566AC1">
        <w:rPr>
          <w:rFonts w:ascii="Futura Lt BT" w:eastAsia="Times New Roman" w:hAnsi="Futura Lt BT" w:cs="Arial"/>
          <w:i/>
          <w:iCs/>
        </w:rPr>
        <w:t xml:space="preserve"> Financial </w:t>
      </w:r>
      <w:proofErr w:type="spellStart"/>
      <w:r w:rsidRPr="00566AC1">
        <w:rPr>
          <w:rFonts w:ascii="Futura Lt BT" w:eastAsia="Times New Roman" w:hAnsi="Futura Lt BT" w:cs="Arial"/>
          <w:i/>
          <w:iCs/>
        </w:rPr>
        <w:t>Reporting</w:t>
      </w:r>
      <w:proofErr w:type="spellEnd"/>
      <w:r w:rsidRPr="00566AC1">
        <w:rPr>
          <w:rFonts w:ascii="Futura Lt BT" w:eastAsia="Times New Roman" w:hAnsi="Futura Lt BT" w:cs="Arial"/>
          <w:i/>
          <w:iCs/>
        </w:rPr>
        <w:t xml:space="preserve"> Standards (IFRS)</w:t>
      </w:r>
      <w:r w:rsidRPr="00566AC1">
        <w:rPr>
          <w:rFonts w:ascii="Futura Lt BT" w:eastAsia="Times New Roman" w:hAnsi="Futura Lt BT" w:cs="Arial"/>
        </w:rPr>
        <w:t>; (</w:t>
      </w:r>
      <w:proofErr w:type="spellStart"/>
      <w:r w:rsidRPr="00566AC1">
        <w:rPr>
          <w:rFonts w:ascii="Futura Lt BT" w:eastAsia="Times New Roman" w:hAnsi="Futura Lt BT" w:cs="Arial"/>
        </w:rPr>
        <w:t>iii</w:t>
      </w:r>
      <w:proofErr w:type="spellEnd"/>
      <w:r w:rsidRPr="00566AC1">
        <w:rPr>
          <w:rFonts w:ascii="Futura Lt BT" w:eastAsia="Times New Roman" w:hAnsi="Futura Lt BT" w:cs="Arial"/>
        </w:rPr>
        <w:t>) monitoramento dos ofícios recebidos dos órgãos reguladores, assim como o acompanhamento dos planos de ação para atender às respectivas demandas; (</w:t>
      </w:r>
      <w:proofErr w:type="spellStart"/>
      <w:r w:rsidRPr="00566AC1">
        <w:rPr>
          <w:rFonts w:ascii="Futura Lt BT" w:eastAsia="Times New Roman" w:hAnsi="Futura Lt BT" w:cs="Arial"/>
        </w:rPr>
        <w:t>iv</w:t>
      </w:r>
      <w:proofErr w:type="spellEnd"/>
      <w:r w:rsidRPr="00566AC1">
        <w:rPr>
          <w:rFonts w:ascii="Futura Lt BT" w:eastAsia="Times New Roman" w:hAnsi="Futura Lt BT" w:cs="Arial"/>
        </w:rPr>
        <w:t>) provisões para devedores duvidosos, perdas operacionais e contingências judiciais; (v) gestão de riscos; (vi) conhecimento do Relatório Circunstanciado sobre o Sistema de Controles Internos (RCCI) da CAIXA; (</w:t>
      </w:r>
      <w:proofErr w:type="spellStart"/>
      <w:r w:rsidRPr="00566AC1">
        <w:rPr>
          <w:rFonts w:ascii="Futura Lt BT" w:eastAsia="Times New Roman" w:hAnsi="Futura Lt BT" w:cs="Arial"/>
        </w:rPr>
        <w:t>vii</w:t>
      </w:r>
      <w:proofErr w:type="spellEnd"/>
      <w:r w:rsidRPr="00566AC1">
        <w:rPr>
          <w:rFonts w:ascii="Futura Lt BT" w:eastAsia="Times New Roman" w:hAnsi="Futura Lt BT" w:cs="Arial"/>
        </w:rPr>
        <w:t>) revisão da Política de Segurança e Informação; (</w:t>
      </w:r>
      <w:proofErr w:type="spellStart"/>
      <w:r w:rsidRPr="00566AC1">
        <w:rPr>
          <w:rFonts w:ascii="Futura Lt BT" w:eastAsia="Times New Roman" w:hAnsi="Futura Lt BT" w:cs="Arial"/>
        </w:rPr>
        <w:t>viii</w:t>
      </w:r>
      <w:proofErr w:type="spellEnd"/>
      <w:r w:rsidRPr="00566AC1">
        <w:rPr>
          <w:rFonts w:ascii="Futura Lt BT" w:eastAsia="Times New Roman" w:hAnsi="Futura Lt BT" w:cs="Arial"/>
        </w:rPr>
        <w:t>) acompanhamento das temáticas relacionadas ao ecossistema Integridade, que inclui temas afetos à área de atuação da Corregedoria, da Ouvidoria e da área de controles internos, bem como o tratamento de denúncias vindas do canal de denúncias; (</w:t>
      </w:r>
      <w:proofErr w:type="spellStart"/>
      <w:r w:rsidRPr="00566AC1">
        <w:rPr>
          <w:rFonts w:ascii="Futura Lt BT" w:eastAsia="Times New Roman" w:hAnsi="Futura Lt BT" w:cs="Arial"/>
        </w:rPr>
        <w:t>ix</w:t>
      </w:r>
      <w:proofErr w:type="spellEnd"/>
      <w:r w:rsidRPr="00566AC1">
        <w:rPr>
          <w:rFonts w:ascii="Futura Lt BT" w:eastAsia="Times New Roman" w:hAnsi="Futura Lt BT" w:cs="Arial"/>
        </w:rPr>
        <w:t xml:space="preserve">) monitoramento das políticas de Prevenção à Lavagem de Dinheiro e Financiamento ao Terrorismo e da Proliferação de Armas de </w:t>
      </w:r>
      <w:r w:rsidRPr="00566AC1">
        <w:rPr>
          <w:rFonts w:ascii="Futura Lt BT" w:eastAsia="Times New Roman" w:hAnsi="Futura Lt BT" w:cs="Arial"/>
        </w:rPr>
        <w:lastRenderedPageBreak/>
        <w:t>Destruição em Massa  (PLD/FTP); (x) acompanhamento das ações referentes à Privacidade e Proteção de Dados Pessoais, no âmbito do Programa de Governança em Privacidade da CAIXA, conforme previsto na Lei nº 13.709, de 2018; (xi) acompanhamento do Plano de Implementação da Resolução CMN nº 4.966, de 2021, que trata de instrumentos financeiros; (</w:t>
      </w:r>
      <w:proofErr w:type="spellStart"/>
      <w:r w:rsidRPr="00566AC1">
        <w:rPr>
          <w:rFonts w:ascii="Futura Lt BT" w:eastAsia="Times New Roman" w:hAnsi="Futura Lt BT" w:cs="Arial"/>
        </w:rPr>
        <w:t>xii</w:t>
      </w:r>
      <w:proofErr w:type="spellEnd"/>
      <w:r w:rsidRPr="00566AC1">
        <w:rPr>
          <w:rFonts w:ascii="Futura Lt BT" w:eastAsia="Times New Roman" w:hAnsi="Futura Lt BT" w:cs="Arial"/>
        </w:rPr>
        <w:t>) acompanhamento das ações desenvolvidas no âmbito do Sistema de Controles Internos CAIXA.</w:t>
      </w:r>
    </w:p>
    <w:p w14:paraId="271C8C45"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O Comitê de Auditoria avaliou e monitorou, em conjunto com a administração e a área de auditoria interna, a adequação das Transações com Partes Relacionadas, verificando a conformidade aos princípios e diretrizes estabelecidos, na forma definida pelo Conselho de Administração.</w:t>
      </w:r>
    </w:p>
    <w:p w14:paraId="0D3DE93E"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O COAUD também se dedicou ao acompanhamento da evolução do ambiente de controle da Fundação dos Economiários Federais (Funcef), aos temas de ambiência tecnológica e de Compras e Contratações na CAIXA, entre outros.</w:t>
      </w:r>
    </w:p>
    <w:p w14:paraId="293F1313"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4.1</w:t>
      </w:r>
      <w:r w:rsidRPr="00566AC1">
        <w:rPr>
          <w:rFonts w:ascii="Futura Lt BT" w:eastAsia="Times New Roman" w:hAnsi="Futura Lt BT" w:cs="Arial"/>
          <w:b/>
          <w:bCs/>
        </w:rPr>
        <w:tab/>
        <w:t>Demonstrações Contábeis</w:t>
      </w:r>
    </w:p>
    <w:p w14:paraId="73CB9B9D"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4.1.1</w:t>
      </w:r>
      <w:r w:rsidRPr="00566AC1">
        <w:rPr>
          <w:rFonts w:ascii="Futura Lt BT" w:eastAsia="Times New Roman" w:hAnsi="Futura Lt BT" w:cs="Arial"/>
          <w:b/>
          <w:bCs/>
        </w:rPr>
        <w:tab/>
        <w:t>CAIXA</w:t>
      </w:r>
    </w:p>
    <w:p w14:paraId="651DBC76"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O Comitê revisou as Demonstrações Contábeis da CAIXA, individuais e consolidadas, para o semestre findo em 30 de junho de 2024, o Relatório da Administração e a minuta do Relatório dos Auditores Independentes. Adicionalmente, examinou as demonstrações contábeis intermediárias em </w:t>
      </w:r>
      <w:proofErr w:type="spellStart"/>
      <w:r w:rsidRPr="00566AC1">
        <w:rPr>
          <w:rFonts w:ascii="Futura Lt BT" w:eastAsia="Times New Roman" w:hAnsi="Futura Lt BT" w:cs="Arial"/>
          <w:i/>
          <w:iCs/>
        </w:rPr>
        <w:t>International</w:t>
      </w:r>
      <w:proofErr w:type="spellEnd"/>
      <w:r w:rsidRPr="00566AC1">
        <w:rPr>
          <w:rFonts w:ascii="Futura Lt BT" w:eastAsia="Times New Roman" w:hAnsi="Futura Lt BT" w:cs="Arial"/>
          <w:i/>
          <w:iCs/>
        </w:rPr>
        <w:t xml:space="preserve"> Financial </w:t>
      </w:r>
      <w:proofErr w:type="spellStart"/>
      <w:r w:rsidRPr="00566AC1">
        <w:rPr>
          <w:rFonts w:ascii="Futura Lt BT" w:eastAsia="Times New Roman" w:hAnsi="Futura Lt BT" w:cs="Arial"/>
          <w:i/>
          <w:iCs/>
        </w:rPr>
        <w:t>Reporting</w:t>
      </w:r>
      <w:proofErr w:type="spellEnd"/>
      <w:r w:rsidRPr="00566AC1">
        <w:rPr>
          <w:rFonts w:ascii="Futura Lt BT" w:eastAsia="Times New Roman" w:hAnsi="Futura Lt BT" w:cs="Arial"/>
          <w:i/>
          <w:iCs/>
        </w:rPr>
        <w:t xml:space="preserve"> Standards (IFRS)</w:t>
      </w:r>
      <w:r w:rsidRPr="00566AC1">
        <w:rPr>
          <w:rFonts w:ascii="Futura Lt BT" w:eastAsia="Times New Roman" w:hAnsi="Futura Lt BT" w:cs="Arial"/>
        </w:rPr>
        <w:t xml:space="preserve">. </w:t>
      </w:r>
    </w:p>
    <w:p w14:paraId="40D3E065"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Durante o primeiro semestre de 2024 e até a data de emissão deste relatório, o Comitê reuniu-se com os auditores independentes e responsáveis pela elaboração dessas demonstrações para discussão de práticas e temas contábeis relevantes.</w:t>
      </w:r>
    </w:p>
    <w:p w14:paraId="1B546141"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highlight w:val="yellow"/>
        </w:rPr>
      </w:pPr>
      <w:r w:rsidRPr="00566AC1">
        <w:rPr>
          <w:rFonts w:ascii="Futura Lt BT" w:eastAsia="Times New Roman" w:hAnsi="Futura Lt BT" w:cs="Arial"/>
        </w:rPr>
        <w:t xml:space="preserve">E, tomou conhecimento da proposta da Reprogramação Orçamentária CAIXA para 2024, da Projeção Plurianual de Resultados para o período 2024-2033 e da Revisão Semestral do Estudo do Crédito Tributário. </w:t>
      </w:r>
    </w:p>
    <w:p w14:paraId="245189D7" w14:textId="77777777" w:rsidR="008C759E" w:rsidRDefault="008C759E">
      <w:pPr>
        <w:rPr>
          <w:rFonts w:ascii="Futura Lt BT" w:eastAsia="Times New Roman" w:hAnsi="Futura Lt BT" w:cs="Arial"/>
          <w:b/>
          <w:bCs/>
        </w:rPr>
      </w:pPr>
      <w:r>
        <w:rPr>
          <w:rFonts w:ascii="Futura Lt BT" w:eastAsia="Times New Roman" w:hAnsi="Futura Lt BT" w:cs="Arial"/>
          <w:b/>
          <w:bCs/>
        </w:rPr>
        <w:br w:type="page"/>
      </w:r>
    </w:p>
    <w:p w14:paraId="0F23B6EF" w14:textId="49DC5263"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lastRenderedPageBreak/>
        <w:t>4.1.2</w:t>
      </w:r>
      <w:r w:rsidRPr="00566AC1">
        <w:rPr>
          <w:rFonts w:ascii="Futura Lt BT" w:eastAsia="Times New Roman" w:hAnsi="Futura Lt BT" w:cs="Arial"/>
          <w:b/>
          <w:bCs/>
        </w:rPr>
        <w:tab/>
        <w:t>Subsidiárias</w:t>
      </w:r>
    </w:p>
    <w:p w14:paraId="682DAAC4" w14:textId="77777777" w:rsidR="00566AC1" w:rsidRPr="00566AC1" w:rsidRDefault="00566AC1" w:rsidP="00566AC1">
      <w:pPr>
        <w:spacing w:after="240" w:line="360" w:lineRule="auto"/>
        <w:ind w:left="-142"/>
        <w:jc w:val="both"/>
        <w:rPr>
          <w:rFonts w:ascii="Futura Lt BT" w:eastAsia="Times New Roman" w:hAnsi="Futura Lt BT" w:cs="Arial"/>
        </w:rPr>
      </w:pPr>
      <w:r w:rsidRPr="00566AC1">
        <w:rPr>
          <w:rFonts w:ascii="Futura Lt BT" w:eastAsia="Times New Roman" w:hAnsi="Futura Lt BT" w:cs="Arial"/>
          <w:iCs/>
        </w:rPr>
        <w:t>CAIXA LOTERIAS</w:t>
      </w:r>
      <w:r w:rsidRPr="00566AC1">
        <w:rPr>
          <w:rFonts w:ascii="Futura Lt BT" w:eastAsia="Times New Roman" w:hAnsi="Futura Lt BT" w:cs="Arial"/>
        </w:rPr>
        <w:t xml:space="preserve"> </w:t>
      </w:r>
    </w:p>
    <w:p w14:paraId="3AFD0708"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O Comitê realizou três reuniões com a Caixa Loterias no primeiro semestre de 2024, nas quais opinou sobre proposições referente as Demonstrações Financeiras CAIXA Loterias referentes aos 1º, 2º e 3º Trimestres do ano anterior e as Demonstrações Financeiras referentes ao exercício findo em 31 de dezembro de 2023 e de sua respectiva destinação de resultados, acompanhadas do Relatório da Administração da CAIXA Loterias S.A.</w:t>
      </w:r>
    </w:p>
    <w:p w14:paraId="180391FB"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Opinou referente proposta de autorização para contratação direta da empresa BDO RCS Auditores Independentes, para a prestação de serviços técnicos especializados referentes à análise das Demonstrações Financeiras de 2024.</w:t>
      </w:r>
    </w:p>
    <w:p w14:paraId="1F01DB43" w14:textId="77777777" w:rsidR="00566AC1" w:rsidRPr="00566AC1" w:rsidRDefault="00566AC1" w:rsidP="00566AC1">
      <w:pPr>
        <w:spacing w:after="240" w:line="360" w:lineRule="auto"/>
        <w:ind w:left="-142"/>
        <w:jc w:val="both"/>
        <w:rPr>
          <w:rFonts w:ascii="Futura Lt BT" w:eastAsia="Times New Roman" w:hAnsi="Futura Lt BT" w:cs="Arial"/>
          <w:iCs/>
        </w:rPr>
      </w:pPr>
      <w:r w:rsidRPr="00566AC1">
        <w:rPr>
          <w:rFonts w:ascii="Futura Lt BT" w:eastAsia="Times New Roman" w:hAnsi="Futura Lt BT" w:cs="Arial"/>
          <w:iCs/>
        </w:rPr>
        <w:t>CAIXA ASSET</w:t>
      </w:r>
    </w:p>
    <w:p w14:paraId="25454AB8"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highlight w:val="yellow"/>
        </w:rPr>
      </w:pPr>
      <w:r w:rsidRPr="00566AC1">
        <w:rPr>
          <w:rFonts w:ascii="Futura Lt BT" w:eastAsia="Times New Roman" w:hAnsi="Futura Lt BT" w:cs="Arial"/>
        </w:rPr>
        <w:t>O Comitê examinou as Demonstrações Financeiras da CAIXA Distribuidora de Títulos e Valores Mobiliários S.A (CAIXA ASSET) e o Relatório da Administração, relativas ao 1º semestre de 2024, com deliberação favorável à aprovação das referidas demonstrações.</w:t>
      </w:r>
    </w:p>
    <w:p w14:paraId="6E504337"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4.2</w:t>
      </w:r>
      <w:r w:rsidRPr="00566AC1">
        <w:rPr>
          <w:rFonts w:ascii="Futura Lt BT" w:eastAsia="Times New Roman" w:hAnsi="Futura Lt BT" w:cs="Arial"/>
          <w:b/>
          <w:bCs/>
        </w:rPr>
        <w:tab/>
        <w:t>Auditorias</w:t>
      </w:r>
    </w:p>
    <w:p w14:paraId="182F9509"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4.2.1</w:t>
      </w:r>
      <w:r w:rsidRPr="00566AC1">
        <w:rPr>
          <w:rFonts w:ascii="Futura Lt BT" w:eastAsia="Times New Roman" w:hAnsi="Futura Lt BT" w:cs="Arial"/>
          <w:b/>
          <w:bCs/>
        </w:rPr>
        <w:tab/>
        <w:t>Auditoria Independente</w:t>
      </w:r>
    </w:p>
    <w:p w14:paraId="74753E14"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highlight w:val="yellow"/>
        </w:rPr>
      </w:pPr>
      <w:r w:rsidRPr="00566AC1">
        <w:rPr>
          <w:rFonts w:ascii="Futura Lt BT" w:eastAsia="Times New Roman" w:hAnsi="Futura Lt BT" w:cs="Arial"/>
        </w:rPr>
        <w:t>O Comitê avalia anualmente a objetividade e a independência dos auditores independentes, a qualidade e a efetividade dos trabalhos realizados e seu relacionamento com o Comitê. Referente às Demonstrações Financeiras, foram ouvidos previamente às publicações do semestre.</w:t>
      </w:r>
    </w:p>
    <w:p w14:paraId="50DB6DDD"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4.2.2</w:t>
      </w:r>
      <w:r w:rsidRPr="00566AC1">
        <w:rPr>
          <w:rFonts w:ascii="Futura Lt BT" w:eastAsia="Times New Roman" w:hAnsi="Futura Lt BT" w:cs="Arial"/>
          <w:b/>
          <w:bCs/>
        </w:rPr>
        <w:tab/>
        <w:t>Auditoria Interna</w:t>
      </w:r>
    </w:p>
    <w:p w14:paraId="0D12A702"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No período, o COAUD revalidou e acompanhou o cumprimento do Plano Anual de Auditoria Interna (PAINT) 2024. Também acompanhou o cumprimento das deliberações do Conselho de Administração, a atuação da Auditoria Interna no processo de conciliação contábil e dos trabalhos de auditoria na Funcef.</w:t>
      </w:r>
    </w:p>
    <w:p w14:paraId="1F9DA489"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Foram apreciados ainda os relatórios síntese e o resultado da avaliação da Auditoria Interna.</w:t>
      </w:r>
    </w:p>
    <w:p w14:paraId="7DBDE712"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lastRenderedPageBreak/>
        <w:t>4.3</w:t>
      </w:r>
      <w:r w:rsidRPr="00566AC1">
        <w:rPr>
          <w:rFonts w:ascii="Futura Lt BT" w:eastAsia="Times New Roman" w:hAnsi="Futura Lt BT" w:cs="Arial"/>
          <w:b/>
          <w:bCs/>
        </w:rPr>
        <w:tab/>
        <w:t>Controles</w:t>
      </w:r>
    </w:p>
    <w:p w14:paraId="79568C6E"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4.3.1</w:t>
      </w:r>
      <w:r w:rsidRPr="00566AC1">
        <w:rPr>
          <w:rFonts w:ascii="Futura Lt BT" w:eastAsia="Times New Roman" w:hAnsi="Futura Lt BT" w:cs="Arial"/>
          <w:b/>
          <w:bCs/>
        </w:rPr>
        <w:tab/>
        <w:t xml:space="preserve">Controles internos </w:t>
      </w:r>
    </w:p>
    <w:p w14:paraId="08565193"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O Comitê realizou reuniões com a Diretoria Executiva de Controle Interno e Integridade com o objetivo de acompanhar as avaliações, recomendações e ações realizadas, para assegurar a qualidade e efetividade dos sistemas de controles internos e de gerenciamento de riscos da instituição, além de monitorar os processos de verificação do cumprimento, pela Administração, dos dispositivos legais e regulamentares e das normas internas, assim como a evolução da implementação da cultura de risco e do Programa de Integridade da CAIXA.</w:t>
      </w:r>
    </w:p>
    <w:p w14:paraId="72842062"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4.3.2</w:t>
      </w:r>
      <w:r w:rsidRPr="00566AC1">
        <w:rPr>
          <w:rFonts w:ascii="Futura Lt BT" w:eastAsia="Times New Roman" w:hAnsi="Futura Lt BT" w:cs="Arial"/>
          <w:b/>
          <w:bCs/>
        </w:rPr>
        <w:tab/>
        <w:t xml:space="preserve">Órgãos Reguladores e de Controle </w:t>
      </w:r>
    </w:p>
    <w:p w14:paraId="51DB4158"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O COAUD tomou conhecimento do resultado das inspeções dos órgãos reguladores e de controle, bem como das respectivas providências adotadas pela Administração para seu atendimento, interagindo com a Auditoria Interna e com a área de Controles Internos.</w:t>
      </w:r>
    </w:p>
    <w:p w14:paraId="63669C9E"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highlight w:val="yellow"/>
        </w:rPr>
      </w:pPr>
      <w:r w:rsidRPr="00566AC1">
        <w:rPr>
          <w:rFonts w:ascii="Futura Lt BT" w:eastAsia="Times New Roman" w:hAnsi="Futura Lt BT" w:cs="Arial"/>
        </w:rPr>
        <w:t xml:space="preserve">A propósito do relacionamento do COAUD com o Regulador, pode-se destacar, além das ações de acompanhamento, a realização de reuniões para discussão de temas considerados relevantes pelo Banco Central. </w:t>
      </w:r>
    </w:p>
    <w:p w14:paraId="72933675"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highlight w:val="yellow"/>
        </w:rPr>
      </w:pPr>
      <w:r w:rsidRPr="00566AC1">
        <w:rPr>
          <w:rFonts w:ascii="Futura Lt BT" w:eastAsia="Times New Roman" w:hAnsi="Futura Lt BT" w:cs="Arial"/>
        </w:rPr>
        <w:t>Referente aos assuntos de Controle Externo, o Comitê tomou conhecimento dos temas relacionados à Caixa, acompanhados pelo Tribunal de Contas da União (TCU) e pela Controladoria Geral da União (CGU).</w:t>
      </w:r>
    </w:p>
    <w:p w14:paraId="149D1746"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4.4</w:t>
      </w:r>
      <w:r w:rsidRPr="00566AC1">
        <w:rPr>
          <w:rFonts w:ascii="Futura Lt BT" w:eastAsia="Times New Roman" w:hAnsi="Futura Lt BT" w:cs="Arial"/>
          <w:b/>
          <w:bCs/>
        </w:rPr>
        <w:tab/>
        <w:t>Conformidade</w:t>
      </w:r>
    </w:p>
    <w:p w14:paraId="69929A24"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Os aspectos de conformidade são observados e acompanhados pelo COAUD nos diversos assuntos abordados nas reuniões. Não obstante o acompanhamento geral, pode-se destacar como ação específica em relação ao </w:t>
      </w:r>
      <w:r w:rsidRPr="00566AC1">
        <w:rPr>
          <w:rFonts w:ascii="Futura Lt BT" w:eastAsia="Times New Roman" w:hAnsi="Futura Lt BT" w:cs="Arial"/>
          <w:i/>
          <w:iCs/>
        </w:rPr>
        <w:t>compliance</w:t>
      </w:r>
      <w:r w:rsidRPr="00566AC1">
        <w:rPr>
          <w:rFonts w:ascii="Futura Lt BT" w:eastAsia="Times New Roman" w:hAnsi="Futura Lt BT" w:cs="Arial"/>
        </w:rPr>
        <w:t>, o monitoramento das ações apresentadas no Relatório de Compliance CAIXA, de forma a assessorar o Conselho de Administração no cumprimento de suas atribuições quanto à Política de Conformidade, conforme previsto na Resolução CMN nº 4.595, de 2017.</w:t>
      </w:r>
    </w:p>
    <w:p w14:paraId="310E48B8" w14:textId="77777777" w:rsidR="00ED20E8" w:rsidRDefault="00ED20E8">
      <w:pPr>
        <w:rPr>
          <w:rFonts w:ascii="Futura Lt BT" w:eastAsia="Times New Roman" w:hAnsi="Futura Lt BT" w:cs="Arial"/>
          <w:b/>
          <w:bCs/>
        </w:rPr>
      </w:pPr>
      <w:r>
        <w:rPr>
          <w:rFonts w:ascii="Futura Lt BT" w:eastAsia="Times New Roman" w:hAnsi="Futura Lt BT" w:cs="Arial"/>
          <w:b/>
          <w:bCs/>
        </w:rPr>
        <w:br w:type="page"/>
      </w:r>
    </w:p>
    <w:p w14:paraId="38303C62" w14:textId="2C115C4A"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lastRenderedPageBreak/>
        <w:t>4.5</w:t>
      </w:r>
      <w:r w:rsidRPr="00566AC1">
        <w:rPr>
          <w:rFonts w:ascii="Futura Lt BT" w:eastAsia="Times New Roman" w:hAnsi="Futura Lt BT" w:cs="Arial"/>
          <w:b/>
          <w:bCs/>
        </w:rPr>
        <w:tab/>
        <w:t>Gerenciamento de Riscos</w:t>
      </w:r>
    </w:p>
    <w:p w14:paraId="2D894542"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De forma análoga ao acompanhamento da função conformidade, os aspectos relativos ao gerenciamento de risco da CAIXA são examinados e acompanhados ao longo da execução do Plano de Trabalho do COAUD, mediante identificação dos fatores de risco inerentes a cada tema discutido no âmbito do Comitê. Não obstante o acompanhamento geral, o Comitê aloca tempo específico aos temas que, em função da relevância ou complexidade, demandam exame mais apurado.</w:t>
      </w:r>
    </w:p>
    <w:p w14:paraId="0632BDA9"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 xml:space="preserve">4.6 </w:t>
      </w:r>
      <w:r w:rsidRPr="00566AC1">
        <w:rPr>
          <w:rFonts w:ascii="Futura Lt BT" w:eastAsia="Times New Roman" w:hAnsi="Futura Lt BT" w:cs="Arial"/>
          <w:b/>
          <w:bCs/>
        </w:rPr>
        <w:tab/>
        <w:t>Integridade</w:t>
      </w:r>
    </w:p>
    <w:p w14:paraId="63A2B736"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Em atenção ao Código de Ética, Conduta e Integridade da CAIXA, à Política de Controle Interno, Compliance e Integridade da instituição e ao compromisso com a prevenção e o combate à corrupção e demais ilícitos previstos em lei, o COAUD acompanhou diversas ações no âmbito do Programa de Integridade CAIXA, que inclui assuntos relacionados à Ouvidoria, à Corregedoria, às Linhas de Defesa, à Prevenção à Lavagem de Dinheiro e ao Financiamento do Terrorismo e da Proliferação de Armas de Destruição em Massa (PLD/FTP).</w:t>
      </w:r>
    </w:p>
    <w:p w14:paraId="745B8302"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4.7</w:t>
      </w:r>
      <w:r w:rsidRPr="00566AC1">
        <w:rPr>
          <w:rFonts w:ascii="Futura Lt BT" w:eastAsia="Times New Roman" w:hAnsi="Futura Lt BT" w:cs="Arial"/>
          <w:b/>
          <w:bCs/>
        </w:rPr>
        <w:tab/>
        <w:t>Outros Temas</w:t>
      </w:r>
    </w:p>
    <w:p w14:paraId="75BDCF3F"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Em complemento, como parte dos trabalhos inerentes às suas atribuições, o Comitê esteve envolvido no acompanhamento, junto às vice-presidências responsáveis, de assuntos atinentes às carteiras de créditos, tecnologia da informação, compras e contratações, provisões judiciais, prevenção de fraudes, dentre outros temas.</w:t>
      </w:r>
    </w:p>
    <w:p w14:paraId="0DC496E8" w14:textId="77777777" w:rsidR="00566AC1" w:rsidRPr="00566AC1" w:rsidRDefault="00566AC1" w:rsidP="00566AC1">
      <w:pPr>
        <w:autoSpaceDE w:val="0"/>
        <w:autoSpaceDN w:val="0"/>
        <w:adjustRightInd w:val="0"/>
        <w:spacing w:after="240" w:line="360" w:lineRule="auto"/>
        <w:ind w:left="-142"/>
        <w:jc w:val="both"/>
        <w:rPr>
          <w:rFonts w:ascii="Futura Lt BT" w:eastAsia="Times New Roman" w:hAnsi="Futura Lt BT" w:cs="Arial"/>
          <w:b/>
          <w:bCs/>
        </w:rPr>
      </w:pPr>
      <w:r w:rsidRPr="00566AC1">
        <w:rPr>
          <w:rFonts w:ascii="Futura Lt BT" w:eastAsia="Times New Roman" w:hAnsi="Futura Lt BT" w:cs="Arial"/>
          <w:b/>
          <w:bCs/>
        </w:rPr>
        <w:t>5</w:t>
      </w:r>
      <w:r w:rsidRPr="00566AC1">
        <w:rPr>
          <w:rFonts w:ascii="Futura Lt BT" w:eastAsia="Times New Roman" w:hAnsi="Futura Lt BT" w:cs="Arial"/>
          <w:b/>
          <w:bCs/>
        </w:rPr>
        <w:tab/>
      </w:r>
      <w:r w:rsidRPr="00566AC1">
        <w:rPr>
          <w:rFonts w:ascii="Futura Lt BT" w:eastAsia="Times New Roman" w:hAnsi="Futura Lt BT" w:cs="Arial"/>
          <w:b/>
          <w:bCs/>
        </w:rPr>
        <w:tab/>
        <w:t>Conclusão</w:t>
      </w:r>
    </w:p>
    <w:p w14:paraId="49DDEEDD" w14:textId="77777777" w:rsidR="00566AC1" w:rsidRPr="00566AC1" w:rsidRDefault="00566AC1" w:rsidP="00566AC1">
      <w:pPr>
        <w:tabs>
          <w:tab w:val="left" w:pos="9720"/>
        </w:tabs>
        <w:spacing w:after="240" w:line="360" w:lineRule="auto"/>
        <w:ind w:left="-142" w:right="22"/>
        <w:jc w:val="both"/>
        <w:rPr>
          <w:rFonts w:ascii="Futura Lt BT" w:eastAsia="Times New Roman" w:hAnsi="Futura Lt BT" w:cs="Arial"/>
        </w:rPr>
      </w:pPr>
      <w:r w:rsidRPr="00566AC1">
        <w:rPr>
          <w:rFonts w:ascii="Futura Lt BT" w:eastAsia="Times New Roman" w:hAnsi="Futura Lt BT" w:cs="Arial"/>
        </w:rPr>
        <w:t xml:space="preserve">O Comitê de Auditoria, em razão das atividades desenvolvidas no período e ponderadas devidamente suas atribuições, responsabilidades e as limitações decorrentes do escopo de sua atuação, considerando a necessidade de melhorias da estrutura de tecnologia da instituição e dos respectivos controles, concluiu que: </w:t>
      </w:r>
    </w:p>
    <w:p w14:paraId="6221710B" w14:textId="77777777" w:rsidR="00566AC1" w:rsidRPr="00566AC1" w:rsidRDefault="00566AC1" w:rsidP="00566AC1">
      <w:pPr>
        <w:numPr>
          <w:ilvl w:val="0"/>
          <w:numId w:val="49"/>
        </w:numPr>
        <w:tabs>
          <w:tab w:val="left" w:pos="1276"/>
        </w:tabs>
        <w:autoSpaceDE w:val="0"/>
        <w:autoSpaceDN w:val="0"/>
        <w:adjustRightInd w:val="0"/>
        <w:spacing w:line="360" w:lineRule="auto"/>
        <w:ind w:left="567" w:hanging="567"/>
        <w:contextualSpacing/>
        <w:jc w:val="both"/>
        <w:rPr>
          <w:rFonts w:ascii="Futura Lt BT" w:eastAsia="Calibri" w:hAnsi="Futura Lt BT" w:cs="Arial"/>
          <w:lang w:eastAsia="en-US"/>
        </w:rPr>
      </w:pPr>
      <w:r w:rsidRPr="00566AC1">
        <w:rPr>
          <w:rFonts w:ascii="Futura Lt BT" w:eastAsia="Calibri" w:hAnsi="Futura Lt BT" w:cs="Arial"/>
          <w:lang w:eastAsia="en-US"/>
        </w:rPr>
        <w:t xml:space="preserve">os sistemas de controle interno e de gerenciamento de riscos da CAIXA revelam crescente nível de melhoria; </w:t>
      </w:r>
    </w:p>
    <w:p w14:paraId="37FAAE41" w14:textId="77777777" w:rsidR="00566AC1" w:rsidRPr="00566AC1" w:rsidRDefault="00566AC1" w:rsidP="00566AC1">
      <w:pPr>
        <w:numPr>
          <w:ilvl w:val="0"/>
          <w:numId w:val="49"/>
        </w:numPr>
        <w:tabs>
          <w:tab w:val="left" w:pos="1276"/>
        </w:tabs>
        <w:autoSpaceDE w:val="0"/>
        <w:autoSpaceDN w:val="0"/>
        <w:adjustRightInd w:val="0"/>
        <w:spacing w:line="360" w:lineRule="auto"/>
        <w:ind w:left="567" w:hanging="567"/>
        <w:contextualSpacing/>
        <w:jc w:val="both"/>
        <w:rPr>
          <w:rFonts w:ascii="Futura Lt BT" w:eastAsia="Calibri" w:hAnsi="Futura Lt BT" w:cs="Arial"/>
          <w:lang w:eastAsia="en-US"/>
        </w:rPr>
      </w:pPr>
      <w:r w:rsidRPr="00566AC1">
        <w:rPr>
          <w:rFonts w:ascii="Futura Lt BT" w:eastAsia="Calibri" w:hAnsi="Futura Lt BT" w:cs="Arial"/>
          <w:lang w:eastAsia="en-US"/>
        </w:rPr>
        <w:t xml:space="preserve">a auditoria interna mostra-se efetiva, atuando com adequada independência e objetividade; </w:t>
      </w:r>
    </w:p>
    <w:p w14:paraId="26FBC5BD" w14:textId="77777777" w:rsidR="00566AC1" w:rsidRPr="00566AC1" w:rsidRDefault="00566AC1" w:rsidP="00566AC1">
      <w:pPr>
        <w:numPr>
          <w:ilvl w:val="0"/>
          <w:numId w:val="49"/>
        </w:numPr>
        <w:tabs>
          <w:tab w:val="left" w:pos="1276"/>
        </w:tabs>
        <w:autoSpaceDE w:val="0"/>
        <w:autoSpaceDN w:val="0"/>
        <w:adjustRightInd w:val="0"/>
        <w:spacing w:line="360" w:lineRule="auto"/>
        <w:ind w:left="567" w:hanging="567"/>
        <w:contextualSpacing/>
        <w:jc w:val="both"/>
        <w:rPr>
          <w:rFonts w:ascii="Futura Lt BT" w:eastAsia="Calibri" w:hAnsi="Futura Lt BT" w:cs="Arial"/>
          <w:lang w:eastAsia="en-US"/>
        </w:rPr>
      </w:pPr>
      <w:r w:rsidRPr="00566AC1">
        <w:rPr>
          <w:rFonts w:ascii="Futura Lt BT" w:eastAsia="Calibri" w:hAnsi="Futura Lt BT" w:cs="Arial"/>
          <w:lang w:eastAsia="en-US"/>
        </w:rPr>
        <w:lastRenderedPageBreak/>
        <w:t>a auditoria independente é efetiva e não foram identificadas situações que pudessem comprometer sua independência;</w:t>
      </w:r>
    </w:p>
    <w:p w14:paraId="23DD9A23" w14:textId="77777777" w:rsidR="00566AC1" w:rsidRPr="00566AC1" w:rsidRDefault="00566AC1" w:rsidP="00566AC1">
      <w:pPr>
        <w:numPr>
          <w:ilvl w:val="0"/>
          <w:numId w:val="49"/>
        </w:numPr>
        <w:tabs>
          <w:tab w:val="left" w:pos="1276"/>
        </w:tabs>
        <w:autoSpaceDE w:val="0"/>
        <w:autoSpaceDN w:val="0"/>
        <w:adjustRightInd w:val="0"/>
        <w:spacing w:line="360" w:lineRule="auto"/>
        <w:ind w:left="567" w:hanging="567"/>
        <w:contextualSpacing/>
        <w:jc w:val="both"/>
        <w:rPr>
          <w:rFonts w:ascii="Futura Lt BT" w:eastAsia="Calibri" w:hAnsi="Futura Lt BT" w:cs="Arial"/>
          <w:lang w:eastAsia="en-US"/>
        </w:rPr>
      </w:pPr>
      <w:r w:rsidRPr="00566AC1">
        <w:rPr>
          <w:rFonts w:ascii="Futura Lt BT" w:eastAsia="Calibri" w:hAnsi="Futura Lt BT" w:cs="Arial"/>
          <w:lang w:eastAsia="en-US"/>
        </w:rPr>
        <w:t>todos os assuntos pertinentes que chegaram ao seu conhecimento estão adequadamente divulgados nas Demonstrações Contábeis da CAIXA, individuais e consolidadas, relativas ao semestre findo em 30 de junho de 2024, acompanhadas do Relatório da Administração e da minuta do Relatório dos Auditores Independentes, emitida sem ressalva, recomendando a sua aprovação pelo Conselho de Administração da CAIXA.</w:t>
      </w:r>
    </w:p>
    <w:p w14:paraId="076EE638" w14:textId="77777777" w:rsidR="00566AC1" w:rsidRDefault="00566AC1" w:rsidP="00566AC1">
      <w:pPr>
        <w:autoSpaceDE w:val="0"/>
        <w:autoSpaceDN w:val="0"/>
        <w:adjustRightInd w:val="0"/>
        <w:spacing w:line="360" w:lineRule="auto"/>
        <w:ind w:left="-142" w:right="-1"/>
        <w:jc w:val="right"/>
        <w:rPr>
          <w:rFonts w:ascii="Futura Lt BT" w:eastAsia="Times New Roman" w:hAnsi="Futura Lt BT" w:cs="Arial"/>
          <w:highlight w:val="yellow"/>
        </w:rPr>
      </w:pPr>
    </w:p>
    <w:p w14:paraId="25B8469C" w14:textId="77777777" w:rsidR="008057C8" w:rsidRPr="00566AC1" w:rsidRDefault="008057C8" w:rsidP="00566AC1">
      <w:pPr>
        <w:autoSpaceDE w:val="0"/>
        <w:autoSpaceDN w:val="0"/>
        <w:adjustRightInd w:val="0"/>
        <w:spacing w:line="360" w:lineRule="auto"/>
        <w:ind w:left="-142" w:right="-1"/>
        <w:jc w:val="right"/>
        <w:rPr>
          <w:rFonts w:ascii="Futura Lt BT" w:eastAsia="Times New Roman" w:hAnsi="Futura Lt BT" w:cs="Arial"/>
          <w:highlight w:val="yellow"/>
        </w:rPr>
      </w:pPr>
    </w:p>
    <w:p w14:paraId="448299FB" w14:textId="77777777" w:rsidR="00566AC1" w:rsidRPr="00566AC1" w:rsidRDefault="00566AC1" w:rsidP="00566AC1">
      <w:pPr>
        <w:autoSpaceDE w:val="0"/>
        <w:autoSpaceDN w:val="0"/>
        <w:adjustRightInd w:val="0"/>
        <w:spacing w:line="360" w:lineRule="auto"/>
        <w:ind w:left="-142" w:right="-1"/>
        <w:jc w:val="right"/>
        <w:rPr>
          <w:rFonts w:ascii="Futura Lt BT" w:eastAsia="Times New Roman" w:hAnsi="Futura Lt BT" w:cs="Arial"/>
        </w:rPr>
      </w:pPr>
      <w:r w:rsidRPr="00566AC1">
        <w:rPr>
          <w:rFonts w:ascii="Futura Lt BT" w:eastAsia="Times New Roman" w:hAnsi="Futura Lt BT" w:cs="Arial"/>
          <w:color w:val="000000"/>
        </w:rPr>
        <w:t xml:space="preserve">Brasília, 20 de agosto de </w:t>
      </w:r>
      <w:r w:rsidRPr="00566AC1">
        <w:rPr>
          <w:rFonts w:ascii="Futura Lt BT" w:eastAsia="Times New Roman" w:hAnsi="Futura Lt BT" w:cs="Arial"/>
        </w:rPr>
        <w:t>2024.</w:t>
      </w:r>
    </w:p>
    <w:p w14:paraId="615A0F65" w14:textId="77777777" w:rsidR="00566AC1" w:rsidRPr="00566AC1" w:rsidRDefault="00566AC1" w:rsidP="00566AC1">
      <w:pPr>
        <w:autoSpaceDE w:val="0"/>
        <w:autoSpaceDN w:val="0"/>
        <w:adjustRightInd w:val="0"/>
        <w:spacing w:line="360" w:lineRule="auto"/>
        <w:ind w:left="-142" w:right="-1"/>
        <w:jc w:val="right"/>
        <w:rPr>
          <w:rFonts w:ascii="Futura Lt BT" w:eastAsia="Times New Roman" w:hAnsi="Futura Lt BT" w:cs="Arial"/>
          <w:highlight w:val="yellow"/>
        </w:rPr>
      </w:pPr>
    </w:p>
    <w:p w14:paraId="570D6E08" w14:textId="77777777" w:rsidR="00566AC1" w:rsidRPr="00566AC1" w:rsidRDefault="00566AC1" w:rsidP="00566AC1">
      <w:pPr>
        <w:autoSpaceDE w:val="0"/>
        <w:autoSpaceDN w:val="0"/>
        <w:adjustRightInd w:val="0"/>
        <w:spacing w:line="360" w:lineRule="auto"/>
        <w:ind w:left="-142" w:right="-1"/>
        <w:jc w:val="right"/>
        <w:rPr>
          <w:rFonts w:ascii="Futura Lt BT" w:eastAsia="Times New Roman" w:hAnsi="Futura Lt BT" w:cs="Arial"/>
          <w:highlight w:val="yellow"/>
        </w:rPr>
      </w:pPr>
    </w:p>
    <w:p w14:paraId="394308AA" w14:textId="77777777" w:rsidR="00566AC1" w:rsidRPr="00566AC1" w:rsidRDefault="00566AC1" w:rsidP="00566AC1">
      <w:pPr>
        <w:autoSpaceDE w:val="0"/>
        <w:autoSpaceDN w:val="0"/>
        <w:adjustRightInd w:val="0"/>
        <w:spacing w:line="360" w:lineRule="auto"/>
        <w:ind w:left="-142" w:right="-1"/>
        <w:jc w:val="right"/>
        <w:rPr>
          <w:rFonts w:ascii="Futura Lt BT" w:eastAsia="Times New Roman" w:hAnsi="Futura Lt BT" w:cs="Arial"/>
          <w:highlight w:val="yellow"/>
        </w:rPr>
      </w:pPr>
    </w:p>
    <w:tbl>
      <w:tblPr>
        <w:tblStyle w:val="Tabelacomgrade1"/>
        <w:tblW w:w="99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536"/>
      </w:tblGrid>
      <w:tr w:rsidR="00566AC1" w:rsidRPr="00566AC1" w14:paraId="174A5CCA" w14:textId="77777777" w:rsidTr="007F4CE7">
        <w:tc>
          <w:tcPr>
            <w:tcW w:w="5382" w:type="dxa"/>
            <w:shd w:val="clear" w:color="auto" w:fill="auto"/>
          </w:tcPr>
          <w:p w14:paraId="5BB040D7" w14:textId="77777777" w:rsidR="00566AC1" w:rsidRPr="00566AC1" w:rsidRDefault="00566AC1" w:rsidP="00566AC1">
            <w:pPr>
              <w:ind w:right="1199"/>
              <w:rPr>
                <w:rFonts w:ascii="Futura Lt BT" w:eastAsia="Times New Roman" w:hAnsi="Futura Lt BT" w:cs="Arial"/>
              </w:rPr>
            </w:pPr>
            <w:r w:rsidRPr="00566AC1">
              <w:rPr>
                <w:rFonts w:ascii="Futura Lt BT" w:eastAsia="Times New Roman" w:hAnsi="Futura Lt BT" w:cs="Arial"/>
              </w:rPr>
              <w:t>BRENO DO CARMO MOREIRA VIEIRA</w:t>
            </w:r>
          </w:p>
          <w:p w14:paraId="13B46534" w14:textId="77777777" w:rsidR="00566AC1" w:rsidRPr="00566AC1" w:rsidRDefault="00566AC1" w:rsidP="00566AC1">
            <w:pPr>
              <w:autoSpaceDE w:val="0"/>
              <w:autoSpaceDN w:val="0"/>
              <w:adjustRightInd w:val="0"/>
              <w:spacing w:line="360" w:lineRule="auto"/>
              <w:ind w:right="-1"/>
              <w:rPr>
                <w:rFonts w:ascii="Futura Lt BT" w:eastAsia="Times New Roman" w:hAnsi="Futura Lt BT" w:cs="Arial"/>
              </w:rPr>
            </w:pPr>
          </w:p>
          <w:p w14:paraId="0A9B415A" w14:textId="77777777" w:rsidR="00566AC1" w:rsidRPr="00566AC1" w:rsidRDefault="00566AC1" w:rsidP="00566AC1">
            <w:pPr>
              <w:autoSpaceDE w:val="0"/>
              <w:autoSpaceDN w:val="0"/>
              <w:adjustRightInd w:val="0"/>
              <w:spacing w:line="360" w:lineRule="auto"/>
              <w:ind w:right="-1"/>
              <w:rPr>
                <w:rFonts w:ascii="Futura Lt BT" w:eastAsia="Times New Roman" w:hAnsi="Futura Lt BT" w:cs="Arial"/>
              </w:rPr>
            </w:pPr>
          </w:p>
          <w:p w14:paraId="0126DBC9" w14:textId="77777777" w:rsidR="00566AC1" w:rsidRPr="00566AC1" w:rsidRDefault="00566AC1" w:rsidP="00566AC1">
            <w:pPr>
              <w:autoSpaceDE w:val="0"/>
              <w:autoSpaceDN w:val="0"/>
              <w:adjustRightInd w:val="0"/>
              <w:spacing w:line="360" w:lineRule="auto"/>
              <w:ind w:right="-1"/>
              <w:rPr>
                <w:rFonts w:ascii="Futura Lt BT" w:eastAsia="Times New Roman" w:hAnsi="Futura Lt BT" w:cs="Arial"/>
              </w:rPr>
            </w:pPr>
          </w:p>
          <w:p w14:paraId="4ACA6970" w14:textId="77777777" w:rsidR="00566AC1" w:rsidRPr="00566AC1" w:rsidRDefault="00566AC1" w:rsidP="00566AC1">
            <w:pPr>
              <w:autoSpaceDE w:val="0"/>
              <w:autoSpaceDN w:val="0"/>
              <w:adjustRightInd w:val="0"/>
              <w:spacing w:line="360" w:lineRule="auto"/>
              <w:ind w:right="-1"/>
              <w:rPr>
                <w:rFonts w:ascii="Futura Lt BT" w:eastAsia="Times New Roman" w:hAnsi="Futura Lt BT" w:cs="Arial"/>
              </w:rPr>
            </w:pPr>
          </w:p>
        </w:tc>
        <w:tc>
          <w:tcPr>
            <w:tcW w:w="4536" w:type="dxa"/>
            <w:shd w:val="clear" w:color="auto" w:fill="auto"/>
          </w:tcPr>
          <w:p w14:paraId="523BC91A" w14:textId="77777777" w:rsidR="00566AC1" w:rsidRPr="00566AC1" w:rsidRDefault="00566AC1" w:rsidP="00566AC1">
            <w:pPr>
              <w:ind w:right="212"/>
              <w:jc w:val="right"/>
              <w:rPr>
                <w:rFonts w:ascii="Futura Lt BT" w:eastAsia="Times New Roman" w:hAnsi="Futura Lt BT" w:cs="Arial"/>
              </w:rPr>
            </w:pPr>
            <w:r w:rsidRPr="00566AC1">
              <w:rPr>
                <w:rFonts w:ascii="Futura Lt BT" w:eastAsia="Times New Roman" w:hAnsi="Futura Lt BT" w:cs="Arial"/>
              </w:rPr>
              <w:t>SÍLVIA MARQUES DE BRITO E SILVA</w:t>
            </w:r>
          </w:p>
          <w:p w14:paraId="5A9EC076" w14:textId="77777777" w:rsidR="00566AC1" w:rsidRPr="00566AC1" w:rsidRDefault="00566AC1" w:rsidP="00566AC1">
            <w:pPr>
              <w:autoSpaceDE w:val="0"/>
              <w:autoSpaceDN w:val="0"/>
              <w:adjustRightInd w:val="0"/>
              <w:spacing w:line="360" w:lineRule="auto"/>
              <w:ind w:right="-1"/>
              <w:jc w:val="right"/>
              <w:rPr>
                <w:rFonts w:ascii="Futura Lt BT" w:eastAsia="Times New Roman" w:hAnsi="Futura Lt BT" w:cs="Arial"/>
              </w:rPr>
            </w:pPr>
          </w:p>
        </w:tc>
      </w:tr>
      <w:tr w:rsidR="00566AC1" w:rsidRPr="00566AC1" w14:paraId="60BBF45B" w14:textId="77777777" w:rsidTr="007F4CE7">
        <w:tc>
          <w:tcPr>
            <w:tcW w:w="5382" w:type="dxa"/>
            <w:shd w:val="clear" w:color="auto" w:fill="auto"/>
          </w:tcPr>
          <w:p w14:paraId="1AD676C5" w14:textId="77777777" w:rsidR="00566AC1" w:rsidRPr="00566AC1" w:rsidRDefault="00566AC1" w:rsidP="00566AC1">
            <w:pPr>
              <w:rPr>
                <w:rFonts w:ascii="Futura Lt BT" w:eastAsia="Times New Roman" w:hAnsi="Futura Lt BT" w:cs="Arial"/>
                <w:highlight w:val="yellow"/>
                <w:lang w:val="pt"/>
              </w:rPr>
            </w:pPr>
            <w:r w:rsidRPr="00566AC1">
              <w:rPr>
                <w:rFonts w:ascii="Futura Lt BT" w:eastAsia="Times New Roman" w:hAnsi="Futura Lt BT" w:cs="Arial"/>
                <w:lang w:val="pt"/>
              </w:rPr>
              <w:t>LEONARDO BORDEAUX REGO MACHADO</w:t>
            </w:r>
          </w:p>
        </w:tc>
        <w:tc>
          <w:tcPr>
            <w:tcW w:w="4536" w:type="dxa"/>
            <w:shd w:val="clear" w:color="auto" w:fill="auto"/>
          </w:tcPr>
          <w:p w14:paraId="30971EB0" w14:textId="77777777" w:rsidR="00566AC1" w:rsidRPr="00566AC1" w:rsidRDefault="00566AC1" w:rsidP="00371C62">
            <w:pPr>
              <w:ind w:left="457" w:right="212"/>
              <w:jc w:val="center"/>
              <w:rPr>
                <w:rFonts w:ascii="Futura Lt BT" w:eastAsia="Times New Roman" w:hAnsi="Futura Lt BT" w:cs="Arial"/>
                <w:lang w:eastAsia="ar-SA"/>
              </w:rPr>
            </w:pPr>
            <w:r w:rsidRPr="00566AC1">
              <w:rPr>
                <w:rFonts w:ascii="Futura Lt BT" w:eastAsia="Times New Roman" w:hAnsi="Futura Lt BT" w:cs="Arial"/>
                <w:lang w:eastAsia="ar-SA"/>
              </w:rPr>
              <w:t>EDMUNDO AUGUSTO CHAMON</w:t>
            </w:r>
          </w:p>
          <w:p w14:paraId="3081057A" w14:textId="77777777" w:rsidR="00566AC1" w:rsidRPr="00566AC1" w:rsidRDefault="00566AC1" w:rsidP="00566AC1">
            <w:pPr>
              <w:snapToGrid w:val="0"/>
              <w:ind w:right="212"/>
              <w:jc w:val="right"/>
              <w:rPr>
                <w:rFonts w:ascii="Futura Lt BT" w:eastAsia="Times New Roman" w:hAnsi="Futura Lt BT" w:cs="Arial"/>
              </w:rPr>
            </w:pPr>
            <w:r w:rsidRPr="00566AC1">
              <w:rPr>
                <w:rFonts w:ascii="Futura Lt BT" w:eastAsia="Times New Roman" w:hAnsi="Futura Lt BT" w:cs="Arial"/>
              </w:rPr>
              <w:t>Presidente</w:t>
            </w:r>
          </w:p>
        </w:tc>
      </w:tr>
    </w:tbl>
    <w:p w14:paraId="259A3B80" w14:textId="77777777" w:rsidR="00566AC1" w:rsidRPr="00566AC1" w:rsidRDefault="00566AC1" w:rsidP="00566AC1">
      <w:pPr>
        <w:autoSpaceDE w:val="0"/>
        <w:autoSpaceDN w:val="0"/>
        <w:adjustRightInd w:val="0"/>
        <w:spacing w:line="360" w:lineRule="auto"/>
        <w:ind w:right="-1"/>
        <w:rPr>
          <w:rFonts w:ascii="Futura Lt BT" w:eastAsia="Times New Roman" w:hAnsi="Futura Lt BT" w:cs="Arial"/>
        </w:rPr>
      </w:pPr>
    </w:p>
    <w:p w14:paraId="4CD5A3F7" w14:textId="77777777" w:rsidR="008F5052" w:rsidRDefault="008F5052" w:rsidP="00BF11D3">
      <w:pPr>
        <w:sectPr w:rsidR="008F5052" w:rsidSect="001F0E96">
          <w:headerReference w:type="default" r:id="rId88"/>
          <w:footerReference w:type="default" r:id="rId89"/>
          <w:headerReference w:type="first" r:id="rId90"/>
          <w:footerReference w:type="first" r:id="rId91"/>
          <w:pgSz w:w="11907" w:h="16840" w:code="9"/>
          <w:pgMar w:top="1440" w:right="1080" w:bottom="1440" w:left="1080" w:header="1134" w:footer="709" w:gutter="0"/>
          <w:cols w:space="708"/>
          <w:titlePg/>
          <w:docGrid w:linePitch="360"/>
        </w:sectPr>
      </w:pPr>
    </w:p>
    <w:p w14:paraId="46C8D6F5" w14:textId="7E77BE7F" w:rsidR="00B96F18" w:rsidRDefault="00B96F18" w:rsidP="00B96F18">
      <w:pPr>
        <w:pStyle w:val="Ttulo1"/>
      </w:pPr>
      <w:bookmarkStart w:id="108" w:name="_Toc175067978"/>
      <w:r>
        <w:lastRenderedPageBreak/>
        <w:t>Parecer do Conselho Fiscal</w:t>
      </w:r>
      <w:bookmarkEnd w:id="108"/>
    </w:p>
    <w:p w14:paraId="7AEC41BC" w14:textId="77777777" w:rsidR="00B96F18" w:rsidRDefault="00B96F18" w:rsidP="00BF11D3"/>
    <w:p w14:paraId="3B38DEB7" w14:textId="77777777" w:rsidR="00793188" w:rsidRPr="00793188" w:rsidRDefault="00793188" w:rsidP="00793188">
      <w:pPr>
        <w:keepLines/>
        <w:jc w:val="center"/>
        <w:rPr>
          <w:rFonts w:ascii="Arial" w:eastAsia="Times New Roman" w:hAnsi="Arial" w:cs="Times New Roman"/>
          <w:b/>
          <w:sz w:val="22"/>
          <w:szCs w:val="22"/>
          <w:u w:val="single"/>
        </w:rPr>
      </w:pPr>
      <w:r w:rsidRPr="00793188">
        <w:rPr>
          <w:rFonts w:ascii="Arial" w:eastAsia="Times New Roman" w:hAnsi="Arial" w:cs="Times New Roman"/>
          <w:b/>
          <w:sz w:val="22"/>
          <w:szCs w:val="22"/>
          <w:u w:val="single"/>
        </w:rPr>
        <w:t>Parecer nº 087/2024, da Ata nº 874, de 20/08/2024</w:t>
      </w:r>
    </w:p>
    <w:p w14:paraId="0FC4DDDD" w14:textId="77777777" w:rsidR="00793188" w:rsidRPr="00793188" w:rsidRDefault="00793188" w:rsidP="00793188">
      <w:pPr>
        <w:keepLines/>
        <w:ind w:right="-567"/>
        <w:jc w:val="right"/>
        <w:rPr>
          <w:rFonts w:ascii="Arial" w:eastAsia="Times New Roman" w:hAnsi="Arial" w:cs="Times New Roman"/>
          <w:b/>
          <w:sz w:val="22"/>
          <w:szCs w:val="22"/>
        </w:rPr>
      </w:pPr>
    </w:p>
    <w:p w14:paraId="0E80106D" w14:textId="77777777" w:rsidR="00793188" w:rsidRPr="00793188" w:rsidRDefault="00793188" w:rsidP="00793188">
      <w:pPr>
        <w:keepLines/>
        <w:ind w:right="-567"/>
        <w:jc w:val="both"/>
        <w:rPr>
          <w:rFonts w:ascii="Arial" w:eastAsia="Times New Roman" w:hAnsi="Arial" w:cs="Times New Roman"/>
          <w:b/>
          <w:sz w:val="22"/>
          <w:szCs w:val="22"/>
        </w:rPr>
      </w:pPr>
    </w:p>
    <w:p w14:paraId="6202CE5B" w14:textId="77777777" w:rsidR="00793188" w:rsidRPr="00793188" w:rsidRDefault="00793188" w:rsidP="00793188">
      <w:pPr>
        <w:keepLines/>
        <w:ind w:right="-28"/>
        <w:jc w:val="both"/>
        <w:rPr>
          <w:rFonts w:ascii="Arial" w:eastAsia="Times New Roman" w:hAnsi="Arial" w:cs="Times New Roman"/>
          <w:b/>
          <w:sz w:val="22"/>
          <w:szCs w:val="22"/>
        </w:rPr>
      </w:pPr>
      <w:r w:rsidRPr="00793188">
        <w:rPr>
          <w:rFonts w:ascii="Arial" w:eastAsia="Times New Roman" w:hAnsi="Arial" w:cs="Times New Roman"/>
          <w:b/>
          <w:sz w:val="22"/>
          <w:szCs w:val="22"/>
        </w:rPr>
        <w:t xml:space="preserve">Assunto: Demonstrações Contábeis Individuais e Consolidadas, revisão semestral </w:t>
      </w:r>
      <w:proofErr w:type="gramStart"/>
      <w:r w:rsidRPr="00793188">
        <w:rPr>
          <w:rFonts w:ascii="Arial" w:eastAsia="Times New Roman" w:hAnsi="Arial" w:cs="Times New Roman"/>
          <w:b/>
          <w:sz w:val="22"/>
          <w:szCs w:val="22"/>
        </w:rPr>
        <w:t>do  Estudo</w:t>
      </w:r>
      <w:proofErr w:type="gramEnd"/>
      <w:r w:rsidRPr="00793188">
        <w:rPr>
          <w:rFonts w:ascii="Arial" w:eastAsia="Times New Roman" w:hAnsi="Arial" w:cs="Times New Roman"/>
          <w:b/>
          <w:sz w:val="22"/>
          <w:szCs w:val="22"/>
        </w:rPr>
        <w:t xml:space="preserve"> do Crédito Tributário e o acompanhamento da Execução Orçamentária da CAIXA, referentes ao 1º semestre de 2024.</w:t>
      </w:r>
    </w:p>
    <w:p w14:paraId="20B37212" w14:textId="77777777" w:rsidR="00793188" w:rsidRPr="00793188" w:rsidRDefault="00793188" w:rsidP="00793188">
      <w:pPr>
        <w:keepLines/>
        <w:autoSpaceDE w:val="0"/>
        <w:autoSpaceDN w:val="0"/>
        <w:adjustRightInd w:val="0"/>
        <w:ind w:right="-567" w:firstLine="720"/>
        <w:rPr>
          <w:rFonts w:ascii="Times New Roman" w:eastAsia="Times New Roman" w:hAnsi="Times New Roman" w:cs="Arial"/>
          <w:caps/>
          <w:sz w:val="22"/>
          <w:szCs w:val="22"/>
        </w:rPr>
      </w:pPr>
    </w:p>
    <w:p w14:paraId="1F2BDD6E" w14:textId="77777777" w:rsidR="00793188" w:rsidRPr="00793188" w:rsidRDefault="00793188" w:rsidP="00793188">
      <w:pPr>
        <w:keepLines/>
        <w:autoSpaceDE w:val="0"/>
        <w:autoSpaceDN w:val="0"/>
        <w:adjustRightInd w:val="0"/>
        <w:ind w:right="-567" w:firstLine="720"/>
        <w:rPr>
          <w:rFonts w:ascii="Times New Roman" w:eastAsia="Times New Roman" w:hAnsi="Times New Roman" w:cs="Arial"/>
          <w:caps/>
          <w:sz w:val="22"/>
          <w:szCs w:val="22"/>
        </w:rPr>
      </w:pPr>
    </w:p>
    <w:p w14:paraId="70DA83F9" w14:textId="77777777" w:rsidR="00793188" w:rsidRPr="00793188" w:rsidRDefault="00793188" w:rsidP="00793188">
      <w:pPr>
        <w:tabs>
          <w:tab w:val="left" w:pos="9469"/>
        </w:tabs>
        <w:spacing w:line="360" w:lineRule="auto"/>
        <w:ind w:firstLine="1134"/>
        <w:jc w:val="both"/>
        <w:rPr>
          <w:rFonts w:ascii="Arial" w:eastAsia="Times New Roman" w:hAnsi="Arial" w:cs="Arial"/>
          <w:bCs/>
          <w:sz w:val="22"/>
          <w:szCs w:val="22"/>
        </w:rPr>
      </w:pPr>
      <w:r w:rsidRPr="00793188">
        <w:rPr>
          <w:rFonts w:ascii="Arial" w:eastAsia="Times New Roman" w:hAnsi="Arial" w:cs="Arial"/>
          <w:sz w:val="22"/>
          <w:szCs w:val="22"/>
        </w:rPr>
        <w:t xml:space="preserve">O Conselho Fiscal da Caixa Econômica Federal, em cumprimento ao disposto nos incisos II, III, e XVI do Artigo 67, do Estatuto Social da CAIXA, </w:t>
      </w:r>
      <w:r w:rsidRPr="00793188">
        <w:rPr>
          <w:rFonts w:ascii="Arial" w:eastAsia="Times New Roman" w:hAnsi="Arial" w:cs="Arial"/>
          <w:b/>
          <w:bCs/>
          <w:sz w:val="22"/>
          <w:szCs w:val="22"/>
        </w:rPr>
        <w:t>examinou</w:t>
      </w:r>
      <w:r w:rsidRPr="00793188">
        <w:rPr>
          <w:rFonts w:ascii="Arial" w:eastAsia="Times New Roman" w:hAnsi="Arial" w:cs="Arial"/>
          <w:bCs/>
          <w:sz w:val="22"/>
          <w:szCs w:val="22"/>
        </w:rPr>
        <w:t xml:space="preserve"> as Demonstrações Contábeis Intermediárias Individuais e Consolidadas, a revisão semestral do Estudo do Crédito Tributário, e o acompanhamento da Execução Orçamentária da CAIXA, referentes ao 1º semestre de 2024, aprovada pela Resolução n° 1598/2024 e Parecer n° 018/2024, da Ata 876, de 19/08/2024, ambos do Conselho de Administração e, considerando o Parecer do Comitê de Auditoria n° 116/2024 da Ata 487, de 15/08/2024, e a manifestação da empresa de auditoria independente, KPMG Auditores Independentes, bem como os subsídios e esclarecimentos obtidos durante a reunião, </w:t>
      </w:r>
      <w:r w:rsidRPr="00793188">
        <w:rPr>
          <w:rFonts w:ascii="Arial" w:eastAsia="Times New Roman" w:hAnsi="Arial" w:cs="Arial"/>
          <w:b/>
          <w:sz w:val="22"/>
          <w:szCs w:val="22"/>
        </w:rPr>
        <w:t>opina favoravelmente</w:t>
      </w:r>
      <w:r w:rsidRPr="00793188">
        <w:rPr>
          <w:rFonts w:ascii="Arial" w:eastAsia="Times New Roman" w:hAnsi="Arial" w:cs="Arial"/>
          <w:bCs/>
          <w:sz w:val="22"/>
          <w:szCs w:val="22"/>
        </w:rPr>
        <w:t xml:space="preserve"> sobre as Demonstrações. Observado o exposto, o Colegiado não identifica óbices à divulgação da referida matéria.</w:t>
      </w:r>
    </w:p>
    <w:p w14:paraId="0A05DE72" w14:textId="77777777" w:rsidR="00793188" w:rsidRPr="00793188" w:rsidRDefault="00793188" w:rsidP="00793188">
      <w:pPr>
        <w:tabs>
          <w:tab w:val="left" w:pos="9469"/>
        </w:tabs>
        <w:spacing w:line="360" w:lineRule="auto"/>
        <w:ind w:firstLine="1134"/>
        <w:jc w:val="both"/>
        <w:rPr>
          <w:rFonts w:ascii="Arial" w:eastAsia="Times New Roman" w:hAnsi="Arial" w:cs="Arial"/>
          <w:bCs/>
          <w:sz w:val="22"/>
          <w:szCs w:val="22"/>
        </w:rPr>
      </w:pPr>
    </w:p>
    <w:p w14:paraId="1E337FFA" w14:textId="77777777" w:rsidR="00793188" w:rsidRPr="00793188" w:rsidRDefault="00793188" w:rsidP="00793188">
      <w:pPr>
        <w:tabs>
          <w:tab w:val="left" w:pos="9214"/>
        </w:tabs>
        <w:spacing w:before="120"/>
        <w:jc w:val="right"/>
        <w:rPr>
          <w:rFonts w:ascii="Arial" w:eastAsia="Times New Roman" w:hAnsi="Arial" w:cs="Times New Roman"/>
          <w:sz w:val="22"/>
          <w:szCs w:val="22"/>
        </w:rPr>
      </w:pPr>
      <w:r w:rsidRPr="00793188">
        <w:rPr>
          <w:rFonts w:ascii="Arial" w:eastAsia="Times New Roman" w:hAnsi="Arial" w:cs="Times New Roman"/>
          <w:sz w:val="22"/>
          <w:szCs w:val="22"/>
        </w:rPr>
        <w:t>Brasília, 20 de agosto de 2024.</w:t>
      </w:r>
    </w:p>
    <w:p w14:paraId="38C15504" w14:textId="77777777" w:rsidR="00793188" w:rsidRPr="00793188" w:rsidRDefault="00793188" w:rsidP="00793188">
      <w:pPr>
        <w:tabs>
          <w:tab w:val="left" w:pos="9214"/>
        </w:tabs>
        <w:jc w:val="right"/>
        <w:rPr>
          <w:rFonts w:ascii="Arial" w:eastAsia="Times New Roman" w:hAnsi="Arial" w:cs="Times New Roman"/>
          <w:sz w:val="22"/>
          <w:szCs w:val="22"/>
        </w:rPr>
      </w:pPr>
    </w:p>
    <w:p w14:paraId="6BE740F5" w14:textId="77777777" w:rsidR="00793188" w:rsidRPr="00793188" w:rsidRDefault="00793188" w:rsidP="00793188">
      <w:pPr>
        <w:tabs>
          <w:tab w:val="left" w:pos="9214"/>
        </w:tabs>
        <w:jc w:val="right"/>
        <w:rPr>
          <w:rFonts w:ascii="Arial" w:eastAsia="Times New Roman" w:hAnsi="Arial" w:cs="Times New Roman"/>
          <w:sz w:val="22"/>
          <w:szCs w:val="22"/>
        </w:rPr>
      </w:pPr>
    </w:p>
    <w:p w14:paraId="21B3F449" w14:textId="77777777" w:rsidR="00793188" w:rsidRPr="00793188" w:rsidRDefault="00793188" w:rsidP="00793188">
      <w:pPr>
        <w:tabs>
          <w:tab w:val="left" w:pos="9214"/>
        </w:tabs>
        <w:jc w:val="right"/>
        <w:rPr>
          <w:rFonts w:ascii="Arial" w:eastAsia="Times New Roman" w:hAnsi="Arial" w:cs="Times New Roman"/>
          <w:sz w:val="22"/>
          <w:szCs w:val="22"/>
        </w:rPr>
      </w:pPr>
    </w:p>
    <w:p w14:paraId="0FAF62F9" w14:textId="77777777" w:rsidR="00793188" w:rsidRPr="00793188" w:rsidRDefault="00793188" w:rsidP="00793188">
      <w:pPr>
        <w:tabs>
          <w:tab w:val="left" w:pos="9214"/>
        </w:tabs>
        <w:spacing w:before="120"/>
        <w:jc w:val="right"/>
        <w:rPr>
          <w:rFonts w:ascii="Arial" w:eastAsia="Times New Roman" w:hAnsi="Arial" w:cs="Times New Roman"/>
          <w:sz w:val="22"/>
          <w:szCs w:val="22"/>
        </w:rPr>
      </w:pPr>
    </w:p>
    <w:tbl>
      <w:tblPr>
        <w:tblW w:w="9527" w:type="dxa"/>
        <w:tblInd w:w="-142" w:type="dxa"/>
        <w:tblLook w:val="04A0" w:firstRow="1" w:lastRow="0" w:firstColumn="1" w:lastColumn="0" w:noHBand="0" w:noVBand="1"/>
      </w:tblPr>
      <w:tblGrid>
        <w:gridCol w:w="4996"/>
        <w:gridCol w:w="4531"/>
      </w:tblGrid>
      <w:tr w:rsidR="00793188" w:rsidRPr="00793188" w14:paraId="69201BC3" w14:textId="77777777" w:rsidTr="007F4CE7">
        <w:trPr>
          <w:trHeight w:val="922"/>
        </w:trPr>
        <w:tc>
          <w:tcPr>
            <w:tcW w:w="4996" w:type="dxa"/>
            <w:shd w:val="clear" w:color="auto" w:fill="auto"/>
          </w:tcPr>
          <w:p w14:paraId="5674A4C0" w14:textId="77777777" w:rsidR="00793188" w:rsidRPr="00793188" w:rsidRDefault="00793188" w:rsidP="00793188">
            <w:pPr>
              <w:snapToGrid w:val="0"/>
              <w:ind w:right="-107"/>
              <w:rPr>
                <w:rFonts w:ascii="Arial" w:eastAsia="MS Mincho" w:hAnsi="Arial" w:cs="Arial"/>
                <w:sz w:val="22"/>
                <w:szCs w:val="28"/>
              </w:rPr>
            </w:pPr>
            <w:r w:rsidRPr="00793188">
              <w:rPr>
                <w:rFonts w:ascii="Arial" w:eastAsia="MS Mincho" w:hAnsi="Arial" w:cs="Arial"/>
                <w:sz w:val="22"/>
                <w:szCs w:val="28"/>
              </w:rPr>
              <w:t>GILSON ALCEU BITTENCOURT</w:t>
            </w:r>
          </w:p>
          <w:p w14:paraId="53E13FBA" w14:textId="77777777" w:rsidR="00793188" w:rsidRPr="00793188" w:rsidRDefault="00793188" w:rsidP="00793188">
            <w:pPr>
              <w:rPr>
                <w:rFonts w:ascii="Arial" w:eastAsia="MS Mincho" w:hAnsi="Arial" w:cs="Arial"/>
                <w:sz w:val="22"/>
                <w:szCs w:val="28"/>
              </w:rPr>
            </w:pPr>
            <w:r w:rsidRPr="00793188">
              <w:rPr>
                <w:rFonts w:ascii="Arial" w:eastAsia="MS Mincho" w:hAnsi="Arial" w:cs="Arial"/>
                <w:sz w:val="22"/>
                <w:szCs w:val="28"/>
              </w:rPr>
              <w:t>Membro Titular</w:t>
            </w:r>
          </w:p>
          <w:p w14:paraId="0356A495" w14:textId="77777777" w:rsidR="00793188" w:rsidRPr="00793188" w:rsidRDefault="00793188" w:rsidP="00793188">
            <w:pPr>
              <w:rPr>
                <w:rFonts w:ascii="Arial" w:eastAsia="MS Mincho" w:hAnsi="Arial" w:cs="Arial"/>
                <w:sz w:val="22"/>
                <w:szCs w:val="28"/>
              </w:rPr>
            </w:pPr>
          </w:p>
          <w:p w14:paraId="2DF48BB9" w14:textId="77777777" w:rsidR="00793188" w:rsidRPr="00793188" w:rsidRDefault="00793188" w:rsidP="00793188">
            <w:pPr>
              <w:rPr>
                <w:rFonts w:ascii="Arial" w:eastAsia="MS Mincho" w:hAnsi="Arial" w:cs="Arial"/>
                <w:sz w:val="22"/>
                <w:szCs w:val="28"/>
              </w:rPr>
            </w:pPr>
          </w:p>
          <w:p w14:paraId="19A0F666" w14:textId="77777777" w:rsidR="00793188" w:rsidRPr="00793188" w:rsidRDefault="00793188" w:rsidP="00793188">
            <w:pPr>
              <w:rPr>
                <w:rFonts w:ascii="Arial" w:eastAsia="MS Mincho" w:hAnsi="Arial" w:cs="Arial"/>
                <w:sz w:val="22"/>
                <w:szCs w:val="28"/>
              </w:rPr>
            </w:pPr>
          </w:p>
          <w:p w14:paraId="4F1977C0" w14:textId="77777777" w:rsidR="00793188" w:rsidRPr="00793188" w:rsidRDefault="00793188" w:rsidP="00793188">
            <w:pPr>
              <w:rPr>
                <w:rFonts w:ascii="Arial" w:eastAsia="MS Mincho" w:hAnsi="Arial" w:cs="Arial"/>
                <w:sz w:val="22"/>
                <w:szCs w:val="28"/>
              </w:rPr>
            </w:pPr>
          </w:p>
        </w:tc>
        <w:tc>
          <w:tcPr>
            <w:tcW w:w="4531" w:type="dxa"/>
            <w:shd w:val="clear" w:color="auto" w:fill="auto"/>
          </w:tcPr>
          <w:p w14:paraId="1F13F2A5" w14:textId="77777777" w:rsidR="00793188" w:rsidRPr="00793188" w:rsidRDefault="00793188" w:rsidP="00793188">
            <w:pPr>
              <w:jc w:val="right"/>
              <w:rPr>
                <w:rFonts w:ascii="Arial" w:eastAsia="MS Mincho" w:hAnsi="Arial" w:cs="Arial"/>
                <w:sz w:val="22"/>
                <w:szCs w:val="28"/>
              </w:rPr>
            </w:pPr>
            <w:r w:rsidRPr="00793188">
              <w:rPr>
                <w:rFonts w:ascii="Arial" w:eastAsia="MS Mincho" w:hAnsi="Arial" w:cs="Arial"/>
                <w:sz w:val="22"/>
                <w:szCs w:val="28"/>
              </w:rPr>
              <w:t>MARCELO PEREIRA DE AMORIM</w:t>
            </w:r>
          </w:p>
          <w:p w14:paraId="5B505B03" w14:textId="77777777" w:rsidR="00793188" w:rsidRPr="00793188" w:rsidRDefault="00793188" w:rsidP="00793188">
            <w:pPr>
              <w:jc w:val="right"/>
              <w:rPr>
                <w:rFonts w:ascii="Arial" w:eastAsia="MS Mincho" w:hAnsi="Arial" w:cs="Arial"/>
                <w:sz w:val="22"/>
                <w:szCs w:val="28"/>
              </w:rPr>
            </w:pPr>
            <w:r w:rsidRPr="00793188">
              <w:rPr>
                <w:rFonts w:ascii="Arial" w:eastAsia="MS Mincho" w:hAnsi="Arial" w:cs="Arial"/>
                <w:sz w:val="22"/>
                <w:szCs w:val="28"/>
              </w:rPr>
              <w:t>Presidente</w:t>
            </w:r>
          </w:p>
          <w:p w14:paraId="34C06F56" w14:textId="77777777" w:rsidR="00793188" w:rsidRPr="00793188" w:rsidRDefault="00793188" w:rsidP="00793188">
            <w:pPr>
              <w:jc w:val="right"/>
              <w:rPr>
                <w:rFonts w:ascii="Arial" w:eastAsia="MS Mincho" w:hAnsi="Arial" w:cs="Arial"/>
                <w:sz w:val="22"/>
                <w:szCs w:val="28"/>
              </w:rPr>
            </w:pPr>
          </w:p>
          <w:p w14:paraId="557C09A3" w14:textId="77777777" w:rsidR="00793188" w:rsidRPr="00793188" w:rsidRDefault="00793188" w:rsidP="00793188">
            <w:pPr>
              <w:jc w:val="right"/>
              <w:rPr>
                <w:rFonts w:ascii="Arial" w:eastAsia="MS Mincho" w:hAnsi="Arial" w:cs="Arial"/>
                <w:sz w:val="22"/>
                <w:szCs w:val="28"/>
              </w:rPr>
            </w:pPr>
          </w:p>
          <w:p w14:paraId="128A926D" w14:textId="77777777" w:rsidR="00793188" w:rsidRPr="00793188" w:rsidRDefault="00793188" w:rsidP="00793188">
            <w:pPr>
              <w:jc w:val="right"/>
              <w:rPr>
                <w:rFonts w:ascii="Arial" w:eastAsia="MS Mincho" w:hAnsi="Arial" w:cs="Arial"/>
                <w:sz w:val="22"/>
                <w:szCs w:val="28"/>
              </w:rPr>
            </w:pPr>
          </w:p>
        </w:tc>
      </w:tr>
      <w:tr w:rsidR="00793188" w:rsidRPr="00793188" w14:paraId="202D891C" w14:textId="77777777" w:rsidTr="007F4CE7">
        <w:trPr>
          <w:trHeight w:val="866"/>
        </w:trPr>
        <w:tc>
          <w:tcPr>
            <w:tcW w:w="9527" w:type="dxa"/>
            <w:gridSpan w:val="2"/>
            <w:shd w:val="clear" w:color="auto" w:fill="auto"/>
          </w:tcPr>
          <w:p w14:paraId="0FD60293" w14:textId="77777777" w:rsidR="00793188" w:rsidRPr="00793188" w:rsidRDefault="00793188" w:rsidP="00793188">
            <w:pPr>
              <w:jc w:val="center"/>
              <w:rPr>
                <w:rFonts w:ascii="Arial" w:eastAsia="MS Mincho" w:hAnsi="Arial" w:cs="Arial"/>
                <w:sz w:val="22"/>
                <w:szCs w:val="28"/>
              </w:rPr>
            </w:pPr>
          </w:p>
        </w:tc>
      </w:tr>
    </w:tbl>
    <w:p w14:paraId="2A4E4757" w14:textId="77777777" w:rsidR="00F347F0" w:rsidRDefault="00F347F0" w:rsidP="00BF11D3">
      <w:pPr>
        <w:sectPr w:rsidR="00F347F0" w:rsidSect="001F0E96">
          <w:pgSz w:w="11907" w:h="16840" w:code="9"/>
          <w:pgMar w:top="1440" w:right="1080" w:bottom="1440" w:left="1080" w:header="1134" w:footer="709" w:gutter="0"/>
          <w:cols w:space="708"/>
          <w:titlePg/>
          <w:docGrid w:linePitch="360"/>
        </w:sectPr>
      </w:pPr>
    </w:p>
    <w:p w14:paraId="181398A5" w14:textId="6F4CCA40" w:rsidR="00B96F18" w:rsidRDefault="00B96F18" w:rsidP="00B96F18">
      <w:pPr>
        <w:pStyle w:val="Ttulo1"/>
      </w:pPr>
      <w:bookmarkStart w:id="109" w:name="_Toc175067979"/>
      <w:r>
        <w:lastRenderedPageBreak/>
        <w:t>Parecer do Conselho de Administração</w:t>
      </w:r>
      <w:bookmarkEnd w:id="109"/>
    </w:p>
    <w:p w14:paraId="35D87A39" w14:textId="77777777" w:rsidR="00BF11D3" w:rsidRPr="00BF11D3" w:rsidRDefault="00BF11D3" w:rsidP="00BF11D3"/>
    <w:p w14:paraId="61155F79" w14:textId="77777777" w:rsidR="00F17644" w:rsidRPr="00B67267" w:rsidRDefault="00F17644" w:rsidP="00BF2EC9">
      <w:pPr>
        <w:jc w:val="center"/>
        <w:rPr>
          <w:rFonts w:ascii="Arial" w:hAnsi="Arial" w:cs="Arial"/>
          <w:b/>
          <w:bCs/>
          <w:u w:val="single"/>
        </w:rPr>
      </w:pPr>
      <w:r w:rsidRPr="00B67267">
        <w:rPr>
          <w:rFonts w:ascii="Arial" w:hAnsi="Arial" w:cs="Arial"/>
          <w:b/>
          <w:bCs/>
          <w:u w:val="single"/>
        </w:rPr>
        <w:t>Parecer nº 018 – Ata nº 876, de 19/08/2024</w:t>
      </w:r>
    </w:p>
    <w:p w14:paraId="0BFC8432" w14:textId="77777777" w:rsidR="00F17644" w:rsidRPr="00F17644" w:rsidRDefault="00F17644" w:rsidP="00F17644">
      <w:pPr>
        <w:rPr>
          <w:rFonts w:ascii="Times New Roman" w:eastAsia="Times New Roman" w:hAnsi="Times New Roman" w:cs="Times New Roman"/>
          <w:sz w:val="20"/>
          <w:szCs w:val="20"/>
        </w:rPr>
      </w:pPr>
    </w:p>
    <w:p w14:paraId="71682078" w14:textId="77777777" w:rsidR="00F17644" w:rsidRPr="00F17644" w:rsidRDefault="00F17644" w:rsidP="00F17644">
      <w:pPr>
        <w:rPr>
          <w:rFonts w:ascii="Times New Roman" w:eastAsia="Times New Roman" w:hAnsi="Times New Roman" w:cs="Times New Roman"/>
          <w:sz w:val="20"/>
          <w:szCs w:val="20"/>
        </w:rPr>
      </w:pPr>
    </w:p>
    <w:p w14:paraId="42B27F2C" w14:textId="77777777" w:rsidR="00F17644" w:rsidRPr="00F17644" w:rsidRDefault="00F17644" w:rsidP="00F17644">
      <w:pPr>
        <w:keepLines/>
        <w:ind w:right="113"/>
        <w:jc w:val="both"/>
        <w:rPr>
          <w:rFonts w:ascii="Arial" w:eastAsia="Times New Roman" w:hAnsi="Arial" w:cs="Arial"/>
          <w:b/>
          <w:color w:val="000000"/>
          <w:sz w:val="22"/>
          <w:szCs w:val="22"/>
        </w:rPr>
      </w:pPr>
      <w:r w:rsidRPr="00F17644">
        <w:rPr>
          <w:rFonts w:ascii="Arial" w:eastAsia="Times New Roman" w:hAnsi="Arial" w:cs="Arial"/>
          <w:b/>
          <w:color w:val="000000"/>
          <w:sz w:val="22"/>
          <w:szCs w:val="22"/>
        </w:rPr>
        <w:t xml:space="preserve">Assunto: </w:t>
      </w:r>
      <w:r w:rsidRPr="00F17644">
        <w:rPr>
          <w:rFonts w:ascii="Arial" w:eastAsia="Times New Roman" w:hAnsi="Arial" w:cs="Arial"/>
          <w:b/>
          <w:bCs/>
          <w:sz w:val="22"/>
          <w:szCs w:val="22"/>
        </w:rPr>
        <w:t>Demonstrações Contábeis Intermediárias Individuais e Consolidadas, Revisão Semestral do Estudo do Crédito Tributário e acompanhamento da Execução Orçamentária da CAIXA, referentes ao 1° semestre de 2024.</w:t>
      </w:r>
    </w:p>
    <w:p w14:paraId="54C5A442" w14:textId="77777777" w:rsidR="00F17644" w:rsidRPr="00F17644" w:rsidRDefault="00F17644" w:rsidP="00F17644">
      <w:pPr>
        <w:keepLines/>
        <w:ind w:right="113"/>
        <w:jc w:val="both"/>
        <w:rPr>
          <w:rFonts w:ascii="Arial" w:eastAsia="Times New Roman" w:hAnsi="Arial" w:cs="Arial"/>
          <w:b/>
          <w:color w:val="000000"/>
          <w:sz w:val="22"/>
          <w:szCs w:val="22"/>
        </w:rPr>
      </w:pPr>
    </w:p>
    <w:p w14:paraId="3D3B59AF" w14:textId="77777777" w:rsidR="00F17644" w:rsidRPr="00F17644" w:rsidRDefault="00F17644" w:rsidP="00F17644">
      <w:pPr>
        <w:keepLines/>
        <w:spacing w:line="360" w:lineRule="auto"/>
        <w:ind w:right="113" w:firstLine="1134"/>
        <w:jc w:val="both"/>
        <w:rPr>
          <w:rFonts w:ascii="Arial" w:eastAsia="Times New Roman" w:hAnsi="Arial" w:cs="Arial"/>
          <w:bCs/>
          <w:sz w:val="22"/>
          <w:szCs w:val="22"/>
        </w:rPr>
      </w:pPr>
      <w:bookmarkStart w:id="110" w:name="_Hlk79772213"/>
      <w:r w:rsidRPr="00F17644">
        <w:rPr>
          <w:rFonts w:ascii="Arial" w:eastAsia="Times New Roman" w:hAnsi="Arial" w:cs="Arial"/>
          <w:sz w:val="22"/>
          <w:szCs w:val="20"/>
        </w:rPr>
        <w:t xml:space="preserve">O Conselho de Administração da Caixa Econômica Federal, em cumprimento ao disposto no Artigo 38, inciso XVI, alínea “c”, do Estatuto Social da CAIXA, considerando a manifestação da </w:t>
      </w:r>
      <w:r w:rsidRPr="00F17644">
        <w:rPr>
          <w:rFonts w:ascii="Arial" w:eastAsia="Times New Roman" w:hAnsi="Arial" w:cs="Arial"/>
          <w:iCs/>
          <w:sz w:val="22"/>
          <w:szCs w:val="20"/>
        </w:rPr>
        <w:t>KPMG</w:t>
      </w:r>
      <w:r w:rsidRPr="00F17644">
        <w:rPr>
          <w:rFonts w:ascii="Arial" w:eastAsia="Times New Roman" w:hAnsi="Arial" w:cs="Arial"/>
          <w:i/>
          <w:sz w:val="22"/>
          <w:szCs w:val="20"/>
        </w:rPr>
        <w:t xml:space="preserve"> </w:t>
      </w:r>
      <w:r w:rsidRPr="00F17644">
        <w:rPr>
          <w:rFonts w:ascii="Arial" w:eastAsia="Times New Roman" w:hAnsi="Arial" w:cs="Arial"/>
          <w:sz w:val="22"/>
          <w:szCs w:val="20"/>
        </w:rPr>
        <w:t xml:space="preserve">Auditores Independentes e </w:t>
      </w:r>
      <w:r w:rsidRPr="00F17644">
        <w:rPr>
          <w:rFonts w:ascii="Arial" w:eastAsia="Times New Roman" w:hAnsi="Arial" w:cs="Arial"/>
          <w:sz w:val="22"/>
          <w:szCs w:val="22"/>
        </w:rPr>
        <w:t xml:space="preserve">o Parecer do Comitê de Auditoria nº 116/2024 da Ata 487, </w:t>
      </w:r>
      <w:r w:rsidRPr="00F17644">
        <w:rPr>
          <w:rFonts w:ascii="Arial" w:eastAsia="Times New Roman" w:hAnsi="Arial" w:cs="Arial"/>
          <w:sz w:val="22"/>
          <w:szCs w:val="20"/>
        </w:rPr>
        <w:t xml:space="preserve">de 15/08/2024, </w:t>
      </w:r>
      <w:r w:rsidRPr="00F17644">
        <w:rPr>
          <w:rFonts w:ascii="Arial" w:eastAsia="Times New Roman" w:hAnsi="Arial" w:cs="Arial"/>
          <w:b/>
          <w:sz w:val="22"/>
          <w:szCs w:val="22"/>
        </w:rPr>
        <w:t>aprovou</w:t>
      </w:r>
      <w:bookmarkEnd w:id="110"/>
      <w:r w:rsidRPr="00F17644">
        <w:rPr>
          <w:rFonts w:ascii="Arial" w:eastAsia="Times New Roman" w:hAnsi="Arial" w:cs="Arial"/>
          <w:bCs/>
          <w:sz w:val="22"/>
          <w:szCs w:val="22"/>
        </w:rPr>
        <w:t>:</w:t>
      </w:r>
      <w:r w:rsidRPr="00F17644">
        <w:rPr>
          <w:rFonts w:ascii="Arial" w:eastAsia="Times New Roman" w:hAnsi="Arial" w:cs="Arial"/>
          <w:b/>
          <w:sz w:val="22"/>
          <w:szCs w:val="22"/>
        </w:rPr>
        <w:t xml:space="preserve"> 1)</w:t>
      </w:r>
      <w:r w:rsidRPr="00F17644">
        <w:rPr>
          <w:rFonts w:ascii="Arial" w:eastAsia="Times New Roman" w:hAnsi="Arial" w:cs="Arial"/>
          <w:bCs/>
          <w:sz w:val="22"/>
          <w:szCs w:val="22"/>
        </w:rPr>
        <w:t xml:space="preserve"> as Demonstrações Contábeis Individuais e Consolidadas referentes ao exercício 1° semestre de 2024; </w:t>
      </w:r>
      <w:r w:rsidRPr="00F17644">
        <w:rPr>
          <w:rFonts w:ascii="Arial" w:eastAsia="Times New Roman" w:hAnsi="Arial" w:cs="Arial"/>
          <w:b/>
          <w:sz w:val="22"/>
          <w:szCs w:val="22"/>
        </w:rPr>
        <w:t>2)</w:t>
      </w:r>
      <w:r w:rsidRPr="00F17644">
        <w:rPr>
          <w:rFonts w:ascii="Arial" w:eastAsia="Times New Roman" w:hAnsi="Arial" w:cs="Arial"/>
          <w:bCs/>
          <w:sz w:val="22"/>
          <w:szCs w:val="22"/>
        </w:rPr>
        <w:t xml:space="preserve"> a revisão semestral do Estudo do Crédito Tributário referente ao 1° semestre de 2024; e </w:t>
      </w:r>
      <w:r w:rsidRPr="00F17644">
        <w:rPr>
          <w:rFonts w:ascii="Arial" w:eastAsia="Times New Roman" w:hAnsi="Arial" w:cs="Arial"/>
          <w:b/>
          <w:sz w:val="22"/>
          <w:szCs w:val="22"/>
        </w:rPr>
        <w:t>3)</w:t>
      </w:r>
      <w:r w:rsidRPr="00F17644">
        <w:rPr>
          <w:rFonts w:ascii="Arial" w:eastAsia="Times New Roman" w:hAnsi="Arial" w:cs="Arial"/>
          <w:bCs/>
          <w:sz w:val="22"/>
          <w:szCs w:val="22"/>
        </w:rPr>
        <w:t> o acompanhamento da Execução Orçamentária da CAIXA referente ao 1° semestre de 2024.</w:t>
      </w:r>
    </w:p>
    <w:p w14:paraId="28EC6305" w14:textId="77777777" w:rsidR="00F17644" w:rsidRPr="00F17644" w:rsidRDefault="00F17644" w:rsidP="00F17644">
      <w:pPr>
        <w:tabs>
          <w:tab w:val="left" w:pos="9498"/>
        </w:tabs>
        <w:spacing w:line="360" w:lineRule="auto"/>
        <w:ind w:right="113" w:firstLine="1134"/>
        <w:jc w:val="both"/>
        <w:rPr>
          <w:rFonts w:ascii="Arial" w:eastAsia="Times New Roman" w:hAnsi="Arial" w:cs="Times New Roman"/>
          <w:sz w:val="22"/>
          <w:szCs w:val="20"/>
        </w:rPr>
      </w:pPr>
    </w:p>
    <w:p w14:paraId="0F9F857F" w14:textId="77777777" w:rsidR="00F17644" w:rsidRPr="00F17644" w:rsidRDefault="00F17644" w:rsidP="00F17644">
      <w:pPr>
        <w:tabs>
          <w:tab w:val="left" w:pos="9214"/>
        </w:tabs>
        <w:ind w:right="113"/>
        <w:jc w:val="right"/>
        <w:rPr>
          <w:rFonts w:ascii="Arial" w:eastAsia="Times New Roman" w:hAnsi="Arial" w:cs="Times New Roman"/>
          <w:sz w:val="22"/>
          <w:szCs w:val="20"/>
        </w:rPr>
      </w:pPr>
    </w:p>
    <w:p w14:paraId="75D101F8" w14:textId="77777777" w:rsidR="00F17644" w:rsidRPr="00F17644" w:rsidRDefault="00F17644" w:rsidP="00F17644">
      <w:pPr>
        <w:tabs>
          <w:tab w:val="left" w:pos="9214"/>
        </w:tabs>
        <w:ind w:right="113"/>
        <w:jc w:val="right"/>
        <w:rPr>
          <w:rFonts w:ascii="Arial" w:eastAsia="Times New Roman" w:hAnsi="Arial" w:cs="Times New Roman"/>
          <w:sz w:val="22"/>
          <w:szCs w:val="20"/>
        </w:rPr>
      </w:pPr>
      <w:r w:rsidRPr="00F17644">
        <w:rPr>
          <w:rFonts w:ascii="Arial" w:eastAsia="Times New Roman" w:hAnsi="Arial" w:cs="Times New Roman"/>
          <w:sz w:val="22"/>
          <w:szCs w:val="20"/>
        </w:rPr>
        <w:t>Brasília, 19 de agosto de 2024.</w:t>
      </w:r>
    </w:p>
    <w:p w14:paraId="6E458712" w14:textId="77777777" w:rsidR="00F17644" w:rsidRPr="00F17644" w:rsidRDefault="00F17644" w:rsidP="00F17644">
      <w:pPr>
        <w:tabs>
          <w:tab w:val="left" w:pos="9214"/>
        </w:tabs>
        <w:ind w:right="113"/>
        <w:jc w:val="right"/>
        <w:rPr>
          <w:rFonts w:ascii="Arial" w:eastAsia="Times New Roman" w:hAnsi="Arial" w:cs="Times New Roman"/>
          <w:sz w:val="22"/>
          <w:szCs w:val="20"/>
        </w:rPr>
      </w:pPr>
    </w:p>
    <w:p w14:paraId="7C5BA0AA" w14:textId="77777777" w:rsidR="00F17644" w:rsidRPr="00F17644" w:rsidRDefault="00F17644" w:rsidP="00F17644">
      <w:pPr>
        <w:tabs>
          <w:tab w:val="left" w:pos="9214"/>
        </w:tabs>
        <w:ind w:right="113"/>
        <w:jc w:val="right"/>
        <w:rPr>
          <w:rFonts w:ascii="Arial" w:eastAsia="Times New Roman" w:hAnsi="Arial" w:cs="Times New Roman"/>
          <w:sz w:val="22"/>
          <w:szCs w:val="20"/>
        </w:rPr>
      </w:pPr>
    </w:p>
    <w:p w14:paraId="622FA5F2" w14:textId="77777777" w:rsidR="00F17644" w:rsidRPr="00F17644" w:rsidRDefault="00F17644" w:rsidP="00F17644">
      <w:pPr>
        <w:tabs>
          <w:tab w:val="left" w:pos="9214"/>
        </w:tabs>
        <w:ind w:right="113"/>
        <w:jc w:val="right"/>
        <w:rPr>
          <w:rFonts w:ascii="Arial" w:eastAsia="Times New Roman" w:hAnsi="Arial" w:cs="Times New Roman"/>
          <w:sz w:val="22"/>
          <w:szCs w:val="20"/>
        </w:rPr>
      </w:pPr>
    </w:p>
    <w:p w14:paraId="58FE2F6C" w14:textId="77777777" w:rsidR="00F17644" w:rsidRPr="00F17644" w:rsidRDefault="00F17644" w:rsidP="00F17644">
      <w:pPr>
        <w:tabs>
          <w:tab w:val="left" w:pos="9498"/>
        </w:tabs>
        <w:ind w:right="113"/>
        <w:jc w:val="center"/>
        <w:rPr>
          <w:rFonts w:ascii="Arial" w:eastAsia="Times New Roman" w:hAnsi="Arial" w:cs="Times New Roman"/>
          <w:sz w:val="22"/>
          <w:szCs w:val="20"/>
        </w:rPr>
      </w:pPr>
    </w:p>
    <w:tbl>
      <w:tblPr>
        <w:tblStyle w:val="Tabelacomgrade2"/>
        <w:tblW w:w="494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387"/>
      </w:tblGrid>
      <w:tr w:rsidR="00F17644" w:rsidRPr="00F17644" w14:paraId="2D8774B6" w14:textId="77777777" w:rsidTr="007F4CE7">
        <w:trPr>
          <w:trHeight w:val="343"/>
          <w:jc w:val="center"/>
        </w:trPr>
        <w:tc>
          <w:tcPr>
            <w:tcW w:w="2722" w:type="pct"/>
          </w:tcPr>
          <w:p w14:paraId="2A6E1B67" w14:textId="77777777" w:rsidR="00F17644" w:rsidRPr="00F17644" w:rsidRDefault="00F17644" w:rsidP="00F17644">
            <w:pPr>
              <w:tabs>
                <w:tab w:val="left" w:pos="3712"/>
              </w:tabs>
              <w:spacing w:line="300" w:lineRule="exact"/>
              <w:ind w:left="-111"/>
              <w:rPr>
                <w:rFonts w:ascii="Arial" w:hAnsi="Arial" w:cs="Arial"/>
                <w:sz w:val="22"/>
                <w:szCs w:val="22"/>
              </w:rPr>
            </w:pPr>
            <w:r w:rsidRPr="00F17644">
              <w:rPr>
                <w:rFonts w:ascii="Arial" w:hAnsi="Arial" w:cs="Arial"/>
                <w:sz w:val="22"/>
                <w:szCs w:val="22"/>
              </w:rPr>
              <w:t xml:space="preserve">CARLOS ANTÔNIO VIEIRA </w:t>
            </w:r>
          </w:p>
          <w:p w14:paraId="5D1DF7BD" w14:textId="77777777" w:rsidR="00F17644" w:rsidRPr="00F17644" w:rsidRDefault="00F17644" w:rsidP="00F17644">
            <w:pPr>
              <w:tabs>
                <w:tab w:val="left" w:pos="3712"/>
              </w:tabs>
              <w:spacing w:line="300" w:lineRule="exact"/>
              <w:ind w:left="-111"/>
              <w:rPr>
                <w:rFonts w:ascii="Arial" w:hAnsi="Arial" w:cs="Arial"/>
                <w:sz w:val="22"/>
                <w:szCs w:val="22"/>
              </w:rPr>
            </w:pPr>
            <w:r w:rsidRPr="00F17644">
              <w:rPr>
                <w:rFonts w:ascii="Arial" w:hAnsi="Arial" w:cs="Arial"/>
                <w:sz w:val="22"/>
                <w:szCs w:val="22"/>
              </w:rPr>
              <w:t>FERNANDES</w:t>
            </w:r>
          </w:p>
        </w:tc>
        <w:tc>
          <w:tcPr>
            <w:tcW w:w="2278" w:type="pct"/>
          </w:tcPr>
          <w:p w14:paraId="61B5E5C6" w14:textId="77777777" w:rsidR="00F17644" w:rsidRPr="00F17644" w:rsidRDefault="00F17644" w:rsidP="00F17644">
            <w:pPr>
              <w:tabs>
                <w:tab w:val="left" w:pos="3712"/>
              </w:tabs>
              <w:spacing w:line="300" w:lineRule="exact"/>
              <w:jc w:val="right"/>
              <w:rPr>
                <w:rFonts w:ascii="Arial" w:hAnsi="Arial" w:cs="Arial"/>
                <w:sz w:val="22"/>
                <w:szCs w:val="22"/>
              </w:rPr>
            </w:pPr>
            <w:r w:rsidRPr="00F17644">
              <w:rPr>
                <w:rFonts w:ascii="Arial" w:hAnsi="Arial" w:cs="Arial"/>
                <w:sz w:val="22"/>
                <w:szCs w:val="22"/>
              </w:rPr>
              <w:t>EDMUNDO AUGUSTO CHAMON</w:t>
            </w:r>
          </w:p>
          <w:p w14:paraId="1A3CCE26" w14:textId="77777777" w:rsidR="00F17644" w:rsidRPr="00F17644" w:rsidRDefault="00F17644" w:rsidP="00F17644">
            <w:pPr>
              <w:tabs>
                <w:tab w:val="left" w:pos="3712"/>
              </w:tabs>
              <w:spacing w:line="300" w:lineRule="exact"/>
              <w:jc w:val="right"/>
              <w:rPr>
                <w:rFonts w:ascii="Arial" w:hAnsi="Arial" w:cs="Arial"/>
                <w:sz w:val="22"/>
                <w:szCs w:val="22"/>
              </w:rPr>
            </w:pPr>
          </w:p>
          <w:p w14:paraId="29BD4CE4" w14:textId="77777777" w:rsidR="00F17644" w:rsidRPr="00F17644" w:rsidRDefault="00F17644" w:rsidP="00F17644">
            <w:pPr>
              <w:tabs>
                <w:tab w:val="left" w:pos="3712"/>
              </w:tabs>
              <w:spacing w:line="300" w:lineRule="exact"/>
              <w:jc w:val="right"/>
              <w:rPr>
                <w:rFonts w:ascii="Arial" w:hAnsi="Arial" w:cs="Arial"/>
                <w:sz w:val="22"/>
                <w:szCs w:val="22"/>
              </w:rPr>
            </w:pPr>
          </w:p>
          <w:p w14:paraId="5E3B8C6F" w14:textId="77777777" w:rsidR="00F17644" w:rsidRPr="00F17644" w:rsidRDefault="00F17644" w:rsidP="00F17644">
            <w:pPr>
              <w:tabs>
                <w:tab w:val="left" w:pos="3712"/>
              </w:tabs>
              <w:spacing w:line="300" w:lineRule="exact"/>
              <w:jc w:val="right"/>
              <w:rPr>
                <w:rFonts w:ascii="Arial" w:hAnsi="Arial" w:cs="Arial"/>
                <w:sz w:val="22"/>
                <w:szCs w:val="22"/>
              </w:rPr>
            </w:pPr>
          </w:p>
        </w:tc>
      </w:tr>
      <w:tr w:rsidR="00F17644" w:rsidRPr="00F17644" w14:paraId="0960D634" w14:textId="77777777" w:rsidTr="007F4CE7">
        <w:trPr>
          <w:trHeight w:val="343"/>
          <w:jc w:val="center"/>
        </w:trPr>
        <w:tc>
          <w:tcPr>
            <w:tcW w:w="2722" w:type="pct"/>
          </w:tcPr>
          <w:p w14:paraId="409543A8" w14:textId="77777777" w:rsidR="00F17644" w:rsidRPr="00F17644" w:rsidRDefault="00F17644" w:rsidP="00F17644">
            <w:pPr>
              <w:tabs>
                <w:tab w:val="left" w:pos="3712"/>
              </w:tabs>
              <w:spacing w:line="300" w:lineRule="exact"/>
              <w:ind w:left="-111"/>
              <w:rPr>
                <w:rFonts w:ascii="Arial" w:hAnsi="Arial" w:cs="Arial"/>
                <w:sz w:val="22"/>
                <w:szCs w:val="22"/>
              </w:rPr>
            </w:pPr>
            <w:r w:rsidRPr="00F17644">
              <w:rPr>
                <w:rFonts w:ascii="Arial" w:hAnsi="Arial" w:cs="Arial"/>
                <w:sz w:val="22"/>
                <w:szCs w:val="22"/>
              </w:rPr>
              <w:t>FABIANA UEHARA PROSCHOLDT</w:t>
            </w:r>
          </w:p>
        </w:tc>
        <w:tc>
          <w:tcPr>
            <w:tcW w:w="2278" w:type="pct"/>
          </w:tcPr>
          <w:p w14:paraId="39516032" w14:textId="77777777" w:rsidR="00F17644" w:rsidRPr="00F17644" w:rsidRDefault="00F17644" w:rsidP="00F17644">
            <w:pPr>
              <w:tabs>
                <w:tab w:val="left" w:pos="3712"/>
              </w:tabs>
              <w:spacing w:line="300" w:lineRule="exact"/>
              <w:jc w:val="right"/>
              <w:rPr>
                <w:rFonts w:ascii="Arial" w:hAnsi="Arial" w:cs="Arial"/>
                <w:sz w:val="22"/>
                <w:szCs w:val="22"/>
              </w:rPr>
            </w:pPr>
            <w:r w:rsidRPr="00F17644">
              <w:rPr>
                <w:rFonts w:ascii="Arial" w:hAnsi="Arial" w:cs="Arial"/>
                <w:sz w:val="22"/>
                <w:szCs w:val="22"/>
              </w:rPr>
              <w:t>JOSÉ CELSO PEREIRA CARDOSO</w:t>
            </w:r>
          </w:p>
          <w:p w14:paraId="01E421AE" w14:textId="77777777" w:rsidR="00F17644" w:rsidRPr="00F17644" w:rsidRDefault="00F17644" w:rsidP="00F17644">
            <w:pPr>
              <w:tabs>
                <w:tab w:val="left" w:pos="3712"/>
              </w:tabs>
              <w:spacing w:line="300" w:lineRule="exact"/>
              <w:jc w:val="right"/>
              <w:rPr>
                <w:rFonts w:ascii="Arial" w:hAnsi="Arial" w:cs="Arial"/>
                <w:sz w:val="22"/>
                <w:szCs w:val="22"/>
              </w:rPr>
            </w:pPr>
            <w:r w:rsidRPr="00F17644">
              <w:rPr>
                <w:rFonts w:ascii="Arial" w:hAnsi="Arial" w:cs="Arial"/>
                <w:sz w:val="22"/>
                <w:szCs w:val="22"/>
              </w:rPr>
              <w:t>JÚNIOR</w:t>
            </w:r>
          </w:p>
          <w:p w14:paraId="27ECB693" w14:textId="77777777" w:rsidR="00F17644" w:rsidRPr="00F17644" w:rsidRDefault="00F17644" w:rsidP="00F17644">
            <w:pPr>
              <w:tabs>
                <w:tab w:val="left" w:pos="3712"/>
              </w:tabs>
              <w:spacing w:line="300" w:lineRule="exact"/>
              <w:jc w:val="right"/>
              <w:rPr>
                <w:rFonts w:ascii="Arial" w:hAnsi="Arial" w:cs="Arial"/>
                <w:sz w:val="22"/>
                <w:szCs w:val="22"/>
              </w:rPr>
            </w:pPr>
          </w:p>
          <w:p w14:paraId="3F24FF3E" w14:textId="77777777" w:rsidR="00F17644" w:rsidRPr="00F17644" w:rsidRDefault="00F17644" w:rsidP="00F17644">
            <w:pPr>
              <w:tabs>
                <w:tab w:val="left" w:pos="3712"/>
              </w:tabs>
              <w:spacing w:line="300" w:lineRule="exact"/>
              <w:jc w:val="right"/>
              <w:rPr>
                <w:rFonts w:ascii="Arial" w:hAnsi="Arial" w:cs="Arial"/>
                <w:sz w:val="22"/>
                <w:szCs w:val="22"/>
              </w:rPr>
            </w:pPr>
          </w:p>
        </w:tc>
      </w:tr>
      <w:tr w:rsidR="00F17644" w:rsidRPr="00F17644" w14:paraId="514A9108" w14:textId="77777777" w:rsidTr="007F4CE7">
        <w:trPr>
          <w:trHeight w:val="343"/>
          <w:jc w:val="center"/>
        </w:trPr>
        <w:tc>
          <w:tcPr>
            <w:tcW w:w="2722" w:type="pct"/>
          </w:tcPr>
          <w:p w14:paraId="630632D9" w14:textId="77777777" w:rsidR="00F17644" w:rsidRPr="00F17644" w:rsidRDefault="00F17644" w:rsidP="00F17644">
            <w:pPr>
              <w:tabs>
                <w:tab w:val="left" w:pos="4517"/>
              </w:tabs>
              <w:ind w:left="-111"/>
              <w:rPr>
                <w:rFonts w:ascii="Arial" w:hAnsi="Arial" w:cs="Arial"/>
                <w:sz w:val="22"/>
                <w:szCs w:val="22"/>
              </w:rPr>
            </w:pPr>
            <w:r w:rsidRPr="00F17644">
              <w:rPr>
                <w:rFonts w:ascii="Arial" w:hAnsi="Arial" w:cs="Arial"/>
                <w:sz w:val="22"/>
                <w:szCs w:val="22"/>
              </w:rPr>
              <w:t>RAQUEL NADAL CESAR GONÇALVES</w:t>
            </w:r>
          </w:p>
          <w:p w14:paraId="7FD9A43E" w14:textId="77777777" w:rsidR="00F17644" w:rsidRPr="00F17644" w:rsidRDefault="00F17644" w:rsidP="00F17644">
            <w:pPr>
              <w:tabs>
                <w:tab w:val="left" w:pos="4517"/>
              </w:tabs>
              <w:ind w:left="-111"/>
              <w:rPr>
                <w:rFonts w:ascii="Arial" w:hAnsi="Arial" w:cs="Arial"/>
                <w:sz w:val="22"/>
                <w:szCs w:val="22"/>
              </w:rPr>
            </w:pPr>
          </w:p>
          <w:p w14:paraId="5B7ED090" w14:textId="77777777" w:rsidR="00F17644" w:rsidRPr="00F17644" w:rsidRDefault="00F17644" w:rsidP="00F17644">
            <w:pPr>
              <w:tabs>
                <w:tab w:val="left" w:pos="4517"/>
              </w:tabs>
              <w:ind w:left="-111"/>
              <w:rPr>
                <w:rFonts w:ascii="Arial" w:hAnsi="Arial" w:cs="Arial"/>
                <w:sz w:val="22"/>
                <w:szCs w:val="22"/>
              </w:rPr>
            </w:pPr>
          </w:p>
          <w:p w14:paraId="2B140FD6" w14:textId="77777777" w:rsidR="00F17644" w:rsidRPr="00F17644" w:rsidRDefault="00F17644" w:rsidP="00F17644">
            <w:pPr>
              <w:tabs>
                <w:tab w:val="left" w:pos="4517"/>
              </w:tabs>
              <w:ind w:left="-111"/>
              <w:rPr>
                <w:rFonts w:ascii="Arial" w:hAnsi="Arial" w:cs="Arial"/>
                <w:sz w:val="22"/>
                <w:szCs w:val="22"/>
              </w:rPr>
            </w:pPr>
          </w:p>
        </w:tc>
        <w:tc>
          <w:tcPr>
            <w:tcW w:w="2278" w:type="pct"/>
          </w:tcPr>
          <w:p w14:paraId="3BB05152" w14:textId="77777777" w:rsidR="00F17644" w:rsidRPr="00F17644" w:rsidRDefault="00F17644" w:rsidP="00F17644">
            <w:pPr>
              <w:tabs>
                <w:tab w:val="left" w:pos="4517"/>
              </w:tabs>
              <w:jc w:val="right"/>
              <w:rPr>
                <w:rFonts w:ascii="Arial" w:hAnsi="Arial" w:cs="Arial"/>
                <w:sz w:val="22"/>
                <w:szCs w:val="22"/>
              </w:rPr>
            </w:pPr>
            <w:r w:rsidRPr="00F17644">
              <w:rPr>
                <w:rFonts w:ascii="Arial" w:hAnsi="Arial" w:cs="Arial"/>
                <w:sz w:val="22"/>
                <w:szCs w:val="22"/>
              </w:rPr>
              <w:t>ROGÉRIO CERON DE OLIVEIRA</w:t>
            </w:r>
          </w:p>
          <w:p w14:paraId="762C82B0" w14:textId="77777777" w:rsidR="00F17644" w:rsidRPr="00F17644" w:rsidRDefault="00F17644" w:rsidP="00F17644">
            <w:pPr>
              <w:tabs>
                <w:tab w:val="left" w:pos="4517"/>
              </w:tabs>
              <w:jc w:val="right"/>
              <w:rPr>
                <w:rFonts w:ascii="Arial" w:hAnsi="Arial" w:cs="Arial"/>
                <w:sz w:val="22"/>
                <w:szCs w:val="22"/>
              </w:rPr>
            </w:pPr>
            <w:r w:rsidRPr="00F17644">
              <w:rPr>
                <w:rFonts w:ascii="Arial" w:hAnsi="Arial" w:cs="Arial"/>
                <w:sz w:val="22"/>
                <w:szCs w:val="22"/>
              </w:rPr>
              <w:t>Presidente</w:t>
            </w:r>
          </w:p>
          <w:p w14:paraId="249E9A37" w14:textId="77777777" w:rsidR="00F17644" w:rsidRPr="00F17644" w:rsidRDefault="00F17644" w:rsidP="00F17644">
            <w:pPr>
              <w:tabs>
                <w:tab w:val="left" w:pos="4517"/>
              </w:tabs>
              <w:jc w:val="right"/>
              <w:rPr>
                <w:rFonts w:ascii="Arial" w:hAnsi="Arial" w:cs="Arial"/>
                <w:sz w:val="22"/>
                <w:szCs w:val="22"/>
              </w:rPr>
            </w:pPr>
          </w:p>
          <w:p w14:paraId="738F089E" w14:textId="77777777" w:rsidR="00F17644" w:rsidRPr="00F17644" w:rsidRDefault="00F17644" w:rsidP="00F17644">
            <w:pPr>
              <w:tabs>
                <w:tab w:val="left" w:pos="4517"/>
              </w:tabs>
              <w:jc w:val="right"/>
              <w:rPr>
                <w:rFonts w:ascii="Arial" w:hAnsi="Arial" w:cs="Arial"/>
                <w:sz w:val="22"/>
                <w:szCs w:val="22"/>
              </w:rPr>
            </w:pPr>
          </w:p>
        </w:tc>
      </w:tr>
      <w:tr w:rsidR="00F17644" w:rsidRPr="00F17644" w14:paraId="12FB3934" w14:textId="77777777" w:rsidTr="007F4CE7">
        <w:trPr>
          <w:trHeight w:val="343"/>
          <w:jc w:val="center"/>
        </w:trPr>
        <w:tc>
          <w:tcPr>
            <w:tcW w:w="5000" w:type="pct"/>
            <w:gridSpan w:val="2"/>
          </w:tcPr>
          <w:p w14:paraId="34AAAEA8" w14:textId="77777777" w:rsidR="00F17644" w:rsidRPr="00F17644" w:rsidRDefault="00F17644" w:rsidP="00F17644">
            <w:pPr>
              <w:tabs>
                <w:tab w:val="left" w:pos="4517"/>
              </w:tabs>
              <w:jc w:val="center"/>
              <w:rPr>
                <w:rFonts w:ascii="Arial" w:hAnsi="Arial" w:cs="Arial"/>
                <w:sz w:val="22"/>
                <w:szCs w:val="22"/>
              </w:rPr>
            </w:pPr>
          </w:p>
        </w:tc>
      </w:tr>
    </w:tbl>
    <w:p w14:paraId="439EDBB7" w14:textId="77777777" w:rsidR="00690793" w:rsidRDefault="00690793" w:rsidP="0031241E">
      <w:pPr>
        <w:tabs>
          <w:tab w:val="left" w:pos="4921"/>
          <w:tab w:val="decimal" w:pos="8948"/>
        </w:tabs>
        <w:suppressAutoHyphens/>
        <w:autoSpaceDE w:val="0"/>
        <w:autoSpaceDN w:val="0"/>
        <w:adjustRightInd w:val="0"/>
        <w:jc w:val="both"/>
        <w:rPr>
          <w:rFonts w:ascii="CAIXA Std Book" w:hAnsi="CAIXA Std Book"/>
          <w:color w:val="005CA9"/>
          <w:sz w:val="16"/>
          <w:szCs w:val="16"/>
        </w:rPr>
        <w:sectPr w:rsidR="00690793" w:rsidSect="001F0E96">
          <w:pgSz w:w="11907" w:h="16840" w:code="9"/>
          <w:pgMar w:top="1440" w:right="1080" w:bottom="1440" w:left="1080" w:header="1134" w:footer="709" w:gutter="0"/>
          <w:cols w:space="708"/>
          <w:titlePg/>
          <w:docGrid w:linePitch="360"/>
        </w:sectPr>
      </w:pPr>
    </w:p>
    <w:p w14:paraId="405FD58B" w14:textId="5873D21F" w:rsidR="00690793" w:rsidRDefault="00690793" w:rsidP="00690793">
      <w:pPr>
        <w:pStyle w:val="Ttulo1"/>
      </w:pPr>
      <w:bookmarkStart w:id="111" w:name="_Toc175067980"/>
      <w:r>
        <w:lastRenderedPageBreak/>
        <w:t>Relatório do Auditor Independente</w:t>
      </w:r>
      <w:bookmarkEnd w:id="111"/>
    </w:p>
    <w:p w14:paraId="74CD276B" w14:textId="77777777" w:rsidR="00A90153" w:rsidRPr="00A90153" w:rsidRDefault="00A90153" w:rsidP="00A90153">
      <w:pPr>
        <w:spacing w:before="20" w:after="20" w:line="280" w:lineRule="exact"/>
        <w:ind w:firstLine="360"/>
        <w:rPr>
          <w:rFonts w:ascii="Arial" w:eastAsia="Times New Roman" w:hAnsi="Arial" w:cs="Arial"/>
          <w:color w:val="000000"/>
          <w:sz w:val="20"/>
          <w:szCs w:val="20"/>
          <w:lang w:eastAsia="en-US"/>
        </w:rPr>
      </w:pPr>
      <w:r w:rsidRPr="00A90153">
        <w:rPr>
          <w:rFonts w:ascii="Arial" w:eastAsia="Times New Roman" w:hAnsi="Arial" w:cs="Arial"/>
          <w:color w:val="000000"/>
          <w:sz w:val="20"/>
          <w:szCs w:val="20"/>
          <w:lang w:eastAsia="en-US"/>
        </w:rPr>
        <w:t>KPMG Auditores Independentes Ltda.</w:t>
      </w:r>
    </w:p>
    <w:p w14:paraId="7D6E3C63" w14:textId="77777777" w:rsidR="00A90153" w:rsidRPr="00A90153" w:rsidRDefault="00A90153" w:rsidP="00A90153">
      <w:pPr>
        <w:spacing w:before="20" w:after="20" w:line="280" w:lineRule="exact"/>
        <w:ind w:firstLine="360"/>
        <w:rPr>
          <w:rFonts w:ascii="Arial" w:eastAsia="Times New Roman" w:hAnsi="Arial" w:cs="Arial"/>
          <w:color w:val="000000"/>
          <w:sz w:val="20"/>
          <w:szCs w:val="20"/>
          <w:lang w:eastAsia="en-US"/>
        </w:rPr>
      </w:pPr>
      <w:r w:rsidRPr="00A90153">
        <w:rPr>
          <w:rFonts w:ascii="Arial" w:eastAsia="Times New Roman" w:hAnsi="Arial" w:cs="Arial"/>
          <w:color w:val="000000"/>
          <w:sz w:val="20"/>
          <w:szCs w:val="20"/>
          <w:lang w:eastAsia="en-US"/>
        </w:rPr>
        <w:t>SAI/SO, Área 6580 - Bloco 02, 3º andar, sala 302 - Torre Norte</w:t>
      </w:r>
    </w:p>
    <w:p w14:paraId="090FA05F" w14:textId="77777777" w:rsidR="00A90153" w:rsidRPr="00A90153" w:rsidRDefault="00A90153" w:rsidP="00A90153">
      <w:pPr>
        <w:spacing w:before="20" w:after="20" w:line="280" w:lineRule="exact"/>
        <w:ind w:firstLine="360"/>
        <w:rPr>
          <w:rFonts w:ascii="Arial" w:eastAsia="Times New Roman" w:hAnsi="Arial" w:cs="Arial"/>
          <w:color w:val="000000"/>
          <w:sz w:val="20"/>
          <w:szCs w:val="20"/>
          <w:lang w:eastAsia="en-US"/>
        </w:rPr>
      </w:pPr>
      <w:r w:rsidRPr="00A90153">
        <w:rPr>
          <w:rFonts w:ascii="Arial" w:eastAsia="Times New Roman" w:hAnsi="Arial" w:cs="Arial"/>
          <w:color w:val="000000"/>
          <w:sz w:val="20"/>
          <w:szCs w:val="20"/>
          <w:lang w:eastAsia="en-US"/>
        </w:rPr>
        <w:t>ParkShopping - Zona Industrial (Guará)</w:t>
      </w:r>
    </w:p>
    <w:p w14:paraId="37882079" w14:textId="77777777" w:rsidR="00A90153" w:rsidRPr="00A90153" w:rsidRDefault="00A90153" w:rsidP="00A90153">
      <w:pPr>
        <w:spacing w:before="20" w:after="20" w:line="280" w:lineRule="exact"/>
        <w:ind w:firstLine="360"/>
        <w:rPr>
          <w:rFonts w:ascii="Arial" w:eastAsia="Times New Roman" w:hAnsi="Arial" w:cs="Arial"/>
          <w:color w:val="000000"/>
          <w:sz w:val="20"/>
          <w:szCs w:val="20"/>
          <w:lang w:eastAsia="en-US"/>
        </w:rPr>
      </w:pPr>
      <w:r w:rsidRPr="00A90153">
        <w:rPr>
          <w:rFonts w:ascii="Arial" w:eastAsia="Times New Roman" w:hAnsi="Arial" w:cs="Arial"/>
          <w:color w:val="000000"/>
          <w:sz w:val="20"/>
          <w:szCs w:val="20"/>
          <w:lang w:eastAsia="en-US"/>
        </w:rPr>
        <w:t xml:space="preserve">Caixa Postal 11619 - CEP: 71219-900 - Brasília/DF - Brasil </w:t>
      </w:r>
    </w:p>
    <w:p w14:paraId="7C529220" w14:textId="77777777" w:rsidR="00A90153" w:rsidRPr="00A90153" w:rsidRDefault="00A90153" w:rsidP="00A90153">
      <w:pPr>
        <w:spacing w:before="20" w:after="20" w:line="280" w:lineRule="exact"/>
        <w:ind w:firstLine="360"/>
        <w:rPr>
          <w:rFonts w:ascii="Arial" w:eastAsia="Times New Roman" w:hAnsi="Arial" w:cs="Arial"/>
          <w:color w:val="000000"/>
          <w:sz w:val="20"/>
          <w:szCs w:val="20"/>
          <w:lang w:eastAsia="en-US"/>
        </w:rPr>
      </w:pPr>
      <w:r w:rsidRPr="00A90153">
        <w:rPr>
          <w:rFonts w:ascii="Arial" w:eastAsia="Times New Roman" w:hAnsi="Arial" w:cs="Arial"/>
          <w:color w:val="000000"/>
          <w:sz w:val="20"/>
          <w:szCs w:val="20"/>
          <w:lang w:eastAsia="en-US"/>
        </w:rPr>
        <w:t>Telefone +55 (61) 3362 3700</w:t>
      </w:r>
    </w:p>
    <w:p w14:paraId="06BCE378" w14:textId="77777777" w:rsidR="00A90153" w:rsidRPr="00A90153" w:rsidRDefault="00A90153" w:rsidP="00A90153">
      <w:pPr>
        <w:spacing w:before="20" w:after="20" w:line="280" w:lineRule="exact"/>
        <w:ind w:firstLine="360"/>
        <w:rPr>
          <w:rFonts w:ascii="Arial" w:eastAsia="Times New Roman" w:hAnsi="Arial" w:cs="Arial"/>
          <w:sz w:val="20"/>
          <w:szCs w:val="20"/>
          <w:lang w:eastAsia="en-US"/>
        </w:rPr>
      </w:pPr>
      <w:r w:rsidRPr="00A90153">
        <w:rPr>
          <w:rFonts w:ascii="Arial" w:eastAsia="Times New Roman" w:hAnsi="Arial" w:cs="Arial"/>
          <w:color w:val="000000"/>
          <w:sz w:val="20"/>
          <w:szCs w:val="20"/>
          <w:lang w:eastAsia="en-US"/>
        </w:rPr>
        <w:t>kpmg.com.br</w:t>
      </w:r>
    </w:p>
    <w:p w14:paraId="6BD58E75" w14:textId="77777777" w:rsidR="00FE4E00" w:rsidRPr="00393ABA" w:rsidRDefault="00A90153" w:rsidP="00931113">
      <w:pPr>
        <w:jc w:val="right"/>
        <w:rPr>
          <w:rFonts w:asciiTheme="minorHAnsi" w:hAnsiTheme="minorHAnsi" w:cstheme="minorHAnsi"/>
          <w:color w:val="005CA9"/>
          <w:sz w:val="56"/>
          <w:szCs w:val="56"/>
        </w:rPr>
      </w:pPr>
      <w:r w:rsidRPr="00393ABA">
        <w:rPr>
          <w:rFonts w:asciiTheme="minorHAnsi" w:hAnsiTheme="minorHAnsi" w:cstheme="minorHAnsi"/>
          <w:color w:val="005CA9"/>
          <w:sz w:val="56"/>
          <w:szCs w:val="56"/>
        </w:rPr>
        <w:t>Relatório do auditor</w:t>
      </w:r>
    </w:p>
    <w:p w14:paraId="45F47E05" w14:textId="77777777" w:rsidR="005B1C44" w:rsidRPr="00393ABA" w:rsidRDefault="00A90153" w:rsidP="00931113">
      <w:pPr>
        <w:jc w:val="right"/>
        <w:rPr>
          <w:rFonts w:asciiTheme="minorHAnsi" w:hAnsiTheme="minorHAnsi" w:cstheme="minorHAnsi"/>
          <w:color w:val="005CA9"/>
          <w:w w:val="99"/>
          <w:sz w:val="56"/>
          <w:szCs w:val="56"/>
        </w:rPr>
      </w:pPr>
      <w:r w:rsidRPr="00393ABA">
        <w:rPr>
          <w:rFonts w:asciiTheme="minorHAnsi" w:hAnsiTheme="minorHAnsi" w:cstheme="minorHAnsi"/>
          <w:color w:val="005CA9"/>
          <w:sz w:val="56"/>
          <w:szCs w:val="56"/>
        </w:rPr>
        <w:t xml:space="preserve"> independente</w:t>
      </w:r>
      <w:r w:rsidRPr="00393ABA">
        <w:rPr>
          <w:rFonts w:asciiTheme="minorHAnsi" w:hAnsiTheme="minorHAnsi" w:cstheme="minorHAnsi"/>
          <w:color w:val="005CA9"/>
          <w:spacing w:val="-6"/>
          <w:sz w:val="56"/>
          <w:szCs w:val="56"/>
        </w:rPr>
        <w:t xml:space="preserve"> </w:t>
      </w:r>
      <w:r w:rsidRPr="00393ABA">
        <w:rPr>
          <w:rFonts w:asciiTheme="minorHAnsi" w:hAnsiTheme="minorHAnsi" w:cstheme="minorHAnsi"/>
          <w:color w:val="005CA9"/>
          <w:sz w:val="56"/>
          <w:szCs w:val="56"/>
        </w:rPr>
        <w:t>sobre</w:t>
      </w:r>
      <w:r w:rsidRPr="00393ABA">
        <w:rPr>
          <w:rFonts w:asciiTheme="minorHAnsi" w:hAnsiTheme="minorHAnsi" w:cstheme="minorHAnsi"/>
          <w:color w:val="005CA9"/>
          <w:spacing w:val="-2"/>
          <w:sz w:val="56"/>
          <w:szCs w:val="56"/>
        </w:rPr>
        <w:t xml:space="preserve"> </w:t>
      </w:r>
      <w:r w:rsidRPr="00393ABA">
        <w:rPr>
          <w:rFonts w:asciiTheme="minorHAnsi" w:hAnsiTheme="minorHAnsi" w:cstheme="minorHAnsi"/>
          <w:color w:val="005CA9"/>
          <w:sz w:val="56"/>
          <w:szCs w:val="56"/>
        </w:rPr>
        <w:t>as</w:t>
      </w:r>
      <w:r w:rsidRPr="00393ABA">
        <w:rPr>
          <w:rFonts w:asciiTheme="minorHAnsi" w:hAnsiTheme="minorHAnsi" w:cstheme="minorHAnsi"/>
          <w:color w:val="005CA9"/>
          <w:w w:val="99"/>
          <w:sz w:val="56"/>
          <w:szCs w:val="56"/>
        </w:rPr>
        <w:t xml:space="preserve"> </w:t>
      </w:r>
    </w:p>
    <w:p w14:paraId="332FCF25" w14:textId="77777777" w:rsidR="008649F4" w:rsidRPr="00393ABA" w:rsidRDefault="00A90153" w:rsidP="00931113">
      <w:pPr>
        <w:jc w:val="right"/>
        <w:rPr>
          <w:rFonts w:asciiTheme="minorHAnsi" w:hAnsiTheme="minorHAnsi" w:cstheme="minorHAnsi"/>
          <w:color w:val="005CA9"/>
          <w:sz w:val="56"/>
          <w:szCs w:val="56"/>
        </w:rPr>
      </w:pPr>
      <w:r w:rsidRPr="00393ABA">
        <w:rPr>
          <w:rFonts w:asciiTheme="minorHAnsi" w:hAnsiTheme="minorHAnsi" w:cstheme="minorHAnsi"/>
          <w:color w:val="005CA9"/>
          <w:sz w:val="56"/>
          <w:szCs w:val="56"/>
        </w:rPr>
        <w:t xml:space="preserve">demonstrações </w:t>
      </w:r>
    </w:p>
    <w:p w14:paraId="713BE4D9" w14:textId="77777777" w:rsidR="00393ABA" w:rsidRPr="00393ABA" w:rsidRDefault="00A90153" w:rsidP="00931113">
      <w:pPr>
        <w:jc w:val="right"/>
        <w:rPr>
          <w:rFonts w:asciiTheme="minorHAnsi" w:hAnsiTheme="minorHAnsi" w:cstheme="minorHAnsi"/>
          <w:color w:val="005CA9"/>
          <w:spacing w:val="-5"/>
          <w:sz w:val="56"/>
          <w:szCs w:val="56"/>
        </w:rPr>
      </w:pPr>
      <w:r w:rsidRPr="00393ABA">
        <w:rPr>
          <w:rFonts w:asciiTheme="minorHAnsi" w:hAnsiTheme="minorHAnsi" w:cstheme="minorHAnsi"/>
          <w:color w:val="005CA9"/>
          <w:sz w:val="56"/>
          <w:szCs w:val="56"/>
        </w:rPr>
        <w:t>contábeis individuais</w:t>
      </w:r>
      <w:r w:rsidRPr="00393ABA">
        <w:rPr>
          <w:rFonts w:asciiTheme="minorHAnsi" w:hAnsiTheme="minorHAnsi" w:cstheme="minorHAnsi"/>
          <w:color w:val="005CA9"/>
          <w:spacing w:val="-5"/>
          <w:sz w:val="56"/>
          <w:szCs w:val="56"/>
        </w:rPr>
        <w:t xml:space="preserve"> </w:t>
      </w:r>
    </w:p>
    <w:p w14:paraId="176F203A" w14:textId="2BFF03A7" w:rsidR="00A90153" w:rsidRPr="00931113" w:rsidRDefault="00A90153" w:rsidP="00931113">
      <w:pPr>
        <w:jc w:val="right"/>
        <w:rPr>
          <w:rFonts w:asciiTheme="minorHAnsi" w:hAnsiTheme="minorHAnsi" w:cstheme="minorHAnsi"/>
          <w:spacing w:val="-1"/>
          <w:sz w:val="52"/>
          <w:szCs w:val="52"/>
        </w:rPr>
      </w:pPr>
      <w:r w:rsidRPr="00393ABA">
        <w:rPr>
          <w:rFonts w:asciiTheme="minorHAnsi" w:hAnsiTheme="minorHAnsi" w:cstheme="minorHAnsi"/>
          <w:color w:val="005CA9"/>
          <w:spacing w:val="-13"/>
          <w:sz w:val="56"/>
          <w:szCs w:val="56"/>
        </w:rPr>
        <w:t>e</w:t>
      </w:r>
      <w:r w:rsidRPr="00393ABA">
        <w:rPr>
          <w:rFonts w:asciiTheme="minorHAnsi" w:hAnsiTheme="minorHAnsi" w:cstheme="minorHAnsi"/>
          <w:color w:val="005CA9"/>
          <w:spacing w:val="-1"/>
          <w:sz w:val="56"/>
          <w:szCs w:val="56"/>
        </w:rPr>
        <w:t xml:space="preserve"> consolidadas</w:t>
      </w:r>
    </w:p>
    <w:p w14:paraId="1D341C4D" w14:textId="77777777" w:rsidR="00A90153" w:rsidRPr="00A90153" w:rsidRDefault="00A90153" w:rsidP="00A90153">
      <w:pPr>
        <w:widowControl w:val="0"/>
        <w:kinsoku w:val="0"/>
        <w:overflowPunct w:val="0"/>
        <w:autoSpaceDE w:val="0"/>
        <w:autoSpaceDN w:val="0"/>
        <w:adjustRightInd w:val="0"/>
        <w:spacing w:before="8"/>
        <w:rPr>
          <w:rFonts w:ascii="KPMG Extralight" w:eastAsia="Times New Roman" w:hAnsi="KPMG Extralight" w:cs="KPMG Extralight"/>
          <w:sz w:val="19"/>
          <w:szCs w:val="19"/>
        </w:rPr>
      </w:pPr>
    </w:p>
    <w:p w14:paraId="732E7788" w14:textId="77777777" w:rsidR="00A90153" w:rsidRPr="00146838" w:rsidRDefault="00A90153" w:rsidP="007B39B3">
      <w:pPr>
        <w:ind w:left="426"/>
        <w:rPr>
          <w:rFonts w:ascii="Calibri" w:eastAsia="Times New Roman" w:hAnsi="Calibri" w:cs="Calibri"/>
          <w:b/>
          <w:bCs/>
          <w:color w:val="004D98"/>
        </w:rPr>
      </w:pPr>
      <w:r w:rsidRPr="00146838">
        <w:rPr>
          <w:rFonts w:ascii="Calibri" w:eastAsia="Times New Roman" w:hAnsi="Calibri" w:cs="Calibri"/>
          <w:b/>
          <w:bCs/>
          <w:color w:val="004D98"/>
        </w:rPr>
        <w:t>Aos</w:t>
      </w:r>
    </w:p>
    <w:p w14:paraId="58AC9A22" w14:textId="77777777" w:rsidR="00A90153" w:rsidRPr="00A90153" w:rsidRDefault="00A90153" w:rsidP="00A90153">
      <w:pPr>
        <w:widowControl w:val="0"/>
        <w:kinsoku w:val="0"/>
        <w:overflowPunct w:val="0"/>
        <w:autoSpaceDE w:val="0"/>
        <w:autoSpaceDN w:val="0"/>
        <w:adjustRightInd w:val="0"/>
        <w:spacing w:before="119" w:line="338" w:lineRule="auto"/>
        <w:ind w:left="426" w:right="1802"/>
        <w:rPr>
          <w:rFonts w:ascii="Calibri" w:eastAsia="Times New Roman" w:hAnsi="Calibri" w:cs="Calibri"/>
          <w:b/>
          <w:bCs/>
          <w:color w:val="004D98"/>
        </w:rPr>
      </w:pPr>
      <w:r w:rsidRPr="00A90153">
        <w:rPr>
          <w:rFonts w:ascii="Calibri" w:eastAsia="Times New Roman" w:hAnsi="Calibri" w:cs="Calibri"/>
          <w:b/>
          <w:bCs/>
          <w:color w:val="004D98"/>
        </w:rPr>
        <w:t>Acionistas, ao Conselho de Administração e aos Administradores da Caixa Econômica Federal ‐ CAIXA</w:t>
      </w:r>
    </w:p>
    <w:p w14:paraId="70A202C2" w14:textId="77777777" w:rsidR="00A90153" w:rsidRPr="00A90153" w:rsidRDefault="00A90153" w:rsidP="00A90153">
      <w:pPr>
        <w:widowControl w:val="0"/>
        <w:kinsoku w:val="0"/>
        <w:overflowPunct w:val="0"/>
        <w:autoSpaceDE w:val="0"/>
        <w:autoSpaceDN w:val="0"/>
        <w:adjustRightInd w:val="0"/>
        <w:spacing w:before="1"/>
        <w:ind w:left="426"/>
        <w:rPr>
          <w:rFonts w:ascii="Calibri" w:eastAsia="Times New Roman" w:hAnsi="Calibri" w:cs="Calibri"/>
          <w:i/>
          <w:iCs/>
          <w:color w:val="004D98"/>
        </w:rPr>
      </w:pPr>
      <w:r w:rsidRPr="00A90153">
        <w:rPr>
          <w:rFonts w:ascii="Calibri" w:eastAsia="Times New Roman" w:hAnsi="Calibri" w:cs="Calibri"/>
          <w:noProof/>
          <w:sz w:val="19"/>
          <w:szCs w:val="19"/>
        </w:rPr>
        <mc:AlternateContent>
          <mc:Choice Requires="wps">
            <w:drawing>
              <wp:anchor distT="0" distB="0" distL="0" distR="0" simplePos="0" relativeHeight="251658242" behindDoc="0" locked="0" layoutInCell="0" allowOverlap="1" wp14:anchorId="18F5D31E" wp14:editId="3CD1BD3E">
                <wp:simplePos x="0" y="0"/>
                <wp:positionH relativeFrom="page">
                  <wp:posOffset>914400</wp:posOffset>
                </wp:positionH>
                <wp:positionV relativeFrom="paragraph">
                  <wp:posOffset>429895</wp:posOffset>
                </wp:positionV>
                <wp:extent cx="5961380" cy="295910"/>
                <wp:effectExtent l="0" t="0" r="1270" b="8890"/>
                <wp:wrapTopAndBottom/>
                <wp:docPr id="457" name="Caixa de Texto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9E663" w14:textId="77777777" w:rsidR="00A90153" w:rsidRPr="0034397D" w:rsidRDefault="00A90153" w:rsidP="00A90153">
                            <w:pPr>
                              <w:pStyle w:val="Corpodetexto"/>
                              <w:kinsoku w:val="0"/>
                              <w:overflowPunct w:val="0"/>
                              <w:spacing w:before="120"/>
                              <w:ind w:left="112"/>
                              <w:rPr>
                                <w:rFonts w:asciiTheme="minorHAnsi" w:hAnsiTheme="minorHAnsi" w:cstheme="minorHAnsi"/>
                                <w:b/>
                                <w:bCs/>
                                <w:color w:val="FFFFFF"/>
                              </w:rPr>
                            </w:pPr>
                            <w:r w:rsidRPr="0034397D">
                              <w:rPr>
                                <w:rFonts w:asciiTheme="minorHAnsi" w:hAnsiTheme="minorHAnsi" w:cstheme="minorHAnsi"/>
                                <w:b/>
                                <w:bCs/>
                                <w:color w:val="FFFFFF"/>
                              </w:rPr>
                              <w:t>Opinião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D31E" id="Caixa de Texto 457" o:spid="_x0000_s1027" type="#_x0000_t202" style="position:absolute;left:0;text-align:left;margin-left:1in;margin-top:33.85pt;width:469.4pt;height:23.3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" o:allowincell="f" fillcolor="#004d98" stroked="f">
                <v:textbox inset="0,0,0,0">
                  <w:txbxContent>
                    <w:p w14:paraId="5C49E663" w14:textId="77777777" w:rsidR="00A90153" w:rsidRPr="0034397D" w:rsidRDefault="00A90153" w:rsidP="00A90153">
                      <w:pPr>
                        <w:pStyle w:val="Corpodetexto"/>
                        <w:kinsoku w:val="0"/>
                        <w:overflowPunct w:val="0"/>
                        <w:spacing w:before="120"/>
                        <w:ind w:left="112"/>
                        <w:rPr>
                          <w:rFonts w:asciiTheme="minorHAnsi" w:hAnsiTheme="minorHAnsi" w:cstheme="minorHAnsi"/>
                          <w:b/>
                          <w:bCs/>
                          <w:color w:val="FFFFFF"/>
                        </w:rPr>
                      </w:pPr>
                      <w:r w:rsidRPr="0034397D">
                        <w:rPr>
                          <w:rFonts w:asciiTheme="minorHAnsi" w:hAnsiTheme="minorHAnsi" w:cstheme="minorHAnsi"/>
                          <w:b/>
                          <w:bCs/>
                          <w:color w:val="FFFFFF"/>
                        </w:rPr>
                        <w:t>Opinião</w:t>
                      </w:r>
                    </w:p>
                  </w:txbxContent>
                </v:textbox>
                <w10:wrap type="topAndBottom" anchorx="page"/>
              </v:shape>
            </w:pict>
          </mc:Fallback>
        </mc:AlternateContent>
      </w:r>
      <w:r w:rsidRPr="00A90153">
        <w:rPr>
          <w:rFonts w:ascii="Calibri" w:eastAsia="Times New Roman" w:hAnsi="Calibri" w:cs="Calibri"/>
          <w:i/>
          <w:iCs/>
          <w:color w:val="004D98"/>
        </w:rPr>
        <w:t>Brasília – DF</w:t>
      </w:r>
    </w:p>
    <w:p w14:paraId="1250C8B6"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Examinamos as demonstrações contábeis individuais e consolidadas da Caixa Econômica Federal (“Instituição” e/ou “CAIXA”), que compreendem o balanço patrimonial em 30 de junho de 2024 e as respectivas demonstrações do resultado, do resultado abrangente, das mutações do patrimônio líquido e dos fluxos de caixa para o semestre findo nessa data, bem como as correspondentes notas explicativas, incluindo as políticas contábeis materiais e outras informações elucidativas.</w:t>
      </w:r>
    </w:p>
    <w:p w14:paraId="4030A7E3"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noProof/>
          <w:sz w:val="19"/>
          <w:szCs w:val="19"/>
        </w:rPr>
        <mc:AlternateContent>
          <mc:Choice Requires="wps">
            <w:drawing>
              <wp:anchor distT="0" distB="0" distL="0" distR="0" simplePos="0" relativeHeight="251658243" behindDoc="0" locked="0" layoutInCell="0" allowOverlap="1" wp14:anchorId="04BD5971" wp14:editId="71114037">
                <wp:simplePos x="0" y="0"/>
                <wp:positionH relativeFrom="page">
                  <wp:posOffset>913765</wp:posOffset>
                </wp:positionH>
                <wp:positionV relativeFrom="paragraph">
                  <wp:posOffset>1064260</wp:posOffset>
                </wp:positionV>
                <wp:extent cx="5961380" cy="295910"/>
                <wp:effectExtent l="0" t="0" r="1270" b="8890"/>
                <wp:wrapTopAndBottom/>
                <wp:docPr id="458" name="Caixa de Texto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85808" w14:textId="77777777" w:rsidR="00A90153" w:rsidRPr="0090384F" w:rsidRDefault="00A90153" w:rsidP="00A90153">
                            <w:pPr>
                              <w:pStyle w:val="Corpodetexto"/>
                              <w:kinsoku w:val="0"/>
                              <w:overflowPunct w:val="0"/>
                              <w:spacing w:before="120"/>
                              <w:ind w:left="112"/>
                              <w:rPr>
                                <w:rFonts w:asciiTheme="minorHAnsi" w:hAnsiTheme="minorHAnsi" w:cstheme="minorHAnsi"/>
                                <w:b/>
                                <w:bCs/>
                                <w:color w:val="FFFFFF"/>
                              </w:rPr>
                            </w:pPr>
                            <w:r w:rsidRPr="0090384F">
                              <w:rPr>
                                <w:rFonts w:asciiTheme="minorHAnsi" w:hAnsiTheme="minorHAnsi" w:cstheme="minorHAnsi"/>
                                <w:b/>
                                <w:bCs/>
                                <w:color w:val="FFFFFF"/>
                              </w:rPr>
                              <w:t>Base para opinião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5971" id="Caixa de Texto 458" o:spid="_x0000_s1028" type="#_x0000_t202" style="position:absolute;left:0;text-align:left;margin-left:71.95pt;margin-top:83.8pt;width:469.4pt;height:23.3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" o:allowincell="f" fillcolor="#004d98" stroked="f">
                <v:textbox inset="0,0,0,0">
                  <w:txbxContent>
                    <w:p w14:paraId="1A185808" w14:textId="77777777" w:rsidR="00A90153" w:rsidRPr="0090384F" w:rsidRDefault="00A90153" w:rsidP="00A90153">
                      <w:pPr>
                        <w:pStyle w:val="Corpodetexto"/>
                        <w:kinsoku w:val="0"/>
                        <w:overflowPunct w:val="0"/>
                        <w:spacing w:before="120"/>
                        <w:ind w:left="112"/>
                        <w:rPr>
                          <w:rFonts w:asciiTheme="minorHAnsi" w:hAnsiTheme="minorHAnsi" w:cstheme="minorHAnsi"/>
                          <w:b/>
                          <w:bCs/>
                          <w:color w:val="FFFFFF"/>
                        </w:rPr>
                      </w:pPr>
                      <w:r w:rsidRPr="0090384F">
                        <w:rPr>
                          <w:rFonts w:asciiTheme="minorHAnsi" w:hAnsiTheme="minorHAnsi" w:cstheme="minorHAnsi"/>
                          <w:b/>
                          <w:bCs/>
                          <w:color w:val="FFFFFF"/>
                        </w:rPr>
                        <w:t>Base para opinião</w:t>
                      </w:r>
                    </w:p>
                  </w:txbxContent>
                </v:textbox>
                <w10:wrap type="topAndBottom" anchorx="page"/>
              </v:shape>
            </w:pict>
          </mc:Fallback>
        </mc:AlternateContent>
      </w:r>
      <w:r w:rsidRPr="00A90153">
        <w:rPr>
          <w:rFonts w:ascii="Calibri" w:eastAsia="Times New Roman" w:hAnsi="Calibri" w:cs="Calibri"/>
          <w:sz w:val="19"/>
          <w:szCs w:val="19"/>
        </w:rPr>
        <w:t>Em nossa opinião, as demonstrações contábeis acima referidas apresentam adequadamente, em todos os aspectos relevantes, a posição patrimonial e financeira, individual e consolidada, da Caixa Econômica Federal em 30 de junho de 2024, o desempenho individual e consolidado de suas operações e os seus fluxos de caixa individuais e consolidados para o semestre findo nessa data, de acordo com as práticas contábeis adotadas no Brasil, aplicáveis às instituições autorizadas a funcionar pelo Banco Central do Brasil (“BACEN”).</w:t>
      </w:r>
    </w:p>
    <w:p w14:paraId="25A58B07"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 xml:space="preserve">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e consolidadas”. Somos independentes em relação à Instituição, de acordo com os princípios éticos relevantes previstos no Código de Ética Profissional do Contador e nas </w:t>
      </w:r>
      <w:r w:rsidRPr="00A90153">
        <w:rPr>
          <w:rFonts w:ascii="Calibri" w:eastAsia="Times New Roman" w:hAnsi="Calibri" w:cs="Calibri"/>
          <w:sz w:val="19"/>
          <w:szCs w:val="19"/>
        </w:rPr>
        <w:lastRenderedPageBreak/>
        <w:t>normas profissionais emitidas pelo Conselho Federal de Contabilidade, e cumprimos com as demais responsabilidades éticas de acordo com essas normas.</w:t>
      </w:r>
    </w:p>
    <w:p w14:paraId="5AD36408" w14:textId="346E3CF0" w:rsidR="00A90153" w:rsidRPr="00A90153" w:rsidRDefault="007B39B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noProof/>
          <w:sz w:val="19"/>
          <w:szCs w:val="19"/>
        </w:rPr>
        <mc:AlternateContent>
          <mc:Choice Requires="wps">
            <w:drawing>
              <wp:anchor distT="0" distB="0" distL="0" distR="0" simplePos="0" relativeHeight="251658244" behindDoc="0" locked="0" layoutInCell="0" allowOverlap="1" wp14:anchorId="457905E7" wp14:editId="32EA26C5">
                <wp:simplePos x="0" y="0"/>
                <wp:positionH relativeFrom="page">
                  <wp:posOffset>914400</wp:posOffset>
                </wp:positionH>
                <wp:positionV relativeFrom="paragraph">
                  <wp:posOffset>408305</wp:posOffset>
                </wp:positionV>
                <wp:extent cx="6032500" cy="295910"/>
                <wp:effectExtent l="0" t="0" r="6350" b="8890"/>
                <wp:wrapTopAndBottom/>
                <wp:docPr id="459" name="Caixa de Texto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5EC3F" w14:textId="77777777" w:rsidR="00A90153" w:rsidRPr="0090384F" w:rsidRDefault="00A90153" w:rsidP="00A90153">
                            <w:pPr>
                              <w:pStyle w:val="Corpodetexto"/>
                              <w:kinsoku w:val="0"/>
                              <w:overflowPunct w:val="0"/>
                              <w:spacing w:before="120"/>
                              <w:ind w:left="112"/>
                              <w:rPr>
                                <w:rFonts w:asciiTheme="minorHAnsi" w:hAnsiTheme="minorHAnsi" w:cstheme="minorHAnsi"/>
                                <w:b/>
                                <w:bCs/>
                                <w:color w:val="FFFFFF"/>
                              </w:rPr>
                            </w:pPr>
                            <w:r w:rsidRPr="0090384F">
                              <w:rPr>
                                <w:rFonts w:asciiTheme="minorHAnsi" w:hAnsiTheme="minorHAnsi" w:cstheme="minorHAnsi"/>
                                <w:b/>
                                <w:bCs/>
                                <w:color w:val="FFFFFF"/>
                              </w:rPr>
                              <w:t>Principais assuntos de auditoria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905E7" id="Caixa de Texto 459" o:spid="_x0000_s1029" type="#_x0000_t202" style="position:absolute;left:0;text-align:left;margin-left:1in;margin-top:32.15pt;width:475pt;height:23.3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" o:allowincell="f" fillcolor="#004d98" stroked="f">
                <v:textbox inset="0,0,0,0">
                  <w:txbxContent>
                    <w:p w14:paraId="32F5EC3F" w14:textId="77777777" w:rsidR="00A90153" w:rsidRPr="0090384F" w:rsidRDefault="00A90153" w:rsidP="00A90153">
                      <w:pPr>
                        <w:pStyle w:val="Corpodetexto"/>
                        <w:kinsoku w:val="0"/>
                        <w:overflowPunct w:val="0"/>
                        <w:spacing w:before="120"/>
                        <w:ind w:left="112"/>
                        <w:rPr>
                          <w:rFonts w:asciiTheme="minorHAnsi" w:hAnsiTheme="minorHAnsi" w:cstheme="minorHAnsi"/>
                          <w:b/>
                          <w:bCs/>
                          <w:color w:val="FFFFFF"/>
                        </w:rPr>
                      </w:pPr>
                      <w:r w:rsidRPr="0090384F">
                        <w:rPr>
                          <w:rFonts w:asciiTheme="minorHAnsi" w:hAnsiTheme="minorHAnsi" w:cstheme="minorHAnsi"/>
                          <w:b/>
                          <w:bCs/>
                          <w:color w:val="FFFFFF"/>
                        </w:rPr>
                        <w:t>Principais assuntos de auditoria</w:t>
                      </w:r>
                    </w:p>
                  </w:txbxContent>
                </v:textbox>
                <w10:wrap type="topAndBottom" anchorx="page"/>
              </v:shape>
            </w:pict>
          </mc:Fallback>
        </mc:AlternateContent>
      </w:r>
      <w:r w:rsidR="00A90153" w:rsidRPr="00A90153">
        <w:rPr>
          <w:rFonts w:ascii="Calibri" w:eastAsia="Times New Roman" w:hAnsi="Calibri" w:cs="Calibri"/>
          <w:sz w:val="19"/>
          <w:szCs w:val="19"/>
        </w:rPr>
        <w:t>Acreditamos que a evidência de auditoria obtida é suficiente e apropriada para fundamentar nossa opinião.</w:t>
      </w:r>
    </w:p>
    <w:p w14:paraId="2FEB22F1" w14:textId="3555B785"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Principais assuntos de auditoria são aqueles que, em nosso julgamento profissional, foram os mais significativos em nossa auditoria do semestre corrente. Estes assuntos foram tratados no contexto de nossa auditoria das demonstrações contábeis individuais e consolidadas como um todo e na formação de nossa opinião sobre estas demonstrações contábeis individuais e consolidadas e, portanto, não expressamos uma opinião separada sobre esses assuntos.</w:t>
      </w:r>
    </w:p>
    <w:p w14:paraId="18E09D8A" w14:textId="77777777" w:rsidR="001A3EEA" w:rsidRDefault="001A3EEA" w:rsidP="007B39B3">
      <w:pPr>
        <w:spacing w:before="120" w:after="120"/>
        <w:ind w:left="425"/>
        <w:rPr>
          <w:rFonts w:asciiTheme="minorHAnsi" w:hAnsiTheme="minorHAnsi" w:cstheme="minorHAnsi"/>
          <w:b/>
          <w:bCs/>
          <w:sz w:val="22"/>
          <w:szCs w:val="22"/>
        </w:rPr>
      </w:pPr>
    </w:p>
    <w:p w14:paraId="6AA83CEF" w14:textId="0196FFD1" w:rsidR="00A90153" w:rsidRPr="007B39B3" w:rsidRDefault="00A90153" w:rsidP="007B39B3">
      <w:pPr>
        <w:spacing w:before="120" w:after="120"/>
        <w:ind w:left="425"/>
        <w:rPr>
          <w:rFonts w:asciiTheme="minorHAnsi" w:hAnsiTheme="minorHAnsi" w:cstheme="minorHAnsi"/>
          <w:b/>
          <w:bCs/>
          <w:sz w:val="22"/>
          <w:szCs w:val="22"/>
        </w:rPr>
      </w:pPr>
      <w:r w:rsidRPr="007B39B3">
        <w:rPr>
          <w:rFonts w:asciiTheme="minorHAnsi" w:hAnsiTheme="minorHAnsi" w:cstheme="minorHAnsi"/>
          <w:b/>
          <w:bCs/>
          <w:sz w:val="22"/>
          <w:szCs w:val="22"/>
        </w:rPr>
        <w:t>Mensuração da provisão para perdas esperadas associadas ao risco de crédito</w:t>
      </w:r>
    </w:p>
    <w:p w14:paraId="53367E4E"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Conforme descrito nas notas explicativas nº 3 (h) e 9 das demonstrações contábeis individuais e consolidadas, a CAIXA registrou, em 30 de junho de 2024, R$ 50.522.436 mil (individual e consolidado) de provisão para perdas esperadas associadas ao risco de crédito para a carteira de crédito, que compreendem as operações de crédito, adiantamentos sobre contratos de câmbio e outros créditos com características de concessão de crédito.</w:t>
      </w:r>
    </w:p>
    <w:p w14:paraId="6C985C3C"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Para determinar a provisão para perdas esperadas associadas ao risco de crédito, a CAIXA classifica as operações de crédito, adiantamento sobre contratos de câmbio e outros créditos com características de concessão de crédito em nove níveis de risco (“ratings”), do “AA” (risco mínimo) ao “H” (risco máximo), de acordo com os parâmetros estabelecidos pela Resolução CMN nº 2.682/1999 e observando a avaliação periódica da CAIXA, que considera a conjuntura econômica, a experiência passada e os riscos específicos e globais em relação às operações, aos devedores, e aos garantidores. Adicionalmente, a CAIXA realiza provisão complementar aos percentuais mínimos requeridos pela Resolução CMN nº 2.682/1999 utilizando‐se da metodologia de perda esperada, adotada na gestão de risco de crédito da CAIXA.</w:t>
      </w:r>
    </w:p>
    <w:p w14:paraId="2C176B33"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Devido à relevância da carteira de crédito e do montante de provisão para perdas associadas ao risco de crédito, às incertezas e o grau de julgamento inerentes à classificação das operações de crédito em níveis de riscos, bem como à complexidade dos métodos e premissas utilizados na determinação da provisão complementar, consideramos que este é um assunto significativo para nossa auditoria.</w:t>
      </w:r>
    </w:p>
    <w:p w14:paraId="197851AE" w14:textId="77777777" w:rsidR="00A90153" w:rsidRPr="00A90153" w:rsidRDefault="00A90153" w:rsidP="007B39B3">
      <w:pPr>
        <w:spacing w:before="120" w:after="120"/>
        <w:ind w:left="425"/>
        <w:rPr>
          <w:rFonts w:asciiTheme="minorHAnsi" w:hAnsiTheme="minorHAnsi" w:cstheme="minorHAnsi"/>
          <w:b/>
          <w:bCs/>
          <w:i/>
          <w:iCs/>
          <w:sz w:val="22"/>
          <w:szCs w:val="22"/>
        </w:rPr>
      </w:pPr>
      <w:r w:rsidRPr="00A90153">
        <w:rPr>
          <w:rFonts w:asciiTheme="minorHAnsi" w:hAnsiTheme="minorHAnsi" w:cstheme="minorHAnsi"/>
          <w:b/>
          <w:bCs/>
          <w:i/>
          <w:iCs/>
          <w:sz w:val="22"/>
          <w:szCs w:val="22"/>
        </w:rPr>
        <w:t>Como nossa auditoria abordou esse assunto</w:t>
      </w:r>
    </w:p>
    <w:p w14:paraId="37E244FF"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Nossos procedimentos de auditoria incluíram, mas não se limitaram a:</w:t>
      </w:r>
    </w:p>
    <w:p w14:paraId="7E7DBABB"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Avaliação do desenho e da efetividade operacional, por amostragem, dos controles internos chave, manuais e automatizados, relacionados aos processos de: (i) aprovação e registro das operações de crédito; e (</w:t>
      </w:r>
      <w:proofErr w:type="spellStart"/>
      <w:r w:rsidRPr="00A90153">
        <w:rPr>
          <w:rFonts w:ascii="Calibri" w:eastAsia="Times New Roman" w:hAnsi="Calibri" w:cs="Calibri"/>
          <w:sz w:val="19"/>
          <w:szCs w:val="19"/>
        </w:rPr>
        <w:t>ii</w:t>
      </w:r>
      <w:proofErr w:type="spellEnd"/>
      <w:r w:rsidRPr="00A90153">
        <w:rPr>
          <w:rFonts w:ascii="Calibri" w:eastAsia="Times New Roman" w:hAnsi="Calibri" w:cs="Calibri"/>
          <w:sz w:val="19"/>
          <w:szCs w:val="19"/>
        </w:rPr>
        <w:t>) definição, aprovação e aplicação das principais premissas e julgamentos utilizados na classificação das operações de crédito em níveis de risco (“ratings”);</w:t>
      </w:r>
    </w:p>
    <w:p w14:paraId="38719ECE"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Avaliação, com base em amostragem, se a CAIXA atendeu aos requisitos estabelecidos pela Resolução CMN nº 2.682/99 tais como: (i) análise dos dados que suportam a definição e revisão dos ratings dos clientes e operações pela CAIXA, tais como a proposta de crédito, informações financeiras e cadastrais, reestruturações operacionais e/ou financeiras e garantias, verificando a aderência desta atribuição de rating em relação às políticas internas da CAIXA, incluindo os ratings internos complementares aos indicados na referida Resolução; e (</w:t>
      </w:r>
      <w:proofErr w:type="spellStart"/>
      <w:r w:rsidRPr="00A90153">
        <w:rPr>
          <w:rFonts w:ascii="Calibri" w:eastAsia="Times New Roman" w:hAnsi="Calibri" w:cs="Calibri"/>
          <w:sz w:val="19"/>
          <w:szCs w:val="19"/>
        </w:rPr>
        <w:t>ii</w:t>
      </w:r>
      <w:proofErr w:type="spellEnd"/>
      <w:r w:rsidRPr="00A90153">
        <w:rPr>
          <w:rFonts w:ascii="Calibri" w:eastAsia="Times New Roman" w:hAnsi="Calibri" w:cs="Calibri"/>
          <w:sz w:val="19"/>
          <w:szCs w:val="19"/>
        </w:rPr>
        <w:t>) análise do cálculo aritmético da provisão para perdas esperadas associadas ao risco de crédito das operações de crédito, incluindo a aplicação pela CAIXA dos ratings mínimos em relação aos dias em atraso, atribuição do pior rating para operações de um mesmo cliente ou grupo econômico e manutenção do rating anterior para casos de renegociação/recuperação do crédito; e</w:t>
      </w:r>
    </w:p>
    <w:p w14:paraId="79E61CE0"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Avaliação das divulgações efetuadas nas demonstrações contábeis individuais e consolidadas, especificamente relacionadas aos critérios para determinação da provisão para perdas esperadas associadas ao risco de crédito.</w:t>
      </w:r>
    </w:p>
    <w:p w14:paraId="0BEEA7A0"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 xml:space="preserve">Com base nas evidências obtidas por meio dos procedimentos acima resumidos, consideramos </w:t>
      </w:r>
      <w:proofErr w:type="gramStart"/>
      <w:r w:rsidRPr="00A90153">
        <w:rPr>
          <w:rFonts w:ascii="Calibri" w:eastAsia="Times New Roman" w:hAnsi="Calibri" w:cs="Calibri"/>
          <w:sz w:val="19"/>
          <w:szCs w:val="19"/>
        </w:rPr>
        <w:t>aceitáveis o saldo</w:t>
      </w:r>
      <w:proofErr w:type="gramEnd"/>
      <w:r w:rsidRPr="00A90153">
        <w:rPr>
          <w:rFonts w:ascii="Calibri" w:eastAsia="Times New Roman" w:hAnsi="Calibri" w:cs="Calibri"/>
          <w:sz w:val="19"/>
          <w:szCs w:val="19"/>
        </w:rPr>
        <w:t xml:space="preserve"> de provisão para perdas esperadas associadas ao risco de crédito, bem como as respectivas divulgações, no contexto das </w:t>
      </w:r>
      <w:r w:rsidRPr="00A90153">
        <w:rPr>
          <w:rFonts w:ascii="Calibri" w:eastAsia="Times New Roman" w:hAnsi="Calibri" w:cs="Calibri"/>
          <w:sz w:val="19"/>
          <w:szCs w:val="19"/>
        </w:rPr>
        <w:lastRenderedPageBreak/>
        <w:t>demonstrações contábeis individuais e consolidadas tomadas em conjunto, referentes ao semestre findo em 30 de junho de 2024.</w:t>
      </w:r>
    </w:p>
    <w:p w14:paraId="5DA16E7A"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p>
    <w:p w14:paraId="5D2397DC" w14:textId="77777777" w:rsidR="00A90153" w:rsidRPr="00A90153" w:rsidRDefault="00A90153" w:rsidP="00A61FCC">
      <w:pPr>
        <w:spacing w:before="120" w:after="120"/>
        <w:ind w:left="425"/>
        <w:rPr>
          <w:rFonts w:asciiTheme="minorHAnsi" w:hAnsiTheme="minorHAnsi" w:cstheme="minorHAnsi"/>
          <w:b/>
          <w:bCs/>
          <w:sz w:val="22"/>
          <w:szCs w:val="22"/>
        </w:rPr>
      </w:pPr>
      <w:r w:rsidRPr="00A90153">
        <w:rPr>
          <w:rFonts w:asciiTheme="minorHAnsi" w:hAnsiTheme="minorHAnsi" w:cstheme="minorHAnsi"/>
          <w:b/>
          <w:bCs/>
          <w:sz w:val="22"/>
          <w:szCs w:val="22"/>
        </w:rPr>
        <w:t>Reconhecimento e mensuração dos passivos contingentes e provisões para contingências fiscais, cíveis e trabalhistas</w:t>
      </w:r>
    </w:p>
    <w:p w14:paraId="3985C1D1"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Conforme descrito nas notas explicativas nº 3 (q) e 19 (b) das demonstrações contábeis individuais e consolidadas, a CAIXA é parte demandada em processos judiciais e administrativos de natureza tributária (fiscal), cível e trabalhista, decorrentes do curso normal de seus negócios, com as respectivas provisões registradas no montante de R$ 11.444.397 mil (individual e consolidado).</w:t>
      </w:r>
    </w:p>
    <w:p w14:paraId="5B69422B"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Parte dessas provisões foram constituídas considerando: (i) a análise individualizada realizada por advogados internos da CAIXA para as ações relevantes, baseada na repercussão econômica dos pedidos feitos pelo autor, ponderada pela situação do expediente e jurisprudência predominante em causas similares, para determinar a probabilidade de perda e valor estimado de condenação; ou (</w:t>
      </w:r>
      <w:proofErr w:type="spellStart"/>
      <w:r w:rsidRPr="00A90153">
        <w:rPr>
          <w:rFonts w:ascii="Calibri" w:eastAsia="Times New Roman" w:hAnsi="Calibri" w:cs="Calibri"/>
          <w:sz w:val="19"/>
          <w:szCs w:val="19"/>
        </w:rPr>
        <w:t>ii</w:t>
      </w:r>
      <w:proofErr w:type="spellEnd"/>
      <w:r w:rsidRPr="00A90153">
        <w:rPr>
          <w:rFonts w:ascii="Calibri" w:eastAsia="Times New Roman" w:hAnsi="Calibri" w:cs="Calibri"/>
          <w:sz w:val="19"/>
          <w:szCs w:val="19"/>
        </w:rPr>
        <w:t>) modelo estatístico massificado para ações trabalhistas e cíveis habitacionais e de feitos diversos, que consiste na mensuração da probabilidade e do impacto do resultado desfavorável à CAIXA.</w:t>
      </w:r>
    </w:p>
    <w:p w14:paraId="701C6441"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Devido à relevância dos montantes e as incertezas e julgamentos envolvidos na determinação da probabilidade de perda e valor estimado de condenação das ações relevantes analisadas individualmente, e do método estatístico massificado utilizado na mensuração das provisões relacionadas as ações trabalhistas e cíveis habitacionais e de feitos diversos, incluindo as divulgações requeridas de passivos contingentes, consideramos que este é assunto significativo para a nossa auditoria.</w:t>
      </w:r>
    </w:p>
    <w:p w14:paraId="0C3EFC64" w14:textId="77777777" w:rsidR="00A90153" w:rsidRPr="00A90153" w:rsidRDefault="00A90153" w:rsidP="00A61FCC">
      <w:pPr>
        <w:spacing w:before="120" w:after="120"/>
        <w:ind w:left="425"/>
        <w:rPr>
          <w:rFonts w:ascii="Calibri" w:eastAsia="Times New Roman" w:hAnsi="Calibri" w:cs="Calibri"/>
          <w:b/>
          <w:bCs/>
          <w:i/>
          <w:iCs/>
          <w:sz w:val="22"/>
          <w:szCs w:val="22"/>
        </w:rPr>
      </w:pPr>
      <w:r w:rsidRPr="00A90153">
        <w:rPr>
          <w:rFonts w:asciiTheme="minorHAnsi" w:hAnsiTheme="minorHAnsi" w:cstheme="minorHAnsi"/>
          <w:b/>
          <w:bCs/>
          <w:i/>
          <w:iCs/>
          <w:sz w:val="22"/>
          <w:szCs w:val="22"/>
        </w:rPr>
        <w:t>Como nossa auditoria abordou esse assunto</w:t>
      </w:r>
    </w:p>
    <w:p w14:paraId="676535A8" w14:textId="77777777" w:rsidR="00A90153" w:rsidRPr="00A90153" w:rsidRDefault="00A90153" w:rsidP="00A90153">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A90153">
        <w:rPr>
          <w:rFonts w:ascii="Calibri" w:eastAsia="Times New Roman" w:hAnsi="Calibri" w:cs="Calibri"/>
          <w:sz w:val="19"/>
          <w:szCs w:val="19"/>
        </w:rPr>
        <w:t>Nossos procedimentos de auditoria incluíram, mas não se limitaram a:</w:t>
      </w:r>
    </w:p>
    <w:p w14:paraId="30C86A1D"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Avaliação do desenho e da efetividade de certos controles internos relacionados a: (i) avaliação sobre os modelos massificados utilizados na mensuração da provisão para passivos contingentes; (</w:t>
      </w:r>
      <w:proofErr w:type="spellStart"/>
      <w:r w:rsidRPr="00A90153">
        <w:rPr>
          <w:rFonts w:ascii="Calibri" w:eastAsia="Times New Roman" w:hAnsi="Calibri" w:cs="Calibri"/>
          <w:sz w:val="19"/>
          <w:szCs w:val="19"/>
        </w:rPr>
        <w:t>ii</w:t>
      </w:r>
      <w:proofErr w:type="spellEnd"/>
      <w:r w:rsidRPr="00A90153">
        <w:rPr>
          <w:rFonts w:ascii="Calibri" w:eastAsia="Times New Roman" w:hAnsi="Calibri" w:cs="Calibri"/>
          <w:sz w:val="19"/>
          <w:szCs w:val="19"/>
        </w:rPr>
        <w:t>) revisão da estimativa da probabilidade de perda e do valor atribuído às ações relevantes analisadas de forma individualizada pelos advogados internos da CAIXA; e (</w:t>
      </w:r>
      <w:proofErr w:type="spellStart"/>
      <w:r w:rsidRPr="00A90153">
        <w:rPr>
          <w:rFonts w:ascii="Calibri" w:eastAsia="Times New Roman" w:hAnsi="Calibri" w:cs="Calibri"/>
          <w:sz w:val="19"/>
          <w:szCs w:val="19"/>
        </w:rPr>
        <w:t>iii</w:t>
      </w:r>
      <w:proofErr w:type="spellEnd"/>
      <w:r w:rsidRPr="00A90153">
        <w:rPr>
          <w:rFonts w:ascii="Calibri" w:eastAsia="Times New Roman" w:hAnsi="Calibri" w:cs="Calibri"/>
          <w:sz w:val="19"/>
          <w:szCs w:val="19"/>
        </w:rPr>
        <w:t>) análise retrospectiva sobre a suficiência de provisão pela CAIXA, bem como a avaliação dos métodos, dados e premissas que suportam as provisões para contingências fiscais, cíveis e trabalhistas;</w:t>
      </w:r>
    </w:p>
    <w:p w14:paraId="139BAC96"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Avaliação, com o auxílio dos nossos profissionais com conhecimentos em estatística, da metodologia estatística massificada utilizada na mensuração da provisão de ações trabalhistas e cíveis habitacionais e de feitos diversos, e recálculo da referida provisão de acordo com os critérios estabelecidos;</w:t>
      </w:r>
    </w:p>
    <w:p w14:paraId="5638A5FF"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Para as ações relevantes (análise individualizada), avaliação, por meio de amostragem estatística e seleção de itens específicos, dos estudos técnicos preparados pelos consultores jurídicos internos da CAIXA, com a fundamentação para definição da probabilidade de perda e valor estimado de condenação dos processos, e avaliação da consistência das informações dos estudos técnicos por meio de consultas nos sites dos tribunais. Para uma seleção específica, envolvemos nossos especialistas jurídicos que nos auxiliaram na avaliação dos méritos técnicos e da documentação suporte para definição da probabilidade e estimativa de perda;</w:t>
      </w:r>
    </w:p>
    <w:p w14:paraId="5645079E"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Avaliação da suficiência de provisão para as ações fiscais, cíveis e trabalhistas, através do histórico de desembolso em relação aos respectivos valores de provisão, intensificando as análises em relação ao entendimento de casos individualmente relevantes que tenham divergido em relação ao valor provisionado; e</w:t>
      </w:r>
    </w:p>
    <w:p w14:paraId="31422C63"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Avaliação da adequação das divulgações efetuadas nas demonstrações contábeis individuais e consolidadas, especificamente relacionadas aos critérios de determinação da probabilidade de perda e valor estimado de condenação das ações relevantes analisadas individualmente, e do método estatístico massificado utilizado na mensuração das provisões.</w:t>
      </w:r>
    </w:p>
    <w:p w14:paraId="52ADB2B2"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 xml:space="preserve">Com base nas evidências obtidas por meio dos procedimentos acima resumidos, consideramos aceitável a avaliação do reconhecimento e da mensuração das provisões relacionadas as ações relevantes analisadas individualmente, e a avaliação da mensuração das ações trabalhistas e cíveis habitacionais e de feitos diversos analisadas por critério </w:t>
      </w:r>
      <w:r w:rsidRPr="00A90153">
        <w:rPr>
          <w:rFonts w:ascii="Calibri" w:eastAsia="Times New Roman" w:hAnsi="Calibri" w:cs="Calibri"/>
          <w:sz w:val="19"/>
          <w:szCs w:val="19"/>
        </w:rPr>
        <w:lastRenderedPageBreak/>
        <w:t>estatístico massificado, bem como as divulgações e mensuração dos passivos contingentes, no contexto das demonstrações contábeis individuais e consolidadas tomadas em conjunto referentes ao semestre findo em 30 de junho de 2024.</w:t>
      </w:r>
    </w:p>
    <w:p w14:paraId="1C5B64E3" w14:textId="7C087BD7" w:rsidR="00F51A75" w:rsidRDefault="00F51A75">
      <w:pPr>
        <w:rPr>
          <w:rFonts w:asciiTheme="minorHAnsi" w:hAnsiTheme="minorHAnsi" w:cstheme="minorHAnsi"/>
          <w:b/>
          <w:bCs/>
          <w:sz w:val="22"/>
          <w:szCs w:val="22"/>
        </w:rPr>
      </w:pPr>
    </w:p>
    <w:p w14:paraId="6CAD439B" w14:textId="294A2432" w:rsidR="00A90153" w:rsidRPr="00A90153" w:rsidRDefault="00A90153" w:rsidP="00CC23C8">
      <w:pPr>
        <w:spacing w:before="120" w:after="120"/>
        <w:ind w:left="425"/>
        <w:rPr>
          <w:rFonts w:asciiTheme="minorHAnsi" w:hAnsiTheme="minorHAnsi" w:cstheme="minorHAnsi"/>
          <w:b/>
          <w:bCs/>
          <w:sz w:val="22"/>
          <w:szCs w:val="22"/>
        </w:rPr>
      </w:pPr>
      <w:r w:rsidRPr="00A90153">
        <w:rPr>
          <w:rFonts w:asciiTheme="minorHAnsi" w:hAnsiTheme="minorHAnsi" w:cstheme="minorHAnsi"/>
          <w:b/>
          <w:bCs/>
          <w:sz w:val="22"/>
          <w:szCs w:val="22"/>
        </w:rPr>
        <w:t>Mensuração das provisões dos benefícios pós‐emprego</w:t>
      </w:r>
    </w:p>
    <w:p w14:paraId="4E07958E"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Conforme descrito nas notas explicativas nº 3 (r) e 21 das demonstrações contábeis individuais e consolidadas, a CAIXA é patrocinadora de planos de aposentadoria, pensão, saúde complementar e auxílio/cesta‐alimentação disponibilizados a seus empregados, dirigentes, aposentados e pensionistas. Parte relevante destes planos são classificados como planos de benefício definido, cujos valores são relevantes no contexto das demonstrações contábeis individuais e consolidadas e a mensuração desses passivos requer a utilização de técnicas atuariais e julgamento na definição de premissas, tais como: taxa de desconto, taxa de inflação e tábuas de mortalidade.</w:t>
      </w:r>
    </w:p>
    <w:p w14:paraId="1401595B"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Devido à complexidade e julgamento na mensuração dos passivos atuariais e ao impacto relevante que eventuais mudanças nas referidas premissas teriam sobre as demonstrações contábeis individuais e consolidadas, consideramos que este é um assunto significativo para a nossa auditoria.</w:t>
      </w:r>
    </w:p>
    <w:p w14:paraId="12CDB9B3" w14:textId="77777777" w:rsidR="00A90153" w:rsidRPr="00A90153" w:rsidRDefault="00A90153" w:rsidP="00CC23C8">
      <w:pPr>
        <w:spacing w:before="120" w:after="120"/>
        <w:ind w:left="425"/>
        <w:rPr>
          <w:rFonts w:asciiTheme="minorHAnsi" w:hAnsiTheme="minorHAnsi" w:cstheme="minorHAnsi"/>
          <w:b/>
          <w:bCs/>
          <w:i/>
          <w:iCs/>
          <w:sz w:val="22"/>
          <w:szCs w:val="22"/>
        </w:rPr>
      </w:pPr>
      <w:r w:rsidRPr="00A90153">
        <w:rPr>
          <w:rFonts w:asciiTheme="minorHAnsi" w:hAnsiTheme="minorHAnsi" w:cstheme="minorHAnsi"/>
          <w:b/>
          <w:bCs/>
          <w:i/>
          <w:iCs/>
          <w:sz w:val="22"/>
          <w:szCs w:val="22"/>
        </w:rPr>
        <w:t>Como nossa auditoria abordou esse assunto</w:t>
      </w:r>
    </w:p>
    <w:p w14:paraId="7959BFFF"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Nossos procedimentos de auditoria incluíram, mas não se limitaram a:</w:t>
      </w:r>
    </w:p>
    <w:p w14:paraId="03278DC8"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Avaliação do desenho e efetividade dos controles internos chave relacionados à definição e aprovação das premissas utilizadas para mensuração dos passivos atuariais;</w:t>
      </w:r>
    </w:p>
    <w:p w14:paraId="1F76D3C0"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 xml:space="preserve">Análise, com auxílio de nossos especialistas atuariais, da razoabilidade e sensibilidade das premissas, que incluem taxa de desconto, taxa de inflação e tábuas de mortalidade, utilizadas e informadas nos relatórios atuariais dos planos de benefícios relevantes. Adicionalmente, analisamos por meio de amostragem, se as informações relevantes cadastradas na base de dados utilizada </w:t>
      </w:r>
      <w:proofErr w:type="gramStart"/>
      <w:r w:rsidRPr="00A90153">
        <w:rPr>
          <w:rFonts w:ascii="Calibri" w:eastAsia="Times New Roman" w:hAnsi="Calibri" w:cs="Calibri"/>
          <w:sz w:val="19"/>
          <w:szCs w:val="19"/>
        </w:rPr>
        <w:t>pelos os</w:t>
      </w:r>
      <w:proofErr w:type="gramEnd"/>
      <w:r w:rsidRPr="00A90153">
        <w:rPr>
          <w:rFonts w:ascii="Calibri" w:eastAsia="Times New Roman" w:hAnsi="Calibri" w:cs="Calibri"/>
          <w:sz w:val="19"/>
          <w:szCs w:val="19"/>
        </w:rPr>
        <w:t xml:space="preserve"> atuários externos no cálculo das provisões dos benefícios pós‐emprego estavam completas e precisas; e</w:t>
      </w:r>
    </w:p>
    <w:p w14:paraId="2CA63908"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270"/>
        <w:rPr>
          <w:rFonts w:ascii="Calibri" w:eastAsia="Times New Roman" w:hAnsi="Calibri" w:cs="Calibri"/>
          <w:sz w:val="19"/>
          <w:szCs w:val="19"/>
        </w:rPr>
      </w:pPr>
      <w:r w:rsidRPr="00A90153">
        <w:rPr>
          <w:rFonts w:ascii="Calibri" w:eastAsia="Times New Roman" w:hAnsi="Calibri" w:cs="Calibri"/>
          <w:sz w:val="19"/>
          <w:szCs w:val="19"/>
        </w:rPr>
        <w:t>Avaliação da adequação das divulgações nas demonstrações contábeis individuais e consolidadas, especificamente quanto à análise de sensibilidade do valor líquido de passivo de benefício definido em relação às premissas atuariais utilizadas.</w:t>
      </w:r>
    </w:p>
    <w:p w14:paraId="7FE6AEEF"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Com base nas evidências obtidas por meio dos procedimentos acima resumidos, consideramos aceitável a mensuração dos passivos atuariais no contexto das demonstrações contábeis individuais e consolidadas tomadas em conjunto referentes ao semestre findo em 30 de junho de 2024.</w:t>
      </w:r>
    </w:p>
    <w:p w14:paraId="1A85CC66" w14:textId="77777777" w:rsidR="001A3EEA" w:rsidRDefault="001A3EEA" w:rsidP="00CC23C8">
      <w:pPr>
        <w:spacing w:before="120" w:after="120"/>
        <w:ind w:left="425"/>
        <w:rPr>
          <w:rFonts w:asciiTheme="minorHAnsi" w:hAnsiTheme="minorHAnsi" w:cstheme="minorHAnsi"/>
          <w:b/>
          <w:bCs/>
          <w:sz w:val="22"/>
          <w:szCs w:val="22"/>
        </w:rPr>
      </w:pPr>
    </w:p>
    <w:p w14:paraId="4FD20E85" w14:textId="6C83E219" w:rsidR="00A90153" w:rsidRPr="00A90153" w:rsidRDefault="00A90153" w:rsidP="00CC23C8">
      <w:pPr>
        <w:spacing w:before="120" w:after="120"/>
        <w:ind w:left="425"/>
        <w:rPr>
          <w:rFonts w:asciiTheme="minorHAnsi" w:hAnsiTheme="minorHAnsi" w:cstheme="minorHAnsi"/>
          <w:b/>
          <w:bCs/>
          <w:sz w:val="22"/>
          <w:szCs w:val="22"/>
        </w:rPr>
      </w:pPr>
      <w:r w:rsidRPr="00A90153">
        <w:rPr>
          <w:rFonts w:asciiTheme="minorHAnsi" w:hAnsiTheme="minorHAnsi" w:cstheme="minorHAnsi"/>
          <w:b/>
          <w:bCs/>
          <w:sz w:val="22"/>
          <w:szCs w:val="22"/>
        </w:rPr>
        <w:t>Avaliação da recuperabilidade dos créditos tributários</w:t>
      </w:r>
    </w:p>
    <w:p w14:paraId="4883DC5B"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Conforme descrito nas notas explicativas nº 3 (i) e 20 das demonstrações contábeis individuais e consolidadas, a CAIXA registrou créditos tributários no valor de R$ 63.896.781 e R$ 63.897.044 mil (individual e consolidado, respectivamente) referentes a prejuízos fiscais, base negativa de contribuição social e diferenças temporárias.</w:t>
      </w:r>
    </w:p>
    <w:p w14:paraId="05A97950"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A constituição dos créditos tributários é baseada na estimativa de sua realização, conforme estudos técnicos e análises realizadas pela CAIXA. Os créditos tributários originados de diferenças temporárias se realizam pela utilização ou reversão das provisões que serviram de base para sua constituição enquanto a realização dos créditos tributários sobre prejuízos fiscais e base negativa de contribuição social realizam‐ se quando da geração de lucros tributáveis. A expectativa de realização dos créditos tributários está baseada em projeções de lucros tributários futuros que requerem a aplicação de julgamento por parte da Administração da CAIXA na utilização de premissas.</w:t>
      </w:r>
    </w:p>
    <w:p w14:paraId="519F94E7"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Devido ao alto grau de julgamento necessário na avaliação das premissas relevantes que são consideradas na projeção de lucros tributáveis futuros, e ao impacto relevante que eventuais mudanças nessas premissas teriam sobre as demonstrações contábeis individuais e consolidadas, consideramos que este é um assunto significativo para nossa auditoria.</w:t>
      </w:r>
    </w:p>
    <w:p w14:paraId="1AEA00A3" w14:textId="77777777" w:rsidR="00A90153" w:rsidRPr="00A90153" w:rsidRDefault="00A90153" w:rsidP="00CC23C8">
      <w:pPr>
        <w:spacing w:before="120" w:after="120"/>
        <w:ind w:left="425"/>
        <w:rPr>
          <w:rFonts w:asciiTheme="minorHAnsi" w:hAnsiTheme="minorHAnsi" w:cstheme="minorHAnsi"/>
          <w:b/>
          <w:bCs/>
          <w:i/>
          <w:iCs/>
          <w:sz w:val="22"/>
          <w:szCs w:val="22"/>
        </w:rPr>
      </w:pPr>
      <w:r w:rsidRPr="00A90153">
        <w:rPr>
          <w:rFonts w:asciiTheme="minorHAnsi" w:hAnsiTheme="minorHAnsi" w:cstheme="minorHAnsi"/>
          <w:b/>
          <w:bCs/>
          <w:i/>
          <w:iCs/>
          <w:sz w:val="22"/>
          <w:szCs w:val="22"/>
        </w:rPr>
        <w:lastRenderedPageBreak/>
        <w:t>Como nossa auditoria abordou esse assunto</w:t>
      </w:r>
    </w:p>
    <w:p w14:paraId="1E273A2B"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Nossos procedimentos de auditoria incluíram, mas não se limitaram a:</w:t>
      </w:r>
    </w:p>
    <w:p w14:paraId="61EF4C00"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540" w:right="-41" w:hanging="180"/>
        <w:rPr>
          <w:rFonts w:ascii="Calibri" w:eastAsia="Times New Roman" w:hAnsi="Calibri" w:cs="Calibri"/>
          <w:sz w:val="19"/>
          <w:szCs w:val="19"/>
        </w:rPr>
      </w:pPr>
      <w:r w:rsidRPr="00A90153">
        <w:rPr>
          <w:rFonts w:ascii="Calibri" w:eastAsia="Times New Roman" w:hAnsi="Calibri" w:cs="Calibri"/>
          <w:sz w:val="19"/>
          <w:szCs w:val="19"/>
        </w:rPr>
        <w:t>Avaliação do desenho e efetividade dos controles internos chave referentes a elaboração e aprovação do estudo de realização dos créditos tributários preparados pela CAIXA, de acordo com as projeções de lucros tributáveis futuros;</w:t>
      </w:r>
    </w:p>
    <w:p w14:paraId="344387AC"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540" w:right="-41" w:hanging="180"/>
        <w:rPr>
          <w:rFonts w:ascii="Calibri" w:eastAsia="Times New Roman" w:hAnsi="Calibri" w:cs="Calibri"/>
          <w:sz w:val="19"/>
          <w:szCs w:val="19"/>
        </w:rPr>
      </w:pPr>
    </w:p>
    <w:p w14:paraId="1DB8AC00"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540" w:right="-41" w:hanging="180"/>
        <w:rPr>
          <w:rFonts w:ascii="Calibri" w:eastAsia="Times New Roman" w:hAnsi="Calibri" w:cs="Calibri"/>
          <w:sz w:val="19"/>
          <w:szCs w:val="19"/>
        </w:rPr>
      </w:pPr>
      <w:r w:rsidRPr="00A90153">
        <w:rPr>
          <w:rFonts w:ascii="Calibri" w:eastAsia="Times New Roman" w:hAnsi="Calibri" w:cs="Calibri"/>
          <w:sz w:val="19"/>
          <w:szCs w:val="19"/>
        </w:rPr>
        <w:t>Com auxílio dos nossos especialistas de finanças corporativas: (i) avaliamos as premissas consideradas nas projeções de lucros tributáveis futuros preparadas pela CAIXA considerando se estão consistentes com as práticas e metodologias de avaliação normalmente utilizadas, e se são fundamentadas em dados históricos e/ou de mercado; e (</w:t>
      </w:r>
      <w:proofErr w:type="spellStart"/>
      <w:r w:rsidRPr="00A90153">
        <w:rPr>
          <w:rFonts w:ascii="Calibri" w:eastAsia="Times New Roman" w:hAnsi="Calibri" w:cs="Calibri"/>
          <w:sz w:val="19"/>
          <w:szCs w:val="19"/>
        </w:rPr>
        <w:t>ii</w:t>
      </w:r>
      <w:proofErr w:type="spellEnd"/>
      <w:r w:rsidRPr="00A90153">
        <w:rPr>
          <w:rFonts w:ascii="Calibri" w:eastAsia="Times New Roman" w:hAnsi="Calibri" w:cs="Calibri"/>
          <w:sz w:val="19"/>
          <w:szCs w:val="19"/>
        </w:rPr>
        <w:t>) recalculamos os valores incluído no estudo técnico de realização dos créditos tributários;</w:t>
      </w:r>
    </w:p>
    <w:p w14:paraId="50AB3FA9"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540" w:right="-41" w:hanging="180"/>
        <w:rPr>
          <w:rFonts w:ascii="Calibri" w:eastAsia="Times New Roman" w:hAnsi="Calibri" w:cs="Calibri"/>
          <w:sz w:val="19"/>
          <w:szCs w:val="19"/>
        </w:rPr>
      </w:pPr>
      <w:r w:rsidRPr="00A90153">
        <w:rPr>
          <w:rFonts w:ascii="Calibri" w:eastAsia="Times New Roman" w:hAnsi="Calibri" w:cs="Calibri"/>
          <w:sz w:val="19"/>
          <w:szCs w:val="19"/>
        </w:rPr>
        <w:t>Envolvimento dos nossos especialistas em impostos para revisão da base de constituição dos créditos tributários; e</w:t>
      </w:r>
    </w:p>
    <w:p w14:paraId="54B6110F"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540" w:right="-41" w:hanging="180"/>
        <w:rPr>
          <w:rFonts w:ascii="Calibri" w:eastAsia="Times New Roman" w:hAnsi="Calibri" w:cs="Calibri"/>
          <w:sz w:val="19"/>
          <w:szCs w:val="19"/>
        </w:rPr>
      </w:pPr>
      <w:r w:rsidRPr="00A90153">
        <w:rPr>
          <w:rFonts w:ascii="Calibri" w:eastAsia="Times New Roman" w:hAnsi="Calibri" w:cs="Calibri"/>
          <w:sz w:val="19"/>
          <w:szCs w:val="19"/>
        </w:rPr>
        <w:t>Avaliação das divulgações efetuadas nas demonstrações contábeis individuais e consolidadas, especificamente à expectativa de realização de créditos tributários.</w:t>
      </w:r>
    </w:p>
    <w:p w14:paraId="67B93E0B"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 xml:space="preserve">Com base nas evidências obtidas por meio dos procedimentos acima resumidos, consideramos </w:t>
      </w:r>
      <w:proofErr w:type="gramStart"/>
      <w:r w:rsidRPr="00A90153">
        <w:rPr>
          <w:rFonts w:ascii="Calibri" w:eastAsia="Times New Roman" w:hAnsi="Calibri" w:cs="Calibri"/>
          <w:sz w:val="19"/>
          <w:szCs w:val="19"/>
        </w:rPr>
        <w:t>aceitável os saldos</w:t>
      </w:r>
      <w:proofErr w:type="gramEnd"/>
      <w:r w:rsidRPr="00A90153">
        <w:rPr>
          <w:rFonts w:ascii="Calibri" w:eastAsia="Times New Roman" w:hAnsi="Calibri" w:cs="Calibri"/>
          <w:sz w:val="19"/>
          <w:szCs w:val="19"/>
        </w:rPr>
        <w:t xml:space="preserve"> de créditos tributários registrados, bem como as respectivas divulgações, no contexto das demonstrações contábeis individuais e consolidadas tomadas em conjunto referentes ao semestre findo em 30 de junho de 2024.</w:t>
      </w:r>
    </w:p>
    <w:p w14:paraId="6D81C6DD" w14:textId="77777777" w:rsidR="001A3EEA" w:rsidRDefault="001A3EEA" w:rsidP="00CC23C8">
      <w:pPr>
        <w:spacing w:before="120" w:after="120"/>
        <w:ind w:left="425"/>
        <w:rPr>
          <w:rFonts w:asciiTheme="minorHAnsi" w:hAnsiTheme="minorHAnsi" w:cstheme="minorHAnsi"/>
          <w:b/>
          <w:bCs/>
          <w:sz w:val="22"/>
          <w:szCs w:val="22"/>
        </w:rPr>
      </w:pPr>
    </w:p>
    <w:p w14:paraId="488E24C8" w14:textId="19FF2D83" w:rsidR="00A90153" w:rsidRPr="00A90153" w:rsidRDefault="00A90153" w:rsidP="00CC23C8">
      <w:pPr>
        <w:spacing w:before="120" w:after="120"/>
        <w:ind w:left="425"/>
        <w:rPr>
          <w:rFonts w:asciiTheme="minorHAnsi" w:hAnsiTheme="minorHAnsi" w:cstheme="minorHAnsi"/>
          <w:b/>
          <w:bCs/>
          <w:sz w:val="22"/>
          <w:szCs w:val="22"/>
        </w:rPr>
      </w:pPr>
      <w:r w:rsidRPr="00A90153">
        <w:rPr>
          <w:rFonts w:asciiTheme="minorHAnsi" w:hAnsiTheme="minorHAnsi" w:cstheme="minorHAnsi"/>
          <w:b/>
          <w:bCs/>
          <w:sz w:val="22"/>
          <w:szCs w:val="22"/>
        </w:rPr>
        <w:t>Mensuração das provisões para créditos junto ao Fundo de Compensação de Variação Salarial – FCVS</w:t>
      </w:r>
    </w:p>
    <w:p w14:paraId="1025DF01"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Conforme descrito na nota explicativa nº 10 (c) das demonstrações contábeis individuais e consolidadas, a CAIXA possui créditos junto ao Fundo de Compensação de Variações Salariais (FCVS) no montante líquido de R$ 30.600.130 mil (individual e consolidado), e provisão FCVS a receber no montante de R$ 10.449.791 mil (individual e consolidado).</w:t>
      </w:r>
    </w:p>
    <w:p w14:paraId="17E8F4BE"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 xml:space="preserve">A realização dos créditos cobertos pelo FCVS depende da aderência a um conjunto de normas e procedimentos definidos em regulamentação específica e segue um processo de novação (emissão de títulos por parte da União). A metodologia para o cálculo da provisão dos contratos a serem ressarcidos pelo FCVS visa capturar a possibilidade de eventuais sinistros para as operações, independentemente da sua fase no processo de novação (Habilitado, Não Habilitado, Habilitado e não homologado, </w:t>
      </w:r>
      <w:proofErr w:type="gramStart"/>
      <w:r w:rsidRPr="00A90153">
        <w:rPr>
          <w:rFonts w:ascii="Calibri" w:eastAsia="Times New Roman" w:hAnsi="Calibri" w:cs="Calibri"/>
          <w:sz w:val="19"/>
          <w:szCs w:val="19"/>
        </w:rPr>
        <w:t>Homologado</w:t>
      </w:r>
      <w:proofErr w:type="gramEnd"/>
      <w:r w:rsidRPr="00A90153">
        <w:rPr>
          <w:rFonts w:ascii="Calibri" w:eastAsia="Times New Roman" w:hAnsi="Calibri" w:cs="Calibri"/>
          <w:sz w:val="19"/>
          <w:szCs w:val="19"/>
        </w:rPr>
        <w:t xml:space="preserve"> com recursos, Homologado sem recursos e Negativa de cobertura), devido a insuficiência de documentação comprobatória, conforme requerido pelas regras em vigor.</w:t>
      </w:r>
    </w:p>
    <w:p w14:paraId="5F01EC85"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Devido ao alto grau de julgamento para determinação do método e das premissas utilizadas para mensuração destas provisões, consideramos este assunto como um assunto significativo para nossa auditoria.</w:t>
      </w:r>
    </w:p>
    <w:p w14:paraId="67DB9FCD" w14:textId="77777777" w:rsidR="00A90153" w:rsidRPr="00A90153" w:rsidRDefault="00A90153" w:rsidP="00CC23C8">
      <w:pPr>
        <w:spacing w:before="120" w:after="120"/>
        <w:ind w:left="425"/>
        <w:rPr>
          <w:rFonts w:asciiTheme="minorHAnsi" w:hAnsiTheme="minorHAnsi" w:cstheme="minorHAnsi"/>
          <w:b/>
          <w:bCs/>
          <w:i/>
          <w:iCs/>
          <w:sz w:val="22"/>
          <w:szCs w:val="22"/>
        </w:rPr>
      </w:pPr>
      <w:r w:rsidRPr="00A90153">
        <w:rPr>
          <w:rFonts w:asciiTheme="minorHAnsi" w:hAnsiTheme="minorHAnsi" w:cstheme="minorHAnsi"/>
          <w:b/>
          <w:bCs/>
          <w:i/>
          <w:iCs/>
          <w:sz w:val="22"/>
          <w:szCs w:val="22"/>
        </w:rPr>
        <w:t>Como nossa auditoria abordou esse assunto</w:t>
      </w:r>
    </w:p>
    <w:p w14:paraId="6F8E747B"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Nossos procedimentos de auditoria incluíram, mas não se limitaram a:</w:t>
      </w:r>
    </w:p>
    <w:p w14:paraId="471779EF"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Avaliação do desenho dos controles internos chave relacionados à revisão e aprovação da metodologia de cálculo da provisão para créditos junto ao FCVS, processamento e contabilização das provisões;</w:t>
      </w:r>
    </w:p>
    <w:p w14:paraId="6AADAB5A"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Avaliação, com o auxílio dos nossos profissionais com conhecimento em estatística, dos métodos e premissas através de: (i) análise se a metodologia permite capturar a possibilidade de sinistro para as operações cobertas pelo FCVS para todas as fases do processo de novação; e (</w:t>
      </w:r>
      <w:proofErr w:type="spellStart"/>
      <w:r w:rsidRPr="00A90153">
        <w:rPr>
          <w:rFonts w:ascii="Calibri" w:eastAsia="Times New Roman" w:hAnsi="Calibri" w:cs="Calibri"/>
          <w:sz w:val="19"/>
          <w:szCs w:val="19"/>
        </w:rPr>
        <w:t>ii</w:t>
      </w:r>
      <w:proofErr w:type="spellEnd"/>
      <w:r w:rsidRPr="00A90153">
        <w:rPr>
          <w:rFonts w:ascii="Calibri" w:eastAsia="Times New Roman" w:hAnsi="Calibri" w:cs="Calibri"/>
          <w:sz w:val="19"/>
          <w:szCs w:val="19"/>
        </w:rPr>
        <w:t>) teste sobre a precisão matemática dos cálculos efetuados para determinar a provisão para créditos junto ao FCVS;</w:t>
      </w:r>
    </w:p>
    <w:p w14:paraId="23937A42"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Avaliação, por meio de amostragem, das informações de fases do processo de novação utilizadas no cálculo da provisão para créditos junto ao FCVS, bem como confronto dos saldos contábeis; e</w:t>
      </w:r>
    </w:p>
    <w:p w14:paraId="23ED098E"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Avaliação das divulgações efetuadas nas demonstrações contábeis individuais e consolidadas, especificamente relacionadas aos critérios de mensuração das provisões para créditos junto ao FCVS.</w:t>
      </w:r>
    </w:p>
    <w:p w14:paraId="57944C0D"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 xml:space="preserve">Com base nas evidências obtidas por meio dos procedimentos acima resumidos, consideramos aceitáveis os saldos das </w:t>
      </w:r>
      <w:r w:rsidRPr="00A90153">
        <w:rPr>
          <w:rFonts w:ascii="Calibri" w:eastAsia="Times New Roman" w:hAnsi="Calibri" w:cs="Calibri"/>
          <w:sz w:val="19"/>
          <w:szCs w:val="19"/>
        </w:rPr>
        <w:lastRenderedPageBreak/>
        <w:t>provisões para crédito junto ao FCVS no contexto das demonstrações contábeis individuais e consolidadas tomadas em conjunto referentes ao semestre findo em 30 de junho de 2024.</w:t>
      </w:r>
    </w:p>
    <w:p w14:paraId="56E2AF1B" w14:textId="77777777" w:rsidR="001A3EEA" w:rsidRDefault="001A3EEA" w:rsidP="00CC23C8">
      <w:pPr>
        <w:spacing w:before="120" w:after="120"/>
        <w:ind w:left="425"/>
        <w:rPr>
          <w:rFonts w:asciiTheme="minorHAnsi" w:hAnsiTheme="minorHAnsi" w:cstheme="minorHAnsi"/>
          <w:b/>
          <w:bCs/>
          <w:sz w:val="22"/>
          <w:szCs w:val="22"/>
        </w:rPr>
      </w:pPr>
    </w:p>
    <w:p w14:paraId="6F3662CA" w14:textId="26B7090B" w:rsidR="00A90153" w:rsidRPr="00A90153" w:rsidRDefault="00A90153" w:rsidP="00CC23C8">
      <w:pPr>
        <w:spacing w:before="120" w:after="120"/>
        <w:ind w:left="425"/>
        <w:rPr>
          <w:rFonts w:asciiTheme="minorHAnsi" w:hAnsiTheme="minorHAnsi" w:cstheme="minorHAnsi"/>
          <w:b/>
          <w:bCs/>
          <w:sz w:val="22"/>
          <w:szCs w:val="22"/>
        </w:rPr>
      </w:pPr>
      <w:r w:rsidRPr="00A90153">
        <w:rPr>
          <w:rFonts w:asciiTheme="minorHAnsi" w:hAnsiTheme="minorHAnsi" w:cstheme="minorHAnsi"/>
          <w:b/>
          <w:bCs/>
          <w:sz w:val="22"/>
          <w:szCs w:val="22"/>
        </w:rPr>
        <w:t>Ambiente de Tecnologia da Informação</w:t>
      </w:r>
    </w:p>
    <w:p w14:paraId="1478D7F2"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O ambiente de tecnologia da CAIXA possui processos de gerenciamento de acessos e de mudanças nos sistemas e aplicativos, de desenvolvimento de novos programas, além de controles internos automatizados nos diversos processos relevantes. Para manter suas operações em funcionamento, a CAIXA fornece acesso a sistemas e aplicações para seus funcionários, levando em consideração as funções executadas por eles e sua estrutura organizacional. Os controles para autorizar, monitorar, restringir e/ou revogar os respectivos acessos a esse ambiente devem prover segurança razoável de que os acessos e as atualizações das informações sejam efetivados de forma íntegra e precisa e pelos profissionais apropriados, para mitigar o potencial risco de fraude ou erro decorrentes de acesso indevido ou mudança em um sistema ou informação, e para garantir a integridade das informações financeiras e dos registros contábeis.</w:t>
      </w:r>
    </w:p>
    <w:p w14:paraId="7B011C6D"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Devido a elevada dependência da CAIXA de seus sistemas de tecnologia, do alto volume de transações processadas diariamente, e da importância dos controles de acesso e de gerenciamento de mudança nos seus sistemas e aplicativos para planejar a natureza, época e extensão de nossos procedimentos de auditoria, consideramos que este é um assunto significativo para nossa auditoria.</w:t>
      </w:r>
    </w:p>
    <w:p w14:paraId="74AC86AB" w14:textId="77777777" w:rsidR="00A90153" w:rsidRPr="00A90153" w:rsidRDefault="00A90153" w:rsidP="00CC23C8">
      <w:pPr>
        <w:spacing w:before="120" w:after="120"/>
        <w:ind w:left="425"/>
        <w:rPr>
          <w:rFonts w:asciiTheme="minorHAnsi" w:hAnsiTheme="minorHAnsi" w:cstheme="minorHAnsi"/>
          <w:b/>
          <w:bCs/>
          <w:i/>
          <w:iCs/>
          <w:sz w:val="22"/>
          <w:szCs w:val="22"/>
        </w:rPr>
      </w:pPr>
      <w:r w:rsidRPr="00A90153">
        <w:rPr>
          <w:rFonts w:asciiTheme="minorHAnsi" w:hAnsiTheme="minorHAnsi" w:cstheme="minorHAnsi"/>
          <w:b/>
          <w:bCs/>
          <w:i/>
          <w:iCs/>
          <w:sz w:val="22"/>
          <w:szCs w:val="22"/>
        </w:rPr>
        <w:t>Como nossa auditoria abordou esse assunto</w:t>
      </w:r>
    </w:p>
    <w:p w14:paraId="19B73EBE"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Nossos procedimentos de auditoria incluíram, mas não se limitaram a:</w:t>
      </w:r>
    </w:p>
    <w:p w14:paraId="25EEB2CD"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540" w:right="-41" w:hanging="180"/>
        <w:rPr>
          <w:rFonts w:ascii="Calibri" w:eastAsia="Times New Roman" w:hAnsi="Calibri" w:cs="Calibri"/>
          <w:sz w:val="19"/>
          <w:szCs w:val="19"/>
        </w:rPr>
      </w:pPr>
      <w:r w:rsidRPr="00A90153">
        <w:rPr>
          <w:rFonts w:ascii="Calibri" w:eastAsia="Times New Roman" w:hAnsi="Calibri" w:cs="Calibri"/>
          <w:sz w:val="19"/>
          <w:szCs w:val="19"/>
        </w:rPr>
        <w:t>Com auxílio de nossos profissionais de tecnologia da informação (i) testamos o desenho e a efetividade operacional, bem como controles compensatórios de certos controles internos chave de acesso a sistemas e aplicações, tais como de autorização de novos usuários, de revogação de usuários desligados e de revisão dos usuários ativos; (</w:t>
      </w:r>
      <w:proofErr w:type="spellStart"/>
      <w:r w:rsidRPr="00A90153">
        <w:rPr>
          <w:rFonts w:ascii="Calibri" w:eastAsia="Times New Roman" w:hAnsi="Calibri" w:cs="Calibri"/>
          <w:sz w:val="19"/>
          <w:szCs w:val="19"/>
        </w:rPr>
        <w:t>ii</w:t>
      </w:r>
      <w:proofErr w:type="spellEnd"/>
      <w:r w:rsidRPr="00A90153">
        <w:rPr>
          <w:rFonts w:ascii="Calibri" w:eastAsia="Times New Roman" w:hAnsi="Calibri" w:cs="Calibri"/>
          <w:sz w:val="19"/>
          <w:szCs w:val="19"/>
        </w:rPr>
        <w:t>) efetuamos testes, com base em amostragem, sobre informações relevantes extraídas de determinados sistemas para elaboração das demonstrações contábeis individuais e consolidadas; (</w:t>
      </w:r>
      <w:proofErr w:type="spellStart"/>
      <w:r w:rsidRPr="00A90153">
        <w:rPr>
          <w:rFonts w:ascii="Calibri" w:eastAsia="Times New Roman" w:hAnsi="Calibri" w:cs="Calibri"/>
          <w:sz w:val="19"/>
          <w:szCs w:val="19"/>
        </w:rPr>
        <w:t>iii</w:t>
      </w:r>
      <w:proofErr w:type="spellEnd"/>
      <w:r w:rsidRPr="00A90153">
        <w:rPr>
          <w:rFonts w:ascii="Calibri" w:eastAsia="Times New Roman" w:hAnsi="Calibri" w:cs="Calibri"/>
          <w:sz w:val="19"/>
          <w:szCs w:val="19"/>
        </w:rPr>
        <w:t>) nas áreas em que, pelo nosso julgamento, existe uma alta dependência de tecnologia da informação, nossos testes incluíram também, a avaliação das políticas de senhas, das configurações de segurança e de controles internos sobre desenvolvimentos e mudanças em sistemas e aplicativos; e (</w:t>
      </w:r>
      <w:proofErr w:type="spellStart"/>
      <w:r w:rsidRPr="00A90153">
        <w:rPr>
          <w:rFonts w:ascii="Calibri" w:eastAsia="Times New Roman" w:hAnsi="Calibri" w:cs="Calibri"/>
          <w:sz w:val="19"/>
          <w:szCs w:val="19"/>
        </w:rPr>
        <w:t>iv</w:t>
      </w:r>
      <w:proofErr w:type="spellEnd"/>
      <w:r w:rsidRPr="00A90153">
        <w:rPr>
          <w:rFonts w:ascii="Calibri" w:eastAsia="Times New Roman" w:hAnsi="Calibri" w:cs="Calibri"/>
          <w:sz w:val="19"/>
          <w:szCs w:val="19"/>
        </w:rPr>
        <w:t>) quando identificamos controles internos chave para o processo de relatório financeiro e demais processos relevantes automatizados ou com algum componente dependente de sistemas e aplicações, testamos o desenho, a implementação e a efetividade operacional desses controles.</w:t>
      </w:r>
    </w:p>
    <w:p w14:paraId="514E29A7"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noProof/>
          <w:sz w:val="19"/>
          <w:szCs w:val="19"/>
        </w:rPr>
        <mc:AlternateContent>
          <mc:Choice Requires="wps">
            <w:drawing>
              <wp:anchor distT="0" distB="0" distL="0" distR="0" simplePos="0" relativeHeight="251658248" behindDoc="0" locked="0" layoutInCell="0" allowOverlap="1" wp14:anchorId="2990EC14" wp14:editId="49A23ED4">
                <wp:simplePos x="0" y="0"/>
                <wp:positionH relativeFrom="page">
                  <wp:posOffset>949960</wp:posOffset>
                </wp:positionH>
                <wp:positionV relativeFrom="paragraph">
                  <wp:posOffset>762000</wp:posOffset>
                </wp:positionV>
                <wp:extent cx="5937250" cy="295910"/>
                <wp:effectExtent l="0" t="0" r="6350" b="8890"/>
                <wp:wrapTopAndBottom/>
                <wp:docPr id="460" name="Caixa de Texto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4EF5A" w14:textId="77777777" w:rsidR="00A90153" w:rsidRPr="0090384F" w:rsidRDefault="00A90153" w:rsidP="00A90153">
                            <w:pPr>
                              <w:pStyle w:val="Corpodetexto"/>
                              <w:kinsoku w:val="0"/>
                              <w:overflowPunct w:val="0"/>
                              <w:spacing w:before="120"/>
                              <w:ind w:left="112"/>
                              <w:rPr>
                                <w:rFonts w:asciiTheme="minorHAnsi" w:hAnsiTheme="minorHAnsi" w:cstheme="minorHAnsi"/>
                                <w:b/>
                                <w:bCs/>
                                <w:color w:val="FFFFFF"/>
                              </w:rPr>
                            </w:pPr>
                            <w:r w:rsidRPr="0090384F">
                              <w:rPr>
                                <w:rFonts w:asciiTheme="minorHAnsi" w:hAnsiTheme="minorHAnsi" w:cstheme="minorHAnsi"/>
                                <w:b/>
                                <w:bCs/>
                                <w:color w:val="FFFFFF"/>
                              </w:rPr>
                              <w:t>Outros assuntos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0EC14" id="Caixa de Texto 460" o:spid="_x0000_s1030" type="#_x0000_t202" style="position:absolute;left:0;text-align:left;margin-left:74.8pt;margin-top:60pt;width:467.5pt;height:23.3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" o:allowincell="f" fillcolor="#004d98" stroked="f">
                <v:textbox inset="0,0,0,0">
                  <w:txbxContent>
                    <w:p w14:paraId="1F74EF5A" w14:textId="77777777" w:rsidR="00A90153" w:rsidRPr="0090384F" w:rsidRDefault="00A90153" w:rsidP="00A90153">
                      <w:pPr>
                        <w:pStyle w:val="Corpodetexto"/>
                        <w:kinsoku w:val="0"/>
                        <w:overflowPunct w:val="0"/>
                        <w:spacing w:before="120"/>
                        <w:ind w:left="112"/>
                        <w:rPr>
                          <w:rFonts w:asciiTheme="minorHAnsi" w:hAnsiTheme="minorHAnsi" w:cstheme="minorHAnsi"/>
                          <w:b/>
                          <w:bCs/>
                          <w:color w:val="FFFFFF"/>
                        </w:rPr>
                      </w:pPr>
                      <w:r w:rsidRPr="0090384F">
                        <w:rPr>
                          <w:rFonts w:asciiTheme="minorHAnsi" w:hAnsiTheme="minorHAnsi" w:cstheme="minorHAnsi"/>
                          <w:b/>
                          <w:bCs/>
                          <w:color w:val="FFFFFF"/>
                        </w:rPr>
                        <w:t>Outros assuntos</w:t>
                      </w:r>
                    </w:p>
                  </w:txbxContent>
                </v:textbox>
                <w10:wrap type="topAndBottom" anchorx="page"/>
              </v:shape>
            </w:pict>
          </mc:Fallback>
        </mc:AlternateContent>
      </w:r>
      <w:r w:rsidRPr="00A90153">
        <w:rPr>
          <w:rFonts w:ascii="Calibri" w:eastAsia="Times New Roman" w:hAnsi="Calibri" w:cs="Calibri"/>
          <w:sz w:val="19"/>
          <w:szCs w:val="19"/>
        </w:rPr>
        <w:t>As evidências obtidas por meio dos procedimentos acima resumidos nos permitiram planejar a natureza, época e extensão de nossos testes substantivos no contexto das demonstrações contábeis individuais e consolidadas tomadas em conjunto referentes ao semestre findo em 30 de junho de 2024.</w:t>
      </w:r>
    </w:p>
    <w:p w14:paraId="3EA0DAF0" w14:textId="77777777" w:rsidR="00A90153" w:rsidRPr="00A90153" w:rsidRDefault="00A90153" w:rsidP="00CC23C8">
      <w:pPr>
        <w:spacing w:before="120" w:after="120"/>
        <w:ind w:left="425"/>
        <w:rPr>
          <w:rFonts w:asciiTheme="minorHAnsi" w:hAnsiTheme="minorHAnsi" w:cstheme="minorHAnsi"/>
          <w:b/>
          <w:bCs/>
          <w:sz w:val="22"/>
          <w:szCs w:val="22"/>
        </w:rPr>
      </w:pPr>
      <w:r w:rsidRPr="00A90153">
        <w:rPr>
          <w:rFonts w:asciiTheme="minorHAnsi" w:hAnsiTheme="minorHAnsi" w:cstheme="minorHAnsi"/>
          <w:b/>
          <w:bCs/>
          <w:sz w:val="22"/>
          <w:szCs w:val="22"/>
        </w:rPr>
        <w:t>Demonstrações do valor adicionado</w:t>
      </w:r>
    </w:p>
    <w:p w14:paraId="3BFBF8E9"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As demonstrações individuais e consolidadas do valor adicionado (DVA) referentes ao semestre findo em 30 de junho de 2024, elaboradas sob a responsabilidade da Administração da CAIXA, e apresentadas como informação suplementar em relação às práticas contábeis adotadas no Brasil aplicáveis às instituições financeiras autorizadas a funcionar pelo Banco Central do Brasil (BACEN), foram submetidas a procedimentos de auditoria executados em conjunto com a auditoria das demonstrações contábeis individuais e consolidadas da CAIXA. Para a formação de nossa opinião, avaliamos se essas demonstrações estão conciliadas com as demonstrações contábeis individuais e consolidadas e registros contábeis, conforme aplicável, e se a sua forma e conteúdo estão de acordo com os critérios definidos no Pronunciamento Técnico CPC 09 – Demonstração do Valor Adicionado. Em nossa opinião, essas demonstrações do valor adicionado foram adequadamente elaboradas, em todos os aspectos relevantes, segundo os critérios definidos nesse Pronunciamento Técnico e é consistente em relação às demonstrações contábeis individuais e consolidadas tomadas em conjunto.</w:t>
      </w:r>
    </w:p>
    <w:p w14:paraId="75DCE1C2" w14:textId="7DA5F919" w:rsidR="00CC23C8" w:rsidRDefault="00CC23C8">
      <w:pPr>
        <w:rPr>
          <w:rFonts w:asciiTheme="minorHAnsi" w:hAnsiTheme="minorHAnsi" w:cstheme="minorHAnsi"/>
          <w:b/>
          <w:bCs/>
          <w:sz w:val="22"/>
          <w:szCs w:val="22"/>
        </w:rPr>
      </w:pPr>
    </w:p>
    <w:p w14:paraId="1719229C" w14:textId="77777777" w:rsidR="001A3EEA" w:rsidRDefault="001A3EEA">
      <w:pPr>
        <w:rPr>
          <w:rFonts w:asciiTheme="minorHAnsi" w:hAnsiTheme="minorHAnsi" w:cstheme="minorHAnsi"/>
          <w:b/>
          <w:bCs/>
          <w:sz w:val="22"/>
          <w:szCs w:val="22"/>
        </w:rPr>
      </w:pPr>
      <w:r>
        <w:rPr>
          <w:rFonts w:asciiTheme="minorHAnsi" w:hAnsiTheme="minorHAnsi" w:cstheme="minorHAnsi"/>
          <w:b/>
          <w:bCs/>
          <w:sz w:val="22"/>
          <w:szCs w:val="22"/>
        </w:rPr>
        <w:br w:type="page"/>
      </w:r>
    </w:p>
    <w:p w14:paraId="4C88E6AC" w14:textId="51647CEB" w:rsidR="00A90153" w:rsidRPr="00A90153" w:rsidRDefault="00A90153" w:rsidP="00CC23C8">
      <w:pPr>
        <w:spacing w:before="120" w:after="120"/>
        <w:ind w:left="425"/>
        <w:rPr>
          <w:rFonts w:asciiTheme="minorHAnsi" w:hAnsiTheme="minorHAnsi" w:cstheme="minorHAnsi"/>
          <w:b/>
          <w:bCs/>
          <w:sz w:val="22"/>
          <w:szCs w:val="22"/>
        </w:rPr>
      </w:pPr>
      <w:r w:rsidRPr="00A90153">
        <w:rPr>
          <w:rFonts w:asciiTheme="minorHAnsi" w:hAnsiTheme="minorHAnsi" w:cstheme="minorHAnsi"/>
          <w:b/>
          <w:bCs/>
          <w:sz w:val="22"/>
          <w:szCs w:val="22"/>
        </w:rPr>
        <w:lastRenderedPageBreak/>
        <w:t>Demonstrações contábeis consolidadas</w:t>
      </w:r>
    </w:p>
    <w:p w14:paraId="3B064122"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noProof/>
          <w:sz w:val="19"/>
          <w:szCs w:val="19"/>
        </w:rPr>
        <mc:AlternateContent>
          <mc:Choice Requires="wps">
            <w:drawing>
              <wp:anchor distT="0" distB="0" distL="0" distR="0" simplePos="0" relativeHeight="251658245" behindDoc="0" locked="0" layoutInCell="0" allowOverlap="1" wp14:anchorId="7B4DE9AC" wp14:editId="0FD158F9">
                <wp:simplePos x="0" y="0"/>
                <wp:positionH relativeFrom="page">
                  <wp:posOffset>949960</wp:posOffset>
                </wp:positionH>
                <wp:positionV relativeFrom="paragraph">
                  <wp:posOffset>1052195</wp:posOffset>
                </wp:positionV>
                <wp:extent cx="5913120" cy="450850"/>
                <wp:effectExtent l="0" t="0" r="0" b="6350"/>
                <wp:wrapTopAndBottom/>
                <wp:docPr id="461" name="Caixa de Texto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45085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F0797" w14:textId="77777777" w:rsidR="00A90153" w:rsidRPr="0090384F" w:rsidRDefault="00A90153" w:rsidP="00A90153">
                            <w:pPr>
                              <w:pStyle w:val="Corpodetexto"/>
                              <w:kinsoku w:val="0"/>
                              <w:overflowPunct w:val="0"/>
                              <w:spacing w:before="120" w:line="247" w:lineRule="auto"/>
                              <w:ind w:left="112" w:right="666"/>
                              <w:rPr>
                                <w:rFonts w:asciiTheme="minorHAnsi" w:hAnsiTheme="minorHAnsi" w:cstheme="minorHAnsi"/>
                                <w:b/>
                                <w:bCs/>
                                <w:color w:val="FFFFFF"/>
                              </w:rPr>
                            </w:pPr>
                            <w:r w:rsidRPr="0090384F">
                              <w:rPr>
                                <w:rFonts w:asciiTheme="minorHAnsi" w:hAnsiTheme="minorHAnsi" w:cstheme="minorHAnsi"/>
                                <w:b/>
                                <w:bCs/>
                                <w:color w:val="FFFFFF"/>
                              </w:rPr>
                              <w:t>Outras informações que acompanham as demonstrações contábeis individuais e consolidadas e o relatório do auditor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DE9AC" id="Caixa de Texto 461" o:spid="_x0000_s1031" type="#_x0000_t202" style="position:absolute;left:0;text-align:left;margin-left:74.8pt;margin-top:82.85pt;width:465.6pt;height:35.5pt;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" o:allowincell="f" fillcolor="#004d98" stroked="f">
                <v:textbox inset="0,0,0,0">
                  <w:txbxContent>
                    <w:p w14:paraId="640F0797" w14:textId="77777777" w:rsidR="00A90153" w:rsidRPr="0090384F" w:rsidRDefault="00A90153" w:rsidP="00A90153">
                      <w:pPr>
                        <w:pStyle w:val="Corpodetexto"/>
                        <w:kinsoku w:val="0"/>
                        <w:overflowPunct w:val="0"/>
                        <w:spacing w:before="120" w:line="247" w:lineRule="auto"/>
                        <w:ind w:left="112" w:right="666"/>
                        <w:rPr>
                          <w:rFonts w:asciiTheme="minorHAnsi" w:hAnsiTheme="minorHAnsi" w:cstheme="minorHAnsi"/>
                          <w:b/>
                          <w:bCs/>
                          <w:color w:val="FFFFFF"/>
                        </w:rPr>
                      </w:pPr>
                      <w:r w:rsidRPr="0090384F">
                        <w:rPr>
                          <w:rFonts w:asciiTheme="minorHAnsi" w:hAnsiTheme="minorHAnsi" w:cstheme="minorHAnsi"/>
                          <w:b/>
                          <w:bCs/>
                          <w:color w:val="FFFFFF"/>
                        </w:rPr>
                        <w:t>Outras informações que acompanham as demonstrações contábeis individuais e consolidadas e o relatório do auditor</w:t>
                      </w:r>
                    </w:p>
                  </w:txbxContent>
                </v:textbox>
                <w10:wrap type="topAndBottom" anchorx="page"/>
              </v:shape>
            </w:pict>
          </mc:Fallback>
        </mc:AlternateContent>
      </w:r>
      <w:r w:rsidRPr="00A90153">
        <w:rPr>
          <w:rFonts w:ascii="Calibri" w:eastAsia="Times New Roman" w:hAnsi="Calibri" w:cs="Calibri"/>
          <w:sz w:val="19"/>
          <w:szCs w:val="19"/>
        </w:rPr>
        <w:t xml:space="preserve">Essas demonstrações contábeis consolidadas para o semestre findo em 30 de junho de 2024, que foram elaboradas de acordo com as práticas contábeis adotadas no Brasil aplicáveis às instituições autorizadas a funcionar pelo Banco Central do Brasil (BACEN), estão sendo apresentadas de maneira adicional, conforme faculdade prevista no Art. nº 77 da Resolução CMN nº 4.966, às demonstrações contábeis consolidadas preparadas de acordo com as Normas Internacionais de Relatório Financeiro (IFRS) emitidas pelo </w:t>
      </w:r>
      <w:proofErr w:type="spellStart"/>
      <w:r w:rsidRPr="00A90153">
        <w:rPr>
          <w:rFonts w:ascii="Calibri" w:eastAsia="Times New Roman" w:hAnsi="Calibri" w:cs="Calibri"/>
          <w:sz w:val="19"/>
          <w:szCs w:val="19"/>
        </w:rPr>
        <w:t>International</w:t>
      </w:r>
      <w:proofErr w:type="spellEnd"/>
      <w:r w:rsidRPr="00A90153">
        <w:rPr>
          <w:rFonts w:ascii="Calibri" w:eastAsia="Times New Roman" w:hAnsi="Calibri" w:cs="Calibri"/>
          <w:sz w:val="19"/>
          <w:szCs w:val="19"/>
        </w:rPr>
        <w:t xml:space="preserve"> </w:t>
      </w:r>
      <w:proofErr w:type="spellStart"/>
      <w:r w:rsidRPr="00A90153">
        <w:rPr>
          <w:rFonts w:ascii="Calibri" w:eastAsia="Times New Roman" w:hAnsi="Calibri" w:cs="Calibri"/>
          <w:sz w:val="19"/>
          <w:szCs w:val="19"/>
        </w:rPr>
        <w:t>Accounting</w:t>
      </w:r>
      <w:proofErr w:type="spellEnd"/>
      <w:r w:rsidRPr="00A90153">
        <w:rPr>
          <w:rFonts w:ascii="Calibri" w:eastAsia="Times New Roman" w:hAnsi="Calibri" w:cs="Calibri"/>
          <w:sz w:val="19"/>
          <w:szCs w:val="19"/>
        </w:rPr>
        <w:t xml:space="preserve"> Standards Board (IASB), que até a presente data não foram elaboradas e divulgadas pela CAIXA.</w:t>
      </w:r>
    </w:p>
    <w:p w14:paraId="79FD775C"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A Administração da CAIXA é responsável por essas outras informações que compreendem o Relatório da Administração.</w:t>
      </w:r>
    </w:p>
    <w:p w14:paraId="0BD9059A"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Nossa opinião sobre as demonstrações contábeis individuais e consolidadas não abrange o Relatório da Administração e não expressamos qualquer forma de conclusão de auditoria sobre esse relatório.</w:t>
      </w:r>
    </w:p>
    <w:p w14:paraId="1FB89E1E"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noProof/>
          <w:sz w:val="19"/>
          <w:szCs w:val="19"/>
        </w:rPr>
        <mc:AlternateContent>
          <mc:Choice Requires="wps">
            <w:drawing>
              <wp:anchor distT="0" distB="0" distL="0" distR="0" simplePos="0" relativeHeight="251658246" behindDoc="0" locked="0" layoutInCell="0" allowOverlap="1" wp14:anchorId="650E997A" wp14:editId="5C3F2B99">
                <wp:simplePos x="0" y="0"/>
                <wp:positionH relativeFrom="page">
                  <wp:posOffset>890270</wp:posOffset>
                </wp:positionH>
                <wp:positionV relativeFrom="paragraph">
                  <wp:posOffset>1044575</wp:posOffset>
                </wp:positionV>
                <wp:extent cx="5913120" cy="450850"/>
                <wp:effectExtent l="0" t="0" r="0" b="6350"/>
                <wp:wrapTopAndBottom/>
                <wp:docPr id="462" name="Caixa de Texto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45085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31907" w14:textId="77777777" w:rsidR="00A90153" w:rsidRPr="0090384F" w:rsidRDefault="00A90153" w:rsidP="00A90153">
                            <w:pPr>
                              <w:pStyle w:val="Corpodetexto"/>
                              <w:kinsoku w:val="0"/>
                              <w:overflowPunct w:val="0"/>
                              <w:spacing w:before="120" w:line="247" w:lineRule="auto"/>
                              <w:ind w:left="112" w:right="666"/>
                              <w:rPr>
                                <w:rFonts w:asciiTheme="minorHAnsi" w:hAnsiTheme="minorHAnsi" w:cstheme="minorHAnsi"/>
                                <w:b/>
                                <w:bCs/>
                                <w:color w:val="FFFFFF"/>
                              </w:rPr>
                            </w:pPr>
                            <w:r w:rsidRPr="0090384F">
                              <w:rPr>
                                <w:rFonts w:asciiTheme="minorHAnsi" w:hAnsiTheme="minorHAnsi" w:cstheme="minorHAnsi"/>
                                <w:b/>
                                <w:bCs/>
                                <w:color w:val="FFFFFF"/>
                              </w:rPr>
                              <w:t>Responsabilidade da Administração e da governança pelas demonstrações contábeis individuais e consolidadas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997A" id="Caixa de Texto 462" o:spid="_x0000_s1032" type="#_x0000_t202" style="position:absolute;left:0;text-align:left;margin-left:70.1pt;margin-top:82.25pt;width:465.6pt;height:35.5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" o:allowincell="f" fillcolor="#004d98" stroked="f">
                <v:textbox inset="0,0,0,0">
                  <w:txbxContent>
                    <w:p w14:paraId="2FA31907" w14:textId="77777777" w:rsidR="00A90153" w:rsidRPr="0090384F" w:rsidRDefault="00A90153" w:rsidP="00A90153">
                      <w:pPr>
                        <w:pStyle w:val="Corpodetexto"/>
                        <w:kinsoku w:val="0"/>
                        <w:overflowPunct w:val="0"/>
                        <w:spacing w:before="120" w:line="247" w:lineRule="auto"/>
                        <w:ind w:left="112" w:right="666"/>
                        <w:rPr>
                          <w:rFonts w:asciiTheme="minorHAnsi" w:hAnsiTheme="minorHAnsi" w:cstheme="minorHAnsi"/>
                          <w:b/>
                          <w:bCs/>
                          <w:color w:val="FFFFFF"/>
                        </w:rPr>
                      </w:pPr>
                      <w:r w:rsidRPr="0090384F">
                        <w:rPr>
                          <w:rFonts w:asciiTheme="minorHAnsi" w:hAnsiTheme="minorHAnsi" w:cstheme="minorHAnsi"/>
                          <w:b/>
                          <w:bCs/>
                          <w:color w:val="FFFFFF"/>
                        </w:rPr>
                        <w:t>Responsabilidade da Administração e da governança pelas demonstrações contábeis individuais e consolidadas</w:t>
                      </w:r>
                    </w:p>
                  </w:txbxContent>
                </v:textbox>
                <w10:wrap type="topAndBottom" anchorx="page"/>
              </v:shape>
            </w:pict>
          </mc:Fallback>
        </mc:AlternateContent>
      </w:r>
      <w:r w:rsidRPr="00A90153">
        <w:rPr>
          <w:rFonts w:ascii="Calibri" w:eastAsia="Times New Roman" w:hAnsi="Calibri" w:cs="Calibri"/>
          <w:sz w:val="19"/>
          <w:szCs w:val="19"/>
        </w:rPr>
        <w:t>Em conexão com a auditoria das demonstrações contábeis individuais e consolidadas, nossa responsabilidade é a de ler o Relatório da Administração e, ao fazê‐lo, considerar se esse relatório está, de forma relevante, inconsistente com as demonstrações contábeis individuais e consolidadas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0896AF15"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A Administração é responsável pela elaboração e adequada apresentação das demonstrações contábeis de acordo com as práticas contábeis adotadas no Brasil aplicáveis às instituições autorizadas a funcionar pelo Banco Central do Brasil (BACEN) e pelos controles internos que ela determinou como necessários para permitir a elaboração de demonstrações contábeis individuais e consolidadas livres de distorção relevante, independentemente se causada por fraude ou erro.</w:t>
      </w:r>
    </w:p>
    <w:p w14:paraId="17C7655D"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Na elaboração das demonstrações contábeis individuais e consolidadas, a Administração é responsável pela avaliação da capacidade de a Instituição continuar operando, divulgando, quando aplicável, os assuntos relacionados com a sua continuidade operacional e o uso dessa base contábil na elaboração das demonstrações contábeis individuais e consolidadas, a não ser que a Administração pretenda liquidar a Instituição ou cessar suas operações, ou não tenha nenhuma alternativa realista para evitar o encerramento das operações.</w:t>
      </w:r>
    </w:p>
    <w:p w14:paraId="5788651E"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noProof/>
          <w:sz w:val="19"/>
          <w:szCs w:val="19"/>
        </w:rPr>
        <mc:AlternateContent>
          <mc:Choice Requires="wps">
            <w:drawing>
              <wp:anchor distT="0" distB="0" distL="0" distR="0" simplePos="0" relativeHeight="251658247" behindDoc="0" locked="0" layoutInCell="0" allowOverlap="1" wp14:anchorId="5D96D202" wp14:editId="11BEC342">
                <wp:simplePos x="0" y="0"/>
                <wp:positionH relativeFrom="page">
                  <wp:posOffset>890270</wp:posOffset>
                </wp:positionH>
                <wp:positionV relativeFrom="paragraph">
                  <wp:posOffset>588010</wp:posOffset>
                </wp:positionV>
                <wp:extent cx="5972810" cy="295910"/>
                <wp:effectExtent l="0" t="0" r="0" b="8890"/>
                <wp:wrapTopAndBottom/>
                <wp:docPr id="463" name="Caixa de Texto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3EDF9" w14:textId="77777777" w:rsidR="00A90153" w:rsidRPr="0090384F" w:rsidRDefault="00A90153" w:rsidP="00A90153">
                            <w:pPr>
                              <w:pStyle w:val="Corpodetexto"/>
                              <w:kinsoku w:val="0"/>
                              <w:overflowPunct w:val="0"/>
                              <w:spacing w:before="120"/>
                              <w:ind w:left="112"/>
                              <w:rPr>
                                <w:rFonts w:asciiTheme="minorHAnsi" w:hAnsiTheme="minorHAnsi" w:cstheme="minorHAnsi"/>
                                <w:b/>
                                <w:bCs/>
                                <w:color w:val="FFFFFF"/>
                              </w:rPr>
                            </w:pPr>
                            <w:r w:rsidRPr="0090384F">
                              <w:rPr>
                                <w:rFonts w:asciiTheme="minorHAnsi" w:hAnsiTheme="minorHAnsi" w:cstheme="minorHAnsi"/>
                                <w:b/>
                                <w:bCs/>
                                <w:color w:val="FFFFFF"/>
                              </w:rPr>
                              <w:t>Responsabilidades do auditor pela auditoria das demonstrações contábeis individuais e consolidadas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D202" id="Caixa de Texto 463" o:spid="_x0000_s1033" type="#_x0000_t202" style="position:absolute;left:0;text-align:left;margin-left:70.1pt;margin-top:46.3pt;width:470.3pt;height:23.3pt;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" o:allowincell="f" fillcolor="#004d98" stroked="f">
                <v:textbox inset="0,0,0,0">
                  <w:txbxContent>
                    <w:p w14:paraId="1F03EDF9" w14:textId="77777777" w:rsidR="00A90153" w:rsidRPr="0090384F" w:rsidRDefault="00A90153" w:rsidP="00A90153">
                      <w:pPr>
                        <w:pStyle w:val="Corpodetexto"/>
                        <w:kinsoku w:val="0"/>
                        <w:overflowPunct w:val="0"/>
                        <w:spacing w:before="120"/>
                        <w:ind w:left="112"/>
                        <w:rPr>
                          <w:rFonts w:asciiTheme="minorHAnsi" w:hAnsiTheme="minorHAnsi" w:cstheme="minorHAnsi"/>
                          <w:b/>
                          <w:bCs/>
                          <w:color w:val="FFFFFF"/>
                        </w:rPr>
                      </w:pPr>
                      <w:r w:rsidRPr="0090384F">
                        <w:rPr>
                          <w:rFonts w:asciiTheme="minorHAnsi" w:hAnsiTheme="minorHAnsi" w:cstheme="minorHAnsi"/>
                          <w:b/>
                          <w:bCs/>
                          <w:color w:val="FFFFFF"/>
                        </w:rPr>
                        <w:t>Responsabilidades do auditor pela auditoria das demonstrações contábeis individuais e consolidadas</w:t>
                      </w:r>
                    </w:p>
                  </w:txbxContent>
                </v:textbox>
                <w10:wrap type="topAndBottom" anchorx="page"/>
              </v:shape>
            </w:pict>
          </mc:Fallback>
        </mc:AlternateContent>
      </w:r>
      <w:r w:rsidRPr="00A90153">
        <w:rPr>
          <w:rFonts w:ascii="Calibri" w:eastAsia="Times New Roman" w:hAnsi="Calibri" w:cs="Calibri"/>
          <w:sz w:val="19"/>
          <w:szCs w:val="19"/>
        </w:rPr>
        <w:t>Os responsáveis pela governança da CAIXA e suas controladas são aqueles com responsabilidade pela supervisão do processo de elaboração das demonstrações contábeis individuais e consolidadas.</w:t>
      </w:r>
    </w:p>
    <w:p w14:paraId="269C22EA"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Nossos objetivos são obter segurança razoável de que as demonstrações contábeis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 individuais e consolidadas. Como parte da auditoria realizada de acordo com as normas brasileiras e internacionais de auditoria, exercemos julgamento profissional e mantemos ceticismo profissional ao longo da auditoria. Além disso:</w:t>
      </w:r>
    </w:p>
    <w:p w14:paraId="0AF6B689"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 xml:space="preserve">Identificamos e avaliamos os riscos de distorção relevante nas demonstrações contábeis individuais e consolidadas, independentemente se causada por fraude ou erro, planejamos e executamos procedimentos de auditoria em </w:t>
      </w:r>
      <w:r w:rsidRPr="00A90153">
        <w:rPr>
          <w:rFonts w:ascii="Calibri" w:eastAsia="Times New Roman" w:hAnsi="Calibri" w:cs="Calibri"/>
          <w:sz w:val="19"/>
          <w:szCs w:val="19"/>
        </w:rPr>
        <w:lastRenderedPageBreak/>
        <w:t>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35C5586C"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Obtemos entendimento dos controles internos relevantes para a auditoria para planejarmos procedimentos de auditoria apropriados às circunstâncias, mas, não, com o objetivo de expressarmos opinião sobre a eficácia dos controles internos da CAIXA e suas controladas.</w:t>
      </w:r>
    </w:p>
    <w:p w14:paraId="6EDDF8FB"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Avaliamos a adequação das políticas contábeis utilizadas e a razoabilidade das estimativas contábeis e respectivas divulgações feitas pela Administração.</w:t>
      </w:r>
    </w:p>
    <w:p w14:paraId="54A5958A"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w:t>
      </w:r>
    </w:p>
    <w:p w14:paraId="6F66BFBF"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Avaliamos a apresentação geral, a estrutura e o conteúdo das demonstrações contábeis individuais e consolidadas, inclusive as divulgações e se as demonstrações contábeis individuais e consolidadas representam as correspondentes transações e os eventos de maneira compatível com o objetivo de apresentação adequada.</w:t>
      </w:r>
    </w:p>
    <w:p w14:paraId="53D702D0" w14:textId="77777777" w:rsidR="00A90153" w:rsidRPr="00A90153" w:rsidRDefault="00A90153" w:rsidP="00A90153">
      <w:pPr>
        <w:widowControl w:val="0"/>
        <w:numPr>
          <w:ilvl w:val="0"/>
          <w:numId w:val="50"/>
        </w:numPr>
        <w:tabs>
          <w:tab w:val="left" w:pos="1134"/>
        </w:tabs>
        <w:kinsoku w:val="0"/>
        <w:overflowPunct w:val="0"/>
        <w:autoSpaceDE w:val="0"/>
        <w:autoSpaceDN w:val="0"/>
        <w:adjustRightInd w:val="0"/>
        <w:spacing w:before="160" w:line="259" w:lineRule="auto"/>
        <w:ind w:left="630" w:right="-41" w:hanging="180"/>
        <w:rPr>
          <w:rFonts w:ascii="Calibri" w:eastAsia="Times New Roman" w:hAnsi="Calibri" w:cs="Calibri"/>
          <w:sz w:val="19"/>
          <w:szCs w:val="19"/>
        </w:rPr>
      </w:pPr>
      <w:r w:rsidRPr="00A90153">
        <w:rPr>
          <w:rFonts w:ascii="Calibri" w:eastAsia="Times New Roman" w:hAnsi="Calibri" w:cs="Calibri"/>
          <w:sz w:val="19"/>
          <w:szCs w:val="19"/>
        </w:rPr>
        <w:t>Obtemos evidência de auditoria apropriada e suficiente referente às informações financeiras das entidades ou atividades de negócio do grupo para expressar uma opinião sobre as demonstrações contábeis individuais e consolidadas. Somos responsáveis pela direção, supervisão e desempenho da auditoria do grupo e, consequentemente, pela opinião de auditoria.</w:t>
      </w:r>
    </w:p>
    <w:p w14:paraId="7A93CC49"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Comunicamo‐nos com a Administração a respeito, entre outros aspectos, do alcance e da época dos trabalhos de auditoria planejados e das constatações significativas de auditoria, inclusive as eventuais deficiências significativas nos controles internos que identificamos durante nossos trabalhos.</w:t>
      </w:r>
    </w:p>
    <w:p w14:paraId="13110DD9" w14:textId="77777777" w:rsidR="00A90153" w:rsidRPr="00A90153" w:rsidRDefault="00A90153" w:rsidP="00A90153">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A90153">
        <w:rPr>
          <w:rFonts w:ascii="Calibri" w:eastAsia="Times New Roman" w:hAnsi="Calibri" w:cs="Calibri"/>
          <w:sz w:val="19"/>
          <w:szCs w:val="19"/>
        </w:rPr>
        <w:t>Dos assuntos que foram objeto de comunicação com os responsáveis pela governança, determinamos aqueles que foram considerados como mais significativos na auditoria das demonstrações contábeis individuais e consolidadas do período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104D0518" w14:textId="77777777" w:rsidR="00A90153" w:rsidRPr="00A90153" w:rsidRDefault="00A90153" w:rsidP="00A90153">
      <w:pPr>
        <w:widowControl w:val="0"/>
        <w:kinsoku w:val="0"/>
        <w:overflowPunct w:val="0"/>
        <w:autoSpaceDE w:val="0"/>
        <w:autoSpaceDN w:val="0"/>
        <w:adjustRightInd w:val="0"/>
        <w:ind w:left="385"/>
        <w:rPr>
          <w:rFonts w:ascii="Calibri" w:eastAsia="Times New Roman" w:hAnsi="Calibri" w:cs="Calibri"/>
          <w:sz w:val="19"/>
          <w:szCs w:val="19"/>
        </w:rPr>
      </w:pPr>
    </w:p>
    <w:p w14:paraId="75C9133A" w14:textId="77777777" w:rsidR="00A90153" w:rsidRPr="00A90153" w:rsidRDefault="00A90153" w:rsidP="00A90153">
      <w:pPr>
        <w:widowControl w:val="0"/>
        <w:kinsoku w:val="0"/>
        <w:overflowPunct w:val="0"/>
        <w:autoSpaceDE w:val="0"/>
        <w:autoSpaceDN w:val="0"/>
        <w:adjustRightInd w:val="0"/>
        <w:ind w:left="385"/>
        <w:rPr>
          <w:rFonts w:ascii="Calibri" w:eastAsia="Times New Roman" w:hAnsi="Calibri" w:cs="Calibri"/>
          <w:sz w:val="19"/>
          <w:szCs w:val="19"/>
        </w:rPr>
      </w:pPr>
    </w:p>
    <w:p w14:paraId="3DF38A09"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r w:rsidRPr="00A90153">
        <w:rPr>
          <w:rFonts w:ascii="Calibri" w:eastAsia="Times New Roman" w:hAnsi="Calibri" w:cs="Calibri"/>
          <w:sz w:val="19"/>
          <w:szCs w:val="19"/>
        </w:rPr>
        <w:t>Brasília, 19 de agosto de 2024</w:t>
      </w:r>
    </w:p>
    <w:p w14:paraId="43035FC0"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p>
    <w:p w14:paraId="737D127A"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p>
    <w:p w14:paraId="203AC856"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r w:rsidRPr="00A90153">
        <w:rPr>
          <w:rFonts w:ascii="Calibri" w:eastAsia="Times New Roman" w:hAnsi="Calibri" w:cs="Calibri"/>
          <w:sz w:val="19"/>
          <w:szCs w:val="19"/>
        </w:rPr>
        <w:t>KPMG Auditores Independentes Ltda.</w:t>
      </w:r>
    </w:p>
    <w:p w14:paraId="0A244205"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r w:rsidRPr="00A90153">
        <w:rPr>
          <w:rFonts w:ascii="Calibri" w:eastAsia="Times New Roman" w:hAnsi="Calibri" w:cs="Calibri"/>
          <w:sz w:val="19"/>
          <w:szCs w:val="19"/>
        </w:rPr>
        <w:t>CRC SP-014428/F-0</w:t>
      </w:r>
    </w:p>
    <w:p w14:paraId="2C0564D4"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p>
    <w:p w14:paraId="65F9D688"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p>
    <w:p w14:paraId="3CA7FE1E"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p>
    <w:p w14:paraId="299CA53C"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r w:rsidRPr="00A90153">
        <w:rPr>
          <w:rFonts w:ascii="Calibri" w:eastAsia="Times New Roman" w:hAnsi="Calibri" w:cs="Calibri"/>
          <w:sz w:val="19"/>
          <w:szCs w:val="19"/>
        </w:rPr>
        <w:t xml:space="preserve">André Dala </w:t>
      </w:r>
      <w:proofErr w:type="spellStart"/>
      <w:r w:rsidRPr="00A90153">
        <w:rPr>
          <w:rFonts w:ascii="Calibri" w:eastAsia="Times New Roman" w:hAnsi="Calibri" w:cs="Calibri"/>
          <w:sz w:val="19"/>
          <w:szCs w:val="19"/>
        </w:rPr>
        <w:t>Pola</w:t>
      </w:r>
      <w:proofErr w:type="spellEnd"/>
    </w:p>
    <w:p w14:paraId="797BAF02" w14:textId="77777777" w:rsidR="00A90153" w:rsidRPr="00A90153" w:rsidRDefault="00A90153" w:rsidP="00A90153">
      <w:pPr>
        <w:widowControl w:val="0"/>
        <w:kinsoku w:val="0"/>
        <w:overflowPunct w:val="0"/>
        <w:autoSpaceDE w:val="0"/>
        <w:autoSpaceDN w:val="0"/>
        <w:adjustRightInd w:val="0"/>
        <w:ind w:left="386"/>
        <w:rPr>
          <w:rFonts w:ascii="Calibri" w:eastAsia="Times New Roman" w:hAnsi="Calibri" w:cs="Calibri"/>
          <w:sz w:val="19"/>
          <w:szCs w:val="19"/>
        </w:rPr>
      </w:pPr>
      <w:r w:rsidRPr="00A90153">
        <w:rPr>
          <w:rFonts w:ascii="Calibri" w:eastAsia="Times New Roman" w:hAnsi="Calibri" w:cs="Calibri"/>
          <w:sz w:val="19"/>
          <w:szCs w:val="19"/>
        </w:rPr>
        <w:t>Contador CRC 1SP214007/O‐2</w:t>
      </w:r>
    </w:p>
    <w:p w14:paraId="0F1918FA" w14:textId="77777777" w:rsidR="00A26787" w:rsidRPr="00A26787" w:rsidRDefault="00A26787" w:rsidP="00A26787"/>
    <w:p w14:paraId="76CD0D97" w14:textId="56A2E610" w:rsidR="007E655B" w:rsidRPr="00E20D21" w:rsidRDefault="007E655B" w:rsidP="0031241E">
      <w:pPr>
        <w:tabs>
          <w:tab w:val="left" w:pos="4921"/>
          <w:tab w:val="decimal" w:pos="8948"/>
        </w:tabs>
        <w:suppressAutoHyphens/>
        <w:autoSpaceDE w:val="0"/>
        <w:autoSpaceDN w:val="0"/>
        <w:adjustRightInd w:val="0"/>
        <w:jc w:val="both"/>
        <w:rPr>
          <w:rFonts w:ascii="CAIXA Std Book" w:hAnsi="CAIXA Std Book"/>
          <w:color w:val="005CA9"/>
          <w:sz w:val="16"/>
          <w:szCs w:val="16"/>
        </w:rPr>
      </w:pPr>
    </w:p>
    <w:sectPr w:rsidR="007E655B" w:rsidRPr="00E20D21" w:rsidSect="001F0E96">
      <w:headerReference w:type="default" r:id="rId92"/>
      <w:footerReference w:type="default" r:id="rId93"/>
      <w:headerReference w:type="first" r:id="rId94"/>
      <w:footerReference w:type="first" r:id="rId95"/>
      <w:pgSz w:w="11907" w:h="16840" w:code="9"/>
      <w:pgMar w:top="1440" w:right="1080" w:bottom="1440" w:left="108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5C4C7" w14:textId="77777777" w:rsidR="002123F0" w:rsidRDefault="002123F0">
      <w:r>
        <w:separator/>
      </w:r>
    </w:p>
  </w:endnote>
  <w:endnote w:type="continuationSeparator" w:id="0">
    <w:p w14:paraId="5C608D71" w14:textId="77777777" w:rsidR="002123F0" w:rsidRDefault="002123F0">
      <w:r>
        <w:continuationSeparator/>
      </w:r>
    </w:p>
  </w:endnote>
  <w:endnote w:type="continuationNotice" w:id="1">
    <w:p w14:paraId="650848F2" w14:textId="77777777" w:rsidR="002123F0" w:rsidRDefault="00212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IXA Std Book">
    <w:panose1 w:val="020B0503020204030204"/>
    <w:charset w:val="00"/>
    <w:family w:val="swiss"/>
    <w:pitch w:val="variable"/>
    <w:sig w:usb0="A00000EF" w:usb1="4000205B" w:usb2="00000000" w:usb3="00000000" w:csb0="00000093" w:csb1="00000000"/>
  </w:font>
  <w:font w:name="Yu Mincho Light">
    <w:altName w:val="Yu Gothic"/>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ncoDoBrasil Textos">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utura Std Book">
    <w:panose1 w:val="020B0502020204020303"/>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ldhabi">
    <w:charset w:val="B2"/>
    <w:family w:val="auto"/>
    <w:pitch w:val="variable"/>
    <w:sig w:usb0="80002007" w:usb1="80000000" w:usb2="00000008" w:usb3="00000000" w:csb0="00000041" w:csb1="00000000"/>
  </w:font>
  <w:font w:name="KPMG Extralight">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E565" w14:textId="1B4A4352" w:rsidR="00091962" w:rsidRDefault="00091962">
    <w:pPr>
      <w:pStyle w:val="Rodap"/>
    </w:pPr>
  </w:p>
  <w:p w14:paraId="395EAF74" w14:textId="77777777" w:rsidR="00091962" w:rsidRDefault="00091962"/>
  <w:p w14:paraId="045A08FB" w14:textId="77777777" w:rsidR="00091962" w:rsidRDefault="0009196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51C7" w14:textId="77777777" w:rsidR="00BB24B9" w:rsidRDefault="00BB24B9" w:rsidP="00BB24B9">
    <w:pPr>
      <w:pStyle w:val="Rodap"/>
      <w:jc w:val="right"/>
      <w:rPr>
        <w:rFonts w:ascii="Courier New" w:hAnsi="Courier New"/>
      </w:rPr>
    </w:pPr>
    <w:r>
      <w:rPr>
        <w:noProof/>
      </w:rPr>
      <w:drawing>
        <wp:anchor distT="0" distB="0" distL="114300" distR="114300" simplePos="0" relativeHeight="251658277" behindDoc="1" locked="0" layoutInCell="1" allowOverlap="1" wp14:anchorId="78C8F8C3" wp14:editId="50FC36E4">
          <wp:simplePos x="0" y="0"/>
          <wp:positionH relativeFrom="column">
            <wp:posOffset>-924284</wp:posOffset>
          </wp:positionH>
          <wp:positionV relativeFrom="paragraph">
            <wp:posOffset>103118</wp:posOffset>
          </wp:positionV>
          <wp:extent cx="7577455" cy="339725"/>
          <wp:effectExtent l="0" t="0" r="4445" b="3175"/>
          <wp:wrapNone/>
          <wp:docPr id="500" name="Image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BADCD" w14:textId="7933586C" w:rsidR="00FC5E6D" w:rsidRPr="002E3959" w:rsidRDefault="00936EDB" w:rsidP="00936EDB">
    <w:pPr>
      <w:pStyle w:val="Rodap"/>
      <w:tabs>
        <w:tab w:val="clear" w:pos="4252"/>
        <w:tab w:val="clear" w:pos="8504"/>
        <w:tab w:val="center" w:pos="4820"/>
      </w:tabs>
      <w:jc w:val="right"/>
    </w:pPr>
    <w:r>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Pr>
        <w:rFonts w:ascii="Futura Lt BT" w:hAnsi="Futura Lt BT"/>
        <w:color w:val="2E74B5"/>
        <w:sz w:val="20"/>
        <w:szCs w:val="20"/>
      </w:rPr>
      <w:t>27</w:t>
    </w:r>
    <w:r w:rsidRPr="001D7E00">
      <w:rPr>
        <w:rFonts w:ascii="Futura Lt BT" w:hAnsi="Futura Lt BT"/>
        <w:color w:val="2E74B5"/>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61864" w14:textId="251DA797" w:rsidR="00936EDB" w:rsidRDefault="00936EDB" w:rsidP="00936EDB">
    <w:pPr>
      <w:pStyle w:val="Rodap"/>
      <w:jc w:val="right"/>
      <w:rPr>
        <w:rFonts w:ascii="Courier New" w:hAnsi="Courier New"/>
      </w:rPr>
    </w:pPr>
    <w:r>
      <w:rPr>
        <w:noProof/>
      </w:rPr>
      <w:drawing>
        <wp:anchor distT="0" distB="0" distL="114300" distR="114300" simplePos="0" relativeHeight="251658279" behindDoc="1" locked="0" layoutInCell="1" allowOverlap="1" wp14:anchorId="05B7B67F" wp14:editId="0E9FC588">
          <wp:simplePos x="0" y="0"/>
          <wp:positionH relativeFrom="column">
            <wp:posOffset>-918537</wp:posOffset>
          </wp:positionH>
          <wp:positionV relativeFrom="paragraph">
            <wp:posOffset>279972</wp:posOffset>
          </wp:positionV>
          <wp:extent cx="10728162" cy="377824"/>
          <wp:effectExtent l="0" t="0" r="0" b="3810"/>
          <wp:wrapNone/>
          <wp:docPr id="502" name="Image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8168" cy="384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D84AE" w14:textId="2A15E5CD" w:rsidR="00936EDB" w:rsidRDefault="00936EDB" w:rsidP="00936EDB">
    <w:pPr>
      <w:pStyle w:val="Rodap"/>
      <w:jc w:val="right"/>
      <w:rPr>
        <w:rFonts w:ascii="Courier New" w:hAnsi="Courier New"/>
      </w:rPr>
    </w:pPr>
  </w:p>
  <w:p w14:paraId="6F62ACA9" w14:textId="18731E49" w:rsidR="00936EDB" w:rsidRPr="002E3959" w:rsidRDefault="00936EDB" w:rsidP="00936EDB">
    <w:pPr>
      <w:pStyle w:val="Rodap"/>
      <w:tabs>
        <w:tab w:val="clear" w:pos="4252"/>
        <w:tab w:val="clear" w:pos="8504"/>
        <w:tab w:val="center" w:pos="4820"/>
      </w:tabs>
      <w:jc w:val="right"/>
    </w:pP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Pr>
        <w:rFonts w:ascii="Futura Lt BT" w:hAnsi="Futura Lt BT"/>
        <w:color w:val="2E74B5"/>
        <w:sz w:val="20"/>
        <w:szCs w:val="20"/>
      </w:rPr>
      <w:t>27</w:t>
    </w:r>
    <w:r w:rsidRPr="001D7E00">
      <w:rPr>
        <w:rFonts w:ascii="Futura Lt BT" w:hAnsi="Futura Lt BT"/>
        <w:color w:val="2E74B5"/>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F036" w14:textId="1F81509F" w:rsidR="00091962" w:rsidRDefault="00E67115" w:rsidP="006E5F47">
    <w:pPr>
      <w:pStyle w:val="Rodap"/>
      <w:jc w:val="right"/>
    </w:pPr>
    <w:r>
      <w:rPr>
        <w:noProof/>
      </w:rPr>
      <w:drawing>
        <wp:anchor distT="0" distB="0" distL="114300" distR="114300" simplePos="0" relativeHeight="251658281" behindDoc="1" locked="0" layoutInCell="1" allowOverlap="1" wp14:anchorId="098A84A9" wp14:editId="36DD1B06">
          <wp:simplePos x="0" y="0"/>
          <wp:positionH relativeFrom="column">
            <wp:posOffset>-927590</wp:posOffset>
          </wp:positionH>
          <wp:positionV relativeFrom="paragraph">
            <wp:posOffset>362522</wp:posOffset>
          </wp:positionV>
          <wp:extent cx="10745797" cy="376555"/>
          <wp:effectExtent l="0" t="0" r="0" b="4445"/>
          <wp:wrapNone/>
          <wp:docPr id="505" name="Image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1066" cy="37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0409F" w14:textId="19F58942" w:rsidR="00091962" w:rsidRDefault="00091962" w:rsidP="00936EDB">
    <w:pPr>
      <w:pStyle w:val="Rodap"/>
      <w:jc w:val="center"/>
      <w:rPr>
        <w:rFonts w:ascii="Courier New" w:hAnsi="Courier New"/>
      </w:rPr>
    </w:pPr>
  </w:p>
  <w:p w14:paraId="321BD314" w14:textId="77777777" w:rsidR="00091962" w:rsidRPr="001D7E00" w:rsidRDefault="00091962"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29</w:t>
    </w:r>
    <w:r w:rsidRPr="001D7E00">
      <w:rPr>
        <w:rFonts w:ascii="Futura Lt BT" w:hAnsi="Futura Lt BT"/>
        <w:color w:val="2E74B5"/>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732C" w14:textId="139A24BE" w:rsidR="00091962" w:rsidRDefault="00091962" w:rsidP="00FA052E">
    <w:pPr>
      <w:pStyle w:val="Rodap"/>
      <w:jc w:val="right"/>
    </w:pPr>
  </w:p>
  <w:p w14:paraId="694992FA" w14:textId="4C598A6D" w:rsidR="002E3959" w:rsidRDefault="002E3959" w:rsidP="002E3959">
    <w:pPr>
      <w:pStyle w:val="Rodap"/>
      <w:jc w:val="right"/>
    </w:pPr>
    <w:r>
      <w:rPr>
        <w:noProof/>
      </w:rPr>
      <w:drawing>
        <wp:anchor distT="0" distB="0" distL="114300" distR="114300" simplePos="0" relativeHeight="251658283" behindDoc="1" locked="0" layoutInCell="1" allowOverlap="1" wp14:anchorId="4698806C" wp14:editId="749985A8">
          <wp:simplePos x="0" y="0"/>
          <wp:positionH relativeFrom="column">
            <wp:posOffset>-821043</wp:posOffset>
          </wp:positionH>
          <wp:positionV relativeFrom="paragraph">
            <wp:posOffset>153588</wp:posOffset>
          </wp:positionV>
          <wp:extent cx="10990907" cy="376544"/>
          <wp:effectExtent l="0" t="0" r="0" b="508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2742" cy="3796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532611092"/>
      <w:docPartObj>
        <w:docPartGallery w:val="Page Numbers (Bottom of Page)"/>
        <w:docPartUnique/>
      </w:docPartObj>
    </w:sdtPr>
    <w:sdtEndPr>
      <w:rPr>
        <w:noProof/>
        <w:color w:val="2E74B5"/>
        <w:sz w:val="20"/>
        <w:szCs w:val="20"/>
      </w:rPr>
    </w:sdtEndPr>
    <w:sdtContent>
      <w:p w14:paraId="4F38246E" w14:textId="6CF760CD" w:rsidR="00091962" w:rsidRPr="006E5F47" w:rsidRDefault="00091962" w:rsidP="00FA052E">
        <w:pPr>
          <w:pStyle w:val="Rodap"/>
          <w:tabs>
            <w:tab w:val="clear" w:pos="4252"/>
            <w:tab w:val="clear" w:pos="8504"/>
            <w:tab w:val="center" w:pos="4820"/>
          </w:tabs>
          <w:jc w:val="right"/>
          <w:rPr>
            <w:noProof/>
            <w:color w:val="2E74B5"/>
            <w:sz w:val="20"/>
            <w:szCs w:val="20"/>
          </w:rPr>
        </w:pPr>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28</w:t>
        </w:r>
        <w:r w:rsidRPr="00DD3D66">
          <w:rPr>
            <w:rFonts w:ascii="Futura Lt BT" w:hAnsi="Futura Lt BT"/>
            <w:color w:val="2E74B5"/>
            <w:sz w:val="20"/>
            <w:szCs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6147" w14:textId="77777777" w:rsidR="00936EDB" w:rsidRDefault="00936EDB" w:rsidP="00936EDB">
    <w:pPr>
      <w:pStyle w:val="Rodap"/>
      <w:jc w:val="right"/>
      <w:rPr>
        <w:rFonts w:ascii="Courier New" w:hAnsi="Courier New"/>
      </w:rPr>
    </w:pPr>
    <w:r>
      <w:rPr>
        <w:noProof/>
      </w:rPr>
      <w:drawing>
        <wp:anchor distT="0" distB="0" distL="114300" distR="114300" simplePos="0" relativeHeight="251658285" behindDoc="1" locked="0" layoutInCell="1" allowOverlap="1" wp14:anchorId="7C6AA6D9" wp14:editId="228FCCAB">
          <wp:simplePos x="0" y="0"/>
          <wp:positionH relativeFrom="column">
            <wp:posOffset>-920631</wp:posOffset>
          </wp:positionH>
          <wp:positionV relativeFrom="paragraph">
            <wp:posOffset>107252</wp:posOffset>
          </wp:positionV>
          <wp:extent cx="11071904" cy="377825"/>
          <wp:effectExtent l="0" t="0" r="0" b="3175"/>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481" cy="41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55E8B" w14:textId="41816D7E" w:rsidR="00091962" w:rsidRPr="006E5F47" w:rsidRDefault="00091962" w:rsidP="00FA052E">
    <w:pPr>
      <w:pStyle w:val="Rodap"/>
      <w:tabs>
        <w:tab w:val="clear" w:pos="4252"/>
        <w:tab w:val="clear" w:pos="8504"/>
        <w:tab w:val="center" w:pos="4820"/>
      </w:tabs>
      <w:jc w:val="right"/>
      <w:rPr>
        <w:noProof/>
        <w:color w:val="2E74B5"/>
        <w:sz w:val="20"/>
        <w:szCs w:val="20"/>
      </w:rPr>
    </w:pP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28</w:t>
    </w:r>
    <w:r w:rsidRPr="001D7E00">
      <w:rPr>
        <w:rFonts w:ascii="Futura Lt BT" w:hAnsi="Futura Lt BT"/>
        <w:color w:val="2E74B5"/>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9B1D" w14:textId="77777777" w:rsidR="00091962" w:rsidRDefault="0018557F" w:rsidP="00331E1C">
    <w:pPr>
      <w:pStyle w:val="Rodap"/>
      <w:jc w:val="right"/>
      <w:rPr>
        <w:rFonts w:ascii="Courier New" w:hAnsi="Courier New"/>
      </w:rPr>
    </w:pPr>
    <w:r>
      <w:rPr>
        <w:noProof/>
      </w:rPr>
      <w:drawing>
        <wp:anchor distT="0" distB="0" distL="114300" distR="114300" simplePos="0" relativeHeight="251658287" behindDoc="1" locked="0" layoutInCell="1" allowOverlap="1" wp14:anchorId="55C66F8A" wp14:editId="38B1F054">
          <wp:simplePos x="0" y="0"/>
          <wp:positionH relativeFrom="column">
            <wp:posOffset>-924284</wp:posOffset>
          </wp:positionH>
          <wp:positionV relativeFrom="paragraph">
            <wp:posOffset>103118</wp:posOffset>
          </wp:positionV>
          <wp:extent cx="7577455" cy="339725"/>
          <wp:effectExtent l="0" t="0" r="4445" b="317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52F24" w14:textId="77777777" w:rsidR="00091962" w:rsidRPr="006E5F47" w:rsidRDefault="00091962"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68067314"/>
        <w:docPartObj>
          <w:docPartGallery w:val="Page Numbers (Bottom of Page)"/>
          <w:docPartUnique/>
        </w:docPartObj>
      </w:sdtPr>
      <w:sdtEndPr>
        <w:rPr>
          <w:rFonts w:ascii="Futura Lt BT" w:hAnsi="Futura Lt BT"/>
          <w:noProof w:val="0"/>
        </w:rPr>
      </w:sdtEndPr>
      <w:sdtContent>
        <w:r w:rsidRPr="00A42E57">
          <w:rPr>
            <w:rFonts w:ascii="Futura Lt BT" w:hAnsi="Futura Lt BT"/>
            <w:color w:val="2E74B5"/>
            <w:sz w:val="20"/>
            <w:szCs w:val="20"/>
          </w:rPr>
          <w:fldChar w:fldCharType="begin"/>
        </w:r>
        <w:r w:rsidRPr="00A42E57">
          <w:rPr>
            <w:rFonts w:ascii="Futura Lt BT" w:hAnsi="Futura Lt BT"/>
            <w:color w:val="2E74B5"/>
            <w:sz w:val="20"/>
            <w:szCs w:val="20"/>
          </w:rPr>
          <w:instrText>PAGE   \* MERGEFORMAT</w:instrText>
        </w:r>
        <w:r w:rsidRPr="00A42E57">
          <w:rPr>
            <w:rFonts w:ascii="Futura Lt BT" w:hAnsi="Futura Lt BT"/>
            <w:color w:val="2E74B5"/>
            <w:sz w:val="20"/>
            <w:szCs w:val="20"/>
          </w:rPr>
          <w:fldChar w:fldCharType="separate"/>
        </w:r>
        <w:r w:rsidRPr="00A42E57">
          <w:rPr>
            <w:rFonts w:ascii="Futura Lt BT" w:hAnsi="Futura Lt BT"/>
            <w:color w:val="2E74B5"/>
            <w:sz w:val="20"/>
            <w:szCs w:val="20"/>
          </w:rPr>
          <w:t>25</w:t>
        </w:r>
        <w:r w:rsidRPr="00A42E57">
          <w:rPr>
            <w:rFonts w:ascii="Futura Lt BT" w:hAnsi="Futura Lt BT"/>
            <w:color w:val="2E74B5"/>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A87D" w14:textId="29012BFC" w:rsidR="00091962" w:rsidRDefault="00091962" w:rsidP="00FA052E">
    <w:pPr>
      <w:pStyle w:val="Rodap"/>
      <w:jc w:val="right"/>
      <w:rPr>
        <w:rFonts w:ascii="Courier New" w:hAnsi="Courier New"/>
      </w:rPr>
    </w:pPr>
  </w:p>
  <w:p w14:paraId="692A5CCB" w14:textId="77777777" w:rsidR="00BB24B9" w:rsidRDefault="00BB24B9" w:rsidP="00BB24B9">
    <w:pPr>
      <w:pStyle w:val="Rodap"/>
      <w:jc w:val="right"/>
      <w:rPr>
        <w:rFonts w:ascii="Courier New" w:hAnsi="Courier New"/>
      </w:rPr>
    </w:pPr>
    <w:r>
      <w:rPr>
        <w:noProof/>
      </w:rPr>
      <w:drawing>
        <wp:anchor distT="0" distB="0" distL="114300" distR="114300" simplePos="0" relativeHeight="251658289" behindDoc="1" locked="0" layoutInCell="1" allowOverlap="1" wp14:anchorId="1936CF09" wp14:editId="66B14656">
          <wp:simplePos x="0" y="0"/>
          <wp:positionH relativeFrom="column">
            <wp:posOffset>-924284</wp:posOffset>
          </wp:positionH>
          <wp:positionV relativeFrom="paragraph">
            <wp:posOffset>103118</wp:posOffset>
          </wp:positionV>
          <wp:extent cx="7577455" cy="339725"/>
          <wp:effectExtent l="0" t="0" r="4445" b="317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A0166" w14:textId="77777777" w:rsidR="00091962" w:rsidRPr="006E5F47" w:rsidRDefault="00091962" w:rsidP="00FA052E">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814751164"/>
        <w:docPartObj>
          <w:docPartGallery w:val="Page Numbers (Bottom of Page)"/>
          <w:docPartUnique/>
        </w:docPartObj>
      </w:sdtPr>
      <w:sdtContent>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25</w:t>
        </w:r>
        <w:r w:rsidRPr="00DD3D66">
          <w:rPr>
            <w:rFonts w:ascii="Futura Lt BT" w:hAnsi="Futura Lt BT"/>
            <w:color w:val="2E74B5"/>
            <w:sz w:val="20"/>
            <w:szCs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2B537" w14:textId="77777777" w:rsidR="0041501F" w:rsidRDefault="0041501F" w:rsidP="00331E1C">
    <w:pPr>
      <w:pStyle w:val="Rodap"/>
      <w:jc w:val="right"/>
      <w:rPr>
        <w:rFonts w:ascii="Courier New" w:hAnsi="Courier New"/>
      </w:rPr>
    </w:pPr>
    <w:r>
      <w:rPr>
        <w:noProof/>
      </w:rPr>
      <w:drawing>
        <wp:anchor distT="0" distB="0" distL="114300" distR="114300" simplePos="0" relativeHeight="251658291" behindDoc="1" locked="0" layoutInCell="1" allowOverlap="1" wp14:anchorId="040E07C0" wp14:editId="574E0E9B">
          <wp:simplePos x="0" y="0"/>
          <wp:positionH relativeFrom="column">
            <wp:posOffset>-929005</wp:posOffset>
          </wp:positionH>
          <wp:positionV relativeFrom="paragraph">
            <wp:posOffset>110490</wp:posOffset>
          </wp:positionV>
          <wp:extent cx="10715625" cy="364490"/>
          <wp:effectExtent l="0" t="0" r="952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116" cy="365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F07E1" w14:textId="77777777" w:rsidR="0041501F" w:rsidRPr="006E5F47" w:rsidRDefault="0041501F"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950600598"/>
        <w:docPartObj>
          <w:docPartGallery w:val="Page Numbers (Bottom of Page)"/>
          <w:docPartUnique/>
        </w:docPartObj>
      </w:sdtPr>
      <w:sdtEndPr>
        <w:rPr>
          <w:rFonts w:ascii="Futura Lt BT" w:hAnsi="Futura Lt BT"/>
          <w:noProof w:val="0"/>
        </w:rPr>
      </w:sdtEndPr>
      <w:sdtContent>
        <w:r w:rsidRPr="00A42E57">
          <w:rPr>
            <w:rFonts w:ascii="Futura Lt BT" w:hAnsi="Futura Lt BT"/>
            <w:color w:val="2E74B5"/>
            <w:sz w:val="20"/>
            <w:szCs w:val="20"/>
          </w:rPr>
          <w:fldChar w:fldCharType="begin"/>
        </w:r>
        <w:r w:rsidRPr="00A42E57">
          <w:rPr>
            <w:rFonts w:ascii="Futura Lt BT" w:hAnsi="Futura Lt BT"/>
            <w:color w:val="2E74B5"/>
            <w:sz w:val="20"/>
            <w:szCs w:val="20"/>
          </w:rPr>
          <w:instrText>PAGE   \* MERGEFORMAT</w:instrText>
        </w:r>
        <w:r w:rsidRPr="00A42E57">
          <w:rPr>
            <w:rFonts w:ascii="Futura Lt BT" w:hAnsi="Futura Lt BT"/>
            <w:color w:val="2E74B5"/>
            <w:sz w:val="20"/>
            <w:szCs w:val="20"/>
          </w:rPr>
          <w:fldChar w:fldCharType="separate"/>
        </w:r>
        <w:r w:rsidRPr="00A42E57">
          <w:rPr>
            <w:rFonts w:ascii="Futura Lt BT" w:hAnsi="Futura Lt BT"/>
            <w:color w:val="2E74B5"/>
            <w:sz w:val="20"/>
            <w:szCs w:val="20"/>
          </w:rPr>
          <w:t>25</w:t>
        </w:r>
        <w:r w:rsidRPr="00A42E57">
          <w:rPr>
            <w:rFonts w:ascii="Futura Lt BT" w:hAnsi="Futura Lt BT"/>
            <w:color w:val="2E74B5"/>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796E" w14:textId="7BA026C1" w:rsidR="00791CF1" w:rsidRDefault="00791CF1" w:rsidP="00FA052E">
    <w:pPr>
      <w:pStyle w:val="Rodap"/>
      <w:jc w:val="right"/>
      <w:rPr>
        <w:rFonts w:ascii="Courier New" w:hAnsi="Courier New"/>
      </w:rPr>
    </w:pPr>
    <w:r>
      <w:rPr>
        <w:noProof/>
      </w:rPr>
      <w:drawing>
        <wp:anchor distT="0" distB="0" distL="114300" distR="114300" simplePos="0" relativeHeight="251658293" behindDoc="1" locked="0" layoutInCell="1" allowOverlap="1" wp14:anchorId="070C711B" wp14:editId="015727B7">
          <wp:simplePos x="0" y="0"/>
          <wp:positionH relativeFrom="column">
            <wp:posOffset>-929005</wp:posOffset>
          </wp:positionH>
          <wp:positionV relativeFrom="paragraph">
            <wp:posOffset>282575</wp:posOffset>
          </wp:positionV>
          <wp:extent cx="10753725" cy="364490"/>
          <wp:effectExtent l="0" t="0" r="9525"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5864" cy="37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65178" w14:textId="48B24F7C" w:rsidR="00791CF1" w:rsidRDefault="00791CF1" w:rsidP="00936EDB">
    <w:pPr>
      <w:pStyle w:val="Rodap"/>
      <w:jc w:val="right"/>
      <w:rPr>
        <w:rFonts w:ascii="Courier New" w:hAnsi="Courier New"/>
      </w:rPr>
    </w:pPr>
  </w:p>
  <w:p w14:paraId="269040A3" w14:textId="77777777" w:rsidR="00791CF1" w:rsidRPr="006E5F47" w:rsidRDefault="00791CF1" w:rsidP="00936EDB">
    <w:pPr>
      <w:pStyle w:val="Rodap"/>
      <w:tabs>
        <w:tab w:val="clear" w:pos="4252"/>
        <w:tab w:val="clear" w:pos="8504"/>
        <w:tab w:val="center" w:pos="4820"/>
      </w:tabs>
      <w:jc w:val="right"/>
      <w:rPr>
        <w:noProof/>
        <w:color w:val="2E74B5"/>
        <w:sz w:val="20"/>
        <w:szCs w:val="20"/>
      </w:rPr>
    </w:pPr>
    <w:r>
      <w:rPr>
        <w:noProof/>
        <w:color w:val="2E74B5"/>
        <w:sz w:val="20"/>
        <w:szCs w:val="20"/>
      </w:rPr>
      <w:tab/>
    </w:r>
    <w:r>
      <w:rPr>
        <w:noProof/>
        <w:color w:val="2E74B5"/>
        <w:sz w:val="20"/>
        <w:szCs w:val="20"/>
      </w:rPr>
      <w:tab/>
    </w:r>
    <w:sdt>
      <w:sdtPr>
        <w:rPr>
          <w:noProof/>
          <w:color w:val="2E74B5"/>
          <w:sz w:val="20"/>
          <w:szCs w:val="20"/>
        </w:rPr>
        <w:id w:val="1363023750"/>
        <w:docPartObj>
          <w:docPartGallery w:val="Page Numbers (Bottom of Page)"/>
          <w:docPartUnique/>
        </w:docPartObj>
      </w:sdtPr>
      <w:sdtContent>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25</w:t>
        </w:r>
        <w:r w:rsidRPr="00DD3D66">
          <w:rPr>
            <w:rFonts w:ascii="Futura Lt BT" w:hAnsi="Futura Lt BT"/>
            <w:color w:val="2E74B5"/>
            <w:sz w:val="20"/>
            <w:szCs w:val="20"/>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2B00" w14:textId="79B9D525" w:rsidR="00A47C19" w:rsidRDefault="00A47C19" w:rsidP="00331E1C">
    <w:pPr>
      <w:pStyle w:val="Rodap"/>
      <w:jc w:val="right"/>
      <w:rPr>
        <w:rFonts w:ascii="Courier New" w:hAnsi="Courier New"/>
      </w:rPr>
    </w:pPr>
    <w:r>
      <w:rPr>
        <w:noProof/>
      </w:rPr>
      <w:drawing>
        <wp:anchor distT="0" distB="0" distL="114300" distR="114300" simplePos="0" relativeHeight="251658295" behindDoc="1" locked="0" layoutInCell="1" allowOverlap="1" wp14:anchorId="49AA2337" wp14:editId="58231CDB">
          <wp:simplePos x="0" y="0"/>
          <wp:positionH relativeFrom="column">
            <wp:posOffset>-929005</wp:posOffset>
          </wp:positionH>
          <wp:positionV relativeFrom="paragraph">
            <wp:posOffset>64135</wp:posOffset>
          </wp:positionV>
          <wp:extent cx="7600950" cy="36449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052ED" w14:textId="266E8A3C" w:rsidR="00A47C19" w:rsidRPr="006E5F47" w:rsidRDefault="00A47C19"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31310712"/>
        <w:docPartObj>
          <w:docPartGallery w:val="Page Numbers (Bottom of Page)"/>
          <w:docPartUnique/>
        </w:docPartObj>
      </w:sdtPr>
      <w:sdtEndPr>
        <w:rPr>
          <w:rFonts w:ascii="Futura Lt BT" w:hAnsi="Futura Lt BT"/>
          <w:noProof w:val="0"/>
        </w:rPr>
      </w:sdtEndPr>
      <w:sdtContent>
        <w:r w:rsidRPr="00A42E57">
          <w:rPr>
            <w:rFonts w:ascii="Futura Lt BT" w:hAnsi="Futura Lt BT"/>
            <w:color w:val="2E74B5"/>
            <w:sz w:val="20"/>
            <w:szCs w:val="20"/>
          </w:rPr>
          <w:fldChar w:fldCharType="begin"/>
        </w:r>
        <w:r w:rsidRPr="00A42E57">
          <w:rPr>
            <w:rFonts w:ascii="Futura Lt BT" w:hAnsi="Futura Lt BT"/>
            <w:color w:val="2E74B5"/>
            <w:sz w:val="20"/>
            <w:szCs w:val="20"/>
          </w:rPr>
          <w:instrText>PAGE   \* MERGEFORMAT</w:instrText>
        </w:r>
        <w:r w:rsidRPr="00A42E57">
          <w:rPr>
            <w:rFonts w:ascii="Futura Lt BT" w:hAnsi="Futura Lt BT"/>
            <w:color w:val="2E74B5"/>
            <w:sz w:val="20"/>
            <w:szCs w:val="20"/>
          </w:rPr>
          <w:fldChar w:fldCharType="separate"/>
        </w:r>
        <w:r w:rsidRPr="00A42E57">
          <w:rPr>
            <w:rFonts w:ascii="Futura Lt BT" w:hAnsi="Futura Lt BT"/>
            <w:color w:val="2E74B5"/>
            <w:sz w:val="20"/>
            <w:szCs w:val="20"/>
          </w:rPr>
          <w:t>25</w:t>
        </w:r>
        <w:r w:rsidRPr="00A42E57">
          <w:rPr>
            <w:rFonts w:ascii="Futura Lt BT" w:hAnsi="Futura Lt BT"/>
            <w:color w:val="2E74B5"/>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EB35" w14:textId="29F5D566" w:rsidR="00091962" w:rsidRDefault="00091962" w:rsidP="006E5F47">
    <w:pPr>
      <w:pStyle w:val="Rodap"/>
      <w:jc w:val="right"/>
      <w:rPr>
        <w:rFonts w:ascii="Courier New" w:hAnsi="Courier New"/>
      </w:rPr>
    </w:pPr>
    <w:r>
      <w:rPr>
        <w:noProof/>
        <w:sz w:val="16"/>
        <w:szCs w:val="16"/>
      </w:rPr>
      <mc:AlternateContent>
        <mc:Choice Requires="wps">
          <w:drawing>
            <wp:anchor distT="0" distB="0" distL="114300" distR="114300" simplePos="0" relativeHeight="251658241" behindDoc="0" locked="0" layoutInCell="0" allowOverlap="1" wp14:anchorId="570866E5" wp14:editId="37412396">
              <wp:simplePos x="0" y="8310166"/>
              <wp:positionH relativeFrom="page">
                <wp:align>left</wp:align>
              </wp:positionH>
              <wp:positionV relativeFrom="page">
                <wp:align>bottom</wp:align>
              </wp:positionV>
              <wp:extent cx="7772400" cy="1557655"/>
              <wp:effectExtent l="0" t="0" r="0" b="4445"/>
              <wp:wrapNone/>
              <wp:docPr id="15" name="Caixa de Texto 15" descr="{&quot;HashCode&quot;:-8481514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557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70866E5" id="_x0000_t202" coordsize="21600,21600" o:spt="202" path="m,l,21600r21600,l21600,xe">
              <v:stroke joinstyle="miter"/>
              <v:path gradientshapeok="t" o:connecttype="rect"/>
            </v:shapetype>
            <v:shape id="Caixa de Texto 15" o:spid="_x0000_s1035" type="#_x0000_t202" alt="{&quot;HashCode&quot;:-848151416,&quot;Height&quot;:9999999.0,&quot;Width&quot;:9999999.0,&quot;Placement&quot;:&quot;Footer&quot;,&quot;Index&quot;:&quot;Primary&quot;,&quot;Section&quot;:1,&quot;Top&quot;:0.0,&quot;Left&quot;:0.0}" style="position:absolute;left:0;text-align:left;margin-left:0;margin-top:0;width:612pt;height:122.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" o:allowincell="f" filled="f" stroked="f" strokeweight=".5pt">
              <v:textbox inset="20pt,0,,0">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v:textbox>
              <w10:wrap anchorx="page" anchory="page"/>
            </v:shape>
          </w:pict>
        </mc:Fallback>
      </mc:AlternateContent>
    </w:r>
    <w:r>
      <w:rPr>
        <w:noProof/>
        <w:sz w:val="16"/>
        <w:szCs w:val="16"/>
      </w:rPr>
      <w:drawing>
        <wp:anchor distT="0" distB="0" distL="114300" distR="114300" simplePos="0" relativeHeight="251658273" behindDoc="1" locked="0" layoutInCell="1" allowOverlap="1" wp14:anchorId="3E563C6D" wp14:editId="58FEFA8C">
          <wp:simplePos x="0" y="0"/>
          <wp:positionH relativeFrom="page">
            <wp:posOffset>-146050</wp:posOffset>
          </wp:positionH>
          <wp:positionV relativeFrom="paragraph">
            <wp:posOffset>36566</wp:posOffset>
          </wp:positionV>
          <wp:extent cx="7559675" cy="160655"/>
          <wp:effectExtent l="0" t="0" r="3175" b="0"/>
          <wp:wrapNone/>
          <wp:docPr id="490" name="Imagem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20CE" w14:textId="7C3A1B04"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56609181"/>
        <w:docPartObj>
          <w:docPartGallery w:val="Page Numbers (Bottom of Page)"/>
          <w:docPartUnique/>
        </w:docPartObj>
      </w:sdtPr>
      <w:sdtContent>
        <w:r w:rsidRPr="00337FC1">
          <w:rPr>
            <w:noProof/>
            <w:color w:val="2E74B5"/>
            <w:sz w:val="20"/>
            <w:szCs w:val="20"/>
          </w:rPr>
          <w:fldChar w:fldCharType="begin"/>
        </w:r>
        <w:r w:rsidRPr="00337FC1">
          <w:rPr>
            <w:noProof/>
            <w:color w:val="2E74B5"/>
            <w:sz w:val="20"/>
            <w:szCs w:val="20"/>
          </w:rPr>
          <w:instrText>PAGE   \* MERGEFORMAT</w:instrText>
        </w:r>
        <w:r w:rsidRPr="00337FC1">
          <w:rPr>
            <w:noProof/>
            <w:color w:val="2E74B5"/>
            <w:sz w:val="20"/>
            <w:szCs w:val="20"/>
          </w:rPr>
          <w:fldChar w:fldCharType="separate"/>
        </w:r>
        <w:r>
          <w:rPr>
            <w:noProof/>
            <w:color w:val="2E74B5"/>
            <w:sz w:val="20"/>
            <w:szCs w:val="20"/>
          </w:rPr>
          <w:t>1</w:t>
        </w:r>
        <w:r w:rsidRPr="00337FC1">
          <w:rPr>
            <w:noProof/>
            <w:color w:val="2E74B5"/>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75FC" w14:textId="77777777" w:rsidR="00A47C19" w:rsidRDefault="00A47C19" w:rsidP="00FA052E">
    <w:pPr>
      <w:pStyle w:val="Rodap"/>
      <w:jc w:val="right"/>
      <w:rPr>
        <w:rFonts w:ascii="Courier New" w:hAnsi="Courier New"/>
      </w:rPr>
    </w:pPr>
    <w:r>
      <w:rPr>
        <w:noProof/>
      </w:rPr>
      <w:drawing>
        <wp:anchor distT="0" distB="0" distL="114300" distR="114300" simplePos="0" relativeHeight="251658297" behindDoc="1" locked="0" layoutInCell="1" allowOverlap="1" wp14:anchorId="78777658" wp14:editId="1A04015C">
          <wp:simplePos x="0" y="0"/>
          <wp:positionH relativeFrom="column">
            <wp:posOffset>-927590</wp:posOffset>
          </wp:positionH>
          <wp:positionV relativeFrom="paragraph">
            <wp:posOffset>280016</wp:posOffset>
          </wp:positionV>
          <wp:extent cx="7577455" cy="364490"/>
          <wp:effectExtent l="0" t="0" r="4445"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167" cy="37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D0ECD" w14:textId="77777777" w:rsidR="00A47C19" w:rsidRDefault="00A47C19" w:rsidP="00936EDB">
    <w:pPr>
      <w:pStyle w:val="Rodap"/>
      <w:jc w:val="right"/>
      <w:rPr>
        <w:rFonts w:ascii="Courier New" w:hAnsi="Courier New"/>
      </w:rPr>
    </w:pPr>
  </w:p>
  <w:p w14:paraId="203DA88A" w14:textId="77777777" w:rsidR="00A47C19" w:rsidRPr="006E5F47" w:rsidRDefault="00A47C19" w:rsidP="00936EDB">
    <w:pPr>
      <w:pStyle w:val="Rodap"/>
      <w:tabs>
        <w:tab w:val="clear" w:pos="4252"/>
        <w:tab w:val="clear" w:pos="8504"/>
        <w:tab w:val="center" w:pos="4820"/>
      </w:tabs>
      <w:jc w:val="right"/>
      <w:rPr>
        <w:noProof/>
        <w:color w:val="2E74B5"/>
        <w:sz w:val="20"/>
        <w:szCs w:val="20"/>
      </w:rPr>
    </w:pPr>
    <w:r>
      <w:rPr>
        <w:noProof/>
        <w:color w:val="2E74B5"/>
        <w:sz w:val="20"/>
        <w:szCs w:val="20"/>
      </w:rPr>
      <w:tab/>
    </w:r>
    <w:r>
      <w:rPr>
        <w:noProof/>
        <w:color w:val="2E74B5"/>
        <w:sz w:val="20"/>
        <w:szCs w:val="20"/>
      </w:rPr>
      <w:tab/>
    </w:r>
    <w:sdt>
      <w:sdtPr>
        <w:rPr>
          <w:noProof/>
          <w:color w:val="2E74B5"/>
          <w:sz w:val="20"/>
          <w:szCs w:val="20"/>
        </w:rPr>
        <w:id w:val="1436095614"/>
        <w:docPartObj>
          <w:docPartGallery w:val="Page Numbers (Bottom of Page)"/>
          <w:docPartUnique/>
        </w:docPartObj>
      </w:sdtPr>
      <w:sdtContent>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25</w:t>
        </w:r>
        <w:r w:rsidRPr="00DD3D66">
          <w:rPr>
            <w:rFonts w:ascii="Futura Lt BT" w:hAnsi="Futura Lt BT"/>
            <w:color w:val="2E74B5"/>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6FAF" w14:textId="77777777" w:rsidR="0041501F" w:rsidRDefault="0041501F" w:rsidP="0041501F">
    <w:pPr>
      <w:pStyle w:val="Rodap"/>
      <w:jc w:val="right"/>
      <w:rPr>
        <w:rFonts w:ascii="Courier New" w:hAnsi="Courier New"/>
      </w:rPr>
    </w:pPr>
    <w:r>
      <w:rPr>
        <w:noProof/>
      </w:rPr>
      <w:drawing>
        <wp:anchor distT="0" distB="0" distL="114300" distR="114300" simplePos="0" relativeHeight="251658299" behindDoc="1" locked="0" layoutInCell="1" allowOverlap="1" wp14:anchorId="476F5C73" wp14:editId="59A1BE68">
          <wp:simplePos x="0" y="0"/>
          <wp:positionH relativeFrom="column">
            <wp:posOffset>-927591</wp:posOffset>
          </wp:positionH>
          <wp:positionV relativeFrom="paragraph">
            <wp:posOffset>107252</wp:posOffset>
          </wp:positionV>
          <wp:extent cx="10737215" cy="365125"/>
          <wp:effectExtent l="0" t="0" r="6985"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1934" cy="370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6C4E1" w14:textId="2A60321D" w:rsidR="00091962" w:rsidRPr="006E5F47" w:rsidRDefault="0041501F" w:rsidP="0041501F">
    <w:pPr>
      <w:pStyle w:val="Rodap"/>
      <w:tabs>
        <w:tab w:val="clear" w:pos="4252"/>
        <w:tab w:val="clear" w:pos="8504"/>
        <w:tab w:val="center" w:pos="4820"/>
      </w:tabs>
      <w:jc w:val="right"/>
      <w:rPr>
        <w:noProof/>
        <w:color w:val="2E74B5"/>
        <w:sz w:val="20"/>
        <w:szCs w:val="20"/>
      </w:rPr>
    </w:pPr>
    <w:r>
      <w:rPr>
        <w:noProof/>
        <w:color w:val="2E74B5"/>
        <w:sz w:val="20"/>
        <w:szCs w:val="20"/>
      </w:rPr>
      <w:tab/>
    </w:r>
    <w:r w:rsidR="00091962" w:rsidRPr="006E5F47">
      <w:rPr>
        <w:noProof/>
        <w:color w:val="2E74B5"/>
        <w:sz w:val="20"/>
        <w:szCs w:val="20"/>
      </w:rPr>
      <w:tab/>
    </w:r>
    <w:r w:rsidR="00091962" w:rsidRPr="0083024D">
      <w:rPr>
        <w:rFonts w:ascii="Futura Lt BT" w:hAnsi="Futura Lt BT"/>
        <w:color w:val="2E74B5"/>
        <w:sz w:val="20"/>
        <w:szCs w:val="20"/>
      </w:rPr>
      <w:fldChar w:fldCharType="begin"/>
    </w:r>
    <w:r w:rsidR="00091962" w:rsidRPr="0083024D">
      <w:rPr>
        <w:rFonts w:ascii="Futura Lt BT" w:hAnsi="Futura Lt BT"/>
        <w:color w:val="2E74B5"/>
        <w:sz w:val="20"/>
        <w:szCs w:val="20"/>
      </w:rPr>
      <w:instrText>PAGE   \* MERGEFORMAT</w:instrText>
    </w:r>
    <w:r w:rsidR="00091962" w:rsidRPr="0083024D">
      <w:rPr>
        <w:rFonts w:ascii="Futura Lt BT" w:hAnsi="Futura Lt BT"/>
        <w:color w:val="2E74B5"/>
        <w:sz w:val="20"/>
        <w:szCs w:val="20"/>
      </w:rPr>
      <w:fldChar w:fldCharType="separate"/>
    </w:r>
    <w:r w:rsidR="00091962" w:rsidRPr="0083024D">
      <w:rPr>
        <w:rFonts w:ascii="Futura Lt BT" w:hAnsi="Futura Lt BT"/>
        <w:color w:val="2E74B5"/>
        <w:sz w:val="20"/>
        <w:szCs w:val="20"/>
      </w:rPr>
      <w:t>31</w:t>
    </w:r>
    <w:r w:rsidR="00091962" w:rsidRPr="0083024D">
      <w:rPr>
        <w:rFonts w:ascii="Futura Lt BT" w:hAnsi="Futura Lt BT"/>
        <w:color w:val="2E74B5"/>
        <w:sz w:val="20"/>
        <w:szCs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B351" w14:textId="202787BD" w:rsidR="00D07531" w:rsidRDefault="0047112C" w:rsidP="0052608D">
    <w:pPr>
      <w:pStyle w:val="Rodap"/>
      <w:jc w:val="right"/>
      <w:rPr>
        <w:rFonts w:ascii="Courier New" w:hAnsi="Courier New"/>
      </w:rPr>
    </w:pPr>
    <w:r>
      <w:rPr>
        <w:noProof/>
      </w:rPr>
      <w:drawing>
        <wp:anchor distT="0" distB="0" distL="114300" distR="114300" simplePos="0" relativeHeight="251658268" behindDoc="1" locked="0" layoutInCell="1" allowOverlap="1" wp14:anchorId="4B10A989" wp14:editId="5944D0A6">
          <wp:simplePos x="0" y="0"/>
          <wp:positionH relativeFrom="column">
            <wp:posOffset>-883920</wp:posOffset>
          </wp:positionH>
          <wp:positionV relativeFrom="paragraph">
            <wp:posOffset>103063</wp:posOffset>
          </wp:positionV>
          <wp:extent cx="7551972" cy="340981"/>
          <wp:effectExtent l="0" t="0" r="0" b="254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972" cy="340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F0CA8" w14:textId="77777777" w:rsidR="00D07531" w:rsidRPr="006E5F47" w:rsidRDefault="00D07531"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23965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77</w:t>
        </w:r>
        <w:r w:rsidRPr="0083024D">
          <w:rPr>
            <w:rFonts w:ascii="Futura Lt BT" w:hAnsi="Futura Lt BT"/>
            <w:color w:val="2E74B5"/>
            <w:sz w:val="20"/>
            <w:szCs w:val="20"/>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5F8B" w14:textId="278F2D89" w:rsidR="00D07531" w:rsidRPr="004E6F7B" w:rsidRDefault="0047112C">
    <w:pPr>
      <w:pStyle w:val="Rodap"/>
      <w:jc w:val="right"/>
      <w:rPr>
        <w:sz w:val="16"/>
      </w:rPr>
    </w:pPr>
    <w:r>
      <w:rPr>
        <w:noProof/>
      </w:rPr>
      <w:drawing>
        <wp:anchor distT="0" distB="0" distL="114300" distR="114300" simplePos="0" relativeHeight="251658269" behindDoc="1" locked="0" layoutInCell="1" allowOverlap="1" wp14:anchorId="40054F04" wp14:editId="26B516B5">
          <wp:simplePos x="0" y="0"/>
          <wp:positionH relativeFrom="page">
            <wp:align>left</wp:align>
          </wp:positionH>
          <wp:positionV relativeFrom="paragraph">
            <wp:posOffset>24765</wp:posOffset>
          </wp:positionV>
          <wp:extent cx="7560000" cy="162000"/>
          <wp:effectExtent l="0" t="0" r="3175" b="9525"/>
          <wp:wrapNone/>
          <wp:docPr id="27" name="Imagem 27"/>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7A1D7B" w14:textId="77777777" w:rsidR="00D07531" w:rsidRDefault="00D07531">
    <w:pPr>
      <w:pStyle w:val="Rodap"/>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29C9C430" w14:textId="77777777" w:rsidR="00D07531" w:rsidRDefault="00D07531">
    <w:pPr>
      <w:pStyle w:val="Rodap"/>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876A" w14:textId="3F2B9CEA" w:rsidR="003B762C" w:rsidRDefault="0047112C" w:rsidP="0052608D">
    <w:pPr>
      <w:pStyle w:val="Rodap"/>
      <w:jc w:val="right"/>
      <w:rPr>
        <w:rFonts w:ascii="Courier New" w:hAnsi="Courier New"/>
      </w:rPr>
    </w:pPr>
    <w:r>
      <w:rPr>
        <w:noProof/>
      </w:rPr>
      <w:drawing>
        <wp:anchor distT="0" distB="0" distL="114300" distR="114300" simplePos="0" relativeHeight="251658301" behindDoc="1" locked="0" layoutInCell="1" allowOverlap="1" wp14:anchorId="7A131FE5" wp14:editId="4ABB9571">
          <wp:simplePos x="0" y="0"/>
          <wp:positionH relativeFrom="column">
            <wp:posOffset>-884526</wp:posOffset>
          </wp:positionH>
          <wp:positionV relativeFrom="paragraph">
            <wp:posOffset>103395</wp:posOffset>
          </wp:positionV>
          <wp:extent cx="10734260" cy="340347"/>
          <wp:effectExtent l="0" t="0" r="0" b="317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4443" cy="347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AD0B6" w14:textId="77777777" w:rsidR="003B762C" w:rsidRPr="006E5F47" w:rsidRDefault="003B762C"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61192922"/>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77</w:t>
        </w:r>
        <w:r w:rsidRPr="0083024D">
          <w:rPr>
            <w:rFonts w:ascii="Futura Lt BT" w:hAnsi="Futura Lt BT"/>
            <w:color w:val="2E74B5"/>
            <w:sz w:val="20"/>
            <w:szCs w:val="20"/>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101688"/>
      <w:docPartObj>
        <w:docPartGallery w:val="Page Numbers (Bottom of Page)"/>
        <w:docPartUnique/>
      </w:docPartObj>
    </w:sdtPr>
    <w:sdtEndPr>
      <w:rPr>
        <w:rFonts w:ascii="Futura Lt BT" w:hAnsi="Futura Lt BT"/>
        <w:color w:val="2E74B5"/>
        <w:sz w:val="20"/>
        <w:szCs w:val="20"/>
      </w:rPr>
    </w:sdtEndPr>
    <w:sdtContent>
      <w:p w14:paraId="5254B9CA" w14:textId="77777777" w:rsidR="00822D8E" w:rsidRDefault="002A04C4" w:rsidP="00CF5FB2">
        <w:pPr>
          <w:pStyle w:val="Rodap"/>
          <w:jc w:val="right"/>
          <w:rPr>
            <w:rFonts w:ascii="Courier New" w:hAnsi="Courier New"/>
          </w:rPr>
        </w:pPr>
        <w:r>
          <w:rPr>
            <w:noProof/>
          </w:rPr>
          <w:drawing>
            <wp:anchor distT="0" distB="0" distL="114300" distR="114300" simplePos="0" relativeHeight="251658303" behindDoc="1" locked="0" layoutInCell="1" allowOverlap="1" wp14:anchorId="5C9B958E" wp14:editId="57C55322">
              <wp:simplePos x="0" y="0"/>
              <wp:positionH relativeFrom="column">
                <wp:posOffset>-756303</wp:posOffset>
              </wp:positionH>
              <wp:positionV relativeFrom="paragraph">
                <wp:posOffset>107296</wp:posOffset>
              </wp:positionV>
              <wp:extent cx="7622540" cy="374638"/>
              <wp:effectExtent l="0" t="0" r="0" b="6985"/>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513" cy="3822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84FE1" w14:textId="77777777" w:rsidR="00DD7B20" w:rsidRPr="0083024D" w:rsidRDefault="00822D8E" w:rsidP="00CF5FB2">
        <w:pPr>
          <w:pStyle w:val="Rodap"/>
          <w:tabs>
            <w:tab w:val="clear" w:pos="4252"/>
            <w:tab w:val="clear" w:pos="8504"/>
            <w:tab w:val="center" w:pos="4820"/>
            <w:tab w:val="right" w:pos="9639"/>
          </w:tabs>
          <w:rPr>
            <w:rFonts w:ascii="Futura Lt BT" w:hAnsi="Futura Lt BT"/>
            <w:color w:val="2E74B5"/>
            <w:sz w:val="20"/>
            <w:szCs w:val="20"/>
          </w:rPr>
        </w:pPr>
        <w:r>
          <w:rPr>
            <w:noProof/>
            <w:color w:val="2E74B5"/>
            <w:sz w:val="20"/>
            <w:szCs w:val="20"/>
          </w:rPr>
          <w:tab/>
        </w: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46</w:t>
        </w:r>
        <w:r w:rsidRPr="0083024D">
          <w:rPr>
            <w:rFonts w:ascii="Futura Lt BT" w:hAnsi="Futura Lt BT"/>
            <w:color w:val="2E74B5"/>
            <w:sz w:val="20"/>
            <w:szCs w:val="20"/>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912010"/>
      <w:docPartObj>
        <w:docPartGallery w:val="Page Numbers (Bottom of Page)"/>
        <w:docPartUnique/>
      </w:docPartObj>
    </w:sdtPr>
    <w:sdtEndPr>
      <w:rPr>
        <w:rFonts w:ascii="Futura Lt BT" w:hAnsi="Futura Lt BT"/>
        <w:color w:val="2E74B5"/>
        <w:sz w:val="20"/>
        <w:szCs w:val="20"/>
      </w:rPr>
    </w:sdtEndPr>
    <w:sdtContent>
      <w:p w14:paraId="75C8D106" w14:textId="77777777" w:rsidR="009609B9" w:rsidRDefault="003834D8" w:rsidP="00EF4E1C">
        <w:pPr>
          <w:pStyle w:val="Rodap"/>
          <w:jc w:val="right"/>
          <w:rPr>
            <w:rFonts w:ascii="Courier New" w:hAnsi="Courier New"/>
          </w:rPr>
        </w:pPr>
        <w:r>
          <w:rPr>
            <w:noProof/>
          </w:rPr>
          <w:drawing>
            <wp:anchor distT="0" distB="0" distL="114300" distR="114300" simplePos="0" relativeHeight="251658304" behindDoc="1" locked="0" layoutInCell="1" allowOverlap="1" wp14:anchorId="25CB58BD" wp14:editId="051809FA">
              <wp:simplePos x="0" y="0"/>
              <wp:positionH relativeFrom="column">
                <wp:posOffset>-920995</wp:posOffset>
              </wp:positionH>
              <wp:positionV relativeFrom="paragraph">
                <wp:posOffset>107252</wp:posOffset>
              </wp:positionV>
              <wp:extent cx="11170920" cy="365125"/>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3416" cy="3678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8305" behindDoc="1" locked="0" layoutInCell="1" allowOverlap="1" wp14:anchorId="064381F5" wp14:editId="66DD4814">
              <wp:simplePos x="0" y="0"/>
              <wp:positionH relativeFrom="page">
                <wp:posOffset>-146050</wp:posOffset>
              </wp:positionH>
              <wp:positionV relativeFrom="paragraph">
                <wp:posOffset>36566</wp:posOffset>
              </wp:positionV>
              <wp:extent cx="10440000" cy="288000"/>
              <wp:effectExtent l="0" t="0" r="0" b="0"/>
              <wp:wrapNone/>
              <wp:docPr id="35" name="Image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2">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6" behindDoc="1" locked="0" layoutInCell="1" allowOverlap="1" wp14:anchorId="52230A52" wp14:editId="254FCA93">
              <wp:simplePos x="0" y="0"/>
              <wp:positionH relativeFrom="column">
                <wp:posOffset>-927591</wp:posOffset>
              </wp:positionH>
              <wp:positionV relativeFrom="paragraph">
                <wp:posOffset>107252</wp:posOffset>
              </wp:positionV>
              <wp:extent cx="10754995" cy="365125"/>
              <wp:effectExtent l="0" t="0" r="8255"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7123" cy="37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7B8B5" w14:textId="77777777" w:rsidR="009609B9" w:rsidRPr="0083024D" w:rsidRDefault="009609B9" w:rsidP="0068472F">
        <w:pPr>
          <w:pStyle w:val="Rodap"/>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52</w:t>
        </w:r>
        <w:r w:rsidRPr="0083024D">
          <w:rPr>
            <w:rFonts w:ascii="Futura Lt BT" w:hAnsi="Futura Lt BT"/>
            <w:color w:val="2E74B5"/>
            <w:sz w:val="20"/>
            <w:szCs w:val="20"/>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7A19" w14:textId="77777777" w:rsidR="002E3049" w:rsidRDefault="002E3049" w:rsidP="006E5F47">
    <w:pPr>
      <w:pStyle w:val="Rodap"/>
      <w:jc w:val="right"/>
      <w:rPr>
        <w:noProof/>
      </w:rPr>
    </w:pPr>
  </w:p>
  <w:p w14:paraId="1CB78E20" w14:textId="7612FBF2" w:rsidR="00091962" w:rsidRDefault="002E3049" w:rsidP="006E5F47">
    <w:pPr>
      <w:pStyle w:val="Rodap"/>
      <w:jc w:val="right"/>
      <w:rPr>
        <w:rFonts w:ascii="Courier New" w:hAnsi="Courier New"/>
      </w:rPr>
    </w:pPr>
    <w:r>
      <w:rPr>
        <w:noProof/>
      </w:rPr>
      <w:drawing>
        <wp:anchor distT="0" distB="0" distL="114300" distR="114300" simplePos="0" relativeHeight="251658308" behindDoc="1" locked="0" layoutInCell="1" allowOverlap="1" wp14:anchorId="543E3A91" wp14:editId="7259A2EA">
          <wp:simplePos x="0" y="0"/>
          <wp:positionH relativeFrom="column">
            <wp:posOffset>-924284</wp:posOffset>
          </wp:positionH>
          <wp:positionV relativeFrom="paragraph">
            <wp:posOffset>103118</wp:posOffset>
          </wp:positionV>
          <wp:extent cx="7577455" cy="339725"/>
          <wp:effectExtent l="0" t="0" r="4445" b="3175"/>
          <wp:wrapNone/>
          <wp:docPr id="608" name="Imagem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41F24" w14:textId="77777777"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4954208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77</w:t>
        </w:r>
        <w:r w:rsidRPr="0083024D">
          <w:rPr>
            <w:rFonts w:ascii="Futura Lt BT" w:hAnsi="Futura Lt BT"/>
            <w:color w:val="2E74B5"/>
            <w:sz w:val="20"/>
            <w:szCs w:val="20"/>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BA60" w14:textId="77777777" w:rsidR="00091962" w:rsidRPr="004E6F7B" w:rsidRDefault="00091962">
    <w:pPr>
      <w:pStyle w:val="Rodap"/>
      <w:jc w:val="right"/>
      <w:rPr>
        <w:sz w:val="16"/>
      </w:rPr>
    </w:pPr>
    <w:r>
      <w:rPr>
        <w:noProof/>
      </w:rPr>
      <w:drawing>
        <wp:anchor distT="0" distB="0" distL="114300" distR="114300" simplePos="0" relativeHeight="251658309" behindDoc="1" locked="0" layoutInCell="1" allowOverlap="1" wp14:anchorId="6ACB0DB7" wp14:editId="2BA36B9D">
          <wp:simplePos x="0" y="0"/>
          <wp:positionH relativeFrom="page">
            <wp:align>left</wp:align>
          </wp:positionH>
          <wp:positionV relativeFrom="paragraph">
            <wp:posOffset>24765</wp:posOffset>
          </wp:positionV>
          <wp:extent cx="7560000" cy="162000"/>
          <wp:effectExtent l="0" t="0" r="3175" b="9525"/>
          <wp:wrapNone/>
          <wp:docPr id="609" name="Imagem 609"/>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59B89" w14:textId="77777777" w:rsidR="00091962" w:rsidRDefault="00091962">
    <w:pPr>
      <w:pStyle w:val="Rodap"/>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350CCC7C" w14:textId="77777777" w:rsidR="00091962" w:rsidRDefault="00091962">
    <w:pPr>
      <w:pStyle w:val="Rodap"/>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168419"/>
      <w:docPartObj>
        <w:docPartGallery w:val="Page Numbers (Bottom of Page)"/>
        <w:docPartUnique/>
      </w:docPartObj>
    </w:sdtPr>
    <w:sdtEndPr>
      <w:rPr>
        <w:rFonts w:ascii="Futura Lt BT" w:hAnsi="Futura Lt BT"/>
        <w:color w:val="2E74B5"/>
        <w:sz w:val="20"/>
        <w:szCs w:val="20"/>
      </w:rPr>
    </w:sdtEndPr>
    <w:sdtContent>
      <w:p w14:paraId="227C65A6" w14:textId="2DD80241" w:rsidR="00091962" w:rsidRDefault="002E3049">
        <w:pPr>
          <w:pStyle w:val="Rodap"/>
          <w:jc w:val="right"/>
          <w:rPr>
            <w:rFonts w:ascii="Courier New" w:hAnsi="Courier New"/>
          </w:rPr>
        </w:pPr>
        <w:r>
          <w:rPr>
            <w:noProof/>
          </w:rPr>
          <w:drawing>
            <wp:anchor distT="0" distB="0" distL="114300" distR="114300" simplePos="0" relativeHeight="251658311" behindDoc="1" locked="0" layoutInCell="1" allowOverlap="1" wp14:anchorId="5515DEAF" wp14:editId="15B19C4D">
              <wp:simplePos x="0" y="0"/>
              <wp:positionH relativeFrom="column">
                <wp:posOffset>-894767</wp:posOffset>
              </wp:positionH>
              <wp:positionV relativeFrom="paragraph">
                <wp:posOffset>125178</wp:posOffset>
              </wp:positionV>
              <wp:extent cx="10723542" cy="350874"/>
              <wp:effectExtent l="0" t="0" r="0" b="0"/>
              <wp:wrapNone/>
              <wp:docPr id="611" name="Imagem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3542" cy="350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64C7" w14:textId="77777777" w:rsidR="00091962" w:rsidRPr="0083024D" w:rsidRDefault="00091962" w:rsidP="002E3049">
        <w:pPr>
          <w:pStyle w:val="Rodap"/>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81</w:t>
        </w:r>
        <w:r w:rsidRPr="0083024D">
          <w:rPr>
            <w:rFonts w:ascii="Futura Lt BT" w:hAnsi="Futura Lt BT"/>
            <w:color w:val="2E74B5"/>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2076" w14:textId="321A9B37" w:rsidR="000665CC" w:rsidRDefault="000665CC">
    <w:pPr>
      <w:pStyle w:val="Rodap"/>
    </w:pPr>
  </w:p>
  <w:p w14:paraId="0FB06B9C" w14:textId="7E1CE668" w:rsidR="006E1BAB" w:rsidRDefault="006E1BAB">
    <w:pPr>
      <w:pStyle w:val="Rodap"/>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9126" w14:textId="77777777" w:rsidR="00091962" w:rsidRDefault="00824E99" w:rsidP="006E5F47">
    <w:pPr>
      <w:pStyle w:val="Rodap"/>
      <w:jc w:val="right"/>
      <w:rPr>
        <w:rFonts w:ascii="Courier New" w:hAnsi="Courier New"/>
      </w:rPr>
    </w:pPr>
    <w:r>
      <w:rPr>
        <w:noProof/>
      </w:rPr>
      <w:drawing>
        <wp:anchor distT="0" distB="0" distL="114300" distR="114300" simplePos="0" relativeHeight="251658254" behindDoc="1" locked="0" layoutInCell="1" allowOverlap="1" wp14:anchorId="01FA210C" wp14:editId="73D26C59">
          <wp:simplePos x="0" y="0"/>
          <wp:positionH relativeFrom="column">
            <wp:posOffset>-919716</wp:posOffset>
          </wp:positionH>
          <wp:positionV relativeFrom="paragraph">
            <wp:posOffset>91288</wp:posOffset>
          </wp:positionV>
          <wp:extent cx="7793665" cy="349418"/>
          <wp:effectExtent l="0" t="0" r="0" b="0"/>
          <wp:wrapNone/>
          <wp:docPr id="495" name="Imagem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0376" cy="358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7F700" w14:textId="77777777"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534165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85</w:t>
        </w:r>
        <w:r w:rsidRPr="0083024D">
          <w:rPr>
            <w:rFonts w:ascii="Futura Lt BT" w:hAnsi="Futura Lt BT"/>
            <w:color w:val="2E74B5"/>
            <w:sz w:val="20"/>
            <w:szCs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3077" w14:textId="77777777" w:rsidR="00091962" w:rsidRDefault="00DF765F" w:rsidP="000D7FB6">
    <w:pPr>
      <w:pStyle w:val="Rodap"/>
      <w:jc w:val="right"/>
      <w:rPr>
        <w:rFonts w:ascii="Courier New" w:hAnsi="Courier New"/>
      </w:rPr>
    </w:pPr>
    <w:r>
      <w:rPr>
        <w:noProof/>
      </w:rPr>
      <w:drawing>
        <wp:anchor distT="0" distB="0" distL="114300" distR="114300" simplePos="0" relativeHeight="251658256" behindDoc="1" locked="0" layoutInCell="1" allowOverlap="1" wp14:anchorId="0EE716FB" wp14:editId="2977E492">
          <wp:simplePos x="0" y="0"/>
          <wp:positionH relativeFrom="column">
            <wp:posOffset>-919716</wp:posOffset>
          </wp:positionH>
          <wp:positionV relativeFrom="paragraph">
            <wp:posOffset>91288</wp:posOffset>
          </wp:positionV>
          <wp:extent cx="7793665" cy="349418"/>
          <wp:effectExtent l="0" t="0" r="0" b="0"/>
          <wp:wrapNone/>
          <wp:docPr id="497" name="Imagem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0376" cy="358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F87E5" w14:textId="5B80D961" w:rsidR="00091962" w:rsidRPr="00337FC1" w:rsidRDefault="00091962"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689899114"/>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E0B2" w14:textId="0C63FC35" w:rsidR="00C70E47" w:rsidRDefault="00C70E47" w:rsidP="006E5F47">
    <w:pPr>
      <w:pStyle w:val="Rodap"/>
      <w:jc w:val="right"/>
      <w:rPr>
        <w:rFonts w:ascii="Courier New" w:hAnsi="Courier New"/>
      </w:rPr>
    </w:pPr>
  </w:p>
  <w:p w14:paraId="25EAFEDB" w14:textId="77777777" w:rsidR="00C70E47" w:rsidRPr="006E5F47" w:rsidRDefault="00C70E47"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702856359"/>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85</w:t>
        </w:r>
        <w:r w:rsidRPr="0083024D">
          <w:rPr>
            <w:rFonts w:ascii="Futura Lt BT" w:hAnsi="Futura Lt BT"/>
            <w:color w:val="2E74B5"/>
            <w:sz w:val="20"/>
            <w:szCs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226F" w14:textId="51A88DF1" w:rsidR="00133736" w:rsidRDefault="00133736" w:rsidP="000D7FB6">
    <w:pPr>
      <w:pStyle w:val="Rodap"/>
      <w:jc w:val="right"/>
      <w:rPr>
        <w:rFonts w:ascii="Courier New" w:hAnsi="Courier New"/>
      </w:rPr>
    </w:pPr>
  </w:p>
  <w:p w14:paraId="2F74EF1E" w14:textId="0067023E" w:rsidR="00133736" w:rsidRPr="00337FC1" w:rsidRDefault="00133736"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98666864"/>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6638B" w14:textId="77777777" w:rsidR="00A15BDC" w:rsidRDefault="00A15BDC" w:rsidP="006E5F47">
    <w:pPr>
      <w:pStyle w:val="Rodap"/>
      <w:jc w:val="right"/>
      <w:rPr>
        <w:rFonts w:ascii="Courier New" w:hAnsi="Courier New"/>
      </w:rPr>
    </w:pPr>
  </w:p>
  <w:tbl>
    <w:tblPr>
      <w:tblW w:w="8126" w:type="dxa"/>
      <w:tblInd w:w="270" w:type="dxa"/>
      <w:tblCellMar>
        <w:left w:w="170" w:type="dxa"/>
      </w:tblCellMar>
      <w:tblLook w:val="04A0" w:firstRow="1" w:lastRow="0" w:firstColumn="1" w:lastColumn="0" w:noHBand="0" w:noVBand="1"/>
    </w:tblPr>
    <w:tblGrid>
      <w:gridCol w:w="4066"/>
      <w:gridCol w:w="4060"/>
    </w:tblGrid>
    <w:tr w:rsidR="001A3EEA" w:rsidRPr="0008270D" w14:paraId="5CA022EB" w14:textId="77777777" w:rsidTr="001A3EEA">
      <w:tc>
        <w:tcPr>
          <w:tcW w:w="4066" w:type="dxa"/>
          <w:shd w:val="clear" w:color="auto" w:fill="auto"/>
          <w:vAlign w:val="bottom"/>
        </w:tcPr>
        <w:p w14:paraId="0D7E1E57" w14:textId="77777777" w:rsidR="001A3EEA" w:rsidRPr="00B60CB7" w:rsidRDefault="001A3EEA" w:rsidP="001A3EEA">
          <w:pPr>
            <w:pStyle w:val="Rodap"/>
            <w:ind w:left="-152"/>
            <w:rPr>
              <w:rFonts w:ascii="Arial" w:hAnsi="Arial" w:cs="Arial"/>
              <w:color w:val="939598"/>
              <w:sz w:val="11"/>
              <w:szCs w:val="12"/>
            </w:rPr>
          </w:pPr>
          <w:r w:rsidRPr="00B60CB7">
            <w:rPr>
              <w:rFonts w:ascii="Arial" w:hAnsi="Arial" w:cs="Arial"/>
              <w:color w:val="939598"/>
              <w:sz w:val="11"/>
              <w:szCs w:val="12"/>
            </w:rPr>
            <w:t>KPMG Auditores Independentes</w:t>
          </w:r>
          <w:r>
            <w:rPr>
              <w:rFonts w:ascii="Arial" w:hAnsi="Arial" w:cs="Arial"/>
              <w:color w:val="939598"/>
              <w:sz w:val="11"/>
              <w:szCs w:val="12"/>
            </w:rPr>
            <w:t xml:space="preserve"> </w:t>
          </w:r>
          <w:r w:rsidRPr="00B60CB7">
            <w:rPr>
              <w:rFonts w:ascii="Arial" w:hAnsi="Arial" w:cs="Arial"/>
              <w:color w:val="939598"/>
              <w:sz w:val="11"/>
              <w:szCs w:val="12"/>
            </w:rPr>
            <w:t xml:space="preserve">Ltda., uma sociedade simples brasileira, de responsabilidade limitada e firma-membro da organização global KPMG de firmas-membro independentes licenciadas da KPMG </w:t>
          </w:r>
          <w:proofErr w:type="spellStart"/>
          <w:r w:rsidRPr="00B60CB7">
            <w:rPr>
              <w:rFonts w:ascii="Arial" w:hAnsi="Arial" w:cs="Arial"/>
              <w:color w:val="939598"/>
              <w:sz w:val="11"/>
              <w:szCs w:val="12"/>
            </w:rPr>
            <w:t>International</w:t>
          </w:r>
          <w:proofErr w:type="spellEnd"/>
          <w:r w:rsidRPr="00B60CB7">
            <w:rPr>
              <w:rFonts w:ascii="Arial" w:hAnsi="Arial" w:cs="Arial"/>
              <w:color w:val="939598"/>
              <w:sz w:val="11"/>
              <w:szCs w:val="12"/>
            </w:rPr>
            <w:t xml:space="preserve"> </w:t>
          </w:r>
          <w:proofErr w:type="spellStart"/>
          <w:r w:rsidRPr="00B60CB7">
            <w:rPr>
              <w:rFonts w:ascii="Arial" w:hAnsi="Arial" w:cs="Arial"/>
              <w:color w:val="939598"/>
              <w:sz w:val="11"/>
              <w:szCs w:val="12"/>
            </w:rPr>
            <w:t>Limited</w:t>
          </w:r>
          <w:proofErr w:type="spellEnd"/>
          <w:r w:rsidRPr="00B60CB7">
            <w:rPr>
              <w:rFonts w:ascii="Arial" w:hAnsi="Arial" w:cs="Arial"/>
              <w:color w:val="939598"/>
              <w:sz w:val="11"/>
              <w:szCs w:val="12"/>
            </w:rPr>
            <w:t>, uma empresa inglesa privada de responsabilidade limitada.</w:t>
          </w:r>
        </w:p>
      </w:tc>
      <w:tc>
        <w:tcPr>
          <w:tcW w:w="4060" w:type="dxa"/>
          <w:shd w:val="clear" w:color="auto" w:fill="auto"/>
        </w:tcPr>
        <w:p w14:paraId="3A5EA9AD" w14:textId="77777777" w:rsidR="001A3EEA" w:rsidRPr="00E62E31" w:rsidRDefault="001A3EEA" w:rsidP="001A3EEA">
          <w:pPr>
            <w:pStyle w:val="Rodap"/>
            <w:rPr>
              <w:rFonts w:ascii="Arial" w:hAnsi="Arial" w:cs="Arial"/>
              <w:i/>
              <w:color w:val="939598"/>
              <w:sz w:val="11"/>
              <w:szCs w:val="12"/>
              <w:lang w:val="en-US"/>
            </w:rPr>
          </w:pPr>
          <w:r w:rsidRPr="00E62E31">
            <w:rPr>
              <w:rFonts w:ascii="Arial" w:hAnsi="Arial" w:cs="Arial"/>
              <w:i/>
              <w:color w:val="939598"/>
              <w:sz w:val="11"/>
              <w:szCs w:val="12"/>
              <w:lang w:val="en-US"/>
            </w:rPr>
            <w:t xml:space="preserve">KPMG Auditores </w:t>
          </w:r>
          <w:proofErr w:type="spellStart"/>
          <w:r w:rsidRPr="00E62E31">
            <w:rPr>
              <w:rFonts w:ascii="Arial" w:hAnsi="Arial" w:cs="Arial"/>
              <w:i/>
              <w:color w:val="939598"/>
              <w:sz w:val="11"/>
              <w:szCs w:val="12"/>
              <w:lang w:val="en-US"/>
            </w:rPr>
            <w:t>Independentes</w:t>
          </w:r>
          <w:proofErr w:type="spellEnd"/>
          <w:r w:rsidRPr="00E62E31">
            <w:rPr>
              <w:lang w:val="en-US"/>
            </w:rPr>
            <w:t xml:space="preserve"> </w:t>
          </w:r>
          <w:r w:rsidRPr="00E62E31">
            <w:rPr>
              <w:rFonts w:ascii="Arial" w:hAnsi="Arial" w:cs="Arial"/>
              <w:i/>
              <w:color w:val="939598"/>
              <w:sz w:val="11"/>
              <w:szCs w:val="12"/>
              <w:lang w:val="en-US"/>
            </w:rPr>
            <w:t>Ltda., a Brazilian limited liability company and a member firm of the KPMG global organization of independent member firms affiliated with KPMG International Limited, a private English company limited by guarantee.</w:t>
          </w:r>
        </w:p>
      </w:tc>
    </w:tr>
  </w:tbl>
  <w:p w14:paraId="18756F77" w14:textId="77777777" w:rsidR="00A15BDC" w:rsidRPr="006E5F47" w:rsidRDefault="00A15BDC"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793283191"/>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85</w:t>
        </w:r>
        <w:r w:rsidRPr="0083024D">
          <w:rPr>
            <w:rFonts w:ascii="Futura Lt BT" w:hAnsi="Futura Lt BT"/>
            <w:color w:val="2E74B5"/>
            <w:sz w:val="20"/>
            <w:szCs w:val="20"/>
          </w:rP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126" w:type="dxa"/>
      <w:tblInd w:w="270" w:type="dxa"/>
      <w:tblCellMar>
        <w:left w:w="170" w:type="dxa"/>
      </w:tblCellMar>
      <w:tblLook w:val="04A0" w:firstRow="1" w:lastRow="0" w:firstColumn="1" w:lastColumn="0" w:noHBand="0" w:noVBand="1"/>
    </w:tblPr>
    <w:tblGrid>
      <w:gridCol w:w="4066"/>
      <w:gridCol w:w="4060"/>
    </w:tblGrid>
    <w:tr w:rsidR="001A3EEA" w:rsidRPr="0008270D" w14:paraId="200177CB" w14:textId="77777777" w:rsidTr="001A3EEA">
      <w:tc>
        <w:tcPr>
          <w:tcW w:w="4066" w:type="dxa"/>
          <w:shd w:val="clear" w:color="auto" w:fill="auto"/>
          <w:vAlign w:val="bottom"/>
        </w:tcPr>
        <w:p w14:paraId="5062623F" w14:textId="77777777" w:rsidR="001A3EEA" w:rsidRPr="00B60CB7" w:rsidRDefault="001A3EEA" w:rsidP="001A3EEA">
          <w:pPr>
            <w:pStyle w:val="Rodap"/>
            <w:ind w:left="-152"/>
            <w:rPr>
              <w:rFonts w:ascii="Arial" w:hAnsi="Arial" w:cs="Arial"/>
              <w:color w:val="939598"/>
              <w:sz w:val="11"/>
              <w:szCs w:val="12"/>
            </w:rPr>
          </w:pPr>
          <w:r w:rsidRPr="00B60CB7">
            <w:rPr>
              <w:rFonts w:ascii="Arial" w:hAnsi="Arial" w:cs="Arial"/>
              <w:color w:val="939598"/>
              <w:sz w:val="11"/>
              <w:szCs w:val="12"/>
            </w:rPr>
            <w:t>KPMG Auditores Independentes</w:t>
          </w:r>
          <w:r>
            <w:rPr>
              <w:rFonts w:ascii="Arial" w:hAnsi="Arial" w:cs="Arial"/>
              <w:color w:val="939598"/>
              <w:sz w:val="11"/>
              <w:szCs w:val="12"/>
            </w:rPr>
            <w:t xml:space="preserve"> </w:t>
          </w:r>
          <w:r w:rsidRPr="00B60CB7">
            <w:rPr>
              <w:rFonts w:ascii="Arial" w:hAnsi="Arial" w:cs="Arial"/>
              <w:color w:val="939598"/>
              <w:sz w:val="11"/>
              <w:szCs w:val="12"/>
            </w:rPr>
            <w:t xml:space="preserve">Ltda., uma sociedade simples brasileira, de responsabilidade limitada e firma-membro da organização global KPMG de firmas-membro independentes licenciadas da KPMG </w:t>
          </w:r>
          <w:proofErr w:type="spellStart"/>
          <w:r w:rsidRPr="00B60CB7">
            <w:rPr>
              <w:rFonts w:ascii="Arial" w:hAnsi="Arial" w:cs="Arial"/>
              <w:color w:val="939598"/>
              <w:sz w:val="11"/>
              <w:szCs w:val="12"/>
            </w:rPr>
            <w:t>International</w:t>
          </w:r>
          <w:proofErr w:type="spellEnd"/>
          <w:r w:rsidRPr="00B60CB7">
            <w:rPr>
              <w:rFonts w:ascii="Arial" w:hAnsi="Arial" w:cs="Arial"/>
              <w:color w:val="939598"/>
              <w:sz w:val="11"/>
              <w:szCs w:val="12"/>
            </w:rPr>
            <w:t xml:space="preserve"> </w:t>
          </w:r>
          <w:proofErr w:type="spellStart"/>
          <w:r w:rsidRPr="00B60CB7">
            <w:rPr>
              <w:rFonts w:ascii="Arial" w:hAnsi="Arial" w:cs="Arial"/>
              <w:color w:val="939598"/>
              <w:sz w:val="11"/>
              <w:szCs w:val="12"/>
            </w:rPr>
            <w:t>Limited</w:t>
          </w:r>
          <w:proofErr w:type="spellEnd"/>
          <w:r w:rsidRPr="00B60CB7">
            <w:rPr>
              <w:rFonts w:ascii="Arial" w:hAnsi="Arial" w:cs="Arial"/>
              <w:color w:val="939598"/>
              <w:sz w:val="11"/>
              <w:szCs w:val="12"/>
            </w:rPr>
            <w:t>, uma empresa inglesa privada de responsabilidade limitada.</w:t>
          </w:r>
        </w:p>
      </w:tc>
      <w:tc>
        <w:tcPr>
          <w:tcW w:w="4060" w:type="dxa"/>
          <w:shd w:val="clear" w:color="auto" w:fill="auto"/>
        </w:tcPr>
        <w:p w14:paraId="695FEC84" w14:textId="77777777" w:rsidR="001A3EEA" w:rsidRPr="00E62E31" w:rsidRDefault="001A3EEA" w:rsidP="001A3EEA">
          <w:pPr>
            <w:pStyle w:val="Rodap"/>
            <w:rPr>
              <w:rFonts w:ascii="Arial" w:hAnsi="Arial" w:cs="Arial"/>
              <w:i/>
              <w:color w:val="939598"/>
              <w:sz w:val="11"/>
              <w:szCs w:val="12"/>
              <w:lang w:val="en-US"/>
            </w:rPr>
          </w:pPr>
          <w:r w:rsidRPr="00E62E31">
            <w:rPr>
              <w:rFonts w:ascii="Arial" w:hAnsi="Arial" w:cs="Arial"/>
              <w:i/>
              <w:color w:val="939598"/>
              <w:sz w:val="11"/>
              <w:szCs w:val="12"/>
              <w:lang w:val="en-US"/>
            </w:rPr>
            <w:t xml:space="preserve">KPMG Auditores </w:t>
          </w:r>
          <w:proofErr w:type="spellStart"/>
          <w:r w:rsidRPr="00E62E31">
            <w:rPr>
              <w:rFonts w:ascii="Arial" w:hAnsi="Arial" w:cs="Arial"/>
              <w:i/>
              <w:color w:val="939598"/>
              <w:sz w:val="11"/>
              <w:szCs w:val="12"/>
              <w:lang w:val="en-US"/>
            </w:rPr>
            <w:t>Independentes</w:t>
          </w:r>
          <w:proofErr w:type="spellEnd"/>
          <w:r w:rsidRPr="00E62E31">
            <w:rPr>
              <w:lang w:val="en-US"/>
            </w:rPr>
            <w:t xml:space="preserve"> </w:t>
          </w:r>
          <w:r w:rsidRPr="00E62E31">
            <w:rPr>
              <w:rFonts w:ascii="Arial" w:hAnsi="Arial" w:cs="Arial"/>
              <w:i/>
              <w:color w:val="939598"/>
              <w:sz w:val="11"/>
              <w:szCs w:val="12"/>
              <w:lang w:val="en-US"/>
            </w:rPr>
            <w:t>Ltda., a Brazilian limited liability company and a member firm of the KPMG global organization of independent member firms affiliated with KPMG International Limited, a private English company limited by guarantee.</w:t>
          </w:r>
        </w:p>
      </w:tc>
    </w:tr>
  </w:tbl>
  <w:p w14:paraId="3AE06E24" w14:textId="77777777" w:rsidR="00BE075E" w:rsidRDefault="00BE075E" w:rsidP="000D7FB6">
    <w:pPr>
      <w:pStyle w:val="Rodap"/>
      <w:jc w:val="right"/>
      <w:rPr>
        <w:rFonts w:ascii="Courier New" w:hAnsi="Courier New"/>
      </w:rPr>
    </w:pPr>
  </w:p>
  <w:p w14:paraId="4EEE1DD7" w14:textId="77777777" w:rsidR="00BE075E" w:rsidRPr="00337FC1" w:rsidRDefault="00BE075E"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084216532"/>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34A9" w14:textId="23F9634B" w:rsidR="006B73A0" w:rsidRDefault="006B73A0" w:rsidP="006B73A0">
    <w:pPr>
      <w:pStyle w:val="Rodap"/>
      <w:jc w:val="right"/>
      <w:rPr>
        <w:rFonts w:ascii="Courier New" w:hAnsi="Courier New"/>
      </w:rPr>
    </w:pPr>
    <w:r>
      <w:rPr>
        <w:noProof/>
      </w:rPr>
      <w:drawing>
        <wp:anchor distT="0" distB="0" distL="114300" distR="114300" simplePos="0" relativeHeight="251658320" behindDoc="1" locked="0" layoutInCell="1" allowOverlap="1" wp14:anchorId="3B0C1641" wp14:editId="59BE93CD">
          <wp:simplePos x="0" y="0"/>
          <wp:positionH relativeFrom="column">
            <wp:posOffset>-924284</wp:posOffset>
          </wp:positionH>
          <wp:positionV relativeFrom="paragraph">
            <wp:posOffset>103118</wp:posOffset>
          </wp:positionV>
          <wp:extent cx="7577455" cy="339725"/>
          <wp:effectExtent l="0" t="0" r="4445" b="3175"/>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D2E97" w14:textId="75276638"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852994273"/>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E575" w14:textId="77777777" w:rsidR="005822FF" w:rsidRDefault="005822FF" w:rsidP="006B73A0">
    <w:pPr>
      <w:pStyle w:val="Rodap"/>
      <w:jc w:val="right"/>
      <w:rPr>
        <w:rFonts w:ascii="Courier New" w:hAnsi="Courier New"/>
      </w:rPr>
    </w:pPr>
    <w:r>
      <w:rPr>
        <w:noProof/>
      </w:rPr>
      <w:drawing>
        <wp:anchor distT="0" distB="0" distL="114300" distR="114300" simplePos="0" relativeHeight="251658314" behindDoc="1" locked="0" layoutInCell="1" allowOverlap="1" wp14:anchorId="42E2D469" wp14:editId="12FB90EC">
          <wp:simplePos x="0" y="0"/>
          <wp:positionH relativeFrom="column">
            <wp:posOffset>-924284</wp:posOffset>
          </wp:positionH>
          <wp:positionV relativeFrom="paragraph">
            <wp:posOffset>103118</wp:posOffset>
          </wp:positionV>
          <wp:extent cx="7577455" cy="339725"/>
          <wp:effectExtent l="0" t="0" r="4445" b="3175"/>
          <wp:wrapNone/>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38C86" w14:textId="77777777" w:rsidR="005822FF" w:rsidRPr="006E5F47" w:rsidRDefault="005822FF"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12043626"/>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A4BF" w14:textId="77777777" w:rsidR="00BE72DD" w:rsidRDefault="00BE72DD" w:rsidP="006B73A0">
    <w:pPr>
      <w:pStyle w:val="Rodap"/>
      <w:jc w:val="right"/>
      <w:rPr>
        <w:rFonts w:ascii="Courier New" w:hAnsi="Courier New"/>
      </w:rPr>
    </w:pPr>
    <w:r>
      <w:rPr>
        <w:noProof/>
      </w:rPr>
      <w:drawing>
        <wp:anchor distT="0" distB="0" distL="114300" distR="114300" simplePos="0" relativeHeight="251658321" behindDoc="1" locked="0" layoutInCell="1" allowOverlap="1" wp14:anchorId="2BD42F37" wp14:editId="530CFC1F">
          <wp:simplePos x="0" y="0"/>
          <wp:positionH relativeFrom="column">
            <wp:posOffset>-559435</wp:posOffset>
          </wp:positionH>
          <wp:positionV relativeFrom="paragraph">
            <wp:posOffset>100965</wp:posOffset>
          </wp:positionV>
          <wp:extent cx="10696575" cy="339725"/>
          <wp:effectExtent l="0" t="0" r="9525" b="3175"/>
          <wp:wrapNone/>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3EF68" w14:textId="77777777" w:rsidR="00BE72DD" w:rsidRPr="006E5F47" w:rsidRDefault="00BE72DD"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957398446"/>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706A" w14:textId="77777777" w:rsidR="00BE72DD" w:rsidRDefault="00BE72DD" w:rsidP="006B73A0">
    <w:pPr>
      <w:pStyle w:val="Rodap"/>
      <w:jc w:val="right"/>
      <w:rPr>
        <w:rFonts w:ascii="Courier New" w:hAnsi="Courier New"/>
      </w:rPr>
    </w:pPr>
    <w:r>
      <w:rPr>
        <w:noProof/>
      </w:rPr>
      <w:drawing>
        <wp:anchor distT="0" distB="0" distL="114300" distR="114300" simplePos="0" relativeHeight="251658324" behindDoc="1" locked="0" layoutInCell="1" allowOverlap="1" wp14:anchorId="3F20F61C" wp14:editId="6E8E6B0F">
          <wp:simplePos x="0" y="0"/>
          <wp:positionH relativeFrom="column">
            <wp:posOffset>-924284</wp:posOffset>
          </wp:positionH>
          <wp:positionV relativeFrom="paragraph">
            <wp:posOffset>103118</wp:posOffset>
          </wp:positionV>
          <wp:extent cx="7577455" cy="339725"/>
          <wp:effectExtent l="0" t="0" r="4445" b="3175"/>
          <wp:wrapNone/>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261DC" w14:textId="77777777" w:rsidR="00BE72DD" w:rsidRPr="006E5F47" w:rsidRDefault="00BE72DD"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65546049"/>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18BE" w14:textId="77777777" w:rsidR="005822FF" w:rsidRDefault="005822FF" w:rsidP="006B73A0">
    <w:pPr>
      <w:pStyle w:val="Rodap"/>
      <w:jc w:val="right"/>
      <w:rPr>
        <w:rFonts w:ascii="Courier New" w:hAnsi="Courier New"/>
      </w:rPr>
    </w:pPr>
    <w:r>
      <w:rPr>
        <w:noProof/>
      </w:rPr>
      <w:drawing>
        <wp:anchor distT="0" distB="0" distL="114300" distR="114300" simplePos="0" relativeHeight="251658317" behindDoc="1" locked="0" layoutInCell="1" allowOverlap="1" wp14:anchorId="6659C083" wp14:editId="1C3B54C2">
          <wp:simplePos x="0" y="0"/>
          <wp:positionH relativeFrom="column">
            <wp:posOffset>-924284</wp:posOffset>
          </wp:positionH>
          <wp:positionV relativeFrom="paragraph">
            <wp:posOffset>103118</wp:posOffset>
          </wp:positionV>
          <wp:extent cx="7577455" cy="339725"/>
          <wp:effectExtent l="0" t="0" r="4445" b="3175"/>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2EFE3" w14:textId="77777777" w:rsidR="005822FF" w:rsidRPr="006E5F47" w:rsidRDefault="005822FF"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122251018"/>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C6F2" w14:textId="77777777" w:rsidR="006B73A0" w:rsidRDefault="006B73A0" w:rsidP="006B73A0">
    <w:pPr>
      <w:pStyle w:val="Rodap"/>
      <w:jc w:val="right"/>
      <w:rPr>
        <w:rFonts w:ascii="Courier New" w:hAnsi="Courier New"/>
      </w:rPr>
    </w:pPr>
    <w:r>
      <w:rPr>
        <w:noProof/>
      </w:rPr>
      <w:drawing>
        <wp:anchor distT="0" distB="0" distL="114300" distR="114300" simplePos="0" relativeHeight="251658275" behindDoc="1" locked="0" layoutInCell="1" allowOverlap="1" wp14:anchorId="2F62FAF8" wp14:editId="2216DEFC">
          <wp:simplePos x="0" y="0"/>
          <wp:positionH relativeFrom="column">
            <wp:posOffset>-920631</wp:posOffset>
          </wp:positionH>
          <wp:positionV relativeFrom="paragraph">
            <wp:posOffset>107252</wp:posOffset>
          </wp:positionV>
          <wp:extent cx="11071904" cy="377825"/>
          <wp:effectExtent l="0" t="0" r="0" b="3175"/>
          <wp:wrapNone/>
          <wp:docPr id="498" name="Imagem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481" cy="41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D123" w14:textId="77777777"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98697762"/>
        <w:docPartObj>
          <w:docPartGallery w:val="Page Numbers (Bottom of Page)"/>
          <w:docPartUnique/>
        </w:docPartObj>
      </w:sdtPr>
      <w:sdtContent>
        <w:r w:rsidRPr="00616247">
          <w:rPr>
            <w:rFonts w:ascii="Futura Lt BT" w:hAnsi="Futura Lt BT"/>
            <w:color w:val="2E74B5"/>
            <w:sz w:val="20"/>
            <w:szCs w:val="20"/>
          </w:rPr>
          <w:fldChar w:fldCharType="begin"/>
        </w:r>
        <w:r w:rsidRPr="00616247">
          <w:rPr>
            <w:rFonts w:ascii="Futura Lt BT" w:hAnsi="Futura Lt BT"/>
            <w:color w:val="2E74B5"/>
            <w:sz w:val="20"/>
            <w:szCs w:val="20"/>
          </w:rPr>
          <w:instrText>PAGE   \* MERGEFORMAT</w:instrText>
        </w:r>
        <w:r w:rsidRPr="00616247">
          <w:rPr>
            <w:rFonts w:ascii="Futura Lt BT" w:hAnsi="Futura Lt BT"/>
            <w:color w:val="2E74B5"/>
            <w:sz w:val="20"/>
            <w:szCs w:val="20"/>
          </w:rPr>
          <w:fldChar w:fldCharType="separate"/>
        </w:r>
        <w:r w:rsidRPr="00616247">
          <w:rPr>
            <w:rFonts w:ascii="Futura Lt BT" w:hAnsi="Futura Lt BT"/>
            <w:color w:val="2E74B5"/>
            <w:sz w:val="20"/>
            <w:szCs w:val="20"/>
          </w:rPr>
          <w:t>28</w:t>
        </w:r>
        <w:r w:rsidRPr="00616247">
          <w:rPr>
            <w:rFonts w:ascii="Futura Lt BT" w:hAnsi="Futura Lt BT"/>
            <w:color w:val="2E74B5"/>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7BF37" w14:textId="77777777" w:rsidR="002123F0" w:rsidRDefault="002123F0">
      <w:r>
        <w:separator/>
      </w:r>
    </w:p>
  </w:footnote>
  <w:footnote w:type="continuationSeparator" w:id="0">
    <w:p w14:paraId="227F6E54" w14:textId="77777777" w:rsidR="002123F0" w:rsidRDefault="002123F0">
      <w:r>
        <w:continuationSeparator/>
      </w:r>
    </w:p>
  </w:footnote>
  <w:footnote w:type="continuationNotice" w:id="1">
    <w:p w14:paraId="71E034E8" w14:textId="77777777" w:rsidR="002123F0" w:rsidRDefault="002123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F005" w14:textId="77777777" w:rsidR="007C239D" w:rsidRDefault="007C239D">
    <w:pPr>
      <w:pStyle w:val="Cabealho"/>
    </w:pPr>
  </w:p>
  <w:p w14:paraId="78B2C45A" w14:textId="77777777" w:rsidR="006E1BAB" w:rsidRDefault="006E1BAB">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6B67" w14:textId="5DEC2BED" w:rsidR="009315EB" w:rsidRDefault="00936EDB" w:rsidP="00FC5E6D">
    <w:pPr>
      <w:pStyle w:val="Cabealho"/>
    </w:pPr>
    <w:r>
      <w:rPr>
        <w:noProof/>
        <w:szCs w:val="24"/>
      </w:rPr>
      <mc:AlternateContent>
        <mc:Choice Requires="wps">
          <w:drawing>
            <wp:anchor distT="0" distB="0" distL="114300" distR="114300" simplePos="0" relativeHeight="251658242" behindDoc="0" locked="0" layoutInCell="1" allowOverlap="1" wp14:anchorId="73A02CCE" wp14:editId="3E769F44">
              <wp:simplePos x="0" y="0"/>
              <wp:positionH relativeFrom="margin">
                <wp:posOffset>-542888</wp:posOffset>
              </wp:positionH>
              <wp:positionV relativeFrom="paragraph">
                <wp:posOffset>-540662</wp:posOffset>
              </wp:positionV>
              <wp:extent cx="6488264" cy="476250"/>
              <wp:effectExtent l="0" t="0" r="0" b="0"/>
              <wp:wrapNone/>
              <wp:docPr id="484" name="Caixa de Texto 484"/>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CF635FF"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3C8275BE"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73EBC878" w14:textId="77777777" w:rsidR="00B440CD" w:rsidRPr="00BE50B7" w:rsidRDefault="00B440CD" w:rsidP="00B440C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BF6241E" w14:textId="4432D3DA" w:rsidR="00FC5E6D" w:rsidRDefault="00FC5E6D" w:rsidP="00FC5E6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02CCE" id="_x0000_t202" coordsize="21600,21600" o:spt="202" path="m,l,21600r21600,l21600,xe">
              <v:stroke joinstyle="miter"/>
              <v:path gradientshapeok="t" o:connecttype="rect"/>
            </v:shapetype>
            <v:shape id="Caixa de Texto 484" o:spid="_x0000_s1042" type="#_x0000_t202" style="position:absolute;margin-left:-42.75pt;margin-top:-42.55pt;width:510.9pt;height:3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z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" filled="f" stroked="f" strokeweight=".5pt">
              <v:textbox>
                <w:txbxContent>
                  <w:p w14:paraId="6CF635FF"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3C8275BE"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73EBC878" w14:textId="77777777" w:rsidR="00B440CD" w:rsidRPr="00BE50B7" w:rsidRDefault="00B440CD" w:rsidP="00B440C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BF6241E" w14:textId="4432D3DA" w:rsidR="00FC5E6D" w:rsidRDefault="00FC5E6D" w:rsidP="00FC5E6D">
                    <w:pPr>
                      <w:rPr>
                        <w:rFonts w:ascii="Futura Lt BT" w:hAnsi="Futura Lt BT"/>
                        <w:color w:val="FFFFFF" w:themeColor="background1"/>
                        <w:sz w:val="14"/>
                        <w:szCs w:val="14"/>
                      </w:rPr>
                    </w:pPr>
                  </w:p>
                </w:txbxContent>
              </v:textbox>
              <w10:wrap anchorx="margin"/>
            </v:shape>
          </w:pict>
        </mc:Fallback>
      </mc:AlternateContent>
    </w:r>
    <w:r w:rsidR="002E3959">
      <w:rPr>
        <w:noProof/>
      </w:rPr>
      <w:drawing>
        <wp:anchor distT="0" distB="0" distL="114300" distR="114300" simplePos="0" relativeHeight="251658276" behindDoc="1" locked="0" layoutInCell="1" allowOverlap="1" wp14:anchorId="59798A69" wp14:editId="31FEE65F">
          <wp:simplePos x="0" y="0"/>
          <wp:positionH relativeFrom="column">
            <wp:posOffset>-927590</wp:posOffset>
          </wp:positionH>
          <wp:positionV relativeFrom="paragraph">
            <wp:posOffset>-720090</wp:posOffset>
          </wp:positionV>
          <wp:extent cx="7595235" cy="751205"/>
          <wp:effectExtent l="0" t="0" r="5715" b="0"/>
          <wp:wrapNone/>
          <wp:docPr id="499" name="Imagem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700" cy="76054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089B" w14:textId="220BB8A4" w:rsidR="00936EDB" w:rsidRDefault="00936EDB" w:rsidP="00FC5E6D">
    <w:pPr>
      <w:pStyle w:val="Cabealho"/>
    </w:pPr>
    <w:r>
      <w:rPr>
        <w:noProof/>
      </w:rPr>
      <w:drawing>
        <wp:anchor distT="0" distB="0" distL="114300" distR="114300" simplePos="0" relativeHeight="251658278" behindDoc="1" locked="0" layoutInCell="1" allowOverlap="1" wp14:anchorId="0D23275D" wp14:editId="0A5AF73B">
          <wp:simplePos x="0" y="0"/>
          <wp:positionH relativeFrom="column">
            <wp:posOffset>-927590</wp:posOffset>
          </wp:positionH>
          <wp:positionV relativeFrom="paragraph">
            <wp:posOffset>-720090</wp:posOffset>
          </wp:positionV>
          <wp:extent cx="10737410" cy="751205"/>
          <wp:effectExtent l="0" t="0" r="6985" b="0"/>
          <wp:wrapNone/>
          <wp:docPr id="501" name="Image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2263" cy="751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61" behindDoc="0" locked="0" layoutInCell="1" allowOverlap="1" wp14:anchorId="68D2F21B" wp14:editId="009958E2">
              <wp:simplePos x="0" y="0"/>
              <wp:positionH relativeFrom="margin">
                <wp:posOffset>-542888</wp:posOffset>
              </wp:positionH>
              <wp:positionV relativeFrom="paragraph">
                <wp:posOffset>-540662</wp:posOffset>
              </wp:positionV>
              <wp:extent cx="6488264" cy="47625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211AB1EF"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1828F4D2"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7644CB57" w14:textId="77777777" w:rsidR="00B440CD" w:rsidRPr="00BE50B7" w:rsidRDefault="00B440CD" w:rsidP="00B440C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2127A16" w14:textId="34865940" w:rsidR="00936EDB" w:rsidRDefault="00936EDB" w:rsidP="00FC5E6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2F21B" id="_x0000_t202" coordsize="21600,21600" o:spt="202" path="m,l,21600r21600,l21600,xe">
              <v:stroke joinstyle="miter"/>
              <v:path gradientshapeok="t" o:connecttype="rect"/>
            </v:shapetype>
            <v:shape id="Caixa de Texto 1" o:spid="_x0000_s1043" type="#_x0000_t202" style="position:absolute;margin-left:-42.75pt;margin-top:-42.55pt;width:510.9pt;height:3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Cm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" filled="f" stroked="f" strokeweight=".5pt">
              <v:textbox>
                <w:txbxContent>
                  <w:p w14:paraId="211AB1EF"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1828F4D2"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7644CB57" w14:textId="77777777" w:rsidR="00B440CD" w:rsidRPr="00BE50B7" w:rsidRDefault="00B440CD" w:rsidP="00B440C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2127A16" w14:textId="34865940" w:rsidR="00936EDB" w:rsidRDefault="00936EDB" w:rsidP="00FC5E6D">
                    <w:pPr>
                      <w:rPr>
                        <w:rFonts w:ascii="Futura Lt BT" w:hAnsi="Futura Lt BT"/>
                        <w:color w:val="FFFFFF" w:themeColor="background1"/>
                        <w:sz w:val="14"/>
                        <w:szCs w:val="14"/>
                      </w:rPr>
                    </w:pPr>
                  </w:p>
                </w:txbxContent>
              </v:textbox>
              <w10:wrap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065" w14:textId="2848FFD0" w:rsidR="00091962" w:rsidRPr="001F1605" w:rsidRDefault="00E67115" w:rsidP="001F1605">
    <w:pPr>
      <w:pStyle w:val="Cabealho"/>
    </w:pPr>
    <w:r>
      <w:rPr>
        <w:noProof/>
        <w:szCs w:val="24"/>
      </w:rPr>
      <mc:AlternateContent>
        <mc:Choice Requires="wps">
          <w:drawing>
            <wp:anchor distT="0" distB="0" distL="114300" distR="114300" simplePos="0" relativeHeight="251658262" behindDoc="0" locked="0" layoutInCell="1" allowOverlap="1" wp14:anchorId="7C74C8B0" wp14:editId="2C3BE470">
              <wp:simplePos x="0" y="0"/>
              <wp:positionH relativeFrom="margin">
                <wp:posOffset>-633277</wp:posOffset>
              </wp:positionH>
              <wp:positionV relativeFrom="paragraph">
                <wp:posOffset>-568960</wp:posOffset>
              </wp:positionV>
              <wp:extent cx="6488264" cy="47625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7425C3E8"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67D98DFF"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20294D13" w14:textId="77777777" w:rsidR="00B440CD" w:rsidRPr="00BE50B7" w:rsidRDefault="00B440CD" w:rsidP="00B440C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6D49AFEC" w14:textId="72EFCA03" w:rsidR="001F1605" w:rsidRDefault="001F1605" w:rsidP="001F1605">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4C8B0" id="_x0000_t202" coordsize="21600,21600" o:spt="202" path="m,l,21600r21600,l21600,xe">
              <v:stroke joinstyle="miter"/>
              <v:path gradientshapeok="t" o:connecttype="rect"/>
            </v:shapetype>
            <v:shape id="Caixa de Texto 2" o:spid="_x0000_s1044" type="#_x0000_t202" style="position:absolute;margin-left:-49.85pt;margin-top:-44.8pt;width:510.9pt;height:3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" filled="f" stroked="f" strokeweight=".5pt">
              <v:textbox>
                <w:txbxContent>
                  <w:p w14:paraId="7425C3E8"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67D98DFF" w14:textId="77777777" w:rsidR="00B440CD" w:rsidRPr="00BE50B7" w:rsidRDefault="00B440CD" w:rsidP="00B440C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20294D13" w14:textId="77777777" w:rsidR="00B440CD" w:rsidRPr="00BE50B7" w:rsidRDefault="00B440CD" w:rsidP="00B440C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6D49AFEC" w14:textId="72EFCA03" w:rsidR="001F1605" w:rsidRDefault="001F1605" w:rsidP="001F1605">
                    <w:pPr>
                      <w:rPr>
                        <w:rFonts w:ascii="Futura Lt BT" w:hAnsi="Futura Lt BT"/>
                        <w:color w:val="FFFFFF" w:themeColor="background1"/>
                        <w:sz w:val="14"/>
                        <w:szCs w:val="14"/>
                      </w:rPr>
                    </w:pPr>
                  </w:p>
                </w:txbxContent>
              </v:textbox>
              <w10:wrap anchorx="margin"/>
            </v:shape>
          </w:pict>
        </mc:Fallback>
      </mc:AlternateContent>
    </w:r>
    <w:r w:rsidR="001F1605">
      <w:rPr>
        <w:noProof/>
      </w:rPr>
      <w:drawing>
        <wp:anchor distT="0" distB="0" distL="114300" distR="114300" simplePos="0" relativeHeight="251658280" behindDoc="1" locked="0" layoutInCell="1" allowOverlap="1" wp14:anchorId="33E20CB6" wp14:editId="2E635AE1">
          <wp:simplePos x="0" y="0"/>
          <wp:positionH relativeFrom="column">
            <wp:posOffset>-911558</wp:posOffset>
          </wp:positionH>
          <wp:positionV relativeFrom="paragraph">
            <wp:posOffset>-719455</wp:posOffset>
          </wp:positionV>
          <wp:extent cx="10727690" cy="778598"/>
          <wp:effectExtent l="0" t="0" r="0" b="2540"/>
          <wp:wrapNone/>
          <wp:docPr id="504" name="Image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7690" cy="7785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04D5" w14:textId="77777777" w:rsidR="00936EDB" w:rsidRPr="00FC5E6D" w:rsidRDefault="00936EDB" w:rsidP="00936EDB">
    <w:pPr>
      <w:pStyle w:val="Cabealho"/>
    </w:pPr>
    <w:r>
      <w:rPr>
        <w:noProof/>
      </w:rPr>
      <w:drawing>
        <wp:anchor distT="0" distB="0" distL="114300" distR="114300" simplePos="0" relativeHeight="251658282" behindDoc="1" locked="0" layoutInCell="1" allowOverlap="1" wp14:anchorId="7B25389D" wp14:editId="5DF9EC0C">
          <wp:simplePos x="0" y="0"/>
          <wp:positionH relativeFrom="column">
            <wp:posOffset>-576599</wp:posOffset>
          </wp:positionH>
          <wp:positionV relativeFrom="paragraph">
            <wp:posOffset>-720089</wp:posOffset>
          </wp:positionV>
          <wp:extent cx="10727690" cy="778598"/>
          <wp:effectExtent l="0" t="0" r="0" b="254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0035" cy="7816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50" behindDoc="0" locked="0" layoutInCell="1" allowOverlap="1" wp14:anchorId="57E182DE" wp14:editId="016657D1">
              <wp:simplePos x="0" y="0"/>
              <wp:positionH relativeFrom="margin">
                <wp:posOffset>-344378</wp:posOffset>
              </wp:positionH>
              <wp:positionV relativeFrom="paragraph">
                <wp:posOffset>-568960</wp:posOffset>
              </wp:positionV>
              <wp:extent cx="6488264" cy="47625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4DF54CD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56911D1B"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8168893"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3386795F" w14:textId="67D76973" w:rsidR="00936EDB" w:rsidRDefault="00936EDB"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182DE" id="_x0000_t202" coordsize="21600,21600" o:spt="202" path="m,l,21600r21600,l21600,xe">
              <v:stroke joinstyle="miter"/>
              <v:path gradientshapeok="t" o:connecttype="rect"/>
            </v:shapetype>
            <v:shape id="Caixa de Texto 14" o:spid="_x0000_s1045" type="#_x0000_t202" style="position:absolute;margin-left:-27.1pt;margin-top:-44.8pt;width:510.9pt;height:3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" filled="f" stroked="f" strokeweight=".5pt">
              <v:textbox>
                <w:txbxContent>
                  <w:p w14:paraId="4DF54CD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56911D1B"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8168893"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3386795F" w14:textId="67D76973" w:rsidR="00936EDB" w:rsidRDefault="00936EDB" w:rsidP="00936EDB">
                    <w:pPr>
                      <w:rPr>
                        <w:rFonts w:ascii="Futura Lt BT" w:hAnsi="Futura Lt BT"/>
                        <w:color w:val="FFFFFF" w:themeColor="background1"/>
                        <w:sz w:val="14"/>
                        <w:szCs w:val="14"/>
                      </w:rPr>
                    </w:pPr>
                  </w:p>
                </w:txbxContent>
              </v:textbox>
              <w10:wrap anchorx="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DF3A" w14:textId="78DBA6EB" w:rsidR="00091962" w:rsidRPr="00FC5E6D" w:rsidRDefault="009D4D44" w:rsidP="00FC5E6D">
    <w:pPr>
      <w:pStyle w:val="Cabealho"/>
    </w:pPr>
    <w:r>
      <w:rPr>
        <w:noProof/>
        <w:szCs w:val="24"/>
      </w:rPr>
      <mc:AlternateContent>
        <mc:Choice Requires="wps">
          <w:drawing>
            <wp:anchor distT="0" distB="0" distL="114300" distR="114300" simplePos="0" relativeHeight="251658258" behindDoc="0" locked="0" layoutInCell="1" allowOverlap="1" wp14:anchorId="33CDC7AD" wp14:editId="08F88150">
              <wp:simplePos x="0" y="0"/>
              <wp:positionH relativeFrom="margin">
                <wp:posOffset>-342265</wp:posOffset>
              </wp:positionH>
              <wp:positionV relativeFrom="paragraph">
                <wp:posOffset>-567690</wp:posOffset>
              </wp:positionV>
              <wp:extent cx="6487795" cy="929640"/>
              <wp:effectExtent l="0" t="0" r="0" b="3810"/>
              <wp:wrapNone/>
              <wp:docPr id="33" name="Caixa de Texto 33"/>
              <wp:cNvGraphicFramePr/>
              <a:graphic xmlns:a="http://schemas.openxmlformats.org/drawingml/2006/main">
                <a:graphicData uri="http://schemas.microsoft.com/office/word/2010/wordprocessingShape">
                  <wps:wsp>
                    <wps:cNvSpPr txBox="1"/>
                    <wps:spPr>
                      <a:xfrm>
                        <a:off x="0" y="0"/>
                        <a:ext cx="6487795" cy="929640"/>
                      </a:xfrm>
                      <a:prstGeom prst="rect">
                        <a:avLst/>
                      </a:prstGeom>
                      <a:noFill/>
                      <a:ln w="6350">
                        <a:noFill/>
                      </a:ln>
                    </wps:spPr>
                    <wps:txbx>
                      <w:txbxContent>
                        <w:p w14:paraId="327AC31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2A9A8D90"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0635A91A"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64359A32" w14:textId="3C579A70" w:rsidR="00FC5E6D" w:rsidRDefault="00FC5E6D" w:rsidP="00FC5E6D">
                          <w:pPr>
                            <w:rPr>
                              <w:rFonts w:ascii="Futura Lt BT" w:hAnsi="Futura Lt BT"/>
                              <w:color w:val="FFFFFF" w:themeColor="background1"/>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DC7AD" id="_x0000_t202" coordsize="21600,21600" o:spt="202" path="m,l,21600r21600,l21600,xe">
              <v:stroke joinstyle="miter"/>
              <v:path gradientshapeok="t" o:connecttype="rect"/>
            </v:shapetype>
            <v:shape id="Caixa de Texto 33" o:spid="_x0000_s1046" type="#_x0000_t202" style="position:absolute;margin-left:-26.95pt;margin-top:-44.7pt;width:510.85pt;height:73.2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" filled="f" stroked="f" strokeweight=".5pt">
              <v:textbox>
                <w:txbxContent>
                  <w:p w14:paraId="327AC31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2A9A8D90"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0635A91A"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64359A32" w14:textId="3C579A70" w:rsidR="00FC5E6D" w:rsidRDefault="00FC5E6D" w:rsidP="00FC5E6D">
                    <w:pPr>
                      <w:rPr>
                        <w:rFonts w:ascii="Futura Lt BT" w:hAnsi="Futura Lt BT"/>
                        <w:color w:val="FFFFFF" w:themeColor="background1"/>
                        <w:sz w:val="16"/>
                        <w:szCs w:val="14"/>
                      </w:rPr>
                    </w:pPr>
                  </w:p>
                </w:txbxContent>
              </v:textbox>
              <w10:wrap anchorx="margin"/>
            </v:shape>
          </w:pict>
        </mc:Fallback>
      </mc:AlternateContent>
    </w:r>
    <w:r w:rsidR="00FC5E6D">
      <w:rPr>
        <w:noProof/>
      </w:rPr>
      <w:drawing>
        <wp:anchor distT="0" distB="0" distL="114300" distR="114300" simplePos="0" relativeHeight="251658284" behindDoc="1" locked="0" layoutInCell="1" allowOverlap="1" wp14:anchorId="2C61AAA0" wp14:editId="39DB796B">
          <wp:simplePos x="0" y="0"/>
          <wp:positionH relativeFrom="column">
            <wp:posOffset>-576599</wp:posOffset>
          </wp:positionH>
          <wp:positionV relativeFrom="paragraph">
            <wp:posOffset>-720089</wp:posOffset>
          </wp:positionV>
          <wp:extent cx="10727690" cy="778598"/>
          <wp:effectExtent l="0" t="0" r="0" b="254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0035" cy="7816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7610" w14:textId="77777777" w:rsidR="00091962" w:rsidRPr="00F82438" w:rsidRDefault="0018557F" w:rsidP="0018557F">
    <w:r>
      <w:rPr>
        <w:noProof/>
      </w:rPr>
      <mc:AlternateContent>
        <mc:Choice Requires="wps">
          <w:drawing>
            <wp:anchor distT="0" distB="0" distL="114300" distR="114300" simplePos="0" relativeHeight="251658243" behindDoc="0" locked="0" layoutInCell="1" allowOverlap="1" wp14:anchorId="2A8C1111" wp14:editId="5A777711">
              <wp:simplePos x="0" y="0"/>
              <wp:positionH relativeFrom="margin">
                <wp:posOffset>-588645</wp:posOffset>
              </wp:positionH>
              <wp:positionV relativeFrom="paragraph">
                <wp:posOffset>-603250</wp:posOffset>
              </wp:positionV>
              <wp:extent cx="6488264" cy="476250"/>
              <wp:effectExtent l="0" t="0" r="0" b="0"/>
              <wp:wrapNone/>
              <wp:docPr id="503" name="Caixa de Texto 50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36CF5A6B"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4BCC916A"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01F3617C"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7CE3078" w14:textId="65DEFE51" w:rsidR="0018557F" w:rsidRDefault="0018557F" w:rsidP="0018557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C1111" id="_x0000_t202" coordsize="21600,21600" o:spt="202" path="m,l,21600r21600,l21600,xe">
              <v:stroke joinstyle="miter"/>
              <v:path gradientshapeok="t" o:connecttype="rect"/>
            </v:shapetype>
            <v:shape id="Caixa de Texto 503" o:spid="_x0000_s1047" type="#_x0000_t202" style="position:absolute;margin-left:-46.35pt;margin-top:-47.5pt;width:510.9pt;height:3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r3GwIAADQEAAAOAAAAZHJzL2Uyb0RvYy54bWysU01vGyEQvVfqf0Dc67WdjeOu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3Gd8mXLPLa+t8+CpAk2iU1CEtCS22&#10;X/mAFTH0FBKLGVg2SiVqlCEtVrjBlL958IUy+PDSa7RCt+lIU+EcN6dBNlAdcD4HPfXe8mWDTayY&#10;Dy/MIdc4Euo3POMiFWAxOFqU1OB+/u0+xiMF6KWkRe2U1P/YMScoUd8MkvN5lOdRbOmQ396N8eCu&#10;PZtrj9npB0B5jvCnWJ7MGB/UyZQO9BvKfBGroosZjrVLGk7mQ+gVjd+Ei8UiBaG8LAsrs7Y8po7g&#10;RYhfuzfm7JGHgAw+wUllrHhHRx/bw77YBZBN4ioC3aN6xB+lmSg8fqOo/etzirp89vkvAA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E2SSvcbAgAANAQAAA4AAAAAAAAAAAAAAAAALgIAAGRycy9lMm9Eb2MueG1sUEsB&#10;Ai0AFAAGAAgAAAAhAGzdRvrhAAAACwEAAA8AAAAAAAAAAAAAAAAAdQQAAGRycy9kb3ducmV2Lnht&#10;bFBLBQYAAAAABAAEAPMAAACDBQAAAAA=&#10;" filled="f" stroked="f" strokeweight=".5pt">
              <v:textbox>
                <w:txbxContent>
                  <w:p w14:paraId="36CF5A6B"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4BCC916A"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01F3617C"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7CE3078" w14:textId="65DEFE51" w:rsidR="0018557F" w:rsidRDefault="0018557F" w:rsidP="0018557F">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286" behindDoc="1" locked="0" layoutInCell="1" allowOverlap="1" wp14:anchorId="341FA25D" wp14:editId="3CA4A5CC">
          <wp:simplePos x="0" y="0"/>
          <wp:positionH relativeFrom="column">
            <wp:posOffset>-927100</wp:posOffset>
          </wp:positionH>
          <wp:positionV relativeFrom="paragraph">
            <wp:posOffset>-719581</wp:posOffset>
          </wp:positionV>
          <wp:extent cx="7577455" cy="753110"/>
          <wp:effectExtent l="0" t="0" r="4445" b="889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B2C0" w14:textId="77777777" w:rsidR="00936EDB" w:rsidRPr="00F82438" w:rsidRDefault="00936EDB" w:rsidP="00936EDB">
    <w:r>
      <w:rPr>
        <w:noProof/>
      </w:rPr>
      <mc:AlternateContent>
        <mc:Choice Requires="wps">
          <w:drawing>
            <wp:anchor distT="0" distB="0" distL="114300" distR="114300" simplePos="0" relativeHeight="251658251" behindDoc="0" locked="0" layoutInCell="1" allowOverlap="1" wp14:anchorId="228755E1" wp14:editId="3CF66252">
              <wp:simplePos x="0" y="0"/>
              <wp:positionH relativeFrom="margin">
                <wp:posOffset>-588645</wp:posOffset>
              </wp:positionH>
              <wp:positionV relativeFrom="paragraph">
                <wp:posOffset>-603250</wp:posOffset>
              </wp:positionV>
              <wp:extent cx="6488264" cy="47625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4E736BB"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452B88F0"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2313355"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5ACBAAD6" w14:textId="60D48B0C" w:rsidR="00936EDB" w:rsidRDefault="00936EDB"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755E1" id="_x0000_t202" coordsize="21600,21600" o:spt="202" path="m,l,21600r21600,l21600,xe">
              <v:stroke joinstyle="miter"/>
              <v:path gradientshapeok="t" o:connecttype="rect"/>
            </v:shapetype>
            <v:shape id="Caixa de Texto 17" o:spid="_x0000_s1048" type="#_x0000_t202" style="position:absolute;margin-left:-46.35pt;margin-top:-47.5pt;width:510.9pt;height:3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ewGg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" filled="f" stroked="f" strokeweight=".5pt">
              <v:textbox>
                <w:txbxContent>
                  <w:p w14:paraId="54E736BB"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452B88F0"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2313355"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5ACBAAD6" w14:textId="60D48B0C" w:rsidR="00936EDB" w:rsidRDefault="00936EDB" w:rsidP="00936EDB">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288" behindDoc="1" locked="0" layoutInCell="1" allowOverlap="1" wp14:anchorId="5326A580" wp14:editId="0CA804CE">
          <wp:simplePos x="0" y="0"/>
          <wp:positionH relativeFrom="column">
            <wp:posOffset>-927100</wp:posOffset>
          </wp:positionH>
          <wp:positionV relativeFrom="paragraph">
            <wp:posOffset>-719581</wp:posOffset>
          </wp:positionV>
          <wp:extent cx="7577455" cy="753110"/>
          <wp:effectExtent l="0" t="0" r="4445" b="889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6C99" w14:textId="17E1741E" w:rsidR="00091962" w:rsidRPr="00C36048" w:rsidRDefault="00A47C19" w:rsidP="0018557F">
    <w:r>
      <w:rPr>
        <w:noProof/>
      </w:rPr>
      <w:drawing>
        <wp:anchor distT="0" distB="0" distL="114300" distR="114300" simplePos="0" relativeHeight="251658290" behindDoc="1" locked="0" layoutInCell="1" allowOverlap="1" wp14:anchorId="2C28BC7C" wp14:editId="6647EFC0">
          <wp:simplePos x="0" y="0"/>
          <wp:positionH relativeFrom="column">
            <wp:posOffset>-929005</wp:posOffset>
          </wp:positionH>
          <wp:positionV relativeFrom="paragraph">
            <wp:posOffset>-720090</wp:posOffset>
          </wp:positionV>
          <wp:extent cx="10715625" cy="753110"/>
          <wp:effectExtent l="0" t="0" r="9525" b="889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562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7F">
      <w:rPr>
        <w:noProof/>
      </w:rPr>
      <mc:AlternateContent>
        <mc:Choice Requires="wps">
          <w:drawing>
            <wp:anchor distT="0" distB="0" distL="114300" distR="114300" simplePos="0" relativeHeight="251658244" behindDoc="0" locked="0" layoutInCell="1" allowOverlap="1" wp14:anchorId="7EA4CF91" wp14:editId="69DA2689">
              <wp:simplePos x="0" y="0"/>
              <wp:positionH relativeFrom="margin">
                <wp:posOffset>-588645</wp:posOffset>
              </wp:positionH>
              <wp:positionV relativeFrom="paragraph">
                <wp:posOffset>-603250</wp:posOffset>
              </wp:positionV>
              <wp:extent cx="6488264" cy="476250"/>
              <wp:effectExtent l="0" t="0" r="0" b="0"/>
              <wp:wrapNone/>
              <wp:docPr id="509" name="Caixa de Texto 509"/>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77BDFA3D"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4E35E521"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04A3FD48"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A8D3D6E" w14:textId="5F310C9E" w:rsidR="0018557F" w:rsidRDefault="0018557F" w:rsidP="0018557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4CF91" id="_x0000_t202" coordsize="21600,21600" o:spt="202" path="m,l,21600r21600,l21600,xe">
              <v:stroke joinstyle="miter"/>
              <v:path gradientshapeok="t" o:connecttype="rect"/>
            </v:shapetype>
            <v:shape id="Caixa de Texto 509" o:spid="_x0000_s1049" type="#_x0000_t202" style="position:absolute;margin-left:-46.35pt;margin-top:-47.5pt;width:510.9pt;height:3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Iw1eGUbAgAANAQAAA4AAAAAAAAAAAAAAAAALgIAAGRycy9lMm9Eb2MueG1sUEsB&#10;Ai0AFAAGAAgAAAAhAGzdRvrhAAAACwEAAA8AAAAAAAAAAAAAAAAAdQQAAGRycy9kb3ducmV2Lnht&#10;bFBLBQYAAAAABAAEAPMAAACDBQAAAAA=&#10;" filled="f" stroked="f" strokeweight=".5pt">
              <v:textbox>
                <w:txbxContent>
                  <w:p w14:paraId="77BDFA3D"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4E35E521"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04A3FD48"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A8D3D6E" w14:textId="5F310C9E" w:rsidR="0018557F" w:rsidRDefault="0018557F" w:rsidP="0018557F">
                    <w:pPr>
                      <w:rPr>
                        <w:rFonts w:ascii="Futura Lt BT" w:hAnsi="Futura Lt BT"/>
                        <w:color w:val="FFFFFF" w:themeColor="background1"/>
                        <w:sz w:val="14"/>
                        <w:szCs w:val="14"/>
                      </w:rPr>
                    </w:pPr>
                  </w:p>
                </w:txbxContent>
              </v:textbox>
              <w10:wrap anchorx="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A4B4" w14:textId="496EFE76" w:rsidR="00091962" w:rsidRPr="00BB64D6" w:rsidRDefault="00A47C19" w:rsidP="0018557F">
    <w:r>
      <w:rPr>
        <w:noProof/>
      </w:rPr>
      <w:drawing>
        <wp:anchor distT="0" distB="0" distL="114300" distR="114300" simplePos="0" relativeHeight="251658292" behindDoc="1" locked="0" layoutInCell="1" allowOverlap="1" wp14:anchorId="1DF9CB20" wp14:editId="617310A5">
          <wp:simplePos x="0" y="0"/>
          <wp:positionH relativeFrom="column">
            <wp:posOffset>-929005</wp:posOffset>
          </wp:positionH>
          <wp:positionV relativeFrom="paragraph">
            <wp:posOffset>-720090</wp:posOffset>
          </wp:positionV>
          <wp:extent cx="10753725" cy="753110"/>
          <wp:effectExtent l="0" t="0" r="9525" b="889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372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7F">
      <w:rPr>
        <w:noProof/>
      </w:rPr>
      <mc:AlternateContent>
        <mc:Choice Requires="wps">
          <w:drawing>
            <wp:anchor distT="0" distB="0" distL="114300" distR="114300" simplePos="0" relativeHeight="251658245" behindDoc="0" locked="0" layoutInCell="1" allowOverlap="1" wp14:anchorId="3DE13075" wp14:editId="4E0F2D9E">
              <wp:simplePos x="0" y="0"/>
              <wp:positionH relativeFrom="margin">
                <wp:posOffset>-588645</wp:posOffset>
              </wp:positionH>
              <wp:positionV relativeFrom="paragraph">
                <wp:posOffset>-603250</wp:posOffset>
              </wp:positionV>
              <wp:extent cx="6488264" cy="476250"/>
              <wp:effectExtent l="0" t="0" r="0" b="0"/>
              <wp:wrapNone/>
              <wp:docPr id="506" name="Caixa de Texto 506"/>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10AAF7A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09EAD3D4"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0CD148E"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6ABD89DC" w14:textId="1D1D8604" w:rsidR="0018557F" w:rsidRDefault="0018557F" w:rsidP="0018557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13075" id="_x0000_t202" coordsize="21600,21600" o:spt="202" path="m,l,21600r21600,l21600,xe">
              <v:stroke joinstyle="miter"/>
              <v:path gradientshapeok="t" o:connecttype="rect"/>
            </v:shapetype>
            <v:shape id="Caixa de Texto 506" o:spid="_x0000_s1050" type="#_x0000_t202" style="position:absolute;margin-left:-46.35pt;margin-top:-47.5pt;width:510.9pt;height:3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nBGw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JqdBNlAdcD4HPfXe8mWDTayY&#10;Dy/MIdc4Euo3POMiFWAxOFqU1OB+/u0+xiMF6KWkRe2U1P/YMScoUd8MknM3yvMotnTIb27HeHDX&#10;ns21x+z0A6A8R/hTLE9mjA/qZEoH+g1lvohV0cUMx9olDSfzIfSKxm/CxWKRglBeloWVWVseU0fw&#10;IsSv3Rtz9shDQAaf4KQyVryjo4/tYV/sAsgmcRWB7lE94o/STBQev1HU/vU5RV0++/wXAA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Ezl2cEbAgAANAQAAA4AAAAAAAAAAAAAAAAALgIAAGRycy9lMm9Eb2MueG1sUEsB&#10;Ai0AFAAGAAgAAAAhAGzdRvrhAAAACwEAAA8AAAAAAAAAAAAAAAAAdQQAAGRycy9kb3ducmV2Lnht&#10;bFBLBQYAAAAABAAEAPMAAACDBQAAAAA=&#10;" filled="f" stroked="f" strokeweight=".5pt">
              <v:textbox>
                <w:txbxContent>
                  <w:p w14:paraId="10AAF7A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09EAD3D4"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0CD148E"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6ABD89DC" w14:textId="1D1D8604" w:rsidR="0018557F" w:rsidRDefault="0018557F" w:rsidP="0018557F">
                    <w:pPr>
                      <w:rPr>
                        <w:rFonts w:ascii="Futura Lt BT" w:hAnsi="Futura Lt BT"/>
                        <w:color w:val="FFFFFF" w:themeColor="background1"/>
                        <w:sz w:val="14"/>
                        <w:szCs w:val="14"/>
                      </w:rPr>
                    </w:pPr>
                  </w:p>
                </w:txbxContent>
              </v:textbox>
              <w10:wrap anchorx="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EAD6" w14:textId="2F5E30A6" w:rsidR="00A47C19" w:rsidRPr="00C36048" w:rsidRDefault="00A47C19" w:rsidP="0018557F">
    <w:r>
      <w:rPr>
        <w:noProof/>
      </w:rPr>
      <w:drawing>
        <wp:anchor distT="0" distB="0" distL="114300" distR="114300" simplePos="0" relativeHeight="251658294" behindDoc="1" locked="0" layoutInCell="1" allowOverlap="1" wp14:anchorId="51C00F86" wp14:editId="40A2E5EF">
          <wp:simplePos x="0" y="0"/>
          <wp:positionH relativeFrom="column">
            <wp:posOffset>-929005</wp:posOffset>
          </wp:positionH>
          <wp:positionV relativeFrom="paragraph">
            <wp:posOffset>-720090</wp:posOffset>
          </wp:positionV>
          <wp:extent cx="7600950" cy="753110"/>
          <wp:effectExtent l="0" t="0" r="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3" behindDoc="0" locked="0" layoutInCell="1" allowOverlap="1" wp14:anchorId="05B17856" wp14:editId="240C7D1A">
              <wp:simplePos x="0" y="0"/>
              <wp:positionH relativeFrom="margin">
                <wp:posOffset>-586105</wp:posOffset>
              </wp:positionH>
              <wp:positionV relativeFrom="paragraph">
                <wp:posOffset>-605790</wp:posOffset>
              </wp:positionV>
              <wp:extent cx="4657725" cy="47625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4657725" cy="476250"/>
                      </a:xfrm>
                      <a:prstGeom prst="rect">
                        <a:avLst/>
                      </a:prstGeom>
                      <a:noFill/>
                      <a:ln w="6350">
                        <a:noFill/>
                      </a:ln>
                    </wps:spPr>
                    <wps:txbx>
                      <w:txbxContent>
                        <w:p w14:paraId="5EABC2D9"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7E5EF417"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BC720D3"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FE453AD" w14:textId="72A5D365" w:rsidR="00A47C19" w:rsidRDefault="00A47C19" w:rsidP="0018557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17856" id="_x0000_t202" coordsize="21600,21600" o:spt="202" path="m,l,21600r21600,l21600,xe">
              <v:stroke joinstyle="miter"/>
              <v:path gradientshapeok="t" o:connecttype="rect"/>
            </v:shapetype>
            <v:shape id="Caixa de Texto 8" o:spid="_x0000_s1051" type="#_x0000_t202" style="position:absolute;margin-left:-46.15pt;margin-top:-47.7pt;width:366.75pt;height:3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" filled="f" stroked="f" strokeweight=".5pt">
              <v:textbox>
                <w:txbxContent>
                  <w:p w14:paraId="5EABC2D9"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7E5EF417"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BC720D3"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FE453AD" w14:textId="72A5D365" w:rsidR="00A47C19" w:rsidRDefault="00A47C19" w:rsidP="0018557F">
                    <w:pPr>
                      <w:rPr>
                        <w:rFonts w:ascii="Futura Lt BT" w:hAnsi="Futura Lt BT"/>
                        <w:color w:val="FFFFFF" w:themeColor="background1"/>
                        <w:sz w:val="14"/>
                        <w:szCs w:val="14"/>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8416" w14:textId="55BAD995" w:rsidR="00091962" w:rsidRDefault="00091962">
    <w:pPr>
      <w:pStyle w:val="Cabealho"/>
    </w:pPr>
    <w:r>
      <w:rPr>
        <w:noProof/>
        <w:szCs w:val="24"/>
      </w:rPr>
      <mc:AlternateContent>
        <mc:Choice Requires="wps">
          <w:drawing>
            <wp:anchor distT="0" distB="0" distL="114300" distR="114300" simplePos="0" relativeHeight="251658240" behindDoc="0" locked="0" layoutInCell="1" allowOverlap="1" wp14:anchorId="694CF317" wp14:editId="664ABC7A">
              <wp:simplePos x="0" y="0"/>
              <wp:positionH relativeFrom="margin">
                <wp:posOffset>-576580</wp:posOffset>
              </wp:positionH>
              <wp:positionV relativeFrom="paragraph">
                <wp:posOffset>-310515</wp:posOffset>
              </wp:positionV>
              <wp:extent cx="6515100" cy="370840"/>
              <wp:effectExtent l="0" t="0" r="0" b="0"/>
              <wp:wrapNone/>
              <wp:docPr id="267" name="Caixa de Texto 267"/>
              <wp:cNvGraphicFramePr/>
              <a:graphic xmlns:a="http://schemas.openxmlformats.org/drawingml/2006/main">
                <a:graphicData uri="http://schemas.microsoft.com/office/word/2010/wordprocessingShape">
                  <wps:wsp>
                    <wps:cNvSpPr txBox="1"/>
                    <wps:spPr>
                      <a:xfrm>
                        <a:off x="0" y="0"/>
                        <a:ext cx="6515100" cy="370840"/>
                      </a:xfrm>
                      <a:prstGeom prst="rect">
                        <a:avLst/>
                      </a:prstGeom>
                      <a:noFill/>
                      <a:ln w="6350">
                        <a:noFill/>
                      </a:ln>
                    </wps:spPr>
                    <wps:txb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 xml:space="preserve">NOTAS EXPLICATIVAS ÀS DEMONSTRAÇÕES CONTÁBEIS INDIVIDUAIS E CONSOLIDADAS – 30 DE </w:t>
                          </w:r>
                          <w:proofErr w:type="spellStart"/>
                          <w:r>
                            <w:rPr>
                              <w:rFonts w:ascii="Courier New" w:hAnsi="Courier New"/>
                              <w:color w:val="FFFFFF" w:themeColor="background1"/>
                              <w:sz w:val="16"/>
                              <w:szCs w:val="14"/>
                            </w:rPr>
                            <w:t>DE</w:t>
                          </w:r>
                          <w:proofErr w:type="spellEnd"/>
                          <w:r>
                            <w:rPr>
                              <w:rFonts w:ascii="Courier New" w:hAnsi="Courier New"/>
                              <w:color w:val="FFFFFF" w:themeColor="background1"/>
                              <w:sz w:val="16"/>
                              <w:szCs w:val="14"/>
                            </w:rPr>
                            <w:t xml:space="preserv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F317" id="_x0000_t202" coordsize="21600,21600" o:spt="202" path="m,l,21600r21600,l21600,xe">
              <v:stroke joinstyle="miter"/>
              <v:path gradientshapeok="t" o:connecttype="rect"/>
            </v:shapetype>
            <v:shape id="Caixa de Texto 267" o:spid="_x0000_s1034" type="#_x0000_t202" style="position:absolute;margin-left:-45.4pt;margin-top:-24.45pt;width:513pt;height:2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" filled="f" stroked="f" strokeweight=".5pt">
              <v:textbo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 xml:space="preserve">NOTAS EXPLICATIVAS ÀS DEMONSTRAÇÕES CONTÁBEIS INDIVIDUAIS E CONSOLIDADAS – 30 DE </w:t>
                    </w:r>
                    <w:proofErr w:type="spellStart"/>
                    <w:r>
                      <w:rPr>
                        <w:rFonts w:ascii="Courier New" w:hAnsi="Courier New"/>
                        <w:color w:val="FFFFFF" w:themeColor="background1"/>
                        <w:sz w:val="16"/>
                        <w:szCs w:val="14"/>
                      </w:rPr>
                      <w:t>DE</w:t>
                    </w:r>
                    <w:proofErr w:type="spellEnd"/>
                    <w:r>
                      <w:rPr>
                        <w:rFonts w:ascii="Courier New" w:hAnsi="Courier New"/>
                        <w:color w:val="FFFFFF" w:themeColor="background1"/>
                        <w:sz w:val="16"/>
                        <w:szCs w:val="14"/>
                      </w:rPr>
                      <w:t xml:space="preserv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71" behindDoc="1" locked="0" layoutInCell="1" allowOverlap="1" wp14:anchorId="4C1B3B4B" wp14:editId="758BC66C">
          <wp:simplePos x="0" y="0"/>
          <wp:positionH relativeFrom="rightMargin">
            <wp:posOffset>27676</wp:posOffset>
          </wp:positionH>
          <wp:positionV relativeFrom="paragraph">
            <wp:posOffset>-278130</wp:posOffset>
          </wp:positionV>
          <wp:extent cx="453390" cy="283845"/>
          <wp:effectExtent l="0" t="0" r="3810" b="1905"/>
          <wp:wrapNone/>
          <wp:docPr id="488" name="Imagem 48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72" behindDoc="0" locked="0" layoutInCell="1" allowOverlap="1" wp14:anchorId="286C908F" wp14:editId="0E482109">
          <wp:simplePos x="0" y="0"/>
          <wp:positionH relativeFrom="page">
            <wp:align>left</wp:align>
          </wp:positionH>
          <wp:positionV relativeFrom="paragraph">
            <wp:posOffset>-346327</wp:posOffset>
          </wp:positionV>
          <wp:extent cx="7056000" cy="417600"/>
          <wp:effectExtent l="0" t="0" r="0" b="1905"/>
          <wp:wrapSquare wrapText="bothSides"/>
          <wp:docPr id="489" name="Imagem 48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77CF" w14:textId="77777777" w:rsidR="00A47C19" w:rsidRPr="00BB64D6" w:rsidRDefault="00A47C19" w:rsidP="0018557F">
    <w:r>
      <w:rPr>
        <w:noProof/>
      </w:rPr>
      <mc:AlternateContent>
        <mc:Choice Requires="wps">
          <w:drawing>
            <wp:anchor distT="0" distB="0" distL="114300" distR="114300" simplePos="0" relativeHeight="251658264" behindDoc="0" locked="0" layoutInCell="1" allowOverlap="1" wp14:anchorId="263A2401" wp14:editId="1F84121B">
              <wp:simplePos x="0" y="0"/>
              <wp:positionH relativeFrom="margin">
                <wp:posOffset>-588645</wp:posOffset>
              </wp:positionH>
              <wp:positionV relativeFrom="paragraph">
                <wp:posOffset>-603250</wp:posOffset>
              </wp:positionV>
              <wp:extent cx="6488264" cy="47625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1DA1C5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377D7BC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6401B8FC"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41140841" w14:textId="544ABA4E" w:rsidR="00A47C19" w:rsidRDefault="00A47C19" w:rsidP="0018557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A2401" id="_x0000_t202" coordsize="21600,21600" o:spt="202" path="m,l,21600r21600,l21600,xe">
              <v:stroke joinstyle="miter"/>
              <v:path gradientshapeok="t" o:connecttype="rect"/>
            </v:shapetype>
            <v:shape id="Caixa de Texto 3" o:spid="_x0000_s1052" type="#_x0000_t202" style="position:absolute;margin-left:-46.35pt;margin-top:-47.5pt;width:510.9pt;height:3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NPGw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pqdBNlAdcD4HPfXe8mWDTayY&#10;Dy/MIdc4Euo3POMiFWAxOFqU1OB+/u0+xiMF6KWkRe2U1P/YMScoUd8MknM3yvMotnTIb27HeHDX&#10;ns21x+z0A6A8R/hTLE9mjA/qZEoH+g1lvohV0cUMx9olDSfzIfSKxm/CxWKRglBeloWVWVseU0fw&#10;IsSv3Rtz9shDQAaf4KQyVryjo4/tYV/sAsgmcRWB7lE94o/STBQev1HU/vU5RV0++/wXAA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DDOI08bAgAANAQAAA4AAAAAAAAAAAAAAAAALgIAAGRycy9lMm9Eb2MueG1sUEsB&#10;Ai0AFAAGAAgAAAAhAGzdRvrhAAAACwEAAA8AAAAAAAAAAAAAAAAAdQQAAGRycy9kb3ducmV2Lnht&#10;bFBLBQYAAAAABAAEAPMAAACDBQAAAAA=&#10;" filled="f" stroked="f" strokeweight=".5pt">
              <v:textbox>
                <w:txbxContent>
                  <w:p w14:paraId="51DA1C5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377D7BC3"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6401B8FC"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41140841" w14:textId="544ABA4E" w:rsidR="00A47C19" w:rsidRDefault="00A47C19" w:rsidP="0018557F">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296" behindDoc="1" locked="0" layoutInCell="1" allowOverlap="1" wp14:anchorId="28B7642F" wp14:editId="1E8B38C4">
          <wp:simplePos x="0" y="0"/>
          <wp:positionH relativeFrom="column">
            <wp:posOffset>-927100</wp:posOffset>
          </wp:positionH>
          <wp:positionV relativeFrom="paragraph">
            <wp:posOffset>-719581</wp:posOffset>
          </wp:positionV>
          <wp:extent cx="7577455" cy="753110"/>
          <wp:effectExtent l="0" t="0" r="4445" b="889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8FD2" w14:textId="57E7F41A" w:rsidR="0041501F" w:rsidRPr="00C36048" w:rsidRDefault="0041501F" w:rsidP="0041501F">
    <w:r>
      <w:rPr>
        <w:noProof/>
      </w:rPr>
      <w:drawing>
        <wp:anchor distT="0" distB="0" distL="114300" distR="114300" simplePos="0" relativeHeight="251658298" behindDoc="1" locked="0" layoutInCell="1" allowOverlap="1" wp14:anchorId="32351AD0" wp14:editId="34010262">
          <wp:simplePos x="0" y="0"/>
          <wp:positionH relativeFrom="column">
            <wp:posOffset>-927590</wp:posOffset>
          </wp:positionH>
          <wp:positionV relativeFrom="paragraph">
            <wp:posOffset>-720090</wp:posOffset>
          </wp:positionV>
          <wp:extent cx="10737410" cy="753110"/>
          <wp:effectExtent l="0" t="0" r="6985" b="889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3227" cy="7535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2" behindDoc="0" locked="0" layoutInCell="1" allowOverlap="1" wp14:anchorId="06EB1BFF" wp14:editId="51F09CF3">
              <wp:simplePos x="0" y="0"/>
              <wp:positionH relativeFrom="margin">
                <wp:posOffset>-588645</wp:posOffset>
              </wp:positionH>
              <wp:positionV relativeFrom="paragraph">
                <wp:posOffset>-603250</wp:posOffset>
              </wp:positionV>
              <wp:extent cx="6488264" cy="476250"/>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B324B48"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037F02EB"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A9FAB4B"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5C24BD78" w14:textId="5ABBA192" w:rsidR="0041501F" w:rsidRDefault="0041501F" w:rsidP="0041501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B1BFF" id="_x0000_t202" coordsize="21600,21600" o:spt="202" path="m,l,21600r21600,l21600,xe">
              <v:stroke joinstyle="miter"/>
              <v:path gradientshapeok="t" o:connecttype="rect"/>
            </v:shapetype>
            <v:shape id="Caixa de Texto 11" o:spid="_x0000_s1053" type="#_x0000_t202" style="position:absolute;margin-left:-46.35pt;margin-top:-47.5pt;width:510.9pt;height:3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yaGw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7k6DbKA64HwOeuq95csGm1gx&#10;H16YQ65xJNRveMZFKsBicLQoqcH9/Nt9jEcK0EtJi9opqf+xY05Qor4ZJOdulOdRbOmQ39yO8eCu&#10;PZtrj9npB0B5jvCnWJ7MGB/UyZQO9BvKfBGroosZjrVLGk7mQ+gVjd+Ei8UiBaG8LAsrs7Y8po7g&#10;RYhfuzfm7JGHgAw+wUllrHhHRx/bw77YBZBN4ioC3aN6xB+lmSg8fqOo/etzirp89vkvAA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E98bJobAgAANAQAAA4AAAAAAAAAAAAAAAAALgIAAGRycy9lMm9Eb2MueG1sUEsB&#10;Ai0AFAAGAAgAAAAhAGzdRvrhAAAACwEAAA8AAAAAAAAAAAAAAAAAdQQAAGRycy9kb3ducmV2Lnht&#10;bFBLBQYAAAAABAAEAPMAAACDBQAAAAA=&#10;" filled="f" stroked="f" strokeweight=".5pt">
              <v:textbox>
                <w:txbxContent>
                  <w:p w14:paraId="6B324B48"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037F02EB" w14:textId="77777777" w:rsidR="006B1724" w:rsidRPr="00BE50B7" w:rsidRDefault="006B1724"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A9FAB4B" w14:textId="77777777" w:rsidR="006B1724" w:rsidRPr="00BE50B7" w:rsidRDefault="006B1724"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5C24BD78" w14:textId="5ABBA192" w:rsidR="0041501F" w:rsidRDefault="0041501F" w:rsidP="0041501F">
                    <w:pPr>
                      <w:rPr>
                        <w:rFonts w:ascii="Futura Lt BT" w:hAnsi="Futura Lt BT"/>
                        <w:color w:val="FFFFFF" w:themeColor="background1"/>
                        <w:sz w:val="14"/>
                        <w:szCs w:val="14"/>
                      </w:rPr>
                    </w:pPr>
                  </w:p>
                </w:txbxContent>
              </v:textbox>
              <w10:wrap anchorx="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E1BA" w14:textId="07DF64B7" w:rsidR="00D07531" w:rsidRDefault="0047112C" w:rsidP="0052608D">
    <w:pPr>
      <w:pStyle w:val="Cabealho"/>
    </w:pPr>
    <w:r>
      <w:rPr>
        <w:noProof/>
        <w:szCs w:val="24"/>
      </w:rPr>
      <mc:AlternateContent>
        <mc:Choice Requires="wps">
          <w:drawing>
            <wp:anchor distT="0" distB="0" distL="114300" distR="114300" simplePos="0" relativeHeight="251658266" behindDoc="0" locked="0" layoutInCell="1" allowOverlap="1" wp14:anchorId="00B46819" wp14:editId="240A3098">
              <wp:simplePos x="0" y="0"/>
              <wp:positionH relativeFrom="margin">
                <wp:posOffset>-767080</wp:posOffset>
              </wp:positionH>
              <wp:positionV relativeFrom="paragraph">
                <wp:posOffset>-567690</wp:posOffset>
              </wp:positionV>
              <wp:extent cx="5708291" cy="495300"/>
              <wp:effectExtent l="0" t="0" r="0" b="0"/>
              <wp:wrapNone/>
              <wp:docPr id="702" name="Caixa de Texto 702"/>
              <wp:cNvGraphicFramePr/>
              <a:graphic xmlns:a="http://schemas.openxmlformats.org/drawingml/2006/main">
                <a:graphicData uri="http://schemas.microsoft.com/office/word/2010/wordprocessingShape">
                  <wps:wsp>
                    <wps:cNvSpPr txBox="1"/>
                    <wps:spPr>
                      <a:xfrm>
                        <a:off x="0" y="0"/>
                        <a:ext cx="5708291" cy="495300"/>
                      </a:xfrm>
                      <a:prstGeom prst="rect">
                        <a:avLst/>
                      </a:prstGeom>
                      <a:noFill/>
                      <a:ln w="6350">
                        <a:noFill/>
                      </a:ln>
                    </wps:spPr>
                    <wps:txbx>
                      <w:txbxContent>
                        <w:p w14:paraId="59EB32E6" w14:textId="77777777" w:rsidR="0047112C" w:rsidRPr="00BE50B7" w:rsidRDefault="0047112C"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2F0C97F1" w14:textId="77777777" w:rsidR="0047112C" w:rsidRPr="00BE50B7" w:rsidRDefault="0047112C"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12DD218" w14:textId="77777777" w:rsidR="0047112C" w:rsidRPr="00BE50B7" w:rsidRDefault="0047112C"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5E19885" w14:textId="77777777" w:rsidR="0047112C" w:rsidRDefault="0047112C" w:rsidP="0052608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46819" id="_x0000_t202" coordsize="21600,21600" o:spt="202" path="m,l,21600r21600,l21600,xe">
              <v:stroke joinstyle="miter"/>
              <v:path gradientshapeok="t" o:connecttype="rect"/>
            </v:shapetype>
            <v:shape id="Caixa de Texto 702" o:spid="_x0000_s1054" type="#_x0000_t202" style="position:absolute;margin-left:-60.4pt;margin-top:-44.7pt;width:449.45pt;height:39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" filled="f" stroked="f" strokeweight=".5pt">
              <v:textbox>
                <w:txbxContent>
                  <w:p w14:paraId="59EB32E6" w14:textId="77777777" w:rsidR="0047112C" w:rsidRPr="00BE50B7" w:rsidRDefault="0047112C"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2F0C97F1" w14:textId="77777777" w:rsidR="0047112C" w:rsidRPr="00BE50B7" w:rsidRDefault="0047112C" w:rsidP="006B1724">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12DD218" w14:textId="77777777" w:rsidR="0047112C" w:rsidRPr="00BE50B7" w:rsidRDefault="0047112C" w:rsidP="006B1724">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5E19885" w14:textId="77777777" w:rsidR="0047112C" w:rsidRDefault="0047112C" w:rsidP="0052608D">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300" behindDoc="1" locked="0" layoutInCell="1" allowOverlap="1" wp14:anchorId="35F702D3" wp14:editId="60342231">
          <wp:simplePos x="0" y="0"/>
          <wp:positionH relativeFrom="column">
            <wp:posOffset>-924284</wp:posOffset>
          </wp:positionH>
          <wp:positionV relativeFrom="paragraph">
            <wp:posOffset>-720090</wp:posOffset>
          </wp:positionV>
          <wp:extent cx="7568151" cy="753688"/>
          <wp:effectExtent l="0" t="0" r="0" b="889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312" cy="758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6E04" w14:textId="77777777" w:rsidR="00D07531" w:rsidRDefault="00D07531" w:rsidP="005E3238">
    <w:pPr>
      <w:pStyle w:val="Cabealho"/>
      <w:tabs>
        <w:tab w:val="clear" w:pos="4252"/>
        <w:tab w:val="clear" w:pos="8504"/>
        <w:tab w:val="left" w:pos="197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5C8B" w14:textId="3AD2AC5F" w:rsidR="003B762C" w:rsidRDefault="0047112C" w:rsidP="0052608D">
    <w:pPr>
      <w:pStyle w:val="Cabealho"/>
    </w:pPr>
    <w:r>
      <w:rPr>
        <w:noProof/>
      </w:rPr>
      <w:drawing>
        <wp:anchor distT="0" distB="0" distL="114300" distR="114300" simplePos="0" relativeHeight="251658270" behindDoc="1" locked="0" layoutInCell="1" allowOverlap="1" wp14:anchorId="0C34F7D2" wp14:editId="6713F380">
          <wp:simplePos x="0" y="0"/>
          <wp:positionH relativeFrom="column">
            <wp:posOffset>-936644</wp:posOffset>
          </wp:positionH>
          <wp:positionV relativeFrom="paragraph">
            <wp:posOffset>-720090</wp:posOffset>
          </wp:positionV>
          <wp:extent cx="10788361" cy="75184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1083" cy="752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67" behindDoc="0" locked="0" layoutInCell="1" allowOverlap="1" wp14:anchorId="037168E5" wp14:editId="30D1C22E">
              <wp:simplePos x="0" y="0"/>
              <wp:positionH relativeFrom="margin">
                <wp:posOffset>-586105</wp:posOffset>
              </wp:positionH>
              <wp:positionV relativeFrom="paragraph">
                <wp:posOffset>-529591</wp:posOffset>
              </wp:positionV>
              <wp:extent cx="5708291" cy="485775"/>
              <wp:effectExtent l="0" t="0" r="0" b="0"/>
              <wp:wrapNone/>
              <wp:docPr id="679" name="Caixa de Texto 679"/>
              <wp:cNvGraphicFramePr/>
              <a:graphic xmlns:a="http://schemas.openxmlformats.org/drawingml/2006/main">
                <a:graphicData uri="http://schemas.microsoft.com/office/word/2010/wordprocessingShape">
                  <wps:wsp>
                    <wps:cNvSpPr txBox="1"/>
                    <wps:spPr>
                      <a:xfrm>
                        <a:off x="0" y="0"/>
                        <a:ext cx="5708291" cy="485775"/>
                      </a:xfrm>
                      <a:prstGeom prst="rect">
                        <a:avLst/>
                      </a:prstGeom>
                      <a:noFill/>
                      <a:ln w="6350">
                        <a:noFill/>
                      </a:ln>
                    </wps:spPr>
                    <wps:txbx>
                      <w:txbxContent>
                        <w:p w14:paraId="5AA4E9D3" w14:textId="77777777" w:rsidR="0047112C" w:rsidRPr="00BE50B7" w:rsidRDefault="0047112C" w:rsidP="004C5ED5">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03AB36BF" w14:textId="77777777" w:rsidR="0047112C" w:rsidRPr="00BE50B7" w:rsidRDefault="0047112C" w:rsidP="004C5ED5">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5A5FF0DC" w14:textId="77777777" w:rsidR="0047112C" w:rsidRPr="00BE50B7" w:rsidRDefault="0047112C" w:rsidP="004C5ED5">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DA81FF5" w14:textId="77777777" w:rsidR="0047112C" w:rsidRDefault="0047112C" w:rsidP="0052608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168E5" id="_x0000_t202" coordsize="21600,21600" o:spt="202" path="m,l,21600r21600,l21600,xe">
              <v:stroke joinstyle="miter"/>
              <v:path gradientshapeok="t" o:connecttype="rect"/>
            </v:shapetype>
            <v:shape id="Caixa de Texto 679" o:spid="_x0000_s1055" type="#_x0000_t202" style="position:absolute;margin-left:-46.15pt;margin-top:-41.7pt;width:449.45pt;height:38.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" filled="f" stroked="f" strokeweight=".5pt">
              <v:textbox>
                <w:txbxContent>
                  <w:p w14:paraId="5AA4E9D3" w14:textId="77777777" w:rsidR="0047112C" w:rsidRPr="00BE50B7" w:rsidRDefault="0047112C" w:rsidP="004C5ED5">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03AB36BF" w14:textId="77777777" w:rsidR="0047112C" w:rsidRPr="00BE50B7" w:rsidRDefault="0047112C" w:rsidP="004C5ED5">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5A5FF0DC" w14:textId="77777777" w:rsidR="0047112C" w:rsidRPr="00BE50B7" w:rsidRDefault="0047112C" w:rsidP="004C5ED5">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DA81FF5" w14:textId="77777777" w:rsidR="0047112C" w:rsidRDefault="0047112C" w:rsidP="0052608D">
                    <w:pPr>
                      <w:rPr>
                        <w:rFonts w:ascii="Futura Lt BT" w:hAnsi="Futura Lt BT"/>
                        <w:color w:val="FFFFFF" w:themeColor="background1"/>
                        <w:sz w:val="14"/>
                        <w:szCs w:val="14"/>
                      </w:rPr>
                    </w:pPr>
                  </w:p>
                </w:txbxContent>
              </v:textbox>
              <w10:wrap anchorx="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8C67" w14:textId="77777777" w:rsidR="005C0DF6" w:rsidRDefault="002A04C4" w:rsidP="00AC4D84">
    <w:pPr>
      <w:pStyle w:val="Cabealho"/>
    </w:pPr>
    <w:r>
      <w:rPr>
        <w:noProof/>
      </w:rPr>
      <w:drawing>
        <wp:anchor distT="0" distB="0" distL="114300" distR="114300" simplePos="0" relativeHeight="251658302" behindDoc="1" locked="0" layoutInCell="1" allowOverlap="1" wp14:anchorId="336F7F9E" wp14:editId="577FA3DE">
          <wp:simplePos x="0" y="0"/>
          <wp:positionH relativeFrom="column">
            <wp:posOffset>-756304</wp:posOffset>
          </wp:positionH>
          <wp:positionV relativeFrom="paragraph">
            <wp:posOffset>-720090</wp:posOffset>
          </wp:positionV>
          <wp:extent cx="7623018" cy="753110"/>
          <wp:effectExtent l="0" t="0" r="0" b="889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496" cy="7531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9" behindDoc="0" locked="0" layoutInCell="1" allowOverlap="1" wp14:anchorId="56BE62D3" wp14:editId="60E2170F">
              <wp:simplePos x="0" y="0"/>
              <wp:positionH relativeFrom="margin">
                <wp:posOffset>-588645</wp:posOffset>
              </wp:positionH>
              <wp:positionV relativeFrom="paragraph">
                <wp:posOffset>-603250</wp:posOffset>
              </wp:positionV>
              <wp:extent cx="6488264" cy="476250"/>
              <wp:effectExtent l="0" t="0" r="0" b="0"/>
              <wp:wrapNone/>
              <wp:docPr id="603" name="Caixa de Texto 60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7BA407CC" w14:textId="77777777" w:rsidR="002A04C4" w:rsidRPr="00BE50B7" w:rsidRDefault="002A04C4" w:rsidP="00CF5FB2">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40F6532B" w14:textId="77777777" w:rsidR="00BE50B7" w:rsidRPr="00BE50B7" w:rsidRDefault="00BE50B7" w:rsidP="00BE50B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57F1F35B" w14:textId="77777777" w:rsidR="002A04C4" w:rsidRPr="00BE50B7" w:rsidRDefault="002A04C4" w:rsidP="00CF5FB2">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E62D3" id="_x0000_t202" coordsize="21600,21600" o:spt="202" path="m,l,21600r21600,l21600,xe">
              <v:stroke joinstyle="miter"/>
              <v:path gradientshapeok="t" o:connecttype="rect"/>
            </v:shapetype>
            <v:shape id="Caixa de Texto 603" o:spid="_x0000_s1056" type="#_x0000_t202" style="position:absolute;margin-left:-46.35pt;margin-top:-47.5pt;width:510.9pt;height:3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W5HA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" filled="f" stroked="f" strokeweight=".5pt">
              <v:textbox>
                <w:txbxContent>
                  <w:p w14:paraId="7BA407CC" w14:textId="77777777" w:rsidR="002A04C4" w:rsidRPr="00BE50B7" w:rsidRDefault="002A04C4" w:rsidP="00CF5FB2">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40F6532B" w14:textId="77777777" w:rsidR="00BE50B7" w:rsidRPr="00BE50B7" w:rsidRDefault="00BE50B7" w:rsidP="00BE50B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57F1F35B" w14:textId="77777777" w:rsidR="002A04C4" w:rsidRPr="00BE50B7" w:rsidRDefault="002A04C4" w:rsidP="00CF5FB2">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1899" w14:textId="7CEEA2A1" w:rsidR="009609B9" w:rsidRPr="00BE0F7B" w:rsidRDefault="00414006" w:rsidP="00CF5FB2">
    <w:r>
      <w:rPr>
        <w:noProof/>
      </w:rPr>
      <mc:AlternateContent>
        <mc:Choice Requires="wps">
          <w:drawing>
            <wp:anchor distT="0" distB="0" distL="114300" distR="114300" simplePos="0" relativeHeight="251658260" behindDoc="0" locked="0" layoutInCell="1" allowOverlap="1" wp14:anchorId="3D3E7D9D" wp14:editId="55F332C3">
              <wp:simplePos x="0" y="0"/>
              <wp:positionH relativeFrom="margin">
                <wp:posOffset>-488504</wp:posOffset>
              </wp:positionH>
              <wp:positionV relativeFrom="paragraph">
                <wp:posOffset>-530225</wp:posOffset>
              </wp:positionV>
              <wp:extent cx="6488264" cy="476250"/>
              <wp:effectExtent l="0" t="0" r="0" b="0"/>
              <wp:wrapNone/>
              <wp:docPr id="599" name="Caixa de Texto 599"/>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44C17D9" w14:textId="77777777" w:rsidR="00BE50B7" w:rsidRPr="00BE50B7" w:rsidRDefault="00BE50B7" w:rsidP="00BE50B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763B9268" w14:textId="77777777" w:rsidR="00BE50B7" w:rsidRPr="00BE50B7" w:rsidRDefault="00BE50B7" w:rsidP="00BE50B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666C90EC" w14:textId="77777777" w:rsidR="00BE50B7" w:rsidRPr="00BE50B7" w:rsidRDefault="00BE50B7" w:rsidP="00BE50B7">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666587B5" w14:textId="52B89E25" w:rsidR="003834D8" w:rsidRDefault="003834D8" w:rsidP="00BE0F7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E7D9D" id="_x0000_t202" coordsize="21600,21600" o:spt="202" path="m,l,21600r21600,l21600,xe">
              <v:stroke joinstyle="miter"/>
              <v:path gradientshapeok="t" o:connecttype="rect"/>
            </v:shapetype>
            <v:shape id="Caixa de Texto 599" o:spid="_x0000_s1057" type="#_x0000_t202" style="position:absolute;margin-left:-38.45pt;margin-top:-41.75pt;width:510.9pt;height:3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" filled="f" stroked="f" strokeweight=".5pt">
              <v:textbox>
                <w:txbxContent>
                  <w:p w14:paraId="044C17D9" w14:textId="77777777" w:rsidR="00BE50B7" w:rsidRPr="00BE50B7" w:rsidRDefault="00BE50B7" w:rsidP="00BE50B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763B9268" w14:textId="77777777" w:rsidR="00BE50B7" w:rsidRPr="00BE50B7" w:rsidRDefault="00BE50B7" w:rsidP="00BE50B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666C90EC" w14:textId="77777777" w:rsidR="00BE50B7" w:rsidRPr="00BE50B7" w:rsidRDefault="00BE50B7" w:rsidP="00BE50B7">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666587B5" w14:textId="52B89E25" w:rsidR="003834D8" w:rsidRDefault="003834D8" w:rsidP="00BE0F7B">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265" behindDoc="1" locked="0" layoutInCell="1" allowOverlap="1" wp14:anchorId="59A5208B" wp14:editId="17B39EF6">
          <wp:simplePos x="0" y="0"/>
          <wp:positionH relativeFrom="column">
            <wp:posOffset>-920681</wp:posOffset>
          </wp:positionH>
          <wp:positionV relativeFrom="paragraph">
            <wp:posOffset>-710529</wp:posOffset>
          </wp:positionV>
          <wp:extent cx="10999960" cy="812165"/>
          <wp:effectExtent l="0" t="0" r="0" b="6985"/>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9960" cy="812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5D41" w14:textId="6C875242" w:rsidR="00091962" w:rsidRPr="00C36048" w:rsidRDefault="002E3049" w:rsidP="002E3049">
    <w:r>
      <w:rPr>
        <w:noProof/>
      </w:rPr>
      <w:drawing>
        <wp:anchor distT="0" distB="0" distL="114300" distR="114300" simplePos="0" relativeHeight="251658307" behindDoc="1" locked="0" layoutInCell="1" allowOverlap="1" wp14:anchorId="03F0FE74" wp14:editId="30B68FB8">
          <wp:simplePos x="0" y="0"/>
          <wp:positionH relativeFrom="column">
            <wp:posOffset>-927100</wp:posOffset>
          </wp:positionH>
          <wp:positionV relativeFrom="paragraph">
            <wp:posOffset>-719455</wp:posOffset>
          </wp:positionV>
          <wp:extent cx="7577455" cy="753110"/>
          <wp:effectExtent l="0" t="0" r="4445" b="8890"/>
          <wp:wrapNone/>
          <wp:docPr id="607" name="Image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69A1BA72" wp14:editId="2FAD7BF5">
              <wp:simplePos x="0" y="0"/>
              <wp:positionH relativeFrom="margin">
                <wp:posOffset>-588645</wp:posOffset>
              </wp:positionH>
              <wp:positionV relativeFrom="paragraph">
                <wp:posOffset>-603250</wp:posOffset>
              </wp:positionV>
              <wp:extent cx="6488264" cy="476250"/>
              <wp:effectExtent l="0" t="0" r="0" b="0"/>
              <wp:wrapNone/>
              <wp:docPr id="584" name="Caixa de Texto 584"/>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4E42FB9A" w14:textId="77777777" w:rsidR="007848FF" w:rsidRPr="00BE50B7" w:rsidRDefault="007848FF" w:rsidP="007848FF">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7ABB1F2E" w14:textId="77777777" w:rsidR="007848FF" w:rsidRPr="00BE50B7" w:rsidRDefault="007848FF" w:rsidP="007848FF">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77A82404" w14:textId="77777777" w:rsidR="007848FF" w:rsidRPr="00BE50B7" w:rsidRDefault="007848FF" w:rsidP="007848FF">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389F814" w14:textId="01705A40" w:rsidR="002E3049" w:rsidRDefault="002E3049" w:rsidP="002E304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1BA72" id="_x0000_t202" coordsize="21600,21600" o:spt="202" path="m,l,21600r21600,l21600,xe">
              <v:stroke joinstyle="miter"/>
              <v:path gradientshapeok="t" o:connecttype="rect"/>
            </v:shapetype>
            <v:shape id="Caixa de Texto 584" o:spid="_x0000_s1058" type="#_x0000_t202" style="position:absolute;margin-left:-46.35pt;margin-top:-47.5pt;width:510.9pt;height:3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crHA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" filled="f" stroked="f" strokeweight=".5pt">
              <v:textbox>
                <w:txbxContent>
                  <w:p w14:paraId="4E42FB9A" w14:textId="77777777" w:rsidR="007848FF" w:rsidRPr="00BE50B7" w:rsidRDefault="007848FF" w:rsidP="007848FF">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7ABB1F2E" w14:textId="77777777" w:rsidR="007848FF" w:rsidRPr="00BE50B7" w:rsidRDefault="007848FF" w:rsidP="007848FF">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77A82404" w14:textId="77777777" w:rsidR="007848FF" w:rsidRPr="00BE50B7" w:rsidRDefault="007848FF" w:rsidP="007848FF">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389F814" w14:textId="01705A40" w:rsidR="002E3049" w:rsidRDefault="002E3049" w:rsidP="002E3049">
                    <w:pPr>
                      <w:rPr>
                        <w:rFonts w:ascii="Futura Lt BT" w:hAnsi="Futura Lt BT"/>
                        <w:color w:val="FFFFFF" w:themeColor="background1"/>
                        <w:sz w:val="14"/>
                        <w:szCs w:val="14"/>
                      </w:rPr>
                    </w:pPr>
                  </w:p>
                </w:txbxContent>
              </v:textbox>
              <w10:wrap anchorx="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BDA4" w14:textId="77777777" w:rsidR="00091962" w:rsidRDefault="00091962" w:rsidP="005E3238">
    <w:pPr>
      <w:pStyle w:val="Cabealho"/>
      <w:tabs>
        <w:tab w:val="clear" w:pos="4252"/>
        <w:tab w:val="clear" w:pos="8504"/>
        <w:tab w:val="left" w:pos="1970"/>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BAFB" w14:textId="51586FE5" w:rsidR="00091962" w:rsidRDefault="002E3049" w:rsidP="002E3049">
    <w:r>
      <w:rPr>
        <w:noProof/>
      </w:rPr>
      <w:drawing>
        <wp:anchor distT="0" distB="0" distL="114300" distR="114300" simplePos="0" relativeHeight="251658310" behindDoc="1" locked="0" layoutInCell="1" allowOverlap="1" wp14:anchorId="346BCA9C" wp14:editId="3C2FE668">
          <wp:simplePos x="0" y="0"/>
          <wp:positionH relativeFrom="column">
            <wp:posOffset>-932328</wp:posOffset>
          </wp:positionH>
          <wp:positionV relativeFrom="paragraph">
            <wp:posOffset>-720090</wp:posOffset>
          </wp:positionV>
          <wp:extent cx="10749517" cy="753110"/>
          <wp:effectExtent l="0" t="0" r="0" b="8890"/>
          <wp:wrapNone/>
          <wp:docPr id="610" name="Imagem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5503" cy="7535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4AA63F64" wp14:editId="66DABCD6">
              <wp:simplePos x="0" y="0"/>
              <wp:positionH relativeFrom="margin">
                <wp:posOffset>-588645</wp:posOffset>
              </wp:positionH>
              <wp:positionV relativeFrom="paragraph">
                <wp:posOffset>-603250</wp:posOffset>
              </wp:positionV>
              <wp:extent cx="6488264" cy="476250"/>
              <wp:effectExtent l="0" t="0" r="0" b="0"/>
              <wp:wrapNone/>
              <wp:docPr id="587" name="Caixa de Texto 587"/>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2E130B6"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1416585D"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8489BA4"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376096FC" w14:textId="617FE781" w:rsidR="002E3049" w:rsidRDefault="002E3049" w:rsidP="002E304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63F64" id="_x0000_t202" coordsize="21600,21600" o:spt="202" path="m,l,21600r21600,l21600,xe">
              <v:stroke joinstyle="miter"/>
              <v:path gradientshapeok="t" o:connecttype="rect"/>
            </v:shapetype>
            <v:shape id="Caixa de Texto 587" o:spid="_x0000_s1059" type="#_x0000_t202" style="position:absolute;margin-left:-46.35pt;margin-top:-47.5pt;width:510.9pt;height:3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OxWuP4bAgAANAQAAA4AAAAAAAAAAAAAAAAALgIAAGRycy9lMm9Eb2MueG1sUEsB&#10;Ai0AFAAGAAgAAAAhAGzdRvrhAAAACwEAAA8AAAAAAAAAAAAAAAAAdQQAAGRycy9kb3ducmV2Lnht&#10;bFBLBQYAAAAABAAEAPMAAACDBQAAAAA=&#10;" filled="f" stroked="f" strokeweight=".5pt">
              <v:textbox>
                <w:txbxContent>
                  <w:p w14:paraId="02E130B6"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1416585D"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8489BA4"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376096FC" w14:textId="617FE781" w:rsidR="002E3049" w:rsidRDefault="002E3049" w:rsidP="002E3049">
                    <w:pPr>
                      <w:rPr>
                        <w:rFonts w:ascii="Futura Lt BT" w:hAnsi="Futura Lt BT"/>
                        <w:color w:val="FFFFFF" w:themeColor="background1"/>
                        <w:sz w:val="14"/>
                        <w:szCs w:val="14"/>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AC83" w14:textId="0B05710A" w:rsidR="00091962" w:rsidRDefault="00091962">
    <w:pPr>
      <w:pStyle w:val="Cabealho"/>
    </w:pPr>
  </w:p>
  <w:p w14:paraId="0EB31A5D" w14:textId="77777777" w:rsidR="00091962" w:rsidRDefault="00091962"/>
  <w:p w14:paraId="1A7A8AAA" w14:textId="023BBFA9" w:rsidR="00091962" w:rsidRDefault="0009196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CA5F" w14:textId="77777777" w:rsidR="00824E99" w:rsidRDefault="00824E99" w:rsidP="00824E99">
    <w:pPr>
      <w:jc w:val="right"/>
    </w:pPr>
    <w:r>
      <w:rPr>
        <w:noProof/>
      </w:rPr>
      <mc:AlternateContent>
        <mc:Choice Requires="wps">
          <w:drawing>
            <wp:anchor distT="0" distB="0" distL="114300" distR="114300" simplePos="0" relativeHeight="251658249" behindDoc="0" locked="0" layoutInCell="1" allowOverlap="1" wp14:anchorId="7EF18323" wp14:editId="1240DF36">
              <wp:simplePos x="0" y="0"/>
              <wp:positionH relativeFrom="margin">
                <wp:posOffset>-279902</wp:posOffset>
              </wp:positionH>
              <wp:positionV relativeFrom="paragraph">
                <wp:posOffset>-485775</wp:posOffset>
              </wp:positionV>
              <wp:extent cx="6488264" cy="476250"/>
              <wp:effectExtent l="0" t="0" r="0" b="0"/>
              <wp:wrapNone/>
              <wp:docPr id="596" name="Caixa de Texto 596"/>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A2C3472"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3CE4EFF3"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5D624C1"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019EB657" w14:textId="420F90A0" w:rsidR="00824E99" w:rsidRDefault="00824E99" w:rsidP="00824E9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8323" id="_x0000_t202" coordsize="21600,21600" o:spt="202" path="m,l,21600r21600,l21600,xe">
              <v:stroke joinstyle="miter"/>
              <v:path gradientshapeok="t" o:connecttype="rect"/>
            </v:shapetype>
            <v:shape id="Caixa de Texto 596" o:spid="_x0000_s1060" type="#_x0000_t202" style="position:absolute;left:0;text-align:left;margin-left:-22.05pt;margin-top:-38.25pt;width:510.9pt;height:3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laHA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" filled="f" stroked="f" strokeweight=".5pt">
              <v:textbox>
                <w:txbxContent>
                  <w:p w14:paraId="6A2C3472"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3CE4EFF3"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5D624C1"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019EB657" w14:textId="420F90A0" w:rsidR="00824E99" w:rsidRDefault="00824E99" w:rsidP="00824E99">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253" behindDoc="1" locked="0" layoutInCell="1" allowOverlap="1" wp14:anchorId="5DBFDA14" wp14:editId="241E2BB3">
          <wp:simplePos x="0" y="0"/>
          <wp:positionH relativeFrom="column">
            <wp:posOffset>-717698</wp:posOffset>
          </wp:positionH>
          <wp:positionV relativeFrom="paragraph">
            <wp:posOffset>-741354</wp:posOffset>
          </wp:positionV>
          <wp:extent cx="7586345" cy="924998"/>
          <wp:effectExtent l="0" t="0" r="0" b="8890"/>
          <wp:wrapNone/>
          <wp:docPr id="494" name="Imagem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161" cy="930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9452F" w14:textId="2E04B998" w:rsidR="00091962" w:rsidRPr="00A66E84" w:rsidRDefault="00091962" w:rsidP="00A66E84">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D0BF" w14:textId="228CED20" w:rsidR="00091962" w:rsidRDefault="00C42AF3" w:rsidP="00D234C0">
    <w:pPr>
      <w:jc w:val="right"/>
    </w:pPr>
    <w:r>
      <w:rPr>
        <w:noProof/>
      </w:rPr>
      <w:drawing>
        <wp:anchor distT="0" distB="0" distL="114300" distR="114300" simplePos="0" relativeHeight="251658255" behindDoc="1" locked="0" layoutInCell="1" allowOverlap="1" wp14:anchorId="35271DE8" wp14:editId="097EA517">
          <wp:simplePos x="0" y="0"/>
          <wp:positionH relativeFrom="column">
            <wp:posOffset>-708970</wp:posOffset>
          </wp:positionH>
          <wp:positionV relativeFrom="paragraph">
            <wp:posOffset>-741045</wp:posOffset>
          </wp:positionV>
          <wp:extent cx="7586345" cy="924998"/>
          <wp:effectExtent l="0" t="0" r="0" b="8890"/>
          <wp:wrapNone/>
          <wp:docPr id="496" name="Image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924998"/>
                  </a:xfrm>
                  <a:prstGeom prst="rect">
                    <a:avLst/>
                  </a:prstGeom>
                  <a:noFill/>
                  <a:ln>
                    <a:noFill/>
                  </a:ln>
                </pic:spPr>
              </pic:pic>
            </a:graphicData>
          </a:graphic>
          <wp14:sizeRelH relativeFrom="page">
            <wp14:pctWidth>0</wp14:pctWidth>
          </wp14:sizeRelH>
          <wp14:sizeRelV relativeFrom="page">
            <wp14:pctHeight>0</wp14:pctHeight>
          </wp14:sizeRelV>
        </wp:anchor>
      </w:drawing>
    </w:r>
    <w:r w:rsidR="009E3F51">
      <w:rPr>
        <w:noProof/>
      </w:rPr>
      <mc:AlternateContent>
        <mc:Choice Requires="wps">
          <w:drawing>
            <wp:anchor distT="0" distB="0" distL="114300" distR="114300" simplePos="0" relativeHeight="251658248" behindDoc="0" locked="0" layoutInCell="1" allowOverlap="1" wp14:anchorId="4B7AC73C" wp14:editId="7EEDE016">
              <wp:simplePos x="0" y="0"/>
              <wp:positionH relativeFrom="margin">
                <wp:posOffset>-279902</wp:posOffset>
              </wp:positionH>
              <wp:positionV relativeFrom="paragraph">
                <wp:posOffset>-485775</wp:posOffset>
              </wp:positionV>
              <wp:extent cx="6488264" cy="476250"/>
              <wp:effectExtent l="0" t="0" r="0" b="0"/>
              <wp:wrapNone/>
              <wp:docPr id="593" name="Caixa de Texto 59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7548A081"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7E426447"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540DFBE4"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ADEEB6E" w14:textId="372A854D" w:rsidR="002E3049" w:rsidRDefault="002E3049" w:rsidP="002E304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AC73C" id="_x0000_t202" coordsize="21600,21600" o:spt="202" path="m,l,21600r21600,l21600,xe">
              <v:stroke joinstyle="miter"/>
              <v:path gradientshapeok="t" o:connecttype="rect"/>
            </v:shapetype>
            <v:shape id="Caixa de Texto 593" o:spid="_x0000_s1061" type="#_x0000_t202" style="position:absolute;left:0;text-align:left;margin-left:-22.05pt;margin-top:-38.25pt;width:510.9pt;height: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" filled="f" stroked="f" strokeweight=".5pt">
              <v:textbox>
                <w:txbxContent>
                  <w:p w14:paraId="7548A081"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7E426447"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540DFBE4"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ADEEB6E" w14:textId="372A854D" w:rsidR="002E3049" w:rsidRDefault="002E3049" w:rsidP="002E3049">
                    <w:pPr>
                      <w:rPr>
                        <w:rFonts w:ascii="Futura Lt BT" w:hAnsi="Futura Lt BT"/>
                        <w:color w:val="FFFFFF" w:themeColor="background1"/>
                        <w:sz w:val="14"/>
                        <w:szCs w:val="14"/>
                      </w:rPr>
                    </w:pPr>
                  </w:p>
                </w:txbxContent>
              </v:textbox>
              <w10:wrap anchorx="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0C01" w14:textId="17981210" w:rsidR="00C70E47" w:rsidRDefault="00386E21" w:rsidP="00824E99">
    <w:pPr>
      <w:jc w:val="right"/>
    </w:pPr>
    <w:r>
      <w:rPr>
        <w:noProof/>
      </w:rPr>
      <w:drawing>
        <wp:anchor distT="0" distB="0" distL="114300" distR="114300" simplePos="0" relativeHeight="251658326" behindDoc="1" locked="0" layoutInCell="1" allowOverlap="1" wp14:anchorId="3FF9A0F7" wp14:editId="240FADF6">
          <wp:simplePos x="0" y="0"/>
          <wp:positionH relativeFrom="column">
            <wp:posOffset>-104775</wp:posOffset>
          </wp:positionH>
          <wp:positionV relativeFrom="paragraph">
            <wp:posOffset>-300990</wp:posOffset>
          </wp:positionV>
          <wp:extent cx="1670050" cy="381000"/>
          <wp:effectExtent l="0" t="0" r="6350" b="0"/>
          <wp:wrapTight wrapText="bothSides">
            <wp:wrapPolygon edited="0">
              <wp:start x="0" y="0"/>
              <wp:lineTo x="0" y="20520"/>
              <wp:lineTo x="21436" y="20520"/>
              <wp:lineTo x="21436" y="0"/>
              <wp:lineTo x="0" y="0"/>
            </wp:wrapPolygon>
          </wp:wrapTight>
          <wp:docPr id="60" name="Imagem 60"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381000"/>
                  </a:xfrm>
                  <a:prstGeom prst="rect">
                    <a:avLst/>
                  </a:prstGeom>
                  <a:noFill/>
                  <a:ln>
                    <a:noFill/>
                  </a:ln>
                </pic:spPr>
              </pic:pic>
            </a:graphicData>
          </a:graphic>
        </wp:anchor>
      </w:drawing>
    </w:r>
  </w:p>
  <w:p w14:paraId="761563C4" w14:textId="77777777" w:rsidR="00C70E47" w:rsidRPr="00A66E84" w:rsidRDefault="00C70E47" w:rsidP="00A66E84">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A70B" w14:textId="791A5634" w:rsidR="00133736" w:rsidRDefault="00386E21" w:rsidP="00D234C0">
    <w:pPr>
      <w:jc w:val="right"/>
    </w:pPr>
    <w:r>
      <w:rPr>
        <w:noProof/>
      </w:rPr>
      <w:drawing>
        <wp:anchor distT="0" distB="0" distL="114300" distR="114300" simplePos="0" relativeHeight="251658325" behindDoc="1" locked="0" layoutInCell="1" allowOverlap="1" wp14:anchorId="0269FE28" wp14:editId="28C48E69">
          <wp:simplePos x="0" y="0"/>
          <wp:positionH relativeFrom="column">
            <wp:posOffset>-57150</wp:posOffset>
          </wp:positionH>
          <wp:positionV relativeFrom="paragraph">
            <wp:posOffset>-377190</wp:posOffset>
          </wp:positionV>
          <wp:extent cx="1670050" cy="381000"/>
          <wp:effectExtent l="0" t="0" r="6350" b="0"/>
          <wp:wrapTight wrapText="bothSides">
            <wp:wrapPolygon edited="0">
              <wp:start x="0" y="0"/>
              <wp:lineTo x="0" y="20520"/>
              <wp:lineTo x="21436" y="20520"/>
              <wp:lineTo x="21436" y="0"/>
              <wp:lineTo x="0" y="0"/>
            </wp:wrapPolygon>
          </wp:wrapTight>
          <wp:docPr id="59" name="Imagem 59"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381000"/>
                  </a:xfrm>
                  <a:prstGeom prst="rect">
                    <a:avLst/>
                  </a:prstGeom>
                  <a:noFill/>
                  <a:ln>
                    <a:noFill/>
                  </a:ln>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380F" w14:textId="1214F5E0" w:rsidR="008E3D7B" w:rsidRDefault="00146838" w:rsidP="00824E99">
    <w:pPr>
      <w:jc w:val="right"/>
    </w:pPr>
    <w:r>
      <w:rPr>
        <w:noProof/>
      </w:rPr>
      <w:drawing>
        <wp:anchor distT="0" distB="0" distL="114300" distR="114300" simplePos="0" relativeHeight="251658330" behindDoc="0" locked="0" layoutInCell="1" allowOverlap="1" wp14:anchorId="492941CE" wp14:editId="08F5DD4F">
          <wp:simplePos x="0" y="0"/>
          <wp:positionH relativeFrom="margin">
            <wp:posOffset>0</wp:posOffset>
          </wp:positionH>
          <wp:positionV relativeFrom="paragraph">
            <wp:posOffset>-297815</wp:posOffset>
          </wp:positionV>
          <wp:extent cx="977900" cy="401955"/>
          <wp:effectExtent l="0" t="0" r="0" b="0"/>
          <wp:wrapSquare wrapText="bothSides"/>
          <wp:docPr id="465" name="Image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266" t="28883" r="15703" b="29646"/>
                  <a:stretch>
                    <a:fillRect/>
                  </a:stretch>
                </pic:blipFill>
                <pic:spPr bwMode="auto">
                  <a:xfrm>
                    <a:off x="0" y="0"/>
                    <a:ext cx="977900" cy="401955"/>
                  </a:xfrm>
                  <a:prstGeom prst="rect">
                    <a:avLst/>
                  </a:prstGeom>
                  <a:noFill/>
                </pic:spPr>
              </pic:pic>
            </a:graphicData>
          </a:graphic>
          <wp14:sizeRelH relativeFrom="margin">
            <wp14:pctWidth>0</wp14:pctWidth>
          </wp14:sizeRelH>
          <wp14:sizeRelV relativeFrom="margin">
            <wp14:pctHeight>0</wp14:pctHeight>
          </wp14:sizeRelV>
        </wp:anchor>
      </w:drawing>
    </w:r>
  </w:p>
  <w:p w14:paraId="27DD603E" w14:textId="77777777" w:rsidR="008E3D7B" w:rsidRPr="00A66E84" w:rsidRDefault="008E3D7B" w:rsidP="00A66E84">
    <w:pPr>
      <w:pStyle w:val="Cabealh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CA36" w14:textId="40058299" w:rsidR="00BE075E" w:rsidRDefault="00342C1E" w:rsidP="00D234C0">
    <w:pPr>
      <w:jc w:val="right"/>
    </w:pPr>
    <w:bookmarkStart w:id="112" w:name="_Hlk148344983"/>
    <w:bookmarkStart w:id="113" w:name="_Hlk148344984"/>
    <w:r>
      <w:rPr>
        <w:noProof/>
      </w:rPr>
      <w:drawing>
        <wp:anchor distT="0" distB="0" distL="114300" distR="114300" simplePos="0" relativeHeight="251658329" behindDoc="0" locked="0" layoutInCell="1" allowOverlap="1" wp14:anchorId="2E6FF13D" wp14:editId="60AD02BD">
          <wp:simplePos x="0" y="0"/>
          <wp:positionH relativeFrom="margin">
            <wp:posOffset>0</wp:posOffset>
          </wp:positionH>
          <wp:positionV relativeFrom="paragraph">
            <wp:posOffset>-439849</wp:posOffset>
          </wp:positionV>
          <wp:extent cx="978408" cy="402336"/>
          <wp:effectExtent l="0" t="0" r="0" b="0"/>
          <wp:wrapSquare wrapText="bothSides"/>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266" t="28883" r="15703" b="29646"/>
                  <a:stretch>
                    <a:fillRect/>
                  </a:stretch>
                </pic:blipFill>
                <pic:spPr bwMode="auto">
                  <a:xfrm>
                    <a:off x="0" y="0"/>
                    <a:ext cx="978408" cy="402336"/>
                  </a:xfrm>
                  <a:prstGeom prst="rect">
                    <a:avLst/>
                  </a:prstGeom>
                  <a:noFill/>
                </pic:spPr>
              </pic:pic>
            </a:graphicData>
          </a:graphic>
          <wp14:sizeRelH relativeFrom="margin">
            <wp14:pctWidth>0</wp14:pctWidth>
          </wp14:sizeRelH>
          <wp14:sizeRelV relativeFrom="margin">
            <wp14:pctHeight>0</wp14:pctHeight>
          </wp14:sizeRelV>
        </wp:anchor>
      </w:drawing>
    </w:r>
    <w:bookmarkEnd w:id="112"/>
    <w:bookmarkEnd w:id="11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6DFA" w14:textId="359CEF9C" w:rsidR="00335D13" w:rsidRDefault="002E3959" w:rsidP="006D3F99">
    <w:r>
      <w:rPr>
        <w:noProof/>
      </w:rPr>
      <mc:AlternateContent>
        <mc:Choice Requires="wps">
          <w:drawing>
            <wp:anchor distT="0" distB="0" distL="114300" distR="114300" simplePos="0" relativeHeight="251658318" behindDoc="0" locked="0" layoutInCell="1" allowOverlap="1" wp14:anchorId="2C6CC9AB" wp14:editId="275CA4D1">
              <wp:simplePos x="0" y="0"/>
              <wp:positionH relativeFrom="margin">
                <wp:posOffset>-588645</wp:posOffset>
              </wp:positionH>
              <wp:positionV relativeFrom="paragraph">
                <wp:posOffset>-603250</wp:posOffset>
              </wp:positionV>
              <wp:extent cx="6488264" cy="47625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0EF496E" w14:textId="1C08021F"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DEMONSTRAÇÕES CONTÁBEIS INDIVIDUAIS E CONSOLIDADAS </w:t>
                          </w:r>
                        </w:p>
                        <w:p w14:paraId="76E0B69B"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25CA5A9D"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49E5B3A4" w14:textId="257B2962" w:rsidR="00335D13" w:rsidRDefault="00335D13" w:rsidP="00335D13">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CC9AB" id="_x0000_t202" coordsize="21600,21600" o:spt="202" path="m,l,21600r21600,l21600,xe">
              <v:stroke joinstyle="miter"/>
              <v:path gradientshapeok="t" o:connecttype="rect"/>
            </v:shapetype>
            <v:shape id="Caixa de Texto 6" o:spid="_x0000_s1036" type="#_x0000_t202" style="position:absolute;margin-left:-46.35pt;margin-top:-47.5pt;width:510.9pt;height:37.5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keGwIAADM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PQ0xxbKI45noWfeGb6qsYc1&#10;c/6FWaQaJ0L5+mdcpAKsBYNFSQX259/uQzwygF5KWpROQd2PPbOCEvVNIzd3kywLWouH7OY2xYO9&#10;9myvPXrfPACqc4IfxfBohnivTqa00LyhypehKrqY5li7oP5kPvhe0PhLuFguYxCqyzC/1hvDQ+qA&#10;XUD4tXtj1gw0eCTwCU4iY/k7NvrYHvXl3oOsI1UB5x7VAX5UZmRw+EVB+tfnGHX564tfAA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GkU2R4bAgAAMwQAAA4AAAAAAAAAAAAAAAAALgIAAGRycy9lMm9Eb2MueG1sUEsB&#10;Ai0AFAAGAAgAAAAhAGzdRvrhAAAACwEAAA8AAAAAAAAAAAAAAAAAdQQAAGRycy9kb3ducmV2Lnht&#10;bFBLBQYAAAAABAAEAPMAAACDBQAAAAA=&#10;" filled="f" stroked="f" strokeweight=".5pt">
              <v:textbox>
                <w:txbxContent>
                  <w:p w14:paraId="00EF496E" w14:textId="1C08021F"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DEMONSTRAÇÕES CONTÁBEIS INDIVIDUAIS E CONSOLIDADAS </w:t>
                    </w:r>
                  </w:p>
                  <w:p w14:paraId="76E0B69B"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25CA5A9D"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49E5B3A4" w14:textId="257B2962" w:rsidR="00335D13" w:rsidRDefault="00335D13" w:rsidP="00335D13">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319" behindDoc="1" locked="0" layoutInCell="1" allowOverlap="1" wp14:anchorId="527E2840" wp14:editId="647C2F1B">
          <wp:simplePos x="0" y="0"/>
          <wp:positionH relativeFrom="column">
            <wp:posOffset>-927100</wp:posOffset>
          </wp:positionH>
          <wp:positionV relativeFrom="paragraph">
            <wp:posOffset>-719581</wp:posOffset>
          </wp:positionV>
          <wp:extent cx="7577455" cy="753110"/>
          <wp:effectExtent l="0" t="0" r="4445" b="889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EB36" w14:textId="5E7C518C" w:rsidR="005822FF" w:rsidRDefault="000616AB" w:rsidP="006D3F99">
    <w:r>
      <w:rPr>
        <w:noProof/>
      </w:rPr>
      <w:drawing>
        <wp:anchor distT="0" distB="0" distL="114300" distR="114300" simplePos="0" relativeHeight="251658313" behindDoc="1" locked="0" layoutInCell="1" allowOverlap="1" wp14:anchorId="2460802C" wp14:editId="62FE709E">
          <wp:simplePos x="0" y="0"/>
          <wp:positionH relativeFrom="column">
            <wp:posOffset>-919481</wp:posOffset>
          </wp:positionH>
          <wp:positionV relativeFrom="paragraph">
            <wp:posOffset>-720090</wp:posOffset>
          </wp:positionV>
          <wp:extent cx="7577455" cy="753110"/>
          <wp:effectExtent l="0" t="0" r="4445" b="889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2DD">
      <w:rPr>
        <w:noProof/>
      </w:rPr>
      <mc:AlternateContent>
        <mc:Choice Requires="wps">
          <w:drawing>
            <wp:anchor distT="0" distB="0" distL="114300" distR="114300" simplePos="0" relativeHeight="251658312" behindDoc="0" locked="0" layoutInCell="1" allowOverlap="1" wp14:anchorId="549A4691" wp14:editId="341DEF13">
              <wp:simplePos x="0" y="0"/>
              <wp:positionH relativeFrom="margin">
                <wp:posOffset>-350520</wp:posOffset>
              </wp:positionH>
              <wp:positionV relativeFrom="paragraph">
                <wp:posOffset>-546100</wp:posOffset>
              </wp:positionV>
              <wp:extent cx="6488264" cy="476250"/>
              <wp:effectExtent l="0" t="0" r="0" b="0"/>
              <wp:wrapNone/>
              <wp:docPr id="40" name="Caixa de Texto 40"/>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71ADB803" w14:textId="31EBAAD4" w:rsidR="005822FF" w:rsidRPr="00BE50B7" w:rsidRDefault="005822FF"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DEMONSTRAÇÕES CONTÁBEIS INDIVIDUAIS E CONSOLIDADAS </w:t>
                          </w:r>
                        </w:p>
                        <w:p w14:paraId="30793FFB" w14:textId="77777777" w:rsidR="005822FF" w:rsidRPr="00BE50B7" w:rsidRDefault="005822FF"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6984172" w14:textId="77777777" w:rsidR="005822FF" w:rsidRPr="00BE50B7" w:rsidRDefault="005822FF"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0A139446" w14:textId="77777777" w:rsidR="005822FF" w:rsidRDefault="005822FF" w:rsidP="00335D13">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A4691" id="_x0000_t202" coordsize="21600,21600" o:spt="202" path="m,l,21600r21600,l21600,xe">
              <v:stroke joinstyle="miter"/>
              <v:path gradientshapeok="t" o:connecttype="rect"/>
            </v:shapetype>
            <v:shape id="Caixa de Texto 40" o:spid="_x0000_s1037" type="#_x0000_t202" style="position:absolute;margin-left:-27.6pt;margin-top:-43pt;width:510.9pt;height:37.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bLGgIAADMEAAAOAAAAZHJzL2Uyb0RvYy54bWysU01vGyEQvVfqf0Dc67WdjeOu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" filled="f" stroked="f" strokeweight=".5pt">
              <v:textbox>
                <w:txbxContent>
                  <w:p w14:paraId="71ADB803" w14:textId="31EBAAD4" w:rsidR="005822FF" w:rsidRPr="00BE50B7" w:rsidRDefault="005822FF"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DEMONSTRAÇÕES CONTÁBEIS INDIVIDUAIS E CONSOLIDADAS </w:t>
                    </w:r>
                  </w:p>
                  <w:p w14:paraId="30793FFB" w14:textId="77777777" w:rsidR="005822FF" w:rsidRPr="00BE50B7" w:rsidRDefault="005822FF"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36984172" w14:textId="77777777" w:rsidR="005822FF" w:rsidRPr="00BE50B7" w:rsidRDefault="005822FF"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0A139446" w14:textId="77777777" w:rsidR="005822FF" w:rsidRDefault="005822FF" w:rsidP="00335D13">
                    <w:pPr>
                      <w:rPr>
                        <w:rFonts w:ascii="Futura Lt BT" w:hAnsi="Futura Lt BT"/>
                        <w:color w:val="FFFFFF" w:themeColor="background1"/>
                        <w:sz w:val="14"/>
                        <w:szCs w:val="14"/>
                      </w:rPr>
                    </w:pP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1A03" w14:textId="77777777" w:rsidR="006A2D94" w:rsidRDefault="006A2D94" w:rsidP="006D3F99">
    <w:r>
      <w:rPr>
        <w:noProof/>
      </w:rPr>
      <w:drawing>
        <wp:anchor distT="0" distB="0" distL="114300" distR="114300" simplePos="0" relativeHeight="251658328" behindDoc="1" locked="0" layoutInCell="1" allowOverlap="1" wp14:anchorId="1FE4D675" wp14:editId="0109EEE3">
          <wp:simplePos x="0" y="0"/>
          <wp:positionH relativeFrom="column">
            <wp:posOffset>-559436</wp:posOffset>
          </wp:positionH>
          <wp:positionV relativeFrom="paragraph">
            <wp:posOffset>-720090</wp:posOffset>
          </wp:positionV>
          <wp:extent cx="10696575" cy="753110"/>
          <wp:effectExtent l="0" t="0" r="9525" b="889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27" behindDoc="0" locked="0" layoutInCell="1" allowOverlap="1" wp14:anchorId="1D540D69" wp14:editId="3C9345EB">
              <wp:simplePos x="0" y="0"/>
              <wp:positionH relativeFrom="margin">
                <wp:posOffset>-350520</wp:posOffset>
              </wp:positionH>
              <wp:positionV relativeFrom="paragraph">
                <wp:posOffset>-546100</wp:posOffset>
              </wp:positionV>
              <wp:extent cx="6488264" cy="476250"/>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3FDA12D" w14:textId="77777777" w:rsidR="006A2D94" w:rsidRPr="00BE50B7" w:rsidRDefault="006A2D94"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DEMONSTRAÇÕES CONTÁBEIS INDIVIDUAIS E CONSOLIDADAS </w:t>
                          </w:r>
                        </w:p>
                        <w:p w14:paraId="341CF5F1" w14:textId="77777777" w:rsidR="006A2D94" w:rsidRPr="00BE50B7" w:rsidRDefault="006A2D94"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5613FA0A" w14:textId="77777777" w:rsidR="006A2D94" w:rsidRPr="00BE50B7" w:rsidRDefault="006A2D94"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576C2327" w14:textId="77777777" w:rsidR="006A2D94" w:rsidRDefault="006A2D94" w:rsidP="00335D13">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40D69" id="_x0000_t202" coordsize="21600,21600" o:spt="202" path="m,l,21600r21600,l21600,xe">
              <v:stroke joinstyle="miter"/>
              <v:path gradientshapeok="t" o:connecttype="rect"/>
            </v:shapetype>
            <v:shape id="Caixa de Texto 47" o:spid="_x0000_s1038" type="#_x0000_t202" style="position:absolute;margin-left:-27.6pt;margin-top:-43pt;width:510.9pt;height:37.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M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" filled="f" stroked="f" strokeweight=".5pt">
              <v:textbox>
                <w:txbxContent>
                  <w:p w14:paraId="03FDA12D" w14:textId="77777777" w:rsidR="006A2D94" w:rsidRPr="00BE50B7" w:rsidRDefault="006A2D94"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DEMONSTRAÇÕES CONTÁBEIS INDIVIDUAIS E CONSOLIDADAS </w:t>
                    </w:r>
                  </w:p>
                  <w:p w14:paraId="341CF5F1" w14:textId="77777777" w:rsidR="006A2D94" w:rsidRPr="00BE50B7" w:rsidRDefault="006A2D94"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5613FA0A" w14:textId="77777777" w:rsidR="006A2D94" w:rsidRPr="00BE50B7" w:rsidRDefault="006A2D94"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576C2327" w14:textId="77777777" w:rsidR="006A2D94" w:rsidRDefault="006A2D94" w:rsidP="00335D13">
                    <w:pPr>
                      <w:rPr>
                        <w:rFonts w:ascii="Futura Lt BT" w:hAnsi="Futura Lt BT"/>
                        <w:color w:val="FFFFFF" w:themeColor="background1"/>
                        <w:sz w:val="14"/>
                        <w:szCs w:val="14"/>
                      </w:rPr>
                    </w:pPr>
                  </w:p>
                </w:txbxContent>
              </v:textbox>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85DF" w14:textId="77777777" w:rsidR="00BE72DD" w:rsidRDefault="00BE72DD" w:rsidP="006D3F99">
    <w:r>
      <w:rPr>
        <w:noProof/>
      </w:rPr>
      <mc:AlternateContent>
        <mc:Choice Requires="wps">
          <w:drawing>
            <wp:anchor distT="0" distB="0" distL="114300" distR="114300" simplePos="0" relativeHeight="251658322" behindDoc="0" locked="0" layoutInCell="1" allowOverlap="1" wp14:anchorId="1B0F7748" wp14:editId="3B5FD2A2">
              <wp:simplePos x="0" y="0"/>
              <wp:positionH relativeFrom="margin">
                <wp:posOffset>-588645</wp:posOffset>
              </wp:positionH>
              <wp:positionV relativeFrom="paragraph">
                <wp:posOffset>-603250</wp:posOffset>
              </wp:positionV>
              <wp:extent cx="6488264" cy="476250"/>
              <wp:effectExtent l="0" t="0" r="0" b="0"/>
              <wp:wrapNone/>
              <wp:docPr id="450" name="Caixa de Texto 450"/>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25C863E" w14:textId="77777777" w:rsidR="00BE72DD" w:rsidRPr="00BE50B7" w:rsidRDefault="00BE72D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DEMONSTRAÇÕES CONTÁBEIS INDIVIDUAIS E CONSOLIDADAS </w:t>
                          </w:r>
                        </w:p>
                        <w:p w14:paraId="4296C8EC" w14:textId="77777777" w:rsidR="00BE72DD" w:rsidRPr="00BE50B7" w:rsidRDefault="00BE72D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2DA6DBC1" w14:textId="77777777" w:rsidR="00BE72DD" w:rsidRPr="00BE50B7" w:rsidRDefault="00BE72D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54942AB" w14:textId="77777777" w:rsidR="00BE72DD" w:rsidRDefault="00BE72DD" w:rsidP="00335D13">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F7748" id="_x0000_t202" coordsize="21600,21600" o:spt="202" path="m,l,21600r21600,l21600,xe">
              <v:stroke joinstyle="miter"/>
              <v:path gradientshapeok="t" o:connecttype="rect"/>
            </v:shapetype>
            <v:shape id="Caixa de Texto 450" o:spid="_x0000_s1039" type="#_x0000_t202" style="position:absolute;margin-left:-46.35pt;margin-top:-47.5pt;width:510.9pt;height:37.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NcBpFkbAgAAMwQAAA4AAAAAAAAAAAAAAAAALgIAAGRycy9lMm9Eb2MueG1sUEsB&#10;Ai0AFAAGAAgAAAAhAGzdRvrhAAAACwEAAA8AAAAAAAAAAAAAAAAAdQQAAGRycy9kb3ducmV2Lnht&#10;bFBLBQYAAAAABAAEAPMAAACDBQAAAAA=&#10;" filled="f" stroked="f" strokeweight=".5pt">
              <v:textbox>
                <w:txbxContent>
                  <w:p w14:paraId="525C863E" w14:textId="77777777" w:rsidR="00BE72DD" w:rsidRPr="00BE50B7" w:rsidRDefault="00BE72D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DEMONSTRAÇÕES CONTÁBEIS INDIVIDUAIS E CONSOLIDADAS </w:t>
                    </w:r>
                  </w:p>
                  <w:p w14:paraId="4296C8EC" w14:textId="77777777" w:rsidR="00BE72DD" w:rsidRPr="00BE50B7" w:rsidRDefault="00BE72D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2DA6DBC1" w14:textId="77777777" w:rsidR="00BE72DD" w:rsidRPr="00BE50B7" w:rsidRDefault="00BE72D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754942AB" w14:textId="77777777" w:rsidR="00BE72DD" w:rsidRDefault="00BE72DD" w:rsidP="00335D13">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323" behindDoc="1" locked="0" layoutInCell="1" allowOverlap="1" wp14:anchorId="662063A5" wp14:editId="039BA622">
          <wp:simplePos x="0" y="0"/>
          <wp:positionH relativeFrom="column">
            <wp:posOffset>-927100</wp:posOffset>
          </wp:positionH>
          <wp:positionV relativeFrom="paragraph">
            <wp:posOffset>-719581</wp:posOffset>
          </wp:positionV>
          <wp:extent cx="7577455" cy="753110"/>
          <wp:effectExtent l="0" t="0" r="4445" b="8890"/>
          <wp:wrapNone/>
          <wp:docPr id="451"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44A7" w14:textId="77777777" w:rsidR="005822FF" w:rsidRDefault="005822FF" w:rsidP="006D3F99">
    <w:r>
      <w:rPr>
        <w:noProof/>
      </w:rPr>
      <mc:AlternateContent>
        <mc:Choice Requires="wps">
          <w:drawing>
            <wp:anchor distT="0" distB="0" distL="114300" distR="114300" simplePos="0" relativeHeight="251658315" behindDoc="0" locked="0" layoutInCell="1" allowOverlap="1" wp14:anchorId="109AA897" wp14:editId="18426E3E">
              <wp:simplePos x="0" y="0"/>
              <wp:positionH relativeFrom="margin">
                <wp:posOffset>-588645</wp:posOffset>
              </wp:positionH>
              <wp:positionV relativeFrom="paragraph">
                <wp:posOffset>-603250</wp:posOffset>
              </wp:positionV>
              <wp:extent cx="6488264" cy="476250"/>
              <wp:effectExtent l="0" t="0" r="0" b="0"/>
              <wp:wrapNone/>
              <wp:docPr id="43" name="Caixa de Texto 4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41D1CDCB" w14:textId="77777777" w:rsidR="005822FF" w:rsidRPr="00BE50B7" w:rsidRDefault="005822FF"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28D0B3B9" w14:textId="77777777" w:rsidR="005822FF" w:rsidRPr="00BE50B7" w:rsidRDefault="005822FF"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698B84EA" w14:textId="77777777" w:rsidR="005822FF" w:rsidRPr="00BE50B7" w:rsidRDefault="005822FF"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876F481" w14:textId="77777777" w:rsidR="005822FF" w:rsidRDefault="005822FF" w:rsidP="00335D13">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AA897" id="_x0000_t202" coordsize="21600,21600" o:spt="202" path="m,l,21600r21600,l21600,xe">
              <v:stroke joinstyle="miter"/>
              <v:path gradientshapeok="t" o:connecttype="rect"/>
            </v:shapetype>
            <v:shape id="Caixa de Texto 43" o:spid="_x0000_s1040" type="#_x0000_t202" style="position:absolute;margin-left:-46.35pt;margin-top:-47.5pt;width:510.9pt;height:37.5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X9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" filled="f" stroked="f" strokeweight=".5pt">
              <v:textbox>
                <w:txbxContent>
                  <w:p w14:paraId="41D1CDCB" w14:textId="77777777" w:rsidR="005822FF" w:rsidRPr="00BE50B7" w:rsidRDefault="005822FF"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28D0B3B9" w14:textId="77777777" w:rsidR="005822FF" w:rsidRPr="00BE50B7" w:rsidRDefault="005822FF"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698B84EA" w14:textId="77777777" w:rsidR="005822FF" w:rsidRPr="00BE50B7" w:rsidRDefault="005822FF"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2876F481" w14:textId="77777777" w:rsidR="005822FF" w:rsidRDefault="005822FF" w:rsidP="00335D13">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316" behindDoc="1" locked="0" layoutInCell="1" allowOverlap="1" wp14:anchorId="478BFBA4" wp14:editId="6041A87B">
          <wp:simplePos x="0" y="0"/>
          <wp:positionH relativeFrom="column">
            <wp:posOffset>-927100</wp:posOffset>
          </wp:positionH>
          <wp:positionV relativeFrom="paragraph">
            <wp:posOffset>-719581</wp:posOffset>
          </wp:positionV>
          <wp:extent cx="7577455" cy="753110"/>
          <wp:effectExtent l="0" t="0" r="4445" b="889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4B46" w14:textId="4EB75DD2" w:rsidR="00091962" w:rsidRPr="00485B34" w:rsidRDefault="00FD696E" w:rsidP="00485B34">
    <w:pPr>
      <w:pStyle w:val="Cabealho"/>
    </w:pPr>
    <w:r>
      <w:rPr>
        <w:noProof/>
        <w:szCs w:val="24"/>
      </w:rPr>
      <mc:AlternateContent>
        <mc:Choice Requires="wps">
          <w:drawing>
            <wp:anchor distT="0" distB="0" distL="114300" distR="114300" simplePos="0" relativeHeight="251658257" behindDoc="0" locked="0" layoutInCell="1" allowOverlap="1" wp14:anchorId="7429F518" wp14:editId="41F7134A">
              <wp:simplePos x="0" y="0"/>
              <wp:positionH relativeFrom="margin">
                <wp:posOffset>-137436</wp:posOffset>
              </wp:positionH>
              <wp:positionV relativeFrom="paragraph">
                <wp:posOffset>-568960</wp:posOffset>
              </wp:positionV>
              <wp:extent cx="6488264" cy="47625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79784052"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15487936"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85EC3FE"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4BBC427B" w14:textId="0F66E552" w:rsidR="00485B34" w:rsidRDefault="00485B34" w:rsidP="00485B34">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9F518" id="_x0000_t202" coordsize="21600,21600" o:spt="202" path="m,l,21600r21600,l21600,xe">
              <v:stroke joinstyle="miter"/>
              <v:path gradientshapeok="t" o:connecttype="rect"/>
            </v:shapetype>
            <v:shape id="Caixa de Texto 5" o:spid="_x0000_s1041" type="#_x0000_t202" style="position:absolute;margin-left:-10.8pt;margin-top:-44.8pt;width:510.9pt;height:37.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" filled="f" stroked="f" strokeweight=".5pt">
              <v:textbox>
                <w:txbxContent>
                  <w:p w14:paraId="79784052"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15487936" w14:textId="77777777" w:rsidR="007C239D" w:rsidRPr="00BE50B7" w:rsidRDefault="007C239D" w:rsidP="007C239D">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30 DE JUNHO DE 2024</w:t>
                    </w:r>
                  </w:p>
                  <w:p w14:paraId="185EC3FE" w14:textId="77777777" w:rsidR="007C239D" w:rsidRPr="00BE50B7" w:rsidRDefault="007C239D" w:rsidP="007C239D">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4BBC427B" w14:textId="0F66E552" w:rsidR="00485B34" w:rsidRDefault="00485B34" w:rsidP="00485B34">
                    <w:pPr>
                      <w:rPr>
                        <w:rFonts w:ascii="Futura Lt BT" w:hAnsi="Futura Lt BT"/>
                        <w:color w:val="FFFFFF" w:themeColor="background1"/>
                        <w:sz w:val="14"/>
                        <w:szCs w:val="14"/>
                      </w:rPr>
                    </w:pPr>
                  </w:p>
                </w:txbxContent>
              </v:textbox>
              <w10:wrap anchorx="margin"/>
            </v:shape>
          </w:pict>
        </mc:Fallback>
      </mc:AlternateContent>
    </w:r>
    <w:r w:rsidR="00FF2505">
      <w:rPr>
        <w:noProof/>
      </w:rPr>
      <w:drawing>
        <wp:anchor distT="0" distB="0" distL="114300" distR="114300" simplePos="0" relativeHeight="251658274" behindDoc="1" locked="0" layoutInCell="1" allowOverlap="1" wp14:anchorId="5F2CB4D4" wp14:editId="3BFCCD7B">
          <wp:simplePos x="0" y="0"/>
          <wp:positionH relativeFrom="column">
            <wp:posOffset>-576599</wp:posOffset>
          </wp:positionH>
          <wp:positionV relativeFrom="paragraph">
            <wp:posOffset>-720089</wp:posOffset>
          </wp:positionV>
          <wp:extent cx="10727690" cy="778598"/>
          <wp:effectExtent l="0" t="0" r="0" b="2540"/>
          <wp:wrapNone/>
          <wp:docPr id="493" name="Imagem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0035" cy="7816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72" w:hanging="101"/>
      </w:pPr>
      <w:rPr>
        <w:rFonts w:ascii="Calibri" w:hAnsi="Calibri"/>
        <w:b w:val="0"/>
        <w:w w:val="61"/>
        <w:sz w:val="19"/>
      </w:rPr>
    </w:lvl>
    <w:lvl w:ilvl="1">
      <w:numFmt w:val="bullet"/>
      <w:lvlText w:val="−"/>
      <w:lvlJc w:val="left"/>
      <w:pPr>
        <w:ind w:left="1045" w:hanging="361"/>
      </w:pPr>
      <w:rPr>
        <w:rFonts w:ascii="Calibri" w:hAnsi="Calibri"/>
        <w:b w:val="0"/>
        <w:w w:val="61"/>
        <w:sz w:val="19"/>
      </w:rPr>
    </w:lvl>
    <w:lvl w:ilvl="2">
      <w:numFmt w:val="bullet"/>
      <w:lvlText w:val="•"/>
      <w:lvlJc w:val="left"/>
      <w:pPr>
        <w:ind w:left="1911" w:hanging="361"/>
      </w:pPr>
    </w:lvl>
    <w:lvl w:ilvl="3">
      <w:numFmt w:val="bullet"/>
      <w:lvlText w:val="•"/>
      <w:lvlJc w:val="left"/>
      <w:pPr>
        <w:ind w:left="2783" w:hanging="361"/>
      </w:pPr>
    </w:lvl>
    <w:lvl w:ilvl="4">
      <w:numFmt w:val="bullet"/>
      <w:lvlText w:val="•"/>
      <w:lvlJc w:val="left"/>
      <w:pPr>
        <w:ind w:left="3654" w:hanging="361"/>
      </w:pPr>
    </w:lvl>
    <w:lvl w:ilvl="5">
      <w:numFmt w:val="bullet"/>
      <w:lvlText w:val="•"/>
      <w:lvlJc w:val="left"/>
      <w:pPr>
        <w:ind w:left="4526" w:hanging="361"/>
      </w:pPr>
    </w:lvl>
    <w:lvl w:ilvl="6">
      <w:numFmt w:val="bullet"/>
      <w:lvlText w:val="•"/>
      <w:lvlJc w:val="left"/>
      <w:pPr>
        <w:ind w:left="5398" w:hanging="361"/>
      </w:pPr>
    </w:lvl>
    <w:lvl w:ilvl="7">
      <w:numFmt w:val="bullet"/>
      <w:lvlText w:val="•"/>
      <w:lvlJc w:val="left"/>
      <w:pPr>
        <w:ind w:left="6269" w:hanging="361"/>
      </w:pPr>
    </w:lvl>
    <w:lvl w:ilvl="8">
      <w:numFmt w:val="bullet"/>
      <w:lvlText w:val="•"/>
      <w:lvlJc w:val="left"/>
      <w:pPr>
        <w:ind w:left="7141" w:hanging="361"/>
      </w:pPr>
    </w:lvl>
  </w:abstractNum>
  <w:abstractNum w:abstractNumId="1" w15:restartNumberingAfterBreak="0">
    <w:nsid w:val="004764E5"/>
    <w:multiLevelType w:val="hybridMultilevel"/>
    <w:tmpl w:val="0D5E44A4"/>
    <w:lvl w:ilvl="0" w:tplc="A76EA5C2">
      <w:start w:val="1"/>
      <w:numFmt w:val="lowerLetter"/>
      <w:lvlText w:val="(%1)"/>
      <w:lvlJc w:val="left"/>
      <w:pPr>
        <w:ind w:left="1065" w:hanging="705"/>
      </w:pPr>
      <w:rPr>
        <w:rFonts w:ascii="CAIXA Std Book" w:hAnsi="CAIXA Std Book"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33527C9"/>
    <w:multiLevelType w:val="hybridMultilevel"/>
    <w:tmpl w:val="364E9F14"/>
    <w:lvl w:ilvl="0" w:tplc="3F703608">
      <w:start w:val="1"/>
      <w:numFmt w:val="lowerLetter"/>
      <w:lvlText w:val="(%1)"/>
      <w:lvlJc w:val="left"/>
      <w:pPr>
        <w:ind w:left="6030" w:hanging="360"/>
      </w:pPr>
      <w:rPr>
        <w:rFonts w:cs="Yu Mincho Light" w:hint="default"/>
        <w:sz w:val="20"/>
        <w:szCs w:val="20"/>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3" w15:restartNumberingAfterBreak="0">
    <w:nsid w:val="06192761"/>
    <w:multiLevelType w:val="hybridMultilevel"/>
    <w:tmpl w:val="F0B85A58"/>
    <w:lvl w:ilvl="0" w:tplc="83305B9C">
      <w:start w:val="1"/>
      <w:numFmt w:val="low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6C311D1"/>
    <w:multiLevelType w:val="hybridMultilevel"/>
    <w:tmpl w:val="26B0B330"/>
    <w:lvl w:ilvl="0" w:tplc="BAE0A346">
      <w:start w:val="2"/>
      <w:numFmt w:val="lowerLetter"/>
      <w:lvlText w:val="(%1)"/>
      <w:lvlJc w:val="left"/>
      <w:pPr>
        <w:ind w:left="680" w:hanging="680"/>
      </w:pPr>
      <w:rPr>
        <w:rFonts w:ascii="CAIXA Std Book" w:hAnsi="CAIXA Std Book" w:hint="default"/>
        <w:b/>
        <w:color w:val="005CA9"/>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94965E4"/>
    <w:multiLevelType w:val="hybridMultilevel"/>
    <w:tmpl w:val="CFDA5F18"/>
    <w:lvl w:ilvl="0" w:tplc="F754FEBA">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6" w15:restartNumberingAfterBreak="0">
    <w:nsid w:val="11423520"/>
    <w:multiLevelType w:val="hybridMultilevel"/>
    <w:tmpl w:val="83CCB708"/>
    <w:lvl w:ilvl="0" w:tplc="63AAEE0C">
      <w:start w:val="1"/>
      <w:numFmt w:val="decimal"/>
      <w:lvlText w:val="(%1)"/>
      <w:lvlJc w:val="left"/>
      <w:pPr>
        <w:ind w:left="360" w:hanging="360"/>
      </w:pPr>
      <w:rPr>
        <w:rFonts w:hint="default"/>
      </w:rPr>
    </w:lvl>
    <w:lvl w:ilvl="1" w:tplc="64BC11A6">
      <w:start w:val="1"/>
      <w:numFmt w:val="lowerLetter"/>
      <w:lvlText w:val="(%2)"/>
      <w:lvlJc w:val="left"/>
      <w:pPr>
        <w:ind w:left="680" w:hanging="68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14610251"/>
    <w:multiLevelType w:val="hybridMultilevel"/>
    <w:tmpl w:val="66AC6656"/>
    <w:lvl w:ilvl="0" w:tplc="AC0498D4">
      <w:start w:val="1"/>
      <w:numFmt w:val="decimal"/>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8" w15:restartNumberingAfterBreak="0">
    <w:nsid w:val="15406090"/>
    <w:multiLevelType w:val="hybridMultilevel"/>
    <w:tmpl w:val="7C04290C"/>
    <w:lvl w:ilvl="0" w:tplc="0408E96E">
      <w:start w:val="1"/>
      <w:numFmt w:val="bullet"/>
      <w:lvlRestart w:val="0"/>
      <w:pStyle w:val="Marcador1"/>
      <w:lvlText w:val=""/>
      <w:lvlJc w:val="left"/>
      <w:pPr>
        <w:tabs>
          <w:tab w:val="num" w:pos="0"/>
        </w:tabs>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F4735B"/>
    <w:multiLevelType w:val="hybridMultilevel"/>
    <w:tmpl w:val="F5545AB8"/>
    <w:lvl w:ilvl="0" w:tplc="958A612A">
      <w:start w:val="1"/>
      <w:numFmt w:val="lowerLetter"/>
      <w:lvlText w:val="(%1)"/>
      <w:lvlJc w:val="left"/>
      <w:pPr>
        <w:ind w:left="567" w:hanging="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E194B5B"/>
    <w:multiLevelType w:val="hybridMultilevel"/>
    <w:tmpl w:val="B0509BB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4866A5B"/>
    <w:multiLevelType w:val="hybridMultilevel"/>
    <w:tmpl w:val="E1E23C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9E86A70"/>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3" w15:restartNumberingAfterBreak="0">
    <w:nsid w:val="2C157005"/>
    <w:multiLevelType w:val="hybridMultilevel"/>
    <w:tmpl w:val="32C28420"/>
    <w:lvl w:ilvl="0" w:tplc="8C02B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D500F83"/>
    <w:multiLevelType w:val="hybridMultilevel"/>
    <w:tmpl w:val="90A8E348"/>
    <w:lvl w:ilvl="0" w:tplc="D8DC2162">
      <w:start w:val="1"/>
      <w:numFmt w:val="lowerLetter"/>
      <w:lvlText w:val="(%1)"/>
      <w:lvlJc w:val="left"/>
      <w:pPr>
        <w:tabs>
          <w:tab w:val="num" w:pos="2770"/>
        </w:tabs>
        <w:ind w:left="2770" w:hanging="360"/>
      </w:pPr>
      <w:rPr>
        <w:rFonts w:cs="Yu Mincho Light" w:hint="default"/>
        <w:color w:val="005CA9"/>
      </w:rPr>
    </w:lvl>
    <w:lvl w:ilvl="1" w:tplc="04160019" w:tentative="1">
      <w:start w:val="1"/>
      <w:numFmt w:val="lowerLetter"/>
      <w:lvlText w:val="%2."/>
      <w:lvlJc w:val="left"/>
      <w:pPr>
        <w:tabs>
          <w:tab w:val="num" w:pos="1789"/>
        </w:tabs>
        <w:ind w:left="1789" w:hanging="360"/>
      </w:pPr>
      <w:rPr>
        <w:rFonts w:cs="Yu Mincho Light"/>
      </w:rPr>
    </w:lvl>
    <w:lvl w:ilvl="2" w:tplc="0416001B" w:tentative="1">
      <w:start w:val="1"/>
      <w:numFmt w:val="lowerRoman"/>
      <w:lvlText w:val="%3."/>
      <w:lvlJc w:val="right"/>
      <w:pPr>
        <w:tabs>
          <w:tab w:val="num" w:pos="2509"/>
        </w:tabs>
        <w:ind w:left="2509" w:hanging="180"/>
      </w:pPr>
      <w:rPr>
        <w:rFonts w:cs="Yu Mincho Light"/>
      </w:rPr>
    </w:lvl>
    <w:lvl w:ilvl="3" w:tplc="0416000F" w:tentative="1">
      <w:start w:val="1"/>
      <w:numFmt w:val="decimal"/>
      <w:lvlText w:val="%4."/>
      <w:lvlJc w:val="left"/>
      <w:pPr>
        <w:tabs>
          <w:tab w:val="num" w:pos="3229"/>
        </w:tabs>
        <w:ind w:left="3229" w:hanging="360"/>
      </w:pPr>
      <w:rPr>
        <w:rFonts w:cs="Yu Mincho Light"/>
      </w:rPr>
    </w:lvl>
    <w:lvl w:ilvl="4" w:tplc="04160019" w:tentative="1">
      <w:start w:val="1"/>
      <w:numFmt w:val="lowerLetter"/>
      <w:lvlText w:val="%5."/>
      <w:lvlJc w:val="left"/>
      <w:pPr>
        <w:tabs>
          <w:tab w:val="num" w:pos="3949"/>
        </w:tabs>
        <w:ind w:left="3949" w:hanging="360"/>
      </w:pPr>
      <w:rPr>
        <w:rFonts w:cs="Yu Mincho Light"/>
      </w:rPr>
    </w:lvl>
    <w:lvl w:ilvl="5" w:tplc="0416001B" w:tentative="1">
      <w:start w:val="1"/>
      <w:numFmt w:val="lowerRoman"/>
      <w:lvlText w:val="%6."/>
      <w:lvlJc w:val="right"/>
      <w:pPr>
        <w:tabs>
          <w:tab w:val="num" w:pos="4669"/>
        </w:tabs>
        <w:ind w:left="4669" w:hanging="180"/>
      </w:pPr>
      <w:rPr>
        <w:rFonts w:cs="Yu Mincho Light"/>
      </w:rPr>
    </w:lvl>
    <w:lvl w:ilvl="6" w:tplc="0416000F" w:tentative="1">
      <w:start w:val="1"/>
      <w:numFmt w:val="decimal"/>
      <w:lvlText w:val="%7."/>
      <w:lvlJc w:val="left"/>
      <w:pPr>
        <w:tabs>
          <w:tab w:val="num" w:pos="5389"/>
        </w:tabs>
        <w:ind w:left="5389" w:hanging="360"/>
      </w:pPr>
      <w:rPr>
        <w:rFonts w:cs="Yu Mincho Light"/>
      </w:rPr>
    </w:lvl>
    <w:lvl w:ilvl="7" w:tplc="04160019" w:tentative="1">
      <w:start w:val="1"/>
      <w:numFmt w:val="lowerLetter"/>
      <w:lvlText w:val="%8."/>
      <w:lvlJc w:val="left"/>
      <w:pPr>
        <w:tabs>
          <w:tab w:val="num" w:pos="6109"/>
        </w:tabs>
        <w:ind w:left="6109" w:hanging="360"/>
      </w:pPr>
      <w:rPr>
        <w:rFonts w:cs="Yu Mincho Light"/>
      </w:rPr>
    </w:lvl>
    <w:lvl w:ilvl="8" w:tplc="0416001B" w:tentative="1">
      <w:start w:val="1"/>
      <w:numFmt w:val="lowerRoman"/>
      <w:lvlText w:val="%9."/>
      <w:lvlJc w:val="right"/>
      <w:pPr>
        <w:tabs>
          <w:tab w:val="num" w:pos="6829"/>
        </w:tabs>
        <w:ind w:left="6829" w:hanging="180"/>
      </w:pPr>
      <w:rPr>
        <w:rFonts w:cs="Yu Mincho Light"/>
      </w:rPr>
    </w:lvl>
  </w:abstractNum>
  <w:abstractNum w:abstractNumId="15" w15:restartNumberingAfterBreak="0">
    <w:nsid w:val="2E360447"/>
    <w:multiLevelType w:val="hybridMultilevel"/>
    <w:tmpl w:val="AE00B5A2"/>
    <w:lvl w:ilvl="0" w:tplc="33967CA0">
      <w:start w:val="1"/>
      <w:numFmt w:val="lowerLetter"/>
      <w:lvlText w:val="(%1)"/>
      <w:lvlJc w:val="left"/>
      <w:pPr>
        <w:ind w:left="7023"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15:restartNumberingAfterBreak="0">
    <w:nsid w:val="2E727840"/>
    <w:multiLevelType w:val="multilevel"/>
    <w:tmpl w:val="19FA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A83474"/>
    <w:multiLevelType w:val="hybridMultilevel"/>
    <w:tmpl w:val="07B89FB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92A30EB"/>
    <w:multiLevelType w:val="hybridMultilevel"/>
    <w:tmpl w:val="9DE609BE"/>
    <w:lvl w:ilvl="0" w:tplc="FCC0F368">
      <w:start w:val="1"/>
      <w:numFmt w:val="decimal"/>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9" w15:restartNumberingAfterBreak="0">
    <w:nsid w:val="3DC61634"/>
    <w:multiLevelType w:val="hybridMultilevel"/>
    <w:tmpl w:val="7DBE3EF6"/>
    <w:lvl w:ilvl="0" w:tplc="F0FED2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60D111B"/>
    <w:multiLevelType w:val="hybridMultilevel"/>
    <w:tmpl w:val="D494DAA2"/>
    <w:lvl w:ilvl="0" w:tplc="627A7E5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0F17AA5"/>
    <w:multiLevelType w:val="hybridMultilevel"/>
    <w:tmpl w:val="D94A821C"/>
    <w:lvl w:ilvl="0" w:tplc="04160001">
      <w:start w:val="1"/>
      <w:numFmt w:val="bullet"/>
      <w:lvlText w:val=""/>
      <w:lvlJc w:val="left"/>
      <w:pPr>
        <w:ind w:left="262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7452B40"/>
    <w:multiLevelType w:val="hybridMultilevel"/>
    <w:tmpl w:val="A33CE482"/>
    <w:lvl w:ilvl="0" w:tplc="A79C847E">
      <w:start w:val="1"/>
      <w:numFmt w:val="lowerLetter"/>
      <w:lvlText w:val="(%1)"/>
      <w:lvlJc w:val="left"/>
      <w:pPr>
        <w:tabs>
          <w:tab w:val="num" w:pos="-272"/>
        </w:tabs>
        <w:ind w:left="-272" w:firstLine="272"/>
      </w:pPr>
      <w:rPr>
        <w:rFonts w:cs="Yu Mincho Light" w:hint="default"/>
        <w:b/>
        <w:bCs/>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23" w15:restartNumberingAfterBreak="0">
    <w:nsid w:val="582E33B5"/>
    <w:multiLevelType w:val="hybridMultilevel"/>
    <w:tmpl w:val="3FC833FA"/>
    <w:lvl w:ilvl="0" w:tplc="7584BAB8">
      <w:start w:val="1"/>
      <w:numFmt w:val="lowerLetter"/>
      <w:lvlText w:val="(%1)"/>
      <w:lvlJc w:val="left"/>
      <w:pPr>
        <w:ind w:left="720" w:hanging="360"/>
      </w:pPr>
      <w:rPr>
        <w:rFonts w:ascii="CAIXA Std Book" w:hAnsi="CAIXA Std Book" w:hint="default"/>
        <w:b/>
        <w:color w:val="005CA9"/>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90445A9"/>
    <w:multiLevelType w:val="hybridMultilevel"/>
    <w:tmpl w:val="43A22308"/>
    <w:lvl w:ilvl="0" w:tplc="6C649536">
      <w:start w:val="1"/>
      <w:numFmt w:val="lowerLetter"/>
      <w:lvlText w:val="(%1)"/>
      <w:lvlJc w:val="left"/>
      <w:pPr>
        <w:ind w:left="1231" w:hanging="360"/>
      </w:pPr>
      <w:rPr>
        <w:rFonts w:hint="default"/>
      </w:rPr>
    </w:lvl>
    <w:lvl w:ilvl="1" w:tplc="04160019" w:tentative="1">
      <w:start w:val="1"/>
      <w:numFmt w:val="lowerLetter"/>
      <w:lvlText w:val="%2."/>
      <w:lvlJc w:val="left"/>
      <w:pPr>
        <w:ind w:left="1951" w:hanging="360"/>
      </w:pPr>
    </w:lvl>
    <w:lvl w:ilvl="2" w:tplc="0416001B" w:tentative="1">
      <w:start w:val="1"/>
      <w:numFmt w:val="lowerRoman"/>
      <w:lvlText w:val="%3."/>
      <w:lvlJc w:val="right"/>
      <w:pPr>
        <w:ind w:left="2671" w:hanging="180"/>
      </w:pPr>
    </w:lvl>
    <w:lvl w:ilvl="3" w:tplc="0416000F" w:tentative="1">
      <w:start w:val="1"/>
      <w:numFmt w:val="decimal"/>
      <w:lvlText w:val="%4."/>
      <w:lvlJc w:val="left"/>
      <w:pPr>
        <w:ind w:left="3391" w:hanging="360"/>
      </w:pPr>
    </w:lvl>
    <w:lvl w:ilvl="4" w:tplc="04160019" w:tentative="1">
      <w:start w:val="1"/>
      <w:numFmt w:val="lowerLetter"/>
      <w:lvlText w:val="%5."/>
      <w:lvlJc w:val="left"/>
      <w:pPr>
        <w:ind w:left="4111" w:hanging="360"/>
      </w:pPr>
    </w:lvl>
    <w:lvl w:ilvl="5" w:tplc="0416001B" w:tentative="1">
      <w:start w:val="1"/>
      <w:numFmt w:val="lowerRoman"/>
      <w:lvlText w:val="%6."/>
      <w:lvlJc w:val="right"/>
      <w:pPr>
        <w:ind w:left="4831" w:hanging="180"/>
      </w:pPr>
    </w:lvl>
    <w:lvl w:ilvl="6" w:tplc="0416000F" w:tentative="1">
      <w:start w:val="1"/>
      <w:numFmt w:val="decimal"/>
      <w:lvlText w:val="%7."/>
      <w:lvlJc w:val="left"/>
      <w:pPr>
        <w:ind w:left="5551" w:hanging="360"/>
      </w:pPr>
    </w:lvl>
    <w:lvl w:ilvl="7" w:tplc="04160019" w:tentative="1">
      <w:start w:val="1"/>
      <w:numFmt w:val="lowerLetter"/>
      <w:lvlText w:val="%8."/>
      <w:lvlJc w:val="left"/>
      <w:pPr>
        <w:ind w:left="6271" w:hanging="360"/>
      </w:pPr>
    </w:lvl>
    <w:lvl w:ilvl="8" w:tplc="0416001B" w:tentative="1">
      <w:start w:val="1"/>
      <w:numFmt w:val="lowerRoman"/>
      <w:lvlText w:val="%9."/>
      <w:lvlJc w:val="right"/>
      <w:pPr>
        <w:ind w:left="6991" w:hanging="180"/>
      </w:pPr>
    </w:lvl>
  </w:abstractNum>
  <w:abstractNum w:abstractNumId="25" w15:restartNumberingAfterBreak="0">
    <w:nsid w:val="5BC4284C"/>
    <w:multiLevelType w:val="hybridMultilevel"/>
    <w:tmpl w:val="3A147E04"/>
    <w:lvl w:ilvl="0" w:tplc="63AAEE0C">
      <w:start w:val="1"/>
      <w:numFmt w:val="decimal"/>
      <w:lvlText w:val="(%1)"/>
      <w:lvlJc w:val="left"/>
      <w:pPr>
        <w:ind w:left="720" w:hanging="360"/>
      </w:pPr>
      <w:rPr>
        <w:rFonts w:hint="default"/>
      </w:rPr>
    </w:lvl>
    <w:lvl w:ilvl="1" w:tplc="F22ABD3C">
      <w:start w:val="1"/>
      <w:numFmt w:val="lowerLetter"/>
      <w:lvlText w:val="(%2)"/>
      <w:lvlJc w:val="left"/>
      <w:pPr>
        <w:ind w:left="680" w:hanging="680"/>
      </w:pPr>
      <w:rPr>
        <w:rFonts w:ascii="CAIXA Std Book" w:hAnsi="CAIXA Std Book" w:hint="default"/>
        <w:b/>
        <w:color w:val="005CA9"/>
        <w:sz w:val="20"/>
        <w:szCs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CBB49DC"/>
    <w:multiLevelType w:val="hybridMultilevel"/>
    <w:tmpl w:val="857ED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6474D7"/>
    <w:multiLevelType w:val="hybridMultilevel"/>
    <w:tmpl w:val="BC7A33A6"/>
    <w:lvl w:ilvl="0" w:tplc="E5825CB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0D0573D"/>
    <w:multiLevelType w:val="multilevel"/>
    <w:tmpl w:val="71EABB54"/>
    <w:lvl w:ilvl="0">
      <w:start w:val="1"/>
      <w:numFmt w:val="decimal"/>
      <w:lvlText w:val="%1"/>
      <w:lvlJc w:val="left"/>
      <w:pPr>
        <w:tabs>
          <w:tab w:val="num" w:pos="1410"/>
        </w:tabs>
        <w:ind w:left="1410" w:hanging="705"/>
      </w:pPr>
      <w:rPr>
        <w:rFonts w:hint="default"/>
      </w:rPr>
    </w:lvl>
    <w:lvl w:ilvl="1">
      <w:start w:val="1"/>
      <w:numFmt w:val="decimal"/>
      <w:isLgl/>
      <w:lvlText w:val="%1.%2"/>
      <w:lvlJc w:val="left"/>
      <w:pPr>
        <w:tabs>
          <w:tab w:val="num" w:pos="1410"/>
        </w:tabs>
        <w:ind w:left="1410" w:hanging="705"/>
      </w:pPr>
      <w:rPr>
        <w:rFonts w:hint="default"/>
        <w:b/>
        <w:bCs w:val="0"/>
        <w:color w:val="0070C0"/>
      </w:rPr>
    </w:lvl>
    <w:lvl w:ilvl="2">
      <w:start w:val="1"/>
      <w:numFmt w:val="decimal"/>
      <w:isLgl/>
      <w:lvlText w:val="%1.%2.%3"/>
      <w:lvlJc w:val="left"/>
      <w:pPr>
        <w:tabs>
          <w:tab w:val="num" w:pos="862"/>
        </w:tabs>
        <w:ind w:left="862" w:hanging="720"/>
      </w:pPr>
      <w:rPr>
        <w:rFonts w:hint="default"/>
        <w:color w:val="auto"/>
      </w:rPr>
    </w:lvl>
    <w:lvl w:ilvl="3">
      <w:start w:val="1"/>
      <w:numFmt w:val="decimal"/>
      <w:isLgl/>
      <w:lvlText w:val="%1.%2.%3.%4"/>
      <w:lvlJc w:val="left"/>
      <w:pPr>
        <w:tabs>
          <w:tab w:val="num" w:pos="1425"/>
        </w:tabs>
        <w:ind w:left="1425" w:hanging="720"/>
      </w:pPr>
      <w:rPr>
        <w:rFonts w:hint="default"/>
        <w:color w:val="auto"/>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1785"/>
        </w:tabs>
        <w:ind w:left="1785" w:hanging="108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145"/>
        </w:tabs>
        <w:ind w:left="2145" w:hanging="1440"/>
      </w:pPr>
      <w:rPr>
        <w:rFonts w:hint="default"/>
      </w:rPr>
    </w:lvl>
    <w:lvl w:ilvl="8">
      <w:start w:val="1"/>
      <w:numFmt w:val="decimal"/>
      <w:isLgl/>
      <w:lvlText w:val="%1.%2.%3.%4.%5.%6.%7.%8.%9"/>
      <w:lvlJc w:val="left"/>
      <w:pPr>
        <w:tabs>
          <w:tab w:val="num" w:pos="2505"/>
        </w:tabs>
        <w:ind w:left="2505" w:hanging="1800"/>
      </w:pPr>
      <w:rPr>
        <w:rFonts w:hint="default"/>
      </w:rPr>
    </w:lvl>
  </w:abstractNum>
  <w:abstractNum w:abstractNumId="29" w15:restartNumberingAfterBreak="0">
    <w:nsid w:val="610A7878"/>
    <w:multiLevelType w:val="hybridMultilevel"/>
    <w:tmpl w:val="EB2EC886"/>
    <w:lvl w:ilvl="0" w:tplc="41CEEFDE">
      <w:start w:val="1"/>
      <w:numFmt w:val="lowerLetter"/>
      <w:lvlText w:val="(%1)"/>
      <w:lvlJc w:val="left"/>
      <w:pPr>
        <w:ind w:left="644" w:hanging="360"/>
      </w:pPr>
      <w:rPr>
        <w:rFonts w:hint="default"/>
        <w:b/>
        <w:bCs/>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0" w15:restartNumberingAfterBreak="0">
    <w:nsid w:val="61123875"/>
    <w:multiLevelType w:val="hybridMultilevel"/>
    <w:tmpl w:val="2E34C920"/>
    <w:lvl w:ilvl="0" w:tplc="04160001">
      <w:start w:val="1"/>
      <w:numFmt w:val="bullet"/>
      <w:lvlText w:val=""/>
      <w:lvlJc w:val="left"/>
      <w:pPr>
        <w:ind w:left="768" w:hanging="360"/>
      </w:pPr>
      <w:rPr>
        <w:rFonts w:ascii="Symbol" w:hAnsi="Symbol" w:hint="default"/>
      </w:rPr>
    </w:lvl>
    <w:lvl w:ilvl="1" w:tplc="04160003" w:tentative="1">
      <w:start w:val="1"/>
      <w:numFmt w:val="bullet"/>
      <w:lvlText w:val="o"/>
      <w:lvlJc w:val="left"/>
      <w:pPr>
        <w:ind w:left="1488" w:hanging="360"/>
      </w:pPr>
      <w:rPr>
        <w:rFonts w:ascii="Courier New" w:hAnsi="Courier New" w:cs="Courier New" w:hint="default"/>
      </w:rPr>
    </w:lvl>
    <w:lvl w:ilvl="2" w:tplc="04160005" w:tentative="1">
      <w:start w:val="1"/>
      <w:numFmt w:val="bullet"/>
      <w:lvlText w:val=""/>
      <w:lvlJc w:val="left"/>
      <w:pPr>
        <w:ind w:left="2208" w:hanging="360"/>
      </w:pPr>
      <w:rPr>
        <w:rFonts w:ascii="Wingdings" w:hAnsi="Wingdings" w:hint="default"/>
      </w:rPr>
    </w:lvl>
    <w:lvl w:ilvl="3" w:tplc="04160001" w:tentative="1">
      <w:start w:val="1"/>
      <w:numFmt w:val="bullet"/>
      <w:lvlText w:val=""/>
      <w:lvlJc w:val="left"/>
      <w:pPr>
        <w:ind w:left="2928" w:hanging="360"/>
      </w:pPr>
      <w:rPr>
        <w:rFonts w:ascii="Symbol" w:hAnsi="Symbol" w:hint="default"/>
      </w:rPr>
    </w:lvl>
    <w:lvl w:ilvl="4" w:tplc="04160003" w:tentative="1">
      <w:start w:val="1"/>
      <w:numFmt w:val="bullet"/>
      <w:lvlText w:val="o"/>
      <w:lvlJc w:val="left"/>
      <w:pPr>
        <w:ind w:left="3648" w:hanging="360"/>
      </w:pPr>
      <w:rPr>
        <w:rFonts w:ascii="Courier New" w:hAnsi="Courier New" w:cs="Courier New" w:hint="default"/>
      </w:rPr>
    </w:lvl>
    <w:lvl w:ilvl="5" w:tplc="04160005" w:tentative="1">
      <w:start w:val="1"/>
      <w:numFmt w:val="bullet"/>
      <w:lvlText w:val=""/>
      <w:lvlJc w:val="left"/>
      <w:pPr>
        <w:ind w:left="4368" w:hanging="360"/>
      </w:pPr>
      <w:rPr>
        <w:rFonts w:ascii="Wingdings" w:hAnsi="Wingdings" w:hint="default"/>
      </w:rPr>
    </w:lvl>
    <w:lvl w:ilvl="6" w:tplc="04160001" w:tentative="1">
      <w:start w:val="1"/>
      <w:numFmt w:val="bullet"/>
      <w:lvlText w:val=""/>
      <w:lvlJc w:val="left"/>
      <w:pPr>
        <w:ind w:left="5088" w:hanging="360"/>
      </w:pPr>
      <w:rPr>
        <w:rFonts w:ascii="Symbol" w:hAnsi="Symbol" w:hint="default"/>
      </w:rPr>
    </w:lvl>
    <w:lvl w:ilvl="7" w:tplc="04160003" w:tentative="1">
      <w:start w:val="1"/>
      <w:numFmt w:val="bullet"/>
      <w:lvlText w:val="o"/>
      <w:lvlJc w:val="left"/>
      <w:pPr>
        <w:ind w:left="5808" w:hanging="360"/>
      </w:pPr>
      <w:rPr>
        <w:rFonts w:ascii="Courier New" w:hAnsi="Courier New" w:cs="Courier New" w:hint="default"/>
      </w:rPr>
    </w:lvl>
    <w:lvl w:ilvl="8" w:tplc="04160005" w:tentative="1">
      <w:start w:val="1"/>
      <w:numFmt w:val="bullet"/>
      <w:lvlText w:val=""/>
      <w:lvlJc w:val="left"/>
      <w:pPr>
        <w:ind w:left="6528" w:hanging="360"/>
      </w:pPr>
      <w:rPr>
        <w:rFonts w:ascii="Wingdings" w:hAnsi="Wingdings" w:hint="default"/>
      </w:rPr>
    </w:lvl>
  </w:abstractNum>
  <w:abstractNum w:abstractNumId="31" w15:restartNumberingAfterBreak="0">
    <w:nsid w:val="63690FE4"/>
    <w:multiLevelType w:val="hybridMultilevel"/>
    <w:tmpl w:val="A5506ACC"/>
    <w:lvl w:ilvl="0" w:tplc="F9862A7E">
      <w:start w:val="1"/>
      <w:numFmt w:val="lowerLetter"/>
      <w:lvlText w:val="(%1)"/>
      <w:lvlJc w:val="left"/>
      <w:pPr>
        <w:ind w:left="6030" w:hanging="360"/>
      </w:pPr>
      <w:rPr>
        <w:rFonts w:hint="default"/>
      </w:rPr>
    </w:lvl>
    <w:lvl w:ilvl="1" w:tplc="04160019" w:tentative="1">
      <w:start w:val="1"/>
      <w:numFmt w:val="lowerLetter"/>
      <w:lvlText w:val="%2."/>
      <w:lvlJc w:val="left"/>
      <w:pPr>
        <w:ind w:left="7818" w:hanging="360"/>
      </w:pPr>
    </w:lvl>
    <w:lvl w:ilvl="2" w:tplc="0416001B" w:tentative="1">
      <w:start w:val="1"/>
      <w:numFmt w:val="lowerRoman"/>
      <w:lvlText w:val="%3."/>
      <w:lvlJc w:val="right"/>
      <w:pPr>
        <w:ind w:left="8538" w:hanging="180"/>
      </w:pPr>
    </w:lvl>
    <w:lvl w:ilvl="3" w:tplc="0416000F" w:tentative="1">
      <w:start w:val="1"/>
      <w:numFmt w:val="decimal"/>
      <w:lvlText w:val="%4."/>
      <w:lvlJc w:val="left"/>
      <w:pPr>
        <w:ind w:left="9258" w:hanging="360"/>
      </w:pPr>
    </w:lvl>
    <w:lvl w:ilvl="4" w:tplc="04160019" w:tentative="1">
      <w:start w:val="1"/>
      <w:numFmt w:val="lowerLetter"/>
      <w:lvlText w:val="%5."/>
      <w:lvlJc w:val="left"/>
      <w:pPr>
        <w:ind w:left="9978" w:hanging="360"/>
      </w:pPr>
    </w:lvl>
    <w:lvl w:ilvl="5" w:tplc="0416001B" w:tentative="1">
      <w:start w:val="1"/>
      <w:numFmt w:val="lowerRoman"/>
      <w:lvlText w:val="%6."/>
      <w:lvlJc w:val="right"/>
      <w:pPr>
        <w:ind w:left="10698" w:hanging="180"/>
      </w:pPr>
    </w:lvl>
    <w:lvl w:ilvl="6" w:tplc="0416000F" w:tentative="1">
      <w:start w:val="1"/>
      <w:numFmt w:val="decimal"/>
      <w:lvlText w:val="%7."/>
      <w:lvlJc w:val="left"/>
      <w:pPr>
        <w:ind w:left="11418" w:hanging="360"/>
      </w:pPr>
    </w:lvl>
    <w:lvl w:ilvl="7" w:tplc="04160019" w:tentative="1">
      <w:start w:val="1"/>
      <w:numFmt w:val="lowerLetter"/>
      <w:lvlText w:val="%8."/>
      <w:lvlJc w:val="left"/>
      <w:pPr>
        <w:ind w:left="12138" w:hanging="360"/>
      </w:pPr>
    </w:lvl>
    <w:lvl w:ilvl="8" w:tplc="0416001B" w:tentative="1">
      <w:start w:val="1"/>
      <w:numFmt w:val="lowerRoman"/>
      <w:lvlText w:val="%9."/>
      <w:lvlJc w:val="right"/>
      <w:pPr>
        <w:ind w:left="12858" w:hanging="180"/>
      </w:pPr>
    </w:lvl>
  </w:abstractNum>
  <w:abstractNum w:abstractNumId="32" w15:restartNumberingAfterBreak="0">
    <w:nsid w:val="652C08E7"/>
    <w:multiLevelType w:val="hybridMultilevel"/>
    <w:tmpl w:val="07F0D85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Yu Mincho Light"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Yu Mincho Light"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Yu Mincho Light" w:hint="default"/>
      </w:rPr>
    </w:lvl>
    <w:lvl w:ilvl="8" w:tplc="04160005">
      <w:start w:val="1"/>
      <w:numFmt w:val="bullet"/>
      <w:lvlText w:val=""/>
      <w:lvlJc w:val="left"/>
      <w:pPr>
        <w:ind w:left="6480" w:hanging="360"/>
      </w:pPr>
      <w:rPr>
        <w:rFonts w:ascii="Wingdings" w:hAnsi="Wingdings" w:hint="default"/>
      </w:rPr>
    </w:lvl>
  </w:abstractNum>
  <w:abstractNum w:abstractNumId="33" w15:restartNumberingAfterBreak="0">
    <w:nsid w:val="655370D0"/>
    <w:multiLevelType w:val="hybridMultilevel"/>
    <w:tmpl w:val="6A4C6D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56054B1"/>
    <w:multiLevelType w:val="multilevel"/>
    <w:tmpl w:val="AF04DA3E"/>
    <w:lvl w:ilvl="0">
      <w:start w:val="1"/>
      <w:numFmt w:val="decimal"/>
      <w:lvlText w:val="%1 "/>
      <w:lvlJc w:val="left"/>
      <w:pPr>
        <w:tabs>
          <w:tab w:val="num" w:pos="360"/>
        </w:tabs>
      </w:pPr>
      <w:rPr>
        <w:rFonts w:ascii="Cambria Math" w:hAnsi="Cambria Math" w:cs="Yu Mincho Light" w:hint="default"/>
        <w:b/>
        <w:i w:val="0"/>
        <w:color w:val="auto"/>
        <w:sz w:val="18"/>
      </w:rPr>
    </w:lvl>
    <w:lvl w:ilvl="1">
      <w:start w:val="1"/>
      <w:numFmt w:val="decimal"/>
      <w:pStyle w:val="Normal2"/>
      <w:lvlText w:val="%1.%2 "/>
      <w:lvlJc w:val="left"/>
      <w:pPr>
        <w:tabs>
          <w:tab w:val="num" w:pos="600"/>
        </w:tabs>
        <w:ind w:left="240" w:hanging="240"/>
      </w:pPr>
      <w:rPr>
        <w:rFonts w:ascii="Cambria Math" w:hAnsi="Cambria Math" w:cs="Yu Mincho Light" w:hint="default"/>
        <w:b/>
        <w:i w:val="0"/>
        <w:color w:val="auto"/>
        <w:sz w:val="18"/>
      </w:rPr>
    </w:lvl>
    <w:lvl w:ilvl="2">
      <w:start w:val="1"/>
      <w:numFmt w:val="decimal"/>
      <w:pStyle w:val="Normal3"/>
      <w:lvlText w:val="%1.%2.%3 "/>
      <w:lvlJc w:val="left"/>
      <w:pPr>
        <w:tabs>
          <w:tab w:val="num" w:pos="720"/>
        </w:tabs>
      </w:pPr>
      <w:rPr>
        <w:rFonts w:ascii="Cambria Math" w:hAnsi="Cambria Math" w:cs="Yu Mincho Light" w:hint="default"/>
        <w:b/>
        <w:i w:val="0"/>
        <w:color w:val="auto"/>
        <w:sz w:val="18"/>
      </w:rPr>
    </w:lvl>
    <w:lvl w:ilvl="3">
      <w:start w:val="1"/>
      <w:numFmt w:val="decimal"/>
      <w:lvlText w:val="%1.%2.%3.%4 "/>
      <w:lvlJc w:val="left"/>
      <w:pPr>
        <w:tabs>
          <w:tab w:val="num" w:pos="720"/>
        </w:tabs>
      </w:pPr>
      <w:rPr>
        <w:rFonts w:ascii="Cambria Math" w:hAnsi="Cambria Math" w:cs="Yu Mincho Light" w:hint="default"/>
        <w:b/>
        <w:bCs w:val="0"/>
        <w:i w:val="0"/>
        <w:iCs w:val="0"/>
        <w:caps w:val="0"/>
        <w:smallCaps w:val="0"/>
        <w:strike w:val="0"/>
        <w:dstrike w:val="0"/>
        <w:vanish w:val="0"/>
        <w:color w:val="auto"/>
        <w:kern w:val="0"/>
        <w:position w:val="0"/>
        <w:sz w:val="18"/>
        <w:u w:val="none"/>
        <w:vertAlign w:val="baseline"/>
      </w:rPr>
    </w:lvl>
    <w:lvl w:ilvl="4">
      <w:start w:val="1"/>
      <w:numFmt w:val="decimal"/>
      <w:lvlText w:val="%1.%2.%3.%4.%5 "/>
      <w:lvlJc w:val="left"/>
      <w:pPr>
        <w:tabs>
          <w:tab w:val="num" w:pos="0"/>
        </w:tabs>
      </w:pPr>
      <w:rPr>
        <w:rFonts w:cs="Yu Mincho Light" w:hint="default"/>
        <w:b/>
        <w:i w:val="0"/>
      </w:rPr>
    </w:lvl>
    <w:lvl w:ilvl="5">
      <w:start w:val="1"/>
      <w:numFmt w:val="decimal"/>
      <w:lvlText w:val="%1.%2.%3.%4.%5.%6 "/>
      <w:lvlJc w:val="left"/>
      <w:pPr>
        <w:tabs>
          <w:tab w:val="num" w:pos="0"/>
        </w:tabs>
      </w:pPr>
      <w:rPr>
        <w:rFonts w:ascii="Cambria Math" w:hAnsi="Cambria Math" w:cs="Yu Mincho Light" w:hint="default"/>
        <w:b/>
        <w:i w:val="0"/>
        <w:color w:val="auto"/>
        <w:sz w:val="18"/>
      </w:rPr>
    </w:lvl>
    <w:lvl w:ilvl="6">
      <w:start w:val="1"/>
      <w:numFmt w:val="decimal"/>
      <w:lvlText w:val="%1.%2.%3.%4.%5.%6.%7 "/>
      <w:lvlJc w:val="left"/>
      <w:pPr>
        <w:tabs>
          <w:tab w:val="num" w:pos="1080"/>
        </w:tabs>
      </w:pPr>
      <w:rPr>
        <w:rFonts w:ascii="Cambria Math" w:hAnsi="Cambria Math" w:cs="Yu Mincho Light" w:hint="default"/>
        <w:b/>
        <w:i w:val="0"/>
        <w:color w:val="0000FF"/>
        <w:sz w:val="18"/>
      </w:rPr>
    </w:lvl>
    <w:lvl w:ilvl="7">
      <w:start w:val="1"/>
      <w:numFmt w:val="decimal"/>
      <w:lvlText w:val="%1.%2.%3.%4.%5.%6.%7.%8 "/>
      <w:lvlJc w:val="left"/>
      <w:pPr>
        <w:tabs>
          <w:tab w:val="num" w:pos="1440"/>
        </w:tabs>
      </w:pPr>
      <w:rPr>
        <w:rFonts w:ascii="Cambria Math" w:hAnsi="Cambria Math" w:cs="Yu Mincho Light" w:hint="default"/>
        <w:b/>
        <w:i w:val="0"/>
        <w:color w:val="0000FF"/>
        <w:sz w:val="18"/>
      </w:rPr>
    </w:lvl>
    <w:lvl w:ilvl="8">
      <w:start w:val="1"/>
      <w:numFmt w:val="decimal"/>
      <w:lvlText w:val="%1.%2.%3.%4.%5.%6.%7.%8.%9 "/>
      <w:lvlJc w:val="left"/>
      <w:pPr>
        <w:tabs>
          <w:tab w:val="num" w:pos="1440"/>
        </w:tabs>
      </w:pPr>
      <w:rPr>
        <w:rFonts w:ascii="Cambria Math" w:hAnsi="Cambria Math" w:cs="Yu Mincho Light" w:hint="default"/>
        <w:b/>
        <w:i w:val="0"/>
        <w:color w:val="0000FF"/>
        <w:sz w:val="18"/>
      </w:rPr>
    </w:lvl>
  </w:abstractNum>
  <w:abstractNum w:abstractNumId="35" w15:restartNumberingAfterBreak="0">
    <w:nsid w:val="672C4D2C"/>
    <w:multiLevelType w:val="hybridMultilevel"/>
    <w:tmpl w:val="9618A3A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9192BC3"/>
    <w:multiLevelType w:val="hybridMultilevel"/>
    <w:tmpl w:val="F96E8E3E"/>
    <w:lvl w:ilvl="0" w:tplc="794E1CB6">
      <w:start w:val="1"/>
      <w:numFmt w:val="decimal"/>
      <w:lvlText w:val="(%1)"/>
      <w:lvlJc w:val="left"/>
      <w:pPr>
        <w:ind w:left="720" w:hanging="360"/>
      </w:pPr>
      <w:rPr>
        <w:rFonts w:ascii="CAIXA Std Book" w:eastAsia="Times New Roman" w:hAnsi="CAIXA Std Book" w:cs="Arial" w:hint="default"/>
        <w:color w:val="005CA9"/>
        <w:sz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9E829E6"/>
    <w:multiLevelType w:val="hybridMultilevel"/>
    <w:tmpl w:val="E9E4914C"/>
    <w:lvl w:ilvl="0" w:tplc="89AAD5FE">
      <w:start w:val="1"/>
      <w:numFmt w:val="lowerLetter"/>
      <w:lvlText w:val="(%1)"/>
      <w:lvlJc w:val="left"/>
      <w:pPr>
        <w:tabs>
          <w:tab w:val="num" w:pos="750"/>
        </w:tabs>
        <w:ind w:left="750" w:hanging="390"/>
      </w:pPr>
      <w:rPr>
        <w:rFonts w:cs="Yu Mincho Light" w:hint="default"/>
      </w:rPr>
    </w:lvl>
    <w:lvl w:ilvl="1" w:tplc="04160019" w:tentative="1">
      <w:start w:val="1"/>
      <w:numFmt w:val="lowerLetter"/>
      <w:lvlText w:val="%2."/>
      <w:lvlJc w:val="left"/>
      <w:pPr>
        <w:tabs>
          <w:tab w:val="num" w:pos="1440"/>
        </w:tabs>
        <w:ind w:left="1440" w:hanging="360"/>
      </w:pPr>
      <w:rPr>
        <w:rFonts w:cs="Yu Mincho Light"/>
      </w:rPr>
    </w:lvl>
    <w:lvl w:ilvl="2" w:tplc="0416001B" w:tentative="1">
      <w:start w:val="1"/>
      <w:numFmt w:val="lowerRoman"/>
      <w:lvlText w:val="%3."/>
      <w:lvlJc w:val="right"/>
      <w:pPr>
        <w:tabs>
          <w:tab w:val="num" w:pos="2160"/>
        </w:tabs>
        <w:ind w:left="2160" w:hanging="180"/>
      </w:pPr>
      <w:rPr>
        <w:rFonts w:cs="Yu Mincho Light"/>
      </w:rPr>
    </w:lvl>
    <w:lvl w:ilvl="3" w:tplc="0416000F" w:tentative="1">
      <w:start w:val="1"/>
      <w:numFmt w:val="decimal"/>
      <w:lvlText w:val="%4."/>
      <w:lvlJc w:val="left"/>
      <w:pPr>
        <w:tabs>
          <w:tab w:val="num" w:pos="2880"/>
        </w:tabs>
        <w:ind w:left="2880" w:hanging="360"/>
      </w:pPr>
      <w:rPr>
        <w:rFonts w:cs="Yu Mincho Light"/>
      </w:rPr>
    </w:lvl>
    <w:lvl w:ilvl="4" w:tplc="04160019" w:tentative="1">
      <w:start w:val="1"/>
      <w:numFmt w:val="lowerLetter"/>
      <w:lvlText w:val="%5."/>
      <w:lvlJc w:val="left"/>
      <w:pPr>
        <w:tabs>
          <w:tab w:val="num" w:pos="3600"/>
        </w:tabs>
        <w:ind w:left="3600" w:hanging="360"/>
      </w:pPr>
      <w:rPr>
        <w:rFonts w:cs="Yu Mincho Light"/>
      </w:rPr>
    </w:lvl>
    <w:lvl w:ilvl="5" w:tplc="0416001B" w:tentative="1">
      <w:start w:val="1"/>
      <w:numFmt w:val="lowerRoman"/>
      <w:lvlText w:val="%6."/>
      <w:lvlJc w:val="right"/>
      <w:pPr>
        <w:tabs>
          <w:tab w:val="num" w:pos="4320"/>
        </w:tabs>
        <w:ind w:left="4320" w:hanging="180"/>
      </w:pPr>
      <w:rPr>
        <w:rFonts w:cs="Yu Mincho Light"/>
      </w:rPr>
    </w:lvl>
    <w:lvl w:ilvl="6" w:tplc="0416000F" w:tentative="1">
      <w:start w:val="1"/>
      <w:numFmt w:val="decimal"/>
      <w:lvlText w:val="%7."/>
      <w:lvlJc w:val="left"/>
      <w:pPr>
        <w:tabs>
          <w:tab w:val="num" w:pos="5040"/>
        </w:tabs>
        <w:ind w:left="5040" w:hanging="360"/>
      </w:pPr>
      <w:rPr>
        <w:rFonts w:cs="Yu Mincho Light"/>
      </w:rPr>
    </w:lvl>
    <w:lvl w:ilvl="7" w:tplc="04160019" w:tentative="1">
      <w:start w:val="1"/>
      <w:numFmt w:val="lowerLetter"/>
      <w:lvlText w:val="%8."/>
      <w:lvlJc w:val="left"/>
      <w:pPr>
        <w:tabs>
          <w:tab w:val="num" w:pos="5760"/>
        </w:tabs>
        <w:ind w:left="5760" w:hanging="360"/>
      </w:pPr>
      <w:rPr>
        <w:rFonts w:cs="Yu Mincho Light"/>
      </w:rPr>
    </w:lvl>
    <w:lvl w:ilvl="8" w:tplc="0416001B" w:tentative="1">
      <w:start w:val="1"/>
      <w:numFmt w:val="lowerRoman"/>
      <w:lvlText w:val="%9."/>
      <w:lvlJc w:val="right"/>
      <w:pPr>
        <w:tabs>
          <w:tab w:val="num" w:pos="6480"/>
        </w:tabs>
        <w:ind w:left="6480" w:hanging="180"/>
      </w:pPr>
      <w:rPr>
        <w:rFonts w:cs="Yu Mincho Light"/>
      </w:rPr>
    </w:lvl>
  </w:abstractNum>
  <w:abstractNum w:abstractNumId="38" w15:restartNumberingAfterBreak="0">
    <w:nsid w:val="6C431A0B"/>
    <w:multiLevelType w:val="hybridMultilevel"/>
    <w:tmpl w:val="AD0C210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C890958"/>
    <w:multiLevelType w:val="hybridMultilevel"/>
    <w:tmpl w:val="18F255CC"/>
    <w:lvl w:ilvl="0" w:tplc="8310675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EA05228"/>
    <w:multiLevelType w:val="hybridMultilevel"/>
    <w:tmpl w:val="7B606F36"/>
    <w:lvl w:ilvl="0" w:tplc="1C8A49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29C26FB"/>
    <w:multiLevelType w:val="hybridMultilevel"/>
    <w:tmpl w:val="5B74C2BE"/>
    <w:lvl w:ilvl="0" w:tplc="EE6AFD6C">
      <w:start w:val="5"/>
      <w:numFmt w:val="lowerLetter"/>
      <w:lvlText w:val="(%1)"/>
      <w:lvlJc w:val="left"/>
      <w:pPr>
        <w:ind w:left="213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58C54FA"/>
    <w:multiLevelType w:val="hybridMultilevel"/>
    <w:tmpl w:val="35D48186"/>
    <w:lvl w:ilvl="0" w:tplc="129E7D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6783749"/>
    <w:multiLevelType w:val="hybridMultilevel"/>
    <w:tmpl w:val="088C215E"/>
    <w:lvl w:ilvl="0" w:tplc="15560ABC">
      <w:start w:val="1"/>
      <w:numFmt w:val="lowerLetter"/>
      <w:lvlText w:val="(%1)"/>
      <w:lvlJc w:val="left"/>
      <w:pPr>
        <w:ind w:left="1065" w:hanging="705"/>
      </w:pPr>
      <w:rPr>
        <w:rFonts w:ascii="Futura Lt BT" w:hAnsi="Futura Lt BT"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C580F4F"/>
    <w:multiLevelType w:val="multilevel"/>
    <w:tmpl w:val="A0E05404"/>
    <w:styleLink w:val="Listaatual1"/>
    <w:lvl w:ilvl="0">
      <w:start w:val="1"/>
      <w:numFmt w:val="none"/>
      <w:lvlText w:val="Nota %1"/>
      <w:lvlJc w:val="left"/>
      <w:pPr>
        <w:tabs>
          <w:tab w:val="num" w:pos="120"/>
        </w:tabs>
        <w:ind w:left="552" w:hanging="552"/>
      </w:pPr>
      <w:rPr>
        <w:rFonts w:ascii="Cambria Math" w:hAnsi="Cambria Math" w:cs="Yu Mincho Light" w:hint="default"/>
        <w:b/>
        <w:color w:val="auto"/>
        <w:sz w:val="22"/>
      </w:rPr>
    </w:lvl>
    <w:lvl w:ilvl="1">
      <w:start w:val="1"/>
      <w:numFmt w:val="decimal"/>
      <w:lvlText w:val="%1.%2"/>
      <w:lvlJc w:val="left"/>
      <w:pPr>
        <w:tabs>
          <w:tab w:val="num" w:pos="0"/>
        </w:tabs>
        <w:ind w:left="576" w:hanging="576"/>
      </w:pPr>
      <w:rPr>
        <w:rFonts w:cs="Yu Mincho Light" w:hint="default"/>
      </w:rPr>
    </w:lvl>
    <w:lvl w:ilvl="2">
      <w:start w:val="1"/>
      <w:numFmt w:val="decimal"/>
      <w:lvlText w:val="%1.%2.%3"/>
      <w:lvlJc w:val="left"/>
      <w:pPr>
        <w:tabs>
          <w:tab w:val="num" w:pos="0"/>
        </w:tabs>
        <w:ind w:left="720" w:hanging="720"/>
      </w:pPr>
      <w:rPr>
        <w:rFonts w:cs="Yu Mincho Light" w:hint="default"/>
        <w:i w:val="0"/>
        <w:color w:val="000000"/>
        <w:sz w:val="22"/>
        <w:szCs w:val="22"/>
      </w:rPr>
    </w:lvl>
    <w:lvl w:ilvl="3">
      <w:start w:val="1"/>
      <w:numFmt w:val="decimal"/>
      <w:lvlText w:val="%1.%2.%3.%4"/>
      <w:lvlJc w:val="left"/>
      <w:pPr>
        <w:tabs>
          <w:tab w:val="num" w:pos="0"/>
        </w:tabs>
        <w:ind w:left="864" w:hanging="864"/>
      </w:pPr>
      <w:rPr>
        <w:rFonts w:cs="Yu Mincho Light" w:hint="default"/>
      </w:rPr>
    </w:lvl>
    <w:lvl w:ilvl="4">
      <w:start w:val="1"/>
      <w:numFmt w:val="decimal"/>
      <w:lvlText w:val="%1.%2.%3.%4.%5"/>
      <w:lvlJc w:val="left"/>
      <w:pPr>
        <w:tabs>
          <w:tab w:val="num" w:pos="0"/>
        </w:tabs>
        <w:ind w:left="1008" w:hanging="1008"/>
      </w:pPr>
      <w:rPr>
        <w:rFonts w:cs="Yu Mincho Light" w:hint="default"/>
      </w:rPr>
    </w:lvl>
    <w:lvl w:ilvl="5">
      <w:start w:val="1"/>
      <w:numFmt w:val="decimal"/>
      <w:lvlText w:val="%1.%2.%3.%4.%5.%6"/>
      <w:lvlJc w:val="left"/>
      <w:pPr>
        <w:tabs>
          <w:tab w:val="num" w:pos="0"/>
        </w:tabs>
        <w:ind w:left="1152" w:hanging="1152"/>
      </w:pPr>
      <w:rPr>
        <w:rFonts w:cs="Yu Mincho Light" w:hint="default"/>
      </w:rPr>
    </w:lvl>
    <w:lvl w:ilvl="6">
      <w:start w:val="1"/>
      <w:numFmt w:val="decimal"/>
      <w:lvlText w:val="%1.%2.%3.%4.%5.%6.%7"/>
      <w:lvlJc w:val="left"/>
      <w:pPr>
        <w:tabs>
          <w:tab w:val="num" w:pos="0"/>
        </w:tabs>
        <w:ind w:left="1296" w:hanging="1296"/>
      </w:pPr>
      <w:rPr>
        <w:rFonts w:cs="Yu Mincho Light" w:hint="default"/>
      </w:rPr>
    </w:lvl>
    <w:lvl w:ilvl="7">
      <w:start w:val="1"/>
      <w:numFmt w:val="decimal"/>
      <w:lvlText w:val="%1.%2.%3.%4.%5.%6.%7.%8"/>
      <w:lvlJc w:val="left"/>
      <w:pPr>
        <w:tabs>
          <w:tab w:val="num" w:pos="0"/>
        </w:tabs>
        <w:ind w:left="1440" w:hanging="1440"/>
      </w:pPr>
      <w:rPr>
        <w:rFonts w:cs="Yu Mincho Light" w:hint="default"/>
      </w:rPr>
    </w:lvl>
    <w:lvl w:ilvl="8">
      <w:start w:val="1"/>
      <w:numFmt w:val="decimal"/>
      <w:lvlText w:val="%1.%2.%3.%4.%5.%6.%7.%8.%9"/>
      <w:lvlJc w:val="left"/>
      <w:pPr>
        <w:tabs>
          <w:tab w:val="num" w:pos="0"/>
        </w:tabs>
        <w:ind w:left="1584" w:hanging="1584"/>
      </w:pPr>
      <w:rPr>
        <w:rFonts w:cs="Yu Mincho Light" w:hint="default"/>
      </w:rPr>
    </w:lvl>
  </w:abstractNum>
  <w:abstractNum w:abstractNumId="45" w15:restartNumberingAfterBreak="0">
    <w:nsid w:val="7EEE4B40"/>
    <w:multiLevelType w:val="hybridMultilevel"/>
    <w:tmpl w:val="55D2B258"/>
    <w:styleLink w:val="PubliConLista"/>
    <w:lvl w:ilvl="0" w:tplc="91666780">
      <w:start w:val="4"/>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6" w15:restartNumberingAfterBreak="0">
    <w:nsid w:val="7F4E2F36"/>
    <w:multiLevelType w:val="hybridMultilevel"/>
    <w:tmpl w:val="609A5506"/>
    <w:lvl w:ilvl="0" w:tplc="CD30300A">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7" w15:restartNumberingAfterBreak="0">
    <w:nsid w:val="7F5233A5"/>
    <w:multiLevelType w:val="hybridMultilevel"/>
    <w:tmpl w:val="C4BC0BE6"/>
    <w:lvl w:ilvl="0" w:tplc="CB9E0B32">
      <w:start w:val="1"/>
      <w:numFmt w:val="lowerLetter"/>
      <w:lvlText w:val="(%1)"/>
      <w:lvlJc w:val="left"/>
      <w:pPr>
        <w:ind w:left="291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90715228">
    <w:abstractNumId w:val="34"/>
  </w:num>
  <w:num w:numId="2" w16cid:durableId="1403215092">
    <w:abstractNumId w:val="44"/>
  </w:num>
  <w:num w:numId="3" w16cid:durableId="324742773">
    <w:abstractNumId w:val="8"/>
  </w:num>
  <w:num w:numId="4" w16cid:durableId="570120647">
    <w:abstractNumId w:val="14"/>
  </w:num>
  <w:num w:numId="5" w16cid:durableId="1435175361">
    <w:abstractNumId w:val="2"/>
  </w:num>
  <w:num w:numId="6" w16cid:durableId="107168955">
    <w:abstractNumId w:val="37"/>
  </w:num>
  <w:num w:numId="7" w16cid:durableId="1926448988">
    <w:abstractNumId w:val="22"/>
  </w:num>
  <w:num w:numId="8" w16cid:durableId="1804158081">
    <w:abstractNumId w:val="17"/>
  </w:num>
  <w:num w:numId="9" w16cid:durableId="2105876559">
    <w:abstractNumId w:val="31"/>
  </w:num>
  <w:num w:numId="10" w16cid:durableId="1308510053">
    <w:abstractNumId w:val="47"/>
  </w:num>
  <w:num w:numId="11" w16cid:durableId="948901542">
    <w:abstractNumId w:val="41"/>
  </w:num>
  <w:num w:numId="12" w16cid:durableId="687566748">
    <w:abstractNumId w:val="27"/>
  </w:num>
  <w:num w:numId="13" w16cid:durableId="51856260">
    <w:abstractNumId w:val="25"/>
  </w:num>
  <w:num w:numId="14" w16cid:durableId="977078321">
    <w:abstractNumId w:val="6"/>
  </w:num>
  <w:num w:numId="15" w16cid:durableId="1848904210">
    <w:abstractNumId w:val="24"/>
  </w:num>
  <w:num w:numId="16" w16cid:durableId="1731075767">
    <w:abstractNumId w:val="39"/>
  </w:num>
  <w:num w:numId="17" w16cid:durableId="4972338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3177000">
    <w:abstractNumId w:val="23"/>
  </w:num>
  <w:num w:numId="19" w16cid:durableId="2005157537">
    <w:abstractNumId w:val="26"/>
  </w:num>
  <w:num w:numId="20" w16cid:durableId="26295250">
    <w:abstractNumId w:val="18"/>
  </w:num>
  <w:num w:numId="21" w16cid:durableId="1290623032">
    <w:abstractNumId w:val="9"/>
  </w:num>
  <w:num w:numId="22" w16cid:durableId="994336754">
    <w:abstractNumId w:val="32"/>
  </w:num>
  <w:num w:numId="23" w16cid:durableId="1011108794">
    <w:abstractNumId w:val="1"/>
  </w:num>
  <w:num w:numId="24" w16cid:durableId="333147450">
    <w:abstractNumId w:val="29"/>
  </w:num>
  <w:num w:numId="25" w16cid:durableId="1989282947">
    <w:abstractNumId w:val="13"/>
  </w:num>
  <w:num w:numId="26" w16cid:durableId="563108554">
    <w:abstractNumId w:val="33"/>
  </w:num>
  <w:num w:numId="27" w16cid:durableId="684479600">
    <w:abstractNumId w:val="4"/>
  </w:num>
  <w:num w:numId="28" w16cid:durableId="677118381">
    <w:abstractNumId w:val="12"/>
  </w:num>
  <w:num w:numId="29" w16cid:durableId="7872599">
    <w:abstractNumId w:val="4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354135">
    <w:abstractNumId w:val="11"/>
  </w:num>
  <w:num w:numId="31" w16cid:durableId="1686639470">
    <w:abstractNumId w:val="35"/>
  </w:num>
  <w:num w:numId="32" w16cid:durableId="1233008140">
    <w:abstractNumId w:val="21"/>
  </w:num>
  <w:num w:numId="33" w16cid:durableId="1982610389">
    <w:abstractNumId w:val="45"/>
  </w:num>
  <w:num w:numId="34" w16cid:durableId="13904965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016817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06987101">
    <w:abstractNumId w:val="5"/>
  </w:num>
  <w:num w:numId="37" w16cid:durableId="1818568575">
    <w:abstractNumId w:val="30"/>
  </w:num>
  <w:num w:numId="38" w16cid:durableId="1710102191">
    <w:abstractNumId w:val="7"/>
  </w:num>
  <w:num w:numId="39" w16cid:durableId="1530606966">
    <w:abstractNumId w:val="10"/>
  </w:num>
  <w:num w:numId="40" w16cid:durableId="515535960">
    <w:abstractNumId w:val="28"/>
  </w:num>
  <w:num w:numId="41" w16cid:durableId="573122835">
    <w:abstractNumId w:val="42"/>
  </w:num>
  <w:num w:numId="42" w16cid:durableId="1793286735">
    <w:abstractNumId w:val="46"/>
  </w:num>
  <w:num w:numId="43" w16cid:durableId="2116902622">
    <w:abstractNumId w:val="19"/>
  </w:num>
  <w:num w:numId="44" w16cid:durableId="824474320">
    <w:abstractNumId w:val="38"/>
  </w:num>
  <w:num w:numId="45" w16cid:durableId="1785729800">
    <w:abstractNumId w:val="36"/>
  </w:num>
  <w:num w:numId="46" w16cid:durableId="1350332827">
    <w:abstractNumId w:val="40"/>
  </w:num>
  <w:num w:numId="47" w16cid:durableId="157505786">
    <w:abstractNumId w:val="16"/>
  </w:num>
  <w:num w:numId="48" w16cid:durableId="1223250894">
    <w:abstractNumId w:val="20"/>
  </w:num>
  <w:num w:numId="49" w16cid:durableId="10520781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93086020">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BA"/>
    <w:rsid w:val="00000008"/>
    <w:rsid w:val="00000086"/>
    <w:rsid w:val="000000A4"/>
    <w:rsid w:val="000000AE"/>
    <w:rsid w:val="00000181"/>
    <w:rsid w:val="0000021D"/>
    <w:rsid w:val="00000243"/>
    <w:rsid w:val="00000326"/>
    <w:rsid w:val="00000471"/>
    <w:rsid w:val="000004B2"/>
    <w:rsid w:val="000004EB"/>
    <w:rsid w:val="0000068D"/>
    <w:rsid w:val="000006B0"/>
    <w:rsid w:val="000006BC"/>
    <w:rsid w:val="00000719"/>
    <w:rsid w:val="000007DE"/>
    <w:rsid w:val="000008B0"/>
    <w:rsid w:val="00000A7C"/>
    <w:rsid w:val="00000A81"/>
    <w:rsid w:val="00000A86"/>
    <w:rsid w:val="00000A89"/>
    <w:rsid w:val="00000ABD"/>
    <w:rsid w:val="00000AF7"/>
    <w:rsid w:val="00000D01"/>
    <w:rsid w:val="00000F75"/>
    <w:rsid w:val="0000102E"/>
    <w:rsid w:val="0000106B"/>
    <w:rsid w:val="000010D4"/>
    <w:rsid w:val="00001189"/>
    <w:rsid w:val="000011B4"/>
    <w:rsid w:val="000011E8"/>
    <w:rsid w:val="00001244"/>
    <w:rsid w:val="000012FA"/>
    <w:rsid w:val="000013A5"/>
    <w:rsid w:val="000014CE"/>
    <w:rsid w:val="00001511"/>
    <w:rsid w:val="000015E1"/>
    <w:rsid w:val="00001653"/>
    <w:rsid w:val="00001699"/>
    <w:rsid w:val="000016C5"/>
    <w:rsid w:val="0000172C"/>
    <w:rsid w:val="0000172E"/>
    <w:rsid w:val="000017B4"/>
    <w:rsid w:val="0000181E"/>
    <w:rsid w:val="00001870"/>
    <w:rsid w:val="000018C6"/>
    <w:rsid w:val="00001956"/>
    <w:rsid w:val="000019DB"/>
    <w:rsid w:val="000019F9"/>
    <w:rsid w:val="00001A07"/>
    <w:rsid w:val="00001A8B"/>
    <w:rsid w:val="00001B60"/>
    <w:rsid w:val="00001CC8"/>
    <w:rsid w:val="00001D70"/>
    <w:rsid w:val="00001D8D"/>
    <w:rsid w:val="00001DA2"/>
    <w:rsid w:val="00001EEB"/>
    <w:rsid w:val="00001F4F"/>
    <w:rsid w:val="00001F50"/>
    <w:rsid w:val="00001FB0"/>
    <w:rsid w:val="00001FC1"/>
    <w:rsid w:val="00001FC9"/>
    <w:rsid w:val="00001FD7"/>
    <w:rsid w:val="000022B9"/>
    <w:rsid w:val="000022E5"/>
    <w:rsid w:val="0000246F"/>
    <w:rsid w:val="0000247B"/>
    <w:rsid w:val="000025A3"/>
    <w:rsid w:val="000027AC"/>
    <w:rsid w:val="000027C7"/>
    <w:rsid w:val="00002824"/>
    <w:rsid w:val="0000289E"/>
    <w:rsid w:val="00002941"/>
    <w:rsid w:val="000029E1"/>
    <w:rsid w:val="00002A83"/>
    <w:rsid w:val="00002B15"/>
    <w:rsid w:val="00002B26"/>
    <w:rsid w:val="00002B82"/>
    <w:rsid w:val="00002D66"/>
    <w:rsid w:val="00002D69"/>
    <w:rsid w:val="00002E9B"/>
    <w:rsid w:val="00002EEB"/>
    <w:rsid w:val="00002F03"/>
    <w:rsid w:val="00002F75"/>
    <w:rsid w:val="00002FBA"/>
    <w:rsid w:val="00002FED"/>
    <w:rsid w:val="0000300D"/>
    <w:rsid w:val="0000309B"/>
    <w:rsid w:val="00003276"/>
    <w:rsid w:val="000032F2"/>
    <w:rsid w:val="0000335B"/>
    <w:rsid w:val="000033EA"/>
    <w:rsid w:val="000034F0"/>
    <w:rsid w:val="000037AA"/>
    <w:rsid w:val="0000388D"/>
    <w:rsid w:val="0000399C"/>
    <w:rsid w:val="000039EA"/>
    <w:rsid w:val="00003A7E"/>
    <w:rsid w:val="00003B69"/>
    <w:rsid w:val="00003B8F"/>
    <w:rsid w:val="00003BD4"/>
    <w:rsid w:val="00003CFB"/>
    <w:rsid w:val="00003DD5"/>
    <w:rsid w:val="00003E8B"/>
    <w:rsid w:val="00003EB6"/>
    <w:rsid w:val="00003EB7"/>
    <w:rsid w:val="00003FA7"/>
    <w:rsid w:val="00003FF7"/>
    <w:rsid w:val="00004020"/>
    <w:rsid w:val="0000405B"/>
    <w:rsid w:val="000040A8"/>
    <w:rsid w:val="000041A5"/>
    <w:rsid w:val="00004298"/>
    <w:rsid w:val="000042AB"/>
    <w:rsid w:val="00004329"/>
    <w:rsid w:val="00004391"/>
    <w:rsid w:val="00004451"/>
    <w:rsid w:val="0000455F"/>
    <w:rsid w:val="0000465B"/>
    <w:rsid w:val="0000469A"/>
    <w:rsid w:val="000047A5"/>
    <w:rsid w:val="000047BD"/>
    <w:rsid w:val="00004867"/>
    <w:rsid w:val="00004A6C"/>
    <w:rsid w:val="00004A85"/>
    <w:rsid w:val="00004AE4"/>
    <w:rsid w:val="00004B03"/>
    <w:rsid w:val="00004B13"/>
    <w:rsid w:val="00004B23"/>
    <w:rsid w:val="00004CB9"/>
    <w:rsid w:val="00004D4B"/>
    <w:rsid w:val="00004DA8"/>
    <w:rsid w:val="00004E71"/>
    <w:rsid w:val="00004E92"/>
    <w:rsid w:val="00004F22"/>
    <w:rsid w:val="000052C9"/>
    <w:rsid w:val="00005366"/>
    <w:rsid w:val="00005432"/>
    <w:rsid w:val="00005549"/>
    <w:rsid w:val="000057AA"/>
    <w:rsid w:val="000057AC"/>
    <w:rsid w:val="00005844"/>
    <w:rsid w:val="000058E7"/>
    <w:rsid w:val="00005938"/>
    <w:rsid w:val="000059C5"/>
    <w:rsid w:val="000059F6"/>
    <w:rsid w:val="00005A7B"/>
    <w:rsid w:val="00005AA9"/>
    <w:rsid w:val="00005AD8"/>
    <w:rsid w:val="00005AED"/>
    <w:rsid w:val="00005C74"/>
    <w:rsid w:val="00005CBC"/>
    <w:rsid w:val="00005D00"/>
    <w:rsid w:val="00005D50"/>
    <w:rsid w:val="00005D5D"/>
    <w:rsid w:val="00005D64"/>
    <w:rsid w:val="00005F51"/>
    <w:rsid w:val="00005FCA"/>
    <w:rsid w:val="00006021"/>
    <w:rsid w:val="00006189"/>
    <w:rsid w:val="0000619E"/>
    <w:rsid w:val="00006344"/>
    <w:rsid w:val="00006424"/>
    <w:rsid w:val="00006447"/>
    <w:rsid w:val="00006578"/>
    <w:rsid w:val="00006592"/>
    <w:rsid w:val="00006596"/>
    <w:rsid w:val="00006693"/>
    <w:rsid w:val="000067BF"/>
    <w:rsid w:val="000067F1"/>
    <w:rsid w:val="000068CD"/>
    <w:rsid w:val="00006979"/>
    <w:rsid w:val="00006B90"/>
    <w:rsid w:val="00006C04"/>
    <w:rsid w:val="00006C32"/>
    <w:rsid w:val="00006C4D"/>
    <w:rsid w:val="00006CA5"/>
    <w:rsid w:val="00006CB2"/>
    <w:rsid w:val="00006DCB"/>
    <w:rsid w:val="00006DF3"/>
    <w:rsid w:val="00006F22"/>
    <w:rsid w:val="00007055"/>
    <w:rsid w:val="0000705B"/>
    <w:rsid w:val="00007084"/>
    <w:rsid w:val="0000716D"/>
    <w:rsid w:val="0000719E"/>
    <w:rsid w:val="00007290"/>
    <w:rsid w:val="000072C2"/>
    <w:rsid w:val="000072FF"/>
    <w:rsid w:val="00007380"/>
    <w:rsid w:val="000073F3"/>
    <w:rsid w:val="00007422"/>
    <w:rsid w:val="0000743D"/>
    <w:rsid w:val="0000743F"/>
    <w:rsid w:val="00007509"/>
    <w:rsid w:val="00007690"/>
    <w:rsid w:val="000076DD"/>
    <w:rsid w:val="0000770A"/>
    <w:rsid w:val="00007925"/>
    <w:rsid w:val="00007959"/>
    <w:rsid w:val="0000796F"/>
    <w:rsid w:val="000079D0"/>
    <w:rsid w:val="00007AC2"/>
    <w:rsid w:val="00007AC7"/>
    <w:rsid w:val="00007ADB"/>
    <w:rsid w:val="00007B7A"/>
    <w:rsid w:val="00007C20"/>
    <w:rsid w:val="00007C35"/>
    <w:rsid w:val="00007CAF"/>
    <w:rsid w:val="00007CB7"/>
    <w:rsid w:val="00007F05"/>
    <w:rsid w:val="00007F86"/>
    <w:rsid w:val="0001016E"/>
    <w:rsid w:val="0001026E"/>
    <w:rsid w:val="000102B5"/>
    <w:rsid w:val="000103B4"/>
    <w:rsid w:val="00010503"/>
    <w:rsid w:val="000107C8"/>
    <w:rsid w:val="000107F9"/>
    <w:rsid w:val="00010830"/>
    <w:rsid w:val="00010879"/>
    <w:rsid w:val="0001090D"/>
    <w:rsid w:val="00010A19"/>
    <w:rsid w:val="00010A5F"/>
    <w:rsid w:val="00010A67"/>
    <w:rsid w:val="00010B9B"/>
    <w:rsid w:val="00010C19"/>
    <w:rsid w:val="00010C1D"/>
    <w:rsid w:val="00010CA2"/>
    <w:rsid w:val="00010D2E"/>
    <w:rsid w:val="00010DFF"/>
    <w:rsid w:val="00010E80"/>
    <w:rsid w:val="00010F97"/>
    <w:rsid w:val="00010FB5"/>
    <w:rsid w:val="00010FDD"/>
    <w:rsid w:val="00010FF5"/>
    <w:rsid w:val="00011123"/>
    <w:rsid w:val="00011354"/>
    <w:rsid w:val="000114E3"/>
    <w:rsid w:val="00011553"/>
    <w:rsid w:val="000115B5"/>
    <w:rsid w:val="0001164F"/>
    <w:rsid w:val="0001165D"/>
    <w:rsid w:val="00011692"/>
    <w:rsid w:val="000116F8"/>
    <w:rsid w:val="00011739"/>
    <w:rsid w:val="00011777"/>
    <w:rsid w:val="000117EB"/>
    <w:rsid w:val="0001181A"/>
    <w:rsid w:val="0001182A"/>
    <w:rsid w:val="0001183A"/>
    <w:rsid w:val="0001183E"/>
    <w:rsid w:val="0001189F"/>
    <w:rsid w:val="000118B5"/>
    <w:rsid w:val="00011A69"/>
    <w:rsid w:val="00011CB7"/>
    <w:rsid w:val="00011D0B"/>
    <w:rsid w:val="00011D40"/>
    <w:rsid w:val="00011E4A"/>
    <w:rsid w:val="00011E9C"/>
    <w:rsid w:val="00011ED5"/>
    <w:rsid w:val="00011EF1"/>
    <w:rsid w:val="00011F22"/>
    <w:rsid w:val="00011FEB"/>
    <w:rsid w:val="00012031"/>
    <w:rsid w:val="00012047"/>
    <w:rsid w:val="00012089"/>
    <w:rsid w:val="000122F4"/>
    <w:rsid w:val="000123F9"/>
    <w:rsid w:val="00012466"/>
    <w:rsid w:val="00012482"/>
    <w:rsid w:val="0001257F"/>
    <w:rsid w:val="000125EE"/>
    <w:rsid w:val="0001268B"/>
    <w:rsid w:val="000126AE"/>
    <w:rsid w:val="000126C3"/>
    <w:rsid w:val="0001274E"/>
    <w:rsid w:val="000127E1"/>
    <w:rsid w:val="000127EF"/>
    <w:rsid w:val="00012901"/>
    <w:rsid w:val="000129CC"/>
    <w:rsid w:val="000129CE"/>
    <w:rsid w:val="00012A5D"/>
    <w:rsid w:val="00012A60"/>
    <w:rsid w:val="00012A70"/>
    <w:rsid w:val="00012CB6"/>
    <w:rsid w:val="00012CED"/>
    <w:rsid w:val="00012D6B"/>
    <w:rsid w:val="00012D8E"/>
    <w:rsid w:val="00012DBA"/>
    <w:rsid w:val="00012DD4"/>
    <w:rsid w:val="00012EF7"/>
    <w:rsid w:val="00012F2C"/>
    <w:rsid w:val="00012FD4"/>
    <w:rsid w:val="00013029"/>
    <w:rsid w:val="000131D1"/>
    <w:rsid w:val="00013247"/>
    <w:rsid w:val="0001329A"/>
    <w:rsid w:val="0001330A"/>
    <w:rsid w:val="000133C2"/>
    <w:rsid w:val="000133E4"/>
    <w:rsid w:val="00013400"/>
    <w:rsid w:val="00013482"/>
    <w:rsid w:val="00013505"/>
    <w:rsid w:val="00013572"/>
    <w:rsid w:val="00013702"/>
    <w:rsid w:val="00013735"/>
    <w:rsid w:val="000137C2"/>
    <w:rsid w:val="00013865"/>
    <w:rsid w:val="0001386E"/>
    <w:rsid w:val="00013960"/>
    <w:rsid w:val="000139A8"/>
    <w:rsid w:val="00013A2B"/>
    <w:rsid w:val="00013AAF"/>
    <w:rsid w:val="00013AF8"/>
    <w:rsid w:val="00013B4F"/>
    <w:rsid w:val="00013C02"/>
    <w:rsid w:val="00013C24"/>
    <w:rsid w:val="00013C31"/>
    <w:rsid w:val="00013CAB"/>
    <w:rsid w:val="00013D4B"/>
    <w:rsid w:val="00013D56"/>
    <w:rsid w:val="00013DD6"/>
    <w:rsid w:val="00013DDA"/>
    <w:rsid w:val="00013E6A"/>
    <w:rsid w:val="00013E9C"/>
    <w:rsid w:val="00013F3C"/>
    <w:rsid w:val="00013F5F"/>
    <w:rsid w:val="00013FC8"/>
    <w:rsid w:val="00013FE2"/>
    <w:rsid w:val="00014007"/>
    <w:rsid w:val="0001404B"/>
    <w:rsid w:val="0001409A"/>
    <w:rsid w:val="000140B3"/>
    <w:rsid w:val="000140FD"/>
    <w:rsid w:val="0001415F"/>
    <w:rsid w:val="0001417D"/>
    <w:rsid w:val="000143B3"/>
    <w:rsid w:val="000143DE"/>
    <w:rsid w:val="00014561"/>
    <w:rsid w:val="000145F9"/>
    <w:rsid w:val="000146CB"/>
    <w:rsid w:val="0001471B"/>
    <w:rsid w:val="0001476F"/>
    <w:rsid w:val="000148A9"/>
    <w:rsid w:val="000148C8"/>
    <w:rsid w:val="00014909"/>
    <w:rsid w:val="0001490E"/>
    <w:rsid w:val="00014A72"/>
    <w:rsid w:val="00014A7E"/>
    <w:rsid w:val="00014AF7"/>
    <w:rsid w:val="00014C93"/>
    <w:rsid w:val="00014D53"/>
    <w:rsid w:val="00014DA3"/>
    <w:rsid w:val="00014E07"/>
    <w:rsid w:val="00014E76"/>
    <w:rsid w:val="0001505C"/>
    <w:rsid w:val="00015081"/>
    <w:rsid w:val="000151C7"/>
    <w:rsid w:val="00015236"/>
    <w:rsid w:val="00015261"/>
    <w:rsid w:val="000152D0"/>
    <w:rsid w:val="000153AA"/>
    <w:rsid w:val="000153B4"/>
    <w:rsid w:val="000153EC"/>
    <w:rsid w:val="000153FD"/>
    <w:rsid w:val="000154B6"/>
    <w:rsid w:val="000154D4"/>
    <w:rsid w:val="00015532"/>
    <w:rsid w:val="0001557B"/>
    <w:rsid w:val="00015627"/>
    <w:rsid w:val="000156F7"/>
    <w:rsid w:val="000159CA"/>
    <w:rsid w:val="000159D4"/>
    <w:rsid w:val="00015A64"/>
    <w:rsid w:val="00015AFC"/>
    <w:rsid w:val="00015B53"/>
    <w:rsid w:val="00015D6C"/>
    <w:rsid w:val="00015E61"/>
    <w:rsid w:val="00015E8F"/>
    <w:rsid w:val="00015F18"/>
    <w:rsid w:val="00015F87"/>
    <w:rsid w:val="00016116"/>
    <w:rsid w:val="00016131"/>
    <w:rsid w:val="0001618F"/>
    <w:rsid w:val="000161B3"/>
    <w:rsid w:val="000161BE"/>
    <w:rsid w:val="000163BA"/>
    <w:rsid w:val="00016608"/>
    <w:rsid w:val="000166BD"/>
    <w:rsid w:val="0001673E"/>
    <w:rsid w:val="00016780"/>
    <w:rsid w:val="000167EF"/>
    <w:rsid w:val="000169CB"/>
    <w:rsid w:val="00016A2D"/>
    <w:rsid w:val="00016B11"/>
    <w:rsid w:val="00016B31"/>
    <w:rsid w:val="00016B71"/>
    <w:rsid w:val="00016D55"/>
    <w:rsid w:val="00016E83"/>
    <w:rsid w:val="00016ECA"/>
    <w:rsid w:val="00016F16"/>
    <w:rsid w:val="00017055"/>
    <w:rsid w:val="0001712C"/>
    <w:rsid w:val="000171B9"/>
    <w:rsid w:val="000171D6"/>
    <w:rsid w:val="00017219"/>
    <w:rsid w:val="0001727F"/>
    <w:rsid w:val="000173E8"/>
    <w:rsid w:val="00017402"/>
    <w:rsid w:val="0001743F"/>
    <w:rsid w:val="00017492"/>
    <w:rsid w:val="00017557"/>
    <w:rsid w:val="00017583"/>
    <w:rsid w:val="00017620"/>
    <w:rsid w:val="00017744"/>
    <w:rsid w:val="000177AB"/>
    <w:rsid w:val="000178F9"/>
    <w:rsid w:val="00017924"/>
    <w:rsid w:val="0001792A"/>
    <w:rsid w:val="00017963"/>
    <w:rsid w:val="00017995"/>
    <w:rsid w:val="00017ACF"/>
    <w:rsid w:val="00017B4E"/>
    <w:rsid w:val="00017B5D"/>
    <w:rsid w:val="00017D02"/>
    <w:rsid w:val="00017E1D"/>
    <w:rsid w:val="00017EDE"/>
    <w:rsid w:val="000200D9"/>
    <w:rsid w:val="000201E3"/>
    <w:rsid w:val="00020255"/>
    <w:rsid w:val="0002025C"/>
    <w:rsid w:val="00020278"/>
    <w:rsid w:val="00020316"/>
    <w:rsid w:val="000203EA"/>
    <w:rsid w:val="0002075B"/>
    <w:rsid w:val="0002079A"/>
    <w:rsid w:val="000208CE"/>
    <w:rsid w:val="000209B7"/>
    <w:rsid w:val="00020A32"/>
    <w:rsid w:val="00020AD8"/>
    <w:rsid w:val="00020AFA"/>
    <w:rsid w:val="00020B35"/>
    <w:rsid w:val="00020B60"/>
    <w:rsid w:val="00020EBA"/>
    <w:rsid w:val="00021056"/>
    <w:rsid w:val="0002107A"/>
    <w:rsid w:val="00021200"/>
    <w:rsid w:val="0002123E"/>
    <w:rsid w:val="00021351"/>
    <w:rsid w:val="0002141F"/>
    <w:rsid w:val="0002151A"/>
    <w:rsid w:val="00021690"/>
    <w:rsid w:val="000216A7"/>
    <w:rsid w:val="00021776"/>
    <w:rsid w:val="000218FF"/>
    <w:rsid w:val="000219B8"/>
    <w:rsid w:val="000219D8"/>
    <w:rsid w:val="00021A56"/>
    <w:rsid w:val="00021B87"/>
    <w:rsid w:val="00021C39"/>
    <w:rsid w:val="00021CCF"/>
    <w:rsid w:val="00021D00"/>
    <w:rsid w:val="00021E64"/>
    <w:rsid w:val="00021E78"/>
    <w:rsid w:val="00022160"/>
    <w:rsid w:val="000221B4"/>
    <w:rsid w:val="000222C1"/>
    <w:rsid w:val="000222C9"/>
    <w:rsid w:val="00022532"/>
    <w:rsid w:val="00022565"/>
    <w:rsid w:val="000225EA"/>
    <w:rsid w:val="000226E1"/>
    <w:rsid w:val="00022746"/>
    <w:rsid w:val="0002277E"/>
    <w:rsid w:val="00022794"/>
    <w:rsid w:val="00022874"/>
    <w:rsid w:val="0002288E"/>
    <w:rsid w:val="00022899"/>
    <w:rsid w:val="000228B0"/>
    <w:rsid w:val="000228BA"/>
    <w:rsid w:val="00022935"/>
    <w:rsid w:val="000229E0"/>
    <w:rsid w:val="000229EA"/>
    <w:rsid w:val="00022A2A"/>
    <w:rsid w:val="00022A67"/>
    <w:rsid w:val="00022AF8"/>
    <w:rsid w:val="00022B85"/>
    <w:rsid w:val="00022CC8"/>
    <w:rsid w:val="00022CDA"/>
    <w:rsid w:val="00022DAB"/>
    <w:rsid w:val="00022F44"/>
    <w:rsid w:val="00023143"/>
    <w:rsid w:val="000231F0"/>
    <w:rsid w:val="00023275"/>
    <w:rsid w:val="000232A8"/>
    <w:rsid w:val="000232C9"/>
    <w:rsid w:val="000232D1"/>
    <w:rsid w:val="00023300"/>
    <w:rsid w:val="00023746"/>
    <w:rsid w:val="00023762"/>
    <w:rsid w:val="00023803"/>
    <w:rsid w:val="000238F2"/>
    <w:rsid w:val="000238FE"/>
    <w:rsid w:val="000239ED"/>
    <w:rsid w:val="000239FE"/>
    <w:rsid w:val="00023AA2"/>
    <w:rsid w:val="00023B55"/>
    <w:rsid w:val="00023BBD"/>
    <w:rsid w:val="00023CE1"/>
    <w:rsid w:val="00023E00"/>
    <w:rsid w:val="00023F52"/>
    <w:rsid w:val="0002407B"/>
    <w:rsid w:val="0002409B"/>
    <w:rsid w:val="000240CF"/>
    <w:rsid w:val="000241A2"/>
    <w:rsid w:val="00024216"/>
    <w:rsid w:val="0002425D"/>
    <w:rsid w:val="000242BC"/>
    <w:rsid w:val="00024317"/>
    <w:rsid w:val="000243EA"/>
    <w:rsid w:val="0002441E"/>
    <w:rsid w:val="0002442D"/>
    <w:rsid w:val="00024512"/>
    <w:rsid w:val="00024570"/>
    <w:rsid w:val="00024595"/>
    <w:rsid w:val="0002483A"/>
    <w:rsid w:val="00024857"/>
    <w:rsid w:val="000248E7"/>
    <w:rsid w:val="00024955"/>
    <w:rsid w:val="000249EA"/>
    <w:rsid w:val="00024A7C"/>
    <w:rsid w:val="00024A89"/>
    <w:rsid w:val="00024C49"/>
    <w:rsid w:val="00024D0F"/>
    <w:rsid w:val="00024D35"/>
    <w:rsid w:val="00024DFD"/>
    <w:rsid w:val="00024E65"/>
    <w:rsid w:val="00024EB8"/>
    <w:rsid w:val="00024F4D"/>
    <w:rsid w:val="000250E9"/>
    <w:rsid w:val="0002511E"/>
    <w:rsid w:val="00025141"/>
    <w:rsid w:val="000251A1"/>
    <w:rsid w:val="00025277"/>
    <w:rsid w:val="000253B5"/>
    <w:rsid w:val="000254DE"/>
    <w:rsid w:val="0002552A"/>
    <w:rsid w:val="00025571"/>
    <w:rsid w:val="000255CA"/>
    <w:rsid w:val="00025838"/>
    <w:rsid w:val="000259D7"/>
    <w:rsid w:val="00025B87"/>
    <w:rsid w:val="00025CA4"/>
    <w:rsid w:val="00025E4A"/>
    <w:rsid w:val="00025EBE"/>
    <w:rsid w:val="00025F18"/>
    <w:rsid w:val="00025FF1"/>
    <w:rsid w:val="00025FFB"/>
    <w:rsid w:val="000260AA"/>
    <w:rsid w:val="000261AA"/>
    <w:rsid w:val="000261F3"/>
    <w:rsid w:val="000261FE"/>
    <w:rsid w:val="00026253"/>
    <w:rsid w:val="0002632E"/>
    <w:rsid w:val="000263B4"/>
    <w:rsid w:val="000263B8"/>
    <w:rsid w:val="00026681"/>
    <w:rsid w:val="000266F9"/>
    <w:rsid w:val="000266FA"/>
    <w:rsid w:val="00026A51"/>
    <w:rsid w:val="00026AED"/>
    <w:rsid w:val="00026AEE"/>
    <w:rsid w:val="00026B23"/>
    <w:rsid w:val="00026BA8"/>
    <w:rsid w:val="00026CC9"/>
    <w:rsid w:val="00026D3E"/>
    <w:rsid w:val="00026E61"/>
    <w:rsid w:val="00026ED6"/>
    <w:rsid w:val="00026EEE"/>
    <w:rsid w:val="00026F90"/>
    <w:rsid w:val="00026FA7"/>
    <w:rsid w:val="00026FB9"/>
    <w:rsid w:val="000271B8"/>
    <w:rsid w:val="000271E2"/>
    <w:rsid w:val="0002726A"/>
    <w:rsid w:val="00027280"/>
    <w:rsid w:val="00027296"/>
    <w:rsid w:val="0002751C"/>
    <w:rsid w:val="000275B0"/>
    <w:rsid w:val="000275C9"/>
    <w:rsid w:val="0002765D"/>
    <w:rsid w:val="0002769E"/>
    <w:rsid w:val="00027791"/>
    <w:rsid w:val="000277ED"/>
    <w:rsid w:val="00027832"/>
    <w:rsid w:val="00027993"/>
    <w:rsid w:val="000279E3"/>
    <w:rsid w:val="00027A38"/>
    <w:rsid w:val="00027A61"/>
    <w:rsid w:val="00027B1F"/>
    <w:rsid w:val="00027B51"/>
    <w:rsid w:val="00027C36"/>
    <w:rsid w:val="00027CAD"/>
    <w:rsid w:val="00027D56"/>
    <w:rsid w:val="00030118"/>
    <w:rsid w:val="00030167"/>
    <w:rsid w:val="000301E1"/>
    <w:rsid w:val="00030289"/>
    <w:rsid w:val="00030338"/>
    <w:rsid w:val="00030350"/>
    <w:rsid w:val="000303F6"/>
    <w:rsid w:val="000303FE"/>
    <w:rsid w:val="000304C0"/>
    <w:rsid w:val="000304CC"/>
    <w:rsid w:val="0003077E"/>
    <w:rsid w:val="000307CF"/>
    <w:rsid w:val="000307DC"/>
    <w:rsid w:val="00030869"/>
    <w:rsid w:val="000308B2"/>
    <w:rsid w:val="00030925"/>
    <w:rsid w:val="00030936"/>
    <w:rsid w:val="000309FA"/>
    <w:rsid w:val="00030A2A"/>
    <w:rsid w:val="00030B34"/>
    <w:rsid w:val="00030B96"/>
    <w:rsid w:val="00030C98"/>
    <w:rsid w:val="00030CB8"/>
    <w:rsid w:val="00030CE8"/>
    <w:rsid w:val="00030DF7"/>
    <w:rsid w:val="00030E09"/>
    <w:rsid w:val="00030E47"/>
    <w:rsid w:val="00030EA7"/>
    <w:rsid w:val="00030F80"/>
    <w:rsid w:val="00031000"/>
    <w:rsid w:val="000310D5"/>
    <w:rsid w:val="0003116B"/>
    <w:rsid w:val="0003121D"/>
    <w:rsid w:val="00031363"/>
    <w:rsid w:val="000313FD"/>
    <w:rsid w:val="00031472"/>
    <w:rsid w:val="000314CB"/>
    <w:rsid w:val="0003153E"/>
    <w:rsid w:val="0003156F"/>
    <w:rsid w:val="000315C5"/>
    <w:rsid w:val="0003163A"/>
    <w:rsid w:val="00031653"/>
    <w:rsid w:val="000316D5"/>
    <w:rsid w:val="00031722"/>
    <w:rsid w:val="00031730"/>
    <w:rsid w:val="0003180A"/>
    <w:rsid w:val="0003186E"/>
    <w:rsid w:val="00031935"/>
    <w:rsid w:val="00031941"/>
    <w:rsid w:val="00031C08"/>
    <w:rsid w:val="00031C2B"/>
    <w:rsid w:val="00031CB9"/>
    <w:rsid w:val="00031CCF"/>
    <w:rsid w:val="00031CE3"/>
    <w:rsid w:val="00031DB6"/>
    <w:rsid w:val="00031EA9"/>
    <w:rsid w:val="00031EE4"/>
    <w:rsid w:val="00031F51"/>
    <w:rsid w:val="00031F5D"/>
    <w:rsid w:val="00031F72"/>
    <w:rsid w:val="00031FF2"/>
    <w:rsid w:val="00032099"/>
    <w:rsid w:val="000321B8"/>
    <w:rsid w:val="00032203"/>
    <w:rsid w:val="0003221B"/>
    <w:rsid w:val="00032235"/>
    <w:rsid w:val="000322BF"/>
    <w:rsid w:val="00032407"/>
    <w:rsid w:val="0003244E"/>
    <w:rsid w:val="000324E7"/>
    <w:rsid w:val="0003259B"/>
    <w:rsid w:val="000326A2"/>
    <w:rsid w:val="000326B0"/>
    <w:rsid w:val="000326F9"/>
    <w:rsid w:val="0003285A"/>
    <w:rsid w:val="000328E4"/>
    <w:rsid w:val="00032A33"/>
    <w:rsid w:val="00032A46"/>
    <w:rsid w:val="00032ACC"/>
    <w:rsid w:val="00032B21"/>
    <w:rsid w:val="00032B30"/>
    <w:rsid w:val="00032B7F"/>
    <w:rsid w:val="00032BF7"/>
    <w:rsid w:val="00032C22"/>
    <w:rsid w:val="00032CA2"/>
    <w:rsid w:val="00032EF7"/>
    <w:rsid w:val="00033112"/>
    <w:rsid w:val="00033131"/>
    <w:rsid w:val="000331A4"/>
    <w:rsid w:val="000332A2"/>
    <w:rsid w:val="000332D3"/>
    <w:rsid w:val="000332DD"/>
    <w:rsid w:val="000332FB"/>
    <w:rsid w:val="00033376"/>
    <w:rsid w:val="0003338C"/>
    <w:rsid w:val="00033414"/>
    <w:rsid w:val="0003348B"/>
    <w:rsid w:val="000335DC"/>
    <w:rsid w:val="000335F2"/>
    <w:rsid w:val="000337B5"/>
    <w:rsid w:val="000337B7"/>
    <w:rsid w:val="000337E5"/>
    <w:rsid w:val="00033885"/>
    <w:rsid w:val="000338FE"/>
    <w:rsid w:val="0003390D"/>
    <w:rsid w:val="000339D4"/>
    <w:rsid w:val="00033A5D"/>
    <w:rsid w:val="00033AE4"/>
    <w:rsid w:val="00033AF3"/>
    <w:rsid w:val="00033BEF"/>
    <w:rsid w:val="00033C7E"/>
    <w:rsid w:val="00033E15"/>
    <w:rsid w:val="00033E2C"/>
    <w:rsid w:val="00033EFE"/>
    <w:rsid w:val="00033F83"/>
    <w:rsid w:val="00033FEF"/>
    <w:rsid w:val="0003400D"/>
    <w:rsid w:val="00034032"/>
    <w:rsid w:val="0003405C"/>
    <w:rsid w:val="00034188"/>
    <w:rsid w:val="0003418D"/>
    <w:rsid w:val="000341B2"/>
    <w:rsid w:val="000342A0"/>
    <w:rsid w:val="000342B9"/>
    <w:rsid w:val="000342CE"/>
    <w:rsid w:val="000342E2"/>
    <w:rsid w:val="0003446F"/>
    <w:rsid w:val="000344C5"/>
    <w:rsid w:val="000345A8"/>
    <w:rsid w:val="000345D8"/>
    <w:rsid w:val="0003461E"/>
    <w:rsid w:val="0003483F"/>
    <w:rsid w:val="000349B1"/>
    <w:rsid w:val="00034A4A"/>
    <w:rsid w:val="00034C18"/>
    <w:rsid w:val="00034CE5"/>
    <w:rsid w:val="00034D56"/>
    <w:rsid w:val="00034DBC"/>
    <w:rsid w:val="00034FC5"/>
    <w:rsid w:val="00035014"/>
    <w:rsid w:val="0003508A"/>
    <w:rsid w:val="000350B5"/>
    <w:rsid w:val="00035150"/>
    <w:rsid w:val="00035239"/>
    <w:rsid w:val="0003548A"/>
    <w:rsid w:val="00035526"/>
    <w:rsid w:val="000355C8"/>
    <w:rsid w:val="000355EC"/>
    <w:rsid w:val="000356D5"/>
    <w:rsid w:val="000356FB"/>
    <w:rsid w:val="000357A3"/>
    <w:rsid w:val="0003583D"/>
    <w:rsid w:val="0003593F"/>
    <w:rsid w:val="00035C1B"/>
    <w:rsid w:val="00035CCC"/>
    <w:rsid w:val="00035CD1"/>
    <w:rsid w:val="00035CD4"/>
    <w:rsid w:val="00035D5E"/>
    <w:rsid w:val="00035E02"/>
    <w:rsid w:val="00035E62"/>
    <w:rsid w:val="00035E9B"/>
    <w:rsid w:val="00035EC6"/>
    <w:rsid w:val="00035F82"/>
    <w:rsid w:val="00035FAE"/>
    <w:rsid w:val="00035FFC"/>
    <w:rsid w:val="00036001"/>
    <w:rsid w:val="000360BF"/>
    <w:rsid w:val="000362D7"/>
    <w:rsid w:val="00036385"/>
    <w:rsid w:val="000363D4"/>
    <w:rsid w:val="00036474"/>
    <w:rsid w:val="000364FA"/>
    <w:rsid w:val="00036505"/>
    <w:rsid w:val="0003654B"/>
    <w:rsid w:val="00036591"/>
    <w:rsid w:val="0003659C"/>
    <w:rsid w:val="000365B6"/>
    <w:rsid w:val="000365C2"/>
    <w:rsid w:val="000365C5"/>
    <w:rsid w:val="000365CD"/>
    <w:rsid w:val="00036673"/>
    <w:rsid w:val="0003686B"/>
    <w:rsid w:val="000368DB"/>
    <w:rsid w:val="0003699D"/>
    <w:rsid w:val="00036D24"/>
    <w:rsid w:val="00036E15"/>
    <w:rsid w:val="00036E7F"/>
    <w:rsid w:val="00036EBE"/>
    <w:rsid w:val="00036EBF"/>
    <w:rsid w:val="00036FC5"/>
    <w:rsid w:val="00037001"/>
    <w:rsid w:val="00037015"/>
    <w:rsid w:val="0003701D"/>
    <w:rsid w:val="00037311"/>
    <w:rsid w:val="00037550"/>
    <w:rsid w:val="00037793"/>
    <w:rsid w:val="000377A2"/>
    <w:rsid w:val="0003785A"/>
    <w:rsid w:val="000378B4"/>
    <w:rsid w:val="00037919"/>
    <w:rsid w:val="000379BB"/>
    <w:rsid w:val="00037A76"/>
    <w:rsid w:val="00037AF2"/>
    <w:rsid w:val="00037CA9"/>
    <w:rsid w:val="00037EEF"/>
    <w:rsid w:val="00040066"/>
    <w:rsid w:val="000401A8"/>
    <w:rsid w:val="00040343"/>
    <w:rsid w:val="000403A4"/>
    <w:rsid w:val="000403EA"/>
    <w:rsid w:val="00040469"/>
    <w:rsid w:val="0004046D"/>
    <w:rsid w:val="00040506"/>
    <w:rsid w:val="00040691"/>
    <w:rsid w:val="000406E3"/>
    <w:rsid w:val="000407B3"/>
    <w:rsid w:val="000407BD"/>
    <w:rsid w:val="00040877"/>
    <w:rsid w:val="000408B8"/>
    <w:rsid w:val="0004093F"/>
    <w:rsid w:val="0004097B"/>
    <w:rsid w:val="000409E9"/>
    <w:rsid w:val="00040A04"/>
    <w:rsid w:val="00040A1C"/>
    <w:rsid w:val="00040A28"/>
    <w:rsid w:val="00040B94"/>
    <w:rsid w:val="00040BA7"/>
    <w:rsid w:val="00040BBB"/>
    <w:rsid w:val="00040C19"/>
    <w:rsid w:val="00040C64"/>
    <w:rsid w:val="00040C84"/>
    <w:rsid w:val="00040CA2"/>
    <w:rsid w:val="00040D17"/>
    <w:rsid w:val="00040D89"/>
    <w:rsid w:val="00040ED8"/>
    <w:rsid w:val="00040EE4"/>
    <w:rsid w:val="00040F58"/>
    <w:rsid w:val="00041021"/>
    <w:rsid w:val="000410C8"/>
    <w:rsid w:val="000411BE"/>
    <w:rsid w:val="00041267"/>
    <w:rsid w:val="0004130B"/>
    <w:rsid w:val="00041339"/>
    <w:rsid w:val="0004142E"/>
    <w:rsid w:val="0004158E"/>
    <w:rsid w:val="000415B4"/>
    <w:rsid w:val="000416C6"/>
    <w:rsid w:val="000416D5"/>
    <w:rsid w:val="00041726"/>
    <w:rsid w:val="00041749"/>
    <w:rsid w:val="00041792"/>
    <w:rsid w:val="00041885"/>
    <w:rsid w:val="00041903"/>
    <w:rsid w:val="0004199A"/>
    <w:rsid w:val="00041A16"/>
    <w:rsid w:val="00041AAF"/>
    <w:rsid w:val="00041B17"/>
    <w:rsid w:val="00041BB2"/>
    <w:rsid w:val="00041C6A"/>
    <w:rsid w:val="00041D6E"/>
    <w:rsid w:val="00041DF7"/>
    <w:rsid w:val="00041E03"/>
    <w:rsid w:val="00041EBC"/>
    <w:rsid w:val="00041F39"/>
    <w:rsid w:val="0004210A"/>
    <w:rsid w:val="00042166"/>
    <w:rsid w:val="00042242"/>
    <w:rsid w:val="00042283"/>
    <w:rsid w:val="000422C5"/>
    <w:rsid w:val="00042487"/>
    <w:rsid w:val="00042527"/>
    <w:rsid w:val="000425FF"/>
    <w:rsid w:val="0004262B"/>
    <w:rsid w:val="000426C5"/>
    <w:rsid w:val="000426F2"/>
    <w:rsid w:val="0004282E"/>
    <w:rsid w:val="000429D2"/>
    <w:rsid w:val="000429FE"/>
    <w:rsid w:val="00042A6C"/>
    <w:rsid w:val="00042AC6"/>
    <w:rsid w:val="00042AD5"/>
    <w:rsid w:val="00042C01"/>
    <w:rsid w:val="00042C43"/>
    <w:rsid w:val="00042C5C"/>
    <w:rsid w:val="00042CB9"/>
    <w:rsid w:val="00042E02"/>
    <w:rsid w:val="00042EE5"/>
    <w:rsid w:val="00042F55"/>
    <w:rsid w:val="00042F8E"/>
    <w:rsid w:val="00042FCF"/>
    <w:rsid w:val="00042FDE"/>
    <w:rsid w:val="00043095"/>
    <w:rsid w:val="0004318C"/>
    <w:rsid w:val="000432AC"/>
    <w:rsid w:val="00043417"/>
    <w:rsid w:val="0004349A"/>
    <w:rsid w:val="000434BB"/>
    <w:rsid w:val="000435DF"/>
    <w:rsid w:val="000436B1"/>
    <w:rsid w:val="00043876"/>
    <w:rsid w:val="000438CA"/>
    <w:rsid w:val="0004392E"/>
    <w:rsid w:val="00043957"/>
    <w:rsid w:val="000439DD"/>
    <w:rsid w:val="00043AF4"/>
    <w:rsid w:val="00043BA4"/>
    <w:rsid w:val="00043C63"/>
    <w:rsid w:val="00043C9A"/>
    <w:rsid w:val="00043DFF"/>
    <w:rsid w:val="00043E31"/>
    <w:rsid w:val="00043EA8"/>
    <w:rsid w:val="00043F29"/>
    <w:rsid w:val="00043F53"/>
    <w:rsid w:val="00043F8A"/>
    <w:rsid w:val="00043FDA"/>
    <w:rsid w:val="00044041"/>
    <w:rsid w:val="00044169"/>
    <w:rsid w:val="0004423E"/>
    <w:rsid w:val="000443D7"/>
    <w:rsid w:val="0004449F"/>
    <w:rsid w:val="000444F4"/>
    <w:rsid w:val="000445D4"/>
    <w:rsid w:val="00044783"/>
    <w:rsid w:val="000447CF"/>
    <w:rsid w:val="000449A2"/>
    <w:rsid w:val="00044A1E"/>
    <w:rsid w:val="00044B3F"/>
    <w:rsid w:val="00044D2F"/>
    <w:rsid w:val="00044D3F"/>
    <w:rsid w:val="00044DB9"/>
    <w:rsid w:val="00044F44"/>
    <w:rsid w:val="00044FB5"/>
    <w:rsid w:val="00044FBE"/>
    <w:rsid w:val="00045137"/>
    <w:rsid w:val="0004518A"/>
    <w:rsid w:val="0004518E"/>
    <w:rsid w:val="00045322"/>
    <w:rsid w:val="0004532A"/>
    <w:rsid w:val="0004539E"/>
    <w:rsid w:val="000454AA"/>
    <w:rsid w:val="00045538"/>
    <w:rsid w:val="00045584"/>
    <w:rsid w:val="000455DD"/>
    <w:rsid w:val="000458AC"/>
    <w:rsid w:val="00045A6C"/>
    <w:rsid w:val="00045A89"/>
    <w:rsid w:val="00045B07"/>
    <w:rsid w:val="00045B2A"/>
    <w:rsid w:val="00045BE5"/>
    <w:rsid w:val="00045BEC"/>
    <w:rsid w:val="00045C4C"/>
    <w:rsid w:val="00045C52"/>
    <w:rsid w:val="00045CBD"/>
    <w:rsid w:val="00045CC6"/>
    <w:rsid w:val="00045DA4"/>
    <w:rsid w:val="00045DA7"/>
    <w:rsid w:val="00045E5F"/>
    <w:rsid w:val="00045E85"/>
    <w:rsid w:val="00045EBC"/>
    <w:rsid w:val="00045ECA"/>
    <w:rsid w:val="00045EE6"/>
    <w:rsid w:val="00045F6C"/>
    <w:rsid w:val="00046041"/>
    <w:rsid w:val="00046137"/>
    <w:rsid w:val="0004618C"/>
    <w:rsid w:val="000461AD"/>
    <w:rsid w:val="00046242"/>
    <w:rsid w:val="0004638F"/>
    <w:rsid w:val="00046391"/>
    <w:rsid w:val="000463F2"/>
    <w:rsid w:val="000465E2"/>
    <w:rsid w:val="0004668D"/>
    <w:rsid w:val="000467BF"/>
    <w:rsid w:val="0004686C"/>
    <w:rsid w:val="000469CF"/>
    <w:rsid w:val="00046AAE"/>
    <w:rsid w:val="00046ABE"/>
    <w:rsid w:val="00046B65"/>
    <w:rsid w:val="00046D62"/>
    <w:rsid w:val="00046FCA"/>
    <w:rsid w:val="00047132"/>
    <w:rsid w:val="000472AA"/>
    <w:rsid w:val="00047512"/>
    <w:rsid w:val="00047549"/>
    <w:rsid w:val="00047576"/>
    <w:rsid w:val="00047664"/>
    <w:rsid w:val="000476FE"/>
    <w:rsid w:val="00047775"/>
    <w:rsid w:val="00047815"/>
    <w:rsid w:val="0004782A"/>
    <w:rsid w:val="000478B5"/>
    <w:rsid w:val="000479AC"/>
    <w:rsid w:val="000479B0"/>
    <w:rsid w:val="000479CB"/>
    <w:rsid w:val="00047A48"/>
    <w:rsid w:val="00047A62"/>
    <w:rsid w:val="00047B46"/>
    <w:rsid w:val="00047B65"/>
    <w:rsid w:val="00047BB3"/>
    <w:rsid w:val="000500C7"/>
    <w:rsid w:val="000500CF"/>
    <w:rsid w:val="000500D3"/>
    <w:rsid w:val="0005015D"/>
    <w:rsid w:val="00050173"/>
    <w:rsid w:val="000501FC"/>
    <w:rsid w:val="00050222"/>
    <w:rsid w:val="000502DA"/>
    <w:rsid w:val="000503CD"/>
    <w:rsid w:val="000503DB"/>
    <w:rsid w:val="00050410"/>
    <w:rsid w:val="0005041C"/>
    <w:rsid w:val="00050466"/>
    <w:rsid w:val="00050525"/>
    <w:rsid w:val="00050527"/>
    <w:rsid w:val="00050530"/>
    <w:rsid w:val="00050542"/>
    <w:rsid w:val="000505BF"/>
    <w:rsid w:val="000506FB"/>
    <w:rsid w:val="00050710"/>
    <w:rsid w:val="00050787"/>
    <w:rsid w:val="000507B6"/>
    <w:rsid w:val="00050952"/>
    <w:rsid w:val="0005096B"/>
    <w:rsid w:val="000509B6"/>
    <w:rsid w:val="000509E1"/>
    <w:rsid w:val="00050AB6"/>
    <w:rsid w:val="00050C30"/>
    <w:rsid w:val="00050C7A"/>
    <w:rsid w:val="00050ECB"/>
    <w:rsid w:val="00050F7B"/>
    <w:rsid w:val="00051082"/>
    <w:rsid w:val="000510C2"/>
    <w:rsid w:val="00051113"/>
    <w:rsid w:val="0005114F"/>
    <w:rsid w:val="0005115B"/>
    <w:rsid w:val="0005118C"/>
    <w:rsid w:val="000512ED"/>
    <w:rsid w:val="00051432"/>
    <w:rsid w:val="000514EF"/>
    <w:rsid w:val="00051547"/>
    <w:rsid w:val="00051617"/>
    <w:rsid w:val="00051666"/>
    <w:rsid w:val="0005167A"/>
    <w:rsid w:val="000516A4"/>
    <w:rsid w:val="000516EF"/>
    <w:rsid w:val="00051727"/>
    <w:rsid w:val="00051762"/>
    <w:rsid w:val="00051782"/>
    <w:rsid w:val="00051792"/>
    <w:rsid w:val="000517CA"/>
    <w:rsid w:val="000517EF"/>
    <w:rsid w:val="0005184B"/>
    <w:rsid w:val="000518C8"/>
    <w:rsid w:val="000518EE"/>
    <w:rsid w:val="00051A4F"/>
    <w:rsid w:val="00051A9F"/>
    <w:rsid w:val="00051BA1"/>
    <w:rsid w:val="00051BF7"/>
    <w:rsid w:val="00051C33"/>
    <w:rsid w:val="00051C4C"/>
    <w:rsid w:val="00051CB3"/>
    <w:rsid w:val="00051E80"/>
    <w:rsid w:val="00051F4B"/>
    <w:rsid w:val="0005207E"/>
    <w:rsid w:val="000520B8"/>
    <w:rsid w:val="000521F3"/>
    <w:rsid w:val="0005222C"/>
    <w:rsid w:val="000522F7"/>
    <w:rsid w:val="00052426"/>
    <w:rsid w:val="0005263F"/>
    <w:rsid w:val="00052864"/>
    <w:rsid w:val="000528E7"/>
    <w:rsid w:val="0005298E"/>
    <w:rsid w:val="00052AC2"/>
    <w:rsid w:val="00052ACC"/>
    <w:rsid w:val="00052AF2"/>
    <w:rsid w:val="00052B75"/>
    <w:rsid w:val="00052BAB"/>
    <w:rsid w:val="00052C92"/>
    <w:rsid w:val="00052E10"/>
    <w:rsid w:val="00052FE2"/>
    <w:rsid w:val="00053030"/>
    <w:rsid w:val="00053060"/>
    <w:rsid w:val="00053079"/>
    <w:rsid w:val="000532E7"/>
    <w:rsid w:val="0005330C"/>
    <w:rsid w:val="0005337A"/>
    <w:rsid w:val="0005339E"/>
    <w:rsid w:val="00053523"/>
    <w:rsid w:val="000535C1"/>
    <w:rsid w:val="00053618"/>
    <w:rsid w:val="00053662"/>
    <w:rsid w:val="0005374B"/>
    <w:rsid w:val="00053842"/>
    <w:rsid w:val="00053845"/>
    <w:rsid w:val="000538B8"/>
    <w:rsid w:val="000539E2"/>
    <w:rsid w:val="00053A79"/>
    <w:rsid w:val="00053B40"/>
    <w:rsid w:val="00053CBE"/>
    <w:rsid w:val="00053E78"/>
    <w:rsid w:val="00053FC5"/>
    <w:rsid w:val="00053FE4"/>
    <w:rsid w:val="00054064"/>
    <w:rsid w:val="00054088"/>
    <w:rsid w:val="00054120"/>
    <w:rsid w:val="0005427A"/>
    <w:rsid w:val="00054345"/>
    <w:rsid w:val="0005434C"/>
    <w:rsid w:val="00054471"/>
    <w:rsid w:val="000544FE"/>
    <w:rsid w:val="00054567"/>
    <w:rsid w:val="0005459E"/>
    <w:rsid w:val="00054614"/>
    <w:rsid w:val="0005466C"/>
    <w:rsid w:val="000546F6"/>
    <w:rsid w:val="00054862"/>
    <w:rsid w:val="00054923"/>
    <w:rsid w:val="0005492B"/>
    <w:rsid w:val="00054980"/>
    <w:rsid w:val="000549B0"/>
    <w:rsid w:val="00054A8F"/>
    <w:rsid w:val="00054ADE"/>
    <w:rsid w:val="00054B05"/>
    <w:rsid w:val="00054B54"/>
    <w:rsid w:val="00054BE7"/>
    <w:rsid w:val="00054C78"/>
    <w:rsid w:val="00054D6D"/>
    <w:rsid w:val="00054E6E"/>
    <w:rsid w:val="00054ECD"/>
    <w:rsid w:val="00054FD0"/>
    <w:rsid w:val="0005503A"/>
    <w:rsid w:val="00055105"/>
    <w:rsid w:val="00055146"/>
    <w:rsid w:val="00055174"/>
    <w:rsid w:val="0005523B"/>
    <w:rsid w:val="0005532B"/>
    <w:rsid w:val="00055459"/>
    <w:rsid w:val="0005547A"/>
    <w:rsid w:val="00055485"/>
    <w:rsid w:val="000555AD"/>
    <w:rsid w:val="00055674"/>
    <w:rsid w:val="0005569C"/>
    <w:rsid w:val="00055787"/>
    <w:rsid w:val="000557C8"/>
    <w:rsid w:val="0005583F"/>
    <w:rsid w:val="0005587F"/>
    <w:rsid w:val="00055924"/>
    <w:rsid w:val="00055982"/>
    <w:rsid w:val="00055A63"/>
    <w:rsid w:val="00055B61"/>
    <w:rsid w:val="00055DA2"/>
    <w:rsid w:val="000560C4"/>
    <w:rsid w:val="000560DD"/>
    <w:rsid w:val="000560E1"/>
    <w:rsid w:val="00056101"/>
    <w:rsid w:val="00056254"/>
    <w:rsid w:val="00056384"/>
    <w:rsid w:val="00056393"/>
    <w:rsid w:val="0005649D"/>
    <w:rsid w:val="00056515"/>
    <w:rsid w:val="00056725"/>
    <w:rsid w:val="00056729"/>
    <w:rsid w:val="000567CB"/>
    <w:rsid w:val="00056894"/>
    <w:rsid w:val="000568F0"/>
    <w:rsid w:val="00056A96"/>
    <w:rsid w:val="00056B79"/>
    <w:rsid w:val="00056BB7"/>
    <w:rsid w:val="00056BE8"/>
    <w:rsid w:val="00056C58"/>
    <w:rsid w:val="00056CDD"/>
    <w:rsid w:val="00056D5B"/>
    <w:rsid w:val="00056E9C"/>
    <w:rsid w:val="00056F14"/>
    <w:rsid w:val="00056FAE"/>
    <w:rsid w:val="00057074"/>
    <w:rsid w:val="0005717C"/>
    <w:rsid w:val="00057180"/>
    <w:rsid w:val="00057213"/>
    <w:rsid w:val="00057341"/>
    <w:rsid w:val="000573DF"/>
    <w:rsid w:val="0005743B"/>
    <w:rsid w:val="000574FC"/>
    <w:rsid w:val="0005750F"/>
    <w:rsid w:val="000575CC"/>
    <w:rsid w:val="0005764D"/>
    <w:rsid w:val="00057679"/>
    <w:rsid w:val="000578A3"/>
    <w:rsid w:val="00057906"/>
    <w:rsid w:val="00057970"/>
    <w:rsid w:val="00057A1F"/>
    <w:rsid w:val="00057A64"/>
    <w:rsid w:val="00057A8F"/>
    <w:rsid w:val="00057ABE"/>
    <w:rsid w:val="00057B72"/>
    <w:rsid w:val="00057C7A"/>
    <w:rsid w:val="00057CA7"/>
    <w:rsid w:val="00057D5A"/>
    <w:rsid w:val="00057F08"/>
    <w:rsid w:val="00057F57"/>
    <w:rsid w:val="00057F87"/>
    <w:rsid w:val="00057F8B"/>
    <w:rsid w:val="00060077"/>
    <w:rsid w:val="00060078"/>
    <w:rsid w:val="000600D3"/>
    <w:rsid w:val="00060109"/>
    <w:rsid w:val="0006018A"/>
    <w:rsid w:val="00060218"/>
    <w:rsid w:val="000602E3"/>
    <w:rsid w:val="000603BF"/>
    <w:rsid w:val="00060425"/>
    <w:rsid w:val="000604A2"/>
    <w:rsid w:val="0006054D"/>
    <w:rsid w:val="0006060F"/>
    <w:rsid w:val="00060741"/>
    <w:rsid w:val="00060796"/>
    <w:rsid w:val="000607F4"/>
    <w:rsid w:val="0006098E"/>
    <w:rsid w:val="000609AB"/>
    <w:rsid w:val="00060B0E"/>
    <w:rsid w:val="00060B52"/>
    <w:rsid w:val="00060B7A"/>
    <w:rsid w:val="00060C57"/>
    <w:rsid w:val="00060D4B"/>
    <w:rsid w:val="00060DA4"/>
    <w:rsid w:val="00060E35"/>
    <w:rsid w:val="00060EAB"/>
    <w:rsid w:val="00060EF5"/>
    <w:rsid w:val="00060F37"/>
    <w:rsid w:val="00060F53"/>
    <w:rsid w:val="00060FDD"/>
    <w:rsid w:val="0006105C"/>
    <w:rsid w:val="00061093"/>
    <w:rsid w:val="00061215"/>
    <w:rsid w:val="0006122E"/>
    <w:rsid w:val="00061244"/>
    <w:rsid w:val="00061438"/>
    <w:rsid w:val="000614B4"/>
    <w:rsid w:val="00061585"/>
    <w:rsid w:val="000615D0"/>
    <w:rsid w:val="000615DD"/>
    <w:rsid w:val="000616AB"/>
    <w:rsid w:val="00061754"/>
    <w:rsid w:val="0006176D"/>
    <w:rsid w:val="000617C6"/>
    <w:rsid w:val="000617D9"/>
    <w:rsid w:val="000618E9"/>
    <w:rsid w:val="00061928"/>
    <w:rsid w:val="00061A0D"/>
    <w:rsid w:val="00061A53"/>
    <w:rsid w:val="00061ADD"/>
    <w:rsid w:val="00061B28"/>
    <w:rsid w:val="00061C42"/>
    <w:rsid w:val="00061CAC"/>
    <w:rsid w:val="00061CD6"/>
    <w:rsid w:val="00061E1A"/>
    <w:rsid w:val="00061E53"/>
    <w:rsid w:val="00061FA4"/>
    <w:rsid w:val="000621E6"/>
    <w:rsid w:val="00062214"/>
    <w:rsid w:val="0006227B"/>
    <w:rsid w:val="000622C4"/>
    <w:rsid w:val="0006237F"/>
    <w:rsid w:val="00062437"/>
    <w:rsid w:val="000624BD"/>
    <w:rsid w:val="000624EA"/>
    <w:rsid w:val="0006251A"/>
    <w:rsid w:val="0006251E"/>
    <w:rsid w:val="00062788"/>
    <w:rsid w:val="000627D4"/>
    <w:rsid w:val="00062838"/>
    <w:rsid w:val="00062878"/>
    <w:rsid w:val="00062942"/>
    <w:rsid w:val="000629B7"/>
    <w:rsid w:val="00062A03"/>
    <w:rsid w:val="00062A23"/>
    <w:rsid w:val="00062A45"/>
    <w:rsid w:val="00062A96"/>
    <w:rsid w:val="00062C50"/>
    <w:rsid w:val="00062D27"/>
    <w:rsid w:val="00062D2E"/>
    <w:rsid w:val="00062D78"/>
    <w:rsid w:val="00062DAE"/>
    <w:rsid w:val="00062DB2"/>
    <w:rsid w:val="00062F87"/>
    <w:rsid w:val="0006304C"/>
    <w:rsid w:val="000630C1"/>
    <w:rsid w:val="00063182"/>
    <w:rsid w:val="000631DA"/>
    <w:rsid w:val="00063251"/>
    <w:rsid w:val="000632FC"/>
    <w:rsid w:val="00063341"/>
    <w:rsid w:val="0006339E"/>
    <w:rsid w:val="0006345F"/>
    <w:rsid w:val="00063600"/>
    <w:rsid w:val="00063618"/>
    <w:rsid w:val="00063667"/>
    <w:rsid w:val="000636DC"/>
    <w:rsid w:val="00063754"/>
    <w:rsid w:val="0006397A"/>
    <w:rsid w:val="00063A75"/>
    <w:rsid w:val="00063D00"/>
    <w:rsid w:val="00063F77"/>
    <w:rsid w:val="00063FBD"/>
    <w:rsid w:val="000640BD"/>
    <w:rsid w:val="000640EA"/>
    <w:rsid w:val="000640F2"/>
    <w:rsid w:val="00064207"/>
    <w:rsid w:val="0006432F"/>
    <w:rsid w:val="0006452C"/>
    <w:rsid w:val="00064564"/>
    <w:rsid w:val="00064597"/>
    <w:rsid w:val="000645E4"/>
    <w:rsid w:val="0006460F"/>
    <w:rsid w:val="0006463D"/>
    <w:rsid w:val="0006463F"/>
    <w:rsid w:val="0006466A"/>
    <w:rsid w:val="0006473C"/>
    <w:rsid w:val="00064798"/>
    <w:rsid w:val="000647F4"/>
    <w:rsid w:val="000648DB"/>
    <w:rsid w:val="0006498B"/>
    <w:rsid w:val="00064A12"/>
    <w:rsid w:val="00064A74"/>
    <w:rsid w:val="00064A78"/>
    <w:rsid w:val="00064B0F"/>
    <w:rsid w:val="00064BAB"/>
    <w:rsid w:val="00064C3F"/>
    <w:rsid w:val="00064D81"/>
    <w:rsid w:val="00064E9A"/>
    <w:rsid w:val="0006504B"/>
    <w:rsid w:val="00065087"/>
    <w:rsid w:val="00065092"/>
    <w:rsid w:val="000650E9"/>
    <w:rsid w:val="000651A7"/>
    <w:rsid w:val="0006524C"/>
    <w:rsid w:val="00065372"/>
    <w:rsid w:val="0006545E"/>
    <w:rsid w:val="00065479"/>
    <w:rsid w:val="00065643"/>
    <w:rsid w:val="00065680"/>
    <w:rsid w:val="000656CB"/>
    <w:rsid w:val="00065874"/>
    <w:rsid w:val="000658BA"/>
    <w:rsid w:val="00065A92"/>
    <w:rsid w:val="00065BED"/>
    <w:rsid w:val="00065D2D"/>
    <w:rsid w:val="00065D99"/>
    <w:rsid w:val="00065F52"/>
    <w:rsid w:val="00065FD1"/>
    <w:rsid w:val="00066080"/>
    <w:rsid w:val="00066108"/>
    <w:rsid w:val="0006612B"/>
    <w:rsid w:val="0006612F"/>
    <w:rsid w:val="0006623E"/>
    <w:rsid w:val="000662FB"/>
    <w:rsid w:val="0006632F"/>
    <w:rsid w:val="00066366"/>
    <w:rsid w:val="0006636C"/>
    <w:rsid w:val="00066426"/>
    <w:rsid w:val="00066450"/>
    <w:rsid w:val="000665CC"/>
    <w:rsid w:val="0006672D"/>
    <w:rsid w:val="00066780"/>
    <w:rsid w:val="0006682D"/>
    <w:rsid w:val="000668F1"/>
    <w:rsid w:val="00066931"/>
    <w:rsid w:val="00066934"/>
    <w:rsid w:val="00066A0C"/>
    <w:rsid w:val="00066A9C"/>
    <w:rsid w:val="00066B67"/>
    <w:rsid w:val="00066CB0"/>
    <w:rsid w:val="00066D95"/>
    <w:rsid w:val="00066DDB"/>
    <w:rsid w:val="00066DE3"/>
    <w:rsid w:val="00066ECB"/>
    <w:rsid w:val="00066ED8"/>
    <w:rsid w:val="00066F8C"/>
    <w:rsid w:val="00067007"/>
    <w:rsid w:val="0006702A"/>
    <w:rsid w:val="0006710E"/>
    <w:rsid w:val="00067130"/>
    <w:rsid w:val="000672BA"/>
    <w:rsid w:val="000672DE"/>
    <w:rsid w:val="000672E3"/>
    <w:rsid w:val="000672FD"/>
    <w:rsid w:val="000673C7"/>
    <w:rsid w:val="00067445"/>
    <w:rsid w:val="000674C6"/>
    <w:rsid w:val="000674CC"/>
    <w:rsid w:val="00067571"/>
    <w:rsid w:val="000676A2"/>
    <w:rsid w:val="000676BE"/>
    <w:rsid w:val="000676C9"/>
    <w:rsid w:val="000677F2"/>
    <w:rsid w:val="00067828"/>
    <w:rsid w:val="000678B1"/>
    <w:rsid w:val="000678DF"/>
    <w:rsid w:val="00067952"/>
    <w:rsid w:val="000679A6"/>
    <w:rsid w:val="00067AF2"/>
    <w:rsid w:val="00067BB5"/>
    <w:rsid w:val="00067BEA"/>
    <w:rsid w:val="00067C06"/>
    <w:rsid w:val="00067C15"/>
    <w:rsid w:val="00067CB3"/>
    <w:rsid w:val="00067CDF"/>
    <w:rsid w:val="00067D04"/>
    <w:rsid w:val="00067D88"/>
    <w:rsid w:val="00067FB0"/>
    <w:rsid w:val="00070384"/>
    <w:rsid w:val="000703B0"/>
    <w:rsid w:val="00070630"/>
    <w:rsid w:val="0007079A"/>
    <w:rsid w:val="00070827"/>
    <w:rsid w:val="0007092D"/>
    <w:rsid w:val="0007099B"/>
    <w:rsid w:val="00070A7C"/>
    <w:rsid w:val="00070A8E"/>
    <w:rsid w:val="00070AF9"/>
    <w:rsid w:val="00070BB8"/>
    <w:rsid w:val="00070C9F"/>
    <w:rsid w:val="00070E40"/>
    <w:rsid w:val="00070E9B"/>
    <w:rsid w:val="00070EF0"/>
    <w:rsid w:val="00070FDF"/>
    <w:rsid w:val="00071013"/>
    <w:rsid w:val="000710E3"/>
    <w:rsid w:val="000710FC"/>
    <w:rsid w:val="00071227"/>
    <w:rsid w:val="00071274"/>
    <w:rsid w:val="0007130D"/>
    <w:rsid w:val="0007137A"/>
    <w:rsid w:val="0007138F"/>
    <w:rsid w:val="000713B1"/>
    <w:rsid w:val="000713CF"/>
    <w:rsid w:val="00071421"/>
    <w:rsid w:val="00071530"/>
    <w:rsid w:val="00071659"/>
    <w:rsid w:val="0007167D"/>
    <w:rsid w:val="00071747"/>
    <w:rsid w:val="00071751"/>
    <w:rsid w:val="00071768"/>
    <w:rsid w:val="00071799"/>
    <w:rsid w:val="0007184B"/>
    <w:rsid w:val="00071897"/>
    <w:rsid w:val="000718F1"/>
    <w:rsid w:val="00071955"/>
    <w:rsid w:val="00071B18"/>
    <w:rsid w:val="00071B20"/>
    <w:rsid w:val="00071C14"/>
    <w:rsid w:val="00071C57"/>
    <w:rsid w:val="00071DE0"/>
    <w:rsid w:val="00071DFB"/>
    <w:rsid w:val="00071E71"/>
    <w:rsid w:val="00071FD8"/>
    <w:rsid w:val="00072059"/>
    <w:rsid w:val="00072188"/>
    <w:rsid w:val="0007231C"/>
    <w:rsid w:val="0007233D"/>
    <w:rsid w:val="00072348"/>
    <w:rsid w:val="0007236F"/>
    <w:rsid w:val="000723E5"/>
    <w:rsid w:val="00072550"/>
    <w:rsid w:val="0007259F"/>
    <w:rsid w:val="0007264F"/>
    <w:rsid w:val="0007266A"/>
    <w:rsid w:val="000726C9"/>
    <w:rsid w:val="000726E2"/>
    <w:rsid w:val="0007279A"/>
    <w:rsid w:val="00072818"/>
    <w:rsid w:val="0007289E"/>
    <w:rsid w:val="00072908"/>
    <w:rsid w:val="0007294F"/>
    <w:rsid w:val="00072CC9"/>
    <w:rsid w:val="00072D96"/>
    <w:rsid w:val="00072E00"/>
    <w:rsid w:val="00072E40"/>
    <w:rsid w:val="00072EDD"/>
    <w:rsid w:val="00072F17"/>
    <w:rsid w:val="00073037"/>
    <w:rsid w:val="0007304C"/>
    <w:rsid w:val="00073107"/>
    <w:rsid w:val="00073347"/>
    <w:rsid w:val="00073453"/>
    <w:rsid w:val="00073549"/>
    <w:rsid w:val="000735FC"/>
    <w:rsid w:val="0007360D"/>
    <w:rsid w:val="00073788"/>
    <w:rsid w:val="000737C2"/>
    <w:rsid w:val="00073829"/>
    <w:rsid w:val="00073A0A"/>
    <w:rsid w:val="00073AF3"/>
    <w:rsid w:val="00073BD4"/>
    <w:rsid w:val="00073BDE"/>
    <w:rsid w:val="00073CD5"/>
    <w:rsid w:val="00073D10"/>
    <w:rsid w:val="00073E90"/>
    <w:rsid w:val="00073F12"/>
    <w:rsid w:val="00074048"/>
    <w:rsid w:val="000740EE"/>
    <w:rsid w:val="00074157"/>
    <w:rsid w:val="0007417F"/>
    <w:rsid w:val="000742FB"/>
    <w:rsid w:val="0007445F"/>
    <w:rsid w:val="000745EC"/>
    <w:rsid w:val="0007460D"/>
    <w:rsid w:val="00074620"/>
    <w:rsid w:val="0007473C"/>
    <w:rsid w:val="000748D4"/>
    <w:rsid w:val="000748FD"/>
    <w:rsid w:val="00074B88"/>
    <w:rsid w:val="00074C05"/>
    <w:rsid w:val="00074CB6"/>
    <w:rsid w:val="00074E7A"/>
    <w:rsid w:val="00074E9C"/>
    <w:rsid w:val="00074EBA"/>
    <w:rsid w:val="00074F35"/>
    <w:rsid w:val="00074F5E"/>
    <w:rsid w:val="00075166"/>
    <w:rsid w:val="000751BE"/>
    <w:rsid w:val="000751DE"/>
    <w:rsid w:val="000753CF"/>
    <w:rsid w:val="000753DE"/>
    <w:rsid w:val="00075478"/>
    <w:rsid w:val="00075482"/>
    <w:rsid w:val="000754B4"/>
    <w:rsid w:val="000754ED"/>
    <w:rsid w:val="00075537"/>
    <w:rsid w:val="0007555F"/>
    <w:rsid w:val="00075567"/>
    <w:rsid w:val="0007570A"/>
    <w:rsid w:val="0007572C"/>
    <w:rsid w:val="0007573D"/>
    <w:rsid w:val="0007577F"/>
    <w:rsid w:val="00075802"/>
    <w:rsid w:val="00075829"/>
    <w:rsid w:val="0007582F"/>
    <w:rsid w:val="00075854"/>
    <w:rsid w:val="000758E8"/>
    <w:rsid w:val="00075973"/>
    <w:rsid w:val="000759B0"/>
    <w:rsid w:val="00075A05"/>
    <w:rsid w:val="00075B29"/>
    <w:rsid w:val="00075DC6"/>
    <w:rsid w:val="00075DD9"/>
    <w:rsid w:val="00075DE1"/>
    <w:rsid w:val="00075EF9"/>
    <w:rsid w:val="00075F1B"/>
    <w:rsid w:val="00076106"/>
    <w:rsid w:val="00076114"/>
    <w:rsid w:val="0007617F"/>
    <w:rsid w:val="000761E6"/>
    <w:rsid w:val="000762DC"/>
    <w:rsid w:val="000765C6"/>
    <w:rsid w:val="00076676"/>
    <w:rsid w:val="0007668B"/>
    <w:rsid w:val="00076695"/>
    <w:rsid w:val="000766A4"/>
    <w:rsid w:val="0007670C"/>
    <w:rsid w:val="000769CD"/>
    <w:rsid w:val="000769FD"/>
    <w:rsid w:val="00076B50"/>
    <w:rsid w:val="00076B5B"/>
    <w:rsid w:val="00076B7D"/>
    <w:rsid w:val="00076B89"/>
    <w:rsid w:val="00076D63"/>
    <w:rsid w:val="00076E92"/>
    <w:rsid w:val="000770A3"/>
    <w:rsid w:val="000770D9"/>
    <w:rsid w:val="00077100"/>
    <w:rsid w:val="0007711F"/>
    <w:rsid w:val="0007735B"/>
    <w:rsid w:val="00077457"/>
    <w:rsid w:val="0007751D"/>
    <w:rsid w:val="00077529"/>
    <w:rsid w:val="00077553"/>
    <w:rsid w:val="00077618"/>
    <w:rsid w:val="0007768C"/>
    <w:rsid w:val="00077706"/>
    <w:rsid w:val="0007776D"/>
    <w:rsid w:val="0007780B"/>
    <w:rsid w:val="0007786F"/>
    <w:rsid w:val="00077A42"/>
    <w:rsid w:val="00077B22"/>
    <w:rsid w:val="00077C08"/>
    <w:rsid w:val="00077C4B"/>
    <w:rsid w:val="00077C9D"/>
    <w:rsid w:val="00077D88"/>
    <w:rsid w:val="00077F7F"/>
    <w:rsid w:val="00077FD3"/>
    <w:rsid w:val="0008004C"/>
    <w:rsid w:val="00080070"/>
    <w:rsid w:val="00080083"/>
    <w:rsid w:val="0008024D"/>
    <w:rsid w:val="000802D7"/>
    <w:rsid w:val="0008034B"/>
    <w:rsid w:val="0008037D"/>
    <w:rsid w:val="000803AC"/>
    <w:rsid w:val="0008046F"/>
    <w:rsid w:val="000804F5"/>
    <w:rsid w:val="00080514"/>
    <w:rsid w:val="00080560"/>
    <w:rsid w:val="000805BE"/>
    <w:rsid w:val="00080607"/>
    <w:rsid w:val="00080615"/>
    <w:rsid w:val="000806CA"/>
    <w:rsid w:val="000806E1"/>
    <w:rsid w:val="00080735"/>
    <w:rsid w:val="00080828"/>
    <w:rsid w:val="00080967"/>
    <w:rsid w:val="000809F0"/>
    <w:rsid w:val="00080AEA"/>
    <w:rsid w:val="00080BA5"/>
    <w:rsid w:val="00080CDF"/>
    <w:rsid w:val="00080DE3"/>
    <w:rsid w:val="00080E1C"/>
    <w:rsid w:val="00080EF0"/>
    <w:rsid w:val="00080EF5"/>
    <w:rsid w:val="00080F55"/>
    <w:rsid w:val="00080F78"/>
    <w:rsid w:val="00080F93"/>
    <w:rsid w:val="0008101D"/>
    <w:rsid w:val="00081025"/>
    <w:rsid w:val="00081052"/>
    <w:rsid w:val="000811D5"/>
    <w:rsid w:val="0008128B"/>
    <w:rsid w:val="000812B0"/>
    <w:rsid w:val="000812C2"/>
    <w:rsid w:val="0008139D"/>
    <w:rsid w:val="000813AA"/>
    <w:rsid w:val="000813C9"/>
    <w:rsid w:val="000814D7"/>
    <w:rsid w:val="0008152D"/>
    <w:rsid w:val="000815A7"/>
    <w:rsid w:val="000815AC"/>
    <w:rsid w:val="000816A6"/>
    <w:rsid w:val="000816CE"/>
    <w:rsid w:val="0008180A"/>
    <w:rsid w:val="00081893"/>
    <w:rsid w:val="0008189B"/>
    <w:rsid w:val="00081950"/>
    <w:rsid w:val="000819D6"/>
    <w:rsid w:val="000819E2"/>
    <w:rsid w:val="00081A64"/>
    <w:rsid w:val="00081B1D"/>
    <w:rsid w:val="00081B31"/>
    <w:rsid w:val="00081B37"/>
    <w:rsid w:val="00081BA7"/>
    <w:rsid w:val="00081BD2"/>
    <w:rsid w:val="00081C0D"/>
    <w:rsid w:val="00081EBE"/>
    <w:rsid w:val="00081F39"/>
    <w:rsid w:val="00081FCF"/>
    <w:rsid w:val="00081FE3"/>
    <w:rsid w:val="00081FF1"/>
    <w:rsid w:val="00082183"/>
    <w:rsid w:val="00082194"/>
    <w:rsid w:val="00082225"/>
    <w:rsid w:val="000823B9"/>
    <w:rsid w:val="000825CC"/>
    <w:rsid w:val="0008264F"/>
    <w:rsid w:val="000827F1"/>
    <w:rsid w:val="0008283B"/>
    <w:rsid w:val="00082A3C"/>
    <w:rsid w:val="00082A61"/>
    <w:rsid w:val="00082B9A"/>
    <w:rsid w:val="00082C1F"/>
    <w:rsid w:val="00082CB6"/>
    <w:rsid w:val="00082D30"/>
    <w:rsid w:val="00082D9B"/>
    <w:rsid w:val="00082E28"/>
    <w:rsid w:val="00082E67"/>
    <w:rsid w:val="00082EBA"/>
    <w:rsid w:val="00082EC5"/>
    <w:rsid w:val="00083071"/>
    <w:rsid w:val="00083080"/>
    <w:rsid w:val="00083096"/>
    <w:rsid w:val="000830EB"/>
    <w:rsid w:val="00083156"/>
    <w:rsid w:val="000832BD"/>
    <w:rsid w:val="00083317"/>
    <w:rsid w:val="000833B5"/>
    <w:rsid w:val="000833D2"/>
    <w:rsid w:val="00083466"/>
    <w:rsid w:val="00083514"/>
    <w:rsid w:val="0008354E"/>
    <w:rsid w:val="000835BD"/>
    <w:rsid w:val="000835D4"/>
    <w:rsid w:val="00083700"/>
    <w:rsid w:val="000837E3"/>
    <w:rsid w:val="000837F2"/>
    <w:rsid w:val="0008386D"/>
    <w:rsid w:val="00083893"/>
    <w:rsid w:val="00083894"/>
    <w:rsid w:val="000838F1"/>
    <w:rsid w:val="00083A75"/>
    <w:rsid w:val="00083A7B"/>
    <w:rsid w:val="00083AA9"/>
    <w:rsid w:val="00083B9A"/>
    <w:rsid w:val="00083BD7"/>
    <w:rsid w:val="00083C50"/>
    <w:rsid w:val="00083C9A"/>
    <w:rsid w:val="00083D14"/>
    <w:rsid w:val="00083E0F"/>
    <w:rsid w:val="0008417E"/>
    <w:rsid w:val="00084264"/>
    <w:rsid w:val="000842CA"/>
    <w:rsid w:val="000842E3"/>
    <w:rsid w:val="000842F2"/>
    <w:rsid w:val="00084317"/>
    <w:rsid w:val="00084339"/>
    <w:rsid w:val="000843FA"/>
    <w:rsid w:val="000844AA"/>
    <w:rsid w:val="000844B3"/>
    <w:rsid w:val="0008451E"/>
    <w:rsid w:val="00084556"/>
    <w:rsid w:val="00084631"/>
    <w:rsid w:val="0008479F"/>
    <w:rsid w:val="000849CA"/>
    <w:rsid w:val="00084AE8"/>
    <w:rsid w:val="00084B2A"/>
    <w:rsid w:val="00084B6F"/>
    <w:rsid w:val="00084C17"/>
    <w:rsid w:val="00084DD3"/>
    <w:rsid w:val="00084E03"/>
    <w:rsid w:val="00084E5B"/>
    <w:rsid w:val="00084F6B"/>
    <w:rsid w:val="00084FD5"/>
    <w:rsid w:val="0008505D"/>
    <w:rsid w:val="000851A9"/>
    <w:rsid w:val="0008522D"/>
    <w:rsid w:val="000852B2"/>
    <w:rsid w:val="000852ED"/>
    <w:rsid w:val="00085376"/>
    <w:rsid w:val="000853B5"/>
    <w:rsid w:val="000853D9"/>
    <w:rsid w:val="0008543C"/>
    <w:rsid w:val="000854FE"/>
    <w:rsid w:val="0008555D"/>
    <w:rsid w:val="000855FF"/>
    <w:rsid w:val="0008561A"/>
    <w:rsid w:val="00085651"/>
    <w:rsid w:val="00085706"/>
    <w:rsid w:val="000857D3"/>
    <w:rsid w:val="00085881"/>
    <w:rsid w:val="00085918"/>
    <w:rsid w:val="00085980"/>
    <w:rsid w:val="00085A33"/>
    <w:rsid w:val="00085A3E"/>
    <w:rsid w:val="00085A46"/>
    <w:rsid w:val="00085A75"/>
    <w:rsid w:val="00085AF8"/>
    <w:rsid w:val="00085BBF"/>
    <w:rsid w:val="00085C09"/>
    <w:rsid w:val="00085C62"/>
    <w:rsid w:val="00085CD4"/>
    <w:rsid w:val="00085CF3"/>
    <w:rsid w:val="00085F15"/>
    <w:rsid w:val="00085FAF"/>
    <w:rsid w:val="00086046"/>
    <w:rsid w:val="00086222"/>
    <w:rsid w:val="00086292"/>
    <w:rsid w:val="00086354"/>
    <w:rsid w:val="00086374"/>
    <w:rsid w:val="00086413"/>
    <w:rsid w:val="0008643A"/>
    <w:rsid w:val="00086471"/>
    <w:rsid w:val="0008648A"/>
    <w:rsid w:val="00086578"/>
    <w:rsid w:val="000865A7"/>
    <w:rsid w:val="0008665C"/>
    <w:rsid w:val="00086772"/>
    <w:rsid w:val="0008678F"/>
    <w:rsid w:val="00086888"/>
    <w:rsid w:val="0008689D"/>
    <w:rsid w:val="000868BB"/>
    <w:rsid w:val="000868D6"/>
    <w:rsid w:val="000868DF"/>
    <w:rsid w:val="000869D9"/>
    <w:rsid w:val="00086A78"/>
    <w:rsid w:val="00086B27"/>
    <w:rsid w:val="00086BFC"/>
    <w:rsid w:val="00086CA0"/>
    <w:rsid w:val="00086D09"/>
    <w:rsid w:val="00086D42"/>
    <w:rsid w:val="00086F2D"/>
    <w:rsid w:val="00086F7C"/>
    <w:rsid w:val="0008700C"/>
    <w:rsid w:val="0008709C"/>
    <w:rsid w:val="0008721A"/>
    <w:rsid w:val="00087337"/>
    <w:rsid w:val="000873E9"/>
    <w:rsid w:val="0008747B"/>
    <w:rsid w:val="00087514"/>
    <w:rsid w:val="0008760F"/>
    <w:rsid w:val="000877E9"/>
    <w:rsid w:val="0008784E"/>
    <w:rsid w:val="00087893"/>
    <w:rsid w:val="0008796D"/>
    <w:rsid w:val="00087A09"/>
    <w:rsid w:val="00087A54"/>
    <w:rsid w:val="00087AE0"/>
    <w:rsid w:val="00087AE1"/>
    <w:rsid w:val="00087CF2"/>
    <w:rsid w:val="00087D12"/>
    <w:rsid w:val="00087D52"/>
    <w:rsid w:val="00087D83"/>
    <w:rsid w:val="00087DCC"/>
    <w:rsid w:val="00087DED"/>
    <w:rsid w:val="00087E28"/>
    <w:rsid w:val="00087E75"/>
    <w:rsid w:val="00087EDF"/>
    <w:rsid w:val="00087EED"/>
    <w:rsid w:val="00087FA2"/>
    <w:rsid w:val="00090064"/>
    <w:rsid w:val="00090102"/>
    <w:rsid w:val="0009029C"/>
    <w:rsid w:val="000902BC"/>
    <w:rsid w:val="0009036D"/>
    <w:rsid w:val="0009038D"/>
    <w:rsid w:val="000904A3"/>
    <w:rsid w:val="000904D5"/>
    <w:rsid w:val="000906CE"/>
    <w:rsid w:val="0009078F"/>
    <w:rsid w:val="00090801"/>
    <w:rsid w:val="0009083F"/>
    <w:rsid w:val="000909FB"/>
    <w:rsid w:val="00090B79"/>
    <w:rsid w:val="00090BC9"/>
    <w:rsid w:val="00090C52"/>
    <w:rsid w:val="00090D08"/>
    <w:rsid w:val="00090D0A"/>
    <w:rsid w:val="00090D39"/>
    <w:rsid w:val="00090D7F"/>
    <w:rsid w:val="00090DBC"/>
    <w:rsid w:val="00090DC5"/>
    <w:rsid w:val="00090EA3"/>
    <w:rsid w:val="00090EE1"/>
    <w:rsid w:val="00090FBB"/>
    <w:rsid w:val="0009100E"/>
    <w:rsid w:val="00091013"/>
    <w:rsid w:val="000910CE"/>
    <w:rsid w:val="0009118A"/>
    <w:rsid w:val="00091231"/>
    <w:rsid w:val="00091271"/>
    <w:rsid w:val="000912DD"/>
    <w:rsid w:val="000912EC"/>
    <w:rsid w:val="0009134D"/>
    <w:rsid w:val="00091478"/>
    <w:rsid w:val="00091517"/>
    <w:rsid w:val="00091518"/>
    <w:rsid w:val="000915DA"/>
    <w:rsid w:val="00091677"/>
    <w:rsid w:val="00091821"/>
    <w:rsid w:val="00091893"/>
    <w:rsid w:val="00091962"/>
    <w:rsid w:val="000919BE"/>
    <w:rsid w:val="000919F6"/>
    <w:rsid w:val="00091A2A"/>
    <w:rsid w:val="00091B76"/>
    <w:rsid w:val="00091BFC"/>
    <w:rsid w:val="00091C0D"/>
    <w:rsid w:val="00091D4B"/>
    <w:rsid w:val="00091D87"/>
    <w:rsid w:val="00091F0C"/>
    <w:rsid w:val="00091F1D"/>
    <w:rsid w:val="00092026"/>
    <w:rsid w:val="00092061"/>
    <w:rsid w:val="0009208E"/>
    <w:rsid w:val="00092283"/>
    <w:rsid w:val="00092374"/>
    <w:rsid w:val="000923AB"/>
    <w:rsid w:val="000923F4"/>
    <w:rsid w:val="00092463"/>
    <w:rsid w:val="00092525"/>
    <w:rsid w:val="00092540"/>
    <w:rsid w:val="0009255B"/>
    <w:rsid w:val="00092703"/>
    <w:rsid w:val="0009270B"/>
    <w:rsid w:val="0009285B"/>
    <w:rsid w:val="00092905"/>
    <w:rsid w:val="00092999"/>
    <w:rsid w:val="000929B6"/>
    <w:rsid w:val="00092A49"/>
    <w:rsid w:val="00092B0A"/>
    <w:rsid w:val="00092B4C"/>
    <w:rsid w:val="00092BF5"/>
    <w:rsid w:val="00092C5C"/>
    <w:rsid w:val="00092D04"/>
    <w:rsid w:val="00092D24"/>
    <w:rsid w:val="00092E5D"/>
    <w:rsid w:val="00092F2A"/>
    <w:rsid w:val="00092F90"/>
    <w:rsid w:val="00093078"/>
    <w:rsid w:val="0009315A"/>
    <w:rsid w:val="0009315C"/>
    <w:rsid w:val="000931A7"/>
    <w:rsid w:val="000933B4"/>
    <w:rsid w:val="000933DA"/>
    <w:rsid w:val="00093459"/>
    <w:rsid w:val="000934F4"/>
    <w:rsid w:val="000935D5"/>
    <w:rsid w:val="00093752"/>
    <w:rsid w:val="000937F1"/>
    <w:rsid w:val="0009382E"/>
    <w:rsid w:val="00093961"/>
    <w:rsid w:val="0009396A"/>
    <w:rsid w:val="0009398D"/>
    <w:rsid w:val="00093A3C"/>
    <w:rsid w:val="00093ABA"/>
    <w:rsid w:val="00093B28"/>
    <w:rsid w:val="00093B4F"/>
    <w:rsid w:val="00093B54"/>
    <w:rsid w:val="00093C93"/>
    <w:rsid w:val="00093DCE"/>
    <w:rsid w:val="00093E28"/>
    <w:rsid w:val="00093EE0"/>
    <w:rsid w:val="00094067"/>
    <w:rsid w:val="00094156"/>
    <w:rsid w:val="00094196"/>
    <w:rsid w:val="0009439A"/>
    <w:rsid w:val="000945B3"/>
    <w:rsid w:val="000945BC"/>
    <w:rsid w:val="0009467F"/>
    <w:rsid w:val="00094849"/>
    <w:rsid w:val="00094885"/>
    <w:rsid w:val="00094895"/>
    <w:rsid w:val="000948BD"/>
    <w:rsid w:val="000948D1"/>
    <w:rsid w:val="00094936"/>
    <w:rsid w:val="00094952"/>
    <w:rsid w:val="00094A8F"/>
    <w:rsid w:val="00094BB1"/>
    <w:rsid w:val="00094D9A"/>
    <w:rsid w:val="00094E08"/>
    <w:rsid w:val="00094E28"/>
    <w:rsid w:val="00094E2C"/>
    <w:rsid w:val="00094E5D"/>
    <w:rsid w:val="00094EEF"/>
    <w:rsid w:val="0009502E"/>
    <w:rsid w:val="000950E4"/>
    <w:rsid w:val="000950F6"/>
    <w:rsid w:val="000951B1"/>
    <w:rsid w:val="000951B3"/>
    <w:rsid w:val="0009524C"/>
    <w:rsid w:val="00095409"/>
    <w:rsid w:val="00095452"/>
    <w:rsid w:val="00095532"/>
    <w:rsid w:val="00095550"/>
    <w:rsid w:val="000955D2"/>
    <w:rsid w:val="00095622"/>
    <w:rsid w:val="0009568C"/>
    <w:rsid w:val="00095723"/>
    <w:rsid w:val="00095841"/>
    <w:rsid w:val="00095911"/>
    <w:rsid w:val="00095920"/>
    <w:rsid w:val="000959B2"/>
    <w:rsid w:val="00095A31"/>
    <w:rsid w:val="00095AF4"/>
    <w:rsid w:val="00095BC3"/>
    <w:rsid w:val="00095BF1"/>
    <w:rsid w:val="00095CA2"/>
    <w:rsid w:val="00095D37"/>
    <w:rsid w:val="00095D9D"/>
    <w:rsid w:val="00095DF8"/>
    <w:rsid w:val="00095E24"/>
    <w:rsid w:val="00095E64"/>
    <w:rsid w:val="00095F4D"/>
    <w:rsid w:val="00095F83"/>
    <w:rsid w:val="00096034"/>
    <w:rsid w:val="00096065"/>
    <w:rsid w:val="0009618D"/>
    <w:rsid w:val="00096210"/>
    <w:rsid w:val="0009621E"/>
    <w:rsid w:val="0009622B"/>
    <w:rsid w:val="00096285"/>
    <w:rsid w:val="0009628C"/>
    <w:rsid w:val="00096305"/>
    <w:rsid w:val="000963BB"/>
    <w:rsid w:val="0009640E"/>
    <w:rsid w:val="00096472"/>
    <w:rsid w:val="000964C6"/>
    <w:rsid w:val="000964D1"/>
    <w:rsid w:val="0009655B"/>
    <w:rsid w:val="00096570"/>
    <w:rsid w:val="00096661"/>
    <w:rsid w:val="000967ED"/>
    <w:rsid w:val="00096875"/>
    <w:rsid w:val="000968FE"/>
    <w:rsid w:val="00096905"/>
    <w:rsid w:val="00096A11"/>
    <w:rsid w:val="00096A7B"/>
    <w:rsid w:val="00096AE2"/>
    <w:rsid w:val="00096BEE"/>
    <w:rsid w:val="00096CB8"/>
    <w:rsid w:val="00096D7B"/>
    <w:rsid w:val="00096DD1"/>
    <w:rsid w:val="00096E6F"/>
    <w:rsid w:val="000970C4"/>
    <w:rsid w:val="0009710C"/>
    <w:rsid w:val="0009746B"/>
    <w:rsid w:val="000975BB"/>
    <w:rsid w:val="000976B3"/>
    <w:rsid w:val="0009781A"/>
    <w:rsid w:val="000978E3"/>
    <w:rsid w:val="000978F0"/>
    <w:rsid w:val="00097A36"/>
    <w:rsid w:val="00097A46"/>
    <w:rsid w:val="00097A58"/>
    <w:rsid w:val="00097A63"/>
    <w:rsid w:val="00097BFB"/>
    <w:rsid w:val="00097C48"/>
    <w:rsid w:val="00097C7D"/>
    <w:rsid w:val="00097C80"/>
    <w:rsid w:val="00097DA3"/>
    <w:rsid w:val="00097DD8"/>
    <w:rsid w:val="00097E99"/>
    <w:rsid w:val="00097ED3"/>
    <w:rsid w:val="00097FE3"/>
    <w:rsid w:val="000A016D"/>
    <w:rsid w:val="000A019E"/>
    <w:rsid w:val="000A01BF"/>
    <w:rsid w:val="000A02B9"/>
    <w:rsid w:val="000A038C"/>
    <w:rsid w:val="000A041B"/>
    <w:rsid w:val="000A041C"/>
    <w:rsid w:val="000A0532"/>
    <w:rsid w:val="000A0638"/>
    <w:rsid w:val="000A0706"/>
    <w:rsid w:val="000A08D7"/>
    <w:rsid w:val="000A0A63"/>
    <w:rsid w:val="000A0B42"/>
    <w:rsid w:val="000A0B4B"/>
    <w:rsid w:val="000A0C0B"/>
    <w:rsid w:val="000A0C22"/>
    <w:rsid w:val="000A0CAC"/>
    <w:rsid w:val="000A0D05"/>
    <w:rsid w:val="000A0D2C"/>
    <w:rsid w:val="000A0DA4"/>
    <w:rsid w:val="000A0F4B"/>
    <w:rsid w:val="000A0F79"/>
    <w:rsid w:val="000A0FEC"/>
    <w:rsid w:val="000A10DB"/>
    <w:rsid w:val="000A1151"/>
    <w:rsid w:val="000A13EA"/>
    <w:rsid w:val="000A142B"/>
    <w:rsid w:val="000A15AA"/>
    <w:rsid w:val="000A1621"/>
    <w:rsid w:val="000A1636"/>
    <w:rsid w:val="000A164D"/>
    <w:rsid w:val="000A16FB"/>
    <w:rsid w:val="000A16FC"/>
    <w:rsid w:val="000A198E"/>
    <w:rsid w:val="000A1A72"/>
    <w:rsid w:val="000A1AD1"/>
    <w:rsid w:val="000A1B87"/>
    <w:rsid w:val="000A1C1A"/>
    <w:rsid w:val="000A1CF4"/>
    <w:rsid w:val="000A1D26"/>
    <w:rsid w:val="000A1D5D"/>
    <w:rsid w:val="000A1D63"/>
    <w:rsid w:val="000A1DCD"/>
    <w:rsid w:val="000A1F06"/>
    <w:rsid w:val="000A1F13"/>
    <w:rsid w:val="000A1F98"/>
    <w:rsid w:val="000A207F"/>
    <w:rsid w:val="000A20F2"/>
    <w:rsid w:val="000A212A"/>
    <w:rsid w:val="000A2176"/>
    <w:rsid w:val="000A2200"/>
    <w:rsid w:val="000A22EF"/>
    <w:rsid w:val="000A22F6"/>
    <w:rsid w:val="000A2392"/>
    <w:rsid w:val="000A23D6"/>
    <w:rsid w:val="000A2465"/>
    <w:rsid w:val="000A249A"/>
    <w:rsid w:val="000A249C"/>
    <w:rsid w:val="000A24D6"/>
    <w:rsid w:val="000A252E"/>
    <w:rsid w:val="000A2559"/>
    <w:rsid w:val="000A2648"/>
    <w:rsid w:val="000A2750"/>
    <w:rsid w:val="000A2776"/>
    <w:rsid w:val="000A277D"/>
    <w:rsid w:val="000A2823"/>
    <w:rsid w:val="000A28C9"/>
    <w:rsid w:val="000A291D"/>
    <w:rsid w:val="000A2986"/>
    <w:rsid w:val="000A2A83"/>
    <w:rsid w:val="000A2AA8"/>
    <w:rsid w:val="000A2AD4"/>
    <w:rsid w:val="000A2AF4"/>
    <w:rsid w:val="000A2BF2"/>
    <w:rsid w:val="000A2C4A"/>
    <w:rsid w:val="000A2D46"/>
    <w:rsid w:val="000A2DE6"/>
    <w:rsid w:val="000A2DF7"/>
    <w:rsid w:val="000A2E23"/>
    <w:rsid w:val="000A2E81"/>
    <w:rsid w:val="000A2E8C"/>
    <w:rsid w:val="000A2F35"/>
    <w:rsid w:val="000A2F90"/>
    <w:rsid w:val="000A3039"/>
    <w:rsid w:val="000A306B"/>
    <w:rsid w:val="000A31AE"/>
    <w:rsid w:val="000A323A"/>
    <w:rsid w:val="000A323E"/>
    <w:rsid w:val="000A3255"/>
    <w:rsid w:val="000A3334"/>
    <w:rsid w:val="000A3466"/>
    <w:rsid w:val="000A34C3"/>
    <w:rsid w:val="000A3614"/>
    <w:rsid w:val="000A3731"/>
    <w:rsid w:val="000A3756"/>
    <w:rsid w:val="000A37C5"/>
    <w:rsid w:val="000A37E7"/>
    <w:rsid w:val="000A3882"/>
    <w:rsid w:val="000A38EC"/>
    <w:rsid w:val="000A3952"/>
    <w:rsid w:val="000A3979"/>
    <w:rsid w:val="000A39CA"/>
    <w:rsid w:val="000A3AD4"/>
    <w:rsid w:val="000A3B68"/>
    <w:rsid w:val="000A3B84"/>
    <w:rsid w:val="000A3C4B"/>
    <w:rsid w:val="000A3CE8"/>
    <w:rsid w:val="000A3DF8"/>
    <w:rsid w:val="000A3F5C"/>
    <w:rsid w:val="000A4023"/>
    <w:rsid w:val="000A4212"/>
    <w:rsid w:val="000A4243"/>
    <w:rsid w:val="000A4396"/>
    <w:rsid w:val="000A43CF"/>
    <w:rsid w:val="000A43E7"/>
    <w:rsid w:val="000A44DB"/>
    <w:rsid w:val="000A4561"/>
    <w:rsid w:val="000A47B2"/>
    <w:rsid w:val="000A488C"/>
    <w:rsid w:val="000A4990"/>
    <w:rsid w:val="000A4A19"/>
    <w:rsid w:val="000A4A84"/>
    <w:rsid w:val="000A4AD0"/>
    <w:rsid w:val="000A4AD3"/>
    <w:rsid w:val="000A4B60"/>
    <w:rsid w:val="000A4C74"/>
    <w:rsid w:val="000A506B"/>
    <w:rsid w:val="000A50EE"/>
    <w:rsid w:val="000A517F"/>
    <w:rsid w:val="000A5285"/>
    <w:rsid w:val="000A52C3"/>
    <w:rsid w:val="000A53D7"/>
    <w:rsid w:val="000A5409"/>
    <w:rsid w:val="000A5425"/>
    <w:rsid w:val="000A54CE"/>
    <w:rsid w:val="000A54F2"/>
    <w:rsid w:val="000A55DC"/>
    <w:rsid w:val="000A5624"/>
    <w:rsid w:val="000A5663"/>
    <w:rsid w:val="000A56E6"/>
    <w:rsid w:val="000A57B9"/>
    <w:rsid w:val="000A58F7"/>
    <w:rsid w:val="000A5ADB"/>
    <w:rsid w:val="000A5B0A"/>
    <w:rsid w:val="000A5B33"/>
    <w:rsid w:val="000A5C74"/>
    <w:rsid w:val="000A5DE2"/>
    <w:rsid w:val="000A5EF2"/>
    <w:rsid w:val="000A5F16"/>
    <w:rsid w:val="000A5F18"/>
    <w:rsid w:val="000A5F35"/>
    <w:rsid w:val="000A6023"/>
    <w:rsid w:val="000A603F"/>
    <w:rsid w:val="000A6095"/>
    <w:rsid w:val="000A60DE"/>
    <w:rsid w:val="000A6109"/>
    <w:rsid w:val="000A6170"/>
    <w:rsid w:val="000A6262"/>
    <w:rsid w:val="000A628F"/>
    <w:rsid w:val="000A6343"/>
    <w:rsid w:val="000A6369"/>
    <w:rsid w:val="000A64F4"/>
    <w:rsid w:val="000A668A"/>
    <w:rsid w:val="000A66B0"/>
    <w:rsid w:val="000A6A95"/>
    <w:rsid w:val="000A6ACF"/>
    <w:rsid w:val="000A6B4A"/>
    <w:rsid w:val="000A6B76"/>
    <w:rsid w:val="000A6C38"/>
    <w:rsid w:val="000A6C6D"/>
    <w:rsid w:val="000A6CFF"/>
    <w:rsid w:val="000A6DD0"/>
    <w:rsid w:val="000A6E2C"/>
    <w:rsid w:val="000A6E83"/>
    <w:rsid w:val="000A6EC6"/>
    <w:rsid w:val="000A6FF3"/>
    <w:rsid w:val="000A7035"/>
    <w:rsid w:val="000A704E"/>
    <w:rsid w:val="000A70DF"/>
    <w:rsid w:val="000A718A"/>
    <w:rsid w:val="000A7256"/>
    <w:rsid w:val="000A7478"/>
    <w:rsid w:val="000A748A"/>
    <w:rsid w:val="000A749E"/>
    <w:rsid w:val="000A7501"/>
    <w:rsid w:val="000A7685"/>
    <w:rsid w:val="000A7700"/>
    <w:rsid w:val="000A77BF"/>
    <w:rsid w:val="000A7834"/>
    <w:rsid w:val="000A7967"/>
    <w:rsid w:val="000A79A4"/>
    <w:rsid w:val="000A7A11"/>
    <w:rsid w:val="000A7A15"/>
    <w:rsid w:val="000A7AD1"/>
    <w:rsid w:val="000A7AEC"/>
    <w:rsid w:val="000A7BAE"/>
    <w:rsid w:val="000A7CDB"/>
    <w:rsid w:val="000A7E36"/>
    <w:rsid w:val="000A7E6B"/>
    <w:rsid w:val="000A7E74"/>
    <w:rsid w:val="000A7EE6"/>
    <w:rsid w:val="000A7FDA"/>
    <w:rsid w:val="000B014C"/>
    <w:rsid w:val="000B019E"/>
    <w:rsid w:val="000B0459"/>
    <w:rsid w:val="000B0594"/>
    <w:rsid w:val="000B05B1"/>
    <w:rsid w:val="000B0680"/>
    <w:rsid w:val="000B06C0"/>
    <w:rsid w:val="000B0724"/>
    <w:rsid w:val="000B0828"/>
    <w:rsid w:val="000B082B"/>
    <w:rsid w:val="000B082D"/>
    <w:rsid w:val="000B0963"/>
    <w:rsid w:val="000B0A1A"/>
    <w:rsid w:val="000B0A9E"/>
    <w:rsid w:val="000B0B40"/>
    <w:rsid w:val="000B0B47"/>
    <w:rsid w:val="000B0BCC"/>
    <w:rsid w:val="000B0DFC"/>
    <w:rsid w:val="000B0EAB"/>
    <w:rsid w:val="000B0EC8"/>
    <w:rsid w:val="000B0F7B"/>
    <w:rsid w:val="000B0FA0"/>
    <w:rsid w:val="000B0FA3"/>
    <w:rsid w:val="000B0FCF"/>
    <w:rsid w:val="000B1020"/>
    <w:rsid w:val="000B1053"/>
    <w:rsid w:val="000B10A0"/>
    <w:rsid w:val="000B10A9"/>
    <w:rsid w:val="000B110F"/>
    <w:rsid w:val="000B11FE"/>
    <w:rsid w:val="000B123A"/>
    <w:rsid w:val="000B123C"/>
    <w:rsid w:val="000B1288"/>
    <w:rsid w:val="000B12D9"/>
    <w:rsid w:val="000B13B7"/>
    <w:rsid w:val="000B13E8"/>
    <w:rsid w:val="000B1438"/>
    <w:rsid w:val="000B14EF"/>
    <w:rsid w:val="000B15B3"/>
    <w:rsid w:val="000B1649"/>
    <w:rsid w:val="000B1655"/>
    <w:rsid w:val="000B16C7"/>
    <w:rsid w:val="000B175F"/>
    <w:rsid w:val="000B18E4"/>
    <w:rsid w:val="000B1B02"/>
    <w:rsid w:val="000B1C1C"/>
    <w:rsid w:val="000B1D02"/>
    <w:rsid w:val="000B1D7C"/>
    <w:rsid w:val="000B1D9C"/>
    <w:rsid w:val="000B1DA7"/>
    <w:rsid w:val="000B1DBB"/>
    <w:rsid w:val="000B1E64"/>
    <w:rsid w:val="000B1E79"/>
    <w:rsid w:val="000B1E8B"/>
    <w:rsid w:val="000B1FB9"/>
    <w:rsid w:val="000B207F"/>
    <w:rsid w:val="000B20B3"/>
    <w:rsid w:val="000B20CF"/>
    <w:rsid w:val="000B221C"/>
    <w:rsid w:val="000B22AF"/>
    <w:rsid w:val="000B23B5"/>
    <w:rsid w:val="000B23F2"/>
    <w:rsid w:val="000B24CF"/>
    <w:rsid w:val="000B251D"/>
    <w:rsid w:val="000B25E8"/>
    <w:rsid w:val="000B263B"/>
    <w:rsid w:val="000B2662"/>
    <w:rsid w:val="000B2682"/>
    <w:rsid w:val="000B2691"/>
    <w:rsid w:val="000B26AD"/>
    <w:rsid w:val="000B26E1"/>
    <w:rsid w:val="000B2717"/>
    <w:rsid w:val="000B2890"/>
    <w:rsid w:val="000B2902"/>
    <w:rsid w:val="000B2968"/>
    <w:rsid w:val="000B29E7"/>
    <w:rsid w:val="000B2A04"/>
    <w:rsid w:val="000B2B81"/>
    <w:rsid w:val="000B2BB6"/>
    <w:rsid w:val="000B2C82"/>
    <w:rsid w:val="000B2CA5"/>
    <w:rsid w:val="000B2D11"/>
    <w:rsid w:val="000B2D20"/>
    <w:rsid w:val="000B2E75"/>
    <w:rsid w:val="000B2F26"/>
    <w:rsid w:val="000B301A"/>
    <w:rsid w:val="000B3067"/>
    <w:rsid w:val="000B306C"/>
    <w:rsid w:val="000B308E"/>
    <w:rsid w:val="000B3117"/>
    <w:rsid w:val="000B31F4"/>
    <w:rsid w:val="000B33F6"/>
    <w:rsid w:val="000B3464"/>
    <w:rsid w:val="000B35F2"/>
    <w:rsid w:val="000B3640"/>
    <w:rsid w:val="000B3667"/>
    <w:rsid w:val="000B3680"/>
    <w:rsid w:val="000B368E"/>
    <w:rsid w:val="000B36EB"/>
    <w:rsid w:val="000B3769"/>
    <w:rsid w:val="000B37DA"/>
    <w:rsid w:val="000B38A5"/>
    <w:rsid w:val="000B3A4F"/>
    <w:rsid w:val="000B3A5C"/>
    <w:rsid w:val="000B3A7D"/>
    <w:rsid w:val="000B3B86"/>
    <w:rsid w:val="000B3BCD"/>
    <w:rsid w:val="000B3C19"/>
    <w:rsid w:val="000B3C3C"/>
    <w:rsid w:val="000B3F21"/>
    <w:rsid w:val="000B3F81"/>
    <w:rsid w:val="000B3F91"/>
    <w:rsid w:val="000B3FE7"/>
    <w:rsid w:val="000B40FE"/>
    <w:rsid w:val="000B4132"/>
    <w:rsid w:val="000B417C"/>
    <w:rsid w:val="000B41EF"/>
    <w:rsid w:val="000B425B"/>
    <w:rsid w:val="000B4268"/>
    <w:rsid w:val="000B42EC"/>
    <w:rsid w:val="000B43DE"/>
    <w:rsid w:val="000B43E5"/>
    <w:rsid w:val="000B44FC"/>
    <w:rsid w:val="000B45DA"/>
    <w:rsid w:val="000B463D"/>
    <w:rsid w:val="000B4643"/>
    <w:rsid w:val="000B4682"/>
    <w:rsid w:val="000B46B7"/>
    <w:rsid w:val="000B47A5"/>
    <w:rsid w:val="000B4A34"/>
    <w:rsid w:val="000B4A36"/>
    <w:rsid w:val="000B4A3B"/>
    <w:rsid w:val="000B4AEA"/>
    <w:rsid w:val="000B4CC6"/>
    <w:rsid w:val="000B4CC8"/>
    <w:rsid w:val="000B4CE6"/>
    <w:rsid w:val="000B4D10"/>
    <w:rsid w:val="000B4D13"/>
    <w:rsid w:val="000B4E9D"/>
    <w:rsid w:val="000B4E9E"/>
    <w:rsid w:val="000B4F31"/>
    <w:rsid w:val="000B501F"/>
    <w:rsid w:val="000B50BC"/>
    <w:rsid w:val="000B5148"/>
    <w:rsid w:val="000B519F"/>
    <w:rsid w:val="000B51BE"/>
    <w:rsid w:val="000B52FF"/>
    <w:rsid w:val="000B554C"/>
    <w:rsid w:val="000B5568"/>
    <w:rsid w:val="000B5595"/>
    <w:rsid w:val="000B55BE"/>
    <w:rsid w:val="000B564E"/>
    <w:rsid w:val="000B57C0"/>
    <w:rsid w:val="000B57C9"/>
    <w:rsid w:val="000B57E4"/>
    <w:rsid w:val="000B581C"/>
    <w:rsid w:val="000B58B8"/>
    <w:rsid w:val="000B593B"/>
    <w:rsid w:val="000B5968"/>
    <w:rsid w:val="000B5AD7"/>
    <w:rsid w:val="000B5B76"/>
    <w:rsid w:val="000B5C1B"/>
    <w:rsid w:val="000B5C4E"/>
    <w:rsid w:val="000B5C5B"/>
    <w:rsid w:val="000B5C97"/>
    <w:rsid w:val="000B5D09"/>
    <w:rsid w:val="000B5D29"/>
    <w:rsid w:val="000B5D46"/>
    <w:rsid w:val="000B5D51"/>
    <w:rsid w:val="000B5D92"/>
    <w:rsid w:val="000B5DBA"/>
    <w:rsid w:val="000B5EBA"/>
    <w:rsid w:val="000B5ECA"/>
    <w:rsid w:val="000B5ECE"/>
    <w:rsid w:val="000B5F0D"/>
    <w:rsid w:val="000B5F67"/>
    <w:rsid w:val="000B6102"/>
    <w:rsid w:val="000B611B"/>
    <w:rsid w:val="000B6165"/>
    <w:rsid w:val="000B6172"/>
    <w:rsid w:val="000B623B"/>
    <w:rsid w:val="000B62A7"/>
    <w:rsid w:val="000B636B"/>
    <w:rsid w:val="000B63CA"/>
    <w:rsid w:val="000B653E"/>
    <w:rsid w:val="000B6571"/>
    <w:rsid w:val="000B66CF"/>
    <w:rsid w:val="000B66FF"/>
    <w:rsid w:val="000B6701"/>
    <w:rsid w:val="000B6708"/>
    <w:rsid w:val="000B6726"/>
    <w:rsid w:val="000B6740"/>
    <w:rsid w:val="000B679F"/>
    <w:rsid w:val="000B67B1"/>
    <w:rsid w:val="000B68DB"/>
    <w:rsid w:val="000B6929"/>
    <w:rsid w:val="000B696E"/>
    <w:rsid w:val="000B69FA"/>
    <w:rsid w:val="000B6A9E"/>
    <w:rsid w:val="000B6B54"/>
    <w:rsid w:val="000B6B92"/>
    <w:rsid w:val="000B6BE2"/>
    <w:rsid w:val="000B6C4B"/>
    <w:rsid w:val="000B6E69"/>
    <w:rsid w:val="000B6F1F"/>
    <w:rsid w:val="000B6F4A"/>
    <w:rsid w:val="000B6F4F"/>
    <w:rsid w:val="000B6F51"/>
    <w:rsid w:val="000B6F5F"/>
    <w:rsid w:val="000B6FCB"/>
    <w:rsid w:val="000B7051"/>
    <w:rsid w:val="000B7058"/>
    <w:rsid w:val="000B7218"/>
    <w:rsid w:val="000B728D"/>
    <w:rsid w:val="000B72AE"/>
    <w:rsid w:val="000B7313"/>
    <w:rsid w:val="000B7363"/>
    <w:rsid w:val="000B75A8"/>
    <w:rsid w:val="000B764B"/>
    <w:rsid w:val="000B7683"/>
    <w:rsid w:val="000B7758"/>
    <w:rsid w:val="000B77E9"/>
    <w:rsid w:val="000B788F"/>
    <w:rsid w:val="000B78F4"/>
    <w:rsid w:val="000B7911"/>
    <w:rsid w:val="000B79DC"/>
    <w:rsid w:val="000B7A62"/>
    <w:rsid w:val="000B7ACB"/>
    <w:rsid w:val="000B7BCD"/>
    <w:rsid w:val="000B7C88"/>
    <w:rsid w:val="000B7E56"/>
    <w:rsid w:val="000B7E8F"/>
    <w:rsid w:val="000B7EB0"/>
    <w:rsid w:val="000B7F1E"/>
    <w:rsid w:val="000C002D"/>
    <w:rsid w:val="000C019A"/>
    <w:rsid w:val="000C02F3"/>
    <w:rsid w:val="000C038C"/>
    <w:rsid w:val="000C0391"/>
    <w:rsid w:val="000C03C4"/>
    <w:rsid w:val="000C05A0"/>
    <w:rsid w:val="000C07B5"/>
    <w:rsid w:val="000C081A"/>
    <w:rsid w:val="000C0841"/>
    <w:rsid w:val="000C08BD"/>
    <w:rsid w:val="000C0937"/>
    <w:rsid w:val="000C0952"/>
    <w:rsid w:val="000C0978"/>
    <w:rsid w:val="000C0A8D"/>
    <w:rsid w:val="000C0BBF"/>
    <w:rsid w:val="000C0BF0"/>
    <w:rsid w:val="000C0C5F"/>
    <w:rsid w:val="000C0C96"/>
    <w:rsid w:val="000C0D0A"/>
    <w:rsid w:val="000C0E0D"/>
    <w:rsid w:val="000C0E10"/>
    <w:rsid w:val="000C0FC4"/>
    <w:rsid w:val="000C1063"/>
    <w:rsid w:val="000C1065"/>
    <w:rsid w:val="000C10AF"/>
    <w:rsid w:val="000C1100"/>
    <w:rsid w:val="000C1163"/>
    <w:rsid w:val="000C11F7"/>
    <w:rsid w:val="000C1280"/>
    <w:rsid w:val="000C1531"/>
    <w:rsid w:val="000C15AB"/>
    <w:rsid w:val="000C1600"/>
    <w:rsid w:val="000C1744"/>
    <w:rsid w:val="000C1797"/>
    <w:rsid w:val="000C17A5"/>
    <w:rsid w:val="000C17CF"/>
    <w:rsid w:val="000C17F5"/>
    <w:rsid w:val="000C1891"/>
    <w:rsid w:val="000C1978"/>
    <w:rsid w:val="000C197B"/>
    <w:rsid w:val="000C199E"/>
    <w:rsid w:val="000C19F4"/>
    <w:rsid w:val="000C1B20"/>
    <w:rsid w:val="000C1B5C"/>
    <w:rsid w:val="000C1CD7"/>
    <w:rsid w:val="000C1CD8"/>
    <w:rsid w:val="000C1D04"/>
    <w:rsid w:val="000C1D08"/>
    <w:rsid w:val="000C1D26"/>
    <w:rsid w:val="000C1DCC"/>
    <w:rsid w:val="000C1DE4"/>
    <w:rsid w:val="000C1DFA"/>
    <w:rsid w:val="000C1E22"/>
    <w:rsid w:val="000C2032"/>
    <w:rsid w:val="000C2093"/>
    <w:rsid w:val="000C2154"/>
    <w:rsid w:val="000C21A9"/>
    <w:rsid w:val="000C22C7"/>
    <w:rsid w:val="000C22DB"/>
    <w:rsid w:val="000C2366"/>
    <w:rsid w:val="000C2493"/>
    <w:rsid w:val="000C249B"/>
    <w:rsid w:val="000C25E7"/>
    <w:rsid w:val="000C2605"/>
    <w:rsid w:val="000C269E"/>
    <w:rsid w:val="000C2707"/>
    <w:rsid w:val="000C281D"/>
    <w:rsid w:val="000C2915"/>
    <w:rsid w:val="000C29B7"/>
    <w:rsid w:val="000C29BE"/>
    <w:rsid w:val="000C29D2"/>
    <w:rsid w:val="000C2AB1"/>
    <w:rsid w:val="000C2B2F"/>
    <w:rsid w:val="000C2B69"/>
    <w:rsid w:val="000C2C43"/>
    <w:rsid w:val="000C2CD9"/>
    <w:rsid w:val="000C2CF8"/>
    <w:rsid w:val="000C2E90"/>
    <w:rsid w:val="000C30DA"/>
    <w:rsid w:val="000C315A"/>
    <w:rsid w:val="000C31C8"/>
    <w:rsid w:val="000C31CC"/>
    <w:rsid w:val="000C34F5"/>
    <w:rsid w:val="000C353E"/>
    <w:rsid w:val="000C355F"/>
    <w:rsid w:val="000C3636"/>
    <w:rsid w:val="000C36C2"/>
    <w:rsid w:val="000C36D8"/>
    <w:rsid w:val="000C36ED"/>
    <w:rsid w:val="000C36F3"/>
    <w:rsid w:val="000C378F"/>
    <w:rsid w:val="000C37C4"/>
    <w:rsid w:val="000C37E5"/>
    <w:rsid w:val="000C380C"/>
    <w:rsid w:val="000C3971"/>
    <w:rsid w:val="000C397D"/>
    <w:rsid w:val="000C3B95"/>
    <w:rsid w:val="000C3BFE"/>
    <w:rsid w:val="000C3CBD"/>
    <w:rsid w:val="000C3CC2"/>
    <w:rsid w:val="000C3D46"/>
    <w:rsid w:val="000C3D83"/>
    <w:rsid w:val="000C3E2B"/>
    <w:rsid w:val="000C3E66"/>
    <w:rsid w:val="000C3E90"/>
    <w:rsid w:val="000C3EED"/>
    <w:rsid w:val="000C4159"/>
    <w:rsid w:val="000C4440"/>
    <w:rsid w:val="000C4462"/>
    <w:rsid w:val="000C4479"/>
    <w:rsid w:val="000C44EF"/>
    <w:rsid w:val="000C4605"/>
    <w:rsid w:val="000C466F"/>
    <w:rsid w:val="000C46EE"/>
    <w:rsid w:val="000C4708"/>
    <w:rsid w:val="000C47E5"/>
    <w:rsid w:val="000C47E8"/>
    <w:rsid w:val="000C4817"/>
    <w:rsid w:val="000C4A86"/>
    <w:rsid w:val="000C4F8E"/>
    <w:rsid w:val="000C4FE8"/>
    <w:rsid w:val="000C5229"/>
    <w:rsid w:val="000C525E"/>
    <w:rsid w:val="000C5392"/>
    <w:rsid w:val="000C53A3"/>
    <w:rsid w:val="000C53D3"/>
    <w:rsid w:val="000C549A"/>
    <w:rsid w:val="000C5511"/>
    <w:rsid w:val="000C5522"/>
    <w:rsid w:val="000C575E"/>
    <w:rsid w:val="000C5776"/>
    <w:rsid w:val="000C5827"/>
    <w:rsid w:val="000C5856"/>
    <w:rsid w:val="000C596B"/>
    <w:rsid w:val="000C5978"/>
    <w:rsid w:val="000C598A"/>
    <w:rsid w:val="000C5A14"/>
    <w:rsid w:val="000C5AFB"/>
    <w:rsid w:val="000C5B09"/>
    <w:rsid w:val="000C5B42"/>
    <w:rsid w:val="000C5B98"/>
    <w:rsid w:val="000C5BFC"/>
    <w:rsid w:val="000C5BFD"/>
    <w:rsid w:val="000C5C58"/>
    <w:rsid w:val="000C5D79"/>
    <w:rsid w:val="000C5D90"/>
    <w:rsid w:val="000C5E98"/>
    <w:rsid w:val="000C5FC2"/>
    <w:rsid w:val="000C5FF1"/>
    <w:rsid w:val="000C6011"/>
    <w:rsid w:val="000C6109"/>
    <w:rsid w:val="000C6186"/>
    <w:rsid w:val="000C6415"/>
    <w:rsid w:val="000C6473"/>
    <w:rsid w:val="000C6525"/>
    <w:rsid w:val="000C6559"/>
    <w:rsid w:val="000C6763"/>
    <w:rsid w:val="000C678C"/>
    <w:rsid w:val="000C6828"/>
    <w:rsid w:val="000C6A41"/>
    <w:rsid w:val="000C6B59"/>
    <w:rsid w:val="000C6CA2"/>
    <w:rsid w:val="000C6DE0"/>
    <w:rsid w:val="000C6EEF"/>
    <w:rsid w:val="000C6F2D"/>
    <w:rsid w:val="000C7005"/>
    <w:rsid w:val="000C7029"/>
    <w:rsid w:val="000C703F"/>
    <w:rsid w:val="000C71F6"/>
    <w:rsid w:val="000C72A4"/>
    <w:rsid w:val="000C7381"/>
    <w:rsid w:val="000C7398"/>
    <w:rsid w:val="000C73EF"/>
    <w:rsid w:val="000C7485"/>
    <w:rsid w:val="000C751E"/>
    <w:rsid w:val="000C756F"/>
    <w:rsid w:val="000C7575"/>
    <w:rsid w:val="000C766E"/>
    <w:rsid w:val="000C76D7"/>
    <w:rsid w:val="000C76DC"/>
    <w:rsid w:val="000C7883"/>
    <w:rsid w:val="000C78CB"/>
    <w:rsid w:val="000C7961"/>
    <w:rsid w:val="000C797E"/>
    <w:rsid w:val="000C7AD8"/>
    <w:rsid w:val="000C7AFF"/>
    <w:rsid w:val="000C7B48"/>
    <w:rsid w:val="000C7B53"/>
    <w:rsid w:val="000C7B6F"/>
    <w:rsid w:val="000C7BB0"/>
    <w:rsid w:val="000C7C57"/>
    <w:rsid w:val="000C7CB5"/>
    <w:rsid w:val="000C7D5A"/>
    <w:rsid w:val="000C7DB1"/>
    <w:rsid w:val="000C7E6D"/>
    <w:rsid w:val="000C7FD3"/>
    <w:rsid w:val="000C7FE4"/>
    <w:rsid w:val="000D003B"/>
    <w:rsid w:val="000D011D"/>
    <w:rsid w:val="000D0287"/>
    <w:rsid w:val="000D036E"/>
    <w:rsid w:val="000D03BE"/>
    <w:rsid w:val="000D0443"/>
    <w:rsid w:val="000D044B"/>
    <w:rsid w:val="000D052F"/>
    <w:rsid w:val="000D057B"/>
    <w:rsid w:val="000D05B2"/>
    <w:rsid w:val="000D0654"/>
    <w:rsid w:val="000D0655"/>
    <w:rsid w:val="000D0665"/>
    <w:rsid w:val="000D06A4"/>
    <w:rsid w:val="000D06A6"/>
    <w:rsid w:val="000D084B"/>
    <w:rsid w:val="000D08C5"/>
    <w:rsid w:val="000D0919"/>
    <w:rsid w:val="000D0A93"/>
    <w:rsid w:val="000D0AB8"/>
    <w:rsid w:val="000D0AC5"/>
    <w:rsid w:val="000D0ACC"/>
    <w:rsid w:val="000D0B52"/>
    <w:rsid w:val="000D0B79"/>
    <w:rsid w:val="000D0BCC"/>
    <w:rsid w:val="000D0BDE"/>
    <w:rsid w:val="000D0C57"/>
    <w:rsid w:val="000D0D3F"/>
    <w:rsid w:val="000D0DD3"/>
    <w:rsid w:val="000D0E09"/>
    <w:rsid w:val="000D0E68"/>
    <w:rsid w:val="000D0EDB"/>
    <w:rsid w:val="000D0F86"/>
    <w:rsid w:val="000D0F9F"/>
    <w:rsid w:val="000D106E"/>
    <w:rsid w:val="000D10A7"/>
    <w:rsid w:val="000D1131"/>
    <w:rsid w:val="000D1155"/>
    <w:rsid w:val="000D116B"/>
    <w:rsid w:val="000D1187"/>
    <w:rsid w:val="000D118E"/>
    <w:rsid w:val="000D11C1"/>
    <w:rsid w:val="000D11E7"/>
    <w:rsid w:val="000D121D"/>
    <w:rsid w:val="000D129D"/>
    <w:rsid w:val="000D12F8"/>
    <w:rsid w:val="000D1322"/>
    <w:rsid w:val="000D1401"/>
    <w:rsid w:val="000D1551"/>
    <w:rsid w:val="000D159B"/>
    <w:rsid w:val="000D16CD"/>
    <w:rsid w:val="000D1805"/>
    <w:rsid w:val="000D189E"/>
    <w:rsid w:val="000D1905"/>
    <w:rsid w:val="000D193C"/>
    <w:rsid w:val="000D194C"/>
    <w:rsid w:val="000D19A2"/>
    <w:rsid w:val="000D1A2D"/>
    <w:rsid w:val="000D1A4D"/>
    <w:rsid w:val="000D1BD4"/>
    <w:rsid w:val="000D1C27"/>
    <w:rsid w:val="000D1C4A"/>
    <w:rsid w:val="000D1C8F"/>
    <w:rsid w:val="000D1D01"/>
    <w:rsid w:val="000D1D4C"/>
    <w:rsid w:val="000D1D9A"/>
    <w:rsid w:val="000D1F7B"/>
    <w:rsid w:val="000D1FEF"/>
    <w:rsid w:val="000D20AD"/>
    <w:rsid w:val="000D2106"/>
    <w:rsid w:val="000D21A1"/>
    <w:rsid w:val="000D22D2"/>
    <w:rsid w:val="000D22DC"/>
    <w:rsid w:val="000D231A"/>
    <w:rsid w:val="000D2350"/>
    <w:rsid w:val="000D2503"/>
    <w:rsid w:val="000D2531"/>
    <w:rsid w:val="000D2620"/>
    <w:rsid w:val="000D2627"/>
    <w:rsid w:val="000D271A"/>
    <w:rsid w:val="000D274B"/>
    <w:rsid w:val="000D275B"/>
    <w:rsid w:val="000D2848"/>
    <w:rsid w:val="000D2899"/>
    <w:rsid w:val="000D28BE"/>
    <w:rsid w:val="000D2A8A"/>
    <w:rsid w:val="000D2BEC"/>
    <w:rsid w:val="000D2C4D"/>
    <w:rsid w:val="000D2C91"/>
    <w:rsid w:val="000D2D1B"/>
    <w:rsid w:val="000D2D34"/>
    <w:rsid w:val="000D2DF5"/>
    <w:rsid w:val="000D2E15"/>
    <w:rsid w:val="000D2FDB"/>
    <w:rsid w:val="000D3410"/>
    <w:rsid w:val="000D341C"/>
    <w:rsid w:val="000D3425"/>
    <w:rsid w:val="000D34FF"/>
    <w:rsid w:val="000D354F"/>
    <w:rsid w:val="000D3575"/>
    <w:rsid w:val="000D35E1"/>
    <w:rsid w:val="000D36C8"/>
    <w:rsid w:val="000D381D"/>
    <w:rsid w:val="000D38A8"/>
    <w:rsid w:val="000D3935"/>
    <w:rsid w:val="000D39F9"/>
    <w:rsid w:val="000D3A29"/>
    <w:rsid w:val="000D3B73"/>
    <w:rsid w:val="000D3BDE"/>
    <w:rsid w:val="000D3BFE"/>
    <w:rsid w:val="000D3C24"/>
    <w:rsid w:val="000D3C8E"/>
    <w:rsid w:val="000D3C9D"/>
    <w:rsid w:val="000D3D69"/>
    <w:rsid w:val="000D3F76"/>
    <w:rsid w:val="000D40B5"/>
    <w:rsid w:val="000D411A"/>
    <w:rsid w:val="000D41C3"/>
    <w:rsid w:val="000D41E0"/>
    <w:rsid w:val="000D4208"/>
    <w:rsid w:val="000D42E7"/>
    <w:rsid w:val="000D43A9"/>
    <w:rsid w:val="000D43AD"/>
    <w:rsid w:val="000D4415"/>
    <w:rsid w:val="000D44A3"/>
    <w:rsid w:val="000D4505"/>
    <w:rsid w:val="000D456E"/>
    <w:rsid w:val="000D467E"/>
    <w:rsid w:val="000D470C"/>
    <w:rsid w:val="000D47AB"/>
    <w:rsid w:val="000D47CD"/>
    <w:rsid w:val="000D47CE"/>
    <w:rsid w:val="000D4827"/>
    <w:rsid w:val="000D494A"/>
    <w:rsid w:val="000D4957"/>
    <w:rsid w:val="000D49DC"/>
    <w:rsid w:val="000D4A0B"/>
    <w:rsid w:val="000D4A79"/>
    <w:rsid w:val="000D4A8F"/>
    <w:rsid w:val="000D4AE2"/>
    <w:rsid w:val="000D4D43"/>
    <w:rsid w:val="000D4EA9"/>
    <w:rsid w:val="000D4F86"/>
    <w:rsid w:val="000D5007"/>
    <w:rsid w:val="000D505F"/>
    <w:rsid w:val="000D5081"/>
    <w:rsid w:val="000D5183"/>
    <w:rsid w:val="000D51EA"/>
    <w:rsid w:val="000D5269"/>
    <w:rsid w:val="000D5282"/>
    <w:rsid w:val="000D533B"/>
    <w:rsid w:val="000D544D"/>
    <w:rsid w:val="000D5542"/>
    <w:rsid w:val="000D5579"/>
    <w:rsid w:val="000D557F"/>
    <w:rsid w:val="000D55F0"/>
    <w:rsid w:val="000D568A"/>
    <w:rsid w:val="000D56DC"/>
    <w:rsid w:val="000D574A"/>
    <w:rsid w:val="000D5818"/>
    <w:rsid w:val="000D58A0"/>
    <w:rsid w:val="000D5981"/>
    <w:rsid w:val="000D598F"/>
    <w:rsid w:val="000D5A23"/>
    <w:rsid w:val="000D5AB1"/>
    <w:rsid w:val="000D5C1E"/>
    <w:rsid w:val="000D5CC1"/>
    <w:rsid w:val="000D5DFA"/>
    <w:rsid w:val="000D5E3F"/>
    <w:rsid w:val="000D5F79"/>
    <w:rsid w:val="000D6015"/>
    <w:rsid w:val="000D60E4"/>
    <w:rsid w:val="000D6174"/>
    <w:rsid w:val="000D6262"/>
    <w:rsid w:val="000D62B7"/>
    <w:rsid w:val="000D6335"/>
    <w:rsid w:val="000D63A5"/>
    <w:rsid w:val="000D63F9"/>
    <w:rsid w:val="000D6666"/>
    <w:rsid w:val="000D669B"/>
    <w:rsid w:val="000D66AB"/>
    <w:rsid w:val="000D68C7"/>
    <w:rsid w:val="000D690A"/>
    <w:rsid w:val="000D69F8"/>
    <w:rsid w:val="000D6AB9"/>
    <w:rsid w:val="000D6B1B"/>
    <w:rsid w:val="000D6B7C"/>
    <w:rsid w:val="000D6B7D"/>
    <w:rsid w:val="000D6BC2"/>
    <w:rsid w:val="000D6C7F"/>
    <w:rsid w:val="000D6CAD"/>
    <w:rsid w:val="000D6D89"/>
    <w:rsid w:val="000D6DBB"/>
    <w:rsid w:val="000D6E90"/>
    <w:rsid w:val="000D700B"/>
    <w:rsid w:val="000D7121"/>
    <w:rsid w:val="000D727F"/>
    <w:rsid w:val="000D72AE"/>
    <w:rsid w:val="000D7307"/>
    <w:rsid w:val="000D7432"/>
    <w:rsid w:val="000D7470"/>
    <w:rsid w:val="000D7588"/>
    <w:rsid w:val="000D7705"/>
    <w:rsid w:val="000D77C9"/>
    <w:rsid w:val="000D77EA"/>
    <w:rsid w:val="000D792C"/>
    <w:rsid w:val="000D7D29"/>
    <w:rsid w:val="000D7D3E"/>
    <w:rsid w:val="000D7D42"/>
    <w:rsid w:val="000D7D69"/>
    <w:rsid w:val="000D7DB9"/>
    <w:rsid w:val="000D7DF9"/>
    <w:rsid w:val="000D7E6C"/>
    <w:rsid w:val="000D7FB6"/>
    <w:rsid w:val="000E01B7"/>
    <w:rsid w:val="000E035D"/>
    <w:rsid w:val="000E040A"/>
    <w:rsid w:val="000E043A"/>
    <w:rsid w:val="000E045E"/>
    <w:rsid w:val="000E04BD"/>
    <w:rsid w:val="000E0648"/>
    <w:rsid w:val="000E075F"/>
    <w:rsid w:val="000E0805"/>
    <w:rsid w:val="000E08ED"/>
    <w:rsid w:val="000E0912"/>
    <w:rsid w:val="000E0945"/>
    <w:rsid w:val="000E09F3"/>
    <w:rsid w:val="000E0A43"/>
    <w:rsid w:val="000E0BE5"/>
    <w:rsid w:val="000E0BEE"/>
    <w:rsid w:val="000E0C06"/>
    <w:rsid w:val="000E0CD5"/>
    <w:rsid w:val="000E0E17"/>
    <w:rsid w:val="000E107F"/>
    <w:rsid w:val="000E11A9"/>
    <w:rsid w:val="000E1248"/>
    <w:rsid w:val="000E1297"/>
    <w:rsid w:val="000E136D"/>
    <w:rsid w:val="000E13C8"/>
    <w:rsid w:val="000E1409"/>
    <w:rsid w:val="000E1412"/>
    <w:rsid w:val="000E150C"/>
    <w:rsid w:val="000E169B"/>
    <w:rsid w:val="000E16C4"/>
    <w:rsid w:val="000E1754"/>
    <w:rsid w:val="000E1895"/>
    <w:rsid w:val="000E198F"/>
    <w:rsid w:val="000E19D6"/>
    <w:rsid w:val="000E19EB"/>
    <w:rsid w:val="000E1AF0"/>
    <w:rsid w:val="000E1CD0"/>
    <w:rsid w:val="000E1D70"/>
    <w:rsid w:val="000E1E9A"/>
    <w:rsid w:val="000E2009"/>
    <w:rsid w:val="000E20F8"/>
    <w:rsid w:val="000E21B3"/>
    <w:rsid w:val="000E21D8"/>
    <w:rsid w:val="000E23B8"/>
    <w:rsid w:val="000E245C"/>
    <w:rsid w:val="000E24A7"/>
    <w:rsid w:val="000E24F3"/>
    <w:rsid w:val="000E25AB"/>
    <w:rsid w:val="000E25C5"/>
    <w:rsid w:val="000E2765"/>
    <w:rsid w:val="000E2927"/>
    <w:rsid w:val="000E2973"/>
    <w:rsid w:val="000E2BEB"/>
    <w:rsid w:val="000E2C17"/>
    <w:rsid w:val="000E2C1D"/>
    <w:rsid w:val="000E2CAD"/>
    <w:rsid w:val="000E2DC0"/>
    <w:rsid w:val="000E2F22"/>
    <w:rsid w:val="000E2FE4"/>
    <w:rsid w:val="000E301F"/>
    <w:rsid w:val="000E3087"/>
    <w:rsid w:val="000E3123"/>
    <w:rsid w:val="000E3197"/>
    <w:rsid w:val="000E326E"/>
    <w:rsid w:val="000E331F"/>
    <w:rsid w:val="000E3363"/>
    <w:rsid w:val="000E33C5"/>
    <w:rsid w:val="000E34F9"/>
    <w:rsid w:val="000E351E"/>
    <w:rsid w:val="000E3537"/>
    <w:rsid w:val="000E3644"/>
    <w:rsid w:val="000E36DB"/>
    <w:rsid w:val="000E36DE"/>
    <w:rsid w:val="000E36ED"/>
    <w:rsid w:val="000E3786"/>
    <w:rsid w:val="000E37C0"/>
    <w:rsid w:val="000E3864"/>
    <w:rsid w:val="000E38EA"/>
    <w:rsid w:val="000E3993"/>
    <w:rsid w:val="000E3A13"/>
    <w:rsid w:val="000E3A78"/>
    <w:rsid w:val="000E3AB4"/>
    <w:rsid w:val="000E3B6E"/>
    <w:rsid w:val="000E3BC1"/>
    <w:rsid w:val="000E3BFD"/>
    <w:rsid w:val="000E3BFF"/>
    <w:rsid w:val="000E3CD4"/>
    <w:rsid w:val="000E3DBC"/>
    <w:rsid w:val="000E3DCB"/>
    <w:rsid w:val="000E3EFA"/>
    <w:rsid w:val="000E3FA4"/>
    <w:rsid w:val="000E3FC6"/>
    <w:rsid w:val="000E3FD2"/>
    <w:rsid w:val="000E4095"/>
    <w:rsid w:val="000E41CF"/>
    <w:rsid w:val="000E4228"/>
    <w:rsid w:val="000E422B"/>
    <w:rsid w:val="000E42F0"/>
    <w:rsid w:val="000E4335"/>
    <w:rsid w:val="000E443B"/>
    <w:rsid w:val="000E44A2"/>
    <w:rsid w:val="000E44E0"/>
    <w:rsid w:val="000E459B"/>
    <w:rsid w:val="000E46AE"/>
    <w:rsid w:val="000E47D6"/>
    <w:rsid w:val="000E48F4"/>
    <w:rsid w:val="000E4983"/>
    <w:rsid w:val="000E4A21"/>
    <w:rsid w:val="000E4A7C"/>
    <w:rsid w:val="000E4B90"/>
    <w:rsid w:val="000E4C96"/>
    <w:rsid w:val="000E4D4D"/>
    <w:rsid w:val="000E4E60"/>
    <w:rsid w:val="000E4EE3"/>
    <w:rsid w:val="000E4FB0"/>
    <w:rsid w:val="000E507D"/>
    <w:rsid w:val="000E50B8"/>
    <w:rsid w:val="000E5208"/>
    <w:rsid w:val="000E5229"/>
    <w:rsid w:val="000E53B1"/>
    <w:rsid w:val="000E53DD"/>
    <w:rsid w:val="000E54B9"/>
    <w:rsid w:val="000E5520"/>
    <w:rsid w:val="000E556D"/>
    <w:rsid w:val="000E5574"/>
    <w:rsid w:val="000E57DD"/>
    <w:rsid w:val="000E58E4"/>
    <w:rsid w:val="000E590A"/>
    <w:rsid w:val="000E5916"/>
    <w:rsid w:val="000E5936"/>
    <w:rsid w:val="000E5997"/>
    <w:rsid w:val="000E5998"/>
    <w:rsid w:val="000E59B0"/>
    <w:rsid w:val="000E5A18"/>
    <w:rsid w:val="000E5A53"/>
    <w:rsid w:val="000E5C38"/>
    <w:rsid w:val="000E5D86"/>
    <w:rsid w:val="000E5F3E"/>
    <w:rsid w:val="000E6258"/>
    <w:rsid w:val="000E62FE"/>
    <w:rsid w:val="000E6315"/>
    <w:rsid w:val="000E6412"/>
    <w:rsid w:val="000E6433"/>
    <w:rsid w:val="000E6553"/>
    <w:rsid w:val="000E6688"/>
    <w:rsid w:val="000E682E"/>
    <w:rsid w:val="000E696C"/>
    <w:rsid w:val="000E69F6"/>
    <w:rsid w:val="000E69F7"/>
    <w:rsid w:val="000E6A07"/>
    <w:rsid w:val="000E6ACC"/>
    <w:rsid w:val="000E6B02"/>
    <w:rsid w:val="000E6B0D"/>
    <w:rsid w:val="000E6BAE"/>
    <w:rsid w:val="000E6BCB"/>
    <w:rsid w:val="000E6C9B"/>
    <w:rsid w:val="000E6D73"/>
    <w:rsid w:val="000E6E5E"/>
    <w:rsid w:val="000E6EFC"/>
    <w:rsid w:val="000E6FEC"/>
    <w:rsid w:val="000E701D"/>
    <w:rsid w:val="000E70D6"/>
    <w:rsid w:val="000E7243"/>
    <w:rsid w:val="000E7347"/>
    <w:rsid w:val="000E7378"/>
    <w:rsid w:val="000E755C"/>
    <w:rsid w:val="000E75E1"/>
    <w:rsid w:val="000E7681"/>
    <w:rsid w:val="000E7697"/>
    <w:rsid w:val="000E76D7"/>
    <w:rsid w:val="000E7787"/>
    <w:rsid w:val="000E78C6"/>
    <w:rsid w:val="000E797D"/>
    <w:rsid w:val="000E7A2E"/>
    <w:rsid w:val="000E7A3A"/>
    <w:rsid w:val="000E7A6E"/>
    <w:rsid w:val="000E7AB7"/>
    <w:rsid w:val="000E7AFE"/>
    <w:rsid w:val="000E7B95"/>
    <w:rsid w:val="000E7BA1"/>
    <w:rsid w:val="000E7C02"/>
    <w:rsid w:val="000E7C6C"/>
    <w:rsid w:val="000E7CB7"/>
    <w:rsid w:val="000E7DEC"/>
    <w:rsid w:val="000E7E4A"/>
    <w:rsid w:val="000E7F2E"/>
    <w:rsid w:val="000E7F83"/>
    <w:rsid w:val="000E7FDB"/>
    <w:rsid w:val="000F0066"/>
    <w:rsid w:val="000F00EC"/>
    <w:rsid w:val="000F00FA"/>
    <w:rsid w:val="000F01C9"/>
    <w:rsid w:val="000F0201"/>
    <w:rsid w:val="000F020C"/>
    <w:rsid w:val="000F0217"/>
    <w:rsid w:val="000F0281"/>
    <w:rsid w:val="000F02A0"/>
    <w:rsid w:val="000F04DD"/>
    <w:rsid w:val="000F0565"/>
    <w:rsid w:val="000F066B"/>
    <w:rsid w:val="000F067B"/>
    <w:rsid w:val="000F0789"/>
    <w:rsid w:val="000F07F9"/>
    <w:rsid w:val="000F0818"/>
    <w:rsid w:val="000F0994"/>
    <w:rsid w:val="000F09EA"/>
    <w:rsid w:val="000F0A65"/>
    <w:rsid w:val="000F0B0C"/>
    <w:rsid w:val="000F0B18"/>
    <w:rsid w:val="000F0BC7"/>
    <w:rsid w:val="000F0D2C"/>
    <w:rsid w:val="000F0DC7"/>
    <w:rsid w:val="000F0F3F"/>
    <w:rsid w:val="000F102C"/>
    <w:rsid w:val="000F1050"/>
    <w:rsid w:val="000F10FC"/>
    <w:rsid w:val="000F11D3"/>
    <w:rsid w:val="000F11F5"/>
    <w:rsid w:val="000F1285"/>
    <w:rsid w:val="000F12E0"/>
    <w:rsid w:val="000F1318"/>
    <w:rsid w:val="000F132B"/>
    <w:rsid w:val="000F13E6"/>
    <w:rsid w:val="000F143E"/>
    <w:rsid w:val="000F14CB"/>
    <w:rsid w:val="000F14EC"/>
    <w:rsid w:val="000F154E"/>
    <w:rsid w:val="000F15AB"/>
    <w:rsid w:val="000F15C2"/>
    <w:rsid w:val="000F15F4"/>
    <w:rsid w:val="000F16AD"/>
    <w:rsid w:val="000F1721"/>
    <w:rsid w:val="000F177C"/>
    <w:rsid w:val="000F17AB"/>
    <w:rsid w:val="000F17C7"/>
    <w:rsid w:val="000F18E3"/>
    <w:rsid w:val="000F18FA"/>
    <w:rsid w:val="000F1901"/>
    <w:rsid w:val="000F1929"/>
    <w:rsid w:val="000F193B"/>
    <w:rsid w:val="000F1943"/>
    <w:rsid w:val="000F1A83"/>
    <w:rsid w:val="000F1C83"/>
    <w:rsid w:val="000F1D1A"/>
    <w:rsid w:val="000F1D1B"/>
    <w:rsid w:val="000F1D21"/>
    <w:rsid w:val="000F1FA2"/>
    <w:rsid w:val="000F205D"/>
    <w:rsid w:val="000F221D"/>
    <w:rsid w:val="000F224C"/>
    <w:rsid w:val="000F2326"/>
    <w:rsid w:val="000F23D4"/>
    <w:rsid w:val="000F244C"/>
    <w:rsid w:val="000F249D"/>
    <w:rsid w:val="000F26EB"/>
    <w:rsid w:val="000F271E"/>
    <w:rsid w:val="000F285B"/>
    <w:rsid w:val="000F287A"/>
    <w:rsid w:val="000F2A40"/>
    <w:rsid w:val="000F2B5C"/>
    <w:rsid w:val="000F2D83"/>
    <w:rsid w:val="000F2DB3"/>
    <w:rsid w:val="000F2EF8"/>
    <w:rsid w:val="000F3076"/>
    <w:rsid w:val="000F313A"/>
    <w:rsid w:val="000F31AD"/>
    <w:rsid w:val="000F3272"/>
    <w:rsid w:val="000F3289"/>
    <w:rsid w:val="000F32C5"/>
    <w:rsid w:val="000F3375"/>
    <w:rsid w:val="000F33BF"/>
    <w:rsid w:val="000F340B"/>
    <w:rsid w:val="000F344C"/>
    <w:rsid w:val="000F345A"/>
    <w:rsid w:val="000F34A2"/>
    <w:rsid w:val="000F34E0"/>
    <w:rsid w:val="000F3503"/>
    <w:rsid w:val="000F353D"/>
    <w:rsid w:val="000F35D9"/>
    <w:rsid w:val="000F378F"/>
    <w:rsid w:val="000F3826"/>
    <w:rsid w:val="000F395D"/>
    <w:rsid w:val="000F39E9"/>
    <w:rsid w:val="000F3A3F"/>
    <w:rsid w:val="000F3A9E"/>
    <w:rsid w:val="000F3AF1"/>
    <w:rsid w:val="000F3B3B"/>
    <w:rsid w:val="000F3B85"/>
    <w:rsid w:val="000F3D62"/>
    <w:rsid w:val="000F3D63"/>
    <w:rsid w:val="000F3EA0"/>
    <w:rsid w:val="000F3ED9"/>
    <w:rsid w:val="000F408C"/>
    <w:rsid w:val="000F40F3"/>
    <w:rsid w:val="000F41EE"/>
    <w:rsid w:val="000F428C"/>
    <w:rsid w:val="000F42C7"/>
    <w:rsid w:val="000F42F2"/>
    <w:rsid w:val="000F4465"/>
    <w:rsid w:val="000F44F6"/>
    <w:rsid w:val="000F451B"/>
    <w:rsid w:val="000F458D"/>
    <w:rsid w:val="000F45DB"/>
    <w:rsid w:val="000F460F"/>
    <w:rsid w:val="000F4622"/>
    <w:rsid w:val="000F462E"/>
    <w:rsid w:val="000F46A7"/>
    <w:rsid w:val="000F46B5"/>
    <w:rsid w:val="000F47A7"/>
    <w:rsid w:val="000F480C"/>
    <w:rsid w:val="000F481D"/>
    <w:rsid w:val="000F4903"/>
    <w:rsid w:val="000F4A7D"/>
    <w:rsid w:val="000F4AEB"/>
    <w:rsid w:val="000F4B85"/>
    <w:rsid w:val="000F4B93"/>
    <w:rsid w:val="000F4C5E"/>
    <w:rsid w:val="000F4C69"/>
    <w:rsid w:val="000F4CCA"/>
    <w:rsid w:val="000F4CD3"/>
    <w:rsid w:val="000F4D75"/>
    <w:rsid w:val="000F4D7D"/>
    <w:rsid w:val="000F4E49"/>
    <w:rsid w:val="000F4ECD"/>
    <w:rsid w:val="000F4F1D"/>
    <w:rsid w:val="000F50FC"/>
    <w:rsid w:val="000F5142"/>
    <w:rsid w:val="000F5147"/>
    <w:rsid w:val="000F5245"/>
    <w:rsid w:val="000F52B9"/>
    <w:rsid w:val="000F52BA"/>
    <w:rsid w:val="000F52CE"/>
    <w:rsid w:val="000F53BE"/>
    <w:rsid w:val="000F53F0"/>
    <w:rsid w:val="000F544D"/>
    <w:rsid w:val="000F55A3"/>
    <w:rsid w:val="000F5687"/>
    <w:rsid w:val="000F5867"/>
    <w:rsid w:val="000F58CA"/>
    <w:rsid w:val="000F593E"/>
    <w:rsid w:val="000F5958"/>
    <w:rsid w:val="000F59DC"/>
    <w:rsid w:val="000F5B35"/>
    <w:rsid w:val="000F5B6E"/>
    <w:rsid w:val="000F5C98"/>
    <w:rsid w:val="000F5DFF"/>
    <w:rsid w:val="000F5F75"/>
    <w:rsid w:val="000F5F7F"/>
    <w:rsid w:val="000F5F8D"/>
    <w:rsid w:val="000F5FF6"/>
    <w:rsid w:val="000F5FFD"/>
    <w:rsid w:val="000F614F"/>
    <w:rsid w:val="000F616C"/>
    <w:rsid w:val="000F6256"/>
    <w:rsid w:val="000F627B"/>
    <w:rsid w:val="000F6382"/>
    <w:rsid w:val="000F641D"/>
    <w:rsid w:val="000F6467"/>
    <w:rsid w:val="000F647B"/>
    <w:rsid w:val="000F6516"/>
    <w:rsid w:val="000F6550"/>
    <w:rsid w:val="000F6594"/>
    <w:rsid w:val="000F669B"/>
    <w:rsid w:val="000F676A"/>
    <w:rsid w:val="000F67FB"/>
    <w:rsid w:val="000F6953"/>
    <w:rsid w:val="000F6B1B"/>
    <w:rsid w:val="000F6B3A"/>
    <w:rsid w:val="000F6B66"/>
    <w:rsid w:val="000F6C10"/>
    <w:rsid w:val="000F6E9C"/>
    <w:rsid w:val="000F6F3C"/>
    <w:rsid w:val="000F6F48"/>
    <w:rsid w:val="000F704F"/>
    <w:rsid w:val="000F710E"/>
    <w:rsid w:val="000F7129"/>
    <w:rsid w:val="000F741D"/>
    <w:rsid w:val="000F742E"/>
    <w:rsid w:val="000F7447"/>
    <w:rsid w:val="000F74D7"/>
    <w:rsid w:val="000F74FA"/>
    <w:rsid w:val="000F750F"/>
    <w:rsid w:val="000F7678"/>
    <w:rsid w:val="000F768A"/>
    <w:rsid w:val="000F77DC"/>
    <w:rsid w:val="000F77F1"/>
    <w:rsid w:val="000F785C"/>
    <w:rsid w:val="000F78AC"/>
    <w:rsid w:val="000F790E"/>
    <w:rsid w:val="000F7C69"/>
    <w:rsid w:val="000F7D74"/>
    <w:rsid w:val="000F7D7F"/>
    <w:rsid w:val="000F7E5C"/>
    <w:rsid w:val="000F7EDE"/>
    <w:rsid w:val="000F7F61"/>
    <w:rsid w:val="000F7FDF"/>
    <w:rsid w:val="0010000D"/>
    <w:rsid w:val="00100027"/>
    <w:rsid w:val="0010003B"/>
    <w:rsid w:val="00100154"/>
    <w:rsid w:val="0010015C"/>
    <w:rsid w:val="00100188"/>
    <w:rsid w:val="001002DC"/>
    <w:rsid w:val="00100301"/>
    <w:rsid w:val="00100458"/>
    <w:rsid w:val="0010052D"/>
    <w:rsid w:val="0010053A"/>
    <w:rsid w:val="001005FD"/>
    <w:rsid w:val="001008FB"/>
    <w:rsid w:val="001009A9"/>
    <w:rsid w:val="00100A15"/>
    <w:rsid w:val="00100B36"/>
    <w:rsid w:val="00100B61"/>
    <w:rsid w:val="00100EFA"/>
    <w:rsid w:val="00100F20"/>
    <w:rsid w:val="00100F84"/>
    <w:rsid w:val="00100F94"/>
    <w:rsid w:val="00100FEE"/>
    <w:rsid w:val="0010101E"/>
    <w:rsid w:val="0010109C"/>
    <w:rsid w:val="001010D5"/>
    <w:rsid w:val="001012C7"/>
    <w:rsid w:val="001012CE"/>
    <w:rsid w:val="001012DC"/>
    <w:rsid w:val="0010138B"/>
    <w:rsid w:val="0010146D"/>
    <w:rsid w:val="00101472"/>
    <w:rsid w:val="00101515"/>
    <w:rsid w:val="00101527"/>
    <w:rsid w:val="00101586"/>
    <w:rsid w:val="00101596"/>
    <w:rsid w:val="00101629"/>
    <w:rsid w:val="001018BD"/>
    <w:rsid w:val="00101946"/>
    <w:rsid w:val="00101952"/>
    <w:rsid w:val="00101A0C"/>
    <w:rsid w:val="00101B1E"/>
    <w:rsid w:val="00101B8E"/>
    <w:rsid w:val="00101C67"/>
    <w:rsid w:val="00101C74"/>
    <w:rsid w:val="00101DED"/>
    <w:rsid w:val="00101E1F"/>
    <w:rsid w:val="00101E4F"/>
    <w:rsid w:val="00101E50"/>
    <w:rsid w:val="00101E58"/>
    <w:rsid w:val="00101E68"/>
    <w:rsid w:val="00101EF7"/>
    <w:rsid w:val="00101F29"/>
    <w:rsid w:val="00101FD0"/>
    <w:rsid w:val="0010228F"/>
    <w:rsid w:val="0010237A"/>
    <w:rsid w:val="001023D0"/>
    <w:rsid w:val="00102466"/>
    <w:rsid w:val="001024A3"/>
    <w:rsid w:val="0010271D"/>
    <w:rsid w:val="001027E8"/>
    <w:rsid w:val="0010288A"/>
    <w:rsid w:val="00102A04"/>
    <w:rsid w:val="00102A41"/>
    <w:rsid w:val="00102A6E"/>
    <w:rsid w:val="00102ADF"/>
    <w:rsid w:val="00102AE7"/>
    <w:rsid w:val="00102BDF"/>
    <w:rsid w:val="00102C96"/>
    <w:rsid w:val="00102DBA"/>
    <w:rsid w:val="00102DCC"/>
    <w:rsid w:val="00102DD3"/>
    <w:rsid w:val="00102DF6"/>
    <w:rsid w:val="00102E32"/>
    <w:rsid w:val="00102E51"/>
    <w:rsid w:val="00102E76"/>
    <w:rsid w:val="00102F24"/>
    <w:rsid w:val="00102FA9"/>
    <w:rsid w:val="001032AE"/>
    <w:rsid w:val="001032B7"/>
    <w:rsid w:val="001032DC"/>
    <w:rsid w:val="00103321"/>
    <w:rsid w:val="00103335"/>
    <w:rsid w:val="00103612"/>
    <w:rsid w:val="001036DD"/>
    <w:rsid w:val="0010371A"/>
    <w:rsid w:val="001038AE"/>
    <w:rsid w:val="001038B8"/>
    <w:rsid w:val="0010394E"/>
    <w:rsid w:val="001039B4"/>
    <w:rsid w:val="00103A51"/>
    <w:rsid w:val="00103AC6"/>
    <w:rsid w:val="00103B47"/>
    <w:rsid w:val="00103B7C"/>
    <w:rsid w:val="00103B81"/>
    <w:rsid w:val="00103BD2"/>
    <w:rsid w:val="00103CE2"/>
    <w:rsid w:val="00103D1F"/>
    <w:rsid w:val="00103D2A"/>
    <w:rsid w:val="00103E1B"/>
    <w:rsid w:val="00103E8A"/>
    <w:rsid w:val="00103EBE"/>
    <w:rsid w:val="00103EDA"/>
    <w:rsid w:val="00103F04"/>
    <w:rsid w:val="00103F2C"/>
    <w:rsid w:val="00103F71"/>
    <w:rsid w:val="00103F9B"/>
    <w:rsid w:val="00103FA9"/>
    <w:rsid w:val="001041C4"/>
    <w:rsid w:val="00104274"/>
    <w:rsid w:val="00104452"/>
    <w:rsid w:val="001044F7"/>
    <w:rsid w:val="001045BA"/>
    <w:rsid w:val="00104686"/>
    <w:rsid w:val="0010483F"/>
    <w:rsid w:val="00104924"/>
    <w:rsid w:val="00104990"/>
    <w:rsid w:val="001049B0"/>
    <w:rsid w:val="001049D7"/>
    <w:rsid w:val="001049E6"/>
    <w:rsid w:val="001049F2"/>
    <w:rsid w:val="00104A38"/>
    <w:rsid w:val="00104A49"/>
    <w:rsid w:val="00104A63"/>
    <w:rsid w:val="00104A96"/>
    <w:rsid w:val="00104A9E"/>
    <w:rsid w:val="00104B29"/>
    <w:rsid w:val="00104C58"/>
    <w:rsid w:val="00104D26"/>
    <w:rsid w:val="00104DB0"/>
    <w:rsid w:val="00104EB9"/>
    <w:rsid w:val="00104EF8"/>
    <w:rsid w:val="00104F75"/>
    <w:rsid w:val="00105057"/>
    <w:rsid w:val="00105096"/>
    <w:rsid w:val="00105164"/>
    <w:rsid w:val="0010520D"/>
    <w:rsid w:val="00105393"/>
    <w:rsid w:val="001053D9"/>
    <w:rsid w:val="00105400"/>
    <w:rsid w:val="001054E0"/>
    <w:rsid w:val="00105503"/>
    <w:rsid w:val="00105504"/>
    <w:rsid w:val="001055FB"/>
    <w:rsid w:val="00105772"/>
    <w:rsid w:val="001057F2"/>
    <w:rsid w:val="001057F4"/>
    <w:rsid w:val="001058A6"/>
    <w:rsid w:val="0010599D"/>
    <w:rsid w:val="001059A0"/>
    <w:rsid w:val="00105BA3"/>
    <w:rsid w:val="00105BE5"/>
    <w:rsid w:val="00105C45"/>
    <w:rsid w:val="00105C52"/>
    <w:rsid w:val="00105C60"/>
    <w:rsid w:val="00105D80"/>
    <w:rsid w:val="00105DD1"/>
    <w:rsid w:val="00105E40"/>
    <w:rsid w:val="00105E89"/>
    <w:rsid w:val="00105F7A"/>
    <w:rsid w:val="00105FFD"/>
    <w:rsid w:val="0010619B"/>
    <w:rsid w:val="001061D5"/>
    <w:rsid w:val="001063DA"/>
    <w:rsid w:val="001067A9"/>
    <w:rsid w:val="001067EC"/>
    <w:rsid w:val="001067F6"/>
    <w:rsid w:val="00106A4A"/>
    <w:rsid w:val="00106A75"/>
    <w:rsid w:val="00106A76"/>
    <w:rsid w:val="00106A89"/>
    <w:rsid w:val="00106AC4"/>
    <w:rsid w:val="00106AD7"/>
    <w:rsid w:val="00106B08"/>
    <w:rsid w:val="00106BEC"/>
    <w:rsid w:val="00106C60"/>
    <w:rsid w:val="00106C6C"/>
    <w:rsid w:val="00106CBF"/>
    <w:rsid w:val="00106E61"/>
    <w:rsid w:val="00106EF3"/>
    <w:rsid w:val="00106FB8"/>
    <w:rsid w:val="0010705E"/>
    <w:rsid w:val="00107189"/>
    <w:rsid w:val="001071C0"/>
    <w:rsid w:val="001071D2"/>
    <w:rsid w:val="001071D7"/>
    <w:rsid w:val="001071EE"/>
    <w:rsid w:val="001071EF"/>
    <w:rsid w:val="001073CB"/>
    <w:rsid w:val="0010744C"/>
    <w:rsid w:val="00107507"/>
    <w:rsid w:val="0010753A"/>
    <w:rsid w:val="00107561"/>
    <w:rsid w:val="001075CA"/>
    <w:rsid w:val="00107612"/>
    <w:rsid w:val="001076A2"/>
    <w:rsid w:val="00107726"/>
    <w:rsid w:val="001077FE"/>
    <w:rsid w:val="0010782E"/>
    <w:rsid w:val="0010783E"/>
    <w:rsid w:val="00107951"/>
    <w:rsid w:val="00107979"/>
    <w:rsid w:val="00107ADC"/>
    <w:rsid w:val="00107B4D"/>
    <w:rsid w:val="00107C21"/>
    <w:rsid w:val="00107CB7"/>
    <w:rsid w:val="00107DF9"/>
    <w:rsid w:val="00107E2A"/>
    <w:rsid w:val="00107E5D"/>
    <w:rsid w:val="00107E75"/>
    <w:rsid w:val="0011001E"/>
    <w:rsid w:val="001100BE"/>
    <w:rsid w:val="001101A1"/>
    <w:rsid w:val="001101DD"/>
    <w:rsid w:val="001101F5"/>
    <w:rsid w:val="001101FA"/>
    <w:rsid w:val="001102B1"/>
    <w:rsid w:val="00110301"/>
    <w:rsid w:val="001103BE"/>
    <w:rsid w:val="0011040F"/>
    <w:rsid w:val="0011045F"/>
    <w:rsid w:val="0011047D"/>
    <w:rsid w:val="001104F2"/>
    <w:rsid w:val="0011056A"/>
    <w:rsid w:val="0011065F"/>
    <w:rsid w:val="0011076E"/>
    <w:rsid w:val="001107F4"/>
    <w:rsid w:val="001107F9"/>
    <w:rsid w:val="00110A20"/>
    <w:rsid w:val="00110A2E"/>
    <w:rsid w:val="00110A6C"/>
    <w:rsid w:val="00110C94"/>
    <w:rsid w:val="00110CB6"/>
    <w:rsid w:val="00110D6B"/>
    <w:rsid w:val="00110DA0"/>
    <w:rsid w:val="00110E63"/>
    <w:rsid w:val="00110E90"/>
    <w:rsid w:val="00110EDC"/>
    <w:rsid w:val="00110F63"/>
    <w:rsid w:val="00110F82"/>
    <w:rsid w:val="00111133"/>
    <w:rsid w:val="00111287"/>
    <w:rsid w:val="001112A3"/>
    <w:rsid w:val="001112D0"/>
    <w:rsid w:val="0011133A"/>
    <w:rsid w:val="00111340"/>
    <w:rsid w:val="00111389"/>
    <w:rsid w:val="0011138D"/>
    <w:rsid w:val="001114EA"/>
    <w:rsid w:val="001114EB"/>
    <w:rsid w:val="001115ED"/>
    <w:rsid w:val="0011163F"/>
    <w:rsid w:val="00111790"/>
    <w:rsid w:val="001117D1"/>
    <w:rsid w:val="0011189F"/>
    <w:rsid w:val="0011193E"/>
    <w:rsid w:val="00111A2A"/>
    <w:rsid w:val="00111A9F"/>
    <w:rsid w:val="00111AB4"/>
    <w:rsid w:val="00111B78"/>
    <w:rsid w:val="00111D45"/>
    <w:rsid w:val="00111EAA"/>
    <w:rsid w:val="00111F1E"/>
    <w:rsid w:val="00111F43"/>
    <w:rsid w:val="00111F86"/>
    <w:rsid w:val="0011208C"/>
    <w:rsid w:val="0011224E"/>
    <w:rsid w:val="0011226B"/>
    <w:rsid w:val="00112289"/>
    <w:rsid w:val="0011236C"/>
    <w:rsid w:val="001123A9"/>
    <w:rsid w:val="001123B5"/>
    <w:rsid w:val="00112431"/>
    <w:rsid w:val="00112538"/>
    <w:rsid w:val="00112575"/>
    <w:rsid w:val="001125E7"/>
    <w:rsid w:val="00112677"/>
    <w:rsid w:val="001126A7"/>
    <w:rsid w:val="001126E5"/>
    <w:rsid w:val="00112749"/>
    <w:rsid w:val="00112792"/>
    <w:rsid w:val="0011287C"/>
    <w:rsid w:val="00112922"/>
    <w:rsid w:val="00112AEC"/>
    <w:rsid w:val="00112BD9"/>
    <w:rsid w:val="00112BDB"/>
    <w:rsid w:val="00112BE5"/>
    <w:rsid w:val="00112C85"/>
    <w:rsid w:val="00112CE4"/>
    <w:rsid w:val="00112D11"/>
    <w:rsid w:val="00112D6B"/>
    <w:rsid w:val="00112D7E"/>
    <w:rsid w:val="00112DA3"/>
    <w:rsid w:val="00112DFE"/>
    <w:rsid w:val="00112E56"/>
    <w:rsid w:val="00112EC3"/>
    <w:rsid w:val="00112F14"/>
    <w:rsid w:val="00113166"/>
    <w:rsid w:val="001131D9"/>
    <w:rsid w:val="00113271"/>
    <w:rsid w:val="001132D8"/>
    <w:rsid w:val="001132EE"/>
    <w:rsid w:val="00113407"/>
    <w:rsid w:val="00113412"/>
    <w:rsid w:val="001134DF"/>
    <w:rsid w:val="00113529"/>
    <w:rsid w:val="0011355D"/>
    <w:rsid w:val="00113649"/>
    <w:rsid w:val="001136DC"/>
    <w:rsid w:val="00113875"/>
    <w:rsid w:val="001138F6"/>
    <w:rsid w:val="00113971"/>
    <w:rsid w:val="001139BE"/>
    <w:rsid w:val="00113A3F"/>
    <w:rsid w:val="00113AAC"/>
    <w:rsid w:val="00113B00"/>
    <w:rsid w:val="00113D4F"/>
    <w:rsid w:val="00113E13"/>
    <w:rsid w:val="00113F1D"/>
    <w:rsid w:val="0011407F"/>
    <w:rsid w:val="001140CE"/>
    <w:rsid w:val="00114105"/>
    <w:rsid w:val="00114121"/>
    <w:rsid w:val="001141FA"/>
    <w:rsid w:val="001142BD"/>
    <w:rsid w:val="001142E1"/>
    <w:rsid w:val="001144E0"/>
    <w:rsid w:val="00114700"/>
    <w:rsid w:val="0011475E"/>
    <w:rsid w:val="00114789"/>
    <w:rsid w:val="001147C6"/>
    <w:rsid w:val="001147E6"/>
    <w:rsid w:val="00114A2B"/>
    <w:rsid w:val="00114A3C"/>
    <w:rsid w:val="00114ADA"/>
    <w:rsid w:val="00114AF3"/>
    <w:rsid w:val="00114CB1"/>
    <w:rsid w:val="00114D05"/>
    <w:rsid w:val="00114D09"/>
    <w:rsid w:val="00114D57"/>
    <w:rsid w:val="00114DBD"/>
    <w:rsid w:val="00114F05"/>
    <w:rsid w:val="00114F20"/>
    <w:rsid w:val="00114F4E"/>
    <w:rsid w:val="00114F88"/>
    <w:rsid w:val="00114FAC"/>
    <w:rsid w:val="0011521E"/>
    <w:rsid w:val="00115302"/>
    <w:rsid w:val="00115307"/>
    <w:rsid w:val="0011543A"/>
    <w:rsid w:val="0011547D"/>
    <w:rsid w:val="001154CB"/>
    <w:rsid w:val="001155FB"/>
    <w:rsid w:val="0011572D"/>
    <w:rsid w:val="00115843"/>
    <w:rsid w:val="00115878"/>
    <w:rsid w:val="00115A98"/>
    <w:rsid w:val="00115BC2"/>
    <w:rsid w:val="00115BCF"/>
    <w:rsid w:val="00115C92"/>
    <w:rsid w:val="00115D08"/>
    <w:rsid w:val="00115D09"/>
    <w:rsid w:val="00115E3C"/>
    <w:rsid w:val="00115F8F"/>
    <w:rsid w:val="00116017"/>
    <w:rsid w:val="00116048"/>
    <w:rsid w:val="00116064"/>
    <w:rsid w:val="001160AE"/>
    <w:rsid w:val="00116189"/>
    <w:rsid w:val="001161E9"/>
    <w:rsid w:val="00116216"/>
    <w:rsid w:val="00116234"/>
    <w:rsid w:val="00116237"/>
    <w:rsid w:val="0011631C"/>
    <w:rsid w:val="001163B9"/>
    <w:rsid w:val="001163EA"/>
    <w:rsid w:val="00116490"/>
    <w:rsid w:val="001164C6"/>
    <w:rsid w:val="001164CE"/>
    <w:rsid w:val="0011666E"/>
    <w:rsid w:val="00116685"/>
    <w:rsid w:val="001168CB"/>
    <w:rsid w:val="00116901"/>
    <w:rsid w:val="00116949"/>
    <w:rsid w:val="00116994"/>
    <w:rsid w:val="00116BFC"/>
    <w:rsid w:val="00116C4D"/>
    <w:rsid w:val="00116C8B"/>
    <w:rsid w:val="00116CB2"/>
    <w:rsid w:val="00116CD4"/>
    <w:rsid w:val="00116DF8"/>
    <w:rsid w:val="00116E73"/>
    <w:rsid w:val="0011717C"/>
    <w:rsid w:val="00117373"/>
    <w:rsid w:val="0011738A"/>
    <w:rsid w:val="0011738B"/>
    <w:rsid w:val="001174EA"/>
    <w:rsid w:val="001175B5"/>
    <w:rsid w:val="001176DE"/>
    <w:rsid w:val="0011778A"/>
    <w:rsid w:val="001177CB"/>
    <w:rsid w:val="00117854"/>
    <w:rsid w:val="001178A4"/>
    <w:rsid w:val="001178FE"/>
    <w:rsid w:val="00117988"/>
    <w:rsid w:val="00117AC2"/>
    <w:rsid w:val="00117B42"/>
    <w:rsid w:val="00117BEE"/>
    <w:rsid w:val="00117C7F"/>
    <w:rsid w:val="00117D35"/>
    <w:rsid w:val="00117DA2"/>
    <w:rsid w:val="00117DFD"/>
    <w:rsid w:val="00117E7F"/>
    <w:rsid w:val="00120179"/>
    <w:rsid w:val="001201CE"/>
    <w:rsid w:val="0012029C"/>
    <w:rsid w:val="0012037B"/>
    <w:rsid w:val="001203AB"/>
    <w:rsid w:val="00120464"/>
    <w:rsid w:val="001204B9"/>
    <w:rsid w:val="00120586"/>
    <w:rsid w:val="001205D6"/>
    <w:rsid w:val="00120646"/>
    <w:rsid w:val="001207B3"/>
    <w:rsid w:val="00120909"/>
    <w:rsid w:val="00120A1C"/>
    <w:rsid w:val="00120A72"/>
    <w:rsid w:val="00120C16"/>
    <w:rsid w:val="00120C20"/>
    <w:rsid w:val="00120D9D"/>
    <w:rsid w:val="00120E0A"/>
    <w:rsid w:val="00120EF9"/>
    <w:rsid w:val="001210E6"/>
    <w:rsid w:val="001211B0"/>
    <w:rsid w:val="00121282"/>
    <w:rsid w:val="00121369"/>
    <w:rsid w:val="0012141A"/>
    <w:rsid w:val="0012142B"/>
    <w:rsid w:val="00121579"/>
    <w:rsid w:val="0012157C"/>
    <w:rsid w:val="0012159B"/>
    <w:rsid w:val="001215ED"/>
    <w:rsid w:val="0012162F"/>
    <w:rsid w:val="001217AB"/>
    <w:rsid w:val="0012188A"/>
    <w:rsid w:val="0012189C"/>
    <w:rsid w:val="001218C9"/>
    <w:rsid w:val="001218CB"/>
    <w:rsid w:val="001218F0"/>
    <w:rsid w:val="00121945"/>
    <w:rsid w:val="001219A7"/>
    <w:rsid w:val="001219AB"/>
    <w:rsid w:val="00121A11"/>
    <w:rsid w:val="00121A63"/>
    <w:rsid w:val="00121AC8"/>
    <w:rsid w:val="00121B04"/>
    <w:rsid w:val="00121B53"/>
    <w:rsid w:val="00121B7A"/>
    <w:rsid w:val="00121BED"/>
    <w:rsid w:val="00121BF5"/>
    <w:rsid w:val="00121C81"/>
    <w:rsid w:val="00121D13"/>
    <w:rsid w:val="00121D54"/>
    <w:rsid w:val="00121D64"/>
    <w:rsid w:val="0012206B"/>
    <w:rsid w:val="0012208F"/>
    <w:rsid w:val="00122185"/>
    <w:rsid w:val="00122266"/>
    <w:rsid w:val="001222C2"/>
    <w:rsid w:val="001222D0"/>
    <w:rsid w:val="0012240B"/>
    <w:rsid w:val="0012247A"/>
    <w:rsid w:val="001224A4"/>
    <w:rsid w:val="001224BA"/>
    <w:rsid w:val="00122508"/>
    <w:rsid w:val="00122527"/>
    <w:rsid w:val="001226A7"/>
    <w:rsid w:val="0012278F"/>
    <w:rsid w:val="001227D1"/>
    <w:rsid w:val="001228B6"/>
    <w:rsid w:val="0012292D"/>
    <w:rsid w:val="00122979"/>
    <w:rsid w:val="001229B3"/>
    <w:rsid w:val="00122A4B"/>
    <w:rsid w:val="00122B34"/>
    <w:rsid w:val="00122B91"/>
    <w:rsid w:val="00122C28"/>
    <w:rsid w:val="00122CA0"/>
    <w:rsid w:val="00122E6E"/>
    <w:rsid w:val="00122E87"/>
    <w:rsid w:val="00122EC3"/>
    <w:rsid w:val="00122F0B"/>
    <w:rsid w:val="00122FCD"/>
    <w:rsid w:val="00122FEE"/>
    <w:rsid w:val="00122FF7"/>
    <w:rsid w:val="001231CC"/>
    <w:rsid w:val="001231D6"/>
    <w:rsid w:val="00123207"/>
    <w:rsid w:val="001232D5"/>
    <w:rsid w:val="001232DC"/>
    <w:rsid w:val="00123323"/>
    <w:rsid w:val="00123334"/>
    <w:rsid w:val="00123418"/>
    <w:rsid w:val="001234BF"/>
    <w:rsid w:val="0012358F"/>
    <w:rsid w:val="001235C6"/>
    <w:rsid w:val="0012365A"/>
    <w:rsid w:val="0012371B"/>
    <w:rsid w:val="00123933"/>
    <w:rsid w:val="00123B21"/>
    <w:rsid w:val="00123CA3"/>
    <w:rsid w:val="00123CE4"/>
    <w:rsid w:val="00123DF4"/>
    <w:rsid w:val="00123F60"/>
    <w:rsid w:val="00123F74"/>
    <w:rsid w:val="00123F7C"/>
    <w:rsid w:val="001240CC"/>
    <w:rsid w:val="001240E9"/>
    <w:rsid w:val="00124139"/>
    <w:rsid w:val="00124171"/>
    <w:rsid w:val="00124375"/>
    <w:rsid w:val="00124399"/>
    <w:rsid w:val="00124492"/>
    <w:rsid w:val="001244AB"/>
    <w:rsid w:val="00124513"/>
    <w:rsid w:val="00124588"/>
    <w:rsid w:val="0012458D"/>
    <w:rsid w:val="001245FF"/>
    <w:rsid w:val="00124604"/>
    <w:rsid w:val="00124645"/>
    <w:rsid w:val="00124702"/>
    <w:rsid w:val="00124761"/>
    <w:rsid w:val="00124778"/>
    <w:rsid w:val="0012479F"/>
    <w:rsid w:val="00124856"/>
    <w:rsid w:val="001248A0"/>
    <w:rsid w:val="001249CD"/>
    <w:rsid w:val="001249CE"/>
    <w:rsid w:val="001249F3"/>
    <w:rsid w:val="00124A24"/>
    <w:rsid w:val="00124A29"/>
    <w:rsid w:val="00124A34"/>
    <w:rsid w:val="00124A4C"/>
    <w:rsid w:val="00124AF3"/>
    <w:rsid w:val="00124C71"/>
    <w:rsid w:val="00124C97"/>
    <w:rsid w:val="00124E10"/>
    <w:rsid w:val="00124E2D"/>
    <w:rsid w:val="00124E73"/>
    <w:rsid w:val="00124F56"/>
    <w:rsid w:val="001250D2"/>
    <w:rsid w:val="001251AB"/>
    <w:rsid w:val="00125513"/>
    <w:rsid w:val="0012554C"/>
    <w:rsid w:val="001255AD"/>
    <w:rsid w:val="001255C8"/>
    <w:rsid w:val="0012563F"/>
    <w:rsid w:val="0012573B"/>
    <w:rsid w:val="00125780"/>
    <w:rsid w:val="00125878"/>
    <w:rsid w:val="00125925"/>
    <w:rsid w:val="00125930"/>
    <w:rsid w:val="00125989"/>
    <w:rsid w:val="001259D5"/>
    <w:rsid w:val="00125A45"/>
    <w:rsid w:val="00125A4C"/>
    <w:rsid w:val="00125BCB"/>
    <w:rsid w:val="00125BF5"/>
    <w:rsid w:val="00125BFF"/>
    <w:rsid w:val="00125C02"/>
    <w:rsid w:val="00125E5F"/>
    <w:rsid w:val="00125E81"/>
    <w:rsid w:val="001260CC"/>
    <w:rsid w:val="0012617F"/>
    <w:rsid w:val="00126256"/>
    <w:rsid w:val="00126320"/>
    <w:rsid w:val="00126386"/>
    <w:rsid w:val="001263E1"/>
    <w:rsid w:val="0012648D"/>
    <w:rsid w:val="00126605"/>
    <w:rsid w:val="00126667"/>
    <w:rsid w:val="00126690"/>
    <w:rsid w:val="00126950"/>
    <w:rsid w:val="0012697F"/>
    <w:rsid w:val="00126AF2"/>
    <w:rsid w:val="00126B92"/>
    <w:rsid w:val="00126BAD"/>
    <w:rsid w:val="00126C24"/>
    <w:rsid w:val="00126C59"/>
    <w:rsid w:val="00126C6F"/>
    <w:rsid w:val="00126CC2"/>
    <w:rsid w:val="001270C2"/>
    <w:rsid w:val="001271A6"/>
    <w:rsid w:val="0012720E"/>
    <w:rsid w:val="00127212"/>
    <w:rsid w:val="00127342"/>
    <w:rsid w:val="001273CE"/>
    <w:rsid w:val="00127499"/>
    <w:rsid w:val="00127553"/>
    <w:rsid w:val="00127569"/>
    <w:rsid w:val="00127588"/>
    <w:rsid w:val="001275EC"/>
    <w:rsid w:val="00127615"/>
    <w:rsid w:val="00127787"/>
    <w:rsid w:val="001279A9"/>
    <w:rsid w:val="001279C5"/>
    <w:rsid w:val="00127A15"/>
    <w:rsid w:val="00127AF0"/>
    <w:rsid w:val="00127B57"/>
    <w:rsid w:val="00127C1F"/>
    <w:rsid w:val="00127D4A"/>
    <w:rsid w:val="00127E07"/>
    <w:rsid w:val="00127E3C"/>
    <w:rsid w:val="00127E5C"/>
    <w:rsid w:val="0013005C"/>
    <w:rsid w:val="001300D8"/>
    <w:rsid w:val="001302E1"/>
    <w:rsid w:val="00130306"/>
    <w:rsid w:val="00130341"/>
    <w:rsid w:val="0013039A"/>
    <w:rsid w:val="001303F9"/>
    <w:rsid w:val="001305A0"/>
    <w:rsid w:val="001306C1"/>
    <w:rsid w:val="001306C5"/>
    <w:rsid w:val="00130729"/>
    <w:rsid w:val="001307C0"/>
    <w:rsid w:val="001309FE"/>
    <w:rsid w:val="00130A9C"/>
    <w:rsid w:val="00130B22"/>
    <w:rsid w:val="00130BBF"/>
    <w:rsid w:val="00130C18"/>
    <w:rsid w:val="00130C24"/>
    <w:rsid w:val="00130C8B"/>
    <w:rsid w:val="00130CA8"/>
    <w:rsid w:val="00130D53"/>
    <w:rsid w:val="00130FF2"/>
    <w:rsid w:val="0013111F"/>
    <w:rsid w:val="00131275"/>
    <w:rsid w:val="001313BA"/>
    <w:rsid w:val="001314A3"/>
    <w:rsid w:val="00131540"/>
    <w:rsid w:val="00131881"/>
    <w:rsid w:val="00131923"/>
    <w:rsid w:val="00131B90"/>
    <w:rsid w:val="00131CC1"/>
    <w:rsid w:val="00131D47"/>
    <w:rsid w:val="00131D9C"/>
    <w:rsid w:val="00131DC9"/>
    <w:rsid w:val="00131E9C"/>
    <w:rsid w:val="00131F58"/>
    <w:rsid w:val="00132040"/>
    <w:rsid w:val="0013219F"/>
    <w:rsid w:val="00132374"/>
    <w:rsid w:val="001323D4"/>
    <w:rsid w:val="00132540"/>
    <w:rsid w:val="0013254D"/>
    <w:rsid w:val="001325A0"/>
    <w:rsid w:val="001325A9"/>
    <w:rsid w:val="00132638"/>
    <w:rsid w:val="00132661"/>
    <w:rsid w:val="001326B2"/>
    <w:rsid w:val="0013275C"/>
    <w:rsid w:val="0013278D"/>
    <w:rsid w:val="00132797"/>
    <w:rsid w:val="00132818"/>
    <w:rsid w:val="001328E0"/>
    <w:rsid w:val="001328F6"/>
    <w:rsid w:val="00132976"/>
    <w:rsid w:val="001329B9"/>
    <w:rsid w:val="00132A85"/>
    <w:rsid w:val="00132B18"/>
    <w:rsid w:val="00132C79"/>
    <w:rsid w:val="00132CA8"/>
    <w:rsid w:val="00132CDE"/>
    <w:rsid w:val="00132CE2"/>
    <w:rsid w:val="00132D21"/>
    <w:rsid w:val="00132E57"/>
    <w:rsid w:val="00132E5A"/>
    <w:rsid w:val="00132F87"/>
    <w:rsid w:val="00132FF2"/>
    <w:rsid w:val="00133038"/>
    <w:rsid w:val="00133085"/>
    <w:rsid w:val="0013335A"/>
    <w:rsid w:val="00133396"/>
    <w:rsid w:val="001333D7"/>
    <w:rsid w:val="001333FF"/>
    <w:rsid w:val="0013340D"/>
    <w:rsid w:val="001334E8"/>
    <w:rsid w:val="00133506"/>
    <w:rsid w:val="00133626"/>
    <w:rsid w:val="00133736"/>
    <w:rsid w:val="0013374C"/>
    <w:rsid w:val="001337DC"/>
    <w:rsid w:val="0013382D"/>
    <w:rsid w:val="00133871"/>
    <w:rsid w:val="001338C2"/>
    <w:rsid w:val="00133932"/>
    <w:rsid w:val="00133994"/>
    <w:rsid w:val="00133996"/>
    <w:rsid w:val="00133A2E"/>
    <w:rsid w:val="00133A82"/>
    <w:rsid w:val="00133ACF"/>
    <w:rsid w:val="00133B98"/>
    <w:rsid w:val="00133C25"/>
    <w:rsid w:val="00133D15"/>
    <w:rsid w:val="00133DC4"/>
    <w:rsid w:val="00133E06"/>
    <w:rsid w:val="00133E60"/>
    <w:rsid w:val="00133EA7"/>
    <w:rsid w:val="00133EB1"/>
    <w:rsid w:val="00133F35"/>
    <w:rsid w:val="00133FCB"/>
    <w:rsid w:val="00133FEA"/>
    <w:rsid w:val="001340B8"/>
    <w:rsid w:val="001340EA"/>
    <w:rsid w:val="001340F4"/>
    <w:rsid w:val="00134239"/>
    <w:rsid w:val="00134363"/>
    <w:rsid w:val="001343E9"/>
    <w:rsid w:val="001343EF"/>
    <w:rsid w:val="00134438"/>
    <w:rsid w:val="00134456"/>
    <w:rsid w:val="001344B0"/>
    <w:rsid w:val="001344E6"/>
    <w:rsid w:val="0013454A"/>
    <w:rsid w:val="00134567"/>
    <w:rsid w:val="001345AA"/>
    <w:rsid w:val="00134611"/>
    <w:rsid w:val="00134738"/>
    <w:rsid w:val="0013479D"/>
    <w:rsid w:val="001347FB"/>
    <w:rsid w:val="00134983"/>
    <w:rsid w:val="001349C4"/>
    <w:rsid w:val="00134AD5"/>
    <w:rsid w:val="00134B23"/>
    <w:rsid w:val="00134B60"/>
    <w:rsid w:val="00134C91"/>
    <w:rsid w:val="00134E47"/>
    <w:rsid w:val="00134EB5"/>
    <w:rsid w:val="00134F54"/>
    <w:rsid w:val="00134F96"/>
    <w:rsid w:val="00134F9A"/>
    <w:rsid w:val="00134FE4"/>
    <w:rsid w:val="00135095"/>
    <w:rsid w:val="00135115"/>
    <w:rsid w:val="001351E9"/>
    <w:rsid w:val="0013525D"/>
    <w:rsid w:val="001352DF"/>
    <w:rsid w:val="001352E3"/>
    <w:rsid w:val="00135463"/>
    <w:rsid w:val="001354F8"/>
    <w:rsid w:val="00135554"/>
    <w:rsid w:val="0013556A"/>
    <w:rsid w:val="001355B1"/>
    <w:rsid w:val="001355C9"/>
    <w:rsid w:val="0013568B"/>
    <w:rsid w:val="001356FC"/>
    <w:rsid w:val="00135718"/>
    <w:rsid w:val="00135748"/>
    <w:rsid w:val="0013580F"/>
    <w:rsid w:val="00135820"/>
    <w:rsid w:val="0013599E"/>
    <w:rsid w:val="00135B2E"/>
    <w:rsid w:val="00135B3F"/>
    <w:rsid w:val="00135C95"/>
    <w:rsid w:val="00135CB5"/>
    <w:rsid w:val="00135D44"/>
    <w:rsid w:val="00135D6F"/>
    <w:rsid w:val="00135D92"/>
    <w:rsid w:val="00135F21"/>
    <w:rsid w:val="001360F6"/>
    <w:rsid w:val="00136141"/>
    <w:rsid w:val="00136293"/>
    <w:rsid w:val="001362B0"/>
    <w:rsid w:val="001362BF"/>
    <w:rsid w:val="00136388"/>
    <w:rsid w:val="0013646C"/>
    <w:rsid w:val="001364B0"/>
    <w:rsid w:val="001364EE"/>
    <w:rsid w:val="00136513"/>
    <w:rsid w:val="00136545"/>
    <w:rsid w:val="0013675B"/>
    <w:rsid w:val="00136780"/>
    <w:rsid w:val="00136935"/>
    <w:rsid w:val="001369BB"/>
    <w:rsid w:val="00136B0E"/>
    <w:rsid w:val="00136BA6"/>
    <w:rsid w:val="00136D7B"/>
    <w:rsid w:val="00136DD0"/>
    <w:rsid w:val="00136E98"/>
    <w:rsid w:val="00136EB1"/>
    <w:rsid w:val="00136F0C"/>
    <w:rsid w:val="00137018"/>
    <w:rsid w:val="00137085"/>
    <w:rsid w:val="001370F1"/>
    <w:rsid w:val="001370FE"/>
    <w:rsid w:val="0013710F"/>
    <w:rsid w:val="0013721C"/>
    <w:rsid w:val="001372D3"/>
    <w:rsid w:val="00137314"/>
    <w:rsid w:val="00137383"/>
    <w:rsid w:val="001373AD"/>
    <w:rsid w:val="00137493"/>
    <w:rsid w:val="001374BD"/>
    <w:rsid w:val="001374EC"/>
    <w:rsid w:val="001375BF"/>
    <w:rsid w:val="001376D9"/>
    <w:rsid w:val="00137716"/>
    <w:rsid w:val="001378A6"/>
    <w:rsid w:val="001378A8"/>
    <w:rsid w:val="001378D0"/>
    <w:rsid w:val="00137947"/>
    <w:rsid w:val="00137A2A"/>
    <w:rsid w:val="00137A6B"/>
    <w:rsid w:val="00137B63"/>
    <w:rsid w:val="00137B7D"/>
    <w:rsid w:val="00137C22"/>
    <w:rsid w:val="00137EE8"/>
    <w:rsid w:val="00137F0B"/>
    <w:rsid w:val="001400B2"/>
    <w:rsid w:val="001400D4"/>
    <w:rsid w:val="001402DA"/>
    <w:rsid w:val="001403C3"/>
    <w:rsid w:val="001403F1"/>
    <w:rsid w:val="00140571"/>
    <w:rsid w:val="00140572"/>
    <w:rsid w:val="0014057A"/>
    <w:rsid w:val="001405DC"/>
    <w:rsid w:val="00140699"/>
    <w:rsid w:val="00140763"/>
    <w:rsid w:val="00140825"/>
    <w:rsid w:val="00140902"/>
    <w:rsid w:val="001409A5"/>
    <w:rsid w:val="001409F4"/>
    <w:rsid w:val="00140A85"/>
    <w:rsid w:val="00140A88"/>
    <w:rsid w:val="00140B7F"/>
    <w:rsid w:val="00140B92"/>
    <w:rsid w:val="00140BC0"/>
    <w:rsid w:val="00140C1C"/>
    <w:rsid w:val="00140C4A"/>
    <w:rsid w:val="00140CA3"/>
    <w:rsid w:val="00140D29"/>
    <w:rsid w:val="00140D77"/>
    <w:rsid w:val="00140E60"/>
    <w:rsid w:val="00140E63"/>
    <w:rsid w:val="00140EC6"/>
    <w:rsid w:val="001411DE"/>
    <w:rsid w:val="0014120A"/>
    <w:rsid w:val="00141211"/>
    <w:rsid w:val="001412D4"/>
    <w:rsid w:val="00141384"/>
    <w:rsid w:val="00141577"/>
    <w:rsid w:val="001415B2"/>
    <w:rsid w:val="00141670"/>
    <w:rsid w:val="001416D8"/>
    <w:rsid w:val="00141767"/>
    <w:rsid w:val="0014186F"/>
    <w:rsid w:val="00141959"/>
    <w:rsid w:val="001419D5"/>
    <w:rsid w:val="001419EF"/>
    <w:rsid w:val="00141A14"/>
    <w:rsid w:val="00141B1B"/>
    <w:rsid w:val="00141B8F"/>
    <w:rsid w:val="00141C10"/>
    <w:rsid w:val="00141CF2"/>
    <w:rsid w:val="00141D97"/>
    <w:rsid w:val="00141DE5"/>
    <w:rsid w:val="00141E24"/>
    <w:rsid w:val="00141ED7"/>
    <w:rsid w:val="00141EF6"/>
    <w:rsid w:val="00141FA3"/>
    <w:rsid w:val="0014201A"/>
    <w:rsid w:val="0014206B"/>
    <w:rsid w:val="001420EA"/>
    <w:rsid w:val="001423CE"/>
    <w:rsid w:val="001423E5"/>
    <w:rsid w:val="001423F0"/>
    <w:rsid w:val="00142457"/>
    <w:rsid w:val="0014270C"/>
    <w:rsid w:val="00142735"/>
    <w:rsid w:val="0014276B"/>
    <w:rsid w:val="00142928"/>
    <w:rsid w:val="0014296A"/>
    <w:rsid w:val="00142B0A"/>
    <w:rsid w:val="00142B11"/>
    <w:rsid w:val="00142B98"/>
    <w:rsid w:val="00142BB9"/>
    <w:rsid w:val="00142C3B"/>
    <w:rsid w:val="00142CC7"/>
    <w:rsid w:val="00142E59"/>
    <w:rsid w:val="00143004"/>
    <w:rsid w:val="001430CE"/>
    <w:rsid w:val="00143108"/>
    <w:rsid w:val="00143109"/>
    <w:rsid w:val="00143253"/>
    <w:rsid w:val="00143260"/>
    <w:rsid w:val="00143310"/>
    <w:rsid w:val="00143355"/>
    <w:rsid w:val="0014342A"/>
    <w:rsid w:val="00143493"/>
    <w:rsid w:val="001434EF"/>
    <w:rsid w:val="001435E1"/>
    <w:rsid w:val="0014368F"/>
    <w:rsid w:val="001436BC"/>
    <w:rsid w:val="00143787"/>
    <w:rsid w:val="001437E1"/>
    <w:rsid w:val="00143859"/>
    <w:rsid w:val="001438A4"/>
    <w:rsid w:val="00143A70"/>
    <w:rsid w:val="00143A85"/>
    <w:rsid w:val="00143ACD"/>
    <w:rsid w:val="00143B1B"/>
    <w:rsid w:val="00143BE6"/>
    <w:rsid w:val="00143CCA"/>
    <w:rsid w:val="00143CF9"/>
    <w:rsid w:val="00143DC1"/>
    <w:rsid w:val="00143EBA"/>
    <w:rsid w:val="00143EC0"/>
    <w:rsid w:val="00143FC0"/>
    <w:rsid w:val="0014408A"/>
    <w:rsid w:val="001441FC"/>
    <w:rsid w:val="00144210"/>
    <w:rsid w:val="001443EE"/>
    <w:rsid w:val="001444D2"/>
    <w:rsid w:val="00144675"/>
    <w:rsid w:val="001446A2"/>
    <w:rsid w:val="001446F4"/>
    <w:rsid w:val="0014483D"/>
    <w:rsid w:val="0014484C"/>
    <w:rsid w:val="00144972"/>
    <w:rsid w:val="00144983"/>
    <w:rsid w:val="00144A9E"/>
    <w:rsid w:val="00144AA3"/>
    <w:rsid w:val="00144BEC"/>
    <w:rsid w:val="00144D2F"/>
    <w:rsid w:val="00144D58"/>
    <w:rsid w:val="00144D6B"/>
    <w:rsid w:val="00144DAC"/>
    <w:rsid w:val="00144E6D"/>
    <w:rsid w:val="00144F3D"/>
    <w:rsid w:val="00144F7D"/>
    <w:rsid w:val="001450A0"/>
    <w:rsid w:val="00145112"/>
    <w:rsid w:val="00145298"/>
    <w:rsid w:val="001452AD"/>
    <w:rsid w:val="0014542C"/>
    <w:rsid w:val="00145523"/>
    <w:rsid w:val="0014552F"/>
    <w:rsid w:val="00145583"/>
    <w:rsid w:val="001455CC"/>
    <w:rsid w:val="001456C5"/>
    <w:rsid w:val="001456E1"/>
    <w:rsid w:val="001456F0"/>
    <w:rsid w:val="00145758"/>
    <w:rsid w:val="0014578C"/>
    <w:rsid w:val="0014585A"/>
    <w:rsid w:val="0014588C"/>
    <w:rsid w:val="0014596F"/>
    <w:rsid w:val="00145A08"/>
    <w:rsid w:val="00145B8D"/>
    <w:rsid w:val="00145B94"/>
    <w:rsid w:val="00145BCE"/>
    <w:rsid w:val="00145C5F"/>
    <w:rsid w:val="00145C69"/>
    <w:rsid w:val="00145E3E"/>
    <w:rsid w:val="00146014"/>
    <w:rsid w:val="00146134"/>
    <w:rsid w:val="0014618A"/>
    <w:rsid w:val="00146209"/>
    <w:rsid w:val="0014621D"/>
    <w:rsid w:val="0014625C"/>
    <w:rsid w:val="001462AB"/>
    <w:rsid w:val="00146470"/>
    <w:rsid w:val="001465A6"/>
    <w:rsid w:val="00146633"/>
    <w:rsid w:val="00146838"/>
    <w:rsid w:val="0014699D"/>
    <w:rsid w:val="00146A36"/>
    <w:rsid w:val="00146B05"/>
    <w:rsid w:val="00146B54"/>
    <w:rsid w:val="00146B66"/>
    <w:rsid w:val="00146DBF"/>
    <w:rsid w:val="00146EA1"/>
    <w:rsid w:val="00146ECB"/>
    <w:rsid w:val="00146EE7"/>
    <w:rsid w:val="0014703D"/>
    <w:rsid w:val="0014705E"/>
    <w:rsid w:val="00147116"/>
    <w:rsid w:val="00147159"/>
    <w:rsid w:val="00147174"/>
    <w:rsid w:val="00147225"/>
    <w:rsid w:val="00147240"/>
    <w:rsid w:val="001472D5"/>
    <w:rsid w:val="001472E3"/>
    <w:rsid w:val="001473B3"/>
    <w:rsid w:val="0014746F"/>
    <w:rsid w:val="001474D9"/>
    <w:rsid w:val="00147595"/>
    <w:rsid w:val="001476A5"/>
    <w:rsid w:val="001476D8"/>
    <w:rsid w:val="001477F3"/>
    <w:rsid w:val="00147861"/>
    <w:rsid w:val="0014786F"/>
    <w:rsid w:val="001478DA"/>
    <w:rsid w:val="00147925"/>
    <w:rsid w:val="001479DF"/>
    <w:rsid w:val="00147C31"/>
    <w:rsid w:val="00147C79"/>
    <w:rsid w:val="00147D52"/>
    <w:rsid w:val="00147DD2"/>
    <w:rsid w:val="00147E4A"/>
    <w:rsid w:val="00147FA7"/>
    <w:rsid w:val="00147FD2"/>
    <w:rsid w:val="001500DD"/>
    <w:rsid w:val="001501BA"/>
    <w:rsid w:val="00150236"/>
    <w:rsid w:val="0015038A"/>
    <w:rsid w:val="001503C5"/>
    <w:rsid w:val="001504D6"/>
    <w:rsid w:val="001505AA"/>
    <w:rsid w:val="0015064B"/>
    <w:rsid w:val="001506F1"/>
    <w:rsid w:val="0015075B"/>
    <w:rsid w:val="00150858"/>
    <w:rsid w:val="00150883"/>
    <w:rsid w:val="0015091C"/>
    <w:rsid w:val="0015097D"/>
    <w:rsid w:val="00150981"/>
    <w:rsid w:val="0015098C"/>
    <w:rsid w:val="001509E0"/>
    <w:rsid w:val="00150B25"/>
    <w:rsid w:val="00150BDD"/>
    <w:rsid w:val="00150C03"/>
    <w:rsid w:val="00150C1A"/>
    <w:rsid w:val="00150C8B"/>
    <w:rsid w:val="00150D75"/>
    <w:rsid w:val="00150D9A"/>
    <w:rsid w:val="00150DF7"/>
    <w:rsid w:val="00150E2C"/>
    <w:rsid w:val="00150E2E"/>
    <w:rsid w:val="00150E52"/>
    <w:rsid w:val="00150E55"/>
    <w:rsid w:val="00150EC6"/>
    <w:rsid w:val="00150F62"/>
    <w:rsid w:val="00150F7B"/>
    <w:rsid w:val="00150FE1"/>
    <w:rsid w:val="0015105F"/>
    <w:rsid w:val="00151231"/>
    <w:rsid w:val="00151489"/>
    <w:rsid w:val="001514F6"/>
    <w:rsid w:val="00151557"/>
    <w:rsid w:val="001515F6"/>
    <w:rsid w:val="001516D5"/>
    <w:rsid w:val="001516DF"/>
    <w:rsid w:val="001516F6"/>
    <w:rsid w:val="00151711"/>
    <w:rsid w:val="0015174F"/>
    <w:rsid w:val="0015175C"/>
    <w:rsid w:val="001517C3"/>
    <w:rsid w:val="001517FF"/>
    <w:rsid w:val="0015182B"/>
    <w:rsid w:val="001518FA"/>
    <w:rsid w:val="00151900"/>
    <w:rsid w:val="00151948"/>
    <w:rsid w:val="00151962"/>
    <w:rsid w:val="00151A66"/>
    <w:rsid w:val="00151AF7"/>
    <w:rsid w:val="00151B59"/>
    <w:rsid w:val="00151B9E"/>
    <w:rsid w:val="00151BAD"/>
    <w:rsid w:val="00151C46"/>
    <w:rsid w:val="00151CC3"/>
    <w:rsid w:val="00151D15"/>
    <w:rsid w:val="00151E56"/>
    <w:rsid w:val="00151E8E"/>
    <w:rsid w:val="00151F49"/>
    <w:rsid w:val="00151F57"/>
    <w:rsid w:val="00151F95"/>
    <w:rsid w:val="0015207C"/>
    <w:rsid w:val="00152171"/>
    <w:rsid w:val="00152174"/>
    <w:rsid w:val="001521CF"/>
    <w:rsid w:val="0015220E"/>
    <w:rsid w:val="001522CA"/>
    <w:rsid w:val="001522FE"/>
    <w:rsid w:val="00152373"/>
    <w:rsid w:val="001523A1"/>
    <w:rsid w:val="0015251A"/>
    <w:rsid w:val="00152639"/>
    <w:rsid w:val="0015270E"/>
    <w:rsid w:val="00152732"/>
    <w:rsid w:val="001527BC"/>
    <w:rsid w:val="0015297C"/>
    <w:rsid w:val="001529F5"/>
    <w:rsid w:val="001529FD"/>
    <w:rsid w:val="00152A34"/>
    <w:rsid w:val="00152A50"/>
    <w:rsid w:val="00152AE0"/>
    <w:rsid w:val="00152C8C"/>
    <w:rsid w:val="00152CDD"/>
    <w:rsid w:val="00152D40"/>
    <w:rsid w:val="00152E2C"/>
    <w:rsid w:val="00153024"/>
    <w:rsid w:val="0015306D"/>
    <w:rsid w:val="00153190"/>
    <w:rsid w:val="001531A0"/>
    <w:rsid w:val="001531CB"/>
    <w:rsid w:val="001531E3"/>
    <w:rsid w:val="00153229"/>
    <w:rsid w:val="001533FE"/>
    <w:rsid w:val="00153456"/>
    <w:rsid w:val="001534BF"/>
    <w:rsid w:val="0015366B"/>
    <w:rsid w:val="0015369E"/>
    <w:rsid w:val="001536C0"/>
    <w:rsid w:val="001536CE"/>
    <w:rsid w:val="001536F7"/>
    <w:rsid w:val="00153706"/>
    <w:rsid w:val="0015370F"/>
    <w:rsid w:val="00153751"/>
    <w:rsid w:val="0015378F"/>
    <w:rsid w:val="00153810"/>
    <w:rsid w:val="001538B0"/>
    <w:rsid w:val="0015392A"/>
    <w:rsid w:val="0015396D"/>
    <w:rsid w:val="001539B8"/>
    <w:rsid w:val="00153A19"/>
    <w:rsid w:val="00153A57"/>
    <w:rsid w:val="00153A66"/>
    <w:rsid w:val="00153AE8"/>
    <w:rsid w:val="00153C19"/>
    <w:rsid w:val="00153CCB"/>
    <w:rsid w:val="00153D7B"/>
    <w:rsid w:val="00153E77"/>
    <w:rsid w:val="00153F11"/>
    <w:rsid w:val="00153FDD"/>
    <w:rsid w:val="00154012"/>
    <w:rsid w:val="0015421A"/>
    <w:rsid w:val="0015429B"/>
    <w:rsid w:val="00154318"/>
    <w:rsid w:val="00154327"/>
    <w:rsid w:val="001543BE"/>
    <w:rsid w:val="0015453A"/>
    <w:rsid w:val="001545C5"/>
    <w:rsid w:val="00154622"/>
    <w:rsid w:val="0015463E"/>
    <w:rsid w:val="001546F2"/>
    <w:rsid w:val="00154726"/>
    <w:rsid w:val="001547C2"/>
    <w:rsid w:val="00154814"/>
    <w:rsid w:val="00154865"/>
    <w:rsid w:val="00154880"/>
    <w:rsid w:val="0015493F"/>
    <w:rsid w:val="00154A2F"/>
    <w:rsid w:val="00154A33"/>
    <w:rsid w:val="00154A58"/>
    <w:rsid w:val="00154AC4"/>
    <w:rsid w:val="00154B51"/>
    <w:rsid w:val="00154B67"/>
    <w:rsid w:val="00154BA2"/>
    <w:rsid w:val="00154C23"/>
    <w:rsid w:val="00154CD7"/>
    <w:rsid w:val="00154CF0"/>
    <w:rsid w:val="00154D3F"/>
    <w:rsid w:val="00154D77"/>
    <w:rsid w:val="00154EE3"/>
    <w:rsid w:val="00154F1A"/>
    <w:rsid w:val="00154F41"/>
    <w:rsid w:val="00154F4D"/>
    <w:rsid w:val="00155023"/>
    <w:rsid w:val="00155086"/>
    <w:rsid w:val="001550A7"/>
    <w:rsid w:val="001550AE"/>
    <w:rsid w:val="00155136"/>
    <w:rsid w:val="0015513C"/>
    <w:rsid w:val="00155239"/>
    <w:rsid w:val="001552C0"/>
    <w:rsid w:val="00155364"/>
    <w:rsid w:val="0015536E"/>
    <w:rsid w:val="001554A0"/>
    <w:rsid w:val="0015553F"/>
    <w:rsid w:val="00155651"/>
    <w:rsid w:val="00155699"/>
    <w:rsid w:val="001556A7"/>
    <w:rsid w:val="001558A3"/>
    <w:rsid w:val="001559E8"/>
    <w:rsid w:val="00155AA0"/>
    <w:rsid w:val="00155B21"/>
    <w:rsid w:val="00155B54"/>
    <w:rsid w:val="00155C52"/>
    <w:rsid w:val="00155CE4"/>
    <w:rsid w:val="00155CEC"/>
    <w:rsid w:val="00155F0E"/>
    <w:rsid w:val="00155FE1"/>
    <w:rsid w:val="00156041"/>
    <w:rsid w:val="001560E1"/>
    <w:rsid w:val="0015617F"/>
    <w:rsid w:val="001562F8"/>
    <w:rsid w:val="00156373"/>
    <w:rsid w:val="0015637A"/>
    <w:rsid w:val="0015638B"/>
    <w:rsid w:val="00156471"/>
    <w:rsid w:val="00156617"/>
    <w:rsid w:val="00156625"/>
    <w:rsid w:val="0015670B"/>
    <w:rsid w:val="00156714"/>
    <w:rsid w:val="00156804"/>
    <w:rsid w:val="0015681F"/>
    <w:rsid w:val="00156861"/>
    <w:rsid w:val="00156875"/>
    <w:rsid w:val="00156897"/>
    <w:rsid w:val="001568A6"/>
    <w:rsid w:val="001569A2"/>
    <w:rsid w:val="001569DB"/>
    <w:rsid w:val="001569F3"/>
    <w:rsid w:val="001569F7"/>
    <w:rsid w:val="00156A20"/>
    <w:rsid w:val="00156A3A"/>
    <w:rsid w:val="00156B1A"/>
    <w:rsid w:val="00156B44"/>
    <w:rsid w:val="00156C24"/>
    <w:rsid w:val="00156DDD"/>
    <w:rsid w:val="00156F83"/>
    <w:rsid w:val="00156FD9"/>
    <w:rsid w:val="00157012"/>
    <w:rsid w:val="00157116"/>
    <w:rsid w:val="001572C6"/>
    <w:rsid w:val="001572E5"/>
    <w:rsid w:val="0015737F"/>
    <w:rsid w:val="0015739A"/>
    <w:rsid w:val="0015754A"/>
    <w:rsid w:val="0015756B"/>
    <w:rsid w:val="001575E6"/>
    <w:rsid w:val="0015764B"/>
    <w:rsid w:val="0015778B"/>
    <w:rsid w:val="00157820"/>
    <w:rsid w:val="001579F6"/>
    <w:rsid w:val="00157A03"/>
    <w:rsid w:val="00157C33"/>
    <w:rsid w:val="00157CB3"/>
    <w:rsid w:val="00157D0F"/>
    <w:rsid w:val="00157D6A"/>
    <w:rsid w:val="00157D75"/>
    <w:rsid w:val="00157DDC"/>
    <w:rsid w:val="00157E4E"/>
    <w:rsid w:val="00157F1E"/>
    <w:rsid w:val="00157F8B"/>
    <w:rsid w:val="00160203"/>
    <w:rsid w:val="001602C1"/>
    <w:rsid w:val="00160316"/>
    <w:rsid w:val="00160330"/>
    <w:rsid w:val="00160372"/>
    <w:rsid w:val="001603F5"/>
    <w:rsid w:val="00160423"/>
    <w:rsid w:val="00160472"/>
    <w:rsid w:val="001606CB"/>
    <w:rsid w:val="00160834"/>
    <w:rsid w:val="00160946"/>
    <w:rsid w:val="00160ABE"/>
    <w:rsid w:val="00160C15"/>
    <w:rsid w:val="00160C3B"/>
    <w:rsid w:val="00160DDE"/>
    <w:rsid w:val="00160EF2"/>
    <w:rsid w:val="00160F55"/>
    <w:rsid w:val="0016105B"/>
    <w:rsid w:val="001610BE"/>
    <w:rsid w:val="001610FB"/>
    <w:rsid w:val="00161282"/>
    <w:rsid w:val="001612FA"/>
    <w:rsid w:val="00161512"/>
    <w:rsid w:val="00161661"/>
    <w:rsid w:val="001618C6"/>
    <w:rsid w:val="001619D0"/>
    <w:rsid w:val="00161ABA"/>
    <w:rsid w:val="00161AE5"/>
    <w:rsid w:val="00161B3D"/>
    <w:rsid w:val="00161C33"/>
    <w:rsid w:val="00161D75"/>
    <w:rsid w:val="00161DC8"/>
    <w:rsid w:val="00161F6B"/>
    <w:rsid w:val="001623B7"/>
    <w:rsid w:val="00162420"/>
    <w:rsid w:val="00162430"/>
    <w:rsid w:val="00162562"/>
    <w:rsid w:val="001625D9"/>
    <w:rsid w:val="00162655"/>
    <w:rsid w:val="0016265D"/>
    <w:rsid w:val="00162660"/>
    <w:rsid w:val="001626B2"/>
    <w:rsid w:val="00162779"/>
    <w:rsid w:val="00162842"/>
    <w:rsid w:val="00162848"/>
    <w:rsid w:val="00162887"/>
    <w:rsid w:val="001628F5"/>
    <w:rsid w:val="00162928"/>
    <w:rsid w:val="0016299C"/>
    <w:rsid w:val="00162A0B"/>
    <w:rsid w:val="00162A8B"/>
    <w:rsid w:val="00162C3B"/>
    <w:rsid w:val="00162C56"/>
    <w:rsid w:val="00162C6A"/>
    <w:rsid w:val="00162CCC"/>
    <w:rsid w:val="00162D02"/>
    <w:rsid w:val="00162E5C"/>
    <w:rsid w:val="00162E7D"/>
    <w:rsid w:val="00163110"/>
    <w:rsid w:val="0016312B"/>
    <w:rsid w:val="00163138"/>
    <w:rsid w:val="001631F6"/>
    <w:rsid w:val="001631F7"/>
    <w:rsid w:val="0016322B"/>
    <w:rsid w:val="001632B8"/>
    <w:rsid w:val="001632F0"/>
    <w:rsid w:val="001632F5"/>
    <w:rsid w:val="001633BC"/>
    <w:rsid w:val="00163441"/>
    <w:rsid w:val="00163563"/>
    <w:rsid w:val="0016358C"/>
    <w:rsid w:val="0016361F"/>
    <w:rsid w:val="0016362B"/>
    <w:rsid w:val="0016368C"/>
    <w:rsid w:val="00163700"/>
    <w:rsid w:val="00163750"/>
    <w:rsid w:val="001637A7"/>
    <w:rsid w:val="00163939"/>
    <w:rsid w:val="0016396E"/>
    <w:rsid w:val="00163979"/>
    <w:rsid w:val="00163A11"/>
    <w:rsid w:val="00163B22"/>
    <w:rsid w:val="00163C60"/>
    <w:rsid w:val="00163CCD"/>
    <w:rsid w:val="00163D75"/>
    <w:rsid w:val="00163E95"/>
    <w:rsid w:val="00163EC5"/>
    <w:rsid w:val="00163EC8"/>
    <w:rsid w:val="00163FB6"/>
    <w:rsid w:val="00163FE6"/>
    <w:rsid w:val="001641DE"/>
    <w:rsid w:val="00164299"/>
    <w:rsid w:val="001642AC"/>
    <w:rsid w:val="001643EC"/>
    <w:rsid w:val="001644A6"/>
    <w:rsid w:val="001644CF"/>
    <w:rsid w:val="00164539"/>
    <w:rsid w:val="001648C8"/>
    <w:rsid w:val="00164937"/>
    <w:rsid w:val="00164963"/>
    <w:rsid w:val="00164AA2"/>
    <w:rsid w:val="00164C16"/>
    <w:rsid w:val="00164C28"/>
    <w:rsid w:val="00164CAC"/>
    <w:rsid w:val="00164D15"/>
    <w:rsid w:val="00164D29"/>
    <w:rsid w:val="00164D95"/>
    <w:rsid w:val="00164DA0"/>
    <w:rsid w:val="00164E1C"/>
    <w:rsid w:val="00164E63"/>
    <w:rsid w:val="00164E9F"/>
    <w:rsid w:val="00164F9E"/>
    <w:rsid w:val="00164FCD"/>
    <w:rsid w:val="00164FDE"/>
    <w:rsid w:val="00165093"/>
    <w:rsid w:val="001650FE"/>
    <w:rsid w:val="00165117"/>
    <w:rsid w:val="00165138"/>
    <w:rsid w:val="00165223"/>
    <w:rsid w:val="00165452"/>
    <w:rsid w:val="00165459"/>
    <w:rsid w:val="00165483"/>
    <w:rsid w:val="001654DF"/>
    <w:rsid w:val="00165511"/>
    <w:rsid w:val="00165581"/>
    <w:rsid w:val="001655D3"/>
    <w:rsid w:val="001655D7"/>
    <w:rsid w:val="001655FA"/>
    <w:rsid w:val="00165629"/>
    <w:rsid w:val="0016567F"/>
    <w:rsid w:val="00165705"/>
    <w:rsid w:val="001657CD"/>
    <w:rsid w:val="001658FB"/>
    <w:rsid w:val="00165B0C"/>
    <w:rsid w:val="00165C5E"/>
    <w:rsid w:val="00165C63"/>
    <w:rsid w:val="00165DB3"/>
    <w:rsid w:val="00165E73"/>
    <w:rsid w:val="00165E93"/>
    <w:rsid w:val="00165ED0"/>
    <w:rsid w:val="00165F53"/>
    <w:rsid w:val="00165FB0"/>
    <w:rsid w:val="00166022"/>
    <w:rsid w:val="001660B8"/>
    <w:rsid w:val="001660D6"/>
    <w:rsid w:val="0016615B"/>
    <w:rsid w:val="001661A3"/>
    <w:rsid w:val="001661FE"/>
    <w:rsid w:val="00166275"/>
    <w:rsid w:val="001662C5"/>
    <w:rsid w:val="001662E8"/>
    <w:rsid w:val="00166308"/>
    <w:rsid w:val="0016632E"/>
    <w:rsid w:val="001663B5"/>
    <w:rsid w:val="001663F7"/>
    <w:rsid w:val="00166418"/>
    <w:rsid w:val="00166542"/>
    <w:rsid w:val="001665A3"/>
    <w:rsid w:val="001665BA"/>
    <w:rsid w:val="001665C3"/>
    <w:rsid w:val="001666D7"/>
    <w:rsid w:val="00166700"/>
    <w:rsid w:val="00166783"/>
    <w:rsid w:val="0016685E"/>
    <w:rsid w:val="001668C8"/>
    <w:rsid w:val="001668D1"/>
    <w:rsid w:val="00166968"/>
    <w:rsid w:val="001669E2"/>
    <w:rsid w:val="00166A69"/>
    <w:rsid w:val="00166A9F"/>
    <w:rsid w:val="00166AA6"/>
    <w:rsid w:val="00166B27"/>
    <w:rsid w:val="00166B32"/>
    <w:rsid w:val="00166B69"/>
    <w:rsid w:val="00166CB4"/>
    <w:rsid w:val="00166CE0"/>
    <w:rsid w:val="00166D33"/>
    <w:rsid w:val="00166E20"/>
    <w:rsid w:val="00166E30"/>
    <w:rsid w:val="00166EF5"/>
    <w:rsid w:val="00166F0F"/>
    <w:rsid w:val="00166FE7"/>
    <w:rsid w:val="0016708E"/>
    <w:rsid w:val="001670AB"/>
    <w:rsid w:val="001670CD"/>
    <w:rsid w:val="0016736D"/>
    <w:rsid w:val="0016737E"/>
    <w:rsid w:val="001673A0"/>
    <w:rsid w:val="001673E7"/>
    <w:rsid w:val="001674C2"/>
    <w:rsid w:val="0016762C"/>
    <w:rsid w:val="00167852"/>
    <w:rsid w:val="00167855"/>
    <w:rsid w:val="00167884"/>
    <w:rsid w:val="001678C0"/>
    <w:rsid w:val="001679E5"/>
    <w:rsid w:val="00167A48"/>
    <w:rsid w:val="00167AEF"/>
    <w:rsid w:val="00167B0F"/>
    <w:rsid w:val="00167B70"/>
    <w:rsid w:val="00167ECD"/>
    <w:rsid w:val="00167FF6"/>
    <w:rsid w:val="00170063"/>
    <w:rsid w:val="00170167"/>
    <w:rsid w:val="00170198"/>
    <w:rsid w:val="00170286"/>
    <w:rsid w:val="0017035A"/>
    <w:rsid w:val="0017037E"/>
    <w:rsid w:val="0017037F"/>
    <w:rsid w:val="0017052D"/>
    <w:rsid w:val="001705F2"/>
    <w:rsid w:val="00170606"/>
    <w:rsid w:val="00170637"/>
    <w:rsid w:val="00170639"/>
    <w:rsid w:val="001706D6"/>
    <w:rsid w:val="00170727"/>
    <w:rsid w:val="0017078A"/>
    <w:rsid w:val="0017078B"/>
    <w:rsid w:val="00170862"/>
    <w:rsid w:val="0017086F"/>
    <w:rsid w:val="001708C7"/>
    <w:rsid w:val="001708DE"/>
    <w:rsid w:val="00170A46"/>
    <w:rsid w:val="00170AAE"/>
    <w:rsid w:val="00170C0D"/>
    <w:rsid w:val="00170C30"/>
    <w:rsid w:val="00170C4C"/>
    <w:rsid w:val="00170C61"/>
    <w:rsid w:val="00170C9F"/>
    <w:rsid w:val="00170CA4"/>
    <w:rsid w:val="00170D04"/>
    <w:rsid w:val="00170E31"/>
    <w:rsid w:val="00170F5F"/>
    <w:rsid w:val="001710E8"/>
    <w:rsid w:val="001712C4"/>
    <w:rsid w:val="0017149F"/>
    <w:rsid w:val="0017153E"/>
    <w:rsid w:val="001715F6"/>
    <w:rsid w:val="00171608"/>
    <w:rsid w:val="001716D4"/>
    <w:rsid w:val="00171715"/>
    <w:rsid w:val="00171716"/>
    <w:rsid w:val="00171788"/>
    <w:rsid w:val="001717F6"/>
    <w:rsid w:val="00171A4B"/>
    <w:rsid w:val="00171A9C"/>
    <w:rsid w:val="00171B8A"/>
    <w:rsid w:val="00171C21"/>
    <w:rsid w:val="00171D84"/>
    <w:rsid w:val="00171DB5"/>
    <w:rsid w:val="00171DB6"/>
    <w:rsid w:val="00171DD2"/>
    <w:rsid w:val="00171F0B"/>
    <w:rsid w:val="00171F21"/>
    <w:rsid w:val="00171F29"/>
    <w:rsid w:val="00171FE9"/>
    <w:rsid w:val="00172052"/>
    <w:rsid w:val="0017206A"/>
    <w:rsid w:val="0017210F"/>
    <w:rsid w:val="001721B9"/>
    <w:rsid w:val="001721EF"/>
    <w:rsid w:val="00172200"/>
    <w:rsid w:val="00172356"/>
    <w:rsid w:val="001723B1"/>
    <w:rsid w:val="00172420"/>
    <w:rsid w:val="00172630"/>
    <w:rsid w:val="0017269B"/>
    <w:rsid w:val="0017274E"/>
    <w:rsid w:val="00172831"/>
    <w:rsid w:val="001728B6"/>
    <w:rsid w:val="0017296D"/>
    <w:rsid w:val="00172A97"/>
    <w:rsid w:val="00172A9E"/>
    <w:rsid w:val="00172BCF"/>
    <w:rsid w:val="00172D05"/>
    <w:rsid w:val="00172E64"/>
    <w:rsid w:val="00172F8D"/>
    <w:rsid w:val="00173097"/>
    <w:rsid w:val="0017309C"/>
    <w:rsid w:val="001730C0"/>
    <w:rsid w:val="00173138"/>
    <w:rsid w:val="0017314D"/>
    <w:rsid w:val="00173324"/>
    <w:rsid w:val="00173362"/>
    <w:rsid w:val="00173471"/>
    <w:rsid w:val="001736BD"/>
    <w:rsid w:val="001736DA"/>
    <w:rsid w:val="00173818"/>
    <w:rsid w:val="00173860"/>
    <w:rsid w:val="0017389C"/>
    <w:rsid w:val="001739AF"/>
    <w:rsid w:val="001739D2"/>
    <w:rsid w:val="00173AFF"/>
    <w:rsid w:val="00173B15"/>
    <w:rsid w:val="00173B9A"/>
    <w:rsid w:val="00173BCA"/>
    <w:rsid w:val="00173BD7"/>
    <w:rsid w:val="00173BDD"/>
    <w:rsid w:val="00173BE4"/>
    <w:rsid w:val="00173C48"/>
    <w:rsid w:val="00173D50"/>
    <w:rsid w:val="00173DD7"/>
    <w:rsid w:val="00173DF0"/>
    <w:rsid w:val="00173E1B"/>
    <w:rsid w:val="00173E2F"/>
    <w:rsid w:val="00173E8A"/>
    <w:rsid w:val="00173F04"/>
    <w:rsid w:val="001740EB"/>
    <w:rsid w:val="00174141"/>
    <w:rsid w:val="00174157"/>
    <w:rsid w:val="0017433A"/>
    <w:rsid w:val="00174347"/>
    <w:rsid w:val="001745BA"/>
    <w:rsid w:val="001745D1"/>
    <w:rsid w:val="001745D3"/>
    <w:rsid w:val="001747F6"/>
    <w:rsid w:val="001748AB"/>
    <w:rsid w:val="001748E1"/>
    <w:rsid w:val="00174AD1"/>
    <w:rsid w:val="00174B94"/>
    <w:rsid w:val="00174C75"/>
    <w:rsid w:val="00174D69"/>
    <w:rsid w:val="00174F05"/>
    <w:rsid w:val="00174F62"/>
    <w:rsid w:val="0017522B"/>
    <w:rsid w:val="001753C2"/>
    <w:rsid w:val="00175440"/>
    <w:rsid w:val="001754EA"/>
    <w:rsid w:val="00175548"/>
    <w:rsid w:val="0017559A"/>
    <w:rsid w:val="001755F6"/>
    <w:rsid w:val="0017565E"/>
    <w:rsid w:val="001758A2"/>
    <w:rsid w:val="0017590A"/>
    <w:rsid w:val="00175991"/>
    <w:rsid w:val="001759D4"/>
    <w:rsid w:val="001759F1"/>
    <w:rsid w:val="00175AD8"/>
    <w:rsid w:val="00175AEA"/>
    <w:rsid w:val="00175B1D"/>
    <w:rsid w:val="00175CD7"/>
    <w:rsid w:val="00175D47"/>
    <w:rsid w:val="00175D9B"/>
    <w:rsid w:val="00175E6C"/>
    <w:rsid w:val="00175F06"/>
    <w:rsid w:val="00175F9E"/>
    <w:rsid w:val="00175FAC"/>
    <w:rsid w:val="0017609B"/>
    <w:rsid w:val="00176124"/>
    <w:rsid w:val="001761AD"/>
    <w:rsid w:val="0017633E"/>
    <w:rsid w:val="001765B7"/>
    <w:rsid w:val="00176692"/>
    <w:rsid w:val="00176702"/>
    <w:rsid w:val="001767D0"/>
    <w:rsid w:val="00176877"/>
    <w:rsid w:val="001768B9"/>
    <w:rsid w:val="0017699E"/>
    <w:rsid w:val="001769ED"/>
    <w:rsid w:val="00176A5A"/>
    <w:rsid w:val="00176C5B"/>
    <w:rsid w:val="00176CBA"/>
    <w:rsid w:val="00176D1F"/>
    <w:rsid w:val="00176DE5"/>
    <w:rsid w:val="00176DF8"/>
    <w:rsid w:val="00176E74"/>
    <w:rsid w:val="00176E8D"/>
    <w:rsid w:val="00176FA7"/>
    <w:rsid w:val="0017701F"/>
    <w:rsid w:val="001770B0"/>
    <w:rsid w:val="00177108"/>
    <w:rsid w:val="00177220"/>
    <w:rsid w:val="0017739C"/>
    <w:rsid w:val="0017740D"/>
    <w:rsid w:val="00177534"/>
    <w:rsid w:val="0017777A"/>
    <w:rsid w:val="001777D6"/>
    <w:rsid w:val="001777F4"/>
    <w:rsid w:val="001778DA"/>
    <w:rsid w:val="00177926"/>
    <w:rsid w:val="0017798F"/>
    <w:rsid w:val="00177AE1"/>
    <w:rsid w:val="00177AEE"/>
    <w:rsid w:val="00177AFF"/>
    <w:rsid w:val="00177CDA"/>
    <w:rsid w:val="00177CF4"/>
    <w:rsid w:val="00177D1B"/>
    <w:rsid w:val="00177DD5"/>
    <w:rsid w:val="00177E42"/>
    <w:rsid w:val="00177E54"/>
    <w:rsid w:val="00177FE4"/>
    <w:rsid w:val="0018009C"/>
    <w:rsid w:val="001800CC"/>
    <w:rsid w:val="00180124"/>
    <w:rsid w:val="00180235"/>
    <w:rsid w:val="001802FC"/>
    <w:rsid w:val="0018034F"/>
    <w:rsid w:val="001803E5"/>
    <w:rsid w:val="00180414"/>
    <w:rsid w:val="001804C0"/>
    <w:rsid w:val="00180572"/>
    <w:rsid w:val="0018063F"/>
    <w:rsid w:val="001806A2"/>
    <w:rsid w:val="0018078E"/>
    <w:rsid w:val="001807B0"/>
    <w:rsid w:val="001807DB"/>
    <w:rsid w:val="00180895"/>
    <w:rsid w:val="00180B11"/>
    <w:rsid w:val="00180C04"/>
    <w:rsid w:val="00180C18"/>
    <w:rsid w:val="00180C19"/>
    <w:rsid w:val="00180D4C"/>
    <w:rsid w:val="00180DEB"/>
    <w:rsid w:val="00180E43"/>
    <w:rsid w:val="00180EDF"/>
    <w:rsid w:val="00181190"/>
    <w:rsid w:val="0018122A"/>
    <w:rsid w:val="00181249"/>
    <w:rsid w:val="0018137B"/>
    <w:rsid w:val="001813A8"/>
    <w:rsid w:val="0018147E"/>
    <w:rsid w:val="00181550"/>
    <w:rsid w:val="0018156B"/>
    <w:rsid w:val="001815EA"/>
    <w:rsid w:val="00181651"/>
    <w:rsid w:val="00181663"/>
    <w:rsid w:val="001817C5"/>
    <w:rsid w:val="00181931"/>
    <w:rsid w:val="00181939"/>
    <w:rsid w:val="0018193A"/>
    <w:rsid w:val="0018199F"/>
    <w:rsid w:val="00181A34"/>
    <w:rsid w:val="00181AC1"/>
    <w:rsid w:val="00181C02"/>
    <w:rsid w:val="00181D3E"/>
    <w:rsid w:val="00181E7E"/>
    <w:rsid w:val="00181FF7"/>
    <w:rsid w:val="00182031"/>
    <w:rsid w:val="00182037"/>
    <w:rsid w:val="001820F9"/>
    <w:rsid w:val="0018216A"/>
    <w:rsid w:val="00182261"/>
    <w:rsid w:val="00182413"/>
    <w:rsid w:val="001824C5"/>
    <w:rsid w:val="00182573"/>
    <w:rsid w:val="0018258A"/>
    <w:rsid w:val="001825A7"/>
    <w:rsid w:val="001825D5"/>
    <w:rsid w:val="00182608"/>
    <w:rsid w:val="0018276B"/>
    <w:rsid w:val="001827A4"/>
    <w:rsid w:val="0018283C"/>
    <w:rsid w:val="001828C8"/>
    <w:rsid w:val="00182954"/>
    <w:rsid w:val="00182BC3"/>
    <w:rsid w:val="00182BFF"/>
    <w:rsid w:val="00182C70"/>
    <w:rsid w:val="00182C90"/>
    <w:rsid w:val="00182CA0"/>
    <w:rsid w:val="00182D3C"/>
    <w:rsid w:val="00182DB7"/>
    <w:rsid w:val="00182DE2"/>
    <w:rsid w:val="00182E32"/>
    <w:rsid w:val="00182EB9"/>
    <w:rsid w:val="00182EEC"/>
    <w:rsid w:val="00182EFD"/>
    <w:rsid w:val="00182F19"/>
    <w:rsid w:val="00182F59"/>
    <w:rsid w:val="00182FD0"/>
    <w:rsid w:val="00183011"/>
    <w:rsid w:val="00183039"/>
    <w:rsid w:val="00183283"/>
    <w:rsid w:val="001833B0"/>
    <w:rsid w:val="001833F3"/>
    <w:rsid w:val="001834FD"/>
    <w:rsid w:val="00183595"/>
    <w:rsid w:val="001835F5"/>
    <w:rsid w:val="0018391B"/>
    <w:rsid w:val="001839B2"/>
    <w:rsid w:val="00183B13"/>
    <w:rsid w:val="00183B1A"/>
    <w:rsid w:val="00183B34"/>
    <w:rsid w:val="00183B67"/>
    <w:rsid w:val="00183B86"/>
    <w:rsid w:val="00183C68"/>
    <w:rsid w:val="00183C7C"/>
    <w:rsid w:val="00183CA8"/>
    <w:rsid w:val="00183CE6"/>
    <w:rsid w:val="00183CE8"/>
    <w:rsid w:val="00183CF0"/>
    <w:rsid w:val="00183E61"/>
    <w:rsid w:val="00183EF3"/>
    <w:rsid w:val="00183F0C"/>
    <w:rsid w:val="00184014"/>
    <w:rsid w:val="00184030"/>
    <w:rsid w:val="0018407E"/>
    <w:rsid w:val="0018412B"/>
    <w:rsid w:val="00184201"/>
    <w:rsid w:val="00184247"/>
    <w:rsid w:val="00184372"/>
    <w:rsid w:val="001843DF"/>
    <w:rsid w:val="00184476"/>
    <w:rsid w:val="001844CD"/>
    <w:rsid w:val="001844F2"/>
    <w:rsid w:val="001845DF"/>
    <w:rsid w:val="00184600"/>
    <w:rsid w:val="001846DE"/>
    <w:rsid w:val="00184789"/>
    <w:rsid w:val="00184798"/>
    <w:rsid w:val="00184806"/>
    <w:rsid w:val="00184853"/>
    <w:rsid w:val="00184871"/>
    <w:rsid w:val="001848A4"/>
    <w:rsid w:val="00184902"/>
    <w:rsid w:val="00184AE7"/>
    <w:rsid w:val="00184BF3"/>
    <w:rsid w:val="00184C00"/>
    <w:rsid w:val="00184C6E"/>
    <w:rsid w:val="00184CF0"/>
    <w:rsid w:val="00184D1E"/>
    <w:rsid w:val="00184D5D"/>
    <w:rsid w:val="00184EAE"/>
    <w:rsid w:val="00184F47"/>
    <w:rsid w:val="00184FB1"/>
    <w:rsid w:val="00184FD8"/>
    <w:rsid w:val="00184FE9"/>
    <w:rsid w:val="00184FF6"/>
    <w:rsid w:val="00185110"/>
    <w:rsid w:val="00185206"/>
    <w:rsid w:val="00185237"/>
    <w:rsid w:val="00185239"/>
    <w:rsid w:val="00185253"/>
    <w:rsid w:val="001853F5"/>
    <w:rsid w:val="00185494"/>
    <w:rsid w:val="001854CB"/>
    <w:rsid w:val="0018557F"/>
    <w:rsid w:val="0018566A"/>
    <w:rsid w:val="001856EA"/>
    <w:rsid w:val="00185732"/>
    <w:rsid w:val="001858A2"/>
    <w:rsid w:val="00185947"/>
    <w:rsid w:val="00185998"/>
    <w:rsid w:val="001859BB"/>
    <w:rsid w:val="00185A68"/>
    <w:rsid w:val="00185AC7"/>
    <w:rsid w:val="00185AEC"/>
    <w:rsid w:val="00185BCE"/>
    <w:rsid w:val="00185C40"/>
    <w:rsid w:val="00185D09"/>
    <w:rsid w:val="00185E39"/>
    <w:rsid w:val="00185E59"/>
    <w:rsid w:val="00185E89"/>
    <w:rsid w:val="00185F58"/>
    <w:rsid w:val="001862E9"/>
    <w:rsid w:val="001864FE"/>
    <w:rsid w:val="00186544"/>
    <w:rsid w:val="001865B5"/>
    <w:rsid w:val="001865BD"/>
    <w:rsid w:val="001866FE"/>
    <w:rsid w:val="001867C9"/>
    <w:rsid w:val="001867D1"/>
    <w:rsid w:val="001868BD"/>
    <w:rsid w:val="001868E8"/>
    <w:rsid w:val="00186938"/>
    <w:rsid w:val="0018695B"/>
    <w:rsid w:val="00186BB1"/>
    <w:rsid w:val="00186C1C"/>
    <w:rsid w:val="00186CA0"/>
    <w:rsid w:val="00186CFF"/>
    <w:rsid w:val="00186E28"/>
    <w:rsid w:val="00186E3A"/>
    <w:rsid w:val="00186E95"/>
    <w:rsid w:val="00186FA7"/>
    <w:rsid w:val="001870A5"/>
    <w:rsid w:val="0018734B"/>
    <w:rsid w:val="00187357"/>
    <w:rsid w:val="001873B5"/>
    <w:rsid w:val="001873C4"/>
    <w:rsid w:val="0018759B"/>
    <w:rsid w:val="001875FB"/>
    <w:rsid w:val="00187630"/>
    <w:rsid w:val="001876C6"/>
    <w:rsid w:val="00187A06"/>
    <w:rsid w:val="00187A37"/>
    <w:rsid w:val="00187A54"/>
    <w:rsid w:val="00187A7D"/>
    <w:rsid w:val="00187BD9"/>
    <w:rsid w:val="00187C5D"/>
    <w:rsid w:val="00187C86"/>
    <w:rsid w:val="00187C93"/>
    <w:rsid w:val="00187E13"/>
    <w:rsid w:val="00187E6A"/>
    <w:rsid w:val="0019014A"/>
    <w:rsid w:val="0019014C"/>
    <w:rsid w:val="0019015A"/>
    <w:rsid w:val="0019024A"/>
    <w:rsid w:val="001903DC"/>
    <w:rsid w:val="00190423"/>
    <w:rsid w:val="001904BC"/>
    <w:rsid w:val="00190523"/>
    <w:rsid w:val="0019054E"/>
    <w:rsid w:val="00190594"/>
    <w:rsid w:val="001905E2"/>
    <w:rsid w:val="00190626"/>
    <w:rsid w:val="00190635"/>
    <w:rsid w:val="0019064A"/>
    <w:rsid w:val="00190845"/>
    <w:rsid w:val="0019093D"/>
    <w:rsid w:val="001909C4"/>
    <w:rsid w:val="001909F7"/>
    <w:rsid w:val="00190C50"/>
    <w:rsid w:val="00190C66"/>
    <w:rsid w:val="00190CD6"/>
    <w:rsid w:val="00190D28"/>
    <w:rsid w:val="00190F5C"/>
    <w:rsid w:val="00190F88"/>
    <w:rsid w:val="00190FDD"/>
    <w:rsid w:val="0019101E"/>
    <w:rsid w:val="001910A9"/>
    <w:rsid w:val="00191117"/>
    <w:rsid w:val="00191191"/>
    <w:rsid w:val="001912B4"/>
    <w:rsid w:val="001912DB"/>
    <w:rsid w:val="0019134B"/>
    <w:rsid w:val="00191360"/>
    <w:rsid w:val="0019155E"/>
    <w:rsid w:val="001915BE"/>
    <w:rsid w:val="0019161D"/>
    <w:rsid w:val="001916CE"/>
    <w:rsid w:val="001916DF"/>
    <w:rsid w:val="0019184F"/>
    <w:rsid w:val="001918A7"/>
    <w:rsid w:val="001918FB"/>
    <w:rsid w:val="0019192F"/>
    <w:rsid w:val="00191A5A"/>
    <w:rsid w:val="00191A91"/>
    <w:rsid w:val="00191B21"/>
    <w:rsid w:val="00191BFC"/>
    <w:rsid w:val="00191C2E"/>
    <w:rsid w:val="00191DDA"/>
    <w:rsid w:val="00191E67"/>
    <w:rsid w:val="00192008"/>
    <w:rsid w:val="0019213B"/>
    <w:rsid w:val="00192183"/>
    <w:rsid w:val="001921E5"/>
    <w:rsid w:val="00192392"/>
    <w:rsid w:val="00192395"/>
    <w:rsid w:val="00192450"/>
    <w:rsid w:val="001924F3"/>
    <w:rsid w:val="00192533"/>
    <w:rsid w:val="001926EC"/>
    <w:rsid w:val="00192777"/>
    <w:rsid w:val="001929F0"/>
    <w:rsid w:val="00192A68"/>
    <w:rsid w:val="00192B4C"/>
    <w:rsid w:val="00192BAA"/>
    <w:rsid w:val="00192DF8"/>
    <w:rsid w:val="00192F13"/>
    <w:rsid w:val="00192FA3"/>
    <w:rsid w:val="0019320B"/>
    <w:rsid w:val="00193231"/>
    <w:rsid w:val="001932A8"/>
    <w:rsid w:val="001932AF"/>
    <w:rsid w:val="001932F0"/>
    <w:rsid w:val="001933BE"/>
    <w:rsid w:val="001934EB"/>
    <w:rsid w:val="0019363D"/>
    <w:rsid w:val="001936EE"/>
    <w:rsid w:val="001937DE"/>
    <w:rsid w:val="0019384C"/>
    <w:rsid w:val="00193BB4"/>
    <w:rsid w:val="00193BE8"/>
    <w:rsid w:val="00193CB8"/>
    <w:rsid w:val="00193DA1"/>
    <w:rsid w:val="00193DB1"/>
    <w:rsid w:val="00193DCE"/>
    <w:rsid w:val="00193FF2"/>
    <w:rsid w:val="00193FFC"/>
    <w:rsid w:val="00194062"/>
    <w:rsid w:val="001941B5"/>
    <w:rsid w:val="00194211"/>
    <w:rsid w:val="00194220"/>
    <w:rsid w:val="00194254"/>
    <w:rsid w:val="001942BD"/>
    <w:rsid w:val="001942DC"/>
    <w:rsid w:val="00194346"/>
    <w:rsid w:val="0019437E"/>
    <w:rsid w:val="00194476"/>
    <w:rsid w:val="0019447E"/>
    <w:rsid w:val="00194563"/>
    <w:rsid w:val="00194820"/>
    <w:rsid w:val="001948B2"/>
    <w:rsid w:val="0019498B"/>
    <w:rsid w:val="00194A12"/>
    <w:rsid w:val="00194A65"/>
    <w:rsid w:val="00194B8A"/>
    <w:rsid w:val="00194D72"/>
    <w:rsid w:val="00194E42"/>
    <w:rsid w:val="00194E6C"/>
    <w:rsid w:val="00194F2C"/>
    <w:rsid w:val="00195000"/>
    <w:rsid w:val="00195078"/>
    <w:rsid w:val="00195196"/>
    <w:rsid w:val="00195420"/>
    <w:rsid w:val="00195463"/>
    <w:rsid w:val="0019547A"/>
    <w:rsid w:val="00195515"/>
    <w:rsid w:val="001955B5"/>
    <w:rsid w:val="001955BD"/>
    <w:rsid w:val="00195760"/>
    <w:rsid w:val="001957C8"/>
    <w:rsid w:val="0019588D"/>
    <w:rsid w:val="0019599C"/>
    <w:rsid w:val="001959BB"/>
    <w:rsid w:val="00195BE6"/>
    <w:rsid w:val="00195C23"/>
    <w:rsid w:val="00195C2D"/>
    <w:rsid w:val="00195D19"/>
    <w:rsid w:val="00195E28"/>
    <w:rsid w:val="00195ED8"/>
    <w:rsid w:val="00196034"/>
    <w:rsid w:val="0019615B"/>
    <w:rsid w:val="0019616F"/>
    <w:rsid w:val="0019623B"/>
    <w:rsid w:val="00196288"/>
    <w:rsid w:val="001963D8"/>
    <w:rsid w:val="00196419"/>
    <w:rsid w:val="00196490"/>
    <w:rsid w:val="0019650C"/>
    <w:rsid w:val="0019657D"/>
    <w:rsid w:val="00196589"/>
    <w:rsid w:val="001967F8"/>
    <w:rsid w:val="0019680E"/>
    <w:rsid w:val="00196896"/>
    <w:rsid w:val="001968F2"/>
    <w:rsid w:val="00196A60"/>
    <w:rsid w:val="00196ACF"/>
    <w:rsid w:val="00196B1B"/>
    <w:rsid w:val="00196B2E"/>
    <w:rsid w:val="00196C00"/>
    <w:rsid w:val="00196C64"/>
    <w:rsid w:val="00196C75"/>
    <w:rsid w:val="00196D83"/>
    <w:rsid w:val="00196DD7"/>
    <w:rsid w:val="00196E25"/>
    <w:rsid w:val="00196E62"/>
    <w:rsid w:val="00196EAE"/>
    <w:rsid w:val="00196F2A"/>
    <w:rsid w:val="00196F32"/>
    <w:rsid w:val="001970CC"/>
    <w:rsid w:val="001970F5"/>
    <w:rsid w:val="00197127"/>
    <w:rsid w:val="00197139"/>
    <w:rsid w:val="0019717E"/>
    <w:rsid w:val="001971AD"/>
    <w:rsid w:val="0019722D"/>
    <w:rsid w:val="00197318"/>
    <w:rsid w:val="00197330"/>
    <w:rsid w:val="00197351"/>
    <w:rsid w:val="0019741A"/>
    <w:rsid w:val="00197434"/>
    <w:rsid w:val="0019751B"/>
    <w:rsid w:val="001975D1"/>
    <w:rsid w:val="0019771B"/>
    <w:rsid w:val="0019771E"/>
    <w:rsid w:val="0019778E"/>
    <w:rsid w:val="001977A8"/>
    <w:rsid w:val="00197947"/>
    <w:rsid w:val="00197A7A"/>
    <w:rsid w:val="00197A93"/>
    <w:rsid w:val="00197B71"/>
    <w:rsid w:val="00197B90"/>
    <w:rsid w:val="00197BF4"/>
    <w:rsid w:val="00197D24"/>
    <w:rsid w:val="00197FBD"/>
    <w:rsid w:val="001A0019"/>
    <w:rsid w:val="001A004F"/>
    <w:rsid w:val="001A00F9"/>
    <w:rsid w:val="001A0103"/>
    <w:rsid w:val="001A01AF"/>
    <w:rsid w:val="001A020C"/>
    <w:rsid w:val="001A021F"/>
    <w:rsid w:val="001A0460"/>
    <w:rsid w:val="001A05C6"/>
    <w:rsid w:val="001A069A"/>
    <w:rsid w:val="001A06DB"/>
    <w:rsid w:val="001A07D6"/>
    <w:rsid w:val="001A0815"/>
    <w:rsid w:val="001A081B"/>
    <w:rsid w:val="001A0825"/>
    <w:rsid w:val="001A08A3"/>
    <w:rsid w:val="001A08D3"/>
    <w:rsid w:val="001A09A9"/>
    <w:rsid w:val="001A0A31"/>
    <w:rsid w:val="001A0A7F"/>
    <w:rsid w:val="001A0AB8"/>
    <w:rsid w:val="001A0B30"/>
    <w:rsid w:val="001A0B46"/>
    <w:rsid w:val="001A0B49"/>
    <w:rsid w:val="001A0C79"/>
    <w:rsid w:val="001A0CC4"/>
    <w:rsid w:val="001A0CEB"/>
    <w:rsid w:val="001A0DA0"/>
    <w:rsid w:val="001A0DD2"/>
    <w:rsid w:val="001A0F6E"/>
    <w:rsid w:val="001A104A"/>
    <w:rsid w:val="001A11D9"/>
    <w:rsid w:val="001A122D"/>
    <w:rsid w:val="001A1238"/>
    <w:rsid w:val="001A1394"/>
    <w:rsid w:val="001A13FC"/>
    <w:rsid w:val="001A140C"/>
    <w:rsid w:val="001A1465"/>
    <w:rsid w:val="001A166B"/>
    <w:rsid w:val="001A1892"/>
    <w:rsid w:val="001A19A3"/>
    <w:rsid w:val="001A19C7"/>
    <w:rsid w:val="001A19E1"/>
    <w:rsid w:val="001A1A07"/>
    <w:rsid w:val="001A1A99"/>
    <w:rsid w:val="001A1AF2"/>
    <w:rsid w:val="001A1B4D"/>
    <w:rsid w:val="001A1BEE"/>
    <w:rsid w:val="001A1C07"/>
    <w:rsid w:val="001A1C15"/>
    <w:rsid w:val="001A1D35"/>
    <w:rsid w:val="001A1D3B"/>
    <w:rsid w:val="001A1D79"/>
    <w:rsid w:val="001A1DB0"/>
    <w:rsid w:val="001A1DD4"/>
    <w:rsid w:val="001A1E9C"/>
    <w:rsid w:val="001A1EAD"/>
    <w:rsid w:val="001A1EBE"/>
    <w:rsid w:val="001A1F09"/>
    <w:rsid w:val="001A2054"/>
    <w:rsid w:val="001A20F7"/>
    <w:rsid w:val="001A21AC"/>
    <w:rsid w:val="001A21CF"/>
    <w:rsid w:val="001A2321"/>
    <w:rsid w:val="001A23A4"/>
    <w:rsid w:val="001A23AD"/>
    <w:rsid w:val="001A2408"/>
    <w:rsid w:val="001A24AA"/>
    <w:rsid w:val="001A2509"/>
    <w:rsid w:val="001A254D"/>
    <w:rsid w:val="001A2563"/>
    <w:rsid w:val="001A25B2"/>
    <w:rsid w:val="001A25D2"/>
    <w:rsid w:val="001A25E4"/>
    <w:rsid w:val="001A26B0"/>
    <w:rsid w:val="001A26E4"/>
    <w:rsid w:val="001A2769"/>
    <w:rsid w:val="001A28B8"/>
    <w:rsid w:val="001A290A"/>
    <w:rsid w:val="001A2952"/>
    <w:rsid w:val="001A2A2F"/>
    <w:rsid w:val="001A2B70"/>
    <w:rsid w:val="001A2B7C"/>
    <w:rsid w:val="001A2C08"/>
    <w:rsid w:val="001A2CD0"/>
    <w:rsid w:val="001A2D6B"/>
    <w:rsid w:val="001A2E95"/>
    <w:rsid w:val="001A2F69"/>
    <w:rsid w:val="001A2FB2"/>
    <w:rsid w:val="001A2FCD"/>
    <w:rsid w:val="001A2FEC"/>
    <w:rsid w:val="001A3099"/>
    <w:rsid w:val="001A311A"/>
    <w:rsid w:val="001A3249"/>
    <w:rsid w:val="001A324B"/>
    <w:rsid w:val="001A338F"/>
    <w:rsid w:val="001A3471"/>
    <w:rsid w:val="001A375B"/>
    <w:rsid w:val="001A377D"/>
    <w:rsid w:val="001A37FB"/>
    <w:rsid w:val="001A382B"/>
    <w:rsid w:val="001A3891"/>
    <w:rsid w:val="001A3A3C"/>
    <w:rsid w:val="001A3A53"/>
    <w:rsid w:val="001A3AE2"/>
    <w:rsid w:val="001A3AEE"/>
    <w:rsid w:val="001A3B1D"/>
    <w:rsid w:val="001A3C22"/>
    <w:rsid w:val="001A3CC8"/>
    <w:rsid w:val="001A3EA0"/>
    <w:rsid w:val="001A3EEA"/>
    <w:rsid w:val="001A41C0"/>
    <w:rsid w:val="001A421D"/>
    <w:rsid w:val="001A422B"/>
    <w:rsid w:val="001A4487"/>
    <w:rsid w:val="001A44D1"/>
    <w:rsid w:val="001A453D"/>
    <w:rsid w:val="001A45DC"/>
    <w:rsid w:val="001A460E"/>
    <w:rsid w:val="001A46AB"/>
    <w:rsid w:val="001A46CA"/>
    <w:rsid w:val="001A475D"/>
    <w:rsid w:val="001A47C9"/>
    <w:rsid w:val="001A4890"/>
    <w:rsid w:val="001A49AB"/>
    <w:rsid w:val="001A4A37"/>
    <w:rsid w:val="001A4BCA"/>
    <w:rsid w:val="001A4C49"/>
    <w:rsid w:val="001A4CAD"/>
    <w:rsid w:val="001A4CF6"/>
    <w:rsid w:val="001A4DF1"/>
    <w:rsid w:val="001A4E7C"/>
    <w:rsid w:val="001A4E8B"/>
    <w:rsid w:val="001A4EEA"/>
    <w:rsid w:val="001A4EED"/>
    <w:rsid w:val="001A4FD8"/>
    <w:rsid w:val="001A5144"/>
    <w:rsid w:val="001A51BE"/>
    <w:rsid w:val="001A5271"/>
    <w:rsid w:val="001A531B"/>
    <w:rsid w:val="001A5447"/>
    <w:rsid w:val="001A54D2"/>
    <w:rsid w:val="001A5502"/>
    <w:rsid w:val="001A5549"/>
    <w:rsid w:val="001A5578"/>
    <w:rsid w:val="001A56F8"/>
    <w:rsid w:val="001A57CE"/>
    <w:rsid w:val="001A57D6"/>
    <w:rsid w:val="001A5840"/>
    <w:rsid w:val="001A59CA"/>
    <w:rsid w:val="001A59EB"/>
    <w:rsid w:val="001A59F9"/>
    <w:rsid w:val="001A59FA"/>
    <w:rsid w:val="001A5A10"/>
    <w:rsid w:val="001A5A45"/>
    <w:rsid w:val="001A5A67"/>
    <w:rsid w:val="001A5B1B"/>
    <w:rsid w:val="001A5BAD"/>
    <w:rsid w:val="001A5C15"/>
    <w:rsid w:val="001A5CDC"/>
    <w:rsid w:val="001A5D2C"/>
    <w:rsid w:val="001A5D3E"/>
    <w:rsid w:val="001A5DF1"/>
    <w:rsid w:val="001A5EAC"/>
    <w:rsid w:val="001A5ED7"/>
    <w:rsid w:val="001A5FEA"/>
    <w:rsid w:val="001A605E"/>
    <w:rsid w:val="001A6067"/>
    <w:rsid w:val="001A6078"/>
    <w:rsid w:val="001A6110"/>
    <w:rsid w:val="001A6127"/>
    <w:rsid w:val="001A61A7"/>
    <w:rsid w:val="001A6245"/>
    <w:rsid w:val="001A62B3"/>
    <w:rsid w:val="001A62EA"/>
    <w:rsid w:val="001A6364"/>
    <w:rsid w:val="001A64F7"/>
    <w:rsid w:val="001A671E"/>
    <w:rsid w:val="001A68F2"/>
    <w:rsid w:val="001A6B46"/>
    <w:rsid w:val="001A6BDC"/>
    <w:rsid w:val="001A6C35"/>
    <w:rsid w:val="001A6CB5"/>
    <w:rsid w:val="001A6F03"/>
    <w:rsid w:val="001A6F27"/>
    <w:rsid w:val="001A6FB8"/>
    <w:rsid w:val="001A7032"/>
    <w:rsid w:val="001A7125"/>
    <w:rsid w:val="001A7187"/>
    <w:rsid w:val="001A7264"/>
    <w:rsid w:val="001A726F"/>
    <w:rsid w:val="001A736F"/>
    <w:rsid w:val="001A745C"/>
    <w:rsid w:val="001A74B1"/>
    <w:rsid w:val="001A77BC"/>
    <w:rsid w:val="001A788C"/>
    <w:rsid w:val="001A7891"/>
    <w:rsid w:val="001A79A1"/>
    <w:rsid w:val="001A79B9"/>
    <w:rsid w:val="001A79CE"/>
    <w:rsid w:val="001A7A21"/>
    <w:rsid w:val="001A7A93"/>
    <w:rsid w:val="001A7ABB"/>
    <w:rsid w:val="001A7AD1"/>
    <w:rsid w:val="001A7BA0"/>
    <w:rsid w:val="001A7BBB"/>
    <w:rsid w:val="001A7C06"/>
    <w:rsid w:val="001A7D0F"/>
    <w:rsid w:val="001A7DEB"/>
    <w:rsid w:val="001A7E67"/>
    <w:rsid w:val="001A7EC9"/>
    <w:rsid w:val="001A7EFF"/>
    <w:rsid w:val="001A7F77"/>
    <w:rsid w:val="001A7F90"/>
    <w:rsid w:val="001A7FBA"/>
    <w:rsid w:val="001B002B"/>
    <w:rsid w:val="001B0113"/>
    <w:rsid w:val="001B0185"/>
    <w:rsid w:val="001B020E"/>
    <w:rsid w:val="001B0260"/>
    <w:rsid w:val="001B026A"/>
    <w:rsid w:val="001B028B"/>
    <w:rsid w:val="001B02CD"/>
    <w:rsid w:val="001B02F5"/>
    <w:rsid w:val="001B072A"/>
    <w:rsid w:val="001B075F"/>
    <w:rsid w:val="001B07CC"/>
    <w:rsid w:val="001B08AC"/>
    <w:rsid w:val="001B0A4A"/>
    <w:rsid w:val="001B0BE6"/>
    <w:rsid w:val="001B0C1C"/>
    <w:rsid w:val="001B0C2D"/>
    <w:rsid w:val="001B0C5D"/>
    <w:rsid w:val="001B0C74"/>
    <w:rsid w:val="001B0CFA"/>
    <w:rsid w:val="001B0D86"/>
    <w:rsid w:val="001B0DF6"/>
    <w:rsid w:val="001B0E2E"/>
    <w:rsid w:val="001B0E88"/>
    <w:rsid w:val="001B0F40"/>
    <w:rsid w:val="001B10FC"/>
    <w:rsid w:val="001B1177"/>
    <w:rsid w:val="001B11D4"/>
    <w:rsid w:val="001B12EB"/>
    <w:rsid w:val="001B13AB"/>
    <w:rsid w:val="001B1432"/>
    <w:rsid w:val="001B1472"/>
    <w:rsid w:val="001B147D"/>
    <w:rsid w:val="001B14D2"/>
    <w:rsid w:val="001B150C"/>
    <w:rsid w:val="001B1530"/>
    <w:rsid w:val="001B15B7"/>
    <w:rsid w:val="001B1656"/>
    <w:rsid w:val="001B1715"/>
    <w:rsid w:val="001B176C"/>
    <w:rsid w:val="001B177E"/>
    <w:rsid w:val="001B17BD"/>
    <w:rsid w:val="001B1957"/>
    <w:rsid w:val="001B1983"/>
    <w:rsid w:val="001B19C5"/>
    <w:rsid w:val="001B19DE"/>
    <w:rsid w:val="001B1A42"/>
    <w:rsid w:val="001B1B89"/>
    <w:rsid w:val="001B1BCD"/>
    <w:rsid w:val="001B1CB3"/>
    <w:rsid w:val="001B1E08"/>
    <w:rsid w:val="001B1E0F"/>
    <w:rsid w:val="001B1E81"/>
    <w:rsid w:val="001B1FC3"/>
    <w:rsid w:val="001B2016"/>
    <w:rsid w:val="001B20AC"/>
    <w:rsid w:val="001B20F8"/>
    <w:rsid w:val="001B217E"/>
    <w:rsid w:val="001B2181"/>
    <w:rsid w:val="001B2189"/>
    <w:rsid w:val="001B21D8"/>
    <w:rsid w:val="001B2293"/>
    <w:rsid w:val="001B22D5"/>
    <w:rsid w:val="001B23E1"/>
    <w:rsid w:val="001B2462"/>
    <w:rsid w:val="001B249C"/>
    <w:rsid w:val="001B24C3"/>
    <w:rsid w:val="001B256F"/>
    <w:rsid w:val="001B25E1"/>
    <w:rsid w:val="001B25F0"/>
    <w:rsid w:val="001B2660"/>
    <w:rsid w:val="001B26AB"/>
    <w:rsid w:val="001B26F3"/>
    <w:rsid w:val="001B2767"/>
    <w:rsid w:val="001B28CB"/>
    <w:rsid w:val="001B2909"/>
    <w:rsid w:val="001B2913"/>
    <w:rsid w:val="001B297A"/>
    <w:rsid w:val="001B2983"/>
    <w:rsid w:val="001B299E"/>
    <w:rsid w:val="001B29D7"/>
    <w:rsid w:val="001B2ADA"/>
    <w:rsid w:val="001B2C3B"/>
    <w:rsid w:val="001B2CA0"/>
    <w:rsid w:val="001B2CD3"/>
    <w:rsid w:val="001B2D39"/>
    <w:rsid w:val="001B2DE4"/>
    <w:rsid w:val="001B2E48"/>
    <w:rsid w:val="001B2ECC"/>
    <w:rsid w:val="001B30A7"/>
    <w:rsid w:val="001B329C"/>
    <w:rsid w:val="001B33C6"/>
    <w:rsid w:val="001B344C"/>
    <w:rsid w:val="001B346F"/>
    <w:rsid w:val="001B34CB"/>
    <w:rsid w:val="001B353A"/>
    <w:rsid w:val="001B3609"/>
    <w:rsid w:val="001B3824"/>
    <w:rsid w:val="001B3844"/>
    <w:rsid w:val="001B3872"/>
    <w:rsid w:val="001B3885"/>
    <w:rsid w:val="001B38CB"/>
    <w:rsid w:val="001B38DF"/>
    <w:rsid w:val="001B3917"/>
    <w:rsid w:val="001B39E2"/>
    <w:rsid w:val="001B3B0B"/>
    <w:rsid w:val="001B3C5D"/>
    <w:rsid w:val="001B3C7A"/>
    <w:rsid w:val="001B3C81"/>
    <w:rsid w:val="001B3CBA"/>
    <w:rsid w:val="001B3CF4"/>
    <w:rsid w:val="001B3D12"/>
    <w:rsid w:val="001B3E56"/>
    <w:rsid w:val="001B3EE1"/>
    <w:rsid w:val="001B401A"/>
    <w:rsid w:val="001B403C"/>
    <w:rsid w:val="001B4082"/>
    <w:rsid w:val="001B4097"/>
    <w:rsid w:val="001B4174"/>
    <w:rsid w:val="001B4188"/>
    <w:rsid w:val="001B423A"/>
    <w:rsid w:val="001B42DB"/>
    <w:rsid w:val="001B42EA"/>
    <w:rsid w:val="001B42F5"/>
    <w:rsid w:val="001B42FA"/>
    <w:rsid w:val="001B43B6"/>
    <w:rsid w:val="001B43B8"/>
    <w:rsid w:val="001B445D"/>
    <w:rsid w:val="001B4464"/>
    <w:rsid w:val="001B4595"/>
    <w:rsid w:val="001B460F"/>
    <w:rsid w:val="001B4746"/>
    <w:rsid w:val="001B4770"/>
    <w:rsid w:val="001B47D1"/>
    <w:rsid w:val="001B48FD"/>
    <w:rsid w:val="001B49DC"/>
    <w:rsid w:val="001B49E1"/>
    <w:rsid w:val="001B4A43"/>
    <w:rsid w:val="001B4ADE"/>
    <w:rsid w:val="001B4B21"/>
    <w:rsid w:val="001B4CB2"/>
    <w:rsid w:val="001B4CD9"/>
    <w:rsid w:val="001B4D58"/>
    <w:rsid w:val="001B4DDE"/>
    <w:rsid w:val="001B4F1C"/>
    <w:rsid w:val="001B501D"/>
    <w:rsid w:val="001B502D"/>
    <w:rsid w:val="001B508B"/>
    <w:rsid w:val="001B51F4"/>
    <w:rsid w:val="001B527E"/>
    <w:rsid w:val="001B5293"/>
    <w:rsid w:val="001B5296"/>
    <w:rsid w:val="001B53B4"/>
    <w:rsid w:val="001B555D"/>
    <w:rsid w:val="001B56CA"/>
    <w:rsid w:val="001B5728"/>
    <w:rsid w:val="001B5729"/>
    <w:rsid w:val="001B5777"/>
    <w:rsid w:val="001B585E"/>
    <w:rsid w:val="001B5879"/>
    <w:rsid w:val="001B589C"/>
    <w:rsid w:val="001B593F"/>
    <w:rsid w:val="001B5AC5"/>
    <w:rsid w:val="001B5C08"/>
    <w:rsid w:val="001B5C20"/>
    <w:rsid w:val="001B5C87"/>
    <w:rsid w:val="001B5CCB"/>
    <w:rsid w:val="001B5D77"/>
    <w:rsid w:val="001B5E22"/>
    <w:rsid w:val="001B5EEA"/>
    <w:rsid w:val="001B5EF3"/>
    <w:rsid w:val="001B5F24"/>
    <w:rsid w:val="001B607F"/>
    <w:rsid w:val="001B60E0"/>
    <w:rsid w:val="001B60F7"/>
    <w:rsid w:val="001B616C"/>
    <w:rsid w:val="001B6258"/>
    <w:rsid w:val="001B630F"/>
    <w:rsid w:val="001B643B"/>
    <w:rsid w:val="001B64D3"/>
    <w:rsid w:val="001B6520"/>
    <w:rsid w:val="001B655A"/>
    <w:rsid w:val="001B6633"/>
    <w:rsid w:val="001B6645"/>
    <w:rsid w:val="001B66CE"/>
    <w:rsid w:val="001B673D"/>
    <w:rsid w:val="001B673E"/>
    <w:rsid w:val="001B6893"/>
    <w:rsid w:val="001B6899"/>
    <w:rsid w:val="001B6A01"/>
    <w:rsid w:val="001B6AED"/>
    <w:rsid w:val="001B6B71"/>
    <w:rsid w:val="001B6C63"/>
    <w:rsid w:val="001B6D3B"/>
    <w:rsid w:val="001B6DE4"/>
    <w:rsid w:val="001B6E26"/>
    <w:rsid w:val="001B6F6C"/>
    <w:rsid w:val="001B700F"/>
    <w:rsid w:val="001B70A5"/>
    <w:rsid w:val="001B70B4"/>
    <w:rsid w:val="001B70EA"/>
    <w:rsid w:val="001B7182"/>
    <w:rsid w:val="001B722C"/>
    <w:rsid w:val="001B725D"/>
    <w:rsid w:val="001B72D3"/>
    <w:rsid w:val="001B7527"/>
    <w:rsid w:val="001B7636"/>
    <w:rsid w:val="001B7727"/>
    <w:rsid w:val="001B7833"/>
    <w:rsid w:val="001B78E1"/>
    <w:rsid w:val="001B78E4"/>
    <w:rsid w:val="001B78EC"/>
    <w:rsid w:val="001B78F4"/>
    <w:rsid w:val="001B78F8"/>
    <w:rsid w:val="001B790C"/>
    <w:rsid w:val="001B79C5"/>
    <w:rsid w:val="001B7ADC"/>
    <w:rsid w:val="001B7BE2"/>
    <w:rsid w:val="001B7C13"/>
    <w:rsid w:val="001B7C54"/>
    <w:rsid w:val="001B7C6E"/>
    <w:rsid w:val="001B7CCD"/>
    <w:rsid w:val="001B7CDA"/>
    <w:rsid w:val="001B7CDB"/>
    <w:rsid w:val="001B7D74"/>
    <w:rsid w:val="001B7E44"/>
    <w:rsid w:val="001B7E5E"/>
    <w:rsid w:val="001B7EB8"/>
    <w:rsid w:val="001C0101"/>
    <w:rsid w:val="001C011B"/>
    <w:rsid w:val="001C01E5"/>
    <w:rsid w:val="001C0237"/>
    <w:rsid w:val="001C0297"/>
    <w:rsid w:val="001C03E3"/>
    <w:rsid w:val="001C0684"/>
    <w:rsid w:val="001C0690"/>
    <w:rsid w:val="001C0797"/>
    <w:rsid w:val="001C0B5F"/>
    <w:rsid w:val="001C0B7D"/>
    <w:rsid w:val="001C0BBA"/>
    <w:rsid w:val="001C0BFF"/>
    <w:rsid w:val="001C0C4E"/>
    <w:rsid w:val="001C0CB6"/>
    <w:rsid w:val="001C0D30"/>
    <w:rsid w:val="001C0DAA"/>
    <w:rsid w:val="001C0E0C"/>
    <w:rsid w:val="001C0E66"/>
    <w:rsid w:val="001C0EE5"/>
    <w:rsid w:val="001C0F3A"/>
    <w:rsid w:val="001C0FDA"/>
    <w:rsid w:val="001C1047"/>
    <w:rsid w:val="001C10F6"/>
    <w:rsid w:val="001C10FF"/>
    <w:rsid w:val="001C1457"/>
    <w:rsid w:val="001C1492"/>
    <w:rsid w:val="001C1517"/>
    <w:rsid w:val="001C154B"/>
    <w:rsid w:val="001C15B4"/>
    <w:rsid w:val="001C1676"/>
    <w:rsid w:val="001C16C4"/>
    <w:rsid w:val="001C1765"/>
    <w:rsid w:val="001C17C1"/>
    <w:rsid w:val="001C18C4"/>
    <w:rsid w:val="001C19AB"/>
    <w:rsid w:val="001C1A9F"/>
    <w:rsid w:val="001C1AEA"/>
    <w:rsid w:val="001C1B20"/>
    <w:rsid w:val="001C1CD5"/>
    <w:rsid w:val="001C1D25"/>
    <w:rsid w:val="001C1F36"/>
    <w:rsid w:val="001C23D9"/>
    <w:rsid w:val="001C2441"/>
    <w:rsid w:val="001C2515"/>
    <w:rsid w:val="001C254C"/>
    <w:rsid w:val="001C255A"/>
    <w:rsid w:val="001C25D3"/>
    <w:rsid w:val="001C260F"/>
    <w:rsid w:val="001C2629"/>
    <w:rsid w:val="001C26FD"/>
    <w:rsid w:val="001C2A19"/>
    <w:rsid w:val="001C2AF0"/>
    <w:rsid w:val="001C2B81"/>
    <w:rsid w:val="001C2BA3"/>
    <w:rsid w:val="001C2C77"/>
    <w:rsid w:val="001C2C81"/>
    <w:rsid w:val="001C2C9E"/>
    <w:rsid w:val="001C2DBD"/>
    <w:rsid w:val="001C2E04"/>
    <w:rsid w:val="001C2E44"/>
    <w:rsid w:val="001C2E57"/>
    <w:rsid w:val="001C2E90"/>
    <w:rsid w:val="001C30E8"/>
    <w:rsid w:val="001C30EF"/>
    <w:rsid w:val="001C30F6"/>
    <w:rsid w:val="001C3158"/>
    <w:rsid w:val="001C3262"/>
    <w:rsid w:val="001C32BD"/>
    <w:rsid w:val="001C3443"/>
    <w:rsid w:val="001C34E6"/>
    <w:rsid w:val="001C34F5"/>
    <w:rsid w:val="001C372D"/>
    <w:rsid w:val="001C3890"/>
    <w:rsid w:val="001C399F"/>
    <w:rsid w:val="001C39E4"/>
    <w:rsid w:val="001C3AA7"/>
    <w:rsid w:val="001C3AE0"/>
    <w:rsid w:val="001C3AEF"/>
    <w:rsid w:val="001C3B2E"/>
    <w:rsid w:val="001C3B62"/>
    <w:rsid w:val="001C3DC3"/>
    <w:rsid w:val="001C3DC6"/>
    <w:rsid w:val="001C3E53"/>
    <w:rsid w:val="001C3F19"/>
    <w:rsid w:val="001C3F32"/>
    <w:rsid w:val="001C4127"/>
    <w:rsid w:val="001C41DF"/>
    <w:rsid w:val="001C4253"/>
    <w:rsid w:val="001C4267"/>
    <w:rsid w:val="001C42C7"/>
    <w:rsid w:val="001C435E"/>
    <w:rsid w:val="001C44C0"/>
    <w:rsid w:val="001C450D"/>
    <w:rsid w:val="001C465B"/>
    <w:rsid w:val="001C467E"/>
    <w:rsid w:val="001C4773"/>
    <w:rsid w:val="001C481D"/>
    <w:rsid w:val="001C4987"/>
    <w:rsid w:val="001C4A6E"/>
    <w:rsid w:val="001C4B0C"/>
    <w:rsid w:val="001C4B20"/>
    <w:rsid w:val="001C4C51"/>
    <w:rsid w:val="001C4C68"/>
    <w:rsid w:val="001C4D4B"/>
    <w:rsid w:val="001C4D59"/>
    <w:rsid w:val="001C4E6F"/>
    <w:rsid w:val="001C5016"/>
    <w:rsid w:val="001C5020"/>
    <w:rsid w:val="001C50B6"/>
    <w:rsid w:val="001C50C6"/>
    <w:rsid w:val="001C511B"/>
    <w:rsid w:val="001C5144"/>
    <w:rsid w:val="001C51DD"/>
    <w:rsid w:val="001C52B8"/>
    <w:rsid w:val="001C52CC"/>
    <w:rsid w:val="001C52E6"/>
    <w:rsid w:val="001C5354"/>
    <w:rsid w:val="001C53C3"/>
    <w:rsid w:val="001C53E1"/>
    <w:rsid w:val="001C54ED"/>
    <w:rsid w:val="001C5578"/>
    <w:rsid w:val="001C5591"/>
    <w:rsid w:val="001C5636"/>
    <w:rsid w:val="001C5690"/>
    <w:rsid w:val="001C5697"/>
    <w:rsid w:val="001C56B5"/>
    <w:rsid w:val="001C571A"/>
    <w:rsid w:val="001C577D"/>
    <w:rsid w:val="001C57B9"/>
    <w:rsid w:val="001C5AD8"/>
    <w:rsid w:val="001C5B2D"/>
    <w:rsid w:val="001C5BBB"/>
    <w:rsid w:val="001C5CB2"/>
    <w:rsid w:val="001C5CB7"/>
    <w:rsid w:val="001C5DA9"/>
    <w:rsid w:val="001C5E09"/>
    <w:rsid w:val="001C5E1D"/>
    <w:rsid w:val="001C5EC5"/>
    <w:rsid w:val="001C5FB0"/>
    <w:rsid w:val="001C6079"/>
    <w:rsid w:val="001C609F"/>
    <w:rsid w:val="001C61AE"/>
    <w:rsid w:val="001C6247"/>
    <w:rsid w:val="001C627B"/>
    <w:rsid w:val="001C6449"/>
    <w:rsid w:val="001C658E"/>
    <w:rsid w:val="001C6615"/>
    <w:rsid w:val="001C68F6"/>
    <w:rsid w:val="001C6903"/>
    <w:rsid w:val="001C690B"/>
    <w:rsid w:val="001C6976"/>
    <w:rsid w:val="001C6A24"/>
    <w:rsid w:val="001C6A68"/>
    <w:rsid w:val="001C6A96"/>
    <w:rsid w:val="001C6AF7"/>
    <w:rsid w:val="001C6B36"/>
    <w:rsid w:val="001C6BA9"/>
    <w:rsid w:val="001C6BB8"/>
    <w:rsid w:val="001C6BC7"/>
    <w:rsid w:val="001C6D4B"/>
    <w:rsid w:val="001C6D82"/>
    <w:rsid w:val="001C6F99"/>
    <w:rsid w:val="001C7001"/>
    <w:rsid w:val="001C7097"/>
    <w:rsid w:val="001C7368"/>
    <w:rsid w:val="001C754C"/>
    <w:rsid w:val="001C75AF"/>
    <w:rsid w:val="001C75BF"/>
    <w:rsid w:val="001C7626"/>
    <w:rsid w:val="001C7649"/>
    <w:rsid w:val="001C766D"/>
    <w:rsid w:val="001C7766"/>
    <w:rsid w:val="001C77A8"/>
    <w:rsid w:val="001C77C5"/>
    <w:rsid w:val="001C77D4"/>
    <w:rsid w:val="001C77DE"/>
    <w:rsid w:val="001C77E2"/>
    <w:rsid w:val="001C7830"/>
    <w:rsid w:val="001C78C2"/>
    <w:rsid w:val="001C7B23"/>
    <w:rsid w:val="001C7B8D"/>
    <w:rsid w:val="001C7BEA"/>
    <w:rsid w:val="001C7D3B"/>
    <w:rsid w:val="001C7D7A"/>
    <w:rsid w:val="001C7E06"/>
    <w:rsid w:val="001C7F94"/>
    <w:rsid w:val="001C7FAF"/>
    <w:rsid w:val="001D007B"/>
    <w:rsid w:val="001D00BB"/>
    <w:rsid w:val="001D0116"/>
    <w:rsid w:val="001D0169"/>
    <w:rsid w:val="001D0214"/>
    <w:rsid w:val="001D024C"/>
    <w:rsid w:val="001D0332"/>
    <w:rsid w:val="001D0404"/>
    <w:rsid w:val="001D0470"/>
    <w:rsid w:val="001D063C"/>
    <w:rsid w:val="001D0842"/>
    <w:rsid w:val="001D0847"/>
    <w:rsid w:val="001D0942"/>
    <w:rsid w:val="001D09E7"/>
    <w:rsid w:val="001D0B8D"/>
    <w:rsid w:val="001D0D91"/>
    <w:rsid w:val="001D0E3D"/>
    <w:rsid w:val="001D0EB5"/>
    <w:rsid w:val="001D0F8B"/>
    <w:rsid w:val="001D0FD1"/>
    <w:rsid w:val="001D0FE0"/>
    <w:rsid w:val="001D1047"/>
    <w:rsid w:val="001D10DA"/>
    <w:rsid w:val="001D1182"/>
    <w:rsid w:val="001D11EE"/>
    <w:rsid w:val="001D1272"/>
    <w:rsid w:val="001D13C4"/>
    <w:rsid w:val="001D1540"/>
    <w:rsid w:val="001D157A"/>
    <w:rsid w:val="001D15BF"/>
    <w:rsid w:val="001D161B"/>
    <w:rsid w:val="001D1737"/>
    <w:rsid w:val="001D1794"/>
    <w:rsid w:val="001D1885"/>
    <w:rsid w:val="001D18C7"/>
    <w:rsid w:val="001D190D"/>
    <w:rsid w:val="001D19B8"/>
    <w:rsid w:val="001D1A2E"/>
    <w:rsid w:val="001D1CC8"/>
    <w:rsid w:val="001D1CD0"/>
    <w:rsid w:val="001D1D39"/>
    <w:rsid w:val="001D1F11"/>
    <w:rsid w:val="001D206D"/>
    <w:rsid w:val="001D20B9"/>
    <w:rsid w:val="001D210E"/>
    <w:rsid w:val="001D2145"/>
    <w:rsid w:val="001D2167"/>
    <w:rsid w:val="001D21C4"/>
    <w:rsid w:val="001D2299"/>
    <w:rsid w:val="001D22AA"/>
    <w:rsid w:val="001D22B4"/>
    <w:rsid w:val="001D22CE"/>
    <w:rsid w:val="001D23C4"/>
    <w:rsid w:val="001D240F"/>
    <w:rsid w:val="001D2468"/>
    <w:rsid w:val="001D24D9"/>
    <w:rsid w:val="001D2514"/>
    <w:rsid w:val="001D2535"/>
    <w:rsid w:val="001D25C2"/>
    <w:rsid w:val="001D25DC"/>
    <w:rsid w:val="001D2686"/>
    <w:rsid w:val="001D26C5"/>
    <w:rsid w:val="001D27CE"/>
    <w:rsid w:val="001D291F"/>
    <w:rsid w:val="001D295D"/>
    <w:rsid w:val="001D2962"/>
    <w:rsid w:val="001D2991"/>
    <w:rsid w:val="001D29E7"/>
    <w:rsid w:val="001D2A6E"/>
    <w:rsid w:val="001D2AB3"/>
    <w:rsid w:val="001D2ABA"/>
    <w:rsid w:val="001D2B26"/>
    <w:rsid w:val="001D2B2B"/>
    <w:rsid w:val="001D2BEB"/>
    <w:rsid w:val="001D2C2C"/>
    <w:rsid w:val="001D2D98"/>
    <w:rsid w:val="001D2E9B"/>
    <w:rsid w:val="001D2F30"/>
    <w:rsid w:val="001D308D"/>
    <w:rsid w:val="001D31F6"/>
    <w:rsid w:val="001D32B1"/>
    <w:rsid w:val="001D3437"/>
    <w:rsid w:val="001D34AE"/>
    <w:rsid w:val="001D3560"/>
    <w:rsid w:val="001D35B7"/>
    <w:rsid w:val="001D35E7"/>
    <w:rsid w:val="001D3613"/>
    <w:rsid w:val="001D365B"/>
    <w:rsid w:val="001D36A4"/>
    <w:rsid w:val="001D370E"/>
    <w:rsid w:val="001D373F"/>
    <w:rsid w:val="001D3764"/>
    <w:rsid w:val="001D377D"/>
    <w:rsid w:val="001D37FB"/>
    <w:rsid w:val="001D3800"/>
    <w:rsid w:val="001D3865"/>
    <w:rsid w:val="001D38C8"/>
    <w:rsid w:val="001D3AA7"/>
    <w:rsid w:val="001D3ABB"/>
    <w:rsid w:val="001D3B94"/>
    <w:rsid w:val="001D3BA7"/>
    <w:rsid w:val="001D3C8E"/>
    <w:rsid w:val="001D3D1D"/>
    <w:rsid w:val="001D3D7A"/>
    <w:rsid w:val="001D3D8D"/>
    <w:rsid w:val="001D3E40"/>
    <w:rsid w:val="001D3F38"/>
    <w:rsid w:val="001D3FA1"/>
    <w:rsid w:val="001D4030"/>
    <w:rsid w:val="001D4087"/>
    <w:rsid w:val="001D414C"/>
    <w:rsid w:val="001D4151"/>
    <w:rsid w:val="001D4203"/>
    <w:rsid w:val="001D44B0"/>
    <w:rsid w:val="001D44CA"/>
    <w:rsid w:val="001D44DF"/>
    <w:rsid w:val="001D44EF"/>
    <w:rsid w:val="001D4591"/>
    <w:rsid w:val="001D4636"/>
    <w:rsid w:val="001D47C3"/>
    <w:rsid w:val="001D48AD"/>
    <w:rsid w:val="001D48F3"/>
    <w:rsid w:val="001D490C"/>
    <w:rsid w:val="001D4924"/>
    <w:rsid w:val="001D49AF"/>
    <w:rsid w:val="001D49C5"/>
    <w:rsid w:val="001D4ADB"/>
    <w:rsid w:val="001D4AFC"/>
    <w:rsid w:val="001D4B44"/>
    <w:rsid w:val="001D4B63"/>
    <w:rsid w:val="001D4B8B"/>
    <w:rsid w:val="001D4C22"/>
    <w:rsid w:val="001D4C8D"/>
    <w:rsid w:val="001D4CED"/>
    <w:rsid w:val="001D4D7E"/>
    <w:rsid w:val="001D4DA7"/>
    <w:rsid w:val="001D4E31"/>
    <w:rsid w:val="001D4E95"/>
    <w:rsid w:val="001D4EBC"/>
    <w:rsid w:val="001D4F27"/>
    <w:rsid w:val="001D4F51"/>
    <w:rsid w:val="001D4F82"/>
    <w:rsid w:val="001D5057"/>
    <w:rsid w:val="001D50AC"/>
    <w:rsid w:val="001D5141"/>
    <w:rsid w:val="001D520C"/>
    <w:rsid w:val="001D52EA"/>
    <w:rsid w:val="001D5365"/>
    <w:rsid w:val="001D5481"/>
    <w:rsid w:val="001D54EC"/>
    <w:rsid w:val="001D5508"/>
    <w:rsid w:val="001D56C6"/>
    <w:rsid w:val="001D5941"/>
    <w:rsid w:val="001D5A76"/>
    <w:rsid w:val="001D5B38"/>
    <w:rsid w:val="001D5BD0"/>
    <w:rsid w:val="001D5C1E"/>
    <w:rsid w:val="001D5EC0"/>
    <w:rsid w:val="001D5F8D"/>
    <w:rsid w:val="001D5FEB"/>
    <w:rsid w:val="001D608F"/>
    <w:rsid w:val="001D6095"/>
    <w:rsid w:val="001D60CB"/>
    <w:rsid w:val="001D60E7"/>
    <w:rsid w:val="001D610D"/>
    <w:rsid w:val="001D6224"/>
    <w:rsid w:val="001D622A"/>
    <w:rsid w:val="001D624F"/>
    <w:rsid w:val="001D6294"/>
    <w:rsid w:val="001D6316"/>
    <w:rsid w:val="001D63CC"/>
    <w:rsid w:val="001D6473"/>
    <w:rsid w:val="001D6538"/>
    <w:rsid w:val="001D65D4"/>
    <w:rsid w:val="001D675E"/>
    <w:rsid w:val="001D6831"/>
    <w:rsid w:val="001D692D"/>
    <w:rsid w:val="001D693C"/>
    <w:rsid w:val="001D6A28"/>
    <w:rsid w:val="001D6A42"/>
    <w:rsid w:val="001D6AAF"/>
    <w:rsid w:val="001D6B35"/>
    <w:rsid w:val="001D6CBF"/>
    <w:rsid w:val="001D6D89"/>
    <w:rsid w:val="001D6DE6"/>
    <w:rsid w:val="001D6E23"/>
    <w:rsid w:val="001D6E6B"/>
    <w:rsid w:val="001D6EC0"/>
    <w:rsid w:val="001D6FB0"/>
    <w:rsid w:val="001D6FE4"/>
    <w:rsid w:val="001D7014"/>
    <w:rsid w:val="001D70BB"/>
    <w:rsid w:val="001D718E"/>
    <w:rsid w:val="001D7192"/>
    <w:rsid w:val="001D7212"/>
    <w:rsid w:val="001D7218"/>
    <w:rsid w:val="001D7377"/>
    <w:rsid w:val="001D73B7"/>
    <w:rsid w:val="001D741E"/>
    <w:rsid w:val="001D7451"/>
    <w:rsid w:val="001D75BB"/>
    <w:rsid w:val="001D75D7"/>
    <w:rsid w:val="001D766B"/>
    <w:rsid w:val="001D768E"/>
    <w:rsid w:val="001D77A0"/>
    <w:rsid w:val="001D794D"/>
    <w:rsid w:val="001D799F"/>
    <w:rsid w:val="001D79B2"/>
    <w:rsid w:val="001D7A00"/>
    <w:rsid w:val="001D7A48"/>
    <w:rsid w:val="001D7A92"/>
    <w:rsid w:val="001D7ADC"/>
    <w:rsid w:val="001D7C06"/>
    <w:rsid w:val="001D7C3C"/>
    <w:rsid w:val="001D7CA2"/>
    <w:rsid w:val="001D7CB2"/>
    <w:rsid w:val="001D7CF6"/>
    <w:rsid w:val="001D7E00"/>
    <w:rsid w:val="001D7E3F"/>
    <w:rsid w:val="001D7EB0"/>
    <w:rsid w:val="001D7F47"/>
    <w:rsid w:val="001D7FDB"/>
    <w:rsid w:val="001E00C2"/>
    <w:rsid w:val="001E0198"/>
    <w:rsid w:val="001E01C1"/>
    <w:rsid w:val="001E0218"/>
    <w:rsid w:val="001E023A"/>
    <w:rsid w:val="001E0438"/>
    <w:rsid w:val="001E0511"/>
    <w:rsid w:val="001E051A"/>
    <w:rsid w:val="001E0552"/>
    <w:rsid w:val="001E0558"/>
    <w:rsid w:val="001E0572"/>
    <w:rsid w:val="001E0576"/>
    <w:rsid w:val="001E0643"/>
    <w:rsid w:val="001E071B"/>
    <w:rsid w:val="001E0769"/>
    <w:rsid w:val="001E0824"/>
    <w:rsid w:val="001E087E"/>
    <w:rsid w:val="001E0916"/>
    <w:rsid w:val="001E0917"/>
    <w:rsid w:val="001E0A28"/>
    <w:rsid w:val="001E0AF6"/>
    <w:rsid w:val="001E0BC5"/>
    <w:rsid w:val="001E0CBF"/>
    <w:rsid w:val="001E0DB3"/>
    <w:rsid w:val="001E0E0D"/>
    <w:rsid w:val="001E0E0E"/>
    <w:rsid w:val="001E0E66"/>
    <w:rsid w:val="001E0EC6"/>
    <w:rsid w:val="001E0F5B"/>
    <w:rsid w:val="001E10C5"/>
    <w:rsid w:val="001E1145"/>
    <w:rsid w:val="001E124E"/>
    <w:rsid w:val="001E1291"/>
    <w:rsid w:val="001E12BD"/>
    <w:rsid w:val="001E1313"/>
    <w:rsid w:val="001E14BE"/>
    <w:rsid w:val="001E153D"/>
    <w:rsid w:val="001E1589"/>
    <w:rsid w:val="001E1610"/>
    <w:rsid w:val="001E16BD"/>
    <w:rsid w:val="001E16EE"/>
    <w:rsid w:val="001E1712"/>
    <w:rsid w:val="001E17AB"/>
    <w:rsid w:val="001E17B9"/>
    <w:rsid w:val="001E1857"/>
    <w:rsid w:val="001E1CEB"/>
    <w:rsid w:val="001E1D46"/>
    <w:rsid w:val="001E1EFC"/>
    <w:rsid w:val="001E1F86"/>
    <w:rsid w:val="001E1FC2"/>
    <w:rsid w:val="001E1FE7"/>
    <w:rsid w:val="001E2200"/>
    <w:rsid w:val="001E2231"/>
    <w:rsid w:val="001E2304"/>
    <w:rsid w:val="001E2365"/>
    <w:rsid w:val="001E25A5"/>
    <w:rsid w:val="001E2663"/>
    <w:rsid w:val="001E2678"/>
    <w:rsid w:val="001E2685"/>
    <w:rsid w:val="001E26B7"/>
    <w:rsid w:val="001E2721"/>
    <w:rsid w:val="001E276F"/>
    <w:rsid w:val="001E27C1"/>
    <w:rsid w:val="001E284E"/>
    <w:rsid w:val="001E28B3"/>
    <w:rsid w:val="001E28B9"/>
    <w:rsid w:val="001E29DB"/>
    <w:rsid w:val="001E29DF"/>
    <w:rsid w:val="001E2A7B"/>
    <w:rsid w:val="001E2B7D"/>
    <w:rsid w:val="001E2B95"/>
    <w:rsid w:val="001E2BA2"/>
    <w:rsid w:val="001E2C62"/>
    <w:rsid w:val="001E2EB7"/>
    <w:rsid w:val="001E2F71"/>
    <w:rsid w:val="001E2F7F"/>
    <w:rsid w:val="001E2FF2"/>
    <w:rsid w:val="001E303E"/>
    <w:rsid w:val="001E307F"/>
    <w:rsid w:val="001E30AC"/>
    <w:rsid w:val="001E31B8"/>
    <w:rsid w:val="001E31DC"/>
    <w:rsid w:val="001E3265"/>
    <w:rsid w:val="001E3311"/>
    <w:rsid w:val="001E3522"/>
    <w:rsid w:val="001E361E"/>
    <w:rsid w:val="001E370B"/>
    <w:rsid w:val="001E3727"/>
    <w:rsid w:val="001E372B"/>
    <w:rsid w:val="001E374B"/>
    <w:rsid w:val="001E3791"/>
    <w:rsid w:val="001E37B6"/>
    <w:rsid w:val="001E38C4"/>
    <w:rsid w:val="001E3983"/>
    <w:rsid w:val="001E39F4"/>
    <w:rsid w:val="001E3B48"/>
    <w:rsid w:val="001E3B99"/>
    <w:rsid w:val="001E3C4C"/>
    <w:rsid w:val="001E3C66"/>
    <w:rsid w:val="001E3C99"/>
    <w:rsid w:val="001E3D76"/>
    <w:rsid w:val="001E3DD7"/>
    <w:rsid w:val="001E3E59"/>
    <w:rsid w:val="001E402B"/>
    <w:rsid w:val="001E40A9"/>
    <w:rsid w:val="001E42C1"/>
    <w:rsid w:val="001E4339"/>
    <w:rsid w:val="001E44B8"/>
    <w:rsid w:val="001E44DA"/>
    <w:rsid w:val="001E45EC"/>
    <w:rsid w:val="001E4623"/>
    <w:rsid w:val="001E4653"/>
    <w:rsid w:val="001E4663"/>
    <w:rsid w:val="001E4726"/>
    <w:rsid w:val="001E4771"/>
    <w:rsid w:val="001E485E"/>
    <w:rsid w:val="001E48B1"/>
    <w:rsid w:val="001E49BD"/>
    <w:rsid w:val="001E4AEB"/>
    <w:rsid w:val="001E4B83"/>
    <w:rsid w:val="001E4BEF"/>
    <w:rsid w:val="001E4D2E"/>
    <w:rsid w:val="001E4D89"/>
    <w:rsid w:val="001E4E02"/>
    <w:rsid w:val="001E4E08"/>
    <w:rsid w:val="001E4E14"/>
    <w:rsid w:val="001E4E34"/>
    <w:rsid w:val="001E4E61"/>
    <w:rsid w:val="001E4E68"/>
    <w:rsid w:val="001E4FDA"/>
    <w:rsid w:val="001E5035"/>
    <w:rsid w:val="001E50D7"/>
    <w:rsid w:val="001E516A"/>
    <w:rsid w:val="001E51F9"/>
    <w:rsid w:val="001E52F2"/>
    <w:rsid w:val="001E5344"/>
    <w:rsid w:val="001E54C9"/>
    <w:rsid w:val="001E55F0"/>
    <w:rsid w:val="001E5673"/>
    <w:rsid w:val="001E56E4"/>
    <w:rsid w:val="001E56F1"/>
    <w:rsid w:val="001E56FA"/>
    <w:rsid w:val="001E5737"/>
    <w:rsid w:val="001E579C"/>
    <w:rsid w:val="001E57AF"/>
    <w:rsid w:val="001E581F"/>
    <w:rsid w:val="001E59D9"/>
    <w:rsid w:val="001E5AB2"/>
    <w:rsid w:val="001E5B2B"/>
    <w:rsid w:val="001E5CEE"/>
    <w:rsid w:val="001E5E57"/>
    <w:rsid w:val="001E609C"/>
    <w:rsid w:val="001E60B8"/>
    <w:rsid w:val="001E60DC"/>
    <w:rsid w:val="001E6276"/>
    <w:rsid w:val="001E62D1"/>
    <w:rsid w:val="001E643F"/>
    <w:rsid w:val="001E650E"/>
    <w:rsid w:val="001E6624"/>
    <w:rsid w:val="001E6673"/>
    <w:rsid w:val="001E667D"/>
    <w:rsid w:val="001E66BB"/>
    <w:rsid w:val="001E6791"/>
    <w:rsid w:val="001E6807"/>
    <w:rsid w:val="001E6A1E"/>
    <w:rsid w:val="001E6AED"/>
    <w:rsid w:val="001E6B3B"/>
    <w:rsid w:val="001E6B41"/>
    <w:rsid w:val="001E6BE1"/>
    <w:rsid w:val="001E6EAA"/>
    <w:rsid w:val="001E6F65"/>
    <w:rsid w:val="001E6FA3"/>
    <w:rsid w:val="001E6FE3"/>
    <w:rsid w:val="001E7036"/>
    <w:rsid w:val="001E70F8"/>
    <w:rsid w:val="001E7112"/>
    <w:rsid w:val="001E72F0"/>
    <w:rsid w:val="001E737B"/>
    <w:rsid w:val="001E7476"/>
    <w:rsid w:val="001E7529"/>
    <w:rsid w:val="001E7540"/>
    <w:rsid w:val="001E76E3"/>
    <w:rsid w:val="001E76E6"/>
    <w:rsid w:val="001E7714"/>
    <w:rsid w:val="001E7746"/>
    <w:rsid w:val="001E774A"/>
    <w:rsid w:val="001E7922"/>
    <w:rsid w:val="001E792D"/>
    <w:rsid w:val="001E7947"/>
    <w:rsid w:val="001E7983"/>
    <w:rsid w:val="001E7989"/>
    <w:rsid w:val="001E79BB"/>
    <w:rsid w:val="001E7A83"/>
    <w:rsid w:val="001E7AF6"/>
    <w:rsid w:val="001E7B34"/>
    <w:rsid w:val="001E7C5D"/>
    <w:rsid w:val="001E7C6B"/>
    <w:rsid w:val="001E7D14"/>
    <w:rsid w:val="001E7D6B"/>
    <w:rsid w:val="001E7D7B"/>
    <w:rsid w:val="001E7E6B"/>
    <w:rsid w:val="001E7F05"/>
    <w:rsid w:val="001E7F8B"/>
    <w:rsid w:val="001E7FB8"/>
    <w:rsid w:val="001F007C"/>
    <w:rsid w:val="001F01D7"/>
    <w:rsid w:val="001F0383"/>
    <w:rsid w:val="001F0391"/>
    <w:rsid w:val="001F039F"/>
    <w:rsid w:val="001F03B1"/>
    <w:rsid w:val="001F03B2"/>
    <w:rsid w:val="001F047C"/>
    <w:rsid w:val="001F05BA"/>
    <w:rsid w:val="001F05CD"/>
    <w:rsid w:val="001F0614"/>
    <w:rsid w:val="001F0727"/>
    <w:rsid w:val="001F072F"/>
    <w:rsid w:val="001F0731"/>
    <w:rsid w:val="001F076C"/>
    <w:rsid w:val="001F081C"/>
    <w:rsid w:val="001F0845"/>
    <w:rsid w:val="001F087C"/>
    <w:rsid w:val="001F08B9"/>
    <w:rsid w:val="001F08BF"/>
    <w:rsid w:val="001F0A7B"/>
    <w:rsid w:val="001F0C9C"/>
    <w:rsid w:val="001F0DB0"/>
    <w:rsid w:val="001F0E96"/>
    <w:rsid w:val="001F0EDD"/>
    <w:rsid w:val="001F0F3B"/>
    <w:rsid w:val="001F0F70"/>
    <w:rsid w:val="001F0FB8"/>
    <w:rsid w:val="001F1055"/>
    <w:rsid w:val="001F127F"/>
    <w:rsid w:val="001F143B"/>
    <w:rsid w:val="001F1450"/>
    <w:rsid w:val="001F146D"/>
    <w:rsid w:val="001F1492"/>
    <w:rsid w:val="001F14DB"/>
    <w:rsid w:val="001F1543"/>
    <w:rsid w:val="001F15D5"/>
    <w:rsid w:val="001F1605"/>
    <w:rsid w:val="001F17BD"/>
    <w:rsid w:val="001F1885"/>
    <w:rsid w:val="001F18BF"/>
    <w:rsid w:val="001F198B"/>
    <w:rsid w:val="001F199A"/>
    <w:rsid w:val="001F19E7"/>
    <w:rsid w:val="001F19FF"/>
    <w:rsid w:val="001F1AF5"/>
    <w:rsid w:val="001F1E1B"/>
    <w:rsid w:val="001F1E79"/>
    <w:rsid w:val="001F1E85"/>
    <w:rsid w:val="001F1E87"/>
    <w:rsid w:val="001F1ECE"/>
    <w:rsid w:val="001F201B"/>
    <w:rsid w:val="001F2061"/>
    <w:rsid w:val="001F2076"/>
    <w:rsid w:val="001F20A2"/>
    <w:rsid w:val="001F2136"/>
    <w:rsid w:val="001F217A"/>
    <w:rsid w:val="001F2268"/>
    <w:rsid w:val="001F2377"/>
    <w:rsid w:val="001F25B4"/>
    <w:rsid w:val="001F25BB"/>
    <w:rsid w:val="001F2744"/>
    <w:rsid w:val="001F280A"/>
    <w:rsid w:val="001F283E"/>
    <w:rsid w:val="001F2873"/>
    <w:rsid w:val="001F2A13"/>
    <w:rsid w:val="001F2A25"/>
    <w:rsid w:val="001F2A81"/>
    <w:rsid w:val="001F2AB1"/>
    <w:rsid w:val="001F2AF7"/>
    <w:rsid w:val="001F2B77"/>
    <w:rsid w:val="001F2B7A"/>
    <w:rsid w:val="001F2BA2"/>
    <w:rsid w:val="001F2BB2"/>
    <w:rsid w:val="001F2CD6"/>
    <w:rsid w:val="001F2CE7"/>
    <w:rsid w:val="001F2D1D"/>
    <w:rsid w:val="001F2D62"/>
    <w:rsid w:val="001F2DCF"/>
    <w:rsid w:val="001F2E4B"/>
    <w:rsid w:val="001F2E6D"/>
    <w:rsid w:val="001F3039"/>
    <w:rsid w:val="001F3042"/>
    <w:rsid w:val="001F3114"/>
    <w:rsid w:val="001F3124"/>
    <w:rsid w:val="001F3277"/>
    <w:rsid w:val="001F32D2"/>
    <w:rsid w:val="001F32FA"/>
    <w:rsid w:val="001F338E"/>
    <w:rsid w:val="001F341F"/>
    <w:rsid w:val="001F34C9"/>
    <w:rsid w:val="001F350C"/>
    <w:rsid w:val="001F357E"/>
    <w:rsid w:val="001F35AD"/>
    <w:rsid w:val="001F35FF"/>
    <w:rsid w:val="001F3636"/>
    <w:rsid w:val="001F3726"/>
    <w:rsid w:val="001F391E"/>
    <w:rsid w:val="001F392E"/>
    <w:rsid w:val="001F395E"/>
    <w:rsid w:val="001F398C"/>
    <w:rsid w:val="001F3A3E"/>
    <w:rsid w:val="001F3A9D"/>
    <w:rsid w:val="001F3AA9"/>
    <w:rsid w:val="001F3D13"/>
    <w:rsid w:val="001F3E89"/>
    <w:rsid w:val="001F3ED0"/>
    <w:rsid w:val="001F3F7F"/>
    <w:rsid w:val="001F3FA8"/>
    <w:rsid w:val="001F40BF"/>
    <w:rsid w:val="001F4100"/>
    <w:rsid w:val="001F4191"/>
    <w:rsid w:val="001F432A"/>
    <w:rsid w:val="001F4493"/>
    <w:rsid w:val="001F44EF"/>
    <w:rsid w:val="001F452A"/>
    <w:rsid w:val="001F457A"/>
    <w:rsid w:val="001F45B5"/>
    <w:rsid w:val="001F45DF"/>
    <w:rsid w:val="001F45EF"/>
    <w:rsid w:val="001F4726"/>
    <w:rsid w:val="001F4782"/>
    <w:rsid w:val="001F47C1"/>
    <w:rsid w:val="001F486A"/>
    <w:rsid w:val="001F48AA"/>
    <w:rsid w:val="001F4905"/>
    <w:rsid w:val="001F4A25"/>
    <w:rsid w:val="001F4A88"/>
    <w:rsid w:val="001F4ADD"/>
    <w:rsid w:val="001F4B40"/>
    <w:rsid w:val="001F4B6F"/>
    <w:rsid w:val="001F4C00"/>
    <w:rsid w:val="001F4C82"/>
    <w:rsid w:val="001F4CD5"/>
    <w:rsid w:val="001F4D66"/>
    <w:rsid w:val="001F4DA6"/>
    <w:rsid w:val="001F4F79"/>
    <w:rsid w:val="001F5063"/>
    <w:rsid w:val="001F5093"/>
    <w:rsid w:val="001F50CD"/>
    <w:rsid w:val="001F5171"/>
    <w:rsid w:val="001F5199"/>
    <w:rsid w:val="001F51CC"/>
    <w:rsid w:val="001F54D5"/>
    <w:rsid w:val="001F55BF"/>
    <w:rsid w:val="001F560A"/>
    <w:rsid w:val="001F5632"/>
    <w:rsid w:val="001F56DE"/>
    <w:rsid w:val="001F570C"/>
    <w:rsid w:val="001F5816"/>
    <w:rsid w:val="001F5840"/>
    <w:rsid w:val="001F58B2"/>
    <w:rsid w:val="001F5941"/>
    <w:rsid w:val="001F59A5"/>
    <w:rsid w:val="001F5A4D"/>
    <w:rsid w:val="001F5A79"/>
    <w:rsid w:val="001F5AFE"/>
    <w:rsid w:val="001F5B0A"/>
    <w:rsid w:val="001F5B89"/>
    <w:rsid w:val="001F5C33"/>
    <w:rsid w:val="001F5C54"/>
    <w:rsid w:val="001F5C55"/>
    <w:rsid w:val="001F5CEA"/>
    <w:rsid w:val="001F5CF1"/>
    <w:rsid w:val="001F5D27"/>
    <w:rsid w:val="001F5DD3"/>
    <w:rsid w:val="001F5E22"/>
    <w:rsid w:val="001F5E67"/>
    <w:rsid w:val="001F5EB5"/>
    <w:rsid w:val="001F5F74"/>
    <w:rsid w:val="001F6067"/>
    <w:rsid w:val="001F60FF"/>
    <w:rsid w:val="001F61CF"/>
    <w:rsid w:val="001F61F2"/>
    <w:rsid w:val="001F6358"/>
    <w:rsid w:val="001F638A"/>
    <w:rsid w:val="001F63C9"/>
    <w:rsid w:val="001F63E9"/>
    <w:rsid w:val="001F6440"/>
    <w:rsid w:val="001F64C6"/>
    <w:rsid w:val="001F668A"/>
    <w:rsid w:val="001F66C3"/>
    <w:rsid w:val="001F66FF"/>
    <w:rsid w:val="001F6736"/>
    <w:rsid w:val="001F68DF"/>
    <w:rsid w:val="001F69C0"/>
    <w:rsid w:val="001F6A6C"/>
    <w:rsid w:val="001F6AFF"/>
    <w:rsid w:val="001F6B97"/>
    <w:rsid w:val="001F6C0B"/>
    <w:rsid w:val="001F6C0C"/>
    <w:rsid w:val="001F6C11"/>
    <w:rsid w:val="001F6C1D"/>
    <w:rsid w:val="001F6C44"/>
    <w:rsid w:val="001F6C4E"/>
    <w:rsid w:val="001F6D84"/>
    <w:rsid w:val="001F6E26"/>
    <w:rsid w:val="001F6F82"/>
    <w:rsid w:val="001F6F92"/>
    <w:rsid w:val="001F712C"/>
    <w:rsid w:val="001F7229"/>
    <w:rsid w:val="001F722D"/>
    <w:rsid w:val="001F7257"/>
    <w:rsid w:val="001F728A"/>
    <w:rsid w:val="001F72D8"/>
    <w:rsid w:val="001F7316"/>
    <w:rsid w:val="001F740C"/>
    <w:rsid w:val="001F74A1"/>
    <w:rsid w:val="001F7627"/>
    <w:rsid w:val="001F7690"/>
    <w:rsid w:val="001F7695"/>
    <w:rsid w:val="001F776F"/>
    <w:rsid w:val="001F77D3"/>
    <w:rsid w:val="001F7903"/>
    <w:rsid w:val="001F791B"/>
    <w:rsid w:val="001F79B7"/>
    <w:rsid w:val="001F7A8B"/>
    <w:rsid w:val="001F7BF9"/>
    <w:rsid w:val="001F7C8C"/>
    <w:rsid w:val="001F7D0E"/>
    <w:rsid w:val="001F7D2C"/>
    <w:rsid w:val="001F7D63"/>
    <w:rsid w:val="001F7D99"/>
    <w:rsid w:val="001F7E1C"/>
    <w:rsid w:val="001F7E44"/>
    <w:rsid w:val="001F7E7F"/>
    <w:rsid w:val="001F7EA1"/>
    <w:rsid w:val="001F7EA5"/>
    <w:rsid w:val="001F7ECF"/>
    <w:rsid w:val="001F7FCC"/>
    <w:rsid w:val="00200003"/>
    <w:rsid w:val="0020006D"/>
    <w:rsid w:val="00200076"/>
    <w:rsid w:val="002000D5"/>
    <w:rsid w:val="0020016B"/>
    <w:rsid w:val="00200187"/>
    <w:rsid w:val="00200273"/>
    <w:rsid w:val="00200276"/>
    <w:rsid w:val="00200469"/>
    <w:rsid w:val="0020046F"/>
    <w:rsid w:val="002004E3"/>
    <w:rsid w:val="0020055B"/>
    <w:rsid w:val="002005B0"/>
    <w:rsid w:val="00200615"/>
    <w:rsid w:val="0020064B"/>
    <w:rsid w:val="002006D4"/>
    <w:rsid w:val="002006EF"/>
    <w:rsid w:val="00200735"/>
    <w:rsid w:val="002007CD"/>
    <w:rsid w:val="00200802"/>
    <w:rsid w:val="00200805"/>
    <w:rsid w:val="00200934"/>
    <w:rsid w:val="002009F8"/>
    <w:rsid w:val="00200AA0"/>
    <w:rsid w:val="00200B4F"/>
    <w:rsid w:val="00200B8D"/>
    <w:rsid w:val="00200BC2"/>
    <w:rsid w:val="00200C55"/>
    <w:rsid w:val="00200CCC"/>
    <w:rsid w:val="00200CEB"/>
    <w:rsid w:val="00200D2C"/>
    <w:rsid w:val="00200D91"/>
    <w:rsid w:val="0020108E"/>
    <w:rsid w:val="0020118E"/>
    <w:rsid w:val="002011FE"/>
    <w:rsid w:val="00201214"/>
    <w:rsid w:val="00201238"/>
    <w:rsid w:val="00201283"/>
    <w:rsid w:val="002012A1"/>
    <w:rsid w:val="00201326"/>
    <w:rsid w:val="002015A6"/>
    <w:rsid w:val="00201636"/>
    <w:rsid w:val="002016CE"/>
    <w:rsid w:val="00201831"/>
    <w:rsid w:val="00201964"/>
    <w:rsid w:val="002019B6"/>
    <w:rsid w:val="00201AC5"/>
    <w:rsid w:val="00201E90"/>
    <w:rsid w:val="00201EEE"/>
    <w:rsid w:val="00201F1D"/>
    <w:rsid w:val="0020209F"/>
    <w:rsid w:val="002020C6"/>
    <w:rsid w:val="00202132"/>
    <w:rsid w:val="0020214F"/>
    <w:rsid w:val="00202218"/>
    <w:rsid w:val="00202224"/>
    <w:rsid w:val="0020225D"/>
    <w:rsid w:val="002022B5"/>
    <w:rsid w:val="002022D1"/>
    <w:rsid w:val="0020235F"/>
    <w:rsid w:val="00202436"/>
    <w:rsid w:val="0020246E"/>
    <w:rsid w:val="00202472"/>
    <w:rsid w:val="00202513"/>
    <w:rsid w:val="0020255B"/>
    <w:rsid w:val="002025D5"/>
    <w:rsid w:val="002026BE"/>
    <w:rsid w:val="002027E0"/>
    <w:rsid w:val="00202960"/>
    <w:rsid w:val="0020299F"/>
    <w:rsid w:val="00202AEF"/>
    <w:rsid w:val="00202BF7"/>
    <w:rsid w:val="00202C0C"/>
    <w:rsid w:val="00202C4E"/>
    <w:rsid w:val="00202D5D"/>
    <w:rsid w:val="00202DA3"/>
    <w:rsid w:val="00202E14"/>
    <w:rsid w:val="00202E8E"/>
    <w:rsid w:val="002031B3"/>
    <w:rsid w:val="002031B7"/>
    <w:rsid w:val="002032B4"/>
    <w:rsid w:val="002032BE"/>
    <w:rsid w:val="00203414"/>
    <w:rsid w:val="0020344F"/>
    <w:rsid w:val="00203519"/>
    <w:rsid w:val="00203524"/>
    <w:rsid w:val="00203536"/>
    <w:rsid w:val="00203546"/>
    <w:rsid w:val="002035A2"/>
    <w:rsid w:val="002036EC"/>
    <w:rsid w:val="00203702"/>
    <w:rsid w:val="00203819"/>
    <w:rsid w:val="00203862"/>
    <w:rsid w:val="002039A7"/>
    <w:rsid w:val="00203A48"/>
    <w:rsid w:val="00203BC9"/>
    <w:rsid w:val="00203C19"/>
    <w:rsid w:val="00203CC8"/>
    <w:rsid w:val="00203CEF"/>
    <w:rsid w:val="00203CF6"/>
    <w:rsid w:val="00203D23"/>
    <w:rsid w:val="00203D87"/>
    <w:rsid w:val="00203DEE"/>
    <w:rsid w:val="00203E76"/>
    <w:rsid w:val="00203FBF"/>
    <w:rsid w:val="0020405A"/>
    <w:rsid w:val="002040A8"/>
    <w:rsid w:val="002040BB"/>
    <w:rsid w:val="00204143"/>
    <w:rsid w:val="0020426D"/>
    <w:rsid w:val="002042BF"/>
    <w:rsid w:val="002042D2"/>
    <w:rsid w:val="00204314"/>
    <w:rsid w:val="00204338"/>
    <w:rsid w:val="0020442E"/>
    <w:rsid w:val="00204509"/>
    <w:rsid w:val="00204543"/>
    <w:rsid w:val="0020454E"/>
    <w:rsid w:val="0020465D"/>
    <w:rsid w:val="002046D5"/>
    <w:rsid w:val="0020475A"/>
    <w:rsid w:val="00204A10"/>
    <w:rsid w:val="00204AAA"/>
    <w:rsid w:val="00204BFA"/>
    <w:rsid w:val="00204C53"/>
    <w:rsid w:val="00204C68"/>
    <w:rsid w:val="00204CDE"/>
    <w:rsid w:val="00204DC8"/>
    <w:rsid w:val="00204ED3"/>
    <w:rsid w:val="00204F12"/>
    <w:rsid w:val="00204F3A"/>
    <w:rsid w:val="00204F8D"/>
    <w:rsid w:val="00204FEF"/>
    <w:rsid w:val="00205171"/>
    <w:rsid w:val="00205198"/>
    <w:rsid w:val="00205361"/>
    <w:rsid w:val="00205365"/>
    <w:rsid w:val="002054C9"/>
    <w:rsid w:val="0020552A"/>
    <w:rsid w:val="002055D7"/>
    <w:rsid w:val="002055E5"/>
    <w:rsid w:val="002055EA"/>
    <w:rsid w:val="002056FB"/>
    <w:rsid w:val="002057DA"/>
    <w:rsid w:val="00205A06"/>
    <w:rsid w:val="00205C3C"/>
    <w:rsid w:val="00205D80"/>
    <w:rsid w:val="00205D8F"/>
    <w:rsid w:val="00205DE7"/>
    <w:rsid w:val="00205E2B"/>
    <w:rsid w:val="00206069"/>
    <w:rsid w:val="002061D3"/>
    <w:rsid w:val="002061E7"/>
    <w:rsid w:val="00206230"/>
    <w:rsid w:val="00206278"/>
    <w:rsid w:val="002062DD"/>
    <w:rsid w:val="00206327"/>
    <w:rsid w:val="00206349"/>
    <w:rsid w:val="0020636A"/>
    <w:rsid w:val="00206443"/>
    <w:rsid w:val="00206569"/>
    <w:rsid w:val="002065DE"/>
    <w:rsid w:val="002065E5"/>
    <w:rsid w:val="00206605"/>
    <w:rsid w:val="00206746"/>
    <w:rsid w:val="00206796"/>
    <w:rsid w:val="002067C5"/>
    <w:rsid w:val="002069E2"/>
    <w:rsid w:val="00206AC9"/>
    <w:rsid w:val="00206B93"/>
    <w:rsid w:val="00206D6C"/>
    <w:rsid w:val="00206D71"/>
    <w:rsid w:val="002070BD"/>
    <w:rsid w:val="002070FB"/>
    <w:rsid w:val="00207110"/>
    <w:rsid w:val="002072CA"/>
    <w:rsid w:val="002072FB"/>
    <w:rsid w:val="00207391"/>
    <w:rsid w:val="00207436"/>
    <w:rsid w:val="00207508"/>
    <w:rsid w:val="0020759B"/>
    <w:rsid w:val="002075A6"/>
    <w:rsid w:val="002075B2"/>
    <w:rsid w:val="0020763B"/>
    <w:rsid w:val="0020777B"/>
    <w:rsid w:val="00207783"/>
    <w:rsid w:val="002077A1"/>
    <w:rsid w:val="002077BC"/>
    <w:rsid w:val="00207832"/>
    <w:rsid w:val="002078FE"/>
    <w:rsid w:val="00207945"/>
    <w:rsid w:val="00207A29"/>
    <w:rsid w:val="00207A7B"/>
    <w:rsid w:val="00207AD8"/>
    <w:rsid w:val="00207B15"/>
    <w:rsid w:val="00207CFE"/>
    <w:rsid w:val="00207DF3"/>
    <w:rsid w:val="00207EB0"/>
    <w:rsid w:val="00207F02"/>
    <w:rsid w:val="00207F32"/>
    <w:rsid w:val="00207FFE"/>
    <w:rsid w:val="00210038"/>
    <w:rsid w:val="0021004F"/>
    <w:rsid w:val="00210074"/>
    <w:rsid w:val="002100C0"/>
    <w:rsid w:val="002100CD"/>
    <w:rsid w:val="002100E9"/>
    <w:rsid w:val="00210115"/>
    <w:rsid w:val="00210161"/>
    <w:rsid w:val="00210187"/>
    <w:rsid w:val="002101F2"/>
    <w:rsid w:val="0021026C"/>
    <w:rsid w:val="0021041E"/>
    <w:rsid w:val="0021044E"/>
    <w:rsid w:val="002104FC"/>
    <w:rsid w:val="00210598"/>
    <w:rsid w:val="002105CB"/>
    <w:rsid w:val="002105DB"/>
    <w:rsid w:val="002106ED"/>
    <w:rsid w:val="00210747"/>
    <w:rsid w:val="00210784"/>
    <w:rsid w:val="00210980"/>
    <w:rsid w:val="00210A4F"/>
    <w:rsid w:val="00210A63"/>
    <w:rsid w:val="00210B2E"/>
    <w:rsid w:val="00210B42"/>
    <w:rsid w:val="00210BD7"/>
    <w:rsid w:val="00210CD7"/>
    <w:rsid w:val="00210E49"/>
    <w:rsid w:val="00210E87"/>
    <w:rsid w:val="00210F4B"/>
    <w:rsid w:val="00210F5F"/>
    <w:rsid w:val="00210F9F"/>
    <w:rsid w:val="00211096"/>
    <w:rsid w:val="0021109C"/>
    <w:rsid w:val="002110C4"/>
    <w:rsid w:val="00211141"/>
    <w:rsid w:val="00211174"/>
    <w:rsid w:val="00211285"/>
    <w:rsid w:val="00211328"/>
    <w:rsid w:val="00211338"/>
    <w:rsid w:val="0021149E"/>
    <w:rsid w:val="002114F1"/>
    <w:rsid w:val="002114F8"/>
    <w:rsid w:val="0021173B"/>
    <w:rsid w:val="00211742"/>
    <w:rsid w:val="0021175D"/>
    <w:rsid w:val="002117ED"/>
    <w:rsid w:val="0021187C"/>
    <w:rsid w:val="002118B8"/>
    <w:rsid w:val="00211A4B"/>
    <w:rsid w:val="00211B24"/>
    <w:rsid w:val="00211B72"/>
    <w:rsid w:val="00211C20"/>
    <w:rsid w:val="00211CC8"/>
    <w:rsid w:val="00211D8B"/>
    <w:rsid w:val="00211DBA"/>
    <w:rsid w:val="00211F0F"/>
    <w:rsid w:val="00211FCA"/>
    <w:rsid w:val="00211FFA"/>
    <w:rsid w:val="0021213C"/>
    <w:rsid w:val="0021224A"/>
    <w:rsid w:val="00212278"/>
    <w:rsid w:val="002122EA"/>
    <w:rsid w:val="00212331"/>
    <w:rsid w:val="002123F0"/>
    <w:rsid w:val="0021240E"/>
    <w:rsid w:val="0021253B"/>
    <w:rsid w:val="002127D1"/>
    <w:rsid w:val="00212893"/>
    <w:rsid w:val="002128C7"/>
    <w:rsid w:val="002128E4"/>
    <w:rsid w:val="0021295C"/>
    <w:rsid w:val="00212A39"/>
    <w:rsid w:val="00212A6B"/>
    <w:rsid w:val="00212AF3"/>
    <w:rsid w:val="00212BD5"/>
    <w:rsid w:val="00212D21"/>
    <w:rsid w:val="00213093"/>
    <w:rsid w:val="0021313C"/>
    <w:rsid w:val="002131AB"/>
    <w:rsid w:val="002131E3"/>
    <w:rsid w:val="002131F0"/>
    <w:rsid w:val="00213207"/>
    <w:rsid w:val="00213226"/>
    <w:rsid w:val="0021326C"/>
    <w:rsid w:val="002132BD"/>
    <w:rsid w:val="00213432"/>
    <w:rsid w:val="00213478"/>
    <w:rsid w:val="002134A9"/>
    <w:rsid w:val="002135C7"/>
    <w:rsid w:val="002135EE"/>
    <w:rsid w:val="002135FE"/>
    <w:rsid w:val="00213622"/>
    <w:rsid w:val="00213657"/>
    <w:rsid w:val="00213681"/>
    <w:rsid w:val="00213719"/>
    <w:rsid w:val="00213750"/>
    <w:rsid w:val="00213787"/>
    <w:rsid w:val="002137EA"/>
    <w:rsid w:val="00213876"/>
    <w:rsid w:val="002138AF"/>
    <w:rsid w:val="00213951"/>
    <w:rsid w:val="00213A35"/>
    <w:rsid w:val="00213B50"/>
    <w:rsid w:val="00213B7E"/>
    <w:rsid w:val="00213BFF"/>
    <w:rsid w:val="00213C13"/>
    <w:rsid w:val="00213D05"/>
    <w:rsid w:val="00213F0C"/>
    <w:rsid w:val="00214036"/>
    <w:rsid w:val="0021409E"/>
    <w:rsid w:val="002140AB"/>
    <w:rsid w:val="00214123"/>
    <w:rsid w:val="00214210"/>
    <w:rsid w:val="00214236"/>
    <w:rsid w:val="0021428C"/>
    <w:rsid w:val="0021430A"/>
    <w:rsid w:val="002143B2"/>
    <w:rsid w:val="002143B3"/>
    <w:rsid w:val="002143FF"/>
    <w:rsid w:val="002144DD"/>
    <w:rsid w:val="00214565"/>
    <w:rsid w:val="0021463C"/>
    <w:rsid w:val="0021471E"/>
    <w:rsid w:val="002147DD"/>
    <w:rsid w:val="002147E3"/>
    <w:rsid w:val="00214834"/>
    <w:rsid w:val="0021483C"/>
    <w:rsid w:val="00214885"/>
    <w:rsid w:val="002148B6"/>
    <w:rsid w:val="0021491F"/>
    <w:rsid w:val="00214932"/>
    <w:rsid w:val="002149C3"/>
    <w:rsid w:val="002149EE"/>
    <w:rsid w:val="00214ADA"/>
    <w:rsid w:val="00214AFE"/>
    <w:rsid w:val="00214B57"/>
    <w:rsid w:val="00214BA5"/>
    <w:rsid w:val="00214BF0"/>
    <w:rsid w:val="00214CA9"/>
    <w:rsid w:val="00214D69"/>
    <w:rsid w:val="00214E41"/>
    <w:rsid w:val="00214E93"/>
    <w:rsid w:val="00214EB6"/>
    <w:rsid w:val="00214F02"/>
    <w:rsid w:val="00214F84"/>
    <w:rsid w:val="002150AE"/>
    <w:rsid w:val="002150B1"/>
    <w:rsid w:val="002150E4"/>
    <w:rsid w:val="0021511A"/>
    <w:rsid w:val="002151F1"/>
    <w:rsid w:val="002151F7"/>
    <w:rsid w:val="002152E8"/>
    <w:rsid w:val="0021531A"/>
    <w:rsid w:val="0021535D"/>
    <w:rsid w:val="00215457"/>
    <w:rsid w:val="002156AB"/>
    <w:rsid w:val="002156FB"/>
    <w:rsid w:val="0021581D"/>
    <w:rsid w:val="00215892"/>
    <w:rsid w:val="002158C3"/>
    <w:rsid w:val="002158CE"/>
    <w:rsid w:val="002159BA"/>
    <w:rsid w:val="00215A8C"/>
    <w:rsid w:val="00215A9E"/>
    <w:rsid w:val="00215A9F"/>
    <w:rsid w:val="00215B78"/>
    <w:rsid w:val="00215C28"/>
    <w:rsid w:val="00215C53"/>
    <w:rsid w:val="00215CA6"/>
    <w:rsid w:val="00215E4A"/>
    <w:rsid w:val="0021601C"/>
    <w:rsid w:val="002160EE"/>
    <w:rsid w:val="00216130"/>
    <w:rsid w:val="00216198"/>
    <w:rsid w:val="0021625D"/>
    <w:rsid w:val="00216339"/>
    <w:rsid w:val="0021649C"/>
    <w:rsid w:val="00216566"/>
    <w:rsid w:val="00216571"/>
    <w:rsid w:val="00216655"/>
    <w:rsid w:val="002166BF"/>
    <w:rsid w:val="00216731"/>
    <w:rsid w:val="0021678D"/>
    <w:rsid w:val="00216790"/>
    <w:rsid w:val="002167BA"/>
    <w:rsid w:val="00216865"/>
    <w:rsid w:val="002168FB"/>
    <w:rsid w:val="00216932"/>
    <w:rsid w:val="00216996"/>
    <w:rsid w:val="002169F7"/>
    <w:rsid w:val="00216A16"/>
    <w:rsid w:val="00216A8B"/>
    <w:rsid w:val="00216AC2"/>
    <w:rsid w:val="00216B5C"/>
    <w:rsid w:val="00216BA6"/>
    <w:rsid w:val="00216C7C"/>
    <w:rsid w:val="00216CDC"/>
    <w:rsid w:val="00216CFA"/>
    <w:rsid w:val="00216D70"/>
    <w:rsid w:val="00216EE0"/>
    <w:rsid w:val="00216F0E"/>
    <w:rsid w:val="0021702C"/>
    <w:rsid w:val="0021715E"/>
    <w:rsid w:val="002172E3"/>
    <w:rsid w:val="002172F5"/>
    <w:rsid w:val="00217378"/>
    <w:rsid w:val="00217510"/>
    <w:rsid w:val="00217511"/>
    <w:rsid w:val="002175A2"/>
    <w:rsid w:val="002175FC"/>
    <w:rsid w:val="00217728"/>
    <w:rsid w:val="0021785D"/>
    <w:rsid w:val="00217989"/>
    <w:rsid w:val="00217B19"/>
    <w:rsid w:val="00217BD2"/>
    <w:rsid w:val="00217C8B"/>
    <w:rsid w:val="00217CDD"/>
    <w:rsid w:val="00217CFE"/>
    <w:rsid w:val="00217D86"/>
    <w:rsid w:val="00217DCC"/>
    <w:rsid w:val="00217ED9"/>
    <w:rsid w:val="00217EDC"/>
    <w:rsid w:val="00217F1F"/>
    <w:rsid w:val="0022010C"/>
    <w:rsid w:val="002201D6"/>
    <w:rsid w:val="0022021D"/>
    <w:rsid w:val="00220293"/>
    <w:rsid w:val="002202E9"/>
    <w:rsid w:val="0022035D"/>
    <w:rsid w:val="0022037F"/>
    <w:rsid w:val="0022042A"/>
    <w:rsid w:val="0022058E"/>
    <w:rsid w:val="00220685"/>
    <w:rsid w:val="0022081A"/>
    <w:rsid w:val="00220831"/>
    <w:rsid w:val="0022086C"/>
    <w:rsid w:val="002208C0"/>
    <w:rsid w:val="002208D8"/>
    <w:rsid w:val="002208E2"/>
    <w:rsid w:val="0022092B"/>
    <w:rsid w:val="00220958"/>
    <w:rsid w:val="00220992"/>
    <w:rsid w:val="00220A3F"/>
    <w:rsid w:val="00220B0A"/>
    <w:rsid w:val="00220BC9"/>
    <w:rsid w:val="00220BF3"/>
    <w:rsid w:val="00220C44"/>
    <w:rsid w:val="00220CF1"/>
    <w:rsid w:val="00220D31"/>
    <w:rsid w:val="00220DC5"/>
    <w:rsid w:val="00220E41"/>
    <w:rsid w:val="00220EF5"/>
    <w:rsid w:val="00220FE9"/>
    <w:rsid w:val="002210C2"/>
    <w:rsid w:val="002210E2"/>
    <w:rsid w:val="00221174"/>
    <w:rsid w:val="00221224"/>
    <w:rsid w:val="00221259"/>
    <w:rsid w:val="002213A5"/>
    <w:rsid w:val="002213A8"/>
    <w:rsid w:val="002213DB"/>
    <w:rsid w:val="002213EE"/>
    <w:rsid w:val="00221431"/>
    <w:rsid w:val="002215C1"/>
    <w:rsid w:val="002215E6"/>
    <w:rsid w:val="002216A6"/>
    <w:rsid w:val="002216F6"/>
    <w:rsid w:val="00221908"/>
    <w:rsid w:val="0022195C"/>
    <w:rsid w:val="002219DE"/>
    <w:rsid w:val="00221C0B"/>
    <w:rsid w:val="00221C3C"/>
    <w:rsid w:val="00221D13"/>
    <w:rsid w:val="00221E0C"/>
    <w:rsid w:val="00221E1F"/>
    <w:rsid w:val="00221F2F"/>
    <w:rsid w:val="00221F30"/>
    <w:rsid w:val="00221F3E"/>
    <w:rsid w:val="00221F69"/>
    <w:rsid w:val="00221FDF"/>
    <w:rsid w:val="0022206C"/>
    <w:rsid w:val="0022211E"/>
    <w:rsid w:val="002222A2"/>
    <w:rsid w:val="00222332"/>
    <w:rsid w:val="0022237E"/>
    <w:rsid w:val="00222381"/>
    <w:rsid w:val="0022238A"/>
    <w:rsid w:val="002223B5"/>
    <w:rsid w:val="002223BF"/>
    <w:rsid w:val="00222405"/>
    <w:rsid w:val="00222415"/>
    <w:rsid w:val="00222447"/>
    <w:rsid w:val="002224CB"/>
    <w:rsid w:val="00222507"/>
    <w:rsid w:val="00222555"/>
    <w:rsid w:val="0022265F"/>
    <w:rsid w:val="0022268C"/>
    <w:rsid w:val="00222814"/>
    <w:rsid w:val="00222953"/>
    <w:rsid w:val="0022298E"/>
    <w:rsid w:val="002229B4"/>
    <w:rsid w:val="002229D3"/>
    <w:rsid w:val="00222BBB"/>
    <w:rsid w:val="00222BF6"/>
    <w:rsid w:val="00222C38"/>
    <w:rsid w:val="00222CB9"/>
    <w:rsid w:val="00222D41"/>
    <w:rsid w:val="00222DA4"/>
    <w:rsid w:val="00222DD6"/>
    <w:rsid w:val="00222F57"/>
    <w:rsid w:val="00222F8F"/>
    <w:rsid w:val="00222F93"/>
    <w:rsid w:val="00223036"/>
    <w:rsid w:val="0022309F"/>
    <w:rsid w:val="002232FC"/>
    <w:rsid w:val="00223417"/>
    <w:rsid w:val="00223442"/>
    <w:rsid w:val="00223495"/>
    <w:rsid w:val="00223612"/>
    <w:rsid w:val="0022375F"/>
    <w:rsid w:val="00223771"/>
    <w:rsid w:val="002238C4"/>
    <w:rsid w:val="00223939"/>
    <w:rsid w:val="00223989"/>
    <w:rsid w:val="00223A32"/>
    <w:rsid w:val="00223A3E"/>
    <w:rsid w:val="00223B3F"/>
    <w:rsid w:val="00223B61"/>
    <w:rsid w:val="00223B65"/>
    <w:rsid w:val="00223B9D"/>
    <w:rsid w:val="00223C34"/>
    <w:rsid w:val="00223D84"/>
    <w:rsid w:val="00223E78"/>
    <w:rsid w:val="00223F11"/>
    <w:rsid w:val="00223F65"/>
    <w:rsid w:val="00223F67"/>
    <w:rsid w:val="00223F8C"/>
    <w:rsid w:val="00224036"/>
    <w:rsid w:val="00224060"/>
    <w:rsid w:val="00224185"/>
    <w:rsid w:val="0022420C"/>
    <w:rsid w:val="0022435A"/>
    <w:rsid w:val="002243C3"/>
    <w:rsid w:val="00224422"/>
    <w:rsid w:val="00224434"/>
    <w:rsid w:val="0022450A"/>
    <w:rsid w:val="0022452E"/>
    <w:rsid w:val="00224569"/>
    <w:rsid w:val="002245BD"/>
    <w:rsid w:val="0022469E"/>
    <w:rsid w:val="00224822"/>
    <w:rsid w:val="00224887"/>
    <w:rsid w:val="002248FD"/>
    <w:rsid w:val="0022490C"/>
    <w:rsid w:val="002249C0"/>
    <w:rsid w:val="00224A1C"/>
    <w:rsid w:val="00224A25"/>
    <w:rsid w:val="00224A37"/>
    <w:rsid w:val="00224AB5"/>
    <w:rsid w:val="00224B17"/>
    <w:rsid w:val="00224B51"/>
    <w:rsid w:val="00224B9C"/>
    <w:rsid w:val="00224D42"/>
    <w:rsid w:val="00224DFD"/>
    <w:rsid w:val="00224E69"/>
    <w:rsid w:val="00225025"/>
    <w:rsid w:val="00225077"/>
    <w:rsid w:val="0022507B"/>
    <w:rsid w:val="002250DA"/>
    <w:rsid w:val="00225340"/>
    <w:rsid w:val="0022534F"/>
    <w:rsid w:val="002254EE"/>
    <w:rsid w:val="00225510"/>
    <w:rsid w:val="00225630"/>
    <w:rsid w:val="00225688"/>
    <w:rsid w:val="002256A1"/>
    <w:rsid w:val="002256C2"/>
    <w:rsid w:val="0022570B"/>
    <w:rsid w:val="002257FF"/>
    <w:rsid w:val="00225836"/>
    <w:rsid w:val="00225843"/>
    <w:rsid w:val="002258D6"/>
    <w:rsid w:val="00225A23"/>
    <w:rsid w:val="00225ADB"/>
    <w:rsid w:val="00225BF1"/>
    <w:rsid w:val="00225C74"/>
    <w:rsid w:val="00225D04"/>
    <w:rsid w:val="00225D2E"/>
    <w:rsid w:val="00225DE3"/>
    <w:rsid w:val="00225F7B"/>
    <w:rsid w:val="00226128"/>
    <w:rsid w:val="0022618E"/>
    <w:rsid w:val="0022623C"/>
    <w:rsid w:val="0022628B"/>
    <w:rsid w:val="00226354"/>
    <w:rsid w:val="00226582"/>
    <w:rsid w:val="00226687"/>
    <w:rsid w:val="002266BF"/>
    <w:rsid w:val="002266DB"/>
    <w:rsid w:val="002266F5"/>
    <w:rsid w:val="00226733"/>
    <w:rsid w:val="00226757"/>
    <w:rsid w:val="002268F6"/>
    <w:rsid w:val="00226C3E"/>
    <w:rsid w:val="00226DBC"/>
    <w:rsid w:val="00226DC7"/>
    <w:rsid w:val="00226F0F"/>
    <w:rsid w:val="00226FA3"/>
    <w:rsid w:val="00227010"/>
    <w:rsid w:val="00227191"/>
    <w:rsid w:val="002271AE"/>
    <w:rsid w:val="0022723A"/>
    <w:rsid w:val="0022733D"/>
    <w:rsid w:val="00227423"/>
    <w:rsid w:val="002275B2"/>
    <w:rsid w:val="00227768"/>
    <w:rsid w:val="00227769"/>
    <w:rsid w:val="002277AE"/>
    <w:rsid w:val="00227C59"/>
    <w:rsid w:val="00227DDA"/>
    <w:rsid w:val="00227DFD"/>
    <w:rsid w:val="00227E92"/>
    <w:rsid w:val="00227EC1"/>
    <w:rsid w:val="00227EC9"/>
    <w:rsid w:val="00227F64"/>
    <w:rsid w:val="00227FA3"/>
    <w:rsid w:val="00230439"/>
    <w:rsid w:val="0023044F"/>
    <w:rsid w:val="0023047A"/>
    <w:rsid w:val="0023048E"/>
    <w:rsid w:val="002305C2"/>
    <w:rsid w:val="002305F0"/>
    <w:rsid w:val="00230647"/>
    <w:rsid w:val="00230700"/>
    <w:rsid w:val="002307BA"/>
    <w:rsid w:val="002309A7"/>
    <w:rsid w:val="002309AD"/>
    <w:rsid w:val="00230A71"/>
    <w:rsid w:val="00230A7D"/>
    <w:rsid w:val="00230D50"/>
    <w:rsid w:val="00230F15"/>
    <w:rsid w:val="00230F94"/>
    <w:rsid w:val="00230FC5"/>
    <w:rsid w:val="00231027"/>
    <w:rsid w:val="00231190"/>
    <w:rsid w:val="00231199"/>
    <w:rsid w:val="0023119F"/>
    <w:rsid w:val="00231237"/>
    <w:rsid w:val="00231290"/>
    <w:rsid w:val="00231331"/>
    <w:rsid w:val="0023134C"/>
    <w:rsid w:val="0023138F"/>
    <w:rsid w:val="002313AE"/>
    <w:rsid w:val="00231415"/>
    <w:rsid w:val="0023149F"/>
    <w:rsid w:val="002314F4"/>
    <w:rsid w:val="0023158B"/>
    <w:rsid w:val="0023160F"/>
    <w:rsid w:val="00231652"/>
    <w:rsid w:val="002316B0"/>
    <w:rsid w:val="002316CB"/>
    <w:rsid w:val="002317CB"/>
    <w:rsid w:val="0023184E"/>
    <w:rsid w:val="00231868"/>
    <w:rsid w:val="002318A9"/>
    <w:rsid w:val="0023192C"/>
    <w:rsid w:val="00231B01"/>
    <w:rsid w:val="00231BC9"/>
    <w:rsid w:val="00231D10"/>
    <w:rsid w:val="00231D5D"/>
    <w:rsid w:val="00231D78"/>
    <w:rsid w:val="00231DB9"/>
    <w:rsid w:val="00231EFE"/>
    <w:rsid w:val="00231F81"/>
    <w:rsid w:val="00231F85"/>
    <w:rsid w:val="00231FC9"/>
    <w:rsid w:val="00232008"/>
    <w:rsid w:val="002321BA"/>
    <w:rsid w:val="002321E6"/>
    <w:rsid w:val="002321F3"/>
    <w:rsid w:val="002322D4"/>
    <w:rsid w:val="002322EF"/>
    <w:rsid w:val="00232326"/>
    <w:rsid w:val="002323BE"/>
    <w:rsid w:val="002323EB"/>
    <w:rsid w:val="002324A8"/>
    <w:rsid w:val="0023251E"/>
    <w:rsid w:val="0023264A"/>
    <w:rsid w:val="00232740"/>
    <w:rsid w:val="0023278F"/>
    <w:rsid w:val="00232924"/>
    <w:rsid w:val="002329EF"/>
    <w:rsid w:val="00232A44"/>
    <w:rsid w:val="00232B43"/>
    <w:rsid w:val="00232C23"/>
    <w:rsid w:val="00232C86"/>
    <w:rsid w:val="00232D98"/>
    <w:rsid w:val="00232E33"/>
    <w:rsid w:val="00232E6F"/>
    <w:rsid w:val="00232F72"/>
    <w:rsid w:val="00232FB1"/>
    <w:rsid w:val="0023305D"/>
    <w:rsid w:val="0023306E"/>
    <w:rsid w:val="00233325"/>
    <w:rsid w:val="0023332A"/>
    <w:rsid w:val="0023338D"/>
    <w:rsid w:val="002333C2"/>
    <w:rsid w:val="0023341F"/>
    <w:rsid w:val="002334A1"/>
    <w:rsid w:val="0023355B"/>
    <w:rsid w:val="00233607"/>
    <w:rsid w:val="00233665"/>
    <w:rsid w:val="00233684"/>
    <w:rsid w:val="002336CF"/>
    <w:rsid w:val="0023373D"/>
    <w:rsid w:val="0023374E"/>
    <w:rsid w:val="00233782"/>
    <w:rsid w:val="00233899"/>
    <w:rsid w:val="002338D1"/>
    <w:rsid w:val="00233914"/>
    <w:rsid w:val="00233AC8"/>
    <w:rsid w:val="00233DC1"/>
    <w:rsid w:val="00233DC2"/>
    <w:rsid w:val="00233E66"/>
    <w:rsid w:val="00234080"/>
    <w:rsid w:val="002340FA"/>
    <w:rsid w:val="00234251"/>
    <w:rsid w:val="00234317"/>
    <w:rsid w:val="00234347"/>
    <w:rsid w:val="0023443D"/>
    <w:rsid w:val="00234446"/>
    <w:rsid w:val="00234470"/>
    <w:rsid w:val="0023459B"/>
    <w:rsid w:val="00234654"/>
    <w:rsid w:val="00234664"/>
    <w:rsid w:val="002346EB"/>
    <w:rsid w:val="0023482F"/>
    <w:rsid w:val="00234B61"/>
    <w:rsid w:val="00234BB0"/>
    <w:rsid w:val="00234DFA"/>
    <w:rsid w:val="00234EB5"/>
    <w:rsid w:val="00235079"/>
    <w:rsid w:val="002350C2"/>
    <w:rsid w:val="002350F7"/>
    <w:rsid w:val="0023512D"/>
    <w:rsid w:val="00235142"/>
    <w:rsid w:val="0023517C"/>
    <w:rsid w:val="00235192"/>
    <w:rsid w:val="002351A7"/>
    <w:rsid w:val="002351F3"/>
    <w:rsid w:val="00235203"/>
    <w:rsid w:val="00235229"/>
    <w:rsid w:val="002352BA"/>
    <w:rsid w:val="0023551C"/>
    <w:rsid w:val="00235532"/>
    <w:rsid w:val="00235601"/>
    <w:rsid w:val="00235653"/>
    <w:rsid w:val="002357B0"/>
    <w:rsid w:val="00235822"/>
    <w:rsid w:val="002358F9"/>
    <w:rsid w:val="0023599F"/>
    <w:rsid w:val="002359BB"/>
    <w:rsid w:val="002359EF"/>
    <w:rsid w:val="00235A36"/>
    <w:rsid w:val="00235A7D"/>
    <w:rsid w:val="00235AA4"/>
    <w:rsid w:val="00235B3D"/>
    <w:rsid w:val="00235B85"/>
    <w:rsid w:val="00235C36"/>
    <w:rsid w:val="00235C44"/>
    <w:rsid w:val="00235C84"/>
    <w:rsid w:val="00235C8E"/>
    <w:rsid w:val="00235CD5"/>
    <w:rsid w:val="00235D4A"/>
    <w:rsid w:val="00235E92"/>
    <w:rsid w:val="00235EC5"/>
    <w:rsid w:val="00235F40"/>
    <w:rsid w:val="0023604E"/>
    <w:rsid w:val="0023608A"/>
    <w:rsid w:val="0023609D"/>
    <w:rsid w:val="002360C6"/>
    <w:rsid w:val="00236123"/>
    <w:rsid w:val="002361CB"/>
    <w:rsid w:val="00236232"/>
    <w:rsid w:val="00236400"/>
    <w:rsid w:val="00236475"/>
    <w:rsid w:val="002364D4"/>
    <w:rsid w:val="0023668A"/>
    <w:rsid w:val="00236699"/>
    <w:rsid w:val="0023672E"/>
    <w:rsid w:val="0023692D"/>
    <w:rsid w:val="00236A70"/>
    <w:rsid w:val="00236AF4"/>
    <w:rsid w:val="00236AFB"/>
    <w:rsid w:val="00236BE5"/>
    <w:rsid w:val="00236D63"/>
    <w:rsid w:val="00236DBA"/>
    <w:rsid w:val="00236DC4"/>
    <w:rsid w:val="00236DC7"/>
    <w:rsid w:val="00236E3A"/>
    <w:rsid w:val="0023720D"/>
    <w:rsid w:val="00237224"/>
    <w:rsid w:val="00237284"/>
    <w:rsid w:val="002372EE"/>
    <w:rsid w:val="00237397"/>
    <w:rsid w:val="0023739C"/>
    <w:rsid w:val="00237598"/>
    <w:rsid w:val="00237663"/>
    <w:rsid w:val="0023766D"/>
    <w:rsid w:val="00237688"/>
    <w:rsid w:val="00237714"/>
    <w:rsid w:val="00237878"/>
    <w:rsid w:val="00237914"/>
    <w:rsid w:val="00237B20"/>
    <w:rsid w:val="00237B8B"/>
    <w:rsid w:val="00237B91"/>
    <w:rsid w:val="00237D66"/>
    <w:rsid w:val="00237DB8"/>
    <w:rsid w:val="00237DF2"/>
    <w:rsid w:val="00237E8A"/>
    <w:rsid w:val="00237EB8"/>
    <w:rsid w:val="00237EF4"/>
    <w:rsid w:val="00237F99"/>
    <w:rsid w:val="00237F9C"/>
    <w:rsid w:val="00237FA4"/>
    <w:rsid w:val="002400DE"/>
    <w:rsid w:val="0024011D"/>
    <w:rsid w:val="00240177"/>
    <w:rsid w:val="0024017B"/>
    <w:rsid w:val="002401D3"/>
    <w:rsid w:val="002401FD"/>
    <w:rsid w:val="0024029C"/>
    <w:rsid w:val="002402A3"/>
    <w:rsid w:val="002402F9"/>
    <w:rsid w:val="00240451"/>
    <w:rsid w:val="0024052B"/>
    <w:rsid w:val="002406D4"/>
    <w:rsid w:val="00240760"/>
    <w:rsid w:val="002407EA"/>
    <w:rsid w:val="002408FF"/>
    <w:rsid w:val="00240992"/>
    <w:rsid w:val="00240A1F"/>
    <w:rsid w:val="00240B29"/>
    <w:rsid w:val="00240C46"/>
    <w:rsid w:val="00240CB5"/>
    <w:rsid w:val="00240D9D"/>
    <w:rsid w:val="00240DD7"/>
    <w:rsid w:val="00240DDC"/>
    <w:rsid w:val="00240E50"/>
    <w:rsid w:val="00240E5D"/>
    <w:rsid w:val="00240FDD"/>
    <w:rsid w:val="002410D8"/>
    <w:rsid w:val="002411DD"/>
    <w:rsid w:val="0024120F"/>
    <w:rsid w:val="002412B2"/>
    <w:rsid w:val="002412BF"/>
    <w:rsid w:val="00241405"/>
    <w:rsid w:val="0024148E"/>
    <w:rsid w:val="0024150E"/>
    <w:rsid w:val="0024153E"/>
    <w:rsid w:val="002415AD"/>
    <w:rsid w:val="00241754"/>
    <w:rsid w:val="00241812"/>
    <w:rsid w:val="00241847"/>
    <w:rsid w:val="00241869"/>
    <w:rsid w:val="002418AE"/>
    <w:rsid w:val="002418D9"/>
    <w:rsid w:val="00241B3C"/>
    <w:rsid w:val="00241B6E"/>
    <w:rsid w:val="00241C37"/>
    <w:rsid w:val="00241CF9"/>
    <w:rsid w:val="00241D96"/>
    <w:rsid w:val="00241E69"/>
    <w:rsid w:val="00241E6B"/>
    <w:rsid w:val="00241EA5"/>
    <w:rsid w:val="00241F32"/>
    <w:rsid w:val="00241F47"/>
    <w:rsid w:val="00241F4B"/>
    <w:rsid w:val="00241F5B"/>
    <w:rsid w:val="00242015"/>
    <w:rsid w:val="00242084"/>
    <w:rsid w:val="0024214D"/>
    <w:rsid w:val="002421D4"/>
    <w:rsid w:val="002421E3"/>
    <w:rsid w:val="002423AD"/>
    <w:rsid w:val="00242416"/>
    <w:rsid w:val="0024241A"/>
    <w:rsid w:val="002424A4"/>
    <w:rsid w:val="00242546"/>
    <w:rsid w:val="002425E8"/>
    <w:rsid w:val="0024267E"/>
    <w:rsid w:val="002426EE"/>
    <w:rsid w:val="002427AE"/>
    <w:rsid w:val="0024287D"/>
    <w:rsid w:val="00242890"/>
    <w:rsid w:val="00242925"/>
    <w:rsid w:val="00242A53"/>
    <w:rsid w:val="00242A8E"/>
    <w:rsid w:val="00242C8F"/>
    <w:rsid w:val="00242D24"/>
    <w:rsid w:val="00242D53"/>
    <w:rsid w:val="00242D60"/>
    <w:rsid w:val="00242D74"/>
    <w:rsid w:val="00242D90"/>
    <w:rsid w:val="00242DBA"/>
    <w:rsid w:val="00242EE7"/>
    <w:rsid w:val="00242F9D"/>
    <w:rsid w:val="00243088"/>
    <w:rsid w:val="002430F2"/>
    <w:rsid w:val="00243121"/>
    <w:rsid w:val="00243127"/>
    <w:rsid w:val="002431B8"/>
    <w:rsid w:val="00243248"/>
    <w:rsid w:val="0024327A"/>
    <w:rsid w:val="002432C6"/>
    <w:rsid w:val="002435AE"/>
    <w:rsid w:val="00243657"/>
    <w:rsid w:val="002436BA"/>
    <w:rsid w:val="002436C1"/>
    <w:rsid w:val="002436E9"/>
    <w:rsid w:val="0024370B"/>
    <w:rsid w:val="00243848"/>
    <w:rsid w:val="00243916"/>
    <w:rsid w:val="002439A5"/>
    <w:rsid w:val="00243A39"/>
    <w:rsid w:val="00243AF7"/>
    <w:rsid w:val="00243B2A"/>
    <w:rsid w:val="00243B82"/>
    <w:rsid w:val="00243BD4"/>
    <w:rsid w:val="00243C7E"/>
    <w:rsid w:val="00243D24"/>
    <w:rsid w:val="00243ED5"/>
    <w:rsid w:val="00243F14"/>
    <w:rsid w:val="00243FAD"/>
    <w:rsid w:val="002440EB"/>
    <w:rsid w:val="002440EE"/>
    <w:rsid w:val="00244126"/>
    <w:rsid w:val="002441CC"/>
    <w:rsid w:val="002441E8"/>
    <w:rsid w:val="00244206"/>
    <w:rsid w:val="00244302"/>
    <w:rsid w:val="002443C6"/>
    <w:rsid w:val="00244500"/>
    <w:rsid w:val="00244689"/>
    <w:rsid w:val="002447A2"/>
    <w:rsid w:val="00244890"/>
    <w:rsid w:val="002448A9"/>
    <w:rsid w:val="002448BB"/>
    <w:rsid w:val="00244908"/>
    <w:rsid w:val="00244918"/>
    <w:rsid w:val="00244944"/>
    <w:rsid w:val="0024494B"/>
    <w:rsid w:val="00244A04"/>
    <w:rsid w:val="00244A0C"/>
    <w:rsid w:val="00244B21"/>
    <w:rsid w:val="00244B32"/>
    <w:rsid w:val="00244B4F"/>
    <w:rsid w:val="00244B74"/>
    <w:rsid w:val="00244BE6"/>
    <w:rsid w:val="00244C37"/>
    <w:rsid w:val="00244C4E"/>
    <w:rsid w:val="00244CA0"/>
    <w:rsid w:val="00244DDA"/>
    <w:rsid w:val="00244FB9"/>
    <w:rsid w:val="00245010"/>
    <w:rsid w:val="00245128"/>
    <w:rsid w:val="0024515A"/>
    <w:rsid w:val="0024515C"/>
    <w:rsid w:val="002452D4"/>
    <w:rsid w:val="00245468"/>
    <w:rsid w:val="002455F0"/>
    <w:rsid w:val="0024572C"/>
    <w:rsid w:val="0024574B"/>
    <w:rsid w:val="00245802"/>
    <w:rsid w:val="00245845"/>
    <w:rsid w:val="0024587C"/>
    <w:rsid w:val="00245899"/>
    <w:rsid w:val="002458D4"/>
    <w:rsid w:val="002458E8"/>
    <w:rsid w:val="00245955"/>
    <w:rsid w:val="00245981"/>
    <w:rsid w:val="00245A3F"/>
    <w:rsid w:val="00245A53"/>
    <w:rsid w:val="00245A96"/>
    <w:rsid w:val="00245AA3"/>
    <w:rsid w:val="00245B53"/>
    <w:rsid w:val="00245B72"/>
    <w:rsid w:val="00245B83"/>
    <w:rsid w:val="00245B85"/>
    <w:rsid w:val="00245B9A"/>
    <w:rsid w:val="00245C71"/>
    <w:rsid w:val="00245D5D"/>
    <w:rsid w:val="00245D74"/>
    <w:rsid w:val="00245FB2"/>
    <w:rsid w:val="00245FC9"/>
    <w:rsid w:val="0024604A"/>
    <w:rsid w:val="002460E5"/>
    <w:rsid w:val="002461F4"/>
    <w:rsid w:val="0024623A"/>
    <w:rsid w:val="002463AA"/>
    <w:rsid w:val="002463D9"/>
    <w:rsid w:val="00246491"/>
    <w:rsid w:val="0024652F"/>
    <w:rsid w:val="00246573"/>
    <w:rsid w:val="0024658B"/>
    <w:rsid w:val="002465A7"/>
    <w:rsid w:val="002466A7"/>
    <w:rsid w:val="002467ED"/>
    <w:rsid w:val="00246840"/>
    <w:rsid w:val="00246854"/>
    <w:rsid w:val="002468E8"/>
    <w:rsid w:val="00246967"/>
    <w:rsid w:val="00246BDC"/>
    <w:rsid w:val="00246D0E"/>
    <w:rsid w:val="00246D40"/>
    <w:rsid w:val="00246DAF"/>
    <w:rsid w:val="00246E61"/>
    <w:rsid w:val="00246EBE"/>
    <w:rsid w:val="00246FFF"/>
    <w:rsid w:val="0024703C"/>
    <w:rsid w:val="00247090"/>
    <w:rsid w:val="00247112"/>
    <w:rsid w:val="0024712E"/>
    <w:rsid w:val="00247140"/>
    <w:rsid w:val="00247191"/>
    <w:rsid w:val="002472F7"/>
    <w:rsid w:val="00247376"/>
    <w:rsid w:val="0024747A"/>
    <w:rsid w:val="002476D2"/>
    <w:rsid w:val="0024772F"/>
    <w:rsid w:val="00247860"/>
    <w:rsid w:val="00247876"/>
    <w:rsid w:val="0024789F"/>
    <w:rsid w:val="002478B1"/>
    <w:rsid w:val="00247947"/>
    <w:rsid w:val="00247A57"/>
    <w:rsid w:val="00247AF3"/>
    <w:rsid w:val="00247BC9"/>
    <w:rsid w:val="00247F39"/>
    <w:rsid w:val="00247F64"/>
    <w:rsid w:val="0025005A"/>
    <w:rsid w:val="0025012F"/>
    <w:rsid w:val="00250161"/>
    <w:rsid w:val="00250183"/>
    <w:rsid w:val="00250249"/>
    <w:rsid w:val="0025031D"/>
    <w:rsid w:val="00250469"/>
    <w:rsid w:val="0025051C"/>
    <w:rsid w:val="00250599"/>
    <w:rsid w:val="00250653"/>
    <w:rsid w:val="00250730"/>
    <w:rsid w:val="0025079C"/>
    <w:rsid w:val="002507D5"/>
    <w:rsid w:val="00250820"/>
    <w:rsid w:val="002508C6"/>
    <w:rsid w:val="00250901"/>
    <w:rsid w:val="0025095D"/>
    <w:rsid w:val="002509CB"/>
    <w:rsid w:val="002509D0"/>
    <w:rsid w:val="00250A25"/>
    <w:rsid w:val="00250B82"/>
    <w:rsid w:val="00250CD9"/>
    <w:rsid w:val="00250CE2"/>
    <w:rsid w:val="00250CEE"/>
    <w:rsid w:val="00250D89"/>
    <w:rsid w:val="00250E5F"/>
    <w:rsid w:val="00250EAB"/>
    <w:rsid w:val="00250F73"/>
    <w:rsid w:val="00250FBC"/>
    <w:rsid w:val="00251012"/>
    <w:rsid w:val="002511FC"/>
    <w:rsid w:val="00251301"/>
    <w:rsid w:val="00251328"/>
    <w:rsid w:val="0025135B"/>
    <w:rsid w:val="002513B0"/>
    <w:rsid w:val="00251434"/>
    <w:rsid w:val="00251479"/>
    <w:rsid w:val="002514D6"/>
    <w:rsid w:val="00251548"/>
    <w:rsid w:val="00251556"/>
    <w:rsid w:val="00251575"/>
    <w:rsid w:val="0025159C"/>
    <w:rsid w:val="002515A3"/>
    <w:rsid w:val="00251616"/>
    <w:rsid w:val="002517B5"/>
    <w:rsid w:val="002517CA"/>
    <w:rsid w:val="002518D5"/>
    <w:rsid w:val="0025190A"/>
    <w:rsid w:val="00251911"/>
    <w:rsid w:val="00251974"/>
    <w:rsid w:val="002519F0"/>
    <w:rsid w:val="00251A0E"/>
    <w:rsid w:val="00251AB6"/>
    <w:rsid w:val="00251AC0"/>
    <w:rsid w:val="00251AE9"/>
    <w:rsid w:val="00251B7E"/>
    <w:rsid w:val="00251C07"/>
    <w:rsid w:val="00251C7F"/>
    <w:rsid w:val="00251C86"/>
    <w:rsid w:val="00251C87"/>
    <w:rsid w:val="00251E80"/>
    <w:rsid w:val="00251F70"/>
    <w:rsid w:val="00251F75"/>
    <w:rsid w:val="00251F7C"/>
    <w:rsid w:val="00251FE6"/>
    <w:rsid w:val="00251FF6"/>
    <w:rsid w:val="0025206D"/>
    <w:rsid w:val="0025212E"/>
    <w:rsid w:val="00252157"/>
    <w:rsid w:val="0025221B"/>
    <w:rsid w:val="00252293"/>
    <w:rsid w:val="0025235A"/>
    <w:rsid w:val="0025244B"/>
    <w:rsid w:val="00252458"/>
    <w:rsid w:val="002524EF"/>
    <w:rsid w:val="00252578"/>
    <w:rsid w:val="002525C4"/>
    <w:rsid w:val="002525D6"/>
    <w:rsid w:val="002525E5"/>
    <w:rsid w:val="00252600"/>
    <w:rsid w:val="00252660"/>
    <w:rsid w:val="0025270D"/>
    <w:rsid w:val="00252865"/>
    <w:rsid w:val="0025293F"/>
    <w:rsid w:val="002529E0"/>
    <w:rsid w:val="00252A73"/>
    <w:rsid w:val="00252A78"/>
    <w:rsid w:val="00252ADB"/>
    <w:rsid w:val="00252C39"/>
    <w:rsid w:val="00252CA7"/>
    <w:rsid w:val="00252D5C"/>
    <w:rsid w:val="00252FDB"/>
    <w:rsid w:val="00253049"/>
    <w:rsid w:val="00253103"/>
    <w:rsid w:val="002531FE"/>
    <w:rsid w:val="0025330F"/>
    <w:rsid w:val="002533B2"/>
    <w:rsid w:val="00253454"/>
    <w:rsid w:val="0025353E"/>
    <w:rsid w:val="00253630"/>
    <w:rsid w:val="0025366C"/>
    <w:rsid w:val="00253702"/>
    <w:rsid w:val="002537AB"/>
    <w:rsid w:val="002537C6"/>
    <w:rsid w:val="00253908"/>
    <w:rsid w:val="00253991"/>
    <w:rsid w:val="002539D6"/>
    <w:rsid w:val="00253A28"/>
    <w:rsid w:val="00253A38"/>
    <w:rsid w:val="00253AB7"/>
    <w:rsid w:val="00253B0E"/>
    <w:rsid w:val="00253BB8"/>
    <w:rsid w:val="00253CB0"/>
    <w:rsid w:val="00253D4E"/>
    <w:rsid w:val="00253EFE"/>
    <w:rsid w:val="00253F43"/>
    <w:rsid w:val="00254015"/>
    <w:rsid w:val="00254079"/>
    <w:rsid w:val="00254095"/>
    <w:rsid w:val="00254124"/>
    <w:rsid w:val="00254127"/>
    <w:rsid w:val="0025416A"/>
    <w:rsid w:val="002541A4"/>
    <w:rsid w:val="002542E2"/>
    <w:rsid w:val="002542EB"/>
    <w:rsid w:val="00254318"/>
    <w:rsid w:val="0025435C"/>
    <w:rsid w:val="00254516"/>
    <w:rsid w:val="00254658"/>
    <w:rsid w:val="00254663"/>
    <w:rsid w:val="00254770"/>
    <w:rsid w:val="002547C0"/>
    <w:rsid w:val="002547CC"/>
    <w:rsid w:val="00254804"/>
    <w:rsid w:val="0025485B"/>
    <w:rsid w:val="00254976"/>
    <w:rsid w:val="00254B2E"/>
    <w:rsid w:val="00254B67"/>
    <w:rsid w:val="00254B8B"/>
    <w:rsid w:val="00254BC4"/>
    <w:rsid w:val="00254BC8"/>
    <w:rsid w:val="00254BF1"/>
    <w:rsid w:val="00254BFE"/>
    <w:rsid w:val="00254BFF"/>
    <w:rsid w:val="00254C73"/>
    <w:rsid w:val="00254C77"/>
    <w:rsid w:val="00254CCC"/>
    <w:rsid w:val="00254CFE"/>
    <w:rsid w:val="00254D96"/>
    <w:rsid w:val="00254E33"/>
    <w:rsid w:val="00254E5B"/>
    <w:rsid w:val="00254E95"/>
    <w:rsid w:val="00254EA5"/>
    <w:rsid w:val="00254EC2"/>
    <w:rsid w:val="00254F90"/>
    <w:rsid w:val="00254FD0"/>
    <w:rsid w:val="00255070"/>
    <w:rsid w:val="002550E8"/>
    <w:rsid w:val="0025517D"/>
    <w:rsid w:val="002551E9"/>
    <w:rsid w:val="00255234"/>
    <w:rsid w:val="00255236"/>
    <w:rsid w:val="0025531C"/>
    <w:rsid w:val="0025535A"/>
    <w:rsid w:val="002554BA"/>
    <w:rsid w:val="00255625"/>
    <w:rsid w:val="00255678"/>
    <w:rsid w:val="00255687"/>
    <w:rsid w:val="00255770"/>
    <w:rsid w:val="002557F3"/>
    <w:rsid w:val="00255836"/>
    <w:rsid w:val="0025588D"/>
    <w:rsid w:val="002559EB"/>
    <w:rsid w:val="00255A16"/>
    <w:rsid w:val="00255A2E"/>
    <w:rsid w:val="00255A32"/>
    <w:rsid w:val="00255AEE"/>
    <w:rsid w:val="00255B3C"/>
    <w:rsid w:val="00255BB8"/>
    <w:rsid w:val="00255C57"/>
    <w:rsid w:val="00255C67"/>
    <w:rsid w:val="00255CAA"/>
    <w:rsid w:val="00255D1D"/>
    <w:rsid w:val="00255E1C"/>
    <w:rsid w:val="00255F03"/>
    <w:rsid w:val="00256002"/>
    <w:rsid w:val="0025600A"/>
    <w:rsid w:val="0025610D"/>
    <w:rsid w:val="0025626C"/>
    <w:rsid w:val="0025634F"/>
    <w:rsid w:val="00256595"/>
    <w:rsid w:val="002565CA"/>
    <w:rsid w:val="002566F3"/>
    <w:rsid w:val="00256708"/>
    <w:rsid w:val="00256736"/>
    <w:rsid w:val="00256771"/>
    <w:rsid w:val="002567A3"/>
    <w:rsid w:val="002567C3"/>
    <w:rsid w:val="00256846"/>
    <w:rsid w:val="00256A48"/>
    <w:rsid w:val="00256A95"/>
    <w:rsid w:val="00256AD6"/>
    <w:rsid w:val="00256B80"/>
    <w:rsid w:val="00256BBA"/>
    <w:rsid w:val="00256C07"/>
    <w:rsid w:val="00256CB5"/>
    <w:rsid w:val="00256D1E"/>
    <w:rsid w:val="00256D73"/>
    <w:rsid w:val="00256E47"/>
    <w:rsid w:val="00256E68"/>
    <w:rsid w:val="00256E71"/>
    <w:rsid w:val="00256F02"/>
    <w:rsid w:val="00257078"/>
    <w:rsid w:val="0025710E"/>
    <w:rsid w:val="00257229"/>
    <w:rsid w:val="0025723D"/>
    <w:rsid w:val="00257255"/>
    <w:rsid w:val="002572BF"/>
    <w:rsid w:val="00257304"/>
    <w:rsid w:val="00257321"/>
    <w:rsid w:val="0025738F"/>
    <w:rsid w:val="00257467"/>
    <w:rsid w:val="002574B8"/>
    <w:rsid w:val="0025758A"/>
    <w:rsid w:val="00257601"/>
    <w:rsid w:val="00257636"/>
    <w:rsid w:val="00257654"/>
    <w:rsid w:val="0025765D"/>
    <w:rsid w:val="00257740"/>
    <w:rsid w:val="00257770"/>
    <w:rsid w:val="0025779C"/>
    <w:rsid w:val="002577F0"/>
    <w:rsid w:val="002577F1"/>
    <w:rsid w:val="0025789A"/>
    <w:rsid w:val="00257A4F"/>
    <w:rsid w:val="00257A63"/>
    <w:rsid w:val="00257A74"/>
    <w:rsid w:val="00257A7E"/>
    <w:rsid w:val="00257C7C"/>
    <w:rsid w:val="00257CB6"/>
    <w:rsid w:val="00257D8C"/>
    <w:rsid w:val="00257E91"/>
    <w:rsid w:val="00257F87"/>
    <w:rsid w:val="0026000B"/>
    <w:rsid w:val="0026010E"/>
    <w:rsid w:val="00260136"/>
    <w:rsid w:val="0026018D"/>
    <w:rsid w:val="00260224"/>
    <w:rsid w:val="002602E4"/>
    <w:rsid w:val="002602F1"/>
    <w:rsid w:val="0026033F"/>
    <w:rsid w:val="0026049A"/>
    <w:rsid w:val="00260511"/>
    <w:rsid w:val="00260531"/>
    <w:rsid w:val="00260556"/>
    <w:rsid w:val="00260602"/>
    <w:rsid w:val="00260648"/>
    <w:rsid w:val="00260661"/>
    <w:rsid w:val="0026079D"/>
    <w:rsid w:val="002609BB"/>
    <w:rsid w:val="00260A06"/>
    <w:rsid w:val="00260A56"/>
    <w:rsid w:val="00260C2B"/>
    <w:rsid w:val="00260D38"/>
    <w:rsid w:val="00260DA1"/>
    <w:rsid w:val="00260E12"/>
    <w:rsid w:val="00260EB7"/>
    <w:rsid w:val="00261086"/>
    <w:rsid w:val="00261125"/>
    <w:rsid w:val="0026112A"/>
    <w:rsid w:val="0026138D"/>
    <w:rsid w:val="0026145E"/>
    <w:rsid w:val="00261547"/>
    <w:rsid w:val="002616F2"/>
    <w:rsid w:val="00261737"/>
    <w:rsid w:val="002617CD"/>
    <w:rsid w:val="00261888"/>
    <w:rsid w:val="00261889"/>
    <w:rsid w:val="002618F7"/>
    <w:rsid w:val="00261966"/>
    <w:rsid w:val="00261A38"/>
    <w:rsid w:val="00261AB8"/>
    <w:rsid w:val="00261C33"/>
    <w:rsid w:val="00261C5A"/>
    <w:rsid w:val="00261D25"/>
    <w:rsid w:val="00261D2F"/>
    <w:rsid w:val="00261D9A"/>
    <w:rsid w:val="00261DAD"/>
    <w:rsid w:val="00261E07"/>
    <w:rsid w:val="00261EF6"/>
    <w:rsid w:val="00262049"/>
    <w:rsid w:val="0026216D"/>
    <w:rsid w:val="002621D3"/>
    <w:rsid w:val="0026228A"/>
    <w:rsid w:val="002622B6"/>
    <w:rsid w:val="00262307"/>
    <w:rsid w:val="002623FA"/>
    <w:rsid w:val="00262582"/>
    <w:rsid w:val="00262645"/>
    <w:rsid w:val="00262662"/>
    <w:rsid w:val="0026266B"/>
    <w:rsid w:val="0026269E"/>
    <w:rsid w:val="002627EE"/>
    <w:rsid w:val="002628AC"/>
    <w:rsid w:val="002628CD"/>
    <w:rsid w:val="00262A13"/>
    <w:rsid w:val="00262A21"/>
    <w:rsid w:val="00262B8C"/>
    <w:rsid w:val="00262DCA"/>
    <w:rsid w:val="00262E43"/>
    <w:rsid w:val="00262E50"/>
    <w:rsid w:val="00262FA0"/>
    <w:rsid w:val="00263088"/>
    <w:rsid w:val="002630AB"/>
    <w:rsid w:val="0026315B"/>
    <w:rsid w:val="00263177"/>
    <w:rsid w:val="002631ED"/>
    <w:rsid w:val="0026321A"/>
    <w:rsid w:val="0026323A"/>
    <w:rsid w:val="00263372"/>
    <w:rsid w:val="002633E9"/>
    <w:rsid w:val="00263410"/>
    <w:rsid w:val="00263553"/>
    <w:rsid w:val="002635BF"/>
    <w:rsid w:val="002635DC"/>
    <w:rsid w:val="00263653"/>
    <w:rsid w:val="0026369F"/>
    <w:rsid w:val="00263721"/>
    <w:rsid w:val="002638D2"/>
    <w:rsid w:val="002638F2"/>
    <w:rsid w:val="0026396A"/>
    <w:rsid w:val="00263980"/>
    <w:rsid w:val="00263996"/>
    <w:rsid w:val="00263A27"/>
    <w:rsid w:val="00263A37"/>
    <w:rsid w:val="00263A5D"/>
    <w:rsid w:val="00263AB3"/>
    <w:rsid w:val="00263AD0"/>
    <w:rsid w:val="00263AF5"/>
    <w:rsid w:val="00263B83"/>
    <w:rsid w:val="00263BF3"/>
    <w:rsid w:val="00263C47"/>
    <w:rsid w:val="00263CB5"/>
    <w:rsid w:val="00263D0A"/>
    <w:rsid w:val="00263DB6"/>
    <w:rsid w:val="00263E1A"/>
    <w:rsid w:val="00263E88"/>
    <w:rsid w:val="00263F60"/>
    <w:rsid w:val="00263FB2"/>
    <w:rsid w:val="00264161"/>
    <w:rsid w:val="002641A0"/>
    <w:rsid w:val="002641FD"/>
    <w:rsid w:val="00264352"/>
    <w:rsid w:val="0026438E"/>
    <w:rsid w:val="00264404"/>
    <w:rsid w:val="002644D1"/>
    <w:rsid w:val="00264527"/>
    <w:rsid w:val="00264571"/>
    <w:rsid w:val="002645D6"/>
    <w:rsid w:val="0026461D"/>
    <w:rsid w:val="002646B3"/>
    <w:rsid w:val="00264821"/>
    <w:rsid w:val="00264867"/>
    <w:rsid w:val="00264AD2"/>
    <w:rsid w:val="00264B36"/>
    <w:rsid w:val="00264B7B"/>
    <w:rsid w:val="00264C8B"/>
    <w:rsid w:val="00264DAE"/>
    <w:rsid w:val="00264DF3"/>
    <w:rsid w:val="00264E46"/>
    <w:rsid w:val="00264EA5"/>
    <w:rsid w:val="00264F3F"/>
    <w:rsid w:val="00264F43"/>
    <w:rsid w:val="00265101"/>
    <w:rsid w:val="0026511C"/>
    <w:rsid w:val="0026539A"/>
    <w:rsid w:val="002653B6"/>
    <w:rsid w:val="002655DA"/>
    <w:rsid w:val="00265619"/>
    <w:rsid w:val="00265667"/>
    <w:rsid w:val="0026575B"/>
    <w:rsid w:val="002657EA"/>
    <w:rsid w:val="00265906"/>
    <w:rsid w:val="002659C7"/>
    <w:rsid w:val="002659FC"/>
    <w:rsid w:val="00265A22"/>
    <w:rsid w:val="00265A28"/>
    <w:rsid w:val="00265A85"/>
    <w:rsid w:val="00265AA7"/>
    <w:rsid w:val="00265AEC"/>
    <w:rsid w:val="00265B05"/>
    <w:rsid w:val="00265B07"/>
    <w:rsid w:val="00265B10"/>
    <w:rsid w:val="00265C2C"/>
    <w:rsid w:val="00265C72"/>
    <w:rsid w:val="00265C80"/>
    <w:rsid w:val="00265DC9"/>
    <w:rsid w:val="00265E4F"/>
    <w:rsid w:val="00265F13"/>
    <w:rsid w:val="00266019"/>
    <w:rsid w:val="00266026"/>
    <w:rsid w:val="002661BA"/>
    <w:rsid w:val="002661CD"/>
    <w:rsid w:val="0026622C"/>
    <w:rsid w:val="002663AD"/>
    <w:rsid w:val="00266455"/>
    <w:rsid w:val="002668BE"/>
    <w:rsid w:val="00266957"/>
    <w:rsid w:val="0026698C"/>
    <w:rsid w:val="00266A56"/>
    <w:rsid w:val="00266B1A"/>
    <w:rsid w:val="00266C06"/>
    <w:rsid w:val="00266C67"/>
    <w:rsid w:val="00266D27"/>
    <w:rsid w:val="00266D94"/>
    <w:rsid w:val="00266DFC"/>
    <w:rsid w:val="00266E45"/>
    <w:rsid w:val="0026704F"/>
    <w:rsid w:val="00267115"/>
    <w:rsid w:val="00267117"/>
    <w:rsid w:val="00267321"/>
    <w:rsid w:val="002674DC"/>
    <w:rsid w:val="002675B7"/>
    <w:rsid w:val="00267607"/>
    <w:rsid w:val="0026764F"/>
    <w:rsid w:val="00267693"/>
    <w:rsid w:val="00267780"/>
    <w:rsid w:val="00267794"/>
    <w:rsid w:val="002677A4"/>
    <w:rsid w:val="002677E3"/>
    <w:rsid w:val="002677FC"/>
    <w:rsid w:val="0026781F"/>
    <w:rsid w:val="0026793B"/>
    <w:rsid w:val="0026794D"/>
    <w:rsid w:val="002679A6"/>
    <w:rsid w:val="00267A35"/>
    <w:rsid w:val="00267BC7"/>
    <w:rsid w:val="00267C66"/>
    <w:rsid w:val="00267C87"/>
    <w:rsid w:val="00267C9A"/>
    <w:rsid w:val="00267D00"/>
    <w:rsid w:val="00267D8B"/>
    <w:rsid w:val="00267F74"/>
    <w:rsid w:val="0027004C"/>
    <w:rsid w:val="0027006A"/>
    <w:rsid w:val="00270093"/>
    <w:rsid w:val="00270130"/>
    <w:rsid w:val="00270428"/>
    <w:rsid w:val="00270480"/>
    <w:rsid w:val="002705BF"/>
    <w:rsid w:val="00270607"/>
    <w:rsid w:val="00270640"/>
    <w:rsid w:val="002706BF"/>
    <w:rsid w:val="002706F3"/>
    <w:rsid w:val="0027076B"/>
    <w:rsid w:val="002708FC"/>
    <w:rsid w:val="0027094C"/>
    <w:rsid w:val="002709B0"/>
    <w:rsid w:val="002709D2"/>
    <w:rsid w:val="002709E2"/>
    <w:rsid w:val="00270A4A"/>
    <w:rsid w:val="00270A8A"/>
    <w:rsid w:val="00270BA2"/>
    <w:rsid w:val="00270CE8"/>
    <w:rsid w:val="00270CFA"/>
    <w:rsid w:val="00270DE4"/>
    <w:rsid w:val="00270EEF"/>
    <w:rsid w:val="00270EFA"/>
    <w:rsid w:val="00270F44"/>
    <w:rsid w:val="00270F61"/>
    <w:rsid w:val="00270FB0"/>
    <w:rsid w:val="0027102B"/>
    <w:rsid w:val="002713DD"/>
    <w:rsid w:val="00271459"/>
    <w:rsid w:val="00271501"/>
    <w:rsid w:val="0027150D"/>
    <w:rsid w:val="002715A2"/>
    <w:rsid w:val="0027165C"/>
    <w:rsid w:val="0027178C"/>
    <w:rsid w:val="0027179E"/>
    <w:rsid w:val="002718AB"/>
    <w:rsid w:val="0027194D"/>
    <w:rsid w:val="002719F1"/>
    <w:rsid w:val="00271ABB"/>
    <w:rsid w:val="00271AF3"/>
    <w:rsid w:val="00271BCE"/>
    <w:rsid w:val="00271BE1"/>
    <w:rsid w:val="00271D28"/>
    <w:rsid w:val="00271DDC"/>
    <w:rsid w:val="00271E82"/>
    <w:rsid w:val="00271EE2"/>
    <w:rsid w:val="002720A6"/>
    <w:rsid w:val="0027219C"/>
    <w:rsid w:val="002722CF"/>
    <w:rsid w:val="0027232E"/>
    <w:rsid w:val="002723EB"/>
    <w:rsid w:val="0027244E"/>
    <w:rsid w:val="002724DB"/>
    <w:rsid w:val="00272688"/>
    <w:rsid w:val="002726B0"/>
    <w:rsid w:val="002726C1"/>
    <w:rsid w:val="002726DC"/>
    <w:rsid w:val="00272774"/>
    <w:rsid w:val="00272788"/>
    <w:rsid w:val="0027288E"/>
    <w:rsid w:val="00272A29"/>
    <w:rsid w:val="00272AB4"/>
    <w:rsid w:val="00272ADC"/>
    <w:rsid w:val="00272B2F"/>
    <w:rsid w:val="00272B82"/>
    <w:rsid w:val="00272C30"/>
    <w:rsid w:val="00272C5A"/>
    <w:rsid w:val="00272D07"/>
    <w:rsid w:val="00272D25"/>
    <w:rsid w:val="00272D3D"/>
    <w:rsid w:val="00272D53"/>
    <w:rsid w:val="00272DFA"/>
    <w:rsid w:val="00272E80"/>
    <w:rsid w:val="00272E89"/>
    <w:rsid w:val="00272EB2"/>
    <w:rsid w:val="00272F31"/>
    <w:rsid w:val="00272F44"/>
    <w:rsid w:val="00272F6E"/>
    <w:rsid w:val="00272FF8"/>
    <w:rsid w:val="0027300A"/>
    <w:rsid w:val="0027300F"/>
    <w:rsid w:val="00273038"/>
    <w:rsid w:val="0027311E"/>
    <w:rsid w:val="00273123"/>
    <w:rsid w:val="002731C8"/>
    <w:rsid w:val="00273216"/>
    <w:rsid w:val="0027331A"/>
    <w:rsid w:val="002733D5"/>
    <w:rsid w:val="00273409"/>
    <w:rsid w:val="002735CA"/>
    <w:rsid w:val="002735F5"/>
    <w:rsid w:val="00273660"/>
    <w:rsid w:val="002737B6"/>
    <w:rsid w:val="002738A3"/>
    <w:rsid w:val="002738C9"/>
    <w:rsid w:val="00273A00"/>
    <w:rsid w:val="00273A21"/>
    <w:rsid w:val="00273AF4"/>
    <w:rsid w:val="00273B13"/>
    <w:rsid w:val="00273B1B"/>
    <w:rsid w:val="00273C8A"/>
    <w:rsid w:val="00273E40"/>
    <w:rsid w:val="00273EB2"/>
    <w:rsid w:val="00273EF6"/>
    <w:rsid w:val="00273F6F"/>
    <w:rsid w:val="00273FA3"/>
    <w:rsid w:val="002740DF"/>
    <w:rsid w:val="00274168"/>
    <w:rsid w:val="00274180"/>
    <w:rsid w:val="0027426A"/>
    <w:rsid w:val="0027439E"/>
    <w:rsid w:val="0027445A"/>
    <w:rsid w:val="00274479"/>
    <w:rsid w:val="00274574"/>
    <w:rsid w:val="0027458E"/>
    <w:rsid w:val="0027468F"/>
    <w:rsid w:val="00274780"/>
    <w:rsid w:val="002747A5"/>
    <w:rsid w:val="0027485D"/>
    <w:rsid w:val="00274861"/>
    <w:rsid w:val="00274922"/>
    <w:rsid w:val="002749CF"/>
    <w:rsid w:val="00274A3B"/>
    <w:rsid w:val="00274A6B"/>
    <w:rsid w:val="00274B90"/>
    <w:rsid w:val="00274CB5"/>
    <w:rsid w:val="00274CFE"/>
    <w:rsid w:val="00274FE4"/>
    <w:rsid w:val="00275055"/>
    <w:rsid w:val="0027512C"/>
    <w:rsid w:val="0027519F"/>
    <w:rsid w:val="002751C2"/>
    <w:rsid w:val="00275253"/>
    <w:rsid w:val="002752B5"/>
    <w:rsid w:val="00275473"/>
    <w:rsid w:val="0027551B"/>
    <w:rsid w:val="00275534"/>
    <w:rsid w:val="002755FD"/>
    <w:rsid w:val="002756DF"/>
    <w:rsid w:val="002756E3"/>
    <w:rsid w:val="002757C4"/>
    <w:rsid w:val="002757DC"/>
    <w:rsid w:val="00275884"/>
    <w:rsid w:val="00275992"/>
    <w:rsid w:val="00275B6E"/>
    <w:rsid w:val="00275D37"/>
    <w:rsid w:val="00275DAD"/>
    <w:rsid w:val="00275DD3"/>
    <w:rsid w:val="00275E5B"/>
    <w:rsid w:val="00275EAD"/>
    <w:rsid w:val="00275EC1"/>
    <w:rsid w:val="00276073"/>
    <w:rsid w:val="00276195"/>
    <w:rsid w:val="002761BF"/>
    <w:rsid w:val="00276259"/>
    <w:rsid w:val="002762C4"/>
    <w:rsid w:val="00276561"/>
    <w:rsid w:val="00276653"/>
    <w:rsid w:val="00276665"/>
    <w:rsid w:val="002766CC"/>
    <w:rsid w:val="002766EC"/>
    <w:rsid w:val="00276717"/>
    <w:rsid w:val="00276874"/>
    <w:rsid w:val="002769B7"/>
    <w:rsid w:val="00276A80"/>
    <w:rsid w:val="00276A8A"/>
    <w:rsid w:val="00276ACB"/>
    <w:rsid w:val="00276AF3"/>
    <w:rsid w:val="00276B37"/>
    <w:rsid w:val="00276BE0"/>
    <w:rsid w:val="00276D11"/>
    <w:rsid w:val="00276D80"/>
    <w:rsid w:val="00276D85"/>
    <w:rsid w:val="00276D92"/>
    <w:rsid w:val="00276F64"/>
    <w:rsid w:val="0027708F"/>
    <w:rsid w:val="002772B8"/>
    <w:rsid w:val="002773CE"/>
    <w:rsid w:val="002773E5"/>
    <w:rsid w:val="002774A8"/>
    <w:rsid w:val="00277557"/>
    <w:rsid w:val="00277616"/>
    <w:rsid w:val="00277650"/>
    <w:rsid w:val="002776E5"/>
    <w:rsid w:val="0027777D"/>
    <w:rsid w:val="002777F0"/>
    <w:rsid w:val="0027786B"/>
    <w:rsid w:val="00277897"/>
    <w:rsid w:val="002778B2"/>
    <w:rsid w:val="002779A2"/>
    <w:rsid w:val="00277AFE"/>
    <w:rsid w:val="00277BA5"/>
    <w:rsid w:val="00277BC8"/>
    <w:rsid w:val="00277C23"/>
    <w:rsid w:val="00277C6A"/>
    <w:rsid w:val="00277CD8"/>
    <w:rsid w:val="00277D9D"/>
    <w:rsid w:val="00277DAE"/>
    <w:rsid w:val="00277E05"/>
    <w:rsid w:val="00277E11"/>
    <w:rsid w:val="00277E9E"/>
    <w:rsid w:val="00277F2D"/>
    <w:rsid w:val="00277F5C"/>
    <w:rsid w:val="00277F95"/>
    <w:rsid w:val="00277FA0"/>
    <w:rsid w:val="00277FF4"/>
    <w:rsid w:val="002800C1"/>
    <w:rsid w:val="00280153"/>
    <w:rsid w:val="00280182"/>
    <w:rsid w:val="002801A5"/>
    <w:rsid w:val="00280243"/>
    <w:rsid w:val="00280290"/>
    <w:rsid w:val="0028029B"/>
    <w:rsid w:val="002802BB"/>
    <w:rsid w:val="00280448"/>
    <w:rsid w:val="00280575"/>
    <w:rsid w:val="002805BF"/>
    <w:rsid w:val="0028068D"/>
    <w:rsid w:val="00280854"/>
    <w:rsid w:val="0028085A"/>
    <w:rsid w:val="00280A44"/>
    <w:rsid w:val="00280AA7"/>
    <w:rsid w:val="00280C2D"/>
    <w:rsid w:val="00280CD1"/>
    <w:rsid w:val="00280D4A"/>
    <w:rsid w:val="00280D51"/>
    <w:rsid w:val="00280EDA"/>
    <w:rsid w:val="00280FE3"/>
    <w:rsid w:val="0028104B"/>
    <w:rsid w:val="00281070"/>
    <w:rsid w:val="002810DE"/>
    <w:rsid w:val="002810FD"/>
    <w:rsid w:val="00281215"/>
    <w:rsid w:val="00281271"/>
    <w:rsid w:val="002813C9"/>
    <w:rsid w:val="00281892"/>
    <w:rsid w:val="0028195B"/>
    <w:rsid w:val="00281A84"/>
    <w:rsid w:val="00281AA2"/>
    <w:rsid w:val="00281ACB"/>
    <w:rsid w:val="00281B98"/>
    <w:rsid w:val="00281BB2"/>
    <w:rsid w:val="00281C31"/>
    <w:rsid w:val="00281C60"/>
    <w:rsid w:val="00281C8A"/>
    <w:rsid w:val="00281C9A"/>
    <w:rsid w:val="00281CFE"/>
    <w:rsid w:val="00281E10"/>
    <w:rsid w:val="00281E82"/>
    <w:rsid w:val="0028218F"/>
    <w:rsid w:val="002821C0"/>
    <w:rsid w:val="002821F3"/>
    <w:rsid w:val="00282244"/>
    <w:rsid w:val="00282393"/>
    <w:rsid w:val="002823D1"/>
    <w:rsid w:val="0028246D"/>
    <w:rsid w:val="00282472"/>
    <w:rsid w:val="0028248E"/>
    <w:rsid w:val="00282516"/>
    <w:rsid w:val="0028273D"/>
    <w:rsid w:val="00282808"/>
    <w:rsid w:val="00282A11"/>
    <w:rsid w:val="00282AAF"/>
    <w:rsid w:val="00282AF6"/>
    <w:rsid w:val="00282B33"/>
    <w:rsid w:val="00282B90"/>
    <w:rsid w:val="00282C76"/>
    <w:rsid w:val="00282D78"/>
    <w:rsid w:val="00282DB3"/>
    <w:rsid w:val="00282DE0"/>
    <w:rsid w:val="00282E56"/>
    <w:rsid w:val="00282EED"/>
    <w:rsid w:val="00282FB0"/>
    <w:rsid w:val="00282FC9"/>
    <w:rsid w:val="0028303B"/>
    <w:rsid w:val="002830D9"/>
    <w:rsid w:val="002830FD"/>
    <w:rsid w:val="00283146"/>
    <w:rsid w:val="002831E0"/>
    <w:rsid w:val="0028322F"/>
    <w:rsid w:val="00283272"/>
    <w:rsid w:val="00283326"/>
    <w:rsid w:val="0028337C"/>
    <w:rsid w:val="002833B9"/>
    <w:rsid w:val="002834BA"/>
    <w:rsid w:val="0028353D"/>
    <w:rsid w:val="0028357F"/>
    <w:rsid w:val="00283580"/>
    <w:rsid w:val="0028363E"/>
    <w:rsid w:val="00283718"/>
    <w:rsid w:val="00283744"/>
    <w:rsid w:val="0028375C"/>
    <w:rsid w:val="0028396C"/>
    <w:rsid w:val="00283984"/>
    <w:rsid w:val="00283986"/>
    <w:rsid w:val="00283A12"/>
    <w:rsid w:val="00283A86"/>
    <w:rsid w:val="00283ACE"/>
    <w:rsid w:val="00283AE9"/>
    <w:rsid w:val="00283AF8"/>
    <w:rsid w:val="00283B2F"/>
    <w:rsid w:val="00283C25"/>
    <w:rsid w:val="00283C5B"/>
    <w:rsid w:val="00283C69"/>
    <w:rsid w:val="00283D1D"/>
    <w:rsid w:val="00283DBE"/>
    <w:rsid w:val="00283E5F"/>
    <w:rsid w:val="00283E94"/>
    <w:rsid w:val="00283EA6"/>
    <w:rsid w:val="00283FBA"/>
    <w:rsid w:val="00283FEC"/>
    <w:rsid w:val="0028413C"/>
    <w:rsid w:val="00284190"/>
    <w:rsid w:val="00284274"/>
    <w:rsid w:val="002842B3"/>
    <w:rsid w:val="00284361"/>
    <w:rsid w:val="002843FD"/>
    <w:rsid w:val="00284417"/>
    <w:rsid w:val="0028442C"/>
    <w:rsid w:val="00284555"/>
    <w:rsid w:val="002845A4"/>
    <w:rsid w:val="002846D9"/>
    <w:rsid w:val="002847D8"/>
    <w:rsid w:val="00284842"/>
    <w:rsid w:val="0028485F"/>
    <w:rsid w:val="002848E9"/>
    <w:rsid w:val="00284906"/>
    <w:rsid w:val="00284941"/>
    <w:rsid w:val="002849B2"/>
    <w:rsid w:val="00284A61"/>
    <w:rsid w:val="00284E22"/>
    <w:rsid w:val="00284EDB"/>
    <w:rsid w:val="00284EF2"/>
    <w:rsid w:val="00285060"/>
    <w:rsid w:val="002850E2"/>
    <w:rsid w:val="0028517A"/>
    <w:rsid w:val="002851CD"/>
    <w:rsid w:val="002851D9"/>
    <w:rsid w:val="0028533E"/>
    <w:rsid w:val="002853D0"/>
    <w:rsid w:val="002853FC"/>
    <w:rsid w:val="00285427"/>
    <w:rsid w:val="0028543C"/>
    <w:rsid w:val="002854A2"/>
    <w:rsid w:val="00285529"/>
    <w:rsid w:val="00285539"/>
    <w:rsid w:val="00285579"/>
    <w:rsid w:val="002855C7"/>
    <w:rsid w:val="0028579F"/>
    <w:rsid w:val="0028582B"/>
    <w:rsid w:val="0028589D"/>
    <w:rsid w:val="002858E3"/>
    <w:rsid w:val="0028598B"/>
    <w:rsid w:val="002859B6"/>
    <w:rsid w:val="002859B8"/>
    <w:rsid w:val="00285A57"/>
    <w:rsid w:val="00285BE5"/>
    <w:rsid w:val="00285C22"/>
    <w:rsid w:val="00285CC8"/>
    <w:rsid w:val="00285DC8"/>
    <w:rsid w:val="00285E97"/>
    <w:rsid w:val="00285EB6"/>
    <w:rsid w:val="00285F02"/>
    <w:rsid w:val="00285FB2"/>
    <w:rsid w:val="0028616C"/>
    <w:rsid w:val="00286208"/>
    <w:rsid w:val="002862C3"/>
    <w:rsid w:val="00286335"/>
    <w:rsid w:val="002863BA"/>
    <w:rsid w:val="002863C8"/>
    <w:rsid w:val="00286487"/>
    <w:rsid w:val="0028649E"/>
    <w:rsid w:val="002864E0"/>
    <w:rsid w:val="002864E9"/>
    <w:rsid w:val="002865EB"/>
    <w:rsid w:val="002865F9"/>
    <w:rsid w:val="00286686"/>
    <w:rsid w:val="002866D3"/>
    <w:rsid w:val="002866FB"/>
    <w:rsid w:val="00286701"/>
    <w:rsid w:val="00286772"/>
    <w:rsid w:val="002867C8"/>
    <w:rsid w:val="00286837"/>
    <w:rsid w:val="002868B8"/>
    <w:rsid w:val="002869C8"/>
    <w:rsid w:val="002869C9"/>
    <w:rsid w:val="002869CB"/>
    <w:rsid w:val="002869D7"/>
    <w:rsid w:val="002869FE"/>
    <w:rsid w:val="00286A82"/>
    <w:rsid w:val="00286C4B"/>
    <w:rsid w:val="00286C79"/>
    <w:rsid w:val="00286CE0"/>
    <w:rsid w:val="00286D8F"/>
    <w:rsid w:val="00286E1F"/>
    <w:rsid w:val="00286EF5"/>
    <w:rsid w:val="00286F3A"/>
    <w:rsid w:val="00286F92"/>
    <w:rsid w:val="00286FBB"/>
    <w:rsid w:val="00287013"/>
    <w:rsid w:val="002870DB"/>
    <w:rsid w:val="00287121"/>
    <w:rsid w:val="00287272"/>
    <w:rsid w:val="00287354"/>
    <w:rsid w:val="00287367"/>
    <w:rsid w:val="002873C7"/>
    <w:rsid w:val="002874C7"/>
    <w:rsid w:val="00287588"/>
    <w:rsid w:val="0028763B"/>
    <w:rsid w:val="0028765B"/>
    <w:rsid w:val="002876CB"/>
    <w:rsid w:val="002876DE"/>
    <w:rsid w:val="002878B1"/>
    <w:rsid w:val="0028796A"/>
    <w:rsid w:val="00287B36"/>
    <w:rsid w:val="00287B74"/>
    <w:rsid w:val="00287B77"/>
    <w:rsid w:val="00287C64"/>
    <w:rsid w:val="00287D02"/>
    <w:rsid w:val="00287D4C"/>
    <w:rsid w:val="00287E40"/>
    <w:rsid w:val="00287E7C"/>
    <w:rsid w:val="00287F45"/>
    <w:rsid w:val="002902A1"/>
    <w:rsid w:val="002902C8"/>
    <w:rsid w:val="00290371"/>
    <w:rsid w:val="0029038D"/>
    <w:rsid w:val="002904A3"/>
    <w:rsid w:val="00290500"/>
    <w:rsid w:val="002906EE"/>
    <w:rsid w:val="0029070B"/>
    <w:rsid w:val="00290760"/>
    <w:rsid w:val="00290902"/>
    <w:rsid w:val="00290A52"/>
    <w:rsid w:val="00290B52"/>
    <w:rsid w:val="00290BC4"/>
    <w:rsid w:val="00290C09"/>
    <w:rsid w:val="00290C72"/>
    <w:rsid w:val="00290CB7"/>
    <w:rsid w:val="00290D07"/>
    <w:rsid w:val="00290EF5"/>
    <w:rsid w:val="00291005"/>
    <w:rsid w:val="002910F6"/>
    <w:rsid w:val="0029121D"/>
    <w:rsid w:val="00291235"/>
    <w:rsid w:val="002912FC"/>
    <w:rsid w:val="00291389"/>
    <w:rsid w:val="002913AB"/>
    <w:rsid w:val="002913D8"/>
    <w:rsid w:val="0029140C"/>
    <w:rsid w:val="0029158D"/>
    <w:rsid w:val="00291596"/>
    <w:rsid w:val="00291599"/>
    <w:rsid w:val="002917F4"/>
    <w:rsid w:val="0029182B"/>
    <w:rsid w:val="00291934"/>
    <w:rsid w:val="00291998"/>
    <w:rsid w:val="00291A57"/>
    <w:rsid w:val="00291B77"/>
    <w:rsid w:val="00291C50"/>
    <w:rsid w:val="00291C5D"/>
    <w:rsid w:val="00291C6C"/>
    <w:rsid w:val="00291D06"/>
    <w:rsid w:val="00291D15"/>
    <w:rsid w:val="00291DD0"/>
    <w:rsid w:val="00291F0E"/>
    <w:rsid w:val="00291F8E"/>
    <w:rsid w:val="00291FBF"/>
    <w:rsid w:val="00292096"/>
    <w:rsid w:val="002920F3"/>
    <w:rsid w:val="002920F5"/>
    <w:rsid w:val="00292135"/>
    <w:rsid w:val="002921A6"/>
    <w:rsid w:val="002921FA"/>
    <w:rsid w:val="00292204"/>
    <w:rsid w:val="0029225A"/>
    <w:rsid w:val="00292289"/>
    <w:rsid w:val="00292421"/>
    <w:rsid w:val="0029242A"/>
    <w:rsid w:val="0029247F"/>
    <w:rsid w:val="00292559"/>
    <w:rsid w:val="002925AB"/>
    <w:rsid w:val="00292763"/>
    <w:rsid w:val="002927A3"/>
    <w:rsid w:val="00292823"/>
    <w:rsid w:val="002928DE"/>
    <w:rsid w:val="00292924"/>
    <w:rsid w:val="0029296B"/>
    <w:rsid w:val="002929B1"/>
    <w:rsid w:val="00292A0C"/>
    <w:rsid w:val="00292A1D"/>
    <w:rsid w:val="00292ACC"/>
    <w:rsid w:val="00292CA9"/>
    <w:rsid w:val="00292CF1"/>
    <w:rsid w:val="00292D1C"/>
    <w:rsid w:val="00292D66"/>
    <w:rsid w:val="00292F11"/>
    <w:rsid w:val="00293006"/>
    <w:rsid w:val="00293083"/>
    <w:rsid w:val="00293239"/>
    <w:rsid w:val="0029335F"/>
    <w:rsid w:val="00293367"/>
    <w:rsid w:val="0029336C"/>
    <w:rsid w:val="002933B4"/>
    <w:rsid w:val="002933E7"/>
    <w:rsid w:val="002934D5"/>
    <w:rsid w:val="0029350D"/>
    <w:rsid w:val="002935AE"/>
    <w:rsid w:val="002935E6"/>
    <w:rsid w:val="00293653"/>
    <w:rsid w:val="00293726"/>
    <w:rsid w:val="002937E1"/>
    <w:rsid w:val="002937FA"/>
    <w:rsid w:val="00293847"/>
    <w:rsid w:val="00293855"/>
    <w:rsid w:val="00293862"/>
    <w:rsid w:val="002938EF"/>
    <w:rsid w:val="00293A76"/>
    <w:rsid w:val="00293BC9"/>
    <w:rsid w:val="00293E49"/>
    <w:rsid w:val="00293EE1"/>
    <w:rsid w:val="00293F3B"/>
    <w:rsid w:val="0029413D"/>
    <w:rsid w:val="00294176"/>
    <w:rsid w:val="002941A2"/>
    <w:rsid w:val="002941D7"/>
    <w:rsid w:val="002941F1"/>
    <w:rsid w:val="002942AE"/>
    <w:rsid w:val="002942FF"/>
    <w:rsid w:val="0029433A"/>
    <w:rsid w:val="002944F7"/>
    <w:rsid w:val="0029460B"/>
    <w:rsid w:val="0029469D"/>
    <w:rsid w:val="002946EF"/>
    <w:rsid w:val="00294714"/>
    <w:rsid w:val="00294863"/>
    <w:rsid w:val="0029498E"/>
    <w:rsid w:val="00294A25"/>
    <w:rsid w:val="00294AE2"/>
    <w:rsid w:val="00294B29"/>
    <w:rsid w:val="00294B4A"/>
    <w:rsid w:val="00294B59"/>
    <w:rsid w:val="00294BCC"/>
    <w:rsid w:val="00294EC3"/>
    <w:rsid w:val="00295003"/>
    <w:rsid w:val="00295068"/>
    <w:rsid w:val="00295083"/>
    <w:rsid w:val="002951D8"/>
    <w:rsid w:val="0029522D"/>
    <w:rsid w:val="00295242"/>
    <w:rsid w:val="0029531D"/>
    <w:rsid w:val="00295569"/>
    <w:rsid w:val="002955E2"/>
    <w:rsid w:val="00295729"/>
    <w:rsid w:val="00295734"/>
    <w:rsid w:val="002958E1"/>
    <w:rsid w:val="002959DF"/>
    <w:rsid w:val="00295B47"/>
    <w:rsid w:val="00295B88"/>
    <w:rsid w:val="00295C60"/>
    <w:rsid w:val="00295CCE"/>
    <w:rsid w:val="00295D5F"/>
    <w:rsid w:val="00295D75"/>
    <w:rsid w:val="00295E48"/>
    <w:rsid w:val="00295E82"/>
    <w:rsid w:val="00295F6F"/>
    <w:rsid w:val="0029601D"/>
    <w:rsid w:val="00296039"/>
    <w:rsid w:val="00296049"/>
    <w:rsid w:val="002960EC"/>
    <w:rsid w:val="0029613A"/>
    <w:rsid w:val="002961A4"/>
    <w:rsid w:val="002961CD"/>
    <w:rsid w:val="002961EF"/>
    <w:rsid w:val="00296280"/>
    <w:rsid w:val="002962DF"/>
    <w:rsid w:val="00296316"/>
    <w:rsid w:val="0029638E"/>
    <w:rsid w:val="00296403"/>
    <w:rsid w:val="0029653F"/>
    <w:rsid w:val="0029655F"/>
    <w:rsid w:val="0029659E"/>
    <w:rsid w:val="002966C7"/>
    <w:rsid w:val="002966F9"/>
    <w:rsid w:val="00296702"/>
    <w:rsid w:val="0029679B"/>
    <w:rsid w:val="00296821"/>
    <w:rsid w:val="00296835"/>
    <w:rsid w:val="002968FA"/>
    <w:rsid w:val="0029697F"/>
    <w:rsid w:val="00296984"/>
    <w:rsid w:val="00296B29"/>
    <w:rsid w:val="00296D68"/>
    <w:rsid w:val="00296D73"/>
    <w:rsid w:val="00296D92"/>
    <w:rsid w:val="00296F6C"/>
    <w:rsid w:val="00296FA6"/>
    <w:rsid w:val="00296FF5"/>
    <w:rsid w:val="00297056"/>
    <w:rsid w:val="00297218"/>
    <w:rsid w:val="002972D7"/>
    <w:rsid w:val="002972F3"/>
    <w:rsid w:val="002973FB"/>
    <w:rsid w:val="00297501"/>
    <w:rsid w:val="002975B3"/>
    <w:rsid w:val="002975C3"/>
    <w:rsid w:val="002978C6"/>
    <w:rsid w:val="00297955"/>
    <w:rsid w:val="00297A8A"/>
    <w:rsid w:val="00297AC3"/>
    <w:rsid w:val="00297B27"/>
    <w:rsid w:val="00297B89"/>
    <w:rsid w:val="00297BD3"/>
    <w:rsid w:val="00297BE3"/>
    <w:rsid w:val="00297CFE"/>
    <w:rsid w:val="00297E73"/>
    <w:rsid w:val="00297EBE"/>
    <w:rsid w:val="00297EF8"/>
    <w:rsid w:val="00297F16"/>
    <w:rsid w:val="00297F44"/>
    <w:rsid w:val="00297F81"/>
    <w:rsid w:val="002A003B"/>
    <w:rsid w:val="002A009F"/>
    <w:rsid w:val="002A00B8"/>
    <w:rsid w:val="002A0172"/>
    <w:rsid w:val="002A01F7"/>
    <w:rsid w:val="002A032D"/>
    <w:rsid w:val="002A03BE"/>
    <w:rsid w:val="002A0416"/>
    <w:rsid w:val="002A04C4"/>
    <w:rsid w:val="002A05B1"/>
    <w:rsid w:val="002A07A7"/>
    <w:rsid w:val="002A07F9"/>
    <w:rsid w:val="002A0804"/>
    <w:rsid w:val="002A0829"/>
    <w:rsid w:val="002A086E"/>
    <w:rsid w:val="002A0893"/>
    <w:rsid w:val="002A08A6"/>
    <w:rsid w:val="002A08A9"/>
    <w:rsid w:val="002A08B7"/>
    <w:rsid w:val="002A08BB"/>
    <w:rsid w:val="002A09A5"/>
    <w:rsid w:val="002A0A1C"/>
    <w:rsid w:val="002A0A2C"/>
    <w:rsid w:val="002A0A40"/>
    <w:rsid w:val="002A0A79"/>
    <w:rsid w:val="002A0B83"/>
    <w:rsid w:val="002A0C30"/>
    <w:rsid w:val="002A0C37"/>
    <w:rsid w:val="002A0C63"/>
    <w:rsid w:val="002A0CCC"/>
    <w:rsid w:val="002A0E15"/>
    <w:rsid w:val="002A0ED5"/>
    <w:rsid w:val="002A0F09"/>
    <w:rsid w:val="002A0F31"/>
    <w:rsid w:val="002A10C2"/>
    <w:rsid w:val="002A116A"/>
    <w:rsid w:val="002A11E6"/>
    <w:rsid w:val="002A129A"/>
    <w:rsid w:val="002A12F9"/>
    <w:rsid w:val="002A1360"/>
    <w:rsid w:val="002A1375"/>
    <w:rsid w:val="002A1379"/>
    <w:rsid w:val="002A13B8"/>
    <w:rsid w:val="002A14C4"/>
    <w:rsid w:val="002A14E1"/>
    <w:rsid w:val="002A1517"/>
    <w:rsid w:val="002A1522"/>
    <w:rsid w:val="002A16FB"/>
    <w:rsid w:val="002A1A5D"/>
    <w:rsid w:val="002A1ABD"/>
    <w:rsid w:val="002A1B63"/>
    <w:rsid w:val="002A1D9A"/>
    <w:rsid w:val="002A1DE4"/>
    <w:rsid w:val="002A1E42"/>
    <w:rsid w:val="002A1F0D"/>
    <w:rsid w:val="002A1F57"/>
    <w:rsid w:val="002A1FFD"/>
    <w:rsid w:val="002A2036"/>
    <w:rsid w:val="002A20A7"/>
    <w:rsid w:val="002A216C"/>
    <w:rsid w:val="002A2288"/>
    <w:rsid w:val="002A2472"/>
    <w:rsid w:val="002A24AB"/>
    <w:rsid w:val="002A24C2"/>
    <w:rsid w:val="002A2555"/>
    <w:rsid w:val="002A2597"/>
    <w:rsid w:val="002A2687"/>
    <w:rsid w:val="002A270E"/>
    <w:rsid w:val="002A2714"/>
    <w:rsid w:val="002A2789"/>
    <w:rsid w:val="002A2845"/>
    <w:rsid w:val="002A292D"/>
    <w:rsid w:val="002A2984"/>
    <w:rsid w:val="002A2B2B"/>
    <w:rsid w:val="002A2B79"/>
    <w:rsid w:val="002A2BC1"/>
    <w:rsid w:val="002A2BD4"/>
    <w:rsid w:val="002A2C2E"/>
    <w:rsid w:val="002A2C78"/>
    <w:rsid w:val="002A2C85"/>
    <w:rsid w:val="002A2CBF"/>
    <w:rsid w:val="002A2D35"/>
    <w:rsid w:val="002A2D80"/>
    <w:rsid w:val="002A2E42"/>
    <w:rsid w:val="002A2E4B"/>
    <w:rsid w:val="002A2EF1"/>
    <w:rsid w:val="002A30D9"/>
    <w:rsid w:val="002A3120"/>
    <w:rsid w:val="002A3137"/>
    <w:rsid w:val="002A316D"/>
    <w:rsid w:val="002A3258"/>
    <w:rsid w:val="002A33DB"/>
    <w:rsid w:val="002A34C8"/>
    <w:rsid w:val="002A34ED"/>
    <w:rsid w:val="002A3584"/>
    <w:rsid w:val="002A35DA"/>
    <w:rsid w:val="002A3625"/>
    <w:rsid w:val="002A376A"/>
    <w:rsid w:val="002A388E"/>
    <w:rsid w:val="002A3894"/>
    <w:rsid w:val="002A3895"/>
    <w:rsid w:val="002A38A0"/>
    <w:rsid w:val="002A38A5"/>
    <w:rsid w:val="002A397F"/>
    <w:rsid w:val="002A3B51"/>
    <w:rsid w:val="002A3BA2"/>
    <w:rsid w:val="002A3BBD"/>
    <w:rsid w:val="002A3CCD"/>
    <w:rsid w:val="002A3D0F"/>
    <w:rsid w:val="002A3D56"/>
    <w:rsid w:val="002A3DF3"/>
    <w:rsid w:val="002A3EEB"/>
    <w:rsid w:val="002A3F97"/>
    <w:rsid w:val="002A3FB1"/>
    <w:rsid w:val="002A40B2"/>
    <w:rsid w:val="002A40EE"/>
    <w:rsid w:val="002A41F3"/>
    <w:rsid w:val="002A4204"/>
    <w:rsid w:val="002A4527"/>
    <w:rsid w:val="002A456A"/>
    <w:rsid w:val="002A4592"/>
    <w:rsid w:val="002A45CA"/>
    <w:rsid w:val="002A4669"/>
    <w:rsid w:val="002A470D"/>
    <w:rsid w:val="002A4859"/>
    <w:rsid w:val="002A48AE"/>
    <w:rsid w:val="002A4931"/>
    <w:rsid w:val="002A49CE"/>
    <w:rsid w:val="002A4A33"/>
    <w:rsid w:val="002A4A67"/>
    <w:rsid w:val="002A4AA2"/>
    <w:rsid w:val="002A4ABD"/>
    <w:rsid w:val="002A4ADA"/>
    <w:rsid w:val="002A4B17"/>
    <w:rsid w:val="002A4B51"/>
    <w:rsid w:val="002A4BAA"/>
    <w:rsid w:val="002A4BE0"/>
    <w:rsid w:val="002A4DC9"/>
    <w:rsid w:val="002A4DF8"/>
    <w:rsid w:val="002A4E3E"/>
    <w:rsid w:val="002A4E4A"/>
    <w:rsid w:val="002A4E90"/>
    <w:rsid w:val="002A4EA2"/>
    <w:rsid w:val="002A4EB3"/>
    <w:rsid w:val="002A4EC0"/>
    <w:rsid w:val="002A4FD1"/>
    <w:rsid w:val="002A5034"/>
    <w:rsid w:val="002A5077"/>
    <w:rsid w:val="002A50FF"/>
    <w:rsid w:val="002A5130"/>
    <w:rsid w:val="002A515C"/>
    <w:rsid w:val="002A5368"/>
    <w:rsid w:val="002A5379"/>
    <w:rsid w:val="002A53D6"/>
    <w:rsid w:val="002A5473"/>
    <w:rsid w:val="002A54EF"/>
    <w:rsid w:val="002A5560"/>
    <w:rsid w:val="002A55FA"/>
    <w:rsid w:val="002A564F"/>
    <w:rsid w:val="002A568D"/>
    <w:rsid w:val="002A581C"/>
    <w:rsid w:val="002A584B"/>
    <w:rsid w:val="002A584C"/>
    <w:rsid w:val="002A5907"/>
    <w:rsid w:val="002A5968"/>
    <w:rsid w:val="002A5984"/>
    <w:rsid w:val="002A5A12"/>
    <w:rsid w:val="002A5B21"/>
    <w:rsid w:val="002A5B2A"/>
    <w:rsid w:val="002A5BAD"/>
    <w:rsid w:val="002A5C34"/>
    <w:rsid w:val="002A5C74"/>
    <w:rsid w:val="002A5E5E"/>
    <w:rsid w:val="002A5EE8"/>
    <w:rsid w:val="002A5EF3"/>
    <w:rsid w:val="002A615F"/>
    <w:rsid w:val="002A6169"/>
    <w:rsid w:val="002A61F9"/>
    <w:rsid w:val="002A6277"/>
    <w:rsid w:val="002A62F7"/>
    <w:rsid w:val="002A6399"/>
    <w:rsid w:val="002A63D0"/>
    <w:rsid w:val="002A651B"/>
    <w:rsid w:val="002A663B"/>
    <w:rsid w:val="002A668F"/>
    <w:rsid w:val="002A66AC"/>
    <w:rsid w:val="002A6743"/>
    <w:rsid w:val="002A6751"/>
    <w:rsid w:val="002A68BC"/>
    <w:rsid w:val="002A6ADD"/>
    <w:rsid w:val="002A6B72"/>
    <w:rsid w:val="002A6B74"/>
    <w:rsid w:val="002A6C73"/>
    <w:rsid w:val="002A6CAB"/>
    <w:rsid w:val="002A6CB4"/>
    <w:rsid w:val="002A6CBE"/>
    <w:rsid w:val="002A6CEB"/>
    <w:rsid w:val="002A6D8F"/>
    <w:rsid w:val="002A6DA2"/>
    <w:rsid w:val="002A6DAF"/>
    <w:rsid w:val="002A6E84"/>
    <w:rsid w:val="002A6EC0"/>
    <w:rsid w:val="002A6F01"/>
    <w:rsid w:val="002A6F29"/>
    <w:rsid w:val="002A6F81"/>
    <w:rsid w:val="002A7121"/>
    <w:rsid w:val="002A71D0"/>
    <w:rsid w:val="002A7239"/>
    <w:rsid w:val="002A730F"/>
    <w:rsid w:val="002A7324"/>
    <w:rsid w:val="002A777F"/>
    <w:rsid w:val="002A7790"/>
    <w:rsid w:val="002A78BA"/>
    <w:rsid w:val="002A78C2"/>
    <w:rsid w:val="002A790F"/>
    <w:rsid w:val="002A7937"/>
    <w:rsid w:val="002A7CF7"/>
    <w:rsid w:val="002A7E1C"/>
    <w:rsid w:val="002A7EBA"/>
    <w:rsid w:val="002A7F04"/>
    <w:rsid w:val="002B00B4"/>
    <w:rsid w:val="002B00E5"/>
    <w:rsid w:val="002B019B"/>
    <w:rsid w:val="002B01A9"/>
    <w:rsid w:val="002B02BC"/>
    <w:rsid w:val="002B02C0"/>
    <w:rsid w:val="002B0343"/>
    <w:rsid w:val="002B0380"/>
    <w:rsid w:val="002B03EC"/>
    <w:rsid w:val="002B04D5"/>
    <w:rsid w:val="002B0630"/>
    <w:rsid w:val="002B06A5"/>
    <w:rsid w:val="002B06F2"/>
    <w:rsid w:val="002B078A"/>
    <w:rsid w:val="002B0860"/>
    <w:rsid w:val="002B09FC"/>
    <w:rsid w:val="002B0AFF"/>
    <w:rsid w:val="002B0BB5"/>
    <w:rsid w:val="002B0C58"/>
    <w:rsid w:val="002B0C94"/>
    <w:rsid w:val="002B0CAC"/>
    <w:rsid w:val="002B0CF6"/>
    <w:rsid w:val="002B0D44"/>
    <w:rsid w:val="002B0DD1"/>
    <w:rsid w:val="002B0DE9"/>
    <w:rsid w:val="002B0E72"/>
    <w:rsid w:val="002B0FC5"/>
    <w:rsid w:val="002B0FF4"/>
    <w:rsid w:val="002B10FC"/>
    <w:rsid w:val="002B1117"/>
    <w:rsid w:val="002B12C8"/>
    <w:rsid w:val="002B1318"/>
    <w:rsid w:val="002B1340"/>
    <w:rsid w:val="002B1345"/>
    <w:rsid w:val="002B140B"/>
    <w:rsid w:val="002B1466"/>
    <w:rsid w:val="002B146D"/>
    <w:rsid w:val="002B1515"/>
    <w:rsid w:val="002B1649"/>
    <w:rsid w:val="002B1760"/>
    <w:rsid w:val="002B17F0"/>
    <w:rsid w:val="002B18EC"/>
    <w:rsid w:val="002B1AC8"/>
    <w:rsid w:val="002B1AF3"/>
    <w:rsid w:val="002B1B35"/>
    <w:rsid w:val="002B1C5D"/>
    <w:rsid w:val="002B1C87"/>
    <w:rsid w:val="002B1CE2"/>
    <w:rsid w:val="002B1CE4"/>
    <w:rsid w:val="002B1CF1"/>
    <w:rsid w:val="002B1DA5"/>
    <w:rsid w:val="002B1E1E"/>
    <w:rsid w:val="002B1E39"/>
    <w:rsid w:val="002B1E42"/>
    <w:rsid w:val="002B21BF"/>
    <w:rsid w:val="002B21C3"/>
    <w:rsid w:val="002B2227"/>
    <w:rsid w:val="002B2353"/>
    <w:rsid w:val="002B2365"/>
    <w:rsid w:val="002B2381"/>
    <w:rsid w:val="002B247B"/>
    <w:rsid w:val="002B2505"/>
    <w:rsid w:val="002B257D"/>
    <w:rsid w:val="002B2631"/>
    <w:rsid w:val="002B26B7"/>
    <w:rsid w:val="002B26D0"/>
    <w:rsid w:val="002B271D"/>
    <w:rsid w:val="002B2810"/>
    <w:rsid w:val="002B28AA"/>
    <w:rsid w:val="002B294E"/>
    <w:rsid w:val="002B29B6"/>
    <w:rsid w:val="002B29BB"/>
    <w:rsid w:val="002B29C2"/>
    <w:rsid w:val="002B2A42"/>
    <w:rsid w:val="002B2A9E"/>
    <w:rsid w:val="002B2AA6"/>
    <w:rsid w:val="002B2B3C"/>
    <w:rsid w:val="002B2BD7"/>
    <w:rsid w:val="002B2C8C"/>
    <w:rsid w:val="002B2D58"/>
    <w:rsid w:val="002B2D5F"/>
    <w:rsid w:val="002B2E26"/>
    <w:rsid w:val="002B2EB6"/>
    <w:rsid w:val="002B2EF1"/>
    <w:rsid w:val="002B3097"/>
    <w:rsid w:val="002B30DB"/>
    <w:rsid w:val="002B30E7"/>
    <w:rsid w:val="002B3165"/>
    <w:rsid w:val="002B316B"/>
    <w:rsid w:val="002B31EF"/>
    <w:rsid w:val="002B32BC"/>
    <w:rsid w:val="002B32C7"/>
    <w:rsid w:val="002B364F"/>
    <w:rsid w:val="002B365D"/>
    <w:rsid w:val="002B36E6"/>
    <w:rsid w:val="002B370E"/>
    <w:rsid w:val="002B37F5"/>
    <w:rsid w:val="002B3805"/>
    <w:rsid w:val="002B381D"/>
    <w:rsid w:val="002B388D"/>
    <w:rsid w:val="002B38D6"/>
    <w:rsid w:val="002B3909"/>
    <w:rsid w:val="002B391E"/>
    <w:rsid w:val="002B394E"/>
    <w:rsid w:val="002B399A"/>
    <w:rsid w:val="002B3A11"/>
    <w:rsid w:val="002B3A4E"/>
    <w:rsid w:val="002B3B6A"/>
    <w:rsid w:val="002B3D86"/>
    <w:rsid w:val="002B3D92"/>
    <w:rsid w:val="002B3E9C"/>
    <w:rsid w:val="002B3F3A"/>
    <w:rsid w:val="002B3F58"/>
    <w:rsid w:val="002B3FF8"/>
    <w:rsid w:val="002B4027"/>
    <w:rsid w:val="002B40C2"/>
    <w:rsid w:val="002B416A"/>
    <w:rsid w:val="002B4276"/>
    <w:rsid w:val="002B4283"/>
    <w:rsid w:val="002B42DC"/>
    <w:rsid w:val="002B4374"/>
    <w:rsid w:val="002B443A"/>
    <w:rsid w:val="002B4532"/>
    <w:rsid w:val="002B45C1"/>
    <w:rsid w:val="002B4706"/>
    <w:rsid w:val="002B4871"/>
    <w:rsid w:val="002B48E6"/>
    <w:rsid w:val="002B49C9"/>
    <w:rsid w:val="002B4A41"/>
    <w:rsid w:val="002B4AB9"/>
    <w:rsid w:val="002B4B1A"/>
    <w:rsid w:val="002B4B84"/>
    <w:rsid w:val="002B4CCE"/>
    <w:rsid w:val="002B4D8D"/>
    <w:rsid w:val="002B4E9D"/>
    <w:rsid w:val="002B4E9F"/>
    <w:rsid w:val="002B51D1"/>
    <w:rsid w:val="002B524D"/>
    <w:rsid w:val="002B52D0"/>
    <w:rsid w:val="002B5543"/>
    <w:rsid w:val="002B5596"/>
    <w:rsid w:val="002B5865"/>
    <w:rsid w:val="002B5886"/>
    <w:rsid w:val="002B59F9"/>
    <w:rsid w:val="002B5B7A"/>
    <w:rsid w:val="002B5B93"/>
    <w:rsid w:val="002B5C2A"/>
    <w:rsid w:val="002B5CBC"/>
    <w:rsid w:val="002B5D94"/>
    <w:rsid w:val="002B5E5A"/>
    <w:rsid w:val="002B5EAB"/>
    <w:rsid w:val="002B5F2E"/>
    <w:rsid w:val="002B5F85"/>
    <w:rsid w:val="002B5FF9"/>
    <w:rsid w:val="002B602A"/>
    <w:rsid w:val="002B60D5"/>
    <w:rsid w:val="002B61A8"/>
    <w:rsid w:val="002B625B"/>
    <w:rsid w:val="002B627A"/>
    <w:rsid w:val="002B62BC"/>
    <w:rsid w:val="002B62C6"/>
    <w:rsid w:val="002B63BA"/>
    <w:rsid w:val="002B63C6"/>
    <w:rsid w:val="002B63F0"/>
    <w:rsid w:val="002B6459"/>
    <w:rsid w:val="002B65E2"/>
    <w:rsid w:val="002B6721"/>
    <w:rsid w:val="002B6819"/>
    <w:rsid w:val="002B68B0"/>
    <w:rsid w:val="002B6A02"/>
    <w:rsid w:val="002B6A99"/>
    <w:rsid w:val="002B6C8F"/>
    <w:rsid w:val="002B6E6D"/>
    <w:rsid w:val="002B6EA3"/>
    <w:rsid w:val="002B7265"/>
    <w:rsid w:val="002B74D0"/>
    <w:rsid w:val="002B7635"/>
    <w:rsid w:val="002B76CF"/>
    <w:rsid w:val="002B7703"/>
    <w:rsid w:val="002B77A9"/>
    <w:rsid w:val="002B7839"/>
    <w:rsid w:val="002B78B4"/>
    <w:rsid w:val="002B78BE"/>
    <w:rsid w:val="002B78DB"/>
    <w:rsid w:val="002B791A"/>
    <w:rsid w:val="002B7B2E"/>
    <w:rsid w:val="002B7B45"/>
    <w:rsid w:val="002B7B65"/>
    <w:rsid w:val="002B7B85"/>
    <w:rsid w:val="002B7BEA"/>
    <w:rsid w:val="002B7BF5"/>
    <w:rsid w:val="002B7C79"/>
    <w:rsid w:val="002B7CF6"/>
    <w:rsid w:val="002B7E89"/>
    <w:rsid w:val="002B7E8C"/>
    <w:rsid w:val="002B7EC0"/>
    <w:rsid w:val="002B7EF9"/>
    <w:rsid w:val="002B7F5B"/>
    <w:rsid w:val="002B7F78"/>
    <w:rsid w:val="002B7F95"/>
    <w:rsid w:val="002B7FD5"/>
    <w:rsid w:val="002B7FE2"/>
    <w:rsid w:val="002C00B3"/>
    <w:rsid w:val="002C01A1"/>
    <w:rsid w:val="002C02F7"/>
    <w:rsid w:val="002C02FE"/>
    <w:rsid w:val="002C0371"/>
    <w:rsid w:val="002C040C"/>
    <w:rsid w:val="002C051A"/>
    <w:rsid w:val="002C051C"/>
    <w:rsid w:val="002C0558"/>
    <w:rsid w:val="002C06B4"/>
    <w:rsid w:val="002C0737"/>
    <w:rsid w:val="002C0752"/>
    <w:rsid w:val="002C078F"/>
    <w:rsid w:val="002C0824"/>
    <w:rsid w:val="002C09B8"/>
    <w:rsid w:val="002C09BD"/>
    <w:rsid w:val="002C0A5F"/>
    <w:rsid w:val="002C0A93"/>
    <w:rsid w:val="002C0A95"/>
    <w:rsid w:val="002C0B36"/>
    <w:rsid w:val="002C0B8E"/>
    <w:rsid w:val="002C0B94"/>
    <w:rsid w:val="002C0C13"/>
    <w:rsid w:val="002C0C44"/>
    <w:rsid w:val="002C0DD1"/>
    <w:rsid w:val="002C1008"/>
    <w:rsid w:val="002C114D"/>
    <w:rsid w:val="002C11FE"/>
    <w:rsid w:val="002C124B"/>
    <w:rsid w:val="002C125C"/>
    <w:rsid w:val="002C127E"/>
    <w:rsid w:val="002C1303"/>
    <w:rsid w:val="002C1315"/>
    <w:rsid w:val="002C13D1"/>
    <w:rsid w:val="002C13FC"/>
    <w:rsid w:val="002C1512"/>
    <w:rsid w:val="002C1587"/>
    <w:rsid w:val="002C168A"/>
    <w:rsid w:val="002C18C5"/>
    <w:rsid w:val="002C194D"/>
    <w:rsid w:val="002C1965"/>
    <w:rsid w:val="002C1A7A"/>
    <w:rsid w:val="002C1AAD"/>
    <w:rsid w:val="002C1AB2"/>
    <w:rsid w:val="002C1C46"/>
    <w:rsid w:val="002C1C49"/>
    <w:rsid w:val="002C1CE5"/>
    <w:rsid w:val="002C1DF1"/>
    <w:rsid w:val="002C1E2B"/>
    <w:rsid w:val="002C1E7F"/>
    <w:rsid w:val="002C1EDE"/>
    <w:rsid w:val="002C1F4C"/>
    <w:rsid w:val="002C1F85"/>
    <w:rsid w:val="002C202A"/>
    <w:rsid w:val="002C2036"/>
    <w:rsid w:val="002C206C"/>
    <w:rsid w:val="002C20BC"/>
    <w:rsid w:val="002C210B"/>
    <w:rsid w:val="002C218C"/>
    <w:rsid w:val="002C21E8"/>
    <w:rsid w:val="002C233C"/>
    <w:rsid w:val="002C2387"/>
    <w:rsid w:val="002C23BA"/>
    <w:rsid w:val="002C2429"/>
    <w:rsid w:val="002C257D"/>
    <w:rsid w:val="002C25B7"/>
    <w:rsid w:val="002C268B"/>
    <w:rsid w:val="002C2735"/>
    <w:rsid w:val="002C2738"/>
    <w:rsid w:val="002C2870"/>
    <w:rsid w:val="002C28F4"/>
    <w:rsid w:val="002C29E7"/>
    <w:rsid w:val="002C2A84"/>
    <w:rsid w:val="002C2A8D"/>
    <w:rsid w:val="002C2B57"/>
    <w:rsid w:val="002C2B6A"/>
    <w:rsid w:val="002C2BED"/>
    <w:rsid w:val="002C2CEE"/>
    <w:rsid w:val="002C2E0B"/>
    <w:rsid w:val="002C2E79"/>
    <w:rsid w:val="002C2EB5"/>
    <w:rsid w:val="002C3001"/>
    <w:rsid w:val="002C3060"/>
    <w:rsid w:val="002C309A"/>
    <w:rsid w:val="002C30AF"/>
    <w:rsid w:val="002C31E3"/>
    <w:rsid w:val="002C3224"/>
    <w:rsid w:val="002C326B"/>
    <w:rsid w:val="002C3302"/>
    <w:rsid w:val="002C33AE"/>
    <w:rsid w:val="002C34E7"/>
    <w:rsid w:val="002C377B"/>
    <w:rsid w:val="002C37A9"/>
    <w:rsid w:val="002C37E9"/>
    <w:rsid w:val="002C3907"/>
    <w:rsid w:val="002C3940"/>
    <w:rsid w:val="002C396F"/>
    <w:rsid w:val="002C3978"/>
    <w:rsid w:val="002C3A4F"/>
    <w:rsid w:val="002C3ABC"/>
    <w:rsid w:val="002C3B7B"/>
    <w:rsid w:val="002C3BBA"/>
    <w:rsid w:val="002C3BFD"/>
    <w:rsid w:val="002C3C2E"/>
    <w:rsid w:val="002C3C53"/>
    <w:rsid w:val="002C3D19"/>
    <w:rsid w:val="002C3D7C"/>
    <w:rsid w:val="002C3D97"/>
    <w:rsid w:val="002C3E19"/>
    <w:rsid w:val="002C3F49"/>
    <w:rsid w:val="002C3FD3"/>
    <w:rsid w:val="002C4026"/>
    <w:rsid w:val="002C4123"/>
    <w:rsid w:val="002C4125"/>
    <w:rsid w:val="002C415D"/>
    <w:rsid w:val="002C420B"/>
    <w:rsid w:val="002C4379"/>
    <w:rsid w:val="002C43C7"/>
    <w:rsid w:val="002C449F"/>
    <w:rsid w:val="002C4590"/>
    <w:rsid w:val="002C4707"/>
    <w:rsid w:val="002C475D"/>
    <w:rsid w:val="002C488A"/>
    <w:rsid w:val="002C4911"/>
    <w:rsid w:val="002C49B5"/>
    <w:rsid w:val="002C49BF"/>
    <w:rsid w:val="002C4AC6"/>
    <w:rsid w:val="002C4AD0"/>
    <w:rsid w:val="002C4B7C"/>
    <w:rsid w:val="002C4B89"/>
    <w:rsid w:val="002C4BF7"/>
    <w:rsid w:val="002C4D27"/>
    <w:rsid w:val="002C4D9E"/>
    <w:rsid w:val="002C4E25"/>
    <w:rsid w:val="002C4E45"/>
    <w:rsid w:val="002C4F40"/>
    <w:rsid w:val="002C4F5E"/>
    <w:rsid w:val="002C4FAA"/>
    <w:rsid w:val="002C5012"/>
    <w:rsid w:val="002C5281"/>
    <w:rsid w:val="002C545D"/>
    <w:rsid w:val="002C546E"/>
    <w:rsid w:val="002C5480"/>
    <w:rsid w:val="002C54D1"/>
    <w:rsid w:val="002C54DE"/>
    <w:rsid w:val="002C54F0"/>
    <w:rsid w:val="002C5676"/>
    <w:rsid w:val="002C5734"/>
    <w:rsid w:val="002C5766"/>
    <w:rsid w:val="002C576B"/>
    <w:rsid w:val="002C57DF"/>
    <w:rsid w:val="002C5876"/>
    <w:rsid w:val="002C58BE"/>
    <w:rsid w:val="002C59DE"/>
    <w:rsid w:val="002C5ACE"/>
    <w:rsid w:val="002C5B6C"/>
    <w:rsid w:val="002C5B95"/>
    <w:rsid w:val="002C5C06"/>
    <w:rsid w:val="002C5D9C"/>
    <w:rsid w:val="002C5D9E"/>
    <w:rsid w:val="002C5E25"/>
    <w:rsid w:val="002C5E4A"/>
    <w:rsid w:val="002C5F2C"/>
    <w:rsid w:val="002C5FFC"/>
    <w:rsid w:val="002C6076"/>
    <w:rsid w:val="002C60E9"/>
    <w:rsid w:val="002C6194"/>
    <w:rsid w:val="002C61FB"/>
    <w:rsid w:val="002C6264"/>
    <w:rsid w:val="002C6292"/>
    <w:rsid w:val="002C62C4"/>
    <w:rsid w:val="002C63AF"/>
    <w:rsid w:val="002C652A"/>
    <w:rsid w:val="002C6545"/>
    <w:rsid w:val="002C6547"/>
    <w:rsid w:val="002C6734"/>
    <w:rsid w:val="002C677F"/>
    <w:rsid w:val="002C680B"/>
    <w:rsid w:val="002C687A"/>
    <w:rsid w:val="002C68A1"/>
    <w:rsid w:val="002C68B3"/>
    <w:rsid w:val="002C68E1"/>
    <w:rsid w:val="002C6AAD"/>
    <w:rsid w:val="002C6B4D"/>
    <w:rsid w:val="002C6CDB"/>
    <w:rsid w:val="002C6CDF"/>
    <w:rsid w:val="002C6D79"/>
    <w:rsid w:val="002C6D87"/>
    <w:rsid w:val="002C6DC8"/>
    <w:rsid w:val="002C6E9C"/>
    <w:rsid w:val="002C6F7C"/>
    <w:rsid w:val="002C6F93"/>
    <w:rsid w:val="002C6FA9"/>
    <w:rsid w:val="002C6FB7"/>
    <w:rsid w:val="002C6FD6"/>
    <w:rsid w:val="002C705A"/>
    <w:rsid w:val="002C70BF"/>
    <w:rsid w:val="002C711D"/>
    <w:rsid w:val="002C7195"/>
    <w:rsid w:val="002C7202"/>
    <w:rsid w:val="002C7299"/>
    <w:rsid w:val="002C72C7"/>
    <w:rsid w:val="002C7353"/>
    <w:rsid w:val="002C7389"/>
    <w:rsid w:val="002C74AA"/>
    <w:rsid w:val="002C74AC"/>
    <w:rsid w:val="002C750C"/>
    <w:rsid w:val="002C7600"/>
    <w:rsid w:val="002C7623"/>
    <w:rsid w:val="002C7691"/>
    <w:rsid w:val="002C76C2"/>
    <w:rsid w:val="002C780F"/>
    <w:rsid w:val="002C7998"/>
    <w:rsid w:val="002C7B00"/>
    <w:rsid w:val="002C7B28"/>
    <w:rsid w:val="002C7B62"/>
    <w:rsid w:val="002C7B96"/>
    <w:rsid w:val="002C7D3E"/>
    <w:rsid w:val="002C7E33"/>
    <w:rsid w:val="002C7EB2"/>
    <w:rsid w:val="002C7FB4"/>
    <w:rsid w:val="002C7FD5"/>
    <w:rsid w:val="002C7FF7"/>
    <w:rsid w:val="002C9A28"/>
    <w:rsid w:val="002D0059"/>
    <w:rsid w:val="002D00E0"/>
    <w:rsid w:val="002D00EC"/>
    <w:rsid w:val="002D0178"/>
    <w:rsid w:val="002D01BF"/>
    <w:rsid w:val="002D02B3"/>
    <w:rsid w:val="002D038F"/>
    <w:rsid w:val="002D042E"/>
    <w:rsid w:val="002D04D2"/>
    <w:rsid w:val="002D051D"/>
    <w:rsid w:val="002D06C4"/>
    <w:rsid w:val="002D0769"/>
    <w:rsid w:val="002D0991"/>
    <w:rsid w:val="002D09A0"/>
    <w:rsid w:val="002D09BE"/>
    <w:rsid w:val="002D0BFA"/>
    <w:rsid w:val="002D0CAA"/>
    <w:rsid w:val="002D0CE4"/>
    <w:rsid w:val="002D0D06"/>
    <w:rsid w:val="002D0D5B"/>
    <w:rsid w:val="002D0F4E"/>
    <w:rsid w:val="002D0F90"/>
    <w:rsid w:val="002D10BB"/>
    <w:rsid w:val="002D1168"/>
    <w:rsid w:val="002D116F"/>
    <w:rsid w:val="002D1173"/>
    <w:rsid w:val="002D11CE"/>
    <w:rsid w:val="002D1221"/>
    <w:rsid w:val="002D1245"/>
    <w:rsid w:val="002D12AA"/>
    <w:rsid w:val="002D1426"/>
    <w:rsid w:val="002D14E5"/>
    <w:rsid w:val="002D14EF"/>
    <w:rsid w:val="002D1573"/>
    <w:rsid w:val="002D1645"/>
    <w:rsid w:val="002D1699"/>
    <w:rsid w:val="002D1819"/>
    <w:rsid w:val="002D185F"/>
    <w:rsid w:val="002D18A3"/>
    <w:rsid w:val="002D18A6"/>
    <w:rsid w:val="002D1959"/>
    <w:rsid w:val="002D1995"/>
    <w:rsid w:val="002D19F9"/>
    <w:rsid w:val="002D1A1F"/>
    <w:rsid w:val="002D1A6C"/>
    <w:rsid w:val="002D1AD4"/>
    <w:rsid w:val="002D1BAB"/>
    <w:rsid w:val="002D1BEE"/>
    <w:rsid w:val="002D1C2C"/>
    <w:rsid w:val="002D1D7C"/>
    <w:rsid w:val="002D1E1C"/>
    <w:rsid w:val="002D1EB8"/>
    <w:rsid w:val="002D1FA6"/>
    <w:rsid w:val="002D1FA7"/>
    <w:rsid w:val="002D2030"/>
    <w:rsid w:val="002D2057"/>
    <w:rsid w:val="002D2075"/>
    <w:rsid w:val="002D2121"/>
    <w:rsid w:val="002D21B1"/>
    <w:rsid w:val="002D21CB"/>
    <w:rsid w:val="002D227C"/>
    <w:rsid w:val="002D252B"/>
    <w:rsid w:val="002D254C"/>
    <w:rsid w:val="002D2694"/>
    <w:rsid w:val="002D2746"/>
    <w:rsid w:val="002D276F"/>
    <w:rsid w:val="002D279D"/>
    <w:rsid w:val="002D28F0"/>
    <w:rsid w:val="002D2941"/>
    <w:rsid w:val="002D2AE3"/>
    <w:rsid w:val="002D2B81"/>
    <w:rsid w:val="002D2BFE"/>
    <w:rsid w:val="002D2C80"/>
    <w:rsid w:val="002D2C90"/>
    <w:rsid w:val="002D2CCF"/>
    <w:rsid w:val="002D2D67"/>
    <w:rsid w:val="002D2D85"/>
    <w:rsid w:val="002D2DF3"/>
    <w:rsid w:val="002D2E7D"/>
    <w:rsid w:val="002D2F18"/>
    <w:rsid w:val="002D2F80"/>
    <w:rsid w:val="002D2FCF"/>
    <w:rsid w:val="002D2FE9"/>
    <w:rsid w:val="002D3084"/>
    <w:rsid w:val="002D3173"/>
    <w:rsid w:val="002D31B2"/>
    <w:rsid w:val="002D3244"/>
    <w:rsid w:val="002D329B"/>
    <w:rsid w:val="002D349D"/>
    <w:rsid w:val="002D3503"/>
    <w:rsid w:val="002D3567"/>
    <w:rsid w:val="002D35A9"/>
    <w:rsid w:val="002D35B2"/>
    <w:rsid w:val="002D3786"/>
    <w:rsid w:val="002D3A76"/>
    <w:rsid w:val="002D3A9D"/>
    <w:rsid w:val="002D3ADE"/>
    <w:rsid w:val="002D3BAE"/>
    <w:rsid w:val="002D3CF2"/>
    <w:rsid w:val="002D3DC3"/>
    <w:rsid w:val="002D3E41"/>
    <w:rsid w:val="002D3F92"/>
    <w:rsid w:val="002D401A"/>
    <w:rsid w:val="002D405D"/>
    <w:rsid w:val="002D40D8"/>
    <w:rsid w:val="002D42AF"/>
    <w:rsid w:val="002D43AB"/>
    <w:rsid w:val="002D468A"/>
    <w:rsid w:val="002D4741"/>
    <w:rsid w:val="002D4839"/>
    <w:rsid w:val="002D491B"/>
    <w:rsid w:val="002D4B21"/>
    <w:rsid w:val="002D4B98"/>
    <w:rsid w:val="002D4C0F"/>
    <w:rsid w:val="002D4C77"/>
    <w:rsid w:val="002D4DAC"/>
    <w:rsid w:val="002D4E0E"/>
    <w:rsid w:val="002D4E30"/>
    <w:rsid w:val="002D4E7A"/>
    <w:rsid w:val="002D4EF9"/>
    <w:rsid w:val="002D4F03"/>
    <w:rsid w:val="002D4F77"/>
    <w:rsid w:val="002D4F7B"/>
    <w:rsid w:val="002D4F7C"/>
    <w:rsid w:val="002D5009"/>
    <w:rsid w:val="002D503E"/>
    <w:rsid w:val="002D504F"/>
    <w:rsid w:val="002D506B"/>
    <w:rsid w:val="002D510B"/>
    <w:rsid w:val="002D5217"/>
    <w:rsid w:val="002D5229"/>
    <w:rsid w:val="002D5253"/>
    <w:rsid w:val="002D5294"/>
    <w:rsid w:val="002D52B3"/>
    <w:rsid w:val="002D52F9"/>
    <w:rsid w:val="002D5382"/>
    <w:rsid w:val="002D53C2"/>
    <w:rsid w:val="002D5419"/>
    <w:rsid w:val="002D5462"/>
    <w:rsid w:val="002D559A"/>
    <w:rsid w:val="002D55C1"/>
    <w:rsid w:val="002D5602"/>
    <w:rsid w:val="002D567C"/>
    <w:rsid w:val="002D56FF"/>
    <w:rsid w:val="002D57A6"/>
    <w:rsid w:val="002D5A99"/>
    <w:rsid w:val="002D5BCE"/>
    <w:rsid w:val="002D5C6B"/>
    <w:rsid w:val="002D5CAF"/>
    <w:rsid w:val="002D5DF4"/>
    <w:rsid w:val="002D5E4A"/>
    <w:rsid w:val="002D5E63"/>
    <w:rsid w:val="002D5FC0"/>
    <w:rsid w:val="002D5FF5"/>
    <w:rsid w:val="002D5FFF"/>
    <w:rsid w:val="002D620D"/>
    <w:rsid w:val="002D63C0"/>
    <w:rsid w:val="002D63FF"/>
    <w:rsid w:val="002D642F"/>
    <w:rsid w:val="002D6436"/>
    <w:rsid w:val="002D647F"/>
    <w:rsid w:val="002D64E2"/>
    <w:rsid w:val="002D6542"/>
    <w:rsid w:val="002D655A"/>
    <w:rsid w:val="002D65FB"/>
    <w:rsid w:val="002D663C"/>
    <w:rsid w:val="002D66E8"/>
    <w:rsid w:val="002D6AB9"/>
    <w:rsid w:val="002D6AEF"/>
    <w:rsid w:val="002D6B3D"/>
    <w:rsid w:val="002D6BF4"/>
    <w:rsid w:val="002D6C17"/>
    <w:rsid w:val="002D6CA4"/>
    <w:rsid w:val="002D6D14"/>
    <w:rsid w:val="002D6DC9"/>
    <w:rsid w:val="002D6EE3"/>
    <w:rsid w:val="002D6F36"/>
    <w:rsid w:val="002D70D9"/>
    <w:rsid w:val="002D70F2"/>
    <w:rsid w:val="002D7145"/>
    <w:rsid w:val="002D7153"/>
    <w:rsid w:val="002D7428"/>
    <w:rsid w:val="002D744F"/>
    <w:rsid w:val="002D7502"/>
    <w:rsid w:val="002D76BF"/>
    <w:rsid w:val="002D7941"/>
    <w:rsid w:val="002D7959"/>
    <w:rsid w:val="002D796C"/>
    <w:rsid w:val="002D79B8"/>
    <w:rsid w:val="002D7ABD"/>
    <w:rsid w:val="002D7ADD"/>
    <w:rsid w:val="002D7B2E"/>
    <w:rsid w:val="002D7B35"/>
    <w:rsid w:val="002D7B58"/>
    <w:rsid w:val="002D7BF8"/>
    <w:rsid w:val="002D7D9D"/>
    <w:rsid w:val="002D7E2E"/>
    <w:rsid w:val="002D7EE9"/>
    <w:rsid w:val="002E0006"/>
    <w:rsid w:val="002E0008"/>
    <w:rsid w:val="002E0029"/>
    <w:rsid w:val="002E0084"/>
    <w:rsid w:val="002E00AB"/>
    <w:rsid w:val="002E0178"/>
    <w:rsid w:val="002E01BD"/>
    <w:rsid w:val="002E0230"/>
    <w:rsid w:val="002E02E9"/>
    <w:rsid w:val="002E0379"/>
    <w:rsid w:val="002E03C9"/>
    <w:rsid w:val="002E05D9"/>
    <w:rsid w:val="002E0704"/>
    <w:rsid w:val="002E070E"/>
    <w:rsid w:val="002E0847"/>
    <w:rsid w:val="002E09B7"/>
    <w:rsid w:val="002E09C0"/>
    <w:rsid w:val="002E09DB"/>
    <w:rsid w:val="002E0A60"/>
    <w:rsid w:val="002E0AA2"/>
    <w:rsid w:val="002E0AF3"/>
    <w:rsid w:val="002E0B12"/>
    <w:rsid w:val="002E0BAF"/>
    <w:rsid w:val="002E0C4B"/>
    <w:rsid w:val="002E0C83"/>
    <w:rsid w:val="002E0C9C"/>
    <w:rsid w:val="002E0CC1"/>
    <w:rsid w:val="002E0CD8"/>
    <w:rsid w:val="002E0DA5"/>
    <w:rsid w:val="002E0ECF"/>
    <w:rsid w:val="002E0F7D"/>
    <w:rsid w:val="002E0F88"/>
    <w:rsid w:val="002E101E"/>
    <w:rsid w:val="002E1059"/>
    <w:rsid w:val="002E113A"/>
    <w:rsid w:val="002E12C3"/>
    <w:rsid w:val="002E12F5"/>
    <w:rsid w:val="002E137D"/>
    <w:rsid w:val="002E13B1"/>
    <w:rsid w:val="002E141E"/>
    <w:rsid w:val="002E14E0"/>
    <w:rsid w:val="002E152E"/>
    <w:rsid w:val="002E15BE"/>
    <w:rsid w:val="002E15C3"/>
    <w:rsid w:val="002E162F"/>
    <w:rsid w:val="002E1681"/>
    <w:rsid w:val="002E16EA"/>
    <w:rsid w:val="002E179F"/>
    <w:rsid w:val="002E1897"/>
    <w:rsid w:val="002E18A3"/>
    <w:rsid w:val="002E18F4"/>
    <w:rsid w:val="002E1A2B"/>
    <w:rsid w:val="002E1A6D"/>
    <w:rsid w:val="002E1AFB"/>
    <w:rsid w:val="002E1B10"/>
    <w:rsid w:val="002E1BF0"/>
    <w:rsid w:val="002E1C65"/>
    <w:rsid w:val="002E1CD4"/>
    <w:rsid w:val="002E1E3F"/>
    <w:rsid w:val="002E1E78"/>
    <w:rsid w:val="002E1F98"/>
    <w:rsid w:val="002E1F9C"/>
    <w:rsid w:val="002E1FB3"/>
    <w:rsid w:val="002E2037"/>
    <w:rsid w:val="002E208D"/>
    <w:rsid w:val="002E2122"/>
    <w:rsid w:val="002E219A"/>
    <w:rsid w:val="002E21BA"/>
    <w:rsid w:val="002E22BE"/>
    <w:rsid w:val="002E2498"/>
    <w:rsid w:val="002E24E2"/>
    <w:rsid w:val="002E25C1"/>
    <w:rsid w:val="002E26AD"/>
    <w:rsid w:val="002E26D2"/>
    <w:rsid w:val="002E27B4"/>
    <w:rsid w:val="002E280C"/>
    <w:rsid w:val="002E2850"/>
    <w:rsid w:val="002E2888"/>
    <w:rsid w:val="002E28DC"/>
    <w:rsid w:val="002E28E0"/>
    <w:rsid w:val="002E2901"/>
    <w:rsid w:val="002E2908"/>
    <w:rsid w:val="002E291A"/>
    <w:rsid w:val="002E29CD"/>
    <w:rsid w:val="002E2B5C"/>
    <w:rsid w:val="002E2B6F"/>
    <w:rsid w:val="002E2BBE"/>
    <w:rsid w:val="002E2C45"/>
    <w:rsid w:val="002E2C73"/>
    <w:rsid w:val="002E2C91"/>
    <w:rsid w:val="002E2D04"/>
    <w:rsid w:val="002E2D28"/>
    <w:rsid w:val="002E2D69"/>
    <w:rsid w:val="002E2EB2"/>
    <w:rsid w:val="002E3049"/>
    <w:rsid w:val="002E30A8"/>
    <w:rsid w:val="002E327B"/>
    <w:rsid w:val="002E335F"/>
    <w:rsid w:val="002E34C7"/>
    <w:rsid w:val="002E3518"/>
    <w:rsid w:val="002E364D"/>
    <w:rsid w:val="002E36EB"/>
    <w:rsid w:val="002E371F"/>
    <w:rsid w:val="002E3760"/>
    <w:rsid w:val="002E37F3"/>
    <w:rsid w:val="002E3827"/>
    <w:rsid w:val="002E3831"/>
    <w:rsid w:val="002E385E"/>
    <w:rsid w:val="002E3959"/>
    <w:rsid w:val="002E3962"/>
    <w:rsid w:val="002E3A24"/>
    <w:rsid w:val="002E3B48"/>
    <w:rsid w:val="002E3B50"/>
    <w:rsid w:val="002E3C33"/>
    <w:rsid w:val="002E3C3A"/>
    <w:rsid w:val="002E3C81"/>
    <w:rsid w:val="002E3CD5"/>
    <w:rsid w:val="002E3D5A"/>
    <w:rsid w:val="002E3E51"/>
    <w:rsid w:val="002E3F24"/>
    <w:rsid w:val="002E3F35"/>
    <w:rsid w:val="002E3FDE"/>
    <w:rsid w:val="002E40D4"/>
    <w:rsid w:val="002E4223"/>
    <w:rsid w:val="002E428E"/>
    <w:rsid w:val="002E42AF"/>
    <w:rsid w:val="002E42BB"/>
    <w:rsid w:val="002E4419"/>
    <w:rsid w:val="002E442E"/>
    <w:rsid w:val="002E458D"/>
    <w:rsid w:val="002E46F6"/>
    <w:rsid w:val="002E484A"/>
    <w:rsid w:val="002E4858"/>
    <w:rsid w:val="002E4A40"/>
    <w:rsid w:val="002E4B0C"/>
    <w:rsid w:val="002E4B95"/>
    <w:rsid w:val="002E4BA1"/>
    <w:rsid w:val="002E4BEF"/>
    <w:rsid w:val="002E4C52"/>
    <w:rsid w:val="002E4C54"/>
    <w:rsid w:val="002E4D22"/>
    <w:rsid w:val="002E4D84"/>
    <w:rsid w:val="002E4DC4"/>
    <w:rsid w:val="002E4DD7"/>
    <w:rsid w:val="002E4F22"/>
    <w:rsid w:val="002E508B"/>
    <w:rsid w:val="002E50ED"/>
    <w:rsid w:val="002E51A6"/>
    <w:rsid w:val="002E528A"/>
    <w:rsid w:val="002E52F2"/>
    <w:rsid w:val="002E5397"/>
    <w:rsid w:val="002E542E"/>
    <w:rsid w:val="002E546A"/>
    <w:rsid w:val="002E5531"/>
    <w:rsid w:val="002E5540"/>
    <w:rsid w:val="002E5597"/>
    <w:rsid w:val="002E5616"/>
    <w:rsid w:val="002E56AA"/>
    <w:rsid w:val="002E571D"/>
    <w:rsid w:val="002E57C5"/>
    <w:rsid w:val="002E58D8"/>
    <w:rsid w:val="002E58E9"/>
    <w:rsid w:val="002E596C"/>
    <w:rsid w:val="002E5976"/>
    <w:rsid w:val="002E5985"/>
    <w:rsid w:val="002E59B4"/>
    <w:rsid w:val="002E5AE1"/>
    <w:rsid w:val="002E5D0D"/>
    <w:rsid w:val="002E5D16"/>
    <w:rsid w:val="002E5D90"/>
    <w:rsid w:val="002E5E6D"/>
    <w:rsid w:val="002E5EF3"/>
    <w:rsid w:val="002E5F73"/>
    <w:rsid w:val="002E6044"/>
    <w:rsid w:val="002E6056"/>
    <w:rsid w:val="002E6085"/>
    <w:rsid w:val="002E60CC"/>
    <w:rsid w:val="002E60FA"/>
    <w:rsid w:val="002E6140"/>
    <w:rsid w:val="002E614C"/>
    <w:rsid w:val="002E6217"/>
    <w:rsid w:val="002E6274"/>
    <w:rsid w:val="002E6335"/>
    <w:rsid w:val="002E63B9"/>
    <w:rsid w:val="002E64F0"/>
    <w:rsid w:val="002E657B"/>
    <w:rsid w:val="002E6582"/>
    <w:rsid w:val="002E65DF"/>
    <w:rsid w:val="002E6657"/>
    <w:rsid w:val="002E66E8"/>
    <w:rsid w:val="002E66F2"/>
    <w:rsid w:val="002E67A2"/>
    <w:rsid w:val="002E6925"/>
    <w:rsid w:val="002E695F"/>
    <w:rsid w:val="002E697F"/>
    <w:rsid w:val="002E6A58"/>
    <w:rsid w:val="002E6B87"/>
    <w:rsid w:val="002E6CD3"/>
    <w:rsid w:val="002E6D25"/>
    <w:rsid w:val="002E6EC8"/>
    <w:rsid w:val="002E6F76"/>
    <w:rsid w:val="002E7029"/>
    <w:rsid w:val="002E70F5"/>
    <w:rsid w:val="002E7244"/>
    <w:rsid w:val="002E72EE"/>
    <w:rsid w:val="002E7340"/>
    <w:rsid w:val="002E743D"/>
    <w:rsid w:val="002E7495"/>
    <w:rsid w:val="002E75E5"/>
    <w:rsid w:val="002E76AB"/>
    <w:rsid w:val="002E76E6"/>
    <w:rsid w:val="002E78C4"/>
    <w:rsid w:val="002E793B"/>
    <w:rsid w:val="002E7A87"/>
    <w:rsid w:val="002E7B2B"/>
    <w:rsid w:val="002E7C17"/>
    <w:rsid w:val="002E7CAF"/>
    <w:rsid w:val="002E7FBF"/>
    <w:rsid w:val="002E7FEE"/>
    <w:rsid w:val="002F00F1"/>
    <w:rsid w:val="002F0183"/>
    <w:rsid w:val="002F01B6"/>
    <w:rsid w:val="002F01DF"/>
    <w:rsid w:val="002F02F4"/>
    <w:rsid w:val="002F043B"/>
    <w:rsid w:val="002F0455"/>
    <w:rsid w:val="002F050E"/>
    <w:rsid w:val="002F0517"/>
    <w:rsid w:val="002F05F2"/>
    <w:rsid w:val="002F061D"/>
    <w:rsid w:val="002F065A"/>
    <w:rsid w:val="002F06A3"/>
    <w:rsid w:val="002F06C9"/>
    <w:rsid w:val="002F0700"/>
    <w:rsid w:val="002F0742"/>
    <w:rsid w:val="002F0761"/>
    <w:rsid w:val="002F082D"/>
    <w:rsid w:val="002F09C1"/>
    <w:rsid w:val="002F0A7D"/>
    <w:rsid w:val="002F0B8A"/>
    <w:rsid w:val="002F0BB6"/>
    <w:rsid w:val="002F0C39"/>
    <w:rsid w:val="002F0D30"/>
    <w:rsid w:val="002F0D3F"/>
    <w:rsid w:val="002F0E9A"/>
    <w:rsid w:val="002F0F12"/>
    <w:rsid w:val="002F0F18"/>
    <w:rsid w:val="002F0FA7"/>
    <w:rsid w:val="002F0FF0"/>
    <w:rsid w:val="002F10AB"/>
    <w:rsid w:val="002F10BE"/>
    <w:rsid w:val="002F117A"/>
    <w:rsid w:val="002F1327"/>
    <w:rsid w:val="002F13AB"/>
    <w:rsid w:val="002F13B8"/>
    <w:rsid w:val="002F13D3"/>
    <w:rsid w:val="002F142B"/>
    <w:rsid w:val="002F1484"/>
    <w:rsid w:val="002F14F3"/>
    <w:rsid w:val="002F16A0"/>
    <w:rsid w:val="002F1708"/>
    <w:rsid w:val="002F17D5"/>
    <w:rsid w:val="002F181F"/>
    <w:rsid w:val="002F186A"/>
    <w:rsid w:val="002F187D"/>
    <w:rsid w:val="002F1926"/>
    <w:rsid w:val="002F192F"/>
    <w:rsid w:val="002F19FC"/>
    <w:rsid w:val="002F1A65"/>
    <w:rsid w:val="002F1B07"/>
    <w:rsid w:val="002F1D11"/>
    <w:rsid w:val="002F1D89"/>
    <w:rsid w:val="002F1DFC"/>
    <w:rsid w:val="002F1E38"/>
    <w:rsid w:val="002F1EB6"/>
    <w:rsid w:val="002F1F21"/>
    <w:rsid w:val="002F1F3D"/>
    <w:rsid w:val="002F1F40"/>
    <w:rsid w:val="002F2074"/>
    <w:rsid w:val="002F233B"/>
    <w:rsid w:val="002F2403"/>
    <w:rsid w:val="002F2498"/>
    <w:rsid w:val="002F25F4"/>
    <w:rsid w:val="002F273C"/>
    <w:rsid w:val="002F273D"/>
    <w:rsid w:val="002F274F"/>
    <w:rsid w:val="002F27EB"/>
    <w:rsid w:val="002F2838"/>
    <w:rsid w:val="002F290E"/>
    <w:rsid w:val="002F2AEC"/>
    <w:rsid w:val="002F2B5E"/>
    <w:rsid w:val="002F2B62"/>
    <w:rsid w:val="002F2B80"/>
    <w:rsid w:val="002F2CAC"/>
    <w:rsid w:val="002F2D08"/>
    <w:rsid w:val="002F2D7F"/>
    <w:rsid w:val="002F2DB7"/>
    <w:rsid w:val="002F2DD2"/>
    <w:rsid w:val="002F2FFF"/>
    <w:rsid w:val="002F31D8"/>
    <w:rsid w:val="002F321D"/>
    <w:rsid w:val="002F324B"/>
    <w:rsid w:val="002F3307"/>
    <w:rsid w:val="002F334D"/>
    <w:rsid w:val="002F33F3"/>
    <w:rsid w:val="002F3510"/>
    <w:rsid w:val="002F35C5"/>
    <w:rsid w:val="002F373D"/>
    <w:rsid w:val="002F37E3"/>
    <w:rsid w:val="002F38AA"/>
    <w:rsid w:val="002F38F5"/>
    <w:rsid w:val="002F39B2"/>
    <w:rsid w:val="002F3A3D"/>
    <w:rsid w:val="002F3B06"/>
    <w:rsid w:val="002F3B0E"/>
    <w:rsid w:val="002F3B46"/>
    <w:rsid w:val="002F3BF4"/>
    <w:rsid w:val="002F3BF8"/>
    <w:rsid w:val="002F3CA8"/>
    <w:rsid w:val="002F3D6A"/>
    <w:rsid w:val="002F3DF1"/>
    <w:rsid w:val="002F3ECB"/>
    <w:rsid w:val="002F3ED3"/>
    <w:rsid w:val="002F3F2C"/>
    <w:rsid w:val="002F3F56"/>
    <w:rsid w:val="002F3F7A"/>
    <w:rsid w:val="002F4041"/>
    <w:rsid w:val="002F409D"/>
    <w:rsid w:val="002F413D"/>
    <w:rsid w:val="002F41D9"/>
    <w:rsid w:val="002F41EA"/>
    <w:rsid w:val="002F41FA"/>
    <w:rsid w:val="002F4299"/>
    <w:rsid w:val="002F430D"/>
    <w:rsid w:val="002F430F"/>
    <w:rsid w:val="002F4332"/>
    <w:rsid w:val="002F4351"/>
    <w:rsid w:val="002F4430"/>
    <w:rsid w:val="002F452F"/>
    <w:rsid w:val="002F453E"/>
    <w:rsid w:val="002F4540"/>
    <w:rsid w:val="002F454E"/>
    <w:rsid w:val="002F45D0"/>
    <w:rsid w:val="002F460A"/>
    <w:rsid w:val="002F4675"/>
    <w:rsid w:val="002F46A4"/>
    <w:rsid w:val="002F46CA"/>
    <w:rsid w:val="002F46FA"/>
    <w:rsid w:val="002F4791"/>
    <w:rsid w:val="002F47CF"/>
    <w:rsid w:val="002F493E"/>
    <w:rsid w:val="002F4A28"/>
    <w:rsid w:val="002F4AEF"/>
    <w:rsid w:val="002F4AF4"/>
    <w:rsid w:val="002F4C16"/>
    <w:rsid w:val="002F4C7F"/>
    <w:rsid w:val="002F4FA5"/>
    <w:rsid w:val="002F51C9"/>
    <w:rsid w:val="002F522A"/>
    <w:rsid w:val="002F5234"/>
    <w:rsid w:val="002F5270"/>
    <w:rsid w:val="002F52B9"/>
    <w:rsid w:val="002F5467"/>
    <w:rsid w:val="002F546F"/>
    <w:rsid w:val="002F54CD"/>
    <w:rsid w:val="002F5573"/>
    <w:rsid w:val="002F55D1"/>
    <w:rsid w:val="002F5629"/>
    <w:rsid w:val="002F56D4"/>
    <w:rsid w:val="002F5835"/>
    <w:rsid w:val="002F594A"/>
    <w:rsid w:val="002F5998"/>
    <w:rsid w:val="002F5A22"/>
    <w:rsid w:val="002F5B66"/>
    <w:rsid w:val="002F5B8F"/>
    <w:rsid w:val="002F5C7E"/>
    <w:rsid w:val="002F5CAB"/>
    <w:rsid w:val="002F5CE9"/>
    <w:rsid w:val="002F5D75"/>
    <w:rsid w:val="002F5DEE"/>
    <w:rsid w:val="002F5E97"/>
    <w:rsid w:val="002F5F6E"/>
    <w:rsid w:val="002F5FBF"/>
    <w:rsid w:val="002F6038"/>
    <w:rsid w:val="002F6043"/>
    <w:rsid w:val="002F604C"/>
    <w:rsid w:val="002F60CF"/>
    <w:rsid w:val="002F6122"/>
    <w:rsid w:val="002F61BE"/>
    <w:rsid w:val="002F624E"/>
    <w:rsid w:val="002F63C2"/>
    <w:rsid w:val="002F642E"/>
    <w:rsid w:val="002F6522"/>
    <w:rsid w:val="002F654A"/>
    <w:rsid w:val="002F65B9"/>
    <w:rsid w:val="002F65DC"/>
    <w:rsid w:val="002F663E"/>
    <w:rsid w:val="002F66C0"/>
    <w:rsid w:val="002F6775"/>
    <w:rsid w:val="002F6792"/>
    <w:rsid w:val="002F6992"/>
    <w:rsid w:val="002F6999"/>
    <w:rsid w:val="002F6A69"/>
    <w:rsid w:val="002F6AAB"/>
    <w:rsid w:val="002F6B87"/>
    <w:rsid w:val="002F6BF2"/>
    <w:rsid w:val="002F6C4B"/>
    <w:rsid w:val="002F6DAB"/>
    <w:rsid w:val="002F6EF5"/>
    <w:rsid w:val="002F6F7C"/>
    <w:rsid w:val="002F6FD3"/>
    <w:rsid w:val="002F7048"/>
    <w:rsid w:val="002F7078"/>
    <w:rsid w:val="002F70CB"/>
    <w:rsid w:val="002F70FD"/>
    <w:rsid w:val="002F7134"/>
    <w:rsid w:val="002F7187"/>
    <w:rsid w:val="002F71A1"/>
    <w:rsid w:val="002F7367"/>
    <w:rsid w:val="002F736D"/>
    <w:rsid w:val="002F73D2"/>
    <w:rsid w:val="002F73E0"/>
    <w:rsid w:val="002F747B"/>
    <w:rsid w:val="002F7585"/>
    <w:rsid w:val="002F75FD"/>
    <w:rsid w:val="002F7634"/>
    <w:rsid w:val="002F768E"/>
    <w:rsid w:val="002F7793"/>
    <w:rsid w:val="002F77EE"/>
    <w:rsid w:val="002F78B4"/>
    <w:rsid w:val="002F79F1"/>
    <w:rsid w:val="002F7B8B"/>
    <w:rsid w:val="002F7BCF"/>
    <w:rsid w:val="002F7C28"/>
    <w:rsid w:val="002F7CA1"/>
    <w:rsid w:val="002F7E3D"/>
    <w:rsid w:val="002F7E9D"/>
    <w:rsid w:val="00300016"/>
    <w:rsid w:val="00300094"/>
    <w:rsid w:val="00300192"/>
    <w:rsid w:val="003002A4"/>
    <w:rsid w:val="00300313"/>
    <w:rsid w:val="00300329"/>
    <w:rsid w:val="003004A6"/>
    <w:rsid w:val="003004BE"/>
    <w:rsid w:val="00300535"/>
    <w:rsid w:val="003005F7"/>
    <w:rsid w:val="00300605"/>
    <w:rsid w:val="00300622"/>
    <w:rsid w:val="00300684"/>
    <w:rsid w:val="003007F3"/>
    <w:rsid w:val="003007F7"/>
    <w:rsid w:val="0030085B"/>
    <w:rsid w:val="0030086B"/>
    <w:rsid w:val="003008DD"/>
    <w:rsid w:val="0030095C"/>
    <w:rsid w:val="0030096F"/>
    <w:rsid w:val="00300985"/>
    <w:rsid w:val="00300A61"/>
    <w:rsid w:val="00300A82"/>
    <w:rsid w:val="00300C01"/>
    <w:rsid w:val="00300D22"/>
    <w:rsid w:val="00300DA2"/>
    <w:rsid w:val="00300E4F"/>
    <w:rsid w:val="00300EA9"/>
    <w:rsid w:val="00300F34"/>
    <w:rsid w:val="00300FB1"/>
    <w:rsid w:val="0030100A"/>
    <w:rsid w:val="00301083"/>
    <w:rsid w:val="003010A0"/>
    <w:rsid w:val="00301226"/>
    <w:rsid w:val="00301233"/>
    <w:rsid w:val="0030130A"/>
    <w:rsid w:val="0030141A"/>
    <w:rsid w:val="0030167E"/>
    <w:rsid w:val="00301872"/>
    <w:rsid w:val="00301A34"/>
    <w:rsid w:val="00301D55"/>
    <w:rsid w:val="00301DB6"/>
    <w:rsid w:val="00301DF9"/>
    <w:rsid w:val="00301EC4"/>
    <w:rsid w:val="00301FFD"/>
    <w:rsid w:val="003020E6"/>
    <w:rsid w:val="0030212C"/>
    <w:rsid w:val="0030229E"/>
    <w:rsid w:val="003022B6"/>
    <w:rsid w:val="003022DD"/>
    <w:rsid w:val="0030231B"/>
    <w:rsid w:val="003024A4"/>
    <w:rsid w:val="003025C8"/>
    <w:rsid w:val="003025CB"/>
    <w:rsid w:val="00302686"/>
    <w:rsid w:val="00302707"/>
    <w:rsid w:val="003027D5"/>
    <w:rsid w:val="00302873"/>
    <w:rsid w:val="00302886"/>
    <w:rsid w:val="00302A8D"/>
    <w:rsid w:val="00302B8C"/>
    <w:rsid w:val="00302C0C"/>
    <w:rsid w:val="00302C28"/>
    <w:rsid w:val="00302CCF"/>
    <w:rsid w:val="00302CDE"/>
    <w:rsid w:val="00302D2B"/>
    <w:rsid w:val="00302D5F"/>
    <w:rsid w:val="00302E99"/>
    <w:rsid w:val="00302FEE"/>
    <w:rsid w:val="003030A2"/>
    <w:rsid w:val="003030FF"/>
    <w:rsid w:val="0030314D"/>
    <w:rsid w:val="0030315C"/>
    <w:rsid w:val="0030325C"/>
    <w:rsid w:val="00303269"/>
    <w:rsid w:val="0030326D"/>
    <w:rsid w:val="0030335C"/>
    <w:rsid w:val="003033F7"/>
    <w:rsid w:val="0030344C"/>
    <w:rsid w:val="0030358A"/>
    <w:rsid w:val="0030363E"/>
    <w:rsid w:val="0030369B"/>
    <w:rsid w:val="003036EC"/>
    <w:rsid w:val="00303724"/>
    <w:rsid w:val="0030380B"/>
    <w:rsid w:val="0030380C"/>
    <w:rsid w:val="00303860"/>
    <w:rsid w:val="0030387B"/>
    <w:rsid w:val="00303908"/>
    <w:rsid w:val="00303A93"/>
    <w:rsid w:val="00303AF0"/>
    <w:rsid w:val="00303B74"/>
    <w:rsid w:val="00303D52"/>
    <w:rsid w:val="00303E07"/>
    <w:rsid w:val="00303F1A"/>
    <w:rsid w:val="00303FE0"/>
    <w:rsid w:val="0030400A"/>
    <w:rsid w:val="003040B6"/>
    <w:rsid w:val="00304103"/>
    <w:rsid w:val="0030427E"/>
    <w:rsid w:val="003042BD"/>
    <w:rsid w:val="00304337"/>
    <w:rsid w:val="00304362"/>
    <w:rsid w:val="00304402"/>
    <w:rsid w:val="003044A8"/>
    <w:rsid w:val="00304597"/>
    <w:rsid w:val="00304598"/>
    <w:rsid w:val="0030468E"/>
    <w:rsid w:val="003046D1"/>
    <w:rsid w:val="00304706"/>
    <w:rsid w:val="0030482B"/>
    <w:rsid w:val="003048F1"/>
    <w:rsid w:val="003048F7"/>
    <w:rsid w:val="0030499A"/>
    <w:rsid w:val="00304A03"/>
    <w:rsid w:val="00304A04"/>
    <w:rsid w:val="00304A4D"/>
    <w:rsid w:val="00304AFA"/>
    <w:rsid w:val="00304B23"/>
    <w:rsid w:val="00304B5A"/>
    <w:rsid w:val="00304B9A"/>
    <w:rsid w:val="00304BD2"/>
    <w:rsid w:val="00304BFC"/>
    <w:rsid w:val="00304DA6"/>
    <w:rsid w:val="00304E39"/>
    <w:rsid w:val="00304E72"/>
    <w:rsid w:val="00304EFF"/>
    <w:rsid w:val="00304F20"/>
    <w:rsid w:val="00304F3D"/>
    <w:rsid w:val="00304F4B"/>
    <w:rsid w:val="00304FB5"/>
    <w:rsid w:val="003050B9"/>
    <w:rsid w:val="003050DB"/>
    <w:rsid w:val="0030523D"/>
    <w:rsid w:val="00305580"/>
    <w:rsid w:val="003055A9"/>
    <w:rsid w:val="0030560D"/>
    <w:rsid w:val="00305668"/>
    <w:rsid w:val="003056AA"/>
    <w:rsid w:val="003056EF"/>
    <w:rsid w:val="00305744"/>
    <w:rsid w:val="0030579B"/>
    <w:rsid w:val="003058E6"/>
    <w:rsid w:val="0030590A"/>
    <w:rsid w:val="003059AC"/>
    <w:rsid w:val="00305A4C"/>
    <w:rsid w:val="00305AC4"/>
    <w:rsid w:val="00305AFC"/>
    <w:rsid w:val="00305B20"/>
    <w:rsid w:val="00305D74"/>
    <w:rsid w:val="00305DF6"/>
    <w:rsid w:val="00305F24"/>
    <w:rsid w:val="0030610E"/>
    <w:rsid w:val="003061AB"/>
    <w:rsid w:val="003061CB"/>
    <w:rsid w:val="00306223"/>
    <w:rsid w:val="0030626A"/>
    <w:rsid w:val="00306399"/>
    <w:rsid w:val="00306409"/>
    <w:rsid w:val="00306413"/>
    <w:rsid w:val="00306486"/>
    <w:rsid w:val="00306516"/>
    <w:rsid w:val="00306522"/>
    <w:rsid w:val="0030655B"/>
    <w:rsid w:val="00306684"/>
    <w:rsid w:val="00306764"/>
    <w:rsid w:val="003067DA"/>
    <w:rsid w:val="00306844"/>
    <w:rsid w:val="00306861"/>
    <w:rsid w:val="00306878"/>
    <w:rsid w:val="003068C0"/>
    <w:rsid w:val="00306994"/>
    <w:rsid w:val="003069E1"/>
    <w:rsid w:val="00306A8D"/>
    <w:rsid w:val="00306A9D"/>
    <w:rsid w:val="00306AFC"/>
    <w:rsid w:val="00306B1C"/>
    <w:rsid w:val="00306B98"/>
    <w:rsid w:val="00306BFB"/>
    <w:rsid w:val="00306C7A"/>
    <w:rsid w:val="00306C9D"/>
    <w:rsid w:val="00306D73"/>
    <w:rsid w:val="00306EC6"/>
    <w:rsid w:val="00306EF2"/>
    <w:rsid w:val="00306F78"/>
    <w:rsid w:val="00306FED"/>
    <w:rsid w:val="00307065"/>
    <w:rsid w:val="00307142"/>
    <w:rsid w:val="003071B5"/>
    <w:rsid w:val="003071E4"/>
    <w:rsid w:val="003071FB"/>
    <w:rsid w:val="00307262"/>
    <w:rsid w:val="003072A1"/>
    <w:rsid w:val="003072DE"/>
    <w:rsid w:val="00307389"/>
    <w:rsid w:val="003074AD"/>
    <w:rsid w:val="003074CD"/>
    <w:rsid w:val="003075F2"/>
    <w:rsid w:val="00307692"/>
    <w:rsid w:val="003077DA"/>
    <w:rsid w:val="0030784D"/>
    <w:rsid w:val="003078CF"/>
    <w:rsid w:val="003078EB"/>
    <w:rsid w:val="00307A4D"/>
    <w:rsid w:val="00307A76"/>
    <w:rsid w:val="00307AF4"/>
    <w:rsid w:val="00307B03"/>
    <w:rsid w:val="00307B2B"/>
    <w:rsid w:val="00307BC6"/>
    <w:rsid w:val="00307BF5"/>
    <w:rsid w:val="00307DC3"/>
    <w:rsid w:val="00307E09"/>
    <w:rsid w:val="00307EB9"/>
    <w:rsid w:val="00307F39"/>
    <w:rsid w:val="00307F56"/>
    <w:rsid w:val="0031001D"/>
    <w:rsid w:val="003100A6"/>
    <w:rsid w:val="003100F3"/>
    <w:rsid w:val="00310190"/>
    <w:rsid w:val="003101B8"/>
    <w:rsid w:val="0031050F"/>
    <w:rsid w:val="003105A2"/>
    <w:rsid w:val="003105D0"/>
    <w:rsid w:val="00310600"/>
    <w:rsid w:val="00310660"/>
    <w:rsid w:val="003106CC"/>
    <w:rsid w:val="00310715"/>
    <w:rsid w:val="00310769"/>
    <w:rsid w:val="00310835"/>
    <w:rsid w:val="00310874"/>
    <w:rsid w:val="00310914"/>
    <w:rsid w:val="003109ED"/>
    <w:rsid w:val="00310A34"/>
    <w:rsid w:val="00310AE2"/>
    <w:rsid w:val="00310AE9"/>
    <w:rsid w:val="00310B4E"/>
    <w:rsid w:val="00310C39"/>
    <w:rsid w:val="00310DBC"/>
    <w:rsid w:val="00310DE1"/>
    <w:rsid w:val="00310DE6"/>
    <w:rsid w:val="00310E75"/>
    <w:rsid w:val="00310F46"/>
    <w:rsid w:val="00311045"/>
    <w:rsid w:val="003112F9"/>
    <w:rsid w:val="003113E8"/>
    <w:rsid w:val="0031148C"/>
    <w:rsid w:val="0031153B"/>
    <w:rsid w:val="0031158F"/>
    <w:rsid w:val="00311592"/>
    <w:rsid w:val="003115FB"/>
    <w:rsid w:val="00311643"/>
    <w:rsid w:val="003116CA"/>
    <w:rsid w:val="00311706"/>
    <w:rsid w:val="00311720"/>
    <w:rsid w:val="00311934"/>
    <w:rsid w:val="0031199E"/>
    <w:rsid w:val="00311A8C"/>
    <w:rsid w:val="00311B5D"/>
    <w:rsid w:val="00311B63"/>
    <w:rsid w:val="00311B8F"/>
    <w:rsid w:val="00311C36"/>
    <w:rsid w:val="00311CCC"/>
    <w:rsid w:val="00311DCD"/>
    <w:rsid w:val="00311E7D"/>
    <w:rsid w:val="00311F24"/>
    <w:rsid w:val="00311F56"/>
    <w:rsid w:val="00311F66"/>
    <w:rsid w:val="00312035"/>
    <w:rsid w:val="0031203B"/>
    <w:rsid w:val="003120DD"/>
    <w:rsid w:val="0031215D"/>
    <w:rsid w:val="00312278"/>
    <w:rsid w:val="003123CA"/>
    <w:rsid w:val="003123DA"/>
    <w:rsid w:val="0031241E"/>
    <w:rsid w:val="00312447"/>
    <w:rsid w:val="00312497"/>
    <w:rsid w:val="003124C2"/>
    <w:rsid w:val="00312580"/>
    <w:rsid w:val="003125AF"/>
    <w:rsid w:val="00312665"/>
    <w:rsid w:val="00312716"/>
    <w:rsid w:val="0031286A"/>
    <w:rsid w:val="00312974"/>
    <w:rsid w:val="0031298E"/>
    <w:rsid w:val="00312A47"/>
    <w:rsid w:val="00312ABF"/>
    <w:rsid w:val="00312C7A"/>
    <w:rsid w:val="00312C99"/>
    <w:rsid w:val="00312CF7"/>
    <w:rsid w:val="00312D76"/>
    <w:rsid w:val="00312EF5"/>
    <w:rsid w:val="00312F4C"/>
    <w:rsid w:val="00312F68"/>
    <w:rsid w:val="00312F87"/>
    <w:rsid w:val="003130F6"/>
    <w:rsid w:val="003131DB"/>
    <w:rsid w:val="0031330A"/>
    <w:rsid w:val="00313364"/>
    <w:rsid w:val="0031343B"/>
    <w:rsid w:val="0031343D"/>
    <w:rsid w:val="003134C3"/>
    <w:rsid w:val="003135B2"/>
    <w:rsid w:val="003136CC"/>
    <w:rsid w:val="003136F5"/>
    <w:rsid w:val="00313730"/>
    <w:rsid w:val="003137D4"/>
    <w:rsid w:val="003137E5"/>
    <w:rsid w:val="00313813"/>
    <w:rsid w:val="0031383A"/>
    <w:rsid w:val="0031396C"/>
    <w:rsid w:val="00313991"/>
    <w:rsid w:val="00313A67"/>
    <w:rsid w:val="00313AE2"/>
    <w:rsid w:val="00313B10"/>
    <w:rsid w:val="00313BDE"/>
    <w:rsid w:val="00313C10"/>
    <w:rsid w:val="00313D54"/>
    <w:rsid w:val="00313D6C"/>
    <w:rsid w:val="00313E1C"/>
    <w:rsid w:val="00313EA4"/>
    <w:rsid w:val="00313F12"/>
    <w:rsid w:val="00314036"/>
    <w:rsid w:val="003140EB"/>
    <w:rsid w:val="003140FC"/>
    <w:rsid w:val="003141B3"/>
    <w:rsid w:val="003144BE"/>
    <w:rsid w:val="003145AB"/>
    <w:rsid w:val="003145C2"/>
    <w:rsid w:val="0031465E"/>
    <w:rsid w:val="003146ED"/>
    <w:rsid w:val="0031470B"/>
    <w:rsid w:val="0031472C"/>
    <w:rsid w:val="003148B8"/>
    <w:rsid w:val="003148F6"/>
    <w:rsid w:val="003149E6"/>
    <w:rsid w:val="00314A47"/>
    <w:rsid w:val="00314A4F"/>
    <w:rsid w:val="00314C9F"/>
    <w:rsid w:val="00314E92"/>
    <w:rsid w:val="00315049"/>
    <w:rsid w:val="00315108"/>
    <w:rsid w:val="0031512A"/>
    <w:rsid w:val="0031516B"/>
    <w:rsid w:val="003151EF"/>
    <w:rsid w:val="00315258"/>
    <w:rsid w:val="00315274"/>
    <w:rsid w:val="003152F0"/>
    <w:rsid w:val="0031532D"/>
    <w:rsid w:val="0031532E"/>
    <w:rsid w:val="003153AF"/>
    <w:rsid w:val="00315473"/>
    <w:rsid w:val="00315486"/>
    <w:rsid w:val="00315499"/>
    <w:rsid w:val="00315555"/>
    <w:rsid w:val="003155D8"/>
    <w:rsid w:val="003156A1"/>
    <w:rsid w:val="00315836"/>
    <w:rsid w:val="00315B44"/>
    <w:rsid w:val="00315EEA"/>
    <w:rsid w:val="00315F0A"/>
    <w:rsid w:val="003160FF"/>
    <w:rsid w:val="003161E6"/>
    <w:rsid w:val="00316243"/>
    <w:rsid w:val="003162DD"/>
    <w:rsid w:val="00316346"/>
    <w:rsid w:val="00316542"/>
    <w:rsid w:val="0031666C"/>
    <w:rsid w:val="0031674E"/>
    <w:rsid w:val="003167F7"/>
    <w:rsid w:val="003167FD"/>
    <w:rsid w:val="0031685B"/>
    <w:rsid w:val="00316974"/>
    <w:rsid w:val="00316978"/>
    <w:rsid w:val="00316988"/>
    <w:rsid w:val="00316997"/>
    <w:rsid w:val="003169A9"/>
    <w:rsid w:val="00316A13"/>
    <w:rsid w:val="00316A98"/>
    <w:rsid w:val="00316CB6"/>
    <w:rsid w:val="00316DD3"/>
    <w:rsid w:val="00316DFA"/>
    <w:rsid w:val="00316E4F"/>
    <w:rsid w:val="00316E71"/>
    <w:rsid w:val="00316FAF"/>
    <w:rsid w:val="00317037"/>
    <w:rsid w:val="0031703E"/>
    <w:rsid w:val="00317067"/>
    <w:rsid w:val="003171D6"/>
    <w:rsid w:val="003171DB"/>
    <w:rsid w:val="003171DF"/>
    <w:rsid w:val="003171FA"/>
    <w:rsid w:val="0031724D"/>
    <w:rsid w:val="003172F5"/>
    <w:rsid w:val="00317383"/>
    <w:rsid w:val="003174FA"/>
    <w:rsid w:val="003174FE"/>
    <w:rsid w:val="0031752D"/>
    <w:rsid w:val="0031752E"/>
    <w:rsid w:val="00317567"/>
    <w:rsid w:val="00317633"/>
    <w:rsid w:val="0031776F"/>
    <w:rsid w:val="003177F2"/>
    <w:rsid w:val="00317806"/>
    <w:rsid w:val="0031784E"/>
    <w:rsid w:val="00317858"/>
    <w:rsid w:val="00317859"/>
    <w:rsid w:val="00317884"/>
    <w:rsid w:val="003178DC"/>
    <w:rsid w:val="00317997"/>
    <w:rsid w:val="003179B7"/>
    <w:rsid w:val="003179D7"/>
    <w:rsid w:val="00317A65"/>
    <w:rsid w:val="00317A7D"/>
    <w:rsid w:val="00317B00"/>
    <w:rsid w:val="00317BCB"/>
    <w:rsid w:val="00317BED"/>
    <w:rsid w:val="00317BF3"/>
    <w:rsid w:val="00317C4D"/>
    <w:rsid w:val="00317C84"/>
    <w:rsid w:val="00317E84"/>
    <w:rsid w:val="00317F92"/>
    <w:rsid w:val="0031E1CA"/>
    <w:rsid w:val="00320068"/>
    <w:rsid w:val="00320075"/>
    <w:rsid w:val="00320149"/>
    <w:rsid w:val="00320268"/>
    <w:rsid w:val="0032027D"/>
    <w:rsid w:val="003202F3"/>
    <w:rsid w:val="00320302"/>
    <w:rsid w:val="00320384"/>
    <w:rsid w:val="00320416"/>
    <w:rsid w:val="0032045E"/>
    <w:rsid w:val="00320491"/>
    <w:rsid w:val="003204C2"/>
    <w:rsid w:val="00320531"/>
    <w:rsid w:val="003205D1"/>
    <w:rsid w:val="00320688"/>
    <w:rsid w:val="003206FB"/>
    <w:rsid w:val="00320756"/>
    <w:rsid w:val="00320794"/>
    <w:rsid w:val="003207CA"/>
    <w:rsid w:val="003207E8"/>
    <w:rsid w:val="003207F4"/>
    <w:rsid w:val="00320805"/>
    <w:rsid w:val="00320831"/>
    <w:rsid w:val="003208D1"/>
    <w:rsid w:val="00320A12"/>
    <w:rsid w:val="00320A14"/>
    <w:rsid w:val="00320ACB"/>
    <w:rsid w:val="00320B53"/>
    <w:rsid w:val="00320BD3"/>
    <w:rsid w:val="00320C2C"/>
    <w:rsid w:val="00320C4E"/>
    <w:rsid w:val="00320C56"/>
    <w:rsid w:val="00320C5E"/>
    <w:rsid w:val="00320C7B"/>
    <w:rsid w:val="00320C83"/>
    <w:rsid w:val="00320C91"/>
    <w:rsid w:val="00320CE3"/>
    <w:rsid w:val="00320D02"/>
    <w:rsid w:val="00320E08"/>
    <w:rsid w:val="00320E38"/>
    <w:rsid w:val="00320EC9"/>
    <w:rsid w:val="00320FCD"/>
    <w:rsid w:val="0032100B"/>
    <w:rsid w:val="0032110B"/>
    <w:rsid w:val="00321127"/>
    <w:rsid w:val="0032118A"/>
    <w:rsid w:val="00321198"/>
    <w:rsid w:val="003211AC"/>
    <w:rsid w:val="003211F8"/>
    <w:rsid w:val="00321237"/>
    <w:rsid w:val="0032124F"/>
    <w:rsid w:val="00321256"/>
    <w:rsid w:val="00321321"/>
    <w:rsid w:val="00321442"/>
    <w:rsid w:val="00321542"/>
    <w:rsid w:val="0032163D"/>
    <w:rsid w:val="003216A6"/>
    <w:rsid w:val="00321762"/>
    <w:rsid w:val="003217E6"/>
    <w:rsid w:val="003217F9"/>
    <w:rsid w:val="00321909"/>
    <w:rsid w:val="00321AAD"/>
    <w:rsid w:val="00321B0E"/>
    <w:rsid w:val="00321D21"/>
    <w:rsid w:val="00321E6D"/>
    <w:rsid w:val="00321EC6"/>
    <w:rsid w:val="00321EEC"/>
    <w:rsid w:val="00322061"/>
    <w:rsid w:val="003220F5"/>
    <w:rsid w:val="003220FE"/>
    <w:rsid w:val="00322244"/>
    <w:rsid w:val="003222F4"/>
    <w:rsid w:val="0032234E"/>
    <w:rsid w:val="00322405"/>
    <w:rsid w:val="003224C2"/>
    <w:rsid w:val="00322571"/>
    <w:rsid w:val="003225CB"/>
    <w:rsid w:val="003225E6"/>
    <w:rsid w:val="003225F1"/>
    <w:rsid w:val="0032261E"/>
    <w:rsid w:val="003227F2"/>
    <w:rsid w:val="00322987"/>
    <w:rsid w:val="00322BC0"/>
    <w:rsid w:val="00322BC1"/>
    <w:rsid w:val="00322C08"/>
    <w:rsid w:val="00322C9E"/>
    <w:rsid w:val="00322D85"/>
    <w:rsid w:val="00322DDD"/>
    <w:rsid w:val="00322E1C"/>
    <w:rsid w:val="00322FE0"/>
    <w:rsid w:val="003230AB"/>
    <w:rsid w:val="003231DB"/>
    <w:rsid w:val="003231EC"/>
    <w:rsid w:val="003232D4"/>
    <w:rsid w:val="003232F5"/>
    <w:rsid w:val="0032330D"/>
    <w:rsid w:val="003234C4"/>
    <w:rsid w:val="003234C9"/>
    <w:rsid w:val="00323537"/>
    <w:rsid w:val="00323638"/>
    <w:rsid w:val="0032367F"/>
    <w:rsid w:val="003238D2"/>
    <w:rsid w:val="003238E4"/>
    <w:rsid w:val="00323918"/>
    <w:rsid w:val="003239BB"/>
    <w:rsid w:val="00323B03"/>
    <w:rsid w:val="00323B57"/>
    <w:rsid w:val="00323B97"/>
    <w:rsid w:val="00323C3D"/>
    <w:rsid w:val="00323C4E"/>
    <w:rsid w:val="00323C50"/>
    <w:rsid w:val="00323D0E"/>
    <w:rsid w:val="00323D52"/>
    <w:rsid w:val="00323EA6"/>
    <w:rsid w:val="00324007"/>
    <w:rsid w:val="003240A3"/>
    <w:rsid w:val="003240BD"/>
    <w:rsid w:val="003240FD"/>
    <w:rsid w:val="00324125"/>
    <w:rsid w:val="0032416D"/>
    <w:rsid w:val="00324322"/>
    <w:rsid w:val="00324386"/>
    <w:rsid w:val="003243AC"/>
    <w:rsid w:val="003244D7"/>
    <w:rsid w:val="003245AA"/>
    <w:rsid w:val="00324627"/>
    <w:rsid w:val="00324682"/>
    <w:rsid w:val="003246FE"/>
    <w:rsid w:val="00324709"/>
    <w:rsid w:val="003247F2"/>
    <w:rsid w:val="00324940"/>
    <w:rsid w:val="0032497C"/>
    <w:rsid w:val="003249D8"/>
    <w:rsid w:val="00324A8A"/>
    <w:rsid w:val="00324AEB"/>
    <w:rsid w:val="00324AEE"/>
    <w:rsid w:val="00324B50"/>
    <w:rsid w:val="00324B83"/>
    <w:rsid w:val="00324B84"/>
    <w:rsid w:val="00324B94"/>
    <w:rsid w:val="00324C29"/>
    <w:rsid w:val="00324C8A"/>
    <w:rsid w:val="00324EBA"/>
    <w:rsid w:val="00324F35"/>
    <w:rsid w:val="00324F36"/>
    <w:rsid w:val="00325055"/>
    <w:rsid w:val="003250DE"/>
    <w:rsid w:val="0032511F"/>
    <w:rsid w:val="0032515B"/>
    <w:rsid w:val="003251D8"/>
    <w:rsid w:val="003252C3"/>
    <w:rsid w:val="00325393"/>
    <w:rsid w:val="003253CA"/>
    <w:rsid w:val="003254E8"/>
    <w:rsid w:val="0032552F"/>
    <w:rsid w:val="00325591"/>
    <w:rsid w:val="003256B7"/>
    <w:rsid w:val="0032570C"/>
    <w:rsid w:val="00325830"/>
    <w:rsid w:val="00325954"/>
    <w:rsid w:val="003259CD"/>
    <w:rsid w:val="00325A61"/>
    <w:rsid w:val="00325ADD"/>
    <w:rsid w:val="00325B29"/>
    <w:rsid w:val="00325B63"/>
    <w:rsid w:val="00325C01"/>
    <w:rsid w:val="00325C37"/>
    <w:rsid w:val="00325E26"/>
    <w:rsid w:val="00325F99"/>
    <w:rsid w:val="00326023"/>
    <w:rsid w:val="00326029"/>
    <w:rsid w:val="003260E4"/>
    <w:rsid w:val="00326227"/>
    <w:rsid w:val="00326265"/>
    <w:rsid w:val="003262E0"/>
    <w:rsid w:val="0032631A"/>
    <w:rsid w:val="0032631D"/>
    <w:rsid w:val="00326391"/>
    <w:rsid w:val="003263A6"/>
    <w:rsid w:val="00326468"/>
    <w:rsid w:val="00326510"/>
    <w:rsid w:val="003265C8"/>
    <w:rsid w:val="00326647"/>
    <w:rsid w:val="003266A1"/>
    <w:rsid w:val="003266DB"/>
    <w:rsid w:val="0032675F"/>
    <w:rsid w:val="0032683C"/>
    <w:rsid w:val="0032688A"/>
    <w:rsid w:val="003268B4"/>
    <w:rsid w:val="003268C1"/>
    <w:rsid w:val="0032691F"/>
    <w:rsid w:val="00326B19"/>
    <w:rsid w:val="00326B8D"/>
    <w:rsid w:val="00326C98"/>
    <w:rsid w:val="00326D0A"/>
    <w:rsid w:val="00326DDC"/>
    <w:rsid w:val="00326DF8"/>
    <w:rsid w:val="0032714A"/>
    <w:rsid w:val="003272B9"/>
    <w:rsid w:val="003272D6"/>
    <w:rsid w:val="003272FA"/>
    <w:rsid w:val="0032730B"/>
    <w:rsid w:val="00327319"/>
    <w:rsid w:val="00327338"/>
    <w:rsid w:val="00327403"/>
    <w:rsid w:val="0032778C"/>
    <w:rsid w:val="00327797"/>
    <w:rsid w:val="003278A7"/>
    <w:rsid w:val="0032791E"/>
    <w:rsid w:val="00327985"/>
    <w:rsid w:val="003279CE"/>
    <w:rsid w:val="00327A01"/>
    <w:rsid w:val="00327A6A"/>
    <w:rsid w:val="00327A95"/>
    <w:rsid w:val="00327B70"/>
    <w:rsid w:val="00327D5E"/>
    <w:rsid w:val="00327D62"/>
    <w:rsid w:val="00327D97"/>
    <w:rsid w:val="00327E09"/>
    <w:rsid w:val="00327E1F"/>
    <w:rsid w:val="00327E90"/>
    <w:rsid w:val="00327E9F"/>
    <w:rsid w:val="0033013D"/>
    <w:rsid w:val="0033028D"/>
    <w:rsid w:val="00330367"/>
    <w:rsid w:val="003303BA"/>
    <w:rsid w:val="003303C9"/>
    <w:rsid w:val="00330565"/>
    <w:rsid w:val="00330583"/>
    <w:rsid w:val="003308EF"/>
    <w:rsid w:val="00330B39"/>
    <w:rsid w:val="00330D01"/>
    <w:rsid w:val="00330DFA"/>
    <w:rsid w:val="00330E39"/>
    <w:rsid w:val="00330E59"/>
    <w:rsid w:val="00330E71"/>
    <w:rsid w:val="00330E91"/>
    <w:rsid w:val="00330EE9"/>
    <w:rsid w:val="00330FF2"/>
    <w:rsid w:val="0033116A"/>
    <w:rsid w:val="0033116B"/>
    <w:rsid w:val="003311E4"/>
    <w:rsid w:val="00331448"/>
    <w:rsid w:val="00331665"/>
    <w:rsid w:val="0033167A"/>
    <w:rsid w:val="003316A9"/>
    <w:rsid w:val="003316AF"/>
    <w:rsid w:val="003316CE"/>
    <w:rsid w:val="003316DE"/>
    <w:rsid w:val="003316F1"/>
    <w:rsid w:val="003318DC"/>
    <w:rsid w:val="00331B41"/>
    <w:rsid w:val="00331BB1"/>
    <w:rsid w:val="00331BD4"/>
    <w:rsid w:val="00331BE0"/>
    <w:rsid w:val="00331D42"/>
    <w:rsid w:val="00331D6C"/>
    <w:rsid w:val="00331DA4"/>
    <w:rsid w:val="00331E1C"/>
    <w:rsid w:val="00331E70"/>
    <w:rsid w:val="0033201F"/>
    <w:rsid w:val="00332120"/>
    <w:rsid w:val="0033228A"/>
    <w:rsid w:val="003322DD"/>
    <w:rsid w:val="00332318"/>
    <w:rsid w:val="0033243A"/>
    <w:rsid w:val="0033250E"/>
    <w:rsid w:val="00332511"/>
    <w:rsid w:val="00332516"/>
    <w:rsid w:val="003325BE"/>
    <w:rsid w:val="003325FC"/>
    <w:rsid w:val="00332710"/>
    <w:rsid w:val="00332726"/>
    <w:rsid w:val="00332729"/>
    <w:rsid w:val="00332787"/>
    <w:rsid w:val="003327BE"/>
    <w:rsid w:val="003327C1"/>
    <w:rsid w:val="00332A6E"/>
    <w:rsid w:val="00332BE9"/>
    <w:rsid w:val="00332D9C"/>
    <w:rsid w:val="00332DCB"/>
    <w:rsid w:val="00332E67"/>
    <w:rsid w:val="00332F3A"/>
    <w:rsid w:val="00332F4F"/>
    <w:rsid w:val="00332FDF"/>
    <w:rsid w:val="003330BB"/>
    <w:rsid w:val="00333241"/>
    <w:rsid w:val="003332B5"/>
    <w:rsid w:val="003332BE"/>
    <w:rsid w:val="003332D5"/>
    <w:rsid w:val="0033344F"/>
    <w:rsid w:val="00333723"/>
    <w:rsid w:val="00333736"/>
    <w:rsid w:val="003337D1"/>
    <w:rsid w:val="003338C2"/>
    <w:rsid w:val="00333902"/>
    <w:rsid w:val="00333988"/>
    <w:rsid w:val="003339AA"/>
    <w:rsid w:val="00333AE1"/>
    <w:rsid w:val="00333C2F"/>
    <w:rsid w:val="00333E32"/>
    <w:rsid w:val="00333F0F"/>
    <w:rsid w:val="00334122"/>
    <w:rsid w:val="00334125"/>
    <w:rsid w:val="003342AE"/>
    <w:rsid w:val="003342C7"/>
    <w:rsid w:val="003342D7"/>
    <w:rsid w:val="003342E2"/>
    <w:rsid w:val="003343BE"/>
    <w:rsid w:val="003343D4"/>
    <w:rsid w:val="00334426"/>
    <w:rsid w:val="0033444E"/>
    <w:rsid w:val="003344C4"/>
    <w:rsid w:val="0033451D"/>
    <w:rsid w:val="00334635"/>
    <w:rsid w:val="00334640"/>
    <w:rsid w:val="00334672"/>
    <w:rsid w:val="003346AC"/>
    <w:rsid w:val="003346B8"/>
    <w:rsid w:val="003349CF"/>
    <w:rsid w:val="00334AFB"/>
    <w:rsid w:val="00334B45"/>
    <w:rsid w:val="00334B6E"/>
    <w:rsid w:val="00334E4A"/>
    <w:rsid w:val="00334F09"/>
    <w:rsid w:val="00334F72"/>
    <w:rsid w:val="00334FD5"/>
    <w:rsid w:val="003350AA"/>
    <w:rsid w:val="003352D2"/>
    <w:rsid w:val="003352FF"/>
    <w:rsid w:val="0033538F"/>
    <w:rsid w:val="003353CC"/>
    <w:rsid w:val="00335400"/>
    <w:rsid w:val="00335461"/>
    <w:rsid w:val="003354D4"/>
    <w:rsid w:val="003355A9"/>
    <w:rsid w:val="0033565D"/>
    <w:rsid w:val="0033569F"/>
    <w:rsid w:val="0033571B"/>
    <w:rsid w:val="0033580A"/>
    <w:rsid w:val="00335812"/>
    <w:rsid w:val="003358A5"/>
    <w:rsid w:val="003358B4"/>
    <w:rsid w:val="003359E3"/>
    <w:rsid w:val="00335A7A"/>
    <w:rsid w:val="00335A89"/>
    <w:rsid w:val="00335D13"/>
    <w:rsid w:val="00335D73"/>
    <w:rsid w:val="00335D8F"/>
    <w:rsid w:val="00335E1F"/>
    <w:rsid w:val="00335F80"/>
    <w:rsid w:val="00336052"/>
    <w:rsid w:val="003360F1"/>
    <w:rsid w:val="00336140"/>
    <w:rsid w:val="003361B9"/>
    <w:rsid w:val="003361CC"/>
    <w:rsid w:val="003362BB"/>
    <w:rsid w:val="0033634C"/>
    <w:rsid w:val="0033639C"/>
    <w:rsid w:val="00336417"/>
    <w:rsid w:val="003366A7"/>
    <w:rsid w:val="00336703"/>
    <w:rsid w:val="00336782"/>
    <w:rsid w:val="003367CC"/>
    <w:rsid w:val="00336820"/>
    <w:rsid w:val="00336861"/>
    <w:rsid w:val="003368A3"/>
    <w:rsid w:val="003368B2"/>
    <w:rsid w:val="003368D7"/>
    <w:rsid w:val="003368E4"/>
    <w:rsid w:val="00336929"/>
    <w:rsid w:val="00336942"/>
    <w:rsid w:val="00336964"/>
    <w:rsid w:val="00336AEB"/>
    <w:rsid w:val="00336EBC"/>
    <w:rsid w:val="00336ECB"/>
    <w:rsid w:val="00336F09"/>
    <w:rsid w:val="00336F69"/>
    <w:rsid w:val="003370BE"/>
    <w:rsid w:val="0033721F"/>
    <w:rsid w:val="003372A7"/>
    <w:rsid w:val="0033733F"/>
    <w:rsid w:val="00337677"/>
    <w:rsid w:val="00337701"/>
    <w:rsid w:val="00337712"/>
    <w:rsid w:val="00337874"/>
    <w:rsid w:val="0033797B"/>
    <w:rsid w:val="003379CE"/>
    <w:rsid w:val="00337CAA"/>
    <w:rsid w:val="00337D56"/>
    <w:rsid w:val="00337E60"/>
    <w:rsid w:val="00337E99"/>
    <w:rsid w:val="00337FC1"/>
    <w:rsid w:val="00340073"/>
    <w:rsid w:val="003400E8"/>
    <w:rsid w:val="003401C6"/>
    <w:rsid w:val="003401D4"/>
    <w:rsid w:val="003401E0"/>
    <w:rsid w:val="00340204"/>
    <w:rsid w:val="00340228"/>
    <w:rsid w:val="00340294"/>
    <w:rsid w:val="0034034E"/>
    <w:rsid w:val="003403EF"/>
    <w:rsid w:val="003404AC"/>
    <w:rsid w:val="003404BD"/>
    <w:rsid w:val="003404E4"/>
    <w:rsid w:val="0034051E"/>
    <w:rsid w:val="00340537"/>
    <w:rsid w:val="0034068C"/>
    <w:rsid w:val="003406C7"/>
    <w:rsid w:val="003407C5"/>
    <w:rsid w:val="003407D3"/>
    <w:rsid w:val="00340972"/>
    <w:rsid w:val="0034097C"/>
    <w:rsid w:val="00340B3F"/>
    <w:rsid w:val="00340BA8"/>
    <w:rsid w:val="00340CC3"/>
    <w:rsid w:val="00340CE7"/>
    <w:rsid w:val="00340E1B"/>
    <w:rsid w:val="003410A1"/>
    <w:rsid w:val="00341115"/>
    <w:rsid w:val="003411DF"/>
    <w:rsid w:val="003412EB"/>
    <w:rsid w:val="0034137C"/>
    <w:rsid w:val="003415AD"/>
    <w:rsid w:val="0034163F"/>
    <w:rsid w:val="0034166A"/>
    <w:rsid w:val="003416A4"/>
    <w:rsid w:val="00341750"/>
    <w:rsid w:val="003417B2"/>
    <w:rsid w:val="003417C4"/>
    <w:rsid w:val="003417FE"/>
    <w:rsid w:val="003419D4"/>
    <w:rsid w:val="00341A49"/>
    <w:rsid w:val="00341A54"/>
    <w:rsid w:val="00341C36"/>
    <w:rsid w:val="00341CC3"/>
    <w:rsid w:val="00341CEE"/>
    <w:rsid w:val="00341E14"/>
    <w:rsid w:val="00341F51"/>
    <w:rsid w:val="00341F94"/>
    <w:rsid w:val="0034201F"/>
    <w:rsid w:val="0034203C"/>
    <w:rsid w:val="003420FB"/>
    <w:rsid w:val="00342309"/>
    <w:rsid w:val="00342340"/>
    <w:rsid w:val="003423E0"/>
    <w:rsid w:val="00342448"/>
    <w:rsid w:val="0034248E"/>
    <w:rsid w:val="003424B7"/>
    <w:rsid w:val="003424D3"/>
    <w:rsid w:val="003424D6"/>
    <w:rsid w:val="003426E4"/>
    <w:rsid w:val="00342795"/>
    <w:rsid w:val="003427EB"/>
    <w:rsid w:val="003428D6"/>
    <w:rsid w:val="00342959"/>
    <w:rsid w:val="00342AB3"/>
    <w:rsid w:val="00342ABB"/>
    <w:rsid w:val="00342B3D"/>
    <w:rsid w:val="00342C1E"/>
    <w:rsid w:val="00342C5F"/>
    <w:rsid w:val="00342CED"/>
    <w:rsid w:val="00342F57"/>
    <w:rsid w:val="00342FEB"/>
    <w:rsid w:val="0034304C"/>
    <w:rsid w:val="003430A9"/>
    <w:rsid w:val="0034320B"/>
    <w:rsid w:val="00343339"/>
    <w:rsid w:val="00343471"/>
    <w:rsid w:val="003435AA"/>
    <w:rsid w:val="003436D4"/>
    <w:rsid w:val="0034377A"/>
    <w:rsid w:val="00343829"/>
    <w:rsid w:val="0034387E"/>
    <w:rsid w:val="003438F4"/>
    <w:rsid w:val="0034390A"/>
    <w:rsid w:val="0034397D"/>
    <w:rsid w:val="003439C1"/>
    <w:rsid w:val="00343A02"/>
    <w:rsid w:val="00343A7C"/>
    <w:rsid w:val="00343AFF"/>
    <w:rsid w:val="00343B62"/>
    <w:rsid w:val="00343B7D"/>
    <w:rsid w:val="00343B9B"/>
    <w:rsid w:val="00343BA9"/>
    <w:rsid w:val="00343C37"/>
    <w:rsid w:val="00343D90"/>
    <w:rsid w:val="00343E5B"/>
    <w:rsid w:val="00343EAA"/>
    <w:rsid w:val="00343EB1"/>
    <w:rsid w:val="00343EEC"/>
    <w:rsid w:val="00343F28"/>
    <w:rsid w:val="00343FC6"/>
    <w:rsid w:val="00344048"/>
    <w:rsid w:val="003440C3"/>
    <w:rsid w:val="003440DF"/>
    <w:rsid w:val="00344131"/>
    <w:rsid w:val="00344162"/>
    <w:rsid w:val="00344175"/>
    <w:rsid w:val="003441C2"/>
    <w:rsid w:val="003441D7"/>
    <w:rsid w:val="003441FB"/>
    <w:rsid w:val="00344207"/>
    <w:rsid w:val="0034441A"/>
    <w:rsid w:val="0034454B"/>
    <w:rsid w:val="003445A4"/>
    <w:rsid w:val="003445DC"/>
    <w:rsid w:val="00344665"/>
    <w:rsid w:val="0034469F"/>
    <w:rsid w:val="003446C9"/>
    <w:rsid w:val="00344790"/>
    <w:rsid w:val="003447B3"/>
    <w:rsid w:val="003447B6"/>
    <w:rsid w:val="003448ED"/>
    <w:rsid w:val="003449E4"/>
    <w:rsid w:val="00344CCB"/>
    <w:rsid w:val="00344DE4"/>
    <w:rsid w:val="00344DEB"/>
    <w:rsid w:val="00344E40"/>
    <w:rsid w:val="00344ED0"/>
    <w:rsid w:val="0034501E"/>
    <w:rsid w:val="0034502D"/>
    <w:rsid w:val="0034508C"/>
    <w:rsid w:val="003450AB"/>
    <w:rsid w:val="003450F5"/>
    <w:rsid w:val="003450FE"/>
    <w:rsid w:val="003451B4"/>
    <w:rsid w:val="003451E4"/>
    <w:rsid w:val="00345201"/>
    <w:rsid w:val="003452B2"/>
    <w:rsid w:val="003452F5"/>
    <w:rsid w:val="00345310"/>
    <w:rsid w:val="0034534B"/>
    <w:rsid w:val="0034550D"/>
    <w:rsid w:val="0034553E"/>
    <w:rsid w:val="003455DB"/>
    <w:rsid w:val="003455FC"/>
    <w:rsid w:val="00345639"/>
    <w:rsid w:val="00345732"/>
    <w:rsid w:val="0034583E"/>
    <w:rsid w:val="0034585E"/>
    <w:rsid w:val="003458F8"/>
    <w:rsid w:val="00345B36"/>
    <w:rsid w:val="00345B6B"/>
    <w:rsid w:val="00345BE5"/>
    <w:rsid w:val="00345C25"/>
    <w:rsid w:val="00345C5B"/>
    <w:rsid w:val="00345C6A"/>
    <w:rsid w:val="00345C6D"/>
    <w:rsid w:val="00345C8B"/>
    <w:rsid w:val="00345CDE"/>
    <w:rsid w:val="00345DEC"/>
    <w:rsid w:val="00345EDC"/>
    <w:rsid w:val="00345FA9"/>
    <w:rsid w:val="003460A5"/>
    <w:rsid w:val="003460BE"/>
    <w:rsid w:val="003460D6"/>
    <w:rsid w:val="003460E4"/>
    <w:rsid w:val="00346102"/>
    <w:rsid w:val="00346156"/>
    <w:rsid w:val="0034615C"/>
    <w:rsid w:val="00346169"/>
    <w:rsid w:val="003461E0"/>
    <w:rsid w:val="0034624D"/>
    <w:rsid w:val="00346302"/>
    <w:rsid w:val="0034636B"/>
    <w:rsid w:val="0034643E"/>
    <w:rsid w:val="00346543"/>
    <w:rsid w:val="0034656B"/>
    <w:rsid w:val="003466F2"/>
    <w:rsid w:val="00346777"/>
    <w:rsid w:val="003467CB"/>
    <w:rsid w:val="00346806"/>
    <w:rsid w:val="003468B9"/>
    <w:rsid w:val="003468D0"/>
    <w:rsid w:val="00346B59"/>
    <w:rsid w:val="00346B90"/>
    <w:rsid w:val="00346CF9"/>
    <w:rsid w:val="00346D68"/>
    <w:rsid w:val="00346DE2"/>
    <w:rsid w:val="00346F22"/>
    <w:rsid w:val="00346F62"/>
    <w:rsid w:val="00347058"/>
    <w:rsid w:val="003470CB"/>
    <w:rsid w:val="003470DD"/>
    <w:rsid w:val="003471ED"/>
    <w:rsid w:val="00347200"/>
    <w:rsid w:val="003473A2"/>
    <w:rsid w:val="00347452"/>
    <w:rsid w:val="00347530"/>
    <w:rsid w:val="0034755C"/>
    <w:rsid w:val="00347597"/>
    <w:rsid w:val="0034780E"/>
    <w:rsid w:val="003478AD"/>
    <w:rsid w:val="00347967"/>
    <w:rsid w:val="00347979"/>
    <w:rsid w:val="00347A16"/>
    <w:rsid w:val="00347C3A"/>
    <w:rsid w:val="00347D8B"/>
    <w:rsid w:val="00347E3B"/>
    <w:rsid w:val="00347F1F"/>
    <w:rsid w:val="00350010"/>
    <w:rsid w:val="00350025"/>
    <w:rsid w:val="00350071"/>
    <w:rsid w:val="003500EC"/>
    <w:rsid w:val="00350146"/>
    <w:rsid w:val="0035039A"/>
    <w:rsid w:val="003503F4"/>
    <w:rsid w:val="00350560"/>
    <w:rsid w:val="003507E1"/>
    <w:rsid w:val="00350882"/>
    <w:rsid w:val="00350A28"/>
    <w:rsid w:val="00350A5A"/>
    <w:rsid w:val="00350AB3"/>
    <w:rsid w:val="00350BED"/>
    <w:rsid w:val="00350CCC"/>
    <w:rsid w:val="00350CEA"/>
    <w:rsid w:val="00350CEC"/>
    <w:rsid w:val="00350DE9"/>
    <w:rsid w:val="00350EE9"/>
    <w:rsid w:val="0035105A"/>
    <w:rsid w:val="003510C3"/>
    <w:rsid w:val="003512BC"/>
    <w:rsid w:val="0035150D"/>
    <w:rsid w:val="00351517"/>
    <w:rsid w:val="00351636"/>
    <w:rsid w:val="003516FF"/>
    <w:rsid w:val="003517B5"/>
    <w:rsid w:val="003517D0"/>
    <w:rsid w:val="003518A5"/>
    <w:rsid w:val="00351933"/>
    <w:rsid w:val="00351998"/>
    <w:rsid w:val="00351A0B"/>
    <w:rsid w:val="00351A10"/>
    <w:rsid w:val="00351AD8"/>
    <w:rsid w:val="00351BEA"/>
    <w:rsid w:val="00351C93"/>
    <w:rsid w:val="00351DA1"/>
    <w:rsid w:val="00351DBB"/>
    <w:rsid w:val="00351EAB"/>
    <w:rsid w:val="00351EBF"/>
    <w:rsid w:val="00351F4D"/>
    <w:rsid w:val="00351FCA"/>
    <w:rsid w:val="003520A5"/>
    <w:rsid w:val="003520BF"/>
    <w:rsid w:val="00352127"/>
    <w:rsid w:val="003521A3"/>
    <w:rsid w:val="00352312"/>
    <w:rsid w:val="003523CE"/>
    <w:rsid w:val="0035247B"/>
    <w:rsid w:val="00352506"/>
    <w:rsid w:val="00352689"/>
    <w:rsid w:val="0035268F"/>
    <w:rsid w:val="0035282E"/>
    <w:rsid w:val="00352855"/>
    <w:rsid w:val="003528ED"/>
    <w:rsid w:val="0035296A"/>
    <w:rsid w:val="0035297D"/>
    <w:rsid w:val="003529B5"/>
    <w:rsid w:val="00352B69"/>
    <w:rsid w:val="00352C2E"/>
    <w:rsid w:val="00352C44"/>
    <w:rsid w:val="00352EB0"/>
    <w:rsid w:val="00352F36"/>
    <w:rsid w:val="00353055"/>
    <w:rsid w:val="0035308B"/>
    <w:rsid w:val="0035317C"/>
    <w:rsid w:val="00353267"/>
    <w:rsid w:val="0035328B"/>
    <w:rsid w:val="00353294"/>
    <w:rsid w:val="003532F8"/>
    <w:rsid w:val="003533E7"/>
    <w:rsid w:val="00353479"/>
    <w:rsid w:val="0035347F"/>
    <w:rsid w:val="00353552"/>
    <w:rsid w:val="0035359E"/>
    <w:rsid w:val="00353615"/>
    <w:rsid w:val="0035366A"/>
    <w:rsid w:val="003536A5"/>
    <w:rsid w:val="00353769"/>
    <w:rsid w:val="003537A8"/>
    <w:rsid w:val="0035389B"/>
    <w:rsid w:val="00353A92"/>
    <w:rsid w:val="00353B29"/>
    <w:rsid w:val="00353C0C"/>
    <w:rsid w:val="00353CA9"/>
    <w:rsid w:val="00353D00"/>
    <w:rsid w:val="00353D6F"/>
    <w:rsid w:val="00353F12"/>
    <w:rsid w:val="00353F3B"/>
    <w:rsid w:val="00353F88"/>
    <w:rsid w:val="00354097"/>
    <w:rsid w:val="003540FE"/>
    <w:rsid w:val="00354128"/>
    <w:rsid w:val="00354180"/>
    <w:rsid w:val="003542ED"/>
    <w:rsid w:val="003543C7"/>
    <w:rsid w:val="003543D4"/>
    <w:rsid w:val="0035443E"/>
    <w:rsid w:val="0035449A"/>
    <w:rsid w:val="00354518"/>
    <w:rsid w:val="0035467E"/>
    <w:rsid w:val="00354696"/>
    <w:rsid w:val="003546F9"/>
    <w:rsid w:val="00354753"/>
    <w:rsid w:val="003548DB"/>
    <w:rsid w:val="00354903"/>
    <w:rsid w:val="00354934"/>
    <w:rsid w:val="003549D6"/>
    <w:rsid w:val="00354A6E"/>
    <w:rsid w:val="00354CF3"/>
    <w:rsid w:val="00354CF7"/>
    <w:rsid w:val="00354D61"/>
    <w:rsid w:val="00354E14"/>
    <w:rsid w:val="00354F58"/>
    <w:rsid w:val="0035501F"/>
    <w:rsid w:val="00355035"/>
    <w:rsid w:val="00355052"/>
    <w:rsid w:val="003551E5"/>
    <w:rsid w:val="00355205"/>
    <w:rsid w:val="00355391"/>
    <w:rsid w:val="0035549E"/>
    <w:rsid w:val="0035552F"/>
    <w:rsid w:val="00355588"/>
    <w:rsid w:val="0035562D"/>
    <w:rsid w:val="003556BB"/>
    <w:rsid w:val="00355785"/>
    <w:rsid w:val="003557A2"/>
    <w:rsid w:val="0035586B"/>
    <w:rsid w:val="003558A0"/>
    <w:rsid w:val="003558A6"/>
    <w:rsid w:val="00355933"/>
    <w:rsid w:val="00355939"/>
    <w:rsid w:val="0035596C"/>
    <w:rsid w:val="003559A2"/>
    <w:rsid w:val="003559C0"/>
    <w:rsid w:val="003559E4"/>
    <w:rsid w:val="00355A99"/>
    <w:rsid w:val="00355BB8"/>
    <w:rsid w:val="00355BCF"/>
    <w:rsid w:val="00355D3F"/>
    <w:rsid w:val="00355DF3"/>
    <w:rsid w:val="00355E15"/>
    <w:rsid w:val="00355E82"/>
    <w:rsid w:val="00355EEF"/>
    <w:rsid w:val="00355FF2"/>
    <w:rsid w:val="0035609A"/>
    <w:rsid w:val="00356112"/>
    <w:rsid w:val="003562AB"/>
    <w:rsid w:val="00356307"/>
    <w:rsid w:val="00356335"/>
    <w:rsid w:val="00356378"/>
    <w:rsid w:val="00356407"/>
    <w:rsid w:val="003564F5"/>
    <w:rsid w:val="0035650D"/>
    <w:rsid w:val="0035655C"/>
    <w:rsid w:val="00356638"/>
    <w:rsid w:val="0035663B"/>
    <w:rsid w:val="0035663F"/>
    <w:rsid w:val="0035675A"/>
    <w:rsid w:val="0035679D"/>
    <w:rsid w:val="003567B1"/>
    <w:rsid w:val="0035687C"/>
    <w:rsid w:val="00356A81"/>
    <w:rsid w:val="00356ABF"/>
    <w:rsid w:val="00356AEA"/>
    <w:rsid w:val="00356B6D"/>
    <w:rsid w:val="00356BF3"/>
    <w:rsid w:val="00356C66"/>
    <w:rsid w:val="00356C98"/>
    <w:rsid w:val="00356D2E"/>
    <w:rsid w:val="00356D3E"/>
    <w:rsid w:val="00356F19"/>
    <w:rsid w:val="00357081"/>
    <w:rsid w:val="003570C1"/>
    <w:rsid w:val="00357197"/>
    <w:rsid w:val="0035722A"/>
    <w:rsid w:val="003572F5"/>
    <w:rsid w:val="00357407"/>
    <w:rsid w:val="003574CF"/>
    <w:rsid w:val="00357552"/>
    <w:rsid w:val="00357750"/>
    <w:rsid w:val="003577AE"/>
    <w:rsid w:val="00357A0A"/>
    <w:rsid w:val="00357B43"/>
    <w:rsid w:val="00357B54"/>
    <w:rsid w:val="00357B82"/>
    <w:rsid w:val="00357BFC"/>
    <w:rsid w:val="00357C9C"/>
    <w:rsid w:val="00357D44"/>
    <w:rsid w:val="00357DB1"/>
    <w:rsid w:val="00357DF3"/>
    <w:rsid w:val="00357E2B"/>
    <w:rsid w:val="00357E98"/>
    <w:rsid w:val="00357E99"/>
    <w:rsid w:val="00357F36"/>
    <w:rsid w:val="00360108"/>
    <w:rsid w:val="00360178"/>
    <w:rsid w:val="0036024B"/>
    <w:rsid w:val="003602F1"/>
    <w:rsid w:val="00360332"/>
    <w:rsid w:val="003603C6"/>
    <w:rsid w:val="003604A9"/>
    <w:rsid w:val="003606A3"/>
    <w:rsid w:val="0036074F"/>
    <w:rsid w:val="00360826"/>
    <w:rsid w:val="003608C5"/>
    <w:rsid w:val="003609AC"/>
    <w:rsid w:val="00360AA7"/>
    <w:rsid w:val="00360AAD"/>
    <w:rsid w:val="00360B2B"/>
    <w:rsid w:val="00360B5A"/>
    <w:rsid w:val="00360B5D"/>
    <w:rsid w:val="00360B71"/>
    <w:rsid w:val="00360BCC"/>
    <w:rsid w:val="00360C6D"/>
    <w:rsid w:val="00360CF3"/>
    <w:rsid w:val="00360D16"/>
    <w:rsid w:val="00360D21"/>
    <w:rsid w:val="00360E82"/>
    <w:rsid w:val="00360FA5"/>
    <w:rsid w:val="00360FB3"/>
    <w:rsid w:val="00360FDC"/>
    <w:rsid w:val="003610DA"/>
    <w:rsid w:val="0036113E"/>
    <w:rsid w:val="00361206"/>
    <w:rsid w:val="00361376"/>
    <w:rsid w:val="003615B5"/>
    <w:rsid w:val="0036165E"/>
    <w:rsid w:val="00361719"/>
    <w:rsid w:val="00361797"/>
    <w:rsid w:val="003617EF"/>
    <w:rsid w:val="003619B5"/>
    <w:rsid w:val="00361A9D"/>
    <w:rsid w:val="00361B76"/>
    <w:rsid w:val="00361BA0"/>
    <w:rsid w:val="00361C8E"/>
    <w:rsid w:val="00361D28"/>
    <w:rsid w:val="00361D73"/>
    <w:rsid w:val="00361E3E"/>
    <w:rsid w:val="00361E43"/>
    <w:rsid w:val="00361E4A"/>
    <w:rsid w:val="00361EA5"/>
    <w:rsid w:val="00361EDA"/>
    <w:rsid w:val="00361F5A"/>
    <w:rsid w:val="00361F96"/>
    <w:rsid w:val="00361F9B"/>
    <w:rsid w:val="00362150"/>
    <w:rsid w:val="00362310"/>
    <w:rsid w:val="0036237F"/>
    <w:rsid w:val="003623C1"/>
    <w:rsid w:val="003623D4"/>
    <w:rsid w:val="00362415"/>
    <w:rsid w:val="00362430"/>
    <w:rsid w:val="0036244D"/>
    <w:rsid w:val="00362532"/>
    <w:rsid w:val="00362550"/>
    <w:rsid w:val="003625B0"/>
    <w:rsid w:val="003626B7"/>
    <w:rsid w:val="0036272A"/>
    <w:rsid w:val="00362828"/>
    <w:rsid w:val="0036286B"/>
    <w:rsid w:val="0036291E"/>
    <w:rsid w:val="00362929"/>
    <w:rsid w:val="00362931"/>
    <w:rsid w:val="003629CF"/>
    <w:rsid w:val="00362A7A"/>
    <w:rsid w:val="00362A8E"/>
    <w:rsid w:val="00362ABA"/>
    <w:rsid w:val="00362B6E"/>
    <w:rsid w:val="00362BFB"/>
    <w:rsid w:val="00362C6C"/>
    <w:rsid w:val="00362D38"/>
    <w:rsid w:val="00362EF8"/>
    <w:rsid w:val="00362F92"/>
    <w:rsid w:val="00362FE4"/>
    <w:rsid w:val="003630E9"/>
    <w:rsid w:val="00363150"/>
    <w:rsid w:val="00363169"/>
    <w:rsid w:val="003632EA"/>
    <w:rsid w:val="00363354"/>
    <w:rsid w:val="003633A3"/>
    <w:rsid w:val="003634D7"/>
    <w:rsid w:val="00363500"/>
    <w:rsid w:val="003635D7"/>
    <w:rsid w:val="0036362F"/>
    <w:rsid w:val="00363660"/>
    <w:rsid w:val="0036377D"/>
    <w:rsid w:val="00363893"/>
    <w:rsid w:val="00363933"/>
    <w:rsid w:val="00363A26"/>
    <w:rsid w:val="00363A7B"/>
    <w:rsid w:val="00363C64"/>
    <w:rsid w:val="00363D1D"/>
    <w:rsid w:val="00363F24"/>
    <w:rsid w:val="00363FB8"/>
    <w:rsid w:val="00363FD0"/>
    <w:rsid w:val="00364071"/>
    <w:rsid w:val="00364139"/>
    <w:rsid w:val="00364166"/>
    <w:rsid w:val="003641D2"/>
    <w:rsid w:val="003642D4"/>
    <w:rsid w:val="003642E0"/>
    <w:rsid w:val="0036446E"/>
    <w:rsid w:val="00364500"/>
    <w:rsid w:val="0036454B"/>
    <w:rsid w:val="003645B3"/>
    <w:rsid w:val="0036461E"/>
    <w:rsid w:val="003648DE"/>
    <w:rsid w:val="003648F6"/>
    <w:rsid w:val="0036492F"/>
    <w:rsid w:val="0036493E"/>
    <w:rsid w:val="00364A5A"/>
    <w:rsid w:val="00364AC3"/>
    <w:rsid w:val="00364B6C"/>
    <w:rsid w:val="00364B98"/>
    <w:rsid w:val="00364C3D"/>
    <w:rsid w:val="00364D41"/>
    <w:rsid w:val="00364E1C"/>
    <w:rsid w:val="00364EC9"/>
    <w:rsid w:val="00364FBD"/>
    <w:rsid w:val="00364FC7"/>
    <w:rsid w:val="00364FE2"/>
    <w:rsid w:val="003650D4"/>
    <w:rsid w:val="003651B4"/>
    <w:rsid w:val="003651D7"/>
    <w:rsid w:val="00365213"/>
    <w:rsid w:val="00365284"/>
    <w:rsid w:val="0036528E"/>
    <w:rsid w:val="0036534D"/>
    <w:rsid w:val="00365398"/>
    <w:rsid w:val="003653F6"/>
    <w:rsid w:val="0036560F"/>
    <w:rsid w:val="003656FB"/>
    <w:rsid w:val="00365736"/>
    <w:rsid w:val="003657EA"/>
    <w:rsid w:val="0036586A"/>
    <w:rsid w:val="003659E2"/>
    <w:rsid w:val="00365A18"/>
    <w:rsid w:val="00365A47"/>
    <w:rsid w:val="00365B4C"/>
    <w:rsid w:val="00365B8A"/>
    <w:rsid w:val="00365B9B"/>
    <w:rsid w:val="00365C92"/>
    <w:rsid w:val="00365C99"/>
    <w:rsid w:val="00365CFB"/>
    <w:rsid w:val="00365D94"/>
    <w:rsid w:val="00365F8A"/>
    <w:rsid w:val="00365FC1"/>
    <w:rsid w:val="00365FD1"/>
    <w:rsid w:val="003660E6"/>
    <w:rsid w:val="00366262"/>
    <w:rsid w:val="0036633A"/>
    <w:rsid w:val="003663E0"/>
    <w:rsid w:val="0036641E"/>
    <w:rsid w:val="00366432"/>
    <w:rsid w:val="00366446"/>
    <w:rsid w:val="00366463"/>
    <w:rsid w:val="003664FC"/>
    <w:rsid w:val="0036659D"/>
    <w:rsid w:val="003665B7"/>
    <w:rsid w:val="0036668E"/>
    <w:rsid w:val="003666B1"/>
    <w:rsid w:val="003666F1"/>
    <w:rsid w:val="0036673B"/>
    <w:rsid w:val="0036675C"/>
    <w:rsid w:val="0036679B"/>
    <w:rsid w:val="00366805"/>
    <w:rsid w:val="00366953"/>
    <w:rsid w:val="003669C4"/>
    <w:rsid w:val="00366A48"/>
    <w:rsid w:val="00366AF0"/>
    <w:rsid w:val="00366B54"/>
    <w:rsid w:val="00366B84"/>
    <w:rsid w:val="00366BDC"/>
    <w:rsid w:val="00366C68"/>
    <w:rsid w:val="00366C98"/>
    <w:rsid w:val="00366CE9"/>
    <w:rsid w:val="00366EB8"/>
    <w:rsid w:val="00366F13"/>
    <w:rsid w:val="00366F35"/>
    <w:rsid w:val="00366F3F"/>
    <w:rsid w:val="00367015"/>
    <w:rsid w:val="00367030"/>
    <w:rsid w:val="0036716B"/>
    <w:rsid w:val="00367190"/>
    <w:rsid w:val="003671A9"/>
    <w:rsid w:val="0036732B"/>
    <w:rsid w:val="003675E0"/>
    <w:rsid w:val="0036761F"/>
    <w:rsid w:val="00367656"/>
    <w:rsid w:val="0036766A"/>
    <w:rsid w:val="003676A4"/>
    <w:rsid w:val="0036772F"/>
    <w:rsid w:val="00367755"/>
    <w:rsid w:val="003677A0"/>
    <w:rsid w:val="003678B9"/>
    <w:rsid w:val="00367B1C"/>
    <w:rsid w:val="00367BBD"/>
    <w:rsid w:val="00367C9C"/>
    <w:rsid w:val="00367DD5"/>
    <w:rsid w:val="00367E66"/>
    <w:rsid w:val="00367ED3"/>
    <w:rsid w:val="00367F31"/>
    <w:rsid w:val="00367F7F"/>
    <w:rsid w:val="00367FC4"/>
    <w:rsid w:val="00367FFD"/>
    <w:rsid w:val="00370016"/>
    <w:rsid w:val="003701B9"/>
    <w:rsid w:val="0037020D"/>
    <w:rsid w:val="003702AB"/>
    <w:rsid w:val="003702AE"/>
    <w:rsid w:val="003702DC"/>
    <w:rsid w:val="0037032C"/>
    <w:rsid w:val="003704A2"/>
    <w:rsid w:val="0037058D"/>
    <w:rsid w:val="003705A2"/>
    <w:rsid w:val="00370692"/>
    <w:rsid w:val="00370698"/>
    <w:rsid w:val="003706EA"/>
    <w:rsid w:val="003707A7"/>
    <w:rsid w:val="003707D3"/>
    <w:rsid w:val="0037093D"/>
    <w:rsid w:val="00370AE4"/>
    <w:rsid w:val="00370B5F"/>
    <w:rsid w:val="00370BCD"/>
    <w:rsid w:val="00370C04"/>
    <w:rsid w:val="00370C1F"/>
    <w:rsid w:val="00370CBA"/>
    <w:rsid w:val="00370D5D"/>
    <w:rsid w:val="00370E21"/>
    <w:rsid w:val="00370EC7"/>
    <w:rsid w:val="00370F03"/>
    <w:rsid w:val="00370F29"/>
    <w:rsid w:val="00370F35"/>
    <w:rsid w:val="00370F8C"/>
    <w:rsid w:val="00370FCE"/>
    <w:rsid w:val="00371041"/>
    <w:rsid w:val="003710B8"/>
    <w:rsid w:val="003710E6"/>
    <w:rsid w:val="003712E8"/>
    <w:rsid w:val="003713AD"/>
    <w:rsid w:val="003714A2"/>
    <w:rsid w:val="003715CF"/>
    <w:rsid w:val="003717BA"/>
    <w:rsid w:val="003717CF"/>
    <w:rsid w:val="0037181C"/>
    <w:rsid w:val="00371896"/>
    <w:rsid w:val="003718D7"/>
    <w:rsid w:val="003718F5"/>
    <w:rsid w:val="003719B0"/>
    <w:rsid w:val="00371A06"/>
    <w:rsid w:val="00371A16"/>
    <w:rsid w:val="00371BBD"/>
    <w:rsid w:val="00371C4B"/>
    <w:rsid w:val="00371C60"/>
    <w:rsid w:val="00371C62"/>
    <w:rsid w:val="00371CF4"/>
    <w:rsid w:val="00371CF6"/>
    <w:rsid w:val="00371DDA"/>
    <w:rsid w:val="00371EFA"/>
    <w:rsid w:val="00371F33"/>
    <w:rsid w:val="0037201F"/>
    <w:rsid w:val="00372119"/>
    <w:rsid w:val="0037213E"/>
    <w:rsid w:val="003722B4"/>
    <w:rsid w:val="00372391"/>
    <w:rsid w:val="003723D5"/>
    <w:rsid w:val="00372491"/>
    <w:rsid w:val="003724DB"/>
    <w:rsid w:val="0037253B"/>
    <w:rsid w:val="003725EB"/>
    <w:rsid w:val="00372722"/>
    <w:rsid w:val="00372782"/>
    <w:rsid w:val="003728AF"/>
    <w:rsid w:val="003728B1"/>
    <w:rsid w:val="003729B3"/>
    <w:rsid w:val="00372B52"/>
    <w:rsid w:val="00372BC2"/>
    <w:rsid w:val="00372ED6"/>
    <w:rsid w:val="00372F69"/>
    <w:rsid w:val="00372FB5"/>
    <w:rsid w:val="00372FF8"/>
    <w:rsid w:val="00373099"/>
    <w:rsid w:val="00373115"/>
    <w:rsid w:val="003731CE"/>
    <w:rsid w:val="00373214"/>
    <w:rsid w:val="00373265"/>
    <w:rsid w:val="00373378"/>
    <w:rsid w:val="003733EC"/>
    <w:rsid w:val="00373513"/>
    <w:rsid w:val="0037351B"/>
    <w:rsid w:val="0037352A"/>
    <w:rsid w:val="003735CE"/>
    <w:rsid w:val="003736E7"/>
    <w:rsid w:val="00373760"/>
    <w:rsid w:val="003737D1"/>
    <w:rsid w:val="00373801"/>
    <w:rsid w:val="00373877"/>
    <w:rsid w:val="0037394F"/>
    <w:rsid w:val="003739CE"/>
    <w:rsid w:val="00373A2F"/>
    <w:rsid w:val="00373A72"/>
    <w:rsid w:val="00373AB1"/>
    <w:rsid w:val="00373B15"/>
    <w:rsid w:val="00373B60"/>
    <w:rsid w:val="00373B6B"/>
    <w:rsid w:val="00373B8E"/>
    <w:rsid w:val="00373C59"/>
    <w:rsid w:val="00373CD0"/>
    <w:rsid w:val="00373DCD"/>
    <w:rsid w:val="00373F6E"/>
    <w:rsid w:val="00373F77"/>
    <w:rsid w:val="00374129"/>
    <w:rsid w:val="00374281"/>
    <w:rsid w:val="003742E6"/>
    <w:rsid w:val="003742F3"/>
    <w:rsid w:val="00374369"/>
    <w:rsid w:val="003744FE"/>
    <w:rsid w:val="003744FF"/>
    <w:rsid w:val="0037453F"/>
    <w:rsid w:val="0037457C"/>
    <w:rsid w:val="00374684"/>
    <w:rsid w:val="003746AC"/>
    <w:rsid w:val="00374738"/>
    <w:rsid w:val="0037478F"/>
    <w:rsid w:val="00374952"/>
    <w:rsid w:val="00374C1A"/>
    <w:rsid w:val="00374CC9"/>
    <w:rsid w:val="00374CFF"/>
    <w:rsid w:val="00374DCE"/>
    <w:rsid w:val="00374EDB"/>
    <w:rsid w:val="00374F60"/>
    <w:rsid w:val="00374F6B"/>
    <w:rsid w:val="0037506F"/>
    <w:rsid w:val="00375155"/>
    <w:rsid w:val="00375162"/>
    <w:rsid w:val="0037522C"/>
    <w:rsid w:val="003752CA"/>
    <w:rsid w:val="00375330"/>
    <w:rsid w:val="003753EE"/>
    <w:rsid w:val="00375446"/>
    <w:rsid w:val="00375503"/>
    <w:rsid w:val="00375509"/>
    <w:rsid w:val="00375698"/>
    <w:rsid w:val="0037569E"/>
    <w:rsid w:val="003757BD"/>
    <w:rsid w:val="003757E8"/>
    <w:rsid w:val="00375929"/>
    <w:rsid w:val="003759BF"/>
    <w:rsid w:val="00375AF9"/>
    <w:rsid w:val="00375C37"/>
    <w:rsid w:val="00375C46"/>
    <w:rsid w:val="00375C9B"/>
    <w:rsid w:val="00375D23"/>
    <w:rsid w:val="00375D95"/>
    <w:rsid w:val="00375D9A"/>
    <w:rsid w:val="00375DB8"/>
    <w:rsid w:val="00375E87"/>
    <w:rsid w:val="00375F31"/>
    <w:rsid w:val="00375F91"/>
    <w:rsid w:val="00375FD0"/>
    <w:rsid w:val="00376063"/>
    <w:rsid w:val="0037612A"/>
    <w:rsid w:val="0037624B"/>
    <w:rsid w:val="00376275"/>
    <w:rsid w:val="00376276"/>
    <w:rsid w:val="00376308"/>
    <w:rsid w:val="00376408"/>
    <w:rsid w:val="00376415"/>
    <w:rsid w:val="003764ED"/>
    <w:rsid w:val="003766D6"/>
    <w:rsid w:val="003768E2"/>
    <w:rsid w:val="00376908"/>
    <w:rsid w:val="003769C9"/>
    <w:rsid w:val="00376A20"/>
    <w:rsid w:val="00376A58"/>
    <w:rsid w:val="00376AEE"/>
    <w:rsid w:val="00376C47"/>
    <w:rsid w:val="00376CBE"/>
    <w:rsid w:val="00376DF1"/>
    <w:rsid w:val="00376F60"/>
    <w:rsid w:val="00376F89"/>
    <w:rsid w:val="00376FA4"/>
    <w:rsid w:val="003770B1"/>
    <w:rsid w:val="003771CC"/>
    <w:rsid w:val="003771E3"/>
    <w:rsid w:val="003773DF"/>
    <w:rsid w:val="00377511"/>
    <w:rsid w:val="00377590"/>
    <w:rsid w:val="0037778B"/>
    <w:rsid w:val="003777E8"/>
    <w:rsid w:val="00377942"/>
    <w:rsid w:val="0037797A"/>
    <w:rsid w:val="003779C6"/>
    <w:rsid w:val="00377A32"/>
    <w:rsid w:val="00377AC3"/>
    <w:rsid w:val="00377AC9"/>
    <w:rsid w:val="00377AE4"/>
    <w:rsid w:val="00377C4C"/>
    <w:rsid w:val="00377C61"/>
    <w:rsid w:val="00377DE9"/>
    <w:rsid w:val="00377E01"/>
    <w:rsid w:val="00377E56"/>
    <w:rsid w:val="00380015"/>
    <w:rsid w:val="00380041"/>
    <w:rsid w:val="00380074"/>
    <w:rsid w:val="0038011A"/>
    <w:rsid w:val="00380348"/>
    <w:rsid w:val="00380411"/>
    <w:rsid w:val="00380416"/>
    <w:rsid w:val="00380505"/>
    <w:rsid w:val="0038079E"/>
    <w:rsid w:val="00380852"/>
    <w:rsid w:val="0038089A"/>
    <w:rsid w:val="003808BB"/>
    <w:rsid w:val="003808DB"/>
    <w:rsid w:val="00380946"/>
    <w:rsid w:val="0038094D"/>
    <w:rsid w:val="00380974"/>
    <w:rsid w:val="003809D2"/>
    <w:rsid w:val="00380A35"/>
    <w:rsid w:val="00380B55"/>
    <w:rsid w:val="00380DA2"/>
    <w:rsid w:val="00380E37"/>
    <w:rsid w:val="00380F41"/>
    <w:rsid w:val="00380FEF"/>
    <w:rsid w:val="003810CF"/>
    <w:rsid w:val="003811AA"/>
    <w:rsid w:val="003811D1"/>
    <w:rsid w:val="003812F4"/>
    <w:rsid w:val="003813EF"/>
    <w:rsid w:val="0038154D"/>
    <w:rsid w:val="003815A6"/>
    <w:rsid w:val="003816A9"/>
    <w:rsid w:val="003816C9"/>
    <w:rsid w:val="0038170A"/>
    <w:rsid w:val="00381790"/>
    <w:rsid w:val="003818C6"/>
    <w:rsid w:val="00381A7A"/>
    <w:rsid w:val="00381BBB"/>
    <w:rsid w:val="00381C30"/>
    <w:rsid w:val="00381C3C"/>
    <w:rsid w:val="00381CFC"/>
    <w:rsid w:val="00381D00"/>
    <w:rsid w:val="00381D4B"/>
    <w:rsid w:val="00381D63"/>
    <w:rsid w:val="00381ED6"/>
    <w:rsid w:val="00381FF7"/>
    <w:rsid w:val="003820C3"/>
    <w:rsid w:val="003821C7"/>
    <w:rsid w:val="003821D1"/>
    <w:rsid w:val="003822AC"/>
    <w:rsid w:val="003822F8"/>
    <w:rsid w:val="0038230D"/>
    <w:rsid w:val="00382333"/>
    <w:rsid w:val="00382339"/>
    <w:rsid w:val="00382361"/>
    <w:rsid w:val="00382391"/>
    <w:rsid w:val="003823A4"/>
    <w:rsid w:val="0038254C"/>
    <w:rsid w:val="003825A5"/>
    <w:rsid w:val="003825C2"/>
    <w:rsid w:val="003825D0"/>
    <w:rsid w:val="003827AA"/>
    <w:rsid w:val="003827C9"/>
    <w:rsid w:val="003827EA"/>
    <w:rsid w:val="003828F7"/>
    <w:rsid w:val="00382A99"/>
    <w:rsid w:val="00382AC5"/>
    <w:rsid w:val="00382C66"/>
    <w:rsid w:val="00382C99"/>
    <w:rsid w:val="00382D1C"/>
    <w:rsid w:val="00382D89"/>
    <w:rsid w:val="00382D90"/>
    <w:rsid w:val="00382DA7"/>
    <w:rsid w:val="00382DE7"/>
    <w:rsid w:val="00382E0C"/>
    <w:rsid w:val="00382F63"/>
    <w:rsid w:val="00382FB6"/>
    <w:rsid w:val="00382FE1"/>
    <w:rsid w:val="00383001"/>
    <w:rsid w:val="0038300D"/>
    <w:rsid w:val="0038312A"/>
    <w:rsid w:val="00383173"/>
    <w:rsid w:val="003831C2"/>
    <w:rsid w:val="003831EA"/>
    <w:rsid w:val="003832D9"/>
    <w:rsid w:val="00383320"/>
    <w:rsid w:val="0038336D"/>
    <w:rsid w:val="003834D8"/>
    <w:rsid w:val="003834EF"/>
    <w:rsid w:val="003836E1"/>
    <w:rsid w:val="00383887"/>
    <w:rsid w:val="0038396C"/>
    <w:rsid w:val="003839D8"/>
    <w:rsid w:val="00383A17"/>
    <w:rsid w:val="00383AF9"/>
    <w:rsid w:val="00383C15"/>
    <w:rsid w:val="00383C16"/>
    <w:rsid w:val="00383C41"/>
    <w:rsid w:val="00383C82"/>
    <w:rsid w:val="00383C95"/>
    <w:rsid w:val="00383CC5"/>
    <w:rsid w:val="00383F90"/>
    <w:rsid w:val="00384044"/>
    <w:rsid w:val="003840C3"/>
    <w:rsid w:val="00384180"/>
    <w:rsid w:val="00384181"/>
    <w:rsid w:val="003842A6"/>
    <w:rsid w:val="00384317"/>
    <w:rsid w:val="003845AF"/>
    <w:rsid w:val="00384893"/>
    <w:rsid w:val="003848CD"/>
    <w:rsid w:val="0038492B"/>
    <w:rsid w:val="00384945"/>
    <w:rsid w:val="00384992"/>
    <w:rsid w:val="00384ADE"/>
    <w:rsid w:val="00384B24"/>
    <w:rsid w:val="00384B3E"/>
    <w:rsid w:val="00384CDA"/>
    <w:rsid w:val="00384E2E"/>
    <w:rsid w:val="00385071"/>
    <w:rsid w:val="00385244"/>
    <w:rsid w:val="0038524D"/>
    <w:rsid w:val="0038530C"/>
    <w:rsid w:val="003853B6"/>
    <w:rsid w:val="003854E6"/>
    <w:rsid w:val="00385593"/>
    <w:rsid w:val="003855B4"/>
    <w:rsid w:val="003855CE"/>
    <w:rsid w:val="003855F5"/>
    <w:rsid w:val="0038564A"/>
    <w:rsid w:val="0038566B"/>
    <w:rsid w:val="003856A8"/>
    <w:rsid w:val="0038572A"/>
    <w:rsid w:val="003857CB"/>
    <w:rsid w:val="003858D1"/>
    <w:rsid w:val="00385A20"/>
    <w:rsid w:val="00385B82"/>
    <w:rsid w:val="00385C74"/>
    <w:rsid w:val="00385CFB"/>
    <w:rsid w:val="00385D02"/>
    <w:rsid w:val="00385D11"/>
    <w:rsid w:val="00385D60"/>
    <w:rsid w:val="00385F26"/>
    <w:rsid w:val="00385F3A"/>
    <w:rsid w:val="00385F4E"/>
    <w:rsid w:val="00385F7A"/>
    <w:rsid w:val="00386010"/>
    <w:rsid w:val="0038606E"/>
    <w:rsid w:val="0038609F"/>
    <w:rsid w:val="003860FE"/>
    <w:rsid w:val="003861C2"/>
    <w:rsid w:val="00386202"/>
    <w:rsid w:val="00386272"/>
    <w:rsid w:val="0038627B"/>
    <w:rsid w:val="003862CC"/>
    <w:rsid w:val="003862D7"/>
    <w:rsid w:val="00386368"/>
    <w:rsid w:val="00386442"/>
    <w:rsid w:val="0038646F"/>
    <w:rsid w:val="003869D0"/>
    <w:rsid w:val="003869E0"/>
    <w:rsid w:val="00386A28"/>
    <w:rsid w:val="00386B07"/>
    <w:rsid w:val="00386BD0"/>
    <w:rsid w:val="00386C9A"/>
    <w:rsid w:val="00386DCF"/>
    <w:rsid w:val="00386E1B"/>
    <w:rsid w:val="00386E21"/>
    <w:rsid w:val="00386E85"/>
    <w:rsid w:val="00386E8D"/>
    <w:rsid w:val="00386EE0"/>
    <w:rsid w:val="00386F38"/>
    <w:rsid w:val="00386F77"/>
    <w:rsid w:val="00386F8F"/>
    <w:rsid w:val="00386F9B"/>
    <w:rsid w:val="00387100"/>
    <w:rsid w:val="00387105"/>
    <w:rsid w:val="00387130"/>
    <w:rsid w:val="00387136"/>
    <w:rsid w:val="003872A3"/>
    <w:rsid w:val="003872B9"/>
    <w:rsid w:val="003872CD"/>
    <w:rsid w:val="003872F0"/>
    <w:rsid w:val="003872F9"/>
    <w:rsid w:val="003875A4"/>
    <w:rsid w:val="0038769A"/>
    <w:rsid w:val="003876E0"/>
    <w:rsid w:val="00387761"/>
    <w:rsid w:val="003877CD"/>
    <w:rsid w:val="003877DD"/>
    <w:rsid w:val="003877EF"/>
    <w:rsid w:val="003879D8"/>
    <w:rsid w:val="00387A1F"/>
    <w:rsid w:val="00387A7F"/>
    <w:rsid w:val="00387AD6"/>
    <w:rsid w:val="00387B90"/>
    <w:rsid w:val="00387D11"/>
    <w:rsid w:val="00387D63"/>
    <w:rsid w:val="00387D91"/>
    <w:rsid w:val="00387DD0"/>
    <w:rsid w:val="00387E2C"/>
    <w:rsid w:val="00387E9D"/>
    <w:rsid w:val="00387F1D"/>
    <w:rsid w:val="00387F41"/>
    <w:rsid w:val="00387F9F"/>
    <w:rsid w:val="0039008E"/>
    <w:rsid w:val="00390092"/>
    <w:rsid w:val="0039014D"/>
    <w:rsid w:val="0039016B"/>
    <w:rsid w:val="00390230"/>
    <w:rsid w:val="003902A8"/>
    <w:rsid w:val="003902AE"/>
    <w:rsid w:val="00390406"/>
    <w:rsid w:val="00390458"/>
    <w:rsid w:val="00390493"/>
    <w:rsid w:val="003904C6"/>
    <w:rsid w:val="003906C5"/>
    <w:rsid w:val="003906CF"/>
    <w:rsid w:val="003906E4"/>
    <w:rsid w:val="003909EC"/>
    <w:rsid w:val="00390A4A"/>
    <w:rsid w:val="00390C6E"/>
    <w:rsid w:val="00390C8D"/>
    <w:rsid w:val="00390CA5"/>
    <w:rsid w:val="00390CCB"/>
    <w:rsid w:val="00390E33"/>
    <w:rsid w:val="00390EF0"/>
    <w:rsid w:val="00390F1B"/>
    <w:rsid w:val="00390F2A"/>
    <w:rsid w:val="00390FDA"/>
    <w:rsid w:val="0039100F"/>
    <w:rsid w:val="00391012"/>
    <w:rsid w:val="0039109E"/>
    <w:rsid w:val="003910D4"/>
    <w:rsid w:val="003910DE"/>
    <w:rsid w:val="00391184"/>
    <w:rsid w:val="00391216"/>
    <w:rsid w:val="0039126D"/>
    <w:rsid w:val="003912C3"/>
    <w:rsid w:val="00391308"/>
    <w:rsid w:val="0039138E"/>
    <w:rsid w:val="0039140B"/>
    <w:rsid w:val="003914FE"/>
    <w:rsid w:val="003915BB"/>
    <w:rsid w:val="00391607"/>
    <w:rsid w:val="003916AE"/>
    <w:rsid w:val="003916B8"/>
    <w:rsid w:val="00391778"/>
    <w:rsid w:val="003917E6"/>
    <w:rsid w:val="003918A1"/>
    <w:rsid w:val="00391971"/>
    <w:rsid w:val="00391A84"/>
    <w:rsid w:val="00391A8D"/>
    <w:rsid w:val="00391B38"/>
    <w:rsid w:val="00391C0F"/>
    <w:rsid w:val="00391CC9"/>
    <w:rsid w:val="00391DE4"/>
    <w:rsid w:val="00391E50"/>
    <w:rsid w:val="00391EE7"/>
    <w:rsid w:val="00391F03"/>
    <w:rsid w:val="00391F87"/>
    <w:rsid w:val="00391FC7"/>
    <w:rsid w:val="00392067"/>
    <w:rsid w:val="0039212B"/>
    <w:rsid w:val="003921E3"/>
    <w:rsid w:val="003924FC"/>
    <w:rsid w:val="003926D3"/>
    <w:rsid w:val="0039273D"/>
    <w:rsid w:val="003927C9"/>
    <w:rsid w:val="00392844"/>
    <w:rsid w:val="00392969"/>
    <w:rsid w:val="00392B60"/>
    <w:rsid w:val="00392B83"/>
    <w:rsid w:val="00392B90"/>
    <w:rsid w:val="00392BA9"/>
    <w:rsid w:val="00392C3F"/>
    <w:rsid w:val="00392CF3"/>
    <w:rsid w:val="00392D19"/>
    <w:rsid w:val="00392D29"/>
    <w:rsid w:val="00392D56"/>
    <w:rsid w:val="00392F22"/>
    <w:rsid w:val="0039300D"/>
    <w:rsid w:val="00393022"/>
    <w:rsid w:val="00393049"/>
    <w:rsid w:val="003930E0"/>
    <w:rsid w:val="003930FA"/>
    <w:rsid w:val="003931A7"/>
    <w:rsid w:val="0039322F"/>
    <w:rsid w:val="00393244"/>
    <w:rsid w:val="00393348"/>
    <w:rsid w:val="00393532"/>
    <w:rsid w:val="0039354E"/>
    <w:rsid w:val="00393596"/>
    <w:rsid w:val="003935AA"/>
    <w:rsid w:val="00393624"/>
    <w:rsid w:val="003937D8"/>
    <w:rsid w:val="003938F6"/>
    <w:rsid w:val="003939F0"/>
    <w:rsid w:val="00393A0B"/>
    <w:rsid w:val="00393A9E"/>
    <w:rsid w:val="00393ABA"/>
    <w:rsid w:val="00393BDD"/>
    <w:rsid w:val="00393BE1"/>
    <w:rsid w:val="00393C17"/>
    <w:rsid w:val="00393D20"/>
    <w:rsid w:val="00393D24"/>
    <w:rsid w:val="00393DDE"/>
    <w:rsid w:val="00393E27"/>
    <w:rsid w:val="00393ED1"/>
    <w:rsid w:val="00394013"/>
    <w:rsid w:val="0039406D"/>
    <w:rsid w:val="00394188"/>
    <w:rsid w:val="0039418F"/>
    <w:rsid w:val="00394199"/>
    <w:rsid w:val="00394300"/>
    <w:rsid w:val="003943CE"/>
    <w:rsid w:val="003943FC"/>
    <w:rsid w:val="00394530"/>
    <w:rsid w:val="003945E7"/>
    <w:rsid w:val="003946DD"/>
    <w:rsid w:val="00394749"/>
    <w:rsid w:val="00394803"/>
    <w:rsid w:val="003948D6"/>
    <w:rsid w:val="0039493B"/>
    <w:rsid w:val="00394AF1"/>
    <w:rsid w:val="00394B53"/>
    <w:rsid w:val="00394B73"/>
    <w:rsid w:val="00394C11"/>
    <w:rsid w:val="00394C79"/>
    <w:rsid w:val="00394CE9"/>
    <w:rsid w:val="00394D4A"/>
    <w:rsid w:val="00394D9A"/>
    <w:rsid w:val="00394EF7"/>
    <w:rsid w:val="00394F2D"/>
    <w:rsid w:val="00394F7A"/>
    <w:rsid w:val="0039530B"/>
    <w:rsid w:val="00395476"/>
    <w:rsid w:val="00395524"/>
    <w:rsid w:val="00395751"/>
    <w:rsid w:val="00395752"/>
    <w:rsid w:val="003957B5"/>
    <w:rsid w:val="003958C1"/>
    <w:rsid w:val="003958DB"/>
    <w:rsid w:val="0039592F"/>
    <w:rsid w:val="0039594C"/>
    <w:rsid w:val="0039598D"/>
    <w:rsid w:val="003959F3"/>
    <w:rsid w:val="00395A43"/>
    <w:rsid w:val="00395AC9"/>
    <w:rsid w:val="00395AD3"/>
    <w:rsid w:val="00395AE9"/>
    <w:rsid w:val="00395AF9"/>
    <w:rsid w:val="00395B32"/>
    <w:rsid w:val="00395B5C"/>
    <w:rsid w:val="00395B5F"/>
    <w:rsid w:val="00395BC0"/>
    <w:rsid w:val="00395C5F"/>
    <w:rsid w:val="00395C6D"/>
    <w:rsid w:val="00395D05"/>
    <w:rsid w:val="00395DB4"/>
    <w:rsid w:val="00395DD9"/>
    <w:rsid w:val="00395E65"/>
    <w:rsid w:val="00396192"/>
    <w:rsid w:val="003961A2"/>
    <w:rsid w:val="003961E0"/>
    <w:rsid w:val="0039629A"/>
    <w:rsid w:val="003962ED"/>
    <w:rsid w:val="00396315"/>
    <w:rsid w:val="003963E4"/>
    <w:rsid w:val="00396449"/>
    <w:rsid w:val="003966DF"/>
    <w:rsid w:val="003967D6"/>
    <w:rsid w:val="00396937"/>
    <w:rsid w:val="00396A06"/>
    <w:rsid w:val="00396A10"/>
    <w:rsid w:val="00396A63"/>
    <w:rsid w:val="00396A68"/>
    <w:rsid w:val="00396AD6"/>
    <w:rsid w:val="00396C15"/>
    <w:rsid w:val="00396C84"/>
    <w:rsid w:val="00396DB2"/>
    <w:rsid w:val="00396DC5"/>
    <w:rsid w:val="00396DC9"/>
    <w:rsid w:val="00396ED4"/>
    <w:rsid w:val="00396F43"/>
    <w:rsid w:val="0039707C"/>
    <w:rsid w:val="003970DD"/>
    <w:rsid w:val="00397148"/>
    <w:rsid w:val="00397183"/>
    <w:rsid w:val="003971B4"/>
    <w:rsid w:val="003971D8"/>
    <w:rsid w:val="00397220"/>
    <w:rsid w:val="003972AA"/>
    <w:rsid w:val="003973FD"/>
    <w:rsid w:val="00397509"/>
    <w:rsid w:val="003975A9"/>
    <w:rsid w:val="0039760F"/>
    <w:rsid w:val="00397636"/>
    <w:rsid w:val="00397663"/>
    <w:rsid w:val="00397775"/>
    <w:rsid w:val="0039777F"/>
    <w:rsid w:val="003978B1"/>
    <w:rsid w:val="003978E3"/>
    <w:rsid w:val="0039795C"/>
    <w:rsid w:val="00397A29"/>
    <w:rsid w:val="00397A5C"/>
    <w:rsid w:val="00397AE7"/>
    <w:rsid w:val="00397B5A"/>
    <w:rsid w:val="00397B63"/>
    <w:rsid w:val="00397B92"/>
    <w:rsid w:val="00397B99"/>
    <w:rsid w:val="00397C1E"/>
    <w:rsid w:val="00397CA1"/>
    <w:rsid w:val="003A0083"/>
    <w:rsid w:val="003A0168"/>
    <w:rsid w:val="003A04B0"/>
    <w:rsid w:val="003A054E"/>
    <w:rsid w:val="003A063D"/>
    <w:rsid w:val="003A077C"/>
    <w:rsid w:val="003A0837"/>
    <w:rsid w:val="003A0965"/>
    <w:rsid w:val="003A0AD1"/>
    <w:rsid w:val="003A0B0D"/>
    <w:rsid w:val="003A0BE7"/>
    <w:rsid w:val="003A0C7C"/>
    <w:rsid w:val="003A0DC6"/>
    <w:rsid w:val="003A0EEF"/>
    <w:rsid w:val="003A1156"/>
    <w:rsid w:val="003A119D"/>
    <w:rsid w:val="003A11DC"/>
    <w:rsid w:val="003A1207"/>
    <w:rsid w:val="003A12A3"/>
    <w:rsid w:val="003A12DD"/>
    <w:rsid w:val="003A1307"/>
    <w:rsid w:val="003A130F"/>
    <w:rsid w:val="003A1423"/>
    <w:rsid w:val="003A147E"/>
    <w:rsid w:val="003A1550"/>
    <w:rsid w:val="003A1590"/>
    <w:rsid w:val="003A169E"/>
    <w:rsid w:val="003A183F"/>
    <w:rsid w:val="003A1843"/>
    <w:rsid w:val="003A19A4"/>
    <w:rsid w:val="003A1A48"/>
    <w:rsid w:val="003A1A77"/>
    <w:rsid w:val="003A1A86"/>
    <w:rsid w:val="003A1AF5"/>
    <w:rsid w:val="003A1BD3"/>
    <w:rsid w:val="003A1C56"/>
    <w:rsid w:val="003A1DCB"/>
    <w:rsid w:val="003A1F29"/>
    <w:rsid w:val="003A1FD5"/>
    <w:rsid w:val="003A1FD7"/>
    <w:rsid w:val="003A1FEB"/>
    <w:rsid w:val="003A2057"/>
    <w:rsid w:val="003A207B"/>
    <w:rsid w:val="003A20BC"/>
    <w:rsid w:val="003A218A"/>
    <w:rsid w:val="003A2295"/>
    <w:rsid w:val="003A232F"/>
    <w:rsid w:val="003A2394"/>
    <w:rsid w:val="003A26F3"/>
    <w:rsid w:val="003A2823"/>
    <w:rsid w:val="003A2870"/>
    <w:rsid w:val="003A28F2"/>
    <w:rsid w:val="003A2998"/>
    <w:rsid w:val="003A29CE"/>
    <w:rsid w:val="003A29D5"/>
    <w:rsid w:val="003A2A6B"/>
    <w:rsid w:val="003A2B6E"/>
    <w:rsid w:val="003A2BEF"/>
    <w:rsid w:val="003A2CC8"/>
    <w:rsid w:val="003A2D4F"/>
    <w:rsid w:val="003A2D7F"/>
    <w:rsid w:val="003A2DDC"/>
    <w:rsid w:val="003A2E37"/>
    <w:rsid w:val="003A2F0B"/>
    <w:rsid w:val="003A2F5C"/>
    <w:rsid w:val="003A2F77"/>
    <w:rsid w:val="003A2FE5"/>
    <w:rsid w:val="003A3049"/>
    <w:rsid w:val="003A3122"/>
    <w:rsid w:val="003A3183"/>
    <w:rsid w:val="003A31DD"/>
    <w:rsid w:val="003A3201"/>
    <w:rsid w:val="003A3210"/>
    <w:rsid w:val="003A3340"/>
    <w:rsid w:val="003A33E9"/>
    <w:rsid w:val="003A34A2"/>
    <w:rsid w:val="003A3628"/>
    <w:rsid w:val="003A362F"/>
    <w:rsid w:val="003A369F"/>
    <w:rsid w:val="003A36B2"/>
    <w:rsid w:val="003A36E5"/>
    <w:rsid w:val="003A374C"/>
    <w:rsid w:val="003A3815"/>
    <w:rsid w:val="003A389C"/>
    <w:rsid w:val="003A38D3"/>
    <w:rsid w:val="003A3986"/>
    <w:rsid w:val="003A39DD"/>
    <w:rsid w:val="003A3A16"/>
    <w:rsid w:val="003A3A86"/>
    <w:rsid w:val="003A3CD4"/>
    <w:rsid w:val="003A3E8C"/>
    <w:rsid w:val="003A3F55"/>
    <w:rsid w:val="003A3F74"/>
    <w:rsid w:val="003A3FC6"/>
    <w:rsid w:val="003A3FFA"/>
    <w:rsid w:val="003A4022"/>
    <w:rsid w:val="003A406A"/>
    <w:rsid w:val="003A40F5"/>
    <w:rsid w:val="003A4243"/>
    <w:rsid w:val="003A43CE"/>
    <w:rsid w:val="003A43DA"/>
    <w:rsid w:val="003A43E4"/>
    <w:rsid w:val="003A44E2"/>
    <w:rsid w:val="003A44EE"/>
    <w:rsid w:val="003A45A6"/>
    <w:rsid w:val="003A45CE"/>
    <w:rsid w:val="003A4610"/>
    <w:rsid w:val="003A4683"/>
    <w:rsid w:val="003A471C"/>
    <w:rsid w:val="003A4785"/>
    <w:rsid w:val="003A48E8"/>
    <w:rsid w:val="003A4901"/>
    <w:rsid w:val="003A490B"/>
    <w:rsid w:val="003A497A"/>
    <w:rsid w:val="003A4A75"/>
    <w:rsid w:val="003A4BAD"/>
    <w:rsid w:val="003A4D8B"/>
    <w:rsid w:val="003A4DEF"/>
    <w:rsid w:val="003A4EB8"/>
    <w:rsid w:val="003A4EE6"/>
    <w:rsid w:val="003A5007"/>
    <w:rsid w:val="003A50BE"/>
    <w:rsid w:val="003A50C1"/>
    <w:rsid w:val="003A5112"/>
    <w:rsid w:val="003A5186"/>
    <w:rsid w:val="003A51E2"/>
    <w:rsid w:val="003A52EB"/>
    <w:rsid w:val="003A5326"/>
    <w:rsid w:val="003A5340"/>
    <w:rsid w:val="003A5375"/>
    <w:rsid w:val="003A5416"/>
    <w:rsid w:val="003A54C9"/>
    <w:rsid w:val="003A5659"/>
    <w:rsid w:val="003A566D"/>
    <w:rsid w:val="003A566F"/>
    <w:rsid w:val="003A56E1"/>
    <w:rsid w:val="003A571D"/>
    <w:rsid w:val="003A57CD"/>
    <w:rsid w:val="003A5810"/>
    <w:rsid w:val="003A58B6"/>
    <w:rsid w:val="003A5903"/>
    <w:rsid w:val="003A5910"/>
    <w:rsid w:val="003A5AB6"/>
    <w:rsid w:val="003A5AFE"/>
    <w:rsid w:val="003A5B30"/>
    <w:rsid w:val="003A5C1F"/>
    <w:rsid w:val="003A5CA9"/>
    <w:rsid w:val="003A5D3F"/>
    <w:rsid w:val="003A5D50"/>
    <w:rsid w:val="003A5DB7"/>
    <w:rsid w:val="003A5E11"/>
    <w:rsid w:val="003A5E17"/>
    <w:rsid w:val="003A5E62"/>
    <w:rsid w:val="003A5F9C"/>
    <w:rsid w:val="003A622D"/>
    <w:rsid w:val="003A623D"/>
    <w:rsid w:val="003A629F"/>
    <w:rsid w:val="003A62E7"/>
    <w:rsid w:val="003A63BF"/>
    <w:rsid w:val="003A642D"/>
    <w:rsid w:val="003A64F1"/>
    <w:rsid w:val="003A64FF"/>
    <w:rsid w:val="003A6556"/>
    <w:rsid w:val="003A6598"/>
    <w:rsid w:val="003A66EB"/>
    <w:rsid w:val="003A677C"/>
    <w:rsid w:val="003A6793"/>
    <w:rsid w:val="003A68D4"/>
    <w:rsid w:val="003A68E4"/>
    <w:rsid w:val="003A6938"/>
    <w:rsid w:val="003A6A03"/>
    <w:rsid w:val="003A6A2C"/>
    <w:rsid w:val="003A6A5F"/>
    <w:rsid w:val="003A6AA3"/>
    <w:rsid w:val="003A6C28"/>
    <w:rsid w:val="003A6CD9"/>
    <w:rsid w:val="003A6D8C"/>
    <w:rsid w:val="003A6DAD"/>
    <w:rsid w:val="003A6E1D"/>
    <w:rsid w:val="003A6F48"/>
    <w:rsid w:val="003A6F66"/>
    <w:rsid w:val="003A6F9E"/>
    <w:rsid w:val="003A6FD0"/>
    <w:rsid w:val="003A705E"/>
    <w:rsid w:val="003A7066"/>
    <w:rsid w:val="003A7094"/>
    <w:rsid w:val="003A719D"/>
    <w:rsid w:val="003A71BF"/>
    <w:rsid w:val="003A72A7"/>
    <w:rsid w:val="003A72F1"/>
    <w:rsid w:val="003A7301"/>
    <w:rsid w:val="003A74F5"/>
    <w:rsid w:val="003A74FA"/>
    <w:rsid w:val="003A7533"/>
    <w:rsid w:val="003A75EC"/>
    <w:rsid w:val="003A7623"/>
    <w:rsid w:val="003A76CB"/>
    <w:rsid w:val="003A76EA"/>
    <w:rsid w:val="003A7701"/>
    <w:rsid w:val="003A770C"/>
    <w:rsid w:val="003A7715"/>
    <w:rsid w:val="003A778B"/>
    <w:rsid w:val="003A784C"/>
    <w:rsid w:val="003A7947"/>
    <w:rsid w:val="003A79E3"/>
    <w:rsid w:val="003A7A2C"/>
    <w:rsid w:val="003A7A80"/>
    <w:rsid w:val="003A7B70"/>
    <w:rsid w:val="003A7B82"/>
    <w:rsid w:val="003A7D5F"/>
    <w:rsid w:val="003A7FC8"/>
    <w:rsid w:val="003B009C"/>
    <w:rsid w:val="003B01E2"/>
    <w:rsid w:val="003B0285"/>
    <w:rsid w:val="003B02C5"/>
    <w:rsid w:val="003B03F6"/>
    <w:rsid w:val="003B0454"/>
    <w:rsid w:val="003B0529"/>
    <w:rsid w:val="003B052F"/>
    <w:rsid w:val="003B05B5"/>
    <w:rsid w:val="003B063A"/>
    <w:rsid w:val="003B06F0"/>
    <w:rsid w:val="003B073C"/>
    <w:rsid w:val="003B0776"/>
    <w:rsid w:val="003B083C"/>
    <w:rsid w:val="003B09D6"/>
    <w:rsid w:val="003B0A7D"/>
    <w:rsid w:val="003B0AB8"/>
    <w:rsid w:val="003B0ACD"/>
    <w:rsid w:val="003B0AFA"/>
    <w:rsid w:val="003B0B34"/>
    <w:rsid w:val="003B0B3F"/>
    <w:rsid w:val="003B0CE5"/>
    <w:rsid w:val="003B0D03"/>
    <w:rsid w:val="003B0D2D"/>
    <w:rsid w:val="003B0E54"/>
    <w:rsid w:val="003B0EA6"/>
    <w:rsid w:val="003B0EE7"/>
    <w:rsid w:val="003B0F43"/>
    <w:rsid w:val="003B0FE9"/>
    <w:rsid w:val="003B10F9"/>
    <w:rsid w:val="003B11C2"/>
    <w:rsid w:val="003B1301"/>
    <w:rsid w:val="003B1336"/>
    <w:rsid w:val="003B135F"/>
    <w:rsid w:val="003B13A2"/>
    <w:rsid w:val="003B14C9"/>
    <w:rsid w:val="003B14CE"/>
    <w:rsid w:val="003B159E"/>
    <w:rsid w:val="003B15DE"/>
    <w:rsid w:val="003B1776"/>
    <w:rsid w:val="003B17A3"/>
    <w:rsid w:val="003B17D2"/>
    <w:rsid w:val="003B181E"/>
    <w:rsid w:val="003B194A"/>
    <w:rsid w:val="003B1953"/>
    <w:rsid w:val="003B196C"/>
    <w:rsid w:val="003B1988"/>
    <w:rsid w:val="003B1B0A"/>
    <w:rsid w:val="003B1B3C"/>
    <w:rsid w:val="003B1CFB"/>
    <w:rsid w:val="003B1D87"/>
    <w:rsid w:val="003B1D92"/>
    <w:rsid w:val="003B1E97"/>
    <w:rsid w:val="003B1EB4"/>
    <w:rsid w:val="003B1EF3"/>
    <w:rsid w:val="003B1F43"/>
    <w:rsid w:val="003B2031"/>
    <w:rsid w:val="003B203C"/>
    <w:rsid w:val="003B213E"/>
    <w:rsid w:val="003B2174"/>
    <w:rsid w:val="003B2383"/>
    <w:rsid w:val="003B238D"/>
    <w:rsid w:val="003B23B6"/>
    <w:rsid w:val="003B2425"/>
    <w:rsid w:val="003B2426"/>
    <w:rsid w:val="003B24F6"/>
    <w:rsid w:val="003B2606"/>
    <w:rsid w:val="003B26BD"/>
    <w:rsid w:val="003B2759"/>
    <w:rsid w:val="003B2792"/>
    <w:rsid w:val="003B27AE"/>
    <w:rsid w:val="003B2833"/>
    <w:rsid w:val="003B2920"/>
    <w:rsid w:val="003B2921"/>
    <w:rsid w:val="003B2974"/>
    <w:rsid w:val="003B2A13"/>
    <w:rsid w:val="003B2AAB"/>
    <w:rsid w:val="003B2AB4"/>
    <w:rsid w:val="003B2B2A"/>
    <w:rsid w:val="003B2B53"/>
    <w:rsid w:val="003B2B87"/>
    <w:rsid w:val="003B2BA4"/>
    <w:rsid w:val="003B2CDF"/>
    <w:rsid w:val="003B2D00"/>
    <w:rsid w:val="003B2D12"/>
    <w:rsid w:val="003B2EBF"/>
    <w:rsid w:val="003B300E"/>
    <w:rsid w:val="003B3057"/>
    <w:rsid w:val="003B30C8"/>
    <w:rsid w:val="003B312E"/>
    <w:rsid w:val="003B3144"/>
    <w:rsid w:val="003B31E6"/>
    <w:rsid w:val="003B323F"/>
    <w:rsid w:val="003B329C"/>
    <w:rsid w:val="003B33CB"/>
    <w:rsid w:val="003B348F"/>
    <w:rsid w:val="003B3504"/>
    <w:rsid w:val="003B36FB"/>
    <w:rsid w:val="003B37D7"/>
    <w:rsid w:val="003B3824"/>
    <w:rsid w:val="003B3863"/>
    <w:rsid w:val="003B387C"/>
    <w:rsid w:val="003B39F7"/>
    <w:rsid w:val="003B3A34"/>
    <w:rsid w:val="003B3AC9"/>
    <w:rsid w:val="003B3BB1"/>
    <w:rsid w:val="003B3C2C"/>
    <w:rsid w:val="003B3C35"/>
    <w:rsid w:val="003B3C41"/>
    <w:rsid w:val="003B3C96"/>
    <w:rsid w:val="003B3CDE"/>
    <w:rsid w:val="003B3DFA"/>
    <w:rsid w:val="003B3FA5"/>
    <w:rsid w:val="003B3FB1"/>
    <w:rsid w:val="003B3FED"/>
    <w:rsid w:val="003B400D"/>
    <w:rsid w:val="003B403A"/>
    <w:rsid w:val="003B4091"/>
    <w:rsid w:val="003B40E0"/>
    <w:rsid w:val="003B4216"/>
    <w:rsid w:val="003B43C3"/>
    <w:rsid w:val="003B447A"/>
    <w:rsid w:val="003B46ED"/>
    <w:rsid w:val="003B47A9"/>
    <w:rsid w:val="003B487F"/>
    <w:rsid w:val="003B4AD1"/>
    <w:rsid w:val="003B4B11"/>
    <w:rsid w:val="003B4B84"/>
    <w:rsid w:val="003B4C49"/>
    <w:rsid w:val="003B4C58"/>
    <w:rsid w:val="003B4C5F"/>
    <w:rsid w:val="003B4D98"/>
    <w:rsid w:val="003B4DFE"/>
    <w:rsid w:val="003B4E10"/>
    <w:rsid w:val="003B4E13"/>
    <w:rsid w:val="003B4E3C"/>
    <w:rsid w:val="003B5140"/>
    <w:rsid w:val="003B5169"/>
    <w:rsid w:val="003B5262"/>
    <w:rsid w:val="003B52E7"/>
    <w:rsid w:val="003B52F1"/>
    <w:rsid w:val="003B52F3"/>
    <w:rsid w:val="003B535B"/>
    <w:rsid w:val="003B5370"/>
    <w:rsid w:val="003B538B"/>
    <w:rsid w:val="003B5449"/>
    <w:rsid w:val="003B547A"/>
    <w:rsid w:val="003B55EC"/>
    <w:rsid w:val="003B5633"/>
    <w:rsid w:val="003B564C"/>
    <w:rsid w:val="003B5713"/>
    <w:rsid w:val="003B5B40"/>
    <w:rsid w:val="003B5B91"/>
    <w:rsid w:val="003B5BA9"/>
    <w:rsid w:val="003B5BD3"/>
    <w:rsid w:val="003B5C1C"/>
    <w:rsid w:val="003B5C2C"/>
    <w:rsid w:val="003B5C74"/>
    <w:rsid w:val="003B5C9F"/>
    <w:rsid w:val="003B5CB1"/>
    <w:rsid w:val="003B5CCE"/>
    <w:rsid w:val="003B5D02"/>
    <w:rsid w:val="003B5D38"/>
    <w:rsid w:val="003B5DA9"/>
    <w:rsid w:val="003B5DF0"/>
    <w:rsid w:val="003B5E24"/>
    <w:rsid w:val="003B5E43"/>
    <w:rsid w:val="003B5F39"/>
    <w:rsid w:val="003B5FEA"/>
    <w:rsid w:val="003B602A"/>
    <w:rsid w:val="003B608B"/>
    <w:rsid w:val="003B624E"/>
    <w:rsid w:val="003B62CE"/>
    <w:rsid w:val="003B6446"/>
    <w:rsid w:val="003B644D"/>
    <w:rsid w:val="003B6461"/>
    <w:rsid w:val="003B655E"/>
    <w:rsid w:val="003B65B5"/>
    <w:rsid w:val="003B665D"/>
    <w:rsid w:val="003B691E"/>
    <w:rsid w:val="003B697F"/>
    <w:rsid w:val="003B6AA6"/>
    <w:rsid w:val="003B6B08"/>
    <w:rsid w:val="003B6DB2"/>
    <w:rsid w:val="003B6DB3"/>
    <w:rsid w:val="003B6DBA"/>
    <w:rsid w:val="003B6E2E"/>
    <w:rsid w:val="003B6E3E"/>
    <w:rsid w:val="003B6E89"/>
    <w:rsid w:val="003B6F89"/>
    <w:rsid w:val="003B6FC6"/>
    <w:rsid w:val="003B7082"/>
    <w:rsid w:val="003B7114"/>
    <w:rsid w:val="003B7219"/>
    <w:rsid w:val="003B723B"/>
    <w:rsid w:val="003B72B3"/>
    <w:rsid w:val="003B7310"/>
    <w:rsid w:val="003B742B"/>
    <w:rsid w:val="003B7458"/>
    <w:rsid w:val="003B74C8"/>
    <w:rsid w:val="003B7517"/>
    <w:rsid w:val="003B755C"/>
    <w:rsid w:val="003B762C"/>
    <w:rsid w:val="003B767F"/>
    <w:rsid w:val="003B7681"/>
    <w:rsid w:val="003B76F9"/>
    <w:rsid w:val="003B7757"/>
    <w:rsid w:val="003B7758"/>
    <w:rsid w:val="003B776A"/>
    <w:rsid w:val="003B77CD"/>
    <w:rsid w:val="003B7890"/>
    <w:rsid w:val="003B78A9"/>
    <w:rsid w:val="003B78B0"/>
    <w:rsid w:val="003B792F"/>
    <w:rsid w:val="003B79A2"/>
    <w:rsid w:val="003B7A26"/>
    <w:rsid w:val="003B7A4C"/>
    <w:rsid w:val="003B7B60"/>
    <w:rsid w:val="003B7B84"/>
    <w:rsid w:val="003B7C14"/>
    <w:rsid w:val="003B7CEE"/>
    <w:rsid w:val="003B7DAE"/>
    <w:rsid w:val="003B7FAF"/>
    <w:rsid w:val="003B7FB9"/>
    <w:rsid w:val="003B7FD4"/>
    <w:rsid w:val="003C00F0"/>
    <w:rsid w:val="003C01B2"/>
    <w:rsid w:val="003C01C8"/>
    <w:rsid w:val="003C0214"/>
    <w:rsid w:val="003C0259"/>
    <w:rsid w:val="003C0308"/>
    <w:rsid w:val="003C0385"/>
    <w:rsid w:val="003C04AC"/>
    <w:rsid w:val="003C04C0"/>
    <w:rsid w:val="003C0501"/>
    <w:rsid w:val="003C059A"/>
    <w:rsid w:val="003C060B"/>
    <w:rsid w:val="003C066B"/>
    <w:rsid w:val="003C06B5"/>
    <w:rsid w:val="003C0728"/>
    <w:rsid w:val="003C0810"/>
    <w:rsid w:val="003C089D"/>
    <w:rsid w:val="003C0970"/>
    <w:rsid w:val="003C0A49"/>
    <w:rsid w:val="003C0AB1"/>
    <w:rsid w:val="003C0B8E"/>
    <w:rsid w:val="003C0C38"/>
    <w:rsid w:val="003C0CF5"/>
    <w:rsid w:val="003C0D9E"/>
    <w:rsid w:val="003C0DF9"/>
    <w:rsid w:val="003C0F75"/>
    <w:rsid w:val="003C11FB"/>
    <w:rsid w:val="003C1211"/>
    <w:rsid w:val="003C14EE"/>
    <w:rsid w:val="003C14FA"/>
    <w:rsid w:val="003C1547"/>
    <w:rsid w:val="003C1662"/>
    <w:rsid w:val="003C1729"/>
    <w:rsid w:val="003C1820"/>
    <w:rsid w:val="003C18D0"/>
    <w:rsid w:val="003C19FC"/>
    <w:rsid w:val="003C1A20"/>
    <w:rsid w:val="003C1A29"/>
    <w:rsid w:val="003C1CA0"/>
    <w:rsid w:val="003C1CE7"/>
    <w:rsid w:val="003C1CED"/>
    <w:rsid w:val="003C1FC3"/>
    <w:rsid w:val="003C205B"/>
    <w:rsid w:val="003C20DC"/>
    <w:rsid w:val="003C20F7"/>
    <w:rsid w:val="003C213C"/>
    <w:rsid w:val="003C2244"/>
    <w:rsid w:val="003C2294"/>
    <w:rsid w:val="003C22B8"/>
    <w:rsid w:val="003C2396"/>
    <w:rsid w:val="003C2406"/>
    <w:rsid w:val="003C24A1"/>
    <w:rsid w:val="003C252D"/>
    <w:rsid w:val="003C258A"/>
    <w:rsid w:val="003C25B7"/>
    <w:rsid w:val="003C25BA"/>
    <w:rsid w:val="003C28AA"/>
    <w:rsid w:val="003C28F9"/>
    <w:rsid w:val="003C29A4"/>
    <w:rsid w:val="003C2A45"/>
    <w:rsid w:val="003C2A54"/>
    <w:rsid w:val="003C2B43"/>
    <w:rsid w:val="003C2B99"/>
    <w:rsid w:val="003C2E14"/>
    <w:rsid w:val="003C2E6C"/>
    <w:rsid w:val="003C2EA2"/>
    <w:rsid w:val="003C2F2B"/>
    <w:rsid w:val="003C3139"/>
    <w:rsid w:val="003C3168"/>
    <w:rsid w:val="003C316B"/>
    <w:rsid w:val="003C31F5"/>
    <w:rsid w:val="003C325D"/>
    <w:rsid w:val="003C3299"/>
    <w:rsid w:val="003C3303"/>
    <w:rsid w:val="003C33F2"/>
    <w:rsid w:val="003C34B8"/>
    <w:rsid w:val="003C3542"/>
    <w:rsid w:val="003C3570"/>
    <w:rsid w:val="003C35A7"/>
    <w:rsid w:val="003C35E7"/>
    <w:rsid w:val="003C3724"/>
    <w:rsid w:val="003C37EB"/>
    <w:rsid w:val="003C385E"/>
    <w:rsid w:val="003C3867"/>
    <w:rsid w:val="003C389D"/>
    <w:rsid w:val="003C38AD"/>
    <w:rsid w:val="003C3AB5"/>
    <w:rsid w:val="003C3AE2"/>
    <w:rsid w:val="003C3BE7"/>
    <w:rsid w:val="003C3CAE"/>
    <w:rsid w:val="003C3CC2"/>
    <w:rsid w:val="003C3D28"/>
    <w:rsid w:val="003C3DCD"/>
    <w:rsid w:val="003C3E61"/>
    <w:rsid w:val="003C3E78"/>
    <w:rsid w:val="003C3F8A"/>
    <w:rsid w:val="003C402E"/>
    <w:rsid w:val="003C404F"/>
    <w:rsid w:val="003C406B"/>
    <w:rsid w:val="003C40FC"/>
    <w:rsid w:val="003C4410"/>
    <w:rsid w:val="003C4435"/>
    <w:rsid w:val="003C4465"/>
    <w:rsid w:val="003C4512"/>
    <w:rsid w:val="003C4542"/>
    <w:rsid w:val="003C455A"/>
    <w:rsid w:val="003C46D8"/>
    <w:rsid w:val="003C4726"/>
    <w:rsid w:val="003C4799"/>
    <w:rsid w:val="003C47CC"/>
    <w:rsid w:val="003C49A6"/>
    <w:rsid w:val="003C49C5"/>
    <w:rsid w:val="003C4A66"/>
    <w:rsid w:val="003C4AD3"/>
    <w:rsid w:val="003C4AF8"/>
    <w:rsid w:val="003C4C9A"/>
    <w:rsid w:val="003C4D21"/>
    <w:rsid w:val="003C4D37"/>
    <w:rsid w:val="003C4D76"/>
    <w:rsid w:val="003C4E6A"/>
    <w:rsid w:val="003C4EAB"/>
    <w:rsid w:val="003C4F04"/>
    <w:rsid w:val="003C501E"/>
    <w:rsid w:val="003C5089"/>
    <w:rsid w:val="003C509A"/>
    <w:rsid w:val="003C50CE"/>
    <w:rsid w:val="003C51A5"/>
    <w:rsid w:val="003C52B3"/>
    <w:rsid w:val="003C539E"/>
    <w:rsid w:val="003C53C2"/>
    <w:rsid w:val="003C54F0"/>
    <w:rsid w:val="003C55B8"/>
    <w:rsid w:val="003C56B5"/>
    <w:rsid w:val="003C56B9"/>
    <w:rsid w:val="003C5704"/>
    <w:rsid w:val="003C5755"/>
    <w:rsid w:val="003C5792"/>
    <w:rsid w:val="003C586F"/>
    <w:rsid w:val="003C58EB"/>
    <w:rsid w:val="003C58F9"/>
    <w:rsid w:val="003C5906"/>
    <w:rsid w:val="003C5C19"/>
    <w:rsid w:val="003C5C4B"/>
    <w:rsid w:val="003C5C91"/>
    <w:rsid w:val="003C5CB5"/>
    <w:rsid w:val="003C5E06"/>
    <w:rsid w:val="003C5E72"/>
    <w:rsid w:val="003C5ED6"/>
    <w:rsid w:val="003C5EF4"/>
    <w:rsid w:val="003C5F21"/>
    <w:rsid w:val="003C5FF4"/>
    <w:rsid w:val="003C61DF"/>
    <w:rsid w:val="003C6241"/>
    <w:rsid w:val="003C6271"/>
    <w:rsid w:val="003C633B"/>
    <w:rsid w:val="003C6373"/>
    <w:rsid w:val="003C6417"/>
    <w:rsid w:val="003C64E2"/>
    <w:rsid w:val="003C6599"/>
    <w:rsid w:val="003C65A0"/>
    <w:rsid w:val="003C65DB"/>
    <w:rsid w:val="003C65F3"/>
    <w:rsid w:val="003C661E"/>
    <w:rsid w:val="003C6725"/>
    <w:rsid w:val="003C679D"/>
    <w:rsid w:val="003C690E"/>
    <w:rsid w:val="003C69F8"/>
    <w:rsid w:val="003C6A34"/>
    <w:rsid w:val="003C6A45"/>
    <w:rsid w:val="003C6AAF"/>
    <w:rsid w:val="003C6B1B"/>
    <w:rsid w:val="003C6C27"/>
    <w:rsid w:val="003C6C90"/>
    <w:rsid w:val="003C6CF7"/>
    <w:rsid w:val="003C6E3E"/>
    <w:rsid w:val="003C6F28"/>
    <w:rsid w:val="003C6F59"/>
    <w:rsid w:val="003C6FF1"/>
    <w:rsid w:val="003C7010"/>
    <w:rsid w:val="003C7031"/>
    <w:rsid w:val="003C70BC"/>
    <w:rsid w:val="003C70C3"/>
    <w:rsid w:val="003C70DE"/>
    <w:rsid w:val="003C7323"/>
    <w:rsid w:val="003C73E0"/>
    <w:rsid w:val="003C753E"/>
    <w:rsid w:val="003C7626"/>
    <w:rsid w:val="003C76AB"/>
    <w:rsid w:val="003C787B"/>
    <w:rsid w:val="003C78C0"/>
    <w:rsid w:val="003C7978"/>
    <w:rsid w:val="003C799D"/>
    <w:rsid w:val="003C79F9"/>
    <w:rsid w:val="003C7CC5"/>
    <w:rsid w:val="003C7CE3"/>
    <w:rsid w:val="003C7D2C"/>
    <w:rsid w:val="003C7D52"/>
    <w:rsid w:val="003C7DA9"/>
    <w:rsid w:val="003C7E8F"/>
    <w:rsid w:val="003C7FE6"/>
    <w:rsid w:val="003D018F"/>
    <w:rsid w:val="003D024A"/>
    <w:rsid w:val="003D040F"/>
    <w:rsid w:val="003D04A2"/>
    <w:rsid w:val="003D0589"/>
    <w:rsid w:val="003D0695"/>
    <w:rsid w:val="003D073F"/>
    <w:rsid w:val="003D074A"/>
    <w:rsid w:val="003D076D"/>
    <w:rsid w:val="003D078F"/>
    <w:rsid w:val="003D07CE"/>
    <w:rsid w:val="003D07D4"/>
    <w:rsid w:val="003D07F6"/>
    <w:rsid w:val="003D084E"/>
    <w:rsid w:val="003D0880"/>
    <w:rsid w:val="003D093B"/>
    <w:rsid w:val="003D0948"/>
    <w:rsid w:val="003D0967"/>
    <w:rsid w:val="003D0A0E"/>
    <w:rsid w:val="003D0A31"/>
    <w:rsid w:val="003D0A3F"/>
    <w:rsid w:val="003D0C46"/>
    <w:rsid w:val="003D0C52"/>
    <w:rsid w:val="003D0D20"/>
    <w:rsid w:val="003D0D89"/>
    <w:rsid w:val="003D0DDC"/>
    <w:rsid w:val="003D0E32"/>
    <w:rsid w:val="003D0F7B"/>
    <w:rsid w:val="003D0FB4"/>
    <w:rsid w:val="003D1052"/>
    <w:rsid w:val="003D107F"/>
    <w:rsid w:val="003D10EA"/>
    <w:rsid w:val="003D12DA"/>
    <w:rsid w:val="003D13EF"/>
    <w:rsid w:val="003D154A"/>
    <w:rsid w:val="003D15CA"/>
    <w:rsid w:val="003D1695"/>
    <w:rsid w:val="003D170F"/>
    <w:rsid w:val="003D1839"/>
    <w:rsid w:val="003D1874"/>
    <w:rsid w:val="003D1A70"/>
    <w:rsid w:val="003D1A9C"/>
    <w:rsid w:val="003D1ACB"/>
    <w:rsid w:val="003D1B48"/>
    <w:rsid w:val="003D1B8A"/>
    <w:rsid w:val="003D1C32"/>
    <w:rsid w:val="003D1E56"/>
    <w:rsid w:val="003D1E68"/>
    <w:rsid w:val="003D1EC1"/>
    <w:rsid w:val="003D1F96"/>
    <w:rsid w:val="003D204C"/>
    <w:rsid w:val="003D2251"/>
    <w:rsid w:val="003D2291"/>
    <w:rsid w:val="003D22D6"/>
    <w:rsid w:val="003D234F"/>
    <w:rsid w:val="003D2392"/>
    <w:rsid w:val="003D23D7"/>
    <w:rsid w:val="003D2405"/>
    <w:rsid w:val="003D241D"/>
    <w:rsid w:val="003D24F6"/>
    <w:rsid w:val="003D2526"/>
    <w:rsid w:val="003D25B5"/>
    <w:rsid w:val="003D2654"/>
    <w:rsid w:val="003D2791"/>
    <w:rsid w:val="003D27CA"/>
    <w:rsid w:val="003D2884"/>
    <w:rsid w:val="003D2963"/>
    <w:rsid w:val="003D299F"/>
    <w:rsid w:val="003D29CA"/>
    <w:rsid w:val="003D2A16"/>
    <w:rsid w:val="003D2AE0"/>
    <w:rsid w:val="003D2BE4"/>
    <w:rsid w:val="003D2C6B"/>
    <w:rsid w:val="003D2C71"/>
    <w:rsid w:val="003D2E35"/>
    <w:rsid w:val="003D2E8A"/>
    <w:rsid w:val="003D2F60"/>
    <w:rsid w:val="003D2FD2"/>
    <w:rsid w:val="003D2FDA"/>
    <w:rsid w:val="003D30C8"/>
    <w:rsid w:val="003D30F3"/>
    <w:rsid w:val="003D3281"/>
    <w:rsid w:val="003D32B7"/>
    <w:rsid w:val="003D3361"/>
    <w:rsid w:val="003D33AE"/>
    <w:rsid w:val="003D3427"/>
    <w:rsid w:val="003D342D"/>
    <w:rsid w:val="003D34DF"/>
    <w:rsid w:val="003D350B"/>
    <w:rsid w:val="003D35AE"/>
    <w:rsid w:val="003D3602"/>
    <w:rsid w:val="003D3723"/>
    <w:rsid w:val="003D37AD"/>
    <w:rsid w:val="003D3906"/>
    <w:rsid w:val="003D3A10"/>
    <w:rsid w:val="003D3A49"/>
    <w:rsid w:val="003D3A9F"/>
    <w:rsid w:val="003D3C11"/>
    <w:rsid w:val="003D3D4E"/>
    <w:rsid w:val="003D3DD4"/>
    <w:rsid w:val="003D3E1C"/>
    <w:rsid w:val="003D3E83"/>
    <w:rsid w:val="003D3FB6"/>
    <w:rsid w:val="003D3FEE"/>
    <w:rsid w:val="003D3FFA"/>
    <w:rsid w:val="003D4009"/>
    <w:rsid w:val="003D4010"/>
    <w:rsid w:val="003D4077"/>
    <w:rsid w:val="003D40AA"/>
    <w:rsid w:val="003D40D7"/>
    <w:rsid w:val="003D417E"/>
    <w:rsid w:val="003D4202"/>
    <w:rsid w:val="003D4206"/>
    <w:rsid w:val="003D426F"/>
    <w:rsid w:val="003D436D"/>
    <w:rsid w:val="003D43F2"/>
    <w:rsid w:val="003D4568"/>
    <w:rsid w:val="003D45F8"/>
    <w:rsid w:val="003D45F9"/>
    <w:rsid w:val="003D4618"/>
    <w:rsid w:val="003D4658"/>
    <w:rsid w:val="003D4676"/>
    <w:rsid w:val="003D4754"/>
    <w:rsid w:val="003D486E"/>
    <w:rsid w:val="003D4893"/>
    <w:rsid w:val="003D48A0"/>
    <w:rsid w:val="003D48D8"/>
    <w:rsid w:val="003D4AB2"/>
    <w:rsid w:val="003D4B6A"/>
    <w:rsid w:val="003D4BD0"/>
    <w:rsid w:val="003D4CC1"/>
    <w:rsid w:val="003D4D18"/>
    <w:rsid w:val="003D4D78"/>
    <w:rsid w:val="003D4D93"/>
    <w:rsid w:val="003D4DA7"/>
    <w:rsid w:val="003D4DF7"/>
    <w:rsid w:val="003D4E01"/>
    <w:rsid w:val="003D4ED5"/>
    <w:rsid w:val="003D5033"/>
    <w:rsid w:val="003D510D"/>
    <w:rsid w:val="003D542B"/>
    <w:rsid w:val="003D5433"/>
    <w:rsid w:val="003D548F"/>
    <w:rsid w:val="003D5506"/>
    <w:rsid w:val="003D55C8"/>
    <w:rsid w:val="003D5797"/>
    <w:rsid w:val="003D5845"/>
    <w:rsid w:val="003D58CD"/>
    <w:rsid w:val="003D59C9"/>
    <w:rsid w:val="003D5A50"/>
    <w:rsid w:val="003D5A7F"/>
    <w:rsid w:val="003D5AA7"/>
    <w:rsid w:val="003D5AB7"/>
    <w:rsid w:val="003D5B09"/>
    <w:rsid w:val="003D5C84"/>
    <w:rsid w:val="003D5C88"/>
    <w:rsid w:val="003D5CF2"/>
    <w:rsid w:val="003D5DC5"/>
    <w:rsid w:val="003D5F7C"/>
    <w:rsid w:val="003D5F98"/>
    <w:rsid w:val="003D5FA2"/>
    <w:rsid w:val="003D603F"/>
    <w:rsid w:val="003D616C"/>
    <w:rsid w:val="003D63BE"/>
    <w:rsid w:val="003D6400"/>
    <w:rsid w:val="003D6402"/>
    <w:rsid w:val="003D64A7"/>
    <w:rsid w:val="003D64A9"/>
    <w:rsid w:val="003D64D0"/>
    <w:rsid w:val="003D64D6"/>
    <w:rsid w:val="003D64FC"/>
    <w:rsid w:val="003D6510"/>
    <w:rsid w:val="003D6535"/>
    <w:rsid w:val="003D65DF"/>
    <w:rsid w:val="003D668A"/>
    <w:rsid w:val="003D6865"/>
    <w:rsid w:val="003D68AC"/>
    <w:rsid w:val="003D69AE"/>
    <w:rsid w:val="003D6A4D"/>
    <w:rsid w:val="003D6A6A"/>
    <w:rsid w:val="003D6ACC"/>
    <w:rsid w:val="003D6AEC"/>
    <w:rsid w:val="003D6C30"/>
    <w:rsid w:val="003D6C71"/>
    <w:rsid w:val="003D6CF9"/>
    <w:rsid w:val="003D6D6E"/>
    <w:rsid w:val="003D6DAC"/>
    <w:rsid w:val="003D6DBD"/>
    <w:rsid w:val="003D6E8F"/>
    <w:rsid w:val="003D6EB6"/>
    <w:rsid w:val="003D70BD"/>
    <w:rsid w:val="003D70D2"/>
    <w:rsid w:val="003D7182"/>
    <w:rsid w:val="003D72DE"/>
    <w:rsid w:val="003D7370"/>
    <w:rsid w:val="003D7411"/>
    <w:rsid w:val="003D74EC"/>
    <w:rsid w:val="003D7595"/>
    <w:rsid w:val="003D759D"/>
    <w:rsid w:val="003D7630"/>
    <w:rsid w:val="003D7680"/>
    <w:rsid w:val="003D76C3"/>
    <w:rsid w:val="003D771F"/>
    <w:rsid w:val="003D7732"/>
    <w:rsid w:val="003D7859"/>
    <w:rsid w:val="003D78F3"/>
    <w:rsid w:val="003D790B"/>
    <w:rsid w:val="003D7AF8"/>
    <w:rsid w:val="003D7BA5"/>
    <w:rsid w:val="003D7C19"/>
    <w:rsid w:val="003D7D1B"/>
    <w:rsid w:val="003D7EDB"/>
    <w:rsid w:val="003D7EF2"/>
    <w:rsid w:val="003D7F0E"/>
    <w:rsid w:val="003D7F4E"/>
    <w:rsid w:val="003D7FBE"/>
    <w:rsid w:val="003E0131"/>
    <w:rsid w:val="003E0173"/>
    <w:rsid w:val="003E0196"/>
    <w:rsid w:val="003E0269"/>
    <w:rsid w:val="003E038E"/>
    <w:rsid w:val="003E046A"/>
    <w:rsid w:val="003E04B0"/>
    <w:rsid w:val="003E06DD"/>
    <w:rsid w:val="003E0715"/>
    <w:rsid w:val="003E0820"/>
    <w:rsid w:val="003E084D"/>
    <w:rsid w:val="003E0968"/>
    <w:rsid w:val="003E0B2B"/>
    <w:rsid w:val="003E0BAD"/>
    <w:rsid w:val="003E0C6A"/>
    <w:rsid w:val="003E0C6B"/>
    <w:rsid w:val="003E0D2B"/>
    <w:rsid w:val="003E0FCF"/>
    <w:rsid w:val="003E1006"/>
    <w:rsid w:val="003E10D1"/>
    <w:rsid w:val="003E10D7"/>
    <w:rsid w:val="003E11B1"/>
    <w:rsid w:val="003E1244"/>
    <w:rsid w:val="003E12D9"/>
    <w:rsid w:val="003E144C"/>
    <w:rsid w:val="003E14CE"/>
    <w:rsid w:val="003E154D"/>
    <w:rsid w:val="003E160D"/>
    <w:rsid w:val="003E1613"/>
    <w:rsid w:val="003E168F"/>
    <w:rsid w:val="003E16E5"/>
    <w:rsid w:val="003E170C"/>
    <w:rsid w:val="003E17C2"/>
    <w:rsid w:val="003E185B"/>
    <w:rsid w:val="003E18C3"/>
    <w:rsid w:val="003E1A03"/>
    <w:rsid w:val="003E1A54"/>
    <w:rsid w:val="003E1A9B"/>
    <w:rsid w:val="003E1C3D"/>
    <w:rsid w:val="003E1CB4"/>
    <w:rsid w:val="003E1DE9"/>
    <w:rsid w:val="003E1E5D"/>
    <w:rsid w:val="003E1E60"/>
    <w:rsid w:val="003E1F52"/>
    <w:rsid w:val="003E1FA3"/>
    <w:rsid w:val="003E2083"/>
    <w:rsid w:val="003E2086"/>
    <w:rsid w:val="003E208B"/>
    <w:rsid w:val="003E20AA"/>
    <w:rsid w:val="003E2147"/>
    <w:rsid w:val="003E2153"/>
    <w:rsid w:val="003E2187"/>
    <w:rsid w:val="003E2189"/>
    <w:rsid w:val="003E21A0"/>
    <w:rsid w:val="003E21DA"/>
    <w:rsid w:val="003E2235"/>
    <w:rsid w:val="003E226A"/>
    <w:rsid w:val="003E2295"/>
    <w:rsid w:val="003E236B"/>
    <w:rsid w:val="003E2393"/>
    <w:rsid w:val="003E249D"/>
    <w:rsid w:val="003E25D5"/>
    <w:rsid w:val="003E2604"/>
    <w:rsid w:val="003E2620"/>
    <w:rsid w:val="003E26AD"/>
    <w:rsid w:val="003E2808"/>
    <w:rsid w:val="003E2825"/>
    <w:rsid w:val="003E284B"/>
    <w:rsid w:val="003E290F"/>
    <w:rsid w:val="003E29AA"/>
    <w:rsid w:val="003E2AF1"/>
    <w:rsid w:val="003E2B10"/>
    <w:rsid w:val="003E2B1A"/>
    <w:rsid w:val="003E2B70"/>
    <w:rsid w:val="003E2CAE"/>
    <w:rsid w:val="003E2CFD"/>
    <w:rsid w:val="003E2D4F"/>
    <w:rsid w:val="003E2D83"/>
    <w:rsid w:val="003E2EAE"/>
    <w:rsid w:val="003E325C"/>
    <w:rsid w:val="003E326D"/>
    <w:rsid w:val="003E328A"/>
    <w:rsid w:val="003E3506"/>
    <w:rsid w:val="003E3584"/>
    <w:rsid w:val="003E35AB"/>
    <w:rsid w:val="003E36D7"/>
    <w:rsid w:val="003E37F9"/>
    <w:rsid w:val="003E38B0"/>
    <w:rsid w:val="003E38BD"/>
    <w:rsid w:val="003E39C0"/>
    <w:rsid w:val="003E3A52"/>
    <w:rsid w:val="003E3B5C"/>
    <w:rsid w:val="003E3B62"/>
    <w:rsid w:val="003E3B78"/>
    <w:rsid w:val="003E3B86"/>
    <w:rsid w:val="003E3BA7"/>
    <w:rsid w:val="003E3BF2"/>
    <w:rsid w:val="003E3C35"/>
    <w:rsid w:val="003E3C57"/>
    <w:rsid w:val="003E3C87"/>
    <w:rsid w:val="003E3E29"/>
    <w:rsid w:val="003E3F5F"/>
    <w:rsid w:val="003E403E"/>
    <w:rsid w:val="003E4060"/>
    <w:rsid w:val="003E40A9"/>
    <w:rsid w:val="003E42CB"/>
    <w:rsid w:val="003E43AA"/>
    <w:rsid w:val="003E43DB"/>
    <w:rsid w:val="003E45A4"/>
    <w:rsid w:val="003E45F5"/>
    <w:rsid w:val="003E4609"/>
    <w:rsid w:val="003E469F"/>
    <w:rsid w:val="003E46BE"/>
    <w:rsid w:val="003E46DE"/>
    <w:rsid w:val="003E47D4"/>
    <w:rsid w:val="003E489E"/>
    <w:rsid w:val="003E49A2"/>
    <w:rsid w:val="003E49DA"/>
    <w:rsid w:val="003E4A6A"/>
    <w:rsid w:val="003E4A99"/>
    <w:rsid w:val="003E4C7C"/>
    <w:rsid w:val="003E4CAB"/>
    <w:rsid w:val="003E4F47"/>
    <w:rsid w:val="003E4F4A"/>
    <w:rsid w:val="003E4F74"/>
    <w:rsid w:val="003E507A"/>
    <w:rsid w:val="003E50D9"/>
    <w:rsid w:val="003E5179"/>
    <w:rsid w:val="003E5188"/>
    <w:rsid w:val="003E51A0"/>
    <w:rsid w:val="003E5292"/>
    <w:rsid w:val="003E52BC"/>
    <w:rsid w:val="003E52DC"/>
    <w:rsid w:val="003E52FE"/>
    <w:rsid w:val="003E53C7"/>
    <w:rsid w:val="003E5504"/>
    <w:rsid w:val="003E553E"/>
    <w:rsid w:val="003E558B"/>
    <w:rsid w:val="003E5927"/>
    <w:rsid w:val="003E5A4E"/>
    <w:rsid w:val="003E5AC4"/>
    <w:rsid w:val="003E5B00"/>
    <w:rsid w:val="003E5B5E"/>
    <w:rsid w:val="003E5B7D"/>
    <w:rsid w:val="003E5BE3"/>
    <w:rsid w:val="003E5C11"/>
    <w:rsid w:val="003E5C21"/>
    <w:rsid w:val="003E5C3D"/>
    <w:rsid w:val="003E5C7F"/>
    <w:rsid w:val="003E5C96"/>
    <w:rsid w:val="003E5D01"/>
    <w:rsid w:val="003E5FC1"/>
    <w:rsid w:val="003E60E9"/>
    <w:rsid w:val="003E61A8"/>
    <w:rsid w:val="003E61BF"/>
    <w:rsid w:val="003E6217"/>
    <w:rsid w:val="003E6276"/>
    <w:rsid w:val="003E6378"/>
    <w:rsid w:val="003E63D1"/>
    <w:rsid w:val="003E64A5"/>
    <w:rsid w:val="003E654B"/>
    <w:rsid w:val="003E656D"/>
    <w:rsid w:val="003E658C"/>
    <w:rsid w:val="003E65F9"/>
    <w:rsid w:val="003E6607"/>
    <w:rsid w:val="003E682C"/>
    <w:rsid w:val="003E6870"/>
    <w:rsid w:val="003E68A2"/>
    <w:rsid w:val="003E6960"/>
    <w:rsid w:val="003E69C5"/>
    <w:rsid w:val="003E6A1C"/>
    <w:rsid w:val="003E6B12"/>
    <w:rsid w:val="003E6B30"/>
    <w:rsid w:val="003E6BBA"/>
    <w:rsid w:val="003E6CAD"/>
    <w:rsid w:val="003E6CB5"/>
    <w:rsid w:val="003E6CF2"/>
    <w:rsid w:val="003E6D5F"/>
    <w:rsid w:val="003E6F29"/>
    <w:rsid w:val="003E6FB6"/>
    <w:rsid w:val="003E70C7"/>
    <w:rsid w:val="003E70C9"/>
    <w:rsid w:val="003E71AF"/>
    <w:rsid w:val="003E71D5"/>
    <w:rsid w:val="003E7236"/>
    <w:rsid w:val="003E7252"/>
    <w:rsid w:val="003E7278"/>
    <w:rsid w:val="003E7295"/>
    <w:rsid w:val="003E731B"/>
    <w:rsid w:val="003E746B"/>
    <w:rsid w:val="003E7479"/>
    <w:rsid w:val="003E755E"/>
    <w:rsid w:val="003E7566"/>
    <w:rsid w:val="003E76B0"/>
    <w:rsid w:val="003E7704"/>
    <w:rsid w:val="003E78D0"/>
    <w:rsid w:val="003E78E5"/>
    <w:rsid w:val="003E78FE"/>
    <w:rsid w:val="003E7A2C"/>
    <w:rsid w:val="003E7A37"/>
    <w:rsid w:val="003E7AEB"/>
    <w:rsid w:val="003E7BEE"/>
    <w:rsid w:val="003E7D46"/>
    <w:rsid w:val="003E7D8D"/>
    <w:rsid w:val="003E7E1B"/>
    <w:rsid w:val="003E7E90"/>
    <w:rsid w:val="003E7F00"/>
    <w:rsid w:val="003E7F02"/>
    <w:rsid w:val="003F0047"/>
    <w:rsid w:val="003F0053"/>
    <w:rsid w:val="003F0197"/>
    <w:rsid w:val="003F01A8"/>
    <w:rsid w:val="003F0265"/>
    <w:rsid w:val="003F034B"/>
    <w:rsid w:val="003F03A0"/>
    <w:rsid w:val="003F04E4"/>
    <w:rsid w:val="003F04FB"/>
    <w:rsid w:val="003F0500"/>
    <w:rsid w:val="003F0591"/>
    <w:rsid w:val="003F070F"/>
    <w:rsid w:val="003F07BE"/>
    <w:rsid w:val="003F0A81"/>
    <w:rsid w:val="003F0A83"/>
    <w:rsid w:val="003F0AB0"/>
    <w:rsid w:val="003F0B99"/>
    <w:rsid w:val="003F0C44"/>
    <w:rsid w:val="003F0D5D"/>
    <w:rsid w:val="003F0EB4"/>
    <w:rsid w:val="003F0FD2"/>
    <w:rsid w:val="003F1017"/>
    <w:rsid w:val="003F1029"/>
    <w:rsid w:val="003F1054"/>
    <w:rsid w:val="003F106C"/>
    <w:rsid w:val="003F1226"/>
    <w:rsid w:val="003F1269"/>
    <w:rsid w:val="003F13FC"/>
    <w:rsid w:val="003F145D"/>
    <w:rsid w:val="003F146C"/>
    <w:rsid w:val="003F1478"/>
    <w:rsid w:val="003F151B"/>
    <w:rsid w:val="003F156A"/>
    <w:rsid w:val="003F1599"/>
    <w:rsid w:val="003F165E"/>
    <w:rsid w:val="003F176F"/>
    <w:rsid w:val="003F181B"/>
    <w:rsid w:val="003F1845"/>
    <w:rsid w:val="003F18CC"/>
    <w:rsid w:val="003F1912"/>
    <w:rsid w:val="003F1933"/>
    <w:rsid w:val="003F193E"/>
    <w:rsid w:val="003F197E"/>
    <w:rsid w:val="003F1A59"/>
    <w:rsid w:val="003F1AB6"/>
    <w:rsid w:val="003F1B12"/>
    <w:rsid w:val="003F1B6E"/>
    <w:rsid w:val="003F1B7F"/>
    <w:rsid w:val="003F1B8F"/>
    <w:rsid w:val="003F1BEA"/>
    <w:rsid w:val="003F1C15"/>
    <w:rsid w:val="003F1D17"/>
    <w:rsid w:val="003F1D75"/>
    <w:rsid w:val="003F1DC3"/>
    <w:rsid w:val="003F1E16"/>
    <w:rsid w:val="003F1F90"/>
    <w:rsid w:val="003F1F92"/>
    <w:rsid w:val="003F209F"/>
    <w:rsid w:val="003F20C6"/>
    <w:rsid w:val="003F2135"/>
    <w:rsid w:val="003F2150"/>
    <w:rsid w:val="003F21A3"/>
    <w:rsid w:val="003F21D5"/>
    <w:rsid w:val="003F2210"/>
    <w:rsid w:val="003F22AA"/>
    <w:rsid w:val="003F244A"/>
    <w:rsid w:val="003F245A"/>
    <w:rsid w:val="003F24AD"/>
    <w:rsid w:val="003F2505"/>
    <w:rsid w:val="003F258A"/>
    <w:rsid w:val="003F25A4"/>
    <w:rsid w:val="003F2668"/>
    <w:rsid w:val="003F2698"/>
    <w:rsid w:val="003F273C"/>
    <w:rsid w:val="003F27EF"/>
    <w:rsid w:val="003F297A"/>
    <w:rsid w:val="003F2A60"/>
    <w:rsid w:val="003F2ADD"/>
    <w:rsid w:val="003F2B48"/>
    <w:rsid w:val="003F2CE1"/>
    <w:rsid w:val="003F2D71"/>
    <w:rsid w:val="003F2DB5"/>
    <w:rsid w:val="003F2E07"/>
    <w:rsid w:val="003F2EBE"/>
    <w:rsid w:val="003F2F5D"/>
    <w:rsid w:val="003F2F87"/>
    <w:rsid w:val="003F307E"/>
    <w:rsid w:val="003F329B"/>
    <w:rsid w:val="003F3304"/>
    <w:rsid w:val="003F3344"/>
    <w:rsid w:val="003F33E0"/>
    <w:rsid w:val="003F33EE"/>
    <w:rsid w:val="003F343E"/>
    <w:rsid w:val="003F3456"/>
    <w:rsid w:val="003F3473"/>
    <w:rsid w:val="003F34E6"/>
    <w:rsid w:val="003F3620"/>
    <w:rsid w:val="003F3632"/>
    <w:rsid w:val="003F3663"/>
    <w:rsid w:val="003F3666"/>
    <w:rsid w:val="003F37CE"/>
    <w:rsid w:val="003F37DA"/>
    <w:rsid w:val="003F37EE"/>
    <w:rsid w:val="003F3832"/>
    <w:rsid w:val="003F38E9"/>
    <w:rsid w:val="003F3C00"/>
    <w:rsid w:val="003F3C1E"/>
    <w:rsid w:val="003F3DA9"/>
    <w:rsid w:val="003F3DCC"/>
    <w:rsid w:val="003F3DD4"/>
    <w:rsid w:val="003F3E89"/>
    <w:rsid w:val="003F3F5B"/>
    <w:rsid w:val="003F3FDF"/>
    <w:rsid w:val="003F40B9"/>
    <w:rsid w:val="003F4264"/>
    <w:rsid w:val="003F42A1"/>
    <w:rsid w:val="003F42D8"/>
    <w:rsid w:val="003F4378"/>
    <w:rsid w:val="003F45BC"/>
    <w:rsid w:val="003F48F4"/>
    <w:rsid w:val="003F496E"/>
    <w:rsid w:val="003F49E7"/>
    <w:rsid w:val="003F4B7C"/>
    <w:rsid w:val="003F4BF7"/>
    <w:rsid w:val="003F4C45"/>
    <w:rsid w:val="003F4D49"/>
    <w:rsid w:val="003F4DCA"/>
    <w:rsid w:val="003F4DDE"/>
    <w:rsid w:val="003F4DEC"/>
    <w:rsid w:val="003F4E32"/>
    <w:rsid w:val="003F4E98"/>
    <w:rsid w:val="003F4F1A"/>
    <w:rsid w:val="003F4F51"/>
    <w:rsid w:val="003F4F7E"/>
    <w:rsid w:val="003F506C"/>
    <w:rsid w:val="003F5198"/>
    <w:rsid w:val="003F51B2"/>
    <w:rsid w:val="003F5585"/>
    <w:rsid w:val="003F55F6"/>
    <w:rsid w:val="003F564A"/>
    <w:rsid w:val="003F57BF"/>
    <w:rsid w:val="003F581B"/>
    <w:rsid w:val="003F5863"/>
    <w:rsid w:val="003F587E"/>
    <w:rsid w:val="003F58D9"/>
    <w:rsid w:val="003F599F"/>
    <w:rsid w:val="003F59C7"/>
    <w:rsid w:val="003F59CC"/>
    <w:rsid w:val="003F5A16"/>
    <w:rsid w:val="003F5C98"/>
    <w:rsid w:val="003F5D7C"/>
    <w:rsid w:val="003F5D7D"/>
    <w:rsid w:val="003F5FE0"/>
    <w:rsid w:val="003F604B"/>
    <w:rsid w:val="003F6079"/>
    <w:rsid w:val="003F609E"/>
    <w:rsid w:val="003F60C5"/>
    <w:rsid w:val="003F6194"/>
    <w:rsid w:val="003F6235"/>
    <w:rsid w:val="003F63AA"/>
    <w:rsid w:val="003F63D8"/>
    <w:rsid w:val="003F6414"/>
    <w:rsid w:val="003F642B"/>
    <w:rsid w:val="003F643C"/>
    <w:rsid w:val="003F648C"/>
    <w:rsid w:val="003F655D"/>
    <w:rsid w:val="003F6669"/>
    <w:rsid w:val="003F66AF"/>
    <w:rsid w:val="003F66FC"/>
    <w:rsid w:val="003F6767"/>
    <w:rsid w:val="003F682F"/>
    <w:rsid w:val="003F6847"/>
    <w:rsid w:val="003F687A"/>
    <w:rsid w:val="003F68C0"/>
    <w:rsid w:val="003F6902"/>
    <w:rsid w:val="003F697F"/>
    <w:rsid w:val="003F698D"/>
    <w:rsid w:val="003F6C28"/>
    <w:rsid w:val="003F6C77"/>
    <w:rsid w:val="003F6D93"/>
    <w:rsid w:val="003F6E14"/>
    <w:rsid w:val="003F6EB4"/>
    <w:rsid w:val="003F6FF7"/>
    <w:rsid w:val="003F7088"/>
    <w:rsid w:val="003F7183"/>
    <w:rsid w:val="003F724D"/>
    <w:rsid w:val="003F72A7"/>
    <w:rsid w:val="003F7343"/>
    <w:rsid w:val="003F7364"/>
    <w:rsid w:val="003F73BF"/>
    <w:rsid w:val="003F746A"/>
    <w:rsid w:val="003F74A7"/>
    <w:rsid w:val="003F74DC"/>
    <w:rsid w:val="003F751F"/>
    <w:rsid w:val="003F756B"/>
    <w:rsid w:val="003F7695"/>
    <w:rsid w:val="003F769A"/>
    <w:rsid w:val="003F7746"/>
    <w:rsid w:val="003F777D"/>
    <w:rsid w:val="003F77E1"/>
    <w:rsid w:val="003F780C"/>
    <w:rsid w:val="003F7821"/>
    <w:rsid w:val="003F78F4"/>
    <w:rsid w:val="003F79AF"/>
    <w:rsid w:val="003F79BF"/>
    <w:rsid w:val="003F7A99"/>
    <w:rsid w:val="003F7AC1"/>
    <w:rsid w:val="003F7B8F"/>
    <w:rsid w:val="003F7C34"/>
    <w:rsid w:val="003F7DC1"/>
    <w:rsid w:val="003F7E1A"/>
    <w:rsid w:val="003F7E87"/>
    <w:rsid w:val="003F7EB3"/>
    <w:rsid w:val="003F7F7D"/>
    <w:rsid w:val="003F7FD6"/>
    <w:rsid w:val="003F7FEE"/>
    <w:rsid w:val="00400121"/>
    <w:rsid w:val="00400123"/>
    <w:rsid w:val="0040014A"/>
    <w:rsid w:val="00400179"/>
    <w:rsid w:val="004001BD"/>
    <w:rsid w:val="004001E3"/>
    <w:rsid w:val="004001E4"/>
    <w:rsid w:val="0040029E"/>
    <w:rsid w:val="004002D5"/>
    <w:rsid w:val="00400308"/>
    <w:rsid w:val="0040034E"/>
    <w:rsid w:val="004003BC"/>
    <w:rsid w:val="004003C3"/>
    <w:rsid w:val="00400440"/>
    <w:rsid w:val="00400487"/>
    <w:rsid w:val="00400533"/>
    <w:rsid w:val="00400553"/>
    <w:rsid w:val="00400580"/>
    <w:rsid w:val="004005CE"/>
    <w:rsid w:val="004005FE"/>
    <w:rsid w:val="0040065E"/>
    <w:rsid w:val="004006A1"/>
    <w:rsid w:val="004007E4"/>
    <w:rsid w:val="004008F9"/>
    <w:rsid w:val="00400921"/>
    <w:rsid w:val="0040097F"/>
    <w:rsid w:val="00400B0D"/>
    <w:rsid w:val="00400BA6"/>
    <w:rsid w:val="00400BB5"/>
    <w:rsid w:val="00400BEA"/>
    <w:rsid w:val="00400E3B"/>
    <w:rsid w:val="00400E8E"/>
    <w:rsid w:val="00400EC1"/>
    <w:rsid w:val="00400F1F"/>
    <w:rsid w:val="00401062"/>
    <w:rsid w:val="004010BE"/>
    <w:rsid w:val="00401164"/>
    <w:rsid w:val="0040127A"/>
    <w:rsid w:val="00401364"/>
    <w:rsid w:val="0040137B"/>
    <w:rsid w:val="004014BC"/>
    <w:rsid w:val="004014BD"/>
    <w:rsid w:val="00401503"/>
    <w:rsid w:val="00401548"/>
    <w:rsid w:val="00401631"/>
    <w:rsid w:val="004016D3"/>
    <w:rsid w:val="004016EA"/>
    <w:rsid w:val="00401752"/>
    <w:rsid w:val="0040175A"/>
    <w:rsid w:val="004017EA"/>
    <w:rsid w:val="004018D4"/>
    <w:rsid w:val="0040195C"/>
    <w:rsid w:val="00401A68"/>
    <w:rsid w:val="00401B43"/>
    <w:rsid w:val="00401BC6"/>
    <w:rsid w:val="00401C4D"/>
    <w:rsid w:val="00401C57"/>
    <w:rsid w:val="00401DD7"/>
    <w:rsid w:val="00401E2D"/>
    <w:rsid w:val="00401EEF"/>
    <w:rsid w:val="00401F3C"/>
    <w:rsid w:val="00401FAB"/>
    <w:rsid w:val="004020EA"/>
    <w:rsid w:val="004020F4"/>
    <w:rsid w:val="00402103"/>
    <w:rsid w:val="00402288"/>
    <w:rsid w:val="004022F4"/>
    <w:rsid w:val="00402695"/>
    <w:rsid w:val="004026A8"/>
    <w:rsid w:val="0040278E"/>
    <w:rsid w:val="00402887"/>
    <w:rsid w:val="00402906"/>
    <w:rsid w:val="00402948"/>
    <w:rsid w:val="00402A55"/>
    <w:rsid w:val="00402A56"/>
    <w:rsid w:val="00402B6D"/>
    <w:rsid w:val="00402BC2"/>
    <w:rsid w:val="00402C3F"/>
    <w:rsid w:val="00402D72"/>
    <w:rsid w:val="00402DCA"/>
    <w:rsid w:val="00402E27"/>
    <w:rsid w:val="00402EA3"/>
    <w:rsid w:val="00403159"/>
    <w:rsid w:val="00403287"/>
    <w:rsid w:val="004032C0"/>
    <w:rsid w:val="004032D9"/>
    <w:rsid w:val="004033CD"/>
    <w:rsid w:val="00403445"/>
    <w:rsid w:val="004034CB"/>
    <w:rsid w:val="004035F9"/>
    <w:rsid w:val="0040361E"/>
    <w:rsid w:val="004036F5"/>
    <w:rsid w:val="0040383C"/>
    <w:rsid w:val="00403980"/>
    <w:rsid w:val="00403A1D"/>
    <w:rsid w:val="00403A32"/>
    <w:rsid w:val="00403A71"/>
    <w:rsid w:val="00403A78"/>
    <w:rsid w:val="00403AAA"/>
    <w:rsid w:val="00403ACE"/>
    <w:rsid w:val="00403BD1"/>
    <w:rsid w:val="00403C67"/>
    <w:rsid w:val="00403C79"/>
    <w:rsid w:val="00403D7B"/>
    <w:rsid w:val="00403E38"/>
    <w:rsid w:val="00403E3C"/>
    <w:rsid w:val="00403E7F"/>
    <w:rsid w:val="00403F35"/>
    <w:rsid w:val="00403F49"/>
    <w:rsid w:val="00403FD7"/>
    <w:rsid w:val="00403FE7"/>
    <w:rsid w:val="00403FF2"/>
    <w:rsid w:val="00404061"/>
    <w:rsid w:val="00404204"/>
    <w:rsid w:val="00404259"/>
    <w:rsid w:val="00404334"/>
    <w:rsid w:val="004043AB"/>
    <w:rsid w:val="004043C2"/>
    <w:rsid w:val="00404544"/>
    <w:rsid w:val="00404594"/>
    <w:rsid w:val="004046D1"/>
    <w:rsid w:val="00404848"/>
    <w:rsid w:val="004048F9"/>
    <w:rsid w:val="0040495D"/>
    <w:rsid w:val="004049ED"/>
    <w:rsid w:val="004049FC"/>
    <w:rsid w:val="00404A5E"/>
    <w:rsid w:val="00404A73"/>
    <w:rsid w:val="00404ACF"/>
    <w:rsid w:val="00404AD3"/>
    <w:rsid w:val="00404BBA"/>
    <w:rsid w:val="00404C58"/>
    <w:rsid w:val="00404CC7"/>
    <w:rsid w:val="00404D0D"/>
    <w:rsid w:val="00404D50"/>
    <w:rsid w:val="00404DCB"/>
    <w:rsid w:val="00404E53"/>
    <w:rsid w:val="00404F8C"/>
    <w:rsid w:val="00405016"/>
    <w:rsid w:val="00405023"/>
    <w:rsid w:val="00405044"/>
    <w:rsid w:val="00405062"/>
    <w:rsid w:val="0040509D"/>
    <w:rsid w:val="00405166"/>
    <w:rsid w:val="004051FB"/>
    <w:rsid w:val="004052A4"/>
    <w:rsid w:val="004055BE"/>
    <w:rsid w:val="004055DF"/>
    <w:rsid w:val="0040568E"/>
    <w:rsid w:val="00405695"/>
    <w:rsid w:val="00405723"/>
    <w:rsid w:val="0040572C"/>
    <w:rsid w:val="0040581F"/>
    <w:rsid w:val="00405869"/>
    <w:rsid w:val="00405894"/>
    <w:rsid w:val="00405907"/>
    <w:rsid w:val="0040593D"/>
    <w:rsid w:val="0040598A"/>
    <w:rsid w:val="004059AB"/>
    <w:rsid w:val="004059B7"/>
    <w:rsid w:val="004059EC"/>
    <w:rsid w:val="004059FF"/>
    <w:rsid w:val="00405B86"/>
    <w:rsid w:val="00405BC6"/>
    <w:rsid w:val="00405D3A"/>
    <w:rsid w:val="00405D70"/>
    <w:rsid w:val="00405E51"/>
    <w:rsid w:val="00405F17"/>
    <w:rsid w:val="00405F3E"/>
    <w:rsid w:val="00406047"/>
    <w:rsid w:val="004060B2"/>
    <w:rsid w:val="004060C7"/>
    <w:rsid w:val="0040621A"/>
    <w:rsid w:val="0040624C"/>
    <w:rsid w:val="00406333"/>
    <w:rsid w:val="004063A2"/>
    <w:rsid w:val="00406479"/>
    <w:rsid w:val="004064BF"/>
    <w:rsid w:val="004064CC"/>
    <w:rsid w:val="004064E0"/>
    <w:rsid w:val="00406705"/>
    <w:rsid w:val="004067BE"/>
    <w:rsid w:val="004068C2"/>
    <w:rsid w:val="004068D6"/>
    <w:rsid w:val="004068E8"/>
    <w:rsid w:val="00406942"/>
    <w:rsid w:val="00406993"/>
    <w:rsid w:val="00406A17"/>
    <w:rsid w:val="00406A28"/>
    <w:rsid w:val="00406A4F"/>
    <w:rsid w:val="00406A70"/>
    <w:rsid w:val="00406AA9"/>
    <w:rsid w:val="00406ADB"/>
    <w:rsid w:val="00406AF9"/>
    <w:rsid w:val="00406B92"/>
    <w:rsid w:val="00406C19"/>
    <w:rsid w:val="00406C88"/>
    <w:rsid w:val="00406D3F"/>
    <w:rsid w:val="00406D53"/>
    <w:rsid w:val="00406DBD"/>
    <w:rsid w:val="00406E53"/>
    <w:rsid w:val="00406E94"/>
    <w:rsid w:val="00406F90"/>
    <w:rsid w:val="0040708A"/>
    <w:rsid w:val="0040717F"/>
    <w:rsid w:val="0040724E"/>
    <w:rsid w:val="0040740C"/>
    <w:rsid w:val="004074B8"/>
    <w:rsid w:val="00407733"/>
    <w:rsid w:val="00407919"/>
    <w:rsid w:val="00407B8B"/>
    <w:rsid w:val="00407BCA"/>
    <w:rsid w:val="00407BDE"/>
    <w:rsid w:val="00407C8B"/>
    <w:rsid w:val="00407D4E"/>
    <w:rsid w:val="00407D59"/>
    <w:rsid w:val="00407F04"/>
    <w:rsid w:val="00407F9E"/>
    <w:rsid w:val="00410075"/>
    <w:rsid w:val="004101B9"/>
    <w:rsid w:val="00410410"/>
    <w:rsid w:val="00410439"/>
    <w:rsid w:val="004104CB"/>
    <w:rsid w:val="004104CD"/>
    <w:rsid w:val="00410553"/>
    <w:rsid w:val="004105AD"/>
    <w:rsid w:val="004105EA"/>
    <w:rsid w:val="004106F4"/>
    <w:rsid w:val="004107EF"/>
    <w:rsid w:val="00410897"/>
    <w:rsid w:val="004108F7"/>
    <w:rsid w:val="00410914"/>
    <w:rsid w:val="00410929"/>
    <w:rsid w:val="00410B4E"/>
    <w:rsid w:val="00410B5D"/>
    <w:rsid w:val="00410BA1"/>
    <w:rsid w:val="00410D0F"/>
    <w:rsid w:val="00410D22"/>
    <w:rsid w:val="00410D46"/>
    <w:rsid w:val="00410D4C"/>
    <w:rsid w:val="00410E83"/>
    <w:rsid w:val="00410F3D"/>
    <w:rsid w:val="00410F7F"/>
    <w:rsid w:val="00411090"/>
    <w:rsid w:val="004110CC"/>
    <w:rsid w:val="004111C1"/>
    <w:rsid w:val="004112B8"/>
    <w:rsid w:val="004114DB"/>
    <w:rsid w:val="004114F4"/>
    <w:rsid w:val="004116D0"/>
    <w:rsid w:val="00411723"/>
    <w:rsid w:val="00411729"/>
    <w:rsid w:val="00411876"/>
    <w:rsid w:val="004118D9"/>
    <w:rsid w:val="00411986"/>
    <w:rsid w:val="00411A99"/>
    <w:rsid w:val="00411B7C"/>
    <w:rsid w:val="00411B7E"/>
    <w:rsid w:val="00411BCA"/>
    <w:rsid w:val="00411C9F"/>
    <w:rsid w:val="00411CAA"/>
    <w:rsid w:val="00411D08"/>
    <w:rsid w:val="00411D70"/>
    <w:rsid w:val="00412075"/>
    <w:rsid w:val="0041218F"/>
    <w:rsid w:val="00412214"/>
    <w:rsid w:val="00412236"/>
    <w:rsid w:val="004122C4"/>
    <w:rsid w:val="00412415"/>
    <w:rsid w:val="004125B9"/>
    <w:rsid w:val="00412724"/>
    <w:rsid w:val="0041272B"/>
    <w:rsid w:val="0041279A"/>
    <w:rsid w:val="00412875"/>
    <w:rsid w:val="00412A2B"/>
    <w:rsid w:val="00412AC5"/>
    <w:rsid w:val="00412CB2"/>
    <w:rsid w:val="00412CCE"/>
    <w:rsid w:val="00412E6B"/>
    <w:rsid w:val="00412EE5"/>
    <w:rsid w:val="00412F88"/>
    <w:rsid w:val="00412FDE"/>
    <w:rsid w:val="00412FEE"/>
    <w:rsid w:val="004130C2"/>
    <w:rsid w:val="00413102"/>
    <w:rsid w:val="0041312E"/>
    <w:rsid w:val="00413261"/>
    <w:rsid w:val="004132EA"/>
    <w:rsid w:val="0041344B"/>
    <w:rsid w:val="004134B0"/>
    <w:rsid w:val="004135AB"/>
    <w:rsid w:val="0041364E"/>
    <w:rsid w:val="00413698"/>
    <w:rsid w:val="00413704"/>
    <w:rsid w:val="004138AC"/>
    <w:rsid w:val="004138FA"/>
    <w:rsid w:val="00413950"/>
    <w:rsid w:val="004139E5"/>
    <w:rsid w:val="00413B28"/>
    <w:rsid w:val="00413BEC"/>
    <w:rsid w:val="00413CB5"/>
    <w:rsid w:val="00413D7C"/>
    <w:rsid w:val="00413DDB"/>
    <w:rsid w:val="00413E09"/>
    <w:rsid w:val="00413E1C"/>
    <w:rsid w:val="00413F1B"/>
    <w:rsid w:val="00414006"/>
    <w:rsid w:val="0041402B"/>
    <w:rsid w:val="004140A6"/>
    <w:rsid w:val="00414203"/>
    <w:rsid w:val="00414220"/>
    <w:rsid w:val="00414255"/>
    <w:rsid w:val="004142C0"/>
    <w:rsid w:val="0041432C"/>
    <w:rsid w:val="00414352"/>
    <w:rsid w:val="00414364"/>
    <w:rsid w:val="004143CB"/>
    <w:rsid w:val="0041449E"/>
    <w:rsid w:val="004144BB"/>
    <w:rsid w:val="004144F9"/>
    <w:rsid w:val="0041453B"/>
    <w:rsid w:val="00414634"/>
    <w:rsid w:val="00414736"/>
    <w:rsid w:val="00414749"/>
    <w:rsid w:val="0041474D"/>
    <w:rsid w:val="00414947"/>
    <w:rsid w:val="00414A6D"/>
    <w:rsid w:val="00414B1B"/>
    <w:rsid w:val="00414B30"/>
    <w:rsid w:val="00414BDF"/>
    <w:rsid w:val="00414C0D"/>
    <w:rsid w:val="00414C62"/>
    <w:rsid w:val="00414CD6"/>
    <w:rsid w:val="00414D65"/>
    <w:rsid w:val="00414D94"/>
    <w:rsid w:val="00414F11"/>
    <w:rsid w:val="00414F4A"/>
    <w:rsid w:val="00414F93"/>
    <w:rsid w:val="0041501C"/>
    <w:rsid w:val="0041501F"/>
    <w:rsid w:val="00415075"/>
    <w:rsid w:val="004152BB"/>
    <w:rsid w:val="00415305"/>
    <w:rsid w:val="00415357"/>
    <w:rsid w:val="00415377"/>
    <w:rsid w:val="004153B6"/>
    <w:rsid w:val="004153F2"/>
    <w:rsid w:val="004153FC"/>
    <w:rsid w:val="004154EF"/>
    <w:rsid w:val="0041556B"/>
    <w:rsid w:val="004155CF"/>
    <w:rsid w:val="00415620"/>
    <w:rsid w:val="004156C1"/>
    <w:rsid w:val="00415710"/>
    <w:rsid w:val="00415748"/>
    <w:rsid w:val="0041592B"/>
    <w:rsid w:val="004159AF"/>
    <w:rsid w:val="00415A08"/>
    <w:rsid w:val="00415A5A"/>
    <w:rsid w:val="00415ADA"/>
    <w:rsid w:val="00415B52"/>
    <w:rsid w:val="00415B81"/>
    <w:rsid w:val="00415B89"/>
    <w:rsid w:val="00415B8C"/>
    <w:rsid w:val="00415CDA"/>
    <w:rsid w:val="00415DC9"/>
    <w:rsid w:val="00415DD5"/>
    <w:rsid w:val="00415FA3"/>
    <w:rsid w:val="00416010"/>
    <w:rsid w:val="00416028"/>
    <w:rsid w:val="0041619F"/>
    <w:rsid w:val="004161E0"/>
    <w:rsid w:val="00416250"/>
    <w:rsid w:val="004162CD"/>
    <w:rsid w:val="00416411"/>
    <w:rsid w:val="0041642C"/>
    <w:rsid w:val="00416442"/>
    <w:rsid w:val="0041645E"/>
    <w:rsid w:val="004164AC"/>
    <w:rsid w:val="004165B2"/>
    <w:rsid w:val="004165D8"/>
    <w:rsid w:val="004165E2"/>
    <w:rsid w:val="0041680D"/>
    <w:rsid w:val="00416827"/>
    <w:rsid w:val="004168F9"/>
    <w:rsid w:val="0041692D"/>
    <w:rsid w:val="004169BB"/>
    <w:rsid w:val="00416A79"/>
    <w:rsid w:val="00416AA4"/>
    <w:rsid w:val="00416AB5"/>
    <w:rsid w:val="00416BB5"/>
    <w:rsid w:val="00416BDE"/>
    <w:rsid w:val="00416C7E"/>
    <w:rsid w:val="00416D5D"/>
    <w:rsid w:val="00416E42"/>
    <w:rsid w:val="00416EC7"/>
    <w:rsid w:val="00416FE6"/>
    <w:rsid w:val="00416FED"/>
    <w:rsid w:val="0041704D"/>
    <w:rsid w:val="00417062"/>
    <w:rsid w:val="00417187"/>
    <w:rsid w:val="004172B7"/>
    <w:rsid w:val="004172F1"/>
    <w:rsid w:val="0041736D"/>
    <w:rsid w:val="0041739B"/>
    <w:rsid w:val="0041748D"/>
    <w:rsid w:val="00417585"/>
    <w:rsid w:val="00417588"/>
    <w:rsid w:val="0041760E"/>
    <w:rsid w:val="00417891"/>
    <w:rsid w:val="004178FC"/>
    <w:rsid w:val="00417A2A"/>
    <w:rsid w:val="00417B1D"/>
    <w:rsid w:val="00417B48"/>
    <w:rsid w:val="00417C88"/>
    <w:rsid w:val="00417D03"/>
    <w:rsid w:val="00417F97"/>
    <w:rsid w:val="00417FF2"/>
    <w:rsid w:val="004200D3"/>
    <w:rsid w:val="004200EC"/>
    <w:rsid w:val="0042023E"/>
    <w:rsid w:val="0042025E"/>
    <w:rsid w:val="00420353"/>
    <w:rsid w:val="00420361"/>
    <w:rsid w:val="004203FC"/>
    <w:rsid w:val="0042053C"/>
    <w:rsid w:val="004206B3"/>
    <w:rsid w:val="00420736"/>
    <w:rsid w:val="00420901"/>
    <w:rsid w:val="00420902"/>
    <w:rsid w:val="00420964"/>
    <w:rsid w:val="00420978"/>
    <w:rsid w:val="00420EB0"/>
    <w:rsid w:val="00420ED5"/>
    <w:rsid w:val="00420F28"/>
    <w:rsid w:val="00420F33"/>
    <w:rsid w:val="00420FE3"/>
    <w:rsid w:val="004212FB"/>
    <w:rsid w:val="00421316"/>
    <w:rsid w:val="0042138D"/>
    <w:rsid w:val="0042151B"/>
    <w:rsid w:val="00421556"/>
    <w:rsid w:val="00421567"/>
    <w:rsid w:val="004215F8"/>
    <w:rsid w:val="00421631"/>
    <w:rsid w:val="00421647"/>
    <w:rsid w:val="004217E1"/>
    <w:rsid w:val="00421830"/>
    <w:rsid w:val="004218AC"/>
    <w:rsid w:val="004219B6"/>
    <w:rsid w:val="00421AA6"/>
    <w:rsid w:val="00421B87"/>
    <w:rsid w:val="00421BB9"/>
    <w:rsid w:val="00421C5C"/>
    <w:rsid w:val="00421C95"/>
    <w:rsid w:val="00421CA1"/>
    <w:rsid w:val="00421CDA"/>
    <w:rsid w:val="00421D11"/>
    <w:rsid w:val="00421D48"/>
    <w:rsid w:val="00421DC8"/>
    <w:rsid w:val="00421E08"/>
    <w:rsid w:val="00421E7E"/>
    <w:rsid w:val="00421F2E"/>
    <w:rsid w:val="0042201F"/>
    <w:rsid w:val="00422132"/>
    <w:rsid w:val="004221CB"/>
    <w:rsid w:val="00422336"/>
    <w:rsid w:val="0042239A"/>
    <w:rsid w:val="00422566"/>
    <w:rsid w:val="00422651"/>
    <w:rsid w:val="00422672"/>
    <w:rsid w:val="0042269A"/>
    <w:rsid w:val="00422784"/>
    <w:rsid w:val="004227AD"/>
    <w:rsid w:val="00422843"/>
    <w:rsid w:val="00422852"/>
    <w:rsid w:val="0042297F"/>
    <w:rsid w:val="00422986"/>
    <w:rsid w:val="004229F7"/>
    <w:rsid w:val="00422B1D"/>
    <w:rsid w:val="00422B6A"/>
    <w:rsid w:val="00422C65"/>
    <w:rsid w:val="00422C82"/>
    <w:rsid w:val="00422E9B"/>
    <w:rsid w:val="004230AE"/>
    <w:rsid w:val="0042311F"/>
    <w:rsid w:val="00423175"/>
    <w:rsid w:val="0042334F"/>
    <w:rsid w:val="00423364"/>
    <w:rsid w:val="0042344B"/>
    <w:rsid w:val="004234D2"/>
    <w:rsid w:val="00423562"/>
    <w:rsid w:val="00423580"/>
    <w:rsid w:val="004235B6"/>
    <w:rsid w:val="004236EB"/>
    <w:rsid w:val="00423700"/>
    <w:rsid w:val="004237BE"/>
    <w:rsid w:val="00423835"/>
    <w:rsid w:val="004239B7"/>
    <w:rsid w:val="004239F9"/>
    <w:rsid w:val="00423ACC"/>
    <w:rsid w:val="00423CC4"/>
    <w:rsid w:val="00423D32"/>
    <w:rsid w:val="00423F39"/>
    <w:rsid w:val="00423F9D"/>
    <w:rsid w:val="0042403A"/>
    <w:rsid w:val="004240DC"/>
    <w:rsid w:val="0042416D"/>
    <w:rsid w:val="004241A2"/>
    <w:rsid w:val="004241AA"/>
    <w:rsid w:val="004241D8"/>
    <w:rsid w:val="004241FC"/>
    <w:rsid w:val="004242ED"/>
    <w:rsid w:val="00424358"/>
    <w:rsid w:val="004243AF"/>
    <w:rsid w:val="0042441A"/>
    <w:rsid w:val="00424455"/>
    <w:rsid w:val="00424537"/>
    <w:rsid w:val="004245D2"/>
    <w:rsid w:val="00424612"/>
    <w:rsid w:val="004246A9"/>
    <w:rsid w:val="00424730"/>
    <w:rsid w:val="0042480D"/>
    <w:rsid w:val="00424914"/>
    <w:rsid w:val="0042499D"/>
    <w:rsid w:val="00424ADC"/>
    <w:rsid w:val="00424BD1"/>
    <w:rsid w:val="00424BE7"/>
    <w:rsid w:val="00424C2B"/>
    <w:rsid w:val="00424C97"/>
    <w:rsid w:val="00424E48"/>
    <w:rsid w:val="00424E7B"/>
    <w:rsid w:val="00424EDC"/>
    <w:rsid w:val="0042548A"/>
    <w:rsid w:val="004254B3"/>
    <w:rsid w:val="00425547"/>
    <w:rsid w:val="00425570"/>
    <w:rsid w:val="004255C0"/>
    <w:rsid w:val="004255F9"/>
    <w:rsid w:val="00425623"/>
    <w:rsid w:val="00425674"/>
    <w:rsid w:val="00425686"/>
    <w:rsid w:val="0042578A"/>
    <w:rsid w:val="004257C5"/>
    <w:rsid w:val="0042596E"/>
    <w:rsid w:val="004259A6"/>
    <w:rsid w:val="00425B82"/>
    <w:rsid w:val="00425BA5"/>
    <w:rsid w:val="00425BD9"/>
    <w:rsid w:val="00425C5F"/>
    <w:rsid w:val="00425C75"/>
    <w:rsid w:val="00425CA9"/>
    <w:rsid w:val="00425D54"/>
    <w:rsid w:val="00425DA9"/>
    <w:rsid w:val="00425E2B"/>
    <w:rsid w:val="00425EB6"/>
    <w:rsid w:val="00425F2B"/>
    <w:rsid w:val="00425F31"/>
    <w:rsid w:val="00425F96"/>
    <w:rsid w:val="00425FD0"/>
    <w:rsid w:val="00426022"/>
    <w:rsid w:val="00426082"/>
    <w:rsid w:val="0042608B"/>
    <w:rsid w:val="00426094"/>
    <w:rsid w:val="004260C0"/>
    <w:rsid w:val="00426267"/>
    <w:rsid w:val="00426276"/>
    <w:rsid w:val="004262AF"/>
    <w:rsid w:val="0042633C"/>
    <w:rsid w:val="00426366"/>
    <w:rsid w:val="0042639F"/>
    <w:rsid w:val="004263BB"/>
    <w:rsid w:val="004263D8"/>
    <w:rsid w:val="00426602"/>
    <w:rsid w:val="00426637"/>
    <w:rsid w:val="0042666C"/>
    <w:rsid w:val="0042677C"/>
    <w:rsid w:val="004267A2"/>
    <w:rsid w:val="004267D4"/>
    <w:rsid w:val="00426829"/>
    <w:rsid w:val="004268A0"/>
    <w:rsid w:val="004268F2"/>
    <w:rsid w:val="0042693E"/>
    <w:rsid w:val="0042694E"/>
    <w:rsid w:val="00426964"/>
    <w:rsid w:val="004269FF"/>
    <w:rsid w:val="00426B01"/>
    <w:rsid w:val="00426BAA"/>
    <w:rsid w:val="00426BD7"/>
    <w:rsid w:val="00426BDB"/>
    <w:rsid w:val="00426D04"/>
    <w:rsid w:val="00426D8A"/>
    <w:rsid w:val="00426E85"/>
    <w:rsid w:val="00426F67"/>
    <w:rsid w:val="00426FED"/>
    <w:rsid w:val="00427053"/>
    <w:rsid w:val="00427074"/>
    <w:rsid w:val="0042707A"/>
    <w:rsid w:val="0042710E"/>
    <w:rsid w:val="00427110"/>
    <w:rsid w:val="00427236"/>
    <w:rsid w:val="00427502"/>
    <w:rsid w:val="00427660"/>
    <w:rsid w:val="00427716"/>
    <w:rsid w:val="004277F3"/>
    <w:rsid w:val="0042780C"/>
    <w:rsid w:val="0042796C"/>
    <w:rsid w:val="0042798C"/>
    <w:rsid w:val="00427BCC"/>
    <w:rsid w:val="00427C38"/>
    <w:rsid w:val="00427C93"/>
    <w:rsid w:val="00427CFA"/>
    <w:rsid w:val="00427D45"/>
    <w:rsid w:val="00427FAC"/>
    <w:rsid w:val="00430033"/>
    <w:rsid w:val="0043004D"/>
    <w:rsid w:val="0043020B"/>
    <w:rsid w:val="0043029C"/>
    <w:rsid w:val="004302AB"/>
    <w:rsid w:val="004302F7"/>
    <w:rsid w:val="00430312"/>
    <w:rsid w:val="00430335"/>
    <w:rsid w:val="0043037B"/>
    <w:rsid w:val="00430387"/>
    <w:rsid w:val="004303B2"/>
    <w:rsid w:val="00430402"/>
    <w:rsid w:val="0043045D"/>
    <w:rsid w:val="0043048F"/>
    <w:rsid w:val="00430562"/>
    <w:rsid w:val="004305A5"/>
    <w:rsid w:val="004305A8"/>
    <w:rsid w:val="0043063D"/>
    <w:rsid w:val="004306E9"/>
    <w:rsid w:val="004307BA"/>
    <w:rsid w:val="004307DE"/>
    <w:rsid w:val="00430855"/>
    <w:rsid w:val="0043085C"/>
    <w:rsid w:val="0043092A"/>
    <w:rsid w:val="00430979"/>
    <w:rsid w:val="00430AB2"/>
    <w:rsid w:val="00430B32"/>
    <w:rsid w:val="00430C13"/>
    <w:rsid w:val="00430E97"/>
    <w:rsid w:val="00430EFE"/>
    <w:rsid w:val="00430FBC"/>
    <w:rsid w:val="00431040"/>
    <w:rsid w:val="004310A0"/>
    <w:rsid w:val="00431106"/>
    <w:rsid w:val="00431118"/>
    <w:rsid w:val="0043113C"/>
    <w:rsid w:val="004312A3"/>
    <w:rsid w:val="00431300"/>
    <w:rsid w:val="0043132E"/>
    <w:rsid w:val="004313EB"/>
    <w:rsid w:val="0043161F"/>
    <w:rsid w:val="0043176F"/>
    <w:rsid w:val="004317BA"/>
    <w:rsid w:val="004318BF"/>
    <w:rsid w:val="0043195A"/>
    <w:rsid w:val="004319C9"/>
    <w:rsid w:val="00431A27"/>
    <w:rsid w:val="00431ACF"/>
    <w:rsid w:val="00431C67"/>
    <w:rsid w:val="00431C8F"/>
    <w:rsid w:val="00431E1D"/>
    <w:rsid w:val="00431E88"/>
    <w:rsid w:val="00431ED3"/>
    <w:rsid w:val="00431F23"/>
    <w:rsid w:val="00431FBC"/>
    <w:rsid w:val="00432204"/>
    <w:rsid w:val="00432209"/>
    <w:rsid w:val="00432263"/>
    <w:rsid w:val="0043228C"/>
    <w:rsid w:val="004322CB"/>
    <w:rsid w:val="00432340"/>
    <w:rsid w:val="00432376"/>
    <w:rsid w:val="0043249D"/>
    <w:rsid w:val="004325A5"/>
    <w:rsid w:val="0043266B"/>
    <w:rsid w:val="00432690"/>
    <w:rsid w:val="004327F7"/>
    <w:rsid w:val="004328A0"/>
    <w:rsid w:val="0043291C"/>
    <w:rsid w:val="00432984"/>
    <w:rsid w:val="00432A6D"/>
    <w:rsid w:val="00432A99"/>
    <w:rsid w:val="00432AD8"/>
    <w:rsid w:val="00432B12"/>
    <w:rsid w:val="00432B8C"/>
    <w:rsid w:val="00432CE5"/>
    <w:rsid w:val="00432DF0"/>
    <w:rsid w:val="00432E32"/>
    <w:rsid w:val="00432EB7"/>
    <w:rsid w:val="00432EF4"/>
    <w:rsid w:val="00432F18"/>
    <w:rsid w:val="00432F6E"/>
    <w:rsid w:val="00432F9A"/>
    <w:rsid w:val="00432FD3"/>
    <w:rsid w:val="00433096"/>
    <w:rsid w:val="0043334B"/>
    <w:rsid w:val="004333E3"/>
    <w:rsid w:val="0043340F"/>
    <w:rsid w:val="00433425"/>
    <w:rsid w:val="00433428"/>
    <w:rsid w:val="00433429"/>
    <w:rsid w:val="0043343B"/>
    <w:rsid w:val="0043346D"/>
    <w:rsid w:val="004334DE"/>
    <w:rsid w:val="004334EB"/>
    <w:rsid w:val="00433703"/>
    <w:rsid w:val="004337A0"/>
    <w:rsid w:val="004337BB"/>
    <w:rsid w:val="004337C4"/>
    <w:rsid w:val="00433AB9"/>
    <w:rsid w:val="00433AEE"/>
    <w:rsid w:val="00433B20"/>
    <w:rsid w:val="00433B32"/>
    <w:rsid w:val="00433B33"/>
    <w:rsid w:val="00433B69"/>
    <w:rsid w:val="00433B9C"/>
    <w:rsid w:val="00433BE9"/>
    <w:rsid w:val="00433D10"/>
    <w:rsid w:val="00433DB7"/>
    <w:rsid w:val="004340CC"/>
    <w:rsid w:val="00434148"/>
    <w:rsid w:val="004341C0"/>
    <w:rsid w:val="00434251"/>
    <w:rsid w:val="00434300"/>
    <w:rsid w:val="0043435D"/>
    <w:rsid w:val="00434681"/>
    <w:rsid w:val="004348B8"/>
    <w:rsid w:val="00434A0A"/>
    <w:rsid w:val="00434A7C"/>
    <w:rsid w:val="00434A88"/>
    <w:rsid w:val="00434AF0"/>
    <w:rsid w:val="00434B55"/>
    <w:rsid w:val="00434C07"/>
    <w:rsid w:val="00434CA5"/>
    <w:rsid w:val="00434D49"/>
    <w:rsid w:val="00434E5D"/>
    <w:rsid w:val="00434E6A"/>
    <w:rsid w:val="00434E7F"/>
    <w:rsid w:val="00434EBE"/>
    <w:rsid w:val="00434EF0"/>
    <w:rsid w:val="00434F89"/>
    <w:rsid w:val="00435047"/>
    <w:rsid w:val="004350C3"/>
    <w:rsid w:val="00435123"/>
    <w:rsid w:val="00435204"/>
    <w:rsid w:val="0043527F"/>
    <w:rsid w:val="004352D2"/>
    <w:rsid w:val="004352E9"/>
    <w:rsid w:val="00435368"/>
    <w:rsid w:val="0043546F"/>
    <w:rsid w:val="004354B2"/>
    <w:rsid w:val="004355C3"/>
    <w:rsid w:val="0043561A"/>
    <w:rsid w:val="0043561E"/>
    <w:rsid w:val="00435796"/>
    <w:rsid w:val="004357B1"/>
    <w:rsid w:val="00435A8B"/>
    <w:rsid w:val="00435B28"/>
    <w:rsid w:val="00435B64"/>
    <w:rsid w:val="00435CEE"/>
    <w:rsid w:val="00435D06"/>
    <w:rsid w:val="00435D2B"/>
    <w:rsid w:val="00435D2F"/>
    <w:rsid w:val="00435E3F"/>
    <w:rsid w:val="00435E45"/>
    <w:rsid w:val="00435E86"/>
    <w:rsid w:val="00436076"/>
    <w:rsid w:val="0043616A"/>
    <w:rsid w:val="0043619A"/>
    <w:rsid w:val="004361B4"/>
    <w:rsid w:val="00436271"/>
    <w:rsid w:val="004363E7"/>
    <w:rsid w:val="004364F3"/>
    <w:rsid w:val="004364F5"/>
    <w:rsid w:val="0043650C"/>
    <w:rsid w:val="00436550"/>
    <w:rsid w:val="00436555"/>
    <w:rsid w:val="0043655E"/>
    <w:rsid w:val="00436785"/>
    <w:rsid w:val="00436897"/>
    <w:rsid w:val="00436A01"/>
    <w:rsid w:val="00436A4C"/>
    <w:rsid w:val="00436A51"/>
    <w:rsid w:val="00436CB8"/>
    <w:rsid w:val="00436D64"/>
    <w:rsid w:val="00436D75"/>
    <w:rsid w:val="00436E94"/>
    <w:rsid w:val="00436F7D"/>
    <w:rsid w:val="00437328"/>
    <w:rsid w:val="004373DF"/>
    <w:rsid w:val="00437483"/>
    <w:rsid w:val="004374E3"/>
    <w:rsid w:val="004374FD"/>
    <w:rsid w:val="00437573"/>
    <w:rsid w:val="004375FB"/>
    <w:rsid w:val="004376C1"/>
    <w:rsid w:val="00437729"/>
    <w:rsid w:val="0043791E"/>
    <w:rsid w:val="00437991"/>
    <w:rsid w:val="004379A0"/>
    <w:rsid w:val="00437BE5"/>
    <w:rsid w:val="00437CBD"/>
    <w:rsid w:val="00437E8E"/>
    <w:rsid w:val="00437FB9"/>
    <w:rsid w:val="00437FCE"/>
    <w:rsid w:val="004401D3"/>
    <w:rsid w:val="00440220"/>
    <w:rsid w:val="004402EF"/>
    <w:rsid w:val="00440408"/>
    <w:rsid w:val="00440492"/>
    <w:rsid w:val="004404C7"/>
    <w:rsid w:val="004406A0"/>
    <w:rsid w:val="00440828"/>
    <w:rsid w:val="0044083F"/>
    <w:rsid w:val="004408BC"/>
    <w:rsid w:val="004409B1"/>
    <w:rsid w:val="00440A2A"/>
    <w:rsid w:val="00440B07"/>
    <w:rsid w:val="00440BA3"/>
    <w:rsid w:val="00440BAB"/>
    <w:rsid w:val="00440BD1"/>
    <w:rsid w:val="00440BFE"/>
    <w:rsid w:val="00440C89"/>
    <w:rsid w:val="00440DB0"/>
    <w:rsid w:val="00440E57"/>
    <w:rsid w:val="00440F23"/>
    <w:rsid w:val="00440F72"/>
    <w:rsid w:val="00440FAA"/>
    <w:rsid w:val="004410AC"/>
    <w:rsid w:val="004411A4"/>
    <w:rsid w:val="0044121F"/>
    <w:rsid w:val="00441230"/>
    <w:rsid w:val="00441243"/>
    <w:rsid w:val="004412A7"/>
    <w:rsid w:val="00441311"/>
    <w:rsid w:val="004414CE"/>
    <w:rsid w:val="004415FC"/>
    <w:rsid w:val="004416AE"/>
    <w:rsid w:val="004416DA"/>
    <w:rsid w:val="00441862"/>
    <w:rsid w:val="00441951"/>
    <w:rsid w:val="0044197E"/>
    <w:rsid w:val="00441A3D"/>
    <w:rsid w:val="00441A85"/>
    <w:rsid w:val="00441AAC"/>
    <w:rsid w:val="00441AC4"/>
    <w:rsid w:val="00441B26"/>
    <w:rsid w:val="00441B2D"/>
    <w:rsid w:val="00441B91"/>
    <w:rsid w:val="00441C72"/>
    <w:rsid w:val="00441D36"/>
    <w:rsid w:val="00441F02"/>
    <w:rsid w:val="00442198"/>
    <w:rsid w:val="00442220"/>
    <w:rsid w:val="00442237"/>
    <w:rsid w:val="00442268"/>
    <w:rsid w:val="004422B6"/>
    <w:rsid w:val="00442414"/>
    <w:rsid w:val="00442460"/>
    <w:rsid w:val="004425BF"/>
    <w:rsid w:val="00442662"/>
    <w:rsid w:val="00442729"/>
    <w:rsid w:val="0044273D"/>
    <w:rsid w:val="0044282E"/>
    <w:rsid w:val="00442875"/>
    <w:rsid w:val="00442883"/>
    <w:rsid w:val="0044295F"/>
    <w:rsid w:val="004429C9"/>
    <w:rsid w:val="00442A46"/>
    <w:rsid w:val="00442ACE"/>
    <w:rsid w:val="00442ADF"/>
    <w:rsid w:val="00442C25"/>
    <w:rsid w:val="00442C73"/>
    <w:rsid w:val="00442CBD"/>
    <w:rsid w:val="00442D13"/>
    <w:rsid w:val="00442D72"/>
    <w:rsid w:val="00442DE9"/>
    <w:rsid w:val="00442E08"/>
    <w:rsid w:val="00442E69"/>
    <w:rsid w:val="00442E9E"/>
    <w:rsid w:val="00442EA3"/>
    <w:rsid w:val="00442EA7"/>
    <w:rsid w:val="004430D4"/>
    <w:rsid w:val="004430DB"/>
    <w:rsid w:val="00443100"/>
    <w:rsid w:val="0044316D"/>
    <w:rsid w:val="00443177"/>
    <w:rsid w:val="0044325B"/>
    <w:rsid w:val="004432BB"/>
    <w:rsid w:val="0044334A"/>
    <w:rsid w:val="00443361"/>
    <w:rsid w:val="004433D2"/>
    <w:rsid w:val="0044346A"/>
    <w:rsid w:val="00443515"/>
    <w:rsid w:val="0044355B"/>
    <w:rsid w:val="004435AB"/>
    <w:rsid w:val="004435D7"/>
    <w:rsid w:val="00443609"/>
    <w:rsid w:val="004436C3"/>
    <w:rsid w:val="004436D1"/>
    <w:rsid w:val="004436FA"/>
    <w:rsid w:val="0044370C"/>
    <w:rsid w:val="00443759"/>
    <w:rsid w:val="0044376F"/>
    <w:rsid w:val="004437A5"/>
    <w:rsid w:val="00443800"/>
    <w:rsid w:val="00443856"/>
    <w:rsid w:val="00443919"/>
    <w:rsid w:val="00443966"/>
    <w:rsid w:val="00443A46"/>
    <w:rsid w:val="00443A73"/>
    <w:rsid w:val="00443AC6"/>
    <w:rsid w:val="00443C1E"/>
    <w:rsid w:val="00443D0C"/>
    <w:rsid w:val="00443D35"/>
    <w:rsid w:val="00443DE3"/>
    <w:rsid w:val="00443E9A"/>
    <w:rsid w:val="00443E9D"/>
    <w:rsid w:val="00443EE6"/>
    <w:rsid w:val="00443F3E"/>
    <w:rsid w:val="00443F8A"/>
    <w:rsid w:val="00444071"/>
    <w:rsid w:val="0044413B"/>
    <w:rsid w:val="004441A5"/>
    <w:rsid w:val="00444252"/>
    <w:rsid w:val="0044429D"/>
    <w:rsid w:val="004442CD"/>
    <w:rsid w:val="004442DB"/>
    <w:rsid w:val="004442F7"/>
    <w:rsid w:val="00444311"/>
    <w:rsid w:val="00444391"/>
    <w:rsid w:val="00444438"/>
    <w:rsid w:val="0044444C"/>
    <w:rsid w:val="004444C3"/>
    <w:rsid w:val="00444513"/>
    <w:rsid w:val="004445D3"/>
    <w:rsid w:val="00444607"/>
    <w:rsid w:val="0044465D"/>
    <w:rsid w:val="00444792"/>
    <w:rsid w:val="004447E0"/>
    <w:rsid w:val="004448F2"/>
    <w:rsid w:val="0044490A"/>
    <w:rsid w:val="00444912"/>
    <w:rsid w:val="00444A33"/>
    <w:rsid w:val="00444B01"/>
    <w:rsid w:val="00444B76"/>
    <w:rsid w:val="00444D69"/>
    <w:rsid w:val="00444D76"/>
    <w:rsid w:val="00444DF4"/>
    <w:rsid w:val="00444DF5"/>
    <w:rsid w:val="00444E97"/>
    <w:rsid w:val="004450F7"/>
    <w:rsid w:val="0044511A"/>
    <w:rsid w:val="0044517B"/>
    <w:rsid w:val="004451C3"/>
    <w:rsid w:val="00445234"/>
    <w:rsid w:val="0044532E"/>
    <w:rsid w:val="00445394"/>
    <w:rsid w:val="004453D9"/>
    <w:rsid w:val="00445454"/>
    <w:rsid w:val="00445475"/>
    <w:rsid w:val="004454E3"/>
    <w:rsid w:val="0044555C"/>
    <w:rsid w:val="00445580"/>
    <w:rsid w:val="004455BF"/>
    <w:rsid w:val="00445636"/>
    <w:rsid w:val="0044570F"/>
    <w:rsid w:val="0044574E"/>
    <w:rsid w:val="00445752"/>
    <w:rsid w:val="0044585C"/>
    <w:rsid w:val="0044586B"/>
    <w:rsid w:val="0044589E"/>
    <w:rsid w:val="0044593D"/>
    <w:rsid w:val="004459AE"/>
    <w:rsid w:val="00445A6D"/>
    <w:rsid w:val="00445ADF"/>
    <w:rsid w:val="00445BB6"/>
    <w:rsid w:val="00445BEF"/>
    <w:rsid w:val="00445C79"/>
    <w:rsid w:val="00445CA6"/>
    <w:rsid w:val="00445DE5"/>
    <w:rsid w:val="00445E6F"/>
    <w:rsid w:val="00445EF7"/>
    <w:rsid w:val="00445F58"/>
    <w:rsid w:val="00446057"/>
    <w:rsid w:val="0044606E"/>
    <w:rsid w:val="004460DA"/>
    <w:rsid w:val="004460DC"/>
    <w:rsid w:val="00446112"/>
    <w:rsid w:val="00446191"/>
    <w:rsid w:val="004461D3"/>
    <w:rsid w:val="00446377"/>
    <w:rsid w:val="0044644C"/>
    <w:rsid w:val="0044648B"/>
    <w:rsid w:val="004464A6"/>
    <w:rsid w:val="00446672"/>
    <w:rsid w:val="00446684"/>
    <w:rsid w:val="004467EF"/>
    <w:rsid w:val="0044681E"/>
    <w:rsid w:val="004468FB"/>
    <w:rsid w:val="004469C6"/>
    <w:rsid w:val="004469CB"/>
    <w:rsid w:val="004469D6"/>
    <w:rsid w:val="00446CFB"/>
    <w:rsid w:val="00446D25"/>
    <w:rsid w:val="00446D86"/>
    <w:rsid w:val="00446E29"/>
    <w:rsid w:val="00446E35"/>
    <w:rsid w:val="00446F38"/>
    <w:rsid w:val="00447016"/>
    <w:rsid w:val="004470D5"/>
    <w:rsid w:val="00447102"/>
    <w:rsid w:val="004471BC"/>
    <w:rsid w:val="004471EC"/>
    <w:rsid w:val="0044725A"/>
    <w:rsid w:val="00447287"/>
    <w:rsid w:val="004472C5"/>
    <w:rsid w:val="004472E3"/>
    <w:rsid w:val="004473A5"/>
    <w:rsid w:val="00447430"/>
    <w:rsid w:val="00447446"/>
    <w:rsid w:val="0044746A"/>
    <w:rsid w:val="00447551"/>
    <w:rsid w:val="004475CE"/>
    <w:rsid w:val="004475DF"/>
    <w:rsid w:val="004476E4"/>
    <w:rsid w:val="004476EE"/>
    <w:rsid w:val="004477AF"/>
    <w:rsid w:val="00447824"/>
    <w:rsid w:val="00447842"/>
    <w:rsid w:val="00447863"/>
    <w:rsid w:val="004478B7"/>
    <w:rsid w:val="004479AC"/>
    <w:rsid w:val="004479F5"/>
    <w:rsid w:val="00447AC7"/>
    <w:rsid w:val="00447B50"/>
    <w:rsid w:val="00447B68"/>
    <w:rsid w:val="00447BCA"/>
    <w:rsid w:val="00447C70"/>
    <w:rsid w:val="00447C71"/>
    <w:rsid w:val="00447D30"/>
    <w:rsid w:val="00447D82"/>
    <w:rsid w:val="00447DA6"/>
    <w:rsid w:val="00447DE4"/>
    <w:rsid w:val="00447E08"/>
    <w:rsid w:val="00447E2E"/>
    <w:rsid w:val="00447EBD"/>
    <w:rsid w:val="00447F03"/>
    <w:rsid w:val="00447F19"/>
    <w:rsid w:val="00447F4A"/>
    <w:rsid w:val="00447FDF"/>
    <w:rsid w:val="0045011E"/>
    <w:rsid w:val="0045012A"/>
    <w:rsid w:val="004502D7"/>
    <w:rsid w:val="0045033F"/>
    <w:rsid w:val="0045039A"/>
    <w:rsid w:val="004503ED"/>
    <w:rsid w:val="00450464"/>
    <w:rsid w:val="0045056A"/>
    <w:rsid w:val="0045084A"/>
    <w:rsid w:val="0045086C"/>
    <w:rsid w:val="004508A0"/>
    <w:rsid w:val="004508EC"/>
    <w:rsid w:val="00450A27"/>
    <w:rsid w:val="00450B73"/>
    <w:rsid w:val="00450BBE"/>
    <w:rsid w:val="00450C59"/>
    <w:rsid w:val="00450C8F"/>
    <w:rsid w:val="00450D87"/>
    <w:rsid w:val="00450DB4"/>
    <w:rsid w:val="00450E02"/>
    <w:rsid w:val="00450E69"/>
    <w:rsid w:val="00450F5E"/>
    <w:rsid w:val="00450FC9"/>
    <w:rsid w:val="00450FD1"/>
    <w:rsid w:val="00450FDD"/>
    <w:rsid w:val="00451096"/>
    <w:rsid w:val="004510C5"/>
    <w:rsid w:val="00451171"/>
    <w:rsid w:val="004511FA"/>
    <w:rsid w:val="0045124F"/>
    <w:rsid w:val="004512A9"/>
    <w:rsid w:val="0045132C"/>
    <w:rsid w:val="00451343"/>
    <w:rsid w:val="00451377"/>
    <w:rsid w:val="0045141D"/>
    <w:rsid w:val="0045144E"/>
    <w:rsid w:val="004516AA"/>
    <w:rsid w:val="00451841"/>
    <w:rsid w:val="004518B1"/>
    <w:rsid w:val="00451986"/>
    <w:rsid w:val="004519C1"/>
    <w:rsid w:val="00451B58"/>
    <w:rsid w:val="00451E6B"/>
    <w:rsid w:val="0045201D"/>
    <w:rsid w:val="00452061"/>
    <w:rsid w:val="00452087"/>
    <w:rsid w:val="004521AB"/>
    <w:rsid w:val="00452364"/>
    <w:rsid w:val="0045237B"/>
    <w:rsid w:val="004523AD"/>
    <w:rsid w:val="004523F8"/>
    <w:rsid w:val="00452493"/>
    <w:rsid w:val="004524E6"/>
    <w:rsid w:val="00452550"/>
    <w:rsid w:val="004525BE"/>
    <w:rsid w:val="00452729"/>
    <w:rsid w:val="004527E1"/>
    <w:rsid w:val="004527E7"/>
    <w:rsid w:val="00452843"/>
    <w:rsid w:val="00452857"/>
    <w:rsid w:val="0045285C"/>
    <w:rsid w:val="004528C5"/>
    <w:rsid w:val="0045291D"/>
    <w:rsid w:val="00452941"/>
    <w:rsid w:val="004529D0"/>
    <w:rsid w:val="00452A54"/>
    <w:rsid w:val="00452A94"/>
    <w:rsid w:val="00452B0D"/>
    <w:rsid w:val="00452BC8"/>
    <w:rsid w:val="00452BD7"/>
    <w:rsid w:val="00452BE6"/>
    <w:rsid w:val="00452D6E"/>
    <w:rsid w:val="00452E01"/>
    <w:rsid w:val="00452E7D"/>
    <w:rsid w:val="00452EA9"/>
    <w:rsid w:val="00452EDA"/>
    <w:rsid w:val="00452F28"/>
    <w:rsid w:val="00452FE8"/>
    <w:rsid w:val="004530C8"/>
    <w:rsid w:val="004531B0"/>
    <w:rsid w:val="00453200"/>
    <w:rsid w:val="004532C3"/>
    <w:rsid w:val="004532CA"/>
    <w:rsid w:val="00453393"/>
    <w:rsid w:val="00453572"/>
    <w:rsid w:val="00453576"/>
    <w:rsid w:val="004535C3"/>
    <w:rsid w:val="0045360C"/>
    <w:rsid w:val="00453692"/>
    <w:rsid w:val="004536B5"/>
    <w:rsid w:val="004537DD"/>
    <w:rsid w:val="0045383D"/>
    <w:rsid w:val="0045387B"/>
    <w:rsid w:val="0045395A"/>
    <w:rsid w:val="0045396A"/>
    <w:rsid w:val="00453A15"/>
    <w:rsid w:val="00453BD5"/>
    <w:rsid w:val="00453C96"/>
    <w:rsid w:val="00453D43"/>
    <w:rsid w:val="00453E02"/>
    <w:rsid w:val="00453E79"/>
    <w:rsid w:val="00454056"/>
    <w:rsid w:val="00454090"/>
    <w:rsid w:val="0045416A"/>
    <w:rsid w:val="0045417B"/>
    <w:rsid w:val="0045418E"/>
    <w:rsid w:val="004541CE"/>
    <w:rsid w:val="00454219"/>
    <w:rsid w:val="00454286"/>
    <w:rsid w:val="004542C0"/>
    <w:rsid w:val="004542D9"/>
    <w:rsid w:val="0045431F"/>
    <w:rsid w:val="00454419"/>
    <w:rsid w:val="0045442B"/>
    <w:rsid w:val="004544B0"/>
    <w:rsid w:val="004544EA"/>
    <w:rsid w:val="0045455D"/>
    <w:rsid w:val="00454618"/>
    <w:rsid w:val="00454649"/>
    <w:rsid w:val="004546D1"/>
    <w:rsid w:val="0045475B"/>
    <w:rsid w:val="004547D3"/>
    <w:rsid w:val="00454837"/>
    <w:rsid w:val="0045488E"/>
    <w:rsid w:val="00454932"/>
    <w:rsid w:val="004549E0"/>
    <w:rsid w:val="00454A78"/>
    <w:rsid w:val="00454B17"/>
    <w:rsid w:val="00454B48"/>
    <w:rsid w:val="00454B98"/>
    <w:rsid w:val="00454BA2"/>
    <w:rsid w:val="00454CF5"/>
    <w:rsid w:val="00454DDA"/>
    <w:rsid w:val="00454DE1"/>
    <w:rsid w:val="00454E70"/>
    <w:rsid w:val="00454EC5"/>
    <w:rsid w:val="00454EEB"/>
    <w:rsid w:val="00455149"/>
    <w:rsid w:val="004552B9"/>
    <w:rsid w:val="00455341"/>
    <w:rsid w:val="004554F3"/>
    <w:rsid w:val="00455521"/>
    <w:rsid w:val="0045555D"/>
    <w:rsid w:val="004556CF"/>
    <w:rsid w:val="004557BA"/>
    <w:rsid w:val="00455976"/>
    <w:rsid w:val="004559F2"/>
    <w:rsid w:val="00455AF1"/>
    <w:rsid w:val="00455B42"/>
    <w:rsid w:val="00455E6F"/>
    <w:rsid w:val="004560CA"/>
    <w:rsid w:val="004561B7"/>
    <w:rsid w:val="004561D2"/>
    <w:rsid w:val="004561EF"/>
    <w:rsid w:val="0045620C"/>
    <w:rsid w:val="004562EE"/>
    <w:rsid w:val="004562F4"/>
    <w:rsid w:val="0045634A"/>
    <w:rsid w:val="004563CD"/>
    <w:rsid w:val="004564B1"/>
    <w:rsid w:val="00456749"/>
    <w:rsid w:val="00456802"/>
    <w:rsid w:val="0045693B"/>
    <w:rsid w:val="00456985"/>
    <w:rsid w:val="00456A49"/>
    <w:rsid w:val="00456BA2"/>
    <w:rsid w:val="00456BDC"/>
    <w:rsid w:val="00456BFE"/>
    <w:rsid w:val="00456C2E"/>
    <w:rsid w:val="00456C89"/>
    <w:rsid w:val="00456D6C"/>
    <w:rsid w:val="004570CD"/>
    <w:rsid w:val="004570E5"/>
    <w:rsid w:val="004571FD"/>
    <w:rsid w:val="004572AD"/>
    <w:rsid w:val="0045733C"/>
    <w:rsid w:val="004573B6"/>
    <w:rsid w:val="004575E7"/>
    <w:rsid w:val="00457644"/>
    <w:rsid w:val="00457674"/>
    <w:rsid w:val="00457710"/>
    <w:rsid w:val="00457716"/>
    <w:rsid w:val="0045777B"/>
    <w:rsid w:val="00457796"/>
    <w:rsid w:val="004577A5"/>
    <w:rsid w:val="0045780B"/>
    <w:rsid w:val="004578F7"/>
    <w:rsid w:val="00457A90"/>
    <w:rsid w:val="00457ACE"/>
    <w:rsid w:val="00457D09"/>
    <w:rsid w:val="00457D62"/>
    <w:rsid w:val="00457D7B"/>
    <w:rsid w:val="00457DF6"/>
    <w:rsid w:val="00457E5D"/>
    <w:rsid w:val="00457EBE"/>
    <w:rsid w:val="00457EFF"/>
    <w:rsid w:val="00457F6D"/>
    <w:rsid w:val="00457F8B"/>
    <w:rsid w:val="00457FB4"/>
    <w:rsid w:val="00457FFA"/>
    <w:rsid w:val="0046001E"/>
    <w:rsid w:val="00460143"/>
    <w:rsid w:val="00460180"/>
    <w:rsid w:val="004601DD"/>
    <w:rsid w:val="00460231"/>
    <w:rsid w:val="004602FC"/>
    <w:rsid w:val="004603AC"/>
    <w:rsid w:val="0046064E"/>
    <w:rsid w:val="0046067E"/>
    <w:rsid w:val="00460710"/>
    <w:rsid w:val="00460798"/>
    <w:rsid w:val="004607D0"/>
    <w:rsid w:val="004608BD"/>
    <w:rsid w:val="00460920"/>
    <w:rsid w:val="00460984"/>
    <w:rsid w:val="00460A12"/>
    <w:rsid w:val="00460B75"/>
    <w:rsid w:val="00460BC7"/>
    <w:rsid w:val="00460BCD"/>
    <w:rsid w:val="00460C84"/>
    <w:rsid w:val="00460DB0"/>
    <w:rsid w:val="00460EC3"/>
    <w:rsid w:val="00460EEB"/>
    <w:rsid w:val="00460F92"/>
    <w:rsid w:val="00460FA8"/>
    <w:rsid w:val="00460FB6"/>
    <w:rsid w:val="0046100E"/>
    <w:rsid w:val="00461277"/>
    <w:rsid w:val="004612A5"/>
    <w:rsid w:val="004612E5"/>
    <w:rsid w:val="0046139F"/>
    <w:rsid w:val="00461411"/>
    <w:rsid w:val="0046142F"/>
    <w:rsid w:val="00461471"/>
    <w:rsid w:val="0046151E"/>
    <w:rsid w:val="004615CF"/>
    <w:rsid w:val="004615FC"/>
    <w:rsid w:val="004616F0"/>
    <w:rsid w:val="00461794"/>
    <w:rsid w:val="004617C9"/>
    <w:rsid w:val="0046195C"/>
    <w:rsid w:val="00461961"/>
    <w:rsid w:val="00461A2D"/>
    <w:rsid w:val="00461A7D"/>
    <w:rsid w:val="00461B16"/>
    <w:rsid w:val="00461B27"/>
    <w:rsid w:val="00461BFE"/>
    <w:rsid w:val="00461C31"/>
    <w:rsid w:val="00461C5E"/>
    <w:rsid w:val="00461C6B"/>
    <w:rsid w:val="00461CA8"/>
    <w:rsid w:val="00461CD3"/>
    <w:rsid w:val="00461D88"/>
    <w:rsid w:val="00461E37"/>
    <w:rsid w:val="00461EA7"/>
    <w:rsid w:val="00462013"/>
    <w:rsid w:val="004620D2"/>
    <w:rsid w:val="0046210D"/>
    <w:rsid w:val="004621EC"/>
    <w:rsid w:val="00462239"/>
    <w:rsid w:val="00462280"/>
    <w:rsid w:val="00462286"/>
    <w:rsid w:val="00462325"/>
    <w:rsid w:val="00462360"/>
    <w:rsid w:val="004624FD"/>
    <w:rsid w:val="004625D4"/>
    <w:rsid w:val="00462600"/>
    <w:rsid w:val="00462741"/>
    <w:rsid w:val="004627A8"/>
    <w:rsid w:val="00462818"/>
    <w:rsid w:val="0046286B"/>
    <w:rsid w:val="004628CE"/>
    <w:rsid w:val="004628D2"/>
    <w:rsid w:val="00462A18"/>
    <w:rsid w:val="00462A32"/>
    <w:rsid w:val="00462A9B"/>
    <w:rsid w:val="00462C4A"/>
    <w:rsid w:val="00462CF8"/>
    <w:rsid w:val="00462D0D"/>
    <w:rsid w:val="00462D86"/>
    <w:rsid w:val="00462DA2"/>
    <w:rsid w:val="00462DCC"/>
    <w:rsid w:val="00462DE9"/>
    <w:rsid w:val="00462E6B"/>
    <w:rsid w:val="00462FB0"/>
    <w:rsid w:val="00463098"/>
    <w:rsid w:val="00463104"/>
    <w:rsid w:val="00463180"/>
    <w:rsid w:val="00463184"/>
    <w:rsid w:val="0046324B"/>
    <w:rsid w:val="00463254"/>
    <w:rsid w:val="0046326C"/>
    <w:rsid w:val="004632B0"/>
    <w:rsid w:val="00463327"/>
    <w:rsid w:val="00463330"/>
    <w:rsid w:val="00463393"/>
    <w:rsid w:val="004633EB"/>
    <w:rsid w:val="004633F1"/>
    <w:rsid w:val="00463477"/>
    <w:rsid w:val="004634CC"/>
    <w:rsid w:val="004634E4"/>
    <w:rsid w:val="004635E6"/>
    <w:rsid w:val="0046377B"/>
    <w:rsid w:val="004637B4"/>
    <w:rsid w:val="00463912"/>
    <w:rsid w:val="00463989"/>
    <w:rsid w:val="00463BB8"/>
    <w:rsid w:val="00463C25"/>
    <w:rsid w:val="00463D0E"/>
    <w:rsid w:val="00463D19"/>
    <w:rsid w:val="00463D9C"/>
    <w:rsid w:val="00463DCE"/>
    <w:rsid w:val="00463DE4"/>
    <w:rsid w:val="00464200"/>
    <w:rsid w:val="00464366"/>
    <w:rsid w:val="004644C8"/>
    <w:rsid w:val="004644CB"/>
    <w:rsid w:val="004644FB"/>
    <w:rsid w:val="00464508"/>
    <w:rsid w:val="004646D3"/>
    <w:rsid w:val="004647B0"/>
    <w:rsid w:val="00464806"/>
    <w:rsid w:val="00464924"/>
    <w:rsid w:val="00464961"/>
    <w:rsid w:val="004649A0"/>
    <w:rsid w:val="00464A10"/>
    <w:rsid w:val="00464A79"/>
    <w:rsid w:val="00464A9B"/>
    <w:rsid w:val="00464AE3"/>
    <w:rsid w:val="00464C3F"/>
    <w:rsid w:val="00464CD2"/>
    <w:rsid w:val="00464CDF"/>
    <w:rsid w:val="00464D40"/>
    <w:rsid w:val="00464D45"/>
    <w:rsid w:val="00464D7E"/>
    <w:rsid w:val="00464ECD"/>
    <w:rsid w:val="00464F80"/>
    <w:rsid w:val="0046507C"/>
    <w:rsid w:val="00465096"/>
    <w:rsid w:val="004650D2"/>
    <w:rsid w:val="004650E2"/>
    <w:rsid w:val="00465168"/>
    <w:rsid w:val="00465288"/>
    <w:rsid w:val="004652B0"/>
    <w:rsid w:val="004652FC"/>
    <w:rsid w:val="004653FA"/>
    <w:rsid w:val="00465674"/>
    <w:rsid w:val="0046575C"/>
    <w:rsid w:val="004657B3"/>
    <w:rsid w:val="004658AB"/>
    <w:rsid w:val="00465939"/>
    <w:rsid w:val="0046598E"/>
    <w:rsid w:val="00465997"/>
    <w:rsid w:val="00465A86"/>
    <w:rsid w:val="00465C89"/>
    <w:rsid w:val="00465D2C"/>
    <w:rsid w:val="00465E78"/>
    <w:rsid w:val="00465F40"/>
    <w:rsid w:val="00465F42"/>
    <w:rsid w:val="00465FA6"/>
    <w:rsid w:val="00465FB2"/>
    <w:rsid w:val="00465FB5"/>
    <w:rsid w:val="00466035"/>
    <w:rsid w:val="00466036"/>
    <w:rsid w:val="0046603B"/>
    <w:rsid w:val="00466067"/>
    <w:rsid w:val="004662FA"/>
    <w:rsid w:val="004664AE"/>
    <w:rsid w:val="004664CE"/>
    <w:rsid w:val="00466580"/>
    <w:rsid w:val="004665DD"/>
    <w:rsid w:val="004665F5"/>
    <w:rsid w:val="00466624"/>
    <w:rsid w:val="004666A4"/>
    <w:rsid w:val="00466835"/>
    <w:rsid w:val="00466865"/>
    <w:rsid w:val="0046698F"/>
    <w:rsid w:val="00466A8E"/>
    <w:rsid w:val="00466AF5"/>
    <w:rsid w:val="00466B43"/>
    <w:rsid w:val="00466BC2"/>
    <w:rsid w:val="00466DA0"/>
    <w:rsid w:val="00466EAE"/>
    <w:rsid w:val="00467053"/>
    <w:rsid w:val="0046705F"/>
    <w:rsid w:val="00467115"/>
    <w:rsid w:val="00467132"/>
    <w:rsid w:val="0046717F"/>
    <w:rsid w:val="004673E1"/>
    <w:rsid w:val="004676AB"/>
    <w:rsid w:val="0046778B"/>
    <w:rsid w:val="00467A2F"/>
    <w:rsid w:val="00467B35"/>
    <w:rsid w:val="00467B4B"/>
    <w:rsid w:val="00467BD9"/>
    <w:rsid w:val="00467CAE"/>
    <w:rsid w:val="00467D69"/>
    <w:rsid w:val="00467ECB"/>
    <w:rsid w:val="0047014D"/>
    <w:rsid w:val="0047039F"/>
    <w:rsid w:val="004703BA"/>
    <w:rsid w:val="0047048A"/>
    <w:rsid w:val="00470499"/>
    <w:rsid w:val="0047050C"/>
    <w:rsid w:val="00470511"/>
    <w:rsid w:val="00470696"/>
    <w:rsid w:val="00470912"/>
    <w:rsid w:val="00470941"/>
    <w:rsid w:val="00470A0C"/>
    <w:rsid w:val="00470B8C"/>
    <w:rsid w:val="00470B8E"/>
    <w:rsid w:val="00470CEA"/>
    <w:rsid w:val="00470CF1"/>
    <w:rsid w:val="00470CFB"/>
    <w:rsid w:val="00470D79"/>
    <w:rsid w:val="00470DBB"/>
    <w:rsid w:val="00470E8E"/>
    <w:rsid w:val="00470EC5"/>
    <w:rsid w:val="00470EC7"/>
    <w:rsid w:val="00470FBE"/>
    <w:rsid w:val="00471023"/>
    <w:rsid w:val="00471049"/>
    <w:rsid w:val="0047112C"/>
    <w:rsid w:val="00471158"/>
    <w:rsid w:val="004711F9"/>
    <w:rsid w:val="00471284"/>
    <w:rsid w:val="00471377"/>
    <w:rsid w:val="00471387"/>
    <w:rsid w:val="00471440"/>
    <w:rsid w:val="004714A2"/>
    <w:rsid w:val="004714A5"/>
    <w:rsid w:val="00471635"/>
    <w:rsid w:val="00471655"/>
    <w:rsid w:val="004717C8"/>
    <w:rsid w:val="004718C4"/>
    <w:rsid w:val="004719CA"/>
    <w:rsid w:val="004719F8"/>
    <w:rsid w:val="00471AB0"/>
    <w:rsid w:val="00471ACD"/>
    <w:rsid w:val="00471B89"/>
    <w:rsid w:val="00471C0E"/>
    <w:rsid w:val="00471E8C"/>
    <w:rsid w:val="00471F39"/>
    <w:rsid w:val="00471FA2"/>
    <w:rsid w:val="00472058"/>
    <w:rsid w:val="004720F7"/>
    <w:rsid w:val="004721A8"/>
    <w:rsid w:val="00472241"/>
    <w:rsid w:val="0047231E"/>
    <w:rsid w:val="004724AE"/>
    <w:rsid w:val="004724BD"/>
    <w:rsid w:val="004724D9"/>
    <w:rsid w:val="0047256A"/>
    <w:rsid w:val="00472578"/>
    <w:rsid w:val="0047259B"/>
    <w:rsid w:val="004726BF"/>
    <w:rsid w:val="0047273A"/>
    <w:rsid w:val="00472846"/>
    <w:rsid w:val="0047287D"/>
    <w:rsid w:val="00472883"/>
    <w:rsid w:val="0047288C"/>
    <w:rsid w:val="004729EB"/>
    <w:rsid w:val="00472BC4"/>
    <w:rsid w:val="00472C31"/>
    <w:rsid w:val="00472CCB"/>
    <w:rsid w:val="00472D70"/>
    <w:rsid w:val="00472DD2"/>
    <w:rsid w:val="00472E2D"/>
    <w:rsid w:val="00472E4E"/>
    <w:rsid w:val="00472EC6"/>
    <w:rsid w:val="00472F4E"/>
    <w:rsid w:val="00472F94"/>
    <w:rsid w:val="00472FB5"/>
    <w:rsid w:val="00472FCC"/>
    <w:rsid w:val="00473032"/>
    <w:rsid w:val="00473033"/>
    <w:rsid w:val="004731A2"/>
    <w:rsid w:val="00473289"/>
    <w:rsid w:val="0047332D"/>
    <w:rsid w:val="00473455"/>
    <w:rsid w:val="004734F5"/>
    <w:rsid w:val="00473591"/>
    <w:rsid w:val="0047359F"/>
    <w:rsid w:val="004735D5"/>
    <w:rsid w:val="004735EA"/>
    <w:rsid w:val="004736D8"/>
    <w:rsid w:val="0047373E"/>
    <w:rsid w:val="004737D2"/>
    <w:rsid w:val="004738B0"/>
    <w:rsid w:val="00473BA1"/>
    <w:rsid w:val="00473BEE"/>
    <w:rsid w:val="00473CAF"/>
    <w:rsid w:val="00473CDF"/>
    <w:rsid w:val="00473D65"/>
    <w:rsid w:val="00473D8F"/>
    <w:rsid w:val="00474160"/>
    <w:rsid w:val="004741F9"/>
    <w:rsid w:val="00474237"/>
    <w:rsid w:val="0047434E"/>
    <w:rsid w:val="004744E4"/>
    <w:rsid w:val="00474550"/>
    <w:rsid w:val="004745AF"/>
    <w:rsid w:val="00474622"/>
    <w:rsid w:val="004746E3"/>
    <w:rsid w:val="00474782"/>
    <w:rsid w:val="0047478B"/>
    <w:rsid w:val="00474884"/>
    <w:rsid w:val="004749A5"/>
    <w:rsid w:val="004749B2"/>
    <w:rsid w:val="00474A65"/>
    <w:rsid w:val="00474BEC"/>
    <w:rsid w:val="00474C04"/>
    <w:rsid w:val="00474C63"/>
    <w:rsid w:val="00474C8D"/>
    <w:rsid w:val="00474EBD"/>
    <w:rsid w:val="00474F40"/>
    <w:rsid w:val="00474F62"/>
    <w:rsid w:val="00474FC2"/>
    <w:rsid w:val="00475004"/>
    <w:rsid w:val="0047505E"/>
    <w:rsid w:val="00475090"/>
    <w:rsid w:val="0047513B"/>
    <w:rsid w:val="0047516C"/>
    <w:rsid w:val="004752ED"/>
    <w:rsid w:val="004753E5"/>
    <w:rsid w:val="0047552E"/>
    <w:rsid w:val="0047567A"/>
    <w:rsid w:val="00475688"/>
    <w:rsid w:val="004756B2"/>
    <w:rsid w:val="0047573B"/>
    <w:rsid w:val="0047583A"/>
    <w:rsid w:val="004758B9"/>
    <w:rsid w:val="0047594B"/>
    <w:rsid w:val="004759E5"/>
    <w:rsid w:val="00475A83"/>
    <w:rsid w:val="00475ADA"/>
    <w:rsid w:val="00475B29"/>
    <w:rsid w:val="00475B31"/>
    <w:rsid w:val="00475B80"/>
    <w:rsid w:val="00475BE5"/>
    <w:rsid w:val="00475C3F"/>
    <w:rsid w:val="00475CA2"/>
    <w:rsid w:val="00475D8B"/>
    <w:rsid w:val="00475DCF"/>
    <w:rsid w:val="00475F65"/>
    <w:rsid w:val="0047603D"/>
    <w:rsid w:val="004760F0"/>
    <w:rsid w:val="0047613E"/>
    <w:rsid w:val="0047616D"/>
    <w:rsid w:val="004762CD"/>
    <w:rsid w:val="00476328"/>
    <w:rsid w:val="004763C2"/>
    <w:rsid w:val="00476419"/>
    <w:rsid w:val="00476452"/>
    <w:rsid w:val="00476559"/>
    <w:rsid w:val="00476662"/>
    <w:rsid w:val="00476851"/>
    <w:rsid w:val="004768FA"/>
    <w:rsid w:val="00476921"/>
    <w:rsid w:val="0047693F"/>
    <w:rsid w:val="00476981"/>
    <w:rsid w:val="00476998"/>
    <w:rsid w:val="004769CB"/>
    <w:rsid w:val="00476A7A"/>
    <w:rsid w:val="00476B9C"/>
    <w:rsid w:val="00476BCA"/>
    <w:rsid w:val="00476CC1"/>
    <w:rsid w:val="00476DC0"/>
    <w:rsid w:val="00476E13"/>
    <w:rsid w:val="00476F15"/>
    <w:rsid w:val="00476FE3"/>
    <w:rsid w:val="0047710A"/>
    <w:rsid w:val="00477121"/>
    <w:rsid w:val="00477144"/>
    <w:rsid w:val="004771EC"/>
    <w:rsid w:val="0047726C"/>
    <w:rsid w:val="00477295"/>
    <w:rsid w:val="004772E1"/>
    <w:rsid w:val="004773AB"/>
    <w:rsid w:val="00477452"/>
    <w:rsid w:val="00477463"/>
    <w:rsid w:val="00477515"/>
    <w:rsid w:val="0047776F"/>
    <w:rsid w:val="004777A6"/>
    <w:rsid w:val="004777C5"/>
    <w:rsid w:val="00477BB1"/>
    <w:rsid w:val="00477BC5"/>
    <w:rsid w:val="00477BE7"/>
    <w:rsid w:val="00477C29"/>
    <w:rsid w:val="00477C92"/>
    <w:rsid w:val="00477CA8"/>
    <w:rsid w:val="00477D55"/>
    <w:rsid w:val="00477EB7"/>
    <w:rsid w:val="00477EBA"/>
    <w:rsid w:val="00477FE0"/>
    <w:rsid w:val="0047D78D"/>
    <w:rsid w:val="00480078"/>
    <w:rsid w:val="00480093"/>
    <w:rsid w:val="004800BD"/>
    <w:rsid w:val="00480148"/>
    <w:rsid w:val="00480150"/>
    <w:rsid w:val="004801A5"/>
    <w:rsid w:val="004801ED"/>
    <w:rsid w:val="004801F4"/>
    <w:rsid w:val="00480257"/>
    <w:rsid w:val="004802F1"/>
    <w:rsid w:val="004802FC"/>
    <w:rsid w:val="00480358"/>
    <w:rsid w:val="0048038C"/>
    <w:rsid w:val="00480393"/>
    <w:rsid w:val="0048058D"/>
    <w:rsid w:val="0048070B"/>
    <w:rsid w:val="00480867"/>
    <w:rsid w:val="0048094F"/>
    <w:rsid w:val="00480AF5"/>
    <w:rsid w:val="00480B23"/>
    <w:rsid w:val="00480B29"/>
    <w:rsid w:val="00480B68"/>
    <w:rsid w:val="00480BA5"/>
    <w:rsid w:val="00480BC7"/>
    <w:rsid w:val="00480C1F"/>
    <w:rsid w:val="00480C42"/>
    <w:rsid w:val="00480D48"/>
    <w:rsid w:val="00480D76"/>
    <w:rsid w:val="00480DF4"/>
    <w:rsid w:val="00480F66"/>
    <w:rsid w:val="00480FD8"/>
    <w:rsid w:val="00480FFB"/>
    <w:rsid w:val="0048101B"/>
    <w:rsid w:val="00481081"/>
    <w:rsid w:val="00481167"/>
    <w:rsid w:val="004812B6"/>
    <w:rsid w:val="004813D9"/>
    <w:rsid w:val="004813DE"/>
    <w:rsid w:val="0048141F"/>
    <w:rsid w:val="004814A2"/>
    <w:rsid w:val="004815DD"/>
    <w:rsid w:val="00481631"/>
    <w:rsid w:val="0048168F"/>
    <w:rsid w:val="004816D0"/>
    <w:rsid w:val="00481823"/>
    <w:rsid w:val="0048188F"/>
    <w:rsid w:val="00481897"/>
    <w:rsid w:val="004819A4"/>
    <w:rsid w:val="004819CE"/>
    <w:rsid w:val="00481A18"/>
    <w:rsid w:val="00481A7A"/>
    <w:rsid w:val="00481A99"/>
    <w:rsid w:val="00481AF0"/>
    <w:rsid w:val="00481B1F"/>
    <w:rsid w:val="00481B3F"/>
    <w:rsid w:val="00481B61"/>
    <w:rsid w:val="00481BD7"/>
    <w:rsid w:val="00481C55"/>
    <w:rsid w:val="00481CB9"/>
    <w:rsid w:val="00481F9E"/>
    <w:rsid w:val="0048214E"/>
    <w:rsid w:val="0048215C"/>
    <w:rsid w:val="004821A3"/>
    <w:rsid w:val="00482240"/>
    <w:rsid w:val="004822CF"/>
    <w:rsid w:val="00482361"/>
    <w:rsid w:val="00482495"/>
    <w:rsid w:val="004824F3"/>
    <w:rsid w:val="00482525"/>
    <w:rsid w:val="0048255D"/>
    <w:rsid w:val="004825AC"/>
    <w:rsid w:val="0048266F"/>
    <w:rsid w:val="0048277A"/>
    <w:rsid w:val="004827B6"/>
    <w:rsid w:val="00482853"/>
    <w:rsid w:val="00482877"/>
    <w:rsid w:val="004828C4"/>
    <w:rsid w:val="00482994"/>
    <w:rsid w:val="00482A57"/>
    <w:rsid w:val="00482A5E"/>
    <w:rsid w:val="00482A8B"/>
    <w:rsid w:val="00482A98"/>
    <w:rsid w:val="00482AF2"/>
    <w:rsid w:val="00482B6D"/>
    <w:rsid w:val="00482B99"/>
    <w:rsid w:val="00482C69"/>
    <w:rsid w:val="00482CB7"/>
    <w:rsid w:val="00482EE0"/>
    <w:rsid w:val="00482F47"/>
    <w:rsid w:val="00482F68"/>
    <w:rsid w:val="00483048"/>
    <w:rsid w:val="00483064"/>
    <w:rsid w:val="0048311F"/>
    <w:rsid w:val="00483167"/>
    <w:rsid w:val="00483174"/>
    <w:rsid w:val="00483254"/>
    <w:rsid w:val="0048326C"/>
    <w:rsid w:val="0048330C"/>
    <w:rsid w:val="00483460"/>
    <w:rsid w:val="00483486"/>
    <w:rsid w:val="0048348A"/>
    <w:rsid w:val="004835A8"/>
    <w:rsid w:val="004835A9"/>
    <w:rsid w:val="004836AD"/>
    <w:rsid w:val="0048375F"/>
    <w:rsid w:val="004837CF"/>
    <w:rsid w:val="004837F9"/>
    <w:rsid w:val="00483837"/>
    <w:rsid w:val="00483883"/>
    <w:rsid w:val="004838A6"/>
    <w:rsid w:val="0048390F"/>
    <w:rsid w:val="00483A21"/>
    <w:rsid w:val="00483B44"/>
    <w:rsid w:val="00483BDB"/>
    <w:rsid w:val="00483C21"/>
    <w:rsid w:val="00483C88"/>
    <w:rsid w:val="00483D56"/>
    <w:rsid w:val="00483F5B"/>
    <w:rsid w:val="00483F65"/>
    <w:rsid w:val="00483F73"/>
    <w:rsid w:val="00483F81"/>
    <w:rsid w:val="00484006"/>
    <w:rsid w:val="004840EC"/>
    <w:rsid w:val="00484191"/>
    <w:rsid w:val="00484226"/>
    <w:rsid w:val="004843D3"/>
    <w:rsid w:val="004844E3"/>
    <w:rsid w:val="00484736"/>
    <w:rsid w:val="0048482E"/>
    <w:rsid w:val="00484856"/>
    <w:rsid w:val="00484A11"/>
    <w:rsid w:val="00484B43"/>
    <w:rsid w:val="00484BA7"/>
    <w:rsid w:val="00484C50"/>
    <w:rsid w:val="00484C9B"/>
    <w:rsid w:val="00484E9F"/>
    <w:rsid w:val="00484F55"/>
    <w:rsid w:val="00484FAC"/>
    <w:rsid w:val="004851AA"/>
    <w:rsid w:val="00485270"/>
    <w:rsid w:val="004852E9"/>
    <w:rsid w:val="00485389"/>
    <w:rsid w:val="00485492"/>
    <w:rsid w:val="004854DD"/>
    <w:rsid w:val="0048555A"/>
    <w:rsid w:val="0048560D"/>
    <w:rsid w:val="00485659"/>
    <w:rsid w:val="0048571A"/>
    <w:rsid w:val="004857EC"/>
    <w:rsid w:val="0048583D"/>
    <w:rsid w:val="004859A9"/>
    <w:rsid w:val="004859BD"/>
    <w:rsid w:val="00485A26"/>
    <w:rsid w:val="00485A2C"/>
    <w:rsid w:val="00485A51"/>
    <w:rsid w:val="00485A8C"/>
    <w:rsid w:val="00485B34"/>
    <w:rsid w:val="00485C6F"/>
    <w:rsid w:val="00485CC1"/>
    <w:rsid w:val="00485CE6"/>
    <w:rsid w:val="00485D20"/>
    <w:rsid w:val="00485D74"/>
    <w:rsid w:val="00485DBF"/>
    <w:rsid w:val="00485FA8"/>
    <w:rsid w:val="00485FE9"/>
    <w:rsid w:val="00486019"/>
    <w:rsid w:val="004860FA"/>
    <w:rsid w:val="00486109"/>
    <w:rsid w:val="0048628F"/>
    <w:rsid w:val="004862D7"/>
    <w:rsid w:val="0048630B"/>
    <w:rsid w:val="00486403"/>
    <w:rsid w:val="0048640E"/>
    <w:rsid w:val="0048641C"/>
    <w:rsid w:val="004864C4"/>
    <w:rsid w:val="004864DD"/>
    <w:rsid w:val="00486559"/>
    <w:rsid w:val="004867A4"/>
    <w:rsid w:val="004867E2"/>
    <w:rsid w:val="004869BC"/>
    <w:rsid w:val="004869D7"/>
    <w:rsid w:val="00486A3C"/>
    <w:rsid w:val="00486B16"/>
    <w:rsid w:val="00486C7B"/>
    <w:rsid w:val="00486D42"/>
    <w:rsid w:val="00486DE6"/>
    <w:rsid w:val="004870FA"/>
    <w:rsid w:val="0048711C"/>
    <w:rsid w:val="004871BD"/>
    <w:rsid w:val="0048721A"/>
    <w:rsid w:val="00487606"/>
    <w:rsid w:val="00487717"/>
    <w:rsid w:val="004877F5"/>
    <w:rsid w:val="004877FA"/>
    <w:rsid w:val="00487806"/>
    <w:rsid w:val="004878F1"/>
    <w:rsid w:val="00487917"/>
    <w:rsid w:val="004879A7"/>
    <w:rsid w:val="004879AD"/>
    <w:rsid w:val="00487AB8"/>
    <w:rsid w:val="00487AFD"/>
    <w:rsid w:val="00487B2D"/>
    <w:rsid w:val="00487BF4"/>
    <w:rsid w:val="00487C93"/>
    <w:rsid w:val="00487CDD"/>
    <w:rsid w:val="00487E5A"/>
    <w:rsid w:val="00487EC6"/>
    <w:rsid w:val="00487F4A"/>
    <w:rsid w:val="0049006C"/>
    <w:rsid w:val="004900AB"/>
    <w:rsid w:val="0049010B"/>
    <w:rsid w:val="004901EE"/>
    <w:rsid w:val="00490225"/>
    <w:rsid w:val="0049037D"/>
    <w:rsid w:val="00490463"/>
    <w:rsid w:val="004904E4"/>
    <w:rsid w:val="00490517"/>
    <w:rsid w:val="0049052F"/>
    <w:rsid w:val="0049073C"/>
    <w:rsid w:val="00490757"/>
    <w:rsid w:val="0049093E"/>
    <w:rsid w:val="00490AE1"/>
    <w:rsid w:val="00490B07"/>
    <w:rsid w:val="00490C0C"/>
    <w:rsid w:val="00490C3D"/>
    <w:rsid w:val="00490CFE"/>
    <w:rsid w:val="00490D0B"/>
    <w:rsid w:val="00490D80"/>
    <w:rsid w:val="00490DAC"/>
    <w:rsid w:val="00490DD5"/>
    <w:rsid w:val="00490DFF"/>
    <w:rsid w:val="00490E88"/>
    <w:rsid w:val="00490F14"/>
    <w:rsid w:val="00490F52"/>
    <w:rsid w:val="00490F57"/>
    <w:rsid w:val="00490F58"/>
    <w:rsid w:val="00490FB1"/>
    <w:rsid w:val="00491044"/>
    <w:rsid w:val="004910C1"/>
    <w:rsid w:val="004910D1"/>
    <w:rsid w:val="0049110E"/>
    <w:rsid w:val="00491235"/>
    <w:rsid w:val="00491302"/>
    <w:rsid w:val="00491393"/>
    <w:rsid w:val="004913A4"/>
    <w:rsid w:val="00491530"/>
    <w:rsid w:val="004915D3"/>
    <w:rsid w:val="004915F1"/>
    <w:rsid w:val="0049167B"/>
    <w:rsid w:val="004916E6"/>
    <w:rsid w:val="0049171B"/>
    <w:rsid w:val="00491720"/>
    <w:rsid w:val="004917F8"/>
    <w:rsid w:val="00491866"/>
    <w:rsid w:val="00491937"/>
    <w:rsid w:val="00491996"/>
    <w:rsid w:val="00491A07"/>
    <w:rsid w:val="00491A5C"/>
    <w:rsid w:val="00491A6B"/>
    <w:rsid w:val="00491BDA"/>
    <w:rsid w:val="00491C01"/>
    <w:rsid w:val="00491C57"/>
    <w:rsid w:val="00491C7B"/>
    <w:rsid w:val="00491C95"/>
    <w:rsid w:val="00491CA1"/>
    <w:rsid w:val="00491DB5"/>
    <w:rsid w:val="00491E5E"/>
    <w:rsid w:val="00491EFF"/>
    <w:rsid w:val="0049202B"/>
    <w:rsid w:val="0049203E"/>
    <w:rsid w:val="0049206E"/>
    <w:rsid w:val="00492085"/>
    <w:rsid w:val="004921E1"/>
    <w:rsid w:val="004921EF"/>
    <w:rsid w:val="00492286"/>
    <w:rsid w:val="00492340"/>
    <w:rsid w:val="004923E0"/>
    <w:rsid w:val="004924F2"/>
    <w:rsid w:val="00492517"/>
    <w:rsid w:val="004925A5"/>
    <w:rsid w:val="0049275E"/>
    <w:rsid w:val="0049277D"/>
    <w:rsid w:val="004928BD"/>
    <w:rsid w:val="0049291A"/>
    <w:rsid w:val="0049298C"/>
    <w:rsid w:val="00492991"/>
    <w:rsid w:val="00492AB0"/>
    <w:rsid w:val="00492AC5"/>
    <w:rsid w:val="00492B6B"/>
    <w:rsid w:val="00492C76"/>
    <w:rsid w:val="00492CC6"/>
    <w:rsid w:val="00492DAC"/>
    <w:rsid w:val="00492DAE"/>
    <w:rsid w:val="00492DF0"/>
    <w:rsid w:val="00492E07"/>
    <w:rsid w:val="00492EA9"/>
    <w:rsid w:val="00492F5B"/>
    <w:rsid w:val="0049309E"/>
    <w:rsid w:val="004930EC"/>
    <w:rsid w:val="004932BF"/>
    <w:rsid w:val="004932C9"/>
    <w:rsid w:val="0049330F"/>
    <w:rsid w:val="00493310"/>
    <w:rsid w:val="00493383"/>
    <w:rsid w:val="004934E5"/>
    <w:rsid w:val="00493556"/>
    <w:rsid w:val="004935E4"/>
    <w:rsid w:val="0049360F"/>
    <w:rsid w:val="004937D9"/>
    <w:rsid w:val="004938A9"/>
    <w:rsid w:val="00493961"/>
    <w:rsid w:val="004939B1"/>
    <w:rsid w:val="004939BF"/>
    <w:rsid w:val="004939F7"/>
    <w:rsid w:val="00493BC8"/>
    <w:rsid w:val="00493BF7"/>
    <w:rsid w:val="00493C55"/>
    <w:rsid w:val="00493D75"/>
    <w:rsid w:val="00493F19"/>
    <w:rsid w:val="00493F22"/>
    <w:rsid w:val="00493F7C"/>
    <w:rsid w:val="00493FCC"/>
    <w:rsid w:val="004942BE"/>
    <w:rsid w:val="004942D5"/>
    <w:rsid w:val="004942E8"/>
    <w:rsid w:val="004942EA"/>
    <w:rsid w:val="0049431E"/>
    <w:rsid w:val="004944AB"/>
    <w:rsid w:val="004944CF"/>
    <w:rsid w:val="004945AF"/>
    <w:rsid w:val="0049488D"/>
    <w:rsid w:val="00494B06"/>
    <w:rsid w:val="00494CA2"/>
    <w:rsid w:val="00494D93"/>
    <w:rsid w:val="00494D97"/>
    <w:rsid w:val="00494E0F"/>
    <w:rsid w:val="00494E61"/>
    <w:rsid w:val="00494F21"/>
    <w:rsid w:val="00494FC4"/>
    <w:rsid w:val="00495053"/>
    <w:rsid w:val="0049509B"/>
    <w:rsid w:val="00495168"/>
    <w:rsid w:val="004951C2"/>
    <w:rsid w:val="00495262"/>
    <w:rsid w:val="00495263"/>
    <w:rsid w:val="004952B4"/>
    <w:rsid w:val="004952FE"/>
    <w:rsid w:val="00495362"/>
    <w:rsid w:val="004954AA"/>
    <w:rsid w:val="004955B8"/>
    <w:rsid w:val="0049561E"/>
    <w:rsid w:val="00495621"/>
    <w:rsid w:val="00495685"/>
    <w:rsid w:val="00495695"/>
    <w:rsid w:val="00495696"/>
    <w:rsid w:val="004956B7"/>
    <w:rsid w:val="004956EE"/>
    <w:rsid w:val="00495718"/>
    <w:rsid w:val="00495844"/>
    <w:rsid w:val="004958B5"/>
    <w:rsid w:val="00495990"/>
    <w:rsid w:val="00495A02"/>
    <w:rsid w:val="00495A7C"/>
    <w:rsid w:val="00495ADF"/>
    <w:rsid w:val="00495B07"/>
    <w:rsid w:val="00495BB2"/>
    <w:rsid w:val="00495BEA"/>
    <w:rsid w:val="00495BFD"/>
    <w:rsid w:val="00495C08"/>
    <w:rsid w:val="00495C76"/>
    <w:rsid w:val="00495D24"/>
    <w:rsid w:val="00495E4D"/>
    <w:rsid w:val="00495E56"/>
    <w:rsid w:val="00495EE7"/>
    <w:rsid w:val="00495EE9"/>
    <w:rsid w:val="00495F0B"/>
    <w:rsid w:val="00496089"/>
    <w:rsid w:val="004960C5"/>
    <w:rsid w:val="00496210"/>
    <w:rsid w:val="0049628D"/>
    <w:rsid w:val="004962AC"/>
    <w:rsid w:val="004963A3"/>
    <w:rsid w:val="0049647F"/>
    <w:rsid w:val="004964D5"/>
    <w:rsid w:val="004964E5"/>
    <w:rsid w:val="0049654B"/>
    <w:rsid w:val="00496597"/>
    <w:rsid w:val="004965FA"/>
    <w:rsid w:val="00496692"/>
    <w:rsid w:val="004966BC"/>
    <w:rsid w:val="004966DF"/>
    <w:rsid w:val="0049675A"/>
    <w:rsid w:val="004967F5"/>
    <w:rsid w:val="00496811"/>
    <w:rsid w:val="0049683D"/>
    <w:rsid w:val="004968B4"/>
    <w:rsid w:val="00496AC1"/>
    <w:rsid w:val="00496AF6"/>
    <w:rsid w:val="00496CD4"/>
    <w:rsid w:val="00496D10"/>
    <w:rsid w:val="00496E1E"/>
    <w:rsid w:val="00496ED7"/>
    <w:rsid w:val="00496F8C"/>
    <w:rsid w:val="00496FC3"/>
    <w:rsid w:val="004970CA"/>
    <w:rsid w:val="004970FC"/>
    <w:rsid w:val="00497116"/>
    <w:rsid w:val="00497171"/>
    <w:rsid w:val="004971A6"/>
    <w:rsid w:val="004971BD"/>
    <w:rsid w:val="00497244"/>
    <w:rsid w:val="0049729D"/>
    <w:rsid w:val="004972DE"/>
    <w:rsid w:val="004972E2"/>
    <w:rsid w:val="00497356"/>
    <w:rsid w:val="00497405"/>
    <w:rsid w:val="0049746C"/>
    <w:rsid w:val="004975D1"/>
    <w:rsid w:val="00497742"/>
    <w:rsid w:val="00497770"/>
    <w:rsid w:val="004977F8"/>
    <w:rsid w:val="00497830"/>
    <w:rsid w:val="004978AC"/>
    <w:rsid w:val="00497908"/>
    <w:rsid w:val="00497A89"/>
    <w:rsid w:val="00497DC3"/>
    <w:rsid w:val="00497EAA"/>
    <w:rsid w:val="00497EAB"/>
    <w:rsid w:val="004A008F"/>
    <w:rsid w:val="004A00AE"/>
    <w:rsid w:val="004A01B8"/>
    <w:rsid w:val="004A026D"/>
    <w:rsid w:val="004A0285"/>
    <w:rsid w:val="004A05EC"/>
    <w:rsid w:val="004A067B"/>
    <w:rsid w:val="004A0737"/>
    <w:rsid w:val="004A07A7"/>
    <w:rsid w:val="004A07E9"/>
    <w:rsid w:val="004A08A7"/>
    <w:rsid w:val="004A08C9"/>
    <w:rsid w:val="004A0A45"/>
    <w:rsid w:val="004A0A66"/>
    <w:rsid w:val="004A0B19"/>
    <w:rsid w:val="004A0B4F"/>
    <w:rsid w:val="004A0B63"/>
    <w:rsid w:val="004A0C2F"/>
    <w:rsid w:val="004A0C33"/>
    <w:rsid w:val="004A0D43"/>
    <w:rsid w:val="004A0D57"/>
    <w:rsid w:val="004A0DCC"/>
    <w:rsid w:val="004A0E32"/>
    <w:rsid w:val="004A0FAA"/>
    <w:rsid w:val="004A10C6"/>
    <w:rsid w:val="004A117E"/>
    <w:rsid w:val="004A1182"/>
    <w:rsid w:val="004A11D4"/>
    <w:rsid w:val="004A1297"/>
    <w:rsid w:val="004A1338"/>
    <w:rsid w:val="004A13BE"/>
    <w:rsid w:val="004A1419"/>
    <w:rsid w:val="004A14BB"/>
    <w:rsid w:val="004A14D9"/>
    <w:rsid w:val="004A153C"/>
    <w:rsid w:val="004A15A4"/>
    <w:rsid w:val="004A15AA"/>
    <w:rsid w:val="004A15E0"/>
    <w:rsid w:val="004A1677"/>
    <w:rsid w:val="004A171E"/>
    <w:rsid w:val="004A178D"/>
    <w:rsid w:val="004A1844"/>
    <w:rsid w:val="004A1875"/>
    <w:rsid w:val="004A18B1"/>
    <w:rsid w:val="004A1971"/>
    <w:rsid w:val="004A1B38"/>
    <w:rsid w:val="004A1CA6"/>
    <w:rsid w:val="004A1CB1"/>
    <w:rsid w:val="004A1D30"/>
    <w:rsid w:val="004A1E17"/>
    <w:rsid w:val="004A1F2F"/>
    <w:rsid w:val="004A1F46"/>
    <w:rsid w:val="004A20C0"/>
    <w:rsid w:val="004A225D"/>
    <w:rsid w:val="004A22A6"/>
    <w:rsid w:val="004A22FD"/>
    <w:rsid w:val="004A2428"/>
    <w:rsid w:val="004A24A5"/>
    <w:rsid w:val="004A2657"/>
    <w:rsid w:val="004A2696"/>
    <w:rsid w:val="004A273B"/>
    <w:rsid w:val="004A2A0E"/>
    <w:rsid w:val="004A2A3F"/>
    <w:rsid w:val="004A2B4F"/>
    <w:rsid w:val="004A2CC7"/>
    <w:rsid w:val="004A2E9F"/>
    <w:rsid w:val="004A30EB"/>
    <w:rsid w:val="004A3234"/>
    <w:rsid w:val="004A323F"/>
    <w:rsid w:val="004A32B3"/>
    <w:rsid w:val="004A32E7"/>
    <w:rsid w:val="004A3393"/>
    <w:rsid w:val="004A3416"/>
    <w:rsid w:val="004A3477"/>
    <w:rsid w:val="004A3536"/>
    <w:rsid w:val="004A360C"/>
    <w:rsid w:val="004A369D"/>
    <w:rsid w:val="004A36AB"/>
    <w:rsid w:val="004A36F3"/>
    <w:rsid w:val="004A3754"/>
    <w:rsid w:val="004A384A"/>
    <w:rsid w:val="004A38D1"/>
    <w:rsid w:val="004A393E"/>
    <w:rsid w:val="004A3A0F"/>
    <w:rsid w:val="004A3A49"/>
    <w:rsid w:val="004A3AD8"/>
    <w:rsid w:val="004A3B3E"/>
    <w:rsid w:val="004A3D3C"/>
    <w:rsid w:val="004A3D43"/>
    <w:rsid w:val="004A3DAD"/>
    <w:rsid w:val="004A3DF8"/>
    <w:rsid w:val="004A3DF9"/>
    <w:rsid w:val="004A4019"/>
    <w:rsid w:val="004A4040"/>
    <w:rsid w:val="004A4129"/>
    <w:rsid w:val="004A41F7"/>
    <w:rsid w:val="004A432A"/>
    <w:rsid w:val="004A43AC"/>
    <w:rsid w:val="004A43F6"/>
    <w:rsid w:val="004A449C"/>
    <w:rsid w:val="004A4557"/>
    <w:rsid w:val="004A45CB"/>
    <w:rsid w:val="004A463E"/>
    <w:rsid w:val="004A4796"/>
    <w:rsid w:val="004A47B2"/>
    <w:rsid w:val="004A47BA"/>
    <w:rsid w:val="004A47C4"/>
    <w:rsid w:val="004A47CA"/>
    <w:rsid w:val="004A4823"/>
    <w:rsid w:val="004A4832"/>
    <w:rsid w:val="004A48E4"/>
    <w:rsid w:val="004A4B90"/>
    <w:rsid w:val="004A4BB7"/>
    <w:rsid w:val="004A4BD4"/>
    <w:rsid w:val="004A4BF6"/>
    <w:rsid w:val="004A4CA1"/>
    <w:rsid w:val="004A4CC8"/>
    <w:rsid w:val="004A4CED"/>
    <w:rsid w:val="004A4D04"/>
    <w:rsid w:val="004A4ED8"/>
    <w:rsid w:val="004A4EDA"/>
    <w:rsid w:val="004A4F8D"/>
    <w:rsid w:val="004A4FE0"/>
    <w:rsid w:val="004A50B6"/>
    <w:rsid w:val="004A50C7"/>
    <w:rsid w:val="004A510C"/>
    <w:rsid w:val="004A5110"/>
    <w:rsid w:val="004A525A"/>
    <w:rsid w:val="004A52F2"/>
    <w:rsid w:val="004A5307"/>
    <w:rsid w:val="004A536D"/>
    <w:rsid w:val="004A539B"/>
    <w:rsid w:val="004A5472"/>
    <w:rsid w:val="004A54E9"/>
    <w:rsid w:val="004A5539"/>
    <w:rsid w:val="004A56AF"/>
    <w:rsid w:val="004A5704"/>
    <w:rsid w:val="004A59CE"/>
    <w:rsid w:val="004A5BBE"/>
    <w:rsid w:val="004A5CAC"/>
    <w:rsid w:val="004A5D6A"/>
    <w:rsid w:val="004A5D6E"/>
    <w:rsid w:val="004A5D75"/>
    <w:rsid w:val="004A5DE8"/>
    <w:rsid w:val="004A5EC3"/>
    <w:rsid w:val="004A5ED7"/>
    <w:rsid w:val="004A5F99"/>
    <w:rsid w:val="004A606B"/>
    <w:rsid w:val="004A60C7"/>
    <w:rsid w:val="004A618C"/>
    <w:rsid w:val="004A61C3"/>
    <w:rsid w:val="004A61D8"/>
    <w:rsid w:val="004A62E6"/>
    <w:rsid w:val="004A63A7"/>
    <w:rsid w:val="004A6420"/>
    <w:rsid w:val="004A65A2"/>
    <w:rsid w:val="004A65FE"/>
    <w:rsid w:val="004A67B1"/>
    <w:rsid w:val="004A67BB"/>
    <w:rsid w:val="004A68DC"/>
    <w:rsid w:val="004A6920"/>
    <w:rsid w:val="004A6963"/>
    <w:rsid w:val="004A699B"/>
    <w:rsid w:val="004A6A07"/>
    <w:rsid w:val="004A6ADF"/>
    <w:rsid w:val="004A6B3E"/>
    <w:rsid w:val="004A6B72"/>
    <w:rsid w:val="004A6C50"/>
    <w:rsid w:val="004A6CD8"/>
    <w:rsid w:val="004A6D31"/>
    <w:rsid w:val="004A6DA6"/>
    <w:rsid w:val="004A6DE5"/>
    <w:rsid w:val="004A6E0D"/>
    <w:rsid w:val="004A6E6B"/>
    <w:rsid w:val="004A6F57"/>
    <w:rsid w:val="004A6FCC"/>
    <w:rsid w:val="004A7247"/>
    <w:rsid w:val="004A72A5"/>
    <w:rsid w:val="004A7308"/>
    <w:rsid w:val="004A731A"/>
    <w:rsid w:val="004A7364"/>
    <w:rsid w:val="004A73A2"/>
    <w:rsid w:val="004A7438"/>
    <w:rsid w:val="004A743C"/>
    <w:rsid w:val="004A7441"/>
    <w:rsid w:val="004A7622"/>
    <w:rsid w:val="004A7734"/>
    <w:rsid w:val="004A7756"/>
    <w:rsid w:val="004A7A1A"/>
    <w:rsid w:val="004A7A2F"/>
    <w:rsid w:val="004A7ABB"/>
    <w:rsid w:val="004A7AEE"/>
    <w:rsid w:val="004A7BFF"/>
    <w:rsid w:val="004A7C16"/>
    <w:rsid w:val="004A7D3F"/>
    <w:rsid w:val="004A7DAD"/>
    <w:rsid w:val="004A7DEF"/>
    <w:rsid w:val="004A7E12"/>
    <w:rsid w:val="004A7E6D"/>
    <w:rsid w:val="004A7F82"/>
    <w:rsid w:val="004A7FA2"/>
    <w:rsid w:val="004B000D"/>
    <w:rsid w:val="004B006F"/>
    <w:rsid w:val="004B00D0"/>
    <w:rsid w:val="004B0101"/>
    <w:rsid w:val="004B0169"/>
    <w:rsid w:val="004B01A0"/>
    <w:rsid w:val="004B01D4"/>
    <w:rsid w:val="004B0233"/>
    <w:rsid w:val="004B03C3"/>
    <w:rsid w:val="004B0423"/>
    <w:rsid w:val="004B045D"/>
    <w:rsid w:val="004B0594"/>
    <w:rsid w:val="004B07B6"/>
    <w:rsid w:val="004B0819"/>
    <w:rsid w:val="004B0870"/>
    <w:rsid w:val="004B09C2"/>
    <w:rsid w:val="004B0A0B"/>
    <w:rsid w:val="004B0B8B"/>
    <w:rsid w:val="004B0C1F"/>
    <w:rsid w:val="004B0C3D"/>
    <w:rsid w:val="004B0CB5"/>
    <w:rsid w:val="004B0CB6"/>
    <w:rsid w:val="004B0DD8"/>
    <w:rsid w:val="004B0DFE"/>
    <w:rsid w:val="004B0E38"/>
    <w:rsid w:val="004B0E99"/>
    <w:rsid w:val="004B0EAE"/>
    <w:rsid w:val="004B0F08"/>
    <w:rsid w:val="004B132A"/>
    <w:rsid w:val="004B1332"/>
    <w:rsid w:val="004B1366"/>
    <w:rsid w:val="004B1467"/>
    <w:rsid w:val="004B14C8"/>
    <w:rsid w:val="004B155F"/>
    <w:rsid w:val="004B17A0"/>
    <w:rsid w:val="004B1870"/>
    <w:rsid w:val="004B194B"/>
    <w:rsid w:val="004B196A"/>
    <w:rsid w:val="004B1A25"/>
    <w:rsid w:val="004B1B01"/>
    <w:rsid w:val="004B1B5B"/>
    <w:rsid w:val="004B1C4E"/>
    <w:rsid w:val="004B1C82"/>
    <w:rsid w:val="004B1D09"/>
    <w:rsid w:val="004B1D4E"/>
    <w:rsid w:val="004B1DE3"/>
    <w:rsid w:val="004B1E76"/>
    <w:rsid w:val="004B1FEC"/>
    <w:rsid w:val="004B2046"/>
    <w:rsid w:val="004B2056"/>
    <w:rsid w:val="004B2063"/>
    <w:rsid w:val="004B20AC"/>
    <w:rsid w:val="004B20CC"/>
    <w:rsid w:val="004B20DB"/>
    <w:rsid w:val="004B227A"/>
    <w:rsid w:val="004B22D4"/>
    <w:rsid w:val="004B22E2"/>
    <w:rsid w:val="004B2336"/>
    <w:rsid w:val="004B2404"/>
    <w:rsid w:val="004B24CA"/>
    <w:rsid w:val="004B24F9"/>
    <w:rsid w:val="004B2518"/>
    <w:rsid w:val="004B2532"/>
    <w:rsid w:val="004B2555"/>
    <w:rsid w:val="004B2557"/>
    <w:rsid w:val="004B2559"/>
    <w:rsid w:val="004B2603"/>
    <w:rsid w:val="004B2635"/>
    <w:rsid w:val="004B27F6"/>
    <w:rsid w:val="004B2829"/>
    <w:rsid w:val="004B2831"/>
    <w:rsid w:val="004B2955"/>
    <w:rsid w:val="004B2991"/>
    <w:rsid w:val="004B2B18"/>
    <w:rsid w:val="004B2B8E"/>
    <w:rsid w:val="004B2DEC"/>
    <w:rsid w:val="004B2F25"/>
    <w:rsid w:val="004B2FF5"/>
    <w:rsid w:val="004B2FFD"/>
    <w:rsid w:val="004B304B"/>
    <w:rsid w:val="004B30B9"/>
    <w:rsid w:val="004B30E5"/>
    <w:rsid w:val="004B311A"/>
    <w:rsid w:val="004B31A6"/>
    <w:rsid w:val="004B31BC"/>
    <w:rsid w:val="004B32D8"/>
    <w:rsid w:val="004B3383"/>
    <w:rsid w:val="004B3677"/>
    <w:rsid w:val="004B36C0"/>
    <w:rsid w:val="004B36FB"/>
    <w:rsid w:val="004B372B"/>
    <w:rsid w:val="004B3898"/>
    <w:rsid w:val="004B3AE2"/>
    <w:rsid w:val="004B3D6E"/>
    <w:rsid w:val="004B3DA5"/>
    <w:rsid w:val="004B3DB1"/>
    <w:rsid w:val="004B3DE9"/>
    <w:rsid w:val="004B4177"/>
    <w:rsid w:val="004B41A9"/>
    <w:rsid w:val="004B41C9"/>
    <w:rsid w:val="004B42B8"/>
    <w:rsid w:val="004B466E"/>
    <w:rsid w:val="004B467C"/>
    <w:rsid w:val="004B471C"/>
    <w:rsid w:val="004B47D3"/>
    <w:rsid w:val="004B47FF"/>
    <w:rsid w:val="004B48CB"/>
    <w:rsid w:val="004B4933"/>
    <w:rsid w:val="004B4A0E"/>
    <w:rsid w:val="004B4AA2"/>
    <w:rsid w:val="004B4AB4"/>
    <w:rsid w:val="004B4ADF"/>
    <w:rsid w:val="004B4B11"/>
    <w:rsid w:val="004B4B43"/>
    <w:rsid w:val="004B4C6A"/>
    <w:rsid w:val="004B4C81"/>
    <w:rsid w:val="004B4D76"/>
    <w:rsid w:val="004B4D9E"/>
    <w:rsid w:val="004B4F0A"/>
    <w:rsid w:val="004B4F39"/>
    <w:rsid w:val="004B4F40"/>
    <w:rsid w:val="004B4FA7"/>
    <w:rsid w:val="004B4FC5"/>
    <w:rsid w:val="004B50A2"/>
    <w:rsid w:val="004B510D"/>
    <w:rsid w:val="004B5144"/>
    <w:rsid w:val="004B51D3"/>
    <w:rsid w:val="004B52F9"/>
    <w:rsid w:val="004B530A"/>
    <w:rsid w:val="004B53B6"/>
    <w:rsid w:val="004B53F1"/>
    <w:rsid w:val="004B5444"/>
    <w:rsid w:val="004B548A"/>
    <w:rsid w:val="004B5532"/>
    <w:rsid w:val="004B566A"/>
    <w:rsid w:val="004B5678"/>
    <w:rsid w:val="004B570B"/>
    <w:rsid w:val="004B5717"/>
    <w:rsid w:val="004B5752"/>
    <w:rsid w:val="004B5786"/>
    <w:rsid w:val="004B5851"/>
    <w:rsid w:val="004B58A9"/>
    <w:rsid w:val="004B5994"/>
    <w:rsid w:val="004B599C"/>
    <w:rsid w:val="004B5BBC"/>
    <w:rsid w:val="004B5C32"/>
    <w:rsid w:val="004B5C56"/>
    <w:rsid w:val="004B5C61"/>
    <w:rsid w:val="004B5C67"/>
    <w:rsid w:val="004B5C87"/>
    <w:rsid w:val="004B5D4E"/>
    <w:rsid w:val="004B5D5B"/>
    <w:rsid w:val="004B5E4C"/>
    <w:rsid w:val="004B5F97"/>
    <w:rsid w:val="004B6019"/>
    <w:rsid w:val="004B60A7"/>
    <w:rsid w:val="004B6169"/>
    <w:rsid w:val="004B63EB"/>
    <w:rsid w:val="004B63EE"/>
    <w:rsid w:val="004B64D5"/>
    <w:rsid w:val="004B65C1"/>
    <w:rsid w:val="004B660B"/>
    <w:rsid w:val="004B667B"/>
    <w:rsid w:val="004B66D7"/>
    <w:rsid w:val="004B6734"/>
    <w:rsid w:val="004B67AC"/>
    <w:rsid w:val="004B68AE"/>
    <w:rsid w:val="004B6930"/>
    <w:rsid w:val="004B693A"/>
    <w:rsid w:val="004B6948"/>
    <w:rsid w:val="004B69C3"/>
    <w:rsid w:val="004B6A1F"/>
    <w:rsid w:val="004B6A4C"/>
    <w:rsid w:val="004B6A51"/>
    <w:rsid w:val="004B6B34"/>
    <w:rsid w:val="004B6B89"/>
    <w:rsid w:val="004B6BDF"/>
    <w:rsid w:val="004B6C6A"/>
    <w:rsid w:val="004B6CE5"/>
    <w:rsid w:val="004B6D24"/>
    <w:rsid w:val="004B6E3D"/>
    <w:rsid w:val="004B6EC4"/>
    <w:rsid w:val="004B6F0B"/>
    <w:rsid w:val="004B6FF8"/>
    <w:rsid w:val="004B700D"/>
    <w:rsid w:val="004B729A"/>
    <w:rsid w:val="004B731D"/>
    <w:rsid w:val="004B7325"/>
    <w:rsid w:val="004B7433"/>
    <w:rsid w:val="004B752D"/>
    <w:rsid w:val="004B758A"/>
    <w:rsid w:val="004B75A8"/>
    <w:rsid w:val="004B764F"/>
    <w:rsid w:val="004B766A"/>
    <w:rsid w:val="004B76D2"/>
    <w:rsid w:val="004B7722"/>
    <w:rsid w:val="004B772C"/>
    <w:rsid w:val="004B77C7"/>
    <w:rsid w:val="004B7991"/>
    <w:rsid w:val="004B799A"/>
    <w:rsid w:val="004B79FE"/>
    <w:rsid w:val="004B7B1C"/>
    <w:rsid w:val="004B7C1D"/>
    <w:rsid w:val="004B7D15"/>
    <w:rsid w:val="004B7DAF"/>
    <w:rsid w:val="004B7EDF"/>
    <w:rsid w:val="004B7F94"/>
    <w:rsid w:val="004C0076"/>
    <w:rsid w:val="004C00B6"/>
    <w:rsid w:val="004C01B9"/>
    <w:rsid w:val="004C01C9"/>
    <w:rsid w:val="004C01FF"/>
    <w:rsid w:val="004C02B1"/>
    <w:rsid w:val="004C03C8"/>
    <w:rsid w:val="004C046F"/>
    <w:rsid w:val="004C04AB"/>
    <w:rsid w:val="004C04DA"/>
    <w:rsid w:val="004C0542"/>
    <w:rsid w:val="004C05F2"/>
    <w:rsid w:val="004C064A"/>
    <w:rsid w:val="004C064B"/>
    <w:rsid w:val="004C08AD"/>
    <w:rsid w:val="004C0A2C"/>
    <w:rsid w:val="004C0C76"/>
    <w:rsid w:val="004C0DFC"/>
    <w:rsid w:val="004C0E15"/>
    <w:rsid w:val="004C0E5F"/>
    <w:rsid w:val="004C0E8A"/>
    <w:rsid w:val="004C0F37"/>
    <w:rsid w:val="004C0F72"/>
    <w:rsid w:val="004C10AE"/>
    <w:rsid w:val="004C10F9"/>
    <w:rsid w:val="004C10FE"/>
    <w:rsid w:val="004C112F"/>
    <w:rsid w:val="004C1183"/>
    <w:rsid w:val="004C11EE"/>
    <w:rsid w:val="004C1297"/>
    <w:rsid w:val="004C13C1"/>
    <w:rsid w:val="004C13EF"/>
    <w:rsid w:val="004C1710"/>
    <w:rsid w:val="004C1846"/>
    <w:rsid w:val="004C1950"/>
    <w:rsid w:val="004C1966"/>
    <w:rsid w:val="004C1A1C"/>
    <w:rsid w:val="004C1AF0"/>
    <w:rsid w:val="004C1B6E"/>
    <w:rsid w:val="004C1C49"/>
    <w:rsid w:val="004C1C64"/>
    <w:rsid w:val="004C1C73"/>
    <w:rsid w:val="004C1E05"/>
    <w:rsid w:val="004C1E41"/>
    <w:rsid w:val="004C1E95"/>
    <w:rsid w:val="004C1ED1"/>
    <w:rsid w:val="004C1F89"/>
    <w:rsid w:val="004C213A"/>
    <w:rsid w:val="004C21A3"/>
    <w:rsid w:val="004C2234"/>
    <w:rsid w:val="004C22CB"/>
    <w:rsid w:val="004C23CC"/>
    <w:rsid w:val="004C23E9"/>
    <w:rsid w:val="004C248F"/>
    <w:rsid w:val="004C24C1"/>
    <w:rsid w:val="004C25C8"/>
    <w:rsid w:val="004C25E7"/>
    <w:rsid w:val="004C25FB"/>
    <w:rsid w:val="004C2731"/>
    <w:rsid w:val="004C2968"/>
    <w:rsid w:val="004C29C6"/>
    <w:rsid w:val="004C29E5"/>
    <w:rsid w:val="004C2A13"/>
    <w:rsid w:val="004C2A9B"/>
    <w:rsid w:val="004C2B16"/>
    <w:rsid w:val="004C2B7F"/>
    <w:rsid w:val="004C2CC8"/>
    <w:rsid w:val="004C2E4B"/>
    <w:rsid w:val="004C2E80"/>
    <w:rsid w:val="004C2F1E"/>
    <w:rsid w:val="004C2F5E"/>
    <w:rsid w:val="004C2FAE"/>
    <w:rsid w:val="004C2FBF"/>
    <w:rsid w:val="004C2FC2"/>
    <w:rsid w:val="004C30CE"/>
    <w:rsid w:val="004C312B"/>
    <w:rsid w:val="004C32E2"/>
    <w:rsid w:val="004C3397"/>
    <w:rsid w:val="004C34AF"/>
    <w:rsid w:val="004C358B"/>
    <w:rsid w:val="004C35FA"/>
    <w:rsid w:val="004C3614"/>
    <w:rsid w:val="004C3650"/>
    <w:rsid w:val="004C372F"/>
    <w:rsid w:val="004C3879"/>
    <w:rsid w:val="004C392A"/>
    <w:rsid w:val="004C3933"/>
    <w:rsid w:val="004C3958"/>
    <w:rsid w:val="004C39BD"/>
    <w:rsid w:val="004C39CB"/>
    <w:rsid w:val="004C3ABD"/>
    <w:rsid w:val="004C3B55"/>
    <w:rsid w:val="004C3BF6"/>
    <w:rsid w:val="004C3C3F"/>
    <w:rsid w:val="004C3C66"/>
    <w:rsid w:val="004C3CDB"/>
    <w:rsid w:val="004C3D72"/>
    <w:rsid w:val="004C3E96"/>
    <w:rsid w:val="004C3EB4"/>
    <w:rsid w:val="004C4109"/>
    <w:rsid w:val="004C4114"/>
    <w:rsid w:val="004C430F"/>
    <w:rsid w:val="004C438E"/>
    <w:rsid w:val="004C43D1"/>
    <w:rsid w:val="004C44D7"/>
    <w:rsid w:val="004C454C"/>
    <w:rsid w:val="004C454D"/>
    <w:rsid w:val="004C458B"/>
    <w:rsid w:val="004C45B4"/>
    <w:rsid w:val="004C45FF"/>
    <w:rsid w:val="004C4701"/>
    <w:rsid w:val="004C4862"/>
    <w:rsid w:val="004C4917"/>
    <w:rsid w:val="004C4918"/>
    <w:rsid w:val="004C4AC9"/>
    <w:rsid w:val="004C4BCC"/>
    <w:rsid w:val="004C4D30"/>
    <w:rsid w:val="004C4E6C"/>
    <w:rsid w:val="004C4E97"/>
    <w:rsid w:val="004C4EE0"/>
    <w:rsid w:val="004C4FFB"/>
    <w:rsid w:val="004C5207"/>
    <w:rsid w:val="004C53E2"/>
    <w:rsid w:val="004C53E8"/>
    <w:rsid w:val="004C53F9"/>
    <w:rsid w:val="004C54A1"/>
    <w:rsid w:val="004C5591"/>
    <w:rsid w:val="004C57C7"/>
    <w:rsid w:val="004C5864"/>
    <w:rsid w:val="004C586E"/>
    <w:rsid w:val="004C5A8E"/>
    <w:rsid w:val="004C5BE5"/>
    <w:rsid w:val="004C5D8F"/>
    <w:rsid w:val="004C5DEB"/>
    <w:rsid w:val="004C5ED5"/>
    <w:rsid w:val="004C5F0B"/>
    <w:rsid w:val="004C5F96"/>
    <w:rsid w:val="004C5FB8"/>
    <w:rsid w:val="004C5FC8"/>
    <w:rsid w:val="004C5FF6"/>
    <w:rsid w:val="004C5FFC"/>
    <w:rsid w:val="004C6198"/>
    <w:rsid w:val="004C61C3"/>
    <w:rsid w:val="004C6251"/>
    <w:rsid w:val="004C6296"/>
    <w:rsid w:val="004C635D"/>
    <w:rsid w:val="004C6499"/>
    <w:rsid w:val="004C64E4"/>
    <w:rsid w:val="004C64FA"/>
    <w:rsid w:val="004C65FA"/>
    <w:rsid w:val="004C661F"/>
    <w:rsid w:val="004C664F"/>
    <w:rsid w:val="004C67A7"/>
    <w:rsid w:val="004C6808"/>
    <w:rsid w:val="004C6861"/>
    <w:rsid w:val="004C68D7"/>
    <w:rsid w:val="004C6931"/>
    <w:rsid w:val="004C6961"/>
    <w:rsid w:val="004C697F"/>
    <w:rsid w:val="004C69A2"/>
    <w:rsid w:val="004C6A0D"/>
    <w:rsid w:val="004C6A36"/>
    <w:rsid w:val="004C6A5B"/>
    <w:rsid w:val="004C6B84"/>
    <w:rsid w:val="004C6B9F"/>
    <w:rsid w:val="004C6C5C"/>
    <w:rsid w:val="004C6D1C"/>
    <w:rsid w:val="004C6DB2"/>
    <w:rsid w:val="004C6DB6"/>
    <w:rsid w:val="004C6DDB"/>
    <w:rsid w:val="004C6F28"/>
    <w:rsid w:val="004C6F30"/>
    <w:rsid w:val="004C6F93"/>
    <w:rsid w:val="004C6FB3"/>
    <w:rsid w:val="004C7028"/>
    <w:rsid w:val="004C7055"/>
    <w:rsid w:val="004C709F"/>
    <w:rsid w:val="004C7210"/>
    <w:rsid w:val="004C725D"/>
    <w:rsid w:val="004C72A0"/>
    <w:rsid w:val="004C7324"/>
    <w:rsid w:val="004C734E"/>
    <w:rsid w:val="004C75B7"/>
    <w:rsid w:val="004C760C"/>
    <w:rsid w:val="004C763E"/>
    <w:rsid w:val="004C76AC"/>
    <w:rsid w:val="004C76C5"/>
    <w:rsid w:val="004C76D7"/>
    <w:rsid w:val="004C7746"/>
    <w:rsid w:val="004C78C6"/>
    <w:rsid w:val="004C7B00"/>
    <w:rsid w:val="004C7B06"/>
    <w:rsid w:val="004C7BB0"/>
    <w:rsid w:val="004C7D27"/>
    <w:rsid w:val="004C7E8F"/>
    <w:rsid w:val="004C7ED6"/>
    <w:rsid w:val="004D0043"/>
    <w:rsid w:val="004D00F3"/>
    <w:rsid w:val="004D026D"/>
    <w:rsid w:val="004D02A8"/>
    <w:rsid w:val="004D02E4"/>
    <w:rsid w:val="004D032D"/>
    <w:rsid w:val="004D0343"/>
    <w:rsid w:val="004D03CA"/>
    <w:rsid w:val="004D03F2"/>
    <w:rsid w:val="004D03FA"/>
    <w:rsid w:val="004D041F"/>
    <w:rsid w:val="004D056E"/>
    <w:rsid w:val="004D05A7"/>
    <w:rsid w:val="004D05A8"/>
    <w:rsid w:val="004D087C"/>
    <w:rsid w:val="004D088D"/>
    <w:rsid w:val="004D08D2"/>
    <w:rsid w:val="004D0927"/>
    <w:rsid w:val="004D09B0"/>
    <w:rsid w:val="004D0AA3"/>
    <w:rsid w:val="004D0ABC"/>
    <w:rsid w:val="004D0AF6"/>
    <w:rsid w:val="004D0B0E"/>
    <w:rsid w:val="004D0B2E"/>
    <w:rsid w:val="004D0B96"/>
    <w:rsid w:val="004D0BFC"/>
    <w:rsid w:val="004D0CB2"/>
    <w:rsid w:val="004D0CF6"/>
    <w:rsid w:val="004D0EDC"/>
    <w:rsid w:val="004D0F6D"/>
    <w:rsid w:val="004D0FC1"/>
    <w:rsid w:val="004D106F"/>
    <w:rsid w:val="004D108C"/>
    <w:rsid w:val="004D10DA"/>
    <w:rsid w:val="004D11BD"/>
    <w:rsid w:val="004D129D"/>
    <w:rsid w:val="004D12B4"/>
    <w:rsid w:val="004D12F0"/>
    <w:rsid w:val="004D130B"/>
    <w:rsid w:val="004D1371"/>
    <w:rsid w:val="004D14AB"/>
    <w:rsid w:val="004D14CC"/>
    <w:rsid w:val="004D14ED"/>
    <w:rsid w:val="004D1727"/>
    <w:rsid w:val="004D1822"/>
    <w:rsid w:val="004D18B6"/>
    <w:rsid w:val="004D18C5"/>
    <w:rsid w:val="004D18DB"/>
    <w:rsid w:val="004D18DD"/>
    <w:rsid w:val="004D1B41"/>
    <w:rsid w:val="004D1C10"/>
    <w:rsid w:val="004D1C59"/>
    <w:rsid w:val="004D1C77"/>
    <w:rsid w:val="004D1DCC"/>
    <w:rsid w:val="004D1E1B"/>
    <w:rsid w:val="004D1E2F"/>
    <w:rsid w:val="004D1E5E"/>
    <w:rsid w:val="004D1FDB"/>
    <w:rsid w:val="004D20E0"/>
    <w:rsid w:val="004D2236"/>
    <w:rsid w:val="004D2280"/>
    <w:rsid w:val="004D24B9"/>
    <w:rsid w:val="004D24E0"/>
    <w:rsid w:val="004D2542"/>
    <w:rsid w:val="004D25CD"/>
    <w:rsid w:val="004D262B"/>
    <w:rsid w:val="004D263F"/>
    <w:rsid w:val="004D265B"/>
    <w:rsid w:val="004D26B1"/>
    <w:rsid w:val="004D2774"/>
    <w:rsid w:val="004D2776"/>
    <w:rsid w:val="004D277C"/>
    <w:rsid w:val="004D27B4"/>
    <w:rsid w:val="004D2808"/>
    <w:rsid w:val="004D2814"/>
    <w:rsid w:val="004D2851"/>
    <w:rsid w:val="004D28EC"/>
    <w:rsid w:val="004D292B"/>
    <w:rsid w:val="004D298F"/>
    <w:rsid w:val="004D29F0"/>
    <w:rsid w:val="004D2A25"/>
    <w:rsid w:val="004D2AE8"/>
    <w:rsid w:val="004D2AEC"/>
    <w:rsid w:val="004D2B7D"/>
    <w:rsid w:val="004D2CFF"/>
    <w:rsid w:val="004D2D60"/>
    <w:rsid w:val="004D2E34"/>
    <w:rsid w:val="004D2E45"/>
    <w:rsid w:val="004D2E4A"/>
    <w:rsid w:val="004D2EBC"/>
    <w:rsid w:val="004D2F7C"/>
    <w:rsid w:val="004D2FAA"/>
    <w:rsid w:val="004D2FBE"/>
    <w:rsid w:val="004D3003"/>
    <w:rsid w:val="004D31C6"/>
    <w:rsid w:val="004D3271"/>
    <w:rsid w:val="004D32C9"/>
    <w:rsid w:val="004D34F0"/>
    <w:rsid w:val="004D3563"/>
    <w:rsid w:val="004D3589"/>
    <w:rsid w:val="004D3600"/>
    <w:rsid w:val="004D3837"/>
    <w:rsid w:val="004D3845"/>
    <w:rsid w:val="004D39F5"/>
    <w:rsid w:val="004D3A03"/>
    <w:rsid w:val="004D3ABB"/>
    <w:rsid w:val="004D3ABF"/>
    <w:rsid w:val="004D3C64"/>
    <w:rsid w:val="004D3CD9"/>
    <w:rsid w:val="004D3CED"/>
    <w:rsid w:val="004D3CFA"/>
    <w:rsid w:val="004D3D75"/>
    <w:rsid w:val="004D3DE9"/>
    <w:rsid w:val="004D3F86"/>
    <w:rsid w:val="004D401B"/>
    <w:rsid w:val="004D4125"/>
    <w:rsid w:val="004D42C0"/>
    <w:rsid w:val="004D438F"/>
    <w:rsid w:val="004D43AB"/>
    <w:rsid w:val="004D43FC"/>
    <w:rsid w:val="004D44E4"/>
    <w:rsid w:val="004D4589"/>
    <w:rsid w:val="004D45C4"/>
    <w:rsid w:val="004D46FE"/>
    <w:rsid w:val="004D485A"/>
    <w:rsid w:val="004D4918"/>
    <w:rsid w:val="004D491A"/>
    <w:rsid w:val="004D495E"/>
    <w:rsid w:val="004D4A7C"/>
    <w:rsid w:val="004D4A9F"/>
    <w:rsid w:val="004D4C13"/>
    <w:rsid w:val="004D4C1C"/>
    <w:rsid w:val="004D4C2D"/>
    <w:rsid w:val="004D4C63"/>
    <w:rsid w:val="004D4EC4"/>
    <w:rsid w:val="004D4F77"/>
    <w:rsid w:val="004D4F81"/>
    <w:rsid w:val="004D5168"/>
    <w:rsid w:val="004D51B5"/>
    <w:rsid w:val="004D52AC"/>
    <w:rsid w:val="004D5498"/>
    <w:rsid w:val="004D5707"/>
    <w:rsid w:val="004D573C"/>
    <w:rsid w:val="004D594B"/>
    <w:rsid w:val="004D5A7A"/>
    <w:rsid w:val="004D5AC0"/>
    <w:rsid w:val="004D5B2F"/>
    <w:rsid w:val="004D5CB9"/>
    <w:rsid w:val="004D5CDF"/>
    <w:rsid w:val="004D5D21"/>
    <w:rsid w:val="004D5D76"/>
    <w:rsid w:val="004D5D80"/>
    <w:rsid w:val="004D5D92"/>
    <w:rsid w:val="004D5E63"/>
    <w:rsid w:val="004D5EE1"/>
    <w:rsid w:val="004D6127"/>
    <w:rsid w:val="004D61BC"/>
    <w:rsid w:val="004D6218"/>
    <w:rsid w:val="004D6270"/>
    <w:rsid w:val="004D62FF"/>
    <w:rsid w:val="004D63B9"/>
    <w:rsid w:val="004D63F2"/>
    <w:rsid w:val="004D6433"/>
    <w:rsid w:val="004D6466"/>
    <w:rsid w:val="004D64A9"/>
    <w:rsid w:val="004D6593"/>
    <w:rsid w:val="004D65C6"/>
    <w:rsid w:val="004D66A3"/>
    <w:rsid w:val="004D66CB"/>
    <w:rsid w:val="004D67FB"/>
    <w:rsid w:val="004D68D4"/>
    <w:rsid w:val="004D6A8F"/>
    <w:rsid w:val="004D6C04"/>
    <w:rsid w:val="004D6C33"/>
    <w:rsid w:val="004D6D25"/>
    <w:rsid w:val="004D6D5F"/>
    <w:rsid w:val="004D6E67"/>
    <w:rsid w:val="004D6E8F"/>
    <w:rsid w:val="004D6EA8"/>
    <w:rsid w:val="004D6EB1"/>
    <w:rsid w:val="004D6F6B"/>
    <w:rsid w:val="004D7048"/>
    <w:rsid w:val="004D715A"/>
    <w:rsid w:val="004D7184"/>
    <w:rsid w:val="004D724E"/>
    <w:rsid w:val="004D726F"/>
    <w:rsid w:val="004D72CA"/>
    <w:rsid w:val="004D734F"/>
    <w:rsid w:val="004D73A2"/>
    <w:rsid w:val="004D7412"/>
    <w:rsid w:val="004D7448"/>
    <w:rsid w:val="004D7486"/>
    <w:rsid w:val="004D74C1"/>
    <w:rsid w:val="004D74E9"/>
    <w:rsid w:val="004D7525"/>
    <w:rsid w:val="004D756A"/>
    <w:rsid w:val="004D769D"/>
    <w:rsid w:val="004D76A0"/>
    <w:rsid w:val="004D773A"/>
    <w:rsid w:val="004D78C0"/>
    <w:rsid w:val="004D78C7"/>
    <w:rsid w:val="004D79EC"/>
    <w:rsid w:val="004D7BF3"/>
    <w:rsid w:val="004D7D4F"/>
    <w:rsid w:val="004D7DE0"/>
    <w:rsid w:val="004D7E5B"/>
    <w:rsid w:val="004D7F23"/>
    <w:rsid w:val="004D7F5D"/>
    <w:rsid w:val="004D7FE4"/>
    <w:rsid w:val="004E000A"/>
    <w:rsid w:val="004E003A"/>
    <w:rsid w:val="004E0124"/>
    <w:rsid w:val="004E0128"/>
    <w:rsid w:val="004E0212"/>
    <w:rsid w:val="004E02B8"/>
    <w:rsid w:val="004E0303"/>
    <w:rsid w:val="004E034E"/>
    <w:rsid w:val="004E03B0"/>
    <w:rsid w:val="004E04C2"/>
    <w:rsid w:val="004E076E"/>
    <w:rsid w:val="004E0794"/>
    <w:rsid w:val="004E0930"/>
    <w:rsid w:val="004E093D"/>
    <w:rsid w:val="004E098F"/>
    <w:rsid w:val="004E0A0B"/>
    <w:rsid w:val="004E0BB1"/>
    <w:rsid w:val="004E0D23"/>
    <w:rsid w:val="004E0EBE"/>
    <w:rsid w:val="004E0F18"/>
    <w:rsid w:val="004E0F70"/>
    <w:rsid w:val="004E0F98"/>
    <w:rsid w:val="004E0F9B"/>
    <w:rsid w:val="004E0FED"/>
    <w:rsid w:val="004E1021"/>
    <w:rsid w:val="004E1024"/>
    <w:rsid w:val="004E10F8"/>
    <w:rsid w:val="004E1185"/>
    <w:rsid w:val="004E1255"/>
    <w:rsid w:val="004E12B6"/>
    <w:rsid w:val="004E1308"/>
    <w:rsid w:val="004E1356"/>
    <w:rsid w:val="004E14C4"/>
    <w:rsid w:val="004E14ED"/>
    <w:rsid w:val="004E1526"/>
    <w:rsid w:val="004E1578"/>
    <w:rsid w:val="004E158D"/>
    <w:rsid w:val="004E166F"/>
    <w:rsid w:val="004E168D"/>
    <w:rsid w:val="004E169B"/>
    <w:rsid w:val="004E1786"/>
    <w:rsid w:val="004E17CF"/>
    <w:rsid w:val="004E17F6"/>
    <w:rsid w:val="004E18CD"/>
    <w:rsid w:val="004E1969"/>
    <w:rsid w:val="004E198B"/>
    <w:rsid w:val="004E1A79"/>
    <w:rsid w:val="004E1A7A"/>
    <w:rsid w:val="004E1B10"/>
    <w:rsid w:val="004E1BD7"/>
    <w:rsid w:val="004E1C2F"/>
    <w:rsid w:val="004E1C86"/>
    <w:rsid w:val="004E1DDC"/>
    <w:rsid w:val="004E1E22"/>
    <w:rsid w:val="004E1E87"/>
    <w:rsid w:val="004E1ECF"/>
    <w:rsid w:val="004E1F34"/>
    <w:rsid w:val="004E1F89"/>
    <w:rsid w:val="004E20A5"/>
    <w:rsid w:val="004E2123"/>
    <w:rsid w:val="004E2319"/>
    <w:rsid w:val="004E2416"/>
    <w:rsid w:val="004E24EB"/>
    <w:rsid w:val="004E253B"/>
    <w:rsid w:val="004E2568"/>
    <w:rsid w:val="004E25D1"/>
    <w:rsid w:val="004E2672"/>
    <w:rsid w:val="004E26B2"/>
    <w:rsid w:val="004E2776"/>
    <w:rsid w:val="004E2860"/>
    <w:rsid w:val="004E28AF"/>
    <w:rsid w:val="004E2A28"/>
    <w:rsid w:val="004E2C45"/>
    <w:rsid w:val="004E2CEE"/>
    <w:rsid w:val="004E2D2E"/>
    <w:rsid w:val="004E2E9B"/>
    <w:rsid w:val="004E2EA7"/>
    <w:rsid w:val="004E2ED8"/>
    <w:rsid w:val="004E2F87"/>
    <w:rsid w:val="004E2FBE"/>
    <w:rsid w:val="004E3005"/>
    <w:rsid w:val="004E3008"/>
    <w:rsid w:val="004E30E2"/>
    <w:rsid w:val="004E31EA"/>
    <w:rsid w:val="004E3228"/>
    <w:rsid w:val="004E328C"/>
    <w:rsid w:val="004E32B3"/>
    <w:rsid w:val="004E32E7"/>
    <w:rsid w:val="004E333E"/>
    <w:rsid w:val="004E3394"/>
    <w:rsid w:val="004E33FF"/>
    <w:rsid w:val="004E3458"/>
    <w:rsid w:val="004E3522"/>
    <w:rsid w:val="004E3626"/>
    <w:rsid w:val="004E3661"/>
    <w:rsid w:val="004E36D3"/>
    <w:rsid w:val="004E3862"/>
    <w:rsid w:val="004E3868"/>
    <w:rsid w:val="004E3956"/>
    <w:rsid w:val="004E3A44"/>
    <w:rsid w:val="004E3A45"/>
    <w:rsid w:val="004E3B30"/>
    <w:rsid w:val="004E3BE2"/>
    <w:rsid w:val="004E3C57"/>
    <w:rsid w:val="004E3CCE"/>
    <w:rsid w:val="004E3CDC"/>
    <w:rsid w:val="004E3D3F"/>
    <w:rsid w:val="004E3D8C"/>
    <w:rsid w:val="004E3E3E"/>
    <w:rsid w:val="004E3F27"/>
    <w:rsid w:val="004E3F7F"/>
    <w:rsid w:val="004E3FF3"/>
    <w:rsid w:val="004E4146"/>
    <w:rsid w:val="004E4227"/>
    <w:rsid w:val="004E4230"/>
    <w:rsid w:val="004E4289"/>
    <w:rsid w:val="004E4297"/>
    <w:rsid w:val="004E4330"/>
    <w:rsid w:val="004E43BF"/>
    <w:rsid w:val="004E442B"/>
    <w:rsid w:val="004E4435"/>
    <w:rsid w:val="004E46CF"/>
    <w:rsid w:val="004E47D9"/>
    <w:rsid w:val="004E480D"/>
    <w:rsid w:val="004E4823"/>
    <w:rsid w:val="004E4831"/>
    <w:rsid w:val="004E484D"/>
    <w:rsid w:val="004E48A3"/>
    <w:rsid w:val="004E4980"/>
    <w:rsid w:val="004E4A80"/>
    <w:rsid w:val="004E4B20"/>
    <w:rsid w:val="004E4BD5"/>
    <w:rsid w:val="004E4C17"/>
    <w:rsid w:val="004E4C92"/>
    <w:rsid w:val="004E4E08"/>
    <w:rsid w:val="004E4EA5"/>
    <w:rsid w:val="004E4EEB"/>
    <w:rsid w:val="004E4F1B"/>
    <w:rsid w:val="004E4F56"/>
    <w:rsid w:val="004E5260"/>
    <w:rsid w:val="004E52C9"/>
    <w:rsid w:val="004E52E3"/>
    <w:rsid w:val="004E538C"/>
    <w:rsid w:val="004E5459"/>
    <w:rsid w:val="004E5500"/>
    <w:rsid w:val="004E5566"/>
    <w:rsid w:val="004E55AF"/>
    <w:rsid w:val="004E5661"/>
    <w:rsid w:val="004E56CB"/>
    <w:rsid w:val="004E56CE"/>
    <w:rsid w:val="004E56E2"/>
    <w:rsid w:val="004E58C5"/>
    <w:rsid w:val="004E58C8"/>
    <w:rsid w:val="004E58DE"/>
    <w:rsid w:val="004E59B8"/>
    <w:rsid w:val="004E5AED"/>
    <w:rsid w:val="004E5B7E"/>
    <w:rsid w:val="004E5BAE"/>
    <w:rsid w:val="004E5BD2"/>
    <w:rsid w:val="004E5C4F"/>
    <w:rsid w:val="004E5C6C"/>
    <w:rsid w:val="004E5D7F"/>
    <w:rsid w:val="004E5E3A"/>
    <w:rsid w:val="004E5EA7"/>
    <w:rsid w:val="004E5F09"/>
    <w:rsid w:val="004E5FFA"/>
    <w:rsid w:val="004E600B"/>
    <w:rsid w:val="004E606E"/>
    <w:rsid w:val="004E60FB"/>
    <w:rsid w:val="004E628B"/>
    <w:rsid w:val="004E6343"/>
    <w:rsid w:val="004E63FB"/>
    <w:rsid w:val="004E6429"/>
    <w:rsid w:val="004E64BF"/>
    <w:rsid w:val="004E653E"/>
    <w:rsid w:val="004E659C"/>
    <w:rsid w:val="004E6654"/>
    <w:rsid w:val="004E669A"/>
    <w:rsid w:val="004E67D3"/>
    <w:rsid w:val="004E69C7"/>
    <w:rsid w:val="004E69EA"/>
    <w:rsid w:val="004E6ADC"/>
    <w:rsid w:val="004E6B3B"/>
    <w:rsid w:val="004E6CBD"/>
    <w:rsid w:val="004E6D01"/>
    <w:rsid w:val="004E6D60"/>
    <w:rsid w:val="004E6ECB"/>
    <w:rsid w:val="004E6EE0"/>
    <w:rsid w:val="004E6F4E"/>
    <w:rsid w:val="004E7134"/>
    <w:rsid w:val="004E7138"/>
    <w:rsid w:val="004E71A8"/>
    <w:rsid w:val="004E71AB"/>
    <w:rsid w:val="004E71DD"/>
    <w:rsid w:val="004E7233"/>
    <w:rsid w:val="004E72FB"/>
    <w:rsid w:val="004E7317"/>
    <w:rsid w:val="004E7452"/>
    <w:rsid w:val="004E749B"/>
    <w:rsid w:val="004E7661"/>
    <w:rsid w:val="004E7691"/>
    <w:rsid w:val="004E76ED"/>
    <w:rsid w:val="004E7773"/>
    <w:rsid w:val="004E77F0"/>
    <w:rsid w:val="004E7866"/>
    <w:rsid w:val="004E78C3"/>
    <w:rsid w:val="004E79DD"/>
    <w:rsid w:val="004E7A92"/>
    <w:rsid w:val="004E7B9D"/>
    <w:rsid w:val="004E7C67"/>
    <w:rsid w:val="004E7CD1"/>
    <w:rsid w:val="004E7CF7"/>
    <w:rsid w:val="004E7D9F"/>
    <w:rsid w:val="004E7FE9"/>
    <w:rsid w:val="004E7FFB"/>
    <w:rsid w:val="004F008F"/>
    <w:rsid w:val="004F00D6"/>
    <w:rsid w:val="004F0128"/>
    <w:rsid w:val="004F016B"/>
    <w:rsid w:val="004F01A6"/>
    <w:rsid w:val="004F02B5"/>
    <w:rsid w:val="004F02E8"/>
    <w:rsid w:val="004F0338"/>
    <w:rsid w:val="004F04C6"/>
    <w:rsid w:val="004F04E6"/>
    <w:rsid w:val="004F061B"/>
    <w:rsid w:val="004F065C"/>
    <w:rsid w:val="004F073D"/>
    <w:rsid w:val="004F078D"/>
    <w:rsid w:val="004F081A"/>
    <w:rsid w:val="004F082F"/>
    <w:rsid w:val="004F09DB"/>
    <w:rsid w:val="004F0A12"/>
    <w:rsid w:val="004F0A5E"/>
    <w:rsid w:val="004F0B25"/>
    <w:rsid w:val="004F0B60"/>
    <w:rsid w:val="004F0B6F"/>
    <w:rsid w:val="004F0C61"/>
    <w:rsid w:val="004F0CAB"/>
    <w:rsid w:val="004F0CE9"/>
    <w:rsid w:val="004F0D8E"/>
    <w:rsid w:val="004F0E85"/>
    <w:rsid w:val="004F0EA7"/>
    <w:rsid w:val="004F0EFF"/>
    <w:rsid w:val="004F0F12"/>
    <w:rsid w:val="004F0F7A"/>
    <w:rsid w:val="004F0F9D"/>
    <w:rsid w:val="004F0FE5"/>
    <w:rsid w:val="004F101C"/>
    <w:rsid w:val="004F1040"/>
    <w:rsid w:val="004F1048"/>
    <w:rsid w:val="004F1108"/>
    <w:rsid w:val="004F11AE"/>
    <w:rsid w:val="004F11C8"/>
    <w:rsid w:val="004F123F"/>
    <w:rsid w:val="004F1291"/>
    <w:rsid w:val="004F1302"/>
    <w:rsid w:val="004F1348"/>
    <w:rsid w:val="004F13CA"/>
    <w:rsid w:val="004F15F9"/>
    <w:rsid w:val="004F1646"/>
    <w:rsid w:val="004F16D5"/>
    <w:rsid w:val="004F171C"/>
    <w:rsid w:val="004F179A"/>
    <w:rsid w:val="004F17BD"/>
    <w:rsid w:val="004F17BE"/>
    <w:rsid w:val="004F18A3"/>
    <w:rsid w:val="004F19C3"/>
    <w:rsid w:val="004F19DC"/>
    <w:rsid w:val="004F1AC7"/>
    <w:rsid w:val="004F1B30"/>
    <w:rsid w:val="004F1B46"/>
    <w:rsid w:val="004F1BA6"/>
    <w:rsid w:val="004F1BEB"/>
    <w:rsid w:val="004F1C7C"/>
    <w:rsid w:val="004F1CC2"/>
    <w:rsid w:val="004F1D72"/>
    <w:rsid w:val="004F1F4F"/>
    <w:rsid w:val="004F20DF"/>
    <w:rsid w:val="004F214C"/>
    <w:rsid w:val="004F22CB"/>
    <w:rsid w:val="004F22E7"/>
    <w:rsid w:val="004F235E"/>
    <w:rsid w:val="004F23C9"/>
    <w:rsid w:val="004F23FE"/>
    <w:rsid w:val="004F2441"/>
    <w:rsid w:val="004F245C"/>
    <w:rsid w:val="004F2557"/>
    <w:rsid w:val="004F26D0"/>
    <w:rsid w:val="004F2791"/>
    <w:rsid w:val="004F2839"/>
    <w:rsid w:val="004F283E"/>
    <w:rsid w:val="004F289B"/>
    <w:rsid w:val="004F2907"/>
    <w:rsid w:val="004F290D"/>
    <w:rsid w:val="004F2BB8"/>
    <w:rsid w:val="004F2C18"/>
    <w:rsid w:val="004F2CAD"/>
    <w:rsid w:val="004F2D25"/>
    <w:rsid w:val="004F2D63"/>
    <w:rsid w:val="004F2DD3"/>
    <w:rsid w:val="004F2E28"/>
    <w:rsid w:val="004F2EBA"/>
    <w:rsid w:val="004F2F2C"/>
    <w:rsid w:val="004F2F86"/>
    <w:rsid w:val="004F2FAC"/>
    <w:rsid w:val="004F3002"/>
    <w:rsid w:val="004F30D2"/>
    <w:rsid w:val="004F31DE"/>
    <w:rsid w:val="004F3212"/>
    <w:rsid w:val="004F324D"/>
    <w:rsid w:val="004F3297"/>
    <w:rsid w:val="004F32B8"/>
    <w:rsid w:val="004F32CD"/>
    <w:rsid w:val="004F32D7"/>
    <w:rsid w:val="004F3324"/>
    <w:rsid w:val="004F33D3"/>
    <w:rsid w:val="004F3496"/>
    <w:rsid w:val="004F34B0"/>
    <w:rsid w:val="004F34D5"/>
    <w:rsid w:val="004F356B"/>
    <w:rsid w:val="004F360E"/>
    <w:rsid w:val="004F36F3"/>
    <w:rsid w:val="004F3785"/>
    <w:rsid w:val="004F37A5"/>
    <w:rsid w:val="004F3836"/>
    <w:rsid w:val="004F3852"/>
    <w:rsid w:val="004F3883"/>
    <w:rsid w:val="004F3896"/>
    <w:rsid w:val="004F38F7"/>
    <w:rsid w:val="004F396C"/>
    <w:rsid w:val="004F397F"/>
    <w:rsid w:val="004F3B1D"/>
    <w:rsid w:val="004F3B24"/>
    <w:rsid w:val="004F3B39"/>
    <w:rsid w:val="004F3C11"/>
    <w:rsid w:val="004F3C1E"/>
    <w:rsid w:val="004F3C9D"/>
    <w:rsid w:val="004F3CE8"/>
    <w:rsid w:val="004F3D21"/>
    <w:rsid w:val="004F3E26"/>
    <w:rsid w:val="004F4169"/>
    <w:rsid w:val="004F42EF"/>
    <w:rsid w:val="004F4487"/>
    <w:rsid w:val="004F44AE"/>
    <w:rsid w:val="004F4501"/>
    <w:rsid w:val="004F4552"/>
    <w:rsid w:val="004F4565"/>
    <w:rsid w:val="004F4584"/>
    <w:rsid w:val="004F458C"/>
    <w:rsid w:val="004F45B3"/>
    <w:rsid w:val="004F463A"/>
    <w:rsid w:val="004F4762"/>
    <w:rsid w:val="004F480E"/>
    <w:rsid w:val="004F484A"/>
    <w:rsid w:val="004F4867"/>
    <w:rsid w:val="004F48EF"/>
    <w:rsid w:val="004F497C"/>
    <w:rsid w:val="004F4A9C"/>
    <w:rsid w:val="004F4AD3"/>
    <w:rsid w:val="004F4B0A"/>
    <w:rsid w:val="004F4B9E"/>
    <w:rsid w:val="004F4C75"/>
    <w:rsid w:val="004F4C82"/>
    <w:rsid w:val="004F4D0B"/>
    <w:rsid w:val="004F4D63"/>
    <w:rsid w:val="004F4FA5"/>
    <w:rsid w:val="004F5342"/>
    <w:rsid w:val="004F5379"/>
    <w:rsid w:val="004F54E1"/>
    <w:rsid w:val="004F54F0"/>
    <w:rsid w:val="004F5658"/>
    <w:rsid w:val="004F5864"/>
    <w:rsid w:val="004F589E"/>
    <w:rsid w:val="004F58EA"/>
    <w:rsid w:val="004F5927"/>
    <w:rsid w:val="004F59A3"/>
    <w:rsid w:val="004F59B1"/>
    <w:rsid w:val="004F59B5"/>
    <w:rsid w:val="004F5AD9"/>
    <w:rsid w:val="004F5B11"/>
    <w:rsid w:val="004F5B46"/>
    <w:rsid w:val="004F5BBF"/>
    <w:rsid w:val="004F5BFD"/>
    <w:rsid w:val="004F5C34"/>
    <w:rsid w:val="004F5D96"/>
    <w:rsid w:val="004F5E26"/>
    <w:rsid w:val="004F5E9C"/>
    <w:rsid w:val="004F6004"/>
    <w:rsid w:val="004F60C7"/>
    <w:rsid w:val="004F613A"/>
    <w:rsid w:val="004F6143"/>
    <w:rsid w:val="004F62CF"/>
    <w:rsid w:val="004F645B"/>
    <w:rsid w:val="004F65B7"/>
    <w:rsid w:val="004F6659"/>
    <w:rsid w:val="004F672A"/>
    <w:rsid w:val="004F6748"/>
    <w:rsid w:val="004F67C0"/>
    <w:rsid w:val="004F67D0"/>
    <w:rsid w:val="004F67D5"/>
    <w:rsid w:val="004F68E1"/>
    <w:rsid w:val="004F693E"/>
    <w:rsid w:val="004F6A5C"/>
    <w:rsid w:val="004F6B28"/>
    <w:rsid w:val="004F6BAF"/>
    <w:rsid w:val="004F6BEA"/>
    <w:rsid w:val="004F6CB2"/>
    <w:rsid w:val="004F6CFF"/>
    <w:rsid w:val="004F6DB1"/>
    <w:rsid w:val="004F6EEE"/>
    <w:rsid w:val="004F6EF2"/>
    <w:rsid w:val="004F6F1C"/>
    <w:rsid w:val="004F7032"/>
    <w:rsid w:val="004F7041"/>
    <w:rsid w:val="004F70BA"/>
    <w:rsid w:val="004F711B"/>
    <w:rsid w:val="004F7224"/>
    <w:rsid w:val="004F7306"/>
    <w:rsid w:val="004F747E"/>
    <w:rsid w:val="004F7535"/>
    <w:rsid w:val="004F75C8"/>
    <w:rsid w:val="004F7698"/>
    <w:rsid w:val="004F76E0"/>
    <w:rsid w:val="004F7743"/>
    <w:rsid w:val="004F77D1"/>
    <w:rsid w:val="004F77DF"/>
    <w:rsid w:val="004F77EA"/>
    <w:rsid w:val="004F7A99"/>
    <w:rsid w:val="004F7B25"/>
    <w:rsid w:val="004F7B75"/>
    <w:rsid w:val="004F7BAC"/>
    <w:rsid w:val="004F7BB5"/>
    <w:rsid w:val="004F7BCE"/>
    <w:rsid w:val="004F7BF6"/>
    <w:rsid w:val="004F7C03"/>
    <w:rsid w:val="004F7C78"/>
    <w:rsid w:val="004F7CA1"/>
    <w:rsid w:val="004F7ED3"/>
    <w:rsid w:val="004F7F2E"/>
    <w:rsid w:val="004F7FCD"/>
    <w:rsid w:val="004F7FF5"/>
    <w:rsid w:val="00500052"/>
    <w:rsid w:val="005001F2"/>
    <w:rsid w:val="0050022A"/>
    <w:rsid w:val="0050028E"/>
    <w:rsid w:val="00500427"/>
    <w:rsid w:val="00500466"/>
    <w:rsid w:val="005004A3"/>
    <w:rsid w:val="005004F2"/>
    <w:rsid w:val="0050055E"/>
    <w:rsid w:val="00500560"/>
    <w:rsid w:val="005005E9"/>
    <w:rsid w:val="00500641"/>
    <w:rsid w:val="00500688"/>
    <w:rsid w:val="00500772"/>
    <w:rsid w:val="00500788"/>
    <w:rsid w:val="005007AE"/>
    <w:rsid w:val="005007B3"/>
    <w:rsid w:val="005007F9"/>
    <w:rsid w:val="0050081C"/>
    <w:rsid w:val="00500964"/>
    <w:rsid w:val="00500A79"/>
    <w:rsid w:val="00500B4C"/>
    <w:rsid w:val="00500B64"/>
    <w:rsid w:val="00500CA6"/>
    <w:rsid w:val="00500CDD"/>
    <w:rsid w:val="00500D0B"/>
    <w:rsid w:val="00500E72"/>
    <w:rsid w:val="00500F76"/>
    <w:rsid w:val="00500FC3"/>
    <w:rsid w:val="00500FCF"/>
    <w:rsid w:val="00500FF8"/>
    <w:rsid w:val="0050106B"/>
    <w:rsid w:val="005010E8"/>
    <w:rsid w:val="005010E9"/>
    <w:rsid w:val="0050115E"/>
    <w:rsid w:val="0050126D"/>
    <w:rsid w:val="005012A2"/>
    <w:rsid w:val="005013CF"/>
    <w:rsid w:val="0050140A"/>
    <w:rsid w:val="0050146C"/>
    <w:rsid w:val="0050149A"/>
    <w:rsid w:val="00501581"/>
    <w:rsid w:val="0050167E"/>
    <w:rsid w:val="005016A2"/>
    <w:rsid w:val="00501751"/>
    <w:rsid w:val="00501901"/>
    <w:rsid w:val="005019DD"/>
    <w:rsid w:val="00501A2D"/>
    <w:rsid w:val="00501A78"/>
    <w:rsid w:val="00501ABB"/>
    <w:rsid w:val="00501B84"/>
    <w:rsid w:val="00501BDB"/>
    <w:rsid w:val="00501CB0"/>
    <w:rsid w:val="00501D6F"/>
    <w:rsid w:val="00501DA2"/>
    <w:rsid w:val="00501E29"/>
    <w:rsid w:val="00501E73"/>
    <w:rsid w:val="00501F20"/>
    <w:rsid w:val="00501FFF"/>
    <w:rsid w:val="005020E9"/>
    <w:rsid w:val="00502118"/>
    <w:rsid w:val="0050214C"/>
    <w:rsid w:val="005022E3"/>
    <w:rsid w:val="0050232B"/>
    <w:rsid w:val="00502385"/>
    <w:rsid w:val="005023A8"/>
    <w:rsid w:val="00502488"/>
    <w:rsid w:val="005024B5"/>
    <w:rsid w:val="0050254A"/>
    <w:rsid w:val="00502686"/>
    <w:rsid w:val="005026B9"/>
    <w:rsid w:val="00502743"/>
    <w:rsid w:val="005027A7"/>
    <w:rsid w:val="00502878"/>
    <w:rsid w:val="0050294E"/>
    <w:rsid w:val="0050294F"/>
    <w:rsid w:val="005029CF"/>
    <w:rsid w:val="00502BB8"/>
    <w:rsid w:val="00502D20"/>
    <w:rsid w:val="00502D92"/>
    <w:rsid w:val="00502E86"/>
    <w:rsid w:val="00502FD5"/>
    <w:rsid w:val="00502FF0"/>
    <w:rsid w:val="00503070"/>
    <w:rsid w:val="005030DA"/>
    <w:rsid w:val="00503124"/>
    <w:rsid w:val="005031E4"/>
    <w:rsid w:val="0050322C"/>
    <w:rsid w:val="005032D4"/>
    <w:rsid w:val="00503309"/>
    <w:rsid w:val="00503312"/>
    <w:rsid w:val="00503317"/>
    <w:rsid w:val="005033A3"/>
    <w:rsid w:val="005033D6"/>
    <w:rsid w:val="00503470"/>
    <w:rsid w:val="00503488"/>
    <w:rsid w:val="005035AD"/>
    <w:rsid w:val="005035D8"/>
    <w:rsid w:val="005036C4"/>
    <w:rsid w:val="00503774"/>
    <w:rsid w:val="005037CA"/>
    <w:rsid w:val="00503815"/>
    <w:rsid w:val="0050398A"/>
    <w:rsid w:val="00503B3B"/>
    <w:rsid w:val="00503B43"/>
    <w:rsid w:val="00503BC5"/>
    <w:rsid w:val="00503CBA"/>
    <w:rsid w:val="00503E7F"/>
    <w:rsid w:val="00503F54"/>
    <w:rsid w:val="005040C8"/>
    <w:rsid w:val="005040DB"/>
    <w:rsid w:val="00504175"/>
    <w:rsid w:val="0050417A"/>
    <w:rsid w:val="005041ED"/>
    <w:rsid w:val="0050422A"/>
    <w:rsid w:val="005042A1"/>
    <w:rsid w:val="005042A2"/>
    <w:rsid w:val="00504359"/>
    <w:rsid w:val="0050441A"/>
    <w:rsid w:val="00504489"/>
    <w:rsid w:val="005044FF"/>
    <w:rsid w:val="0050450E"/>
    <w:rsid w:val="00504541"/>
    <w:rsid w:val="00504609"/>
    <w:rsid w:val="0050460C"/>
    <w:rsid w:val="00504672"/>
    <w:rsid w:val="0050474C"/>
    <w:rsid w:val="005047CE"/>
    <w:rsid w:val="005047D2"/>
    <w:rsid w:val="005047F2"/>
    <w:rsid w:val="00504829"/>
    <w:rsid w:val="00504888"/>
    <w:rsid w:val="0050496F"/>
    <w:rsid w:val="00504A8C"/>
    <w:rsid w:val="00504B3F"/>
    <w:rsid w:val="00504B77"/>
    <w:rsid w:val="00504C81"/>
    <w:rsid w:val="00504CF0"/>
    <w:rsid w:val="00504D24"/>
    <w:rsid w:val="00504F2B"/>
    <w:rsid w:val="00504F4B"/>
    <w:rsid w:val="00504FD2"/>
    <w:rsid w:val="00504FDE"/>
    <w:rsid w:val="005050DF"/>
    <w:rsid w:val="00505242"/>
    <w:rsid w:val="00505260"/>
    <w:rsid w:val="00505447"/>
    <w:rsid w:val="00505471"/>
    <w:rsid w:val="00505510"/>
    <w:rsid w:val="00505610"/>
    <w:rsid w:val="00505654"/>
    <w:rsid w:val="0050569C"/>
    <w:rsid w:val="00505721"/>
    <w:rsid w:val="0050578B"/>
    <w:rsid w:val="00505941"/>
    <w:rsid w:val="0050594A"/>
    <w:rsid w:val="0050597A"/>
    <w:rsid w:val="00505A4E"/>
    <w:rsid w:val="00505B01"/>
    <w:rsid w:val="00505B0D"/>
    <w:rsid w:val="00505BC9"/>
    <w:rsid w:val="00505BEC"/>
    <w:rsid w:val="00505F41"/>
    <w:rsid w:val="00505F8E"/>
    <w:rsid w:val="00506219"/>
    <w:rsid w:val="005062FA"/>
    <w:rsid w:val="005063E0"/>
    <w:rsid w:val="005064EE"/>
    <w:rsid w:val="005065A3"/>
    <w:rsid w:val="0050662D"/>
    <w:rsid w:val="00506673"/>
    <w:rsid w:val="00506823"/>
    <w:rsid w:val="00506854"/>
    <w:rsid w:val="0050685D"/>
    <w:rsid w:val="0050688C"/>
    <w:rsid w:val="0050689E"/>
    <w:rsid w:val="00506982"/>
    <w:rsid w:val="00506A13"/>
    <w:rsid w:val="00506A2E"/>
    <w:rsid w:val="00506A47"/>
    <w:rsid w:val="00506B74"/>
    <w:rsid w:val="00506CF8"/>
    <w:rsid w:val="00506D0A"/>
    <w:rsid w:val="00506D18"/>
    <w:rsid w:val="00506D46"/>
    <w:rsid w:val="00506D64"/>
    <w:rsid w:val="00506DE2"/>
    <w:rsid w:val="00506DE7"/>
    <w:rsid w:val="00506E8A"/>
    <w:rsid w:val="00506E94"/>
    <w:rsid w:val="00506EBF"/>
    <w:rsid w:val="00506F0C"/>
    <w:rsid w:val="00507016"/>
    <w:rsid w:val="00507224"/>
    <w:rsid w:val="00507252"/>
    <w:rsid w:val="005072A7"/>
    <w:rsid w:val="005072AD"/>
    <w:rsid w:val="0050748F"/>
    <w:rsid w:val="005074A1"/>
    <w:rsid w:val="005074AF"/>
    <w:rsid w:val="00507688"/>
    <w:rsid w:val="005076F2"/>
    <w:rsid w:val="0050781D"/>
    <w:rsid w:val="005078B0"/>
    <w:rsid w:val="00507A4D"/>
    <w:rsid w:val="00507A52"/>
    <w:rsid w:val="00507A5A"/>
    <w:rsid w:val="00507AAB"/>
    <w:rsid w:val="00507ADA"/>
    <w:rsid w:val="00507DBD"/>
    <w:rsid w:val="00507E30"/>
    <w:rsid w:val="00507E96"/>
    <w:rsid w:val="00507EA4"/>
    <w:rsid w:val="00507FC9"/>
    <w:rsid w:val="00507FE2"/>
    <w:rsid w:val="005100AC"/>
    <w:rsid w:val="005102A4"/>
    <w:rsid w:val="00510357"/>
    <w:rsid w:val="005103DF"/>
    <w:rsid w:val="00510425"/>
    <w:rsid w:val="00510542"/>
    <w:rsid w:val="005105FA"/>
    <w:rsid w:val="00510672"/>
    <w:rsid w:val="0051092E"/>
    <w:rsid w:val="005109C8"/>
    <w:rsid w:val="00510A46"/>
    <w:rsid w:val="00510A58"/>
    <w:rsid w:val="00510A5C"/>
    <w:rsid w:val="00510AC8"/>
    <w:rsid w:val="00510AE0"/>
    <w:rsid w:val="00510AEA"/>
    <w:rsid w:val="00510B9C"/>
    <w:rsid w:val="00510BC8"/>
    <w:rsid w:val="00510BF7"/>
    <w:rsid w:val="00510CB3"/>
    <w:rsid w:val="00510DDC"/>
    <w:rsid w:val="00510E71"/>
    <w:rsid w:val="00510E8E"/>
    <w:rsid w:val="00510EBD"/>
    <w:rsid w:val="00510ED3"/>
    <w:rsid w:val="00510FAF"/>
    <w:rsid w:val="00510FE6"/>
    <w:rsid w:val="00511020"/>
    <w:rsid w:val="0051106C"/>
    <w:rsid w:val="00511159"/>
    <w:rsid w:val="00511195"/>
    <w:rsid w:val="00511242"/>
    <w:rsid w:val="00511249"/>
    <w:rsid w:val="005112A1"/>
    <w:rsid w:val="0051138E"/>
    <w:rsid w:val="005114C3"/>
    <w:rsid w:val="00511534"/>
    <w:rsid w:val="0051167B"/>
    <w:rsid w:val="005116F3"/>
    <w:rsid w:val="0051174E"/>
    <w:rsid w:val="005117FC"/>
    <w:rsid w:val="00511837"/>
    <w:rsid w:val="00511B18"/>
    <w:rsid w:val="00511B65"/>
    <w:rsid w:val="00511B96"/>
    <w:rsid w:val="00511C0A"/>
    <w:rsid w:val="00511D38"/>
    <w:rsid w:val="00511D3A"/>
    <w:rsid w:val="00511D67"/>
    <w:rsid w:val="00511EBB"/>
    <w:rsid w:val="00511EC6"/>
    <w:rsid w:val="00511F13"/>
    <w:rsid w:val="00511F7E"/>
    <w:rsid w:val="00511FC9"/>
    <w:rsid w:val="005121DA"/>
    <w:rsid w:val="00512235"/>
    <w:rsid w:val="00512305"/>
    <w:rsid w:val="00512312"/>
    <w:rsid w:val="0051233C"/>
    <w:rsid w:val="005123D0"/>
    <w:rsid w:val="00512710"/>
    <w:rsid w:val="0051272B"/>
    <w:rsid w:val="00512807"/>
    <w:rsid w:val="00512902"/>
    <w:rsid w:val="0051296E"/>
    <w:rsid w:val="00512981"/>
    <w:rsid w:val="00512AB3"/>
    <w:rsid w:val="00512B55"/>
    <w:rsid w:val="00512D91"/>
    <w:rsid w:val="00512DB9"/>
    <w:rsid w:val="00512E7C"/>
    <w:rsid w:val="00512FDD"/>
    <w:rsid w:val="00513085"/>
    <w:rsid w:val="005130E6"/>
    <w:rsid w:val="0051317D"/>
    <w:rsid w:val="005131C1"/>
    <w:rsid w:val="005131E1"/>
    <w:rsid w:val="00513245"/>
    <w:rsid w:val="00513252"/>
    <w:rsid w:val="0051330F"/>
    <w:rsid w:val="0051332B"/>
    <w:rsid w:val="005133D6"/>
    <w:rsid w:val="00513418"/>
    <w:rsid w:val="005135FF"/>
    <w:rsid w:val="005136E6"/>
    <w:rsid w:val="00513758"/>
    <w:rsid w:val="005137BB"/>
    <w:rsid w:val="00513804"/>
    <w:rsid w:val="00513B7E"/>
    <w:rsid w:val="00513BAA"/>
    <w:rsid w:val="00513BB5"/>
    <w:rsid w:val="00513DF7"/>
    <w:rsid w:val="00513E9D"/>
    <w:rsid w:val="00513F8A"/>
    <w:rsid w:val="00514023"/>
    <w:rsid w:val="005140B0"/>
    <w:rsid w:val="005140C4"/>
    <w:rsid w:val="005140FB"/>
    <w:rsid w:val="00514132"/>
    <w:rsid w:val="005142DE"/>
    <w:rsid w:val="0051439E"/>
    <w:rsid w:val="005143E3"/>
    <w:rsid w:val="00514703"/>
    <w:rsid w:val="00514747"/>
    <w:rsid w:val="005149BD"/>
    <w:rsid w:val="00514A78"/>
    <w:rsid w:val="00514BE5"/>
    <w:rsid w:val="00514BEC"/>
    <w:rsid w:val="00514CAC"/>
    <w:rsid w:val="00514CE4"/>
    <w:rsid w:val="00514CE6"/>
    <w:rsid w:val="00514CEA"/>
    <w:rsid w:val="00514D76"/>
    <w:rsid w:val="00514E29"/>
    <w:rsid w:val="00514E4B"/>
    <w:rsid w:val="00514E66"/>
    <w:rsid w:val="00514F6F"/>
    <w:rsid w:val="00515005"/>
    <w:rsid w:val="005150AF"/>
    <w:rsid w:val="005150F6"/>
    <w:rsid w:val="0051510F"/>
    <w:rsid w:val="005151CA"/>
    <w:rsid w:val="005151F4"/>
    <w:rsid w:val="005152A9"/>
    <w:rsid w:val="005152C4"/>
    <w:rsid w:val="005153B3"/>
    <w:rsid w:val="00515605"/>
    <w:rsid w:val="00515689"/>
    <w:rsid w:val="0051575C"/>
    <w:rsid w:val="0051575F"/>
    <w:rsid w:val="00515881"/>
    <w:rsid w:val="005158D2"/>
    <w:rsid w:val="005158E7"/>
    <w:rsid w:val="00515A41"/>
    <w:rsid w:val="00515B19"/>
    <w:rsid w:val="00515BAD"/>
    <w:rsid w:val="00515C7C"/>
    <w:rsid w:val="00515DC5"/>
    <w:rsid w:val="00515ED9"/>
    <w:rsid w:val="0051603F"/>
    <w:rsid w:val="0051606B"/>
    <w:rsid w:val="005161B7"/>
    <w:rsid w:val="005161EC"/>
    <w:rsid w:val="005161F0"/>
    <w:rsid w:val="00516329"/>
    <w:rsid w:val="005163B1"/>
    <w:rsid w:val="005165A5"/>
    <w:rsid w:val="005165EA"/>
    <w:rsid w:val="00516613"/>
    <w:rsid w:val="0051661D"/>
    <w:rsid w:val="005166BF"/>
    <w:rsid w:val="005166CA"/>
    <w:rsid w:val="00516746"/>
    <w:rsid w:val="00516779"/>
    <w:rsid w:val="005168A8"/>
    <w:rsid w:val="005168F9"/>
    <w:rsid w:val="005169A4"/>
    <w:rsid w:val="005169D5"/>
    <w:rsid w:val="005169E0"/>
    <w:rsid w:val="005169F7"/>
    <w:rsid w:val="00516A51"/>
    <w:rsid w:val="00516A68"/>
    <w:rsid w:val="00516AA9"/>
    <w:rsid w:val="00516ACD"/>
    <w:rsid w:val="00516BC2"/>
    <w:rsid w:val="00516BED"/>
    <w:rsid w:val="00516BF9"/>
    <w:rsid w:val="00516C31"/>
    <w:rsid w:val="00516CBC"/>
    <w:rsid w:val="00516D01"/>
    <w:rsid w:val="00516F5B"/>
    <w:rsid w:val="00516FEB"/>
    <w:rsid w:val="0051704D"/>
    <w:rsid w:val="005172CF"/>
    <w:rsid w:val="00517304"/>
    <w:rsid w:val="0051731A"/>
    <w:rsid w:val="00517357"/>
    <w:rsid w:val="00517418"/>
    <w:rsid w:val="00517538"/>
    <w:rsid w:val="005176A2"/>
    <w:rsid w:val="0051771A"/>
    <w:rsid w:val="0051771D"/>
    <w:rsid w:val="005177D3"/>
    <w:rsid w:val="005179E1"/>
    <w:rsid w:val="00517A11"/>
    <w:rsid w:val="00517A6F"/>
    <w:rsid w:val="00517BAA"/>
    <w:rsid w:val="00517E96"/>
    <w:rsid w:val="005200BB"/>
    <w:rsid w:val="00520213"/>
    <w:rsid w:val="00520299"/>
    <w:rsid w:val="005202C4"/>
    <w:rsid w:val="005202CD"/>
    <w:rsid w:val="005204A4"/>
    <w:rsid w:val="00520511"/>
    <w:rsid w:val="0052054D"/>
    <w:rsid w:val="0052072C"/>
    <w:rsid w:val="00520746"/>
    <w:rsid w:val="00520765"/>
    <w:rsid w:val="005207E7"/>
    <w:rsid w:val="00520810"/>
    <w:rsid w:val="00520945"/>
    <w:rsid w:val="0052097B"/>
    <w:rsid w:val="0052098B"/>
    <w:rsid w:val="005209FE"/>
    <w:rsid w:val="00520A79"/>
    <w:rsid w:val="00520AAD"/>
    <w:rsid w:val="00520AD8"/>
    <w:rsid w:val="00520B70"/>
    <w:rsid w:val="00520BBE"/>
    <w:rsid w:val="00520D76"/>
    <w:rsid w:val="00520DD1"/>
    <w:rsid w:val="00520DEA"/>
    <w:rsid w:val="00520E15"/>
    <w:rsid w:val="00520E2E"/>
    <w:rsid w:val="00520E9A"/>
    <w:rsid w:val="00520EF0"/>
    <w:rsid w:val="00520F75"/>
    <w:rsid w:val="0052107E"/>
    <w:rsid w:val="00521081"/>
    <w:rsid w:val="0052116E"/>
    <w:rsid w:val="005211AB"/>
    <w:rsid w:val="0052121C"/>
    <w:rsid w:val="0052122E"/>
    <w:rsid w:val="0052128A"/>
    <w:rsid w:val="00521360"/>
    <w:rsid w:val="005214C5"/>
    <w:rsid w:val="00521606"/>
    <w:rsid w:val="005216E9"/>
    <w:rsid w:val="005216F2"/>
    <w:rsid w:val="00521723"/>
    <w:rsid w:val="005217BD"/>
    <w:rsid w:val="00521800"/>
    <w:rsid w:val="00521974"/>
    <w:rsid w:val="005219E9"/>
    <w:rsid w:val="00521B41"/>
    <w:rsid w:val="00521B9F"/>
    <w:rsid w:val="00521C5F"/>
    <w:rsid w:val="00521DCF"/>
    <w:rsid w:val="00521E71"/>
    <w:rsid w:val="00521ED0"/>
    <w:rsid w:val="00521FAD"/>
    <w:rsid w:val="00522052"/>
    <w:rsid w:val="0052208F"/>
    <w:rsid w:val="00522227"/>
    <w:rsid w:val="00522277"/>
    <w:rsid w:val="00522296"/>
    <w:rsid w:val="00522360"/>
    <w:rsid w:val="005223B0"/>
    <w:rsid w:val="00522441"/>
    <w:rsid w:val="00522483"/>
    <w:rsid w:val="005225D3"/>
    <w:rsid w:val="00522642"/>
    <w:rsid w:val="005226F6"/>
    <w:rsid w:val="0052278C"/>
    <w:rsid w:val="005228A0"/>
    <w:rsid w:val="0052293B"/>
    <w:rsid w:val="00522994"/>
    <w:rsid w:val="005229CC"/>
    <w:rsid w:val="00522A4B"/>
    <w:rsid w:val="00522B50"/>
    <w:rsid w:val="00522B7B"/>
    <w:rsid w:val="00522D54"/>
    <w:rsid w:val="00522DC1"/>
    <w:rsid w:val="00522E4A"/>
    <w:rsid w:val="00522EEE"/>
    <w:rsid w:val="00522F57"/>
    <w:rsid w:val="00522F5A"/>
    <w:rsid w:val="0052313C"/>
    <w:rsid w:val="00523504"/>
    <w:rsid w:val="0052354F"/>
    <w:rsid w:val="00523557"/>
    <w:rsid w:val="005235AD"/>
    <w:rsid w:val="00523601"/>
    <w:rsid w:val="0052362D"/>
    <w:rsid w:val="005236CE"/>
    <w:rsid w:val="005236E4"/>
    <w:rsid w:val="00523711"/>
    <w:rsid w:val="005237FA"/>
    <w:rsid w:val="005238A8"/>
    <w:rsid w:val="005239A2"/>
    <w:rsid w:val="00523B7A"/>
    <w:rsid w:val="00523BE9"/>
    <w:rsid w:val="00523BF1"/>
    <w:rsid w:val="00523C55"/>
    <w:rsid w:val="00523C70"/>
    <w:rsid w:val="00523CBA"/>
    <w:rsid w:val="00523D67"/>
    <w:rsid w:val="00523FA1"/>
    <w:rsid w:val="0052403E"/>
    <w:rsid w:val="0052404D"/>
    <w:rsid w:val="00524058"/>
    <w:rsid w:val="0052408E"/>
    <w:rsid w:val="00524145"/>
    <w:rsid w:val="005241B3"/>
    <w:rsid w:val="005241B6"/>
    <w:rsid w:val="0052423C"/>
    <w:rsid w:val="00524251"/>
    <w:rsid w:val="0052440B"/>
    <w:rsid w:val="0052442C"/>
    <w:rsid w:val="005244CF"/>
    <w:rsid w:val="00524585"/>
    <w:rsid w:val="00524731"/>
    <w:rsid w:val="005247F8"/>
    <w:rsid w:val="00524923"/>
    <w:rsid w:val="005249AA"/>
    <w:rsid w:val="00524AD3"/>
    <w:rsid w:val="00524B73"/>
    <w:rsid w:val="00524C81"/>
    <w:rsid w:val="00524C91"/>
    <w:rsid w:val="00524D36"/>
    <w:rsid w:val="00524D42"/>
    <w:rsid w:val="00524D4E"/>
    <w:rsid w:val="00524D9E"/>
    <w:rsid w:val="00524DCF"/>
    <w:rsid w:val="00524E05"/>
    <w:rsid w:val="00524E1E"/>
    <w:rsid w:val="00524E32"/>
    <w:rsid w:val="00524EBC"/>
    <w:rsid w:val="0052507D"/>
    <w:rsid w:val="00525095"/>
    <w:rsid w:val="0052520B"/>
    <w:rsid w:val="00525219"/>
    <w:rsid w:val="0052529A"/>
    <w:rsid w:val="0052559B"/>
    <w:rsid w:val="00525619"/>
    <w:rsid w:val="00525643"/>
    <w:rsid w:val="005256C1"/>
    <w:rsid w:val="005256D3"/>
    <w:rsid w:val="00525773"/>
    <w:rsid w:val="00525855"/>
    <w:rsid w:val="00525885"/>
    <w:rsid w:val="00525895"/>
    <w:rsid w:val="00525926"/>
    <w:rsid w:val="00525948"/>
    <w:rsid w:val="00525969"/>
    <w:rsid w:val="00525A1B"/>
    <w:rsid w:val="00525B55"/>
    <w:rsid w:val="00525BDA"/>
    <w:rsid w:val="00525C6C"/>
    <w:rsid w:val="00525D3B"/>
    <w:rsid w:val="00525DC3"/>
    <w:rsid w:val="00525E63"/>
    <w:rsid w:val="00525FCB"/>
    <w:rsid w:val="0052608D"/>
    <w:rsid w:val="005260FB"/>
    <w:rsid w:val="0052622F"/>
    <w:rsid w:val="005262A1"/>
    <w:rsid w:val="0052633E"/>
    <w:rsid w:val="005264A0"/>
    <w:rsid w:val="005264F8"/>
    <w:rsid w:val="00526512"/>
    <w:rsid w:val="005265A7"/>
    <w:rsid w:val="005265BC"/>
    <w:rsid w:val="00526742"/>
    <w:rsid w:val="005267BC"/>
    <w:rsid w:val="0052686A"/>
    <w:rsid w:val="005268E3"/>
    <w:rsid w:val="0052690D"/>
    <w:rsid w:val="00526983"/>
    <w:rsid w:val="00526A54"/>
    <w:rsid w:val="00526A7E"/>
    <w:rsid w:val="00526B2E"/>
    <w:rsid w:val="00526BE9"/>
    <w:rsid w:val="00526C20"/>
    <w:rsid w:val="00526CA0"/>
    <w:rsid w:val="00526CA6"/>
    <w:rsid w:val="00526F37"/>
    <w:rsid w:val="00526F8D"/>
    <w:rsid w:val="00527071"/>
    <w:rsid w:val="005270F7"/>
    <w:rsid w:val="0052723D"/>
    <w:rsid w:val="00527281"/>
    <w:rsid w:val="00527315"/>
    <w:rsid w:val="00527327"/>
    <w:rsid w:val="005274C8"/>
    <w:rsid w:val="00527557"/>
    <w:rsid w:val="0052759E"/>
    <w:rsid w:val="005276EE"/>
    <w:rsid w:val="00527942"/>
    <w:rsid w:val="00527992"/>
    <w:rsid w:val="005279E2"/>
    <w:rsid w:val="00527A06"/>
    <w:rsid w:val="00527A8B"/>
    <w:rsid w:val="00527C7E"/>
    <w:rsid w:val="00527D71"/>
    <w:rsid w:val="00527D8B"/>
    <w:rsid w:val="00527DEF"/>
    <w:rsid w:val="00527E32"/>
    <w:rsid w:val="00527EE7"/>
    <w:rsid w:val="00527EEC"/>
    <w:rsid w:val="0053026D"/>
    <w:rsid w:val="00530389"/>
    <w:rsid w:val="0053043B"/>
    <w:rsid w:val="00530592"/>
    <w:rsid w:val="005305AA"/>
    <w:rsid w:val="00530605"/>
    <w:rsid w:val="00530687"/>
    <w:rsid w:val="00530691"/>
    <w:rsid w:val="0053073A"/>
    <w:rsid w:val="005307C3"/>
    <w:rsid w:val="0053090E"/>
    <w:rsid w:val="00530A0E"/>
    <w:rsid w:val="00530ABA"/>
    <w:rsid w:val="00530B18"/>
    <w:rsid w:val="00530B44"/>
    <w:rsid w:val="00530BCF"/>
    <w:rsid w:val="00530D35"/>
    <w:rsid w:val="00530EDA"/>
    <w:rsid w:val="00530F4B"/>
    <w:rsid w:val="00530FF7"/>
    <w:rsid w:val="0053105C"/>
    <w:rsid w:val="00531128"/>
    <w:rsid w:val="0053115B"/>
    <w:rsid w:val="00531233"/>
    <w:rsid w:val="005312BC"/>
    <w:rsid w:val="0053141C"/>
    <w:rsid w:val="0053143C"/>
    <w:rsid w:val="00531448"/>
    <w:rsid w:val="005314E9"/>
    <w:rsid w:val="005316F1"/>
    <w:rsid w:val="00531832"/>
    <w:rsid w:val="005318DA"/>
    <w:rsid w:val="00531A27"/>
    <w:rsid w:val="00531C3A"/>
    <w:rsid w:val="00531C6A"/>
    <w:rsid w:val="00531CF6"/>
    <w:rsid w:val="00531E7B"/>
    <w:rsid w:val="00531ED3"/>
    <w:rsid w:val="00531EF1"/>
    <w:rsid w:val="00531F59"/>
    <w:rsid w:val="00532057"/>
    <w:rsid w:val="00532094"/>
    <w:rsid w:val="00532105"/>
    <w:rsid w:val="00532147"/>
    <w:rsid w:val="00532354"/>
    <w:rsid w:val="00532412"/>
    <w:rsid w:val="0053245A"/>
    <w:rsid w:val="005324D9"/>
    <w:rsid w:val="005324E9"/>
    <w:rsid w:val="005324F8"/>
    <w:rsid w:val="00532601"/>
    <w:rsid w:val="005326A8"/>
    <w:rsid w:val="005326B0"/>
    <w:rsid w:val="00532791"/>
    <w:rsid w:val="00532A36"/>
    <w:rsid w:val="00532A44"/>
    <w:rsid w:val="00532B2C"/>
    <w:rsid w:val="00532B80"/>
    <w:rsid w:val="00532BB6"/>
    <w:rsid w:val="00532BDD"/>
    <w:rsid w:val="00532CA9"/>
    <w:rsid w:val="00532CC7"/>
    <w:rsid w:val="00532D8D"/>
    <w:rsid w:val="00532E98"/>
    <w:rsid w:val="00532EA3"/>
    <w:rsid w:val="00532F49"/>
    <w:rsid w:val="00532FC5"/>
    <w:rsid w:val="00532FCF"/>
    <w:rsid w:val="00533002"/>
    <w:rsid w:val="00533142"/>
    <w:rsid w:val="00533268"/>
    <w:rsid w:val="0053328E"/>
    <w:rsid w:val="005333A3"/>
    <w:rsid w:val="005333F7"/>
    <w:rsid w:val="00533420"/>
    <w:rsid w:val="00533447"/>
    <w:rsid w:val="00533589"/>
    <w:rsid w:val="005335C2"/>
    <w:rsid w:val="005335D8"/>
    <w:rsid w:val="00533826"/>
    <w:rsid w:val="005338D6"/>
    <w:rsid w:val="005339A0"/>
    <w:rsid w:val="005339A8"/>
    <w:rsid w:val="005339B0"/>
    <w:rsid w:val="00533A15"/>
    <w:rsid w:val="00533A91"/>
    <w:rsid w:val="00533AAB"/>
    <w:rsid w:val="00533B2E"/>
    <w:rsid w:val="00533BD6"/>
    <w:rsid w:val="00533C98"/>
    <w:rsid w:val="00533CF7"/>
    <w:rsid w:val="00533CFB"/>
    <w:rsid w:val="00533D99"/>
    <w:rsid w:val="00533E1F"/>
    <w:rsid w:val="00533EFD"/>
    <w:rsid w:val="00533F9A"/>
    <w:rsid w:val="005340C7"/>
    <w:rsid w:val="0053419E"/>
    <w:rsid w:val="005341C3"/>
    <w:rsid w:val="005341D6"/>
    <w:rsid w:val="005341F7"/>
    <w:rsid w:val="00534272"/>
    <w:rsid w:val="00534274"/>
    <w:rsid w:val="005342F1"/>
    <w:rsid w:val="00534320"/>
    <w:rsid w:val="005344C8"/>
    <w:rsid w:val="00534521"/>
    <w:rsid w:val="0053453A"/>
    <w:rsid w:val="00534632"/>
    <w:rsid w:val="005346F1"/>
    <w:rsid w:val="005347E9"/>
    <w:rsid w:val="0053488F"/>
    <w:rsid w:val="005348FA"/>
    <w:rsid w:val="00534A1D"/>
    <w:rsid w:val="00534A29"/>
    <w:rsid w:val="00534A4E"/>
    <w:rsid w:val="00534A89"/>
    <w:rsid w:val="00534AF3"/>
    <w:rsid w:val="00534B2B"/>
    <w:rsid w:val="00534BC1"/>
    <w:rsid w:val="00534BE2"/>
    <w:rsid w:val="00534C2D"/>
    <w:rsid w:val="00534D93"/>
    <w:rsid w:val="00534DBD"/>
    <w:rsid w:val="00534E0A"/>
    <w:rsid w:val="00534EAC"/>
    <w:rsid w:val="00534ECE"/>
    <w:rsid w:val="00534EF3"/>
    <w:rsid w:val="00534FC9"/>
    <w:rsid w:val="00534FEA"/>
    <w:rsid w:val="00535162"/>
    <w:rsid w:val="00535256"/>
    <w:rsid w:val="00535389"/>
    <w:rsid w:val="005353D1"/>
    <w:rsid w:val="0053544F"/>
    <w:rsid w:val="00535467"/>
    <w:rsid w:val="0053559A"/>
    <w:rsid w:val="00535610"/>
    <w:rsid w:val="00535639"/>
    <w:rsid w:val="00535663"/>
    <w:rsid w:val="005356A0"/>
    <w:rsid w:val="00535734"/>
    <w:rsid w:val="00535764"/>
    <w:rsid w:val="0053577F"/>
    <w:rsid w:val="00535856"/>
    <w:rsid w:val="00535980"/>
    <w:rsid w:val="00535A10"/>
    <w:rsid w:val="00535A88"/>
    <w:rsid w:val="00535B73"/>
    <w:rsid w:val="00535B8C"/>
    <w:rsid w:val="00535C4D"/>
    <w:rsid w:val="00535C55"/>
    <w:rsid w:val="00535C56"/>
    <w:rsid w:val="00535C8B"/>
    <w:rsid w:val="00535CA8"/>
    <w:rsid w:val="00535D01"/>
    <w:rsid w:val="00535D4B"/>
    <w:rsid w:val="00535EBF"/>
    <w:rsid w:val="0053604F"/>
    <w:rsid w:val="005360AC"/>
    <w:rsid w:val="0053614A"/>
    <w:rsid w:val="0053617D"/>
    <w:rsid w:val="0053631E"/>
    <w:rsid w:val="005364DA"/>
    <w:rsid w:val="0053655D"/>
    <w:rsid w:val="005365A8"/>
    <w:rsid w:val="0053661A"/>
    <w:rsid w:val="0053661B"/>
    <w:rsid w:val="0053680D"/>
    <w:rsid w:val="00536835"/>
    <w:rsid w:val="005369CD"/>
    <w:rsid w:val="005369E4"/>
    <w:rsid w:val="00536A79"/>
    <w:rsid w:val="00536AE8"/>
    <w:rsid w:val="00536BA7"/>
    <w:rsid w:val="00536C37"/>
    <w:rsid w:val="00536C3C"/>
    <w:rsid w:val="00536F61"/>
    <w:rsid w:val="00537056"/>
    <w:rsid w:val="005370A9"/>
    <w:rsid w:val="00537107"/>
    <w:rsid w:val="00537202"/>
    <w:rsid w:val="005373A9"/>
    <w:rsid w:val="005373F5"/>
    <w:rsid w:val="0053748F"/>
    <w:rsid w:val="005374AF"/>
    <w:rsid w:val="005374B2"/>
    <w:rsid w:val="005374E4"/>
    <w:rsid w:val="0053758A"/>
    <w:rsid w:val="00537598"/>
    <w:rsid w:val="005375C9"/>
    <w:rsid w:val="005375D4"/>
    <w:rsid w:val="0053765F"/>
    <w:rsid w:val="00537688"/>
    <w:rsid w:val="005377FD"/>
    <w:rsid w:val="00537866"/>
    <w:rsid w:val="0053794F"/>
    <w:rsid w:val="00537A7F"/>
    <w:rsid w:val="00537C72"/>
    <w:rsid w:val="00537C7C"/>
    <w:rsid w:val="00537CF6"/>
    <w:rsid w:val="00537D17"/>
    <w:rsid w:val="00537DB7"/>
    <w:rsid w:val="00537E70"/>
    <w:rsid w:val="00537E75"/>
    <w:rsid w:val="00537F6A"/>
    <w:rsid w:val="005400C4"/>
    <w:rsid w:val="005400CB"/>
    <w:rsid w:val="0054018E"/>
    <w:rsid w:val="00540205"/>
    <w:rsid w:val="005402F6"/>
    <w:rsid w:val="00540330"/>
    <w:rsid w:val="00540560"/>
    <w:rsid w:val="00540591"/>
    <w:rsid w:val="005405D8"/>
    <w:rsid w:val="005405F0"/>
    <w:rsid w:val="005406F0"/>
    <w:rsid w:val="0054071F"/>
    <w:rsid w:val="0054072B"/>
    <w:rsid w:val="005407B2"/>
    <w:rsid w:val="0054087D"/>
    <w:rsid w:val="005408E4"/>
    <w:rsid w:val="0054098F"/>
    <w:rsid w:val="00540AA0"/>
    <w:rsid w:val="00540B8A"/>
    <w:rsid w:val="00540BE9"/>
    <w:rsid w:val="00540CA7"/>
    <w:rsid w:val="00540CF0"/>
    <w:rsid w:val="00540D05"/>
    <w:rsid w:val="00540E2C"/>
    <w:rsid w:val="00540E4C"/>
    <w:rsid w:val="00540EBC"/>
    <w:rsid w:val="00540F7A"/>
    <w:rsid w:val="00540F8A"/>
    <w:rsid w:val="00540F95"/>
    <w:rsid w:val="00540F98"/>
    <w:rsid w:val="005411C7"/>
    <w:rsid w:val="00541259"/>
    <w:rsid w:val="00541285"/>
    <w:rsid w:val="005412F8"/>
    <w:rsid w:val="005413D0"/>
    <w:rsid w:val="00541496"/>
    <w:rsid w:val="005414A3"/>
    <w:rsid w:val="0054156C"/>
    <w:rsid w:val="00541602"/>
    <w:rsid w:val="00541705"/>
    <w:rsid w:val="0054172C"/>
    <w:rsid w:val="0054173E"/>
    <w:rsid w:val="005417DE"/>
    <w:rsid w:val="005418DE"/>
    <w:rsid w:val="005418E7"/>
    <w:rsid w:val="00541926"/>
    <w:rsid w:val="0054197B"/>
    <w:rsid w:val="005419F2"/>
    <w:rsid w:val="00541A2C"/>
    <w:rsid w:val="00541A6C"/>
    <w:rsid w:val="00541ABA"/>
    <w:rsid w:val="00541AF0"/>
    <w:rsid w:val="00541B35"/>
    <w:rsid w:val="00541BD5"/>
    <w:rsid w:val="00541C5A"/>
    <w:rsid w:val="00541C5F"/>
    <w:rsid w:val="00541C6D"/>
    <w:rsid w:val="00541D49"/>
    <w:rsid w:val="00541E81"/>
    <w:rsid w:val="00541FB0"/>
    <w:rsid w:val="00542056"/>
    <w:rsid w:val="00542074"/>
    <w:rsid w:val="005420A1"/>
    <w:rsid w:val="00542172"/>
    <w:rsid w:val="0054221B"/>
    <w:rsid w:val="0054223C"/>
    <w:rsid w:val="00542405"/>
    <w:rsid w:val="005424AF"/>
    <w:rsid w:val="005425A6"/>
    <w:rsid w:val="00542780"/>
    <w:rsid w:val="00542791"/>
    <w:rsid w:val="005427AB"/>
    <w:rsid w:val="005427BD"/>
    <w:rsid w:val="0054283E"/>
    <w:rsid w:val="005429DE"/>
    <w:rsid w:val="00542A66"/>
    <w:rsid w:val="00542AA4"/>
    <w:rsid w:val="00542B31"/>
    <w:rsid w:val="00542BE4"/>
    <w:rsid w:val="00542BEB"/>
    <w:rsid w:val="00542C88"/>
    <w:rsid w:val="00542DA2"/>
    <w:rsid w:val="005430CE"/>
    <w:rsid w:val="0054311C"/>
    <w:rsid w:val="005431FC"/>
    <w:rsid w:val="00543319"/>
    <w:rsid w:val="0054334F"/>
    <w:rsid w:val="00543408"/>
    <w:rsid w:val="0054348E"/>
    <w:rsid w:val="00543601"/>
    <w:rsid w:val="00543605"/>
    <w:rsid w:val="00543623"/>
    <w:rsid w:val="00543672"/>
    <w:rsid w:val="00543692"/>
    <w:rsid w:val="0054370A"/>
    <w:rsid w:val="0054370E"/>
    <w:rsid w:val="0054382A"/>
    <w:rsid w:val="00543859"/>
    <w:rsid w:val="005439FF"/>
    <w:rsid w:val="00543A5D"/>
    <w:rsid w:val="00543B46"/>
    <w:rsid w:val="00543B4B"/>
    <w:rsid w:val="00543B83"/>
    <w:rsid w:val="00543C17"/>
    <w:rsid w:val="00543CCD"/>
    <w:rsid w:val="00543CFA"/>
    <w:rsid w:val="00543DFC"/>
    <w:rsid w:val="00543E36"/>
    <w:rsid w:val="00543E42"/>
    <w:rsid w:val="00543ED4"/>
    <w:rsid w:val="00543F35"/>
    <w:rsid w:val="00543FCB"/>
    <w:rsid w:val="00544076"/>
    <w:rsid w:val="005441C1"/>
    <w:rsid w:val="0054430A"/>
    <w:rsid w:val="0054432F"/>
    <w:rsid w:val="00544338"/>
    <w:rsid w:val="00544354"/>
    <w:rsid w:val="0054439D"/>
    <w:rsid w:val="005443D1"/>
    <w:rsid w:val="005443E4"/>
    <w:rsid w:val="0054446F"/>
    <w:rsid w:val="0054447F"/>
    <w:rsid w:val="005444AC"/>
    <w:rsid w:val="005444DA"/>
    <w:rsid w:val="00544583"/>
    <w:rsid w:val="005445A5"/>
    <w:rsid w:val="005447D5"/>
    <w:rsid w:val="00544B34"/>
    <w:rsid w:val="00544C04"/>
    <w:rsid w:val="00544E9F"/>
    <w:rsid w:val="00544F10"/>
    <w:rsid w:val="00544F8E"/>
    <w:rsid w:val="00544FB0"/>
    <w:rsid w:val="00544FCE"/>
    <w:rsid w:val="0054501B"/>
    <w:rsid w:val="00545033"/>
    <w:rsid w:val="005450A7"/>
    <w:rsid w:val="005450FE"/>
    <w:rsid w:val="0054519B"/>
    <w:rsid w:val="005451B6"/>
    <w:rsid w:val="005451D6"/>
    <w:rsid w:val="005452B1"/>
    <w:rsid w:val="00545300"/>
    <w:rsid w:val="0054531F"/>
    <w:rsid w:val="00545336"/>
    <w:rsid w:val="0054534D"/>
    <w:rsid w:val="005454FE"/>
    <w:rsid w:val="005455F8"/>
    <w:rsid w:val="00545608"/>
    <w:rsid w:val="00545641"/>
    <w:rsid w:val="005459CE"/>
    <w:rsid w:val="005459EE"/>
    <w:rsid w:val="00545A8F"/>
    <w:rsid w:val="00545AEE"/>
    <w:rsid w:val="00545B85"/>
    <w:rsid w:val="00545C6C"/>
    <w:rsid w:val="00545D3F"/>
    <w:rsid w:val="00545D75"/>
    <w:rsid w:val="00545E13"/>
    <w:rsid w:val="00545E38"/>
    <w:rsid w:val="00545E86"/>
    <w:rsid w:val="00545EB8"/>
    <w:rsid w:val="00545FB1"/>
    <w:rsid w:val="005460A9"/>
    <w:rsid w:val="005461A8"/>
    <w:rsid w:val="005462FF"/>
    <w:rsid w:val="005463BD"/>
    <w:rsid w:val="00546440"/>
    <w:rsid w:val="00546526"/>
    <w:rsid w:val="00546559"/>
    <w:rsid w:val="005466C3"/>
    <w:rsid w:val="00546818"/>
    <w:rsid w:val="00546835"/>
    <w:rsid w:val="005468B7"/>
    <w:rsid w:val="005469F2"/>
    <w:rsid w:val="005469FE"/>
    <w:rsid w:val="00546B13"/>
    <w:rsid w:val="00546B88"/>
    <w:rsid w:val="00546C89"/>
    <w:rsid w:val="00546CE5"/>
    <w:rsid w:val="00546D50"/>
    <w:rsid w:val="00546D80"/>
    <w:rsid w:val="00546DB3"/>
    <w:rsid w:val="00546F65"/>
    <w:rsid w:val="00546FB3"/>
    <w:rsid w:val="0054708A"/>
    <w:rsid w:val="0054709B"/>
    <w:rsid w:val="005470C0"/>
    <w:rsid w:val="0054713D"/>
    <w:rsid w:val="00547141"/>
    <w:rsid w:val="00547156"/>
    <w:rsid w:val="00547272"/>
    <w:rsid w:val="005472A1"/>
    <w:rsid w:val="00547309"/>
    <w:rsid w:val="00547332"/>
    <w:rsid w:val="005473C9"/>
    <w:rsid w:val="005473D3"/>
    <w:rsid w:val="00547480"/>
    <w:rsid w:val="005474F6"/>
    <w:rsid w:val="00547562"/>
    <w:rsid w:val="00547739"/>
    <w:rsid w:val="00547763"/>
    <w:rsid w:val="0054776D"/>
    <w:rsid w:val="005477E6"/>
    <w:rsid w:val="00547836"/>
    <w:rsid w:val="0054796E"/>
    <w:rsid w:val="005479F5"/>
    <w:rsid w:val="00547B14"/>
    <w:rsid w:val="00547B1F"/>
    <w:rsid w:val="00547B45"/>
    <w:rsid w:val="00547B8F"/>
    <w:rsid w:val="00547C2B"/>
    <w:rsid w:val="00547C8F"/>
    <w:rsid w:val="00547CA6"/>
    <w:rsid w:val="00547CD5"/>
    <w:rsid w:val="00547D85"/>
    <w:rsid w:val="00547D87"/>
    <w:rsid w:val="00547FA6"/>
    <w:rsid w:val="00550090"/>
    <w:rsid w:val="00550116"/>
    <w:rsid w:val="005501C6"/>
    <w:rsid w:val="005502F3"/>
    <w:rsid w:val="0055039F"/>
    <w:rsid w:val="005503DD"/>
    <w:rsid w:val="0055046C"/>
    <w:rsid w:val="005504BC"/>
    <w:rsid w:val="0055053D"/>
    <w:rsid w:val="00550688"/>
    <w:rsid w:val="005507B1"/>
    <w:rsid w:val="0055085D"/>
    <w:rsid w:val="00550876"/>
    <w:rsid w:val="00550A00"/>
    <w:rsid w:val="00550ACF"/>
    <w:rsid w:val="00550AF6"/>
    <w:rsid w:val="00550B65"/>
    <w:rsid w:val="00550BE4"/>
    <w:rsid w:val="00550DA4"/>
    <w:rsid w:val="00550DED"/>
    <w:rsid w:val="00550E2A"/>
    <w:rsid w:val="00550E50"/>
    <w:rsid w:val="00550EDF"/>
    <w:rsid w:val="00550F76"/>
    <w:rsid w:val="00550FC5"/>
    <w:rsid w:val="00551033"/>
    <w:rsid w:val="005511DF"/>
    <w:rsid w:val="0055125E"/>
    <w:rsid w:val="005512DF"/>
    <w:rsid w:val="005512FD"/>
    <w:rsid w:val="0055130A"/>
    <w:rsid w:val="00551333"/>
    <w:rsid w:val="0055165E"/>
    <w:rsid w:val="00551706"/>
    <w:rsid w:val="0055172E"/>
    <w:rsid w:val="0055189D"/>
    <w:rsid w:val="0055191E"/>
    <w:rsid w:val="005519AC"/>
    <w:rsid w:val="005519D9"/>
    <w:rsid w:val="00551A02"/>
    <w:rsid w:val="00551A62"/>
    <w:rsid w:val="00551B3C"/>
    <w:rsid w:val="00551BAD"/>
    <w:rsid w:val="00551D2A"/>
    <w:rsid w:val="00551E3E"/>
    <w:rsid w:val="00551FB3"/>
    <w:rsid w:val="0055213A"/>
    <w:rsid w:val="005522E7"/>
    <w:rsid w:val="005522FE"/>
    <w:rsid w:val="0055232E"/>
    <w:rsid w:val="00552362"/>
    <w:rsid w:val="0055245D"/>
    <w:rsid w:val="0055285F"/>
    <w:rsid w:val="00552893"/>
    <w:rsid w:val="0055295B"/>
    <w:rsid w:val="00552961"/>
    <w:rsid w:val="00552A2E"/>
    <w:rsid w:val="00552B69"/>
    <w:rsid w:val="00552BFC"/>
    <w:rsid w:val="00552C67"/>
    <w:rsid w:val="00552CE1"/>
    <w:rsid w:val="00552CE8"/>
    <w:rsid w:val="00552D67"/>
    <w:rsid w:val="00552DEA"/>
    <w:rsid w:val="00552E69"/>
    <w:rsid w:val="00552E9A"/>
    <w:rsid w:val="00553030"/>
    <w:rsid w:val="005531A5"/>
    <w:rsid w:val="005532B1"/>
    <w:rsid w:val="0055334B"/>
    <w:rsid w:val="005533AF"/>
    <w:rsid w:val="0055344A"/>
    <w:rsid w:val="00553521"/>
    <w:rsid w:val="005536C2"/>
    <w:rsid w:val="005536D1"/>
    <w:rsid w:val="0055371B"/>
    <w:rsid w:val="00553730"/>
    <w:rsid w:val="00553941"/>
    <w:rsid w:val="00553AB2"/>
    <w:rsid w:val="00553B3E"/>
    <w:rsid w:val="00553B8F"/>
    <w:rsid w:val="00553BB9"/>
    <w:rsid w:val="00553D56"/>
    <w:rsid w:val="00553DBB"/>
    <w:rsid w:val="00553E53"/>
    <w:rsid w:val="00553F43"/>
    <w:rsid w:val="005541D0"/>
    <w:rsid w:val="00554230"/>
    <w:rsid w:val="005543C8"/>
    <w:rsid w:val="005544AA"/>
    <w:rsid w:val="005546CC"/>
    <w:rsid w:val="005546DD"/>
    <w:rsid w:val="005546E2"/>
    <w:rsid w:val="005547B5"/>
    <w:rsid w:val="005547BA"/>
    <w:rsid w:val="00554835"/>
    <w:rsid w:val="00554889"/>
    <w:rsid w:val="00554898"/>
    <w:rsid w:val="005548BE"/>
    <w:rsid w:val="005548D2"/>
    <w:rsid w:val="00554A45"/>
    <w:rsid w:val="00554A93"/>
    <w:rsid w:val="00554B17"/>
    <w:rsid w:val="00554B76"/>
    <w:rsid w:val="00554CDE"/>
    <w:rsid w:val="00554E5A"/>
    <w:rsid w:val="00554E98"/>
    <w:rsid w:val="00554F20"/>
    <w:rsid w:val="00554F3A"/>
    <w:rsid w:val="00554F60"/>
    <w:rsid w:val="00554F6F"/>
    <w:rsid w:val="00555001"/>
    <w:rsid w:val="0055501D"/>
    <w:rsid w:val="0055503B"/>
    <w:rsid w:val="00555092"/>
    <w:rsid w:val="00555093"/>
    <w:rsid w:val="005550AE"/>
    <w:rsid w:val="005550D0"/>
    <w:rsid w:val="0055511D"/>
    <w:rsid w:val="0055513C"/>
    <w:rsid w:val="00555411"/>
    <w:rsid w:val="0055541B"/>
    <w:rsid w:val="00555513"/>
    <w:rsid w:val="0055561D"/>
    <w:rsid w:val="00555643"/>
    <w:rsid w:val="00555720"/>
    <w:rsid w:val="00555732"/>
    <w:rsid w:val="00555834"/>
    <w:rsid w:val="005558FB"/>
    <w:rsid w:val="0055594D"/>
    <w:rsid w:val="00555972"/>
    <w:rsid w:val="00555A58"/>
    <w:rsid w:val="00555C9B"/>
    <w:rsid w:val="00555CD0"/>
    <w:rsid w:val="00555D77"/>
    <w:rsid w:val="00555DDB"/>
    <w:rsid w:val="00555E09"/>
    <w:rsid w:val="00555E0C"/>
    <w:rsid w:val="00555E36"/>
    <w:rsid w:val="00555E98"/>
    <w:rsid w:val="00555FDB"/>
    <w:rsid w:val="0055604B"/>
    <w:rsid w:val="0055604C"/>
    <w:rsid w:val="005562BD"/>
    <w:rsid w:val="005564F9"/>
    <w:rsid w:val="00556509"/>
    <w:rsid w:val="0055653E"/>
    <w:rsid w:val="005566A0"/>
    <w:rsid w:val="005566C1"/>
    <w:rsid w:val="00556709"/>
    <w:rsid w:val="005567D7"/>
    <w:rsid w:val="005567DB"/>
    <w:rsid w:val="005567F8"/>
    <w:rsid w:val="0055698D"/>
    <w:rsid w:val="00556A0C"/>
    <w:rsid w:val="00556B9D"/>
    <w:rsid w:val="00556BF1"/>
    <w:rsid w:val="00556C34"/>
    <w:rsid w:val="00556C65"/>
    <w:rsid w:val="00556C66"/>
    <w:rsid w:val="00556CA5"/>
    <w:rsid w:val="00556CC3"/>
    <w:rsid w:val="00556CED"/>
    <w:rsid w:val="00556D0F"/>
    <w:rsid w:val="00556D4E"/>
    <w:rsid w:val="00556D97"/>
    <w:rsid w:val="00556DB0"/>
    <w:rsid w:val="00556F80"/>
    <w:rsid w:val="005570E0"/>
    <w:rsid w:val="0055716D"/>
    <w:rsid w:val="00557180"/>
    <w:rsid w:val="00557195"/>
    <w:rsid w:val="00557206"/>
    <w:rsid w:val="0055723A"/>
    <w:rsid w:val="005572BC"/>
    <w:rsid w:val="00557320"/>
    <w:rsid w:val="005574F2"/>
    <w:rsid w:val="0055751C"/>
    <w:rsid w:val="0055757E"/>
    <w:rsid w:val="005575A6"/>
    <w:rsid w:val="00557699"/>
    <w:rsid w:val="00557763"/>
    <w:rsid w:val="005577B6"/>
    <w:rsid w:val="00557A24"/>
    <w:rsid w:val="00557A31"/>
    <w:rsid w:val="00557A45"/>
    <w:rsid w:val="00557B47"/>
    <w:rsid w:val="00557C9D"/>
    <w:rsid w:val="00557CA5"/>
    <w:rsid w:val="00557D3E"/>
    <w:rsid w:val="00557DA5"/>
    <w:rsid w:val="00557DDB"/>
    <w:rsid w:val="00557E34"/>
    <w:rsid w:val="00557E3A"/>
    <w:rsid w:val="00557EFE"/>
    <w:rsid w:val="00557F0B"/>
    <w:rsid w:val="00557F4C"/>
    <w:rsid w:val="00557FDB"/>
    <w:rsid w:val="0055D4BC"/>
    <w:rsid w:val="00560041"/>
    <w:rsid w:val="005601E0"/>
    <w:rsid w:val="005602C1"/>
    <w:rsid w:val="00560347"/>
    <w:rsid w:val="005603F4"/>
    <w:rsid w:val="00560737"/>
    <w:rsid w:val="005608D0"/>
    <w:rsid w:val="005608D6"/>
    <w:rsid w:val="00560977"/>
    <w:rsid w:val="00560CB7"/>
    <w:rsid w:val="00560D19"/>
    <w:rsid w:val="00560DB6"/>
    <w:rsid w:val="00560E30"/>
    <w:rsid w:val="00560FDF"/>
    <w:rsid w:val="00561083"/>
    <w:rsid w:val="00561087"/>
    <w:rsid w:val="005610F9"/>
    <w:rsid w:val="00561114"/>
    <w:rsid w:val="00561227"/>
    <w:rsid w:val="00561229"/>
    <w:rsid w:val="005612F7"/>
    <w:rsid w:val="00561334"/>
    <w:rsid w:val="005615CC"/>
    <w:rsid w:val="005615DF"/>
    <w:rsid w:val="005616D7"/>
    <w:rsid w:val="005617D4"/>
    <w:rsid w:val="005617ED"/>
    <w:rsid w:val="00561839"/>
    <w:rsid w:val="00561941"/>
    <w:rsid w:val="005619AF"/>
    <w:rsid w:val="00561A05"/>
    <w:rsid w:val="00561C1B"/>
    <w:rsid w:val="00561C5D"/>
    <w:rsid w:val="00561D77"/>
    <w:rsid w:val="00561E4A"/>
    <w:rsid w:val="00561ED2"/>
    <w:rsid w:val="00561F10"/>
    <w:rsid w:val="00561F51"/>
    <w:rsid w:val="00561FB3"/>
    <w:rsid w:val="00562028"/>
    <w:rsid w:val="00562039"/>
    <w:rsid w:val="00562131"/>
    <w:rsid w:val="005621C8"/>
    <w:rsid w:val="00562249"/>
    <w:rsid w:val="00562276"/>
    <w:rsid w:val="005622F1"/>
    <w:rsid w:val="005623A7"/>
    <w:rsid w:val="00562438"/>
    <w:rsid w:val="005626DF"/>
    <w:rsid w:val="0056270B"/>
    <w:rsid w:val="00562749"/>
    <w:rsid w:val="00562778"/>
    <w:rsid w:val="005627EE"/>
    <w:rsid w:val="00562939"/>
    <w:rsid w:val="00562958"/>
    <w:rsid w:val="00562984"/>
    <w:rsid w:val="00562A30"/>
    <w:rsid w:val="00562A6F"/>
    <w:rsid w:val="00562C1C"/>
    <w:rsid w:val="00562C2D"/>
    <w:rsid w:val="00562C30"/>
    <w:rsid w:val="00562D27"/>
    <w:rsid w:val="00562E6B"/>
    <w:rsid w:val="00562F11"/>
    <w:rsid w:val="00562F8E"/>
    <w:rsid w:val="00562FB2"/>
    <w:rsid w:val="00562FFF"/>
    <w:rsid w:val="005630B3"/>
    <w:rsid w:val="005630E2"/>
    <w:rsid w:val="0056310D"/>
    <w:rsid w:val="0056316B"/>
    <w:rsid w:val="005631BD"/>
    <w:rsid w:val="005631E7"/>
    <w:rsid w:val="00563200"/>
    <w:rsid w:val="005632E0"/>
    <w:rsid w:val="0056340A"/>
    <w:rsid w:val="00563421"/>
    <w:rsid w:val="00563583"/>
    <w:rsid w:val="005635BE"/>
    <w:rsid w:val="005636AB"/>
    <w:rsid w:val="005638BF"/>
    <w:rsid w:val="0056398E"/>
    <w:rsid w:val="005639F5"/>
    <w:rsid w:val="00563BB8"/>
    <w:rsid w:val="00563BBB"/>
    <w:rsid w:val="00563BCE"/>
    <w:rsid w:val="00563CB1"/>
    <w:rsid w:val="00563CCC"/>
    <w:rsid w:val="00563D46"/>
    <w:rsid w:val="00563EA2"/>
    <w:rsid w:val="00564113"/>
    <w:rsid w:val="00564175"/>
    <w:rsid w:val="0056420F"/>
    <w:rsid w:val="00564385"/>
    <w:rsid w:val="00564392"/>
    <w:rsid w:val="00564426"/>
    <w:rsid w:val="0056447D"/>
    <w:rsid w:val="0056470C"/>
    <w:rsid w:val="00564776"/>
    <w:rsid w:val="0056488A"/>
    <w:rsid w:val="00564960"/>
    <w:rsid w:val="0056498D"/>
    <w:rsid w:val="00564ADA"/>
    <w:rsid w:val="00564ADC"/>
    <w:rsid w:val="00564B17"/>
    <w:rsid w:val="00564C4F"/>
    <w:rsid w:val="00564CA4"/>
    <w:rsid w:val="00564E03"/>
    <w:rsid w:val="00564E74"/>
    <w:rsid w:val="00564FA2"/>
    <w:rsid w:val="00564FA4"/>
    <w:rsid w:val="00565101"/>
    <w:rsid w:val="0056529A"/>
    <w:rsid w:val="005652D7"/>
    <w:rsid w:val="0056542A"/>
    <w:rsid w:val="005654B0"/>
    <w:rsid w:val="0056553A"/>
    <w:rsid w:val="005655C6"/>
    <w:rsid w:val="005658EE"/>
    <w:rsid w:val="00565917"/>
    <w:rsid w:val="0056592F"/>
    <w:rsid w:val="005659E1"/>
    <w:rsid w:val="005659F6"/>
    <w:rsid w:val="00565B40"/>
    <w:rsid w:val="00565B56"/>
    <w:rsid w:val="00565C37"/>
    <w:rsid w:val="00565CD4"/>
    <w:rsid w:val="00565D6B"/>
    <w:rsid w:val="00565DA1"/>
    <w:rsid w:val="00565DE3"/>
    <w:rsid w:val="00565DE5"/>
    <w:rsid w:val="00565DE7"/>
    <w:rsid w:val="00565E85"/>
    <w:rsid w:val="00565EAD"/>
    <w:rsid w:val="00565EFB"/>
    <w:rsid w:val="00565F1B"/>
    <w:rsid w:val="0056602E"/>
    <w:rsid w:val="005660CA"/>
    <w:rsid w:val="0056615F"/>
    <w:rsid w:val="00566238"/>
    <w:rsid w:val="0056629A"/>
    <w:rsid w:val="005662F3"/>
    <w:rsid w:val="00566353"/>
    <w:rsid w:val="0056636E"/>
    <w:rsid w:val="005663AE"/>
    <w:rsid w:val="005663E2"/>
    <w:rsid w:val="005664DE"/>
    <w:rsid w:val="005664EA"/>
    <w:rsid w:val="005665B3"/>
    <w:rsid w:val="00566636"/>
    <w:rsid w:val="005666B4"/>
    <w:rsid w:val="00566821"/>
    <w:rsid w:val="005668A2"/>
    <w:rsid w:val="005669CE"/>
    <w:rsid w:val="00566A1A"/>
    <w:rsid w:val="00566AC1"/>
    <w:rsid w:val="00566B6A"/>
    <w:rsid w:val="00566BA0"/>
    <w:rsid w:val="00566BDA"/>
    <w:rsid w:val="00566C0E"/>
    <w:rsid w:val="00566C50"/>
    <w:rsid w:val="00566C9A"/>
    <w:rsid w:val="00566D23"/>
    <w:rsid w:val="00566D48"/>
    <w:rsid w:val="00566ECE"/>
    <w:rsid w:val="00566F00"/>
    <w:rsid w:val="00566F9A"/>
    <w:rsid w:val="00566FC6"/>
    <w:rsid w:val="00567083"/>
    <w:rsid w:val="00567149"/>
    <w:rsid w:val="00567223"/>
    <w:rsid w:val="00567240"/>
    <w:rsid w:val="005672AA"/>
    <w:rsid w:val="005672DB"/>
    <w:rsid w:val="0056731F"/>
    <w:rsid w:val="005673EA"/>
    <w:rsid w:val="005674FF"/>
    <w:rsid w:val="00567541"/>
    <w:rsid w:val="005675FB"/>
    <w:rsid w:val="00567609"/>
    <w:rsid w:val="00567615"/>
    <w:rsid w:val="0056761F"/>
    <w:rsid w:val="005677BA"/>
    <w:rsid w:val="00567918"/>
    <w:rsid w:val="00567A85"/>
    <w:rsid w:val="00567B2C"/>
    <w:rsid w:val="00567B6D"/>
    <w:rsid w:val="00567B7D"/>
    <w:rsid w:val="00567BC0"/>
    <w:rsid w:val="00567C97"/>
    <w:rsid w:val="00567DCC"/>
    <w:rsid w:val="00567DF2"/>
    <w:rsid w:val="00567E61"/>
    <w:rsid w:val="0057016D"/>
    <w:rsid w:val="005701C0"/>
    <w:rsid w:val="00570204"/>
    <w:rsid w:val="00570231"/>
    <w:rsid w:val="00570269"/>
    <w:rsid w:val="005702A1"/>
    <w:rsid w:val="005702E9"/>
    <w:rsid w:val="0057039A"/>
    <w:rsid w:val="005703BF"/>
    <w:rsid w:val="005704D0"/>
    <w:rsid w:val="00570523"/>
    <w:rsid w:val="00570528"/>
    <w:rsid w:val="005705CD"/>
    <w:rsid w:val="00570636"/>
    <w:rsid w:val="005706F5"/>
    <w:rsid w:val="005707D8"/>
    <w:rsid w:val="00570859"/>
    <w:rsid w:val="00570940"/>
    <w:rsid w:val="00570A1B"/>
    <w:rsid w:val="00570B1C"/>
    <w:rsid w:val="00570BAD"/>
    <w:rsid w:val="00570CAF"/>
    <w:rsid w:val="00570D0E"/>
    <w:rsid w:val="00570D2A"/>
    <w:rsid w:val="00570D77"/>
    <w:rsid w:val="00570DC0"/>
    <w:rsid w:val="00570F88"/>
    <w:rsid w:val="005710C0"/>
    <w:rsid w:val="0057116D"/>
    <w:rsid w:val="005712A6"/>
    <w:rsid w:val="005712E8"/>
    <w:rsid w:val="00571484"/>
    <w:rsid w:val="00571508"/>
    <w:rsid w:val="00571537"/>
    <w:rsid w:val="00571647"/>
    <w:rsid w:val="005716BF"/>
    <w:rsid w:val="005716CB"/>
    <w:rsid w:val="0057171A"/>
    <w:rsid w:val="005717E9"/>
    <w:rsid w:val="00571981"/>
    <w:rsid w:val="005719A0"/>
    <w:rsid w:val="00571A0E"/>
    <w:rsid w:val="00571A23"/>
    <w:rsid w:val="00571A5B"/>
    <w:rsid w:val="00571AE6"/>
    <w:rsid w:val="00571BF6"/>
    <w:rsid w:val="00571D78"/>
    <w:rsid w:val="00571D94"/>
    <w:rsid w:val="00571DC3"/>
    <w:rsid w:val="00571DD2"/>
    <w:rsid w:val="00571E70"/>
    <w:rsid w:val="00571F4F"/>
    <w:rsid w:val="00571F96"/>
    <w:rsid w:val="0057208D"/>
    <w:rsid w:val="005721BF"/>
    <w:rsid w:val="00572221"/>
    <w:rsid w:val="005722AB"/>
    <w:rsid w:val="005722B0"/>
    <w:rsid w:val="00572307"/>
    <w:rsid w:val="005724A8"/>
    <w:rsid w:val="0057251D"/>
    <w:rsid w:val="005725E2"/>
    <w:rsid w:val="005727D5"/>
    <w:rsid w:val="00572857"/>
    <w:rsid w:val="0057289E"/>
    <w:rsid w:val="0057292A"/>
    <w:rsid w:val="005729A4"/>
    <w:rsid w:val="005729BA"/>
    <w:rsid w:val="005729F3"/>
    <w:rsid w:val="005729F6"/>
    <w:rsid w:val="00572A05"/>
    <w:rsid w:val="00572A18"/>
    <w:rsid w:val="00572A24"/>
    <w:rsid w:val="00572B96"/>
    <w:rsid w:val="00572B9E"/>
    <w:rsid w:val="00572BD4"/>
    <w:rsid w:val="00572D21"/>
    <w:rsid w:val="00572DD3"/>
    <w:rsid w:val="00572FB0"/>
    <w:rsid w:val="00572FCA"/>
    <w:rsid w:val="00572FFC"/>
    <w:rsid w:val="00573032"/>
    <w:rsid w:val="0057309E"/>
    <w:rsid w:val="00573247"/>
    <w:rsid w:val="0057335B"/>
    <w:rsid w:val="00573394"/>
    <w:rsid w:val="005733B9"/>
    <w:rsid w:val="00573587"/>
    <w:rsid w:val="005737C1"/>
    <w:rsid w:val="0057385F"/>
    <w:rsid w:val="00573897"/>
    <w:rsid w:val="005739CE"/>
    <w:rsid w:val="00573A6D"/>
    <w:rsid w:val="00573AA3"/>
    <w:rsid w:val="00573B76"/>
    <w:rsid w:val="00573B84"/>
    <w:rsid w:val="00573B8A"/>
    <w:rsid w:val="00573BC6"/>
    <w:rsid w:val="00573BFB"/>
    <w:rsid w:val="00573C98"/>
    <w:rsid w:val="00573D25"/>
    <w:rsid w:val="00573D2C"/>
    <w:rsid w:val="00573D87"/>
    <w:rsid w:val="00573DBB"/>
    <w:rsid w:val="00573E2F"/>
    <w:rsid w:val="00573E61"/>
    <w:rsid w:val="00573E64"/>
    <w:rsid w:val="00573EC8"/>
    <w:rsid w:val="00574025"/>
    <w:rsid w:val="00574130"/>
    <w:rsid w:val="005741D5"/>
    <w:rsid w:val="0057421A"/>
    <w:rsid w:val="005743C7"/>
    <w:rsid w:val="0057443B"/>
    <w:rsid w:val="00574493"/>
    <w:rsid w:val="005746F2"/>
    <w:rsid w:val="0057471E"/>
    <w:rsid w:val="0057473F"/>
    <w:rsid w:val="00574849"/>
    <w:rsid w:val="00574905"/>
    <w:rsid w:val="00574920"/>
    <w:rsid w:val="0057492B"/>
    <w:rsid w:val="00574B11"/>
    <w:rsid w:val="00574B2E"/>
    <w:rsid w:val="00574BE8"/>
    <w:rsid w:val="00574C13"/>
    <w:rsid w:val="00574ED4"/>
    <w:rsid w:val="00574F8C"/>
    <w:rsid w:val="00575089"/>
    <w:rsid w:val="0057519D"/>
    <w:rsid w:val="0057523D"/>
    <w:rsid w:val="005752BF"/>
    <w:rsid w:val="0057537F"/>
    <w:rsid w:val="00575407"/>
    <w:rsid w:val="00575450"/>
    <w:rsid w:val="0057547D"/>
    <w:rsid w:val="00575484"/>
    <w:rsid w:val="005754D9"/>
    <w:rsid w:val="00575758"/>
    <w:rsid w:val="0057575B"/>
    <w:rsid w:val="005757FA"/>
    <w:rsid w:val="005758E9"/>
    <w:rsid w:val="005759C9"/>
    <w:rsid w:val="00575AC4"/>
    <w:rsid w:val="00575AED"/>
    <w:rsid w:val="00575B25"/>
    <w:rsid w:val="00575BA7"/>
    <w:rsid w:val="00575BBE"/>
    <w:rsid w:val="00575BE8"/>
    <w:rsid w:val="00575C75"/>
    <w:rsid w:val="00575E6D"/>
    <w:rsid w:val="00575EA0"/>
    <w:rsid w:val="00575EDA"/>
    <w:rsid w:val="00575F5F"/>
    <w:rsid w:val="00575FB9"/>
    <w:rsid w:val="005760A3"/>
    <w:rsid w:val="005760AA"/>
    <w:rsid w:val="005760C5"/>
    <w:rsid w:val="005760C8"/>
    <w:rsid w:val="005760DC"/>
    <w:rsid w:val="00576123"/>
    <w:rsid w:val="005762A7"/>
    <w:rsid w:val="0057636E"/>
    <w:rsid w:val="005763FE"/>
    <w:rsid w:val="00576457"/>
    <w:rsid w:val="00576486"/>
    <w:rsid w:val="005764E2"/>
    <w:rsid w:val="0057650B"/>
    <w:rsid w:val="00576541"/>
    <w:rsid w:val="005765BE"/>
    <w:rsid w:val="00576672"/>
    <w:rsid w:val="0057682D"/>
    <w:rsid w:val="00576893"/>
    <w:rsid w:val="00576993"/>
    <w:rsid w:val="005769FD"/>
    <w:rsid w:val="00576AC2"/>
    <w:rsid w:val="00576B8E"/>
    <w:rsid w:val="00576C4B"/>
    <w:rsid w:val="00576CB1"/>
    <w:rsid w:val="00576D88"/>
    <w:rsid w:val="00576E0B"/>
    <w:rsid w:val="00576EBC"/>
    <w:rsid w:val="00576F78"/>
    <w:rsid w:val="00576FC2"/>
    <w:rsid w:val="00577025"/>
    <w:rsid w:val="00577067"/>
    <w:rsid w:val="005770AB"/>
    <w:rsid w:val="005770D5"/>
    <w:rsid w:val="00577182"/>
    <w:rsid w:val="00577195"/>
    <w:rsid w:val="005771FC"/>
    <w:rsid w:val="00577484"/>
    <w:rsid w:val="005774A0"/>
    <w:rsid w:val="005775C1"/>
    <w:rsid w:val="0057763F"/>
    <w:rsid w:val="00577A31"/>
    <w:rsid w:val="00577A67"/>
    <w:rsid w:val="00577B7F"/>
    <w:rsid w:val="00577EB2"/>
    <w:rsid w:val="00577EBD"/>
    <w:rsid w:val="00577EFD"/>
    <w:rsid w:val="00580009"/>
    <w:rsid w:val="00580138"/>
    <w:rsid w:val="00580142"/>
    <w:rsid w:val="00580154"/>
    <w:rsid w:val="005801B3"/>
    <w:rsid w:val="00580277"/>
    <w:rsid w:val="005803DB"/>
    <w:rsid w:val="0058040D"/>
    <w:rsid w:val="005804B9"/>
    <w:rsid w:val="00580505"/>
    <w:rsid w:val="0058053D"/>
    <w:rsid w:val="00580636"/>
    <w:rsid w:val="00580643"/>
    <w:rsid w:val="00580769"/>
    <w:rsid w:val="005807A7"/>
    <w:rsid w:val="005808BF"/>
    <w:rsid w:val="0058093F"/>
    <w:rsid w:val="005809BE"/>
    <w:rsid w:val="005809F0"/>
    <w:rsid w:val="00580A4C"/>
    <w:rsid w:val="00580B70"/>
    <w:rsid w:val="00580B7D"/>
    <w:rsid w:val="00580D76"/>
    <w:rsid w:val="00580E4A"/>
    <w:rsid w:val="00581099"/>
    <w:rsid w:val="005810BD"/>
    <w:rsid w:val="0058112A"/>
    <w:rsid w:val="0058117E"/>
    <w:rsid w:val="00581217"/>
    <w:rsid w:val="0058124D"/>
    <w:rsid w:val="00581283"/>
    <w:rsid w:val="005813CF"/>
    <w:rsid w:val="00581455"/>
    <w:rsid w:val="00581503"/>
    <w:rsid w:val="00581581"/>
    <w:rsid w:val="00581601"/>
    <w:rsid w:val="00581677"/>
    <w:rsid w:val="0058169A"/>
    <w:rsid w:val="005817E4"/>
    <w:rsid w:val="0058195A"/>
    <w:rsid w:val="00581A4D"/>
    <w:rsid w:val="00581A89"/>
    <w:rsid w:val="00581B25"/>
    <w:rsid w:val="00581CE4"/>
    <w:rsid w:val="00581DD0"/>
    <w:rsid w:val="00581DDC"/>
    <w:rsid w:val="00581F2F"/>
    <w:rsid w:val="00581F47"/>
    <w:rsid w:val="00581FA8"/>
    <w:rsid w:val="0058200F"/>
    <w:rsid w:val="0058202C"/>
    <w:rsid w:val="005820AC"/>
    <w:rsid w:val="00582129"/>
    <w:rsid w:val="00582196"/>
    <w:rsid w:val="005822C5"/>
    <w:rsid w:val="005822E1"/>
    <w:rsid w:val="005822FF"/>
    <w:rsid w:val="005823B6"/>
    <w:rsid w:val="00582476"/>
    <w:rsid w:val="005824DA"/>
    <w:rsid w:val="0058258C"/>
    <w:rsid w:val="0058269D"/>
    <w:rsid w:val="005826B6"/>
    <w:rsid w:val="00582705"/>
    <w:rsid w:val="00582742"/>
    <w:rsid w:val="00582785"/>
    <w:rsid w:val="00582807"/>
    <w:rsid w:val="00582817"/>
    <w:rsid w:val="00582819"/>
    <w:rsid w:val="00582A5B"/>
    <w:rsid w:val="00582A8C"/>
    <w:rsid w:val="00582B1F"/>
    <w:rsid w:val="00582B3D"/>
    <w:rsid w:val="00582BC1"/>
    <w:rsid w:val="00582D17"/>
    <w:rsid w:val="00582D73"/>
    <w:rsid w:val="00582DE4"/>
    <w:rsid w:val="00582E17"/>
    <w:rsid w:val="00582EB9"/>
    <w:rsid w:val="00582F89"/>
    <w:rsid w:val="00582FD0"/>
    <w:rsid w:val="00582FDA"/>
    <w:rsid w:val="00583089"/>
    <w:rsid w:val="00583100"/>
    <w:rsid w:val="00583167"/>
    <w:rsid w:val="005831A1"/>
    <w:rsid w:val="0058320F"/>
    <w:rsid w:val="00583259"/>
    <w:rsid w:val="0058338A"/>
    <w:rsid w:val="005833FF"/>
    <w:rsid w:val="00583460"/>
    <w:rsid w:val="005834A0"/>
    <w:rsid w:val="005834C8"/>
    <w:rsid w:val="005835EF"/>
    <w:rsid w:val="0058364E"/>
    <w:rsid w:val="0058386A"/>
    <w:rsid w:val="005838EC"/>
    <w:rsid w:val="00583AF6"/>
    <w:rsid w:val="00583B0E"/>
    <w:rsid w:val="00583B15"/>
    <w:rsid w:val="00583B39"/>
    <w:rsid w:val="00583BC6"/>
    <w:rsid w:val="00583C17"/>
    <w:rsid w:val="00583CE3"/>
    <w:rsid w:val="00583DDC"/>
    <w:rsid w:val="00583E5A"/>
    <w:rsid w:val="00583F11"/>
    <w:rsid w:val="00583F58"/>
    <w:rsid w:val="00584009"/>
    <w:rsid w:val="0058404A"/>
    <w:rsid w:val="0058404D"/>
    <w:rsid w:val="005840F3"/>
    <w:rsid w:val="0058415C"/>
    <w:rsid w:val="0058419A"/>
    <w:rsid w:val="005844FA"/>
    <w:rsid w:val="00584578"/>
    <w:rsid w:val="0058467E"/>
    <w:rsid w:val="005847D5"/>
    <w:rsid w:val="00584923"/>
    <w:rsid w:val="0058498D"/>
    <w:rsid w:val="00584A3F"/>
    <w:rsid w:val="00584B69"/>
    <w:rsid w:val="00584BDC"/>
    <w:rsid w:val="00584C42"/>
    <w:rsid w:val="00584D79"/>
    <w:rsid w:val="00584DF8"/>
    <w:rsid w:val="00584DFE"/>
    <w:rsid w:val="00584E3B"/>
    <w:rsid w:val="00584E5D"/>
    <w:rsid w:val="00584EF8"/>
    <w:rsid w:val="00584F49"/>
    <w:rsid w:val="00584FA3"/>
    <w:rsid w:val="00584FCA"/>
    <w:rsid w:val="0058501F"/>
    <w:rsid w:val="00585081"/>
    <w:rsid w:val="00585136"/>
    <w:rsid w:val="0058514C"/>
    <w:rsid w:val="00585187"/>
    <w:rsid w:val="005851E9"/>
    <w:rsid w:val="0058533E"/>
    <w:rsid w:val="005853C9"/>
    <w:rsid w:val="0058541E"/>
    <w:rsid w:val="005854F5"/>
    <w:rsid w:val="00585588"/>
    <w:rsid w:val="00585667"/>
    <w:rsid w:val="00585675"/>
    <w:rsid w:val="0058567E"/>
    <w:rsid w:val="005857E3"/>
    <w:rsid w:val="00585869"/>
    <w:rsid w:val="00585885"/>
    <w:rsid w:val="005858B7"/>
    <w:rsid w:val="005858C7"/>
    <w:rsid w:val="005858D1"/>
    <w:rsid w:val="005858E6"/>
    <w:rsid w:val="00585B25"/>
    <w:rsid w:val="00585C0A"/>
    <w:rsid w:val="00585C0C"/>
    <w:rsid w:val="00585C9B"/>
    <w:rsid w:val="00585CA0"/>
    <w:rsid w:val="00585D11"/>
    <w:rsid w:val="00585DA0"/>
    <w:rsid w:val="00585E5D"/>
    <w:rsid w:val="00585E71"/>
    <w:rsid w:val="00585E90"/>
    <w:rsid w:val="00585EF9"/>
    <w:rsid w:val="00585F0C"/>
    <w:rsid w:val="00585F0F"/>
    <w:rsid w:val="00585F10"/>
    <w:rsid w:val="00585FA9"/>
    <w:rsid w:val="00585FCC"/>
    <w:rsid w:val="0058606F"/>
    <w:rsid w:val="0058610F"/>
    <w:rsid w:val="00586149"/>
    <w:rsid w:val="0058617E"/>
    <w:rsid w:val="005861D7"/>
    <w:rsid w:val="005862D1"/>
    <w:rsid w:val="005862D2"/>
    <w:rsid w:val="0058633B"/>
    <w:rsid w:val="005863E5"/>
    <w:rsid w:val="005863F1"/>
    <w:rsid w:val="0058643F"/>
    <w:rsid w:val="00586489"/>
    <w:rsid w:val="005865D7"/>
    <w:rsid w:val="005866B4"/>
    <w:rsid w:val="005867C7"/>
    <w:rsid w:val="00586826"/>
    <w:rsid w:val="005868C4"/>
    <w:rsid w:val="005868E9"/>
    <w:rsid w:val="00586954"/>
    <w:rsid w:val="00586974"/>
    <w:rsid w:val="005869B4"/>
    <w:rsid w:val="00586A95"/>
    <w:rsid w:val="00586A99"/>
    <w:rsid w:val="00586B36"/>
    <w:rsid w:val="00586D27"/>
    <w:rsid w:val="00586D48"/>
    <w:rsid w:val="00586DB1"/>
    <w:rsid w:val="00586DB2"/>
    <w:rsid w:val="00586E7F"/>
    <w:rsid w:val="00586F36"/>
    <w:rsid w:val="00587052"/>
    <w:rsid w:val="005870D4"/>
    <w:rsid w:val="005871C3"/>
    <w:rsid w:val="00587234"/>
    <w:rsid w:val="005872F4"/>
    <w:rsid w:val="0058733E"/>
    <w:rsid w:val="0058738F"/>
    <w:rsid w:val="005874A6"/>
    <w:rsid w:val="005875F6"/>
    <w:rsid w:val="0058767E"/>
    <w:rsid w:val="00587723"/>
    <w:rsid w:val="00587737"/>
    <w:rsid w:val="00587745"/>
    <w:rsid w:val="00587897"/>
    <w:rsid w:val="00587A61"/>
    <w:rsid w:val="00587B2D"/>
    <w:rsid w:val="00587B4D"/>
    <w:rsid w:val="00587C50"/>
    <w:rsid w:val="00587CA5"/>
    <w:rsid w:val="00587D79"/>
    <w:rsid w:val="00587E33"/>
    <w:rsid w:val="00587E38"/>
    <w:rsid w:val="00587FA4"/>
    <w:rsid w:val="00590022"/>
    <w:rsid w:val="0059007F"/>
    <w:rsid w:val="00590082"/>
    <w:rsid w:val="0059010E"/>
    <w:rsid w:val="0059011B"/>
    <w:rsid w:val="0059020E"/>
    <w:rsid w:val="005902E0"/>
    <w:rsid w:val="005902E8"/>
    <w:rsid w:val="005902FE"/>
    <w:rsid w:val="0059031E"/>
    <w:rsid w:val="005903CB"/>
    <w:rsid w:val="00590465"/>
    <w:rsid w:val="00590475"/>
    <w:rsid w:val="00590575"/>
    <w:rsid w:val="005905A1"/>
    <w:rsid w:val="0059067B"/>
    <w:rsid w:val="005906E4"/>
    <w:rsid w:val="00590741"/>
    <w:rsid w:val="005907B8"/>
    <w:rsid w:val="0059081B"/>
    <w:rsid w:val="00590980"/>
    <w:rsid w:val="005909DC"/>
    <w:rsid w:val="005909F3"/>
    <w:rsid w:val="00590A40"/>
    <w:rsid w:val="00590B37"/>
    <w:rsid w:val="00590C1C"/>
    <w:rsid w:val="00590CD5"/>
    <w:rsid w:val="00590FBC"/>
    <w:rsid w:val="0059105F"/>
    <w:rsid w:val="005910ED"/>
    <w:rsid w:val="005911EA"/>
    <w:rsid w:val="005912EE"/>
    <w:rsid w:val="00591334"/>
    <w:rsid w:val="0059140C"/>
    <w:rsid w:val="005914DD"/>
    <w:rsid w:val="00591581"/>
    <w:rsid w:val="00591582"/>
    <w:rsid w:val="00591591"/>
    <w:rsid w:val="005915A0"/>
    <w:rsid w:val="00591682"/>
    <w:rsid w:val="00591733"/>
    <w:rsid w:val="005917F7"/>
    <w:rsid w:val="005918E3"/>
    <w:rsid w:val="00591A3C"/>
    <w:rsid w:val="00591A91"/>
    <w:rsid w:val="00591B04"/>
    <w:rsid w:val="00591B4B"/>
    <w:rsid w:val="00591B9B"/>
    <w:rsid w:val="00591C4C"/>
    <w:rsid w:val="00591C63"/>
    <w:rsid w:val="00591E74"/>
    <w:rsid w:val="00591EB4"/>
    <w:rsid w:val="005920D9"/>
    <w:rsid w:val="005921B8"/>
    <w:rsid w:val="00592200"/>
    <w:rsid w:val="005922B2"/>
    <w:rsid w:val="00592365"/>
    <w:rsid w:val="00592426"/>
    <w:rsid w:val="0059244F"/>
    <w:rsid w:val="00592554"/>
    <w:rsid w:val="005925AB"/>
    <w:rsid w:val="005925CA"/>
    <w:rsid w:val="005926D1"/>
    <w:rsid w:val="0059278B"/>
    <w:rsid w:val="0059284D"/>
    <w:rsid w:val="00592906"/>
    <w:rsid w:val="00592A4E"/>
    <w:rsid w:val="00592B1B"/>
    <w:rsid w:val="00592C62"/>
    <w:rsid w:val="00592C7B"/>
    <w:rsid w:val="00592CCF"/>
    <w:rsid w:val="00592D78"/>
    <w:rsid w:val="00592D8B"/>
    <w:rsid w:val="00592DC6"/>
    <w:rsid w:val="00592E52"/>
    <w:rsid w:val="00592E5B"/>
    <w:rsid w:val="00592F6F"/>
    <w:rsid w:val="00593046"/>
    <w:rsid w:val="005931A9"/>
    <w:rsid w:val="00593291"/>
    <w:rsid w:val="00593307"/>
    <w:rsid w:val="00593523"/>
    <w:rsid w:val="00593609"/>
    <w:rsid w:val="0059365D"/>
    <w:rsid w:val="005936B0"/>
    <w:rsid w:val="005936B2"/>
    <w:rsid w:val="005937AF"/>
    <w:rsid w:val="00593819"/>
    <w:rsid w:val="0059381D"/>
    <w:rsid w:val="005938C6"/>
    <w:rsid w:val="0059390E"/>
    <w:rsid w:val="00593978"/>
    <w:rsid w:val="005939BD"/>
    <w:rsid w:val="005939C4"/>
    <w:rsid w:val="00593A25"/>
    <w:rsid w:val="00593A33"/>
    <w:rsid w:val="00593A59"/>
    <w:rsid w:val="00593C1B"/>
    <w:rsid w:val="00593C52"/>
    <w:rsid w:val="00593C75"/>
    <w:rsid w:val="00593D37"/>
    <w:rsid w:val="00593FFD"/>
    <w:rsid w:val="0059407C"/>
    <w:rsid w:val="005940E8"/>
    <w:rsid w:val="0059414A"/>
    <w:rsid w:val="00594215"/>
    <w:rsid w:val="005943A1"/>
    <w:rsid w:val="005943E6"/>
    <w:rsid w:val="00594455"/>
    <w:rsid w:val="0059447F"/>
    <w:rsid w:val="005945AD"/>
    <w:rsid w:val="0059464A"/>
    <w:rsid w:val="005946BC"/>
    <w:rsid w:val="005947ED"/>
    <w:rsid w:val="00594842"/>
    <w:rsid w:val="0059491E"/>
    <w:rsid w:val="00594A9D"/>
    <w:rsid w:val="00594B42"/>
    <w:rsid w:val="00594B7B"/>
    <w:rsid w:val="00594BD0"/>
    <w:rsid w:val="00594C23"/>
    <w:rsid w:val="00594C26"/>
    <w:rsid w:val="00594DFD"/>
    <w:rsid w:val="00594E72"/>
    <w:rsid w:val="00594F71"/>
    <w:rsid w:val="00595004"/>
    <w:rsid w:val="005950A5"/>
    <w:rsid w:val="005950BD"/>
    <w:rsid w:val="005950CE"/>
    <w:rsid w:val="005952A0"/>
    <w:rsid w:val="005952EC"/>
    <w:rsid w:val="0059536D"/>
    <w:rsid w:val="00595389"/>
    <w:rsid w:val="005953EA"/>
    <w:rsid w:val="005953F3"/>
    <w:rsid w:val="005954D3"/>
    <w:rsid w:val="00595543"/>
    <w:rsid w:val="00595595"/>
    <w:rsid w:val="0059560A"/>
    <w:rsid w:val="0059565E"/>
    <w:rsid w:val="005958B9"/>
    <w:rsid w:val="00595A03"/>
    <w:rsid w:val="00595A19"/>
    <w:rsid w:val="00595AA7"/>
    <w:rsid w:val="00595BB6"/>
    <w:rsid w:val="00595C50"/>
    <w:rsid w:val="00595F10"/>
    <w:rsid w:val="00595F68"/>
    <w:rsid w:val="0059601F"/>
    <w:rsid w:val="00596064"/>
    <w:rsid w:val="00596067"/>
    <w:rsid w:val="00596148"/>
    <w:rsid w:val="00596335"/>
    <w:rsid w:val="0059636B"/>
    <w:rsid w:val="00596401"/>
    <w:rsid w:val="005964B9"/>
    <w:rsid w:val="0059651D"/>
    <w:rsid w:val="0059663F"/>
    <w:rsid w:val="00596690"/>
    <w:rsid w:val="00596693"/>
    <w:rsid w:val="00596778"/>
    <w:rsid w:val="005967EC"/>
    <w:rsid w:val="0059690A"/>
    <w:rsid w:val="0059692D"/>
    <w:rsid w:val="0059692F"/>
    <w:rsid w:val="0059693C"/>
    <w:rsid w:val="005969A1"/>
    <w:rsid w:val="00596A0B"/>
    <w:rsid w:val="00596C6A"/>
    <w:rsid w:val="00596D7D"/>
    <w:rsid w:val="00596E68"/>
    <w:rsid w:val="00596E6D"/>
    <w:rsid w:val="00597055"/>
    <w:rsid w:val="0059733A"/>
    <w:rsid w:val="00597377"/>
    <w:rsid w:val="005973EA"/>
    <w:rsid w:val="00597450"/>
    <w:rsid w:val="005974D6"/>
    <w:rsid w:val="005975D1"/>
    <w:rsid w:val="005975DB"/>
    <w:rsid w:val="005976AF"/>
    <w:rsid w:val="005977BC"/>
    <w:rsid w:val="005977D7"/>
    <w:rsid w:val="00597843"/>
    <w:rsid w:val="005978CC"/>
    <w:rsid w:val="00597929"/>
    <w:rsid w:val="00597962"/>
    <w:rsid w:val="00597A09"/>
    <w:rsid w:val="00597A57"/>
    <w:rsid w:val="00597C8D"/>
    <w:rsid w:val="00597D4B"/>
    <w:rsid w:val="00597D9C"/>
    <w:rsid w:val="00597E2F"/>
    <w:rsid w:val="00597EDC"/>
    <w:rsid w:val="00597EFF"/>
    <w:rsid w:val="00597F75"/>
    <w:rsid w:val="00597F93"/>
    <w:rsid w:val="005A0065"/>
    <w:rsid w:val="005A00D4"/>
    <w:rsid w:val="005A016B"/>
    <w:rsid w:val="005A01A2"/>
    <w:rsid w:val="005A0331"/>
    <w:rsid w:val="005A0507"/>
    <w:rsid w:val="005A05BC"/>
    <w:rsid w:val="005A05E0"/>
    <w:rsid w:val="005A0673"/>
    <w:rsid w:val="005A07E3"/>
    <w:rsid w:val="005A0818"/>
    <w:rsid w:val="005A0835"/>
    <w:rsid w:val="005A08DD"/>
    <w:rsid w:val="005A08F9"/>
    <w:rsid w:val="005A0920"/>
    <w:rsid w:val="005A0A4D"/>
    <w:rsid w:val="005A0A6D"/>
    <w:rsid w:val="005A0AD6"/>
    <w:rsid w:val="005A0B8F"/>
    <w:rsid w:val="005A0C01"/>
    <w:rsid w:val="005A0C58"/>
    <w:rsid w:val="005A0C88"/>
    <w:rsid w:val="005A0C98"/>
    <w:rsid w:val="005A0CA4"/>
    <w:rsid w:val="005A0CE1"/>
    <w:rsid w:val="005A0D03"/>
    <w:rsid w:val="005A0E20"/>
    <w:rsid w:val="005A0F72"/>
    <w:rsid w:val="005A1199"/>
    <w:rsid w:val="005A121D"/>
    <w:rsid w:val="005A1386"/>
    <w:rsid w:val="005A149E"/>
    <w:rsid w:val="005A1514"/>
    <w:rsid w:val="005A15C3"/>
    <w:rsid w:val="005A1699"/>
    <w:rsid w:val="005A16BD"/>
    <w:rsid w:val="005A19B9"/>
    <w:rsid w:val="005A1A1E"/>
    <w:rsid w:val="005A1A7F"/>
    <w:rsid w:val="005A1AC9"/>
    <w:rsid w:val="005A1B2A"/>
    <w:rsid w:val="005A1B40"/>
    <w:rsid w:val="005A1B4F"/>
    <w:rsid w:val="005A1BA8"/>
    <w:rsid w:val="005A1C86"/>
    <w:rsid w:val="005A1CDA"/>
    <w:rsid w:val="005A1D30"/>
    <w:rsid w:val="005A1D71"/>
    <w:rsid w:val="005A1D74"/>
    <w:rsid w:val="005A1F41"/>
    <w:rsid w:val="005A1F6A"/>
    <w:rsid w:val="005A2035"/>
    <w:rsid w:val="005A20D8"/>
    <w:rsid w:val="005A2367"/>
    <w:rsid w:val="005A23E8"/>
    <w:rsid w:val="005A2489"/>
    <w:rsid w:val="005A24EC"/>
    <w:rsid w:val="005A26FC"/>
    <w:rsid w:val="005A276B"/>
    <w:rsid w:val="005A29AA"/>
    <w:rsid w:val="005A2BA5"/>
    <w:rsid w:val="005A2BDB"/>
    <w:rsid w:val="005A2C96"/>
    <w:rsid w:val="005A2DDC"/>
    <w:rsid w:val="005A2E55"/>
    <w:rsid w:val="005A310C"/>
    <w:rsid w:val="005A311B"/>
    <w:rsid w:val="005A316D"/>
    <w:rsid w:val="005A34C7"/>
    <w:rsid w:val="005A353A"/>
    <w:rsid w:val="005A35A0"/>
    <w:rsid w:val="005A35A9"/>
    <w:rsid w:val="005A360F"/>
    <w:rsid w:val="005A3707"/>
    <w:rsid w:val="005A3724"/>
    <w:rsid w:val="005A3764"/>
    <w:rsid w:val="005A3801"/>
    <w:rsid w:val="005A3812"/>
    <w:rsid w:val="005A3842"/>
    <w:rsid w:val="005A389C"/>
    <w:rsid w:val="005A38C2"/>
    <w:rsid w:val="005A38EC"/>
    <w:rsid w:val="005A39C1"/>
    <w:rsid w:val="005A3A50"/>
    <w:rsid w:val="005A3AC4"/>
    <w:rsid w:val="005A3ADD"/>
    <w:rsid w:val="005A3B79"/>
    <w:rsid w:val="005A3BD7"/>
    <w:rsid w:val="005A3C4A"/>
    <w:rsid w:val="005A3CB7"/>
    <w:rsid w:val="005A3DF0"/>
    <w:rsid w:val="005A3E19"/>
    <w:rsid w:val="005A3F91"/>
    <w:rsid w:val="005A4010"/>
    <w:rsid w:val="005A42AB"/>
    <w:rsid w:val="005A42ED"/>
    <w:rsid w:val="005A431E"/>
    <w:rsid w:val="005A4366"/>
    <w:rsid w:val="005A4369"/>
    <w:rsid w:val="005A444A"/>
    <w:rsid w:val="005A444B"/>
    <w:rsid w:val="005A455B"/>
    <w:rsid w:val="005A469D"/>
    <w:rsid w:val="005A4751"/>
    <w:rsid w:val="005A4776"/>
    <w:rsid w:val="005A4785"/>
    <w:rsid w:val="005A47C5"/>
    <w:rsid w:val="005A47F2"/>
    <w:rsid w:val="005A48AD"/>
    <w:rsid w:val="005A4A72"/>
    <w:rsid w:val="005A4BD6"/>
    <w:rsid w:val="005A4C2C"/>
    <w:rsid w:val="005A4C56"/>
    <w:rsid w:val="005A4E93"/>
    <w:rsid w:val="005A4EB5"/>
    <w:rsid w:val="005A5014"/>
    <w:rsid w:val="005A502A"/>
    <w:rsid w:val="005A5047"/>
    <w:rsid w:val="005A50FA"/>
    <w:rsid w:val="005A5185"/>
    <w:rsid w:val="005A52D1"/>
    <w:rsid w:val="005A538C"/>
    <w:rsid w:val="005A54C3"/>
    <w:rsid w:val="005A55EE"/>
    <w:rsid w:val="005A5853"/>
    <w:rsid w:val="005A589C"/>
    <w:rsid w:val="005A590E"/>
    <w:rsid w:val="005A599E"/>
    <w:rsid w:val="005A59A0"/>
    <w:rsid w:val="005A5ABA"/>
    <w:rsid w:val="005A5BB8"/>
    <w:rsid w:val="005A5BEA"/>
    <w:rsid w:val="005A5C37"/>
    <w:rsid w:val="005A5C6F"/>
    <w:rsid w:val="005A5CFE"/>
    <w:rsid w:val="005A5D65"/>
    <w:rsid w:val="005A5D98"/>
    <w:rsid w:val="005A5DBE"/>
    <w:rsid w:val="005A5DEB"/>
    <w:rsid w:val="005A5F00"/>
    <w:rsid w:val="005A5F81"/>
    <w:rsid w:val="005A6176"/>
    <w:rsid w:val="005A61FC"/>
    <w:rsid w:val="005A6270"/>
    <w:rsid w:val="005A6393"/>
    <w:rsid w:val="005A63A9"/>
    <w:rsid w:val="005A6421"/>
    <w:rsid w:val="005A64C9"/>
    <w:rsid w:val="005A6660"/>
    <w:rsid w:val="005A6669"/>
    <w:rsid w:val="005A6703"/>
    <w:rsid w:val="005A67F6"/>
    <w:rsid w:val="005A6824"/>
    <w:rsid w:val="005A682F"/>
    <w:rsid w:val="005A68EE"/>
    <w:rsid w:val="005A6B5E"/>
    <w:rsid w:val="005A6B83"/>
    <w:rsid w:val="005A6BC4"/>
    <w:rsid w:val="005A6C02"/>
    <w:rsid w:val="005A6D0C"/>
    <w:rsid w:val="005A6E20"/>
    <w:rsid w:val="005A6E22"/>
    <w:rsid w:val="005A6E29"/>
    <w:rsid w:val="005A6ECC"/>
    <w:rsid w:val="005A6EE1"/>
    <w:rsid w:val="005A6EE8"/>
    <w:rsid w:val="005A6F50"/>
    <w:rsid w:val="005A6F9B"/>
    <w:rsid w:val="005A6FB3"/>
    <w:rsid w:val="005A7028"/>
    <w:rsid w:val="005A7187"/>
    <w:rsid w:val="005A7226"/>
    <w:rsid w:val="005A72C0"/>
    <w:rsid w:val="005A7316"/>
    <w:rsid w:val="005A75BB"/>
    <w:rsid w:val="005A7609"/>
    <w:rsid w:val="005A7643"/>
    <w:rsid w:val="005A7782"/>
    <w:rsid w:val="005A79A2"/>
    <w:rsid w:val="005A79A9"/>
    <w:rsid w:val="005A7AB2"/>
    <w:rsid w:val="005A7C05"/>
    <w:rsid w:val="005A7C58"/>
    <w:rsid w:val="005A7E7C"/>
    <w:rsid w:val="005A7F79"/>
    <w:rsid w:val="005B00AA"/>
    <w:rsid w:val="005B00AD"/>
    <w:rsid w:val="005B00B5"/>
    <w:rsid w:val="005B0110"/>
    <w:rsid w:val="005B013B"/>
    <w:rsid w:val="005B024E"/>
    <w:rsid w:val="005B04C7"/>
    <w:rsid w:val="005B0518"/>
    <w:rsid w:val="005B0577"/>
    <w:rsid w:val="005B0599"/>
    <w:rsid w:val="005B05D5"/>
    <w:rsid w:val="005B0636"/>
    <w:rsid w:val="005B0684"/>
    <w:rsid w:val="005B087B"/>
    <w:rsid w:val="005B091A"/>
    <w:rsid w:val="005B095E"/>
    <w:rsid w:val="005B0A6F"/>
    <w:rsid w:val="005B0AB9"/>
    <w:rsid w:val="005B0AEB"/>
    <w:rsid w:val="005B0B8D"/>
    <w:rsid w:val="005B0D4F"/>
    <w:rsid w:val="005B0FC6"/>
    <w:rsid w:val="005B10D0"/>
    <w:rsid w:val="005B1264"/>
    <w:rsid w:val="005B129E"/>
    <w:rsid w:val="005B12AA"/>
    <w:rsid w:val="005B12FD"/>
    <w:rsid w:val="005B135E"/>
    <w:rsid w:val="005B13AB"/>
    <w:rsid w:val="005B1438"/>
    <w:rsid w:val="005B149D"/>
    <w:rsid w:val="005B149E"/>
    <w:rsid w:val="005B14AF"/>
    <w:rsid w:val="005B14BE"/>
    <w:rsid w:val="005B154C"/>
    <w:rsid w:val="005B164B"/>
    <w:rsid w:val="005B1667"/>
    <w:rsid w:val="005B1691"/>
    <w:rsid w:val="005B16CB"/>
    <w:rsid w:val="005B1700"/>
    <w:rsid w:val="005B1703"/>
    <w:rsid w:val="005B1773"/>
    <w:rsid w:val="005B179E"/>
    <w:rsid w:val="005B1805"/>
    <w:rsid w:val="005B1809"/>
    <w:rsid w:val="005B1834"/>
    <w:rsid w:val="005B1869"/>
    <w:rsid w:val="005B18C8"/>
    <w:rsid w:val="005B1BDB"/>
    <w:rsid w:val="005B1C44"/>
    <w:rsid w:val="005B1C8D"/>
    <w:rsid w:val="005B1D23"/>
    <w:rsid w:val="005B1E39"/>
    <w:rsid w:val="005B1EF8"/>
    <w:rsid w:val="005B1F4C"/>
    <w:rsid w:val="005B1FAE"/>
    <w:rsid w:val="005B1FCD"/>
    <w:rsid w:val="005B203E"/>
    <w:rsid w:val="005B20F6"/>
    <w:rsid w:val="005B2154"/>
    <w:rsid w:val="005B21ED"/>
    <w:rsid w:val="005B2246"/>
    <w:rsid w:val="005B2286"/>
    <w:rsid w:val="005B22B9"/>
    <w:rsid w:val="005B22DE"/>
    <w:rsid w:val="005B2306"/>
    <w:rsid w:val="005B2383"/>
    <w:rsid w:val="005B2395"/>
    <w:rsid w:val="005B2480"/>
    <w:rsid w:val="005B2593"/>
    <w:rsid w:val="005B25E5"/>
    <w:rsid w:val="005B2691"/>
    <w:rsid w:val="005B269E"/>
    <w:rsid w:val="005B2725"/>
    <w:rsid w:val="005B276F"/>
    <w:rsid w:val="005B27AD"/>
    <w:rsid w:val="005B2808"/>
    <w:rsid w:val="005B2826"/>
    <w:rsid w:val="005B285F"/>
    <w:rsid w:val="005B292F"/>
    <w:rsid w:val="005B2B5F"/>
    <w:rsid w:val="005B2C1A"/>
    <w:rsid w:val="005B2C82"/>
    <w:rsid w:val="005B2D9D"/>
    <w:rsid w:val="005B2F30"/>
    <w:rsid w:val="005B3096"/>
    <w:rsid w:val="005B3157"/>
    <w:rsid w:val="005B3246"/>
    <w:rsid w:val="005B32CC"/>
    <w:rsid w:val="005B33C6"/>
    <w:rsid w:val="005B3489"/>
    <w:rsid w:val="005B35A0"/>
    <w:rsid w:val="005B36EC"/>
    <w:rsid w:val="005B3723"/>
    <w:rsid w:val="005B3927"/>
    <w:rsid w:val="005B3B17"/>
    <w:rsid w:val="005B3BAA"/>
    <w:rsid w:val="005B3C1E"/>
    <w:rsid w:val="005B3DA3"/>
    <w:rsid w:val="005B3E9D"/>
    <w:rsid w:val="005B3F18"/>
    <w:rsid w:val="005B3F75"/>
    <w:rsid w:val="005B3F7D"/>
    <w:rsid w:val="005B4020"/>
    <w:rsid w:val="005B40EF"/>
    <w:rsid w:val="005B4130"/>
    <w:rsid w:val="005B4218"/>
    <w:rsid w:val="005B42E8"/>
    <w:rsid w:val="005B4339"/>
    <w:rsid w:val="005B4359"/>
    <w:rsid w:val="005B43FB"/>
    <w:rsid w:val="005B43FC"/>
    <w:rsid w:val="005B4519"/>
    <w:rsid w:val="005B45D9"/>
    <w:rsid w:val="005B4706"/>
    <w:rsid w:val="005B47DA"/>
    <w:rsid w:val="005B4937"/>
    <w:rsid w:val="005B4940"/>
    <w:rsid w:val="005B4972"/>
    <w:rsid w:val="005B4A61"/>
    <w:rsid w:val="005B4ABB"/>
    <w:rsid w:val="005B4AC0"/>
    <w:rsid w:val="005B4C3F"/>
    <w:rsid w:val="005B4C47"/>
    <w:rsid w:val="005B4C51"/>
    <w:rsid w:val="005B4CAF"/>
    <w:rsid w:val="005B4D75"/>
    <w:rsid w:val="005B4DF6"/>
    <w:rsid w:val="005B4ED1"/>
    <w:rsid w:val="005B5116"/>
    <w:rsid w:val="005B517D"/>
    <w:rsid w:val="005B52F7"/>
    <w:rsid w:val="005B5450"/>
    <w:rsid w:val="005B54B0"/>
    <w:rsid w:val="005B553A"/>
    <w:rsid w:val="005B559B"/>
    <w:rsid w:val="005B5714"/>
    <w:rsid w:val="005B57A7"/>
    <w:rsid w:val="005B57F0"/>
    <w:rsid w:val="005B5862"/>
    <w:rsid w:val="005B58F7"/>
    <w:rsid w:val="005B596F"/>
    <w:rsid w:val="005B59DC"/>
    <w:rsid w:val="005B5B37"/>
    <w:rsid w:val="005B5BA4"/>
    <w:rsid w:val="005B5BC6"/>
    <w:rsid w:val="005B5BD3"/>
    <w:rsid w:val="005B5C26"/>
    <w:rsid w:val="005B5C37"/>
    <w:rsid w:val="005B5D64"/>
    <w:rsid w:val="005B5D77"/>
    <w:rsid w:val="005B5DD1"/>
    <w:rsid w:val="005B5E8D"/>
    <w:rsid w:val="005B5EDD"/>
    <w:rsid w:val="005B60A0"/>
    <w:rsid w:val="005B634D"/>
    <w:rsid w:val="005B635D"/>
    <w:rsid w:val="005B63B8"/>
    <w:rsid w:val="005B6403"/>
    <w:rsid w:val="005B65E4"/>
    <w:rsid w:val="005B661C"/>
    <w:rsid w:val="005B66B7"/>
    <w:rsid w:val="005B66C8"/>
    <w:rsid w:val="005B6715"/>
    <w:rsid w:val="005B673C"/>
    <w:rsid w:val="005B67B0"/>
    <w:rsid w:val="005B682D"/>
    <w:rsid w:val="005B68BE"/>
    <w:rsid w:val="005B6944"/>
    <w:rsid w:val="005B695E"/>
    <w:rsid w:val="005B6A67"/>
    <w:rsid w:val="005B6BD1"/>
    <w:rsid w:val="005B6BED"/>
    <w:rsid w:val="005B6C29"/>
    <w:rsid w:val="005B6CC2"/>
    <w:rsid w:val="005B6D87"/>
    <w:rsid w:val="005B6E60"/>
    <w:rsid w:val="005B6F9C"/>
    <w:rsid w:val="005B6FD3"/>
    <w:rsid w:val="005B6FF6"/>
    <w:rsid w:val="005B70E3"/>
    <w:rsid w:val="005B710E"/>
    <w:rsid w:val="005B7192"/>
    <w:rsid w:val="005B727A"/>
    <w:rsid w:val="005B728E"/>
    <w:rsid w:val="005B7312"/>
    <w:rsid w:val="005B731E"/>
    <w:rsid w:val="005B7367"/>
    <w:rsid w:val="005B7635"/>
    <w:rsid w:val="005B76EA"/>
    <w:rsid w:val="005B77AB"/>
    <w:rsid w:val="005B78A4"/>
    <w:rsid w:val="005B79DD"/>
    <w:rsid w:val="005B7A41"/>
    <w:rsid w:val="005B7A90"/>
    <w:rsid w:val="005B7AAA"/>
    <w:rsid w:val="005B7AC8"/>
    <w:rsid w:val="005B7AF3"/>
    <w:rsid w:val="005B7BEE"/>
    <w:rsid w:val="005B7C55"/>
    <w:rsid w:val="005B7DE7"/>
    <w:rsid w:val="005B7EE7"/>
    <w:rsid w:val="005B7F92"/>
    <w:rsid w:val="005B7FF8"/>
    <w:rsid w:val="005C009C"/>
    <w:rsid w:val="005C00C1"/>
    <w:rsid w:val="005C0132"/>
    <w:rsid w:val="005C0311"/>
    <w:rsid w:val="005C032E"/>
    <w:rsid w:val="005C03B2"/>
    <w:rsid w:val="005C03E2"/>
    <w:rsid w:val="005C064B"/>
    <w:rsid w:val="005C0701"/>
    <w:rsid w:val="005C0859"/>
    <w:rsid w:val="005C0972"/>
    <w:rsid w:val="005C0980"/>
    <w:rsid w:val="005C0989"/>
    <w:rsid w:val="005C0999"/>
    <w:rsid w:val="005C0B08"/>
    <w:rsid w:val="005C0C90"/>
    <w:rsid w:val="005C0D74"/>
    <w:rsid w:val="005C0DF6"/>
    <w:rsid w:val="005C0E45"/>
    <w:rsid w:val="005C0F75"/>
    <w:rsid w:val="005C0FD5"/>
    <w:rsid w:val="005C11ED"/>
    <w:rsid w:val="005C1221"/>
    <w:rsid w:val="005C124D"/>
    <w:rsid w:val="005C1412"/>
    <w:rsid w:val="005C1489"/>
    <w:rsid w:val="005C150F"/>
    <w:rsid w:val="005C1551"/>
    <w:rsid w:val="005C1570"/>
    <w:rsid w:val="005C15E8"/>
    <w:rsid w:val="005C160B"/>
    <w:rsid w:val="005C161F"/>
    <w:rsid w:val="005C177A"/>
    <w:rsid w:val="005C17B8"/>
    <w:rsid w:val="005C1884"/>
    <w:rsid w:val="005C195F"/>
    <w:rsid w:val="005C1A08"/>
    <w:rsid w:val="005C1A52"/>
    <w:rsid w:val="005C1A7E"/>
    <w:rsid w:val="005C1AC0"/>
    <w:rsid w:val="005C1AF9"/>
    <w:rsid w:val="005C1BBC"/>
    <w:rsid w:val="005C1D95"/>
    <w:rsid w:val="005C1EFA"/>
    <w:rsid w:val="005C1F3A"/>
    <w:rsid w:val="005C1FD2"/>
    <w:rsid w:val="005C200D"/>
    <w:rsid w:val="005C21BA"/>
    <w:rsid w:val="005C22A6"/>
    <w:rsid w:val="005C233A"/>
    <w:rsid w:val="005C23BC"/>
    <w:rsid w:val="005C24F3"/>
    <w:rsid w:val="005C250E"/>
    <w:rsid w:val="005C25DE"/>
    <w:rsid w:val="005C268E"/>
    <w:rsid w:val="005C292D"/>
    <w:rsid w:val="005C2A2C"/>
    <w:rsid w:val="005C2B81"/>
    <w:rsid w:val="005C2BD1"/>
    <w:rsid w:val="005C2C65"/>
    <w:rsid w:val="005C2D11"/>
    <w:rsid w:val="005C2D38"/>
    <w:rsid w:val="005C2D5F"/>
    <w:rsid w:val="005C2D68"/>
    <w:rsid w:val="005C2D77"/>
    <w:rsid w:val="005C2E30"/>
    <w:rsid w:val="005C2E64"/>
    <w:rsid w:val="005C2E8F"/>
    <w:rsid w:val="005C2E91"/>
    <w:rsid w:val="005C2F11"/>
    <w:rsid w:val="005C2F82"/>
    <w:rsid w:val="005C2FB9"/>
    <w:rsid w:val="005C2FD8"/>
    <w:rsid w:val="005C32C9"/>
    <w:rsid w:val="005C3380"/>
    <w:rsid w:val="005C34A6"/>
    <w:rsid w:val="005C3539"/>
    <w:rsid w:val="005C35D6"/>
    <w:rsid w:val="005C3639"/>
    <w:rsid w:val="005C3667"/>
    <w:rsid w:val="005C3788"/>
    <w:rsid w:val="005C379A"/>
    <w:rsid w:val="005C379F"/>
    <w:rsid w:val="005C37D8"/>
    <w:rsid w:val="005C38C3"/>
    <w:rsid w:val="005C39BF"/>
    <w:rsid w:val="005C3A19"/>
    <w:rsid w:val="005C3A1B"/>
    <w:rsid w:val="005C3C38"/>
    <w:rsid w:val="005C3C4C"/>
    <w:rsid w:val="005C3D18"/>
    <w:rsid w:val="005C3DF5"/>
    <w:rsid w:val="005C3E7E"/>
    <w:rsid w:val="005C3EB4"/>
    <w:rsid w:val="005C3EC4"/>
    <w:rsid w:val="005C3ED3"/>
    <w:rsid w:val="005C3EED"/>
    <w:rsid w:val="005C3F58"/>
    <w:rsid w:val="005C4055"/>
    <w:rsid w:val="005C4136"/>
    <w:rsid w:val="005C426D"/>
    <w:rsid w:val="005C4270"/>
    <w:rsid w:val="005C429A"/>
    <w:rsid w:val="005C43B1"/>
    <w:rsid w:val="005C449B"/>
    <w:rsid w:val="005C459B"/>
    <w:rsid w:val="005C45D9"/>
    <w:rsid w:val="005C45EF"/>
    <w:rsid w:val="005C4600"/>
    <w:rsid w:val="005C466A"/>
    <w:rsid w:val="005C47AD"/>
    <w:rsid w:val="005C48EC"/>
    <w:rsid w:val="005C4946"/>
    <w:rsid w:val="005C4A64"/>
    <w:rsid w:val="005C4A8B"/>
    <w:rsid w:val="005C4B0D"/>
    <w:rsid w:val="005C4C21"/>
    <w:rsid w:val="005C4C54"/>
    <w:rsid w:val="005C4CB2"/>
    <w:rsid w:val="005C4CF5"/>
    <w:rsid w:val="005C4D5F"/>
    <w:rsid w:val="005C4E25"/>
    <w:rsid w:val="005C4E43"/>
    <w:rsid w:val="005C4E6F"/>
    <w:rsid w:val="005C4E7C"/>
    <w:rsid w:val="005C4E9B"/>
    <w:rsid w:val="005C4ED3"/>
    <w:rsid w:val="005C4FEF"/>
    <w:rsid w:val="005C4FF5"/>
    <w:rsid w:val="005C504C"/>
    <w:rsid w:val="005C509B"/>
    <w:rsid w:val="005C512C"/>
    <w:rsid w:val="005C5154"/>
    <w:rsid w:val="005C5158"/>
    <w:rsid w:val="005C517F"/>
    <w:rsid w:val="005C52EF"/>
    <w:rsid w:val="005C5323"/>
    <w:rsid w:val="005C58C2"/>
    <w:rsid w:val="005C58E1"/>
    <w:rsid w:val="005C59C5"/>
    <w:rsid w:val="005C59CD"/>
    <w:rsid w:val="005C5AC3"/>
    <w:rsid w:val="005C5B62"/>
    <w:rsid w:val="005C5B67"/>
    <w:rsid w:val="005C5BC9"/>
    <w:rsid w:val="005C5C28"/>
    <w:rsid w:val="005C5C56"/>
    <w:rsid w:val="005C5C6D"/>
    <w:rsid w:val="005C5CC9"/>
    <w:rsid w:val="005C5D66"/>
    <w:rsid w:val="005C5DF5"/>
    <w:rsid w:val="005C5E2E"/>
    <w:rsid w:val="005C5E8D"/>
    <w:rsid w:val="005C5EB3"/>
    <w:rsid w:val="005C5F20"/>
    <w:rsid w:val="005C5FE7"/>
    <w:rsid w:val="005C606E"/>
    <w:rsid w:val="005C62EE"/>
    <w:rsid w:val="005C63FB"/>
    <w:rsid w:val="005C6401"/>
    <w:rsid w:val="005C658D"/>
    <w:rsid w:val="005C6598"/>
    <w:rsid w:val="005C65A4"/>
    <w:rsid w:val="005C6612"/>
    <w:rsid w:val="005C6660"/>
    <w:rsid w:val="005C6991"/>
    <w:rsid w:val="005C6A1D"/>
    <w:rsid w:val="005C6ABD"/>
    <w:rsid w:val="005C6B0D"/>
    <w:rsid w:val="005C6B23"/>
    <w:rsid w:val="005C6B4B"/>
    <w:rsid w:val="005C6BE9"/>
    <w:rsid w:val="005C6CD5"/>
    <w:rsid w:val="005C6D71"/>
    <w:rsid w:val="005C6E60"/>
    <w:rsid w:val="005C6EEC"/>
    <w:rsid w:val="005C6F89"/>
    <w:rsid w:val="005C6FC9"/>
    <w:rsid w:val="005C704F"/>
    <w:rsid w:val="005C712A"/>
    <w:rsid w:val="005C7195"/>
    <w:rsid w:val="005C737E"/>
    <w:rsid w:val="005C73BE"/>
    <w:rsid w:val="005C73D0"/>
    <w:rsid w:val="005C73FC"/>
    <w:rsid w:val="005C7642"/>
    <w:rsid w:val="005C7737"/>
    <w:rsid w:val="005C774E"/>
    <w:rsid w:val="005C777F"/>
    <w:rsid w:val="005C78CA"/>
    <w:rsid w:val="005C7932"/>
    <w:rsid w:val="005C7934"/>
    <w:rsid w:val="005C7A00"/>
    <w:rsid w:val="005C7A26"/>
    <w:rsid w:val="005C7A9C"/>
    <w:rsid w:val="005C7B3E"/>
    <w:rsid w:val="005C7B9B"/>
    <w:rsid w:val="005C7BB5"/>
    <w:rsid w:val="005C7D66"/>
    <w:rsid w:val="005C7E3D"/>
    <w:rsid w:val="005C7ED3"/>
    <w:rsid w:val="005C7F30"/>
    <w:rsid w:val="005C7F78"/>
    <w:rsid w:val="005C7F90"/>
    <w:rsid w:val="005D00E5"/>
    <w:rsid w:val="005D00ED"/>
    <w:rsid w:val="005D0121"/>
    <w:rsid w:val="005D03EA"/>
    <w:rsid w:val="005D04AF"/>
    <w:rsid w:val="005D056F"/>
    <w:rsid w:val="005D0580"/>
    <w:rsid w:val="005D05C1"/>
    <w:rsid w:val="005D05F9"/>
    <w:rsid w:val="005D0604"/>
    <w:rsid w:val="005D0618"/>
    <w:rsid w:val="005D0621"/>
    <w:rsid w:val="005D06D9"/>
    <w:rsid w:val="005D07FD"/>
    <w:rsid w:val="005D083A"/>
    <w:rsid w:val="005D085B"/>
    <w:rsid w:val="005D099F"/>
    <w:rsid w:val="005D0A32"/>
    <w:rsid w:val="005D0A58"/>
    <w:rsid w:val="005D0B0E"/>
    <w:rsid w:val="005D0C30"/>
    <w:rsid w:val="005D0C60"/>
    <w:rsid w:val="005D0CA3"/>
    <w:rsid w:val="005D0D91"/>
    <w:rsid w:val="005D0ED3"/>
    <w:rsid w:val="005D0F59"/>
    <w:rsid w:val="005D0F8A"/>
    <w:rsid w:val="005D1090"/>
    <w:rsid w:val="005D10CC"/>
    <w:rsid w:val="005D1190"/>
    <w:rsid w:val="005D11CA"/>
    <w:rsid w:val="005D11ED"/>
    <w:rsid w:val="005D123D"/>
    <w:rsid w:val="005D138C"/>
    <w:rsid w:val="005D1919"/>
    <w:rsid w:val="005D19FE"/>
    <w:rsid w:val="005D1B81"/>
    <w:rsid w:val="005D1BF8"/>
    <w:rsid w:val="005D1C41"/>
    <w:rsid w:val="005D1C71"/>
    <w:rsid w:val="005D1CB7"/>
    <w:rsid w:val="005D1DEF"/>
    <w:rsid w:val="005D205A"/>
    <w:rsid w:val="005D21BD"/>
    <w:rsid w:val="005D22B7"/>
    <w:rsid w:val="005D22BE"/>
    <w:rsid w:val="005D2402"/>
    <w:rsid w:val="005D2417"/>
    <w:rsid w:val="005D248D"/>
    <w:rsid w:val="005D24E0"/>
    <w:rsid w:val="005D25C6"/>
    <w:rsid w:val="005D25CD"/>
    <w:rsid w:val="005D25E4"/>
    <w:rsid w:val="005D2681"/>
    <w:rsid w:val="005D2700"/>
    <w:rsid w:val="005D276F"/>
    <w:rsid w:val="005D278C"/>
    <w:rsid w:val="005D284B"/>
    <w:rsid w:val="005D28B1"/>
    <w:rsid w:val="005D28F1"/>
    <w:rsid w:val="005D2906"/>
    <w:rsid w:val="005D2AD9"/>
    <w:rsid w:val="005D2AFA"/>
    <w:rsid w:val="005D2C75"/>
    <w:rsid w:val="005D2D06"/>
    <w:rsid w:val="005D2D09"/>
    <w:rsid w:val="005D2D4A"/>
    <w:rsid w:val="005D2EA7"/>
    <w:rsid w:val="005D2F52"/>
    <w:rsid w:val="005D2FC7"/>
    <w:rsid w:val="005D3280"/>
    <w:rsid w:val="005D328C"/>
    <w:rsid w:val="005D32C0"/>
    <w:rsid w:val="005D32FE"/>
    <w:rsid w:val="005D3321"/>
    <w:rsid w:val="005D337E"/>
    <w:rsid w:val="005D338F"/>
    <w:rsid w:val="005D346F"/>
    <w:rsid w:val="005D34E7"/>
    <w:rsid w:val="005D3519"/>
    <w:rsid w:val="005D3548"/>
    <w:rsid w:val="005D35CB"/>
    <w:rsid w:val="005D361E"/>
    <w:rsid w:val="005D3655"/>
    <w:rsid w:val="005D36F4"/>
    <w:rsid w:val="005D374F"/>
    <w:rsid w:val="005D378F"/>
    <w:rsid w:val="005D388C"/>
    <w:rsid w:val="005D3B3B"/>
    <w:rsid w:val="005D3B7F"/>
    <w:rsid w:val="005D3BC4"/>
    <w:rsid w:val="005D3D3C"/>
    <w:rsid w:val="005D3E82"/>
    <w:rsid w:val="005D3F10"/>
    <w:rsid w:val="005D3F36"/>
    <w:rsid w:val="005D3F87"/>
    <w:rsid w:val="005D3FE1"/>
    <w:rsid w:val="005D3FF1"/>
    <w:rsid w:val="005D4134"/>
    <w:rsid w:val="005D4233"/>
    <w:rsid w:val="005D42A0"/>
    <w:rsid w:val="005D4308"/>
    <w:rsid w:val="005D4377"/>
    <w:rsid w:val="005D4388"/>
    <w:rsid w:val="005D4481"/>
    <w:rsid w:val="005D457A"/>
    <w:rsid w:val="005D46A8"/>
    <w:rsid w:val="005D46D7"/>
    <w:rsid w:val="005D47CF"/>
    <w:rsid w:val="005D4800"/>
    <w:rsid w:val="005D4852"/>
    <w:rsid w:val="005D485B"/>
    <w:rsid w:val="005D491B"/>
    <w:rsid w:val="005D4922"/>
    <w:rsid w:val="005D498B"/>
    <w:rsid w:val="005D49A7"/>
    <w:rsid w:val="005D49B5"/>
    <w:rsid w:val="005D4BBB"/>
    <w:rsid w:val="005D4C58"/>
    <w:rsid w:val="005D4D8B"/>
    <w:rsid w:val="005D4F42"/>
    <w:rsid w:val="005D4F99"/>
    <w:rsid w:val="005D507C"/>
    <w:rsid w:val="005D511C"/>
    <w:rsid w:val="005D516A"/>
    <w:rsid w:val="005D51F2"/>
    <w:rsid w:val="005D5371"/>
    <w:rsid w:val="005D53B8"/>
    <w:rsid w:val="005D5462"/>
    <w:rsid w:val="005D5515"/>
    <w:rsid w:val="005D5631"/>
    <w:rsid w:val="005D5690"/>
    <w:rsid w:val="005D56F6"/>
    <w:rsid w:val="005D57F8"/>
    <w:rsid w:val="005D5851"/>
    <w:rsid w:val="005D5882"/>
    <w:rsid w:val="005D59AB"/>
    <w:rsid w:val="005D59B4"/>
    <w:rsid w:val="005D59E2"/>
    <w:rsid w:val="005D5A49"/>
    <w:rsid w:val="005D5AAF"/>
    <w:rsid w:val="005D5AC0"/>
    <w:rsid w:val="005D5E15"/>
    <w:rsid w:val="005D5F6B"/>
    <w:rsid w:val="005D608E"/>
    <w:rsid w:val="005D60E3"/>
    <w:rsid w:val="005D6125"/>
    <w:rsid w:val="005D6254"/>
    <w:rsid w:val="005D6390"/>
    <w:rsid w:val="005D63BA"/>
    <w:rsid w:val="005D6402"/>
    <w:rsid w:val="005D64B1"/>
    <w:rsid w:val="005D64F7"/>
    <w:rsid w:val="005D651A"/>
    <w:rsid w:val="005D654C"/>
    <w:rsid w:val="005D66A4"/>
    <w:rsid w:val="005D6755"/>
    <w:rsid w:val="005D6798"/>
    <w:rsid w:val="005D6803"/>
    <w:rsid w:val="005D69BA"/>
    <w:rsid w:val="005D6AC8"/>
    <w:rsid w:val="005D6BA7"/>
    <w:rsid w:val="005D6BD6"/>
    <w:rsid w:val="005D6BE4"/>
    <w:rsid w:val="005D6C22"/>
    <w:rsid w:val="005D6D2C"/>
    <w:rsid w:val="005D6DD5"/>
    <w:rsid w:val="005D6E3B"/>
    <w:rsid w:val="005D6E80"/>
    <w:rsid w:val="005D6F84"/>
    <w:rsid w:val="005D7047"/>
    <w:rsid w:val="005D7159"/>
    <w:rsid w:val="005D72DA"/>
    <w:rsid w:val="005D73C2"/>
    <w:rsid w:val="005D748E"/>
    <w:rsid w:val="005D754D"/>
    <w:rsid w:val="005D7572"/>
    <w:rsid w:val="005D7577"/>
    <w:rsid w:val="005D75A5"/>
    <w:rsid w:val="005D75BA"/>
    <w:rsid w:val="005D7752"/>
    <w:rsid w:val="005D77F2"/>
    <w:rsid w:val="005D79EF"/>
    <w:rsid w:val="005D7A26"/>
    <w:rsid w:val="005D7A6A"/>
    <w:rsid w:val="005D7B07"/>
    <w:rsid w:val="005D7C52"/>
    <w:rsid w:val="005D7CBF"/>
    <w:rsid w:val="005D7CFC"/>
    <w:rsid w:val="005D7FB2"/>
    <w:rsid w:val="005E0081"/>
    <w:rsid w:val="005E009D"/>
    <w:rsid w:val="005E00E8"/>
    <w:rsid w:val="005E012B"/>
    <w:rsid w:val="005E0168"/>
    <w:rsid w:val="005E01B4"/>
    <w:rsid w:val="005E023A"/>
    <w:rsid w:val="005E03ED"/>
    <w:rsid w:val="005E0411"/>
    <w:rsid w:val="005E048F"/>
    <w:rsid w:val="005E04B5"/>
    <w:rsid w:val="005E0541"/>
    <w:rsid w:val="005E07BD"/>
    <w:rsid w:val="005E0808"/>
    <w:rsid w:val="005E0841"/>
    <w:rsid w:val="005E08E4"/>
    <w:rsid w:val="005E0937"/>
    <w:rsid w:val="005E09AA"/>
    <w:rsid w:val="005E0A0C"/>
    <w:rsid w:val="005E0B05"/>
    <w:rsid w:val="005E0B0C"/>
    <w:rsid w:val="005E0BF9"/>
    <w:rsid w:val="005E0CEA"/>
    <w:rsid w:val="005E0DE8"/>
    <w:rsid w:val="005E0E16"/>
    <w:rsid w:val="005E0E17"/>
    <w:rsid w:val="005E0E7F"/>
    <w:rsid w:val="005E0F74"/>
    <w:rsid w:val="005E1060"/>
    <w:rsid w:val="005E1062"/>
    <w:rsid w:val="005E1244"/>
    <w:rsid w:val="005E12E3"/>
    <w:rsid w:val="005E12F2"/>
    <w:rsid w:val="005E136A"/>
    <w:rsid w:val="005E141B"/>
    <w:rsid w:val="005E14CC"/>
    <w:rsid w:val="005E1550"/>
    <w:rsid w:val="005E1639"/>
    <w:rsid w:val="005E165C"/>
    <w:rsid w:val="005E166F"/>
    <w:rsid w:val="005E1676"/>
    <w:rsid w:val="005E1858"/>
    <w:rsid w:val="005E1883"/>
    <w:rsid w:val="005E1918"/>
    <w:rsid w:val="005E195C"/>
    <w:rsid w:val="005E1A3A"/>
    <w:rsid w:val="005E1A4D"/>
    <w:rsid w:val="005E1B86"/>
    <w:rsid w:val="005E1DD7"/>
    <w:rsid w:val="005E1DF4"/>
    <w:rsid w:val="005E1E74"/>
    <w:rsid w:val="005E1EFC"/>
    <w:rsid w:val="005E1F19"/>
    <w:rsid w:val="005E1F42"/>
    <w:rsid w:val="005E1F54"/>
    <w:rsid w:val="005E1FE9"/>
    <w:rsid w:val="005E20B4"/>
    <w:rsid w:val="005E2143"/>
    <w:rsid w:val="005E218E"/>
    <w:rsid w:val="005E22E6"/>
    <w:rsid w:val="005E23AC"/>
    <w:rsid w:val="005E2496"/>
    <w:rsid w:val="005E257A"/>
    <w:rsid w:val="005E2593"/>
    <w:rsid w:val="005E26CC"/>
    <w:rsid w:val="005E2716"/>
    <w:rsid w:val="005E2721"/>
    <w:rsid w:val="005E27AC"/>
    <w:rsid w:val="005E297D"/>
    <w:rsid w:val="005E2A29"/>
    <w:rsid w:val="005E2A50"/>
    <w:rsid w:val="005E2A5B"/>
    <w:rsid w:val="005E2AD6"/>
    <w:rsid w:val="005E2B12"/>
    <w:rsid w:val="005E2CC1"/>
    <w:rsid w:val="005E2E5E"/>
    <w:rsid w:val="005E2E74"/>
    <w:rsid w:val="005E2EA3"/>
    <w:rsid w:val="005E2EC0"/>
    <w:rsid w:val="005E301A"/>
    <w:rsid w:val="005E320A"/>
    <w:rsid w:val="005E3238"/>
    <w:rsid w:val="005E3308"/>
    <w:rsid w:val="005E3351"/>
    <w:rsid w:val="005E339A"/>
    <w:rsid w:val="005E33B0"/>
    <w:rsid w:val="005E33CA"/>
    <w:rsid w:val="005E3430"/>
    <w:rsid w:val="005E34E8"/>
    <w:rsid w:val="005E353F"/>
    <w:rsid w:val="005E35B4"/>
    <w:rsid w:val="005E36FE"/>
    <w:rsid w:val="005E3704"/>
    <w:rsid w:val="005E3959"/>
    <w:rsid w:val="005E39E9"/>
    <w:rsid w:val="005E3AA2"/>
    <w:rsid w:val="005E3AAD"/>
    <w:rsid w:val="005E3BA5"/>
    <w:rsid w:val="005E3C26"/>
    <w:rsid w:val="005E3E81"/>
    <w:rsid w:val="005E4027"/>
    <w:rsid w:val="005E4164"/>
    <w:rsid w:val="005E4170"/>
    <w:rsid w:val="005E418D"/>
    <w:rsid w:val="005E428B"/>
    <w:rsid w:val="005E43C3"/>
    <w:rsid w:val="005E43D9"/>
    <w:rsid w:val="005E43DA"/>
    <w:rsid w:val="005E441D"/>
    <w:rsid w:val="005E4426"/>
    <w:rsid w:val="005E4456"/>
    <w:rsid w:val="005E446A"/>
    <w:rsid w:val="005E446E"/>
    <w:rsid w:val="005E44D2"/>
    <w:rsid w:val="005E4584"/>
    <w:rsid w:val="005E45C3"/>
    <w:rsid w:val="005E45E0"/>
    <w:rsid w:val="005E4600"/>
    <w:rsid w:val="005E4717"/>
    <w:rsid w:val="005E472F"/>
    <w:rsid w:val="005E4824"/>
    <w:rsid w:val="005E4832"/>
    <w:rsid w:val="005E4846"/>
    <w:rsid w:val="005E48E3"/>
    <w:rsid w:val="005E49B4"/>
    <w:rsid w:val="005E4A4B"/>
    <w:rsid w:val="005E4A6A"/>
    <w:rsid w:val="005E4A91"/>
    <w:rsid w:val="005E4AB7"/>
    <w:rsid w:val="005E4E2F"/>
    <w:rsid w:val="005E4E41"/>
    <w:rsid w:val="005E4E56"/>
    <w:rsid w:val="005E4EFF"/>
    <w:rsid w:val="005E4F60"/>
    <w:rsid w:val="005E4FFF"/>
    <w:rsid w:val="005E50B4"/>
    <w:rsid w:val="005E5143"/>
    <w:rsid w:val="005E5148"/>
    <w:rsid w:val="005E526B"/>
    <w:rsid w:val="005E52A1"/>
    <w:rsid w:val="005E5331"/>
    <w:rsid w:val="005E5445"/>
    <w:rsid w:val="005E5468"/>
    <w:rsid w:val="005E5529"/>
    <w:rsid w:val="005E5592"/>
    <w:rsid w:val="005E55AA"/>
    <w:rsid w:val="005E5717"/>
    <w:rsid w:val="005E5775"/>
    <w:rsid w:val="005E57C8"/>
    <w:rsid w:val="005E57D0"/>
    <w:rsid w:val="005E57E1"/>
    <w:rsid w:val="005E5827"/>
    <w:rsid w:val="005E5845"/>
    <w:rsid w:val="005E58D8"/>
    <w:rsid w:val="005E5954"/>
    <w:rsid w:val="005E5A62"/>
    <w:rsid w:val="005E5A6E"/>
    <w:rsid w:val="005E5B36"/>
    <w:rsid w:val="005E5CBF"/>
    <w:rsid w:val="005E5CDF"/>
    <w:rsid w:val="005E5D01"/>
    <w:rsid w:val="005E5D0E"/>
    <w:rsid w:val="005E5D74"/>
    <w:rsid w:val="005E5E65"/>
    <w:rsid w:val="005E6149"/>
    <w:rsid w:val="005E61C5"/>
    <w:rsid w:val="005E61F2"/>
    <w:rsid w:val="005E63DD"/>
    <w:rsid w:val="005E63E3"/>
    <w:rsid w:val="005E6487"/>
    <w:rsid w:val="005E64FD"/>
    <w:rsid w:val="005E651C"/>
    <w:rsid w:val="005E65AC"/>
    <w:rsid w:val="005E65AE"/>
    <w:rsid w:val="005E65DF"/>
    <w:rsid w:val="005E662C"/>
    <w:rsid w:val="005E6639"/>
    <w:rsid w:val="005E66D4"/>
    <w:rsid w:val="005E6782"/>
    <w:rsid w:val="005E67CE"/>
    <w:rsid w:val="005E6849"/>
    <w:rsid w:val="005E691D"/>
    <w:rsid w:val="005E69A6"/>
    <w:rsid w:val="005E6A8D"/>
    <w:rsid w:val="005E6B03"/>
    <w:rsid w:val="005E6B8B"/>
    <w:rsid w:val="005E6DBA"/>
    <w:rsid w:val="005E6DFF"/>
    <w:rsid w:val="005E6E05"/>
    <w:rsid w:val="005E7010"/>
    <w:rsid w:val="005E70E1"/>
    <w:rsid w:val="005E7129"/>
    <w:rsid w:val="005E718F"/>
    <w:rsid w:val="005E722E"/>
    <w:rsid w:val="005E72F7"/>
    <w:rsid w:val="005E7349"/>
    <w:rsid w:val="005E7539"/>
    <w:rsid w:val="005E7633"/>
    <w:rsid w:val="005E7645"/>
    <w:rsid w:val="005E773E"/>
    <w:rsid w:val="005E7797"/>
    <w:rsid w:val="005E77A3"/>
    <w:rsid w:val="005E77DE"/>
    <w:rsid w:val="005E78D1"/>
    <w:rsid w:val="005E78ED"/>
    <w:rsid w:val="005E78FE"/>
    <w:rsid w:val="005E7A09"/>
    <w:rsid w:val="005E7B2E"/>
    <w:rsid w:val="005E7C4E"/>
    <w:rsid w:val="005E7D6A"/>
    <w:rsid w:val="005E7D78"/>
    <w:rsid w:val="005E7DAC"/>
    <w:rsid w:val="005E7E0C"/>
    <w:rsid w:val="005E7F81"/>
    <w:rsid w:val="005F0039"/>
    <w:rsid w:val="005F00AA"/>
    <w:rsid w:val="005F00DC"/>
    <w:rsid w:val="005F01EA"/>
    <w:rsid w:val="005F04C8"/>
    <w:rsid w:val="005F05A8"/>
    <w:rsid w:val="005F05BE"/>
    <w:rsid w:val="005F0661"/>
    <w:rsid w:val="005F0665"/>
    <w:rsid w:val="005F06B0"/>
    <w:rsid w:val="005F0701"/>
    <w:rsid w:val="005F0836"/>
    <w:rsid w:val="005F093D"/>
    <w:rsid w:val="005F0968"/>
    <w:rsid w:val="005F09B6"/>
    <w:rsid w:val="005F09CF"/>
    <w:rsid w:val="005F0A10"/>
    <w:rsid w:val="005F0A69"/>
    <w:rsid w:val="005F0AC0"/>
    <w:rsid w:val="005F0B89"/>
    <w:rsid w:val="005F0BA9"/>
    <w:rsid w:val="005F0C4D"/>
    <w:rsid w:val="005F0C61"/>
    <w:rsid w:val="005F0ED7"/>
    <w:rsid w:val="005F0F24"/>
    <w:rsid w:val="005F0F4C"/>
    <w:rsid w:val="005F10A9"/>
    <w:rsid w:val="005F10AD"/>
    <w:rsid w:val="005F10C7"/>
    <w:rsid w:val="005F11C3"/>
    <w:rsid w:val="005F121F"/>
    <w:rsid w:val="005F12F4"/>
    <w:rsid w:val="005F135E"/>
    <w:rsid w:val="005F13BC"/>
    <w:rsid w:val="005F13C9"/>
    <w:rsid w:val="005F144A"/>
    <w:rsid w:val="005F1487"/>
    <w:rsid w:val="005F15AE"/>
    <w:rsid w:val="005F170E"/>
    <w:rsid w:val="005F17D2"/>
    <w:rsid w:val="005F17F6"/>
    <w:rsid w:val="005F1882"/>
    <w:rsid w:val="005F1B1B"/>
    <w:rsid w:val="005F1BAD"/>
    <w:rsid w:val="005F1C39"/>
    <w:rsid w:val="005F1C60"/>
    <w:rsid w:val="005F1EA9"/>
    <w:rsid w:val="005F1F3B"/>
    <w:rsid w:val="005F2032"/>
    <w:rsid w:val="005F2101"/>
    <w:rsid w:val="005F217E"/>
    <w:rsid w:val="005F21FA"/>
    <w:rsid w:val="005F2230"/>
    <w:rsid w:val="005F227A"/>
    <w:rsid w:val="005F2306"/>
    <w:rsid w:val="005F2366"/>
    <w:rsid w:val="005F2385"/>
    <w:rsid w:val="005F2485"/>
    <w:rsid w:val="005F2493"/>
    <w:rsid w:val="005F253B"/>
    <w:rsid w:val="005F2540"/>
    <w:rsid w:val="005F25EA"/>
    <w:rsid w:val="005F2685"/>
    <w:rsid w:val="005F26D1"/>
    <w:rsid w:val="005F27BC"/>
    <w:rsid w:val="005F2814"/>
    <w:rsid w:val="005F288D"/>
    <w:rsid w:val="005F295D"/>
    <w:rsid w:val="005F2A34"/>
    <w:rsid w:val="005F2B35"/>
    <w:rsid w:val="005F2E12"/>
    <w:rsid w:val="005F2E94"/>
    <w:rsid w:val="005F2FF5"/>
    <w:rsid w:val="005F303D"/>
    <w:rsid w:val="005F3144"/>
    <w:rsid w:val="005F33F0"/>
    <w:rsid w:val="005F34D4"/>
    <w:rsid w:val="005F37D2"/>
    <w:rsid w:val="005F37DC"/>
    <w:rsid w:val="005F38C5"/>
    <w:rsid w:val="005F394B"/>
    <w:rsid w:val="005F39A7"/>
    <w:rsid w:val="005F3A67"/>
    <w:rsid w:val="005F3A8A"/>
    <w:rsid w:val="005F3A95"/>
    <w:rsid w:val="005F3AC3"/>
    <w:rsid w:val="005F3B21"/>
    <w:rsid w:val="005F3B52"/>
    <w:rsid w:val="005F3CBD"/>
    <w:rsid w:val="005F3D38"/>
    <w:rsid w:val="005F3DE9"/>
    <w:rsid w:val="005F3E03"/>
    <w:rsid w:val="005F3EBA"/>
    <w:rsid w:val="005F3EE5"/>
    <w:rsid w:val="005F3F0C"/>
    <w:rsid w:val="005F3FA9"/>
    <w:rsid w:val="005F40C0"/>
    <w:rsid w:val="005F40C6"/>
    <w:rsid w:val="005F40D7"/>
    <w:rsid w:val="005F40EA"/>
    <w:rsid w:val="005F4104"/>
    <w:rsid w:val="005F41C2"/>
    <w:rsid w:val="005F4200"/>
    <w:rsid w:val="005F42C5"/>
    <w:rsid w:val="005F43DD"/>
    <w:rsid w:val="005F4411"/>
    <w:rsid w:val="005F44FB"/>
    <w:rsid w:val="005F4585"/>
    <w:rsid w:val="005F46A5"/>
    <w:rsid w:val="005F46D0"/>
    <w:rsid w:val="005F46F9"/>
    <w:rsid w:val="005F49CB"/>
    <w:rsid w:val="005F49CF"/>
    <w:rsid w:val="005F4A2B"/>
    <w:rsid w:val="005F4A3D"/>
    <w:rsid w:val="005F4A65"/>
    <w:rsid w:val="005F4ABA"/>
    <w:rsid w:val="005F4B43"/>
    <w:rsid w:val="005F4C6F"/>
    <w:rsid w:val="005F4C70"/>
    <w:rsid w:val="005F4C99"/>
    <w:rsid w:val="005F4D2B"/>
    <w:rsid w:val="005F4DB8"/>
    <w:rsid w:val="005F4F45"/>
    <w:rsid w:val="005F4F9B"/>
    <w:rsid w:val="005F50B0"/>
    <w:rsid w:val="005F5164"/>
    <w:rsid w:val="005F51AB"/>
    <w:rsid w:val="005F51F8"/>
    <w:rsid w:val="005F5218"/>
    <w:rsid w:val="005F522F"/>
    <w:rsid w:val="005F5241"/>
    <w:rsid w:val="005F5290"/>
    <w:rsid w:val="005F532F"/>
    <w:rsid w:val="005F536F"/>
    <w:rsid w:val="005F540D"/>
    <w:rsid w:val="005F552A"/>
    <w:rsid w:val="005F5594"/>
    <w:rsid w:val="005F5664"/>
    <w:rsid w:val="005F56E6"/>
    <w:rsid w:val="005F582E"/>
    <w:rsid w:val="005F5854"/>
    <w:rsid w:val="005F59EE"/>
    <w:rsid w:val="005F5B21"/>
    <w:rsid w:val="005F5BBE"/>
    <w:rsid w:val="005F5C35"/>
    <w:rsid w:val="005F5C73"/>
    <w:rsid w:val="005F5CAA"/>
    <w:rsid w:val="005F5CFD"/>
    <w:rsid w:val="005F5D03"/>
    <w:rsid w:val="005F5D29"/>
    <w:rsid w:val="005F5EDD"/>
    <w:rsid w:val="005F5FB6"/>
    <w:rsid w:val="005F5FF5"/>
    <w:rsid w:val="005F60E9"/>
    <w:rsid w:val="005F6113"/>
    <w:rsid w:val="005F6116"/>
    <w:rsid w:val="005F6167"/>
    <w:rsid w:val="005F617D"/>
    <w:rsid w:val="005F61B2"/>
    <w:rsid w:val="005F620A"/>
    <w:rsid w:val="005F6226"/>
    <w:rsid w:val="005F627D"/>
    <w:rsid w:val="005F62A6"/>
    <w:rsid w:val="005F6487"/>
    <w:rsid w:val="005F65A5"/>
    <w:rsid w:val="005F65B7"/>
    <w:rsid w:val="005F65C6"/>
    <w:rsid w:val="005F67A4"/>
    <w:rsid w:val="005F67DB"/>
    <w:rsid w:val="005F67FB"/>
    <w:rsid w:val="005F6A36"/>
    <w:rsid w:val="005F6A49"/>
    <w:rsid w:val="005F6A6C"/>
    <w:rsid w:val="005F6B8C"/>
    <w:rsid w:val="005F6CB5"/>
    <w:rsid w:val="005F6CC7"/>
    <w:rsid w:val="005F6D24"/>
    <w:rsid w:val="005F6D55"/>
    <w:rsid w:val="005F6D6D"/>
    <w:rsid w:val="005F6DCD"/>
    <w:rsid w:val="005F6E1F"/>
    <w:rsid w:val="005F6E31"/>
    <w:rsid w:val="005F6F0B"/>
    <w:rsid w:val="005F7035"/>
    <w:rsid w:val="005F720D"/>
    <w:rsid w:val="005F72C1"/>
    <w:rsid w:val="005F72FD"/>
    <w:rsid w:val="005F73B8"/>
    <w:rsid w:val="005F7479"/>
    <w:rsid w:val="005F75AF"/>
    <w:rsid w:val="005F760E"/>
    <w:rsid w:val="005F76F6"/>
    <w:rsid w:val="005F772B"/>
    <w:rsid w:val="005F7750"/>
    <w:rsid w:val="005F7755"/>
    <w:rsid w:val="005F781F"/>
    <w:rsid w:val="005F783B"/>
    <w:rsid w:val="005F78CC"/>
    <w:rsid w:val="005F7911"/>
    <w:rsid w:val="005F79CF"/>
    <w:rsid w:val="005F7A7E"/>
    <w:rsid w:val="005F7A8B"/>
    <w:rsid w:val="005F7C47"/>
    <w:rsid w:val="005F7D16"/>
    <w:rsid w:val="005F7D59"/>
    <w:rsid w:val="005F7DA4"/>
    <w:rsid w:val="005F7E87"/>
    <w:rsid w:val="005F7F71"/>
    <w:rsid w:val="005F7FE9"/>
    <w:rsid w:val="0060004D"/>
    <w:rsid w:val="006001D0"/>
    <w:rsid w:val="006002E0"/>
    <w:rsid w:val="00600352"/>
    <w:rsid w:val="006003E1"/>
    <w:rsid w:val="00600446"/>
    <w:rsid w:val="00600516"/>
    <w:rsid w:val="00600524"/>
    <w:rsid w:val="0060064D"/>
    <w:rsid w:val="00600703"/>
    <w:rsid w:val="00600719"/>
    <w:rsid w:val="00600751"/>
    <w:rsid w:val="00600A06"/>
    <w:rsid w:val="00600A4B"/>
    <w:rsid w:val="00600AB7"/>
    <w:rsid w:val="00600ACF"/>
    <w:rsid w:val="00600AE4"/>
    <w:rsid w:val="00600AF8"/>
    <w:rsid w:val="00600BD6"/>
    <w:rsid w:val="00600C78"/>
    <w:rsid w:val="00600D19"/>
    <w:rsid w:val="00600D8C"/>
    <w:rsid w:val="00600EC6"/>
    <w:rsid w:val="00600ED0"/>
    <w:rsid w:val="00600EF3"/>
    <w:rsid w:val="00600F0F"/>
    <w:rsid w:val="00600F1A"/>
    <w:rsid w:val="00600F94"/>
    <w:rsid w:val="00601051"/>
    <w:rsid w:val="006010C7"/>
    <w:rsid w:val="006010E8"/>
    <w:rsid w:val="00601188"/>
    <w:rsid w:val="006011CC"/>
    <w:rsid w:val="006011F4"/>
    <w:rsid w:val="006012B9"/>
    <w:rsid w:val="00601418"/>
    <w:rsid w:val="00601421"/>
    <w:rsid w:val="0060146D"/>
    <w:rsid w:val="00601622"/>
    <w:rsid w:val="006016A0"/>
    <w:rsid w:val="0060172A"/>
    <w:rsid w:val="0060173E"/>
    <w:rsid w:val="00601773"/>
    <w:rsid w:val="006017C9"/>
    <w:rsid w:val="006018EA"/>
    <w:rsid w:val="0060193F"/>
    <w:rsid w:val="006019C1"/>
    <w:rsid w:val="00601A3E"/>
    <w:rsid w:val="00601B12"/>
    <w:rsid w:val="00601BED"/>
    <w:rsid w:val="00601C87"/>
    <w:rsid w:val="00601DB7"/>
    <w:rsid w:val="00601ED9"/>
    <w:rsid w:val="00601F9B"/>
    <w:rsid w:val="00602011"/>
    <w:rsid w:val="0060217C"/>
    <w:rsid w:val="0060217D"/>
    <w:rsid w:val="006021C0"/>
    <w:rsid w:val="00602239"/>
    <w:rsid w:val="00602258"/>
    <w:rsid w:val="006022E6"/>
    <w:rsid w:val="00602318"/>
    <w:rsid w:val="006024F3"/>
    <w:rsid w:val="00602504"/>
    <w:rsid w:val="006025A8"/>
    <w:rsid w:val="00602834"/>
    <w:rsid w:val="0060284D"/>
    <w:rsid w:val="0060289B"/>
    <w:rsid w:val="006028B0"/>
    <w:rsid w:val="0060298D"/>
    <w:rsid w:val="006029B8"/>
    <w:rsid w:val="00602A3F"/>
    <w:rsid w:val="00602A62"/>
    <w:rsid w:val="00602AA7"/>
    <w:rsid w:val="00602D8C"/>
    <w:rsid w:val="00602E5A"/>
    <w:rsid w:val="00602FBE"/>
    <w:rsid w:val="00603089"/>
    <w:rsid w:val="006030D1"/>
    <w:rsid w:val="006031E9"/>
    <w:rsid w:val="00603261"/>
    <w:rsid w:val="006032D0"/>
    <w:rsid w:val="00603347"/>
    <w:rsid w:val="006033DF"/>
    <w:rsid w:val="00603467"/>
    <w:rsid w:val="006034A7"/>
    <w:rsid w:val="0060353B"/>
    <w:rsid w:val="00603571"/>
    <w:rsid w:val="006039AB"/>
    <w:rsid w:val="006039B1"/>
    <w:rsid w:val="00603A39"/>
    <w:rsid w:val="00603A3C"/>
    <w:rsid w:val="00603ADC"/>
    <w:rsid w:val="00603B08"/>
    <w:rsid w:val="00603B75"/>
    <w:rsid w:val="00603BC7"/>
    <w:rsid w:val="00603BD3"/>
    <w:rsid w:val="00603C2D"/>
    <w:rsid w:val="00603C88"/>
    <w:rsid w:val="00603CBE"/>
    <w:rsid w:val="00603D0D"/>
    <w:rsid w:val="00603D6E"/>
    <w:rsid w:val="00603D85"/>
    <w:rsid w:val="00603DCA"/>
    <w:rsid w:val="00603E5C"/>
    <w:rsid w:val="0060402C"/>
    <w:rsid w:val="00604060"/>
    <w:rsid w:val="0060408F"/>
    <w:rsid w:val="006040DA"/>
    <w:rsid w:val="00604109"/>
    <w:rsid w:val="006041F6"/>
    <w:rsid w:val="0060421A"/>
    <w:rsid w:val="0060428A"/>
    <w:rsid w:val="006044C8"/>
    <w:rsid w:val="00604535"/>
    <w:rsid w:val="0060465A"/>
    <w:rsid w:val="006046EF"/>
    <w:rsid w:val="00604750"/>
    <w:rsid w:val="0060482B"/>
    <w:rsid w:val="00604832"/>
    <w:rsid w:val="00604943"/>
    <w:rsid w:val="006049FA"/>
    <w:rsid w:val="00604A2C"/>
    <w:rsid w:val="00604AAD"/>
    <w:rsid w:val="00604B20"/>
    <w:rsid w:val="00604B3C"/>
    <w:rsid w:val="00604B5C"/>
    <w:rsid w:val="00604B71"/>
    <w:rsid w:val="00604C6F"/>
    <w:rsid w:val="00604DFB"/>
    <w:rsid w:val="00604DFC"/>
    <w:rsid w:val="00604F64"/>
    <w:rsid w:val="00605005"/>
    <w:rsid w:val="00605048"/>
    <w:rsid w:val="0060518F"/>
    <w:rsid w:val="00605196"/>
    <w:rsid w:val="006051FD"/>
    <w:rsid w:val="006052C5"/>
    <w:rsid w:val="006053DF"/>
    <w:rsid w:val="006054B0"/>
    <w:rsid w:val="006055AC"/>
    <w:rsid w:val="00605643"/>
    <w:rsid w:val="0060564C"/>
    <w:rsid w:val="0060566F"/>
    <w:rsid w:val="006056BA"/>
    <w:rsid w:val="006057B8"/>
    <w:rsid w:val="00605865"/>
    <w:rsid w:val="00605A8D"/>
    <w:rsid w:val="00605BB9"/>
    <w:rsid w:val="00605C54"/>
    <w:rsid w:val="00605C55"/>
    <w:rsid w:val="00605CD7"/>
    <w:rsid w:val="00605DE6"/>
    <w:rsid w:val="00605DF8"/>
    <w:rsid w:val="00605F51"/>
    <w:rsid w:val="00605F78"/>
    <w:rsid w:val="0060602C"/>
    <w:rsid w:val="00606190"/>
    <w:rsid w:val="006061A2"/>
    <w:rsid w:val="006062A1"/>
    <w:rsid w:val="006062DA"/>
    <w:rsid w:val="00606387"/>
    <w:rsid w:val="00606447"/>
    <w:rsid w:val="006064EA"/>
    <w:rsid w:val="00606511"/>
    <w:rsid w:val="0060663A"/>
    <w:rsid w:val="006066B4"/>
    <w:rsid w:val="00606720"/>
    <w:rsid w:val="006067B4"/>
    <w:rsid w:val="006067E3"/>
    <w:rsid w:val="00606835"/>
    <w:rsid w:val="0060688E"/>
    <w:rsid w:val="006068AD"/>
    <w:rsid w:val="006068BD"/>
    <w:rsid w:val="006068CE"/>
    <w:rsid w:val="00606A03"/>
    <w:rsid w:val="00606A09"/>
    <w:rsid w:val="00606A5F"/>
    <w:rsid w:val="00606AA2"/>
    <w:rsid w:val="00606B3F"/>
    <w:rsid w:val="00606BCA"/>
    <w:rsid w:val="00606BFE"/>
    <w:rsid w:val="00606CEE"/>
    <w:rsid w:val="00606D31"/>
    <w:rsid w:val="00606D38"/>
    <w:rsid w:val="00606D62"/>
    <w:rsid w:val="00606F87"/>
    <w:rsid w:val="006070F0"/>
    <w:rsid w:val="00607151"/>
    <w:rsid w:val="006071EE"/>
    <w:rsid w:val="00607235"/>
    <w:rsid w:val="006072B7"/>
    <w:rsid w:val="006072BD"/>
    <w:rsid w:val="00607367"/>
    <w:rsid w:val="006073ED"/>
    <w:rsid w:val="006074A7"/>
    <w:rsid w:val="006074EC"/>
    <w:rsid w:val="00607505"/>
    <w:rsid w:val="00607592"/>
    <w:rsid w:val="006075DA"/>
    <w:rsid w:val="006075FC"/>
    <w:rsid w:val="00607678"/>
    <w:rsid w:val="006076AA"/>
    <w:rsid w:val="006076DC"/>
    <w:rsid w:val="0060772A"/>
    <w:rsid w:val="0060784A"/>
    <w:rsid w:val="006079AD"/>
    <w:rsid w:val="00607B0B"/>
    <w:rsid w:val="00607CB9"/>
    <w:rsid w:val="00607CED"/>
    <w:rsid w:val="00607D48"/>
    <w:rsid w:val="00607EC3"/>
    <w:rsid w:val="00607F9F"/>
    <w:rsid w:val="00610093"/>
    <w:rsid w:val="0061010F"/>
    <w:rsid w:val="006101DB"/>
    <w:rsid w:val="00610364"/>
    <w:rsid w:val="006103C4"/>
    <w:rsid w:val="00610496"/>
    <w:rsid w:val="006104BF"/>
    <w:rsid w:val="006104CC"/>
    <w:rsid w:val="006105BD"/>
    <w:rsid w:val="006105FD"/>
    <w:rsid w:val="00610641"/>
    <w:rsid w:val="00610701"/>
    <w:rsid w:val="00610776"/>
    <w:rsid w:val="0061079F"/>
    <w:rsid w:val="00610BFD"/>
    <w:rsid w:val="00610C81"/>
    <w:rsid w:val="00610CDB"/>
    <w:rsid w:val="00610D85"/>
    <w:rsid w:val="00610DB2"/>
    <w:rsid w:val="00610E56"/>
    <w:rsid w:val="00610EA8"/>
    <w:rsid w:val="00610F0E"/>
    <w:rsid w:val="00610F9B"/>
    <w:rsid w:val="006110D8"/>
    <w:rsid w:val="00611128"/>
    <w:rsid w:val="00611130"/>
    <w:rsid w:val="00611309"/>
    <w:rsid w:val="00611323"/>
    <w:rsid w:val="0061140B"/>
    <w:rsid w:val="0061150A"/>
    <w:rsid w:val="0061157D"/>
    <w:rsid w:val="006115D7"/>
    <w:rsid w:val="00611709"/>
    <w:rsid w:val="0061176F"/>
    <w:rsid w:val="00611800"/>
    <w:rsid w:val="0061181C"/>
    <w:rsid w:val="00611900"/>
    <w:rsid w:val="0061196C"/>
    <w:rsid w:val="00611999"/>
    <w:rsid w:val="006119EC"/>
    <w:rsid w:val="00611ABC"/>
    <w:rsid w:val="00611AF4"/>
    <w:rsid w:val="00611B2A"/>
    <w:rsid w:val="00611CEE"/>
    <w:rsid w:val="00611D2E"/>
    <w:rsid w:val="00611E1A"/>
    <w:rsid w:val="00611E6A"/>
    <w:rsid w:val="00611EAA"/>
    <w:rsid w:val="00611F18"/>
    <w:rsid w:val="00611F6A"/>
    <w:rsid w:val="00612045"/>
    <w:rsid w:val="006120A3"/>
    <w:rsid w:val="006120C5"/>
    <w:rsid w:val="0061213F"/>
    <w:rsid w:val="0061222B"/>
    <w:rsid w:val="00612256"/>
    <w:rsid w:val="006122F3"/>
    <w:rsid w:val="00612309"/>
    <w:rsid w:val="00612579"/>
    <w:rsid w:val="00612607"/>
    <w:rsid w:val="00612708"/>
    <w:rsid w:val="00612714"/>
    <w:rsid w:val="0061275A"/>
    <w:rsid w:val="0061285F"/>
    <w:rsid w:val="00612980"/>
    <w:rsid w:val="00612989"/>
    <w:rsid w:val="006129A4"/>
    <w:rsid w:val="006129AD"/>
    <w:rsid w:val="00612BFD"/>
    <w:rsid w:val="00612C5E"/>
    <w:rsid w:val="00612C90"/>
    <w:rsid w:val="00612C9D"/>
    <w:rsid w:val="00612CB9"/>
    <w:rsid w:val="00612CE1"/>
    <w:rsid w:val="00612D0F"/>
    <w:rsid w:val="00612F43"/>
    <w:rsid w:val="00612F56"/>
    <w:rsid w:val="0061306C"/>
    <w:rsid w:val="00613206"/>
    <w:rsid w:val="006132B8"/>
    <w:rsid w:val="006132D4"/>
    <w:rsid w:val="006132EC"/>
    <w:rsid w:val="00613461"/>
    <w:rsid w:val="006134BA"/>
    <w:rsid w:val="006134F8"/>
    <w:rsid w:val="006134FB"/>
    <w:rsid w:val="006135D7"/>
    <w:rsid w:val="00613759"/>
    <w:rsid w:val="00613804"/>
    <w:rsid w:val="00613861"/>
    <w:rsid w:val="00613900"/>
    <w:rsid w:val="0061399C"/>
    <w:rsid w:val="00613A90"/>
    <w:rsid w:val="00613B43"/>
    <w:rsid w:val="00613BEB"/>
    <w:rsid w:val="0061401D"/>
    <w:rsid w:val="00614107"/>
    <w:rsid w:val="0061416D"/>
    <w:rsid w:val="00614262"/>
    <w:rsid w:val="0061440E"/>
    <w:rsid w:val="0061445B"/>
    <w:rsid w:val="0061459E"/>
    <w:rsid w:val="006145B1"/>
    <w:rsid w:val="006145C9"/>
    <w:rsid w:val="00614649"/>
    <w:rsid w:val="0061470C"/>
    <w:rsid w:val="00614752"/>
    <w:rsid w:val="006147EC"/>
    <w:rsid w:val="00614859"/>
    <w:rsid w:val="0061490D"/>
    <w:rsid w:val="006149AE"/>
    <w:rsid w:val="00614ACC"/>
    <w:rsid w:val="00614BD4"/>
    <w:rsid w:val="00614BEB"/>
    <w:rsid w:val="00614C2B"/>
    <w:rsid w:val="00614CEC"/>
    <w:rsid w:val="00614E68"/>
    <w:rsid w:val="00614E9A"/>
    <w:rsid w:val="00614F4C"/>
    <w:rsid w:val="00615072"/>
    <w:rsid w:val="00615076"/>
    <w:rsid w:val="006150CF"/>
    <w:rsid w:val="00615158"/>
    <w:rsid w:val="006151DB"/>
    <w:rsid w:val="00615302"/>
    <w:rsid w:val="0061536C"/>
    <w:rsid w:val="00615389"/>
    <w:rsid w:val="0061563F"/>
    <w:rsid w:val="006156E7"/>
    <w:rsid w:val="00615759"/>
    <w:rsid w:val="00615809"/>
    <w:rsid w:val="00615959"/>
    <w:rsid w:val="00615A0C"/>
    <w:rsid w:val="00615A8C"/>
    <w:rsid w:val="00615A93"/>
    <w:rsid w:val="00615B07"/>
    <w:rsid w:val="00615B40"/>
    <w:rsid w:val="00615B9E"/>
    <w:rsid w:val="00615BA1"/>
    <w:rsid w:val="00615CC5"/>
    <w:rsid w:val="00615D2A"/>
    <w:rsid w:val="00615D76"/>
    <w:rsid w:val="00615D9C"/>
    <w:rsid w:val="00615DC8"/>
    <w:rsid w:val="00615E85"/>
    <w:rsid w:val="00615E8B"/>
    <w:rsid w:val="00615EC6"/>
    <w:rsid w:val="00615F5C"/>
    <w:rsid w:val="00616051"/>
    <w:rsid w:val="006161B7"/>
    <w:rsid w:val="006161C9"/>
    <w:rsid w:val="00616247"/>
    <w:rsid w:val="00616250"/>
    <w:rsid w:val="0061628F"/>
    <w:rsid w:val="006162F0"/>
    <w:rsid w:val="006162F7"/>
    <w:rsid w:val="006162FF"/>
    <w:rsid w:val="0061636B"/>
    <w:rsid w:val="00616374"/>
    <w:rsid w:val="006163C9"/>
    <w:rsid w:val="006163F8"/>
    <w:rsid w:val="00616436"/>
    <w:rsid w:val="00616437"/>
    <w:rsid w:val="006164D4"/>
    <w:rsid w:val="0061654A"/>
    <w:rsid w:val="00616578"/>
    <w:rsid w:val="0061658D"/>
    <w:rsid w:val="00616617"/>
    <w:rsid w:val="00616678"/>
    <w:rsid w:val="00616746"/>
    <w:rsid w:val="006167F0"/>
    <w:rsid w:val="0061686C"/>
    <w:rsid w:val="00616914"/>
    <w:rsid w:val="006169C8"/>
    <w:rsid w:val="006169D3"/>
    <w:rsid w:val="00616A22"/>
    <w:rsid w:val="00616A6D"/>
    <w:rsid w:val="00616A82"/>
    <w:rsid w:val="00616BE1"/>
    <w:rsid w:val="00616C44"/>
    <w:rsid w:val="00616DFD"/>
    <w:rsid w:val="00616E18"/>
    <w:rsid w:val="00616E3E"/>
    <w:rsid w:val="00616EFE"/>
    <w:rsid w:val="006170EF"/>
    <w:rsid w:val="006171AF"/>
    <w:rsid w:val="006171E6"/>
    <w:rsid w:val="00617268"/>
    <w:rsid w:val="006172EC"/>
    <w:rsid w:val="0061731A"/>
    <w:rsid w:val="006174A5"/>
    <w:rsid w:val="006174EB"/>
    <w:rsid w:val="006176BE"/>
    <w:rsid w:val="00617772"/>
    <w:rsid w:val="006177C6"/>
    <w:rsid w:val="006177ED"/>
    <w:rsid w:val="006178EE"/>
    <w:rsid w:val="00617928"/>
    <w:rsid w:val="00617C0C"/>
    <w:rsid w:val="00617CA6"/>
    <w:rsid w:val="00617D9F"/>
    <w:rsid w:val="00617DBB"/>
    <w:rsid w:val="00617E5C"/>
    <w:rsid w:val="00617E6E"/>
    <w:rsid w:val="00617F18"/>
    <w:rsid w:val="00617F51"/>
    <w:rsid w:val="00617F63"/>
    <w:rsid w:val="00617FB1"/>
    <w:rsid w:val="0062007E"/>
    <w:rsid w:val="0062021E"/>
    <w:rsid w:val="00620255"/>
    <w:rsid w:val="006202FF"/>
    <w:rsid w:val="0062043C"/>
    <w:rsid w:val="006204F2"/>
    <w:rsid w:val="006205BE"/>
    <w:rsid w:val="0062061D"/>
    <w:rsid w:val="00620636"/>
    <w:rsid w:val="006206BC"/>
    <w:rsid w:val="00620728"/>
    <w:rsid w:val="006208D8"/>
    <w:rsid w:val="00620930"/>
    <w:rsid w:val="00620961"/>
    <w:rsid w:val="006209E0"/>
    <w:rsid w:val="00620B18"/>
    <w:rsid w:val="00620BD6"/>
    <w:rsid w:val="00620C12"/>
    <w:rsid w:val="00620C6C"/>
    <w:rsid w:val="00620CD5"/>
    <w:rsid w:val="00620D6E"/>
    <w:rsid w:val="00620EC8"/>
    <w:rsid w:val="006210B4"/>
    <w:rsid w:val="0062118A"/>
    <w:rsid w:val="006211BB"/>
    <w:rsid w:val="006213F7"/>
    <w:rsid w:val="0062155E"/>
    <w:rsid w:val="00621675"/>
    <w:rsid w:val="0062188F"/>
    <w:rsid w:val="006218B2"/>
    <w:rsid w:val="00621974"/>
    <w:rsid w:val="00621996"/>
    <w:rsid w:val="006219AB"/>
    <w:rsid w:val="00621A0E"/>
    <w:rsid w:val="00621A19"/>
    <w:rsid w:val="00621A40"/>
    <w:rsid w:val="00621AB0"/>
    <w:rsid w:val="00621BB6"/>
    <w:rsid w:val="00621D60"/>
    <w:rsid w:val="00621DA5"/>
    <w:rsid w:val="00621E4B"/>
    <w:rsid w:val="00621E52"/>
    <w:rsid w:val="00621EB9"/>
    <w:rsid w:val="00621ED0"/>
    <w:rsid w:val="00621F86"/>
    <w:rsid w:val="00622006"/>
    <w:rsid w:val="006221EF"/>
    <w:rsid w:val="0062238F"/>
    <w:rsid w:val="006223D5"/>
    <w:rsid w:val="006223DD"/>
    <w:rsid w:val="00622455"/>
    <w:rsid w:val="0062245B"/>
    <w:rsid w:val="0062247A"/>
    <w:rsid w:val="0062258E"/>
    <w:rsid w:val="00622686"/>
    <w:rsid w:val="006226E6"/>
    <w:rsid w:val="00622707"/>
    <w:rsid w:val="006228D7"/>
    <w:rsid w:val="00622967"/>
    <w:rsid w:val="00622972"/>
    <w:rsid w:val="00622ABD"/>
    <w:rsid w:val="00622ADA"/>
    <w:rsid w:val="00622B25"/>
    <w:rsid w:val="00622C54"/>
    <w:rsid w:val="00622D27"/>
    <w:rsid w:val="00622D5D"/>
    <w:rsid w:val="00622DAF"/>
    <w:rsid w:val="00622DE1"/>
    <w:rsid w:val="00622E41"/>
    <w:rsid w:val="00622E92"/>
    <w:rsid w:val="00622E9F"/>
    <w:rsid w:val="00622EA3"/>
    <w:rsid w:val="00622F2A"/>
    <w:rsid w:val="00622F67"/>
    <w:rsid w:val="00623087"/>
    <w:rsid w:val="0062325D"/>
    <w:rsid w:val="006233A5"/>
    <w:rsid w:val="0062342D"/>
    <w:rsid w:val="00623434"/>
    <w:rsid w:val="006234B9"/>
    <w:rsid w:val="006235F2"/>
    <w:rsid w:val="006235F3"/>
    <w:rsid w:val="00623628"/>
    <w:rsid w:val="006237C9"/>
    <w:rsid w:val="0062392F"/>
    <w:rsid w:val="006239DC"/>
    <w:rsid w:val="006239E3"/>
    <w:rsid w:val="006239FD"/>
    <w:rsid w:val="00623AC7"/>
    <w:rsid w:val="00623BB8"/>
    <w:rsid w:val="00623BE4"/>
    <w:rsid w:val="00623BF2"/>
    <w:rsid w:val="00623CAD"/>
    <w:rsid w:val="00623CC2"/>
    <w:rsid w:val="00623CDD"/>
    <w:rsid w:val="00623D06"/>
    <w:rsid w:val="00623D70"/>
    <w:rsid w:val="00624065"/>
    <w:rsid w:val="0062414C"/>
    <w:rsid w:val="00624176"/>
    <w:rsid w:val="0062418C"/>
    <w:rsid w:val="006243C6"/>
    <w:rsid w:val="006244A9"/>
    <w:rsid w:val="006244AD"/>
    <w:rsid w:val="006244D0"/>
    <w:rsid w:val="006244FA"/>
    <w:rsid w:val="00624616"/>
    <w:rsid w:val="00624637"/>
    <w:rsid w:val="0062464D"/>
    <w:rsid w:val="006246CA"/>
    <w:rsid w:val="00624745"/>
    <w:rsid w:val="00624801"/>
    <w:rsid w:val="0062490F"/>
    <w:rsid w:val="006249B9"/>
    <w:rsid w:val="006249D8"/>
    <w:rsid w:val="00624A62"/>
    <w:rsid w:val="00624B4C"/>
    <w:rsid w:val="00624CDD"/>
    <w:rsid w:val="00624FA8"/>
    <w:rsid w:val="00624FB5"/>
    <w:rsid w:val="00625002"/>
    <w:rsid w:val="00625081"/>
    <w:rsid w:val="0062509B"/>
    <w:rsid w:val="00625209"/>
    <w:rsid w:val="00625350"/>
    <w:rsid w:val="00625586"/>
    <w:rsid w:val="006256DE"/>
    <w:rsid w:val="006257EB"/>
    <w:rsid w:val="00625860"/>
    <w:rsid w:val="00625A23"/>
    <w:rsid w:val="00625B05"/>
    <w:rsid w:val="00625C50"/>
    <w:rsid w:val="00625CFC"/>
    <w:rsid w:val="00625E6E"/>
    <w:rsid w:val="00625E91"/>
    <w:rsid w:val="0062602A"/>
    <w:rsid w:val="00626063"/>
    <w:rsid w:val="0062606C"/>
    <w:rsid w:val="0062609E"/>
    <w:rsid w:val="0062619F"/>
    <w:rsid w:val="0062625D"/>
    <w:rsid w:val="006263D4"/>
    <w:rsid w:val="006264E4"/>
    <w:rsid w:val="0062650D"/>
    <w:rsid w:val="0062652E"/>
    <w:rsid w:val="00626588"/>
    <w:rsid w:val="0062663B"/>
    <w:rsid w:val="0062667C"/>
    <w:rsid w:val="006266F1"/>
    <w:rsid w:val="0062674B"/>
    <w:rsid w:val="00626874"/>
    <w:rsid w:val="00626900"/>
    <w:rsid w:val="006269A4"/>
    <w:rsid w:val="006269B0"/>
    <w:rsid w:val="006269DC"/>
    <w:rsid w:val="00626A12"/>
    <w:rsid w:val="00626A74"/>
    <w:rsid w:val="00626B01"/>
    <w:rsid w:val="00626B82"/>
    <w:rsid w:val="00626BDE"/>
    <w:rsid w:val="00626CE1"/>
    <w:rsid w:val="00626D48"/>
    <w:rsid w:val="00626D5E"/>
    <w:rsid w:val="00626DB6"/>
    <w:rsid w:val="00626DE8"/>
    <w:rsid w:val="00626E08"/>
    <w:rsid w:val="00626F10"/>
    <w:rsid w:val="00626F55"/>
    <w:rsid w:val="0062700E"/>
    <w:rsid w:val="0062703C"/>
    <w:rsid w:val="006270EF"/>
    <w:rsid w:val="006272DA"/>
    <w:rsid w:val="006274A0"/>
    <w:rsid w:val="006274BA"/>
    <w:rsid w:val="006274D2"/>
    <w:rsid w:val="00627529"/>
    <w:rsid w:val="00627578"/>
    <w:rsid w:val="00627767"/>
    <w:rsid w:val="006277A3"/>
    <w:rsid w:val="00627AA4"/>
    <w:rsid w:val="00627AB8"/>
    <w:rsid w:val="00627AE3"/>
    <w:rsid w:val="00627B30"/>
    <w:rsid w:val="00627BCD"/>
    <w:rsid w:val="00627C6F"/>
    <w:rsid w:val="00627D3C"/>
    <w:rsid w:val="00627EDF"/>
    <w:rsid w:val="00627F17"/>
    <w:rsid w:val="00627F69"/>
    <w:rsid w:val="00627FCC"/>
    <w:rsid w:val="00627FD2"/>
    <w:rsid w:val="0063003E"/>
    <w:rsid w:val="0063009E"/>
    <w:rsid w:val="0063020C"/>
    <w:rsid w:val="0063024C"/>
    <w:rsid w:val="00630330"/>
    <w:rsid w:val="00630405"/>
    <w:rsid w:val="00630461"/>
    <w:rsid w:val="006304BF"/>
    <w:rsid w:val="00630562"/>
    <w:rsid w:val="00630582"/>
    <w:rsid w:val="006305D0"/>
    <w:rsid w:val="00630601"/>
    <w:rsid w:val="00630613"/>
    <w:rsid w:val="006306B6"/>
    <w:rsid w:val="0063070D"/>
    <w:rsid w:val="0063077E"/>
    <w:rsid w:val="00630843"/>
    <w:rsid w:val="0063089A"/>
    <w:rsid w:val="00630908"/>
    <w:rsid w:val="00630937"/>
    <w:rsid w:val="00630A37"/>
    <w:rsid w:val="00630A42"/>
    <w:rsid w:val="00630B7F"/>
    <w:rsid w:val="00630BB7"/>
    <w:rsid w:val="00630C99"/>
    <w:rsid w:val="00630CAA"/>
    <w:rsid w:val="00630D9D"/>
    <w:rsid w:val="00630E12"/>
    <w:rsid w:val="00630F9B"/>
    <w:rsid w:val="00630FCE"/>
    <w:rsid w:val="0063107A"/>
    <w:rsid w:val="006310CA"/>
    <w:rsid w:val="00631165"/>
    <w:rsid w:val="006311DE"/>
    <w:rsid w:val="00631240"/>
    <w:rsid w:val="006312A9"/>
    <w:rsid w:val="0063135D"/>
    <w:rsid w:val="00631443"/>
    <w:rsid w:val="00631466"/>
    <w:rsid w:val="006314AB"/>
    <w:rsid w:val="00631500"/>
    <w:rsid w:val="00631558"/>
    <w:rsid w:val="00631568"/>
    <w:rsid w:val="006315CE"/>
    <w:rsid w:val="0063162A"/>
    <w:rsid w:val="006316D0"/>
    <w:rsid w:val="00631731"/>
    <w:rsid w:val="00631746"/>
    <w:rsid w:val="0063177D"/>
    <w:rsid w:val="00631842"/>
    <w:rsid w:val="0063187B"/>
    <w:rsid w:val="006319CF"/>
    <w:rsid w:val="00631A89"/>
    <w:rsid w:val="00631ABB"/>
    <w:rsid w:val="00631B4E"/>
    <w:rsid w:val="00631C1F"/>
    <w:rsid w:val="00631C23"/>
    <w:rsid w:val="00631C81"/>
    <w:rsid w:val="00631CB8"/>
    <w:rsid w:val="00631E19"/>
    <w:rsid w:val="00631E4A"/>
    <w:rsid w:val="00631E91"/>
    <w:rsid w:val="00631EFC"/>
    <w:rsid w:val="00631FB6"/>
    <w:rsid w:val="00631FDF"/>
    <w:rsid w:val="0063218B"/>
    <w:rsid w:val="006322F6"/>
    <w:rsid w:val="00632384"/>
    <w:rsid w:val="00632407"/>
    <w:rsid w:val="0063246E"/>
    <w:rsid w:val="00632514"/>
    <w:rsid w:val="00632586"/>
    <w:rsid w:val="006326E6"/>
    <w:rsid w:val="00632725"/>
    <w:rsid w:val="0063299C"/>
    <w:rsid w:val="00632A93"/>
    <w:rsid w:val="00632BFA"/>
    <w:rsid w:val="00632C04"/>
    <w:rsid w:val="00632CD5"/>
    <w:rsid w:val="00632E3C"/>
    <w:rsid w:val="00632E74"/>
    <w:rsid w:val="00632E94"/>
    <w:rsid w:val="00632E95"/>
    <w:rsid w:val="00632E9F"/>
    <w:rsid w:val="00632EE8"/>
    <w:rsid w:val="00632EFC"/>
    <w:rsid w:val="00632FBD"/>
    <w:rsid w:val="0063307E"/>
    <w:rsid w:val="006330B4"/>
    <w:rsid w:val="0063317A"/>
    <w:rsid w:val="006331E1"/>
    <w:rsid w:val="00633221"/>
    <w:rsid w:val="0063330C"/>
    <w:rsid w:val="00633313"/>
    <w:rsid w:val="00633434"/>
    <w:rsid w:val="00633453"/>
    <w:rsid w:val="00633454"/>
    <w:rsid w:val="00633465"/>
    <w:rsid w:val="00633501"/>
    <w:rsid w:val="00633744"/>
    <w:rsid w:val="00633936"/>
    <w:rsid w:val="006339A4"/>
    <w:rsid w:val="00633AC2"/>
    <w:rsid w:val="00633B38"/>
    <w:rsid w:val="00633D20"/>
    <w:rsid w:val="00633D56"/>
    <w:rsid w:val="00633D61"/>
    <w:rsid w:val="00633D86"/>
    <w:rsid w:val="00633D8B"/>
    <w:rsid w:val="00633DF9"/>
    <w:rsid w:val="00633E46"/>
    <w:rsid w:val="00633E4F"/>
    <w:rsid w:val="00633F15"/>
    <w:rsid w:val="00633F88"/>
    <w:rsid w:val="00634095"/>
    <w:rsid w:val="0063409D"/>
    <w:rsid w:val="006340D9"/>
    <w:rsid w:val="0063419A"/>
    <w:rsid w:val="006341C0"/>
    <w:rsid w:val="00634240"/>
    <w:rsid w:val="00634249"/>
    <w:rsid w:val="0063424F"/>
    <w:rsid w:val="0063426F"/>
    <w:rsid w:val="0063428C"/>
    <w:rsid w:val="006342CF"/>
    <w:rsid w:val="006343E9"/>
    <w:rsid w:val="00634425"/>
    <w:rsid w:val="006344E2"/>
    <w:rsid w:val="00634525"/>
    <w:rsid w:val="00634569"/>
    <w:rsid w:val="006345CC"/>
    <w:rsid w:val="00634637"/>
    <w:rsid w:val="00634642"/>
    <w:rsid w:val="0063476A"/>
    <w:rsid w:val="006347E8"/>
    <w:rsid w:val="0063480F"/>
    <w:rsid w:val="0063489D"/>
    <w:rsid w:val="00634900"/>
    <w:rsid w:val="00634A19"/>
    <w:rsid w:val="00634ABC"/>
    <w:rsid w:val="00634BA8"/>
    <w:rsid w:val="00634CA1"/>
    <w:rsid w:val="00634CAE"/>
    <w:rsid w:val="00634D77"/>
    <w:rsid w:val="00634DA8"/>
    <w:rsid w:val="00634EF1"/>
    <w:rsid w:val="00634F23"/>
    <w:rsid w:val="00634F62"/>
    <w:rsid w:val="00634FBF"/>
    <w:rsid w:val="00634FED"/>
    <w:rsid w:val="00634FFD"/>
    <w:rsid w:val="00635079"/>
    <w:rsid w:val="006350B0"/>
    <w:rsid w:val="00635120"/>
    <w:rsid w:val="006351E7"/>
    <w:rsid w:val="006352C5"/>
    <w:rsid w:val="006352D0"/>
    <w:rsid w:val="00635488"/>
    <w:rsid w:val="0063566A"/>
    <w:rsid w:val="00635675"/>
    <w:rsid w:val="00635780"/>
    <w:rsid w:val="0063578E"/>
    <w:rsid w:val="006357AA"/>
    <w:rsid w:val="006357B4"/>
    <w:rsid w:val="006357EC"/>
    <w:rsid w:val="00635851"/>
    <w:rsid w:val="006358DE"/>
    <w:rsid w:val="00635AF2"/>
    <w:rsid w:val="00635BA7"/>
    <w:rsid w:val="00635C11"/>
    <w:rsid w:val="00635C54"/>
    <w:rsid w:val="00635C63"/>
    <w:rsid w:val="00635CC6"/>
    <w:rsid w:val="00635CFD"/>
    <w:rsid w:val="00635D60"/>
    <w:rsid w:val="00635DC3"/>
    <w:rsid w:val="00635EB8"/>
    <w:rsid w:val="00635EBD"/>
    <w:rsid w:val="00635ECC"/>
    <w:rsid w:val="0063608A"/>
    <w:rsid w:val="0063617A"/>
    <w:rsid w:val="006361F3"/>
    <w:rsid w:val="006362A3"/>
    <w:rsid w:val="00636440"/>
    <w:rsid w:val="00636465"/>
    <w:rsid w:val="006364BE"/>
    <w:rsid w:val="0063655D"/>
    <w:rsid w:val="006365CB"/>
    <w:rsid w:val="00636653"/>
    <w:rsid w:val="0063671B"/>
    <w:rsid w:val="00636822"/>
    <w:rsid w:val="0063697C"/>
    <w:rsid w:val="00636B32"/>
    <w:rsid w:val="00636BCF"/>
    <w:rsid w:val="00636C84"/>
    <w:rsid w:val="00636D46"/>
    <w:rsid w:val="00636DEE"/>
    <w:rsid w:val="00636E3E"/>
    <w:rsid w:val="00636E48"/>
    <w:rsid w:val="00636F90"/>
    <w:rsid w:val="0063701A"/>
    <w:rsid w:val="006370E6"/>
    <w:rsid w:val="006371A9"/>
    <w:rsid w:val="006371D6"/>
    <w:rsid w:val="006371F3"/>
    <w:rsid w:val="00637258"/>
    <w:rsid w:val="006372D0"/>
    <w:rsid w:val="00637389"/>
    <w:rsid w:val="006373B2"/>
    <w:rsid w:val="00637431"/>
    <w:rsid w:val="006374A4"/>
    <w:rsid w:val="006374FC"/>
    <w:rsid w:val="00637543"/>
    <w:rsid w:val="00637555"/>
    <w:rsid w:val="006375B0"/>
    <w:rsid w:val="006376D9"/>
    <w:rsid w:val="006377B9"/>
    <w:rsid w:val="00637929"/>
    <w:rsid w:val="006379A4"/>
    <w:rsid w:val="00637A7B"/>
    <w:rsid w:val="00637B73"/>
    <w:rsid w:val="00637C1E"/>
    <w:rsid w:val="00637C77"/>
    <w:rsid w:val="00637CCD"/>
    <w:rsid w:val="00637E3B"/>
    <w:rsid w:val="00637E42"/>
    <w:rsid w:val="00637E94"/>
    <w:rsid w:val="00637E97"/>
    <w:rsid w:val="00637FC8"/>
    <w:rsid w:val="006400AD"/>
    <w:rsid w:val="0064018C"/>
    <w:rsid w:val="00640263"/>
    <w:rsid w:val="006403B8"/>
    <w:rsid w:val="00640486"/>
    <w:rsid w:val="00640565"/>
    <w:rsid w:val="006405C5"/>
    <w:rsid w:val="00640634"/>
    <w:rsid w:val="006406D3"/>
    <w:rsid w:val="0064070C"/>
    <w:rsid w:val="006407BC"/>
    <w:rsid w:val="00640812"/>
    <w:rsid w:val="00640836"/>
    <w:rsid w:val="00640886"/>
    <w:rsid w:val="006408A6"/>
    <w:rsid w:val="006408FE"/>
    <w:rsid w:val="006409F4"/>
    <w:rsid w:val="00640ACC"/>
    <w:rsid w:val="00640B2E"/>
    <w:rsid w:val="00640B33"/>
    <w:rsid w:val="00640B74"/>
    <w:rsid w:val="00640D47"/>
    <w:rsid w:val="00640E5D"/>
    <w:rsid w:val="00640EAE"/>
    <w:rsid w:val="00641044"/>
    <w:rsid w:val="0064105F"/>
    <w:rsid w:val="00641132"/>
    <w:rsid w:val="0064127D"/>
    <w:rsid w:val="006412E1"/>
    <w:rsid w:val="0064133E"/>
    <w:rsid w:val="0064136A"/>
    <w:rsid w:val="006413A8"/>
    <w:rsid w:val="006413C6"/>
    <w:rsid w:val="00641401"/>
    <w:rsid w:val="00641481"/>
    <w:rsid w:val="00641498"/>
    <w:rsid w:val="006414A3"/>
    <w:rsid w:val="0064155D"/>
    <w:rsid w:val="0064170D"/>
    <w:rsid w:val="006417EB"/>
    <w:rsid w:val="0064180B"/>
    <w:rsid w:val="00641914"/>
    <w:rsid w:val="006419A9"/>
    <w:rsid w:val="006419B0"/>
    <w:rsid w:val="006419BE"/>
    <w:rsid w:val="00641A31"/>
    <w:rsid w:val="00641B17"/>
    <w:rsid w:val="00641BA8"/>
    <w:rsid w:val="00641C1F"/>
    <w:rsid w:val="00641C33"/>
    <w:rsid w:val="00641C4E"/>
    <w:rsid w:val="00641C64"/>
    <w:rsid w:val="00641D86"/>
    <w:rsid w:val="00641E34"/>
    <w:rsid w:val="00641EBD"/>
    <w:rsid w:val="00641F56"/>
    <w:rsid w:val="00641F5D"/>
    <w:rsid w:val="00641F6F"/>
    <w:rsid w:val="0064215B"/>
    <w:rsid w:val="006421A1"/>
    <w:rsid w:val="00642335"/>
    <w:rsid w:val="0064241D"/>
    <w:rsid w:val="006424B1"/>
    <w:rsid w:val="006424E0"/>
    <w:rsid w:val="00642598"/>
    <w:rsid w:val="00642691"/>
    <w:rsid w:val="006426A5"/>
    <w:rsid w:val="00642755"/>
    <w:rsid w:val="0064277C"/>
    <w:rsid w:val="00642888"/>
    <w:rsid w:val="006428BD"/>
    <w:rsid w:val="006428DF"/>
    <w:rsid w:val="00642920"/>
    <w:rsid w:val="00642A3D"/>
    <w:rsid w:val="00642AF4"/>
    <w:rsid w:val="00642B38"/>
    <w:rsid w:val="00642C4F"/>
    <w:rsid w:val="00642D38"/>
    <w:rsid w:val="00642DAD"/>
    <w:rsid w:val="00642E15"/>
    <w:rsid w:val="00642EF4"/>
    <w:rsid w:val="00643054"/>
    <w:rsid w:val="006430F6"/>
    <w:rsid w:val="006431C4"/>
    <w:rsid w:val="006431FC"/>
    <w:rsid w:val="006433C1"/>
    <w:rsid w:val="006433C2"/>
    <w:rsid w:val="00643402"/>
    <w:rsid w:val="006434B1"/>
    <w:rsid w:val="0064353A"/>
    <w:rsid w:val="006435DD"/>
    <w:rsid w:val="0064379E"/>
    <w:rsid w:val="006437A5"/>
    <w:rsid w:val="00643873"/>
    <w:rsid w:val="00643892"/>
    <w:rsid w:val="006438CB"/>
    <w:rsid w:val="006438DD"/>
    <w:rsid w:val="006439E0"/>
    <w:rsid w:val="006439F9"/>
    <w:rsid w:val="00643B2A"/>
    <w:rsid w:val="00643BA9"/>
    <w:rsid w:val="00643C98"/>
    <w:rsid w:val="00643CC8"/>
    <w:rsid w:val="00643CCD"/>
    <w:rsid w:val="00643D9E"/>
    <w:rsid w:val="00643DC2"/>
    <w:rsid w:val="00643E15"/>
    <w:rsid w:val="00643F3D"/>
    <w:rsid w:val="0064413C"/>
    <w:rsid w:val="0064417B"/>
    <w:rsid w:val="0064419B"/>
    <w:rsid w:val="006441B0"/>
    <w:rsid w:val="0064420D"/>
    <w:rsid w:val="006443B0"/>
    <w:rsid w:val="006444D4"/>
    <w:rsid w:val="006444FD"/>
    <w:rsid w:val="0064456D"/>
    <w:rsid w:val="0064458A"/>
    <w:rsid w:val="00644886"/>
    <w:rsid w:val="00644896"/>
    <w:rsid w:val="00644A67"/>
    <w:rsid w:val="00644A72"/>
    <w:rsid w:val="00644B5A"/>
    <w:rsid w:val="00644B92"/>
    <w:rsid w:val="00644B9C"/>
    <w:rsid w:val="00644CA8"/>
    <w:rsid w:val="00644D9D"/>
    <w:rsid w:val="00644EED"/>
    <w:rsid w:val="00644F50"/>
    <w:rsid w:val="00644F85"/>
    <w:rsid w:val="00644F99"/>
    <w:rsid w:val="00645058"/>
    <w:rsid w:val="006450D4"/>
    <w:rsid w:val="00645149"/>
    <w:rsid w:val="006451AD"/>
    <w:rsid w:val="00645233"/>
    <w:rsid w:val="006452C9"/>
    <w:rsid w:val="006452CF"/>
    <w:rsid w:val="006453EE"/>
    <w:rsid w:val="00645433"/>
    <w:rsid w:val="006455E3"/>
    <w:rsid w:val="006456AE"/>
    <w:rsid w:val="006456BA"/>
    <w:rsid w:val="006456D7"/>
    <w:rsid w:val="006456F6"/>
    <w:rsid w:val="006457A0"/>
    <w:rsid w:val="00645875"/>
    <w:rsid w:val="00645A48"/>
    <w:rsid w:val="00645AB8"/>
    <w:rsid w:val="00645AD2"/>
    <w:rsid w:val="00645B7E"/>
    <w:rsid w:val="00645C5B"/>
    <w:rsid w:val="00645D34"/>
    <w:rsid w:val="00645D69"/>
    <w:rsid w:val="00646033"/>
    <w:rsid w:val="00646045"/>
    <w:rsid w:val="00646077"/>
    <w:rsid w:val="006460A1"/>
    <w:rsid w:val="006460A6"/>
    <w:rsid w:val="006460CE"/>
    <w:rsid w:val="006460E4"/>
    <w:rsid w:val="0064612C"/>
    <w:rsid w:val="00646182"/>
    <w:rsid w:val="0064622A"/>
    <w:rsid w:val="006462DE"/>
    <w:rsid w:val="0064639E"/>
    <w:rsid w:val="006464C1"/>
    <w:rsid w:val="006464DA"/>
    <w:rsid w:val="00646579"/>
    <w:rsid w:val="006465C0"/>
    <w:rsid w:val="00646600"/>
    <w:rsid w:val="00646640"/>
    <w:rsid w:val="0064668E"/>
    <w:rsid w:val="0064669C"/>
    <w:rsid w:val="00646726"/>
    <w:rsid w:val="0064693F"/>
    <w:rsid w:val="00646A40"/>
    <w:rsid w:val="00646A67"/>
    <w:rsid w:val="00646AE1"/>
    <w:rsid w:val="00646B8F"/>
    <w:rsid w:val="00646C4C"/>
    <w:rsid w:val="00646EA5"/>
    <w:rsid w:val="00646EAE"/>
    <w:rsid w:val="00646EB0"/>
    <w:rsid w:val="00646F4F"/>
    <w:rsid w:val="00647076"/>
    <w:rsid w:val="006470AC"/>
    <w:rsid w:val="00647247"/>
    <w:rsid w:val="006472C0"/>
    <w:rsid w:val="0064733B"/>
    <w:rsid w:val="0064734C"/>
    <w:rsid w:val="0064745B"/>
    <w:rsid w:val="006474C5"/>
    <w:rsid w:val="00647595"/>
    <w:rsid w:val="0064763E"/>
    <w:rsid w:val="00647644"/>
    <w:rsid w:val="0064765E"/>
    <w:rsid w:val="00647663"/>
    <w:rsid w:val="00647664"/>
    <w:rsid w:val="00647771"/>
    <w:rsid w:val="006477F3"/>
    <w:rsid w:val="00647856"/>
    <w:rsid w:val="0064785F"/>
    <w:rsid w:val="00647956"/>
    <w:rsid w:val="0064797A"/>
    <w:rsid w:val="006479F4"/>
    <w:rsid w:val="00647A1C"/>
    <w:rsid w:val="00647A85"/>
    <w:rsid w:val="00647B18"/>
    <w:rsid w:val="00647B7D"/>
    <w:rsid w:val="00647B8D"/>
    <w:rsid w:val="00647C54"/>
    <w:rsid w:val="00647CB0"/>
    <w:rsid w:val="00647D26"/>
    <w:rsid w:val="00647DF2"/>
    <w:rsid w:val="00647E2D"/>
    <w:rsid w:val="00647F86"/>
    <w:rsid w:val="00647F9C"/>
    <w:rsid w:val="00650020"/>
    <w:rsid w:val="0065003D"/>
    <w:rsid w:val="006500B3"/>
    <w:rsid w:val="00650110"/>
    <w:rsid w:val="00650160"/>
    <w:rsid w:val="00650185"/>
    <w:rsid w:val="0065041F"/>
    <w:rsid w:val="00650434"/>
    <w:rsid w:val="006504CA"/>
    <w:rsid w:val="00650506"/>
    <w:rsid w:val="00650582"/>
    <w:rsid w:val="0065067C"/>
    <w:rsid w:val="00650682"/>
    <w:rsid w:val="0065075C"/>
    <w:rsid w:val="00650775"/>
    <w:rsid w:val="00650850"/>
    <w:rsid w:val="006509CA"/>
    <w:rsid w:val="00650A93"/>
    <w:rsid w:val="00650A97"/>
    <w:rsid w:val="00650B2A"/>
    <w:rsid w:val="00650B8D"/>
    <w:rsid w:val="00650B8F"/>
    <w:rsid w:val="00650BEB"/>
    <w:rsid w:val="00650C52"/>
    <w:rsid w:val="00650C62"/>
    <w:rsid w:val="00650C79"/>
    <w:rsid w:val="00650C87"/>
    <w:rsid w:val="00650CB2"/>
    <w:rsid w:val="00650EAB"/>
    <w:rsid w:val="00650ECB"/>
    <w:rsid w:val="00650F3D"/>
    <w:rsid w:val="00650F72"/>
    <w:rsid w:val="00651023"/>
    <w:rsid w:val="006510D7"/>
    <w:rsid w:val="0065114B"/>
    <w:rsid w:val="006511DE"/>
    <w:rsid w:val="006511DF"/>
    <w:rsid w:val="0065122A"/>
    <w:rsid w:val="00651275"/>
    <w:rsid w:val="006512E8"/>
    <w:rsid w:val="006512FF"/>
    <w:rsid w:val="00651339"/>
    <w:rsid w:val="0065135C"/>
    <w:rsid w:val="006513B3"/>
    <w:rsid w:val="006513D5"/>
    <w:rsid w:val="006514ED"/>
    <w:rsid w:val="006514F0"/>
    <w:rsid w:val="00651771"/>
    <w:rsid w:val="00651880"/>
    <w:rsid w:val="00651934"/>
    <w:rsid w:val="0065196E"/>
    <w:rsid w:val="006519AA"/>
    <w:rsid w:val="006519F0"/>
    <w:rsid w:val="00651AF7"/>
    <w:rsid w:val="00651B6F"/>
    <w:rsid w:val="00651BE1"/>
    <w:rsid w:val="00651D34"/>
    <w:rsid w:val="00651DDA"/>
    <w:rsid w:val="00651F82"/>
    <w:rsid w:val="00652121"/>
    <w:rsid w:val="006521AE"/>
    <w:rsid w:val="0065258B"/>
    <w:rsid w:val="00652591"/>
    <w:rsid w:val="00652613"/>
    <w:rsid w:val="006526A7"/>
    <w:rsid w:val="006526CC"/>
    <w:rsid w:val="006526D9"/>
    <w:rsid w:val="006526FE"/>
    <w:rsid w:val="00652722"/>
    <w:rsid w:val="0065272A"/>
    <w:rsid w:val="00652748"/>
    <w:rsid w:val="0065281D"/>
    <w:rsid w:val="00652995"/>
    <w:rsid w:val="006529B2"/>
    <w:rsid w:val="00652A0F"/>
    <w:rsid w:val="00652A3B"/>
    <w:rsid w:val="00652A44"/>
    <w:rsid w:val="00652B00"/>
    <w:rsid w:val="00652B6C"/>
    <w:rsid w:val="00652B8E"/>
    <w:rsid w:val="00652BB7"/>
    <w:rsid w:val="00652DE9"/>
    <w:rsid w:val="00652E6B"/>
    <w:rsid w:val="00652EDC"/>
    <w:rsid w:val="00652FA9"/>
    <w:rsid w:val="0065314E"/>
    <w:rsid w:val="00653233"/>
    <w:rsid w:val="0065324C"/>
    <w:rsid w:val="0065329A"/>
    <w:rsid w:val="006533B2"/>
    <w:rsid w:val="0065344E"/>
    <w:rsid w:val="006534FF"/>
    <w:rsid w:val="0065353D"/>
    <w:rsid w:val="00653591"/>
    <w:rsid w:val="0065362E"/>
    <w:rsid w:val="006536F7"/>
    <w:rsid w:val="00653724"/>
    <w:rsid w:val="006537A1"/>
    <w:rsid w:val="006537E9"/>
    <w:rsid w:val="00653879"/>
    <w:rsid w:val="006538C0"/>
    <w:rsid w:val="00653901"/>
    <w:rsid w:val="0065397A"/>
    <w:rsid w:val="00653981"/>
    <w:rsid w:val="00653991"/>
    <w:rsid w:val="00653998"/>
    <w:rsid w:val="00653A05"/>
    <w:rsid w:val="00653A5E"/>
    <w:rsid w:val="00653AFF"/>
    <w:rsid w:val="00653B01"/>
    <w:rsid w:val="00653BCC"/>
    <w:rsid w:val="00653BDC"/>
    <w:rsid w:val="00653C09"/>
    <w:rsid w:val="00653DAF"/>
    <w:rsid w:val="00653DF1"/>
    <w:rsid w:val="00653E0E"/>
    <w:rsid w:val="00653E5F"/>
    <w:rsid w:val="00653E9D"/>
    <w:rsid w:val="00653FA8"/>
    <w:rsid w:val="00654034"/>
    <w:rsid w:val="00654135"/>
    <w:rsid w:val="006541FA"/>
    <w:rsid w:val="00654230"/>
    <w:rsid w:val="00654274"/>
    <w:rsid w:val="006542EE"/>
    <w:rsid w:val="0065439B"/>
    <w:rsid w:val="006543A4"/>
    <w:rsid w:val="00654507"/>
    <w:rsid w:val="0065451D"/>
    <w:rsid w:val="00654634"/>
    <w:rsid w:val="0065469C"/>
    <w:rsid w:val="006546AB"/>
    <w:rsid w:val="00654817"/>
    <w:rsid w:val="00654864"/>
    <w:rsid w:val="006548B6"/>
    <w:rsid w:val="006548CD"/>
    <w:rsid w:val="0065497D"/>
    <w:rsid w:val="0065499E"/>
    <w:rsid w:val="006549CB"/>
    <w:rsid w:val="00654A23"/>
    <w:rsid w:val="00654B26"/>
    <w:rsid w:val="00654B4C"/>
    <w:rsid w:val="00654BAD"/>
    <w:rsid w:val="00654C81"/>
    <w:rsid w:val="00654C95"/>
    <w:rsid w:val="00654CA1"/>
    <w:rsid w:val="00654D17"/>
    <w:rsid w:val="00654D18"/>
    <w:rsid w:val="00654D6F"/>
    <w:rsid w:val="00654D82"/>
    <w:rsid w:val="00654DF0"/>
    <w:rsid w:val="00654E1C"/>
    <w:rsid w:val="00654E32"/>
    <w:rsid w:val="00654E62"/>
    <w:rsid w:val="00654EE0"/>
    <w:rsid w:val="00654EE1"/>
    <w:rsid w:val="00654F19"/>
    <w:rsid w:val="00655048"/>
    <w:rsid w:val="0065505C"/>
    <w:rsid w:val="006550FC"/>
    <w:rsid w:val="006552B9"/>
    <w:rsid w:val="006552C5"/>
    <w:rsid w:val="0065531C"/>
    <w:rsid w:val="0065535B"/>
    <w:rsid w:val="006553B8"/>
    <w:rsid w:val="006553C7"/>
    <w:rsid w:val="006553E5"/>
    <w:rsid w:val="006554B3"/>
    <w:rsid w:val="006554C7"/>
    <w:rsid w:val="00655542"/>
    <w:rsid w:val="006555A8"/>
    <w:rsid w:val="006555FB"/>
    <w:rsid w:val="00655647"/>
    <w:rsid w:val="0065564E"/>
    <w:rsid w:val="00655689"/>
    <w:rsid w:val="0065571B"/>
    <w:rsid w:val="0065572E"/>
    <w:rsid w:val="00655809"/>
    <w:rsid w:val="00655BFD"/>
    <w:rsid w:val="00655C8F"/>
    <w:rsid w:val="00655CFB"/>
    <w:rsid w:val="00655D1A"/>
    <w:rsid w:val="00655DDA"/>
    <w:rsid w:val="00655DDB"/>
    <w:rsid w:val="00655E4C"/>
    <w:rsid w:val="00655E54"/>
    <w:rsid w:val="00655E85"/>
    <w:rsid w:val="00655E93"/>
    <w:rsid w:val="00655F15"/>
    <w:rsid w:val="00655F63"/>
    <w:rsid w:val="00655FDE"/>
    <w:rsid w:val="00656046"/>
    <w:rsid w:val="006561FC"/>
    <w:rsid w:val="0065642C"/>
    <w:rsid w:val="006565E8"/>
    <w:rsid w:val="0065670D"/>
    <w:rsid w:val="00656844"/>
    <w:rsid w:val="00656895"/>
    <w:rsid w:val="006569FF"/>
    <w:rsid w:val="00656A2C"/>
    <w:rsid w:val="00656B9C"/>
    <w:rsid w:val="00656BF3"/>
    <w:rsid w:val="00656D82"/>
    <w:rsid w:val="00656E03"/>
    <w:rsid w:val="00656E61"/>
    <w:rsid w:val="00656F8A"/>
    <w:rsid w:val="00657012"/>
    <w:rsid w:val="006570F4"/>
    <w:rsid w:val="0065715F"/>
    <w:rsid w:val="0065717D"/>
    <w:rsid w:val="00657272"/>
    <w:rsid w:val="0065734E"/>
    <w:rsid w:val="006573FB"/>
    <w:rsid w:val="0065748B"/>
    <w:rsid w:val="0065756C"/>
    <w:rsid w:val="0065757C"/>
    <w:rsid w:val="006575CB"/>
    <w:rsid w:val="00657619"/>
    <w:rsid w:val="0065761C"/>
    <w:rsid w:val="0065777D"/>
    <w:rsid w:val="0065784A"/>
    <w:rsid w:val="0065793C"/>
    <w:rsid w:val="00657973"/>
    <w:rsid w:val="006579A2"/>
    <w:rsid w:val="006579AA"/>
    <w:rsid w:val="006579C4"/>
    <w:rsid w:val="00657A12"/>
    <w:rsid w:val="00657A47"/>
    <w:rsid w:val="00657A9F"/>
    <w:rsid w:val="00657B66"/>
    <w:rsid w:val="00657BA2"/>
    <w:rsid w:val="00657BCF"/>
    <w:rsid w:val="00657C1A"/>
    <w:rsid w:val="00657C64"/>
    <w:rsid w:val="00657CC9"/>
    <w:rsid w:val="00657D52"/>
    <w:rsid w:val="00657DD3"/>
    <w:rsid w:val="00657E1D"/>
    <w:rsid w:val="00657F64"/>
    <w:rsid w:val="0066009E"/>
    <w:rsid w:val="006600C9"/>
    <w:rsid w:val="006600E9"/>
    <w:rsid w:val="00660171"/>
    <w:rsid w:val="0066019B"/>
    <w:rsid w:val="006601A7"/>
    <w:rsid w:val="0066033A"/>
    <w:rsid w:val="006604B2"/>
    <w:rsid w:val="0066071C"/>
    <w:rsid w:val="00660841"/>
    <w:rsid w:val="00660A31"/>
    <w:rsid w:val="00660A6B"/>
    <w:rsid w:val="00660A7E"/>
    <w:rsid w:val="00660B8B"/>
    <w:rsid w:val="00660CF9"/>
    <w:rsid w:val="00660D2C"/>
    <w:rsid w:val="00660E0D"/>
    <w:rsid w:val="00660E7D"/>
    <w:rsid w:val="00660E82"/>
    <w:rsid w:val="00660EE5"/>
    <w:rsid w:val="00660F24"/>
    <w:rsid w:val="00660FB9"/>
    <w:rsid w:val="00660FBC"/>
    <w:rsid w:val="00661036"/>
    <w:rsid w:val="00661060"/>
    <w:rsid w:val="00661536"/>
    <w:rsid w:val="0066153A"/>
    <w:rsid w:val="00661589"/>
    <w:rsid w:val="006615EC"/>
    <w:rsid w:val="0066180A"/>
    <w:rsid w:val="0066181B"/>
    <w:rsid w:val="006619EB"/>
    <w:rsid w:val="00661A59"/>
    <w:rsid w:val="00661A5A"/>
    <w:rsid w:val="00661A92"/>
    <w:rsid w:val="00661ADE"/>
    <w:rsid w:val="00661B4D"/>
    <w:rsid w:val="00661BDC"/>
    <w:rsid w:val="00661CBB"/>
    <w:rsid w:val="00661F19"/>
    <w:rsid w:val="00661FDD"/>
    <w:rsid w:val="00662021"/>
    <w:rsid w:val="00662042"/>
    <w:rsid w:val="00662089"/>
    <w:rsid w:val="006620A4"/>
    <w:rsid w:val="00662158"/>
    <w:rsid w:val="006621A8"/>
    <w:rsid w:val="006621B5"/>
    <w:rsid w:val="006621C2"/>
    <w:rsid w:val="00662245"/>
    <w:rsid w:val="006622D1"/>
    <w:rsid w:val="0066231A"/>
    <w:rsid w:val="00662330"/>
    <w:rsid w:val="0066237B"/>
    <w:rsid w:val="006623CE"/>
    <w:rsid w:val="0066249F"/>
    <w:rsid w:val="006625B8"/>
    <w:rsid w:val="0066266B"/>
    <w:rsid w:val="006626BA"/>
    <w:rsid w:val="006626C6"/>
    <w:rsid w:val="006627DE"/>
    <w:rsid w:val="006628A2"/>
    <w:rsid w:val="00662931"/>
    <w:rsid w:val="00662996"/>
    <w:rsid w:val="00662A33"/>
    <w:rsid w:val="00662A48"/>
    <w:rsid w:val="00662B6E"/>
    <w:rsid w:val="00662C93"/>
    <w:rsid w:val="00662CE9"/>
    <w:rsid w:val="00662D6F"/>
    <w:rsid w:val="00662E8E"/>
    <w:rsid w:val="00662FAF"/>
    <w:rsid w:val="00663041"/>
    <w:rsid w:val="00663050"/>
    <w:rsid w:val="00663062"/>
    <w:rsid w:val="00663100"/>
    <w:rsid w:val="00663309"/>
    <w:rsid w:val="0066343B"/>
    <w:rsid w:val="006634B0"/>
    <w:rsid w:val="00663584"/>
    <w:rsid w:val="006635AE"/>
    <w:rsid w:val="00663635"/>
    <w:rsid w:val="006636A4"/>
    <w:rsid w:val="00663754"/>
    <w:rsid w:val="006637ED"/>
    <w:rsid w:val="0066388A"/>
    <w:rsid w:val="006638A5"/>
    <w:rsid w:val="006638A6"/>
    <w:rsid w:val="006638C3"/>
    <w:rsid w:val="00663A5C"/>
    <w:rsid w:val="00663B76"/>
    <w:rsid w:val="00663BD9"/>
    <w:rsid w:val="00663BF4"/>
    <w:rsid w:val="00663C18"/>
    <w:rsid w:val="00663D04"/>
    <w:rsid w:val="00663D90"/>
    <w:rsid w:val="00663E6F"/>
    <w:rsid w:val="00663E7C"/>
    <w:rsid w:val="00663ECA"/>
    <w:rsid w:val="00663EF8"/>
    <w:rsid w:val="00663F0F"/>
    <w:rsid w:val="00663F11"/>
    <w:rsid w:val="00663F9E"/>
    <w:rsid w:val="00664026"/>
    <w:rsid w:val="0066419F"/>
    <w:rsid w:val="006641A1"/>
    <w:rsid w:val="0066422C"/>
    <w:rsid w:val="0066432E"/>
    <w:rsid w:val="00664386"/>
    <w:rsid w:val="0066438D"/>
    <w:rsid w:val="0066438E"/>
    <w:rsid w:val="00664442"/>
    <w:rsid w:val="00664752"/>
    <w:rsid w:val="0066478E"/>
    <w:rsid w:val="00664888"/>
    <w:rsid w:val="0066490D"/>
    <w:rsid w:val="00664975"/>
    <w:rsid w:val="006649B1"/>
    <w:rsid w:val="006649EF"/>
    <w:rsid w:val="00664A89"/>
    <w:rsid w:val="00664B32"/>
    <w:rsid w:val="00664B8B"/>
    <w:rsid w:val="00664B95"/>
    <w:rsid w:val="00664BBF"/>
    <w:rsid w:val="00664BC2"/>
    <w:rsid w:val="00664C0D"/>
    <w:rsid w:val="00664C23"/>
    <w:rsid w:val="00664CA1"/>
    <w:rsid w:val="00664D46"/>
    <w:rsid w:val="00664D4E"/>
    <w:rsid w:val="00664E9F"/>
    <w:rsid w:val="00664F93"/>
    <w:rsid w:val="00665089"/>
    <w:rsid w:val="006651E2"/>
    <w:rsid w:val="006651EF"/>
    <w:rsid w:val="00665231"/>
    <w:rsid w:val="00665253"/>
    <w:rsid w:val="00665340"/>
    <w:rsid w:val="00665341"/>
    <w:rsid w:val="00665346"/>
    <w:rsid w:val="00665350"/>
    <w:rsid w:val="00665357"/>
    <w:rsid w:val="006653C5"/>
    <w:rsid w:val="006653EB"/>
    <w:rsid w:val="0066541E"/>
    <w:rsid w:val="0066543B"/>
    <w:rsid w:val="00665482"/>
    <w:rsid w:val="006655A6"/>
    <w:rsid w:val="00665625"/>
    <w:rsid w:val="006656EA"/>
    <w:rsid w:val="006657D8"/>
    <w:rsid w:val="00665912"/>
    <w:rsid w:val="0066597B"/>
    <w:rsid w:val="00665B76"/>
    <w:rsid w:val="00665BBB"/>
    <w:rsid w:val="00665C29"/>
    <w:rsid w:val="00665D63"/>
    <w:rsid w:val="00665DC1"/>
    <w:rsid w:val="00665EF4"/>
    <w:rsid w:val="00665F87"/>
    <w:rsid w:val="00666017"/>
    <w:rsid w:val="006660B5"/>
    <w:rsid w:val="00666163"/>
    <w:rsid w:val="006661A1"/>
    <w:rsid w:val="0066636F"/>
    <w:rsid w:val="00666413"/>
    <w:rsid w:val="0066651F"/>
    <w:rsid w:val="0066656E"/>
    <w:rsid w:val="00666573"/>
    <w:rsid w:val="0066657F"/>
    <w:rsid w:val="0066660D"/>
    <w:rsid w:val="00666629"/>
    <w:rsid w:val="00666684"/>
    <w:rsid w:val="00666685"/>
    <w:rsid w:val="00666732"/>
    <w:rsid w:val="00666772"/>
    <w:rsid w:val="006667D9"/>
    <w:rsid w:val="006668C2"/>
    <w:rsid w:val="006668D7"/>
    <w:rsid w:val="0066690F"/>
    <w:rsid w:val="006669F5"/>
    <w:rsid w:val="00666A57"/>
    <w:rsid w:val="00666AEB"/>
    <w:rsid w:val="00666BA1"/>
    <w:rsid w:val="00666BB2"/>
    <w:rsid w:val="00666BEE"/>
    <w:rsid w:val="00666D59"/>
    <w:rsid w:val="00666E3F"/>
    <w:rsid w:val="00666EB9"/>
    <w:rsid w:val="00666F06"/>
    <w:rsid w:val="00666FB5"/>
    <w:rsid w:val="006670A0"/>
    <w:rsid w:val="006671C1"/>
    <w:rsid w:val="00667354"/>
    <w:rsid w:val="00667376"/>
    <w:rsid w:val="00667446"/>
    <w:rsid w:val="00667572"/>
    <w:rsid w:val="006675C4"/>
    <w:rsid w:val="00667604"/>
    <w:rsid w:val="00667610"/>
    <w:rsid w:val="00667795"/>
    <w:rsid w:val="006677BC"/>
    <w:rsid w:val="006677DB"/>
    <w:rsid w:val="006677F4"/>
    <w:rsid w:val="006678DB"/>
    <w:rsid w:val="006679B3"/>
    <w:rsid w:val="00667AFC"/>
    <w:rsid w:val="00667B88"/>
    <w:rsid w:val="00667B90"/>
    <w:rsid w:val="00667BD8"/>
    <w:rsid w:val="00667C61"/>
    <w:rsid w:val="00667CA3"/>
    <w:rsid w:val="00667E4F"/>
    <w:rsid w:val="00667E5A"/>
    <w:rsid w:val="00667E7F"/>
    <w:rsid w:val="006700B1"/>
    <w:rsid w:val="00670103"/>
    <w:rsid w:val="006702E0"/>
    <w:rsid w:val="00670370"/>
    <w:rsid w:val="00670630"/>
    <w:rsid w:val="00670681"/>
    <w:rsid w:val="006706C4"/>
    <w:rsid w:val="00670775"/>
    <w:rsid w:val="006708AD"/>
    <w:rsid w:val="006709C5"/>
    <w:rsid w:val="006709DE"/>
    <w:rsid w:val="00670A4E"/>
    <w:rsid w:val="00670AE1"/>
    <w:rsid w:val="00670B4A"/>
    <w:rsid w:val="00670B7C"/>
    <w:rsid w:val="00670C99"/>
    <w:rsid w:val="00670CB9"/>
    <w:rsid w:val="00670D04"/>
    <w:rsid w:val="00670F20"/>
    <w:rsid w:val="00670FCF"/>
    <w:rsid w:val="0067111C"/>
    <w:rsid w:val="00671134"/>
    <w:rsid w:val="006711EE"/>
    <w:rsid w:val="0067129C"/>
    <w:rsid w:val="006714E9"/>
    <w:rsid w:val="00671677"/>
    <w:rsid w:val="00671788"/>
    <w:rsid w:val="006717D7"/>
    <w:rsid w:val="00671894"/>
    <w:rsid w:val="006718A2"/>
    <w:rsid w:val="0067199D"/>
    <w:rsid w:val="00671A2D"/>
    <w:rsid w:val="00671A94"/>
    <w:rsid w:val="00671B7A"/>
    <w:rsid w:val="00671CB6"/>
    <w:rsid w:val="00671CEB"/>
    <w:rsid w:val="00671CFF"/>
    <w:rsid w:val="00671D2F"/>
    <w:rsid w:val="00671D8E"/>
    <w:rsid w:val="00671DD6"/>
    <w:rsid w:val="00671E1A"/>
    <w:rsid w:val="00671E4C"/>
    <w:rsid w:val="00671EAF"/>
    <w:rsid w:val="00671F39"/>
    <w:rsid w:val="00671F7A"/>
    <w:rsid w:val="00672052"/>
    <w:rsid w:val="00672111"/>
    <w:rsid w:val="0067211E"/>
    <w:rsid w:val="006721D7"/>
    <w:rsid w:val="00672223"/>
    <w:rsid w:val="00672277"/>
    <w:rsid w:val="006722E4"/>
    <w:rsid w:val="006722FE"/>
    <w:rsid w:val="00672305"/>
    <w:rsid w:val="0067232C"/>
    <w:rsid w:val="0067238E"/>
    <w:rsid w:val="00672398"/>
    <w:rsid w:val="0067247F"/>
    <w:rsid w:val="006725E8"/>
    <w:rsid w:val="006725F0"/>
    <w:rsid w:val="0067262B"/>
    <w:rsid w:val="006726B7"/>
    <w:rsid w:val="006727A9"/>
    <w:rsid w:val="006727EE"/>
    <w:rsid w:val="00672864"/>
    <w:rsid w:val="006729F7"/>
    <w:rsid w:val="00672AC6"/>
    <w:rsid w:val="00672B5F"/>
    <w:rsid w:val="00672B6E"/>
    <w:rsid w:val="00672BC0"/>
    <w:rsid w:val="00672BCD"/>
    <w:rsid w:val="00672C72"/>
    <w:rsid w:val="00672D4B"/>
    <w:rsid w:val="00672E1D"/>
    <w:rsid w:val="00672EB3"/>
    <w:rsid w:val="00672EBC"/>
    <w:rsid w:val="00672F88"/>
    <w:rsid w:val="00672F9C"/>
    <w:rsid w:val="00672FE0"/>
    <w:rsid w:val="00672FEE"/>
    <w:rsid w:val="00673071"/>
    <w:rsid w:val="00673080"/>
    <w:rsid w:val="00673199"/>
    <w:rsid w:val="006731DC"/>
    <w:rsid w:val="0067329D"/>
    <w:rsid w:val="006732A8"/>
    <w:rsid w:val="00673470"/>
    <w:rsid w:val="00673519"/>
    <w:rsid w:val="006735D8"/>
    <w:rsid w:val="00673695"/>
    <w:rsid w:val="006736AB"/>
    <w:rsid w:val="006736D2"/>
    <w:rsid w:val="006737FB"/>
    <w:rsid w:val="00673A34"/>
    <w:rsid w:val="00673B51"/>
    <w:rsid w:val="00673BE8"/>
    <w:rsid w:val="00673C0A"/>
    <w:rsid w:val="00673C4F"/>
    <w:rsid w:val="00673D1D"/>
    <w:rsid w:val="00673DFC"/>
    <w:rsid w:val="00673E10"/>
    <w:rsid w:val="00673E32"/>
    <w:rsid w:val="00673E3C"/>
    <w:rsid w:val="00674083"/>
    <w:rsid w:val="006740DC"/>
    <w:rsid w:val="00674190"/>
    <w:rsid w:val="006741DA"/>
    <w:rsid w:val="00674207"/>
    <w:rsid w:val="0067436D"/>
    <w:rsid w:val="00674423"/>
    <w:rsid w:val="006744EB"/>
    <w:rsid w:val="00674553"/>
    <w:rsid w:val="00674598"/>
    <w:rsid w:val="006745C3"/>
    <w:rsid w:val="006746EE"/>
    <w:rsid w:val="0067478C"/>
    <w:rsid w:val="006747D2"/>
    <w:rsid w:val="0067486B"/>
    <w:rsid w:val="0067487A"/>
    <w:rsid w:val="006748ED"/>
    <w:rsid w:val="00674B2E"/>
    <w:rsid w:val="00674BFF"/>
    <w:rsid w:val="00674C02"/>
    <w:rsid w:val="00674C71"/>
    <w:rsid w:val="00674D3E"/>
    <w:rsid w:val="00674D7F"/>
    <w:rsid w:val="00674DA4"/>
    <w:rsid w:val="00674DCB"/>
    <w:rsid w:val="00674ED8"/>
    <w:rsid w:val="00674FA8"/>
    <w:rsid w:val="0067500E"/>
    <w:rsid w:val="00675080"/>
    <w:rsid w:val="00675144"/>
    <w:rsid w:val="0067517F"/>
    <w:rsid w:val="006751DB"/>
    <w:rsid w:val="00675258"/>
    <w:rsid w:val="00675291"/>
    <w:rsid w:val="006752F4"/>
    <w:rsid w:val="00675377"/>
    <w:rsid w:val="006753F4"/>
    <w:rsid w:val="0067541F"/>
    <w:rsid w:val="00675553"/>
    <w:rsid w:val="006756F7"/>
    <w:rsid w:val="00675703"/>
    <w:rsid w:val="00675707"/>
    <w:rsid w:val="0067572A"/>
    <w:rsid w:val="006757E9"/>
    <w:rsid w:val="0067582A"/>
    <w:rsid w:val="006759C3"/>
    <w:rsid w:val="006759E8"/>
    <w:rsid w:val="00675A2B"/>
    <w:rsid w:val="00675B0B"/>
    <w:rsid w:val="00675B16"/>
    <w:rsid w:val="00675B4E"/>
    <w:rsid w:val="00675B9A"/>
    <w:rsid w:val="00675C6A"/>
    <w:rsid w:val="00675CDB"/>
    <w:rsid w:val="00675D3E"/>
    <w:rsid w:val="00675E00"/>
    <w:rsid w:val="00675EC4"/>
    <w:rsid w:val="00675F0A"/>
    <w:rsid w:val="00675FB3"/>
    <w:rsid w:val="00675FD4"/>
    <w:rsid w:val="0067606A"/>
    <w:rsid w:val="006761A8"/>
    <w:rsid w:val="00676267"/>
    <w:rsid w:val="00676276"/>
    <w:rsid w:val="006762FF"/>
    <w:rsid w:val="0067634A"/>
    <w:rsid w:val="00676364"/>
    <w:rsid w:val="0067649D"/>
    <w:rsid w:val="0067650F"/>
    <w:rsid w:val="00676638"/>
    <w:rsid w:val="0067665B"/>
    <w:rsid w:val="006766CD"/>
    <w:rsid w:val="006767A6"/>
    <w:rsid w:val="00676817"/>
    <w:rsid w:val="0067697F"/>
    <w:rsid w:val="006769A4"/>
    <w:rsid w:val="00676AD8"/>
    <w:rsid w:val="00676AEF"/>
    <w:rsid w:val="00676B9E"/>
    <w:rsid w:val="00676CA5"/>
    <w:rsid w:val="00676CA8"/>
    <w:rsid w:val="00676D6E"/>
    <w:rsid w:val="00676E45"/>
    <w:rsid w:val="00676E54"/>
    <w:rsid w:val="00676ECE"/>
    <w:rsid w:val="00676F1A"/>
    <w:rsid w:val="00676FF9"/>
    <w:rsid w:val="00677044"/>
    <w:rsid w:val="00677046"/>
    <w:rsid w:val="0067705E"/>
    <w:rsid w:val="006770F9"/>
    <w:rsid w:val="006771CF"/>
    <w:rsid w:val="0067720E"/>
    <w:rsid w:val="00677231"/>
    <w:rsid w:val="00677310"/>
    <w:rsid w:val="00677474"/>
    <w:rsid w:val="006774B7"/>
    <w:rsid w:val="00677570"/>
    <w:rsid w:val="00677A3F"/>
    <w:rsid w:val="00677AD3"/>
    <w:rsid w:val="00677AF7"/>
    <w:rsid w:val="00677B44"/>
    <w:rsid w:val="00677B85"/>
    <w:rsid w:val="00677BD9"/>
    <w:rsid w:val="00677E27"/>
    <w:rsid w:val="00677F10"/>
    <w:rsid w:val="00677FB7"/>
    <w:rsid w:val="00680035"/>
    <w:rsid w:val="006800AF"/>
    <w:rsid w:val="0068013F"/>
    <w:rsid w:val="0068015B"/>
    <w:rsid w:val="0068015C"/>
    <w:rsid w:val="00680189"/>
    <w:rsid w:val="0068021E"/>
    <w:rsid w:val="0068024A"/>
    <w:rsid w:val="00680351"/>
    <w:rsid w:val="0068041E"/>
    <w:rsid w:val="006804FC"/>
    <w:rsid w:val="006805D3"/>
    <w:rsid w:val="006805E1"/>
    <w:rsid w:val="006805F8"/>
    <w:rsid w:val="0068070B"/>
    <w:rsid w:val="00680714"/>
    <w:rsid w:val="006807FA"/>
    <w:rsid w:val="006807FB"/>
    <w:rsid w:val="00680897"/>
    <w:rsid w:val="006808F6"/>
    <w:rsid w:val="00680977"/>
    <w:rsid w:val="006809FC"/>
    <w:rsid w:val="00680BA1"/>
    <w:rsid w:val="00680CD7"/>
    <w:rsid w:val="00680D77"/>
    <w:rsid w:val="00680DBF"/>
    <w:rsid w:val="00680E57"/>
    <w:rsid w:val="00680F08"/>
    <w:rsid w:val="00680F2C"/>
    <w:rsid w:val="00680F36"/>
    <w:rsid w:val="00680FBA"/>
    <w:rsid w:val="006811A5"/>
    <w:rsid w:val="0068128E"/>
    <w:rsid w:val="006812B4"/>
    <w:rsid w:val="00681322"/>
    <w:rsid w:val="006813D5"/>
    <w:rsid w:val="006813F1"/>
    <w:rsid w:val="00681456"/>
    <w:rsid w:val="006814D4"/>
    <w:rsid w:val="006814E4"/>
    <w:rsid w:val="00681536"/>
    <w:rsid w:val="006815B5"/>
    <w:rsid w:val="006815CB"/>
    <w:rsid w:val="00681630"/>
    <w:rsid w:val="00681641"/>
    <w:rsid w:val="006816A1"/>
    <w:rsid w:val="006817EB"/>
    <w:rsid w:val="0068195E"/>
    <w:rsid w:val="00681972"/>
    <w:rsid w:val="00681990"/>
    <w:rsid w:val="006819B6"/>
    <w:rsid w:val="00681A50"/>
    <w:rsid w:val="00681A81"/>
    <w:rsid w:val="00681B99"/>
    <w:rsid w:val="00681BE6"/>
    <w:rsid w:val="00681E20"/>
    <w:rsid w:val="00681E5B"/>
    <w:rsid w:val="00681F2D"/>
    <w:rsid w:val="00682003"/>
    <w:rsid w:val="00682052"/>
    <w:rsid w:val="006820C2"/>
    <w:rsid w:val="006820C9"/>
    <w:rsid w:val="006820F7"/>
    <w:rsid w:val="006821D0"/>
    <w:rsid w:val="00682207"/>
    <w:rsid w:val="00682245"/>
    <w:rsid w:val="00682472"/>
    <w:rsid w:val="006825B7"/>
    <w:rsid w:val="00682718"/>
    <w:rsid w:val="006827E5"/>
    <w:rsid w:val="006827EB"/>
    <w:rsid w:val="0068280E"/>
    <w:rsid w:val="00682893"/>
    <w:rsid w:val="0068290E"/>
    <w:rsid w:val="0068293A"/>
    <w:rsid w:val="00682A5E"/>
    <w:rsid w:val="00682AB5"/>
    <w:rsid w:val="00682AC3"/>
    <w:rsid w:val="00682B49"/>
    <w:rsid w:val="00682CC9"/>
    <w:rsid w:val="00682CD8"/>
    <w:rsid w:val="00682D64"/>
    <w:rsid w:val="00682DA2"/>
    <w:rsid w:val="00682DE8"/>
    <w:rsid w:val="00682E0C"/>
    <w:rsid w:val="00682EB3"/>
    <w:rsid w:val="00682F55"/>
    <w:rsid w:val="00682FD8"/>
    <w:rsid w:val="00683013"/>
    <w:rsid w:val="00683087"/>
    <w:rsid w:val="006831EE"/>
    <w:rsid w:val="00683227"/>
    <w:rsid w:val="006833C3"/>
    <w:rsid w:val="00683534"/>
    <w:rsid w:val="006835C7"/>
    <w:rsid w:val="00683793"/>
    <w:rsid w:val="006837EE"/>
    <w:rsid w:val="006837F4"/>
    <w:rsid w:val="00683831"/>
    <w:rsid w:val="00683888"/>
    <w:rsid w:val="006838F1"/>
    <w:rsid w:val="006839CB"/>
    <w:rsid w:val="006839F2"/>
    <w:rsid w:val="00683A52"/>
    <w:rsid w:val="00683ACF"/>
    <w:rsid w:val="00683AF0"/>
    <w:rsid w:val="00683AF2"/>
    <w:rsid w:val="00683BCB"/>
    <w:rsid w:val="00683D0C"/>
    <w:rsid w:val="00683E7A"/>
    <w:rsid w:val="00683E99"/>
    <w:rsid w:val="00683EC4"/>
    <w:rsid w:val="00683F8F"/>
    <w:rsid w:val="00683FB6"/>
    <w:rsid w:val="00684043"/>
    <w:rsid w:val="006840A5"/>
    <w:rsid w:val="0068413B"/>
    <w:rsid w:val="006842E2"/>
    <w:rsid w:val="006843B4"/>
    <w:rsid w:val="00684407"/>
    <w:rsid w:val="006844AA"/>
    <w:rsid w:val="0068462B"/>
    <w:rsid w:val="006846F8"/>
    <w:rsid w:val="00684728"/>
    <w:rsid w:val="0068472F"/>
    <w:rsid w:val="0068473C"/>
    <w:rsid w:val="0068484D"/>
    <w:rsid w:val="006848F0"/>
    <w:rsid w:val="00684952"/>
    <w:rsid w:val="006849D6"/>
    <w:rsid w:val="00684BD8"/>
    <w:rsid w:val="00684C42"/>
    <w:rsid w:val="00684CAD"/>
    <w:rsid w:val="00684CD5"/>
    <w:rsid w:val="00684CFB"/>
    <w:rsid w:val="00684D39"/>
    <w:rsid w:val="00684DCF"/>
    <w:rsid w:val="00684E84"/>
    <w:rsid w:val="00684EEA"/>
    <w:rsid w:val="00684FF8"/>
    <w:rsid w:val="0068502D"/>
    <w:rsid w:val="00685067"/>
    <w:rsid w:val="00685070"/>
    <w:rsid w:val="006850C0"/>
    <w:rsid w:val="0068519B"/>
    <w:rsid w:val="006851E1"/>
    <w:rsid w:val="006852EF"/>
    <w:rsid w:val="00685317"/>
    <w:rsid w:val="00685385"/>
    <w:rsid w:val="0068539E"/>
    <w:rsid w:val="006854A1"/>
    <w:rsid w:val="006854DC"/>
    <w:rsid w:val="00685521"/>
    <w:rsid w:val="006855AC"/>
    <w:rsid w:val="006855F8"/>
    <w:rsid w:val="00685612"/>
    <w:rsid w:val="00685670"/>
    <w:rsid w:val="006858A2"/>
    <w:rsid w:val="00685944"/>
    <w:rsid w:val="00685A9D"/>
    <w:rsid w:val="00685AA3"/>
    <w:rsid w:val="00685B1E"/>
    <w:rsid w:val="00685D39"/>
    <w:rsid w:val="00685D86"/>
    <w:rsid w:val="00685E7B"/>
    <w:rsid w:val="00685EAC"/>
    <w:rsid w:val="00685F54"/>
    <w:rsid w:val="00685FB2"/>
    <w:rsid w:val="00686038"/>
    <w:rsid w:val="0068605F"/>
    <w:rsid w:val="006862AD"/>
    <w:rsid w:val="006862B9"/>
    <w:rsid w:val="0068644A"/>
    <w:rsid w:val="006864CE"/>
    <w:rsid w:val="00686636"/>
    <w:rsid w:val="006866BD"/>
    <w:rsid w:val="0068675A"/>
    <w:rsid w:val="0068695C"/>
    <w:rsid w:val="00686A2F"/>
    <w:rsid w:val="00686AA2"/>
    <w:rsid w:val="00686AE0"/>
    <w:rsid w:val="00686AEB"/>
    <w:rsid w:val="00686AFF"/>
    <w:rsid w:val="00686B95"/>
    <w:rsid w:val="00686BD1"/>
    <w:rsid w:val="00686BD6"/>
    <w:rsid w:val="00686CE6"/>
    <w:rsid w:val="00686D9F"/>
    <w:rsid w:val="00686FE2"/>
    <w:rsid w:val="00687007"/>
    <w:rsid w:val="00687055"/>
    <w:rsid w:val="00687062"/>
    <w:rsid w:val="0068708B"/>
    <w:rsid w:val="006872D4"/>
    <w:rsid w:val="0068746C"/>
    <w:rsid w:val="006874AA"/>
    <w:rsid w:val="00687517"/>
    <w:rsid w:val="00687614"/>
    <w:rsid w:val="00687799"/>
    <w:rsid w:val="006877E0"/>
    <w:rsid w:val="00687883"/>
    <w:rsid w:val="00687900"/>
    <w:rsid w:val="00687946"/>
    <w:rsid w:val="0068795E"/>
    <w:rsid w:val="00687988"/>
    <w:rsid w:val="006879A0"/>
    <w:rsid w:val="00687A3B"/>
    <w:rsid w:val="00687A71"/>
    <w:rsid w:val="00687B46"/>
    <w:rsid w:val="00687B53"/>
    <w:rsid w:val="00687B75"/>
    <w:rsid w:val="00687BEF"/>
    <w:rsid w:val="00687C05"/>
    <w:rsid w:val="00687C16"/>
    <w:rsid w:val="00687C6C"/>
    <w:rsid w:val="00687D73"/>
    <w:rsid w:val="00687D9E"/>
    <w:rsid w:val="00687DB9"/>
    <w:rsid w:val="00687DD8"/>
    <w:rsid w:val="00687E0E"/>
    <w:rsid w:val="00687E70"/>
    <w:rsid w:val="00687EA6"/>
    <w:rsid w:val="00687EB7"/>
    <w:rsid w:val="00687EE8"/>
    <w:rsid w:val="00687FDF"/>
    <w:rsid w:val="00690015"/>
    <w:rsid w:val="00690056"/>
    <w:rsid w:val="006900B0"/>
    <w:rsid w:val="00690106"/>
    <w:rsid w:val="0069011D"/>
    <w:rsid w:val="00690188"/>
    <w:rsid w:val="006901B1"/>
    <w:rsid w:val="00690230"/>
    <w:rsid w:val="006902A4"/>
    <w:rsid w:val="006902AC"/>
    <w:rsid w:val="006902E3"/>
    <w:rsid w:val="006905BD"/>
    <w:rsid w:val="00690621"/>
    <w:rsid w:val="00690696"/>
    <w:rsid w:val="00690760"/>
    <w:rsid w:val="00690793"/>
    <w:rsid w:val="00690846"/>
    <w:rsid w:val="006909F0"/>
    <w:rsid w:val="00690A33"/>
    <w:rsid w:val="00690AD9"/>
    <w:rsid w:val="00690B5A"/>
    <w:rsid w:val="00690C0A"/>
    <w:rsid w:val="00690C3A"/>
    <w:rsid w:val="00690C4D"/>
    <w:rsid w:val="00690CEC"/>
    <w:rsid w:val="00690E00"/>
    <w:rsid w:val="00690EA8"/>
    <w:rsid w:val="00690F1E"/>
    <w:rsid w:val="00691180"/>
    <w:rsid w:val="006911A3"/>
    <w:rsid w:val="0069122E"/>
    <w:rsid w:val="0069129D"/>
    <w:rsid w:val="00691324"/>
    <w:rsid w:val="00691348"/>
    <w:rsid w:val="00691690"/>
    <w:rsid w:val="006916C2"/>
    <w:rsid w:val="00691780"/>
    <w:rsid w:val="006918A4"/>
    <w:rsid w:val="006918AC"/>
    <w:rsid w:val="00691908"/>
    <w:rsid w:val="00691D1C"/>
    <w:rsid w:val="00691EA3"/>
    <w:rsid w:val="00691F37"/>
    <w:rsid w:val="00691FCC"/>
    <w:rsid w:val="0069207C"/>
    <w:rsid w:val="006920A8"/>
    <w:rsid w:val="006920AF"/>
    <w:rsid w:val="006920DB"/>
    <w:rsid w:val="006920E6"/>
    <w:rsid w:val="00692110"/>
    <w:rsid w:val="0069211D"/>
    <w:rsid w:val="0069222A"/>
    <w:rsid w:val="0069223A"/>
    <w:rsid w:val="0069229D"/>
    <w:rsid w:val="00692314"/>
    <w:rsid w:val="0069236F"/>
    <w:rsid w:val="00692479"/>
    <w:rsid w:val="006924A1"/>
    <w:rsid w:val="00692549"/>
    <w:rsid w:val="00692646"/>
    <w:rsid w:val="00692775"/>
    <w:rsid w:val="006927BE"/>
    <w:rsid w:val="006928A2"/>
    <w:rsid w:val="00692908"/>
    <w:rsid w:val="00692B12"/>
    <w:rsid w:val="00692B4F"/>
    <w:rsid w:val="00692B5E"/>
    <w:rsid w:val="00692BA5"/>
    <w:rsid w:val="00692D34"/>
    <w:rsid w:val="00692D80"/>
    <w:rsid w:val="00692DCF"/>
    <w:rsid w:val="00692DDE"/>
    <w:rsid w:val="00692E20"/>
    <w:rsid w:val="00693092"/>
    <w:rsid w:val="0069310E"/>
    <w:rsid w:val="0069317C"/>
    <w:rsid w:val="006931C2"/>
    <w:rsid w:val="006931E2"/>
    <w:rsid w:val="006931E3"/>
    <w:rsid w:val="00693245"/>
    <w:rsid w:val="00693263"/>
    <w:rsid w:val="006932F2"/>
    <w:rsid w:val="006932F3"/>
    <w:rsid w:val="00693303"/>
    <w:rsid w:val="00693378"/>
    <w:rsid w:val="00693387"/>
    <w:rsid w:val="006933B8"/>
    <w:rsid w:val="006933C7"/>
    <w:rsid w:val="00693512"/>
    <w:rsid w:val="00693637"/>
    <w:rsid w:val="0069371B"/>
    <w:rsid w:val="0069374E"/>
    <w:rsid w:val="0069374F"/>
    <w:rsid w:val="0069378C"/>
    <w:rsid w:val="0069386E"/>
    <w:rsid w:val="0069398A"/>
    <w:rsid w:val="00693996"/>
    <w:rsid w:val="00693A29"/>
    <w:rsid w:val="00693C34"/>
    <w:rsid w:val="00693C75"/>
    <w:rsid w:val="00693D83"/>
    <w:rsid w:val="00693DA1"/>
    <w:rsid w:val="00693DDE"/>
    <w:rsid w:val="00693E0C"/>
    <w:rsid w:val="00693E11"/>
    <w:rsid w:val="00693E9B"/>
    <w:rsid w:val="00693F3E"/>
    <w:rsid w:val="006940A8"/>
    <w:rsid w:val="00694186"/>
    <w:rsid w:val="006943AE"/>
    <w:rsid w:val="006943CE"/>
    <w:rsid w:val="006943E0"/>
    <w:rsid w:val="00694528"/>
    <w:rsid w:val="006945B5"/>
    <w:rsid w:val="0069472C"/>
    <w:rsid w:val="00694749"/>
    <w:rsid w:val="00694843"/>
    <w:rsid w:val="0069488F"/>
    <w:rsid w:val="0069490A"/>
    <w:rsid w:val="0069491A"/>
    <w:rsid w:val="006949A6"/>
    <w:rsid w:val="006949A7"/>
    <w:rsid w:val="00694A7C"/>
    <w:rsid w:val="00694ACE"/>
    <w:rsid w:val="00694CF3"/>
    <w:rsid w:val="00694DC2"/>
    <w:rsid w:val="00694E0E"/>
    <w:rsid w:val="0069505B"/>
    <w:rsid w:val="006952B1"/>
    <w:rsid w:val="006952D3"/>
    <w:rsid w:val="006952F2"/>
    <w:rsid w:val="00695328"/>
    <w:rsid w:val="00695628"/>
    <w:rsid w:val="00695652"/>
    <w:rsid w:val="00695730"/>
    <w:rsid w:val="006957FD"/>
    <w:rsid w:val="0069583E"/>
    <w:rsid w:val="006958C0"/>
    <w:rsid w:val="006958E2"/>
    <w:rsid w:val="00695986"/>
    <w:rsid w:val="00695AD1"/>
    <w:rsid w:val="00695AF0"/>
    <w:rsid w:val="00695AFB"/>
    <w:rsid w:val="00695B25"/>
    <w:rsid w:val="00695C36"/>
    <w:rsid w:val="00695C97"/>
    <w:rsid w:val="00695DD4"/>
    <w:rsid w:val="00695E23"/>
    <w:rsid w:val="00695F03"/>
    <w:rsid w:val="00695F3C"/>
    <w:rsid w:val="00695F4A"/>
    <w:rsid w:val="00695F68"/>
    <w:rsid w:val="00695FF2"/>
    <w:rsid w:val="006961AE"/>
    <w:rsid w:val="006961E8"/>
    <w:rsid w:val="0069637A"/>
    <w:rsid w:val="006964DE"/>
    <w:rsid w:val="0069653B"/>
    <w:rsid w:val="0069671D"/>
    <w:rsid w:val="0069678B"/>
    <w:rsid w:val="006969B6"/>
    <w:rsid w:val="006969C9"/>
    <w:rsid w:val="006969D3"/>
    <w:rsid w:val="006969F8"/>
    <w:rsid w:val="00696A16"/>
    <w:rsid w:val="00696AB7"/>
    <w:rsid w:val="00696AD0"/>
    <w:rsid w:val="00696D14"/>
    <w:rsid w:val="00696D23"/>
    <w:rsid w:val="00696D73"/>
    <w:rsid w:val="00696E87"/>
    <w:rsid w:val="00696EDE"/>
    <w:rsid w:val="00696F28"/>
    <w:rsid w:val="00696F4C"/>
    <w:rsid w:val="00696F90"/>
    <w:rsid w:val="0069703E"/>
    <w:rsid w:val="006970B1"/>
    <w:rsid w:val="0069710B"/>
    <w:rsid w:val="0069726B"/>
    <w:rsid w:val="0069732F"/>
    <w:rsid w:val="0069738B"/>
    <w:rsid w:val="00697492"/>
    <w:rsid w:val="006974EE"/>
    <w:rsid w:val="006975D9"/>
    <w:rsid w:val="00697621"/>
    <w:rsid w:val="00697696"/>
    <w:rsid w:val="00697711"/>
    <w:rsid w:val="00697868"/>
    <w:rsid w:val="00697893"/>
    <w:rsid w:val="00697A38"/>
    <w:rsid w:val="00697C2A"/>
    <w:rsid w:val="00697DC5"/>
    <w:rsid w:val="00697DD0"/>
    <w:rsid w:val="00697DD1"/>
    <w:rsid w:val="00697E44"/>
    <w:rsid w:val="00697EBA"/>
    <w:rsid w:val="006A0168"/>
    <w:rsid w:val="006A0267"/>
    <w:rsid w:val="006A03E6"/>
    <w:rsid w:val="006A0439"/>
    <w:rsid w:val="006A04D9"/>
    <w:rsid w:val="006A0541"/>
    <w:rsid w:val="006A05DA"/>
    <w:rsid w:val="006A0613"/>
    <w:rsid w:val="006A0676"/>
    <w:rsid w:val="006A0695"/>
    <w:rsid w:val="006A0803"/>
    <w:rsid w:val="006A0928"/>
    <w:rsid w:val="006A09C1"/>
    <w:rsid w:val="006A0A04"/>
    <w:rsid w:val="006A0AB1"/>
    <w:rsid w:val="006A0B23"/>
    <w:rsid w:val="006A0BD9"/>
    <w:rsid w:val="006A0CFA"/>
    <w:rsid w:val="006A0D2F"/>
    <w:rsid w:val="006A0D44"/>
    <w:rsid w:val="006A0F1E"/>
    <w:rsid w:val="006A0F8F"/>
    <w:rsid w:val="006A0FC0"/>
    <w:rsid w:val="006A105B"/>
    <w:rsid w:val="006A1093"/>
    <w:rsid w:val="006A10E2"/>
    <w:rsid w:val="006A133E"/>
    <w:rsid w:val="006A13B6"/>
    <w:rsid w:val="006A13D8"/>
    <w:rsid w:val="006A13DA"/>
    <w:rsid w:val="006A144E"/>
    <w:rsid w:val="006A1462"/>
    <w:rsid w:val="006A1552"/>
    <w:rsid w:val="006A157B"/>
    <w:rsid w:val="006A15B0"/>
    <w:rsid w:val="006A166D"/>
    <w:rsid w:val="006A16C1"/>
    <w:rsid w:val="006A18A1"/>
    <w:rsid w:val="006A18E3"/>
    <w:rsid w:val="006A1A35"/>
    <w:rsid w:val="006A1ADB"/>
    <w:rsid w:val="006A1BE5"/>
    <w:rsid w:val="006A1C2B"/>
    <w:rsid w:val="006A1C32"/>
    <w:rsid w:val="006A1C67"/>
    <w:rsid w:val="006A1CA3"/>
    <w:rsid w:val="006A1D12"/>
    <w:rsid w:val="006A1E12"/>
    <w:rsid w:val="006A1F71"/>
    <w:rsid w:val="006A1FE5"/>
    <w:rsid w:val="006A229C"/>
    <w:rsid w:val="006A22BF"/>
    <w:rsid w:val="006A22F3"/>
    <w:rsid w:val="006A2388"/>
    <w:rsid w:val="006A2390"/>
    <w:rsid w:val="006A23AB"/>
    <w:rsid w:val="006A2428"/>
    <w:rsid w:val="006A2572"/>
    <w:rsid w:val="006A260E"/>
    <w:rsid w:val="006A2627"/>
    <w:rsid w:val="006A26B0"/>
    <w:rsid w:val="006A272D"/>
    <w:rsid w:val="006A275F"/>
    <w:rsid w:val="006A276F"/>
    <w:rsid w:val="006A27C6"/>
    <w:rsid w:val="006A29C7"/>
    <w:rsid w:val="006A29FE"/>
    <w:rsid w:val="006A2A72"/>
    <w:rsid w:val="006A2A99"/>
    <w:rsid w:val="006A2B87"/>
    <w:rsid w:val="006A2C12"/>
    <w:rsid w:val="006A2C5C"/>
    <w:rsid w:val="006A2CC7"/>
    <w:rsid w:val="006A2D94"/>
    <w:rsid w:val="006A2EC8"/>
    <w:rsid w:val="006A2EF7"/>
    <w:rsid w:val="006A2F73"/>
    <w:rsid w:val="006A303C"/>
    <w:rsid w:val="006A3179"/>
    <w:rsid w:val="006A3246"/>
    <w:rsid w:val="006A3254"/>
    <w:rsid w:val="006A3389"/>
    <w:rsid w:val="006A33FC"/>
    <w:rsid w:val="006A346F"/>
    <w:rsid w:val="006A34CC"/>
    <w:rsid w:val="006A35C2"/>
    <w:rsid w:val="006A3658"/>
    <w:rsid w:val="006A388B"/>
    <w:rsid w:val="006A38AA"/>
    <w:rsid w:val="006A38C5"/>
    <w:rsid w:val="006A39C2"/>
    <w:rsid w:val="006A3A22"/>
    <w:rsid w:val="006A3A70"/>
    <w:rsid w:val="006A3E99"/>
    <w:rsid w:val="006A3EB8"/>
    <w:rsid w:val="006A4014"/>
    <w:rsid w:val="006A4077"/>
    <w:rsid w:val="006A4178"/>
    <w:rsid w:val="006A4183"/>
    <w:rsid w:val="006A41CE"/>
    <w:rsid w:val="006A41F2"/>
    <w:rsid w:val="006A4209"/>
    <w:rsid w:val="006A42A6"/>
    <w:rsid w:val="006A4339"/>
    <w:rsid w:val="006A4379"/>
    <w:rsid w:val="006A438C"/>
    <w:rsid w:val="006A43B0"/>
    <w:rsid w:val="006A4482"/>
    <w:rsid w:val="006A44C4"/>
    <w:rsid w:val="006A44C6"/>
    <w:rsid w:val="006A459D"/>
    <w:rsid w:val="006A45B4"/>
    <w:rsid w:val="006A45BA"/>
    <w:rsid w:val="006A462C"/>
    <w:rsid w:val="006A463A"/>
    <w:rsid w:val="006A465E"/>
    <w:rsid w:val="006A46C0"/>
    <w:rsid w:val="006A46D7"/>
    <w:rsid w:val="006A46E1"/>
    <w:rsid w:val="006A47F1"/>
    <w:rsid w:val="006A4981"/>
    <w:rsid w:val="006A4A6A"/>
    <w:rsid w:val="006A4A9A"/>
    <w:rsid w:val="006A4AD3"/>
    <w:rsid w:val="006A4BAA"/>
    <w:rsid w:val="006A4BBC"/>
    <w:rsid w:val="006A4BC8"/>
    <w:rsid w:val="006A4C41"/>
    <w:rsid w:val="006A4D69"/>
    <w:rsid w:val="006A4D94"/>
    <w:rsid w:val="006A4E29"/>
    <w:rsid w:val="006A4E4A"/>
    <w:rsid w:val="006A4E50"/>
    <w:rsid w:val="006A4EE5"/>
    <w:rsid w:val="006A4F56"/>
    <w:rsid w:val="006A4F71"/>
    <w:rsid w:val="006A4FDC"/>
    <w:rsid w:val="006A50D1"/>
    <w:rsid w:val="006A50F8"/>
    <w:rsid w:val="006A5130"/>
    <w:rsid w:val="006A5176"/>
    <w:rsid w:val="006A5285"/>
    <w:rsid w:val="006A544D"/>
    <w:rsid w:val="006A55AB"/>
    <w:rsid w:val="006A56C1"/>
    <w:rsid w:val="006A5916"/>
    <w:rsid w:val="006A5922"/>
    <w:rsid w:val="006A5B09"/>
    <w:rsid w:val="006A5B16"/>
    <w:rsid w:val="006A5B9A"/>
    <w:rsid w:val="006A5BF5"/>
    <w:rsid w:val="006A5C47"/>
    <w:rsid w:val="006A5D08"/>
    <w:rsid w:val="006A5D66"/>
    <w:rsid w:val="006A5D78"/>
    <w:rsid w:val="006A5E66"/>
    <w:rsid w:val="006A5F48"/>
    <w:rsid w:val="006A6040"/>
    <w:rsid w:val="006A606B"/>
    <w:rsid w:val="006A60AC"/>
    <w:rsid w:val="006A6293"/>
    <w:rsid w:val="006A62FA"/>
    <w:rsid w:val="006A6378"/>
    <w:rsid w:val="006A63AA"/>
    <w:rsid w:val="006A63B6"/>
    <w:rsid w:val="006A6438"/>
    <w:rsid w:val="006A6448"/>
    <w:rsid w:val="006A6550"/>
    <w:rsid w:val="006A65DC"/>
    <w:rsid w:val="006A6602"/>
    <w:rsid w:val="006A6608"/>
    <w:rsid w:val="006A6659"/>
    <w:rsid w:val="006A668F"/>
    <w:rsid w:val="006A670E"/>
    <w:rsid w:val="006A682C"/>
    <w:rsid w:val="006A686C"/>
    <w:rsid w:val="006A68E1"/>
    <w:rsid w:val="006A6A4D"/>
    <w:rsid w:val="006A6AA6"/>
    <w:rsid w:val="006A6BDE"/>
    <w:rsid w:val="006A6C71"/>
    <w:rsid w:val="006A6C85"/>
    <w:rsid w:val="006A6CCF"/>
    <w:rsid w:val="006A6E19"/>
    <w:rsid w:val="006A6E4A"/>
    <w:rsid w:val="006A6E6E"/>
    <w:rsid w:val="006A6F3F"/>
    <w:rsid w:val="006A6FA6"/>
    <w:rsid w:val="006A710A"/>
    <w:rsid w:val="006A724E"/>
    <w:rsid w:val="006A72C8"/>
    <w:rsid w:val="006A72F5"/>
    <w:rsid w:val="006A73EC"/>
    <w:rsid w:val="006A750D"/>
    <w:rsid w:val="006A75E7"/>
    <w:rsid w:val="006A76A0"/>
    <w:rsid w:val="006A77FB"/>
    <w:rsid w:val="006A780A"/>
    <w:rsid w:val="006A7855"/>
    <w:rsid w:val="006A7ADE"/>
    <w:rsid w:val="006A7BB8"/>
    <w:rsid w:val="006A7BC6"/>
    <w:rsid w:val="006A7BF8"/>
    <w:rsid w:val="006A7C52"/>
    <w:rsid w:val="006A7C82"/>
    <w:rsid w:val="006A7CB0"/>
    <w:rsid w:val="006A7EA2"/>
    <w:rsid w:val="006A7EFD"/>
    <w:rsid w:val="006A7F03"/>
    <w:rsid w:val="006A7F51"/>
    <w:rsid w:val="006A7F63"/>
    <w:rsid w:val="006A7F8E"/>
    <w:rsid w:val="006A7FB0"/>
    <w:rsid w:val="006B0541"/>
    <w:rsid w:val="006B0551"/>
    <w:rsid w:val="006B05B0"/>
    <w:rsid w:val="006B05DF"/>
    <w:rsid w:val="006B05F8"/>
    <w:rsid w:val="006B0679"/>
    <w:rsid w:val="006B0750"/>
    <w:rsid w:val="006B078E"/>
    <w:rsid w:val="006B07AB"/>
    <w:rsid w:val="006B09C0"/>
    <w:rsid w:val="006B09C6"/>
    <w:rsid w:val="006B09D0"/>
    <w:rsid w:val="006B0A23"/>
    <w:rsid w:val="006B0A2A"/>
    <w:rsid w:val="006B0A3A"/>
    <w:rsid w:val="006B0B2F"/>
    <w:rsid w:val="006B0D80"/>
    <w:rsid w:val="006B0E03"/>
    <w:rsid w:val="006B0E38"/>
    <w:rsid w:val="006B104F"/>
    <w:rsid w:val="006B105C"/>
    <w:rsid w:val="006B10C3"/>
    <w:rsid w:val="006B10CE"/>
    <w:rsid w:val="006B10E6"/>
    <w:rsid w:val="006B1131"/>
    <w:rsid w:val="006B1283"/>
    <w:rsid w:val="006B12F7"/>
    <w:rsid w:val="006B1342"/>
    <w:rsid w:val="006B138A"/>
    <w:rsid w:val="006B13A1"/>
    <w:rsid w:val="006B149A"/>
    <w:rsid w:val="006B14DB"/>
    <w:rsid w:val="006B14EE"/>
    <w:rsid w:val="006B1579"/>
    <w:rsid w:val="006B164B"/>
    <w:rsid w:val="006B16A1"/>
    <w:rsid w:val="006B16B1"/>
    <w:rsid w:val="006B171A"/>
    <w:rsid w:val="006B1724"/>
    <w:rsid w:val="006B1946"/>
    <w:rsid w:val="006B1A04"/>
    <w:rsid w:val="006B1A3E"/>
    <w:rsid w:val="006B1AA7"/>
    <w:rsid w:val="006B1AC3"/>
    <w:rsid w:val="006B1B48"/>
    <w:rsid w:val="006B1B55"/>
    <w:rsid w:val="006B1B98"/>
    <w:rsid w:val="006B1E12"/>
    <w:rsid w:val="006B1F4A"/>
    <w:rsid w:val="006B1F8E"/>
    <w:rsid w:val="006B2022"/>
    <w:rsid w:val="006B2041"/>
    <w:rsid w:val="006B20FC"/>
    <w:rsid w:val="006B218F"/>
    <w:rsid w:val="006B2249"/>
    <w:rsid w:val="006B22CB"/>
    <w:rsid w:val="006B23C8"/>
    <w:rsid w:val="006B247E"/>
    <w:rsid w:val="006B25C9"/>
    <w:rsid w:val="006B2602"/>
    <w:rsid w:val="006B265A"/>
    <w:rsid w:val="006B2769"/>
    <w:rsid w:val="006B2788"/>
    <w:rsid w:val="006B27A5"/>
    <w:rsid w:val="006B2802"/>
    <w:rsid w:val="006B28A1"/>
    <w:rsid w:val="006B29C7"/>
    <w:rsid w:val="006B2BE6"/>
    <w:rsid w:val="006B2D1A"/>
    <w:rsid w:val="006B2D9F"/>
    <w:rsid w:val="006B2DC4"/>
    <w:rsid w:val="006B2E43"/>
    <w:rsid w:val="006B2EE2"/>
    <w:rsid w:val="006B316A"/>
    <w:rsid w:val="006B3193"/>
    <w:rsid w:val="006B31AE"/>
    <w:rsid w:val="006B3255"/>
    <w:rsid w:val="006B3297"/>
    <w:rsid w:val="006B3330"/>
    <w:rsid w:val="006B341D"/>
    <w:rsid w:val="006B3493"/>
    <w:rsid w:val="006B363B"/>
    <w:rsid w:val="006B3691"/>
    <w:rsid w:val="006B3799"/>
    <w:rsid w:val="006B37AA"/>
    <w:rsid w:val="006B3856"/>
    <w:rsid w:val="006B390A"/>
    <w:rsid w:val="006B3A38"/>
    <w:rsid w:val="006B3A6B"/>
    <w:rsid w:val="006B3A73"/>
    <w:rsid w:val="006B3ABB"/>
    <w:rsid w:val="006B3B28"/>
    <w:rsid w:val="006B3BF9"/>
    <w:rsid w:val="006B3C23"/>
    <w:rsid w:val="006B3D79"/>
    <w:rsid w:val="006B3DF2"/>
    <w:rsid w:val="006B3E86"/>
    <w:rsid w:val="006B3F75"/>
    <w:rsid w:val="006B3FCD"/>
    <w:rsid w:val="006B3FFE"/>
    <w:rsid w:val="006B409F"/>
    <w:rsid w:val="006B411F"/>
    <w:rsid w:val="006B42B8"/>
    <w:rsid w:val="006B4325"/>
    <w:rsid w:val="006B433A"/>
    <w:rsid w:val="006B43F3"/>
    <w:rsid w:val="006B43FA"/>
    <w:rsid w:val="006B45DF"/>
    <w:rsid w:val="006B4620"/>
    <w:rsid w:val="006B471E"/>
    <w:rsid w:val="006B4803"/>
    <w:rsid w:val="006B4883"/>
    <w:rsid w:val="006B496F"/>
    <w:rsid w:val="006B4A20"/>
    <w:rsid w:val="006B4AAF"/>
    <w:rsid w:val="006B4B8F"/>
    <w:rsid w:val="006B4BF2"/>
    <w:rsid w:val="006B4BF5"/>
    <w:rsid w:val="006B4CE4"/>
    <w:rsid w:val="006B4DC3"/>
    <w:rsid w:val="006B4EA3"/>
    <w:rsid w:val="006B4F29"/>
    <w:rsid w:val="006B4F54"/>
    <w:rsid w:val="006B4F77"/>
    <w:rsid w:val="006B50D1"/>
    <w:rsid w:val="006B5160"/>
    <w:rsid w:val="006B516B"/>
    <w:rsid w:val="006B519A"/>
    <w:rsid w:val="006B51D7"/>
    <w:rsid w:val="006B5350"/>
    <w:rsid w:val="006B53A3"/>
    <w:rsid w:val="006B5407"/>
    <w:rsid w:val="006B5466"/>
    <w:rsid w:val="006B5472"/>
    <w:rsid w:val="006B548E"/>
    <w:rsid w:val="006B54EA"/>
    <w:rsid w:val="006B5505"/>
    <w:rsid w:val="006B5564"/>
    <w:rsid w:val="006B55B2"/>
    <w:rsid w:val="006B55E9"/>
    <w:rsid w:val="006B5697"/>
    <w:rsid w:val="006B5764"/>
    <w:rsid w:val="006B582F"/>
    <w:rsid w:val="006B58B9"/>
    <w:rsid w:val="006B59EF"/>
    <w:rsid w:val="006B59FD"/>
    <w:rsid w:val="006B5A64"/>
    <w:rsid w:val="006B5B27"/>
    <w:rsid w:val="006B5C37"/>
    <w:rsid w:val="006B5D52"/>
    <w:rsid w:val="006B5DB6"/>
    <w:rsid w:val="006B5DD9"/>
    <w:rsid w:val="006B5EAA"/>
    <w:rsid w:val="006B6018"/>
    <w:rsid w:val="006B61DB"/>
    <w:rsid w:val="006B633E"/>
    <w:rsid w:val="006B636D"/>
    <w:rsid w:val="006B6454"/>
    <w:rsid w:val="006B661A"/>
    <w:rsid w:val="006B66E9"/>
    <w:rsid w:val="006B671C"/>
    <w:rsid w:val="006B6754"/>
    <w:rsid w:val="006B67A4"/>
    <w:rsid w:val="006B6859"/>
    <w:rsid w:val="006B68A3"/>
    <w:rsid w:val="006B68AE"/>
    <w:rsid w:val="006B690E"/>
    <w:rsid w:val="006B6929"/>
    <w:rsid w:val="006B6974"/>
    <w:rsid w:val="006B6A06"/>
    <w:rsid w:val="006B6AF2"/>
    <w:rsid w:val="006B6B18"/>
    <w:rsid w:val="006B6B6B"/>
    <w:rsid w:val="006B6C1E"/>
    <w:rsid w:val="006B6C35"/>
    <w:rsid w:val="006B6C94"/>
    <w:rsid w:val="006B6CAF"/>
    <w:rsid w:val="006B6CD8"/>
    <w:rsid w:val="006B6CEA"/>
    <w:rsid w:val="006B6D37"/>
    <w:rsid w:val="006B6DDD"/>
    <w:rsid w:val="006B701B"/>
    <w:rsid w:val="006B722E"/>
    <w:rsid w:val="006B724D"/>
    <w:rsid w:val="006B7256"/>
    <w:rsid w:val="006B7356"/>
    <w:rsid w:val="006B73A0"/>
    <w:rsid w:val="006B73AD"/>
    <w:rsid w:val="006B743D"/>
    <w:rsid w:val="006B7476"/>
    <w:rsid w:val="006B74F5"/>
    <w:rsid w:val="006B7584"/>
    <w:rsid w:val="006B75A4"/>
    <w:rsid w:val="006B75EA"/>
    <w:rsid w:val="006B7702"/>
    <w:rsid w:val="006B7779"/>
    <w:rsid w:val="006B77C5"/>
    <w:rsid w:val="006B782F"/>
    <w:rsid w:val="006B7923"/>
    <w:rsid w:val="006B799C"/>
    <w:rsid w:val="006B79B4"/>
    <w:rsid w:val="006B7A69"/>
    <w:rsid w:val="006B7AC6"/>
    <w:rsid w:val="006B7B12"/>
    <w:rsid w:val="006B7B28"/>
    <w:rsid w:val="006B7B87"/>
    <w:rsid w:val="006B7BF7"/>
    <w:rsid w:val="006B7CAA"/>
    <w:rsid w:val="006B7DB0"/>
    <w:rsid w:val="006B7E28"/>
    <w:rsid w:val="006B7EE9"/>
    <w:rsid w:val="006B7F81"/>
    <w:rsid w:val="006C0039"/>
    <w:rsid w:val="006C0062"/>
    <w:rsid w:val="006C0083"/>
    <w:rsid w:val="006C0085"/>
    <w:rsid w:val="006C00D8"/>
    <w:rsid w:val="006C0206"/>
    <w:rsid w:val="006C028E"/>
    <w:rsid w:val="006C02C6"/>
    <w:rsid w:val="006C0313"/>
    <w:rsid w:val="006C032E"/>
    <w:rsid w:val="006C0338"/>
    <w:rsid w:val="006C0488"/>
    <w:rsid w:val="006C069A"/>
    <w:rsid w:val="006C06CF"/>
    <w:rsid w:val="006C0730"/>
    <w:rsid w:val="006C08FC"/>
    <w:rsid w:val="006C099F"/>
    <w:rsid w:val="006C09BC"/>
    <w:rsid w:val="006C0A02"/>
    <w:rsid w:val="006C0BF2"/>
    <w:rsid w:val="006C0D70"/>
    <w:rsid w:val="006C0E4F"/>
    <w:rsid w:val="006C0FD5"/>
    <w:rsid w:val="006C1055"/>
    <w:rsid w:val="006C10BC"/>
    <w:rsid w:val="006C10CC"/>
    <w:rsid w:val="006C11B0"/>
    <w:rsid w:val="006C1222"/>
    <w:rsid w:val="006C12EE"/>
    <w:rsid w:val="006C1439"/>
    <w:rsid w:val="006C1453"/>
    <w:rsid w:val="006C1566"/>
    <w:rsid w:val="006C1652"/>
    <w:rsid w:val="006C1664"/>
    <w:rsid w:val="006C16F3"/>
    <w:rsid w:val="006C175C"/>
    <w:rsid w:val="006C19BC"/>
    <w:rsid w:val="006C19BE"/>
    <w:rsid w:val="006C1A0D"/>
    <w:rsid w:val="006C1ABE"/>
    <w:rsid w:val="006C1ACB"/>
    <w:rsid w:val="006C1BD9"/>
    <w:rsid w:val="006C1CFC"/>
    <w:rsid w:val="006C1D19"/>
    <w:rsid w:val="006C1DB7"/>
    <w:rsid w:val="006C2055"/>
    <w:rsid w:val="006C205E"/>
    <w:rsid w:val="006C2177"/>
    <w:rsid w:val="006C21A9"/>
    <w:rsid w:val="006C21C0"/>
    <w:rsid w:val="006C223D"/>
    <w:rsid w:val="006C2299"/>
    <w:rsid w:val="006C22D3"/>
    <w:rsid w:val="006C2305"/>
    <w:rsid w:val="006C2314"/>
    <w:rsid w:val="006C235B"/>
    <w:rsid w:val="006C2382"/>
    <w:rsid w:val="006C23F2"/>
    <w:rsid w:val="006C2402"/>
    <w:rsid w:val="006C24C2"/>
    <w:rsid w:val="006C2574"/>
    <w:rsid w:val="006C25BC"/>
    <w:rsid w:val="006C2649"/>
    <w:rsid w:val="006C264C"/>
    <w:rsid w:val="006C27E7"/>
    <w:rsid w:val="006C291A"/>
    <w:rsid w:val="006C2974"/>
    <w:rsid w:val="006C2A0B"/>
    <w:rsid w:val="006C2AF8"/>
    <w:rsid w:val="006C2B17"/>
    <w:rsid w:val="006C2B18"/>
    <w:rsid w:val="006C2B81"/>
    <w:rsid w:val="006C2BF9"/>
    <w:rsid w:val="006C2C58"/>
    <w:rsid w:val="006C2DF3"/>
    <w:rsid w:val="006C2F05"/>
    <w:rsid w:val="006C2F8B"/>
    <w:rsid w:val="006C2F93"/>
    <w:rsid w:val="006C3038"/>
    <w:rsid w:val="006C30DF"/>
    <w:rsid w:val="006C3102"/>
    <w:rsid w:val="006C3109"/>
    <w:rsid w:val="006C32E9"/>
    <w:rsid w:val="006C3422"/>
    <w:rsid w:val="006C3468"/>
    <w:rsid w:val="006C34CE"/>
    <w:rsid w:val="006C34F7"/>
    <w:rsid w:val="006C3516"/>
    <w:rsid w:val="006C3551"/>
    <w:rsid w:val="006C35F0"/>
    <w:rsid w:val="006C3605"/>
    <w:rsid w:val="006C3639"/>
    <w:rsid w:val="006C390B"/>
    <w:rsid w:val="006C393B"/>
    <w:rsid w:val="006C399C"/>
    <w:rsid w:val="006C3A7B"/>
    <w:rsid w:val="006C3B50"/>
    <w:rsid w:val="006C3BCC"/>
    <w:rsid w:val="006C3E45"/>
    <w:rsid w:val="006C3EBF"/>
    <w:rsid w:val="006C3F20"/>
    <w:rsid w:val="006C3F21"/>
    <w:rsid w:val="006C3F8A"/>
    <w:rsid w:val="006C3FBF"/>
    <w:rsid w:val="006C3FE7"/>
    <w:rsid w:val="006C4023"/>
    <w:rsid w:val="006C4067"/>
    <w:rsid w:val="006C4096"/>
    <w:rsid w:val="006C4108"/>
    <w:rsid w:val="006C41B0"/>
    <w:rsid w:val="006C41BB"/>
    <w:rsid w:val="006C42BF"/>
    <w:rsid w:val="006C438A"/>
    <w:rsid w:val="006C455D"/>
    <w:rsid w:val="006C45C7"/>
    <w:rsid w:val="006C468F"/>
    <w:rsid w:val="006C46F6"/>
    <w:rsid w:val="006C4762"/>
    <w:rsid w:val="006C4781"/>
    <w:rsid w:val="006C47BB"/>
    <w:rsid w:val="006C47D6"/>
    <w:rsid w:val="006C4836"/>
    <w:rsid w:val="006C48BF"/>
    <w:rsid w:val="006C495C"/>
    <w:rsid w:val="006C49F8"/>
    <w:rsid w:val="006C4BB1"/>
    <w:rsid w:val="006C4C28"/>
    <w:rsid w:val="006C4C59"/>
    <w:rsid w:val="006C4E0C"/>
    <w:rsid w:val="006C4E63"/>
    <w:rsid w:val="006C4E7A"/>
    <w:rsid w:val="006C4F79"/>
    <w:rsid w:val="006C501A"/>
    <w:rsid w:val="006C506A"/>
    <w:rsid w:val="006C50AE"/>
    <w:rsid w:val="006C50FC"/>
    <w:rsid w:val="006C51D4"/>
    <w:rsid w:val="006C5378"/>
    <w:rsid w:val="006C539D"/>
    <w:rsid w:val="006C53A7"/>
    <w:rsid w:val="006C53F8"/>
    <w:rsid w:val="006C542A"/>
    <w:rsid w:val="006C542F"/>
    <w:rsid w:val="006C54EB"/>
    <w:rsid w:val="006C5770"/>
    <w:rsid w:val="006C5782"/>
    <w:rsid w:val="006C57C1"/>
    <w:rsid w:val="006C57F2"/>
    <w:rsid w:val="006C57FC"/>
    <w:rsid w:val="006C5819"/>
    <w:rsid w:val="006C5844"/>
    <w:rsid w:val="006C584C"/>
    <w:rsid w:val="006C58A7"/>
    <w:rsid w:val="006C58E6"/>
    <w:rsid w:val="006C58FD"/>
    <w:rsid w:val="006C59D5"/>
    <w:rsid w:val="006C5AC9"/>
    <w:rsid w:val="006C5B42"/>
    <w:rsid w:val="006C5C4A"/>
    <w:rsid w:val="006C5D1E"/>
    <w:rsid w:val="006C5D70"/>
    <w:rsid w:val="006C5D97"/>
    <w:rsid w:val="006C5F49"/>
    <w:rsid w:val="006C5F95"/>
    <w:rsid w:val="006C5F96"/>
    <w:rsid w:val="006C5FDE"/>
    <w:rsid w:val="006C5FED"/>
    <w:rsid w:val="006C604A"/>
    <w:rsid w:val="006C6107"/>
    <w:rsid w:val="006C6139"/>
    <w:rsid w:val="006C61E2"/>
    <w:rsid w:val="006C6264"/>
    <w:rsid w:val="006C627A"/>
    <w:rsid w:val="006C62CC"/>
    <w:rsid w:val="006C63CF"/>
    <w:rsid w:val="006C63E4"/>
    <w:rsid w:val="006C65AE"/>
    <w:rsid w:val="006C66C4"/>
    <w:rsid w:val="006C6708"/>
    <w:rsid w:val="006C680F"/>
    <w:rsid w:val="006C6883"/>
    <w:rsid w:val="006C6912"/>
    <w:rsid w:val="006C6932"/>
    <w:rsid w:val="006C6A1A"/>
    <w:rsid w:val="006C6A2C"/>
    <w:rsid w:val="006C6B56"/>
    <w:rsid w:val="006C6B80"/>
    <w:rsid w:val="006C6BBA"/>
    <w:rsid w:val="006C6C8E"/>
    <w:rsid w:val="006C6D06"/>
    <w:rsid w:val="006C6E28"/>
    <w:rsid w:val="006C6E5B"/>
    <w:rsid w:val="006C6EC5"/>
    <w:rsid w:val="006C6F74"/>
    <w:rsid w:val="006C6FA3"/>
    <w:rsid w:val="006C7003"/>
    <w:rsid w:val="006C72F4"/>
    <w:rsid w:val="006C73B3"/>
    <w:rsid w:val="006C7413"/>
    <w:rsid w:val="006C7444"/>
    <w:rsid w:val="006C756F"/>
    <w:rsid w:val="006C75AF"/>
    <w:rsid w:val="006C760A"/>
    <w:rsid w:val="006C76B8"/>
    <w:rsid w:val="006C76BA"/>
    <w:rsid w:val="006C7798"/>
    <w:rsid w:val="006C77E7"/>
    <w:rsid w:val="006C78B5"/>
    <w:rsid w:val="006C78E4"/>
    <w:rsid w:val="006C7926"/>
    <w:rsid w:val="006C7987"/>
    <w:rsid w:val="006C79AB"/>
    <w:rsid w:val="006C7A2C"/>
    <w:rsid w:val="006C7A43"/>
    <w:rsid w:val="006C7BB3"/>
    <w:rsid w:val="006C7BD1"/>
    <w:rsid w:val="006C7C31"/>
    <w:rsid w:val="006C7C39"/>
    <w:rsid w:val="006C7CD9"/>
    <w:rsid w:val="006C7DCF"/>
    <w:rsid w:val="006C7E9E"/>
    <w:rsid w:val="006C7EA6"/>
    <w:rsid w:val="006C7EAD"/>
    <w:rsid w:val="006C7EBA"/>
    <w:rsid w:val="006C7FDE"/>
    <w:rsid w:val="006D002F"/>
    <w:rsid w:val="006D0055"/>
    <w:rsid w:val="006D00AD"/>
    <w:rsid w:val="006D0172"/>
    <w:rsid w:val="006D0247"/>
    <w:rsid w:val="006D02EC"/>
    <w:rsid w:val="006D043F"/>
    <w:rsid w:val="006D0472"/>
    <w:rsid w:val="006D04D0"/>
    <w:rsid w:val="006D07D6"/>
    <w:rsid w:val="006D0818"/>
    <w:rsid w:val="006D081F"/>
    <w:rsid w:val="006D0856"/>
    <w:rsid w:val="006D0869"/>
    <w:rsid w:val="006D093A"/>
    <w:rsid w:val="006D09D5"/>
    <w:rsid w:val="006D09F5"/>
    <w:rsid w:val="006D0A26"/>
    <w:rsid w:val="006D0A2D"/>
    <w:rsid w:val="006D0BA0"/>
    <w:rsid w:val="006D0C8A"/>
    <w:rsid w:val="006D0D21"/>
    <w:rsid w:val="006D0D33"/>
    <w:rsid w:val="006D0D7A"/>
    <w:rsid w:val="006D0E3C"/>
    <w:rsid w:val="006D0EB5"/>
    <w:rsid w:val="006D102D"/>
    <w:rsid w:val="006D1047"/>
    <w:rsid w:val="006D104E"/>
    <w:rsid w:val="006D10BF"/>
    <w:rsid w:val="006D122C"/>
    <w:rsid w:val="006D128A"/>
    <w:rsid w:val="006D12D1"/>
    <w:rsid w:val="006D14CC"/>
    <w:rsid w:val="006D14D9"/>
    <w:rsid w:val="006D1682"/>
    <w:rsid w:val="006D1699"/>
    <w:rsid w:val="006D16C4"/>
    <w:rsid w:val="006D1780"/>
    <w:rsid w:val="006D17E3"/>
    <w:rsid w:val="006D1854"/>
    <w:rsid w:val="006D191B"/>
    <w:rsid w:val="006D1986"/>
    <w:rsid w:val="006D19D4"/>
    <w:rsid w:val="006D1A0F"/>
    <w:rsid w:val="006D1A79"/>
    <w:rsid w:val="006D1BB1"/>
    <w:rsid w:val="006D1BFC"/>
    <w:rsid w:val="006D1CB0"/>
    <w:rsid w:val="006D1D94"/>
    <w:rsid w:val="006D1E24"/>
    <w:rsid w:val="006D1F31"/>
    <w:rsid w:val="006D1F67"/>
    <w:rsid w:val="006D1F94"/>
    <w:rsid w:val="006D20C8"/>
    <w:rsid w:val="006D21AA"/>
    <w:rsid w:val="006D222A"/>
    <w:rsid w:val="006D22DA"/>
    <w:rsid w:val="006D2312"/>
    <w:rsid w:val="006D24B6"/>
    <w:rsid w:val="006D2514"/>
    <w:rsid w:val="006D2720"/>
    <w:rsid w:val="006D2754"/>
    <w:rsid w:val="006D2817"/>
    <w:rsid w:val="006D28C8"/>
    <w:rsid w:val="006D293F"/>
    <w:rsid w:val="006D2967"/>
    <w:rsid w:val="006D2B05"/>
    <w:rsid w:val="006D2B16"/>
    <w:rsid w:val="006D2BB9"/>
    <w:rsid w:val="006D2C19"/>
    <w:rsid w:val="006D2C7C"/>
    <w:rsid w:val="006D2D18"/>
    <w:rsid w:val="006D2E21"/>
    <w:rsid w:val="006D2EF1"/>
    <w:rsid w:val="006D2F7A"/>
    <w:rsid w:val="006D2FF2"/>
    <w:rsid w:val="006D3149"/>
    <w:rsid w:val="006D3179"/>
    <w:rsid w:val="006D31C0"/>
    <w:rsid w:val="006D31C8"/>
    <w:rsid w:val="006D33C5"/>
    <w:rsid w:val="006D33CE"/>
    <w:rsid w:val="006D3422"/>
    <w:rsid w:val="006D3435"/>
    <w:rsid w:val="006D35C5"/>
    <w:rsid w:val="006D35FA"/>
    <w:rsid w:val="006D3646"/>
    <w:rsid w:val="006D37A1"/>
    <w:rsid w:val="006D37B7"/>
    <w:rsid w:val="006D37D9"/>
    <w:rsid w:val="006D37F7"/>
    <w:rsid w:val="006D3872"/>
    <w:rsid w:val="006D38A5"/>
    <w:rsid w:val="006D391F"/>
    <w:rsid w:val="006D3A07"/>
    <w:rsid w:val="006D3B05"/>
    <w:rsid w:val="006D3B19"/>
    <w:rsid w:val="006D3B26"/>
    <w:rsid w:val="006D3BCE"/>
    <w:rsid w:val="006D3C97"/>
    <w:rsid w:val="006D3DF3"/>
    <w:rsid w:val="006D3EFE"/>
    <w:rsid w:val="006D3F1A"/>
    <w:rsid w:val="006D3F1B"/>
    <w:rsid w:val="006D3F99"/>
    <w:rsid w:val="006D4091"/>
    <w:rsid w:val="006D4193"/>
    <w:rsid w:val="006D4207"/>
    <w:rsid w:val="006D421B"/>
    <w:rsid w:val="006D4291"/>
    <w:rsid w:val="006D4301"/>
    <w:rsid w:val="006D442D"/>
    <w:rsid w:val="006D4430"/>
    <w:rsid w:val="006D4557"/>
    <w:rsid w:val="006D4613"/>
    <w:rsid w:val="006D461B"/>
    <w:rsid w:val="006D4632"/>
    <w:rsid w:val="006D4701"/>
    <w:rsid w:val="006D4783"/>
    <w:rsid w:val="006D482E"/>
    <w:rsid w:val="006D485D"/>
    <w:rsid w:val="006D4878"/>
    <w:rsid w:val="006D487A"/>
    <w:rsid w:val="006D489E"/>
    <w:rsid w:val="006D494A"/>
    <w:rsid w:val="006D49EB"/>
    <w:rsid w:val="006D49F7"/>
    <w:rsid w:val="006D4A6F"/>
    <w:rsid w:val="006D4ADC"/>
    <w:rsid w:val="006D4B1D"/>
    <w:rsid w:val="006D4BC6"/>
    <w:rsid w:val="006D4BD5"/>
    <w:rsid w:val="006D4BF8"/>
    <w:rsid w:val="006D4D73"/>
    <w:rsid w:val="006D4E3E"/>
    <w:rsid w:val="006D4FF0"/>
    <w:rsid w:val="006D509E"/>
    <w:rsid w:val="006D5271"/>
    <w:rsid w:val="006D5437"/>
    <w:rsid w:val="006D5475"/>
    <w:rsid w:val="006D54A8"/>
    <w:rsid w:val="006D54C1"/>
    <w:rsid w:val="006D55BB"/>
    <w:rsid w:val="006D5605"/>
    <w:rsid w:val="006D5629"/>
    <w:rsid w:val="006D57FE"/>
    <w:rsid w:val="006D58D7"/>
    <w:rsid w:val="006D58F6"/>
    <w:rsid w:val="006D5A0D"/>
    <w:rsid w:val="006D5B7C"/>
    <w:rsid w:val="006D5B82"/>
    <w:rsid w:val="006D5D1B"/>
    <w:rsid w:val="006D5DB1"/>
    <w:rsid w:val="006D5ED4"/>
    <w:rsid w:val="006D5FF5"/>
    <w:rsid w:val="006D62E2"/>
    <w:rsid w:val="006D6370"/>
    <w:rsid w:val="006D639D"/>
    <w:rsid w:val="006D64C3"/>
    <w:rsid w:val="006D658A"/>
    <w:rsid w:val="006D6624"/>
    <w:rsid w:val="006D6643"/>
    <w:rsid w:val="006D66A1"/>
    <w:rsid w:val="006D6767"/>
    <w:rsid w:val="006D691A"/>
    <w:rsid w:val="006D693A"/>
    <w:rsid w:val="006D6A2A"/>
    <w:rsid w:val="006D6A9E"/>
    <w:rsid w:val="006D6B34"/>
    <w:rsid w:val="006D6B7D"/>
    <w:rsid w:val="006D6B87"/>
    <w:rsid w:val="006D6BC0"/>
    <w:rsid w:val="006D6D5D"/>
    <w:rsid w:val="006D6D77"/>
    <w:rsid w:val="006D6D9E"/>
    <w:rsid w:val="006D6DCD"/>
    <w:rsid w:val="006D6DDB"/>
    <w:rsid w:val="006D6EE2"/>
    <w:rsid w:val="006D6F12"/>
    <w:rsid w:val="006D6F3D"/>
    <w:rsid w:val="006D6FB7"/>
    <w:rsid w:val="006D6FC5"/>
    <w:rsid w:val="006D70BF"/>
    <w:rsid w:val="006D71A5"/>
    <w:rsid w:val="006D7287"/>
    <w:rsid w:val="006D739B"/>
    <w:rsid w:val="006D74C5"/>
    <w:rsid w:val="006D7628"/>
    <w:rsid w:val="006D76BA"/>
    <w:rsid w:val="006D76EC"/>
    <w:rsid w:val="006D77F0"/>
    <w:rsid w:val="006D77F1"/>
    <w:rsid w:val="006D7818"/>
    <w:rsid w:val="006D7870"/>
    <w:rsid w:val="006D79A8"/>
    <w:rsid w:val="006D7B95"/>
    <w:rsid w:val="006D7D38"/>
    <w:rsid w:val="006D7D62"/>
    <w:rsid w:val="006D7E38"/>
    <w:rsid w:val="006D7EF4"/>
    <w:rsid w:val="006D7F1C"/>
    <w:rsid w:val="006E013E"/>
    <w:rsid w:val="006E0179"/>
    <w:rsid w:val="006E01C0"/>
    <w:rsid w:val="006E02F6"/>
    <w:rsid w:val="006E0437"/>
    <w:rsid w:val="006E0442"/>
    <w:rsid w:val="006E047D"/>
    <w:rsid w:val="006E048A"/>
    <w:rsid w:val="006E04C7"/>
    <w:rsid w:val="006E057D"/>
    <w:rsid w:val="006E061D"/>
    <w:rsid w:val="006E0660"/>
    <w:rsid w:val="006E0837"/>
    <w:rsid w:val="006E085D"/>
    <w:rsid w:val="006E0937"/>
    <w:rsid w:val="006E09BF"/>
    <w:rsid w:val="006E09DA"/>
    <w:rsid w:val="006E09E6"/>
    <w:rsid w:val="006E0A19"/>
    <w:rsid w:val="006E0AEC"/>
    <w:rsid w:val="006E0D24"/>
    <w:rsid w:val="006E0D47"/>
    <w:rsid w:val="006E0E08"/>
    <w:rsid w:val="006E0E5D"/>
    <w:rsid w:val="006E0E81"/>
    <w:rsid w:val="006E0F78"/>
    <w:rsid w:val="006E1124"/>
    <w:rsid w:val="006E1131"/>
    <w:rsid w:val="006E11FF"/>
    <w:rsid w:val="006E127C"/>
    <w:rsid w:val="006E1289"/>
    <w:rsid w:val="006E138B"/>
    <w:rsid w:val="006E142A"/>
    <w:rsid w:val="006E1443"/>
    <w:rsid w:val="006E145F"/>
    <w:rsid w:val="006E157D"/>
    <w:rsid w:val="006E15B3"/>
    <w:rsid w:val="006E163B"/>
    <w:rsid w:val="006E1658"/>
    <w:rsid w:val="006E1689"/>
    <w:rsid w:val="006E16E2"/>
    <w:rsid w:val="006E16F4"/>
    <w:rsid w:val="006E176F"/>
    <w:rsid w:val="006E17D8"/>
    <w:rsid w:val="006E1B49"/>
    <w:rsid w:val="006E1BAB"/>
    <w:rsid w:val="006E1BB1"/>
    <w:rsid w:val="006E1C60"/>
    <w:rsid w:val="006E1CAB"/>
    <w:rsid w:val="006E1CBF"/>
    <w:rsid w:val="006E1DE6"/>
    <w:rsid w:val="006E1E65"/>
    <w:rsid w:val="006E1E7B"/>
    <w:rsid w:val="006E1E8C"/>
    <w:rsid w:val="006E1F0D"/>
    <w:rsid w:val="006E1F1E"/>
    <w:rsid w:val="006E1F9D"/>
    <w:rsid w:val="006E1FD3"/>
    <w:rsid w:val="006E20AD"/>
    <w:rsid w:val="006E2199"/>
    <w:rsid w:val="006E2218"/>
    <w:rsid w:val="006E2262"/>
    <w:rsid w:val="006E22B5"/>
    <w:rsid w:val="006E2309"/>
    <w:rsid w:val="006E231C"/>
    <w:rsid w:val="006E2342"/>
    <w:rsid w:val="006E2354"/>
    <w:rsid w:val="006E23AA"/>
    <w:rsid w:val="006E248F"/>
    <w:rsid w:val="006E2496"/>
    <w:rsid w:val="006E2549"/>
    <w:rsid w:val="006E2554"/>
    <w:rsid w:val="006E2595"/>
    <w:rsid w:val="006E25B0"/>
    <w:rsid w:val="006E25E3"/>
    <w:rsid w:val="006E26DD"/>
    <w:rsid w:val="006E27DB"/>
    <w:rsid w:val="006E2838"/>
    <w:rsid w:val="006E287F"/>
    <w:rsid w:val="006E28DA"/>
    <w:rsid w:val="006E29D8"/>
    <w:rsid w:val="006E29E2"/>
    <w:rsid w:val="006E2ABF"/>
    <w:rsid w:val="006E2B32"/>
    <w:rsid w:val="006E2BFB"/>
    <w:rsid w:val="006E2C68"/>
    <w:rsid w:val="006E2CFC"/>
    <w:rsid w:val="006E2E72"/>
    <w:rsid w:val="006E2F0B"/>
    <w:rsid w:val="006E2F1A"/>
    <w:rsid w:val="006E2F8A"/>
    <w:rsid w:val="006E301E"/>
    <w:rsid w:val="006E3057"/>
    <w:rsid w:val="006E309B"/>
    <w:rsid w:val="006E30DB"/>
    <w:rsid w:val="006E31C0"/>
    <w:rsid w:val="006E3302"/>
    <w:rsid w:val="006E330D"/>
    <w:rsid w:val="006E3317"/>
    <w:rsid w:val="006E344F"/>
    <w:rsid w:val="006E345E"/>
    <w:rsid w:val="006E35DF"/>
    <w:rsid w:val="006E36C4"/>
    <w:rsid w:val="006E383E"/>
    <w:rsid w:val="006E3970"/>
    <w:rsid w:val="006E399C"/>
    <w:rsid w:val="006E3AE3"/>
    <w:rsid w:val="006E3B39"/>
    <w:rsid w:val="006E3B40"/>
    <w:rsid w:val="006E3C44"/>
    <w:rsid w:val="006E3CA4"/>
    <w:rsid w:val="006E3E4E"/>
    <w:rsid w:val="006E3E6B"/>
    <w:rsid w:val="006E3FE8"/>
    <w:rsid w:val="006E4045"/>
    <w:rsid w:val="006E4090"/>
    <w:rsid w:val="006E4166"/>
    <w:rsid w:val="006E41AA"/>
    <w:rsid w:val="006E4239"/>
    <w:rsid w:val="006E426A"/>
    <w:rsid w:val="006E426F"/>
    <w:rsid w:val="006E4272"/>
    <w:rsid w:val="006E42B5"/>
    <w:rsid w:val="006E42EA"/>
    <w:rsid w:val="006E4316"/>
    <w:rsid w:val="006E4435"/>
    <w:rsid w:val="006E446F"/>
    <w:rsid w:val="006E4470"/>
    <w:rsid w:val="006E44D8"/>
    <w:rsid w:val="006E4525"/>
    <w:rsid w:val="006E45D3"/>
    <w:rsid w:val="006E4619"/>
    <w:rsid w:val="006E463B"/>
    <w:rsid w:val="006E4657"/>
    <w:rsid w:val="006E470F"/>
    <w:rsid w:val="006E4832"/>
    <w:rsid w:val="006E4AA2"/>
    <w:rsid w:val="006E4C70"/>
    <w:rsid w:val="006E4D3D"/>
    <w:rsid w:val="006E4EB2"/>
    <w:rsid w:val="006E4EE3"/>
    <w:rsid w:val="006E4F14"/>
    <w:rsid w:val="006E4F1D"/>
    <w:rsid w:val="006E507D"/>
    <w:rsid w:val="006E50B6"/>
    <w:rsid w:val="006E50C5"/>
    <w:rsid w:val="006E50DE"/>
    <w:rsid w:val="006E5254"/>
    <w:rsid w:val="006E52CC"/>
    <w:rsid w:val="006E52D2"/>
    <w:rsid w:val="006E5341"/>
    <w:rsid w:val="006E5387"/>
    <w:rsid w:val="006E53AE"/>
    <w:rsid w:val="006E555E"/>
    <w:rsid w:val="006E5628"/>
    <w:rsid w:val="006E5722"/>
    <w:rsid w:val="006E572E"/>
    <w:rsid w:val="006E575F"/>
    <w:rsid w:val="006E5837"/>
    <w:rsid w:val="006E5890"/>
    <w:rsid w:val="006E58A5"/>
    <w:rsid w:val="006E599C"/>
    <w:rsid w:val="006E59D9"/>
    <w:rsid w:val="006E5A5A"/>
    <w:rsid w:val="006E5A83"/>
    <w:rsid w:val="006E5B20"/>
    <w:rsid w:val="006E5B70"/>
    <w:rsid w:val="006E5D35"/>
    <w:rsid w:val="006E5D4D"/>
    <w:rsid w:val="006E5D4F"/>
    <w:rsid w:val="006E5D98"/>
    <w:rsid w:val="006E5EE3"/>
    <w:rsid w:val="006E5F15"/>
    <w:rsid w:val="006E5F47"/>
    <w:rsid w:val="006E5FA2"/>
    <w:rsid w:val="006E5FC4"/>
    <w:rsid w:val="006E603C"/>
    <w:rsid w:val="006E605F"/>
    <w:rsid w:val="006E606A"/>
    <w:rsid w:val="006E615B"/>
    <w:rsid w:val="006E622B"/>
    <w:rsid w:val="006E6320"/>
    <w:rsid w:val="006E637D"/>
    <w:rsid w:val="006E63B0"/>
    <w:rsid w:val="006E65A7"/>
    <w:rsid w:val="006E68E8"/>
    <w:rsid w:val="006E6954"/>
    <w:rsid w:val="006E6A61"/>
    <w:rsid w:val="006E6AFC"/>
    <w:rsid w:val="006E6C48"/>
    <w:rsid w:val="006E6D82"/>
    <w:rsid w:val="006E6DCF"/>
    <w:rsid w:val="006E6E22"/>
    <w:rsid w:val="006E7048"/>
    <w:rsid w:val="006E715F"/>
    <w:rsid w:val="006E724F"/>
    <w:rsid w:val="006E73C9"/>
    <w:rsid w:val="006E744C"/>
    <w:rsid w:val="006E7483"/>
    <w:rsid w:val="006E7765"/>
    <w:rsid w:val="006E7796"/>
    <w:rsid w:val="006E77CC"/>
    <w:rsid w:val="006E788E"/>
    <w:rsid w:val="006E78A8"/>
    <w:rsid w:val="006E78AA"/>
    <w:rsid w:val="006E790F"/>
    <w:rsid w:val="006E7AE7"/>
    <w:rsid w:val="006E7C78"/>
    <w:rsid w:val="006E7C7F"/>
    <w:rsid w:val="006E7D49"/>
    <w:rsid w:val="006E7D9A"/>
    <w:rsid w:val="006E7DDD"/>
    <w:rsid w:val="006E7E81"/>
    <w:rsid w:val="006E7F02"/>
    <w:rsid w:val="006E7FB3"/>
    <w:rsid w:val="006F00B5"/>
    <w:rsid w:val="006F00C8"/>
    <w:rsid w:val="006F014C"/>
    <w:rsid w:val="006F024B"/>
    <w:rsid w:val="006F0291"/>
    <w:rsid w:val="006F041A"/>
    <w:rsid w:val="006F06C9"/>
    <w:rsid w:val="006F0703"/>
    <w:rsid w:val="006F073F"/>
    <w:rsid w:val="006F074E"/>
    <w:rsid w:val="006F07F7"/>
    <w:rsid w:val="006F09E4"/>
    <w:rsid w:val="006F0A22"/>
    <w:rsid w:val="006F0A4A"/>
    <w:rsid w:val="006F0AB3"/>
    <w:rsid w:val="006F0AB5"/>
    <w:rsid w:val="006F0AC2"/>
    <w:rsid w:val="006F0BD0"/>
    <w:rsid w:val="006F0CA4"/>
    <w:rsid w:val="006F0D61"/>
    <w:rsid w:val="006F1035"/>
    <w:rsid w:val="006F104A"/>
    <w:rsid w:val="006F1067"/>
    <w:rsid w:val="006F10BE"/>
    <w:rsid w:val="006F116E"/>
    <w:rsid w:val="006F1225"/>
    <w:rsid w:val="006F1292"/>
    <w:rsid w:val="006F1390"/>
    <w:rsid w:val="006F1406"/>
    <w:rsid w:val="006F1413"/>
    <w:rsid w:val="006F1546"/>
    <w:rsid w:val="006F164D"/>
    <w:rsid w:val="006F1688"/>
    <w:rsid w:val="006F1698"/>
    <w:rsid w:val="006F17CE"/>
    <w:rsid w:val="006F18CD"/>
    <w:rsid w:val="006F196B"/>
    <w:rsid w:val="006F1AC5"/>
    <w:rsid w:val="006F1C7C"/>
    <w:rsid w:val="006F1DC6"/>
    <w:rsid w:val="006F1E01"/>
    <w:rsid w:val="006F1E82"/>
    <w:rsid w:val="006F1EDF"/>
    <w:rsid w:val="006F1F2A"/>
    <w:rsid w:val="006F2076"/>
    <w:rsid w:val="006F210C"/>
    <w:rsid w:val="006F2160"/>
    <w:rsid w:val="006F2213"/>
    <w:rsid w:val="006F2280"/>
    <w:rsid w:val="006F22B9"/>
    <w:rsid w:val="006F22FE"/>
    <w:rsid w:val="006F2302"/>
    <w:rsid w:val="006F2467"/>
    <w:rsid w:val="006F24EE"/>
    <w:rsid w:val="006F2656"/>
    <w:rsid w:val="006F279C"/>
    <w:rsid w:val="006F2947"/>
    <w:rsid w:val="006F299B"/>
    <w:rsid w:val="006F29B3"/>
    <w:rsid w:val="006F2A03"/>
    <w:rsid w:val="006F2AA8"/>
    <w:rsid w:val="006F2B38"/>
    <w:rsid w:val="006F2B4D"/>
    <w:rsid w:val="006F2BFC"/>
    <w:rsid w:val="006F2C2B"/>
    <w:rsid w:val="006F2C6B"/>
    <w:rsid w:val="006F2C83"/>
    <w:rsid w:val="006F2D11"/>
    <w:rsid w:val="006F2D63"/>
    <w:rsid w:val="006F2D79"/>
    <w:rsid w:val="006F2E2E"/>
    <w:rsid w:val="006F2EF4"/>
    <w:rsid w:val="006F3054"/>
    <w:rsid w:val="006F312A"/>
    <w:rsid w:val="006F324E"/>
    <w:rsid w:val="006F3567"/>
    <w:rsid w:val="006F3593"/>
    <w:rsid w:val="006F36E6"/>
    <w:rsid w:val="006F3765"/>
    <w:rsid w:val="006F378F"/>
    <w:rsid w:val="006F3968"/>
    <w:rsid w:val="006F3B3E"/>
    <w:rsid w:val="006F3D45"/>
    <w:rsid w:val="006F3D55"/>
    <w:rsid w:val="006F3DB4"/>
    <w:rsid w:val="006F3E42"/>
    <w:rsid w:val="006F3E4B"/>
    <w:rsid w:val="006F3F2F"/>
    <w:rsid w:val="006F3F75"/>
    <w:rsid w:val="006F40F1"/>
    <w:rsid w:val="006F40FE"/>
    <w:rsid w:val="006F4142"/>
    <w:rsid w:val="006F4167"/>
    <w:rsid w:val="006F41A9"/>
    <w:rsid w:val="006F41D2"/>
    <w:rsid w:val="006F42FC"/>
    <w:rsid w:val="006F4315"/>
    <w:rsid w:val="006F43AB"/>
    <w:rsid w:val="006F43B7"/>
    <w:rsid w:val="006F450A"/>
    <w:rsid w:val="006F453E"/>
    <w:rsid w:val="006F4564"/>
    <w:rsid w:val="006F472D"/>
    <w:rsid w:val="006F475E"/>
    <w:rsid w:val="006F4849"/>
    <w:rsid w:val="006F48C9"/>
    <w:rsid w:val="006F48F1"/>
    <w:rsid w:val="006F492A"/>
    <w:rsid w:val="006F4A27"/>
    <w:rsid w:val="006F4A70"/>
    <w:rsid w:val="006F4A93"/>
    <w:rsid w:val="006F4B13"/>
    <w:rsid w:val="006F4BE2"/>
    <w:rsid w:val="006F4CC5"/>
    <w:rsid w:val="006F4D58"/>
    <w:rsid w:val="006F4DE6"/>
    <w:rsid w:val="006F4EA5"/>
    <w:rsid w:val="006F4F2F"/>
    <w:rsid w:val="006F5227"/>
    <w:rsid w:val="006F5271"/>
    <w:rsid w:val="006F531C"/>
    <w:rsid w:val="006F5357"/>
    <w:rsid w:val="006F539D"/>
    <w:rsid w:val="006F549F"/>
    <w:rsid w:val="006F54E3"/>
    <w:rsid w:val="006F54F2"/>
    <w:rsid w:val="006F554B"/>
    <w:rsid w:val="006F55B6"/>
    <w:rsid w:val="006F5757"/>
    <w:rsid w:val="006F5859"/>
    <w:rsid w:val="006F598B"/>
    <w:rsid w:val="006F599F"/>
    <w:rsid w:val="006F59B4"/>
    <w:rsid w:val="006F5A77"/>
    <w:rsid w:val="006F5ABA"/>
    <w:rsid w:val="006F5AD2"/>
    <w:rsid w:val="006F5BD6"/>
    <w:rsid w:val="006F5D77"/>
    <w:rsid w:val="006F5E71"/>
    <w:rsid w:val="006F5EB2"/>
    <w:rsid w:val="006F5FD3"/>
    <w:rsid w:val="006F6001"/>
    <w:rsid w:val="006F6003"/>
    <w:rsid w:val="006F6004"/>
    <w:rsid w:val="006F6008"/>
    <w:rsid w:val="006F6146"/>
    <w:rsid w:val="006F619D"/>
    <w:rsid w:val="006F61CB"/>
    <w:rsid w:val="006F6245"/>
    <w:rsid w:val="006F63C0"/>
    <w:rsid w:val="006F6482"/>
    <w:rsid w:val="006F64BB"/>
    <w:rsid w:val="006F64CB"/>
    <w:rsid w:val="006F6503"/>
    <w:rsid w:val="006F66B4"/>
    <w:rsid w:val="006F672E"/>
    <w:rsid w:val="006F6772"/>
    <w:rsid w:val="006F6803"/>
    <w:rsid w:val="006F693F"/>
    <w:rsid w:val="006F695E"/>
    <w:rsid w:val="006F6A32"/>
    <w:rsid w:val="006F6ACE"/>
    <w:rsid w:val="006F6B53"/>
    <w:rsid w:val="006F6BF9"/>
    <w:rsid w:val="006F6C3B"/>
    <w:rsid w:val="006F6C3E"/>
    <w:rsid w:val="006F6CA8"/>
    <w:rsid w:val="006F6DB9"/>
    <w:rsid w:val="006F6DED"/>
    <w:rsid w:val="006F6FA7"/>
    <w:rsid w:val="006F6FB0"/>
    <w:rsid w:val="006F6FD7"/>
    <w:rsid w:val="006F71A9"/>
    <w:rsid w:val="006F7232"/>
    <w:rsid w:val="006F75E1"/>
    <w:rsid w:val="006F7662"/>
    <w:rsid w:val="006F7684"/>
    <w:rsid w:val="006F76EB"/>
    <w:rsid w:val="006F76F7"/>
    <w:rsid w:val="006F776B"/>
    <w:rsid w:val="006F77A2"/>
    <w:rsid w:val="006F77D6"/>
    <w:rsid w:val="006F7824"/>
    <w:rsid w:val="006F7832"/>
    <w:rsid w:val="006F7939"/>
    <w:rsid w:val="006F7953"/>
    <w:rsid w:val="006F79D8"/>
    <w:rsid w:val="006F7A6B"/>
    <w:rsid w:val="006F7BCA"/>
    <w:rsid w:val="006F7C6B"/>
    <w:rsid w:val="006F7CE2"/>
    <w:rsid w:val="006F7D3B"/>
    <w:rsid w:val="006F7DC3"/>
    <w:rsid w:val="006F7E0B"/>
    <w:rsid w:val="006F7E81"/>
    <w:rsid w:val="006F7EFF"/>
    <w:rsid w:val="006F7F00"/>
    <w:rsid w:val="00700072"/>
    <w:rsid w:val="007000A0"/>
    <w:rsid w:val="007000B8"/>
    <w:rsid w:val="007000B9"/>
    <w:rsid w:val="007002F0"/>
    <w:rsid w:val="00700344"/>
    <w:rsid w:val="00700453"/>
    <w:rsid w:val="0070048F"/>
    <w:rsid w:val="007004B3"/>
    <w:rsid w:val="00700501"/>
    <w:rsid w:val="00700512"/>
    <w:rsid w:val="0070051F"/>
    <w:rsid w:val="00700530"/>
    <w:rsid w:val="00700654"/>
    <w:rsid w:val="00700693"/>
    <w:rsid w:val="007006B6"/>
    <w:rsid w:val="007008D1"/>
    <w:rsid w:val="007008ED"/>
    <w:rsid w:val="0070091D"/>
    <w:rsid w:val="0070095D"/>
    <w:rsid w:val="00700A09"/>
    <w:rsid w:val="00700A68"/>
    <w:rsid w:val="00700A83"/>
    <w:rsid w:val="00700B21"/>
    <w:rsid w:val="00700B8A"/>
    <w:rsid w:val="00700B9D"/>
    <w:rsid w:val="00700BA3"/>
    <w:rsid w:val="00700BDA"/>
    <w:rsid w:val="00700F5B"/>
    <w:rsid w:val="00701023"/>
    <w:rsid w:val="00701117"/>
    <w:rsid w:val="00701184"/>
    <w:rsid w:val="00701247"/>
    <w:rsid w:val="0070133F"/>
    <w:rsid w:val="00701350"/>
    <w:rsid w:val="0070142E"/>
    <w:rsid w:val="007014AF"/>
    <w:rsid w:val="0070152F"/>
    <w:rsid w:val="0070159B"/>
    <w:rsid w:val="0070159E"/>
    <w:rsid w:val="0070164D"/>
    <w:rsid w:val="0070168F"/>
    <w:rsid w:val="007016DB"/>
    <w:rsid w:val="0070176A"/>
    <w:rsid w:val="0070177E"/>
    <w:rsid w:val="007017E1"/>
    <w:rsid w:val="007018A0"/>
    <w:rsid w:val="00701A64"/>
    <w:rsid w:val="00701AE0"/>
    <w:rsid w:val="00701B42"/>
    <w:rsid w:val="00701D7C"/>
    <w:rsid w:val="00701EB7"/>
    <w:rsid w:val="00701F1D"/>
    <w:rsid w:val="00701F6E"/>
    <w:rsid w:val="00701FBF"/>
    <w:rsid w:val="00701FF6"/>
    <w:rsid w:val="00702029"/>
    <w:rsid w:val="007020F9"/>
    <w:rsid w:val="00702215"/>
    <w:rsid w:val="00702287"/>
    <w:rsid w:val="007023CB"/>
    <w:rsid w:val="00702410"/>
    <w:rsid w:val="0070250D"/>
    <w:rsid w:val="0070264A"/>
    <w:rsid w:val="0070268C"/>
    <w:rsid w:val="0070279F"/>
    <w:rsid w:val="007028B5"/>
    <w:rsid w:val="00702993"/>
    <w:rsid w:val="00702AC2"/>
    <w:rsid w:val="00702B18"/>
    <w:rsid w:val="00702CDF"/>
    <w:rsid w:val="00702D02"/>
    <w:rsid w:val="00702EC7"/>
    <w:rsid w:val="00702F5F"/>
    <w:rsid w:val="0070310F"/>
    <w:rsid w:val="0070327D"/>
    <w:rsid w:val="00703282"/>
    <w:rsid w:val="007032B6"/>
    <w:rsid w:val="00703356"/>
    <w:rsid w:val="0070337F"/>
    <w:rsid w:val="007033E0"/>
    <w:rsid w:val="00703404"/>
    <w:rsid w:val="0070349E"/>
    <w:rsid w:val="007034B1"/>
    <w:rsid w:val="007034C2"/>
    <w:rsid w:val="00703597"/>
    <w:rsid w:val="0070362E"/>
    <w:rsid w:val="0070363A"/>
    <w:rsid w:val="00703682"/>
    <w:rsid w:val="007036B6"/>
    <w:rsid w:val="007036D1"/>
    <w:rsid w:val="00703705"/>
    <w:rsid w:val="0070372B"/>
    <w:rsid w:val="00703774"/>
    <w:rsid w:val="007037ED"/>
    <w:rsid w:val="0070387E"/>
    <w:rsid w:val="007038D4"/>
    <w:rsid w:val="007038ED"/>
    <w:rsid w:val="00703910"/>
    <w:rsid w:val="0070394C"/>
    <w:rsid w:val="007039A5"/>
    <w:rsid w:val="007039B3"/>
    <w:rsid w:val="00703A86"/>
    <w:rsid w:val="00703A90"/>
    <w:rsid w:val="00703CEA"/>
    <w:rsid w:val="00703D34"/>
    <w:rsid w:val="00703DD7"/>
    <w:rsid w:val="00703E19"/>
    <w:rsid w:val="00703EAB"/>
    <w:rsid w:val="00703FB1"/>
    <w:rsid w:val="00703FF2"/>
    <w:rsid w:val="00704017"/>
    <w:rsid w:val="00704046"/>
    <w:rsid w:val="007040CA"/>
    <w:rsid w:val="00704121"/>
    <w:rsid w:val="007041D5"/>
    <w:rsid w:val="00704361"/>
    <w:rsid w:val="0070444B"/>
    <w:rsid w:val="00704567"/>
    <w:rsid w:val="00704621"/>
    <w:rsid w:val="007047C2"/>
    <w:rsid w:val="00704AB5"/>
    <w:rsid w:val="00704B44"/>
    <w:rsid w:val="00704B4E"/>
    <w:rsid w:val="00704B91"/>
    <w:rsid w:val="00704BD4"/>
    <w:rsid w:val="00704C08"/>
    <w:rsid w:val="00704F35"/>
    <w:rsid w:val="00704F44"/>
    <w:rsid w:val="00704F4A"/>
    <w:rsid w:val="00705095"/>
    <w:rsid w:val="00705114"/>
    <w:rsid w:val="00705129"/>
    <w:rsid w:val="00705170"/>
    <w:rsid w:val="00705362"/>
    <w:rsid w:val="00705383"/>
    <w:rsid w:val="007053FD"/>
    <w:rsid w:val="0070547B"/>
    <w:rsid w:val="007054C5"/>
    <w:rsid w:val="007054C6"/>
    <w:rsid w:val="00705521"/>
    <w:rsid w:val="00705617"/>
    <w:rsid w:val="00705633"/>
    <w:rsid w:val="00705653"/>
    <w:rsid w:val="0070565D"/>
    <w:rsid w:val="007056E8"/>
    <w:rsid w:val="0070589D"/>
    <w:rsid w:val="00705904"/>
    <w:rsid w:val="007059FC"/>
    <w:rsid w:val="00705A1C"/>
    <w:rsid w:val="00705B27"/>
    <w:rsid w:val="00705BAD"/>
    <w:rsid w:val="00705BDE"/>
    <w:rsid w:val="00705CD7"/>
    <w:rsid w:val="00705D23"/>
    <w:rsid w:val="00705D69"/>
    <w:rsid w:val="00705D94"/>
    <w:rsid w:val="00705E15"/>
    <w:rsid w:val="00705E1E"/>
    <w:rsid w:val="00705E22"/>
    <w:rsid w:val="00705F17"/>
    <w:rsid w:val="00705FA5"/>
    <w:rsid w:val="00705FAC"/>
    <w:rsid w:val="00705FC1"/>
    <w:rsid w:val="0070609C"/>
    <w:rsid w:val="007060CF"/>
    <w:rsid w:val="00706136"/>
    <w:rsid w:val="0070613D"/>
    <w:rsid w:val="007062A3"/>
    <w:rsid w:val="007062A7"/>
    <w:rsid w:val="007062F7"/>
    <w:rsid w:val="00706321"/>
    <w:rsid w:val="00706457"/>
    <w:rsid w:val="0070645E"/>
    <w:rsid w:val="0070645F"/>
    <w:rsid w:val="00706555"/>
    <w:rsid w:val="0070655E"/>
    <w:rsid w:val="0070661F"/>
    <w:rsid w:val="00706635"/>
    <w:rsid w:val="0070665D"/>
    <w:rsid w:val="007066B2"/>
    <w:rsid w:val="00706712"/>
    <w:rsid w:val="007067D6"/>
    <w:rsid w:val="0070685B"/>
    <w:rsid w:val="007068C4"/>
    <w:rsid w:val="0070695B"/>
    <w:rsid w:val="00706A4A"/>
    <w:rsid w:val="00706A5B"/>
    <w:rsid w:val="00706CDD"/>
    <w:rsid w:val="00706DF2"/>
    <w:rsid w:val="00706E99"/>
    <w:rsid w:val="0070711C"/>
    <w:rsid w:val="00707240"/>
    <w:rsid w:val="007073AA"/>
    <w:rsid w:val="007073FD"/>
    <w:rsid w:val="00707420"/>
    <w:rsid w:val="00707429"/>
    <w:rsid w:val="0070754A"/>
    <w:rsid w:val="00707567"/>
    <w:rsid w:val="007075ED"/>
    <w:rsid w:val="007076D9"/>
    <w:rsid w:val="00707828"/>
    <w:rsid w:val="00707861"/>
    <w:rsid w:val="00707942"/>
    <w:rsid w:val="0070797C"/>
    <w:rsid w:val="007079A0"/>
    <w:rsid w:val="007079F3"/>
    <w:rsid w:val="00707A18"/>
    <w:rsid w:val="00707A60"/>
    <w:rsid w:val="00707A8B"/>
    <w:rsid w:val="00707A8D"/>
    <w:rsid w:val="00707AE9"/>
    <w:rsid w:val="00707B92"/>
    <w:rsid w:val="00707BC5"/>
    <w:rsid w:val="00707BD2"/>
    <w:rsid w:val="00707C12"/>
    <w:rsid w:val="00707C8C"/>
    <w:rsid w:val="00707D0B"/>
    <w:rsid w:val="00707DB9"/>
    <w:rsid w:val="00707F1B"/>
    <w:rsid w:val="00707F39"/>
    <w:rsid w:val="00707F4E"/>
    <w:rsid w:val="00710053"/>
    <w:rsid w:val="00710175"/>
    <w:rsid w:val="0071017E"/>
    <w:rsid w:val="00710313"/>
    <w:rsid w:val="0071033D"/>
    <w:rsid w:val="007103E9"/>
    <w:rsid w:val="00710442"/>
    <w:rsid w:val="007104C0"/>
    <w:rsid w:val="0071057F"/>
    <w:rsid w:val="007107BA"/>
    <w:rsid w:val="00710818"/>
    <w:rsid w:val="00710885"/>
    <w:rsid w:val="007108DA"/>
    <w:rsid w:val="007109CC"/>
    <w:rsid w:val="00710A33"/>
    <w:rsid w:val="00710AEB"/>
    <w:rsid w:val="00710CC2"/>
    <w:rsid w:val="00710D41"/>
    <w:rsid w:val="00710D49"/>
    <w:rsid w:val="00710D61"/>
    <w:rsid w:val="00710E4F"/>
    <w:rsid w:val="00710EF8"/>
    <w:rsid w:val="0071117B"/>
    <w:rsid w:val="00711240"/>
    <w:rsid w:val="007112DC"/>
    <w:rsid w:val="0071137C"/>
    <w:rsid w:val="007113FF"/>
    <w:rsid w:val="00711402"/>
    <w:rsid w:val="00711413"/>
    <w:rsid w:val="0071151B"/>
    <w:rsid w:val="00711588"/>
    <w:rsid w:val="00711628"/>
    <w:rsid w:val="0071162D"/>
    <w:rsid w:val="00711724"/>
    <w:rsid w:val="00711745"/>
    <w:rsid w:val="00711795"/>
    <w:rsid w:val="007118C0"/>
    <w:rsid w:val="00711952"/>
    <w:rsid w:val="007119BC"/>
    <w:rsid w:val="007119F1"/>
    <w:rsid w:val="00711A35"/>
    <w:rsid w:val="00711B6D"/>
    <w:rsid w:val="00711BB0"/>
    <w:rsid w:val="00711BC8"/>
    <w:rsid w:val="00711C0A"/>
    <w:rsid w:val="00711C88"/>
    <w:rsid w:val="00711CA5"/>
    <w:rsid w:val="00711DF5"/>
    <w:rsid w:val="00711E1E"/>
    <w:rsid w:val="00711E37"/>
    <w:rsid w:val="00711EC7"/>
    <w:rsid w:val="00711EF8"/>
    <w:rsid w:val="00711FC7"/>
    <w:rsid w:val="00711FFE"/>
    <w:rsid w:val="007120C5"/>
    <w:rsid w:val="007120CB"/>
    <w:rsid w:val="007120DB"/>
    <w:rsid w:val="007120F4"/>
    <w:rsid w:val="00712276"/>
    <w:rsid w:val="007122C5"/>
    <w:rsid w:val="007122DB"/>
    <w:rsid w:val="007122ED"/>
    <w:rsid w:val="0071233A"/>
    <w:rsid w:val="00712352"/>
    <w:rsid w:val="007123EF"/>
    <w:rsid w:val="007125AD"/>
    <w:rsid w:val="0071261D"/>
    <w:rsid w:val="007126B5"/>
    <w:rsid w:val="007127D3"/>
    <w:rsid w:val="007127F3"/>
    <w:rsid w:val="0071289F"/>
    <w:rsid w:val="007129F3"/>
    <w:rsid w:val="00712A31"/>
    <w:rsid w:val="00712A7F"/>
    <w:rsid w:val="00712ABA"/>
    <w:rsid w:val="00712B17"/>
    <w:rsid w:val="00712BAF"/>
    <w:rsid w:val="00712CC4"/>
    <w:rsid w:val="00712ED6"/>
    <w:rsid w:val="00712FC7"/>
    <w:rsid w:val="00712FEC"/>
    <w:rsid w:val="00713058"/>
    <w:rsid w:val="00713080"/>
    <w:rsid w:val="007130C3"/>
    <w:rsid w:val="00713269"/>
    <w:rsid w:val="0071326C"/>
    <w:rsid w:val="007132D0"/>
    <w:rsid w:val="007133E1"/>
    <w:rsid w:val="007134B6"/>
    <w:rsid w:val="0071358A"/>
    <w:rsid w:val="007135B6"/>
    <w:rsid w:val="007135D3"/>
    <w:rsid w:val="0071364C"/>
    <w:rsid w:val="00713658"/>
    <w:rsid w:val="00713810"/>
    <w:rsid w:val="0071384E"/>
    <w:rsid w:val="007138DA"/>
    <w:rsid w:val="00713A71"/>
    <w:rsid w:val="00713A79"/>
    <w:rsid w:val="00713C04"/>
    <w:rsid w:val="00713C3C"/>
    <w:rsid w:val="00713CBA"/>
    <w:rsid w:val="00713D1B"/>
    <w:rsid w:val="00713D22"/>
    <w:rsid w:val="00713DE9"/>
    <w:rsid w:val="00713ECE"/>
    <w:rsid w:val="00713FF2"/>
    <w:rsid w:val="007140C1"/>
    <w:rsid w:val="00714190"/>
    <w:rsid w:val="007141E2"/>
    <w:rsid w:val="007141EF"/>
    <w:rsid w:val="007142DF"/>
    <w:rsid w:val="00714406"/>
    <w:rsid w:val="00714431"/>
    <w:rsid w:val="0071443A"/>
    <w:rsid w:val="0071457C"/>
    <w:rsid w:val="0071466B"/>
    <w:rsid w:val="00714698"/>
    <w:rsid w:val="007146B1"/>
    <w:rsid w:val="007146BD"/>
    <w:rsid w:val="007148A0"/>
    <w:rsid w:val="007148B3"/>
    <w:rsid w:val="007149AA"/>
    <w:rsid w:val="00714A44"/>
    <w:rsid w:val="00714AB4"/>
    <w:rsid w:val="00714B57"/>
    <w:rsid w:val="00714CE7"/>
    <w:rsid w:val="00714DC5"/>
    <w:rsid w:val="00714F2B"/>
    <w:rsid w:val="00714F8F"/>
    <w:rsid w:val="00714FC1"/>
    <w:rsid w:val="00715135"/>
    <w:rsid w:val="00715248"/>
    <w:rsid w:val="00715277"/>
    <w:rsid w:val="0071536A"/>
    <w:rsid w:val="0071543A"/>
    <w:rsid w:val="00715463"/>
    <w:rsid w:val="00715489"/>
    <w:rsid w:val="00715660"/>
    <w:rsid w:val="0071570B"/>
    <w:rsid w:val="00715720"/>
    <w:rsid w:val="0071574F"/>
    <w:rsid w:val="0071582B"/>
    <w:rsid w:val="00715858"/>
    <w:rsid w:val="00715891"/>
    <w:rsid w:val="007158AC"/>
    <w:rsid w:val="00715908"/>
    <w:rsid w:val="00715A26"/>
    <w:rsid w:val="00715A38"/>
    <w:rsid w:val="00715C21"/>
    <w:rsid w:val="00715D30"/>
    <w:rsid w:val="00715D39"/>
    <w:rsid w:val="00715DC8"/>
    <w:rsid w:val="00715E93"/>
    <w:rsid w:val="00715ECE"/>
    <w:rsid w:val="00715EEE"/>
    <w:rsid w:val="00715F2C"/>
    <w:rsid w:val="00715F2F"/>
    <w:rsid w:val="00715F56"/>
    <w:rsid w:val="007160AE"/>
    <w:rsid w:val="00716127"/>
    <w:rsid w:val="007161C6"/>
    <w:rsid w:val="0071636C"/>
    <w:rsid w:val="007163D0"/>
    <w:rsid w:val="007163FF"/>
    <w:rsid w:val="00716435"/>
    <w:rsid w:val="0071664C"/>
    <w:rsid w:val="007168C8"/>
    <w:rsid w:val="00716912"/>
    <w:rsid w:val="00716926"/>
    <w:rsid w:val="007169B3"/>
    <w:rsid w:val="00716D04"/>
    <w:rsid w:val="00716D2A"/>
    <w:rsid w:val="00716DDF"/>
    <w:rsid w:val="00716E15"/>
    <w:rsid w:val="00716E93"/>
    <w:rsid w:val="00716F60"/>
    <w:rsid w:val="007170A9"/>
    <w:rsid w:val="00717176"/>
    <w:rsid w:val="0071718B"/>
    <w:rsid w:val="007171F8"/>
    <w:rsid w:val="00717241"/>
    <w:rsid w:val="007172DF"/>
    <w:rsid w:val="00717333"/>
    <w:rsid w:val="00717396"/>
    <w:rsid w:val="00717409"/>
    <w:rsid w:val="0071751A"/>
    <w:rsid w:val="007175C8"/>
    <w:rsid w:val="00717654"/>
    <w:rsid w:val="0071768C"/>
    <w:rsid w:val="00717692"/>
    <w:rsid w:val="007176AC"/>
    <w:rsid w:val="007176DE"/>
    <w:rsid w:val="00717751"/>
    <w:rsid w:val="007177AF"/>
    <w:rsid w:val="007177DD"/>
    <w:rsid w:val="00717844"/>
    <w:rsid w:val="007178D9"/>
    <w:rsid w:val="00717993"/>
    <w:rsid w:val="00717B3F"/>
    <w:rsid w:val="00717BEB"/>
    <w:rsid w:val="00717C47"/>
    <w:rsid w:val="00717DD1"/>
    <w:rsid w:val="00717E86"/>
    <w:rsid w:val="00717E8E"/>
    <w:rsid w:val="00717EE4"/>
    <w:rsid w:val="00720027"/>
    <w:rsid w:val="00720132"/>
    <w:rsid w:val="0072026E"/>
    <w:rsid w:val="00720367"/>
    <w:rsid w:val="007203E4"/>
    <w:rsid w:val="0072045E"/>
    <w:rsid w:val="007204B3"/>
    <w:rsid w:val="007204FC"/>
    <w:rsid w:val="00720547"/>
    <w:rsid w:val="00720550"/>
    <w:rsid w:val="00720556"/>
    <w:rsid w:val="007207EE"/>
    <w:rsid w:val="00720857"/>
    <w:rsid w:val="007209DB"/>
    <w:rsid w:val="00720A89"/>
    <w:rsid w:val="00720AE4"/>
    <w:rsid w:val="00720C48"/>
    <w:rsid w:val="00720C50"/>
    <w:rsid w:val="00720C8B"/>
    <w:rsid w:val="00720D5A"/>
    <w:rsid w:val="00720F20"/>
    <w:rsid w:val="0072108B"/>
    <w:rsid w:val="007212D3"/>
    <w:rsid w:val="007212E7"/>
    <w:rsid w:val="007212FD"/>
    <w:rsid w:val="007213EA"/>
    <w:rsid w:val="007213F7"/>
    <w:rsid w:val="00721462"/>
    <w:rsid w:val="007214D9"/>
    <w:rsid w:val="00721525"/>
    <w:rsid w:val="00721643"/>
    <w:rsid w:val="0072170E"/>
    <w:rsid w:val="00721741"/>
    <w:rsid w:val="00721749"/>
    <w:rsid w:val="00721799"/>
    <w:rsid w:val="007217B7"/>
    <w:rsid w:val="007217BC"/>
    <w:rsid w:val="00721812"/>
    <w:rsid w:val="00721851"/>
    <w:rsid w:val="0072193B"/>
    <w:rsid w:val="00721B6E"/>
    <w:rsid w:val="00721C6D"/>
    <w:rsid w:val="00721CFC"/>
    <w:rsid w:val="00721D53"/>
    <w:rsid w:val="00721D83"/>
    <w:rsid w:val="00721E3E"/>
    <w:rsid w:val="00721F29"/>
    <w:rsid w:val="00721F51"/>
    <w:rsid w:val="00721F86"/>
    <w:rsid w:val="00721FA3"/>
    <w:rsid w:val="0072201A"/>
    <w:rsid w:val="007220ED"/>
    <w:rsid w:val="007221FD"/>
    <w:rsid w:val="0072225B"/>
    <w:rsid w:val="0072227B"/>
    <w:rsid w:val="007223FF"/>
    <w:rsid w:val="00722441"/>
    <w:rsid w:val="0072248E"/>
    <w:rsid w:val="0072255D"/>
    <w:rsid w:val="00722580"/>
    <w:rsid w:val="00722726"/>
    <w:rsid w:val="0072275D"/>
    <w:rsid w:val="007227E4"/>
    <w:rsid w:val="007227F8"/>
    <w:rsid w:val="0072299E"/>
    <w:rsid w:val="007229BC"/>
    <w:rsid w:val="007229F4"/>
    <w:rsid w:val="00722A0D"/>
    <w:rsid w:val="00722A45"/>
    <w:rsid w:val="00722BC8"/>
    <w:rsid w:val="00722C25"/>
    <w:rsid w:val="00722CF3"/>
    <w:rsid w:val="00722D1A"/>
    <w:rsid w:val="00722D54"/>
    <w:rsid w:val="00722EE8"/>
    <w:rsid w:val="00722EFD"/>
    <w:rsid w:val="00722F5D"/>
    <w:rsid w:val="00723009"/>
    <w:rsid w:val="007230EC"/>
    <w:rsid w:val="00723238"/>
    <w:rsid w:val="0072327F"/>
    <w:rsid w:val="007232DB"/>
    <w:rsid w:val="007232EC"/>
    <w:rsid w:val="007232F1"/>
    <w:rsid w:val="00723369"/>
    <w:rsid w:val="007233BA"/>
    <w:rsid w:val="007233E7"/>
    <w:rsid w:val="00723404"/>
    <w:rsid w:val="007234D7"/>
    <w:rsid w:val="00723543"/>
    <w:rsid w:val="0072359E"/>
    <w:rsid w:val="0072360B"/>
    <w:rsid w:val="007236AD"/>
    <w:rsid w:val="0072371A"/>
    <w:rsid w:val="0072379E"/>
    <w:rsid w:val="007237A6"/>
    <w:rsid w:val="007237CF"/>
    <w:rsid w:val="00723973"/>
    <w:rsid w:val="0072397A"/>
    <w:rsid w:val="007239A2"/>
    <w:rsid w:val="00723A65"/>
    <w:rsid w:val="00723A75"/>
    <w:rsid w:val="00723BB2"/>
    <w:rsid w:val="00723C87"/>
    <w:rsid w:val="00723CAF"/>
    <w:rsid w:val="00723D5A"/>
    <w:rsid w:val="00723D75"/>
    <w:rsid w:val="00723E03"/>
    <w:rsid w:val="00723E4E"/>
    <w:rsid w:val="00723E91"/>
    <w:rsid w:val="00723FDF"/>
    <w:rsid w:val="007240D8"/>
    <w:rsid w:val="007241EF"/>
    <w:rsid w:val="007241F5"/>
    <w:rsid w:val="0072421A"/>
    <w:rsid w:val="0072431B"/>
    <w:rsid w:val="00724378"/>
    <w:rsid w:val="00724392"/>
    <w:rsid w:val="007243FC"/>
    <w:rsid w:val="00724447"/>
    <w:rsid w:val="00724529"/>
    <w:rsid w:val="007245D1"/>
    <w:rsid w:val="00724637"/>
    <w:rsid w:val="00724641"/>
    <w:rsid w:val="0072465B"/>
    <w:rsid w:val="007246A5"/>
    <w:rsid w:val="007246AA"/>
    <w:rsid w:val="0072476B"/>
    <w:rsid w:val="0072476E"/>
    <w:rsid w:val="0072484A"/>
    <w:rsid w:val="007249E1"/>
    <w:rsid w:val="00724A62"/>
    <w:rsid w:val="00724AB6"/>
    <w:rsid w:val="00724B1E"/>
    <w:rsid w:val="00724BA5"/>
    <w:rsid w:val="00724D1E"/>
    <w:rsid w:val="00724D59"/>
    <w:rsid w:val="00724E84"/>
    <w:rsid w:val="00724F5B"/>
    <w:rsid w:val="00724FAD"/>
    <w:rsid w:val="00724FCF"/>
    <w:rsid w:val="0072505A"/>
    <w:rsid w:val="007250D1"/>
    <w:rsid w:val="007250E0"/>
    <w:rsid w:val="0072514D"/>
    <w:rsid w:val="00725156"/>
    <w:rsid w:val="0072515D"/>
    <w:rsid w:val="007251B3"/>
    <w:rsid w:val="007251E1"/>
    <w:rsid w:val="007251E7"/>
    <w:rsid w:val="00725286"/>
    <w:rsid w:val="007252C8"/>
    <w:rsid w:val="00725330"/>
    <w:rsid w:val="00725389"/>
    <w:rsid w:val="00725393"/>
    <w:rsid w:val="007253AD"/>
    <w:rsid w:val="00725511"/>
    <w:rsid w:val="007255DA"/>
    <w:rsid w:val="00725888"/>
    <w:rsid w:val="007258B6"/>
    <w:rsid w:val="00725912"/>
    <w:rsid w:val="00725973"/>
    <w:rsid w:val="00725985"/>
    <w:rsid w:val="0072599A"/>
    <w:rsid w:val="00725A28"/>
    <w:rsid w:val="00725AD4"/>
    <w:rsid w:val="00725B99"/>
    <w:rsid w:val="00725CED"/>
    <w:rsid w:val="00725D92"/>
    <w:rsid w:val="00725DD9"/>
    <w:rsid w:val="00725E85"/>
    <w:rsid w:val="00725ECD"/>
    <w:rsid w:val="00725FA1"/>
    <w:rsid w:val="00726102"/>
    <w:rsid w:val="0072615D"/>
    <w:rsid w:val="0072618B"/>
    <w:rsid w:val="00726200"/>
    <w:rsid w:val="0072626C"/>
    <w:rsid w:val="007262B1"/>
    <w:rsid w:val="0072642C"/>
    <w:rsid w:val="0072652E"/>
    <w:rsid w:val="00726650"/>
    <w:rsid w:val="007266F7"/>
    <w:rsid w:val="007266FE"/>
    <w:rsid w:val="00726729"/>
    <w:rsid w:val="007267B5"/>
    <w:rsid w:val="007268A4"/>
    <w:rsid w:val="007269A5"/>
    <w:rsid w:val="00726A55"/>
    <w:rsid w:val="00726AC5"/>
    <w:rsid w:val="00726B62"/>
    <w:rsid w:val="00726C03"/>
    <w:rsid w:val="00726C70"/>
    <w:rsid w:val="00726CB6"/>
    <w:rsid w:val="00726DAF"/>
    <w:rsid w:val="00726DEB"/>
    <w:rsid w:val="00726E1B"/>
    <w:rsid w:val="00726E44"/>
    <w:rsid w:val="00726F5D"/>
    <w:rsid w:val="00726F65"/>
    <w:rsid w:val="00726F89"/>
    <w:rsid w:val="00726FCD"/>
    <w:rsid w:val="00727070"/>
    <w:rsid w:val="00727094"/>
    <w:rsid w:val="0072711A"/>
    <w:rsid w:val="00727212"/>
    <w:rsid w:val="00727237"/>
    <w:rsid w:val="00727367"/>
    <w:rsid w:val="007273A0"/>
    <w:rsid w:val="007274A0"/>
    <w:rsid w:val="007274E1"/>
    <w:rsid w:val="007274FE"/>
    <w:rsid w:val="007275C9"/>
    <w:rsid w:val="00727819"/>
    <w:rsid w:val="0072784E"/>
    <w:rsid w:val="0072793C"/>
    <w:rsid w:val="0072794F"/>
    <w:rsid w:val="007279F8"/>
    <w:rsid w:val="00727A9C"/>
    <w:rsid w:val="00727BE3"/>
    <w:rsid w:val="00727C9B"/>
    <w:rsid w:val="00727E22"/>
    <w:rsid w:val="00727EF8"/>
    <w:rsid w:val="00730072"/>
    <w:rsid w:val="0073012F"/>
    <w:rsid w:val="00730140"/>
    <w:rsid w:val="007301DB"/>
    <w:rsid w:val="007302E3"/>
    <w:rsid w:val="007303A2"/>
    <w:rsid w:val="007303C1"/>
    <w:rsid w:val="007303E6"/>
    <w:rsid w:val="007303F5"/>
    <w:rsid w:val="0073040F"/>
    <w:rsid w:val="00730459"/>
    <w:rsid w:val="0073047F"/>
    <w:rsid w:val="007304D5"/>
    <w:rsid w:val="00730696"/>
    <w:rsid w:val="007306B1"/>
    <w:rsid w:val="00730751"/>
    <w:rsid w:val="007308E3"/>
    <w:rsid w:val="007309BF"/>
    <w:rsid w:val="00730AE8"/>
    <w:rsid w:val="00730B70"/>
    <w:rsid w:val="00730CE2"/>
    <w:rsid w:val="00730CFF"/>
    <w:rsid w:val="00730DF9"/>
    <w:rsid w:val="00730E4C"/>
    <w:rsid w:val="00730F7C"/>
    <w:rsid w:val="00730F9E"/>
    <w:rsid w:val="00731066"/>
    <w:rsid w:val="007310DC"/>
    <w:rsid w:val="00731222"/>
    <w:rsid w:val="0073124C"/>
    <w:rsid w:val="00731387"/>
    <w:rsid w:val="007313E4"/>
    <w:rsid w:val="0073150E"/>
    <w:rsid w:val="007315ED"/>
    <w:rsid w:val="00731627"/>
    <w:rsid w:val="0073171B"/>
    <w:rsid w:val="0073175A"/>
    <w:rsid w:val="007317FA"/>
    <w:rsid w:val="007318CF"/>
    <w:rsid w:val="00731926"/>
    <w:rsid w:val="0073196F"/>
    <w:rsid w:val="0073198C"/>
    <w:rsid w:val="007319C2"/>
    <w:rsid w:val="007319EF"/>
    <w:rsid w:val="00731BC0"/>
    <w:rsid w:val="00731C09"/>
    <w:rsid w:val="00731C54"/>
    <w:rsid w:val="00731C6D"/>
    <w:rsid w:val="00731CC6"/>
    <w:rsid w:val="00731DED"/>
    <w:rsid w:val="0073206A"/>
    <w:rsid w:val="00732239"/>
    <w:rsid w:val="007322AA"/>
    <w:rsid w:val="007322D5"/>
    <w:rsid w:val="00732303"/>
    <w:rsid w:val="007323F0"/>
    <w:rsid w:val="00732485"/>
    <w:rsid w:val="007324AB"/>
    <w:rsid w:val="0073256D"/>
    <w:rsid w:val="007325EB"/>
    <w:rsid w:val="00732607"/>
    <w:rsid w:val="007326A3"/>
    <w:rsid w:val="00732831"/>
    <w:rsid w:val="007328AC"/>
    <w:rsid w:val="007328B9"/>
    <w:rsid w:val="00732A4D"/>
    <w:rsid w:val="00732B1F"/>
    <w:rsid w:val="00732B2E"/>
    <w:rsid w:val="00732B31"/>
    <w:rsid w:val="00732B85"/>
    <w:rsid w:val="00732BC6"/>
    <w:rsid w:val="00732BCC"/>
    <w:rsid w:val="00732D4B"/>
    <w:rsid w:val="00732F3A"/>
    <w:rsid w:val="00732FD2"/>
    <w:rsid w:val="0073305B"/>
    <w:rsid w:val="007330BD"/>
    <w:rsid w:val="00733194"/>
    <w:rsid w:val="007331AD"/>
    <w:rsid w:val="007331B2"/>
    <w:rsid w:val="0073320F"/>
    <w:rsid w:val="00733238"/>
    <w:rsid w:val="007333D9"/>
    <w:rsid w:val="007334A8"/>
    <w:rsid w:val="007334D3"/>
    <w:rsid w:val="007334FC"/>
    <w:rsid w:val="00733520"/>
    <w:rsid w:val="007335B3"/>
    <w:rsid w:val="00733617"/>
    <w:rsid w:val="00733700"/>
    <w:rsid w:val="0073376E"/>
    <w:rsid w:val="007337AB"/>
    <w:rsid w:val="007338C6"/>
    <w:rsid w:val="0073392B"/>
    <w:rsid w:val="007339A1"/>
    <w:rsid w:val="00733A46"/>
    <w:rsid w:val="00733A6D"/>
    <w:rsid w:val="00733BD9"/>
    <w:rsid w:val="00733BF3"/>
    <w:rsid w:val="00733C0D"/>
    <w:rsid w:val="00733E3F"/>
    <w:rsid w:val="00733E8F"/>
    <w:rsid w:val="00733EA8"/>
    <w:rsid w:val="00733ED6"/>
    <w:rsid w:val="00733FBE"/>
    <w:rsid w:val="00734257"/>
    <w:rsid w:val="007342BA"/>
    <w:rsid w:val="007342E2"/>
    <w:rsid w:val="00734356"/>
    <w:rsid w:val="00734438"/>
    <w:rsid w:val="0073446D"/>
    <w:rsid w:val="007344D5"/>
    <w:rsid w:val="007344EF"/>
    <w:rsid w:val="00734586"/>
    <w:rsid w:val="00734592"/>
    <w:rsid w:val="007345A4"/>
    <w:rsid w:val="00734675"/>
    <w:rsid w:val="0073477A"/>
    <w:rsid w:val="0073480D"/>
    <w:rsid w:val="0073482B"/>
    <w:rsid w:val="007348CF"/>
    <w:rsid w:val="007348FF"/>
    <w:rsid w:val="007349AE"/>
    <w:rsid w:val="00734A80"/>
    <w:rsid w:val="00734B54"/>
    <w:rsid w:val="00734C48"/>
    <w:rsid w:val="00734D49"/>
    <w:rsid w:val="00734DBC"/>
    <w:rsid w:val="00734EC7"/>
    <w:rsid w:val="00734F1D"/>
    <w:rsid w:val="00734F9E"/>
    <w:rsid w:val="00734FC1"/>
    <w:rsid w:val="00735154"/>
    <w:rsid w:val="0073525C"/>
    <w:rsid w:val="00735288"/>
    <w:rsid w:val="007352CF"/>
    <w:rsid w:val="00735389"/>
    <w:rsid w:val="0073541A"/>
    <w:rsid w:val="0073541F"/>
    <w:rsid w:val="0073546F"/>
    <w:rsid w:val="00735471"/>
    <w:rsid w:val="00735482"/>
    <w:rsid w:val="0073550F"/>
    <w:rsid w:val="00735514"/>
    <w:rsid w:val="007356FC"/>
    <w:rsid w:val="007357AC"/>
    <w:rsid w:val="00735820"/>
    <w:rsid w:val="0073583A"/>
    <w:rsid w:val="007359B0"/>
    <w:rsid w:val="007359E5"/>
    <w:rsid w:val="00735A62"/>
    <w:rsid w:val="00735B3C"/>
    <w:rsid w:val="00735CAC"/>
    <w:rsid w:val="00735FD0"/>
    <w:rsid w:val="00735FE5"/>
    <w:rsid w:val="0073604B"/>
    <w:rsid w:val="00736054"/>
    <w:rsid w:val="007360DB"/>
    <w:rsid w:val="007361CE"/>
    <w:rsid w:val="0073621E"/>
    <w:rsid w:val="007362EF"/>
    <w:rsid w:val="0073631B"/>
    <w:rsid w:val="007363BA"/>
    <w:rsid w:val="00736434"/>
    <w:rsid w:val="0073646E"/>
    <w:rsid w:val="0073652E"/>
    <w:rsid w:val="00736562"/>
    <w:rsid w:val="0073659E"/>
    <w:rsid w:val="0073661D"/>
    <w:rsid w:val="00736667"/>
    <w:rsid w:val="00736677"/>
    <w:rsid w:val="007366CC"/>
    <w:rsid w:val="00736812"/>
    <w:rsid w:val="00736818"/>
    <w:rsid w:val="0073689D"/>
    <w:rsid w:val="007368C7"/>
    <w:rsid w:val="007369FC"/>
    <w:rsid w:val="00736A43"/>
    <w:rsid w:val="00736ABC"/>
    <w:rsid w:val="00736AE8"/>
    <w:rsid w:val="00736C78"/>
    <w:rsid w:val="00736C9F"/>
    <w:rsid w:val="00736CAB"/>
    <w:rsid w:val="00736CCF"/>
    <w:rsid w:val="00736E0B"/>
    <w:rsid w:val="00737004"/>
    <w:rsid w:val="007370B1"/>
    <w:rsid w:val="007370D4"/>
    <w:rsid w:val="00737103"/>
    <w:rsid w:val="007371BC"/>
    <w:rsid w:val="007371F7"/>
    <w:rsid w:val="00737223"/>
    <w:rsid w:val="0073728E"/>
    <w:rsid w:val="00737703"/>
    <w:rsid w:val="00737A9D"/>
    <w:rsid w:val="00737B48"/>
    <w:rsid w:val="00737B63"/>
    <w:rsid w:val="00737B68"/>
    <w:rsid w:val="00737B76"/>
    <w:rsid w:val="00737CC4"/>
    <w:rsid w:val="00737D0F"/>
    <w:rsid w:val="00737DE9"/>
    <w:rsid w:val="00737E0C"/>
    <w:rsid w:val="00737E69"/>
    <w:rsid w:val="00737F14"/>
    <w:rsid w:val="00737FB7"/>
    <w:rsid w:val="00740041"/>
    <w:rsid w:val="0074011B"/>
    <w:rsid w:val="007401CB"/>
    <w:rsid w:val="007401D2"/>
    <w:rsid w:val="00740246"/>
    <w:rsid w:val="00740296"/>
    <w:rsid w:val="00740353"/>
    <w:rsid w:val="0074039D"/>
    <w:rsid w:val="00740511"/>
    <w:rsid w:val="00740541"/>
    <w:rsid w:val="00740696"/>
    <w:rsid w:val="00740713"/>
    <w:rsid w:val="007408C2"/>
    <w:rsid w:val="00740AF2"/>
    <w:rsid w:val="00740C4F"/>
    <w:rsid w:val="00740C51"/>
    <w:rsid w:val="00740C74"/>
    <w:rsid w:val="00740CC3"/>
    <w:rsid w:val="00740D2E"/>
    <w:rsid w:val="00740D4A"/>
    <w:rsid w:val="00740D50"/>
    <w:rsid w:val="00740D5D"/>
    <w:rsid w:val="00740DA9"/>
    <w:rsid w:val="00740EC5"/>
    <w:rsid w:val="00740FB8"/>
    <w:rsid w:val="00741069"/>
    <w:rsid w:val="00741146"/>
    <w:rsid w:val="0074125B"/>
    <w:rsid w:val="00741308"/>
    <w:rsid w:val="00741373"/>
    <w:rsid w:val="00741385"/>
    <w:rsid w:val="007413CD"/>
    <w:rsid w:val="007414A1"/>
    <w:rsid w:val="007414D3"/>
    <w:rsid w:val="00741528"/>
    <w:rsid w:val="00741555"/>
    <w:rsid w:val="007415AD"/>
    <w:rsid w:val="007415CB"/>
    <w:rsid w:val="007415DF"/>
    <w:rsid w:val="00741670"/>
    <w:rsid w:val="007416EE"/>
    <w:rsid w:val="007417A2"/>
    <w:rsid w:val="007417F5"/>
    <w:rsid w:val="00741832"/>
    <w:rsid w:val="0074188B"/>
    <w:rsid w:val="0074188E"/>
    <w:rsid w:val="007418B9"/>
    <w:rsid w:val="007418CE"/>
    <w:rsid w:val="007418DB"/>
    <w:rsid w:val="007419CE"/>
    <w:rsid w:val="00741A42"/>
    <w:rsid w:val="00741A6A"/>
    <w:rsid w:val="00741B56"/>
    <w:rsid w:val="00741C0B"/>
    <w:rsid w:val="00741DEF"/>
    <w:rsid w:val="00741E07"/>
    <w:rsid w:val="00741E57"/>
    <w:rsid w:val="00741E61"/>
    <w:rsid w:val="0074204C"/>
    <w:rsid w:val="007420F1"/>
    <w:rsid w:val="0074215E"/>
    <w:rsid w:val="00742170"/>
    <w:rsid w:val="00742178"/>
    <w:rsid w:val="00742410"/>
    <w:rsid w:val="007424DD"/>
    <w:rsid w:val="007425BD"/>
    <w:rsid w:val="007425D8"/>
    <w:rsid w:val="00742621"/>
    <w:rsid w:val="007426F9"/>
    <w:rsid w:val="00742899"/>
    <w:rsid w:val="00742948"/>
    <w:rsid w:val="007429D9"/>
    <w:rsid w:val="00742B5F"/>
    <w:rsid w:val="00742C41"/>
    <w:rsid w:val="00742CEE"/>
    <w:rsid w:val="00742D90"/>
    <w:rsid w:val="00742E2E"/>
    <w:rsid w:val="00742E72"/>
    <w:rsid w:val="00742E8E"/>
    <w:rsid w:val="00742EF8"/>
    <w:rsid w:val="00742F2D"/>
    <w:rsid w:val="00742F53"/>
    <w:rsid w:val="00743207"/>
    <w:rsid w:val="00743553"/>
    <w:rsid w:val="007436BC"/>
    <w:rsid w:val="00743743"/>
    <w:rsid w:val="00743774"/>
    <w:rsid w:val="00743836"/>
    <w:rsid w:val="0074396A"/>
    <w:rsid w:val="00743AFC"/>
    <w:rsid w:val="00743B56"/>
    <w:rsid w:val="00743C35"/>
    <w:rsid w:val="00743CCD"/>
    <w:rsid w:val="00743D6B"/>
    <w:rsid w:val="00743D6D"/>
    <w:rsid w:val="00743DC6"/>
    <w:rsid w:val="00743DC8"/>
    <w:rsid w:val="00743E1C"/>
    <w:rsid w:val="00743EA3"/>
    <w:rsid w:val="00743EF9"/>
    <w:rsid w:val="00743FA7"/>
    <w:rsid w:val="00743FCA"/>
    <w:rsid w:val="00743FE1"/>
    <w:rsid w:val="007440D4"/>
    <w:rsid w:val="00744184"/>
    <w:rsid w:val="007441C8"/>
    <w:rsid w:val="007441CA"/>
    <w:rsid w:val="007442D3"/>
    <w:rsid w:val="0074436E"/>
    <w:rsid w:val="00744387"/>
    <w:rsid w:val="007443F8"/>
    <w:rsid w:val="007444DC"/>
    <w:rsid w:val="007444F3"/>
    <w:rsid w:val="007445BA"/>
    <w:rsid w:val="00744794"/>
    <w:rsid w:val="00744828"/>
    <w:rsid w:val="007448A2"/>
    <w:rsid w:val="007448DD"/>
    <w:rsid w:val="00744976"/>
    <w:rsid w:val="007449E4"/>
    <w:rsid w:val="00744B05"/>
    <w:rsid w:val="00744B1E"/>
    <w:rsid w:val="00744B7B"/>
    <w:rsid w:val="00744D9C"/>
    <w:rsid w:val="00744DC6"/>
    <w:rsid w:val="00744E16"/>
    <w:rsid w:val="00744F90"/>
    <w:rsid w:val="00745111"/>
    <w:rsid w:val="0074513C"/>
    <w:rsid w:val="00745154"/>
    <w:rsid w:val="007452C5"/>
    <w:rsid w:val="0074539F"/>
    <w:rsid w:val="0074541E"/>
    <w:rsid w:val="00745435"/>
    <w:rsid w:val="0074544E"/>
    <w:rsid w:val="00745489"/>
    <w:rsid w:val="00745491"/>
    <w:rsid w:val="0074550C"/>
    <w:rsid w:val="007455A6"/>
    <w:rsid w:val="0074561E"/>
    <w:rsid w:val="0074568F"/>
    <w:rsid w:val="007456B7"/>
    <w:rsid w:val="007456F0"/>
    <w:rsid w:val="00745736"/>
    <w:rsid w:val="00745760"/>
    <w:rsid w:val="00745794"/>
    <w:rsid w:val="007457D2"/>
    <w:rsid w:val="0074583B"/>
    <w:rsid w:val="0074586A"/>
    <w:rsid w:val="007458BF"/>
    <w:rsid w:val="007458FC"/>
    <w:rsid w:val="00745972"/>
    <w:rsid w:val="00745A4D"/>
    <w:rsid w:val="00745ABA"/>
    <w:rsid w:val="00745AD2"/>
    <w:rsid w:val="00745BAF"/>
    <w:rsid w:val="00745C52"/>
    <w:rsid w:val="00745E05"/>
    <w:rsid w:val="00745E8D"/>
    <w:rsid w:val="00745EC2"/>
    <w:rsid w:val="00745F4F"/>
    <w:rsid w:val="007460DF"/>
    <w:rsid w:val="0074626C"/>
    <w:rsid w:val="007462ED"/>
    <w:rsid w:val="00746379"/>
    <w:rsid w:val="007463CD"/>
    <w:rsid w:val="00746452"/>
    <w:rsid w:val="0074650C"/>
    <w:rsid w:val="007465D3"/>
    <w:rsid w:val="007465FC"/>
    <w:rsid w:val="00746643"/>
    <w:rsid w:val="00746666"/>
    <w:rsid w:val="007466DD"/>
    <w:rsid w:val="00746783"/>
    <w:rsid w:val="00746956"/>
    <w:rsid w:val="00746B44"/>
    <w:rsid w:val="00746B63"/>
    <w:rsid w:val="00746BFA"/>
    <w:rsid w:val="00746C02"/>
    <w:rsid w:val="00746C35"/>
    <w:rsid w:val="00746C42"/>
    <w:rsid w:val="00746CA3"/>
    <w:rsid w:val="00746EC2"/>
    <w:rsid w:val="00746F07"/>
    <w:rsid w:val="00746F51"/>
    <w:rsid w:val="00746FC1"/>
    <w:rsid w:val="00746FCB"/>
    <w:rsid w:val="00747088"/>
    <w:rsid w:val="00747114"/>
    <w:rsid w:val="007472F2"/>
    <w:rsid w:val="00747363"/>
    <w:rsid w:val="00747399"/>
    <w:rsid w:val="007473A6"/>
    <w:rsid w:val="007473E9"/>
    <w:rsid w:val="00747469"/>
    <w:rsid w:val="0074749B"/>
    <w:rsid w:val="007474BB"/>
    <w:rsid w:val="007474DB"/>
    <w:rsid w:val="00747589"/>
    <w:rsid w:val="007476BE"/>
    <w:rsid w:val="0074773B"/>
    <w:rsid w:val="007477A4"/>
    <w:rsid w:val="007477EB"/>
    <w:rsid w:val="0074782C"/>
    <w:rsid w:val="00747849"/>
    <w:rsid w:val="0074790C"/>
    <w:rsid w:val="007479D6"/>
    <w:rsid w:val="00747AAA"/>
    <w:rsid w:val="00747BB4"/>
    <w:rsid w:val="00747C20"/>
    <w:rsid w:val="00747D0B"/>
    <w:rsid w:val="00747E0B"/>
    <w:rsid w:val="00747E2D"/>
    <w:rsid w:val="00747F04"/>
    <w:rsid w:val="00747F60"/>
    <w:rsid w:val="00747FA6"/>
    <w:rsid w:val="007500F5"/>
    <w:rsid w:val="00750199"/>
    <w:rsid w:val="007501F5"/>
    <w:rsid w:val="007505B3"/>
    <w:rsid w:val="00750626"/>
    <w:rsid w:val="007506FB"/>
    <w:rsid w:val="00750766"/>
    <w:rsid w:val="007507D1"/>
    <w:rsid w:val="007507D7"/>
    <w:rsid w:val="007509B7"/>
    <w:rsid w:val="00750A92"/>
    <w:rsid w:val="00750BF5"/>
    <w:rsid w:val="00750C2F"/>
    <w:rsid w:val="00750CB5"/>
    <w:rsid w:val="00750CC6"/>
    <w:rsid w:val="00750E61"/>
    <w:rsid w:val="00750E9E"/>
    <w:rsid w:val="00750EA5"/>
    <w:rsid w:val="00750F03"/>
    <w:rsid w:val="00750F56"/>
    <w:rsid w:val="00750F65"/>
    <w:rsid w:val="00750FB7"/>
    <w:rsid w:val="00751082"/>
    <w:rsid w:val="007510D0"/>
    <w:rsid w:val="0075116A"/>
    <w:rsid w:val="00751180"/>
    <w:rsid w:val="0075139A"/>
    <w:rsid w:val="007514A2"/>
    <w:rsid w:val="00751722"/>
    <w:rsid w:val="00751759"/>
    <w:rsid w:val="0075184E"/>
    <w:rsid w:val="007519CA"/>
    <w:rsid w:val="00751AEC"/>
    <w:rsid w:val="00751C4A"/>
    <w:rsid w:val="00751C84"/>
    <w:rsid w:val="00751D06"/>
    <w:rsid w:val="00751D72"/>
    <w:rsid w:val="00751DB5"/>
    <w:rsid w:val="00751E06"/>
    <w:rsid w:val="00751E5B"/>
    <w:rsid w:val="00751ECB"/>
    <w:rsid w:val="00751F4D"/>
    <w:rsid w:val="00751F81"/>
    <w:rsid w:val="0075210F"/>
    <w:rsid w:val="00752128"/>
    <w:rsid w:val="00752135"/>
    <w:rsid w:val="0075213F"/>
    <w:rsid w:val="007521D5"/>
    <w:rsid w:val="007521EB"/>
    <w:rsid w:val="0075223C"/>
    <w:rsid w:val="00752294"/>
    <w:rsid w:val="007522D0"/>
    <w:rsid w:val="0075230A"/>
    <w:rsid w:val="0075231E"/>
    <w:rsid w:val="00752446"/>
    <w:rsid w:val="0075255A"/>
    <w:rsid w:val="0075279A"/>
    <w:rsid w:val="00752821"/>
    <w:rsid w:val="00752833"/>
    <w:rsid w:val="007528AE"/>
    <w:rsid w:val="007529B7"/>
    <w:rsid w:val="00752A9D"/>
    <w:rsid w:val="00752B64"/>
    <w:rsid w:val="00752B76"/>
    <w:rsid w:val="00752C4D"/>
    <w:rsid w:val="00752D56"/>
    <w:rsid w:val="00752E64"/>
    <w:rsid w:val="00752EC5"/>
    <w:rsid w:val="00752ECD"/>
    <w:rsid w:val="00752ECE"/>
    <w:rsid w:val="00752EF8"/>
    <w:rsid w:val="00752F06"/>
    <w:rsid w:val="00752F91"/>
    <w:rsid w:val="0075305C"/>
    <w:rsid w:val="00753231"/>
    <w:rsid w:val="0075327E"/>
    <w:rsid w:val="0075328C"/>
    <w:rsid w:val="007533BD"/>
    <w:rsid w:val="00753427"/>
    <w:rsid w:val="00753433"/>
    <w:rsid w:val="0075356F"/>
    <w:rsid w:val="0075361D"/>
    <w:rsid w:val="0075368D"/>
    <w:rsid w:val="0075373E"/>
    <w:rsid w:val="0075392F"/>
    <w:rsid w:val="0075397E"/>
    <w:rsid w:val="007539B8"/>
    <w:rsid w:val="00753B0B"/>
    <w:rsid w:val="00753B71"/>
    <w:rsid w:val="00753C4C"/>
    <w:rsid w:val="00753CFD"/>
    <w:rsid w:val="00753F0D"/>
    <w:rsid w:val="00753F21"/>
    <w:rsid w:val="00753F3E"/>
    <w:rsid w:val="00753F5C"/>
    <w:rsid w:val="00753F90"/>
    <w:rsid w:val="0075407D"/>
    <w:rsid w:val="00754098"/>
    <w:rsid w:val="00754236"/>
    <w:rsid w:val="007543B7"/>
    <w:rsid w:val="00754455"/>
    <w:rsid w:val="007544B9"/>
    <w:rsid w:val="007545B3"/>
    <w:rsid w:val="007545DE"/>
    <w:rsid w:val="007546E6"/>
    <w:rsid w:val="007546F7"/>
    <w:rsid w:val="007546FE"/>
    <w:rsid w:val="007548DD"/>
    <w:rsid w:val="007549F3"/>
    <w:rsid w:val="00754A1E"/>
    <w:rsid w:val="00754AB9"/>
    <w:rsid w:val="00754B1B"/>
    <w:rsid w:val="00754B38"/>
    <w:rsid w:val="00754B44"/>
    <w:rsid w:val="00754C10"/>
    <w:rsid w:val="00754C34"/>
    <w:rsid w:val="00754C6D"/>
    <w:rsid w:val="00754E2C"/>
    <w:rsid w:val="00754E7B"/>
    <w:rsid w:val="00754F93"/>
    <w:rsid w:val="00754FA3"/>
    <w:rsid w:val="00755080"/>
    <w:rsid w:val="007550EC"/>
    <w:rsid w:val="0075515D"/>
    <w:rsid w:val="00755161"/>
    <w:rsid w:val="00755169"/>
    <w:rsid w:val="0075521A"/>
    <w:rsid w:val="0075532A"/>
    <w:rsid w:val="007553B5"/>
    <w:rsid w:val="007553C4"/>
    <w:rsid w:val="007554C0"/>
    <w:rsid w:val="0075554C"/>
    <w:rsid w:val="0075557A"/>
    <w:rsid w:val="0075560B"/>
    <w:rsid w:val="00755735"/>
    <w:rsid w:val="00755B9E"/>
    <w:rsid w:val="00755BF2"/>
    <w:rsid w:val="00755C65"/>
    <w:rsid w:val="00755CB0"/>
    <w:rsid w:val="00755CFC"/>
    <w:rsid w:val="00755D60"/>
    <w:rsid w:val="00755F3B"/>
    <w:rsid w:val="007561B2"/>
    <w:rsid w:val="007561C3"/>
    <w:rsid w:val="00756211"/>
    <w:rsid w:val="00756251"/>
    <w:rsid w:val="0075627C"/>
    <w:rsid w:val="0075639C"/>
    <w:rsid w:val="007563A4"/>
    <w:rsid w:val="007563FD"/>
    <w:rsid w:val="0075655A"/>
    <w:rsid w:val="0075656F"/>
    <w:rsid w:val="007566BB"/>
    <w:rsid w:val="007566E0"/>
    <w:rsid w:val="0075680C"/>
    <w:rsid w:val="007568C5"/>
    <w:rsid w:val="00756921"/>
    <w:rsid w:val="00756B80"/>
    <w:rsid w:val="00756BAA"/>
    <w:rsid w:val="00756E4B"/>
    <w:rsid w:val="00756E86"/>
    <w:rsid w:val="00756ED1"/>
    <w:rsid w:val="00756F91"/>
    <w:rsid w:val="00756FCE"/>
    <w:rsid w:val="00756FFE"/>
    <w:rsid w:val="00757050"/>
    <w:rsid w:val="0075708E"/>
    <w:rsid w:val="007570D4"/>
    <w:rsid w:val="0075710B"/>
    <w:rsid w:val="007571BE"/>
    <w:rsid w:val="00757295"/>
    <w:rsid w:val="00757306"/>
    <w:rsid w:val="00757516"/>
    <w:rsid w:val="0075771C"/>
    <w:rsid w:val="007577E3"/>
    <w:rsid w:val="007577F8"/>
    <w:rsid w:val="007578AC"/>
    <w:rsid w:val="00757A26"/>
    <w:rsid w:val="00757AEA"/>
    <w:rsid w:val="00757BB5"/>
    <w:rsid w:val="00757DBE"/>
    <w:rsid w:val="00757E85"/>
    <w:rsid w:val="00757EAE"/>
    <w:rsid w:val="00757F42"/>
    <w:rsid w:val="0076000C"/>
    <w:rsid w:val="0076006D"/>
    <w:rsid w:val="007600F3"/>
    <w:rsid w:val="00760289"/>
    <w:rsid w:val="007602D6"/>
    <w:rsid w:val="007602D8"/>
    <w:rsid w:val="007603C0"/>
    <w:rsid w:val="007603F2"/>
    <w:rsid w:val="007606A3"/>
    <w:rsid w:val="007606E3"/>
    <w:rsid w:val="0076081A"/>
    <w:rsid w:val="007608E0"/>
    <w:rsid w:val="007608E4"/>
    <w:rsid w:val="00760994"/>
    <w:rsid w:val="00760B97"/>
    <w:rsid w:val="00760BD1"/>
    <w:rsid w:val="00760D7E"/>
    <w:rsid w:val="00760EC7"/>
    <w:rsid w:val="00760EF0"/>
    <w:rsid w:val="00760F59"/>
    <w:rsid w:val="00761008"/>
    <w:rsid w:val="007610DB"/>
    <w:rsid w:val="00761101"/>
    <w:rsid w:val="00761183"/>
    <w:rsid w:val="00761265"/>
    <w:rsid w:val="007612AE"/>
    <w:rsid w:val="007614D1"/>
    <w:rsid w:val="00761504"/>
    <w:rsid w:val="00761584"/>
    <w:rsid w:val="0076158C"/>
    <w:rsid w:val="007615EF"/>
    <w:rsid w:val="007615F2"/>
    <w:rsid w:val="0076177A"/>
    <w:rsid w:val="007617A3"/>
    <w:rsid w:val="007617C6"/>
    <w:rsid w:val="0076188A"/>
    <w:rsid w:val="00761893"/>
    <w:rsid w:val="0076191F"/>
    <w:rsid w:val="00761A56"/>
    <w:rsid w:val="00761AC3"/>
    <w:rsid w:val="00761C8D"/>
    <w:rsid w:val="00761CC4"/>
    <w:rsid w:val="00761D15"/>
    <w:rsid w:val="00761D36"/>
    <w:rsid w:val="00761D3B"/>
    <w:rsid w:val="00761D75"/>
    <w:rsid w:val="00761DB6"/>
    <w:rsid w:val="00761E52"/>
    <w:rsid w:val="00761E69"/>
    <w:rsid w:val="00761E80"/>
    <w:rsid w:val="00761ED3"/>
    <w:rsid w:val="00761EFD"/>
    <w:rsid w:val="00761F2E"/>
    <w:rsid w:val="00761F94"/>
    <w:rsid w:val="00761FC7"/>
    <w:rsid w:val="00762048"/>
    <w:rsid w:val="007620BC"/>
    <w:rsid w:val="007620CB"/>
    <w:rsid w:val="0076213F"/>
    <w:rsid w:val="00762515"/>
    <w:rsid w:val="007625A0"/>
    <w:rsid w:val="00762613"/>
    <w:rsid w:val="00762723"/>
    <w:rsid w:val="0076273D"/>
    <w:rsid w:val="007627AB"/>
    <w:rsid w:val="007627D2"/>
    <w:rsid w:val="0076283A"/>
    <w:rsid w:val="0076287D"/>
    <w:rsid w:val="007628BE"/>
    <w:rsid w:val="00762910"/>
    <w:rsid w:val="007629C9"/>
    <w:rsid w:val="00762A1C"/>
    <w:rsid w:val="00762A9A"/>
    <w:rsid w:val="00762A9C"/>
    <w:rsid w:val="00762AEF"/>
    <w:rsid w:val="00762BF5"/>
    <w:rsid w:val="00762C33"/>
    <w:rsid w:val="00762CAB"/>
    <w:rsid w:val="00762EAA"/>
    <w:rsid w:val="00762EEE"/>
    <w:rsid w:val="00762F1E"/>
    <w:rsid w:val="00762F2D"/>
    <w:rsid w:val="00762F8A"/>
    <w:rsid w:val="00763103"/>
    <w:rsid w:val="00763148"/>
    <w:rsid w:val="007631AF"/>
    <w:rsid w:val="007631C6"/>
    <w:rsid w:val="00763302"/>
    <w:rsid w:val="00763365"/>
    <w:rsid w:val="007633A8"/>
    <w:rsid w:val="007633C0"/>
    <w:rsid w:val="007633F3"/>
    <w:rsid w:val="00763426"/>
    <w:rsid w:val="0076347B"/>
    <w:rsid w:val="007634A2"/>
    <w:rsid w:val="0076354B"/>
    <w:rsid w:val="00763566"/>
    <w:rsid w:val="0076368B"/>
    <w:rsid w:val="00763731"/>
    <w:rsid w:val="00763748"/>
    <w:rsid w:val="0076387A"/>
    <w:rsid w:val="00763919"/>
    <w:rsid w:val="00763A6A"/>
    <w:rsid w:val="00763B0E"/>
    <w:rsid w:val="00763B9E"/>
    <w:rsid w:val="00763C0D"/>
    <w:rsid w:val="00763C3B"/>
    <w:rsid w:val="00763E05"/>
    <w:rsid w:val="00763E48"/>
    <w:rsid w:val="00763E61"/>
    <w:rsid w:val="00763F54"/>
    <w:rsid w:val="00763FD8"/>
    <w:rsid w:val="0076404A"/>
    <w:rsid w:val="00764084"/>
    <w:rsid w:val="00764189"/>
    <w:rsid w:val="0076428F"/>
    <w:rsid w:val="007642AB"/>
    <w:rsid w:val="007642D0"/>
    <w:rsid w:val="00764383"/>
    <w:rsid w:val="00764456"/>
    <w:rsid w:val="007644DD"/>
    <w:rsid w:val="0076452B"/>
    <w:rsid w:val="00764565"/>
    <w:rsid w:val="00764579"/>
    <w:rsid w:val="007645B4"/>
    <w:rsid w:val="00764657"/>
    <w:rsid w:val="007646BD"/>
    <w:rsid w:val="007646CB"/>
    <w:rsid w:val="007646F1"/>
    <w:rsid w:val="00764804"/>
    <w:rsid w:val="007648FB"/>
    <w:rsid w:val="007649AB"/>
    <w:rsid w:val="007649DD"/>
    <w:rsid w:val="00764AAF"/>
    <w:rsid w:val="00764B97"/>
    <w:rsid w:val="00764BD5"/>
    <w:rsid w:val="00764BF2"/>
    <w:rsid w:val="00764C0E"/>
    <w:rsid w:val="00764C8D"/>
    <w:rsid w:val="00764D4B"/>
    <w:rsid w:val="00764EC7"/>
    <w:rsid w:val="00764F13"/>
    <w:rsid w:val="00764F24"/>
    <w:rsid w:val="007650DD"/>
    <w:rsid w:val="0076510B"/>
    <w:rsid w:val="00765180"/>
    <w:rsid w:val="007651F9"/>
    <w:rsid w:val="0076529B"/>
    <w:rsid w:val="007652B2"/>
    <w:rsid w:val="00765321"/>
    <w:rsid w:val="00765474"/>
    <w:rsid w:val="0076550A"/>
    <w:rsid w:val="00765567"/>
    <w:rsid w:val="00765674"/>
    <w:rsid w:val="00765807"/>
    <w:rsid w:val="00765853"/>
    <w:rsid w:val="007658B5"/>
    <w:rsid w:val="00765903"/>
    <w:rsid w:val="0076592E"/>
    <w:rsid w:val="00765A6A"/>
    <w:rsid w:val="00765A6C"/>
    <w:rsid w:val="00765AD4"/>
    <w:rsid w:val="00765B01"/>
    <w:rsid w:val="00765B36"/>
    <w:rsid w:val="00765B4F"/>
    <w:rsid w:val="00765C07"/>
    <w:rsid w:val="00765DBC"/>
    <w:rsid w:val="00765DDD"/>
    <w:rsid w:val="00765E13"/>
    <w:rsid w:val="00765E1E"/>
    <w:rsid w:val="00765E4C"/>
    <w:rsid w:val="00765EAC"/>
    <w:rsid w:val="00765F0B"/>
    <w:rsid w:val="00765F37"/>
    <w:rsid w:val="00765F3B"/>
    <w:rsid w:val="00765F7C"/>
    <w:rsid w:val="007661B3"/>
    <w:rsid w:val="00766223"/>
    <w:rsid w:val="007663AD"/>
    <w:rsid w:val="007663F6"/>
    <w:rsid w:val="00766494"/>
    <w:rsid w:val="0076653A"/>
    <w:rsid w:val="0076658B"/>
    <w:rsid w:val="00766601"/>
    <w:rsid w:val="007666B6"/>
    <w:rsid w:val="007666FF"/>
    <w:rsid w:val="0076679E"/>
    <w:rsid w:val="007667A7"/>
    <w:rsid w:val="0076681F"/>
    <w:rsid w:val="007668E7"/>
    <w:rsid w:val="00766911"/>
    <w:rsid w:val="007669B5"/>
    <w:rsid w:val="00766A00"/>
    <w:rsid w:val="00766A25"/>
    <w:rsid w:val="00766A5A"/>
    <w:rsid w:val="00766AA4"/>
    <w:rsid w:val="00766B10"/>
    <w:rsid w:val="00766C32"/>
    <w:rsid w:val="00766C38"/>
    <w:rsid w:val="00766CD6"/>
    <w:rsid w:val="00766D35"/>
    <w:rsid w:val="00766D5F"/>
    <w:rsid w:val="00766DA4"/>
    <w:rsid w:val="00766DCB"/>
    <w:rsid w:val="00766E86"/>
    <w:rsid w:val="00766F9A"/>
    <w:rsid w:val="00767026"/>
    <w:rsid w:val="00767037"/>
    <w:rsid w:val="007670CC"/>
    <w:rsid w:val="00767125"/>
    <w:rsid w:val="00767210"/>
    <w:rsid w:val="00767257"/>
    <w:rsid w:val="00767267"/>
    <w:rsid w:val="007672D7"/>
    <w:rsid w:val="00767353"/>
    <w:rsid w:val="0076738B"/>
    <w:rsid w:val="00767458"/>
    <w:rsid w:val="00767472"/>
    <w:rsid w:val="00767482"/>
    <w:rsid w:val="007674D5"/>
    <w:rsid w:val="007674E9"/>
    <w:rsid w:val="00767518"/>
    <w:rsid w:val="007676A5"/>
    <w:rsid w:val="007676EC"/>
    <w:rsid w:val="007677B2"/>
    <w:rsid w:val="007677EC"/>
    <w:rsid w:val="00767808"/>
    <w:rsid w:val="00767833"/>
    <w:rsid w:val="00767889"/>
    <w:rsid w:val="007678F3"/>
    <w:rsid w:val="007679F6"/>
    <w:rsid w:val="00767A66"/>
    <w:rsid w:val="00767A7B"/>
    <w:rsid w:val="00767B25"/>
    <w:rsid w:val="00767CBE"/>
    <w:rsid w:val="00767D0A"/>
    <w:rsid w:val="00767D30"/>
    <w:rsid w:val="00767D57"/>
    <w:rsid w:val="00767D5A"/>
    <w:rsid w:val="00767EF4"/>
    <w:rsid w:val="00767F1F"/>
    <w:rsid w:val="00770084"/>
    <w:rsid w:val="007701BD"/>
    <w:rsid w:val="00770205"/>
    <w:rsid w:val="0077025E"/>
    <w:rsid w:val="007702CC"/>
    <w:rsid w:val="007703A8"/>
    <w:rsid w:val="007703BD"/>
    <w:rsid w:val="007703C0"/>
    <w:rsid w:val="007704D0"/>
    <w:rsid w:val="007704F4"/>
    <w:rsid w:val="00770527"/>
    <w:rsid w:val="00770548"/>
    <w:rsid w:val="0077059F"/>
    <w:rsid w:val="007705A3"/>
    <w:rsid w:val="007706DB"/>
    <w:rsid w:val="00770750"/>
    <w:rsid w:val="00770772"/>
    <w:rsid w:val="0077077C"/>
    <w:rsid w:val="007707F6"/>
    <w:rsid w:val="007708E1"/>
    <w:rsid w:val="00770908"/>
    <w:rsid w:val="0077094F"/>
    <w:rsid w:val="00770982"/>
    <w:rsid w:val="007709AB"/>
    <w:rsid w:val="007709D0"/>
    <w:rsid w:val="00770A32"/>
    <w:rsid w:val="00770A98"/>
    <w:rsid w:val="00770BD8"/>
    <w:rsid w:val="00770CE4"/>
    <w:rsid w:val="00770D2D"/>
    <w:rsid w:val="00770DA2"/>
    <w:rsid w:val="00770E23"/>
    <w:rsid w:val="00771011"/>
    <w:rsid w:val="00771111"/>
    <w:rsid w:val="0077112C"/>
    <w:rsid w:val="00771199"/>
    <w:rsid w:val="007711A3"/>
    <w:rsid w:val="00771409"/>
    <w:rsid w:val="00771486"/>
    <w:rsid w:val="00771513"/>
    <w:rsid w:val="007715B9"/>
    <w:rsid w:val="007715E8"/>
    <w:rsid w:val="00771621"/>
    <w:rsid w:val="0077171A"/>
    <w:rsid w:val="00771914"/>
    <w:rsid w:val="007719FC"/>
    <w:rsid w:val="00771A8A"/>
    <w:rsid w:val="00771B3F"/>
    <w:rsid w:val="00771BCF"/>
    <w:rsid w:val="00771C83"/>
    <w:rsid w:val="00771C94"/>
    <w:rsid w:val="00771CDD"/>
    <w:rsid w:val="00771D66"/>
    <w:rsid w:val="00771D75"/>
    <w:rsid w:val="00771D8D"/>
    <w:rsid w:val="00771DD4"/>
    <w:rsid w:val="00771E15"/>
    <w:rsid w:val="00771F21"/>
    <w:rsid w:val="00771F6D"/>
    <w:rsid w:val="007720C5"/>
    <w:rsid w:val="0077211B"/>
    <w:rsid w:val="00772126"/>
    <w:rsid w:val="007721EC"/>
    <w:rsid w:val="00772252"/>
    <w:rsid w:val="007724F1"/>
    <w:rsid w:val="007725F7"/>
    <w:rsid w:val="00772834"/>
    <w:rsid w:val="0077286C"/>
    <w:rsid w:val="0077286E"/>
    <w:rsid w:val="007728B7"/>
    <w:rsid w:val="0077299A"/>
    <w:rsid w:val="007729F3"/>
    <w:rsid w:val="00772D51"/>
    <w:rsid w:val="00772D6F"/>
    <w:rsid w:val="00772EAD"/>
    <w:rsid w:val="00772EE6"/>
    <w:rsid w:val="00772F15"/>
    <w:rsid w:val="00772F22"/>
    <w:rsid w:val="00772F37"/>
    <w:rsid w:val="00772FCC"/>
    <w:rsid w:val="0077307B"/>
    <w:rsid w:val="0077307F"/>
    <w:rsid w:val="007730C5"/>
    <w:rsid w:val="00773137"/>
    <w:rsid w:val="0077316F"/>
    <w:rsid w:val="007732A0"/>
    <w:rsid w:val="00773454"/>
    <w:rsid w:val="00773503"/>
    <w:rsid w:val="0077356C"/>
    <w:rsid w:val="0077368C"/>
    <w:rsid w:val="00773747"/>
    <w:rsid w:val="00773756"/>
    <w:rsid w:val="007737DF"/>
    <w:rsid w:val="00773899"/>
    <w:rsid w:val="0077399A"/>
    <w:rsid w:val="00773A32"/>
    <w:rsid w:val="00773B42"/>
    <w:rsid w:val="00773BAF"/>
    <w:rsid w:val="00773C57"/>
    <w:rsid w:val="00773D27"/>
    <w:rsid w:val="00773DAF"/>
    <w:rsid w:val="00773DC6"/>
    <w:rsid w:val="00773EC4"/>
    <w:rsid w:val="00773EDC"/>
    <w:rsid w:val="00773EE2"/>
    <w:rsid w:val="00773F53"/>
    <w:rsid w:val="00774005"/>
    <w:rsid w:val="007740C1"/>
    <w:rsid w:val="007741AA"/>
    <w:rsid w:val="00774328"/>
    <w:rsid w:val="007743AA"/>
    <w:rsid w:val="0077444E"/>
    <w:rsid w:val="0077454B"/>
    <w:rsid w:val="00774552"/>
    <w:rsid w:val="0077477B"/>
    <w:rsid w:val="00774794"/>
    <w:rsid w:val="007747E5"/>
    <w:rsid w:val="007747F9"/>
    <w:rsid w:val="00774897"/>
    <w:rsid w:val="007748AF"/>
    <w:rsid w:val="007748DF"/>
    <w:rsid w:val="00774A5C"/>
    <w:rsid w:val="00774AB6"/>
    <w:rsid w:val="00774B1A"/>
    <w:rsid w:val="00774BE7"/>
    <w:rsid w:val="00774D64"/>
    <w:rsid w:val="00774D8E"/>
    <w:rsid w:val="00774E27"/>
    <w:rsid w:val="00774EAA"/>
    <w:rsid w:val="00774F15"/>
    <w:rsid w:val="00775017"/>
    <w:rsid w:val="007750F2"/>
    <w:rsid w:val="007751CE"/>
    <w:rsid w:val="00775269"/>
    <w:rsid w:val="0077528D"/>
    <w:rsid w:val="0077539D"/>
    <w:rsid w:val="007753EA"/>
    <w:rsid w:val="00775420"/>
    <w:rsid w:val="00775453"/>
    <w:rsid w:val="007754EF"/>
    <w:rsid w:val="0077554D"/>
    <w:rsid w:val="0077555C"/>
    <w:rsid w:val="0077555D"/>
    <w:rsid w:val="00775609"/>
    <w:rsid w:val="00775750"/>
    <w:rsid w:val="0077586B"/>
    <w:rsid w:val="0077587B"/>
    <w:rsid w:val="00775994"/>
    <w:rsid w:val="007759DA"/>
    <w:rsid w:val="007759E8"/>
    <w:rsid w:val="00775AEB"/>
    <w:rsid w:val="00775B5B"/>
    <w:rsid w:val="00775B85"/>
    <w:rsid w:val="00775C13"/>
    <w:rsid w:val="00775C4A"/>
    <w:rsid w:val="00775C97"/>
    <w:rsid w:val="00775CB2"/>
    <w:rsid w:val="00775CFB"/>
    <w:rsid w:val="00775D25"/>
    <w:rsid w:val="00775DA0"/>
    <w:rsid w:val="00775E76"/>
    <w:rsid w:val="00775EA3"/>
    <w:rsid w:val="00775F17"/>
    <w:rsid w:val="00775F2F"/>
    <w:rsid w:val="00776007"/>
    <w:rsid w:val="00776033"/>
    <w:rsid w:val="00776044"/>
    <w:rsid w:val="007760A1"/>
    <w:rsid w:val="0077611C"/>
    <w:rsid w:val="007762EB"/>
    <w:rsid w:val="0077639C"/>
    <w:rsid w:val="007763EA"/>
    <w:rsid w:val="00776588"/>
    <w:rsid w:val="00776648"/>
    <w:rsid w:val="0077665A"/>
    <w:rsid w:val="00776661"/>
    <w:rsid w:val="00776675"/>
    <w:rsid w:val="007766A2"/>
    <w:rsid w:val="007766B2"/>
    <w:rsid w:val="00776715"/>
    <w:rsid w:val="00776741"/>
    <w:rsid w:val="007767ED"/>
    <w:rsid w:val="007767F3"/>
    <w:rsid w:val="0077684F"/>
    <w:rsid w:val="00776927"/>
    <w:rsid w:val="0077698C"/>
    <w:rsid w:val="007769F0"/>
    <w:rsid w:val="00776BB4"/>
    <w:rsid w:val="00776BBA"/>
    <w:rsid w:val="00776BFA"/>
    <w:rsid w:val="00776C29"/>
    <w:rsid w:val="00776C59"/>
    <w:rsid w:val="00776C61"/>
    <w:rsid w:val="00776C72"/>
    <w:rsid w:val="00776CD2"/>
    <w:rsid w:val="00776D20"/>
    <w:rsid w:val="00776D2A"/>
    <w:rsid w:val="00776DB5"/>
    <w:rsid w:val="00776F89"/>
    <w:rsid w:val="00776F97"/>
    <w:rsid w:val="00776FC9"/>
    <w:rsid w:val="0077708A"/>
    <w:rsid w:val="00777193"/>
    <w:rsid w:val="0077722C"/>
    <w:rsid w:val="0077729D"/>
    <w:rsid w:val="007772BA"/>
    <w:rsid w:val="0077733B"/>
    <w:rsid w:val="00777350"/>
    <w:rsid w:val="0077743C"/>
    <w:rsid w:val="0077749A"/>
    <w:rsid w:val="007774F2"/>
    <w:rsid w:val="0077757A"/>
    <w:rsid w:val="00777604"/>
    <w:rsid w:val="0077767E"/>
    <w:rsid w:val="00777681"/>
    <w:rsid w:val="007777FE"/>
    <w:rsid w:val="0077782E"/>
    <w:rsid w:val="0077783B"/>
    <w:rsid w:val="00777B04"/>
    <w:rsid w:val="00777CB2"/>
    <w:rsid w:val="00777CF8"/>
    <w:rsid w:val="00777D35"/>
    <w:rsid w:val="00777D49"/>
    <w:rsid w:val="00777D87"/>
    <w:rsid w:val="00777E7C"/>
    <w:rsid w:val="00777F49"/>
    <w:rsid w:val="00780033"/>
    <w:rsid w:val="00780042"/>
    <w:rsid w:val="007800EF"/>
    <w:rsid w:val="007801E9"/>
    <w:rsid w:val="007801EF"/>
    <w:rsid w:val="00780278"/>
    <w:rsid w:val="007802DE"/>
    <w:rsid w:val="00780328"/>
    <w:rsid w:val="00780347"/>
    <w:rsid w:val="007804FE"/>
    <w:rsid w:val="007806F6"/>
    <w:rsid w:val="00780713"/>
    <w:rsid w:val="0078071C"/>
    <w:rsid w:val="007808FE"/>
    <w:rsid w:val="00780AC7"/>
    <w:rsid w:val="00780B01"/>
    <w:rsid w:val="00780D1F"/>
    <w:rsid w:val="00780E49"/>
    <w:rsid w:val="00780E90"/>
    <w:rsid w:val="00780F10"/>
    <w:rsid w:val="00780F25"/>
    <w:rsid w:val="00780F78"/>
    <w:rsid w:val="00780FB8"/>
    <w:rsid w:val="00780FE8"/>
    <w:rsid w:val="007810C1"/>
    <w:rsid w:val="0078118A"/>
    <w:rsid w:val="00781257"/>
    <w:rsid w:val="007812A7"/>
    <w:rsid w:val="00781316"/>
    <w:rsid w:val="0078131E"/>
    <w:rsid w:val="00781497"/>
    <w:rsid w:val="00781522"/>
    <w:rsid w:val="0078155A"/>
    <w:rsid w:val="0078172E"/>
    <w:rsid w:val="007817B5"/>
    <w:rsid w:val="007817DC"/>
    <w:rsid w:val="007817E3"/>
    <w:rsid w:val="00781878"/>
    <w:rsid w:val="00781895"/>
    <w:rsid w:val="007818ED"/>
    <w:rsid w:val="00781A72"/>
    <w:rsid w:val="00781CBB"/>
    <w:rsid w:val="00781CBD"/>
    <w:rsid w:val="00781D15"/>
    <w:rsid w:val="00781E39"/>
    <w:rsid w:val="00782018"/>
    <w:rsid w:val="00782118"/>
    <w:rsid w:val="00782190"/>
    <w:rsid w:val="0078222E"/>
    <w:rsid w:val="00782337"/>
    <w:rsid w:val="00782356"/>
    <w:rsid w:val="00782366"/>
    <w:rsid w:val="007823D8"/>
    <w:rsid w:val="00782400"/>
    <w:rsid w:val="0078257F"/>
    <w:rsid w:val="00782746"/>
    <w:rsid w:val="0078278E"/>
    <w:rsid w:val="007827FE"/>
    <w:rsid w:val="0078288C"/>
    <w:rsid w:val="00782957"/>
    <w:rsid w:val="007829CC"/>
    <w:rsid w:val="00782AE4"/>
    <w:rsid w:val="00782C5D"/>
    <w:rsid w:val="00782C75"/>
    <w:rsid w:val="00782CD0"/>
    <w:rsid w:val="00782E41"/>
    <w:rsid w:val="00782E9B"/>
    <w:rsid w:val="00782EA8"/>
    <w:rsid w:val="00782EAB"/>
    <w:rsid w:val="00783017"/>
    <w:rsid w:val="00783136"/>
    <w:rsid w:val="007831AE"/>
    <w:rsid w:val="0078322E"/>
    <w:rsid w:val="0078342B"/>
    <w:rsid w:val="007834A3"/>
    <w:rsid w:val="00783541"/>
    <w:rsid w:val="007835C5"/>
    <w:rsid w:val="00783654"/>
    <w:rsid w:val="0078372C"/>
    <w:rsid w:val="007839A4"/>
    <w:rsid w:val="00783A59"/>
    <w:rsid w:val="00783AEE"/>
    <w:rsid w:val="00783B65"/>
    <w:rsid w:val="00783BA3"/>
    <w:rsid w:val="00783D16"/>
    <w:rsid w:val="00783D91"/>
    <w:rsid w:val="00783E0E"/>
    <w:rsid w:val="00783EC2"/>
    <w:rsid w:val="00783ECD"/>
    <w:rsid w:val="00783F09"/>
    <w:rsid w:val="00783F49"/>
    <w:rsid w:val="00784007"/>
    <w:rsid w:val="00784051"/>
    <w:rsid w:val="00784124"/>
    <w:rsid w:val="00784174"/>
    <w:rsid w:val="00784179"/>
    <w:rsid w:val="007841C0"/>
    <w:rsid w:val="007842AA"/>
    <w:rsid w:val="007842B4"/>
    <w:rsid w:val="007842C1"/>
    <w:rsid w:val="007842FF"/>
    <w:rsid w:val="00784375"/>
    <w:rsid w:val="007843BB"/>
    <w:rsid w:val="007844DC"/>
    <w:rsid w:val="007845E1"/>
    <w:rsid w:val="00784607"/>
    <w:rsid w:val="00784693"/>
    <w:rsid w:val="007846D2"/>
    <w:rsid w:val="00784792"/>
    <w:rsid w:val="007848F1"/>
    <w:rsid w:val="007848FF"/>
    <w:rsid w:val="007849FC"/>
    <w:rsid w:val="00784A70"/>
    <w:rsid w:val="00784A76"/>
    <w:rsid w:val="00784ACD"/>
    <w:rsid w:val="00784ADD"/>
    <w:rsid w:val="00784C8C"/>
    <w:rsid w:val="00784CAB"/>
    <w:rsid w:val="00784CD7"/>
    <w:rsid w:val="00784CFB"/>
    <w:rsid w:val="00784E29"/>
    <w:rsid w:val="00784E76"/>
    <w:rsid w:val="00784ED1"/>
    <w:rsid w:val="00784EFA"/>
    <w:rsid w:val="00784FC4"/>
    <w:rsid w:val="00784FD6"/>
    <w:rsid w:val="007850A2"/>
    <w:rsid w:val="00785186"/>
    <w:rsid w:val="007851A7"/>
    <w:rsid w:val="007851C7"/>
    <w:rsid w:val="007851DA"/>
    <w:rsid w:val="00785232"/>
    <w:rsid w:val="0078533E"/>
    <w:rsid w:val="0078539C"/>
    <w:rsid w:val="007853CB"/>
    <w:rsid w:val="0078541F"/>
    <w:rsid w:val="00785495"/>
    <w:rsid w:val="007856CA"/>
    <w:rsid w:val="00785832"/>
    <w:rsid w:val="0078583C"/>
    <w:rsid w:val="007858D9"/>
    <w:rsid w:val="007859A3"/>
    <w:rsid w:val="007859B6"/>
    <w:rsid w:val="007859DE"/>
    <w:rsid w:val="00785A48"/>
    <w:rsid w:val="00785A74"/>
    <w:rsid w:val="00785AB1"/>
    <w:rsid w:val="00785ADA"/>
    <w:rsid w:val="00785C21"/>
    <w:rsid w:val="00785C8A"/>
    <w:rsid w:val="00785DC1"/>
    <w:rsid w:val="00785DEB"/>
    <w:rsid w:val="00785DFC"/>
    <w:rsid w:val="00785E26"/>
    <w:rsid w:val="00785E32"/>
    <w:rsid w:val="00785E8B"/>
    <w:rsid w:val="00785F84"/>
    <w:rsid w:val="007860BC"/>
    <w:rsid w:val="007861F4"/>
    <w:rsid w:val="00786221"/>
    <w:rsid w:val="00786233"/>
    <w:rsid w:val="0078626F"/>
    <w:rsid w:val="0078628A"/>
    <w:rsid w:val="0078645A"/>
    <w:rsid w:val="0078659C"/>
    <w:rsid w:val="007865A0"/>
    <w:rsid w:val="007865E8"/>
    <w:rsid w:val="007865EA"/>
    <w:rsid w:val="00786627"/>
    <w:rsid w:val="007866A9"/>
    <w:rsid w:val="007866DC"/>
    <w:rsid w:val="00786822"/>
    <w:rsid w:val="0078688C"/>
    <w:rsid w:val="007869B0"/>
    <w:rsid w:val="00786AA5"/>
    <w:rsid w:val="00786ADB"/>
    <w:rsid w:val="00786BC9"/>
    <w:rsid w:val="00786CE5"/>
    <w:rsid w:val="00786CE8"/>
    <w:rsid w:val="00786F6E"/>
    <w:rsid w:val="00786FC7"/>
    <w:rsid w:val="00786FEA"/>
    <w:rsid w:val="0078703F"/>
    <w:rsid w:val="007870D9"/>
    <w:rsid w:val="007870E0"/>
    <w:rsid w:val="007870FF"/>
    <w:rsid w:val="00787175"/>
    <w:rsid w:val="0078721D"/>
    <w:rsid w:val="00787323"/>
    <w:rsid w:val="00787473"/>
    <w:rsid w:val="00787487"/>
    <w:rsid w:val="0078754E"/>
    <w:rsid w:val="00787585"/>
    <w:rsid w:val="007875AB"/>
    <w:rsid w:val="00787659"/>
    <w:rsid w:val="00787693"/>
    <w:rsid w:val="007876F5"/>
    <w:rsid w:val="00787716"/>
    <w:rsid w:val="00787773"/>
    <w:rsid w:val="0078778C"/>
    <w:rsid w:val="007877BA"/>
    <w:rsid w:val="00787903"/>
    <w:rsid w:val="00787BCE"/>
    <w:rsid w:val="00787BD1"/>
    <w:rsid w:val="00787BDB"/>
    <w:rsid w:val="00787BFB"/>
    <w:rsid w:val="00787C03"/>
    <w:rsid w:val="00787C72"/>
    <w:rsid w:val="00787C99"/>
    <w:rsid w:val="00787CBF"/>
    <w:rsid w:val="00787E76"/>
    <w:rsid w:val="00787E9B"/>
    <w:rsid w:val="00787ED2"/>
    <w:rsid w:val="00787F60"/>
    <w:rsid w:val="00787F7B"/>
    <w:rsid w:val="00787FA8"/>
    <w:rsid w:val="00790043"/>
    <w:rsid w:val="007900EF"/>
    <w:rsid w:val="00790222"/>
    <w:rsid w:val="007902B9"/>
    <w:rsid w:val="007902BD"/>
    <w:rsid w:val="00790396"/>
    <w:rsid w:val="0079042F"/>
    <w:rsid w:val="0079051D"/>
    <w:rsid w:val="00790551"/>
    <w:rsid w:val="0079066E"/>
    <w:rsid w:val="0079067C"/>
    <w:rsid w:val="007906A9"/>
    <w:rsid w:val="00790808"/>
    <w:rsid w:val="007908B5"/>
    <w:rsid w:val="007908B8"/>
    <w:rsid w:val="007908C6"/>
    <w:rsid w:val="00790919"/>
    <w:rsid w:val="00790954"/>
    <w:rsid w:val="007909B6"/>
    <w:rsid w:val="007909DA"/>
    <w:rsid w:val="00790A02"/>
    <w:rsid w:val="00790ABD"/>
    <w:rsid w:val="00790C13"/>
    <w:rsid w:val="00790C2D"/>
    <w:rsid w:val="00790CB8"/>
    <w:rsid w:val="00790DE8"/>
    <w:rsid w:val="00790E65"/>
    <w:rsid w:val="00790F58"/>
    <w:rsid w:val="00790FF9"/>
    <w:rsid w:val="0079117D"/>
    <w:rsid w:val="007911F9"/>
    <w:rsid w:val="007914EB"/>
    <w:rsid w:val="00791576"/>
    <w:rsid w:val="007915F1"/>
    <w:rsid w:val="00791633"/>
    <w:rsid w:val="007916D9"/>
    <w:rsid w:val="00791784"/>
    <w:rsid w:val="00791785"/>
    <w:rsid w:val="007917FF"/>
    <w:rsid w:val="00791850"/>
    <w:rsid w:val="0079191F"/>
    <w:rsid w:val="00791943"/>
    <w:rsid w:val="00791959"/>
    <w:rsid w:val="0079195B"/>
    <w:rsid w:val="007919C2"/>
    <w:rsid w:val="00791B21"/>
    <w:rsid w:val="00791B79"/>
    <w:rsid w:val="00791CF1"/>
    <w:rsid w:val="00791D0C"/>
    <w:rsid w:val="00791D49"/>
    <w:rsid w:val="00791D70"/>
    <w:rsid w:val="00791DAC"/>
    <w:rsid w:val="00791DF6"/>
    <w:rsid w:val="00791E42"/>
    <w:rsid w:val="00791F92"/>
    <w:rsid w:val="00792207"/>
    <w:rsid w:val="00792233"/>
    <w:rsid w:val="007922AE"/>
    <w:rsid w:val="007922B8"/>
    <w:rsid w:val="007922F7"/>
    <w:rsid w:val="00792317"/>
    <w:rsid w:val="00792334"/>
    <w:rsid w:val="007923A6"/>
    <w:rsid w:val="007923C0"/>
    <w:rsid w:val="007924D8"/>
    <w:rsid w:val="00792595"/>
    <w:rsid w:val="00792643"/>
    <w:rsid w:val="00792769"/>
    <w:rsid w:val="0079278C"/>
    <w:rsid w:val="0079280D"/>
    <w:rsid w:val="00792881"/>
    <w:rsid w:val="00792AC4"/>
    <w:rsid w:val="00792B59"/>
    <w:rsid w:val="00792B7A"/>
    <w:rsid w:val="00792C2D"/>
    <w:rsid w:val="00792CEB"/>
    <w:rsid w:val="00792D6D"/>
    <w:rsid w:val="00792E6F"/>
    <w:rsid w:val="00792F4C"/>
    <w:rsid w:val="00793094"/>
    <w:rsid w:val="007930B5"/>
    <w:rsid w:val="007930DC"/>
    <w:rsid w:val="00793188"/>
    <w:rsid w:val="0079330E"/>
    <w:rsid w:val="00793400"/>
    <w:rsid w:val="00793445"/>
    <w:rsid w:val="007934F5"/>
    <w:rsid w:val="0079356C"/>
    <w:rsid w:val="007935F3"/>
    <w:rsid w:val="007937CD"/>
    <w:rsid w:val="00793802"/>
    <w:rsid w:val="007939BD"/>
    <w:rsid w:val="00793AAD"/>
    <w:rsid w:val="00793AF4"/>
    <w:rsid w:val="00793B30"/>
    <w:rsid w:val="00793B8D"/>
    <w:rsid w:val="00793DBA"/>
    <w:rsid w:val="00793DD0"/>
    <w:rsid w:val="00793DEB"/>
    <w:rsid w:val="00793E83"/>
    <w:rsid w:val="00793F2D"/>
    <w:rsid w:val="00793FA8"/>
    <w:rsid w:val="0079402E"/>
    <w:rsid w:val="007940AE"/>
    <w:rsid w:val="007940E7"/>
    <w:rsid w:val="00794153"/>
    <w:rsid w:val="00794199"/>
    <w:rsid w:val="00794238"/>
    <w:rsid w:val="007942A8"/>
    <w:rsid w:val="007942D9"/>
    <w:rsid w:val="0079441D"/>
    <w:rsid w:val="00794439"/>
    <w:rsid w:val="00794567"/>
    <w:rsid w:val="00794587"/>
    <w:rsid w:val="00794605"/>
    <w:rsid w:val="0079464B"/>
    <w:rsid w:val="0079468B"/>
    <w:rsid w:val="007947AF"/>
    <w:rsid w:val="0079482B"/>
    <w:rsid w:val="0079484F"/>
    <w:rsid w:val="007948B3"/>
    <w:rsid w:val="00794AED"/>
    <w:rsid w:val="00794B76"/>
    <w:rsid w:val="00794CBE"/>
    <w:rsid w:val="00794D4F"/>
    <w:rsid w:val="00794F06"/>
    <w:rsid w:val="007951EC"/>
    <w:rsid w:val="00795298"/>
    <w:rsid w:val="007953ED"/>
    <w:rsid w:val="0079540D"/>
    <w:rsid w:val="00795475"/>
    <w:rsid w:val="00795476"/>
    <w:rsid w:val="00795485"/>
    <w:rsid w:val="0079551D"/>
    <w:rsid w:val="007955BB"/>
    <w:rsid w:val="007956DF"/>
    <w:rsid w:val="007956ED"/>
    <w:rsid w:val="00795746"/>
    <w:rsid w:val="00795773"/>
    <w:rsid w:val="007959EB"/>
    <w:rsid w:val="00795AE6"/>
    <w:rsid w:val="00795AF8"/>
    <w:rsid w:val="00795B0C"/>
    <w:rsid w:val="00795C77"/>
    <w:rsid w:val="00795C90"/>
    <w:rsid w:val="00795D32"/>
    <w:rsid w:val="00795DB3"/>
    <w:rsid w:val="00795E48"/>
    <w:rsid w:val="00795E67"/>
    <w:rsid w:val="00795EC3"/>
    <w:rsid w:val="00795EFB"/>
    <w:rsid w:val="00795F28"/>
    <w:rsid w:val="00796040"/>
    <w:rsid w:val="0079611A"/>
    <w:rsid w:val="00796220"/>
    <w:rsid w:val="0079626C"/>
    <w:rsid w:val="00796380"/>
    <w:rsid w:val="00796399"/>
    <w:rsid w:val="007963A0"/>
    <w:rsid w:val="007964DF"/>
    <w:rsid w:val="00796536"/>
    <w:rsid w:val="00796556"/>
    <w:rsid w:val="007965D6"/>
    <w:rsid w:val="007965DC"/>
    <w:rsid w:val="007966BD"/>
    <w:rsid w:val="007966D3"/>
    <w:rsid w:val="007966E0"/>
    <w:rsid w:val="00796702"/>
    <w:rsid w:val="00796A09"/>
    <w:rsid w:val="00796AA1"/>
    <w:rsid w:val="00796B4B"/>
    <w:rsid w:val="00796BB3"/>
    <w:rsid w:val="00796C9A"/>
    <w:rsid w:val="00796D55"/>
    <w:rsid w:val="00796D74"/>
    <w:rsid w:val="00796DA7"/>
    <w:rsid w:val="00796FAC"/>
    <w:rsid w:val="00796FCF"/>
    <w:rsid w:val="00796FE2"/>
    <w:rsid w:val="00797041"/>
    <w:rsid w:val="00797087"/>
    <w:rsid w:val="007970ED"/>
    <w:rsid w:val="00797339"/>
    <w:rsid w:val="00797397"/>
    <w:rsid w:val="007973EF"/>
    <w:rsid w:val="00797406"/>
    <w:rsid w:val="00797419"/>
    <w:rsid w:val="00797442"/>
    <w:rsid w:val="00797450"/>
    <w:rsid w:val="007974B1"/>
    <w:rsid w:val="007974F7"/>
    <w:rsid w:val="00797532"/>
    <w:rsid w:val="007975F5"/>
    <w:rsid w:val="00797609"/>
    <w:rsid w:val="0079768F"/>
    <w:rsid w:val="007976F8"/>
    <w:rsid w:val="00797746"/>
    <w:rsid w:val="007977A0"/>
    <w:rsid w:val="007977D3"/>
    <w:rsid w:val="00797804"/>
    <w:rsid w:val="00797968"/>
    <w:rsid w:val="00797AE4"/>
    <w:rsid w:val="00797BB6"/>
    <w:rsid w:val="00797D8A"/>
    <w:rsid w:val="00797DC1"/>
    <w:rsid w:val="00797ED6"/>
    <w:rsid w:val="00797F15"/>
    <w:rsid w:val="00797F1A"/>
    <w:rsid w:val="00797F93"/>
    <w:rsid w:val="007A005B"/>
    <w:rsid w:val="007A0246"/>
    <w:rsid w:val="007A02AC"/>
    <w:rsid w:val="007A02C6"/>
    <w:rsid w:val="007A02F8"/>
    <w:rsid w:val="007A0386"/>
    <w:rsid w:val="007A03FF"/>
    <w:rsid w:val="007A055C"/>
    <w:rsid w:val="007A08BC"/>
    <w:rsid w:val="007A0AA0"/>
    <w:rsid w:val="007A0ACB"/>
    <w:rsid w:val="007A0D67"/>
    <w:rsid w:val="007A0EDE"/>
    <w:rsid w:val="007A0F1F"/>
    <w:rsid w:val="007A0FB3"/>
    <w:rsid w:val="007A0FE6"/>
    <w:rsid w:val="007A0FF4"/>
    <w:rsid w:val="007A105D"/>
    <w:rsid w:val="007A1101"/>
    <w:rsid w:val="007A115C"/>
    <w:rsid w:val="007A11A4"/>
    <w:rsid w:val="007A14F0"/>
    <w:rsid w:val="007A1527"/>
    <w:rsid w:val="007A159D"/>
    <w:rsid w:val="007A15F8"/>
    <w:rsid w:val="007A167B"/>
    <w:rsid w:val="007A184A"/>
    <w:rsid w:val="007A1896"/>
    <w:rsid w:val="007A190F"/>
    <w:rsid w:val="007A193D"/>
    <w:rsid w:val="007A1A22"/>
    <w:rsid w:val="007A1A44"/>
    <w:rsid w:val="007A1A7D"/>
    <w:rsid w:val="007A1B9B"/>
    <w:rsid w:val="007A1BF8"/>
    <w:rsid w:val="007A1C43"/>
    <w:rsid w:val="007A1D91"/>
    <w:rsid w:val="007A1F13"/>
    <w:rsid w:val="007A1FA6"/>
    <w:rsid w:val="007A207C"/>
    <w:rsid w:val="007A20B1"/>
    <w:rsid w:val="007A215D"/>
    <w:rsid w:val="007A21B6"/>
    <w:rsid w:val="007A21D6"/>
    <w:rsid w:val="007A21EC"/>
    <w:rsid w:val="007A228D"/>
    <w:rsid w:val="007A22B5"/>
    <w:rsid w:val="007A22D1"/>
    <w:rsid w:val="007A234B"/>
    <w:rsid w:val="007A2383"/>
    <w:rsid w:val="007A23B0"/>
    <w:rsid w:val="007A2503"/>
    <w:rsid w:val="007A25C4"/>
    <w:rsid w:val="007A25DE"/>
    <w:rsid w:val="007A265F"/>
    <w:rsid w:val="007A27F0"/>
    <w:rsid w:val="007A2810"/>
    <w:rsid w:val="007A2957"/>
    <w:rsid w:val="007A29FB"/>
    <w:rsid w:val="007A2A5E"/>
    <w:rsid w:val="007A2A81"/>
    <w:rsid w:val="007A2AC0"/>
    <w:rsid w:val="007A2BE1"/>
    <w:rsid w:val="007A2BF0"/>
    <w:rsid w:val="007A2CA8"/>
    <w:rsid w:val="007A2CB7"/>
    <w:rsid w:val="007A2D0D"/>
    <w:rsid w:val="007A2D2A"/>
    <w:rsid w:val="007A304A"/>
    <w:rsid w:val="007A30E6"/>
    <w:rsid w:val="007A3246"/>
    <w:rsid w:val="007A3301"/>
    <w:rsid w:val="007A332E"/>
    <w:rsid w:val="007A34CC"/>
    <w:rsid w:val="007A352F"/>
    <w:rsid w:val="007A35B2"/>
    <w:rsid w:val="007A3625"/>
    <w:rsid w:val="007A36E0"/>
    <w:rsid w:val="007A3715"/>
    <w:rsid w:val="007A38D7"/>
    <w:rsid w:val="007A3939"/>
    <w:rsid w:val="007A3A36"/>
    <w:rsid w:val="007A3B2D"/>
    <w:rsid w:val="007A3B46"/>
    <w:rsid w:val="007A3CF9"/>
    <w:rsid w:val="007A3D50"/>
    <w:rsid w:val="007A3D94"/>
    <w:rsid w:val="007A3E06"/>
    <w:rsid w:val="007A3E57"/>
    <w:rsid w:val="007A3E8D"/>
    <w:rsid w:val="007A3F51"/>
    <w:rsid w:val="007A3F83"/>
    <w:rsid w:val="007A3FEB"/>
    <w:rsid w:val="007A40EA"/>
    <w:rsid w:val="007A4178"/>
    <w:rsid w:val="007A4198"/>
    <w:rsid w:val="007A4296"/>
    <w:rsid w:val="007A43FD"/>
    <w:rsid w:val="007A4510"/>
    <w:rsid w:val="007A454A"/>
    <w:rsid w:val="007A458E"/>
    <w:rsid w:val="007A4617"/>
    <w:rsid w:val="007A467A"/>
    <w:rsid w:val="007A468B"/>
    <w:rsid w:val="007A46C4"/>
    <w:rsid w:val="007A46EF"/>
    <w:rsid w:val="007A4725"/>
    <w:rsid w:val="007A47B2"/>
    <w:rsid w:val="007A4818"/>
    <w:rsid w:val="007A4937"/>
    <w:rsid w:val="007A4995"/>
    <w:rsid w:val="007A49C9"/>
    <w:rsid w:val="007A4A33"/>
    <w:rsid w:val="007A4B12"/>
    <w:rsid w:val="007A4B87"/>
    <w:rsid w:val="007A4CFE"/>
    <w:rsid w:val="007A4D00"/>
    <w:rsid w:val="007A4D19"/>
    <w:rsid w:val="007A4E45"/>
    <w:rsid w:val="007A4ED3"/>
    <w:rsid w:val="007A4EDD"/>
    <w:rsid w:val="007A501D"/>
    <w:rsid w:val="007A50AE"/>
    <w:rsid w:val="007A517D"/>
    <w:rsid w:val="007A51CD"/>
    <w:rsid w:val="007A51E2"/>
    <w:rsid w:val="007A52C2"/>
    <w:rsid w:val="007A5308"/>
    <w:rsid w:val="007A5351"/>
    <w:rsid w:val="007A5387"/>
    <w:rsid w:val="007A541A"/>
    <w:rsid w:val="007A541F"/>
    <w:rsid w:val="007A544E"/>
    <w:rsid w:val="007A5470"/>
    <w:rsid w:val="007A56E8"/>
    <w:rsid w:val="007A56EB"/>
    <w:rsid w:val="007A5750"/>
    <w:rsid w:val="007A57DA"/>
    <w:rsid w:val="007A5A70"/>
    <w:rsid w:val="007A5A99"/>
    <w:rsid w:val="007A5AE3"/>
    <w:rsid w:val="007A5AE5"/>
    <w:rsid w:val="007A5B01"/>
    <w:rsid w:val="007A5B54"/>
    <w:rsid w:val="007A5BFD"/>
    <w:rsid w:val="007A5D86"/>
    <w:rsid w:val="007A5E2F"/>
    <w:rsid w:val="007A5F03"/>
    <w:rsid w:val="007A5F44"/>
    <w:rsid w:val="007A5F5D"/>
    <w:rsid w:val="007A6065"/>
    <w:rsid w:val="007A6109"/>
    <w:rsid w:val="007A62EF"/>
    <w:rsid w:val="007A62F9"/>
    <w:rsid w:val="007A63E6"/>
    <w:rsid w:val="007A64C2"/>
    <w:rsid w:val="007A6517"/>
    <w:rsid w:val="007A6555"/>
    <w:rsid w:val="007A6596"/>
    <w:rsid w:val="007A65E3"/>
    <w:rsid w:val="007A663C"/>
    <w:rsid w:val="007A66CF"/>
    <w:rsid w:val="007A66E7"/>
    <w:rsid w:val="007A66FB"/>
    <w:rsid w:val="007A67A3"/>
    <w:rsid w:val="007A67B7"/>
    <w:rsid w:val="007A685F"/>
    <w:rsid w:val="007A68CF"/>
    <w:rsid w:val="007A69AC"/>
    <w:rsid w:val="007A6A6F"/>
    <w:rsid w:val="007A6AFF"/>
    <w:rsid w:val="007A6BAC"/>
    <w:rsid w:val="007A6C5E"/>
    <w:rsid w:val="007A6C80"/>
    <w:rsid w:val="007A6C8E"/>
    <w:rsid w:val="007A6D77"/>
    <w:rsid w:val="007A6E1B"/>
    <w:rsid w:val="007A6EDB"/>
    <w:rsid w:val="007A70E7"/>
    <w:rsid w:val="007A7238"/>
    <w:rsid w:val="007A724C"/>
    <w:rsid w:val="007A7254"/>
    <w:rsid w:val="007A73C1"/>
    <w:rsid w:val="007A73DD"/>
    <w:rsid w:val="007A7456"/>
    <w:rsid w:val="007A7463"/>
    <w:rsid w:val="007A74BC"/>
    <w:rsid w:val="007A74E8"/>
    <w:rsid w:val="007A75CE"/>
    <w:rsid w:val="007A7644"/>
    <w:rsid w:val="007A76FE"/>
    <w:rsid w:val="007A77BB"/>
    <w:rsid w:val="007A791D"/>
    <w:rsid w:val="007A79AA"/>
    <w:rsid w:val="007A79EB"/>
    <w:rsid w:val="007A7A24"/>
    <w:rsid w:val="007A7A62"/>
    <w:rsid w:val="007A7A9E"/>
    <w:rsid w:val="007A7AC4"/>
    <w:rsid w:val="007A7B1B"/>
    <w:rsid w:val="007A7C0A"/>
    <w:rsid w:val="007A7CA4"/>
    <w:rsid w:val="007A7D75"/>
    <w:rsid w:val="007A7E49"/>
    <w:rsid w:val="007A7F4C"/>
    <w:rsid w:val="007A7F86"/>
    <w:rsid w:val="007B00C6"/>
    <w:rsid w:val="007B018F"/>
    <w:rsid w:val="007B02B3"/>
    <w:rsid w:val="007B02D5"/>
    <w:rsid w:val="007B034C"/>
    <w:rsid w:val="007B0369"/>
    <w:rsid w:val="007B04C4"/>
    <w:rsid w:val="007B04F5"/>
    <w:rsid w:val="007B0523"/>
    <w:rsid w:val="007B057E"/>
    <w:rsid w:val="007B0641"/>
    <w:rsid w:val="007B064E"/>
    <w:rsid w:val="007B0796"/>
    <w:rsid w:val="007B079A"/>
    <w:rsid w:val="007B0AD4"/>
    <w:rsid w:val="007B0B4F"/>
    <w:rsid w:val="007B0B59"/>
    <w:rsid w:val="007B0BE5"/>
    <w:rsid w:val="007B0E8C"/>
    <w:rsid w:val="007B105E"/>
    <w:rsid w:val="007B1195"/>
    <w:rsid w:val="007B1248"/>
    <w:rsid w:val="007B1273"/>
    <w:rsid w:val="007B1275"/>
    <w:rsid w:val="007B12AE"/>
    <w:rsid w:val="007B12EA"/>
    <w:rsid w:val="007B13AB"/>
    <w:rsid w:val="007B14EE"/>
    <w:rsid w:val="007B154E"/>
    <w:rsid w:val="007B15C0"/>
    <w:rsid w:val="007B173A"/>
    <w:rsid w:val="007B17C7"/>
    <w:rsid w:val="007B17CE"/>
    <w:rsid w:val="007B17EC"/>
    <w:rsid w:val="007B194C"/>
    <w:rsid w:val="007B1989"/>
    <w:rsid w:val="007B1A2D"/>
    <w:rsid w:val="007B1A4C"/>
    <w:rsid w:val="007B1A8D"/>
    <w:rsid w:val="007B1B4C"/>
    <w:rsid w:val="007B1C4F"/>
    <w:rsid w:val="007B1D9F"/>
    <w:rsid w:val="007B1E28"/>
    <w:rsid w:val="007B2095"/>
    <w:rsid w:val="007B21A2"/>
    <w:rsid w:val="007B21EE"/>
    <w:rsid w:val="007B229A"/>
    <w:rsid w:val="007B22BE"/>
    <w:rsid w:val="007B22D6"/>
    <w:rsid w:val="007B231F"/>
    <w:rsid w:val="007B234E"/>
    <w:rsid w:val="007B2353"/>
    <w:rsid w:val="007B23F5"/>
    <w:rsid w:val="007B248B"/>
    <w:rsid w:val="007B24BE"/>
    <w:rsid w:val="007B24CB"/>
    <w:rsid w:val="007B251C"/>
    <w:rsid w:val="007B251E"/>
    <w:rsid w:val="007B2682"/>
    <w:rsid w:val="007B2698"/>
    <w:rsid w:val="007B26D7"/>
    <w:rsid w:val="007B27AD"/>
    <w:rsid w:val="007B2A1A"/>
    <w:rsid w:val="007B2A2D"/>
    <w:rsid w:val="007B2A48"/>
    <w:rsid w:val="007B2B34"/>
    <w:rsid w:val="007B2B92"/>
    <w:rsid w:val="007B2C36"/>
    <w:rsid w:val="007B2D97"/>
    <w:rsid w:val="007B2DA0"/>
    <w:rsid w:val="007B2E14"/>
    <w:rsid w:val="007B2E2A"/>
    <w:rsid w:val="007B2E63"/>
    <w:rsid w:val="007B2E7E"/>
    <w:rsid w:val="007B2EF7"/>
    <w:rsid w:val="007B2EF8"/>
    <w:rsid w:val="007B2F6A"/>
    <w:rsid w:val="007B2FA5"/>
    <w:rsid w:val="007B2FA6"/>
    <w:rsid w:val="007B3045"/>
    <w:rsid w:val="007B30CB"/>
    <w:rsid w:val="007B339F"/>
    <w:rsid w:val="007B33C4"/>
    <w:rsid w:val="007B34A1"/>
    <w:rsid w:val="007B34D3"/>
    <w:rsid w:val="007B35CC"/>
    <w:rsid w:val="007B3628"/>
    <w:rsid w:val="007B363B"/>
    <w:rsid w:val="007B3734"/>
    <w:rsid w:val="007B3740"/>
    <w:rsid w:val="007B3787"/>
    <w:rsid w:val="007B380C"/>
    <w:rsid w:val="007B3893"/>
    <w:rsid w:val="007B3910"/>
    <w:rsid w:val="007B393B"/>
    <w:rsid w:val="007B3942"/>
    <w:rsid w:val="007B396C"/>
    <w:rsid w:val="007B39B3"/>
    <w:rsid w:val="007B3A45"/>
    <w:rsid w:val="007B3A4C"/>
    <w:rsid w:val="007B3B27"/>
    <w:rsid w:val="007B3B57"/>
    <w:rsid w:val="007B3C1E"/>
    <w:rsid w:val="007B3C5F"/>
    <w:rsid w:val="007B3C69"/>
    <w:rsid w:val="007B3ECE"/>
    <w:rsid w:val="007B3FB9"/>
    <w:rsid w:val="007B4077"/>
    <w:rsid w:val="007B40BF"/>
    <w:rsid w:val="007B413C"/>
    <w:rsid w:val="007B4192"/>
    <w:rsid w:val="007B41CE"/>
    <w:rsid w:val="007B428A"/>
    <w:rsid w:val="007B466B"/>
    <w:rsid w:val="007B471A"/>
    <w:rsid w:val="007B48A0"/>
    <w:rsid w:val="007B48BC"/>
    <w:rsid w:val="007B48E1"/>
    <w:rsid w:val="007B4A1A"/>
    <w:rsid w:val="007B4B97"/>
    <w:rsid w:val="007B4BB2"/>
    <w:rsid w:val="007B4D11"/>
    <w:rsid w:val="007B4D7B"/>
    <w:rsid w:val="007B5016"/>
    <w:rsid w:val="007B5027"/>
    <w:rsid w:val="007B5070"/>
    <w:rsid w:val="007B5352"/>
    <w:rsid w:val="007B539C"/>
    <w:rsid w:val="007B5558"/>
    <w:rsid w:val="007B556B"/>
    <w:rsid w:val="007B5690"/>
    <w:rsid w:val="007B5710"/>
    <w:rsid w:val="007B5765"/>
    <w:rsid w:val="007B5767"/>
    <w:rsid w:val="007B57D6"/>
    <w:rsid w:val="007B5983"/>
    <w:rsid w:val="007B599C"/>
    <w:rsid w:val="007B5B97"/>
    <w:rsid w:val="007B5CD2"/>
    <w:rsid w:val="007B5E00"/>
    <w:rsid w:val="007B5E86"/>
    <w:rsid w:val="007B5E8B"/>
    <w:rsid w:val="007B5E91"/>
    <w:rsid w:val="007B602D"/>
    <w:rsid w:val="007B60CF"/>
    <w:rsid w:val="007B6135"/>
    <w:rsid w:val="007B6254"/>
    <w:rsid w:val="007B633E"/>
    <w:rsid w:val="007B660C"/>
    <w:rsid w:val="007B6640"/>
    <w:rsid w:val="007B673D"/>
    <w:rsid w:val="007B67F2"/>
    <w:rsid w:val="007B6843"/>
    <w:rsid w:val="007B6925"/>
    <w:rsid w:val="007B69D1"/>
    <w:rsid w:val="007B6B9F"/>
    <w:rsid w:val="007B6C0F"/>
    <w:rsid w:val="007B6D45"/>
    <w:rsid w:val="007B6DE3"/>
    <w:rsid w:val="007B6E36"/>
    <w:rsid w:val="007B6E89"/>
    <w:rsid w:val="007B6F62"/>
    <w:rsid w:val="007B6F9F"/>
    <w:rsid w:val="007B7058"/>
    <w:rsid w:val="007B719A"/>
    <w:rsid w:val="007B71E8"/>
    <w:rsid w:val="007B72E4"/>
    <w:rsid w:val="007B732C"/>
    <w:rsid w:val="007B732E"/>
    <w:rsid w:val="007B737C"/>
    <w:rsid w:val="007B73CC"/>
    <w:rsid w:val="007B7412"/>
    <w:rsid w:val="007B7477"/>
    <w:rsid w:val="007B74C0"/>
    <w:rsid w:val="007B75FA"/>
    <w:rsid w:val="007B7669"/>
    <w:rsid w:val="007B77BB"/>
    <w:rsid w:val="007B77D0"/>
    <w:rsid w:val="007B78F5"/>
    <w:rsid w:val="007B7924"/>
    <w:rsid w:val="007B7930"/>
    <w:rsid w:val="007B7B48"/>
    <w:rsid w:val="007B7C85"/>
    <w:rsid w:val="007B7CB5"/>
    <w:rsid w:val="007B7E6B"/>
    <w:rsid w:val="007B7E86"/>
    <w:rsid w:val="007B7F48"/>
    <w:rsid w:val="007B7F87"/>
    <w:rsid w:val="007C0072"/>
    <w:rsid w:val="007C028D"/>
    <w:rsid w:val="007C0318"/>
    <w:rsid w:val="007C0393"/>
    <w:rsid w:val="007C03CC"/>
    <w:rsid w:val="007C043B"/>
    <w:rsid w:val="007C04A6"/>
    <w:rsid w:val="007C056F"/>
    <w:rsid w:val="007C0606"/>
    <w:rsid w:val="007C0622"/>
    <w:rsid w:val="007C0636"/>
    <w:rsid w:val="007C064A"/>
    <w:rsid w:val="007C068A"/>
    <w:rsid w:val="007C06E6"/>
    <w:rsid w:val="007C073E"/>
    <w:rsid w:val="007C084E"/>
    <w:rsid w:val="007C08CD"/>
    <w:rsid w:val="007C0989"/>
    <w:rsid w:val="007C098E"/>
    <w:rsid w:val="007C0AEC"/>
    <w:rsid w:val="007C0AFF"/>
    <w:rsid w:val="007C0B2F"/>
    <w:rsid w:val="007C0B41"/>
    <w:rsid w:val="007C0BEA"/>
    <w:rsid w:val="007C0C20"/>
    <w:rsid w:val="007C0C77"/>
    <w:rsid w:val="007C0D57"/>
    <w:rsid w:val="007C0E1B"/>
    <w:rsid w:val="007C0E3C"/>
    <w:rsid w:val="007C0FBF"/>
    <w:rsid w:val="007C10EA"/>
    <w:rsid w:val="007C11AF"/>
    <w:rsid w:val="007C13D0"/>
    <w:rsid w:val="007C15F1"/>
    <w:rsid w:val="007C15F9"/>
    <w:rsid w:val="007C16A8"/>
    <w:rsid w:val="007C16CD"/>
    <w:rsid w:val="007C1723"/>
    <w:rsid w:val="007C17C2"/>
    <w:rsid w:val="007C17F7"/>
    <w:rsid w:val="007C183C"/>
    <w:rsid w:val="007C189D"/>
    <w:rsid w:val="007C18CE"/>
    <w:rsid w:val="007C197A"/>
    <w:rsid w:val="007C1999"/>
    <w:rsid w:val="007C1A6A"/>
    <w:rsid w:val="007C1AC9"/>
    <w:rsid w:val="007C1C0B"/>
    <w:rsid w:val="007C1CDB"/>
    <w:rsid w:val="007C1CEF"/>
    <w:rsid w:val="007C1D87"/>
    <w:rsid w:val="007C1EB0"/>
    <w:rsid w:val="007C1F5D"/>
    <w:rsid w:val="007C1FBC"/>
    <w:rsid w:val="007C1FD4"/>
    <w:rsid w:val="007C217C"/>
    <w:rsid w:val="007C217F"/>
    <w:rsid w:val="007C21BA"/>
    <w:rsid w:val="007C21CD"/>
    <w:rsid w:val="007C2227"/>
    <w:rsid w:val="007C223E"/>
    <w:rsid w:val="007C2243"/>
    <w:rsid w:val="007C229C"/>
    <w:rsid w:val="007C2390"/>
    <w:rsid w:val="007C239D"/>
    <w:rsid w:val="007C24E8"/>
    <w:rsid w:val="007C258E"/>
    <w:rsid w:val="007C289D"/>
    <w:rsid w:val="007C2985"/>
    <w:rsid w:val="007C29E2"/>
    <w:rsid w:val="007C29F0"/>
    <w:rsid w:val="007C2A0F"/>
    <w:rsid w:val="007C2BEE"/>
    <w:rsid w:val="007C2C0D"/>
    <w:rsid w:val="007C2CF3"/>
    <w:rsid w:val="007C2D25"/>
    <w:rsid w:val="007C2D6D"/>
    <w:rsid w:val="007C2E77"/>
    <w:rsid w:val="007C2EC6"/>
    <w:rsid w:val="007C2EEF"/>
    <w:rsid w:val="007C2F4D"/>
    <w:rsid w:val="007C2F71"/>
    <w:rsid w:val="007C2F8B"/>
    <w:rsid w:val="007C2FD1"/>
    <w:rsid w:val="007C3084"/>
    <w:rsid w:val="007C314E"/>
    <w:rsid w:val="007C31BA"/>
    <w:rsid w:val="007C31EB"/>
    <w:rsid w:val="007C32EA"/>
    <w:rsid w:val="007C32F6"/>
    <w:rsid w:val="007C344D"/>
    <w:rsid w:val="007C348C"/>
    <w:rsid w:val="007C3599"/>
    <w:rsid w:val="007C36D3"/>
    <w:rsid w:val="007C3815"/>
    <w:rsid w:val="007C38A7"/>
    <w:rsid w:val="007C3925"/>
    <w:rsid w:val="007C3929"/>
    <w:rsid w:val="007C3AB9"/>
    <w:rsid w:val="007C3C41"/>
    <w:rsid w:val="007C3DCA"/>
    <w:rsid w:val="007C3EB4"/>
    <w:rsid w:val="007C3ED8"/>
    <w:rsid w:val="007C3F83"/>
    <w:rsid w:val="007C3F96"/>
    <w:rsid w:val="007C3FD2"/>
    <w:rsid w:val="007C4030"/>
    <w:rsid w:val="007C408F"/>
    <w:rsid w:val="007C4093"/>
    <w:rsid w:val="007C40DC"/>
    <w:rsid w:val="007C415D"/>
    <w:rsid w:val="007C4212"/>
    <w:rsid w:val="007C4448"/>
    <w:rsid w:val="007C4465"/>
    <w:rsid w:val="007C44D7"/>
    <w:rsid w:val="007C453A"/>
    <w:rsid w:val="007C47DE"/>
    <w:rsid w:val="007C483B"/>
    <w:rsid w:val="007C4887"/>
    <w:rsid w:val="007C4970"/>
    <w:rsid w:val="007C49A2"/>
    <w:rsid w:val="007C4A83"/>
    <w:rsid w:val="007C4B06"/>
    <w:rsid w:val="007C4BC1"/>
    <w:rsid w:val="007C4C0D"/>
    <w:rsid w:val="007C4D0A"/>
    <w:rsid w:val="007C4D9A"/>
    <w:rsid w:val="007C4E24"/>
    <w:rsid w:val="007C4E69"/>
    <w:rsid w:val="007C4FAC"/>
    <w:rsid w:val="007C4FB9"/>
    <w:rsid w:val="007C4FDA"/>
    <w:rsid w:val="007C502A"/>
    <w:rsid w:val="007C502D"/>
    <w:rsid w:val="007C51D6"/>
    <w:rsid w:val="007C5219"/>
    <w:rsid w:val="007C537D"/>
    <w:rsid w:val="007C5476"/>
    <w:rsid w:val="007C550C"/>
    <w:rsid w:val="007C564D"/>
    <w:rsid w:val="007C5699"/>
    <w:rsid w:val="007C56CE"/>
    <w:rsid w:val="007C56E8"/>
    <w:rsid w:val="007C578A"/>
    <w:rsid w:val="007C5949"/>
    <w:rsid w:val="007C59E7"/>
    <w:rsid w:val="007C59ED"/>
    <w:rsid w:val="007C5A3F"/>
    <w:rsid w:val="007C5AAD"/>
    <w:rsid w:val="007C5C11"/>
    <w:rsid w:val="007C5C94"/>
    <w:rsid w:val="007C5D0A"/>
    <w:rsid w:val="007C5D1E"/>
    <w:rsid w:val="007C5D81"/>
    <w:rsid w:val="007C5DF7"/>
    <w:rsid w:val="007C5E4E"/>
    <w:rsid w:val="007C5F44"/>
    <w:rsid w:val="007C5F85"/>
    <w:rsid w:val="007C6094"/>
    <w:rsid w:val="007C6110"/>
    <w:rsid w:val="007C6111"/>
    <w:rsid w:val="007C6199"/>
    <w:rsid w:val="007C6215"/>
    <w:rsid w:val="007C6227"/>
    <w:rsid w:val="007C63AF"/>
    <w:rsid w:val="007C646A"/>
    <w:rsid w:val="007C6472"/>
    <w:rsid w:val="007C653C"/>
    <w:rsid w:val="007C6553"/>
    <w:rsid w:val="007C6588"/>
    <w:rsid w:val="007C6658"/>
    <w:rsid w:val="007C6666"/>
    <w:rsid w:val="007C67AF"/>
    <w:rsid w:val="007C682D"/>
    <w:rsid w:val="007C686A"/>
    <w:rsid w:val="007C68EA"/>
    <w:rsid w:val="007C6928"/>
    <w:rsid w:val="007C6948"/>
    <w:rsid w:val="007C697E"/>
    <w:rsid w:val="007C69B8"/>
    <w:rsid w:val="007C6AAE"/>
    <w:rsid w:val="007C6AAF"/>
    <w:rsid w:val="007C6ABC"/>
    <w:rsid w:val="007C6AD8"/>
    <w:rsid w:val="007C6C4C"/>
    <w:rsid w:val="007C6DEC"/>
    <w:rsid w:val="007C6E4D"/>
    <w:rsid w:val="007C6F8A"/>
    <w:rsid w:val="007C6FF8"/>
    <w:rsid w:val="007C705B"/>
    <w:rsid w:val="007C709B"/>
    <w:rsid w:val="007C7248"/>
    <w:rsid w:val="007C725F"/>
    <w:rsid w:val="007C72C9"/>
    <w:rsid w:val="007C7507"/>
    <w:rsid w:val="007C7595"/>
    <w:rsid w:val="007C75FB"/>
    <w:rsid w:val="007C76BD"/>
    <w:rsid w:val="007C76DC"/>
    <w:rsid w:val="007C782B"/>
    <w:rsid w:val="007C7834"/>
    <w:rsid w:val="007C7878"/>
    <w:rsid w:val="007C791A"/>
    <w:rsid w:val="007C79A8"/>
    <w:rsid w:val="007C7AC8"/>
    <w:rsid w:val="007C7AE4"/>
    <w:rsid w:val="007C7C25"/>
    <w:rsid w:val="007C7DE1"/>
    <w:rsid w:val="007C7E74"/>
    <w:rsid w:val="007C7EBE"/>
    <w:rsid w:val="007C7EF4"/>
    <w:rsid w:val="007C7F05"/>
    <w:rsid w:val="007C7F3C"/>
    <w:rsid w:val="007D0383"/>
    <w:rsid w:val="007D03D9"/>
    <w:rsid w:val="007D04BE"/>
    <w:rsid w:val="007D0599"/>
    <w:rsid w:val="007D05D4"/>
    <w:rsid w:val="007D067A"/>
    <w:rsid w:val="007D0681"/>
    <w:rsid w:val="007D0685"/>
    <w:rsid w:val="007D06F6"/>
    <w:rsid w:val="007D08AD"/>
    <w:rsid w:val="007D0991"/>
    <w:rsid w:val="007D0995"/>
    <w:rsid w:val="007D09E0"/>
    <w:rsid w:val="007D0AB0"/>
    <w:rsid w:val="007D0B1C"/>
    <w:rsid w:val="007D0B29"/>
    <w:rsid w:val="007D0B5E"/>
    <w:rsid w:val="007D0C6E"/>
    <w:rsid w:val="007D0C91"/>
    <w:rsid w:val="007D0CDD"/>
    <w:rsid w:val="007D0D00"/>
    <w:rsid w:val="007D0E0D"/>
    <w:rsid w:val="007D0E31"/>
    <w:rsid w:val="007D0E3C"/>
    <w:rsid w:val="007D0E51"/>
    <w:rsid w:val="007D0EDC"/>
    <w:rsid w:val="007D1040"/>
    <w:rsid w:val="007D1307"/>
    <w:rsid w:val="007D1340"/>
    <w:rsid w:val="007D1372"/>
    <w:rsid w:val="007D13A1"/>
    <w:rsid w:val="007D1481"/>
    <w:rsid w:val="007D14BE"/>
    <w:rsid w:val="007D1511"/>
    <w:rsid w:val="007D1631"/>
    <w:rsid w:val="007D1683"/>
    <w:rsid w:val="007D173E"/>
    <w:rsid w:val="007D1785"/>
    <w:rsid w:val="007D17F2"/>
    <w:rsid w:val="007D1A11"/>
    <w:rsid w:val="007D1A9E"/>
    <w:rsid w:val="007D1B39"/>
    <w:rsid w:val="007D1BAF"/>
    <w:rsid w:val="007D1BCC"/>
    <w:rsid w:val="007D1C83"/>
    <w:rsid w:val="007D1CDA"/>
    <w:rsid w:val="007D1CE1"/>
    <w:rsid w:val="007D1CEA"/>
    <w:rsid w:val="007D1D13"/>
    <w:rsid w:val="007D1D39"/>
    <w:rsid w:val="007D1D40"/>
    <w:rsid w:val="007D1D97"/>
    <w:rsid w:val="007D1DD1"/>
    <w:rsid w:val="007D1E00"/>
    <w:rsid w:val="007D1F1A"/>
    <w:rsid w:val="007D2036"/>
    <w:rsid w:val="007D2040"/>
    <w:rsid w:val="007D204E"/>
    <w:rsid w:val="007D217E"/>
    <w:rsid w:val="007D234E"/>
    <w:rsid w:val="007D23F2"/>
    <w:rsid w:val="007D2420"/>
    <w:rsid w:val="007D245B"/>
    <w:rsid w:val="007D2498"/>
    <w:rsid w:val="007D24E2"/>
    <w:rsid w:val="007D252A"/>
    <w:rsid w:val="007D25B8"/>
    <w:rsid w:val="007D2633"/>
    <w:rsid w:val="007D2647"/>
    <w:rsid w:val="007D26E2"/>
    <w:rsid w:val="007D283C"/>
    <w:rsid w:val="007D2886"/>
    <w:rsid w:val="007D2958"/>
    <w:rsid w:val="007D29FF"/>
    <w:rsid w:val="007D2A74"/>
    <w:rsid w:val="007D2A75"/>
    <w:rsid w:val="007D2AE9"/>
    <w:rsid w:val="007D2B4F"/>
    <w:rsid w:val="007D2B96"/>
    <w:rsid w:val="007D2BCF"/>
    <w:rsid w:val="007D2BE5"/>
    <w:rsid w:val="007D2D17"/>
    <w:rsid w:val="007D2DCF"/>
    <w:rsid w:val="007D2E36"/>
    <w:rsid w:val="007D2EC7"/>
    <w:rsid w:val="007D2F06"/>
    <w:rsid w:val="007D2F0A"/>
    <w:rsid w:val="007D309E"/>
    <w:rsid w:val="007D30CB"/>
    <w:rsid w:val="007D329D"/>
    <w:rsid w:val="007D329E"/>
    <w:rsid w:val="007D3321"/>
    <w:rsid w:val="007D34F3"/>
    <w:rsid w:val="007D362A"/>
    <w:rsid w:val="007D39B0"/>
    <w:rsid w:val="007D3A31"/>
    <w:rsid w:val="007D3A64"/>
    <w:rsid w:val="007D3A79"/>
    <w:rsid w:val="007D3B96"/>
    <w:rsid w:val="007D3BA0"/>
    <w:rsid w:val="007D3BBF"/>
    <w:rsid w:val="007D3D18"/>
    <w:rsid w:val="007D3D3B"/>
    <w:rsid w:val="007D3D85"/>
    <w:rsid w:val="007D3DD1"/>
    <w:rsid w:val="007D3F48"/>
    <w:rsid w:val="007D40F3"/>
    <w:rsid w:val="007D4108"/>
    <w:rsid w:val="007D42B9"/>
    <w:rsid w:val="007D43ED"/>
    <w:rsid w:val="007D4459"/>
    <w:rsid w:val="007D44D4"/>
    <w:rsid w:val="007D4836"/>
    <w:rsid w:val="007D4966"/>
    <w:rsid w:val="007D49A4"/>
    <w:rsid w:val="007D49ED"/>
    <w:rsid w:val="007D4AF2"/>
    <w:rsid w:val="007D4F97"/>
    <w:rsid w:val="007D5011"/>
    <w:rsid w:val="007D5032"/>
    <w:rsid w:val="007D5050"/>
    <w:rsid w:val="007D5098"/>
    <w:rsid w:val="007D514B"/>
    <w:rsid w:val="007D5172"/>
    <w:rsid w:val="007D52BE"/>
    <w:rsid w:val="007D532F"/>
    <w:rsid w:val="007D53B4"/>
    <w:rsid w:val="007D53C5"/>
    <w:rsid w:val="007D544E"/>
    <w:rsid w:val="007D5501"/>
    <w:rsid w:val="007D5622"/>
    <w:rsid w:val="007D5634"/>
    <w:rsid w:val="007D5640"/>
    <w:rsid w:val="007D56A7"/>
    <w:rsid w:val="007D5720"/>
    <w:rsid w:val="007D579B"/>
    <w:rsid w:val="007D5868"/>
    <w:rsid w:val="007D5A17"/>
    <w:rsid w:val="007D5A6F"/>
    <w:rsid w:val="007D5A98"/>
    <w:rsid w:val="007D5AC6"/>
    <w:rsid w:val="007D5CD3"/>
    <w:rsid w:val="007D5D6C"/>
    <w:rsid w:val="007D5DB3"/>
    <w:rsid w:val="007D5F81"/>
    <w:rsid w:val="007D6154"/>
    <w:rsid w:val="007D6168"/>
    <w:rsid w:val="007D62A2"/>
    <w:rsid w:val="007D632B"/>
    <w:rsid w:val="007D6337"/>
    <w:rsid w:val="007D6360"/>
    <w:rsid w:val="007D64D2"/>
    <w:rsid w:val="007D64E3"/>
    <w:rsid w:val="007D650A"/>
    <w:rsid w:val="007D651C"/>
    <w:rsid w:val="007D6526"/>
    <w:rsid w:val="007D666B"/>
    <w:rsid w:val="007D66E7"/>
    <w:rsid w:val="007D66EA"/>
    <w:rsid w:val="007D66FA"/>
    <w:rsid w:val="007D6753"/>
    <w:rsid w:val="007D6760"/>
    <w:rsid w:val="007D69B4"/>
    <w:rsid w:val="007D6A8B"/>
    <w:rsid w:val="007D6B60"/>
    <w:rsid w:val="007D6BE2"/>
    <w:rsid w:val="007D6D9E"/>
    <w:rsid w:val="007D6DD7"/>
    <w:rsid w:val="007D6E54"/>
    <w:rsid w:val="007D6FF3"/>
    <w:rsid w:val="007D7041"/>
    <w:rsid w:val="007D7050"/>
    <w:rsid w:val="007D70FA"/>
    <w:rsid w:val="007D71B2"/>
    <w:rsid w:val="007D7236"/>
    <w:rsid w:val="007D7318"/>
    <w:rsid w:val="007D7338"/>
    <w:rsid w:val="007D7359"/>
    <w:rsid w:val="007D737D"/>
    <w:rsid w:val="007D7424"/>
    <w:rsid w:val="007D75D3"/>
    <w:rsid w:val="007D7750"/>
    <w:rsid w:val="007D7866"/>
    <w:rsid w:val="007D7942"/>
    <w:rsid w:val="007D7A45"/>
    <w:rsid w:val="007D7AA0"/>
    <w:rsid w:val="007D7C74"/>
    <w:rsid w:val="007D7CA3"/>
    <w:rsid w:val="007D7E25"/>
    <w:rsid w:val="007D7E39"/>
    <w:rsid w:val="007D7E92"/>
    <w:rsid w:val="007D7FB8"/>
    <w:rsid w:val="007D7FF3"/>
    <w:rsid w:val="007E0037"/>
    <w:rsid w:val="007E0108"/>
    <w:rsid w:val="007E02EF"/>
    <w:rsid w:val="007E0319"/>
    <w:rsid w:val="007E0373"/>
    <w:rsid w:val="007E0669"/>
    <w:rsid w:val="007E07B5"/>
    <w:rsid w:val="007E07D5"/>
    <w:rsid w:val="007E07EA"/>
    <w:rsid w:val="007E0980"/>
    <w:rsid w:val="007E0B08"/>
    <w:rsid w:val="007E0B5D"/>
    <w:rsid w:val="007E0B91"/>
    <w:rsid w:val="007E0BB0"/>
    <w:rsid w:val="007E0BB5"/>
    <w:rsid w:val="007E0C3A"/>
    <w:rsid w:val="007E0C67"/>
    <w:rsid w:val="007E0D42"/>
    <w:rsid w:val="007E0D53"/>
    <w:rsid w:val="007E0D64"/>
    <w:rsid w:val="007E0E9E"/>
    <w:rsid w:val="007E0F40"/>
    <w:rsid w:val="007E0F5A"/>
    <w:rsid w:val="007E0F79"/>
    <w:rsid w:val="007E0FBC"/>
    <w:rsid w:val="007E1171"/>
    <w:rsid w:val="007E11A3"/>
    <w:rsid w:val="007E1225"/>
    <w:rsid w:val="007E127C"/>
    <w:rsid w:val="007E12DC"/>
    <w:rsid w:val="007E1321"/>
    <w:rsid w:val="007E13F3"/>
    <w:rsid w:val="007E140A"/>
    <w:rsid w:val="007E1487"/>
    <w:rsid w:val="007E1501"/>
    <w:rsid w:val="007E1570"/>
    <w:rsid w:val="007E169C"/>
    <w:rsid w:val="007E1731"/>
    <w:rsid w:val="007E1760"/>
    <w:rsid w:val="007E17A0"/>
    <w:rsid w:val="007E17BC"/>
    <w:rsid w:val="007E17DD"/>
    <w:rsid w:val="007E1953"/>
    <w:rsid w:val="007E195D"/>
    <w:rsid w:val="007E196A"/>
    <w:rsid w:val="007E19C2"/>
    <w:rsid w:val="007E1AA5"/>
    <w:rsid w:val="007E1C83"/>
    <w:rsid w:val="007E1D27"/>
    <w:rsid w:val="007E1D35"/>
    <w:rsid w:val="007E1EED"/>
    <w:rsid w:val="007E1F2C"/>
    <w:rsid w:val="007E1F93"/>
    <w:rsid w:val="007E1F99"/>
    <w:rsid w:val="007E207D"/>
    <w:rsid w:val="007E20C5"/>
    <w:rsid w:val="007E2169"/>
    <w:rsid w:val="007E21DC"/>
    <w:rsid w:val="007E2205"/>
    <w:rsid w:val="007E231C"/>
    <w:rsid w:val="007E233A"/>
    <w:rsid w:val="007E240B"/>
    <w:rsid w:val="007E241C"/>
    <w:rsid w:val="007E246E"/>
    <w:rsid w:val="007E2474"/>
    <w:rsid w:val="007E2524"/>
    <w:rsid w:val="007E2576"/>
    <w:rsid w:val="007E2589"/>
    <w:rsid w:val="007E25AD"/>
    <w:rsid w:val="007E25F7"/>
    <w:rsid w:val="007E2673"/>
    <w:rsid w:val="007E2713"/>
    <w:rsid w:val="007E275F"/>
    <w:rsid w:val="007E27BC"/>
    <w:rsid w:val="007E2800"/>
    <w:rsid w:val="007E2865"/>
    <w:rsid w:val="007E289D"/>
    <w:rsid w:val="007E2925"/>
    <w:rsid w:val="007E29CE"/>
    <w:rsid w:val="007E2A1A"/>
    <w:rsid w:val="007E2AA8"/>
    <w:rsid w:val="007E2B79"/>
    <w:rsid w:val="007E2BE8"/>
    <w:rsid w:val="007E2C04"/>
    <w:rsid w:val="007E2C17"/>
    <w:rsid w:val="007E2CFD"/>
    <w:rsid w:val="007E2D72"/>
    <w:rsid w:val="007E2DF3"/>
    <w:rsid w:val="007E2EFC"/>
    <w:rsid w:val="007E2F0F"/>
    <w:rsid w:val="007E2FEC"/>
    <w:rsid w:val="007E30DA"/>
    <w:rsid w:val="007E31BA"/>
    <w:rsid w:val="007E31EF"/>
    <w:rsid w:val="007E3282"/>
    <w:rsid w:val="007E344F"/>
    <w:rsid w:val="007E34AF"/>
    <w:rsid w:val="007E34FE"/>
    <w:rsid w:val="007E35BE"/>
    <w:rsid w:val="007E3693"/>
    <w:rsid w:val="007E36D8"/>
    <w:rsid w:val="007E379E"/>
    <w:rsid w:val="007E382C"/>
    <w:rsid w:val="007E393F"/>
    <w:rsid w:val="007E3964"/>
    <w:rsid w:val="007E397C"/>
    <w:rsid w:val="007E39D2"/>
    <w:rsid w:val="007E3AE2"/>
    <w:rsid w:val="007E3C18"/>
    <w:rsid w:val="007E3CB8"/>
    <w:rsid w:val="007E3DC0"/>
    <w:rsid w:val="007E3DC9"/>
    <w:rsid w:val="007E3DF3"/>
    <w:rsid w:val="007E3E54"/>
    <w:rsid w:val="007E3F4F"/>
    <w:rsid w:val="007E3F6F"/>
    <w:rsid w:val="007E3FED"/>
    <w:rsid w:val="007E4008"/>
    <w:rsid w:val="007E4107"/>
    <w:rsid w:val="007E41AC"/>
    <w:rsid w:val="007E4206"/>
    <w:rsid w:val="007E427B"/>
    <w:rsid w:val="007E42C1"/>
    <w:rsid w:val="007E42DE"/>
    <w:rsid w:val="007E42EC"/>
    <w:rsid w:val="007E43FE"/>
    <w:rsid w:val="007E442E"/>
    <w:rsid w:val="007E44BE"/>
    <w:rsid w:val="007E44D1"/>
    <w:rsid w:val="007E451F"/>
    <w:rsid w:val="007E4555"/>
    <w:rsid w:val="007E45F3"/>
    <w:rsid w:val="007E45FD"/>
    <w:rsid w:val="007E465B"/>
    <w:rsid w:val="007E46D1"/>
    <w:rsid w:val="007E46F8"/>
    <w:rsid w:val="007E47E8"/>
    <w:rsid w:val="007E48A1"/>
    <w:rsid w:val="007E491A"/>
    <w:rsid w:val="007E49C1"/>
    <w:rsid w:val="007E4A07"/>
    <w:rsid w:val="007E4A21"/>
    <w:rsid w:val="007E4A2B"/>
    <w:rsid w:val="007E4ACC"/>
    <w:rsid w:val="007E4B7F"/>
    <w:rsid w:val="007E4BD5"/>
    <w:rsid w:val="007E4C64"/>
    <w:rsid w:val="007E4CB2"/>
    <w:rsid w:val="007E4D26"/>
    <w:rsid w:val="007E4E1A"/>
    <w:rsid w:val="007E4E29"/>
    <w:rsid w:val="007E4EDA"/>
    <w:rsid w:val="007E50CB"/>
    <w:rsid w:val="007E5194"/>
    <w:rsid w:val="007E51E8"/>
    <w:rsid w:val="007E5234"/>
    <w:rsid w:val="007E5239"/>
    <w:rsid w:val="007E5334"/>
    <w:rsid w:val="007E5366"/>
    <w:rsid w:val="007E53F9"/>
    <w:rsid w:val="007E5408"/>
    <w:rsid w:val="007E5425"/>
    <w:rsid w:val="007E5493"/>
    <w:rsid w:val="007E54C4"/>
    <w:rsid w:val="007E5611"/>
    <w:rsid w:val="007E5780"/>
    <w:rsid w:val="007E5822"/>
    <w:rsid w:val="007E58CB"/>
    <w:rsid w:val="007E58D3"/>
    <w:rsid w:val="007E58EC"/>
    <w:rsid w:val="007E59FC"/>
    <w:rsid w:val="007E5A2D"/>
    <w:rsid w:val="007E5BA4"/>
    <w:rsid w:val="007E5C72"/>
    <w:rsid w:val="007E5CC7"/>
    <w:rsid w:val="007E5D34"/>
    <w:rsid w:val="007E5D69"/>
    <w:rsid w:val="007E5DEF"/>
    <w:rsid w:val="007E5DFB"/>
    <w:rsid w:val="007E5E0E"/>
    <w:rsid w:val="007E5E68"/>
    <w:rsid w:val="007E5F80"/>
    <w:rsid w:val="007E6048"/>
    <w:rsid w:val="007E60AC"/>
    <w:rsid w:val="007E610D"/>
    <w:rsid w:val="007E618D"/>
    <w:rsid w:val="007E625C"/>
    <w:rsid w:val="007E6329"/>
    <w:rsid w:val="007E63EA"/>
    <w:rsid w:val="007E647D"/>
    <w:rsid w:val="007E655B"/>
    <w:rsid w:val="007E65B9"/>
    <w:rsid w:val="007E65E2"/>
    <w:rsid w:val="007E677A"/>
    <w:rsid w:val="007E67F3"/>
    <w:rsid w:val="007E6801"/>
    <w:rsid w:val="007E682A"/>
    <w:rsid w:val="007E6846"/>
    <w:rsid w:val="007E686F"/>
    <w:rsid w:val="007E68B4"/>
    <w:rsid w:val="007E68EA"/>
    <w:rsid w:val="007E6910"/>
    <w:rsid w:val="007E6945"/>
    <w:rsid w:val="007E6AD9"/>
    <w:rsid w:val="007E6AE8"/>
    <w:rsid w:val="007E6B17"/>
    <w:rsid w:val="007E6CC0"/>
    <w:rsid w:val="007E6D61"/>
    <w:rsid w:val="007E6DA4"/>
    <w:rsid w:val="007E6F3C"/>
    <w:rsid w:val="007E7144"/>
    <w:rsid w:val="007E720A"/>
    <w:rsid w:val="007E7325"/>
    <w:rsid w:val="007E7328"/>
    <w:rsid w:val="007E74F3"/>
    <w:rsid w:val="007E75B7"/>
    <w:rsid w:val="007E7661"/>
    <w:rsid w:val="007E767C"/>
    <w:rsid w:val="007E778F"/>
    <w:rsid w:val="007E77B2"/>
    <w:rsid w:val="007E7813"/>
    <w:rsid w:val="007E792F"/>
    <w:rsid w:val="007E79D1"/>
    <w:rsid w:val="007E7C06"/>
    <w:rsid w:val="007E7D71"/>
    <w:rsid w:val="007E7DEF"/>
    <w:rsid w:val="007E7ED9"/>
    <w:rsid w:val="007E7EE7"/>
    <w:rsid w:val="007E7FAD"/>
    <w:rsid w:val="007F00AE"/>
    <w:rsid w:val="007F01B2"/>
    <w:rsid w:val="007F021B"/>
    <w:rsid w:val="007F0398"/>
    <w:rsid w:val="007F03D1"/>
    <w:rsid w:val="007F047D"/>
    <w:rsid w:val="007F055E"/>
    <w:rsid w:val="007F06CE"/>
    <w:rsid w:val="007F07AC"/>
    <w:rsid w:val="007F07F3"/>
    <w:rsid w:val="007F086A"/>
    <w:rsid w:val="007F095A"/>
    <w:rsid w:val="007F09E9"/>
    <w:rsid w:val="007F0B87"/>
    <w:rsid w:val="007F0CD2"/>
    <w:rsid w:val="007F0E02"/>
    <w:rsid w:val="007F0E65"/>
    <w:rsid w:val="007F0E66"/>
    <w:rsid w:val="007F0EAE"/>
    <w:rsid w:val="007F0ED6"/>
    <w:rsid w:val="007F0F0B"/>
    <w:rsid w:val="007F0F9F"/>
    <w:rsid w:val="007F10ED"/>
    <w:rsid w:val="007F123D"/>
    <w:rsid w:val="007F12B1"/>
    <w:rsid w:val="007F1507"/>
    <w:rsid w:val="007F15D5"/>
    <w:rsid w:val="007F15EB"/>
    <w:rsid w:val="007F175A"/>
    <w:rsid w:val="007F1787"/>
    <w:rsid w:val="007F179A"/>
    <w:rsid w:val="007F17EA"/>
    <w:rsid w:val="007F1848"/>
    <w:rsid w:val="007F187E"/>
    <w:rsid w:val="007F18D4"/>
    <w:rsid w:val="007F18F0"/>
    <w:rsid w:val="007F199B"/>
    <w:rsid w:val="007F1A97"/>
    <w:rsid w:val="007F1B87"/>
    <w:rsid w:val="007F1C9C"/>
    <w:rsid w:val="007F1E38"/>
    <w:rsid w:val="007F1ED0"/>
    <w:rsid w:val="007F1EDD"/>
    <w:rsid w:val="007F203B"/>
    <w:rsid w:val="007F21A4"/>
    <w:rsid w:val="007F222D"/>
    <w:rsid w:val="007F246C"/>
    <w:rsid w:val="007F2593"/>
    <w:rsid w:val="007F25B0"/>
    <w:rsid w:val="007F25CE"/>
    <w:rsid w:val="007F2635"/>
    <w:rsid w:val="007F2783"/>
    <w:rsid w:val="007F2794"/>
    <w:rsid w:val="007F27BD"/>
    <w:rsid w:val="007F2845"/>
    <w:rsid w:val="007F285D"/>
    <w:rsid w:val="007F2870"/>
    <w:rsid w:val="007F2892"/>
    <w:rsid w:val="007F292F"/>
    <w:rsid w:val="007F294A"/>
    <w:rsid w:val="007F294C"/>
    <w:rsid w:val="007F29AA"/>
    <w:rsid w:val="007F2A03"/>
    <w:rsid w:val="007F2A35"/>
    <w:rsid w:val="007F2AE2"/>
    <w:rsid w:val="007F2B9C"/>
    <w:rsid w:val="007F2C25"/>
    <w:rsid w:val="007F2D3A"/>
    <w:rsid w:val="007F2DA9"/>
    <w:rsid w:val="007F2DF8"/>
    <w:rsid w:val="007F2DFA"/>
    <w:rsid w:val="007F2EE7"/>
    <w:rsid w:val="007F2EF1"/>
    <w:rsid w:val="007F2F31"/>
    <w:rsid w:val="007F2FA3"/>
    <w:rsid w:val="007F3234"/>
    <w:rsid w:val="007F3241"/>
    <w:rsid w:val="007F32CA"/>
    <w:rsid w:val="007F3424"/>
    <w:rsid w:val="007F34AD"/>
    <w:rsid w:val="007F35B1"/>
    <w:rsid w:val="007F36F3"/>
    <w:rsid w:val="007F3789"/>
    <w:rsid w:val="007F37AD"/>
    <w:rsid w:val="007F38F0"/>
    <w:rsid w:val="007F38F6"/>
    <w:rsid w:val="007F395C"/>
    <w:rsid w:val="007F3A40"/>
    <w:rsid w:val="007F3AB9"/>
    <w:rsid w:val="007F3B94"/>
    <w:rsid w:val="007F3CC6"/>
    <w:rsid w:val="007F3CE6"/>
    <w:rsid w:val="007F3D02"/>
    <w:rsid w:val="007F3E86"/>
    <w:rsid w:val="007F3F9E"/>
    <w:rsid w:val="007F431C"/>
    <w:rsid w:val="007F43C2"/>
    <w:rsid w:val="007F4445"/>
    <w:rsid w:val="007F44A1"/>
    <w:rsid w:val="007F459A"/>
    <w:rsid w:val="007F46D1"/>
    <w:rsid w:val="007F4897"/>
    <w:rsid w:val="007F490A"/>
    <w:rsid w:val="007F494A"/>
    <w:rsid w:val="007F4AD4"/>
    <w:rsid w:val="007F4C36"/>
    <w:rsid w:val="007F4CE7"/>
    <w:rsid w:val="007F4D12"/>
    <w:rsid w:val="007F4D66"/>
    <w:rsid w:val="007F4DFC"/>
    <w:rsid w:val="007F4E82"/>
    <w:rsid w:val="007F4F60"/>
    <w:rsid w:val="007F4FF1"/>
    <w:rsid w:val="007F50A8"/>
    <w:rsid w:val="007F50D3"/>
    <w:rsid w:val="007F5279"/>
    <w:rsid w:val="007F52FD"/>
    <w:rsid w:val="007F534C"/>
    <w:rsid w:val="007F53BC"/>
    <w:rsid w:val="007F53D6"/>
    <w:rsid w:val="007F53D8"/>
    <w:rsid w:val="007F542D"/>
    <w:rsid w:val="007F5442"/>
    <w:rsid w:val="007F5444"/>
    <w:rsid w:val="007F54C7"/>
    <w:rsid w:val="007F54F4"/>
    <w:rsid w:val="007F561B"/>
    <w:rsid w:val="007F567B"/>
    <w:rsid w:val="007F583C"/>
    <w:rsid w:val="007F583E"/>
    <w:rsid w:val="007F58EB"/>
    <w:rsid w:val="007F5B8D"/>
    <w:rsid w:val="007F5B9C"/>
    <w:rsid w:val="007F5BE7"/>
    <w:rsid w:val="007F5C72"/>
    <w:rsid w:val="007F5CEC"/>
    <w:rsid w:val="007F5DB4"/>
    <w:rsid w:val="007F5F38"/>
    <w:rsid w:val="007F5FF7"/>
    <w:rsid w:val="007F606F"/>
    <w:rsid w:val="007F6286"/>
    <w:rsid w:val="007F6289"/>
    <w:rsid w:val="007F6290"/>
    <w:rsid w:val="007F6292"/>
    <w:rsid w:val="007F62C3"/>
    <w:rsid w:val="007F636A"/>
    <w:rsid w:val="007F6423"/>
    <w:rsid w:val="007F6611"/>
    <w:rsid w:val="007F6632"/>
    <w:rsid w:val="007F6866"/>
    <w:rsid w:val="007F686B"/>
    <w:rsid w:val="007F6939"/>
    <w:rsid w:val="007F69CD"/>
    <w:rsid w:val="007F69EF"/>
    <w:rsid w:val="007F6ACD"/>
    <w:rsid w:val="007F6B05"/>
    <w:rsid w:val="007F6B07"/>
    <w:rsid w:val="007F6BCC"/>
    <w:rsid w:val="007F6BFA"/>
    <w:rsid w:val="007F6CA1"/>
    <w:rsid w:val="007F6D01"/>
    <w:rsid w:val="007F6DF4"/>
    <w:rsid w:val="007F6E37"/>
    <w:rsid w:val="007F6E7E"/>
    <w:rsid w:val="007F6FD9"/>
    <w:rsid w:val="007F700F"/>
    <w:rsid w:val="007F7031"/>
    <w:rsid w:val="007F708B"/>
    <w:rsid w:val="007F70B7"/>
    <w:rsid w:val="007F715A"/>
    <w:rsid w:val="007F71AF"/>
    <w:rsid w:val="007F7266"/>
    <w:rsid w:val="007F72CB"/>
    <w:rsid w:val="007F7302"/>
    <w:rsid w:val="007F7322"/>
    <w:rsid w:val="007F7470"/>
    <w:rsid w:val="007F74D8"/>
    <w:rsid w:val="007F7591"/>
    <w:rsid w:val="007F75B6"/>
    <w:rsid w:val="007F7601"/>
    <w:rsid w:val="007F7651"/>
    <w:rsid w:val="007F76A9"/>
    <w:rsid w:val="007F77A2"/>
    <w:rsid w:val="007F77EC"/>
    <w:rsid w:val="007F7853"/>
    <w:rsid w:val="007F790F"/>
    <w:rsid w:val="007F7952"/>
    <w:rsid w:val="007F7995"/>
    <w:rsid w:val="007F79DB"/>
    <w:rsid w:val="007F7A3D"/>
    <w:rsid w:val="007F7B0E"/>
    <w:rsid w:val="007F7B3F"/>
    <w:rsid w:val="007F7C3B"/>
    <w:rsid w:val="007F7C81"/>
    <w:rsid w:val="007F7CD7"/>
    <w:rsid w:val="007F7D16"/>
    <w:rsid w:val="007F7E0C"/>
    <w:rsid w:val="007F7E75"/>
    <w:rsid w:val="007F7F4C"/>
    <w:rsid w:val="007F7F5D"/>
    <w:rsid w:val="008000B0"/>
    <w:rsid w:val="0080011E"/>
    <w:rsid w:val="008001B5"/>
    <w:rsid w:val="008001DF"/>
    <w:rsid w:val="008002E1"/>
    <w:rsid w:val="008002FA"/>
    <w:rsid w:val="008004DB"/>
    <w:rsid w:val="00800564"/>
    <w:rsid w:val="008006B9"/>
    <w:rsid w:val="008006D0"/>
    <w:rsid w:val="0080075A"/>
    <w:rsid w:val="008008E7"/>
    <w:rsid w:val="00800913"/>
    <w:rsid w:val="008009E6"/>
    <w:rsid w:val="00800AB2"/>
    <w:rsid w:val="00800AEB"/>
    <w:rsid w:val="00800B0E"/>
    <w:rsid w:val="00800B2E"/>
    <w:rsid w:val="00800B30"/>
    <w:rsid w:val="00800D02"/>
    <w:rsid w:val="00800F61"/>
    <w:rsid w:val="00800FC0"/>
    <w:rsid w:val="0080126D"/>
    <w:rsid w:val="00801360"/>
    <w:rsid w:val="008013E9"/>
    <w:rsid w:val="00801486"/>
    <w:rsid w:val="008015C3"/>
    <w:rsid w:val="00801614"/>
    <w:rsid w:val="00801724"/>
    <w:rsid w:val="0080175C"/>
    <w:rsid w:val="008018F0"/>
    <w:rsid w:val="008019F4"/>
    <w:rsid w:val="008019FD"/>
    <w:rsid w:val="00801AFD"/>
    <w:rsid w:val="00801B1E"/>
    <w:rsid w:val="00801C08"/>
    <w:rsid w:val="00801C1C"/>
    <w:rsid w:val="00801C7B"/>
    <w:rsid w:val="00801D0D"/>
    <w:rsid w:val="00801D6E"/>
    <w:rsid w:val="00801D8C"/>
    <w:rsid w:val="00801E3C"/>
    <w:rsid w:val="00801E4A"/>
    <w:rsid w:val="00801EAB"/>
    <w:rsid w:val="00801ECD"/>
    <w:rsid w:val="00801EEC"/>
    <w:rsid w:val="00801EED"/>
    <w:rsid w:val="00801FFA"/>
    <w:rsid w:val="0080221E"/>
    <w:rsid w:val="0080225F"/>
    <w:rsid w:val="0080232B"/>
    <w:rsid w:val="00802404"/>
    <w:rsid w:val="00802466"/>
    <w:rsid w:val="008024C7"/>
    <w:rsid w:val="00802502"/>
    <w:rsid w:val="008026BE"/>
    <w:rsid w:val="0080277C"/>
    <w:rsid w:val="008027E8"/>
    <w:rsid w:val="008028CA"/>
    <w:rsid w:val="00802A16"/>
    <w:rsid w:val="00802A1F"/>
    <w:rsid w:val="00802B9D"/>
    <w:rsid w:val="00802CEF"/>
    <w:rsid w:val="00802CF4"/>
    <w:rsid w:val="00802CFD"/>
    <w:rsid w:val="00802D1E"/>
    <w:rsid w:val="00802D75"/>
    <w:rsid w:val="00802DD6"/>
    <w:rsid w:val="00802E2E"/>
    <w:rsid w:val="00802ED3"/>
    <w:rsid w:val="00802F12"/>
    <w:rsid w:val="00802FB2"/>
    <w:rsid w:val="00802FBE"/>
    <w:rsid w:val="00802FC5"/>
    <w:rsid w:val="00802FE7"/>
    <w:rsid w:val="008030E8"/>
    <w:rsid w:val="008031FA"/>
    <w:rsid w:val="0080337C"/>
    <w:rsid w:val="008034A8"/>
    <w:rsid w:val="00803511"/>
    <w:rsid w:val="0080359F"/>
    <w:rsid w:val="008036E4"/>
    <w:rsid w:val="00803765"/>
    <w:rsid w:val="0080378E"/>
    <w:rsid w:val="00803812"/>
    <w:rsid w:val="0080381A"/>
    <w:rsid w:val="0080390D"/>
    <w:rsid w:val="00803969"/>
    <w:rsid w:val="008039B0"/>
    <w:rsid w:val="008039E8"/>
    <w:rsid w:val="008039FB"/>
    <w:rsid w:val="00803B06"/>
    <w:rsid w:val="00803CEE"/>
    <w:rsid w:val="00803D03"/>
    <w:rsid w:val="00803DFF"/>
    <w:rsid w:val="00803E48"/>
    <w:rsid w:val="00803E66"/>
    <w:rsid w:val="00803F1D"/>
    <w:rsid w:val="00803F55"/>
    <w:rsid w:val="00803FAB"/>
    <w:rsid w:val="00803FB8"/>
    <w:rsid w:val="00804013"/>
    <w:rsid w:val="008040E0"/>
    <w:rsid w:val="00804106"/>
    <w:rsid w:val="00804289"/>
    <w:rsid w:val="008043AA"/>
    <w:rsid w:val="008043E8"/>
    <w:rsid w:val="0080455F"/>
    <w:rsid w:val="0080460A"/>
    <w:rsid w:val="008047E6"/>
    <w:rsid w:val="0080493C"/>
    <w:rsid w:val="00804946"/>
    <w:rsid w:val="008049B8"/>
    <w:rsid w:val="008049E7"/>
    <w:rsid w:val="00804A2E"/>
    <w:rsid w:val="00804A42"/>
    <w:rsid w:val="00804B8C"/>
    <w:rsid w:val="00804CF7"/>
    <w:rsid w:val="00804CFC"/>
    <w:rsid w:val="00804FF3"/>
    <w:rsid w:val="00805126"/>
    <w:rsid w:val="00805159"/>
    <w:rsid w:val="0080534E"/>
    <w:rsid w:val="008054C2"/>
    <w:rsid w:val="0080556A"/>
    <w:rsid w:val="0080565D"/>
    <w:rsid w:val="008056EB"/>
    <w:rsid w:val="00805765"/>
    <w:rsid w:val="008057C8"/>
    <w:rsid w:val="0080585B"/>
    <w:rsid w:val="008058E4"/>
    <w:rsid w:val="00805930"/>
    <w:rsid w:val="00805959"/>
    <w:rsid w:val="00805C83"/>
    <w:rsid w:val="00805D96"/>
    <w:rsid w:val="00805DCD"/>
    <w:rsid w:val="00805E08"/>
    <w:rsid w:val="00805E71"/>
    <w:rsid w:val="00805EE8"/>
    <w:rsid w:val="00805F69"/>
    <w:rsid w:val="0080602D"/>
    <w:rsid w:val="0080604B"/>
    <w:rsid w:val="008060AE"/>
    <w:rsid w:val="0080611D"/>
    <w:rsid w:val="00806252"/>
    <w:rsid w:val="00806253"/>
    <w:rsid w:val="008062AC"/>
    <w:rsid w:val="008063E4"/>
    <w:rsid w:val="00806437"/>
    <w:rsid w:val="00806474"/>
    <w:rsid w:val="008065ED"/>
    <w:rsid w:val="00806693"/>
    <w:rsid w:val="00806776"/>
    <w:rsid w:val="008067F0"/>
    <w:rsid w:val="00806840"/>
    <w:rsid w:val="008068E0"/>
    <w:rsid w:val="008068FE"/>
    <w:rsid w:val="00806AC0"/>
    <w:rsid w:val="00806ACC"/>
    <w:rsid w:val="00806B44"/>
    <w:rsid w:val="00806B68"/>
    <w:rsid w:val="00806C24"/>
    <w:rsid w:val="00806C2F"/>
    <w:rsid w:val="00806CDD"/>
    <w:rsid w:val="00806D30"/>
    <w:rsid w:val="00806D92"/>
    <w:rsid w:val="00806DFE"/>
    <w:rsid w:val="00806EAA"/>
    <w:rsid w:val="00806FA9"/>
    <w:rsid w:val="00807049"/>
    <w:rsid w:val="008070AD"/>
    <w:rsid w:val="0080710A"/>
    <w:rsid w:val="008071FC"/>
    <w:rsid w:val="0080732E"/>
    <w:rsid w:val="00807581"/>
    <w:rsid w:val="00807688"/>
    <w:rsid w:val="008077E4"/>
    <w:rsid w:val="00807A0B"/>
    <w:rsid w:val="00807ADD"/>
    <w:rsid w:val="00807C3B"/>
    <w:rsid w:val="00807DF6"/>
    <w:rsid w:val="00807E14"/>
    <w:rsid w:val="00807EB0"/>
    <w:rsid w:val="00807FFA"/>
    <w:rsid w:val="00810078"/>
    <w:rsid w:val="0081007A"/>
    <w:rsid w:val="008100DF"/>
    <w:rsid w:val="008100ED"/>
    <w:rsid w:val="008102FA"/>
    <w:rsid w:val="00810501"/>
    <w:rsid w:val="00810517"/>
    <w:rsid w:val="0081053F"/>
    <w:rsid w:val="0081056C"/>
    <w:rsid w:val="0081082D"/>
    <w:rsid w:val="008108AC"/>
    <w:rsid w:val="008108D1"/>
    <w:rsid w:val="008108E9"/>
    <w:rsid w:val="0081096B"/>
    <w:rsid w:val="008109B5"/>
    <w:rsid w:val="008109C9"/>
    <w:rsid w:val="00810A82"/>
    <w:rsid w:val="00810AB4"/>
    <w:rsid w:val="00810C1F"/>
    <w:rsid w:val="00810C96"/>
    <w:rsid w:val="00810CC4"/>
    <w:rsid w:val="00810D78"/>
    <w:rsid w:val="00810E8C"/>
    <w:rsid w:val="00810EF3"/>
    <w:rsid w:val="008110A6"/>
    <w:rsid w:val="008110C9"/>
    <w:rsid w:val="008110D2"/>
    <w:rsid w:val="00811188"/>
    <w:rsid w:val="0081118B"/>
    <w:rsid w:val="00811190"/>
    <w:rsid w:val="00811243"/>
    <w:rsid w:val="008112BD"/>
    <w:rsid w:val="00811328"/>
    <w:rsid w:val="0081137B"/>
    <w:rsid w:val="008113AA"/>
    <w:rsid w:val="00811426"/>
    <w:rsid w:val="0081145A"/>
    <w:rsid w:val="00811485"/>
    <w:rsid w:val="0081153F"/>
    <w:rsid w:val="0081167A"/>
    <w:rsid w:val="008116D2"/>
    <w:rsid w:val="0081172C"/>
    <w:rsid w:val="00811806"/>
    <w:rsid w:val="00811812"/>
    <w:rsid w:val="0081197D"/>
    <w:rsid w:val="00811A4E"/>
    <w:rsid w:val="00811B39"/>
    <w:rsid w:val="00811B46"/>
    <w:rsid w:val="00811CAE"/>
    <w:rsid w:val="00811CD7"/>
    <w:rsid w:val="00811D48"/>
    <w:rsid w:val="00811ED0"/>
    <w:rsid w:val="00811EDC"/>
    <w:rsid w:val="00811F42"/>
    <w:rsid w:val="00811FA8"/>
    <w:rsid w:val="00812196"/>
    <w:rsid w:val="008121E1"/>
    <w:rsid w:val="00812286"/>
    <w:rsid w:val="00812319"/>
    <w:rsid w:val="00812391"/>
    <w:rsid w:val="008123A2"/>
    <w:rsid w:val="008123AF"/>
    <w:rsid w:val="00812409"/>
    <w:rsid w:val="00812496"/>
    <w:rsid w:val="008124FF"/>
    <w:rsid w:val="0081255B"/>
    <w:rsid w:val="0081261A"/>
    <w:rsid w:val="00812626"/>
    <w:rsid w:val="0081262E"/>
    <w:rsid w:val="008126F1"/>
    <w:rsid w:val="00812901"/>
    <w:rsid w:val="0081290A"/>
    <w:rsid w:val="00812970"/>
    <w:rsid w:val="008129A3"/>
    <w:rsid w:val="00812AD2"/>
    <w:rsid w:val="00812BD2"/>
    <w:rsid w:val="00812E83"/>
    <w:rsid w:val="00812F08"/>
    <w:rsid w:val="008131E6"/>
    <w:rsid w:val="00813268"/>
    <w:rsid w:val="008132CC"/>
    <w:rsid w:val="0081337D"/>
    <w:rsid w:val="008133D9"/>
    <w:rsid w:val="008133F3"/>
    <w:rsid w:val="008134B1"/>
    <w:rsid w:val="008134B6"/>
    <w:rsid w:val="008134CE"/>
    <w:rsid w:val="008134D1"/>
    <w:rsid w:val="00813795"/>
    <w:rsid w:val="00813842"/>
    <w:rsid w:val="008138B6"/>
    <w:rsid w:val="00813A9A"/>
    <w:rsid w:val="00813B7B"/>
    <w:rsid w:val="00813C62"/>
    <w:rsid w:val="00813D68"/>
    <w:rsid w:val="00813D7E"/>
    <w:rsid w:val="00813D82"/>
    <w:rsid w:val="00813DBB"/>
    <w:rsid w:val="00813E93"/>
    <w:rsid w:val="00813F30"/>
    <w:rsid w:val="00813F73"/>
    <w:rsid w:val="00813F89"/>
    <w:rsid w:val="0081400A"/>
    <w:rsid w:val="0081409E"/>
    <w:rsid w:val="008140FE"/>
    <w:rsid w:val="008141CB"/>
    <w:rsid w:val="008141F2"/>
    <w:rsid w:val="008141F7"/>
    <w:rsid w:val="00814265"/>
    <w:rsid w:val="008142CE"/>
    <w:rsid w:val="008142E9"/>
    <w:rsid w:val="008142EA"/>
    <w:rsid w:val="0081435E"/>
    <w:rsid w:val="00814364"/>
    <w:rsid w:val="008143A8"/>
    <w:rsid w:val="00814419"/>
    <w:rsid w:val="0081441B"/>
    <w:rsid w:val="00814522"/>
    <w:rsid w:val="008145CF"/>
    <w:rsid w:val="00814629"/>
    <w:rsid w:val="008146C6"/>
    <w:rsid w:val="00814833"/>
    <w:rsid w:val="008148DE"/>
    <w:rsid w:val="008148EE"/>
    <w:rsid w:val="008149AD"/>
    <w:rsid w:val="00814A5A"/>
    <w:rsid w:val="00814AD1"/>
    <w:rsid w:val="00814B00"/>
    <w:rsid w:val="00814C7C"/>
    <w:rsid w:val="00814DE1"/>
    <w:rsid w:val="00814E04"/>
    <w:rsid w:val="00814E3E"/>
    <w:rsid w:val="00814F49"/>
    <w:rsid w:val="008150E1"/>
    <w:rsid w:val="00815113"/>
    <w:rsid w:val="00815146"/>
    <w:rsid w:val="00815174"/>
    <w:rsid w:val="00815184"/>
    <w:rsid w:val="008151B7"/>
    <w:rsid w:val="008151CA"/>
    <w:rsid w:val="008151DE"/>
    <w:rsid w:val="00815275"/>
    <w:rsid w:val="008157F1"/>
    <w:rsid w:val="00815A01"/>
    <w:rsid w:val="00815B4D"/>
    <w:rsid w:val="00815C6A"/>
    <w:rsid w:val="00815D42"/>
    <w:rsid w:val="00815DA4"/>
    <w:rsid w:val="00815EA9"/>
    <w:rsid w:val="00815F24"/>
    <w:rsid w:val="00815F72"/>
    <w:rsid w:val="00815FE7"/>
    <w:rsid w:val="0081600C"/>
    <w:rsid w:val="008160AE"/>
    <w:rsid w:val="008160E8"/>
    <w:rsid w:val="00816197"/>
    <w:rsid w:val="008161BF"/>
    <w:rsid w:val="0081628C"/>
    <w:rsid w:val="008162D2"/>
    <w:rsid w:val="0081646C"/>
    <w:rsid w:val="0081648E"/>
    <w:rsid w:val="008164EA"/>
    <w:rsid w:val="0081653E"/>
    <w:rsid w:val="0081655A"/>
    <w:rsid w:val="008165EE"/>
    <w:rsid w:val="00816674"/>
    <w:rsid w:val="008166A8"/>
    <w:rsid w:val="008167BE"/>
    <w:rsid w:val="008168CB"/>
    <w:rsid w:val="008169A1"/>
    <w:rsid w:val="008169CB"/>
    <w:rsid w:val="00816A77"/>
    <w:rsid w:val="00816A86"/>
    <w:rsid w:val="00816AF6"/>
    <w:rsid w:val="00816B5D"/>
    <w:rsid w:val="00816C2C"/>
    <w:rsid w:val="00816C3F"/>
    <w:rsid w:val="00816D18"/>
    <w:rsid w:val="00816F0E"/>
    <w:rsid w:val="00816F9C"/>
    <w:rsid w:val="00816FEF"/>
    <w:rsid w:val="00817032"/>
    <w:rsid w:val="00817055"/>
    <w:rsid w:val="0081708A"/>
    <w:rsid w:val="008170DD"/>
    <w:rsid w:val="008170EC"/>
    <w:rsid w:val="008172C3"/>
    <w:rsid w:val="008172F2"/>
    <w:rsid w:val="00817346"/>
    <w:rsid w:val="0081737B"/>
    <w:rsid w:val="00817412"/>
    <w:rsid w:val="0081741F"/>
    <w:rsid w:val="00817445"/>
    <w:rsid w:val="00817479"/>
    <w:rsid w:val="008174D1"/>
    <w:rsid w:val="0081753C"/>
    <w:rsid w:val="00817693"/>
    <w:rsid w:val="0081777C"/>
    <w:rsid w:val="00817797"/>
    <w:rsid w:val="0081788B"/>
    <w:rsid w:val="0081788D"/>
    <w:rsid w:val="00817923"/>
    <w:rsid w:val="008179F5"/>
    <w:rsid w:val="008179FC"/>
    <w:rsid w:val="00817ACB"/>
    <w:rsid w:val="00817B2A"/>
    <w:rsid w:val="00817BC6"/>
    <w:rsid w:val="00817CB2"/>
    <w:rsid w:val="00817CDB"/>
    <w:rsid w:val="00817E07"/>
    <w:rsid w:val="00817F3B"/>
    <w:rsid w:val="00817FA0"/>
    <w:rsid w:val="008200BB"/>
    <w:rsid w:val="008200D2"/>
    <w:rsid w:val="0082013D"/>
    <w:rsid w:val="0082014D"/>
    <w:rsid w:val="008201DE"/>
    <w:rsid w:val="008201F5"/>
    <w:rsid w:val="008201F8"/>
    <w:rsid w:val="00820218"/>
    <w:rsid w:val="0082037D"/>
    <w:rsid w:val="00820488"/>
    <w:rsid w:val="00820641"/>
    <w:rsid w:val="00820652"/>
    <w:rsid w:val="00820853"/>
    <w:rsid w:val="00820892"/>
    <w:rsid w:val="00820917"/>
    <w:rsid w:val="00820962"/>
    <w:rsid w:val="0082097F"/>
    <w:rsid w:val="008209FD"/>
    <w:rsid w:val="00820A1E"/>
    <w:rsid w:val="00820A9A"/>
    <w:rsid w:val="00820AAC"/>
    <w:rsid w:val="00820BC5"/>
    <w:rsid w:val="00820C13"/>
    <w:rsid w:val="00820E11"/>
    <w:rsid w:val="00820E49"/>
    <w:rsid w:val="00820F0B"/>
    <w:rsid w:val="00820F15"/>
    <w:rsid w:val="00820F36"/>
    <w:rsid w:val="00821003"/>
    <w:rsid w:val="008210AE"/>
    <w:rsid w:val="0082126C"/>
    <w:rsid w:val="008212CF"/>
    <w:rsid w:val="008212F6"/>
    <w:rsid w:val="0082138F"/>
    <w:rsid w:val="008213A5"/>
    <w:rsid w:val="008213EE"/>
    <w:rsid w:val="00821441"/>
    <w:rsid w:val="00821474"/>
    <w:rsid w:val="008214E1"/>
    <w:rsid w:val="0082152B"/>
    <w:rsid w:val="008215FA"/>
    <w:rsid w:val="008216BF"/>
    <w:rsid w:val="0082171D"/>
    <w:rsid w:val="008217E5"/>
    <w:rsid w:val="00821849"/>
    <w:rsid w:val="00821943"/>
    <w:rsid w:val="00821A43"/>
    <w:rsid w:val="00821A65"/>
    <w:rsid w:val="00821BA3"/>
    <w:rsid w:val="00821C56"/>
    <w:rsid w:val="00821C79"/>
    <w:rsid w:val="00821CFF"/>
    <w:rsid w:val="00821D31"/>
    <w:rsid w:val="00821EF7"/>
    <w:rsid w:val="00821F49"/>
    <w:rsid w:val="00821FB6"/>
    <w:rsid w:val="00822171"/>
    <w:rsid w:val="0082228B"/>
    <w:rsid w:val="0082230C"/>
    <w:rsid w:val="00822356"/>
    <w:rsid w:val="00822430"/>
    <w:rsid w:val="0082243C"/>
    <w:rsid w:val="008225AD"/>
    <w:rsid w:val="008225F1"/>
    <w:rsid w:val="00822899"/>
    <w:rsid w:val="00822984"/>
    <w:rsid w:val="00822AD0"/>
    <w:rsid w:val="00822B33"/>
    <w:rsid w:val="00822B35"/>
    <w:rsid w:val="00822B8C"/>
    <w:rsid w:val="00822C37"/>
    <w:rsid w:val="00822D4E"/>
    <w:rsid w:val="00822D8E"/>
    <w:rsid w:val="00822DB4"/>
    <w:rsid w:val="00822DC5"/>
    <w:rsid w:val="00822DF9"/>
    <w:rsid w:val="00822EC7"/>
    <w:rsid w:val="00822F32"/>
    <w:rsid w:val="00822F6C"/>
    <w:rsid w:val="00823060"/>
    <w:rsid w:val="0082308F"/>
    <w:rsid w:val="00823126"/>
    <w:rsid w:val="0082312F"/>
    <w:rsid w:val="00823130"/>
    <w:rsid w:val="0082318C"/>
    <w:rsid w:val="008231BF"/>
    <w:rsid w:val="008231C1"/>
    <w:rsid w:val="00823263"/>
    <w:rsid w:val="00823271"/>
    <w:rsid w:val="008232A9"/>
    <w:rsid w:val="008232C4"/>
    <w:rsid w:val="0082330C"/>
    <w:rsid w:val="00823311"/>
    <w:rsid w:val="00823342"/>
    <w:rsid w:val="008233D4"/>
    <w:rsid w:val="00823495"/>
    <w:rsid w:val="008234C2"/>
    <w:rsid w:val="0082362E"/>
    <w:rsid w:val="00823663"/>
    <w:rsid w:val="00823664"/>
    <w:rsid w:val="008236C0"/>
    <w:rsid w:val="008236C6"/>
    <w:rsid w:val="008237C0"/>
    <w:rsid w:val="0082385E"/>
    <w:rsid w:val="0082395F"/>
    <w:rsid w:val="00823A30"/>
    <w:rsid w:val="00823A85"/>
    <w:rsid w:val="00823A93"/>
    <w:rsid w:val="00823AFE"/>
    <w:rsid w:val="00823B07"/>
    <w:rsid w:val="00823B98"/>
    <w:rsid w:val="00823C67"/>
    <w:rsid w:val="00823C6A"/>
    <w:rsid w:val="00823C94"/>
    <w:rsid w:val="00823D5A"/>
    <w:rsid w:val="00823DFB"/>
    <w:rsid w:val="00823EEC"/>
    <w:rsid w:val="00823F4E"/>
    <w:rsid w:val="00823F97"/>
    <w:rsid w:val="0082408A"/>
    <w:rsid w:val="008240D1"/>
    <w:rsid w:val="0082411E"/>
    <w:rsid w:val="00824295"/>
    <w:rsid w:val="008242DC"/>
    <w:rsid w:val="008242E1"/>
    <w:rsid w:val="008242E4"/>
    <w:rsid w:val="00824458"/>
    <w:rsid w:val="0082445B"/>
    <w:rsid w:val="00824497"/>
    <w:rsid w:val="008244ED"/>
    <w:rsid w:val="0082458B"/>
    <w:rsid w:val="00824746"/>
    <w:rsid w:val="00824872"/>
    <w:rsid w:val="0082488D"/>
    <w:rsid w:val="008248CC"/>
    <w:rsid w:val="00824983"/>
    <w:rsid w:val="00824ABD"/>
    <w:rsid w:val="00824AE4"/>
    <w:rsid w:val="00824AF5"/>
    <w:rsid w:val="00824B53"/>
    <w:rsid w:val="00824BFD"/>
    <w:rsid w:val="00824C9D"/>
    <w:rsid w:val="00824CE9"/>
    <w:rsid w:val="00824E74"/>
    <w:rsid w:val="00824E96"/>
    <w:rsid w:val="00824E99"/>
    <w:rsid w:val="00824FFB"/>
    <w:rsid w:val="0082528E"/>
    <w:rsid w:val="0082540F"/>
    <w:rsid w:val="0082548D"/>
    <w:rsid w:val="0082550C"/>
    <w:rsid w:val="00825594"/>
    <w:rsid w:val="00825674"/>
    <w:rsid w:val="00825678"/>
    <w:rsid w:val="00825718"/>
    <w:rsid w:val="00825723"/>
    <w:rsid w:val="00825853"/>
    <w:rsid w:val="00825873"/>
    <w:rsid w:val="008258DB"/>
    <w:rsid w:val="00825B6C"/>
    <w:rsid w:val="00825BB5"/>
    <w:rsid w:val="00825C63"/>
    <w:rsid w:val="00825C95"/>
    <w:rsid w:val="00825CC4"/>
    <w:rsid w:val="00825D71"/>
    <w:rsid w:val="00825E49"/>
    <w:rsid w:val="00825FEC"/>
    <w:rsid w:val="00825FFF"/>
    <w:rsid w:val="0082607E"/>
    <w:rsid w:val="008261C1"/>
    <w:rsid w:val="00826252"/>
    <w:rsid w:val="0082627A"/>
    <w:rsid w:val="00826342"/>
    <w:rsid w:val="00826380"/>
    <w:rsid w:val="00826403"/>
    <w:rsid w:val="008264B1"/>
    <w:rsid w:val="008264C4"/>
    <w:rsid w:val="0082653A"/>
    <w:rsid w:val="00826640"/>
    <w:rsid w:val="00826674"/>
    <w:rsid w:val="008266A0"/>
    <w:rsid w:val="008266B2"/>
    <w:rsid w:val="008266D8"/>
    <w:rsid w:val="008266FC"/>
    <w:rsid w:val="00826847"/>
    <w:rsid w:val="00826882"/>
    <w:rsid w:val="008268EA"/>
    <w:rsid w:val="00826962"/>
    <w:rsid w:val="00826A2A"/>
    <w:rsid w:val="00826A5F"/>
    <w:rsid w:val="00826AFC"/>
    <w:rsid w:val="00826BD2"/>
    <w:rsid w:val="00826DB8"/>
    <w:rsid w:val="00826EA2"/>
    <w:rsid w:val="00826F09"/>
    <w:rsid w:val="008271D7"/>
    <w:rsid w:val="00827387"/>
    <w:rsid w:val="008274AD"/>
    <w:rsid w:val="00827528"/>
    <w:rsid w:val="008275B0"/>
    <w:rsid w:val="008275CF"/>
    <w:rsid w:val="008276FA"/>
    <w:rsid w:val="00827705"/>
    <w:rsid w:val="008277A9"/>
    <w:rsid w:val="00827856"/>
    <w:rsid w:val="00827BCA"/>
    <w:rsid w:val="00827BD1"/>
    <w:rsid w:val="00827BD7"/>
    <w:rsid w:val="00827BDA"/>
    <w:rsid w:val="00827E3A"/>
    <w:rsid w:val="00827E55"/>
    <w:rsid w:val="00827FD7"/>
    <w:rsid w:val="00827FF0"/>
    <w:rsid w:val="00830053"/>
    <w:rsid w:val="008301B7"/>
    <w:rsid w:val="0083024D"/>
    <w:rsid w:val="008303C9"/>
    <w:rsid w:val="00830451"/>
    <w:rsid w:val="008304CF"/>
    <w:rsid w:val="00830594"/>
    <w:rsid w:val="0083060E"/>
    <w:rsid w:val="008306E4"/>
    <w:rsid w:val="008306E6"/>
    <w:rsid w:val="008306F6"/>
    <w:rsid w:val="0083097A"/>
    <w:rsid w:val="00830A2E"/>
    <w:rsid w:val="00830AC1"/>
    <w:rsid w:val="00830CE0"/>
    <w:rsid w:val="00830DD9"/>
    <w:rsid w:val="00830EBD"/>
    <w:rsid w:val="00830F40"/>
    <w:rsid w:val="00830FC9"/>
    <w:rsid w:val="00831030"/>
    <w:rsid w:val="00831127"/>
    <w:rsid w:val="00831250"/>
    <w:rsid w:val="00831280"/>
    <w:rsid w:val="008312A0"/>
    <w:rsid w:val="008312A3"/>
    <w:rsid w:val="008312ED"/>
    <w:rsid w:val="008313C6"/>
    <w:rsid w:val="00831421"/>
    <w:rsid w:val="00831490"/>
    <w:rsid w:val="008314AD"/>
    <w:rsid w:val="008317BF"/>
    <w:rsid w:val="008317DC"/>
    <w:rsid w:val="0083195D"/>
    <w:rsid w:val="008319D3"/>
    <w:rsid w:val="00831A8A"/>
    <w:rsid w:val="00831BB2"/>
    <w:rsid w:val="00831BC8"/>
    <w:rsid w:val="00831C0D"/>
    <w:rsid w:val="00831EB8"/>
    <w:rsid w:val="00831EC8"/>
    <w:rsid w:val="00831F0F"/>
    <w:rsid w:val="00831F37"/>
    <w:rsid w:val="00831F9F"/>
    <w:rsid w:val="00831FB8"/>
    <w:rsid w:val="0083204E"/>
    <w:rsid w:val="008320CB"/>
    <w:rsid w:val="008320F4"/>
    <w:rsid w:val="0083215E"/>
    <w:rsid w:val="0083219D"/>
    <w:rsid w:val="008321BA"/>
    <w:rsid w:val="008321D3"/>
    <w:rsid w:val="00832232"/>
    <w:rsid w:val="00832249"/>
    <w:rsid w:val="008322A7"/>
    <w:rsid w:val="008324E2"/>
    <w:rsid w:val="00832571"/>
    <w:rsid w:val="0083271B"/>
    <w:rsid w:val="00832720"/>
    <w:rsid w:val="00832751"/>
    <w:rsid w:val="008327DF"/>
    <w:rsid w:val="008328C1"/>
    <w:rsid w:val="008328EF"/>
    <w:rsid w:val="00832A92"/>
    <w:rsid w:val="00832AD8"/>
    <w:rsid w:val="00832BBB"/>
    <w:rsid w:val="00832C2A"/>
    <w:rsid w:val="00832C5F"/>
    <w:rsid w:val="00832D5A"/>
    <w:rsid w:val="00832D97"/>
    <w:rsid w:val="00832DBC"/>
    <w:rsid w:val="00832DCD"/>
    <w:rsid w:val="00832DE6"/>
    <w:rsid w:val="00832DF1"/>
    <w:rsid w:val="00832E06"/>
    <w:rsid w:val="00832E12"/>
    <w:rsid w:val="00832E63"/>
    <w:rsid w:val="00832F56"/>
    <w:rsid w:val="00833053"/>
    <w:rsid w:val="0083308C"/>
    <w:rsid w:val="00833110"/>
    <w:rsid w:val="0083318C"/>
    <w:rsid w:val="00833278"/>
    <w:rsid w:val="00833435"/>
    <w:rsid w:val="008334F2"/>
    <w:rsid w:val="0083359A"/>
    <w:rsid w:val="0083366B"/>
    <w:rsid w:val="008337E7"/>
    <w:rsid w:val="00833848"/>
    <w:rsid w:val="0083388F"/>
    <w:rsid w:val="008338D3"/>
    <w:rsid w:val="0083390F"/>
    <w:rsid w:val="00833948"/>
    <w:rsid w:val="00833977"/>
    <w:rsid w:val="008339C8"/>
    <w:rsid w:val="008339CE"/>
    <w:rsid w:val="00833A1A"/>
    <w:rsid w:val="00833CC3"/>
    <w:rsid w:val="00833D46"/>
    <w:rsid w:val="00833D52"/>
    <w:rsid w:val="008340B9"/>
    <w:rsid w:val="00834173"/>
    <w:rsid w:val="008341D7"/>
    <w:rsid w:val="0083423C"/>
    <w:rsid w:val="0083424D"/>
    <w:rsid w:val="00834286"/>
    <w:rsid w:val="008342A0"/>
    <w:rsid w:val="008342D5"/>
    <w:rsid w:val="0083435A"/>
    <w:rsid w:val="008343F3"/>
    <w:rsid w:val="00834405"/>
    <w:rsid w:val="008344FE"/>
    <w:rsid w:val="0083450D"/>
    <w:rsid w:val="00834680"/>
    <w:rsid w:val="008347E0"/>
    <w:rsid w:val="008348A1"/>
    <w:rsid w:val="00834AA3"/>
    <w:rsid w:val="00834BC0"/>
    <w:rsid w:val="00834BF5"/>
    <w:rsid w:val="00834CA6"/>
    <w:rsid w:val="00834CC1"/>
    <w:rsid w:val="00834D29"/>
    <w:rsid w:val="00834D67"/>
    <w:rsid w:val="00834DF7"/>
    <w:rsid w:val="00834F76"/>
    <w:rsid w:val="00834F7F"/>
    <w:rsid w:val="00835177"/>
    <w:rsid w:val="00835266"/>
    <w:rsid w:val="008352C1"/>
    <w:rsid w:val="00835309"/>
    <w:rsid w:val="008353AE"/>
    <w:rsid w:val="00835435"/>
    <w:rsid w:val="0083547C"/>
    <w:rsid w:val="008354DC"/>
    <w:rsid w:val="008356C1"/>
    <w:rsid w:val="008357DC"/>
    <w:rsid w:val="008358E3"/>
    <w:rsid w:val="00835924"/>
    <w:rsid w:val="00835970"/>
    <w:rsid w:val="008359D0"/>
    <w:rsid w:val="00835AA0"/>
    <w:rsid w:val="00835AC5"/>
    <w:rsid w:val="00835C66"/>
    <w:rsid w:val="00835CBE"/>
    <w:rsid w:val="00835E5A"/>
    <w:rsid w:val="00835EA4"/>
    <w:rsid w:val="00835EC4"/>
    <w:rsid w:val="0083605A"/>
    <w:rsid w:val="008360C2"/>
    <w:rsid w:val="008360CE"/>
    <w:rsid w:val="00836104"/>
    <w:rsid w:val="0083611C"/>
    <w:rsid w:val="0083612E"/>
    <w:rsid w:val="008361C2"/>
    <w:rsid w:val="008362DA"/>
    <w:rsid w:val="00836344"/>
    <w:rsid w:val="00836438"/>
    <w:rsid w:val="008364DD"/>
    <w:rsid w:val="008366D3"/>
    <w:rsid w:val="00836768"/>
    <w:rsid w:val="0083676C"/>
    <w:rsid w:val="008367F3"/>
    <w:rsid w:val="00836914"/>
    <w:rsid w:val="0083697A"/>
    <w:rsid w:val="00836A7F"/>
    <w:rsid w:val="00836AEE"/>
    <w:rsid w:val="00836B64"/>
    <w:rsid w:val="00836B95"/>
    <w:rsid w:val="00836CFF"/>
    <w:rsid w:val="00836DB2"/>
    <w:rsid w:val="00836E99"/>
    <w:rsid w:val="00836F5B"/>
    <w:rsid w:val="00836FF7"/>
    <w:rsid w:val="00837087"/>
    <w:rsid w:val="00837186"/>
    <w:rsid w:val="00837211"/>
    <w:rsid w:val="0083721E"/>
    <w:rsid w:val="008372E4"/>
    <w:rsid w:val="008372EC"/>
    <w:rsid w:val="008373C1"/>
    <w:rsid w:val="0083751C"/>
    <w:rsid w:val="00837846"/>
    <w:rsid w:val="00837877"/>
    <w:rsid w:val="00837893"/>
    <w:rsid w:val="00837A21"/>
    <w:rsid w:val="00837CE0"/>
    <w:rsid w:val="00837DAE"/>
    <w:rsid w:val="00837DDC"/>
    <w:rsid w:val="00837E10"/>
    <w:rsid w:val="00837F2D"/>
    <w:rsid w:val="00837F55"/>
    <w:rsid w:val="00837F66"/>
    <w:rsid w:val="00837F6C"/>
    <w:rsid w:val="00840039"/>
    <w:rsid w:val="00840236"/>
    <w:rsid w:val="00840255"/>
    <w:rsid w:val="0084028A"/>
    <w:rsid w:val="008402D8"/>
    <w:rsid w:val="008404BC"/>
    <w:rsid w:val="00840574"/>
    <w:rsid w:val="008405D7"/>
    <w:rsid w:val="008405DD"/>
    <w:rsid w:val="008406A5"/>
    <w:rsid w:val="00840751"/>
    <w:rsid w:val="008408A2"/>
    <w:rsid w:val="00840A6C"/>
    <w:rsid w:val="00840ABC"/>
    <w:rsid w:val="00840AC9"/>
    <w:rsid w:val="00840C2B"/>
    <w:rsid w:val="00840C33"/>
    <w:rsid w:val="00840C49"/>
    <w:rsid w:val="00840C91"/>
    <w:rsid w:val="00840CF9"/>
    <w:rsid w:val="00840D3F"/>
    <w:rsid w:val="00840DE8"/>
    <w:rsid w:val="00840E71"/>
    <w:rsid w:val="00840ED4"/>
    <w:rsid w:val="00840F13"/>
    <w:rsid w:val="0084103C"/>
    <w:rsid w:val="00841161"/>
    <w:rsid w:val="008414DF"/>
    <w:rsid w:val="008414FA"/>
    <w:rsid w:val="0084159C"/>
    <w:rsid w:val="008415B3"/>
    <w:rsid w:val="00841780"/>
    <w:rsid w:val="00841794"/>
    <w:rsid w:val="008417CF"/>
    <w:rsid w:val="0084186F"/>
    <w:rsid w:val="00841907"/>
    <w:rsid w:val="008419F1"/>
    <w:rsid w:val="00841A0E"/>
    <w:rsid w:val="00841A9A"/>
    <w:rsid w:val="00841ABA"/>
    <w:rsid w:val="00841C11"/>
    <w:rsid w:val="00841C2F"/>
    <w:rsid w:val="00841CAB"/>
    <w:rsid w:val="00841CBB"/>
    <w:rsid w:val="00841D37"/>
    <w:rsid w:val="00841E11"/>
    <w:rsid w:val="00841E2F"/>
    <w:rsid w:val="00841E55"/>
    <w:rsid w:val="00841EA2"/>
    <w:rsid w:val="00841EC4"/>
    <w:rsid w:val="00841EF3"/>
    <w:rsid w:val="00841F3C"/>
    <w:rsid w:val="00841F7C"/>
    <w:rsid w:val="00841FBE"/>
    <w:rsid w:val="0084206F"/>
    <w:rsid w:val="00842082"/>
    <w:rsid w:val="008421DF"/>
    <w:rsid w:val="0084228A"/>
    <w:rsid w:val="008422C7"/>
    <w:rsid w:val="00842317"/>
    <w:rsid w:val="00842365"/>
    <w:rsid w:val="00842375"/>
    <w:rsid w:val="00842437"/>
    <w:rsid w:val="008424B4"/>
    <w:rsid w:val="00842605"/>
    <w:rsid w:val="0084264A"/>
    <w:rsid w:val="0084273D"/>
    <w:rsid w:val="00842853"/>
    <w:rsid w:val="008428DD"/>
    <w:rsid w:val="00842964"/>
    <w:rsid w:val="008429D9"/>
    <w:rsid w:val="00842A38"/>
    <w:rsid w:val="00842A79"/>
    <w:rsid w:val="00842AC9"/>
    <w:rsid w:val="00842AEE"/>
    <w:rsid w:val="00842B3C"/>
    <w:rsid w:val="00842B75"/>
    <w:rsid w:val="00842C31"/>
    <w:rsid w:val="00842C8B"/>
    <w:rsid w:val="00842D6F"/>
    <w:rsid w:val="00842F97"/>
    <w:rsid w:val="00842FAE"/>
    <w:rsid w:val="00843088"/>
    <w:rsid w:val="008430AC"/>
    <w:rsid w:val="008430BC"/>
    <w:rsid w:val="008430DC"/>
    <w:rsid w:val="0084323C"/>
    <w:rsid w:val="00843294"/>
    <w:rsid w:val="008432BB"/>
    <w:rsid w:val="0084336A"/>
    <w:rsid w:val="008434E7"/>
    <w:rsid w:val="00843567"/>
    <w:rsid w:val="008436F8"/>
    <w:rsid w:val="00843896"/>
    <w:rsid w:val="008438A9"/>
    <w:rsid w:val="008438BE"/>
    <w:rsid w:val="008438E0"/>
    <w:rsid w:val="00843905"/>
    <w:rsid w:val="00843997"/>
    <w:rsid w:val="00843A31"/>
    <w:rsid w:val="00843A35"/>
    <w:rsid w:val="00843AC9"/>
    <w:rsid w:val="00843B45"/>
    <w:rsid w:val="00843C8E"/>
    <w:rsid w:val="00843CB8"/>
    <w:rsid w:val="00843DEA"/>
    <w:rsid w:val="00843EB4"/>
    <w:rsid w:val="00843EF7"/>
    <w:rsid w:val="0084416B"/>
    <w:rsid w:val="008441F7"/>
    <w:rsid w:val="0084424D"/>
    <w:rsid w:val="008442D1"/>
    <w:rsid w:val="008442DF"/>
    <w:rsid w:val="00844372"/>
    <w:rsid w:val="00844417"/>
    <w:rsid w:val="0084446B"/>
    <w:rsid w:val="00844609"/>
    <w:rsid w:val="0084461E"/>
    <w:rsid w:val="00844664"/>
    <w:rsid w:val="008447F1"/>
    <w:rsid w:val="00844837"/>
    <w:rsid w:val="0084485D"/>
    <w:rsid w:val="008448E9"/>
    <w:rsid w:val="0084491F"/>
    <w:rsid w:val="00844943"/>
    <w:rsid w:val="00844979"/>
    <w:rsid w:val="008449DD"/>
    <w:rsid w:val="00844A21"/>
    <w:rsid w:val="00844A72"/>
    <w:rsid w:val="00844B57"/>
    <w:rsid w:val="00844C74"/>
    <w:rsid w:val="00844E40"/>
    <w:rsid w:val="00844E6D"/>
    <w:rsid w:val="00844E7A"/>
    <w:rsid w:val="00845047"/>
    <w:rsid w:val="0084505A"/>
    <w:rsid w:val="008451F6"/>
    <w:rsid w:val="00845316"/>
    <w:rsid w:val="008453D7"/>
    <w:rsid w:val="00845414"/>
    <w:rsid w:val="0084549B"/>
    <w:rsid w:val="008454B7"/>
    <w:rsid w:val="008454CB"/>
    <w:rsid w:val="0084555F"/>
    <w:rsid w:val="0084559B"/>
    <w:rsid w:val="008455B9"/>
    <w:rsid w:val="008455D6"/>
    <w:rsid w:val="008455E6"/>
    <w:rsid w:val="008455F5"/>
    <w:rsid w:val="00845637"/>
    <w:rsid w:val="008456AE"/>
    <w:rsid w:val="00845701"/>
    <w:rsid w:val="00845716"/>
    <w:rsid w:val="00845808"/>
    <w:rsid w:val="0084582D"/>
    <w:rsid w:val="0084585C"/>
    <w:rsid w:val="0084596C"/>
    <w:rsid w:val="00845A72"/>
    <w:rsid w:val="00845B6D"/>
    <w:rsid w:val="00845C3A"/>
    <w:rsid w:val="00845CE6"/>
    <w:rsid w:val="00845DB0"/>
    <w:rsid w:val="00845FAD"/>
    <w:rsid w:val="00845FFB"/>
    <w:rsid w:val="00846013"/>
    <w:rsid w:val="0084602D"/>
    <w:rsid w:val="0084603F"/>
    <w:rsid w:val="008460DE"/>
    <w:rsid w:val="008461E1"/>
    <w:rsid w:val="0084629B"/>
    <w:rsid w:val="008462D3"/>
    <w:rsid w:val="008462FE"/>
    <w:rsid w:val="00846553"/>
    <w:rsid w:val="0084661B"/>
    <w:rsid w:val="0084669F"/>
    <w:rsid w:val="00846734"/>
    <w:rsid w:val="0084689A"/>
    <w:rsid w:val="00846934"/>
    <w:rsid w:val="00846C01"/>
    <w:rsid w:val="00846C9C"/>
    <w:rsid w:val="00846EF7"/>
    <w:rsid w:val="00846F05"/>
    <w:rsid w:val="00846F35"/>
    <w:rsid w:val="00846F73"/>
    <w:rsid w:val="00847212"/>
    <w:rsid w:val="00847406"/>
    <w:rsid w:val="008474EB"/>
    <w:rsid w:val="00847517"/>
    <w:rsid w:val="0084755F"/>
    <w:rsid w:val="0084756B"/>
    <w:rsid w:val="00847658"/>
    <w:rsid w:val="00847695"/>
    <w:rsid w:val="008476DE"/>
    <w:rsid w:val="008477BE"/>
    <w:rsid w:val="00847877"/>
    <w:rsid w:val="008479C7"/>
    <w:rsid w:val="008479FE"/>
    <w:rsid w:val="00847A1A"/>
    <w:rsid w:val="00847ABF"/>
    <w:rsid w:val="00847AE3"/>
    <w:rsid w:val="00847B16"/>
    <w:rsid w:val="00847B1C"/>
    <w:rsid w:val="00847B4D"/>
    <w:rsid w:val="00847B5C"/>
    <w:rsid w:val="00847CFC"/>
    <w:rsid w:val="00847D9F"/>
    <w:rsid w:val="00847DD0"/>
    <w:rsid w:val="00847E4A"/>
    <w:rsid w:val="00847E79"/>
    <w:rsid w:val="00847E9B"/>
    <w:rsid w:val="00847EF9"/>
    <w:rsid w:val="0085003A"/>
    <w:rsid w:val="00850058"/>
    <w:rsid w:val="0085008D"/>
    <w:rsid w:val="0085016F"/>
    <w:rsid w:val="00850224"/>
    <w:rsid w:val="0085031D"/>
    <w:rsid w:val="008503E2"/>
    <w:rsid w:val="00850436"/>
    <w:rsid w:val="00850456"/>
    <w:rsid w:val="008504D3"/>
    <w:rsid w:val="008504EA"/>
    <w:rsid w:val="00850508"/>
    <w:rsid w:val="0085050A"/>
    <w:rsid w:val="00850568"/>
    <w:rsid w:val="008505CD"/>
    <w:rsid w:val="00850674"/>
    <w:rsid w:val="008506A0"/>
    <w:rsid w:val="00850755"/>
    <w:rsid w:val="008507E2"/>
    <w:rsid w:val="00850879"/>
    <w:rsid w:val="0085096E"/>
    <w:rsid w:val="0085099A"/>
    <w:rsid w:val="00850A52"/>
    <w:rsid w:val="00850A89"/>
    <w:rsid w:val="00850AD3"/>
    <w:rsid w:val="00850B30"/>
    <w:rsid w:val="00850B45"/>
    <w:rsid w:val="00850B4A"/>
    <w:rsid w:val="00850B60"/>
    <w:rsid w:val="00850B94"/>
    <w:rsid w:val="00850BB0"/>
    <w:rsid w:val="00850BD2"/>
    <w:rsid w:val="00850D77"/>
    <w:rsid w:val="00850D92"/>
    <w:rsid w:val="00850DAF"/>
    <w:rsid w:val="00850DCC"/>
    <w:rsid w:val="00850DDD"/>
    <w:rsid w:val="00850E7B"/>
    <w:rsid w:val="00850FE9"/>
    <w:rsid w:val="0085101A"/>
    <w:rsid w:val="00851045"/>
    <w:rsid w:val="00851077"/>
    <w:rsid w:val="008510FE"/>
    <w:rsid w:val="00851131"/>
    <w:rsid w:val="00851139"/>
    <w:rsid w:val="00851148"/>
    <w:rsid w:val="008511F6"/>
    <w:rsid w:val="00851220"/>
    <w:rsid w:val="00851386"/>
    <w:rsid w:val="008513A1"/>
    <w:rsid w:val="008513C1"/>
    <w:rsid w:val="008515CF"/>
    <w:rsid w:val="00851607"/>
    <w:rsid w:val="00851866"/>
    <w:rsid w:val="0085188D"/>
    <w:rsid w:val="0085191C"/>
    <w:rsid w:val="008519AA"/>
    <w:rsid w:val="00851A40"/>
    <w:rsid w:val="00851A50"/>
    <w:rsid w:val="00851AA1"/>
    <w:rsid w:val="00851B2D"/>
    <w:rsid w:val="00851B3D"/>
    <w:rsid w:val="00851C0E"/>
    <w:rsid w:val="00851C67"/>
    <w:rsid w:val="00851C97"/>
    <w:rsid w:val="00851DCB"/>
    <w:rsid w:val="00851E62"/>
    <w:rsid w:val="00852087"/>
    <w:rsid w:val="0085218E"/>
    <w:rsid w:val="008521EA"/>
    <w:rsid w:val="0085225E"/>
    <w:rsid w:val="008522C3"/>
    <w:rsid w:val="008522F8"/>
    <w:rsid w:val="00852371"/>
    <w:rsid w:val="00852468"/>
    <w:rsid w:val="00852592"/>
    <w:rsid w:val="00852641"/>
    <w:rsid w:val="008528E6"/>
    <w:rsid w:val="008529A2"/>
    <w:rsid w:val="008529FF"/>
    <w:rsid w:val="00852BC0"/>
    <w:rsid w:val="00852BCE"/>
    <w:rsid w:val="00852CFD"/>
    <w:rsid w:val="00852D05"/>
    <w:rsid w:val="00852D30"/>
    <w:rsid w:val="00852F33"/>
    <w:rsid w:val="00852F54"/>
    <w:rsid w:val="00852FE9"/>
    <w:rsid w:val="00852FF6"/>
    <w:rsid w:val="0085310B"/>
    <w:rsid w:val="00853149"/>
    <w:rsid w:val="008531AC"/>
    <w:rsid w:val="008531F5"/>
    <w:rsid w:val="008532FF"/>
    <w:rsid w:val="0085335E"/>
    <w:rsid w:val="0085335F"/>
    <w:rsid w:val="00853436"/>
    <w:rsid w:val="00853481"/>
    <w:rsid w:val="008534F0"/>
    <w:rsid w:val="00853660"/>
    <w:rsid w:val="00853661"/>
    <w:rsid w:val="0085369E"/>
    <w:rsid w:val="008536CA"/>
    <w:rsid w:val="008537A3"/>
    <w:rsid w:val="008537DF"/>
    <w:rsid w:val="008537E6"/>
    <w:rsid w:val="00853920"/>
    <w:rsid w:val="0085392F"/>
    <w:rsid w:val="008539C0"/>
    <w:rsid w:val="00853A77"/>
    <w:rsid w:val="00853B06"/>
    <w:rsid w:val="00853B3F"/>
    <w:rsid w:val="00853BF5"/>
    <w:rsid w:val="00853C50"/>
    <w:rsid w:val="00853CD6"/>
    <w:rsid w:val="00853D2B"/>
    <w:rsid w:val="00853D58"/>
    <w:rsid w:val="00853F1D"/>
    <w:rsid w:val="0085404D"/>
    <w:rsid w:val="00854070"/>
    <w:rsid w:val="008540CF"/>
    <w:rsid w:val="008541E3"/>
    <w:rsid w:val="008541EE"/>
    <w:rsid w:val="00854229"/>
    <w:rsid w:val="00854234"/>
    <w:rsid w:val="008542C7"/>
    <w:rsid w:val="008543E9"/>
    <w:rsid w:val="008543F8"/>
    <w:rsid w:val="00854422"/>
    <w:rsid w:val="00854436"/>
    <w:rsid w:val="00854562"/>
    <w:rsid w:val="008545C6"/>
    <w:rsid w:val="00854625"/>
    <w:rsid w:val="00854760"/>
    <w:rsid w:val="00854791"/>
    <w:rsid w:val="008547BE"/>
    <w:rsid w:val="008548AC"/>
    <w:rsid w:val="00854915"/>
    <w:rsid w:val="00854963"/>
    <w:rsid w:val="00854A0D"/>
    <w:rsid w:val="00854A9B"/>
    <w:rsid w:val="00854B43"/>
    <w:rsid w:val="00854B8F"/>
    <w:rsid w:val="00854C7F"/>
    <w:rsid w:val="00854D00"/>
    <w:rsid w:val="00854D1F"/>
    <w:rsid w:val="00854D36"/>
    <w:rsid w:val="00854DEB"/>
    <w:rsid w:val="00854E8E"/>
    <w:rsid w:val="00854FD8"/>
    <w:rsid w:val="00854FFE"/>
    <w:rsid w:val="00855010"/>
    <w:rsid w:val="00855076"/>
    <w:rsid w:val="008550B5"/>
    <w:rsid w:val="008550EF"/>
    <w:rsid w:val="00855161"/>
    <w:rsid w:val="00855179"/>
    <w:rsid w:val="00855339"/>
    <w:rsid w:val="0085535D"/>
    <w:rsid w:val="00855399"/>
    <w:rsid w:val="008553DD"/>
    <w:rsid w:val="008553EC"/>
    <w:rsid w:val="00855402"/>
    <w:rsid w:val="00855478"/>
    <w:rsid w:val="0085550E"/>
    <w:rsid w:val="008555BD"/>
    <w:rsid w:val="008555C1"/>
    <w:rsid w:val="008555C8"/>
    <w:rsid w:val="00855604"/>
    <w:rsid w:val="00855612"/>
    <w:rsid w:val="00855743"/>
    <w:rsid w:val="0085574E"/>
    <w:rsid w:val="00855791"/>
    <w:rsid w:val="008557F6"/>
    <w:rsid w:val="008558DB"/>
    <w:rsid w:val="00855960"/>
    <w:rsid w:val="00855A3A"/>
    <w:rsid w:val="00855AF2"/>
    <w:rsid w:val="00855B34"/>
    <w:rsid w:val="00855D2D"/>
    <w:rsid w:val="00855EBB"/>
    <w:rsid w:val="00855F67"/>
    <w:rsid w:val="00855FC9"/>
    <w:rsid w:val="0085618E"/>
    <w:rsid w:val="008561EC"/>
    <w:rsid w:val="0085621B"/>
    <w:rsid w:val="00856325"/>
    <w:rsid w:val="0085638B"/>
    <w:rsid w:val="008563AC"/>
    <w:rsid w:val="008563FA"/>
    <w:rsid w:val="00856503"/>
    <w:rsid w:val="0085657D"/>
    <w:rsid w:val="00856585"/>
    <w:rsid w:val="008566EF"/>
    <w:rsid w:val="008567E1"/>
    <w:rsid w:val="008567E9"/>
    <w:rsid w:val="00856820"/>
    <w:rsid w:val="00856856"/>
    <w:rsid w:val="008568C9"/>
    <w:rsid w:val="008568E5"/>
    <w:rsid w:val="00856AB0"/>
    <w:rsid w:val="00856B32"/>
    <w:rsid w:val="00856B4A"/>
    <w:rsid w:val="00856D0E"/>
    <w:rsid w:val="00856D99"/>
    <w:rsid w:val="00856FB8"/>
    <w:rsid w:val="00856FBF"/>
    <w:rsid w:val="00856FCE"/>
    <w:rsid w:val="00857096"/>
    <w:rsid w:val="008570F5"/>
    <w:rsid w:val="00857141"/>
    <w:rsid w:val="0085724E"/>
    <w:rsid w:val="0085728D"/>
    <w:rsid w:val="0085729D"/>
    <w:rsid w:val="008572EF"/>
    <w:rsid w:val="008573BC"/>
    <w:rsid w:val="008573C7"/>
    <w:rsid w:val="00857476"/>
    <w:rsid w:val="008574E2"/>
    <w:rsid w:val="008574E6"/>
    <w:rsid w:val="00857545"/>
    <w:rsid w:val="00857571"/>
    <w:rsid w:val="00857574"/>
    <w:rsid w:val="008575CA"/>
    <w:rsid w:val="00857660"/>
    <w:rsid w:val="0085768B"/>
    <w:rsid w:val="008576D2"/>
    <w:rsid w:val="00857710"/>
    <w:rsid w:val="00857856"/>
    <w:rsid w:val="008578C0"/>
    <w:rsid w:val="00857906"/>
    <w:rsid w:val="0085791F"/>
    <w:rsid w:val="00857A7D"/>
    <w:rsid w:val="00857B2F"/>
    <w:rsid w:val="00857C86"/>
    <w:rsid w:val="00857D65"/>
    <w:rsid w:val="00857E33"/>
    <w:rsid w:val="00857F12"/>
    <w:rsid w:val="00857FE5"/>
    <w:rsid w:val="008600DA"/>
    <w:rsid w:val="008600DC"/>
    <w:rsid w:val="008601B7"/>
    <w:rsid w:val="008602C5"/>
    <w:rsid w:val="00860314"/>
    <w:rsid w:val="0086031D"/>
    <w:rsid w:val="00860339"/>
    <w:rsid w:val="00860343"/>
    <w:rsid w:val="00860378"/>
    <w:rsid w:val="00860383"/>
    <w:rsid w:val="00860414"/>
    <w:rsid w:val="008604B0"/>
    <w:rsid w:val="008604B4"/>
    <w:rsid w:val="008605DE"/>
    <w:rsid w:val="00860669"/>
    <w:rsid w:val="00860728"/>
    <w:rsid w:val="008607A3"/>
    <w:rsid w:val="00860952"/>
    <w:rsid w:val="00860B0C"/>
    <w:rsid w:val="00860B9A"/>
    <w:rsid w:val="00860C97"/>
    <w:rsid w:val="00860D4E"/>
    <w:rsid w:val="00860DC9"/>
    <w:rsid w:val="00860E03"/>
    <w:rsid w:val="00860FAC"/>
    <w:rsid w:val="00860FCD"/>
    <w:rsid w:val="0086107E"/>
    <w:rsid w:val="0086109A"/>
    <w:rsid w:val="008610AA"/>
    <w:rsid w:val="0086117C"/>
    <w:rsid w:val="008611A8"/>
    <w:rsid w:val="008611EF"/>
    <w:rsid w:val="008612A2"/>
    <w:rsid w:val="008612E4"/>
    <w:rsid w:val="008613F2"/>
    <w:rsid w:val="0086143A"/>
    <w:rsid w:val="0086150E"/>
    <w:rsid w:val="00861566"/>
    <w:rsid w:val="0086156E"/>
    <w:rsid w:val="00861607"/>
    <w:rsid w:val="0086173D"/>
    <w:rsid w:val="00861774"/>
    <w:rsid w:val="0086189F"/>
    <w:rsid w:val="008619D2"/>
    <w:rsid w:val="00861A01"/>
    <w:rsid w:val="00861AA4"/>
    <w:rsid w:val="00861BA6"/>
    <w:rsid w:val="00861C20"/>
    <w:rsid w:val="00861CCD"/>
    <w:rsid w:val="00861E3B"/>
    <w:rsid w:val="00861EA6"/>
    <w:rsid w:val="00862089"/>
    <w:rsid w:val="008621BE"/>
    <w:rsid w:val="00862227"/>
    <w:rsid w:val="0086223B"/>
    <w:rsid w:val="008622FF"/>
    <w:rsid w:val="008623E5"/>
    <w:rsid w:val="00862597"/>
    <w:rsid w:val="008625C9"/>
    <w:rsid w:val="0086266B"/>
    <w:rsid w:val="008626D6"/>
    <w:rsid w:val="008628F3"/>
    <w:rsid w:val="00862924"/>
    <w:rsid w:val="00862A38"/>
    <w:rsid w:val="00862BEE"/>
    <w:rsid w:val="00862C06"/>
    <w:rsid w:val="00862C34"/>
    <w:rsid w:val="00862C40"/>
    <w:rsid w:val="00862C8A"/>
    <w:rsid w:val="00862C93"/>
    <w:rsid w:val="00862E88"/>
    <w:rsid w:val="00862EBB"/>
    <w:rsid w:val="00862EE1"/>
    <w:rsid w:val="00862F8C"/>
    <w:rsid w:val="00862FA6"/>
    <w:rsid w:val="00863024"/>
    <w:rsid w:val="0086303E"/>
    <w:rsid w:val="00863086"/>
    <w:rsid w:val="00863126"/>
    <w:rsid w:val="00863337"/>
    <w:rsid w:val="0086333C"/>
    <w:rsid w:val="008633FB"/>
    <w:rsid w:val="008634D3"/>
    <w:rsid w:val="00863544"/>
    <w:rsid w:val="00863582"/>
    <w:rsid w:val="00863744"/>
    <w:rsid w:val="0086375C"/>
    <w:rsid w:val="0086375F"/>
    <w:rsid w:val="0086379C"/>
    <w:rsid w:val="008639E6"/>
    <w:rsid w:val="00863A4F"/>
    <w:rsid w:val="00863A99"/>
    <w:rsid w:val="00863B15"/>
    <w:rsid w:val="00863BC7"/>
    <w:rsid w:val="00863C55"/>
    <w:rsid w:val="00863C88"/>
    <w:rsid w:val="00863CE6"/>
    <w:rsid w:val="00863DB7"/>
    <w:rsid w:val="00863DEE"/>
    <w:rsid w:val="00863DF1"/>
    <w:rsid w:val="00863E28"/>
    <w:rsid w:val="00863E38"/>
    <w:rsid w:val="00863E39"/>
    <w:rsid w:val="008640F4"/>
    <w:rsid w:val="00864288"/>
    <w:rsid w:val="008642F5"/>
    <w:rsid w:val="0086444B"/>
    <w:rsid w:val="0086455D"/>
    <w:rsid w:val="0086460E"/>
    <w:rsid w:val="0086461B"/>
    <w:rsid w:val="00864629"/>
    <w:rsid w:val="00864642"/>
    <w:rsid w:val="008646E7"/>
    <w:rsid w:val="00864784"/>
    <w:rsid w:val="008649EF"/>
    <w:rsid w:val="008649F4"/>
    <w:rsid w:val="00864A32"/>
    <w:rsid w:val="00864A42"/>
    <w:rsid w:val="00864AED"/>
    <w:rsid w:val="00864B0C"/>
    <w:rsid w:val="00864BF6"/>
    <w:rsid w:val="00864C56"/>
    <w:rsid w:val="00864C8F"/>
    <w:rsid w:val="00864D5C"/>
    <w:rsid w:val="00864DC6"/>
    <w:rsid w:val="00864E4D"/>
    <w:rsid w:val="00864E9A"/>
    <w:rsid w:val="00864F5F"/>
    <w:rsid w:val="00864F87"/>
    <w:rsid w:val="00864FBA"/>
    <w:rsid w:val="00864FF0"/>
    <w:rsid w:val="00865052"/>
    <w:rsid w:val="008650DE"/>
    <w:rsid w:val="00865115"/>
    <w:rsid w:val="00865171"/>
    <w:rsid w:val="008651BC"/>
    <w:rsid w:val="00865264"/>
    <w:rsid w:val="008653DA"/>
    <w:rsid w:val="00865435"/>
    <w:rsid w:val="008655BB"/>
    <w:rsid w:val="008655C8"/>
    <w:rsid w:val="00865670"/>
    <w:rsid w:val="008656D3"/>
    <w:rsid w:val="00865784"/>
    <w:rsid w:val="00865910"/>
    <w:rsid w:val="008659FD"/>
    <w:rsid w:val="00865A5B"/>
    <w:rsid w:val="00865B75"/>
    <w:rsid w:val="00865BC6"/>
    <w:rsid w:val="00865BC9"/>
    <w:rsid w:val="00865BD1"/>
    <w:rsid w:val="00865CF5"/>
    <w:rsid w:val="00865E50"/>
    <w:rsid w:val="00865EC2"/>
    <w:rsid w:val="00865F1F"/>
    <w:rsid w:val="00865F8A"/>
    <w:rsid w:val="008660EF"/>
    <w:rsid w:val="0086615D"/>
    <w:rsid w:val="008661C1"/>
    <w:rsid w:val="0086638D"/>
    <w:rsid w:val="008663A5"/>
    <w:rsid w:val="008663DE"/>
    <w:rsid w:val="00866553"/>
    <w:rsid w:val="00866633"/>
    <w:rsid w:val="00866676"/>
    <w:rsid w:val="00866747"/>
    <w:rsid w:val="00866769"/>
    <w:rsid w:val="008667DD"/>
    <w:rsid w:val="008667EE"/>
    <w:rsid w:val="0086697E"/>
    <w:rsid w:val="008669DB"/>
    <w:rsid w:val="008669F1"/>
    <w:rsid w:val="00866A1A"/>
    <w:rsid w:val="00866A8F"/>
    <w:rsid w:val="00866BF0"/>
    <w:rsid w:val="00866D42"/>
    <w:rsid w:val="00866EA1"/>
    <w:rsid w:val="00866EC8"/>
    <w:rsid w:val="00866F06"/>
    <w:rsid w:val="00866F19"/>
    <w:rsid w:val="00866F5B"/>
    <w:rsid w:val="00866F60"/>
    <w:rsid w:val="008670D1"/>
    <w:rsid w:val="008670EF"/>
    <w:rsid w:val="00867130"/>
    <w:rsid w:val="008671D9"/>
    <w:rsid w:val="0086721B"/>
    <w:rsid w:val="0086726F"/>
    <w:rsid w:val="008673E5"/>
    <w:rsid w:val="00867401"/>
    <w:rsid w:val="0086742E"/>
    <w:rsid w:val="0086750C"/>
    <w:rsid w:val="008675A0"/>
    <w:rsid w:val="00867619"/>
    <w:rsid w:val="00867662"/>
    <w:rsid w:val="008676E7"/>
    <w:rsid w:val="00867768"/>
    <w:rsid w:val="0086778F"/>
    <w:rsid w:val="00867886"/>
    <w:rsid w:val="008678B2"/>
    <w:rsid w:val="008678C2"/>
    <w:rsid w:val="0086790E"/>
    <w:rsid w:val="00867931"/>
    <w:rsid w:val="00867A41"/>
    <w:rsid w:val="00867A5D"/>
    <w:rsid w:val="00867BBC"/>
    <w:rsid w:val="00867BEE"/>
    <w:rsid w:val="00867C2D"/>
    <w:rsid w:val="00867CE3"/>
    <w:rsid w:val="00867D5B"/>
    <w:rsid w:val="00867DF7"/>
    <w:rsid w:val="00867E29"/>
    <w:rsid w:val="00867EBC"/>
    <w:rsid w:val="00867F3F"/>
    <w:rsid w:val="00867F72"/>
    <w:rsid w:val="00867F7D"/>
    <w:rsid w:val="00867F99"/>
    <w:rsid w:val="00867FAA"/>
    <w:rsid w:val="008700B6"/>
    <w:rsid w:val="00870108"/>
    <w:rsid w:val="0087016F"/>
    <w:rsid w:val="00870178"/>
    <w:rsid w:val="008701F7"/>
    <w:rsid w:val="00870210"/>
    <w:rsid w:val="008702F4"/>
    <w:rsid w:val="0087037D"/>
    <w:rsid w:val="0087044F"/>
    <w:rsid w:val="00870480"/>
    <w:rsid w:val="00870550"/>
    <w:rsid w:val="008706E4"/>
    <w:rsid w:val="008707DD"/>
    <w:rsid w:val="00870872"/>
    <w:rsid w:val="008708A0"/>
    <w:rsid w:val="008708B8"/>
    <w:rsid w:val="0087090C"/>
    <w:rsid w:val="00870981"/>
    <w:rsid w:val="008709EC"/>
    <w:rsid w:val="00870A82"/>
    <w:rsid w:val="00870AA5"/>
    <w:rsid w:val="00870AB6"/>
    <w:rsid w:val="00870C98"/>
    <w:rsid w:val="00870D2C"/>
    <w:rsid w:val="00870D45"/>
    <w:rsid w:val="00870DD0"/>
    <w:rsid w:val="00871160"/>
    <w:rsid w:val="008711CF"/>
    <w:rsid w:val="00871260"/>
    <w:rsid w:val="00871322"/>
    <w:rsid w:val="0087147F"/>
    <w:rsid w:val="00871531"/>
    <w:rsid w:val="00871546"/>
    <w:rsid w:val="008715DB"/>
    <w:rsid w:val="008716D9"/>
    <w:rsid w:val="0087177B"/>
    <w:rsid w:val="0087193E"/>
    <w:rsid w:val="00871A9C"/>
    <w:rsid w:val="00871A9F"/>
    <w:rsid w:val="00871ADA"/>
    <w:rsid w:val="00871B11"/>
    <w:rsid w:val="00871CA1"/>
    <w:rsid w:val="00871E50"/>
    <w:rsid w:val="00871E87"/>
    <w:rsid w:val="00871EEF"/>
    <w:rsid w:val="00872027"/>
    <w:rsid w:val="0087206D"/>
    <w:rsid w:val="0087208E"/>
    <w:rsid w:val="0087217A"/>
    <w:rsid w:val="00872262"/>
    <w:rsid w:val="00872277"/>
    <w:rsid w:val="008724C5"/>
    <w:rsid w:val="008726D0"/>
    <w:rsid w:val="008727B0"/>
    <w:rsid w:val="00872815"/>
    <w:rsid w:val="008728F4"/>
    <w:rsid w:val="00872947"/>
    <w:rsid w:val="00872ABD"/>
    <w:rsid w:val="00872B50"/>
    <w:rsid w:val="00872BB1"/>
    <w:rsid w:val="00872C27"/>
    <w:rsid w:val="00872C32"/>
    <w:rsid w:val="00872CB5"/>
    <w:rsid w:val="00872CBD"/>
    <w:rsid w:val="00872DFE"/>
    <w:rsid w:val="00872E8C"/>
    <w:rsid w:val="008730EB"/>
    <w:rsid w:val="008731AB"/>
    <w:rsid w:val="008731D1"/>
    <w:rsid w:val="0087320D"/>
    <w:rsid w:val="00873239"/>
    <w:rsid w:val="008733AC"/>
    <w:rsid w:val="008733F9"/>
    <w:rsid w:val="00873407"/>
    <w:rsid w:val="008734C9"/>
    <w:rsid w:val="008734F9"/>
    <w:rsid w:val="008735D9"/>
    <w:rsid w:val="00873688"/>
    <w:rsid w:val="0087372F"/>
    <w:rsid w:val="00873771"/>
    <w:rsid w:val="00873792"/>
    <w:rsid w:val="008737C0"/>
    <w:rsid w:val="008737C3"/>
    <w:rsid w:val="008737F1"/>
    <w:rsid w:val="0087383E"/>
    <w:rsid w:val="008738B2"/>
    <w:rsid w:val="008738BF"/>
    <w:rsid w:val="008738C6"/>
    <w:rsid w:val="0087393E"/>
    <w:rsid w:val="0087398F"/>
    <w:rsid w:val="00873A38"/>
    <w:rsid w:val="00873A48"/>
    <w:rsid w:val="00873AF5"/>
    <w:rsid w:val="00873CB1"/>
    <w:rsid w:val="00873DA5"/>
    <w:rsid w:val="00873F5C"/>
    <w:rsid w:val="008740EE"/>
    <w:rsid w:val="0087410F"/>
    <w:rsid w:val="0087413C"/>
    <w:rsid w:val="008741D6"/>
    <w:rsid w:val="00874254"/>
    <w:rsid w:val="00874328"/>
    <w:rsid w:val="008743CF"/>
    <w:rsid w:val="00874468"/>
    <w:rsid w:val="00874529"/>
    <w:rsid w:val="00874594"/>
    <w:rsid w:val="00874634"/>
    <w:rsid w:val="00874673"/>
    <w:rsid w:val="008746D2"/>
    <w:rsid w:val="00874737"/>
    <w:rsid w:val="008747E1"/>
    <w:rsid w:val="00874802"/>
    <w:rsid w:val="0087481E"/>
    <w:rsid w:val="00874824"/>
    <w:rsid w:val="00874836"/>
    <w:rsid w:val="0087499A"/>
    <w:rsid w:val="008749CB"/>
    <w:rsid w:val="00874A08"/>
    <w:rsid w:val="00874BAB"/>
    <w:rsid w:val="00874C7A"/>
    <w:rsid w:val="00874CE2"/>
    <w:rsid w:val="00874D79"/>
    <w:rsid w:val="00874E5A"/>
    <w:rsid w:val="00874F49"/>
    <w:rsid w:val="0087502A"/>
    <w:rsid w:val="008750DA"/>
    <w:rsid w:val="008750EB"/>
    <w:rsid w:val="0087514F"/>
    <w:rsid w:val="008752C7"/>
    <w:rsid w:val="008752EA"/>
    <w:rsid w:val="00875405"/>
    <w:rsid w:val="00875435"/>
    <w:rsid w:val="008755A5"/>
    <w:rsid w:val="0087566C"/>
    <w:rsid w:val="008758EA"/>
    <w:rsid w:val="0087595B"/>
    <w:rsid w:val="00875AC7"/>
    <w:rsid w:val="00875B4C"/>
    <w:rsid w:val="00875BF6"/>
    <w:rsid w:val="00875C50"/>
    <w:rsid w:val="00875C7D"/>
    <w:rsid w:val="00875D5B"/>
    <w:rsid w:val="0087603D"/>
    <w:rsid w:val="00876088"/>
    <w:rsid w:val="00876151"/>
    <w:rsid w:val="0087617B"/>
    <w:rsid w:val="00876186"/>
    <w:rsid w:val="00876295"/>
    <w:rsid w:val="0087637B"/>
    <w:rsid w:val="008763B0"/>
    <w:rsid w:val="008763C0"/>
    <w:rsid w:val="00876536"/>
    <w:rsid w:val="0087654A"/>
    <w:rsid w:val="00876553"/>
    <w:rsid w:val="008765A2"/>
    <w:rsid w:val="008765D9"/>
    <w:rsid w:val="00876638"/>
    <w:rsid w:val="008766D0"/>
    <w:rsid w:val="00876729"/>
    <w:rsid w:val="00876866"/>
    <w:rsid w:val="0087691D"/>
    <w:rsid w:val="00876B6E"/>
    <w:rsid w:val="00876BAB"/>
    <w:rsid w:val="00876D45"/>
    <w:rsid w:val="00876EB2"/>
    <w:rsid w:val="00877052"/>
    <w:rsid w:val="00877058"/>
    <w:rsid w:val="00877070"/>
    <w:rsid w:val="0087707D"/>
    <w:rsid w:val="00877133"/>
    <w:rsid w:val="008771AC"/>
    <w:rsid w:val="008771C3"/>
    <w:rsid w:val="00877270"/>
    <w:rsid w:val="00877312"/>
    <w:rsid w:val="00877459"/>
    <w:rsid w:val="0087746C"/>
    <w:rsid w:val="00877472"/>
    <w:rsid w:val="00877527"/>
    <w:rsid w:val="008775C9"/>
    <w:rsid w:val="008775DE"/>
    <w:rsid w:val="0087778C"/>
    <w:rsid w:val="008777EF"/>
    <w:rsid w:val="0087780D"/>
    <w:rsid w:val="0087789E"/>
    <w:rsid w:val="00877A2D"/>
    <w:rsid w:val="00877A3F"/>
    <w:rsid w:val="00877A91"/>
    <w:rsid w:val="00877AEE"/>
    <w:rsid w:val="00877B9C"/>
    <w:rsid w:val="00877C08"/>
    <w:rsid w:val="00877D95"/>
    <w:rsid w:val="00877E0C"/>
    <w:rsid w:val="00877E4F"/>
    <w:rsid w:val="00877EDB"/>
    <w:rsid w:val="008800E6"/>
    <w:rsid w:val="00880139"/>
    <w:rsid w:val="008801BB"/>
    <w:rsid w:val="008802D5"/>
    <w:rsid w:val="0088036A"/>
    <w:rsid w:val="008804F1"/>
    <w:rsid w:val="00880503"/>
    <w:rsid w:val="0088053D"/>
    <w:rsid w:val="0088063C"/>
    <w:rsid w:val="008807F6"/>
    <w:rsid w:val="00880A24"/>
    <w:rsid w:val="00880ABD"/>
    <w:rsid w:val="00880AE2"/>
    <w:rsid w:val="00880B59"/>
    <w:rsid w:val="00880BA1"/>
    <w:rsid w:val="00880BAB"/>
    <w:rsid w:val="00880C11"/>
    <w:rsid w:val="00880C27"/>
    <w:rsid w:val="00880C4F"/>
    <w:rsid w:val="00880C85"/>
    <w:rsid w:val="00880CD0"/>
    <w:rsid w:val="00880CEC"/>
    <w:rsid w:val="00880D56"/>
    <w:rsid w:val="00880D7E"/>
    <w:rsid w:val="00880D9E"/>
    <w:rsid w:val="00880EAE"/>
    <w:rsid w:val="00880ED6"/>
    <w:rsid w:val="00880F34"/>
    <w:rsid w:val="00880F96"/>
    <w:rsid w:val="0088100C"/>
    <w:rsid w:val="0088104F"/>
    <w:rsid w:val="00881100"/>
    <w:rsid w:val="00881178"/>
    <w:rsid w:val="008811E3"/>
    <w:rsid w:val="008811E5"/>
    <w:rsid w:val="00881205"/>
    <w:rsid w:val="00881228"/>
    <w:rsid w:val="008812AB"/>
    <w:rsid w:val="008812EE"/>
    <w:rsid w:val="00881361"/>
    <w:rsid w:val="008813A5"/>
    <w:rsid w:val="008814BC"/>
    <w:rsid w:val="008815DB"/>
    <w:rsid w:val="008816B9"/>
    <w:rsid w:val="008816E4"/>
    <w:rsid w:val="00881775"/>
    <w:rsid w:val="008817E7"/>
    <w:rsid w:val="008818FC"/>
    <w:rsid w:val="008819AD"/>
    <w:rsid w:val="008819C2"/>
    <w:rsid w:val="00881A13"/>
    <w:rsid w:val="00881A79"/>
    <w:rsid w:val="00881AB5"/>
    <w:rsid w:val="00881BC3"/>
    <w:rsid w:val="00881BEA"/>
    <w:rsid w:val="00881C23"/>
    <w:rsid w:val="0088204E"/>
    <w:rsid w:val="00882080"/>
    <w:rsid w:val="0088220B"/>
    <w:rsid w:val="00882318"/>
    <w:rsid w:val="008823AA"/>
    <w:rsid w:val="0088249A"/>
    <w:rsid w:val="008825EE"/>
    <w:rsid w:val="008825FB"/>
    <w:rsid w:val="00882627"/>
    <w:rsid w:val="0088263E"/>
    <w:rsid w:val="00882650"/>
    <w:rsid w:val="00882891"/>
    <w:rsid w:val="0088291C"/>
    <w:rsid w:val="0088291F"/>
    <w:rsid w:val="00882967"/>
    <w:rsid w:val="0088296A"/>
    <w:rsid w:val="0088297A"/>
    <w:rsid w:val="00882A81"/>
    <w:rsid w:val="00882AA8"/>
    <w:rsid w:val="00882BAD"/>
    <w:rsid w:val="00882BB2"/>
    <w:rsid w:val="00882CBB"/>
    <w:rsid w:val="00882CDB"/>
    <w:rsid w:val="00882D40"/>
    <w:rsid w:val="00882E2C"/>
    <w:rsid w:val="00882E61"/>
    <w:rsid w:val="00882EE1"/>
    <w:rsid w:val="00882EE5"/>
    <w:rsid w:val="00882F1F"/>
    <w:rsid w:val="00882FD0"/>
    <w:rsid w:val="00883019"/>
    <w:rsid w:val="00883081"/>
    <w:rsid w:val="0088308A"/>
    <w:rsid w:val="0088320E"/>
    <w:rsid w:val="0088321E"/>
    <w:rsid w:val="00883384"/>
    <w:rsid w:val="0088338D"/>
    <w:rsid w:val="008833F5"/>
    <w:rsid w:val="00883439"/>
    <w:rsid w:val="008834B0"/>
    <w:rsid w:val="008834E8"/>
    <w:rsid w:val="00883508"/>
    <w:rsid w:val="00883543"/>
    <w:rsid w:val="00883554"/>
    <w:rsid w:val="008835C1"/>
    <w:rsid w:val="0088362C"/>
    <w:rsid w:val="00883684"/>
    <w:rsid w:val="00883717"/>
    <w:rsid w:val="00883777"/>
    <w:rsid w:val="0088388A"/>
    <w:rsid w:val="008838AF"/>
    <w:rsid w:val="0088390C"/>
    <w:rsid w:val="00883934"/>
    <w:rsid w:val="008839D7"/>
    <w:rsid w:val="008839E6"/>
    <w:rsid w:val="00883A5E"/>
    <w:rsid w:val="00883A8E"/>
    <w:rsid w:val="00883D95"/>
    <w:rsid w:val="00883E11"/>
    <w:rsid w:val="00883E28"/>
    <w:rsid w:val="0088402B"/>
    <w:rsid w:val="0088409A"/>
    <w:rsid w:val="008840B3"/>
    <w:rsid w:val="00884134"/>
    <w:rsid w:val="00884169"/>
    <w:rsid w:val="0088416E"/>
    <w:rsid w:val="0088419C"/>
    <w:rsid w:val="008841CA"/>
    <w:rsid w:val="0088425D"/>
    <w:rsid w:val="00884268"/>
    <w:rsid w:val="00884312"/>
    <w:rsid w:val="008843BA"/>
    <w:rsid w:val="008844A0"/>
    <w:rsid w:val="008844D0"/>
    <w:rsid w:val="00884625"/>
    <w:rsid w:val="00884710"/>
    <w:rsid w:val="0088476D"/>
    <w:rsid w:val="00884906"/>
    <w:rsid w:val="008849F1"/>
    <w:rsid w:val="00884A60"/>
    <w:rsid w:val="00884B42"/>
    <w:rsid w:val="00884B4D"/>
    <w:rsid w:val="00884B69"/>
    <w:rsid w:val="00884CDE"/>
    <w:rsid w:val="00884DAD"/>
    <w:rsid w:val="00884E7C"/>
    <w:rsid w:val="00884E8F"/>
    <w:rsid w:val="00884F79"/>
    <w:rsid w:val="00884FDB"/>
    <w:rsid w:val="00885065"/>
    <w:rsid w:val="0088512E"/>
    <w:rsid w:val="008851E9"/>
    <w:rsid w:val="0088525C"/>
    <w:rsid w:val="008852A5"/>
    <w:rsid w:val="0088549C"/>
    <w:rsid w:val="008854E4"/>
    <w:rsid w:val="00885550"/>
    <w:rsid w:val="008856F6"/>
    <w:rsid w:val="008856FD"/>
    <w:rsid w:val="00885749"/>
    <w:rsid w:val="0088583F"/>
    <w:rsid w:val="00885850"/>
    <w:rsid w:val="008858B3"/>
    <w:rsid w:val="00885A00"/>
    <w:rsid w:val="00885A21"/>
    <w:rsid w:val="00885A56"/>
    <w:rsid w:val="00885AD1"/>
    <w:rsid w:val="00885AFD"/>
    <w:rsid w:val="00885B48"/>
    <w:rsid w:val="00885BAB"/>
    <w:rsid w:val="00885BC8"/>
    <w:rsid w:val="00885D04"/>
    <w:rsid w:val="00885E1A"/>
    <w:rsid w:val="008860D4"/>
    <w:rsid w:val="00886255"/>
    <w:rsid w:val="008862B7"/>
    <w:rsid w:val="0088637E"/>
    <w:rsid w:val="008864B6"/>
    <w:rsid w:val="008865DB"/>
    <w:rsid w:val="0088660D"/>
    <w:rsid w:val="00886612"/>
    <w:rsid w:val="00886619"/>
    <w:rsid w:val="00886727"/>
    <w:rsid w:val="00886880"/>
    <w:rsid w:val="008868F5"/>
    <w:rsid w:val="008869F3"/>
    <w:rsid w:val="00886AD3"/>
    <w:rsid w:val="00886B98"/>
    <w:rsid w:val="00886C30"/>
    <w:rsid w:val="00886C65"/>
    <w:rsid w:val="00886CB3"/>
    <w:rsid w:val="00886D45"/>
    <w:rsid w:val="00886D6F"/>
    <w:rsid w:val="00886E5C"/>
    <w:rsid w:val="00886FA5"/>
    <w:rsid w:val="00887011"/>
    <w:rsid w:val="00887076"/>
    <w:rsid w:val="008871D9"/>
    <w:rsid w:val="008872E4"/>
    <w:rsid w:val="00887451"/>
    <w:rsid w:val="00887499"/>
    <w:rsid w:val="0088766C"/>
    <w:rsid w:val="008877C0"/>
    <w:rsid w:val="00887917"/>
    <w:rsid w:val="00887A16"/>
    <w:rsid w:val="00887BA9"/>
    <w:rsid w:val="00887CE5"/>
    <w:rsid w:val="00887DCB"/>
    <w:rsid w:val="00887EB4"/>
    <w:rsid w:val="00887EDF"/>
    <w:rsid w:val="00887F04"/>
    <w:rsid w:val="00887FA5"/>
    <w:rsid w:val="0089009B"/>
    <w:rsid w:val="00890105"/>
    <w:rsid w:val="00890180"/>
    <w:rsid w:val="0089021E"/>
    <w:rsid w:val="00890236"/>
    <w:rsid w:val="008905B0"/>
    <w:rsid w:val="008905DE"/>
    <w:rsid w:val="0089063E"/>
    <w:rsid w:val="0089065C"/>
    <w:rsid w:val="0089068A"/>
    <w:rsid w:val="00890748"/>
    <w:rsid w:val="00890875"/>
    <w:rsid w:val="008908CF"/>
    <w:rsid w:val="008909CA"/>
    <w:rsid w:val="00890A6C"/>
    <w:rsid w:val="00890B63"/>
    <w:rsid w:val="00890C4D"/>
    <w:rsid w:val="00890C60"/>
    <w:rsid w:val="00890C78"/>
    <w:rsid w:val="00890CE6"/>
    <w:rsid w:val="00890D81"/>
    <w:rsid w:val="00890DF3"/>
    <w:rsid w:val="00890E51"/>
    <w:rsid w:val="0089101D"/>
    <w:rsid w:val="0089109E"/>
    <w:rsid w:val="008910A0"/>
    <w:rsid w:val="008910B1"/>
    <w:rsid w:val="00891113"/>
    <w:rsid w:val="00891184"/>
    <w:rsid w:val="008912B5"/>
    <w:rsid w:val="008912D5"/>
    <w:rsid w:val="00891408"/>
    <w:rsid w:val="008914CA"/>
    <w:rsid w:val="0089151F"/>
    <w:rsid w:val="0089152A"/>
    <w:rsid w:val="00891585"/>
    <w:rsid w:val="008915A4"/>
    <w:rsid w:val="008915FC"/>
    <w:rsid w:val="0089161E"/>
    <w:rsid w:val="0089167F"/>
    <w:rsid w:val="00891682"/>
    <w:rsid w:val="00891730"/>
    <w:rsid w:val="008917CE"/>
    <w:rsid w:val="008918B9"/>
    <w:rsid w:val="008919B2"/>
    <w:rsid w:val="00891A32"/>
    <w:rsid w:val="00891ADE"/>
    <w:rsid w:val="00891B0B"/>
    <w:rsid w:val="00891B83"/>
    <w:rsid w:val="00891D6D"/>
    <w:rsid w:val="00891E0B"/>
    <w:rsid w:val="00891F66"/>
    <w:rsid w:val="00891F89"/>
    <w:rsid w:val="00891FEE"/>
    <w:rsid w:val="0089206B"/>
    <w:rsid w:val="008921AA"/>
    <w:rsid w:val="008921CF"/>
    <w:rsid w:val="008921D4"/>
    <w:rsid w:val="0089220C"/>
    <w:rsid w:val="0089221D"/>
    <w:rsid w:val="00892255"/>
    <w:rsid w:val="00892375"/>
    <w:rsid w:val="008923A9"/>
    <w:rsid w:val="0089254A"/>
    <w:rsid w:val="00892575"/>
    <w:rsid w:val="0089262E"/>
    <w:rsid w:val="008927C9"/>
    <w:rsid w:val="008928D0"/>
    <w:rsid w:val="0089293D"/>
    <w:rsid w:val="00892989"/>
    <w:rsid w:val="0089299D"/>
    <w:rsid w:val="00892B9C"/>
    <w:rsid w:val="00892BE1"/>
    <w:rsid w:val="00892C54"/>
    <w:rsid w:val="00892D5F"/>
    <w:rsid w:val="00892E54"/>
    <w:rsid w:val="00892E6E"/>
    <w:rsid w:val="00892FB6"/>
    <w:rsid w:val="00892FED"/>
    <w:rsid w:val="0089304E"/>
    <w:rsid w:val="00893072"/>
    <w:rsid w:val="0089318E"/>
    <w:rsid w:val="008931E0"/>
    <w:rsid w:val="00893331"/>
    <w:rsid w:val="008933CB"/>
    <w:rsid w:val="0089344B"/>
    <w:rsid w:val="00893488"/>
    <w:rsid w:val="0089348F"/>
    <w:rsid w:val="00893600"/>
    <w:rsid w:val="008937CE"/>
    <w:rsid w:val="00893847"/>
    <w:rsid w:val="008938CE"/>
    <w:rsid w:val="00893A6B"/>
    <w:rsid w:val="00893AC5"/>
    <w:rsid w:val="00893AF6"/>
    <w:rsid w:val="00893B30"/>
    <w:rsid w:val="00893B37"/>
    <w:rsid w:val="00893B7B"/>
    <w:rsid w:val="00893CA6"/>
    <w:rsid w:val="00893CCE"/>
    <w:rsid w:val="00893D49"/>
    <w:rsid w:val="00893F0E"/>
    <w:rsid w:val="00893F43"/>
    <w:rsid w:val="00893F70"/>
    <w:rsid w:val="008940D3"/>
    <w:rsid w:val="008940E7"/>
    <w:rsid w:val="00894126"/>
    <w:rsid w:val="0089417C"/>
    <w:rsid w:val="00894182"/>
    <w:rsid w:val="008941F8"/>
    <w:rsid w:val="0089430B"/>
    <w:rsid w:val="0089438F"/>
    <w:rsid w:val="008943B3"/>
    <w:rsid w:val="0089460E"/>
    <w:rsid w:val="0089462A"/>
    <w:rsid w:val="008947A7"/>
    <w:rsid w:val="008947F5"/>
    <w:rsid w:val="00894849"/>
    <w:rsid w:val="008948D1"/>
    <w:rsid w:val="00894AA3"/>
    <w:rsid w:val="00894BB3"/>
    <w:rsid w:val="00894BC0"/>
    <w:rsid w:val="00894C48"/>
    <w:rsid w:val="00894C50"/>
    <w:rsid w:val="00894C6C"/>
    <w:rsid w:val="00894CB3"/>
    <w:rsid w:val="00894D04"/>
    <w:rsid w:val="00894F1B"/>
    <w:rsid w:val="00895005"/>
    <w:rsid w:val="008950CA"/>
    <w:rsid w:val="0089512E"/>
    <w:rsid w:val="008951FB"/>
    <w:rsid w:val="00895225"/>
    <w:rsid w:val="00895350"/>
    <w:rsid w:val="00895393"/>
    <w:rsid w:val="0089539F"/>
    <w:rsid w:val="008953D4"/>
    <w:rsid w:val="008954C8"/>
    <w:rsid w:val="00895560"/>
    <w:rsid w:val="008955E8"/>
    <w:rsid w:val="00895648"/>
    <w:rsid w:val="008956E1"/>
    <w:rsid w:val="008956ED"/>
    <w:rsid w:val="00895704"/>
    <w:rsid w:val="008957F8"/>
    <w:rsid w:val="00895871"/>
    <w:rsid w:val="0089587F"/>
    <w:rsid w:val="008958A7"/>
    <w:rsid w:val="008958DF"/>
    <w:rsid w:val="0089591D"/>
    <w:rsid w:val="008959F7"/>
    <w:rsid w:val="00895A6F"/>
    <w:rsid w:val="00895AFF"/>
    <w:rsid w:val="00895BDD"/>
    <w:rsid w:val="00895C5D"/>
    <w:rsid w:val="00895D39"/>
    <w:rsid w:val="00895E06"/>
    <w:rsid w:val="00895E22"/>
    <w:rsid w:val="00895FCF"/>
    <w:rsid w:val="00895FE0"/>
    <w:rsid w:val="008960A5"/>
    <w:rsid w:val="00896157"/>
    <w:rsid w:val="008961EB"/>
    <w:rsid w:val="0089625E"/>
    <w:rsid w:val="0089628F"/>
    <w:rsid w:val="0089633F"/>
    <w:rsid w:val="008963FD"/>
    <w:rsid w:val="00896416"/>
    <w:rsid w:val="00896666"/>
    <w:rsid w:val="00896667"/>
    <w:rsid w:val="008966A9"/>
    <w:rsid w:val="00896787"/>
    <w:rsid w:val="008967F2"/>
    <w:rsid w:val="008968FF"/>
    <w:rsid w:val="00896A5D"/>
    <w:rsid w:val="00896C63"/>
    <w:rsid w:val="00896C97"/>
    <w:rsid w:val="00896D35"/>
    <w:rsid w:val="00896D6C"/>
    <w:rsid w:val="00896D74"/>
    <w:rsid w:val="00896DB9"/>
    <w:rsid w:val="00896E15"/>
    <w:rsid w:val="0089703F"/>
    <w:rsid w:val="008970DF"/>
    <w:rsid w:val="008971E5"/>
    <w:rsid w:val="00897200"/>
    <w:rsid w:val="0089724D"/>
    <w:rsid w:val="00897309"/>
    <w:rsid w:val="008973E0"/>
    <w:rsid w:val="008973E7"/>
    <w:rsid w:val="0089741E"/>
    <w:rsid w:val="008974A4"/>
    <w:rsid w:val="008974ED"/>
    <w:rsid w:val="00897504"/>
    <w:rsid w:val="00897738"/>
    <w:rsid w:val="00897811"/>
    <w:rsid w:val="00897840"/>
    <w:rsid w:val="00897850"/>
    <w:rsid w:val="0089789B"/>
    <w:rsid w:val="008978C7"/>
    <w:rsid w:val="008979E6"/>
    <w:rsid w:val="00897B3D"/>
    <w:rsid w:val="00897C50"/>
    <w:rsid w:val="00897C60"/>
    <w:rsid w:val="00897D4C"/>
    <w:rsid w:val="00897D65"/>
    <w:rsid w:val="00897E25"/>
    <w:rsid w:val="00897F74"/>
    <w:rsid w:val="008A008C"/>
    <w:rsid w:val="008A00C2"/>
    <w:rsid w:val="008A012F"/>
    <w:rsid w:val="008A01FD"/>
    <w:rsid w:val="008A029A"/>
    <w:rsid w:val="008A0307"/>
    <w:rsid w:val="008A0335"/>
    <w:rsid w:val="008A038D"/>
    <w:rsid w:val="008A03DB"/>
    <w:rsid w:val="008A0778"/>
    <w:rsid w:val="008A089A"/>
    <w:rsid w:val="008A08CF"/>
    <w:rsid w:val="008A0917"/>
    <w:rsid w:val="008A0939"/>
    <w:rsid w:val="008A0949"/>
    <w:rsid w:val="008A0AE7"/>
    <w:rsid w:val="008A0B20"/>
    <w:rsid w:val="008A0BB3"/>
    <w:rsid w:val="008A0C98"/>
    <w:rsid w:val="008A0CAD"/>
    <w:rsid w:val="008A0CF1"/>
    <w:rsid w:val="008A0CF8"/>
    <w:rsid w:val="008A0DA8"/>
    <w:rsid w:val="008A0DE4"/>
    <w:rsid w:val="008A0E4A"/>
    <w:rsid w:val="008A0E93"/>
    <w:rsid w:val="008A0E9C"/>
    <w:rsid w:val="008A0F22"/>
    <w:rsid w:val="008A0FFB"/>
    <w:rsid w:val="008A102F"/>
    <w:rsid w:val="008A10C3"/>
    <w:rsid w:val="008A10EA"/>
    <w:rsid w:val="008A1194"/>
    <w:rsid w:val="008A1293"/>
    <w:rsid w:val="008A1393"/>
    <w:rsid w:val="008A13C1"/>
    <w:rsid w:val="008A142F"/>
    <w:rsid w:val="008A1461"/>
    <w:rsid w:val="008A146F"/>
    <w:rsid w:val="008A14F2"/>
    <w:rsid w:val="008A1621"/>
    <w:rsid w:val="008A16E8"/>
    <w:rsid w:val="008A17A6"/>
    <w:rsid w:val="008A180C"/>
    <w:rsid w:val="008A1877"/>
    <w:rsid w:val="008A19CA"/>
    <w:rsid w:val="008A1A59"/>
    <w:rsid w:val="008A1B3F"/>
    <w:rsid w:val="008A1C7D"/>
    <w:rsid w:val="008A1D36"/>
    <w:rsid w:val="008A1DAD"/>
    <w:rsid w:val="008A2029"/>
    <w:rsid w:val="008A203F"/>
    <w:rsid w:val="008A2045"/>
    <w:rsid w:val="008A21AF"/>
    <w:rsid w:val="008A22D1"/>
    <w:rsid w:val="008A2383"/>
    <w:rsid w:val="008A23AE"/>
    <w:rsid w:val="008A23D0"/>
    <w:rsid w:val="008A2416"/>
    <w:rsid w:val="008A245D"/>
    <w:rsid w:val="008A249F"/>
    <w:rsid w:val="008A2605"/>
    <w:rsid w:val="008A267D"/>
    <w:rsid w:val="008A26B7"/>
    <w:rsid w:val="008A26BE"/>
    <w:rsid w:val="008A26CF"/>
    <w:rsid w:val="008A270E"/>
    <w:rsid w:val="008A28C2"/>
    <w:rsid w:val="008A28D1"/>
    <w:rsid w:val="008A28E6"/>
    <w:rsid w:val="008A2901"/>
    <w:rsid w:val="008A29C9"/>
    <w:rsid w:val="008A29EE"/>
    <w:rsid w:val="008A2A0E"/>
    <w:rsid w:val="008A2CB6"/>
    <w:rsid w:val="008A2E0F"/>
    <w:rsid w:val="008A2E53"/>
    <w:rsid w:val="008A2F43"/>
    <w:rsid w:val="008A2F78"/>
    <w:rsid w:val="008A3067"/>
    <w:rsid w:val="008A3166"/>
    <w:rsid w:val="008A32FA"/>
    <w:rsid w:val="008A3362"/>
    <w:rsid w:val="008A34E2"/>
    <w:rsid w:val="008A353B"/>
    <w:rsid w:val="008A3654"/>
    <w:rsid w:val="008A3668"/>
    <w:rsid w:val="008A367C"/>
    <w:rsid w:val="008A36BD"/>
    <w:rsid w:val="008A37E6"/>
    <w:rsid w:val="008A3804"/>
    <w:rsid w:val="008A38DA"/>
    <w:rsid w:val="008A3A5E"/>
    <w:rsid w:val="008A3BA0"/>
    <w:rsid w:val="008A3C8A"/>
    <w:rsid w:val="008A3D4F"/>
    <w:rsid w:val="008A3DD2"/>
    <w:rsid w:val="008A3DE1"/>
    <w:rsid w:val="008A3E8B"/>
    <w:rsid w:val="008A3E91"/>
    <w:rsid w:val="008A3EBE"/>
    <w:rsid w:val="008A400F"/>
    <w:rsid w:val="008A412F"/>
    <w:rsid w:val="008A4237"/>
    <w:rsid w:val="008A4276"/>
    <w:rsid w:val="008A4498"/>
    <w:rsid w:val="008A44F8"/>
    <w:rsid w:val="008A454C"/>
    <w:rsid w:val="008A4581"/>
    <w:rsid w:val="008A45BC"/>
    <w:rsid w:val="008A4665"/>
    <w:rsid w:val="008A46CE"/>
    <w:rsid w:val="008A487E"/>
    <w:rsid w:val="008A495B"/>
    <w:rsid w:val="008A496A"/>
    <w:rsid w:val="008A4B41"/>
    <w:rsid w:val="008A4B4D"/>
    <w:rsid w:val="008A4BA5"/>
    <w:rsid w:val="008A4CCB"/>
    <w:rsid w:val="008A4D47"/>
    <w:rsid w:val="008A4D4F"/>
    <w:rsid w:val="008A4DDB"/>
    <w:rsid w:val="008A4EBB"/>
    <w:rsid w:val="008A4F32"/>
    <w:rsid w:val="008A508A"/>
    <w:rsid w:val="008A50B1"/>
    <w:rsid w:val="008A50B5"/>
    <w:rsid w:val="008A50BF"/>
    <w:rsid w:val="008A5230"/>
    <w:rsid w:val="008A5266"/>
    <w:rsid w:val="008A5303"/>
    <w:rsid w:val="008A5309"/>
    <w:rsid w:val="008A5319"/>
    <w:rsid w:val="008A5391"/>
    <w:rsid w:val="008A5438"/>
    <w:rsid w:val="008A54B1"/>
    <w:rsid w:val="008A54D6"/>
    <w:rsid w:val="008A54DD"/>
    <w:rsid w:val="008A5561"/>
    <w:rsid w:val="008A5593"/>
    <w:rsid w:val="008A55BD"/>
    <w:rsid w:val="008A5654"/>
    <w:rsid w:val="008A5691"/>
    <w:rsid w:val="008A57AF"/>
    <w:rsid w:val="008A5841"/>
    <w:rsid w:val="008A58DE"/>
    <w:rsid w:val="008A58E4"/>
    <w:rsid w:val="008A58F6"/>
    <w:rsid w:val="008A5926"/>
    <w:rsid w:val="008A5A69"/>
    <w:rsid w:val="008A5BAC"/>
    <w:rsid w:val="008A5C1A"/>
    <w:rsid w:val="008A5C33"/>
    <w:rsid w:val="008A5C3D"/>
    <w:rsid w:val="008A5CF3"/>
    <w:rsid w:val="008A5D35"/>
    <w:rsid w:val="008A5E91"/>
    <w:rsid w:val="008A5EA7"/>
    <w:rsid w:val="008A5ECD"/>
    <w:rsid w:val="008A5F76"/>
    <w:rsid w:val="008A6064"/>
    <w:rsid w:val="008A60AE"/>
    <w:rsid w:val="008A60F3"/>
    <w:rsid w:val="008A6162"/>
    <w:rsid w:val="008A61CF"/>
    <w:rsid w:val="008A61D9"/>
    <w:rsid w:val="008A625A"/>
    <w:rsid w:val="008A627E"/>
    <w:rsid w:val="008A62F3"/>
    <w:rsid w:val="008A642E"/>
    <w:rsid w:val="008A6449"/>
    <w:rsid w:val="008A64A4"/>
    <w:rsid w:val="008A64DD"/>
    <w:rsid w:val="008A64E0"/>
    <w:rsid w:val="008A64ED"/>
    <w:rsid w:val="008A6517"/>
    <w:rsid w:val="008A668D"/>
    <w:rsid w:val="008A6711"/>
    <w:rsid w:val="008A6896"/>
    <w:rsid w:val="008A689E"/>
    <w:rsid w:val="008A6952"/>
    <w:rsid w:val="008A6967"/>
    <w:rsid w:val="008A6A10"/>
    <w:rsid w:val="008A6BB7"/>
    <w:rsid w:val="008A6D4F"/>
    <w:rsid w:val="008A6DA4"/>
    <w:rsid w:val="008A6DC7"/>
    <w:rsid w:val="008A6DE8"/>
    <w:rsid w:val="008A6EFA"/>
    <w:rsid w:val="008A6F0E"/>
    <w:rsid w:val="008A6F17"/>
    <w:rsid w:val="008A6F88"/>
    <w:rsid w:val="008A6F8B"/>
    <w:rsid w:val="008A6FC3"/>
    <w:rsid w:val="008A716F"/>
    <w:rsid w:val="008A7174"/>
    <w:rsid w:val="008A71A0"/>
    <w:rsid w:val="008A7347"/>
    <w:rsid w:val="008A75B9"/>
    <w:rsid w:val="008A75BB"/>
    <w:rsid w:val="008A75D4"/>
    <w:rsid w:val="008A7621"/>
    <w:rsid w:val="008A7663"/>
    <w:rsid w:val="008A766C"/>
    <w:rsid w:val="008A76FF"/>
    <w:rsid w:val="008A783F"/>
    <w:rsid w:val="008A78F9"/>
    <w:rsid w:val="008A79D3"/>
    <w:rsid w:val="008A7A55"/>
    <w:rsid w:val="008A7AF4"/>
    <w:rsid w:val="008A7BD9"/>
    <w:rsid w:val="008A7BEA"/>
    <w:rsid w:val="008A7C46"/>
    <w:rsid w:val="008A7C61"/>
    <w:rsid w:val="008A7D70"/>
    <w:rsid w:val="008A7D98"/>
    <w:rsid w:val="008A7DAD"/>
    <w:rsid w:val="008A7E0D"/>
    <w:rsid w:val="008A7E28"/>
    <w:rsid w:val="008A7E62"/>
    <w:rsid w:val="008A7E6C"/>
    <w:rsid w:val="008A7F73"/>
    <w:rsid w:val="008A7F9C"/>
    <w:rsid w:val="008B0002"/>
    <w:rsid w:val="008B0037"/>
    <w:rsid w:val="008B0059"/>
    <w:rsid w:val="008B0065"/>
    <w:rsid w:val="008B018F"/>
    <w:rsid w:val="008B02E7"/>
    <w:rsid w:val="008B030A"/>
    <w:rsid w:val="008B0441"/>
    <w:rsid w:val="008B0498"/>
    <w:rsid w:val="008B0531"/>
    <w:rsid w:val="008B053E"/>
    <w:rsid w:val="008B0541"/>
    <w:rsid w:val="008B05C8"/>
    <w:rsid w:val="008B0774"/>
    <w:rsid w:val="008B07BB"/>
    <w:rsid w:val="008B0816"/>
    <w:rsid w:val="008B083E"/>
    <w:rsid w:val="008B08BF"/>
    <w:rsid w:val="008B09A3"/>
    <w:rsid w:val="008B0A25"/>
    <w:rsid w:val="008B0BBB"/>
    <w:rsid w:val="008B0C83"/>
    <w:rsid w:val="008B0D85"/>
    <w:rsid w:val="008B0D90"/>
    <w:rsid w:val="008B1081"/>
    <w:rsid w:val="008B10AF"/>
    <w:rsid w:val="008B1136"/>
    <w:rsid w:val="008B1154"/>
    <w:rsid w:val="008B1319"/>
    <w:rsid w:val="008B1323"/>
    <w:rsid w:val="008B1388"/>
    <w:rsid w:val="008B1414"/>
    <w:rsid w:val="008B14F8"/>
    <w:rsid w:val="008B1509"/>
    <w:rsid w:val="008B15B7"/>
    <w:rsid w:val="008B15F7"/>
    <w:rsid w:val="008B176D"/>
    <w:rsid w:val="008B17D6"/>
    <w:rsid w:val="008B18F3"/>
    <w:rsid w:val="008B1931"/>
    <w:rsid w:val="008B194A"/>
    <w:rsid w:val="008B1966"/>
    <w:rsid w:val="008B19E0"/>
    <w:rsid w:val="008B19F3"/>
    <w:rsid w:val="008B1AE9"/>
    <w:rsid w:val="008B1C4A"/>
    <w:rsid w:val="008B1CEB"/>
    <w:rsid w:val="008B1EA7"/>
    <w:rsid w:val="008B1F14"/>
    <w:rsid w:val="008B1F75"/>
    <w:rsid w:val="008B20C0"/>
    <w:rsid w:val="008B215C"/>
    <w:rsid w:val="008B21A6"/>
    <w:rsid w:val="008B22CD"/>
    <w:rsid w:val="008B2343"/>
    <w:rsid w:val="008B240B"/>
    <w:rsid w:val="008B24A0"/>
    <w:rsid w:val="008B2510"/>
    <w:rsid w:val="008B2572"/>
    <w:rsid w:val="008B259D"/>
    <w:rsid w:val="008B25A7"/>
    <w:rsid w:val="008B25BF"/>
    <w:rsid w:val="008B269E"/>
    <w:rsid w:val="008B2759"/>
    <w:rsid w:val="008B2811"/>
    <w:rsid w:val="008B2883"/>
    <w:rsid w:val="008B2911"/>
    <w:rsid w:val="008B2988"/>
    <w:rsid w:val="008B2BAE"/>
    <w:rsid w:val="008B2C45"/>
    <w:rsid w:val="008B2C98"/>
    <w:rsid w:val="008B2E95"/>
    <w:rsid w:val="008B3099"/>
    <w:rsid w:val="008B30CE"/>
    <w:rsid w:val="008B30EA"/>
    <w:rsid w:val="008B3189"/>
    <w:rsid w:val="008B319A"/>
    <w:rsid w:val="008B31E9"/>
    <w:rsid w:val="008B31EF"/>
    <w:rsid w:val="008B3281"/>
    <w:rsid w:val="008B328B"/>
    <w:rsid w:val="008B32E5"/>
    <w:rsid w:val="008B3330"/>
    <w:rsid w:val="008B343E"/>
    <w:rsid w:val="008B344C"/>
    <w:rsid w:val="008B34CE"/>
    <w:rsid w:val="008B3525"/>
    <w:rsid w:val="008B3669"/>
    <w:rsid w:val="008B36C8"/>
    <w:rsid w:val="008B3707"/>
    <w:rsid w:val="008B3709"/>
    <w:rsid w:val="008B3781"/>
    <w:rsid w:val="008B37AB"/>
    <w:rsid w:val="008B387C"/>
    <w:rsid w:val="008B391F"/>
    <w:rsid w:val="008B392B"/>
    <w:rsid w:val="008B3A67"/>
    <w:rsid w:val="008B3A6D"/>
    <w:rsid w:val="008B3AD1"/>
    <w:rsid w:val="008B3B70"/>
    <w:rsid w:val="008B3C4C"/>
    <w:rsid w:val="008B3E9B"/>
    <w:rsid w:val="008B3ECB"/>
    <w:rsid w:val="008B3F4F"/>
    <w:rsid w:val="008B4093"/>
    <w:rsid w:val="008B4179"/>
    <w:rsid w:val="008B4181"/>
    <w:rsid w:val="008B41E2"/>
    <w:rsid w:val="008B4229"/>
    <w:rsid w:val="008B42FC"/>
    <w:rsid w:val="008B437D"/>
    <w:rsid w:val="008B4491"/>
    <w:rsid w:val="008B44AB"/>
    <w:rsid w:val="008B44D9"/>
    <w:rsid w:val="008B457A"/>
    <w:rsid w:val="008B45C5"/>
    <w:rsid w:val="008B45E5"/>
    <w:rsid w:val="008B463C"/>
    <w:rsid w:val="008B466C"/>
    <w:rsid w:val="008B46C0"/>
    <w:rsid w:val="008B46E6"/>
    <w:rsid w:val="008B46FD"/>
    <w:rsid w:val="008B47B1"/>
    <w:rsid w:val="008B47DB"/>
    <w:rsid w:val="008B4869"/>
    <w:rsid w:val="008B48C3"/>
    <w:rsid w:val="008B490F"/>
    <w:rsid w:val="008B4A05"/>
    <w:rsid w:val="008B4A49"/>
    <w:rsid w:val="008B4BE1"/>
    <w:rsid w:val="008B4BEE"/>
    <w:rsid w:val="008B4C67"/>
    <w:rsid w:val="008B4CCE"/>
    <w:rsid w:val="008B4DDE"/>
    <w:rsid w:val="008B4E07"/>
    <w:rsid w:val="008B4E30"/>
    <w:rsid w:val="008B4ED7"/>
    <w:rsid w:val="008B5056"/>
    <w:rsid w:val="008B5073"/>
    <w:rsid w:val="008B5092"/>
    <w:rsid w:val="008B50E0"/>
    <w:rsid w:val="008B50FE"/>
    <w:rsid w:val="008B5145"/>
    <w:rsid w:val="008B523D"/>
    <w:rsid w:val="008B5327"/>
    <w:rsid w:val="008B5378"/>
    <w:rsid w:val="008B54F5"/>
    <w:rsid w:val="008B5523"/>
    <w:rsid w:val="008B554E"/>
    <w:rsid w:val="008B5628"/>
    <w:rsid w:val="008B5643"/>
    <w:rsid w:val="008B5698"/>
    <w:rsid w:val="008B56E4"/>
    <w:rsid w:val="008B5734"/>
    <w:rsid w:val="008B590E"/>
    <w:rsid w:val="008B5969"/>
    <w:rsid w:val="008B59A1"/>
    <w:rsid w:val="008B5A21"/>
    <w:rsid w:val="008B5A97"/>
    <w:rsid w:val="008B5C2C"/>
    <w:rsid w:val="008B5EBD"/>
    <w:rsid w:val="008B5EF6"/>
    <w:rsid w:val="008B5FD7"/>
    <w:rsid w:val="008B609B"/>
    <w:rsid w:val="008B60C6"/>
    <w:rsid w:val="008B60FD"/>
    <w:rsid w:val="008B6186"/>
    <w:rsid w:val="008B61B8"/>
    <w:rsid w:val="008B61BA"/>
    <w:rsid w:val="008B6241"/>
    <w:rsid w:val="008B6246"/>
    <w:rsid w:val="008B62CD"/>
    <w:rsid w:val="008B6305"/>
    <w:rsid w:val="008B640C"/>
    <w:rsid w:val="008B6495"/>
    <w:rsid w:val="008B6529"/>
    <w:rsid w:val="008B65A7"/>
    <w:rsid w:val="008B660B"/>
    <w:rsid w:val="008B67DB"/>
    <w:rsid w:val="008B67F5"/>
    <w:rsid w:val="008B6892"/>
    <w:rsid w:val="008B6940"/>
    <w:rsid w:val="008B6A70"/>
    <w:rsid w:val="008B6AC5"/>
    <w:rsid w:val="008B6B13"/>
    <w:rsid w:val="008B6B41"/>
    <w:rsid w:val="008B6E50"/>
    <w:rsid w:val="008B6E66"/>
    <w:rsid w:val="008B6F5D"/>
    <w:rsid w:val="008B6FC4"/>
    <w:rsid w:val="008B7339"/>
    <w:rsid w:val="008B734D"/>
    <w:rsid w:val="008B7361"/>
    <w:rsid w:val="008B7390"/>
    <w:rsid w:val="008B73A8"/>
    <w:rsid w:val="008B7404"/>
    <w:rsid w:val="008B745B"/>
    <w:rsid w:val="008B7511"/>
    <w:rsid w:val="008B760C"/>
    <w:rsid w:val="008B76D6"/>
    <w:rsid w:val="008B77BA"/>
    <w:rsid w:val="008B77BD"/>
    <w:rsid w:val="008B77ED"/>
    <w:rsid w:val="008B77FA"/>
    <w:rsid w:val="008B788D"/>
    <w:rsid w:val="008B7966"/>
    <w:rsid w:val="008B7A7C"/>
    <w:rsid w:val="008B7A84"/>
    <w:rsid w:val="008B7B06"/>
    <w:rsid w:val="008B7B21"/>
    <w:rsid w:val="008B7C69"/>
    <w:rsid w:val="008B7C7F"/>
    <w:rsid w:val="008B7C9A"/>
    <w:rsid w:val="008B7CC0"/>
    <w:rsid w:val="008B7ED4"/>
    <w:rsid w:val="008B7EF9"/>
    <w:rsid w:val="008B7F89"/>
    <w:rsid w:val="008B7FDA"/>
    <w:rsid w:val="008B7FE1"/>
    <w:rsid w:val="008C00B7"/>
    <w:rsid w:val="008C019C"/>
    <w:rsid w:val="008C019E"/>
    <w:rsid w:val="008C03F9"/>
    <w:rsid w:val="008C04F1"/>
    <w:rsid w:val="008C04F7"/>
    <w:rsid w:val="008C061F"/>
    <w:rsid w:val="008C0624"/>
    <w:rsid w:val="008C0659"/>
    <w:rsid w:val="008C0694"/>
    <w:rsid w:val="008C06A9"/>
    <w:rsid w:val="008C06D4"/>
    <w:rsid w:val="008C0706"/>
    <w:rsid w:val="008C07BB"/>
    <w:rsid w:val="008C0831"/>
    <w:rsid w:val="008C08A7"/>
    <w:rsid w:val="008C0967"/>
    <w:rsid w:val="008C0974"/>
    <w:rsid w:val="008C09EB"/>
    <w:rsid w:val="008C0B13"/>
    <w:rsid w:val="008C0B59"/>
    <w:rsid w:val="008C0CE8"/>
    <w:rsid w:val="008C0EF0"/>
    <w:rsid w:val="008C0F1C"/>
    <w:rsid w:val="008C0FE0"/>
    <w:rsid w:val="008C1056"/>
    <w:rsid w:val="008C10B2"/>
    <w:rsid w:val="008C10D2"/>
    <w:rsid w:val="008C10EE"/>
    <w:rsid w:val="008C115C"/>
    <w:rsid w:val="008C1220"/>
    <w:rsid w:val="008C1251"/>
    <w:rsid w:val="008C1269"/>
    <w:rsid w:val="008C1285"/>
    <w:rsid w:val="008C131F"/>
    <w:rsid w:val="008C1340"/>
    <w:rsid w:val="008C1588"/>
    <w:rsid w:val="008C15AF"/>
    <w:rsid w:val="008C15D3"/>
    <w:rsid w:val="008C1699"/>
    <w:rsid w:val="008C177A"/>
    <w:rsid w:val="008C17A5"/>
    <w:rsid w:val="008C17D9"/>
    <w:rsid w:val="008C185F"/>
    <w:rsid w:val="008C186C"/>
    <w:rsid w:val="008C1954"/>
    <w:rsid w:val="008C1957"/>
    <w:rsid w:val="008C1B53"/>
    <w:rsid w:val="008C1BBC"/>
    <w:rsid w:val="008C1BC7"/>
    <w:rsid w:val="008C1D19"/>
    <w:rsid w:val="008C1D24"/>
    <w:rsid w:val="008C1E09"/>
    <w:rsid w:val="008C1EF4"/>
    <w:rsid w:val="008C1F3B"/>
    <w:rsid w:val="008C2062"/>
    <w:rsid w:val="008C20C3"/>
    <w:rsid w:val="008C21B1"/>
    <w:rsid w:val="008C2273"/>
    <w:rsid w:val="008C2292"/>
    <w:rsid w:val="008C2299"/>
    <w:rsid w:val="008C229A"/>
    <w:rsid w:val="008C23C3"/>
    <w:rsid w:val="008C24AA"/>
    <w:rsid w:val="008C24E1"/>
    <w:rsid w:val="008C24EF"/>
    <w:rsid w:val="008C25CD"/>
    <w:rsid w:val="008C26BB"/>
    <w:rsid w:val="008C2731"/>
    <w:rsid w:val="008C289F"/>
    <w:rsid w:val="008C28D1"/>
    <w:rsid w:val="008C2A34"/>
    <w:rsid w:val="008C2A92"/>
    <w:rsid w:val="008C2AA0"/>
    <w:rsid w:val="008C2D76"/>
    <w:rsid w:val="008C2F2A"/>
    <w:rsid w:val="008C2F7C"/>
    <w:rsid w:val="008C32F9"/>
    <w:rsid w:val="008C3487"/>
    <w:rsid w:val="008C3493"/>
    <w:rsid w:val="008C34C2"/>
    <w:rsid w:val="008C34E2"/>
    <w:rsid w:val="008C359A"/>
    <w:rsid w:val="008C3612"/>
    <w:rsid w:val="008C3680"/>
    <w:rsid w:val="008C3744"/>
    <w:rsid w:val="008C3778"/>
    <w:rsid w:val="008C3828"/>
    <w:rsid w:val="008C38D4"/>
    <w:rsid w:val="008C394E"/>
    <w:rsid w:val="008C394F"/>
    <w:rsid w:val="008C3A2F"/>
    <w:rsid w:val="008C3A41"/>
    <w:rsid w:val="008C3A98"/>
    <w:rsid w:val="008C3B0B"/>
    <w:rsid w:val="008C3B27"/>
    <w:rsid w:val="008C3D4B"/>
    <w:rsid w:val="008C3D70"/>
    <w:rsid w:val="008C3E98"/>
    <w:rsid w:val="008C3F11"/>
    <w:rsid w:val="008C3FF3"/>
    <w:rsid w:val="008C410E"/>
    <w:rsid w:val="008C4457"/>
    <w:rsid w:val="008C453D"/>
    <w:rsid w:val="008C45C9"/>
    <w:rsid w:val="008C460D"/>
    <w:rsid w:val="008C4682"/>
    <w:rsid w:val="008C4762"/>
    <w:rsid w:val="008C4848"/>
    <w:rsid w:val="008C4873"/>
    <w:rsid w:val="008C491B"/>
    <w:rsid w:val="008C4A72"/>
    <w:rsid w:val="008C4A77"/>
    <w:rsid w:val="008C4A7F"/>
    <w:rsid w:val="008C4AE1"/>
    <w:rsid w:val="008C4B24"/>
    <w:rsid w:val="008C4B55"/>
    <w:rsid w:val="008C4B96"/>
    <w:rsid w:val="008C4CF7"/>
    <w:rsid w:val="008C4D04"/>
    <w:rsid w:val="008C4DC0"/>
    <w:rsid w:val="008C5186"/>
    <w:rsid w:val="008C525D"/>
    <w:rsid w:val="008C52D9"/>
    <w:rsid w:val="008C5351"/>
    <w:rsid w:val="008C53C1"/>
    <w:rsid w:val="008C53D2"/>
    <w:rsid w:val="008C5495"/>
    <w:rsid w:val="008C5665"/>
    <w:rsid w:val="008C56C2"/>
    <w:rsid w:val="008C58BA"/>
    <w:rsid w:val="008C59ED"/>
    <w:rsid w:val="008C5A52"/>
    <w:rsid w:val="008C5A64"/>
    <w:rsid w:val="008C5A6E"/>
    <w:rsid w:val="008C5AC3"/>
    <w:rsid w:val="008C5AC7"/>
    <w:rsid w:val="008C5C4D"/>
    <w:rsid w:val="008C5D97"/>
    <w:rsid w:val="008C5DA7"/>
    <w:rsid w:val="008C5F08"/>
    <w:rsid w:val="008C600E"/>
    <w:rsid w:val="008C6100"/>
    <w:rsid w:val="008C6124"/>
    <w:rsid w:val="008C6209"/>
    <w:rsid w:val="008C62CA"/>
    <w:rsid w:val="008C6313"/>
    <w:rsid w:val="008C6316"/>
    <w:rsid w:val="008C6387"/>
    <w:rsid w:val="008C63E8"/>
    <w:rsid w:val="008C6624"/>
    <w:rsid w:val="008C6714"/>
    <w:rsid w:val="008C675F"/>
    <w:rsid w:val="008C6916"/>
    <w:rsid w:val="008C6B60"/>
    <w:rsid w:val="008C6B63"/>
    <w:rsid w:val="008C6B77"/>
    <w:rsid w:val="008C6BB9"/>
    <w:rsid w:val="008C6C24"/>
    <w:rsid w:val="008C6D58"/>
    <w:rsid w:val="008C6E9B"/>
    <w:rsid w:val="008C6EB9"/>
    <w:rsid w:val="008C6F92"/>
    <w:rsid w:val="008C703C"/>
    <w:rsid w:val="008C70C2"/>
    <w:rsid w:val="008C7131"/>
    <w:rsid w:val="008C7153"/>
    <w:rsid w:val="008C72AB"/>
    <w:rsid w:val="008C7369"/>
    <w:rsid w:val="008C7417"/>
    <w:rsid w:val="008C7457"/>
    <w:rsid w:val="008C7488"/>
    <w:rsid w:val="008C74C3"/>
    <w:rsid w:val="008C74C5"/>
    <w:rsid w:val="008C759E"/>
    <w:rsid w:val="008C75D3"/>
    <w:rsid w:val="008C7647"/>
    <w:rsid w:val="008C764B"/>
    <w:rsid w:val="008C7689"/>
    <w:rsid w:val="008C7693"/>
    <w:rsid w:val="008C76B9"/>
    <w:rsid w:val="008C76E0"/>
    <w:rsid w:val="008C7785"/>
    <w:rsid w:val="008C77B6"/>
    <w:rsid w:val="008C784B"/>
    <w:rsid w:val="008C7888"/>
    <w:rsid w:val="008C788D"/>
    <w:rsid w:val="008C797E"/>
    <w:rsid w:val="008C7A67"/>
    <w:rsid w:val="008C7AEC"/>
    <w:rsid w:val="008C7B94"/>
    <w:rsid w:val="008C7B9E"/>
    <w:rsid w:val="008C7D1E"/>
    <w:rsid w:val="008C7D25"/>
    <w:rsid w:val="008C7D63"/>
    <w:rsid w:val="008C7E17"/>
    <w:rsid w:val="008C7E19"/>
    <w:rsid w:val="008C7EBA"/>
    <w:rsid w:val="008C7F2B"/>
    <w:rsid w:val="008C7F33"/>
    <w:rsid w:val="008C7FA7"/>
    <w:rsid w:val="008C7FD2"/>
    <w:rsid w:val="008C7FD5"/>
    <w:rsid w:val="008D004F"/>
    <w:rsid w:val="008D0099"/>
    <w:rsid w:val="008D012F"/>
    <w:rsid w:val="008D016C"/>
    <w:rsid w:val="008D018E"/>
    <w:rsid w:val="008D01C5"/>
    <w:rsid w:val="008D02CC"/>
    <w:rsid w:val="008D06F4"/>
    <w:rsid w:val="008D0733"/>
    <w:rsid w:val="008D075E"/>
    <w:rsid w:val="008D07CD"/>
    <w:rsid w:val="008D082D"/>
    <w:rsid w:val="008D08C5"/>
    <w:rsid w:val="008D0ABA"/>
    <w:rsid w:val="008D0BD3"/>
    <w:rsid w:val="008D0CBB"/>
    <w:rsid w:val="008D0D5D"/>
    <w:rsid w:val="008D0D71"/>
    <w:rsid w:val="008D0E19"/>
    <w:rsid w:val="008D0E51"/>
    <w:rsid w:val="008D0F5B"/>
    <w:rsid w:val="008D0F70"/>
    <w:rsid w:val="008D110A"/>
    <w:rsid w:val="008D1139"/>
    <w:rsid w:val="008D11A8"/>
    <w:rsid w:val="008D1221"/>
    <w:rsid w:val="008D123E"/>
    <w:rsid w:val="008D126B"/>
    <w:rsid w:val="008D12E3"/>
    <w:rsid w:val="008D1314"/>
    <w:rsid w:val="008D1384"/>
    <w:rsid w:val="008D1400"/>
    <w:rsid w:val="008D150E"/>
    <w:rsid w:val="008D160E"/>
    <w:rsid w:val="008D166D"/>
    <w:rsid w:val="008D16BE"/>
    <w:rsid w:val="008D1794"/>
    <w:rsid w:val="008D17FE"/>
    <w:rsid w:val="008D1870"/>
    <w:rsid w:val="008D1880"/>
    <w:rsid w:val="008D18A6"/>
    <w:rsid w:val="008D18BA"/>
    <w:rsid w:val="008D18BB"/>
    <w:rsid w:val="008D1964"/>
    <w:rsid w:val="008D1966"/>
    <w:rsid w:val="008D1A5D"/>
    <w:rsid w:val="008D1AED"/>
    <w:rsid w:val="008D1C72"/>
    <w:rsid w:val="008D1D35"/>
    <w:rsid w:val="008D1D3F"/>
    <w:rsid w:val="008D1D43"/>
    <w:rsid w:val="008D1D67"/>
    <w:rsid w:val="008D1D81"/>
    <w:rsid w:val="008D1DD8"/>
    <w:rsid w:val="008D1E8B"/>
    <w:rsid w:val="008D1ECC"/>
    <w:rsid w:val="008D1F31"/>
    <w:rsid w:val="008D1F64"/>
    <w:rsid w:val="008D1F84"/>
    <w:rsid w:val="008D203B"/>
    <w:rsid w:val="008D20C4"/>
    <w:rsid w:val="008D2146"/>
    <w:rsid w:val="008D2164"/>
    <w:rsid w:val="008D21B7"/>
    <w:rsid w:val="008D222E"/>
    <w:rsid w:val="008D22FA"/>
    <w:rsid w:val="008D236A"/>
    <w:rsid w:val="008D23D8"/>
    <w:rsid w:val="008D24A3"/>
    <w:rsid w:val="008D25A7"/>
    <w:rsid w:val="008D2616"/>
    <w:rsid w:val="008D26DA"/>
    <w:rsid w:val="008D28ED"/>
    <w:rsid w:val="008D2972"/>
    <w:rsid w:val="008D2988"/>
    <w:rsid w:val="008D2A63"/>
    <w:rsid w:val="008D2BAA"/>
    <w:rsid w:val="008D2D7C"/>
    <w:rsid w:val="008D2E6D"/>
    <w:rsid w:val="008D2F75"/>
    <w:rsid w:val="008D3011"/>
    <w:rsid w:val="008D31EB"/>
    <w:rsid w:val="008D3281"/>
    <w:rsid w:val="008D3297"/>
    <w:rsid w:val="008D331F"/>
    <w:rsid w:val="008D3441"/>
    <w:rsid w:val="008D3442"/>
    <w:rsid w:val="008D3454"/>
    <w:rsid w:val="008D3492"/>
    <w:rsid w:val="008D3518"/>
    <w:rsid w:val="008D3655"/>
    <w:rsid w:val="008D3677"/>
    <w:rsid w:val="008D3703"/>
    <w:rsid w:val="008D3735"/>
    <w:rsid w:val="008D376D"/>
    <w:rsid w:val="008D3780"/>
    <w:rsid w:val="008D3786"/>
    <w:rsid w:val="008D37C6"/>
    <w:rsid w:val="008D3864"/>
    <w:rsid w:val="008D38B7"/>
    <w:rsid w:val="008D38BF"/>
    <w:rsid w:val="008D3957"/>
    <w:rsid w:val="008D3988"/>
    <w:rsid w:val="008D39FC"/>
    <w:rsid w:val="008D3A98"/>
    <w:rsid w:val="008D3B36"/>
    <w:rsid w:val="008D3BD6"/>
    <w:rsid w:val="008D3C23"/>
    <w:rsid w:val="008D3DEC"/>
    <w:rsid w:val="008D3F09"/>
    <w:rsid w:val="008D4002"/>
    <w:rsid w:val="008D4102"/>
    <w:rsid w:val="008D4127"/>
    <w:rsid w:val="008D41B0"/>
    <w:rsid w:val="008D420D"/>
    <w:rsid w:val="008D4237"/>
    <w:rsid w:val="008D42B6"/>
    <w:rsid w:val="008D42EE"/>
    <w:rsid w:val="008D42FE"/>
    <w:rsid w:val="008D4319"/>
    <w:rsid w:val="008D4436"/>
    <w:rsid w:val="008D4501"/>
    <w:rsid w:val="008D450D"/>
    <w:rsid w:val="008D45A8"/>
    <w:rsid w:val="008D4611"/>
    <w:rsid w:val="008D46BA"/>
    <w:rsid w:val="008D4777"/>
    <w:rsid w:val="008D48D8"/>
    <w:rsid w:val="008D4948"/>
    <w:rsid w:val="008D498A"/>
    <w:rsid w:val="008D49E7"/>
    <w:rsid w:val="008D49FA"/>
    <w:rsid w:val="008D4A37"/>
    <w:rsid w:val="008D4AB4"/>
    <w:rsid w:val="008D4BB1"/>
    <w:rsid w:val="008D4BFD"/>
    <w:rsid w:val="008D4C45"/>
    <w:rsid w:val="008D4D4D"/>
    <w:rsid w:val="008D4DC3"/>
    <w:rsid w:val="008D4EE3"/>
    <w:rsid w:val="008D51A6"/>
    <w:rsid w:val="008D51C0"/>
    <w:rsid w:val="008D5233"/>
    <w:rsid w:val="008D52BA"/>
    <w:rsid w:val="008D52CF"/>
    <w:rsid w:val="008D5401"/>
    <w:rsid w:val="008D54ED"/>
    <w:rsid w:val="008D5577"/>
    <w:rsid w:val="008D56E7"/>
    <w:rsid w:val="008D588E"/>
    <w:rsid w:val="008D58DD"/>
    <w:rsid w:val="008D58F0"/>
    <w:rsid w:val="008D599C"/>
    <w:rsid w:val="008D5BBA"/>
    <w:rsid w:val="008D5CB6"/>
    <w:rsid w:val="008D5D7A"/>
    <w:rsid w:val="008D5E95"/>
    <w:rsid w:val="008D5F78"/>
    <w:rsid w:val="008D6099"/>
    <w:rsid w:val="008D60DA"/>
    <w:rsid w:val="008D60E4"/>
    <w:rsid w:val="008D611D"/>
    <w:rsid w:val="008D646B"/>
    <w:rsid w:val="008D64EF"/>
    <w:rsid w:val="008D66B1"/>
    <w:rsid w:val="008D673B"/>
    <w:rsid w:val="008D6792"/>
    <w:rsid w:val="008D69DF"/>
    <w:rsid w:val="008D6A23"/>
    <w:rsid w:val="008D6A94"/>
    <w:rsid w:val="008D6AB4"/>
    <w:rsid w:val="008D6BB2"/>
    <w:rsid w:val="008D6CDF"/>
    <w:rsid w:val="008D6D0C"/>
    <w:rsid w:val="008D6E01"/>
    <w:rsid w:val="008D6E70"/>
    <w:rsid w:val="008D6EEA"/>
    <w:rsid w:val="008D7034"/>
    <w:rsid w:val="008D7182"/>
    <w:rsid w:val="008D7189"/>
    <w:rsid w:val="008D72FB"/>
    <w:rsid w:val="008D738F"/>
    <w:rsid w:val="008D7452"/>
    <w:rsid w:val="008D753A"/>
    <w:rsid w:val="008D75BF"/>
    <w:rsid w:val="008D7697"/>
    <w:rsid w:val="008D775F"/>
    <w:rsid w:val="008D7763"/>
    <w:rsid w:val="008D786E"/>
    <w:rsid w:val="008D78E8"/>
    <w:rsid w:val="008D790D"/>
    <w:rsid w:val="008D79F9"/>
    <w:rsid w:val="008D7A69"/>
    <w:rsid w:val="008D7AD9"/>
    <w:rsid w:val="008D7B70"/>
    <w:rsid w:val="008D7BDD"/>
    <w:rsid w:val="008D7C3D"/>
    <w:rsid w:val="008D7C54"/>
    <w:rsid w:val="008D7C93"/>
    <w:rsid w:val="008D7D4E"/>
    <w:rsid w:val="008D7DE1"/>
    <w:rsid w:val="008D7E2B"/>
    <w:rsid w:val="008D7E4C"/>
    <w:rsid w:val="008E0286"/>
    <w:rsid w:val="008E02AB"/>
    <w:rsid w:val="008E0342"/>
    <w:rsid w:val="008E03DC"/>
    <w:rsid w:val="008E0467"/>
    <w:rsid w:val="008E0517"/>
    <w:rsid w:val="008E05AC"/>
    <w:rsid w:val="008E05B4"/>
    <w:rsid w:val="008E066A"/>
    <w:rsid w:val="008E082E"/>
    <w:rsid w:val="008E0848"/>
    <w:rsid w:val="008E09C0"/>
    <w:rsid w:val="008E0AE8"/>
    <w:rsid w:val="008E0B36"/>
    <w:rsid w:val="008E0BA1"/>
    <w:rsid w:val="008E0D1A"/>
    <w:rsid w:val="008E0D21"/>
    <w:rsid w:val="008E0D2E"/>
    <w:rsid w:val="008E0DBB"/>
    <w:rsid w:val="008E0E37"/>
    <w:rsid w:val="008E0E5B"/>
    <w:rsid w:val="008E0F74"/>
    <w:rsid w:val="008E1109"/>
    <w:rsid w:val="008E111C"/>
    <w:rsid w:val="008E122C"/>
    <w:rsid w:val="008E12CC"/>
    <w:rsid w:val="008E13D2"/>
    <w:rsid w:val="008E1408"/>
    <w:rsid w:val="008E14AF"/>
    <w:rsid w:val="008E1624"/>
    <w:rsid w:val="008E177E"/>
    <w:rsid w:val="008E181D"/>
    <w:rsid w:val="008E187B"/>
    <w:rsid w:val="008E18E3"/>
    <w:rsid w:val="008E1919"/>
    <w:rsid w:val="008E1927"/>
    <w:rsid w:val="008E19D1"/>
    <w:rsid w:val="008E19DE"/>
    <w:rsid w:val="008E1A68"/>
    <w:rsid w:val="008E1B18"/>
    <w:rsid w:val="008E1BB8"/>
    <w:rsid w:val="008E1C23"/>
    <w:rsid w:val="008E1C4C"/>
    <w:rsid w:val="008E1E49"/>
    <w:rsid w:val="008E1EBA"/>
    <w:rsid w:val="008E1ED9"/>
    <w:rsid w:val="008E1EF8"/>
    <w:rsid w:val="008E1F3D"/>
    <w:rsid w:val="008E1F7F"/>
    <w:rsid w:val="008E1FF6"/>
    <w:rsid w:val="008E2076"/>
    <w:rsid w:val="008E20AD"/>
    <w:rsid w:val="008E20E4"/>
    <w:rsid w:val="008E216C"/>
    <w:rsid w:val="008E225B"/>
    <w:rsid w:val="008E2513"/>
    <w:rsid w:val="008E257A"/>
    <w:rsid w:val="008E2589"/>
    <w:rsid w:val="008E25BB"/>
    <w:rsid w:val="008E2623"/>
    <w:rsid w:val="008E274E"/>
    <w:rsid w:val="008E28DF"/>
    <w:rsid w:val="008E28E7"/>
    <w:rsid w:val="008E2980"/>
    <w:rsid w:val="008E2A41"/>
    <w:rsid w:val="008E2A5F"/>
    <w:rsid w:val="008E2AC8"/>
    <w:rsid w:val="008E2B90"/>
    <w:rsid w:val="008E2C62"/>
    <w:rsid w:val="008E2CA0"/>
    <w:rsid w:val="008E2EED"/>
    <w:rsid w:val="008E2F9F"/>
    <w:rsid w:val="008E30B8"/>
    <w:rsid w:val="008E30C7"/>
    <w:rsid w:val="008E3178"/>
    <w:rsid w:val="008E3201"/>
    <w:rsid w:val="008E321B"/>
    <w:rsid w:val="008E3228"/>
    <w:rsid w:val="008E3258"/>
    <w:rsid w:val="008E3266"/>
    <w:rsid w:val="008E327F"/>
    <w:rsid w:val="008E3291"/>
    <w:rsid w:val="008E348B"/>
    <w:rsid w:val="008E34EA"/>
    <w:rsid w:val="008E35A9"/>
    <w:rsid w:val="008E35BD"/>
    <w:rsid w:val="008E35C6"/>
    <w:rsid w:val="008E36D5"/>
    <w:rsid w:val="008E3703"/>
    <w:rsid w:val="008E3790"/>
    <w:rsid w:val="008E387A"/>
    <w:rsid w:val="008E38B6"/>
    <w:rsid w:val="008E38C0"/>
    <w:rsid w:val="008E39C5"/>
    <w:rsid w:val="008E3A6F"/>
    <w:rsid w:val="008E3AE5"/>
    <w:rsid w:val="008E3B13"/>
    <w:rsid w:val="008E3B52"/>
    <w:rsid w:val="008E3C78"/>
    <w:rsid w:val="008E3D69"/>
    <w:rsid w:val="008E3D7B"/>
    <w:rsid w:val="008E3E03"/>
    <w:rsid w:val="008E3E68"/>
    <w:rsid w:val="008E3EA4"/>
    <w:rsid w:val="008E3F3A"/>
    <w:rsid w:val="008E404B"/>
    <w:rsid w:val="008E418D"/>
    <w:rsid w:val="008E4305"/>
    <w:rsid w:val="008E436D"/>
    <w:rsid w:val="008E445D"/>
    <w:rsid w:val="008E4526"/>
    <w:rsid w:val="008E452C"/>
    <w:rsid w:val="008E4562"/>
    <w:rsid w:val="008E4625"/>
    <w:rsid w:val="008E474B"/>
    <w:rsid w:val="008E47C6"/>
    <w:rsid w:val="008E4828"/>
    <w:rsid w:val="008E4876"/>
    <w:rsid w:val="008E4992"/>
    <w:rsid w:val="008E49B6"/>
    <w:rsid w:val="008E49B7"/>
    <w:rsid w:val="008E4A4E"/>
    <w:rsid w:val="008E4C2D"/>
    <w:rsid w:val="008E4C2E"/>
    <w:rsid w:val="008E4CA3"/>
    <w:rsid w:val="008E4D26"/>
    <w:rsid w:val="008E4DF8"/>
    <w:rsid w:val="008E4E35"/>
    <w:rsid w:val="008E4EAD"/>
    <w:rsid w:val="008E4F74"/>
    <w:rsid w:val="008E500F"/>
    <w:rsid w:val="008E505B"/>
    <w:rsid w:val="008E507F"/>
    <w:rsid w:val="008E5196"/>
    <w:rsid w:val="008E5339"/>
    <w:rsid w:val="008E5384"/>
    <w:rsid w:val="008E53DB"/>
    <w:rsid w:val="008E540A"/>
    <w:rsid w:val="008E543A"/>
    <w:rsid w:val="008E54C0"/>
    <w:rsid w:val="008E54CA"/>
    <w:rsid w:val="008E555A"/>
    <w:rsid w:val="008E5590"/>
    <w:rsid w:val="008E55C9"/>
    <w:rsid w:val="008E56DA"/>
    <w:rsid w:val="008E56E1"/>
    <w:rsid w:val="008E589A"/>
    <w:rsid w:val="008E58F5"/>
    <w:rsid w:val="008E5947"/>
    <w:rsid w:val="008E5A6F"/>
    <w:rsid w:val="008E5AD7"/>
    <w:rsid w:val="008E5ADE"/>
    <w:rsid w:val="008E5B96"/>
    <w:rsid w:val="008E5C18"/>
    <w:rsid w:val="008E5D97"/>
    <w:rsid w:val="008E5D9F"/>
    <w:rsid w:val="008E5E1B"/>
    <w:rsid w:val="008E5E9E"/>
    <w:rsid w:val="008E5EE8"/>
    <w:rsid w:val="008E60D7"/>
    <w:rsid w:val="008E6217"/>
    <w:rsid w:val="008E624C"/>
    <w:rsid w:val="008E62FE"/>
    <w:rsid w:val="008E637C"/>
    <w:rsid w:val="008E6401"/>
    <w:rsid w:val="008E64CD"/>
    <w:rsid w:val="008E65E1"/>
    <w:rsid w:val="008E662B"/>
    <w:rsid w:val="008E6692"/>
    <w:rsid w:val="008E6765"/>
    <w:rsid w:val="008E6787"/>
    <w:rsid w:val="008E681B"/>
    <w:rsid w:val="008E685E"/>
    <w:rsid w:val="008E6965"/>
    <w:rsid w:val="008E6A4D"/>
    <w:rsid w:val="008E6BF7"/>
    <w:rsid w:val="008E6C6E"/>
    <w:rsid w:val="008E6C8C"/>
    <w:rsid w:val="008E6D10"/>
    <w:rsid w:val="008E6DAF"/>
    <w:rsid w:val="008E6EDC"/>
    <w:rsid w:val="008E6F3F"/>
    <w:rsid w:val="008E6F97"/>
    <w:rsid w:val="008E70E2"/>
    <w:rsid w:val="008E70FE"/>
    <w:rsid w:val="008E7157"/>
    <w:rsid w:val="008E7301"/>
    <w:rsid w:val="008E732E"/>
    <w:rsid w:val="008E7389"/>
    <w:rsid w:val="008E73CB"/>
    <w:rsid w:val="008E7403"/>
    <w:rsid w:val="008E749D"/>
    <w:rsid w:val="008E7526"/>
    <w:rsid w:val="008E7542"/>
    <w:rsid w:val="008E7618"/>
    <w:rsid w:val="008E7724"/>
    <w:rsid w:val="008E7834"/>
    <w:rsid w:val="008E7890"/>
    <w:rsid w:val="008E78D4"/>
    <w:rsid w:val="008E79B2"/>
    <w:rsid w:val="008E7BED"/>
    <w:rsid w:val="008E7C4B"/>
    <w:rsid w:val="008E7C62"/>
    <w:rsid w:val="008E7CAE"/>
    <w:rsid w:val="008E7D1F"/>
    <w:rsid w:val="008E7DA2"/>
    <w:rsid w:val="008E7E8C"/>
    <w:rsid w:val="008E7E95"/>
    <w:rsid w:val="008E7F3A"/>
    <w:rsid w:val="008E7F55"/>
    <w:rsid w:val="008F00C3"/>
    <w:rsid w:val="008F0337"/>
    <w:rsid w:val="008F038D"/>
    <w:rsid w:val="008F03EB"/>
    <w:rsid w:val="008F03F9"/>
    <w:rsid w:val="008F0459"/>
    <w:rsid w:val="008F0479"/>
    <w:rsid w:val="008F0530"/>
    <w:rsid w:val="008F0560"/>
    <w:rsid w:val="008F0598"/>
    <w:rsid w:val="008F0684"/>
    <w:rsid w:val="008F06F8"/>
    <w:rsid w:val="008F07C8"/>
    <w:rsid w:val="008F0A85"/>
    <w:rsid w:val="008F0A94"/>
    <w:rsid w:val="008F0BF2"/>
    <w:rsid w:val="008F0C0F"/>
    <w:rsid w:val="008F0CB2"/>
    <w:rsid w:val="008F0CB4"/>
    <w:rsid w:val="008F0CF3"/>
    <w:rsid w:val="008F0E15"/>
    <w:rsid w:val="008F0E7A"/>
    <w:rsid w:val="008F0EAF"/>
    <w:rsid w:val="008F0ECF"/>
    <w:rsid w:val="008F0F42"/>
    <w:rsid w:val="008F0FF5"/>
    <w:rsid w:val="008F109B"/>
    <w:rsid w:val="008F10EA"/>
    <w:rsid w:val="008F10F3"/>
    <w:rsid w:val="008F1236"/>
    <w:rsid w:val="008F1325"/>
    <w:rsid w:val="008F13FC"/>
    <w:rsid w:val="008F1441"/>
    <w:rsid w:val="008F1559"/>
    <w:rsid w:val="008F1561"/>
    <w:rsid w:val="008F156F"/>
    <w:rsid w:val="008F1585"/>
    <w:rsid w:val="008F16CA"/>
    <w:rsid w:val="008F1874"/>
    <w:rsid w:val="008F18F3"/>
    <w:rsid w:val="008F1A89"/>
    <w:rsid w:val="008F1A91"/>
    <w:rsid w:val="008F1B5D"/>
    <w:rsid w:val="008F1C1A"/>
    <w:rsid w:val="008F1E74"/>
    <w:rsid w:val="008F1EC3"/>
    <w:rsid w:val="008F1F2A"/>
    <w:rsid w:val="008F1F51"/>
    <w:rsid w:val="008F1F79"/>
    <w:rsid w:val="008F2019"/>
    <w:rsid w:val="008F206A"/>
    <w:rsid w:val="008F2143"/>
    <w:rsid w:val="008F21F3"/>
    <w:rsid w:val="008F22BC"/>
    <w:rsid w:val="008F23A7"/>
    <w:rsid w:val="008F2452"/>
    <w:rsid w:val="008F2693"/>
    <w:rsid w:val="008F273B"/>
    <w:rsid w:val="008F2765"/>
    <w:rsid w:val="008F2766"/>
    <w:rsid w:val="008F28CC"/>
    <w:rsid w:val="008F2917"/>
    <w:rsid w:val="008F2A53"/>
    <w:rsid w:val="008F2ABC"/>
    <w:rsid w:val="008F2AD8"/>
    <w:rsid w:val="008F2B77"/>
    <w:rsid w:val="008F2BCA"/>
    <w:rsid w:val="008F2C54"/>
    <w:rsid w:val="008F2C6B"/>
    <w:rsid w:val="008F2D70"/>
    <w:rsid w:val="008F2D7A"/>
    <w:rsid w:val="008F2DD9"/>
    <w:rsid w:val="008F2EBC"/>
    <w:rsid w:val="008F2EFE"/>
    <w:rsid w:val="008F2F4D"/>
    <w:rsid w:val="008F2FAF"/>
    <w:rsid w:val="008F30DF"/>
    <w:rsid w:val="008F3243"/>
    <w:rsid w:val="008F3266"/>
    <w:rsid w:val="008F32E6"/>
    <w:rsid w:val="008F331A"/>
    <w:rsid w:val="008F334F"/>
    <w:rsid w:val="008F33F2"/>
    <w:rsid w:val="008F353F"/>
    <w:rsid w:val="008F371E"/>
    <w:rsid w:val="008F3755"/>
    <w:rsid w:val="008F3769"/>
    <w:rsid w:val="008F37C3"/>
    <w:rsid w:val="008F37EE"/>
    <w:rsid w:val="008F3851"/>
    <w:rsid w:val="008F385B"/>
    <w:rsid w:val="008F3871"/>
    <w:rsid w:val="008F3890"/>
    <w:rsid w:val="008F3918"/>
    <w:rsid w:val="008F3938"/>
    <w:rsid w:val="008F3952"/>
    <w:rsid w:val="008F399A"/>
    <w:rsid w:val="008F3A7C"/>
    <w:rsid w:val="008F3A83"/>
    <w:rsid w:val="008F3A9D"/>
    <w:rsid w:val="008F3AED"/>
    <w:rsid w:val="008F3BCA"/>
    <w:rsid w:val="008F3BCD"/>
    <w:rsid w:val="008F3C1A"/>
    <w:rsid w:val="008F3C2B"/>
    <w:rsid w:val="008F3D91"/>
    <w:rsid w:val="008F3E20"/>
    <w:rsid w:val="008F3E7F"/>
    <w:rsid w:val="008F3FA4"/>
    <w:rsid w:val="008F4087"/>
    <w:rsid w:val="008F41C5"/>
    <w:rsid w:val="008F42B4"/>
    <w:rsid w:val="008F4388"/>
    <w:rsid w:val="008F441B"/>
    <w:rsid w:val="008F4503"/>
    <w:rsid w:val="008F4641"/>
    <w:rsid w:val="008F4736"/>
    <w:rsid w:val="008F47AD"/>
    <w:rsid w:val="008F47AF"/>
    <w:rsid w:val="008F4A5F"/>
    <w:rsid w:val="008F4B0D"/>
    <w:rsid w:val="008F4C66"/>
    <w:rsid w:val="008F4CD2"/>
    <w:rsid w:val="008F4CE1"/>
    <w:rsid w:val="008F4DA3"/>
    <w:rsid w:val="008F4EB6"/>
    <w:rsid w:val="008F4F5E"/>
    <w:rsid w:val="008F4FFF"/>
    <w:rsid w:val="008F5052"/>
    <w:rsid w:val="008F5058"/>
    <w:rsid w:val="008F51C3"/>
    <w:rsid w:val="008F52C8"/>
    <w:rsid w:val="008F53BC"/>
    <w:rsid w:val="008F5498"/>
    <w:rsid w:val="008F54C8"/>
    <w:rsid w:val="008F559C"/>
    <w:rsid w:val="008F5623"/>
    <w:rsid w:val="008F5641"/>
    <w:rsid w:val="008F56BF"/>
    <w:rsid w:val="008F57B6"/>
    <w:rsid w:val="008F5821"/>
    <w:rsid w:val="008F5918"/>
    <w:rsid w:val="008F594C"/>
    <w:rsid w:val="008F5A21"/>
    <w:rsid w:val="008F5A92"/>
    <w:rsid w:val="008F5B94"/>
    <w:rsid w:val="008F5B99"/>
    <w:rsid w:val="008F5BFF"/>
    <w:rsid w:val="008F5C91"/>
    <w:rsid w:val="008F5D2C"/>
    <w:rsid w:val="008F5D5E"/>
    <w:rsid w:val="008F5D7C"/>
    <w:rsid w:val="008F5DF6"/>
    <w:rsid w:val="008F5E20"/>
    <w:rsid w:val="008F5F4E"/>
    <w:rsid w:val="008F5F71"/>
    <w:rsid w:val="008F5FA7"/>
    <w:rsid w:val="008F5FE4"/>
    <w:rsid w:val="008F604C"/>
    <w:rsid w:val="008F6083"/>
    <w:rsid w:val="008F6088"/>
    <w:rsid w:val="008F627F"/>
    <w:rsid w:val="008F62D7"/>
    <w:rsid w:val="008F6367"/>
    <w:rsid w:val="008F645C"/>
    <w:rsid w:val="008F64C2"/>
    <w:rsid w:val="008F65F4"/>
    <w:rsid w:val="008F6625"/>
    <w:rsid w:val="008F664B"/>
    <w:rsid w:val="008F66E1"/>
    <w:rsid w:val="008F6721"/>
    <w:rsid w:val="008F67BE"/>
    <w:rsid w:val="008F67C7"/>
    <w:rsid w:val="008F67FB"/>
    <w:rsid w:val="008F68E6"/>
    <w:rsid w:val="008F6944"/>
    <w:rsid w:val="008F69DF"/>
    <w:rsid w:val="008F69E4"/>
    <w:rsid w:val="008F6A97"/>
    <w:rsid w:val="008F6B6E"/>
    <w:rsid w:val="008F6C5D"/>
    <w:rsid w:val="008F6C64"/>
    <w:rsid w:val="008F6D27"/>
    <w:rsid w:val="008F6DA2"/>
    <w:rsid w:val="008F6E3B"/>
    <w:rsid w:val="008F6FA0"/>
    <w:rsid w:val="008F7020"/>
    <w:rsid w:val="008F70AC"/>
    <w:rsid w:val="008F71B1"/>
    <w:rsid w:val="008F7302"/>
    <w:rsid w:val="008F73E3"/>
    <w:rsid w:val="008F75C0"/>
    <w:rsid w:val="008F75CE"/>
    <w:rsid w:val="008F75E6"/>
    <w:rsid w:val="008F7631"/>
    <w:rsid w:val="008F770D"/>
    <w:rsid w:val="008F771C"/>
    <w:rsid w:val="008F773E"/>
    <w:rsid w:val="008F790C"/>
    <w:rsid w:val="008F7968"/>
    <w:rsid w:val="008F7986"/>
    <w:rsid w:val="008F79E4"/>
    <w:rsid w:val="008F7A2D"/>
    <w:rsid w:val="008F7B2C"/>
    <w:rsid w:val="008F7B2F"/>
    <w:rsid w:val="008F7B69"/>
    <w:rsid w:val="008F7BEF"/>
    <w:rsid w:val="008F7C2C"/>
    <w:rsid w:val="008F7C48"/>
    <w:rsid w:val="008F7C73"/>
    <w:rsid w:val="008F7CC7"/>
    <w:rsid w:val="008F7CD6"/>
    <w:rsid w:val="008F7CE0"/>
    <w:rsid w:val="008F7DA8"/>
    <w:rsid w:val="008F7DD5"/>
    <w:rsid w:val="008F7DE8"/>
    <w:rsid w:val="008F7EBB"/>
    <w:rsid w:val="008F7ECA"/>
    <w:rsid w:val="008F7F7F"/>
    <w:rsid w:val="008F7FBE"/>
    <w:rsid w:val="00900112"/>
    <w:rsid w:val="00900322"/>
    <w:rsid w:val="0090035E"/>
    <w:rsid w:val="00900411"/>
    <w:rsid w:val="00900436"/>
    <w:rsid w:val="00900488"/>
    <w:rsid w:val="00900502"/>
    <w:rsid w:val="009005C2"/>
    <w:rsid w:val="00900696"/>
    <w:rsid w:val="0090073D"/>
    <w:rsid w:val="009007C4"/>
    <w:rsid w:val="009007CB"/>
    <w:rsid w:val="00900829"/>
    <w:rsid w:val="00900895"/>
    <w:rsid w:val="00900973"/>
    <w:rsid w:val="00900988"/>
    <w:rsid w:val="00900A2C"/>
    <w:rsid w:val="00900BEA"/>
    <w:rsid w:val="00900C5C"/>
    <w:rsid w:val="00900DC0"/>
    <w:rsid w:val="00900DEF"/>
    <w:rsid w:val="00900DFB"/>
    <w:rsid w:val="00900E47"/>
    <w:rsid w:val="00900E9A"/>
    <w:rsid w:val="00900EB2"/>
    <w:rsid w:val="00901007"/>
    <w:rsid w:val="009010A8"/>
    <w:rsid w:val="009011DA"/>
    <w:rsid w:val="00901231"/>
    <w:rsid w:val="0090127E"/>
    <w:rsid w:val="009012BE"/>
    <w:rsid w:val="0090141A"/>
    <w:rsid w:val="00901524"/>
    <w:rsid w:val="00901538"/>
    <w:rsid w:val="00901576"/>
    <w:rsid w:val="009015CB"/>
    <w:rsid w:val="009015ED"/>
    <w:rsid w:val="00901727"/>
    <w:rsid w:val="00901972"/>
    <w:rsid w:val="00901978"/>
    <w:rsid w:val="00901A9C"/>
    <w:rsid w:val="00901BD8"/>
    <w:rsid w:val="00901C0A"/>
    <w:rsid w:val="00901C28"/>
    <w:rsid w:val="00901DA1"/>
    <w:rsid w:val="00901DD3"/>
    <w:rsid w:val="00901F97"/>
    <w:rsid w:val="00901FE6"/>
    <w:rsid w:val="009020A4"/>
    <w:rsid w:val="009020A7"/>
    <w:rsid w:val="00902226"/>
    <w:rsid w:val="0090229E"/>
    <w:rsid w:val="009022D1"/>
    <w:rsid w:val="00902321"/>
    <w:rsid w:val="009023B2"/>
    <w:rsid w:val="0090243C"/>
    <w:rsid w:val="009024F5"/>
    <w:rsid w:val="00902519"/>
    <w:rsid w:val="009025F0"/>
    <w:rsid w:val="009026F1"/>
    <w:rsid w:val="00902705"/>
    <w:rsid w:val="009027EC"/>
    <w:rsid w:val="009027FD"/>
    <w:rsid w:val="0090280D"/>
    <w:rsid w:val="00902927"/>
    <w:rsid w:val="00902B09"/>
    <w:rsid w:val="00902B50"/>
    <w:rsid w:val="00902BDC"/>
    <w:rsid w:val="00902C4A"/>
    <w:rsid w:val="00902C78"/>
    <w:rsid w:val="00902E7B"/>
    <w:rsid w:val="00902E96"/>
    <w:rsid w:val="00902EB0"/>
    <w:rsid w:val="00902F17"/>
    <w:rsid w:val="00902F3A"/>
    <w:rsid w:val="00903086"/>
    <w:rsid w:val="009030FF"/>
    <w:rsid w:val="0090328B"/>
    <w:rsid w:val="009033BF"/>
    <w:rsid w:val="00903439"/>
    <w:rsid w:val="0090343D"/>
    <w:rsid w:val="00903486"/>
    <w:rsid w:val="0090355F"/>
    <w:rsid w:val="009035C6"/>
    <w:rsid w:val="0090360F"/>
    <w:rsid w:val="00903613"/>
    <w:rsid w:val="0090362F"/>
    <w:rsid w:val="00903645"/>
    <w:rsid w:val="00903689"/>
    <w:rsid w:val="009036B1"/>
    <w:rsid w:val="009037A4"/>
    <w:rsid w:val="00903838"/>
    <w:rsid w:val="0090384F"/>
    <w:rsid w:val="0090387A"/>
    <w:rsid w:val="0090393A"/>
    <w:rsid w:val="0090395F"/>
    <w:rsid w:val="009039B2"/>
    <w:rsid w:val="00903B10"/>
    <w:rsid w:val="00903B6B"/>
    <w:rsid w:val="00903D68"/>
    <w:rsid w:val="0090401A"/>
    <w:rsid w:val="00904020"/>
    <w:rsid w:val="0090413C"/>
    <w:rsid w:val="009041D4"/>
    <w:rsid w:val="009042E5"/>
    <w:rsid w:val="009043A2"/>
    <w:rsid w:val="0090442D"/>
    <w:rsid w:val="009044A7"/>
    <w:rsid w:val="00904519"/>
    <w:rsid w:val="0090467F"/>
    <w:rsid w:val="009046B2"/>
    <w:rsid w:val="0090477E"/>
    <w:rsid w:val="009047D2"/>
    <w:rsid w:val="00904812"/>
    <w:rsid w:val="0090481F"/>
    <w:rsid w:val="00904832"/>
    <w:rsid w:val="009048D5"/>
    <w:rsid w:val="00904926"/>
    <w:rsid w:val="009049DF"/>
    <w:rsid w:val="00904A10"/>
    <w:rsid w:val="00904A43"/>
    <w:rsid w:val="00904BA8"/>
    <w:rsid w:val="00904BBF"/>
    <w:rsid w:val="00904D2B"/>
    <w:rsid w:val="00904E46"/>
    <w:rsid w:val="00904ED8"/>
    <w:rsid w:val="0090513E"/>
    <w:rsid w:val="009051F7"/>
    <w:rsid w:val="00905203"/>
    <w:rsid w:val="0090521D"/>
    <w:rsid w:val="00905327"/>
    <w:rsid w:val="0090533F"/>
    <w:rsid w:val="00905350"/>
    <w:rsid w:val="0090537B"/>
    <w:rsid w:val="009053F6"/>
    <w:rsid w:val="009054D3"/>
    <w:rsid w:val="009054EE"/>
    <w:rsid w:val="009055C7"/>
    <w:rsid w:val="00905638"/>
    <w:rsid w:val="009056A6"/>
    <w:rsid w:val="009056AF"/>
    <w:rsid w:val="0090575F"/>
    <w:rsid w:val="009057B4"/>
    <w:rsid w:val="009058B9"/>
    <w:rsid w:val="009058E7"/>
    <w:rsid w:val="009058FA"/>
    <w:rsid w:val="00905934"/>
    <w:rsid w:val="00905981"/>
    <w:rsid w:val="00905AA4"/>
    <w:rsid w:val="00905B05"/>
    <w:rsid w:val="00905C6E"/>
    <w:rsid w:val="00905E9E"/>
    <w:rsid w:val="00905F42"/>
    <w:rsid w:val="00905F98"/>
    <w:rsid w:val="00905FFD"/>
    <w:rsid w:val="00906016"/>
    <w:rsid w:val="0090607A"/>
    <w:rsid w:val="009060B8"/>
    <w:rsid w:val="009060DF"/>
    <w:rsid w:val="00906151"/>
    <w:rsid w:val="0090619D"/>
    <w:rsid w:val="0090643A"/>
    <w:rsid w:val="009064C4"/>
    <w:rsid w:val="009064E9"/>
    <w:rsid w:val="00906528"/>
    <w:rsid w:val="00906530"/>
    <w:rsid w:val="009065C5"/>
    <w:rsid w:val="0090666B"/>
    <w:rsid w:val="009066C7"/>
    <w:rsid w:val="0090672C"/>
    <w:rsid w:val="00906779"/>
    <w:rsid w:val="009067B3"/>
    <w:rsid w:val="00906846"/>
    <w:rsid w:val="00906855"/>
    <w:rsid w:val="009069FA"/>
    <w:rsid w:val="00906A9B"/>
    <w:rsid w:val="00906ABC"/>
    <w:rsid w:val="00906ABE"/>
    <w:rsid w:val="00906ADC"/>
    <w:rsid w:val="00906B29"/>
    <w:rsid w:val="00906CF3"/>
    <w:rsid w:val="00906E91"/>
    <w:rsid w:val="00906EBF"/>
    <w:rsid w:val="00906F2D"/>
    <w:rsid w:val="00906F81"/>
    <w:rsid w:val="00906FE5"/>
    <w:rsid w:val="00907036"/>
    <w:rsid w:val="009070CE"/>
    <w:rsid w:val="00907115"/>
    <w:rsid w:val="0090713D"/>
    <w:rsid w:val="00907144"/>
    <w:rsid w:val="009071C6"/>
    <w:rsid w:val="00907287"/>
    <w:rsid w:val="0090748A"/>
    <w:rsid w:val="009074F6"/>
    <w:rsid w:val="009074F7"/>
    <w:rsid w:val="00907708"/>
    <w:rsid w:val="0090776C"/>
    <w:rsid w:val="0090785A"/>
    <w:rsid w:val="00907896"/>
    <w:rsid w:val="00907943"/>
    <w:rsid w:val="009079FC"/>
    <w:rsid w:val="00907A42"/>
    <w:rsid w:val="00907BC0"/>
    <w:rsid w:val="00907BE9"/>
    <w:rsid w:val="00907CE6"/>
    <w:rsid w:val="00907E02"/>
    <w:rsid w:val="00907E4B"/>
    <w:rsid w:val="009100C3"/>
    <w:rsid w:val="00910181"/>
    <w:rsid w:val="00910182"/>
    <w:rsid w:val="009101D0"/>
    <w:rsid w:val="00910375"/>
    <w:rsid w:val="0091064D"/>
    <w:rsid w:val="009106BB"/>
    <w:rsid w:val="00910798"/>
    <w:rsid w:val="009107A5"/>
    <w:rsid w:val="00910860"/>
    <w:rsid w:val="00910878"/>
    <w:rsid w:val="0091090D"/>
    <w:rsid w:val="00910A21"/>
    <w:rsid w:val="00910A90"/>
    <w:rsid w:val="00910C23"/>
    <w:rsid w:val="00910E01"/>
    <w:rsid w:val="00910E80"/>
    <w:rsid w:val="00910F3C"/>
    <w:rsid w:val="00910F8E"/>
    <w:rsid w:val="00910FBA"/>
    <w:rsid w:val="0091102D"/>
    <w:rsid w:val="00911105"/>
    <w:rsid w:val="00911195"/>
    <w:rsid w:val="009111B3"/>
    <w:rsid w:val="009111D5"/>
    <w:rsid w:val="00911247"/>
    <w:rsid w:val="009112CA"/>
    <w:rsid w:val="009112DC"/>
    <w:rsid w:val="00911545"/>
    <w:rsid w:val="00911658"/>
    <w:rsid w:val="009116AF"/>
    <w:rsid w:val="00911737"/>
    <w:rsid w:val="009117F1"/>
    <w:rsid w:val="00911824"/>
    <w:rsid w:val="00911842"/>
    <w:rsid w:val="009118AD"/>
    <w:rsid w:val="00911934"/>
    <w:rsid w:val="00911A80"/>
    <w:rsid w:val="00911ABE"/>
    <w:rsid w:val="00911B1A"/>
    <w:rsid w:val="00911C08"/>
    <w:rsid w:val="00911D04"/>
    <w:rsid w:val="00911D75"/>
    <w:rsid w:val="00911FA6"/>
    <w:rsid w:val="00911FEC"/>
    <w:rsid w:val="009120C0"/>
    <w:rsid w:val="009121C2"/>
    <w:rsid w:val="00912295"/>
    <w:rsid w:val="00912349"/>
    <w:rsid w:val="00912380"/>
    <w:rsid w:val="00912399"/>
    <w:rsid w:val="009124CE"/>
    <w:rsid w:val="00912580"/>
    <w:rsid w:val="009125FB"/>
    <w:rsid w:val="00912629"/>
    <w:rsid w:val="009126E2"/>
    <w:rsid w:val="0091273F"/>
    <w:rsid w:val="009127C0"/>
    <w:rsid w:val="00912835"/>
    <w:rsid w:val="009128C2"/>
    <w:rsid w:val="00912902"/>
    <w:rsid w:val="009129A1"/>
    <w:rsid w:val="009129BA"/>
    <w:rsid w:val="009129D2"/>
    <w:rsid w:val="00912A25"/>
    <w:rsid w:val="00912B35"/>
    <w:rsid w:val="00912B36"/>
    <w:rsid w:val="00912BB5"/>
    <w:rsid w:val="00912C50"/>
    <w:rsid w:val="00912C93"/>
    <w:rsid w:val="00912CAF"/>
    <w:rsid w:val="00912D40"/>
    <w:rsid w:val="00912EBC"/>
    <w:rsid w:val="00913035"/>
    <w:rsid w:val="009130CB"/>
    <w:rsid w:val="009131F7"/>
    <w:rsid w:val="00913240"/>
    <w:rsid w:val="00913258"/>
    <w:rsid w:val="0091325A"/>
    <w:rsid w:val="00913275"/>
    <w:rsid w:val="00913332"/>
    <w:rsid w:val="0091334A"/>
    <w:rsid w:val="00913436"/>
    <w:rsid w:val="0091348E"/>
    <w:rsid w:val="009135BC"/>
    <w:rsid w:val="0091360B"/>
    <w:rsid w:val="0091365C"/>
    <w:rsid w:val="00913667"/>
    <w:rsid w:val="00913707"/>
    <w:rsid w:val="0091377D"/>
    <w:rsid w:val="009137A3"/>
    <w:rsid w:val="009137FA"/>
    <w:rsid w:val="0091381F"/>
    <w:rsid w:val="009138A7"/>
    <w:rsid w:val="00913A4C"/>
    <w:rsid w:val="00913A89"/>
    <w:rsid w:val="00913B69"/>
    <w:rsid w:val="00913C3E"/>
    <w:rsid w:val="00913E59"/>
    <w:rsid w:val="00913EC9"/>
    <w:rsid w:val="00913F70"/>
    <w:rsid w:val="00913F85"/>
    <w:rsid w:val="00913F86"/>
    <w:rsid w:val="00913FCC"/>
    <w:rsid w:val="00913FD1"/>
    <w:rsid w:val="00913FD7"/>
    <w:rsid w:val="00914095"/>
    <w:rsid w:val="009140DD"/>
    <w:rsid w:val="00914106"/>
    <w:rsid w:val="00914260"/>
    <w:rsid w:val="009143F8"/>
    <w:rsid w:val="009144CD"/>
    <w:rsid w:val="009144E8"/>
    <w:rsid w:val="00914710"/>
    <w:rsid w:val="00914718"/>
    <w:rsid w:val="00914730"/>
    <w:rsid w:val="00914791"/>
    <w:rsid w:val="009147C7"/>
    <w:rsid w:val="00914948"/>
    <w:rsid w:val="00914A52"/>
    <w:rsid w:val="00914AC7"/>
    <w:rsid w:val="00914AD2"/>
    <w:rsid w:val="00914AE9"/>
    <w:rsid w:val="00914D4D"/>
    <w:rsid w:val="00914E88"/>
    <w:rsid w:val="00914E8B"/>
    <w:rsid w:val="00914EA3"/>
    <w:rsid w:val="00914F0B"/>
    <w:rsid w:val="00914F6F"/>
    <w:rsid w:val="00914FAD"/>
    <w:rsid w:val="00915014"/>
    <w:rsid w:val="00915040"/>
    <w:rsid w:val="00915044"/>
    <w:rsid w:val="0091515E"/>
    <w:rsid w:val="009152C4"/>
    <w:rsid w:val="009153B8"/>
    <w:rsid w:val="009153BA"/>
    <w:rsid w:val="009153FF"/>
    <w:rsid w:val="0091555A"/>
    <w:rsid w:val="009155F0"/>
    <w:rsid w:val="00915776"/>
    <w:rsid w:val="009157CE"/>
    <w:rsid w:val="00915950"/>
    <w:rsid w:val="00915AFC"/>
    <w:rsid w:val="00915B00"/>
    <w:rsid w:val="00915B13"/>
    <w:rsid w:val="00915B16"/>
    <w:rsid w:val="00915C25"/>
    <w:rsid w:val="00915C58"/>
    <w:rsid w:val="00915D36"/>
    <w:rsid w:val="00915E07"/>
    <w:rsid w:val="00915E16"/>
    <w:rsid w:val="00915E80"/>
    <w:rsid w:val="00915EE3"/>
    <w:rsid w:val="00916003"/>
    <w:rsid w:val="00916046"/>
    <w:rsid w:val="00916051"/>
    <w:rsid w:val="00916191"/>
    <w:rsid w:val="009161A6"/>
    <w:rsid w:val="0091626F"/>
    <w:rsid w:val="009163A0"/>
    <w:rsid w:val="00916404"/>
    <w:rsid w:val="009164B9"/>
    <w:rsid w:val="00916552"/>
    <w:rsid w:val="0091657F"/>
    <w:rsid w:val="0091659C"/>
    <w:rsid w:val="009165A6"/>
    <w:rsid w:val="009166A9"/>
    <w:rsid w:val="00916752"/>
    <w:rsid w:val="00916A06"/>
    <w:rsid w:val="00916A0E"/>
    <w:rsid w:val="00916B2C"/>
    <w:rsid w:val="00916B5C"/>
    <w:rsid w:val="00916BD0"/>
    <w:rsid w:val="00916C67"/>
    <w:rsid w:val="00916CBC"/>
    <w:rsid w:val="00916D83"/>
    <w:rsid w:val="00916F12"/>
    <w:rsid w:val="00916F2C"/>
    <w:rsid w:val="00916F58"/>
    <w:rsid w:val="009170A9"/>
    <w:rsid w:val="009171AE"/>
    <w:rsid w:val="009171DC"/>
    <w:rsid w:val="009173CF"/>
    <w:rsid w:val="009174DB"/>
    <w:rsid w:val="009175AD"/>
    <w:rsid w:val="009176B4"/>
    <w:rsid w:val="009177F2"/>
    <w:rsid w:val="00917838"/>
    <w:rsid w:val="009178F8"/>
    <w:rsid w:val="00917A2B"/>
    <w:rsid w:val="00917A6B"/>
    <w:rsid w:val="00917C98"/>
    <w:rsid w:val="00917D0A"/>
    <w:rsid w:val="00917D34"/>
    <w:rsid w:val="00917D6E"/>
    <w:rsid w:val="00917E81"/>
    <w:rsid w:val="00917EED"/>
    <w:rsid w:val="00917EF0"/>
    <w:rsid w:val="00917FD2"/>
    <w:rsid w:val="00920110"/>
    <w:rsid w:val="0092011D"/>
    <w:rsid w:val="009202C1"/>
    <w:rsid w:val="009203E5"/>
    <w:rsid w:val="00920473"/>
    <w:rsid w:val="0092049E"/>
    <w:rsid w:val="009204ED"/>
    <w:rsid w:val="009205ED"/>
    <w:rsid w:val="00920606"/>
    <w:rsid w:val="00920662"/>
    <w:rsid w:val="0092067A"/>
    <w:rsid w:val="00920842"/>
    <w:rsid w:val="0092089E"/>
    <w:rsid w:val="009209EE"/>
    <w:rsid w:val="00920A01"/>
    <w:rsid w:val="00920A0A"/>
    <w:rsid w:val="00920B14"/>
    <w:rsid w:val="00920C9A"/>
    <w:rsid w:val="00920CF1"/>
    <w:rsid w:val="00920D0E"/>
    <w:rsid w:val="00920F50"/>
    <w:rsid w:val="00920FED"/>
    <w:rsid w:val="0092101D"/>
    <w:rsid w:val="00921070"/>
    <w:rsid w:val="00921085"/>
    <w:rsid w:val="0092108A"/>
    <w:rsid w:val="00921144"/>
    <w:rsid w:val="009211BF"/>
    <w:rsid w:val="0092139E"/>
    <w:rsid w:val="009213A8"/>
    <w:rsid w:val="009213C5"/>
    <w:rsid w:val="0092148F"/>
    <w:rsid w:val="00921650"/>
    <w:rsid w:val="009216AD"/>
    <w:rsid w:val="009216F8"/>
    <w:rsid w:val="009218B1"/>
    <w:rsid w:val="00921954"/>
    <w:rsid w:val="00921A15"/>
    <w:rsid w:val="00921A87"/>
    <w:rsid w:val="00921C17"/>
    <w:rsid w:val="00921C5A"/>
    <w:rsid w:val="00921DCA"/>
    <w:rsid w:val="0092205C"/>
    <w:rsid w:val="009220CA"/>
    <w:rsid w:val="0092215B"/>
    <w:rsid w:val="00922321"/>
    <w:rsid w:val="0092232A"/>
    <w:rsid w:val="009223CF"/>
    <w:rsid w:val="0092250F"/>
    <w:rsid w:val="0092252E"/>
    <w:rsid w:val="00922613"/>
    <w:rsid w:val="0092272F"/>
    <w:rsid w:val="0092274B"/>
    <w:rsid w:val="00922826"/>
    <w:rsid w:val="009228BF"/>
    <w:rsid w:val="009228E0"/>
    <w:rsid w:val="009228EC"/>
    <w:rsid w:val="00922973"/>
    <w:rsid w:val="009229CA"/>
    <w:rsid w:val="00922B0C"/>
    <w:rsid w:val="00922B40"/>
    <w:rsid w:val="00922BC0"/>
    <w:rsid w:val="00922CF1"/>
    <w:rsid w:val="00922D2C"/>
    <w:rsid w:val="00922DB4"/>
    <w:rsid w:val="00922E65"/>
    <w:rsid w:val="00922EBC"/>
    <w:rsid w:val="00922ED7"/>
    <w:rsid w:val="0092311F"/>
    <w:rsid w:val="0092314A"/>
    <w:rsid w:val="00923177"/>
    <w:rsid w:val="0092322D"/>
    <w:rsid w:val="009232B6"/>
    <w:rsid w:val="009232C1"/>
    <w:rsid w:val="0092335C"/>
    <w:rsid w:val="00923542"/>
    <w:rsid w:val="009235EE"/>
    <w:rsid w:val="0092389A"/>
    <w:rsid w:val="009239A1"/>
    <w:rsid w:val="009239F9"/>
    <w:rsid w:val="00923BA2"/>
    <w:rsid w:val="00923BBB"/>
    <w:rsid w:val="00923BC1"/>
    <w:rsid w:val="00923CCE"/>
    <w:rsid w:val="00923D5F"/>
    <w:rsid w:val="00923DA9"/>
    <w:rsid w:val="00923EF9"/>
    <w:rsid w:val="00923F25"/>
    <w:rsid w:val="00923F65"/>
    <w:rsid w:val="00923FB7"/>
    <w:rsid w:val="00924140"/>
    <w:rsid w:val="0092416A"/>
    <w:rsid w:val="00924243"/>
    <w:rsid w:val="009242CB"/>
    <w:rsid w:val="0092430F"/>
    <w:rsid w:val="00924364"/>
    <w:rsid w:val="00924435"/>
    <w:rsid w:val="0092445D"/>
    <w:rsid w:val="0092454E"/>
    <w:rsid w:val="00924568"/>
    <w:rsid w:val="00924595"/>
    <w:rsid w:val="009245B4"/>
    <w:rsid w:val="00924699"/>
    <w:rsid w:val="009246D7"/>
    <w:rsid w:val="0092473A"/>
    <w:rsid w:val="00924803"/>
    <w:rsid w:val="0092480C"/>
    <w:rsid w:val="00924ABF"/>
    <w:rsid w:val="00924B50"/>
    <w:rsid w:val="00924BB4"/>
    <w:rsid w:val="00924CAB"/>
    <w:rsid w:val="00924CAC"/>
    <w:rsid w:val="00924CC2"/>
    <w:rsid w:val="00924D05"/>
    <w:rsid w:val="00924D5B"/>
    <w:rsid w:val="00924E3D"/>
    <w:rsid w:val="00925238"/>
    <w:rsid w:val="0092528D"/>
    <w:rsid w:val="009252BC"/>
    <w:rsid w:val="009252FD"/>
    <w:rsid w:val="00925300"/>
    <w:rsid w:val="00925323"/>
    <w:rsid w:val="00925377"/>
    <w:rsid w:val="0092540F"/>
    <w:rsid w:val="0092549E"/>
    <w:rsid w:val="0092559E"/>
    <w:rsid w:val="00925778"/>
    <w:rsid w:val="009258A2"/>
    <w:rsid w:val="009258DE"/>
    <w:rsid w:val="0092596F"/>
    <w:rsid w:val="00925A01"/>
    <w:rsid w:val="00925A59"/>
    <w:rsid w:val="00925A9B"/>
    <w:rsid w:val="00925B7F"/>
    <w:rsid w:val="00925D2A"/>
    <w:rsid w:val="00925DA8"/>
    <w:rsid w:val="00925E72"/>
    <w:rsid w:val="00925E7F"/>
    <w:rsid w:val="00925EBC"/>
    <w:rsid w:val="00925EE9"/>
    <w:rsid w:val="00925F17"/>
    <w:rsid w:val="00925FB8"/>
    <w:rsid w:val="0092604C"/>
    <w:rsid w:val="009260DE"/>
    <w:rsid w:val="00926108"/>
    <w:rsid w:val="00926109"/>
    <w:rsid w:val="0092610C"/>
    <w:rsid w:val="009261E0"/>
    <w:rsid w:val="009262C4"/>
    <w:rsid w:val="0092634B"/>
    <w:rsid w:val="009263D1"/>
    <w:rsid w:val="00926430"/>
    <w:rsid w:val="0092653B"/>
    <w:rsid w:val="009266CF"/>
    <w:rsid w:val="00926700"/>
    <w:rsid w:val="00926803"/>
    <w:rsid w:val="00926843"/>
    <w:rsid w:val="00926871"/>
    <w:rsid w:val="00926933"/>
    <w:rsid w:val="009269BA"/>
    <w:rsid w:val="00926A0D"/>
    <w:rsid w:val="00926AAF"/>
    <w:rsid w:val="00926AF0"/>
    <w:rsid w:val="00926B63"/>
    <w:rsid w:val="00926CA9"/>
    <w:rsid w:val="00926E5B"/>
    <w:rsid w:val="00926E93"/>
    <w:rsid w:val="00926F02"/>
    <w:rsid w:val="00926F10"/>
    <w:rsid w:val="009270F7"/>
    <w:rsid w:val="00927121"/>
    <w:rsid w:val="009273E5"/>
    <w:rsid w:val="00927587"/>
    <w:rsid w:val="009275E8"/>
    <w:rsid w:val="0092764E"/>
    <w:rsid w:val="00927870"/>
    <w:rsid w:val="009278F8"/>
    <w:rsid w:val="00927931"/>
    <w:rsid w:val="00927A5A"/>
    <w:rsid w:val="00927AA0"/>
    <w:rsid w:val="00927AB2"/>
    <w:rsid w:val="00927B23"/>
    <w:rsid w:val="00927CF8"/>
    <w:rsid w:val="00927D53"/>
    <w:rsid w:val="00927D6F"/>
    <w:rsid w:val="00927DFA"/>
    <w:rsid w:val="00927E0D"/>
    <w:rsid w:val="00927EBF"/>
    <w:rsid w:val="00927ED2"/>
    <w:rsid w:val="00927EE7"/>
    <w:rsid w:val="00927EF9"/>
    <w:rsid w:val="00927F2A"/>
    <w:rsid w:val="00927FC2"/>
    <w:rsid w:val="00930287"/>
    <w:rsid w:val="00930316"/>
    <w:rsid w:val="00930379"/>
    <w:rsid w:val="0093037B"/>
    <w:rsid w:val="0093058A"/>
    <w:rsid w:val="00930604"/>
    <w:rsid w:val="00930644"/>
    <w:rsid w:val="009306AF"/>
    <w:rsid w:val="009307AA"/>
    <w:rsid w:val="009307FF"/>
    <w:rsid w:val="009309CE"/>
    <w:rsid w:val="00930AEB"/>
    <w:rsid w:val="00930B63"/>
    <w:rsid w:val="00930BB0"/>
    <w:rsid w:val="00930BCA"/>
    <w:rsid w:val="00930D03"/>
    <w:rsid w:val="00930DF4"/>
    <w:rsid w:val="00930E6D"/>
    <w:rsid w:val="00930E84"/>
    <w:rsid w:val="00930F26"/>
    <w:rsid w:val="00931046"/>
    <w:rsid w:val="00931100"/>
    <w:rsid w:val="00931113"/>
    <w:rsid w:val="00931143"/>
    <w:rsid w:val="0093121A"/>
    <w:rsid w:val="009312AD"/>
    <w:rsid w:val="0093144D"/>
    <w:rsid w:val="0093146B"/>
    <w:rsid w:val="00931476"/>
    <w:rsid w:val="009314AC"/>
    <w:rsid w:val="00931572"/>
    <w:rsid w:val="009315EB"/>
    <w:rsid w:val="00931617"/>
    <w:rsid w:val="00931724"/>
    <w:rsid w:val="00931728"/>
    <w:rsid w:val="009317A8"/>
    <w:rsid w:val="0093193B"/>
    <w:rsid w:val="00931A03"/>
    <w:rsid w:val="00931AF6"/>
    <w:rsid w:val="00931BE8"/>
    <w:rsid w:val="00931BF8"/>
    <w:rsid w:val="00931E78"/>
    <w:rsid w:val="00931E96"/>
    <w:rsid w:val="00931F65"/>
    <w:rsid w:val="00931FA1"/>
    <w:rsid w:val="00931FFA"/>
    <w:rsid w:val="0093208A"/>
    <w:rsid w:val="009321E0"/>
    <w:rsid w:val="00932223"/>
    <w:rsid w:val="00932233"/>
    <w:rsid w:val="00932333"/>
    <w:rsid w:val="009323C2"/>
    <w:rsid w:val="0093241E"/>
    <w:rsid w:val="00932460"/>
    <w:rsid w:val="009324E4"/>
    <w:rsid w:val="0093257D"/>
    <w:rsid w:val="00932611"/>
    <w:rsid w:val="009328F3"/>
    <w:rsid w:val="00932980"/>
    <w:rsid w:val="009329EB"/>
    <w:rsid w:val="00932AEE"/>
    <w:rsid w:val="00932B16"/>
    <w:rsid w:val="00932BF6"/>
    <w:rsid w:val="00932BFE"/>
    <w:rsid w:val="00932C82"/>
    <w:rsid w:val="00932D28"/>
    <w:rsid w:val="00932DBB"/>
    <w:rsid w:val="00932E86"/>
    <w:rsid w:val="009331F3"/>
    <w:rsid w:val="0093322E"/>
    <w:rsid w:val="00933339"/>
    <w:rsid w:val="0093337C"/>
    <w:rsid w:val="0093337E"/>
    <w:rsid w:val="00933472"/>
    <w:rsid w:val="009334C1"/>
    <w:rsid w:val="0093367E"/>
    <w:rsid w:val="009336C0"/>
    <w:rsid w:val="009336CE"/>
    <w:rsid w:val="009337B9"/>
    <w:rsid w:val="00933853"/>
    <w:rsid w:val="009338CD"/>
    <w:rsid w:val="00933959"/>
    <w:rsid w:val="00933969"/>
    <w:rsid w:val="00933A1D"/>
    <w:rsid w:val="00933A7A"/>
    <w:rsid w:val="00933A88"/>
    <w:rsid w:val="00933AC5"/>
    <w:rsid w:val="00933BC8"/>
    <w:rsid w:val="00933D0A"/>
    <w:rsid w:val="00933D2D"/>
    <w:rsid w:val="00933DB7"/>
    <w:rsid w:val="0093406C"/>
    <w:rsid w:val="0093414D"/>
    <w:rsid w:val="0093418B"/>
    <w:rsid w:val="009341C7"/>
    <w:rsid w:val="00934210"/>
    <w:rsid w:val="009342DD"/>
    <w:rsid w:val="009343B0"/>
    <w:rsid w:val="0093441F"/>
    <w:rsid w:val="009344BB"/>
    <w:rsid w:val="00934542"/>
    <w:rsid w:val="00934559"/>
    <w:rsid w:val="009345B4"/>
    <w:rsid w:val="009345DC"/>
    <w:rsid w:val="0093461C"/>
    <w:rsid w:val="00934715"/>
    <w:rsid w:val="0093472D"/>
    <w:rsid w:val="0093475E"/>
    <w:rsid w:val="00934767"/>
    <w:rsid w:val="0093476B"/>
    <w:rsid w:val="0093478B"/>
    <w:rsid w:val="00934817"/>
    <w:rsid w:val="00934BFB"/>
    <w:rsid w:val="00934CF8"/>
    <w:rsid w:val="00934D19"/>
    <w:rsid w:val="00934D62"/>
    <w:rsid w:val="00934DE0"/>
    <w:rsid w:val="00934E39"/>
    <w:rsid w:val="00934E66"/>
    <w:rsid w:val="00934F65"/>
    <w:rsid w:val="00934FE8"/>
    <w:rsid w:val="00935032"/>
    <w:rsid w:val="009350DF"/>
    <w:rsid w:val="0093519D"/>
    <w:rsid w:val="009351C4"/>
    <w:rsid w:val="009351E2"/>
    <w:rsid w:val="009352BA"/>
    <w:rsid w:val="00935332"/>
    <w:rsid w:val="0093578C"/>
    <w:rsid w:val="0093581E"/>
    <w:rsid w:val="00935879"/>
    <w:rsid w:val="00935A64"/>
    <w:rsid w:val="00935B37"/>
    <w:rsid w:val="00935BDF"/>
    <w:rsid w:val="00935C8D"/>
    <w:rsid w:val="00935CCE"/>
    <w:rsid w:val="00935CE7"/>
    <w:rsid w:val="00935E08"/>
    <w:rsid w:val="00935F72"/>
    <w:rsid w:val="00935FBE"/>
    <w:rsid w:val="009360C4"/>
    <w:rsid w:val="0093614F"/>
    <w:rsid w:val="00936205"/>
    <w:rsid w:val="00936330"/>
    <w:rsid w:val="0093644D"/>
    <w:rsid w:val="00936475"/>
    <w:rsid w:val="009364F5"/>
    <w:rsid w:val="00936563"/>
    <w:rsid w:val="0093660F"/>
    <w:rsid w:val="009367FF"/>
    <w:rsid w:val="00936894"/>
    <w:rsid w:val="009368AF"/>
    <w:rsid w:val="009369DA"/>
    <w:rsid w:val="00936A8D"/>
    <w:rsid w:val="00936AAB"/>
    <w:rsid w:val="00936B11"/>
    <w:rsid w:val="00936B13"/>
    <w:rsid w:val="00936B1B"/>
    <w:rsid w:val="00936C0E"/>
    <w:rsid w:val="00936C3E"/>
    <w:rsid w:val="00936CAF"/>
    <w:rsid w:val="00936CE1"/>
    <w:rsid w:val="00936D16"/>
    <w:rsid w:val="00936D59"/>
    <w:rsid w:val="00936DA5"/>
    <w:rsid w:val="00936EDB"/>
    <w:rsid w:val="00936F58"/>
    <w:rsid w:val="00936FCA"/>
    <w:rsid w:val="00936FD4"/>
    <w:rsid w:val="00937050"/>
    <w:rsid w:val="00937102"/>
    <w:rsid w:val="00937177"/>
    <w:rsid w:val="0093717F"/>
    <w:rsid w:val="009371B3"/>
    <w:rsid w:val="00937210"/>
    <w:rsid w:val="00937219"/>
    <w:rsid w:val="0093723E"/>
    <w:rsid w:val="009372C4"/>
    <w:rsid w:val="00937308"/>
    <w:rsid w:val="009374DF"/>
    <w:rsid w:val="00937567"/>
    <w:rsid w:val="0093756A"/>
    <w:rsid w:val="009375FE"/>
    <w:rsid w:val="009376D7"/>
    <w:rsid w:val="0093784F"/>
    <w:rsid w:val="009378FD"/>
    <w:rsid w:val="00937A05"/>
    <w:rsid w:val="00937A0F"/>
    <w:rsid w:val="00937A84"/>
    <w:rsid w:val="00937BFB"/>
    <w:rsid w:val="00937C07"/>
    <w:rsid w:val="00937C58"/>
    <w:rsid w:val="00937C80"/>
    <w:rsid w:val="00937DA2"/>
    <w:rsid w:val="00937E01"/>
    <w:rsid w:val="00937EA2"/>
    <w:rsid w:val="00937F86"/>
    <w:rsid w:val="00937FA6"/>
    <w:rsid w:val="00937FD5"/>
    <w:rsid w:val="00937FDB"/>
    <w:rsid w:val="00937FEF"/>
    <w:rsid w:val="0094018C"/>
    <w:rsid w:val="009401A9"/>
    <w:rsid w:val="00940268"/>
    <w:rsid w:val="009402D5"/>
    <w:rsid w:val="009403B9"/>
    <w:rsid w:val="009403C6"/>
    <w:rsid w:val="00940417"/>
    <w:rsid w:val="00940446"/>
    <w:rsid w:val="009404E9"/>
    <w:rsid w:val="0094054D"/>
    <w:rsid w:val="0094055B"/>
    <w:rsid w:val="00940620"/>
    <w:rsid w:val="00940659"/>
    <w:rsid w:val="009406BA"/>
    <w:rsid w:val="0094071D"/>
    <w:rsid w:val="00940785"/>
    <w:rsid w:val="009407CC"/>
    <w:rsid w:val="00940830"/>
    <w:rsid w:val="0094084A"/>
    <w:rsid w:val="0094086B"/>
    <w:rsid w:val="009408F5"/>
    <w:rsid w:val="0094092B"/>
    <w:rsid w:val="00940934"/>
    <w:rsid w:val="00940AAF"/>
    <w:rsid w:val="00940ADC"/>
    <w:rsid w:val="00940C0C"/>
    <w:rsid w:val="00940C2E"/>
    <w:rsid w:val="00940C5C"/>
    <w:rsid w:val="00940D02"/>
    <w:rsid w:val="00940D17"/>
    <w:rsid w:val="00940E60"/>
    <w:rsid w:val="00940E69"/>
    <w:rsid w:val="009410C9"/>
    <w:rsid w:val="009411F7"/>
    <w:rsid w:val="00941230"/>
    <w:rsid w:val="0094126C"/>
    <w:rsid w:val="009412CC"/>
    <w:rsid w:val="009412D9"/>
    <w:rsid w:val="009413A4"/>
    <w:rsid w:val="009413D4"/>
    <w:rsid w:val="009413FE"/>
    <w:rsid w:val="0094146D"/>
    <w:rsid w:val="00941530"/>
    <w:rsid w:val="009415DF"/>
    <w:rsid w:val="00941685"/>
    <w:rsid w:val="009417CB"/>
    <w:rsid w:val="009417D9"/>
    <w:rsid w:val="009418D8"/>
    <w:rsid w:val="00941914"/>
    <w:rsid w:val="0094193E"/>
    <w:rsid w:val="009419BD"/>
    <w:rsid w:val="00941A5A"/>
    <w:rsid w:val="00941B74"/>
    <w:rsid w:val="00941BB3"/>
    <w:rsid w:val="00941BC1"/>
    <w:rsid w:val="00941BC9"/>
    <w:rsid w:val="00941D58"/>
    <w:rsid w:val="00941DD4"/>
    <w:rsid w:val="00941EFE"/>
    <w:rsid w:val="00941F9C"/>
    <w:rsid w:val="00941FAE"/>
    <w:rsid w:val="00941FB6"/>
    <w:rsid w:val="00942078"/>
    <w:rsid w:val="009420EE"/>
    <w:rsid w:val="009420F8"/>
    <w:rsid w:val="00942113"/>
    <w:rsid w:val="009421DD"/>
    <w:rsid w:val="0094236B"/>
    <w:rsid w:val="009423F6"/>
    <w:rsid w:val="0094240A"/>
    <w:rsid w:val="00942427"/>
    <w:rsid w:val="009424B1"/>
    <w:rsid w:val="00942512"/>
    <w:rsid w:val="009425D1"/>
    <w:rsid w:val="009425EB"/>
    <w:rsid w:val="009425F2"/>
    <w:rsid w:val="009425FF"/>
    <w:rsid w:val="00942673"/>
    <w:rsid w:val="009426BB"/>
    <w:rsid w:val="0094271E"/>
    <w:rsid w:val="009427DB"/>
    <w:rsid w:val="009428A5"/>
    <w:rsid w:val="00942994"/>
    <w:rsid w:val="00942A1A"/>
    <w:rsid w:val="00942B7E"/>
    <w:rsid w:val="00942ECC"/>
    <w:rsid w:val="00942FAC"/>
    <w:rsid w:val="00943049"/>
    <w:rsid w:val="00943063"/>
    <w:rsid w:val="00943223"/>
    <w:rsid w:val="009432F9"/>
    <w:rsid w:val="00943343"/>
    <w:rsid w:val="0094338E"/>
    <w:rsid w:val="00943450"/>
    <w:rsid w:val="00943479"/>
    <w:rsid w:val="00943480"/>
    <w:rsid w:val="00943541"/>
    <w:rsid w:val="00943584"/>
    <w:rsid w:val="00943755"/>
    <w:rsid w:val="009437BE"/>
    <w:rsid w:val="009437E1"/>
    <w:rsid w:val="0094384C"/>
    <w:rsid w:val="00943B8B"/>
    <w:rsid w:val="00943BB5"/>
    <w:rsid w:val="00943C19"/>
    <w:rsid w:val="00943C38"/>
    <w:rsid w:val="00943C99"/>
    <w:rsid w:val="00943CF2"/>
    <w:rsid w:val="00943D7B"/>
    <w:rsid w:val="00943DB0"/>
    <w:rsid w:val="00943DBC"/>
    <w:rsid w:val="00943E2A"/>
    <w:rsid w:val="00943E84"/>
    <w:rsid w:val="00943ED4"/>
    <w:rsid w:val="00943EEF"/>
    <w:rsid w:val="00944010"/>
    <w:rsid w:val="0094409B"/>
    <w:rsid w:val="009441A1"/>
    <w:rsid w:val="0094441B"/>
    <w:rsid w:val="00944536"/>
    <w:rsid w:val="0094454D"/>
    <w:rsid w:val="0094459E"/>
    <w:rsid w:val="009447B5"/>
    <w:rsid w:val="00944808"/>
    <w:rsid w:val="00944AA9"/>
    <w:rsid w:val="00944C2A"/>
    <w:rsid w:val="00944C9E"/>
    <w:rsid w:val="00944D51"/>
    <w:rsid w:val="00944D75"/>
    <w:rsid w:val="00944DA0"/>
    <w:rsid w:val="00944ED9"/>
    <w:rsid w:val="00944F2E"/>
    <w:rsid w:val="00944F50"/>
    <w:rsid w:val="00944F5C"/>
    <w:rsid w:val="00944FA3"/>
    <w:rsid w:val="0094504A"/>
    <w:rsid w:val="0094517E"/>
    <w:rsid w:val="009451B0"/>
    <w:rsid w:val="009451D8"/>
    <w:rsid w:val="00945234"/>
    <w:rsid w:val="00945243"/>
    <w:rsid w:val="00945250"/>
    <w:rsid w:val="00945257"/>
    <w:rsid w:val="00945365"/>
    <w:rsid w:val="00945438"/>
    <w:rsid w:val="0094544B"/>
    <w:rsid w:val="0094546B"/>
    <w:rsid w:val="009455DD"/>
    <w:rsid w:val="009455E3"/>
    <w:rsid w:val="009456A0"/>
    <w:rsid w:val="0094571E"/>
    <w:rsid w:val="0094579E"/>
    <w:rsid w:val="00945850"/>
    <w:rsid w:val="0094587A"/>
    <w:rsid w:val="0094589E"/>
    <w:rsid w:val="009459CD"/>
    <w:rsid w:val="00945B34"/>
    <w:rsid w:val="00945C5C"/>
    <w:rsid w:val="00945C65"/>
    <w:rsid w:val="00945CC4"/>
    <w:rsid w:val="00945D75"/>
    <w:rsid w:val="00945DB1"/>
    <w:rsid w:val="00945E9F"/>
    <w:rsid w:val="00945F50"/>
    <w:rsid w:val="00945FB4"/>
    <w:rsid w:val="00945FD2"/>
    <w:rsid w:val="009460A4"/>
    <w:rsid w:val="0094616A"/>
    <w:rsid w:val="009461AB"/>
    <w:rsid w:val="009462F4"/>
    <w:rsid w:val="009462F8"/>
    <w:rsid w:val="00946342"/>
    <w:rsid w:val="009463BD"/>
    <w:rsid w:val="00946432"/>
    <w:rsid w:val="0094644E"/>
    <w:rsid w:val="009465B7"/>
    <w:rsid w:val="00946634"/>
    <w:rsid w:val="009466C9"/>
    <w:rsid w:val="0094670E"/>
    <w:rsid w:val="00946877"/>
    <w:rsid w:val="009468E1"/>
    <w:rsid w:val="00946A78"/>
    <w:rsid w:val="00946AA6"/>
    <w:rsid w:val="00946B14"/>
    <w:rsid w:val="00946B1F"/>
    <w:rsid w:val="00946C2C"/>
    <w:rsid w:val="00946C48"/>
    <w:rsid w:val="00946C8B"/>
    <w:rsid w:val="00946CDE"/>
    <w:rsid w:val="00946E0B"/>
    <w:rsid w:val="00946E41"/>
    <w:rsid w:val="00946EBB"/>
    <w:rsid w:val="00946F20"/>
    <w:rsid w:val="00946F2F"/>
    <w:rsid w:val="00946FC2"/>
    <w:rsid w:val="00946FF2"/>
    <w:rsid w:val="00947056"/>
    <w:rsid w:val="009470B8"/>
    <w:rsid w:val="0094722C"/>
    <w:rsid w:val="00947288"/>
    <w:rsid w:val="0094734A"/>
    <w:rsid w:val="00947422"/>
    <w:rsid w:val="0094750E"/>
    <w:rsid w:val="009475C9"/>
    <w:rsid w:val="009475CC"/>
    <w:rsid w:val="00947601"/>
    <w:rsid w:val="0094765C"/>
    <w:rsid w:val="0094781A"/>
    <w:rsid w:val="0094785E"/>
    <w:rsid w:val="0094788D"/>
    <w:rsid w:val="0094794B"/>
    <w:rsid w:val="0094798C"/>
    <w:rsid w:val="00947A28"/>
    <w:rsid w:val="00947A2A"/>
    <w:rsid w:val="00947B1B"/>
    <w:rsid w:val="00947BE8"/>
    <w:rsid w:val="00947C68"/>
    <w:rsid w:val="00947CDE"/>
    <w:rsid w:val="00947DC0"/>
    <w:rsid w:val="00947E5F"/>
    <w:rsid w:val="00950066"/>
    <w:rsid w:val="0095011C"/>
    <w:rsid w:val="00950123"/>
    <w:rsid w:val="009501CE"/>
    <w:rsid w:val="00950260"/>
    <w:rsid w:val="009502B6"/>
    <w:rsid w:val="00950320"/>
    <w:rsid w:val="00950370"/>
    <w:rsid w:val="0095042E"/>
    <w:rsid w:val="0095045C"/>
    <w:rsid w:val="0095046B"/>
    <w:rsid w:val="009505BF"/>
    <w:rsid w:val="00950655"/>
    <w:rsid w:val="00950727"/>
    <w:rsid w:val="0095075E"/>
    <w:rsid w:val="00950765"/>
    <w:rsid w:val="00950836"/>
    <w:rsid w:val="00950839"/>
    <w:rsid w:val="009508F5"/>
    <w:rsid w:val="009508F9"/>
    <w:rsid w:val="009509FF"/>
    <w:rsid w:val="00950B25"/>
    <w:rsid w:val="00950B3A"/>
    <w:rsid w:val="00950B64"/>
    <w:rsid w:val="00950BE3"/>
    <w:rsid w:val="00950C2A"/>
    <w:rsid w:val="00950C2D"/>
    <w:rsid w:val="00950CEE"/>
    <w:rsid w:val="00950D8E"/>
    <w:rsid w:val="00950D92"/>
    <w:rsid w:val="00950E32"/>
    <w:rsid w:val="00950F54"/>
    <w:rsid w:val="00950FB9"/>
    <w:rsid w:val="00951016"/>
    <w:rsid w:val="00951060"/>
    <w:rsid w:val="00951092"/>
    <w:rsid w:val="00951149"/>
    <w:rsid w:val="0095115A"/>
    <w:rsid w:val="00951169"/>
    <w:rsid w:val="009512E1"/>
    <w:rsid w:val="00951382"/>
    <w:rsid w:val="009513F6"/>
    <w:rsid w:val="009513F7"/>
    <w:rsid w:val="00951418"/>
    <w:rsid w:val="00951421"/>
    <w:rsid w:val="00951423"/>
    <w:rsid w:val="0095157B"/>
    <w:rsid w:val="009517B1"/>
    <w:rsid w:val="0095182D"/>
    <w:rsid w:val="00951905"/>
    <w:rsid w:val="00951B21"/>
    <w:rsid w:val="00951BAA"/>
    <w:rsid w:val="00951BD3"/>
    <w:rsid w:val="00951C16"/>
    <w:rsid w:val="00951C19"/>
    <w:rsid w:val="00951CB9"/>
    <w:rsid w:val="00951D45"/>
    <w:rsid w:val="00951F83"/>
    <w:rsid w:val="00951F87"/>
    <w:rsid w:val="00951FA2"/>
    <w:rsid w:val="0095200E"/>
    <w:rsid w:val="009520D4"/>
    <w:rsid w:val="009521FE"/>
    <w:rsid w:val="00952492"/>
    <w:rsid w:val="00952685"/>
    <w:rsid w:val="009526B0"/>
    <w:rsid w:val="00952828"/>
    <w:rsid w:val="0095291B"/>
    <w:rsid w:val="00952A5D"/>
    <w:rsid w:val="00952BBB"/>
    <w:rsid w:val="00952CBB"/>
    <w:rsid w:val="00952E88"/>
    <w:rsid w:val="00952F4A"/>
    <w:rsid w:val="009530C6"/>
    <w:rsid w:val="00953111"/>
    <w:rsid w:val="00953195"/>
    <w:rsid w:val="00953650"/>
    <w:rsid w:val="00953670"/>
    <w:rsid w:val="0095379C"/>
    <w:rsid w:val="009537BF"/>
    <w:rsid w:val="00953810"/>
    <w:rsid w:val="0095385E"/>
    <w:rsid w:val="00953870"/>
    <w:rsid w:val="009539A8"/>
    <w:rsid w:val="00953A2E"/>
    <w:rsid w:val="00953A42"/>
    <w:rsid w:val="00953ADD"/>
    <w:rsid w:val="00953B0B"/>
    <w:rsid w:val="00953B29"/>
    <w:rsid w:val="00953B3E"/>
    <w:rsid w:val="00953B61"/>
    <w:rsid w:val="00953BD6"/>
    <w:rsid w:val="00953D05"/>
    <w:rsid w:val="00953D0D"/>
    <w:rsid w:val="00953DF2"/>
    <w:rsid w:val="00953E45"/>
    <w:rsid w:val="00953F50"/>
    <w:rsid w:val="00953F86"/>
    <w:rsid w:val="00953FAD"/>
    <w:rsid w:val="00954167"/>
    <w:rsid w:val="009542E6"/>
    <w:rsid w:val="009542FC"/>
    <w:rsid w:val="00954345"/>
    <w:rsid w:val="009543A4"/>
    <w:rsid w:val="00954425"/>
    <w:rsid w:val="00954465"/>
    <w:rsid w:val="00954497"/>
    <w:rsid w:val="009544BA"/>
    <w:rsid w:val="0095457E"/>
    <w:rsid w:val="0095460E"/>
    <w:rsid w:val="0095465B"/>
    <w:rsid w:val="009546EB"/>
    <w:rsid w:val="00954734"/>
    <w:rsid w:val="00954878"/>
    <w:rsid w:val="0095496D"/>
    <w:rsid w:val="0095498F"/>
    <w:rsid w:val="00954A17"/>
    <w:rsid w:val="00954A7D"/>
    <w:rsid w:val="00954B46"/>
    <w:rsid w:val="00954B8F"/>
    <w:rsid w:val="00954C56"/>
    <w:rsid w:val="00954D3C"/>
    <w:rsid w:val="00954D5B"/>
    <w:rsid w:val="00954DDE"/>
    <w:rsid w:val="00954E1A"/>
    <w:rsid w:val="00954E6D"/>
    <w:rsid w:val="00954EC0"/>
    <w:rsid w:val="00954F5D"/>
    <w:rsid w:val="009551A4"/>
    <w:rsid w:val="00955279"/>
    <w:rsid w:val="009552BA"/>
    <w:rsid w:val="009552CE"/>
    <w:rsid w:val="00955356"/>
    <w:rsid w:val="0095541C"/>
    <w:rsid w:val="0095573D"/>
    <w:rsid w:val="0095576B"/>
    <w:rsid w:val="00955777"/>
    <w:rsid w:val="0095577E"/>
    <w:rsid w:val="009557AB"/>
    <w:rsid w:val="00955979"/>
    <w:rsid w:val="00955A40"/>
    <w:rsid w:val="00955AD8"/>
    <w:rsid w:val="00955AE9"/>
    <w:rsid w:val="00955E32"/>
    <w:rsid w:val="00955E79"/>
    <w:rsid w:val="00955EA5"/>
    <w:rsid w:val="00955EAE"/>
    <w:rsid w:val="00955F33"/>
    <w:rsid w:val="00955FA3"/>
    <w:rsid w:val="0095608C"/>
    <w:rsid w:val="009560B6"/>
    <w:rsid w:val="00956231"/>
    <w:rsid w:val="00956347"/>
    <w:rsid w:val="0095639F"/>
    <w:rsid w:val="009563AC"/>
    <w:rsid w:val="009563B7"/>
    <w:rsid w:val="00956427"/>
    <w:rsid w:val="009565C3"/>
    <w:rsid w:val="00956671"/>
    <w:rsid w:val="00956693"/>
    <w:rsid w:val="009567DD"/>
    <w:rsid w:val="009567FD"/>
    <w:rsid w:val="00956860"/>
    <w:rsid w:val="00956901"/>
    <w:rsid w:val="00956905"/>
    <w:rsid w:val="00956938"/>
    <w:rsid w:val="00956A02"/>
    <w:rsid w:val="00956AA6"/>
    <w:rsid w:val="00956B19"/>
    <w:rsid w:val="00956BF6"/>
    <w:rsid w:val="00956C3A"/>
    <w:rsid w:val="00956CCA"/>
    <w:rsid w:val="00956D9F"/>
    <w:rsid w:val="00956DBB"/>
    <w:rsid w:val="00956DE8"/>
    <w:rsid w:val="00956E64"/>
    <w:rsid w:val="00956F3F"/>
    <w:rsid w:val="00956FB5"/>
    <w:rsid w:val="0095709F"/>
    <w:rsid w:val="009570E8"/>
    <w:rsid w:val="00957173"/>
    <w:rsid w:val="009571E6"/>
    <w:rsid w:val="009572E6"/>
    <w:rsid w:val="0095732F"/>
    <w:rsid w:val="00957332"/>
    <w:rsid w:val="0095739F"/>
    <w:rsid w:val="009573C0"/>
    <w:rsid w:val="00957458"/>
    <w:rsid w:val="009574D5"/>
    <w:rsid w:val="00957780"/>
    <w:rsid w:val="009577D1"/>
    <w:rsid w:val="0095795B"/>
    <w:rsid w:val="009579A1"/>
    <w:rsid w:val="00957A16"/>
    <w:rsid w:val="00957A2B"/>
    <w:rsid w:val="00957C0F"/>
    <w:rsid w:val="00957D40"/>
    <w:rsid w:val="00957D65"/>
    <w:rsid w:val="00957D6B"/>
    <w:rsid w:val="00957D87"/>
    <w:rsid w:val="00957DB7"/>
    <w:rsid w:val="00957DD1"/>
    <w:rsid w:val="00957EC9"/>
    <w:rsid w:val="00957EE2"/>
    <w:rsid w:val="00957EFC"/>
    <w:rsid w:val="00957F3A"/>
    <w:rsid w:val="009600B5"/>
    <w:rsid w:val="0096012A"/>
    <w:rsid w:val="009601C7"/>
    <w:rsid w:val="0096026E"/>
    <w:rsid w:val="009602A9"/>
    <w:rsid w:val="00960470"/>
    <w:rsid w:val="009604CC"/>
    <w:rsid w:val="0096051B"/>
    <w:rsid w:val="009607A8"/>
    <w:rsid w:val="009607B7"/>
    <w:rsid w:val="00960805"/>
    <w:rsid w:val="00960822"/>
    <w:rsid w:val="009608A4"/>
    <w:rsid w:val="009608CE"/>
    <w:rsid w:val="00960976"/>
    <w:rsid w:val="0096099D"/>
    <w:rsid w:val="009609B9"/>
    <w:rsid w:val="00960A7A"/>
    <w:rsid w:val="00960A89"/>
    <w:rsid w:val="00960AAC"/>
    <w:rsid w:val="00960BD0"/>
    <w:rsid w:val="00960D39"/>
    <w:rsid w:val="00960D3B"/>
    <w:rsid w:val="00960D55"/>
    <w:rsid w:val="00960FCC"/>
    <w:rsid w:val="0096107F"/>
    <w:rsid w:val="00961414"/>
    <w:rsid w:val="00961484"/>
    <w:rsid w:val="009614B4"/>
    <w:rsid w:val="009614EB"/>
    <w:rsid w:val="009615B2"/>
    <w:rsid w:val="009616A5"/>
    <w:rsid w:val="009616FE"/>
    <w:rsid w:val="00961710"/>
    <w:rsid w:val="0096179E"/>
    <w:rsid w:val="009617CF"/>
    <w:rsid w:val="00961981"/>
    <w:rsid w:val="00961985"/>
    <w:rsid w:val="009619FE"/>
    <w:rsid w:val="00961AEC"/>
    <w:rsid w:val="00961B2D"/>
    <w:rsid w:val="00961BF1"/>
    <w:rsid w:val="00961C05"/>
    <w:rsid w:val="00961E23"/>
    <w:rsid w:val="00961E46"/>
    <w:rsid w:val="00961E9F"/>
    <w:rsid w:val="00961FC4"/>
    <w:rsid w:val="0096215C"/>
    <w:rsid w:val="00962161"/>
    <w:rsid w:val="00962193"/>
    <w:rsid w:val="00962264"/>
    <w:rsid w:val="00962461"/>
    <w:rsid w:val="009624AF"/>
    <w:rsid w:val="009624F6"/>
    <w:rsid w:val="00962580"/>
    <w:rsid w:val="00962644"/>
    <w:rsid w:val="00962684"/>
    <w:rsid w:val="009626D6"/>
    <w:rsid w:val="00962739"/>
    <w:rsid w:val="0096286F"/>
    <w:rsid w:val="009628E6"/>
    <w:rsid w:val="00962929"/>
    <w:rsid w:val="00962994"/>
    <w:rsid w:val="00962AAB"/>
    <w:rsid w:val="00962AB3"/>
    <w:rsid w:val="00962B14"/>
    <w:rsid w:val="00962B3A"/>
    <w:rsid w:val="00962B75"/>
    <w:rsid w:val="00962D08"/>
    <w:rsid w:val="00962D75"/>
    <w:rsid w:val="00962EE2"/>
    <w:rsid w:val="00962FD2"/>
    <w:rsid w:val="00962FFF"/>
    <w:rsid w:val="0096304E"/>
    <w:rsid w:val="00963289"/>
    <w:rsid w:val="0096328D"/>
    <w:rsid w:val="00963296"/>
    <w:rsid w:val="009632B1"/>
    <w:rsid w:val="009632EC"/>
    <w:rsid w:val="0096335D"/>
    <w:rsid w:val="009633BB"/>
    <w:rsid w:val="009633DA"/>
    <w:rsid w:val="009633F6"/>
    <w:rsid w:val="00963492"/>
    <w:rsid w:val="009634FA"/>
    <w:rsid w:val="0096366D"/>
    <w:rsid w:val="00963741"/>
    <w:rsid w:val="009637CA"/>
    <w:rsid w:val="009637D5"/>
    <w:rsid w:val="00963801"/>
    <w:rsid w:val="00963823"/>
    <w:rsid w:val="00963ABF"/>
    <w:rsid w:val="00963B1F"/>
    <w:rsid w:val="00963B6D"/>
    <w:rsid w:val="00963B9D"/>
    <w:rsid w:val="00963C2A"/>
    <w:rsid w:val="00963DC9"/>
    <w:rsid w:val="00963E0B"/>
    <w:rsid w:val="00963E0C"/>
    <w:rsid w:val="00963E57"/>
    <w:rsid w:val="00963ED3"/>
    <w:rsid w:val="00963EF7"/>
    <w:rsid w:val="00963FED"/>
    <w:rsid w:val="0096416C"/>
    <w:rsid w:val="0096420F"/>
    <w:rsid w:val="009642D1"/>
    <w:rsid w:val="009642DF"/>
    <w:rsid w:val="009643F3"/>
    <w:rsid w:val="00964505"/>
    <w:rsid w:val="0096451E"/>
    <w:rsid w:val="0096454F"/>
    <w:rsid w:val="009645AA"/>
    <w:rsid w:val="00964666"/>
    <w:rsid w:val="0096466D"/>
    <w:rsid w:val="00964994"/>
    <w:rsid w:val="00964A30"/>
    <w:rsid w:val="00964B2F"/>
    <w:rsid w:val="00964B42"/>
    <w:rsid w:val="00964B9C"/>
    <w:rsid w:val="00964BAC"/>
    <w:rsid w:val="00964C3A"/>
    <w:rsid w:val="00964C4E"/>
    <w:rsid w:val="00964C8A"/>
    <w:rsid w:val="00964D05"/>
    <w:rsid w:val="00964D4D"/>
    <w:rsid w:val="00964F07"/>
    <w:rsid w:val="00964F14"/>
    <w:rsid w:val="00964F16"/>
    <w:rsid w:val="00964FD6"/>
    <w:rsid w:val="00965002"/>
    <w:rsid w:val="009650A3"/>
    <w:rsid w:val="009651A5"/>
    <w:rsid w:val="009652DA"/>
    <w:rsid w:val="009652FB"/>
    <w:rsid w:val="0096536C"/>
    <w:rsid w:val="009653EF"/>
    <w:rsid w:val="0096550B"/>
    <w:rsid w:val="00965566"/>
    <w:rsid w:val="00965630"/>
    <w:rsid w:val="009656DC"/>
    <w:rsid w:val="00965740"/>
    <w:rsid w:val="0096575F"/>
    <w:rsid w:val="009657A8"/>
    <w:rsid w:val="0096584D"/>
    <w:rsid w:val="009658ED"/>
    <w:rsid w:val="0096591D"/>
    <w:rsid w:val="00965A17"/>
    <w:rsid w:val="00965A2F"/>
    <w:rsid w:val="00965A55"/>
    <w:rsid w:val="00965A98"/>
    <w:rsid w:val="00965C05"/>
    <w:rsid w:val="00965C81"/>
    <w:rsid w:val="00965D76"/>
    <w:rsid w:val="00965DF9"/>
    <w:rsid w:val="00965E0B"/>
    <w:rsid w:val="00965E3E"/>
    <w:rsid w:val="00965EC2"/>
    <w:rsid w:val="00965F8B"/>
    <w:rsid w:val="00965FA5"/>
    <w:rsid w:val="00966048"/>
    <w:rsid w:val="00966049"/>
    <w:rsid w:val="0096608A"/>
    <w:rsid w:val="00966113"/>
    <w:rsid w:val="0096617E"/>
    <w:rsid w:val="00966279"/>
    <w:rsid w:val="00966297"/>
    <w:rsid w:val="009662A0"/>
    <w:rsid w:val="009662B9"/>
    <w:rsid w:val="009663DB"/>
    <w:rsid w:val="00966400"/>
    <w:rsid w:val="00966488"/>
    <w:rsid w:val="009664F6"/>
    <w:rsid w:val="009665C7"/>
    <w:rsid w:val="0096661A"/>
    <w:rsid w:val="00966741"/>
    <w:rsid w:val="009667DB"/>
    <w:rsid w:val="00966819"/>
    <w:rsid w:val="009668B4"/>
    <w:rsid w:val="0096692F"/>
    <w:rsid w:val="00966930"/>
    <w:rsid w:val="00966BAB"/>
    <w:rsid w:val="00966BCD"/>
    <w:rsid w:val="00966BF6"/>
    <w:rsid w:val="00966C43"/>
    <w:rsid w:val="00966C60"/>
    <w:rsid w:val="00966C69"/>
    <w:rsid w:val="00966C7A"/>
    <w:rsid w:val="00966C93"/>
    <w:rsid w:val="00966C9F"/>
    <w:rsid w:val="00966D5D"/>
    <w:rsid w:val="00966D6B"/>
    <w:rsid w:val="00966E1C"/>
    <w:rsid w:val="00966E5F"/>
    <w:rsid w:val="00966F2F"/>
    <w:rsid w:val="00966FB9"/>
    <w:rsid w:val="0096710C"/>
    <w:rsid w:val="0096714F"/>
    <w:rsid w:val="0096722F"/>
    <w:rsid w:val="00967244"/>
    <w:rsid w:val="00967308"/>
    <w:rsid w:val="0096730D"/>
    <w:rsid w:val="00967313"/>
    <w:rsid w:val="009674E4"/>
    <w:rsid w:val="0096755A"/>
    <w:rsid w:val="009676BB"/>
    <w:rsid w:val="00967715"/>
    <w:rsid w:val="00967750"/>
    <w:rsid w:val="00967756"/>
    <w:rsid w:val="00967A6E"/>
    <w:rsid w:val="00967A82"/>
    <w:rsid w:val="00967A93"/>
    <w:rsid w:val="00967AAD"/>
    <w:rsid w:val="00967B00"/>
    <w:rsid w:val="00967B5E"/>
    <w:rsid w:val="00967BE8"/>
    <w:rsid w:val="00967C2E"/>
    <w:rsid w:val="00967E37"/>
    <w:rsid w:val="00967F02"/>
    <w:rsid w:val="009700AB"/>
    <w:rsid w:val="009701AF"/>
    <w:rsid w:val="00970234"/>
    <w:rsid w:val="00970363"/>
    <w:rsid w:val="0097039C"/>
    <w:rsid w:val="0097043E"/>
    <w:rsid w:val="00970459"/>
    <w:rsid w:val="00970475"/>
    <w:rsid w:val="0097047B"/>
    <w:rsid w:val="009704B1"/>
    <w:rsid w:val="009704F6"/>
    <w:rsid w:val="00970506"/>
    <w:rsid w:val="00970684"/>
    <w:rsid w:val="009706E2"/>
    <w:rsid w:val="00970750"/>
    <w:rsid w:val="00970823"/>
    <w:rsid w:val="00970D42"/>
    <w:rsid w:val="00970D47"/>
    <w:rsid w:val="00970DA7"/>
    <w:rsid w:val="00970DB8"/>
    <w:rsid w:val="00970DCA"/>
    <w:rsid w:val="00970DFA"/>
    <w:rsid w:val="00970E69"/>
    <w:rsid w:val="00970EFE"/>
    <w:rsid w:val="00970F7A"/>
    <w:rsid w:val="00971121"/>
    <w:rsid w:val="009711F1"/>
    <w:rsid w:val="009711F7"/>
    <w:rsid w:val="00971286"/>
    <w:rsid w:val="00971308"/>
    <w:rsid w:val="0097134C"/>
    <w:rsid w:val="00971457"/>
    <w:rsid w:val="0097147F"/>
    <w:rsid w:val="009714B2"/>
    <w:rsid w:val="00971567"/>
    <w:rsid w:val="009715E6"/>
    <w:rsid w:val="009715F0"/>
    <w:rsid w:val="009715FC"/>
    <w:rsid w:val="009716F9"/>
    <w:rsid w:val="009716FF"/>
    <w:rsid w:val="00971767"/>
    <w:rsid w:val="009717F6"/>
    <w:rsid w:val="00971807"/>
    <w:rsid w:val="0097180F"/>
    <w:rsid w:val="009719AD"/>
    <w:rsid w:val="00971AAC"/>
    <w:rsid w:val="00971B74"/>
    <w:rsid w:val="00971B9B"/>
    <w:rsid w:val="00971D7A"/>
    <w:rsid w:val="00971E4F"/>
    <w:rsid w:val="00971EDF"/>
    <w:rsid w:val="00971EFD"/>
    <w:rsid w:val="00971F79"/>
    <w:rsid w:val="00971F86"/>
    <w:rsid w:val="00971FE9"/>
    <w:rsid w:val="00972060"/>
    <w:rsid w:val="009720D3"/>
    <w:rsid w:val="0097212F"/>
    <w:rsid w:val="00972293"/>
    <w:rsid w:val="0097229D"/>
    <w:rsid w:val="00972397"/>
    <w:rsid w:val="00972426"/>
    <w:rsid w:val="0097244E"/>
    <w:rsid w:val="00972461"/>
    <w:rsid w:val="0097255E"/>
    <w:rsid w:val="00972679"/>
    <w:rsid w:val="009726B8"/>
    <w:rsid w:val="009726E2"/>
    <w:rsid w:val="00972771"/>
    <w:rsid w:val="009727E8"/>
    <w:rsid w:val="009729F3"/>
    <w:rsid w:val="00972B51"/>
    <w:rsid w:val="00972B9B"/>
    <w:rsid w:val="00972C1A"/>
    <w:rsid w:val="00972C1E"/>
    <w:rsid w:val="00972C73"/>
    <w:rsid w:val="00972C99"/>
    <w:rsid w:val="00972D46"/>
    <w:rsid w:val="00972D6B"/>
    <w:rsid w:val="00972DED"/>
    <w:rsid w:val="00972DFC"/>
    <w:rsid w:val="00972F41"/>
    <w:rsid w:val="00972FCE"/>
    <w:rsid w:val="009732D5"/>
    <w:rsid w:val="0097336C"/>
    <w:rsid w:val="009733F9"/>
    <w:rsid w:val="009733FB"/>
    <w:rsid w:val="00973492"/>
    <w:rsid w:val="009734C5"/>
    <w:rsid w:val="0097356B"/>
    <w:rsid w:val="00973591"/>
    <w:rsid w:val="00973639"/>
    <w:rsid w:val="0097366B"/>
    <w:rsid w:val="0097375A"/>
    <w:rsid w:val="00973812"/>
    <w:rsid w:val="0097386F"/>
    <w:rsid w:val="009738A4"/>
    <w:rsid w:val="00973910"/>
    <w:rsid w:val="009739A3"/>
    <w:rsid w:val="00973ADF"/>
    <w:rsid w:val="00973AE8"/>
    <w:rsid w:val="00973B48"/>
    <w:rsid w:val="00973C00"/>
    <w:rsid w:val="00973C68"/>
    <w:rsid w:val="00973DC0"/>
    <w:rsid w:val="00973DEC"/>
    <w:rsid w:val="00973E50"/>
    <w:rsid w:val="00973EC1"/>
    <w:rsid w:val="00973F29"/>
    <w:rsid w:val="00973F61"/>
    <w:rsid w:val="00973FE9"/>
    <w:rsid w:val="00974182"/>
    <w:rsid w:val="0097418C"/>
    <w:rsid w:val="0097422E"/>
    <w:rsid w:val="0097423A"/>
    <w:rsid w:val="0097424D"/>
    <w:rsid w:val="0097428E"/>
    <w:rsid w:val="0097437E"/>
    <w:rsid w:val="009743C2"/>
    <w:rsid w:val="00974489"/>
    <w:rsid w:val="009745EB"/>
    <w:rsid w:val="0097465C"/>
    <w:rsid w:val="009748D2"/>
    <w:rsid w:val="00974A9B"/>
    <w:rsid w:val="00974E37"/>
    <w:rsid w:val="00974F71"/>
    <w:rsid w:val="00974F8A"/>
    <w:rsid w:val="00974FC4"/>
    <w:rsid w:val="00974FDC"/>
    <w:rsid w:val="00974FDF"/>
    <w:rsid w:val="0097500B"/>
    <w:rsid w:val="00975010"/>
    <w:rsid w:val="009752C5"/>
    <w:rsid w:val="00975376"/>
    <w:rsid w:val="00975379"/>
    <w:rsid w:val="009753BC"/>
    <w:rsid w:val="009754DF"/>
    <w:rsid w:val="00975594"/>
    <w:rsid w:val="00975658"/>
    <w:rsid w:val="00975694"/>
    <w:rsid w:val="009757FC"/>
    <w:rsid w:val="00975863"/>
    <w:rsid w:val="009758EE"/>
    <w:rsid w:val="00975984"/>
    <w:rsid w:val="009759F5"/>
    <w:rsid w:val="00975A44"/>
    <w:rsid w:val="00975A77"/>
    <w:rsid w:val="00975AC2"/>
    <w:rsid w:val="00975AD8"/>
    <w:rsid w:val="00975BD2"/>
    <w:rsid w:val="00975BF4"/>
    <w:rsid w:val="00975C08"/>
    <w:rsid w:val="00975C83"/>
    <w:rsid w:val="00975D7F"/>
    <w:rsid w:val="00975E25"/>
    <w:rsid w:val="00975E34"/>
    <w:rsid w:val="00975E8E"/>
    <w:rsid w:val="00975E9E"/>
    <w:rsid w:val="00975FDF"/>
    <w:rsid w:val="00976056"/>
    <w:rsid w:val="009760E5"/>
    <w:rsid w:val="0097619E"/>
    <w:rsid w:val="009761B4"/>
    <w:rsid w:val="009762C3"/>
    <w:rsid w:val="009762C8"/>
    <w:rsid w:val="009763FD"/>
    <w:rsid w:val="0097642D"/>
    <w:rsid w:val="009764F2"/>
    <w:rsid w:val="00976546"/>
    <w:rsid w:val="0097656E"/>
    <w:rsid w:val="009765A4"/>
    <w:rsid w:val="00976764"/>
    <w:rsid w:val="00976889"/>
    <w:rsid w:val="0097688B"/>
    <w:rsid w:val="009768D5"/>
    <w:rsid w:val="00976A06"/>
    <w:rsid w:val="00976AC2"/>
    <w:rsid w:val="00976B5E"/>
    <w:rsid w:val="00976BDF"/>
    <w:rsid w:val="00976D5B"/>
    <w:rsid w:val="00976ED7"/>
    <w:rsid w:val="00976F9E"/>
    <w:rsid w:val="00976FC0"/>
    <w:rsid w:val="00976FE5"/>
    <w:rsid w:val="0097707C"/>
    <w:rsid w:val="00977134"/>
    <w:rsid w:val="00977145"/>
    <w:rsid w:val="00977368"/>
    <w:rsid w:val="00977426"/>
    <w:rsid w:val="00977437"/>
    <w:rsid w:val="009774AD"/>
    <w:rsid w:val="0097755E"/>
    <w:rsid w:val="0097770C"/>
    <w:rsid w:val="0097784C"/>
    <w:rsid w:val="009778D1"/>
    <w:rsid w:val="009778F0"/>
    <w:rsid w:val="00977A20"/>
    <w:rsid w:val="00977B63"/>
    <w:rsid w:val="00977BA3"/>
    <w:rsid w:val="00977C79"/>
    <w:rsid w:val="00977CC8"/>
    <w:rsid w:val="00977DCA"/>
    <w:rsid w:val="00977ED3"/>
    <w:rsid w:val="00977F0B"/>
    <w:rsid w:val="00977F2D"/>
    <w:rsid w:val="00977FE1"/>
    <w:rsid w:val="00977FE6"/>
    <w:rsid w:val="00980041"/>
    <w:rsid w:val="00980050"/>
    <w:rsid w:val="009801F8"/>
    <w:rsid w:val="009802BA"/>
    <w:rsid w:val="009803D2"/>
    <w:rsid w:val="00980532"/>
    <w:rsid w:val="00980598"/>
    <w:rsid w:val="009805A5"/>
    <w:rsid w:val="009805B9"/>
    <w:rsid w:val="009805BC"/>
    <w:rsid w:val="009805DE"/>
    <w:rsid w:val="00980702"/>
    <w:rsid w:val="00980770"/>
    <w:rsid w:val="009808A6"/>
    <w:rsid w:val="00980A96"/>
    <w:rsid w:val="00980ADE"/>
    <w:rsid w:val="00980AF5"/>
    <w:rsid w:val="00980B29"/>
    <w:rsid w:val="00980BA9"/>
    <w:rsid w:val="00980BD2"/>
    <w:rsid w:val="00980C00"/>
    <w:rsid w:val="00980C6E"/>
    <w:rsid w:val="00980CB8"/>
    <w:rsid w:val="00980CE0"/>
    <w:rsid w:val="00980E42"/>
    <w:rsid w:val="00980EA5"/>
    <w:rsid w:val="00980F23"/>
    <w:rsid w:val="00980FE9"/>
    <w:rsid w:val="009810C0"/>
    <w:rsid w:val="009811B2"/>
    <w:rsid w:val="009812E2"/>
    <w:rsid w:val="00981377"/>
    <w:rsid w:val="009814C3"/>
    <w:rsid w:val="009814F4"/>
    <w:rsid w:val="0098151C"/>
    <w:rsid w:val="00981740"/>
    <w:rsid w:val="00981755"/>
    <w:rsid w:val="0098180A"/>
    <w:rsid w:val="0098189C"/>
    <w:rsid w:val="009818AF"/>
    <w:rsid w:val="00981913"/>
    <w:rsid w:val="00981942"/>
    <w:rsid w:val="00981A22"/>
    <w:rsid w:val="00981BA1"/>
    <w:rsid w:val="00981BD1"/>
    <w:rsid w:val="00981BE0"/>
    <w:rsid w:val="00981C6C"/>
    <w:rsid w:val="00981CC1"/>
    <w:rsid w:val="00981D0F"/>
    <w:rsid w:val="00981D6D"/>
    <w:rsid w:val="00981E03"/>
    <w:rsid w:val="00981F27"/>
    <w:rsid w:val="00981FC8"/>
    <w:rsid w:val="0098222A"/>
    <w:rsid w:val="009822FF"/>
    <w:rsid w:val="009826D0"/>
    <w:rsid w:val="009826FD"/>
    <w:rsid w:val="0098291D"/>
    <w:rsid w:val="0098295E"/>
    <w:rsid w:val="00982992"/>
    <w:rsid w:val="00982B03"/>
    <w:rsid w:val="00982B43"/>
    <w:rsid w:val="00982B6A"/>
    <w:rsid w:val="00982B71"/>
    <w:rsid w:val="00982C9E"/>
    <w:rsid w:val="00982D94"/>
    <w:rsid w:val="00982DDB"/>
    <w:rsid w:val="00982EB3"/>
    <w:rsid w:val="00982EED"/>
    <w:rsid w:val="009830F5"/>
    <w:rsid w:val="009831D4"/>
    <w:rsid w:val="0098325A"/>
    <w:rsid w:val="009832A1"/>
    <w:rsid w:val="00983414"/>
    <w:rsid w:val="0098350C"/>
    <w:rsid w:val="00983514"/>
    <w:rsid w:val="00983539"/>
    <w:rsid w:val="009835BC"/>
    <w:rsid w:val="009835CD"/>
    <w:rsid w:val="009837A6"/>
    <w:rsid w:val="0098384C"/>
    <w:rsid w:val="009838DB"/>
    <w:rsid w:val="00983967"/>
    <w:rsid w:val="009839F8"/>
    <w:rsid w:val="00983AC7"/>
    <w:rsid w:val="00983BF7"/>
    <w:rsid w:val="00983C91"/>
    <w:rsid w:val="00983D2D"/>
    <w:rsid w:val="00983D3D"/>
    <w:rsid w:val="00983D56"/>
    <w:rsid w:val="00983D64"/>
    <w:rsid w:val="00983DA5"/>
    <w:rsid w:val="00983EB3"/>
    <w:rsid w:val="0098406F"/>
    <w:rsid w:val="0098410E"/>
    <w:rsid w:val="00984175"/>
    <w:rsid w:val="009841A1"/>
    <w:rsid w:val="009841A2"/>
    <w:rsid w:val="009841DA"/>
    <w:rsid w:val="009842C5"/>
    <w:rsid w:val="00984420"/>
    <w:rsid w:val="0098442F"/>
    <w:rsid w:val="0098445A"/>
    <w:rsid w:val="00984478"/>
    <w:rsid w:val="009844FA"/>
    <w:rsid w:val="0098450E"/>
    <w:rsid w:val="00984545"/>
    <w:rsid w:val="009845DC"/>
    <w:rsid w:val="00984687"/>
    <w:rsid w:val="009847AA"/>
    <w:rsid w:val="009849CA"/>
    <w:rsid w:val="00984A2C"/>
    <w:rsid w:val="00984A34"/>
    <w:rsid w:val="00984A78"/>
    <w:rsid w:val="00984AA8"/>
    <w:rsid w:val="00984AF2"/>
    <w:rsid w:val="00984B61"/>
    <w:rsid w:val="00984B9F"/>
    <w:rsid w:val="00984E89"/>
    <w:rsid w:val="00984ED6"/>
    <w:rsid w:val="00984F57"/>
    <w:rsid w:val="00984FBA"/>
    <w:rsid w:val="0098508D"/>
    <w:rsid w:val="0098517B"/>
    <w:rsid w:val="009854B8"/>
    <w:rsid w:val="009857AE"/>
    <w:rsid w:val="009857C2"/>
    <w:rsid w:val="0098592B"/>
    <w:rsid w:val="009859B9"/>
    <w:rsid w:val="00985A5B"/>
    <w:rsid w:val="00985AA9"/>
    <w:rsid w:val="00985C38"/>
    <w:rsid w:val="00985C5A"/>
    <w:rsid w:val="00985C86"/>
    <w:rsid w:val="00985CFB"/>
    <w:rsid w:val="00985D03"/>
    <w:rsid w:val="00985D23"/>
    <w:rsid w:val="00985D54"/>
    <w:rsid w:val="00985DC9"/>
    <w:rsid w:val="00985E95"/>
    <w:rsid w:val="00985EAF"/>
    <w:rsid w:val="00985F3A"/>
    <w:rsid w:val="00985F3B"/>
    <w:rsid w:val="0098606D"/>
    <w:rsid w:val="009861E6"/>
    <w:rsid w:val="009861FE"/>
    <w:rsid w:val="009862AF"/>
    <w:rsid w:val="009862ED"/>
    <w:rsid w:val="00986314"/>
    <w:rsid w:val="0098644D"/>
    <w:rsid w:val="00986497"/>
    <w:rsid w:val="0098649B"/>
    <w:rsid w:val="0098649D"/>
    <w:rsid w:val="0098651F"/>
    <w:rsid w:val="009865A7"/>
    <w:rsid w:val="0098661F"/>
    <w:rsid w:val="009866A3"/>
    <w:rsid w:val="009866B0"/>
    <w:rsid w:val="009866E7"/>
    <w:rsid w:val="009867B9"/>
    <w:rsid w:val="009869B9"/>
    <w:rsid w:val="00986A43"/>
    <w:rsid w:val="00986A56"/>
    <w:rsid w:val="00986B1B"/>
    <w:rsid w:val="00986B47"/>
    <w:rsid w:val="00986B5E"/>
    <w:rsid w:val="00986C6B"/>
    <w:rsid w:val="00986DDA"/>
    <w:rsid w:val="00986E22"/>
    <w:rsid w:val="00986EAC"/>
    <w:rsid w:val="00986ED9"/>
    <w:rsid w:val="00986F85"/>
    <w:rsid w:val="00986F8C"/>
    <w:rsid w:val="00986F9E"/>
    <w:rsid w:val="009871CA"/>
    <w:rsid w:val="009873AD"/>
    <w:rsid w:val="009873D4"/>
    <w:rsid w:val="0098740B"/>
    <w:rsid w:val="0098742B"/>
    <w:rsid w:val="00987462"/>
    <w:rsid w:val="009874C7"/>
    <w:rsid w:val="00987532"/>
    <w:rsid w:val="00987735"/>
    <w:rsid w:val="00987757"/>
    <w:rsid w:val="009877D5"/>
    <w:rsid w:val="00987844"/>
    <w:rsid w:val="00987950"/>
    <w:rsid w:val="009879E4"/>
    <w:rsid w:val="00987A7F"/>
    <w:rsid w:val="00987B7F"/>
    <w:rsid w:val="00987C33"/>
    <w:rsid w:val="00987C9C"/>
    <w:rsid w:val="00987CA2"/>
    <w:rsid w:val="00987CB9"/>
    <w:rsid w:val="00987DA0"/>
    <w:rsid w:val="00987E18"/>
    <w:rsid w:val="00987E91"/>
    <w:rsid w:val="00987ED5"/>
    <w:rsid w:val="00987F95"/>
    <w:rsid w:val="00987FB6"/>
    <w:rsid w:val="00990072"/>
    <w:rsid w:val="009900B0"/>
    <w:rsid w:val="009900C1"/>
    <w:rsid w:val="00990111"/>
    <w:rsid w:val="00990188"/>
    <w:rsid w:val="00990265"/>
    <w:rsid w:val="00990348"/>
    <w:rsid w:val="009903A1"/>
    <w:rsid w:val="00990467"/>
    <w:rsid w:val="009904AA"/>
    <w:rsid w:val="009904B3"/>
    <w:rsid w:val="009905E7"/>
    <w:rsid w:val="00990650"/>
    <w:rsid w:val="009906A9"/>
    <w:rsid w:val="009906DA"/>
    <w:rsid w:val="0099074F"/>
    <w:rsid w:val="00990751"/>
    <w:rsid w:val="00990813"/>
    <w:rsid w:val="00990911"/>
    <w:rsid w:val="009909FA"/>
    <w:rsid w:val="00990A64"/>
    <w:rsid w:val="00990ACF"/>
    <w:rsid w:val="00990B2B"/>
    <w:rsid w:val="00990BE9"/>
    <w:rsid w:val="00990CF1"/>
    <w:rsid w:val="00990D8E"/>
    <w:rsid w:val="00990E18"/>
    <w:rsid w:val="00990F73"/>
    <w:rsid w:val="0099107D"/>
    <w:rsid w:val="009911A7"/>
    <w:rsid w:val="009911B9"/>
    <w:rsid w:val="009911DC"/>
    <w:rsid w:val="00991213"/>
    <w:rsid w:val="00991237"/>
    <w:rsid w:val="0099142A"/>
    <w:rsid w:val="009915AB"/>
    <w:rsid w:val="009916E5"/>
    <w:rsid w:val="00991767"/>
    <w:rsid w:val="00991866"/>
    <w:rsid w:val="00991879"/>
    <w:rsid w:val="0099199D"/>
    <w:rsid w:val="00991A0E"/>
    <w:rsid w:val="00991AAF"/>
    <w:rsid w:val="00991B6F"/>
    <w:rsid w:val="00991B70"/>
    <w:rsid w:val="00991B83"/>
    <w:rsid w:val="00991DB8"/>
    <w:rsid w:val="00991F55"/>
    <w:rsid w:val="00991FE0"/>
    <w:rsid w:val="00991FEF"/>
    <w:rsid w:val="0099214C"/>
    <w:rsid w:val="009921F6"/>
    <w:rsid w:val="00992260"/>
    <w:rsid w:val="0099227F"/>
    <w:rsid w:val="0099229A"/>
    <w:rsid w:val="009922C6"/>
    <w:rsid w:val="009922F1"/>
    <w:rsid w:val="0099232D"/>
    <w:rsid w:val="00992419"/>
    <w:rsid w:val="00992525"/>
    <w:rsid w:val="0099252A"/>
    <w:rsid w:val="00992680"/>
    <w:rsid w:val="00992692"/>
    <w:rsid w:val="00992795"/>
    <w:rsid w:val="009927F7"/>
    <w:rsid w:val="0099283A"/>
    <w:rsid w:val="0099286B"/>
    <w:rsid w:val="00992A2F"/>
    <w:rsid w:val="00992D22"/>
    <w:rsid w:val="00992D54"/>
    <w:rsid w:val="00992D9B"/>
    <w:rsid w:val="00992DA1"/>
    <w:rsid w:val="00992DCB"/>
    <w:rsid w:val="00992E01"/>
    <w:rsid w:val="00992F22"/>
    <w:rsid w:val="00992FAC"/>
    <w:rsid w:val="00992FAD"/>
    <w:rsid w:val="00993058"/>
    <w:rsid w:val="009930C2"/>
    <w:rsid w:val="00993116"/>
    <w:rsid w:val="00993156"/>
    <w:rsid w:val="0099316F"/>
    <w:rsid w:val="00993247"/>
    <w:rsid w:val="00993381"/>
    <w:rsid w:val="009933F6"/>
    <w:rsid w:val="00993427"/>
    <w:rsid w:val="009934E7"/>
    <w:rsid w:val="0099351A"/>
    <w:rsid w:val="00993658"/>
    <w:rsid w:val="00993712"/>
    <w:rsid w:val="0099371D"/>
    <w:rsid w:val="009937D6"/>
    <w:rsid w:val="00993829"/>
    <w:rsid w:val="00993902"/>
    <w:rsid w:val="00993918"/>
    <w:rsid w:val="00993929"/>
    <w:rsid w:val="00993989"/>
    <w:rsid w:val="00993993"/>
    <w:rsid w:val="00993B04"/>
    <w:rsid w:val="00993B49"/>
    <w:rsid w:val="00993BC1"/>
    <w:rsid w:val="00993C7F"/>
    <w:rsid w:val="00993C86"/>
    <w:rsid w:val="00993C9C"/>
    <w:rsid w:val="00993D2B"/>
    <w:rsid w:val="00993E6D"/>
    <w:rsid w:val="00993E8B"/>
    <w:rsid w:val="00993ED6"/>
    <w:rsid w:val="00993F52"/>
    <w:rsid w:val="00993FAC"/>
    <w:rsid w:val="00994073"/>
    <w:rsid w:val="009940E1"/>
    <w:rsid w:val="009943A7"/>
    <w:rsid w:val="00994509"/>
    <w:rsid w:val="00994845"/>
    <w:rsid w:val="00994910"/>
    <w:rsid w:val="00994941"/>
    <w:rsid w:val="009949A6"/>
    <w:rsid w:val="00994AEE"/>
    <w:rsid w:val="00994B4E"/>
    <w:rsid w:val="00994B98"/>
    <w:rsid w:val="00994BA5"/>
    <w:rsid w:val="00994C73"/>
    <w:rsid w:val="00994C87"/>
    <w:rsid w:val="00994EC7"/>
    <w:rsid w:val="00994F53"/>
    <w:rsid w:val="00994F79"/>
    <w:rsid w:val="00994FAB"/>
    <w:rsid w:val="00994FC4"/>
    <w:rsid w:val="00994FFE"/>
    <w:rsid w:val="00995020"/>
    <w:rsid w:val="00995028"/>
    <w:rsid w:val="009950A4"/>
    <w:rsid w:val="00995148"/>
    <w:rsid w:val="00995187"/>
    <w:rsid w:val="0099519D"/>
    <w:rsid w:val="009951E7"/>
    <w:rsid w:val="009951F7"/>
    <w:rsid w:val="009951FD"/>
    <w:rsid w:val="00995241"/>
    <w:rsid w:val="0099528D"/>
    <w:rsid w:val="009952AB"/>
    <w:rsid w:val="0099543A"/>
    <w:rsid w:val="0099545A"/>
    <w:rsid w:val="0099549C"/>
    <w:rsid w:val="009954C9"/>
    <w:rsid w:val="009954D8"/>
    <w:rsid w:val="009955D0"/>
    <w:rsid w:val="0099566C"/>
    <w:rsid w:val="0099580E"/>
    <w:rsid w:val="00995871"/>
    <w:rsid w:val="009959B1"/>
    <w:rsid w:val="009959C6"/>
    <w:rsid w:val="009959F9"/>
    <w:rsid w:val="00995A16"/>
    <w:rsid w:val="00995AAF"/>
    <w:rsid w:val="00995AB2"/>
    <w:rsid w:val="00995AF4"/>
    <w:rsid w:val="00995B3D"/>
    <w:rsid w:val="00995B52"/>
    <w:rsid w:val="00995B82"/>
    <w:rsid w:val="00995B9D"/>
    <w:rsid w:val="00995C0E"/>
    <w:rsid w:val="00995D6D"/>
    <w:rsid w:val="00995E99"/>
    <w:rsid w:val="00995EE6"/>
    <w:rsid w:val="00995F41"/>
    <w:rsid w:val="0099604E"/>
    <w:rsid w:val="009960F4"/>
    <w:rsid w:val="00996348"/>
    <w:rsid w:val="00996360"/>
    <w:rsid w:val="00996396"/>
    <w:rsid w:val="00996434"/>
    <w:rsid w:val="0099644B"/>
    <w:rsid w:val="00996538"/>
    <w:rsid w:val="00996629"/>
    <w:rsid w:val="0099662C"/>
    <w:rsid w:val="00996686"/>
    <w:rsid w:val="0099670B"/>
    <w:rsid w:val="00996794"/>
    <w:rsid w:val="009967BE"/>
    <w:rsid w:val="009967DC"/>
    <w:rsid w:val="00996810"/>
    <w:rsid w:val="009968A8"/>
    <w:rsid w:val="009968AB"/>
    <w:rsid w:val="009968BC"/>
    <w:rsid w:val="009968ED"/>
    <w:rsid w:val="00996AEC"/>
    <w:rsid w:val="00996B00"/>
    <w:rsid w:val="00996E55"/>
    <w:rsid w:val="00996EE0"/>
    <w:rsid w:val="00996EFC"/>
    <w:rsid w:val="00996F00"/>
    <w:rsid w:val="00996FA4"/>
    <w:rsid w:val="00996FC2"/>
    <w:rsid w:val="009970A3"/>
    <w:rsid w:val="009970BE"/>
    <w:rsid w:val="009970C0"/>
    <w:rsid w:val="0099736F"/>
    <w:rsid w:val="00997458"/>
    <w:rsid w:val="009974DE"/>
    <w:rsid w:val="00997542"/>
    <w:rsid w:val="00997551"/>
    <w:rsid w:val="009975B4"/>
    <w:rsid w:val="00997650"/>
    <w:rsid w:val="0099770C"/>
    <w:rsid w:val="0099776E"/>
    <w:rsid w:val="00997780"/>
    <w:rsid w:val="00997914"/>
    <w:rsid w:val="00997B34"/>
    <w:rsid w:val="00997B83"/>
    <w:rsid w:val="00997C21"/>
    <w:rsid w:val="00997CED"/>
    <w:rsid w:val="00997D19"/>
    <w:rsid w:val="00997D37"/>
    <w:rsid w:val="00997D65"/>
    <w:rsid w:val="00997D73"/>
    <w:rsid w:val="00997E69"/>
    <w:rsid w:val="00997EA4"/>
    <w:rsid w:val="009A0043"/>
    <w:rsid w:val="009A006C"/>
    <w:rsid w:val="009A00A7"/>
    <w:rsid w:val="009A00C5"/>
    <w:rsid w:val="009A012D"/>
    <w:rsid w:val="009A02ED"/>
    <w:rsid w:val="009A0350"/>
    <w:rsid w:val="009A03A2"/>
    <w:rsid w:val="009A03E4"/>
    <w:rsid w:val="009A0414"/>
    <w:rsid w:val="009A06AE"/>
    <w:rsid w:val="009A06B6"/>
    <w:rsid w:val="009A06C9"/>
    <w:rsid w:val="009A06D9"/>
    <w:rsid w:val="009A072E"/>
    <w:rsid w:val="009A077C"/>
    <w:rsid w:val="009A0802"/>
    <w:rsid w:val="009A09C8"/>
    <w:rsid w:val="009A0ADB"/>
    <w:rsid w:val="009A0B8A"/>
    <w:rsid w:val="009A0C5C"/>
    <w:rsid w:val="009A0C82"/>
    <w:rsid w:val="009A0D14"/>
    <w:rsid w:val="009A0D5A"/>
    <w:rsid w:val="009A0D63"/>
    <w:rsid w:val="009A0E0B"/>
    <w:rsid w:val="009A0E59"/>
    <w:rsid w:val="009A0E83"/>
    <w:rsid w:val="009A0F7C"/>
    <w:rsid w:val="009A0F7D"/>
    <w:rsid w:val="009A0FB0"/>
    <w:rsid w:val="009A0FD7"/>
    <w:rsid w:val="009A0FF1"/>
    <w:rsid w:val="009A113A"/>
    <w:rsid w:val="009A12D7"/>
    <w:rsid w:val="009A133A"/>
    <w:rsid w:val="009A1388"/>
    <w:rsid w:val="009A1539"/>
    <w:rsid w:val="009A15AB"/>
    <w:rsid w:val="009A16CA"/>
    <w:rsid w:val="009A1726"/>
    <w:rsid w:val="009A17D3"/>
    <w:rsid w:val="009A18A0"/>
    <w:rsid w:val="009A18B2"/>
    <w:rsid w:val="009A191F"/>
    <w:rsid w:val="009A193F"/>
    <w:rsid w:val="009A1990"/>
    <w:rsid w:val="009A19A6"/>
    <w:rsid w:val="009A19B2"/>
    <w:rsid w:val="009A19F1"/>
    <w:rsid w:val="009A1A36"/>
    <w:rsid w:val="009A1ACC"/>
    <w:rsid w:val="009A1AD4"/>
    <w:rsid w:val="009A1BC3"/>
    <w:rsid w:val="009A1C41"/>
    <w:rsid w:val="009A1CF9"/>
    <w:rsid w:val="009A1D82"/>
    <w:rsid w:val="009A1E0E"/>
    <w:rsid w:val="009A1E11"/>
    <w:rsid w:val="009A1E41"/>
    <w:rsid w:val="009A1E91"/>
    <w:rsid w:val="009A1ECB"/>
    <w:rsid w:val="009A1F36"/>
    <w:rsid w:val="009A204D"/>
    <w:rsid w:val="009A20F7"/>
    <w:rsid w:val="009A2123"/>
    <w:rsid w:val="009A2150"/>
    <w:rsid w:val="009A233E"/>
    <w:rsid w:val="009A245E"/>
    <w:rsid w:val="009A2476"/>
    <w:rsid w:val="009A25FF"/>
    <w:rsid w:val="009A26A7"/>
    <w:rsid w:val="009A27B5"/>
    <w:rsid w:val="009A27FA"/>
    <w:rsid w:val="009A2937"/>
    <w:rsid w:val="009A2942"/>
    <w:rsid w:val="009A298F"/>
    <w:rsid w:val="009A2A85"/>
    <w:rsid w:val="009A2B2F"/>
    <w:rsid w:val="009A2B43"/>
    <w:rsid w:val="009A2C29"/>
    <w:rsid w:val="009A2C3E"/>
    <w:rsid w:val="009A2C65"/>
    <w:rsid w:val="009A2CDA"/>
    <w:rsid w:val="009A2CE6"/>
    <w:rsid w:val="009A2D3C"/>
    <w:rsid w:val="009A2D73"/>
    <w:rsid w:val="009A2D91"/>
    <w:rsid w:val="009A2DF7"/>
    <w:rsid w:val="009A2E3B"/>
    <w:rsid w:val="009A2E4F"/>
    <w:rsid w:val="009A2E67"/>
    <w:rsid w:val="009A2EF4"/>
    <w:rsid w:val="009A2FF9"/>
    <w:rsid w:val="009A309D"/>
    <w:rsid w:val="009A309E"/>
    <w:rsid w:val="009A314E"/>
    <w:rsid w:val="009A3151"/>
    <w:rsid w:val="009A31CC"/>
    <w:rsid w:val="009A3344"/>
    <w:rsid w:val="009A34BA"/>
    <w:rsid w:val="009A34F5"/>
    <w:rsid w:val="009A3523"/>
    <w:rsid w:val="009A353C"/>
    <w:rsid w:val="009A35A6"/>
    <w:rsid w:val="009A3668"/>
    <w:rsid w:val="009A375F"/>
    <w:rsid w:val="009A3815"/>
    <w:rsid w:val="009A384C"/>
    <w:rsid w:val="009A38F0"/>
    <w:rsid w:val="009A3A54"/>
    <w:rsid w:val="009A3C3F"/>
    <w:rsid w:val="009A3C5F"/>
    <w:rsid w:val="009A3D38"/>
    <w:rsid w:val="009A3D5B"/>
    <w:rsid w:val="009A3E70"/>
    <w:rsid w:val="009A3EA5"/>
    <w:rsid w:val="009A3F2A"/>
    <w:rsid w:val="009A3F77"/>
    <w:rsid w:val="009A3FCE"/>
    <w:rsid w:val="009A3FF7"/>
    <w:rsid w:val="009A400E"/>
    <w:rsid w:val="009A419D"/>
    <w:rsid w:val="009A41FB"/>
    <w:rsid w:val="009A4216"/>
    <w:rsid w:val="009A4334"/>
    <w:rsid w:val="009A435E"/>
    <w:rsid w:val="009A4360"/>
    <w:rsid w:val="009A437D"/>
    <w:rsid w:val="009A43CB"/>
    <w:rsid w:val="009A440E"/>
    <w:rsid w:val="009A4457"/>
    <w:rsid w:val="009A4466"/>
    <w:rsid w:val="009A44CE"/>
    <w:rsid w:val="009A4551"/>
    <w:rsid w:val="009A4590"/>
    <w:rsid w:val="009A4602"/>
    <w:rsid w:val="009A4613"/>
    <w:rsid w:val="009A462D"/>
    <w:rsid w:val="009A46C7"/>
    <w:rsid w:val="009A4802"/>
    <w:rsid w:val="009A4845"/>
    <w:rsid w:val="009A4A14"/>
    <w:rsid w:val="009A4A66"/>
    <w:rsid w:val="009A4D25"/>
    <w:rsid w:val="009A4D95"/>
    <w:rsid w:val="009A4E1F"/>
    <w:rsid w:val="009A4EF9"/>
    <w:rsid w:val="009A4F9D"/>
    <w:rsid w:val="009A504D"/>
    <w:rsid w:val="009A50C4"/>
    <w:rsid w:val="009A50CB"/>
    <w:rsid w:val="009A513E"/>
    <w:rsid w:val="009A5468"/>
    <w:rsid w:val="009A5476"/>
    <w:rsid w:val="009A54EA"/>
    <w:rsid w:val="009A5673"/>
    <w:rsid w:val="009A56B0"/>
    <w:rsid w:val="009A56D6"/>
    <w:rsid w:val="009A59A4"/>
    <w:rsid w:val="009A5A3E"/>
    <w:rsid w:val="009A5A9C"/>
    <w:rsid w:val="009A5B40"/>
    <w:rsid w:val="009A5B8A"/>
    <w:rsid w:val="009A5B95"/>
    <w:rsid w:val="009A5BE4"/>
    <w:rsid w:val="009A5C36"/>
    <w:rsid w:val="009A5CB3"/>
    <w:rsid w:val="009A5CF6"/>
    <w:rsid w:val="009A5CF7"/>
    <w:rsid w:val="009A5D05"/>
    <w:rsid w:val="009A5D82"/>
    <w:rsid w:val="009A5DC9"/>
    <w:rsid w:val="009A5E56"/>
    <w:rsid w:val="009A5EC4"/>
    <w:rsid w:val="009A5F6A"/>
    <w:rsid w:val="009A6093"/>
    <w:rsid w:val="009A60BF"/>
    <w:rsid w:val="009A62D8"/>
    <w:rsid w:val="009A62DC"/>
    <w:rsid w:val="009A64F9"/>
    <w:rsid w:val="009A65B8"/>
    <w:rsid w:val="009A65D3"/>
    <w:rsid w:val="009A66D3"/>
    <w:rsid w:val="009A66DD"/>
    <w:rsid w:val="009A6714"/>
    <w:rsid w:val="009A67DE"/>
    <w:rsid w:val="009A67EA"/>
    <w:rsid w:val="009A67FC"/>
    <w:rsid w:val="009A69D2"/>
    <w:rsid w:val="009A6B7D"/>
    <w:rsid w:val="009A6B80"/>
    <w:rsid w:val="009A6C19"/>
    <w:rsid w:val="009A6C45"/>
    <w:rsid w:val="009A6C5C"/>
    <w:rsid w:val="009A6CCA"/>
    <w:rsid w:val="009A6E12"/>
    <w:rsid w:val="009A6E78"/>
    <w:rsid w:val="009A6E8B"/>
    <w:rsid w:val="009A6F67"/>
    <w:rsid w:val="009A6F6F"/>
    <w:rsid w:val="009A7030"/>
    <w:rsid w:val="009A7177"/>
    <w:rsid w:val="009A7205"/>
    <w:rsid w:val="009A7273"/>
    <w:rsid w:val="009A730B"/>
    <w:rsid w:val="009A730D"/>
    <w:rsid w:val="009A7312"/>
    <w:rsid w:val="009A7348"/>
    <w:rsid w:val="009A740D"/>
    <w:rsid w:val="009A744C"/>
    <w:rsid w:val="009A7676"/>
    <w:rsid w:val="009A7760"/>
    <w:rsid w:val="009A77C4"/>
    <w:rsid w:val="009A782A"/>
    <w:rsid w:val="009A78ED"/>
    <w:rsid w:val="009A7A2B"/>
    <w:rsid w:val="009A7A37"/>
    <w:rsid w:val="009A7A3B"/>
    <w:rsid w:val="009A7A43"/>
    <w:rsid w:val="009A7A6A"/>
    <w:rsid w:val="009A7A8E"/>
    <w:rsid w:val="009A7C35"/>
    <w:rsid w:val="009A7CCE"/>
    <w:rsid w:val="009A7D6E"/>
    <w:rsid w:val="009A7E6B"/>
    <w:rsid w:val="009A7F4F"/>
    <w:rsid w:val="009B00FA"/>
    <w:rsid w:val="009B0177"/>
    <w:rsid w:val="009B0191"/>
    <w:rsid w:val="009B020F"/>
    <w:rsid w:val="009B025D"/>
    <w:rsid w:val="009B02C1"/>
    <w:rsid w:val="009B02CE"/>
    <w:rsid w:val="009B04AF"/>
    <w:rsid w:val="009B0595"/>
    <w:rsid w:val="009B06F9"/>
    <w:rsid w:val="009B0732"/>
    <w:rsid w:val="009B093F"/>
    <w:rsid w:val="009B0969"/>
    <w:rsid w:val="009B0A4D"/>
    <w:rsid w:val="009B0BD4"/>
    <w:rsid w:val="009B0C08"/>
    <w:rsid w:val="009B0C3F"/>
    <w:rsid w:val="009B0C9D"/>
    <w:rsid w:val="009B0CA1"/>
    <w:rsid w:val="009B0CBB"/>
    <w:rsid w:val="009B0D0E"/>
    <w:rsid w:val="009B0D28"/>
    <w:rsid w:val="009B0EF5"/>
    <w:rsid w:val="009B0F0B"/>
    <w:rsid w:val="009B0F8C"/>
    <w:rsid w:val="009B0FEA"/>
    <w:rsid w:val="009B10F5"/>
    <w:rsid w:val="009B11F5"/>
    <w:rsid w:val="009B122B"/>
    <w:rsid w:val="009B125F"/>
    <w:rsid w:val="009B12CA"/>
    <w:rsid w:val="009B12D9"/>
    <w:rsid w:val="009B12F1"/>
    <w:rsid w:val="009B1310"/>
    <w:rsid w:val="009B1327"/>
    <w:rsid w:val="009B13C0"/>
    <w:rsid w:val="009B1409"/>
    <w:rsid w:val="009B1432"/>
    <w:rsid w:val="009B1569"/>
    <w:rsid w:val="009B1653"/>
    <w:rsid w:val="009B1715"/>
    <w:rsid w:val="009B1928"/>
    <w:rsid w:val="009B199D"/>
    <w:rsid w:val="009B19FA"/>
    <w:rsid w:val="009B1ABC"/>
    <w:rsid w:val="009B1B0D"/>
    <w:rsid w:val="009B1D46"/>
    <w:rsid w:val="009B1E28"/>
    <w:rsid w:val="009B1E60"/>
    <w:rsid w:val="009B1E63"/>
    <w:rsid w:val="009B1F08"/>
    <w:rsid w:val="009B1F6D"/>
    <w:rsid w:val="009B20BE"/>
    <w:rsid w:val="009B2218"/>
    <w:rsid w:val="009B246B"/>
    <w:rsid w:val="009B258E"/>
    <w:rsid w:val="009B25D2"/>
    <w:rsid w:val="009B26DC"/>
    <w:rsid w:val="009B2793"/>
    <w:rsid w:val="009B27AC"/>
    <w:rsid w:val="009B27DE"/>
    <w:rsid w:val="009B28DF"/>
    <w:rsid w:val="009B28E8"/>
    <w:rsid w:val="009B2931"/>
    <w:rsid w:val="009B2A13"/>
    <w:rsid w:val="009B2A41"/>
    <w:rsid w:val="009B2A69"/>
    <w:rsid w:val="009B2ACC"/>
    <w:rsid w:val="009B2AD4"/>
    <w:rsid w:val="009B2B2D"/>
    <w:rsid w:val="009B2CC7"/>
    <w:rsid w:val="009B2DB9"/>
    <w:rsid w:val="009B2DC4"/>
    <w:rsid w:val="009B2E5D"/>
    <w:rsid w:val="009B2E69"/>
    <w:rsid w:val="009B2ECF"/>
    <w:rsid w:val="009B2F2A"/>
    <w:rsid w:val="009B2F51"/>
    <w:rsid w:val="009B2FCF"/>
    <w:rsid w:val="009B3143"/>
    <w:rsid w:val="009B325D"/>
    <w:rsid w:val="009B3284"/>
    <w:rsid w:val="009B33EE"/>
    <w:rsid w:val="009B34E6"/>
    <w:rsid w:val="009B351C"/>
    <w:rsid w:val="009B3592"/>
    <w:rsid w:val="009B3648"/>
    <w:rsid w:val="009B368A"/>
    <w:rsid w:val="009B3708"/>
    <w:rsid w:val="009B3769"/>
    <w:rsid w:val="009B3782"/>
    <w:rsid w:val="009B3816"/>
    <w:rsid w:val="009B38E3"/>
    <w:rsid w:val="009B39C9"/>
    <w:rsid w:val="009B3A75"/>
    <w:rsid w:val="009B3B08"/>
    <w:rsid w:val="009B3E05"/>
    <w:rsid w:val="009B3EBE"/>
    <w:rsid w:val="009B3F12"/>
    <w:rsid w:val="009B3F43"/>
    <w:rsid w:val="009B3FA1"/>
    <w:rsid w:val="009B3FAF"/>
    <w:rsid w:val="009B3FC6"/>
    <w:rsid w:val="009B4096"/>
    <w:rsid w:val="009B4098"/>
    <w:rsid w:val="009B410D"/>
    <w:rsid w:val="009B41B1"/>
    <w:rsid w:val="009B45B6"/>
    <w:rsid w:val="009B469F"/>
    <w:rsid w:val="009B471F"/>
    <w:rsid w:val="009B4A8C"/>
    <w:rsid w:val="009B4AFC"/>
    <w:rsid w:val="009B4C78"/>
    <w:rsid w:val="009B4D30"/>
    <w:rsid w:val="009B4F84"/>
    <w:rsid w:val="009B5119"/>
    <w:rsid w:val="009B51F6"/>
    <w:rsid w:val="009B5214"/>
    <w:rsid w:val="009B5260"/>
    <w:rsid w:val="009B52B0"/>
    <w:rsid w:val="009B5461"/>
    <w:rsid w:val="009B54DD"/>
    <w:rsid w:val="009B55B5"/>
    <w:rsid w:val="009B55C3"/>
    <w:rsid w:val="009B55C5"/>
    <w:rsid w:val="009B57F8"/>
    <w:rsid w:val="009B5839"/>
    <w:rsid w:val="009B598B"/>
    <w:rsid w:val="009B5AF4"/>
    <w:rsid w:val="009B5B33"/>
    <w:rsid w:val="009B5B75"/>
    <w:rsid w:val="009B5BE9"/>
    <w:rsid w:val="009B5C29"/>
    <w:rsid w:val="009B5D28"/>
    <w:rsid w:val="009B5D5E"/>
    <w:rsid w:val="009B5DAD"/>
    <w:rsid w:val="009B5DDE"/>
    <w:rsid w:val="009B5E3D"/>
    <w:rsid w:val="009B5E4C"/>
    <w:rsid w:val="009B5F47"/>
    <w:rsid w:val="009B5F4A"/>
    <w:rsid w:val="009B5F5C"/>
    <w:rsid w:val="009B5F69"/>
    <w:rsid w:val="009B6009"/>
    <w:rsid w:val="009B618C"/>
    <w:rsid w:val="009B61F3"/>
    <w:rsid w:val="009B637B"/>
    <w:rsid w:val="009B6382"/>
    <w:rsid w:val="009B63A8"/>
    <w:rsid w:val="009B6417"/>
    <w:rsid w:val="009B6475"/>
    <w:rsid w:val="009B64C5"/>
    <w:rsid w:val="009B65AE"/>
    <w:rsid w:val="009B65B6"/>
    <w:rsid w:val="009B6616"/>
    <w:rsid w:val="009B673F"/>
    <w:rsid w:val="009B67CA"/>
    <w:rsid w:val="009B6812"/>
    <w:rsid w:val="009B6C3F"/>
    <w:rsid w:val="009B6CC4"/>
    <w:rsid w:val="009B6F63"/>
    <w:rsid w:val="009B6FB6"/>
    <w:rsid w:val="009B6FDA"/>
    <w:rsid w:val="009B7066"/>
    <w:rsid w:val="009B7084"/>
    <w:rsid w:val="009B70AE"/>
    <w:rsid w:val="009B70EA"/>
    <w:rsid w:val="009B72B3"/>
    <w:rsid w:val="009B7382"/>
    <w:rsid w:val="009B7385"/>
    <w:rsid w:val="009B7480"/>
    <w:rsid w:val="009B74B1"/>
    <w:rsid w:val="009B7573"/>
    <w:rsid w:val="009B7580"/>
    <w:rsid w:val="009B75F4"/>
    <w:rsid w:val="009B76B0"/>
    <w:rsid w:val="009B7727"/>
    <w:rsid w:val="009B7764"/>
    <w:rsid w:val="009B779F"/>
    <w:rsid w:val="009B7818"/>
    <w:rsid w:val="009B7832"/>
    <w:rsid w:val="009B7982"/>
    <w:rsid w:val="009B799E"/>
    <w:rsid w:val="009B7A9D"/>
    <w:rsid w:val="009B7AC4"/>
    <w:rsid w:val="009B7AF3"/>
    <w:rsid w:val="009B7AF8"/>
    <w:rsid w:val="009B7B3C"/>
    <w:rsid w:val="009B7B72"/>
    <w:rsid w:val="009B7C0F"/>
    <w:rsid w:val="009B7CCB"/>
    <w:rsid w:val="009B7E91"/>
    <w:rsid w:val="009B7E9C"/>
    <w:rsid w:val="009B7FF5"/>
    <w:rsid w:val="009C0069"/>
    <w:rsid w:val="009C00B3"/>
    <w:rsid w:val="009C00C0"/>
    <w:rsid w:val="009C01D0"/>
    <w:rsid w:val="009C01D8"/>
    <w:rsid w:val="009C023D"/>
    <w:rsid w:val="009C0259"/>
    <w:rsid w:val="009C0351"/>
    <w:rsid w:val="009C03AC"/>
    <w:rsid w:val="009C040F"/>
    <w:rsid w:val="009C047D"/>
    <w:rsid w:val="009C059C"/>
    <w:rsid w:val="009C0661"/>
    <w:rsid w:val="009C08A6"/>
    <w:rsid w:val="009C0937"/>
    <w:rsid w:val="009C0AD7"/>
    <w:rsid w:val="009C0B05"/>
    <w:rsid w:val="009C0B13"/>
    <w:rsid w:val="009C0B3B"/>
    <w:rsid w:val="009C0B4E"/>
    <w:rsid w:val="009C0BA2"/>
    <w:rsid w:val="009C0C12"/>
    <w:rsid w:val="009C0DF3"/>
    <w:rsid w:val="009C0E19"/>
    <w:rsid w:val="009C0E43"/>
    <w:rsid w:val="009C0EC2"/>
    <w:rsid w:val="009C0F13"/>
    <w:rsid w:val="009C0F33"/>
    <w:rsid w:val="009C0FD4"/>
    <w:rsid w:val="009C1038"/>
    <w:rsid w:val="009C11F1"/>
    <w:rsid w:val="009C12AA"/>
    <w:rsid w:val="009C12E0"/>
    <w:rsid w:val="009C131E"/>
    <w:rsid w:val="009C1449"/>
    <w:rsid w:val="009C14A6"/>
    <w:rsid w:val="009C14FF"/>
    <w:rsid w:val="009C1508"/>
    <w:rsid w:val="009C1558"/>
    <w:rsid w:val="009C155F"/>
    <w:rsid w:val="009C15D1"/>
    <w:rsid w:val="009C15DA"/>
    <w:rsid w:val="009C1646"/>
    <w:rsid w:val="009C1791"/>
    <w:rsid w:val="009C18B0"/>
    <w:rsid w:val="009C18C6"/>
    <w:rsid w:val="009C18CE"/>
    <w:rsid w:val="009C1955"/>
    <w:rsid w:val="009C19EF"/>
    <w:rsid w:val="009C1ADC"/>
    <w:rsid w:val="009C1C81"/>
    <w:rsid w:val="009C1CA1"/>
    <w:rsid w:val="009C1CC6"/>
    <w:rsid w:val="009C1CD6"/>
    <w:rsid w:val="009C1DC8"/>
    <w:rsid w:val="009C1E04"/>
    <w:rsid w:val="009C1E9C"/>
    <w:rsid w:val="009C1F8C"/>
    <w:rsid w:val="009C1F9F"/>
    <w:rsid w:val="009C21DA"/>
    <w:rsid w:val="009C223D"/>
    <w:rsid w:val="009C22FD"/>
    <w:rsid w:val="009C230B"/>
    <w:rsid w:val="009C2392"/>
    <w:rsid w:val="009C23C4"/>
    <w:rsid w:val="009C245F"/>
    <w:rsid w:val="009C24E1"/>
    <w:rsid w:val="009C254F"/>
    <w:rsid w:val="009C257C"/>
    <w:rsid w:val="009C25A7"/>
    <w:rsid w:val="009C2604"/>
    <w:rsid w:val="009C260E"/>
    <w:rsid w:val="009C2707"/>
    <w:rsid w:val="009C2735"/>
    <w:rsid w:val="009C2839"/>
    <w:rsid w:val="009C294B"/>
    <w:rsid w:val="009C29F4"/>
    <w:rsid w:val="009C2AAB"/>
    <w:rsid w:val="009C2B11"/>
    <w:rsid w:val="009C2B5D"/>
    <w:rsid w:val="009C2B72"/>
    <w:rsid w:val="009C2B84"/>
    <w:rsid w:val="009C2B8E"/>
    <w:rsid w:val="009C2D55"/>
    <w:rsid w:val="009C2DEE"/>
    <w:rsid w:val="009C302D"/>
    <w:rsid w:val="009C30F5"/>
    <w:rsid w:val="009C3168"/>
    <w:rsid w:val="009C3275"/>
    <w:rsid w:val="009C335F"/>
    <w:rsid w:val="009C348C"/>
    <w:rsid w:val="009C34AA"/>
    <w:rsid w:val="009C3587"/>
    <w:rsid w:val="009C35DE"/>
    <w:rsid w:val="009C364B"/>
    <w:rsid w:val="009C3659"/>
    <w:rsid w:val="009C3669"/>
    <w:rsid w:val="009C3677"/>
    <w:rsid w:val="009C3687"/>
    <w:rsid w:val="009C3699"/>
    <w:rsid w:val="009C391A"/>
    <w:rsid w:val="009C399E"/>
    <w:rsid w:val="009C3A84"/>
    <w:rsid w:val="009C3AAB"/>
    <w:rsid w:val="009C3C2E"/>
    <w:rsid w:val="009C3CFC"/>
    <w:rsid w:val="009C3D71"/>
    <w:rsid w:val="009C3D8A"/>
    <w:rsid w:val="009C3F81"/>
    <w:rsid w:val="009C4009"/>
    <w:rsid w:val="009C4053"/>
    <w:rsid w:val="009C40B4"/>
    <w:rsid w:val="009C40D0"/>
    <w:rsid w:val="009C40F6"/>
    <w:rsid w:val="009C4221"/>
    <w:rsid w:val="009C427B"/>
    <w:rsid w:val="009C441B"/>
    <w:rsid w:val="009C44D9"/>
    <w:rsid w:val="009C4561"/>
    <w:rsid w:val="009C458A"/>
    <w:rsid w:val="009C45CC"/>
    <w:rsid w:val="009C4653"/>
    <w:rsid w:val="009C468A"/>
    <w:rsid w:val="009C46C0"/>
    <w:rsid w:val="009C4707"/>
    <w:rsid w:val="009C475C"/>
    <w:rsid w:val="009C47A6"/>
    <w:rsid w:val="009C47A7"/>
    <w:rsid w:val="009C4829"/>
    <w:rsid w:val="009C4A71"/>
    <w:rsid w:val="009C4BC3"/>
    <w:rsid w:val="009C4E3F"/>
    <w:rsid w:val="009C4EA7"/>
    <w:rsid w:val="009C4F36"/>
    <w:rsid w:val="009C4FFE"/>
    <w:rsid w:val="009C50B2"/>
    <w:rsid w:val="009C526D"/>
    <w:rsid w:val="009C552E"/>
    <w:rsid w:val="009C55BC"/>
    <w:rsid w:val="009C5681"/>
    <w:rsid w:val="009C56BF"/>
    <w:rsid w:val="009C56E2"/>
    <w:rsid w:val="009C574B"/>
    <w:rsid w:val="009C585E"/>
    <w:rsid w:val="009C5A13"/>
    <w:rsid w:val="009C5B74"/>
    <w:rsid w:val="009C5C8C"/>
    <w:rsid w:val="009C5C95"/>
    <w:rsid w:val="009C5D8F"/>
    <w:rsid w:val="009C5DCB"/>
    <w:rsid w:val="009C5DDE"/>
    <w:rsid w:val="009C5E5C"/>
    <w:rsid w:val="009C5E72"/>
    <w:rsid w:val="009C6057"/>
    <w:rsid w:val="009C60D4"/>
    <w:rsid w:val="009C6183"/>
    <w:rsid w:val="009C61D8"/>
    <w:rsid w:val="009C625C"/>
    <w:rsid w:val="009C62DC"/>
    <w:rsid w:val="009C62F6"/>
    <w:rsid w:val="009C649F"/>
    <w:rsid w:val="009C652B"/>
    <w:rsid w:val="009C65A4"/>
    <w:rsid w:val="009C66D0"/>
    <w:rsid w:val="009C673F"/>
    <w:rsid w:val="009C678E"/>
    <w:rsid w:val="009C6856"/>
    <w:rsid w:val="009C6D23"/>
    <w:rsid w:val="009C6D91"/>
    <w:rsid w:val="009C6E65"/>
    <w:rsid w:val="009C6EF7"/>
    <w:rsid w:val="009C6F42"/>
    <w:rsid w:val="009C6F70"/>
    <w:rsid w:val="009C6FA8"/>
    <w:rsid w:val="009C70C2"/>
    <w:rsid w:val="009C70F8"/>
    <w:rsid w:val="009C71EF"/>
    <w:rsid w:val="009C731C"/>
    <w:rsid w:val="009C7374"/>
    <w:rsid w:val="009C73CF"/>
    <w:rsid w:val="009C7402"/>
    <w:rsid w:val="009C753C"/>
    <w:rsid w:val="009C7588"/>
    <w:rsid w:val="009C7650"/>
    <w:rsid w:val="009C7692"/>
    <w:rsid w:val="009C76F6"/>
    <w:rsid w:val="009C777C"/>
    <w:rsid w:val="009C7820"/>
    <w:rsid w:val="009C7973"/>
    <w:rsid w:val="009C7A04"/>
    <w:rsid w:val="009C7A14"/>
    <w:rsid w:val="009C7B46"/>
    <w:rsid w:val="009C7C68"/>
    <w:rsid w:val="009C7CEE"/>
    <w:rsid w:val="009C7D3E"/>
    <w:rsid w:val="009C7DFD"/>
    <w:rsid w:val="009C7E10"/>
    <w:rsid w:val="009C7E53"/>
    <w:rsid w:val="009C7F3A"/>
    <w:rsid w:val="009C7F4B"/>
    <w:rsid w:val="009C7F6F"/>
    <w:rsid w:val="009D0004"/>
    <w:rsid w:val="009D00F5"/>
    <w:rsid w:val="009D016D"/>
    <w:rsid w:val="009D0199"/>
    <w:rsid w:val="009D01AC"/>
    <w:rsid w:val="009D01DA"/>
    <w:rsid w:val="009D0233"/>
    <w:rsid w:val="009D0248"/>
    <w:rsid w:val="009D036C"/>
    <w:rsid w:val="009D047C"/>
    <w:rsid w:val="009D0531"/>
    <w:rsid w:val="009D054D"/>
    <w:rsid w:val="009D060E"/>
    <w:rsid w:val="009D0634"/>
    <w:rsid w:val="009D06D2"/>
    <w:rsid w:val="009D0764"/>
    <w:rsid w:val="009D07B6"/>
    <w:rsid w:val="009D087C"/>
    <w:rsid w:val="009D08A5"/>
    <w:rsid w:val="009D0975"/>
    <w:rsid w:val="009D09B4"/>
    <w:rsid w:val="009D09CB"/>
    <w:rsid w:val="009D09DF"/>
    <w:rsid w:val="009D0C2D"/>
    <w:rsid w:val="009D0C6D"/>
    <w:rsid w:val="009D0C89"/>
    <w:rsid w:val="009D0D37"/>
    <w:rsid w:val="009D0EB2"/>
    <w:rsid w:val="009D0F06"/>
    <w:rsid w:val="009D0F92"/>
    <w:rsid w:val="009D0FA1"/>
    <w:rsid w:val="009D0FDD"/>
    <w:rsid w:val="009D1189"/>
    <w:rsid w:val="009D1286"/>
    <w:rsid w:val="009D1288"/>
    <w:rsid w:val="009D12C6"/>
    <w:rsid w:val="009D1436"/>
    <w:rsid w:val="009D14EA"/>
    <w:rsid w:val="009D1531"/>
    <w:rsid w:val="009D15BE"/>
    <w:rsid w:val="009D164C"/>
    <w:rsid w:val="009D1670"/>
    <w:rsid w:val="009D179F"/>
    <w:rsid w:val="009D1999"/>
    <w:rsid w:val="009D19FC"/>
    <w:rsid w:val="009D1AE5"/>
    <w:rsid w:val="009D1C05"/>
    <w:rsid w:val="009D1C36"/>
    <w:rsid w:val="009D1C49"/>
    <w:rsid w:val="009D1C7E"/>
    <w:rsid w:val="009D1CDF"/>
    <w:rsid w:val="009D1D90"/>
    <w:rsid w:val="009D1E18"/>
    <w:rsid w:val="009D1F34"/>
    <w:rsid w:val="009D1F6F"/>
    <w:rsid w:val="009D1FA3"/>
    <w:rsid w:val="009D20DA"/>
    <w:rsid w:val="009D21C0"/>
    <w:rsid w:val="009D2322"/>
    <w:rsid w:val="009D234A"/>
    <w:rsid w:val="009D23C3"/>
    <w:rsid w:val="009D240F"/>
    <w:rsid w:val="009D2435"/>
    <w:rsid w:val="009D2568"/>
    <w:rsid w:val="009D25C7"/>
    <w:rsid w:val="009D25E8"/>
    <w:rsid w:val="009D2629"/>
    <w:rsid w:val="009D26D2"/>
    <w:rsid w:val="009D274C"/>
    <w:rsid w:val="009D27C6"/>
    <w:rsid w:val="009D27CA"/>
    <w:rsid w:val="009D28EC"/>
    <w:rsid w:val="009D2A55"/>
    <w:rsid w:val="009D2B11"/>
    <w:rsid w:val="009D2C1C"/>
    <w:rsid w:val="009D2C43"/>
    <w:rsid w:val="009D2CA5"/>
    <w:rsid w:val="009D2D5C"/>
    <w:rsid w:val="009D2DD5"/>
    <w:rsid w:val="009D2EA4"/>
    <w:rsid w:val="009D2FD1"/>
    <w:rsid w:val="009D319D"/>
    <w:rsid w:val="009D3286"/>
    <w:rsid w:val="009D32BC"/>
    <w:rsid w:val="009D32FF"/>
    <w:rsid w:val="009D3315"/>
    <w:rsid w:val="009D3365"/>
    <w:rsid w:val="009D3512"/>
    <w:rsid w:val="009D3519"/>
    <w:rsid w:val="009D3523"/>
    <w:rsid w:val="009D3529"/>
    <w:rsid w:val="009D3636"/>
    <w:rsid w:val="009D368B"/>
    <w:rsid w:val="009D3691"/>
    <w:rsid w:val="009D3A15"/>
    <w:rsid w:val="009D3A5C"/>
    <w:rsid w:val="009D3AC2"/>
    <w:rsid w:val="009D3B41"/>
    <w:rsid w:val="009D3B5F"/>
    <w:rsid w:val="009D3B62"/>
    <w:rsid w:val="009D3BC6"/>
    <w:rsid w:val="009D3C9B"/>
    <w:rsid w:val="009D3D52"/>
    <w:rsid w:val="009D3D9F"/>
    <w:rsid w:val="009D3EA3"/>
    <w:rsid w:val="009D3F13"/>
    <w:rsid w:val="009D3F1E"/>
    <w:rsid w:val="009D3F46"/>
    <w:rsid w:val="009D3FC0"/>
    <w:rsid w:val="009D4014"/>
    <w:rsid w:val="009D4096"/>
    <w:rsid w:val="009D42C0"/>
    <w:rsid w:val="009D42FA"/>
    <w:rsid w:val="009D433E"/>
    <w:rsid w:val="009D43A6"/>
    <w:rsid w:val="009D43EE"/>
    <w:rsid w:val="009D43FC"/>
    <w:rsid w:val="009D4460"/>
    <w:rsid w:val="009D4512"/>
    <w:rsid w:val="009D4516"/>
    <w:rsid w:val="009D47F2"/>
    <w:rsid w:val="009D48D8"/>
    <w:rsid w:val="009D4941"/>
    <w:rsid w:val="009D4947"/>
    <w:rsid w:val="009D4AAB"/>
    <w:rsid w:val="009D4B51"/>
    <w:rsid w:val="009D4CA1"/>
    <w:rsid w:val="009D4D44"/>
    <w:rsid w:val="009D4F27"/>
    <w:rsid w:val="009D4F28"/>
    <w:rsid w:val="009D4F5A"/>
    <w:rsid w:val="009D4FE4"/>
    <w:rsid w:val="009D4FEF"/>
    <w:rsid w:val="009D4FF4"/>
    <w:rsid w:val="009D5034"/>
    <w:rsid w:val="009D50F4"/>
    <w:rsid w:val="009D5116"/>
    <w:rsid w:val="009D52E9"/>
    <w:rsid w:val="009D5301"/>
    <w:rsid w:val="009D5432"/>
    <w:rsid w:val="009D5503"/>
    <w:rsid w:val="009D5541"/>
    <w:rsid w:val="009D5652"/>
    <w:rsid w:val="009D5724"/>
    <w:rsid w:val="009D580F"/>
    <w:rsid w:val="009D5AFA"/>
    <w:rsid w:val="009D5B42"/>
    <w:rsid w:val="009D5B72"/>
    <w:rsid w:val="009D5D71"/>
    <w:rsid w:val="009D5D85"/>
    <w:rsid w:val="009D5E39"/>
    <w:rsid w:val="009D5E5F"/>
    <w:rsid w:val="009D6001"/>
    <w:rsid w:val="009D60FC"/>
    <w:rsid w:val="009D612D"/>
    <w:rsid w:val="009D6139"/>
    <w:rsid w:val="009D6192"/>
    <w:rsid w:val="009D61A8"/>
    <w:rsid w:val="009D6303"/>
    <w:rsid w:val="009D6385"/>
    <w:rsid w:val="009D63F3"/>
    <w:rsid w:val="009D649C"/>
    <w:rsid w:val="009D6558"/>
    <w:rsid w:val="009D6602"/>
    <w:rsid w:val="009D690D"/>
    <w:rsid w:val="009D6948"/>
    <w:rsid w:val="009D69A4"/>
    <w:rsid w:val="009D6A88"/>
    <w:rsid w:val="009D6AD4"/>
    <w:rsid w:val="009D6B68"/>
    <w:rsid w:val="009D6B8C"/>
    <w:rsid w:val="009D6C20"/>
    <w:rsid w:val="009D6C65"/>
    <w:rsid w:val="009D6CCA"/>
    <w:rsid w:val="009D6E2F"/>
    <w:rsid w:val="009D6F43"/>
    <w:rsid w:val="009D6F75"/>
    <w:rsid w:val="009D705B"/>
    <w:rsid w:val="009D7079"/>
    <w:rsid w:val="009D71DC"/>
    <w:rsid w:val="009D733A"/>
    <w:rsid w:val="009D7372"/>
    <w:rsid w:val="009D737A"/>
    <w:rsid w:val="009D7387"/>
    <w:rsid w:val="009D73AE"/>
    <w:rsid w:val="009D73EC"/>
    <w:rsid w:val="009D7465"/>
    <w:rsid w:val="009D7541"/>
    <w:rsid w:val="009D763B"/>
    <w:rsid w:val="009D766A"/>
    <w:rsid w:val="009D76A3"/>
    <w:rsid w:val="009D76B3"/>
    <w:rsid w:val="009D76B8"/>
    <w:rsid w:val="009D76BE"/>
    <w:rsid w:val="009D7775"/>
    <w:rsid w:val="009D7782"/>
    <w:rsid w:val="009D78BA"/>
    <w:rsid w:val="009D7983"/>
    <w:rsid w:val="009D7A0E"/>
    <w:rsid w:val="009D7A12"/>
    <w:rsid w:val="009D7A35"/>
    <w:rsid w:val="009D7A4D"/>
    <w:rsid w:val="009D7AB3"/>
    <w:rsid w:val="009D7C84"/>
    <w:rsid w:val="009D7C8B"/>
    <w:rsid w:val="009D7CAC"/>
    <w:rsid w:val="009D7EAD"/>
    <w:rsid w:val="009D7F37"/>
    <w:rsid w:val="009E0023"/>
    <w:rsid w:val="009E0105"/>
    <w:rsid w:val="009E01C7"/>
    <w:rsid w:val="009E01D1"/>
    <w:rsid w:val="009E0271"/>
    <w:rsid w:val="009E035B"/>
    <w:rsid w:val="009E0439"/>
    <w:rsid w:val="009E0445"/>
    <w:rsid w:val="009E049F"/>
    <w:rsid w:val="009E04D0"/>
    <w:rsid w:val="009E04EB"/>
    <w:rsid w:val="009E0600"/>
    <w:rsid w:val="009E071A"/>
    <w:rsid w:val="009E076A"/>
    <w:rsid w:val="009E0847"/>
    <w:rsid w:val="009E0945"/>
    <w:rsid w:val="009E0B2F"/>
    <w:rsid w:val="009E0B37"/>
    <w:rsid w:val="009E0D39"/>
    <w:rsid w:val="009E0EA8"/>
    <w:rsid w:val="009E0F0A"/>
    <w:rsid w:val="009E0F8F"/>
    <w:rsid w:val="009E0FCC"/>
    <w:rsid w:val="009E10AB"/>
    <w:rsid w:val="009E10B9"/>
    <w:rsid w:val="009E1180"/>
    <w:rsid w:val="009E120C"/>
    <w:rsid w:val="009E124C"/>
    <w:rsid w:val="009E128E"/>
    <w:rsid w:val="009E12A7"/>
    <w:rsid w:val="009E130B"/>
    <w:rsid w:val="009E1384"/>
    <w:rsid w:val="009E1386"/>
    <w:rsid w:val="009E1451"/>
    <w:rsid w:val="009E14BD"/>
    <w:rsid w:val="009E15E6"/>
    <w:rsid w:val="009E16DF"/>
    <w:rsid w:val="009E175F"/>
    <w:rsid w:val="009E1789"/>
    <w:rsid w:val="009E1791"/>
    <w:rsid w:val="009E179E"/>
    <w:rsid w:val="009E17E8"/>
    <w:rsid w:val="009E18FC"/>
    <w:rsid w:val="009E191F"/>
    <w:rsid w:val="009E19AA"/>
    <w:rsid w:val="009E1ACD"/>
    <w:rsid w:val="009E1B15"/>
    <w:rsid w:val="009E1B50"/>
    <w:rsid w:val="009E1C08"/>
    <w:rsid w:val="009E1C32"/>
    <w:rsid w:val="009E1C66"/>
    <w:rsid w:val="009E1C68"/>
    <w:rsid w:val="009E1CFE"/>
    <w:rsid w:val="009E1D3E"/>
    <w:rsid w:val="009E1E2A"/>
    <w:rsid w:val="009E1E7A"/>
    <w:rsid w:val="009E1EFD"/>
    <w:rsid w:val="009E1FF9"/>
    <w:rsid w:val="009E2076"/>
    <w:rsid w:val="009E208B"/>
    <w:rsid w:val="009E20C4"/>
    <w:rsid w:val="009E20DE"/>
    <w:rsid w:val="009E21A0"/>
    <w:rsid w:val="009E21F2"/>
    <w:rsid w:val="009E221F"/>
    <w:rsid w:val="009E235F"/>
    <w:rsid w:val="009E24C8"/>
    <w:rsid w:val="009E251E"/>
    <w:rsid w:val="009E25A2"/>
    <w:rsid w:val="009E25CB"/>
    <w:rsid w:val="009E25D5"/>
    <w:rsid w:val="009E2617"/>
    <w:rsid w:val="009E2688"/>
    <w:rsid w:val="009E2736"/>
    <w:rsid w:val="009E27FE"/>
    <w:rsid w:val="009E2846"/>
    <w:rsid w:val="009E286B"/>
    <w:rsid w:val="009E28C8"/>
    <w:rsid w:val="009E2925"/>
    <w:rsid w:val="009E29C1"/>
    <w:rsid w:val="009E2A41"/>
    <w:rsid w:val="009E2B63"/>
    <w:rsid w:val="009E2C3E"/>
    <w:rsid w:val="009E2DB6"/>
    <w:rsid w:val="009E2F19"/>
    <w:rsid w:val="009E30C1"/>
    <w:rsid w:val="009E30C7"/>
    <w:rsid w:val="009E3115"/>
    <w:rsid w:val="009E31FE"/>
    <w:rsid w:val="009E321A"/>
    <w:rsid w:val="009E32F1"/>
    <w:rsid w:val="009E33A4"/>
    <w:rsid w:val="009E33B7"/>
    <w:rsid w:val="009E3478"/>
    <w:rsid w:val="009E353C"/>
    <w:rsid w:val="009E3782"/>
    <w:rsid w:val="009E3824"/>
    <w:rsid w:val="009E3971"/>
    <w:rsid w:val="009E39C5"/>
    <w:rsid w:val="009E39DC"/>
    <w:rsid w:val="009E3BC5"/>
    <w:rsid w:val="009E3CD3"/>
    <w:rsid w:val="009E3D39"/>
    <w:rsid w:val="009E3DD5"/>
    <w:rsid w:val="009E3E9C"/>
    <w:rsid w:val="009E3E9D"/>
    <w:rsid w:val="009E3ED1"/>
    <w:rsid w:val="009E3EEA"/>
    <w:rsid w:val="009E3F51"/>
    <w:rsid w:val="009E3F5D"/>
    <w:rsid w:val="009E3F8F"/>
    <w:rsid w:val="009E40F9"/>
    <w:rsid w:val="009E410C"/>
    <w:rsid w:val="009E414B"/>
    <w:rsid w:val="009E4370"/>
    <w:rsid w:val="009E43EB"/>
    <w:rsid w:val="009E4422"/>
    <w:rsid w:val="009E44E2"/>
    <w:rsid w:val="009E4519"/>
    <w:rsid w:val="009E454B"/>
    <w:rsid w:val="009E4574"/>
    <w:rsid w:val="009E4613"/>
    <w:rsid w:val="009E4635"/>
    <w:rsid w:val="009E464C"/>
    <w:rsid w:val="009E4811"/>
    <w:rsid w:val="009E48C6"/>
    <w:rsid w:val="009E48F0"/>
    <w:rsid w:val="009E4923"/>
    <w:rsid w:val="009E496D"/>
    <w:rsid w:val="009E4975"/>
    <w:rsid w:val="009E4A05"/>
    <w:rsid w:val="009E4A39"/>
    <w:rsid w:val="009E4A75"/>
    <w:rsid w:val="009E4AAE"/>
    <w:rsid w:val="009E4B52"/>
    <w:rsid w:val="009E4C43"/>
    <w:rsid w:val="009E4D51"/>
    <w:rsid w:val="009E4D9E"/>
    <w:rsid w:val="009E4DA6"/>
    <w:rsid w:val="009E4E06"/>
    <w:rsid w:val="009E4F45"/>
    <w:rsid w:val="009E4FDF"/>
    <w:rsid w:val="009E4FEE"/>
    <w:rsid w:val="009E5054"/>
    <w:rsid w:val="009E5093"/>
    <w:rsid w:val="009E512E"/>
    <w:rsid w:val="009E5242"/>
    <w:rsid w:val="009E524A"/>
    <w:rsid w:val="009E52F3"/>
    <w:rsid w:val="009E5433"/>
    <w:rsid w:val="009E55D0"/>
    <w:rsid w:val="009E566F"/>
    <w:rsid w:val="009E5716"/>
    <w:rsid w:val="009E5791"/>
    <w:rsid w:val="009E583E"/>
    <w:rsid w:val="009E596B"/>
    <w:rsid w:val="009E59BA"/>
    <w:rsid w:val="009E59DC"/>
    <w:rsid w:val="009E5A21"/>
    <w:rsid w:val="009E5A74"/>
    <w:rsid w:val="009E5A99"/>
    <w:rsid w:val="009E5B35"/>
    <w:rsid w:val="009E5CAC"/>
    <w:rsid w:val="009E5CCA"/>
    <w:rsid w:val="009E5D64"/>
    <w:rsid w:val="009E5DAC"/>
    <w:rsid w:val="009E5DDF"/>
    <w:rsid w:val="009E5E22"/>
    <w:rsid w:val="009E5E6B"/>
    <w:rsid w:val="009E5EC4"/>
    <w:rsid w:val="009E5F67"/>
    <w:rsid w:val="009E61BC"/>
    <w:rsid w:val="009E6220"/>
    <w:rsid w:val="009E62A9"/>
    <w:rsid w:val="009E6380"/>
    <w:rsid w:val="009E641A"/>
    <w:rsid w:val="009E6448"/>
    <w:rsid w:val="009E660B"/>
    <w:rsid w:val="009E691B"/>
    <w:rsid w:val="009E6928"/>
    <w:rsid w:val="009E69D1"/>
    <w:rsid w:val="009E6A79"/>
    <w:rsid w:val="009E6A91"/>
    <w:rsid w:val="009E6B31"/>
    <w:rsid w:val="009E6BBF"/>
    <w:rsid w:val="009E6DD0"/>
    <w:rsid w:val="009E6DFE"/>
    <w:rsid w:val="009E6E09"/>
    <w:rsid w:val="009E6E17"/>
    <w:rsid w:val="009E6E43"/>
    <w:rsid w:val="009E6E75"/>
    <w:rsid w:val="009E6E9F"/>
    <w:rsid w:val="009E6EBE"/>
    <w:rsid w:val="009E7001"/>
    <w:rsid w:val="009E705D"/>
    <w:rsid w:val="009E706D"/>
    <w:rsid w:val="009E70D1"/>
    <w:rsid w:val="009E7234"/>
    <w:rsid w:val="009E72BF"/>
    <w:rsid w:val="009E7342"/>
    <w:rsid w:val="009E739D"/>
    <w:rsid w:val="009E73ED"/>
    <w:rsid w:val="009E75B4"/>
    <w:rsid w:val="009E7960"/>
    <w:rsid w:val="009E7A07"/>
    <w:rsid w:val="009E7AF8"/>
    <w:rsid w:val="009E7B19"/>
    <w:rsid w:val="009E7B57"/>
    <w:rsid w:val="009E7C60"/>
    <w:rsid w:val="009E7DB3"/>
    <w:rsid w:val="009E7E33"/>
    <w:rsid w:val="009E7ECD"/>
    <w:rsid w:val="009E7F15"/>
    <w:rsid w:val="009F000E"/>
    <w:rsid w:val="009F0054"/>
    <w:rsid w:val="009F0060"/>
    <w:rsid w:val="009F0153"/>
    <w:rsid w:val="009F018D"/>
    <w:rsid w:val="009F01B1"/>
    <w:rsid w:val="009F028D"/>
    <w:rsid w:val="009F0364"/>
    <w:rsid w:val="009F0376"/>
    <w:rsid w:val="009F03E9"/>
    <w:rsid w:val="009F03F7"/>
    <w:rsid w:val="009F0497"/>
    <w:rsid w:val="009F049B"/>
    <w:rsid w:val="009F0568"/>
    <w:rsid w:val="009F0642"/>
    <w:rsid w:val="009F0662"/>
    <w:rsid w:val="009F0668"/>
    <w:rsid w:val="009F0692"/>
    <w:rsid w:val="009F06FC"/>
    <w:rsid w:val="009F0700"/>
    <w:rsid w:val="009F073B"/>
    <w:rsid w:val="009F073D"/>
    <w:rsid w:val="009F082B"/>
    <w:rsid w:val="009F08E7"/>
    <w:rsid w:val="009F0909"/>
    <w:rsid w:val="009F0AD9"/>
    <w:rsid w:val="009F0BEF"/>
    <w:rsid w:val="009F0D45"/>
    <w:rsid w:val="009F0E1A"/>
    <w:rsid w:val="009F0E24"/>
    <w:rsid w:val="009F0E3F"/>
    <w:rsid w:val="009F0EEE"/>
    <w:rsid w:val="009F0EFD"/>
    <w:rsid w:val="009F1017"/>
    <w:rsid w:val="009F10E0"/>
    <w:rsid w:val="009F12CD"/>
    <w:rsid w:val="009F138D"/>
    <w:rsid w:val="009F15DD"/>
    <w:rsid w:val="009F16DF"/>
    <w:rsid w:val="009F174C"/>
    <w:rsid w:val="009F180B"/>
    <w:rsid w:val="009F18FB"/>
    <w:rsid w:val="009F1A4A"/>
    <w:rsid w:val="009F1B3A"/>
    <w:rsid w:val="009F1B62"/>
    <w:rsid w:val="009F1C03"/>
    <w:rsid w:val="009F1CC9"/>
    <w:rsid w:val="009F1D2A"/>
    <w:rsid w:val="009F1DB8"/>
    <w:rsid w:val="009F1E2F"/>
    <w:rsid w:val="009F1E7F"/>
    <w:rsid w:val="009F1EB5"/>
    <w:rsid w:val="009F1F01"/>
    <w:rsid w:val="009F1FDA"/>
    <w:rsid w:val="009F2027"/>
    <w:rsid w:val="009F2109"/>
    <w:rsid w:val="009F2206"/>
    <w:rsid w:val="009F22A4"/>
    <w:rsid w:val="009F2368"/>
    <w:rsid w:val="009F23BA"/>
    <w:rsid w:val="009F23FB"/>
    <w:rsid w:val="009F241B"/>
    <w:rsid w:val="009F2433"/>
    <w:rsid w:val="009F24F3"/>
    <w:rsid w:val="009F25BA"/>
    <w:rsid w:val="009F2623"/>
    <w:rsid w:val="009F278A"/>
    <w:rsid w:val="009F28B9"/>
    <w:rsid w:val="009F2A99"/>
    <w:rsid w:val="009F2B5A"/>
    <w:rsid w:val="009F2B66"/>
    <w:rsid w:val="009F2BA1"/>
    <w:rsid w:val="009F2BA4"/>
    <w:rsid w:val="009F2D55"/>
    <w:rsid w:val="009F2DCB"/>
    <w:rsid w:val="009F2E8A"/>
    <w:rsid w:val="009F2E8B"/>
    <w:rsid w:val="009F2F2C"/>
    <w:rsid w:val="009F2F5B"/>
    <w:rsid w:val="009F2FEE"/>
    <w:rsid w:val="009F305E"/>
    <w:rsid w:val="009F306F"/>
    <w:rsid w:val="009F30AE"/>
    <w:rsid w:val="009F3102"/>
    <w:rsid w:val="009F3150"/>
    <w:rsid w:val="009F31A1"/>
    <w:rsid w:val="009F332B"/>
    <w:rsid w:val="009F3380"/>
    <w:rsid w:val="009F3460"/>
    <w:rsid w:val="009F356E"/>
    <w:rsid w:val="009F371C"/>
    <w:rsid w:val="009F3777"/>
    <w:rsid w:val="009F37F6"/>
    <w:rsid w:val="009F3859"/>
    <w:rsid w:val="009F3888"/>
    <w:rsid w:val="009F3891"/>
    <w:rsid w:val="009F38AD"/>
    <w:rsid w:val="009F3916"/>
    <w:rsid w:val="009F39B0"/>
    <w:rsid w:val="009F3A4F"/>
    <w:rsid w:val="009F3DE4"/>
    <w:rsid w:val="009F3ED3"/>
    <w:rsid w:val="009F3FF6"/>
    <w:rsid w:val="009F404D"/>
    <w:rsid w:val="009F408B"/>
    <w:rsid w:val="009F40A0"/>
    <w:rsid w:val="009F40D7"/>
    <w:rsid w:val="009F4129"/>
    <w:rsid w:val="009F412D"/>
    <w:rsid w:val="009F4157"/>
    <w:rsid w:val="009F419B"/>
    <w:rsid w:val="009F41B4"/>
    <w:rsid w:val="009F4223"/>
    <w:rsid w:val="009F4268"/>
    <w:rsid w:val="009F4273"/>
    <w:rsid w:val="009F42A7"/>
    <w:rsid w:val="009F4345"/>
    <w:rsid w:val="009F4400"/>
    <w:rsid w:val="009F442B"/>
    <w:rsid w:val="009F44BA"/>
    <w:rsid w:val="009F4528"/>
    <w:rsid w:val="009F4563"/>
    <w:rsid w:val="009F4598"/>
    <w:rsid w:val="009F4728"/>
    <w:rsid w:val="009F4732"/>
    <w:rsid w:val="009F47F1"/>
    <w:rsid w:val="009F4806"/>
    <w:rsid w:val="009F481A"/>
    <w:rsid w:val="009F4928"/>
    <w:rsid w:val="009F4987"/>
    <w:rsid w:val="009F4AE7"/>
    <w:rsid w:val="009F4CB0"/>
    <w:rsid w:val="009F4DB1"/>
    <w:rsid w:val="009F4E4F"/>
    <w:rsid w:val="009F4E53"/>
    <w:rsid w:val="009F4F4A"/>
    <w:rsid w:val="009F4FC5"/>
    <w:rsid w:val="009F51DB"/>
    <w:rsid w:val="009F52F4"/>
    <w:rsid w:val="009F53AC"/>
    <w:rsid w:val="009F57A4"/>
    <w:rsid w:val="009F58A6"/>
    <w:rsid w:val="009F59A3"/>
    <w:rsid w:val="009F5A4F"/>
    <w:rsid w:val="009F5A91"/>
    <w:rsid w:val="009F5A99"/>
    <w:rsid w:val="009F5B54"/>
    <w:rsid w:val="009F5BB7"/>
    <w:rsid w:val="009F5BF6"/>
    <w:rsid w:val="009F5C3B"/>
    <w:rsid w:val="009F5CC3"/>
    <w:rsid w:val="009F5DCB"/>
    <w:rsid w:val="009F5E55"/>
    <w:rsid w:val="009F5EAA"/>
    <w:rsid w:val="009F5EB2"/>
    <w:rsid w:val="009F5F5D"/>
    <w:rsid w:val="009F5F9F"/>
    <w:rsid w:val="009F5FC6"/>
    <w:rsid w:val="009F5FCA"/>
    <w:rsid w:val="009F5FDB"/>
    <w:rsid w:val="009F6088"/>
    <w:rsid w:val="009F60A9"/>
    <w:rsid w:val="009F60D5"/>
    <w:rsid w:val="009F60E5"/>
    <w:rsid w:val="009F613F"/>
    <w:rsid w:val="009F625B"/>
    <w:rsid w:val="009F630D"/>
    <w:rsid w:val="009F6356"/>
    <w:rsid w:val="009F6367"/>
    <w:rsid w:val="009F63A3"/>
    <w:rsid w:val="009F6428"/>
    <w:rsid w:val="009F643F"/>
    <w:rsid w:val="009F66C9"/>
    <w:rsid w:val="009F6840"/>
    <w:rsid w:val="009F6918"/>
    <w:rsid w:val="009F6A14"/>
    <w:rsid w:val="009F6A82"/>
    <w:rsid w:val="009F6BC8"/>
    <w:rsid w:val="009F6BF4"/>
    <w:rsid w:val="009F6BFA"/>
    <w:rsid w:val="009F6C67"/>
    <w:rsid w:val="009F6CFF"/>
    <w:rsid w:val="009F6D17"/>
    <w:rsid w:val="009F6D6F"/>
    <w:rsid w:val="009F6DCA"/>
    <w:rsid w:val="009F6E27"/>
    <w:rsid w:val="009F6E40"/>
    <w:rsid w:val="009F6F62"/>
    <w:rsid w:val="009F6F6B"/>
    <w:rsid w:val="009F705F"/>
    <w:rsid w:val="009F7091"/>
    <w:rsid w:val="009F70DA"/>
    <w:rsid w:val="009F7230"/>
    <w:rsid w:val="009F736E"/>
    <w:rsid w:val="009F7391"/>
    <w:rsid w:val="009F73D4"/>
    <w:rsid w:val="009F743E"/>
    <w:rsid w:val="009F748C"/>
    <w:rsid w:val="009F74E5"/>
    <w:rsid w:val="009F7657"/>
    <w:rsid w:val="009F77C9"/>
    <w:rsid w:val="009F7838"/>
    <w:rsid w:val="009F783F"/>
    <w:rsid w:val="009F7856"/>
    <w:rsid w:val="009F78D0"/>
    <w:rsid w:val="009F7991"/>
    <w:rsid w:val="009F7ADA"/>
    <w:rsid w:val="009F7B89"/>
    <w:rsid w:val="009F7C23"/>
    <w:rsid w:val="009F7E0D"/>
    <w:rsid w:val="009F7E2F"/>
    <w:rsid w:val="009F7E9C"/>
    <w:rsid w:val="009F7F6C"/>
    <w:rsid w:val="009F7FA1"/>
    <w:rsid w:val="00A001A7"/>
    <w:rsid w:val="00A0054E"/>
    <w:rsid w:val="00A0058E"/>
    <w:rsid w:val="00A00593"/>
    <w:rsid w:val="00A0062A"/>
    <w:rsid w:val="00A00802"/>
    <w:rsid w:val="00A0087E"/>
    <w:rsid w:val="00A008B7"/>
    <w:rsid w:val="00A00931"/>
    <w:rsid w:val="00A00A8F"/>
    <w:rsid w:val="00A00B2B"/>
    <w:rsid w:val="00A00B62"/>
    <w:rsid w:val="00A00C70"/>
    <w:rsid w:val="00A00CF9"/>
    <w:rsid w:val="00A00D21"/>
    <w:rsid w:val="00A00D55"/>
    <w:rsid w:val="00A00D7F"/>
    <w:rsid w:val="00A00DE7"/>
    <w:rsid w:val="00A00EAA"/>
    <w:rsid w:val="00A00F55"/>
    <w:rsid w:val="00A00FBF"/>
    <w:rsid w:val="00A00FEF"/>
    <w:rsid w:val="00A01034"/>
    <w:rsid w:val="00A01139"/>
    <w:rsid w:val="00A0114E"/>
    <w:rsid w:val="00A01187"/>
    <w:rsid w:val="00A01272"/>
    <w:rsid w:val="00A012A7"/>
    <w:rsid w:val="00A012F0"/>
    <w:rsid w:val="00A01360"/>
    <w:rsid w:val="00A0156A"/>
    <w:rsid w:val="00A01654"/>
    <w:rsid w:val="00A016CB"/>
    <w:rsid w:val="00A016F2"/>
    <w:rsid w:val="00A01778"/>
    <w:rsid w:val="00A0178C"/>
    <w:rsid w:val="00A0189D"/>
    <w:rsid w:val="00A01902"/>
    <w:rsid w:val="00A01A33"/>
    <w:rsid w:val="00A01A36"/>
    <w:rsid w:val="00A01BCD"/>
    <w:rsid w:val="00A01C8B"/>
    <w:rsid w:val="00A01CF2"/>
    <w:rsid w:val="00A01D1C"/>
    <w:rsid w:val="00A01D25"/>
    <w:rsid w:val="00A01FD8"/>
    <w:rsid w:val="00A0212C"/>
    <w:rsid w:val="00A02199"/>
    <w:rsid w:val="00A021D5"/>
    <w:rsid w:val="00A02257"/>
    <w:rsid w:val="00A022E4"/>
    <w:rsid w:val="00A023BD"/>
    <w:rsid w:val="00A0240D"/>
    <w:rsid w:val="00A02537"/>
    <w:rsid w:val="00A02640"/>
    <w:rsid w:val="00A02648"/>
    <w:rsid w:val="00A02700"/>
    <w:rsid w:val="00A027A1"/>
    <w:rsid w:val="00A02903"/>
    <w:rsid w:val="00A02968"/>
    <w:rsid w:val="00A0297D"/>
    <w:rsid w:val="00A029D1"/>
    <w:rsid w:val="00A02A1A"/>
    <w:rsid w:val="00A02A83"/>
    <w:rsid w:val="00A02AD7"/>
    <w:rsid w:val="00A02BD4"/>
    <w:rsid w:val="00A02C97"/>
    <w:rsid w:val="00A02D80"/>
    <w:rsid w:val="00A02E4B"/>
    <w:rsid w:val="00A02EB9"/>
    <w:rsid w:val="00A03045"/>
    <w:rsid w:val="00A0305D"/>
    <w:rsid w:val="00A0312F"/>
    <w:rsid w:val="00A032F9"/>
    <w:rsid w:val="00A03327"/>
    <w:rsid w:val="00A03331"/>
    <w:rsid w:val="00A03389"/>
    <w:rsid w:val="00A033D2"/>
    <w:rsid w:val="00A03418"/>
    <w:rsid w:val="00A0358D"/>
    <w:rsid w:val="00A035E9"/>
    <w:rsid w:val="00A036AB"/>
    <w:rsid w:val="00A037A1"/>
    <w:rsid w:val="00A037A7"/>
    <w:rsid w:val="00A03862"/>
    <w:rsid w:val="00A03892"/>
    <w:rsid w:val="00A03944"/>
    <w:rsid w:val="00A0394D"/>
    <w:rsid w:val="00A03CBF"/>
    <w:rsid w:val="00A03CF6"/>
    <w:rsid w:val="00A03D6F"/>
    <w:rsid w:val="00A03EEB"/>
    <w:rsid w:val="00A03F43"/>
    <w:rsid w:val="00A03F97"/>
    <w:rsid w:val="00A0418B"/>
    <w:rsid w:val="00A04239"/>
    <w:rsid w:val="00A04294"/>
    <w:rsid w:val="00A042E0"/>
    <w:rsid w:val="00A0430E"/>
    <w:rsid w:val="00A0456A"/>
    <w:rsid w:val="00A045FE"/>
    <w:rsid w:val="00A046C7"/>
    <w:rsid w:val="00A04725"/>
    <w:rsid w:val="00A047A1"/>
    <w:rsid w:val="00A047C4"/>
    <w:rsid w:val="00A048CA"/>
    <w:rsid w:val="00A048DD"/>
    <w:rsid w:val="00A0496E"/>
    <w:rsid w:val="00A04AFE"/>
    <w:rsid w:val="00A04BB9"/>
    <w:rsid w:val="00A04C90"/>
    <w:rsid w:val="00A04CBD"/>
    <w:rsid w:val="00A04CE7"/>
    <w:rsid w:val="00A04E40"/>
    <w:rsid w:val="00A04E95"/>
    <w:rsid w:val="00A04F11"/>
    <w:rsid w:val="00A0509A"/>
    <w:rsid w:val="00A05275"/>
    <w:rsid w:val="00A054F8"/>
    <w:rsid w:val="00A05524"/>
    <w:rsid w:val="00A05537"/>
    <w:rsid w:val="00A0567A"/>
    <w:rsid w:val="00A0577B"/>
    <w:rsid w:val="00A05903"/>
    <w:rsid w:val="00A0597B"/>
    <w:rsid w:val="00A05A6F"/>
    <w:rsid w:val="00A05AE3"/>
    <w:rsid w:val="00A05B18"/>
    <w:rsid w:val="00A05BC4"/>
    <w:rsid w:val="00A05CBF"/>
    <w:rsid w:val="00A05D08"/>
    <w:rsid w:val="00A05DB9"/>
    <w:rsid w:val="00A05E2D"/>
    <w:rsid w:val="00A05EF6"/>
    <w:rsid w:val="00A06069"/>
    <w:rsid w:val="00A0630A"/>
    <w:rsid w:val="00A06339"/>
    <w:rsid w:val="00A063ED"/>
    <w:rsid w:val="00A0645D"/>
    <w:rsid w:val="00A06545"/>
    <w:rsid w:val="00A06653"/>
    <w:rsid w:val="00A066A6"/>
    <w:rsid w:val="00A066A7"/>
    <w:rsid w:val="00A067CE"/>
    <w:rsid w:val="00A067DA"/>
    <w:rsid w:val="00A067E6"/>
    <w:rsid w:val="00A068AD"/>
    <w:rsid w:val="00A06A8E"/>
    <w:rsid w:val="00A06AF6"/>
    <w:rsid w:val="00A06BCA"/>
    <w:rsid w:val="00A06BD0"/>
    <w:rsid w:val="00A06CB9"/>
    <w:rsid w:val="00A06CC3"/>
    <w:rsid w:val="00A06CD8"/>
    <w:rsid w:val="00A06D75"/>
    <w:rsid w:val="00A06EB1"/>
    <w:rsid w:val="00A06ED6"/>
    <w:rsid w:val="00A0700B"/>
    <w:rsid w:val="00A07035"/>
    <w:rsid w:val="00A070A7"/>
    <w:rsid w:val="00A071B0"/>
    <w:rsid w:val="00A071C7"/>
    <w:rsid w:val="00A0722E"/>
    <w:rsid w:val="00A07288"/>
    <w:rsid w:val="00A07293"/>
    <w:rsid w:val="00A07339"/>
    <w:rsid w:val="00A0738C"/>
    <w:rsid w:val="00A073C2"/>
    <w:rsid w:val="00A074B0"/>
    <w:rsid w:val="00A074F2"/>
    <w:rsid w:val="00A07508"/>
    <w:rsid w:val="00A07521"/>
    <w:rsid w:val="00A07522"/>
    <w:rsid w:val="00A07624"/>
    <w:rsid w:val="00A0767D"/>
    <w:rsid w:val="00A07770"/>
    <w:rsid w:val="00A07836"/>
    <w:rsid w:val="00A07973"/>
    <w:rsid w:val="00A07982"/>
    <w:rsid w:val="00A07A0E"/>
    <w:rsid w:val="00A07A51"/>
    <w:rsid w:val="00A07A70"/>
    <w:rsid w:val="00A07BE4"/>
    <w:rsid w:val="00A07BF0"/>
    <w:rsid w:val="00A07CE8"/>
    <w:rsid w:val="00A07D45"/>
    <w:rsid w:val="00A07DA7"/>
    <w:rsid w:val="00A07DFB"/>
    <w:rsid w:val="00A07E72"/>
    <w:rsid w:val="00A07F77"/>
    <w:rsid w:val="00A100D4"/>
    <w:rsid w:val="00A10138"/>
    <w:rsid w:val="00A1019A"/>
    <w:rsid w:val="00A10267"/>
    <w:rsid w:val="00A102C4"/>
    <w:rsid w:val="00A10418"/>
    <w:rsid w:val="00A1049D"/>
    <w:rsid w:val="00A1052B"/>
    <w:rsid w:val="00A10585"/>
    <w:rsid w:val="00A105A9"/>
    <w:rsid w:val="00A10650"/>
    <w:rsid w:val="00A10676"/>
    <w:rsid w:val="00A1082B"/>
    <w:rsid w:val="00A108EA"/>
    <w:rsid w:val="00A10984"/>
    <w:rsid w:val="00A109F4"/>
    <w:rsid w:val="00A10B38"/>
    <w:rsid w:val="00A10B39"/>
    <w:rsid w:val="00A10BB0"/>
    <w:rsid w:val="00A10C5C"/>
    <w:rsid w:val="00A10C90"/>
    <w:rsid w:val="00A10CB1"/>
    <w:rsid w:val="00A10D3D"/>
    <w:rsid w:val="00A10D41"/>
    <w:rsid w:val="00A10D79"/>
    <w:rsid w:val="00A10E8F"/>
    <w:rsid w:val="00A10F31"/>
    <w:rsid w:val="00A10FB9"/>
    <w:rsid w:val="00A1112A"/>
    <w:rsid w:val="00A11269"/>
    <w:rsid w:val="00A11347"/>
    <w:rsid w:val="00A1152D"/>
    <w:rsid w:val="00A11598"/>
    <w:rsid w:val="00A11676"/>
    <w:rsid w:val="00A116E6"/>
    <w:rsid w:val="00A11738"/>
    <w:rsid w:val="00A1179C"/>
    <w:rsid w:val="00A117C3"/>
    <w:rsid w:val="00A11827"/>
    <w:rsid w:val="00A119CE"/>
    <w:rsid w:val="00A11AC4"/>
    <w:rsid w:val="00A11B11"/>
    <w:rsid w:val="00A11B5D"/>
    <w:rsid w:val="00A11BE8"/>
    <w:rsid w:val="00A11CEE"/>
    <w:rsid w:val="00A11DD9"/>
    <w:rsid w:val="00A11DF3"/>
    <w:rsid w:val="00A11EA8"/>
    <w:rsid w:val="00A11FED"/>
    <w:rsid w:val="00A120FC"/>
    <w:rsid w:val="00A12107"/>
    <w:rsid w:val="00A121A6"/>
    <w:rsid w:val="00A121C0"/>
    <w:rsid w:val="00A1222F"/>
    <w:rsid w:val="00A12250"/>
    <w:rsid w:val="00A122A9"/>
    <w:rsid w:val="00A122FF"/>
    <w:rsid w:val="00A1247A"/>
    <w:rsid w:val="00A124BC"/>
    <w:rsid w:val="00A1254D"/>
    <w:rsid w:val="00A12558"/>
    <w:rsid w:val="00A12580"/>
    <w:rsid w:val="00A125D3"/>
    <w:rsid w:val="00A126C0"/>
    <w:rsid w:val="00A126C7"/>
    <w:rsid w:val="00A12704"/>
    <w:rsid w:val="00A12788"/>
    <w:rsid w:val="00A127D7"/>
    <w:rsid w:val="00A128FC"/>
    <w:rsid w:val="00A12910"/>
    <w:rsid w:val="00A12925"/>
    <w:rsid w:val="00A1299D"/>
    <w:rsid w:val="00A129AE"/>
    <w:rsid w:val="00A129B0"/>
    <w:rsid w:val="00A12A38"/>
    <w:rsid w:val="00A12AF7"/>
    <w:rsid w:val="00A12B1A"/>
    <w:rsid w:val="00A12C2E"/>
    <w:rsid w:val="00A12C95"/>
    <w:rsid w:val="00A12CDE"/>
    <w:rsid w:val="00A12CE3"/>
    <w:rsid w:val="00A12DDE"/>
    <w:rsid w:val="00A12EB0"/>
    <w:rsid w:val="00A12EB1"/>
    <w:rsid w:val="00A12F74"/>
    <w:rsid w:val="00A130EC"/>
    <w:rsid w:val="00A1315D"/>
    <w:rsid w:val="00A13201"/>
    <w:rsid w:val="00A132DC"/>
    <w:rsid w:val="00A132FD"/>
    <w:rsid w:val="00A13315"/>
    <w:rsid w:val="00A1331C"/>
    <w:rsid w:val="00A134AE"/>
    <w:rsid w:val="00A13522"/>
    <w:rsid w:val="00A13534"/>
    <w:rsid w:val="00A13587"/>
    <w:rsid w:val="00A13604"/>
    <w:rsid w:val="00A136FD"/>
    <w:rsid w:val="00A1370E"/>
    <w:rsid w:val="00A13717"/>
    <w:rsid w:val="00A137E6"/>
    <w:rsid w:val="00A13829"/>
    <w:rsid w:val="00A13848"/>
    <w:rsid w:val="00A13947"/>
    <w:rsid w:val="00A1394E"/>
    <w:rsid w:val="00A13992"/>
    <w:rsid w:val="00A139E0"/>
    <w:rsid w:val="00A13A62"/>
    <w:rsid w:val="00A13B27"/>
    <w:rsid w:val="00A13F81"/>
    <w:rsid w:val="00A14135"/>
    <w:rsid w:val="00A14197"/>
    <w:rsid w:val="00A141D1"/>
    <w:rsid w:val="00A141FB"/>
    <w:rsid w:val="00A14211"/>
    <w:rsid w:val="00A143B5"/>
    <w:rsid w:val="00A143DA"/>
    <w:rsid w:val="00A143DD"/>
    <w:rsid w:val="00A143E5"/>
    <w:rsid w:val="00A14542"/>
    <w:rsid w:val="00A145AF"/>
    <w:rsid w:val="00A14651"/>
    <w:rsid w:val="00A146D5"/>
    <w:rsid w:val="00A1473B"/>
    <w:rsid w:val="00A14755"/>
    <w:rsid w:val="00A147A1"/>
    <w:rsid w:val="00A147CC"/>
    <w:rsid w:val="00A1495E"/>
    <w:rsid w:val="00A14B8F"/>
    <w:rsid w:val="00A14BB0"/>
    <w:rsid w:val="00A14C54"/>
    <w:rsid w:val="00A14C8D"/>
    <w:rsid w:val="00A14C8F"/>
    <w:rsid w:val="00A14DAD"/>
    <w:rsid w:val="00A14EE7"/>
    <w:rsid w:val="00A15099"/>
    <w:rsid w:val="00A15149"/>
    <w:rsid w:val="00A152B3"/>
    <w:rsid w:val="00A1535F"/>
    <w:rsid w:val="00A153C7"/>
    <w:rsid w:val="00A156C9"/>
    <w:rsid w:val="00A15765"/>
    <w:rsid w:val="00A1581B"/>
    <w:rsid w:val="00A1584C"/>
    <w:rsid w:val="00A15862"/>
    <w:rsid w:val="00A158BD"/>
    <w:rsid w:val="00A158F9"/>
    <w:rsid w:val="00A15959"/>
    <w:rsid w:val="00A15A7A"/>
    <w:rsid w:val="00A15A9A"/>
    <w:rsid w:val="00A15BDC"/>
    <w:rsid w:val="00A15C68"/>
    <w:rsid w:val="00A15D10"/>
    <w:rsid w:val="00A15ED6"/>
    <w:rsid w:val="00A15F3E"/>
    <w:rsid w:val="00A15FB6"/>
    <w:rsid w:val="00A15FCE"/>
    <w:rsid w:val="00A15FD2"/>
    <w:rsid w:val="00A1601E"/>
    <w:rsid w:val="00A16251"/>
    <w:rsid w:val="00A16277"/>
    <w:rsid w:val="00A163F5"/>
    <w:rsid w:val="00A16413"/>
    <w:rsid w:val="00A164A3"/>
    <w:rsid w:val="00A164B7"/>
    <w:rsid w:val="00A164E5"/>
    <w:rsid w:val="00A165F8"/>
    <w:rsid w:val="00A16642"/>
    <w:rsid w:val="00A1664D"/>
    <w:rsid w:val="00A166D1"/>
    <w:rsid w:val="00A166E0"/>
    <w:rsid w:val="00A168AC"/>
    <w:rsid w:val="00A169A1"/>
    <w:rsid w:val="00A169F7"/>
    <w:rsid w:val="00A16A1A"/>
    <w:rsid w:val="00A16A34"/>
    <w:rsid w:val="00A16AFB"/>
    <w:rsid w:val="00A16B22"/>
    <w:rsid w:val="00A16B53"/>
    <w:rsid w:val="00A16BB2"/>
    <w:rsid w:val="00A16C8C"/>
    <w:rsid w:val="00A16D64"/>
    <w:rsid w:val="00A16D88"/>
    <w:rsid w:val="00A16E50"/>
    <w:rsid w:val="00A16E7B"/>
    <w:rsid w:val="00A16EC7"/>
    <w:rsid w:val="00A1701E"/>
    <w:rsid w:val="00A17074"/>
    <w:rsid w:val="00A170C5"/>
    <w:rsid w:val="00A17207"/>
    <w:rsid w:val="00A17259"/>
    <w:rsid w:val="00A172B8"/>
    <w:rsid w:val="00A172C8"/>
    <w:rsid w:val="00A172EA"/>
    <w:rsid w:val="00A17715"/>
    <w:rsid w:val="00A177C6"/>
    <w:rsid w:val="00A177D6"/>
    <w:rsid w:val="00A177DF"/>
    <w:rsid w:val="00A17847"/>
    <w:rsid w:val="00A178FD"/>
    <w:rsid w:val="00A1796E"/>
    <w:rsid w:val="00A17A26"/>
    <w:rsid w:val="00A17A4A"/>
    <w:rsid w:val="00A17A6B"/>
    <w:rsid w:val="00A17A96"/>
    <w:rsid w:val="00A17AED"/>
    <w:rsid w:val="00A17BD7"/>
    <w:rsid w:val="00A17D25"/>
    <w:rsid w:val="00A17D35"/>
    <w:rsid w:val="00A17D85"/>
    <w:rsid w:val="00A17DFE"/>
    <w:rsid w:val="00A17E32"/>
    <w:rsid w:val="00A17E55"/>
    <w:rsid w:val="00A17F3C"/>
    <w:rsid w:val="00A17F7F"/>
    <w:rsid w:val="00A20086"/>
    <w:rsid w:val="00A2008D"/>
    <w:rsid w:val="00A2020E"/>
    <w:rsid w:val="00A20217"/>
    <w:rsid w:val="00A20330"/>
    <w:rsid w:val="00A2036E"/>
    <w:rsid w:val="00A203AF"/>
    <w:rsid w:val="00A20506"/>
    <w:rsid w:val="00A206C1"/>
    <w:rsid w:val="00A20960"/>
    <w:rsid w:val="00A20A0D"/>
    <w:rsid w:val="00A20B8B"/>
    <w:rsid w:val="00A20F46"/>
    <w:rsid w:val="00A20F72"/>
    <w:rsid w:val="00A20F81"/>
    <w:rsid w:val="00A210C3"/>
    <w:rsid w:val="00A210F9"/>
    <w:rsid w:val="00A2119A"/>
    <w:rsid w:val="00A21250"/>
    <w:rsid w:val="00A21385"/>
    <w:rsid w:val="00A2152A"/>
    <w:rsid w:val="00A2154E"/>
    <w:rsid w:val="00A2163A"/>
    <w:rsid w:val="00A21669"/>
    <w:rsid w:val="00A21715"/>
    <w:rsid w:val="00A21897"/>
    <w:rsid w:val="00A218BA"/>
    <w:rsid w:val="00A218EF"/>
    <w:rsid w:val="00A21B7B"/>
    <w:rsid w:val="00A21C34"/>
    <w:rsid w:val="00A21C89"/>
    <w:rsid w:val="00A21CC5"/>
    <w:rsid w:val="00A21D8D"/>
    <w:rsid w:val="00A21D96"/>
    <w:rsid w:val="00A21DD0"/>
    <w:rsid w:val="00A21EFE"/>
    <w:rsid w:val="00A21F53"/>
    <w:rsid w:val="00A21F77"/>
    <w:rsid w:val="00A22014"/>
    <w:rsid w:val="00A22053"/>
    <w:rsid w:val="00A220E1"/>
    <w:rsid w:val="00A220F2"/>
    <w:rsid w:val="00A2211A"/>
    <w:rsid w:val="00A22235"/>
    <w:rsid w:val="00A222C7"/>
    <w:rsid w:val="00A2244E"/>
    <w:rsid w:val="00A224AE"/>
    <w:rsid w:val="00A2254B"/>
    <w:rsid w:val="00A226C5"/>
    <w:rsid w:val="00A22734"/>
    <w:rsid w:val="00A22916"/>
    <w:rsid w:val="00A229A4"/>
    <w:rsid w:val="00A22B7C"/>
    <w:rsid w:val="00A22B89"/>
    <w:rsid w:val="00A22D33"/>
    <w:rsid w:val="00A22D8E"/>
    <w:rsid w:val="00A22E86"/>
    <w:rsid w:val="00A22F45"/>
    <w:rsid w:val="00A22F77"/>
    <w:rsid w:val="00A22F93"/>
    <w:rsid w:val="00A22FB9"/>
    <w:rsid w:val="00A23072"/>
    <w:rsid w:val="00A2319F"/>
    <w:rsid w:val="00A23305"/>
    <w:rsid w:val="00A23316"/>
    <w:rsid w:val="00A2335A"/>
    <w:rsid w:val="00A23412"/>
    <w:rsid w:val="00A23458"/>
    <w:rsid w:val="00A234A4"/>
    <w:rsid w:val="00A23611"/>
    <w:rsid w:val="00A2365E"/>
    <w:rsid w:val="00A23777"/>
    <w:rsid w:val="00A2383B"/>
    <w:rsid w:val="00A23887"/>
    <w:rsid w:val="00A238B3"/>
    <w:rsid w:val="00A23978"/>
    <w:rsid w:val="00A239B6"/>
    <w:rsid w:val="00A23A30"/>
    <w:rsid w:val="00A23A5F"/>
    <w:rsid w:val="00A23AFB"/>
    <w:rsid w:val="00A23B1F"/>
    <w:rsid w:val="00A23B26"/>
    <w:rsid w:val="00A23CED"/>
    <w:rsid w:val="00A23D78"/>
    <w:rsid w:val="00A23E5F"/>
    <w:rsid w:val="00A23F21"/>
    <w:rsid w:val="00A23F27"/>
    <w:rsid w:val="00A23F77"/>
    <w:rsid w:val="00A23F9C"/>
    <w:rsid w:val="00A23FB2"/>
    <w:rsid w:val="00A2407F"/>
    <w:rsid w:val="00A24168"/>
    <w:rsid w:val="00A241B4"/>
    <w:rsid w:val="00A242DB"/>
    <w:rsid w:val="00A2437A"/>
    <w:rsid w:val="00A243B1"/>
    <w:rsid w:val="00A24412"/>
    <w:rsid w:val="00A2444C"/>
    <w:rsid w:val="00A244E3"/>
    <w:rsid w:val="00A24653"/>
    <w:rsid w:val="00A2467C"/>
    <w:rsid w:val="00A24772"/>
    <w:rsid w:val="00A247DD"/>
    <w:rsid w:val="00A2483A"/>
    <w:rsid w:val="00A24930"/>
    <w:rsid w:val="00A24A4B"/>
    <w:rsid w:val="00A24A72"/>
    <w:rsid w:val="00A24E89"/>
    <w:rsid w:val="00A24ED8"/>
    <w:rsid w:val="00A24F45"/>
    <w:rsid w:val="00A250EB"/>
    <w:rsid w:val="00A25235"/>
    <w:rsid w:val="00A25309"/>
    <w:rsid w:val="00A253DF"/>
    <w:rsid w:val="00A2546D"/>
    <w:rsid w:val="00A2547C"/>
    <w:rsid w:val="00A2547E"/>
    <w:rsid w:val="00A254CE"/>
    <w:rsid w:val="00A256D3"/>
    <w:rsid w:val="00A25848"/>
    <w:rsid w:val="00A25878"/>
    <w:rsid w:val="00A2588D"/>
    <w:rsid w:val="00A25918"/>
    <w:rsid w:val="00A25937"/>
    <w:rsid w:val="00A259CF"/>
    <w:rsid w:val="00A259D6"/>
    <w:rsid w:val="00A259EC"/>
    <w:rsid w:val="00A25ADF"/>
    <w:rsid w:val="00A25B46"/>
    <w:rsid w:val="00A25BB8"/>
    <w:rsid w:val="00A25CEF"/>
    <w:rsid w:val="00A25D11"/>
    <w:rsid w:val="00A25E72"/>
    <w:rsid w:val="00A25E7A"/>
    <w:rsid w:val="00A25EDA"/>
    <w:rsid w:val="00A260AB"/>
    <w:rsid w:val="00A260B8"/>
    <w:rsid w:val="00A2614B"/>
    <w:rsid w:val="00A26169"/>
    <w:rsid w:val="00A261F0"/>
    <w:rsid w:val="00A2621B"/>
    <w:rsid w:val="00A26266"/>
    <w:rsid w:val="00A2627B"/>
    <w:rsid w:val="00A26285"/>
    <w:rsid w:val="00A262C5"/>
    <w:rsid w:val="00A262D3"/>
    <w:rsid w:val="00A263E0"/>
    <w:rsid w:val="00A2665B"/>
    <w:rsid w:val="00A26715"/>
    <w:rsid w:val="00A26724"/>
    <w:rsid w:val="00A26787"/>
    <w:rsid w:val="00A267BF"/>
    <w:rsid w:val="00A267DA"/>
    <w:rsid w:val="00A2684A"/>
    <w:rsid w:val="00A2684B"/>
    <w:rsid w:val="00A2684E"/>
    <w:rsid w:val="00A268CA"/>
    <w:rsid w:val="00A268D0"/>
    <w:rsid w:val="00A2694A"/>
    <w:rsid w:val="00A2697D"/>
    <w:rsid w:val="00A26B4D"/>
    <w:rsid w:val="00A26BA4"/>
    <w:rsid w:val="00A26C7E"/>
    <w:rsid w:val="00A26C88"/>
    <w:rsid w:val="00A26D2C"/>
    <w:rsid w:val="00A26E14"/>
    <w:rsid w:val="00A26E9F"/>
    <w:rsid w:val="00A26EB2"/>
    <w:rsid w:val="00A26FCE"/>
    <w:rsid w:val="00A26FD2"/>
    <w:rsid w:val="00A26FF4"/>
    <w:rsid w:val="00A2704D"/>
    <w:rsid w:val="00A270D4"/>
    <w:rsid w:val="00A270EC"/>
    <w:rsid w:val="00A27177"/>
    <w:rsid w:val="00A27201"/>
    <w:rsid w:val="00A272D9"/>
    <w:rsid w:val="00A2732B"/>
    <w:rsid w:val="00A273D4"/>
    <w:rsid w:val="00A273E9"/>
    <w:rsid w:val="00A2743E"/>
    <w:rsid w:val="00A27477"/>
    <w:rsid w:val="00A27552"/>
    <w:rsid w:val="00A27584"/>
    <w:rsid w:val="00A275FA"/>
    <w:rsid w:val="00A2760B"/>
    <w:rsid w:val="00A2768B"/>
    <w:rsid w:val="00A2779F"/>
    <w:rsid w:val="00A27846"/>
    <w:rsid w:val="00A2790C"/>
    <w:rsid w:val="00A27968"/>
    <w:rsid w:val="00A279E1"/>
    <w:rsid w:val="00A27B85"/>
    <w:rsid w:val="00A27BD8"/>
    <w:rsid w:val="00A27BDD"/>
    <w:rsid w:val="00A27C17"/>
    <w:rsid w:val="00A27C5F"/>
    <w:rsid w:val="00A27CC0"/>
    <w:rsid w:val="00A27D70"/>
    <w:rsid w:val="00A27DD1"/>
    <w:rsid w:val="00A27EFE"/>
    <w:rsid w:val="00A27F01"/>
    <w:rsid w:val="00A3002A"/>
    <w:rsid w:val="00A300ED"/>
    <w:rsid w:val="00A3018F"/>
    <w:rsid w:val="00A30368"/>
    <w:rsid w:val="00A303CA"/>
    <w:rsid w:val="00A303FA"/>
    <w:rsid w:val="00A3048F"/>
    <w:rsid w:val="00A3051C"/>
    <w:rsid w:val="00A305D3"/>
    <w:rsid w:val="00A30626"/>
    <w:rsid w:val="00A30776"/>
    <w:rsid w:val="00A308E2"/>
    <w:rsid w:val="00A3092B"/>
    <w:rsid w:val="00A30989"/>
    <w:rsid w:val="00A3099F"/>
    <w:rsid w:val="00A30A48"/>
    <w:rsid w:val="00A30AF1"/>
    <w:rsid w:val="00A30B29"/>
    <w:rsid w:val="00A30B72"/>
    <w:rsid w:val="00A30B99"/>
    <w:rsid w:val="00A30DE3"/>
    <w:rsid w:val="00A30ED8"/>
    <w:rsid w:val="00A30EF2"/>
    <w:rsid w:val="00A30F48"/>
    <w:rsid w:val="00A30F8D"/>
    <w:rsid w:val="00A31117"/>
    <w:rsid w:val="00A31151"/>
    <w:rsid w:val="00A311E4"/>
    <w:rsid w:val="00A31293"/>
    <w:rsid w:val="00A3129C"/>
    <w:rsid w:val="00A31352"/>
    <w:rsid w:val="00A31373"/>
    <w:rsid w:val="00A3138B"/>
    <w:rsid w:val="00A313A0"/>
    <w:rsid w:val="00A313C7"/>
    <w:rsid w:val="00A313EB"/>
    <w:rsid w:val="00A31450"/>
    <w:rsid w:val="00A3151A"/>
    <w:rsid w:val="00A31524"/>
    <w:rsid w:val="00A3180B"/>
    <w:rsid w:val="00A31891"/>
    <w:rsid w:val="00A31897"/>
    <w:rsid w:val="00A31898"/>
    <w:rsid w:val="00A31939"/>
    <w:rsid w:val="00A31B3C"/>
    <w:rsid w:val="00A31BCB"/>
    <w:rsid w:val="00A31BE7"/>
    <w:rsid w:val="00A31D51"/>
    <w:rsid w:val="00A31DDE"/>
    <w:rsid w:val="00A31ED1"/>
    <w:rsid w:val="00A31F4E"/>
    <w:rsid w:val="00A31FE7"/>
    <w:rsid w:val="00A32093"/>
    <w:rsid w:val="00A3209D"/>
    <w:rsid w:val="00A32147"/>
    <w:rsid w:val="00A322AA"/>
    <w:rsid w:val="00A323D0"/>
    <w:rsid w:val="00A323F3"/>
    <w:rsid w:val="00A3245E"/>
    <w:rsid w:val="00A324B5"/>
    <w:rsid w:val="00A324D2"/>
    <w:rsid w:val="00A32563"/>
    <w:rsid w:val="00A32588"/>
    <w:rsid w:val="00A326AA"/>
    <w:rsid w:val="00A3279F"/>
    <w:rsid w:val="00A327D5"/>
    <w:rsid w:val="00A328E1"/>
    <w:rsid w:val="00A3293D"/>
    <w:rsid w:val="00A329AD"/>
    <w:rsid w:val="00A32ADC"/>
    <w:rsid w:val="00A32B68"/>
    <w:rsid w:val="00A32CF2"/>
    <w:rsid w:val="00A32D34"/>
    <w:rsid w:val="00A32E52"/>
    <w:rsid w:val="00A32E77"/>
    <w:rsid w:val="00A32EF0"/>
    <w:rsid w:val="00A32F00"/>
    <w:rsid w:val="00A32F0E"/>
    <w:rsid w:val="00A33016"/>
    <w:rsid w:val="00A330FC"/>
    <w:rsid w:val="00A3335A"/>
    <w:rsid w:val="00A33492"/>
    <w:rsid w:val="00A3356C"/>
    <w:rsid w:val="00A335C7"/>
    <w:rsid w:val="00A335FF"/>
    <w:rsid w:val="00A3379F"/>
    <w:rsid w:val="00A337D7"/>
    <w:rsid w:val="00A338C1"/>
    <w:rsid w:val="00A338C2"/>
    <w:rsid w:val="00A338C6"/>
    <w:rsid w:val="00A338DE"/>
    <w:rsid w:val="00A3390F"/>
    <w:rsid w:val="00A3392B"/>
    <w:rsid w:val="00A33A1E"/>
    <w:rsid w:val="00A33BDD"/>
    <w:rsid w:val="00A33CEE"/>
    <w:rsid w:val="00A33D69"/>
    <w:rsid w:val="00A33DC9"/>
    <w:rsid w:val="00A34030"/>
    <w:rsid w:val="00A34063"/>
    <w:rsid w:val="00A340C5"/>
    <w:rsid w:val="00A341DD"/>
    <w:rsid w:val="00A341E2"/>
    <w:rsid w:val="00A34241"/>
    <w:rsid w:val="00A3432A"/>
    <w:rsid w:val="00A3433A"/>
    <w:rsid w:val="00A343A2"/>
    <w:rsid w:val="00A34472"/>
    <w:rsid w:val="00A3452C"/>
    <w:rsid w:val="00A34581"/>
    <w:rsid w:val="00A3468C"/>
    <w:rsid w:val="00A346F9"/>
    <w:rsid w:val="00A349DB"/>
    <w:rsid w:val="00A34AD7"/>
    <w:rsid w:val="00A34BF4"/>
    <w:rsid w:val="00A34C4A"/>
    <w:rsid w:val="00A34D18"/>
    <w:rsid w:val="00A34D22"/>
    <w:rsid w:val="00A34DAC"/>
    <w:rsid w:val="00A34F01"/>
    <w:rsid w:val="00A34F62"/>
    <w:rsid w:val="00A34F8A"/>
    <w:rsid w:val="00A3508B"/>
    <w:rsid w:val="00A351C2"/>
    <w:rsid w:val="00A352A2"/>
    <w:rsid w:val="00A35382"/>
    <w:rsid w:val="00A35385"/>
    <w:rsid w:val="00A3538B"/>
    <w:rsid w:val="00A353C0"/>
    <w:rsid w:val="00A353DC"/>
    <w:rsid w:val="00A353FD"/>
    <w:rsid w:val="00A3544E"/>
    <w:rsid w:val="00A3549C"/>
    <w:rsid w:val="00A354B4"/>
    <w:rsid w:val="00A3554C"/>
    <w:rsid w:val="00A3557F"/>
    <w:rsid w:val="00A3558E"/>
    <w:rsid w:val="00A355B0"/>
    <w:rsid w:val="00A3574D"/>
    <w:rsid w:val="00A357EB"/>
    <w:rsid w:val="00A358C8"/>
    <w:rsid w:val="00A35910"/>
    <w:rsid w:val="00A3593D"/>
    <w:rsid w:val="00A359C7"/>
    <w:rsid w:val="00A35A20"/>
    <w:rsid w:val="00A35A8C"/>
    <w:rsid w:val="00A35B94"/>
    <w:rsid w:val="00A35D36"/>
    <w:rsid w:val="00A35E45"/>
    <w:rsid w:val="00A35F22"/>
    <w:rsid w:val="00A35F2C"/>
    <w:rsid w:val="00A35F46"/>
    <w:rsid w:val="00A35F9B"/>
    <w:rsid w:val="00A35FE8"/>
    <w:rsid w:val="00A3614D"/>
    <w:rsid w:val="00A3615D"/>
    <w:rsid w:val="00A3623F"/>
    <w:rsid w:val="00A3628F"/>
    <w:rsid w:val="00A36411"/>
    <w:rsid w:val="00A36500"/>
    <w:rsid w:val="00A36530"/>
    <w:rsid w:val="00A3656C"/>
    <w:rsid w:val="00A36649"/>
    <w:rsid w:val="00A36665"/>
    <w:rsid w:val="00A36667"/>
    <w:rsid w:val="00A36677"/>
    <w:rsid w:val="00A36678"/>
    <w:rsid w:val="00A36687"/>
    <w:rsid w:val="00A36780"/>
    <w:rsid w:val="00A367F6"/>
    <w:rsid w:val="00A36935"/>
    <w:rsid w:val="00A369CE"/>
    <w:rsid w:val="00A36A14"/>
    <w:rsid w:val="00A36B14"/>
    <w:rsid w:val="00A36B89"/>
    <w:rsid w:val="00A36C55"/>
    <w:rsid w:val="00A36DCA"/>
    <w:rsid w:val="00A36EB0"/>
    <w:rsid w:val="00A36F29"/>
    <w:rsid w:val="00A36F51"/>
    <w:rsid w:val="00A3716A"/>
    <w:rsid w:val="00A371A4"/>
    <w:rsid w:val="00A371AC"/>
    <w:rsid w:val="00A37258"/>
    <w:rsid w:val="00A37281"/>
    <w:rsid w:val="00A372A0"/>
    <w:rsid w:val="00A372A2"/>
    <w:rsid w:val="00A373DF"/>
    <w:rsid w:val="00A37490"/>
    <w:rsid w:val="00A37572"/>
    <w:rsid w:val="00A375EE"/>
    <w:rsid w:val="00A37630"/>
    <w:rsid w:val="00A376A7"/>
    <w:rsid w:val="00A37990"/>
    <w:rsid w:val="00A37A72"/>
    <w:rsid w:val="00A37AED"/>
    <w:rsid w:val="00A37B3A"/>
    <w:rsid w:val="00A37B54"/>
    <w:rsid w:val="00A37C05"/>
    <w:rsid w:val="00A37CD2"/>
    <w:rsid w:val="00A37CF9"/>
    <w:rsid w:val="00A37D0C"/>
    <w:rsid w:val="00A37D98"/>
    <w:rsid w:val="00A37E9B"/>
    <w:rsid w:val="00A37EAE"/>
    <w:rsid w:val="00A37F94"/>
    <w:rsid w:val="00A40035"/>
    <w:rsid w:val="00A400D5"/>
    <w:rsid w:val="00A40170"/>
    <w:rsid w:val="00A40388"/>
    <w:rsid w:val="00A4042E"/>
    <w:rsid w:val="00A40487"/>
    <w:rsid w:val="00A404C5"/>
    <w:rsid w:val="00A404C8"/>
    <w:rsid w:val="00A405DE"/>
    <w:rsid w:val="00A4062E"/>
    <w:rsid w:val="00A4066D"/>
    <w:rsid w:val="00A40827"/>
    <w:rsid w:val="00A40844"/>
    <w:rsid w:val="00A4088C"/>
    <w:rsid w:val="00A408AB"/>
    <w:rsid w:val="00A408AD"/>
    <w:rsid w:val="00A40A0A"/>
    <w:rsid w:val="00A40A1B"/>
    <w:rsid w:val="00A40A97"/>
    <w:rsid w:val="00A40B6F"/>
    <w:rsid w:val="00A40C8A"/>
    <w:rsid w:val="00A40CD6"/>
    <w:rsid w:val="00A40CE8"/>
    <w:rsid w:val="00A40D5A"/>
    <w:rsid w:val="00A40D61"/>
    <w:rsid w:val="00A40DCD"/>
    <w:rsid w:val="00A40DD5"/>
    <w:rsid w:val="00A40DEB"/>
    <w:rsid w:val="00A40E42"/>
    <w:rsid w:val="00A40EB3"/>
    <w:rsid w:val="00A40ED6"/>
    <w:rsid w:val="00A40FC5"/>
    <w:rsid w:val="00A41015"/>
    <w:rsid w:val="00A41185"/>
    <w:rsid w:val="00A41191"/>
    <w:rsid w:val="00A412DC"/>
    <w:rsid w:val="00A413D0"/>
    <w:rsid w:val="00A4144A"/>
    <w:rsid w:val="00A41453"/>
    <w:rsid w:val="00A414A0"/>
    <w:rsid w:val="00A414DE"/>
    <w:rsid w:val="00A41529"/>
    <w:rsid w:val="00A41659"/>
    <w:rsid w:val="00A416DE"/>
    <w:rsid w:val="00A416F5"/>
    <w:rsid w:val="00A41746"/>
    <w:rsid w:val="00A4175B"/>
    <w:rsid w:val="00A41861"/>
    <w:rsid w:val="00A419BF"/>
    <w:rsid w:val="00A41B1C"/>
    <w:rsid w:val="00A41B2D"/>
    <w:rsid w:val="00A41C51"/>
    <w:rsid w:val="00A41CC4"/>
    <w:rsid w:val="00A41D25"/>
    <w:rsid w:val="00A41D86"/>
    <w:rsid w:val="00A41E2C"/>
    <w:rsid w:val="00A41ED4"/>
    <w:rsid w:val="00A41F02"/>
    <w:rsid w:val="00A41FC1"/>
    <w:rsid w:val="00A41FC5"/>
    <w:rsid w:val="00A4209B"/>
    <w:rsid w:val="00A420B2"/>
    <w:rsid w:val="00A4211E"/>
    <w:rsid w:val="00A421A4"/>
    <w:rsid w:val="00A4223D"/>
    <w:rsid w:val="00A423BB"/>
    <w:rsid w:val="00A42435"/>
    <w:rsid w:val="00A424B6"/>
    <w:rsid w:val="00A4250E"/>
    <w:rsid w:val="00A4250F"/>
    <w:rsid w:val="00A425A0"/>
    <w:rsid w:val="00A42714"/>
    <w:rsid w:val="00A4271D"/>
    <w:rsid w:val="00A42752"/>
    <w:rsid w:val="00A4278F"/>
    <w:rsid w:val="00A427C7"/>
    <w:rsid w:val="00A427D1"/>
    <w:rsid w:val="00A428CF"/>
    <w:rsid w:val="00A429BE"/>
    <w:rsid w:val="00A42AEF"/>
    <w:rsid w:val="00A42B49"/>
    <w:rsid w:val="00A42C68"/>
    <w:rsid w:val="00A42D11"/>
    <w:rsid w:val="00A42D93"/>
    <w:rsid w:val="00A42E57"/>
    <w:rsid w:val="00A42F30"/>
    <w:rsid w:val="00A42F4C"/>
    <w:rsid w:val="00A42F5B"/>
    <w:rsid w:val="00A430C1"/>
    <w:rsid w:val="00A4312F"/>
    <w:rsid w:val="00A4313B"/>
    <w:rsid w:val="00A4317A"/>
    <w:rsid w:val="00A4317C"/>
    <w:rsid w:val="00A431B8"/>
    <w:rsid w:val="00A432FF"/>
    <w:rsid w:val="00A4330C"/>
    <w:rsid w:val="00A43343"/>
    <w:rsid w:val="00A43384"/>
    <w:rsid w:val="00A4342E"/>
    <w:rsid w:val="00A434AE"/>
    <w:rsid w:val="00A434E5"/>
    <w:rsid w:val="00A43554"/>
    <w:rsid w:val="00A435B3"/>
    <w:rsid w:val="00A4360A"/>
    <w:rsid w:val="00A436DF"/>
    <w:rsid w:val="00A43730"/>
    <w:rsid w:val="00A437D4"/>
    <w:rsid w:val="00A43A52"/>
    <w:rsid w:val="00A43A53"/>
    <w:rsid w:val="00A43A8C"/>
    <w:rsid w:val="00A43AF1"/>
    <w:rsid w:val="00A43B94"/>
    <w:rsid w:val="00A43C4A"/>
    <w:rsid w:val="00A43C61"/>
    <w:rsid w:val="00A43DE4"/>
    <w:rsid w:val="00A43E24"/>
    <w:rsid w:val="00A43E7E"/>
    <w:rsid w:val="00A43E86"/>
    <w:rsid w:val="00A43EA7"/>
    <w:rsid w:val="00A43EB8"/>
    <w:rsid w:val="00A43ED1"/>
    <w:rsid w:val="00A43F4C"/>
    <w:rsid w:val="00A43F7B"/>
    <w:rsid w:val="00A440C2"/>
    <w:rsid w:val="00A44220"/>
    <w:rsid w:val="00A442AF"/>
    <w:rsid w:val="00A442CC"/>
    <w:rsid w:val="00A442D8"/>
    <w:rsid w:val="00A443DE"/>
    <w:rsid w:val="00A44514"/>
    <w:rsid w:val="00A44652"/>
    <w:rsid w:val="00A44654"/>
    <w:rsid w:val="00A446E0"/>
    <w:rsid w:val="00A4471E"/>
    <w:rsid w:val="00A44773"/>
    <w:rsid w:val="00A447B8"/>
    <w:rsid w:val="00A447EA"/>
    <w:rsid w:val="00A44801"/>
    <w:rsid w:val="00A44877"/>
    <w:rsid w:val="00A448C7"/>
    <w:rsid w:val="00A44906"/>
    <w:rsid w:val="00A4492B"/>
    <w:rsid w:val="00A44A0E"/>
    <w:rsid w:val="00A44A5A"/>
    <w:rsid w:val="00A44AA8"/>
    <w:rsid w:val="00A44AD6"/>
    <w:rsid w:val="00A44B15"/>
    <w:rsid w:val="00A44C44"/>
    <w:rsid w:val="00A44D4C"/>
    <w:rsid w:val="00A44FD1"/>
    <w:rsid w:val="00A450B0"/>
    <w:rsid w:val="00A45167"/>
    <w:rsid w:val="00A45249"/>
    <w:rsid w:val="00A45471"/>
    <w:rsid w:val="00A4551D"/>
    <w:rsid w:val="00A4559F"/>
    <w:rsid w:val="00A456D6"/>
    <w:rsid w:val="00A456F6"/>
    <w:rsid w:val="00A45742"/>
    <w:rsid w:val="00A4586F"/>
    <w:rsid w:val="00A45956"/>
    <w:rsid w:val="00A459BC"/>
    <w:rsid w:val="00A45A41"/>
    <w:rsid w:val="00A45B5B"/>
    <w:rsid w:val="00A45C37"/>
    <w:rsid w:val="00A45D4F"/>
    <w:rsid w:val="00A45D84"/>
    <w:rsid w:val="00A45DC2"/>
    <w:rsid w:val="00A45E5C"/>
    <w:rsid w:val="00A45E77"/>
    <w:rsid w:val="00A45E8C"/>
    <w:rsid w:val="00A45FB6"/>
    <w:rsid w:val="00A46084"/>
    <w:rsid w:val="00A460E4"/>
    <w:rsid w:val="00A46126"/>
    <w:rsid w:val="00A46189"/>
    <w:rsid w:val="00A46198"/>
    <w:rsid w:val="00A461DD"/>
    <w:rsid w:val="00A4622D"/>
    <w:rsid w:val="00A462CF"/>
    <w:rsid w:val="00A462FA"/>
    <w:rsid w:val="00A46395"/>
    <w:rsid w:val="00A463C4"/>
    <w:rsid w:val="00A463F7"/>
    <w:rsid w:val="00A4645E"/>
    <w:rsid w:val="00A46492"/>
    <w:rsid w:val="00A464DD"/>
    <w:rsid w:val="00A46521"/>
    <w:rsid w:val="00A465B3"/>
    <w:rsid w:val="00A4667D"/>
    <w:rsid w:val="00A466FD"/>
    <w:rsid w:val="00A46721"/>
    <w:rsid w:val="00A46736"/>
    <w:rsid w:val="00A467A9"/>
    <w:rsid w:val="00A46810"/>
    <w:rsid w:val="00A4691E"/>
    <w:rsid w:val="00A46980"/>
    <w:rsid w:val="00A46AAA"/>
    <w:rsid w:val="00A46AF6"/>
    <w:rsid w:val="00A46B7E"/>
    <w:rsid w:val="00A46B98"/>
    <w:rsid w:val="00A46C17"/>
    <w:rsid w:val="00A46C4C"/>
    <w:rsid w:val="00A46CB6"/>
    <w:rsid w:val="00A46DC6"/>
    <w:rsid w:val="00A46E7D"/>
    <w:rsid w:val="00A46EEB"/>
    <w:rsid w:val="00A46FFB"/>
    <w:rsid w:val="00A471A9"/>
    <w:rsid w:val="00A4743A"/>
    <w:rsid w:val="00A47444"/>
    <w:rsid w:val="00A47459"/>
    <w:rsid w:val="00A474FB"/>
    <w:rsid w:val="00A47505"/>
    <w:rsid w:val="00A477CE"/>
    <w:rsid w:val="00A4780B"/>
    <w:rsid w:val="00A47835"/>
    <w:rsid w:val="00A479B9"/>
    <w:rsid w:val="00A479F2"/>
    <w:rsid w:val="00A47A41"/>
    <w:rsid w:val="00A47A92"/>
    <w:rsid w:val="00A47AD0"/>
    <w:rsid w:val="00A47AFC"/>
    <w:rsid w:val="00A47B1D"/>
    <w:rsid w:val="00A47C19"/>
    <w:rsid w:val="00A47CA0"/>
    <w:rsid w:val="00A47CBC"/>
    <w:rsid w:val="00A47D64"/>
    <w:rsid w:val="00A47DC8"/>
    <w:rsid w:val="00A47E1C"/>
    <w:rsid w:val="00A47E3A"/>
    <w:rsid w:val="00A47E8A"/>
    <w:rsid w:val="00A47EA0"/>
    <w:rsid w:val="00A47EF7"/>
    <w:rsid w:val="00A47F9E"/>
    <w:rsid w:val="00A47FCB"/>
    <w:rsid w:val="00A50060"/>
    <w:rsid w:val="00A501FD"/>
    <w:rsid w:val="00A50275"/>
    <w:rsid w:val="00A50298"/>
    <w:rsid w:val="00A50425"/>
    <w:rsid w:val="00A5060A"/>
    <w:rsid w:val="00A50670"/>
    <w:rsid w:val="00A507B4"/>
    <w:rsid w:val="00A507CA"/>
    <w:rsid w:val="00A508B3"/>
    <w:rsid w:val="00A50AEF"/>
    <w:rsid w:val="00A50B36"/>
    <w:rsid w:val="00A50B74"/>
    <w:rsid w:val="00A50BFF"/>
    <w:rsid w:val="00A50D56"/>
    <w:rsid w:val="00A50DAB"/>
    <w:rsid w:val="00A50F87"/>
    <w:rsid w:val="00A50F99"/>
    <w:rsid w:val="00A51195"/>
    <w:rsid w:val="00A512A0"/>
    <w:rsid w:val="00A513DE"/>
    <w:rsid w:val="00A51416"/>
    <w:rsid w:val="00A514D8"/>
    <w:rsid w:val="00A51563"/>
    <w:rsid w:val="00A515FE"/>
    <w:rsid w:val="00A516A4"/>
    <w:rsid w:val="00A517C7"/>
    <w:rsid w:val="00A517EA"/>
    <w:rsid w:val="00A517EC"/>
    <w:rsid w:val="00A51809"/>
    <w:rsid w:val="00A518C8"/>
    <w:rsid w:val="00A51A1C"/>
    <w:rsid w:val="00A51A29"/>
    <w:rsid w:val="00A51B27"/>
    <w:rsid w:val="00A51B54"/>
    <w:rsid w:val="00A51C5D"/>
    <w:rsid w:val="00A51E50"/>
    <w:rsid w:val="00A51F61"/>
    <w:rsid w:val="00A52038"/>
    <w:rsid w:val="00A52051"/>
    <w:rsid w:val="00A5208C"/>
    <w:rsid w:val="00A520CC"/>
    <w:rsid w:val="00A520D4"/>
    <w:rsid w:val="00A5212C"/>
    <w:rsid w:val="00A52161"/>
    <w:rsid w:val="00A52256"/>
    <w:rsid w:val="00A522C1"/>
    <w:rsid w:val="00A52335"/>
    <w:rsid w:val="00A524FB"/>
    <w:rsid w:val="00A526D4"/>
    <w:rsid w:val="00A52720"/>
    <w:rsid w:val="00A5282F"/>
    <w:rsid w:val="00A52921"/>
    <w:rsid w:val="00A52940"/>
    <w:rsid w:val="00A52A5D"/>
    <w:rsid w:val="00A52A8B"/>
    <w:rsid w:val="00A52A95"/>
    <w:rsid w:val="00A52AE0"/>
    <w:rsid w:val="00A52B83"/>
    <w:rsid w:val="00A52BEE"/>
    <w:rsid w:val="00A52C09"/>
    <w:rsid w:val="00A52C6A"/>
    <w:rsid w:val="00A52C84"/>
    <w:rsid w:val="00A52CD1"/>
    <w:rsid w:val="00A52D00"/>
    <w:rsid w:val="00A52E8A"/>
    <w:rsid w:val="00A52EAA"/>
    <w:rsid w:val="00A52EE0"/>
    <w:rsid w:val="00A53003"/>
    <w:rsid w:val="00A5302D"/>
    <w:rsid w:val="00A5312D"/>
    <w:rsid w:val="00A5317F"/>
    <w:rsid w:val="00A531E1"/>
    <w:rsid w:val="00A532C7"/>
    <w:rsid w:val="00A532DC"/>
    <w:rsid w:val="00A532E7"/>
    <w:rsid w:val="00A53371"/>
    <w:rsid w:val="00A53486"/>
    <w:rsid w:val="00A5348D"/>
    <w:rsid w:val="00A534B5"/>
    <w:rsid w:val="00A534C3"/>
    <w:rsid w:val="00A53632"/>
    <w:rsid w:val="00A5369B"/>
    <w:rsid w:val="00A536BF"/>
    <w:rsid w:val="00A5375C"/>
    <w:rsid w:val="00A5376A"/>
    <w:rsid w:val="00A537A0"/>
    <w:rsid w:val="00A537F7"/>
    <w:rsid w:val="00A53814"/>
    <w:rsid w:val="00A5395E"/>
    <w:rsid w:val="00A53980"/>
    <w:rsid w:val="00A53B6E"/>
    <w:rsid w:val="00A53BA2"/>
    <w:rsid w:val="00A53C09"/>
    <w:rsid w:val="00A53C39"/>
    <w:rsid w:val="00A53CEB"/>
    <w:rsid w:val="00A53D34"/>
    <w:rsid w:val="00A53D47"/>
    <w:rsid w:val="00A53D59"/>
    <w:rsid w:val="00A53D86"/>
    <w:rsid w:val="00A53E1C"/>
    <w:rsid w:val="00A53E7D"/>
    <w:rsid w:val="00A53E9D"/>
    <w:rsid w:val="00A53ED9"/>
    <w:rsid w:val="00A5406B"/>
    <w:rsid w:val="00A5410B"/>
    <w:rsid w:val="00A54288"/>
    <w:rsid w:val="00A54300"/>
    <w:rsid w:val="00A54387"/>
    <w:rsid w:val="00A543F6"/>
    <w:rsid w:val="00A545AE"/>
    <w:rsid w:val="00A545E2"/>
    <w:rsid w:val="00A54604"/>
    <w:rsid w:val="00A5465B"/>
    <w:rsid w:val="00A546B5"/>
    <w:rsid w:val="00A546F3"/>
    <w:rsid w:val="00A54881"/>
    <w:rsid w:val="00A548D9"/>
    <w:rsid w:val="00A549E0"/>
    <w:rsid w:val="00A54BD9"/>
    <w:rsid w:val="00A54C13"/>
    <w:rsid w:val="00A54E3A"/>
    <w:rsid w:val="00A54E70"/>
    <w:rsid w:val="00A54F02"/>
    <w:rsid w:val="00A54F20"/>
    <w:rsid w:val="00A54F96"/>
    <w:rsid w:val="00A5508E"/>
    <w:rsid w:val="00A554D3"/>
    <w:rsid w:val="00A55621"/>
    <w:rsid w:val="00A556A1"/>
    <w:rsid w:val="00A556CA"/>
    <w:rsid w:val="00A55714"/>
    <w:rsid w:val="00A55754"/>
    <w:rsid w:val="00A55777"/>
    <w:rsid w:val="00A5580E"/>
    <w:rsid w:val="00A55923"/>
    <w:rsid w:val="00A55959"/>
    <w:rsid w:val="00A55970"/>
    <w:rsid w:val="00A55A3D"/>
    <w:rsid w:val="00A55A4F"/>
    <w:rsid w:val="00A55B98"/>
    <w:rsid w:val="00A55C8C"/>
    <w:rsid w:val="00A55CD7"/>
    <w:rsid w:val="00A55E18"/>
    <w:rsid w:val="00A55E37"/>
    <w:rsid w:val="00A55E82"/>
    <w:rsid w:val="00A55EFA"/>
    <w:rsid w:val="00A55F43"/>
    <w:rsid w:val="00A55F72"/>
    <w:rsid w:val="00A55FA4"/>
    <w:rsid w:val="00A55FB0"/>
    <w:rsid w:val="00A56092"/>
    <w:rsid w:val="00A562BF"/>
    <w:rsid w:val="00A56372"/>
    <w:rsid w:val="00A5637E"/>
    <w:rsid w:val="00A563AB"/>
    <w:rsid w:val="00A564E8"/>
    <w:rsid w:val="00A5651B"/>
    <w:rsid w:val="00A5657F"/>
    <w:rsid w:val="00A56583"/>
    <w:rsid w:val="00A5662F"/>
    <w:rsid w:val="00A56641"/>
    <w:rsid w:val="00A5688F"/>
    <w:rsid w:val="00A5689D"/>
    <w:rsid w:val="00A56933"/>
    <w:rsid w:val="00A569E2"/>
    <w:rsid w:val="00A56B00"/>
    <w:rsid w:val="00A56B74"/>
    <w:rsid w:val="00A56B89"/>
    <w:rsid w:val="00A56B93"/>
    <w:rsid w:val="00A56C2F"/>
    <w:rsid w:val="00A56C52"/>
    <w:rsid w:val="00A56E00"/>
    <w:rsid w:val="00A56E0D"/>
    <w:rsid w:val="00A56F7A"/>
    <w:rsid w:val="00A56FD9"/>
    <w:rsid w:val="00A56FE0"/>
    <w:rsid w:val="00A57151"/>
    <w:rsid w:val="00A571D0"/>
    <w:rsid w:val="00A57232"/>
    <w:rsid w:val="00A572EF"/>
    <w:rsid w:val="00A573A4"/>
    <w:rsid w:val="00A573CA"/>
    <w:rsid w:val="00A5740A"/>
    <w:rsid w:val="00A574BC"/>
    <w:rsid w:val="00A575C4"/>
    <w:rsid w:val="00A575D2"/>
    <w:rsid w:val="00A575E6"/>
    <w:rsid w:val="00A575EF"/>
    <w:rsid w:val="00A57621"/>
    <w:rsid w:val="00A577C6"/>
    <w:rsid w:val="00A57812"/>
    <w:rsid w:val="00A57837"/>
    <w:rsid w:val="00A578D4"/>
    <w:rsid w:val="00A578DD"/>
    <w:rsid w:val="00A57992"/>
    <w:rsid w:val="00A57A42"/>
    <w:rsid w:val="00A57B57"/>
    <w:rsid w:val="00A57B8A"/>
    <w:rsid w:val="00A57C5F"/>
    <w:rsid w:val="00A57CB1"/>
    <w:rsid w:val="00A57DB8"/>
    <w:rsid w:val="00A57E0A"/>
    <w:rsid w:val="00A57E38"/>
    <w:rsid w:val="00A57E83"/>
    <w:rsid w:val="00A57FA1"/>
    <w:rsid w:val="00A57FC7"/>
    <w:rsid w:val="00A600F8"/>
    <w:rsid w:val="00A6027D"/>
    <w:rsid w:val="00A602EF"/>
    <w:rsid w:val="00A60348"/>
    <w:rsid w:val="00A6039A"/>
    <w:rsid w:val="00A603D1"/>
    <w:rsid w:val="00A603D4"/>
    <w:rsid w:val="00A6065E"/>
    <w:rsid w:val="00A6070F"/>
    <w:rsid w:val="00A60815"/>
    <w:rsid w:val="00A60860"/>
    <w:rsid w:val="00A608AD"/>
    <w:rsid w:val="00A60977"/>
    <w:rsid w:val="00A60A5D"/>
    <w:rsid w:val="00A60BFA"/>
    <w:rsid w:val="00A60DFA"/>
    <w:rsid w:val="00A60E51"/>
    <w:rsid w:val="00A60E96"/>
    <w:rsid w:val="00A60EBA"/>
    <w:rsid w:val="00A60F26"/>
    <w:rsid w:val="00A60FC6"/>
    <w:rsid w:val="00A60FE2"/>
    <w:rsid w:val="00A60FEA"/>
    <w:rsid w:val="00A61085"/>
    <w:rsid w:val="00A6131F"/>
    <w:rsid w:val="00A6134F"/>
    <w:rsid w:val="00A614C4"/>
    <w:rsid w:val="00A614C5"/>
    <w:rsid w:val="00A616A0"/>
    <w:rsid w:val="00A61786"/>
    <w:rsid w:val="00A617AB"/>
    <w:rsid w:val="00A6186A"/>
    <w:rsid w:val="00A61932"/>
    <w:rsid w:val="00A619F6"/>
    <w:rsid w:val="00A61AA8"/>
    <w:rsid w:val="00A61B84"/>
    <w:rsid w:val="00A61BCC"/>
    <w:rsid w:val="00A61BDD"/>
    <w:rsid w:val="00A61C2F"/>
    <w:rsid w:val="00A61C46"/>
    <w:rsid w:val="00A61E23"/>
    <w:rsid w:val="00A61E95"/>
    <w:rsid w:val="00A61EA3"/>
    <w:rsid w:val="00A61EF9"/>
    <w:rsid w:val="00A61F1B"/>
    <w:rsid w:val="00A61F6B"/>
    <w:rsid w:val="00A61FCC"/>
    <w:rsid w:val="00A620B4"/>
    <w:rsid w:val="00A6213E"/>
    <w:rsid w:val="00A62341"/>
    <w:rsid w:val="00A624FB"/>
    <w:rsid w:val="00A62514"/>
    <w:rsid w:val="00A62592"/>
    <w:rsid w:val="00A62632"/>
    <w:rsid w:val="00A6266C"/>
    <w:rsid w:val="00A6267A"/>
    <w:rsid w:val="00A6280C"/>
    <w:rsid w:val="00A62848"/>
    <w:rsid w:val="00A62859"/>
    <w:rsid w:val="00A628A1"/>
    <w:rsid w:val="00A628DF"/>
    <w:rsid w:val="00A62A52"/>
    <w:rsid w:val="00A62BB7"/>
    <w:rsid w:val="00A62C61"/>
    <w:rsid w:val="00A62C67"/>
    <w:rsid w:val="00A62C74"/>
    <w:rsid w:val="00A62C9E"/>
    <w:rsid w:val="00A62CCF"/>
    <w:rsid w:val="00A62D5F"/>
    <w:rsid w:val="00A62D71"/>
    <w:rsid w:val="00A62D7C"/>
    <w:rsid w:val="00A62D81"/>
    <w:rsid w:val="00A62EEC"/>
    <w:rsid w:val="00A62F0F"/>
    <w:rsid w:val="00A62F62"/>
    <w:rsid w:val="00A62F8E"/>
    <w:rsid w:val="00A62F9B"/>
    <w:rsid w:val="00A62FB8"/>
    <w:rsid w:val="00A6315E"/>
    <w:rsid w:val="00A631CB"/>
    <w:rsid w:val="00A631D5"/>
    <w:rsid w:val="00A63222"/>
    <w:rsid w:val="00A63300"/>
    <w:rsid w:val="00A63335"/>
    <w:rsid w:val="00A63354"/>
    <w:rsid w:val="00A6335E"/>
    <w:rsid w:val="00A63366"/>
    <w:rsid w:val="00A63397"/>
    <w:rsid w:val="00A633FF"/>
    <w:rsid w:val="00A6351C"/>
    <w:rsid w:val="00A635F4"/>
    <w:rsid w:val="00A63768"/>
    <w:rsid w:val="00A63781"/>
    <w:rsid w:val="00A638A5"/>
    <w:rsid w:val="00A638FF"/>
    <w:rsid w:val="00A6392C"/>
    <w:rsid w:val="00A63A0D"/>
    <w:rsid w:val="00A63A84"/>
    <w:rsid w:val="00A63BFD"/>
    <w:rsid w:val="00A63C56"/>
    <w:rsid w:val="00A63CDF"/>
    <w:rsid w:val="00A63CF3"/>
    <w:rsid w:val="00A63D3A"/>
    <w:rsid w:val="00A63D94"/>
    <w:rsid w:val="00A63DC5"/>
    <w:rsid w:val="00A63E1A"/>
    <w:rsid w:val="00A63E21"/>
    <w:rsid w:val="00A63E98"/>
    <w:rsid w:val="00A63EC6"/>
    <w:rsid w:val="00A63EDD"/>
    <w:rsid w:val="00A63FF2"/>
    <w:rsid w:val="00A64018"/>
    <w:rsid w:val="00A64039"/>
    <w:rsid w:val="00A64138"/>
    <w:rsid w:val="00A6417E"/>
    <w:rsid w:val="00A6423C"/>
    <w:rsid w:val="00A64297"/>
    <w:rsid w:val="00A642C2"/>
    <w:rsid w:val="00A64450"/>
    <w:rsid w:val="00A644A4"/>
    <w:rsid w:val="00A64507"/>
    <w:rsid w:val="00A64558"/>
    <w:rsid w:val="00A64613"/>
    <w:rsid w:val="00A6467C"/>
    <w:rsid w:val="00A646A5"/>
    <w:rsid w:val="00A64710"/>
    <w:rsid w:val="00A647C1"/>
    <w:rsid w:val="00A647D0"/>
    <w:rsid w:val="00A647E1"/>
    <w:rsid w:val="00A64829"/>
    <w:rsid w:val="00A648BD"/>
    <w:rsid w:val="00A648F0"/>
    <w:rsid w:val="00A6492B"/>
    <w:rsid w:val="00A64968"/>
    <w:rsid w:val="00A6499C"/>
    <w:rsid w:val="00A64AE8"/>
    <w:rsid w:val="00A64AEB"/>
    <w:rsid w:val="00A64B53"/>
    <w:rsid w:val="00A64B56"/>
    <w:rsid w:val="00A64D2A"/>
    <w:rsid w:val="00A64D6C"/>
    <w:rsid w:val="00A64D71"/>
    <w:rsid w:val="00A64E07"/>
    <w:rsid w:val="00A64E60"/>
    <w:rsid w:val="00A64FF2"/>
    <w:rsid w:val="00A65006"/>
    <w:rsid w:val="00A6500F"/>
    <w:rsid w:val="00A650DE"/>
    <w:rsid w:val="00A65163"/>
    <w:rsid w:val="00A651A3"/>
    <w:rsid w:val="00A652B1"/>
    <w:rsid w:val="00A6532B"/>
    <w:rsid w:val="00A654C4"/>
    <w:rsid w:val="00A654ED"/>
    <w:rsid w:val="00A655A6"/>
    <w:rsid w:val="00A655AF"/>
    <w:rsid w:val="00A6567E"/>
    <w:rsid w:val="00A656CB"/>
    <w:rsid w:val="00A65711"/>
    <w:rsid w:val="00A657CE"/>
    <w:rsid w:val="00A659A8"/>
    <w:rsid w:val="00A659BD"/>
    <w:rsid w:val="00A65A00"/>
    <w:rsid w:val="00A65A30"/>
    <w:rsid w:val="00A65B4D"/>
    <w:rsid w:val="00A65B4F"/>
    <w:rsid w:val="00A65B9C"/>
    <w:rsid w:val="00A65C4B"/>
    <w:rsid w:val="00A65E0F"/>
    <w:rsid w:val="00A65F75"/>
    <w:rsid w:val="00A6608D"/>
    <w:rsid w:val="00A66127"/>
    <w:rsid w:val="00A66141"/>
    <w:rsid w:val="00A66160"/>
    <w:rsid w:val="00A66263"/>
    <w:rsid w:val="00A66306"/>
    <w:rsid w:val="00A66377"/>
    <w:rsid w:val="00A663D4"/>
    <w:rsid w:val="00A663E9"/>
    <w:rsid w:val="00A66503"/>
    <w:rsid w:val="00A6655E"/>
    <w:rsid w:val="00A66581"/>
    <w:rsid w:val="00A6658A"/>
    <w:rsid w:val="00A6660D"/>
    <w:rsid w:val="00A666F2"/>
    <w:rsid w:val="00A66791"/>
    <w:rsid w:val="00A669B9"/>
    <w:rsid w:val="00A66A5E"/>
    <w:rsid w:val="00A66B70"/>
    <w:rsid w:val="00A66BC0"/>
    <w:rsid w:val="00A66C90"/>
    <w:rsid w:val="00A66E84"/>
    <w:rsid w:val="00A66F81"/>
    <w:rsid w:val="00A66FB0"/>
    <w:rsid w:val="00A66FC9"/>
    <w:rsid w:val="00A66FF7"/>
    <w:rsid w:val="00A6700F"/>
    <w:rsid w:val="00A6707B"/>
    <w:rsid w:val="00A67126"/>
    <w:rsid w:val="00A67172"/>
    <w:rsid w:val="00A671A6"/>
    <w:rsid w:val="00A67244"/>
    <w:rsid w:val="00A673CA"/>
    <w:rsid w:val="00A6748C"/>
    <w:rsid w:val="00A676C1"/>
    <w:rsid w:val="00A67777"/>
    <w:rsid w:val="00A6779D"/>
    <w:rsid w:val="00A67930"/>
    <w:rsid w:val="00A67A14"/>
    <w:rsid w:val="00A67AD0"/>
    <w:rsid w:val="00A67C30"/>
    <w:rsid w:val="00A67C9B"/>
    <w:rsid w:val="00A67D50"/>
    <w:rsid w:val="00A67D51"/>
    <w:rsid w:val="00A67DD3"/>
    <w:rsid w:val="00A67E39"/>
    <w:rsid w:val="00A67E9E"/>
    <w:rsid w:val="00A67EA4"/>
    <w:rsid w:val="00A67F77"/>
    <w:rsid w:val="00A70007"/>
    <w:rsid w:val="00A7018D"/>
    <w:rsid w:val="00A701F6"/>
    <w:rsid w:val="00A70218"/>
    <w:rsid w:val="00A70390"/>
    <w:rsid w:val="00A704C4"/>
    <w:rsid w:val="00A705FF"/>
    <w:rsid w:val="00A7068A"/>
    <w:rsid w:val="00A70790"/>
    <w:rsid w:val="00A707B0"/>
    <w:rsid w:val="00A70856"/>
    <w:rsid w:val="00A708BA"/>
    <w:rsid w:val="00A708F5"/>
    <w:rsid w:val="00A70980"/>
    <w:rsid w:val="00A70A6E"/>
    <w:rsid w:val="00A70A9E"/>
    <w:rsid w:val="00A70AD0"/>
    <w:rsid w:val="00A70B7E"/>
    <w:rsid w:val="00A70C5C"/>
    <w:rsid w:val="00A70C75"/>
    <w:rsid w:val="00A70CB4"/>
    <w:rsid w:val="00A70D47"/>
    <w:rsid w:val="00A70DD9"/>
    <w:rsid w:val="00A70E9F"/>
    <w:rsid w:val="00A70F8C"/>
    <w:rsid w:val="00A7109B"/>
    <w:rsid w:val="00A7115E"/>
    <w:rsid w:val="00A7130F"/>
    <w:rsid w:val="00A71335"/>
    <w:rsid w:val="00A71416"/>
    <w:rsid w:val="00A7141C"/>
    <w:rsid w:val="00A71429"/>
    <w:rsid w:val="00A71491"/>
    <w:rsid w:val="00A7151B"/>
    <w:rsid w:val="00A715D2"/>
    <w:rsid w:val="00A71609"/>
    <w:rsid w:val="00A71634"/>
    <w:rsid w:val="00A71678"/>
    <w:rsid w:val="00A716D2"/>
    <w:rsid w:val="00A71720"/>
    <w:rsid w:val="00A7172A"/>
    <w:rsid w:val="00A7178F"/>
    <w:rsid w:val="00A718B6"/>
    <w:rsid w:val="00A71902"/>
    <w:rsid w:val="00A7191E"/>
    <w:rsid w:val="00A719A5"/>
    <w:rsid w:val="00A71ACC"/>
    <w:rsid w:val="00A71B23"/>
    <w:rsid w:val="00A71BC5"/>
    <w:rsid w:val="00A71BD6"/>
    <w:rsid w:val="00A71D0B"/>
    <w:rsid w:val="00A71D3C"/>
    <w:rsid w:val="00A71D9C"/>
    <w:rsid w:val="00A71E92"/>
    <w:rsid w:val="00A7214F"/>
    <w:rsid w:val="00A72331"/>
    <w:rsid w:val="00A72553"/>
    <w:rsid w:val="00A725A3"/>
    <w:rsid w:val="00A7262D"/>
    <w:rsid w:val="00A72663"/>
    <w:rsid w:val="00A7271D"/>
    <w:rsid w:val="00A728ED"/>
    <w:rsid w:val="00A728FE"/>
    <w:rsid w:val="00A7295E"/>
    <w:rsid w:val="00A729DB"/>
    <w:rsid w:val="00A72AAE"/>
    <w:rsid w:val="00A72B00"/>
    <w:rsid w:val="00A72B2E"/>
    <w:rsid w:val="00A72B74"/>
    <w:rsid w:val="00A72BA2"/>
    <w:rsid w:val="00A72C3C"/>
    <w:rsid w:val="00A72C76"/>
    <w:rsid w:val="00A72D14"/>
    <w:rsid w:val="00A72D38"/>
    <w:rsid w:val="00A72D52"/>
    <w:rsid w:val="00A72DE2"/>
    <w:rsid w:val="00A72E27"/>
    <w:rsid w:val="00A72E46"/>
    <w:rsid w:val="00A72EA7"/>
    <w:rsid w:val="00A72EB7"/>
    <w:rsid w:val="00A73015"/>
    <w:rsid w:val="00A7302C"/>
    <w:rsid w:val="00A7309F"/>
    <w:rsid w:val="00A730D4"/>
    <w:rsid w:val="00A7311B"/>
    <w:rsid w:val="00A73149"/>
    <w:rsid w:val="00A7322E"/>
    <w:rsid w:val="00A732E2"/>
    <w:rsid w:val="00A732F6"/>
    <w:rsid w:val="00A73351"/>
    <w:rsid w:val="00A73366"/>
    <w:rsid w:val="00A733FE"/>
    <w:rsid w:val="00A7345F"/>
    <w:rsid w:val="00A7354C"/>
    <w:rsid w:val="00A73569"/>
    <w:rsid w:val="00A735D6"/>
    <w:rsid w:val="00A735F3"/>
    <w:rsid w:val="00A736CC"/>
    <w:rsid w:val="00A736F2"/>
    <w:rsid w:val="00A7384A"/>
    <w:rsid w:val="00A7385B"/>
    <w:rsid w:val="00A739DA"/>
    <w:rsid w:val="00A73A1F"/>
    <w:rsid w:val="00A73D63"/>
    <w:rsid w:val="00A73DE2"/>
    <w:rsid w:val="00A73E1E"/>
    <w:rsid w:val="00A7401C"/>
    <w:rsid w:val="00A7407F"/>
    <w:rsid w:val="00A74204"/>
    <w:rsid w:val="00A7429E"/>
    <w:rsid w:val="00A74664"/>
    <w:rsid w:val="00A74704"/>
    <w:rsid w:val="00A7482E"/>
    <w:rsid w:val="00A7488D"/>
    <w:rsid w:val="00A74B75"/>
    <w:rsid w:val="00A74C91"/>
    <w:rsid w:val="00A74DD6"/>
    <w:rsid w:val="00A74DDA"/>
    <w:rsid w:val="00A74DE2"/>
    <w:rsid w:val="00A74E0C"/>
    <w:rsid w:val="00A74EB1"/>
    <w:rsid w:val="00A74F1D"/>
    <w:rsid w:val="00A74F5E"/>
    <w:rsid w:val="00A74F9D"/>
    <w:rsid w:val="00A75142"/>
    <w:rsid w:val="00A751AA"/>
    <w:rsid w:val="00A751B0"/>
    <w:rsid w:val="00A75236"/>
    <w:rsid w:val="00A752D7"/>
    <w:rsid w:val="00A75536"/>
    <w:rsid w:val="00A7558A"/>
    <w:rsid w:val="00A755E4"/>
    <w:rsid w:val="00A7568A"/>
    <w:rsid w:val="00A75737"/>
    <w:rsid w:val="00A75769"/>
    <w:rsid w:val="00A7579E"/>
    <w:rsid w:val="00A7592E"/>
    <w:rsid w:val="00A75A19"/>
    <w:rsid w:val="00A75AC5"/>
    <w:rsid w:val="00A75AF9"/>
    <w:rsid w:val="00A75B63"/>
    <w:rsid w:val="00A75C0B"/>
    <w:rsid w:val="00A75D01"/>
    <w:rsid w:val="00A75EB6"/>
    <w:rsid w:val="00A75EF8"/>
    <w:rsid w:val="00A75F2D"/>
    <w:rsid w:val="00A75FD3"/>
    <w:rsid w:val="00A7616D"/>
    <w:rsid w:val="00A76192"/>
    <w:rsid w:val="00A761CC"/>
    <w:rsid w:val="00A761D3"/>
    <w:rsid w:val="00A761F7"/>
    <w:rsid w:val="00A7621C"/>
    <w:rsid w:val="00A76229"/>
    <w:rsid w:val="00A7624A"/>
    <w:rsid w:val="00A76273"/>
    <w:rsid w:val="00A762E0"/>
    <w:rsid w:val="00A7632F"/>
    <w:rsid w:val="00A763A0"/>
    <w:rsid w:val="00A763BF"/>
    <w:rsid w:val="00A76495"/>
    <w:rsid w:val="00A7658D"/>
    <w:rsid w:val="00A7660E"/>
    <w:rsid w:val="00A7666F"/>
    <w:rsid w:val="00A766F7"/>
    <w:rsid w:val="00A767E0"/>
    <w:rsid w:val="00A767F7"/>
    <w:rsid w:val="00A7681A"/>
    <w:rsid w:val="00A7683D"/>
    <w:rsid w:val="00A7685F"/>
    <w:rsid w:val="00A7689C"/>
    <w:rsid w:val="00A768BE"/>
    <w:rsid w:val="00A769C8"/>
    <w:rsid w:val="00A769D8"/>
    <w:rsid w:val="00A76A42"/>
    <w:rsid w:val="00A76A4F"/>
    <w:rsid w:val="00A76A56"/>
    <w:rsid w:val="00A76A9D"/>
    <w:rsid w:val="00A76B20"/>
    <w:rsid w:val="00A76B93"/>
    <w:rsid w:val="00A76BE3"/>
    <w:rsid w:val="00A76C5D"/>
    <w:rsid w:val="00A76C7B"/>
    <w:rsid w:val="00A76E19"/>
    <w:rsid w:val="00A76E57"/>
    <w:rsid w:val="00A76E6C"/>
    <w:rsid w:val="00A76EEF"/>
    <w:rsid w:val="00A76F5C"/>
    <w:rsid w:val="00A76FCE"/>
    <w:rsid w:val="00A77078"/>
    <w:rsid w:val="00A77122"/>
    <w:rsid w:val="00A7724F"/>
    <w:rsid w:val="00A77264"/>
    <w:rsid w:val="00A7728B"/>
    <w:rsid w:val="00A77536"/>
    <w:rsid w:val="00A77547"/>
    <w:rsid w:val="00A77566"/>
    <w:rsid w:val="00A7757C"/>
    <w:rsid w:val="00A77698"/>
    <w:rsid w:val="00A7773D"/>
    <w:rsid w:val="00A777D8"/>
    <w:rsid w:val="00A7781C"/>
    <w:rsid w:val="00A7781D"/>
    <w:rsid w:val="00A778FB"/>
    <w:rsid w:val="00A779CC"/>
    <w:rsid w:val="00A779D9"/>
    <w:rsid w:val="00A77A03"/>
    <w:rsid w:val="00A77A0B"/>
    <w:rsid w:val="00A77A80"/>
    <w:rsid w:val="00A77A91"/>
    <w:rsid w:val="00A77C16"/>
    <w:rsid w:val="00A77CA1"/>
    <w:rsid w:val="00A77CFB"/>
    <w:rsid w:val="00A77D57"/>
    <w:rsid w:val="00A77D63"/>
    <w:rsid w:val="00A77DC0"/>
    <w:rsid w:val="00A77DC2"/>
    <w:rsid w:val="00A77EBC"/>
    <w:rsid w:val="00A77FE9"/>
    <w:rsid w:val="00A80078"/>
    <w:rsid w:val="00A800F1"/>
    <w:rsid w:val="00A8023E"/>
    <w:rsid w:val="00A802ED"/>
    <w:rsid w:val="00A8034B"/>
    <w:rsid w:val="00A80431"/>
    <w:rsid w:val="00A805A4"/>
    <w:rsid w:val="00A805AA"/>
    <w:rsid w:val="00A80625"/>
    <w:rsid w:val="00A80794"/>
    <w:rsid w:val="00A80962"/>
    <w:rsid w:val="00A809E7"/>
    <w:rsid w:val="00A80AF0"/>
    <w:rsid w:val="00A80B6A"/>
    <w:rsid w:val="00A80BA0"/>
    <w:rsid w:val="00A80BF9"/>
    <w:rsid w:val="00A80C44"/>
    <w:rsid w:val="00A80C8A"/>
    <w:rsid w:val="00A80CFE"/>
    <w:rsid w:val="00A80D90"/>
    <w:rsid w:val="00A80DF5"/>
    <w:rsid w:val="00A80F8D"/>
    <w:rsid w:val="00A80FDC"/>
    <w:rsid w:val="00A81148"/>
    <w:rsid w:val="00A81184"/>
    <w:rsid w:val="00A81283"/>
    <w:rsid w:val="00A812E0"/>
    <w:rsid w:val="00A812F4"/>
    <w:rsid w:val="00A814DB"/>
    <w:rsid w:val="00A81504"/>
    <w:rsid w:val="00A815B5"/>
    <w:rsid w:val="00A8165F"/>
    <w:rsid w:val="00A81753"/>
    <w:rsid w:val="00A81774"/>
    <w:rsid w:val="00A81781"/>
    <w:rsid w:val="00A817CF"/>
    <w:rsid w:val="00A817D1"/>
    <w:rsid w:val="00A81A31"/>
    <w:rsid w:val="00A81A4F"/>
    <w:rsid w:val="00A81A89"/>
    <w:rsid w:val="00A81B10"/>
    <w:rsid w:val="00A81BAE"/>
    <w:rsid w:val="00A81C23"/>
    <w:rsid w:val="00A81C24"/>
    <w:rsid w:val="00A81D7F"/>
    <w:rsid w:val="00A81DD5"/>
    <w:rsid w:val="00A82031"/>
    <w:rsid w:val="00A8208A"/>
    <w:rsid w:val="00A82360"/>
    <w:rsid w:val="00A82417"/>
    <w:rsid w:val="00A82418"/>
    <w:rsid w:val="00A825B5"/>
    <w:rsid w:val="00A825B7"/>
    <w:rsid w:val="00A826D2"/>
    <w:rsid w:val="00A82773"/>
    <w:rsid w:val="00A82785"/>
    <w:rsid w:val="00A8279C"/>
    <w:rsid w:val="00A8289D"/>
    <w:rsid w:val="00A828AC"/>
    <w:rsid w:val="00A82952"/>
    <w:rsid w:val="00A82993"/>
    <w:rsid w:val="00A829CF"/>
    <w:rsid w:val="00A829EC"/>
    <w:rsid w:val="00A82B82"/>
    <w:rsid w:val="00A82CB2"/>
    <w:rsid w:val="00A82D08"/>
    <w:rsid w:val="00A82D99"/>
    <w:rsid w:val="00A82DD9"/>
    <w:rsid w:val="00A82E0A"/>
    <w:rsid w:val="00A82E26"/>
    <w:rsid w:val="00A82EFA"/>
    <w:rsid w:val="00A8305B"/>
    <w:rsid w:val="00A830FF"/>
    <w:rsid w:val="00A8311D"/>
    <w:rsid w:val="00A83120"/>
    <w:rsid w:val="00A8320E"/>
    <w:rsid w:val="00A83291"/>
    <w:rsid w:val="00A832C8"/>
    <w:rsid w:val="00A833BD"/>
    <w:rsid w:val="00A83586"/>
    <w:rsid w:val="00A8358A"/>
    <w:rsid w:val="00A8388D"/>
    <w:rsid w:val="00A83928"/>
    <w:rsid w:val="00A8392B"/>
    <w:rsid w:val="00A83A07"/>
    <w:rsid w:val="00A83A5B"/>
    <w:rsid w:val="00A83C1A"/>
    <w:rsid w:val="00A83C7F"/>
    <w:rsid w:val="00A83CDD"/>
    <w:rsid w:val="00A83DC5"/>
    <w:rsid w:val="00A83DE3"/>
    <w:rsid w:val="00A83E2E"/>
    <w:rsid w:val="00A83E92"/>
    <w:rsid w:val="00A83EEA"/>
    <w:rsid w:val="00A83FC7"/>
    <w:rsid w:val="00A83FED"/>
    <w:rsid w:val="00A840E3"/>
    <w:rsid w:val="00A840E5"/>
    <w:rsid w:val="00A84111"/>
    <w:rsid w:val="00A84114"/>
    <w:rsid w:val="00A8411F"/>
    <w:rsid w:val="00A84232"/>
    <w:rsid w:val="00A84351"/>
    <w:rsid w:val="00A843DB"/>
    <w:rsid w:val="00A844D3"/>
    <w:rsid w:val="00A844F0"/>
    <w:rsid w:val="00A8451E"/>
    <w:rsid w:val="00A8458D"/>
    <w:rsid w:val="00A84697"/>
    <w:rsid w:val="00A8474E"/>
    <w:rsid w:val="00A84859"/>
    <w:rsid w:val="00A8494D"/>
    <w:rsid w:val="00A849C6"/>
    <w:rsid w:val="00A849E8"/>
    <w:rsid w:val="00A84A7F"/>
    <w:rsid w:val="00A84B08"/>
    <w:rsid w:val="00A84B83"/>
    <w:rsid w:val="00A84B99"/>
    <w:rsid w:val="00A84C2E"/>
    <w:rsid w:val="00A84D99"/>
    <w:rsid w:val="00A84E6A"/>
    <w:rsid w:val="00A84E8A"/>
    <w:rsid w:val="00A84EAD"/>
    <w:rsid w:val="00A84ED3"/>
    <w:rsid w:val="00A84F1D"/>
    <w:rsid w:val="00A84FB6"/>
    <w:rsid w:val="00A85001"/>
    <w:rsid w:val="00A8500B"/>
    <w:rsid w:val="00A85032"/>
    <w:rsid w:val="00A850B1"/>
    <w:rsid w:val="00A850CD"/>
    <w:rsid w:val="00A850D1"/>
    <w:rsid w:val="00A851B6"/>
    <w:rsid w:val="00A8526E"/>
    <w:rsid w:val="00A852EB"/>
    <w:rsid w:val="00A852F3"/>
    <w:rsid w:val="00A85409"/>
    <w:rsid w:val="00A85614"/>
    <w:rsid w:val="00A85776"/>
    <w:rsid w:val="00A85809"/>
    <w:rsid w:val="00A8586F"/>
    <w:rsid w:val="00A85A9F"/>
    <w:rsid w:val="00A85AA8"/>
    <w:rsid w:val="00A85ACE"/>
    <w:rsid w:val="00A85B22"/>
    <w:rsid w:val="00A85B41"/>
    <w:rsid w:val="00A85CE2"/>
    <w:rsid w:val="00A85D78"/>
    <w:rsid w:val="00A85E1C"/>
    <w:rsid w:val="00A85F06"/>
    <w:rsid w:val="00A85F24"/>
    <w:rsid w:val="00A86026"/>
    <w:rsid w:val="00A8608D"/>
    <w:rsid w:val="00A86141"/>
    <w:rsid w:val="00A8618C"/>
    <w:rsid w:val="00A861D2"/>
    <w:rsid w:val="00A861F7"/>
    <w:rsid w:val="00A86323"/>
    <w:rsid w:val="00A86356"/>
    <w:rsid w:val="00A86360"/>
    <w:rsid w:val="00A863C1"/>
    <w:rsid w:val="00A863D0"/>
    <w:rsid w:val="00A86469"/>
    <w:rsid w:val="00A864CD"/>
    <w:rsid w:val="00A86545"/>
    <w:rsid w:val="00A8655F"/>
    <w:rsid w:val="00A865EA"/>
    <w:rsid w:val="00A86746"/>
    <w:rsid w:val="00A8674B"/>
    <w:rsid w:val="00A867C8"/>
    <w:rsid w:val="00A8681E"/>
    <w:rsid w:val="00A868E0"/>
    <w:rsid w:val="00A86945"/>
    <w:rsid w:val="00A86952"/>
    <w:rsid w:val="00A869A3"/>
    <w:rsid w:val="00A869F6"/>
    <w:rsid w:val="00A86A53"/>
    <w:rsid w:val="00A86A80"/>
    <w:rsid w:val="00A86AC7"/>
    <w:rsid w:val="00A86ACD"/>
    <w:rsid w:val="00A86AE9"/>
    <w:rsid w:val="00A86AEC"/>
    <w:rsid w:val="00A86B9D"/>
    <w:rsid w:val="00A86D16"/>
    <w:rsid w:val="00A86D3B"/>
    <w:rsid w:val="00A86D9F"/>
    <w:rsid w:val="00A86E00"/>
    <w:rsid w:val="00A86E14"/>
    <w:rsid w:val="00A86E86"/>
    <w:rsid w:val="00A86EF3"/>
    <w:rsid w:val="00A86F0C"/>
    <w:rsid w:val="00A86F92"/>
    <w:rsid w:val="00A87028"/>
    <w:rsid w:val="00A87073"/>
    <w:rsid w:val="00A870B5"/>
    <w:rsid w:val="00A870BF"/>
    <w:rsid w:val="00A870C3"/>
    <w:rsid w:val="00A870FA"/>
    <w:rsid w:val="00A87241"/>
    <w:rsid w:val="00A8730F"/>
    <w:rsid w:val="00A8739F"/>
    <w:rsid w:val="00A87465"/>
    <w:rsid w:val="00A874AF"/>
    <w:rsid w:val="00A875B1"/>
    <w:rsid w:val="00A87649"/>
    <w:rsid w:val="00A876DD"/>
    <w:rsid w:val="00A877DB"/>
    <w:rsid w:val="00A8790E"/>
    <w:rsid w:val="00A87952"/>
    <w:rsid w:val="00A879F4"/>
    <w:rsid w:val="00A87A15"/>
    <w:rsid w:val="00A87A26"/>
    <w:rsid w:val="00A87B2A"/>
    <w:rsid w:val="00A87B36"/>
    <w:rsid w:val="00A87B58"/>
    <w:rsid w:val="00A87B92"/>
    <w:rsid w:val="00A87C71"/>
    <w:rsid w:val="00A87CB9"/>
    <w:rsid w:val="00A87D62"/>
    <w:rsid w:val="00A87D97"/>
    <w:rsid w:val="00A87DE4"/>
    <w:rsid w:val="00A87EF8"/>
    <w:rsid w:val="00A87FD9"/>
    <w:rsid w:val="00A90153"/>
    <w:rsid w:val="00A901DD"/>
    <w:rsid w:val="00A902A1"/>
    <w:rsid w:val="00A90329"/>
    <w:rsid w:val="00A90351"/>
    <w:rsid w:val="00A90401"/>
    <w:rsid w:val="00A9049B"/>
    <w:rsid w:val="00A904F0"/>
    <w:rsid w:val="00A90539"/>
    <w:rsid w:val="00A90660"/>
    <w:rsid w:val="00A90725"/>
    <w:rsid w:val="00A90776"/>
    <w:rsid w:val="00A908FF"/>
    <w:rsid w:val="00A909BD"/>
    <w:rsid w:val="00A909C1"/>
    <w:rsid w:val="00A90A63"/>
    <w:rsid w:val="00A90AE5"/>
    <w:rsid w:val="00A90B73"/>
    <w:rsid w:val="00A90BC7"/>
    <w:rsid w:val="00A90BD4"/>
    <w:rsid w:val="00A90CE3"/>
    <w:rsid w:val="00A90D29"/>
    <w:rsid w:val="00A90E78"/>
    <w:rsid w:val="00A90ECF"/>
    <w:rsid w:val="00A90EDD"/>
    <w:rsid w:val="00A90EEA"/>
    <w:rsid w:val="00A90F86"/>
    <w:rsid w:val="00A90FEF"/>
    <w:rsid w:val="00A91009"/>
    <w:rsid w:val="00A910EC"/>
    <w:rsid w:val="00A910ED"/>
    <w:rsid w:val="00A911FE"/>
    <w:rsid w:val="00A91250"/>
    <w:rsid w:val="00A91358"/>
    <w:rsid w:val="00A91368"/>
    <w:rsid w:val="00A91453"/>
    <w:rsid w:val="00A914A6"/>
    <w:rsid w:val="00A91523"/>
    <w:rsid w:val="00A918B2"/>
    <w:rsid w:val="00A919A8"/>
    <w:rsid w:val="00A919AE"/>
    <w:rsid w:val="00A919B6"/>
    <w:rsid w:val="00A919B7"/>
    <w:rsid w:val="00A919CC"/>
    <w:rsid w:val="00A919E8"/>
    <w:rsid w:val="00A91A34"/>
    <w:rsid w:val="00A91BA7"/>
    <w:rsid w:val="00A91BAC"/>
    <w:rsid w:val="00A91C05"/>
    <w:rsid w:val="00A91C7C"/>
    <w:rsid w:val="00A91D06"/>
    <w:rsid w:val="00A91D87"/>
    <w:rsid w:val="00A91E86"/>
    <w:rsid w:val="00A91E97"/>
    <w:rsid w:val="00A91F7C"/>
    <w:rsid w:val="00A92077"/>
    <w:rsid w:val="00A920AD"/>
    <w:rsid w:val="00A920DB"/>
    <w:rsid w:val="00A9212F"/>
    <w:rsid w:val="00A92268"/>
    <w:rsid w:val="00A922C2"/>
    <w:rsid w:val="00A923B4"/>
    <w:rsid w:val="00A92400"/>
    <w:rsid w:val="00A92462"/>
    <w:rsid w:val="00A92509"/>
    <w:rsid w:val="00A9251F"/>
    <w:rsid w:val="00A92533"/>
    <w:rsid w:val="00A9254D"/>
    <w:rsid w:val="00A92726"/>
    <w:rsid w:val="00A92779"/>
    <w:rsid w:val="00A92843"/>
    <w:rsid w:val="00A92868"/>
    <w:rsid w:val="00A92893"/>
    <w:rsid w:val="00A9291B"/>
    <w:rsid w:val="00A92A6A"/>
    <w:rsid w:val="00A92A89"/>
    <w:rsid w:val="00A92AC0"/>
    <w:rsid w:val="00A92ACA"/>
    <w:rsid w:val="00A92ADD"/>
    <w:rsid w:val="00A92AF0"/>
    <w:rsid w:val="00A92D37"/>
    <w:rsid w:val="00A92DFC"/>
    <w:rsid w:val="00A92E55"/>
    <w:rsid w:val="00A92ECB"/>
    <w:rsid w:val="00A92F25"/>
    <w:rsid w:val="00A92FD3"/>
    <w:rsid w:val="00A93058"/>
    <w:rsid w:val="00A9313E"/>
    <w:rsid w:val="00A93141"/>
    <w:rsid w:val="00A93173"/>
    <w:rsid w:val="00A932C7"/>
    <w:rsid w:val="00A932CA"/>
    <w:rsid w:val="00A93351"/>
    <w:rsid w:val="00A93368"/>
    <w:rsid w:val="00A9341F"/>
    <w:rsid w:val="00A93446"/>
    <w:rsid w:val="00A93466"/>
    <w:rsid w:val="00A934A2"/>
    <w:rsid w:val="00A934E6"/>
    <w:rsid w:val="00A9356D"/>
    <w:rsid w:val="00A936D8"/>
    <w:rsid w:val="00A93870"/>
    <w:rsid w:val="00A93B3D"/>
    <w:rsid w:val="00A93B67"/>
    <w:rsid w:val="00A93CA1"/>
    <w:rsid w:val="00A93D66"/>
    <w:rsid w:val="00A93DFF"/>
    <w:rsid w:val="00A93F82"/>
    <w:rsid w:val="00A93F8B"/>
    <w:rsid w:val="00A94061"/>
    <w:rsid w:val="00A94137"/>
    <w:rsid w:val="00A94218"/>
    <w:rsid w:val="00A942DD"/>
    <w:rsid w:val="00A942FE"/>
    <w:rsid w:val="00A94473"/>
    <w:rsid w:val="00A944A9"/>
    <w:rsid w:val="00A944B6"/>
    <w:rsid w:val="00A944D8"/>
    <w:rsid w:val="00A94526"/>
    <w:rsid w:val="00A9471F"/>
    <w:rsid w:val="00A9482E"/>
    <w:rsid w:val="00A948CF"/>
    <w:rsid w:val="00A949B1"/>
    <w:rsid w:val="00A94AE7"/>
    <w:rsid w:val="00A94C58"/>
    <w:rsid w:val="00A94C61"/>
    <w:rsid w:val="00A94D1E"/>
    <w:rsid w:val="00A94EA7"/>
    <w:rsid w:val="00A94ECA"/>
    <w:rsid w:val="00A94ED5"/>
    <w:rsid w:val="00A94F1C"/>
    <w:rsid w:val="00A94F81"/>
    <w:rsid w:val="00A950EE"/>
    <w:rsid w:val="00A9511F"/>
    <w:rsid w:val="00A9515A"/>
    <w:rsid w:val="00A951D8"/>
    <w:rsid w:val="00A951E0"/>
    <w:rsid w:val="00A95231"/>
    <w:rsid w:val="00A95410"/>
    <w:rsid w:val="00A95417"/>
    <w:rsid w:val="00A9542A"/>
    <w:rsid w:val="00A9542C"/>
    <w:rsid w:val="00A954D6"/>
    <w:rsid w:val="00A9550C"/>
    <w:rsid w:val="00A955D4"/>
    <w:rsid w:val="00A955DA"/>
    <w:rsid w:val="00A95725"/>
    <w:rsid w:val="00A9577B"/>
    <w:rsid w:val="00A957CD"/>
    <w:rsid w:val="00A95812"/>
    <w:rsid w:val="00A95821"/>
    <w:rsid w:val="00A959B9"/>
    <w:rsid w:val="00A959C3"/>
    <w:rsid w:val="00A95ABE"/>
    <w:rsid w:val="00A95B78"/>
    <w:rsid w:val="00A95C7C"/>
    <w:rsid w:val="00A95CA1"/>
    <w:rsid w:val="00A95D0C"/>
    <w:rsid w:val="00A95D93"/>
    <w:rsid w:val="00A95E45"/>
    <w:rsid w:val="00A95F01"/>
    <w:rsid w:val="00A95FD2"/>
    <w:rsid w:val="00A96004"/>
    <w:rsid w:val="00A9609C"/>
    <w:rsid w:val="00A9611A"/>
    <w:rsid w:val="00A9613B"/>
    <w:rsid w:val="00A9614B"/>
    <w:rsid w:val="00A9618F"/>
    <w:rsid w:val="00A9624B"/>
    <w:rsid w:val="00A96252"/>
    <w:rsid w:val="00A96321"/>
    <w:rsid w:val="00A96368"/>
    <w:rsid w:val="00A9641B"/>
    <w:rsid w:val="00A96490"/>
    <w:rsid w:val="00A964C2"/>
    <w:rsid w:val="00A964FE"/>
    <w:rsid w:val="00A96637"/>
    <w:rsid w:val="00A966D5"/>
    <w:rsid w:val="00A9682D"/>
    <w:rsid w:val="00A968CA"/>
    <w:rsid w:val="00A96960"/>
    <w:rsid w:val="00A96BA9"/>
    <w:rsid w:val="00A96BE6"/>
    <w:rsid w:val="00A96C7C"/>
    <w:rsid w:val="00A96C98"/>
    <w:rsid w:val="00A96CB9"/>
    <w:rsid w:val="00A96E18"/>
    <w:rsid w:val="00A96E63"/>
    <w:rsid w:val="00A96ED8"/>
    <w:rsid w:val="00A96FF1"/>
    <w:rsid w:val="00A970CF"/>
    <w:rsid w:val="00A971C9"/>
    <w:rsid w:val="00A97209"/>
    <w:rsid w:val="00A9726A"/>
    <w:rsid w:val="00A9727A"/>
    <w:rsid w:val="00A9729E"/>
    <w:rsid w:val="00A972AF"/>
    <w:rsid w:val="00A972B8"/>
    <w:rsid w:val="00A972EE"/>
    <w:rsid w:val="00A975F0"/>
    <w:rsid w:val="00A9761C"/>
    <w:rsid w:val="00A976EC"/>
    <w:rsid w:val="00A97788"/>
    <w:rsid w:val="00A97872"/>
    <w:rsid w:val="00A978A3"/>
    <w:rsid w:val="00A9792F"/>
    <w:rsid w:val="00A979B7"/>
    <w:rsid w:val="00A979C6"/>
    <w:rsid w:val="00A97AC4"/>
    <w:rsid w:val="00A97B1D"/>
    <w:rsid w:val="00A97B87"/>
    <w:rsid w:val="00A97E52"/>
    <w:rsid w:val="00A97ED4"/>
    <w:rsid w:val="00A97EE2"/>
    <w:rsid w:val="00A97F7D"/>
    <w:rsid w:val="00AA008F"/>
    <w:rsid w:val="00AA00F9"/>
    <w:rsid w:val="00AA0124"/>
    <w:rsid w:val="00AA017F"/>
    <w:rsid w:val="00AA021F"/>
    <w:rsid w:val="00AA02BF"/>
    <w:rsid w:val="00AA030C"/>
    <w:rsid w:val="00AA0329"/>
    <w:rsid w:val="00AA0478"/>
    <w:rsid w:val="00AA04BE"/>
    <w:rsid w:val="00AA0668"/>
    <w:rsid w:val="00AA0698"/>
    <w:rsid w:val="00AA0724"/>
    <w:rsid w:val="00AA0755"/>
    <w:rsid w:val="00AA09D3"/>
    <w:rsid w:val="00AA09D9"/>
    <w:rsid w:val="00AA0B8E"/>
    <w:rsid w:val="00AA0C03"/>
    <w:rsid w:val="00AA0C88"/>
    <w:rsid w:val="00AA0D50"/>
    <w:rsid w:val="00AA0EA3"/>
    <w:rsid w:val="00AA0EC7"/>
    <w:rsid w:val="00AA1091"/>
    <w:rsid w:val="00AA1149"/>
    <w:rsid w:val="00AA1161"/>
    <w:rsid w:val="00AA116B"/>
    <w:rsid w:val="00AA118B"/>
    <w:rsid w:val="00AA12B1"/>
    <w:rsid w:val="00AA133E"/>
    <w:rsid w:val="00AA1388"/>
    <w:rsid w:val="00AA13C6"/>
    <w:rsid w:val="00AA14C3"/>
    <w:rsid w:val="00AA1512"/>
    <w:rsid w:val="00AA158D"/>
    <w:rsid w:val="00AA1640"/>
    <w:rsid w:val="00AA1788"/>
    <w:rsid w:val="00AA1917"/>
    <w:rsid w:val="00AA1A4F"/>
    <w:rsid w:val="00AA1ADE"/>
    <w:rsid w:val="00AA1BEF"/>
    <w:rsid w:val="00AA1C50"/>
    <w:rsid w:val="00AA1CC2"/>
    <w:rsid w:val="00AA1CF0"/>
    <w:rsid w:val="00AA1DD4"/>
    <w:rsid w:val="00AA1E02"/>
    <w:rsid w:val="00AA1E8D"/>
    <w:rsid w:val="00AA1F04"/>
    <w:rsid w:val="00AA20E9"/>
    <w:rsid w:val="00AA214F"/>
    <w:rsid w:val="00AA2227"/>
    <w:rsid w:val="00AA2242"/>
    <w:rsid w:val="00AA224A"/>
    <w:rsid w:val="00AA22CA"/>
    <w:rsid w:val="00AA22CB"/>
    <w:rsid w:val="00AA231B"/>
    <w:rsid w:val="00AA233C"/>
    <w:rsid w:val="00AA2368"/>
    <w:rsid w:val="00AA2611"/>
    <w:rsid w:val="00AA264F"/>
    <w:rsid w:val="00AA26A1"/>
    <w:rsid w:val="00AA2802"/>
    <w:rsid w:val="00AA2813"/>
    <w:rsid w:val="00AA2858"/>
    <w:rsid w:val="00AA2A10"/>
    <w:rsid w:val="00AA2A18"/>
    <w:rsid w:val="00AA2AD0"/>
    <w:rsid w:val="00AA2BF5"/>
    <w:rsid w:val="00AA2EE7"/>
    <w:rsid w:val="00AA2F6A"/>
    <w:rsid w:val="00AA2F8C"/>
    <w:rsid w:val="00AA2FE9"/>
    <w:rsid w:val="00AA3022"/>
    <w:rsid w:val="00AA30AD"/>
    <w:rsid w:val="00AA30B1"/>
    <w:rsid w:val="00AA32CF"/>
    <w:rsid w:val="00AA331F"/>
    <w:rsid w:val="00AA3634"/>
    <w:rsid w:val="00AA3663"/>
    <w:rsid w:val="00AA3671"/>
    <w:rsid w:val="00AA379D"/>
    <w:rsid w:val="00AA37BB"/>
    <w:rsid w:val="00AA3815"/>
    <w:rsid w:val="00AA38B2"/>
    <w:rsid w:val="00AA39C6"/>
    <w:rsid w:val="00AA3B0A"/>
    <w:rsid w:val="00AA3B10"/>
    <w:rsid w:val="00AA3B51"/>
    <w:rsid w:val="00AA3B8C"/>
    <w:rsid w:val="00AA3BB3"/>
    <w:rsid w:val="00AA3C42"/>
    <w:rsid w:val="00AA3CB7"/>
    <w:rsid w:val="00AA3D25"/>
    <w:rsid w:val="00AA3D9F"/>
    <w:rsid w:val="00AA3F97"/>
    <w:rsid w:val="00AA4139"/>
    <w:rsid w:val="00AA417B"/>
    <w:rsid w:val="00AA41D8"/>
    <w:rsid w:val="00AA42CF"/>
    <w:rsid w:val="00AA4683"/>
    <w:rsid w:val="00AA47DA"/>
    <w:rsid w:val="00AA4879"/>
    <w:rsid w:val="00AA48F8"/>
    <w:rsid w:val="00AA4A3E"/>
    <w:rsid w:val="00AA4AC1"/>
    <w:rsid w:val="00AA4C1A"/>
    <w:rsid w:val="00AA4E7F"/>
    <w:rsid w:val="00AA5096"/>
    <w:rsid w:val="00AA5146"/>
    <w:rsid w:val="00AA5150"/>
    <w:rsid w:val="00AA51EE"/>
    <w:rsid w:val="00AA54ED"/>
    <w:rsid w:val="00AA5579"/>
    <w:rsid w:val="00AA5693"/>
    <w:rsid w:val="00AA5798"/>
    <w:rsid w:val="00AA57C1"/>
    <w:rsid w:val="00AA58CE"/>
    <w:rsid w:val="00AA59D5"/>
    <w:rsid w:val="00AA5A24"/>
    <w:rsid w:val="00AA5B51"/>
    <w:rsid w:val="00AA5C2F"/>
    <w:rsid w:val="00AA5C4D"/>
    <w:rsid w:val="00AA5C92"/>
    <w:rsid w:val="00AA5D0E"/>
    <w:rsid w:val="00AA5D74"/>
    <w:rsid w:val="00AA5D8B"/>
    <w:rsid w:val="00AA5EC6"/>
    <w:rsid w:val="00AA5F67"/>
    <w:rsid w:val="00AA5F92"/>
    <w:rsid w:val="00AA5F9D"/>
    <w:rsid w:val="00AA62EA"/>
    <w:rsid w:val="00AA62FE"/>
    <w:rsid w:val="00AA640E"/>
    <w:rsid w:val="00AA6449"/>
    <w:rsid w:val="00AA64C2"/>
    <w:rsid w:val="00AA6574"/>
    <w:rsid w:val="00AA6621"/>
    <w:rsid w:val="00AA66B7"/>
    <w:rsid w:val="00AA6A13"/>
    <w:rsid w:val="00AA6A5A"/>
    <w:rsid w:val="00AA6B59"/>
    <w:rsid w:val="00AA6B5C"/>
    <w:rsid w:val="00AA6C1E"/>
    <w:rsid w:val="00AA6CC6"/>
    <w:rsid w:val="00AA6CF9"/>
    <w:rsid w:val="00AA6D17"/>
    <w:rsid w:val="00AA6D2B"/>
    <w:rsid w:val="00AA6D9A"/>
    <w:rsid w:val="00AA6DF9"/>
    <w:rsid w:val="00AA6EA6"/>
    <w:rsid w:val="00AA6ECD"/>
    <w:rsid w:val="00AA6F56"/>
    <w:rsid w:val="00AA70BF"/>
    <w:rsid w:val="00AA71C7"/>
    <w:rsid w:val="00AA7200"/>
    <w:rsid w:val="00AA72E4"/>
    <w:rsid w:val="00AA74B8"/>
    <w:rsid w:val="00AA74EA"/>
    <w:rsid w:val="00AA7660"/>
    <w:rsid w:val="00AA76C1"/>
    <w:rsid w:val="00AA779B"/>
    <w:rsid w:val="00AA7983"/>
    <w:rsid w:val="00AA7A3D"/>
    <w:rsid w:val="00AA7A9B"/>
    <w:rsid w:val="00AA7B29"/>
    <w:rsid w:val="00AA7B96"/>
    <w:rsid w:val="00AA7C68"/>
    <w:rsid w:val="00AA7CBF"/>
    <w:rsid w:val="00AA7EE6"/>
    <w:rsid w:val="00AA7F58"/>
    <w:rsid w:val="00AB0200"/>
    <w:rsid w:val="00AB0221"/>
    <w:rsid w:val="00AB03B8"/>
    <w:rsid w:val="00AB042F"/>
    <w:rsid w:val="00AB06BD"/>
    <w:rsid w:val="00AB0877"/>
    <w:rsid w:val="00AB0933"/>
    <w:rsid w:val="00AB09E2"/>
    <w:rsid w:val="00AB0B2F"/>
    <w:rsid w:val="00AB0BB1"/>
    <w:rsid w:val="00AB0BEC"/>
    <w:rsid w:val="00AB0C22"/>
    <w:rsid w:val="00AB0C52"/>
    <w:rsid w:val="00AB0CA2"/>
    <w:rsid w:val="00AB0CF4"/>
    <w:rsid w:val="00AB0D24"/>
    <w:rsid w:val="00AB0D54"/>
    <w:rsid w:val="00AB0E07"/>
    <w:rsid w:val="00AB0F18"/>
    <w:rsid w:val="00AB0F5A"/>
    <w:rsid w:val="00AB0FB6"/>
    <w:rsid w:val="00AB10AC"/>
    <w:rsid w:val="00AB1208"/>
    <w:rsid w:val="00AB125D"/>
    <w:rsid w:val="00AB12CA"/>
    <w:rsid w:val="00AB130F"/>
    <w:rsid w:val="00AB14AA"/>
    <w:rsid w:val="00AB14C8"/>
    <w:rsid w:val="00AB15C1"/>
    <w:rsid w:val="00AB1620"/>
    <w:rsid w:val="00AB16DF"/>
    <w:rsid w:val="00AB172F"/>
    <w:rsid w:val="00AB1748"/>
    <w:rsid w:val="00AB17B6"/>
    <w:rsid w:val="00AB186A"/>
    <w:rsid w:val="00AB186E"/>
    <w:rsid w:val="00AB18F6"/>
    <w:rsid w:val="00AB19B4"/>
    <w:rsid w:val="00AB1A12"/>
    <w:rsid w:val="00AB1A30"/>
    <w:rsid w:val="00AB1A44"/>
    <w:rsid w:val="00AB1B3F"/>
    <w:rsid w:val="00AB1B65"/>
    <w:rsid w:val="00AB1FA4"/>
    <w:rsid w:val="00AB2059"/>
    <w:rsid w:val="00AB20CD"/>
    <w:rsid w:val="00AB20F2"/>
    <w:rsid w:val="00AB21BE"/>
    <w:rsid w:val="00AB232C"/>
    <w:rsid w:val="00AB236D"/>
    <w:rsid w:val="00AB23D3"/>
    <w:rsid w:val="00AB252C"/>
    <w:rsid w:val="00AB25C9"/>
    <w:rsid w:val="00AB2659"/>
    <w:rsid w:val="00AB26B9"/>
    <w:rsid w:val="00AB2769"/>
    <w:rsid w:val="00AB281E"/>
    <w:rsid w:val="00AB2950"/>
    <w:rsid w:val="00AB2A9B"/>
    <w:rsid w:val="00AB2B9D"/>
    <w:rsid w:val="00AB2C07"/>
    <w:rsid w:val="00AB2DF2"/>
    <w:rsid w:val="00AB2E3C"/>
    <w:rsid w:val="00AB2F20"/>
    <w:rsid w:val="00AB2F42"/>
    <w:rsid w:val="00AB2F91"/>
    <w:rsid w:val="00AB2FA6"/>
    <w:rsid w:val="00AB3007"/>
    <w:rsid w:val="00AB30D3"/>
    <w:rsid w:val="00AB313D"/>
    <w:rsid w:val="00AB315E"/>
    <w:rsid w:val="00AB3230"/>
    <w:rsid w:val="00AB32FF"/>
    <w:rsid w:val="00AB3352"/>
    <w:rsid w:val="00AB3702"/>
    <w:rsid w:val="00AB3711"/>
    <w:rsid w:val="00AB37AC"/>
    <w:rsid w:val="00AB3827"/>
    <w:rsid w:val="00AB3836"/>
    <w:rsid w:val="00AB38B0"/>
    <w:rsid w:val="00AB38DA"/>
    <w:rsid w:val="00AB38EC"/>
    <w:rsid w:val="00AB3BD9"/>
    <w:rsid w:val="00AB3E78"/>
    <w:rsid w:val="00AB3FA1"/>
    <w:rsid w:val="00AB4103"/>
    <w:rsid w:val="00AB4199"/>
    <w:rsid w:val="00AB41A2"/>
    <w:rsid w:val="00AB42A5"/>
    <w:rsid w:val="00AB4476"/>
    <w:rsid w:val="00AB4577"/>
    <w:rsid w:val="00AB4620"/>
    <w:rsid w:val="00AB46C5"/>
    <w:rsid w:val="00AB470A"/>
    <w:rsid w:val="00AB481B"/>
    <w:rsid w:val="00AB48D7"/>
    <w:rsid w:val="00AB492A"/>
    <w:rsid w:val="00AB4944"/>
    <w:rsid w:val="00AB498A"/>
    <w:rsid w:val="00AB49A3"/>
    <w:rsid w:val="00AB4BAC"/>
    <w:rsid w:val="00AB4BDC"/>
    <w:rsid w:val="00AB4C3C"/>
    <w:rsid w:val="00AB4CF0"/>
    <w:rsid w:val="00AB4E77"/>
    <w:rsid w:val="00AB4F0B"/>
    <w:rsid w:val="00AB4F30"/>
    <w:rsid w:val="00AB5090"/>
    <w:rsid w:val="00AB5124"/>
    <w:rsid w:val="00AB5216"/>
    <w:rsid w:val="00AB5269"/>
    <w:rsid w:val="00AB537E"/>
    <w:rsid w:val="00AB53F9"/>
    <w:rsid w:val="00AB5452"/>
    <w:rsid w:val="00AB55A7"/>
    <w:rsid w:val="00AB5635"/>
    <w:rsid w:val="00AB56BA"/>
    <w:rsid w:val="00AB5772"/>
    <w:rsid w:val="00AB577E"/>
    <w:rsid w:val="00AB579D"/>
    <w:rsid w:val="00AB5829"/>
    <w:rsid w:val="00AB582F"/>
    <w:rsid w:val="00AB5895"/>
    <w:rsid w:val="00AB5936"/>
    <w:rsid w:val="00AB5B60"/>
    <w:rsid w:val="00AB5BBC"/>
    <w:rsid w:val="00AB5C18"/>
    <w:rsid w:val="00AB5CF1"/>
    <w:rsid w:val="00AB5D4F"/>
    <w:rsid w:val="00AB5E1F"/>
    <w:rsid w:val="00AB60D8"/>
    <w:rsid w:val="00AB61D8"/>
    <w:rsid w:val="00AB62C6"/>
    <w:rsid w:val="00AB6401"/>
    <w:rsid w:val="00AB6433"/>
    <w:rsid w:val="00AB6476"/>
    <w:rsid w:val="00AB6494"/>
    <w:rsid w:val="00AB64CD"/>
    <w:rsid w:val="00AB64E3"/>
    <w:rsid w:val="00AB6591"/>
    <w:rsid w:val="00AB67B1"/>
    <w:rsid w:val="00AB67CC"/>
    <w:rsid w:val="00AB6815"/>
    <w:rsid w:val="00AB686B"/>
    <w:rsid w:val="00AB6A76"/>
    <w:rsid w:val="00AB6ACC"/>
    <w:rsid w:val="00AB6D3E"/>
    <w:rsid w:val="00AB6DC2"/>
    <w:rsid w:val="00AB6DF4"/>
    <w:rsid w:val="00AB6EF1"/>
    <w:rsid w:val="00AB6F31"/>
    <w:rsid w:val="00AB6F56"/>
    <w:rsid w:val="00AB716A"/>
    <w:rsid w:val="00AB726D"/>
    <w:rsid w:val="00AB7297"/>
    <w:rsid w:val="00AB7315"/>
    <w:rsid w:val="00AB7323"/>
    <w:rsid w:val="00AB736C"/>
    <w:rsid w:val="00AB7406"/>
    <w:rsid w:val="00AB754B"/>
    <w:rsid w:val="00AB77BC"/>
    <w:rsid w:val="00AB789E"/>
    <w:rsid w:val="00AB78C8"/>
    <w:rsid w:val="00AB7A30"/>
    <w:rsid w:val="00AB7A53"/>
    <w:rsid w:val="00AB7B23"/>
    <w:rsid w:val="00AB7BE8"/>
    <w:rsid w:val="00AB7C19"/>
    <w:rsid w:val="00AB7C81"/>
    <w:rsid w:val="00AB7D03"/>
    <w:rsid w:val="00AB7E3C"/>
    <w:rsid w:val="00AB7F09"/>
    <w:rsid w:val="00AB7F61"/>
    <w:rsid w:val="00AB7FAD"/>
    <w:rsid w:val="00AB7FC8"/>
    <w:rsid w:val="00AB7FE4"/>
    <w:rsid w:val="00AC00FD"/>
    <w:rsid w:val="00AC03EF"/>
    <w:rsid w:val="00AC04A9"/>
    <w:rsid w:val="00AC05AA"/>
    <w:rsid w:val="00AC0636"/>
    <w:rsid w:val="00AC06E6"/>
    <w:rsid w:val="00AC0708"/>
    <w:rsid w:val="00AC07CD"/>
    <w:rsid w:val="00AC0902"/>
    <w:rsid w:val="00AC092F"/>
    <w:rsid w:val="00AC0997"/>
    <w:rsid w:val="00AC0A33"/>
    <w:rsid w:val="00AC0A60"/>
    <w:rsid w:val="00AC0A89"/>
    <w:rsid w:val="00AC0AC2"/>
    <w:rsid w:val="00AC0B16"/>
    <w:rsid w:val="00AC0BB6"/>
    <w:rsid w:val="00AC0C83"/>
    <w:rsid w:val="00AC0E7B"/>
    <w:rsid w:val="00AC0EA7"/>
    <w:rsid w:val="00AC0EF4"/>
    <w:rsid w:val="00AC0F17"/>
    <w:rsid w:val="00AC0F19"/>
    <w:rsid w:val="00AC1025"/>
    <w:rsid w:val="00AC1065"/>
    <w:rsid w:val="00AC11BE"/>
    <w:rsid w:val="00AC1200"/>
    <w:rsid w:val="00AC12B7"/>
    <w:rsid w:val="00AC14BE"/>
    <w:rsid w:val="00AC1507"/>
    <w:rsid w:val="00AC1532"/>
    <w:rsid w:val="00AC1581"/>
    <w:rsid w:val="00AC1603"/>
    <w:rsid w:val="00AC163E"/>
    <w:rsid w:val="00AC173A"/>
    <w:rsid w:val="00AC17E4"/>
    <w:rsid w:val="00AC1817"/>
    <w:rsid w:val="00AC191C"/>
    <w:rsid w:val="00AC197B"/>
    <w:rsid w:val="00AC1A02"/>
    <w:rsid w:val="00AC1A8C"/>
    <w:rsid w:val="00AC1C11"/>
    <w:rsid w:val="00AC1D66"/>
    <w:rsid w:val="00AC1E34"/>
    <w:rsid w:val="00AC1E96"/>
    <w:rsid w:val="00AC1F08"/>
    <w:rsid w:val="00AC1F57"/>
    <w:rsid w:val="00AC205C"/>
    <w:rsid w:val="00AC21D2"/>
    <w:rsid w:val="00AC21E4"/>
    <w:rsid w:val="00AC22C2"/>
    <w:rsid w:val="00AC2417"/>
    <w:rsid w:val="00AC2464"/>
    <w:rsid w:val="00AC255C"/>
    <w:rsid w:val="00AC262F"/>
    <w:rsid w:val="00AC2709"/>
    <w:rsid w:val="00AC2722"/>
    <w:rsid w:val="00AC2775"/>
    <w:rsid w:val="00AC27AE"/>
    <w:rsid w:val="00AC28FE"/>
    <w:rsid w:val="00AC2959"/>
    <w:rsid w:val="00AC2AD1"/>
    <w:rsid w:val="00AC2B29"/>
    <w:rsid w:val="00AC2BF6"/>
    <w:rsid w:val="00AC2CFA"/>
    <w:rsid w:val="00AC2D17"/>
    <w:rsid w:val="00AC2D33"/>
    <w:rsid w:val="00AC2EA8"/>
    <w:rsid w:val="00AC2F59"/>
    <w:rsid w:val="00AC2F5A"/>
    <w:rsid w:val="00AC3135"/>
    <w:rsid w:val="00AC318C"/>
    <w:rsid w:val="00AC3374"/>
    <w:rsid w:val="00AC33B3"/>
    <w:rsid w:val="00AC3547"/>
    <w:rsid w:val="00AC3558"/>
    <w:rsid w:val="00AC3604"/>
    <w:rsid w:val="00AC36AF"/>
    <w:rsid w:val="00AC3701"/>
    <w:rsid w:val="00AC3768"/>
    <w:rsid w:val="00AC3784"/>
    <w:rsid w:val="00AC3858"/>
    <w:rsid w:val="00AC38DF"/>
    <w:rsid w:val="00AC3B49"/>
    <w:rsid w:val="00AC3B56"/>
    <w:rsid w:val="00AC3D18"/>
    <w:rsid w:val="00AC3D62"/>
    <w:rsid w:val="00AC3DE6"/>
    <w:rsid w:val="00AC3DFB"/>
    <w:rsid w:val="00AC3E2F"/>
    <w:rsid w:val="00AC3F22"/>
    <w:rsid w:val="00AC3F79"/>
    <w:rsid w:val="00AC400D"/>
    <w:rsid w:val="00AC4195"/>
    <w:rsid w:val="00AC425A"/>
    <w:rsid w:val="00AC4282"/>
    <w:rsid w:val="00AC42A0"/>
    <w:rsid w:val="00AC42D0"/>
    <w:rsid w:val="00AC42F2"/>
    <w:rsid w:val="00AC43ED"/>
    <w:rsid w:val="00AC44BB"/>
    <w:rsid w:val="00AC44E7"/>
    <w:rsid w:val="00AC4601"/>
    <w:rsid w:val="00AC4849"/>
    <w:rsid w:val="00AC48F7"/>
    <w:rsid w:val="00AC496E"/>
    <w:rsid w:val="00AC4A3A"/>
    <w:rsid w:val="00AC4A9F"/>
    <w:rsid w:val="00AC4B30"/>
    <w:rsid w:val="00AC4B81"/>
    <w:rsid w:val="00AC4CB5"/>
    <w:rsid w:val="00AC4D84"/>
    <w:rsid w:val="00AC4E55"/>
    <w:rsid w:val="00AC4E75"/>
    <w:rsid w:val="00AC4ECE"/>
    <w:rsid w:val="00AC4F56"/>
    <w:rsid w:val="00AC4FE4"/>
    <w:rsid w:val="00AC50E7"/>
    <w:rsid w:val="00AC51E2"/>
    <w:rsid w:val="00AC51FE"/>
    <w:rsid w:val="00AC5234"/>
    <w:rsid w:val="00AC5357"/>
    <w:rsid w:val="00AC5489"/>
    <w:rsid w:val="00AC54EE"/>
    <w:rsid w:val="00AC5701"/>
    <w:rsid w:val="00AC574A"/>
    <w:rsid w:val="00AC575C"/>
    <w:rsid w:val="00AC577D"/>
    <w:rsid w:val="00AC5787"/>
    <w:rsid w:val="00AC57C8"/>
    <w:rsid w:val="00AC5833"/>
    <w:rsid w:val="00AC587B"/>
    <w:rsid w:val="00AC5887"/>
    <w:rsid w:val="00AC5B11"/>
    <w:rsid w:val="00AC5B9F"/>
    <w:rsid w:val="00AC5C58"/>
    <w:rsid w:val="00AC5CA7"/>
    <w:rsid w:val="00AC5CF4"/>
    <w:rsid w:val="00AC5D1B"/>
    <w:rsid w:val="00AC5E68"/>
    <w:rsid w:val="00AC5E9D"/>
    <w:rsid w:val="00AC5EE8"/>
    <w:rsid w:val="00AC5F6F"/>
    <w:rsid w:val="00AC611C"/>
    <w:rsid w:val="00AC6167"/>
    <w:rsid w:val="00AC618F"/>
    <w:rsid w:val="00AC64A4"/>
    <w:rsid w:val="00AC66A7"/>
    <w:rsid w:val="00AC674D"/>
    <w:rsid w:val="00AC67B5"/>
    <w:rsid w:val="00AC683D"/>
    <w:rsid w:val="00AC6977"/>
    <w:rsid w:val="00AC6987"/>
    <w:rsid w:val="00AC69B0"/>
    <w:rsid w:val="00AC69EA"/>
    <w:rsid w:val="00AC6A75"/>
    <w:rsid w:val="00AC6A8A"/>
    <w:rsid w:val="00AC6B6B"/>
    <w:rsid w:val="00AC6BF1"/>
    <w:rsid w:val="00AC6C4C"/>
    <w:rsid w:val="00AC6CCD"/>
    <w:rsid w:val="00AC6CD7"/>
    <w:rsid w:val="00AC6CFC"/>
    <w:rsid w:val="00AC6EBB"/>
    <w:rsid w:val="00AC6EF8"/>
    <w:rsid w:val="00AC6F4A"/>
    <w:rsid w:val="00AC6F85"/>
    <w:rsid w:val="00AC6FA8"/>
    <w:rsid w:val="00AC6FB4"/>
    <w:rsid w:val="00AC6FE9"/>
    <w:rsid w:val="00AC7011"/>
    <w:rsid w:val="00AC70AD"/>
    <w:rsid w:val="00AC70E8"/>
    <w:rsid w:val="00AC710B"/>
    <w:rsid w:val="00AC7123"/>
    <w:rsid w:val="00AC718B"/>
    <w:rsid w:val="00AC72D2"/>
    <w:rsid w:val="00AC734F"/>
    <w:rsid w:val="00AC7435"/>
    <w:rsid w:val="00AC744D"/>
    <w:rsid w:val="00AC77ED"/>
    <w:rsid w:val="00AC790C"/>
    <w:rsid w:val="00AC7945"/>
    <w:rsid w:val="00AC7977"/>
    <w:rsid w:val="00AC7A00"/>
    <w:rsid w:val="00AC7BE7"/>
    <w:rsid w:val="00AC7C2C"/>
    <w:rsid w:val="00AC7C5B"/>
    <w:rsid w:val="00AC7C65"/>
    <w:rsid w:val="00AC7C6E"/>
    <w:rsid w:val="00AC7C82"/>
    <w:rsid w:val="00AC7CE6"/>
    <w:rsid w:val="00AC7D1B"/>
    <w:rsid w:val="00AC7EA0"/>
    <w:rsid w:val="00AC7EDA"/>
    <w:rsid w:val="00AD000A"/>
    <w:rsid w:val="00AD0154"/>
    <w:rsid w:val="00AD015B"/>
    <w:rsid w:val="00AD01BD"/>
    <w:rsid w:val="00AD01E6"/>
    <w:rsid w:val="00AD02AF"/>
    <w:rsid w:val="00AD044A"/>
    <w:rsid w:val="00AD04D2"/>
    <w:rsid w:val="00AD054C"/>
    <w:rsid w:val="00AD05DE"/>
    <w:rsid w:val="00AD068D"/>
    <w:rsid w:val="00AD0702"/>
    <w:rsid w:val="00AD0714"/>
    <w:rsid w:val="00AD07C7"/>
    <w:rsid w:val="00AD07E6"/>
    <w:rsid w:val="00AD0833"/>
    <w:rsid w:val="00AD0930"/>
    <w:rsid w:val="00AD094B"/>
    <w:rsid w:val="00AD0A92"/>
    <w:rsid w:val="00AD0B33"/>
    <w:rsid w:val="00AD0BC3"/>
    <w:rsid w:val="00AD0C00"/>
    <w:rsid w:val="00AD0C60"/>
    <w:rsid w:val="00AD0C8E"/>
    <w:rsid w:val="00AD0D74"/>
    <w:rsid w:val="00AD0DB4"/>
    <w:rsid w:val="00AD0E90"/>
    <w:rsid w:val="00AD0EC7"/>
    <w:rsid w:val="00AD0F0C"/>
    <w:rsid w:val="00AD0F84"/>
    <w:rsid w:val="00AD0FB7"/>
    <w:rsid w:val="00AD1060"/>
    <w:rsid w:val="00AD1098"/>
    <w:rsid w:val="00AD1113"/>
    <w:rsid w:val="00AD11DF"/>
    <w:rsid w:val="00AD122A"/>
    <w:rsid w:val="00AD12EF"/>
    <w:rsid w:val="00AD14BB"/>
    <w:rsid w:val="00AD15DC"/>
    <w:rsid w:val="00AD1795"/>
    <w:rsid w:val="00AD17F4"/>
    <w:rsid w:val="00AD1846"/>
    <w:rsid w:val="00AD1886"/>
    <w:rsid w:val="00AD18E9"/>
    <w:rsid w:val="00AD18ED"/>
    <w:rsid w:val="00AD195F"/>
    <w:rsid w:val="00AD19CB"/>
    <w:rsid w:val="00AD1C1E"/>
    <w:rsid w:val="00AD1D15"/>
    <w:rsid w:val="00AD1DC6"/>
    <w:rsid w:val="00AD1DEB"/>
    <w:rsid w:val="00AD1E11"/>
    <w:rsid w:val="00AD1E43"/>
    <w:rsid w:val="00AD1E6F"/>
    <w:rsid w:val="00AD1EB2"/>
    <w:rsid w:val="00AD1FF5"/>
    <w:rsid w:val="00AD2043"/>
    <w:rsid w:val="00AD206E"/>
    <w:rsid w:val="00AD20A0"/>
    <w:rsid w:val="00AD20A3"/>
    <w:rsid w:val="00AD20F0"/>
    <w:rsid w:val="00AD23A3"/>
    <w:rsid w:val="00AD23BF"/>
    <w:rsid w:val="00AD23E0"/>
    <w:rsid w:val="00AD24A9"/>
    <w:rsid w:val="00AD25D6"/>
    <w:rsid w:val="00AD2678"/>
    <w:rsid w:val="00AD270F"/>
    <w:rsid w:val="00AD2724"/>
    <w:rsid w:val="00AD278F"/>
    <w:rsid w:val="00AD28A7"/>
    <w:rsid w:val="00AD28DB"/>
    <w:rsid w:val="00AD293B"/>
    <w:rsid w:val="00AD2A29"/>
    <w:rsid w:val="00AD2A2E"/>
    <w:rsid w:val="00AD2A5A"/>
    <w:rsid w:val="00AD2A97"/>
    <w:rsid w:val="00AD2AAB"/>
    <w:rsid w:val="00AD2B56"/>
    <w:rsid w:val="00AD2B73"/>
    <w:rsid w:val="00AD2BE1"/>
    <w:rsid w:val="00AD2BE6"/>
    <w:rsid w:val="00AD2C9F"/>
    <w:rsid w:val="00AD2E3B"/>
    <w:rsid w:val="00AD2E73"/>
    <w:rsid w:val="00AD2EA5"/>
    <w:rsid w:val="00AD2EE8"/>
    <w:rsid w:val="00AD2F28"/>
    <w:rsid w:val="00AD3010"/>
    <w:rsid w:val="00AD3138"/>
    <w:rsid w:val="00AD3293"/>
    <w:rsid w:val="00AD3296"/>
    <w:rsid w:val="00AD329B"/>
    <w:rsid w:val="00AD32A7"/>
    <w:rsid w:val="00AD33F5"/>
    <w:rsid w:val="00AD34FA"/>
    <w:rsid w:val="00AD373A"/>
    <w:rsid w:val="00AD385F"/>
    <w:rsid w:val="00AD38AB"/>
    <w:rsid w:val="00AD38BC"/>
    <w:rsid w:val="00AD39D3"/>
    <w:rsid w:val="00AD3A2A"/>
    <w:rsid w:val="00AD3A3A"/>
    <w:rsid w:val="00AD3AFD"/>
    <w:rsid w:val="00AD3B24"/>
    <w:rsid w:val="00AD3B2C"/>
    <w:rsid w:val="00AD3B6F"/>
    <w:rsid w:val="00AD3BBC"/>
    <w:rsid w:val="00AD3C39"/>
    <w:rsid w:val="00AD3C3D"/>
    <w:rsid w:val="00AD3CC3"/>
    <w:rsid w:val="00AD3D6E"/>
    <w:rsid w:val="00AD3E5E"/>
    <w:rsid w:val="00AD3E7B"/>
    <w:rsid w:val="00AD3F85"/>
    <w:rsid w:val="00AD40C2"/>
    <w:rsid w:val="00AD40F3"/>
    <w:rsid w:val="00AD41FF"/>
    <w:rsid w:val="00AD4247"/>
    <w:rsid w:val="00AD4347"/>
    <w:rsid w:val="00AD4392"/>
    <w:rsid w:val="00AD4434"/>
    <w:rsid w:val="00AD45E7"/>
    <w:rsid w:val="00AD476C"/>
    <w:rsid w:val="00AD47AB"/>
    <w:rsid w:val="00AD47D4"/>
    <w:rsid w:val="00AD487D"/>
    <w:rsid w:val="00AD48CA"/>
    <w:rsid w:val="00AD496B"/>
    <w:rsid w:val="00AD4A61"/>
    <w:rsid w:val="00AD4A82"/>
    <w:rsid w:val="00AD4ADE"/>
    <w:rsid w:val="00AD4ADF"/>
    <w:rsid w:val="00AD4AFC"/>
    <w:rsid w:val="00AD4B17"/>
    <w:rsid w:val="00AD4B4F"/>
    <w:rsid w:val="00AD4CA2"/>
    <w:rsid w:val="00AD4CDD"/>
    <w:rsid w:val="00AD511B"/>
    <w:rsid w:val="00AD511E"/>
    <w:rsid w:val="00AD51AE"/>
    <w:rsid w:val="00AD5209"/>
    <w:rsid w:val="00AD520C"/>
    <w:rsid w:val="00AD5258"/>
    <w:rsid w:val="00AD527B"/>
    <w:rsid w:val="00AD52CA"/>
    <w:rsid w:val="00AD532A"/>
    <w:rsid w:val="00AD5387"/>
    <w:rsid w:val="00AD53D3"/>
    <w:rsid w:val="00AD5494"/>
    <w:rsid w:val="00AD55EC"/>
    <w:rsid w:val="00AD569C"/>
    <w:rsid w:val="00AD573F"/>
    <w:rsid w:val="00AD57E5"/>
    <w:rsid w:val="00AD582E"/>
    <w:rsid w:val="00AD5945"/>
    <w:rsid w:val="00AD5979"/>
    <w:rsid w:val="00AD59F6"/>
    <w:rsid w:val="00AD5B12"/>
    <w:rsid w:val="00AD5C2C"/>
    <w:rsid w:val="00AD5C6A"/>
    <w:rsid w:val="00AD5D1D"/>
    <w:rsid w:val="00AD5D49"/>
    <w:rsid w:val="00AD5DA0"/>
    <w:rsid w:val="00AD5E15"/>
    <w:rsid w:val="00AD5E2C"/>
    <w:rsid w:val="00AD5E2D"/>
    <w:rsid w:val="00AD5E69"/>
    <w:rsid w:val="00AD5E7B"/>
    <w:rsid w:val="00AD5EEB"/>
    <w:rsid w:val="00AD5F8A"/>
    <w:rsid w:val="00AD5FA7"/>
    <w:rsid w:val="00AD612D"/>
    <w:rsid w:val="00AD612E"/>
    <w:rsid w:val="00AD619D"/>
    <w:rsid w:val="00AD6273"/>
    <w:rsid w:val="00AD6321"/>
    <w:rsid w:val="00AD6360"/>
    <w:rsid w:val="00AD6376"/>
    <w:rsid w:val="00AD644E"/>
    <w:rsid w:val="00AD6467"/>
    <w:rsid w:val="00AD6493"/>
    <w:rsid w:val="00AD64BC"/>
    <w:rsid w:val="00AD64BF"/>
    <w:rsid w:val="00AD656F"/>
    <w:rsid w:val="00AD65BF"/>
    <w:rsid w:val="00AD65F5"/>
    <w:rsid w:val="00AD6671"/>
    <w:rsid w:val="00AD67F0"/>
    <w:rsid w:val="00AD67F3"/>
    <w:rsid w:val="00AD6831"/>
    <w:rsid w:val="00AD6965"/>
    <w:rsid w:val="00AD6A28"/>
    <w:rsid w:val="00AD6A87"/>
    <w:rsid w:val="00AD6AA3"/>
    <w:rsid w:val="00AD6B2C"/>
    <w:rsid w:val="00AD6CA1"/>
    <w:rsid w:val="00AD6D0D"/>
    <w:rsid w:val="00AD6D27"/>
    <w:rsid w:val="00AD6D85"/>
    <w:rsid w:val="00AD6E87"/>
    <w:rsid w:val="00AD6E97"/>
    <w:rsid w:val="00AD6EC2"/>
    <w:rsid w:val="00AD705E"/>
    <w:rsid w:val="00AD70B5"/>
    <w:rsid w:val="00AD70D5"/>
    <w:rsid w:val="00AD712C"/>
    <w:rsid w:val="00AD71CE"/>
    <w:rsid w:val="00AD7280"/>
    <w:rsid w:val="00AD7283"/>
    <w:rsid w:val="00AD72A3"/>
    <w:rsid w:val="00AD7361"/>
    <w:rsid w:val="00AD73F1"/>
    <w:rsid w:val="00AD7641"/>
    <w:rsid w:val="00AD793A"/>
    <w:rsid w:val="00AD7C5C"/>
    <w:rsid w:val="00AD7CC5"/>
    <w:rsid w:val="00AD7D2A"/>
    <w:rsid w:val="00AD7D77"/>
    <w:rsid w:val="00AD7D93"/>
    <w:rsid w:val="00AD7FAC"/>
    <w:rsid w:val="00AE0003"/>
    <w:rsid w:val="00AE0019"/>
    <w:rsid w:val="00AE02AD"/>
    <w:rsid w:val="00AE02D5"/>
    <w:rsid w:val="00AE0376"/>
    <w:rsid w:val="00AE03B1"/>
    <w:rsid w:val="00AE04B2"/>
    <w:rsid w:val="00AE08F4"/>
    <w:rsid w:val="00AE0928"/>
    <w:rsid w:val="00AE09ED"/>
    <w:rsid w:val="00AE09F3"/>
    <w:rsid w:val="00AE0AB3"/>
    <w:rsid w:val="00AE0B4E"/>
    <w:rsid w:val="00AE0B98"/>
    <w:rsid w:val="00AE0BF6"/>
    <w:rsid w:val="00AE0C63"/>
    <w:rsid w:val="00AE0D4E"/>
    <w:rsid w:val="00AE0D97"/>
    <w:rsid w:val="00AE0DE4"/>
    <w:rsid w:val="00AE0E72"/>
    <w:rsid w:val="00AE0F3A"/>
    <w:rsid w:val="00AE0F71"/>
    <w:rsid w:val="00AE1156"/>
    <w:rsid w:val="00AE11A4"/>
    <w:rsid w:val="00AE11FE"/>
    <w:rsid w:val="00AE12F5"/>
    <w:rsid w:val="00AE1358"/>
    <w:rsid w:val="00AE13A6"/>
    <w:rsid w:val="00AE13C7"/>
    <w:rsid w:val="00AE13F9"/>
    <w:rsid w:val="00AE14B4"/>
    <w:rsid w:val="00AE1514"/>
    <w:rsid w:val="00AE17F3"/>
    <w:rsid w:val="00AE1823"/>
    <w:rsid w:val="00AE1839"/>
    <w:rsid w:val="00AE19B9"/>
    <w:rsid w:val="00AE19F3"/>
    <w:rsid w:val="00AE1A90"/>
    <w:rsid w:val="00AE1ACB"/>
    <w:rsid w:val="00AE1B87"/>
    <w:rsid w:val="00AE1C32"/>
    <w:rsid w:val="00AE1C4B"/>
    <w:rsid w:val="00AE1D6F"/>
    <w:rsid w:val="00AE1D7E"/>
    <w:rsid w:val="00AE1E64"/>
    <w:rsid w:val="00AE1E76"/>
    <w:rsid w:val="00AE1F23"/>
    <w:rsid w:val="00AE1F32"/>
    <w:rsid w:val="00AE1FD1"/>
    <w:rsid w:val="00AE2018"/>
    <w:rsid w:val="00AE20AA"/>
    <w:rsid w:val="00AE2267"/>
    <w:rsid w:val="00AE233B"/>
    <w:rsid w:val="00AE238F"/>
    <w:rsid w:val="00AE24D5"/>
    <w:rsid w:val="00AE252E"/>
    <w:rsid w:val="00AE2561"/>
    <w:rsid w:val="00AE2584"/>
    <w:rsid w:val="00AE2618"/>
    <w:rsid w:val="00AE2653"/>
    <w:rsid w:val="00AE2662"/>
    <w:rsid w:val="00AE269D"/>
    <w:rsid w:val="00AE26AB"/>
    <w:rsid w:val="00AE26E4"/>
    <w:rsid w:val="00AE27F7"/>
    <w:rsid w:val="00AE2809"/>
    <w:rsid w:val="00AE282E"/>
    <w:rsid w:val="00AE284C"/>
    <w:rsid w:val="00AE2969"/>
    <w:rsid w:val="00AE29EB"/>
    <w:rsid w:val="00AE2B07"/>
    <w:rsid w:val="00AE2BC1"/>
    <w:rsid w:val="00AE2C1B"/>
    <w:rsid w:val="00AE2C56"/>
    <w:rsid w:val="00AE2C73"/>
    <w:rsid w:val="00AE2D03"/>
    <w:rsid w:val="00AE2D05"/>
    <w:rsid w:val="00AE2ED7"/>
    <w:rsid w:val="00AE2F12"/>
    <w:rsid w:val="00AE2F14"/>
    <w:rsid w:val="00AE2F3B"/>
    <w:rsid w:val="00AE312C"/>
    <w:rsid w:val="00AE3138"/>
    <w:rsid w:val="00AE314E"/>
    <w:rsid w:val="00AE3161"/>
    <w:rsid w:val="00AE3163"/>
    <w:rsid w:val="00AE316F"/>
    <w:rsid w:val="00AE3198"/>
    <w:rsid w:val="00AE31B2"/>
    <w:rsid w:val="00AE31C1"/>
    <w:rsid w:val="00AE3250"/>
    <w:rsid w:val="00AE330E"/>
    <w:rsid w:val="00AE334A"/>
    <w:rsid w:val="00AE3356"/>
    <w:rsid w:val="00AE337F"/>
    <w:rsid w:val="00AE338C"/>
    <w:rsid w:val="00AE344B"/>
    <w:rsid w:val="00AE3510"/>
    <w:rsid w:val="00AE351A"/>
    <w:rsid w:val="00AE35FB"/>
    <w:rsid w:val="00AE3609"/>
    <w:rsid w:val="00AE37E3"/>
    <w:rsid w:val="00AE38A3"/>
    <w:rsid w:val="00AE39F0"/>
    <w:rsid w:val="00AE3AE9"/>
    <w:rsid w:val="00AE3B2C"/>
    <w:rsid w:val="00AE3B9A"/>
    <w:rsid w:val="00AE3BA2"/>
    <w:rsid w:val="00AE3BCB"/>
    <w:rsid w:val="00AE3D7C"/>
    <w:rsid w:val="00AE3F1D"/>
    <w:rsid w:val="00AE3F2F"/>
    <w:rsid w:val="00AE401A"/>
    <w:rsid w:val="00AE4085"/>
    <w:rsid w:val="00AE40D4"/>
    <w:rsid w:val="00AE414C"/>
    <w:rsid w:val="00AE4231"/>
    <w:rsid w:val="00AE4237"/>
    <w:rsid w:val="00AE4273"/>
    <w:rsid w:val="00AE4277"/>
    <w:rsid w:val="00AE43FC"/>
    <w:rsid w:val="00AE4588"/>
    <w:rsid w:val="00AE45FE"/>
    <w:rsid w:val="00AE463D"/>
    <w:rsid w:val="00AE4699"/>
    <w:rsid w:val="00AE46BE"/>
    <w:rsid w:val="00AE48E4"/>
    <w:rsid w:val="00AE48EB"/>
    <w:rsid w:val="00AE4972"/>
    <w:rsid w:val="00AE497E"/>
    <w:rsid w:val="00AE49CE"/>
    <w:rsid w:val="00AE49F9"/>
    <w:rsid w:val="00AE4A10"/>
    <w:rsid w:val="00AE4A12"/>
    <w:rsid w:val="00AE4A3F"/>
    <w:rsid w:val="00AE4AE5"/>
    <w:rsid w:val="00AE4B4B"/>
    <w:rsid w:val="00AE4C10"/>
    <w:rsid w:val="00AE4D34"/>
    <w:rsid w:val="00AE4D76"/>
    <w:rsid w:val="00AE4F1E"/>
    <w:rsid w:val="00AE4FDD"/>
    <w:rsid w:val="00AE502C"/>
    <w:rsid w:val="00AE5364"/>
    <w:rsid w:val="00AE53E7"/>
    <w:rsid w:val="00AE5467"/>
    <w:rsid w:val="00AE5500"/>
    <w:rsid w:val="00AE563E"/>
    <w:rsid w:val="00AE5670"/>
    <w:rsid w:val="00AE5747"/>
    <w:rsid w:val="00AE57D4"/>
    <w:rsid w:val="00AE581F"/>
    <w:rsid w:val="00AE585D"/>
    <w:rsid w:val="00AE59B3"/>
    <w:rsid w:val="00AE5ACE"/>
    <w:rsid w:val="00AE5B24"/>
    <w:rsid w:val="00AE5BFE"/>
    <w:rsid w:val="00AE5DD9"/>
    <w:rsid w:val="00AE5EFB"/>
    <w:rsid w:val="00AE5F17"/>
    <w:rsid w:val="00AE603D"/>
    <w:rsid w:val="00AE60C2"/>
    <w:rsid w:val="00AE61B0"/>
    <w:rsid w:val="00AE61E7"/>
    <w:rsid w:val="00AE6206"/>
    <w:rsid w:val="00AE63BA"/>
    <w:rsid w:val="00AE63C3"/>
    <w:rsid w:val="00AE640E"/>
    <w:rsid w:val="00AE6414"/>
    <w:rsid w:val="00AE642C"/>
    <w:rsid w:val="00AE64F6"/>
    <w:rsid w:val="00AE6504"/>
    <w:rsid w:val="00AE653A"/>
    <w:rsid w:val="00AE656A"/>
    <w:rsid w:val="00AE6648"/>
    <w:rsid w:val="00AE667C"/>
    <w:rsid w:val="00AE672D"/>
    <w:rsid w:val="00AE6795"/>
    <w:rsid w:val="00AE6803"/>
    <w:rsid w:val="00AE6940"/>
    <w:rsid w:val="00AE6B50"/>
    <w:rsid w:val="00AE6B81"/>
    <w:rsid w:val="00AE6B95"/>
    <w:rsid w:val="00AE6BC5"/>
    <w:rsid w:val="00AE6BFC"/>
    <w:rsid w:val="00AE6CB1"/>
    <w:rsid w:val="00AE6DD9"/>
    <w:rsid w:val="00AE6ECC"/>
    <w:rsid w:val="00AE6F1D"/>
    <w:rsid w:val="00AE6F5A"/>
    <w:rsid w:val="00AE700D"/>
    <w:rsid w:val="00AE704B"/>
    <w:rsid w:val="00AE70A1"/>
    <w:rsid w:val="00AE7116"/>
    <w:rsid w:val="00AE7159"/>
    <w:rsid w:val="00AE73B9"/>
    <w:rsid w:val="00AE74BE"/>
    <w:rsid w:val="00AE7583"/>
    <w:rsid w:val="00AE7584"/>
    <w:rsid w:val="00AE762B"/>
    <w:rsid w:val="00AE767D"/>
    <w:rsid w:val="00AE76E3"/>
    <w:rsid w:val="00AE7802"/>
    <w:rsid w:val="00AE7871"/>
    <w:rsid w:val="00AE796A"/>
    <w:rsid w:val="00AE7A2B"/>
    <w:rsid w:val="00AE7A3A"/>
    <w:rsid w:val="00AE7B04"/>
    <w:rsid w:val="00AE7BBB"/>
    <w:rsid w:val="00AE7C8F"/>
    <w:rsid w:val="00AE7D56"/>
    <w:rsid w:val="00AE7E55"/>
    <w:rsid w:val="00AF012A"/>
    <w:rsid w:val="00AF0199"/>
    <w:rsid w:val="00AF028B"/>
    <w:rsid w:val="00AF02BB"/>
    <w:rsid w:val="00AF035D"/>
    <w:rsid w:val="00AF04A7"/>
    <w:rsid w:val="00AF04F4"/>
    <w:rsid w:val="00AF0555"/>
    <w:rsid w:val="00AF0576"/>
    <w:rsid w:val="00AF07B5"/>
    <w:rsid w:val="00AF09BA"/>
    <w:rsid w:val="00AF0AD0"/>
    <w:rsid w:val="00AF0D31"/>
    <w:rsid w:val="00AF0DA3"/>
    <w:rsid w:val="00AF0DCF"/>
    <w:rsid w:val="00AF0F6D"/>
    <w:rsid w:val="00AF10F8"/>
    <w:rsid w:val="00AF1163"/>
    <w:rsid w:val="00AF1215"/>
    <w:rsid w:val="00AF121A"/>
    <w:rsid w:val="00AF12C8"/>
    <w:rsid w:val="00AF1431"/>
    <w:rsid w:val="00AF14A6"/>
    <w:rsid w:val="00AF1527"/>
    <w:rsid w:val="00AF1570"/>
    <w:rsid w:val="00AF17F0"/>
    <w:rsid w:val="00AF1819"/>
    <w:rsid w:val="00AF1955"/>
    <w:rsid w:val="00AF1967"/>
    <w:rsid w:val="00AF1BEA"/>
    <w:rsid w:val="00AF1C78"/>
    <w:rsid w:val="00AF1CCB"/>
    <w:rsid w:val="00AF1D3D"/>
    <w:rsid w:val="00AF1E0A"/>
    <w:rsid w:val="00AF1E7C"/>
    <w:rsid w:val="00AF1EF4"/>
    <w:rsid w:val="00AF1F75"/>
    <w:rsid w:val="00AF1FF6"/>
    <w:rsid w:val="00AF2011"/>
    <w:rsid w:val="00AF2051"/>
    <w:rsid w:val="00AF20AB"/>
    <w:rsid w:val="00AF21A0"/>
    <w:rsid w:val="00AF220E"/>
    <w:rsid w:val="00AF227C"/>
    <w:rsid w:val="00AF22BE"/>
    <w:rsid w:val="00AF239A"/>
    <w:rsid w:val="00AF260B"/>
    <w:rsid w:val="00AF2619"/>
    <w:rsid w:val="00AF2627"/>
    <w:rsid w:val="00AF2841"/>
    <w:rsid w:val="00AF2849"/>
    <w:rsid w:val="00AF28E6"/>
    <w:rsid w:val="00AF28FB"/>
    <w:rsid w:val="00AF29BF"/>
    <w:rsid w:val="00AF29F7"/>
    <w:rsid w:val="00AF2A10"/>
    <w:rsid w:val="00AF2AB9"/>
    <w:rsid w:val="00AF2B31"/>
    <w:rsid w:val="00AF2CDA"/>
    <w:rsid w:val="00AF2CF5"/>
    <w:rsid w:val="00AF2DBF"/>
    <w:rsid w:val="00AF2E6A"/>
    <w:rsid w:val="00AF2E78"/>
    <w:rsid w:val="00AF2FAA"/>
    <w:rsid w:val="00AF3008"/>
    <w:rsid w:val="00AF30BD"/>
    <w:rsid w:val="00AF317A"/>
    <w:rsid w:val="00AF3265"/>
    <w:rsid w:val="00AF3274"/>
    <w:rsid w:val="00AF32CA"/>
    <w:rsid w:val="00AF34A2"/>
    <w:rsid w:val="00AF35A0"/>
    <w:rsid w:val="00AF35F7"/>
    <w:rsid w:val="00AF36FB"/>
    <w:rsid w:val="00AF37C8"/>
    <w:rsid w:val="00AF381D"/>
    <w:rsid w:val="00AF386E"/>
    <w:rsid w:val="00AF3891"/>
    <w:rsid w:val="00AF38A8"/>
    <w:rsid w:val="00AF38B2"/>
    <w:rsid w:val="00AF3ADD"/>
    <w:rsid w:val="00AF3B45"/>
    <w:rsid w:val="00AF3BF3"/>
    <w:rsid w:val="00AF3C69"/>
    <w:rsid w:val="00AF3CBE"/>
    <w:rsid w:val="00AF3D19"/>
    <w:rsid w:val="00AF3D33"/>
    <w:rsid w:val="00AF3DE4"/>
    <w:rsid w:val="00AF3DEB"/>
    <w:rsid w:val="00AF3F87"/>
    <w:rsid w:val="00AF3FB3"/>
    <w:rsid w:val="00AF3FB7"/>
    <w:rsid w:val="00AF3FE9"/>
    <w:rsid w:val="00AF4091"/>
    <w:rsid w:val="00AF41D7"/>
    <w:rsid w:val="00AF41FC"/>
    <w:rsid w:val="00AF427F"/>
    <w:rsid w:val="00AF42A1"/>
    <w:rsid w:val="00AF4305"/>
    <w:rsid w:val="00AF4318"/>
    <w:rsid w:val="00AF4411"/>
    <w:rsid w:val="00AF4635"/>
    <w:rsid w:val="00AF474A"/>
    <w:rsid w:val="00AF4775"/>
    <w:rsid w:val="00AF47A2"/>
    <w:rsid w:val="00AF47FA"/>
    <w:rsid w:val="00AF4877"/>
    <w:rsid w:val="00AF48C4"/>
    <w:rsid w:val="00AF48D5"/>
    <w:rsid w:val="00AF498D"/>
    <w:rsid w:val="00AF4D81"/>
    <w:rsid w:val="00AF4D85"/>
    <w:rsid w:val="00AF5031"/>
    <w:rsid w:val="00AF50DB"/>
    <w:rsid w:val="00AF523B"/>
    <w:rsid w:val="00AF5253"/>
    <w:rsid w:val="00AF52C6"/>
    <w:rsid w:val="00AF52F0"/>
    <w:rsid w:val="00AF5316"/>
    <w:rsid w:val="00AF53BD"/>
    <w:rsid w:val="00AF5461"/>
    <w:rsid w:val="00AF54CC"/>
    <w:rsid w:val="00AF5661"/>
    <w:rsid w:val="00AF569C"/>
    <w:rsid w:val="00AF56C1"/>
    <w:rsid w:val="00AF5700"/>
    <w:rsid w:val="00AF570D"/>
    <w:rsid w:val="00AF571E"/>
    <w:rsid w:val="00AF578F"/>
    <w:rsid w:val="00AF588C"/>
    <w:rsid w:val="00AF591A"/>
    <w:rsid w:val="00AF5922"/>
    <w:rsid w:val="00AF593D"/>
    <w:rsid w:val="00AF5962"/>
    <w:rsid w:val="00AF5975"/>
    <w:rsid w:val="00AF5A3A"/>
    <w:rsid w:val="00AF5AC0"/>
    <w:rsid w:val="00AF5B2E"/>
    <w:rsid w:val="00AF5BF7"/>
    <w:rsid w:val="00AF5C55"/>
    <w:rsid w:val="00AF5CCC"/>
    <w:rsid w:val="00AF5DA7"/>
    <w:rsid w:val="00AF5E02"/>
    <w:rsid w:val="00AF5E6D"/>
    <w:rsid w:val="00AF6136"/>
    <w:rsid w:val="00AF6141"/>
    <w:rsid w:val="00AF6146"/>
    <w:rsid w:val="00AF6202"/>
    <w:rsid w:val="00AF6211"/>
    <w:rsid w:val="00AF6389"/>
    <w:rsid w:val="00AF639E"/>
    <w:rsid w:val="00AF6416"/>
    <w:rsid w:val="00AF6495"/>
    <w:rsid w:val="00AF653C"/>
    <w:rsid w:val="00AF65F3"/>
    <w:rsid w:val="00AF6804"/>
    <w:rsid w:val="00AF6892"/>
    <w:rsid w:val="00AF68CA"/>
    <w:rsid w:val="00AF6A08"/>
    <w:rsid w:val="00AF6A43"/>
    <w:rsid w:val="00AF6B4A"/>
    <w:rsid w:val="00AF6BD4"/>
    <w:rsid w:val="00AF6BDE"/>
    <w:rsid w:val="00AF6C29"/>
    <w:rsid w:val="00AF6C37"/>
    <w:rsid w:val="00AF6C45"/>
    <w:rsid w:val="00AF6C4E"/>
    <w:rsid w:val="00AF6C61"/>
    <w:rsid w:val="00AF6C95"/>
    <w:rsid w:val="00AF6C9C"/>
    <w:rsid w:val="00AF6CA1"/>
    <w:rsid w:val="00AF6CF4"/>
    <w:rsid w:val="00AF6D1B"/>
    <w:rsid w:val="00AF6D4A"/>
    <w:rsid w:val="00AF6DBF"/>
    <w:rsid w:val="00AF6DEC"/>
    <w:rsid w:val="00AF6ED5"/>
    <w:rsid w:val="00AF6FD1"/>
    <w:rsid w:val="00AF70B9"/>
    <w:rsid w:val="00AF712D"/>
    <w:rsid w:val="00AF7163"/>
    <w:rsid w:val="00AF71EA"/>
    <w:rsid w:val="00AF7212"/>
    <w:rsid w:val="00AF7224"/>
    <w:rsid w:val="00AF7338"/>
    <w:rsid w:val="00AF7371"/>
    <w:rsid w:val="00AF74A7"/>
    <w:rsid w:val="00AF74E3"/>
    <w:rsid w:val="00AF7509"/>
    <w:rsid w:val="00AF7544"/>
    <w:rsid w:val="00AF76EB"/>
    <w:rsid w:val="00AF785E"/>
    <w:rsid w:val="00AF7865"/>
    <w:rsid w:val="00AF78B4"/>
    <w:rsid w:val="00AF7949"/>
    <w:rsid w:val="00AF7985"/>
    <w:rsid w:val="00AF79AE"/>
    <w:rsid w:val="00AF7A0F"/>
    <w:rsid w:val="00AF7A7F"/>
    <w:rsid w:val="00AF7AD8"/>
    <w:rsid w:val="00AF7B82"/>
    <w:rsid w:val="00AF7BAD"/>
    <w:rsid w:val="00AF7CD0"/>
    <w:rsid w:val="00AF7D8E"/>
    <w:rsid w:val="00AF7DC6"/>
    <w:rsid w:val="00B0004F"/>
    <w:rsid w:val="00B00059"/>
    <w:rsid w:val="00B000E9"/>
    <w:rsid w:val="00B00290"/>
    <w:rsid w:val="00B00410"/>
    <w:rsid w:val="00B00438"/>
    <w:rsid w:val="00B004D9"/>
    <w:rsid w:val="00B0058A"/>
    <w:rsid w:val="00B006E1"/>
    <w:rsid w:val="00B007E8"/>
    <w:rsid w:val="00B00815"/>
    <w:rsid w:val="00B0098D"/>
    <w:rsid w:val="00B009EC"/>
    <w:rsid w:val="00B00A99"/>
    <w:rsid w:val="00B00B2F"/>
    <w:rsid w:val="00B00B35"/>
    <w:rsid w:val="00B00BF4"/>
    <w:rsid w:val="00B00C16"/>
    <w:rsid w:val="00B00CF7"/>
    <w:rsid w:val="00B00D04"/>
    <w:rsid w:val="00B00D1C"/>
    <w:rsid w:val="00B00F31"/>
    <w:rsid w:val="00B00FCF"/>
    <w:rsid w:val="00B00FFA"/>
    <w:rsid w:val="00B01045"/>
    <w:rsid w:val="00B01079"/>
    <w:rsid w:val="00B010D4"/>
    <w:rsid w:val="00B01110"/>
    <w:rsid w:val="00B0114D"/>
    <w:rsid w:val="00B01386"/>
    <w:rsid w:val="00B0140F"/>
    <w:rsid w:val="00B019DA"/>
    <w:rsid w:val="00B019FF"/>
    <w:rsid w:val="00B01A3F"/>
    <w:rsid w:val="00B01A47"/>
    <w:rsid w:val="00B01B22"/>
    <w:rsid w:val="00B01C3E"/>
    <w:rsid w:val="00B01D2F"/>
    <w:rsid w:val="00B01D6F"/>
    <w:rsid w:val="00B01DDB"/>
    <w:rsid w:val="00B01DE6"/>
    <w:rsid w:val="00B01E40"/>
    <w:rsid w:val="00B01E50"/>
    <w:rsid w:val="00B01F11"/>
    <w:rsid w:val="00B01F2B"/>
    <w:rsid w:val="00B01F98"/>
    <w:rsid w:val="00B01FAD"/>
    <w:rsid w:val="00B02149"/>
    <w:rsid w:val="00B021AD"/>
    <w:rsid w:val="00B02210"/>
    <w:rsid w:val="00B02244"/>
    <w:rsid w:val="00B02320"/>
    <w:rsid w:val="00B024E6"/>
    <w:rsid w:val="00B02505"/>
    <w:rsid w:val="00B0262D"/>
    <w:rsid w:val="00B027FC"/>
    <w:rsid w:val="00B0280D"/>
    <w:rsid w:val="00B0282C"/>
    <w:rsid w:val="00B02934"/>
    <w:rsid w:val="00B02982"/>
    <w:rsid w:val="00B02AA9"/>
    <w:rsid w:val="00B02AC2"/>
    <w:rsid w:val="00B02AF0"/>
    <w:rsid w:val="00B02B1E"/>
    <w:rsid w:val="00B02B36"/>
    <w:rsid w:val="00B02C4C"/>
    <w:rsid w:val="00B02DEB"/>
    <w:rsid w:val="00B02EEB"/>
    <w:rsid w:val="00B02FBE"/>
    <w:rsid w:val="00B02FFA"/>
    <w:rsid w:val="00B03004"/>
    <w:rsid w:val="00B03172"/>
    <w:rsid w:val="00B03179"/>
    <w:rsid w:val="00B03228"/>
    <w:rsid w:val="00B033B2"/>
    <w:rsid w:val="00B034C9"/>
    <w:rsid w:val="00B034EB"/>
    <w:rsid w:val="00B034FC"/>
    <w:rsid w:val="00B035DC"/>
    <w:rsid w:val="00B0361C"/>
    <w:rsid w:val="00B036F0"/>
    <w:rsid w:val="00B0377A"/>
    <w:rsid w:val="00B037DE"/>
    <w:rsid w:val="00B03828"/>
    <w:rsid w:val="00B03869"/>
    <w:rsid w:val="00B03927"/>
    <w:rsid w:val="00B03961"/>
    <w:rsid w:val="00B03971"/>
    <w:rsid w:val="00B03A47"/>
    <w:rsid w:val="00B03A55"/>
    <w:rsid w:val="00B03AAA"/>
    <w:rsid w:val="00B03AE2"/>
    <w:rsid w:val="00B03B5B"/>
    <w:rsid w:val="00B03C17"/>
    <w:rsid w:val="00B03C62"/>
    <w:rsid w:val="00B03C7B"/>
    <w:rsid w:val="00B03E54"/>
    <w:rsid w:val="00B03EB9"/>
    <w:rsid w:val="00B03F45"/>
    <w:rsid w:val="00B0418A"/>
    <w:rsid w:val="00B0426A"/>
    <w:rsid w:val="00B0439E"/>
    <w:rsid w:val="00B043BA"/>
    <w:rsid w:val="00B04418"/>
    <w:rsid w:val="00B04443"/>
    <w:rsid w:val="00B04457"/>
    <w:rsid w:val="00B045D8"/>
    <w:rsid w:val="00B04633"/>
    <w:rsid w:val="00B0464E"/>
    <w:rsid w:val="00B047D4"/>
    <w:rsid w:val="00B047D5"/>
    <w:rsid w:val="00B048A3"/>
    <w:rsid w:val="00B04905"/>
    <w:rsid w:val="00B049DA"/>
    <w:rsid w:val="00B04A04"/>
    <w:rsid w:val="00B04B3C"/>
    <w:rsid w:val="00B04BB2"/>
    <w:rsid w:val="00B04C7C"/>
    <w:rsid w:val="00B04CE0"/>
    <w:rsid w:val="00B04D7C"/>
    <w:rsid w:val="00B04DD6"/>
    <w:rsid w:val="00B04E9E"/>
    <w:rsid w:val="00B04ED6"/>
    <w:rsid w:val="00B04F41"/>
    <w:rsid w:val="00B052C4"/>
    <w:rsid w:val="00B0551A"/>
    <w:rsid w:val="00B05565"/>
    <w:rsid w:val="00B055CD"/>
    <w:rsid w:val="00B05662"/>
    <w:rsid w:val="00B05699"/>
    <w:rsid w:val="00B056B7"/>
    <w:rsid w:val="00B05772"/>
    <w:rsid w:val="00B05789"/>
    <w:rsid w:val="00B057DF"/>
    <w:rsid w:val="00B05884"/>
    <w:rsid w:val="00B059DF"/>
    <w:rsid w:val="00B059E4"/>
    <w:rsid w:val="00B05A26"/>
    <w:rsid w:val="00B05A50"/>
    <w:rsid w:val="00B05A95"/>
    <w:rsid w:val="00B05BDC"/>
    <w:rsid w:val="00B05BEE"/>
    <w:rsid w:val="00B05D23"/>
    <w:rsid w:val="00B05D36"/>
    <w:rsid w:val="00B05D89"/>
    <w:rsid w:val="00B05DC5"/>
    <w:rsid w:val="00B05DE9"/>
    <w:rsid w:val="00B05E26"/>
    <w:rsid w:val="00B0605D"/>
    <w:rsid w:val="00B06067"/>
    <w:rsid w:val="00B06114"/>
    <w:rsid w:val="00B061C1"/>
    <w:rsid w:val="00B062B1"/>
    <w:rsid w:val="00B062EC"/>
    <w:rsid w:val="00B064B3"/>
    <w:rsid w:val="00B064E8"/>
    <w:rsid w:val="00B06650"/>
    <w:rsid w:val="00B06686"/>
    <w:rsid w:val="00B06697"/>
    <w:rsid w:val="00B06775"/>
    <w:rsid w:val="00B06783"/>
    <w:rsid w:val="00B067A1"/>
    <w:rsid w:val="00B067AD"/>
    <w:rsid w:val="00B069B5"/>
    <w:rsid w:val="00B06A0F"/>
    <w:rsid w:val="00B06A43"/>
    <w:rsid w:val="00B06A5C"/>
    <w:rsid w:val="00B06A5D"/>
    <w:rsid w:val="00B06AD8"/>
    <w:rsid w:val="00B06B60"/>
    <w:rsid w:val="00B06DD8"/>
    <w:rsid w:val="00B06E16"/>
    <w:rsid w:val="00B06E1E"/>
    <w:rsid w:val="00B06EFE"/>
    <w:rsid w:val="00B06F06"/>
    <w:rsid w:val="00B06F3B"/>
    <w:rsid w:val="00B070EC"/>
    <w:rsid w:val="00B07115"/>
    <w:rsid w:val="00B07121"/>
    <w:rsid w:val="00B072D1"/>
    <w:rsid w:val="00B07347"/>
    <w:rsid w:val="00B07367"/>
    <w:rsid w:val="00B073D4"/>
    <w:rsid w:val="00B0746E"/>
    <w:rsid w:val="00B07491"/>
    <w:rsid w:val="00B07863"/>
    <w:rsid w:val="00B078B7"/>
    <w:rsid w:val="00B07904"/>
    <w:rsid w:val="00B0790E"/>
    <w:rsid w:val="00B0794E"/>
    <w:rsid w:val="00B079DE"/>
    <w:rsid w:val="00B07B16"/>
    <w:rsid w:val="00B07B22"/>
    <w:rsid w:val="00B07BF3"/>
    <w:rsid w:val="00B07CA2"/>
    <w:rsid w:val="00B07CEF"/>
    <w:rsid w:val="00B07D82"/>
    <w:rsid w:val="00B07DB6"/>
    <w:rsid w:val="00B07E8B"/>
    <w:rsid w:val="00B07ED2"/>
    <w:rsid w:val="00B07F4B"/>
    <w:rsid w:val="00B07F68"/>
    <w:rsid w:val="00B10019"/>
    <w:rsid w:val="00B100DF"/>
    <w:rsid w:val="00B100F5"/>
    <w:rsid w:val="00B101D9"/>
    <w:rsid w:val="00B101FA"/>
    <w:rsid w:val="00B10389"/>
    <w:rsid w:val="00B103B2"/>
    <w:rsid w:val="00B103CD"/>
    <w:rsid w:val="00B104FA"/>
    <w:rsid w:val="00B1054A"/>
    <w:rsid w:val="00B10634"/>
    <w:rsid w:val="00B107DC"/>
    <w:rsid w:val="00B107E4"/>
    <w:rsid w:val="00B1083C"/>
    <w:rsid w:val="00B10963"/>
    <w:rsid w:val="00B10C38"/>
    <w:rsid w:val="00B10D68"/>
    <w:rsid w:val="00B10E56"/>
    <w:rsid w:val="00B10E9A"/>
    <w:rsid w:val="00B10EAF"/>
    <w:rsid w:val="00B10FA2"/>
    <w:rsid w:val="00B1101F"/>
    <w:rsid w:val="00B11070"/>
    <w:rsid w:val="00B110EF"/>
    <w:rsid w:val="00B110F1"/>
    <w:rsid w:val="00B11260"/>
    <w:rsid w:val="00B112CC"/>
    <w:rsid w:val="00B112F8"/>
    <w:rsid w:val="00B11395"/>
    <w:rsid w:val="00B113D6"/>
    <w:rsid w:val="00B113DB"/>
    <w:rsid w:val="00B11433"/>
    <w:rsid w:val="00B114A9"/>
    <w:rsid w:val="00B1155C"/>
    <w:rsid w:val="00B11598"/>
    <w:rsid w:val="00B115B9"/>
    <w:rsid w:val="00B1163B"/>
    <w:rsid w:val="00B116AD"/>
    <w:rsid w:val="00B116B5"/>
    <w:rsid w:val="00B11770"/>
    <w:rsid w:val="00B11840"/>
    <w:rsid w:val="00B1186A"/>
    <w:rsid w:val="00B119AA"/>
    <w:rsid w:val="00B11A1E"/>
    <w:rsid w:val="00B11A28"/>
    <w:rsid w:val="00B11AA7"/>
    <w:rsid w:val="00B11B10"/>
    <w:rsid w:val="00B11B5C"/>
    <w:rsid w:val="00B11BB4"/>
    <w:rsid w:val="00B11C6A"/>
    <w:rsid w:val="00B11CFB"/>
    <w:rsid w:val="00B11EF8"/>
    <w:rsid w:val="00B11F9F"/>
    <w:rsid w:val="00B11FF6"/>
    <w:rsid w:val="00B12092"/>
    <w:rsid w:val="00B1209A"/>
    <w:rsid w:val="00B120B6"/>
    <w:rsid w:val="00B1219A"/>
    <w:rsid w:val="00B12269"/>
    <w:rsid w:val="00B1240F"/>
    <w:rsid w:val="00B125F4"/>
    <w:rsid w:val="00B12612"/>
    <w:rsid w:val="00B126FE"/>
    <w:rsid w:val="00B12709"/>
    <w:rsid w:val="00B1271C"/>
    <w:rsid w:val="00B12720"/>
    <w:rsid w:val="00B1278B"/>
    <w:rsid w:val="00B12798"/>
    <w:rsid w:val="00B12886"/>
    <w:rsid w:val="00B12A1A"/>
    <w:rsid w:val="00B12A8D"/>
    <w:rsid w:val="00B12AA4"/>
    <w:rsid w:val="00B12C5D"/>
    <w:rsid w:val="00B12C75"/>
    <w:rsid w:val="00B12CAD"/>
    <w:rsid w:val="00B12CC0"/>
    <w:rsid w:val="00B12D07"/>
    <w:rsid w:val="00B12D7E"/>
    <w:rsid w:val="00B12DA1"/>
    <w:rsid w:val="00B12DC5"/>
    <w:rsid w:val="00B12E04"/>
    <w:rsid w:val="00B12EC8"/>
    <w:rsid w:val="00B13074"/>
    <w:rsid w:val="00B13075"/>
    <w:rsid w:val="00B13097"/>
    <w:rsid w:val="00B1314B"/>
    <w:rsid w:val="00B13203"/>
    <w:rsid w:val="00B1322F"/>
    <w:rsid w:val="00B132C5"/>
    <w:rsid w:val="00B13302"/>
    <w:rsid w:val="00B1332F"/>
    <w:rsid w:val="00B1338E"/>
    <w:rsid w:val="00B13499"/>
    <w:rsid w:val="00B1352A"/>
    <w:rsid w:val="00B13532"/>
    <w:rsid w:val="00B13600"/>
    <w:rsid w:val="00B1363F"/>
    <w:rsid w:val="00B13749"/>
    <w:rsid w:val="00B137BB"/>
    <w:rsid w:val="00B137EE"/>
    <w:rsid w:val="00B13945"/>
    <w:rsid w:val="00B13953"/>
    <w:rsid w:val="00B139B5"/>
    <w:rsid w:val="00B13B86"/>
    <w:rsid w:val="00B13C86"/>
    <w:rsid w:val="00B13CCA"/>
    <w:rsid w:val="00B13D3B"/>
    <w:rsid w:val="00B13EB7"/>
    <w:rsid w:val="00B13F96"/>
    <w:rsid w:val="00B14008"/>
    <w:rsid w:val="00B1407B"/>
    <w:rsid w:val="00B1414D"/>
    <w:rsid w:val="00B142C0"/>
    <w:rsid w:val="00B142C6"/>
    <w:rsid w:val="00B143BE"/>
    <w:rsid w:val="00B143DE"/>
    <w:rsid w:val="00B143F3"/>
    <w:rsid w:val="00B14424"/>
    <w:rsid w:val="00B144DB"/>
    <w:rsid w:val="00B1466A"/>
    <w:rsid w:val="00B14920"/>
    <w:rsid w:val="00B14A18"/>
    <w:rsid w:val="00B14A63"/>
    <w:rsid w:val="00B14AAB"/>
    <w:rsid w:val="00B14AF6"/>
    <w:rsid w:val="00B14BBE"/>
    <w:rsid w:val="00B14BFA"/>
    <w:rsid w:val="00B14DAF"/>
    <w:rsid w:val="00B14E6A"/>
    <w:rsid w:val="00B14FF1"/>
    <w:rsid w:val="00B15016"/>
    <w:rsid w:val="00B1510B"/>
    <w:rsid w:val="00B15228"/>
    <w:rsid w:val="00B15236"/>
    <w:rsid w:val="00B15258"/>
    <w:rsid w:val="00B1529F"/>
    <w:rsid w:val="00B152DD"/>
    <w:rsid w:val="00B15343"/>
    <w:rsid w:val="00B15372"/>
    <w:rsid w:val="00B153B0"/>
    <w:rsid w:val="00B153D9"/>
    <w:rsid w:val="00B154A2"/>
    <w:rsid w:val="00B154E2"/>
    <w:rsid w:val="00B154FF"/>
    <w:rsid w:val="00B15696"/>
    <w:rsid w:val="00B15909"/>
    <w:rsid w:val="00B15925"/>
    <w:rsid w:val="00B15973"/>
    <w:rsid w:val="00B159D9"/>
    <w:rsid w:val="00B15A20"/>
    <w:rsid w:val="00B15B1C"/>
    <w:rsid w:val="00B15BA6"/>
    <w:rsid w:val="00B15C31"/>
    <w:rsid w:val="00B15C3C"/>
    <w:rsid w:val="00B15C49"/>
    <w:rsid w:val="00B15C4F"/>
    <w:rsid w:val="00B15C55"/>
    <w:rsid w:val="00B15EF8"/>
    <w:rsid w:val="00B15F91"/>
    <w:rsid w:val="00B16005"/>
    <w:rsid w:val="00B1601C"/>
    <w:rsid w:val="00B160CF"/>
    <w:rsid w:val="00B1611D"/>
    <w:rsid w:val="00B161FC"/>
    <w:rsid w:val="00B16212"/>
    <w:rsid w:val="00B16232"/>
    <w:rsid w:val="00B1633D"/>
    <w:rsid w:val="00B164D7"/>
    <w:rsid w:val="00B1668E"/>
    <w:rsid w:val="00B16729"/>
    <w:rsid w:val="00B1672F"/>
    <w:rsid w:val="00B168C1"/>
    <w:rsid w:val="00B1690D"/>
    <w:rsid w:val="00B16A55"/>
    <w:rsid w:val="00B16A8E"/>
    <w:rsid w:val="00B16AA9"/>
    <w:rsid w:val="00B16B30"/>
    <w:rsid w:val="00B16CF5"/>
    <w:rsid w:val="00B16D2D"/>
    <w:rsid w:val="00B16D43"/>
    <w:rsid w:val="00B16E47"/>
    <w:rsid w:val="00B16F03"/>
    <w:rsid w:val="00B1704A"/>
    <w:rsid w:val="00B1709F"/>
    <w:rsid w:val="00B1716F"/>
    <w:rsid w:val="00B17363"/>
    <w:rsid w:val="00B17432"/>
    <w:rsid w:val="00B17498"/>
    <w:rsid w:val="00B17535"/>
    <w:rsid w:val="00B175DE"/>
    <w:rsid w:val="00B175EC"/>
    <w:rsid w:val="00B175F9"/>
    <w:rsid w:val="00B17656"/>
    <w:rsid w:val="00B17748"/>
    <w:rsid w:val="00B17774"/>
    <w:rsid w:val="00B17842"/>
    <w:rsid w:val="00B17865"/>
    <w:rsid w:val="00B1789F"/>
    <w:rsid w:val="00B179F5"/>
    <w:rsid w:val="00B17A41"/>
    <w:rsid w:val="00B17B0A"/>
    <w:rsid w:val="00B17C6D"/>
    <w:rsid w:val="00B17CC3"/>
    <w:rsid w:val="00B17D1F"/>
    <w:rsid w:val="00B17DD3"/>
    <w:rsid w:val="00B17E4A"/>
    <w:rsid w:val="00B17E9D"/>
    <w:rsid w:val="00B17EEA"/>
    <w:rsid w:val="00B17F78"/>
    <w:rsid w:val="00B17F7A"/>
    <w:rsid w:val="00B200AE"/>
    <w:rsid w:val="00B200B0"/>
    <w:rsid w:val="00B200D3"/>
    <w:rsid w:val="00B2016A"/>
    <w:rsid w:val="00B201F5"/>
    <w:rsid w:val="00B2031E"/>
    <w:rsid w:val="00B20351"/>
    <w:rsid w:val="00B204A5"/>
    <w:rsid w:val="00B204F9"/>
    <w:rsid w:val="00B2053E"/>
    <w:rsid w:val="00B207A4"/>
    <w:rsid w:val="00B207D6"/>
    <w:rsid w:val="00B208F3"/>
    <w:rsid w:val="00B208F5"/>
    <w:rsid w:val="00B20960"/>
    <w:rsid w:val="00B2096A"/>
    <w:rsid w:val="00B209C0"/>
    <w:rsid w:val="00B209D3"/>
    <w:rsid w:val="00B209E6"/>
    <w:rsid w:val="00B20A44"/>
    <w:rsid w:val="00B20A72"/>
    <w:rsid w:val="00B20A7A"/>
    <w:rsid w:val="00B20A90"/>
    <w:rsid w:val="00B20B20"/>
    <w:rsid w:val="00B20B77"/>
    <w:rsid w:val="00B20BC8"/>
    <w:rsid w:val="00B20BC9"/>
    <w:rsid w:val="00B20C43"/>
    <w:rsid w:val="00B20C87"/>
    <w:rsid w:val="00B20DF2"/>
    <w:rsid w:val="00B20E76"/>
    <w:rsid w:val="00B20E86"/>
    <w:rsid w:val="00B20F3B"/>
    <w:rsid w:val="00B21013"/>
    <w:rsid w:val="00B21039"/>
    <w:rsid w:val="00B210D0"/>
    <w:rsid w:val="00B21158"/>
    <w:rsid w:val="00B21159"/>
    <w:rsid w:val="00B21288"/>
    <w:rsid w:val="00B2130A"/>
    <w:rsid w:val="00B2140E"/>
    <w:rsid w:val="00B21411"/>
    <w:rsid w:val="00B214FD"/>
    <w:rsid w:val="00B21576"/>
    <w:rsid w:val="00B21654"/>
    <w:rsid w:val="00B216D4"/>
    <w:rsid w:val="00B21839"/>
    <w:rsid w:val="00B2183D"/>
    <w:rsid w:val="00B2192F"/>
    <w:rsid w:val="00B21981"/>
    <w:rsid w:val="00B21A2E"/>
    <w:rsid w:val="00B21AA3"/>
    <w:rsid w:val="00B21CC8"/>
    <w:rsid w:val="00B21D08"/>
    <w:rsid w:val="00B21D5F"/>
    <w:rsid w:val="00B21D84"/>
    <w:rsid w:val="00B21E64"/>
    <w:rsid w:val="00B21F25"/>
    <w:rsid w:val="00B21F2F"/>
    <w:rsid w:val="00B2203B"/>
    <w:rsid w:val="00B22059"/>
    <w:rsid w:val="00B2217D"/>
    <w:rsid w:val="00B2247D"/>
    <w:rsid w:val="00B224B9"/>
    <w:rsid w:val="00B2253D"/>
    <w:rsid w:val="00B225F8"/>
    <w:rsid w:val="00B22670"/>
    <w:rsid w:val="00B227A6"/>
    <w:rsid w:val="00B227F4"/>
    <w:rsid w:val="00B22829"/>
    <w:rsid w:val="00B22847"/>
    <w:rsid w:val="00B2292B"/>
    <w:rsid w:val="00B22A0C"/>
    <w:rsid w:val="00B22B29"/>
    <w:rsid w:val="00B22B47"/>
    <w:rsid w:val="00B22BDA"/>
    <w:rsid w:val="00B22C04"/>
    <w:rsid w:val="00B22D35"/>
    <w:rsid w:val="00B22D8C"/>
    <w:rsid w:val="00B22EB1"/>
    <w:rsid w:val="00B22EC6"/>
    <w:rsid w:val="00B22ED1"/>
    <w:rsid w:val="00B22EE5"/>
    <w:rsid w:val="00B2302D"/>
    <w:rsid w:val="00B2305E"/>
    <w:rsid w:val="00B23109"/>
    <w:rsid w:val="00B231D2"/>
    <w:rsid w:val="00B23219"/>
    <w:rsid w:val="00B2329D"/>
    <w:rsid w:val="00B232BA"/>
    <w:rsid w:val="00B2334E"/>
    <w:rsid w:val="00B23367"/>
    <w:rsid w:val="00B23380"/>
    <w:rsid w:val="00B2342A"/>
    <w:rsid w:val="00B23510"/>
    <w:rsid w:val="00B235BA"/>
    <w:rsid w:val="00B236E3"/>
    <w:rsid w:val="00B2370B"/>
    <w:rsid w:val="00B2379C"/>
    <w:rsid w:val="00B2387A"/>
    <w:rsid w:val="00B238FC"/>
    <w:rsid w:val="00B2391F"/>
    <w:rsid w:val="00B239E7"/>
    <w:rsid w:val="00B23A40"/>
    <w:rsid w:val="00B23BAD"/>
    <w:rsid w:val="00B23C1D"/>
    <w:rsid w:val="00B23CBE"/>
    <w:rsid w:val="00B23CC3"/>
    <w:rsid w:val="00B23CDF"/>
    <w:rsid w:val="00B23D82"/>
    <w:rsid w:val="00B23DB7"/>
    <w:rsid w:val="00B23F08"/>
    <w:rsid w:val="00B23FC8"/>
    <w:rsid w:val="00B240C5"/>
    <w:rsid w:val="00B2410B"/>
    <w:rsid w:val="00B2413F"/>
    <w:rsid w:val="00B2418F"/>
    <w:rsid w:val="00B241C8"/>
    <w:rsid w:val="00B241DA"/>
    <w:rsid w:val="00B2421E"/>
    <w:rsid w:val="00B24284"/>
    <w:rsid w:val="00B242C2"/>
    <w:rsid w:val="00B242FD"/>
    <w:rsid w:val="00B24324"/>
    <w:rsid w:val="00B24518"/>
    <w:rsid w:val="00B24673"/>
    <w:rsid w:val="00B24826"/>
    <w:rsid w:val="00B248A0"/>
    <w:rsid w:val="00B2493C"/>
    <w:rsid w:val="00B249CB"/>
    <w:rsid w:val="00B24B55"/>
    <w:rsid w:val="00B24BCF"/>
    <w:rsid w:val="00B24C2C"/>
    <w:rsid w:val="00B24C78"/>
    <w:rsid w:val="00B24D10"/>
    <w:rsid w:val="00B24DF6"/>
    <w:rsid w:val="00B24E81"/>
    <w:rsid w:val="00B24EC5"/>
    <w:rsid w:val="00B24EE2"/>
    <w:rsid w:val="00B25135"/>
    <w:rsid w:val="00B251B9"/>
    <w:rsid w:val="00B252C2"/>
    <w:rsid w:val="00B2533C"/>
    <w:rsid w:val="00B253C9"/>
    <w:rsid w:val="00B2544F"/>
    <w:rsid w:val="00B2546B"/>
    <w:rsid w:val="00B2546F"/>
    <w:rsid w:val="00B2549B"/>
    <w:rsid w:val="00B254F0"/>
    <w:rsid w:val="00B2551D"/>
    <w:rsid w:val="00B255B4"/>
    <w:rsid w:val="00B255B9"/>
    <w:rsid w:val="00B255E9"/>
    <w:rsid w:val="00B25641"/>
    <w:rsid w:val="00B25659"/>
    <w:rsid w:val="00B2565D"/>
    <w:rsid w:val="00B25699"/>
    <w:rsid w:val="00B2575F"/>
    <w:rsid w:val="00B258D5"/>
    <w:rsid w:val="00B25966"/>
    <w:rsid w:val="00B25972"/>
    <w:rsid w:val="00B25A04"/>
    <w:rsid w:val="00B25A4E"/>
    <w:rsid w:val="00B25A66"/>
    <w:rsid w:val="00B25BD2"/>
    <w:rsid w:val="00B25D14"/>
    <w:rsid w:val="00B25D35"/>
    <w:rsid w:val="00B25DF2"/>
    <w:rsid w:val="00B25F14"/>
    <w:rsid w:val="00B25F1A"/>
    <w:rsid w:val="00B26102"/>
    <w:rsid w:val="00B26181"/>
    <w:rsid w:val="00B261F8"/>
    <w:rsid w:val="00B26251"/>
    <w:rsid w:val="00B26269"/>
    <w:rsid w:val="00B26281"/>
    <w:rsid w:val="00B263E2"/>
    <w:rsid w:val="00B264A5"/>
    <w:rsid w:val="00B264B0"/>
    <w:rsid w:val="00B264D3"/>
    <w:rsid w:val="00B264DE"/>
    <w:rsid w:val="00B26556"/>
    <w:rsid w:val="00B2661F"/>
    <w:rsid w:val="00B26772"/>
    <w:rsid w:val="00B267E5"/>
    <w:rsid w:val="00B26858"/>
    <w:rsid w:val="00B268CF"/>
    <w:rsid w:val="00B2690C"/>
    <w:rsid w:val="00B2692C"/>
    <w:rsid w:val="00B26AAE"/>
    <w:rsid w:val="00B26AF2"/>
    <w:rsid w:val="00B26B07"/>
    <w:rsid w:val="00B26B19"/>
    <w:rsid w:val="00B26B62"/>
    <w:rsid w:val="00B26C03"/>
    <w:rsid w:val="00B26C68"/>
    <w:rsid w:val="00B26C6F"/>
    <w:rsid w:val="00B26D43"/>
    <w:rsid w:val="00B26E00"/>
    <w:rsid w:val="00B2721A"/>
    <w:rsid w:val="00B27237"/>
    <w:rsid w:val="00B27301"/>
    <w:rsid w:val="00B2731D"/>
    <w:rsid w:val="00B274BE"/>
    <w:rsid w:val="00B2757A"/>
    <w:rsid w:val="00B2758D"/>
    <w:rsid w:val="00B27821"/>
    <w:rsid w:val="00B2782A"/>
    <w:rsid w:val="00B27891"/>
    <w:rsid w:val="00B27922"/>
    <w:rsid w:val="00B279A2"/>
    <w:rsid w:val="00B27AB9"/>
    <w:rsid w:val="00B27ABC"/>
    <w:rsid w:val="00B27B39"/>
    <w:rsid w:val="00B27B6A"/>
    <w:rsid w:val="00B27BB2"/>
    <w:rsid w:val="00B27BE2"/>
    <w:rsid w:val="00B27EAA"/>
    <w:rsid w:val="00B27ED9"/>
    <w:rsid w:val="00B27F57"/>
    <w:rsid w:val="00B27F95"/>
    <w:rsid w:val="00B300F7"/>
    <w:rsid w:val="00B301C8"/>
    <w:rsid w:val="00B301F1"/>
    <w:rsid w:val="00B30237"/>
    <w:rsid w:val="00B3023B"/>
    <w:rsid w:val="00B3024A"/>
    <w:rsid w:val="00B3044D"/>
    <w:rsid w:val="00B305D6"/>
    <w:rsid w:val="00B30639"/>
    <w:rsid w:val="00B30645"/>
    <w:rsid w:val="00B30726"/>
    <w:rsid w:val="00B30761"/>
    <w:rsid w:val="00B307C0"/>
    <w:rsid w:val="00B307D2"/>
    <w:rsid w:val="00B30854"/>
    <w:rsid w:val="00B30868"/>
    <w:rsid w:val="00B3086D"/>
    <w:rsid w:val="00B308F7"/>
    <w:rsid w:val="00B30AFF"/>
    <w:rsid w:val="00B30B5F"/>
    <w:rsid w:val="00B30B77"/>
    <w:rsid w:val="00B30BDE"/>
    <w:rsid w:val="00B30BF6"/>
    <w:rsid w:val="00B30CA1"/>
    <w:rsid w:val="00B30CAA"/>
    <w:rsid w:val="00B30D1E"/>
    <w:rsid w:val="00B30D92"/>
    <w:rsid w:val="00B30D9F"/>
    <w:rsid w:val="00B30E61"/>
    <w:rsid w:val="00B30FBB"/>
    <w:rsid w:val="00B31041"/>
    <w:rsid w:val="00B310BF"/>
    <w:rsid w:val="00B310CC"/>
    <w:rsid w:val="00B310DC"/>
    <w:rsid w:val="00B3111B"/>
    <w:rsid w:val="00B311C9"/>
    <w:rsid w:val="00B3121D"/>
    <w:rsid w:val="00B3129F"/>
    <w:rsid w:val="00B31340"/>
    <w:rsid w:val="00B3134F"/>
    <w:rsid w:val="00B313A1"/>
    <w:rsid w:val="00B31432"/>
    <w:rsid w:val="00B314DC"/>
    <w:rsid w:val="00B315A3"/>
    <w:rsid w:val="00B316D4"/>
    <w:rsid w:val="00B316E7"/>
    <w:rsid w:val="00B3192C"/>
    <w:rsid w:val="00B319F0"/>
    <w:rsid w:val="00B31A4B"/>
    <w:rsid w:val="00B31A5D"/>
    <w:rsid w:val="00B31AEF"/>
    <w:rsid w:val="00B31B14"/>
    <w:rsid w:val="00B31B90"/>
    <w:rsid w:val="00B31C24"/>
    <w:rsid w:val="00B31D3A"/>
    <w:rsid w:val="00B31D5D"/>
    <w:rsid w:val="00B31D97"/>
    <w:rsid w:val="00B31E0B"/>
    <w:rsid w:val="00B31E23"/>
    <w:rsid w:val="00B31E35"/>
    <w:rsid w:val="00B31E7E"/>
    <w:rsid w:val="00B32038"/>
    <w:rsid w:val="00B32067"/>
    <w:rsid w:val="00B320BC"/>
    <w:rsid w:val="00B320FE"/>
    <w:rsid w:val="00B32125"/>
    <w:rsid w:val="00B32241"/>
    <w:rsid w:val="00B322A3"/>
    <w:rsid w:val="00B32324"/>
    <w:rsid w:val="00B32701"/>
    <w:rsid w:val="00B3272F"/>
    <w:rsid w:val="00B32760"/>
    <w:rsid w:val="00B327A2"/>
    <w:rsid w:val="00B3284D"/>
    <w:rsid w:val="00B328E1"/>
    <w:rsid w:val="00B329E9"/>
    <w:rsid w:val="00B32A17"/>
    <w:rsid w:val="00B32A67"/>
    <w:rsid w:val="00B32B14"/>
    <w:rsid w:val="00B32BC4"/>
    <w:rsid w:val="00B32BF8"/>
    <w:rsid w:val="00B32D4B"/>
    <w:rsid w:val="00B32E00"/>
    <w:rsid w:val="00B32E1B"/>
    <w:rsid w:val="00B32E66"/>
    <w:rsid w:val="00B32ED4"/>
    <w:rsid w:val="00B32EDF"/>
    <w:rsid w:val="00B330EF"/>
    <w:rsid w:val="00B33139"/>
    <w:rsid w:val="00B3324E"/>
    <w:rsid w:val="00B333FD"/>
    <w:rsid w:val="00B335D4"/>
    <w:rsid w:val="00B336B1"/>
    <w:rsid w:val="00B336BE"/>
    <w:rsid w:val="00B3385E"/>
    <w:rsid w:val="00B339C0"/>
    <w:rsid w:val="00B33A34"/>
    <w:rsid w:val="00B33A40"/>
    <w:rsid w:val="00B33A5D"/>
    <w:rsid w:val="00B33BB1"/>
    <w:rsid w:val="00B33BEA"/>
    <w:rsid w:val="00B33C08"/>
    <w:rsid w:val="00B33CB3"/>
    <w:rsid w:val="00B33CBB"/>
    <w:rsid w:val="00B33D21"/>
    <w:rsid w:val="00B33D71"/>
    <w:rsid w:val="00B33D90"/>
    <w:rsid w:val="00B33DAD"/>
    <w:rsid w:val="00B33E0E"/>
    <w:rsid w:val="00B33F3C"/>
    <w:rsid w:val="00B3402C"/>
    <w:rsid w:val="00B34035"/>
    <w:rsid w:val="00B34124"/>
    <w:rsid w:val="00B34171"/>
    <w:rsid w:val="00B34233"/>
    <w:rsid w:val="00B342F2"/>
    <w:rsid w:val="00B3455E"/>
    <w:rsid w:val="00B34563"/>
    <w:rsid w:val="00B345F4"/>
    <w:rsid w:val="00B34765"/>
    <w:rsid w:val="00B3481C"/>
    <w:rsid w:val="00B3481D"/>
    <w:rsid w:val="00B3483B"/>
    <w:rsid w:val="00B3484B"/>
    <w:rsid w:val="00B3489E"/>
    <w:rsid w:val="00B34A02"/>
    <w:rsid w:val="00B34B07"/>
    <w:rsid w:val="00B34CBB"/>
    <w:rsid w:val="00B34D16"/>
    <w:rsid w:val="00B34D41"/>
    <w:rsid w:val="00B34E59"/>
    <w:rsid w:val="00B34EA9"/>
    <w:rsid w:val="00B34EFD"/>
    <w:rsid w:val="00B34F70"/>
    <w:rsid w:val="00B35131"/>
    <w:rsid w:val="00B3513B"/>
    <w:rsid w:val="00B35196"/>
    <w:rsid w:val="00B351CD"/>
    <w:rsid w:val="00B352C3"/>
    <w:rsid w:val="00B352E9"/>
    <w:rsid w:val="00B35364"/>
    <w:rsid w:val="00B3549E"/>
    <w:rsid w:val="00B355F3"/>
    <w:rsid w:val="00B3566F"/>
    <w:rsid w:val="00B3567D"/>
    <w:rsid w:val="00B35742"/>
    <w:rsid w:val="00B35751"/>
    <w:rsid w:val="00B3577B"/>
    <w:rsid w:val="00B3579C"/>
    <w:rsid w:val="00B35806"/>
    <w:rsid w:val="00B3584F"/>
    <w:rsid w:val="00B358AA"/>
    <w:rsid w:val="00B35933"/>
    <w:rsid w:val="00B3595E"/>
    <w:rsid w:val="00B35A33"/>
    <w:rsid w:val="00B35A3A"/>
    <w:rsid w:val="00B35BC6"/>
    <w:rsid w:val="00B35BCB"/>
    <w:rsid w:val="00B35CDB"/>
    <w:rsid w:val="00B35F08"/>
    <w:rsid w:val="00B35F7E"/>
    <w:rsid w:val="00B35F8E"/>
    <w:rsid w:val="00B36109"/>
    <w:rsid w:val="00B36144"/>
    <w:rsid w:val="00B3615A"/>
    <w:rsid w:val="00B361C0"/>
    <w:rsid w:val="00B362A3"/>
    <w:rsid w:val="00B36356"/>
    <w:rsid w:val="00B363E7"/>
    <w:rsid w:val="00B36445"/>
    <w:rsid w:val="00B3646C"/>
    <w:rsid w:val="00B3656B"/>
    <w:rsid w:val="00B36584"/>
    <w:rsid w:val="00B36595"/>
    <w:rsid w:val="00B36746"/>
    <w:rsid w:val="00B3675B"/>
    <w:rsid w:val="00B367B7"/>
    <w:rsid w:val="00B367C8"/>
    <w:rsid w:val="00B36811"/>
    <w:rsid w:val="00B36823"/>
    <w:rsid w:val="00B36832"/>
    <w:rsid w:val="00B368AF"/>
    <w:rsid w:val="00B368E4"/>
    <w:rsid w:val="00B3699D"/>
    <w:rsid w:val="00B369D6"/>
    <w:rsid w:val="00B36A6B"/>
    <w:rsid w:val="00B36C20"/>
    <w:rsid w:val="00B36C27"/>
    <w:rsid w:val="00B36C97"/>
    <w:rsid w:val="00B36CE3"/>
    <w:rsid w:val="00B36CFC"/>
    <w:rsid w:val="00B36DDB"/>
    <w:rsid w:val="00B36E5C"/>
    <w:rsid w:val="00B36F0C"/>
    <w:rsid w:val="00B36F59"/>
    <w:rsid w:val="00B36F6D"/>
    <w:rsid w:val="00B3700B"/>
    <w:rsid w:val="00B371DF"/>
    <w:rsid w:val="00B3720B"/>
    <w:rsid w:val="00B37450"/>
    <w:rsid w:val="00B37520"/>
    <w:rsid w:val="00B3757A"/>
    <w:rsid w:val="00B37611"/>
    <w:rsid w:val="00B37635"/>
    <w:rsid w:val="00B376DC"/>
    <w:rsid w:val="00B37745"/>
    <w:rsid w:val="00B37798"/>
    <w:rsid w:val="00B377EC"/>
    <w:rsid w:val="00B377F4"/>
    <w:rsid w:val="00B37880"/>
    <w:rsid w:val="00B3792E"/>
    <w:rsid w:val="00B37944"/>
    <w:rsid w:val="00B379AD"/>
    <w:rsid w:val="00B37AB3"/>
    <w:rsid w:val="00B37C18"/>
    <w:rsid w:val="00B37C1D"/>
    <w:rsid w:val="00B37D45"/>
    <w:rsid w:val="00B37E9E"/>
    <w:rsid w:val="00B37FE2"/>
    <w:rsid w:val="00B40220"/>
    <w:rsid w:val="00B40294"/>
    <w:rsid w:val="00B402AD"/>
    <w:rsid w:val="00B402CC"/>
    <w:rsid w:val="00B40308"/>
    <w:rsid w:val="00B40309"/>
    <w:rsid w:val="00B40314"/>
    <w:rsid w:val="00B40330"/>
    <w:rsid w:val="00B40351"/>
    <w:rsid w:val="00B40491"/>
    <w:rsid w:val="00B40539"/>
    <w:rsid w:val="00B40581"/>
    <w:rsid w:val="00B4064D"/>
    <w:rsid w:val="00B40667"/>
    <w:rsid w:val="00B406DC"/>
    <w:rsid w:val="00B406DE"/>
    <w:rsid w:val="00B4070B"/>
    <w:rsid w:val="00B407ED"/>
    <w:rsid w:val="00B40837"/>
    <w:rsid w:val="00B40868"/>
    <w:rsid w:val="00B40888"/>
    <w:rsid w:val="00B40890"/>
    <w:rsid w:val="00B4099D"/>
    <w:rsid w:val="00B40A47"/>
    <w:rsid w:val="00B40AEF"/>
    <w:rsid w:val="00B40BFE"/>
    <w:rsid w:val="00B40C81"/>
    <w:rsid w:val="00B40CB3"/>
    <w:rsid w:val="00B40E40"/>
    <w:rsid w:val="00B40F0A"/>
    <w:rsid w:val="00B40F31"/>
    <w:rsid w:val="00B40FBF"/>
    <w:rsid w:val="00B41078"/>
    <w:rsid w:val="00B4109A"/>
    <w:rsid w:val="00B4109D"/>
    <w:rsid w:val="00B41152"/>
    <w:rsid w:val="00B411DF"/>
    <w:rsid w:val="00B41286"/>
    <w:rsid w:val="00B4130D"/>
    <w:rsid w:val="00B41428"/>
    <w:rsid w:val="00B4143A"/>
    <w:rsid w:val="00B414CB"/>
    <w:rsid w:val="00B41615"/>
    <w:rsid w:val="00B416C0"/>
    <w:rsid w:val="00B41753"/>
    <w:rsid w:val="00B4177D"/>
    <w:rsid w:val="00B418FE"/>
    <w:rsid w:val="00B4194C"/>
    <w:rsid w:val="00B41AC0"/>
    <w:rsid w:val="00B41B7E"/>
    <w:rsid w:val="00B41BF4"/>
    <w:rsid w:val="00B41BFD"/>
    <w:rsid w:val="00B41C79"/>
    <w:rsid w:val="00B41C9C"/>
    <w:rsid w:val="00B41DA1"/>
    <w:rsid w:val="00B41DBC"/>
    <w:rsid w:val="00B41E15"/>
    <w:rsid w:val="00B41EB1"/>
    <w:rsid w:val="00B41EC6"/>
    <w:rsid w:val="00B41EDC"/>
    <w:rsid w:val="00B41F0C"/>
    <w:rsid w:val="00B41F15"/>
    <w:rsid w:val="00B4206B"/>
    <w:rsid w:val="00B420E7"/>
    <w:rsid w:val="00B421F8"/>
    <w:rsid w:val="00B4227B"/>
    <w:rsid w:val="00B422EE"/>
    <w:rsid w:val="00B42335"/>
    <w:rsid w:val="00B4254A"/>
    <w:rsid w:val="00B4259C"/>
    <w:rsid w:val="00B425DA"/>
    <w:rsid w:val="00B425F7"/>
    <w:rsid w:val="00B42691"/>
    <w:rsid w:val="00B42763"/>
    <w:rsid w:val="00B427A9"/>
    <w:rsid w:val="00B427C4"/>
    <w:rsid w:val="00B427F2"/>
    <w:rsid w:val="00B42857"/>
    <w:rsid w:val="00B4290B"/>
    <w:rsid w:val="00B42946"/>
    <w:rsid w:val="00B42961"/>
    <w:rsid w:val="00B4298C"/>
    <w:rsid w:val="00B429FA"/>
    <w:rsid w:val="00B42AE7"/>
    <w:rsid w:val="00B42B2E"/>
    <w:rsid w:val="00B42BEF"/>
    <w:rsid w:val="00B42E23"/>
    <w:rsid w:val="00B43080"/>
    <w:rsid w:val="00B43349"/>
    <w:rsid w:val="00B43373"/>
    <w:rsid w:val="00B4342B"/>
    <w:rsid w:val="00B43444"/>
    <w:rsid w:val="00B4362C"/>
    <w:rsid w:val="00B43732"/>
    <w:rsid w:val="00B43758"/>
    <w:rsid w:val="00B438BE"/>
    <w:rsid w:val="00B43A01"/>
    <w:rsid w:val="00B43AD7"/>
    <w:rsid w:val="00B43AFE"/>
    <w:rsid w:val="00B43B9D"/>
    <w:rsid w:val="00B43C8E"/>
    <w:rsid w:val="00B44084"/>
    <w:rsid w:val="00B4408B"/>
    <w:rsid w:val="00B440CD"/>
    <w:rsid w:val="00B4413B"/>
    <w:rsid w:val="00B441AF"/>
    <w:rsid w:val="00B441B9"/>
    <w:rsid w:val="00B44254"/>
    <w:rsid w:val="00B44354"/>
    <w:rsid w:val="00B4439C"/>
    <w:rsid w:val="00B443DE"/>
    <w:rsid w:val="00B443ED"/>
    <w:rsid w:val="00B4440F"/>
    <w:rsid w:val="00B4444C"/>
    <w:rsid w:val="00B444A3"/>
    <w:rsid w:val="00B44526"/>
    <w:rsid w:val="00B44638"/>
    <w:rsid w:val="00B44678"/>
    <w:rsid w:val="00B449CE"/>
    <w:rsid w:val="00B44A27"/>
    <w:rsid w:val="00B44A65"/>
    <w:rsid w:val="00B44B72"/>
    <w:rsid w:val="00B44CFC"/>
    <w:rsid w:val="00B44CFE"/>
    <w:rsid w:val="00B44DEC"/>
    <w:rsid w:val="00B44FE4"/>
    <w:rsid w:val="00B45020"/>
    <w:rsid w:val="00B4505D"/>
    <w:rsid w:val="00B45270"/>
    <w:rsid w:val="00B45290"/>
    <w:rsid w:val="00B452C3"/>
    <w:rsid w:val="00B452CE"/>
    <w:rsid w:val="00B45328"/>
    <w:rsid w:val="00B45379"/>
    <w:rsid w:val="00B453C4"/>
    <w:rsid w:val="00B4542B"/>
    <w:rsid w:val="00B45612"/>
    <w:rsid w:val="00B4564F"/>
    <w:rsid w:val="00B456A9"/>
    <w:rsid w:val="00B45776"/>
    <w:rsid w:val="00B457E9"/>
    <w:rsid w:val="00B45A4E"/>
    <w:rsid w:val="00B45A5E"/>
    <w:rsid w:val="00B45B6A"/>
    <w:rsid w:val="00B45C24"/>
    <w:rsid w:val="00B45C57"/>
    <w:rsid w:val="00B45DFB"/>
    <w:rsid w:val="00B45F50"/>
    <w:rsid w:val="00B45F98"/>
    <w:rsid w:val="00B45FE8"/>
    <w:rsid w:val="00B45FEE"/>
    <w:rsid w:val="00B460A9"/>
    <w:rsid w:val="00B460BC"/>
    <w:rsid w:val="00B460D6"/>
    <w:rsid w:val="00B460E5"/>
    <w:rsid w:val="00B46186"/>
    <w:rsid w:val="00B461D4"/>
    <w:rsid w:val="00B462F8"/>
    <w:rsid w:val="00B4634A"/>
    <w:rsid w:val="00B46485"/>
    <w:rsid w:val="00B46498"/>
    <w:rsid w:val="00B464F4"/>
    <w:rsid w:val="00B465D1"/>
    <w:rsid w:val="00B4683E"/>
    <w:rsid w:val="00B469E3"/>
    <w:rsid w:val="00B46BA8"/>
    <w:rsid w:val="00B46BBA"/>
    <w:rsid w:val="00B46BD5"/>
    <w:rsid w:val="00B46C6F"/>
    <w:rsid w:val="00B46CB4"/>
    <w:rsid w:val="00B46E3B"/>
    <w:rsid w:val="00B46E3F"/>
    <w:rsid w:val="00B46EE7"/>
    <w:rsid w:val="00B470D3"/>
    <w:rsid w:val="00B470EC"/>
    <w:rsid w:val="00B47182"/>
    <w:rsid w:val="00B4719D"/>
    <w:rsid w:val="00B471CE"/>
    <w:rsid w:val="00B471E0"/>
    <w:rsid w:val="00B471F3"/>
    <w:rsid w:val="00B47239"/>
    <w:rsid w:val="00B472C6"/>
    <w:rsid w:val="00B4733C"/>
    <w:rsid w:val="00B473D7"/>
    <w:rsid w:val="00B4742F"/>
    <w:rsid w:val="00B47628"/>
    <w:rsid w:val="00B4770B"/>
    <w:rsid w:val="00B47779"/>
    <w:rsid w:val="00B478A4"/>
    <w:rsid w:val="00B478F5"/>
    <w:rsid w:val="00B47914"/>
    <w:rsid w:val="00B47936"/>
    <w:rsid w:val="00B47962"/>
    <w:rsid w:val="00B47AC0"/>
    <w:rsid w:val="00B47BA1"/>
    <w:rsid w:val="00B47C87"/>
    <w:rsid w:val="00B47CB3"/>
    <w:rsid w:val="00B47D0B"/>
    <w:rsid w:val="00B47DDD"/>
    <w:rsid w:val="00B47E6A"/>
    <w:rsid w:val="00B47FB2"/>
    <w:rsid w:val="00B500DA"/>
    <w:rsid w:val="00B50102"/>
    <w:rsid w:val="00B5010C"/>
    <w:rsid w:val="00B5018A"/>
    <w:rsid w:val="00B501D4"/>
    <w:rsid w:val="00B50211"/>
    <w:rsid w:val="00B502A0"/>
    <w:rsid w:val="00B503E0"/>
    <w:rsid w:val="00B5046E"/>
    <w:rsid w:val="00B504B3"/>
    <w:rsid w:val="00B506DD"/>
    <w:rsid w:val="00B50920"/>
    <w:rsid w:val="00B509A7"/>
    <w:rsid w:val="00B509E7"/>
    <w:rsid w:val="00B509EB"/>
    <w:rsid w:val="00B50AB6"/>
    <w:rsid w:val="00B50AE7"/>
    <w:rsid w:val="00B50C6D"/>
    <w:rsid w:val="00B50E3C"/>
    <w:rsid w:val="00B50E78"/>
    <w:rsid w:val="00B50F49"/>
    <w:rsid w:val="00B5101C"/>
    <w:rsid w:val="00B51108"/>
    <w:rsid w:val="00B5111F"/>
    <w:rsid w:val="00B512C9"/>
    <w:rsid w:val="00B5134C"/>
    <w:rsid w:val="00B5137B"/>
    <w:rsid w:val="00B51385"/>
    <w:rsid w:val="00B513D8"/>
    <w:rsid w:val="00B5150F"/>
    <w:rsid w:val="00B51622"/>
    <w:rsid w:val="00B51644"/>
    <w:rsid w:val="00B516E7"/>
    <w:rsid w:val="00B516F4"/>
    <w:rsid w:val="00B517C9"/>
    <w:rsid w:val="00B51A15"/>
    <w:rsid w:val="00B51AA5"/>
    <w:rsid w:val="00B51B56"/>
    <w:rsid w:val="00B51B9B"/>
    <w:rsid w:val="00B51D7B"/>
    <w:rsid w:val="00B51F14"/>
    <w:rsid w:val="00B51F48"/>
    <w:rsid w:val="00B51FC0"/>
    <w:rsid w:val="00B52273"/>
    <w:rsid w:val="00B52288"/>
    <w:rsid w:val="00B52305"/>
    <w:rsid w:val="00B52354"/>
    <w:rsid w:val="00B523D2"/>
    <w:rsid w:val="00B524A1"/>
    <w:rsid w:val="00B524E2"/>
    <w:rsid w:val="00B5257B"/>
    <w:rsid w:val="00B525CD"/>
    <w:rsid w:val="00B52684"/>
    <w:rsid w:val="00B52688"/>
    <w:rsid w:val="00B5277A"/>
    <w:rsid w:val="00B527BA"/>
    <w:rsid w:val="00B52825"/>
    <w:rsid w:val="00B52892"/>
    <w:rsid w:val="00B52A24"/>
    <w:rsid w:val="00B52A83"/>
    <w:rsid w:val="00B52B16"/>
    <w:rsid w:val="00B52B3D"/>
    <w:rsid w:val="00B52B86"/>
    <w:rsid w:val="00B52C02"/>
    <w:rsid w:val="00B52C22"/>
    <w:rsid w:val="00B52D00"/>
    <w:rsid w:val="00B52E42"/>
    <w:rsid w:val="00B52EDF"/>
    <w:rsid w:val="00B52EF1"/>
    <w:rsid w:val="00B52EF7"/>
    <w:rsid w:val="00B52F06"/>
    <w:rsid w:val="00B52F6C"/>
    <w:rsid w:val="00B52FB5"/>
    <w:rsid w:val="00B5308B"/>
    <w:rsid w:val="00B530E8"/>
    <w:rsid w:val="00B531F9"/>
    <w:rsid w:val="00B5322A"/>
    <w:rsid w:val="00B5323A"/>
    <w:rsid w:val="00B532F8"/>
    <w:rsid w:val="00B533A1"/>
    <w:rsid w:val="00B533B4"/>
    <w:rsid w:val="00B533BB"/>
    <w:rsid w:val="00B5342C"/>
    <w:rsid w:val="00B534EF"/>
    <w:rsid w:val="00B534FC"/>
    <w:rsid w:val="00B535AD"/>
    <w:rsid w:val="00B53619"/>
    <w:rsid w:val="00B53665"/>
    <w:rsid w:val="00B53682"/>
    <w:rsid w:val="00B536A1"/>
    <w:rsid w:val="00B53779"/>
    <w:rsid w:val="00B53802"/>
    <w:rsid w:val="00B53807"/>
    <w:rsid w:val="00B53845"/>
    <w:rsid w:val="00B5385B"/>
    <w:rsid w:val="00B53925"/>
    <w:rsid w:val="00B539DF"/>
    <w:rsid w:val="00B53A82"/>
    <w:rsid w:val="00B53B5E"/>
    <w:rsid w:val="00B53C08"/>
    <w:rsid w:val="00B53CFE"/>
    <w:rsid w:val="00B53D0A"/>
    <w:rsid w:val="00B53D27"/>
    <w:rsid w:val="00B53D86"/>
    <w:rsid w:val="00B53F2C"/>
    <w:rsid w:val="00B53F4B"/>
    <w:rsid w:val="00B54175"/>
    <w:rsid w:val="00B54269"/>
    <w:rsid w:val="00B5435F"/>
    <w:rsid w:val="00B54406"/>
    <w:rsid w:val="00B5444B"/>
    <w:rsid w:val="00B54478"/>
    <w:rsid w:val="00B544BB"/>
    <w:rsid w:val="00B544BF"/>
    <w:rsid w:val="00B5454E"/>
    <w:rsid w:val="00B545F8"/>
    <w:rsid w:val="00B54654"/>
    <w:rsid w:val="00B5471E"/>
    <w:rsid w:val="00B5473F"/>
    <w:rsid w:val="00B547A5"/>
    <w:rsid w:val="00B547E0"/>
    <w:rsid w:val="00B548D4"/>
    <w:rsid w:val="00B54988"/>
    <w:rsid w:val="00B549B6"/>
    <w:rsid w:val="00B54A11"/>
    <w:rsid w:val="00B54A3A"/>
    <w:rsid w:val="00B54AF0"/>
    <w:rsid w:val="00B54CB7"/>
    <w:rsid w:val="00B54D84"/>
    <w:rsid w:val="00B54DBE"/>
    <w:rsid w:val="00B54EDA"/>
    <w:rsid w:val="00B55063"/>
    <w:rsid w:val="00B5506C"/>
    <w:rsid w:val="00B550A5"/>
    <w:rsid w:val="00B550FA"/>
    <w:rsid w:val="00B550FB"/>
    <w:rsid w:val="00B551FF"/>
    <w:rsid w:val="00B553E8"/>
    <w:rsid w:val="00B55583"/>
    <w:rsid w:val="00B555D3"/>
    <w:rsid w:val="00B5560D"/>
    <w:rsid w:val="00B55621"/>
    <w:rsid w:val="00B55641"/>
    <w:rsid w:val="00B5564E"/>
    <w:rsid w:val="00B557A0"/>
    <w:rsid w:val="00B557F5"/>
    <w:rsid w:val="00B55858"/>
    <w:rsid w:val="00B559CD"/>
    <w:rsid w:val="00B559F2"/>
    <w:rsid w:val="00B55A5E"/>
    <w:rsid w:val="00B55B59"/>
    <w:rsid w:val="00B55C43"/>
    <w:rsid w:val="00B55D20"/>
    <w:rsid w:val="00B55D29"/>
    <w:rsid w:val="00B55DEB"/>
    <w:rsid w:val="00B55DED"/>
    <w:rsid w:val="00B55E5A"/>
    <w:rsid w:val="00B55E74"/>
    <w:rsid w:val="00B55EF9"/>
    <w:rsid w:val="00B560EB"/>
    <w:rsid w:val="00B56149"/>
    <w:rsid w:val="00B56167"/>
    <w:rsid w:val="00B56264"/>
    <w:rsid w:val="00B56650"/>
    <w:rsid w:val="00B56778"/>
    <w:rsid w:val="00B567A8"/>
    <w:rsid w:val="00B567B5"/>
    <w:rsid w:val="00B56871"/>
    <w:rsid w:val="00B568BA"/>
    <w:rsid w:val="00B568CC"/>
    <w:rsid w:val="00B569A2"/>
    <w:rsid w:val="00B569FD"/>
    <w:rsid w:val="00B56B97"/>
    <w:rsid w:val="00B56BC8"/>
    <w:rsid w:val="00B56C64"/>
    <w:rsid w:val="00B56CE8"/>
    <w:rsid w:val="00B56D10"/>
    <w:rsid w:val="00B56F69"/>
    <w:rsid w:val="00B56F86"/>
    <w:rsid w:val="00B57230"/>
    <w:rsid w:val="00B57264"/>
    <w:rsid w:val="00B57629"/>
    <w:rsid w:val="00B57664"/>
    <w:rsid w:val="00B57666"/>
    <w:rsid w:val="00B576CC"/>
    <w:rsid w:val="00B578B4"/>
    <w:rsid w:val="00B578F0"/>
    <w:rsid w:val="00B57993"/>
    <w:rsid w:val="00B579DE"/>
    <w:rsid w:val="00B57A63"/>
    <w:rsid w:val="00B57B98"/>
    <w:rsid w:val="00B57E94"/>
    <w:rsid w:val="00B57FEB"/>
    <w:rsid w:val="00B60017"/>
    <w:rsid w:val="00B60057"/>
    <w:rsid w:val="00B6023F"/>
    <w:rsid w:val="00B603B9"/>
    <w:rsid w:val="00B6044A"/>
    <w:rsid w:val="00B6054A"/>
    <w:rsid w:val="00B606C4"/>
    <w:rsid w:val="00B60757"/>
    <w:rsid w:val="00B607C4"/>
    <w:rsid w:val="00B607D7"/>
    <w:rsid w:val="00B60866"/>
    <w:rsid w:val="00B60A3D"/>
    <w:rsid w:val="00B60A94"/>
    <w:rsid w:val="00B60AD0"/>
    <w:rsid w:val="00B60AF0"/>
    <w:rsid w:val="00B60B31"/>
    <w:rsid w:val="00B60BB0"/>
    <w:rsid w:val="00B60CE2"/>
    <w:rsid w:val="00B60CE8"/>
    <w:rsid w:val="00B60D8B"/>
    <w:rsid w:val="00B60E0A"/>
    <w:rsid w:val="00B60E0E"/>
    <w:rsid w:val="00B60E5A"/>
    <w:rsid w:val="00B60EB0"/>
    <w:rsid w:val="00B60FB6"/>
    <w:rsid w:val="00B60FEA"/>
    <w:rsid w:val="00B61007"/>
    <w:rsid w:val="00B61073"/>
    <w:rsid w:val="00B61096"/>
    <w:rsid w:val="00B610F4"/>
    <w:rsid w:val="00B612F6"/>
    <w:rsid w:val="00B6130D"/>
    <w:rsid w:val="00B61341"/>
    <w:rsid w:val="00B6135C"/>
    <w:rsid w:val="00B61567"/>
    <w:rsid w:val="00B61584"/>
    <w:rsid w:val="00B615FF"/>
    <w:rsid w:val="00B6161B"/>
    <w:rsid w:val="00B616C0"/>
    <w:rsid w:val="00B616CE"/>
    <w:rsid w:val="00B61718"/>
    <w:rsid w:val="00B61726"/>
    <w:rsid w:val="00B6187A"/>
    <w:rsid w:val="00B61888"/>
    <w:rsid w:val="00B6196F"/>
    <w:rsid w:val="00B61974"/>
    <w:rsid w:val="00B619EB"/>
    <w:rsid w:val="00B61A0A"/>
    <w:rsid w:val="00B61B51"/>
    <w:rsid w:val="00B61BA3"/>
    <w:rsid w:val="00B61BCA"/>
    <w:rsid w:val="00B61C12"/>
    <w:rsid w:val="00B61C7E"/>
    <w:rsid w:val="00B61C87"/>
    <w:rsid w:val="00B61C92"/>
    <w:rsid w:val="00B61CA7"/>
    <w:rsid w:val="00B61D57"/>
    <w:rsid w:val="00B61E0C"/>
    <w:rsid w:val="00B61E51"/>
    <w:rsid w:val="00B61E96"/>
    <w:rsid w:val="00B61F14"/>
    <w:rsid w:val="00B620E0"/>
    <w:rsid w:val="00B6233E"/>
    <w:rsid w:val="00B6242A"/>
    <w:rsid w:val="00B62496"/>
    <w:rsid w:val="00B624B4"/>
    <w:rsid w:val="00B624BB"/>
    <w:rsid w:val="00B62515"/>
    <w:rsid w:val="00B625CE"/>
    <w:rsid w:val="00B625E6"/>
    <w:rsid w:val="00B62622"/>
    <w:rsid w:val="00B62638"/>
    <w:rsid w:val="00B62795"/>
    <w:rsid w:val="00B62854"/>
    <w:rsid w:val="00B62975"/>
    <w:rsid w:val="00B6297F"/>
    <w:rsid w:val="00B62AAA"/>
    <w:rsid w:val="00B62AC1"/>
    <w:rsid w:val="00B62B43"/>
    <w:rsid w:val="00B62C2A"/>
    <w:rsid w:val="00B62C6B"/>
    <w:rsid w:val="00B62D3B"/>
    <w:rsid w:val="00B62DC3"/>
    <w:rsid w:val="00B62DF4"/>
    <w:rsid w:val="00B62EED"/>
    <w:rsid w:val="00B62F16"/>
    <w:rsid w:val="00B631D2"/>
    <w:rsid w:val="00B6324C"/>
    <w:rsid w:val="00B632A7"/>
    <w:rsid w:val="00B632C1"/>
    <w:rsid w:val="00B63339"/>
    <w:rsid w:val="00B6336C"/>
    <w:rsid w:val="00B634A3"/>
    <w:rsid w:val="00B63554"/>
    <w:rsid w:val="00B637F4"/>
    <w:rsid w:val="00B639D7"/>
    <w:rsid w:val="00B63ADF"/>
    <w:rsid w:val="00B63B5C"/>
    <w:rsid w:val="00B63D37"/>
    <w:rsid w:val="00B63E55"/>
    <w:rsid w:val="00B64070"/>
    <w:rsid w:val="00B64071"/>
    <w:rsid w:val="00B64191"/>
    <w:rsid w:val="00B64221"/>
    <w:rsid w:val="00B64285"/>
    <w:rsid w:val="00B64522"/>
    <w:rsid w:val="00B645B0"/>
    <w:rsid w:val="00B6460F"/>
    <w:rsid w:val="00B6467A"/>
    <w:rsid w:val="00B6474F"/>
    <w:rsid w:val="00B647AA"/>
    <w:rsid w:val="00B647F8"/>
    <w:rsid w:val="00B64812"/>
    <w:rsid w:val="00B64828"/>
    <w:rsid w:val="00B6482B"/>
    <w:rsid w:val="00B6484A"/>
    <w:rsid w:val="00B6487C"/>
    <w:rsid w:val="00B64887"/>
    <w:rsid w:val="00B648D8"/>
    <w:rsid w:val="00B64945"/>
    <w:rsid w:val="00B64984"/>
    <w:rsid w:val="00B64A0B"/>
    <w:rsid w:val="00B64A57"/>
    <w:rsid w:val="00B64ACA"/>
    <w:rsid w:val="00B64BE5"/>
    <w:rsid w:val="00B64C7F"/>
    <w:rsid w:val="00B64CA2"/>
    <w:rsid w:val="00B64D04"/>
    <w:rsid w:val="00B64D39"/>
    <w:rsid w:val="00B64D59"/>
    <w:rsid w:val="00B64DB6"/>
    <w:rsid w:val="00B64E15"/>
    <w:rsid w:val="00B64EA1"/>
    <w:rsid w:val="00B64F3F"/>
    <w:rsid w:val="00B64FC5"/>
    <w:rsid w:val="00B65188"/>
    <w:rsid w:val="00B65201"/>
    <w:rsid w:val="00B6523B"/>
    <w:rsid w:val="00B65482"/>
    <w:rsid w:val="00B65595"/>
    <w:rsid w:val="00B65598"/>
    <w:rsid w:val="00B65675"/>
    <w:rsid w:val="00B6572F"/>
    <w:rsid w:val="00B65834"/>
    <w:rsid w:val="00B65899"/>
    <w:rsid w:val="00B65950"/>
    <w:rsid w:val="00B65A0F"/>
    <w:rsid w:val="00B65B0E"/>
    <w:rsid w:val="00B65BE6"/>
    <w:rsid w:val="00B65BF2"/>
    <w:rsid w:val="00B65C72"/>
    <w:rsid w:val="00B65CF1"/>
    <w:rsid w:val="00B65D66"/>
    <w:rsid w:val="00B65DEE"/>
    <w:rsid w:val="00B65E9E"/>
    <w:rsid w:val="00B65ED8"/>
    <w:rsid w:val="00B65F3F"/>
    <w:rsid w:val="00B65F7A"/>
    <w:rsid w:val="00B65F87"/>
    <w:rsid w:val="00B660D3"/>
    <w:rsid w:val="00B661B5"/>
    <w:rsid w:val="00B6633C"/>
    <w:rsid w:val="00B66389"/>
    <w:rsid w:val="00B663EE"/>
    <w:rsid w:val="00B66417"/>
    <w:rsid w:val="00B66424"/>
    <w:rsid w:val="00B664A5"/>
    <w:rsid w:val="00B664D5"/>
    <w:rsid w:val="00B66544"/>
    <w:rsid w:val="00B665AE"/>
    <w:rsid w:val="00B66634"/>
    <w:rsid w:val="00B66668"/>
    <w:rsid w:val="00B66684"/>
    <w:rsid w:val="00B666C8"/>
    <w:rsid w:val="00B66750"/>
    <w:rsid w:val="00B6694A"/>
    <w:rsid w:val="00B66A5F"/>
    <w:rsid w:val="00B66B46"/>
    <w:rsid w:val="00B66C1C"/>
    <w:rsid w:val="00B66C6F"/>
    <w:rsid w:val="00B66DCD"/>
    <w:rsid w:val="00B66E5E"/>
    <w:rsid w:val="00B66F39"/>
    <w:rsid w:val="00B66F68"/>
    <w:rsid w:val="00B67072"/>
    <w:rsid w:val="00B6707B"/>
    <w:rsid w:val="00B67143"/>
    <w:rsid w:val="00B6716B"/>
    <w:rsid w:val="00B67203"/>
    <w:rsid w:val="00B6721C"/>
    <w:rsid w:val="00B67267"/>
    <w:rsid w:val="00B67282"/>
    <w:rsid w:val="00B67391"/>
    <w:rsid w:val="00B6744D"/>
    <w:rsid w:val="00B67530"/>
    <w:rsid w:val="00B6757F"/>
    <w:rsid w:val="00B67587"/>
    <w:rsid w:val="00B67644"/>
    <w:rsid w:val="00B6766F"/>
    <w:rsid w:val="00B677E0"/>
    <w:rsid w:val="00B678AF"/>
    <w:rsid w:val="00B678D9"/>
    <w:rsid w:val="00B67915"/>
    <w:rsid w:val="00B67A04"/>
    <w:rsid w:val="00B67AD9"/>
    <w:rsid w:val="00B67B25"/>
    <w:rsid w:val="00B67B5E"/>
    <w:rsid w:val="00B67C5C"/>
    <w:rsid w:val="00B67C91"/>
    <w:rsid w:val="00B67C9B"/>
    <w:rsid w:val="00B67CF9"/>
    <w:rsid w:val="00B67CFC"/>
    <w:rsid w:val="00B67E77"/>
    <w:rsid w:val="00B67F47"/>
    <w:rsid w:val="00B700C9"/>
    <w:rsid w:val="00B70125"/>
    <w:rsid w:val="00B70151"/>
    <w:rsid w:val="00B70187"/>
    <w:rsid w:val="00B70196"/>
    <w:rsid w:val="00B701EB"/>
    <w:rsid w:val="00B70234"/>
    <w:rsid w:val="00B70298"/>
    <w:rsid w:val="00B70332"/>
    <w:rsid w:val="00B70372"/>
    <w:rsid w:val="00B7039A"/>
    <w:rsid w:val="00B703CA"/>
    <w:rsid w:val="00B704F2"/>
    <w:rsid w:val="00B70528"/>
    <w:rsid w:val="00B705C0"/>
    <w:rsid w:val="00B70651"/>
    <w:rsid w:val="00B706D3"/>
    <w:rsid w:val="00B706E6"/>
    <w:rsid w:val="00B70877"/>
    <w:rsid w:val="00B70A5D"/>
    <w:rsid w:val="00B70A8E"/>
    <w:rsid w:val="00B70AB8"/>
    <w:rsid w:val="00B70B92"/>
    <w:rsid w:val="00B70CCE"/>
    <w:rsid w:val="00B70CEA"/>
    <w:rsid w:val="00B70D30"/>
    <w:rsid w:val="00B70E57"/>
    <w:rsid w:val="00B70FED"/>
    <w:rsid w:val="00B71007"/>
    <w:rsid w:val="00B710DC"/>
    <w:rsid w:val="00B711C3"/>
    <w:rsid w:val="00B711CE"/>
    <w:rsid w:val="00B711F2"/>
    <w:rsid w:val="00B712BC"/>
    <w:rsid w:val="00B713B8"/>
    <w:rsid w:val="00B714AD"/>
    <w:rsid w:val="00B714ED"/>
    <w:rsid w:val="00B715FE"/>
    <w:rsid w:val="00B71686"/>
    <w:rsid w:val="00B71705"/>
    <w:rsid w:val="00B7177E"/>
    <w:rsid w:val="00B7178F"/>
    <w:rsid w:val="00B717DD"/>
    <w:rsid w:val="00B71813"/>
    <w:rsid w:val="00B71829"/>
    <w:rsid w:val="00B7186C"/>
    <w:rsid w:val="00B718B9"/>
    <w:rsid w:val="00B718FA"/>
    <w:rsid w:val="00B7195E"/>
    <w:rsid w:val="00B71A4B"/>
    <w:rsid w:val="00B71ACA"/>
    <w:rsid w:val="00B71B2E"/>
    <w:rsid w:val="00B71D8A"/>
    <w:rsid w:val="00B71EF9"/>
    <w:rsid w:val="00B71EFB"/>
    <w:rsid w:val="00B71F4B"/>
    <w:rsid w:val="00B71F8B"/>
    <w:rsid w:val="00B71FD0"/>
    <w:rsid w:val="00B72017"/>
    <w:rsid w:val="00B72022"/>
    <w:rsid w:val="00B72148"/>
    <w:rsid w:val="00B72173"/>
    <w:rsid w:val="00B7247D"/>
    <w:rsid w:val="00B7248A"/>
    <w:rsid w:val="00B725B2"/>
    <w:rsid w:val="00B7262A"/>
    <w:rsid w:val="00B72636"/>
    <w:rsid w:val="00B7268E"/>
    <w:rsid w:val="00B727A5"/>
    <w:rsid w:val="00B72855"/>
    <w:rsid w:val="00B729A7"/>
    <w:rsid w:val="00B72A7E"/>
    <w:rsid w:val="00B72B70"/>
    <w:rsid w:val="00B72BEC"/>
    <w:rsid w:val="00B72C29"/>
    <w:rsid w:val="00B72C8D"/>
    <w:rsid w:val="00B72CD3"/>
    <w:rsid w:val="00B72CF8"/>
    <w:rsid w:val="00B72D96"/>
    <w:rsid w:val="00B72E27"/>
    <w:rsid w:val="00B72E29"/>
    <w:rsid w:val="00B72E58"/>
    <w:rsid w:val="00B72E5E"/>
    <w:rsid w:val="00B730AD"/>
    <w:rsid w:val="00B730EA"/>
    <w:rsid w:val="00B73113"/>
    <w:rsid w:val="00B7319A"/>
    <w:rsid w:val="00B73207"/>
    <w:rsid w:val="00B73295"/>
    <w:rsid w:val="00B73373"/>
    <w:rsid w:val="00B73449"/>
    <w:rsid w:val="00B73535"/>
    <w:rsid w:val="00B7354F"/>
    <w:rsid w:val="00B73577"/>
    <w:rsid w:val="00B73591"/>
    <w:rsid w:val="00B7362D"/>
    <w:rsid w:val="00B7363D"/>
    <w:rsid w:val="00B73759"/>
    <w:rsid w:val="00B737B9"/>
    <w:rsid w:val="00B73801"/>
    <w:rsid w:val="00B738AD"/>
    <w:rsid w:val="00B739DC"/>
    <w:rsid w:val="00B73A67"/>
    <w:rsid w:val="00B73ADC"/>
    <w:rsid w:val="00B73B64"/>
    <w:rsid w:val="00B73CA3"/>
    <w:rsid w:val="00B73CBC"/>
    <w:rsid w:val="00B73CD5"/>
    <w:rsid w:val="00B73CE9"/>
    <w:rsid w:val="00B73D6A"/>
    <w:rsid w:val="00B73D8E"/>
    <w:rsid w:val="00B73E52"/>
    <w:rsid w:val="00B73E5C"/>
    <w:rsid w:val="00B73EB3"/>
    <w:rsid w:val="00B73FC4"/>
    <w:rsid w:val="00B73FD6"/>
    <w:rsid w:val="00B73FDE"/>
    <w:rsid w:val="00B73FE8"/>
    <w:rsid w:val="00B7406F"/>
    <w:rsid w:val="00B74084"/>
    <w:rsid w:val="00B741AC"/>
    <w:rsid w:val="00B7421A"/>
    <w:rsid w:val="00B743CF"/>
    <w:rsid w:val="00B7441E"/>
    <w:rsid w:val="00B744C5"/>
    <w:rsid w:val="00B74524"/>
    <w:rsid w:val="00B74582"/>
    <w:rsid w:val="00B7460E"/>
    <w:rsid w:val="00B74660"/>
    <w:rsid w:val="00B74672"/>
    <w:rsid w:val="00B74721"/>
    <w:rsid w:val="00B7484C"/>
    <w:rsid w:val="00B749D0"/>
    <w:rsid w:val="00B74A06"/>
    <w:rsid w:val="00B74A16"/>
    <w:rsid w:val="00B74A58"/>
    <w:rsid w:val="00B74A93"/>
    <w:rsid w:val="00B74AC9"/>
    <w:rsid w:val="00B74BB2"/>
    <w:rsid w:val="00B74DFD"/>
    <w:rsid w:val="00B74E3E"/>
    <w:rsid w:val="00B74E73"/>
    <w:rsid w:val="00B74E9A"/>
    <w:rsid w:val="00B74EA2"/>
    <w:rsid w:val="00B75041"/>
    <w:rsid w:val="00B75081"/>
    <w:rsid w:val="00B750AF"/>
    <w:rsid w:val="00B7511B"/>
    <w:rsid w:val="00B7514A"/>
    <w:rsid w:val="00B751A4"/>
    <w:rsid w:val="00B751ED"/>
    <w:rsid w:val="00B75364"/>
    <w:rsid w:val="00B75399"/>
    <w:rsid w:val="00B75464"/>
    <w:rsid w:val="00B754AB"/>
    <w:rsid w:val="00B754D2"/>
    <w:rsid w:val="00B75781"/>
    <w:rsid w:val="00B757B2"/>
    <w:rsid w:val="00B757D3"/>
    <w:rsid w:val="00B757E8"/>
    <w:rsid w:val="00B7583C"/>
    <w:rsid w:val="00B7583D"/>
    <w:rsid w:val="00B759CA"/>
    <w:rsid w:val="00B75A3E"/>
    <w:rsid w:val="00B75AF3"/>
    <w:rsid w:val="00B75C41"/>
    <w:rsid w:val="00B75CC6"/>
    <w:rsid w:val="00B75CD0"/>
    <w:rsid w:val="00B75E38"/>
    <w:rsid w:val="00B75E7D"/>
    <w:rsid w:val="00B75FBF"/>
    <w:rsid w:val="00B75FE6"/>
    <w:rsid w:val="00B7610B"/>
    <w:rsid w:val="00B76147"/>
    <w:rsid w:val="00B7614E"/>
    <w:rsid w:val="00B7619D"/>
    <w:rsid w:val="00B762CB"/>
    <w:rsid w:val="00B762ED"/>
    <w:rsid w:val="00B763D3"/>
    <w:rsid w:val="00B763DF"/>
    <w:rsid w:val="00B766F8"/>
    <w:rsid w:val="00B76712"/>
    <w:rsid w:val="00B767B9"/>
    <w:rsid w:val="00B76819"/>
    <w:rsid w:val="00B7685D"/>
    <w:rsid w:val="00B7695A"/>
    <w:rsid w:val="00B769EF"/>
    <w:rsid w:val="00B76A20"/>
    <w:rsid w:val="00B76B15"/>
    <w:rsid w:val="00B76B4D"/>
    <w:rsid w:val="00B76B73"/>
    <w:rsid w:val="00B76C68"/>
    <w:rsid w:val="00B76C84"/>
    <w:rsid w:val="00B76D0C"/>
    <w:rsid w:val="00B76D51"/>
    <w:rsid w:val="00B76DCC"/>
    <w:rsid w:val="00B76DE9"/>
    <w:rsid w:val="00B76DEF"/>
    <w:rsid w:val="00B76E1B"/>
    <w:rsid w:val="00B76E20"/>
    <w:rsid w:val="00B76F6A"/>
    <w:rsid w:val="00B77031"/>
    <w:rsid w:val="00B7703D"/>
    <w:rsid w:val="00B770C3"/>
    <w:rsid w:val="00B7716F"/>
    <w:rsid w:val="00B77308"/>
    <w:rsid w:val="00B77360"/>
    <w:rsid w:val="00B773C3"/>
    <w:rsid w:val="00B77677"/>
    <w:rsid w:val="00B77742"/>
    <w:rsid w:val="00B7776D"/>
    <w:rsid w:val="00B77960"/>
    <w:rsid w:val="00B77B1C"/>
    <w:rsid w:val="00B77CC0"/>
    <w:rsid w:val="00B77D10"/>
    <w:rsid w:val="00B77DBF"/>
    <w:rsid w:val="00B77DEE"/>
    <w:rsid w:val="00B77ECD"/>
    <w:rsid w:val="00B77F85"/>
    <w:rsid w:val="00B800E2"/>
    <w:rsid w:val="00B8020B"/>
    <w:rsid w:val="00B80217"/>
    <w:rsid w:val="00B8024E"/>
    <w:rsid w:val="00B8048C"/>
    <w:rsid w:val="00B804C9"/>
    <w:rsid w:val="00B80652"/>
    <w:rsid w:val="00B80665"/>
    <w:rsid w:val="00B806F8"/>
    <w:rsid w:val="00B8070A"/>
    <w:rsid w:val="00B807DA"/>
    <w:rsid w:val="00B80833"/>
    <w:rsid w:val="00B808FE"/>
    <w:rsid w:val="00B8093E"/>
    <w:rsid w:val="00B80ACE"/>
    <w:rsid w:val="00B80AF4"/>
    <w:rsid w:val="00B80D7B"/>
    <w:rsid w:val="00B80DDD"/>
    <w:rsid w:val="00B80E00"/>
    <w:rsid w:val="00B80EC7"/>
    <w:rsid w:val="00B80F6C"/>
    <w:rsid w:val="00B80FAA"/>
    <w:rsid w:val="00B81008"/>
    <w:rsid w:val="00B81028"/>
    <w:rsid w:val="00B81110"/>
    <w:rsid w:val="00B81111"/>
    <w:rsid w:val="00B8114C"/>
    <w:rsid w:val="00B81301"/>
    <w:rsid w:val="00B81311"/>
    <w:rsid w:val="00B814F1"/>
    <w:rsid w:val="00B8151C"/>
    <w:rsid w:val="00B81671"/>
    <w:rsid w:val="00B816FD"/>
    <w:rsid w:val="00B8172B"/>
    <w:rsid w:val="00B81742"/>
    <w:rsid w:val="00B8190D"/>
    <w:rsid w:val="00B81924"/>
    <w:rsid w:val="00B81A6B"/>
    <w:rsid w:val="00B81ABA"/>
    <w:rsid w:val="00B81ABC"/>
    <w:rsid w:val="00B81BA7"/>
    <w:rsid w:val="00B81C76"/>
    <w:rsid w:val="00B81C8F"/>
    <w:rsid w:val="00B81C9F"/>
    <w:rsid w:val="00B81D8D"/>
    <w:rsid w:val="00B81F22"/>
    <w:rsid w:val="00B81F57"/>
    <w:rsid w:val="00B81FD9"/>
    <w:rsid w:val="00B820CB"/>
    <w:rsid w:val="00B820DF"/>
    <w:rsid w:val="00B823E2"/>
    <w:rsid w:val="00B8240A"/>
    <w:rsid w:val="00B8264F"/>
    <w:rsid w:val="00B82668"/>
    <w:rsid w:val="00B826F3"/>
    <w:rsid w:val="00B82702"/>
    <w:rsid w:val="00B82708"/>
    <w:rsid w:val="00B82762"/>
    <w:rsid w:val="00B8289F"/>
    <w:rsid w:val="00B828FD"/>
    <w:rsid w:val="00B829D1"/>
    <w:rsid w:val="00B82A36"/>
    <w:rsid w:val="00B82A7E"/>
    <w:rsid w:val="00B82ABF"/>
    <w:rsid w:val="00B82BD6"/>
    <w:rsid w:val="00B82C28"/>
    <w:rsid w:val="00B82C79"/>
    <w:rsid w:val="00B82DB3"/>
    <w:rsid w:val="00B82DDD"/>
    <w:rsid w:val="00B82E03"/>
    <w:rsid w:val="00B82F96"/>
    <w:rsid w:val="00B82FAE"/>
    <w:rsid w:val="00B83023"/>
    <w:rsid w:val="00B83123"/>
    <w:rsid w:val="00B832FE"/>
    <w:rsid w:val="00B83487"/>
    <w:rsid w:val="00B8356E"/>
    <w:rsid w:val="00B835CA"/>
    <w:rsid w:val="00B8369B"/>
    <w:rsid w:val="00B836E3"/>
    <w:rsid w:val="00B8370E"/>
    <w:rsid w:val="00B83775"/>
    <w:rsid w:val="00B83804"/>
    <w:rsid w:val="00B83874"/>
    <w:rsid w:val="00B8394A"/>
    <w:rsid w:val="00B83A3A"/>
    <w:rsid w:val="00B83A8F"/>
    <w:rsid w:val="00B83B14"/>
    <w:rsid w:val="00B83B41"/>
    <w:rsid w:val="00B83BE0"/>
    <w:rsid w:val="00B83BED"/>
    <w:rsid w:val="00B83C36"/>
    <w:rsid w:val="00B83DF3"/>
    <w:rsid w:val="00B83E01"/>
    <w:rsid w:val="00B83E25"/>
    <w:rsid w:val="00B83F3C"/>
    <w:rsid w:val="00B840DF"/>
    <w:rsid w:val="00B84276"/>
    <w:rsid w:val="00B84369"/>
    <w:rsid w:val="00B84375"/>
    <w:rsid w:val="00B8440B"/>
    <w:rsid w:val="00B84436"/>
    <w:rsid w:val="00B84599"/>
    <w:rsid w:val="00B845C2"/>
    <w:rsid w:val="00B8469D"/>
    <w:rsid w:val="00B846D2"/>
    <w:rsid w:val="00B847F4"/>
    <w:rsid w:val="00B84865"/>
    <w:rsid w:val="00B8490C"/>
    <w:rsid w:val="00B84952"/>
    <w:rsid w:val="00B849DD"/>
    <w:rsid w:val="00B84AB1"/>
    <w:rsid w:val="00B84D27"/>
    <w:rsid w:val="00B84E38"/>
    <w:rsid w:val="00B84ED1"/>
    <w:rsid w:val="00B8509D"/>
    <w:rsid w:val="00B850B8"/>
    <w:rsid w:val="00B850E9"/>
    <w:rsid w:val="00B85131"/>
    <w:rsid w:val="00B8515F"/>
    <w:rsid w:val="00B85169"/>
    <w:rsid w:val="00B851BF"/>
    <w:rsid w:val="00B85254"/>
    <w:rsid w:val="00B85278"/>
    <w:rsid w:val="00B854BC"/>
    <w:rsid w:val="00B85513"/>
    <w:rsid w:val="00B8554E"/>
    <w:rsid w:val="00B855DF"/>
    <w:rsid w:val="00B85638"/>
    <w:rsid w:val="00B85740"/>
    <w:rsid w:val="00B8581D"/>
    <w:rsid w:val="00B858F7"/>
    <w:rsid w:val="00B859F0"/>
    <w:rsid w:val="00B85A3F"/>
    <w:rsid w:val="00B85A5A"/>
    <w:rsid w:val="00B85AAA"/>
    <w:rsid w:val="00B85AC4"/>
    <w:rsid w:val="00B85ADD"/>
    <w:rsid w:val="00B85BDF"/>
    <w:rsid w:val="00B85D2A"/>
    <w:rsid w:val="00B85D48"/>
    <w:rsid w:val="00B85DB2"/>
    <w:rsid w:val="00B85E42"/>
    <w:rsid w:val="00B85F06"/>
    <w:rsid w:val="00B85F50"/>
    <w:rsid w:val="00B85F83"/>
    <w:rsid w:val="00B85F9A"/>
    <w:rsid w:val="00B85FA3"/>
    <w:rsid w:val="00B86042"/>
    <w:rsid w:val="00B8615F"/>
    <w:rsid w:val="00B86222"/>
    <w:rsid w:val="00B86255"/>
    <w:rsid w:val="00B862EE"/>
    <w:rsid w:val="00B86348"/>
    <w:rsid w:val="00B86350"/>
    <w:rsid w:val="00B863A9"/>
    <w:rsid w:val="00B863AD"/>
    <w:rsid w:val="00B864B1"/>
    <w:rsid w:val="00B865C2"/>
    <w:rsid w:val="00B8660D"/>
    <w:rsid w:val="00B86693"/>
    <w:rsid w:val="00B867BF"/>
    <w:rsid w:val="00B868FB"/>
    <w:rsid w:val="00B86A1E"/>
    <w:rsid w:val="00B86A47"/>
    <w:rsid w:val="00B86AA8"/>
    <w:rsid w:val="00B86AC5"/>
    <w:rsid w:val="00B86B98"/>
    <w:rsid w:val="00B86BC7"/>
    <w:rsid w:val="00B86C13"/>
    <w:rsid w:val="00B86CED"/>
    <w:rsid w:val="00B86D0F"/>
    <w:rsid w:val="00B86D54"/>
    <w:rsid w:val="00B86E2E"/>
    <w:rsid w:val="00B86F6C"/>
    <w:rsid w:val="00B86FCA"/>
    <w:rsid w:val="00B86FDF"/>
    <w:rsid w:val="00B86FE8"/>
    <w:rsid w:val="00B871BA"/>
    <w:rsid w:val="00B8732F"/>
    <w:rsid w:val="00B8733F"/>
    <w:rsid w:val="00B87424"/>
    <w:rsid w:val="00B8746D"/>
    <w:rsid w:val="00B87636"/>
    <w:rsid w:val="00B8769E"/>
    <w:rsid w:val="00B8772E"/>
    <w:rsid w:val="00B877A2"/>
    <w:rsid w:val="00B8785B"/>
    <w:rsid w:val="00B878C6"/>
    <w:rsid w:val="00B878E1"/>
    <w:rsid w:val="00B87A0A"/>
    <w:rsid w:val="00B87BE0"/>
    <w:rsid w:val="00B87C73"/>
    <w:rsid w:val="00B87D2E"/>
    <w:rsid w:val="00B87E38"/>
    <w:rsid w:val="00B90138"/>
    <w:rsid w:val="00B90150"/>
    <w:rsid w:val="00B902BC"/>
    <w:rsid w:val="00B9034F"/>
    <w:rsid w:val="00B9038C"/>
    <w:rsid w:val="00B90549"/>
    <w:rsid w:val="00B909EF"/>
    <w:rsid w:val="00B90AF3"/>
    <w:rsid w:val="00B90B22"/>
    <w:rsid w:val="00B90B64"/>
    <w:rsid w:val="00B90B98"/>
    <w:rsid w:val="00B90B9C"/>
    <w:rsid w:val="00B90C40"/>
    <w:rsid w:val="00B90C66"/>
    <w:rsid w:val="00B90DA7"/>
    <w:rsid w:val="00B90E15"/>
    <w:rsid w:val="00B90E7F"/>
    <w:rsid w:val="00B90E93"/>
    <w:rsid w:val="00B90FFC"/>
    <w:rsid w:val="00B910B8"/>
    <w:rsid w:val="00B910BF"/>
    <w:rsid w:val="00B9113B"/>
    <w:rsid w:val="00B91166"/>
    <w:rsid w:val="00B911E8"/>
    <w:rsid w:val="00B9132A"/>
    <w:rsid w:val="00B91331"/>
    <w:rsid w:val="00B91379"/>
    <w:rsid w:val="00B9138C"/>
    <w:rsid w:val="00B91412"/>
    <w:rsid w:val="00B9141B"/>
    <w:rsid w:val="00B91441"/>
    <w:rsid w:val="00B9147B"/>
    <w:rsid w:val="00B9150F"/>
    <w:rsid w:val="00B915A5"/>
    <w:rsid w:val="00B915F5"/>
    <w:rsid w:val="00B91762"/>
    <w:rsid w:val="00B917C1"/>
    <w:rsid w:val="00B917E8"/>
    <w:rsid w:val="00B9181A"/>
    <w:rsid w:val="00B91837"/>
    <w:rsid w:val="00B918D4"/>
    <w:rsid w:val="00B91951"/>
    <w:rsid w:val="00B91998"/>
    <w:rsid w:val="00B91AB5"/>
    <w:rsid w:val="00B91B48"/>
    <w:rsid w:val="00B91B4B"/>
    <w:rsid w:val="00B91B79"/>
    <w:rsid w:val="00B91BCE"/>
    <w:rsid w:val="00B91C7B"/>
    <w:rsid w:val="00B91D0A"/>
    <w:rsid w:val="00B91D86"/>
    <w:rsid w:val="00B91E40"/>
    <w:rsid w:val="00B91ED7"/>
    <w:rsid w:val="00B91F33"/>
    <w:rsid w:val="00B91FE3"/>
    <w:rsid w:val="00B92069"/>
    <w:rsid w:val="00B92231"/>
    <w:rsid w:val="00B92296"/>
    <w:rsid w:val="00B922D5"/>
    <w:rsid w:val="00B9244D"/>
    <w:rsid w:val="00B9246B"/>
    <w:rsid w:val="00B92501"/>
    <w:rsid w:val="00B92560"/>
    <w:rsid w:val="00B9257F"/>
    <w:rsid w:val="00B92BA5"/>
    <w:rsid w:val="00B92C10"/>
    <w:rsid w:val="00B92D61"/>
    <w:rsid w:val="00B92DCC"/>
    <w:rsid w:val="00B92DCD"/>
    <w:rsid w:val="00B92F97"/>
    <w:rsid w:val="00B92FD8"/>
    <w:rsid w:val="00B9302B"/>
    <w:rsid w:val="00B930B3"/>
    <w:rsid w:val="00B930E1"/>
    <w:rsid w:val="00B93113"/>
    <w:rsid w:val="00B9311D"/>
    <w:rsid w:val="00B93148"/>
    <w:rsid w:val="00B93174"/>
    <w:rsid w:val="00B93268"/>
    <w:rsid w:val="00B9328C"/>
    <w:rsid w:val="00B9342A"/>
    <w:rsid w:val="00B934E6"/>
    <w:rsid w:val="00B93695"/>
    <w:rsid w:val="00B937A8"/>
    <w:rsid w:val="00B9387F"/>
    <w:rsid w:val="00B938A9"/>
    <w:rsid w:val="00B93A3B"/>
    <w:rsid w:val="00B93B16"/>
    <w:rsid w:val="00B93B18"/>
    <w:rsid w:val="00B93B41"/>
    <w:rsid w:val="00B93C63"/>
    <w:rsid w:val="00B93C91"/>
    <w:rsid w:val="00B93CA0"/>
    <w:rsid w:val="00B93D52"/>
    <w:rsid w:val="00B93DCE"/>
    <w:rsid w:val="00B93DDC"/>
    <w:rsid w:val="00B93F36"/>
    <w:rsid w:val="00B94021"/>
    <w:rsid w:val="00B94122"/>
    <w:rsid w:val="00B9415C"/>
    <w:rsid w:val="00B941FB"/>
    <w:rsid w:val="00B94261"/>
    <w:rsid w:val="00B942AA"/>
    <w:rsid w:val="00B94387"/>
    <w:rsid w:val="00B943C2"/>
    <w:rsid w:val="00B943F3"/>
    <w:rsid w:val="00B94419"/>
    <w:rsid w:val="00B94465"/>
    <w:rsid w:val="00B94485"/>
    <w:rsid w:val="00B944CD"/>
    <w:rsid w:val="00B944DA"/>
    <w:rsid w:val="00B9456F"/>
    <w:rsid w:val="00B94639"/>
    <w:rsid w:val="00B946D4"/>
    <w:rsid w:val="00B94710"/>
    <w:rsid w:val="00B94776"/>
    <w:rsid w:val="00B94797"/>
    <w:rsid w:val="00B949F5"/>
    <w:rsid w:val="00B94C3D"/>
    <w:rsid w:val="00B94DFA"/>
    <w:rsid w:val="00B94DFB"/>
    <w:rsid w:val="00B94E10"/>
    <w:rsid w:val="00B94E2B"/>
    <w:rsid w:val="00B94EBC"/>
    <w:rsid w:val="00B94F58"/>
    <w:rsid w:val="00B950B7"/>
    <w:rsid w:val="00B9518F"/>
    <w:rsid w:val="00B95266"/>
    <w:rsid w:val="00B95369"/>
    <w:rsid w:val="00B95446"/>
    <w:rsid w:val="00B9544B"/>
    <w:rsid w:val="00B95594"/>
    <w:rsid w:val="00B956E4"/>
    <w:rsid w:val="00B956FF"/>
    <w:rsid w:val="00B9579C"/>
    <w:rsid w:val="00B957B6"/>
    <w:rsid w:val="00B957BD"/>
    <w:rsid w:val="00B95965"/>
    <w:rsid w:val="00B95ABC"/>
    <w:rsid w:val="00B95B3C"/>
    <w:rsid w:val="00B95C6B"/>
    <w:rsid w:val="00B95CFD"/>
    <w:rsid w:val="00B95D26"/>
    <w:rsid w:val="00B95D6B"/>
    <w:rsid w:val="00B9619A"/>
    <w:rsid w:val="00B962D4"/>
    <w:rsid w:val="00B96375"/>
    <w:rsid w:val="00B9639D"/>
    <w:rsid w:val="00B963BD"/>
    <w:rsid w:val="00B964FF"/>
    <w:rsid w:val="00B96531"/>
    <w:rsid w:val="00B965C0"/>
    <w:rsid w:val="00B96669"/>
    <w:rsid w:val="00B966E9"/>
    <w:rsid w:val="00B96799"/>
    <w:rsid w:val="00B967C2"/>
    <w:rsid w:val="00B96884"/>
    <w:rsid w:val="00B969D4"/>
    <w:rsid w:val="00B96A0A"/>
    <w:rsid w:val="00B96B4A"/>
    <w:rsid w:val="00B96B7B"/>
    <w:rsid w:val="00B96CA5"/>
    <w:rsid w:val="00B96CBA"/>
    <w:rsid w:val="00B96D0C"/>
    <w:rsid w:val="00B96DD4"/>
    <w:rsid w:val="00B96E3C"/>
    <w:rsid w:val="00B96EC8"/>
    <w:rsid w:val="00B96ECF"/>
    <w:rsid w:val="00B96EF7"/>
    <w:rsid w:val="00B96F18"/>
    <w:rsid w:val="00B96FC7"/>
    <w:rsid w:val="00B97020"/>
    <w:rsid w:val="00B970D7"/>
    <w:rsid w:val="00B97129"/>
    <w:rsid w:val="00B971D0"/>
    <w:rsid w:val="00B9725B"/>
    <w:rsid w:val="00B9732C"/>
    <w:rsid w:val="00B973EF"/>
    <w:rsid w:val="00B975D1"/>
    <w:rsid w:val="00B977AC"/>
    <w:rsid w:val="00B977C8"/>
    <w:rsid w:val="00B97835"/>
    <w:rsid w:val="00B97873"/>
    <w:rsid w:val="00B97A78"/>
    <w:rsid w:val="00B97AD8"/>
    <w:rsid w:val="00B97B8C"/>
    <w:rsid w:val="00B97BF3"/>
    <w:rsid w:val="00B97C16"/>
    <w:rsid w:val="00B97C28"/>
    <w:rsid w:val="00B97C53"/>
    <w:rsid w:val="00B97C7F"/>
    <w:rsid w:val="00B97D42"/>
    <w:rsid w:val="00B97D6D"/>
    <w:rsid w:val="00B97DA6"/>
    <w:rsid w:val="00B97DA9"/>
    <w:rsid w:val="00B97E04"/>
    <w:rsid w:val="00B97ED6"/>
    <w:rsid w:val="00BA003B"/>
    <w:rsid w:val="00BA006E"/>
    <w:rsid w:val="00BA0248"/>
    <w:rsid w:val="00BA031C"/>
    <w:rsid w:val="00BA032E"/>
    <w:rsid w:val="00BA034F"/>
    <w:rsid w:val="00BA0444"/>
    <w:rsid w:val="00BA049C"/>
    <w:rsid w:val="00BA05B4"/>
    <w:rsid w:val="00BA05ED"/>
    <w:rsid w:val="00BA069E"/>
    <w:rsid w:val="00BA06D2"/>
    <w:rsid w:val="00BA06DE"/>
    <w:rsid w:val="00BA07F0"/>
    <w:rsid w:val="00BA084C"/>
    <w:rsid w:val="00BA0890"/>
    <w:rsid w:val="00BA08BA"/>
    <w:rsid w:val="00BA0963"/>
    <w:rsid w:val="00BA0A51"/>
    <w:rsid w:val="00BA0A89"/>
    <w:rsid w:val="00BA0AA7"/>
    <w:rsid w:val="00BA0B32"/>
    <w:rsid w:val="00BA0C1E"/>
    <w:rsid w:val="00BA0C51"/>
    <w:rsid w:val="00BA0CA8"/>
    <w:rsid w:val="00BA0CE8"/>
    <w:rsid w:val="00BA0D25"/>
    <w:rsid w:val="00BA0E1B"/>
    <w:rsid w:val="00BA0FA5"/>
    <w:rsid w:val="00BA107F"/>
    <w:rsid w:val="00BA1152"/>
    <w:rsid w:val="00BA1178"/>
    <w:rsid w:val="00BA1269"/>
    <w:rsid w:val="00BA12B1"/>
    <w:rsid w:val="00BA12B8"/>
    <w:rsid w:val="00BA1366"/>
    <w:rsid w:val="00BA147E"/>
    <w:rsid w:val="00BA14CF"/>
    <w:rsid w:val="00BA156C"/>
    <w:rsid w:val="00BA1596"/>
    <w:rsid w:val="00BA15A0"/>
    <w:rsid w:val="00BA15BA"/>
    <w:rsid w:val="00BA15CA"/>
    <w:rsid w:val="00BA1624"/>
    <w:rsid w:val="00BA17E7"/>
    <w:rsid w:val="00BA18EC"/>
    <w:rsid w:val="00BA19DD"/>
    <w:rsid w:val="00BA1B3E"/>
    <w:rsid w:val="00BA1BE3"/>
    <w:rsid w:val="00BA1F7D"/>
    <w:rsid w:val="00BA1F9C"/>
    <w:rsid w:val="00BA2072"/>
    <w:rsid w:val="00BA235A"/>
    <w:rsid w:val="00BA2388"/>
    <w:rsid w:val="00BA2423"/>
    <w:rsid w:val="00BA244F"/>
    <w:rsid w:val="00BA24E7"/>
    <w:rsid w:val="00BA26FA"/>
    <w:rsid w:val="00BA2714"/>
    <w:rsid w:val="00BA27AD"/>
    <w:rsid w:val="00BA2808"/>
    <w:rsid w:val="00BA28E7"/>
    <w:rsid w:val="00BA29C3"/>
    <w:rsid w:val="00BA2A1D"/>
    <w:rsid w:val="00BA2B18"/>
    <w:rsid w:val="00BA2BCE"/>
    <w:rsid w:val="00BA2D30"/>
    <w:rsid w:val="00BA2D6B"/>
    <w:rsid w:val="00BA2D9E"/>
    <w:rsid w:val="00BA2ED3"/>
    <w:rsid w:val="00BA2F6C"/>
    <w:rsid w:val="00BA3009"/>
    <w:rsid w:val="00BA3054"/>
    <w:rsid w:val="00BA306F"/>
    <w:rsid w:val="00BA3108"/>
    <w:rsid w:val="00BA3143"/>
    <w:rsid w:val="00BA3178"/>
    <w:rsid w:val="00BA31D8"/>
    <w:rsid w:val="00BA32BE"/>
    <w:rsid w:val="00BA33B8"/>
    <w:rsid w:val="00BA33CD"/>
    <w:rsid w:val="00BA3458"/>
    <w:rsid w:val="00BA3459"/>
    <w:rsid w:val="00BA3468"/>
    <w:rsid w:val="00BA3578"/>
    <w:rsid w:val="00BA35F1"/>
    <w:rsid w:val="00BA37AC"/>
    <w:rsid w:val="00BA394A"/>
    <w:rsid w:val="00BA39AF"/>
    <w:rsid w:val="00BA39B6"/>
    <w:rsid w:val="00BA3A67"/>
    <w:rsid w:val="00BA3A9A"/>
    <w:rsid w:val="00BA3AB4"/>
    <w:rsid w:val="00BA3B09"/>
    <w:rsid w:val="00BA3B68"/>
    <w:rsid w:val="00BA3D59"/>
    <w:rsid w:val="00BA3EAA"/>
    <w:rsid w:val="00BA3EFB"/>
    <w:rsid w:val="00BA3F80"/>
    <w:rsid w:val="00BA3FA6"/>
    <w:rsid w:val="00BA4006"/>
    <w:rsid w:val="00BA4067"/>
    <w:rsid w:val="00BA41BE"/>
    <w:rsid w:val="00BA42A6"/>
    <w:rsid w:val="00BA42FC"/>
    <w:rsid w:val="00BA435C"/>
    <w:rsid w:val="00BA43CB"/>
    <w:rsid w:val="00BA4444"/>
    <w:rsid w:val="00BA44FA"/>
    <w:rsid w:val="00BA45FD"/>
    <w:rsid w:val="00BA46E0"/>
    <w:rsid w:val="00BA4703"/>
    <w:rsid w:val="00BA48A6"/>
    <w:rsid w:val="00BA48F7"/>
    <w:rsid w:val="00BA492B"/>
    <w:rsid w:val="00BA4945"/>
    <w:rsid w:val="00BA49C5"/>
    <w:rsid w:val="00BA4A1D"/>
    <w:rsid w:val="00BA4A3D"/>
    <w:rsid w:val="00BA4A71"/>
    <w:rsid w:val="00BA4B46"/>
    <w:rsid w:val="00BA4B78"/>
    <w:rsid w:val="00BA4CB1"/>
    <w:rsid w:val="00BA4D15"/>
    <w:rsid w:val="00BA4EEB"/>
    <w:rsid w:val="00BA4F62"/>
    <w:rsid w:val="00BA50C2"/>
    <w:rsid w:val="00BA51A6"/>
    <w:rsid w:val="00BA5291"/>
    <w:rsid w:val="00BA5358"/>
    <w:rsid w:val="00BA537C"/>
    <w:rsid w:val="00BA5436"/>
    <w:rsid w:val="00BA54BF"/>
    <w:rsid w:val="00BA54FC"/>
    <w:rsid w:val="00BA5597"/>
    <w:rsid w:val="00BA55AB"/>
    <w:rsid w:val="00BA5628"/>
    <w:rsid w:val="00BA56D1"/>
    <w:rsid w:val="00BA56F4"/>
    <w:rsid w:val="00BA575D"/>
    <w:rsid w:val="00BA57F5"/>
    <w:rsid w:val="00BA586B"/>
    <w:rsid w:val="00BA58CD"/>
    <w:rsid w:val="00BA58D6"/>
    <w:rsid w:val="00BA59A7"/>
    <w:rsid w:val="00BA5AC5"/>
    <w:rsid w:val="00BA5BDC"/>
    <w:rsid w:val="00BA5BF0"/>
    <w:rsid w:val="00BA5C1B"/>
    <w:rsid w:val="00BA5CAF"/>
    <w:rsid w:val="00BA5CB1"/>
    <w:rsid w:val="00BA5E2C"/>
    <w:rsid w:val="00BA5F97"/>
    <w:rsid w:val="00BA6069"/>
    <w:rsid w:val="00BA606F"/>
    <w:rsid w:val="00BA618F"/>
    <w:rsid w:val="00BA61C6"/>
    <w:rsid w:val="00BA6224"/>
    <w:rsid w:val="00BA6331"/>
    <w:rsid w:val="00BA63E8"/>
    <w:rsid w:val="00BA63E9"/>
    <w:rsid w:val="00BA63EF"/>
    <w:rsid w:val="00BA641A"/>
    <w:rsid w:val="00BA649D"/>
    <w:rsid w:val="00BA64F8"/>
    <w:rsid w:val="00BA6524"/>
    <w:rsid w:val="00BA67F3"/>
    <w:rsid w:val="00BA6882"/>
    <w:rsid w:val="00BA6971"/>
    <w:rsid w:val="00BA6B97"/>
    <w:rsid w:val="00BA6C02"/>
    <w:rsid w:val="00BA6D45"/>
    <w:rsid w:val="00BA6E9E"/>
    <w:rsid w:val="00BA6EBC"/>
    <w:rsid w:val="00BA6F20"/>
    <w:rsid w:val="00BA6FA2"/>
    <w:rsid w:val="00BA6FD4"/>
    <w:rsid w:val="00BA7060"/>
    <w:rsid w:val="00BA714E"/>
    <w:rsid w:val="00BA71A4"/>
    <w:rsid w:val="00BA7244"/>
    <w:rsid w:val="00BA7355"/>
    <w:rsid w:val="00BA7452"/>
    <w:rsid w:val="00BA745F"/>
    <w:rsid w:val="00BA7521"/>
    <w:rsid w:val="00BA7546"/>
    <w:rsid w:val="00BA758C"/>
    <w:rsid w:val="00BA7606"/>
    <w:rsid w:val="00BA761B"/>
    <w:rsid w:val="00BA761D"/>
    <w:rsid w:val="00BA7673"/>
    <w:rsid w:val="00BA7695"/>
    <w:rsid w:val="00BA76D5"/>
    <w:rsid w:val="00BA76E5"/>
    <w:rsid w:val="00BA770F"/>
    <w:rsid w:val="00BA78D2"/>
    <w:rsid w:val="00BA7A16"/>
    <w:rsid w:val="00BA7A4B"/>
    <w:rsid w:val="00BA7A86"/>
    <w:rsid w:val="00BA7B0A"/>
    <w:rsid w:val="00BA7B2D"/>
    <w:rsid w:val="00BA7B42"/>
    <w:rsid w:val="00BA7B6A"/>
    <w:rsid w:val="00BA7D56"/>
    <w:rsid w:val="00BA7D94"/>
    <w:rsid w:val="00BA7E50"/>
    <w:rsid w:val="00BA7FBC"/>
    <w:rsid w:val="00BA7FCA"/>
    <w:rsid w:val="00BB0015"/>
    <w:rsid w:val="00BB00BE"/>
    <w:rsid w:val="00BB00D3"/>
    <w:rsid w:val="00BB00DD"/>
    <w:rsid w:val="00BB0229"/>
    <w:rsid w:val="00BB0278"/>
    <w:rsid w:val="00BB0355"/>
    <w:rsid w:val="00BB0525"/>
    <w:rsid w:val="00BB07AC"/>
    <w:rsid w:val="00BB07B1"/>
    <w:rsid w:val="00BB0884"/>
    <w:rsid w:val="00BB08BC"/>
    <w:rsid w:val="00BB090F"/>
    <w:rsid w:val="00BB09BB"/>
    <w:rsid w:val="00BB09D2"/>
    <w:rsid w:val="00BB0A3A"/>
    <w:rsid w:val="00BB0A73"/>
    <w:rsid w:val="00BB0A96"/>
    <w:rsid w:val="00BB0AB3"/>
    <w:rsid w:val="00BB0B0D"/>
    <w:rsid w:val="00BB0BC1"/>
    <w:rsid w:val="00BB0BCC"/>
    <w:rsid w:val="00BB0C2B"/>
    <w:rsid w:val="00BB0C67"/>
    <w:rsid w:val="00BB0DCF"/>
    <w:rsid w:val="00BB0FE2"/>
    <w:rsid w:val="00BB0FFA"/>
    <w:rsid w:val="00BB1055"/>
    <w:rsid w:val="00BB123E"/>
    <w:rsid w:val="00BB1270"/>
    <w:rsid w:val="00BB1321"/>
    <w:rsid w:val="00BB136C"/>
    <w:rsid w:val="00BB138B"/>
    <w:rsid w:val="00BB13EE"/>
    <w:rsid w:val="00BB1546"/>
    <w:rsid w:val="00BB15A6"/>
    <w:rsid w:val="00BB1657"/>
    <w:rsid w:val="00BB1686"/>
    <w:rsid w:val="00BB16CC"/>
    <w:rsid w:val="00BB1848"/>
    <w:rsid w:val="00BB1896"/>
    <w:rsid w:val="00BB19A5"/>
    <w:rsid w:val="00BB1B6C"/>
    <w:rsid w:val="00BB1C35"/>
    <w:rsid w:val="00BB1CC5"/>
    <w:rsid w:val="00BB1CC7"/>
    <w:rsid w:val="00BB1D1F"/>
    <w:rsid w:val="00BB1D35"/>
    <w:rsid w:val="00BB1F01"/>
    <w:rsid w:val="00BB2022"/>
    <w:rsid w:val="00BB206D"/>
    <w:rsid w:val="00BB20FA"/>
    <w:rsid w:val="00BB2109"/>
    <w:rsid w:val="00BB22E0"/>
    <w:rsid w:val="00BB2314"/>
    <w:rsid w:val="00BB2349"/>
    <w:rsid w:val="00BB23F6"/>
    <w:rsid w:val="00BB2453"/>
    <w:rsid w:val="00BB24B9"/>
    <w:rsid w:val="00BB24DC"/>
    <w:rsid w:val="00BB24F9"/>
    <w:rsid w:val="00BB253D"/>
    <w:rsid w:val="00BB254A"/>
    <w:rsid w:val="00BB2581"/>
    <w:rsid w:val="00BB26E3"/>
    <w:rsid w:val="00BB2702"/>
    <w:rsid w:val="00BB276C"/>
    <w:rsid w:val="00BB2884"/>
    <w:rsid w:val="00BB28FB"/>
    <w:rsid w:val="00BB2984"/>
    <w:rsid w:val="00BB29FF"/>
    <w:rsid w:val="00BB2AC4"/>
    <w:rsid w:val="00BB2D37"/>
    <w:rsid w:val="00BB2DAD"/>
    <w:rsid w:val="00BB2DB6"/>
    <w:rsid w:val="00BB2F19"/>
    <w:rsid w:val="00BB2F6B"/>
    <w:rsid w:val="00BB2FEA"/>
    <w:rsid w:val="00BB3081"/>
    <w:rsid w:val="00BB3084"/>
    <w:rsid w:val="00BB317A"/>
    <w:rsid w:val="00BB322A"/>
    <w:rsid w:val="00BB3255"/>
    <w:rsid w:val="00BB325F"/>
    <w:rsid w:val="00BB32E5"/>
    <w:rsid w:val="00BB3473"/>
    <w:rsid w:val="00BB3484"/>
    <w:rsid w:val="00BB34EC"/>
    <w:rsid w:val="00BB3540"/>
    <w:rsid w:val="00BB35CF"/>
    <w:rsid w:val="00BB3640"/>
    <w:rsid w:val="00BB3648"/>
    <w:rsid w:val="00BB3658"/>
    <w:rsid w:val="00BB370B"/>
    <w:rsid w:val="00BB3814"/>
    <w:rsid w:val="00BB3914"/>
    <w:rsid w:val="00BB3B34"/>
    <w:rsid w:val="00BB3B4E"/>
    <w:rsid w:val="00BB3BD5"/>
    <w:rsid w:val="00BB3BE3"/>
    <w:rsid w:val="00BB3C3C"/>
    <w:rsid w:val="00BB3C42"/>
    <w:rsid w:val="00BB3C47"/>
    <w:rsid w:val="00BB3C7F"/>
    <w:rsid w:val="00BB3C87"/>
    <w:rsid w:val="00BB3C96"/>
    <w:rsid w:val="00BB3DF9"/>
    <w:rsid w:val="00BB3EEB"/>
    <w:rsid w:val="00BB3F1B"/>
    <w:rsid w:val="00BB3F26"/>
    <w:rsid w:val="00BB3F89"/>
    <w:rsid w:val="00BB405A"/>
    <w:rsid w:val="00BB40AA"/>
    <w:rsid w:val="00BB40C1"/>
    <w:rsid w:val="00BB410C"/>
    <w:rsid w:val="00BB4126"/>
    <w:rsid w:val="00BB4287"/>
    <w:rsid w:val="00BB43D2"/>
    <w:rsid w:val="00BB44D0"/>
    <w:rsid w:val="00BB463B"/>
    <w:rsid w:val="00BB46B4"/>
    <w:rsid w:val="00BB4736"/>
    <w:rsid w:val="00BB4752"/>
    <w:rsid w:val="00BB476C"/>
    <w:rsid w:val="00BB4820"/>
    <w:rsid w:val="00BB483A"/>
    <w:rsid w:val="00BB483D"/>
    <w:rsid w:val="00BB4992"/>
    <w:rsid w:val="00BB4A3C"/>
    <w:rsid w:val="00BB4ADC"/>
    <w:rsid w:val="00BB4AE9"/>
    <w:rsid w:val="00BB4B8D"/>
    <w:rsid w:val="00BB4B9C"/>
    <w:rsid w:val="00BB4BC5"/>
    <w:rsid w:val="00BB4C00"/>
    <w:rsid w:val="00BB4C2C"/>
    <w:rsid w:val="00BB4CC3"/>
    <w:rsid w:val="00BB4D52"/>
    <w:rsid w:val="00BB4DC7"/>
    <w:rsid w:val="00BB4E0A"/>
    <w:rsid w:val="00BB4EC4"/>
    <w:rsid w:val="00BB4EDB"/>
    <w:rsid w:val="00BB4FAE"/>
    <w:rsid w:val="00BB4FF1"/>
    <w:rsid w:val="00BB5015"/>
    <w:rsid w:val="00BB5351"/>
    <w:rsid w:val="00BB53CD"/>
    <w:rsid w:val="00BB5526"/>
    <w:rsid w:val="00BB5535"/>
    <w:rsid w:val="00BB55BB"/>
    <w:rsid w:val="00BB5675"/>
    <w:rsid w:val="00BB5754"/>
    <w:rsid w:val="00BB5761"/>
    <w:rsid w:val="00BB577C"/>
    <w:rsid w:val="00BB57B1"/>
    <w:rsid w:val="00BB5821"/>
    <w:rsid w:val="00BB5829"/>
    <w:rsid w:val="00BB583A"/>
    <w:rsid w:val="00BB598C"/>
    <w:rsid w:val="00BB5A24"/>
    <w:rsid w:val="00BB5AF5"/>
    <w:rsid w:val="00BB5B67"/>
    <w:rsid w:val="00BB5C2E"/>
    <w:rsid w:val="00BB5CC0"/>
    <w:rsid w:val="00BB5E3C"/>
    <w:rsid w:val="00BB5EA7"/>
    <w:rsid w:val="00BB5ECD"/>
    <w:rsid w:val="00BB5ECF"/>
    <w:rsid w:val="00BB5F8A"/>
    <w:rsid w:val="00BB607B"/>
    <w:rsid w:val="00BB6172"/>
    <w:rsid w:val="00BB628C"/>
    <w:rsid w:val="00BB6291"/>
    <w:rsid w:val="00BB6346"/>
    <w:rsid w:val="00BB63A5"/>
    <w:rsid w:val="00BB63E6"/>
    <w:rsid w:val="00BB64D6"/>
    <w:rsid w:val="00BB64FF"/>
    <w:rsid w:val="00BB66FB"/>
    <w:rsid w:val="00BB68F8"/>
    <w:rsid w:val="00BB6900"/>
    <w:rsid w:val="00BB6921"/>
    <w:rsid w:val="00BB6AD5"/>
    <w:rsid w:val="00BB6B66"/>
    <w:rsid w:val="00BB6B8E"/>
    <w:rsid w:val="00BB6C15"/>
    <w:rsid w:val="00BB6D6F"/>
    <w:rsid w:val="00BB6D83"/>
    <w:rsid w:val="00BB6DE6"/>
    <w:rsid w:val="00BB6E01"/>
    <w:rsid w:val="00BB6E1C"/>
    <w:rsid w:val="00BB6EEB"/>
    <w:rsid w:val="00BB6F9D"/>
    <w:rsid w:val="00BB6FCB"/>
    <w:rsid w:val="00BB70D4"/>
    <w:rsid w:val="00BB70EB"/>
    <w:rsid w:val="00BB7190"/>
    <w:rsid w:val="00BB7424"/>
    <w:rsid w:val="00BB7597"/>
    <w:rsid w:val="00BB75B2"/>
    <w:rsid w:val="00BB75C9"/>
    <w:rsid w:val="00BB75F1"/>
    <w:rsid w:val="00BB76FA"/>
    <w:rsid w:val="00BB7754"/>
    <w:rsid w:val="00BB77C0"/>
    <w:rsid w:val="00BB7816"/>
    <w:rsid w:val="00BB7834"/>
    <w:rsid w:val="00BB7A7D"/>
    <w:rsid w:val="00BB7AC5"/>
    <w:rsid w:val="00BB7AD8"/>
    <w:rsid w:val="00BB7C1B"/>
    <w:rsid w:val="00BB7CD6"/>
    <w:rsid w:val="00BB7CF3"/>
    <w:rsid w:val="00BB7D63"/>
    <w:rsid w:val="00BB7D7A"/>
    <w:rsid w:val="00BB7D7D"/>
    <w:rsid w:val="00BB7DCF"/>
    <w:rsid w:val="00BB7E0F"/>
    <w:rsid w:val="00BB7EA9"/>
    <w:rsid w:val="00BB7F62"/>
    <w:rsid w:val="00BB7F68"/>
    <w:rsid w:val="00BC0133"/>
    <w:rsid w:val="00BC022B"/>
    <w:rsid w:val="00BC025C"/>
    <w:rsid w:val="00BC02B4"/>
    <w:rsid w:val="00BC045E"/>
    <w:rsid w:val="00BC0486"/>
    <w:rsid w:val="00BC06E1"/>
    <w:rsid w:val="00BC06E4"/>
    <w:rsid w:val="00BC085D"/>
    <w:rsid w:val="00BC0865"/>
    <w:rsid w:val="00BC0C0F"/>
    <w:rsid w:val="00BC0C37"/>
    <w:rsid w:val="00BC0D44"/>
    <w:rsid w:val="00BC0D51"/>
    <w:rsid w:val="00BC0F0C"/>
    <w:rsid w:val="00BC102D"/>
    <w:rsid w:val="00BC10C2"/>
    <w:rsid w:val="00BC11A9"/>
    <w:rsid w:val="00BC14F3"/>
    <w:rsid w:val="00BC1517"/>
    <w:rsid w:val="00BC1525"/>
    <w:rsid w:val="00BC1573"/>
    <w:rsid w:val="00BC15FF"/>
    <w:rsid w:val="00BC1758"/>
    <w:rsid w:val="00BC1760"/>
    <w:rsid w:val="00BC1762"/>
    <w:rsid w:val="00BC178E"/>
    <w:rsid w:val="00BC1937"/>
    <w:rsid w:val="00BC1A4C"/>
    <w:rsid w:val="00BC1A60"/>
    <w:rsid w:val="00BC1B7E"/>
    <w:rsid w:val="00BC1B8E"/>
    <w:rsid w:val="00BC1C58"/>
    <w:rsid w:val="00BC1DA7"/>
    <w:rsid w:val="00BC1DFB"/>
    <w:rsid w:val="00BC1E4F"/>
    <w:rsid w:val="00BC1E90"/>
    <w:rsid w:val="00BC1F67"/>
    <w:rsid w:val="00BC1F86"/>
    <w:rsid w:val="00BC1FAA"/>
    <w:rsid w:val="00BC2086"/>
    <w:rsid w:val="00BC20E4"/>
    <w:rsid w:val="00BC20F8"/>
    <w:rsid w:val="00BC234E"/>
    <w:rsid w:val="00BC2395"/>
    <w:rsid w:val="00BC2640"/>
    <w:rsid w:val="00BC26C1"/>
    <w:rsid w:val="00BC2733"/>
    <w:rsid w:val="00BC2746"/>
    <w:rsid w:val="00BC27A3"/>
    <w:rsid w:val="00BC290E"/>
    <w:rsid w:val="00BC291D"/>
    <w:rsid w:val="00BC2A1B"/>
    <w:rsid w:val="00BC2AEB"/>
    <w:rsid w:val="00BC2B0B"/>
    <w:rsid w:val="00BC2B1B"/>
    <w:rsid w:val="00BC2BBB"/>
    <w:rsid w:val="00BC2CCB"/>
    <w:rsid w:val="00BC2D1E"/>
    <w:rsid w:val="00BC2D31"/>
    <w:rsid w:val="00BC2D49"/>
    <w:rsid w:val="00BC2DF0"/>
    <w:rsid w:val="00BC2E3A"/>
    <w:rsid w:val="00BC2E55"/>
    <w:rsid w:val="00BC2E67"/>
    <w:rsid w:val="00BC2E9B"/>
    <w:rsid w:val="00BC2FE3"/>
    <w:rsid w:val="00BC301B"/>
    <w:rsid w:val="00BC3095"/>
    <w:rsid w:val="00BC3171"/>
    <w:rsid w:val="00BC319A"/>
    <w:rsid w:val="00BC3264"/>
    <w:rsid w:val="00BC3784"/>
    <w:rsid w:val="00BC37CB"/>
    <w:rsid w:val="00BC37E0"/>
    <w:rsid w:val="00BC37FA"/>
    <w:rsid w:val="00BC389C"/>
    <w:rsid w:val="00BC3935"/>
    <w:rsid w:val="00BC39F1"/>
    <w:rsid w:val="00BC3BDF"/>
    <w:rsid w:val="00BC3CED"/>
    <w:rsid w:val="00BC3DAB"/>
    <w:rsid w:val="00BC3DCF"/>
    <w:rsid w:val="00BC3E8D"/>
    <w:rsid w:val="00BC3F24"/>
    <w:rsid w:val="00BC3FEA"/>
    <w:rsid w:val="00BC4067"/>
    <w:rsid w:val="00BC41B9"/>
    <w:rsid w:val="00BC426C"/>
    <w:rsid w:val="00BC42B6"/>
    <w:rsid w:val="00BC4405"/>
    <w:rsid w:val="00BC451C"/>
    <w:rsid w:val="00BC459C"/>
    <w:rsid w:val="00BC45A5"/>
    <w:rsid w:val="00BC4607"/>
    <w:rsid w:val="00BC467B"/>
    <w:rsid w:val="00BC4681"/>
    <w:rsid w:val="00BC4910"/>
    <w:rsid w:val="00BC4929"/>
    <w:rsid w:val="00BC4CFC"/>
    <w:rsid w:val="00BC4DAD"/>
    <w:rsid w:val="00BC4DBB"/>
    <w:rsid w:val="00BC4E77"/>
    <w:rsid w:val="00BC4F0E"/>
    <w:rsid w:val="00BC4F57"/>
    <w:rsid w:val="00BC4F69"/>
    <w:rsid w:val="00BC5094"/>
    <w:rsid w:val="00BC52A0"/>
    <w:rsid w:val="00BC5300"/>
    <w:rsid w:val="00BC532F"/>
    <w:rsid w:val="00BC537A"/>
    <w:rsid w:val="00BC5557"/>
    <w:rsid w:val="00BC5685"/>
    <w:rsid w:val="00BC5689"/>
    <w:rsid w:val="00BC56C9"/>
    <w:rsid w:val="00BC576B"/>
    <w:rsid w:val="00BC5837"/>
    <w:rsid w:val="00BC589F"/>
    <w:rsid w:val="00BC58AB"/>
    <w:rsid w:val="00BC5984"/>
    <w:rsid w:val="00BC5ABB"/>
    <w:rsid w:val="00BC5C18"/>
    <w:rsid w:val="00BC5C3D"/>
    <w:rsid w:val="00BC5C49"/>
    <w:rsid w:val="00BC5C55"/>
    <w:rsid w:val="00BC5CC4"/>
    <w:rsid w:val="00BC5D13"/>
    <w:rsid w:val="00BC5EA9"/>
    <w:rsid w:val="00BC5FBB"/>
    <w:rsid w:val="00BC5FE6"/>
    <w:rsid w:val="00BC604C"/>
    <w:rsid w:val="00BC6188"/>
    <w:rsid w:val="00BC61A5"/>
    <w:rsid w:val="00BC6256"/>
    <w:rsid w:val="00BC630A"/>
    <w:rsid w:val="00BC6320"/>
    <w:rsid w:val="00BC6333"/>
    <w:rsid w:val="00BC636F"/>
    <w:rsid w:val="00BC6383"/>
    <w:rsid w:val="00BC63FB"/>
    <w:rsid w:val="00BC65E6"/>
    <w:rsid w:val="00BC65E9"/>
    <w:rsid w:val="00BC6629"/>
    <w:rsid w:val="00BC665C"/>
    <w:rsid w:val="00BC67BE"/>
    <w:rsid w:val="00BC6852"/>
    <w:rsid w:val="00BC69EC"/>
    <w:rsid w:val="00BC6A49"/>
    <w:rsid w:val="00BC6B1D"/>
    <w:rsid w:val="00BC6D3A"/>
    <w:rsid w:val="00BC6F9A"/>
    <w:rsid w:val="00BC7065"/>
    <w:rsid w:val="00BC7077"/>
    <w:rsid w:val="00BC7134"/>
    <w:rsid w:val="00BC7198"/>
    <w:rsid w:val="00BC71C8"/>
    <w:rsid w:val="00BC71F3"/>
    <w:rsid w:val="00BC723B"/>
    <w:rsid w:val="00BC723C"/>
    <w:rsid w:val="00BC728D"/>
    <w:rsid w:val="00BC72D3"/>
    <w:rsid w:val="00BC73AB"/>
    <w:rsid w:val="00BC73C3"/>
    <w:rsid w:val="00BC7481"/>
    <w:rsid w:val="00BC752B"/>
    <w:rsid w:val="00BC75BC"/>
    <w:rsid w:val="00BC77C9"/>
    <w:rsid w:val="00BC7A27"/>
    <w:rsid w:val="00BC7A90"/>
    <w:rsid w:val="00BC7AA6"/>
    <w:rsid w:val="00BC7ACB"/>
    <w:rsid w:val="00BC7B60"/>
    <w:rsid w:val="00BC7BEE"/>
    <w:rsid w:val="00BC7CB8"/>
    <w:rsid w:val="00BC7CC2"/>
    <w:rsid w:val="00BC7E0D"/>
    <w:rsid w:val="00BC7ECC"/>
    <w:rsid w:val="00BC7F18"/>
    <w:rsid w:val="00BC7F76"/>
    <w:rsid w:val="00BC7FA8"/>
    <w:rsid w:val="00BD0083"/>
    <w:rsid w:val="00BD0127"/>
    <w:rsid w:val="00BD014A"/>
    <w:rsid w:val="00BD0260"/>
    <w:rsid w:val="00BD02A9"/>
    <w:rsid w:val="00BD03BC"/>
    <w:rsid w:val="00BD03BF"/>
    <w:rsid w:val="00BD03C9"/>
    <w:rsid w:val="00BD03D1"/>
    <w:rsid w:val="00BD0469"/>
    <w:rsid w:val="00BD0560"/>
    <w:rsid w:val="00BD057E"/>
    <w:rsid w:val="00BD06A7"/>
    <w:rsid w:val="00BD06B0"/>
    <w:rsid w:val="00BD07A0"/>
    <w:rsid w:val="00BD07A5"/>
    <w:rsid w:val="00BD086A"/>
    <w:rsid w:val="00BD0881"/>
    <w:rsid w:val="00BD08E0"/>
    <w:rsid w:val="00BD0937"/>
    <w:rsid w:val="00BD095B"/>
    <w:rsid w:val="00BD09DA"/>
    <w:rsid w:val="00BD0A47"/>
    <w:rsid w:val="00BD0B5A"/>
    <w:rsid w:val="00BD0B68"/>
    <w:rsid w:val="00BD0B79"/>
    <w:rsid w:val="00BD0B84"/>
    <w:rsid w:val="00BD0BD8"/>
    <w:rsid w:val="00BD0C1A"/>
    <w:rsid w:val="00BD0C9B"/>
    <w:rsid w:val="00BD0D7A"/>
    <w:rsid w:val="00BD0DCF"/>
    <w:rsid w:val="00BD0E40"/>
    <w:rsid w:val="00BD0EFA"/>
    <w:rsid w:val="00BD0F54"/>
    <w:rsid w:val="00BD10B1"/>
    <w:rsid w:val="00BD10CC"/>
    <w:rsid w:val="00BD10F1"/>
    <w:rsid w:val="00BD11B8"/>
    <w:rsid w:val="00BD11EE"/>
    <w:rsid w:val="00BD1216"/>
    <w:rsid w:val="00BD12A9"/>
    <w:rsid w:val="00BD130A"/>
    <w:rsid w:val="00BD1507"/>
    <w:rsid w:val="00BD157A"/>
    <w:rsid w:val="00BD15BB"/>
    <w:rsid w:val="00BD1692"/>
    <w:rsid w:val="00BD175C"/>
    <w:rsid w:val="00BD1990"/>
    <w:rsid w:val="00BD19CA"/>
    <w:rsid w:val="00BD1A66"/>
    <w:rsid w:val="00BD1AA7"/>
    <w:rsid w:val="00BD1AF9"/>
    <w:rsid w:val="00BD1C0D"/>
    <w:rsid w:val="00BD1C3E"/>
    <w:rsid w:val="00BD1C85"/>
    <w:rsid w:val="00BD1CF1"/>
    <w:rsid w:val="00BD1D1B"/>
    <w:rsid w:val="00BD1EAE"/>
    <w:rsid w:val="00BD1F3C"/>
    <w:rsid w:val="00BD2075"/>
    <w:rsid w:val="00BD21FC"/>
    <w:rsid w:val="00BD2326"/>
    <w:rsid w:val="00BD2351"/>
    <w:rsid w:val="00BD245A"/>
    <w:rsid w:val="00BD2566"/>
    <w:rsid w:val="00BD25E4"/>
    <w:rsid w:val="00BD2728"/>
    <w:rsid w:val="00BD27C3"/>
    <w:rsid w:val="00BD27FA"/>
    <w:rsid w:val="00BD29FE"/>
    <w:rsid w:val="00BD2A31"/>
    <w:rsid w:val="00BD2A46"/>
    <w:rsid w:val="00BD2ACB"/>
    <w:rsid w:val="00BD2C0B"/>
    <w:rsid w:val="00BD2C2D"/>
    <w:rsid w:val="00BD2C86"/>
    <w:rsid w:val="00BD2C9A"/>
    <w:rsid w:val="00BD2CE7"/>
    <w:rsid w:val="00BD2D01"/>
    <w:rsid w:val="00BD2E6F"/>
    <w:rsid w:val="00BD2EED"/>
    <w:rsid w:val="00BD2F97"/>
    <w:rsid w:val="00BD2FED"/>
    <w:rsid w:val="00BD3031"/>
    <w:rsid w:val="00BD3263"/>
    <w:rsid w:val="00BD328F"/>
    <w:rsid w:val="00BD33E1"/>
    <w:rsid w:val="00BD3436"/>
    <w:rsid w:val="00BD34D9"/>
    <w:rsid w:val="00BD3517"/>
    <w:rsid w:val="00BD3555"/>
    <w:rsid w:val="00BD35FD"/>
    <w:rsid w:val="00BD36D1"/>
    <w:rsid w:val="00BD3749"/>
    <w:rsid w:val="00BD377D"/>
    <w:rsid w:val="00BD386D"/>
    <w:rsid w:val="00BD38B2"/>
    <w:rsid w:val="00BD3951"/>
    <w:rsid w:val="00BD3A25"/>
    <w:rsid w:val="00BD3AF1"/>
    <w:rsid w:val="00BD3B33"/>
    <w:rsid w:val="00BD3CE3"/>
    <w:rsid w:val="00BD3D05"/>
    <w:rsid w:val="00BD3D87"/>
    <w:rsid w:val="00BD3DCF"/>
    <w:rsid w:val="00BD3EFF"/>
    <w:rsid w:val="00BD4037"/>
    <w:rsid w:val="00BD40EE"/>
    <w:rsid w:val="00BD40FE"/>
    <w:rsid w:val="00BD411F"/>
    <w:rsid w:val="00BD421A"/>
    <w:rsid w:val="00BD4239"/>
    <w:rsid w:val="00BD437E"/>
    <w:rsid w:val="00BD43B4"/>
    <w:rsid w:val="00BD441A"/>
    <w:rsid w:val="00BD4423"/>
    <w:rsid w:val="00BD4434"/>
    <w:rsid w:val="00BD455E"/>
    <w:rsid w:val="00BD4572"/>
    <w:rsid w:val="00BD45F5"/>
    <w:rsid w:val="00BD463B"/>
    <w:rsid w:val="00BD465D"/>
    <w:rsid w:val="00BD488A"/>
    <w:rsid w:val="00BD48C1"/>
    <w:rsid w:val="00BD49B6"/>
    <w:rsid w:val="00BD4A73"/>
    <w:rsid w:val="00BD4BAD"/>
    <w:rsid w:val="00BD4C0B"/>
    <w:rsid w:val="00BD4CEE"/>
    <w:rsid w:val="00BD4D3B"/>
    <w:rsid w:val="00BD4DDC"/>
    <w:rsid w:val="00BD4E5C"/>
    <w:rsid w:val="00BD4F13"/>
    <w:rsid w:val="00BD4F35"/>
    <w:rsid w:val="00BD4F4B"/>
    <w:rsid w:val="00BD5067"/>
    <w:rsid w:val="00BD5156"/>
    <w:rsid w:val="00BD541C"/>
    <w:rsid w:val="00BD544A"/>
    <w:rsid w:val="00BD5472"/>
    <w:rsid w:val="00BD54A1"/>
    <w:rsid w:val="00BD54E0"/>
    <w:rsid w:val="00BD5528"/>
    <w:rsid w:val="00BD5599"/>
    <w:rsid w:val="00BD566E"/>
    <w:rsid w:val="00BD567D"/>
    <w:rsid w:val="00BD5699"/>
    <w:rsid w:val="00BD57CC"/>
    <w:rsid w:val="00BD57F2"/>
    <w:rsid w:val="00BD5865"/>
    <w:rsid w:val="00BD589B"/>
    <w:rsid w:val="00BD5923"/>
    <w:rsid w:val="00BD5A49"/>
    <w:rsid w:val="00BD5A60"/>
    <w:rsid w:val="00BD5BA0"/>
    <w:rsid w:val="00BD5BD4"/>
    <w:rsid w:val="00BD5C46"/>
    <w:rsid w:val="00BD5C62"/>
    <w:rsid w:val="00BD5D4E"/>
    <w:rsid w:val="00BD5E0D"/>
    <w:rsid w:val="00BD5F80"/>
    <w:rsid w:val="00BD5FC9"/>
    <w:rsid w:val="00BD5FF0"/>
    <w:rsid w:val="00BD600A"/>
    <w:rsid w:val="00BD6032"/>
    <w:rsid w:val="00BD60A2"/>
    <w:rsid w:val="00BD61DA"/>
    <w:rsid w:val="00BD62E7"/>
    <w:rsid w:val="00BD6399"/>
    <w:rsid w:val="00BD63E0"/>
    <w:rsid w:val="00BD64F8"/>
    <w:rsid w:val="00BD6681"/>
    <w:rsid w:val="00BD6776"/>
    <w:rsid w:val="00BD690D"/>
    <w:rsid w:val="00BD69D1"/>
    <w:rsid w:val="00BD6B24"/>
    <w:rsid w:val="00BD6BB5"/>
    <w:rsid w:val="00BD6CBA"/>
    <w:rsid w:val="00BD6DDA"/>
    <w:rsid w:val="00BD6F29"/>
    <w:rsid w:val="00BD6F69"/>
    <w:rsid w:val="00BD6FA2"/>
    <w:rsid w:val="00BD6FA4"/>
    <w:rsid w:val="00BD6FD0"/>
    <w:rsid w:val="00BD6FFF"/>
    <w:rsid w:val="00BD7019"/>
    <w:rsid w:val="00BD711B"/>
    <w:rsid w:val="00BD71B5"/>
    <w:rsid w:val="00BD720A"/>
    <w:rsid w:val="00BD725E"/>
    <w:rsid w:val="00BD72C4"/>
    <w:rsid w:val="00BD72C5"/>
    <w:rsid w:val="00BD73E1"/>
    <w:rsid w:val="00BD73F6"/>
    <w:rsid w:val="00BD740D"/>
    <w:rsid w:val="00BD7564"/>
    <w:rsid w:val="00BD75AF"/>
    <w:rsid w:val="00BD76F4"/>
    <w:rsid w:val="00BD774F"/>
    <w:rsid w:val="00BD7861"/>
    <w:rsid w:val="00BD7873"/>
    <w:rsid w:val="00BD7ACC"/>
    <w:rsid w:val="00BD7DB6"/>
    <w:rsid w:val="00BD7DCA"/>
    <w:rsid w:val="00BD7DD6"/>
    <w:rsid w:val="00BD7E16"/>
    <w:rsid w:val="00BD7E51"/>
    <w:rsid w:val="00BD7F09"/>
    <w:rsid w:val="00BD7FDC"/>
    <w:rsid w:val="00BE0018"/>
    <w:rsid w:val="00BE00B1"/>
    <w:rsid w:val="00BE026B"/>
    <w:rsid w:val="00BE0285"/>
    <w:rsid w:val="00BE030D"/>
    <w:rsid w:val="00BE0367"/>
    <w:rsid w:val="00BE0513"/>
    <w:rsid w:val="00BE05FE"/>
    <w:rsid w:val="00BE064B"/>
    <w:rsid w:val="00BE06A4"/>
    <w:rsid w:val="00BE075E"/>
    <w:rsid w:val="00BE0794"/>
    <w:rsid w:val="00BE07A9"/>
    <w:rsid w:val="00BE07F7"/>
    <w:rsid w:val="00BE0872"/>
    <w:rsid w:val="00BE08DD"/>
    <w:rsid w:val="00BE09B9"/>
    <w:rsid w:val="00BE0AB2"/>
    <w:rsid w:val="00BE0B12"/>
    <w:rsid w:val="00BE0B8C"/>
    <w:rsid w:val="00BE0C19"/>
    <w:rsid w:val="00BE0CBB"/>
    <w:rsid w:val="00BE0D8B"/>
    <w:rsid w:val="00BE0D8D"/>
    <w:rsid w:val="00BE0E81"/>
    <w:rsid w:val="00BE0EAC"/>
    <w:rsid w:val="00BE0F65"/>
    <w:rsid w:val="00BE0F7B"/>
    <w:rsid w:val="00BE0FA6"/>
    <w:rsid w:val="00BE1006"/>
    <w:rsid w:val="00BE1017"/>
    <w:rsid w:val="00BE1058"/>
    <w:rsid w:val="00BE10A6"/>
    <w:rsid w:val="00BE1224"/>
    <w:rsid w:val="00BE1249"/>
    <w:rsid w:val="00BE12A0"/>
    <w:rsid w:val="00BE12F5"/>
    <w:rsid w:val="00BE1387"/>
    <w:rsid w:val="00BE1733"/>
    <w:rsid w:val="00BE17D4"/>
    <w:rsid w:val="00BE19CC"/>
    <w:rsid w:val="00BE1ADE"/>
    <w:rsid w:val="00BE1B20"/>
    <w:rsid w:val="00BE1B22"/>
    <w:rsid w:val="00BE1C72"/>
    <w:rsid w:val="00BE1CC1"/>
    <w:rsid w:val="00BE1CF6"/>
    <w:rsid w:val="00BE1D70"/>
    <w:rsid w:val="00BE1D7D"/>
    <w:rsid w:val="00BE1EC2"/>
    <w:rsid w:val="00BE1F36"/>
    <w:rsid w:val="00BE1F87"/>
    <w:rsid w:val="00BE1FC8"/>
    <w:rsid w:val="00BE2215"/>
    <w:rsid w:val="00BE2366"/>
    <w:rsid w:val="00BE262B"/>
    <w:rsid w:val="00BE26B2"/>
    <w:rsid w:val="00BE282B"/>
    <w:rsid w:val="00BE285A"/>
    <w:rsid w:val="00BE2864"/>
    <w:rsid w:val="00BE28BE"/>
    <w:rsid w:val="00BE2922"/>
    <w:rsid w:val="00BE29B3"/>
    <w:rsid w:val="00BE29B6"/>
    <w:rsid w:val="00BE2B61"/>
    <w:rsid w:val="00BE2BF1"/>
    <w:rsid w:val="00BE2C2E"/>
    <w:rsid w:val="00BE2D34"/>
    <w:rsid w:val="00BE2D4B"/>
    <w:rsid w:val="00BE2D55"/>
    <w:rsid w:val="00BE2DE5"/>
    <w:rsid w:val="00BE2EF5"/>
    <w:rsid w:val="00BE2FB4"/>
    <w:rsid w:val="00BE2FC4"/>
    <w:rsid w:val="00BE3015"/>
    <w:rsid w:val="00BE3074"/>
    <w:rsid w:val="00BE3165"/>
    <w:rsid w:val="00BE31B0"/>
    <w:rsid w:val="00BE32D8"/>
    <w:rsid w:val="00BE33F9"/>
    <w:rsid w:val="00BE343E"/>
    <w:rsid w:val="00BE354E"/>
    <w:rsid w:val="00BE3568"/>
    <w:rsid w:val="00BE3576"/>
    <w:rsid w:val="00BE35B0"/>
    <w:rsid w:val="00BE3602"/>
    <w:rsid w:val="00BE3623"/>
    <w:rsid w:val="00BE3669"/>
    <w:rsid w:val="00BE3768"/>
    <w:rsid w:val="00BE3915"/>
    <w:rsid w:val="00BE39BC"/>
    <w:rsid w:val="00BE3A5C"/>
    <w:rsid w:val="00BE3A85"/>
    <w:rsid w:val="00BE3AF0"/>
    <w:rsid w:val="00BE3B6C"/>
    <w:rsid w:val="00BE3C44"/>
    <w:rsid w:val="00BE3C49"/>
    <w:rsid w:val="00BE3D4D"/>
    <w:rsid w:val="00BE3DA4"/>
    <w:rsid w:val="00BE3F01"/>
    <w:rsid w:val="00BE3F94"/>
    <w:rsid w:val="00BE3FF4"/>
    <w:rsid w:val="00BE4071"/>
    <w:rsid w:val="00BE408D"/>
    <w:rsid w:val="00BE40A2"/>
    <w:rsid w:val="00BE40D0"/>
    <w:rsid w:val="00BE41CB"/>
    <w:rsid w:val="00BE436F"/>
    <w:rsid w:val="00BE4392"/>
    <w:rsid w:val="00BE442D"/>
    <w:rsid w:val="00BE453A"/>
    <w:rsid w:val="00BE4684"/>
    <w:rsid w:val="00BE46A1"/>
    <w:rsid w:val="00BE4760"/>
    <w:rsid w:val="00BE48A8"/>
    <w:rsid w:val="00BE48C3"/>
    <w:rsid w:val="00BE4989"/>
    <w:rsid w:val="00BE4990"/>
    <w:rsid w:val="00BE49D8"/>
    <w:rsid w:val="00BE4C11"/>
    <w:rsid w:val="00BE4D0D"/>
    <w:rsid w:val="00BE4DD6"/>
    <w:rsid w:val="00BE4DE8"/>
    <w:rsid w:val="00BE50B2"/>
    <w:rsid w:val="00BE50B7"/>
    <w:rsid w:val="00BE50D9"/>
    <w:rsid w:val="00BE5287"/>
    <w:rsid w:val="00BE5426"/>
    <w:rsid w:val="00BE543E"/>
    <w:rsid w:val="00BE5497"/>
    <w:rsid w:val="00BE54BB"/>
    <w:rsid w:val="00BE55DE"/>
    <w:rsid w:val="00BE560D"/>
    <w:rsid w:val="00BE5778"/>
    <w:rsid w:val="00BE57FF"/>
    <w:rsid w:val="00BE5BE3"/>
    <w:rsid w:val="00BE5C5A"/>
    <w:rsid w:val="00BE6159"/>
    <w:rsid w:val="00BE62E1"/>
    <w:rsid w:val="00BE634D"/>
    <w:rsid w:val="00BE63A1"/>
    <w:rsid w:val="00BE640F"/>
    <w:rsid w:val="00BE647D"/>
    <w:rsid w:val="00BE64AF"/>
    <w:rsid w:val="00BE65DA"/>
    <w:rsid w:val="00BE66B4"/>
    <w:rsid w:val="00BE67EC"/>
    <w:rsid w:val="00BE67FD"/>
    <w:rsid w:val="00BE69BD"/>
    <w:rsid w:val="00BE6A4E"/>
    <w:rsid w:val="00BE6A6A"/>
    <w:rsid w:val="00BE6AC4"/>
    <w:rsid w:val="00BE6AF4"/>
    <w:rsid w:val="00BE6C5B"/>
    <w:rsid w:val="00BE6D2A"/>
    <w:rsid w:val="00BE6DE2"/>
    <w:rsid w:val="00BE6ED2"/>
    <w:rsid w:val="00BE6EFC"/>
    <w:rsid w:val="00BE6F64"/>
    <w:rsid w:val="00BE705B"/>
    <w:rsid w:val="00BE70CA"/>
    <w:rsid w:val="00BE70D8"/>
    <w:rsid w:val="00BE7134"/>
    <w:rsid w:val="00BE71D6"/>
    <w:rsid w:val="00BE72DD"/>
    <w:rsid w:val="00BE7307"/>
    <w:rsid w:val="00BE731C"/>
    <w:rsid w:val="00BE7334"/>
    <w:rsid w:val="00BE73A6"/>
    <w:rsid w:val="00BE73D7"/>
    <w:rsid w:val="00BE7434"/>
    <w:rsid w:val="00BE746D"/>
    <w:rsid w:val="00BE74CA"/>
    <w:rsid w:val="00BE7572"/>
    <w:rsid w:val="00BE75CE"/>
    <w:rsid w:val="00BE777D"/>
    <w:rsid w:val="00BE782F"/>
    <w:rsid w:val="00BE793A"/>
    <w:rsid w:val="00BE799E"/>
    <w:rsid w:val="00BE7A45"/>
    <w:rsid w:val="00BE7B7B"/>
    <w:rsid w:val="00BE7D4B"/>
    <w:rsid w:val="00BE7DA9"/>
    <w:rsid w:val="00BE7EA5"/>
    <w:rsid w:val="00BE7FAF"/>
    <w:rsid w:val="00BF00AB"/>
    <w:rsid w:val="00BF00F7"/>
    <w:rsid w:val="00BF0155"/>
    <w:rsid w:val="00BF01EC"/>
    <w:rsid w:val="00BF035D"/>
    <w:rsid w:val="00BF0406"/>
    <w:rsid w:val="00BF051F"/>
    <w:rsid w:val="00BF0575"/>
    <w:rsid w:val="00BF073F"/>
    <w:rsid w:val="00BF07B4"/>
    <w:rsid w:val="00BF0835"/>
    <w:rsid w:val="00BF0890"/>
    <w:rsid w:val="00BF0895"/>
    <w:rsid w:val="00BF0936"/>
    <w:rsid w:val="00BF096F"/>
    <w:rsid w:val="00BF097D"/>
    <w:rsid w:val="00BF0988"/>
    <w:rsid w:val="00BF0A85"/>
    <w:rsid w:val="00BF0AA1"/>
    <w:rsid w:val="00BF0B0D"/>
    <w:rsid w:val="00BF0B8D"/>
    <w:rsid w:val="00BF0CA4"/>
    <w:rsid w:val="00BF0D5A"/>
    <w:rsid w:val="00BF0DCE"/>
    <w:rsid w:val="00BF100F"/>
    <w:rsid w:val="00BF113C"/>
    <w:rsid w:val="00BF11B7"/>
    <w:rsid w:val="00BF11D3"/>
    <w:rsid w:val="00BF11F3"/>
    <w:rsid w:val="00BF12B5"/>
    <w:rsid w:val="00BF1334"/>
    <w:rsid w:val="00BF134F"/>
    <w:rsid w:val="00BF1380"/>
    <w:rsid w:val="00BF1459"/>
    <w:rsid w:val="00BF147D"/>
    <w:rsid w:val="00BF14AE"/>
    <w:rsid w:val="00BF1550"/>
    <w:rsid w:val="00BF1621"/>
    <w:rsid w:val="00BF1682"/>
    <w:rsid w:val="00BF1717"/>
    <w:rsid w:val="00BF177D"/>
    <w:rsid w:val="00BF1856"/>
    <w:rsid w:val="00BF18ED"/>
    <w:rsid w:val="00BF190C"/>
    <w:rsid w:val="00BF19D9"/>
    <w:rsid w:val="00BF1B46"/>
    <w:rsid w:val="00BF1BAC"/>
    <w:rsid w:val="00BF1BF1"/>
    <w:rsid w:val="00BF1C04"/>
    <w:rsid w:val="00BF1C3C"/>
    <w:rsid w:val="00BF1DA1"/>
    <w:rsid w:val="00BF1F06"/>
    <w:rsid w:val="00BF1F36"/>
    <w:rsid w:val="00BF1FCD"/>
    <w:rsid w:val="00BF2039"/>
    <w:rsid w:val="00BF2048"/>
    <w:rsid w:val="00BF2076"/>
    <w:rsid w:val="00BF2118"/>
    <w:rsid w:val="00BF221F"/>
    <w:rsid w:val="00BF2270"/>
    <w:rsid w:val="00BF22C6"/>
    <w:rsid w:val="00BF22FF"/>
    <w:rsid w:val="00BF24F4"/>
    <w:rsid w:val="00BF255C"/>
    <w:rsid w:val="00BF25D0"/>
    <w:rsid w:val="00BF26AC"/>
    <w:rsid w:val="00BF277A"/>
    <w:rsid w:val="00BF27AC"/>
    <w:rsid w:val="00BF27E3"/>
    <w:rsid w:val="00BF2844"/>
    <w:rsid w:val="00BF2887"/>
    <w:rsid w:val="00BF2A0D"/>
    <w:rsid w:val="00BF2A50"/>
    <w:rsid w:val="00BF2A69"/>
    <w:rsid w:val="00BF2B89"/>
    <w:rsid w:val="00BF2B8F"/>
    <w:rsid w:val="00BF2C04"/>
    <w:rsid w:val="00BF2C0D"/>
    <w:rsid w:val="00BF2C29"/>
    <w:rsid w:val="00BF2D7F"/>
    <w:rsid w:val="00BF2EC9"/>
    <w:rsid w:val="00BF2F9C"/>
    <w:rsid w:val="00BF30E0"/>
    <w:rsid w:val="00BF31E3"/>
    <w:rsid w:val="00BF34AA"/>
    <w:rsid w:val="00BF36A1"/>
    <w:rsid w:val="00BF378D"/>
    <w:rsid w:val="00BF38D5"/>
    <w:rsid w:val="00BF391C"/>
    <w:rsid w:val="00BF3A16"/>
    <w:rsid w:val="00BF3AF6"/>
    <w:rsid w:val="00BF3C9F"/>
    <w:rsid w:val="00BF3D32"/>
    <w:rsid w:val="00BF3FED"/>
    <w:rsid w:val="00BF4010"/>
    <w:rsid w:val="00BF4017"/>
    <w:rsid w:val="00BF4072"/>
    <w:rsid w:val="00BF40A1"/>
    <w:rsid w:val="00BF4137"/>
    <w:rsid w:val="00BF4147"/>
    <w:rsid w:val="00BF427B"/>
    <w:rsid w:val="00BF42AD"/>
    <w:rsid w:val="00BF4356"/>
    <w:rsid w:val="00BF43F2"/>
    <w:rsid w:val="00BF4417"/>
    <w:rsid w:val="00BF4519"/>
    <w:rsid w:val="00BF4557"/>
    <w:rsid w:val="00BF4636"/>
    <w:rsid w:val="00BF4661"/>
    <w:rsid w:val="00BF46C8"/>
    <w:rsid w:val="00BF4706"/>
    <w:rsid w:val="00BF4737"/>
    <w:rsid w:val="00BF4756"/>
    <w:rsid w:val="00BF47E0"/>
    <w:rsid w:val="00BF4818"/>
    <w:rsid w:val="00BF48D1"/>
    <w:rsid w:val="00BF4950"/>
    <w:rsid w:val="00BF49A2"/>
    <w:rsid w:val="00BF4A61"/>
    <w:rsid w:val="00BF4A7A"/>
    <w:rsid w:val="00BF4ADF"/>
    <w:rsid w:val="00BF4BB9"/>
    <w:rsid w:val="00BF4BE3"/>
    <w:rsid w:val="00BF4C44"/>
    <w:rsid w:val="00BF4C4E"/>
    <w:rsid w:val="00BF4CE4"/>
    <w:rsid w:val="00BF4F41"/>
    <w:rsid w:val="00BF4F5C"/>
    <w:rsid w:val="00BF4F7E"/>
    <w:rsid w:val="00BF5198"/>
    <w:rsid w:val="00BF51A4"/>
    <w:rsid w:val="00BF51D1"/>
    <w:rsid w:val="00BF5248"/>
    <w:rsid w:val="00BF52B7"/>
    <w:rsid w:val="00BF52E9"/>
    <w:rsid w:val="00BF5595"/>
    <w:rsid w:val="00BF561A"/>
    <w:rsid w:val="00BF5630"/>
    <w:rsid w:val="00BF56EE"/>
    <w:rsid w:val="00BF5709"/>
    <w:rsid w:val="00BF571F"/>
    <w:rsid w:val="00BF5870"/>
    <w:rsid w:val="00BF5996"/>
    <w:rsid w:val="00BF5AE8"/>
    <w:rsid w:val="00BF5BA1"/>
    <w:rsid w:val="00BF5D24"/>
    <w:rsid w:val="00BF5D36"/>
    <w:rsid w:val="00BF5D7D"/>
    <w:rsid w:val="00BF5F32"/>
    <w:rsid w:val="00BF5FB1"/>
    <w:rsid w:val="00BF5FF9"/>
    <w:rsid w:val="00BF6019"/>
    <w:rsid w:val="00BF6080"/>
    <w:rsid w:val="00BF60B0"/>
    <w:rsid w:val="00BF6157"/>
    <w:rsid w:val="00BF6381"/>
    <w:rsid w:val="00BF649E"/>
    <w:rsid w:val="00BF6506"/>
    <w:rsid w:val="00BF6586"/>
    <w:rsid w:val="00BF6611"/>
    <w:rsid w:val="00BF6652"/>
    <w:rsid w:val="00BF67C3"/>
    <w:rsid w:val="00BF6857"/>
    <w:rsid w:val="00BF68A2"/>
    <w:rsid w:val="00BF68E1"/>
    <w:rsid w:val="00BF6950"/>
    <w:rsid w:val="00BF6BB4"/>
    <w:rsid w:val="00BF6BE9"/>
    <w:rsid w:val="00BF6C6D"/>
    <w:rsid w:val="00BF6EA5"/>
    <w:rsid w:val="00BF6F99"/>
    <w:rsid w:val="00BF708E"/>
    <w:rsid w:val="00BF70A6"/>
    <w:rsid w:val="00BF70C1"/>
    <w:rsid w:val="00BF71C4"/>
    <w:rsid w:val="00BF71C5"/>
    <w:rsid w:val="00BF71ED"/>
    <w:rsid w:val="00BF73F3"/>
    <w:rsid w:val="00BF741A"/>
    <w:rsid w:val="00BF741D"/>
    <w:rsid w:val="00BF7428"/>
    <w:rsid w:val="00BF749E"/>
    <w:rsid w:val="00BF74F6"/>
    <w:rsid w:val="00BF7685"/>
    <w:rsid w:val="00BF781F"/>
    <w:rsid w:val="00BF78CF"/>
    <w:rsid w:val="00BF796D"/>
    <w:rsid w:val="00BF7A07"/>
    <w:rsid w:val="00BF7A9F"/>
    <w:rsid w:val="00BF7B23"/>
    <w:rsid w:val="00BF7BBA"/>
    <w:rsid w:val="00BF7BE4"/>
    <w:rsid w:val="00BF7BEC"/>
    <w:rsid w:val="00BF7CD3"/>
    <w:rsid w:val="00BF7D51"/>
    <w:rsid w:val="00BF7DE0"/>
    <w:rsid w:val="00BF7DF2"/>
    <w:rsid w:val="00BF7EFD"/>
    <w:rsid w:val="00C0011C"/>
    <w:rsid w:val="00C00144"/>
    <w:rsid w:val="00C001AB"/>
    <w:rsid w:val="00C001F0"/>
    <w:rsid w:val="00C00207"/>
    <w:rsid w:val="00C003A8"/>
    <w:rsid w:val="00C0040B"/>
    <w:rsid w:val="00C00459"/>
    <w:rsid w:val="00C0047C"/>
    <w:rsid w:val="00C004CA"/>
    <w:rsid w:val="00C0053F"/>
    <w:rsid w:val="00C00772"/>
    <w:rsid w:val="00C007B7"/>
    <w:rsid w:val="00C00934"/>
    <w:rsid w:val="00C0099D"/>
    <w:rsid w:val="00C00A4C"/>
    <w:rsid w:val="00C00BC5"/>
    <w:rsid w:val="00C00DB3"/>
    <w:rsid w:val="00C00E45"/>
    <w:rsid w:val="00C00FB7"/>
    <w:rsid w:val="00C00FBF"/>
    <w:rsid w:val="00C01056"/>
    <w:rsid w:val="00C01164"/>
    <w:rsid w:val="00C01214"/>
    <w:rsid w:val="00C012DA"/>
    <w:rsid w:val="00C0133B"/>
    <w:rsid w:val="00C013EF"/>
    <w:rsid w:val="00C01407"/>
    <w:rsid w:val="00C014B5"/>
    <w:rsid w:val="00C014D0"/>
    <w:rsid w:val="00C01582"/>
    <w:rsid w:val="00C0162B"/>
    <w:rsid w:val="00C01643"/>
    <w:rsid w:val="00C0165B"/>
    <w:rsid w:val="00C01704"/>
    <w:rsid w:val="00C017FD"/>
    <w:rsid w:val="00C019EF"/>
    <w:rsid w:val="00C01C2A"/>
    <w:rsid w:val="00C01C48"/>
    <w:rsid w:val="00C01D0D"/>
    <w:rsid w:val="00C01D22"/>
    <w:rsid w:val="00C01D3E"/>
    <w:rsid w:val="00C01D59"/>
    <w:rsid w:val="00C01DA6"/>
    <w:rsid w:val="00C01EC1"/>
    <w:rsid w:val="00C01FD9"/>
    <w:rsid w:val="00C021D4"/>
    <w:rsid w:val="00C022A7"/>
    <w:rsid w:val="00C022E6"/>
    <w:rsid w:val="00C02328"/>
    <w:rsid w:val="00C02350"/>
    <w:rsid w:val="00C023EC"/>
    <w:rsid w:val="00C0240C"/>
    <w:rsid w:val="00C02483"/>
    <w:rsid w:val="00C02508"/>
    <w:rsid w:val="00C0250B"/>
    <w:rsid w:val="00C025A8"/>
    <w:rsid w:val="00C02642"/>
    <w:rsid w:val="00C02736"/>
    <w:rsid w:val="00C027F7"/>
    <w:rsid w:val="00C0281E"/>
    <w:rsid w:val="00C029A5"/>
    <w:rsid w:val="00C02A6D"/>
    <w:rsid w:val="00C02AC6"/>
    <w:rsid w:val="00C02AC7"/>
    <w:rsid w:val="00C02B1B"/>
    <w:rsid w:val="00C02BBA"/>
    <w:rsid w:val="00C02BF1"/>
    <w:rsid w:val="00C02C39"/>
    <w:rsid w:val="00C02D2C"/>
    <w:rsid w:val="00C02D3A"/>
    <w:rsid w:val="00C02D76"/>
    <w:rsid w:val="00C02D8E"/>
    <w:rsid w:val="00C02DAA"/>
    <w:rsid w:val="00C02E4E"/>
    <w:rsid w:val="00C02F7E"/>
    <w:rsid w:val="00C02F94"/>
    <w:rsid w:val="00C03007"/>
    <w:rsid w:val="00C03008"/>
    <w:rsid w:val="00C03036"/>
    <w:rsid w:val="00C03051"/>
    <w:rsid w:val="00C03090"/>
    <w:rsid w:val="00C030FC"/>
    <w:rsid w:val="00C0310E"/>
    <w:rsid w:val="00C03124"/>
    <w:rsid w:val="00C03243"/>
    <w:rsid w:val="00C034AE"/>
    <w:rsid w:val="00C034DA"/>
    <w:rsid w:val="00C03590"/>
    <w:rsid w:val="00C036BB"/>
    <w:rsid w:val="00C036D6"/>
    <w:rsid w:val="00C038B3"/>
    <w:rsid w:val="00C03A8C"/>
    <w:rsid w:val="00C03ACD"/>
    <w:rsid w:val="00C03AE8"/>
    <w:rsid w:val="00C03AFE"/>
    <w:rsid w:val="00C03AFF"/>
    <w:rsid w:val="00C03C16"/>
    <w:rsid w:val="00C03C3B"/>
    <w:rsid w:val="00C03C68"/>
    <w:rsid w:val="00C03D40"/>
    <w:rsid w:val="00C03E95"/>
    <w:rsid w:val="00C03ED3"/>
    <w:rsid w:val="00C03EF0"/>
    <w:rsid w:val="00C03F3F"/>
    <w:rsid w:val="00C03F86"/>
    <w:rsid w:val="00C0404B"/>
    <w:rsid w:val="00C040B7"/>
    <w:rsid w:val="00C04120"/>
    <w:rsid w:val="00C04125"/>
    <w:rsid w:val="00C04127"/>
    <w:rsid w:val="00C0424F"/>
    <w:rsid w:val="00C04264"/>
    <w:rsid w:val="00C04278"/>
    <w:rsid w:val="00C04279"/>
    <w:rsid w:val="00C04324"/>
    <w:rsid w:val="00C043D4"/>
    <w:rsid w:val="00C043FB"/>
    <w:rsid w:val="00C04419"/>
    <w:rsid w:val="00C04539"/>
    <w:rsid w:val="00C0456C"/>
    <w:rsid w:val="00C045AD"/>
    <w:rsid w:val="00C045B5"/>
    <w:rsid w:val="00C046A5"/>
    <w:rsid w:val="00C046DE"/>
    <w:rsid w:val="00C0481F"/>
    <w:rsid w:val="00C048A7"/>
    <w:rsid w:val="00C049FA"/>
    <w:rsid w:val="00C04A2D"/>
    <w:rsid w:val="00C04A58"/>
    <w:rsid w:val="00C04A5A"/>
    <w:rsid w:val="00C04CD1"/>
    <w:rsid w:val="00C04CE5"/>
    <w:rsid w:val="00C04D25"/>
    <w:rsid w:val="00C04D29"/>
    <w:rsid w:val="00C050EC"/>
    <w:rsid w:val="00C05245"/>
    <w:rsid w:val="00C05258"/>
    <w:rsid w:val="00C0526E"/>
    <w:rsid w:val="00C052B6"/>
    <w:rsid w:val="00C052CE"/>
    <w:rsid w:val="00C0531E"/>
    <w:rsid w:val="00C0533D"/>
    <w:rsid w:val="00C053A2"/>
    <w:rsid w:val="00C054A8"/>
    <w:rsid w:val="00C054D3"/>
    <w:rsid w:val="00C05515"/>
    <w:rsid w:val="00C05565"/>
    <w:rsid w:val="00C056E9"/>
    <w:rsid w:val="00C058E0"/>
    <w:rsid w:val="00C05B7F"/>
    <w:rsid w:val="00C05BF3"/>
    <w:rsid w:val="00C05E0A"/>
    <w:rsid w:val="00C05EC0"/>
    <w:rsid w:val="00C05F1A"/>
    <w:rsid w:val="00C05F1C"/>
    <w:rsid w:val="00C05F2F"/>
    <w:rsid w:val="00C05F63"/>
    <w:rsid w:val="00C05FA7"/>
    <w:rsid w:val="00C06165"/>
    <w:rsid w:val="00C0621F"/>
    <w:rsid w:val="00C06226"/>
    <w:rsid w:val="00C0625A"/>
    <w:rsid w:val="00C06297"/>
    <w:rsid w:val="00C06342"/>
    <w:rsid w:val="00C0634A"/>
    <w:rsid w:val="00C0648E"/>
    <w:rsid w:val="00C06522"/>
    <w:rsid w:val="00C065BE"/>
    <w:rsid w:val="00C065C3"/>
    <w:rsid w:val="00C0680A"/>
    <w:rsid w:val="00C06847"/>
    <w:rsid w:val="00C068D3"/>
    <w:rsid w:val="00C06945"/>
    <w:rsid w:val="00C06A38"/>
    <w:rsid w:val="00C06ACE"/>
    <w:rsid w:val="00C06BD0"/>
    <w:rsid w:val="00C06C66"/>
    <w:rsid w:val="00C06C68"/>
    <w:rsid w:val="00C06D59"/>
    <w:rsid w:val="00C06DA5"/>
    <w:rsid w:val="00C06E00"/>
    <w:rsid w:val="00C06E8D"/>
    <w:rsid w:val="00C06EED"/>
    <w:rsid w:val="00C06F0C"/>
    <w:rsid w:val="00C06FE5"/>
    <w:rsid w:val="00C07084"/>
    <w:rsid w:val="00C070D2"/>
    <w:rsid w:val="00C07337"/>
    <w:rsid w:val="00C074B5"/>
    <w:rsid w:val="00C075B8"/>
    <w:rsid w:val="00C075E6"/>
    <w:rsid w:val="00C07645"/>
    <w:rsid w:val="00C07692"/>
    <w:rsid w:val="00C076E9"/>
    <w:rsid w:val="00C07719"/>
    <w:rsid w:val="00C0774F"/>
    <w:rsid w:val="00C077E9"/>
    <w:rsid w:val="00C078DC"/>
    <w:rsid w:val="00C07930"/>
    <w:rsid w:val="00C079AF"/>
    <w:rsid w:val="00C07A61"/>
    <w:rsid w:val="00C07AED"/>
    <w:rsid w:val="00C07B27"/>
    <w:rsid w:val="00C07B30"/>
    <w:rsid w:val="00C07B9A"/>
    <w:rsid w:val="00C07BE4"/>
    <w:rsid w:val="00C07BED"/>
    <w:rsid w:val="00C07C07"/>
    <w:rsid w:val="00C07C47"/>
    <w:rsid w:val="00C07CAC"/>
    <w:rsid w:val="00C07CCD"/>
    <w:rsid w:val="00C07DCC"/>
    <w:rsid w:val="00C07F67"/>
    <w:rsid w:val="00C07FCE"/>
    <w:rsid w:val="00C100A9"/>
    <w:rsid w:val="00C10100"/>
    <w:rsid w:val="00C101C4"/>
    <w:rsid w:val="00C1033E"/>
    <w:rsid w:val="00C103A9"/>
    <w:rsid w:val="00C1042B"/>
    <w:rsid w:val="00C10473"/>
    <w:rsid w:val="00C104F1"/>
    <w:rsid w:val="00C10593"/>
    <w:rsid w:val="00C106C4"/>
    <w:rsid w:val="00C106F5"/>
    <w:rsid w:val="00C10717"/>
    <w:rsid w:val="00C10733"/>
    <w:rsid w:val="00C1074E"/>
    <w:rsid w:val="00C10923"/>
    <w:rsid w:val="00C10994"/>
    <w:rsid w:val="00C10A02"/>
    <w:rsid w:val="00C10A04"/>
    <w:rsid w:val="00C10A18"/>
    <w:rsid w:val="00C10A55"/>
    <w:rsid w:val="00C10B26"/>
    <w:rsid w:val="00C10C61"/>
    <w:rsid w:val="00C10C71"/>
    <w:rsid w:val="00C10CE0"/>
    <w:rsid w:val="00C10D0A"/>
    <w:rsid w:val="00C10D57"/>
    <w:rsid w:val="00C10DA8"/>
    <w:rsid w:val="00C10E67"/>
    <w:rsid w:val="00C10EDB"/>
    <w:rsid w:val="00C10F86"/>
    <w:rsid w:val="00C11017"/>
    <w:rsid w:val="00C11092"/>
    <w:rsid w:val="00C110E5"/>
    <w:rsid w:val="00C112A4"/>
    <w:rsid w:val="00C11362"/>
    <w:rsid w:val="00C1139B"/>
    <w:rsid w:val="00C114FA"/>
    <w:rsid w:val="00C1153F"/>
    <w:rsid w:val="00C115F2"/>
    <w:rsid w:val="00C11727"/>
    <w:rsid w:val="00C11775"/>
    <w:rsid w:val="00C11778"/>
    <w:rsid w:val="00C11840"/>
    <w:rsid w:val="00C11898"/>
    <w:rsid w:val="00C118CF"/>
    <w:rsid w:val="00C11912"/>
    <w:rsid w:val="00C11936"/>
    <w:rsid w:val="00C11975"/>
    <w:rsid w:val="00C11981"/>
    <w:rsid w:val="00C11988"/>
    <w:rsid w:val="00C119D0"/>
    <w:rsid w:val="00C11A6D"/>
    <w:rsid w:val="00C11BF2"/>
    <w:rsid w:val="00C11C5D"/>
    <w:rsid w:val="00C11C90"/>
    <w:rsid w:val="00C11D55"/>
    <w:rsid w:val="00C11DD3"/>
    <w:rsid w:val="00C11E0B"/>
    <w:rsid w:val="00C11E4E"/>
    <w:rsid w:val="00C11EB0"/>
    <w:rsid w:val="00C11FCD"/>
    <w:rsid w:val="00C120C7"/>
    <w:rsid w:val="00C12138"/>
    <w:rsid w:val="00C1216D"/>
    <w:rsid w:val="00C121A0"/>
    <w:rsid w:val="00C121E8"/>
    <w:rsid w:val="00C123FB"/>
    <w:rsid w:val="00C1240A"/>
    <w:rsid w:val="00C12429"/>
    <w:rsid w:val="00C12507"/>
    <w:rsid w:val="00C125A2"/>
    <w:rsid w:val="00C125B9"/>
    <w:rsid w:val="00C12843"/>
    <w:rsid w:val="00C12912"/>
    <w:rsid w:val="00C12943"/>
    <w:rsid w:val="00C1296F"/>
    <w:rsid w:val="00C129E2"/>
    <w:rsid w:val="00C12B41"/>
    <w:rsid w:val="00C12BAA"/>
    <w:rsid w:val="00C12BD1"/>
    <w:rsid w:val="00C12C19"/>
    <w:rsid w:val="00C12C23"/>
    <w:rsid w:val="00C12D6F"/>
    <w:rsid w:val="00C12D95"/>
    <w:rsid w:val="00C12DDD"/>
    <w:rsid w:val="00C12EBA"/>
    <w:rsid w:val="00C12EC5"/>
    <w:rsid w:val="00C12F01"/>
    <w:rsid w:val="00C12F2A"/>
    <w:rsid w:val="00C132B8"/>
    <w:rsid w:val="00C1338C"/>
    <w:rsid w:val="00C13405"/>
    <w:rsid w:val="00C13435"/>
    <w:rsid w:val="00C13458"/>
    <w:rsid w:val="00C13484"/>
    <w:rsid w:val="00C135B0"/>
    <w:rsid w:val="00C135E1"/>
    <w:rsid w:val="00C13609"/>
    <w:rsid w:val="00C1362C"/>
    <w:rsid w:val="00C137A6"/>
    <w:rsid w:val="00C1384F"/>
    <w:rsid w:val="00C13879"/>
    <w:rsid w:val="00C13A1B"/>
    <w:rsid w:val="00C13A5E"/>
    <w:rsid w:val="00C13AF2"/>
    <w:rsid w:val="00C13D59"/>
    <w:rsid w:val="00C13D78"/>
    <w:rsid w:val="00C13E5B"/>
    <w:rsid w:val="00C13EDF"/>
    <w:rsid w:val="00C13EF7"/>
    <w:rsid w:val="00C13F61"/>
    <w:rsid w:val="00C13FB6"/>
    <w:rsid w:val="00C14039"/>
    <w:rsid w:val="00C1403B"/>
    <w:rsid w:val="00C14198"/>
    <w:rsid w:val="00C141A1"/>
    <w:rsid w:val="00C14201"/>
    <w:rsid w:val="00C14256"/>
    <w:rsid w:val="00C1425A"/>
    <w:rsid w:val="00C14260"/>
    <w:rsid w:val="00C14312"/>
    <w:rsid w:val="00C1436C"/>
    <w:rsid w:val="00C14588"/>
    <w:rsid w:val="00C145A1"/>
    <w:rsid w:val="00C145B1"/>
    <w:rsid w:val="00C14632"/>
    <w:rsid w:val="00C147BA"/>
    <w:rsid w:val="00C147D3"/>
    <w:rsid w:val="00C14981"/>
    <w:rsid w:val="00C14A50"/>
    <w:rsid w:val="00C14AD3"/>
    <w:rsid w:val="00C14BDD"/>
    <w:rsid w:val="00C14DBE"/>
    <w:rsid w:val="00C14FD5"/>
    <w:rsid w:val="00C15025"/>
    <w:rsid w:val="00C15032"/>
    <w:rsid w:val="00C1509E"/>
    <w:rsid w:val="00C150A2"/>
    <w:rsid w:val="00C15251"/>
    <w:rsid w:val="00C1534B"/>
    <w:rsid w:val="00C15365"/>
    <w:rsid w:val="00C153EA"/>
    <w:rsid w:val="00C15556"/>
    <w:rsid w:val="00C15631"/>
    <w:rsid w:val="00C157BD"/>
    <w:rsid w:val="00C158C5"/>
    <w:rsid w:val="00C159E1"/>
    <w:rsid w:val="00C159FE"/>
    <w:rsid w:val="00C15B2B"/>
    <w:rsid w:val="00C15B69"/>
    <w:rsid w:val="00C15B81"/>
    <w:rsid w:val="00C15C06"/>
    <w:rsid w:val="00C15CA0"/>
    <w:rsid w:val="00C15D33"/>
    <w:rsid w:val="00C15D64"/>
    <w:rsid w:val="00C15EE5"/>
    <w:rsid w:val="00C15EF9"/>
    <w:rsid w:val="00C16026"/>
    <w:rsid w:val="00C1607D"/>
    <w:rsid w:val="00C160B5"/>
    <w:rsid w:val="00C16130"/>
    <w:rsid w:val="00C16236"/>
    <w:rsid w:val="00C16295"/>
    <w:rsid w:val="00C162E3"/>
    <w:rsid w:val="00C162ED"/>
    <w:rsid w:val="00C16318"/>
    <w:rsid w:val="00C1635C"/>
    <w:rsid w:val="00C16485"/>
    <w:rsid w:val="00C164D2"/>
    <w:rsid w:val="00C16581"/>
    <w:rsid w:val="00C165BD"/>
    <w:rsid w:val="00C16650"/>
    <w:rsid w:val="00C166A9"/>
    <w:rsid w:val="00C167D0"/>
    <w:rsid w:val="00C16850"/>
    <w:rsid w:val="00C16896"/>
    <w:rsid w:val="00C168E1"/>
    <w:rsid w:val="00C16933"/>
    <w:rsid w:val="00C1693E"/>
    <w:rsid w:val="00C16AC9"/>
    <w:rsid w:val="00C16ACF"/>
    <w:rsid w:val="00C16AE0"/>
    <w:rsid w:val="00C16AFB"/>
    <w:rsid w:val="00C16B1A"/>
    <w:rsid w:val="00C16B47"/>
    <w:rsid w:val="00C16B92"/>
    <w:rsid w:val="00C16BD0"/>
    <w:rsid w:val="00C16C0F"/>
    <w:rsid w:val="00C16C45"/>
    <w:rsid w:val="00C16C6D"/>
    <w:rsid w:val="00C16C86"/>
    <w:rsid w:val="00C16D15"/>
    <w:rsid w:val="00C16E0E"/>
    <w:rsid w:val="00C16E90"/>
    <w:rsid w:val="00C16EE6"/>
    <w:rsid w:val="00C16FF1"/>
    <w:rsid w:val="00C1701A"/>
    <w:rsid w:val="00C1704F"/>
    <w:rsid w:val="00C170CA"/>
    <w:rsid w:val="00C17292"/>
    <w:rsid w:val="00C172FA"/>
    <w:rsid w:val="00C17313"/>
    <w:rsid w:val="00C1744F"/>
    <w:rsid w:val="00C17585"/>
    <w:rsid w:val="00C17600"/>
    <w:rsid w:val="00C17673"/>
    <w:rsid w:val="00C176C2"/>
    <w:rsid w:val="00C176EC"/>
    <w:rsid w:val="00C1775E"/>
    <w:rsid w:val="00C177FC"/>
    <w:rsid w:val="00C1798A"/>
    <w:rsid w:val="00C179FC"/>
    <w:rsid w:val="00C17A01"/>
    <w:rsid w:val="00C17A17"/>
    <w:rsid w:val="00C17A40"/>
    <w:rsid w:val="00C17A63"/>
    <w:rsid w:val="00C17ADE"/>
    <w:rsid w:val="00C17AE4"/>
    <w:rsid w:val="00C17B38"/>
    <w:rsid w:val="00C17D0F"/>
    <w:rsid w:val="00C17D5A"/>
    <w:rsid w:val="00C17E2D"/>
    <w:rsid w:val="00C17E69"/>
    <w:rsid w:val="00C17E6D"/>
    <w:rsid w:val="00C17E8C"/>
    <w:rsid w:val="00C17EDB"/>
    <w:rsid w:val="00C17F8A"/>
    <w:rsid w:val="00C20086"/>
    <w:rsid w:val="00C2008B"/>
    <w:rsid w:val="00C200BA"/>
    <w:rsid w:val="00C20160"/>
    <w:rsid w:val="00C20170"/>
    <w:rsid w:val="00C201EB"/>
    <w:rsid w:val="00C2029F"/>
    <w:rsid w:val="00C203B2"/>
    <w:rsid w:val="00C20408"/>
    <w:rsid w:val="00C204CB"/>
    <w:rsid w:val="00C20546"/>
    <w:rsid w:val="00C2054A"/>
    <w:rsid w:val="00C205AA"/>
    <w:rsid w:val="00C205C8"/>
    <w:rsid w:val="00C20691"/>
    <w:rsid w:val="00C20761"/>
    <w:rsid w:val="00C20814"/>
    <w:rsid w:val="00C20815"/>
    <w:rsid w:val="00C2084B"/>
    <w:rsid w:val="00C2086B"/>
    <w:rsid w:val="00C20970"/>
    <w:rsid w:val="00C20AFA"/>
    <w:rsid w:val="00C20B0A"/>
    <w:rsid w:val="00C20BE5"/>
    <w:rsid w:val="00C20BF2"/>
    <w:rsid w:val="00C20D42"/>
    <w:rsid w:val="00C20DDD"/>
    <w:rsid w:val="00C20DE7"/>
    <w:rsid w:val="00C20F79"/>
    <w:rsid w:val="00C20F88"/>
    <w:rsid w:val="00C20F92"/>
    <w:rsid w:val="00C20FB0"/>
    <w:rsid w:val="00C20FC1"/>
    <w:rsid w:val="00C21140"/>
    <w:rsid w:val="00C21183"/>
    <w:rsid w:val="00C2119F"/>
    <w:rsid w:val="00C2121E"/>
    <w:rsid w:val="00C2124F"/>
    <w:rsid w:val="00C2128C"/>
    <w:rsid w:val="00C212F4"/>
    <w:rsid w:val="00C213FD"/>
    <w:rsid w:val="00C214EB"/>
    <w:rsid w:val="00C215C4"/>
    <w:rsid w:val="00C2160F"/>
    <w:rsid w:val="00C216D4"/>
    <w:rsid w:val="00C2175E"/>
    <w:rsid w:val="00C21773"/>
    <w:rsid w:val="00C217D1"/>
    <w:rsid w:val="00C2183F"/>
    <w:rsid w:val="00C21849"/>
    <w:rsid w:val="00C21922"/>
    <w:rsid w:val="00C21A20"/>
    <w:rsid w:val="00C21A58"/>
    <w:rsid w:val="00C21A8B"/>
    <w:rsid w:val="00C21AA8"/>
    <w:rsid w:val="00C21AC1"/>
    <w:rsid w:val="00C21B68"/>
    <w:rsid w:val="00C21BD1"/>
    <w:rsid w:val="00C21C29"/>
    <w:rsid w:val="00C21D4C"/>
    <w:rsid w:val="00C21D57"/>
    <w:rsid w:val="00C21DC2"/>
    <w:rsid w:val="00C21DE0"/>
    <w:rsid w:val="00C21F46"/>
    <w:rsid w:val="00C220C9"/>
    <w:rsid w:val="00C220D9"/>
    <w:rsid w:val="00C2211A"/>
    <w:rsid w:val="00C22159"/>
    <w:rsid w:val="00C22175"/>
    <w:rsid w:val="00C2222B"/>
    <w:rsid w:val="00C22299"/>
    <w:rsid w:val="00C22383"/>
    <w:rsid w:val="00C2241F"/>
    <w:rsid w:val="00C2265F"/>
    <w:rsid w:val="00C22893"/>
    <w:rsid w:val="00C228CC"/>
    <w:rsid w:val="00C228E3"/>
    <w:rsid w:val="00C229FE"/>
    <w:rsid w:val="00C22A0F"/>
    <w:rsid w:val="00C22C2D"/>
    <w:rsid w:val="00C22C32"/>
    <w:rsid w:val="00C22CDB"/>
    <w:rsid w:val="00C22EED"/>
    <w:rsid w:val="00C22EFA"/>
    <w:rsid w:val="00C22F27"/>
    <w:rsid w:val="00C22F2D"/>
    <w:rsid w:val="00C22F71"/>
    <w:rsid w:val="00C2318B"/>
    <w:rsid w:val="00C231D7"/>
    <w:rsid w:val="00C232EF"/>
    <w:rsid w:val="00C23396"/>
    <w:rsid w:val="00C233DA"/>
    <w:rsid w:val="00C23436"/>
    <w:rsid w:val="00C23462"/>
    <w:rsid w:val="00C23481"/>
    <w:rsid w:val="00C2352A"/>
    <w:rsid w:val="00C2380E"/>
    <w:rsid w:val="00C23924"/>
    <w:rsid w:val="00C23972"/>
    <w:rsid w:val="00C23997"/>
    <w:rsid w:val="00C23B9C"/>
    <w:rsid w:val="00C23BCF"/>
    <w:rsid w:val="00C23BF5"/>
    <w:rsid w:val="00C23C28"/>
    <w:rsid w:val="00C23C55"/>
    <w:rsid w:val="00C23CE6"/>
    <w:rsid w:val="00C23D54"/>
    <w:rsid w:val="00C23D79"/>
    <w:rsid w:val="00C23F8C"/>
    <w:rsid w:val="00C23FC8"/>
    <w:rsid w:val="00C24044"/>
    <w:rsid w:val="00C2407C"/>
    <w:rsid w:val="00C2409B"/>
    <w:rsid w:val="00C240AA"/>
    <w:rsid w:val="00C240D4"/>
    <w:rsid w:val="00C2429A"/>
    <w:rsid w:val="00C242B2"/>
    <w:rsid w:val="00C243B7"/>
    <w:rsid w:val="00C24406"/>
    <w:rsid w:val="00C244A6"/>
    <w:rsid w:val="00C2469D"/>
    <w:rsid w:val="00C246AC"/>
    <w:rsid w:val="00C2475A"/>
    <w:rsid w:val="00C2485E"/>
    <w:rsid w:val="00C24878"/>
    <w:rsid w:val="00C24A5A"/>
    <w:rsid w:val="00C24AAB"/>
    <w:rsid w:val="00C24AD1"/>
    <w:rsid w:val="00C24B44"/>
    <w:rsid w:val="00C24C31"/>
    <w:rsid w:val="00C24C39"/>
    <w:rsid w:val="00C24C77"/>
    <w:rsid w:val="00C24D3B"/>
    <w:rsid w:val="00C24D4A"/>
    <w:rsid w:val="00C24DE2"/>
    <w:rsid w:val="00C24E78"/>
    <w:rsid w:val="00C24EC6"/>
    <w:rsid w:val="00C2504C"/>
    <w:rsid w:val="00C25074"/>
    <w:rsid w:val="00C250F9"/>
    <w:rsid w:val="00C2512D"/>
    <w:rsid w:val="00C25152"/>
    <w:rsid w:val="00C25306"/>
    <w:rsid w:val="00C25375"/>
    <w:rsid w:val="00C25453"/>
    <w:rsid w:val="00C25515"/>
    <w:rsid w:val="00C25536"/>
    <w:rsid w:val="00C25566"/>
    <w:rsid w:val="00C256AD"/>
    <w:rsid w:val="00C25789"/>
    <w:rsid w:val="00C2578D"/>
    <w:rsid w:val="00C257CB"/>
    <w:rsid w:val="00C25855"/>
    <w:rsid w:val="00C258A3"/>
    <w:rsid w:val="00C25974"/>
    <w:rsid w:val="00C2597C"/>
    <w:rsid w:val="00C25982"/>
    <w:rsid w:val="00C259BB"/>
    <w:rsid w:val="00C25B3F"/>
    <w:rsid w:val="00C25D32"/>
    <w:rsid w:val="00C25DA8"/>
    <w:rsid w:val="00C25E0D"/>
    <w:rsid w:val="00C25E60"/>
    <w:rsid w:val="00C25EB2"/>
    <w:rsid w:val="00C25EEA"/>
    <w:rsid w:val="00C25EFB"/>
    <w:rsid w:val="00C25F85"/>
    <w:rsid w:val="00C26020"/>
    <w:rsid w:val="00C262E6"/>
    <w:rsid w:val="00C26346"/>
    <w:rsid w:val="00C2635A"/>
    <w:rsid w:val="00C2638E"/>
    <w:rsid w:val="00C2641A"/>
    <w:rsid w:val="00C265B2"/>
    <w:rsid w:val="00C265FC"/>
    <w:rsid w:val="00C26614"/>
    <w:rsid w:val="00C2668D"/>
    <w:rsid w:val="00C2668E"/>
    <w:rsid w:val="00C266F8"/>
    <w:rsid w:val="00C2676D"/>
    <w:rsid w:val="00C26841"/>
    <w:rsid w:val="00C26850"/>
    <w:rsid w:val="00C26870"/>
    <w:rsid w:val="00C26B15"/>
    <w:rsid w:val="00C26BFB"/>
    <w:rsid w:val="00C26EBA"/>
    <w:rsid w:val="00C26ED5"/>
    <w:rsid w:val="00C26F02"/>
    <w:rsid w:val="00C26F11"/>
    <w:rsid w:val="00C270E2"/>
    <w:rsid w:val="00C2721A"/>
    <w:rsid w:val="00C27257"/>
    <w:rsid w:val="00C2726F"/>
    <w:rsid w:val="00C272E3"/>
    <w:rsid w:val="00C27455"/>
    <w:rsid w:val="00C275C6"/>
    <w:rsid w:val="00C275D3"/>
    <w:rsid w:val="00C27641"/>
    <w:rsid w:val="00C276EB"/>
    <w:rsid w:val="00C27706"/>
    <w:rsid w:val="00C2776B"/>
    <w:rsid w:val="00C27941"/>
    <w:rsid w:val="00C27943"/>
    <w:rsid w:val="00C27C23"/>
    <w:rsid w:val="00C27D6E"/>
    <w:rsid w:val="00C27D7E"/>
    <w:rsid w:val="00C27D9C"/>
    <w:rsid w:val="00C27E27"/>
    <w:rsid w:val="00C27E9F"/>
    <w:rsid w:val="00C27EB8"/>
    <w:rsid w:val="00C27F11"/>
    <w:rsid w:val="00C27F25"/>
    <w:rsid w:val="00C30046"/>
    <w:rsid w:val="00C30077"/>
    <w:rsid w:val="00C300B9"/>
    <w:rsid w:val="00C301D4"/>
    <w:rsid w:val="00C30257"/>
    <w:rsid w:val="00C3040B"/>
    <w:rsid w:val="00C3043A"/>
    <w:rsid w:val="00C30482"/>
    <w:rsid w:val="00C3052B"/>
    <w:rsid w:val="00C305D3"/>
    <w:rsid w:val="00C305EB"/>
    <w:rsid w:val="00C306D9"/>
    <w:rsid w:val="00C306F2"/>
    <w:rsid w:val="00C3084D"/>
    <w:rsid w:val="00C30899"/>
    <w:rsid w:val="00C308DA"/>
    <w:rsid w:val="00C3090D"/>
    <w:rsid w:val="00C30A1B"/>
    <w:rsid w:val="00C30A93"/>
    <w:rsid w:val="00C30ACB"/>
    <w:rsid w:val="00C30CA5"/>
    <w:rsid w:val="00C30CFC"/>
    <w:rsid w:val="00C30D35"/>
    <w:rsid w:val="00C30D7C"/>
    <w:rsid w:val="00C30F8E"/>
    <w:rsid w:val="00C311E0"/>
    <w:rsid w:val="00C31208"/>
    <w:rsid w:val="00C3123A"/>
    <w:rsid w:val="00C312B3"/>
    <w:rsid w:val="00C313CC"/>
    <w:rsid w:val="00C31441"/>
    <w:rsid w:val="00C31484"/>
    <w:rsid w:val="00C314EE"/>
    <w:rsid w:val="00C31509"/>
    <w:rsid w:val="00C3155A"/>
    <w:rsid w:val="00C31711"/>
    <w:rsid w:val="00C31764"/>
    <w:rsid w:val="00C317F7"/>
    <w:rsid w:val="00C3182A"/>
    <w:rsid w:val="00C318B1"/>
    <w:rsid w:val="00C319B5"/>
    <w:rsid w:val="00C319BD"/>
    <w:rsid w:val="00C31A65"/>
    <w:rsid w:val="00C31A68"/>
    <w:rsid w:val="00C31A6F"/>
    <w:rsid w:val="00C31E3C"/>
    <w:rsid w:val="00C31EF4"/>
    <w:rsid w:val="00C31FA5"/>
    <w:rsid w:val="00C32066"/>
    <w:rsid w:val="00C320B7"/>
    <w:rsid w:val="00C32156"/>
    <w:rsid w:val="00C321F1"/>
    <w:rsid w:val="00C32467"/>
    <w:rsid w:val="00C3254D"/>
    <w:rsid w:val="00C325AB"/>
    <w:rsid w:val="00C326F1"/>
    <w:rsid w:val="00C327BC"/>
    <w:rsid w:val="00C32803"/>
    <w:rsid w:val="00C32809"/>
    <w:rsid w:val="00C3287A"/>
    <w:rsid w:val="00C32903"/>
    <w:rsid w:val="00C3297E"/>
    <w:rsid w:val="00C329B5"/>
    <w:rsid w:val="00C32A89"/>
    <w:rsid w:val="00C32AA7"/>
    <w:rsid w:val="00C32CC4"/>
    <w:rsid w:val="00C32E7A"/>
    <w:rsid w:val="00C32FBE"/>
    <w:rsid w:val="00C3300A"/>
    <w:rsid w:val="00C33049"/>
    <w:rsid w:val="00C33112"/>
    <w:rsid w:val="00C3312A"/>
    <w:rsid w:val="00C33212"/>
    <w:rsid w:val="00C3322C"/>
    <w:rsid w:val="00C33289"/>
    <w:rsid w:val="00C332FB"/>
    <w:rsid w:val="00C33308"/>
    <w:rsid w:val="00C33339"/>
    <w:rsid w:val="00C33394"/>
    <w:rsid w:val="00C333F9"/>
    <w:rsid w:val="00C334A8"/>
    <w:rsid w:val="00C334E4"/>
    <w:rsid w:val="00C3367E"/>
    <w:rsid w:val="00C336C3"/>
    <w:rsid w:val="00C339A0"/>
    <w:rsid w:val="00C33BD5"/>
    <w:rsid w:val="00C33C0E"/>
    <w:rsid w:val="00C33CD6"/>
    <w:rsid w:val="00C33D33"/>
    <w:rsid w:val="00C33D3D"/>
    <w:rsid w:val="00C33DAD"/>
    <w:rsid w:val="00C33DCF"/>
    <w:rsid w:val="00C33E13"/>
    <w:rsid w:val="00C33E96"/>
    <w:rsid w:val="00C33FF5"/>
    <w:rsid w:val="00C34005"/>
    <w:rsid w:val="00C34008"/>
    <w:rsid w:val="00C340FB"/>
    <w:rsid w:val="00C34114"/>
    <w:rsid w:val="00C341DA"/>
    <w:rsid w:val="00C342A6"/>
    <w:rsid w:val="00C34315"/>
    <w:rsid w:val="00C3431C"/>
    <w:rsid w:val="00C3453F"/>
    <w:rsid w:val="00C34547"/>
    <w:rsid w:val="00C3457D"/>
    <w:rsid w:val="00C346A0"/>
    <w:rsid w:val="00C3484A"/>
    <w:rsid w:val="00C348EB"/>
    <w:rsid w:val="00C34964"/>
    <w:rsid w:val="00C34AC7"/>
    <w:rsid w:val="00C34AF7"/>
    <w:rsid w:val="00C34C17"/>
    <w:rsid w:val="00C34C24"/>
    <w:rsid w:val="00C34C3A"/>
    <w:rsid w:val="00C34C40"/>
    <w:rsid w:val="00C34C82"/>
    <w:rsid w:val="00C34D7D"/>
    <w:rsid w:val="00C34D82"/>
    <w:rsid w:val="00C34E2C"/>
    <w:rsid w:val="00C34F86"/>
    <w:rsid w:val="00C34FA3"/>
    <w:rsid w:val="00C35113"/>
    <w:rsid w:val="00C35142"/>
    <w:rsid w:val="00C35143"/>
    <w:rsid w:val="00C3519D"/>
    <w:rsid w:val="00C351D7"/>
    <w:rsid w:val="00C3521A"/>
    <w:rsid w:val="00C3529E"/>
    <w:rsid w:val="00C352D2"/>
    <w:rsid w:val="00C35375"/>
    <w:rsid w:val="00C3539F"/>
    <w:rsid w:val="00C35496"/>
    <w:rsid w:val="00C35519"/>
    <w:rsid w:val="00C355D5"/>
    <w:rsid w:val="00C3560E"/>
    <w:rsid w:val="00C35659"/>
    <w:rsid w:val="00C35679"/>
    <w:rsid w:val="00C35785"/>
    <w:rsid w:val="00C357B9"/>
    <w:rsid w:val="00C357D9"/>
    <w:rsid w:val="00C359A7"/>
    <w:rsid w:val="00C35CE1"/>
    <w:rsid w:val="00C35D21"/>
    <w:rsid w:val="00C35D43"/>
    <w:rsid w:val="00C35D76"/>
    <w:rsid w:val="00C35D8C"/>
    <w:rsid w:val="00C35E3E"/>
    <w:rsid w:val="00C35E70"/>
    <w:rsid w:val="00C35E8F"/>
    <w:rsid w:val="00C35ED0"/>
    <w:rsid w:val="00C35F47"/>
    <w:rsid w:val="00C35FFA"/>
    <w:rsid w:val="00C36029"/>
    <w:rsid w:val="00C36043"/>
    <w:rsid w:val="00C36048"/>
    <w:rsid w:val="00C364E5"/>
    <w:rsid w:val="00C365A1"/>
    <w:rsid w:val="00C365D7"/>
    <w:rsid w:val="00C3667B"/>
    <w:rsid w:val="00C36697"/>
    <w:rsid w:val="00C3677C"/>
    <w:rsid w:val="00C3679E"/>
    <w:rsid w:val="00C367B4"/>
    <w:rsid w:val="00C36804"/>
    <w:rsid w:val="00C3680A"/>
    <w:rsid w:val="00C3685F"/>
    <w:rsid w:val="00C36917"/>
    <w:rsid w:val="00C36A27"/>
    <w:rsid w:val="00C36AD5"/>
    <w:rsid w:val="00C36C5E"/>
    <w:rsid w:val="00C36CB6"/>
    <w:rsid w:val="00C36CC4"/>
    <w:rsid w:val="00C36EDF"/>
    <w:rsid w:val="00C36F46"/>
    <w:rsid w:val="00C36FA7"/>
    <w:rsid w:val="00C36FD2"/>
    <w:rsid w:val="00C370CA"/>
    <w:rsid w:val="00C370CB"/>
    <w:rsid w:val="00C370FA"/>
    <w:rsid w:val="00C37236"/>
    <w:rsid w:val="00C37267"/>
    <w:rsid w:val="00C372A6"/>
    <w:rsid w:val="00C372E1"/>
    <w:rsid w:val="00C37377"/>
    <w:rsid w:val="00C373B3"/>
    <w:rsid w:val="00C373FC"/>
    <w:rsid w:val="00C3754B"/>
    <w:rsid w:val="00C37576"/>
    <w:rsid w:val="00C377E0"/>
    <w:rsid w:val="00C37806"/>
    <w:rsid w:val="00C3788E"/>
    <w:rsid w:val="00C3797A"/>
    <w:rsid w:val="00C37B99"/>
    <w:rsid w:val="00C37C15"/>
    <w:rsid w:val="00C37C57"/>
    <w:rsid w:val="00C37CE2"/>
    <w:rsid w:val="00C37D41"/>
    <w:rsid w:val="00C40099"/>
    <w:rsid w:val="00C400DF"/>
    <w:rsid w:val="00C4035C"/>
    <w:rsid w:val="00C40364"/>
    <w:rsid w:val="00C40499"/>
    <w:rsid w:val="00C404FD"/>
    <w:rsid w:val="00C405F2"/>
    <w:rsid w:val="00C40643"/>
    <w:rsid w:val="00C4077F"/>
    <w:rsid w:val="00C407C5"/>
    <w:rsid w:val="00C4086E"/>
    <w:rsid w:val="00C40A96"/>
    <w:rsid w:val="00C40ABA"/>
    <w:rsid w:val="00C40C4A"/>
    <w:rsid w:val="00C40C59"/>
    <w:rsid w:val="00C40CD4"/>
    <w:rsid w:val="00C40E26"/>
    <w:rsid w:val="00C40EA8"/>
    <w:rsid w:val="00C40EE1"/>
    <w:rsid w:val="00C40FC8"/>
    <w:rsid w:val="00C4100E"/>
    <w:rsid w:val="00C4101C"/>
    <w:rsid w:val="00C41119"/>
    <w:rsid w:val="00C41141"/>
    <w:rsid w:val="00C41226"/>
    <w:rsid w:val="00C41373"/>
    <w:rsid w:val="00C413F8"/>
    <w:rsid w:val="00C413FD"/>
    <w:rsid w:val="00C4152D"/>
    <w:rsid w:val="00C4169D"/>
    <w:rsid w:val="00C416B7"/>
    <w:rsid w:val="00C4170F"/>
    <w:rsid w:val="00C4173F"/>
    <w:rsid w:val="00C41745"/>
    <w:rsid w:val="00C417D4"/>
    <w:rsid w:val="00C417E8"/>
    <w:rsid w:val="00C41835"/>
    <w:rsid w:val="00C41889"/>
    <w:rsid w:val="00C41A65"/>
    <w:rsid w:val="00C41AEE"/>
    <w:rsid w:val="00C41BCE"/>
    <w:rsid w:val="00C41BD3"/>
    <w:rsid w:val="00C41C27"/>
    <w:rsid w:val="00C41C98"/>
    <w:rsid w:val="00C41CE7"/>
    <w:rsid w:val="00C41CED"/>
    <w:rsid w:val="00C41D5F"/>
    <w:rsid w:val="00C41E67"/>
    <w:rsid w:val="00C41EA5"/>
    <w:rsid w:val="00C41F8A"/>
    <w:rsid w:val="00C41F96"/>
    <w:rsid w:val="00C41FBD"/>
    <w:rsid w:val="00C42048"/>
    <w:rsid w:val="00C420BC"/>
    <w:rsid w:val="00C422D3"/>
    <w:rsid w:val="00C42395"/>
    <w:rsid w:val="00C42499"/>
    <w:rsid w:val="00C424F2"/>
    <w:rsid w:val="00C42667"/>
    <w:rsid w:val="00C42780"/>
    <w:rsid w:val="00C428D8"/>
    <w:rsid w:val="00C428DF"/>
    <w:rsid w:val="00C42A32"/>
    <w:rsid w:val="00C42AF3"/>
    <w:rsid w:val="00C42BD7"/>
    <w:rsid w:val="00C42BE4"/>
    <w:rsid w:val="00C42C2F"/>
    <w:rsid w:val="00C42EAB"/>
    <w:rsid w:val="00C430C3"/>
    <w:rsid w:val="00C431A0"/>
    <w:rsid w:val="00C431B6"/>
    <w:rsid w:val="00C431DB"/>
    <w:rsid w:val="00C43250"/>
    <w:rsid w:val="00C4332E"/>
    <w:rsid w:val="00C433B4"/>
    <w:rsid w:val="00C433F8"/>
    <w:rsid w:val="00C435A5"/>
    <w:rsid w:val="00C43745"/>
    <w:rsid w:val="00C437F7"/>
    <w:rsid w:val="00C43817"/>
    <w:rsid w:val="00C43828"/>
    <w:rsid w:val="00C438EA"/>
    <w:rsid w:val="00C43929"/>
    <w:rsid w:val="00C4396B"/>
    <w:rsid w:val="00C4396D"/>
    <w:rsid w:val="00C439BD"/>
    <w:rsid w:val="00C43B06"/>
    <w:rsid w:val="00C43BC1"/>
    <w:rsid w:val="00C43C96"/>
    <w:rsid w:val="00C43D72"/>
    <w:rsid w:val="00C43DD4"/>
    <w:rsid w:val="00C43E73"/>
    <w:rsid w:val="00C43E7D"/>
    <w:rsid w:val="00C43ED8"/>
    <w:rsid w:val="00C43F06"/>
    <w:rsid w:val="00C43F1E"/>
    <w:rsid w:val="00C43F7B"/>
    <w:rsid w:val="00C4400B"/>
    <w:rsid w:val="00C440AB"/>
    <w:rsid w:val="00C440AD"/>
    <w:rsid w:val="00C440E0"/>
    <w:rsid w:val="00C44251"/>
    <w:rsid w:val="00C442CA"/>
    <w:rsid w:val="00C443BE"/>
    <w:rsid w:val="00C445C4"/>
    <w:rsid w:val="00C445F6"/>
    <w:rsid w:val="00C446CC"/>
    <w:rsid w:val="00C44713"/>
    <w:rsid w:val="00C447E6"/>
    <w:rsid w:val="00C4496A"/>
    <w:rsid w:val="00C44A1E"/>
    <w:rsid w:val="00C44A89"/>
    <w:rsid w:val="00C44AAB"/>
    <w:rsid w:val="00C44BAF"/>
    <w:rsid w:val="00C44BC2"/>
    <w:rsid w:val="00C44E58"/>
    <w:rsid w:val="00C44EC9"/>
    <w:rsid w:val="00C44EEB"/>
    <w:rsid w:val="00C44F13"/>
    <w:rsid w:val="00C44FCA"/>
    <w:rsid w:val="00C4511E"/>
    <w:rsid w:val="00C4529C"/>
    <w:rsid w:val="00C45329"/>
    <w:rsid w:val="00C453B1"/>
    <w:rsid w:val="00C4572A"/>
    <w:rsid w:val="00C45761"/>
    <w:rsid w:val="00C45763"/>
    <w:rsid w:val="00C457A1"/>
    <w:rsid w:val="00C458BF"/>
    <w:rsid w:val="00C4597C"/>
    <w:rsid w:val="00C459EE"/>
    <w:rsid w:val="00C45A75"/>
    <w:rsid w:val="00C45A88"/>
    <w:rsid w:val="00C45AB8"/>
    <w:rsid w:val="00C45AC0"/>
    <w:rsid w:val="00C45AD6"/>
    <w:rsid w:val="00C45B88"/>
    <w:rsid w:val="00C45BE6"/>
    <w:rsid w:val="00C45C48"/>
    <w:rsid w:val="00C45D13"/>
    <w:rsid w:val="00C45DDC"/>
    <w:rsid w:val="00C460A3"/>
    <w:rsid w:val="00C461B9"/>
    <w:rsid w:val="00C461E5"/>
    <w:rsid w:val="00C46221"/>
    <w:rsid w:val="00C46273"/>
    <w:rsid w:val="00C46344"/>
    <w:rsid w:val="00C4640C"/>
    <w:rsid w:val="00C46443"/>
    <w:rsid w:val="00C46487"/>
    <w:rsid w:val="00C464BB"/>
    <w:rsid w:val="00C464BC"/>
    <w:rsid w:val="00C464CD"/>
    <w:rsid w:val="00C464E8"/>
    <w:rsid w:val="00C465A7"/>
    <w:rsid w:val="00C465B9"/>
    <w:rsid w:val="00C466A0"/>
    <w:rsid w:val="00C466D2"/>
    <w:rsid w:val="00C466E9"/>
    <w:rsid w:val="00C466F0"/>
    <w:rsid w:val="00C46797"/>
    <w:rsid w:val="00C467ED"/>
    <w:rsid w:val="00C46834"/>
    <w:rsid w:val="00C4688A"/>
    <w:rsid w:val="00C4693C"/>
    <w:rsid w:val="00C46A49"/>
    <w:rsid w:val="00C46ACC"/>
    <w:rsid w:val="00C46B71"/>
    <w:rsid w:val="00C46BF0"/>
    <w:rsid w:val="00C46D01"/>
    <w:rsid w:val="00C46D82"/>
    <w:rsid w:val="00C46E03"/>
    <w:rsid w:val="00C46E0A"/>
    <w:rsid w:val="00C46EA9"/>
    <w:rsid w:val="00C46F17"/>
    <w:rsid w:val="00C47042"/>
    <w:rsid w:val="00C47043"/>
    <w:rsid w:val="00C470D5"/>
    <w:rsid w:val="00C47163"/>
    <w:rsid w:val="00C4730F"/>
    <w:rsid w:val="00C47311"/>
    <w:rsid w:val="00C47393"/>
    <w:rsid w:val="00C473E2"/>
    <w:rsid w:val="00C4744A"/>
    <w:rsid w:val="00C47472"/>
    <w:rsid w:val="00C474B7"/>
    <w:rsid w:val="00C47576"/>
    <w:rsid w:val="00C4765C"/>
    <w:rsid w:val="00C476E2"/>
    <w:rsid w:val="00C4774F"/>
    <w:rsid w:val="00C47797"/>
    <w:rsid w:val="00C477DB"/>
    <w:rsid w:val="00C478B1"/>
    <w:rsid w:val="00C4798E"/>
    <w:rsid w:val="00C479EF"/>
    <w:rsid w:val="00C47B25"/>
    <w:rsid w:val="00C47B53"/>
    <w:rsid w:val="00C47B6A"/>
    <w:rsid w:val="00C47BCF"/>
    <w:rsid w:val="00C47C3A"/>
    <w:rsid w:val="00C47C5F"/>
    <w:rsid w:val="00C47C89"/>
    <w:rsid w:val="00C47CD0"/>
    <w:rsid w:val="00C47CF6"/>
    <w:rsid w:val="00C47D1F"/>
    <w:rsid w:val="00C47D2E"/>
    <w:rsid w:val="00C47DF7"/>
    <w:rsid w:val="00C47E0D"/>
    <w:rsid w:val="00C47E49"/>
    <w:rsid w:val="00C47EC6"/>
    <w:rsid w:val="00C50038"/>
    <w:rsid w:val="00C50080"/>
    <w:rsid w:val="00C5008C"/>
    <w:rsid w:val="00C50092"/>
    <w:rsid w:val="00C500C4"/>
    <w:rsid w:val="00C501C6"/>
    <w:rsid w:val="00C502D7"/>
    <w:rsid w:val="00C5043C"/>
    <w:rsid w:val="00C50490"/>
    <w:rsid w:val="00C50664"/>
    <w:rsid w:val="00C506A9"/>
    <w:rsid w:val="00C5073F"/>
    <w:rsid w:val="00C50966"/>
    <w:rsid w:val="00C5099A"/>
    <w:rsid w:val="00C50A57"/>
    <w:rsid w:val="00C50D0D"/>
    <w:rsid w:val="00C50D10"/>
    <w:rsid w:val="00C50D1C"/>
    <w:rsid w:val="00C50DEB"/>
    <w:rsid w:val="00C50E32"/>
    <w:rsid w:val="00C50EC0"/>
    <w:rsid w:val="00C50F4A"/>
    <w:rsid w:val="00C50FBD"/>
    <w:rsid w:val="00C51122"/>
    <w:rsid w:val="00C5124A"/>
    <w:rsid w:val="00C51336"/>
    <w:rsid w:val="00C51390"/>
    <w:rsid w:val="00C51397"/>
    <w:rsid w:val="00C513AA"/>
    <w:rsid w:val="00C5148F"/>
    <w:rsid w:val="00C51531"/>
    <w:rsid w:val="00C51564"/>
    <w:rsid w:val="00C51577"/>
    <w:rsid w:val="00C516AD"/>
    <w:rsid w:val="00C516C6"/>
    <w:rsid w:val="00C516E4"/>
    <w:rsid w:val="00C5175A"/>
    <w:rsid w:val="00C517C9"/>
    <w:rsid w:val="00C51810"/>
    <w:rsid w:val="00C518A6"/>
    <w:rsid w:val="00C518D7"/>
    <w:rsid w:val="00C51907"/>
    <w:rsid w:val="00C5194E"/>
    <w:rsid w:val="00C519ED"/>
    <w:rsid w:val="00C51A37"/>
    <w:rsid w:val="00C51B10"/>
    <w:rsid w:val="00C51DC9"/>
    <w:rsid w:val="00C51E68"/>
    <w:rsid w:val="00C51E70"/>
    <w:rsid w:val="00C51EF8"/>
    <w:rsid w:val="00C51FEF"/>
    <w:rsid w:val="00C5206E"/>
    <w:rsid w:val="00C52085"/>
    <w:rsid w:val="00C520DD"/>
    <w:rsid w:val="00C52120"/>
    <w:rsid w:val="00C52174"/>
    <w:rsid w:val="00C521B1"/>
    <w:rsid w:val="00C52277"/>
    <w:rsid w:val="00C522DD"/>
    <w:rsid w:val="00C522F2"/>
    <w:rsid w:val="00C5241A"/>
    <w:rsid w:val="00C52477"/>
    <w:rsid w:val="00C524D5"/>
    <w:rsid w:val="00C525B1"/>
    <w:rsid w:val="00C52781"/>
    <w:rsid w:val="00C528B3"/>
    <w:rsid w:val="00C52926"/>
    <w:rsid w:val="00C5293E"/>
    <w:rsid w:val="00C529D5"/>
    <w:rsid w:val="00C52A09"/>
    <w:rsid w:val="00C52A21"/>
    <w:rsid w:val="00C52A71"/>
    <w:rsid w:val="00C52AC2"/>
    <w:rsid w:val="00C52B66"/>
    <w:rsid w:val="00C52C90"/>
    <w:rsid w:val="00C52CF5"/>
    <w:rsid w:val="00C52D37"/>
    <w:rsid w:val="00C52E10"/>
    <w:rsid w:val="00C52E94"/>
    <w:rsid w:val="00C52F44"/>
    <w:rsid w:val="00C530F4"/>
    <w:rsid w:val="00C531AC"/>
    <w:rsid w:val="00C531EE"/>
    <w:rsid w:val="00C532CA"/>
    <w:rsid w:val="00C53378"/>
    <w:rsid w:val="00C533A0"/>
    <w:rsid w:val="00C53483"/>
    <w:rsid w:val="00C534F5"/>
    <w:rsid w:val="00C535EF"/>
    <w:rsid w:val="00C536A0"/>
    <w:rsid w:val="00C537A9"/>
    <w:rsid w:val="00C5380B"/>
    <w:rsid w:val="00C53B85"/>
    <w:rsid w:val="00C53C68"/>
    <w:rsid w:val="00C53D55"/>
    <w:rsid w:val="00C53D67"/>
    <w:rsid w:val="00C53DBB"/>
    <w:rsid w:val="00C53EF4"/>
    <w:rsid w:val="00C53FD2"/>
    <w:rsid w:val="00C53FDF"/>
    <w:rsid w:val="00C54098"/>
    <w:rsid w:val="00C540B3"/>
    <w:rsid w:val="00C540E6"/>
    <w:rsid w:val="00C5413D"/>
    <w:rsid w:val="00C54142"/>
    <w:rsid w:val="00C54278"/>
    <w:rsid w:val="00C542CE"/>
    <w:rsid w:val="00C54343"/>
    <w:rsid w:val="00C54394"/>
    <w:rsid w:val="00C543DC"/>
    <w:rsid w:val="00C54404"/>
    <w:rsid w:val="00C5449A"/>
    <w:rsid w:val="00C54572"/>
    <w:rsid w:val="00C5459E"/>
    <w:rsid w:val="00C54619"/>
    <w:rsid w:val="00C5467A"/>
    <w:rsid w:val="00C5468D"/>
    <w:rsid w:val="00C546D5"/>
    <w:rsid w:val="00C54703"/>
    <w:rsid w:val="00C54731"/>
    <w:rsid w:val="00C54816"/>
    <w:rsid w:val="00C54878"/>
    <w:rsid w:val="00C5487D"/>
    <w:rsid w:val="00C548BB"/>
    <w:rsid w:val="00C54917"/>
    <w:rsid w:val="00C549F6"/>
    <w:rsid w:val="00C54B7D"/>
    <w:rsid w:val="00C54B82"/>
    <w:rsid w:val="00C54D6C"/>
    <w:rsid w:val="00C54DF9"/>
    <w:rsid w:val="00C54E66"/>
    <w:rsid w:val="00C55003"/>
    <w:rsid w:val="00C55014"/>
    <w:rsid w:val="00C550E3"/>
    <w:rsid w:val="00C5521C"/>
    <w:rsid w:val="00C552CA"/>
    <w:rsid w:val="00C553C5"/>
    <w:rsid w:val="00C5547E"/>
    <w:rsid w:val="00C55483"/>
    <w:rsid w:val="00C554F2"/>
    <w:rsid w:val="00C55588"/>
    <w:rsid w:val="00C555A0"/>
    <w:rsid w:val="00C55605"/>
    <w:rsid w:val="00C5588D"/>
    <w:rsid w:val="00C558B8"/>
    <w:rsid w:val="00C559E7"/>
    <w:rsid w:val="00C559F5"/>
    <w:rsid w:val="00C55A12"/>
    <w:rsid w:val="00C55A48"/>
    <w:rsid w:val="00C55AE0"/>
    <w:rsid w:val="00C55B48"/>
    <w:rsid w:val="00C55BCB"/>
    <w:rsid w:val="00C55C58"/>
    <w:rsid w:val="00C55CB0"/>
    <w:rsid w:val="00C55CBD"/>
    <w:rsid w:val="00C55DBA"/>
    <w:rsid w:val="00C55EC4"/>
    <w:rsid w:val="00C55ECC"/>
    <w:rsid w:val="00C55F32"/>
    <w:rsid w:val="00C55FDA"/>
    <w:rsid w:val="00C56248"/>
    <w:rsid w:val="00C5642F"/>
    <w:rsid w:val="00C56475"/>
    <w:rsid w:val="00C565B1"/>
    <w:rsid w:val="00C56679"/>
    <w:rsid w:val="00C568BA"/>
    <w:rsid w:val="00C568C9"/>
    <w:rsid w:val="00C56966"/>
    <w:rsid w:val="00C569A7"/>
    <w:rsid w:val="00C569CD"/>
    <w:rsid w:val="00C56A6E"/>
    <w:rsid w:val="00C56BB6"/>
    <w:rsid w:val="00C56C42"/>
    <w:rsid w:val="00C56CB6"/>
    <w:rsid w:val="00C56CD6"/>
    <w:rsid w:val="00C56D60"/>
    <w:rsid w:val="00C56D95"/>
    <w:rsid w:val="00C56DC4"/>
    <w:rsid w:val="00C570AC"/>
    <w:rsid w:val="00C5718D"/>
    <w:rsid w:val="00C57245"/>
    <w:rsid w:val="00C57338"/>
    <w:rsid w:val="00C5737A"/>
    <w:rsid w:val="00C5737C"/>
    <w:rsid w:val="00C573EA"/>
    <w:rsid w:val="00C57421"/>
    <w:rsid w:val="00C57480"/>
    <w:rsid w:val="00C57631"/>
    <w:rsid w:val="00C57639"/>
    <w:rsid w:val="00C57721"/>
    <w:rsid w:val="00C57733"/>
    <w:rsid w:val="00C5787A"/>
    <w:rsid w:val="00C5798D"/>
    <w:rsid w:val="00C579BB"/>
    <w:rsid w:val="00C57A56"/>
    <w:rsid w:val="00C57B9D"/>
    <w:rsid w:val="00C57C78"/>
    <w:rsid w:val="00C57E00"/>
    <w:rsid w:val="00C57E5E"/>
    <w:rsid w:val="00C57E84"/>
    <w:rsid w:val="00C57F1C"/>
    <w:rsid w:val="00C60059"/>
    <w:rsid w:val="00C600B3"/>
    <w:rsid w:val="00C60144"/>
    <w:rsid w:val="00C601A3"/>
    <w:rsid w:val="00C60207"/>
    <w:rsid w:val="00C60377"/>
    <w:rsid w:val="00C60499"/>
    <w:rsid w:val="00C6056D"/>
    <w:rsid w:val="00C60576"/>
    <w:rsid w:val="00C60604"/>
    <w:rsid w:val="00C60677"/>
    <w:rsid w:val="00C606FF"/>
    <w:rsid w:val="00C6075F"/>
    <w:rsid w:val="00C607B0"/>
    <w:rsid w:val="00C60837"/>
    <w:rsid w:val="00C60867"/>
    <w:rsid w:val="00C60913"/>
    <w:rsid w:val="00C60948"/>
    <w:rsid w:val="00C60A3A"/>
    <w:rsid w:val="00C60A96"/>
    <w:rsid w:val="00C60B4F"/>
    <w:rsid w:val="00C60B5B"/>
    <w:rsid w:val="00C60C96"/>
    <w:rsid w:val="00C60CD5"/>
    <w:rsid w:val="00C60D27"/>
    <w:rsid w:val="00C60DEE"/>
    <w:rsid w:val="00C60E3F"/>
    <w:rsid w:val="00C60F26"/>
    <w:rsid w:val="00C60FC4"/>
    <w:rsid w:val="00C60FE5"/>
    <w:rsid w:val="00C6102A"/>
    <w:rsid w:val="00C61075"/>
    <w:rsid w:val="00C61117"/>
    <w:rsid w:val="00C61190"/>
    <w:rsid w:val="00C6128E"/>
    <w:rsid w:val="00C61299"/>
    <w:rsid w:val="00C612EA"/>
    <w:rsid w:val="00C61318"/>
    <w:rsid w:val="00C61385"/>
    <w:rsid w:val="00C61415"/>
    <w:rsid w:val="00C614FB"/>
    <w:rsid w:val="00C6154D"/>
    <w:rsid w:val="00C615D1"/>
    <w:rsid w:val="00C615FD"/>
    <w:rsid w:val="00C61719"/>
    <w:rsid w:val="00C6175F"/>
    <w:rsid w:val="00C61776"/>
    <w:rsid w:val="00C61869"/>
    <w:rsid w:val="00C6187C"/>
    <w:rsid w:val="00C618C9"/>
    <w:rsid w:val="00C61942"/>
    <w:rsid w:val="00C619B8"/>
    <w:rsid w:val="00C61A50"/>
    <w:rsid w:val="00C61B79"/>
    <w:rsid w:val="00C61BD4"/>
    <w:rsid w:val="00C61BDC"/>
    <w:rsid w:val="00C61BF0"/>
    <w:rsid w:val="00C61E19"/>
    <w:rsid w:val="00C61E33"/>
    <w:rsid w:val="00C61FA2"/>
    <w:rsid w:val="00C61FDB"/>
    <w:rsid w:val="00C61FE4"/>
    <w:rsid w:val="00C62169"/>
    <w:rsid w:val="00C621A0"/>
    <w:rsid w:val="00C62223"/>
    <w:rsid w:val="00C62227"/>
    <w:rsid w:val="00C6223A"/>
    <w:rsid w:val="00C62401"/>
    <w:rsid w:val="00C6241A"/>
    <w:rsid w:val="00C62435"/>
    <w:rsid w:val="00C62472"/>
    <w:rsid w:val="00C624DE"/>
    <w:rsid w:val="00C6255A"/>
    <w:rsid w:val="00C625C2"/>
    <w:rsid w:val="00C625E9"/>
    <w:rsid w:val="00C62652"/>
    <w:rsid w:val="00C6282F"/>
    <w:rsid w:val="00C628CC"/>
    <w:rsid w:val="00C6295F"/>
    <w:rsid w:val="00C62A28"/>
    <w:rsid w:val="00C62AAB"/>
    <w:rsid w:val="00C62AF0"/>
    <w:rsid w:val="00C62B09"/>
    <w:rsid w:val="00C62B15"/>
    <w:rsid w:val="00C62B70"/>
    <w:rsid w:val="00C62BE4"/>
    <w:rsid w:val="00C62C45"/>
    <w:rsid w:val="00C62CA6"/>
    <w:rsid w:val="00C62CAE"/>
    <w:rsid w:val="00C62D68"/>
    <w:rsid w:val="00C62E01"/>
    <w:rsid w:val="00C62FCA"/>
    <w:rsid w:val="00C62FD9"/>
    <w:rsid w:val="00C62FEC"/>
    <w:rsid w:val="00C63110"/>
    <w:rsid w:val="00C631E7"/>
    <w:rsid w:val="00C6322C"/>
    <w:rsid w:val="00C6325F"/>
    <w:rsid w:val="00C63296"/>
    <w:rsid w:val="00C63368"/>
    <w:rsid w:val="00C633F8"/>
    <w:rsid w:val="00C6344F"/>
    <w:rsid w:val="00C63489"/>
    <w:rsid w:val="00C635B9"/>
    <w:rsid w:val="00C63661"/>
    <w:rsid w:val="00C6368F"/>
    <w:rsid w:val="00C636EA"/>
    <w:rsid w:val="00C63774"/>
    <w:rsid w:val="00C6378D"/>
    <w:rsid w:val="00C637E6"/>
    <w:rsid w:val="00C63849"/>
    <w:rsid w:val="00C63943"/>
    <w:rsid w:val="00C6395A"/>
    <w:rsid w:val="00C63987"/>
    <w:rsid w:val="00C6398F"/>
    <w:rsid w:val="00C63A7F"/>
    <w:rsid w:val="00C63ADD"/>
    <w:rsid w:val="00C63BE2"/>
    <w:rsid w:val="00C63C06"/>
    <w:rsid w:val="00C63C3A"/>
    <w:rsid w:val="00C63C72"/>
    <w:rsid w:val="00C63CF1"/>
    <w:rsid w:val="00C63CFA"/>
    <w:rsid w:val="00C63EF6"/>
    <w:rsid w:val="00C63F20"/>
    <w:rsid w:val="00C640A6"/>
    <w:rsid w:val="00C6415B"/>
    <w:rsid w:val="00C64187"/>
    <w:rsid w:val="00C64295"/>
    <w:rsid w:val="00C6452A"/>
    <w:rsid w:val="00C645F7"/>
    <w:rsid w:val="00C64697"/>
    <w:rsid w:val="00C64701"/>
    <w:rsid w:val="00C64715"/>
    <w:rsid w:val="00C6472C"/>
    <w:rsid w:val="00C647E4"/>
    <w:rsid w:val="00C64813"/>
    <w:rsid w:val="00C6491A"/>
    <w:rsid w:val="00C6494F"/>
    <w:rsid w:val="00C64A2C"/>
    <w:rsid w:val="00C64B3B"/>
    <w:rsid w:val="00C64B42"/>
    <w:rsid w:val="00C64B8F"/>
    <w:rsid w:val="00C64C24"/>
    <w:rsid w:val="00C64CC5"/>
    <w:rsid w:val="00C64CDA"/>
    <w:rsid w:val="00C64D59"/>
    <w:rsid w:val="00C64D77"/>
    <w:rsid w:val="00C64D8D"/>
    <w:rsid w:val="00C64DAD"/>
    <w:rsid w:val="00C64E1A"/>
    <w:rsid w:val="00C64EBA"/>
    <w:rsid w:val="00C64EF3"/>
    <w:rsid w:val="00C64F0F"/>
    <w:rsid w:val="00C64F10"/>
    <w:rsid w:val="00C64F94"/>
    <w:rsid w:val="00C64FBC"/>
    <w:rsid w:val="00C65025"/>
    <w:rsid w:val="00C650DD"/>
    <w:rsid w:val="00C65112"/>
    <w:rsid w:val="00C6523F"/>
    <w:rsid w:val="00C65250"/>
    <w:rsid w:val="00C652D5"/>
    <w:rsid w:val="00C653D3"/>
    <w:rsid w:val="00C653E5"/>
    <w:rsid w:val="00C65453"/>
    <w:rsid w:val="00C65603"/>
    <w:rsid w:val="00C65637"/>
    <w:rsid w:val="00C65656"/>
    <w:rsid w:val="00C65774"/>
    <w:rsid w:val="00C65825"/>
    <w:rsid w:val="00C658A6"/>
    <w:rsid w:val="00C6597C"/>
    <w:rsid w:val="00C65A6F"/>
    <w:rsid w:val="00C65B13"/>
    <w:rsid w:val="00C65B62"/>
    <w:rsid w:val="00C65CD8"/>
    <w:rsid w:val="00C65D08"/>
    <w:rsid w:val="00C65D33"/>
    <w:rsid w:val="00C65D3A"/>
    <w:rsid w:val="00C65D3F"/>
    <w:rsid w:val="00C65DA5"/>
    <w:rsid w:val="00C65DE4"/>
    <w:rsid w:val="00C65E99"/>
    <w:rsid w:val="00C65EA0"/>
    <w:rsid w:val="00C65F30"/>
    <w:rsid w:val="00C65F3A"/>
    <w:rsid w:val="00C65FA0"/>
    <w:rsid w:val="00C6627B"/>
    <w:rsid w:val="00C66301"/>
    <w:rsid w:val="00C663BC"/>
    <w:rsid w:val="00C663E2"/>
    <w:rsid w:val="00C6652C"/>
    <w:rsid w:val="00C6654C"/>
    <w:rsid w:val="00C665EB"/>
    <w:rsid w:val="00C6665A"/>
    <w:rsid w:val="00C666F3"/>
    <w:rsid w:val="00C66802"/>
    <w:rsid w:val="00C66858"/>
    <w:rsid w:val="00C66918"/>
    <w:rsid w:val="00C6691C"/>
    <w:rsid w:val="00C669C5"/>
    <w:rsid w:val="00C669D6"/>
    <w:rsid w:val="00C66B1B"/>
    <w:rsid w:val="00C66B44"/>
    <w:rsid w:val="00C66B90"/>
    <w:rsid w:val="00C66F09"/>
    <w:rsid w:val="00C66F73"/>
    <w:rsid w:val="00C67068"/>
    <w:rsid w:val="00C6709C"/>
    <w:rsid w:val="00C671EF"/>
    <w:rsid w:val="00C67202"/>
    <w:rsid w:val="00C672D4"/>
    <w:rsid w:val="00C6731A"/>
    <w:rsid w:val="00C67456"/>
    <w:rsid w:val="00C675B9"/>
    <w:rsid w:val="00C676D1"/>
    <w:rsid w:val="00C67725"/>
    <w:rsid w:val="00C677C0"/>
    <w:rsid w:val="00C677DE"/>
    <w:rsid w:val="00C6780E"/>
    <w:rsid w:val="00C67879"/>
    <w:rsid w:val="00C67892"/>
    <w:rsid w:val="00C679FC"/>
    <w:rsid w:val="00C67AD3"/>
    <w:rsid w:val="00C67AFE"/>
    <w:rsid w:val="00C67B0A"/>
    <w:rsid w:val="00C67B59"/>
    <w:rsid w:val="00C67B5F"/>
    <w:rsid w:val="00C67BE5"/>
    <w:rsid w:val="00C67C2F"/>
    <w:rsid w:val="00C67D0A"/>
    <w:rsid w:val="00C67D31"/>
    <w:rsid w:val="00C67EF3"/>
    <w:rsid w:val="00C67FA8"/>
    <w:rsid w:val="00C67FD3"/>
    <w:rsid w:val="00C700AE"/>
    <w:rsid w:val="00C700BD"/>
    <w:rsid w:val="00C701A9"/>
    <w:rsid w:val="00C701B2"/>
    <w:rsid w:val="00C701DD"/>
    <w:rsid w:val="00C70202"/>
    <w:rsid w:val="00C70264"/>
    <w:rsid w:val="00C70330"/>
    <w:rsid w:val="00C70464"/>
    <w:rsid w:val="00C7048E"/>
    <w:rsid w:val="00C704B9"/>
    <w:rsid w:val="00C704CC"/>
    <w:rsid w:val="00C704D8"/>
    <w:rsid w:val="00C704EA"/>
    <w:rsid w:val="00C7065C"/>
    <w:rsid w:val="00C706D8"/>
    <w:rsid w:val="00C7078D"/>
    <w:rsid w:val="00C707C0"/>
    <w:rsid w:val="00C707EC"/>
    <w:rsid w:val="00C70900"/>
    <w:rsid w:val="00C7090D"/>
    <w:rsid w:val="00C70AF3"/>
    <w:rsid w:val="00C70B54"/>
    <w:rsid w:val="00C70BB6"/>
    <w:rsid w:val="00C70C16"/>
    <w:rsid w:val="00C70CDC"/>
    <w:rsid w:val="00C70D82"/>
    <w:rsid w:val="00C70E47"/>
    <w:rsid w:val="00C70E5D"/>
    <w:rsid w:val="00C70E9D"/>
    <w:rsid w:val="00C70ED5"/>
    <w:rsid w:val="00C70F7F"/>
    <w:rsid w:val="00C71024"/>
    <w:rsid w:val="00C71068"/>
    <w:rsid w:val="00C710F6"/>
    <w:rsid w:val="00C710FB"/>
    <w:rsid w:val="00C7110C"/>
    <w:rsid w:val="00C7112C"/>
    <w:rsid w:val="00C71159"/>
    <w:rsid w:val="00C7118A"/>
    <w:rsid w:val="00C711F4"/>
    <w:rsid w:val="00C71300"/>
    <w:rsid w:val="00C71378"/>
    <w:rsid w:val="00C713D7"/>
    <w:rsid w:val="00C7141C"/>
    <w:rsid w:val="00C71437"/>
    <w:rsid w:val="00C71442"/>
    <w:rsid w:val="00C7146E"/>
    <w:rsid w:val="00C7150A"/>
    <w:rsid w:val="00C71614"/>
    <w:rsid w:val="00C71646"/>
    <w:rsid w:val="00C71758"/>
    <w:rsid w:val="00C717E9"/>
    <w:rsid w:val="00C717FA"/>
    <w:rsid w:val="00C71971"/>
    <w:rsid w:val="00C7198F"/>
    <w:rsid w:val="00C719E4"/>
    <w:rsid w:val="00C71AD0"/>
    <w:rsid w:val="00C71AE5"/>
    <w:rsid w:val="00C71AF8"/>
    <w:rsid w:val="00C71B33"/>
    <w:rsid w:val="00C71C4D"/>
    <w:rsid w:val="00C71C57"/>
    <w:rsid w:val="00C71D49"/>
    <w:rsid w:val="00C71DE7"/>
    <w:rsid w:val="00C71E64"/>
    <w:rsid w:val="00C71EEF"/>
    <w:rsid w:val="00C71FB8"/>
    <w:rsid w:val="00C72088"/>
    <w:rsid w:val="00C7216A"/>
    <w:rsid w:val="00C721CA"/>
    <w:rsid w:val="00C7221C"/>
    <w:rsid w:val="00C722B0"/>
    <w:rsid w:val="00C722E5"/>
    <w:rsid w:val="00C7234E"/>
    <w:rsid w:val="00C723C1"/>
    <w:rsid w:val="00C7246A"/>
    <w:rsid w:val="00C724DE"/>
    <w:rsid w:val="00C725BF"/>
    <w:rsid w:val="00C72640"/>
    <w:rsid w:val="00C726AD"/>
    <w:rsid w:val="00C726B7"/>
    <w:rsid w:val="00C72780"/>
    <w:rsid w:val="00C72865"/>
    <w:rsid w:val="00C729BE"/>
    <w:rsid w:val="00C72AA7"/>
    <w:rsid w:val="00C72AB9"/>
    <w:rsid w:val="00C72B0C"/>
    <w:rsid w:val="00C72CC5"/>
    <w:rsid w:val="00C72E11"/>
    <w:rsid w:val="00C72E23"/>
    <w:rsid w:val="00C72E39"/>
    <w:rsid w:val="00C72EEA"/>
    <w:rsid w:val="00C72F20"/>
    <w:rsid w:val="00C72F31"/>
    <w:rsid w:val="00C72F53"/>
    <w:rsid w:val="00C72FFE"/>
    <w:rsid w:val="00C7301D"/>
    <w:rsid w:val="00C73131"/>
    <w:rsid w:val="00C73159"/>
    <w:rsid w:val="00C73181"/>
    <w:rsid w:val="00C73439"/>
    <w:rsid w:val="00C73512"/>
    <w:rsid w:val="00C735D8"/>
    <w:rsid w:val="00C735E6"/>
    <w:rsid w:val="00C7367D"/>
    <w:rsid w:val="00C736BA"/>
    <w:rsid w:val="00C73724"/>
    <w:rsid w:val="00C73782"/>
    <w:rsid w:val="00C73791"/>
    <w:rsid w:val="00C73872"/>
    <w:rsid w:val="00C738DE"/>
    <w:rsid w:val="00C7391B"/>
    <w:rsid w:val="00C73A03"/>
    <w:rsid w:val="00C73A16"/>
    <w:rsid w:val="00C73A34"/>
    <w:rsid w:val="00C73A38"/>
    <w:rsid w:val="00C73A7A"/>
    <w:rsid w:val="00C73ACC"/>
    <w:rsid w:val="00C73B1F"/>
    <w:rsid w:val="00C73B2B"/>
    <w:rsid w:val="00C73B8C"/>
    <w:rsid w:val="00C73BCE"/>
    <w:rsid w:val="00C73C57"/>
    <w:rsid w:val="00C73CED"/>
    <w:rsid w:val="00C73D67"/>
    <w:rsid w:val="00C73F58"/>
    <w:rsid w:val="00C73FCA"/>
    <w:rsid w:val="00C73FF0"/>
    <w:rsid w:val="00C73FFD"/>
    <w:rsid w:val="00C740DC"/>
    <w:rsid w:val="00C74198"/>
    <w:rsid w:val="00C741DD"/>
    <w:rsid w:val="00C74223"/>
    <w:rsid w:val="00C74241"/>
    <w:rsid w:val="00C74312"/>
    <w:rsid w:val="00C74323"/>
    <w:rsid w:val="00C74391"/>
    <w:rsid w:val="00C743F9"/>
    <w:rsid w:val="00C7445F"/>
    <w:rsid w:val="00C744E9"/>
    <w:rsid w:val="00C746FA"/>
    <w:rsid w:val="00C74774"/>
    <w:rsid w:val="00C7481B"/>
    <w:rsid w:val="00C7493B"/>
    <w:rsid w:val="00C74A59"/>
    <w:rsid w:val="00C74A78"/>
    <w:rsid w:val="00C74A7E"/>
    <w:rsid w:val="00C74A9E"/>
    <w:rsid w:val="00C74D0F"/>
    <w:rsid w:val="00C74D46"/>
    <w:rsid w:val="00C74F00"/>
    <w:rsid w:val="00C74F2F"/>
    <w:rsid w:val="00C74F44"/>
    <w:rsid w:val="00C74FD5"/>
    <w:rsid w:val="00C75025"/>
    <w:rsid w:val="00C75033"/>
    <w:rsid w:val="00C75172"/>
    <w:rsid w:val="00C751C0"/>
    <w:rsid w:val="00C751CC"/>
    <w:rsid w:val="00C7520F"/>
    <w:rsid w:val="00C754A2"/>
    <w:rsid w:val="00C754DA"/>
    <w:rsid w:val="00C754E8"/>
    <w:rsid w:val="00C754F0"/>
    <w:rsid w:val="00C756EF"/>
    <w:rsid w:val="00C7584D"/>
    <w:rsid w:val="00C7589C"/>
    <w:rsid w:val="00C75958"/>
    <w:rsid w:val="00C759FC"/>
    <w:rsid w:val="00C75A26"/>
    <w:rsid w:val="00C75A84"/>
    <w:rsid w:val="00C75BCF"/>
    <w:rsid w:val="00C75C0B"/>
    <w:rsid w:val="00C75C20"/>
    <w:rsid w:val="00C75DA5"/>
    <w:rsid w:val="00C75EC0"/>
    <w:rsid w:val="00C75ECE"/>
    <w:rsid w:val="00C760EC"/>
    <w:rsid w:val="00C7617F"/>
    <w:rsid w:val="00C76193"/>
    <w:rsid w:val="00C76244"/>
    <w:rsid w:val="00C7629C"/>
    <w:rsid w:val="00C76333"/>
    <w:rsid w:val="00C76358"/>
    <w:rsid w:val="00C7635D"/>
    <w:rsid w:val="00C76591"/>
    <w:rsid w:val="00C76653"/>
    <w:rsid w:val="00C766D3"/>
    <w:rsid w:val="00C767B3"/>
    <w:rsid w:val="00C767E5"/>
    <w:rsid w:val="00C76970"/>
    <w:rsid w:val="00C769B3"/>
    <w:rsid w:val="00C76B1B"/>
    <w:rsid w:val="00C76B83"/>
    <w:rsid w:val="00C76BEC"/>
    <w:rsid w:val="00C76BF0"/>
    <w:rsid w:val="00C76BF8"/>
    <w:rsid w:val="00C76C1B"/>
    <w:rsid w:val="00C76C97"/>
    <w:rsid w:val="00C76D56"/>
    <w:rsid w:val="00C76ECD"/>
    <w:rsid w:val="00C76ED3"/>
    <w:rsid w:val="00C7703E"/>
    <w:rsid w:val="00C77048"/>
    <w:rsid w:val="00C7707D"/>
    <w:rsid w:val="00C770AD"/>
    <w:rsid w:val="00C7710D"/>
    <w:rsid w:val="00C771A6"/>
    <w:rsid w:val="00C771FF"/>
    <w:rsid w:val="00C77279"/>
    <w:rsid w:val="00C77392"/>
    <w:rsid w:val="00C77403"/>
    <w:rsid w:val="00C77438"/>
    <w:rsid w:val="00C77444"/>
    <w:rsid w:val="00C7748A"/>
    <w:rsid w:val="00C774F3"/>
    <w:rsid w:val="00C77638"/>
    <w:rsid w:val="00C776B5"/>
    <w:rsid w:val="00C776CC"/>
    <w:rsid w:val="00C77B8C"/>
    <w:rsid w:val="00C77C3F"/>
    <w:rsid w:val="00C77C7A"/>
    <w:rsid w:val="00C77D25"/>
    <w:rsid w:val="00C77E4E"/>
    <w:rsid w:val="00C77F8B"/>
    <w:rsid w:val="00C77F92"/>
    <w:rsid w:val="00C8001A"/>
    <w:rsid w:val="00C8004C"/>
    <w:rsid w:val="00C80050"/>
    <w:rsid w:val="00C800A5"/>
    <w:rsid w:val="00C80125"/>
    <w:rsid w:val="00C80209"/>
    <w:rsid w:val="00C8028F"/>
    <w:rsid w:val="00C803BB"/>
    <w:rsid w:val="00C8046C"/>
    <w:rsid w:val="00C804CB"/>
    <w:rsid w:val="00C804DF"/>
    <w:rsid w:val="00C804E6"/>
    <w:rsid w:val="00C80504"/>
    <w:rsid w:val="00C80537"/>
    <w:rsid w:val="00C805C4"/>
    <w:rsid w:val="00C805F2"/>
    <w:rsid w:val="00C806E1"/>
    <w:rsid w:val="00C80775"/>
    <w:rsid w:val="00C8077D"/>
    <w:rsid w:val="00C8080B"/>
    <w:rsid w:val="00C80829"/>
    <w:rsid w:val="00C80936"/>
    <w:rsid w:val="00C80984"/>
    <w:rsid w:val="00C80A01"/>
    <w:rsid w:val="00C80A2E"/>
    <w:rsid w:val="00C80A51"/>
    <w:rsid w:val="00C80A7E"/>
    <w:rsid w:val="00C80AC5"/>
    <w:rsid w:val="00C80BAE"/>
    <w:rsid w:val="00C80BC3"/>
    <w:rsid w:val="00C80C0B"/>
    <w:rsid w:val="00C80C13"/>
    <w:rsid w:val="00C80DBC"/>
    <w:rsid w:val="00C80E08"/>
    <w:rsid w:val="00C80E3A"/>
    <w:rsid w:val="00C80E79"/>
    <w:rsid w:val="00C80EE2"/>
    <w:rsid w:val="00C80F92"/>
    <w:rsid w:val="00C81033"/>
    <w:rsid w:val="00C81355"/>
    <w:rsid w:val="00C81370"/>
    <w:rsid w:val="00C81394"/>
    <w:rsid w:val="00C8139C"/>
    <w:rsid w:val="00C813E3"/>
    <w:rsid w:val="00C8142D"/>
    <w:rsid w:val="00C81452"/>
    <w:rsid w:val="00C81603"/>
    <w:rsid w:val="00C81639"/>
    <w:rsid w:val="00C8163A"/>
    <w:rsid w:val="00C8165A"/>
    <w:rsid w:val="00C81827"/>
    <w:rsid w:val="00C818A7"/>
    <w:rsid w:val="00C81A0C"/>
    <w:rsid w:val="00C81A26"/>
    <w:rsid w:val="00C81A5A"/>
    <w:rsid w:val="00C81A7E"/>
    <w:rsid w:val="00C81B2E"/>
    <w:rsid w:val="00C81B30"/>
    <w:rsid w:val="00C81CA4"/>
    <w:rsid w:val="00C81DFE"/>
    <w:rsid w:val="00C81FA8"/>
    <w:rsid w:val="00C81FD3"/>
    <w:rsid w:val="00C82179"/>
    <w:rsid w:val="00C82259"/>
    <w:rsid w:val="00C822C5"/>
    <w:rsid w:val="00C8234C"/>
    <w:rsid w:val="00C823D4"/>
    <w:rsid w:val="00C82426"/>
    <w:rsid w:val="00C824E5"/>
    <w:rsid w:val="00C824F8"/>
    <w:rsid w:val="00C827B9"/>
    <w:rsid w:val="00C827C0"/>
    <w:rsid w:val="00C8289D"/>
    <w:rsid w:val="00C828D5"/>
    <w:rsid w:val="00C82974"/>
    <w:rsid w:val="00C829BB"/>
    <w:rsid w:val="00C82AD9"/>
    <w:rsid w:val="00C82BA0"/>
    <w:rsid w:val="00C82BB8"/>
    <w:rsid w:val="00C82BFD"/>
    <w:rsid w:val="00C82C80"/>
    <w:rsid w:val="00C82CB0"/>
    <w:rsid w:val="00C82D54"/>
    <w:rsid w:val="00C82DF3"/>
    <w:rsid w:val="00C82E60"/>
    <w:rsid w:val="00C82E7E"/>
    <w:rsid w:val="00C82F04"/>
    <w:rsid w:val="00C82F1C"/>
    <w:rsid w:val="00C82F1F"/>
    <w:rsid w:val="00C82F82"/>
    <w:rsid w:val="00C8304D"/>
    <w:rsid w:val="00C83057"/>
    <w:rsid w:val="00C83058"/>
    <w:rsid w:val="00C8305D"/>
    <w:rsid w:val="00C830D6"/>
    <w:rsid w:val="00C83271"/>
    <w:rsid w:val="00C8333B"/>
    <w:rsid w:val="00C83366"/>
    <w:rsid w:val="00C833CE"/>
    <w:rsid w:val="00C83461"/>
    <w:rsid w:val="00C834E0"/>
    <w:rsid w:val="00C8356F"/>
    <w:rsid w:val="00C83585"/>
    <w:rsid w:val="00C8363A"/>
    <w:rsid w:val="00C8374E"/>
    <w:rsid w:val="00C837AE"/>
    <w:rsid w:val="00C838AC"/>
    <w:rsid w:val="00C839E8"/>
    <w:rsid w:val="00C83A44"/>
    <w:rsid w:val="00C83B20"/>
    <w:rsid w:val="00C83B8F"/>
    <w:rsid w:val="00C83B96"/>
    <w:rsid w:val="00C83B9C"/>
    <w:rsid w:val="00C83CCB"/>
    <w:rsid w:val="00C83D06"/>
    <w:rsid w:val="00C83D65"/>
    <w:rsid w:val="00C83D96"/>
    <w:rsid w:val="00C83E97"/>
    <w:rsid w:val="00C83F7E"/>
    <w:rsid w:val="00C83F9D"/>
    <w:rsid w:val="00C8411D"/>
    <w:rsid w:val="00C84194"/>
    <w:rsid w:val="00C84198"/>
    <w:rsid w:val="00C841DA"/>
    <w:rsid w:val="00C842B8"/>
    <w:rsid w:val="00C84319"/>
    <w:rsid w:val="00C84360"/>
    <w:rsid w:val="00C843A7"/>
    <w:rsid w:val="00C843BA"/>
    <w:rsid w:val="00C844C2"/>
    <w:rsid w:val="00C844E6"/>
    <w:rsid w:val="00C84570"/>
    <w:rsid w:val="00C845D1"/>
    <w:rsid w:val="00C845EF"/>
    <w:rsid w:val="00C84671"/>
    <w:rsid w:val="00C846F2"/>
    <w:rsid w:val="00C8470A"/>
    <w:rsid w:val="00C84734"/>
    <w:rsid w:val="00C84758"/>
    <w:rsid w:val="00C8488C"/>
    <w:rsid w:val="00C848E3"/>
    <w:rsid w:val="00C8498B"/>
    <w:rsid w:val="00C849C8"/>
    <w:rsid w:val="00C84A02"/>
    <w:rsid w:val="00C84A97"/>
    <w:rsid w:val="00C84AA4"/>
    <w:rsid w:val="00C84B1D"/>
    <w:rsid w:val="00C84C0C"/>
    <w:rsid w:val="00C84C1B"/>
    <w:rsid w:val="00C84C21"/>
    <w:rsid w:val="00C84DA2"/>
    <w:rsid w:val="00C84EE8"/>
    <w:rsid w:val="00C850D0"/>
    <w:rsid w:val="00C850E4"/>
    <w:rsid w:val="00C85107"/>
    <w:rsid w:val="00C8517A"/>
    <w:rsid w:val="00C851B2"/>
    <w:rsid w:val="00C851E1"/>
    <w:rsid w:val="00C851F5"/>
    <w:rsid w:val="00C85248"/>
    <w:rsid w:val="00C852B0"/>
    <w:rsid w:val="00C853CE"/>
    <w:rsid w:val="00C85559"/>
    <w:rsid w:val="00C856A6"/>
    <w:rsid w:val="00C856F4"/>
    <w:rsid w:val="00C8587D"/>
    <w:rsid w:val="00C85892"/>
    <w:rsid w:val="00C85914"/>
    <w:rsid w:val="00C85A3C"/>
    <w:rsid w:val="00C85A8E"/>
    <w:rsid w:val="00C85CA8"/>
    <w:rsid w:val="00C85E1D"/>
    <w:rsid w:val="00C85E4E"/>
    <w:rsid w:val="00C85ED3"/>
    <w:rsid w:val="00C85F95"/>
    <w:rsid w:val="00C860C3"/>
    <w:rsid w:val="00C861EF"/>
    <w:rsid w:val="00C86263"/>
    <w:rsid w:val="00C86271"/>
    <w:rsid w:val="00C863CA"/>
    <w:rsid w:val="00C864A8"/>
    <w:rsid w:val="00C86603"/>
    <w:rsid w:val="00C86629"/>
    <w:rsid w:val="00C86691"/>
    <w:rsid w:val="00C86713"/>
    <w:rsid w:val="00C86766"/>
    <w:rsid w:val="00C867C7"/>
    <w:rsid w:val="00C8680F"/>
    <w:rsid w:val="00C86832"/>
    <w:rsid w:val="00C8683B"/>
    <w:rsid w:val="00C86841"/>
    <w:rsid w:val="00C868B7"/>
    <w:rsid w:val="00C8696F"/>
    <w:rsid w:val="00C86975"/>
    <w:rsid w:val="00C869D3"/>
    <w:rsid w:val="00C869E7"/>
    <w:rsid w:val="00C869F6"/>
    <w:rsid w:val="00C86A22"/>
    <w:rsid w:val="00C86A35"/>
    <w:rsid w:val="00C86A9E"/>
    <w:rsid w:val="00C86C40"/>
    <w:rsid w:val="00C86C95"/>
    <w:rsid w:val="00C86CA7"/>
    <w:rsid w:val="00C86CAE"/>
    <w:rsid w:val="00C86CEF"/>
    <w:rsid w:val="00C86D22"/>
    <w:rsid w:val="00C86D9A"/>
    <w:rsid w:val="00C86E69"/>
    <w:rsid w:val="00C86E88"/>
    <w:rsid w:val="00C86EE8"/>
    <w:rsid w:val="00C86F1C"/>
    <w:rsid w:val="00C86F37"/>
    <w:rsid w:val="00C86F83"/>
    <w:rsid w:val="00C87046"/>
    <w:rsid w:val="00C87092"/>
    <w:rsid w:val="00C870A5"/>
    <w:rsid w:val="00C870C0"/>
    <w:rsid w:val="00C87141"/>
    <w:rsid w:val="00C87186"/>
    <w:rsid w:val="00C87259"/>
    <w:rsid w:val="00C872EC"/>
    <w:rsid w:val="00C874A7"/>
    <w:rsid w:val="00C874C9"/>
    <w:rsid w:val="00C875D2"/>
    <w:rsid w:val="00C87626"/>
    <w:rsid w:val="00C87628"/>
    <w:rsid w:val="00C877A3"/>
    <w:rsid w:val="00C87804"/>
    <w:rsid w:val="00C87841"/>
    <w:rsid w:val="00C878F8"/>
    <w:rsid w:val="00C87952"/>
    <w:rsid w:val="00C8798A"/>
    <w:rsid w:val="00C87A77"/>
    <w:rsid w:val="00C87AE8"/>
    <w:rsid w:val="00C87AF2"/>
    <w:rsid w:val="00C87B1E"/>
    <w:rsid w:val="00C87C46"/>
    <w:rsid w:val="00C87C66"/>
    <w:rsid w:val="00C87CC9"/>
    <w:rsid w:val="00C87CD5"/>
    <w:rsid w:val="00C87DB5"/>
    <w:rsid w:val="00C87F2D"/>
    <w:rsid w:val="00C87F59"/>
    <w:rsid w:val="00C90024"/>
    <w:rsid w:val="00C90112"/>
    <w:rsid w:val="00C90115"/>
    <w:rsid w:val="00C901BC"/>
    <w:rsid w:val="00C901F1"/>
    <w:rsid w:val="00C90218"/>
    <w:rsid w:val="00C9042E"/>
    <w:rsid w:val="00C905C0"/>
    <w:rsid w:val="00C905EC"/>
    <w:rsid w:val="00C90652"/>
    <w:rsid w:val="00C907E8"/>
    <w:rsid w:val="00C908D3"/>
    <w:rsid w:val="00C908E9"/>
    <w:rsid w:val="00C90964"/>
    <w:rsid w:val="00C909B9"/>
    <w:rsid w:val="00C90A38"/>
    <w:rsid w:val="00C90AD3"/>
    <w:rsid w:val="00C90C60"/>
    <w:rsid w:val="00C90C99"/>
    <w:rsid w:val="00C90ED5"/>
    <w:rsid w:val="00C90F7A"/>
    <w:rsid w:val="00C90FF3"/>
    <w:rsid w:val="00C9112E"/>
    <w:rsid w:val="00C9115B"/>
    <w:rsid w:val="00C91177"/>
    <w:rsid w:val="00C911E8"/>
    <w:rsid w:val="00C91250"/>
    <w:rsid w:val="00C91266"/>
    <w:rsid w:val="00C91291"/>
    <w:rsid w:val="00C91327"/>
    <w:rsid w:val="00C913C9"/>
    <w:rsid w:val="00C9150D"/>
    <w:rsid w:val="00C915B9"/>
    <w:rsid w:val="00C915EE"/>
    <w:rsid w:val="00C91648"/>
    <w:rsid w:val="00C91651"/>
    <w:rsid w:val="00C916DC"/>
    <w:rsid w:val="00C916E3"/>
    <w:rsid w:val="00C917A6"/>
    <w:rsid w:val="00C917E5"/>
    <w:rsid w:val="00C917EC"/>
    <w:rsid w:val="00C91884"/>
    <w:rsid w:val="00C91907"/>
    <w:rsid w:val="00C91916"/>
    <w:rsid w:val="00C91949"/>
    <w:rsid w:val="00C919E0"/>
    <w:rsid w:val="00C91A70"/>
    <w:rsid w:val="00C91BDA"/>
    <w:rsid w:val="00C91BF7"/>
    <w:rsid w:val="00C91C37"/>
    <w:rsid w:val="00C91C50"/>
    <w:rsid w:val="00C91C55"/>
    <w:rsid w:val="00C91F93"/>
    <w:rsid w:val="00C91FAD"/>
    <w:rsid w:val="00C91FC4"/>
    <w:rsid w:val="00C91FDF"/>
    <w:rsid w:val="00C92092"/>
    <w:rsid w:val="00C92093"/>
    <w:rsid w:val="00C922F5"/>
    <w:rsid w:val="00C9232A"/>
    <w:rsid w:val="00C924BF"/>
    <w:rsid w:val="00C924C6"/>
    <w:rsid w:val="00C924D6"/>
    <w:rsid w:val="00C9252F"/>
    <w:rsid w:val="00C92531"/>
    <w:rsid w:val="00C925A3"/>
    <w:rsid w:val="00C9276F"/>
    <w:rsid w:val="00C928D6"/>
    <w:rsid w:val="00C929C3"/>
    <w:rsid w:val="00C929FA"/>
    <w:rsid w:val="00C92A03"/>
    <w:rsid w:val="00C92A81"/>
    <w:rsid w:val="00C92B2D"/>
    <w:rsid w:val="00C92B3D"/>
    <w:rsid w:val="00C92B9D"/>
    <w:rsid w:val="00C92C11"/>
    <w:rsid w:val="00C92D22"/>
    <w:rsid w:val="00C92DFA"/>
    <w:rsid w:val="00C92F21"/>
    <w:rsid w:val="00C92F48"/>
    <w:rsid w:val="00C92FF9"/>
    <w:rsid w:val="00C930A2"/>
    <w:rsid w:val="00C9316B"/>
    <w:rsid w:val="00C931FA"/>
    <w:rsid w:val="00C93241"/>
    <w:rsid w:val="00C93318"/>
    <w:rsid w:val="00C936C6"/>
    <w:rsid w:val="00C937E0"/>
    <w:rsid w:val="00C9380F"/>
    <w:rsid w:val="00C9382A"/>
    <w:rsid w:val="00C938AD"/>
    <w:rsid w:val="00C9391B"/>
    <w:rsid w:val="00C93A1E"/>
    <w:rsid w:val="00C93B2B"/>
    <w:rsid w:val="00C93B34"/>
    <w:rsid w:val="00C93B8D"/>
    <w:rsid w:val="00C93B96"/>
    <w:rsid w:val="00C93C57"/>
    <w:rsid w:val="00C93CA8"/>
    <w:rsid w:val="00C93CDE"/>
    <w:rsid w:val="00C93D94"/>
    <w:rsid w:val="00C93E17"/>
    <w:rsid w:val="00C93E6B"/>
    <w:rsid w:val="00C93EA1"/>
    <w:rsid w:val="00C93F6B"/>
    <w:rsid w:val="00C93FF1"/>
    <w:rsid w:val="00C94043"/>
    <w:rsid w:val="00C940A3"/>
    <w:rsid w:val="00C94231"/>
    <w:rsid w:val="00C94246"/>
    <w:rsid w:val="00C94298"/>
    <w:rsid w:val="00C9429D"/>
    <w:rsid w:val="00C942FC"/>
    <w:rsid w:val="00C9435E"/>
    <w:rsid w:val="00C9443B"/>
    <w:rsid w:val="00C944D4"/>
    <w:rsid w:val="00C944F7"/>
    <w:rsid w:val="00C9452B"/>
    <w:rsid w:val="00C9456E"/>
    <w:rsid w:val="00C94588"/>
    <w:rsid w:val="00C9459E"/>
    <w:rsid w:val="00C94627"/>
    <w:rsid w:val="00C9463D"/>
    <w:rsid w:val="00C946F3"/>
    <w:rsid w:val="00C94748"/>
    <w:rsid w:val="00C9477F"/>
    <w:rsid w:val="00C94796"/>
    <w:rsid w:val="00C94802"/>
    <w:rsid w:val="00C94810"/>
    <w:rsid w:val="00C94826"/>
    <w:rsid w:val="00C948F1"/>
    <w:rsid w:val="00C948FC"/>
    <w:rsid w:val="00C9496B"/>
    <w:rsid w:val="00C94B5E"/>
    <w:rsid w:val="00C94B6A"/>
    <w:rsid w:val="00C94C77"/>
    <w:rsid w:val="00C94D7B"/>
    <w:rsid w:val="00C94ECC"/>
    <w:rsid w:val="00C94F0A"/>
    <w:rsid w:val="00C94FA0"/>
    <w:rsid w:val="00C94FE0"/>
    <w:rsid w:val="00C9501B"/>
    <w:rsid w:val="00C95108"/>
    <w:rsid w:val="00C95199"/>
    <w:rsid w:val="00C9519F"/>
    <w:rsid w:val="00C95226"/>
    <w:rsid w:val="00C952A3"/>
    <w:rsid w:val="00C952F7"/>
    <w:rsid w:val="00C95332"/>
    <w:rsid w:val="00C95354"/>
    <w:rsid w:val="00C953FD"/>
    <w:rsid w:val="00C954BB"/>
    <w:rsid w:val="00C95611"/>
    <w:rsid w:val="00C9567B"/>
    <w:rsid w:val="00C956C3"/>
    <w:rsid w:val="00C95709"/>
    <w:rsid w:val="00C95742"/>
    <w:rsid w:val="00C95778"/>
    <w:rsid w:val="00C95820"/>
    <w:rsid w:val="00C9583B"/>
    <w:rsid w:val="00C9587C"/>
    <w:rsid w:val="00C9591C"/>
    <w:rsid w:val="00C95925"/>
    <w:rsid w:val="00C959B0"/>
    <w:rsid w:val="00C959C4"/>
    <w:rsid w:val="00C95A93"/>
    <w:rsid w:val="00C95AD1"/>
    <w:rsid w:val="00C95C63"/>
    <w:rsid w:val="00C95C9F"/>
    <w:rsid w:val="00C95D45"/>
    <w:rsid w:val="00C95DB0"/>
    <w:rsid w:val="00C95DE4"/>
    <w:rsid w:val="00C95E0C"/>
    <w:rsid w:val="00C95E41"/>
    <w:rsid w:val="00C95E52"/>
    <w:rsid w:val="00C95EA7"/>
    <w:rsid w:val="00C95EEC"/>
    <w:rsid w:val="00C95F23"/>
    <w:rsid w:val="00C95F25"/>
    <w:rsid w:val="00C95F3D"/>
    <w:rsid w:val="00C9618B"/>
    <w:rsid w:val="00C96192"/>
    <w:rsid w:val="00C9636F"/>
    <w:rsid w:val="00C964A3"/>
    <w:rsid w:val="00C964F6"/>
    <w:rsid w:val="00C9651B"/>
    <w:rsid w:val="00C9653E"/>
    <w:rsid w:val="00C965A8"/>
    <w:rsid w:val="00C96614"/>
    <w:rsid w:val="00C966B7"/>
    <w:rsid w:val="00C9679A"/>
    <w:rsid w:val="00C9679C"/>
    <w:rsid w:val="00C96880"/>
    <w:rsid w:val="00C96930"/>
    <w:rsid w:val="00C969D0"/>
    <w:rsid w:val="00C96AE9"/>
    <w:rsid w:val="00C96B02"/>
    <w:rsid w:val="00C96B22"/>
    <w:rsid w:val="00C96B5A"/>
    <w:rsid w:val="00C96C38"/>
    <w:rsid w:val="00C96C4E"/>
    <w:rsid w:val="00C96C54"/>
    <w:rsid w:val="00C96C8C"/>
    <w:rsid w:val="00C96F2C"/>
    <w:rsid w:val="00C96F5A"/>
    <w:rsid w:val="00C97020"/>
    <w:rsid w:val="00C9705F"/>
    <w:rsid w:val="00C970E4"/>
    <w:rsid w:val="00C97310"/>
    <w:rsid w:val="00C973CD"/>
    <w:rsid w:val="00C973D9"/>
    <w:rsid w:val="00C97526"/>
    <w:rsid w:val="00C9757D"/>
    <w:rsid w:val="00C97580"/>
    <w:rsid w:val="00C97596"/>
    <w:rsid w:val="00C97758"/>
    <w:rsid w:val="00C977C0"/>
    <w:rsid w:val="00C978A3"/>
    <w:rsid w:val="00C97A0D"/>
    <w:rsid w:val="00C97A58"/>
    <w:rsid w:val="00C97ADD"/>
    <w:rsid w:val="00C97B82"/>
    <w:rsid w:val="00C97BC4"/>
    <w:rsid w:val="00C97C7A"/>
    <w:rsid w:val="00C97D80"/>
    <w:rsid w:val="00C97E0A"/>
    <w:rsid w:val="00C97E97"/>
    <w:rsid w:val="00C97EAF"/>
    <w:rsid w:val="00C97EC4"/>
    <w:rsid w:val="00C97EFB"/>
    <w:rsid w:val="00C97F4A"/>
    <w:rsid w:val="00C97FBA"/>
    <w:rsid w:val="00C97FD9"/>
    <w:rsid w:val="00CA0185"/>
    <w:rsid w:val="00CA01C8"/>
    <w:rsid w:val="00CA01D2"/>
    <w:rsid w:val="00CA040D"/>
    <w:rsid w:val="00CA0436"/>
    <w:rsid w:val="00CA0488"/>
    <w:rsid w:val="00CA04D3"/>
    <w:rsid w:val="00CA04D4"/>
    <w:rsid w:val="00CA04E0"/>
    <w:rsid w:val="00CA057A"/>
    <w:rsid w:val="00CA0608"/>
    <w:rsid w:val="00CA0689"/>
    <w:rsid w:val="00CA081C"/>
    <w:rsid w:val="00CA08F2"/>
    <w:rsid w:val="00CA0978"/>
    <w:rsid w:val="00CA09CD"/>
    <w:rsid w:val="00CA0A43"/>
    <w:rsid w:val="00CA0AA6"/>
    <w:rsid w:val="00CA0AF6"/>
    <w:rsid w:val="00CA0B4B"/>
    <w:rsid w:val="00CA0B4D"/>
    <w:rsid w:val="00CA0D13"/>
    <w:rsid w:val="00CA0D90"/>
    <w:rsid w:val="00CA0DF1"/>
    <w:rsid w:val="00CA0E28"/>
    <w:rsid w:val="00CA0E43"/>
    <w:rsid w:val="00CA0E8B"/>
    <w:rsid w:val="00CA0EA0"/>
    <w:rsid w:val="00CA1094"/>
    <w:rsid w:val="00CA11A5"/>
    <w:rsid w:val="00CA120E"/>
    <w:rsid w:val="00CA1390"/>
    <w:rsid w:val="00CA142E"/>
    <w:rsid w:val="00CA1430"/>
    <w:rsid w:val="00CA146A"/>
    <w:rsid w:val="00CA1548"/>
    <w:rsid w:val="00CA15E1"/>
    <w:rsid w:val="00CA15ED"/>
    <w:rsid w:val="00CA1626"/>
    <w:rsid w:val="00CA173C"/>
    <w:rsid w:val="00CA180D"/>
    <w:rsid w:val="00CA1824"/>
    <w:rsid w:val="00CA1879"/>
    <w:rsid w:val="00CA18CB"/>
    <w:rsid w:val="00CA196B"/>
    <w:rsid w:val="00CA1994"/>
    <w:rsid w:val="00CA19B9"/>
    <w:rsid w:val="00CA19F8"/>
    <w:rsid w:val="00CA1AB8"/>
    <w:rsid w:val="00CA1B0A"/>
    <w:rsid w:val="00CA1D01"/>
    <w:rsid w:val="00CA1D07"/>
    <w:rsid w:val="00CA1DAD"/>
    <w:rsid w:val="00CA1F0E"/>
    <w:rsid w:val="00CA211B"/>
    <w:rsid w:val="00CA2126"/>
    <w:rsid w:val="00CA213F"/>
    <w:rsid w:val="00CA234D"/>
    <w:rsid w:val="00CA23A3"/>
    <w:rsid w:val="00CA25C5"/>
    <w:rsid w:val="00CA2786"/>
    <w:rsid w:val="00CA27A7"/>
    <w:rsid w:val="00CA27E2"/>
    <w:rsid w:val="00CA27E5"/>
    <w:rsid w:val="00CA2951"/>
    <w:rsid w:val="00CA2A92"/>
    <w:rsid w:val="00CA2B09"/>
    <w:rsid w:val="00CA2B7C"/>
    <w:rsid w:val="00CA2C21"/>
    <w:rsid w:val="00CA2C64"/>
    <w:rsid w:val="00CA2CBD"/>
    <w:rsid w:val="00CA2DE6"/>
    <w:rsid w:val="00CA2F76"/>
    <w:rsid w:val="00CA2F8C"/>
    <w:rsid w:val="00CA3073"/>
    <w:rsid w:val="00CA3160"/>
    <w:rsid w:val="00CA3175"/>
    <w:rsid w:val="00CA3220"/>
    <w:rsid w:val="00CA3223"/>
    <w:rsid w:val="00CA322E"/>
    <w:rsid w:val="00CA3246"/>
    <w:rsid w:val="00CA3257"/>
    <w:rsid w:val="00CA328E"/>
    <w:rsid w:val="00CA339F"/>
    <w:rsid w:val="00CA33D2"/>
    <w:rsid w:val="00CA3519"/>
    <w:rsid w:val="00CA356C"/>
    <w:rsid w:val="00CA35E8"/>
    <w:rsid w:val="00CA35F6"/>
    <w:rsid w:val="00CA3695"/>
    <w:rsid w:val="00CA36A0"/>
    <w:rsid w:val="00CA3737"/>
    <w:rsid w:val="00CA3782"/>
    <w:rsid w:val="00CA378F"/>
    <w:rsid w:val="00CA37CD"/>
    <w:rsid w:val="00CA37D0"/>
    <w:rsid w:val="00CA3853"/>
    <w:rsid w:val="00CA386B"/>
    <w:rsid w:val="00CA38E5"/>
    <w:rsid w:val="00CA38FE"/>
    <w:rsid w:val="00CA39E5"/>
    <w:rsid w:val="00CA3A1D"/>
    <w:rsid w:val="00CA3A24"/>
    <w:rsid w:val="00CA3AA4"/>
    <w:rsid w:val="00CA3AB2"/>
    <w:rsid w:val="00CA3ACD"/>
    <w:rsid w:val="00CA3B50"/>
    <w:rsid w:val="00CA3B77"/>
    <w:rsid w:val="00CA3C94"/>
    <w:rsid w:val="00CA3DDA"/>
    <w:rsid w:val="00CA3DDF"/>
    <w:rsid w:val="00CA3E47"/>
    <w:rsid w:val="00CA3E87"/>
    <w:rsid w:val="00CA401B"/>
    <w:rsid w:val="00CA4029"/>
    <w:rsid w:val="00CA40A6"/>
    <w:rsid w:val="00CA40F1"/>
    <w:rsid w:val="00CA41E3"/>
    <w:rsid w:val="00CA4218"/>
    <w:rsid w:val="00CA42C0"/>
    <w:rsid w:val="00CA42EC"/>
    <w:rsid w:val="00CA4376"/>
    <w:rsid w:val="00CA4522"/>
    <w:rsid w:val="00CA45DA"/>
    <w:rsid w:val="00CA478A"/>
    <w:rsid w:val="00CA492E"/>
    <w:rsid w:val="00CA4956"/>
    <w:rsid w:val="00CA499B"/>
    <w:rsid w:val="00CA499E"/>
    <w:rsid w:val="00CA4D01"/>
    <w:rsid w:val="00CA4E83"/>
    <w:rsid w:val="00CA502E"/>
    <w:rsid w:val="00CA505E"/>
    <w:rsid w:val="00CA528A"/>
    <w:rsid w:val="00CA53A6"/>
    <w:rsid w:val="00CA53CC"/>
    <w:rsid w:val="00CA53D7"/>
    <w:rsid w:val="00CA588A"/>
    <w:rsid w:val="00CA58B9"/>
    <w:rsid w:val="00CA5981"/>
    <w:rsid w:val="00CA59F1"/>
    <w:rsid w:val="00CA5A22"/>
    <w:rsid w:val="00CA5B0C"/>
    <w:rsid w:val="00CA5CA0"/>
    <w:rsid w:val="00CA5D23"/>
    <w:rsid w:val="00CA5D63"/>
    <w:rsid w:val="00CA5DEF"/>
    <w:rsid w:val="00CA5E97"/>
    <w:rsid w:val="00CA5FD8"/>
    <w:rsid w:val="00CA6153"/>
    <w:rsid w:val="00CA61FE"/>
    <w:rsid w:val="00CA6207"/>
    <w:rsid w:val="00CA626B"/>
    <w:rsid w:val="00CA6312"/>
    <w:rsid w:val="00CA6447"/>
    <w:rsid w:val="00CA66C9"/>
    <w:rsid w:val="00CA6863"/>
    <w:rsid w:val="00CA68A2"/>
    <w:rsid w:val="00CA697E"/>
    <w:rsid w:val="00CA699E"/>
    <w:rsid w:val="00CA6B0A"/>
    <w:rsid w:val="00CA6B32"/>
    <w:rsid w:val="00CA6C86"/>
    <w:rsid w:val="00CA6D24"/>
    <w:rsid w:val="00CA6DA6"/>
    <w:rsid w:val="00CA6DAB"/>
    <w:rsid w:val="00CA6DD3"/>
    <w:rsid w:val="00CA6EA6"/>
    <w:rsid w:val="00CA6F5F"/>
    <w:rsid w:val="00CA6F70"/>
    <w:rsid w:val="00CA71AF"/>
    <w:rsid w:val="00CA721F"/>
    <w:rsid w:val="00CA723C"/>
    <w:rsid w:val="00CA732F"/>
    <w:rsid w:val="00CA735C"/>
    <w:rsid w:val="00CA7380"/>
    <w:rsid w:val="00CA7381"/>
    <w:rsid w:val="00CA739A"/>
    <w:rsid w:val="00CA740C"/>
    <w:rsid w:val="00CA741B"/>
    <w:rsid w:val="00CA75D6"/>
    <w:rsid w:val="00CA76F8"/>
    <w:rsid w:val="00CA7758"/>
    <w:rsid w:val="00CA7944"/>
    <w:rsid w:val="00CA7984"/>
    <w:rsid w:val="00CA7B0E"/>
    <w:rsid w:val="00CA7BC6"/>
    <w:rsid w:val="00CA7BFB"/>
    <w:rsid w:val="00CA7E69"/>
    <w:rsid w:val="00CA7EAE"/>
    <w:rsid w:val="00CA7EEC"/>
    <w:rsid w:val="00CB0061"/>
    <w:rsid w:val="00CB02EC"/>
    <w:rsid w:val="00CB03A3"/>
    <w:rsid w:val="00CB048F"/>
    <w:rsid w:val="00CB04B5"/>
    <w:rsid w:val="00CB04D1"/>
    <w:rsid w:val="00CB04FE"/>
    <w:rsid w:val="00CB0512"/>
    <w:rsid w:val="00CB059A"/>
    <w:rsid w:val="00CB05C9"/>
    <w:rsid w:val="00CB06BC"/>
    <w:rsid w:val="00CB06D6"/>
    <w:rsid w:val="00CB0759"/>
    <w:rsid w:val="00CB07E8"/>
    <w:rsid w:val="00CB085B"/>
    <w:rsid w:val="00CB08EE"/>
    <w:rsid w:val="00CB090A"/>
    <w:rsid w:val="00CB0999"/>
    <w:rsid w:val="00CB0BA1"/>
    <w:rsid w:val="00CB0D2A"/>
    <w:rsid w:val="00CB0DF9"/>
    <w:rsid w:val="00CB0E3C"/>
    <w:rsid w:val="00CB0E94"/>
    <w:rsid w:val="00CB10B6"/>
    <w:rsid w:val="00CB11A1"/>
    <w:rsid w:val="00CB11CC"/>
    <w:rsid w:val="00CB1270"/>
    <w:rsid w:val="00CB12B4"/>
    <w:rsid w:val="00CB1304"/>
    <w:rsid w:val="00CB1325"/>
    <w:rsid w:val="00CB13B5"/>
    <w:rsid w:val="00CB1465"/>
    <w:rsid w:val="00CB156A"/>
    <w:rsid w:val="00CB1609"/>
    <w:rsid w:val="00CB1630"/>
    <w:rsid w:val="00CB16E9"/>
    <w:rsid w:val="00CB1707"/>
    <w:rsid w:val="00CB17E9"/>
    <w:rsid w:val="00CB1890"/>
    <w:rsid w:val="00CB1995"/>
    <w:rsid w:val="00CB19D4"/>
    <w:rsid w:val="00CB1A1C"/>
    <w:rsid w:val="00CB1A28"/>
    <w:rsid w:val="00CB1A4E"/>
    <w:rsid w:val="00CB1ADA"/>
    <w:rsid w:val="00CB1B08"/>
    <w:rsid w:val="00CB1B40"/>
    <w:rsid w:val="00CB1BBD"/>
    <w:rsid w:val="00CB1BF9"/>
    <w:rsid w:val="00CB1C2E"/>
    <w:rsid w:val="00CB1C46"/>
    <w:rsid w:val="00CB1CE6"/>
    <w:rsid w:val="00CB1D0F"/>
    <w:rsid w:val="00CB1E28"/>
    <w:rsid w:val="00CB1E5B"/>
    <w:rsid w:val="00CB1F2F"/>
    <w:rsid w:val="00CB1F91"/>
    <w:rsid w:val="00CB1FAB"/>
    <w:rsid w:val="00CB1FC9"/>
    <w:rsid w:val="00CB213C"/>
    <w:rsid w:val="00CB2157"/>
    <w:rsid w:val="00CB21E0"/>
    <w:rsid w:val="00CB2277"/>
    <w:rsid w:val="00CB22BF"/>
    <w:rsid w:val="00CB22DA"/>
    <w:rsid w:val="00CB237C"/>
    <w:rsid w:val="00CB2453"/>
    <w:rsid w:val="00CB25B7"/>
    <w:rsid w:val="00CB261E"/>
    <w:rsid w:val="00CB2654"/>
    <w:rsid w:val="00CB26CE"/>
    <w:rsid w:val="00CB2844"/>
    <w:rsid w:val="00CB2933"/>
    <w:rsid w:val="00CB2948"/>
    <w:rsid w:val="00CB29E0"/>
    <w:rsid w:val="00CB2A03"/>
    <w:rsid w:val="00CB2A31"/>
    <w:rsid w:val="00CB2A92"/>
    <w:rsid w:val="00CB2B0D"/>
    <w:rsid w:val="00CB2C32"/>
    <w:rsid w:val="00CB2DAB"/>
    <w:rsid w:val="00CB2EAB"/>
    <w:rsid w:val="00CB2F97"/>
    <w:rsid w:val="00CB2FDA"/>
    <w:rsid w:val="00CB30B3"/>
    <w:rsid w:val="00CB3132"/>
    <w:rsid w:val="00CB31C0"/>
    <w:rsid w:val="00CB31EC"/>
    <w:rsid w:val="00CB3215"/>
    <w:rsid w:val="00CB32F9"/>
    <w:rsid w:val="00CB3301"/>
    <w:rsid w:val="00CB3319"/>
    <w:rsid w:val="00CB3477"/>
    <w:rsid w:val="00CB34E3"/>
    <w:rsid w:val="00CB353D"/>
    <w:rsid w:val="00CB3563"/>
    <w:rsid w:val="00CB3638"/>
    <w:rsid w:val="00CB3692"/>
    <w:rsid w:val="00CB36CF"/>
    <w:rsid w:val="00CB36D4"/>
    <w:rsid w:val="00CB36DB"/>
    <w:rsid w:val="00CB36FB"/>
    <w:rsid w:val="00CB376B"/>
    <w:rsid w:val="00CB38A4"/>
    <w:rsid w:val="00CB39B3"/>
    <w:rsid w:val="00CB3A26"/>
    <w:rsid w:val="00CB3A32"/>
    <w:rsid w:val="00CB3B06"/>
    <w:rsid w:val="00CB3C3D"/>
    <w:rsid w:val="00CB3C49"/>
    <w:rsid w:val="00CB3F1A"/>
    <w:rsid w:val="00CB40DE"/>
    <w:rsid w:val="00CB40E6"/>
    <w:rsid w:val="00CB4192"/>
    <w:rsid w:val="00CB423A"/>
    <w:rsid w:val="00CB4253"/>
    <w:rsid w:val="00CB4291"/>
    <w:rsid w:val="00CB434A"/>
    <w:rsid w:val="00CB436F"/>
    <w:rsid w:val="00CB43F5"/>
    <w:rsid w:val="00CB44F0"/>
    <w:rsid w:val="00CB4505"/>
    <w:rsid w:val="00CB4557"/>
    <w:rsid w:val="00CB4755"/>
    <w:rsid w:val="00CB47BF"/>
    <w:rsid w:val="00CB4849"/>
    <w:rsid w:val="00CB4A52"/>
    <w:rsid w:val="00CB4AB0"/>
    <w:rsid w:val="00CB4B73"/>
    <w:rsid w:val="00CB4BC1"/>
    <w:rsid w:val="00CB4C16"/>
    <w:rsid w:val="00CB4C26"/>
    <w:rsid w:val="00CB4C5C"/>
    <w:rsid w:val="00CB4CF5"/>
    <w:rsid w:val="00CB4D03"/>
    <w:rsid w:val="00CB4D8A"/>
    <w:rsid w:val="00CB4DF5"/>
    <w:rsid w:val="00CB4EF1"/>
    <w:rsid w:val="00CB4F86"/>
    <w:rsid w:val="00CB4F9F"/>
    <w:rsid w:val="00CB5002"/>
    <w:rsid w:val="00CB5110"/>
    <w:rsid w:val="00CB5192"/>
    <w:rsid w:val="00CB523D"/>
    <w:rsid w:val="00CB5270"/>
    <w:rsid w:val="00CB536C"/>
    <w:rsid w:val="00CB547C"/>
    <w:rsid w:val="00CB549F"/>
    <w:rsid w:val="00CB54EB"/>
    <w:rsid w:val="00CB550F"/>
    <w:rsid w:val="00CB55F5"/>
    <w:rsid w:val="00CB5603"/>
    <w:rsid w:val="00CB5611"/>
    <w:rsid w:val="00CB566B"/>
    <w:rsid w:val="00CB5678"/>
    <w:rsid w:val="00CB5705"/>
    <w:rsid w:val="00CB57D3"/>
    <w:rsid w:val="00CB57D6"/>
    <w:rsid w:val="00CB57E8"/>
    <w:rsid w:val="00CB5814"/>
    <w:rsid w:val="00CB5840"/>
    <w:rsid w:val="00CB5865"/>
    <w:rsid w:val="00CB58AB"/>
    <w:rsid w:val="00CB5AB3"/>
    <w:rsid w:val="00CB5B9C"/>
    <w:rsid w:val="00CB5BD3"/>
    <w:rsid w:val="00CB5C92"/>
    <w:rsid w:val="00CB5D16"/>
    <w:rsid w:val="00CB5D25"/>
    <w:rsid w:val="00CB5D2A"/>
    <w:rsid w:val="00CB5DDE"/>
    <w:rsid w:val="00CB5DEC"/>
    <w:rsid w:val="00CB5E51"/>
    <w:rsid w:val="00CB6203"/>
    <w:rsid w:val="00CB63D8"/>
    <w:rsid w:val="00CB63F4"/>
    <w:rsid w:val="00CB6486"/>
    <w:rsid w:val="00CB64E2"/>
    <w:rsid w:val="00CB6624"/>
    <w:rsid w:val="00CB66A3"/>
    <w:rsid w:val="00CB6742"/>
    <w:rsid w:val="00CB681A"/>
    <w:rsid w:val="00CB6959"/>
    <w:rsid w:val="00CB69CA"/>
    <w:rsid w:val="00CB6B4A"/>
    <w:rsid w:val="00CB6B93"/>
    <w:rsid w:val="00CB6BBA"/>
    <w:rsid w:val="00CB6BCB"/>
    <w:rsid w:val="00CB6C48"/>
    <w:rsid w:val="00CB6C86"/>
    <w:rsid w:val="00CB6CA8"/>
    <w:rsid w:val="00CB6DDE"/>
    <w:rsid w:val="00CB6E04"/>
    <w:rsid w:val="00CB6EC5"/>
    <w:rsid w:val="00CB6F6E"/>
    <w:rsid w:val="00CB6FC4"/>
    <w:rsid w:val="00CB70D0"/>
    <w:rsid w:val="00CB7185"/>
    <w:rsid w:val="00CB71EA"/>
    <w:rsid w:val="00CB7589"/>
    <w:rsid w:val="00CB75B2"/>
    <w:rsid w:val="00CB75C7"/>
    <w:rsid w:val="00CB7631"/>
    <w:rsid w:val="00CB7712"/>
    <w:rsid w:val="00CB7734"/>
    <w:rsid w:val="00CB7887"/>
    <w:rsid w:val="00CB78D3"/>
    <w:rsid w:val="00CB78F5"/>
    <w:rsid w:val="00CB791E"/>
    <w:rsid w:val="00CB795D"/>
    <w:rsid w:val="00CB7A1F"/>
    <w:rsid w:val="00CB7AC0"/>
    <w:rsid w:val="00CB7AF7"/>
    <w:rsid w:val="00CB7B5D"/>
    <w:rsid w:val="00CB7B9D"/>
    <w:rsid w:val="00CB7BBE"/>
    <w:rsid w:val="00CB7C11"/>
    <w:rsid w:val="00CB7C78"/>
    <w:rsid w:val="00CB7CE5"/>
    <w:rsid w:val="00CB7D35"/>
    <w:rsid w:val="00CB7E8B"/>
    <w:rsid w:val="00CB7EA8"/>
    <w:rsid w:val="00CB7F5A"/>
    <w:rsid w:val="00CB7FB2"/>
    <w:rsid w:val="00CB7FD2"/>
    <w:rsid w:val="00CC0044"/>
    <w:rsid w:val="00CC00BF"/>
    <w:rsid w:val="00CC00E9"/>
    <w:rsid w:val="00CC00F5"/>
    <w:rsid w:val="00CC0275"/>
    <w:rsid w:val="00CC0293"/>
    <w:rsid w:val="00CC02B1"/>
    <w:rsid w:val="00CC02C1"/>
    <w:rsid w:val="00CC0332"/>
    <w:rsid w:val="00CC0395"/>
    <w:rsid w:val="00CC039F"/>
    <w:rsid w:val="00CC03AA"/>
    <w:rsid w:val="00CC0457"/>
    <w:rsid w:val="00CC0476"/>
    <w:rsid w:val="00CC0663"/>
    <w:rsid w:val="00CC06D4"/>
    <w:rsid w:val="00CC0785"/>
    <w:rsid w:val="00CC0906"/>
    <w:rsid w:val="00CC0A2E"/>
    <w:rsid w:val="00CC0A94"/>
    <w:rsid w:val="00CC0AF0"/>
    <w:rsid w:val="00CC0BA5"/>
    <w:rsid w:val="00CC0C00"/>
    <w:rsid w:val="00CC0CA0"/>
    <w:rsid w:val="00CC0DF6"/>
    <w:rsid w:val="00CC0F54"/>
    <w:rsid w:val="00CC0F87"/>
    <w:rsid w:val="00CC0FC3"/>
    <w:rsid w:val="00CC0FE0"/>
    <w:rsid w:val="00CC1016"/>
    <w:rsid w:val="00CC1085"/>
    <w:rsid w:val="00CC1141"/>
    <w:rsid w:val="00CC1146"/>
    <w:rsid w:val="00CC1304"/>
    <w:rsid w:val="00CC131F"/>
    <w:rsid w:val="00CC136E"/>
    <w:rsid w:val="00CC139D"/>
    <w:rsid w:val="00CC13CB"/>
    <w:rsid w:val="00CC142D"/>
    <w:rsid w:val="00CC142F"/>
    <w:rsid w:val="00CC1440"/>
    <w:rsid w:val="00CC149E"/>
    <w:rsid w:val="00CC14EF"/>
    <w:rsid w:val="00CC152D"/>
    <w:rsid w:val="00CC166D"/>
    <w:rsid w:val="00CC16AB"/>
    <w:rsid w:val="00CC16B7"/>
    <w:rsid w:val="00CC1739"/>
    <w:rsid w:val="00CC176C"/>
    <w:rsid w:val="00CC1917"/>
    <w:rsid w:val="00CC1992"/>
    <w:rsid w:val="00CC19A7"/>
    <w:rsid w:val="00CC19B9"/>
    <w:rsid w:val="00CC19D5"/>
    <w:rsid w:val="00CC1B18"/>
    <w:rsid w:val="00CC1B89"/>
    <w:rsid w:val="00CC1C89"/>
    <w:rsid w:val="00CC1CC1"/>
    <w:rsid w:val="00CC1CC5"/>
    <w:rsid w:val="00CC1E83"/>
    <w:rsid w:val="00CC1EF8"/>
    <w:rsid w:val="00CC1FD9"/>
    <w:rsid w:val="00CC1FEA"/>
    <w:rsid w:val="00CC20B9"/>
    <w:rsid w:val="00CC2160"/>
    <w:rsid w:val="00CC2299"/>
    <w:rsid w:val="00CC23C8"/>
    <w:rsid w:val="00CC2556"/>
    <w:rsid w:val="00CC269A"/>
    <w:rsid w:val="00CC2AE8"/>
    <w:rsid w:val="00CC2CBE"/>
    <w:rsid w:val="00CC2E05"/>
    <w:rsid w:val="00CC2E32"/>
    <w:rsid w:val="00CC2EF4"/>
    <w:rsid w:val="00CC2FF1"/>
    <w:rsid w:val="00CC3011"/>
    <w:rsid w:val="00CC302A"/>
    <w:rsid w:val="00CC302E"/>
    <w:rsid w:val="00CC321E"/>
    <w:rsid w:val="00CC3259"/>
    <w:rsid w:val="00CC329B"/>
    <w:rsid w:val="00CC3400"/>
    <w:rsid w:val="00CC34E0"/>
    <w:rsid w:val="00CC34F3"/>
    <w:rsid w:val="00CC3551"/>
    <w:rsid w:val="00CC35CA"/>
    <w:rsid w:val="00CC35D2"/>
    <w:rsid w:val="00CC3623"/>
    <w:rsid w:val="00CC386E"/>
    <w:rsid w:val="00CC3880"/>
    <w:rsid w:val="00CC38D5"/>
    <w:rsid w:val="00CC3948"/>
    <w:rsid w:val="00CC39D7"/>
    <w:rsid w:val="00CC3A44"/>
    <w:rsid w:val="00CC3A4D"/>
    <w:rsid w:val="00CC3B59"/>
    <w:rsid w:val="00CC3B9D"/>
    <w:rsid w:val="00CC3BC3"/>
    <w:rsid w:val="00CC3BCF"/>
    <w:rsid w:val="00CC3CD2"/>
    <w:rsid w:val="00CC3E9E"/>
    <w:rsid w:val="00CC3EA6"/>
    <w:rsid w:val="00CC3EF8"/>
    <w:rsid w:val="00CC3F4B"/>
    <w:rsid w:val="00CC3F77"/>
    <w:rsid w:val="00CC3FC0"/>
    <w:rsid w:val="00CC3FFF"/>
    <w:rsid w:val="00CC40D2"/>
    <w:rsid w:val="00CC41D1"/>
    <w:rsid w:val="00CC4239"/>
    <w:rsid w:val="00CC4249"/>
    <w:rsid w:val="00CC4361"/>
    <w:rsid w:val="00CC4486"/>
    <w:rsid w:val="00CC4599"/>
    <w:rsid w:val="00CC461B"/>
    <w:rsid w:val="00CC4808"/>
    <w:rsid w:val="00CC48D4"/>
    <w:rsid w:val="00CC492F"/>
    <w:rsid w:val="00CC49F6"/>
    <w:rsid w:val="00CC4A03"/>
    <w:rsid w:val="00CC4BF0"/>
    <w:rsid w:val="00CC4D1D"/>
    <w:rsid w:val="00CC4D2E"/>
    <w:rsid w:val="00CC4D75"/>
    <w:rsid w:val="00CC4FBE"/>
    <w:rsid w:val="00CC5003"/>
    <w:rsid w:val="00CC5113"/>
    <w:rsid w:val="00CC528A"/>
    <w:rsid w:val="00CC53A4"/>
    <w:rsid w:val="00CC540F"/>
    <w:rsid w:val="00CC544C"/>
    <w:rsid w:val="00CC5454"/>
    <w:rsid w:val="00CC5498"/>
    <w:rsid w:val="00CC54AD"/>
    <w:rsid w:val="00CC54F9"/>
    <w:rsid w:val="00CC5531"/>
    <w:rsid w:val="00CC557B"/>
    <w:rsid w:val="00CC55AA"/>
    <w:rsid w:val="00CC56B7"/>
    <w:rsid w:val="00CC59A3"/>
    <w:rsid w:val="00CC5A7E"/>
    <w:rsid w:val="00CC5AF3"/>
    <w:rsid w:val="00CC5B57"/>
    <w:rsid w:val="00CC5B71"/>
    <w:rsid w:val="00CC5CA0"/>
    <w:rsid w:val="00CC5DC6"/>
    <w:rsid w:val="00CC5E96"/>
    <w:rsid w:val="00CC5F33"/>
    <w:rsid w:val="00CC6059"/>
    <w:rsid w:val="00CC60EB"/>
    <w:rsid w:val="00CC6170"/>
    <w:rsid w:val="00CC617D"/>
    <w:rsid w:val="00CC61C0"/>
    <w:rsid w:val="00CC6244"/>
    <w:rsid w:val="00CC6264"/>
    <w:rsid w:val="00CC62E4"/>
    <w:rsid w:val="00CC6345"/>
    <w:rsid w:val="00CC63AC"/>
    <w:rsid w:val="00CC6582"/>
    <w:rsid w:val="00CC65C5"/>
    <w:rsid w:val="00CC66B9"/>
    <w:rsid w:val="00CC66F2"/>
    <w:rsid w:val="00CC68A1"/>
    <w:rsid w:val="00CC68D0"/>
    <w:rsid w:val="00CC693E"/>
    <w:rsid w:val="00CC6967"/>
    <w:rsid w:val="00CC6968"/>
    <w:rsid w:val="00CC69A9"/>
    <w:rsid w:val="00CC6A54"/>
    <w:rsid w:val="00CC6A61"/>
    <w:rsid w:val="00CC6ADB"/>
    <w:rsid w:val="00CC6AFE"/>
    <w:rsid w:val="00CC6B54"/>
    <w:rsid w:val="00CC6C25"/>
    <w:rsid w:val="00CC6C30"/>
    <w:rsid w:val="00CC6C4C"/>
    <w:rsid w:val="00CC6D55"/>
    <w:rsid w:val="00CC6DD0"/>
    <w:rsid w:val="00CC6DDE"/>
    <w:rsid w:val="00CC6E37"/>
    <w:rsid w:val="00CC6E49"/>
    <w:rsid w:val="00CC6E59"/>
    <w:rsid w:val="00CC6E8B"/>
    <w:rsid w:val="00CC6EE2"/>
    <w:rsid w:val="00CC6EFB"/>
    <w:rsid w:val="00CC6F8F"/>
    <w:rsid w:val="00CC6FF1"/>
    <w:rsid w:val="00CC6FFD"/>
    <w:rsid w:val="00CC714F"/>
    <w:rsid w:val="00CC7333"/>
    <w:rsid w:val="00CC7399"/>
    <w:rsid w:val="00CC73B9"/>
    <w:rsid w:val="00CC7421"/>
    <w:rsid w:val="00CC7437"/>
    <w:rsid w:val="00CC756B"/>
    <w:rsid w:val="00CC75BC"/>
    <w:rsid w:val="00CC75C1"/>
    <w:rsid w:val="00CC7715"/>
    <w:rsid w:val="00CC778C"/>
    <w:rsid w:val="00CC7852"/>
    <w:rsid w:val="00CC7892"/>
    <w:rsid w:val="00CC78D6"/>
    <w:rsid w:val="00CC7992"/>
    <w:rsid w:val="00CC7B1B"/>
    <w:rsid w:val="00CC7B53"/>
    <w:rsid w:val="00CC7BDE"/>
    <w:rsid w:val="00CC7BE0"/>
    <w:rsid w:val="00CC7CB1"/>
    <w:rsid w:val="00CC7D0B"/>
    <w:rsid w:val="00CC7D84"/>
    <w:rsid w:val="00CC7DFA"/>
    <w:rsid w:val="00CC7E3A"/>
    <w:rsid w:val="00CC7E97"/>
    <w:rsid w:val="00CC7EE2"/>
    <w:rsid w:val="00CD0004"/>
    <w:rsid w:val="00CD0009"/>
    <w:rsid w:val="00CD0127"/>
    <w:rsid w:val="00CD019F"/>
    <w:rsid w:val="00CD035B"/>
    <w:rsid w:val="00CD03DC"/>
    <w:rsid w:val="00CD0509"/>
    <w:rsid w:val="00CD054E"/>
    <w:rsid w:val="00CD0607"/>
    <w:rsid w:val="00CD061B"/>
    <w:rsid w:val="00CD061F"/>
    <w:rsid w:val="00CD065A"/>
    <w:rsid w:val="00CD0706"/>
    <w:rsid w:val="00CD08AC"/>
    <w:rsid w:val="00CD09D2"/>
    <w:rsid w:val="00CD0AED"/>
    <w:rsid w:val="00CD0B3C"/>
    <w:rsid w:val="00CD0C3F"/>
    <w:rsid w:val="00CD0CCE"/>
    <w:rsid w:val="00CD0D08"/>
    <w:rsid w:val="00CD0DB0"/>
    <w:rsid w:val="00CD0E12"/>
    <w:rsid w:val="00CD0EEA"/>
    <w:rsid w:val="00CD1086"/>
    <w:rsid w:val="00CD1125"/>
    <w:rsid w:val="00CD113A"/>
    <w:rsid w:val="00CD11FB"/>
    <w:rsid w:val="00CD12F9"/>
    <w:rsid w:val="00CD1437"/>
    <w:rsid w:val="00CD14CF"/>
    <w:rsid w:val="00CD15AD"/>
    <w:rsid w:val="00CD160F"/>
    <w:rsid w:val="00CD164D"/>
    <w:rsid w:val="00CD1700"/>
    <w:rsid w:val="00CD1798"/>
    <w:rsid w:val="00CD17E2"/>
    <w:rsid w:val="00CD17EB"/>
    <w:rsid w:val="00CD18DF"/>
    <w:rsid w:val="00CD19A3"/>
    <w:rsid w:val="00CD1A62"/>
    <w:rsid w:val="00CD1B38"/>
    <w:rsid w:val="00CD1B9C"/>
    <w:rsid w:val="00CD1BE9"/>
    <w:rsid w:val="00CD1C03"/>
    <w:rsid w:val="00CD1C74"/>
    <w:rsid w:val="00CD1CC6"/>
    <w:rsid w:val="00CD1D47"/>
    <w:rsid w:val="00CD1E43"/>
    <w:rsid w:val="00CD1EBB"/>
    <w:rsid w:val="00CD1EBE"/>
    <w:rsid w:val="00CD1F0B"/>
    <w:rsid w:val="00CD2025"/>
    <w:rsid w:val="00CD2193"/>
    <w:rsid w:val="00CD21A8"/>
    <w:rsid w:val="00CD2217"/>
    <w:rsid w:val="00CD245C"/>
    <w:rsid w:val="00CD246D"/>
    <w:rsid w:val="00CD24C9"/>
    <w:rsid w:val="00CD24CE"/>
    <w:rsid w:val="00CD2563"/>
    <w:rsid w:val="00CD25E5"/>
    <w:rsid w:val="00CD2723"/>
    <w:rsid w:val="00CD2950"/>
    <w:rsid w:val="00CD2B4E"/>
    <w:rsid w:val="00CD2B89"/>
    <w:rsid w:val="00CD2B9C"/>
    <w:rsid w:val="00CD2E19"/>
    <w:rsid w:val="00CD2E5F"/>
    <w:rsid w:val="00CD2EFB"/>
    <w:rsid w:val="00CD2F38"/>
    <w:rsid w:val="00CD2FB8"/>
    <w:rsid w:val="00CD3016"/>
    <w:rsid w:val="00CD30BC"/>
    <w:rsid w:val="00CD3165"/>
    <w:rsid w:val="00CD31C8"/>
    <w:rsid w:val="00CD3210"/>
    <w:rsid w:val="00CD333B"/>
    <w:rsid w:val="00CD336C"/>
    <w:rsid w:val="00CD346B"/>
    <w:rsid w:val="00CD358A"/>
    <w:rsid w:val="00CD35D7"/>
    <w:rsid w:val="00CD366C"/>
    <w:rsid w:val="00CD3707"/>
    <w:rsid w:val="00CD3842"/>
    <w:rsid w:val="00CD3876"/>
    <w:rsid w:val="00CD393C"/>
    <w:rsid w:val="00CD399B"/>
    <w:rsid w:val="00CD39C9"/>
    <w:rsid w:val="00CD39FF"/>
    <w:rsid w:val="00CD3A5E"/>
    <w:rsid w:val="00CD3A67"/>
    <w:rsid w:val="00CD3A7C"/>
    <w:rsid w:val="00CD3B63"/>
    <w:rsid w:val="00CD3DE6"/>
    <w:rsid w:val="00CD3E1B"/>
    <w:rsid w:val="00CD3E2B"/>
    <w:rsid w:val="00CD3EB4"/>
    <w:rsid w:val="00CD3EC5"/>
    <w:rsid w:val="00CD3ED4"/>
    <w:rsid w:val="00CD3F56"/>
    <w:rsid w:val="00CD4045"/>
    <w:rsid w:val="00CD4053"/>
    <w:rsid w:val="00CD40DC"/>
    <w:rsid w:val="00CD4184"/>
    <w:rsid w:val="00CD41DA"/>
    <w:rsid w:val="00CD4266"/>
    <w:rsid w:val="00CD4282"/>
    <w:rsid w:val="00CD428B"/>
    <w:rsid w:val="00CD430F"/>
    <w:rsid w:val="00CD44A1"/>
    <w:rsid w:val="00CD44B1"/>
    <w:rsid w:val="00CD44EC"/>
    <w:rsid w:val="00CD450E"/>
    <w:rsid w:val="00CD46C3"/>
    <w:rsid w:val="00CD47CE"/>
    <w:rsid w:val="00CD47F8"/>
    <w:rsid w:val="00CD486D"/>
    <w:rsid w:val="00CD48EC"/>
    <w:rsid w:val="00CD4A6B"/>
    <w:rsid w:val="00CD4BC6"/>
    <w:rsid w:val="00CD4C01"/>
    <w:rsid w:val="00CD4C61"/>
    <w:rsid w:val="00CD4CF8"/>
    <w:rsid w:val="00CD4CFB"/>
    <w:rsid w:val="00CD4DD2"/>
    <w:rsid w:val="00CD4E05"/>
    <w:rsid w:val="00CD4E7B"/>
    <w:rsid w:val="00CD4F54"/>
    <w:rsid w:val="00CD4F57"/>
    <w:rsid w:val="00CD4FD3"/>
    <w:rsid w:val="00CD5076"/>
    <w:rsid w:val="00CD50A1"/>
    <w:rsid w:val="00CD511D"/>
    <w:rsid w:val="00CD51DF"/>
    <w:rsid w:val="00CD52AC"/>
    <w:rsid w:val="00CD52C6"/>
    <w:rsid w:val="00CD52D8"/>
    <w:rsid w:val="00CD5374"/>
    <w:rsid w:val="00CD539B"/>
    <w:rsid w:val="00CD53C4"/>
    <w:rsid w:val="00CD5540"/>
    <w:rsid w:val="00CD55D7"/>
    <w:rsid w:val="00CD5663"/>
    <w:rsid w:val="00CD56D8"/>
    <w:rsid w:val="00CD58D3"/>
    <w:rsid w:val="00CD5948"/>
    <w:rsid w:val="00CD5983"/>
    <w:rsid w:val="00CD59EA"/>
    <w:rsid w:val="00CD5A45"/>
    <w:rsid w:val="00CD5B38"/>
    <w:rsid w:val="00CD5B5B"/>
    <w:rsid w:val="00CD5B68"/>
    <w:rsid w:val="00CD5BCF"/>
    <w:rsid w:val="00CD5C20"/>
    <w:rsid w:val="00CD5C29"/>
    <w:rsid w:val="00CD5CC9"/>
    <w:rsid w:val="00CD5D11"/>
    <w:rsid w:val="00CD5D45"/>
    <w:rsid w:val="00CD5E2E"/>
    <w:rsid w:val="00CD5E51"/>
    <w:rsid w:val="00CD5ED7"/>
    <w:rsid w:val="00CD5F25"/>
    <w:rsid w:val="00CD5FED"/>
    <w:rsid w:val="00CD60D6"/>
    <w:rsid w:val="00CD61EE"/>
    <w:rsid w:val="00CD61F7"/>
    <w:rsid w:val="00CD6261"/>
    <w:rsid w:val="00CD6501"/>
    <w:rsid w:val="00CD655C"/>
    <w:rsid w:val="00CD65CC"/>
    <w:rsid w:val="00CD65E9"/>
    <w:rsid w:val="00CD6619"/>
    <w:rsid w:val="00CD665B"/>
    <w:rsid w:val="00CD668D"/>
    <w:rsid w:val="00CD672E"/>
    <w:rsid w:val="00CD673D"/>
    <w:rsid w:val="00CD6762"/>
    <w:rsid w:val="00CD6992"/>
    <w:rsid w:val="00CD69B0"/>
    <w:rsid w:val="00CD69E9"/>
    <w:rsid w:val="00CD6A00"/>
    <w:rsid w:val="00CD6B87"/>
    <w:rsid w:val="00CD6BB5"/>
    <w:rsid w:val="00CD6C08"/>
    <w:rsid w:val="00CD6CBB"/>
    <w:rsid w:val="00CD6E37"/>
    <w:rsid w:val="00CD6E94"/>
    <w:rsid w:val="00CD6F24"/>
    <w:rsid w:val="00CD6FA6"/>
    <w:rsid w:val="00CD7321"/>
    <w:rsid w:val="00CD7341"/>
    <w:rsid w:val="00CD73AE"/>
    <w:rsid w:val="00CD73CA"/>
    <w:rsid w:val="00CD73FA"/>
    <w:rsid w:val="00CD74F3"/>
    <w:rsid w:val="00CD7508"/>
    <w:rsid w:val="00CD7589"/>
    <w:rsid w:val="00CD75D0"/>
    <w:rsid w:val="00CD7698"/>
    <w:rsid w:val="00CD771D"/>
    <w:rsid w:val="00CD77A1"/>
    <w:rsid w:val="00CD77F9"/>
    <w:rsid w:val="00CD792D"/>
    <w:rsid w:val="00CD7963"/>
    <w:rsid w:val="00CD7B36"/>
    <w:rsid w:val="00CD7B37"/>
    <w:rsid w:val="00CD7C08"/>
    <w:rsid w:val="00CD7C33"/>
    <w:rsid w:val="00CD7C73"/>
    <w:rsid w:val="00CD7E6A"/>
    <w:rsid w:val="00CD7E8D"/>
    <w:rsid w:val="00CD7ED8"/>
    <w:rsid w:val="00CD7EE6"/>
    <w:rsid w:val="00CD7F0A"/>
    <w:rsid w:val="00CE002E"/>
    <w:rsid w:val="00CE0087"/>
    <w:rsid w:val="00CE011A"/>
    <w:rsid w:val="00CE0194"/>
    <w:rsid w:val="00CE01B6"/>
    <w:rsid w:val="00CE04ED"/>
    <w:rsid w:val="00CE0527"/>
    <w:rsid w:val="00CE05D6"/>
    <w:rsid w:val="00CE060E"/>
    <w:rsid w:val="00CE0616"/>
    <w:rsid w:val="00CE063B"/>
    <w:rsid w:val="00CE0694"/>
    <w:rsid w:val="00CE0721"/>
    <w:rsid w:val="00CE07C4"/>
    <w:rsid w:val="00CE0802"/>
    <w:rsid w:val="00CE090E"/>
    <w:rsid w:val="00CE0967"/>
    <w:rsid w:val="00CE09A8"/>
    <w:rsid w:val="00CE09D7"/>
    <w:rsid w:val="00CE0CDE"/>
    <w:rsid w:val="00CE0D26"/>
    <w:rsid w:val="00CE0DD7"/>
    <w:rsid w:val="00CE0E2E"/>
    <w:rsid w:val="00CE0ED0"/>
    <w:rsid w:val="00CE0FE2"/>
    <w:rsid w:val="00CE0FEA"/>
    <w:rsid w:val="00CE1139"/>
    <w:rsid w:val="00CE11BE"/>
    <w:rsid w:val="00CE11CE"/>
    <w:rsid w:val="00CE12F8"/>
    <w:rsid w:val="00CE1343"/>
    <w:rsid w:val="00CE13D5"/>
    <w:rsid w:val="00CE13FE"/>
    <w:rsid w:val="00CE1419"/>
    <w:rsid w:val="00CE15B7"/>
    <w:rsid w:val="00CE16BB"/>
    <w:rsid w:val="00CE171E"/>
    <w:rsid w:val="00CE194B"/>
    <w:rsid w:val="00CE196E"/>
    <w:rsid w:val="00CE1B88"/>
    <w:rsid w:val="00CE1D94"/>
    <w:rsid w:val="00CE1E01"/>
    <w:rsid w:val="00CE1F6A"/>
    <w:rsid w:val="00CE1FA3"/>
    <w:rsid w:val="00CE2101"/>
    <w:rsid w:val="00CE2269"/>
    <w:rsid w:val="00CE2284"/>
    <w:rsid w:val="00CE22A4"/>
    <w:rsid w:val="00CE2419"/>
    <w:rsid w:val="00CE2474"/>
    <w:rsid w:val="00CE25E8"/>
    <w:rsid w:val="00CE25EB"/>
    <w:rsid w:val="00CE2783"/>
    <w:rsid w:val="00CE279F"/>
    <w:rsid w:val="00CE27C7"/>
    <w:rsid w:val="00CE27CA"/>
    <w:rsid w:val="00CE27EA"/>
    <w:rsid w:val="00CE2818"/>
    <w:rsid w:val="00CE2838"/>
    <w:rsid w:val="00CE29E1"/>
    <w:rsid w:val="00CE2B78"/>
    <w:rsid w:val="00CE2B8A"/>
    <w:rsid w:val="00CE2BE5"/>
    <w:rsid w:val="00CE2C45"/>
    <w:rsid w:val="00CE2E52"/>
    <w:rsid w:val="00CE2E78"/>
    <w:rsid w:val="00CE2ECE"/>
    <w:rsid w:val="00CE2F42"/>
    <w:rsid w:val="00CE308A"/>
    <w:rsid w:val="00CE311E"/>
    <w:rsid w:val="00CE31FF"/>
    <w:rsid w:val="00CE3204"/>
    <w:rsid w:val="00CE3324"/>
    <w:rsid w:val="00CE3331"/>
    <w:rsid w:val="00CE3382"/>
    <w:rsid w:val="00CE33BC"/>
    <w:rsid w:val="00CE33F9"/>
    <w:rsid w:val="00CE3480"/>
    <w:rsid w:val="00CE34C1"/>
    <w:rsid w:val="00CE3518"/>
    <w:rsid w:val="00CE356E"/>
    <w:rsid w:val="00CE35E3"/>
    <w:rsid w:val="00CE3651"/>
    <w:rsid w:val="00CE36A2"/>
    <w:rsid w:val="00CE36BB"/>
    <w:rsid w:val="00CE372C"/>
    <w:rsid w:val="00CE386E"/>
    <w:rsid w:val="00CE3877"/>
    <w:rsid w:val="00CE3894"/>
    <w:rsid w:val="00CE397D"/>
    <w:rsid w:val="00CE3A23"/>
    <w:rsid w:val="00CE3B20"/>
    <w:rsid w:val="00CE3B60"/>
    <w:rsid w:val="00CE3BFB"/>
    <w:rsid w:val="00CE3C23"/>
    <w:rsid w:val="00CE3CC3"/>
    <w:rsid w:val="00CE3E44"/>
    <w:rsid w:val="00CE3EB5"/>
    <w:rsid w:val="00CE3F6F"/>
    <w:rsid w:val="00CE3FA3"/>
    <w:rsid w:val="00CE4079"/>
    <w:rsid w:val="00CE4091"/>
    <w:rsid w:val="00CE4092"/>
    <w:rsid w:val="00CE40D4"/>
    <w:rsid w:val="00CE410A"/>
    <w:rsid w:val="00CE411A"/>
    <w:rsid w:val="00CE418B"/>
    <w:rsid w:val="00CE4201"/>
    <w:rsid w:val="00CE423B"/>
    <w:rsid w:val="00CE4298"/>
    <w:rsid w:val="00CE441A"/>
    <w:rsid w:val="00CE44AF"/>
    <w:rsid w:val="00CE4574"/>
    <w:rsid w:val="00CE45FC"/>
    <w:rsid w:val="00CE47D7"/>
    <w:rsid w:val="00CE483E"/>
    <w:rsid w:val="00CE4863"/>
    <w:rsid w:val="00CE4991"/>
    <w:rsid w:val="00CE49A0"/>
    <w:rsid w:val="00CE4A70"/>
    <w:rsid w:val="00CE4BD0"/>
    <w:rsid w:val="00CE4D2B"/>
    <w:rsid w:val="00CE4D94"/>
    <w:rsid w:val="00CE4EF7"/>
    <w:rsid w:val="00CE4FE4"/>
    <w:rsid w:val="00CE4FFD"/>
    <w:rsid w:val="00CE50B0"/>
    <w:rsid w:val="00CE51C7"/>
    <w:rsid w:val="00CE523E"/>
    <w:rsid w:val="00CE528E"/>
    <w:rsid w:val="00CE52D6"/>
    <w:rsid w:val="00CE53D2"/>
    <w:rsid w:val="00CE54C1"/>
    <w:rsid w:val="00CE54C7"/>
    <w:rsid w:val="00CE55B7"/>
    <w:rsid w:val="00CE55E3"/>
    <w:rsid w:val="00CE5630"/>
    <w:rsid w:val="00CE56EF"/>
    <w:rsid w:val="00CE57F0"/>
    <w:rsid w:val="00CE57F2"/>
    <w:rsid w:val="00CE57FB"/>
    <w:rsid w:val="00CE5945"/>
    <w:rsid w:val="00CE5A06"/>
    <w:rsid w:val="00CE5AB1"/>
    <w:rsid w:val="00CE5AF9"/>
    <w:rsid w:val="00CE5C98"/>
    <w:rsid w:val="00CE5D09"/>
    <w:rsid w:val="00CE5D8F"/>
    <w:rsid w:val="00CE5DE7"/>
    <w:rsid w:val="00CE5E0B"/>
    <w:rsid w:val="00CE5E81"/>
    <w:rsid w:val="00CE5EEE"/>
    <w:rsid w:val="00CE5F20"/>
    <w:rsid w:val="00CE5F71"/>
    <w:rsid w:val="00CE5FD1"/>
    <w:rsid w:val="00CE6071"/>
    <w:rsid w:val="00CE6088"/>
    <w:rsid w:val="00CE60C6"/>
    <w:rsid w:val="00CE624F"/>
    <w:rsid w:val="00CE6311"/>
    <w:rsid w:val="00CE63B2"/>
    <w:rsid w:val="00CE64C4"/>
    <w:rsid w:val="00CE65BD"/>
    <w:rsid w:val="00CE65C8"/>
    <w:rsid w:val="00CE676D"/>
    <w:rsid w:val="00CE678C"/>
    <w:rsid w:val="00CE67CD"/>
    <w:rsid w:val="00CE6A26"/>
    <w:rsid w:val="00CE6AE2"/>
    <w:rsid w:val="00CE6B20"/>
    <w:rsid w:val="00CE6B89"/>
    <w:rsid w:val="00CE6BAA"/>
    <w:rsid w:val="00CE6BD8"/>
    <w:rsid w:val="00CE6CE7"/>
    <w:rsid w:val="00CE6DB0"/>
    <w:rsid w:val="00CE6E05"/>
    <w:rsid w:val="00CE6EA2"/>
    <w:rsid w:val="00CE6EEB"/>
    <w:rsid w:val="00CE6EFC"/>
    <w:rsid w:val="00CE6F44"/>
    <w:rsid w:val="00CE6F4D"/>
    <w:rsid w:val="00CE6FBE"/>
    <w:rsid w:val="00CE70C9"/>
    <w:rsid w:val="00CE7157"/>
    <w:rsid w:val="00CE718D"/>
    <w:rsid w:val="00CE7264"/>
    <w:rsid w:val="00CE72C7"/>
    <w:rsid w:val="00CE731A"/>
    <w:rsid w:val="00CE7361"/>
    <w:rsid w:val="00CE73A9"/>
    <w:rsid w:val="00CE740B"/>
    <w:rsid w:val="00CE7509"/>
    <w:rsid w:val="00CE7556"/>
    <w:rsid w:val="00CE75CB"/>
    <w:rsid w:val="00CE7638"/>
    <w:rsid w:val="00CE7649"/>
    <w:rsid w:val="00CE7709"/>
    <w:rsid w:val="00CE7801"/>
    <w:rsid w:val="00CE780D"/>
    <w:rsid w:val="00CE7820"/>
    <w:rsid w:val="00CE7832"/>
    <w:rsid w:val="00CE7889"/>
    <w:rsid w:val="00CE7943"/>
    <w:rsid w:val="00CE794D"/>
    <w:rsid w:val="00CE79C7"/>
    <w:rsid w:val="00CE7AC2"/>
    <w:rsid w:val="00CE7B0C"/>
    <w:rsid w:val="00CE7B70"/>
    <w:rsid w:val="00CE7BAB"/>
    <w:rsid w:val="00CE7C60"/>
    <w:rsid w:val="00CE7D66"/>
    <w:rsid w:val="00CE7DE5"/>
    <w:rsid w:val="00CE7ECF"/>
    <w:rsid w:val="00CE7F05"/>
    <w:rsid w:val="00CF0039"/>
    <w:rsid w:val="00CF013A"/>
    <w:rsid w:val="00CF018E"/>
    <w:rsid w:val="00CF0193"/>
    <w:rsid w:val="00CF0227"/>
    <w:rsid w:val="00CF024B"/>
    <w:rsid w:val="00CF0275"/>
    <w:rsid w:val="00CF038C"/>
    <w:rsid w:val="00CF038F"/>
    <w:rsid w:val="00CF03EC"/>
    <w:rsid w:val="00CF046C"/>
    <w:rsid w:val="00CF0519"/>
    <w:rsid w:val="00CF0530"/>
    <w:rsid w:val="00CF0557"/>
    <w:rsid w:val="00CF055D"/>
    <w:rsid w:val="00CF073C"/>
    <w:rsid w:val="00CF0824"/>
    <w:rsid w:val="00CF08FF"/>
    <w:rsid w:val="00CF092A"/>
    <w:rsid w:val="00CF0B00"/>
    <w:rsid w:val="00CF0BC6"/>
    <w:rsid w:val="00CF0BC8"/>
    <w:rsid w:val="00CF0CEE"/>
    <w:rsid w:val="00CF0F2E"/>
    <w:rsid w:val="00CF0F5C"/>
    <w:rsid w:val="00CF0FEB"/>
    <w:rsid w:val="00CF1002"/>
    <w:rsid w:val="00CF10DD"/>
    <w:rsid w:val="00CF111B"/>
    <w:rsid w:val="00CF1124"/>
    <w:rsid w:val="00CF116B"/>
    <w:rsid w:val="00CF11BD"/>
    <w:rsid w:val="00CF1222"/>
    <w:rsid w:val="00CF124C"/>
    <w:rsid w:val="00CF125F"/>
    <w:rsid w:val="00CF1293"/>
    <w:rsid w:val="00CF1350"/>
    <w:rsid w:val="00CF145E"/>
    <w:rsid w:val="00CF1477"/>
    <w:rsid w:val="00CF14E2"/>
    <w:rsid w:val="00CF155D"/>
    <w:rsid w:val="00CF1643"/>
    <w:rsid w:val="00CF1793"/>
    <w:rsid w:val="00CF1882"/>
    <w:rsid w:val="00CF193D"/>
    <w:rsid w:val="00CF1A5B"/>
    <w:rsid w:val="00CF1B63"/>
    <w:rsid w:val="00CF1D74"/>
    <w:rsid w:val="00CF1DB2"/>
    <w:rsid w:val="00CF1DFD"/>
    <w:rsid w:val="00CF1E52"/>
    <w:rsid w:val="00CF1FC3"/>
    <w:rsid w:val="00CF202C"/>
    <w:rsid w:val="00CF2116"/>
    <w:rsid w:val="00CF212F"/>
    <w:rsid w:val="00CF2184"/>
    <w:rsid w:val="00CF21BA"/>
    <w:rsid w:val="00CF23D2"/>
    <w:rsid w:val="00CF241A"/>
    <w:rsid w:val="00CF248E"/>
    <w:rsid w:val="00CF24A8"/>
    <w:rsid w:val="00CF2545"/>
    <w:rsid w:val="00CF261F"/>
    <w:rsid w:val="00CF262E"/>
    <w:rsid w:val="00CF277D"/>
    <w:rsid w:val="00CF2994"/>
    <w:rsid w:val="00CF2A8A"/>
    <w:rsid w:val="00CF2BE6"/>
    <w:rsid w:val="00CF2C67"/>
    <w:rsid w:val="00CF2CBF"/>
    <w:rsid w:val="00CF2CC3"/>
    <w:rsid w:val="00CF2CE4"/>
    <w:rsid w:val="00CF2DC5"/>
    <w:rsid w:val="00CF2E01"/>
    <w:rsid w:val="00CF2F28"/>
    <w:rsid w:val="00CF2F78"/>
    <w:rsid w:val="00CF2FF9"/>
    <w:rsid w:val="00CF3010"/>
    <w:rsid w:val="00CF30E1"/>
    <w:rsid w:val="00CF3152"/>
    <w:rsid w:val="00CF3160"/>
    <w:rsid w:val="00CF31AE"/>
    <w:rsid w:val="00CF349F"/>
    <w:rsid w:val="00CF354E"/>
    <w:rsid w:val="00CF35E5"/>
    <w:rsid w:val="00CF3608"/>
    <w:rsid w:val="00CF365A"/>
    <w:rsid w:val="00CF3851"/>
    <w:rsid w:val="00CF39D6"/>
    <w:rsid w:val="00CF39D8"/>
    <w:rsid w:val="00CF3A23"/>
    <w:rsid w:val="00CF3A26"/>
    <w:rsid w:val="00CF3A46"/>
    <w:rsid w:val="00CF3A97"/>
    <w:rsid w:val="00CF3B02"/>
    <w:rsid w:val="00CF3B67"/>
    <w:rsid w:val="00CF3BAA"/>
    <w:rsid w:val="00CF3BBE"/>
    <w:rsid w:val="00CF3BC2"/>
    <w:rsid w:val="00CF3C50"/>
    <w:rsid w:val="00CF3C6D"/>
    <w:rsid w:val="00CF3C8F"/>
    <w:rsid w:val="00CF3D8F"/>
    <w:rsid w:val="00CF3E00"/>
    <w:rsid w:val="00CF3E01"/>
    <w:rsid w:val="00CF3E3F"/>
    <w:rsid w:val="00CF3E9D"/>
    <w:rsid w:val="00CF3F4B"/>
    <w:rsid w:val="00CF40A7"/>
    <w:rsid w:val="00CF40CE"/>
    <w:rsid w:val="00CF4136"/>
    <w:rsid w:val="00CF4203"/>
    <w:rsid w:val="00CF4245"/>
    <w:rsid w:val="00CF4282"/>
    <w:rsid w:val="00CF42BA"/>
    <w:rsid w:val="00CF432D"/>
    <w:rsid w:val="00CF43D8"/>
    <w:rsid w:val="00CF4447"/>
    <w:rsid w:val="00CF4486"/>
    <w:rsid w:val="00CF44D4"/>
    <w:rsid w:val="00CF44FC"/>
    <w:rsid w:val="00CF4593"/>
    <w:rsid w:val="00CF45C4"/>
    <w:rsid w:val="00CF4600"/>
    <w:rsid w:val="00CF4664"/>
    <w:rsid w:val="00CF47C7"/>
    <w:rsid w:val="00CF48DC"/>
    <w:rsid w:val="00CF4A58"/>
    <w:rsid w:val="00CF4ADE"/>
    <w:rsid w:val="00CF4CF8"/>
    <w:rsid w:val="00CF4D8C"/>
    <w:rsid w:val="00CF4E02"/>
    <w:rsid w:val="00CF4F9B"/>
    <w:rsid w:val="00CF4FA5"/>
    <w:rsid w:val="00CF505C"/>
    <w:rsid w:val="00CF509C"/>
    <w:rsid w:val="00CF50B1"/>
    <w:rsid w:val="00CF50ED"/>
    <w:rsid w:val="00CF51C2"/>
    <w:rsid w:val="00CF51C3"/>
    <w:rsid w:val="00CF521E"/>
    <w:rsid w:val="00CF5296"/>
    <w:rsid w:val="00CF5435"/>
    <w:rsid w:val="00CF5557"/>
    <w:rsid w:val="00CF556A"/>
    <w:rsid w:val="00CF568F"/>
    <w:rsid w:val="00CF56EA"/>
    <w:rsid w:val="00CF57EB"/>
    <w:rsid w:val="00CF5945"/>
    <w:rsid w:val="00CF5A1E"/>
    <w:rsid w:val="00CF5AF2"/>
    <w:rsid w:val="00CF5B65"/>
    <w:rsid w:val="00CF5CCE"/>
    <w:rsid w:val="00CF5CD8"/>
    <w:rsid w:val="00CF5D57"/>
    <w:rsid w:val="00CF5D5C"/>
    <w:rsid w:val="00CF5F12"/>
    <w:rsid w:val="00CF5FA9"/>
    <w:rsid w:val="00CF5FB2"/>
    <w:rsid w:val="00CF5FBA"/>
    <w:rsid w:val="00CF5FC4"/>
    <w:rsid w:val="00CF6089"/>
    <w:rsid w:val="00CF617B"/>
    <w:rsid w:val="00CF622E"/>
    <w:rsid w:val="00CF6624"/>
    <w:rsid w:val="00CF663C"/>
    <w:rsid w:val="00CF6659"/>
    <w:rsid w:val="00CF6771"/>
    <w:rsid w:val="00CF67EF"/>
    <w:rsid w:val="00CF6857"/>
    <w:rsid w:val="00CF687D"/>
    <w:rsid w:val="00CF696F"/>
    <w:rsid w:val="00CF6A80"/>
    <w:rsid w:val="00CF6AF2"/>
    <w:rsid w:val="00CF6B8E"/>
    <w:rsid w:val="00CF6B98"/>
    <w:rsid w:val="00CF6BD2"/>
    <w:rsid w:val="00CF6C2C"/>
    <w:rsid w:val="00CF6C33"/>
    <w:rsid w:val="00CF6CEB"/>
    <w:rsid w:val="00CF6D36"/>
    <w:rsid w:val="00CF6D80"/>
    <w:rsid w:val="00CF6D8E"/>
    <w:rsid w:val="00CF6DD0"/>
    <w:rsid w:val="00CF6DDE"/>
    <w:rsid w:val="00CF6E83"/>
    <w:rsid w:val="00CF706F"/>
    <w:rsid w:val="00CF70BC"/>
    <w:rsid w:val="00CF711B"/>
    <w:rsid w:val="00CF72D9"/>
    <w:rsid w:val="00CF73AC"/>
    <w:rsid w:val="00CF74D9"/>
    <w:rsid w:val="00CF756C"/>
    <w:rsid w:val="00CF7754"/>
    <w:rsid w:val="00CF77A0"/>
    <w:rsid w:val="00CF77F8"/>
    <w:rsid w:val="00CF790F"/>
    <w:rsid w:val="00CF79C4"/>
    <w:rsid w:val="00CF79DE"/>
    <w:rsid w:val="00CF79E4"/>
    <w:rsid w:val="00CF7A22"/>
    <w:rsid w:val="00CF7C62"/>
    <w:rsid w:val="00CF7C72"/>
    <w:rsid w:val="00CF7CD0"/>
    <w:rsid w:val="00CF7DE4"/>
    <w:rsid w:val="00CF7E27"/>
    <w:rsid w:val="00CF7E6B"/>
    <w:rsid w:val="00CF7E95"/>
    <w:rsid w:val="00CF7F30"/>
    <w:rsid w:val="00D00021"/>
    <w:rsid w:val="00D0008B"/>
    <w:rsid w:val="00D000DE"/>
    <w:rsid w:val="00D0017B"/>
    <w:rsid w:val="00D00240"/>
    <w:rsid w:val="00D00408"/>
    <w:rsid w:val="00D0040F"/>
    <w:rsid w:val="00D0047E"/>
    <w:rsid w:val="00D004CE"/>
    <w:rsid w:val="00D005DD"/>
    <w:rsid w:val="00D0064C"/>
    <w:rsid w:val="00D006B7"/>
    <w:rsid w:val="00D006F6"/>
    <w:rsid w:val="00D00710"/>
    <w:rsid w:val="00D00841"/>
    <w:rsid w:val="00D00857"/>
    <w:rsid w:val="00D008C3"/>
    <w:rsid w:val="00D00960"/>
    <w:rsid w:val="00D00969"/>
    <w:rsid w:val="00D009B1"/>
    <w:rsid w:val="00D00AB8"/>
    <w:rsid w:val="00D00B4C"/>
    <w:rsid w:val="00D00B74"/>
    <w:rsid w:val="00D00C33"/>
    <w:rsid w:val="00D00C38"/>
    <w:rsid w:val="00D00C78"/>
    <w:rsid w:val="00D00F1B"/>
    <w:rsid w:val="00D00F28"/>
    <w:rsid w:val="00D00F79"/>
    <w:rsid w:val="00D00FBA"/>
    <w:rsid w:val="00D010AD"/>
    <w:rsid w:val="00D01199"/>
    <w:rsid w:val="00D0127F"/>
    <w:rsid w:val="00D01349"/>
    <w:rsid w:val="00D0139F"/>
    <w:rsid w:val="00D014A1"/>
    <w:rsid w:val="00D01500"/>
    <w:rsid w:val="00D01646"/>
    <w:rsid w:val="00D01666"/>
    <w:rsid w:val="00D0167A"/>
    <w:rsid w:val="00D016C1"/>
    <w:rsid w:val="00D0179A"/>
    <w:rsid w:val="00D017AC"/>
    <w:rsid w:val="00D018D5"/>
    <w:rsid w:val="00D019B8"/>
    <w:rsid w:val="00D019E4"/>
    <w:rsid w:val="00D01B2A"/>
    <w:rsid w:val="00D01BB4"/>
    <w:rsid w:val="00D01C32"/>
    <w:rsid w:val="00D01C83"/>
    <w:rsid w:val="00D01C8A"/>
    <w:rsid w:val="00D01C99"/>
    <w:rsid w:val="00D01CC7"/>
    <w:rsid w:val="00D01CE2"/>
    <w:rsid w:val="00D01E06"/>
    <w:rsid w:val="00D01EE7"/>
    <w:rsid w:val="00D01EF5"/>
    <w:rsid w:val="00D01F3C"/>
    <w:rsid w:val="00D01F4E"/>
    <w:rsid w:val="00D01FEE"/>
    <w:rsid w:val="00D0216A"/>
    <w:rsid w:val="00D02182"/>
    <w:rsid w:val="00D02250"/>
    <w:rsid w:val="00D0229B"/>
    <w:rsid w:val="00D022F6"/>
    <w:rsid w:val="00D02318"/>
    <w:rsid w:val="00D023E9"/>
    <w:rsid w:val="00D02413"/>
    <w:rsid w:val="00D025D6"/>
    <w:rsid w:val="00D02659"/>
    <w:rsid w:val="00D02672"/>
    <w:rsid w:val="00D026F8"/>
    <w:rsid w:val="00D0275E"/>
    <w:rsid w:val="00D027C9"/>
    <w:rsid w:val="00D02800"/>
    <w:rsid w:val="00D02849"/>
    <w:rsid w:val="00D028ED"/>
    <w:rsid w:val="00D028F5"/>
    <w:rsid w:val="00D02A5C"/>
    <w:rsid w:val="00D02B0E"/>
    <w:rsid w:val="00D02B1E"/>
    <w:rsid w:val="00D02B5D"/>
    <w:rsid w:val="00D02BAD"/>
    <w:rsid w:val="00D02BAE"/>
    <w:rsid w:val="00D02C6F"/>
    <w:rsid w:val="00D02C8D"/>
    <w:rsid w:val="00D02D11"/>
    <w:rsid w:val="00D02D99"/>
    <w:rsid w:val="00D02F28"/>
    <w:rsid w:val="00D02F60"/>
    <w:rsid w:val="00D02F76"/>
    <w:rsid w:val="00D02FD5"/>
    <w:rsid w:val="00D03088"/>
    <w:rsid w:val="00D030FB"/>
    <w:rsid w:val="00D03194"/>
    <w:rsid w:val="00D031EE"/>
    <w:rsid w:val="00D0320C"/>
    <w:rsid w:val="00D0330F"/>
    <w:rsid w:val="00D03355"/>
    <w:rsid w:val="00D033DB"/>
    <w:rsid w:val="00D0341F"/>
    <w:rsid w:val="00D03486"/>
    <w:rsid w:val="00D034E8"/>
    <w:rsid w:val="00D0356E"/>
    <w:rsid w:val="00D03673"/>
    <w:rsid w:val="00D03723"/>
    <w:rsid w:val="00D0377A"/>
    <w:rsid w:val="00D037A8"/>
    <w:rsid w:val="00D0388B"/>
    <w:rsid w:val="00D03961"/>
    <w:rsid w:val="00D0399F"/>
    <w:rsid w:val="00D039E1"/>
    <w:rsid w:val="00D03A2E"/>
    <w:rsid w:val="00D03B9A"/>
    <w:rsid w:val="00D03D6F"/>
    <w:rsid w:val="00D03E55"/>
    <w:rsid w:val="00D03EB7"/>
    <w:rsid w:val="00D03F14"/>
    <w:rsid w:val="00D03F1F"/>
    <w:rsid w:val="00D03F36"/>
    <w:rsid w:val="00D041C9"/>
    <w:rsid w:val="00D04301"/>
    <w:rsid w:val="00D044E0"/>
    <w:rsid w:val="00D04547"/>
    <w:rsid w:val="00D04711"/>
    <w:rsid w:val="00D047D8"/>
    <w:rsid w:val="00D04824"/>
    <w:rsid w:val="00D04844"/>
    <w:rsid w:val="00D048C8"/>
    <w:rsid w:val="00D048FD"/>
    <w:rsid w:val="00D0493C"/>
    <w:rsid w:val="00D04949"/>
    <w:rsid w:val="00D0499E"/>
    <w:rsid w:val="00D04A4B"/>
    <w:rsid w:val="00D04A57"/>
    <w:rsid w:val="00D04AB0"/>
    <w:rsid w:val="00D04B7F"/>
    <w:rsid w:val="00D04C4B"/>
    <w:rsid w:val="00D04C9D"/>
    <w:rsid w:val="00D04D78"/>
    <w:rsid w:val="00D04ED7"/>
    <w:rsid w:val="00D04FCF"/>
    <w:rsid w:val="00D05025"/>
    <w:rsid w:val="00D0503A"/>
    <w:rsid w:val="00D0503B"/>
    <w:rsid w:val="00D05094"/>
    <w:rsid w:val="00D0511B"/>
    <w:rsid w:val="00D05128"/>
    <w:rsid w:val="00D05137"/>
    <w:rsid w:val="00D05153"/>
    <w:rsid w:val="00D051FD"/>
    <w:rsid w:val="00D05205"/>
    <w:rsid w:val="00D05207"/>
    <w:rsid w:val="00D0525E"/>
    <w:rsid w:val="00D052E5"/>
    <w:rsid w:val="00D0541D"/>
    <w:rsid w:val="00D0549C"/>
    <w:rsid w:val="00D05589"/>
    <w:rsid w:val="00D05647"/>
    <w:rsid w:val="00D056AA"/>
    <w:rsid w:val="00D057B0"/>
    <w:rsid w:val="00D057E0"/>
    <w:rsid w:val="00D05835"/>
    <w:rsid w:val="00D059A1"/>
    <w:rsid w:val="00D059CB"/>
    <w:rsid w:val="00D05A07"/>
    <w:rsid w:val="00D05A57"/>
    <w:rsid w:val="00D05A95"/>
    <w:rsid w:val="00D05B08"/>
    <w:rsid w:val="00D05DA1"/>
    <w:rsid w:val="00D05DEB"/>
    <w:rsid w:val="00D05F61"/>
    <w:rsid w:val="00D06072"/>
    <w:rsid w:val="00D060B7"/>
    <w:rsid w:val="00D06235"/>
    <w:rsid w:val="00D0634A"/>
    <w:rsid w:val="00D063A3"/>
    <w:rsid w:val="00D063A7"/>
    <w:rsid w:val="00D063EB"/>
    <w:rsid w:val="00D06420"/>
    <w:rsid w:val="00D0648C"/>
    <w:rsid w:val="00D064E0"/>
    <w:rsid w:val="00D06612"/>
    <w:rsid w:val="00D0664C"/>
    <w:rsid w:val="00D066E0"/>
    <w:rsid w:val="00D066FF"/>
    <w:rsid w:val="00D067B2"/>
    <w:rsid w:val="00D068AA"/>
    <w:rsid w:val="00D068DF"/>
    <w:rsid w:val="00D06915"/>
    <w:rsid w:val="00D069A1"/>
    <w:rsid w:val="00D069E7"/>
    <w:rsid w:val="00D069F7"/>
    <w:rsid w:val="00D06A51"/>
    <w:rsid w:val="00D06AFB"/>
    <w:rsid w:val="00D06C82"/>
    <w:rsid w:val="00D06D2D"/>
    <w:rsid w:val="00D06D67"/>
    <w:rsid w:val="00D06E2F"/>
    <w:rsid w:val="00D06EBC"/>
    <w:rsid w:val="00D06EF1"/>
    <w:rsid w:val="00D06F5D"/>
    <w:rsid w:val="00D06FA6"/>
    <w:rsid w:val="00D06FC0"/>
    <w:rsid w:val="00D07016"/>
    <w:rsid w:val="00D0707D"/>
    <w:rsid w:val="00D07086"/>
    <w:rsid w:val="00D07301"/>
    <w:rsid w:val="00D07310"/>
    <w:rsid w:val="00D07371"/>
    <w:rsid w:val="00D074D7"/>
    <w:rsid w:val="00D07531"/>
    <w:rsid w:val="00D07553"/>
    <w:rsid w:val="00D0755E"/>
    <w:rsid w:val="00D075B1"/>
    <w:rsid w:val="00D0768F"/>
    <w:rsid w:val="00D07699"/>
    <w:rsid w:val="00D076DC"/>
    <w:rsid w:val="00D0775B"/>
    <w:rsid w:val="00D0777E"/>
    <w:rsid w:val="00D07848"/>
    <w:rsid w:val="00D07897"/>
    <w:rsid w:val="00D07958"/>
    <w:rsid w:val="00D07973"/>
    <w:rsid w:val="00D079C9"/>
    <w:rsid w:val="00D079DF"/>
    <w:rsid w:val="00D07A09"/>
    <w:rsid w:val="00D07A8A"/>
    <w:rsid w:val="00D07AC3"/>
    <w:rsid w:val="00D07B1A"/>
    <w:rsid w:val="00D07BAF"/>
    <w:rsid w:val="00D07C03"/>
    <w:rsid w:val="00D07C04"/>
    <w:rsid w:val="00D07C67"/>
    <w:rsid w:val="00D07C8E"/>
    <w:rsid w:val="00D07CD9"/>
    <w:rsid w:val="00D07F3A"/>
    <w:rsid w:val="00D10062"/>
    <w:rsid w:val="00D10161"/>
    <w:rsid w:val="00D101FD"/>
    <w:rsid w:val="00D10245"/>
    <w:rsid w:val="00D1026D"/>
    <w:rsid w:val="00D1033A"/>
    <w:rsid w:val="00D10372"/>
    <w:rsid w:val="00D1048E"/>
    <w:rsid w:val="00D104F4"/>
    <w:rsid w:val="00D10537"/>
    <w:rsid w:val="00D105B9"/>
    <w:rsid w:val="00D105FC"/>
    <w:rsid w:val="00D106A7"/>
    <w:rsid w:val="00D10715"/>
    <w:rsid w:val="00D10746"/>
    <w:rsid w:val="00D1081A"/>
    <w:rsid w:val="00D10984"/>
    <w:rsid w:val="00D109AC"/>
    <w:rsid w:val="00D109E1"/>
    <w:rsid w:val="00D109F0"/>
    <w:rsid w:val="00D10A39"/>
    <w:rsid w:val="00D10AE3"/>
    <w:rsid w:val="00D10B01"/>
    <w:rsid w:val="00D10B79"/>
    <w:rsid w:val="00D10D32"/>
    <w:rsid w:val="00D10D5A"/>
    <w:rsid w:val="00D10E11"/>
    <w:rsid w:val="00D10F8F"/>
    <w:rsid w:val="00D10FB9"/>
    <w:rsid w:val="00D110BF"/>
    <w:rsid w:val="00D110E5"/>
    <w:rsid w:val="00D111AA"/>
    <w:rsid w:val="00D11231"/>
    <w:rsid w:val="00D11374"/>
    <w:rsid w:val="00D113A8"/>
    <w:rsid w:val="00D11439"/>
    <w:rsid w:val="00D1145F"/>
    <w:rsid w:val="00D114BD"/>
    <w:rsid w:val="00D114C9"/>
    <w:rsid w:val="00D1155D"/>
    <w:rsid w:val="00D115A0"/>
    <w:rsid w:val="00D1161F"/>
    <w:rsid w:val="00D11660"/>
    <w:rsid w:val="00D116AB"/>
    <w:rsid w:val="00D116D3"/>
    <w:rsid w:val="00D1174F"/>
    <w:rsid w:val="00D1189B"/>
    <w:rsid w:val="00D11B25"/>
    <w:rsid w:val="00D11CED"/>
    <w:rsid w:val="00D11D05"/>
    <w:rsid w:val="00D11D96"/>
    <w:rsid w:val="00D11D9F"/>
    <w:rsid w:val="00D11DF6"/>
    <w:rsid w:val="00D11E6C"/>
    <w:rsid w:val="00D11FB9"/>
    <w:rsid w:val="00D12097"/>
    <w:rsid w:val="00D12147"/>
    <w:rsid w:val="00D12326"/>
    <w:rsid w:val="00D12426"/>
    <w:rsid w:val="00D12437"/>
    <w:rsid w:val="00D12507"/>
    <w:rsid w:val="00D12564"/>
    <w:rsid w:val="00D12581"/>
    <w:rsid w:val="00D12721"/>
    <w:rsid w:val="00D12757"/>
    <w:rsid w:val="00D12760"/>
    <w:rsid w:val="00D127B3"/>
    <w:rsid w:val="00D12839"/>
    <w:rsid w:val="00D129CB"/>
    <w:rsid w:val="00D129E0"/>
    <w:rsid w:val="00D12A63"/>
    <w:rsid w:val="00D12AA0"/>
    <w:rsid w:val="00D12AD4"/>
    <w:rsid w:val="00D12B2E"/>
    <w:rsid w:val="00D12B91"/>
    <w:rsid w:val="00D12C41"/>
    <w:rsid w:val="00D12C5C"/>
    <w:rsid w:val="00D12C6C"/>
    <w:rsid w:val="00D12D90"/>
    <w:rsid w:val="00D12DA2"/>
    <w:rsid w:val="00D12EA5"/>
    <w:rsid w:val="00D12F8B"/>
    <w:rsid w:val="00D13046"/>
    <w:rsid w:val="00D1307C"/>
    <w:rsid w:val="00D131A4"/>
    <w:rsid w:val="00D13223"/>
    <w:rsid w:val="00D13247"/>
    <w:rsid w:val="00D1325A"/>
    <w:rsid w:val="00D132A6"/>
    <w:rsid w:val="00D132B9"/>
    <w:rsid w:val="00D1330C"/>
    <w:rsid w:val="00D1336F"/>
    <w:rsid w:val="00D134A6"/>
    <w:rsid w:val="00D134FE"/>
    <w:rsid w:val="00D1352B"/>
    <w:rsid w:val="00D135D8"/>
    <w:rsid w:val="00D135DE"/>
    <w:rsid w:val="00D135E4"/>
    <w:rsid w:val="00D138A3"/>
    <w:rsid w:val="00D138EE"/>
    <w:rsid w:val="00D1393E"/>
    <w:rsid w:val="00D139B8"/>
    <w:rsid w:val="00D13AAA"/>
    <w:rsid w:val="00D13BF2"/>
    <w:rsid w:val="00D13CC8"/>
    <w:rsid w:val="00D13D56"/>
    <w:rsid w:val="00D13DC0"/>
    <w:rsid w:val="00D13F35"/>
    <w:rsid w:val="00D13FB8"/>
    <w:rsid w:val="00D13FE3"/>
    <w:rsid w:val="00D14085"/>
    <w:rsid w:val="00D140D4"/>
    <w:rsid w:val="00D14111"/>
    <w:rsid w:val="00D142AD"/>
    <w:rsid w:val="00D142FD"/>
    <w:rsid w:val="00D1430E"/>
    <w:rsid w:val="00D14385"/>
    <w:rsid w:val="00D1438E"/>
    <w:rsid w:val="00D143BF"/>
    <w:rsid w:val="00D1447B"/>
    <w:rsid w:val="00D144AC"/>
    <w:rsid w:val="00D146B9"/>
    <w:rsid w:val="00D146BD"/>
    <w:rsid w:val="00D146EE"/>
    <w:rsid w:val="00D146F2"/>
    <w:rsid w:val="00D14736"/>
    <w:rsid w:val="00D14769"/>
    <w:rsid w:val="00D14815"/>
    <w:rsid w:val="00D14882"/>
    <w:rsid w:val="00D148DC"/>
    <w:rsid w:val="00D14994"/>
    <w:rsid w:val="00D14A48"/>
    <w:rsid w:val="00D14AE6"/>
    <w:rsid w:val="00D14AF5"/>
    <w:rsid w:val="00D14B0D"/>
    <w:rsid w:val="00D14BE4"/>
    <w:rsid w:val="00D14D8C"/>
    <w:rsid w:val="00D14E19"/>
    <w:rsid w:val="00D14E28"/>
    <w:rsid w:val="00D14EAC"/>
    <w:rsid w:val="00D14EEA"/>
    <w:rsid w:val="00D14F5D"/>
    <w:rsid w:val="00D14FC8"/>
    <w:rsid w:val="00D15184"/>
    <w:rsid w:val="00D15212"/>
    <w:rsid w:val="00D15292"/>
    <w:rsid w:val="00D153DF"/>
    <w:rsid w:val="00D15544"/>
    <w:rsid w:val="00D1564B"/>
    <w:rsid w:val="00D15740"/>
    <w:rsid w:val="00D15888"/>
    <w:rsid w:val="00D158B3"/>
    <w:rsid w:val="00D159B8"/>
    <w:rsid w:val="00D15A2F"/>
    <w:rsid w:val="00D15A81"/>
    <w:rsid w:val="00D15C7E"/>
    <w:rsid w:val="00D15D06"/>
    <w:rsid w:val="00D15D0C"/>
    <w:rsid w:val="00D15D33"/>
    <w:rsid w:val="00D15DA2"/>
    <w:rsid w:val="00D15DE7"/>
    <w:rsid w:val="00D15EF8"/>
    <w:rsid w:val="00D15FFC"/>
    <w:rsid w:val="00D16045"/>
    <w:rsid w:val="00D160C9"/>
    <w:rsid w:val="00D1613E"/>
    <w:rsid w:val="00D16143"/>
    <w:rsid w:val="00D16164"/>
    <w:rsid w:val="00D16301"/>
    <w:rsid w:val="00D16399"/>
    <w:rsid w:val="00D1639C"/>
    <w:rsid w:val="00D16467"/>
    <w:rsid w:val="00D164A2"/>
    <w:rsid w:val="00D164A7"/>
    <w:rsid w:val="00D164C3"/>
    <w:rsid w:val="00D166D2"/>
    <w:rsid w:val="00D1672B"/>
    <w:rsid w:val="00D168BB"/>
    <w:rsid w:val="00D16909"/>
    <w:rsid w:val="00D16994"/>
    <w:rsid w:val="00D16A5F"/>
    <w:rsid w:val="00D16A66"/>
    <w:rsid w:val="00D16C0B"/>
    <w:rsid w:val="00D16E28"/>
    <w:rsid w:val="00D16E93"/>
    <w:rsid w:val="00D16F00"/>
    <w:rsid w:val="00D16F1E"/>
    <w:rsid w:val="00D16FCB"/>
    <w:rsid w:val="00D17007"/>
    <w:rsid w:val="00D1720C"/>
    <w:rsid w:val="00D17556"/>
    <w:rsid w:val="00D175F0"/>
    <w:rsid w:val="00D175FB"/>
    <w:rsid w:val="00D17609"/>
    <w:rsid w:val="00D176DB"/>
    <w:rsid w:val="00D177CA"/>
    <w:rsid w:val="00D177F0"/>
    <w:rsid w:val="00D17839"/>
    <w:rsid w:val="00D17956"/>
    <w:rsid w:val="00D179A6"/>
    <w:rsid w:val="00D179A9"/>
    <w:rsid w:val="00D179BD"/>
    <w:rsid w:val="00D17B06"/>
    <w:rsid w:val="00D17BD7"/>
    <w:rsid w:val="00D17C44"/>
    <w:rsid w:val="00D17CED"/>
    <w:rsid w:val="00D17D14"/>
    <w:rsid w:val="00D17DD0"/>
    <w:rsid w:val="00D17F3A"/>
    <w:rsid w:val="00D17FBF"/>
    <w:rsid w:val="00D2003B"/>
    <w:rsid w:val="00D20093"/>
    <w:rsid w:val="00D200EF"/>
    <w:rsid w:val="00D200FD"/>
    <w:rsid w:val="00D20106"/>
    <w:rsid w:val="00D201E2"/>
    <w:rsid w:val="00D2021A"/>
    <w:rsid w:val="00D20335"/>
    <w:rsid w:val="00D2040E"/>
    <w:rsid w:val="00D2050E"/>
    <w:rsid w:val="00D20600"/>
    <w:rsid w:val="00D2069D"/>
    <w:rsid w:val="00D206C0"/>
    <w:rsid w:val="00D207DA"/>
    <w:rsid w:val="00D20905"/>
    <w:rsid w:val="00D20A5A"/>
    <w:rsid w:val="00D20A5D"/>
    <w:rsid w:val="00D20B63"/>
    <w:rsid w:val="00D20BE8"/>
    <w:rsid w:val="00D20CFC"/>
    <w:rsid w:val="00D20DC3"/>
    <w:rsid w:val="00D20E0C"/>
    <w:rsid w:val="00D20F06"/>
    <w:rsid w:val="00D20F25"/>
    <w:rsid w:val="00D210A3"/>
    <w:rsid w:val="00D211F8"/>
    <w:rsid w:val="00D212CC"/>
    <w:rsid w:val="00D2133E"/>
    <w:rsid w:val="00D213F6"/>
    <w:rsid w:val="00D213FA"/>
    <w:rsid w:val="00D2144B"/>
    <w:rsid w:val="00D214A3"/>
    <w:rsid w:val="00D21539"/>
    <w:rsid w:val="00D2156A"/>
    <w:rsid w:val="00D215E1"/>
    <w:rsid w:val="00D2171A"/>
    <w:rsid w:val="00D218AE"/>
    <w:rsid w:val="00D2195F"/>
    <w:rsid w:val="00D219E4"/>
    <w:rsid w:val="00D21A1F"/>
    <w:rsid w:val="00D21B69"/>
    <w:rsid w:val="00D21B71"/>
    <w:rsid w:val="00D21BB1"/>
    <w:rsid w:val="00D21D18"/>
    <w:rsid w:val="00D21E42"/>
    <w:rsid w:val="00D21F1F"/>
    <w:rsid w:val="00D21F71"/>
    <w:rsid w:val="00D21F90"/>
    <w:rsid w:val="00D21FAA"/>
    <w:rsid w:val="00D223FA"/>
    <w:rsid w:val="00D22597"/>
    <w:rsid w:val="00D225C3"/>
    <w:rsid w:val="00D225C6"/>
    <w:rsid w:val="00D225D2"/>
    <w:rsid w:val="00D22603"/>
    <w:rsid w:val="00D22741"/>
    <w:rsid w:val="00D22755"/>
    <w:rsid w:val="00D22766"/>
    <w:rsid w:val="00D227C6"/>
    <w:rsid w:val="00D227F5"/>
    <w:rsid w:val="00D2282D"/>
    <w:rsid w:val="00D22882"/>
    <w:rsid w:val="00D22A33"/>
    <w:rsid w:val="00D22AA0"/>
    <w:rsid w:val="00D22BB2"/>
    <w:rsid w:val="00D22C38"/>
    <w:rsid w:val="00D22D3F"/>
    <w:rsid w:val="00D22D4A"/>
    <w:rsid w:val="00D22D6A"/>
    <w:rsid w:val="00D22DF3"/>
    <w:rsid w:val="00D22DFD"/>
    <w:rsid w:val="00D22E0B"/>
    <w:rsid w:val="00D22E30"/>
    <w:rsid w:val="00D22ED3"/>
    <w:rsid w:val="00D22FC0"/>
    <w:rsid w:val="00D23073"/>
    <w:rsid w:val="00D2310B"/>
    <w:rsid w:val="00D23151"/>
    <w:rsid w:val="00D23179"/>
    <w:rsid w:val="00D23191"/>
    <w:rsid w:val="00D231EE"/>
    <w:rsid w:val="00D23209"/>
    <w:rsid w:val="00D23267"/>
    <w:rsid w:val="00D23276"/>
    <w:rsid w:val="00D23299"/>
    <w:rsid w:val="00D2334C"/>
    <w:rsid w:val="00D23498"/>
    <w:rsid w:val="00D234C0"/>
    <w:rsid w:val="00D234D2"/>
    <w:rsid w:val="00D235C7"/>
    <w:rsid w:val="00D2366D"/>
    <w:rsid w:val="00D236BB"/>
    <w:rsid w:val="00D238CD"/>
    <w:rsid w:val="00D239A6"/>
    <w:rsid w:val="00D239DB"/>
    <w:rsid w:val="00D23F1D"/>
    <w:rsid w:val="00D23F60"/>
    <w:rsid w:val="00D23FA1"/>
    <w:rsid w:val="00D24039"/>
    <w:rsid w:val="00D2405F"/>
    <w:rsid w:val="00D2430A"/>
    <w:rsid w:val="00D2432E"/>
    <w:rsid w:val="00D245EC"/>
    <w:rsid w:val="00D24607"/>
    <w:rsid w:val="00D24648"/>
    <w:rsid w:val="00D24669"/>
    <w:rsid w:val="00D2467C"/>
    <w:rsid w:val="00D24741"/>
    <w:rsid w:val="00D24753"/>
    <w:rsid w:val="00D24788"/>
    <w:rsid w:val="00D24814"/>
    <w:rsid w:val="00D24880"/>
    <w:rsid w:val="00D24888"/>
    <w:rsid w:val="00D24A3A"/>
    <w:rsid w:val="00D24A8B"/>
    <w:rsid w:val="00D24ACB"/>
    <w:rsid w:val="00D24AE9"/>
    <w:rsid w:val="00D24BBA"/>
    <w:rsid w:val="00D24C64"/>
    <w:rsid w:val="00D24C98"/>
    <w:rsid w:val="00D24CAD"/>
    <w:rsid w:val="00D24CBC"/>
    <w:rsid w:val="00D24CCD"/>
    <w:rsid w:val="00D24CDA"/>
    <w:rsid w:val="00D24D5E"/>
    <w:rsid w:val="00D24ED5"/>
    <w:rsid w:val="00D24EDB"/>
    <w:rsid w:val="00D24F4E"/>
    <w:rsid w:val="00D24FEE"/>
    <w:rsid w:val="00D25146"/>
    <w:rsid w:val="00D251B0"/>
    <w:rsid w:val="00D25223"/>
    <w:rsid w:val="00D252DC"/>
    <w:rsid w:val="00D25311"/>
    <w:rsid w:val="00D253CB"/>
    <w:rsid w:val="00D255A3"/>
    <w:rsid w:val="00D2560B"/>
    <w:rsid w:val="00D256A8"/>
    <w:rsid w:val="00D256C2"/>
    <w:rsid w:val="00D25A45"/>
    <w:rsid w:val="00D25A53"/>
    <w:rsid w:val="00D25AC2"/>
    <w:rsid w:val="00D25D12"/>
    <w:rsid w:val="00D25DEC"/>
    <w:rsid w:val="00D25EC8"/>
    <w:rsid w:val="00D25F2F"/>
    <w:rsid w:val="00D263B6"/>
    <w:rsid w:val="00D2645B"/>
    <w:rsid w:val="00D2649B"/>
    <w:rsid w:val="00D2662E"/>
    <w:rsid w:val="00D267C0"/>
    <w:rsid w:val="00D2680E"/>
    <w:rsid w:val="00D26814"/>
    <w:rsid w:val="00D268FB"/>
    <w:rsid w:val="00D26928"/>
    <w:rsid w:val="00D26940"/>
    <w:rsid w:val="00D2699F"/>
    <w:rsid w:val="00D269C8"/>
    <w:rsid w:val="00D26B42"/>
    <w:rsid w:val="00D26B80"/>
    <w:rsid w:val="00D26BA9"/>
    <w:rsid w:val="00D26C19"/>
    <w:rsid w:val="00D26CFA"/>
    <w:rsid w:val="00D26DEC"/>
    <w:rsid w:val="00D26FBF"/>
    <w:rsid w:val="00D270A7"/>
    <w:rsid w:val="00D270CA"/>
    <w:rsid w:val="00D27139"/>
    <w:rsid w:val="00D271A6"/>
    <w:rsid w:val="00D271DB"/>
    <w:rsid w:val="00D27280"/>
    <w:rsid w:val="00D272C8"/>
    <w:rsid w:val="00D27494"/>
    <w:rsid w:val="00D2749C"/>
    <w:rsid w:val="00D274D0"/>
    <w:rsid w:val="00D2755A"/>
    <w:rsid w:val="00D275D4"/>
    <w:rsid w:val="00D275DA"/>
    <w:rsid w:val="00D27640"/>
    <w:rsid w:val="00D2778B"/>
    <w:rsid w:val="00D27792"/>
    <w:rsid w:val="00D279E2"/>
    <w:rsid w:val="00D27A49"/>
    <w:rsid w:val="00D27BC2"/>
    <w:rsid w:val="00D27C42"/>
    <w:rsid w:val="00D27C76"/>
    <w:rsid w:val="00D27DA8"/>
    <w:rsid w:val="00D27E02"/>
    <w:rsid w:val="00D27EED"/>
    <w:rsid w:val="00D301FB"/>
    <w:rsid w:val="00D302A8"/>
    <w:rsid w:val="00D302AD"/>
    <w:rsid w:val="00D303D1"/>
    <w:rsid w:val="00D30489"/>
    <w:rsid w:val="00D30491"/>
    <w:rsid w:val="00D304BB"/>
    <w:rsid w:val="00D30597"/>
    <w:rsid w:val="00D3059E"/>
    <w:rsid w:val="00D305FB"/>
    <w:rsid w:val="00D306D1"/>
    <w:rsid w:val="00D307A2"/>
    <w:rsid w:val="00D307ED"/>
    <w:rsid w:val="00D308B0"/>
    <w:rsid w:val="00D309C3"/>
    <w:rsid w:val="00D30C05"/>
    <w:rsid w:val="00D30C62"/>
    <w:rsid w:val="00D30DFA"/>
    <w:rsid w:val="00D30E56"/>
    <w:rsid w:val="00D30EB8"/>
    <w:rsid w:val="00D3112B"/>
    <w:rsid w:val="00D3113D"/>
    <w:rsid w:val="00D312D4"/>
    <w:rsid w:val="00D31401"/>
    <w:rsid w:val="00D3142B"/>
    <w:rsid w:val="00D314DC"/>
    <w:rsid w:val="00D3156E"/>
    <w:rsid w:val="00D315FC"/>
    <w:rsid w:val="00D31648"/>
    <w:rsid w:val="00D316D7"/>
    <w:rsid w:val="00D316FE"/>
    <w:rsid w:val="00D31775"/>
    <w:rsid w:val="00D31778"/>
    <w:rsid w:val="00D318E1"/>
    <w:rsid w:val="00D31946"/>
    <w:rsid w:val="00D319DA"/>
    <w:rsid w:val="00D319ED"/>
    <w:rsid w:val="00D319F3"/>
    <w:rsid w:val="00D31B62"/>
    <w:rsid w:val="00D31B9B"/>
    <w:rsid w:val="00D31BCC"/>
    <w:rsid w:val="00D31C05"/>
    <w:rsid w:val="00D31C2B"/>
    <w:rsid w:val="00D31C30"/>
    <w:rsid w:val="00D31DEA"/>
    <w:rsid w:val="00D31E44"/>
    <w:rsid w:val="00D31E5D"/>
    <w:rsid w:val="00D31EB5"/>
    <w:rsid w:val="00D32009"/>
    <w:rsid w:val="00D320DB"/>
    <w:rsid w:val="00D32285"/>
    <w:rsid w:val="00D322B2"/>
    <w:rsid w:val="00D322EB"/>
    <w:rsid w:val="00D32651"/>
    <w:rsid w:val="00D3265D"/>
    <w:rsid w:val="00D3273B"/>
    <w:rsid w:val="00D327AA"/>
    <w:rsid w:val="00D327B3"/>
    <w:rsid w:val="00D32805"/>
    <w:rsid w:val="00D328A8"/>
    <w:rsid w:val="00D32A15"/>
    <w:rsid w:val="00D32CB0"/>
    <w:rsid w:val="00D32D0A"/>
    <w:rsid w:val="00D32D52"/>
    <w:rsid w:val="00D32DDE"/>
    <w:rsid w:val="00D32E75"/>
    <w:rsid w:val="00D33047"/>
    <w:rsid w:val="00D331B8"/>
    <w:rsid w:val="00D331F0"/>
    <w:rsid w:val="00D33257"/>
    <w:rsid w:val="00D332F8"/>
    <w:rsid w:val="00D3331A"/>
    <w:rsid w:val="00D33320"/>
    <w:rsid w:val="00D3342F"/>
    <w:rsid w:val="00D3346E"/>
    <w:rsid w:val="00D3347F"/>
    <w:rsid w:val="00D334B7"/>
    <w:rsid w:val="00D3356B"/>
    <w:rsid w:val="00D33668"/>
    <w:rsid w:val="00D3366E"/>
    <w:rsid w:val="00D3367A"/>
    <w:rsid w:val="00D33795"/>
    <w:rsid w:val="00D338E9"/>
    <w:rsid w:val="00D339BA"/>
    <w:rsid w:val="00D33ACB"/>
    <w:rsid w:val="00D33B53"/>
    <w:rsid w:val="00D33BAA"/>
    <w:rsid w:val="00D33BCE"/>
    <w:rsid w:val="00D33C31"/>
    <w:rsid w:val="00D33CA3"/>
    <w:rsid w:val="00D33E19"/>
    <w:rsid w:val="00D33EED"/>
    <w:rsid w:val="00D33F33"/>
    <w:rsid w:val="00D33F90"/>
    <w:rsid w:val="00D33FF8"/>
    <w:rsid w:val="00D3400D"/>
    <w:rsid w:val="00D340A7"/>
    <w:rsid w:val="00D34119"/>
    <w:rsid w:val="00D34129"/>
    <w:rsid w:val="00D34170"/>
    <w:rsid w:val="00D3424F"/>
    <w:rsid w:val="00D34419"/>
    <w:rsid w:val="00D34454"/>
    <w:rsid w:val="00D3453D"/>
    <w:rsid w:val="00D3454E"/>
    <w:rsid w:val="00D34552"/>
    <w:rsid w:val="00D346F2"/>
    <w:rsid w:val="00D346F3"/>
    <w:rsid w:val="00D34752"/>
    <w:rsid w:val="00D3479C"/>
    <w:rsid w:val="00D348FC"/>
    <w:rsid w:val="00D34963"/>
    <w:rsid w:val="00D3496F"/>
    <w:rsid w:val="00D34971"/>
    <w:rsid w:val="00D34A4D"/>
    <w:rsid w:val="00D34BF3"/>
    <w:rsid w:val="00D34C51"/>
    <w:rsid w:val="00D34D1A"/>
    <w:rsid w:val="00D34D33"/>
    <w:rsid w:val="00D34D83"/>
    <w:rsid w:val="00D35015"/>
    <w:rsid w:val="00D3531D"/>
    <w:rsid w:val="00D3534C"/>
    <w:rsid w:val="00D353F3"/>
    <w:rsid w:val="00D356A4"/>
    <w:rsid w:val="00D35777"/>
    <w:rsid w:val="00D35790"/>
    <w:rsid w:val="00D357B7"/>
    <w:rsid w:val="00D35855"/>
    <w:rsid w:val="00D35917"/>
    <w:rsid w:val="00D35A30"/>
    <w:rsid w:val="00D35AFA"/>
    <w:rsid w:val="00D35B0B"/>
    <w:rsid w:val="00D35B4B"/>
    <w:rsid w:val="00D35B53"/>
    <w:rsid w:val="00D35C5D"/>
    <w:rsid w:val="00D35D00"/>
    <w:rsid w:val="00D35D78"/>
    <w:rsid w:val="00D35EE3"/>
    <w:rsid w:val="00D35EE7"/>
    <w:rsid w:val="00D35EF0"/>
    <w:rsid w:val="00D35F17"/>
    <w:rsid w:val="00D35F1B"/>
    <w:rsid w:val="00D35F65"/>
    <w:rsid w:val="00D35F6D"/>
    <w:rsid w:val="00D36067"/>
    <w:rsid w:val="00D3611D"/>
    <w:rsid w:val="00D36197"/>
    <w:rsid w:val="00D362F9"/>
    <w:rsid w:val="00D36374"/>
    <w:rsid w:val="00D3658D"/>
    <w:rsid w:val="00D365B7"/>
    <w:rsid w:val="00D36608"/>
    <w:rsid w:val="00D36621"/>
    <w:rsid w:val="00D366AD"/>
    <w:rsid w:val="00D366CE"/>
    <w:rsid w:val="00D36752"/>
    <w:rsid w:val="00D367AA"/>
    <w:rsid w:val="00D36828"/>
    <w:rsid w:val="00D3685E"/>
    <w:rsid w:val="00D36938"/>
    <w:rsid w:val="00D36AB8"/>
    <w:rsid w:val="00D36B19"/>
    <w:rsid w:val="00D36C48"/>
    <w:rsid w:val="00D36C56"/>
    <w:rsid w:val="00D36C96"/>
    <w:rsid w:val="00D36CE7"/>
    <w:rsid w:val="00D36E1C"/>
    <w:rsid w:val="00D36E6F"/>
    <w:rsid w:val="00D36EC5"/>
    <w:rsid w:val="00D36F66"/>
    <w:rsid w:val="00D37038"/>
    <w:rsid w:val="00D3703E"/>
    <w:rsid w:val="00D371DD"/>
    <w:rsid w:val="00D37221"/>
    <w:rsid w:val="00D372B3"/>
    <w:rsid w:val="00D37396"/>
    <w:rsid w:val="00D373B2"/>
    <w:rsid w:val="00D37510"/>
    <w:rsid w:val="00D37513"/>
    <w:rsid w:val="00D37598"/>
    <w:rsid w:val="00D3770D"/>
    <w:rsid w:val="00D3779B"/>
    <w:rsid w:val="00D377BE"/>
    <w:rsid w:val="00D37910"/>
    <w:rsid w:val="00D3795B"/>
    <w:rsid w:val="00D379B3"/>
    <w:rsid w:val="00D379E4"/>
    <w:rsid w:val="00D37A50"/>
    <w:rsid w:val="00D37A68"/>
    <w:rsid w:val="00D37B11"/>
    <w:rsid w:val="00D37BA1"/>
    <w:rsid w:val="00D37C11"/>
    <w:rsid w:val="00D37C6C"/>
    <w:rsid w:val="00D37CC5"/>
    <w:rsid w:val="00D37D44"/>
    <w:rsid w:val="00D37DD8"/>
    <w:rsid w:val="00D37E10"/>
    <w:rsid w:val="00D37E51"/>
    <w:rsid w:val="00D37EA6"/>
    <w:rsid w:val="00D37F24"/>
    <w:rsid w:val="00D37FC6"/>
    <w:rsid w:val="00D40126"/>
    <w:rsid w:val="00D4015B"/>
    <w:rsid w:val="00D40163"/>
    <w:rsid w:val="00D40194"/>
    <w:rsid w:val="00D40219"/>
    <w:rsid w:val="00D40295"/>
    <w:rsid w:val="00D403C9"/>
    <w:rsid w:val="00D40429"/>
    <w:rsid w:val="00D4053E"/>
    <w:rsid w:val="00D405BD"/>
    <w:rsid w:val="00D405E0"/>
    <w:rsid w:val="00D40623"/>
    <w:rsid w:val="00D406D0"/>
    <w:rsid w:val="00D4077E"/>
    <w:rsid w:val="00D40797"/>
    <w:rsid w:val="00D40841"/>
    <w:rsid w:val="00D4085B"/>
    <w:rsid w:val="00D408C8"/>
    <w:rsid w:val="00D4094E"/>
    <w:rsid w:val="00D4099C"/>
    <w:rsid w:val="00D409E8"/>
    <w:rsid w:val="00D40A7C"/>
    <w:rsid w:val="00D40BAB"/>
    <w:rsid w:val="00D40C0F"/>
    <w:rsid w:val="00D40C56"/>
    <w:rsid w:val="00D40C9B"/>
    <w:rsid w:val="00D40CC5"/>
    <w:rsid w:val="00D40DD9"/>
    <w:rsid w:val="00D40DE4"/>
    <w:rsid w:val="00D40DE8"/>
    <w:rsid w:val="00D40DEB"/>
    <w:rsid w:val="00D40DF8"/>
    <w:rsid w:val="00D41155"/>
    <w:rsid w:val="00D411FC"/>
    <w:rsid w:val="00D4124C"/>
    <w:rsid w:val="00D41274"/>
    <w:rsid w:val="00D4136E"/>
    <w:rsid w:val="00D4139D"/>
    <w:rsid w:val="00D41415"/>
    <w:rsid w:val="00D41419"/>
    <w:rsid w:val="00D41475"/>
    <w:rsid w:val="00D414E3"/>
    <w:rsid w:val="00D415B2"/>
    <w:rsid w:val="00D4162B"/>
    <w:rsid w:val="00D41649"/>
    <w:rsid w:val="00D4170C"/>
    <w:rsid w:val="00D4171F"/>
    <w:rsid w:val="00D41747"/>
    <w:rsid w:val="00D418F4"/>
    <w:rsid w:val="00D41914"/>
    <w:rsid w:val="00D419EC"/>
    <w:rsid w:val="00D41A0E"/>
    <w:rsid w:val="00D41A78"/>
    <w:rsid w:val="00D41A94"/>
    <w:rsid w:val="00D41AC4"/>
    <w:rsid w:val="00D41AFD"/>
    <w:rsid w:val="00D41B6C"/>
    <w:rsid w:val="00D41BFC"/>
    <w:rsid w:val="00D41C94"/>
    <w:rsid w:val="00D41CF0"/>
    <w:rsid w:val="00D41DE7"/>
    <w:rsid w:val="00D41E29"/>
    <w:rsid w:val="00D41F7B"/>
    <w:rsid w:val="00D41F80"/>
    <w:rsid w:val="00D41FE8"/>
    <w:rsid w:val="00D42074"/>
    <w:rsid w:val="00D4213F"/>
    <w:rsid w:val="00D421F0"/>
    <w:rsid w:val="00D4223E"/>
    <w:rsid w:val="00D42266"/>
    <w:rsid w:val="00D4231B"/>
    <w:rsid w:val="00D4234F"/>
    <w:rsid w:val="00D423C9"/>
    <w:rsid w:val="00D4263C"/>
    <w:rsid w:val="00D42653"/>
    <w:rsid w:val="00D42713"/>
    <w:rsid w:val="00D42719"/>
    <w:rsid w:val="00D4272D"/>
    <w:rsid w:val="00D428C5"/>
    <w:rsid w:val="00D428EB"/>
    <w:rsid w:val="00D4297E"/>
    <w:rsid w:val="00D42A83"/>
    <w:rsid w:val="00D42B20"/>
    <w:rsid w:val="00D42B32"/>
    <w:rsid w:val="00D42B78"/>
    <w:rsid w:val="00D42BD0"/>
    <w:rsid w:val="00D42C07"/>
    <w:rsid w:val="00D42C33"/>
    <w:rsid w:val="00D42C36"/>
    <w:rsid w:val="00D42E9F"/>
    <w:rsid w:val="00D42F41"/>
    <w:rsid w:val="00D42FC0"/>
    <w:rsid w:val="00D43012"/>
    <w:rsid w:val="00D4306B"/>
    <w:rsid w:val="00D43125"/>
    <w:rsid w:val="00D43154"/>
    <w:rsid w:val="00D4323F"/>
    <w:rsid w:val="00D43302"/>
    <w:rsid w:val="00D43386"/>
    <w:rsid w:val="00D43546"/>
    <w:rsid w:val="00D43550"/>
    <w:rsid w:val="00D43571"/>
    <w:rsid w:val="00D43579"/>
    <w:rsid w:val="00D435BD"/>
    <w:rsid w:val="00D435E8"/>
    <w:rsid w:val="00D4362C"/>
    <w:rsid w:val="00D436FA"/>
    <w:rsid w:val="00D43862"/>
    <w:rsid w:val="00D438AE"/>
    <w:rsid w:val="00D43A66"/>
    <w:rsid w:val="00D43AF6"/>
    <w:rsid w:val="00D43BDF"/>
    <w:rsid w:val="00D43C3D"/>
    <w:rsid w:val="00D43CDE"/>
    <w:rsid w:val="00D43FB8"/>
    <w:rsid w:val="00D43FD9"/>
    <w:rsid w:val="00D4400F"/>
    <w:rsid w:val="00D4402E"/>
    <w:rsid w:val="00D44123"/>
    <w:rsid w:val="00D441EE"/>
    <w:rsid w:val="00D442F3"/>
    <w:rsid w:val="00D4446C"/>
    <w:rsid w:val="00D4453E"/>
    <w:rsid w:val="00D4465B"/>
    <w:rsid w:val="00D446B1"/>
    <w:rsid w:val="00D447AF"/>
    <w:rsid w:val="00D447EE"/>
    <w:rsid w:val="00D447FD"/>
    <w:rsid w:val="00D44834"/>
    <w:rsid w:val="00D4485E"/>
    <w:rsid w:val="00D44865"/>
    <w:rsid w:val="00D448B2"/>
    <w:rsid w:val="00D44A4A"/>
    <w:rsid w:val="00D44B02"/>
    <w:rsid w:val="00D44B59"/>
    <w:rsid w:val="00D44C3D"/>
    <w:rsid w:val="00D44C51"/>
    <w:rsid w:val="00D44C65"/>
    <w:rsid w:val="00D44CDF"/>
    <w:rsid w:val="00D44CED"/>
    <w:rsid w:val="00D44CF8"/>
    <w:rsid w:val="00D44F3C"/>
    <w:rsid w:val="00D44FE9"/>
    <w:rsid w:val="00D45029"/>
    <w:rsid w:val="00D45192"/>
    <w:rsid w:val="00D4539B"/>
    <w:rsid w:val="00D453C3"/>
    <w:rsid w:val="00D45413"/>
    <w:rsid w:val="00D454F8"/>
    <w:rsid w:val="00D45576"/>
    <w:rsid w:val="00D45825"/>
    <w:rsid w:val="00D45933"/>
    <w:rsid w:val="00D459BC"/>
    <w:rsid w:val="00D45A35"/>
    <w:rsid w:val="00D45A90"/>
    <w:rsid w:val="00D45A92"/>
    <w:rsid w:val="00D45BA4"/>
    <w:rsid w:val="00D45BA6"/>
    <w:rsid w:val="00D45C0B"/>
    <w:rsid w:val="00D45CAC"/>
    <w:rsid w:val="00D45D83"/>
    <w:rsid w:val="00D45D85"/>
    <w:rsid w:val="00D45DFC"/>
    <w:rsid w:val="00D45E11"/>
    <w:rsid w:val="00D45FBA"/>
    <w:rsid w:val="00D45FCB"/>
    <w:rsid w:val="00D461B3"/>
    <w:rsid w:val="00D4627A"/>
    <w:rsid w:val="00D46284"/>
    <w:rsid w:val="00D46303"/>
    <w:rsid w:val="00D46329"/>
    <w:rsid w:val="00D46402"/>
    <w:rsid w:val="00D4643D"/>
    <w:rsid w:val="00D46592"/>
    <w:rsid w:val="00D46681"/>
    <w:rsid w:val="00D466B9"/>
    <w:rsid w:val="00D4690A"/>
    <w:rsid w:val="00D469F5"/>
    <w:rsid w:val="00D46A09"/>
    <w:rsid w:val="00D46A6C"/>
    <w:rsid w:val="00D46AB8"/>
    <w:rsid w:val="00D46B43"/>
    <w:rsid w:val="00D46BA6"/>
    <w:rsid w:val="00D46C10"/>
    <w:rsid w:val="00D46C9D"/>
    <w:rsid w:val="00D46CF4"/>
    <w:rsid w:val="00D46D09"/>
    <w:rsid w:val="00D46D18"/>
    <w:rsid w:val="00D46E86"/>
    <w:rsid w:val="00D46EDE"/>
    <w:rsid w:val="00D46EF8"/>
    <w:rsid w:val="00D4709C"/>
    <w:rsid w:val="00D47264"/>
    <w:rsid w:val="00D473B6"/>
    <w:rsid w:val="00D47401"/>
    <w:rsid w:val="00D47443"/>
    <w:rsid w:val="00D475CF"/>
    <w:rsid w:val="00D475D8"/>
    <w:rsid w:val="00D47691"/>
    <w:rsid w:val="00D476E8"/>
    <w:rsid w:val="00D47743"/>
    <w:rsid w:val="00D47917"/>
    <w:rsid w:val="00D47A3B"/>
    <w:rsid w:val="00D47A8A"/>
    <w:rsid w:val="00D47AFB"/>
    <w:rsid w:val="00D47B7C"/>
    <w:rsid w:val="00D47B90"/>
    <w:rsid w:val="00D47BE1"/>
    <w:rsid w:val="00D47C04"/>
    <w:rsid w:val="00D47D08"/>
    <w:rsid w:val="00D47F4B"/>
    <w:rsid w:val="00D500F8"/>
    <w:rsid w:val="00D5011E"/>
    <w:rsid w:val="00D501B5"/>
    <w:rsid w:val="00D50292"/>
    <w:rsid w:val="00D50298"/>
    <w:rsid w:val="00D502B9"/>
    <w:rsid w:val="00D502DD"/>
    <w:rsid w:val="00D50395"/>
    <w:rsid w:val="00D503F5"/>
    <w:rsid w:val="00D5044C"/>
    <w:rsid w:val="00D504A2"/>
    <w:rsid w:val="00D5050A"/>
    <w:rsid w:val="00D5053C"/>
    <w:rsid w:val="00D506A7"/>
    <w:rsid w:val="00D50762"/>
    <w:rsid w:val="00D507A3"/>
    <w:rsid w:val="00D507D0"/>
    <w:rsid w:val="00D508AA"/>
    <w:rsid w:val="00D508CA"/>
    <w:rsid w:val="00D50A2F"/>
    <w:rsid w:val="00D50AFB"/>
    <w:rsid w:val="00D50BAA"/>
    <w:rsid w:val="00D50C84"/>
    <w:rsid w:val="00D50CCA"/>
    <w:rsid w:val="00D50D97"/>
    <w:rsid w:val="00D50DC8"/>
    <w:rsid w:val="00D50DFC"/>
    <w:rsid w:val="00D50E2F"/>
    <w:rsid w:val="00D50E9C"/>
    <w:rsid w:val="00D50EFA"/>
    <w:rsid w:val="00D50F5B"/>
    <w:rsid w:val="00D51049"/>
    <w:rsid w:val="00D51134"/>
    <w:rsid w:val="00D51182"/>
    <w:rsid w:val="00D512F2"/>
    <w:rsid w:val="00D5130F"/>
    <w:rsid w:val="00D51347"/>
    <w:rsid w:val="00D5135E"/>
    <w:rsid w:val="00D5138E"/>
    <w:rsid w:val="00D51684"/>
    <w:rsid w:val="00D51685"/>
    <w:rsid w:val="00D51804"/>
    <w:rsid w:val="00D518E3"/>
    <w:rsid w:val="00D518E5"/>
    <w:rsid w:val="00D51947"/>
    <w:rsid w:val="00D5199D"/>
    <w:rsid w:val="00D51ACB"/>
    <w:rsid w:val="00D51AF7"/>
    <w:rsid w:val="00D51B14"/>
    <w:rsid w:val="00D51B4E"/>
    <w:rsid w:val="00D51C63"/>
    <w:rsid w:val="00D51D26"/>
    <w:rsid w:val="00D51D41"/>
    <w:rsid w:val="00D51EE0"/>
    <w:rsid w:val="00D51F2C"/>
    <w:rsid w:val="00D5202D"/>
    <w:rsid w:val="00D52094"/>
    <w:rsid w:val="00D52198"/>
    <w:rsid w:val="00D521C8"/>
    <w:rsid w:val="00D521D1"/>
    <w:rsid w:val="00D52200"/>
    <w:rsid w:val="00D522A5"/>
    <w:rsid w:val="00D523E9"/>
    <w:rsid w:val="00D524A6"/>
    <w:rsid w:val="00D525B3"/>
    <w:rsid w:val="00D5262B"/>
    <w:rsid w:val="00D526AC"/>
    <w:rsid w:val="00D52730"/>
    <w:rsid w:val="00D52779"/>
    <w:rsid w:val="00D52806"/>
    <w:rsid w:val="00D52856"/>
    <w:rsid w:val="00D52898"/>
    <w:rsid w:val="00D5291A"/>
    <w:rsid w:val="00D529C2"/>
    <w:rsid w:val="00D529F7"/>
    <w:rsid w:val="00D52AB6"/>
    <w:rsid w:val="00D52C29"/>
    <w:rsid w:val="00D52C42"/>
    <w:rsid w:val="00D52CBF"/>
    <w:rsid w:val="00D52CC0"/>
    <w:rsid w:val="00D52EC0"/>
    <w:rsid w:val="00D52FA4"/>
    <w:rsid w:val="00D53025"/>
    <w:rsid w:val="00D5309B"/>
    <w:rsid w:val="00D530D4"/>
    <w:rsid w:val="00D53147"/>
    <w:rsid w:val="00D53186"/>
    <w:rsid w:val="00D532AA"/>
    <w:rsid w:val="00D532D2"/>
    <w:rsid w:val="00D532D5"/>
    <w:rsid w:val="00D533B1"/>
    <w:rsid w:val="00D534CC"/>
    <w:rsid w:val="00D53512"/>
    <w:rsid w:val="00D53775"/>
    <w:rsid w:val="00D537BB"/>
    <w:rsid w:val="00D5380F"/>
    <w:rsid w:val="00D53839"/>
    <w:rsid w:val="00D538D3"/>
    <w:rsid w:val="00D53914"/>
    <w:rsid w:val="00D53922"/>
    <w:rsid w:val="00D53998"/>
    <w:rsid w:val="00D539EF"/>
    <w:rsid w:val="00D53AC0"/>
    <w:rsid w:val="00D53B1A"/>
    <w:rsid w:val="00D53B1B"/>
    <w:rsid w:val="00D53CF6"/>
    <w:rsid w:val="00D53DBD"/>
    <w:rsid w:val="00D53DC4"/>
    <w:rsid w:val="00D53E2C"/>
    <w:rsid w:val="00D53EA2"/>
    <w:rsid w:val="00D53F19"/>
    <w:rsid w:val="00D53F64"/>
    <w:rsid w:val="00D53FCC"/>
    <w:rsid w:val="00D53FF2"/>
    <w:rsid w:val="00D540A0"/>
    <w:rsid w:val="00D5423D"/>
    <w:rsid w:val="00D54295"/>
    <w:rsid w:val="00D542A9"/>
    <w:rsid w:val="00D543FF"/>
    <w:rsid w:val="00D54432"/>
    <w:rsid w:val="00D5444C"/>
    <w:rsid w:val="00D544B3"/>
    <w:rsid w:val="00D54561"/>
    <w:rsid w:val="00D5456C"/>
    <w:rsid w:val="00D54572"/>
    <w:rsid w:val="00D546A2"/>
    <w:rsid w:val="00D546E2"/>
    <w:rsid w:val="00D54798"/>
    <w:rsid w:val="00D547DF"/>
    <w:rsid w:val="00D547E6"/>
    <w:rsid w:val="00D54950"/>
    <w:rsid w:val="00D54C44"/>
    <w:rsid w:val="00D54DB8"/>
    <w:rsid w:val="00D54E16"/>
    <w:rsid w:val="00D54E50"/>
    <w:rsid w:val="00D54E6A"/>
    <w:rsid w:val="00D54E78"/>
    <w:rsid w:val="00D54F13"/>
    <w:rsid w:val="00D550A5"/>
    <w:rsid w:val="00D5521E"/>
    <w:rsid w:val="00D55220"/>
    <w:rsid w:val="00D55229"/>
    <w:rsid w:val="00D55261"/>
    <w:rsid w:val="00D5530D"/>
    <w:rsid w:val="00D553BF"/>
    <w:rsid w:val="00D553EC"/>
    <w:rsid w:val="00D55406"/>
    <w:rsid w:val="00D55441"/>
    <w:rsid w:val="00D55486"/>
    <w:rsid w:val="00D554CA"/>
    <w:rsid w:val="00D554FB"/>
    <w:rsid w:val="00D555BE"/>
    <w:rsid w:val="00D5576F"/>
    <w:rsid w:val="00D558F9"/>
    <w:rsid w:val="00D55926"/>
    <w:rsid w:val="00D55BBD"/>
    <w:rsid w:val="00D55C90"/>
    <w:rsid w:val="00D55DDD"/>
    <w:rsid w:val="00D55E10"/>
    <w:rsid w:val="00D55E49"/>
    <w:rsid w:val="00D55E57"/>
    <w:rsid w:val="00D55E6E"/>
    <w:rsid w:val="00D55E6F"/>
    <w:rsid w:val="00D55EA1"/>
    <w:rsid w:val="00D55F95"/>
    <w:rsid w:val="00D56082"/>
    <w:rsid w:val="00D56201"/>
    <w:rsid w:val="00D56215"/>
    <w:rsid w:val="00D5626F"/>
    <w:rsid w:val="00D562CD"/>
    <w:rsid w:val="00D563C8"/>
    <w:rsid w:val="00D5644D"/>
    <w:rsid w:val="00D56494"/>
    <w:rsid w:val="00D56509"/>
    <w:rsid w:val="00D56567"/>
    <w:rsid w:val="00D56753"/>
    <w:rsid w:val="00D56829"/>
    <w:rsid w:val="00D5682B"/>
    <w:rsid w:val="00D56904"/>
    <w:rsid w:val="00D5691D"/>
    <w:rsid w:val="00D569A2"/>
    <w:rsid w:val="00D569BF"/>
    <w:rsid w:val="00D569D9"/>
    <w:rsid w:val="00D56A48"/>
    <w:rsid w:val="00D56C23"/>
    <w:rsid w:val="00D56C47"/>
    <w:rsid w:val="00D56CB6"/>
    <w:rsid w:val="00D56CE0"/>
    <w:rsid w:val="00D56D88"/>
    <w:rsid w:val="00D56ED1"/>
    <w:rsid w:val="00D56EE1"/>
    <w:rsid w:val="00D56F6D"/>
    <w:rsid w:val="00D56FA7"/>
    <w:rsid w:val="00D56FD9"/>
    <w:rsid w:val="00D57069"/>
    <w:rsid w:val="00D57099"/>
    <w:rsid w:val="00D5736B"/>
    <w:rsid w:val="00D57573"/>
    <w:rsid w:val="00D57718"/>
    <w:rsid w:val="00D577C0"/>
    <w:rsid w:val="00D578CE"/>
    <w:rsid w:val="00D57B08"/>
    <w:rsid w:val="00D57B31"/>
    <w:rsid w:val="00D57B59"/>
    <w:rsid w:val="00D57C54"/>
    <w:rsid w:val="00D57C8D"/>
    <w:rsid w:val="00D57D0A"/>
    <w:rsid w:val="00D57DB8"/>
    <w:rsid w:val="00D57EBB"/>
    <w:rsid w:val="00D57FDE"/>
    <w:rsid w:val="00D600CD"/>
    <w:rsid w:val="00D60194"/>
    <w:rsid w:val="00D6023D"/>
    <w:rsid w:val="00D602F6"/>
    <w:rsid w:val="00D60404"/>
    <w:rsid w:val="00D6043A"/>
    <w:rsid w:val="00D60578"/>
    <w:rsid w:val="00D605C1"/>
    <w:rsid w:val="00D605C2"/>
    <w:rsid w:val="00D60794"/>
    <w:rsid w:val="00D6083F"/>
    <w:rsid w:val="00D6088D"/>
    <w:rsid w:val="00D60894"/>
    <w:rsid w:val="00D6092F"/>
    <w:rsid w:val="00D60983"/>
    <w:rsid w:val="00D609C6"/>
    <w:rsid w:val="00D60B64"/>
    <w:rsid w:val="00D60B8C"/>
    <w:rsid w:val="00D60BAF"/>
    <w:rsid w:val="00D60CA7"/>
    <w:rsid w:val="00D60FB4"/>
    <w:rsid w:val="00D6105C"/>
    <w:rsid w:val="00D6109A"/>
    <w:rsid w:val="00D610BD"/>
    <w:rsid w:val="00D61146"/>
    <w:rsid w:val="00D612AC"/>
    <w:rsid w:val="00D612C2"/>
    <w:rsid w:val="00D612C8"/>
    <w:rsid w:val="00D61365"/>
    <w:rsid w:val="00D61639"/>
    <w:rsid w:val="00D61919"/>
    <w:rsid w:val="00D61A36"/>
    <w:rsid w:val="00D61AE1"/>
    <w:rsid w:val="00D61B1C"/>
    <w:rsid w:val="00D61B21"/>
    <w:rsid w:val="00D61B36"/>
    <w:rsid w:val="00D61B59"/>
    <w:rsid w:val="00D61BE4"/>
    <w:rsid w:val="00D61D46"/>
    <w:rsid w:val="00D61D5F"/>
    <w:rsid w:val="00D61D6D"/>
    <w:rsid w:val="00D61D88"/>
    <w:rsid w:val="00D61E2B"/>
    <w:rsid w:val="00D61EEB"/>
    <w:rsid w:val="00D6204D"/>
    <w:rsid w:val="00D6210C"/>
    <w:rsid w:val="00D62156"/>
    <w:rsid w:val="00D62210"/>
    <w:rsid w:val="00D62244"/>
    <w:rsid w:val="00D623D1"/>
    <w:rsid w:val="00D625CF"/>
    <w:rsid w:val="00D625E2"/>
    <w:rsid w:val="00D62618"/>
    <w:rsid w:val="00D626A9"/>
    <w:rsid w:val="00D626CA"/>
    <w:rsid w:val="00D626D8"/>
    <w:rsid w:val="00D626F9"/>
    <w:rsid w:val="00D6274D"/>
    <w:rsid w:val="00D62798"/>
    <w:rsid w:val="00D627B8"/>
    <w:rsid w:val="00D6281D"/>
    <w:rsid w:val="00D62844"/>
    <w:rsid w:val="00D628B4"/>
    <w:rsid w:val="00D628E9"/>
    <w:rsid w:val="00D62931"/>
    <w:rsid w:val="00D6293E"/>
    <w:rsid w:val="00D6298B"/>
    <w:rsid w:val="00D6298C"/>
    <w:rsid w:val="00D62AB9"/>
    <w:rsid w:val="00D62ABB"/>
    <w:rsid w:val="00D62B1B"/>
    <w:rsid w:val="00D62B8A"/>
    <w:rsid w:val="00D62C00"/>
    <w:rsid w:val="00D62CD9"/>
    <w:rsid w:val="00D62E20"/>
    <w:rsid w:val="00D62E98"/>
    <w:rsid w:val="00D62F14"/>
    <w:rsid w:val="00D62FC3"/>
    <w:rsid w:val="00D62FE7"/>
    <w:rsid w:val="00D630EC"/>
    <w:rsid w:val="00D6315E"/>
    <w:rsid w:val="00D6318C"/>
    <w:rsid w:val="00D63204"/>
    <w:rsid w:val="00D63261"/>
    <w:rsid w:val="00D6328C"/>
    <w:rsid w:val="00D6330C"/>
    <w:rsid w:val="00D633C8"/>
    <w:rsid w:val="00D633E5"/>
    <w:rsid w:val="00D6343C"/>
    <w:rsid w:val="00D634E0"/>
    <w:rsid w:val="00D635A2"/>
    <w:rsid w:val="00D635A7"/>
    <w:rsid w:val="00D636B4"/>
    <w:rsid w:val="00D636D5"/>
    <w:rsid w:val="00D6378C"/>
    <w:rsid w:val="00D6378E"/>
    <w:rsid w:val="00D637DB"/>
    <w:rsid w:val="00D63830"/>
    <w:rsid w:val="00D6383C"/>
    <w:rsid w:val="00D63AA6"/>
    <w:rsid w:val="00D63BEA"/>
    <w:rsid w:val="00D63BF3"/>
    <w:rsid w:val="00D63C04"/>
    <w:rsid w:val="00D63CB2"/>
    <w:rsid w:val="00D63CF5"/>
    <w:rsid w:val="00D63CF8"/>
    <w:rsid w:val="00D63D2F"/>
    <w:rsid w:val="00D63DA3"/>
    <w:rsid w:val="00D63E01"/>
    <w:rsid w:val="00D63F81"/>
    <w:rsid w:val="00D63FBE"/>
    <w:rsid w:val="00D64022"/>
    <w:rsid w:val="00D64068"/>
    <w:rsid w:val="00D640C6"/>
    <w:rsid w:val="00D640F8"/>
    <w:rsid w:val="00D6418C"/>
    <w:rsid w:val="00D64269"/>
    <w:rsid w:val="00D642A1"/>
    <w:rsid w:val="00D6445C"/>
    <w:rsid w:val="00D644CA"/>
    <w:rsid w:val="00D644D2"/>
    <w:rsid w:val="00D644F5"/>
    <w:rsid w:val="00D64526"/>
    <w:rsid w:val="00D645E3"/>
    <w:rsid w:val="00D6462E"/>
    <w:rsid w:val="00D64654"/>
    <w:rsid w:val="00D6467E"/>
    <w:rsid w:val="00D64728"/>
    <w:rsid w:val="00D648B2"/>
    <w:rsid w:val="00D64916"/>
    <w:rsid w:val="00D64920"/>
    <w:rsid w:val="00D649A5"/>
    <w:rsid w:val="00D64AE5"/>
    <w:rsid w:val="00D64AE9"/>
    <w:rsid w:val="00D64BB4"/>
    <w:rsid w:val="00D64C28"/>
    <w:rsid w:val="00D64C44"/>
    <w:rsid w:val="00D64DF8"/>
    <w:rsid w:val="00D64EF7"/>
    <w:rsid w:val="00D6502C"/>
    <w:rsid w:val="00D65134"/>
    <w:rsid w:val="00D6518E"/>
    <w:rsid w:val="00D6523E"/>
    <w:rsid w:val="00D652C7"/>
    <w:rsid w:val="00D652D7"/>
    <w:rsid w:val="00D65400"/>
    <w:rsid w:val="00D654F9"/>
    <w:rsid w:val="00D65631"/>
    <w:rsid w:val="00D6572D"/>
    <w:rsid w:val="00D657A1"/>
    <w:rsid w:val="00D657CD"/>
    <w:rsid w:val="00D6589F"/>
    <w:rsid w:val="00D6595C"/>
    <w:rsid w:val="00D65A8C"/>
    <w:rsid w:val="00D65B5E"/>
    <w:rsid w:val="00D65C17"/>
    <w:rsid w:val="00D65C69"/>
    <w:rsid w:val="00D65D95"/>
    <w:rsid w:val="00D65E4C"/>
    <w:rsid w:val="00D65EA8"/>
    <w:rsid w:val="00D65EE8"/>
    <w:rsid w:val="00D6606A"/>
    <w:rsid w:val="00D66114"/>
    <w:rsid w:val="00D66223"/>
    <w:rsid w:val="00D6622F"/>
    <w:rsid w:val="00D66411"/>
    <w:rsid w:val="00D66490"/>
    <w:rsid w:val="00D66492"/>
    <w:rsid w:val="00D66497"/>
    <w:rsid w:val="00D665B9"/>
    <w:rsid w:val="00D665CA"/>
    <w:rsid w:val="00D66760"/>
    <w:rsid w:val="00D66792"/>
    <w:rsid w:val="00D667B5"/>
    <w:rsid w:val="00D6683C"/>
    <w:rsid w:val="00D66892"/>
    <w:rsid w:val="00D668FC"/>
    <w:rsid w:val="00D6697D"/>
    <w:rsid w:val="00D66A84"/>
    <w:rsid w:val="00D66B6D"/>
    <w:rsid w:val="00D66BA9"/>
    <w:rsid w:val="00D66BFA"/>
    <w:rsid w:val="00D66C9C"/>
    <w:rsid w:val="00D66D7C"/>
    <w:rsid w:val="00D66D85"/>
    <w:rsid w:val="00D66E66"/>
    <w:rsid w:val="00D66E91"/>
    <w:rsid w:val="00D66F15"/>
    <w:rsid w:val="00D66F41"/>
    <w:rsid w:val="00D66F8A"/>
    <w:rsid w:val="00D66FDE"/>
    <w:rsid w:val="00D66FF1"/>
    <w:rsid w:val="00D6711B"/>
    <w:rsid w:val="00D671D2"/>
    <w:rsid w:val="00D67296"/>
    <w:rsid w:val="00D67354"/>
    <w:rsid w:val="00D67357"/>
    <w:rsid w:val="00D673A1"/>
    <w:rsid w:val="00D67557"/>
    <w:rsid w:val="00D67575"/>
    <w:rsid w:val="00D67595"/>
    <w:rsid w:val="00D675DD"/>
    <w:rsid w:val="00D6761B"/>
    <w:rsid w:val="00D67681"/>
    <w:rsid w:val="00D676E6"/>
    <w:rsid w:val="00D6779B"/>
    <w:rsid w:val="00D67822"/>
    <w:rsid w:val="00D678CB"/>
    <w:rsid w:val="00D67916"/>
    <w:rsid w:val="00D679C8"/>
    <w:rsid w:val="00D679F2"/>
    <w:rsid w:val="00D67BED"/>
    <w:rsid w:val="00D67CBB"/>
    <w:rsid w:val="00D67D7B"/>
    <w:rsid w:val="00D67D84"/>
    <w:rsid w:val="00D67D88"/>
    <w:rsid w:val="00D67E51"/>
    <w:rsid w:val="00D7022D"/>
    <w:rsid w:val="00D702AC"/>
    <w:rsid w:val="00D7036E"/>
    <w:rsid w:val="00D703BE"/>
    <w:rsid w:val="00D704CD"/>
    <w:rsid w:val="00D70512"/>
    <w:rsid w:val="00D7053A"/>
    <w:rsid w:val="00D70557"/>
    <w:rsid w:val="00D708E8"/>
    <w:rsid w:val="00D70A48"/>
    <w:rsid w:val="00D70AC8"/>
    <w:rsid w:val="00D70B77"/>
    <w:rsid w:val="00D70BB9"/>
    <w:rsid w:val="00D70BD3"/>
    <w:rsid w:val="00D70BED"/>
    <w:rsid w:val="00D70CAF"/>
    <w:rsid w:val="00D70F6E"/>
    <w:rsid w:val="00D70FDF"/>
    <w:rsid w:val="00D71041"/>
    <w:rsid w:val="00D712BA"/>
    <w:rsid w:val="00D71374"/>
    <w:rsid w:val="00D713AF"/>
    <w:rsid w:val="00D713B4"/>
    <w:rsid w:val="00D71455"/>
    <w:rsid w:val="00D7145F"/>
    <w:rsid w:val="00D71491"/>
    <w:rsid w:val="00D7152C"/>
    <w:rsid w:val="00D71567"/>
    <w:rsid w:val="00D715B7"/>
    <w:rsid w:val="00D715B8"/>
    <w:rsid w:val="00D715D9"/>
    <w:rsid w:val="00D71625"/>
    <w:rsid w:val="00D71661"/>
    <w:rsid w:val="00D71790"/>
    <w:rsid w:val="00D717A2"/>
    <w:rsid w:val="00D7189A"/>
    <w:rsid w:val="00D71985"/>
    <w:rsid w:val="00D719F1"/>
    <w:rsid w:val="00D71A10"/>
    <w:rsid w:val="00D71B08"/>
    <w:rsid w:val="00D71BC6"/>
    <w:rsid w:val="00D71BE3"/>
    <w:rsid w:val="00D71CCF"/>
    <w:rsid w:val="00D71D36"/>
    <w:rsid w:val="00D71DC6"/>
    <w:rsid w:val="00D71E02"/>
    <w:rsid w:val="00D71E4F"/>
    <w:rsid w:val="00D71EE0"/>
    <w:rsid w:val="00D71FAF"/>
    <w:rsid w:val="00D720C8"/>
    <w:rsid w:val="00D720FC"/>
    <w:rsid w:val="00D72154"/>
    <w:rsid w:val="00D7216D"/>
    <w:rsid w:val="00D7218A"/>
    <w:rsid w:val="00D7222D"/>
    <w:rsid w:val="00D7226D"/>
    <w:rsid w:val="00D722BF"/>
    <w:rsid w:val="00D72384"/>
    <w:rsid w:val="00D723F7"/>
    <w:rsid w:val="00D72422"/>
    <w:rsid w:val="00D7244C"/>
    <w:rsid w:val="00D7256D"/>
    <w:rsid w:val="00D725CB"/>
    <w:rsid w:val="00D7268B"/>
    <w:rsid w:val="00D726F9"/>
    <w:rsid w:val="00D7275B"/>
    <w:rsid w:val="00D7280C"/>
    <w:rsid w:val="00D7294D"/>
    <w:rsid w:val="00D72A55"/>
    <w:rsid w:val="00D72AF9"/>
    <w:rsid w:val="00D72BC5"/>
    <w:rsid w:val="00D72D35"/>
    <w:rsid w:val="00D72D5B"/>
    <w:rsid w:val="00D72DCD"/>
    <w:rsid w:val="00D72E1B"/>
    <w:rsid w:val="00D72F3E"/>
    <w:rsid w:val="00D72FD3"/>
    <w:rsid w:val="00D73110"/>
    <w:rsid w:val="00D73144"/>
    <w:rsid w:val="00D731A4"/>
    <w:rsid w:val="00D732F8"/>
    <w:rsid w:val="00D73383"/>
    <w:rsid w:val="00D7340E"/>
    <w:rsid w:val="00D734D9"/>
    <w:rsid w:val="00D73670"/>
    <w:rsid w:val="00D73879"/>
    <w:rsid w:val="00D73941"/>
    <w:rsid w:val="00D73977"/>
    <w:rsid w:val="00D73AF5"/>
    <w:rsid w:val="00D73B2D"/>
    <w:rsid w:val="00D73B43"/>
    <w:rsid w:val="00D73B64"/>
    <w:rsid w:val="00D73BBC"/>
    <w:rsid w:val="00D73BF6"/>
    <w:rsid w:val="00D73DAE"/>
    <w:rsid w:val="00D74065"/>
    <w:rsid w:val="00D74191"/>
    <w:rsid w:val="00D7421E"/>
    <w:rsid w:val="00D742CB"/>
    <w:rsid w:val="00D74633"/>
    <w:rsid w:val="00D74694"/>
    <w:rsid w:val="00D746AB"/>
    <w:rsid w:val="00D746C8"/>
    <w:rsid w:val="00D7471A"/>
    <w:rsid w:val="00D74739"/>
    <w:rsid w:val="00D7487E"/>
    <w:rsid w:val="00D749E3"/>
    <w:rsid w:val="00D74AA5"/>
    <w:rsid w:val="00D74BB0"/>
    <w:rsid w:val="00D74D41"/>
    <w:rsid w:val="00D74DEF"/>
    <w:rsid w:val="00D74E73"/>
    <w:rsid w:val="00D74F05"/>
    <w:rsid w:val="00D74F24"/>
    <w:rsid w:val="00D75065"/>
    <w:rsid w:val="00D750CF"/>
    <w:rsid w:val="00D75121"/>
    <w:rsid w:val="00D751D8"/>
    <w:rsid w:val="00D751E4"/>
    <w:rsid w:val="00D752A5"/>
    <w:rsid w:val="00D752C3"/>
    <w:rsid w:val="00D75335"/>
    <w:rsid w:val="00D753FA"/>
    <w:rsid w:val="00D75403"/>
    <w:rsid w:val="00D75586"/>
    <w:rsid w:val="00D755BE"/>
    <w:rsid w:val="00D756B1"/>
    <w:rsid w:val="00D757E3"/>
    <w:rsid w:val="00D75896"/>
    <w:rsid w:val="00D759C7"/>
    <w:rsid w:val="00D759E7"/>
    <w:rsid w:val="00D759F7"/>
    <w:rsid w:val="00D75A51"/>
    <w:rsid w:val="00D75A89"/>
    <w:rsid w:val="00D75A93"/>
    <w:rsid w:val="00D75A97"/>
    <w:rsid w:val="00D75AE5"/>
    <w:rsid w:val="00D75B36"/>
    <w:rsid w:val="00D75BD6"/>
    <w:rsid w:val="00D75C97"/>
    <w:rsid w:val="00D75CA7"/>
    <w:rsid w:val="00D75D13"/>
    <w:rsid w:val="00D75E6E"/>
    <w:rsid w:val="00D75F96"/>
    <w:rsid w:val="00D75FE4"/>
    <w:rsid w:val="00D75FE8"/>
    <w:rsid w:val="00D76018"/>
    <w:rsid w:val="00D76095"/>
    <w:rsid w:val="00D760E0"/>
    <w:rsid w:val="00D76314"/>
    <w:rsid w:val="00D763AB"/>
    <w:rsid w:val="00D763B4"/>
    <w:rsid w:val="00D764C0"/>
    <w:rsid w:val="00D764E0"/>
    <w:rsid w:val="00D76593"/>
    <w:rsid w:val="00D765B1"/>
    <w:rsid w:val="00D765F8"/>
    <w:rsid w:val="00D76711"/>
    <w:rsid w:val="00D76735"/>
    <w:rsid w:val="00D767E2"/>
    <w:rsid w:val="00D768E0"/>
    <w:rsid w:val="00D7693B"/>
    <w:rsid w:val="00D76ADB"/>
    <w:rsid w:val="00D76B07"/>
    <w:rsid w:val="00D76B25"/>
    <w:rsid w:val="00D76B50"/>
    <w:rsid w:val="00D76B55"/>
    <w:rsid w:val="00D76BD1"/>
    <w:rsid w:val="00D76C92"/>
    <w:rsid w:val="00D76CF5"/>
    <w:rsid w:val="00D76D07"/>
    <w:rsid w:val="00D76D32"/>
    <w:rsid w:val="00D76D99"/>
    <w:rsid w:val="00D76EA8"/>
    <w:rsid w:val="00D76F55"/>
    <w:rsid w:val="00D76FCF"/>
    <w:rsid w:val="00D7702C"/>
    <w:rsid w:val="00D772CD"/>
    <w:rsid w:val="00D77305"/>
    <w:rsid w:val="00D773D2"/>
    <w:rsid w:val="00D77419"/>
    <w:rsid w:val="00D7741C"/>
    <w:rsid w:val="00D774F1"/>
    <w:rsid w:val="00D77538"/>
    <w:rsid w:val="00D77589"/>
    <w:rsid w:val="00D7765C"/>
    <w:rsid w:val="00D7777A"/>
    <w:rsid w:val="00D7784A"/>
    <w:rsid w:val="00D77865"/>
    <w:rsid w:val="00D77885"/>
    <w:rsid w:val="00D778D5"/>
    <w:rsid w:val="00D779F5"/>
    <w:rsid w:val="00D77A79"/>
    <w:rsid w:val="00D77A83"/>
    <w:rsid w:val="00D77B07"/>
    <w:rsid w:val="00D77B3E"/>
    <w:rsid w:val="00D77B5D"/>
    <w:rsid w:val="00D77D0C"/>
    <w:rsid w:val="00D77D76"/>
    <w:rsid w:val="00D77F4D"/>
    <w:rsid w:val="00D77FA9"/>
    <w:rsid w:val="00D802DB"/>
    <w:rsid w:val="00D802F0"/>
    <w:rsid w:val="00D802FE"/>
    <w:rsid w:val="00D80348"/>
    <w:rsid w:val="00D80529"/>
    <w:rsid w:val="00D80647"/>
    <w:rsid w:val="00D80763"/>
    <w:rsid w:val="00D808A5"/>
    <w:rsid w:val="00D80A26"/>
    <w:rsid w:val="00D80AD8"/>
    <w:rsid w:val="00D80B19"/>
    <w:rsid w:val="00D80B39"/>
    <w:rsid w:val="00D80C23"/>
    <w:rsid w:val="00D80C7F"/>
    <w:rsid w:val="00D80C92"/>
    <w:rsid w:val="00D80CD7"/>
    <w:rsid w:val="00D80D1C"/>
    <w:rsid w:val="00D80D54"/>
    <w:rsid w:val="00D80D6A"/>
    <w:rsid w:val="00D80D95"/>
    <w:rsid w:val="00D80DFB"/>
    <w:rsid w:val="00D80E02"/>
    <w:rsid w:val="00D80E80"/>
    <w:rsid w:val="00D80EE7"/>
    <w:rsid w:val="00D81091"/>
    <w:rsid w:val="00D810D5"/>
    <w:rsid w:val="00D81184"/>
    <w:rsid w:val="00D811C7"/>
    <w:rsid w:val="00D812C7"/>
    <w:rsid w:val="00D812D5"/>
    <w:rsid w:val="00D8137E"/>
    <w:rsid w:val="00D81557"/>
    <w:rsid w:val="00D81562"/>
    <w:rsid w:val="00D8178E"/>
    <w:rsid w:val="00D817B6"/>
    <w:rsid w:val="00D81874"/>
    <w:rsid w:val="00D818ED"/>
    <w:rsid w:val="00D8195A"/>
    <w:rsid w:val="00D81999"/>
    <w:rsid w:val="00D819D0"/>
    <w:rsid w:val="00D81A36"/>
    <w:rsid w:val="00D81A38"/>
    <w:rsid w:val="00D81B7C"/>
    <w:rsid w:val="00D81C8D"/>
    <w:rsid w:val="00D81D70"/>
    <w:rsid w:val="00D81D82"/>
    <w:rsid w:val="00D81E2F"/>
    <w:rsid w:val="00D81EB7"/>
    <w:rsid w:val="00D81EBB"/>
    <w:rsid w:val="00D82045"/>
    <w:rsid w:val="00D8204F"/>
    <w:rsid w:val="00D8222D"/>
    <w:rsid w:val="00D82248"/>
    <w:rsid w:val="00D8226D"/>
    <w:rsid w:val="00D8241B"/>
    <w:rsid w:val="00D8244E"/>
    <w:rsid w:val="00D825DF"/>
    <w:rsid w:val="00D82838"/>
    <w:rsid w:val="00D8288E"/>
    <w:rsid w:val="00D82998"/>
    <w:rsid w:val="00D829F5"/>
    <w:rsid w:val="00D82BC6"/>
    <w:rsid w:val="00D82E2F"/>
    <w:rsid w:val="00D82F24"/>
    <w:rsid w:val="00D82F82"/>
    <w:rsid w:val="00D830E9"/>
    <w:rsid w:val="00D830FB"/>
    <w:rsid w:val="00D8314E"/>
    <w:rsid w:val="00D83286"/>
    <w:rsid w:val="00D832F8"/>
    <w:rsid w:val="00D83304"/>
    <w:rsid w:val="00D83353"/>
    <w:rsid w:val="00D834ED"/>
    <w:rsid w:val="00D834FF"/>
    <w:rsid w:val="00D8361D"/>
    <w:rsid w:val="00D8362C"/>
    <w:rsid w:val="00D83645"/>
    <w:rsid w:val="00D837BA"/>
    <w:rsid w:val="00D8385B"/>
    <w:rsid w:val="00D83AAE"/>
    <w:rsid w:val="00D83AB8"/>
    <w:rsid w:val="00D83AD7"/>
    <w:rsid w:val="00D83B0A"/>
    <w:rsid w:val="00D83B15"/>
    <w:rsid w:val="00D83B35"/>
    <w:rsid w:val="00D83C83"/>
    <w:rsid w:val="00D83CA2"/>
    <w:rsid w:val="00D83CC3"/>
    <w:rsid w:val="00D83FEC"/>
    <w:rsid w:val="00D84091"/>
    <w:rsid w:val="00D8410F"/>
    <w:rsid w:val="00D8411C"/>
    <w:rsid w:val="00D84260"/>
    <w:rsid w:val="00D842D1"/>
    <w:rsid w:val="00D8434A"/>
    <w:rsid w:val="00D843EF"/>
    <w:rsid w:val="00D845CE"/>
    <w:rsid w:val="00D846C4"/>
    <w:rsid w:val="00D846ED"/>
    <w:rsid w:val="00D847F3"/>
    <w:rsid w:val="00D8481F"/>
    <w:rsid w:val="00D8486F"/>
    <w:rsid w:val="00D84946"/>
    <w:rsid w:val="00D849C4"/>
    <w:rsid w:val="00D84A15"/>
    <w:rsid w:val="00D84A20"/>
    <w:rsid w:val="00D84A7C"/>
    <w:rsid w:val="00D84B9E"/>
    <w:rsid w:val="00D84BC5"/>
    <w:rsid w:val="00D84CB8"/>
    <w:rsid w:val="00D84D14"/>
    <w:rsid w:val="00D84D90"/>
    <w:rsid w:val="00D84DF1"/>
    <w:rsid w:val="00D84E06"/>
    <w:rsid w:val="00D84E29"/>
    <w:rsid w:val="00D84FE3"/>
    <w:rsid w:val="00D8500A"/>
    <w:rsid w:val="00D85121"/>
    <w:rsid w:val="00D851A7"/>
    <w:rsid w:val="00D851A9"/>
    <w:rsid w:val="00D851E3"/>
    <w:rsid w:val="00D8530A"/>
    <w:rsid w:val="00D8538D"/>
    <w:rsid w:val="00D853A1"/>
    <w:rsid w:val="00D85441"/>
    <w:rsid w:val="00D85466"/>
    <w:rsid w:val="00D85511"/>
    <w:rsid w:val="00D8575F"/>
    <w:rsid w:val="00D857D9"/>
    <w:rsid w:val="00D857DE"/>
    <w:rsid w:val="00D85855"/>
    <w:rsid w:val="00D85884"/>
    <w:rsid w:val="00D85947"/>
    <w:rsid w:val="00D8594E"/>
    <w:rsid w:val="00D85962"/>
    <w:rsid w:val="00D859D6"/>
    <w:rsid w:val="00D859DC"/>
    <w:rsid w:val="00D85A41"/>
    <w:rsid w:val="00D85AAC"/>
    <w:rsid w:val="00D85ADE"/>
    <w:rsid w:val="00D85AE9"/>
    <w:rsid w:val="00D85CB6"/>
    <w:rsid w:val="00D85CCB"/>
    <w:rsid w:val="00D85D61"/>
    <w:rsid w:val="00D85E47"/>
    <w:rsid w:val="00D85E66"/>
    <w:rsid w:val="00D85F9F"/>
    <w:rsid w:val="00D85FB9"/>
    <w:rsid w:val="00D85FE1"/>
    <w:rsid w:val="00D86064"/>
    <w:rsid w:val="00D861C5"/>
    <w:rsid w:val="00D861CA"/>
    <w:rsid w:val="00D861DE"/>
    <w:rsid w:val="00D861E3"/>
    <w:rsid w:val="00D8620F"/>
    <w:rsid w:val="00D86236"/>
    <w:rsid w:val="00D86308"/>
    <w:rsid w:val="00D864DF"/>
    <w:rsid w:val="00D8657D"/>
    <w:rsid w:val="00D8677B"/>
    <w:rsid w:val="00D86828"/>
    <w:rsid w:val="00D86900"/>
    <w:rsid w:val="00D869F0"/>
    <w:rsid w:val="00D86A9D"/>
    <w:rsid w:val="00D86B58"/>
    <w:rsid w:val="00D86B97"/>
    <w:rsid w:val="00D86BB3"/>
    <w:rsid w:val="00D86BFA"/>
    <w:rsid w:val="00D86C46"/>
    <w:rsid w:val="00D86C4C"/>
    <w:rsid w:val="00D86CAB"/>
    <w:rsid w:val="00D86CB6"/>
    <w:rsid w:val="00D86DD7"/>
    <w:rsid w:val="00D86E4F"/>
    <w:rsid w:val="00D86E88"/>
    <w:rsid w:val="00D86FAF"/>
    <w:rsid w:val="00D86FF4"/>
    <w:rsid w:val="00D87089"/>
    <w:rsid w:val="00D870F5"/>
    <w:rsid w:val="00D87129"/>
    <w:rsid w:val="00D87269"/>
    <w:rsid w:val="00D87329"/>
    <w:rsid w:val="00D873E4"/>
    <w:rsid w:val="00D873E7"/>
    <w:rsid w:val="00D875C1"/>
    <w:rsid w:val="00D875E2"/>
    <w:rsid w:val="00D8768C"/>
    <w:rsid w:val="00D876E8"/>
    <w:rsid w:val="00D8770D"/>
    <w:rsid w:val="00D8770E"/>
    <w:rsid w:val="00D8780D"/>
    <w:rsid w:val="00D87960"/>
    <w:rsid w:val="00D87A7E"/>
    <w:rsid w:val="00D87C61"/>
    <w:rsid w:val="00D87D1D"/>
    <w:rsid w:val="00D87D30"/>
    <w:rsid w:val="00D87E8F"/>
    <w:rsid w:val="00D87EBA"/>
    <w:rsid w:val="00D87EDD"/>
    <w:rsid w:val="00D87EF3"/>
    <w:rsid w:val="00D87F25"/>
    <w:rsid w:val="00D87F4E"/>
    <w:rsid w:val="00D87FF3"/>
    <w:rsid w:val="00D90000"/>
    <w:rsid w:val="00D901F7"/>
    <w:rsid w:val="00D902E5"/>
    <w:rsid w:val="00D903D7"/>
    <w:rsid w:val="00D90419"/>
    <w:rsid w:val="00D9041F"/>
    <w:rsid w:val="00D90473"/>
    <w:rsid w:val="00D90517"/>
    <w:rsid w:val="00D90546"/>
    <w:rsid w:val="00D905C7"/>
    <w:rsid w:val="00D9063D"/>
    <w:rsid w:val="00D9070C"/>
    <w:rsid w:val="00D90711"/>
    <w:rsid w:val="00D907A5"/>
    <w:rsid w:val="00D907C8"/>
    <w:rsid w:val="00D9086C"/>
    <w:rsid w:val="00D9089C"/>
    <w:rsid w:val="00D90932"/>
    <w:rsid w:val="00D9094B"/>
    <w:rsid w:val="00D9098F"/>
    <w:rsid w:val="00D909CB"/>
    <w:rsid w:val="00D90A85"/>
    <w:rsid w:val="00D90B02"/>
    <w:rsid w:val="00D90B34"/>
    <w:rsid w:val="00D90BEC"/>
    <w:rsid w:val="00D90CAE"/>
    <w:rsid w:val="00D90CB0"/>
    <w:rsid w:val="00D90CC5"/>
    <w:rsid w:val="00D90FB7"/>
    <w:rsid w:val="00D910C0"/>
    <w:rsid w:val="00D91173"/>
    <w:rsid w:val="00D91298"/>
    <w:rsid w:val="00D912A2"/>
    <w:rsid w:val="00D914DC"/>
    <w:rsid w:val="00D91511"/>
    <w:rsid w:val="00D91625"/>
    <w:rsid w:val="00D91782"/>
    <w:rsid w:val="00D917D4"/>
    <w:rsid w:val="00D917DB"/>
    <w:rsid w:val="00D917E5"/>
    <w:rsid w:val="00D91948"/>
    <w:rsid w:val="00D91A27"/>
    <w:rsid w:val="00D91B57"/>
    <w:rsid w:val="00D91ECE"/>
    <w:rsid w:val="00D91F14"/>
    <w:rsid w:val="00D91F4F"/>
    <w:rsid w:val="00D92079"/>
    <w:rsid w:val="00D920A1"/>
    <w:rsid w:val="00D920F9"/>
    <w:rsid w:val="00D9210B"/>
    <w:rsid w:val="00D92192"/>
    <w:rsid w:val="00D921D3"/>
    <w:rsid w:val="00D921D4"/>
    <w:rsid w:val="00D921F4"/>
    <w:rsid w:val="00D92406"/>
    <w:rsid w:val="00D92635"/>
    <w:rsid w:val="00D92736"/>
    <w:rsid w:val="00D9274A"/>
    <w:rsid w:val="00D927A2"/>
    <w:rsid w:val="00D9285F"/>
    <w:rsid w:val="00D929C9"/>
    <w:rsid w:val="00D92A19"/>
    <w:rsid w:val="00D92BA3"/>
    <w:rsid w:val="00D92BB3"/>
    <w:rsid w:val="00D92CBE"/>
    <w:rsid w:val="00D92CCC"/>
    <w:rsid w:val="00D92D9B"/>
    <w:rsid w:val="00D92DCA"/>
    <w:rsid w:val="00D92F00"/>
    <w:rsid w:val="00D9300D"/>
    <w:rsid w:val="00D930E0"/>
    <w:rsid w:val="00D93148"/>
    <w:rsid w:val="00D93218"/>
    <w:rsid w:val="00D93220"/>
    <w:rsid w:val="00D93241"/>
    <w:rsid w:val="00D93259"/>
    <w:rsid w:val="00D9327E"/>
    <w:rsid w:val="00D932AE"/>
    <w:rsid w:val="00D933CA"/>
    <w:rsid w:val="00D93416"/>
    <w:rsid w:val="00D93559"/>
    <w:rsid w:val="00D93574"/>
    <w:rsid w:val="00D93671"/>
    <w:rsid w:val="00D937C3"/>
    <w:rsid w:val="00D93919"/>
    <w:rsid w:val="00D93944"/>
    <w:rsid w:val="00D93A3F"/>
    <w:rsid w:val="00D93A6E"/>
    <w:rsid w:val="00D93AC0"/>
    <w:rsid w:val="00D93B02"/>
    <w:rsid w:val="00D93C27"/>
    <w:rsid w:val="00D93C4F"/>
    <w:rsid w:val="00D93C95"/>
    <w:rsid w:val="00D93D43"/>
    <w:rsid w:val="00D93E3C"/>
    <w:rsid w:val="00D93FB9"/>
    <w:rsid w:val="00D94058"/>
    <w:rsid w:val="00D9407D"/>
    <w:rsid w:val="00D9413E"/>
    <w:rsid w:val="00D94183"/>
    <w:rsid w:val="00D941C7"/>
    <w:rsid w:val="00D942A8"/>
    <w:rsid w:val="00D942F1"/>
    <w:rsid w:val="00D943C6"/>
    <w:rsid w:val="00D94445"/>
    <w:rsid w:val="00D944B9"/>
    <w:rsid w:val="00D945ED"/>
    <w:rsid w:val="00D9461C"/>
    <w:rsid w:val="00D94634"/>
    <w:rsid w:val="00D946CA"/>
    <w:rsid w:val="00D946F4"/>
    <w:rsid w:val="00D9485B"/>
    <w:rsid w:val="00D94930"/>
    <w:rsid w:val="00D94931"/>
    <w:rsid w:val="00D949C5"/>
    <w:rsid w:val="00D94A86"/>
    <w:rsid w:val="00D94A9B"/>
    <w:rsid w:val="00D94AAA"/>
    <w:rsid w:val="00D94B32"/>
    <w:rsid w:val="00D94B7A"/>
    <w:rsid w:val="00D94C68"/>
    <w:rsid w:val="00D94C9F"/>
    <w:rsid w:val="00D94E13"/>
    <w:rsid w:val="00D94E52"/>
    <w:rsid w:val="00D94EEB"/>
    <w:rsid w:val="00D94F76"/>
    <w:rsid w:val="00D95094"/>
    <w:rsid w:val="00D950AA"/>
    <w:rsid w:val="00D95176"/>
    <w:rsid w:val="00D9519A"/>
    <w:rsid w:val="00D95218"/>
    <w:rsid w:val="00D952CD"/>
    <w:rsid w:val="00D952DE"/>
    <w:rsid w:val="00D9531E"/>
    <w:rsid w:val="00D953FF"/>
    <w:rsid w:val="00D95465"/>
    <w:rsid w:val="00D954F9"/>
    <w:rsid w:val="00D95503"/>
    <w:rsid w:val="00D9554C"/>
    <w:rsid w:val="00D955A4"/>
    <w:rsid w:val="00D95669"/>
    <w:rsid w:val="00D9568F"/>
    <w:rsid w:val="00D95715"/>
    <w:rsid w:val="00D9573A"/>
    <w:rsid w:val="00D9589B"/>
    <w:rsid w:val="00D95A7A"/>
    <w:rsid w:val="00D95AA4"/>
    <w:rsid w:val="00D95B25"/>
    <w:rsid w:val="00D95B80"/>
    <w:rsid w:val="00D95C44"/>
    <w:rsid w:val="00D95D50"/>
    <w:rsid w:val="00D95D6D"/>
    <w:rsid w:val="00D95D97"/>
    <w:rsid w:val="00D95E5B"/>
    <w:rsid w:val="00D95F8B"/>
    <w:rsid w:val="00D95FE4"/>
    <w:rsid w:val="00D960BC"/>
    <w:rsid w:val="00D96142"/>
    <w:rsid w:val="00D9632D"/>
    <w:rsid w:val="00D96343"/>
    <w:rsid w:val="00D96360"/>
    <w:rsid w:val="00D96411"/>
    <w:rsid w:val="00D964F4"/>
    <w:rsid w:val="00D965DF"/>
    <w:rsid w:val="00D965EF"/>
    <w:rsid w:val="00D967FE"/>
    <w:rsid w:val="00D96898"/>
    <w:rsid w:val="00D96928"/>
    <w:rsid w:val="00D9692A"/>
    <w:rsid w:val="00D9697C"/>
    <w:rsid w:val="00D969BE"/>
    <w:rsid w:val="00D96A94"/>
    <w:rsid w:val="00D96B75"/>
    <w:rsid w:val="00D96B76"/>
    <w:rsid w:val="00D96BB8"/>
    <w:rsid w:val="00D96D33"/>
    <w:rsid w:val="00D96D46"/>
    <w:rsid w:val="00D96F68"/>
    <w:rsid w:val="00D97048"/>
    <w:rsid w:val="00D9720A"/>
    <w:rsid w:val="00D972A8"/>
    <w:rsid w:val="00D97373"/>
    <w:rsid w:val="00D973AA"/>
    <w:rsid w:val="00D97497"/>
    <w:rsid w:val="00D974DB"/>
    <w:rsid w:val="00D97675"/>
    <w:rsid w:val="00D9771D"/>
    <w:rsid w:val="00D9776D"/>
    <w:rsid w:val="00D977E5"/>
    <w:rsid w:val="00D97897"/>
    <w:rsid w:val="00D9793E"/>
    <w:rsid w:val="00D9799A"/>
    <w:rsid w:val="00D979E1"/>
    <w:rsid w:val="00D97A85"/>
    <w:rsid w:val="00D97B32"/>
    <w:rsid w:val="00D97B65"/>
    <w:rsid w:val="00D97B6C"/>
    <w:rsid w:val="00D97B9F"/>
    <w:rsid w:val="00D97C81"/>
    <w:rsid w:val="00D97D1E"/>
    <w:rsid w:val="00D97D97"/>
    <w:rsid w:val="00D97F7B"/>
    <w:rsid w:val="00D97F7F"/>
    <w:rsid w:val="00D97FA1"/>
    <w:rsid w:val="00DA015B"/>
    <w:rsid w:val="00DA015C"/>
    <w:rsid w:val="00DA0195"/>
    <w:rsid w:val="00DA019F"/>
    <w:rsid w:val="00DA0234"/>
    <w:rsid w:val="00DA0362"/>
    <w:rsid w:val="00DA03A9"/>
    <w:rsid w:val="00DA03D5"/>
    <w:rsid w:val="00DA0526"/>
    <w:rsid w:val="00DA05A2"/>
    <w:rsid w:val="00DA05BF"/>
    <w:rsid w:val="00DA05E4"/>
    <w:rsid w:val="00DA062F"/>
    <w:rsid w:val="00DA0732"/>
    <w:rsid w:val="00DA07CF"/>
    <w:rsid w:val="00DA080E"/>
    <w:rsid w:val="00DA08DE"/>
    <w:rsid w:val="00DA0927"/>
    <w:rsid w:val="00DA0A53"/>
    <w:rsid w:val="00DA0ACC"/>
    <w:rsid w:val="00DA0B26"/>
    <w:rsid w:val="00DA0B6C"/>
    <w:rsid w:val="00DA0BAC"/>
    <w:rsid w:val="00DA0CB9"/>
    <w:rsid w:val="00DA0D80"/>
    <w:rsid w:val="00DA0E63"/>
    <w:rsid w:val="00DA0E72"/>
    <w:rsid w:val="00DA0EFA"/>
    <w:rsid w:val="00DA1188"/>
    <w:rsid w:val="00DA1210"/>
    <w:rsid w:val="00DA13B8"/>
    <w:rsid w:val="00DA14AF"/>
    <w:rsid w:val="00DA14D6"/>
    <w:rsid w:val="00DA154B"/>
    <w:rsid w:val="00DA156C"/>
    <w:rsid w:val="00DA1644"/>
    <w:rsid w:val="00DA16C4"/>
    <w:rsid w:val="00DA1759"/>
    <w:rsid w:val="00DA17A9"/>
    <w:rsid w:val="00DA18B2"/>
    <w:rsid w:val="00DA1BAE"/>
    <w:rsid w:val="00DA1C85"/>
    <w:rsid w:val="00DA1D07"/>
    <w:rsid w:val="00DA1D84"/>
    <w:rsid w:val="00DA1D9F"/>
    <w:rsid w:val="00DA1EDD"/>
    <w:rsid w:val="00DA1F1B"/>
    <w:rsid w:val="00DA1F3F"/>
    <w:rsid w:val="00DA1FDD"/>
    <w:rsid w:val="00DA2027"/>
    <w:rsid w:val="00DA2170"/>
    <w:rsid w:val="00DA218E"/>
    <w:rsid w:val="00DA220B"/>
    <w:rsid w:val="00DA22B1"/>
    <w:rsid w:val="00DA2343"/>
    <w:rsid w:val="00DA2346"/>
    <w:rsid w:val="00DA2350"/>
    <w:rsid w:val="00DA2386"/>
    <w:rsid w:val="00DA2521"/>
    <w:rsid w:val="00DA264B"/>
    <w:rsid w:val="00DA2668"/>
    <w:rsid w:val="00DA26AC"/>
    <w:rsid w:val="00DA2715"/>
    <w:rsid w:val="00DA2802"/>
    <w:rsid w:val="00DA2918"/>
    <w:rsid w:val="00DA2928"/>
    <w:rsid w:val="00DA2956"/>
    <w:rsid w:val="00DA2A2D"/>
    <w:rsid w:val="00DA2A34"/>
    <w:rsid w:val="00DA2AC3"/>
    <w:rsid w:val="00DA2AE6"/>
    <w:rsid w:val="00DA2B12"/>
    <w:rsid w:val="00DA2C08"/>
    <w:rsid w:val="00DA2C41"/>
    <w:rsid w:val="00DA2C67"/>
    <w:rsid w:val="00DA2CE4"/>
    <w:rsid w:val="00DA2CFD"/>
    <w:rsid w:val="00DA2DB7"/>
    <w:rsid w:val="00DA2DF4"/>
    <w:rsid w:val="00DA2E6E"/>
    <w:rsid w:val="00DA2ECE"/>
    <w:rsid w:val="00DA2F41"/>
    <w:rsid w:val="00DA2F49"/>
    <w:rsid w:val="00DA2F8C"/>
    <w:rsid w:val="00DA3052"/>
    <w:rsid w:val="00DA30DB"/>
    <w:rsid w:val="00DA313E"/>
    <w:rsid w:val="00DA3185"/>
    <w:rsid w:val="00DA31BD"/>
    <w:rsid w:val="00DA321B"/>
    <w:rsid w:val="00DA325B"/>
    <w:rsid w:val="00DA32A7"/>
    <w:rsid w:val="00DA330E"/>
    <w:rsid w:val="00DA3350"/>
    <w:rsid w:val="00DA3395"/>
    <w:rsid w:val="00DA3532"/>
    <w:rsid w:val="00DA358C"/>
    <w:rsid w:val="00DA3656"/>
    <w:rsid w:val="00DA3668"/>
    <w:rsid w:val="00DA368F"/>
    <w:rsid w:val="00DA3729"/>
    <w:rsid w:val="00DA373E"/>
    <w:rsid w:val="00DA395F"/>
    <w:rsid w:val="00DA3A08"/>
    <w:rsid w:val="00DA3C12"/>
    <w:rsid w:val="00DA3CAC"/>
    <w:rsid w:val="00DA3CD0"/>
    <w:rsid w:val="00DA3D10"/>
    <w:rsid w:val="00DA3D72"/>
    <w:rsid w:val="00DA3E6F"/>
    <w:rsid w:val="00DA3EDA"/>
    <w:rsid w:val="00DA3F1D"/>
    <w:rsid w:val="00DA4001"/>
    <w:rsid w:val="00DA4013"/>
    <w:rsid w:val="00DA404A"/>
    <w:rsid w:val="00DA4116"/>
    <w:rsid w:val="00DA414F"/>
    <w:rsid w:val="00DA42E0"/>
    <w:rsid w:val="00DA433D"/>
    <w:rsid w:val="00DA4377"/>
    <w:rsid w:val="00DA43EF"/>
    <w:rsid w:val="00DA451B"/>
    <w:rsid w:val="00DA453D"/>
    <w:rsid w:val="00DA4544"/>
    <w:rsid w:val="00DA4748"/>
    <w:rsid w:val="00DA4792"/>
    <w:rsid w:val="00DA4822"/>
    <w:rsid w:val="00DA4844"/>
    <w:rsid w:val="00DA48DF"/>
    <w:rsid w:val="00DA48EA"/>
    <w:rsid w:val="00DA48FA"/>
    <w:rsid w:val="00DA4971"/>
    <w:rsid w:val="00DA49DF"/>
    <w:rsid w:val="00DA4BE5"/>
    <w:rsid w:val="00DA4C7D"/>
    <w:rsid w:val="00DA4CB1"/>
    <w:rsid w:val="00DA4D35"/>
    <w:rsid w:val="00DA4FA1"/>
    <w:rsid w:val="00DA50FF"/>
    <w:rsid w:val="00DA5149"/>
    <w:rsid w:val="00DA5422"/>
    <w:rsid w:val="00DA543E"/>
    <w:rsid w:val="00DA54AD"/>
    <w:rsid w:val="00DA54C8"/>
    <w:rsid w:val="00DA54DC"/>
    <w:rsid w:val="00DA5721"/>
    <w:rsid w:val="00DA5784"/>
    <w:rsid w:val="00DA5831"/>
    <w:rsid w:val="00DA583B"/>
    <w:rsid w:val="00DA58B6"/>
    <w:rsid w:val="00DA58E7"/>
    <w:rsid w:val="00DA5930"/>
    <w:rsid w:val="00DA5AA0"/>
    <w:rsid w:val="00DA5B5C"/>
    <w:rsid w:val="00DA5D48"/>
    <w:rsid w:val="00DA5D4D"/>
    <w:rsid w:val="00DA5DBB"/>
    <w:rsid w:val="00DA5DE3"/>
    <w:rsid w:val="00DA5EA1"/>
    <w:rsid w:val="00DA5EA4"/>
    <w:rsid w:val="00DA5EF6"/>
    <w:rsid w:val="00DA5EFB"/>
    <w:rsid w:val="00DA5F50"/>
    <w:rsid w:val="00DA60A0"/>
    <w:rsid w:val="00DA60CC"/>
    <w:rsid w:val="00DA627C"/>
    <w:rsid w:val="00DA6288"/>
    <w:rsid w:val="00DA62A6"/>
    <w:rsid w:val="00DA62EE"/>
    <w:rsid w:val="00DA63FB"/>
    <w:rsid w:val="00DA641E"/>
    <w:rsid w:val="00DA64D0"/>
    <w:rsid w:val="00DA64F7"/>
    <w:rsid w:val="00DA655C"/>
    <w:rsid w:val="00DA6637"/>
    <w:rsid w:val="00DA6826"/>
    <w:rsid w:val="00DA6959"/>
    <w:rsid w:val="00DA6A09"/>
    <w:rsid w:val="00DA6A0C"/>
    <w:rsid w:val="00DA6B1B"/>
    <w:rsid w:val="00DA6B73"/>
    <w:rsid w:val="00DA6BCD"/>
    <w:rsid w:val="00DA6C61"/>
    <w:rsid w:val="00DA6C71"/>
    <w:rsid w:val="00DA6C92"/>
    <w:rsid w:val="00DA6D90"/>
    <w:rsid w:val="00DA6FD5"/>
    <w:rsid w:val="00DA702A"/>
    <w:rsid w:val="00DA70F4"/>
    <w:rsid w:val="00DA70F7"/>
    <w:rsid w:val="00DA711E"/>
    <w:rsid w:val="00DA71D6"/>
    <w:rsid w:val="00DA7209"/>
    <w:rsid w:val="00DA7235"/>
    <w:rsid w:val="00DA7296"/>
    <w:rsid w:val="00DA733C"/>
    <w:rsid w:val="00DA743D"/>
    <w:rsid w:val="00DA7451"/>
    <w:rsid w:val="00DA74E9"/>
    <w:rsid w:val="00DA75C1"/>
    <w:rsid w:val="00DA767D"/>
    <w:rsid w:val="00DA7739"/>
    <w:rsid w:val="00DA777A"/>
    <w:rsid w:val="00DA7841"/>
    <w:rsid w:val="00DA7A1F"/>
    <w:rsid w:val="00DA7A8D"/>
    <w:rsid w:val="00DA7ABB"/>
    <w:rsid w:val="00DA7B72"/>
    <w:rsid w:val="00DA7BAA"/>
    <w:rsid w:val="00DA7BEA"/>
    <w:rsid w:val="00DA7BF5"/>
    <w:rsid w:val="00DA7C9C"/>
    <w:rsid w:val="00DA7DE7"/>
    <w:rsid w:val="00DA7E8A"/>
    <w:rsid w:val="00DA7EED"/>
    <w:rsid w:val="00DA7FCA"/>
    <w:rsid w:val="00DB0007"/>
    <w:rsid w:val="00DB01C8"/>
    <w:rsid w:val="00DB023A"/>
    <w:rsid w:val="00DB0308"/>
    <w:rsid w:val="00DB0423"/>
    <w:rsid w:val="00DB0435"/>
    <w:rsid w:val="00DB049A"/>
    <w:rsid w:val="00DB055B"/>
    <w:rsid w:val="00DB05CE"/>
    <w:rsid w:val="00DB073B"/>
    <w:rsid w:val="00DB0821"/>
    <w:rsid w:val="00DB0861"/>
    <w:rsid w:val="00DB08F9"/>
    <w:rsid w:val="00DB0940"/>
    <w:rsid w:val="00DB096F"/>
    <w:rsid w:val="00DB09D4"/>
    <w:rsid w:val="00DB0A24"/>
    <w:rsid w:val="00DB0A38"/>
    <w:rsid w:val="00DB0AEC"/>
    <w:rsid w:val="00DB0B19"/>
    <w:rsid w:val="00DB0C05"/>
    <w:rsid w:val="00DB0C11"/>
    <w:rsid w:val="00DB0CF4"/>
    <w:rsid w:val="00DB0D9C"/>
    <w:rsid w:val="00DB0DDC"/>
    <w:rsid w:val="00DB0E2B"/>
    <w:rsid w:val="00DB0E84"/>
    <w:rsid w:val="00DB1071"/>
    <w:rsid w:val="00DB10D9"/>
    <w:rsid w:val="00DB1133"/>
    <w:rsid w:val="00DB116B"/>
    <w:rsid w:val="00DB12AA"/>
    <w:rsid w:val="00DB1352"/>
    <w:rsid w:val="00DB137C"/>
    <w:rsid w:val="00DB1495"/>
    <w:rsid w:val="00DB1497"/>
    <w:rsid w:val="00DB1537"/>
    <w:rsid w:val="00DB1607"/>
    <w:rsid w:val="00DB167A"/>
    <w:rsid w:val="00DB16CD"/>
    <w:rsid w:val="00DB16ED"/>
    <w:rsid w:val="00DB1702"/>
    <w:rsid w:val="00DB17EB"/>
    <w:rsid w:val="00DB1830"/>
    <w:rsid w:val="00DB18A6"/>
    <w:rsid w:val="00DB19E4"/>
    <w:rsid w:val="00DB1A12"/>
    <w:rsid w:val="00DB1A8E"/>
    <w:rsid w:val="00DB1AE5"/>
    <w:rsid w:val="00DB1AE9"/>
    <w:rsid w:val="00DB1B88"/>
    <w:rsid w:val="00DB1BA8"/>
    <w:rsid w:val="00DB1BAE"/>
    <w:rsid w:val="00DB1C10"/>
    <w:rsid w:val="00DB1C9E"/>
    <w:rsid w:val="00DB1CDE"/>
    <w:rsid w:val="00DB1D6F"/>
    <w:rsid w:val="00DB1E30"/>
    <w:rsid w:val="00DB1E96"/>
    <w:rsid w:val="00DB1F2F"/>
    <w:rsid w:val="00DB2034"/>
    <w:rsid w:val="00DB20DD"/>
    <w:rsid w:val="00DB2137"/>
    <w:rsid w:val="00DB21C5"/>
    <w:rsid w:val="00DB2260"/>
    <w:rsid w:val="00DB22C8"/>
    <w:rsid w:val="00DB23B6"/>
    <w:rsid w:val="00DB23FA"/>
    <w:rsid w:val="00DB2451"/>
    <w:rsid w:val="00DB24BE"/>
    <w:rsid w:val="00DB24D4"/>
    <w:rsid w:val="00DB252F"/>
    <w:rsid w:val="00DB25D4"/>
    <w:rsid w:val="00DB2656"/>
    <w:rsid w:val="00DB2661"/>
    <w:rsid w:val="00DB2B6A"/>
    <w:rsid w:val="00DB2B7F"/>
    <w:rsid w:val="00DB2C95"/>
    <w:rsid w:val="00DB2CA7"/>
    <w:rsid w:val="00DB2CD6"/>
    <w:rsid w:val="00DB2D66"/>
    <w:rsid w:val="00DB2E07"/>
    <w:rsid w:val="00DB2EAB"/>
    <w:rsid w:val="00DB2ECC"/>
    <w:rsid w:val="00DB2F51"/>
    <w:rsid w:val="00DB2F9B"/>
    <w:rsid w:val="00DB2FE6"/>
    <w:rsid w:val="00DB306F"/>
    <w:rsid w:val="00DB30A3"/>
    <w:rsid w:val="00DB3143"/>
    <w:rsid w:val="00DB3240"/>
    <w:rsid w:val="00DB32AE"/>
    <w:rsid w:val="00DB333C"/>
    <w:rsid w:val="00DB3388"/>
    <w:rsid w:val="00DB33B0"/>
    <w:rsid w:val="00DB33C2"/>
    <w:rsid w:val="00DB33C9"/>
    <w:rsid w:val="00DB33FF"/>
    <w:rsid w:val="00DB34C3"/>
    <w:rsid w:val="00DB351B"/>
    <w:rsid w:val="00DB3583"/>
    <w:rsid w:val="00DB358D"/>
    <w:rsid w:val="00DB363A"/>
    <w:rsid w:val="00DB378F"/>
    <w:rsid w:val="00DB37A0"/>
    <w:rsid w:val="00DB37C2"/>
    <w:rsid w:val="00DB3830"/>
    <w:rsid w:val="00DB3839"/>
    <w:rsid w:val="00DB3841"/>
    <w:rsid w:val="00DB392A"/>
    <w:rsid w:val="00DB39C8"/>
    <w:rsid w:val="00DB3CE1"/>
    <w:rsid w:val="00DB3E2F"/>
    <w:rsid w:val="00DB3E9C"/>
    <w:rsid w:val="00DB3F17"/>
    <w:rsid w:val="00DB3F73"/>
    <w:rsid w:val="00DB4034"/>
    <w:rsid w:val="00DB40AE"/>
    <w:rsid w:val="00DB40F8"/>
    <w:rsid w:val="00DB40FA"/>
    <w:rsid w:val="00DB413B"/>
    <w:rsid w:val="00DB4148"/>
    <w:rsid w:val="00DB4215"/>
    <w:rsid w:val="00DB4236"/>
    <w:rsid w:val="00DB42A1"/>
    <w:rsid w:val="00DB43B1"/>
    <w:rsid w:val="00DB4448"/>
    <w:rsid w:val="00DB450B"/>
    <w:rsid w:val="00DB4543"/>
    <w:rsid w:val="00DB4673"/>
    <w:rsid w:val="00DB4817"/>
    <w:rsid w:val="00DB482A"/>
    <w:rsid w:val="00DB489D"/>
    <w:rsid w:val="00DB48CB"/>
    <w:rsid w:val="00DB4989"/>
    <w:rsid w:val="00DB49EB"/>
    <w:rsid w:val="00DB4A17"/>
    <w:rsid w:val="00DB4B40"/>
    <w:rsid w:val="00DB4B7C"/>
    <w:rsid w:val="00DB4B89"/>
    <w:rsid w:val="00DB4BC9"/>
    <w:rsid w:val="00DB4BD5"/>
    <w:rsid w:val="00DB4C86"/>
    <w:rsid w:val="00DB4C88"/>
    <w:rsid w:val="00DB4CA0"/>
    <w:rsid w:val="00DB4EDD"/>
    <w:rsid w:val="00DB4FF6"/>
    <w:rsid w:val="00DB5068"/>
    <w:rsid w:val="00DB50D8"/>
    <w:rsid w:val="00DB5221"/>
    <w:rsid w:val="00DB5234"/>
    <w:rsid w:val="00DB5337"/>
    <w:rsid w:val="00DB5341"/>
    <w:rsid w:val="00DB54AD"/>
    <w:rsid w:val="00DB5551"/>
    <w:rsid w:val="00DB573F"/>
    <w:rsid w:val="00DB582F"/>
    <w:rsid w:val="00DB5882"/>
    <w:rsid w:val="00DB58B7"/>
    <w:rsid w:val="00DB58F3"/>
    <w:rsid w:val="00DB5B18"/>
    <w:rsid w:val="00DB5C4D"/>
    <w:rsid w:val="00DB5C80"/>
    <w:rsid w:val="00DB5D32"/>
    <w:rsid w:val="00DB5DEB"/>
    <w:rsid w:val="00DB5E6F"/>
    <w:rsid w:val="00DB5E9B"/>
    <w:rsid w:val="00DB5FDA"/>
    <w:rsid w:val="00DB6017"/>
    <w:rsid w:val="00DB60F8"/>
    <w:rsid w:val="00DB61AB"/>
    <w:rsid w:val="00DB6248"/>
    <w:rsid w:val="00DB6292"/>
    <w:rsid w:val="00DB629F"/>
    <w:rsid w:val="00DB62BC"/>
    <w:rsid w:val="00DB6302"/>
    <w:rsid w:val="00DB64CF"/>
    <w:rsid w:val="00DB651F"/>
    <w:rsid w:val="00DB6586"/>
    <w:rsid w:val="00DB65C9"/>
    <w:rsid w:val="00DB65F8"/>
    <w:rsid w:val="00DB66B9"/>
    <w:rsid w:val="00DB670C"/>
    <w:rsid w:val="00DB67B8"/>
    <w:rsid w:val="00DB68B5"/>
    <w:rsid w:val="00DB68BD"/>
    <w:rsid w:val="00DB68D7"/>
    <w:rsid w:val="00DB699A"/>
    <w:rsid w:val="00DB69E4"/>
    <w:rsid w:val="00DB6AD9"/>
    <w:rsid w:val="00DB6B64"/>
    <w:rsid w:val="00DB6CBC"/>
    <w:rsid w:val="00DB6D7C"/>
    <w:rsid w:val="00DB6DDC"/>
    <w:rsid w:val="00DB6DE0"/>
    <w:rsid w:val="00DB6DF4"/>
    <w:rsid w:val="00DB6ED7"/>
    <w:rsid w:val="00DB6F2A"/>
    <w:rsid w:val="00DB6F57"/>
    <w:rsid w:val="00DB6FC6"/>
    <w:rsid w:val="00DB6FE1"/>
    <w:rsid w:val="00DB6FEB"/>
    <w:rsid w:val="00DB7023"/>
    <w:rsid w:val="00DB729D"/>
    <w:rsid w:val="00DB7307"/>
    <w:rsid w:val="00DB7314"/>
    <w:rsid w:val="00DB7317"/>
    <w:rsid w:val="00DB7388"/>
    <w:rsid w:val="00DB74A0"/>
    <w:rsid w:val="00DB7533"/>
    <w:rsid w:val="00DB755E"/>
    <w:rsid w:val="00DB75A0"/>
    <w:rsid w:val="00DB76E5"/>
    <w:rsid w:val="00DB770C"/>
    <w:rsid w:val="00DB7739"/>
    <w:rsid w:val="00DB7785"/>
    <w:rsid w:val="00DB7819"/>
    <w:rsid w:val="00DB782F"/>
    <w:rsid w:val="00DB7863"/>
    <w:rsid w:val="00DB78A3"/>
    <w:rsid w:val="00DB7A1F"/>
    <w:rsid w:val="00DB7AE1"/>
    <w:rsid w:val="00DB7B23"/>
    <w:rsid w:val="00DB7B5A"/>
    <w:rsid w:val="00DB7B73"/>
    <w:rsid w:val="00DB7B9C"/>
    <w:rsid w:val="00DB7C07"/>
    <w:rsid w:val="00DB7E03"/>
    <w:rsid w:val="00DB7E41"/>
    <w:rsid w:val="00DB7EFC"/>
    <w:rsid w:val="00DC00B0"/>
    <w:rsid w:val="00DC0234"/>
    <w:rsid w:val="00DC0293"/>
    <w:rsid w:val="00DC03C8"/>
    <w:rsid w:val="00DC04BE"/>
    <w:rsid w:val="00DC054E"/>
    <w:rsid w:val="00DC056A"/>
    <w:rsid w:val="00DC0574"/>
    <w:rsid w:val="00DC05E4"/>
    <w:rsid w:val="00DC05E6"/>
    <w:rsid w:val="00DC0685"/>
    <w:rsid w:val="00DC0700"/>
    <w:rsid w:val="00DC0810"/>
    <w:rsid w:val="00DC08AA"/>
    <w:rsid w:val="00DC08B5"/>
    <w:rsid w:val="00DC08C9"/>
    <w:rsid w:val="00DC08E8"/>
    <w:rsid w:val="00DC09A5"/>
    <w:rsid w:val="00DC09CE"/>
    <w:rsid w:val="00DC09E0"/>
    <w:rsid w:val="00DC0AAC"/>
    <w:rsid w:val="00DC0ADD"/>
    <w:rsid w:val="00DC0B0A"/>
    <w:rsid w:val="00DC0B71"/>
    <w:rsid w:val="00DC0C10"/>
    <w:rsid w:val="00DC0C95"/>
    <w:rsid w:val="00DC0D27"/>
    <w:rsid w:val="00DC0E3C"/>
    <w:rsid w:val="00DC0EAB"/>
    <w:rsid w:val="00DC0F35"/>
    <w:rsid w:val="00DC10AA"/>
    <w:rsid w:val="00DC10D9"/>
    <w:rsid w:val="00DC11C8"/>
    <w:rsid w:val="00DC126B"/>
    <w:rsid w:val="00DC12FA"/>
    <w:rsid w:val="00DC1455"/>
    <w:rsid w:val="00DC1480"/>
    <w:rsid w:val="00DC1483"/>
    <w:rsid w:val="00DC1491"/>
    <w:rsid w:val="00DC1519"/>
    <w:rsid w:val="00DC15E7"/>
    <w:rsid w:val="00DC160E"/>
    <w:rsid w:val="00DC16A0"/>
    <w:rsid w:val="00DC16F0"/>
    <w:rsid w:val="00DC186B"/>
    <w:rsid w:val="00DC18A4"/>
    <w:rsid w:val="00DC1937"/>
    <w:rsid w:val="00DC195B"/>
    <w:rsid w:val="00DC1A0E"/>
    <w:rsid w:val="00DC1B84"/>
    <w:rsid w:val="00DC1BDB"/>
    <w:rsid w:val="00DC1BEC"/>
    <w:rsid w:val="00DC1C19"/>
    <w:rsid w:val="00DC1C34"/>
    <w:rsid w:val="00DC1C45"/>
    <w:rsid w:val="00DC1C52"/>
    <w:rsid w:val="00DC1C93"/>
    <w:rsid w:val="00DC1CEE"/>
    <w:rsid w:val="00DC1D3C"/>
    <w:rsid w:val="00DC1DB5"/>
    <w:rsid w:val="00DC1E10"/>
    <w:rsid w:val="00DC2235"/>
    <w:rsid w:val="00DC22F2"/>
    <w:rsid w:val="00DC230F"/>
    <w:rsid w:val="00DC2366"/>
    <w:rsid w:val="00DC23B1"/>
    <w:rsid w:val="00DC23DA"/>
    <w:rsid w:val="00DC25A7"/>
    <w:rsid w:val="00DC265B"/>
    <w:rsid w:val="00DC2767"/>
    <w:rsid w:val="00DC27EC"/>
    <w:rsid w:val="00DC288B"/>
    <w:rsid w:val="00DC2935"/>
    <w:rsid w:val="00DC2A00"/>
    <w:rsid w:val="00DC2A7E"/>
    <w:rsid w:val="00DC2A8B"/>
    <w:rsid w:val="00DC2ACF"/>
    <w:rsid w:val="00DC2B73"/>
    <w:rsid w:val="00DC2DBF"/>
    <w:rsid w:val="00DC2E9B"/>
    <w:rsid w:val="00DC2F57"/>
    <w:rsid w:val="00DC30A8"/>
    <w:rsid w:val="00DC312B"/>
    <w:rsid w:val="00DC31BA"/>
    <w:rsid w:val="00DC31EB"/>
    <w:rsid w:val="00DC31EF"/>
    <w:rsid w:val="00DC3216"/>
    <w:rsid w:val="00DC324F"/>
    <w:rsid w:val="00DC3291"/>
    <w:rsid w:val="00DC330D"/>
    <w:rsid w:val="00DC3454"/>
    <w:rsid w:val="00DC35CB"/>
    <w:rsid w:val="00DC35F0"/>
    <w:rsid w:val="00DC361C"/>
    <w:rsid w:val="00DC36F8"/>
    <w:rsid w:val="00DC375C"/>
    <w:rsid w:val="00DC37F6"/>
    <w:rsid w:val="00DC387B"/>
    <w:rsid w:val="00DC3A04"/>
    <w:rsid w:val="00DC3B04"/>
    <w:rsid w:val="00DC3C0D"/>
    <w:rsid w:val="00DC3D01"/>
    <w:rsid w:val="00DC3E0F"/>
    <w:rsid w:val="00DC3E22"/>
    <w:rsid w:val="00DC3E76"/>
    <w:rsid w:val="00DC3EC5"/>
    <w:rsid w:val="00DC3F58"/>
    <w:rsid w:val="00DC3FC0"/>
    <w:rsid w:val="00DC402D"/>
    <w:rsid w:val="00DC4037"/>
    <w:rsid w:val="00DC405C"/>
    <w:rsid w:val="00DC417E"/>
    <w:rsid w:val="00DC41D9"/>
    <w:rsid w:val="00DC41EE"/>
    <w:rsid w:val="00DC426E"/>
    <w:rsid w:val="00DC4375"/>
    <w:rsid w:val="00DC440C"/>
    <w:rsid w:val="00DC440F"/>
    <w:rsid w:val="00DC4464"/>
    <w:rsid w:val="00DC4594"/>
    <w:rsid w:val="00DC473B"/>
    <w:rsid w:val="00DC489B"/>
    <w:rsid w:val="00DC4937"/>
    <w:rsid w:val="00DC4970"/>
    <w:rsid w:val="00DC4B9A"/>
    <w:rsid w:val="00DC4DB2"/>
    <w:rsid w:val="00DC4DD0"/>
    <w:rsid w:val="00DC4ECA"/>
    <w:rsid w:val="00DC4EE1"/>
    <w:rsid w:val="00DC4F0D"/>
    <w:rsid w:val="00DC4F5D"/>
    <w:rsid w:val="00DC4FB7"/>
    <w:rsid w:val="00DC506B"/>
    <w:rsid w:val="00DC512C"/>
    <w:rsid w:val="00DC51CD"/>
    <w:rsid w:val="00DC5237"/>
    <w:rsid w:val="00DC524F"/>
    <w:rsid w:val="00DC52A1"/>
    <w:rsid w:val="00DC52AE"/>
    <w:rsid w:val="00DC52D4"/>
    <w:rsid w:val="00DC530C"/>
    <w:rsid w:val="00DC54D5"/>
    <w:rsid w:val="00DC555E"/>
    <w:rsid w:val="00DC55A3"/>
    <w:rsid w:val="00DC55DB"/>
    <w:rsid w:val="00DC5634"/>
    <w:rsid w:val="00DC5644"/>
    <w:rsid w:val="00DC5685"/>
    <w:rsid w:val="00DC5687"/>
    <w:rsid w:val="00DC570D"/>
    <w:rsid w:val="00DC57AA"/>
    <w:rsid w:val="00DC57FD"/>
    <w:rsid w:val="00DC580E"/>
    <w:rsid w:val="00DC580F"/>
    <w:rsid w:val="00DC58C1"/>
    <w:rsid w:val="00DC58E2"/>
    <w:rsid w:val="00DC5A95"/>
    <w:rsid w:val="00DC5C61"/>
    <w:rsid w:val="00DC5C77"/>
    <w:rsid w:val="00DC5C98"/>
    <w:rsid w:val="00DC5D26"/>
    <w:rsid w:val="00DC5D51"/>
    <w:rsid w:val="00DC5DE7"/>
    <w:rsid w:val="00DC5F61"/>
    <w:rsid w:val="00DC5FF6"/>
    <w:rsid w:val="00DC6038"/>
    <w:rsid w:val="00DC60EA"/>
    <w:rsid w:val="00DC615C"/>
    <w:rsid w:val="00DC616D"/>
    <w:rsid w:val="00DC61AC"/>
    <w:rsid w:val="00DC61F2"/>
    <w:rsid w:val="00DC62B4"/>
    <w:rsid w:val="00DC62DB"/>
    <w:rsid w:val="00DC63AC"/>
    <w:rsid w:val="00DC64D5"/>
    <w:rsid w:val="00DC658F"/>
    <w:rsid w:val="00DC65EB"/>
    <w:rsid w:val="00DC66D8"/>
    <w:rsid w:val="00DC6816"/>
    <w:rsid w:val="00DC68DB"/>
    <w:rsid w:val="00DC69F9"/>
    <w:rsid w:val="00DC6A7F"/>
    <w:rsid w:val="00DC6AE3"/>
    <w:rsid w:val="00DC6CE0"/>
    <w:rsid w:val="00DC6CFE"/>
    <w:rsid w:val="00DC70AE"/>
    <w:rsid w:val="00DC70C5"/>
    <w:rsid w:val="00DC70E1"/>
    <w:rsid w:val="00DC7133"/>
    <w:rsid w:val="00DC7217"/>
    <w:rsid w:val="00DC73BD"/>
    <w:rsid w:val="00DC740C"/>
    <w:rsid w:val="00DC7492"/>
    <w:rsid w:val="00DC767E"/>
    <w:rsid w:val="00DC76A9"/>
    <w:rsid w:val="00DC76B5"/>
    <w:rsid w:val="00DC788F"/>
    <w:rsid w:val="00DC789F"/>
    <w:rsid w:val="00DC78B7"/>
    <w:rsid w:val="00DC7926"/>
    <w:rsid w:val="00DC79A0"/>
    <w:rsid w:val="00DC79C2"/>
    <w:rsid w:val="00DC79DC"/>
    <w:rsid w:val="00DC7A67"/>
    <w:rsid w:val="00DC7B40"/>
    <w:rsid w:val="00DC7B4E"/>
    <w:rsid w:val="00DC7C74"/>
    <w:rsid w:val="00DC7CBE"/>
    <w:rsid w:val="00DC7D49"/>
    <w:rsid w:val="00DC7E16"/>
    <w:rsid w:val="00DC7E4F"/>
    <w:rsid w:val="00DC7E70"/>
    <w:rsid w:val="00DD0057"/>
    <w:rsid w:val="00DD013F"/>
    <w:rsid w:val="00DD0172"/>
    <w:rsid w:val="00DD0358"/>
    <w:rsid w:val="00DD0373"/>
    <w:rsid w:val="00DD03E9"/>
    <w:rsid w:val="00DD04E2"/>
    <w:rsid w:val="00DD061E"/>
    <w:rsid w:val="00DD0626"/>
    <w:rsid w:val="00DD077F"/>
    <w:rsid w:val="00DD079E"/>
    <w:rsid w:val="00DD0839"/>
    <w:rsid w:val="00DD08B5"/>
    <w:rsid w:val="00DD08C9"/>
    <w:rsid w:val="00DD0A2C"/>
    <w:rsid w:val="00DD0AA6"/>
    <w:rsid w:val="00DD0AAC"/>
    <w:rsid w:val="00DD0C64"/>
    <w:rsid w:val="00DD0E29"/>
    <w:rsid w:val="00DD0F12"/>
    <w:rsid w:val="00DD0FA1"/>
    <w:rsid w:val="00DD0FF4"/>
    <w:rsid w:val="00DD10D9"/>
    <w:rsid w:val="00DD10FF"/>
    <w:rsid w:val="00DD1161"/>
    <w:rsid w:val="00DD1295"/>
    <w:rsid w:val="00DD129F"/>
    <w:rsid w:val="00DD12C1"/>
    <w:rsid w:val="00DD12E9"/>
    <w:rsid w:val="00DD1457"/>
    <w:rsid w:val="00DD149C"/>
    <w:rsid w:val="00DD14F7"/>
    <w:rsid w:val="00DD1503"/>
    <w:rsid w:val="00DD1550"/>
    <w:rsid w:val="00DD15A6"/>
    <w:rsid w:val="00DD15E2"/>
    <w:rsid w:val="00DD15F5"/>
    <w:rsid w:val="00DD1769"/>
    <w:rsid w:val="00DD17F0"/>
    <w:rsid w:val="00DD189C"/>
    <w:rsid w:val="00DD18FA"/>
    <w:rsid w:val="00DD1988"/>
    <w:rsid w:val="00DD19AF"/>
    <w:rsid w:val="00DD19B2"/>
    <w:rsid w:val="00DD1A79"/>
    <w:rsid w:val="00DD1AD4"/>
    <w:rsid w:val="00DD1AE6"/>
    <w:rsid w:val="00DD1B5B"/>
    <w:rsid w:val="00DD1B5E"/>
    <w:rsid w:val="00DD1BB3"/>
    <w:rsid w:val="00DD1CE1"/>
    <w:rsid w:val="00DD1D47"/>
    <w:rsid w:val="00DD1D5C"/>
    <w:rsid w:val="00DD1F6C"/>
    <w:rsid w:val="00DD2090"/>
    <w:rsid w:val="00DD2190"/>
    <w:rsid w:val="00DD21BD"/>
    <w:rsid w:val="00DD2236"/>
    <w:rsid w:val="00DD2359"/>
    <w:rsid w:val="00DD2363"/>
    <w:rsid w:val="00DD2450"/>
    <w:rsid w:val="00DD2497"/>
    <w:rsid w:val="00DD250E"/>
    <w:rsid w:val="00DD2569"/>
    <w:rsid w:val="00DD2621"/>
    <w:rsid w:val="00DD263F"/>
    <w:rsid w:val="00DD2710"/>
    <w:rsid w:val="00DD283C"/>
    <w:rsid w:val="00DD2927"/>
    <w:rsid w:val="00DD2949"/>
    <w:rsid w:val="00DD2A44"/>
    <w:rsid w:val="00DD2B90"/>
    <w:rsid w:val="00DD2D79"/>
    <w:rsid w:val="00DD2E05"/>
    <w:rsid w:val="00DD2E1C"/>
    <w:rsid w:val="00DD2E4F"/>
    <w:rsid w:val="00DD2EA7"/>
    <w:rsid w:val="00DD2FB4"/>
    <w:rsid w:val="00DD2FBA"/>
    <w:rsid w:val="00DD3009"/>
    <w:rsid w:val="00DD3077"/>
    <w:rsid w:val="00DD314F"/>
    <w:rsid w:val="00DD319E"/>
    <w:rsid w:val="00DD31E9"/>
    <w:rsid w:val="00DD33DA"/>
    <w:rsid w:val="00DD3441"/>
    <w:rsid w:val="00DD34B9"/>
    <w:rsid w:val="00DD34EE"/>
    <w:rsid w:val="00DD35C9"/>
    <w:rsid w:val="00DD36E6"/>
    <w:rsid w:val="00DD377F"/>
    <w:rsid w:val="00DD37B5"/>
    <w:rsid w:val="00DD3807"/>
    <w:rsid w:val="00DD380A"/>
    <w:rsid w:val="00DD380B"/>
    <w:rsid w:val="00DD38AC"/>
    <w:rsid w:val="00DD38E2"/>
    <w:rsid w:val="00DD3AAA"/>
    <w:rsid w:val="00DD3B14"/>
    <w:rsid w:val="00DD3B55"/>
    <w:rsid w:val="00DD3CBD"/>
    <w:rsid w:val="00DD3D2B"/>
    <w:rsid w:val="00DD3D66"/>
    <w:rsid w:val="00DD3D74"/>
    <w:rsid w:val="00DD3D84"/>
    <w:rsid w:val="00DD3D99"/>
    <w:rsid w:val="00DD3F5E"/>
    <w:rsid w:val="00DD3FB2"/>
    <w:rsid w:val="00DD4084"/>
    <w:rsid w:val="00DD40A4"/>
    <w:rsid w:val="00DD40B3"/>
    <w:rsid w:val="00DD4214"/>
    <w:rsid w:val="00DD42BF"/>
    <w:rsid w:val="00DD4364"/>
    <w:rsid w:val="00DD4404"/>
    <w:rsid w:val="00DD4494"/>
    <w:rsid w:val="00DD45B4"/>
    <w:rsid w:val="00DD46E7"/>
    <w:rsid w:val="00DD46EF"/>
    <w:rsid w:val="00DD4722"/>
    <w:rsid w:val="00DD47D0"/>
    <w:rsid w:val="00DD4890"/>
    <w:rsid w:val="00DD4895"/>
    <w:rsid w:val="00DD48F8"/>
    <w:rsid w:val="00DD4960"/>
    <w:rsid w:val="00DD4A4C"/>
    <w:rsid w:val="00DD4B28"/>
    <w:rsid w:val="00DD4C22"/>
    <w:rsid w:val="00DD4C81"/>
    <w:rsid w:val="00DD4C85"/>
    <w:rsid w:val="00DD4D38"/>
    <w:rsid w:val="00DD4D76"/>
    <w:rsid w:val="00DD4D9B"/>
    <w:rsid w:val="00DD4DCE"/>
    <w:rsid w:val="00DD4DE4"/>
    <w:rsid w:val="00DD4E31"/>
    <w:rsid w:val="00DD4E34"/>
    <w:rsid w:val="00DD4E63"/>
    <w:rsid w:val="00DD4F35"/>
    <w:rsid w:val="00DD4F86"/>
    <w:rsid w:val="00DD4F9C"/>
    <w:rsid w:val="00DD4FF0"/>
    <w:rsid w:val="00DD50B8"/>
    <w:rsid w:val="00DD51D5"/>
    <w:rsid w:val="00DD52C5"/>
    <w:rsid w:val="00DD544C"/>
    <w:rsid w:val="00DD54A9"/>
    <w:rsid w:val="00DD552C"/>
    <w:rsid w:val="00DD55C7"/>
    <w:rsid w:val="00DD5617"/>
    <w:rsid w:val="00DD5668"/>
    <w:rsid w:val="00DD568E"/>
    <w:rsid w:val="00DD58B6"/>
    <w:rsid w:val="00DD5977"/>
    <w:rsid w:val="00DD59EC"/>
    <w:rsid w:val="00DD5A3D"/>
    <w:rsid w:val="00DD5ADE"/>
    <w:rsid w:val="00DD5AE3"/>
    <w:rsid w:val="00DD5AEA"/>
    <w:rsid w:val="00DD5BA7"/>
    <w:rsid w:val="00DD5C14"/>
    <w:rsid w:val="00DD5C23"/>
    <w:rsid w:val="00DD5C3A"/>
    <w:rsid w:val="00DD5E90"/>
    <w:rsid w:val="00DD5EE9"/>
    <w:rsid w:val="00DD5F3E"/>
    <w:rsid w:val="00DD6018"/>
    <w:rsid w:val="00DD6045"/>
    <w:rsid w:val="00DD6053"/>
    <w:rsid w:val="00DD610E"/>
    <w:rsid w:val="00DD61BB"/>
    <w:rsid w:val="00DD6226"/>
    <w:rsid w:val="00DD6234"/>
    <w:rsid w:val="00DD6249"/>
    <w:rsid w:val="00DD62B3"/>
    <w:rsid w:val="00DD62DD"/>
    <w:rsid w:val="00DD62EF"/>
    <w:rsid w:val="00DD6302"/>
    <w:rsid w:val="00DD638B"/>
    <w:rsid w:val="00DD646D"/>
    <w:rsid w:val="00DD6492"/>
    <w:rsid w:val="00DD64AB"/>
    <w:rsid w:val="00DD6615"/>
    <w:rsid w:val="00DD6745"/>
    <w:rsid w:val="00DD68E8"/>
    <w:rsid w:val="00DD697A"/>
    <w:rsid w:val="00DD6BAF"/>
    <w:rsid w:val="00DD6BFC"/>
    <w:rsid w:val="00DD6D0D"/>
    <w:rsid w:val="00DD6F4B"/>
    <w:rsid w:val="00DD6F74"/>
    <w:rsid w:val="00DD7068"/>
    <w:rsid w:val="00DD7078"/>
    <w:rsid w:val="00DD70C4"/>
    <w:rsid w:val="00DD7159"/>
    <w:rsid w:val="00DD715E"/>
    <w:rsid w:val="00DD7164"/>
    <w:rsid w:val="00DD7388"/>
    <w:rsid w:val="00DD73CD"/>
    <w:rsid w:val="00DD741D"/>
    <w:rsid w:val="00DD751F"/>
    <w:rsid w:val="00DD760F"/>
    <w:rsid w:val="00DD77A8"/>
    <w:rsid w:val="00DD77C2"/>
    <w:rsid w:val="00DD7809"/>
    <w:rsid w:val="00DD780F"/>
    <w:rsid w:val="00DD788D"/>
    <w:rsid w:val="00DD78BB"/>
    <w:rsid w:val="00DD79EF"/>
    <w:rsid w:val="00DD79F3"/>
    <w:rsid w:val="00DD7A17"/>
    <w:rsid w:val="00DD7A38"/>
    <w:rsid w:val="00DD7B20"/>
    <w:rsid w:val="00DD7D51"/>
    <w:rsid w:val="00DD7EEB"/>
    <w:rsid w:val="00DD7F89"/>
    <w:rsid w:val="00DD7FBF"/>
    <w:rsid w:val="00DE003A"/>
    <w:rsid w:val="00DE0049"/>
    <w:rsid w:val="00DE00DA"/>
    <w:rsid w:val="00DE00FB"/>
    <w:rsid w:val="00DE01F6"/>
    <w:rsid w:val="00DE020C"/>
    <w:rsid w:val="00DE02C4"/>
    <w:rsid w:val="00DE02F4"/>
    <w:rsid w:val="00DE03DE"/>
    <w:rsid w:val="00DE05B8"/>
    <w:rsid w:val="00DE0619"/>
    <w:rsid w:val="00DE087A"/>
    <w:rsid w:val="00DE0958"/>
    <w:rsid w:val="00DE09CB"/>
    <w:rsid w:val="00DE0A55"/>
    <w:rsid w:val="00DE0B31"/>
    <w:rsid w:val="00DE0B97"/>
    <w:rsid w:val="00DE0C05"/>
    <w:rsid w:val="00DE0C31"/>
    <w:rsid w:val="00DE0CD0"/>
    <w:rsid w:val="00DE0DBF"/>
    <w:rsid w:val="00DE0DC8"/>
    <w:rsid w:val="00DE0DEE"/>
    <w:rsid w:val="00DE0E1C"/>
    <w:rsid w:val="00DE0E66"/>
    <w:rsid w:val="00DE0F00"/>
    <w:rsid w:val="00DE0F33"/>
    <w:rsid w:val="00DE11CD"/>
    <w:rsid w:val="00DE12CB"/>
    <w:rsid w:val="00DE12DC"/>
    <w:rsid w:val="00DE1494"/>
    <w:rsid w:val="00DE14F6"/>
    <w:rsid w:val="00DE1516"/>
    <w:rsid w:val="00DE1551"/>
    <w:rsid w:val="00DE17F2"/>
    <w:rsid w:val="00DE1864"/>
    <w:rsid w:val="00DE1865"/>
    <w:rsid w:val="00DE191E"/>
    <w:rsid w:val="00DE19D3"/>
    <w:rsid w:val="00DE1AEE"/>
    <w:rsid w:val="00DE1B3E"/>
    <w:rsid w:val="00DE1B84"/>
    <w:rsid w:val="00DE1CC9"/>
    <w:rsid w:val="00DE1DC2"/>
    <w:rsid w:val="00DE1EA2"/>
    <w:rsid w:val="00DE1F0A"/>
    <w:rsid w:val="00DE1FD9"/>
    <w:rsid w:val="00DE219E"/>
    <w:rsid w:val="00DE2265"/>
    <w:rsid w:val="00DE22E1"/>
    <w:rsid w:val="00DE2376"/>
    <w:rsid w:val="00DE2447"/>
    <w:rsid w:val="00DE2486"/>
    <w:rsid w:val="00DE251A"/>
    <w:rsid w:val="00DE2584"/>
    <w:rsid w:val="00DE25BF"/>
    <w:rsid w:val="00DE2842"/>
    <w:rsid w:val="00DE28DD"/>
    <w:rsid w:val="00DE2A57"/>
    <w:rsid w:val="00DE2C04"/>
    <w:rsid w:val="00DE2D03"/>
    <w:rsid w:val="00DE2D0E"/>
    <w:rsid w:val="00DE2E94"/>
    <w:rsid w:val="00DE2F1C"/>
    <w:rsid w:val="00DE304D"/>
    <w:rsid w:val="00DE31AC"/>
    <w:rsid w:val="00DE31E0"/>
    <w:rsid w:val="00DE3297"/>
    <w:rsid w:val="00DE330F"/>
    <w:rsid w:val="00DE360F"/>
    <w:rsid w:val="00DE3899"/>
    <w:rsid w:val="00DE392F"/>
    <w:rsid w:val="00DE3946"/>
    <w:rsid w:val="00DE3960"/>
    <w:rsid w:val="00DE39D4"/>
    <w:rsid w:val="00DE3A4D"/>
    <w:rsid w:val="00DE3BB8"/>
    <w:rsid w:val="00DE3BC2"/>
    <w:rsid w:val="00DE3C84"/>
    <w:rsid w:val="00DE3C96"/>
    <w:rsid w:val="00DE3CD0"/>
    <w:rsid w:val="00DE3D00"/>
    <w:rsid w:val="00DE3ED6"/>
    <w:rsid w:val="00DE3FA7"/>
    <w:rsid w:val="00DE428A"/>
    <w:rsid w:val="00DE42BD"/>
    <w:rsid w:val="00DE4394"/>
    <w:rsid w:val="00DE43D3"/>
    <w:rsid w:val="00DE4442"/>
    <w:rsid w:val="00DE449A"/>
    <w:rsid w:val="00DE44E8"/>
    <w:rsid w:val="00DE4555"/>
    <w:rsid w:val="00DE4574"/>
    <w:rsid w:val="00DE45B8"/>
    <w:rsid w:val="00DE468B"/>
    <w:rsid w:val="00DE47BE"/>
    <w:rsid w:val="00DE47ED"/>
    <w:rsid w:val="00DE4944"/>
    <w:rsid w:val="00DE494A"/>
    <w:rsid w:val="00DE4BFD"/>
    <w:rsid w:val="00DE4CB7"/>
    <w:rsid w:val="00DE4E29"/>
    <w:rsid w:val="00DE4E7D"/>
    <w:rsid w:val="00DE4F26"/>
    <w:rsid w:val="00DE4F40"/>
    <w:rsid w:val="00DE4F97"/>
    <w:rsid w:val="00DE4F9B"/>
    <w:rsid w:val="00DE5009"/>
    <w:rsid w:val="00DE50A5"/>
    <w:rsid w:val="00DE50CD"/>
    <w:rsid w:val="00DE5113"/>
    <w:rsid w:val="00DE5128"/>
    <w:rsid w:val="00DE515B"/>
    <w:rsid w:val="00DE51AE"/>
    <w:rsid w:val="00DE52A7"/>
    <w:rsid w:val="00DE5410"/>
    <w:rsid w:val="00DE5414"/>
    <w:rsid w:val="00DE5479"/>
    <w:rsid w:val="00DE54CD"/>
    <w:rsid w:val="00DE54FE"/>
    <w:rsid w:val="00DE5623"/>
    <w:rsid w:val="00DE578B"/>
    <w:rsid w:val="00DE57EB"/>
    <w:rsid w:val="00DE5803"/>
    <w:rsid w:val="00DE5856"/>
    <w:rsid w:val="00DE5869"/>
    <w:rsid w:val="00DE58C7"/>
    <w:rsid w:val="00DE59DB"/>
    <w:rsid w:val="00DE5AAB"/>
    <w:rsid w:val="00DE5AEF"/>
    <w:rsid w:val="00DE5C2A"/>
    <w:rsid w:val="00DE5CA5"/>
    <w:rsid w:val="00DE5CFD"/>
    <w:rsid w:val="00DE5D02"/>
    <w:rsid w:val="00DE5D63"/>
    <w:rsid w:val="00DE5DC8"/>
    <w:rsid w:val="00DE5E01"/>
    <w:rsid w:val="00DE5E4D"/>
    <w:rsid w:val="00DE5EBA"/>
    <w:rsid w:val="00DE611F"/>
    <w:rsid w:val="00DE613D"/>
    <w:rsid w:val="00DE617E"/>
    <w:rsid w:val="00DE6296"/>
    <w:rsid w:val="00DE637A"/>
    <w:rsid w:val="00DE6477"/>
    <w:rsid w:val="00DE64BF"/>
    <w:rsid w:val="00DE64E3"/>
    <w:rsid w:val="00DE663C"/>
    <w:rsid w:val="00DE66BE"/>
    <w:rsid w:val="00DE6909"/>
    <w:rsid w:val="00DE693B"/>
    <w:rsid w:val="00DE6966"/>
    <w:rsid w:val="00DE6AA6"/>
    <w:rsid w:val="00DE6CE0"/>
    <w:rsid w:val="00DE6D3D"/>
    <w:rsid w:val="00DE6DB3"/>
    <w:rsid w:val="00DE6ED1"/>
    <w:rsid w:val="00DE6F1F"/>
    <w:rsid w:val="00DE6FE9"/>
    <w:rsid w:val="00DE6FEE"/>
    <w:rsid w:val="00DE704F"/>
    <w:rsid w:val="00DE7177"/>
    <w:rsid w:val="00DE71B8"/>
    <w:rsid w:val="00DE726B"/>
    <w:rsid w:val="00DE72CB"/>
    <w:rsid w:val="00DE7435"/>
    <w:rsid w:val="00DE7455"/>
    <w:rsid w:val="00DE746E"/>
    <w:rsid w:val="00DE759B"/>
    <w:rsid w:val="00DE75C8"/>
    <w:rsid w:val="00DE7746"/>
    <w:rsid w:val="00DE77B7"/>
    <w:rsid w:val="00DE783C"/>
    <w:rsid w:val="00DE7851"/>
    <w:rsid w:val="00DE7876"/>
    <w:rsid w:val="00DE78E9"/>
    <w:rsid w:val="00DE78EB"/>
    <w:rsid w:val="00DE794C"/>
    <w:rsid w:val="00DE79AD"/>
    <w:rsid w:val="00DE7ADD"/>
    <w:rsid w:val="00DE7AF9"/>
    <w:rsid w:val="00DE7BFA"/>
    <w:rsid w:val="00DE7C11"/>
    <w:rsid w:val="00DE7CA2"/>
    <w:rsid w:val="00DE7D3E"/>
    <w:rsid w:val="00DE7E46"/>
    <w:rsid w:val="00DE7EA7"/>
    <w:rsid w:val="00DE7F35"/>
    <w:rsid w:val="00DF00D5"/>
    <w:rsid w:val="00DF00F4"/>
    <w:rsid w:val="00DF027E"/>
    <w:rsid w:val="00DF028A"/>
    <w:rsid w:val="00DF052B"/>
    <w:rsid w:val="00DF05AF"/>
    <w:rsid w:val="00DF067C"/>
    <w:rsid w:val="00DF0685"/>
    <w:rsid w:val="00DF0731"/>
    <w:rsid w:val="00DF0744"/>
    <w:rsid w:val="00DF079D"/>
    <w:rsid w:val="00DF080A"/>
    <w:rsid w:val="00DF0ACC"/>
    <w:rsid w:val="00DF0AFF"/>
    <w:rsid w:val="00DF0B3C"/>
    <w:rsid w:val="00DF0BB4"/>
    <w:rsid w:val="00DF0C0F"/>
    <w:rsid w:val="00DF0C41"/>
    <w:rsid w:val="00DF0CBF"/>
    <w:rsid w:val="00DF0CCA"/>
    <w:rsid w:val="00DF0D2F"/>
    <w:rsid w:val="00DF0D79"/>
    <w:rsid w:val="00DF0D8E"/>
    <w:rsid w:val="00DF0FDB"/>
    <w:rsid w:val="00DF1003"/>
    <w:rsid w:val="00DF101B"/>
    <w:rsid w:val="00DF12D0"/>
    <w:rsid w:val="00DF1465"/>
    <w:rsid w:val="00DF14DE"/>
    <w:rsid w:val="00DF15B2"/>
    <w:rsid w:val="00DF169E"/>
    <w:rsid w:val="00DF16A3"/>
    <w:rsid w:val="00DF16BA"/>
    <w:rsid w:val="00DF16D1"/>
    <w:rsid w:val="00DF1823"/>
    <w:rsid w:val="00DF1879"/>
    <w:rsid w:val="00DF1937"/>
    <w:rsid w:val="00DF1964"/>
    <w:rsid w:val="00DF1A2A"/>
    <w:rsid w:val="00DF1A48"/>
    <w:rsid w:val="00DF1ABA"/>
    <w:rsid w:val="00DF1B37"/>
    <w:rsid w:val="00DF1B9F"/>
    <w:rsid w:val="00DF1C18"/>
    <w:rsid w:val="00DF1CD1"/>
    <w:rsid w:val="00DF1D23"/>
    <w:rsid w:val="00DF1E2D"/>
    <w:rsid w:val="00DF1F1B"/>
    <w:rsid w:val="00DF1F28"/>
    <w:rsid w:val="00DF1FA7"/>
    <w:rsid w:val="00DF1FD9"/>
    <w:rsid w:val="00DF208D"/>
    <w:rsid w:val="00DF2237"/>
    <w:rsid w:val="00DF234A"/>
    <w:rsid w:val="00DF2361"/>
    <w:rsid w:val="00DF23CB"/>
    <w:rsid w:val="00DF23CC"/>
    <w:rsid w:val="00DF23FA"/>
    <w:rsid w:val="00DF24EC"/>
    <w:rsid w:val="00DF2571"/>
    <w:rsid w:val="00DF28C9"/>
    <w:rsid w:val="00DF295E"/>
    <w:rsid w:val="00DF2968"/>
    <w:rsid w:val="00DF2AEA"/>
    <w:rsid w:val="00DF2B57"/>
    <w:rsid w:val="00DF2B69"/>
    <w:rsid w:val="00DF2B6B"/>
    <w:rsid w:val="00DF2BB5"/>
    <w:rsid w:val="00DF2C47"/>
    <w:rsid w:val="00DF2C61"/>
    <w:rsid w:val="00DF2D2C"/>
    <w:rsid w:val="00DF2ECD"/>
    <w:rsid w:val="00DF2F03"/>
    <w:rsid w:val="00DF2F9B"/>
    <w:rsid w:val="00DF310E"/>
    <w:rsid w:val="00DF3156"/>
    <w:rsid w:val="00DF31DB"/>
    <w:rsid w:val="00DF3286"/>
    <w:rsid w:val="00DF3338"/>
    <w:rsid w:val="00DF337C"/>
    <w:rsid w:val="00DF33C4"/>
    <w:rsid w:val="00DF34CC"/>
    <w:rsid w:val="00DF3582"/>
    <w:rsid w:val="00DF3627"/>
    <w:rsid w:val="00DF36A6"/>
    <w:rsid w:val="00DF36B3"/>
    <w:rsid w:val="00DF370C"/>
    <w:rsid w:val="00DF38AA"/>
    <w:rsid w:val="00DF3913"/>
    <w:rsid w:val="00DF3A23"/>
    <w:rsid w:val="00DF3AA2"/>
    <w:rsid w:val="00DF3AF9"/>
    <w:rsid w:val="00DF3B14"/>
    <w:rsid w:val="00DF3B3E"/>
    <w:rsid w:val="00DF3B59"/>
    <w:rsid w:val="00DF3B8E"/>
    <w:rsid w:val="00DF3CB6"/>
    <w:rsid w:val="00DF3D7B"/>
    <w:rsid w:val="00DF3F75"/>
    <w:rsid w:val="00DF4079"/>
    <w:rsid w:val="00DF4172"/>
    <w:rsid w:val="00DF4250"/>
    <w:rsid w:val="00DF4269"/>
    <w:rsid w:val="00DF4292"/>
    <w:rsid w:val="00DF44E2"/>
    <w:rsid w:val="00DF44E9"/>
    <w:rsid w:val="00DF44EF"/>
    <w:rsid w:val="00DF4582"/>
    <w:rsid w:val="00DF458D"/>
    <w:rsid w:val="00DF45AF"/>
    <w:rsid w:val="00DF4619"/>
    <w:rsid w:val="00DF4810"/>
    <w:rsid w:val="00DF481B"/>
    <w:rsid w:val="00DF4905"/>
    <w:rsid w:val="00DF4958"/>
    <w:rsid w:val="00DF496B"/>
    <w:rsid w:val="00DF4AB6"/>
    <w:rsid w:val="00DF4B45"/>
    <w:rsid w:val="00DF4D09"/>
    <w:rsid w:val="00DF4D25"/>
    <w:rsid w:val="00DF4D3B"/>
    <w:rsid w:val="00DF4D3E"/>
    <w:rsid w:val="00DF4D53"/>
    <w:rsid w:val="00DF4E37"/>
    <w:rsid w:val="00DF4E38"/>
    <w:rsid w:val="00DF4E4C"/>
    <w:rsid w:val="00DF4F46"/>
    <w:rsid w:val="00DF4FB3"/>
    <w:rsid w:val="00DF5162"/>
    <w:rsid w:val="00DF5183"/>
    <w:rsid w:val="00DF51DF"/>
    <w:rsid w:val="00DF53B2"/>
    <w:rsid w:val="00DF54D5"/>
    <w:rsid w:val="00DF5641"/>
    <w:rsid w:val="00DF566F"/>
    <w:rsid w:val="00DF58D4"/>
    <w:rsid w:val="00DF58E9"/>
    <w:rsid w:val="00DF58FE"/>
    <w:rsid w:val="00DF59FD"/>
    <w:rsid w:val="00DF5A06"/>
    <w:rsid w:val="00DF5B2A"/>
    <w:rsid w:val="00DF5B2F"/>
    <w:rsid w:val="00DF5CCD"/>
    <w:rsid w:val="00DF5EA7"/>
    <w:rsid w:val="00DF5FC8"/>
    <w:rsid w:val="00DF6050"/>
    <w:rsid w:val="00DF6057"/>
    <w:rsid w:val="00DF60AA"/>
    <w:rsid w:val="00DF6414"/>
    <w:rsid w:val="00DF6606"/>
    <w:rsid w:val="00DF680B"/>
    <w:rsid w:val="00DF6846"/>
    <w:rsid w:val="00DF68AB"/>
    <w:rsid w:val="00DF6953"/>
    <w:rsid w:val="00DF6999"/>
    <w:rsid w:val="00DF69CC"/>
    <w:rsid w:val="00DF6A7F"/>
    <w:rsid w:val="00DF6B4A"/>
    <w:rsid w:val="00DF6B5E"/>
    <w:rsid w:val="00DF6C11"/>
    <w:rsid w:val="00DF6CF3"/>
    <w:rsid w:val="00DF6D09"/>
    <w:rsid w:val="00DF6DCA"/>
    <w:rsid w:val="00DF6E01"/>
    <w:rsid w:val="00DF6E50"/>
    <w:rsid w:val="00DF6FE7"/>
    <w:rsid w:val="00DF6FE9"/>
    <w:rsid w:val="00DF701D"/>
    <w:rsid w:val="00DF7055"/>
    <w:rsid w:val="00DF7176"/>
    <w:rsid w:val="00DF71BD"/>
    <w:rsid w:val="00DF71DD"/>
    <w:rsid w:val="00DF7254"/>
    <w:rsid w:val="00DF72B7"/>
    <w:rsid w:val="00DF7321"/>
    <w:rsid w:val="00DF732F"/>
    <w:rsid w:val="00DF7476"/>
    <w:rsid w:val="00DF748A"/>
    <w:rsid w:val="00DF7533"/>
    <w:rsid w:val="00DF75B0"/>
    <w:rsid w:val="00DF7610"/>
    <w:rsid w:val="00DF765F"/>
    <w:rsid w:val="00DF77A5"/>
    <w:rsid w:val="00DF77F2"/>
    <w:rsid w:val="00DF780D"/>
    <w:rsid w:val="00DF783E"/>
    <w:rsid w:val="00DF7866"/>
    <w:rsid w:val="00DF7868"/>
    <w:rsid w:val="00DF78A7"/>
    <w:rsid w:val="00DF78F3"/>
    <w:rsid w:val="00DF79D6"/>
    <w:rsid w:val="00DF7A10"/>
    <w:rsid w:val="00DF7A75"/>
    <w:rsid w:val="00DF7B37"/>
    <w:rsid w:val="00DF7C9B"/>
    <w:rsid w:val="00DF7CA1"/>
    <w:rsid w:val="00DF7CDA"/>
    <w:rsid w:val="00DF7D16"/>
    <w:rsid w:val="00DF7D3D"/>
    <w:rsid w:val="00DF7F3D"/>
    <w:rsid w:val="00DF7F72"/>
    <w:rsid w:val="00E0008E"/>
    <w:rsid w:val="00E000A7"/>
    <w:rsid w:val="00E001E7"/>
    <w:rsid w:val="00E002F6"/>
    <w:rsid w:val="00E0038F"/>
    <w:rsid w:val="00E00476"/>
    <w:rsid w:val="00E004A8"/>
    <w:rsid w:val="00E004B6"/>
    <w:rsid w:val="00E004BE"/>
    <w:rsid w:val="00E005E0"/>
    <w:rsid w:val="00E00609"/>
    <w:rsid w:val="00E006D8"/>
    <w:rsid w:val="00E00727"/>
    <w:rsid w:val="00E007D6"/>
    <w:rsid w:val="00E00800"/>
    <w:rsid w:val="00E00968"/>
    <w:rsid w:val="00E00ACF"/>
    <w:rsid w:val="00E00AD7"/>
    <w:rsid w:val="00E00ADB"/>
    <w:rsid w:val="00E00B05"/>
    <w:rsid w:val="00E00BDD"/>
    <w:rsid w:val="00E00C34"/>
    <w:rsid w:val="00E00C57"/>
    <w:rsid w:val="00E00CEC"/>
    <w:rsid w:val="00E00D04"/>
    <w:rsid w:val="00E00D8C"/>
    <w:rsid w:val="00E00E4E"/>
    <w:rsid w:val="00E00EBE"/>
    <w:rsid w:val="00E00F9E"/>
    <w:rsid w:val="00E00FBF"/>
    <w:rsid w:val="00E01089"/>
    <w:rsid w:val="00E010CF"/>
    <w:rsid w:val="00E0110E"/>
    <w:rsid w:val="00E01122"/>
    <w:rsid w:val="00E0114C"/>
    <w:rsid w:val="00E011BE"/>
    <w:rsid w:val="00E01243"/>
    <w:rsid w:val="00E01262"/>
    <w:rsid w:val="00E01330"/>
    <w:rsid w:val="00E0135F"/>
    <w:rsid w:val="00E01367"/>
    <w:rsid w:val="00E0137A"/>
    <w:rsid w:val="00E0139A"/>
    <w:rsid w:val="00E013B3"/>
    <w:rsid w:val="00E013C5"/>
    <w:rsid w:val="00E013DF"/>
    <w:rsid w:val="00E015D2"/>
    <w:rsid w:val="00E0160C"/>
    <w:rsid w:val="00E0162D"/>
    <w:rsid w:val="00E016B6"/>
    <w:rsid w:val="00E016C6"/>
    <w:rsid w:val="00E016F3"/>
    <w:rsid w:val="00E016F7"/>
    <w:rsid w:val="00E0178B"/>
    <w:rsid w:val="00E017A9"/>
    <w:rsid w:val="00E0181D"/>
    <w:rsid w:val="00E018A8"/>
    <w:rsid w:val="00E01930"/>
    <w:rsid w:val="00E019F4"/>
    <w:rsid w:val="00E01C4E"/>
    <w:rsid w:val="00E01CB8"/>
    <w:rsid w:val="00E01CCB"/>
    <w:rsid w:val="00E01D14"/>
    <w:rsid w:val="00E01DA4"/>
    <w:rsid w:val="00E01E39"/>
    <w:rsid w:val="00E01FCC"/>
    <w:rsid w:val="00E0205F"/>
    <w:rsid w:val="00E0227C"/>
    <w:rsid w:val="00E022BA"/>
    <w:rsid w:val="00E0230D"/>
    <w:rsid w:val="00E02376"/>
    <w:rsid w:val="00E023A5"/>
    <w:rsid w:val="00E0244B"/>
    <w:rsid w:val="00E02756"/>
    <w:rsid w:val="00E02769"/>
    <w:rsid w:val="00E02878"/>
    <w:rsid w:val="00E029A1"/>
    <w:rsid w:val="00E029A4"/>
    <w:rsid w:val="00E029E1"/>
    <w:rsid w:val="00E02A0C"/>
    <w:rsid w:val="00E02A87"/>
    <w:rsid w:val="00E02A91"/>
    <w:rsid w:val="00E02AEF"/>
    <w:rsid w:val="00E02B1A"/>
    <w:rsid w:val="00E02B40"/>
    <w:rsid w:val="00E02BBA"/>
    <w:rsid w:val="00E02D6C"/>
    <w:rsid w:val="00E02E17"/>
    <w:rsid w:val="00E02E6B"/>
    <w:rsid w:val="00E02E8F"/>
    <w:rsid w:val="00E02ED4"/>
    <w:rsid w:val="00E02EDB"/>
    <w:rsid w:val="00E02F43"/>
    <w:rsid w:val="00E02FFC"/>
    <w:rsid w:val="00E03045"/>
    <w:rsid w:val="00E030E0"/>
    <w:rsid w:val="00E0325E"/>
    <w:rsid w:val="00E0329E"/>
    <w:rsid w:val="00E033E7"/>
    <w:rsid w:val="00E03422"/>
    <w:rsid w:val="00E036AD"/>
    <w:rsid w:val="00E037EC"/>
    <w:rsid w:val="00E03809"/>
    <w:rsid w:val="00E03837"/>
    <w:rsid w:val="00E038A3"/>
    <w:rsid w:val="00E038A8"/>
    <w:rsid w:val="00E038BE"/>
    <w:rsid w:val="00E03A06"/>
    <w:rsid w:val="00E03ACA"/>
    <w:rsid w:val="00E03AFF"/>
    <w:rsid w:val="00E03C15"/>
    <w:rsid w:val="00E03C57"/>
    <w:rsid w:val="00E03D03"/>
    <w:rsid w:val="00E03E7D"/>
    <w:rsid w:val="00E03E87"/>
    <w:rsid w:val="00E03EA3"/>
    <w:rsid w:val="00E0407A"/>
    <w:rsid w:val="00E04108"/>
    <w:rsid w:val="00E0411B"/>
    <w:rsid w:val="00E04131"/>
    <w:rsid w:val="00E04183"/>
    <w:rsid w:val="00E042C4"/>
    <w:rsid w:val="00E04481"/>
    <w:rsid w:val="00E04566"/>
    <w:rsid w:val="00E04585"/>
    <w:rsid w:val="00E0464C"/>
    <w:rsid w:val="00E046DF"/>
    <w:rsid w:val="00E04745"/>
    <w:rsid w:val="00E0478F"/>
    <w:rsid w:val="00E047D4"/>
    <w:rsid w:val="00E047F3"/>
    <w:rsid w:val="00E0488F"/>
    <w:rsid w:val="00E048DD"/>
    <w:rsid w:val="00E048F2"/>
    <w:rsid w:val="00E0491A"/>
    <w:rsid w:val="00E04ACB"/>
    <w:rsid w:val="00E04B9A"/>
    <w:rsid w:val="00E04BB0"/>
    <w:rsid w:val="00E04C7B"/>
    <w:rsid w:val="00E04CDA"/>
    <w:rsid w:val="00E04D1A"/>
    <w:rsid w:val="00E04DE7"/>
    <w:rsid w:val="00E04F0A"/>
    <w:rsid w:val="00E04F75"/>
    <w:rsid w:val="00E04F8B"/>
    <w:rsid w:val="00E04FDB"/>
    <w:rsid w:val="00E0503F"/>
    <w:rsid w:val="00E050B7"/>
    <w:rsid w:val="00E050B9"/>
    <w:rsid w:val="00E05205"/>
    <w:rsid w:val="00E052C5"/>
    <w:rsid w:val="00E052EE"/>
    <w:rsid w:val="00E05350"/>
    <w:rsid w:val="00E05393"/>
    <w:rsid w:val="00E05434"/>
    <w:rsid w:val="00E05449"/>
    <w:rsid w:val="00E0544C"/>
    <w:rsid w:val="00E05497"/>
    <w:rsid w:val="00E054A3"/>
    <w:rsid w:val="00E054E3"/>
    <w:rsid w:val="00E055A3"/>
    <w:rsid w:val="00E055CE"/>
    <w:rsid w:val="00E055F4"/>
    <w:rsid w:val="00E0562E"/>
    <w:rsid w:val="00E0567B"/>
    <w:rsid w:val="00E05705"/>
    <w:rsid w:val="00E05751"/>
    <w:rsid w:val="00E0576B"/>
    <w:rsid w:val="00E057BC"/>
    <w:rsid w:val="00E057E4"/>
    <w:rsid w:val="00E0586D"/>
    <w:rsid w:val="00E05A1A"/>
    <w:rsid w:val="00E05A68"/>
    <w:rsid w:val="00E05AF9"/>
    <w:rsid w:val="00E05D7F"/>
    <w:rsid w:val="00E05DE4"/>
    <w:rsid w:val="00E05E1A"/>
    <w:rsid w:val="00E05E4D"/>
    <w:rsid w:val="00E06076"/>
    <w:rsid w:val="00E061F3"/>
    <w:rsid w:val="00E06224"/>
    <w:rsid w:val="00E06402"/>
    <w:rsid w:val="00E06409"/>
    <w:rsid w:val="00E0649D"/>
    <w:rsid w:val="00E06553"/>
    <w:rsid w:val="00E06616"/>
    <w:rsid w:val="00E0661E"/>
    <w:rsid w:val="00E06750"/>
    <w:rsid w:val="00E06878"/>
    <w:rsid w:val="00E068A9"/>
    <w:rsid w:val="00E069A2"/>
    <w:rsid w:val="00E06A41"/>
    <w:rsid w:val="00E06A95"/>
    <w:rsid w:val="00E06B09"/>
    <w:rsid w:val="00E06B41"/>
    <w:rsid w:val="00E06C3D"/>
    <w:rsid w:val="00E06CCC"/>
    <w:rsid w:val="00E06F12"/>
    <w:rsid w:val="00E0703D"/>
    <w:rsid w:val="00E071A2"/>
    <w:rsid w:val="00E071AE"/>
    <w:rsid w:val="00E071C9"/>
    <w:rsid w:val="00E071DF"/>
    <w:rsid w:val="00E071EA"/>
    <w:rsid w:val="00E0723E"/>
    <w:rsid w:val="00E07252"/>
    <w:rsid w:val="00E0729F"/>
    <w:rsid w:val="00E07300"/>
    <w:rsid w:val="00E07329"/>
    <w:rsid w:val="00E074A1"/>
    <w:rsid w:val="00E0753C"/>
    <w:rsid w:val="00E07553"/>
    <w:rsid w:val="00E076C5"/>
    <w:rsid w:val="00E07833"/>
    <w:rsid w:val="00E0794B"/>
    <w:rsid w:val="00E0796C"/>
    <w:rsid w:val="00E0797D"/>
    <w:rsid w:val="00E0799D"/>
    <w:rsid w:val="00E079D3"/>
    <w:rsid w:val="00E07A9C"/>
    <w:rsid w:val="00E07B6D"/>
    <w:rsid w:val="00E07B9C"/>
    <w:rsid w:val="00E07BC9"/>
    <w:rsid w:val="00E07C94"/>
    <w:rsid w:val="00E07D22"/>
    <w:rsid w:val="00E07D23"/>
    <w:rsid w:val="00E07D52"/>
    <w:rsid w:val="00E07E40"/>
    <w:rsid w:val="00E07FCD"/>
    <w:rsid w:val="00E10096"/>
    <w:rsid w:val="00E100BA"/>
    <w:rsid w:val="00E100BC"/>
    <w:rsid w:val="00E10166"/>
    <w:rsid w:val="00E101B8"/>
    <w:rsid w:val="00E1022E"/>
    <w:rsid w:val="00E10248"/>
    <w:rsid w:val="00E1037E"/>
    <w:rsid w:val="00E1048F"/>
    <w:rsid w:val="00E1063F"/>
    <w:rsid w:val="00E10727"/>
    <w:rsid w:val="00E10823"/>
    <w:rsid w:val="00E1095A"/>
    <w:rsid w:val="00E10A59"/>
    <w:rsid w:val="00E10A74"/>
    <w:rsid w:val="00E10A86"/>
    <w:rsid w:val="00E10A95"/>
    <w:rsid w:val="00E10AD5"/>
    <w:rsid w:val="00E10B64"/>
    <w:rsid w:val="00E10B7E"/>
    <w:rsid w:val="00E10C84"/>
    <w:rsid w:val="00E10CA7"/>
    <w:rsid w:val="00E10CB2"/>
    <w:rsid w:val="00E10CD3"/>
    <w:rsid w:val="00E10CD6"/>
    <w:rsid w:val="00E10DEB"/>
    <w:rsid w:val="00E10E07"/>
    <w:rsid w:val="00E10F16"/>
    <w:rsid w:val="00E10F44"/>
    <w:rsid w:val="00E10F4F"/>
    <w:rsid w:val="00E10F5D"/>
    <w:rsid w:val="00E11102"/>
    <w:rsid w:val="00E1118B"/>
    <w:rsid w:val="00E112F3"/>
    <w:rsid w:val="00E11361"/>
    <w:rsid w:val="00E115A7"/>
    <w:rsid w:val="00E115A9"/>
    <w:rsid w:val="00E11676"/>
    <w:rsid w:val="00E117B9"/>
    <w:rsid w:val="00E117BD"/>
    <w:rsid w:val="00E11A1F"/>
    <w:rsid w:val="00E11A2B"/>
    <w:rsid w:val="00E11A9D"/>
    <w:rsid w:val="00E11B91"/>
    <w:rsid w:val="00E11C99"/>
    <w:rsid w:val="00E11D1E"/>
    <w:rsid w:val="00E11DFB"/>
    <w:rsid w:val="00E11E00"/>
    <w:rsid w:val="00E11E95"/>
    <w:rsid w:val="00E1201E"/>
    <w:rsid w:val="00E1207C"/>
    <w:rsid w:val="00E12116"/>
    <w:rsid w:val="00E121D5"/>
    <w:rsid w:val="00E121E8"/>
    <w:rsid w:val="00E121FB"/>
    <w:rsid w:val="00E1220F"/>
    <w:rsid w:val="00E1225C"/>
    <w:rsid w:val="00E122CF"/>
    <w:rsid w:val="00E12301"/>
    <w:rsid w:val="00E1244D"/>
    <w:rsid w:val="00E12529"/>
    <w:rsid w:val="00E12532"/>
    <w:rsid w:val="00E12606"/>
    <w:rsid w:val="00E12721"/>
    <w:rsid w:val="00E12747"/>
    <w:rsid w:val="00E12771"/>
    <w:rsid w:val="00E1280D"/>
    <w:rsid w:val="00E1289B"/>
    <w:rsid w:val="00E12920"/>
    <w:rsid w:val="00E12B97"/>
    <w:rsid w:val="00E12C30"/>
    <w:rsid w:val="00E12C55"/>
    <w:rsid w:val="00E12CA3"/>
    <w:rsid w:val="00E12CBE"/>
    <w:rsid w:val="00E12D1A"/>
    <w:rsid w:val="00E12F67"/>
    <w:rsid w:val="00E12FCA"/>
    <w:rsid w:val="00E12FE0"/>
    <w:rsid w:val="00E13009"/>
    <w:rsid w:val="00E13180"/>
    <w:rsid w:val="00E131F1"/>
    <w:rsid w:val="00E1328B"/>
    <w:rsid w:val="00E133A7"/>
    <w:rsid w:val="00E1350A"/>
    <w:rsid w:val="00E13591"/>
    <w:rsid w:val="00E135B9"/>
    <w:rsid w:val="00E13681"/>
    <w:rsid w:val="00E137B8"/>
    <w:rsid w:val="00E137BA"/>
    <w:rsid w:val="00E137E5"/>
    <w:rsid w:val="00E1383A"/>
    <w:rsid w:val="00E13894"/>
    <w:rsid w:val="00E13899"/>
    <w:rsid w:val="00E138F3"/>
    <w:rsid w:val="00E13AE5"/>
    <w:rsid w:val="00E13B2C"/>
    <w:rsid w:val="00E13B6B"/>
    <w:rsid w:val="00E13C19"/>
    <w:rsid w:val="00E13C48"/>
    <w:rsid w:val="00E13C96"/>
    <w:rsid w:val="00E13CC9"/>
    <w:rsid w:val="00E13D48"/>
    <w:rsid w:val="00E13F56"/>
    <w:rsid w:val="00E13F64"/>
    <w:rsid w:val="00E13FF9"/>
    <w:rsid w:val="00E1408B"/>
    <w:rsid w:val="00E140C3"/>
    <w:rsid w:val="00E140D6"/>
    <w:rsid w:val="00E1416F"/>
    <w:rsid w:val="00E14224"/>
    <w:rsid w:val="00E14294"/>
    <w:rsid w:val="00E1445F"/>
    <w:rsid w:val="00E1466D"/>
    <w:rsid w:val="00E1470F"/>
    <w:rsid w:val="00E147E2"/>
    <w:rsid w:val="00E147EB"/>
    <w:rsid w:val="00E148C8"/>
    <w:rsid w:val="00E149B3"/>
    <w:rsid w:val="00E14A41"/>
    <w:rsid w:val="00E14AB9"/>
    <w:rsid w:val="00E14B8D"/>
    <w:rsid w:val="00E14C7C"/>
    <w:rsid w:val="00E14D12"/>
    <w:rsid w:val="00E14E52"/>
    <w:rsid w:val="00E14E5D"/>
    <w:rsid w:val="00E14FCB"/>
    <w:rsid w:val="00E14FCC"/>
    <w:rsid w:val="00E1501D"/>
    <w:rsid w:val="00E15098"/>
    <w:rsid w:val="00E150F1"/>
    <w:rsid w:val="00E1516E"/>
    <w:rsid w:val="00E15225"/>
    <w:rsid w:val="00E15247"/>
    <w:rsid w:val="00E1527A"/>
    <w:rsid w:val="00E15412"/>
    <w:rsid w:val="00E15516"/>
    <w:rsid w:val="00E15597"/>
    <w:rsid w:val="00E15664"/>
    <w:rsid w:val="00E156B5"/>
    <w:rsid w:val="00E156E5"/>
    <w:rsid w:val="00E157B2"/>
    <w:rsid w:val="00E157BD"/>
    <w:rsid w:val="00E15808"/>
    <w:rsid w:val="00E15839"/>
    <w:rsid w:val="00E1587B"/>
    <w:rsid w:val="00E159C6"/>
    <w:rsid w:val="00E15A54"/>
    <w:rsid w:val="00E15A8D"/>
    <w:rsid w:val="00E15AB6"/>
    <w:rsid w:val="00E15B2B"/>
    <w:rsid w:val="00E15B8C"/>
    <w:rsid w:val="00E15D8D"/>
    <w:rsid w:val="00E15DC0"/>
    <w:rsid w:val="00E16026"/>
    <w:rsid w:val="00E16049"/>
    <w:rsid w:val="00E16062"/>
    <w:rsid w:val="00E16475"/>
    <w:rsid w:val="00E164A9"/>
    <w:rsid w:val="00E164FA"/>
    <w:rsid w:val="00E1655F"/>
    <w:rsid w:val="00E165F2"/>
    <w:rsid w:val="00E16626"/>
    <w:rsid w:val="00E1663F"/>
    <w:rsid w:val="00E1668A"/>
    <w:rsid w:val="00E166A7"/>
    <w:rsid w:val="00E1682E"/>
    <w:rsid w:val="00E16957"/>
    <w:rsid w:val="00E16982"/>
    <w:rsid w:val="00E1699D"/>
    <w:rsid w:val="00E16A25"/>
    <w:rsid w:val="00E16B57"/>
    <w:rsid w:val="00E16BF0"/>
    <w:rsid w:val="00E16C4F"/>
    <w:rsid w:val="00E16C7D"/>
    <w:rsid w:val="00E16DFA"/>
    <w:rsid w:val="00E16E8E"/>
    <w:rsid w:val="00E16F7B"/>
    <w:rsid w:val="00E1702C"/>
    <w:rsid w:val="00E171BF"/>
    <w:rsid w:val="00E171D1"/>
    <w:rsid w:val="00E17302"/>
    <w:rsid w:val="00E17324"/>
    <w:rsid w:val="00E174EC"/>
    <w:rsid w:val="00E175F4"/>
    <w:rsid w:val="00E175FE"/>
    <w:rsid w:val="00E17641"/>
    <w:rsid w:val="00E1769F"/>
    <w:rsid w:val="00E176EB"/>
    <w:rsid w:val="00E1771A"/>
    <w:rsid w:val="00E17760"/>
    <w:rsid w:val="00E178DE"/>
    <w:rsid w:val="00E17911"/>
    <w:rsid w:val="00E179DD"/>
    <w:rsid w:val="00E179E5"/>
    <w:rsid w:val="00E17A6F"/>
    <w:rsid w:val="00E17B3D"/>
    <w:rsid w:val="00E17B78"/>
    <w:rsid w:val="00E17BB8"/>
    <w:rsid w:val="00E17BBF"/>
    <w:rsid w:val="00E17BD4"/>
    <w:rsid w:val="00E17D0B"/>
    <w:rsid w:val="00E17E6D"/>
    <w:rsid w:val="00E17E8E"/>
    <w:rsid w:val="00E17E9B"/>
    <w:rsid w:val="00E17EB4"/>
    <w:rsid w:val="00E17F22"/>
    <w:rsid w:val="00E17F61"/>
    <w:rsid w:val="00E20175"/>
    <w:rsid w:val="00E2046A"/>
    <w:rsid w:val="00E204A2"/>
    <w:rsid w:val="00E205B7"/>
    <w:rsid w:val="00E20615"/>
    <w:rsid w:val="00E20633"/>
    <w:rsid w:val="00E206D0"/>
    <w:rsid w:val="00E20755"/>
    <w:rsid w:val="00E2076D"/>
    <w:rsid w:val="00E20781"/>
    <w:rsid w:val="00E207A3"/>
    <w:rsid w:val="00E208A4"/>
    <w:rsid w:val="00E20931"/>
    <w:rsid w:val="00E209A1"/>
    <w:rsid w:val="00E20AD9"/>
    <w:rsid w:val="00E20D21"/>
    <w:rsid w:val="00E20D89"/>
    <w:rsid w:val="00E20D96"/>
    <w:rsid w:val="00E20DBD"/>
    <w:rsid w:val="00E20DC8"/>
    <w:rsid w:val="00E20DF2"/>
    <w:rsid w:val="00E20E60"/>
    <w:rsid w:val="00E2101C"/>
    <w:rsid w:val="00E210EE"/>
    <w:rsid w:val="00E210F6"/>
    <w:rsid w:val="00E2121C"/>
    <w:rsid w:val="00E21380"/>
    <w:rsid w:val="00E21385"/>
    <w:rsid w:val="00E21482"/>
    <w:rsid w:val="00E2167A"/>
    <w:rsid w:val="00E21825"/>
    <w:rsid w:val="00E218A2"/>
    <w:rsid w:val="00E218F5"/>
    <w:rsid w:val="00E2190A"/>
    <w:rsid w:val="00E2192E"/>
    <w:rsid w:val="00E21935"/>
    <w:rsid w:val="00E219F6"/>
    <w:rsid w:val="00E21A43"/>
    <w:rsid w:val="00E21B80"/>
    <w:rsid w:val="00E21BA6"/>
    <w:rsid w:val="00E21BA9"/>
    <w:rsid w:val="00E21C3C"/>
    <w:rsid w:val="00E21DD5"/>
    <w:rsid w:val="00E21EFE"/>
    <w:rsid w:val="00E21F6B"/>
    <w:rsid w:val="00E220BA"/>
    <w:rsid w:val="00E220C9"/>
    <w:rsid w:val="00E22132"/>
    <w:rsid w:val="00E22257"/>
    <w:rsid w:val="00E222C5"/>
    <w:rsid w:val="00E22460"/>
    <w:rsid w:val="00E22585"/>
    <w:rsid w:val="00E22588"/>
    <w:rsid w:val="00E22692"/>
    <w:rsid w:val="00E22803"/>
    <w:rsid w:val="00E22882"/>
    <w:rsid w:val="00E228E1"/>
    <w:rsid w:val="00E2295A"/>
    <w:rsid w:val="00E22A44"/>
    <w:rsid w:val="00E22B5F"/>
    <w:rsid w:val="00E22C05"/>
    <w:rsid w:val="00E22C4C"/>
    <w:rsid w:val="00E22E3E"/>
    <w:rsid w:val="00E22E5F"/>
    <w:rsid w:val="00E22E63"/>
    <w:rsid w:val="00E22E6C"/>
    <w:rsid w:val="00E22EA2"/>
    <w:rsid w:val="00E22F68"/>
    <w:rsid w:val="00E22F72"/>
    <w:rsid w:val="00E2311F"/>
    <w:rsid w:val="00E23165"/>
    <w:rsid w:val="00E23216"/>
    <w:rsid w:val="00E2321C"/>
    <w:rsid w:val="00E2329B"/>
    <w:rsid w:val="00E232D6"/>
    <w:rsid w:val="00E233F6"/>
    <w:rsid w:val="00E234FB"/>
    <w:rsid w:val="00E237EB"/>
    <w:rsid w:val="00E23892"/>
    <w:rsid w:val="00E238E3"/>
    <w:rsid w:val="00E2395A"/>
    <w:rsid w:val="00E239F5"/>
    <w:rsid w:val="00E23A63"/>
    <w:rsid w:val="00E23AC6"/>
    <w:rsid w:val="00E23B47"/>
    <w:rsid w:val="00E23D28"/>
    <w:rsid w:val="00E23D71"/>
    <w:rsid w:val="00E23EA6"/>
    <w:rsid w:val="00E23F62"/>
    <w:rsid w:val="00E23FCF"/>
    <w:rsid w:val="00E24080"/>
    <w:rsid w:val="00E24158"/>
    <w:rsid w:val="00E241A2"/>
    <w:rsid w:val="00E2422B"/>
    <w:rsid w:val="00E242DF"/>
    <w:rsid w:val="00E243D1"/>
    <w:rsid w:val="00E244D2"/>
    <w:rsid w:val="00E246F7"/>
    <w:rsid w:val="00E24786"/>
    <w:rsid w:val="00E2480A"/>
    <w:rsid w:val="00E248B1"/>
    <w:rsid w:val="00E24AB2"/>
    <w:rsid w:val="00E24B8F"/>
    <w:rsid w:val="00E24BCC"/>
    <w:rsid w:val="00E24C28"/>
    <w:rsid w:val="00E24C7C"/>
    <w:rsid w:val="00E24D3B"/>
    <w:rsid w:val="00E24E3D"/>
    <w:rsid w:val="00E24ECF"/>
    <w:rsid w:val="00E24F20"/>
    <w:rsid w:val="00E24F2D"/>
    <w:rsid w:val="00E24FEF"/>
    <w:rsid w:val="00E2516A"/>
    <w:rsid w:val="00E251AA"/>
    <w:rsid w:val="00E25231"/>
    <w:rsid w:val="00E252A4"/>
    <w:rsid w:val="00E252CC"/>
    <w:rsid w:val="00E253D5"/>
    <w:rsid w:val="00E25670"/>
    <w:rsid w:val="00E256CC"/>
    <w:rsid w:val="00E25746"/>
    <w:rsid w:val="00E2578B"/>
    <w:rsid w:val="00E257DA"/>
    <w:rsid w:val="00E257FE"/>
    <w:rsid w:val="00E2594E"/>
    <w:rsid w:val="00E2595C"/>
    <w:rsid w:val="00E25980"/>
    <w:rsid w:val="00E259AC"/>
    <w:rsid w:val="00E259C0"/>
    <w:rsid w:val="00E25A82"/>
    <w:rsid w:val="00E25B22"/>
    <w:rsid w:val="00E25C27"/>
    <w:rsid w:val="00E25CBD"/>
    <w:rsid w:val="00E25CC0"/>
    <w:rsid w:val="00E25D3B"/>
    <w:rsid w:val="00E25DC7"/>
    <w:rsid w:val="00E25E28"/>
    <w:rsid w:val="00E25E88"/>
    <w:rsid w:val="00E25E94"/>
    <w:rsid w:val="00E25E9A"/>
    <w:rsid w:val="00E25EBE"/>
    <w:rsid w:val="00E25F0A"/>
    <w:rsid w:val="00E2606A"/>
    <w:rsid w:val="00E26086"/>
    <w:rsid w:val="00E2608F"/>
    <w:rsid w:val="00E26157"/>
    <w:rsid w:val="00E26226"/>
    <w:rsid w:val="00E26283"/>
    <w:rsid w:val="00E262BE"/>
    <w:rsid w:val="00E26338"/>
    <w:rsid w:val="00E26348"/>
    <w:rsid w:val="00E263D4"/>
    <w:rsid w:val="00E26539"/>
    <w:rsid w:val="00E265BF"/>
    <w:rsid w:val="00E26603"/>
    <w:rsid w:val="00E2665E"/>
    <w:rsid w:val="00E2687A"/>
    <w:rsid w:val="00E268CA"/>
    <w:rsid w:val="00E2697D"/>
    <w:rsid w:val="00E269C8"/>
    <w:rsid w:val="00E26B05"/>
    <w:rsid w:val="00E26B0C"/>
    <w:rsid w:val="00E26B34"/>
    <w:rsid w:val="00E26B37"/>
    <w:rsid w:val="00E26B38"/>
    <w:rsid w:val="00E26B56"/>
    <w:rsid w:val="00E26BC7"/>
    <w:rsid w:val="00E26BDC"/>
    <w:rsid w:val="00E26C1C"/>
    <w:rsid w:val="00E26C59"/>
    <w:rsid w:val="00E26D47"/>
    <w:rsid w:val="00E26DBA"/>
    <w:rsid w:val="00E26F2D"/>
    <w:rsid w:val="00E26F91"/>
    <w:rsid w:val="00E26FA2"/>
    <w:rsid w:val="00E271D6"/>
    <w:rsid w:val="00E2727C"/>
    <w:rsid w:val="00E27326"/>
    <w:rsid w:val="00E273E9"/>
    <w:rsid w:val="00E27586"/>
    <w:rsid w:val="00E27678"/>
    <w:rsid w:val="00E276BB"/>
    <w:rsid w:val="00E27725"/>
    <w:rsid w:val="00E277D2"/>
    <w:rsid w:val="00E277FA"/>
    <w:rsid w:val="00E27848"/>
    <w:rsid w:val="00E2791F"/>
    <w:rsid w:val="00E27A9E"/>
    <w:rsid w:val="00E27B21"/>
    <w:rsid w:val="00E27B69"/>
    <w:rsid w:val="00E27BB1"/>
    <w:rsid w:val="00E27C0B"/>
    <w:rsid w:val="00E27C17"/>
    <w:rsid w:val="00E27C3B"/>
    <w:rsid w:val="00E27C42"/>
    <w:rsid w:val="00E27C91"/>
    <w:rsid w:val="00E27CBC"/>
    <w:rsid w:val="00E27D25"/>
    <w:rsid w:val="00E27DA3"/>
    <w:rsid w:val="00E27DBA"/>
    <w:rsid w:val="00E27F47"/>
    <w:rsid w:val="00E301C2"/>
    <w:rsid w:val="00E3028A"/>
    <w:rsid w:val="00E3032C"/>
    <w:rsid w:val="00E3032D"/>
    <w:rsid w:val="00E304D0"/>
    <w:rsid w:val="00E30575"/>
    <w:rsid w:val="00E3065F"/>
    <w:rsid w:val="00E306CA"/>
    <w:rsid w:val="00E30730"/>
    <w:rsid w:val="00E30789"/>
    <w:rsid w:val="00E307FC"/>
    <w:rsid w:val="00E30840"/>
    <w:rsid w:val="00E309E0"/>
    <w:rsid w:val="00E30A0D"/>
    <w:rsid w:val="00E30A77"/>
    <w:rsid w:val="00E30AED"/>
    <w:rsid w:val="00E30B43"/>
    <w:rsid w:val="00E30CFB"/>
    <w:rsid w:val="00E30D8D"/>
    <w:rsid w:val="00E30E17"/>
    <w:rsid w:val="00E30F29"/>
    <w:rsid w:val="00E30FB7"/>
    <w:rsid w:val="00E30FFB"/>
    <w:rsid w:val="00E3110C"/>
    <w:rsid w:val="00E3117E"/>
    <w:rsid w:val="00E311EF"/>
    <w:rsid w:val="00E31252"/>
    <w:rsid w:val="00E312A8"/>
    <w:rsid w:val="00E313C1"/>
    <w:rsid w:val="00E31437"/>
    <w:rsid w:val="00E3160D"/>
    <w:rsid w:val="00E31660"/>
    <w:rsid w:val="00E316DF"/>
    <w:rsid w:val="00E317DC"/>
    <w:rsid w:val="00E3188C"/>
    <w:rsid w:val="00E318E0"/>
    <w:rsid w:val="00E318E2"/>
    <w:rsid w:val="00E31AD0"/>
    <w:rsid w:val="00E31AE7"/>
    <w:rsid w:val="00E31AF4"/>
    <w:rsid w:val="00E31D63"/>
    <w:rsid w:val="00E31DAB"/>
    <w:rsid w:val="00E31DD5"/>
    <w:rsid w:val="00E31DFB"/>
    <w:rsid w:val="00E31E65"/>
    <w:rsid w:val="00E31EAC"/>
    <w:rsid w:val="00E31F65"/>
    <w:rsid w:val="00E32100"/>
    <w:rsid w:val="00E32179"/>
    <w:rsid w:val="00E32182"/>
    <w:rsid w:val="00E322C2"/>
    <w:rsid w:val="00E32391"/>
    <w:rsid w:val="00E323C5"/>
    <w:rsid w:val="00E324B6"/>
    <w:rsid w:val="00E3253A"/>
    <w:rsid w:val="00E3255F"/>
    <w:rsid w:val="00E32672"/>
    <w:rsid w:val="00E326BA"/>
    <w:rsid w:val="00E32713"/>
    <w:rsid w:val="00E32736"/>
    <w:rsid w:val="00E32827"/>
    <w:rsid w:val="00E32923"/>
    <w:rsid w:val="00E329B0"/>
    <w:rsid w:val="00E32AD7"/>
    <w:rsid w:val="00E32B39"/>
    <w:rsid w:val="00E32B80"/>
    <w:rsid w:val="00E32D81"/>
    <w:rsid w:val="00E32DB2"/>
    <w:rsid w:val="00E32E5D"/>
    <w:rsid w:val="00E32E82"/>
    <w:rsid w:val="00E32E83"/>
    <w:rsid w:val="00E32EBE"/>
    <w:rsid w:val="00E32F8E"/>
    <w:rsid w:val="00E330CA"/>
    <w:rsid w:val="00E33174"/>
    <w:rsid w:val="00E33183"/>
    <w:rsid w:val="00E332A3"/>
    <w:rsid w:val="00E3330E"/>
    <w:rsid w:val="00E3356D"/>
    <w:rsid w:val="00E3364E"/>
    <w:rsid w:val="00E336E6"/>
    <w:rsid w:val="00E33756"/>
    <w:rsid w:val="00E337F1"/>
    <w:rsid w:val="00E33847"/>
    <w:rsid w:val="00E338CE"/>
    <w:rsid w:val="00E33989"/>
    <w:rsid w:val="00E33A0E"/>
    <w:rsid w:val="00E33B03"/>
    <w:rsid w:val="00E33BB7"/>
    <w:rsid w:val="00E33E1B"/>
    <w:rsid w:val="00E33E7E"/>
    <w:rsid w:val="00E33F43"/>
    <w:rsid w:val="00E33FAF"/>
    <w:rsid w:val="00E340A7"/>
    <w:rsid w:val="00E34105"/>
    <w:rsid w:val="00E341D9"/>
    <w:rsid w:val="00E34208"/>
    <w:rsid w:val="00E342E3"/>
    <w:rsid w:val="00E3441F"/>
    <w:rsid w:val="00E34476"/>
    <w:rsid w:val="00E3459F"/>
    <w:rsid w:val="00E345A5"/>
    <w:rsid w:val="00E346E6"/>
    <w:rsid w:val="00E34872"/>
    <w:rsid w:val="00E34987"/>
    <w:rsid w:val="00E34A65"/>
    <w:rsid w:val="00E34A77"/>
    <w:rsid w:val="00E34B61"/>
    <w:rsid w:val="00E34CB5"/>
    <w:rsid w:val="00E34CC7"/>
    <w:rsid w:val="00E34DD6"/>
    <w:rsid w:val="00E34F43"/>
    <w:rsid w:val="00E34F4F"/>
    <w:rsid w:val="00E34F87"/>
    <w:rsid w:val="00E3504D"/>
    <w:rsid w:val="00E35071"/>
    <w:rsid w:val="00E3507A"/>
    <w:rsid w:val="00E350D5"/>
    <w:rsid w:val="00E3510B"/>
    <w:rsid w:val="00E351F2"/>
    <w:rsid w:val="00E352A6"/>
    <w:rsid w:val="00E352B3"/>
    <w:rsid w:val="00E35597"/>
    <w:rsid w:val="00E356ED"/>
    <w:rsid w:val="00E35729"/>
    <w:rsid w:val="00E3580F"/>
    <w:rsid w:val="00E35832"/>
    <w:rsid w:val="00E3587D"/>
    <w:rsid w:val="00E358B5"/>
    <w:rsid w:val="00E35931"/>
    <w:rsid w:val="00E35A33"/>
    <w:rsid w:val="00E35CD2"/>
    <w:rsid w:val="00E35D27"/>
    <w:rsid w:val="00E35D82"/>
    <w:rsid w:val="00E35E1C"/>
    <w:rsid w:val="00E35E8C"/>
    <w:rsid w:val="00E35EBF"/>
    <w:rsid w:val="00E35F3E"/>
    <w:rsid w:val="00E3601C"/>
    <w:rsid w:val="00E360AA"/>
    <w:rsid w:val="00E360C8"/>
    <w:rsid w:val="00E3615A"/>
    <w:rsid w:val="00E3619F"/>
    <w:rsid w:val="00E3620E"/>
    <w:rsid w:val="00E36219"/>
    <w:rsid w:val="00E36263"/>
    <w:rsid w:val="00E3626B"/>
    <w:rsid w:val="00E36286"/>
    <w:rsid w:val="00E362BD"/>
    <w:rsid w:val="00E36465"/>
    <w:rsid w:val="00E36585"/>
    <w:rsid w:val="00E36630"/>
    <w:rsid w:val="00E3663C"/>
    <w:rsid w:val="00E3677A"/>
    <w:rsid w:val="00E367A0"/>
    <w:rsid w:val="00E367B0"/>
    <w:rsid w:val="00E367B9"/>
    <w:rsid w:val="00E36868"/>
    <w:rsid w:val="00E3689A"/>
    <w:rsid w:val="00E368AC"/>
    <w:rsid w:val="00E36900"/>
    <w:rsid w:val="00E3690F"/>
    <w:rsid w:val="00E3695C"/>
    <w:rsid w:val="00E369D6"/>
    <w:rsid w:val="00E36AB6"/>
    <w:rsid w:val="00E36C2C"/>
    <w:rsid w:val="00E36D12"/>
    <w:rsid w:val="00E36E36"/>
    <w:rsid w:val="00E36F24"/>
    <w:rsid w:val="00E36F45"/>
    <w:rsid w:val="00E36F5C"/>
    <w:rsid w:val="00E36FA8"/>
    <w:rsid w:val="00E36FC0"/>
    <w:rsid w:val="00E37038"/>
    <w:rsid w:val="00E37080"/>
    <w:rsid w:val="00E371FB"/>
    <w:rsid w:val="00E37211"/>
    <w:rsid w:val="00E37286"/>
    <w:rsid w:val="00E3744C"/>
    <w:rsid w:val="00E375B2"/>
    <w:rsid w:val="00E375B5"/>
    <w:rsid w:val="00E376EB"/>
    <w:rsid w:val="00E37757"/>
    <w:rsid w:val="00E377C1"/>
    <w:rsid w:val="00E3787D"/>
    <w:rsid w:val="00E379EF"/>
    <w:rsid w:val="00E379F8"/>
    <w:rsid w:val="00E37A33"/>
    <w:rsid w:val="00E37A34"/>
    <w:rsid w:val="00E37BBF"/>
    <w:rsid w:val="00E37C18"/>
    <w:rsid w:val="00E37C5C"/>
    <w:rsid w:val="00E37C97"/>
    <w:rsid w:val="00E37CA5"/>
    <w:rsid w:val="00E37CE5"/>
    <w:rsid w:val="00E37D8D"/>
    <w:rsid w:val="00E37F52"/>
    <w:rsid w:val="00E37F59"/>
    <w:rsid w:val="00E401C4"/>
    <w:rsid w:val="00E401FE"/>
    <w:rsid w:val="00E40219"/>
    <w:rsid w:val="00E4027A"/>
    <w:rsid w:val="00E40312"/>
    <w:rsid w:val="00E40328"/>
    <w:rsid w:val="00E4034D"/>
    <w:rsid w:val="00E405CB"/>
    <w:rsid w:val="00E4068D"/>
    <w:rsid w:val="00E40752"/>
    <w:rsid w:val="00E407C7"/>
    <w:rsid w:val="00E4081B"/>
    <w:rsid w:val="00E40986"/>
    <w:rsid w:val="00E409AE"/>
    <w:rsid w:val="00E40A26"/>
    <w:rsid w:val="00E40B2E"/>
    <w:rsid w:val="00E40C0A"/>
    <w:rsid w:val="00E40CCC"/>
    <w:rsid w:val="00E40D0C"/>
    <w:rsid w:val="00E40DBF"/>
    <w:rsid w:val="00E40DFF"/>
    <w:rsid w:val="00E40ECA"/>
    <w:rsid w:val="00E40ED1"/>
    <w:rsid w:val="00E40EEE"/>
    <w:rsid w:val="00E41167"/>
    <w:rsid w:val="00E41179"/>
    <w:rsid w:val="00E41199"/>
    <w:rsid w:val="00E411A8"/>
    <w:rsid w:val="00E4134B"/>
    <w:rsid w:val="00E41383"/>
    <w:rsid w:val="00E413AF"/>
    <w:rsid w:val="00E413B1"/>
    <w:rsid w:val="00E41440"/>
    <w:rsid w:val="00E41668"/>
    <w:rsid w:val="00E417DB"/>
    <w:rsid w:val="00E417E1"/>
    <w:rsid w:val="00E417E9"/>
    <w:rsid w:val="00E418DC"/>
    <w:rsid w:val="00E4190F"/>
    <w:rsid w:val="00E41965"/>
    <w:rsid w:val="00E41983"/>
    <w:rsid w:val="00E41998"/>
    <w:rsid w:val="00E419C4"/>
    <w:rsid w:val="00E41AD3"/>
    <w:rsid w:val="00E41AD9"/>
    <w:rsid w:val="00E41B04"/>
    <w:rsid w:val="00E41B13"/>
    <w:rsid w:val="00E41B2E"/>
    <w:rsid w:val="00E41E56"/>
    <w:rsid w:val="00E41E81"/>
    <w:rsid w:val="00E41EA8"/>
    <w:rsid w:val="00E41F5C"/>
    <w:rsid w:val="00E41FF4"/>
    <w:rsid w:val="00E42038"/>
    <w:rsid w:val="00E42143"/>
    <w:rsid w:val="00E42165"/>
    <w:rsid w:val="00E42219"/>
    <w:rsid w:val="00E423F4"/>
    <w:rsid w:val="00E42401"/>
    <w:rsid w:val="00E42412"/>
    <w:rsid w:val="00E4244A"/>
    <w:rsid w:val="00E424BF"/>
    <w:rsid w:val="00E424CA"/>
    <w:rsid w:val="00E4257F"/>
    <w:rsid w:val="00E42590"/>
    <w:rsid w:val="00E42598"/>
    <w:rsid w:val="00E425FA"/>
    <w:rsid w:val="00E4260E"/>
    <w:rsid w:val="00E42678"/>
    <w:rsid w:val="00E4267C"/>
    <w:rsid w:val="00E42695"/>
    <w:rsid w:val="00E428BE"/>
    <w:rsid w:val="00E428D7"/>
    <w:rsid w:val="00E429CB"/>
    <w:rsid w:val="00E42A32"/>
    <w:rsid w:val="00E42A50"/>
    <w:rsid w:val="00E42A59"/>
    <w:rsid w:val="00E42A96"/>
    <w:rsid w:val="00E42B15"/>
    <w:rsid w:val="00E42B30"/>
    <w:rsid w:val="00E42B3B"/>
    <w:rsid w:val="00E42B45"/>
    <w:rsid w:val="00E42B5A"/>
    <w:rsid w:val="00E42C08"/>
    <w:rsid w:val="00E42C51"/>
    <w:rsid w:val="00E42D29"/>
    <w:rsid w:val="00E42D3D"/>
    <w:rsid w:val="00E42D7E"/>
    <w:rsid w:val="00E42FEA"/>
    <w:rsid w:val="00E43051"/>
    <w:rsid w:val="00E4308F"/>
    <w:rsid w:val="00E4314C"/>
    <w:rsid w:val="00E43187"/>
    <w:rsid w:val="00E431E2"/>
    <w:rsid w:val="00E431FC"/>
    <w:rsid w:val="00E4323C"/>
    <w:rsid w:val="00E432A8"/>
    <w:rsid w:val="00E433F9"/>
    <w:rsid w:val="00E43445"/>
    <w:rsid w:val="00E43505"/>
    <w:rsid w:val="00E4350B"/>
    <w:rsid w:val="00E43776"/>
    <w:rsid w:val="00E43778"/>
    <w:rsid w:val="00E437F9"/>
    <w:rsid w:val="00E43912"/>
    <w:rsid w:val="00E43933"/>
    <w:rsid w:val="00E4397B"/>
    <w:rsid w:val="00E43B2C"/>
    <w:rsid w:val="00E43E04"/>
    <w:rsid w:val="00E43E66"/>
    <w:rsid w:val="00E43EAF"/>
    <w:rsid w:val="00E43F18"/>
    <w:rsid w:val="00E43F39"/>
    <w:rsid w:val="00E43FB1"/>
    <w:rsid w:val="00E44064"/>
    <w:rsid w:val="00E440B5"/>
    <w:rsid w:val="00E440CE"/>
    <w:rsid w:val="00E44158"/>
    <w:rsid w:val="00E44183"/>
    <w:rsid w:val="00E441BE"/>
    <w:rsid w:val="00E441EC"/>
    <w:rsid w:val="00E441F7"/>
    <w:rsid w:val="00E442DB"/>
    <w:rsid w:val="00E44384"/>
    <w:rsid w:val="00E44397"/>
    <w:rsid w:val="00E44454"/>
    <w:rsid w:val="00E44572"/>
    <w:rsid w:val="00E4468B"/>
    <w:rsid w:val="00E446B5"/>
    <w:rsid w:val="00E44721"/>
    <w:rsid w:val="00E4488E"/>
    <w:rsid w:val="00E4496B"/>
    <w:rsid w:val="00E44A15"/>
    <w:rsid w:val="00E44AE8"/>
    <w:rsid w:val="00E44B5C"/>
    <w:rsid w:val="00E44D97"/>
    <w:rsid w:val="00E44E19"/>
    <w:rsid w:val="00E44EA2"/>
    <w:rsid w:val="00E44F6D"/>
    <w:rsid w:val="00E45073"/>
    <w:rsid w:val="00E45109"/>
    <w:rsid w:val="00E451B8"/>
    <w:rsid w:val="00E45247"/>
    <w:rsid w:val="00E4527A"/>
    <w:rsid w:val="00E45450"/>
    <w:rsid w:val="00E45509"/>
    <w:rsid w:val="00E45537"/>
    <w:rsid w:val="00E455DA"/>
    <w:rsid w:val="00E456EA"/>
    <w:rsid w:val="00E457B1"/>
    <w:rsid w:val="00E4583C"/>
    <w:rsid w:val="00E45950"/>
    <w:rsid w:val="00E45A1E"/>
    <w:rsid w:val="00E45A72"/>
    <w:rsid w:val="00E45AB9"/>
    <w:rsid w:val="00E45B2C"/>
    <w:rsid w:val="00E45B8C"/>
    <w:rsid w:val="00E45BCA"/>
    <w:rsid w:val="00E45CB9"/>
    <w:rsid w:val="00E45CD1"/>
    <w:rsid w:val="00E45D49"/>
    <w:rsid w:val="00E45D88"/>
    <w:rsid w:val="00E45D92"/>
    <w:rsid w:val="00E45DAB"/>
    <w:rsid w:val="00E45E60"/>
    <w:rsid w:val="00E45F0D"/>
    <w:rsid w:val="00E4601A"/>
    <w:rsid w:val="00E46023"/>
    <w:rsid w:val="00E460D1"/>
    <w:rsid w:val="00E46369"/>
    <w:rsid w:val="00E4636D"/>
    <w:rsid w:val="00E4642E"/>
    <w:rsid w:val="00E46462"/>
    <w:rsid w:val="00E465A0"/>
    <w:rsid w:val="00E465CF"/>
    <w:rsid w:val="00E46618"/>
    <w:rsid w:val="00E466E3"/>
    <w:rsid w:val="00E466E5"/>
    <w:rsid w:val="00E467C2"/>
    <w:rsid w:val="00E4688E"/>
    <w:rsid w:val="00E4692A"/>
    <w:rsid w:val="00E469A5"/>
    <w:rsid w:val="00E46A52"/>
    <w:rsid w:val="00E46A88"/>
    <w:rsid w:val="00E46A9D"/>
    <w:rsid w:val="00E46AA6"/>
    <w:rsid w:val="00E46AD9"/>
    <w:rsid w:val="00E46AF0"/>
    <w:rsid w:val="00E46B65"/>
    <w:rsid w:val="00E46BF5"/>
    <w:rsid w:val="00E46C4D"/>
    <w:rsid w:val="00E46C6F"/>
    <w:rsid w:val="00E46CD0"/>
    <w:rsid w:val="00E46CE7"/>
    <w:rsid w:val="00E46D7A"/>
    <w:rsid w:val="00E46DFE"/>
    <w:rsid w:val="00E46E1C"/>
    <w:rsid w:val="00E46E77"/>
    <w:rsid w:val="00E46ED0"/>
    <w:rsid w:val="00E46F0B"/>
    <w:rsid w:val="00E46F77"/>
    <w:rsid w:val="00E46FCB"/>
    <w:rsid w:val="00E47183"/>
    <w:rsid w:val="00E47326"/>
    <w:rsid w:val="00E4736B"/>
    <w:rsid w:val="00E473EF"/>
    <w:rsid w:val="00E474C0"/>
    <w:rsid w:val="00E474C4"/>
    <w:rsid w:val="00E474FC"/>
    <w:rsid w:val="00E47602"/>
    <w:rsid w:val="00E4764A"/>
    <w:rsid w:val="00E47692"/>
    <w:rsid w:val="00E478C0"/>
    <w:rsid w:val="00E478E6"/>
    <w:rsid w:val="00E47912"/>
    <w:rsid w:val="00E47977"/>
    <w:rsid w:val="00E47B04"/>
    <w:rsid w:val="00E47C56"/>
    <w:rsid w:val="00E47C76"/>
    <w:rsid w:val="00E47D51"/>
    <w:rsid w:val="00E47DED"/>
    <w:rsid w:val="00E47E92"/>
    <w:rsid w:val="00E47ED9"/>
    <w:rsid w:val="00E50164"/>
    <w:rsid w:val="00E50183"/>
    <w:rsid w:val="00E50454"/>
    <w:rsid w:val="00E50457"/>
    <w:rsid w:val="00E50536"/>
    <w:rsid w:val="00E50689"/>
    <w:rsid w:val="00E506B9"/>
    <w:rsid w:val="00E506BB"/>
    <w:rsid w:val="00E50721"/>
    <w:rsid w:val="00E50896"/>
    <w:rsid w:val="00E50A47"/>
    <w:rsid w:val="00E50A55"/>
    <w:rsid w:val="00E50A67"/>
    <w:rsid w:val="00E50AA7"/>
    <w:rsid w:val="00E50AFA"/>
    <w:rsid w:val="00E50B0C"/>
    <w:rsid w:val="00E50C47"/>
    <w:rsid w:val="00E50C8B"/>
    <w:rsid w:val="00E50CE0"/>
    <w:rsid w:val="00E50D41"/>
    <w:rsid w:val="00E50E49"/>
    <w:rsid w:val="00E50F1F"/>
    <w:rsid w:val="00E50F87"/>
    <w:rsid w:val="00E50FCC"/>
    <w:rsid w:val="00E5100D"/>
    <w:rsid w:val="00E5111A"/>
    <w:rsid w:val="00E512A6"/>
    <w:rsid w:val="00E51317"/>
    <w:rsid w:val="00E513CD"/>
    <w:rsid w:val="00E513E4"/>
    <w:rsid w:val="00E5145F"/>
    <w:rsid w:val="00E5146B"/>
    <w:rsid w:val="00E5152C"/>
    <w:rsid w:val="00E51544"/>
    <w:rsid w:val="00E5157D"/>
    <w:rsid w:val="00E517A1"/>
    <w:rsid w:val="00E517B5"/>
    <w:rsid w:val="00E518FC"/>
    <w:rsid w:val="00E51943"/>
    <w:rsid w:val="00E519AC"/>
    <w:rsid w:val="00E519D3"/>
    <w:rsid w:val="00E51BF6"/>
    <w:rsid w:val="00E51C33"/>
    <w:rsid w:val="00E51E29"/>
    <w:rsid w:val="00E51E7A"/>
    <w:rsid w:val="00E51EE0"/>
    <w:rsid w:val="00E5204D"/>
    <w:rsid w:val="00E52062"/>
    <w:rsid w:val="00E520CC"/>
    <w:rsid w:val="00E5219E"/>
    <w:rsid w:val="00E522AC"/>
    <w:rsid w:val="00E5276F"/>
    <w:rsid w:val="00E52787"/>
    <w:rsid w:val="00E528A4"/>
    <w:rsid w:val="00E52B84"/>
    <w:rsid w:val="00E52DB7"/>
    <w:rsid w:val="00E52E77"/>
    <w:rsid w:val="00E52F2C"/>
    <w:rsid w:val="00E52F74"/>
    <w:rsid w:val="00E52FCE"/>
    <w:rsid w:val="00E530BF"/>
    <w:rsid w:val="00E532AA"/>
    <w:rsid w:val="00E532B6"/>
    <w:rsid w:val="00E533C5"/>
    <w:rsid w:val="00E5349F"/>
    <w:rsid w:val="00E5359D"/>
    <w:rsid w:val="00E535B0"/>
    <w:rsid w:val="00E53601"/>
    <w:rsid w:val="00E5369C"/>
    <w:rsid w:val="00E536CD"/>
    <w:rsid w:val="00E537B1"/>
    <w:rsid w:val="00E5387D"/>
    <w:rsid w:val="00E539EF"/>
    <w:rsid w:val="00E53AD8"/>
    <w:rsid w:val="00E53BE7"/>
    <w:rsid w:val="00E53C80"/>
    <w:rsid w:val="00E53DD6"/>
    <w:rsid w:val="00E53DF3"/>
    <w:rsid w:val="00E53E1C"/>
    <w:rsid w:val="00E53E74"/>
    <w:rsid w:val="00E53F38"/>
    <w:rsid w:val="00E5408F"/>
    <w:rsid w:val="00E5410A"/>
    <w:rsid w:val="00E54130"/>
    <w:rsid w:val="00E54141"/>
    <w:rsid w:val="00E54161"/>
    <w:rsid w:val="00E54181"/>
    <w:rsid w:val="00E54182"/>
    <w:rsid w:val="00E542F9"/>
    <w:rsid w:val="00E54363"/>
    <w:rsid w:val="00E543B0"/>
    <w:rsid w:val="00E54407"/>
    <w:rsid w:val="00E54691"/>
    <w:rsid w:val="00E546D8"/>
    <w:rsid w:val="00E5479D"/>
    <w:rsid w:val="00E547BD"/>
    <w:rsid w:val="00E54801"/>
    <w:rsid w:val="00E548C3"/>
    <w:rsid w:val="00E548CA"/>
    <w:rsid w:val="00E548D2"/>
    <w:rsid w:val="00E5495B"/>
    <w:rsid w:val="00E54962"/>
    <w:rsid w:val="00E54A1B"/>
    <w:rsid w:val="00E54B92"/>
    <w:rsid w:val="00E54C23"/>
    <w:rsid w:val="00E54D92"/>
    <w:rsid w:val="00E54E9D"/>
    <w:rsid w:val="00E5507C"/>
    <w:rsid w:val="00E550C0"/>
    <w:rsid w:val="00E5519A"/>
    <w:rsid w:val="00E55279"/>
    <w:rsid w:val="00E5528F"/>
    <w:rsid w:val="00E552A5"/>
    <w:rsid w:val="00E552D6"/>
    <w:rsid w:val="00E55335"/>
    <w:rsid w:val="00E553CC"/>
    <w:rsid w:val="00E55413"/>
    <w:rsid w:val="00E55437"/>
    <w:rsid w:val="00E55468"/>
    <w:rsid w:val="00E554AF"/>
    <w:rsid w:val="00E5557F"/>
    <w:rsid w:val="00E55610"/>
    <w:rsid w:val="00E55654"/>
    <w:rsid w:val="00E55659"/>
    <w:rsid w:val="00E5565C"/>
    <w:rsid w:val="00E55B09"/>
    <w:rsid w:val="00E55C18"/>
    <w:rsid w:val="00E55CB9"/>
    <w:rsid w:val="00E55CE7"/>
    <w:rsid w:val="00E55D54"/>
    <w:rsid w:val="00E55DC1"/>
    <w:rsid w:val="00E55E80"/>
    <w:rsid w:val="00E55F17"/>
    <w:rsid w:val="00E55F57"/>
    <w:rsid w:val="00E56038"/>
    <w:rsid w:val="00E5605E"/>
    <w:rsid w:val="00E56308"/>
    <w:rsid w:val="00E56338"/>
    <w:rsid w:val="00E56399"/>
    <w:rsid w:val="00E56452"/>
    <w:rsid w:val="00E5647D"/>
    <w:rsid w:val="00E56522"/>
    <w:rsid w:val="00E5657C"/>
    <w:rsid w:val="00E566EB"/>
    <w:rsid w:val="00E5677A"/>
    <w:rsid w:val="00E567A1"/>
    <w:rsid w:val="00E567C4"/>
    <w:rsid w:val="00E56866"/>
    <w:rsid w:val="00E568E2"/>
    <w:rsid w:val="00E568F5"/>
    <w:rsid w:val="00E56941"/>
    <w:rsid w:val="00E5698E"/>
    <w:rsid w:val="00E569A6"/>
    <w:rsid w:val="00E569D0"/>
    <w:rsid w:val="00E56A45"/>
    <w:rsid w:val="00E56B86"/>
    <w:rsid w:val="00E56C17"/>
    <w:rsid w:val="00E56CCF"/>
    <w:rsid w:val="00E56D02"/>
    <w:rsid w:val="00E56D0E"/>
    <w:rsid w:val="00E56DCC"/>
    <w:rsid w:val="00E56DE6"/>
    <w:rsid w:val="00E56E0E"/>
    <w:rsid w:val="00E56E54"/>
    <w:rsid w:val="00E56EB0"/>
    <w:rsid w:val="00E56FF4"/>
    <w:rsid w:val="00E57213"/>
    <w:rsid w:val="00E57251"/>
    <w:rsid w:val="00E57271"/>
    <w:rsid w:val="00E57277"/>
    <w:rsid w:val="00E573A0"/>
    <w:rsid w:val="00E57431"/>
    <w:rsid w:val="00E57467"/>
    <w:rsid w:val="00E57488"/>
    <w:rsid w:val="00E575A8"/>
    <w:rsid w:val="00E5786D"/>
    <w:rsid w:val="00E578FB"/>
    <w:rsid w:val="00E57962"/>
    <w:rsid w:val="00E57976"/>
    <w:rsid w:val="00E579A5"/>
    <w:rsid w:val="00E579B6"/>
    <w:rsid w:val="00E57A17"/>
    <w:rsid w:val="00E57A53"/>
    <w:rsid w:val="00E57A68"/>
    <w:rsid w:val="00E57A9C"/>
    <w:rsid w:val="00E57AEB"/>
    <w:rsid w:val="00E57BCD"/>
    <w:rsid w:val="00E57C20"/>
    <w:rsid w:val="00E57C32"/>
    <w:rsid w:val="00E57CAB"/>
    <w:rsid w:val="00E57CE9"/>
    <w:rsid w:val="00E57CEE"/>
    <w:rsid w:val="00E57CF6"/>
    <w:rsid w:val="00E57D64"/>
    <w:rsid w:val="00E57D8B"/>
    <w:rsid w:val="00E57E82"/>
    <w:rsid w:val="00E57EC2"/>
    <w:rsid w:val="00E57EF0"/>
    <w:rsid w:val="00E60012"/>
    <w:rsid w:val="00E6002A"/>
    <w:rsid w:val="00E600FD"/>
    <w:rsid w:val="00E60166"/>
    <w:rsid w:val="00E601DB"/>
    <w:rsid w:val="00E60216"/>
    <w:rsid w:val="00E60483"/>
    <w:rsid w:val="00E604B8"/>
    <w:rsid w:val="00E60508"/>
    <w:rsid w:val="00E6057D"/>
    <w:rsid w:val="00E60664"/>
    <w:rsid w:val="00E6072C"/>
    <w:rsid w:val="00E60738"/>
    <w:rsid w:val="00E6075D"/>
    <w:rsid w:val="00E6079B"/>
    <w:rsid w:val="00E609D3"/>
    <w:rsid w:val="00E60A60"/>
    <w:rsid w:val="00E60A85"/>
    <w:rsid w:val="00E60AB4"/>
    <w:rsid w:val="00E60B36"/>
    <w:rsid w:val="00E60B6B"/>
    <w:rsid w:val="00E60BCC"/>
    <w:rsid w:val="00E60BD7"/>
    <w:rsid w:val="00E60BF2"/>
    <w:rsid w:val="00E60CB7"/>
    <w:rsid w:val="00E60CC7"/>
    <w:rsid w:val="00E60CCD"/>
    <w:rsid w:val="00E60D60"/>
    <w:rsid w:val="00E60D73"/>
    <w:rsid w:val="00E60DDA"/>
    <w:rsid w:val="00E60E70"/>
    <w:rsid w:val="00E60EEA"/>
    <w:rsid w:val="00E60F1C"/>
    <w:rsid w:val="00E60F49"/>
    <w:rsid w:val="00E60F6B"/>
    <w:rsid w:val="00E60F99"/>
    <w:rsid w:val="00E610CE"/>
    <w:rsid w:val="00E6114B"/>
    <w:rsid w:val="00E6116E"/>
    <w:rsid w:val="00E61205"/>
    <w:rsid w:val="00E612F6"/>
    <w:rsid w:val="00E6133C"/>
    <w:rsid w:val="00E613D9"/>
    <w:rsid w:val="00E6145A"/>
    <w:rsid w:val="00E6147F"/>
    <w:rsid w:val="00E614A8"/>
    <w:rsid w:val="00E61592"/>
    <w:rsid w:val="00E615F1"/>
    <w:rsid w:val="00E616FD"/>
    <w:rsid w:val="00E61712"/>
    <w:rsid w:val="00E61818"/>
    <w:rsid w:val="00E6182F"/>
    <w:rsid w:val="00E619B7"/>
    <w:rsid w:val="00E619D9"/>
    <w:rsid w:val="00E61B89"/>
    <w:rsid w:val="00E61B92"/>
    <w:rsid w:val="00E61BF0"/>
    <w:rsid w:val="00E61C9D"/>
    <w:rsid w:val="00E61D0F"/>
    <w:rsid w:val="00E61DCE"/>
    <w:rsid w:val="00E61E70"/>
    <w:rsid w:val="00E61EB0"/>
    <w:rsid w:val="00E61F8A"/>
    <w:rsid w:val="00E620B7"/>
    <w:rsid w:val="00E62119"/>
    <w:rsid w:val="00E62129"/>
    <w:rsid w:val="00E62149"/>
    <w:rsid w:val="00E62152"/>
    <w:rsid w:val="00E6215B"/>
    <w:rsid w:val="00E62337"/>
    <w:rsid w:val="00E62381"/>
    <w:rsid w:val="00E6241B"/>
    <w:rsid w:val="00E624F7"/>
    <w:rsid w:val="00E624FD"/>
    <w:rsid w:val="00E625FB"/>
    <w:rsid w:val="00E626BD"/>
    <w:rsid w:val="00E626C4"/>
    <w:rsid w:val="00E62729"/>
    <w:rsid w:val="00E6285E"/>
    <w:rsid w:val="00E62888"/>
    <w:rsid w:val="00E628AC"/>
    <w:rsid w:val="00E6290E"/>
    <w:rsid w:val="00E6297C"/>
    <w:rsid w:val="00E62A6F"/>
    <w:rsid w:val="00E62ABA"/>
    <w:rsid w:val="00E62AD0"/>
    <w:rsid w:val="00E62CDD"/>
    <w:rsid w:val="00E62D02"/>
    <w:rsid w:val="00E62D6D"/>
    <w:rsid w:val="00E62DB0"/>
    <w:rsid w:val="00E62DFF"/>
    <w:rsid w:val="00E62EA2"/>
    <w:rsid w:val="00E62EBB"/>
    <w:rsid w:val="00E62ECA"/>
    <w:rsid w:val="00E62F2E"/>
    <w:rsid w:val="00E62F36"/>
    <w:rsid w:val="00E62F45"/>
    <w:rsid w:val="00E62FE7"/>
    <w:rsid w:val="00E63081"/>
    <w:rsid w:val="00E630C0"/>
    <w:rsid w:val="00E6320A"/>
    <w:rsid w:val="00E63271"/>
    <w:rsid w:val="00E63321"/>
    <w:rsid w:val="00E63330"/>
    <w:rsid w:val="00E633CC"/>
    <w:rsid w:val="00E634CE"/>
    <w:rsid w:val="00E63509"/>
    <w:rsid w:val="00E63544"/>
    <w:rsid w:val="00E63577"/>
    <w:rsid w:val="00E63657"/>
    <w:rsid w:val="00E63734"/>
    <w:rsid w:val="00E6373B"/>
    <w:rsid w:val="00E63765"/>
    <w:rsid w:val="00E6387F"/>
    <w:rsid w:val="00E638CB"/>
    <w:rsid w:val="00E63900"/>
    <w:rsid w:val="00E6397B"/>
    <w:rsid w:val="00E639D9"/>
    <w:rsid w:val="00E639F2"/>
    <w:rsid w:val="00E63A57"/>
    <w:rsid w:val="00E63A59"/>
    <w:rsid w:val="00E63B0E"/>
    <w:rsid w:val="00E63B47"/>
    <w:rsid w:val="00E63CB9"/>
    <w:rsid w:val="00E63CF6"/>
    <w:rsid w:val="00E63D4C"/>
    <w:rsid w:val="00E63D8A"/>
    <w:rsid w:val="00E63E98"/>
    <w:rsid w:val="00E64110"/>
    <w:rsid w:val="00E64153"/>
    <w:rsid w:val="00E642EF"/>
    <w:rsid w:val="00E643EE"/>
    <w:rsid w:val="00E6442A"/>
    <w:rsid w:val="00E64505"/>
    <w:rsid w:val="00E6451D"/>
    <w:rsid w:val="00E64614"/>
    <w:rsid w:val="00E646AD"/>
    <w:rsid w:val="00E646FF"/>
    <w:rsid w:val="00E64719"/>
    <w:rsid w:val="00E6472B"/>
    <w:rsid w:val="00E64730"/>
    <w:rsid w:val="00E64806"/>
    <w:rsid w:val="00E64821"/>
    <w:rsid w:val="00E64839"/>
    <w:rsid w:val="00E64843"/>
    <w:rsid w:val="00E64879"/>
    <w:rsid w:val="00E64897"/>
    <w:rsid w:val="00E6490D"/>
    <w:rsid w:val="00E6492D"/>
    <w:rsid w:val="00E6498A"/>
    <w:rsid w:val="00E64A0E"/>
    <w:rsid w:val="00E64AD1"/>
    <w:rsid w:val="00E64CAB"/>
    <w:rsid w:val="00E64ED2"/>
    <w:rsid w:val="00E64FEB"/>
    <w:rsid w:val="00E650D3"/>
    <w:rsid w:val="00E65125"/>
    <w:rsid w:val="00E651FB"/>
    <w:rsid w:val="00E65245"/>
    <w:rsid w:val="00E65305"/>
    <w:rsid w:val="00E6537E"/>
    <w:rsid w:val="00E653A8"/>
    <w:rsid w:val="00E6550B"/>
    <w:rsid w:val="00E6550E"/>
    <w:rsid w:val="00E65548"/>
    <w:rsid w:val="00E655D3"/>
    <w:rsid w:val="00E65601"/>
    <w:rsid w:val="00E656AE"/>
    <w:rsid w:val="00E6570A"/>
    <w:rsid w:val="00E6582A"/>
    <w:rsid w:val="00E65906"/>
    <w:rsid w:val="00E6592C"/>
    <w:rsid w:val="00E65A0B"/>
    <w:rsid w:val="00E65A5C"/>
    <w:rsid w:val="00E65A9E"/>
    <w:rsid w:val="00E65AD1"/>
    <w:rsid w:val="00E65B1A"/>
    <w:rsid w:val="00E65B27"/>
    <w:rsid w:val="00E65B5D"/>
    <w:rsid w:val="00E65B60"/>
    <w:rsid w:val="00E65B74"/>
    <w:rsid w:val="00E65BB8"/>
    <w:rsid w:val="00E65C05"/>
    <w:rsid w:val="00E65C15"/>
    <w:rsid w:val="00E65C18"/>
    <w:rsid w:val="00E65CB5"/>
    <w:rsid w:val="00E65E0A"/>
    <w:rsid w:val="00E65E1C"/>
    <w:rsid w:val="00E65E38"/>
    <w:rsid w:val="00E65ED6"/>
    <w:rsid w:val="00E65EE7"/>
    <w:rsid w:val="00E65F82"/>
    <w:rsid w:val="00E65F83"/>
    <w:rsid w:val="00E65FCF"/>
    <w:rsid w:val="00E66051"/>
    <w:rsid w:val="00E66065"/>
    <w:rsid w:val="00E660EB"/>
    <w:rsid w:val="00E660F7"/>
    <w:rsid w:val="00E66147"/>
    <w:rsid w:val="00E6620A"/>
    <w:rsid w:val="00E66399"/>
    <w:rsid w:val="00E6660E"/>
    <w:rsid w:val="00E66747"/>
    <w:rsid w:val="00E668CB"/>
    <w:rsid w:val="00E6693F"/>
    <w:rsid w:val="00E6696A"/>
    <w:rsid w:val="00E669C6"/>
    <w:rsid w:val="00E66C6E"/>
    <w:rsid w:val="00E66CDE"/>
    <w:rsid w:val="00E66D0F"/>
    <w:rsid w:val="00E66DED"/>
    <w:rsid w:val="00E66E4C"/>
    <w:rsid w:val="00E66E4D"/>
    <w:rsid w:val="00E670A6"/>
    <w:rsid w:val="00E67115"/>
    <w:rsid w:val="00E67224"/>
    <w:rsid w:val="00E6723F"/>
    <w:rsid w:val="00E672D6"/>
    <w:rsid w:val="00E67371"/>
    <w:rsid w:val="00E6744A"/>
    <w:rsid w:val="00E677C3"/>
    <w:rsid w:val="00E678FC"/>
    <w:rsid w:val="00E67933"/>
    <w:rsid w:val="00E679C4"/>
    <w:rsid w:val="00E679DF"/>
    <w:rsid w:val="00E67A31"/>
    <w:rsid w:val="00E67BA7"/>
    <w:rsid w:val="00E67BD4"/>
    <w:rsid w:val="00E67C55"/>
    <w:rsid w:val="00E67CC6"/>
    <w:rsid w:val="00E67F06"/>
    <w:rsid w:val="00E67FB4"/>
    <w:rsid w:val="00E700BB"/>
    <w:rsid w:val="00E7021C"/>
    <w:rsid w:val="00E702CB"/>
    <w:rsid w:val="00E70307"/>
    <w:rsid w:val="00E7030D"/>
    <w:rsid w:val="00E703C1"/>
    <w:rsid w:val="00E704E5"/>
    <w:rsid w:val="00E704EA"/>
    <w:rsid w:val="00E70534"/>
    <w:rsid w:val="00E70547"/>
    <w:rsid w:val="00E7065D"/>
    <w:rsid w:val="00E706F8"/>
    <w:rsid w:val="00E70778"/>
    <w:rsid w:val="00E708DD"/>
    <w:rsid w:val="00E7092B"/>
    <w:rsid w:val="00E709BB"/>
    <w:rsid w:val="00E709FB"/>
    <w:rsid w:val="00E70AF9"/>
    <w:rsid w:val="00E70B66"/>
    <w:rsid w:val="00E70BE7"/>
    <w:rsid w:val="00E70D88"/>
    <w:rsid w:val="00E70E40"/>
    <w:rsid w:val="00E70E8F"/>
    <w:rsid w:val="00E70EB9"/>
    <w:rsid w:val="00E70F93"/>
    <w:rsid w:val="00E710C5"/>
    <w:rsid w:val="00E711E3"/>
    <w:rsid w:val="00E711E7"/>
    <w:rsid w:val="00E7127F"/>
    <w:rsid w:val="00E712BC"/>
    <w:rsid w:val="00E712BF"/>
    <w:rsid w:val="00E712C8"/>
    <w:rsid w:val="00E712FE"/>
    <w:rsid w:val="00E71436"/>
    <w:rsid w:val="00E71470"/>
    <w:rsid w:val="00E714AE"/>
    <w:rsid w:val="00E71578"/>
    <w:rsid w:val="00E7164A"/>
    <w:rsid w:val="00E716DE"/>
    <w:rsid w:val="00E716F6"/>
    <w:rsid w:val="00E7179A"/>
    <w:rsid w:val="00E717C8"/>
    <w:rsid w:val="00E717CC"/>
    <w:rsid w:val="00E71856"/>
    <w:rsid w:val="00E718DF"/>
    <w:rsid w:val="00E71953"/>
    <w:rsid w:val="00E71A55"/>
    <w:rsid w:val="00E71BCD"/>
    <w:rsid w:val="00E71BF2"/>
    <w:rsid w:val="00E72028"/>
    <w:rsid w:val="00E72050"/>
    <w:rsid w:val="00E72059"/>
    <w:rsid w:val="00E72089"/>
    <w:rsid w:val="00E72107"/>
    <w:rsid w:val="00E7225E"/>
    <w:rsid w:val="00E722A0"/>
    <w:rsid w:val="00E72325"/>
    <w:rsid w:val="00E72545"/>
    <w:rsid w:val="00E726AC"/>
    <w:rsid w:val="00E7273F"/>
    <w:rsid w:val="00E72830"/>
    <w:rsid w:val="00E728B8"/>
    <w:rsid w:val="00E729A2"/>
    <w:rsid w:val="00E729F0"/>
    <w:rsid w:val="00E72A2E"/>
    <w:rsid w:val="00E72A86"/>
    <w:rsid w:val="00E72B98"/>
    <w:rsid w:val="00E72CEC"/>
    <w:rsid w:val="00E72E50"/>
    <w:rsid w:val="00E72EAA"/>
    <w:rsid w:val="00E72EB0"/>
    <w:rsid w:val="00E72ED6"/>
    <w:rsid w:val="00E72F97"/>
    <w:rsid w:val="00E73051"/>
    <w:rsid w:val="00E73064"/>
    <w:rsid w:val="00E730BA"/>
    <w:rsid w:val="00E730D8"/>
    <w:rsid w:val="00E730ED"/>
    <w:rsid w:val="00E7310E"/>
    <w:rsid w:val="00E73124"/>
    <w:rsid w:val="00E731FC"/>
    <w:rsid w:val="00E7321D"/>
    <w:rsid w:val="00E73253"/>
    <w:rsid w:val="00E73341"/>
    <w:rsid w:val="00E7336A"/>
    <w:rsid w:val="00E73404"/>
    <w:rsid w:val="00E734A0"/>
    <w:rsid w:val="00E734F9"/>
    <w:rsid w:val="00E73574"/>
    <w:rsid w:val="00E7361D"/>
    <w:rsid w:val="00E73674"/>
    <w:rsid w:val="00E7369D"/>
    <w:rsid w:val="00E736DC"/>
    <w:rsid w:val="00E7375E"/>
    <w:rsid w:val="00E737D5"/>
    <w:rsid w:val="00E738BC"/>
    <w:rsid w:val="00E738E4"/>
    <w:rsid w:val="00E73912"/>
    <w:rsid w:val="00E73996"/>
    <w:rsid w:val="00E739C1"/>
    <w:rsid w:val="00E739C8"/>
    <w:rsid w:val="00E73A03"/>
    <w:rsid w:val="00E73B01"/>
    <w:rsid w:val="00E73CAA"/>
    <w:rsid w:val="00E73E04"/>
    <w:rsid w:val="00E73E94"/>
    <w:rsid w:val="00E73FFE"/>
    <w:rsid w:val="00E740D2"/>
    <w:rsid w:val="00E741C6"/>
    <w:rsid w:val="00E74253"/>
    <w:rsid w:val="00E74260"/>
    <w:rsid w:val="00E742B4"/>
    <w:rsid w:val="00E742DB"/>
    <w:rsid w:val="00E74333"/>
    <w:rsid w:val="00E743A3"/>
    <w:rsid w:val="00E74452"/>
    <w:rsid w:val="00E744D8"/>
    <w:rsid w:val="00E74515"/>
    <w:rsid w:val="00E74528"/>
    <w:rsid w:val="00E7453C"/>
    <w:rsid w:val="00E7454F"/>
    <w:rsid w:val="00E7457E"/>
    <w:rsid w:val="00E745B9"/>
    <w:rsid w:val="00E746C8"/>
    <w:rsid w:val="00E746FD"/>
    <w:rsid w:val="00E74719"/>
    <w:rsid w:val="00E747AE"/>
    <w:rsid w:val="00E747DE"/>
    <w:rsid w:val="00E747F1"/>
    <w:rsid w:val="00E747FF"/>
    <w:rsid w:val="00E748D5"/>
    <w:rsid w:val="00E749CE"/>
    <w:rsid w:val="00E74A14"/>
    <w:rsid w:val="00E74A7E"/>
    <w:rsid w:val="00E74A89"/>
    <w:rsid w:val="00E74C3C"/>
    <w:rsid w:val="00E74CCE"/>
    <w:rsid w:val="00E74CDF"/>
    <w:rsid w:val="00E74D66"/>
    <w:rsid w:val="00E74E9D"/>
    <w:rsid w:val="00E74F09"/>
    <w:rsid w:val="00E74F47"/>
    <w:rsid w:val="00E74F4B"/>
    <w:rsid w:val="00E75086"/>
    <w:rsid w:val="00E750E3"/>
    <w:rsid w:val="00E751A3"/>
    <w:rsid w:val="00E751D9"/>
    <w:rsid w:val="00E75205"/>
    <w:rsid w:val="00E75221"/>
    <w:rsid w:val="00E752CA"/>
    <w:rsid w:val="00E752F4"/>
    <w:rsid w:val="00E7534B"/>
    <w:rsid w:val="00E75366"/>
    <w:rsid w:val="00E753AA"/>
    <w:rsid w:val="00E7540A"/>
    <w:rsid w:val="00E7546F"/>
    <w:rsid w:val="00E75493"/>
    <w:rsid w:val="00E754CB"/>
    <w:rsid w:val="00E754E0"/>
    <w:rsid w:val="00E754F3"/>
    <w:rsid w:val="00E7558E"/>
    <w:rsid w:val="00E755AA"/>
    <w:rsid w:val="00E75742"/>
    <w:rsid w:val="00E7590B"/>
    <w:rsid w:val="00E75AD9"/>
    <w:rsid w:val="00E75B00"/>
    <w:rsid w:val="00E75B75"/>
    <w:rsid w:val="00E75BBE"/>
    <w:rsid w:val="00E75BD0"/>
    <w:rsid w:val="00E75DC7"/>
    <w:rsid w:val="00E75E48"/>
    <w:rsid w:val="00E75EDC"/>
    <w:rsid w:val="00E75FB4"/>
    <w:rsid w:val="00E76040"/>
    <w:rsid w:val="00E76062"/>
    <w:rsid w:val="00E761C9"/>
    <w:rsid w:val="00E76286"/>
    <w:rsid w:val="00E762BF"/>
    <w:rsid w:val="00E762CF"/>
    <w:rsid w:val="00E76304"/>
    <w:rsid w:val="00E76311"/>
    <w:rsid w:val="00E76445"/>
    <w:rsid w:val="00E76648"/>
    <w:rsid w:val="00E7665F"/>
    <w:rsid w:val="00E76662"/>
    <w:rsid w:val="00E76685"/>
    <w:rsid w:val="00E76947"/>
    <w:rsid w:val="00E769E8"/>
    <w:rsid w:val="00E76A70"/>
    <w:rsid w:val="00E76B4E"/>
    <w:rsid w:val="00E76BCE"/>
    <w:rsid w:val="00E76C16"/>
    <w:rsid w:val="00E76D55"/>
    <w:rsid w:val="00E76E9C"/>
    <w:rsid w:val="00E76F23"/>
    <w:rsid w:val="00E76F61"/>
    <w:rsid w:val="00E76FF9"/>
    <w:rsid w:val="00E77018"/>
    <w:rsid w:val="00E7702A"/>
    <w:rsid w:val="00E7706E"/>
    <w:rsid w:val="00E7707F"/>
    <w:rsid w:val="00E77232"/>
    <w:rsid w:val="00E77467"/>
    <w:rsid w:val="00E7746C"/>
    <w:rsid w:val="00E7749D"/>
    <w:rsid w:val="00E77653"/>
    <w:rsid w:val="00E77698"/>
    <w:rsid w:val="00E776CF"/>
    <w:rsid w:val="00E77706"/>
    <w:rsid w:val="00E777DB"/>
    <w:rsid w:val="00E77851"/>
    <w:rsid w:val="00E77896"/>
    <w:rsid w:val="00E7789C"/>
    <w:rsid w:val="00E7798F"/>
    <w:rsid w:val="00E779DE"/>
    <w:rsid w:val="00E77A4F"/>
    <w:rsid w:val="00E77B0D"/>
    <w:rsid w:val="00E77B6B"/>
    <w:rsid w:val="00E77BAB"/>
    <w:rsid w:val="00E77C2D"/>
    <w:rsid w:val="00E77C6E"/>
    <w:rsid w:val="00E77CA8"/>
    <w:rsid w:val="00E77CDB"/>
    <w:rsid w:val="00E77D0B"/>
    <w:rsid w:val="00E77D3D"/>
    <w:rsid w:val="00E77D8C"/>
    <w:rsid w:val="00E77E08"/>
    <w:rsid w:val="00E77E2C"/>
    <w:rsid w:val="00E77E48"/>
    <w:rsid w:val="00E77E85"/>
    <w:rsid w:val="00E8002E"/>
    <w:rsid w:val="00E80289"/>
    <w:rsid w:val="00E802B1"/>
    <w:rsid w:val="00E8035E"/>
    <w:rsid w:val="00E8035F"/>
    <w:rsid w:val="00E804DB"/>
    <w:rsid w:val="00E8068A"/>
    <w:rsid w:val="00E807B3"/>
    <w:rsid w:val="00E8088C"/>
    <w:rsid w:val="00E808A7"/>
    <w:rsid w:val="00E808D5"/>
    <w:rsid w:val="00E80905"/>
    <w:rsid w:val="00E80941"/>
    <w:rsid w:val="00E8095D"/>
    <w:rsid w:val="00E8099E"/>
    <w:rsid w:val="00E809A0"/>
    <w:rsid w:val="00E809AA"/>
    <w:rsid w:val="00E80AC1"/>
    <w:rsid w:val="00E80BCA"/>
    <w:rsid w:val="00E80BD8"/>
    <w:rsid w:val="00E80C10"/>
    <w:rsid w:val="00E80F9C"/>
    <w:rsid w:val="00E80FAB"/>
    <w:rsid w:val="00E81097"/>
    <w:rsid w:val="00E81157"/>
    <w:rsid w:val="00E816A9"/>
    <w:rsid w:val="00E8171A"/>
    <w:rsid w:val="00E81947"/>
    <w:rsid w:val="00E81B93"/>
    <w:rsid w:val="00E81BA6"/>
    <w:rsid w:val="00E81BEF"/>
    <w:rsid w:val="00E81C4F"/>
    <w:rsid w:val="00E81CDD"/>
    <w:rsid w:val="00E81D32"/>
    <w:rsid w:val="00E81D98"/>
    <w:rsid w:val="00E81DD8"/>
    <w:rsid w:val="00E81E49"/>
    <w:rsid w:val="00E81F26"/>
    <w:rsid w:val="00E8202C"/>
    <w:rsid w:val="00E820D8"/>
    <w:rsid w:val="00E820E1"/>
    <w:rsid w:val="00E8211A"/>
    <w:rsid w:val="00E821CB"/>
    <w:rsid w:val="00E8241D"/>
    <w:rsid w:val="00E8243B"/>
    <w:rsid w:val="00E8249F"/>
    <w:rsid w:val="00E824DA"/>
    <w:rsid w:val="00E82779"/>
    <w:rsid w:val="00E827A7"/>
    <w:rsid w:val="00E827BA"/>
    <w:rsid w:val="00E828E9"/>
    <w:rsid w:val="00E829B3"/>
    <w:rsid w:val="00E829D1"/>
    <w:rsid w:val="00E82B09"/>
    <w:rsid w:val="00E82B77"/>
    <w:rsid w:val="00E82CED"/>
    <w:rsid w:val="00E82D90"/>
    <w:rsid w:val="00E82DA9"/>
    <w:rsid w:val="00E82FF3"/>
    <w:rsid w:val="00E83222"/>
    <w:rsid w:val="00E83317"/>
    <w:rsid w:val="00E83424"/>
    <w:rsid w:val="00E834C0"/>
    <w:rsid w:val="00E834E2"/>
    <w:rsid w:val="00E835F5"/>
    <w:rsid w:val="00E8371D"/>
    <w:rsid w:val="00E83755"/>
    <w:rsid w:val="00E83A5F"/>
    <w:rsid w:val="00E83AA2"/>
    <w:rsid w:val="00E83ABD"/>
    <w:rsid w:val="00E83B59"/>
    <w:rsid w:val="00E83C95"/>
    <w:rsid w:val="00E83CB9"/>
    <w:rsid w:val="00E83D12"/>
    <w:rsid w:val="00E83D71"/>
    <w:rsid w:val="00E83D8A"/>
    <w:rsid w:val="00E83EDE"/>
    <w:rsid w:val="00E83F1B"/>
    <w:rsid w:val="00E840B7"/>
    <w:rsid w:val="00E840F4"/>
    <w:rsid w:val="00E841AD"/>
    <w:rsid w:val="00E841B6"/>
    <w:rsid w:val="00E841C1"/>
    <w:rsid w:val="00E842F0"/>
    <w:rsid w:val="00E84374"/>
    <w:rsid w:val="00E8446D"/>
    <w:rsid w:val="00E84589"/>
    <w:rsid w:val="00E845A9"/>
    <w:rsid w:val="00E8461B"/>
    <w:rsid w:val="00E846CD"/>
    <w:rsid w:val="00E84736"/>
    <w:rsid w:val="00E84828"/>
    <w:rsid w:val="00E8482D"/>
    <w:rsid w:val="00E8491F"/>
    <w:rsid w:val="00E84AD6"/>
    <w:rsid w:val="00E84C09"/>
    <w:rsid w:val="00E84C10"/>
    <w:rsid w:val="00E84C3A"/>
    <w:rsid w:val="00E84CAB"/>
    <w:rsid w:val="00E84CD1"/>
    <w:rsid w:val="00E84CD8"/>
    <w:rsid w:val="00E84CEA"/>
    <w:rsid w:val="00E84D1D"/>
    <w:rsid w:val="00E84E28"/>
    <w:rsid w:val="00E84EB7"/>
    <w:rsid w:val="00E84ED1"/>
    <w:rsid w:val="00E84F55"/>
    <w:rsid w:val="00E85050"/>
    <w:rsid w:val="00E85179"/>
    <w:rsid w:val="00E851C6"/>
    <w:rsid w:val="00E85269"/>
    <w:rsid w:val="00E852CF"/>
    <w:rsid w:val="00E853B8"/>
    <w:rsid w:val="00E853EB"/>
    <w:rsid w:val="00E85435"/>
    <w:rsid w:val="00E85462"/>
    <w:rsid w:val="00E855E6"/>
    <w:rsid w:val="00E85605"/>
    <w:rsid w:val="00E85622"/>
    <w:rsid w:val="00E85625"/>
    <w:rsid w:val="00E85637"/>
    <w:rsid w:val="00E8568E"/>
    <w:rsid w:val="00E85711"/>
    <w:rsid w:val="00E857B0"/>
    <w:rsid w:val="00E85978"/>
    <w:rsid w:val="00E859CB"/>
    <w:rsid w:val="00E85A69"/>
    <w:rsid w:val="00E85AE8"/>
    <w:rsid w:val="00E85AF2"/>
    <w:rsid w:val="00E85B30"/>
    <w:rsid w:val="00E85B9B"/>
    <w:rsid w:val="00E85BE4"/>
    <w:rsid w:val="00E85C1F"/>
    <w:rsid w:val="00E85F59"/>
    <w:rsid w:val="00E860A9"/>
    <w:rsid w:val="00E86158"/>
    <w:rsid w:val="00E8616B"/>
    <w:rsid w:val="00E861ED"/>
    <w:rsid w:val="00E86256"/>
    <w:rsid w:val="00E86278"/>
    <w:rsid w:val="00E862E4"/>
    <w:rsid w:val="00E8636C"/>
    <w:rsid w:val="00E8637C"/>
    <w:rsid w:val="00E863CC"/>
    <w:rsid w:val="00E86485"/>
    <w:rsid w:val="00E8652D"/>
    <w:rsid w:val="00E8676D"/>
    <w:rsid w:val="00E86781"/>
    <w:rsid w:val="00E868C1"/>
    <w:rsid w:val="00E868F0"/>
    <w:rsid w:val="00E86912"/>
    <w:rsid w:val="00E86A8B"/>
    <w:rsid w:val="00E86C5D"/>
    <w:rsid w:val="00E86C60"/>
    <w:rsid w:val="00E86CC2"/>
    <w:rsid w:val="00E86DBE"/>
    <w:rsid w:val="00E86EF4"/>
    <w:rsid w:val="00E870C1"/>
    <w:rsid w:val="00E8729D"/>
    <w:rsid w:val="00E8738C"/>
    <w:rsid w:val="00E87439"/>
    <w:rsid w:val="00E87558"/>
    <w:rsid w:val="00E875FB"/>
    <w:rsid w:val="00E87734"/>
    <w:rsid w:val="00E877D9"/>
    <w:rsid w:val="00E87848"/>
    <w:rsid w:val="00E8784A"/>
    <w:rsid w:val="00E87970"/>
    <w:rsid w:val="00E87A32"/>
    <w:rsid w:val="00E87A9B"/>
    <w:rsid w:val="00E87ABF"/>
    <w:rsid w:val="00E87B14"/>
    <w:rsid w:val="00E87B32"/>
    <w:rsid w:val="00E87B84"/>
    <w:rsid w:val="00E87BBA"/>
    <w:rsid w:val="00E87C89"/>
    <w:rsid w:val="00E87CFD"/>
    <w:rsid w:val="00E87D65"/>
    <w:rsid w:val="00E87D6B"/>
    <w:rsid w:val="00E87DCE"/>
    <w:rsid w:val="00E87E0E"/>
    <w:rsid w:val="00E87F64"/>
    <w:rsid w:val="00E900A1"/>
    <w:rsid w:val="00E90119"/>
    <w:rsid w:val="00E90323"/>
    <w:rsid w:val="00E90373"/>
    <w:rsid w:val="00E90462"/>
    <w:rsid w:val="00E90468"/>
    <w:rsid w:val="00E9066C"/>
    <w:rsid w:val="00E90675"/>
    <w:rsid w:val="00E906E9"/>
    <w:rsid w:val="00E9071D"/>
    <w:rsid w:val="00E907FF"/>
    <w:rsid w:val="00E9083D"/>
    <w:rsid w:val="00E90851"/>
    <w:rsid w:val="00E9089C"/>
    <w:rsid w:val="00E909D9"/>
    <w:rsid w:val="00E90A5A"/>
    <w:rsid w:val="00E90A8F"/>
    <w:rsid w:val="00E90AF7"/>
    <w:rsid w:val="00E90B04"/>
    <w:rsid w:val="00E90B9B"/>
    <w:rsid w:val="00E90C1E"/>
    <w:rsid w:val="00E90C6C"/>
    <w:rsid w:val="00E90CA6"/>
    <w:rsid w:val="00E90CFF"/>
    <w:rsid w:val="00E90D72"/>
    <w:rsid w:val="00E90E71"/>
    <w:rsid w:val="00E90E76"/>
    <w:rsid w:val="00E90F5E"/>
    <w:rsid w:val="00E90FF8"/>
    <w:rsid w:val="00E91160"/>
    <w:rsid w:val="00E91197"/>
    <w:rsid w:val="00E911E1"/>
    <w:rsid w:val="00E91211"/>
    <w:rsid w:val="00E91264"/>
    <w:rsid w:val="00E912D4"/>
    <w:rsid w:val="00E91304"/>
    <w:rsid w:val="00E9146B"/>
    <w:rsid w:val="00E91544"/>
    <w:rsid w:val="00E91559"/>
    <w:rsid w:val="00E915F0"/>
    <w:rsid w:val="00E91653"/>
    <w:rsid w:val="00E91661"/>
    <w:rsid w:val="00E91682"/>
    <w:rsid w:val="00E91762"/>
    <w:rsid w:val="00E9178D"/>
    <w:rsid w:val="00E917E9"/>
    <w:rsid w:val="00E91981"/>
    <w:rsid w:val="00E919EA"/>
    <w:rsid w:val="00E91A3C"/>
    <w:rsid w:val="00E91A47"/>
    <w:rsid w:val="00E91A58"/>
    <w:rsid w:val="00E91AD9"/>
    <w:rsid w:val="00E91B1A"/>
    <w:rsid w:val="00E91CF0"/>
    <w:rsid w:val="00E91D41"/>
    <w:rsid w:val="00E91DB1"/>
    <w:rsid w:val="00E91F49"/>
    <w:rsid w:val="00E91FA4"/>
    <w:rsid w:val="00E920A6"/>
    <w:rsid w:val="00E922BE"/>
    <w:rsid w:val="00E9232F"/>
    <w:rsid w:val="00E923FA"/>
    <w:rsid w:val="00E9241D"/>
    <w:rsid w:val="00E92456"/>
    <w:rsid w:val="00E925F5"/>
    <w:rsid w:val="00E926B2"/>
    <w:rsid w:val="00E9287C"/>
    <w:rsid w:val="00E928BC"/>
    <w:rsid w:val="00E928EF"/>
    <w:rsid w:val="00E929BA"/>
    <w:rsid w:val="00E92BDB"/>
    <w:rsid w:val="00E92C30"/>
    <w:rsid w:val="00E92E96"/>
    <w:rsid w:val="00E92FE7"/>
    <w:rsid w:val="00E93055"/>
    <w:rsid w:val="00E931C3"/>
    <w:rsid w:val="00E93291"/>
    <w:rsid w:val="00E9330C"/>
    <w:rsid w:val="00E9331B"/>
    <w:rsid w:val="00E933BF"/>
    <w:rsid w:val="00E93605"/>
    <w:rsid w:val="00E93739"/>
    <w:rsid w:val="00E937F7"/>
    <w:rsid w:val="00E9392B"/>
    <w:rsid w:val="00E93953"/>
    <w:rsid w:val="00E939E5"/>
    <w:rsid w:val="00E93A08"/>
    <w:rsid w:val="00E93A21"/>
    <w:rsid w:val="00E93A4B"/>
    <w:rsid w:val="00E93A6F"/>
    <w:rsid w:val="00E93AC3"/>
    <w:rsid w:val="00E93B06"/>
    <w:rsid w:val="00E93B59"/>
    <w:rsid w:val="00E93B76"/>
    <w:rsid w:val="00E93C39"/>
    <w:rsid w:val="00E93C76"/>
    <w:rsid w:val="00E93C9C"/>
    <w:rsid w:val="00E93C9F"/>
    <w:rsid w:val="00E93CAD"/>
    <w:rsid w:val="00E93D19"/>
    <w:rsid w:val="00E93D56"/>
    <w:rsid w:val="00E93EF3"/>
    <w:rsid w:val="00E940AF"/>
    <w:rsid w:val="00E941E8"/>
    <w:rsid w:val="00E94230"/>
    <w:rsid w:val="00E942A7"/>
    <w:rsid w:val="00E942BB"/>
    <w:rsid w:val="00E94519"/>
    <w:rsid w:val="00E9458C"/>
    <w:rsid w:val="00E94597"/>
    <w:rsid w:val="00E94753"/>
    <w:rsid w:val="00E947FB"/>
    <w:rsid w:val="00E9480E"/>
    <w:rsid w:val="00E949C6"/>
    <w:rsid w:val="00E94A4F"/>
    <w:rsid w:val="00E94A64"/>
    <w:rsid w:val="00E94AAD"/>
    <w:rsid w:val="00E94B56"/>
    <w:rsid w:val="00E94B65"/>
    <w:rsid w:val="00E94B97"/>
    <w:rsid w:val="00E94C08"/>
    <w:rsid w:val="00E94CA6"/>
    <w:rsid w:val="00E94CF7"/>
    <w:rsid w:val="00E94D25"/>
    <w:rsid w:val="00E94EFC"/>
    <w:rsid w:val="00E95050"/>
    <w:rsid w:val="00E95180"/>
    <w:rsid w:val="00E951A7"/>
    <w:rsid w:val="00E952CE"/>
    <w:rsid w:val="00E95375"/>
    <w:rsid w:val="00E953AB"/>
    <w:rsid w:val="00E95450"/>
    <w:rsid w:val="00E95507"/>
    <w:rsid w:val="00E95591"/>
    <w:rsid w:val="00E956F8"/>
    <w:rsid w:val="00E956FD"/>
    <w:rsid w:val="00E957A0"/>
    <w:rsid w:val="00E959C0"/>
    <w:rsid w:val="00E959C2"/>
    <w:rsid w:val="00E959EE"/>
    <w:rsid w:val="00E959EF"/>
    <w:rsid w:val="00E95A3F"/>
    <w:rsid w:val="00E95A64"/>
    <w:rsid w:val="00E95A98"/>
    <w:rsid w:val="00E95B5E"/>
    <w:rsid w:val="00E95C5F"/>
    <w:rsid w:val="00E95CD5"/>
    <w:rsid w:val="00E95D74"/>
    <w:rsid w:val="00E95E16"/>
    <w:rsid w:val="00E95EF7"/>
    <w:rsid w:val="00E9605C"/>
    <w:rsid w:val="00E9609E"/>
    <w:rsid w:val="00E960A9"/>
    <w:rsid w:val="00E960ED"/>
    <w:rsid w:val="00E96126"/>
    <w:rsid w:val="00E96231"/>
    <w:rsid w:val="00E9628F"/>
    <w:rsid w:val="00E9638F"/>
    <w:rsid w:val="00E963A0"/>
    <w:rsid w:val="00E96495"/>
    <w:rsid w:val="00E9649F"/>
    <w:rsid w:val="00E964C1"/>
    <w:rsid w:val="00E965B3"/>
    <w:rsid w:val="00E9662D"/>
    <w:rsid w:val="00E9666B"/>
    <w:rsid w:val="00E967D9"/>
    <w:rsid w:val="00E96821"/>
    <w:rsid w:val="00E9685A"/>
    <w:rsid w:val="00E96864"/>
    <w:rsid w:val="00E9691D"/>
    <w:rsid w:val="00E96A64"/>
    <w:rsid w:val="00E96B2A"/>
    <w:rsid w:val="00E96BF5"/>
    <w:rsid w:val="00E96C1B"/>
    <w:rsid w:val="00E96D64"/>
    <w:rsid w:val="00E96DCD"/>
    <w:rsid w:val="00E96E79"/>
    <w:rsid w:val="00E96EFB"/>
    <w:rsid w:val="00E97010"/>
    <w:rsid w:val="00E970B5"/>
    <w:rsid w:val="00E970DD"/>
    <w:rsid w:val="00E97140"/>
    <w:rsid w:val="00E9720E"/>
    <w:rsid w:val="00E972DF"/>
    <w:rsid w:val="00E97396"/>
    <w:rsid w:val="00E973C4"/>
    <w:rsid w:val="00E9741F"/>
    <w:rsid w:val="00E97516"/>
    <w:rsid w:val="00E975EA"/>
    <w:rsid w:val="00E9764A"/>
    <w:rsid w:val="00E976B9"/>
    <w:rsid w:val="00E976E7"/>
    <w:rsid w:val="00E976EA"/>
    <w:rsid w:val="00E97712"/>
    <w:rsid w:val="00E9773D"/>
    <w:rsid w:val="00E97740"/>
    <w:rsid w:val="00E977FB"/>
    <w:rsid w:val="00E97811"/>
    <w:rsid w:val="00E97A72"/>
    <w:rsid w:val="00E97A84"/>
    <w:rsid w:val="00E97ABE"/>
    <w:rsid w:val="00E97AF0"/>
    <w:rsid w:val="00E97B07"/>
    <w:rsid w:val="00E97B80"/>
    <w:rsid w:val="00E97D81"/>
    <w:rsid w:val="00E97D83"/>
    <w:rsid w:val="00E97DB1"/>
    <w:rsid w:val="00E97ECE"/>
    <w:rsid w:val="00E97EE3"/>
    <w:rsid w:val="00E97F57"/>
    <w:rsid w:val="00E97FC6"/>
    <w:rsid w:val="00E97FE7"/>
    <w:rsid w:val="00EA001F"/>
    <w:rsid w:val="00EA0036"/>
    <w:rsid w:val="00EA0059"/>
    <w:rsid w:val="00EA020B"/>
    <w:rsid w:val="00EA0269"/>
    <w:rsid w:val="00EA02A8"/>
    <w:rsid w:val="00EA04CF"/>
    <w:rsid w:val="00EA06CE"/>
    <w:rsid w:val="00EA06DC"/>
    <w:rsid w:val="00EA076F"/>
    <w:rsid w:val="00EA079B"/>
    <w:rsid w:val="00EA07B0"/>
    <w:rsid w:val="00EA07B3"/>
    <w:rsid w:val="00EA08FC"/>
    <w:rsid w:val="00EA092C"/>
    <w:rsid w:val="00EA0A2E"/>
    <w:rsid w:val="00EA0A44"/>
    <w:rsid w:val="00EA0AE4"/>
    <w:rsid w:val="00EA0B10"/>
    <w:rsid w:val="00EA0B4B"/>
    <w:rsid w:val="00EA0B96"/>
    <w:rsid w:val="00EA0C31"/>
    <w:rsid w:val="00EA0C3C"/>
    <w:rsid w:val="00EA0E05"/>
    <w:rsid w:val="00EA0EC4"/>
    <w:rsid w:val="00EA0ECF"/>
    <w:rsid w:val="00EA0F61"/>
    <w:rsid w:val="00EA0FA3"/>
    <w:rsid w:val="00EA1055"/>
    <w:rsid w:val="00EA1066"/>
    <w:rsid w:val="00EA1288"/>
    <w:rsid w:val="00EA1379"/>
    <w:rsid w:val="00EA156C"/>
    <w:rsid w:val="00EA1675"/>
    <w:rsid w:val="00EA17CB"/>
    <w:rsid w:val="00EA1828"/>
    <w:rsid w:val="00EA192B"/>
    <w:rsid w:val="00EA192E"/>
    <w:rsid w:val="00EA1A32"/>
    <w:rsid w:val="00EA1B01"/>
    <w:rsid w:val="00EA1C39"/>
    <w:rsid w:val="00EA1CA7"/>
    <w:rsid w:val="00EA1E16"/>
    <w:rsid w:val="00EA1E46"/>
    <w:rsid w:val="00EA1E5B"/>
    <w:rsid w:val="00EA1E81"/>
    <w:rsid w:val="00EA21BF"/>
    <w:rsid w:val="00EA21CF"/>
    <w:rsid w:val="00EA221A"/>
    <w:rsid w:val="00EA2276"/>
    <w:rsid w:val="00EA2327"/>
    <w:rsid w:val="00EA2374"/>
    <w:rsid w:val="00EA237E"/>
    <w:rsid w:val="00EA2468"/>
    <w:rsid w:val="00EA2491"/>
    <w:rsid w:val="00EA249A"/>
    <w:rsid w:val="00EA2511"/>
    <w:rsid w:val="00EA25B7"/>
    <w:rsid w:val="00EA25DC"/>
    <w:rsid w:val="00EA263F"/>
    <w:rsid w:val="00EA26CC"/>
    <w:rsid w:val="00EA273C"/>
    <w:rsid w:val="00EA2789"/>
    <w:rsid w:val="00EA287F"/>
    <w:rsid w:val="00EA28A1"/>
    <w:rsid w:val="00EA28BC"/>
    <w:rsid w:val="00EA298C"/>
    <w:rsid w:val="00EA29C3"/>
    <w:rsid w:val="00EA2B2E"/>
    <w:rsid w:val="00EA2D0F"/>
    <w:rsid w:val="00EA2D2E"/>
    <w:rsid w:val="00EA2EA7"/>
    <w:rsid w:val="00EA2ECB"/>
    <w:rsid w:val="00EA2F57"/>
    <w:rsid w:val="00EA3153"/>
    <w:rsid w:val="00EA3172"/>
    <w:rsid w:val="00EA31A5"/>
    <w:rsid w:val="00EA330C"/>
    <w:rsid w:val="00EA3419"/>
    <w:rsid w:val="00EA3430"/>
    <w:rsid w:val="00EA3441"/>
    <w:rsid w:val="00EA3461"/>
    <w:rsid w:val="00EA36F9"/>
    <w:rsid w:val="00EA38DA"/>
    <w:rsid w:val="00EA39AD"/>
    <w:rsid w:val="00EA39AF"/>
    <w:rsid w:val="00EA3A13"/>
    <w:rsid w:val="00EA3A27"/>
    <w:rsid w:val="00EA3AE1"/>
    <w:rsid w:val="00EA3B0D"/>
    <w:rsid w:val="00EA3B37"/>
    <w:rsid w:val="00EA3CD8"/>
    <w:rsid w:val="00EA3CEB"/>
    <w:rsid w:val="00EA3CEE"/>
    <w:rsid w:val="00EA3DDC"/>
    <w:rsid w:val="00EA3DFE"/>
    <w:rsid w:val="00EA3E2E"/>
    <w:rsid w:val="00EA3E73"/>
    <w:rsid w:val="00EA3FE2"/>
    <w:rsid w:val="00EA4047"/>
    <w:rsid w:val="00EA40BB"/>
    <w:rsid w:val="00EA4129"/>
    <w:rsid w:val="00EA4162"/>
    <w:rsid w:val="00EA426E"/>
    <w:rsid w:val="00EA42BF"/>
    <w:rsid w:val="00EA4407"/>
    <w:rsid w:val="00EA4733"/>
    <w:rsid w:val="00EA484D"/>
    <w:rsid w:val="00EA4852"/>
    <w:rsid w:val="00EA49BE"/>
    <w:rsid w:val="00EA4A66"/>
    <w:rsid w:val="00EA4B31"/>
    <w:rsid w:val="00EA4C18"/>
    <w:rsid w:val="00EA4C3F"/>
    <w:rsid w:val="00EA4CA3"/>
    <w:rsid w:val="00EA4E04"/>
    <w:rsid w:val="00EA4E2C"/>
    <w:rsid w:val="00EA4EA8"/>
    <w:rsid w:val="00EA4EE5"/>
    <w:rsid w:val="00EA5017"/>
    <w:rsid w:val="00EA50BB"/>
    <w:rsid w:val="00EA5419"/>
    <w:rsid w:val="00EA5521"/>
    <w:rsid w:val="00EA5535"/>
    <w:rsid w:val="00EA5557"/>
    <w:rsid w:val="00EA55FF"/>
    <w:rsid w:val="00EA56CA"/>
    <w:rsid w:val="00EA570D"/>
    <w:rsid w:val="00EA585B"/>
    <w:rsid w:val="00EA586E"/>
    <w:rsid w:val="00EA596B"/>
    <w:rsid w:val="00EA5A90"/>
    <w:rsid w:val="00EA5B2B"/>
    <w:rsid w:val="00EA5B3B"/>
    <w:rsid w:val="00EA5B4C"/>
    <w:rsid w:val="00EA5BF2"/>
    <w:rsid w:val="00EA5C96"/>
    <w:rsid w:val="00EA5DC1"/>
    <w:rsid w:val="00EA5DE7"/>
    <w:rsid w:val="00EA5E0A"/>
    <w:rsid w:val="00EA5EF2"/>
    <w:rsid w:val="00EA61C4"/>
    <w:rsid w:val="00EA62BE"/>
    <w:rsid w:val="00EA62D6"/>
    <w:rsid w:val="00EA63E3"/>
    <w:rsid w:val="00EA65A1"/>
    <w:rsid w:val="00EA660A"/>
    <w:rsid w:val="00EA6644"/>
    <w:rsid w:val="00EA6791"/>
    <w:rsid w:val="00EA67BB"/>
    <w:rsid w:val="00EA6880"/>
    <w:rsid w:val="00EA68BE"/>
    <w:rsid w:val="00EA68E5"/>
    <w:rsid w:val="00EA691B"/>
    <w:rsid w:val="00EA694F"/>
    <w:rsid w:val="00EA69DB"/>
    <w:rsid w:val="00EA6A26"/>
    <w:rsid w:val="00EA6A3A"/>
    <w:rsid w:val="00EA6A59"/>
    <w:rsid w:val="00EA6A79"/>
    <w:rsid w:val="00EA6B43"/>
    <w:rsid w:val="00EA6B8E"/>
    <w:rsid w:val="00EA6BF2"/>
    <w:rsid w:val="00EA6BF3"/>
    <w:rsid w:val="00EA6BFD"/>
    <w:rsid w:val="00EA6C7F"/>
    <w:rsid w:val="00EA6CEF"/>
    <w:rsid w:val="00EA6D56"/>
    <w:rsid w:val="00EA6E28"/>
    <w:rsid w:val="00EA6E6C"/>
    <w:rsid w:val="00EA701F"/>
    <w:rsid w:val="00EA706D"/>
    <w:rsid w:val="00EA7138"/>
    <w:rsid w:val="00EA7397"/>
    <w:rsid w:val="00EA73C1"/>
    <w:rsid w:val="00EA740F"/>
    <w:rsid w:val="00EA7534"/>
    <w:rsid w:val="00EA75C0"/>
    <w:rsid w:val="00EA76FB"/>
    <w:rsid w:val="00EA774B"/>
    <w:rsid w:val="00EA77E6"/>
    <w:rsid w:val="00EA7808"/>
    <w:rsid w:val="00EA781D"/>
    <w:rsid w:val="00EA7850"/>
    <w:rsid w:val="00EA78BD"/>
    <w:rsid w:val="00EA78D8"/>
    <w:rsid w:val="00EA7A6B"/>
    <w:rsid w:val="00EA7B21"/>
    <w:rsid w:val="00EA7BE4"/>
    <w:rsid w:val="00EA7C5C"/>
    <w:rsid w:val="00EA7C95"/>
    <w:rsid w:val="00EA7D12"/>
    <w:rsid w:val="00EA7D59"/>
    <w:rsid w:val="00EA7DCC"/>
    <w:rsid w:val="00EA7E40"/>
    <w:rsid w:val="00EA7F22"/>
    <w:rsid w:val="00EA7FB1"/>
    <w:rsid w:val="00EA7FDE"/>
    <w:rsid w:val="00EB02C1"/>
    <w:rsid w:val="00EB057E"/>
    <w:rsid w:val="00EB05C4"/>
    <w:rsid w:val="00EB064D"/>
    <w:rsid w:val="00EB068E"/>
    <w:rsid w:val="00EB0705"/>
    <w:rsid w:val="00EB0708"/>
    <w:rsid w:val="00EB0736"/>
    <w:rsid w:val="00EB0772"/>
    <w:rsid w:val="00EB083F"/>
    <w:rsid w:val="00EB0870"/>
    <w:rsid w:val="00EB08F4"/>
    <w:rsid w:val="00EB091E"/>
    <w:rsid w:val="00EB0946"/>
    <w:rsid w:val="00EB0950"/>
    <w:rsid w:val="00EB0B23"/>
    <w:rsid w:val="00EB0E57"/>
    <w:rsid w:val="00EB10B6"/>
    <w:rsid w:val="00EB11A2"/>
    <w:rsid w:val="00EB11EC"/>
    <w:rsid w:val="00EB1215"/>
    <w:rsid w:val="00EB12E7"/>
    <w:rsid w:val="00EB13D2"/>
    <w:rsid w:val="00EB1422"/>
    <w:rsid w:val="00EB144F"/>
    <w:rsid w:val="00EB1456"/>
    <w:rsid w:val="00EB1485"/>
    <w:rsid w:val="00EB158F"/>
    <w:rsid w:val="00EB1598"/>
    <w:rsid w:val="00EB1611"/>
    <w:rsid w:val="00EB1650"/>
    <w:rsid w:val="00EB17AA"/>
    <w:rsid w:val="00EB17CC"/>
    <w:rsid w:val="00EB17D1"/>
    <w:rsid w:val="00EB17EC"/>
    <w:rsid w:val="00EB18F8"/>
    <w:rsid w:val="00EB19AE"/>
    <w:rsid w:val="00EB1B45"/>
    <w:rsid w:val="00EB1B79"/>
    <w:rsid w:val="00EB1B9D"/>
    <w:rsid w:val="00EB1C82"/>
    <w:rsid w:val="00EB1C90"/>
    <w:rsid w:val="00EB1E0B"/>
    <w:rsid w:val="00EB1F03"/>
    <w:rsid w:val="00EB1F50"/>
    <w:rsid w:val="00EB1F78"/>
    <w:rsid w:val="00EB1FB4"/>
    <w:rsid w:val="00EB1FBD"/>
    <w:rsid w:val="00EB1FE8"/>
    <w:rsid w:val="00EB1FFF"/>
    <w:rsid w:val="00EB2101"/>
    <w:rsid w:val="00EB210A"/>
    <w:rsid w:val="00EB2318"/>
    <w:rsid w:val="00EB23A3"/>
    <w:rsid w:val="00EB2475"/>
    <w:rsid w:val="00EB24CA"/>
    <w:rsid w:val="00EB256C"/>
    <w:rsid w:val="00EB25E1"/>
    <w:rsid w:val="00EB26E6"/>
    <w:rsid w:val="00EB26EC"/>
    <w:rsid w:val="00EB2711"/>
    <w:rsid w:val="00EB2730"/>
    <w:rsid w:val="00EB2778"/>
    <w:rsid w:val="00EB2834"/>
    <w:rsid w:val="00EB287A"/>
    <w:rsid w:val="00EB28E2"/>
    <w:rsid w:val="00EB2A23"/>
    <w:rsid w:val="00EB2A8F"/>
    <w:rsid w:val="00EB2B31"/>
    <w:rsid w:val="00EB2B71"/>
    <w:rsid w:val="00EB2D1C"/>
    <w:rsid w:val="00EB2DD3"/>
    <w:rsid w:val="00EB2E3A"/>
    <w:rsid w:val="00EB2E5C"/>
    <w:rsid w:val="00EB2F18"/>
    <w:rsid w:val="00EB2F30"/>
    <w:rsid w:val="00EB2F87"/>
    <w:rsid w:val="00EB303B"/>
    <w:rsid w:val="00EB30A7"/>
    <w:rsid w:val="00EB30DE"/>
    <w:rsid w:val="00EB30FC"/>
    <w:rsid w:val="00EB317A"/>
    <w:rsid w:val="00EB3252"/>
    <w:rsid w:val="00EB32FC"/>
    <w:rsid w:val="00EB3340"/>
    <w:rsid w:val="00EB3438"/>
    <w:rsid w:val="00EB3455"/>
    <w:rsid w:val="00EB3457"/>
    <w:rsid w:val="00EB34E9"/>
    <w:rsid w:val="00EB3509"/>
    <w:rsid w:val="00EB36D2"/>
    <w:rsid w:val="00EB3713"/>
    <w:rsid w:val="00EB37B3"/>
    <w:rsid w:val="00EB37E7"/>
    <w:rsid w:val="00EB37F2"/>
    <w:rsid w:val="00EB3810"/>
    <w:rsid w:val="00EB396E"/>
    <w:rsid w:val="00EB399D"/>
    <w:rsid w:val="00EB3AAB"/>
    <w:rsid w:val="00EB3AAD"/>
    <w:rsid w:val="00EB3AB4"/>
    <w:rsid w:val="00EB3ABB"/>
    <w:rsid w:val="00EB3B23"/>
    <w:rsid w:val="00EB3B45"/>
    <w:rsid w:val="00EB3B66"/>
    <w:rsid w:val="00EB3BD0"/>
    <w:rsid w:val="00EB3C75"/>
    <w:rsid w:val="00EB3D4D"/>
    <w:rsid w:val="00EB3D63"/>
    <w:rsid w:val="00EB3E1C"/>
    <w:rsid w:val="00EB3EB4"/>
    <w:rsid w:val="00EB3F62"/>
    <w:rsid w:val="00EB3F75"/>
    <w:rsid w:val="00EB3FB7"/>
    <w:rsid w:val="00EB403E"/>
    <w:rsid w:val="00EB41C9"/>
    <w:rsid w:val="00EB41FF"/>
    <w:rsid w:val="00EB4301"/>
    <w:rsid w:val="00EB432B"/>
    <w:rsid w:val="00EB44A8"/>
    <w:rsid w:val="00EB4503"/>
    <w:rsid w:val="00EB4536"/>
    <w:rsid w:val="00EB4546"/>
    <w:rsid w:val="00EB45CE"/>
    <w:rsid w:val="00EB463E"/>
    <w:rsid w:val="00EB464F"/>
    <w:rsid w:val="00EB46F8"/>
    <w:rsid w:val="00EB4746"/>
    <w:rsid w:val="00EB47C0"/>
    <w:rsid w:val="00EB4850"/>
    <w:rsid w:val="00EB4857"/>
    <w:rsid w:val="00EB48AD"/>
    <w:rsid w:val="00EB4990"/>
    <w:rsid w:val="00EB4A09"/>
    <w:rsid w:val="00EB4AC6"/>
    <w:rsid w:val="00EB4B8F"/>
    <w:rsid w:val="00EB4C7C"/>
    <w:rsid w:val="00EB4CBC"/>
    <w:rsid w:val="00EB4FC3"/>
    <w:rsid w:val="00EB50D9"/>
    <w:rsid w:val="00EB50E6"/>
    <w:rsid w:val="00EB5218"/>
    <w:rsid w:val="00EB5301"/>
    <w:rsid w:val="00EB53A6"/>
    <w:rsid w:val="00EB54F8"/>
    <w:rsid w:val="00EB553F"/>
    <w:rsid w:val="00EB5560"/>
    <w:rsid w:val="00EB55F2"/>
    <w:rsid w:val="00EB56DF"/>
    <w:rsid w:val="00EB5743"/>
    <w:rsid w:val="00EB57EE"/>
    <w:rsid w:val="00EB57F7"/>
    <w:rsid w:val="00EB5CF9"/>
    <w:rsid w:val="00EB5D8E"/>
    <w:rsid w:val="00EB5DC7"/>
    <w:rsid w:val="00EB5DF1"/>
    <w:rsid w:val="00EB5DF6"/>
    <w:rsid w:val="00EB5E59"/>
    <w:rsid w:val="00EB602C"/>
    <w:rsid w:val="00EB6053"/>
    <w:rsid w:val="00EB60C2"/>
    <w:rsid w:val="00EB6215"/>
    <w:rsid w:val="00EB6330"/>
    <w:rsid w:val="00EB63A6"/>
    <w:rsid w:val="00EB63D1"/>
    <w:rsid w:val="00EB6402"/>
    <w:rsid w:val="00EB6441"/>
    <w:rsid w:val="00EB6504"/>
    <w:rsid w:val="00EB66C8"/>
    <w:rsid w:val="00EB6777"/>
    <w:rsid w:val="00EB67AE"/>
    <w:rsid w:val="00EB6831"/>
    <w:rsid w:val="00EB687A"/>
    <w:rsid w:val="00EB691B"/>
    <w:rsid w:val="00EB692D"/>
    <w:rsid w:val="00EB6952"/>
    <w:rsid w:val="00EB696E"/>
    <w:rsid w:val="00EB6983"/>
    <w:rsid w:val="00EB69BE"/>
    <w:rsid w:val="00EB69CB"/>
    <w:rsid w:val="00EB6A20"/>
    <w:rsid w:val="00EB6ABB"/>
    <w:rsid w:val="00EB6CB8"/>
    <w:rsid w:val="00EB6D6D"/>
    <w:rsid w:val="00EB6D78"/>
    <w:rsid w:val="00EB6DAA"/>
    <w:rsid w:val="00EB6DAB"/>
    <w:rsid w:val="00EB6EED"/>
    <w:rsid w:val="00EB703B"/>
    <w:rsid w:val="00EB72E2"/>
    <w:rsid w:val="00EB7354"/>
    <w:rsid w:val="00EB7365"/>
    <w:rsid w:val="00EB738D"/>
    <w:rsid w:val="00EB7403"/>
    <w:rsid w:val="00EB7471"/>
    <w:rsid w:val="00EB748F"/>
    <w:rsid w:val="00EB74CB"/>
    <w:rsid w:val="00EB74E9"/>
    <w:rsid w:val="00EB776C"/>
    <w:rsid w:val="00EB778A"/>
    <w:rsid w:val="00EB78CD"/>
    <w:rsid w:val="00EB78D5"/>
    <w:rsid w:val="00EB78DD"/>
    <w:rsid w:val="00EB7983"/>
    <w:rsid w:val="00EB7A7B"/>
    <w:rsid w:val="00EB7B2A"/>
    <w:rsid w:val="00EB7B93"/>
    <w:rsid w:val="00EB7C30"/>
    <w:rsid w:val="00EB7C89"/>
    <w:rsid w:val="00EB7CD5"/>
    <w:rsid w:val="00EB7DF3"/>
    <w:rsid w:val="00EB7F07"/>
    <w:rsid w:val="00EC00AA"/>
    <w:rsid w:val="00EC026C"/>
    <w:rsid w:val="00EC0281"/>
    <w:rsid w:val="00EC036D"/>
    <w:rsid w:val="00EC03A0"/>
    <w:rsid w:val="00EC0409"/>
    <w:rsid w:val="00EC040B"/>
    <w:rsid w:val="00EC045F"/>
    <w:rsid w:val="00EC0482"/>
    <w:rsid w:val="00EC04FD"/>
    <w:rsid w:val="00EC0581"/>
    <w:rsid w:val="00EC059C"/>
    <w:rsid w:val="00EC05B4"/>
    <w:rsid w:val="00EC06FE"/>
    <w:rsid w:val="00EC07CB"/>
    <w:rsid w:val="00EC07ED"/>
    <w:rsid w:val="00EC08EE"/>
    <w:rsid w:val="00EC09F0"/>
    <w:rsid w:val="00EC0B9E"/>
    <w:rsid w:val="00EC0C14"/>
    <w:rsid w:val="00EC0CA0"/>
    <w:rsid w:val="00EC0DAD"/>
    <w:rsid w:val="00EC0EB9"/>
    <w:rsid w:val="00EC0EDA"/>
    <w:rsid w:val="00EC0FDD"/>
    <w:rsid w:val="00EC0FF2"/>
    <w:rsid w:val="00EC1023"/>
    <w:rsid w:val="00EC108C"/>
    <w:rsid w:val="00EC112C"/>
    <w:rsid w:val="00EC126D"/>
    <w:rsid w:val="00EC1504"/>
    <w:rsid w:val="00EC15A2"/>
    <w:rsid w:val="00EC1675"/>
    <w:rsid w:val="00EC16BC"/>
    <w:rsid w:val="00EC16F2"/>
    <w:rsid w:val="00EC17C8"/>
    <w:rsid w:val="00EC17F2"/>
    <w:rsid w:val="00EC189E"/>
    <w:rsid w:val="00EC193C"/>
    <w:rsid w:val="00EC1A9D"/>
    <w:rsid w:val="00EC1AAE"/>
    <w:rsid w:val="00EC1AC6"/>
    <w:rsid w:val="00EC1B77"/>
    <w:rsid w:val="00EC1BEA"/>
    <w:rsid w:val="00EC1CAA"/>
    <w:rsid w:val="00EC1CB9"/>
    <w:rsid w:val="00EC1DA5"/>
    <w:rsid w:val="00EC1DF0"/>
    <w:rsid w:val="00EC1F0A"/>
    <w:rsid w:val="00EC1F7F"/>
    <w:rsid w:val="00EC1FB9"/>
    <w:rsid w:val="00EC20C8"/>
    <w:rsid w:val="00EC20CE"/>
    <w:rsid w:val="00EC222B"/>
    <w:rsid w:val="00EC22CF"/>
    <w:rsid w:val="00EC232B"/>
    <w:rsid w:val="00EC2339"/>
    <w:rsid w:val="00EC2363"/>
    <w:rsid w:val="00EC2422"/>
    <w:rsid w:val="00EC2527"/>
    <w:rsid w:val="00EC255A"/>
    <w:rsid w:val="00EC263C"/>
    <w:rsid w:val="00EC2711"/>
    <w:rsid w:val="00EC281C"/>
    <w:rsid w:val="00EC284E"/>
    <w:rsid w:val="00EC2876"/>
    <w:rsid w:val="00EC291A"/>
    <w:rsid w:val="00EC292C"/>
    <w:rsid w:val="00EC29B6"/>
    <w:rsid w:val="00EC29E8"/>
    <w:rsid w:val="00EC2A9A"/>
    <w:rsid w:val="00EC2AA7"/>
    <w:rsid w:val="00EC2AAF"/>
    <w:rsid w:val="00EC2AF5"/>
    <w:rsid w:val="00EC2BCD"/>
    <w:rsid w:val="00EC2CA1"/>
    <w:rsid w:val="00EC2D0F"/>
    <w:rsid w:val="00EC2D8A"/>
    <w:rsid w:val="00EC2DBB"/>
    <w:rsid w:val="00EC2E67"/>
    <w:rsid w:val="00EC2F31"/>
    <w:rsid w:val="00EC2FE6"/>
    <w:rsid w:val="00EC30B4"/>
    <w:rsid w:val="00EC30C6"/>
    <w:rsid w:val="00EC3196"/>
    <w:rsid w:val="00EC325D"/>
    <w:rsid w:val="00EC3383"/>
    <w:rsid w:val="00EC339B"/>
    <w:rsid w:val="00EC33D4"/>
    <w:rsid w:val="00EC3414"/>
    <w:rsid w:val="00EC3526"/>
    <w:rsid w:val="00EC354C"/>
    <w:rsid w:val="00EC385B"/>
    <w:rsid w:val="00EC38DD"/>
    <w:rsid w:val="00EC39C5"/>
    <w:rsid w:val="00EC3DC0"/>
    <w:rsid w:val="00EC3DCA"/>
    <w:rsid w:val="00EC3E09"/>
    <w:rsid w:val="00EC4114"/>
    <w:rsid w:val="00EC4127"/>
    <w:rsid w:val="00EC42BC"/>
    <w:rsid w:val="00EC4484"/>
    <w:rsid w:val="00EC44B3"/>
    <w:rsid w:val="00EC450E"/>
    <w:rsid w:val="00EC4597"/>
    <w:rsid w:val="00EC45EC"/>
    <w:rsid w:val="00EC45F1"/>
    <w:rsid w:val="00EC45F3"/>
    <w:rsid w:val="00EC45F5"/>
    <w:rsid w:val="00EC461C"/>
    <w:rsid w:val="00EC4622"/>
    <w:rsid w:val="00EC4682"/>
    <w:rsid w:val="00EC4815"/>
    <w:rsid w:val="00EC48C2"/>
    <w:rsid w:val="00EC49C8"/>
    <w:rsid w:val="00EC49CC"/>
    <w:rsid w:val="00EC4AF9"/>
    <w:rsid w:val="00EC4B68"/>
    <w:rsid w:val="00EC4B8F"/>
    <w:rsid w:val="00EC4C47"/>
    <w:rsid w:val="00EC4DB8"/>
    <w:rsid w:val="00EC5083"/>
    <w:rsid w:val="00EC50FB"/>
    <w:rsid w:val="00EC51A8"/>
    <w:rsid w:val="00EC51D0"/>
    <w:rsid w:val="00EC51F9"/>
    <w:rsid w:val="00EC52DF"/>
    <w:rsid w:val="00EC5309"/>
    <w:rsid w:val="00EC5334"/>
    <w:rsid w:val="00EC533C"/>
    <w:rsid w:val="00EC53B5"/>
    <w:rsid w:val="00EC53BE"/>
    <w:rsid w:val="00EC542C"/>
    <w:rsid w:val="00EC543E"/>
    <w:rsid w:val="00EC5590"/>
    <w:rsid w:val="00EC5602"/>
    <w:rsid w:val="00EC560C"/>
    <w:rsid w:val="00EC56DB"/>
    <w:rsid w:val="00EC5769"/>
    <w:rsid w:val="00EC57BD"/>
    <w:rsid w:val="00EC5810"/>
    <w:rsid w:val="00EC58E8"/>
    <w:rsid w:val="00EC593C"/>
    <w:rsid w:val="00EC5974"/>
    <w:rsid w:val="00EC5A15"/>
    <w:rsid w:val="00EC5AB8"/>
    <w:rsid w:val="00EC5ACA"/>
    <w:rsid w:val="00EC5B93"/>
    <w:rsid w:val="00EC5C11"/>
    <w:rsid w:val="00EC5CA9"/>
    <w:rsid w:val="00EC5E73"/>
    <w:rsid w:val="00EC5E75"/>
    <w:rsid w:val="00EC5EAC"/>
    <w:rsid w:val="00EC5EE2"/>
    <w:rsid w:val="00EC6086"/>
    <w:rsid w:val="00EC6159"/>
    <w:rsid w:val="00EC6223"/>
    <w:rsid w:val="00EC6323"/>
    <w:rsid w:val="00EC662C"/>
    <w:rsid w:val="00EC6658"/>
    <w:rsid w:val="00EC669F"/>
    <w:rsid w:val="00EC67BF"/>
    <w:rsid w:val="00EC67C0"/>
    <w:rsid w:val="00EC6976"/>
    <w:rsid w:val="00EC69C3"/>
    <w:rsid w:val="00EC6A85"/>
    <w:rsid w:val="00EC6AC4"/>
    <w:rsid w:val="00EC6ACE"/>
    <w:rsid w:val="00EC6B1D"/>
    <w:rsid w:val="00EC6C5B"/>
    <w:rsid w:val="00EC6CC2"/>
    <w:rsid w:val="00EC6CCE"/>
    <w:rsid w:val="00EC6E89"/>
    <w:rsid w:val="00EC6EEF"/>
    <w:rsid w:val="00EC6F50"/>
    <w:rsid w:val="00EC7150"/>
    <w:rsid w:val="00EC7191"/>
    <w:rsid w:val="00EC7218"/>
    <w:rsid w:val="00EC72C8"/>
    <w:rsid w:val="00EC739E"/>
    <w:rsid w:val="00EC7571"/>
    <w:rsid w:val="00EC76ED"/>
    <w:rsid w:val="00EC7771"/>
    <w:rsid w:val="00EC7911"/>
    <w:rsid w:val="00EC7932"/>
    <w:rsid w:val="00EC794E"/>
    <w:rsid w:val="00EC79E0"/>
    <w:rsid w:val="00EC7AB1"/>
    <w:rsid w:val="00EC7ABE"/>
    <w:rsid w:val="00EC7AC1"/>
    <w:rsid w:val="00EC7B98"/>
    <w:rsid w:val="00EC7C6A"/>
    <w:rsid w:val="00EC7D3A"/>
    <w:rsid w:val="00EC7D88"/>
    <w:rsid w:val="00EC7E6E"/>
    <w:rsid w:val="00EC7ED1"/>
    <w:rsid w:val="00ED0003"/>
    <w:rsid w:val="00ED005E"/>
    <w:rsid w:val="00ED02A0"/>
    <w:rsid w:val="00ED02C4"/>
    <w:rsid w:val="00ED039E"/>
    <w:rsid w:val="00ED0545"/>
    <w:rsid w:val="00ED0550"/>
    <w:rsid w:val="00ED0556"/>
    <w:rsid w:val="00ED05B7"/>
    <w:rsid w:val="00ED0603"/>
    <w:rsid w:val="00ED0640"/>
    <w:rsid w:val="00ED069D"/>
    <w:rsid w:val="00ED06B4"/>
    <w:rsid w:val="00ED0820"/>
    <w:rsid w:val="00ED08D4"/>
    <w:rsid w:val="00ED0ADE"/>
    <w:rsid w:val="00ED0B34"/>
    <w:rsid w:val="00ED0CB9"/>
    <w:rsid w:val="00ED0D5C"/>
    <w:rsid w:val="00ED0DA6"/>
    <w:rsid w:val="00ED0E05"/>
    <w:rsid w:val="00ED0E27"/>
    <w:rsid w:val="00ED0E52"/>
    <w:rsid w:val="00ED0F01"/>
    <w:rsid w:val="00ED0F1C"/>
    <w:rsid w:val="00ED101F"/>
    <w:rsid w:val="00ED13AD"/>
    <w:rsid w:val="00ED1492"/>
    <w:rsid w:val="00ED14D4"/>
    <w:rsid w:val="00ED1592"/>
    <w:rsid w:val="00ED1612"/>
    <w:rsid w:val="00ED1751"/>
    <w:rsid w:val="00ED1778"/>
    <w:rsid w:val="00ED17B6"/>
    <w:rsid w:val="00ED17DD"/>
    <w:rsid w:val="00ED17EF"/>
    <w:rsid w:val="00ED1838"/>
    <w:rsid w:val="00ED1850"/>
    <w:rsid w:val="00ED1921"/>
    <w:rsid w:val="00ED194D"/>
    <w:rsid w:val="00ED1983"/>
    <w:rsid w:val="00ED1A25"/>
    <w:rsid w:val="00ED1A2B"/>
    <w:rsid w:val="00ED1B6E"/>
    <w:rsid w:val="00ED1B7F"/>
    <w:rsid w:val="00ED1BBF"/>
    <w:rsid w:val="00ED1CEB"/>
    <w:rsid w:val="00ED1CF6"/>
    <w:rsid w:val="00ED1D96"/>
    <w:rsid w:val="00ED1E26"/>
    <w:rsid w:val="00ED1E53"/>
    <w:rsid w:val="00ED1E66"/>
    <w:rsid w:val="00ED1EC7"/>
    <w:rsid w:val="00ED1F00"/>
    <w:rsid w:val="00ED1F0B"/>
    <w:rsid w:val="00ED1F1E"/>
    <w:rsid w:val="00ED202D"/>
    <w:rsid w:val="00ED2086"/>
    <w:rsid w:val="00ED20E8"/>
    <w:rsid w:val="00ED2359"/>
    <w:rsid w:val="00ED2406"/>
    <w:rsid w:val="00ED243E"/>
    <w:rsid w:val="00ED2468"/>
    <w:rsid w:val="00ED2475"/>
    <w:rsid w:val="00ED24B3"/>
    <w:rsid w:val="00ED2582"/>
    <w:rsid w:val="00ED25EE"/>
    <w:rsid w:val="00ED2666"/>
    <w:rsid w:val="00ED2698"/>
    <w:rsid w:val="00ED278C"/>
    <w:rsid w:val="00ED28EE"/>
    <w:rsid w:val="00ED2ADF"/>
    <w:rsid w:val="00ED2B9D"/>
    <w:rsid w:val="00ED2D64"/>
    <w:rsid w:val="00ED2E66"/>
    <w:rsid w:val="00ED2E73"/>
    <w:rsid w:val="00ED2FA6"/>
    <w:rsid w:val="00ED310C"/>
    <w:rsid w:val="00ED3124"/>
    <w:rsid w:val="00ED31FE"/>
    <w:rsid w:val="00ED32A2"/>
    <w:rsid w:val="00ED3308"/>
    <w:rsid w:val="00ED3317"/>
    <w:rsid w:val="00ED3347"/>
    <w:rsid w:val="00ED347E"/>
    <w:rsid w:val="00ED3560"/>
    <w:rsid w:val="00ED368D"/>
    <w:rsid w:val="00ED3720"/>
    <w:rsid w:val="00ED3747"/>
    <w:rsid w:val="00ED374B"/>
    <w:rsid w:val="00ED374F"/>
    <w:rsid w:val="00ED3816"/>
    <w:rsid w:val="00ED3906"/>
    <w:rsid w:val="00ED3970"/>
    <w:rsid w:val="00ED39B1"/>
    <w:rsid w:val="00ED3A1E"/>
    <w:rsid w:val="00ED3B9F"/>
    <w:rsid w:val="00ED3BE4"/>
    <w:rsid w:val="00ED3ED6"/>
    <w:rsid w:val="00ED3F2A"/>
    <w:rsid w:val="00ED3FEE"/>
    <w:rsid w:val="00ED4052"/>
    <w:rsid w:val="00ED40CF"/>
    <w:rsid w:val="00ED4116"/>
    <w:rsid w:val="00ED4119"/>
    <w:rsid w:val="00ED431C"/>
    <w:rsid w:val="00ED43EE"/>
    <w:rsid w:val="00ED4545"/>
    <w:rsid w:val="00ED45ED"/>
    <w:rsid w:val="00ED45F2"/>
    <w:rsid w:val="00ED4768"/>
    <w:rsid w:val="00ED4770"/>
    <w:rsid w:val="00ED487E"/>
    <w:rsid w:val="00ED48B8"/>
    <w:rsid w:val="00ED4958"/>
    <w:rsid w:val="00ED4A37"/>
    <w:rsid w:val="00ED4A3B"/>
    <w:rsid w:val="00ED4B5A"/>
    <w:rsid w:val="00ED4BB3"/>
    <w:rsid w:val="00ED4C34"/>
    <w:rsid w:val="00ED4D18"/>
    <w:rsid w:val="00ED4D1E"/>
    <w:rsid w:val="00ED4E10"/>
    <w:rsid w:val="00ED4EA0"/>
    <w:rsid w:val="00ED4FD2"/>
    <w:rsid w:val="00ED5033"/>
    <w:rsid w:val="00ED5060"/>
    <w:rsid w:val="00ED508E"/>
    <w:rsid w:val="00ED5124"/>
    <w:rsid w:val="00ED514D"/>
    <w:rsid w:val="00ED5237"/>
    <w:rsid w:val="00ED5239"/>
    <w:rsid w:val="00ED52F1"/>
    <w:rsid w:val="00ED5473"/>
    <w:rsid w:val="00ED5492"/>
    <w:rsid w:val="00ED562C"/>
    <w:rsid w:val="00ED563D"/>
    <w:rsid w:val="00ED5681"/>
    <w:rsid w:val="00ED56B9"/>
    <w:rsid w:val="00ED56BB"/>
    <w:rsid w:val="00ED5722"/>
    <w:rsid w:val="00ED5772"/>
    <w:rsid w:val="00ED5787"/>
    <w:rsid w:val="00ED58BD"/>
    <w:rsid w:val="00ED590E"/>
    <w:rsid w:val="00ED59F9"/>
    <w:rsid w:val="00ED5A6F"/>
    <w:rsid w:val="00ED5A7D"/>
    <w:rsid w:val="00ED5B5F"/>
    <w:rsid w:val="00ED5B97"/>
    <w:rsid w:val="00ED5C0D"/>
    <w:rsid w:val="00ED5CE3"/>
    <w:rsid w:val="00ED5D5D"/>
    <w:rsid w:val="00ED5DBB"/>
    <w:rsid w:val="00ED5EC1"/>
    <w:rsid w:val="00ED5F8D"/>
    <w:rsid w:val="00ED60EE"/>
    <w:rsid w:val="00ED6190"/>
    <w:rsid w:val="00ED61BC"/>
    <w:rsid w:val="00ED6217"/>
    <w:rsid w:val="00ED622C"/>
    <w:rsid w:val="00ED625F"/>
    <w:rsid w:val="00ED630D"/>
    <w:rsid w:val="00ED635F"/>
    <w:rsid w:val="00ED63C7"/>
    <w:rsid w:val="00ED63DF"/>
    <w:rsid w:val="00ED643D"/>
    <w:rsid w:val="00ED647E"/>
    <w:rsid w:val="00ED64DE"/>
    <w:rsid w:val="00ED6539"/>
    <w:rsid w:val="00ED6658"/>
    <w:rsid w:val="00ED6683"/>
    <w:rsid w:val="00ED66A7"/>
    <w:rsid w:val="00ED675F"/>
    <w:rsid w:val="00ED6799"/>
    <w:rsid w:val="00ED683A"/>
    <w:rsid w:val="00ED685C"/>
    <w:rsid w:val="00ED6879"/>
    <w:rsid w:val="00ED6982"/>
    <w:rsid w:val="00ED69D5"/>
    <w:rsid w:val="00ED69E4"/>
    <w:rsid w:val="00ED6A23"/>
    <w:rsid w:val="00ED6A7C"/>
    <w:rsid w:val="00ED6AF4"/>
    <w:rsid w:val="00ED6E3F"/>
    <w:rsid w:val="00ED7001"/>
    <w:rsid w:val="00ED7039"/>
    <w:rsid w:val="00ED7171"/>
    <w:rsid w:val="00ED71A9"/>
    <w:rsid w:val="00ED71CA"/>
    <w:rsid w:val="00ED7291"/>
    <w:rsid w:val="00ED729F"/>
    <w:rsid w:val="00ED72D4"/>
    <w:rsid w:val="00ED75ED"/>
    <w:rsid w:val="00ED7768"/>
    <w:rsid w:val="00ED7772"/>
    <w:rsid w:val="00ED77F1"/>
    <w:rsid w:val="00ED796B"/>
    <w:rsid w:val="00ED7A6E"/>
    <w:rsid w:val="00ED7AAA"/>
    <w:rsid w:val="00ED7ABE"/>
    <w:rsid w:val="00ED7AEC"/>
    <w:rsid w:val="00ED7B36"/>
    <w:rsid w:val="00ED7B55"/>
    <w:rsid w:val="00ED7BAC"/>
    <w:rsid w:val="00ED7C3A"/>
    <w:rsid w:val="00ED7CCC"/>
    <w:rsid w:val="00ED7E56"/>
    <w:rsid w:val="00ED7E93"/>
    <w:rsid w:val="00ED7F7D"/>
    <w:rsid w:val="00EE010F"/>
    <w:rsid w:val="00EE020C"/>
    <w:rsid w:val="00EE0270"/>
    <w:rsid w:val="00EE02EB"/>
    <w:rsid w:val="00EE031D"/>
    <w:rsid w:val="00EE034E"/>
    <w:rsid w:val="00EE039A"/>
    <w:rsid w:val="00EE043C"/>
    <w:rsid w:val="00EE0551"/>
    <w:rsid w:val="00EE0573"/>
    <w:rsid w:val="00EE0622"/>
    <w:rsid w:val="00EE0682"/>
    <w:rsid w:val="00EE06C1"/>
    <w:rsid w:val="00EE07D0"/>
    <w:rsid w:val="00EE0873"/>
    <w:rsid w:val="00EE08B5"/>
    <w:rsid w:val="00EE08C1"/>
    <w:rsid w:val="00EE0957"/>
    <w:rsid w:val="00EE0A15"/>
    <w:rsid w:val="00EE0A17"/>
    <w:rsid w:val="00EE0A32"/>
    <w:rsid w:val="00EE0A73"/>
    <w:rsid w:val="00EE0AD4"/>
    <w:rsid w:val="00EE0B0A"/>
    <w:rsid w:val="00EE0B3E"/>
    <w:rsid w:val="00EE0B55"/>
    <w:rsid w:val="00EE0B90"/>
    <w:rsid w:val="00EE0DAA"/>
    <w:rsid w:val="00EE0DB9"/>
    <w:rsid w:val="00EE0DE2"/>
    <w:rsid w:val="00EE0E2A"/>
    <w:rsid w:val="00EE0E52"/>
    <w:rsid w:val="00EE0F35"/>
    <w:rsid w:val="00EE11BB"/>
    <w:rsid w:val="00EE1463"/>
    <w:rsid w:val="00EE14A5"/>
    <w:rsid w:val="00EE1508"/>
    <w:rsid w:val="00EE158E"/>
    <w:rsid w:val="00EE159B"/>
    <w:rsid w:val="00EE1670"/>
    <w:rsid w:val="00EE16B8"/>
    <w:rsid w:val="00EE1771"/>
    <w:rsid w:val="00EE17A3"/>
    <w:rsid w:val="00EE18A0"/>
    <w:rsid w:val="00EE18B3"/>
    <w:rsid w:val="00EE197B"/>
    <w:rsid w:val="00EE19BF"/>
    <w:rsid w:val="00EE1AC5"/>
    <w:rsid w:val="00EE1AFF"/>
    <w:rsid w:val="00EE1B84"/>
    <w:rsid w:val="00EE1C17"/>
    <w:rsid w:val="00EE1D57"/>
    <w:rsid w:val="00EE1D7C"/>
    <w:rsid w:val="00EE1DF1"/>
    <w:rsid w:val="00EE1E3D"/>
    <w:rsid w:val="00EE1E5D"/>
    <w:rsid w:val="00EE1E62"/>
    <w:rsid w:val="00EE1F2E"/>
    <w:rsid w:val="00EE1F62"/>
    <w:rsid w:val="00EE1F6C"/>
    <w:rsid w:val="00EE20C8"/>
    <w:rsid w:val="00EE20CA"/>
    <w:rsid w:val="00EE2217"/>
    <w:rsid w:val="00EE2227"/>
    <w:rsid w:val="00EE226F"/>
    <w:rsid w:val="00EE227D"/>
    <w:rsid w:val="00EE2295"/>
    <w:rsid w:val="00EE2396"/>
    <w:rsid w:val="00EE23A6"/>
    <w:rsid w:val="00EE23EA"/>
    <w:rsid w:val="00EE23EE"/>
    <w:rsid w:val="00EE2485"/>
    <w:rsid w:val="00EE2504"/>
    <w:rsid w:val="00EE2546"/>
    <w:rsid w:val="00EE2554"/>
    <w:rsid w:val="00EE260F"/>
    <w:rsid w:val="00EE2699"/>
    <w:rsid w:val="00EE26DE"/>
    <w:rsid w:val="00EE287B"/>
    <w:rsid w:val="00EE297D"/>
    <w:rsid w:val="00EE2992"/>
    <w:rsid w:val="00EE2AE7"/>
    <w:rsid w:val="00EE2BB7"/>
    <w:rsid w:val="00EE2C21"/>
    <w:rsid w:val="00EE2CD7"/>
    <w:rsid w:val="00EE2CE7"/>
    <w:rsid w:val="00EE2CE9"/>
    <w:rsid w:val="00EE2D14"/>
    <w:rsid w:val="00EE2D75"/>
    <w:rsid w:val="00EE2F01"/>
    <w:rsid w:val="00EE2F31"/>
    <w:rsid w:val="00EE2F7A"/>
    <w:rsid w:val="00EE2FC4"/>
    <w:rsid w:val="00EE3038"/>
    <w:rsid w:val="00EE32B5"/>
    <w:rsid w:val="00EE32F2"/>
    <w:rsid w:val="00EE335B"/>
    <w:rsid w:val="00EE33A9"/>
    <w:rsid w:val="00EE3456"/>
    <w:rsid w:val="00EE3557"/>
    <w:rsid w:val="00EE3580"/>
    <w:rsid w:val="00EE3591"/>
    <w:rsid w:val="00EE359A"/>
    <w:rsid w:val="00EE37A6"/>
    <w:rsid w:val="00EE3907"/>
    <w:rsid w:val="00EE395D"/>
    <w:rsid w:val="00EE39CF"/>
    <w:rsid w:val="00EE3A8F"/>
    <w:rsid w:val="00EE3C50"/>
    <w:rsid w:val="00EE3DF7"/>
    <w:rsid w:val="00EE3ED9"/>
    <w:rsid w:val="00EE3F68"/>
    <w:rsid w:val="00EE4010"/>
    <w:rsid w:val="00EE403E"/>
    <w:rsid w:val="00EE4097"/>
    <w:rsid w:val="00EE4162"/>
    <w:rsid w:val="00EE41D7"/>
    <w:rsid w:val="00EE43FB"/>
    <w:rsid w:val="00EE440F"/>
    <w:rsid w:val="00EE4543"/>
    <w:rsid w:val="00EE4733"/>
    <w:rsid w:val="00EE478E"/>
    <w:rsid w:val="00EE4835"/>
    <w:rsid w:val="00EE4905"/>
    <w:rsid w:val="00EE492C"/>
    <w:rsid w:val="00EE4A1A"/>
    <w:rsid w:val="00EE4A1F"/>
    <w:rsid w:val="00EE4ABC"/>
    <w:rsid w:val="00EE4AE3"/>
    <w:rsid w:val="00EE4C00"/>
    <w:rsid w:val="00EE4C83"/>
    <w:rsid w:val="00EE4E36"/>
    <w:rsid w:val="00EE4E53"/>
    <w:rsid w:val="00EE4E56"/>
    <w:rsid w:val="00EE4E65"/>
    <w:rsid w:val="00EE4F2C"/>
    <w:rsid w:val="00EE50A0"/>
    <w:rsid w:val="00EE50A2"/>
    <w:rsid w:val="00EE51FA"/>
    <w:rsid w:val="00EE522D"/>
    <w:rsid w:val="00EE52F5"/>
    <w:rsid w:val="00EE5313"/>
    <w:rsid w:val="00EE5445"/>
    <w:rsid w:val="00EE5449"/>
    <w:rsid w:val="00EE544A"/>
    <w:rsid w:val="00EE544C"/>
    <w:rsid w:val="00EE54BE"/>
    <w:rsid w:val="00EE5516"/>
    <w:rsid w:val="00EE567F"/>
    <w:rsid w:val="00EE56C0"/>
    <w:rsid w:val="00EE5718"/>
    <w:rsid w:val="00EE578A"/>
    <w:rsid w:val="00EE5804"/>
    <w:rsid w:val="00EE58A0"/>
    <w:rsid w:val="00EE58D7"/>
    <w:rsid w:val="00EE5ACD"/>
    <w:rsid w:val="00EE5B8C"/>
    <w:rsid w:val="00EE5C19"/>
    <w:rsid w:val="00EE5C7A"/>
    <w:rsid w:val="00EE5D76"/>
    <w:rsid w:val="00EE5E0A"/>
    <w:rsid w:val="00EE5E45"/>
    <w:rsid w:val="00EE5EE5"/>
    <w:rsid w:val="00EE5F88"/>
    <w:rsid w:val="00EE5F8B"/>
    <w:rsid w:val="00EE600F"/>
    <w:rsid w:val="00EE6142"/>
    <w:rsid w:val="00EE6331"/>
    <w:rsid w:val="00EE6362"/>
    <w:rsid w:val="00EE640E"/>
    <w:rsid w:val="00EE65AF"/>
    <w:rsid w:val="00EE65B4"/>
    <w:rsid w:val="00EE65D2"/>
    <w:rsid w:val="00EE65D4"/>
    <w:rsid w:val="00EE6617"/>
    <w:rsid w:val="00EE66DC"/>
    <w:rsid w:val="00EE67BF"/>
    <w:rsid w:val="00EE67E3"/>
    <w:rsid w:val="00EE680B"/>
    <w:rsid w:val="00EE6852"/>
    <w:rsid w:val="00EE6855"/>
    <w:rsid w:val="00EE687E"/>
    <w:rsid w:val="00EE68E6"/>
    <w:rsid w:val="00EE68EB"/>
    <w:rsid w:val="00EE6BCB"/>
    <w:rsid w:val="00EE6C27"/>
    <w:rsid w:val="00EE6C63"/>
    <w:rsid w:val="00EE6C70"/>
    <w:rsid w:val="00EE6C77"/>
    <w:rsid w:val="00EE6E7D"/>
    <w:rsid w:val="00EE6EE9"/>
    <w:rsid w:val="00EE6F58"/>
    <w:rsid w:val="00EE707D"/>
    <w:rsid w:val="00EE7236"/>
    <w:rsid w:val="00EE74FC"/>
    <w:rsid w:val="00EE752E"/>
    <w:rsid w:val="00EE76A5"/>
    <w:rsid w:val="00EE773A"/>
    <w:rsid w:val="00EE7748"/>
    <w:rsid w:val="00EE7764"/>
    <w:rsid w:val="00EE77A0"/>
    <w:rsid w:val="00EE7849"/>
    <w:rsid w:val="00EE795B"/>
    <w:rsid w:val="00EE7A5B"/>
    <w:rsid w:val="00EE7A6C"/>
    <w:rsid w:val="00EE7AA8"/>
    <w:rsid w:val="00EE7C04"/>
    <w:rsid w:val="00EE7D4B"/>
    <w:rsid w:val="00EE7D5C"/>
    <w:rsid w:val="00EE7DBD"/>
    <w:rsid w:val="00EE7DEE"/>
    <w:rsid w:val="00EE7E97"/>
    <w:rsid w:val="00EE7F8C"/>
    <w:rsid w:val="00EE7FE1"/>
    <w:rsid w:val="00EE7FF7"/>
    <w:rsid w:val="00EF01F2"/>
    <w:rsid w:val="00EF033D"/>
    <w:rsid w:val="00EF05A8"/>
    <w:rsid w:val="00EF05AE"/>
    <w:rsid w:val="00EF0639"/>
    <w:rsid w:val="00EF0848"/>
    <w:rsid w:val="00EF084A"/>
    <w:rsid w:val="00EF0914"/>
    <w:rsid w:val="00EF09DF"/>
    <w:rsid w:val="00EF0A2E"/>
    <w:rsid w:val="00EF0A6F"/>
    <w:rsid w:val="00EF0AF3"/>
    <w:rsid w:val="00EF0AFE"/>
    <w:rsid w:val="00EF0B62"/>
    <w:rsid w:val="00EF0B90"/>
    <w:rsid w:val="00EF0B98"/>
    <w:rsid w:val="00EF0D12"/>
    <w:rsid w:val="00EF0E6F"/>
    <w:rsid w:val="00EF0F24"/>
    <w:rsid w:val="00EF1003"/>
    <w:rsid w:val="00EF102F"/>
    <w:rsid w:val="00EF106C"/>
    <w:rsid w:val="00EF10DE"/>
    <w:rsid w:val="00EF1186"/>
    <w:rsid w:val="00EF125E"/>
    <w:rsid w:val="00EF13A3"/>
    <w:rsid w:val="00EF1449"/>
    <w:rsid w:val="00EF1521"/>
    <w:rsid w:val="00EF1576"/>
    <w:rsid w:val="00EF15A8"/>
    <w:rsid w:val="00EF1725"/>
    <w:rsid w:val="00EF1782"/>
    <w:rsid w:val="00EF195F"/>
    <w:rsid w:val="00EF19BE"/>
    <w:rsid w:val="00EF1A91"/>
    <w:rsid w:val="00EF1AB7"/>
    <w:rsid w:val="00EF1BE1"/>
    <w:rsid w:val="00EF1C87"/>
    <w:rsid w:val="00EF1D6B"/>
    <w:rsid w:val="00EF1DAF"/>
    <w:rsid w:val="00EF1DF7"/>
    <w:rsid w:val="00EF1F0C"/>
    <w:rsid w:val="00EF1F49"/>
    <w:rsid w:val="00EF1F4D"/>
    <w:rsid w:val="00EF1F82"/>
    <w:rsid w:val="00EF1FC3"/>
    <w:rsid w:val="00EF1FE5"/>
    <w:rsid w:val="00EF2128"/>
    <w:rsid w:val="00EF232B"/>
    <w:rsid w:val="00EF23B6"/>
    <w:rsid w:val="00EF23DD"/>
    <w:rsid w:val="00EF23EA"/>
    <w:rsid w:val="00EF2416"/>
    <w:rsid w:val="00EF2482"/>
    <w:rsid w:val="00EF24A4"/>
    <w:rsid w:val="00EF255F"/>
    <w:rsid w:val="00EF2661"/>
    <w:rsid w:val="00EF2801"/>
    <w:rsid w:val="00EF2826"/>
    <w:rsid w:val="00EF29AA"/>
    <w:rsid w:val="00EF2A3E"/>
    <w:rsid w:val="00EF2BD0"/>
    <w:rsid w:val="00EF2C13"/>
    <w:rsid w:val="00EF2CF2"/>
    <w:rsid w:val="00EF2CF5"/>
    <w:rsid w:val="00EF2D08"/>
    <w:rsid w:val="00EF2E04"/>
    <w:rsid w:val="00EF2EE6"/>
    <w:rsid w:val="00EF2F5A"/>
    <w:rsid w:val="00EF306F"/>
    <w:rsid w:val="00EF3094"/>
    <w:rsid w:val="00EF3262"/>
    <w:rsid w:val="00EF3277"/>
    <w:rsid w:val="00EF328D"/>
    <w:rsid w:val="00EF3417"/>
    <w:rsid w:val="00EF35B2"/>
    <w:rsid w:val="00EF35CC"/>
    <w:rsid w:val="00EF35CE"/>
    <w:rsid w:val="00EF3716"/>
    <w:rsid w:val="00EF374E"/>
    <w:rsid w:val="00EF377E"/>
    <w:rsid w:val="00EF38F3"/>
    <w:rsid w:val="00EF39E8"/>
    <w:rsid w:val="00EF3A07"/>
    <w:rsid w:val="00EF3A2E"/>
    <w:rsid w:val="00EF3A7B"/>
    <w:rsid w:val="00EF3BB4"/>
    <w:rsid w:val="00EF3D6E"/>
    <w:rsid w:val="00EF3F08"/>
    <w:rsid w:val="00EF3F6E"/>
    <w:rsid w:val="00EF3FE9"/>
    <w:rsid w:val="00EF400B"/>
    <w:rsid w:val="00EF4058"/>
    <w:rsid w:val="00EF4079"/>
    <w:rsid w:val="00EF4336"/>
    <w:rsid w:val="00EF4468"/>
    <w:rsid w:val="00EF452C"/>
    <w:rsid w:val="00EF4558"/>
    <w:rsid w:val="00EF46D0"/>
    <w:rsid w:val="00EF4729"/>
    <w:rsid w:val="00EF4759"/>
    <w:rsid w:val="00EF47F5"/>
    <w:rsid w:val="00EF48F9"/>
    <w:rsid w:val="00EF490D"/>
    <w:rsid w:val="00EF4918"/>
    <w:rsid w:val="00EF4946"/>
    <w:rsid w:val="00EF49F0"/>
    <w:rsid w:val="00EF4AA4"/>
    <w:rsid w:val="00EF4AD3"/>
    <w:rsid w:val="00EF4AF6"/>
    <w:rsid w:val="00EF4BD2"/>
    <w:rsid w:val="00EF4C7F"/>
    <w:rsid w:val="00EF4DC4"/>
    <w:rsid w:val="00EF4DC8"/>
    <w:rsid w:val="00EF4E1C"/>
    <w:rsid w:val="00EF4E36"/>
    <w:rsid w:val="00EF4F22"/>
    <w:rsid w:val="00EF5021"/>
    <w:rsid w:val="00EF5064"/>
    <w:rsid w:val="00EF508E"/>
    <w:rsid w:val="00EF50B7"/>
    <w:rsid w:val="00EF51BB"/>
    <w:rsid w:val="00EF533A"/>
    <w:rsid w:val="00EF5378"/>
    <w:rsid w:val="00EF5459"/>
    <w:rsid w:val="00EF5617"/>
    <w:rsid w:val="00EF56AF"/>
    <w:rsid w:val="00EF578F"/>
    <w:rsid w:val="00EF5795"/>
    <w:rsid w:val="00EF57E1"/>
    <w:rsid w:val="00EF5849"/>
    <w:rsid w:val="00EF585B"/>
    <w:rsid w:val="00EF5942"/>
    <w:rsid w:val="00EF5968"/>
    <w:rsid w:val="00EF5BBD"/>
    <w:rsid w:val="00EF5D78"/>
    <w:rsid w:val="00EF5E09"/>
    <w:rsid w:val="00EF5E2E"/>
    <w:rsid w:val="00EF5E7B"/>
    <w:rsid w:val="00EF5F12"/>
    <w:rsid w:val="00EF5F26"/>
    <w:rsid w:val="00EF5F2B"/>
    <w:rsid w:val="00EF6008"/>
    <w:rsid w:val="00EF6016"/>
    <w:rsid w:val="00EF6115"/>
    <w:rsid w:val="00EF6183"/>
    <w:rsid w:val="00EF629B"/>
    <w:rsid w:val="00EF62D3"/>
    <w:rsid w:val="00EF6354"/>
    <w:rsid w:val="00EF63DA"/>
    <w:rsid w:val="00EF64EF"/>
    <w:rsid w:val="00EF65F4"/>
    <w:rsid w:val="00EF65F9"/>
    <w:rsid w:val="00EF660C"/>
    <w:rsid w:val="00EF66C7"/>
    <w:rsid w:val="00EF66EB"/>
    <w:rsid w:val="00EF676A"/>
    <w:rsid w:val="00EF67BB"/>
    <w:rsid w:val="00EF6A49"/>
    <w:rsid w:val="00EF6A81"/>
    <w:rsid w:val="00EF6B24"/>
    <w:rsid w:val="00EF6B5C"/>
    <w:rsid w:val="00EF6B82"/>
    <w:rsid w:val="00EF6BC9"/>
    <w:rsid w:val="00EF6C2B"/>
    <w:rsid w:val="00EF6CFE"/>
    <w:rsid w:val="00EF6F02"/>
    <w:rsid w:val="00EF7074"/>
    <w:rsid w:val="00EF707F"/>
    <w:rsid w:val="00EF70A9"/>
    <w:rsid w:val="00EF70F2"/>
    <w:rsid w:val="00EF7179"/>
    <w:rsid w:val="00EF71F2"/>
    <w:rsid w:val="00EF72AE"/>
    <w:rsid w:val="00EF72BE"/>
    <w:rsid w:val="00EF7383"/>
    <w:rsid w:val="00EF740E"/>
    <w:rsid w:val="00EF74AC"/>
    <w:rsid w:val="00EF74BB"/>
    <w:rsid w:val="00EF754B"/>
    <w:rsid w:val="00EF7552"/>
    <w:rsid w:val="00EF75B7"/>
    <w:rsid w:val="00EF7627"/>
    <w:rsid w:val="00EF7690"/>
    <w:rsid w:val="00EF76A8"/>
    <w:rsid w:val="00EF779A"/>
    <w:rsid w:val="00EF77B8"/>
    <w:rsid w:val="00EF7844"/>
    <w:rsid w:val="00EF7858"/>
    <w:rsid w:val="00EF7914"/>
    <w:rsid w:val="00EF79A8"/>
    <w:rsid w:val="00EF79D8"/>
    <w:rsid w:val="00EF7C41"/>
    <w:rsid w:val="00EF7C56"/>
    <w:rsid w:val="00EF7E14"/>
    <w:rsid w:val="00EF7EB2"/>
    <w:rsid w:val="00EF7F1F"/>
    <w:rsid w:val="00EF7F93"/>
    <w:rsid w:val="00EF7FA7"/>
    <w:rsid w:val="00F000C5"/>
    <w:rsid w:val="00F0012A"/>
    <w:rsid w:val="00F00133"/>
    <w:rsid w:val="00F00265"/>
    <w:rsid w:val="00F0026F"/>
    <w:rsid w:val="00F00289"/>
    <w:rsid w:val="00F002AB"/>
    <w:rsid w:val="00F00357"/>
    <w:rsid w:val="00F00370"/>
    <w:rsid w:val="00F00375"/>
    <w:rsid w:val="00F00384"/>
    <w:rsid w:val="00F004C6"/>
    <w:rsid w:val="00F004F6"/>
    <w:rsid w:val="00F00595"/>
    <w:rsid w:val="00F005D6"/>
    <w:rsid w:val="00F0063A"/>
    <w:rsid w:val="00F00654"/>
    <w:rsid w:val="00F00680"/>
    <w:rsid w:val="00F00815"/>
    <w:rsid w:val="00F00877"/>
    <w:rsid w:val="00F0096B"/>
    <w:rsid w:val="00F00A67"/>
    <w:rsid w:val="00F00AF0"/>
    <w:rsid w:val="00F00B40"/>
    <w:rsid w:val="00F00B70"/>
    <w:rsid w:val="00F00BB3"/>
    <w:rsid w:val="00F00C0C"/>
    <w:rsid w:val="00F00C1C"/>
    <w:rsid w:val="00F00C59"/>
    <w:rsid w:val="00F00C5B"/>
    <w:rsid w:val="00F00D41"/>
    <w:rsid w:val="00F00E3A"/>
    <w:rsid w:val="00F00F65"/>
    <w:rsid w:val="00F00FB9"/>
    <w:rsid w:val="00F00FE0"/>
    <w:rsid w:val="00F01059"/>
    <w:rsid w:val="00F01197"/>
    <w:rsid w:val="00F011F7"/>
    <w:rsid w:val="00F01355"/>
    <w:rsid w:val="00F01593"/>
    <w:rsid w:val="00F015DC"/>
    <w:rsid w:val="00F0161C"/>
    <w:rsid w:val="00F01665"/>
    <w:rsid w:val="00F01674"/>
    <w:rsid w:val="00F016FE"/>
    <w:rsid w:val="00F01756"/>
    <w:rsid w:val="00F0176B"/>
    <w:rsid w:val="00F0187B"/>
    <w:rsid w:val="00F0188E"/>
    <w:rsid w:val="00F0199B"/>
    <w:rsid w:val="00F019D2"/>
    <w:rsid w:val="00F019E2"/>
    <w:rsid w:val="00F01A56"/>
    <w:rsid w:val="00F01B1B"/>
    <w:rsid w:val="00F01C73"/>
    <w:rsid w:val="00F01D1D"/>
    <w:rsid w:val="00F01DB0"/>
    <w:rsid w:val="00F01E4D"/>
    <w:rsid w:val="00F0202B"/>
    <w:rsid w:val="00F0205E"/>
    <w:rsid w:val="00F0209E"/>
    <w:rsid w:val="00F02126"/>
    <w:rsid w:val="00F0213A"/>
    <w:rsid w:val="00F02172"/>
    <w:rsid w:val="00F02244"/>
    <w:rsid w:val="00F02269"/>
    <w:rsid w:val="00F02314"/>
    <w:rsid w:val="00F02352"/>
    <w:rsid w:val="00F02456"/>
    <w:rsid w:val="00F0247C"/>
    <w:rsid w:val="00F02496"/>
    <w:rsid w:val="00F024E1"/>
    <w:rsid w:val="00F025B8"/>
    <w:rsid w:val="00F02608"/>
    <w:rsid w:val="00F0260B"/>
    <w:rsid w:val="00F0261B"/>
    <w:rsid w:val="00F0261C"/>
    <w:rsid w:val="00F0263B"/>
    <w:rsid w:val="00F026F3"/>
    <w:rsid w:val="00F0274C"/>
    <w:rsid w:val="00F0277A"/>
    <w:rsid w:val="00F0277F"/>
    <w:rsid w:val="00F0292D"/>
    <w:rsid w:val="00F0296E"/>
    <w:rsid w:val="00F029CF"/>
    <w:rsid w:val="00F029DA"/>
    <w:rsid w:val="00F029E5"/>
    <w:rsid w:val="00F02AF4"/>
    <w:rsid w:val="00F02B4C"/>
    <w:rsid w:val="00F02C0C"/>
    <w:rsid w:val="00F02C97"/>
    <w:rsid w:val="00F02D06"/>
    <w:rsid w:val="00F02D9F"/>
    <w:rsid w:val="00F02E49"/>
    <w:rsid w:val="00F02E59"/>
    <w:rsid w:val="00F02E90"/>
    <w:rsid w:val="00F02ED8"/>
    <w:rsid w:val="00F02F06"/>
    <w:rsid w:val="00F02F92"/>
    <w:rsid w:val="00F02FE8"/>
    <w:rsid w:val="00F03023"/>
    <w:rsid w:val="00F03270"/>
    <w:rsid w:val="00F03297"/>
    <w:rsid w:val="00F032C4"/>
    <w:rsid w:val="00F032C6"/>
    <w:rsid w:val="00F03410"/>
    <w:rsid w:val="00F034CF"/>
    <w:rsid w:val="00F03582"/>
    <w:rsid w:val="00F036C2"/>
    <w:rsid w:val="00F037A7"/>
    <w:rsid w:val="00F03833"/>
    <w:rsid w:val="00F03875"/>
    <w:rsid w:val="00F038B5"/>
    <w:rsid w:val="00F038DA"/>
    <w:rsid w:val="00F038EF"/>
    <w:rsid w:val="00F038F7"/>
    <w:rsid w:val="00F0398B"/>
    <w:rsid w:val="00F03A02"/>
    <w:rsid w:val="00F03A51"/>
    <w:rsid w:val="00F03A78"/>
    <w:rsid w:val="00F03B96"/>
    <w:rsid w:val="00F03BFB"/>
    <w:rsid w:val="00F03CE5"/>
    <w:rsid w:val="00F03CEE"/>
    <w:rsid w:val="00F03D9F"/>
    <w:rsid w:val="00F03EC7"/>
    <w:rsid w:val="00F0405F"/>
    <w:rsid w:val="00F04180"/>
    <w:rsid w:val="00F0425F"/>
    <w:rsid w:val="00F042B2"/>
    <w:rsid w:val="00F04362"/>
    <w:rsid w:val="00F04385"/>
    <w:rsid w:val="00F043D7"/>
    <w:rsid w:val="00F044CE"/>
    <w:rsid w:val="00F045F5"/>
    <w:rsid w:val="00F04664"/>
    <w:rsid w:val="00F0468C"/>
    <w:rsid w:val="00F046A7"/>
    <w:rsid w:val="00F0474A"/>
    <w:rsid w:val="00F0474D"/>
    <w:rsid w:val="00F04758"/>
    <w:rsid w:val="00F047EE"/>
    <w:rsid w:val="00F04958"/>
    <w:rsid w:val="00F0498D"/>
    <w:rsid w:val="00F049D1"/>
    <w:rsid w:val="00F04A1E"/>
    <w:rsid w:val="00F04BDF"/>
    <w:rsid w:val="00F04C28"/>
    <w:rsid w:val="00F04C29"/>
    <w:rsid w:val="00F04CC3"/>
    <w:rsid w:val="00F04D58"/>
    <w:rsid w:val="00F04DE4"/>
    <w:rsid w:val="00F04DFE"/>
    <w:rsid w:val="00F04F63"/>
    <w:rsid w:val="00F04FF3"/>
    <w:rsid w:val="00F05026"/>
    <w:rsid w:val="00F05245"/>
    <w:rsid w:val="00F0528F"/>
    <w:rsid w:val="00F052E3"/>
    <w:rsid w:val="00F052F3"/>
    <w:rsid w:val="00F0557E"/>
    <w:rsid w:val="00F055DE"/>
    <w:rsid w:val="00F05614"/>
    <w:rsid w:val="00F0578F"/>
    <w:rsid w:val="00F058BA"/>
    <w:rsid w:val="00F058E7"/>
    <w:rsid w:val="00F0591F"/>
    <w:rsid w:val="00F059F9"/>
    <w:rsid w:val="00F05A4F"/>
    <w:rsid w:val="00F05B40"/>
    <w:rsid w:val="00F05B7F"/>
    <w:rsid w:val="00F05BAD"/>
    <w:rsid w:val="00F05BCB"/>
    <w:rsid w:val="00F05C7D"/>
    <w:rsid w:val="00F05ED5"/>
    <w:rsid w:val="00F05F8D"/>
    <w:rsid w:val="00F05FB4"/>
    <w:rsid w:val="00F05FEC"/>
    <w:rsid w:val="00F0603C"/>
    <w:rsid w:val="00F06137"/>
    <w:rsid w:val="00F061FB"/>
    <w:rsid w:val="00F0621D"/>
    <w:rsid w:val="00F062C7"/>
    <w:rsid w:val="00F06353"/>
    <w:rsid w:val="00F06530"/>
    <w:rsid w:val="00F0653D"/>
    <w:rsid w:val="00F0654C"/>
    <w:rsid w:val="00F065B2"/>
    <w:rsid w:val="00F0661C"/>
    <w:rsid w:val="00F0687B"/>
    <w:rsid w:val="00F0696B"/>
    <w:rsid w:val="00F0699E"/>
    <w:rsid w:val="00F06CD2"/>
    <w:rsid w:val="00F06E7B"/>
    <w:rsid w:val="00F06F06"/>
    <w:rsid w:val="00F06F9D"/>
    <w:rsid w:val="00F06FD5"/>
    <w:rsid w:val="00F06FEC"/>
    <w:rsid w:val="00F06FF0"/>
    <w:rsid w:val="00F0707A"/>
    <w:rsid w:val="00F07239"/>
    <w:rsid w:val="00F0724A"/>
    <w:rsid w:val="00F0724E"/>
    <w:rsid w:val="00F07319"/>
    <w:rsid w:val="00F07325"/>
    <w:rsid w:val="00F07380"/>
    <w:rsid w:val="00F0738C"/>
    <w:rsid w:val="00F073E1"/>
    <w:rsid w:val="00F07415"/>
    <w:rsid w:val="00F075C7"/>
    <w:rsid w:val="00F0767F"/>
    <w:rsid w:val="00F076E2"/>
    <w:rsid w:val="00F077AF"/>
    <w:rsid w:val="00F077E8"/>
    <w:rsid w:val="00F07862"/>
    <w:rsid w:val="00F0796D"/>
    <w:rsid w:val="00F079E9"/>
    <w:rsid w:val="00F07A1F"/>
    <w:rsid w:val="00F07B87"/>
    <w:rsid w:val="00F07C2C"/>
    <w:rsid w:val="00F07D3C"/>
    <w:rsid w:val="00F07D49"/>
    <w:rsid w:val="00F07DAE"/>
    <w:rsid w:val="00F07E31"/>
    <w:rsid w:val="00F07F7F"/>
    <w:rsid w:val="00F10015"/>
    <w:rsid w:val="00F10023"/>
    <w:rsid w:val="00F100E0"/>
    <w:rsid w:val="00F10137"/>
    <w:rsid w:val="00F102E6"/>
    <w:rsid w:val="00F102F1"/>
    <w:rsid w:val="00F10331"/>
    <w:rsid w:val="00F10346"/>
    <w:rsid w:val="00F10475"/>
    <w:rsid w:val="00F104D7"/>
    <w:rsid w:val="00F1059B"/>
    <w:rsid w:val="00F106D2"/>
    <w:rsid w:val="00F106EA"/>
    <w:rsid w:val="00F10758"/>
    <w:rsid w:val="00F1079D"/>
    <w:rsid w:val="00F10885"/>
    <w:rsid w:val="00F108F2"/>
    <w:rsid w:val="00F109BD"/>
    <w:rsid w:val="00F109D2"/>
    <w:rsid w:val="00F10A53"/>
    <w:rsid w:val="00F10A94"/>
    <w:rsid w:val="00F10B8C"/>
    <w:rsid w:val="00F10BA1"/>
    <w:rsid w:val="00F10BFC"/>
    <w:rsid w:val="00F10D8A"/>
    <w:rsid w:val="00F10DBA"/>
    <w:rsid w:val="00F10DE5"/>
    <w:rsid w:val="00F10E24"/>
    <w:rsid w:val="00F10E86"/>
    <w:rsid w:val="00F10EC4"/>
    <w:rsid w:val="00F10F49"/>
    <w:rsid w:val="00F10F77"/>
    <w:rsid w:val="00F11061"/>
    <w:rsid w:val="00F110E9"/>
    <w:rsid w:val="00F1111C"/>
    <w:rsid w:val="00F1112A"/>
    <w:rsid w:val="00F111D3"/>
    <w:rsid w:val="00F11237"/>
    <w:rsid w:val="00F1125E"/>
    <w:rsid w:val="00F1128E"/>
    <w:rsid w:val="00F112B6"/>
    <w:rsid w:val="00F112DD"/>
    <w:rsid w:val="00F11315"/>
    <w:rsid w:val="00F1133C"/>
    <w:rsid w:val="00F11363"/>
    <w:rsid w:val="00F11700"/>
    <w:rsid w:val="00F11762"/>
    <w:rsid w:val="00F11836"/>
    <w:rsid w:val="00F1188E"/>
    <w:rsid w:val="00F118E4"/>
    <w:rsid w:val="00F1195E"/>
    <w:rsid w:val="00F119C7"/>
    <w:rsid w:val="00F11C20"/>
    <w:rsid w:val="00F11DB2"/>
    <w:rsid w:val="00F11EA4"/>
    <w:rsid w:val="00F11F58"/>
    <w:rsid w:val="00F12072"/>
    <w:rsid w:val="00F121B1"/>
    <w:rsid w:val="00F121B4"/>
    <w:rsid w:val="00F123AD"/>
    <w:rsid w:val="00F12428"/>
    <w:rsid w:val="00F12432"/>
    <w:rsid w:val="00F12479"/>
    <w:rsid w:val="00F12484"/>
    <w:rsid w:val="00F1248A"/>
    <w:rsid w:val="00F12555"/>
    <w:rsid w:val="00F12575"/>
    <w:rsid w:val="00F125D9"/>
    <w:rsid w:val="00F1263F"/>
    <w:rsid w:val="00F126F6"/>
    <w:rsid w:val="00F1273B"/>
    <w:rsid w:val="00F1297E"/>
    <w:rsid w:val="00F129D5"/>
    <w:rsid w:val="00F12A08"/>
    <w:rsid w:val="00F12A3B"/>
    <w:rsid w:val="00F12A83"/>
    <w:rsid w:val="00F12A95"/>
    <w:rsid w:val="00F12AAA"/>
    <w:rsid w:val="00F12AF1"/>
    <w:rsid w:val="00F12BB8"/>
    <w:rsid w:val="00F12BC6"/>
    <w:rsid w:val="00F12D15"/>
    <w:rsid w:val="00F12DC7"/>
    <w:rsid w:val="00F12DCF"/>
    <w:rsid w:val="00F13084"/>
    <w:rsid w:val="00F130CA"/>
    <w:rsid w:val="00F131F7"/>
    <w:rsid w:val="00F132B0"/>
    <w:rsid w:val="00F132C4"/>
    <w:rsid w:val="00F133F2"/>
    <w:rsid w:val="00F13439"/>
    <w:rsid w:val="00F134C6"/>
    <w:rsid w:val="00F135CD"/>
    <w:rsid w:val="00F135D7"/>
    <w:rsid w:val="00F136F4"/>
    <w:rsid w:val="00F13768"/>
    <w:rsid w:val="00F1379C"/>
    <w:rsid w:val="00F139C5"/>
    <w:rsid w:val="00F13A13"/>
    <w:rsid w:val="00F13A34"/>
    <w:rsid w:val="00F13A3A"/>
    <w:rsid w:val="00F13D53"/>
    <w:rsid w:val="00F13DDF"/>
    <w:rsid w:val="00F13E89"/>
    <w:rsid w:val="00F13F1C"/>
    <w:rsid w:val="00F13FCB"/>
    <w:rsid w:val="00F1405E"/>
    <w:rsid w:val="00F14145"/>
    <w:rsid w:val="00F14157"/>
    <w:rsid w:val="00F14158"/>
    <w:rsid w:val="00F1415E"/>
    <w:rsid w:val="00F1417C"/>
    <w:rsid w:val="00F141EF"/>
    <w:rsid w:val="00F1427A"/>
    <w:rsid w:val="00F142A4"/>
    <w:rsid w:val="00F1433F"/>
    <w:rsid w:val="00F1451B"/>
    <w:rsid w:val="00F1451C"/>
    <w:rsid w:val="00F14552"/>
    <w:rsid w:val="00F147B1"/>
    <w:rsid w:val="00F14879"/>
    <w:rsid w:val="00F148D8"/>
    <w:rsid w:val="00F149C4"/>
    <w:rsid w:val="00F14A22"/>
    <w:rsid w:val="00F14AF5"/>
    <w:rsid w:val="00F14B2A"/>
    <w:rsid w:val="00F14B59"/>
    <w:rsid w:val="00F14BD5"/>
    <w:rsid w:val="00F14C28"/>
    <w:rsid w:val="00F14CA0"/>
    <w:rsid w:val="00F14D02"/>
    <w:rsid w:val="00F14F2C"/>
    <w:rsid w:val="00F14F2D"/>
    <w:rsid w:val="00F15014"/>
    <w:rsid w:val="00F15067"/>
    <w:rsid w:val="00F15093"/>
    <w:rsid w:val="00F150D9"/>
    <w:rsid w:val="00F1514E"/>
    <w:rsid w:val="00F15179"/>
    <w:rsid w:val="00F1518E"/>
    <w:rsid w:val="00F152C2"/>
    <w:rsid w:val="00F153B6"/>
    <w:rsid w:val="00F153C6"/>
    <w:rsid w:val="00F15480"/>
    <w:rsid w:val="00F155BC"/>
    <w:rsid w:val="00F156AD"/>
    <w:rsid w:val="00F15727"/>
    <w:rsid w:val="00F15786"/>
    <w:rsid w:val="00F1578F"/>
    <w:rsid w:val="00F1589C"/>
    <w:rsid w:val="00F158CF"/>
    <w:rsid w:val="00F15991"/>
    <w:rsid w:val="00F159E8"/>
    <w:rsid w:val="00F15A09"/>
    <w:rsid w:val="00F15BBB"/>
    <w:rsid w:val="00F15CAF"/>
    <w:rsid w:val="00F15CFA"/>
    <w:rsid w:val="00F15DBC"/>
    <w:rsid w:val="00F15DC2"/>
    <w:rsid w:val="00F15DE2"/>
    <w:rsid w:val="00F15E23"/>
    <w:rsid w:val="00F15E2B"/>
    <w:rsid w:val="00F15F08"/>
    <w:rsid w:val="00F16007"/>
    <w:rsid w:val="00F160C1"/>
    <w:rsid w:val="00F16302"/>
    <w:rsid w:val="00F16332"/>
    <w:rsid w:val="00F16354"/>
    <w:rsid w:val="00F16376"/>
    <w:rsid w:val="00F163FD"/>
    <w:rsid w:val="00F16487"/>
    <w:rsid w:val="00F16555"/>
    <w:rsid w:val="00F16605"/>
    <w:rsid w:val="00F166A3"/>
    <w:rsid w:val="00F1674A"/>
    <w:rsid w:val="00F16774"/>
    <w:rsid w:val="00F16780"/>
    <w:rsid w:val="00F167E5"/>
    <w:rsid w:val="00F168AE"/>
    <w:rsid w:val="00F16926"/>
    <w:rsid w:val="00F169B7"/>
    <w:rsid w:val="00F16A55"/>
    <w:rsid w:val="00F16AC0"/>
    <w:rsid w:val="00F16D37"/>
    <w:rsid w:val="00F16D41"/>
    <w:rsid w:val="00F16D44"/>
    <w:rsid w:val="00F16ED9"/>
    <w:rsid w:val="00F16FCA"/>
    <w:rsid w:val="00F170C4"/>
    <w:rsid w:val="00F17104"/>
    <w:rsid w:val="00F171FB"/>
    <w:rsid w:val="00F17225"/>
    <w:rsid w:val="00F17312"/>
    <w:rsid w:val="00F173D0"/>
    <w:rsid w:val="00F17459"/>
    <w:rsid w:val="00F17474"/>
    <w:rsid w:val="00F1747D"/>
    <w:rsid w:val="00F1755E"/>
    <w:rsid w:val="00F17583"/>
    <w:rsid w:val="00F17644"/>
    <w:rsid w:val="00F17728"/>
    <w:rsid w:val="00F17772"/>
    <w:rsid w:val="00F178F8"/>
    <w:rsid w:val="00F17950"/>
    <w:rsid w:val="00F17976"/>
    <w:rsid w:val="00F17B1D"/>
    <w:rsid w:val="00F17BBF"/>
    <w:rsid w:val="00F17CDD"/>
    <w:rsid w:val="00F17D0C"/>
    <w:rsid w:val="00F17F47"/>
    <w:rsid w:val="00F17FF8"/>
    <w:rsid w:val="00F20036"/>
    <w:rsid w:val="00F2008F"/>
    <w:rsid w:val="00F200F1"/>
    <w:rsid w:val="00F20131"/>
    <w:rsid w:val="00F20135"/>
    <w:rsid w:val="00F201A9"/>
    <w:rsid w:val="00F20214"/>
    <w:rsid w:val="00F20266"/>
    <w:rsid w:val="00F2027A"/>
    <w:rsid w:val="00F202CC"/>
    <w:rsid w:val="00F20345"/>
    <w:rsid w:val="00F20387"/>
    <w:rsid w:val="00F20514"/>
    <w:rsid w:val="00F20680"/>
    <w:rsid w:val="00F20750"/>
    <w:rsid w:val="00F207AB"/>
    <w:rsid w:val="00F2087D"/>
    <w:rsid w:val="00F208BF"/>
    <w:rsid w:val="00F20921"/>
    <w:rsid w:val="00F2098B"/>
    <w:rsid w:val="00F20BA5"/>
    <w:rsid w:val="00F20C64"/>
    <w:rsid w:val="00F20D3A"/>
    <w:rsid w:val="00F20E6A"/>
    <w:rsid w:val="00F21031"/>
    <w:rsid w:val="00F2105C"/>
    <w:rsid w:val="00F21142"/>
    <w:rsid w:val="00F21156"/>
    <w:rsid w:val="00F211E3"/>
    <w:rsid w:val="00F211F2"/>
    <w:rsid w:val="00F21229"/>
    <w:rsid w:val="00F212D2"/>
    <w:rsid w:val="00F212FA"/>
    <w:rsid w:val="00F213B4"/>
    <w:rsid w:val="00F213F3"/>
    <w:rsid w:val="00F21403"/>
    <w:rsid w:val="00F21439"/>
    <w:rsid w:val="00F21470"/>
    <w:rsid w:val="00F2147E"/>
    <w:rsid w:val="00F215B3"/>
    <w:rsid w:val="00F21658"/>
    <w:rsid w:val="00F218F2"/>
    <w:rsid w:val="00F21956"/>
    <w:rsid w:val="00F21964"/>
    <w:rsid w:val="00F219FC"/>
    <w:rsid w:val="00F21A1B"/>
    <w:rsid w:val="00F21C8E"/>
    <w:rsid w:val="00F21E20"/>
    <w:rsid w:val="00F21FE4"/>
    <w:rsid w:val="00F22087"/>
    <w:rsid w:val="00F22263"/>
    <w:rsid w:val="00F222E9"/>
    <w:rsid w:val="00F2238E"/>
    <w:rsid w:val="00F22394"/>
    <w:rsid w:val="00F22471"/>
    <w:rsid w:val="00F22474"/>
    <w:rsid w:val="00F224E2"/>
    <w:rsid w:val="00F224F7"/>
    <w:rsid w:val="00F22501"/>
    <w:rsid w:val="00F22534"/>
    <w:rsid w:val="00F22577"/>
    <w:rsid w:val="00F225E0"/>
    <w:rsid w:val="00F225E3"/>
    <w:rsid w:val="00F225E9"/>
    <w:rsid w:val="00F22642"/>
    <w:rsid w:val="00F2268C"/>
    <w:rsid w:val="00F226D7"/>
    <w:rsid w:val="00F22713"/>
    <w:rsid w:val="00F2277A"/>
    <w:rsid w:val="00F227A3"/>
    <w:rsid w:val="00F22954"/>
    <w:rsid w:val="00F22971"/>
    <w:rsid w:val="00F22A5A"/>
    <w:rsid w:val="00F22A83"/>
    <w:rsid w:val="00F22AA2"/>
    <w:rsid w:val="00F22ABA"/>
    <w:rsid w:val="00F22ADE"/>
    <w:rsid w:val="00F22B86"/>
    <w:rsid w:val="00F22C23"/>
    <w:rsid w:val="00F22C75"/>
    <w:rsid w:val="00F22CB9"/>
    <w:rsid w:val="00F22D9D"/>
    <w:rsid w:val="00F22E05"/>
    <w:rsid w:val="00F22ED9"/>
    <w:rsid w:val="00F2318F"/>
    <w:rsid w:val="00F231CD"/>
    <w:rsid w:val="00F231E8"/>
    <w:rsid w:val="00F2331D"/>
    <w:rsid w:val="00F2344D"/>
    <w:rsid w:val="00F234EC"/>
    <w:rsid w:val="00F2354C"/>
    <w:rsid w:val="00F23648"/>
    <w:rsid w:val="00F2376E"/>
    <w:rsid w:val="00F2380A"/>
    <w:rsid w:val="00F238FF"/>
    <w:rsid w:val="00F23944"/>
    <w:rsid w:val="00F23A02"/>
    <w:rsid w:val="00F23A26"/>
    <w:rsid w:val="00F23B19"/>
    <w:rsid w:val="00F23BA0"/>
    <w:rsid w:val="00F23BE1"/>
    <w:rsid w:val="00F23D12"/>
    <w:rsid w:val="00F23D26"/>
    <w:rsid w:val="00F23E03"/>
    <w:rsid w:val="00F24076"/>
    <w:rsid w:val="00F24114"/>
    <w:rsid w:val="00F2413C"/>
    <w:rsid w:val="00F241B0"/>
    <w:rsid w:val="00F241E4"/>
    <w:rsid w:val="00F24249"/>
    <w:rsid w:val="00F242E6"/>
    <w:rsid w:val="00F243B6"/>
    <w:rsid w:val="00F244A1"/>
    <w:rsid w:val="00F24524"/>
    <w:rsid w:val="00F24526"/>
    <w:rsid w:val="00F245B2"/>
    <w:rsid w:val="00F24602"/>
    <w:rsid w:val="00F246A5"/>
    <w:rsid w:val="00F2472D"/>
    <w:rsid w:val="00F2473C"/>
    <w:rsid w:val="00F2473F"/>
    <w:rsid w:val="00F24B85"/>
    <w:rsid w:val="00F24C0C"/>
    <w:rsid w:val="00F24C28"/>
    <w:rsid w:val="00F24C30"/>
    <w:rsid w:val="00F24C7D"/>
    <w:rsid w:val="00F24E10"/>
    <w:rsid w:val="00F24E52"/>
    <w:rsid w:val="00F24E70"/>
    <w:rsid w:val="00F24EBA"/>
    <w:rsid w:val="00F24F6F"/>
    <w:rsid w:val="00F25033"/>
    <w:rsid w:val="00F25078"/>
    <w:rsid w:val="00F2511D"/>
    <w:rsid w:val="00F2548A"/>
    <w:rsid w:val="00F254E9"/>
    <w:rsid w:val="00F254F1"/>
    <w:rsid w:val="00F25541"/>
    <w:rsid w:val="00F25569"/>
    <w:rsid w:val="00F25573"/>
    <w:rsid w:val="00F25615"/>
    <w:rsid w:val="00F25643"/>
    <w:rsid w:val="00F258AB"/>
    <w:rsid w:val="00F25964"/>
    <w:rsid w:val="00F259D8"/>
    <w:rsid w:val="00F25AB2"/>
    <w:rsid w:val="00F25B6E"/>
    <w:rsid w:val="00F25D31"/>
    <w:rsid w:val="00F25D36"/>
    <w:rsid w:val="00F25D8F"/>
    <w:rsid w:val="00F25DD7"/>
    <w:rsid w:val="00F25DE7"/>
    <w:rsid w:val="00F25E3C"/>
    <w:rsid w:val="00F25F7A"/>
    <w:rsid w:val="00F25F7E"/>
    <w:rsid w:val="00F25FB3"/>
    <w:rsid w:val="00F25FD6"/>
    <w:rsid w:val="00F25FF2"/>
    <w:rsid w:val="00F2606E"/>
    <w:rsid w:val="00F260D0"/>
    <w:rsid w:val="00F262A1"/>
    <w:rsid w:val="00F2645D"/>
    <w:rsid w:val="00F26484"/>
    <w:rsid w:val="00F264FE"/>
    <w:rsid w:val="00F265F3"/>
    <w:rsid w:val="00F26633"/>
    <w:rsid w:val="00F26650"/>
    <w:rsid w:val="00F267CA"/>
    <w:rsid w:val="00F2685E"/>
    <w:rsid w:val="00F26886"/>
    <w:rsid w:val="00F268B6"/>
    <w:rsid w:val="00F26963"/>
    <w:rsid w:val="00F26977"/>
    <w:rsid w:val="00F2699D"/>
    <w:rsid w:val="00F269C2"/>
    <w:rsid w:val="00F269F0"/>
    <w:rsid w:val="00F26B98"/>
    <w:rsid w:val="00F26C10"/>
    <w:rsid w:val="00F26CCF"/>
    <w:rsid w:val="00F26D49"/>
    <w:rsid w:val="00F26D9B"/>
    <w:rsid w:val="00F26DD8"/>
    <w:rsid w:val="00F26EFB"/>
    <w:rsid w:val="00F26F8E"/>
    <w:rsid w:val="00F27065"/>
    <w:rsid w:val="00F27068"/>
    <w:rsid w:val="00F270FF"/>
    <w:rsid w:val="00F27188"/>
    <w:rsid w:val="00F2721C"/>
    <w:rsid w:val="00F272CB"/>
    <w:rsid w:val="00F2734D"/>
    <w:rsid w:val="00F27426"/>
    <w:rsid w:val="00F27490"/>
    <w:rsid w:val="00F2752B"/>
    <w:rsid w:val="00F27600"/>
    <w:rsid w:val="00F2770B"/>
    <w:rsid w:val="00F2783D"/>
    <w:rsid w:val="00F27863"/>
    <w:rsid w:val="00F2787D"/>
    <w:rsid w:val="00F27C50"/>
    <w:rsid w:val="00F27C84"/>
    <w:rsid w:val="00F27E22"/>
    <w:rsid w:val="00F27E34"/>
    <w:rsid w:val="00F27EE7"/>
    <w:rsid w:val="00F27F82"/>
    <w:rsid w:val="00F3003F"/>
    <w:rsid w:val="00F300B7"/>
    <w:rsid w:val="00F3018D"/>
    <w:rsid w:val="00F301CC"/>
    <w:rsid w:val="00F302BE"/>
    <w:rsid w:val="00F302CE"/>
    <w:rsid w:val="00F3036F"/>
    <w:rsid w:val="00F30450"/>
    <w:rsid w:val="00F305C8"/>
    <w:rsid w:val="00F306CA"/>
    <w:rsid w:val="00F308A8"/>
    <w:rsid w:val="00F308AB"/>
    <w:rsid w:val="00F308F9"/>
    <w:rsid w:val="00F3094E"/>
    <w:rsid w:val="00F30978"/>
    <w:rsid w:val="00F3099F"/>
    <w:rsid w:val="00F309A5"/>
    <w:rsid w:val="00F30B33"/>
    <w:rsid w:val="00F30B38"/>
    <w:rsid w:val="00F30BD0"/>
    <w:rsid w:val="00F30BD2"/>
    <w:rsid w:val="00F30CCA"/>
    <w:rsid w:val="00F30CFC"/>
    <w:rsid w:val="00F30D54"/>
    <w:rsid w:val="00F30D81"/>
    <w:rsid w:val="00F30D9C"/>
    <w:rsid w:val="00F30E71"/>
    <w:rsid w:val="00F30EAE"/>
    <w:rsid w:val="00F31098"/>
    <w:rsid w:val="00F310AC"/>
    <w:rsid w:val="00F31221"/>
    <w:rsid w:val="00F3124C"/>
    <w:rsid w:val="00F313F9"/>
    <w:rsid w:val="00F31422"/>
    <w:rsid w:val="00F314A3"/>
    <w:rsid w:val="00F314E6"/>
    <w:rsid w:val="00F3163A"/>
    <w:rsid w:val="00F31702"/>
    <w:rsid w:val="00F31726"/>
    <w:rsid w:val="00F3178E"/>
    <w:rsid w:val="00F317D9"/>
    <w:rsid w:val="00F31826"/>
    <w:rsid w:val="00F3190E"/>
    <w:rsid w:val="00F3194B"/>
    <w:rsid w:val="00F31B11"/>
    <w:rsid w:val="00F31B24"/>
    <w:rsid w:val="00F31B3B"/>
    <w:rsid w:val="00F31C31"/>
    <w:rsid w:val="00F31C3B"/>
    <w:rsid w:val="00F31C4E"/>
    <w:rsid w:val="00F31C90"/>
    <w:rsid w:val="00F31D37"/>
    <w:rsid w:val="00F31DF9"/>
    <w:rsid w:val="00F31E88"/>
    <w:rsid w:val="00F31E99"/>
    <w:rsid w:val="00F31F2E"/>
    <w:rsid w:val="00F31F35"/>
    <w:rsid w:val="00F3207F"/>
    <w:rsid w:val="00F32089"/>
    <w:rsid w:val="00F321A2"/>
    <w:rsid w:val="00F32256"/>
    <w:rsid w:val="00F322AF"/>
    <w:rsid w:val="00F322B0"/>
    <w:rsid w:val="00F32319"/>
    <w:rsid w:val="00F3231C"/>
    <w:rsid w:val="00F32324"/>
    <w:rsid w:val="00F324CF"/>
    <w:rsid w:val="00F32536"/>
    <w:rsid w:val="00F32906"/>
    <w:rsid w:val="00F3292D"/>
    <w:rsid w:val="00F32980"/>
    <w:rsid w:val="00F32B7A"/>
    <w:rsid w:val="00F32B80"/>
    <w:rsid w:val="00F32B9B"/>
    <w:rsid w:val="00F32C28"/>
    <w:rsid w:val="00F32CC9"/>
    <w:rsid w:val="00F32CDB"/>
    <w:rsid w:val="00F32D97"/>
    <w:rsid w:val="00F32DC0"/>
    <w:rsid w:val="00F32E41"/>
    <w:rsid w:val="00F32F19"/>
    <w:rsid w:val="00F32F64"/>
    <w:rsid w:val="00F32F71"/>
    <w:rsid w:val="00F32F75"/>
    <w:rsid w:val="00F33004"/>
    <w:rsid w:val="00F33041"/>
    <w:rsid w:val="00F33086"/>
    <w:rsid w:val="00F33098"/>
    <w:rsid w:val="00F331BA"/>
    <w:rsid w:val="00F332C2"/>
    <w:rsid w:val="00F3333F"/>
    <w:rsid w:val="00F3335D"/>
    <w:rsid w:val="00F333DB"/>
    <w:rsid w:val="00F33410"/>
    <w:rsid w:val="00F335B4"/>
    <w:rsid w:val="00F335D1"/>
    <w:rsid w:val="00F3374E"/>
    <w:rsid w:val="00F33754"/>
    <w:rsid w:val="00F3383F"/>
    <w:rsid w:val="00F338A8"/>
    <w:rsid w:val="00F338F3"/>
    <w:rsid w:val="00F33911"/>
    <w:rsid w:val="00F339BB"/>
    <w:rsid w:val="00F33AA0"/>
    <w:rsid w:val="00F33B40"/>
    <w:rsid w:val="00F33EB4"/>
    <w:rsid w:val="00F33F46"/>
    <w:rsid w:val="00F33FD2"/>
    <w:rsid w:val="00F34039"/>
    <w:rsid w:val="00F3404C"/>
    <w:rsid w:val="00F34162"/>
    <w:rsid w:val="00F3418A"/>
    <w:rsid w:val="00F341F3"/>
    <w:rsid w:val="00F34276"/>
    <w:rsid w:val="00F34298"/>
    <w:rsid w:val="00F342A9"/>
    <w:rsid w:val="00F343AB"/>
    <w:rsid w:val="00F34443"/>
    <w:rsid w:val="00F3448C"/>
    <w:rsid w:val="00F34508"/>
    <w:rsid w:val="00F34550"/>
    <w:rsid w:val="00F345C2"/>
    <w:rsid w:val="00F346E9"/>
    <w:rsid w:val="00F347F0"/>
    <w:rsid w:val="00F34805"/>
    <w:rsid w:val="00F3485D"/>
    <w:rsid w:val="00F34862"/>
    <w:rsid w:val="00F348DB"/>
    <w:rsid w:val="00F34926"/>
    <w:rsid w:val="00F349DE"/>
    <w:rsid w:val="00F349F3"/>
    <w:rsid w:val="00F34A50"/>
    <w:rsid w:val="00F34AA6"/>
    <w:rsid w:val="00F34B58"/>
    <w:rsid w:val="00F34C1E"/>
    <w:rsid w:val="00F34D01"/>
    <w:rsid w:val="00F34EFB"/>
    <w:rsid w:val="00F34FD4"/>
    <w:rsid w:val="00F3501E"/>
    <w:rsid w:val="00F35079"/>
    <w:rsid w:val="00F351BA"/>
    <w:rsid w:val="00F352DB"/>
    <w:rsid w:val="00F3531E"/>
    <w:rsid w:val="00F3535C"/>
    <w:rsid w:val="00F35391"/>
    <w:rsid w:val="00F35412"/>
    <w:rsid w:val="00F3547C"/>
    <w:rsid w:val="00F354D1"/>
    <w:rsid w:val="00F354E1"/>
    <w:rsid w:val="00F354FD"/>
    <w:rsid w:val="00F35500"/>
    <w:rsid w:val="00F35527"/>
    <w:rsid w:val="00F3552B"/>
    <w:rsid w:val="00F3556E"/>
    <w:rsid w:val="00F3557B"/>
    <w:rsid w:val="00F355A4"/>
    <w:rsid w:val="00F35661"/>
    <w:rsid w:val="00F35679"/>
    <w:rsid w:val="00F35683"/>
    <w:rsid w:val="00F356C9"/>
    <w:rsid w:val="00F35743"/>
    <w:rsid w:val="00F35744"/>
    <w:rsid w:val="00F358C5"/>
    <w:rsid w:val="00F35A0D"/>
    <w:rsid w:val="00F35A2D"/>
    <w:rsid w:val="00F35B17"/>
    <w:rsid w:val="00F35BD1"/>
    <w:rsid w:val="00F35C7E"/>
    <w:rsid w:val="00F35CDB"/>
    <w:rsid w:val="00F35F6A"/>
    <w:rsid w:val="00F35F73"/>
    <w:rsid w:val="00F35F81"/>
    <w:rsid w:val="00F360A1"/>
    <w:rsid w:val="00F360AD"/>
    <w:rsid w:val="00F36285"/>
    <w:rsid w:val="00F36354"/>
    <w:rsid w:val="00F363BE"/>
    <w:rsid w:val="00F363D5"/>
    <w:rsid w:val="00F36451"/>
    <w:rsid w:val="00F36565"/>
    <w:rsid w:val="00F365DE"/>
    <w:rsid w:val="00F36661"/>
    <w:rsid w:val="00F3669B"/>
    <w:rsid w:val="00F366A0"/>
    <w:rsid w:val="00F366DE"/>
    <w:rsid w:val="00F36802"/>
    <w:rsid w:val="00F3683B"/>
    <w:rsid w:val="00F369E3"/>
    <w:rsid w:val="00F36A20"/>
    <w:rsid w:val="00F36B9E"/>
    <w:rsid w:val="00F36CD7"/>
    <w:rsid w:val="00F36D6F"/>
    <w:rsid w:val="00F36DD4"/>
    <w:rsid w:val="00F36DD8"/>
    <w:rsid w:val="00F36ECD"/>
    <w:rsid w:val="00F36ED6"/>
    <w:rsid w:val="00F36F36"/>
    <w:rsid w:val="00F3706F"/>
    <w:rsid w:val="00F370D5"/>
    <w:rsid w:val="00F371F2"/>
    <w:rsid w:val="00F3720B"/>
    <w:rsid w:val="00F3728E"/>
    <w:rsid w:val="00F3732D"/>
    <w:rsid w:val="00F37342"/>
    <w:rsid w:val="00F3735C"/>
    <w:rsid w:val="00F374E2"/>
    <w:rsid w:val="00F37554"/>
    <w:rsid w:val="00F375ED"/>
    <w:rsid w:val="00F3766D"/>
    <w:rsid w:val="00F37717"/>
    <w:rsid w:val="00F377ED"/>
    <w:rsid w:val="00F37877"/>
    <w:rsid w:val="00F37896"/>
    <w:rsid w:val="00F3796A"/>
    <w:rsid w:val="00F37A0F"/>
    <w:rsid w:val="00F37A35"/>
    <w:rsid w:val="00F37A82"/>
    <w:rsid w:val="00F37B78"/>
    <w:rsid w:val="00F37C19"/>
    <w:rsid w:val="00F37C28"/>
    <w:rsid w:val="00F37D00"/>
    <w:rsid w:val="00F37DA6"/>
    <w:rsid w:val="00F37DB7"/>
    <w:rsid w:val="00F37E10"/>
    <w:rsid w:val="00F37E15"/>
    <w:rsid w:val="00F37FD7"/>
    <w:rsid w:val="00F40087"/>
    <w:rsid w:val="00F400FA"/>
    <w:rsid w:val="00F4013A"/>
    <w:rsid w:val="00F4016A"/>
    <w:rsid w:val="00F401C7"/>
    <w:rsid w:val="00F40266"/>
    <w:rsid w:val="00F402B6"/>
    <w:rsid w:val="00F402FE"/>
    <w:rsid w:val="00F4036C"/>
    <w:rsid w:val="00F40452"/>
    <w:rsid w:val="00F4047A"/>
    <w:rsid w:val="00F405B9"/>
    <w:rsid w:val="00F405BF"/>
    <w:rsid w:val="00F40638"/>
    <w:rsid w:val="00F40655"/>
    <w:rsid w:val="00F406E6"/>
    <w:rsid w:val="00F407B1"/>
    <w:rsid w:val="00F409F9"/>
    <w:rsid w:val="00F40A61"/>
    <w:rsid w:val="00F40AF8"/>
    <w:rsid w:val="00F40BBF"/>
    <w:rsid w:val="00F40C0B"/>
    <w:rsid w:val="00F40C87"/>
    <w:rsid w:val="00F40D05"/>
    <w:rsid w:val="00F40D36"/>
    <w:rsid w:val="00F40D4F"/>
    <w:rsid w:val="00F40D9F"/>
    <w:rsid w:val="00F40FBD"/>
    <w:rsid w:val="00F41009"/>
    <w:rsid w:val="00F41114"/>
    <w:rsid w:val="00F41157"/>
    <w:rsid w:val="00F4117F"/>
    <w:rsid w:val="00F4125A"/>
    <w:rsid w:val="00F4138E"/>
    <w:rsid w:val="00F41417"/>
    <w:rsid w:val="00F41443"/>
    <w:rsid w:val="00F41506"/>
    <w:rsid w:val="00F416E2"/>
    <w:rsid w:val="00F4182A"/>
    <w:rsid w:val="00F4192F"/>
    <w:rsid w:val="00F41A05"/>
    <w:rsid w:val="00F41A31"/>
    <w:rsid w:val="00F41B6E"/>
    <w:rsid w:val="00F41C80"/>
    <w:rsid w:val="00F41C93"/>
    <w:rsid w:val="00F41D91"/>
    <w:rsid w:val="00F41EB5"/>
    <w:rsid w:val="00F41EF0"/>
    <w:rsid w:val="00F42026"/>
    <w:rsid w:val="00F421CB"/>
    <w:rsid w:val="00F4226E"/>
    <w:rsid w:val="00F42304"/>
    <w:rsid w:val="00F42427"/>
    <w:rsid w:val="00F4254B"/>
    <w:rsid w:val="00F425FC"/>
    <w:rsid w:val="00F427A4"/>
    <w:rsid w:val="00F42823"/>
    <w:rsid w:val="00F428A1"/>
    <w:rsid w:val="00F428AF"/>
    <w:rsid w:val="00F42917"/>
    <w:rsid w:val="00F42960"/>
    <w:rsid w:val="00F42977"/>
    <w:rsid w:val="00F42A92"/>
    <w:rsid w:val="00F42AA6"/>
    <w:rsid w:val="00F42AB8"/>
    <w:rsid w:val="00F42D5A"/>
    <w:rsid w:val="00F42DB6"/>
    <w:rsid w:val="00F42E17"/>
    <w:rsid w:val="00F42EBB"/>
    <w:rsid w:val="00F42ECE"/>
    <w:rsid w:val="00F42EEA"/>
    <w:rsid w:val="00F42EFD"/>
    <w:rsid w:val="00F42F11"/>
    <w:rsid w:val="00F42F1F"/>
    <w:rsid w:val="00F4318E"/>
    <w:rsid w:val="00F4321B"/>
    <w:rsid w:val="00F4324A"/>
    <w:rsid w:val="00F43300"/>
    <w:rsid w:val="00F433AD"/>
    <w:rsid w:val="00F433B6"/>
    <w:rsid w:val="00F433C6"/>
    <w:rsid w:val="00F43425"/>
    <w:rsid w:val="00F43526"/>
    <w:rsid w:val="00F43582"/>
    <w:rsid w:val="00F437BF"/>
    <w:rsid w:val="00F437F2"/>
    <w:rsid w:val="00F43884"/>
    <w:rsid w:val="00F439AA"/>
    <w:rsid w:val="00F43A23"/>
    <w:rsid w:val="00F43AA3"/>
    <w:rsid w:val="00F43B20"/>
    <w:rsid w:val="00F43C2A"/>
    <w:rsid w:val="00F43C64"/>
    <w:rsid w:val="00F43E2F"/>
    <w:rsid w:val="00F43F14"/>
    <w:rsid w:val="00F43F4D"/>
    <w:rsid w:val="00F43F66"/>
    <w:rsid w:val="00F43F7B"/>
    <w:rsid w:val="00F43F8E"/>
    <w:rsid w:val="00F44069"/>
    <w:rsid w:val="00F44124"/>
    <w:rsid w:val="00F44188"/>
    <w:rsid w:val="00F44287"/>
    <w:rsid w:val="00F442BC"/>
    <w:rsid w:val="00F4434F"/>
    <w:rsid w:val="00F443CF"/>
    <w:rsid w:val="00F4458C"/>
    <w:rsid w:val="00F445DF"/>
    <w:rsid w:val="00F4470F"/>
    <w:rsid w:val="00F44718"/>
    <w:rsid w:val="00F44791"/>
    <w:rsid w:val="00F447EA"/>
    <w:rsid w:val="00F44881"/>
    <w:rsid w:val="00F4489B"/>
    <w:rsid w:val="00F448D2"/>
    <w:rsid w:val="00F44934"/>
    <w:rsid w:val="00F44986"/>
    <w:rsid w:val="00F449D0"/>
    <w:rsid w:val="00F44BE2"/>
    <w:rsid w:val="00F44CDC"/>
    <w:rsid w:val="00F44F70"/>
    <w:rsid w:val="00F44F89"/>
    <w:rsid w:val="00F45028"/>
    <w:rsid w:val="00F450A8"/>
    <w:rsid w:val="00F4511F"/>
    <w:rsid w:val="00F4513B"/>
    <w:rsid w:val="00F45186"/>
    <w:rsid w:val="00F451D1"/>
    <w:rsid w:val="00F4528A"/>
    <w:rsid w:val="00F4534D"/>
    <w:rsid w:val="00F4552F"/>
    <w:rsid w:val="00F455A8"/>
    <w:rsid w:val="00F4573B"/>
    <w:rsid w:val="00F457ED"/>
    <w:rsid w:val="00F458CD"/>
    <w:rsid w:val="00F459EE"/>
    <w:rsid w:val="00F45A19"/>
    <w:rsid w:val="00F45B70"/>
    <w:rsid w:val="00F45C92"/>
    <w:rsid w:val="00F45D27"/>
    <w:rsid w:val="00F45D8B"/>
    <w:rsid w:val="00F45DF4"/>
    <w:rsid w:val="00F45E2F"/>
    <w:rsid w:val="00F45F20"/>
    <w:rsid w:val="00F45FFA"/>
    <w:rsid w:val="00F4601F"/>
    <w:rsid w:val="00F46108"/>
    <w:rsid w:val="00F4610B"/>
    <w:rsid w:val="00F46125"/>
    <w:rsid w:val="00F4615D"/>
    <w:rsid w:val="00F46266"/>
    <w:rsid w:val="00F46271"/>
    <w:rsid w:val="00F46327"/>
    <w:rsid w:val="00F46392"/>
    <w:rsid w:val="00F4644D"/>
    <w:rsid w:val="00F46469"/>
    <w:rsid w:val="00F46492"/>
    <w:rsid w:val="00F4650D"/>
    <w:rsid w:val="00F46589"/>
    <w:rsid w:val="00F46609"/>
    <w:rsid w:val="00F466CF"/>
    <w:rsid w:val="00F46830"/>
    <w:rsid w:val="00F469B9"/>
    <w:rsid w:val="00F469EB"/>
    <w:rsid w:val="00F469F0"/>
    <w:rsid w:val="00F46A50"/>
    <w:rsid w:val="00F46B37"/>
    <w:rsid w:val="00F46BC0"/>
    <w:rsid w:val="00F46C09"/>
    <w:rsid w:val="00F46D09"/>
    <w:rsid w:val="00F46DDE"/>
    <w:rsid w:val="00F46E12"/>
    <w:rsid w:val="00F46E2F"/>
    <w:rsid w:val="00F46E79"/>
    <w:rsid w:val="00F46E98"/>
    <w:rsid w:val="00F46F02"/>
    <w:rsid w:val="00F46F50"/>
    <w:rsid w:val="00F470D4"/>
    <w:rsid w:val="00F47196"/>
    <w:rsid w:val="00F4721C"/>
    <w:rsid w:val="00F472F3"/>
    <w:rsid w:val="00F47409"/>
    <w:rsid w:val="00F4742D"/>
    <w:rsid w:val="00F4742E"/>
    <w:rsid w:val="00F47636"/>
    <w:rsid w:val="00F47720"/>
    <w:rsid w:val="00F4776B"/>
    <w:rsid w:val="00F47818"/>
    <w:rsid w:val="00F47A87"/>
    <w:rsid w:val="00F47AF1"/>
    <w:rsid w:val="00F47BD0"/>
    <w:rsid w:val="00F47BEB"/>
    <w:rsid w:val="00F47C37"/>
    <w:rsid w:val="00F47D9C"/>
    <w:rsid w:val="00F47E02"/>
    <w:rsid w:val="00F47E24"/>
    <w:rsid w:val="00F47E95"/>
    <w:rsid w:val="00F47EA2"/>
    <w:rsid w:val="00F47ECD"/>
    <w:rsid w:val="00F47F3B"/>
    <w:rsid w:val="00F47F8E"/>
    <w:rsid w:val="00F47FB8"/>
    <w:rsid w:val="00F50151"/>
    <w:rsid w:val="00F50180"/>
    <w:rsid w:val="00F50242"/>
    <w:rsid w:val="00F50258"/>
    <w:rsid w:val="00F5031A"/>
    <w:rsid w:val="00F50327"/>
    <w:rsid w:val="00F504A1"/>
    <w:rsid w:val="00F5051A"/>
    <w:rsid w:val="00F50532"/>
    <w:rsid w:val="00F5064C"/>
    <w:rsid w:val="00F5068F"/>
    <w:rsid w:val="00F5071F"/>
    <w:rsid w:val="00F507F9"/>
    <w:rsid w:val="00F509E5"/>
    <w:rsid w:val="00F50B0B"/>
    <w:rsid w:val="00F50B75"/>
    <w:rsid w:val="00F50C51"/>
    <w:rsid w:val="00F50C93"/>
    <w:rsid w:val="00F50CF1"/>
    <w:rsid w:val="00F50D61"/>
    <w:rsid w:val="00F50DF2"/>
    <w:rsid w:val="00F50E59"/>
    <w:rsid w:val="00F51073"/>
    <w:rsid w:val="00F51074"/>
    <w:rsid w:val="00F5124D"/>
    <w:rsid w:val="00F51376"/>
    <w:rsid w:val="00F5145C"/>
    <w:rsid w:val="00F514BD"/>
    <w:rsid w:val="00F5166D"/>
    <w:rsid w:val="00F517DA"/>
    <w:rsid w:val="00F518CE"/>
    <w:rsid w:val="00F5190C"/>
    <w:rsid w:val="00F519DA"/>
    <w:rsid w:val="00F51A75"/>
    <w:rsid w:val="00F51AD1"/>
    <w:rsid w:val="00F51C9C"/>
    <w:rsid w:val="00F51D9E"/>
    <w:rsid w:val="00F51EC0"/>
    <w:rsid w:val="00F51EC2"/>
    <w:rsid w:val="00F51ED3"/>
    <w:rsid w:val="00F51F67"/>
    <w:rsid w:val="00F52038"/>
    <w:rsid w:val="00F5219D"/>
    <w:rsid w:val="00F521C6"/>
    <w:rsid w:val="00F523F0"/>
    <w:rsid w:val="00F52431"/>
    <w:rsid w:val="00F5276F"/>
    <w:rsid w:val="00F527C4"/>
    <w:rsid w:val="00F528B3"/>
    <w:rsid w:val="00F528C9"/>
    <w:rsid w:val="00F52947"/>
    <w:rsid w:val="00F52B22"/>
    <w:rsid w:val="00F52BE4"/>
    <w:rsid w:val="00F52C10"/>
    <w:rsid w:val="00F52C5B"/>
    <w:rsid w:val="00F52CB1"/>
    <w:rsid w:val="00F52CB3"/>
    <w:rsid w:val="00F52D46"/>
    <w:rsid w:val="00F52D57"/>
    <w:rsid w:val="00F52DB3"/>
    <w:rsid w:val="00F52DE8"/>
    <w:rsid w:val="00F52EE7"/>
    <w:rsid w:val="00F53015"/>
    <w:rsid w:val="00F5308A"/>
    <w:rsid w:val="00F53090"/>
    <w:rsid w:val="00F530D1"/>
    <w:rsid w:val="00F530E8"/>
    <w:rsid w:val="00F530FE"/>
    <w:rsid w:val="00F5313C"/>
    <w:rsid w:val="00F5313D"/>
    <w:rsid w:val="00F53176"/>
    <w:rsid w:val="00F531AF"/>
    <w:rsid w:val="00F53215"/>
    <w:rsid w:val="00F5326A"/>
    <w:rsid w:val="00F5329F"/>
    <w:rsid w:val="00F5334D"/>
    <w:rsid w:val="00F534AD"/>
    <w:rsid w:val="00F5357B"/>
    <w:rsid w:val="00F535AE"/>
    <w:rsid w:val="00F5369F"/>
    <w:rsid w:val="00F5375E"/>
    <w:rsid w:val="00F537D8"/>
    <w:rsid w:val="00F5394C"/>
    <w:rsid w:val="00F53977"/>
    <w:rsid w:val="00F539B6"/>
    <w:rsid w:val="00F539DA"/>
    <w:rsid w:val="00F53B8B"/>
    <w:rsid w:val="00F53BD2"/>
    <w:rsid w:val="00F53C63"/>
    <w:rsid w:val="00F53CE6"/>
    <w:rsid w:val="00F53D03"/>
    <w:rsid w:val="00F53DE2"/>
    <w:rsid w:val="00F53EC6"/>
    <w:rsid w:val="00F53FFC"/>
    <w:rsid w:val="00F54062"/>
    <w:rsid w:val="00F54078"/>
    <w:rsid w:val="00F5413A"/>
    <w:rsid w:val="00F54160"/>
    <w:rsid w:val="00F54165"/>
    <w:rsid w:val="00F54245"/>
    <w:rsid w:val="00F54248"/>
    <w:rsid w:val="00F54477"/>
    <w:rsid w:val="00F5454F"/>
    <w:rsid w:val="00F545A4"/>
    <w:rsid w:val="00F54833"/>
    <w:rsid w:val="00F54861"/>
    <w:rsid w:val="00F548A6"/>
    <w:rsid w:val="00F54B34"/>
    <w:rsid w:val="00F54BB3"/>
    <w:rsid w:val="00F54D6E"/>
    <w:rsid w:val="00F54D95"/>
    <w:rsid w:val="00F54DBD"/>
    <w:rsid w:val="00F54E0F"/>
    <w:rsid w:val="00F54F35"/>
    <w:rsid w:val="00F54FF8"/>
    <w:rsid w:val="00F55006"/>
    <w:rsid w:val="00F55027"/>
    <w:rsid w:val="00F55064"/>
    <w:rsid w:val="00F550DD"/>
    <w:rsid w:val="00F55163"/>
    <w:rsid w:val="00F551A3"/>
    <w:rsid w:val="00F55251"/>
    <w:rsid w:val="00F55254"/>
    <w:rsid w:val="00F552A8"/>
    <w:rsid w:val="00F552D1"/>
    <w:rsid w:val="00F55348"/>
    <w:rsid w:val="00F55354"/>
    <w:rsid w:val="00F5544C"/>
    <w:rsid w:val="00F554C6"/>
    <w:rsid w:val="00F5553E"/>
    <w:rsid w:val="00F555A0"/>
    <w:rsid w:val="00F55611"/>
    <w:rsid w:val="00F5564F"/>
    <w:rsid w:val="00F556B5"/>
    <w:rsid w:val="00F558A5"/>
    <w:rsid w:val="00F558B7"/>
    <w:rsid w:val="00F55941"/>
    <w:rsid w:val="00F559B8"/>
    <w:rsid w:val="00F559E2"/>
    <w:rsid w:val="00F55A39"/>
    <w:rsid w:val="00F55AA9"/>
    <w:rsid w:val="00F55ABB"/>
    <w:rsid w:val="00F55AF1"/>
    <w:rsid w:val="00F55B2D"/>
    <w:rsid w:val="00F55B30"/>
    <w:rsid w:val="00F55C17"/>
    <w:rsid w:val="00F55C9D"/>
    <w:rsid w:val="00F55CAE"/>
    <w:rsid w:val="00F55D0D"/>
    <w:rsid w:val="00F55D21"/>
    <w:rsid w:val="00F55E83"/>
    <w:rsid w:val="00F55FCA"/>
    <w:rsid w:val="00F56011"/>
    <w:rsid w:val="00F56013"/>
    <w:rsid w:val="00F56021"/>
    <w:rsid w:val="00F5603D"/>
    <w:rsid w:val="00F560D7"/>
    <w:rsid w:val="00F560D9"/>
    <w:rsid w:val="00F56110"/>
    <w:rsid w:val="00F56112"/>
    <w:rsid w:val="00F562C4"/>
    <w:rsid w:val="00F5633A"/>
    <w:rsid w:val="00F563BB"/>
    <w:rsid w:val="00F564A3"/>
    <w:rsid w:val="00F564F6"/>
    <w:rsid w:val="00F56574"/>
    <w:rsid w:val="00F565AC"/>
    <w:rsid w:val="00F5660A"/>
    <w:rsid w:val="00F56610"/>
    <w:rsid w:val="00F566C1"/>
    <w:rsid w:val="00F5675C"/>
    <w:rsid w:val="00F568D5"/>
    <w:rsid w:val="00F5697F"/>
    <w:rsid w:val="00F56A08"/>
    <w:rsid w:val="00F56B0E"/>
    <w:rsid w:val="00F56CA6"/>
    <w:rsid w:val="00F56CE3"/>
    <w:rsid w:val="00F56DF8"/>
    <w:rsid w:val="00F56E5A"/>
    <w:rsid w:val="00F56EA3"/>
    <w:rsid w:val="00F56FBF"/>
    <w:rsid w:val="00F570D6"/>
    <w:rsid w:val="00F57189"/>
    <w:rsid w:val="00F5719B"/>
    <w:rsid w:val="00F571A9"/>
    <w:rsid w:val="00F5720D"/>
    <w:rsid w:val="00F5722B"/>
    <w:rsid w:val="00F57231"/>
    <w:rsid w:val="00F572D5"/>
    <w:rsid w:val="00F5731D"/>
    <w:rsid w:val="00F5739A"/>
    <w:rsid w:val="00F5743B"/>
    <w:rsid w:val="00F57442"/>
    <w:rsid w:val="00F5747B"/>
    <w:rsid w:val="00F574B9"/>
    <w:rsid w:val="00F57597"/>
    <w:rsid w:val="00F576F8"/>
    <w:rsid w:val="00F57704"/>
    <w:rsid w:val="00F57867"/>
    <w:rsid w:val="00F57874"/>
    <w:rsid w:val="00F578DF"/>
    <w:rsid w:val="00F57AEE"/>
    <w:rsid w:val="00F57AF7"/>
    <w:rsid w:val="00F57B1A"/>
    <w:rsid w:val="00F57B3B"/>
    <w:rsid w:val="00F57C33"/>
    <w:rsid w:val="00F57C68"/>
    <w:rsid w:val="00F57CB2"/>
    <w:rsid w:val="00F57CCF"/>
    <w:rsid w:val="00F57D46"/>
    <w:rsid w:val="00F57DCF"/>
    <w:rsid w:val="00F57F16"/>
    <w:rsid w:val="00F57FD3"/>
    <w:rsid w:val="00F57FF7"/>
    <w:rsid w:val="00F60000"/>
    <w:rsid w:val="00F6000A"/>
    <w:rsid w:val="00F600DC"/>
    <w:rsid w:val="00F600EB"/>
    <w:rsid w:val="00F6017C"/>
    <w:rsid w:val="00F60187"/>
    <w:rsid w:val="00F60189"/>
    <w:rsid w:val="00F601F5"/>
    <w:rsid w:val="00F60202"/>
    <w:rsid w:val="00F6021A"/>
    <w:rsid w:val="00F602AE"/>
    <w:rsid w:val="00F60335"/>
    <w:rsid w:val="00F60359"/>
    <w:rsid w:val="00F6037A"/>
    <w:rsid w:val="00F603AC"/>
    <w:rsid w:val="00F60517"/>
    <w:rsid w:val="00F605AD"/>
    <w:rsid w:val="00F6064B"/>
    <w:rsid w:val="00F6069E"/>
    <w:rsid w:val="00F60978"/>
    <w:rsid w:val="00F60A29"/>
    <w:rsid w:val="00F60A5D"/>
    <w:rsid w:val="00F60C8D"/>
    <w:rsid w:val="00F60CBA"/>
    <w:rsid w:val="00F60E62"/>
    <w:rsid w:val="00F60F5A"/>
    <w:rsid w:val="00F610A3"/>
    <w:rsid w:val="00F610FC"/>
    <w:rsid w:val="00F6124B"/>
    <w:rsid w:val="00F612DA"/>
    <w:rsid w:val="00F61339"/>
    <w:rsid w:val="00F61369"/>
    <w:rsid w:val="00F613AE"/>
    <w:rsid w:val="00F613B1"/>
    <w:rsid w:val="00F615F3"/>
    <w:rsid w:val="00F616C6"/>
    <w:rsid w:val="00F61793"/>
    <w:rsid w:val="00F6180B"/>
    <w:rsid w:val="00F61863"/>
    <w:rsid w:val="00F619A1"/>
    <w:rsid w:val="00F619FA"/>
    <w:rsid w:val="00F61ACC"/>
    <w:rsid w:val="00F61CC2"/>
    <w:rsid w:val="00F61CF7"/>
    <w:rsid w:val="00F61D11"/>
    <w:rsid w:val="00F61DB4"/>
    <w:rsid w:val="00F61DEF"/>
    <w:rsid w:val="00F61FAE"/>
    <w:rsid w:val="00F62023"/>
    <w:rsid w:val="00F62054"/>
    <w:rsid w:val="00F620DB"/>
    <w:rsid w:val="00F6226D"/>
    <w:rsid w:val="00F62340"/>
    <w:rsid w:val="00F62355"/>
    <w:rsid w:val="00F623A1"/>
    <w:rsid w:val="00F62423"/>
    <w:rsid w:val="00F6247C"/>
    <w:rsid w:val="00F624F8"/>
    <w:rsid w:val="00F62506"/>
    <w:rsid w:val="00F62541"/>
    <w:rsid w:val="00F62586"/>
    <w:rsid w:val="00F6260E"/>
    <w:rsid w:val="00F62690"/>
    <w:rsid w:val="00F62887"/>
    <w:rsid w:val="00F62B1A"/>
    <w:rsid w:val="00F62B67"/>
    <w:rsid w:val="00F62B94"/>
    <w:rsid w:val="00F62BBF"/>
    <w:rsid w:val="00F62BC2"/>
    <w:rsid w:val="00F62BE1"/>
    <w:rsid w:val="00F62C1A"/>
    <w:rsid w:val="00F62C6A"/>
    <w:rsid w:val="00F62C92"/>
    <w:rsid w:val="00F62D1E"/>
    <w:rsid w:val="00F62E27"/>
    <w:rsid w:val="00F630A9"/>
    <w:rsid w:val="00F630B8"/>
    <w:rsid w:val="00F630D7"/>
    <w:rsid w:val="00F631ED"/>
    <w:rsid w:val="00F63297"/>
    <w:rsid w:val="00F632B2"/>
    <w:rsid w:val="00F6342C"/>
    <w:rsid w:val="00F63452"/>
    <w:rsid w:val="00F63612"/>
    <w:rsid w:val="00F63802"/>
    <w:rsid w:val="00F638A3"/>
    <w:rsid w:val="00F638D0"/>
    <w:rsid w:val="00F63A33"/>
    <w:rsid w:val="00F63A7A"/>
    <w:rsid w:val="00F63BBF"/>
    <w:rsid w:val="00F63BDD"/>
    <w:rsid w:val="00F63C53"/>
    <w:rsid w:val="00F63D7D"/>
    <w:rsid w:val="00F63DD1"/>
    <w:rsid w:val="00F63E19"/>
    <w:rsid w:val="00F63E26"/>
    <w:rsid w:val="00F63E71"/>
    <w:rsid w:val="00F64056"/>
    <w:rsid w:val="00F640EF"/>
    <w:rsid w:val="00F64121"/>
    <w:rsid w:val="00F641AC"/>
    <w:rsid w:val="00F641CD"/>
    <w:rsid w:val="00F6423E"/>
    <w:rsid w:val="00F642AB"/>
    <w:rsid w:val="00F642F3"/>
    <w:rsid w:val="00F64382"/>
    <w:rsid w:val="00F643DC"/>
    <w:rsid w:val="00F6442E"/>
    <w:rsid w:val="00F64459"/>
    <w:rsid w:val="00F644F9"/>
    <w:rsid w:val="00F64507"/>
    <w:rsid w:val="00F64516"/>
    <w:rsid w:val="00F646EE"/>
    <w:rsid w:val="00F64746"/>
    <w:rsid w:val="00F64821"/>
    <w:rsid w:val="00F6485D"/>
    <w:rsid w:val="00F6499A"/>
    <w:rsid w:val="00F64A33"/>
    <w:rsid w:val="00F64C28"/>
    <w:rsid w:val="00F64CE5"/>
    <w:rsid w:val="00F64CEC"/>
    <w:rsid w:val="00F64D01"/>
    <w:rsid w:val="00F64DB0"/>
    <w:rsid w:val="00F64E52"/>
    <w:rsid w:val="00F64E6C"/>
    <w:rsid w:val="00F64E71"/>
    <w:rsid w:val="00F64FB1"/>
    <w:rsid w:val="00F6502D"/>
    <w:rsid w:val="00F650BB"/>
    <w:rsid w:val="00F650D3"/>
    <w:rsid w:val="00F6510F"/>
    <w:rsid w:val="00F65139"/>
    <w:rsid w:val="00F6513F"/>
    <w:rsid w:val="00F652FB"/>
    <w:rsid w:val="00F653F4"/>
    <w:rsid w:val="00F655AA"/>
    <w:rsid w:val="00F65609"/>
    <w:rsid w:val="00F6560E"/>
    <w:rsid w:val="00F6562A"/>
    <w:rsid w:val="00F6569B"/>
    <w:rsid w:val="00F659AE"/>
    <w:rsid w:val="00F65A21"/>
    <w:rsid w:val="00F65B32"/>
    <w:rsid w:val="00F65B5D"/>
    <w:rsid w:val="00F65BC8"/>
    <w:rsid w:val="00F65BD9"/>
    <w:rsid w:val="00F65EC0"/>
    <w:rsid w:val="00F65F47"/>
    <w:rsid w:val="00F66090"/>
    <w:rsid w:val="00F66146"/>
    <w:rsid w:val="00F661E6"/>
    <w:rsid w:val="00F6623B"/>
    <w:rsid w:val="00F66244"/>
    <w:rsid w:val="00F662F0"/>
    <w:rsid w:val="00F6631C"/>
    <w:rsid w:val="00F66390"/>
    <w:rsid w:val="00F663C8"/>
    <w:rsid w:val="00F664E5"/>
    <w:rsid w:val="00F66656"/>
    <w:rsid w:val="00F6668C"/>
    <w:rsid w:val="00F66718"/>
    <w:rsid w:val="00F6676D"/>
    <w:rsid w:val="00F667A7"/>
    <w:rsid w:val="00F669B5"/>
    <w:rsid w:val="00F669B7"/>
    <w:rsid w:val="00F66AE5"/>
    <w:rsid w:val="00F66B8D"/>
    <w:rsid w:val="00F66C4B"/>
    <w:rsid w:val="00F66C5F"/>
    <w:rsid w:val="00F66C60"/>
    <w:rsid w:val="00F66CC9"/>
    <w:rsid w:val="00F66CFF"/>
    <w:rsid w:val="00F66F0A"/>
    <w:rsid w:val="00F66FD6"/>
    <w:rsid w:val="00F671D5"/>
    <w:rsid w:val="00F67221"/>
    <w:rsid w:val="00F67223"/>
    <w:rsid w:val="00F67224"/>
    <w:rsid w:val="00F6722D"/>
    <w:rsid w:val="00F672EE"/>
    <w:rsid w:val="00F672FC"/>
    <w:rsid w:val="00F67318"/>
    <w:rsid w:val="00F67334"/>
    <w:rsid w:val="00F67501"/>
    <w:rsid w:val="00F675AE"/>
    <w:rsid w:val="00F675D8"/>
    <w:rsid w:val="00F67711"/>
    <w:rsid w:val="00F6772A"/>
    <w:rsid w:val="00F6779C"/>
    <w:rsid w:val="00F67818"/>
    <w:rsid w:val="00F67C34"/>
    <w:rsid w:val="00F67E5C"/>
    <w:rsid w:val="00F67E7B"/>
    <w:rsid w:val="00F67FCF"/>
    <w:rsid w:val="00F7003B"/>
    <w:rsid w:val="00F700F6"/>
    <w:rsid w:val="00F701BE"/>
    <w:rsid w:val="00F70217"/>
    <w:rsid w:val="00F70242"/>
    <w:rsid w:val="00F70244"/>
    <w:rsid w:val="00F70292"/>
    <w:rsid w:val="00F702D4"/>
    <w:rsid w:val="00F702F2"/>
    <w:rsid w:val="00F703A8"/>
    <w:rsid w:val="00F703F1"/>
    <w:rsid w:val="00F70424"/>
    <w:rsid w:val="00F704F0"/>
    <w:rsid w:val="00F7058D"/>
    <w:rsid w:val="00F70595"/>
    <w:rsid w:val="00F70629"/>
    <w:rsid w:val="00F70665"/>
    <w:rsid w:val="00F7069A"/>
    <w:rsid w:val="00F706D0"/>
    <w:rsid w:val="00F70700"/>
    <w:rsid w:val="00F70799"/>
    <w:rsid w:val="00F70804"/>
    <w:rsid w:val="00F70871"/>
    <w:rsid w:val="00F70907"/>
    <w:rsid w:val="00F7092A"/>
    <w:rsid w:val="00F709DA"/>
    <w:rsid w:val="00F70D94"/>
    <w:rsid w:val="00F70DE9"/>
    <w:rsid w:val="00F70EEE"/>
    <w:rsid w:val="00F70F46"/>
    <w:rsid w:val="00F70FA5"/>
    <w:rsid w:val="00F70FB7"/>
    <w:rsid w:val="00F7100D"/>
    <w:rsid w:val="00F71016"/>
    <w:rsid w:val="00F7109B"/>
    <w:rsid w:val="00F7129F"/>
    <w:rsid w:val="00F713F5"/>
    <w:rsid w:val="00F71461"/>
    <w:rsid w:val="00F71824"/>
    <w:rsid w:val="00F7192D"/>
    <w:rsid w:val="00F719EC"/>
    <w:rsid w:val="00F71A47"/>
    <w:rsid w:val="00F71B44"/>
    <w:rsid w:val="00F71B58"/>
    <w:rsid w:val="00F71B5C"/>
    <w:rsid w:val="00F71B6A"/>
    <w:rsid w:val="00F71B89"/>
    <w:rsid w:val="00F71D6D"/>
    <w:rsid w:val="00F71F09"/>
    <w:rsid w:val="00F71F33"/>
    <w:rsid w:val="00F72031"/>
    <w:rsid w:val="00F722B7"/>
    <w:rsid w:val="00F724AA"/>
    <w:rsid w:val="00F724B4"/>
    <w:rsid w:val="00F7279C"/>
    <w:rsid w:val="00F72931"/>
    <w:rsid w:val="00F72988"/>
    <w:rsid w:val="00F72AB5"/>
    <w:rsid w:val="00F72AFA"/>
    <w:rsid w:val="00F72B0E"/>
    <w:rsid w:val="00F72BD6"/>
    <w:rsid w:val="00F72CD2"/>
    <w:rsid w:val="00F72DBB"/>
    <w:rsid w:val="00F72DC7"/>
    <w:rsid w:val="00F72DF6"/>
    <w:rsid w:val="00F72EB1"/>
    <w:rsid w:val="00F73066"/>
    <w:rsid w:val="00F7318C"/>
    <w:rsid w:val="00F73241"/>
    <w:rsid w:val="00F7348A"/>
    <w:rsid w:val="00F734CC"/>
    <w:rsid w:val="00F73574"/>
    <w:rsid w:val="00F73626"/>
    <w:rsid w:val="00F7362A"/>
    <w:rsid w:val="00F73699"/>
    <w:rsid w:val="00F736CB"/>
    <w:rsid w:val="00F737F0"/>
    <w:rsid w:val="00F7383A"/>
    <w:rsid w:val="00F73867"/>
    <w:rsid w:val="00F73A4C"/>
    <w:rsid w:val="00F73B29"/>
    <w:rsid w:val="00F73B5B"/>
    <w:rsid w:val="00F73B69"/>
    <w:rsid w:val="00F73BB3"/>
    <w:rsid w:val="00F73C39"/>
    <w:rsid w:val="00F73C9A"/>
    <w:rsid w:val="00F73CCB"/>
    <w:rsid w:val="00F73D00"/>
    <w:rsid w:val="00F73DE8"/>
    <w:rsid w:val="00F73DF5"/>
    <w:rsid w:val="00F73E1C"/>
    <w:rsid w:val="00F73E26"/>
    <w:rsid w:val="00F73E37"/>
    <w:rsid w:val="00F73FA5"/>
    <w:rsid w:val="00F73FBE"/>
    <w:rsid w:val="00F7400B"/>
    <w:rsid w:val="00F74089"/>
    <w:rsid w:val="00F740C9"/>
    <w:rsid w:val="00F74192"/>
    <w:rsid w:val="00F741C1"/>
    <w:rsid w:val="00F742F9"/>
    <w:rsid w:val="00F7431B"/>
    <w:rsid w:val="00F74461"/>
    <w:rsid w:val="00F74474"/>
    <w:rsid w:val="00F744D3"/>
    <w:rsid w:val="00F744D4"/>
    <w:rsid w:val="00F74512"/>
    <w:rsid w:val="00F74622"/>
    <w:rsid w:val="00F74659"/>
    <w:rsid w:val="00F747CE"/>
    <w:rsid w:val="00F747D0"/>
    <w:rsid w:val="00F74949"/>
    <w:rsid w:val="00F74964"/>
    <w:rsid w:val="00F74A01"/>
    <w:rsid w:val="00F74A60"/>
    <w:rsid w:val="00F74ACA"/>
    <w:rsid w:val="00F74B3E"/>
    <w:rsid w:val="00F74C05"/>
    <w:rsid w:val="00F74C11"/>
    <w:rsid w:val="00F74D49"/>
    <w:rsid w:val="00F74F1B"/>
    <w:rsid w:val="00F74F6C"/>
    <w:rsid w:val="00F74F9D"/>
    <w:rsid w:val="00F7505D"/>
    <w:rsid w:val="00F75099"/>
    <w:rsid w:val="00F751AE"/>
    <w:rsid w:val="00F75238"/>
    <w:rsid w:val="00F75305"/>
    <w:rsid w:val="00F75307"/>
    <w:rsid w:val="00F7531C"/>
    <w:rsid w:val="00F7535A"/>
    <w:rsid w:val="00F75400"/>
    <w:rsid w:val="00F7556B"/>
    <w:rsid w:val="00F7559F"/>
    <w:rsid w:val="00F755D7"/>
    <w:rsid w:val="00F7566B"/>
    <w:rsid w:val="00F75682"/>
    <w:rsid w:val="00F756BF"/>
    <w:rsid w:val="00F757AB"/>
    <w:rsid w:val="00F757D6"/>
    <w:rsid w:val="00F7585E"/>
    <w:rsid w:val="00F75917"/>
    <w:rsid w:val="00F759A3"/>
    <w:rsid w:val="00F759CC"/>
    <w:rsid w:val="00F75A14"/>
    <w:rsid w:val="00F75A3F"/>
    <w:rsid w:val="00F75AB2"/>
    <w:rsid w:val="00F75D97"/>
    <w:rsid w:val="00F75ECA"/>
    <w:rsid w:val="00F75F13"/>
    <w:rsid w:val="00F75FFD"/>
    <w:rsid w:val="00F76141"/>
    <w:rsid w:val="00F76165"/>
    <w:rsid w:val="00F76181"/>
    <w:rsid w:val="00F761F7"/>
    <w:rsid w:val="00F76294"/>
    <w:rsid w:val="00F7636A"/>
    <w:rsid w:val="00F764CE"/>
    <w:rsid w:val="00F76808"/>
    <w:rsid w:val="00F76913"/>
    <w:rsid w:val="00F76996"/>
    <w:rsid w:val="00F769D0"/>
    <w:rsid w:val="00F76A00"/>
    <w:rsid w:val="00F76A09"/>
    <w:rsid w:val="00F76A20"/>
    <w:rsid w:val="00F76A30"/>
    <w:rsid w:val="00F76A96"/>
    <w:rsid w:val="00F76AA3"/>
    <w:rsid w:val="00F76B02"/>
    <w:rsid w:val="00F76B12"/>
    <w:rsid w:val="00F76C25"/>
    <w:rsid w:val="00F76CBA"/>
    <w:rsid w:val="00F76CEF"/>
    <w:rsid w:val="00F76D24"/>
    <w:rsid w:val="00F76DB3"/>
    <w:rsid w:val="00F76DD9"/>
    <w:rsid w:val="00F76E34"/>
    <w:rsid w:val="00F76ECB"/>
    <w:rsid w:val="00F76F91"/>
    <w:rsid w:val="00F76FA1"/>
    <w:rsid w:val="00F76FE3"/>
    <w:rsid w:val="00F77034"/>
    <w:rsid w:val="00F77053"/>
    <w:rsid w:val="00F770DC"/>
    <w:rsid w:val="00F77131"/>
    <w:rsid w:val="00F77203"/>
    <w:rsid w:val="00F77438"/>
    <w:rsid w:val="00F77445"/>
    <w:rsid w:val="00F77476"/>
    <w:rsid w:val="00F774E3"/>
    <w:rsid w:val="00F77647"/>
    <w:rsid w:val="00F776DA"/>
    <w:rsid w:val="00F77751"/>
    <w:rsid w:val="00F777D8"/>
    <w:rsid w:val="00F7794F"/>
    <w:rsid w:val="00F779A4"/>
    <w:rsid w:val="00F779D5"/>
    <w:rsid w:val="00F779F8"/>
    <w:rsid w:val="00F77A3C"/>
    <w:rsid w:val="00F77AEC"/>
    <w:rsid w:val="00F77B33"/>
    <w:rsid w:val="00F77B49"/>
    <w:rsid w:val="00F77B59"/>
    <w:rsid w:val="00F77B82"/>
    <w:rsid w:val="00F77E24"/>
    <w:rsid w:val="00F77F44"/>
    <w:rsid w:val="00F80012"/>
    <w:rsid w:val="00F80171"/>
    <w:rsid w:val="00F80199"/>
    <w:rsid w:val="00F801AC"/>
    <w:rsid w:val="00F801AD"/>
    <w:rsid w:val="00F803BD"/>
    <w:rsid w:val="00F80402"/>
    <w:rsid w:val="00F8040E"/>
    <w:rsid w:val="00F80533"/>
    <w:rsid w:val="00F8069D"/>
    <w:rsid w:val="00F8078F"/>
    <w:rsid w:val="00F807D5"/>
    <w:rsid w:val="00F80849"/>
    <w:rsid w:val="00F8085A"/>
    <w:rsid w:val="00F80887"/>
    <w:rsid w:val="00F8089C"/>
    <w:rsid w:val="00F808BA"/>
    <w:rsid w:val="00F80910"/>
    <w:rsid w:val="00F8094C"/>
    <w:rsid w:val="00F80990"/>
    <w:rsid w:val="00F809BB"/>
    <w:rsid w:val="00F809BF"/>
    <w:rsid w:val="00F80BD8"/>
    <w:rsid w:val="00F80CE6"/>
    <w:rsid w:val="00F80CE9"/>
    <w:rsid w:val="00F80D37"/>
    <w:rsid w:val="00F80D46"/>
    <w:rsid w:val="00F80EBA"/>
    <w:rsid w:val="00F810BB"/>
    <w:rsid w:val="00F81234"/>
    <w:rsid w:val="00F812C2"/>
    <w:rsid w:val="00F812CD"/>
    <w:rsid w:val="00F814EC"/>
    <w:rsid w:val="00F81535"/>
    <w:rsid w:val="00F8156B"/>
    <w:rsid w:val="00F815BF"/>
    <w:rsid w:val="00F8160E"/>
    <w:rsid w:val="00F8165F"/>
    <w:rsid w:val="00F81741"/>
    <w:rsid w:val="00F81947"/>
    <w:rsid w:val="00F819EF"/>
    <w:rsid w:val="00F81A4A"/>
    <w:rsid w:val="00F81A86"/>
    <w:rsid w:val="00F81A95"/>
    <w:rsid w:val="00F81B94"/>
    <w:rsid w:val="00F81BAF"/>
    <w:rsid w:val="00F81C12"/>
    <w:rsid w:val="00F81C32"/>
    <w:rsid w:val="00F81DBC"/>
    <w:rsid w:val="00F81EC2"/>
    <w:rsid w:val="00F81F8B"/>
    <w:rsid w:val="00F820AB"/>
    <w:rsid w:val="00F82262"/>
    <w:rsid w:val="00F82271"/>
    <w:rsid w:val="00F82305"/>
    <w:rsid w:val="00F8242C"/>
    <w:rsid w:val="00F82438"/>
    <w:rsid w:val="00F82547"/>
    <w:rsid w:val="00F825D0"/>
    <w:rsid w:val="00F8260A"/>
    <w:rsid w:val="00F82686"/>
    <w:rsid w:val="00F8273B"/>
    <w:rsid w:val="00F8273E"/>
    <w:rsid w:val="00F82772"/>
    <w:rsid w:val="00F82853"/>
    <w:rsid w:val="00F82879"/>
    <w:rsid w:val="00F8292A"/>
    <w:rsid w:val="00F829F2"/>
    <w:rsid w:val="00F82AFC"/>
    <w:rsid w:val="00F82D03"/>
    <w:rsid w:val="00F82D67"/>
    <w:rsid w:val="00F82DEF"/>
    <w:rsid w:val="00F82E9E"/>
    <w:rsid w:val="00F82EBC"/>
    <w:rsid w:val="00F82F27"/>
    <w:rsid w:val="00F82F37"/>
    <w:rsid w:val="00F8314F"/>
    <w:rsid w:val="00F83199"/>
    <w:rsid w:val="00F831A4"/>
    <w:rsid w:val="00F832BA"/>
    <w:rsid w:val="00F832E0"/>
    <w:rsid w:val="00F8333F"/>
    <w:rsid w:val="00F83380"/>
    <w:rsid w:val="00F83566"/>
    <w:rsid w:val="00F8363E"/>
    <w:rsid w:val="00F83736"/>
    <w:rsid w:val="00F837F4"/>
    <w:rsid w:val="00F8389C"/>
    <w:rsid w:val="00F83A0C"/>
    <w:rsid w:val="00F83A1B"/>
    <w:rsid w:val="00F83A64"/>
    <w:rsid w:val="00F83AD6"/>
    <w:rsid w:val="00F83BB5"/>
    <w:rsid w:val="00F83BDF"/>
    <w:rsid w:val="00F83C5A"/>
    <w:rsid w:val="00F83DC9"/>
    <w:rsid w:val="00F83E0B"/>
    <w:rsid w:val="00F83EB3"/>
    <w:rsid w:val="00F83F95"/>
    <w:rsid w:val="00F8408E"/>
    <w:rsid w:val="00F840D7"/>
    <w:rsid w:val="00F84146"/>
    <w:rsid w:val="00F84174"/>
    <w:rsid w:val="00F842B3"/>
    <w:rsid w:val="00F843AA"/>
    <w:rsid w:val="00F84400"/>
    <w:rsid w:val="00F84429"/>
    <w:rsid w:val="00F84433"/>
    <w:rsid w:val="00F844F2"/>
    <w:rsid w:val="00F84548"/>
    <w:rsid w:val="00F845F9"/>
    <w:rsid w:val="00F84692"/>
    <w:rsid w:val="00F846EA"/>
    <w:rsid w:val="00F84782"/>
    <w:rsid w:val="00F847FD"/>
    <w:rsid w:val="00F8481B"/>
    <w:rsid w:val="00F848D3"/>
    <w:rsid w:val="00F849B3"/>
    <w:rsid w:val="00F849BB"/>
    <w:rsid w:val="00F84A9A"/>
    <w:rsid w:val="00F84AAD"/>
    <w:rsid w:val="00F84DE4"/>
    <w:rsid w:val="00F84E82"/>
    <w:rsid w:val="00F84EBF"/>
    <w:rsid w:val="00F850DE"/>
    <w:rsid w:val="00F8516B"/>
    <w:rsid w:val="00F85196"/>
    <w:rsid w:val="00F851CA"/>
    <w:rsid w:val="00F8522F"/>
    <w:rsid w:val="00F853A6"/>
    <w:rsid w:val="00F8540A"/>
    <w:rsid w:val="00F8546E"/>
    <w:rsid w:val="00F85536"/>
    <w:rsid w:val="00F855D0"/>
    <w:rsid w:val="00F855EB"/>
    <w:rsid w:val="00F85725"/>
    <w:rsid w:val="00F8573D"/>
    <w:rsid w:val="00F85753"/>
    <w:rsid w:val="00F8578B"/>
    <w:rsid w:val="00F85793"/>
    <w:rsid w:val="00F8586F"/>
    <w:rsid w:val="00F859FB"/>
    <w:rsid w:val="00F85A1B"/>
    <w:rsid w:val="00F85BF1"/>
    <w:rsid w:val="00F85CAF"/>
    <w:rsid w:val="00F85D66"/>
    <w:rsid w:val="00F85F09"/>
    <w:rsid w:val="00F86121"/>
    <w:rsid w:val="00F86165"/>
    <w:rsid w:val="00F86227"/>
    <w:rsid w:val="00F862BE"/>
    <w:rsid w:val="00F86376"/>
    <w:rsid w:val="00F864F8"/>
    <w:rsid w:val="00F86511"/>
    <w:rsid w:val="00F8655A"/>
    <w:rsid w:val="00F86774"/>
    <w:rsid w:val="00F867A2"/>
    <w:rsid w:val="00F867AD"/>
    <w:rsid w:val="00F867B7"/>
    <w:rsid w:val="00F868D5"/>
    <w:rsid w:val="00F868DC"/>
    <w:rsid w:val="00F868F6"/>
    <w:rsid w:val="00F86931"/>
    <w:rsid w:val="00F86AB6"/>
    <w:rsid w:val="00F86AD5"/>
    <w:rsid w:val="00F86B23"/>
    <w:rsid w:val="00F86C18"/>
    <w:rsid w:val="00F86C51"/>
    <w:rsid w:val="00F86D44"/>
    <w:rsid w:val="00F86D60"/>
    <w:rsid w:val="00F86D7F"/>
    <w:rsid w:val="00F86DAF"/>
    <w:rsid w:val="00F86DBC"/>
    <w:rsid w:val="00F86E73"/>
    <w:rsid w:val="00F87042"/>
    <w:rsid w:val="00F87047"/>
    <w:rsid w:val="00F870B2"/>
    <w:rsid w:val="00F87256"/>
    <w:rsid w:val="00F872BB"/>
    <w:rsid w:val="00F872CE"/>
    <w:rsid w:val="00F872FA"/>
    <w:rsid w:val="00F87335"/>
    <w:rsid w:val="00F873D2"/>
    <w:rsid w:val="00F87408"/>
    <w:rsid w:val="00F8747E"/>
    <w:rsid w:val="00F8756B"/>
    <w:rsid w:val="00F876EF"/>
    <w:rsid w:val="00F8771E"/>
    <w:rsid w:val="00F87730"/>
    <w:rsid w:val="00F877F7"/>
    <w:rsid w:val="00F87945"/>
    <w:rsid w:val="00F879A8"/>
    <w:rsid w:val="00F879C7"/>
    <w:rsid w:val="00F87A3D"/>
    <w:rsid w:val="00F87A4A"/>
    <w:rsid w:val="00F87BC4"/>
    <w:rsid w:val="00F87C28"/>
    <w:rsid w:val="00F87D65"/>
    <w:rsid w:val="00F87DF6"/>
    <w:rsid w:val="00F87EFA"/>
    <w:rsid w:val="00F87F97"/>
    <w:rsid w:val="00F900BD"/>
    <w:rsid w:val="00F9019A"/>
    <w:rsid w:val="00F901CC"/>
    <w:rsid w:val="00F901D5"/>
    <w:rsid w:val="00F90262"/>
    <w:rsid w:val="00F903CF"/>
    <w:rsid w:val="00F90519"/>
    <w:rsid w:val="00F9072B"/>
    <w:rsid w:val="00F9074F"/>
    <w:rsid w:val="00F90751"/>
    <w:rsid w:val="00F9083E"/>
    <w:rsid w:val="00F90843"/>
    <w:rsid w:val="00F909B3"/>
    <w:rsid w:val="00F909FC"/>
    <w:rsid w:val="00F90BAC"/>
    <w:rsid w:val="00F90C3E"/>
    <w:rsid w:val="00F90CC3"/>
    <w:rsid w:val="00F90D38"/>
    <w:rsid w:val="00F90E5D"/>
    <w:rsid w:val="00F90FEB"/>
    <w:rsid w:val="00F91014"/>
    <w:rsid w:val="00F91026"/>
    <w:rsid w:val="00F91049"/>
    <w:rsid w:val="00F911B5"/>
    <w:rsid w:val="00F91207"/>
    <w:rsid w:val="00F91350"/>
    <w:rsid w:val="00F91388"/>
    <w:rsid w:val="00F9148E"/>
    <w:rsid w:val="00F9149A"/>
    <w:rsid w:val="00F91507"/>
    <w:rsid w:val="00F9158C"/>
    <w:rsid w:val="00F915AA"/>
    <w:rsid w:val="00F915F0"/>
    <w:rsid w:val="00F9179B"/>
    <w:rsid w:val="00F91873"/>
    <w:rsid w:val="00F918A3"/>
    <w:rsid w:val="00F91A39"/>
    <w:rsid w:val="00F91C54"/>
    <w:rsid w:val="00F91D75"/>
    <w:rsid w:val="00F91D9E"/>
    <w:rsid w:val="00F91E4E"/>
    <w:rsid w:val="00F91E53"/>
    <w:rsid w:val="00F91EC9"/>
    <w:rsid w:val="00F91EDF"/>
    <w:rsid w:val="00F91F46"/>
    <w:rsid w:val="00F91F5B"/>
    <w:rsid w:val="00F92007"/>
    <w:rsid w:val="00F9205A"/>
    <w:rsid w:val="00F92085"/>
    <w:rsid w:val="00F922CF"/>
    <w:rsid w:val="00F92354"/>
    <w:rsid w:val="00F923F9"/>
    <w:rsid w:val="00F92468"/>
    <w:rsid w:val="00F924D0"/>
    <w:rsid w:val="00F924D4"/>
    <w:rsid w:val="00F9258E"/>
    <w:rsid w:val="00F925F0"/>
    <w:rsid w:val="00F9266A"/>
    <w:rsid w:val="00F9267F"/>
    <w:rsid w:val="00F92754"/>
    <w:rsid w:val="00F927AB"/>
    <w:rsid w:val="00F927DD"/>
    <w:rsid w:val="00F92814"/>
    <w:rsid w:val="00F92939"/>
    <w:rsid w:val="00F92A30"/>
    <w:rsid w:val="00F92AFB"/>
    <w:rsid w:val="00F92B5D"/>
    <w:rsid w:val="00F92B68"/>
    <w:rsid w:val="00F92BDB"/>
    <w:rsid w:val="00F92D7C"/>
    <w:rsid w:val="00F92D9F"/>
    <w:rsid w:val="00F92EED"/>
    <w:rsid w:val="00F92F68"/>
    <w:rsid w:val="00F9309B"/>
    <w:rsid w:val="00F930B1"/>
    <w:rsid w:val="00F930C9"/>
    <w:rsid w:val="00F93171"/>
    <w:rsid w:val="00F93187"/>
    <w:rsid w:val="00F9320E"/>
    <w:rsid w:val="00F932D0"/>
    <w:rsid w:val="00F932EA"/>
    <w:rsid w:val="00F933C5"/>
    <w:rsid w:val="00F93627"/>
    <w:rsid w:val="00F93679"/>
    <w:rsid w:val="00F9370B"/>
    <w:rsid w:val="00F93807"/>
    <w:rsid w:val="00F938CF"/>
    <w:rsid w:val="00F938FB"/>
    <w:rsid w:val="00F93967"/>
    <w:rsid w:val="00F939B1"/>
    <w:rsid w:val="00F93AE9"/>
    <w:rsid w:val="00F93BBD"/>
    <w:rsid w:val="00F93BF5"/>
    <w:rsid w:val="00F93C24"/>
    <w:rsid w:val="00F93C9E"/>
    <w:rsid w:val="00F93CD0"/>
    <w:rsid w:val="00F93DB7"/>
    <w:rsid w:val="00F93E62"/>
    <w:rsid w:val="00F93E6C"/>
    <w:rsid w:val="00F93E70"/>
    <w:rsid w:val="00F93EC7"/>
    <w:rsid w:val="00F93ED1"/>
    <w:rsid w:val="00F93FAF"/>
    <w:rsid w:val="00F94025"/>
    <w:rsid w:val="00F94119"/>
    <w:rsid w:val="00F94135"/>
    <w:rsid w:val="00F94257"/>
    <w:rsid w:val="00F942D8"/>
    <w:rsid w:val="00F942E8"/>
    <w:rsid w:val="00F94474"/>
    <w:rsid w:val="00F944E6"/>
    <w:rsid w:val="00F9458E"/>
    <w:rsid w:val="00F9464C"/>
    <w:rsid w:val="00F946B5"/>
    <w:rsid w:val="00F947A5"/>
    <w:rsid w:val="00F94882"/>
    <w:rsid w:val="00F9489C"/>
    <w:rsid w:val="00F94917"/>
    <w:rsid w:val="00F94943"/>
    <w:rsid w:val="00F94A2D"/>
    <w:rsid w:val="00F94A4C"/>
    <w:rsid w:val="00F94A89"/>
    <w:rsid w:val="00F94B24"/>
    <w:rsid w:val="00F94B73"/>
    <w:rsid w:val="00F94BB4"/>
    <w:rsid w:val="00F94BC6"/>
    <w:rsid w:val="00F94CDD"/>
    <w:rsid w:val="00F94F42"/>
    <w:rsid w:val="00F94FDE"/>
    <w:rsid w:val="00F94FEB"/>
    <w:rsid w:val="00F9501A"/>
    <w:rsid w:val="00F950A1"/>
    <w:rsid w:val="00F950C6"/>
    <w:rsid w:val="00F9510A"/>
    <w:rsid w:val="00F9511C"/>
    <w:rsid w:val="00F951A1"/>
    <w:rsid w:val="00F951D4"/>
    <w:rsid w:val="00F9521C"/>
    <w:rsid w:val="00F95284"/>
    <w:rsid w:val="00F952F3"/>
    <w:rsid w:val="00F95399"/>
    <w:rsid w:val="00F95430"/>
    <w:rsid w:val="00F9544D"/>
    <w:rsid w:val="00F95692"/>
    <w:rsid w:val="00F956A6"/>
    <w:rsid w:val="00F956E6"/>
    <w:rsid w:val="00F95758"/>
    <w:rsid w:val="00F95874"/>
    <w:rsid w:val="00F958B5"/>
    <w:rsid w:val="00F958B8"/>
    <w:rsid w:val="00F95A25"/>
    <w:rsid w:val="00F95A7F"/>
    <w:rsid w:val="00F95B57"/>
    <w:rsid w:val="00F95BB1"/>
    <w:rsid w:val="00F95C61"/>
    <w:rsid w:val="00F95D19"/>
    <w:rsid w:val="00F95F12"/>
    <w:rsid w:val="00F95F9C"/>
    <w:rsid w:val="00F960C8"/>
    <w:rsid w:val="00F96334"/>
    <w:rsid w:val="00F96363"/>
    <w:rsid w:val="00F96430"/>
    <w:rsid w:val="00F96546"/>
    <w:rsid w:val="00F9657E"/>
    <w:rsid w:val="00F965B6"/>
    <w:rsid w:val="00F965D8"/>
    <w:rsid w:val="00F96603"/>
    <w:rsid w:val="00F966A3"/>
    <w:rsid w:val="00F96789"/>
    <w:rsid w:val="00F967E8"/>
    <w:rsid w:val="00F96813"/>
    <w:rsid w:val="00F96889"/>
    <w:rsid w:val="00F969DE"/>
    <w:rsid w:val="00F969FC"/>
    <w:rsid w:val="00F96A07"/>
    <w:rsid w:val="00F96AAA"/>
    <w:rsid w:val="00F96AC5"/>
    <w:rsid w:val="00F96AF8"/>
    <w:rsid w:val="00F96B28"/>
    <w:rsid w:val="00F96E28"/>
    <w:rsid w:val="00F96E34"/>
    <w:rsid w:val="00F96EC6"/>
    <w:rsid w:val="00F96FED"/>
    <w:rsid w:val="00F97013"/>
    <w:rsid w:val="00F97020"/>
    <w:rsid w:val="00F97101"/>
    <w:rsid w:val="00F97160"/>
    <w:rsid w:val="00F971B2"/>
    <w:rsid w:val="00F971EC"/>
    <w:rsid w:val="00F97282"/>
    <w:rsid w:val="00F972CD"/>
    <w:rsid w:val="00F972FC"/>
    <w:rsid w:val="00F973E4"/>
    <w:rsid w:val="00F974EF"/>
    <w:rsid w:val="00F97503"/>
    <w:rsid w:val="00F9758A"/>
    <w:rsid w:val="00F976AD"/>
    <w:rsid w:val="00F97858"/>
    <w:rsid w:val="00F97A56"/>
    <w:rsid w:val="00F97B4D"/>
    <w:rsid w:val="00F97C34"/>
    <w:rsid w:val="00F97CC6"/>
    <w:rsid w:val="00F97CDB"/>
    <w:rsid w:val="00F97D14"/>
    <w:rsid w:val="00F97D72"/>
    <w:rsid w:val="00F97FB4"/>
    <w:rsid w:val="00F97FDD"/>
    <w:rsid w:val="00FA000E"/>
    <w:rsid w:val="00FA01EF"/>
    <w:rsid w:val="00FA01FC"/>
    <w:rsid w:val="00FA032B"/>
    <w:rsid w:val="00FA03E5"/>
    <w:rsid w:val="00FA042C"/>
    <w:rsid w:val="00FA0454"/>
    <w:rsid w:val="00FA0469"/>
    <w:rsid w:val="00FA04FA"/>
    <w:rsid w:val="00FA052E"/>
    <w:rsid w:val="00FA0574"/>
    <w:rsid w:val="00FA05F2"/>
    <w:rsid w:val="00FA0622"/>
    <w:rsid w:val="00FA062B"/>
    <w:rsid w:val="00FA06F0"/>
    <w:rsid w:val="00FA06FF"/>
    <w:rsid w:val="00FA0800"/>
    <w:rsid w:val="00FA081F"/>
    <w:rsid w:val="00FA0868"/>
    <w:rsid w:val="00FA0A40"/>
    <w:rsid w:val="00FA0A7D"/>
    <w:rsid w:val="00FA0B10"/>
    <w:rsid w:val="00FA0C19"/>
    <w:rsid w:val="00FA0C44"/>
    <w:rsid w:val="00FA0CD7"/>
    <w:rsid w:val="00FA0E4E"/>
    <w:rsid w:val="00FA0F9E"/>
    <w:rsid w:val="00FA0FD2"/>
    <w:rsid w:val="00FA0FF7"/>
    <w:rsid w:val="00FA1006"/>
    <w:rsid w:val="00FA1036"/>
    <w:rsid w:val="00FA1052"/>
    <w:rsid w:val="00FA10A9"/>
    <w:rsid w:val="00FA11A5"/>
    <w:rsid w:val="00FA13AB"/>
    <w:rsid w:val="00FA13CE"/>
    <w:rsid w:val="00FA145D"/>
    <w:rsid w:val="00FA14C9"/>
    <w:rsid w:val="00FA162B"/>
    <w:rsid w:val="00FA167D"/>
    <w:rsid w:val="00FA182E"/>
    <w:rsid w:val="00FA196E"/>
    <w:rsid w:val="00FA1ABD"/>
    <w:rsid w:val="00FA1B0A"/>
    <w:rsid w:val="00FA1BB5"/>
    <w:rsid w:val="00FA1E3B"/>
    <w:rsid w:val="00FA1E8D"/>
    <w:rsid w:val="00FA1EA6"/>
    <w:rsid w:val="00FA1EFA"/>
    <w:rsid w:val="00FA1EFD"/>
    <w:rsid w:val="00FA2093"/>
    <w:rsid w:val="00FA20E3"/>
    <w:rsid w:val="00FA21AD"/>
    <w:rsid w:val="00FA21CB"/>
    <w:rsid w:val="00FA225F"/>
    <w:rsid w:val="00FA23F2"/>
    <w:rsid w:val="00FA251C"/>
    <w:rsid w:val="00FA254A"/>
    <w:rsid w:val="00FA265D"/>
    <w:rsid w:val="00FA2711"/>
    <w:rsid w:val="00FA277E"/>
    <w:rsid w:val="00FA279C"/>
    <w:rsid w:val="00FA28F6"/>
    <w:rsid w:val="00FA291B"/>
    <w:rsid w:val="00FA29B9"/>
    <w:rsid w:val="00FA2BE6"/>
    <w:rsid w:val="00FA2D18"/>
    <w:rsid w:val="00FA2DDE"/>
    <w:rsid w:val="00FA2DED"/>
    <w:rsid w:val="00FA2E3F"/>
    <w:rsid w:val="00FA2EBC"/>
    <w:rsid w:val="00FA2F39"/>
    <w:rsid w:val="00FA2F87"/>
    <w:rsid w:val="00FA3059"/>
    <w:rsid w:val="00FA3105"/>
    <w:rsid w:val="00FA311A"/>
    <w:rsid w:val="00FA3137"/>
    <w:rsid w:val="00FA31C7"/>
    <w:rsid w:val="00FA31E0"/>
    <w:rsid w:val="00FA34CA"/>
    <w:rsid w:val="00FA3528"/>
    <w:rsid w:val="00FA3552"/>
    <w:rsid w:val="00FA3602"/>
    <w:rsid w:val="00FA364C"/>
    <w:rsid w:val="00FA3650"/>
    <w:rsid w:val="00FA3691"/>
    <w:rsid w:val="00FA3721"/>
    <w:rsid w:val="00FA394C"/>
    <w:rsid w:val="00FA3A4A"/>
    <w:rsid w:val="00FA3A53"/>
    <w:rsid w:val="00FA3B84"/>
    <w:rsid w:val="00FA3BE6"/>
    <w:rsid w:val="00FA3C81"/>
    <w:rsid w:val="00FA3C91"/>
    <w:rsid w:val="00FA3CCB"/>
    <w:rsid w:val="00FA3DF4"/>
    <w:rsid w:val="00FA3E63"/>
    <w:rsid w:val="00FA40A8"/>
    <w:rsid w:val="00FA4230"/>
    <w:rsid w:val="00FA4318"/>
    <w:rsid w:val="00FA4387"/>
    <w:rsid w:val="00FA4404"/>
    <w:rsid w:val="00FA4472"/>
    <w:rsid w:val="00FA45B1"/>
    <w:rsid w:val="00FA46D9"/>
    <w:rsid w:val="00FA46F8"/>
    <w:rsid w:val="00FA4719"/>
    <w:rsid w:val="00FA485F"/>
    <w:rsid w:val="00FA48A0"/>
    <w:rsid w:val="00FA48B0"/>
    <w:rsid w:val="00FA48F9"/>
    <w:rsid w:val="00FA496A"/>
    <w:rsid w:val="00FA49CC"/>
    <w:rsid w:val="00FA4A00"/>
    <w:rsid w:val="00FA4A5B"/>
    <w:rsid w:val="00FA4A90"/>
    <w:rsid w:val="00FA4AD9"/>
    <w:rsid w:val="00FA4B20"/>
    <w:rsid w:val="00FA4BEA"/>
    <w:rsid w:val="00FA4CB9"/>
    <w:rsid w:val="00FA4D4C"/>
    <w:rsid w:val="00FA4D51"/>
    <w:rsid w:val="00FA4F4A"/>
    <w:rsid w:val="00FA4F85"/>
    <w:rsid w:val="00FA4FDE"/>
    <w:rsid w:val="00FA500C"/>
    <w:rsid w:val="00FA5010"/>
    <w:rsid w:val="00FA513D"/>
    <w:rsid w:val="00FA5190"/>
    <w:rsid w:val="00FA538E"/>
    <w:rsid w:val="00FA53C4"/>
    <w:rsid w:val="00FA53D1"/>
    <w:rsid w:val="00FA53E3"/>
    <w:rsid w:val="00FA5494"/>
    <w:rsid w:val="00FA5644"/>
    <w:rsid w:val="00FA570A"/>
    <w:rsid w:val="00FA57C5"/>
    <w:rsid w:val="00FA583D"/>
    <w:rsid w:val="00FA586F"/>
    <w:rsid w:val="00FA58C3"/>
    <w:rsid w:val="00FA58FC"/>
    <w:rsid w:val="00FA593A"/>
    <w:rsid w:val="00FA59B1"/>
    <w:rsid w:val="00FA59EA"/>
    <w:rsid w:val="00FA5A30"/>
    <w:rsid w:val="00FA5AB5"/>
    <w:rsid w:val="00FA5AC3"/>
    <w:rsid w:val="00FA5B6C"/>
    <w:rsid w:val="00FA5C46"/>
    <w:rsid w:val="00FA5C64"/>
    <w:rsid w:val="00FA5D35"/>
    <w:rsid w:val="00FA5E61"/>
    <w:rsid w:val="00FA5EBB"/>
    <w:rsid w:val="00FA5EE1"/>
    <w:rsid w:val="00FA5EFE"/>
    <w:rsid w:val="00FA5F22"/>
    <w:rsid w:val="00FA6057"/>
    <w:rsid w:val="00FA60A3"/>
    <w:rsid w:val="00FA60A9"/>
    <w:rsid w:val="00FA61DD"/>
    <w:rsid w:val="00FA632A"/>
    <w:rsid w:val="00FA6442"/>
    <w:rsid w:val="00FA64D7"/>
    <w:rsid w:val="00FA6572"/>
    <w:rsid w:val="00FA6603"/>
    <w:rsid w:val="00FA662D"/>
    <w:rsid w:val="00FA666C"/>
    <w:rsid w:val="00FA6742"/>
    <w:rsid w:val="00FA6761"/>
    <w:rsid w:val="00FA6772"/>
    <w:rsid w:val="00FA6964"/>
    <w:rsid w:val="00FA69CE"/>
    <w:rsid w:val="00FA6A6E"/>
    <w:rsid w:val="00FA6B75"/>
    <w:rsid w:val="00FA6BB4"/>
    <w:rsid w:val="00FA6BD3"/>
    <w:rsid w:val="00FA6D3D"/>
    <w:rsid w:val="00FA6E08"/>
    <w:rsid w:val="00FA6E68"/>
    <w:rsid w:val="00FA6E88"/>
    <w:rsid w:val="00FA6FEA"/>
    <w:rsid w:val="00FA7142"/>
    <w:rsid w:val="00FA71A7"/>
    <w:rsid w:val="00FA723F"/>
    <w:rsid w:val="00FA7252"/>
    <w:rsid w:val="00FA7345"/>
    <w:rsid w:val="00FA7370"/>
    <w:rsid w:val="00FA73A5"/>
    <w:rsid w:val="00FA73C4"/>
    <w:rsid w:val="00FA7485"/>
    <w:rsid w:val="00FA7509"/>
    <w:rsid w:val="00FA7576"/>
    <w:rsid w:val="00FA75A3"/>
    <w:rsid w:val="00FA75D1"/>
    <w:rsid w:val="00FA75ED"/>
    <w:rsid w:val="00FA7624"/>
    <w:rsid w:val="00FA766B"/>
    <w:rsid w:val="00FA7670"/>
    <w:rsid w:val="00FA779E"/>
    <w:rsid w:val="00FA77EA"/>
    <w:rsid w:val="00FA780B"/>
    <w:rsid w:val="00FA7817"/>
    <w:rsid w:val="00FA7906"/>
    <w:rsid w:val="00FA794F"/>
    <w:rsid w:val="00FA79CC"/>
    <w:rsid w:val="00FA7A23"/>
    <w:rsid w:val="00FA7C39"/>
    <w:rsid w:val="00FA7C85"/>
    <w:rsid w:val="00FA7C9F"/>
    <w:rsid w:val="00FA7D04"/>
    <w:rsid w:val="00FA7E23"/>
    <w:rsid w:val="00FA7E76"/>
    <w:rsid w:val="00FA7F45"/>
    <w:rsid w:val="00FA7F83"/>
    <w:rsid w:val="00FA7FF1"/>
    <w:rsid w:val="00FB0098"/>
    <w:rsid w:val="00FB012E"/>
    <w:rsid w:val="00FB0144"/>
    <w:rsid w:val="00FB021F"/>
    <w:rsid w:val="00FB0269"/>
    <w:rsid w:val="00FB02BA"/>
    <w:rsid w:val="00FB02C8"/>
    <w:rsid w:val="00FB0420"/>
    <w:rsid w:val="00FB043D"/>
    <w:rsid w:val="00FB0476"/>
    <w:rsid w:val="00FB0527"/>
    <w:rsid w:val="00FB059B"/>
    <w:rsid w:val="00FB059F"/>
    <w:rsid w:val="00FB060F"/>
    <w:rsid w:val="00FB079F"/>
    <w:rsid w:val="00FB0828"/>
    <w:rsid w:val="00FB0872"/>
    <w:rsid w:val="00FB08A8"/>
    <w:rsid w:val="00FB0945"/>
    <w:rsid w:val="00FB0954"/>
    <w:rsid w:val="00FB099F"/>
    <w:rsid w:val="00FB09C7"/>
    <w:rsid w:val="00FB09F7"/>
    <w:rsid w:val="00FB0A52"/>
    <w:rsid w:val="00FB0AC9"/>
    <w:rsid w:val="00FB0CA6"/>
    <w:rsid w:val="00FB0D32"/>
    <w:rsid w:val="00FB0D42"/>
    <w:rsid w:val="00FB0EEF"/>
    <w:rsid w:val="00FB0FCF"/>
    <w:rsid w:val="00FB1096"/>
    <w:rsid w:val="00FB1139"/>
    <w:rsid w:val="00FB11DF"/>
    <w:rsid w:val="00FB1246"/>
    <w:rsid w:val="00FB1269"/>
    <w:rsid w:val="00FB12D0"/>
    <w:rsid w:val="00FB136D"/>
    <w:rsid w:val="00FB13FA"/>
    <w:rsid w:val="00FB14A4"/>
    <w:rsid w:val="00FB14D7"/>
    <w:rsid w:val="00FB14DA"/>
    <w:rsid w:val="00FB1608"/>
    <w:rsid w:val="00FB1709"/>
    <w:rsid w:val="00FB188D"/>
    <w:rsid w:val="00FB18D1"/>
    <w:rsid w:val="00FB18D5"/>
    <w:rsid w:val="00FB18ED"/>
    <w:rsid w:val="00FB1A41"/>
    <w:rsid w:val="00FB1ADC"/>
    <w:rsid w:val="00FB1B67"/>
    <w:rsid w:val="00FB1C01"/>
    <w:rsid w:val="00FB1C48"/>
    <w:rsid w:val="00FB1CC6"/>
    <w:rsid w:val="00FB1CE0"/>
    <w:rsid w:val="00FB1CFE"/>
    <w:rsid w:val="00FB1D53"/>
    <w:rsid w:val="00FB1D8B"/>
    <w:rsid w:val="00FB1E6D"/>
    <w:rsid w:val="00FB1F21"/>
    <w:rsid w:val="00FB1F9F"/>
    <w:rsid w:val="00FB1FB0"/>
    <w:rsid w:val="00FB211D"/>
    <w:rsid w:val="00FB2161"/>
    <w:rsid w:val="00FB21B3"/>
    <w:rsid w:val="00FB21F1"/>
    <w:rsid w:val="00FB2259"/>
    <w:rsid w:val="00FB22A0"/>
    <w:rsid w:val="00FB22B1"/>
    <w:rsid w:val="00FB22FF"/>
    <w:rsid w:val="00FB2354"/>
    <w:rsid w:val="00FB24A9"/>
    <w:rsid w:val="00FB259A"/>
    <w:rsid w:val="00FB259D"/>
    <w:rsid w:val="00FB26AB"/>
    <w:rsid w:val="00FB26C4"/>
    <w:rsid w:val="00FB26FD"/>
    <w:rsid w:val="00FB27FA"/>
    <w:rsid w:val="00FB2861"/>
    <w:rsid w:val="00FB2A3E"/>
    <w:rsid w:val="00FB2AAF"/>
    <w:rsid w:val="00FB2AF3"/>
    <w:rsid w:val="00FB2B43"/>
    <w:rsid w:val="00FB2B75"/>
    <w:rsid w:val="00FB2C67"/>
    <w:rsid w:val="00FB2D49"/>
    <w:rsid w:val="00FB2D56"/>
    <w:rsid w:val="00FB2E3C"/>
    <w:rsid w:val="00FB2EB3"/>
    <w:rsid w:val="00FB2F1F"/>
    <w:rsid w:val="00FB31CD"/>
    <w:rsid w:val="00FB3221"/>
    <w:rsid w:val="00FB3309"/>
    <w:rsid w:val="00FB344A"/>
    <w:rsid w:val="00FB3481"/>
    <w:rsid w:val="00FB3638"/>
    <w:rsid w:val="00FB37F9"/>
    <w:rsid w:val="00FB37FB"/>
    <w:rsid w:val="00FB393E"/>
    <w:rsid w:val="00FB39E2"/>
    <w:rsid w:val="00FB3A67"/>
    <w:rsid w:val="00FB3A6A"/>
    <w:rsid w:val="00FB3B2F"/>
    <w:rsid w:val="00FB3B3C"/>
    <w:rsid w:val="00FB3C6D"/>
    <w:rsid w:val="00FB3E2D"/>
    <w:rsid w:val="00FB3E6A"/>
    <w:rsid w:val="00FB3EA3"/>
    <w:rsid w:val="00FB3EFD"/>
    <w:rsid w:val="00FB3F75"/>
    <w:rsid w:val="00FB434E"/>
    <w:rsid w:val="00FB43A3"/>
    <w:rsid w:val="00FB4448"/>
    <w:rsid w:val="00FB44D4"/>
    <w:rsid w:val="00FB4518"/>
    <w:rsid w:val="00FB4580"/>
    <w:rsid w:val="00FB460B"/>
    <w:rsid w:val="00FB4696"/>
    <w:rsid w:val="00FB46AE"/>
    <w:rsid w:val="00FB46B5"/>
    <w:rsid w:val="00FB46F8"/>
    <w:rsid w:val="00FB47F1"/>
    <w:rsid w:val="00FB4974"/>
    <w:rsid w:val="00FB49E1"/>
    <w:rsid w:val="00FB4AF6"/>
    <w:rsid w:val="00FB4B01"/>
    <w:rsid w:val="00FB4BA7"/>
    <w:rsid w:val="00FB4BF6"/>
    <w:rsid w:val="00FB4C01"/>
    <w:rsid w:val="00FB4C59"/>
    <w:rsid w:val="00FB4C6F"/>
    <w:rsid w:val="00FB4D0F"/>
    <w:rsid w:val="00FB4D24"/>
    <w:rsid w:val="00FB4E0C"/>
    <w:rsid w:val="00FB4E2C"/>
    <w:rsid w:val="00FB4E6F"/>
    <w:rsid w:val="00FB4F14"/>
    <w:rsid w:val="00FB50A4"/>
    <w:rsid w:val="00FB50A5"/>
    <w:rsid w:val="00FB50E9"/>
    <w:rsid w:val="00FB5330"/>
    <w:rsid w:val="00FB566B"/>
    <w:rsid w:val="00FB57CB"/>
    <w:rsid w:val="00FB57F4"/>
    <w:rsid w:val="00FB58C5"/>
    <w:rsid w:val="00FB5932"/>
    <w:rsid w:val="00FB5B4C"/>
    <w:rsid w:val="00FB5BFE"/>
    <w:rsid w:val="00FB5C3E"/>
    <w:rsid w:val="00FB5C7A"/>
    <w:rsid w:val="00FB5CA0"/>
    <w:rsid w:val="00FB5D0E"/>
    <w:rsid w:val="00FB5D23"/>
    <w:rsid w:val="00FB5DC8"/>
    <w:rsid w:val="00FB5EC4"/>
    <w:rsid w:val="00FB5EE3"/>
    <w:rsid w:val="00FB5F24"/>
    <w:rsid w:val="00FB5F5A"/>
    <w:rsid w:val="00FB5FC6"/>
    <w:rsid w:val="00FB6026"/>
    <w:rsid w:val="00FB6030"/>
    <w:rsid w:val="00FB6043"/>
    <w:rsid w:val="00FB610F"/>
    <w:rsid w:val="00FB61ED"/>
    <w:rsid w:val="00FB62A9"/>
    <w:rsid w:val="00FB62FC"/>
    <w:rsid w:val="00FB631B"/>
    <w:rsid w:val="00FB6330"/>
    <w:rsid w:val="00FB6423"/>
    <w:rsid w:val="00FB6440"/>
    <w:rsid w:val="00FB6492"/>
    <w:rsid w:val="00FB6530"/>
    <w:rsid w:val="00FB657C"/>
    <w:rsid w:val="00FB67AA"/>
    <w:rsid w:val="00FB6815"/>
    <w:rsid w:val="00FB6890"/>
    <w:rsid w:val="00FB691C"/>
    <w:rsid w:val="00FB6970"/>
    <w:rsid w:val="00FB69A5"/>
    <w:rsid w:val="00FB6A08"/>
    <w:rsid w:val="00FB6A9D"/>
    <w:rsid w:val="00FB6AAE"/>
    <w:rsid w:val="00FB6AD6"/>
    <w:rsid w:val="00FB6B74"/>
    <w:rsid w:val="00FB6C39"/>
    <w:rsid w:val="00FB6C4A"/>
    <w:rsid w:val="00FB6CBA"/>
    <w:rsid w:val="00FB6DAD"/>
    <w:rsid w:val="00FB6E25"/>
    <w:rsid w:val="00FB6E94"/>
    <w:rsid w:val="00FB6FF5"/>
    <w:rsid w:val="00FB7063"/>
    <w:rsid w:val="00FB7156"/>
    <w:rsid w:val="00FB728D"/>
    <w:rsid w:val="00FB72B8"/>
    <w:rsid w:val="00FB73EF"/>
    <w:rsid w:val="00FB74FA"/>
    <w:rsid w:val="00FB7507"/>
    <w:rsid w:val="00FB7520"/>
    <w:rsid w:val="00FB75E7"/>
    <w:rsid w:val="00FB7672"/>
    <w:rsid w:val="00FB77B2"/>
    <w:rsid w:val="00FB7823"/>
    <w:rsid w:val="00FB78F3"/>
    <w:rsid w:val="00FB790C"/>
    <w:rsid w:val="00FB7999"/>
    <w:rsid w:val="00FB7AC7"/>
    <w:rsid w:val="00FB7B37"/>
    <w:rsid w:val="00FB7B84"/>
    <w:rsid w:val="00FB7BA3"/>
    <w:rsid w:val="00FB7C19"/>
    <w:rsid w:val="00FB7D82"/>
    <w:rsid w:val="00FB7E08"/>
    <w:rsid w:val="00FB7E88"/>
    <w:rsid w:val="00FB7FE5"/>
    <w:rsid w:val="00FC0034"/>
    <w:rsid w:val="00FC0116"/>
    <w:rsid w:val="00FC023B"/>
    <w:rsid w:val="00FC0249"/>
    <w:rsid w:val="00FC0433"/>
    <w:rsid w:val="00FC04A7"/>
    <w:rsid w:val="00FC05EB"/>
    <w:rsid w:val="00FC05EF"/>
    <w:rsid w:val="00FC0702"/>
    <w:rsid w:val="00FC072A"/>
    <w:rsid w:val="00FC078E"/>
    <w:rsid w:val="00FC079A"/>
    <w:rsid w:val="00FC0848"/>
    <w:rsid w:val="00FC0A33"/>
    <w:rsid w:val="00FC0BB1"/>
    <w:rsid w:val="00FC0BF1"/>
    <w:rsid w:val="00FC0EBB"/>
    <w:rsid w:val="00FC0F1E"/>
    <w:rsid w:val="00FC109C"/>
    <w:rsid w:val="00FC1116"/>
    <w:rsid w:val="00FC115E"/>
    <w:rsid w:val="00FC11B8"/>
    <w:rsid w:val="00FC1372"/>
    <w:rsid w:val="00FC13EF"/>
    <w:rsid w:val="00FC145E"/>
    <w:rsid w:val="00FC14F0"/>
    <w:rsid w:val="00FC163F"/>
    <w:rsid w:val="00FC169C"/>
    <w:rsid w:val="00FC16F4"/>
    <w:rsid w:val="00FC1764"/>
    <w:rsid w:val="00FC1772"/>
    <w:rsid w:val="00FC17BC"/>
    <w:rsid w:val="00FC18A9"/>
    <w:rsid w:val="00FC18B6"/>
    <w:rsid w:val="00FC19EE"/>
    <w:rsid w:val="00FC1A69"/>
    <w:rsid w:val="00FC1AAC"/>
    <w:rsid w:val="00FC1AD5"/>
    <w:rsid w:val="00FC1AF7"/>
    <w:rsid w:val="00FC1C9C"/>
    <w:rsid w:val="00FC1D1E"/>
    <w:rsid w:val="00FC1DA9"/>
    <w:rsid w:val="00FC1F19"/>
    <w:rsid w:val="00FC1FFA"/>
    <w:rsid w:val="00FC213A"/>
    <w:rsid w:val="00FC21F4"/>
    <w:rsid w:val="00FC23FC"/>
    <w:rsid w:val="00FC2471"/>
    <w:rsid w:val="00FC2489"/>
    <w:rsid w:val="00FC24B2"/>
    <w:rsid w:val="00FC24C4"/>
    <w:rsid w:val="00FC24F2"/>
    <w:rsid w:val="00FC24F4"/>
    <w:rsid w:val="00FC2585"/>
    <w:rsid w:val="00FC25DF"/>
    <w:rsid w:val="00FC25FA"/>
    <w:rsid w:val="00FC2674"/>
    <w:rsid w:val="00FC268B"/>
    <w:rsid w:val="00FC26DD"/>
    <w:rsid w:val="00FC26FB"/>
    <w:rsid w:val="00FC276D"/>
    <w:rsid w:val="00FC277A"/>
    <w:rsid w:val="00FC2860"/>
    <w:rsid w:val="00FC28F2"/>
    <w:rsid w:val="00FC2BC8"/>
    <w:rsid w:val="00FC2C33"/>
    <w:rsid w:val="00FC2D23"/>
    <w:rsid w:val="00FC2D98"/>
    <w:rsid w:val="00FC2EE1"/>
    <w:rsid w:val="00FC2EFD"/>
    <w:rsid w:val="00FC2FC8"/>
    <w:rsid w:val="00FC329F"/>
    <w:rsid w:val="00FC330C"/>
    <w:rsid w:val="00FC3366"/>
    <w:rsid w:val="00FC336E"/>
    <w:rsid w:val="00FC33A8"/>
    <w:rsid w:val="00FC33CD"/>
    <w:rsid w:val="00FC342C"/>
    <w:rsid w:val="00FC344A"/>
    <w:rsid w:val="00FC3561"/>
    <w:rsid w:val="00FC36E4"/>
    <w:rsid w:val="00FC3750"/>
    <w:rsid w:val="00FC37D0"/>
    <w:rsid w:val="00FC3B20"/>
    <w:rsid w:val="00FC3BD7"/>
    <w:rsid w:val="00FC3C4C"/>
    <w:rsid w:val="00FC3C4D"/>
    <w:rsid w:val="00FC3C5B"/>
    <w:rsid w:val="00FC3CA0"/>
    <w:rsid w:val="00FC3DBD"/>
    <w:rsid w:val="00FC3E5A"/>
    <w:rsid w:val="00FC3F15"/>
    <w:rsid w:val="00FC3F28"/>
    <w:rsid w:val="00FC3F8D"/>
    <w:rsid w:val="00FC4099"/>
    <w:rsid w:val="00FC40B0"/>
    <w:rsid w:val="00FC424F"/>
    <w:rsid w:val="00FC4270"/>
    <w:rsid w:val="00FC429C"/>
    <w:rsid w:val="00FC42C3"/>
    <w:rsid w:val="00FC4321"/>
    <w:rsid w:val="00FC43DB"/>
    <w:rsid w:val="00FC4406"/>
    <w:rsid w:val="00FC446F"/>
    <w:rsid w:val="00FC4754"/>
    <w:rsid w:val="00FC4771"/>
    <w:rsid w:val="00FC4976"/>
    <w:rsid w:val="00FC49E6"/>
    <w:rsid w:val="00FC4A74"/>
    <w:rsid w:val="00FC4A7E"/>
    <w:rsid w:val="00FC4C7F"/>
    <w:rsid w:val="00FC4CDF"/>
    <w:rsid w:val="00FC4D01"/>
    <w:rsid w:val="00FC4DB1"/>
    <w:rsid w:val="00FC4DC7"/>
    <w:rsid w:val="00FC4DD6"/>
    <w:rsid w:val="00FC4EA5"/>
    <w:rsid w:val="00FC4F2E"/>
    <w:rsid w:val="00FC4FCF"/>
    <w:rsid w:val="00FC5011"/>
    <w:rsid w:val="00FC5096"/>
    <w:rsid w:val="00FC50A1"/>
    <w:rsid w:val="00FC50BC"/>
    <w:rsid w:val="00FC50F1"/>
    <w:rsid w:val="00FC5142"/>
    <w:rsid w:val="00FC51A4"/>
    <w:rsid w:val="00FC520D"/>
    <w:rsid w:val="00FC53D5"/>
    <w:rsid w:val="00FC5490"/>
    <w:rsid w:val="00FC55C4"/>
    <w:rsid w:val="00FC55CA"/>
    <w:rsid w:val="00FC561C"/>
    <w:rsid w:val="00FC564D"/>
    <w:rsid w:val="00FC592D"/>
    <w:rsid w:val="00FC598E"/>
    <w:rsid w:val="00FC5A71"/>
    <w:rsid w:val="00FC5A75"/>
    <w:rsid w:val="00FC5BB2"/>
    <w:rsid w:val="00FC5E6A"/>
    <w:rsid w:val="00FC5E6D"/>
    <w:rsid w:val="00FC5ECD"/>
    <w:rsid w:val="00FC5EE4"/>
    <w:rsid w:val="00FC5F98"/>
    <w:rsid w:val="00FC5FCC"/>
    <w:rsid w:val="00FC6000"/>
    <w:rsid w:val="00FC6017"/>
    <w:rsid w:val="00FC601D"/>
    <w:rsid w:val="00FC6070"/>
    <w:rsid w:val="00FC60D1"/>
    <w:rsid w:val="00FC615A"/>
    <w:rsid w:val="00FC6170"/>
    <w:rsid w:val="00FC61A5"/>
    <w:rsid w:val="00FC6232"/>
    <w:rsid w:val="00FC63BD"/>
    <w:rsid w:val="00FC63C5"/>
    <w:rsid w:val="00FC6463"/>
    <w:rsid w:val="00FC6471"/>
    <w:rsid w:val="00FC6616"/>
    <w:rsid w:val="00FC669B"/>
    <w:rsid w:val="00FC6758"/>
    <w:rsid w:val="00FC675A"/>
    <w:rsid w:val="00FC6765"/>
    <w:rsid w:val="00FC6963"/>
    <w:rsid w:val="00FC6B40"/>
    <w:rsid w:val="00FC6B75"/>
    <w:rsid w:val="00FC6DD6"/>
    <w:rsid w:val="00FC6DDB"/>
    <w:rsid w:val="00FC6E67"/>
    <w:rsid w:val="00FC6F07"/>
    <w:rsid w:val="00FC6F62"/>
    <w:rsid w:val="00FC7142"/>
    <w:rsid w:val="00FC716C"/>
    <w:rsid w:val="00FC71C6"/>
    <w:rsid w:val="00FC72CE"/>
    <w:rsid w:val="00FC72DD"/>
    <w:rsid w:val="00FC7397"/>
    <w:rsid w:val="00FC73D6"/>
    <w:rsid w:val="00FC74BA"/>
    <w:rsid w:val="00FC7532"/>
    <w:rsid w:val="00FC7625"/>
    <w:rsid w:val="00FC768E"/>
    <w:rsid w:val="00FC76D8"/>
    <w:rsid w:val="00FC76E7"/>
    <w:rsid w:val="00FC7717"/>
    <w:rsid w:val="00FC775D"/>
    <w:rsid w:val="00FC7A01"/>
    <w:rsid w:val="00FC7A2D"/>
    <w:rsid w:val="00FC7AEE"/>
    <w:rsid w:val="00FC7B59"/>
    <w:rsid w:val="00FC7DD1"/>
    <w:rsid w:val="00FC7E5A"/>
    <w:rsid w:val="00FC7F8B"/>
    <w:rsid w:val="00FD0059"/>
    <w:rsid w:val="00FD0163"/>
    <w:rsid w:val="00FD0322"/>
    <w:rsid w:val="00FD03DB"/>
    <w:rsid w:val="00FD0524"/>
    <w:rsid w:val="00FD0584"/>
    <w:rsid w:val="00FD06A7"/>
    <w:rsid w:val="00FD07FD"/>
    <w:rsid w:val="00FD0925"/>
    <w:rsid w:val="00FD096F"/>
    <w:rsid w:val="00FD0A24"/>
    <w:rsid w:val="00FD0A28"/>
    <w:rsid w:val="00FD0A6C"/>
    <w:rsid w:val="00FD0AD8"/>
    <w:rsid w:val="00FD0BC6"/>
    <w:rsid w:val="00FD0CA1"/>
    <w:rsid w:val="00FD0CA8"/>
    <w:rsid w:val="00FD0CBD"/>
    <w:rsid w:val="00FD0E47"/>
    <w:rsid w:val="00FD0EA1"/>
    <w:rsid w:val="00FD0FC9"/>
    <w:rsid w:val="00FD105C"/>
    <w:rsid w:val="00FD1148"/>
    <w:rsid w:val="00FD11FA"/>
    <w:rsid w:val="00FD13F7"/>
    <w:rsid w:val="00FD1556"/>
    <w:rsid w:val="00FD1686"/>
    <w:rsid w:val="00FD1693"/>
    <w:rsid w:val="00FD1697"/>
    <w:rsid w:val="00FD16CC"/>
    <w:rsid w:val="00FD17E1"/>
    <w:rsid w:val="00FD1853"/>
    <w:rsid w:val="00FD1A34"/>
    <w:rsid w:val="00FD1AF2"/>
    <w:rsid w:val="00FD1AF7"/>
    <w:rsid w:val="00FD1B01"/>
    <w:rsid w:val="00FD1B95"/>
    <w:rsid w:val="00FD1C73"/>
    <w:rsid w:val="00FD1CCC"/>
    <w:rsid w:val="00FD1D37"/>
    <w:rsid w:val="00FD1DFC"/>
    <w:rsid w:val="00FD1E38"/>
    <w:rsid w:val="00FD1E85"/>
    <w:rsid w:val="00FD1EAA"/>
    <w:rsid w:val="00FD1F7E"/>
    <w:rsid w:val="00FD203D"/>
    <w:rsid w:val="00FD2133"/>
    <w:rsid w:val="00FD216B"/>
    <w:rsid w:val="00FD21A1"/>
    <w:rsid w:val="00FD2298"/>
    <w:rsid w:val="00FD22F5"/>
    <w:rsid w:val="00FD2348"/>
    <w:rsid w:val="00FD237C"/>
    <w:rsid w:val="00FD23A5"/>
    <w:rsid w:val="00FD2427"/>
    <w:rsid w:val="00FD2513"/>
    <w:rsid w:val="00FD26AD"/>
    <w:rsid w:val="00FD2704"/>
    <w:rsid w:val="00FD2792"/>
    <w:rsid w:val="00FD28DD"/>
    <w:rsid w:val="00FD2AA3"/>
    <w:rsid w:val="00FD2AD4"/>
    <w:rsid w:val="00FD2AE4"/>
    <w:rsid w:val="00FD2B13"/>
    <w:rsid w:val="00FD2B52"/>
    <w:rsid w:val="00FD2B78"/>
    <w:rsid w:val="00FD2C0B"/>
    <w:rsid w:val="00FD2D1D"/>
    <w:rsid w:val="00FD2D97"/>
    <w:rsid w:val="00FD30F2"/>
    <w:rsid w:val="00FD3246"/>
    <w:rsid w:val="00FD3258"/>
    <w:rsid w:val="00FD32A0"/>
    <w:rsid w:val="00FD331C"/>
    <w:rsid w:val="00FD333D"/>
    <w:rsid w:val="00FD336C"/>
    <w:rsid w:val="00FD338F"/>
    <w:rsid w:val="00FD33E2"/>
    <w:rsid w:val="00FD3436"/>
    <w:rsid w:val="00FD34C4"/>
    <w:rsid w:val="00FD34D7"/>
    <w:rsid w:val="00FD37BE"/>
    <w:rsid w:val="00FD383B"/>
    <w:rsid w:val="00FD3872"/>
    <w:rsid w:val="00FD3AC5"/>
    <w:rsid w:val="00FD3B0F"/>
    <w:rsid w:val="00FD3D14"/>
    <w:rsid w:val="00FD3E16"/>
    <w:rsid w:val="00FD4011"/>
    <w:rsid w:val="00FD4012"/>
    <w:rsid w:val="00FD4155"/>
    <w:rsid w:val="00FD41C5"/>
    <w:rsid w:val="00FD41D5"/>
    <w:rsid w:val="00FD4219"/>
    <w:rsid w:val="00FD434D"/>
    <w:rsid w:val="00FD4607"/>
    <w:rsid w:val="00FD4610"/>
    <w:rsid w:val="00FD46C6"/>
    <w:rsid w:val="00FD484C"/>
    <w:rsid w:val="00FD4859"/>
    <w:rsid w:val="00FD4881"/>
    <w:rsid w:val="00FD48B7"/>
    <w:rsid w:val="00FD49C5"/>
    <w:rsid w:val="00FD49D5"/>
    <w:rsid w:val="00FD4A35"/>
    <w:rsid w:val="00FD4A4A"/>
    <w:rsid w:val="00FD4A6B"/>
    <w:rsid w:val="00FD4AB5"/>
    <w:rsid w:val="00FD4ADD"/>
    <w:rsid w:val="00FD4B81"/>
    <w:rsid w:val="00FD4BA4"/>
    <w:rsid w:val="00FD4BA9"/>
    <w:rsid w:val="00FD4DFD"/>
    <w:rsid w:val="00FD4EC8"/>
    <w:rsid w:val="00FD4F2A"/>
    <w:rsid w:val="00FD5042"/>
    <w:rsid w:val="00FD5089"/>
    <w:rsid w:val="00FD50DD"/>
    <w:rsid w:val="00FD50F1"/>
    <w:rsid w:val="00FD512D"/>
    <w:rsid w:val="00FD5195"/>
    <w:rsid w:val="00FD51DC"/>
    <w:rsid w:val="00FD535D"/>
    <w:rsid w:val="00FD53FC"/>
    <w:rsid w:val="00FD5428"/>
    <w:rsid w:val="00FD5495"/>
    <w:rsid w:val="00FD569C"/>
    <w:rsid w:val="00FD56B6"/>
    <w:rsid w:val="00FD584E"/>
    <w:rsid w:val="00FD58CB"/>
    <w:rsid w:val="00FD59E2"/>
    <w:rsid w:val="00FD5A1C"/>
    <w:rsid w:val="00FD5A8D"/>
    <w:rsid w:val="00FD5B4B"/>
    <w:rsid w:val="00FD5C5B"/>
    <w:rsid w:val="00FD5E1E"/>
    <w:rsid w:val="00FD5E83"/>
    <w:rsid w:val="00FD5FBC"/>
    <w:rsid w:val="00FD61CC"/>
    <w:rsid w:val="00FD6261"/>
    <w:rsid w:val="00FD633A"/>
    <w:rsid w:val="00FD6352"/>
    <w:rsid w:val="00FD652C"/>
    <w:rsid w:val="00FD6661"/>
    <w:rsid w:val="00FD670D"/>
    <w:rsid w:val="00FD673F"/>
    <w:rsid w:val="00FD67F4"/>
    <w:rsid w:val="00FD6817"/>
    <w:rsid w:val="00FD690F"/>
    <w:rsid w:val="00FD696E"/>
    <w:rsid w:val="00FD6991"/>
    <w:rsid w:val="00FD6A5B"/>
    <w:rsid w:val="00FD6A6D"/>
    <w:rsid w:val="00FD6A98"/>
    <w:rsid w:val="00FD6B6A"/>
    <w:rsid w:val="00FD6BA1"/>
    <w:rsid w:val="00FD6BBB"/>
    <w:rsid w:val="00FD6D82"/>
    <w:rsid w:val="00FD6DB2"/>
    <w:rsid w:val="00FD6DF7"/>
    <w:rsid w:val="00FD6E38"/>
    <w:rsid w:val="00FD6E96"/>
    <w:rsid w:val="00FD6F71"/>
    <w:rsid w:val="00FD6F9D"/>
    <w:rsid w:val="00FD6FBD"/>
    <w:rsid w:val="00FD70E2"/>
    <w:rsid w:val="00FD7125"/>
    <w:rsid w:val="00FD7213"/>
    <w:rsid w:val="00FD724E"/>
    <w:rsid w:val="00FD745A"/>
    <w:rsid w:val="00FD747A"/>
    <w:rsid w:val="00FD7555"/>
    <w:rsid w:val="00FD7594"/>
    <w:rsid w:val="00FD7628"/>
    <w:rsid w:val="00FD7640"/>
    <w:rsid w:val="00FD7662"/>
    <w:rsid w:val="00FD76D2"/>
    <w:rsid w:val="00FD76E8"/>
    <w:rsid w:val="00FD76F0"/>
    <w:rsid w:val="00FD7704"/>
    <w:rsid w:val="00FD7714"/>
    <w:rsid w:val="00FD7768"/>
    <w:rsid w:val="00FD77DA"/>
    <w:rsid w:val="00FD7852"/>
    <w:rsid w:val="00FD7893"/>
    <w:rsid w:val="00FD7913"/>
    <w:rsid w:val="00FD7ABE"/>
    <w:rsid w:val="00FD7B19"/>
    <w:rsid w:val="00FD7B89"/>
    <w:rsid w:val="00FD7BA5"/>
    <w:rsid w:val="00FD7C46"/>
    <w:rsid w:val="00FD7CB6"/>
    <w:rsid w:val="00FD7D81"/>
    <w:rsid w:val="00FD7DA3"/>
    <w:rsid w:val="00FD7DB3"/>
    <w:rsid w:val="00FD7DB6"/>
    <w:rsid w:val="00FD7DDB"/>
    <w:rsid w:val="00FD7E92"/>
    <w:rsid w:val="00FD7F10"/>
    <w:rsid w:val="00FD7F67"/>
    <w:rsid w:val="00FE0371"/>
    <w:rsid w:val="00FE03DE"/>
    <w:rsid w:val="00FE04E4"/>
    <w:rsid w:val="00FE0514"/>
    <w:rsid w:val="00FE0660"/>
    <w:rsid w:val="00FE06AF"/>
    <w:rsid w:val="00FE07D1"/>
    <w:rsid w:val="00FE0851"/>
    <w:rsid w:val="00FE094D"/>
    <w:rsid w:val="00FE09CE"/>
    <w:rsid w:val="00FE0AC8"/>
    <w:rsid w:val="00FE0B0B"/>
    <w:rsid w:val="00FE0BCC"/>
    <w:rsid w:val="00FE0BE2"/>
    <w:rsid w:val="00FE0C6A"/>
    <w:rsid w:val="00FE0D20"/>
    <w:rsid w:val="00FE101F"/>
    <w:rsid w:val="00FE103C"/>
    <w:rsid w:val="00FE10CB"/>
    <w:rsid w:val="00FE11FC"/>
    <w:rsid w:val="00FE1259"/>
    <w:rsid w:val="00FE140B"/>
    <w:rsid w:val="00FE1418"/>
    <w:rsid w:val="00FE1462"/>
    <w:rsid w:val="00FE14D3"/>
    <w:rsid w:val="00FE15CE"/>
    <w:rsid w:val="00FE1606"/>
    <w:rsid w:val="00FE1654"/>
    <w:rsid w:val="00FE18BF"/>
    <w:rsid w:val="00FE190B"/>
    <w:rsid w:val="00FE1A93"/>
    <w:rsid w:val="00FE1B2E"/>
    <w:rsid w:val="00FE1B7A"/>
    <w:rsid w:val="00FE1D91"/>
    <w:rsid w:val="00FE1E24"/>
    <w:rsid w:val="00FE1EFA"/>
    <w:rsid w:val="00FE1FBF"/>
    <w:rsid w:val="00FE1FD4"/>
    <w:rsid w:val="00FE20D2"/>
    <w:rsid w:val="00FE2121"/>
    <w:rsid w:val="00FE2169"/>
    <w:rsid w:val="00FE26CB"/>
    <w:rsid w:val="00FE2856"/>
    <w:rsid w:val="00FE2887"/>
    <w:rsid w:val="00FE293F"/>
    <w:rsid w:val="00FE2A1D"/>
    <w:rsid w:val="00FE2AE8"/>
    <w:rsid w:val="00FE2B19"/>
    <w:rsid w:val="00FE2C59"/>
    <w:rsid w:val="00FE2D9E"/>
    <w:rsid w:val="00FE2E44"/>
    <w:rsid w:val="00FE2E82"/>
    <w:rsid w:val="00FE2EAB"/>
    <w:rsid w:val="00FE2EF1"/>
    <w:rsid w:val="00FE2F02"/>
    <w:rsid w:val="00FE2FC3"/>
    <w:rsid w:val="00FE306D"/>
    <w:rsid w:val="00FE30DB"/>
    <w:rsid w:val="00FE312B"/>
    <w:rsid w:val="00FE3159"/>
    <w:rsid w:val="00FE3189"/>
    <w:rsid w:val="00FE31A4"/>
    <w:rsid w:val="00FE32A5"/>
    <w:rsid w:val="00FE3361"/>
    <w:rsid w:val="00FE3367"/>
    <w:rsid w:val="00FE33E4"/>
    <w:rsid w:val="00FE3484"/>
    <w:rsid w:val="00FE3528"/>
    <w:rsid w:val="00FE3594"/>
    <w:rsid w:val="00FE35CD"/>
    <w:rsid w:val="00FE35CE"/>
    <w:rsid w:val="00FE35E2"/>
    <w:rsid w:val="00FE36D1"/>
    <w:rsid w:val="00FE373E"/>
    <w:rsid w:val="00FE375D"/>
    <w:rsid w:val="00FE377B"/>
    <w:rsid w:val="00FE37AA"/>
    <w:rsid w:val="00FE381F"/>
    <w:rsid w:val="00FE38CC"/>
    <w:rsid w:val="00FE39E5"/>
    <w:rsid w:val="00FE3A2B"/>
    <w:rsid w:val="00FE3B0D"/>
    <w:rsid w:val="00FE3B61"/>
    <w:rsid w:val="00FE3BA6"/>
    <w:rsid w:val="00FE3BB4"/>
    <w:rsid w:val="00FE3DD9"/>
    <w:rsid w:val="00FE3E43"/>
    <w:rsid w:val="00FE3E84"/>
    <w:rsid w:val="00FE3EBB"/>
    <w:rsid w:val="00FE3EEA"/>
    <w:rsid w:val="00FE3F39"/>
    <w:rsid w:val="00FE4023"/>
    <w:rsid w:val="00FE402B"/>
    <w:rsid w:val="00FE4034"/>
    <w:rsid w:val="00FE4041"/>
    <w:rsid w:val="00FE40DD"/>
    <w:rsid w:val="00FE4171"/>
    <w:rsid w:val="00FE419B"/>
    <w:rsid w:val="00FE4282"/>
    <w:rsid w:val="00FE42BB"/>
    <w:rsid w:val="00FE447E"/>
    <w:rsid w:val="00FE448A"/>
    <w:rsid w:val="00FE44EB"/>
    <w:rsid w:val="00FE4597"/>
    <w:rsid w:val="00FE461D"/>
    <w:rsid w:val="00FE4675"/>
    <w:rsid w:val="00FE4678"/>
    <w:rsid w:val="00FE481D"/>
    <w:rsid w:val="00FE4A62"/>
    <w:rsid w:val="00FE4AED"/>
    <w:rsid w:val="00FE4BA7"/>
    <w:rsid w:val="00FE4CFF"/>
    <w:rsid w:val="00FE4E00"/>
    <w:rsid w:val="00FE4E2F"/>
    <w:rsid w:val="00FE4EA7"/>
    <w:rsid w:val="00FE4FDF"/>
    <w:rsid w:val="00FE4FE2"/>
    <w:rsid w:val="00FE502C"/>
    <w:rsid w:val="00FE504E"/>
    <w:rsid w:val="00FE51C3"/>
    <w:rsid w:val="00FE51EB"/>
    <w:rsid w:val="00FE5275"/>
    <w:rsid w:val="00FE5299"/>
    <w:rsid w:val="00FE529D"/>
    <w:rsid w:val="00FE5400"/>
    <w:rsid w:val="00FE542F"/>
    <w:rsid w:val="00FE54BA"/>
    <w:rsid w:val="00FE5531"/>
    <w:rsid w:val="00FE55AA"/>
    <w:rsid w:val="00FE55D7"/>
    <w:rsid w:val="00FE563B"/>
    <w:rsid w:val="00FE563D"/>
    <w:rsid w:val="00FE564E"/>
    <w:rsid w:val="00FE579C"/>
    <w:rsid w:val="00FE58EB"/>
    <w:rsid w:val="00FE594E"/>
    <w:rsid w:val="00FE5A68"/>
    <w:rsid w:val="00FE5B1C"/>
    <w:rsid w:val="00FE5B39"/>
    <w:rsid w:val="00FE5BEE"/>
    <w:rsid w:val="00FE5CBE"/>
    <w:rsid w:val="00FE5D05"/>
    <w:rsid w:val="00FE5DC1"/>
    <w:rsid w:val="00FE5E28"/>
    <w:rsid w:val="00FE5EA7"/>
    <w:rsid w:val="00FE5F8A"/>
    <w:rsid w:val="00FE607E"/>
    <w:rsid w:val="00FE608B"/>
    <w:rsid w:val="00FE60BE"/>
    <w:rsid w:val="00FE61DF"/>
    <w:rsid w:val="00FE6250"/>
    <w:rsid w:val="00FE6254"/>
    <w:rsid w:val="00FE626F"/>
    <w:rsid w:val="00FE6288"/>
    <w:rsid w:val="00FE62DE"/>
    <w:rsid w:val="00FE62F6"/>
    <w:rsid w:val="00FE6343"/>
    <w:rsid w:val="00FE6370"/>
    <w:rsid w:val="00FE64D6"/>
    <w:rsid w:val="00FE651B"/>
    <w:rsid w:val="00FE6527"/>
    <w:rsid w:val="00FE652A"/>
    <w:rsid w:val="00FE65BE"/>
    <w:rsid w:val="00FE67F3"/>
    <w:rsid w:val="00FE69A3"/>
    <w:rsid w:val="00FE6B43"/>
    <w:rsid w:val="00FE6BB7"/>
    <w:rsid w:val="00FE6C81"/>
    <w:rsid w:val="00FE6CC8"/>
    <w:rsid w:val="00FE6CD0"/>
    <w:rsid w:val="00FE6D04"/>
    <w:rsid w:val="00FE6DBB"/>
    <w:rsid w:val="00FE6E05"/>
    <w:rsid w:val="00FE6E19"/>
    <w:rsid w:val="00FE6E50"/>
    <w:rsid w:val="00FE6F0E"/>
    <w:rsid w:val="00FE705C"/>
    <w:rsid w:val="00FE70D8"/>
    <w:rsid w:val="00FE7145"/>
    <w:rsid w:val="00FE7304"/>
    <w:rsid w:val="00FE7391"/>
    <w:rsid w:val="00FE74C5"/>
    <w:rsid w:val="00FE75EB"/>
    <w:rsid w:val="00FE7669"/>
    <w:rsid w:val="00FE7890"/>
    <w:rsid w:val="00FE789D"/>
    <w:rsid w:val="00FE7906"/>
    <w:rsid w:val="00FE79AF"/>
    <w:rsid w:val="00FE79FD"/>
    <w:rsid w:val="00FE7A40"/>
    <w:rsid w:val="00FE7AF0"/>
    <w:rsid w:val="00FE7B84"/>
    <w:rsid w:val="00FE7BF8"/>
    <w:rsid w:val="00FE7C9C"/>
    <w:rsid w:val="00FE7D34"/>
    <w:rsid w:val="00FE7DE0"/>
    <w:rsid w:val="00FE7E23"/>
    <w:rsid w:val="00FE7FD6"/>
    <w:rsid w:val="00FF0141"/>
    <w:rsid w:val="00FF0251"/>
    <w:rsid w:val="00FF028A"/>
    <w:rsid w:val="00FF0335"/>
    <w:rsid w:val="00FF041B"/>
    <w:rsid w:val="00FF056D"/>
    <w:rsid w:val="00FF05C0"/>
    <w:rsid w:val="00FF0863"/>
    <w:rsid w:val="00FF0878"/>
    <w:rsid w:val="00FF08E7"/>
    <w:rsid w:val="00FF0910"/>
    <w:rsid w:val="00FF0921"/>
    <w:rsid w:val="00FF0950"/>
    <w:rsid w:val="00FF0987"/>
    <w:rsid w:val="00FF09A6"/>
    <w:rsid w:val="00FF09E8"/>
    <w:rsid w:val="00FF0CBF"/>
    <w:rsid w:val="00FF0E62"/>
    <w:rsid w:val="00FF0EE5"/>
    <w:rsid w:val="00FF0F8C"/>
    <w:rsid w:val="00FF1061"/>
    <w:rsid w:val="00FF1076"/>
    <w:rsid w:val="00FF11C9"/>
    <w:rsid w:val="00FF129B"/>
    <w:rsid w:val="00FF129F"/>
    <w:rsid w:val="00FF12E9"/>
    <w:rsid w:val="00FF1444"/>
    <w:rsid w:val="00FF1478"/>
    <w:rsid w:val="00FF148F"/>
    <w:rsid w:val="00FF1501"/>
    <w:rsid w:val="00FF1563"/>
    <w:rsid w:val="00FF159F"/>
    <w:rsid w:val="00FF17D5"/>
    <w:rsid w:val="00FF17DF"/>
    <w:rsid w:val="00FF1807"/>
    <w:rsid w:val="00FF18EE"/>
    <w:rsid w:val="00FF199A"/>
    <w:rsid w:val="00FF1A32"/>
    <w:rsid w:val="00FF1AD2"/>
    <w:rsid w:val="00FF1C26"/>
    <w:rsid w:val="00FF1CE2"/>
    <w:rsid w:val="00FF1E7C"/>
    <w:rsid w:val="00FF1FA1"/>
    <w:rsid w:val="00FF201A"/>
    <w:rsid w:val="00FF20AE"/>
    <w:rsid w:val="00FF2137"/>
    <w:rsid w:val="00FF21E9"/>
    <w:rsid w:val="00FF2425"/>
    <w:rsid w:val="00FF2505"/>
    <w:rsid w:val="00FF2525"/>
    <w:rsid w:val="00FF254D"/>
    <w:rsid w:val="00FF260C"/>
    <w:rsid w:val="00FF2660"/>
    <w:rsid w:val="00FF26B9"/>
    <w:rsid w:val="00FF27CE"/>
    <w:rsid w:val="00FF282C"/>
    <w:rsid w:val="00FF28BC"/>
    <w:rsid w:val="00FF292B"/>
    <w:rsid w:val="00FF298C"/>
    <w:rsid w:val="00FF29D7"/>
    <w:rsid w:val="00FF2A10"/>
    <w:rsid w:val="00FF2A42"/>
    <w:rsid w:val="00FF2AC5"/>
    <w:rsid w:val="00FF2B19"/>
    <w:rsid w:val="00FF2B6A"/>
    <w:rsid w:val="00FF2DFB"/>
    <w:rsid w:val="00FF2F04"/>
    <w:rsid w:val="00FF2F29"/>
    <w:rsid w:val="00FF2F99"/>
    <w:rsid w:val="00FF2FF8"/>
    <w:rsid w:val="00FF3117"/>
    <w:rsid w:val="00FF3260"/>
    <w:rsid w:val="00FF3264"/>
    <w:rsid w:val="00FF3281"/>
    <w:rsid w:val="00FF3292"/>
    <w:rsid w:val="00FF32E7"/>
    <w:rsid w:val="00FF3315"/>
    <w:rsid w:val="00FF3374"/>
    <w:rsid w:val="00FF339F"/>
    <w:rsid w:val="00FF33BE"/>
    <w:rsid w:val="00FF3537"/>
    <w:rsid w:val="00FF35BA"/>
    <w:rsid w:val="00FF364A"/>
    <w:rsid w:val="00FF367D"/>
    <w:rsid w:val="00FF3685"/>
    <w:rsid w:val="00FF36D5"/>
    <w:rsid w:val="00FF37D9"/>
    <w:rsid w:val="00FF37E7"/>
    <w:rsid w:val="00FF3806"/>
    <w:rsid w:val="00FF3951"/>
    <w:rsid w:val="00FF3A08"/>
    <w:rsid w:val="00FF3AB2"/>
    <w:rsid w:val="00FF3AEC"/>
    <w:rsid w:val="00FF3B24"/>
    <w:rsid w:val="00FF3BA1"/>
    <w:rsid w:val="00FF3BBE"/>
    <w:rsid w:val="00FF3C36"/>
    <w:rsid w:val="00FF3C4B"/>
    <w:rsid w:val="00FF3C86"/>
    <w:rsid w:val="00FF3D3F"/>
    <w:rsid w:val="00FF3D9D"/>
    <w:rsid w:val="00FF3E19"/>
    <w:rsid w:val="00FF3E47"/>
    <w:rsid w:val="00FF3FE2"/>
    <w:rsid w:val="00FF4099"/>
    <w:rsid w:val="00FF40CE"/>
    <w:rsid w:val="00FF415A"/>
    <w:rsid w:val="00FF4257"/>
    <w:rsid w:val="00FF426E"/>
    <w:rsid w:val="00FF4280"/>
    <w:rsid w:val="00FF4341"/>
    <w:rsid w:val="00FF43B2"/>
    <w:rsid w:val="00FF43E4"/>
    <w:rsid w:val="00FF4454"/>
    <w:rsid w:val="00FF448D"/>
    <w:rsid w:val="00FF44E6"/>
    <w:rsid w:val="00FF458E"/>
    <w:rsid w:val="00FF4590"/>
    <w:rsid w:val="00FF45F7"/>
    <w:rsid w:val="00FF4732"/>
    <w:rsid w:val="00FF4745"/>
    <w:rsid w:val="00FF482E"/>
    <w:rsid w:val="00FF4864"/>
    <w:rsid w:val="00FF48CD"/>
    <w:rsid w:val="00FF49B4"/>
    <w:rsid w:val="00FF4AB2"/>
    <w:rsid w:val="00FF4B12"/>
    <w:rsid w:val="00FF4B5A"/>
    <w:rsid w:val="00FF4B90"/>
    <w:rsid w:val="00FF4CA2"/>
    <w:rsid w:val="00FF4D1C"/>
    <w:rsid w:val="00FF4DAC"/>
    <w:rsid w:val="00FF4DB6"/>
    <w:rsid w:val="00FF4E80"/>
    <w:rsid w:val="00FF4E91"/>
    <w:rsid w:val="00FF4EAA"/>
    <w:rsid w:val="00FF511B"/>
    <w:rsid w:val="00FF511F"/>
    <w:rsid w:val="00FF5155"/>
    <w:rsid w:val="00FF5262"/>
    <w:rsid w:val="00FF558B"/>
    <w:rsid w:val="00FF55B6"/>
    <w:rsid w:val="00FF5629"/>
    <w:rsid w:val="00FF5756"/>
    <w:rsid w:val="00FF5786"/>
    <w:rsid w:val="00FF57BE"/>
    <w:rsid w:val="00FF57DB"/>
    <w:rsid w:val="00FF57EE"/>
    <w:rsid w:val="00FF5943"/>
    <w:rsid w:val="00FF597C"/>
    <w:rsid w:val="00FF5A1D"/>
    <w:rsid w:val="00FF5A95"/>
    <w:rsid w:val="00FF5CE8"/>
    <w:rsid w:val="00FF5D34"/>
    <w:rsid w:val="00FF5D44"/>
    <w:rsid w:val="00FF5D59"/>
    <w:rsid w:val="00FF5D87"/>
    <w:rsid w:val="00FF5E2E"/>
    <w:rsid w:val="00FF609E"/>
    <w:rsid w:val="00FF60A1"/>
    <w:rsid w:val="00FF60E1"/>
    <w:rsid w:val="00FF60F0"/>
    <w:rsid w:val="00FF6146"/>
    <w:rsid w:val="00FF6253"/>
    <w:rsid w:val="00FF628A"/>
    <w:rsid w:val="00FF628B"/>
    <w:rsid w:val="00FF6295"/>
    <w:rsid w:val="00FF6413"/>
    <w:rsid w:val="00FF6460"/>
    <w:rsid w:val="00FF6490"/>
    <w:rsid w:val="00FF6498"/>
    <w:rsid w:val="00FF6598"/>
    <w:rsid w:val="00FF65EA"/>
    <w:rsid w:val="00FF6694"/>
    <w:rsid w:val="00FF6695"/>
    <w:rsid w:val="00FF6778"/>
    <w:rsid w:val="00FF6831"/>
    <w:rsid w:val="00FF6AFB"/>
    <w:rsid w:val="00FF6B05"/>
    <w:rsid w:val="00FF6BA7"/>
    <w:rsid w:val="00FF6D26"/>
    <w:rsid w:val="00FF6DEB"/>
    <w:rsid w:val="00FF6DF6"/>
    <w:rsid w:val="00FF6E25"/>
    <w:rsid w:val="00FF6F4B"/>
    <w:rsid w:val="00FF70C1"/>
    <w:rsid w:val="00FF710E"/>
    <w:rsid w:val="00FF71AB"/>
    <w:rsid w:val="00FF74AA"/>
    <w:rsid w:val="00FF756F"/>
    <w:rsid w:val="00FF75A0"/>
    <w:rsid w:val="00FF75B1"/>
    <w:rsid w:val="00FF76B9"/>
    <w:rsid w:val="00FF76D0"/>
    <w:rsid w:val="00FF76E8"/>
    <w:rsid w:val="00FF7770"/>
    <w:rsid w:val="00FF77BA"/>
    <w:rsid w:val="00FF789C"/>
    <w:rsid w:val="00FF78A3"/>
    <w:rsid w:val="00FF7A7B"/>
    <w:rsid w:val="00FF7B02"/>
    <w:rsid w:val="00FF7B19"/>
    <w:rsid w:val="00FF7B74"/>
    <w:rsid w:val="00FF7C09"/>
    <w:rsid w:val="00FF7E03"/>
    <w:rsid w:val="00FF7E61"/>
    <w:rsid w:val="00FF7EE5"/>
    <w:rsid w:val="00FF7F72"/>
    <w:rsid w:val="01F4B5EC"/>
    <w:rsid w:val="02290007"/>
    <w:rsid w:val="022FA267"/>
    <w:rsid w:val="02551359"/>
    <w:rsid w:val="02559539"/>
    <w:rsid w:val="02A9C79F"/>
    <w:rsid w:val="02F2D384"/>
    <w:rsid w:val="03085ED7"/>
    <w:rsid w:val="030C7896"/>
    <w:rsid w:val="031FE729"/>
    <w:rsid w:val="0414D2DB"/>
    <w:rsid w:val="04D82E6E"/>
    <w:rsid w:val="04EF25FF"/>
    <w:rsid w:val="054703CF"/>
    <w:rsid w:val="05D5B4B7"/>
    <w:rsid w:val="0632336E"/>
    <w:rsid w:val="067BA845"/>
    <w:rsid w:val="06D89F43"/>
    <w:rsid w:val="06DED5B7"/>
    <w:rsid w:val="07445663"/>
    <w:rsid w:val="07588F36"/>
    <w:rsid w:val="07A9F42C"/>
    <w:rsid w:val="07DF4D3A"/>
    <w:rsid w:val="07EFA07D"/>
    <w:rsid w:val="08013EC5"/>
    <w:rsid w:val="0803FA4C"/>
    <w:rsid w:val="08C1E900"/>
    <w:rsid w:val="08E6717D"/>
    <w:rsid w:val="09040F1B"/>
    <w:rsid w:val="09644F01"/>
    <w:rsid w:val="0A4872D1"/>
    <w:rsid w:val="0A4C5C4C"/>
    <w:rsid w:val="0A9E0390"/>
    <w:rsid w:val="0AAAC2DA"/>
    <w:rsid w:val="0B895629"/>
    <w:rsid w:val="0BB1921A"/>
    <w:rsid w:val="0C2C1BD4"/>
    <w:rsid w:val="0C56DC29"/>
    <w:rsid w:val="0D454E5C"/>
    <w:rsid w:val="0D9203A9"/>
    <w:rsid w:val="0DEA4B18"/>
    <w:rsid w:val="0DF8C636"/>
    <w:rsid w:val="0E4AEA94"/>
    <w:rsid w:val="0E6616CB"/>
    <w:rsid w:val="0E863155"/>
    <w:rsid w:val="0EBC91A2"/>
    <w:rsid w:val="0F1C6F44"/>
    <w:rsid w:val="0F2DFCFA"/>
    <w:rsid w:val="0F7F4875"/>
    <w:rsid w:val="0FBF57BA"/>
    <w:rsid w:val="0FC7DADD"/>
    <w:rsid w:val="107E3E7D"/>
    <w:rsid w:val="10BB9DD0"/>
    <w:rsid w:val="112696CA"/>
    <w:rsid w:val="11557FBE"/>
    <w:rsid w:val="11E3CD4E"/>
    <w:rsid w:val="120BCF6F"/>
    <w:rsid w:val="12A27CBB"/>
    <w:rsid w:val="12A31477"/>
    <w:rsid w:val="12B0EEE6"/>
    <w:rsid w:val="12C9525A"/>
    <w:rsid w:val="12E72850"/>
    <w:rsid w:val="140DB06F"/>
    <w:rsid w:val="142E9FB7"/>
    <w:rsid w:val="143B2C61"/>
    <w:rsid w:val="146BDBF1"/>
    <w:rsid w:val="149F3FD2"/>
    <w:rsid w:val="14AA8011"/>
    <w:rsid w:val="14DF13FF"/>
    <w:rsid w:val="14FC7C4C"/>
    <w:rsid w:val="151B455D"/>
    <w:rsid w:val="156DD682"/>
    <w:rsid w:val="15A36EA2"/>
    <w:rsid w:val="15F7B518"/>
    <w:rsid w:val="16010F67"/>
    <w:rsid w:val="163D01CE"/>
    <w:rsid w:val="164BFB29"/>
    <w:rsid w:val="168FF478"/>
    <w:rsid w:val="1697B535"/>
    <w:rsid w:val="1711B6F7"/>
    <w:rsid w:val="17938579"/>
    <w:rsid w:val="18567011"/>
    <w:rsid w:val="18A44088"/>
    <w:rsid w:val="18D2B3E5"/>
    <w:rsid w:val="18D71B18"/>
    <w:rsid w:val="1A78900E"/>
    <w:rsid w:val="1ABCFAFA"/>
    <w:rsid w:val="1B03FFE1"/>
    <w:rsid w:val="1B31820C"/>
    <w:rsid w:val="1B35632F"/>
    <w:rsid w:val="1B694FA9"/>
    <w:rsid w:val="1C1F7EB2"/>
    <w:rsid w:val="1C491BCD"/>
    <w:rsid w:val="1C4DC080"/>
    <w:rsid w:val="1C7D04A4"/>
    <w:rsid w:val="1CD621C2"/>
    <w:rsid w:val="1CF242CD"/>
    <w:rsid w:val="1D33F43B"/>
    <w:rsid w:val="1D63DC0E"/>
    <w:rsid w:val="1D8F4045"/>
    <w:rsid w:val="1DD025C9"/>
    <w:rsid w:val="1DD9EF23"/>
    <w:rsid w:val="1E1469FE"/>
    <w:rsid w:val="1E9D3C17"/>
    <w:rsid w:val="1EF28E3B"/>
    <w:rsid w:val="1F44DEEA"/>
    <w:rsid w:val="1F4FECFC"/>
    <w:rsid w:val="1F75BF84"/>
    <w:rsid w:val="1FC84C7C"/>
    <w:rsid w:val="201DD343"/>
    <w:rsid w:val="205AF450"/>
    <w:rsid w:val="206F35D4"/>
    <w:rsid w:val="20AFFDB9"/>
    <w:rsid w:val="21B98AB1"/>
    <w:rsid w:val="21CBB846"/>
    <w:rsid w:val="227F1E7F"/>
    <w:rsid w:val="22CAFD9A"/>
    <w:rsid w:val="22F4E192"/>
    <w:rsid w:val="230EBAA4"/>
    <w:rsid w:val="23A76DCE"/>
    <w:rsid w:val="23B2F980"/>
    <w:rsid w:val="23C59A5D"/>
    <w:rsid w:val="2400A5DC"/>
    <w:rsid w:val="240F3133"/>
    <w:rsid w:val="24270898"/>
    <w:rsid w:val="247B73F6"/>
    <w:rsid w:val="24C1F0D6"/>
    <w:rsid w:val="24ECD1FE"/>
    <w:rsid w:val="250B92FD"/>
    <w:rsid w:val="2599B0F5"/>
    <w:rsid w:val="25EF0C32"/>
    <w:rsid w:val="26552DB1"/>
    <w:rsid w:val="266E654F"/>
    <w:rsid w:val="267434B3"/>
    <w:rsid w:val="26BE8877"/>
    <w:rsid w:val="26DDBF30"/>
    <w:rsid w:val="27019BD5"/>
    <w:rsid w:val="270319C4"/>
    <w:rsid w:val="271972DB"/>
    <w:rsid w:val="277BC725"/>
    <w:rsid w:val="278C91D5"/>
    <w:rsid w:val="27CC548B"/>
    <w:rsid w:val="27F0FE12"/>
    <w:rsid w:val="281B9DB4"/>
    <w:rsid w:val="2978FB64"/>
    <w:rsid w:val="2A39B246"/>
    <w:rsid w:val="2A5AF553"/>
    <w:rsid w:val="2ACE4E8E"/>
    <w:rsid w:val="2AFC9E8A"/>
    <w:rsid w:val="2B7E088B"/>
    <w:rsid w:val="2BAF11ED"/>
    <w:rsid w:val="2BE7B4BA"/>
    <w:rsid w:val="2C21A8F4"/>
    <w:rsid w:val="2C6F45E4"/>
    <w:rsid w:val="2C7C89F2"/>
    <w:rsid w:val="2CA6D16A"/>
    <w:rsid w:val="2D60D0DC"/>
    <w:rsid w:val="2D898B67"/>
    <w:rsid w:val="2D8A981E"/>
    <w:rsid w:val="2DC1A161"/>
    <w:rsid w:val="2DC4CFF7"/>
    <w:rsid w:val="2DFC73E2"/>
    <w:rsid w:val="2E1FA9DB"/>
    <w:rsid w:val="2E9C1A0F"/>
    <w:rsid w:val="2EDFC1D1"/>
    <w:rsid w:val="2EDFE20E"/>
    <w:rsid w:val="2F3AF755"/>
    <w:rsid w:val="2F9031A9"/>
    <w:rsid w:val="2FD51075"/>
    <w:rsid w:val="2FE54CAC"/>
    <w:rsid w:val="3001EE9C"/>
    <w:rsid w:val="300C4D0C"/>
    <w:rsid w:val="32433476"/>
    <w:rsid w:val="32523E69"/>
    <w:rsid w:val="326CB5E8"/>
    <w:rsid w:val="32A75432"/>
    <w:rsid w:val="32BEA22D"/>
    <w:rsid w:val="33398F5E"/>
    <w:rsid w:val="3395FBF7"/>
    <w:rsid w:val="34578F34"/>
    <w:rsid w:val="34D96CB1"/>
    <w:rsid w:val="352B857F"/>
    <w:rsid w:val="3533E818"/>
    <w:rsid w:val="355A882F"/>
    <w:rsid w:val="35C5C8B3"/>
    <w:rsid w:val="35C922B2"/>
    <w:rsid w:val="361A0533"/>
    <w:rsid w:val="363C5ED6"/>
    <w:rsid w:val="3652291E"/>
    <w:rsid w:val="36A1F3B8"/>
    <w:rsid w:val="36B3D4C5"/>
    <w:rsid w:val="37093974"/>
    <w:rsid w:val="37603E40"/>
    <w:rsid w:val="3777940A"/>
    <w:rsid w:val="37AEDD9C"/>
    <w:rsid w:val="3828CF4D"/>
    <w:rsid w:val="38F3C008"/>
    <w:rsid w:val="39E6C1CD"/>
    <w:rsid w:val="3A293DD6"/>
    <w:rsid w:val="3AF17100"/>
    <w:rsid w:val="3B3F5F2F"/>
    <w:rsid w:val="3B8100B2"/>
    <w:rsid w:val="3BCCB091"/>
    <w:rsid w:val="3BCDA7AF"/>
    <w:rsid w:val="3BD01ED9"/>
    <w:rsid w:val="3C116FAE"/>
    <w:rsid w:val="3C38C929"/>
    <w:rsid w:val="3CEDDB94"/>
    <w:rsid w:val="3DEF1B88"/>
    <w:rsid w:val="3E0ED389"/>
    <w:rsid w:val="3E7A3E37"/>
    <w:rsid w:val="3E7A6F84"/>
    <w:rsid w:val="3E9FC2D8"/>
    <w:rsid w:val="3ECFB770"/>
    <w:rsid w:val="3EE7CEBF"/>
    <w:rsid w:val="3F668BB5"/>
    <w:rsid w:val="3FA9D60D"/>
    <w:rsid w:val="40046E91"/>
    <w:rsid w:val="40613577"/>
    <w:rsid w:val="40682882"/>
    <w:rsid w:val="413BDF3B"/>
    <w:rsid w:val="417C369B"/>
    <w:rsid w:val="41C37F72"/>
    <w:rsid w:val="42015227"/>
    <w:rsid w:val="4211F34C"/>
    <w:rsid w:val="42205673"/>
    <w:rsid w:val="424E238B"/>
    <w:rsid w:val="428E7D5D"/>
    <w:rsid w:val="4292F094"/>
    <w:rsid w:val="42A900D4"/>
    <w:rsid w:val="42C1F9F9"/>
    <w:rsid w:val="42F75653"/>
    <w:rsid w:val="4336DFF6"/>
    <w:rsid w:val="43440F18"/>
    <w:rsid w:val="43A744FA"/>
    <w:rsid w:val="43EAF47A"/>
    <w:rsid w:val="440338A1"/>
    <w:rsid w:val="44364C0E"/>
    <w:rsid w:val="447F2C67"/>
    <w:rsid w:val="44B99538"/>
    <w:rsid w:val="44FB2034"/>
    <w:rsid w:val="451FFC78"/>
    <w:rsid w:val="45295BA1"/>
    <w:rsid w:val="45811954"/>
    <w:rsid w:val="45CCB7E6"/>
    <w:rsid w:val="45D6C195"/>
    <w:rsid w:val="464F865F"/>
    <w:rsid w:val="46707DBE"/>
    <w:rsid w:val="46AC14E7"/>
    <w:rsid w:val="46B4026D"/>
    <w:rsid w:val="485DD2D2"/>
    <w:rsid w:val="486C8170"/>
    <w:rsid w:val="48F72862"/>
    <w:rsid w:val="49F8D8AC"/>
    <w:rsid w:val="4A08C68E"/>
    <w:rsid w:val="4A1D3E15"/>
    <w:rsid w:val="4AE73D05"/>
    <w:rsid w:val="4AEECDD3"/>
    <w:rsid w:val="4B1C09E9"/>
    <w:rsid w:val="4B5CC2D7"/>
    <w:rsid w:val="4BCE6CF6"/>
    <w:rsid w:val="4C382E34"/>
    <w:rsid w:val="4C4D7039"/>
    <w:rsid w:val="4C5A20A0"/>
    <w:rsid w:val="4C5FC5EE"/>
    <w:rsid w:val="4CBD0E62"/>
    <w:rsid w:val="4D1A12CE"/>
    <w:rsid w:val="4D2B03D9"/>
    <w:rsid w:val="4DFC3388"/>
    <w:rsid w:val="4E256BEA"/>
    <w:rsid w:val="4E609D6D"/>
    <w:rsid w:val="4EB1611D"/>
    <w:rsid w:val="4EBEFEAA"/>
    <w:rsid w:val="4EF6D332"/>
    <w:rsid w:val="4F09A48E"/>
    <w:rsid w:val="4F0C25FF"/>
    <w:rsid w:val="500D2868"/>
    <w:rsid w:val="50414AC1"/>
    <w:rsid w:val="50C41866"/>
    <w:rsid w:val="516257BE"/>
    <w:rsid w:val="51BFDDD1"/>
    <w:rsid w:val="51ECCF50"/>
    <w:rsid w:val="52429699"/>
    <w:rsid w:val="52B8B245"/>
    <w:rsid w:val="53A4C34B"/>
    <w:rsid w:val="53E57900"/>
    <w:rsid w:val="5406E191"/>
    <w:rsid w:val="540A5441"/>
    <w:rsid w:val="540D3321"/>
    <w:rsid w:val="541E30AD"/>
    <w:rsid w:val="546BDD56"/>
    <w:rsid w:val="54D64CB4"/>
    <w:rsid w:val="5507910B"/>
    <w:rsid w:val="55284E34"/>
    <w:rsid w:val="55C1B8C6"/>
    <w:rsid w:val="55C5286D"/>
    <w:rsid w:val="5604F6B8"/>
    <w:rsid w:val="5634E226"/>
    <w:rsid w:val="563C301A"/>
    <w:rsid w:val="563D8DBB"/>
    <w:rsid w:val="56947BCA"/>
    <w:rsid w:val="57460D02"/>
    <w:rsid w:val="5760F8CE"/>
    <w:rsid w:val="57E68C14"/>
    <w:rsid w:val="580DCBA7"/>
    <w:rsid w:val="582B5067"/>
    <w:rsid w:val="583795F8"/>
    <w:rsid w:val="59B63882"/>
    <w:rsid w:val="59DE88F0"/>
    <w:rsid w:val="59FAF19D"/>
    <w:rsid w:val="5AB1BA52"/>
    <w:rsid w:val="5B4DD39C"/>
    <w:rsid w:val="5B63BA3E"/>
    <w:rsid w:val="5BD3AADC"/>
    <w:rsid w:val="5BE9D97F"/>
    <w:rsid w:val="5CB1273A"/>
    <w:rsid w:val="5CB1C7F9"/>
    <w:rsid w:val="5D10F759"/>
    <w:rsid w:val="5D17BAA9"/>
    <w:rsid w:val="5D272042"/>
    <w:rsid w:val="5D2F736F"/>
    <w:rsid w:val="5E3CA7DC"/>
    <w:rsid w:val="5E3D9760"/>
    <w:rsid w:val="5E9D75E0"/>
    <w:rsid w:val="5F5837A4"/>
    <w:rsid w:val="5F814C59"/>
    <w:rsid w:val="5FEFA0FD"/>
    <w:rsid w:val="5FF8100A"/>
    <w:rsid w:val="603525CB"/>
    <w:rsid w:val="604C01BE"/>
    <w:rsid w:val="6078FE91"/>
    <w:rsid w:val="608B7534"/>
    <w:rsid w:val="60EF9B6E"/>
    <w:rsid w:val="615EBF43"/>
    <w:rsid w:val="616021BB"/>
    <w:rsid w:val="61703050"/>
    <w:rsid w:val="62135403"/>
    <w:rsid w:val="629F668A"/>
    <w:rsid w:val="62CA5163"/>
    <w:rsid w:val="632EAB8D"/>
    <w:rsid w:val="6411D89A"/>
    <w:rsid w:val="642382BF"/>
    <w:rsid w:val="6448B94D"/>
    <w:rsid w:val="650022BC"/>
    <w:rsid w:val="652B5143"/>
    <w:rsid w:val="652D4686"/>
    <w:rsid w:val="66112914"/>
    <w:rsid w:val="66ADCAFD"/>
    <w:rsid w:val="67C5AE21"/>
    <w:rsid w:val="67F7A289"/>
    <w:rsid w:val="680F2956"/>
    <w:rsid w:val="681DB398"/>
    <w:rsid w:val="688EF64F"/>
    <w:rsid w:val="68F26F89"/>
    <w:rsid w:val="6964C3A7"/>
    <w:rsid w:val="69BE3AAE"/>
    <w:rsid w:val="69DC9D69"/>
    <w:rsid w:val="69E6546F"/>
    <w:rsid w:val="69FF33F2"/>
    <w:rsid w:val="6A6A1ADF"/>
    <w:rsid w:val="6AA66613"/>
    <w:rsid w:val="6B4A25A9"/>
    <w:rsid w:val="6B87CEED"/>
    <w:rsid w:val="6C452982"/>
    <w:rsid w:val="6C56DDE3"/>
    <w:rsid w:val="6C8ED2A1"/>
    <w:rsid w:val="6D1A8BDB"/>
    <w:rsid w:val="6D272EA3"/>
    <w:rsid w:val="6DABF3EE"/>
    <w:rsid w:val="6E260DD6"/>
    <w:rsid w:val="6E41D199"/>
    <w:rsid w:val="6F6AB440"/>
    <w:rsid w:val="6F89683C"/>
    <w:rsid w:val="6F8BA21D"/>
    <w:rsid w:val="6F8FE953"/>
    <w:rsid w:val="70355180"/>
    <w:rsid w:val="706F88C9"/>
    <w:rsid w:val="709708CA"/>
    <w:rsid w:val="70FECF9D"/>
    <w:rsid w:val="72C1C92C"/>
    <w:rsid w:val="72C62B94"/>
    <w:rsid w:val="734F28B4"/>
    <w:rsid w:val="7360B1BC"/>
    <w:rsid w:val="73B35012"/>
    <w:rsid w:val="73B4F8FA"/>
    <w:rsid w:val="7467FE57"/>
    <w:rsid w:val="74803F42"/>
    <w:rsid w:val="7486587C"/>
    <w:rsid w:val="7550D2B4"/>
    <w:rsid w:val="75763E5E"/>
    <w:rsid w:val="758A4745"/>
    <w:rsid w:val="75C0696B"/>
    <w:rsid w:val="75C5D4F9"/>
    <w:rsid w:val="75E58A78"/>
    <w:rsid w:val="76132D2A"/>
    <w:rsid w:val="761A1A5D"/>
    <w:rsid w:val="762138D2"/>
    <w:rsid w:val="7627DE38"/>
    <w:rsid w:val="76353C92"/>
    <w:rsid w:val="76384B39"/>
    <w:rsid w:val="769C9A88"/>
    <w:rsid w:val="76E0F0FD"/>
    <w:rsid w:val="77829165"/>
    <w:rsid w:val="77F22C9C"/>
    <w:rsid w:val="784745D9"/>
    <w:rsid w:val="784F6A4F"/>
    <w:rsid w:val="7868A112"/>
    <w:rsid w:val="78770F09"/>
    <w:rsid w:val="7894E867"/>
    <w:rsid w:val="79315216"/>
    <w:rsid w:val="7953B065"/>
    <w:rsid w:val="796CD8C2"/>
    <w:rsid w:val="797AA4ED"/>
    <w:rsid w:val="799BA995"/>
    <w:rsid w:val="79E9450B"/>
    <w:rsid w:val="7A0AAC58"/>
    <w:rsid w:val="7AA87F04"/>
    <w:rsid w:val="7AEF80C6"/>
    <w:rsid w:val="7B9ADF88"/>
    <w:rsid w:val="7C0B7AC4"/>
    <w:rsid w:val="7D0EC85D"/>
    <w:rsid w:val="7DCEAA28"/>
    <w:rsid w:val="7ED71C7C"/>
    <w:rsid w:val="7F300BDE"/>
    <w:rsid w:val="7F3B8698"/>
    <w:rsid w:val="7F6C90B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54613C"/>
  <w15:docId w15:val="{6FA5E61B-A3DD-4372-ADB2-29B4D709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Mincho Light" w:eastAsia="Yu Mincho Light" w:hAnsi="Yu Mincho Light" w:cs="Yu Mincho Light"/>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EBE"/>
    <w:rPr>
      <w:sz w:val="24"/>
      <w:szCs w:val="24"/>
    </w:rPr>
  </w:style>
  <w:style w:type="paragraph" w:styleId="Ttulo1">
    <w:name w:val="heading 1"/>
    <w:basedOn w:val="Normal"/>
    <w:next w:val="Normal"/>
    <w:link w:val="Ttulo1Char1"/>
    <w:autoRedefine/>
    <w:uiPriority w:val="99"/>
    <w:qFormat/>
    <w:rsid w:val="00FD7768"/>
    <w:pPr>
      <w:tabs>
        <w:tab w:val="center" w:pos="7285"/>
      </w:tabs>
      <w:spacing w:before="360" w:after="240"/>
      <w:outlineLvl w:val="0"/>
    </w:pPr>
    <w:rPr>
      <w:rFonts w:ascii="CAIXA Std Book" w:hAnsi="CAIXA Std Book"/>
      <w:b/>
      <w:color w:val="005CA9"/>
      <w:sz w:val="22"/>
      <w:szCs w:val="22"/>
    </w:rPr>
  </w:style>
  <w:style w:type="paragraph" w:styleId="Ttulo2">
    <w:name w:val="heading 2"/>
    <w:basedOn w:val="Normal"/>
    <w:next w:val="Normal"/>
    <w:link w:val="Ttulo2Char1"/>
    <w:autoRedefine/>
    <w:uiPriority w:val="99"/>
    <w:qFormat/>
    <w:rsid w:val="00883019"/>
    <w:pPr>
      <w:keepNext/>
      <w:suppressAutoHyphens/>
      <w:autoSpaceDE w:val="0"/>
      <w:autoSpaceDN w:val="0"/>
      <w:adjustRightInd w:val="0"/>
      <w:jc w:val="both"/>
      <w:outlineLvl w:val="1"/>
    </w:pPr>
    <w:rPr>
      <w:b/>
      <w:color w:val="1F4E79"/>
      <w:sz w:val="20"/>
      <w:szCs w:val="20"/>
    </w:rPr>
  </w:style>
  <w:style w:type="paragraph" w:styleId="Ttulo3">
    <w:name w:val="heading 3"/>
    <w:basedOn w:val="Normal3"/>
    <w:next w:val="Normal"/>
    <w:link w:val="Ttulo3Char"/>
    <w:autoRedefine/>
    <w:uiPriority w:val="99"/>
    <w:qFormat/>
    <w:rsid w:val="00EF72BE"/>
    <w:pPr>
      <w:keepNext/>
      <w:numPr>
        <w:ilvl w:val="0"/>
        <w:numId w:val="0"/>
      </w:numPr>
      <w:tabs>
        <w:tab w:val="left" w:pos="1276"/>
      </w:tabs>
      <w:spacing w:before="360"/>
      <w:jc w:val="left"/>
    </w:pPr>
    <w:rPr>
      <w:rFonts w:ascii="Cambria" w:hAnsi="Cambria"/>
      <w:bCs/>
      <w:caps w:val="0"/>
      <w:spacing w:val="0"/>
      <w:sz w:val="26"/>
      <w:szCs w:val="26"/>
    </w:rPr>
  </w:style>
  <w:style w:type="paragraph" w:styleId="Ttulo6">
    <w:name w:val="heading 6"/>
    <w:basedOn w:val="Normal"/>
    <w:next w:val="Normal"/>
    <w:link w:val="Ttulo6Char"/>
    <w:uiPriority w:val="99"/>
    <w:qFormat/>
    <w:rsid w:val="001807DB"/>
    <w:pPr>
      <w:spacing w:before="240" w:after="60"/>
      <w:outlineLvl w:val="5"/>
    </w:pPr>
    <w:rPr>
      <w:rFonts w:ascii="Symbol" w:hAnsi="Symbol"/>
      <w:b/>
      <w:bCs/>
      <w:sz w:val="20"/>
      <w:szCs w:val="20"/>
    </w:rPr>
  </w:style>
  <w:style w:type="paragraph" w:styleId="Ttulo8">
    <w:name w:val="heading 8"/>
    <w:basedOn w:val="Normal"/>
    <w:next w:val="Normal"/>
    <w:link w:val="Ttulo8Char"/>
    <w:uiPriority w:val="99"/>
    <w:qFormat/>
    <w:rsid w:val="00117D35"/>
    <w:pPr>
      <w:keepNext/>
      <w:autoSpaceDE w:val="0"/>
      <w:autoSpaceDN w:val="0"/>
      <w:adjustRightInd w:val="0"/>
      <w:ind w:left="720" w:hanging="720"/>
      <w:outlineLvl w:val="7"/>
    </w:pPr>
    <w:rPr>
      <w:rFonts w:ascii="Symbol" w:hAnsi="Symbol"/>
      <w:i/>
      <w:iCs/>
    </w:rPr>
  </w:style>
  <w:style w:type="paragraph" w:styleId="Ttulo9">
    <w:name w:val="heading 9"/>
    <w:basedOn w:val="Normal"/>
    <w:next w:val="Normal"/>
    <w:link w:val="Ttulo9Char"/>
    <w:uiPriority w:val="99"/>
    <w:qFormat/>
    <w:rsid w:val="00117D35"/>
    <w:pPr>
      <w:keepNext/>
      <w:suppressAutoHyphens/>
      <w:autoSpaceDE w:val="0"/>
      <w:autoSpaceDN w:val="0"/>
      <w:adjustRightInd w:val="0"/>
      <w:ind w:left="720" w:hanging="720"/>
      <w:jc w:val="both"/>
      <w:outlineLvl w:val="8"/>
    </w:pPr>
    <w:rPr>
      <w:rFonts w:ascii="Cambria" w:hAnsi="Cambria"/>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basedOn w:val="Fontepargpadro"/>
    <w:link w:val="Ttulo1"/>
    <w:uiPriority w:val="99"/>
    <w:locked/>
    <w:rsid w:val="00FD7768"/>
    <w:rPr>
      <w:rFonts w:ascii="CAIXA Std Book" w:hAnsi="CAIXA Std Book"/>
      <w:b/>
      <w:color w:val="005CA9"/>
    </w:rPr>
  </w:style>
  <w:style w:type="character" w:customStyle="1" w:styleId="Ttulo2Char1">
    <w:name w:val="Título 2 Char1"/>
    <w:basedOn w:val="Fontepargpadro"/>
    <w:link w:val="Ttulo2"/>
    <w:uiPriority w:val="99"/>
    <w:locked/>
    <w:rsid w:val="00883019"/>
    <w:rPr>
      <w:rFonts w:ascii="Arial" w:hAnsi="Arial" w:cs="Times New Roman"/>
      <w:b/>
      <w:color w:val="1F4E79"/>
    </w:rPr>
  </w:style>
  <w:style w:type="character" w:customStyle="1" w:styleId="Ttulo3Char">
    <w:name w:val="Título 3 Char"/>
    <w:basedOn w:val="Fontepargpadro"/>
    <w:link w:val="Ttulo3"/>
    <w:uiPriority w:val="99"/>
    <w:locked/>
    <w:rsid w:val="00FF4AB2"/>
    <w:rPr>
      <w:rFonts w:ascii="Cambria" w:hAnsi="Cambria" w:cs="Times New Roman"/>
      <w:b/>
      <w:sz w:val="26"/>
    </w:rPr>
  </w:style>
  <w:style w:type="character" w:customStyle="1" w:styleId="Ttulo6Char">
    <w:name w:val="Título 6 Char"/>
    <w:basedOn w:val="Fontepargpadro"/>
    <w:link w:val="Ttulo6"/>
    <w:uiPriority w:val="99"/>
    <w:locked/>
    <w:rsid w:val="00FF4AB2"/>
    <w:rPr>
      <w:rFonts w:ascii="Symbol" w:hAnsi="Symbol"/>
      <w:b/>
      <w:bCs/>
      <w:sz w:val="20"/>
      <w:szCs w:val="20"/>
    </w:rPr>
  </w:style>
  <w:style w:type="character" w:customStyle="1" w:styleId="Ttulo8Char">
    <w:name w:val="Título 8 Char"/>
    <w:basedOn w:val="Fontepargpadro"/>
    <w:link w:val="Ttulo8"/>
    <w:uiPriority w:val="99"/>
    <w:locked/>
    <w:rsid w:val="00FF4AB2"/>
    <w:rPr>
      <w:rFonts w:ascii="Symbol" w:hAnsi="Symbol"/>
      <w:i/>
      <w:iCs/>
      <w:sz w:val="24"/>
      <w:szCs w:val="24"/>
    </w:rPr>
  </w:style>
  <w:style w:type="character" w:customStyle="1" w:styleId="Ttulo9Char">
    <w:name w:val="Título 9 Char"/>
    <w:basedOn w:val="Fontepargpadro"/>
    <w:link w:val="Ttulo9"/>
    <w:uiPriority w:val="99"/>
    <w:locked/>
    <w:rsid w:val="00FF4AB2"/>
    <w:rPr>
      <w:rFonts w:ascii="Cambria" w:hAnsi="Cambria" w:cs="Times New Roman"/>
    </w:rPr>
  </w:style>
  <w:style w:type="paragraph" w:customStyle="1" w:styleId="Normal3">
    <w:name w:val="Normal 3"/>
    <w:basedOn w:val="Normal"/>
    <w:autoRedefine/>
    <w:uiPriority w:val="99"/>
    <w:rsid w:val="00062D27"/>
    <w:pPr>
      <w:keepLines/>
      <w:numPr>
        <w:ilvl w:val="2"/>
        <w:numId w:val="1"/>
      </w:numPr>
      <w:spacing w:before="120"/>
      <w:jc w:val="both"/>
      <w:outlineLvl w:val="2"/>
    </w:pPr>
    <w:rPr>
      <w:b/>
      <w:caps/>
      <w:spacing w:val="10"/>
      <w:sz w:val="18"/>
    </w:rPr>
  </w:style>
  <w:style w:type="paragraph" w:customStyle="1" w:styleId="Normal2">
    <w:name w:val="Normal 2"/>
    <w:basedOn w:val="Normal"/>
    <w:autoRedefine/>
    <w:uiPriority w:val="99"/>
    <w:rsid w:val="00062D27"/>
    <w:pPr>
      <w:keepLines/>
      <w:numPr>
        <w:ilvl w:val="1"/>
        <w:numId w:val="1"/>
      </w:numPr>
      <w:tabs>
        <w:tab w:val="left" w:pos="480"/>
      </w:tabs>
      <w:spacing w:before="120"/>
      <w:jc w:val="both"/>
      <w:outlineLvl w:val="1"/>
    </w:pPr>
    <w:rPr>
      <w:spacing w:val="10"/>
      <w:sz w:val="18"/>
    </w:rPr>
  </w:style>
  <w:style w:type="paragraph" w:customStyle="1" w:styleId="EstiloTtulo3esquerda">
    <w:name w:val="Estilo Título 3 + À esquerda"/>
    <w:basedOn w:val="Ttulo3"/>
    <w:autoRedefine/>
    <w:uiPriority w:val="99"/>
    <w:rsid w:val="00765E13"/>
    <w:pPr>
      <w:keepLines w:val="0"/>
      <w:tabs>
        <w:tab w:val="clear" w:pos="1276"/>
      </w:tabs>
      <w:autoSpaceDE w:val="0"/>
      <w:autoSpaceDN w:val="0"/>
      <w:adjustRightInd w:val="0"/>
      <w:spacing w:before="240" w:after="240"/>
    </w:pPr>
    <w:rPr>
      <w:sz w:val="22"/>
      <w:szCs w:val="22"/>
    </w:rPr>
  </w:style>
  <w:style w:type="paragraph" w:customStyle="1" w:styleId="EstiloEstiloArial11ptNegritoPretoJustificadoAntes12ptDe">
    <w:name w:val="Estilo Estilo Arial 11 pt Negrito Preto Justificado Antes:  12 pt De..."/>
    <w:basedOn w:val="Normal"/>
    <w:autoRedefine/>
    <w:uiPriority w:val="99"/>
    <w:rsid w:val="004337BB"/>
    <w:pPr>
      <w:tabs>
        <w:tab w:val="left" w:pos="992"/>
      </w:tabs>
      <w:spacing w:before="240" w:after="240"/>
      <w:jc w:val="both"/>
    </w:pPr>
    <w:rPr>
      <w:b/>
      <w:iCs/>
      <w:color w:val="000000"/>
      <w:szCs w:val="20"/>
    </w:rPr>
  </w:style>
  <w:style w:type="paragraph" w:customStyle="1" w:styleId="EstiloEstiloEstiloArial11ptNegritoPretoJustificadoAntes1">
    <w:name w:val="Estilo Estilo Estilo Arial 11 pt Negrito Preto Justificado Antes:  1..."/>
    <w:basedOn w:val="EstiloEstiloArial11ptNegritoPretoJustificadoAntes12ptDe"/>
    <w:autoRedefine/>
    <w:uiPriority w:val="99"/>
    <w:rsid w:val="004337BB"/>
  </w:style>
  <w:style w:type="paragraph" w:customStyle="1" w:styleId="Estilo1">
    <w:name w:val="Estilo1"/>
    <w:basedOn w:val="Normal"/>
    <w:autoRedefine/>
    <w:uiPriority w:val="99"/>
    <w:rsid w:val="004337BB"/>
    <w:pPr>
      <w:tabs>
        <w:tab w:val="left" w:pos="992"/>
      </w:tabs>
      <w:spacing w:before="240" w:after="240"/>
    </w:pPr>
    <w:rPr>
      <w:b/>
    </w:rPr>
  </w:style>
  <w:style w:type="paragraph" w:customStyle="1" w:styleId="EstiloArial11ptNegritoJustificado">
    <w:name w:val="Estilo Arial 11 pt Negrito Justificado"/>
    <w:basedOn w:val="Normal"/>
    <w:autoRedefine/>
    <w:uiPriority w:val="99"/>
    <w:rsid w:val="00F96E28"/>
    <w:pPr>
      <w:keepNext/>
      <w:tabs>
        <w:tab w:val="left" w:pos="992"/>
      </w:tabs>
      <w:spacing w:before="240" w:after="240"/>
      <w:jc w:val="both"/>
    </w:pPr>
    <w:rPr>
      <w:b/>
      <w:bCs/>
      <w:szCs w:val="20"/>
    </w:rPr>
  </w:style>
  <w:style w:type="paragraph" w:customStyle="1" w:styleId="EstiloTtulo2NoNegrito">
    <w:name w:val="Estilo Título 2 + Não Negrito"/>
    <w:basedOn w:val="Ttulo2"/>
    <w:next w:val="Ttulo2"/>
    <w:autoRedefine/>
    <w:uiPriority w:val="99"/>
    <w:rsid w:val="00765E13"/>
    <w:rPr>
      <w:bCs/>
      <w:color w:val="000000"/>
      <w:szCs w:val="22"/>
    </w:rPr>
  </w:style>
  <w:style w:type="paragraph" w:customStyle="1" w:styleId="Estilo2">
    <w:name w:val="Estilo2"/>
    <w:basedOn w:val="Numerada"/>
    <w:next w:val="Normal"/>
    <w:autoRedefine/>
    <w:uiPriority w:val="99"/>
    <w:rsid w:val="00765E13"/>
    <w:pPr>
      <w:tabs>
        <w:tab w:val="clear" w:pos="1240"/>
        <w:tab w:val="num" w:pos="992"/>
      </w:tabs>
      <w:spacing w:before="240" w:after="240"/>
      <w:ind w:left="992" w:hanging="992"/>
    </w:pPr>
  </w:style>
  <w:style w:type="paragraph" w:styleId="Numerada">
    <w:name w:val="List Number"/>
    <w:basedOn w:val="Normal"/>
    <w:uiPriority w:val="99"/>
    <w:rsid w:val="00765E13"/>
    <w:pPr>
      <w:tabs>
        <w:tab w:val="num" w:pos="1240"/>
      </w:tabs>
      <w:ind w:left="1240" w:hanging="360"/>
    </w:pPr>
  </w:style>
  <w:style w:type="table" w:styleId="Tabelaemlista1">
    <w:name w:val="Table List 1"/>
    <w:basedOn w:val="Tabelanormal"/>
    <w:uiPriority w:val="99"/>
    <w:rsid w:val="00120464"/>
    <w:pPr>
      <w:keepLines/>
      <w:tabs>
        <w:tab w:val="left" w:pos="992"/>
      </w:tabs>
      <w:ind w:right="113"/>
    </w:pPr>
    <w:rPr>
      <w:rFonts w:ascii="Cambria Math" w:hAnsi="Cambria Math"/>
      <w:sz w:val="20"/>
      <w:szCs w:val="20"/>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rPr>
        <w:rFonts w:ascii="Arial" w:hAnsi="Arial" w:cs="Times New Roman"/>
        <w:b/>
        <w:bCs/>
        <w:i w:val="0"/>
        <w:iCs/>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Ttulo6esquerda0cmPrimeiralinha0cmEspaame">
    <w:name w:val="Estilo Título 6 + À esquerda:  0 cm Primeira linha:  0 cm Espaçame..."/>
    <w:basedOn w:val="Ttulo6"/>
    <w:autoRedefine/>
    <w:uiPriority w:val="99"/>
    <w:rsid w:val="001807DB"/>
    <w:pPr>
      <w:keepNext/>
      <w:tabs>
        <w:tab w:val="left" w:pos="1134"/>
      </w:tabs>
      <w:autoSpaceDE w:val="0"/>
      <w:autoSpaceDN w:val="0"/>
      <w:adjustRightInd w:val="0"/>
      <w:spacing w:before="0" w:after="0" w:line="280" w:lineRule="atLeast"/>
      <w:jc w:val="both"/>
    </w:pPr>
    <w:rPr>
      <w:rFonts w:ascii="Cambria Math" w:hAnsi="Cambria Math"/>
      <w:sz w:val="24"/>
    </w:rPr>
  </w:style>
  <w:style w:type="paragraph" w:styleId="Cabealho">
    <w:name w:val="header"/>
    <w:basedOn w:val="Normal"/>
    <w:link w:val="CabealhoChar"/>
    <w:uiPriority w:val="99"/>
    <w:rsid w:val="006A1C67"/>
    <w:pPr>
      <w:tabs>
        <w:tab w:val="center" w:pos="4252"/>
        <w:tab w:val="right" w:pos="8504"/>
      </w:tabs>
    </w:pPr>
    <w:rPr>
      <w:szCs w:val="20"/>
    </w:rPr>
  </w:style>
  <w:style w:type="character" w:customStyle="1" w:styleId="CabealhoChar">
    <w:name w:val="Cabeçalho Char"/>
    <w:basedOn w:val="Fontepargpadro"/>
    <w:link w:val="Cabealho"/>
    <w:uiPriority w:val="99"/>
    <w:locked/>
    <w:rsid w:val="00117D35"/>
    <w:rPr>
      <w:rFonts w:ascii="Arial" w:hAnsi="Arial" w:cs="Times New Roman"/>
      <w:sz w:val="22"/>
      <w:lang w:val="pt-BR" w:eastAsia="pt-BR"/>
    </w:rPr>
  </w:style>
  <w:style w:type="paragraph" w:styleId="Rodap">
    <w:name w:val="footer"/>
    <w:basedOn w:val="Normal"/>
    <w:link w:val="RodapChar"/>
    <w:rsid w:val="006A1C67"/>
    <w:pPr>
      <w:tabs>
        <w:tab w:val="center" w:pos="4252"/>
        <w:tab w:val="right" w:pos="8504"/>
      </w:tabs>
    </w:pPr>
  </w:style>
  <w:style w:type="character" w:customStyle="1" w:styleId="RodapChar">
    <w:name w:val="Rodapé Char"/>
    <w:basedOn w:val="Fontepargpadro"/>
    <w:link w:val="Rodap"/>
    <w:locked/>
    <w:rsid w:val="009B5F47"/>
    <w:rPr>
      <w:rFonts w:ascii="Arial" w:hAnsi="Arial" w:cs="Times New Roman"/>
      <w:sz w:val="22"/>
    </w:rPr>
  </w:style>
  <w:style w:type="character" w:customStyle="1" w:styleId="spelle">
    <w:name w:val="spelle"/>
    <w:uiPriority w:val="99"/>
    <w:rsid w:val="006A1C67"/>
  </w:style>
  <w:style w:type="character" w:styleId="Nmerodepgina">
    <w:name w:val="page number"/>
    <w:basedOn w:val="Fontepargpadro"/>
    <w:uiPriority w:val="99"/>
    <w:rsid w:val="009922F1"/>
    <w:rPr>
      <w:rFonts w:cs="Times New Roman"/>
    </w:rPr>
  </w:style>
  <w:style w:type="paragraph" w:customStyle="1" w:styleId="Pa0">
    <w:name w:val="Pa0"/>
    <w:basedOn w:val="Normal"/>
    <w:next w:val="Normal"/>
    <w:uiPriority w:val="99"/>
    <w:rsid w:val="00CC35CA"/>
    <w:pPr>
      <w:autoSpaceDE w:val="0"/>
      <w:autoSpaceDN w:val="0"/>
      <w:adjustRightInd w:val="0"/>
      <w:spacing w:line="241" w:lineRule="atLeast"/>
    </w:pPr>
  </w:style>
  <w:style w:type="character" w:customStyle="1" w:styleId="A6">
    <w:name w:val="A6"/>
    <w:uiPriority w:val="99"/>
    <w:rsid w:val="00CC35CA"/>
    <w:rPr>
      <w:b/>
      <w:color w:val="000000"/>
      <w:sz w:val="16"/>
    </w:rPr>
  </w:style>
  <w:style w:type="paragraph" w:customStyle="1" w:styleId="Pa4">
    <w:name w:val="Pa4"/>
    <w:basedOn w:val="Normal"/>
    <w:next w:val="Normal"/>
    <w:uiPriority w:val="99"/>
    <w:rsid w:val="00CC35CA"/>
    <w:pPr>
      <w:autoSpaceDE w:val="0"/>
      <w:autoSpaceDN w:val="0"/>
      <w:adjustRightInd w:val="0"/>
      <w:spacing w:line="241" w:lineRule="atLeast"/>
    </w:pPr>
  </w:style>
  <w:style w:type="paragraph" w:styleId="Sumrio1">
    <w:name w:val="toc 1"/>
    <w:basedOn w:val="Normal"/>
    <w:next w:val="Normal"/>
    <w:autoRedefine/>
    <w:uiPriority w:val="39"/>
    <w:rsid w:val="008E6C6E"/>
    <w:pPr>
      <w:tabs>
        <w:tab w:val="right" w:pos="990"/>
        <w:tab w:val="left" w:pos="1210"/>
        <w:tab w:val="right" w:leader="dot" w:pos="9639"/>
      </w:tabs>
      <w:spacing w:after="80"/>
    </w:pPr>
    <w:rPr>
      <w:rFonts w:ascii="Courier New" w:hAnsi="Courier New"/>
      <w:noProof/>
      <w:color w:val="1F4E79"/>
      <w:sz w:val="20"/>
      <w:szCs w:val="20"/>
    </w:rPr>
  </w:style>
  <w:style w:type="character" w:styleId="Hyperlink">
    <w:name w:val="Hyperlink"/>
    <w:basedOn w:val="Fontepargpadro"/>
    <w:uiPriority w:val="99"/>
    <w:rsid w:val="006066B4"/>
    <w:rPr>
      <w:rFonts w:cs="Times New Roman"/>
      <w:color w:val="0000FF"/>
      <w:u w:val="single"/>
    </w:rPr>
  </w:style>
  <w:style w:type="table" w:styleId="Tabelacomgrade">
    <w:name w:val="Table Grid"/>
    <w:basedOn w:val="Tabelanormal"/>
    <w:uiPriority w:val="99"/>
    <w:rsid w:val="009605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rsid w:val="00F55027"/>
    <w:rPr>
      <w:rFonts w:cs="Times New Roman"/>
      <w:color w:val="800080"/>
      <w:u w:val="single"/>
    </w:rPr>
  </w:style>
  <w:style w:type="paragraph" w:customStyle="1" w:styleId="Char1CharChar">
    <w:name w:val="Char1 Char Char"/>
    <w:basedOn w:val="Normal"/>
    <w:uiPriority w:val="99"/>
    <w:semiHidden/>
    <w:rsid w:val="00821EF7"/>
    <w:pPr>
      <w:spacing w:after="160" w:line="240" w:lineRule="exact"/>
    </w:pPr>
    <w:rPr>
      <w:lang w:val="en-US" w:eastAsia="en-US"/>
    </w:rPr>
  </w:style>
  <w:style w:type="paragraph" w:styleId="Corpodetexto">
    <w:name w:val="Body Text"/>
    <w:aliases w:val="bt"/>
    <w:basedOn w:val="Normal"/>
    <w:link w:val="CorpodetextoChar"/>
    <w:uiPriority w:val="1"/>
    <w:qFormat/>
    <w:rsid w:val="00117D35"/>
    <w:pPr>
      <w:suppressAutoHyphens/>
      <w:autoSpaceDE w:val="0"/>
      <w:autoSpaceDN w:val="0"/>
      <w:adjustRightInd w:val="0"/>
      <w:jc w:val="both"/>
    </w:pPr>
    <w:rPr>
      <w:sz w:val="20"/>
      <w:szCs w:val="20"/>
    </w:rPr>
  </w:style>
  <w:style w:type="character" w:customStyle="1" w:styleId="CorpodetextoChar">
    <w:name w:val="Corpo de texto Char"/>
    <w:aliases w:val="bt Char"/>
    <w:basedOn w:val="Fontepargpadro"/>
    <w:link w:val="Corpodetexto"/>
    <w:uiPriority w:val="1"/>
    <w:locked/>
    <w:rsid w:val="00FF4AB2"/>
    <w:rPr>
      <w:rFonts w:ascii="Arial" w:hAnsi="Arial" w:cs="Times New Roman"/>
    </w:rPr>
  </w:style>
  <w:style w:type="paragraph" w:styleId="Recuodecorpodetexto">
    <w:name w:val="Body Text Indent"/>
    <w:basedOn w:val="Normal"/>
    <w:link w:val="RecuodecorpodetextoChar"/>
    <w:uiPriority w:val="99"/>
    <w:rsid w:val="00117D35"/>
    <w:pPr>
      <w:spacing w:line="264" w:lineRule="auto"/>
      <w:ind w:hanging="709"/>
    </w:pPr>
    <w:rPr>
      <w:sz w:val="20"/>
      <w:szCs w:val="20"/>
    </w:rPr>
  </w:style>
  <w:style w:type="character" w:customStyle="1" w:styleId="RecuodecorpodetextoChar">
    <w:name w:val="Recuo de corpo de texto Char"/>
    <w:basedOn w:val="Fontepargpadro"/>
    <w:link w:val="Recuodecorpodetexto"/>
    <w:uiPriority w:val="99"/>
    <w:locked/>
    <w:rsid w:val="00FF4AB2"/>
    <w:rPr>
      <w:rFonts w:ascii="Arial" w:hAnsi="Arial" w:cs="Times New Roman"/>
    </w:rPr>
  </w:style>
  <w:style w:type="paragraph" w:styleId="Corpodetexto2">
    <w:name w:val="Body Text 2"/>
    <w:basedOn w:val="Normal"/>
    <w:link w:val="Corpodetexto2Char"/>
    <w:uiPriority w:val="99"/>
    <w:rsid w:val="00117D35"/>
    <w:pPr>
      <w:autoSpaceDE w:val="0"/>
      <w:autoSpaceDN w:val="0"/>
      <w:adjustRightInd w:val="0"/>
      <w:jc w:val="both"/>
    </w:pPr>
    <w:rPr>
      <w:sz w:val="20"/>
      <w:szCs w:val="20"/>
    </w:rPr>
  </w:style>
  <w:style w:type="character" w:customStyle="1" w:styleId="Corpodetexto2Char">
    <w:name w:val="Corpo de texto 2 Char"/>
    <w:basedOn w:val="Fontepargpadro"/>
    <w:link w:val="Corpodetexto2"/>
    <w:uiPriority w:val="99"/>
    <w:locked/>
    <w:rsid w:val="00FF4AB2"/>
    <w:rPr>
      <w:rFonts w:ascii="Arial" w:hAnsi="Arial" w:cs="Times New Roman"/>
    </w:rPr>
  </w:style>
  <w:style w:type="paragraph" w:customStyle="1" w:styleId="xl31">
    <w:name w:val="xl31"/>
    <w:basedOn w:val="Normal"/>
    <w:uiPriority w:val="99"/>
    <w:rsid w:val="00117D35"/>
    <w:pPr>
      <w:spacing w:before="100" w:beforeAutospacing="1" w:after="100" w:afterAutospacing="1"/>
    </w:pPr>
    <w:rPr>
      <w:rFonts w:eastAsia="Arial Unicode MS"/>
      <w:b/>
      <w:bCs/>
    </w:rPr>
  </w:style>
  <w:style w:type="paragraph" w:styleId="NormalWeb">
    <w:name w:val="Normal (Web)"/>
    <w:basedOn w:val="Normal"/>
    <w:uiPriority w:val="99"/>
    <w:rsid w:val="00117D35"/>
    <w:pPr>
      <w:spacing w:before="100" w:beforeAutospacing="1" w:after="100" w:afterAutospacing="1"/>
    </w:pPr>
    <w:rPr>
      <w:rFonts w:ascii="Arial Unicode MS" w:eastAsia="Arial Unicode MS" w:hAnsi="Arial Unicode MS" w:cs="Arial Unicode MS"/>
    </w:rPr>
  </w:style>
  <w:style w:type="character" w:styleId="Forte">
    <w:name w:val="Strong"/>
    <w:basedOn w:val="Fontepargpadro"/>
    <w:uiPriority w:val="22"/>
    <w:qFormat/>
    <w:rsid w:val="00117D35"/>
    <w:rPr>
      <w:rFonts w:cs="Times New Roman"/>
      <w:b/>
    </w:rPr>
  </w:style>
  <w:style w:type="paragraph" w:styleId="Textodecomentrio">
    <w:name w:val="annotation text"/>
    <w:basedOn w:val="Normal"/>
    <w:link w:val="TextodecomentrioChar"/>
    <w:uiPriority w:val="99"/>
    <w:rsid w:val="00117D35"/>
    <w:rPr>
      <w:sz w:val="20"/>
      <w:szCs w:val="20"/>
    </w:rPr>
  </w:style>
  <w:style w:type="character" w:customStyle="1" w:styleId="TextodecomentrioChar">
    <w:name w:val="Texto de comentário Char"/>
    <w:basedOn w:val="Fontepargpadro"/>
    <w:link w:val="Textodecomentrio"/>
    <w:uiPriority w:val="99"/>
    <w:locked/>
    <w:rsid w:val="00FF4AB2"/>
    <w:rPr>
      <w:rFonts w:ascii="Arial" w:hAnsi="Arial" w:cs="Times New Roman"/>
      <w:sz w:val="20"/>
    </w:rPr>
  </w:style>
  <w:style w:type="paragraph" w:customStyle="1" w:styleId="14Sub-sub-ttulo">
    <w:name w:val="14. Sub-sub-título"/>
    <w:basedOn w:val="Normal"/>
    <w:uiPriority w:val="99"/>
    <w:rsid w:val="00117D35"/>
    <w:pPr>
      <w:spacing w:before="140" w:after="260" w:line="260" w:lineRule="atLeast"/>
      <w:ind w:hanging="720"/>
    </w:pPr>
    <w:rPr>
      <w:b/>
      <w:i/>
      <w:szCs w:val="20"/>
      <w:lang w:val="en-US"/>
    </w:rPr>
  </w:style>
  <w:style w:type="character" w:customStyle="1" w:styleId="grame">
    <w:name w:val="grame"/>
    <w:uiPriority w:val="99"/>
    <w:rsid w:val="00117D35"/>
  </w:style>
  <w:style w:type="paragraph" w:styleId="Recuodecorpodetexto3">
    <w:name w:val="Body Text Indent 3"/>
    <w:basedOn w:val="Normal"/>
    <w:link w:val="Recuodecorpodetexto3Char"/>
    <w:uiPriority w:val="99"/>
    <w:rsid w:val="00117D35"/>
    <w:pPr>
      <w:spacing w:after="120"/>
      <w:ind w:left="283"/>
    </w:pPr>
    <w:rPr>
      <w:sz w:val="16"/>
      <w:szCs w:val="16"/>
    </w:rPr>
  </w:style>
  <w:style w:type="character" w:customStyle="1" w:styleId="Recuodecorpodetexto3Char">
    <w:name w:val="Recuo de corpo de texto 3 Char"/>
    <w:basedOn w:val="Fontepargpadro"/>
    <w:link w:val="Recuodecorpodetexto3"/>
    <w:uiPriority w:val="99"/>
    <w:locked/>
    <w:rsid w:val="00FF4AB2"/>
    <w:rPr>
      <w:rFonts w:ascii="Arial" w:hAnsi="Arial" w:cs="Times New Roman"/>
      <w:sz w:val="16"/>
    </w:rPr>
  </w:style>
  <w:style w:type="paragraph" w:customStyle="1" w:styleId="xl27">
    <w:name w:val="xl27"/>
    <w:basedOn w:val="Normal"/>
    <w:uiPriority w:val="99"/>
    <w:rsid w:val="00117D35"/>
    <w:pPr>
      <w:spacing w:before="100" w:beforeAutospacing="1" w:after="100" w:afterAutospacing="1"/>
    </w:pPr>
    <w:rPr>
      <w:rFonts w:eastAsia="Arial Unicode MS"/>
      <w:b/>
      <w:bCs/>
      <w:sz w:val="28"/>
      <w:szCs w:val="28"/>
    </w:rPr>
  </w:style>
  <w:style w:type="paragraph" w:styleId="Textodebalo">
    <w:name w:val="Balloon Text"/>
    <w:basedOn w:val="Normal"/>
    <w:link w:val="TextodebaloChar"/>
    <w:uiPriority w:val="99"/>
    <w:semiHidden/>
    <w:rsid w:val="00304A4D"/>
    <w:rPr>
      <w:sz w:val="16"/>
      <w:szCs w:val="20"/>
    </w:rPr>
  </w:style>
  <w:style w:type="character" w:customStyle="1" w:styleId="TextodebaloChar">
    <w:name w:val="Texto de balão Char"/>
    <w:basedOn w:val="Fontepargpadro"/>
    <w:link w:val="Textodebalo"/>
    <w:uiPriority w:val="99"/>
    <w:semiHidden/>
    <w:locked/>
    <w:rsid w:val="00304A4D"/>
    <w:rPr>
      <w:sz w:val="16"/>
      <w:szCs w:val="20"/>
    </w:rPr>
  </w:style>
  <w:style w:type="paragraph" w:styleId="Recuodecorpodetexto2">
    <w:name w:val="Body Text Indent 2"/>
    <w:basedOn w:val="Normal"/>
    <w:link w:val="Recuodecorpodetexto2Char"/>
    <w:uiPriority w:val="99"/>
    <w:rsid w:val="00117D35"/>
    <w:pPr>
      <w:spacing w:after="120" w:line="480" w:lineRule="auto"/>
      <w:ind w:left="283"/>
    </w:pPr>
    <w:rPr>
      <w:sz w:val="20"/>
      <w:szCs w:val="20"/>
    </w:rPr>
  </w:style>
  <w:style w:type="character" w:customStyle="1" w:styleId="Recuodecorpodetexto2Char">
    <w:name w:val="Recuo de corpo de texto 2 Char"/>
    <w:basedOn w:val="Fontepargpadro"/>
    <w:link w:val="Recuodecorpodetexto2"/>
    <w:uiPriority w:val="99"/>
    <w:locked/>
    <w:rsid w:val="00FF4AB2"/>
    <w:rPr>
      <w:rFonts w:ascii="Arial" w:hAnsi="Arial" w:cs="Times New Roman"/>
    </w:rPr>
  </w:style>
  <w:style w:type="paragraph" w:styleId="Partesuperior-zdoformulrio">
    <w:name w:val="HTML Top of Form"/>
    <w:basedOn w:val="Normal"/>
    <w:next w:val="Normal"/>
    <w:link w:val="Partesuperior-zdoformulrioChar"/>
    <w:hidden/>
    <w:uiPriority w:val="99"/>
    <w:rsid w:val="00117D3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locked/>
    <w:rsid w:val="00FF4AB2"/>
    <w:rPr>
      <w:rFonts w:ascii="Arial" w:hAnsi="Arial" w:cs="Times New Roman"/>
      <w:vanish/>
      <w:sz w:val="16"/>
    </w:rPr>
  </w:style>
  <w:style w:type="paragraph" w:styleId="Parteinferiordoformulrio">
    <w:name w:val="HTML Bottom of Form"/>
    <w:basedOn w:val="Normal"/>
    <w:next w:val="Normal"/>
    <w:link w:val="ParteinferiordoformulrioChar"/>
    <w:hidden/>
    <w:uiPriority w:val="99"/>
    <w:rsid w:val="00117D3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locked/>
    <w:rsid w:val="00FF4AB2"/>
    <w:rPr>
      <w:rFonts w:ascii="Arial" w:hAnsi="Arial" w:cs="Times New Roman"/>
      <w:vanish/>
      <w:sz w:val="16"/>
    </w:rPr>
  </w:style>
  <w:style w:type="paragraph" w:customStyle="1" w:styleId="linkazul">
    <w:name w:val="link_azul"/>
    <w:basedOn w:val="Normal"/>
    <w:uiPriority w:val="99"/>
    <w:rsid w:val="00117D35"/>
    <w:pPr>
      <w:spacing w:before="100" w:beforeAutospacing="1" w:after="100" w:afterAutospacing="1"/>
    </w:pPr>
  </w:style>
  <w:style w:type="paragraph" w:customStyle="1" w:styleId="Marcador1">
    <w:name w:val="Marcador 1"/>
    <w:basedOn w:val="Normal"/>
    <w:uiPriority w:val="99"/>
    <w:rsid w:val="00117D35"/>
    <w:pPr>
      <w:numPr>
        <w:numId w:val="3"/>
      </w:numPr>
    </w:pPr>
  </w:style>
  <w:style w:type="character" w:styleId="nfase">
    <w:name w:val="Emphasis"/>
    <w:basedOn w:val="Fontepargpadro"/>
    <w:uiPriority w:val="20"/>
    <w:qFormat/>
    <w:rsid w:val="00117D35"/>
    <w:rPr>
      <w:rFonts w:cs="Times New Roman"/>
      <w:i/>
    </w:rPr>
  </w:style>
  <w:style w:type="character" w:customStyle="1" w:styleId="CAIXA">
    <w:name w:val="CAIXA"/>
    <w:uiPriority w:val="99"/>
    <w:semiHidden/>
    <w:rsid w:val="00117D35"/>
    <w:rPr>
      <w:rFonts w:ascii="Cambria Math" w:hAnsi="Cambria Math"/>
      <w:color w:val="auto"/>
      <w:sz w:val="20"/>
    </w:rPr>
  </w:style>
  <w:style w:type="paragraph" w:customStyle="1" w:styleId="Pa1">
    <w:name w:val="Pa1"/>
    <w:basedOn w:val="Normal"/>
    <w:next w:val="Normal"/>
    <w:uiPriority w:val="99"/>
    <w:rsid w:val="00117D35"/>
    <w:pPr>
      <w:autoSpaceDE w:val="0"/>
      <w:autoSpaceDN w:val="0"/>
      <w:adjustRightInd w:val="0"/>
      <w:spacing w:line="241" w:lineRule="atLeast"/>
    </w:pPr>
  </w:style>
  <w:style w:type="paragraph" w:customStyle="1" w:styleId="ps-021-bullet-a">
    <w:name w:val="ps-021-bullet-a"/>
    <w:basedOn w:val="Normal"/>
    <w:uiPriority w:val="99"/>
    <w:rsid w:val="00117D35"/>
    <w:pPr>
      <w:spacing w:after="120"/>
      <w:ind w:left="1400" w:hanging="640"/>
    </w:pPr>
    <w:rPr>
      <w:rFonts w:ascii="Verdana" w:hAnsi="Verdana"/>
      <w:color w:val="000000"/>
      <w:sz w:val="20"/>
      <w:szCs w:val="20"/>
      <w:lang w:val="en-US" w:eastAsia="en-US"/>
    </w:rPr>
  </w:style>
  <w:style w:type="character" w:customStyle="1" w:styleId="CharChar2">
    <w:name w:val="Char Char2"/>
    <w:uiPriority w:val="99"/>
    <w:rsid w:val="00117D35"/>
    <w:rPr>
      <w:rFonts w:ascii="Cambria Math" w:hAnsi="Cambria Math"/>
      <w:b/>
      <w:sz w:val="24"/>
      <w:lang w:val="pt-BR" w:eastAsia="pt-BR"/>
    </w:rPr>
  </w:style>
  <w:style w:type="character" w:customStyle="1" w:styleId="CharChar1">
    <w:name w:val="Char Char1"/>
    <w:uiPriority w:val="99"/>
    <w:rsid w:val="00117D35"/>
    <w:rPr>
      <w:sz w:val="24"/>
      <w:lang w:val="pt-BR" w:eastAsia="pt-BR"/>
    </w:rPr>
  </w:style>
  <w:style w:type="paragraph" w:customStyle="1" w:styleId="EstiloTtulo112pt">
    <w:name w:val="Estilo Título 1 + 12 pt"/>
    <w:basedOn w:val="Ttulo1"/>
    <w:link w:val="EstiloTtulo112ptChar"/>
    <w:autoRedefine/>
    <w:uiPriority w:val="99"/>
    <w:rsid w:val="007C6E4D"/>
    <w:rPr>
      <w:color w:val="auto"/>
    </w:rPr>
  </w:style>
  <w:style w:type="character" w:customStyle="1" w:styleId="EstiloTtulo112ptChar">
    <w:name w:val="Estilo Título 1 + 12 pt Char"/>
    <w:link w:val="EstiloTtulo112pt"/>
    <w:uiPriority w:val="99"/>
    <w:locked/>
    <w:rsid w:val="007C6E4D"/>
    <w:rPr>
      <w:rFonts w:ascii="Arial" w:hAnsi="Arial"/>
      <w:b/>
      <w:sz w:val="24"/>
      <w:lang w:val="pt-BR" w:eastAsia="pt-BR"/>
    </w:rPr>
  </w:style>
  <w:style w:type="paragraph" w:customStyle="1" w:styleId="EstiloTtulo112pt1">
    <w:name w:val="Estilo Título 1 + 12 pt1"/>
    <w:basedOn w:val="Ttulo1"/>
    <w:link w:val="EstiloTtulo112pt1Char"/>
    <w:autoRedefine/>
    <w:uiPriority w:val="99"/>
    <w:rsid w:val="007C6E4D"/>
    <w:rPr>
      <w:color w:val="auto"/>
    </w:rPr>
  </w:style>
  <w:style w:type="character" w:customStyle="1" w:styleId="EstiloTtulo112pt1Char">
    <w:name w:val="Estilo Título 1 + 12 pt1 Char"/>
    <w:link w:val="EstiloTtulo112pt1"/>
    <w:uiPriority w:val="99"/>
    <w:locked/>
    <w:rsid w:val="007C6E4D"/>
    <w:rPr>
      <w:rFonts w:ascii="Arial" w:hAnsi="Arial"/>
      <w:b/>
      <w:sz w:val="24"/>
      <w:lang w:val="pt-BR" w:eastAsia="pt-BR"/>
    </w:rPr>
  </w:style>
  <w:style w:type="character" w:customStyle="1" w:styleId="Ttulo2Char">
    <w:name w:val="Título 2 Char"/>
    <w:uiPriority w:val="99"/>
    <w:rsid w:val="00C9463D"/>
    <w:rPr>
      <w:rFonts w:ascii="Cambria Math" w:hAnsi="Cambria Math"/>
      <w:b/>
      <w:sz w:val="24"/>
      <w:lang w:val="pt-BR" w:eastAsia="pt-BR"/>
    </w:rPr>
  </w:style>
  <w:style w:type="character" w:customStyle="1" w:styleId="Ttulo1Char">
    <w:name w:val="Título 1 Char"/>
    <w:uiPriority w:val="99"/>
    <w:rsid w:val="00C9463D"/>
    <w:rPr>
      <w:rFonts w:ascii="Cambria Math" w:hAnsi="Cambria Math"/>
      <w:b/>
      <w:sz w:val="24"/>
      <w:lang w:val="pt-BR" w:eastAsia="pt-BR"/>
    </w:rPr>
  </w:style>
  <w:style w:type="paragraph" w:styleId="Legenda">
    <w:name w:val="caption"/>
    <w:basedOn w:val="Normal"/>
    <w:next w:val="Normal"/>
    <w:uiPriority w:val="99"/>
    <w:qFormat/>
    <w:rsid w:val="00E13180"/>
    <w:rPr>
      <w:b/>
      <w:bCs/>
      <w:sz w:val="20"/>
      <w:szCs w:val="20"/>
    </w:rPr>
  </w:style>
  <w:style w:type="paragraph" w:styleId="Reviso">
    <w:name w:val="Revision"/>
    <w:hidden/>
    <w:uiPriority w:val="99"/>
    <w:semiHidden/>
    <w:rsid w:val="00C60FE5"/>
    <w:rPr>
      <w:rFonts w:ascii="Cambria Math" w:hAnsi="Cambria Math" w:cs="Cambria Math"/>
    </w:rPr>
  </w:style>
  <w:style w:type="table" w:styleId="Tabelacontempornea">
    <w:name w:val="Table Contemporary"/>
    <w:basedOn w:val="Tabelanormal"/>
    <w:uiPriority w:val="99"/>
    <w:rsid w:val="00C60FE5"/>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clssica1">
    <w:name w:val="Table Classic 1"/>
    <w:aliases w:val="TABELA BASE"/>
    <w:basedOn w:val="Tabelanormal"/>
    <w:uiPriority w:val="99"/>
    <w:rsid w:val="00970D47"/>
    <w:pPr>
      <w:jc w:val="center"/>
    </w:pPr>
    <w:rPr>
      <w:rFonts w:ascii="Cambria Math" w:hAnsi="Cambria Math"/>
      <w:sz w:val="18"/>
      <w:szCs w:val="20"/>
    </w:rPr>
    <w:tblPr>
      <w:tblStyleRowBandSize w:val="1"/>
      <w:tblBorders>
        <w:top w:val="single" w:sz="12" w:space="0" w:color="000000"/>
        <w:bottom w:val="single" w:sz="12" w:space="0" w:color="000000"/>
        <w:insideV w:val="single" w:sz="2" w:space="0" w:color="BFBFBF"/>
      </w:tblBorders>
      <w:tblCellMar>
        <w:left w:w="28" w:type="dxa"/>
        <w:right w:w="28" w:type="dxa"/>
      </w:tblCellMar>
    </w:tblPr>
    <w:tcPr>
      <w:shd w:val="clear" w:color="auto" w:fill="FFFFFF"/>
    </w:tcPr>
    <w:tblStylePr w:type="firstRow">
      <w:rPr>
        <w:rFonts w:ascii="Arial" w:hAnsi="Arial" w:cs="Times New Roman"/>
        <w:b/>
        <w:i w:val="0"/>
        <w:iCs/>
        <w:sz w:val="18"/>
      </w:rPr>
      <w:tblPr/>
      <w:tcPr>
        <w:tcBorders>
          <w:bottom w:val="nil"/>
          <w:insideH w:val="nil"/>
        </w:tcBorders>
        <w:shd w:val="clear" w:color="auto" w:fill="FFFFFF"/>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pPr>
        <w:jc w:val="left"/>
      </w:pPr>
      <w:rPr>
        <w:rFonts w:cs="Times New Roman"/>
      </w:rPr>
      <w:tblPr/>
      <w:tcPr>
        <w:tcBorders>
          <w:right w:val="single" w:sz="6" w:space="0" w:color="000000"/>
        </w:tcBorders>
      </w:tcPr>
    </w:tblStylePr>
    <w:tblStylePr w:type="band1Horz">
      <w:rPr>
        <w:rFonts w:cs="Times New Roman"/>
      </w:rPr>
      <w:tblPr/>
      <w:tcPr>
        <w:shd w:val="clear" w:color="auto" w:fill="D9D9D9"/>
      </w:tcPr>
    </w:tblStylePr>
    <w:tblStylePr w:type="band2Horz">
      <w:rPr>
        <w:rFonts w:cs="Times New Roman"/>
      </w:rPr>
      <w:tblPr/>
      <w:tcPr>
        <w:shd w:val="clear" w:color="auto" w:fill="FFFFFF"/>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PargrafodaLista">
    <w:name w:val="List Paragraph"/>
    <w:aliases w:val="Meu,Answer Bullet,Itemização"/>
    <w:basedOn w:val="Normal"/>
    <w:link w:val="PargrafodaListaChar"/>
    <w:uiPriority w:val="34"/>
    <w:qFormat/>
    <w:rsid w:val="00781522"/>
    <w:pPr>
      <w:ind w:left="720"/>
      <w:contextualSpacing/>
    </w:pPr>
  </w:style>
  <w:style w:type="paragraph" w:customStyle="1" w:styleId="PargrafodaLista1">
    <w:name w:val="Parágrafo da Lista1"/>
    <w:basedOn w:val="Normal"/>
    <w:uiPriority w:val="99"/>
    <w:rsid w:val="00DB6D7C"/>
    <w:pPr>
      <w:spacing w:after="200" w:line="276" w:lineRule="auto"/>
      <w:ind w:left="720"/>
      <w:contextualSpacing/>
    </w:pPr>
    <w:rPr>
      <w:rFonts w:ascii="Symbol" w:hAnsi="Symbol"/>
      <w:lang w:eastAsia="en-US"/>
    </w:rPr>
  </w:style>
  <w:style w:type="paragraph" w:customStyle="1" w:styleId="default">
    <w:name w:val="default"/>
    <w:basedOn w:val="Normal"/>
    <w:rsid w:val="00DF6050"/>
    <w:pPr>
      <w:autoSpaceDE w:val="0"/>
      <w:autoSpaceDN w:val="0"/>
    </w:pPr>
    <w:rPr>
      <w:color w:val="000000"/>
    </w:rPr>
  </w:style>
  <w:style w:type="paragraph" w:customStyle="1" w:styleId="PargrafodaLista11">
    <w:name w:val="Parágrafo da Lista11"/>
    <w:basedOn w:val="Normal"/>
    <w:uiPriority w:val="99"/>
    <w:rsid w:val="00CA739A"/>
    <w:pPr>
      <w:spacing w:after="200" w:line="276" w:lineRule="auto"/>
      <w:ind w:left="720"/>
      <w:contextualSpacing/>
    </w:pPr>
    <w:rPr>
      <w:rFonts w:ascii="Symbol" w:hAnsi="Symbol"/>
      <w:lang w:eastAsia="en-US"/>
    </w:rPr>
  </w:style>
  <w:style w:type="character" w:styleId="Refdecomentrio">
    <w:name w:val="annotation reference"/>
    <w:basedOn w:val="Fontepargpadro"/>
    <w:uiPriority w:val="99"/>
    <w:locked/>
    <w:rsid w:val="00E23892"/>
    <w:rPr>
      <w:rFonts w:cs="Times New Roman"/>
      <w:sz w:val="16"/>
      <w:szCs w:val="16"/>
    </w:rPr>
  </w:style>
  <w:style w:type="paragraph" w:styleId="Assuntodocomentrio">
    <w:name w:val="annotation subject"/>
    <w:basedOn w:val="Textodecomentrio"/>
    <w:next w:val="Textodecomentrio"/>
    <w:link w:val="AssuntodocomentrioChar"/>
    <w:uiPriority w:val="99"/>
    <w:semiHidden/>
    <w:locked/>
    <w:rsid w:val="00E23892"/>
    <w:rPr>
      <w:rFonts w:cs="Arial"/>
      <w:b/>
      <w:bCs/>
    </w:rPr>
  </w:style>
  <w:style w:type="character" w:customStyle="1" w:styleId="AssuntodocomentrioChar">
    <w:name w:val="Assunto do comentário Char"/>
    <w:basedOn w:val="TextodecomentrioChar"/>
    <w:link w:val="Assuntodocomentrio"/>
    <w:uiPriority w:val="99"/>
    <w:semiHidden/>
    <w:locked/>
    <w:rsid w:val="00E23892"/>
    <w:rPr>
      <w:rFonts w:ascii="Arial" w:hAnsi="Arial" w:cs="Arial"/>
      <w:b/>
      <w:bCs/>
      <w:sz w:val="20"/>
      <w:szCs w:val="20"/>
    </w:rPr>
  </w:style>
  <w:style w:type="paragraph" w:customStyle="1" w:styleId="Default0">
    <w:name w:val="Default"/>
    <w:rsid w:val="00A569E2"/>
    <w:pPr>
      <w:autoSpaceDE w:val="0"/>
      <w:autoSpaceDN w:val="0"/>
      <w:adjustRightInd w:val="0"/>
    </w:pPr>
    <w:rPr>
      <w:rFonts w:ascii="Cambria Math" w:hAnsi="Cambria Math" w:cs="Cambria Math"/>
      <w:color w:val="000000"/>
      <w:sz w:val="24"/>
      <w:szCs w:val="24"/>
    </w:rPr>
  </w:style>
  <w:style w:type="paragraph" w:customStyle="1" w:styleId="PargrafodaLista2">
    <w:name w:val="Parágrafo da Lista2"/>
    <w:basedOn w:val="Normal"/>
    <w:uiPriority w:val="99"/>
    <w:rsid w:val="00A569E2"/>
    <w:pPr>
      <w:ind w:left="720"/>
      <w:contextualSpacing/>
    </w:pPr>
  </w:style>
  <w:style w:type="paragraph" w:customStyle="1" w:styleId="PargrafodaLista3">
    <w:name w:val="Parágrafo da Lista3"/>
    <w:basedOn w:val="Normal"/>
    <w:uiPriority w:val="99"/>
    <w:rsid w:val="00A569E2"/>
    <w:pPr>
      <w:ind w:left="720"/>
      <w:contextualSpacing/>
    </w:pPr>
  </w:style>
  <w:style w:type="character" w:styleId="nfaseSutil">
    <w:name w:val="Subtle Emphasis"/>
    <w:basedOn w:val="Fontepargpadro"/>
    <w:uiPriority w:val="99"/>
    <w:qFormat/>
    <w:rsid w:val="00A569E2"/>
    <w:rPr>
      <w:rFonts w:cs="Times New Roman"/>
      <w:i/>
      <w:iCs/>
      <w:color w:val="808080"/>
    </w:rPr>
  </w:style>
  <w:style w:type="numbering" w:customStyle="1" w:styleId="Listaatual1">
    <w:name w:val="Lista atual1"/>
    <w:rsid w:val="00E90476"/>
    <w:pPr>
      <w:numPr>
        <w:numId w:val="2"/>
      </w:numPr>
    </w:pPr>
  </w:style>
  <w:style w:type="paragraph" w:customStyle="1" w:styleId="PargrafodaLista4">
    <w:name w:val="Parágrafo da Lista4"/>
    <w:basedOn w:val="Normal"/>
    <w:uiPriority w:val="99"/>
    <w:rsid w:val="00583DDC"/>
    <w:pPr>
      <w:ind w:left="720"/>
      <w:contextualSpacing/>
    </w:pPr>
  </w:style>
  <w:style w:type="paragraph" w:customStyle="1" w:styleId="msolistparagraph0">
    <w:name w:val="msolistparagraph"/>
    <w:basedOn w:val="Normal"/>
    <w:uiPriority w:val="99"/>
    <w:rsid w:val="00B00FCF"/>
    <w:pPr>
      <w:ind w:left="720"/>
    </w:pPr>
  </w:style>
  <w:style w:type="character" w:customStyle="1" w:styleId="st">
    <w:name w:val="st"/>
    <w:basedOn w:val="Fontepargpadro"/>
    <w:rsid w:val="00B00FCF"/>
  </w:style>
  <w:style w:type="paragraph" w:customStyle="1" w:styleId="TableParagraph">
    <w:name w:val="Table Paragraph"/>
    <w:basedOn w:val="Normal"/>
    <w:uiPriority w:val="1"/>
    <w:qFormat/>
    <w:rsid w:val="002F2CAC"/>
    <w:pPr>
      <w:widowControl w:val="0"/>
    </w:pPr>
    <w:rPr>
      <w:rFonts w:asciiTheme="minorHAnsi" w:eastAsiaTheme="minorHAnsi" w:hAnsiTheme="minorHAnsi" w:cstheme="minorBidi"/>
      <w:lang w:val="en-US" w:eastAsia="en-US"/>
    </w:rPr>
  </w:style>
  <w:style w:type="character" w:customStyle="1" w:styleId="apple-converted-space">
    <w:name w:val="apple-converted-space"/>
    <w:basedOn w:val="Fontepargpadro"/>
    <w:rsid w:val="0002288E"/>
  </w:style>
  <w:style w:type="paragraph" w:customStyle="1" w:styleId="CharChar7CharCharCharCharCharCharCharCharCharChar">
    <w:name w:val="Char Char7 Char Char Char Char Char Char Char Char Char Char"/>
    <w:basedOn w:val="Normal"/>
    <w:uiPriority w:val="99"/>
    <w:rsid w:val="0002288E"/>
    <w:pPr>
      <w:spacing w:after="160" w:line="240" w:lineRule="exact"/>
    </w:pPr>
    <w:rPr>
      <w:rFonts w:ascii="Verdana" w:hAnsi="Verdana"/>
      <w:sz w:val="20"/>
      <w:szCs w:val="20"/>
      <w:lang w:val="en-US" w:eastAsia="en-US"/>
    </w:rPr>
  </w:style>
  <w:style w:type="paragraph" w:styleId="SemEspaamento">
    <w:name w:val="No Spacing"/>
    <w:uiPriority w:val="1"/>
    <w:qFormat/>
    <w:rsid w:val="0002288E"/>
    <w:rPr>
      <w:rFonts w:asciiTheme="minorHAnsi" w:eastAsiaTheme="minorHAnsi" w:hAnsiTheme="minorHAnsi" w:cstheme="minorBidi"/>
      <w:lang w:eastAsia="en-US"/>
    </w:rPr>
  </w:style>
  <w:style w:type="paragraph" w:customStyle="1" w:styleId="wordsection1">
    <w:name w:val="wordsection1"/>
    <w:basedOn w:val="Normal"/>
    <w:link w:val="wordsection1Char"/>
    <w:uiPriority w:val="99"/>
    <w:rsid w:val="0007137A"/>
    <w:pPr>
      <w:spacing w:before="100" w:beforeAutospacing="1" w:after="100" w:afterAutospacing="1"/>
    </w:pPr>
    <w:rPr>
      <w:rFonts w:eastAsiaTheme="minorHAnsi"/>
    </w:rPr>
  </w:style>
  <w:style w:type="paragraph" w:customStyle="1" w:styleId="072-Rodapdatabela">
    <w:name w:val="072 - Rodapé da tabela"/>
    <w:basedOn w:val="Normal"/>
    <w:next w:val="Normal"/>
    <w:link w:val="072-RodapdatabelaChar"/>
    <w:qFormat/>
    <w:rsid w:val="00DF23CC"/>
    <w:pPr>
      <w:keepNext/>
      <w:keepLines/>
      <w:tabs>
        <w:tab w:val="left" w:pos="284"/>
      </w:tabs>
      <w:spacing w:before="40"/>
      <w:ind w:left="284" w:hanging="284"/>
      <w:jc w:val="both"/>
    </w:pPr>
    <w:rPr>
      <w:sz w:val="14"/>
      <w:szCs w:val="18"/>
    </w:rPr>
  </w:style>
  <w:style w:type="character" w:customStyle="1" w:styleId="072-RodapdatabelaChar">
    <w:name w:val="072 - Rodapé da tabela Char"/>
    <w:basedOn w:val="Fontepargpadro"/>
    <w:link w:val="072-Rodapdatabela"/>
    <w:rsid w:val="00DF23CC"/>
    <w:rPr>
      <w:rFonts w:ascii="Arial" w:hAnsi="Arial"/>
      <w:sz w:val="14"/>
      <w:szCs w:val="18"/>
    </w:rPr>
  </w:style>
  <w:style w:type="character" w:customStyle="1" w:styleId="st1">
    <w:name w:val="st1"/>
    <w:basedOn w:val="Fontepargpadro"/>
    <w:rsid w:val="00572B9E"/>
  </w:style>
  <w:style w:type="character" w:customStyle="1" w:styleId="wordsection1Char">
    <w:name w:val="wordsection1 Char"/>
    <w:basedOn w:val="Fontepargpadro"/>
    <w:link w:val="wordsection1"/>
    <w:uiPriority w:val="99"/>
    <w:locked/>
    <w:rsid w:val="00CB04D1"/>
    <w:rPr>
      <w:rFonts w:eastAsiaTheme="minorHAnsi"/>
      <w:sz w:val="24"/>
      <w:szCs w:val="24"/>
    </w:rPr>
  </w:style>
  <w:style w:type="character" w:customStyle="1" w:styleId="ilfuvd">
    <w:name w:val="ilfuvd"/>
    <w:basedOn w:val="Fontepargpadro"/>
    <w:rsid w:val="00C645F7"/>
  </w:style>
  <w:style w:type="character" w:customStyle="1" w:styleId="PargrafodaListaChar">
    <w:name w:val="Parágrafo da Lista Char"/>
    <w:aliases w:val="Meu Char,Answer Bullet Char,Itemização Char"/>
    <w:basedOn w:val="Fontepargpadro"/>
    <w:link w:val="PargrafodaLista"/>
    <w:uiPriority w:val="34"/>
    <w:qFormat/>
    <w:rsid w:val="005D278C"/>
    <w:rPr>
      <w:rFonts w:ascii="Arial" w:hAnsi="Arial" w:cs="Arial"/>
    </w:rPr>
  </w:style>
  <w:style w:type="paragraph" w:styleId="Textodenotaderodap">
    <w:name w:val="footnote text"/>
    <w:basedOn w:val="Normal"/>
    <w:link w:val="TextodenotaderodapChar"/>
    <w:uiPriority w:val="99"/>
    <w:semiHidden/>
    <w:unhideWhenUsed/>
    <w:locked/>
    <w:rsid w:val="0019155E"/>
    <w:rPr>
      <w:sz w:val="20"/>
      <w:szCs w:val="20"/>
    </w:rPr>
  </w:style>
  <w:style w:type="character" w:customStyle="1" w:styleId="TextodenotaderodapChar">
    <w:name w:val="Texto de nota de rodapé Char"/>
    <w:basedOn w:val="Fontepargpadro"/>
    <w:link w:val="Textodenotaderodap"/>
    <w:uiPriority w:val="99"/>
    <w:semiHidden/>
    <w:rsid w:val="0019155E"/>
    <w:rPr>
      <w:rFonts w:ascii="Arial" w:hAnsi="Arial" w:cs="Arial"/>
      <w:sz w:val="20"/>
      <w:szCs w:val="20"/>
    </w:rPr>
  </w:style>
  <w:style w:type="character" w:styleId="Refdenotaderodap">
    <w:name w:val="footnote reference"/>
    <w:basedOn w:val="Fontepargpadro"/>
    <w:uiPriority w:val="99"/>
    <w:semiHidden/>
    <w:unhideWhenUsed/>
    <w:locked/>
    <w:rsid w:val="0019155E"/>
    <w:rPr>
      <w:vertAlign w:val="superscript"/>
    </w:rPr>
  </w:style>
  <w:style w:type="paragraph" w:customStyle="1" w:styleId="msonormal0">
    <w:name w:val="msonormal"/>
    <w:basedOn w:val="Normal"/>
    <w:uiPriority w:val="99"/>
    <w:rsid w:val="008C3487"/>
    <w:pPr>
      <w:spacing w:before="100" w:beforeAutospacing="1" w:after="100" w:afterAutospacing="1"/>
    </w:pPr>
    <w:rPr>
      <w:rFonts w:ascii="Arial Unicode MS" w:eastAsia="Arial Unicode MS" w:hAnsi="Arial Unicode MS" w:cs="Arial Unicode MS"/>
    </w:rPr>
  </w:style>
  <w:style w:type="character" w:customStyle="1" w:styleId="CorpodetextoChar1">
    <w:name w:val="Corpo de texto Char1"/>
    <w:aliases w:val="bt Char1"/>
    <w:basedOn w:val="Fontepargpadro"/>
    <w:uiPriority w:val="1"/>
    <w:semiHidden/>
    <w:rsid w:val="008C3487"/>
    <w:rPr>
      <w:rFonts w:ascii="Cambria Math" w:hAnsi="Cambria Math" w:cs="Cambria Math"/>
    </w:rPr>
  </w:style>
  <w:style w:type="character" w:styleId="MenoPendente">
    <w:name w:val="Unresolved Mention"/>
    <w:basedOn w:val="Fontepargpadro"/>
    <w:uiPriority w:val="99"/>
    <w:unhideWhenUsed/>
    <w:rsid w:val="004C1966"/>
    <w:rPr>
      <w:color w:val="605E5C"/>
      <w:shd w:val="clear" w:color="auto" w:fill="E1DFDD"/>
    </w:rPr>
  </w:style>
  <w:style w:type="character" w:customStyle="1" w:styleId="050-TextoPadroChar">
    <w:name w:val="050 - Texto Padrão Char"/>
    <w:basedOn w:val="Fontepargpadro"/>
    <w:link w:val="050-TextoPadro"/>
    <w:locked/>
    <w:rsid w:val="003E10D7"/>
  </w:style>
  <w:style w:type="paragraph" w:customStyle="1" w:styleId="050-TextoPadro">
    <w:name w:val="050 - Texto Padrão"/>
    <w:basedOn w:val="Normal"/>
    <w:link w:val="050-TextoPadroChar"/>
    <w:qFormat/>
    <w:rsid w:val="003E10D7"/>
    <w:pPr>
      <w:keepNext/>
      <w:keepLines/>
      <w:spacing w:before="120" w:after="120" w:line="276" w:lineRule="auto"/>
      <w:jc w:val="both"/>
    </w:pPr>
  </w:style>
  <w:style w:type="character" w:customStyle="1" w:styleId="normaltextrun">
    <w:name w:val="normaltextrun"/>
    <w:basedOn w:val="Fontepargpadro"/>
    <w:rsid w:val="00594BD0"/>
  </w:style>
  <w:style w:type="character" w:customStyle="1" w:styleId="e24kjd">
    <w:name w:val="e24kjd"/>
    <w:basedOn w:val="Fontepargpadro"/>
    <w:rsid w:val="00EC2363"/>
  </w:style>
  <w:style w:type="paragraph" w:styleId="Ttulo">
    <w:name w:val="Title"/>
    <w:basedOn w:val="Normal"/>
    <w:next w:val="Normal"/>
    <w:link w:val="TtuloChar"/>
    <w:qFormat/>
    <w:rsid w:val="00115D09"/>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115D09"/>
    <w:rPr>
      <w:rFonts w:asciiTheme="majorHAnsi" w:eastAsiaTheme="majorEastAsia" w:hAnsiTheme="majorHAnsi" w:cstheme="majorBidi"/>
      <w:spacing w:val="-10"/>
      <w:kern w:val="28"/>
      <w:sz w:val="56"/>
      <w:szCs w:val="56"/>
    </w:rPr>
  </w:style>
  <w:style w:type="paragraph" w:customStyle="1" w:styleId="020-TtulodeDocumento">
    <w:name w:val="020 - Título de Documento"/>
    <w:basedOn w:val="050-TextoPadro"/>
    <w:next w:val="050-TextoPadro"/>
    <w:qFormat/>
    <w:rsid w:val="00184030"/>
    <w:pPr>
      <w:spacing w:line="240" w:lineRule="auto"/>
      <w:ind w:left="1440" w:hanging="360"/>
      <w:outlineLvl w:val="1"/>
    </w:pPr>
    <w:rPr>
      <w:rFonts w:ascii="Cambria Math" w:hAnsi="Cambria Math"/>
      <w:b/>
      <w:spacing w:val="-2"/>
      <w:sz w:val="20"/>
      <w:szCs w:val="18"/>
    </w:rPr>
  </w:style>
  <w:style w:type="paragraph" w:customStyle="1" w:styleId="030-SubttulodeDocumento">
    <w:name w:val="030 - Subtítulo de Documento"/>
    <w:basedOn w:val="050-TextoPadro"/>
    <w:next w:val="050-TextoPadro"/>
    <w:link w:val="030-SubttulodeDocumentoChar"/>
    <w:qFormat/>
    <w:rsid w:val="00184030"/>
    <w:pPr>
      <w:spacing w:line="240" w:lineRule="auto"/>
      <w:ind w:left="2160" w:hanging="180"/>
      <w:outlineLvl w:val="2"/>
    </w:pPr>
    <w:rPr>
      <w:rFonts w:ascii="Cambria Math" w:hAnsi="Cambria Math"/>
      <w:b/>
      <w:sz w:val="20"/>
      <w:szCs w:val="18"/>
    </w:rPr>
  </w:style>
  <w:style w:type="paragraph" w:customStyle="1" w:styleId="040-SubttuloEspecial">
    <w:name w:val="040 - Subtítulo Especial"/>
    <w:basedOn w:val="030-SubttulodeDocumento"/>
    <w:next w:val="050-TextoPadro"/>
    <w:qFormat/>
    <w:rsid w:val="00184030"/>
    <w:pPr>
      <w:ind w:left="3600" w:hanging="360"/>
      <w:outlineLvl w:val="4"/>
    </w:pPr>
  </w:style>
  <w:style w:type="paragraph" w:customStyle="1" w:styleId="010-Grupo">
    <w:name w:val="010 - Grupo"/>
    <w:basedOn w:val="Ttulo1"/>
    <w:next w:val="020-TtulodeDocumento"/>
    <w:qFormat/>
    <w:rsid w:val="00184030"/>
    <w:pPr>
      <w:keepNext/>
      <w:keepLines/>
      <w:framePr w:wrap="notBeside" w:vAnchor="page" w:hAnchor="page" w:xAlign="center" w:yAlign="top" w:anchorLock="1"/>
      <w:tabs>
        <w:tab w:val="left" w:pos="0"/>
      </w:tabs>
      <w:suppressAutoHyphens/>
      <w:spacing w:after="0" w:line="276" w:lineRule="auto"/>
      <w:ind w:left="720" w:hanging="360"/>
    </w:pPr>
    <w:rPr>
      <w:rFonts w:ascii="Cambria Math" w:hAnsi="Cambria Math"/>
      <w:color w:val="E3EDF6"/>
      <w:spacing w:val="-2"/>
      <w:sz w:val="12"/>
      <w:szCs w:val="18"/>
      <w14:textFill>
        <w14:solidFill>
          <w14:srgbClr w14:val="E3EDF6">
            <w14:alpha w14:val="100000"/>
          </w14:srgbClr>
        </w14:solidFill>
      </w14:textFill>
    </w:rPr>
  </w:style>
  <w:style w:type="numbering" w:customStyle="1" w:styleId="PubliConLista">
    <w:name w:val="PubliConLista"/>
    <w:uiPriority w:val="99"/>
    <w:rsid w:val="00184030"/>
    <w:pPr>
      <w:numPr>
        <w:numId w:val="33"/>
      </w:numPr>
    </w:pPr>
  </w:style>
  <w:style w:type="paragraph" w:customStyle="1" w:styleId="031-SubttulodeDocumentoLista">
    <w:name w:val="031 - Subtítulo de Documento Lista"/>
    <w:basedOn w:val="030-SubttulodeDocumento"/>
    <w:next w:val="050-TextoPadro"/>
    <w:qFormat/>
    <w:rsid w:val="00184030"/>
    <w:pPr>
      <w:ind w:left="2880" w:hanging="360"/>
      <w:outlineLvl w:val="3"/>
    </w:pPr>
  </w:style>
  <w:style w:type="table" w:customStyle="1" w:styleId="TableNormal1">
    <w:name w:val="Table Normal1"/>
    <w:uiPriority w:val="2"/>
    <w:semiHidden/>
    <w:unhideWhenUsed/>
    <w:qFormat/>
    <w:rsid w:val="005602C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35AC5"/>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msolistparagraph">
    <w:name w:val="x_msolistparagraph"/>
    <w:basedOn w:val="Normal"/>
    <w:rsid w:val="009A31CC"/>
    <w:pPr>
      <w:ind w:left="720"/>
    </w:pPr>
    <w:rPr>
      <w:rFonts w:ascii="Calibri" w:eastAsiaTheme="minorHAnsi" w:hAnsi="Calibri" w:cs="Calibri"/>
    </w:rPr>
  </w:style>
  <w:style w:type="paragraph" w:styleId="Pr-formataoHTML">
    <w:name w:val="HTML Preformatted"/>
    <w:basedOn w:val="Normal"/>
    <w:link w:val="Pr-formataoHTMLChar"/>
    <w:uiPriority w:val="99"/>
    <w:semiHidden/>
    <w:unhideWhenUsed/>
    <w:locked/>
    <w:rsid w:val="0057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74C13"/>
    <w:rPr>
      <w:rFonts w:ascii="Courier New" w:eastAsia="Times New Roman" w:hAnsi="Courier New" w:cs="Courier New"/>
      <w:sz w:val="20"/>
      <w:szCs w:val="20"/>
    </w:rPr>
  </w:style>
  <w:style w:type="character" w:customStyle="1" w:styleId="y2iqfc">
    <w:name w:val="y2iqfc"/>
    <w:basedOn w:val="Fontepargpadro"/>
    <w:rsid w:val="00574C13"/>
  </w:style>
  <w:style w:type="paragraph" w:customStyle="1" w:styleId="content-textcontainer">
    <w:name w:val="content-text__container"/>
    <w:basedOn w:val="Normal"/>
    <w:rsid w:val="00134B23"/>
    <w:pPr>
      <w:spacing w:before="100" w:beforeAutospacing="1" w:after="100" w:afterAutospacing="1"/>
    </w:pPr>
    <w:rPr>
      <w:rFonts w:ascii="Times New Roman" w:eastAsia="Times New Roman" w:hAnsi="Times New Roman" w:cs="Times New Roman"/>
    </w:rPr>
  </w:style>
  <w:style w:type="character" w:customStyle="1" w:styleId="eop">
    <w:name w:val="eop"/>
    <w:basedOn w:val="Fontepargpadro"/>
    <w:rsid w:val="00292763"/>
  </w:style>
  <w:style w:type="character" w:customStyle="1" w:styleId="ui-provider">
    <w:name w:val="ui-provider"/>
    <w:basedOn w:val="Fontepargpadro"/>
    <w:rsid w:val="004E69EA"/>
  </w:style>
  <w:style w:type="paragraph" w:customStyle="1" w:styleId="paragraph">
    <w:name w:val="paragraph"/>
    <w:basedOn w:val="Normal"/>
    <w:rsid w:val="00DD4890"/>
    <w:pPr>
      <w:spacing w:before="100" w:beforeAutospacing="1" w:after="100" w:afterAutospacing="1"/>
    </w:pPr>
    <w:rPr>
      <w:rFonts w:ascii="Times New Roman" w:eastAsia="Times New Roman" w:hAnsi="Times New Roman" w:cs="Times New Roman"/>
    </w:rPr>
  </w:style>
  <w:style w:type="paragraph" w:customStyle="1" w:styleId="057-Listanrromano">
    <w:name w:val="057 - Lista nr romano"/>
    <w:basedOn w:val="050-TextoPadro"/>
    <w:qFormat/>
    <w:rsid w:val="001F7ECF"/>
    <w:pPr>
      <w:tabs>
        <w:tab w:val="num" w:pos="360"/>
      </w:tabs>
      <w:spacing w:before="0" w:after="0" w:line="240" w:lineRule="auto"/>
    </w:pPr>
    <w:rPr>
      <w:rFonts w:ascii="BancoDoBrasil Textos" w:hAnsi="BancoDoBrasil Textos"/>
      <w:sz w:val="22"/>
      <w:szCs w:val="22"/>
    </w:rPr>
  </w:style>
  <w:style w:type="character" w:customStyle="1" w:styleId="030-SubttulodeDocumentoChar">
    <w:name w:val="030 - Subtítulo de Documento Char"/>
    <w:basedOn w:val="050-TextoPadroChar"/>
    <w:link w:val="030-SubttulodeDocumento"/>
    <w:locked/>
    <w:rsid w:val="001F7ECF"/>
    <w:rPr>
      <w:rFonts w:ascii="Cambria Math" w:hAnsi="Cambria Math"/>
      <w:b/>
      <w:sz w:val="20"/>
      <w:szCs w:val="18"/>
    </w:rPr>
  </w:style>
  <w:style w:type="paragraph" w:customStyle="1" w:styleId="xmsonormal">
    <w:name w:val="x_msonormal"/>
    <w:basedOn w:val="Normal"/>
    <w:rsid w:val="00F2105C"/>
    <w:pPr>
      <w:spacing w:before="100" w:beforeAutospacing="1" w:after="100" w:afterAutospacing="1"/>
    </w:pPr>
    <w:rPr>
      <w:rFonts w:ascii="Calibri" w:eastAsiaTheme="minorHAnsi" w:hAnsi="Calibri" w:cs="Calibri"/>
      <w:sz w:val="22"/>
      <w:szCs w:val="22"/>
    </w:rPr>
  </w:style>
  <w:style w:type="paragraph" w:customStyle="1" w:styleId="Ttulo1Leo">
    <w:name w:val="Título1_Leo"/>
    <w:basedOn w:val="Sumrio1"/>
    <w:qFormat/>
    <w:rsid w:val="008566EF"/>
    <w:pPr>
      <w:widowControl w:val="0"/>
      <w:tabs>
        <w:tab w:val="clear" w:pos="990"/>
        <w:tab w:val="clear" w:pos="1210"/>
        <w:tab w:val="clear" w:pos="9639"/>
      </w:tabs>
      <w:spacing w:before="120" w:after="0"/>
    </w:pPr>
    <w:rPr>
      <w:rFonts w:ascii="Calibri Light" w:eastAsia="Arial" w:hAnsi="Calibri Light" w:cs="Arial"/>
      <w:b/>
      <w:bCs/>
      <w:noProof w:val="0"/>
      <w:color w:val="2F75B5"/>
      <w:sz w:val="28"/>
      <w:lang w:val="en-US" w:eastAsia="en-US"/>
    </w:rPr>
  </w:style>
  <w:style w:type="character" w:styleId="Meno">
    <w:name w:val="Mention"/>
    <w:basedOn w:val="Fontepargpadro"/>
    <w:uiPriority w:val="99"/>
    <w:unhideWhenUsed/>
    <w:rsid w:val="00E90323"/>
    <w:rPr>
      <w:color w:val="2B579A"/>
      <w:shd w:val="clear" w:color="auto" w:fill="E1DFDD"/>
    </w:rPr>
  </w:style>
  <w:style w:type="paragraph" w:customStyle="1" w:styleId="Pargrafobsico">
    <w:name w:val="[Parágrafo básico]"/>
    <w:basedOn w:val="Normal"/>
    <w:uiPriority w:val="99"/>
    <w:rsid w:val="008A627E"/>
    <w:pPr>
      <w:widowControl w:val="0"/>
      <w:spacing w:before="288" w:after="120"/>
      <w:jc w:val="both"/>
    </w:pPr>
    <w:rPr>
      <w:rFonts w:ascii="Futura Std Book" w:eastAsiaTheme="minorHAnsi" w:hAnsi="Futura Std Book" w:cs="Arial"/>
      <w:noProof/>
      <w:color w:val="0066B2"/>
      <w:sz w:val="22"/>
    </w:rPr>
  </w:style>
  <w:style w:type="table" w:customStyle="1" w:styleId="Tabelacomgrade1">
    <w:name w:val="Tabela com grade1"/>
    <w:basedOn w:val="Tabelanormal"/>
    <w:next w:val="Tabelacomgrade"/>
    <w:uiPriority w:val="39"/>
    <w:rsid w:val="00566AC1"/>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17644"/>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364">
      <w:bodyDiv w:val="1"/>
      <w:marLeft w:val="0"/>
      <w:marRight w:val="0"/>
      <w:marTop w:val="0"/>
      <w:marBottom w:val="0"/>
      <w:divBdr>
        <w:top w:val="none" w:sz="0" w:space="0" w:color="auto"/>
        <w:left w:val="none" w:sz="0" w:space="0" w:color="auto"/>
        <w:bottom w:val="none" w:sz="0" w:space="0" w:color="auto"/>
        <w:right w:val="none" w:sz="0" w:space="0" w:color="auto"/>
      </w:divBdr>
    </w:div>
    <w:div w:id="983087">
      <w:bodyDiv w:val="1"/>
      <w:marLeft w:val="0"/>
      <w:marRight w:val="0"/>
      <w:marTop w:val="0"/>
      <w:marBottom w:val="0"/>
      <w:divBdr>
        <w:top w:val="none" w:sz="0" w:space="0" w:color="auto"/>
        <w:left w:val="none" w:sz="0" w:space="0" w:color="auto"/>
        <w:bottom w:val="none" w:sz="0" w:space="0" w:color="auto"/>
        <w:right w:val="none" w:sz="0" w:space="0" w:color="auto"/>
      </w:divBdr>
    </w:div>
    <w:div w:id="1006828">
      <w:bodyDiv w:val="1"/>
      <w:marLeft w:val="0"/>
      <w:marRight w:val="0"/>
      <w:marTop w:val="0"/>
      <w:marBottom w:val="0"/>
      <w:divBdr>
        <w:top w:val="none" w:sz="0" w:space="0" w:color="auto"/>
        <w:left w:val="none" w:sz="0" w:space="0" w:color="auto"/>
        <w:bottom w:val="none" w:sz="0" w:space="0" w:color="auto"/>
        <w:right w:val="none" w:sz="0" w:space="0" w:color="auto"/>
      </w:divBdr>
    </w:div>
    <w:div w:id="1056009">
      <w:bodyDiv w:val="1"/>
      <w:marLeft w:val="0"/>
      <w:marRight w:val="0"/>
      <w:marTop w:val="0"/>
      <w:marBottom w:val="0"/>
      <w:divBdr>
        <w:top w:val="none" w:sz="0" w:space="0" w:color="auto"/>
        <w:left w:val="none" w:sz="0" w:space="0" w:color="auto"/>
        <w:bottom w:val="none" w:sz="0" w:space="0" w:color="auto"/>
        <w:right w:val="none" w:sz="0" w:space="0" w:color="auto"/>
      </w:divBdr>
    </w:div>
    <w:div w:id="2514528">
      <w:bodyDiv w:val="1"/>
      <w:marLeft w:val="0"/>
      <w:marRight w:val="0"/>
      <w:marTop w:val="0"/>
      <w:marBottom w:val="0"/>
      <w:divBdr>
        <w:top w:val="none" w:sz="0" w:space="0" w:color="auto"/>
        <w:left w:val="none" w:sz="0" w:space="0" w:color="auto"/>
        <w:bottom w:val="none" w:sz="0" w:space="0" w:color="auto"/>
        <w:right w:val="none" w:sz="0" w:space="0" w:color="auto"/>
      </w:divBdr>
      <w:divsChild>
        <w:div w:id="1495028144">
          <w:marLeft w:val="0"/>
          <w:marRight w:val="0"/>
          <w:marTop w:val="0"/>
          <w:marBottom w:val="0"/>
          <w:divBdr>
            <w:top w:val="none" w:sz="0" w:space="0" w:color="auto"/>
            <w:left w:val="none" w:sz="0" w:space="0" w:color="auto"/>
            <w:bottom w:val="none" w:sz="0" w:space="0" w:color="auto"/>
            <w:right w:val="none" w:sz="0" w:space="0" w:color="auto"/>
          </w:divBdr>
        </w:div>
      </w:divsChild>
    </w:div>
    <w:div w:id="2704835">
      <w:bodyDiv w:val="1"/>
      <w:marLeft w:val="0"/>
      <w:marRight w:val="0"/>
      <w:marTop w:val="0"/>
      <w:marBottom w:val="0"/>
      <w:divBdr>
        <w:top w:val="none" w:sz="0" w:space="0" w:color="auto"/>
        <w:left w:val="none" w:sz="0" w:space="0" w:color="auto"/>
        <w:bottom w:val="none" w:sz="0" w:space="0" w:color="auto"/>
        <w:right w:val="none" w:sz="0" w:space="0" w:color="auto"/>
      </w:divBdr>
    </w:div>
    <w:div w:id="3171675">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5642062">
      <w:bodyDiv w:val="1"/>
      <w:marLeft w:val="0"/>
      <w:marRight w:val="0"/>
      <w:marTop w:val="0"/>
      <w:marBottom w:val="0"/>
      <w:divBdr>
        <w:top w:val="none" w:sz="0" w:space="0" w:color="auto"/>
        <w:left w:val="none" w:sz="0" w:space="0" w:color="auto"/>
        <w:bottom w:val="none" w:sz="0" w:space="0" w:color="auto"/>
        <w:right w:val="none" w:sz="0" w:space="0" w:color="auto"/>
      </w:divBdr>
    </w:div>
    <w:div w:id="6254599">
      <w:bodyDiv w:val="1"/>
      <w:marLeft w:val="0"/>
      <w:marRight w:val="0"/>
      <w:marTop w:val="0"/>
      <w:marBottom w:val="0"/>
      <w:divBdr>
        <w:top w:val="none" w:sz="0" w:space="0" w:color="auto"/>
        <w:left w:val="none" w:sz="0" w:space="0" w:color="auto"/>
        <w:bottom w:val="none" w:sz="0" w:space="0" w:color="auto"/>
        <w:right w:val="none" w:sz="0" w:space="0" w:color="auto"/>
      </w:divBdr>
    </w:div>
    <w:div w:id="6642568">
      <w:bodyDiv w:val="1"/>
      <w:marLeft w:val="0"/>
      <w:marRight w:val="0"/>
      <w:marTop w:val="0"/>
      <w:marBottom w:val="0"/>
      <w:divBdr>
        <w:top w:val="none" w:sz="0" w:space="0" w:color="auto"/>
        <w:left w:val="none" w:sz="0" w:space="0" w:color="auto"/>
        <w:bottom w:val="none" w:sz="0" w:space="0" w:color="auto"/>
        <w:right w:val="none" w:sz="0" w:space="0" w:color="auto"/>
      </w:divBdr>
    </w:div>
    <w:div w:id="7292541">
      <w:bodyDiv w:val="1"/>
      <w:marLeft w:val="0"/>
      <w:marRight w:val="0"/>
      <w:marTop w:val="0"/>
      <w:marBottom w:val="0"/>
      <w:divBdr>
        <w:top w:val="none" w:sz="0" w:space="0" w:color="auto"/>
        <w:left w:val="none" w:sz="0" w:space="0" w:color="auto"/>
        <w:bottom w:val="none" w:sz="0" w:space="0" w:color="auto"/>
        <w:right w:val="none" w:sz="0" w:space="0" w:color="auto"/>
      </w:divBdr>
    </w:div>
    <w:div w:id="7414138">
      <w:bodyDiv w:val="1"/>
      <w:marLeft w:val="0"/>
      <w:marRight w:val="0"/>
      <w:marTop w:val="0"/>
      <w:marBottom w:val="0"/>
      <w:divBdr>
        <w:top w:val="none" w:sz="0" w:space="0" w:color="auto"/>
        <w:left w:val="none" w:sz="0" w:space="0" w:color="auto"/>
        <w:bottom w:val="none" w:sz="0" w:space="0" w:color="auto"/>
        <w:right w:val="none" w:sz="0" w:space="0" w:color="auto"/>
      </w:divBdr>
    </w:div>
    <w:div w:id="8531550">
      <w:bodyDiv w:val="1"/>
      <w:marLeft w:val="0"/>
      <w:marRight w:val="0"/>
      <w:marTop w:val="0"/>
      <w:marBottom w:val="0"/>
      <w:divBdr>
        <w:top w:val="none" w:sz="0" w:space="0" w:color="auto"/>
        <w:left w:val="none" w:sz="0" w:space="0" w:color="auto"/>
        <w:bottom w:val="none" w:sz="0" w:space="0" w:color="auto"/>
        <w:right w:val="none" w:sz="0" w:space="0" w:color="auto"/>
      </w:divBdr>
    </w:div>
    <w:div w:id="8802562">
      <w:bodyDiv w:val="1"/>
      <w:marLeft w:val="0"/>
      <w:marRight w:val="0"/>
      <w:marTop w:val="0"/>
      <w:marBottom w:val="0"/>
      <w:divBdr>
        <w:top w:val="none" w:sz="0" w:space="0" w:color="auto"/>
        <w:left w:val="none" w:sz="0" w:space="0" w:color="auto"/>
        <w:bottom w:val="none" w:sz="0" w:space="0" w:color="auto"/>
        <w:right w:val="none" w:sz="0" w:space="0" w:color="auto"/>
      </w:divBdr>
    </w:div>
    <w:div w:id="9645682">
      <w:bodyDiv w:val="1"/>
      <w:marLeft w:val="0"/>
      <w:marRight w:val="0"/>
      <w:marTop w:val="0"/>
      <w:marBottom w:val="0"/>
      <w:divBdr>
        <w:top w:val="none" w:sz="0" w:space="0" w:color="auto"/>
        <w:left w:val="none" w:sz="0" w:space="0" w:color="auto"/>
        <w:bottom w:val="none" w:sz="0" w:space="0" w:color="auto"/>
        <w:right w:val="none" w:sz="0" w:space="0" w:color="auto"/>
      </w:divBdr>
    </w:div>
    <w:div w:id="12269392">
      <w:bodyDiv w:val="1"/>
      <w:marLeft w:val="0"/>
      <w:marRight w:val="0"/>
      <w:marTop w:val="0"/>
      <w:marBottom w:val="0"/>
      <w:divBdr>
        <w:top w:val="none" w:sz="0" w:space="0" w:color="auto"/>
        <w:left w:val="none" w:sz="0" w:space="0" w:color="auto"/>
        <w:bottom w:val="none" w:sz="0" w:space="0" w:color="auto"/>
        <w:right w:val="none" w:sz="0" w:space="0" w:color="auto"/>
      </w:divBdr>
    </w:div>
    <w:div w:id="12340308">
      <w:bodyDiv w:val="1"/>
      <w:marLeft w:val="0"/>
      <w:marRight w:val="0"/>
      <w:marTop w:val="0"/>
      <w:marBottom w:val="0"/>
      <w:divBdr>
        <w:top w:val="none" w:sz="0" w:space="0" w:color="auto"/>
        <w:left w:val="none" w:sz="0" w:space="0" w:color="auto"/>
        <w:bottom w:val="none" w:sz="0" w:space="0" w:color="auto"/>
        <w:right w:val="none" w:sz="0" w:space="0" w:color="auto"/>
      </w:divBdr>
    </w:div>
    <w:div w:id="12344422">
      <w:bodyDiv w:val="1"/>
      <w:marLeft w:val="0"/>
      <w:marRight w:val="0"/>
      <w:marTop w:val="0"/>
      <w:marBottom w:val="0"/>
      <w:divBdr>
        <w:top w:val="none" w:sz="0" w:space="0" w:color="auto"/>
        <w:left w:val="none" w:sz="0" w:space="0" w:color="auto"/>
        <w:bottom w:val="none" w:sz="0" w:space="0" w:color="auto"/>
        <w:right w:val="none" w:sz="0" w:space="0" w:color="auto"/>
      </w:divBdr>
    </w:div>
    <w:div w:id="12346796">
      <w:bodyDiv w:val="1"/>
      <w:marLeft w:val="0"/>
      <w:marRight w:val="0"/>
      <w:marTop w:val="0"/>
      <w:marBottom w:val="0"/>
      <w:divBdr>
        <w:top w:val="none" w:sz="0" w:space="0" w:color="auto"/>
        <w:left w:val="none" w:sz="0" w:space="0" w:color="auto"/>
        <w:bottom w:val="none" w:sz="0" w:space="0" w:color="auto"/>
        <w:right w:val="none" w:sz="0" w:space="0" w:color="auto"/>
      </w:divBdr>
    </w:div>
    <w:div w:id="12386591">
      <w:bodyDiv w:val="1"/>
      <w:marLeft w:val="0"/>
      <w:marRight w:val="0"/>
      <w:marTop w:val="0"/>
      <w:marBottom w:val="0"/>
      <w:divBdr>
        <w:top w:val="none" w:sz="0" w:space="0" w:color="auto"/>
        <w:left w:val="none" w:sz="0" w:space="0" w:color="auto"/>
        <w:bottom w:val="none" w:sz="0" w:space="0" w:color="auto"/>
        <w:right w:val="none" w:sz="0" w:space="0" w:color="auto"/>
      </w:divBdr>
    </w:div>
    <w:div w:id="12541770">
      <w:bodyDiv w:val="1"/>
      <w:marLeft w:val="0"/>
      <w:marRight w:val="0"/>
      <w:marTop w:val="0"/>
      <w:marBottom w:val="0"/>
      <w:divBdr>
        <w:top w:val="none" w:sz="0" w:space="0" w:color="auto"/>
        <w:left w:val="none" w:sz="0" w:space="0" w:color="auto"/>
        <w:bottom w:val="none" w:sz="0" w:space="0" w:color="auto"/>
        <w:right w:val="none" w:sz="0" w:space="0" w:color="auto"/>
      </w:divBdr>
    </w:div>
    <w:div w:id="12615562">
      <w:bodyDiv w:val="1"/>
      <w:marLeft w:val="0"/>
      <w:marRight w:val="0"/>
      <w:marTop w:val="0"/>
      <w:marBottom w:val="0"/>
      <w:divBdr>
        <w:top w:val="none" w:sz="0" w:space="0" w:color="auto"/>
        <w:left w:val="none" w:sz="0" w:space="0" w:color="auto"/>
        <w:bottom w:val="none" w:sz="0" w:space="0" w:color="auto"/>
        <w:right w:val="none" w:sz="0" w:space="0" w:color="auto"/>
      </w:divBdr>
    </w:div>
    <w:div w:id="12801386">
      <w:bodyDiv w:val="1"/>
      <w:marLeft w:val="0"/>
      <w:marRight w:val="0"/>
      <w:marTop w:val="0"/>
      <w:marBottom w:val="0"/>
      <w:divBdr>
        <w:top w:val="none" w:sz="0" w:space="0" w:color="auto"/>
        <w:left w:val="none" w:sz="0" w:space="0" w:color="auto"/>
        <w:bottom w:val="none" w:sz="0" w:space="0" w:color="auto"/>
        <w:right w:val="none" w:sz="0" w:space="0" w:color="auto"/>
      </w:divBdr>
    </w:div>
    <w:div w:id="13117609">
      <w:bodyDiv w:val="1"/>
      <w:marLeft w:val="0"/>
      <w:marRight w:val="0"/>
      <w:marTop w:val="0"/>
      <w:marBottom w:val="0"/>
      <w:divBdr>
        <w:top w:val="none" w:sz="0" w:space="0" w:color="auto"/>
        <w:left w:val="none" w:sz="0" w:space="0" w:color="auto"/>
        <w:bottom w:val="none" w:sz="0" w:space="0" w:color="auto"/>
        <w:right w:val="none" w:sz="0" w:space="0" w:color="auto"/>
      </w:divBdr>
    </w:div>
    <w:div w:id="13117905">
      <w:bodyDiv w:val="1"/>
      <w:marLeft w:val="0"/>
      <w:marRight w:val="0"/>
      <w:marTop w:val="0"/>
      <w:marBottom w:val="0"/>
      <w:divBdr>
        <w:top w:val="none" w:sz="0" w:space="0" w:color="auto"/>
        <w:left w:val="none" w:sz="0" w:space="0" w:color="auto"/>
        <w:bottom w:val="none" w:sz="0" w:space="0" w:color="auto"/>
        <w:right w:val="none" w:sz="0" w:space="0" w:color="auto"/>
      </w:divBdr>
    </w:div>
    <w:div w:id="13698069">
      <w:bodyDiv w:val="1"/>
      <w:marLeft w:val="0"/>
      <w:marRight w:val="0"/>
      <w:marTop w:val="0"/>
      <w:marBottom w:val="0"/>
      <w:divBdr>
        <w:top w:val="none" w:sz="0" w:space="0" w:color="auto"/>
        <w:left w:val="none" w:sz="0" w:space="0" w:color="auto"/>
        <w:bottom w:val="none" w:sz="0" w:space="0" w:color="auto"/>
        <w:right w:val="none" w:sz="0" w:space="0" w:color="auto"/>
      </w:divBdr>
    </w:div>
    <w:div w:id="13966197">
      <w:bodyDiv w:val="1"/>
      <w:marLeft w:val="0"/>
      <w:marRight w:val="0"/>
      <w:marTop w:val="0"/>
      <w:marBottom w:val="0"/>
      <w:divBdr>
        <w:top w:val="none" w:sz="0" w:space="0" w:color="auto"/>
        <w:left w:val="none" w:sz="0" w:space="0" w:color="auto"/>
        <w:bottom w:val="none" w:sz="0" w:space="0" w:color="auto"/>
        <w:right w:val="none" w:sz="0" w:space="0" w:color="auto"/>
      </w:divBdr>
    </w:div>
    <w:div w:id="15272292">
      <w:bodyDiv w:val="1"/>
      <w:marLeft w:val="0"/>
      <w:marRight w:val="0"/>
      <w:marTop w:val="0"/>
      <w:marBottom w:val="0"/>
      <w:divBdr>
        <w:top w:val="none" w:sz="0" w:space="0" w:color="auto"/>
        <w:left w:val="none" w:sz="0" w:space="0" w:color="auto"/>
        <w:bottom w:val="none" w:sz="0" w:space="0" w:color="auto"/>
        <w:right w:val="none" w:sz="0" w:space="0" w:color="auto"/>
      </w:divBdr>
    </w:div>
    <w:div w:id="15886869">
      <w:bodyDiv w:val="1"/>
      <w:marLeft w:val="0"/>
      <w:marRight w:val="0"/>
      <w:marTop w:val="0"/>
      <w:marBottom w:val="0"/>
      <w:divBdr>
        <w:top w:val="none" w:sz="0" w:space="0" w:color="auto"/>
        <w:left w:val="none" w:sz="0" w:space="0" w:color="auto"/>
        <w:bottom w:val="none" w:sz="0" w:space="0" w:color="auto"/>
        <w:right w:val="none" w:sz="0" w:space="0" w:color="auto"/>
      </w:divBdr>
    </w:div>
    <w:div w:id="17780401">
      <w:bodyDiv w:val="1"/>
      <w:marLeft w:val="0"/>
      <w:marRight w:val="0"/>
      <w:marTop w:val="0"/>
      <w:marBottom w:val="0"/>
      <w:divBdr>
        <w:top w:val="none" w:sz="0" w:space="0" w:color="auto"/>
        <w:left w:val="none" w:sz="0" w:space="0" w:color="auto"/>
        <w:bottom w:val="none" w:sz="0" w:space="0" w:color="auto"/>
        <w:right w:val="none" w:sz="0" w:space="0" w:color="auto"/>
      </w:divBdr>
    </w:div>
    <w:div w:id="18436511">
      <w:bodyDiv w:val="1"/>
      <w:marLeft w:val="0"/>
      <w:marRight w:val="0"/>
      <w:marTop w:val="0"/>
      <w:marBottom w:val="0"/>
      <w:divBdr>
        <w:top w:val="none" w:sz="0" w:space="0" w:color="auto"/>
        <w:left w:val="none" w:sz="0" w:space="0" w:color="auto"/>
        <w:bottom w:val="none" w:sz="0" w:space="0" w:color="auto"/>
        <w:right w:val="none" w:sz="0" w:space="0" w:color="auto"/>
      </w:divBdr>
    </w:div>
    <w:div w:id="18744348">
      <w:bodyDiv w:val="1"/>
      <w:marLeft w:val="0"/>
      <w:marRight w:val="0"/>
      <w:marTop w:val="0"/>
      <w:marBottom w:val="0"/>
      <w:divBdr>
        <w:top w:val="none" w:sz="0" w:space="0" w:color="auto"/>
        <w:left w:val="none" w:sz="0" w:space="0" w:color="auto"/>
        <w:bottom w:val="none" w:sz="0" w:space="0" w:color="auto"/>
        <w:right w:val="none" w:sz="0" w:space="0" w:color="auto"/>
      </w:divBdr>
    </w:div>
    <w:div w:id="19821579">
      <w:bodyDiv w:val="1"/>
      <w:marLeft w:val="0"/>
      <w:marRight w:val="0"/>
      <w:marTop w:val="0"/>
      <w:marBottom w:val="0"/>
      <w:divBdr>
        <w:top w:val="none" w:sz="0" w:space="0" w:color="auto"/>
        <w:left w:val="none" w:sz="0" w:space="0" w:color="auto"/>
        <w:bottom w:val="none" w:sz="0" w:space="0" w:color="auto"/>
        <w:right w:val="none" w:sz="0" w:space="0" w:color="auto"/>
      </w:divBdr>
    </w:div>
    <w:div w:id="20323915">
      <w:bodyDiv w:val="1"/>
      <w:marLeft w:val="0"/>
      <w:marRight w:val="0"/>
      <w:marTop w:val="0"/>
      <w:marBottom w:val="0"/>
      <w:divBdr>
        <w:top w:val="none" w:sz="0" w:space="0" w:color="auto"/>
        <w:left w:val="none" w:sz="0" w:space="0" w:color="auto"/>
        <w:bottom w:val="none" w:sz="0" w:space="0" w:color="auto"/>
        <w:right w:val="none" w:sz="0" w:space="0" w:color="auto"/>
      </w:divBdr>
    </w:div>
    <w:div w:id="22168687">
      <w:bodyDiv w:val="1"/>
      <w:marLeft w:val="0"/>
      <w:marRight w:val="0"/>
      <w:marTop w:val="0"/>
      <w:marBottom w:val="0"/>
      <w:divBdr>
        <w:top w:val="none" w:sz="0" w:space="0" w:color="auto"/>
        <w:left w:val="none" w:sz="0" w:space="0" w:color="auto"/>
        <w:bottom w:val="none" w:sz="0" w:space="0" w:color="auto"/>
        <w:right w:val="none" w:sz="0" w:space="0" w:color="auto"/>
      </w:divBdr>
    </w:div>
    <w:div w:id="22680116">
      <w:bodyDiv w:val="1"/>
      <w:marLeft w:val="0"/>
      <w:marRight w:val="0"/>
      <w:marTop w:val="0"/>
      <w:marBottom w:val="0"/>
      <w:divBdr>
        <w:top w:val="none" w:sz="0" w:space="0" w:color="auto"/>
        <w:left w:val="none" w:sz="0" w:space="0" w:color="auto"/>
        <w:bottom w:val="none" w:sz="0" w:space="0" w:color="auto"/>
        <w:right w:val="none" w:sz="0" w:space="0" w:color="auto"/>
      </w:divBdr>
    </w:div>
    <w:div w:id="23866431">
      <w:bodyDiv w:val="1"/>
      <w:marLeft w:val="0"/>
      <w:marRight w:val="0"/>
      <w:marTop w:val="0"/>
      <w:marBottom w:val="0"/>
      <w:divBdr>
        <w:top w:val="none" w:sz="0" w:space="0" w:color="auto"/>
        <w:left w:val="none" w:sz="0" w:space="0" w:color="auto"/>
        <w:bottom w:val="none" w:sz="0" w:space="0" w:color="auto"/>
        <w:right w:val="none" w:sz="0" w:space="0" w:color="auto"/>
      </w:divBdr>
    </w:div>
    <w:div w:id="23866436">
      <w:bodyDiv w:val="1"/>
      <w:marLeft w:val="0"/>
      <w:marRight w:val="0"/>
      <w:marTop w:val="0"/>
      <w:marBottom w:val="0"/>
      <w:divBdr>
        <w:top w:val="none" w:sz="0" w:space="0" w:color="auto"/>
        <w:left w:val="none" w:sz="0" w:space="0" w:color="auto"/>
        <w:bottom w:val="none" w:sz="0" w:space="0" w:color="auto"/>
        <w:right w:val="none" w:sz="0" w:space="0" w:color="auto"/>
      </w:divBdr>
    </w:div>
    <w:div w:id="24257733">
      <w:bodyDiv w:val="1"/>
      <w:marLeft w:val="0"/>
      <w:marRight w:val="0"/>
      <w:marTop w:val="0"/>
      <w:marBottom w:val="0"/>
      <w:divBdr>
        <w:top w:val="none" w:sz="0" w:space="0" w:color="auto"/>
        <w:left w:val="none" w:sz="0" w:space="0" w:color="auto"/>
        <w:bottom w:val="none" w:sz="0" w:space="0" w:color="auto"/>
        <w:right w:val="none" w:sz="0" w:space="0" w:color="auto"/>
      </w:divBdr>
    </w:div>
    <w:div w:id="24327956">
      <w:bodyDiv w:val="1"/>
      <w:marLeft w:val="0"/>
      <w:marRight w:val="0"/>
      <w:marTop w:val="0"/>
      <w:marBottom w:val="0"/>
      <w:divBdr>
        <w:top w:val="none" w:sz="0" w:space="0" w:color="auto"/>
        <w:left w:val="none" w:sz="0" w:space="0" w:color="auto"/>
        <w:bottom w:val="none" w:sz="0" w:space="0" w:color="auto"/>
        <w:right w:val="none" w:sz="0" w:space="0" w:color="auto"/>
      </w:divBdr>
    </w:div>
    <w:div w:id="25450444">
      <w:bodyDiv w:val="1"/>
      <w:marLeft w:val="0"/>
      <w:marRight w:val="0"/>
      <w:marTop w:val="0"/>
      <w:marBottom w:val="0"/>
      <w:divBdr>
        <w:top w:val="none" w:sz="0" w:space="0" w:color="auto"/>
        <w:left w:val="none" w:sz="0" w:space="0" w:color="auto"/>
        <w:bottom w:val="none" w:sz="0" w:space="0" w:color="auto"/>
        <w:right w:val="none" w:sz="0" w:space="0" w:color="auto"/>
      </w:divBdr>
    </w:div>
    <w:div w:id="25494119">
      <w:bodyDiv w:val="1"/>
      <w:marLeft w:val="0"/>
      <w:marRight w:val="0"/>
      <w:marTop w:val="0"/>
      <w:marBottom w:val="0"/>
      <w:divBdr>
        <w:top w:val="none" w:sz="0" w:space="0" w:color="auto"/>
        <w:left w:val="none" w:sz="0" w:space="0" w:color="auto"/>
        <w:bottom w:val="none" w:sz="0" w:space="0" w:color="auto"/>
        <w:right w:val="none" w:sz="0" w:space="0" w:color="auto"/>
      </w:divBdr>
    </w:div>
    <w:div w:id="25834725">
      <w:bodyDiv w:val="1"/>
      <w:marLeft w:val="0"/>
      <w:marRight w:val="0"/>
      <w:marTop w:val="0"/>
      <w:marBottom w:val="0"/>
      <w:divBdr>
        <w:top w:val="none" w:sz="0" w:space="0" w:color="auto"/>
        <w:left w:val="none" w:sz="0" w:space="0" w:color="auto"/>
        <w:bottom w:val="none" w:sz="0" w:space="0" w:color="auto"/>
        <w:right w:val="none" w:sz="0" w:space="0" w:color="auto"/>
      </w:divBdr>
    </w:div>
    <w:div w:id="26296689">
      <w:bodyDiv w:val="1"/>
      <w:marLeft w:val="0"/>
      <w:marRight w:val="0"/>
      <w:marTop w:val="0"/>
      <w:marBottom w:val="0"/>
      <w:divBdr>
        <w:top w:val="none" w:sz="0" w:space="0" w:color="auto"/>
        <w:left w:val="none" w:sz="0" w:space="0" w:color="auto"/>
        <w:bottom w:val="none" w:sz="0" w:space="0" w:color="auto"/>
        <w:right w:val="none" w:sz="0" w:space="0" w:color="auto"/>
      </w:divBdr>
    </w:div>
    <w:div w:id="26488976">
      <w:bodyDiv w:val="1"/>
      <w:marLeft w:val="0"/>
      <w:marRight w:val="0"/>
      <w:marTop w:val="0"/>
      <w:marBottom w:val="0"/>
      <w:divBdr>
        <w:top w:val="none" w:sz="0" w:space="0" w:color="auto"/>
        <w:left w:val="none" w:sz="0" w:space="0" w:color="auto"/>
        <w:bottom w:val="none" w:sz="0" w:space="0" w:color="auto"/>
        <w:right w:val="none" w:sz="0" w:space="0" w:color="auto"/>
      </w:divBdr>
    </w:div>
    <w:div w:id="27142868">
      <w:bodyDiv w:val="1"/>
      <w:marLeft w:val="0"/>
      <w:marRight w:val="0"/>
      <w:marTop w:val="0"/>
      <w:marBottom w:val="0"/>
      <w:divBdr>
        <w:top w:val="none" w:sz="0" w:space="0" w:color="auto"/>
        <w:left w:val="none" w:sz="0" w:space="0" w:color="auto"/>
        <w:bottom w:val="none" w:sz="0" w:space="0" w:color="auto"/>
        <w:right w:val="none" w:sz="0" w:space="0" w:color="auto"/>
      </w:divBdr>
    </w:div>
    <w:div w:id="27948193">
      <w:bodyDiv w:val="1"/>
      <w:marLeft w:val="0"/>
      <w:marRight w:val="0"/>
      <w:marTop w:val="0"/>
      <w:marBottom w:val="0"/>
      <w:divBdr>
        <w:top w:val="none" w:sz="0" w:space="0" w:color="auto"/>
        <w:left w:val="none" w:sz="0" w:space="0" w:color="auto"/>
        <w:bottom w:val="none" w:sz="0" w:space="0" w:color="auto"/>
        <w:right w:val="none" w:sz="0" w:space="0" w:color="auto"/>
      </w:divBdr>
    </w:div>
    <w:div w:id="28577589">
      <w:bodyDiv w:val="1"/>
      <w:marLeft w:val="0"/>
      <w:marRight w:val="0"/>
      <w:marTop w:val="0"/>
      <w:marBottom w:val="0"/>
      <w:divBdr>
        <w:top w:val="none" w:sz="0" w:space="0" w:color="auto"/>
        <w:left w:val="none" w:sz="0" w:space="0" w:color="auto"/>
        <w:bottom w:val="none" w:sz="0" w:space="0" w:color="auto"/>
        <w:right w:val="none" w:sz="0" w:space="0" w:color="auto"/>
      </w:divBdr>
    </w:div>
    <w:div w:id="29108839">
      <w:bodyDiv w:val="1"/>
      <w:marLeft w:val="0"/>
      <w:marRight w:val="0"/>
      <w:marTop w:val="0"/>
      <w:marBottom w:val="0"/>
      <w:divBdr>
        <w:top w:val="none" w:sz="0" w:space="0" w:color="auto"/>
        <w:left w:val="none" w:sz="0" w:space="0" w:color="auto"/>
        <w:bottom w:val="none" w:sz="0" w:space="0" w:color="auto"/>
        <w:right w:val="none" w:sz="0" w:space="0" w:color="auto"/>
      </w:divBdr>
    </w:div>
    <w:div w:id="29306066">
      <w:bodyDiv w:val="1"/>
      <w:marLeft w:val="0"/>
      <w:marRight w:val="0"/>
      <w:marTop w:val="0"/>
      <w:marBottom w:val="0"/>
      <w:divBdr>
        <w:top w:val="none" w:sz="0" w:space="0" w:color="auto"/>
        <w:left w:val="none" w:sz="0" w:space="0" w:color="auto"/>
        <w:bottom w:val="none" w:sz="0" w:space="0" w:color="auto"/>
        <w:right w:val="none" w:sz="0" w:space="0" w:color="auto"/>
      </w:divBdr>
    </w:div>
    <w:div w:id="31078633">
      <w:bodyDiv w:val="1"/>
      <w:marLeft w:val="0"/>
      <w:marRight w:val="0"/>
      <w:marTop w:val="0"/>
      <w:marBottom w:val="0"/>
      <w:divBdr>
        <w:top w:val="none" w:sz="0" w:space="0" w:color="auto"/>
        <w:left w:val="none" w:sz="0" w:space="0" w:color="auto"/>
        <w:bottom w:val="none" w:sz="0" w:space="0" w:color="auto"/>
        <w:right w:val="none" w:sz="0" w:space="0" w:color="auto"/>
      </w:divBdr>
      <w:divsChild>
        <w:div w:id="24215228">
          <w:marLeft w:val="0"/>
          <w:marRight w:val="0"/>
          <w:marTop w:val="0"/>
          <w:marBottom w:val="0"/>
          <w:divBdr>
            <w:top w:val="none" w:sz="0" w:space="0" w:color="auto"/>
            <w:left w:val="none" w:sz="0" w:space="0" w:color="auto"/>
            <w:bottom w:val="none" w:sz="0" w:space="0" w:color="auto"/>
            <w:right w:val="none" w:sz="0" w:space="0" w:color="auto"/>
          </w:divBdr>
        </w:div>
        <w:div w:id="456680713">
          <w:marLeft w:val="0"/>
          <w:marRight w:val="0"/>
          <w:marTop w:val="0"/>
          <w:marBottom w:val="0"/>
          <w:divBdr>
            <w:top w:val="none" w:sz="0" w:space="0" w:color="auto"/>
            <w:left w:val="none" w:sz="0" w:space="0" w:color="auto"/>
            <w:bottom w:val="none" w:sz="0" w:space="0" w:color="auto"/>
            <w:right w:val="none" w:sz="0" w:space="0" w:color="auto"/>
          </w:divBdr>
        </w:div>
        <w:div w:id="505559292">
          <w:marLeft w:val="0"/>
          <w:marRight w:val="0"/>
          <w:marTop w:val="0"/>
          <w:marBottom w:val="0"/>
          <w:divBdr>
            <w:top w:val="none" w:sz="0" w:space="0" w:color="auto"/>
            <w:left w:val="none" w:sz="0" w:space="0" w:color="auto"/>
            <w:bottom w:val="none" w:sz="0" w:space="0" w:color="auto"/>
            <w:right w:val="none" w:sz="0" w:space="0" w:color="auto"/>
          </w:divBdr>
        </w:div>
        <w:div w:id="626393401">
          <w:marLeft w:val="0"/>
          <w:marRight w:val="0"/>
          <w:marTop w:val="0"/>
          <w:marBottom w:val="0"/>
          <w:divBdr>
            <w:top w:val="none" w:sz="0" w:space="0" w:color="auto"/>
            <w:left w:val="none" w:sz="0" w:space="0" w:color="auto"/>
            <w:bottom w:val="none" w:sz="0" w:space="0" w:color="auto"/>
            <w:right w:val="none" w:sz="0" w:space="0" w:color="auto"/>
          </w:divBdr>
        </w:div>
        <w:div w:id="658198378">
          <w:marLeft w:val="0"/>
          <w:marRight w:val="0"/>
          <w:marTop w:val="0"/>
          <w:marBottom w:val="0"/>
          <w:divBdr>
            <w:top w:val="none" w:sz="0" w:space="0" w:color="auto"/>
            <w:left w:val="none" w:sz="0" w:space="0" w:color="auto"/>
            <w:bottom w:val="none" w:sz="0" w:space="0" w:color="auto"/>
            <w:right w:val="none" w:sz="0" w:space="0" w:color="auto"/>
          </w:divBdr>
        </w:div>
        <w:div w:id="678852459">
          <w:marLeft w:val="0"/>
          <w:marRight w:val="0"/>
          <w:marTop w:val="0"/>
          <w:marBottom w:val="0"/>
          <w:divBdr>
            <w:top w:val="none" w:sz="0" w:space="0" w:color="auto"/>
            <w:left w:val="none" w:sz="0" w:space="0" w:color="auto"/>
            <w:bottom w:val="none" w:sz="0" w:space="0" w:color="auto"/>
            <w:right w:val="none" w:sz="0" w:space="0" w:color="auto"/>
          </w:divBdr>
        </w:div>
        <w:div w:id="954215766">
          <w:marLeft w:val="0"/>
          <w:marRight w:val="0"/>
          <w:marTop w:val="0"/>
          <w:marBottom w:val="0"/>
          <w:divBdr>
            <w:top w:val="none" w:sz="0" w:space="0" w:color="auto"/>
            <w:left w:val="none" w:sz="0" w:space="0" w:color="auto"/>
            <w:bottom w:val="none" w:sz="0" w:space="0" w:color="auto"/>
            <w:right w:val="none" w:sz="0" w:space="0" w:color="auto"/>
          </w:divBdr>
        </w:div>
        <w:div w:id="1014840336">
          <w:marLeft w:val="0"/>
          <w:marRight w:val="0"/>
          <w:marTop w:val="0"/>
          <w:marBottom w:val="0"/>
          <w:divBdr>
            <w:top w:val="none" w:sz="0" w:space="0" w:color="auto"/>
            <w:left w:val="none" w:sz="0" w:space="0" w:color="auto"/>
            <w:bottom w:val="none" w:sz="0" w:space="0" w:color="auto"/>
            <w:right w:val="none" w:sz="0" w:space="0" w:color="auto"/>
          </w:divBdr>
        </w:div>
        <w:div w:id="1015695393">
          <w:marLeft w:val="0"/>
          <w:marRight w:val="0"/>
          <w:marTop w:val="0"/>
          <w:marBottom w:val="0"/>
          <w:divBdr>
            <w:top w:val="none" w:sz="0" w:space="0" w:color="auto"/>
            <w:left w:val="none" w:sz="0" w:space="0" w:color="auto"/>
            <w:bottom w:val="none" w:sz="0" w:space="0" w:color="auto"/>
            <w:right w:val="none" w:sz="0" w:space="0" w:color="auto"/>
          </w:divBdr>
        </w:div>
        <w:div w:id="1132022272">
          <w:marLeft w:val="0"/>
          <w:marRight w:val="0"/>
          <w:marTop w:val="0"/>
          <w:marBottom w:val="0"/>
          <w:divBdr>
            <w:top w:val="none" w:sz="0" w:space="0" w:color="auto"/>
            <w:left w:val="none" w:sz="0" w:space="0" w:color="auto"/>
            <w:bottom w:val="none" w:sz="0" w:space="0" w:color="auto"/>
            <w:right w:val="none" w:sz="0" w:space="0" w:color="auto"/>
          </w:divBdr>
        </w:div>
        <w:div w:id="1355613584">
          <w:marLeft w:val="0"/>
          <w:marRight w:val="0"/>
          <w:marTop w:val="0"/>
          <w:marBottom w:val="0"/>
          <w:divBdr>
            <w:top w:val="none" w:sz="0" w:space="0" w:color="auto"/>
            <w:left w:val="none" w:sz="0" w:space="0" w:color="auto"/>
            <w:bottom w:val="none" w:sz="0" w:space="0" w:color="auto"/>
            <w:right w:val="none" w:sz="0" w:space="0" w:color="auto"/>
          </w:divBdr>
        </w:div>
        <w:div w:id="1627465658">
          <w:marLeft w:val="0"/>
          <w:marRight w:val="0"/>
          <w:marTop w:val="0"/>
          <w:marBottom w:val="0"/>
          <w:divBdr>
            <w:top w:val="none" w:sz="0" w:space="0" w:color="auto"/>
            <w:left w:val="none" w:sz="0" w:space="0" w:color="auto"/>
            <w:bottom w:val="none" w:sz="0" w:space="0" w:color="auto"/>
            <w:right w:val="none" w:sz="0" w:space="0" w:color="auto"/>
          </w:divBdr>
        </w:div>
        <w:div w:id="1778325897">
          <w:marLeft w:val="0"/>
          <w:marRight w:val="0"/>
          <w:marTop w:val="0"/>
          <w:marBottom w:val="0"/>
          <w:divBdr>
            <w:top w:val="none" w:sz="0" w:space="0" w:color="auto"/>
            <w:left w:val="none" w:sz="0" w:space="0" w:color="auto"/>
            <w:bottom w:val="none" w:sz="0" w:space="0" w:color="auto"/>
            <w:right w:val="none" w:sz="0" w:space="0" w:color="auto"/>
          </w:divBdr>
        </w:div>
        <w:div w:id="1860505351">
          <w:marLeft w:val="0"/>
          <w:marRight w:val="0"/>
          <w:marTop w:val="0"/>
          <w:marBottom w:val="0"/>
          <w:divBdr>
            <w:top w:val="none" w:sz="0" w:space="0" w:color="auto"/>
            <w:left w:val="none" w:sz="0" w:space="0" w:color="auto"/>
            <w:bottom w:val="none" w:sz="0" w:space="0" w:color="auto"/>
            <w:right w:val="none" w:sz="0" w:space="0" w:color="auto"/>
          </w:divBdr>
        </w:div>
        <w:div w:id="2059284518">
          <w:marLeft w:val="0"/>
          <w:marRight w:val="0"/>
          <w:marTop w:val="0"/>
          <w:marBottom w:val="0"/>
          <w:divBdr>
            <w:top w:val="none" w:sz="0" w:space="0" w:color="auto"/>
            <w:left w:val="none" w:sz="0" w:space="0" w:color="auto"/>
            <w:bottom w:val="none" w:sz="0" w:space="0" w:color="auto"/>
            <w:right w:val="none" w:sz="0" w:space="0" w:color="auto"/>
          </w:divBdr>
        </w:div>
      </w:divsChild>
    </w:div>
    <w:div w:id="31728991">
      <w:bodyDiv w:val="1"/>
      <w:marLeft w:val="0"/>
      <w:marRight w:val="0"/>
      <w:marTop w:val="0"/>
      <w:marBottom w:val="0"/>
      <w:divBdr>
        <w:top w:val="none" w:sz="0" w:space="0" w:color="auto"/>
        <w:left w:val="none" w:sz="0" w:space="0" w:color="auto"/>
        <w:bottom w:val="none" w:sz="0" w:space="0" w:color="auto"/>
        <w:right w:val="none" w:sz="0" w:space="0" w:color="auto"/>
      </w:divBdr>
    </w:div>
    <w:div w:id="31807933">
      <w:bodyDiv w:val="1"/>
      <w:marLeft w:val="0"/>
      <w:marRight w:val="0"/>
      <w:marTop w:val="0"/>
      <w:marBottom w:val="0"/>
      <w:divBdr>
        <w:top w:val="none" w:sz="0" w:space="0" w:color="auto"/>
        <w:left w:val="none" w:sz="0" w:space="0" w:color="auto"/>
        <w:bottom w:val="none" w:sz="0" w:space="0" w:color="auto"/>
        <w:right w:val="none" w:sz="0" w:space="0" w:color="auto"/>
      </w:divBdr>
    </w:div>
    <w:div w:id="31881695">
      <w:bodyDiv w:val="1"/>
      <w:marLeft w:val="0"/>
      <w:marRight w:val="0"/>
      <w:marTop w:val="0"/>
      <w:marBottom w:val="0"/>
      <w:divBdr>
        <w:top w:val="none" w:sz="0" w:space="0" w:color="auto"/>
        <w:left w:val="none" w:sz="0" w:space="0" w:color="auto"/>
        <w:bottom w:val="none" w:sz="0" w:space="0" w:color="auto"/>
        <w:right w:val="none" w:sz="0" w:space="0" w:color="auto"/>
      </w:divBdr>
    </w:div>
    <w:div w:id="32462782">
      <w:bodyDiv w:val="1"/>
      <w:marLeft w:val="0"/>
      <w:marRight w:val="0"/>
      <w:marTop w:val="0"/>
      <w:marBottom w:val="0"/>
      <w:divBdr>
        <w:top w:val="none" w:sz="0" w:space="0" w:color="auto"/>
        <w:left w:val="none" w:sz="0" w:space="0" w:color="auto"/>
        <w:bottom w:val="none" w:sz="0" w:space="0" w:color="auto"/>
        <w:right w:val="none" w:sz="0" w:space="0" w:color="auto"/>
      </w:divBdr>
    </w:div>
    <w:div w:id="32654114">
      <w:bodyDiv w:val="1"/>
      <w:marLeft w:val="0"/>
      <w:marRight w:val="0"/>
      <w:marTop w:val="0"/>
      <w:marBottom w:val="0"/>
      <w:divBdr>
        <w:top w:val="none" w:sz="0" w:space="0" w:color="auto"/>
        <w:left w:val="none" w:sz="0" w:space="0" w:color="auto"/>
        <w:bottom w:val="none" w:sz="0" w:space="0" w:color="auto"/>
        <w:right w:val="none" w:sz="0" w:space="0" w:color="auto"/>
      </w:divBdr>
    </w:div>
    <w:div w:id="32777573">
      <w:bodyDiv w:val="1"/>
      <w:marLeft w:val="0"/>
      <w:marRight w:val="0"/>
      <w:marTop w:val="0"/>
      <w:marBottom w:val="0"/>
      <w:divBdr>
        <w:top w:val="none" w:sz="0" w:space="0" w:color="auto"/>
        <w:left w:val="none" w:sz="0" w:space="0" w:color="auto"/>
        <w:bottom w:val="none" w:sz="0" w:space="0" w:color="auto"/>
        <w:right w:val="none" w:sz="0" w:space="0" w:color="auto"/>
      </w:divBdr>
    </w:div>
    <w:div w:id="32970770">
      <w:bodyDiv w:val="1"/>
      <w:marLeft w:val="0"/>
      <w:marRight w:val="0"/>
      <w:marTop w:val="0"/>
      <w:marBottom w:val="0"/>
      <w:divBdr>
        <w:top w:val="none" w:sz="0" w:space="0" w:color="auto"/>
        <w:left w:val="none" w:sz="0" w:space="0" w:color="auto"/>
        <w:bottom w:val="none" w:sz="0" w:space="0" w:color="auto"/>
        <w:right w:val="none" w:sz="0" w:space="0" w:color="auto"/>
      </w:divBdr>
    </w:div>
    <w:div w:id="33122453">
      <w:bodyDiv w:val="1"/>
      <w:marLeft w:val="0"/>
      <w:marRight w:val="0"/>
      <w:marTop w:val="0"/>
      <w:marBottom w:val="0"/>
      <w:divBdr>
        <w:top w:val="none" w:sz="0" w:space="0" w:color="auto"/>
        <w:left w:val="none" w:sz="0" w:space="0" w:color="auto"/>
        <w:bottom w:val="none" w:sz="0" w:space="0" w:color="auto"/>
        <w:right w:val="none" w:sz="0" w:space="0" w:color="auto"/>
      </w:divBdr>
    </w:div>
    <w:div w:id="34549158">
      <w:bodyDiv w:val="1"/>
      <w:marLeft w:val="0"/>
      <w:marRight w:val="0"/>
      <w:marTop w:val="0"/>
      <w:marBottom w:val="0"/>
      <w:divBdr>
        <w:top w:val="none" w:sz="0" w:space="0" w:color="auto"/>
        <w:left w:val="none" w:sz="0" w:space="0" w:color="auto"/>
        <w:bottom w:val="none" w:sz="0" w:space="0" w:color="auto"/>
        <w:right w:val="none" w:sz="0" w:space="0" w:color="auto"/>
      </w:divBdr>
    </w:div>
    <w:div w:id="35664479">
      <w:bodyDiv w:val="1"/>
      <w:marLeft w:val="0"/>
      <w:marRight w:val="0"/>
      <w:marTop w:val="0"/>
      <w:marBottom w:val="0"/>
      <w:divBdr>
        <w:top w:val="none" w:sz="0" w:space="0" w:color="auto"/>
        <w:left w:val="none" w:sz="0" w:space="0" w:color="auto"/>
        <w:bottom w:val="none" w:sz="0" w:space="0" w:color="auto"/>
        <w:right w:val="none" w:sz="0" w:space="0" w:color="auto"/>
      </w:divBdr>
    </w:div>
    <w:div w:id="36202063">
      <w:bodyDiv w:val="1"/>
      <w:marLeft w:val="0"/>
      <w:marRight w:val="0"/>
      <w:marTop w:val="0"/>
      <w:marBottom w:val="0"/>
      <w:divBdr>
        <w:top w:val="none" w:sz="0" w:space="0" w:color="auto"/>
        <w:left w:val="none" w:sz="0" w:space="0" w:color="auto"/>
        <w:bottom w:val="none" w:sz="0" w:space="0" w:color="auto"/>
        <w:right w:val="none" w:sz="0" w:space="0" w:color="auto"/>
      </w:divBdr>
    </w:div>
    <w:div w:id="36273018">
      <w:bodyDiv w:val="1"/>
      <w:marLeft w:val="0"/>
      <w:marRight w:val="0"/>
      <w:marTop w:val="0"/>
      <w:marBottom w:val="0"/>
      <w:divBdr>
        <w:top w:val="none" w:sz="0" w:space="0" w:color="auto"/>
        <w:left w:val="none" w:sz="0" w:space="0" w:color="auto"/>
        <w:bottom w:val="none" w:sz="0" w:space="0" w:color="auto"/>
        <w:right w:val="none" w:sz="0" w:space="0" w:color="auto"/>
      </w:divBdr>
    </w:div>
    <w:div w:id="36709475">
      <w:bodyDiv w:val="1"/>
      <w:marLeft w:val="0"/>
      <w:marRight w:val="0"/>
      <w:marTop w:val="0"/>
      <w:marBottom w:val="0"/>
      <w:divBdr>
        <w:top w:val="none" w:sz="0" w:space="0" w:color="auto"/>
        <w:left w:val="none" w:sz="0" w:space="0" w:color="auto"/>
        <w:bottom w:val="none" w:sz="0" w:space="0" w:color="auto"/>
        <w:right w:val="none" w:sz="0" w:space="0" w:color="auto"/>
      </w:divBdr>
    </w:div>
    <w:div w:id="37048841">
      <w:bodyDiv w:val="1"/>
      <w:marLeft w:val="0"/>
      <w:marRight w:val="0"/>
      <w:marTop w:val="0"/>
      <w:marBottom w:val="0"/>
      <w:divBdr>
        <w:top w:val="none" w:sz="0" w:space="0" w:color="auto"/>
        <w:left w:val="none" w:sz="0" w:space="0" w:color="auto"/>
        <w:bottom w:val="none" w:sz="0" w:space="0" w:color="auto"/>
        <w:right w:val="none" w:sz="0" w:space="0" w:color="auto"/>
      </w:divBdr>
    </w:div>
    <w:div w:id="37173541">
      <w:bodyDiv w:val="1"/>
      <w:marLeft w:val="0"/>
      <w:marRight w:val="0"/>
      <w:marTop w:val="0"/>
      <w:marBottom w:val="0"/>
      <w:divBdr>
        <w:top w:val="none" w:sz="0" w:space="0" w:color="auto"/>
        <w:left w:val="none" w:sz="0" w:space="0" w:color="auto"/>
        <w:bottom w:val="none" w:sz="0" w:space="0" w:color="auto"/>
        <w:right w:val="none" w:sz="0" w:space="0" w:color="auto"/>
      </w:divBdr>
    </w:div>
    <w:div w:id="37709286">
      <w:bodyDiv w:val="1"/>
      <w:marLeft w:val="0"/>
      <w:marRight w:val="0"/>
      <w:marTop w:val="0"/>
      <w:marBottom w:val="0"/>
      <w:divBdr>
        <w:top w:val="none" w:sz="0" w:space="0" w:color="auto"/>
        <w:left w:val="none" w:sz="0" w:space="0" w:color="auto"/>
        <w:bottom w:val="none" w:sz="0" w:space="0" w:color="auto"/>
        <w:right w:val="none" w:sz="0" w:space="0" w:color="auto"/>
      </w:divBdr>
      <w:divsChild>
        <w:div w:id="938835954">
          <w:marLeft w:val="0"/>
          <w:marRight w:val="0"/>
          <w:marTop w:val="0"/>
          <w:marBottom w:val="0"/>
          <w:divBdr>
            <w:top w:val="none" w:sz="0" w:space="0" w:color="auto"/>
            <w:left w:val="none" w:sz="0" w:space="0" w:color="auto"/>
            <w:bottom w:val="none" w:sz="0" w:space="0" w:color="auto"/>
            <w:right w:val="none" w:sz="0" w:space="0" w:color="auto"/>
          </w:divBdr>
        </w:div>
      </w:divsChild>
    </w:div>
    <w:div w:id="38551202">
      <w:bodyDiv w:val="1"/>
      <w:marLeft w:val="0"/>
      <w:marRight w:val="0"/>
      <w:marTop w:val="0"/>
      <w:marBottom w:val="0"/>
      <w:divBdr>
        <w:top w:val="none" w:sz="0" w:space="0" w:color="auto"/>
        <w:left w:val="none" w:sz="0" w:space="0" w:color="auto"/>
        <w:bottom w:val="none" w:sz="0" w:space="0" w:color="auto"/>
        <w:right w:val="none" w:sz="0" w:space="0" w:color="auto"/>
      </w:divBdr>
    </w:div>
    <w:div w:id="38863941">
      <w:bodyDiv w:val="1"/>
      <w:marLeft w:val="0"/>
      <w:marRight w:val="0"/>
      <w:marTop w:val="0"/>
      <w:marBottom w:val="0"/>
      <w:divBdr>
        <w:top w:val="none" w:sz="0" w:space="0" w:color="auto"/>
        <w:left w:val="none" w:sz="0" w:space="0" w:color="auto"/>
        <w:bottom w:val="none" w:sz="0" w:space="0" w:color="auto"/>
        <w:right w:val="none" w:sz="0" w:space="0" w:color="auto"/>
      </w:divBdr>
    </w:div>
    <w:div w:id="39671086">
      <w:bodyDiv w:val="1"/>
      <w:marLeft w:val="0"/>
      <w:marRight w:val="0"/>
      <w:marTop w:val="0"/>
      <w:marBottom w:val="0"/>
      <w:divBdr>
        <w:top w:val="none" w:sz="0" w:space="0" w:color="auto"/>
        <w:left w:val="none" w:sz="0" w:space="0" w:color="auto"/>
        <w:bottom w:val="none" w:sz="0" w:space="0" w:color="auto"/>
        <w:right w:val="none" w:sz="0" w:space="0" w:color="auto"/>
      </w:divBdr>
    </w:div>
    <w:div w:id="39941722">
      <w:bodyDiv w:val="1"/>
      <w:marLeft w:val="0"/>
      <w:marRight w:val="0"/>
      <w:marTop w:val="0"/>
      <w:marBottom w:val="0"/>
      <w:divBdr>
        <w:top w:val="none" w:sz="0" w:space="0" w:color="auto"/>
        <w:left w:val="none" w:sz="0" w:space="0" w:color="auto"/>
        <w:bottom w:val="none" w:sz="0" w:space="0" w:color="auto"/>
        <w:right w:val="none" w:sz="0" w:space="0" w:color="auto"/>
      </w:divBdr>
    </w:div>
    <w:div w:id="40908877">
      <w:bodyDiv w:val="1"/>
      <w:marLeft w:val="0"/>
      <w:marRight w:val="0"/>
      <w:marTop w:val="0"/>
      <w:marBottom w:val="0"/>
      <w:divBdr>
        <w:top w:val="none" w:sz="0" w:space="0" w:color="auto"/>
        <w:left w:val="none" w:sz="0" w:space="0" w:color="auto"/>
        <w:bottom w:val="none" w:sz="0" w:space="0" w:color="auto"/>
        <w:right w:val="none" w:sz="0" w:space="0" w:color="auto"/>
      </w:divBdr>
    </w:div>
    <w:div w:id="40982542">
      <w:bodyDiv w:val="1"/>
      <w:marLeft w:val="0"/>
      <w:marRight w:val="0"/>
      <w:marTop w:val="0"/>
      <w:marBottom w:val="0"/>
      <w:divBdr>
        <w:top w:val="none" w:sz="0" w:space="0" w:color="auto"/>
        <w:left w:val="none" w:sz="0" w:space="0" w:color="auto"/>
        <w:bottom w:val="none" w:sz="0" w:space="0" w:color="auto"/>
        <w:right w:val="none" w:sz="0" w:space="0" w:color="auto"/>
      </w:divBdr>
    </w:div>
    <w:div w:id="43021605">
      <w:bodyDiv w:val="1"/>
      <w:marLeft w:val="0"/>
      <w:marRight w:val="0"/>
      <w:marTop w:val="0"/>
      <w:marBottom w:val="0"/>
      <w:divBdr>
        <w:top w:val="none" w:sz="0" w:space="0" w:color="auto"/>
        <w:left w:val="none" w:sz="0" w:space="0" w:color="auto"/>
        <w:bottom w:val="none" w:sz="0" w:space="0" w:color="auto"/>
        <w:right w:val="none" w:sz="0" w:space="0" w:color="auto"/>
      </w:divBdr>
    </w:div>
    <w:div w:id="43524913">
      <w:bodyDiv w:val="1"/>
      <w:marLeft w:val="0"/>
      <w:marRight w:val="0"/>
      <w:marTop w:val="0"/>
      <w:marBottom w:val="0"/>
      <w:divBdr>
        <w:top w:val="none" w:sz="0" w:space="0" w:color="auto"/>
        <w:left w:val="none" w:sz="0" w:space="0" w:color="auto"/>
        <w:bottom w:val="none" w:sz="0" w:space="0" w:color="auto"/>
        <w:right w:val="none" w:sz="0" w:space="0" w:color="auto"/>
      </w:divBdr>
    </w:div>
    <w:div w:id="43528433">
      <w:bodyDiv w:val="1"/>
      <w:marLeft w:val="0"/>
      <w:marRight w:val="0"/>
      <w:marTop w:val="0"/>
      <w:marBottom w:val="0"/>
      <w:divBdr>
        <w:top w:val="none" w:sz="0" w:space="0" w:color="auto"/>
        <w:left w:val="none" w:sz="0" w:space="0" w:color="auto"/>
        <w:bottom w:val="none" w:sz="0" w:space="0" w:color="auto"/>
        <w:right w:val="none" w:sz="0" w:space="0" w:color="auto"/>
      </w:divBdr>
    </w:div>
    <w:div w:id="43720729">
      <w:bodyDiv w:val="1"/>
      <w:marLeft w:val="0"/>
      <w:marRight w:val="0"/>
      <w:marTop w:val="0"/>
      <w:marBottom w:val="0"/>
      <w:divBdr>
        <w:top w:val="none" w:sz="0" w:space="0" w:color="auto"/>
        <w:left w:val="none" w:sz="0" w:space="0" w:color="auto"/>
        <w:bottom w:val="none" w:sz="0" w:space="0" w:color="auto"/>
        <w:right w:val="none" w:sz="0" w:space="0" w:color="auto"/>
      </w:divBdr>
    </w:div>
    <w:div w:id="43800913">
      <w:bodyDiv w:val="1"/>
      <w:marLeft w:val="0"/>
      <w:marRight w:val="0"/>
      <w:marTop w:val="0"/>
      <w:marBottom w:val="0"/>
      <w:divBdr>
        <w:top w:val="none" w:sz="0" w:space="0" w:color="auto"/>
        <w:left w:val="none" w:sz="0" w:space="0" w:color="auto"/>
        <w:bottom w:val="none" w:sz="0" w:space="0" w:color="auto"/>
        <w:right w:val="none" w:sz="0" w:space="0" w:color="auto"/>
      </w:divBdr>
    </w:div>
    <w:div w:id="44184210">
      <w:bodyDiv w:val="1"/>
      <w:marLeft w:val="0"/>
      <w:marRight w:val="0"/>
      <w:marTop w:val="0"/>
      <w:marBottom w:val="0"/>
      <w:divBdr>
        <w:top w:val="none" w:sz="0" w:space="0" w:color="auto"/>
        <w:left w:val="none" w:sz="0" w:space="0" w:color="auto"/>
        <w:bottom w:val="none" w:sz="0" w:space="0" w:color="auto"/>
        <w:right w:val="none" w:sz="0" w:space="0" w:color="auto"/>
      </w:divBdr>
      <w:divsChild>
        <w:div w:id="1690526493">
          <w:marLeft w:val="0"/>
          <w:marRight w:val="0"/>
          <w:marTop w:val="0"/>
          <w:marBottom w:val="0"/>
          <w:divBdr>
            <w:top w:val="none" w:sz="0" w:space="0" w:color="auto"/>
            <w:left w:val="none" w:sz="0" w:space="0" w:color="auto"/>
            <w:bottom w:val="none" w:sz="0" w:space="0" w:color="auto"/>
            <w:right w:val="none" w:sz="0" w:space="0" w:color="auto"/>
          </w:divBdr>
        </w:div>
      </w:divsChild>
    </w:div>
    <w:div w:id="44186008">
      <w:bodyDiv w:val="1"/>
      <w:marLeft w:val="0"/>
      <w:marRight w:val="0"/>
      <w:marTop w:val="0"/>
      <w:marBottom w:val="0"/>
      <w:divBdr>
        <w:top w:val="none" w:sz="0" w:space="0" w:color="auto"/>
        <w:left w:val="none" w:sz="0" w:space="0" w:color="auto"/>
        <w:bottom w:val="none" w:sz="0" w:space="0" w:color="auto"/>
        <w:right w:val="none" w:sz="0" w:space="0" w:color="auto"/>
      </w:divBdr>
    </w:div>
    <w:div w:id="44834752">
      <w:bodyDiv w:val="1"/>
      <w:marLeft w:val="0"/>
      <w:marRight w:val="0"/>
      <w:marTop w:val="0"/>
      <w:marBottom w:val="0"/>
      <w:divBdr>
        <w:top w:val="none" w:sz="0" w:space="0" w:color="auto"/>
        <w:left w:val="none" w:sz="0" w:space="0" w:color="auto"/>
        <w:bottom w:val="none" w:sz="0" w:space="0" w:color="auto"/>
        <w:right w:val="none" w:sz="0" w:space="0" w:color="auto"/>
      </w:divBdr>
    </w:div>
    <w:div w:id="45568382">
      <w:bodyDiv w:val="1"/>
      <w:marLeft w:val="0"/>
      <w:marRight w:val="0"/>
      <w:marTop w:val="0"/>
      <w:marBottom w:val="0"/>
      <w:divBdr>
        <w:top w:val="none" w:sz="0" w:space="0" w:color="auto"/>
        <w:left w:val="none" w:sz="0" w:space="0" w:color="auto"/>
        <w:bottom w:val="none" w:sz="0" w:space="0" w:color="auto"/>
        <w:right w:val="none" w:sz="0" w:space="0" w:color="auto"/>
      </w:divBdr>
    </w:div>
    <w:div w:id="45841191">
      <w:bodyDiv w:val="1"/>
      <w:marLeft w:val="0"/>
      <w:marRight w:val="0"/>
      <w:marTop w:val="0"/>
      <w:marBottom w:val="0"/>
      <w:divBdr>
        <w:top w:val="none" w:sz="0" w:space="0" w:color="auto"/>
        <w:left w:val="none" w:sz="0" w:space="0" w:color="auto"/>
        <w:bottom w:val="none" w:sz="0" w:space="0" w:color="auto"/>
        <w:right w:val="none" w:sz="0" w:space="0" w:color="auto"/>
      </w:divBdr>
    </w:div>
    <w:div w:id="46298492">
      <w:bodyDiv w:val="1"/>
      <w:marLeft w:val="0"/>
      <w:marRight w:val="0"/>
      <w:marTop w:val="0"/>
      <w:marBottom w:val="0"/>
      <w:divBdr>
        <w:top w:val="none" w:sz="0" w:space="0" w:color="auto"/>
        <w:left w:val="none" w:sz="0" w:space="0" w:color="auto"/>
        <w:bottom w:val="none" w:sz="0" w:space="0" w:color="auto"/>
        <w:right w:val="none" w:sz="0" w:space="0" w:color="auto"/>
      </w:divBdr>
    </w:div>
    <w:div w:id="46882448">
      <w:bodyDiv w:val="1"/>
      <w:marLeft w:val="0"/>
      <w:marRight w:val="0"/>
      <w:marTop w:val="0"/>
      <w:marBottom w:val="0"/>
      <w:divBdr>
        <w:top w:val="none" w:sz="0" w:space="0" w:color="auto"/>
        <w:left w:val="none" w:sz="0" w:space="0" w:color="auto"/>
        <w:bottom w:val="none" w:sz="0" w:space="0" w:color="auto"/>
        <w:right w:val="none" w:sz="0" w:space="0" w:color="auto"/>
      </w:divBdr>
    </w:div>
    <w:div w:id="47337851">
      <w:bodyDiv w:val="1"/>
      <w:marLeft w:val="0"/>
      <w:marRight w:val="0"/>
      <w:marTop w:val="0"/>
      <w:marBottom w:val="0"/>
      <w:divBdr>
        <w:top w:val="none" w:sz="0" w:space="0" w:color="auto"/>
        <w:left w:val="none" w:sz="0" w:space="0" w:color="auto"/>
        <w:bottom w:val="none" w:sz="0" w:space="0" w:color="auto"/>
        <w:right w:val="none" w:sz="0" w:space="0" w:color="auto"/>
      </w:divBdr>
    </w:div>
    <w:div w:id="48189892">
      <w:bodyDiv w:val="1"/>
      <w:marLeft w:val="0"/>
      <w:marRight w:val="0"/>
      <w:marTop w:val="0"/>
      <w:marBottom w:val="0"/>
      <w:divBdr>
        <w:top w:val="none" w:sz="0" w:space="0" w:color="auto"/>
        <w:left w:val="none" w:sz="0" w:space="0" w:color="auto"/>
        <w:bottom w:val="none" w:sz="0" w:space="0" w:color="auto"/>
        <w:right w:val="none" w:sz="0" w:space="0" w:color="auto"/>
      </w:divBdr>
    </w:div>
    <w:div w:id="48723670">
      <w:bodyDiv w:val="1"/>
      <w:marLeft w:val="0"/>
      <w:marRight w:val="0"/>
      <w:marTop w:val="0"/>
      <w:marBottom w:val="0"/>
      <w:divBdr>
        <w:top w:val="none" w:sz="0" w:space="0" w:color="auto"/>
        <w:left w:val="none" w:sz="0" w:space="0" w:color="auto"/>
        <w:bottom w:val="none" w:sz="0" w:space="0" w:color="auto"/>
        <w:right w:val="none" w:sz="0" w:space="0" w:color="auto"/>
      </w:divBdr>
    </w:div>
    <w:div w:id="49152208">
      <w:bodyDiv w:val="1"/>
      <w:marLeft w:val="0"/>
      <w:marRight w:val="0"/>
      <w:marTop w:val="0"/>
      <w:marBottom w:val="0"/>
      <w:divBdr>
        <w:top w:val="none" w:sz="0" w:space="0" w:color="auto"/>
        <w:left w:val="none" w:sz="0" w:space="0" w:color="auto"/>
        <w:bottom w:val="none" w:sz="0" w:space="0" w:color="auto"/>
        <w:right w:val="none" w:sz="0" w:space="0" w:color="auto"/>
      </w:divBdr>
      <w:divsChild>
        <w:div w:id="371225344">
          <w:marLeft w:val="0"/>
          <w:marRight w:val="0"/>
          <w:marTop w:val="0"/>
          <w:marBottom w:val="0"/>
          <w:divBdr>
            <w:top w:val="none" w:sz="0" w:space="0" w:color="auto"/>
            <w:left w:val="none" w:sz="0" w:space="0" w:color="auto"/>
            <w:bottom w:val="none" w:sz="0" w:space="0" w:color="auto"/>
            <w:right w:val="none" w:sz="0" w:space="0" w:color="auto"/>
          </w:divBdr>
        </w:div>
      </w:divsChild>
    </w:div>
    <w:div w:id="49623313">
      <w:bodyDiv w:val="1"/>
      <w:marLeft w:val="0"/>
      <w:marRight w:val="0"/>
      <w:marTop w:val="0"/>
      <w:marBottom w:val="0"/>
      <w:divBdr>
        <w:top w:val="none" w:sz="0" w:space="0" w:color="auto"/>
        <w:left w:val="none" w:sz="0" w:space="0" w:color="auto"/>
        <w:bottom w:val="none" w:sz="0" w:space="0" w:color="auto"/>
        <w:right w:val="none" w:sz="0" w:space="0" w:color="auto"/>
      </w:divBdr>
    </w:div>
    <w:div w:id="50157172">
      <w:bodyDiv w:val="1"/>
      <w:marLeft w:val="0"/>
      <w:marRight w:val="0"/>
      <w:marTop w:val="0"/>
      <w:marBottom w:val="0"/>
      <w:divBdr>
        <w:top w:val="none" w:sz="0" w:space="0" w:color="auto"/>
        <w:left w:val="none" w:sz="0" w:space="0" w:color="auto"/>
        <w:bottom w:val="none" w:sz="0" w:space="0" w:color="auto"/>
        <w:right w:val="none" w:sz="0" w:space="0" w:color="auto"/>
      </w:divBdr>
    </w:div>
    <w:div w:id="50469701">
      <w:bodyDiv w:val="1"/>
      <w:marLeft w:val="0"/>
      <w:marRight w:val="0"/>
      <w:marTop w:val="0"/>
      <w:marBottom w:val="0"/>
      <w:divBdr>
        <w:top w:val="none" w:sz="0" w:space="0" w:color="auto"/>
        <w:left w:val="none" w:sz="0" w:space="0" w:color="auto"/>
        <w:bottom w:val="none" w:sz="0" w:space="0" w:color="auto"/>
        <w:right w:val="none" w:sz="0" w:space="0" w:color="auto"/>
      </w:divBdr>
    </w:div>
    <w:div w:id="50691408">
      <w:bodyDiv w:val="1"/>
      <w:marLeft w:val="0"/>
      <w:marRight w:val="0"/>
      <w:marTop w:val="0"/>
      <w:marBottom w:val="0"/>
      <w:divBdr>
        <w:top w:val="none" w:sz="0" w:space="0" w:color="auto"/>
        <w:left w:val="none" w:sz="0" w:space="0" w:color="auto"/>
        <w:bottom w:val="none" w:sz="0" w:space="0" w:color="auto"/>
        <w:right w:val="none" w:sz="0" w:space="0" w:color="auto"/>
      </w:divBdr>
    </w:div>
    <w:div w:id="50735396">
      <w:bodyDiv w:val="1"/>
      <w:marLeft w:val="0"/>
      <w:marRight w:val="0"/>
      <w:marTop w:val="0"/>
      <w:marBottom w:val="0"/>
      <w:divBdr>
        <w:top w:val="none" w:sz="0" w:space="0" w:color="auto"/>
        <w:left w:val="none" w:sz="0" w:space="0" w:color="auto"/>
        <w:bottom w:val="none" w:sz="0" w:space="0" w:color="auto"/>
        <w:right w:val="none" w:sz="0" w:space="0" w:color="auto"/>
      </w:divBdr>
    </w:div>
    <w:div w:id="51657070">
      <w:bodyDiv w:val="1"/>
      <w:marLeft w:val="0"/>
      <w:marRight w:val="0"/>
      <w:marTop w:val="0"/>
      <w:marBottom w:val="0"/>
      <w:divBdr>
        <w:top w:val="none" w:sz="0" w:space="0" w:color="auto"/>
        <w:left w:val="none" w:sz="0" w:space="0" w:color="auto"/>
        <w:bottom w:val="none" w:sz="0" w:space="0" w:color="auto"/>
        <w:right w:val="none" w:sz="0" w:space="0" w:color="auto"/>
      </w:divBdr>
    </w:div>
    <w:div w:id="51851351">
      <w:bodyDiv w:val="1"/>
      <w:marLeft w:val="0"/>
      <w:marRight w:val="0"/>
      <w:marTop w:val="0"/>
      <w:marBottom w:val="0"/>
      <w:divBdr>
        <w:top w:val="none" w:sz="0" w:space="0" w:color="auto"/>
        <w:left w:val="none" w:sz="0" w:space="0" w:color="auto"/>
        <w:bottom w:val="none" w:sz="0" w:space="0" w:color="auto"/>
        <w:right w:val="none" w:sz="0" w:space="0" w:color="auto"/>
      </w:divBdr>
    </w:div>
    <w:div w:id="51932292">
      <w:bodyDiv w:val="1"/>
      <w:marLeft w:val="0"/>
      <w:marRight w:val="0"/>
      <w:marTop w:val="0"/>
      <w:marBottom w:val="0"/>
      <w:divBdr>
        <w:top w:val="none" w:sz="0" w:space="0" w:color="auto"/>
        <w:left w:val="none" w:sz="0" w:space="0" w:color="auto"/>
        <w:bottom w:val="none" w:sz="0" w:space="0" w:color="auto"/>
        <w:right w:val="none" w:sz="0" w:space="0" w:color="auto"/>
      </w:divBdr>
    </w:div>
    <w:div w:id="52392798">
      <w:bodyDiv w:val="1"/>
      <w:marLeft w:val="0"/>
      <w:marRight w:val="0"/>
      <w:marTop w:val="0"/>
      <w:marBottom w:val="0"/>
      <w:divBdr>
        <w:top w:val="none" w:sz="0" w:space="0" w:color="auto"/>
        <w:left w:val="none" w:sz="0" w:space="0" w:color="auto"/>
        <w:bottom w:val="none" w:sz="0" w:space="0" w:color="auto"/>
        <w:right w:val="none" w:sz="0" w:space="0" w:color="auto"/>
      </w:divBdr>
    </w:div>
    <w:div w:id="52824280">
      <w:bodyDiv w:val="1"/>
      <w:marLeft w:val="0"/>
      <w:marRight w:val="0"/>
      <w:marTop w:val="0"/>
      <w:marBottom w:val="0"/>
      <w:divBdr>
        <w:top w:val="none" w:sz="0" w:space="0" w:color="auto"/>
        <w:left w:val="none" w:sz="0" w:space="0" w:color="auto"/>
        <w:bottom w:val="none" w:sz="0" w:space="0" w:color="auto"/>
        <w:right w:val="none" w:sz="0" w:space="0" w:color="auto"/>
      </w:divBdr>
    </w:div>
    <w:div w:id="52890665">
      <w:bodyDiv w:val="1"/>
      <w:marLeft w:val="0"/>
      <w:marRight w:val="0"/>
      <w:marTop w:val="0"/>
      <w:marBottom w:val="0"/>
      <w:divBdr>
        <w:top w:val="none" w:sz="0" w:space="0" w:color="auto"/>
        <w:left w:val="none" w:sz="0" w:space="0" w:color="auto"/>
        <w:bottom w:val="none" w:sz="0" w:space="0" w:color="auto"/>
        <w:right w:val="none" w:sz="0" w:space="0" w:color="auto"/>
      </w:divBdr>
    </w:div>
    <w:div w:id="52897254">
      <w:bodyDiv w:val="1"/>
      <w:marLeft w:val="0"/>
      <w:marRight w:val="0"/>
      <w:marTop w:val="0"/>
      <w:marBottom w:val="0"/>
      <w:divBdr>
        <w:top w:val="none" w:sz="0" w:space="0" w:color="auto"/>
        <w:left w:val="none" w:sz="0" w:space="0" w:color="auto"/>
        <w:bottom w:val="none" w:sz="0" w:space="0" w:color="auto"/>
        <w:right w:val="none" w:sz="0" w:space="0" w:color="auto"/>
      </w:divBdr>
    </w:div>
    <w:div w:id="5500773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56244415">
      <w:bodyDiv w:val="1"/>
      <w:marLeft w:val="0"/>
      <w:marRight w:val="0"/>
      <w:marTop w:val="0"/>
      <w:marBottom w:val="0"/>
      <w:divBdr>
        <w:top w:val="none" w:sz="0" w:space="0" w:color="auto"/>
        <w:left w:val="none" w:sz="0" w:space="0" w:color="auto"/>
        <w:bottom w:val="none" w:sz="0" w:space="0" w:color="auto"/>
        <w:right w:val="none" w:sz="0" w:space="0" w:color="auto"/>
      </w:divBdr>
    </w:div>
    <w:div w:id="56822446">
      <w:bodyDiv w:val="1"/>
      <w:marLeft w:val="0"/>
      <w:marRight w:val="0"/>
      <w:marTop w:val="0"/>
      <w:marBottom w:val="0"/>
      <w:divBdr>
        <w:top w:val="none" w:sz="0" w:space="0" w:color="auto"/>
        <w:left w:val="none" w:sz="0" w:space="0" w:color="auto"/>
        <w:bottom w:val="none" w:sz="0" w:space="0" w:color="auto"/>
        <w:right w:val="none" w:sz="0" w:space="0" w:color="auto"/>
      </w:divBdr>
    </w:div>
    <w:div w:id="58948113">
      <w:bodyDiv w:val="1"/>
      <w:marLeft w:val="0"/>
      <w:marRight w:val="0"/>
      <w:marTop w:val="0"/>
      <w:marBottom w:val="0"/>
      <w:divBdr>
        <w:top w:val="none" w:sz="0" w:space="0" w:color="auto"/>
        <w:left w:val="none" w:sz="0" w:space="0" w:color="auto"/>
        <w:bottom w:val="none" w:sz="0" w:space="0" w:color="auto"/>
        <w:right w:val="none" w:sz="0" w:space="0" w:color="auto"/>
      </w:divBdr>
    </w:div>
    <w:div w:id="59792409">
      <w:bodyDiv w:val="1"/>
      <w:marLeft w:val="0"/>
      <w:marRight w:val="0"/>
      <w:marTop w:val="0"/>
      <w:marBottom w:val="0"/>
      <w:divBdr>
        <w:top w:val="none" w:sz="0" w:space="0" w:color="auto"/>
        <w:left w:val="none" w:sz="0" w:space="0" w:color="auto"/>
        <w:bottom w:val="none" w:sz="0" w:space="0" w:color="auto"/>
        <w:right w:val="none" w:sz="0" w:space="0" w:color="auto"/>
      </w:divBdr>
    </w:div>
    <w:div w:id="60761885">
      <w:bodyDiv w:val="1"/>
      <w:marLeft w:val="0"/>
      <w:marRight w:val="0"/>
      <w:marTop w:val="0"/>
      <w:marBottom w:val="0"/>
      <w:divBdr>
        <w:top w:val="none" w:sz="0" w:space="0" w:color="auto"/>
        <w:left w:val="none" w:sz="0" w:space="0" w:color="auto"/>
        <w:bottom w:val="none" w:sz="0" w:space="0" w:color="auto"/>
        <w:right w:val="none" w:sz="0" w:space="0" w:color="auto"/>
      </w:divBdr>
    </w:div>
    <w:div w:id="61490120">
      <w:bodyDiv w:val="1"/>
      <w:marLeft w:val="0"/>
      <w:marRight w:val="0"/>
      <w:marTop w:val="0"/>
      <w:marBottom w:val="0"/>
      <w:divBdr>
        <w:top w:val="none" w:sz="0" w:space="0" w:color="auto"/>
        <w:left w:val="none" w:sz="0" w:space="0" w:color="auto"/>
        <w:bottom w:val="none" w:sz="0" w:space="0" w:color="auto"/>
        <w:right w:val="none" w:sz="0" w:space="0" w:color="auto"/>
      </w:divBdr>
    </w:div>
    <w:div w:id="61565595">
      <w:bodyDiv w:val="1"/>
      <w:marLeft w:val="0"/>
      <w:marRight w:val="0"/>
      <w:marTop w:val="0"/>
      <w:marBottom w:val="0"/>
      <w:divBdr>
        <w:top w:val="none" w:sz="0" w:space="0" w:color="auto"/>
        <w:left w:val="none" w:sz="0" w:space="0" w:color="auto"/>
        <w:bottom w:val="none" w:sz="0" w:space="0" w:color="auto"/>
        <w:right w:val="none" w:sz="0" w:space="0" w:color="auto"/>
      </w:divBdr>
    </w:div>
    <w:div w:id="61609303">
      <w:bodyDiv w:val="1"/>
      <w:marLeft w:val="0"/>
      <w:marRight w:val="0"/>
      <w:marTop w:val="0"/>
      <w:marBottom w:val="0"/>
      <w:divBdr>
        <w:top w:val="none" w:sz="0" w:space="0" w:color="auto"/>
        <w:left w:val="none" w:sz="0" w:space="0" w:color="auto"/>
        <w:bottom w:val="none" w:sz="0" w:space="0" w:color="auto"/>
        <w:right w:val="none" w:sz="0" w:space="0" w:color="auto"/>
      </w:divBdr>
    </w:div>
    <w:div w:id="62027024">
      <w:bodyDiv w:val="1"/>
      <w:marLeft w:val="0"/>
      <w:marRight w:val="0"/>
      <w:marTop w:val="0"/>
      <w:marBottom w:val="0"/>
      <w:divBdr>
        <w:top w:val="none" w:sz="0" w:space="0" w:color="auto"/>
        <w:left w:val="none" w:sz="0" w:space="0" w:color="auto"/>
        <w:bottom w:val="none" w:sz="0" w:space="0" w:color="auto"/>
        <w:right w:val="none" w:sz="0" w:space="0" w:color="auto"/>
      </w:divBdr>
    </w:div>
    <w:div w:id="64381205">
      <w:bodyDiv w:val="1"/>
      <w:marLeft w:val="0"/>
      <w:marRight w:val="0"/>
      <w:marTop w:val="0"/>
      <w:marBottom w:val="0"/>
      <w:divBdr>
        <w:top w:val="none" w:sz="0" w:space="0" w:color="auto"/>
        <w:left w:val="none" w:sz="0" w:space="0" w:color="auto"/>
        <w:bottom w:val="none" w:sz="0" w:space="0" w:color="auto"/>
        <w:right w:val="none" w:sz="0" w:space="0" w:color="auto"/>
      </w:divBdr>
    </w:div>
    <w:div w:id="64649396">
      <w:bodyDiv w:val="1"/>
      <w:marLeft w:val="0"/>
      <w:marRight w:val="0"/>
      <w:marTop w:val="0"/>
      <w:marBottom w:val="0"/>
      <w:divBdr>
        <w:top w:val="none" w:sz="0" w:space="0" w:color="auto"/>
        <w:left w:val="none" w:sz="0" w:space="0" w:color="auto"/>
        <w:bottom w:val="none" w:sz="0" w:space="0" w:color="auto"/>
        <w:right w:val="none" w:sz="0" w:space="0" w:color="auto"/>
      </w:divBdr>
    </w:div>
    <w:div w:id="65341466">
      <w:bodyDiv w:val="1"/>
      <w:marLeft w:val="0"/>
      <w:marRight w:val="0"/>
      <w:marTop w:val="0"/>
      <w:marBottom w:val="0"/>
      <w:divBdr>
        <w:top w:val="none" w:sz="0" w:space="0" w:color="auto"/>
        <w:left w:val="none" w:sz="0" w:space="0" w:color="auto"/>
        <w:bottom w:val="none" w:sz="0" w:space="0" w:color="auto"/>
        <w:right w:val="none" w:sz="0" w:space="0" w:color="auto"/>
      </w:divBdr>
    </w:div>
    <w:div w:id="65761628">
      <w:bodyDiv w:val="1"/>
      <w:marLeft w:val="0"/>
      <w:marRight w:val="0"/>
      <w:marTop w:val="0"/>
      <w:marBottom w:val="0"/>
      <w:divBdr>
        <w:top w:val="none" w:sz="0" w:space="0" w:color="auto"/>
        <w:left w:val="none" w:sz="0" w:space="0" w:color="auto"/>
        <w:bottom w:val="none" w:sz="0" w:space="0" w:color="auto"/>
        <w:right w:val="none" w:sz="0" w:space="0" w:color="auto"/>
      </w:divBdr>
    </w:div>
    <w:div w:id="66079756">
      <w:bodyDiv w:val="1"/>
      <w:marLeft w:val="0"/>
      <w:marRight w:val="0"/>
      <w:marTop w:val="0"/>
      <w:marBottom w:val="0"/>
      <w:divBdr>
        <w:top w:val="none" w:sz="0" w:space="0" w:color="auto"/>
        <w:left w:val="none" w:sz="0" w:space="0" w:color="auto"/>
        <w:bottom w:val="none" w:sz="0" w:space="0" w:color="auto"/>
        <w:right w:val="none" w:sz="0" w:space="0" w:color="auto"/>
      </w:divBdr>
    </w:div>
    <w:div w:id="66466862">
      <w:bodyDiv w:val="1"/>
      <w:marLeft w:val="0"/>
      <w:marRight w:val="0"/>
      <w:marTop w:val="0"/>
      <w:marBottom w:val="0"/>
      <w:divBdr>
        <w:top w:val="none" w:sz="0" w:space="0" w:color="auto"/>
        <w:left w:val="none" w:sz="0" w:space="0" w:color="auto"/>
        <w:bottom w:val="none" w:sz="0" w:space="0" w:color="auto"/>
        <w:right w:val="none" w:sz="0" w:space="0" w:color="auto"/>
      </w:divBdr>
    </w:div>
    <w:div w:id="67657078">
      <w:bodyDiv w:val="1"/>
      <w:marLeft w:val="0"/>
      <w:marRight w:val="0"/>
      <w:marTop w:val="0"/>
      <w:marBottom w:val="0"/>
      <w:divBdr>
        <w:top w:val="none" w:sz="0" w:space="0" w:color="auto"/>
        <w:left w:val="none" w:sz="0" w:space="0" w:color="auto"/>
        <w:bottom w:val="none" w:sz="0" w:space="0" w:color="auto"/>
        <w:right w:val="none" w:sz="0" w:space="0" w:color="auto"/>
      </w:divBdr>
    </w:div>
    <w:div w:id="67776580">
      <w:bodyDiv w:val="1"/>
      <w:marLeft w:val="0"/>
      <w:marRight w:val="0"/>
      <w:marTop w:val="0"/>
      <w:marBottom w:val="0"/>
      <w:divBdr>
        <w:top w:val="none" w:sz="0" w:space="0" w:color="auto"/>
        <w:left w:val="none" w:sz="0" w:space="0" w:color="auto"/>
        <w:bottom w:val="none" w:sz="0" w:space="0" w:color="auto"/>
        <w:right w:val="none" w:sz="0" w:space="0" w:color="auto"/>
      </w:divBdr>
    </w:div>
    <w:div w:id="67925111">
      <w:bodyDiv w:val="1"/>
      <w:marLeft w:val="0"/>
      <w:marRight w:val="0"/>
      <w:marTop w:val="0"/>
      <w:marBottom w:val="0"/>
      <w:divBdr>
        <w:top w:val="none" w:sz="0" w:space="0" w:color="auto"/>
        <w:left w:val="none" w:sz="0" w:space="0" w:color="auto"/>
        <w:bottom w:val="none" w:sz="0" w:space="0" w:color="auto"/>
        <w:right w:val="none" w:sz="0" w:space="0" w:color="auto"/>
      </w:divBdr>
    </w:div>
    <w:div w:id="69861803">
      <w:bodyDiv w:val="1"/>
      <w:marLeft w:val="0"/>
      <w:marRight w:val="0"/>
      <w:marTop w:val="0"/>
      <w:marBottom w:val="0"/>
      <w:divBdr>
        <w:top w:val="none" w:sz="0" w:space="0" w:color="auto"/>
        <w:left w:val="none" w:sz="0" w:space="0" w:color="auto"/>
        <w:bottom w:val="none" w:sz="0" w:space="0" w:color="auto"/>
        <w:right w:val="none" w:sz="0" w:space="0" w:color="auto"/>
      </w:divBdr>
    </w:div>
    <w:div w:id="70590620">
      <w:bodyDiv w:val="1"/>
      <w:marLeft w:val="0"/>
      <w:marRight w:val="0"/>
      <w:marTop w:val="0"/>
      <w:marBottom w:val="0"/>
      <w:divBdr>
        <w:top w:val="none" w:sz="0" w:space="0" w:color="auto"/>
        <w:left w:val="none" w:sz="0" w:space="0" w:color="auto"/>
        <w:bottom w:val="none" w:sz="0" w:space="0" w:color="auto"/>
        <w:right w:val="none" w:sz="0" w:space="0" w:color="auto"/>
      </w:divBdr>
    </w:div>
    <w:div w:id="70784554">
      <w:bodyDiv w:val="1"/>
      <w:marLeft w:val="0"/>
      <w:marRight w:val="0"/>
      <w:marTop w:val="0"/>
      <w:marBottom w:val="0"/>
      <w:divBdr>
        <w:top w:val="none" w:sz="0" w:space="0" w:color="auto"/>
        <w:left w:val="none" w:sz="0" w:space="0" w:color="auto"/>
        <w:bottom w:val="none" w:sz="0" w:space="0" w:color="auto"/>
        <w:right w:val="none" w:sz="0" w:space="0" w:color="auto"/>
      </w:divBdr>
    </w:div>
    <w:div w:id="70856252">
      <w:bodyDiv w:val="1"/>
      <w:marLeft w:val="0"/>
      <w:marRight w:val="0"/>
      <w:marTop w:val="0"/>
      <w:marBottom w:val="0"/>
      <w:divBdr>
        <w:top w:val="none" w:sz="0" w:space="0" w:color="auto"/>
        <w:left w:val="none" w:sz="0" w:space="0" w:color="auto"/>
        <w:bottom w:val="none" w:sz="0" w:space="0" w:color="auto"/>
        <w:right w:val="none" w:sz="0" w:space="0" w:color="auto"/>
      </w:divBdr>
    </w:div>
    <w:div w:id="70932655">
      <w:bodyDiv w:val="1"/>
      <w:marLeft w:val="0"/>
      <w:marRight w:val="0"/>
      <w:marTop w:val="0"/>
      <w:marBottom w:val="0"/>
      <w:divBdr>
        <w:top w:val="none" w:sz="0" w:space="0" w:color="auto"/>
        <w:left w:val="none" w:sz="0" w:space="0" w:color="auto"/>
        <w:bottom w:val="none" w:sz="0" w:space="0" w:color="auto"/>
        <w:right w:val="none" w:sz="0" w:space="0" w:color="auto"/>
      </w:divBdr>
    </w:div>
    <w:div w:id="71048280">
      <w:bodyDiv w:val="1"/>
      <w:marLeft w:val="0"/>
      <w:marRight w:val="0"/>
      <w:marTop w:val="0"/>
      <w:marBottom w:val="0"/>
      <w:divBdr>
        <w:top w:val="none" w:sz="0" w:space="0" w:color="auto"/>
        <w:left w:val="none" w:sz="0" w:space="0" w:color="auto"/>
        <w:bottom w:val="none" w:sz="0" w:space="0" w:color="auto"/>
        <w:right w:val="none" w:sz="0" w:space="0" w:color="auto"/>
      </w:divBdr>
    </w:div>
    <w:div w:id="71127411">
      <w:bodyDiv w:val="1"/>
      <w:marLeft w:val="0"/>
      <w:marRight w:val="0"/>
      <w:marTop w:val="0"/>
      <w:marBottom w:val="0"/>
      <w:divBdr>
        <w:top w:val="none" w:sz="0" w:space="0" w:color="auto"/>
        <w:left w:val="none" w:sz="0" w:space="0" w:color="auto"/>
        <w:bottom w:val="none" w:sz="0" w:space="0" w:color="auto"/>
        <w:right w:val="none" w:sz="0" w:space="0" w:color="auto"/>
      </w:divBdr>
    </w:div>
    <w:div w:id="71588712">
      <w:bodyDiv w:val="1"/>
      <w:marLeft w:val="0"/>
      <w:marRight w:val="0"/>
      <w:marTop w:val="0"/>
      <w:marBottom w:val="0"/>
      <w:divBdr>
        <w:top w:val="none" w:sz="0" w:space="0" w:color="auto"/>
        <w:left w:val="none" w:sz="0" w:space="0" w:color="auto"/>
        <w:bottom w:val="none" w:sz="0" w:space="0" w:color="auto"/>
        <w:right w:val="none" w:sz="0" w:space="0" w:color="auto"/>
      </w:divBdr>
    </w:div>
    <w:div w:id="73401937">
      <w:bodyDiv w:val="1"/>
      <w:marLeft w:val="0"/>
      <w:marRight w:val="0"/>
      <w:marTop w:val="0"/>
      <w:marBottom w:val="0"/>
      <w:divBdr>
        <w:top w:val="none" w:sz="0" w:space="0" w:color="auto"/>
        <w:left w:val="none" w:sz="0" w:space="0" w:color="auto"/>
        <w:bottom w:val="none" w:sz="0" w:space="0" w:color="auto"/>
        <w:right w:val="none" w:sz="0" w:space="0" w:color="auto"/>
      </w:divBdr>
    </w:div>
    <w:div w:id="75827876">
      <w:bodyDiv w:val="1"/>
      <w:marLeft w:val="0"/>
      <w:marRight w:val="0"/>
      <w:marTop w:val="0"/>
      <w:marBottom w:val="0"/>
      <w:divBdr>
        <w:top w:val="none" w:sz="0" w:space="0" w:color="auto"/>
        <w:left w:val="none" w:sz="0" w:space="0" w:color="auto"/>
        <w:bottom w:val="none" w:sz="0" w:space="0" w:color="auto"/>
        <w:right w:val="none" w:sz="0" w:space="0" w:color="auto"/>
      </w:divBdr>
    </w:div>
    <w:div w:id="76023142">
      <w:bodyDiv w:val="1"/>
      <w:marLeft w:val="0"/>
      <w:marRight w:val="0"/>
      <w:marTop w:val="0"/>
      <w:marBottom w:val="0"/>
      <w:divBdr>
        <w:top w:val="none" w:sz="0" w:space="0" w:color="auto"/>
        <w:left w:val="none" w:sz="0" w:space="0" w:color="auto"/>
        <w:bottom w:val="none" w:sz="0" w:space="0" w:color="auto"/>
        <w:right w:val="none" w:sz="0" w:space="0" w:color="auto"/>
      </w:divBdr>
    </w:div>
    <w:div w:id="76874687">
      <w:bodyDiv w:val="1"/>
      <w:marLeft w:val="0"/>
      <w:marRight w:val="0"/>
      <w:marTop w:val="0"/>
      <w:marBottom w:val="0"/>
      <w:divBdr>
        <w:top w:val="none" w:sz="0" w:space="0" w:color="auto"/>
        <w:left w:val="none" w:sz="0" w:space="0" w:color="auto"/>
        <w:bottom w:val="none" w:sz="0" w:space="0" w:color="auto"/>
        <w:right w:val="none" w:sz="0" w:space="0" w:color="auto"/>
      </w:divBdr>
    </w:div>
    <w:div w:id="77217052">
      <w:bodyDiv w:val="1"/>
      <w:marLeft w:val="0"/>
      <w:marRight w:val="0"/>
      <w:marTop w:val="0"/>
      <w:marBottom w:val="0"/>
      <w:divBdr>
        <w:top w:val="none" w:sz="0" w:space="0" w:color="auto"/>
        <w:left w:val="none" w:sz="0" w:space="0" w:color="auto"/>
        <w:bottom w:val="none" w:sz="0" w:space="0" w:color="auto"/>
        <w:right w:val="none" w:sz="0" w:space="0" w:color="auto"/>
      </w:divBdr>
    </w:div>
    <w:div w:id="77411777">
      <w:bodyDiv w:val="1"/>
      <w:marLeft w:val="0"/>
      <w:marRight w:val="0"/>
      <w:marTop w:val="0"/>
      <w:marBottom w:val="0"/>
      <w:divBdr>
        <w:top w:val="none" w:sz="0" w:space="0" w:color="auto"/>
        <w:left w:val="none" w:sz="0" w:space="0" w:color="auto"/>
        <w:bottom w:val="none" w:sz="0" w:space="0" w:color="auto"/>
        <w:right w:val="none" w:sz="0" w:space="0" w:color="auto"/>
      </w:divBdr>
    </w:div>
    <w:div w:id="77945188">
      <w:bodyDiv w:val="1"/>
      <w:marLeft w:val="0"/>
      <w:marRight w:val="0"/>
      <w:marTop w:val="0"/>
      <w:marBottom w:val="0"/>
      <w:divBdr>
        <w:top w:val="none" w:sz="0" w:space="0" w:color="auto"/>
        <w:left w:val="none" w:sz="0" w:space="0" w:color="auto"/>
        <w:bottom w:val="none" w:sz="0" w:space="0" w:color="auto"/>
        <w:right w:val="none" w:sz="0" w:space="0" w:color="auto"/>
      </w:divBdr>
    </w:div>
    <w:div w:id="79067618">
      <w:bodyDiv w:val="1"/>
      <w:marLeft w:val="0"/>
      <w:marRight w:val="0"/>
      <w:marTop w:val="0"/>
      <w:marBottom w:val="0"/>
      <w:divBdr>
        <w:top w:val="none" w:sz="0" w:space="0" w:color="auto"/>
        <w:left w:val="none" w:sz="0" w:space="0" w:color="auto"/>
        <w:bottom w:val="none" w:sz="0" w:space="0" w:color="auto"/>
        <w:right w:val="none" w:sz="0" w:space="0" w:color="auto"/>
      </w:divBdr>
    </w:div>
    <w:div w:id="79134429">
      <w:bodyDiv w:val="1"/>
      <w:marLeft w:val="0"/>
      <w:marRight w:val="0"/>
      <w:marTop w:val="0"/>
      <w:marBottom w:val="0"/>
      <w:divBdr>
        <w:top w:val="none" w:sz="0" w:space="0" w:color="auto"/>
        <w:left w:val="none" w:sz="0" w:space="0" w:color="auto"/>
        <w:bottom w:val="none" w:sz="0" w:space="0" w:color="auto"/>
        <w:right w:val="none" w:sz="0" w:space="0" w:color="auto"/>
      </w:divBdr>
    </w:div>
    <w:div w:id="80489840">
      <w:bodyDiv w:val="1"/>
      <w:marLeft w:val="0"/>
      <w:marRight w:val="0"/>
      <w:marTop w:val="0"/>
      <w:marBottom w:val="0"/>
      <w:divBdr>
        <w:top w:val="none" w:sz="0" w:space="0" w:color="auto"/>
        <w:left w:val="none" w:sz="0" w:space="0" w:color="auto"/>
        <w:bottom w:val="none" w:sz="0" w:space="0" w:color="auto"/>
        <w:right w:val="none" w:sz="0" w:space="0" w:color="auto"/>
      </w:divBdr>
    </w:div>
    <w:div w:id="80491052">
      <w:bodyDiv w:val="1"/>
      <w:marLeft w:val="0"/>
      <w:marRight w:val="0"/>
      <w:marTop w:val="0"/>
      <w:marBottom w:val="0"/>
      <w:divBdr>
        <w:top w:val="none" w:sz="0" w:space="0" w:color="auto"/>
        <w:left w:val="none" w:sz="0" w:space="0" w:color="auto"/>
        <w:bottom w:val="none" w:sz="0" w:space="0" w:color="auto"/>
        <w:right w:val="none" w:sz="0" w:space="0" w:color="auto"/>
      </w:divBdr>
    </w:div>
    <w:div w:id="82192574">
      <w:bodyDiv w:val="1"/>
      <w:marLeft w:val="0"/>
      <w:marRight w:val="0"/>
      <w:marTop w:val="0"/>
      <w:marBottom w:val="0"/>
      <w:divBdr>
        <w:top w:val="none" w:sz="0" w:space="0" w:color="auto"/>
        <w:left w:val="none" w:sz="0" w:space="0" w:color="auto"/>
        <w:bottom w:val="none" w:sz="0" w:space="0" w:color="auto"/>
        <w:right w:val="none" w:sz="0" w:space="0" w:color="auto"/>
      </w:divBdr>
    </w:div>
    <w:div w:id="82576993">
      <w:bodyDiv w:val="1"/>
      <w:marLeft w:val="0"/>
      <w:marRight w:val="0"/>
      <w:marTop w:val="0"/>
      <w:marBottom w:val="0"/>
      <w:divBdr>
        <w:top w:val="none" w:sz="0" w:space="0" w:color="auto"/>
        <w:left w:val="none" w:sz="0" w:space="0" w:color="auto"/>
        <w:bottom w:val="none" w:sz="0" w:space="0" w:color="auto"/>
        <w:right w:val="none" w:sz="0" w:space="0" w:color="auto"/>
      </w:divBdr>
    </w:div>
    <w:div w:id="82996657">
      <w:bodyDiv w:val="1"/>
      <w:marLeft w:val="0"/>
      <w:marRight w:val="0"/>
      <w:marTop w:val="0"/>
      <w:marBottom w:val="0"/>
      <w:divBdr>
        <w:top w:val="none" w:sz="0" w:space="0" w:color="auto"/>
        <w:left w:val="none" w:sz="0" w:space="0" w:color="auto"/>
        <w:bottom w:val="none" w:sz="0" w:space="0" w:color="auto"/>
        <w:right w:val="none" w:sz="0" w:space="0" w:color="auto"/>
      </w:divBdr>
    </w:div>
    <w:div w:id="85002736">
      <w:bodyDiv w:val="1"/>
      <w:marLeft w:val="0"/>
      <w:marRight w:val="0"/>
      <w:marTop w:val="0"/>
      <w:marBottom w:val="0"/>
      <w:divBdr>
        <w:top w:val="none" w:sz="0" w:space="0" w:color="auto"/>
        <w:left w:val="none" w:sz="0" w:space="0" w:color="auto"/>
        <w:bottom w:val="none" w:sz="0" w:space="0" w:color="auto"/>
        <w:right w:val="none" w:sz="0" w:space="0" w:color="auto"/>
      </w:divBdr>
    </w:div>
    <w:div w:id="86077935">
      <w:bodyDiv w:val="1"/>
      <w:marLeft w:val="0"/>
      <w:marRight w:val="0"/>
      <w:marTop w:val="0"/>
      <w:marBottom w:val="0"/>
      <w:divBdr>
        <w:top w:val="none" w:sz="0" w:space="0" w:color="auto"/>
        <w:left w:val="none" w:sz="0" w:space="0" w:color="auto"/>
        <w:bottom w:val="none" w:sz="0" w:space="0" w:color="auto"/>
        <w:right w:val="none" w:sz="0" w:space="0" w:color="auto"/>
      </w:divBdr>
    </w:div>
    <w:div w:id="86394276">
      <w:bodyDiv w:val="1"/>
      <w:marLeft w:val="0"/>
      <w:marRight w:val="0"/>
      <w:marTop w:val="0"/>
      <w:marBottom w:val="0"/>
      <w:divBdr>
        <w:top w:val="none" w:sz="0" w:space="0" w:color="auto"/>
        <w:left w:val="none" w:sz="0" w:space="0" w:color="auto"/>
        <w:bottom w:val="none" w:sz="0" w:space="0" w:color="auto"/>
        <w:right w:val="none" w:sz="0" w:space="0" w:color="auto"/>
      </w:divBdr>
    </w:div>
    <w:div w:id="87505575">
      <w:bodyDiv w:val="1"/>
      <w:marLeft w:val="0"/>
      <w:marRight w:val="0"/>
      <w:marTop w:val="0"/>
      <w:marBottom w:val="0"/>
      <w:divBdr>
        <w:top w:val="none" w:sz="0" w:space="0" w:color="auto"/>
        <w:left w:val="none" w:sz="0" w:space="0" w:color="auto"/>
        <w:bottom w:val="none" w:sz="0" w:space="0" w:color="auto"/>
        <w:right w:val="none" w:sz="0" w:space="0" w:color="auto"/>
      </w:divBdr>
    </w:div>
    <w:div w:id="88551844">
      <w:bodyDiv w:val="1"/>
      <w:marLeft w:val="0"/>
      <w:marRight w:val="0"/>
      <w:marTop w:val="0"/>
      <w:marBottom w:val="0"/>
      <w:divBdr>
        <w:top w:val="none" w:sz="0" w:space="0" w:color="auto"/>
        <w:left w:val="none" w:sz="0" w:space="0" w:color="auto"/>
        <w:bottom w:val="none" w:sz="0" w:space="0" w:color="auto"/>
        <w:right w:val="none" w:sz="0" w:space="0" w:color="auto"/>
      </w:divBdr>
    </w:div>
    <w:div w:id="88819304">
      <w:bodyDiv w:val="1"/>
      <w:marLeft w:val="0"/>
      <w:marRight w:val="0"/>
      <w:marTop w:val="0"/>
      <w:marBottom w:val="0"/>
      <w:divBdr>
        <w:top w:val="none" w:sz="0" w:space="0" w:color="auto"/>
        <w:left w:val="none" w:sz="0" w:space="0" w:color="auto"/>
        <w:bottom w:val="none" w:sz="0" w:space="0" w:color="auto"/>
        <w:right w:val="none" w:sz="0" w:space="0" w:color="auto"/>
      </w:divBdr>
    </w:div>
    <w:div w:id="89930008">
      <w:bodyDiv w:val="1"/>
      <w:marLeft w:val="0"/>
      <w:marRight w:val="0"/>
      <w:marTop w:val="0"/>
      <w:marBottom w:val="0"/>
      <w:divBdr>
        <w:top w:val="none" w:sz="0" w:space="0" w:color="auto"/>
        <w:left w:val="none" w:sz="0" w:space="0" w:color="auto"/>
        <w:bottom w:val="none" w:sz="0" w:space="0" w:color="auto"/>
        <w:right w:val="none" w:sz="0" w:space="0" w:color="auto"/>
      </w:divBdr>
    </w:div>
    <w:div w:id="90589059">
      <w:bodyDiv w:val="1"/>
      <w:marLeft w:val="0"/>
      <w:marRight w:val="0"/>
      <w:marTop w:val="0"/>
      <w:marBottom w:val="0"/>
      <w:divBdr>
        <w:top w:val="none" w:sz="0" w:space="0" w:color="auto"/>
        <w:left w:val="none" w:sz="0" w:space="0" w:color="auto"/>
        <w:bottom w:val="none" w:sz="0" w:space="0" w:color="auto"/>
        <w:right w:val="none" w:sz="0" w:space="0" w:color="auto"/>
      </w:divBdr>
    </w:div>
    <w:div w:id="90660547">
      <w:bodyDiv w:val="1"/>
      <w:marLeft w:val="0"/>
      <w:marRight w:val="0"/>
      <w:marTop w:val="0"/>
      <w:marBottom w:val="0"/>
      <w:divBdr>
        <w:top w:val="none" w:sz="0" w:space="0" w:color="auto"/>
        <w:left w:val="none" w:sz="0" w:space="0" w:color="auto"/>
        <w:bottom w:val="none" w:sz="0" w:space="0" w:color="auto"/>
        <w:right w:val="none" w:sz="0" w:space="0" w:color="auto"/>
      </w:divBdr>
    </w:div>
    <w:div w:id="90783347">
      <w:bodyDiv w:val="1"/>
      <w:marLeft w:val="0"/>
      <w:marRight w:val="0"/>
      <w:marTop w:val="0"/>
      <w:marBottom w:val="0"/>
      <w:divBdr>
        <w:top w:val="none" w:sz="0" w:space="0" w:color="auto"/>
        <w:left w:val="none" w:sz="0" w:space="0" w:color="auto"/>
        <w:bottom w:val="none" w:sz="0" w:space="0" w:color="auto"/>
        <w:right w:val="none" w:sz="0" w:space="0" w:color="auto"/>
      </w:divBdr>
    </w:div>
    <w:div w:id="91166047">
      <w:bodyDiv w:val="1"/>
      <w:marLeft w:val="0"/>
      <w:marRight w:val="0"/>
      <w:marTop w:val="0"/>
      <w:marBottom w:val="0"/>
      <w:divBdr>
        <w:top w:val="none" w:sz="0" w:space="0" w:color="auto"/>
        <w:left w:val="none" w:sz="0" w:space="0" w:color="auto"/>
        <w:bottom w:val="none" w:sz="0" w:space="0" w:color="auto"/>
        <w:right w:val="none" w:sz="0" w:space="0" w:color="auto"/>
      </w:divBdr>
    </w:div>
    <w:div w:id="91753465">
      <w:bodyDiv w:val="1"/>
      <w:marLeft w:val="0"/>
      <w:marRight w:val="0"/>
      <w:marTop w:val="0"/>
      <w:marBottom w:val="0"/>
      <w:divBdr>
        <w:top w:val="none" w:sz="0" w:space="0" w:color="auto"/>
        <w:left w:val="none" w:sz="0" w:space="0" w:color="auto"/>
        <w:bottom w:val="none" w:sz="0" w:space="0" w:color="auto"/>
        <w:right w:val="none" w:sz="0" w:space="0" w:color="auto"/>
      </w:divBdr>
      <w:divsChild>
        <w:div w:id="875196194">
          <w:marLeft w:val="0"/>
          <w:marRight w:val="0"/>
          <w:marTop w:val="0"/>
          <w:marBottom w:val="0"/>
          <w:divBdr>
            <w:top w:val="none" w:sz="0" w:space="0" w:color="auto"/>
            <w:left w:val="none" w:sz="0" w:space="0" w:color="auto"/>
            <w:bottom w:val="none" w:sz="0" w:space="0" w:color="auto"/>
            <w:right w:val="none" w:sz="0" w:space="0" w:color="auto"/>
          </w:divBdr>
        </w:div>
      </w:divsChild>
    </w:div>
    <w:div w:id="92433470">
      <w:bodyDiv w:val="1"/>
      <w:marLeft w:val="0"/>
      <w:marRight w:val="0"/>
      <w:marTop w:val="0"/>
      <w:marBottom w:val="0"/>
      <w:divBdr>
        <w:top w:val="none" w:sz="0" w:space="0" w:color="auto"/>
        <w:left w:val="none" w:sz="0" w:space="0" w:color="auto"/>
        <w:bottom w:val="none" w:sz="0" w:space="0" w:color="auto"/>
        <w:right w:val="none" w:sz="0" w:space="0" w:color="auto"/>
      </w:divBdr>
    </w:div>
    <w:div w:id="92633307">
      <w:bodyDiv w:val="1"/>
      <w:marLeft w:val="0"/>
      <w:marRight w:val="0"/>
      <w:marTop w:val="0"/>
      <w:marBottom w:val="0"/>
      <w:divBdr>
        <w:top w:val="none" w:sz="0" w:space="0" w:color="auto"/>
        <w:left w:val="none" w:sz="0" w:space="0" w:color="auto"/>
        <w:bottom w:val="none" w:sz="0" w:space="0" w:color="auto"/>
        <w:right w:val="none" w:sz="0" w:space="0" w:color="auto"/>
      </w:divBdr>
    </w:div>
    <w:div w:id="92865711">
      <w:bodyDiv w:val="1"/>
      <w:marLeft w:val="0"/>
      <w:marRight w:val="0"/>
      <w:marTop w:val="0"/>
      <w:marBottom w:val="0"/>
      <w:divBdr>
        <w:top w:val="none" w:sz="0" w:space="0" w:color="auto"/>
        <w:left w:val="none" w:sz="0" w:space="0" w:color="auto"/>
        <w:bottom w:val="none" w:sz="0" w:space="0" w:color="auto"/>
        <w:right w:val="none" w:sz="0" w:space="0" w:color="auto"/>
      </w:divBdr>
    </w:div>
    <w:div w:id="92895882">
      <w:bodyDiv w:val="1"/>
      <w:marLeft w:val="0"/>
      <w:marRight w:val="0"/>
      <w:marTop w:val="0"/>
      <w:marBottom w:val="0"/>
      <w:divBdr>
        <w:top w:val="none" w:sz="0" w:space="0" w:color="auto"/>
        <w:left w:val="none" w:sz="0" w:space="0" w:color="auto"/>
        <w:bottom w:val="none" w:sz="0" w:space="0" w:color="auto"/>
        <w:right w:val="none" w:sz="0" w:space="0" w:color="auto"/>
      </w:divBdr>
    </w:div>
    <w:div w:id="93325577">
      <w:bodyDiv w:val="1"/>
      <w:marLeft w:val="0"/>
      <w:marRight w:val="0"/>
      <w:marTop w:val="0"/>
      <w:marBottom w:val="0"/>
      <w:divBdr>
        <w:top w:val="none" w:sz="0" w:space="0" w:color="auto"/>
        <w:left w:val="none" w:sz="0" w:space="0" w:color="auto"/>
        <w:bottom w:val="none" w:sz="0" w:space="0" w:color="auto"/>
        <w:right w:val="none" w:sz="0" w:space="0" w:color="auto"/>
      </w:divBdr>
    </w:div>
    <w:div w:id="93325855">
      <w:bodyDiv w:val="1"/>
      <w:marLeft w:val="0"/>
      <w:marRight w:val="0"/>
      <w:marTop w:val="0"/>
      <w:marBottom w:val="0"/>
      <w:divBdr>
        <w:top w:val="none" w:sz="0" w:space="0" w:color="auto"/>
        <w:left w:val="none" w:sz="0" w:space="0" w:color="auto"/>
        <w:bottom w:val="none" w:sz="0" w:space="0" w:color="auto"/>
        <w:right w:val="none" w:sz="0" w:space="0" w:color="auto"/>
      </w:divBdr>
    </w:div>
    <w:div w:id="94248839">
      <w:bodyDiv w:val="1"/>
      <w:marLeft w:val="0"/>
      <w:marRight w:val="0"/>
      <w:marTop w:val="0"/>
      <w:marBottom w:val="0"/>
      <w:divBdr>
        <w:top w:val="none" w:sz="0" w:space="0" w:color="auto"/>
        <w:left w:val="none" w:sz="0" w:space="0" w:color="auto"/>
        <w:bottom w:val="none" w:sz="0" w:space="0" w:color="auto"/>
        <w:right w:val="none" w:sz="0" w:space="0" w:color="auto"/>
      </w:divBdr>
    </w:div>
    <w:div w:id="95181282">
      <w:bodyDiv w:val="1"/>
      <w:marLeft w:val="0"/>
      <w:marRight w:val="0"/>
      <w:marTop w:val="0"/>
      <w:marBottom w:val="0"/>
      <w:divBdr>
        <w:top w:val="none" w:sz="0" w:space="0" w:color="auto"/>
        <w:left w:val="none" w:sz="0" w:space="0" w:color="auto"/>
        <w:bottom w:val="none" w:sz="0" w:space="0" w:color="auto"/>
        <w:right w:val="none" w:sz="0" w:space="0" w:color="auto"/>
      </w:divBdr>
    </w:div>
    <w:div w:id="95368380">
      <w:bodyDiv w:val="1"/>
      <w:marLeft w:val="0"/>
      <w:marRight w:val="0"/>
      <w:marTop w:val="0"/>
      <w:marBottom w:val="0"/>
      <w:divBdr>
        <w:top w:val="none" w:sz="0" w:space="0" w:color="auto"/>
        <w:left w:val="none" w:sz="0" w:space="0" w:color="auto"/>
        <w:bottom w:val="none" w:sz="0" w:space="0" w:color="auto"/>
        <w:right w:val="none" w:sz="0" w:space="0" w:color="auto"/>
      </w:divBdr>
    </w:div>
    <w:div w:id="96289049">
      <w:bodyDiv w:val="1"/>
      <w:marLeft w:val="0"/>
      <w:marRight w:val="0"/>
      <w:marTop w:val="0"/>
      <w:marBottom w:val="0"/>
      <w:divBdr>
        <w:top w:val="none" w:sz="0" w:space="0" w:color="auto"/>
        <w:left w:val="none" w:sz="0" w:space="0" w:color="auto"/>
        <w:bottom w:val="none" w:sz="0" w:space="0" w:color="auto"/>
        <w:right w:val="none" w:sz="0" w:space="0" w:color="auto"/>
      </w:divBdr>
    </w:div>
    <w:div w:id="96798768">
      <w:bodyDiv w:val="1"/>
      <w:marLeft w:val="0"/>
      <w:marRight w:val="0"/>
      <w:marTop w:val="0"/>
      <w:marBottom w:val="0"/>
      <w:divBdr>
        <w:top w:val="none" w:sz="0" w:space="0" w:color="auto"/>
        <w:left w:val="none" w:sz="0" w:space="0" w:color="auto"/>
        <w:bottom w:val="none" w:sz="0" w:space="0" w:color="auto"/>
        <w:right w:val="none" w:sz="0" w:space="0" w:color="auto"/>
      </w:divBdr>
    </w:div>
    <w:div w:id="96871040">
      <w:bodyDiv w:val="1"/>
      <w:marLeft w:val="0"/>
      <w:marRight w:val="0"/>
      <w:marTop w:val="0"/>
      <w:marBottom w:val="0"/>
      <w:divBdr>
        <w:top w:val="none" w:sz="0" w:space="0" w:color="auto"/>
        <w:left w:val="none" w:sz="0" w:space="0" w:color="auto"/>
        <w:bottom w:val="none" w:sz="0" w:space="0" w:color="auto"/>
        <w:right w:val="none" w:sz="0" w:space="0" w:color="auto"/>
      </w:divBdr>
    </w:div>
    <w:div w:id="97068372">
      <w:bodyDiv w:val="1"/>
      <w:marLeft w:val="0"/>
      <w:marRight w:val="0"/>
      <w:marTop w:val="0"/>
      <w:marBottom w:val="0"/>
      <w:divBdr>
        <w:top w:val="none" w:sz="0" w:space="0" w:color="auto"/>
        <w:left w:val="none" w:sz="0" w:space="0" w:color="auto"/>
        <w:bottom w:val="none" w:sz="0" w:space="0" w:color="auto"/>
        <w:right w:val="none" w:sz="0" w:space="0" w:color="auto"/>
      </w:divBdr>
    </w:div>
    <w:div w:id="98455539">
      <w:bodyDiv w:val="1"/>
      <w:marLeft w:val="0"/>
      <w:marRight w:val="0"/>
      <w:marTop w:val="0"/>
      <w:marBottom w:val="0"/>
      <w:divBdr>
        <w:top w:val="none" w:sz="0" w:space="0" w:color="auto"/>
        <w:left w:val="none" w:sz="0" w:space="0" w:color="auto"/>
        <w:bottom w:val="none" w:sz="0" w:space="0" w:color="auto"/>
        <w:right w:val="none" w:sz="0" w:space="0" w:color="auto"/>
      </w:divBdr>
    </w:div>
    <w:div w:id="98568494">
      <w:bodyDiv w:val="1"/>
      <w:marLeft w:val="0"/>
      <w:marRight w:val="0"/>
      <w:marTop w:val="0"/>
      <w:marBottom w:val="0"/>
      <w:divBdr>
        <w:top w:val="none" w:sz="0" w:space="0" w:color="auto"/>
        <w:left w:val="none" w:sz="0" w:space="0" w:color="auto"/>
        <w:bottom w:val="none" w:sz="0" w:space="0" w:color="auto"/>
        <w:right w:val="none" w:sz="0" w:space="0" w:color="auto"/>
      </w:divBdr>
    </w:div>
    <w:div w:id="99616641">
      <w:bodyDiv w:val="1"/>
      <w:marLeft w:val="0"/>
      <w:marRight w:val="0"/>
      <w:marTop w:val="0"/>
      <w:marBottom w:val="0"/>
      <w:divBdr>
        <w:top w:val="none" w:sz="0" w:space="0" w:color="auto"/>
        <w:left w:val="none" w:sz="0" w:space="0" w:color="auto"/>
        <w:bottom w:val="none" w:sz="0" w:space="0" w:color="auto"/>
        <w:right w:val="none" w:sz="0" w:space="0" w:color="auto"/>
      </w:divBdr>
    </w:div>
    <w:div w:id="99645028">
      <w:bodyDiv w:val="1"/>
      <w:marLeft w:val="0"/>
      <w:marRight w:val="0"/>
      <w:marTop w:val="0"/>
      <w:marBottom w:val="0"/>
      <w:divBdr>
        <w:top w:val="none" w:sz="0" w:space="0" w:color="auto"/>
        <w:left w:val="none" w:sz="0" w:space="0" w:color="auto"/>
        <w:bottom w:val="none" w:sz="0" w:space="0" w:color="auto"/>
        <w:right w:val="none" w:sz="0" w:space="0" w:color="auto"/>
      </w:divBdr>
    </w:div>
    <w:div w:id="100104618">
      <w:bodyDiv w:val="1"/>
      <w:marLeft w:val="0"/>
      <w:marRight w:val="0"/>
      <w:marTop w:val="0"/>
      <w:marBottom w:val="0"/>
      <w:divBdr>
        <w:top w:val="none" w:sz="0" w:space="0" w:color="auto"/>
        <w:left w:val="none" w:sz="0" w:space="0" w:color="auto"/>
        <w:bottom w:val="none" w:sz="0" w:space="0" w:color="auto"/>
        <w:right w:val="none" w:sz="0" w:space="0" w:color="auto"/>
      </w:divBdr>
    </w:div>
    <w:div w:id="101148094">
      <w:bodyDiv w:val="1"/>
      <w:marLeft w:val="0"/>
      <w:marRight w:val="0"/>
      <w:marTop w:val="0"/>
      <w:marBottom w:val="0"/>
      <w:divBdr>
        <w:top w:val="none" w:sz="0" w:space="0" w:color="auto"/>
        <w:left w:val="none" w:sz="0" w:space="0" w:color="auto"/>
        <w:bottom w:val="none" w:sz="0" w:space="0" w:color="auto"/>
        <w:right w:val="none" w:sz="0" w:space="0" w:color="auto"/>
      </w:divBdr>
    </w:div>
    <w:div w:id="101924380">
      <w:bodyDiv w:val="1"/>
      <w:marLeft w:val="0"/>
      <w:marRight w:val="0"/>
      <w:marTop w:val="0"/>
      <w:marBottom w:val="0"/>
      <w:divBdr>
        <w:top w:val="none" w:sz="0" w:space="0" w:color="auto"/>
        <w:left w:val="none" w:sz="0" w:space="0" w:color="auto"/>
        <w:bottom w:val="none" w:sz="0" w:space="0" w:color="auto"/>
        <w:right w:val="none" w:sz="0" w:space="0" w:color="auto"/>
      </w:divBdr>
    </w:div>
    <w:div w:id="102503838">
      <w:bodyDiv w:val="1"/>
      <w:marLeft w:val="0"/>
      <w:marRight w:val="0"/>
      <w:marTop w:val="0"/>
      <w:marBottom w:val="0"/>
      <w:divBdr>
        <w:top w:val="none" w:sz="0" w:space="0" w:color="auto"/>
        <w:left w:val="none" w:sz="0" w:space="0" w:color="auto"/>
        <w:bottom w:val="none" w:sz="0" w:space="0" w:color="auto"/>
        <w:right w:val="none" w:sz="0" w:space="0" w:color="auto"/>
      </w:divBdr>
    </w:div>
    <w:div w:id="102891704">
      <w:bodyDiv w:val="1"/>
      <w:marLeft w:val="0"/>
      <w:marRight w:val="0"/>
      <w:marTop w:val="0"/>
      <w:marBottom w:val="0"/>
      <w:divBdr>
        <w:top w:val="none" w:sz="0" w:space="0" w:color="auto"/>
        <w:left w:val="none" w:sz="0" w:space="0" w:color="auto"/>
        <w:bottom w:val="none" w:sz="0" w:space="0" w:color="auto"/>
        <w:right w:val="none" w:sz="0" w:space="0" w:color="auto"/>
      </w:divBdr>
    </w:div>
    <w:div w:id="103774522">
      <w:bodyDiv w:val="1"/>
      <w:marLeft w:val="0"/>
      <w:marRight w:val="0"/>
      <w:marTop w:val="0"/>
      <w:marBottom w:val="0"/>
      <w:divBdr>
        <w:top w:val="none" w:sz="0" w:space="0" w:color="auto"/>
        <w:left w:val="none" w:sz="0" w:space="0" w:color="auto"/>
        <w:bottom w:val="none" w:sz="0" w:space="0" w:color="auto"/>
        <w:right w:val="none" w:sz="0" w:space="0" w:color="auto"/>
      </w:divBdr>
    </w:div>
    <w:div w:id="104085425">
      <w:bodyDiv w:val="1"/>
      <w:marLeft w:val="0"/>
      <w:marRight w:val="0"/>
      <w:marTop w:val="0"/>
      <w:marBottom w:val="0"/>
      <w:divBdr>
        <w:top w:val="none" w:sz="0" w:space="0" w:color="auto"/>
        <w:left w:val="none" w:sz="0" w:space="0" w:color="auto"/>
        <w:bottom w:val="none" w:sz="0" w:space="0" w:color="auto"/>
        <w:right w:val="none" w:sz="0" w:space="0" w:color="auto"/>
      </w:divBdr>
    </w:div>
    <w:div w:id="104857871">
      <w:bodyDiv w:val="1"/>
      <w:marLeft w:val="0"/>
      <w:marRight w:val="0"/>
      <w:marTop w:val="0"/>
      <w:marBottom w:val="0"/>
      <w:divBdr>
        <w:top w:val="none" w:sz="0" w:space="0" w:color="auto"/>
        <w:left w:val="none" w:sz="0" w:space="0" w:color="auto"/>
        <w:bottom w:val="none" w:sz="0" w:space="0" w:color="auto"/>
        <w:right w:val="none" w:sz="0" w:space="0" w:color="auto"/>
      </w:divBdr>
    </w:div>
    <w:div w:id="105657430">
      <w:bodyDiv w:val="1"/>
      <w:marLeft w:val="0"/>
      <w:marRight w:val="0"/>
      <w:marTop w:val="0"/>
      <w:marBottom w:val="0"/>
      <w:divBdr>
        <w:top w:val="none" w:sz="0" w:space="0" w:color="auto"/>
        <w:left w:val="none" w:sz="0" w:space="0" w:color="auto"/>
        <w:bottom w:val="none" w:sz="0" w:space="0" w:color="auto"/>
        <w:right w:val="none" w:sz="0" w:space="0" w:color="auto"/>
      </w:divBdr>
      <w:divsChild>
        <w:div w:id="1192917918">
          <w:marLeft w:val="0"/>
          <w:marRight w:val="0"/>
          <w:marTop w:val="0"/>
          <w:marBottom w:val="0"/>
          <w:divBdr>
            <w:top w:val="none" w:sz="0" w:space="0" w:color="auto"/>
            <w:left w:val="none" w:sz="0" w:space="0" w:color="auto"/>
            <w:bottom w:val="none" w:sz="0" w:space="0" w:color="auto"/>
            <w:right w:val="none" w:sz="0" w:space="0" w:color="auto"/>
          </w:divBdr>
        </w:div>
      </w:divsChild>
    </w:div>
    <w:div w:id="106509625">
      <w:bodyDiv w:val="1"/>
      <w:marLeft w:val="0"/>
      <w:marRight w:val="0"/>
      <w:marTop w:val="0"/>
      <w:marBottom w:val="0"/>
      <w:divBdr>
        <w:top w:val="none" w:sz="0" w:space="0" w:color="auto"/>
        <w:left w:val="none" w:sz="0" w:space="0" w:color="auto"/>
        <w:bottom w:val="none" w:sz="0" w:space="0" w:color="auto"/>
        <w:right w:val="none" w:sz="0" w:space="0" w:color="auto"/>
      </w:divBdr>
    </w:div>
    <w:div w:id="107360999">
      <w:bodyDiv w:val="1"/>
      <w:marLeft w:val="0"/>
      <w:marRight w:val="0"/>
      <w:marTop w:val="0"/>
      <w:marBottom w:val="0"/>
      <w:divBdr>
        <w:top w:val="none" w:sz="0" w:space="0" w:color="auto"/>
        <w:left w:val="none" w:sz="0" w:space="0" w:color="auto"/>
        <w:bottom w:val="none" w:sz="0" w:space="0" w:color="auto"/>
        <w:right w:val="none" w:sz="0" w:space="0" w:color="auto"/>
      </w:divBdr>
    </w:div>
    <w:div w:id="108355872">
      <w:bodyDiv w:val="1"/>
      <w:marLeft w:val="0"/>
      <w:marRight w:val="0"/>
      <w:marTop w:val="0"/>
      <w:marBottom w:val="0"/>
      <w:divBdr>
        <w:top w:val="none" w:sz="0" w:space="0" w:color="auto"/>
        <w:left w:val="none" w:sz="0" w:space="0" w:color="auto"/>
        <w:bottom w:val="none" w:sz="0" w:space="0" w:color="auto"/>
        <w:right w:val="none" w:sz="0" w:space="0" w:color="auto"/>
      </w:divBdr>
    </w:div>
    <w:div w:id="108547825">
      <w:bodyDiv w:val="1"/>
      <w:marLeft w:val="0"/>
      <w:marRight w:val="0"/>
      <w:marTop w:val="0"/>
      <w:marBottom w:val="0"/>
      <w:divBdr>
        <w:top w:val="none" w:sz="0" w:space="0" w:color="auto"/>
        <w:left w:val="none" w:sz="0" w:space="0" w:color="auto"/>
        <w:bottom w:val="none" w:sz="0" w:space="0" w:color="auto"/>
        <w:right w:val="none" w:sz="0" w:space="0" w:color="auto"/>
      </w:divBdr>
    </w:div>
    <w:div w:id="109322649">
      <w:bodyDiv w:val="1"/>
      <w:marLeft w:val="0"/>
      <w:marRight w:val="0"/>
      <w:marTop w:val="0"/>
      <w:marBottom w:val="0"/>
      <w:divBdr>
        <w:top w:val="none" w:sz="0" w:space="0" w:color="auto"/>
        <w:left w:val="none" w:sz="0" w:space="0" w:color="auto"/>
        <w:bottom w:val="none" w:sz="0" w:space="0" w:color="auto"/>
        <w:right w:val="none" w:sz="0" w:space="0" w:color="auto"/>
      </w:divBdr>
    </w:div>
    <w:div w:id="109514407">
      <w:bodyDiv w:val="1"/>
      <w:marLeft w:val="0"/>
      <w:marRight w:val="0"/>
      <w:marTop w:val="0"/>
      <w:marBottom w:val="0"/>
      <w:divBdr>
        <w:top w:val="none" w:sz="0" w:space="0" w:color="auto"/>
        <w:left w:val="none" w:sz="0" w:space="0" w:color="auto"/>
        <w:bottom w:val="none" w:sz="0" w:space="0" w:color="auto"/>
        <w:right w:val="none" w:sz="0" w:space="0" w:color="auto"/>
      </w:divBdr>
    </w:div>
    <w:div w:id="109861339">
      <w:bodyDiv w:val="1"/>
      <w:marLeft w:val="0"/>
      <w:marRight w:val="0"/>
      <w:marTop w:val="0"/>
      <w:marBottom w:val="0"/>
      <w:divBdr>
        <w:top w:val="none" w:sz="0" w:space="0" w:color="auto"/>
        <w:left w:val="none" w:sz="0" w:space="0" w:color="auto"/>
        <w:bottom w:val="none" w:sz="0" w:space="0" w:color="auto"/>
        <w:right w:val="none" w:sz="0" w:space="0" w:color="auto"/>
      </w:divBdr>
    </w:div>
    <w:div w:id="110364224">
      <w:bodyDiv w:val="1"/>
      <w:marLeft w:val="0"/>
      <w:marRight w:val="0"/>
      <w:marTop w:val="0"/>
      <w:marBottom w:val="0"/>
      <w:divBdr>
        <w:top w:val="none" w:sz="0" w:space="0" w:color="auto"/>
        <w:left w:val="none" w:sz="0" w:space="0" w:color="auto"/>
        <w:bottom w:val="none" w:sz="0" w:space="0" w:color="auto"/>
        <w:right w:val="none" w:sz="0" w:space="0" w:color="auto"/>
      </w:divBdr>
    </w:div>
    <w:div w:id="110711637">
      <w:bodyDiv w:val="1"/>
      <w:marLeft w:val="0"/>
      <w:marRight w:val="0"/>
      <w:marTop w:val="0"/>
      <w:marBottom w:val="0"/>
      <w:divBdr>
        <w:top w:val="none" w:sz="0" w:space="0" w:color="auto"/>
        <w:left w:val="none" w:sz="0" w:space="0" w:color="auto"/>
        <w:bottom w:val="none" w:sz="0" w:space="0" w:color="auto"/>
        <w:right w:val="none" w:sz="0" w:space="0" w:color="auto"/>
      </w:divBdr>
      <w:divsChild>
        <w:div w:id="659313105">
          <w:marLeft w:val="0"/>
          <w:marRight w:val="0"/>
          <w:marTop w:val="0"/>
          <w:marBottom w:val="0"/>
          <w:divBdr>
            <w:top w:val="none" w:sz="0" w:space="0" w:color="auto"/>
            <w:left w:val="none" w:sz="0" w:space="0" w:color="auto"/>
            <w:bottom w:val="none" w:sz="0" w:space="0" w:color="auto"/>
            <w:right w:val="none" w:sz="0" w:space="0" w:color="auto"/>
          </w:divBdr>
          <w:divsChild>
            <w:div w:id="226847458">
              <w:marLeft w:val="0"/>
              <w:marRight w:val="0"/>
              <w:marTop w:val="0"/>
              <w:marBottom w:val="0"/>
              <w:divBdr>
                <w:top w:val="none" w:sz="0" w:space="0" w:color="auto"/>
                <w:left w:val="none" w:sz="0" w:space="0" w:color="auto"/>
                <w:bottom w:val="none" w:sz="0" w:space="0" w:color="auto"/>
                <w:right w:val="none" w:sz="0" w:space="0" w:color="auto"/>
              </w:divBdr>
            </w:div>
            <w:div w:id="827791856">
              <w:marLeft w:val="0"/>
              <w:marRight w:val="0"/>
              <w:marTop w:val="0"/>
              <w:marBottom w:val="0"/>
              <w:divBdr>
                <w:top w:val="none" w:sz="0" w:space="0" w:color="auto"/>
                <w:left w:val="none" w:sz="0" w:space="0" w:color="auto"/>
                <w:bottom w:val="none" w:sz="0" w:space="0" w:color="auto"/>
                <w:right w:val="none" w:sz="0" w:space="0" w:color="auto"/>
              </w:divBdr>
            </w:div>
            <w:div w:id="843206667">
              <w:marLeft w:val="0"/>
              <w:marRight w:val="0"/>
              <w:marTop w:val="0"/>
              <w:marBottom w:val="0"/>
              <w:divBdr>
                <w:top w:val="none" w:sz="0" w:space="0" w:color="auto"/>
                <w:left w:val="none" w:sz="0" w:space="0" w:color="auto"/>
                <w:bottom w:val="none" w:sz="0" w:space="0" w:color="auto"/>
                <w:right w:val="none" w:sz="0" w:space="0" w:color="auto"/>
              </w:divBdr>
            </w:div>
            <w:div w:id="1436823022">
              <w:marLeft w:val="0"/>
              <w:marRight w:val="0"/>
              <w:marTop w:val="0"/>
              <w:marBottom w:val="0"/>
              <w:divBdr>
                <w:top w:val="none" w:sz="0" w:space="0" w:color="auto"/>
                <w:left w:val="none" w:sz="0" w:space="0" w:color="auto"/>
                <w:bottom w:val="none" w:sz="0" w:space="0" w:color="auto"/>
                <w:right w:val="none" w:sz="0" w:space="0" w:color="auto"/>
              </w:divBdr>
            </w:div>
          </w:divsChild>
        </w:div>
        <w:div w:id="2014067536">
          <w:marLeft w:val="0"/>
          <w:marRight w:val="0"/>
          <w:marTop w:val="0"/>
          <w:marBottom w:val="0"/>
          <w:divBdr>
            <w:top w:val="none" w:sz="0" w:space="0" w:color="auto"/>
            <w:left w:val="none" w:sz="0" w:space="0" w:color="auto"/>
            <w:bottom w:val="none" w:sz="0" w:space="0" w:color="auto"/>
            <w:right w:val="none" w:sz="0" w:space="0" w:color="auto"/>
          </w:divBdr>
          <w:divsChild>
            <w:div w:id="62221871">
              <w:marLeft w:val="0"/>
              <w:marRight w:val="0"/>
              <w:marTop w:val="0"/>
              <w:marBottom w:val="0"/>
              <w:divBdr>
                <w:top w:val="none" w:sz="0" w:space="0" w:color="auto"/>
                <w:left w:val="none" w:sz="0" w:space="0" w:color="auto"/>
                <w:bottom w:val="none" w:sz="0" w:space="0" w:color="auto"/>
                <w:right w:val="none" w:sz="0" w:space="0" w:color="auto"/>
              </w:divBdr>
            </w:div>
            <w:div w:id="343479784">
              <w:marLeft w:val="0"/>
              <w:marRight w:val="0"/>
              <w:marTop w:val="0"/>
              <w:marBottom w:val="0"/>
              <w:divBdr>
                <w:top w:val="none" w:sz="0" w:space="0" w:color="auto"/>
                <w:left w:val="none" w:sz="0" w:space="0" w:color="auto"/>
                <w:bottom w:val="none" w:sz="0" w:space="0" w:color="auto"/>
                <w:right w:val="none" w:sz="0" w:space="0" w:color="auto"/>
              </w:divBdr>
            </w:div>
            <w:div w:id="806749791">
              <w:marLeft w:val="0"/>
              <w:marRight w:val="0"/>
              <w:marTop w:val="0"/>
              <w:marBottom w:val="0"/>
              <w:divBdr>
                <w:top w:val="none" w:sz="0" w:space="0" w:color="auto"/>
                <w:left w:val="none" w:sz="0" w:space="0" w:color="auto"/>
                <w:bottom w:val="none" w:sz="0" w:space="0" w:color="auto"/>
                <w:right w:val="none" w:sz="0" w:space="0" w:color="auto"/>
              </w:divBdr>
            </w:div>
            <w:div w:id="20572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876">
      <w:bodyDiv w:val="1"/>
      <w:marLeft w:val="0"/>
      <w:marRight w:val="0"/>
      <w:marTop w:val="0"/>
      <w:marBottom w:val="0"/>
      <w:divBdr>
        <w:top w:val="none" w:sz="0" w:space="0" w:color="auto"/>
        <w:left w:val="none" w:sz="0" w:space="0" w:color="auto"/>
        <w:bottom w:val="none" w:sz="0" w:space="0" w:color="auto"/>
        <w:right w:val="none" w:sz="0" w:space="0" w:color="auto"/>
      </w:divBdr>
    </w:div>
    <w:div w:id="111440656">
      <w:bodyDiv w:val="1"/>
      <w:marLeft w:val="0"/>
      <w:marRight w:val="0"/>
      <w:marTop w:val="0"/>
      <w:marBottom w:val="0"/>
      <w:divBdr>
        <w:top w:val="none" w:sz="0" w:space="0" w:color="auto"/>
        <w:left w:val="none" w:sz="0" w:space="0" w:color="auto"/>
        <w:bottom w:val="none" w:sz="0" w:space="0" w:color="auto"/>
        <w:right w:val="none" w:sz="0" w:space="0" w:color="auto"/>
      </w:divBdr>
    </w:div>
    <w:div w:id="111825399">
      <w:bodyDiv w:val="1"/>
      <w:marLeft w:val="0"/>
      <w:marRight w:val="0"/>
      <w:marTop w:val="0"/>
      <w:marBottom w:val="0"/>
      <w:divBdr>
        <w:top w:val="none" w:sz="0" w:space="0" w:color="auto"/>
        <w:left w:val="none" w:sz="0" w:space="0" w:color="auto"/>
        <w:bottom w:val="none" w:sz="0" w:space="0" w:color="auto"/>
        <w:right w:val="none" w:sz="0" w:space="0" w:color="auto"/>
      </w:divBdr>
    </w:div>
    <w:div w:id="112067484">
      <w:bodyDiv w:val="1"/>
      <w:marLeft w:val="0"/>
      <w:marRight w:val="0"/>
      <w:marTop w:val="0"/>
      <w:marBottom w:val="0"/>
      <w:divBdr>
        <w:top w:val="none" w:sz="0" w:space="0" w:color="auto"/>
        <w:left w:val="none" w:sz="0" w:space="0" w:color="auto"/>
        <w:bottom w:val="none" w:sz="0" w:space="0" w:color="auto"/>
        <w:right w:val="none" w:sz="0" w:space="0" w:color="auto"/>
      </w:divBdr>
    </w:div>
    <w:div w:id="112797340">
      <w:bodyDiv w:val="1"/>
      <w:marLeft w:val="0"/>
      <w:marRight w:val="0"/>
      <w:marTop w:val="0"/>
      <w:marBottom w:val="0"/>
      <w:divBdr>
        <w:top w:val="none" w:sz="0" w:space="0" w:color="auto"/>
        <w:left w:val="none" w:sz="0" w:space="0" w:color="auto"/>
        <w:bottom w:val="none" w:sz="0" w:space="0" w:color="auto"/>
        <w:right w:val="none" w:sz="0" w:space="0" w:color="auto"/>
      </w:divBdr>
    </w:div>
    <w:div w:id="113720546">
      <w:bodyDiv w:val="1"/>
      <w:marLeft w:val="0"/>
      <w:marRight w:val="0"/>
      <w:marTop w:val="0"/>
      <w:marBottom w:val="0"/>
      <w:divBdr>
        <w:top w:val="none" w:sz="0" w:space="0" w:color="auto"/>
        <w:left w:val="none" w:sz="0" w:space="0" w:color="auto"/>
        <w:bottom w:val="none" w:sz="0" w:space="0" w:color="auto"/>
        <w:right w:val="none" w:sz="0" w:space="0" w:color="auto"/>
      </w:divBdr>
    </w:div>
    <w:div w:id="113912631">
      <w:bodyDiv w:val="1"/>
      <w:marLeft w:val="0"/>
      <w:marRight w:val="0"/>
      <w:marTop w:val="0"/>
      <w:marBottom w:val="0"/>
      <w:divBdr>
        <w:top w:val="none" w:sz="0" w:space="0" w:color="auto"/>
        <w:left w:val="none" w:sz="0" w:space="0" w:color="auto"/>
        <w:bottom w:val="none" w:sz="0" w:space="0" w:color="auto"/>
        <w:right w:val="none" w:sz="0" w:space="0" w:color="auto"/>
      </w:divBdr>
    </w:div>
    <w:div w:id="114299079">
      <w:bodyDiv w:val="1"/>
      <w:marLeft w:val="0"/>
      <w:marRight w:val="0"/>
      <w:marTop w:val="0"/>
      <w:marBottom w:val="0"/>
      <w:divBdr>
        <w:top w:val="none" w:sz="0" w:space="0" w:color="auto"/>
        <w:left w:val="none" w:sz="0" w:space="0" w:color="auto"/>
        <w:bottom w:val="none" w:sz="0" w:space="0" w:color="auto"/>
        <w:right w:val="none" w:sz="0" w:space="0" w:color="auto"/>
      </w:divBdr>
    </w:div>
    <w:div w:id="114832570">
      <w:bodyDiv w:val="1"/>
      <w:marLeft w:val="0"/>
      <w:marRight w:val="0"/>
      <w:marTop w:val="0"/>
      <w:marBottom w:val="0"/>
      <w:divBdr>
        <w:top w:val="none" w:sz="0" w:space="0" w:color="auto"/>
        <w:left w:val="none" w:sz="0" w:space="0" w:color="auto"/>
        <w:bottom w:val="none" w:sz="0" w:space="0" w:color="auto"/>
        <w:right w:val="none" w:sz="0" w:space="0" w:color="auto"/>
      </w:divBdr>
    </w:div>
    <w:div w:id="114836060">
      <w:bodyDiv w:val="1"/>
      <w:marLeft w:val="0"/>
      <w:marRight w:val="0"/>
      <w:marTop w:val="0"/>
      <w:marBottom w:val="0"/>
      <w:divBdr>
        <w:top w:val="none" w:sz="0" w:space="0" w:color="auto"/>
        <w:left w:val="none" w:sz="0" w:space="0" w:color="auto"/>
        <w:bottom w:val="none" w:sz="0" w:space="0" w:color="auto"/>
        <w:right w:val="none" w:sz="0" w:space="0" w:color="auto"/>
      </w:divBdr>
    </w:div>
    <w:div w:id="114912641">
      <w:bodyDiv w:val="1"/>
      <w:marLeft w:val="0"/>
      <w:marRight w:val="0"/>
      <w:marTop w:val="0"/>
      <w:marBottom w:val="0"/>
      <w:divBdr>
        <w:top w:val="none" w:sz="0" w:space="0" w:color="auto"/>
        <w:left w:val="none" w:sz="0" w:space="0" w:color="auto"/>
        <w:bottom w:val="none" w:sz="0" w:space="0" w:color="auto"/>
        <w:right w:val="none" w:sz="0" w:space="0" w:color="auto"/>
      </w:divBdr>
    </w:div>
    <w:div w:id="115025188">
      <w:bodyDiv w:val="1"/>
      <w:marLeft w:val="0"/>
      <w:marRight w:val="0"/>
      <w:marTop w:val="0"/>
      <w:marBottom w:val="0"/>
      <w:divBdr>
        <w:top w:val="none" w:sz="0" w:space="0" w:color="auto"/>
        <w:left w:val="none" w:sz="0" w:space="0" w:color="auto"/>
        <w:bottom w:val="none" w:sz="0" w:space="0" w:color="auto"/>
        <w:right w:val="none" w:sz="0" w:space="0" w:color="auto"/>
      </w:divBdr>
    </w:div>
    <w:div w:id="115147871">
      <w:bodyDiv w:val="1"/>
      <w:marLeft w:val="0"/>
      <w:marRight w:val="0"/>
      <w:marTop w:val="0"/>
      <w:marBottom w:val="0"/>
      <w:divBdr>
        <w:top w:val="none" w:sz="0" w:space="0" w:color="auto"/>
        <w:left w:val="none" w:sz="0" w:space="0" w:color="auto"/>
        <w:bottom w:val="none" w:sz="0" w:space="0" w:color="auto"/>
        <w:right w:val="none" w:sz="0" w:space="0" w:color="auto"/>
      </w:divBdr>
      <w:divsChild>
        <w:div w:id="1625773132">
          <w:marLeft w:val="0"/>
          <w:marRight w:val="0"/>
          <w:marTop w:val="0"/>
          <w:marBottom w:val="0"/>
          <w:divBdr>
            <w:top w:val="none" w:sz="0" w:space="0" w:color="auto"/>
            <w:left w:val="none" w:sz="0" w:space="0" w:color="auto"/>
            <w:bottom w:val="none" w:sz="0" w:space="0" w:color="auto"/>
            <w:right w:val="none" w:sz="0" w:space="0" w:color="auto"/>
          </w:divBdr>
        </w:div>
      </w:divsChild>
    </w:div>
    <w:div w:id="115298978">
      <w:bodyDiv w:val="1"/>
      <w:marLeft w:val="0"/>
      <w:marRight w:val="0"/>
      <w:marTop w:val="0"/>
      <w:marBottom w:val="0"/>
      <w:divBdr>
        <w:top w:val="none" w:sz="0" w:space="0" w:color="auto"/>
        <w:left w:val="none" w:sz="0" w:space="0" w:color="auto"/>
        <w:bottom w:val="none" w:sz="0" w:space="0" w:color="auto"/>
        <w:right w:val="none" w:sz="0" w:space="0" w:color="auto"/>
      </w:divBdr>
    </w:div>
    <w:div w:id="115636922">
      <w:bodyDiv w:val="1"/>
      <w:marLeft w:val="0"/>
      <w:marRight w:val="0"/>
      <w:marTop w:val="0"/>
      <w:marBottom w:val="0"/>
      <w:divBdr>
        <w:top w:val="none" w:sz="0" w:space="0" w:color="auto"/>
        <w:left w:val="none" w:sz="0" w:space="0" w:color="auto"/>
        <w:bottom w:val="none" w:sz="0" w:space="0" w:color="auto"/>
        <w:right w:val="none" w:sz="0" w:space="0" w:color="auto"/>
      </w:divBdr>
    </w:div>
    <w:div w:id="115687422">
      <w:bodyDiv w:val="1"/>
      <w:marLeft w:val="0"/>
      <w:marRight w:val="0"/>
      <w:marTop w:val="0"/>
      <w:marBottom w:val="0"/>
      <w:divBdr>
        <w:top w:val="none" w:sz="0" w:space="0" w:color="auto"/>
        <w:left w:val="none" w:sz="0" w:space="0" w:color="auto"/>
        <w:bottom w:val="none" w:sz="0" w:space="0" w:color="auto"/>
        <w:right w:val="none" w:sz="0" w:space="0" w:color="auto"/>
      </w:divBdr>
    </w:div>
    <w:div w:id="115755212">
      <w:bodyDiv w:val="1"/>
      <w:marLeft w:val="0"/>
      <w:marRight w:val="0"/>
      <w:marTop w:val="0"/>
      <w:marBottom w:val="0"/>
      <w:divBdr>
        <w:top w:val="none" w:sz="0" w:space="0" w:color="auto"/>
        <w:left w:val="none" w:sz="0" w:space="0" w:color="auto"/>
        <w:bottom w:val="none" w:sz="0" w:space="0" w:color="auto"/>
        <w:right w:val="none" w:sz="0" w:space="0" w:color="auto"/>
      </w:divBdr>
    </w:div>
    <w:div w:id="116141020">
      <w:bodyDiv w:val="1"/>
      <w:marLeft w:val="0"/>
      <w:marRight w:val="0"/>
      <w:marTop w:val="0"/>
      <w:marBottom w:val="0"/>
      <w:divBdr>
        <w:top w:val="none" w:sz="0" w:space="0" w:color="auto"/>
        <w:left w:val="none" w:sz="0" w:space="0" w:color="auto"/>
        <w:bottom w:val="none" w:sz="0" w:space="0" w:color="auto"/>
        <w:right w:val="none" w:sz="0" w:space="0" w:color="auto"/>
      </w:divBdr>
    </w:div>
    <w:div w:id="116533931">
      <w:bodyDiv w:val="1"/>
      <w:marLeft w:val="0"/>
      <w:marRight w:val="0"/>
      <w:marTop w:val="0"/>
      <w:marBottom w:val="0"/>
      <w:divBdr>
        <w:top w:val="none" w:sz="0" w:space="0" w:color="auto"/>
        <w:left w:val="none" w:sz="0" w:space="0" w:color="auto"/>
        <w:bottom w:val="none" w:sz="0" w:space="0" w:color="auto"/>
        <w:right w:val="none" w:sz="0" w:space="0" w:color="auto"/>
      </w:divBdr>
    </w:div>
    <w:div w:id="117458143">
      <w:bodyDiv w:val="1"/>
      <w:marLeft w:val="0"/>
      <w:marRight w:val="0"/>
      <w:marTop w:val="0"/>
      <w:marBottom w:val="0"/>
      <w:divBdr>
        <w:top w:val="none" w:sz="0" w:space="0" w:color="auto"/>
        <w:left w:val="none" w:sz="0" w:space="0" w:color="auto"/>
        <w:bottom w:val="none" w:sz="0" w:space="0" w:color="auto"/>
        <w:right w:val="none" w:sz="0" w:space="0" w:color="auto"/>
      </w:divBdr>
    </w:div>
    <w:div w:id="118843154">
      <w:bodyDiv w:val="1"/>
      <w:marLeft w:val="0"/>
      <w:marRight w:val="0"/>
      <w:marTop w:val="0"/>
      <w:marBottom w:val="0"/>
      <w:divBdr>
        <w:top w:val="none" w:sz="0" w:space="0" w:color="auto"/>
        <w:left w:val="none" w:sz="0" w:space="0" w:color="auto"/>
        <w:bottom w:val="none" w:sz="0" w:space="0" w:color="auto"/>
        <w:right w:val="none" w:sz="0" w:space="0" w:color="auto"/>
      </w:divBdr>
    </w:div>
    <w:div w:id="118888917">
      <w:bodyDiv w:val="1"/>
      <w:marLeft w:val="0"/>
      <w:marRight w:val="0"/>
      <w:marTop w:val="0"/>
      <w:marBottom w:val="0"/>
      <w:divBdr>
        <w:top w:val="none" w:sz="0" w:space="0" w:color="auto"/>
        <w:left w:val="none" w:sz="0" w:space="0" w:color="auto"/>
        <w:bottom w:val="none" w:sz="0" w:space="0" w:color="auto"/>
        <w:right w:val="none" w:sz="0" w:space="0" w:color="auto"/>
      </w:divBdr>
    </w:div>
    <w:div w:id="118963897">
      <w:bodyDiv w:val="1"/>
      <w:marLeft w:val="0"/>
      <w:marRight w:val="0"/>
      <w:marTop w:val="0"/>
      <w:marBottom w:val="0"/>
      <w:divBdr>
        <w:top w:val="none" w:sz="0" w:space="0" w:color="auto"/>
        <w:left w:val="none" w:sz="0" w:space="0" w:color="auto"/>
        <w:bottom w:val="none" w:sz="0" w:space="0" w:color="auto"/>
        <w:right w:val="none" w:sz="0" w:space="0" w:color="auto"/>
      </w:divBdr>
    </w:div>
    <w:div w:id="119232647">
      <w:bodyDiv w:val="1"/>
      <w:marLeft w:val="0"/>
      <w:marRight w:val="0"/>
      <w:marTop w:val="0"/>
      <w:marBottom w:val="0"/>
      <w:divBdr>
        <w:top w:val="none" w:sz="0" w:space="0" w:color="auto"/>
        <w:left w:val="none" w:sz="0" w:space="0" w:color="auto"/>
        <w:bottom w:val="none" w:sz="0" w:space="0" w:color="auto"/>
        <w:right w:val="none" w:sz="0" w:space="0" w:color="auto"/>
      </w:divBdr>
    </w:div>
    <w:div w:id="119540660">
      <w:bodyDiv w:val="1"/>
      <w:marLeft w:val="0"/>
      <w:marRight w:val="0"/>
      <w:marTop w:val="0"/>
      <w:marBottom w:val="0"/>
      <w:divBdr>
        <w:top w:val="none" w:sz="0" w:space="0" w:color="auto"/>
        <w:left w:val="none" w:sz="0" w:space="0" w:color="auto"/>
        <w:bottom w:val="none" w:sz="0" w:space="0" w:color="auto"/>
        <w:right w:val="none" w:sz="0" w:space="0" w:color="auto"/>
      </w:divBdr>
    </w:div>
    <w:div w:id="120805836">
      <w:bodyDiv w:val="1"/>
      <w:marLeft w:val="0"/>
      <w:marRight w:val="0"/>
      <w:marTop w:val="0"/>
      <w:marBottom w:val="0"/>
      <w:divBdr>
        <w:top w:val="none" w:sz="0" w:space="0" w:color="auto"/>
        <w:left w:val="none" w:sz="0" w:space="0" w:color="auto"/>
        <w:bottom w:val="none" w:sz="0" w:space="0" w:color="auto"/>
        <w:right w:val="none" w:sz="0" w:space="0" w:color="auto"/>
      </w:divBdr>
    </w:div>
    <w:div w:id="121073107">
      <w:bodyDiv w:val="1"/>
      <w:marLeft w:val="0"/>
      <w:marRight w:val="0"/>
      <w:marTop w:val="0"/>
      <w:marBottom w:val="0"/>
      <w:divBdr>
        <w:top w:val="none" w:sz="0" w:space="0" w:color="auto"/>
        <w:left w:val="none" w:sz="0" w:space="0" w:color="auto"/>
        <w:bottom w:val="none" w:sz="0" w:space="0" w:color="auto"/>
        <w:right w:val="none" w:sz="0" w:space="0" w:color="auto"/>
      </w:divBdr>
    </w:div>
    <w:div w:id="121272529">
      <w:bodyDiv w:val="1"/>
      <w:marLeft w:val="0"/>
      <w:marRight w:val="0"/>
      <w:marTop w:val="0"/>
      <w:marBottom w:val="0"/>
      <w:divBdr>
        <w:top w:val="none" w:sz="0" w:space="0" w:color="auto"/>
        <w:left w:val="none" w:sz="0" w:space="0" w:color="auto"/>
        <w:bottom w:val="none" w:sz="0" w:space="0" w:color="auto"/>
        <w:right w:val="none" w:sz="0" w:space="0" w:color="auto"/>
      </w:divBdr>
    </w:div>
    <w:div w:id="121506065">
      <w:bodyDiv w:val="1"/>
      <w:marLeft w:val="0"/>
      <w:marRight w:val="0"/>
      <w:marTop w:val="0"/>
      <w:marBottom w:val="0"/>
      <w:divBdr>
        <w:top w:val="none" w:sz="0" w:space="0" w:color="auto"/>
        <w:left w:val="none" w:sz="0" w:space="0" w:color="auto"/>
        <w:bottom w:val="none" w:sz="0" w:space="0" w:color="auto"/>
        <w:right w:val="none" w:sz="0" w:space="0" w:color="auto"/>
      </w:divBdr>
    </w:div>
    <w:div w:id="123475353">
      <w:bodyDiv w:val="1"/>
      <w:marLeft w:val="0"/>
      <w:marRight w:val="0"/>
      <w:marTop w:val="0"/>
      <w:marBottom w:val="0"/>
      <w:divBdr>
        <w:top w:val="none" w:sz="0" w:space="0" w:color="auto"/>
        <w:left w:val="none" w:sz="0" w:space="0" w:color="auto"/>
        <w:bottom w:val="none" w:sz="0" w:space="0" w:color="auto"/>
        <w:right w:val="none" w:sz="0" w:space="0" w:color="auto"/>
      </w:divBdr>
    </w:div>
    <w:div w:id="124589323">
      <w:bodyDiv w:val="1"/>
      <w:marLeft w:val="0"/>
      <w:marRight w:val="0"/>
      <w:marTop w:val="0"/>
      <w:marBottom w:val="0"/>
      <w:divBdr>
        <w:top w:val="none" w:sz="0" w:space="0" w:color="auto"/>
        <w:left w:val="none" w:sz="0" w:space="0" w:color="auto"/>
        <w:bottom w:val="none" w:sz="0" w:space="0" w:color="auto"/>
        <w:right w:val="none" w:sz="0" w:space="0" w:color="auto"/>
      </w:divBdr>
    </w:div>
    <w:div w:id="124859100">
      <w:bodyDiv w:val="1"/>
      <w:marLeft w:val="0"/>
      <w:marRight w:val="0"/>
      <w:marTop w:val="0"/>
      <w:marBottom w:val="0"/>
      <w:divBdr>
        <w:top w:val="none" w:sz="0" w:space="0" w:color="auto"/>
        <w:left w:val="none" w:sz="0" w:space="0" w:color="auto"/>
        <w:bottom w:val="none" w:sz="0" w:space="0" w:color="auto"/>
        <w:right w:val="none" w:sz="0" w:space="0" w:color="auto"/>
      </w:divBdr>
    </w:div>
    <w:div w:id="124929179">
      <w:bodyDiv w:val="1"/>
      <w:marLeft w:val="0"/>
      <w:marRight w:val="0"/>
      <w:marTop w:val="0"/>
      <w:marBottom w:val="0"/>
      <w:divBdr>
        <w:top w:val="none" w:sz="0" w:space="0" w:color="auto"/>
        <w:left w:val="none" w:sz="0" w:space="0" w:color="auto"/>
        <w:bottom w:val="none" w:sz="0" w:space="0" w:color="auto"/>
        <w:right w:val="none" w:sz="0" w:space="0" w:color="auto"/>
      </w:divBdr>
    </w:div>
    <w:div w:id="125126491">
      <w:bodyDiv w:val="1"/>
      <w:marLeft w:val="0"/>
      <w:marRight w:val="0"/>
      <w:marTop w:val="0"/>
      <w:marBottom w:val="0"/>
      <w:divBdr>
        <w:top w:val="none" w:sz="0" w:space="0" w:color="auto"/>
        <w:left w:val="none" w:sz="0" w:space="0" w:color="auto"/>
        <w:bottom w:val="none" w:sz="0" w:space="0" w:color="auto"/>
        <w:right w:val="none" w:sz="0" w:space="0" w:color="auto"/>
      </w:divBdr>
    </w:div>
    <w:div w:id="125516801">
      <w:bodyDiv w:val="1"/>
      <w:marLeft w:val="0"/>
      <w:marRight w:val="0"/>
      <w:marTop w:val="0"/>
      <w:marBottom w:val="0"/>
      <w:divBdr>
        <w:top w:val="none" w:sz="0" w:space="0" w:color="auto"/>
        <w:left w:val="none" w:sz="0" w:space="0" w:color="auto"/>
        <w:bottom w:val="none" w:sz="0" w:space="0" w:color="auto"/>
        <w:right w:val="none" w:sz="0" w:space="0" w:color="auto"/>
      </w:divBdr>
    </w:div>
    <w:div w:id="125583396">
      <w:bodyDiv w:val="1"/>
      <w:marLeft w:val="0"/>
      <w:marRight w:val="0"/>
      <w:marTop w:val="0"/>
      <w:marBottom w:val="0"/>
      <w:divBdr>
        <w:top w:val="none" w:sz="0" w:space="0" w:color="auto"/>
        <w:left w:val="none" w:sz="0" w:space="0" w:color="auto"/>
        <w:bottom w:val="none" w:sz="0" w:space="0" w:color="auto"/>
        <w:right w:val="none" w:sz="0" w:space="0" w:color="auto"/>
      </w:divBdr>
    </w:div>
    <w:div w:id="125971870">
      <w:bodyDiv w:val="1"/>
      <w:marLeft w:val="0"/>
      <w:marRight w:val="0"/>
      <w:marTop w:val="0"/>
      <w:marBottom w:val="0"/>
      <w:divBdr>
        <w:top w:val="none" w:sz="0" w:space="0" w:color="auto"/>
        <w:left w:val="none" w:sz="0" w:space="0" w:color="auto"/>
        <w:bottom w:val="none" w:sz="0" w:space="0" w:color="auto"/>
        <w:right w:val="none" w:sz="0" w:space="0" w:color="auto"/>
      </w:divBdr>
    </w:div>
    <w:div w:id="126238239">
      <w:bodyDiv w:val="1"/>
      <w:marLeft w:val="0"/>
      <w:marRight w:val="0"/>
      <w:marTop w:val="0"/>
      <w:marBottom w:val="0"/>
      <w:divBdr>
        <w:top w:val="none" w:sz="0" w:space="0" w:color="auto"/>
        <w:left w:val="none" w:sz="0" w:space="0" w:color="auto"/>
        <w:bottom w:val="none" w:sz="0" w:space="0" w:color="auto"/>
        <w:right w:val="none" w:sz="0" w:space="0" w:color="auto"/>
      </w:divBdr>
    </w:div>
    <w:div w:id="127012707">
      <w:bodyDiv w:val="1"/>
      <w:marLeft w:val="0"/>
      <w:marRight w:val="0"/>
      <w:marTop w:val="0"/>
      <w:marBottom w:val="0"/>
      <w:divBdr>
        <w:top w:val="none" w:sz="0" w:space="0" w:color="auto"/>
        <w:left w:val="none" w:sz="0" w:space="0" w:color="auto"/>
        <w:bottom w:val="none" w:sz="0" w:space="0" w:color="auto"/>
        <w:right w:val="none" w:sz="0" w:space="0" w:color="auto"/>
      </w:divBdr>
    </w:div>
    <w:div w:id="127364611">
      <w:bodyDiv w:val="1"/>
      <w:marLeft w:val="0"/>
      <w:marRight w:val="0"/>
      <w:marTop w:val="0"/>
      <w:marBottom w:val="0"/>
      <w:divBdr>
        <w:top w:val="none" w:sz="0" w:space="0" w:color="auto"/>
        <w:left w:val="none" w:sz="0" w:space="0" w:color="auto"/>
        <w:bottom w:val="none" w:sz="0" w:space="0" w:color="auto"/>
        <w:right w:val="none" w:sz="0" w:space="0" w:color="auto"/>
      </w:divBdr>
    </w:div>
    <w:div w:id="128011819">
      <w:bodyDiv w:val="1"/>
      <w:marLeft w:val="0"/>
      <w:marRight w:val="0"/>
      <w:marTop w:val="0"/>
      <w:marBottom w:val="0"/>
      <w:divBdr>
        <w:top w:val="none" w:sz="0" w:space="0" w:color="auto"/>
        <w:left w:val="none" w:sz="0" w:space="0" w:color="auto"/>
        <w:bottom w:val="none" w:sz="0" w:space="0" w:color="auto"/>
        <w:right w:val="none" w:sz="0" w:space="0" w:color="auto"/>
      </w:divBdr>
    </w:div>
    <w:div w:id="128057572">
      <w:bodyDiv w:val="1"/>
      <w:marLeft w:val="0"/>
      <w:marRight w:val="0"/>
      <w:marTop w:val="0"/>
      <w:marBottom w:val="0"/>
      <w:divBdr>
        <w:top w:val="none" w:sz="0" w:space="0" w:color="auto"/>
        <w:left w:val="none" w:sz="0" w:space="0" w:color="auto"/>
        <w:bottom w:val="none" w:sz="0" w:space="0" w:color="auto"/>
        <w:right w:val="none" w:sz="0" w:space="0" w:color="auto"/>
      </w:divBdr>
    </w:div>
    <w:div w:id="129369552">
      <w:bodyDiv w:val="1"/>
      <w:marLeft w:val="0"/>
      <w:marRight w:val="0"/>
      <w:marTop w:val="0"/>
      <w:marBottom w:val="0"/>
      <w:divBdr>
        <w:top w:val="none" w:sz="0" w:space="0" w:color="auto"/>
        <w:left w:val="none" w:sz="0" w:space="0" w:color="auto"/>
        <w:bottom w:val="none" w:sz="0" w:space="0" w:color="auto"/>
        <w:right w:val="none" w:sz="0" w:space="0" w:color="auto"/>
      </w:divBdr>
    </w:div>
    <w:div w:id="130367846">
      <w:bodyDiv w:val="1"/>
      <w:marLeft w:val="0"/>
      <w:marRight w:val="0"/>
      <w:marTop w:val="0"/>
      <w:marBottom w:val="0"/>
      <w:divBdr>
        <w:top w:val="none" w:sz="0" w:space="0" w:color="auto"/>
        <w:left w:val="none" w:sz="0" w:space="0" w:color="auto"/>
        <w:bottom w:val="none" w:sz="0" w:space="0" w:color="auto"/>
        <w:right w:val="none" w:sz="0" w:space="0" w:color="auto"/>
      </w:divBdr>
    </w:div>
    <w:div w:id="130563219">
      <w:bodyDiv w:val="1"/>
      <w:marLeft w:val="0"/>
      <w:marRight w:val="0"/>
      <w:marTop w:val="0"/>
      <w:marBottom w:val="0"/>
      <w:divBdr>
        <w:top w:val="none" w:sz="0" w:space="0" w:color="auto"/>
        <w:left w:val="none" w:sz="0" w:space="0" w:color="auto"/>
        <w:bottom w:val="none" w:sz="0" w:space="0" w:color="auto"/>
        <w:right w:val="none" w:sz="0" w:space="0" w:color="auto"/>
      </w:divBdr>
    </w:div>
    <w:div w:id="130757913">
      <w:bodyDiv w:val="1"/>
      <w:marLeft w:val="0"/>
      <w:marRight w:val="0"/>
      <w:marTop w:val="0"/>
      <w:marBottom w:val="0"/>
      <w:divBdr>
        <w:top w:val="none" w:sz="0" w:space="0" w:color="auto"/>
        <w:left w:val="none" w:sz="0" w:space="0" w:color="auto"/>
        <w:bottom w:val="none" w:sz="0" w:space="0" w:color="auto"/>
        <w:right w:val="none" w:sz="0" w:space="0" w:color="auto"/>
      </w:divBdr>
    </w:div>
    <w:div w:id="131363111">
      <w:bodyDiv w:val="1"/>
      <w:marLeft w:val="0"/>
      <w:marRight w:val="0"/>
      <w:marTop w:val="0"/>
      <w:marBottom w:val="0"/>
      <w:divBdr>
        <w:top w:val="none" w:sz="0" w:space="0" w:color="auto"/>
        <w:left w:val="none" w:sz="0" w:space="0" w:color="auto"/>
        <w:bottom w:val="none" w:sz="0" w:space="0" w:color="auto"/>
        <w:right w:val="none" w:sz="0" w:space="0" w:color="auto"/>
      </w:divBdr>
    </w:div>
    <w:div w:id="132256656">
      <w:bodyDiv w:val="1"/>
      <w:marLeft w:val="0"/>
      <w:marRight w:val="0"/>
      <w:marTop w:val="0"/>
      <w:marBottom w:val="0"/>
      <w:divBdr>
        <w:top w:val="none" w:sz="0" w:space="0" w:color="auto"/>
        <w:left w:val="none" w:sz="0" w:space="0" w:color="auto"/>
        <w:bottom w:val="none" w:sz="0" w:space="0" w:color="auto"/>
        <w:right w:val="none" w:sz="0" w:space="0" w:color="auto"/>
      </w:divBdr>
    </w:div>
    <w:div w:id="132869588">
      <w:bodyDiv w:val="1"/>
      <w:marLeft w:val="0"/>
      <w:marRight w:val="0"/>
      <w:marTop w:val="0"/>
      <w:marBottom w:val="0"/>
      <w:divBdr>
        <w:top w:val="none" w:sz="0" w:space="0" w:color="auto"/>
        <w:left w:val="none" w:sz="0" w:space="0" w:color="auto"/>
        <w:bottom w:val="none" w:sz="0" w:space="0" w:color="auto"/>
        <w:right w:val="none" w:sz="0" w:space="0" w:color="auto"/>
      </w:divBdr>
    </w:div>
    <w:div w:id="133185507">
      <w:bodyDiv w:val="1"/>
      <w:marLeft w:val="0"/>
      <w:marRight w:val="0"/>
      <w:marTop w:val="0"/>
      <w:marBottom w:val="0"/>
      <w:divBdr>
        <w:top w:val="none" w:sz="0" w:space="0" w:color="auto"/>
        <w:left w:val="none" w:sz="0" w:space="0" w:color="auto"/>
        <w:bottom w:val="none" w:sz="0" w:space="0" w:color="auto"/>
        <w:right w:val="none" w:sz="0" w:space="0" w:color="auto"/>
      </w:divBdr>
    </w:div>
    <w:div w:id="133260628">
      <w:bodyDiv w:val="1"/>
      <w:marLeft w:val="0"/>
      <w:marRight w:val="0"/>
      <w:marTop w:val="0"/>
      <w:marBottom w:val="0"/>
      <w:divBdr>
        <w:top w:val="none" w:sz="0" w:space="0" w:color="auto"/>
        <w:left w:val="none" w:sz="0" w:space="0" w:color="auto"/>
        <w:bottom w:val="none" w:sz="0" w:space="0" w:color="auto"/>
        <w:right w:val="none" w:sz="0" w:space="0" w:color="auto"/>
      </w:divBdr>
    </w:div>
    <w:div w:id="133528552">
      <w:bodyDiv w:val="1"/>
      <w:marLeft w:val="0"/>
      <w:marRight w:val="0"/>
      <w:marTop w:val="0"/>
      <w:marBottom w:val="0"/>
      <w:divBdr>
        <w:top w:val="none" w:sz="0" w:space="0" w:color="auto"/>
        <w:left w:val="none" w:sz="0" w:space="0" w:color="auto"/>
        <w:bottom w:val="none" w:sz="0" w:space="0" w:color="auto"/>
        <w:right w:val="none" w:sz="0" w:space="0" w:color="auto"/>
      </w:divBdr>
    </w:div>
    <w:div w:id="135340892">
      <w:bodyDiv w:val="1"/>
      <w:marLeft w:val="0"/>
      <w:marRight w:val="0"/>
      <w:marTop w:val="0"/>
      <w:marBottom w:val="0"/>
      <w:divBdr>
        <w:top w:val="none" w:sz="0" w:space="0" w:color="auto"/>
        <w:left w:val="none" w:sz="0" w:space="0" w:color="auto"/>
        <w:bottom w:val="none" w:sz="0" w:space="0" w:color="auto"/>
        <w:right w:val="none" w:sz="0" w:space="0" w:color="auto"/>
      </w:divBdr>
    </w:div>
    <w:div w:id="135463387">
      <w:bodyDiv w:val="1"/>
      <w:marLeft w:val="0"/>
      <w:marRight w:val="0"/>
      <w:marTop w:val="0"/>
      <w:marBottom w:val="0"/>
      <w:divBdr>
        <w:top w:val="none" w:sz="0" w:space="0" w:color="auto"/>
        <w:left w:val="none" w:sz="0" w:space="0" w:color="auto"/>
        <w:bottom w:val="none" w:sz="0" w:space="0" w:color="auto"/>
        <w:right w:val="none" w:sz="0" w:space="0" w:color="auto"/>
      </w:divBdr>
    </w:div>
    <w:div w:id="137959672">
      <w:bodyDiv w:val="1"/>
      <w:marLeft w:val="0"/>
      <w:marRight w:val="0"/>
      <w:marTop w:val="0"/>
      <w:marBottom w:val="0"/>
      <w:divBdr>
        <w:top w:val="none" w:sz="0" w:space="0" w:color="auto"/>
        <w:left w:val="none" w:sz="0" w:space="0" w:color="auto"/>
        <w:bottom w:val="none" w:sz="0" w:space="0" w:color="auto"/>
        <w:right w:val="none" w:sz="0" w:space="0" w:color="auto"/>
      </w:divBdr>
    </w:div>
    <w:div w:id="138613660">
      <w:bodyDiv w:val="1"/>
      <w:marLeft w:val="0"/>
      <w:marRight w:val="0"/>
      <w:marTop w:val="0"/>
      <w:marBottom w:val="0"/>
      <w:divBdr>
        <w:top w:val="none" w:sz="0" w:space="0" w:color="auto"/>
        <w:left w:val="none" w:sz="0" w:space="0" w:color="auto"/>
        <w:bottom w:val="none" w:sz="0" w:space="0" w:color="auto"/>
        <w:right w:val="none" w:sz="0" w:space="0" w:color="auto"/>
      </w:divBdr>
    </w:div>
    <w:div w:id="138616201">
      <w:bodyDiv w:val="1"/>
      <w:marLeft w:val="0"/>
      <w:marRight w:val="0"/>
      <w:marTop w:val="0"/>
      <w:marBottom w:val="0"/>
      <w:divBdr>
        <w:top w:val="none" w:sz="0" w:space="0" w:color="auto"/>
        <w:left w:val="none" w:sz="0" w:space="0" w:color="auto"/>
        <w:bottom w:val="none" w:sz="0" w:space="0" w:color="auto"/>
        <w:right w:val="none" w:sz="0" w:space="0" w:color="auto"/>
      </w:divBdr>
    </w:div>
    <w:div w:id="140001931">
      <w:bodyDiv w:val="1"/>
      <w:marLeft w:val="0"/>
      <w:marRight w:val="0"/>
      <w:marTop w:val="0"/>
      <w:marBottom w:val="0"/>
      <w:divBdr>
        <w:top w:val="none" w:sz="0" w:space="0" w:color="auto"/>
        <w:left w:val="none" w:sz="0" w:space="0" w:color="auto"/>
        <w:bottom w:val="none" w:sz="0" w:space="0" w:color="auto"/>
        <w:right w:val="none" w:sz="0" w:space="0" w:color="auto"/>
      </w:divBdr>
    </w:div>
    <w:div w:id="140922544">
      <w:bodyDiv w:val="1"/>
      <w:marLeft w:val="0"/>
      <w:marRight w:val="0"/>
      <w:marTop w:val="0"/>
      <w:marBottom w:val="0"/>
      <w:divBdr>
        <w:top w:val="none" w:sz="0" w:space="0" w:color="auto"/>
        <w:left w:val="none" w:sz="0" w:space="0" w:color="auto"/>
        <w:bottom w:val="none" w:sz="0" w:space="0" w:color="auto"/>
        <w:right w:val="none" w:sz="0" w:space="0" w:color="auto"/>
      </w:divBdr>
    </w:div>
    <w:div w:id="141505522">
      <w:bodyDiv w:val="1"/>
      <w:marLeft w:val="0"/>
      <w:marRight w:val="0"/>
      <w:marTop w:val="0"/>
      <w:marBottom w:val="0"/>
      <w:divBdr>
        <w:top w:val="none" w:sz="0" w:space="0" w:color="auto"/>
        <w:left w:val="none" w:sz="0" w:space="0" w:color="auto"/>
        <w:bottom w:val="none" w:sz="0" w:space="0" w:color="auto"/>
        <w:right w:val="none" w:sz="0" w:space="0" w:color="auto"/>
      </w:divBdr>
    </w:div>
    <w:div w:id="143207407">
      <w:bodyDiv w:val="1"/>
      <w:marLeft w:val="0"/>
      <w:marRight w:val="0"/>
      <w:marTop w:val="0"/>
      <w:marBottom w:val="0"/>
      <w:divBdr>
        <w:top w:val="none" w:sz="0" w:space="0" w:color="auto"/>
        <w:left w:val="none" w:sz="0" w:space="0" w:color="auto"/>
        <w:bottom w:val="none" w:sz="0" w:space="0" w:color="auto"/>
        <w:right w:val="none" w:sz="0" w:space="0" w:color="auto"/>
      </w:divBdr>
    </w:div>
    <w:div w:id="143358240">
      <w:bodyDiv w:val="1"/>
      <w:marLeft w:val="0"/>
      <w:marRight w:val="0"/>
      <w:marTop w:val="0"/>
      <w:marBottom w:val="0"/>
      <w:divBdr>
        <w:top w:val="none" w:sz="0" w:space="0" w:color="auto"/>
        <w:left w:val="none" w:sz="0" w:space="0" w:color="auto"/>
        <w:bottom w:val="none" w:sz="0" w:space="0" w:color="auto"/>
        <w:right w:val="none" w:sz="0" w:space="0" w:color="auto"/>
      </w:divBdr>
    </w:div>
    <w:div w:id="144008591">
      <w:bodyDiv w:val="1"/>
      <w:marLeft w:val="0"/>
      <w:marRight w:val="0"/>
      <w:marTop w:val="0"/>
      <w:marBottom w:val="0"/>
      <w:divBdr>
        <w:top w:val="none" w:sz="0" w:space="0" w:color="auto"/>
        <w:left w:val="none" w:sz="0" w:space="0" w:color="auto"/>
        <w:bottom w:val="none" w:sz="0" w:space="0" w:color="auto"/>
        <w:right w:val="none" w:sz="0" w:space="0" w:color="auto"/>
      </w:divBdr>
    </w:div>
    <w:div w:id="144248474">
      <w:bodyDiv w:val="1"/>
      <w:marLeft w:val="0"/>
      <w:marRight w:val="0"/>
      <w:marTop w:val="0"/>
      <w:marBottom w:val="0"/>
      <w:divBdr>
        <w:top w:val="none" w:sz="0" w:space="0" w:color="auto"/>
        <w:left w:val="none" w:sz="0" w:space="0" w:color="auto"/>
        <w:bottom w:val="none" w:sz="0" w:space="0" w:color="auto"/>
        <w:right w:val="none" w:sz="0" w:space="0" w:color="auto"/>
      </w:divBdr>
    </w:div>
    <w:div w:id="144467999">
      <w:bodyDiv w:val="1"/>
      <w:marLeft w:val="0"/>
      <w:marRight w:val="0"/>
      <w:marTop w:val="0"/>
      <w:marBottom w:val="0"/>
      <w:divBdr>
        <w:top w:val="none" w:sz="0" w:space="0" w:color="auto"/>
        <w:left w:val="none" w:sz="0" w:space="0" w:color="auto"/>
        <w:bottom w:val="none" w:sz="0" w:space="0" w:color="auto"/>
        <w:right w:val="none" w:sz="0" w:space="0" w:color="auto"/>
      </w:divBdr>
    </w:div>
    <w:div w:id="145438263">
      <w:bodyDiv w:val="1"/>
      <w:marLeft w:val="0"/>
      <w:marRight w:val="0"/>
      <w:marTop w:val="0"/>
      <w:marBottom w:val="0"/>
      <w:divBdr>
        <w:top w:val="none" w:sz="0" w:space="0" w:color="auto"/>
        <w:left w:val="none" w:sz="0" w:space="0" w:color="auto"/>
        <w:bottom w:val="none" w:sz="0" w:space="0" w:color="auto"/>
        <w:right w:val="none" w:sz="0" w:space="0" w:color="auto"/>
      </w:divBdr>
    </w:div>
    <w:div w:id="146097963">
      <w:bodyDiv w:val="1"/>
      <w:marLeft w:val="0"/>
      <w:marRight w:val="0"/>
      <w:marTop w:val="0"/>
      <w:marBottom w:val="0"/>
      <w:divBdr>
        <w:top w:val="none" w:sz="0" w:space="0" w:color="auto"/>
        <w:left w:val="none" w:sz="0" w:space="0" w:color="auto"/>
        <w:bottom w:val="none" w:sz="0" w:space="0" w:color="auto"/>
        <w:right w:val="none" w:sz="0" w:space="0" w:color="auto"/>
      </w:divBdr>
    </w:div>
    <w:div w:id="146215511">
      <w:bodyDiv w:val="1"/>
      <w:marLeft w:val="0"/>
      <w:marRight w:val="0"/>
      <w:marTop w:val="0"/>
      <w:marBottom w:val="0"/>
      <w:divBdr>
        <w:top w:val="none" w:sz="0" w:space="0" w:color="auto"/>
        <w:left w:val="none" w:sz="0" w:space="0" w:color="auto"/>
        <w:bottom w:val="none" w:sz="0" w:space="0" w:color="auto"/>
        <w:right w:val="none" w:sz="0" w:space="0" w:color="auto"/>
      </w:divBdr>
    </w:div>
    <w:div w:id="146409458">
      <w:bodyDiv w:val="1"/>
      <w:marLeft w:val="0"/>
      <w:marRight w:val="0"/>
      <w:marTop w:val="0"/>
      <w:marBottom w:val="0"/>
      <w:divBdr>
        <w:top w:val="none" w:sz="0" w:space="0" w:color="auto"/>
        <w:left w:val="none" w:sz="0" w:space="0" w:color="auto"/>
        <w:bottom w:val="none" w:sz="0" w:space="0" w:color="auto"/>
        <w:right w:val="none" w:sz="0" w:space="0" w:color="auto"/>
      </w:divBdr>
    </w:div>
    <w:div w:id="146560884">
      <w:bodyDiv w:val="1"/>
      <w:marLeft w:val="0"/>
      <w:marRight w:val="0"/>
      <w:marTop w:val="0"/>
      <w:marBottom w:val="0"/>
      <w:divBdr>
        <w:top w:val="none" w:sz="0" w:space="0" w:color="auto"/>
        <w:left w:val="none" w:sz="0" w:space="0" w:color="auto"/>
        <w:bottom w:val="none" w:sz="0" w:space="0" w:color="auto"/>
        <w:right w:val="none" w:sz="0" w:space="0" w:color="auto"/>
      </w:divBdr>
    </w:div>
    <w:div w:id="146870742">
      <w:bodyDiv w:val="1"/>
      <w:marLeft w:val="0"/>
      <w:marRight w:val="0"/>
      <w:marTop w:val="0"/>
      <w:marBottom w:val="0"/>
      <w:divBdr>
        <w:top w:val="none" w:sz="0" w:space="0" w:color="auto"/>
        <w:left w:val="none" w:sz="0" w:space="0" w:color="auto"/>
        <w:bottom w:val="none" w:sz="0" w:space="0" w:color="auto"/>
        <w:right w:val="none" w:sz="0" w:space="0" w:color="auto"/>
      </w:divBdr>
    </w:div>
    <w:div w:id="147408153">
      <w:bodyDiv w:val="1"/>
      <w:marLeft w:val="0"/>
      <w:marRight w:val="0"/>
      <w:marTop w:val="0"/>
      <w:marBottom w:val="0"/>
      <w:divBdr>
        <w:top w:val="none" w:sz="0" w:space="0" w:color="auto"/>
        <w:left w:val="none" w:sz="0" w:space="0" w:color="auto"/>
        <w:bottom w:val="none" w:sz="0" w:space="0" w:color="auto"/>
        <w:right w:val="none" w:sz="0" w:space="0" w:color="auto"/>
      </w:divBdr>
    </w:div>
    <w:div w:id="147409010">
      <w:bodyDiv w:val="1"/>
      <w:marLeft w:val="0"/>
      <w:marRight w:val="0"/>
      <w:marTop w:val="0"/>
      <w:marBottom w:val="0"/>
      <w:divBdr>
        <w:top w:val="none" w:sz="0" w:space="0" w:color="auto"/>
        <w:left w:val="none" w:sz="0" w:space="0" w:color="auto"/>
        <w:bottom w:val="none" w:sz="0" w:space="0" w:color="auto"/>
        <w:right w:val="none" w:sz="0" w:space="0" w:color="auto"/>
      </w:divBdr>
    </w:div>
    <w:div w:id="147668778">
      <w:bodyDiv w:val="1"/>
      <w:marLeft w:val="0"/>
      <w:marRight w:val="0"/>
      <w:marTop w:val="0"/>
      <w:marBottom w:val="0"/>
      <w:divBdr>
        <w:top w:val="none" w:sz="0" w:space="0" w:color="auto"/>
        <w:left w:val="none" w:sz="0" w:space="0" w:color="auto"/>
        <w:bottom w:val="none" w:sz="0" w:space="0" w:color="auto"/>
        <w:right w:val="none" w:sz="0" w:space="0" w:color="auto"/>
      </w:divBdr>
    </w:div>
    <w:div w:id="147788636">
      <w:bodyDiv w:val="1"/>
      <w:marLeft w:val="0"/>
      <w:marRight w:val="0"/>
      <w:marTop w:val="0"/>
      <w:marBottom w:val="0"/>
      <w:divBdr>
        <w:top w:val="none" w:sz="0" w:space="0" w:color="auto"/>
        <w:left w:val="none" w:sz="0" w:space="0" w:color="auto"/>
        <w:bottom w:val="none" w:sz="0" w:space="0" w:color="auto"/>
        <w:right w:val="none" w:sz="0" w:space="0" w:color="auto"/>
      </w:divBdr>
    </w:div>
    <w:div w:id="148712031">
      <w:bodyDiv w:val="1"/>
      <w:marLeft w:val="0"/>
      <w:marRight w:val="0"/>
      <w:marTop w:val="0"/>
      <w:marBottom w:val="0"/>
      <w:divBdr>
        <w:top w:val="none" w:sz="0" w:space="0" w:color="auto"/>
        <w:left w:val="none" w:sz="0" w:space="0" w:color="auto"/>
        <w:bottom w:val="none" w:sz="0" w:space="0" w:color="auto"/>
        <w:right w:val="none" w:sz="0" w:space="0" w:color="auto"/>
      </w:divBdr>
    </w:div>
    <w:div w:id="150101812">
      <w:bodyDiv w:val="1"/>
      <w:marLeft w:val="0"/>
      <w:marRight w:val="0"/>
      <w:marTop w:val="0"/>
      <w:marBottom w:val="0"/>
      <w:divBdr>
        <w:top w:val="none" w:sz="0" w:space="0" w:color="auto"/>
        <w:left w:val="none" w:sz="0" w:space="0" w:color="auto"/>
        <w:bottom w:val="none" w:sz="0" w:space="0" w:color="auto"/>
        <w:right w:val="none" w:sz="0" w:space="0" w:color="auto"/>
      </w:divBdr>
    </w:div>
    <w:div w:id="151147710">
      <w:bodyDiv w:val="1"/>
      <w:marLeft w:val="0"/>
      <w:marRight w:val="0"/>
      <w:marTop w:val="0"/>
      <w:marBottom w:val="0"/>
      <w:divBdr>
        <w:top w:val="none" w:sz="0" w:space="0" w:color="auto"/>
        <w:left w:val="none" w:sz="0" w:space="0" w:color="auto"/>
        <w:bottom w:val="none" w:sz="0" w:space="0" w:color="auto"/>
        <w:right w:val="none" w:sz="0" w:space="0" w:color="auto"/>
      </w:divBdr>
    </w:div>
    <w:div w:id="151263549">
      <w:bodyDiv w:val="1"/>
      <w:marLeft w:val="0"/>
      <w:marRight w:val="0"/>
      <w:marTop w:val="0"/>
      <w:marBottom w:val="0"/>
      <w:divBdr>
        <w:top w:val="none" w:sz="0" w:space="0" w:color="auto"/>
        <w:left w:val="none" w:sz="0" w:space="0" w:color="auto"/>
        <w:bottom w:val="none" w:sz="0" w:space="0" w:color="auto"/>
        <w:right w:val="none" w:sz="0" w:space="0" w:color="auto"/>
      </w:divBdr>
    </w:div>
    <w:div w:id="151992421">
      <w:bodyDiv w:val="1"/>
      <w:marLeft w:val="0"/>
      <w:marRight w:val="0"/>
      <w:marTop w:val="0"/>
      <w:marBottom w:val="0"/>
      <w:divBdr>
        <w:top w:val="none" w:sz="0" w:space="0" w:color="auto"/>
        <w:left w:val="none" w:sz="0" w:space="0" w:color="auto"/>
        <w:bottom w:val="none" w:sz="0" w:space="0" w:color="auto"/>
        <w:right w:val="none" w:sz="0" w:space="0" w:color="auto"/>
      </w:divBdr>
    </w:div>
    <w:div w:id="152458000">
      <w:bodyDiv w:val="1"/>
      <w:marLeft w:val="0"/>
      <w:marRight w:val="0"/>
      <w:marTop w:val="0"/>
      <w:marBottom w:val="0"/>
      <w:divBdr>
        <w:top w:val="none" w:sz="0" w:space="0" w:color="auto"/>
        <w:left w:val="none" w:sz="0" w:space="0" w:color="auto"/>
        <w:bottom w:val="none" w:sz="0" w:space="0" w:color="auto"/>
        <w:right w:val="none" w:sz="0" w:space="0" w:color="auto"/>
      </w:divBdr>
    </w:div>
    <w:div w:id="153110621">
      <w:bodyDiv w:val="1"/>
      <w:marLeft w:val="0"/>
      <w:marRight w:val="0"/>
      <w:marTop w:val="0"/>
      <w:marBottom w:val="0"/>
      <w:divBdr>
        <w:top w:val="none" w:sz="0" w:space="0" w:color="auto"/>
        <w:left w:val="none" w:sz="0" w:space="0" w:color="auto"/>
        <w:bottom w:val="none" w:sz="0" w:space="0" w:color="auto"/>
        <w:right w:val="none" w:sz="0" w:space="0" w:color="auto"/>
      </w:divBdr>
    </w:div>
    <w:div w:id="153229634">
      <w:bodyDiv w:val="1"/>
      <w:marLeft w:val="0"/>
      <w:marRight w:val="0"/>
      <w:marTop w:val="0"/>
      <w:marBottom w:val="0"/>
      <w:divBdr>
        <w:top w:val="none" w:sz="0" w:space="0" w:color="auto"/>
        <w:left w:val="none" w:sz="0" w:space="0" w:color="auto"/>
        <w:bottom w:val="none" w:sz="0" w:space="0" w:color="auto"/>
        <w:right w:val="none" w:sz="0" w:space="0" w:color="auto"/>
      </w:divBdr>
    </w:div>
    <w:div w:id="153421149">
      <w:bodyDiv w:val="1"/>
      <w:marLeft w:val="0"/>
      <w:marRight w:val="0"/>
      <w:marTop w:val="0"/>
      <w:marBottom w:val="0"/>
      <w:divBdr>
        <w:top w:val="none" w:sz="0" w:space="0" w:color="auto"/>
        <w:left w:val="none" w:sz="0" w:space="0" w:color="auto"/>
        <w:bottom w:val="none" w:sz="0" w:space="0" w:color="auto"/>
        <w:right w:val="none" w:sz="0" w:space="0" w:color="auto"/>
      </w:divBdr>
    </w:div>
    <w:div w:id="154036692">
      <w:bodyDiv w:val="1"/>
      <w:marLeft w:val="0"/>
      <w:marRight w:val="0"/>
      <w:marTop w:val="0"/>
      <w:marBottom w:val="0"/>
      <w:divBdr>
        <w:top w:val="none" w:sz="0" w:space="0" w:color="auto"/>
        <w:left w:val="none" w:sz="0" w:space="0" w:color="auto"/>
        <w:bottom w:val="none" w:sz="0" w:space="0" w:color="auto"/>
        <w:right w:val="none" w:sz="0" w:space="0" w:color="auto"/>
      </w:divBdr>
      <w:divsChild>
        <w:div w:id="1880896346">
          <w:marLeft w:val="0"/>
          <w:marRight w:val="0"/>
          <w:marTop w:val="0"/>
          <w:marBottom w:val="0"/>
          <w:divBdr>
            <w:top w:val="none" w:sz="0" w:space="0" w:color="auto"/>
            <w:left w:val="none" w:sz="0" w:space="0" w:color="auto"/>
            <w:bottom w:val="none" w:sz="0" w:space="0" w:color="auto"/>
            <w:right w:val="none" w:sz="0" w:space="0" w:color="auto"/>
          </w:divBdr>
          <w:divsChild>
            <w:div w:id="283849455">
              <w:marLeft w:val="0"/>
              <w:marRight w:val="0"/>
              <w:marTop w:val="0"/>
              <w:marBottom w:val="0"/>
              <w:divBdr>
                <w:top w:val="none" w:sz="0" w:space="0" w:color="auto"/>
                <w:left w:val="none" w:sz="0" w:space="0" w:color="auto"/>
                <w:bottom w:val="none" w:sz="0" w:space="0" w:color="auto"/>
                <w:right w:val="none" w:sz="0" w:space="0" w:color="auto"/>
              </w:divBdr>
              <w:divsChild>
                <w:div w:id="330372862">
                  <w:marLeft w:val="0"/>
                  <w:marRight w:val="0"/>
                  <w:marTop w:val="0"/>
                  <w:marBottom w:val="0"/>
                  <w:divBdr>
                    <w:top w:val="none" w:sz="0" w:space="0" w:color="auto"/>
                    <w:left w:val="none" w:sz="0" w:space="0" w:color="auto"/>
                    <w:bottom w:val="none" w:sz="0" w:space="0" w:color="auto"/>
                    <w:right w:val="none" w:sz="0" w:space="0" w:color="auto"/>
                  </w:divBdr>
                  <w:divsChild>
                    <w:div w:id="1308048969">
                      <w:marLeft w:val="0"/>
                      <w:marRight w:val="0"/>
                      <w:marTop w:val="0"/>
                      <w:marBottom w:val="0"/>
                      <w:divBdr>
                        <w:top w:val="none" w:sz="0" w:space="0" w:color="auto"/>
                        <w:left w:val="none" w:sz="0" w:space="0" w:color="auto"/>
                        <w:bottom w:val="none" w:sz="0" w:space="0" w:color="auto"/>
                        <w:right w:val="none" w:sz="0" w:space="0" w:color="auto"/>
                      </w:divBdr>
                      <w:divsChild>
                        <w:div w:id="855196242">
                          <w:marLeft w:val="0"/>
                          <w:marRight w:val="0"/>
                          <w:marTop w:val="0"/>
                          <w:marBottom w:val="0"/>
                          <w:divBdr>
                            <w:top w:val="none" w:sz="0" w:space="0" w:color="auto"/>
                            <w:left w:val="none" w:sz="0" w:space="0" w:color="auto"/>
                            <w:bottom w:val="none" w:sz="0" w:space="0" w:color="auto"/>
                            <w:right w:val="none" w:sz="0" w:space="0" w:color="auto"/>
                          </w:divBdr>
                          <w:divsChild>
                            <w:div w:id="502010165">
                              <w:marLeft w:val="0"/>
                              <w:marRight w:val="0"/>
                              <w:marTop w:val="0"/>
                              <w:marBottom w:val="0"/>
                              <w:divBdr>
                                <w:top w:val="none" w:sz="0" w:space="0" w:color="auto"/>
                                <w:left w:val="none" w:sz="0" w:space="0" w:color="auto"/>
                                <w:bottom w:val="none" w:sz="0" w:space="0" w:color="auto"/>
                                <w:right w:val="none" w:sz="0" w:space="0" w:color="auto"/>
                              </w:divBdr>
                              <w:divsChild>
                                <w:div w:id="18457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0276">
              <w:marLeft w:val="0"/>
              <w:marRight w:val="0"/>
              <w:marTop w:val="0"/>
              <w:marBottom w:val="0"/>
              <w:divBdr>
                <w:top w:val="none" w:sz="0" w:space="0" w:color="auto"/>
                <w:left w:val="none" w:sz="0" w:space="0" w:color="auto"/>
                <w:bottom w:val="none" w:sz="0" w:space="0" w:color="auto"/>
                <w:right w:val="none" w:sz="0" w:space="0" w:color="auto"/>
              </w:divBdr>
              <w:divsChild>
                <w:div w:id="170026982">
                  <w:marLeft w:val="0"/>
                  <w:marRight w:val="0"/>
                  <w:marTop w:val="0"/>
                  <w:marBottom w:val="0"/>
                  <w:divBdr>
                    <w:top w:val="none" w:sz="0" w:space="0" w:color="auto"/>
                    <w:left w:val="none" w:sz="0" w:space="0" w:color="auto"/>
                    <w:bottom w:val="none" w:sz="0" w:space="0" w:color="auto"/>
                    <w:right w:val="none" w:sz="0" w:space="0" w:color="auto"/>
                  </w:divBdr>
                  <w:divsChild>
                    <w:div w:id="153420453">
                      <w:marLeft w:val="0"/>
                      <w:marRight w:val="0"/>
                      <w:marTop w:val="0"/>
                      <w:marBottom w:val="0"/>
                      <w:divBdr>
                        <w:top w:val="none" w:sz="0" w:space="0" w:color="auto"/>
                        <w:left w:val="none" w:sz="0" w:space="0" w:color="auto"/>
                        <w:bottom w:val="none" w:sz="0" w:space="0" w:color="auto"/>
                        <w:right w:val="none" w:sz="0" w:space="0" w:color="auto"/>
                      </w:divBdr>
                      <w:divsChild>
                        <w:div w:id="2106608362">
                          <w:marLeft w:val="0"/>
                          <w:marRight w:val="0"/>
                          <w:marTop w:val="0"/>
                          <w:marBottom w:val="0"/>
                          <w:divBdr>
                            <w:top w:val="none" w:sz="0" w:space="0" w:color="auto"/>
                            <w:left w:val="none" w:sz="0" w:space="0" w:color="auto"/>
                            <w:bottom w:val="none" w:sz="0" w:space="0" w:color="auto"/>
                            <w:right w:val="none" w:sz="0" w:space="0" w:color="auto"/>
                          </w:divBdr>
                          <w:divsChild>
                            <w:div w:id="1878005695">
                              <w:marLeft w:val="0"/>
                              <w:marRight w:val="0"/>
                              <w:marTop w:val="0"/>
                              <w:marBottom w:val="0"/>
                              <w:divBdr>
                                <w:top w:val="none" w:sz="0" w:space="0" w:color="auto"/>
                                <w:left w:val="none" w:sz="0" w:space="0" w:color="auto"/>
                                <w:bottom w:val="none" w:sz="0" w:space="0" w:color="auto"/>
                                <w:right w:val="none" w:sz="0" w:space="0" w:color="auto"/>
                              </w:divBdr>
                              <w:divsChild>
                                <w:div w:id="13904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8230">
      <w:bodyDiv w:val="1"/>
      <w:marLeft w:val="0"/>
      <w:marRight w:val="0"/>
      <w:marTop w:val="0"/>
      <w:marBottom w:val="0"/>
      <w:divBdr>
        <w:top w:val="none" w:sz="0" w:space="0" w:color="auto"/>
        <w:left w:val="none" w:sz="0" w:space="0" w:color="auto"/>
        <w:bottom w:val="none" w:sz="0" w:space="0" w:color="auto"/>
        <w:right w:val="none" w:sz="0" w:space="0" w:color="auto"/>
      </w:divBdr>
    </w:div>
    <w:div w:id="154762457">
      <w:bodyDiv w:val="1"/>
      <w:marLeft w:val="0"/>
      <w:marRight w:val="0"/>
      <w:marTop w:val="0"/>
      <w:marBottom w:val="0"/>
      <w:divBdr>
        <w:top w:val="none" w:sz="0" w:space="0" w:color="auto"/>
        <w:left w:val="none" w:sz="0" w:space="0" w:color="auto"/>
        <w:bottom w:val="none" w:sz="0" w:space="0" w:color="auto"/>
        <w:right w:val="none" w:sz="0" w:space="0" w:color="auto"/>
      </w:divBdr>
    </w:div>
    <w:div w:id="156507067">
      <w:bodyDiv w:val="1"/>
      <w:marLeft w:val="0"/>
      <w:marRight w:val="0"/>
      <w:marTop w:val="0"/>
      <w:marBottom w:val="0"/>
      <w:divBdr>
        <w:top w:val="none" w:sz="0" w:space="0" w:color="auto"/>
        <w:left w:val="none" w:sz="0" w:space="0" w:color="auto"/>
        <w:bottom w:val="none" w:sz="0" w:space="0" w:color="auto"/>
        <w:right w:val="none" w:sz="0" w:space="0" w:color="auto"/>
      </w:divBdr>
    </w:div>
    <w:div w:id="157690861">
      <w:bodyDiv w:val="1"/>
      <w:marLeft w:val="0"/>
      <w:marRight w:val="0"/>
      <w:marTop w:val="0"/>
      <w:marBottom w:val="0"/>
      <w:divBdr>
        <w:top w:val="none" w:sz="0" w:space="0" w:color="auto"/>
        <w:left w:val="none" w:sz="0" w:space="0" w:color="auto"/>
        <w:bottom w:val="none" w:sz="0" w:space="0" w:color="auto"/>
        <w:right w:val="none" w:sz="0" w:space="0" w:color="auto"/>
      </w:divBdr>
    </w:div>
    <w:div w:id="157693502">
      <w:bodyDiv w:val="1"/>
      <w:marLeft w:val="0"/>
      <w:marRight w:val="0"/>
      <w:marTop w:val="0"/>
      <w:marBottom w:val="0"/>
      <w:divBdr>
        <w:top w:val="none" w:sz="0" w:space="0" w:color="auto"/>
        <w:left w:val="none" w:sz="0" w:space="0" w:color="auto"/>
        <w:bottom w:val="none" w:sz="0" w:space="0" w:color="auto"/>
        <w:right w:val="none" w:sz="0" w:space="0" w:color="auto"/>
      </w:divBdr>
    </w:div>
    <w:div w:id="158078905">
      <w:bodyDiv w:val="1"/>
      <w:marLeft w:val="0"/>
      <w:marRight w:val="0"/>
      <w:marTop w:val="0"/>
      <w:marBottom w:val="0"/>
      <w:divBdr>
        <w:top w:val="none" w:sz="0" w:space="0" w:color="auto"/>
        <w:left w:val="none" w:sz="0" w:space="0" w:color="auto"/>
        <w:bottom w:val="none" w:sz="0" w:space="0" w:color="auto"/>
        <w:right w:val="none" w:sz="0" w:space="0" w:color="auto"/>
      </w:divBdr>
    </w:div>
    <w:div w:id="158738608">
      <w:bodyDiv w:val="1"/>
      <w:marLeft w:val="0"/>
      <w:marRight w:val="0"/>
      <w:marTop w:val="0"/>
      <w:marBottom w:val="0"/>
      <w:divBdr>
        <w:top w:val="none" w:sz="0" w:space="0" w:color="auto"/>
        <w:left w:val="none" w:sz="0" w:space="0" w:color="auto"/>
        <w:bottom w:val="none" w:sz="0" w:space="0" w:color="auto"/>
        <w:right w:val="none" w:sz="0" w:space="0" w:color="auto"/>
      </w:divBdr>
    </w:div>
    <w:div w:id="159274953">
      <w:bodyDiv w:val="1"/>
      <w:marLeft w:val="0"/>
      <w:marRight w:val="0"/>
      <w:marTop w:val="0"/>
      <w:marBottom w:val="0"/>
      <w:divBdr>
        <w:top w:val="none" w:sz="0" w:space="0" w:color="auto"/>
        <w:left w:val="none" w:sz="0" w:space="0" w:color="auto"/>
        <w:bottom w:val="none" w:sz="0" w:space="0" w:color="auto"/>
        <w:right w:val="none" w:sz="0" w:space="0" w:color="auto"/>
      </w:divBdr>
    </w:div>
    <w:div w:id="160850580">
      <w:bodyDiv w:val="1"/>
      <w:marLeft w:val="0"/>
      <w:marRight w:val="0"/>
      <w:marTop w:val="0"/>
      <w:marBottom w:val="0"/>
      <w:divBdr>
        <w:top w:val="none" w:sz="0" w:space="0" w:color="auto"/>
        <w:left w:val="none" w:sz="0" w:space="0" w:color="auto"/>
        <w:bottom w:val="none" w:sz="0" w:space="0" w:color="auto"/>
        <w:right w:val="none" w:sz="0" w:space="0" w:color="auto"/>
      </w:divBdr>
    </w:div>
    <w:div w:id="161162556">
      <w:bodyDiv w:val="1"/>
      <w:marLeft w:val="0"/>
      <w:marRight w:val="0"/>
      <w:marTop w:val="0"/>
      <w:marBottom w:val="0"/>
      <w:divBdr>
        <w:top w:val="none" w:sz="0" w:space="0" w:color="auto"/>
        <w:left w:val="none" w:sz="0" w:space="0" w:color="auto"/>
        <w:bottom w:val="none" w:sz="0" w:space="0" w:color="auto"/>
        <w:right w:val="none" w:sz="0" w:space="0" w:color="auto"/>
      </w:divBdr>
    </w:div>
    <w:div w:id="161167964">
      <w:bodyDiv w:val="1"/>
      <w:marLeft w:val="0"/>
      <w:marRight w:val="0"/>
      <w:marTop w:val="0"/>
      <w:marBottom w:val="0"/>
      <w:divBdr>
        <w:top w:val="none" w:sz="0" w:space="0" w:color="auto"/>
        <w:left w:val="none" w:sz="0" w:space="0" w:color="auto"/>
        <w:bottom w:val="none" w:sz="0" w:space="0" w:color="auto"/>
        <w:right w:val="none" w:sz="0" w:space="0" w:color="auto"/>
      </w:divBdr>
    </w:div>
    <w:div w:id="161480957">
      <w:bodyDiv w:val="1"/>
      <w:marLeft w:val="0"/>
      <w:marRight w:val="0"/>
      <w:marTop w:val="0"/>
      <w:marBottom w:val="0"/>
      <w:divBdr>
        <w:top w:val="none" w:sz="0" w:space="0" w:color="auto"/>
        <w:left w:val="none" w:sz="0" w:space="0" w:color="auto"/>
        <w:bottom w:val="none" w:sz="0" w:space="0" w:color="auto"/>
        <w:right w:val="none" w:sz="0" w:space="0" w:color="auto"/>
      </w:divBdr>
    </w:div>
    <w:div w:id="161548053">
      <w:bodyDiv w:val="1"/>
      <w:marLeft w:val="0"/>
      <w:marRight w:val="0"/>
      <w:marTop w:val="0"/>
      <w:marBottom w:val="0"/>
      <w:divBdr>
        <w:top w:val="none" w:sz="0" w:space="0" w:color="auto"/>
        <w:left w:val="none" w:sz="0" w:space="0" w:color="auto"/>
        <w:bottom w:val="none" w:sz="0" w:space="0" w:color="auto"/>
        <w:right w:val="none" w:sz="0" w:space="0" w:color="auto"/>
      </w:divBdr>
    </w:div>
    <w:div w:id="161555023">
      <w:bodyDiv w:val="1"/>
      <w:marLeft w:val="0"/>
      <w:marRight w:val="0"/>
      <w:marTop w:val="0"/>
      <w:marBottom w:val="0"/>
      <w:divBdr>
        <w:top w:val="none" w:sz="0" w:space="0" w:color="auto"/>
        <w:left w:val="none" w:sz="0" w:space="0" w:color="auto"/>
        <w:bottom w:val="none" w:sz="0" w:space="0" w:color="auto"/>
        <w:right w:val="none" w:sz="0" w:space="0" w:color="auto"/>
      </w:divBdr>
    </w:div>
    <w:div w:id="163017155">
      <w:bodyDiv w:val="1"/>
      <w:marLeft w:val="0"/>
      <w:marRight w:val="0"/>
      <w:marTop w:val="0"/>
      <w:marBottom w:val="0"/>
      <w:divBdr>
        <w:top w:val="none" w:sz="0" w:space="0" w:color="auto"/>
        <w:left w:val="none" w:sz="0" w:space="0" w:color="auto"/>
        <w:bottom w:val="none" w:sz="0" w:space="0" w:color="auto"/>
        <w:right w:val="none" w:sz="0" w:space="0" w:color="auto"/>
      </w:divBdr>
    </w:div>
    <w:div w:id="163018031">
      <w:bodyDiv w:val="1"/>
      <w:marLeft w:val="0"/>
      <w:marRight w:val="0"/>
      <w:marTop w:val="0"/>
      <w:marBottom w:val="0"/>
      <w:divBdr>
        <w:top w:val="none" w:sz="0" w:space="0" w:color="auto"/>
        <w:left w:val="none" w:sz="0" w:space="0" w:color="auto"/>
        <w:bottom w:val="none" w:sz="0" w:space="0" w:color="auto"/>
        <w:right w:val="none" w:sz="0" w:space="0" w:color="auto"/>
      </w:divBdr>
    </w:div>
    <w:div w:id="163521858">
      <w:bodyDiv w:val="1"/>
      <w:marLeft w:val="0"/>
      <w:marRight w:val="0"/>
      <w:marTop w:val="0"/>
      <w:marBottom w:val="0"/>
      <w:divBdr>
        <w:top w:val="none" w:sz="0" w:space="0" w:color="auto"/>
        <w:left w:val="none" w:sz="0" w:space="0" w:color="auto"/>
        <w:bottom w:val="none" w:sz="0" w:space="0" w:color="auto"/>
        <w:right w:val="none" w:sz="0" w:space="0" w:color="auto"/>
      </w:divBdr>
    </w:div>
    <w:div w:id="163711687">
      <w:bodyDiv w:val="1"/>
      <w:marLeft w:val="0"/>
      <w:marRight w:val="0"/>
      <w:marTop w:val="0"/>
      <w:marBottom w:val="0"/>
      <w:divBdr>
        <w:top w:val="none" w:sz="0" w:space="0" w:color="auto"/>
        <w:left w:val="none" w:sz="0" w:space="0" w:color="auto"/>
        <w:bottom w:val="none" w:sz="0" w:space="0" w:color="auto"/>
        <w:right w:val="none" w:sz="0" w:space="0" w:color="auto"/>
      </w:divBdr>
    </w:div>
    <w:div w:id="164051734">
      <w:bodyDiv w:val="1"/>
      <w:marLeft w:val="0"/>
      <w:marRight w:val="0"/>
      <w:marTop w:val="0"/>
      <w:marBottom w:val="0"/>
      <w:divBdr>
        <w:top w:val="none" w:sz="0" w:space="0" w:color="auto"/>
        <w:left w:val="none" w:sz="0" w:space="0" w:color="auto"/>
        <w:bottom w:val="none" w:sz="0" w:space="0" w:color="auto"/>
        <w:right w:val="none" w:sz="0" w:space="0" w:color="auto"/>
      </w:divBdr>
    </w:div>
    <w:div w:id="165101186">
      <w:bodyDiv w:val="1"/>
      <w:marLeft w:val="0"/>
      <w:marRight w:val="0"/>
      <w:marTop w:val="0"/>
      <w:marBottom w:val="0"/>
      <w:divBdr>
        <w:top w:val="none" w:sz="0" w:space="0" w:color="auto"/>
        <w:left w:val="none" w:sz="0" w:space="0" w:color="auto"/>
        <w:bottom w:val="none" w:sz="0" w:space="0" w:color="auto"/>
        <w:right w:val="none" w:sz="0" w:space="0" w:color="auto"/>
      </w:divBdr>
    </w:div>
    <w:div w:id="165488028">
      <w:bodyDiv w:val="1"/>
      <w:marLeft w:val="0"/>
      <w:marRight w:val="0"/>
      <w:marTop w:val="0"/>
      <w:marBottom w:val="0"/>
      <w:divBdr>
        <w:top w:val="none" w:sz="0" w:space="0" w:color="auto"/>
        <w:left w:val="none" w:sz="0" w:space="0" w:color="auto"/>
        <w:bottom w:val="none" w:sz="0" w:space="0" w:color="auto"/>
        <w:right w:val="none" w:sz="0" w:space="0" w:color="auto"/>
      </w:divBdr>
    </w:div>
    <w:div w:id="166022687">
      <w:bodyDiv w:val="1"/>
      <w:marLeft w:val="0"/>
      <w:marRight w:val="0"/>
      <w:marTop w:val="0"/>
      <w:marBottom w:val="0"/>
      <w:divBdr>
        <w:top w:val="none" w:sz="0" w:space="0" w:color="auto"/>
        <w:left w:val="none" w:sz="0" w:space="0" w:color="auto"/>
        <w:bottom w:val="none" w:sz="0" w:space="0" w:color="auto"/>
        <w:right w:val="none" w:sz="0" w:space="0" w:color="auto"/>
      </w:divBdr>
    </w:div>
    <w:div w:id="167451018">
      <w:bodyDiv w:val="1"/>
      <w:marLeft w:val="0"/>
      <w:marRight w:val="0"/>
      <w:marTop w:val="0"/>
      <w:marBottom w:val="0"/>
      <w:divBdr>
        <w:top w:val="none" w:sz="0" w:space="0" w:color="auto"/>
        <w:left w:val="none" w:sz="0" w:space="0" w:color="auto"/>
        <w:bottom w:val="none" w:sz="0" w:space="0" w:color="auto"/>
        <w:right w:val="none" w:sz="0" w:space="0" w:color="auto"/>
      </w:divBdr>
    </w:div>
    <w:div w:id="167789230">
      <w:bodyDiv w:val="1"/>
      <w:marLeft w:val="0"/>
      <w:marRight w:val="0"/>
      <w:marTop w:val="0"/>
      <w:marBottom w:val="0"/>
      <w:divBdr>
        <w:top w:val="none" w:sz="0" w:space="0" w:color="auto"/>
        <w:left w:val="none" w:sz="0" w:space="0" w:color="auto"/>
        <w:bottom w:val="none" w:sz="0" w:space="0" w:color="auto"/>
        <w:right w:val="none" w:sz="0" w:space="0" w:color="auto"/>
      </w:divBdr>
    </w:div>
    <w:div w:id="168838068">
      <w:bodyDiv w:val="1"/>
      <w:marLeft w:val="0"/>
      <w:marRight w:val="0"/>
      <w:marTop w:val="0"/>
      <w:marBottom w:val="0"/>
      <w:divBdr>
        <w:top w:val="none" w:sz="0" w:space="0" w:color="auto"/>
        <w:left w:val="none" w:sz="0" w:space="0" w:color="auto"/>
        <w:bottom w:val="none" w:sz="0" w:space="0" w:color="auto"/>
        <w:right w:val="none" w:sz="0" w:space="0" w:color="auto"/>
      </w:divBdr>
    </w:div>
    <w:div w:id="169104692">
      <w:bodyDiv w:val="1"/>
      <w:marLeft w:val="0"/>
      <w:marRight w:val="0"/>
      <w:marTop w:val="0"/>
      <w:marBottom w:val="0"/>
      <w:divBdr>
        <w:top w:val="none" w:sz="0" w:space="0" w:color="auto"/>
        <w:left w:val="none" w:sz="0" w:space="0" w:color="auto"/>
        <w:bottom w:val="none" w:sz="0" w:space="0" w:color="auto"/>
        <w:right w:val="none" w:sz="0" w:space="0" w:color="auto"/>
      </w:divBdr>
    </w:div>
    <w:div w:id="170679313">
      <w:bodyDiv w:val="1"/>
      <w:marLeft w:val="0"/>
      <w:marRight w:val="0"/>
      <w:marTop w:val="0"/>
      <w:marBottom w:val="0"/>
      <w:divBdr>
        <w:top w:val="none" w:sz="0" w:space="0" w:color="auto"/>
        <w:left w:val="none" w:sz="0" w:space="0" w:color="auto"/>
        <w:bottom w:val="none" w:sz="0" w:space="0" w:color="auto"/>
        <w:right w:val="none" w:sz="0" w:space="0" w:color="auto"/>
      </w:divBdr>
    </w:div>
    <w:div w:id="170803574">
      <w:bodyDiv w:val="1"/>
      <w:marLeft w:val="0"/>
      <w:marRight w:val="0"/>
      <w:marTop w:val="0"/>
      <w:marBottom w:val="0"/>
      <w:divBdr>
        <w:top w:val="none" w:sz="0" w:space="0" w:color="auto"/>
        <w:left w:val="none" w:sz="0" w:space="0" w:color="auto"/>
        <w:bottom w:val="none" w:sz="0" w:space="0" w:color="auto"/>
        <w:right w:val="none" w:sz="0" w:space="0" w:color="auto"/>
      </w:divBdr>
    </w:div>
    <w:div w:id="170881081">
      <w:bodyDiv w:val="1"/>
      <w:marLeft w:val="0"/>
      <w:marRight w:val="0"/>
      <w:marTop w:val="0"/>
      <w:marBottom w:val="0"/>
      <w:divBdr>
        <w:top w:val="none" w:sz="0" w:space="0" w:color="auto"/>
        <w:left w:val="none" w:sz="0" w:space="0" w:color="auto"/>
        <w:bottom w:val="none" w:sz="0" w:space="0" w:color="auto"/>
        <w:right w:val="none" w:sz="0" w:space="0" w:color="auto"/>
      </w:divBdr>
    </w:div>
    <w:div w:id="170992538">
      <w:bodyDiv w:val="1"/>
      <w:marLeft w:val="0"/>
      <w:marRight w:val="0"/>
      <w:marTop w:val="0"/>
      <w:marBottom w:val="0"/>
      <w:divBdr>
        <w:top w:val="none" w:sz="0" w:space="0" w:color="auto"/>
        <w:left w:val="none" w:sz="0" w:space="0" w:color="auto"/>
        <w:bottom w:val="none" w:sz="0" w:space="0" w:color="auto"/>
        <w:right w:val="none" w:sz="0" w:space="0" w:color="auto"/>
      </w:divBdr>
    </w:div>
    <w:div w:id="171536370">
      <w:bodyDiv w:val="1"/>
      <w:marLeft w:val="0"/>
      <w:marRight w:val="0"/>
      <w:marTop w:val="0"/>
      <w:marBottom w:val="0"/>
      <w:divBdr>
        <w:top w:val="none" w:sz="0" w:space="0" w:color="auto"/>
        <w:left w:val="none" w:sz="0" w:space="0" w:color="auto"/>
        <w:bottom w:val="none" w:sz="0" w:space="0" w:color="auto"/>
        <w:right w:val="none" w:sz="0" w:space="0" w:color="auto"/>
      </w:divBdr>
    </w:div>
    <w:div w:id="171800899">
      <w:bodyDiv w:val="1"/>
      <w:marLeft w:val="0"/>
      <w:marRight w:val="0"/>
      <w:marTop w:val="0"/>
      <w:marBottom w:val="0"/>
      <w:divBdr>
        <w:top w:val="none" w:sz="0" w:space="0" w:color="auto"/>
        <w:left w:val="none" w:sz="0" w:space="0" w:color="auto"/>
        <w:bottom w:val="none" w:sz="0" w:space="0" w:color="auto"/>
        <w:right w:val="none" w:sz="0" w:space="0" w:color="auto"/>
      </w:divBdr>
    </w:div>
    <w:div w:id="172378267">
      <w:bodyDiv w:val="1"/>
      <w:marLeft w:val="0"/>
      <w:marRight w:val="0"/>
      <w:marTop w:val="0"/>
      <w:marBottom w:val="0"/>
      <w:divBdr>
        <w:top w:val="none" w:sz="0" w:space="0" w:color="auto"/>
        <w:left w:val="none" w:sz="0" w:space="0" w:color="auto"/>
        <w:bottom w:val="none" w:sz="0" w:space="0" w:color="auto"/>
        <w:right w:val="none" w:sz="0" w:space="0" w:color="auto"/>
      </w:divBdr>
    </w:div>
    <w:div w:id="174075767">
      <w:bodyDiv w:val="1"/>
      <w:marLeft w:val="0"/>
      <w:marRight w:val="0"/>
      <w:marTop w:val="0"/>
      <w:marBottom w:val="0"/>
      <w:divBdr>
        <w:top w:val="none" w:sz="0" w:space="0" w:color="auto"/>
        <w:left w:val="none" w:sz="0" w:space="0" w:color="auto"/>
        <w:bottom w:val="none" w:sz="0" w:space="0" w:color="auto"/>
        <w:right w:val="none" w:sz="0" w:space="0" w:color="auto"/>
      </w:divBdr>
    </w:div>
    <w:div w:id="174269174">
      <w:bodyDiv w:val="1"/>
      <w:marLeft w:val="0"/>
      <w:marRight w:val="0"/>
      <w:marTop w:val="0"/>
      <w:marBottom w:val="0"/>
      <w:divBdr>
        <w:top w:val="none" w:sz="0" w:space="0" w:color="auto"/>
        <w:left w:val="none" w:sz="0" w:space="0" w:color="auto"/>
        <w:bottom w:val="none" w:sz="0" w:space="0" w:color="auto"/>
        <w:right w:val="none" w:sz="0" w:space="0" w:color="auto"/>
      </w:divBdr>
    </w:div>
    <w:div w:id="176846777">
      <w:bodyDiv w:val="1"/>
      <w:marLeft w:val="0"/>
      <w:marRight w:val="0"/>
      <w:marTop w:val="0"/>
      <w:marBottom w:val="0"/>
      <w:divBdr>
        <w:top w:val="none" w:sz="0" w:space="0" w:color="auto"/>
        <w:left w:val="none" w:sz="0" w:space="0" w:color="auto"/>
        <w:bottom w:val="none" w:sz="0" w:space="0" w:color="auto"/>
        <w:right w:val="none" w:sz="0" w:space="0" w:color="auto"/>
      </w:divBdr>
    </w:div>
    <w:div w:id="177743053">
      <w:bodyDiv w:val="1"/>
      <w:marLeft w:val="0"/>
      <w:marRight w:val="0"/>
      <w:marTop w:val="0"/>
      <w:marBottom w:val="0"/>
      <w:divBdr>
        <w:top w:val="none" w:sz="0" w:space="0" w:color="auto"/>
        <w:left w:val="none" w:sz="0" w:space="0" w:color="auto"/>
        <w:bottom w:val="none" w:sz="0" w:space="0" w:color="auto"/>
        <w:right w:val="none" w:sz="0" w:space="0" w:color="auto"/>
      </w:divBdr>
    </w:div>
    <w:div w:id="178474097">
      <w:bodyDiv w:val="1"/>
      <w:marLeft w:val="0"/>
      <w:marRight w:val="0"/>
      <w:marTop w:val="0"/>
      <w:marBottom w:val="0"/>
      <w:divBdr>
        <w:top w:val="none" w:sz="0" w:space="0" w:color="auto"/>
        <w:left w:val="none" w:sz="0" w:space="0" w:color="auto"/>
        <w:bottom w:val="none" w:sz="0" w:space="0" w:color="auto"/>
        <w:right w:val="none" w:sz="0" w:space="0" w:color="auto"/>
      </w:divBdr>
    </w:div>
    <w:div w:id="179052514">
      <w:bodyDiv w:val="1"/>
      <w:marLeft w:val="0"/>
      <w:marRight w:val="0"/>
      <w:marTop w:val="0"/>
      <w:marBottom w:val="0"/>
      <w:divBdr>
        <w:top w:val="none" w:sz="0" w:space="0" w:color="auto"/>
        <w:left w:val="none" w:sz="0" w:space="0" w:color="auto"/>
        <w:bottom w:val="none" w:sz="0" w:space="0" w:color="auto"/>
        <w:right w:val="none" w:sz="0" w:space="0" w:color="auto"/>
      </w:divBdr>
    </w:div>
    <w:div w:id="179660265">
      <w:bodyDiv w:val="1"/>
      <w:marLeft w:val="0"/>
      <w:marRight w:val="0"/>
      <w:marTop w:val="0"/>
      <w:marBottom w:val="0"/>
      <w:divBdr>
        <w:top w:val="none" w:sz="0" w:space="0" w:color="auto"/>
        <w:left w:val="none" w:sz="0" w:space="0" w:color="auto"/>
        <w:bottom w:val="none" w:sz="0" w:space="0" w:color="auto"/>
        <w:right w:val="none" w:sz="0" w:space="0" w:color="auto"/>
      </w:divBdr>
    </w:div>
    <w:div w:id="181208956">
      <w:bodyDiv w:val="1"/>
      <w:marLeft w:val="0"/>
      <w:marRight w:val="0"/>
      <w:marTop w:val="0"/>
      <w:marBottom w:val="0"/>
      <w:divBdr>
        <w:top w:val="none" w:sz="0" w:space="0" w:color="auto"/>
        <w:left w:val="none" w:sz="0" w:space="0" w:color="auto"/>
        <w:bottom w:val="none" w:sz="0" w:space="0" w:color="auto"/>
        <w:right w:val="none" w:sz="0" w:space="0" w:color="auto"/>
      </w:divBdr>
    </w:div>
    <w:div w:id="182013068">
      <w:bodyDiv w:val="1"/>
      <w:marLeft w:val="0"/>
      <w:marRight w:val="0"/>
      <w:marTop w:val="0"/>
      <w:marBottom w:val="0"/>
      <w:divBdr>
        <w:top w:val="none" w:sz="0" w:space="0" w:color="auto"/>
        <w:left w:val="none" w:sz="0" w:space="0" w:color="auto"/>
        <w:bottom w:val="none" w:sz="0" w:space="0" w:color="auto"/>
        <w:right w:val="none" w:sz="0" w:space="0" w:color="auto"/>
      </w:divBdr>
    </w:div>
    <w:div w:id="182675304">
      <w:bodyDiv w:val="1"/>
      <w:marLeft w:val="0"/>
      <w:marRight w:val="0"/>
      <w:marTop w:val="0"/>
      <w:marBottom w:val="0"/>
      <w:divBdr>
        <w:top w:val="none" w:sz="0" w:space="0" w:color="auto"/>
        <w:left w:val="none" w:sz="0" w:space="0" w:color="auto"/>
        <w:bottom w:val="none" w:sz="0" w:space="0" w:color="auto"/>
        <w:right w:val="none" w:sz="0" w:space="0" w:color="auto"/>
      </w:divBdr>
    </w:div>
    <w:div w:id="182718304">
      <w:bodyDiv w:val="1"/>
      <w:marLeft w:val="0"/>
      <w:marRight w:val="0"/>
      <w:marTop w:val="0"/>
      <w:marBottom w:val="0"/>
      <w:divBdr>
        <w:top w:val="none" w:sz="0" w:space="0" w:color="auto"/>
        <w:left w:val="none" w:sz="0" w:space="0" w:color="auto"/>
        <w:bottom w:val="none" w:sz="0" w:space="0" w:color="auto"/>
        <w:right w:val="none" w:sz="0" w:space="0" w:color="auto"/>
      </w:divBdr>
    </w:div>
    <w:div w:id="182942473">
      <w:bodyDiv w:val="1"/>
      <w:marLeft w:val="0"/>
      <w:marRight w:val="0"/>
      <w:marTop w:val="0"/>
      <w:marBottom w:val="0"/>
      <w:divBdr>
        <w:top w:val="none" w:sz="0" w:space="0" w:color="auto"/>
        <w:left w:val="none" w:sz="0" w:space="0" w:color="auto"/>
        <w:bottom w:val="none" w:sz="0" w:space="0" w:color="auto"/>
        <w:right w:val="none" w:sz="0" w:space="0" w:color="auto"/>
      </w:divBdr>
    </w:div>
    <w:div w:id="182982345">
      <w:bodyDiv w:val="1"/>
      <w:marLeft w:val="0"/>
      <w:marRight w:val="0"/>
      <w:marTop w:val="0"/>
      <w:marBottom w:val="0"/>
      <w:divBdr>
        <w:top w:val="none" w:sz="0" w:space="0" w:color="auto"/>
        <w:left w:val="none" w:sz="0" w:space="0" w:color="auto"/>
        <w:bottom w:val="none" w:sz="0" w:space="0" w:color="auto"/>
        <w:right w:val="none" w:sz="0" w:space="0" w:color="auto"/>
      </w:divBdr>
    </w:div>
    <w:div w:id="184446395">
      <w:bodyDiv w:val="1"/>
      <w:marLeft w:val="0"/>
      <w:marRight w:val="0"/>
      <w:marTop w:val="0"/>
      <w:marBottom w:val="0"/>
      <w:divBdr>
        <w:top w:val="none" w:sz="0" w:space="0" w:color="auto"/>
        <w:left w:val="none" w:sz="0" w:space="0" w:color="auto"/>
        <w:bottom w:val="none" w:sz="0" w:space="0" w:color="auto"/>
        <w:right w:val="none" w:sz="0" w:space="0" w:color="auto"/>
      </w:divBdr>
    </w:div>
    <w:div w:id="184759675">
      <w:bodyDiv w:val="1"/>
      <w:marLeft w:val="0"/>
      <w:marRight w:val="0"/>
      <w:marTop w:val="0"/>
      <w:marBottom w:val="0"/>
      <w:divBdr>
        <w:top w:val="none" w:sz="0" w:space="0" w:color="auto"/>
        <w:left w:val="none" w:sz="0" w:space="0" w:color="auto"/>
        <w:bottom w:val="none" w:sz="0" w:space="0" w:color="auto"/>
        <w:right w:val="none" w:sz="0" w:space="0" w:color="auto"/>
      </w:divBdr>
    </w:div>
    <w:div w:id="185215598">
      <w:bodyDiv w:val="1"/>
      <w:marLeft w:val="0"/>
      <w:marRight w:val="0"/>
      <w:marTop w:val="0"/>
      <w:marBottom w:val="0"/>
      <w:divBdr>
        <w:top w:val="none" w:sz="0" w:space="0" w:color="auto"/>
        <w:left w:val="none" w:sz="0" w:space="0" w:color="auto"/>
        <w:bottom w:val="none" w:sz="0" w:space="0" w:color="auto"/>
        <w:right w:val="none" w:sz="0" w:space="0" w:color="auto"/>
      </w:divBdr>
    </w:div>
    <w:div w:id="185759176">
      <w:bodyDiv w:val="1"/>
      <w:marLeft w:val="0"/>
      <w:marRight w:val="0"/>
      <w:marTop w:val="0"/>
      <w:marBottom w:val="0"/>
      <w:divBdr>
        <w:top w:val="none" w:sz="0" w:space="0" w:color="auto"/>
        <w:left w:val="none" w:sz="0" w:space="0" w:color="auto"/>
        <w:bottom w:val="none" w:sz="0" w:space="0" w:color="auto"/>
        <w:right w:val="none" w:sz="0" w:space="0" w:color="auto"/>
      </w:divBdr>
    </w:div>
    <w:div w:id="186410504">
      <w:bodyDiv w:val="1"/>
      <w:marLeft w:val="0"/>
      <w:marRight w:val="0"/>
      <w:marTop w:val="0"/>
      <w:marBottom w:val="0"/>
      <w:divBdr>
        <w:top w:val="none" w:sz="0" w:space="0" w:color="auto"/>
        <w:left w:val="none" w:sz="0" w:space="0" w:color="auto"/>
        <w:bottom w:val="none" w:sz="0" w:space="0" w:color="auto"/>
        <w:right w:val="none" w:sz="0" w:space="0" w:color="auto"/>
      </w:divBdr>
    </w:div>
    <w:div w:id="187527040">
      <w:bodyDiv w:val="1"/>
      <w:marLeft w:val="0"/>
      <w:marRight w:val="0"/>
      <w:marTop w:val="0"/>
      <w:marBottom w:val="0"/>
      <w:divBdr>
        <w:top w:val="none" w:sz="0" w:space="0" w:color="auto"/>
        <w:left w:val="none" w:sz="0" w:space="0" w:color="auto"/>
        <w:bottom w:val="none" w:sz="0" w:space="0" w:color="auto"/>
        <w:right w:val="none" w:sz="0" w:space="0" w:color="auto"/>
      </w:divBdr>
    </w:div>
    <w:div w:id="188641891">
      <w:bodyDiv w:val="1"/>
      <w:marLeft w:val="0"/>
      <w:marRight w:val="0"/>
      <w:marTop w:val="0"/>
      <w:marBottom w:val="0"/>
      <w:divBdr>
        <w:top w:val="none" w:sz="0" w:space="0" w:color="auto"/>
        <w:left w:val="none" w:sz="0" w:space="0" w:color="auto"/>
        <w:bottom w:val="none" w:sz="0" w:space="0" w:color="auto"/>
        <w:right w:val="none" w:sz="0" w:space="0" w:color="auto"/>
      </w:divBdr>
    </w:div>
    <w:div w:id="188688233">
      <w:bodyDiv w:val="1"/>
      <w:marLeft w:val="0"/>
      <w:marRight w:val="0"/>
      <w:marTop w:val="0"/>
      <w:marBottom w:val="0"/>
      <w:divBdr>
        <w:top w:val="none" w:sz="0" w:space="0" w:color="auto"/>
        <w:left w:val="none" w:sz="0" w:space="0" w:color="auto"/>
        <w:bottom w:val="none" w:sz="0" w:space="0" w:color="auto"/>
        <w:right w:val="none" w:sz="0" w:space="0" w:color="auto"/>
      </w:divBdr>
    </w:div>
    <w:div w:id="189925424">
      <w:bodyDiv w:val="1"/>
      <w:marLeft w:val="0"/>
      <w:marRight w:val="0"/>
      <w:marTop w:val="0"/>
      <w:marBottom w:val="0"/>
      <w:divBdr>
        <w:top w:val="none" w:sz="0" w:space="0" w:color="auto"/>
        <w:left w:val="none" w:sz="0" w:space="0" w:color="auto"/>
        <w:bottom w:val="none" w:sz="0" w:space="0" w:color="auto"/>
        <w:right w:val="none" w:sz="0" w:space="0" w:color="auto"/>
      </w:divBdr>
    </w:div>
    <w:div w:id="190340857">
      <w:bodyDiv w:val="1"/>
      <w:marLeft w:val="0"/>
      <w:marRight w:val="0"/>
      <w:marTop w:val="0"/>
      <w:marBottom w:val="0"/>
      <w:divBdr>
        <w:top w:val="none" w:sz="0" w:space="0" w:color="auto"/>
        <w:left w:val="none" w:sz="0" w:space="0" w:color="auto"/>
        <w:bottom w:val="none" w:sz="0" w:space="0" w:color="auto"/>
        <w:right w:val="none" w:sz="0" w:space="0" w:color="auto"/>
      </w:divBdr>
    </w:div>
    <w:div w:id="190531417">
      <w:bodyDiv w:val="1"/>
      <w:marLeft w:val="0"/>
      <w:marRight w:val="0"/>
      <w:marTop w:val="0"/>
      <w:marBottom w:val="0"/>
      <w:divBdr>
        <w:top w:val="none" w:sz="0" w:space="0" w:color="auto"/>
        <w:left w:val="none" w:sz="0" w:space="0" w:color="auto"/>
        <w:bottom w:val="none" w:sz="0" w:space="0" w:color="auto"/>
        <w:right w:val="none" w:sz="0" w:space="0" w:color="auto"/>
      </w:divBdr>
    </w:div>
    <w:div w:id="190800639">
      <w:bodyDiv w:val="1"/>
      <w:marLeft w:val="0"/>
      <w:marRight w:val="0"/>
      <w:marTop w:val="0"/>
      <w:marBottom w:val="0"/>
      <w:divBdr>
        <w:top w:val="none" w:sz="0" w:space="0" w:color="auto"/>
        <w:left w:val="none" w:sz="0" w:space="0" w:color="auto"/>
        <w:bottom w:val="none" w:sz="0" w:space="0" w:color="auto"/>
        <w:right w:val="none" w:sz="0" w:space="0" w:color="auto"/>
      </w:divBdr>
    </w:div>
    <w:div w:id="190920211">
      <w:bodyDiv w:val="1"/>
      <w:marLeft w:val="0"/>
      <w:marRight w:val="0"/>
      <w:marTop w:val="0"/>
      <w:marBottom w:val="0"/>
      <w:divBdr>
        <w:top w:val="none" w:sz="0" w:space="0" w:color="auto"/>
        <w:left w:val="none" w:sz="0" w:space="0" w:color="auto"/>
        <w:bottom w:val="none" w:sz="0" w:space="0" w:color="auto"/>
        <w:right w:val="none" w:sz="0" w:space="0" w:color="auto"/>
      </w:divBdr>
    </w:div>
    <w:div w:id="191767396">
      <w:bodyDiv w:val="1"/>
      <w:marLeft w:val="0"/>
      <w:marRight w:val="0"/>
      <w:marTop w:val="0"/>
      <w:marBottom w:val="0"/>
      <w:divBdr>
        <w:top w:val="none" w:sz="0" w:space="0" w:color="auto"/>
        <w:left w:val="none" w:sz="0" w:space="0" w:color="auto"/>
        <w:bottom w:val="none" w:sz="0" w:space="0" w:color="auto"/>
        <w:right w:val="none" w:sz="0" w:space="0" w:color="auto"/>
      </w:divBdr>
    </w:div>
    <w:div w:id="193545763">
      <w:bodyDiv w:val="1"/>
      <w:marLeft w:val="0"/>
      <w:marRight w:val="0"/>
      <w:marTop w:val="0"/>
      <w:marBottom w:val="0"/>
      <w:divBdr>
        <w:top w:val="none" w:sz="0" w:space="0" w:color="auto"/>
        <w:left w:val="none" w:sz="0" w:space="0" w:color="auto"/>
        <w:bottom w:val="none" w:sz="0" w:space="0" w:color="auto"/>
        <w:right w:val="none" w:sz="0" w:space="0" w:color="auto"/>
      </w:divBdr>
    </w:div>
    <w:div w:id="194850452">
      <w:bodyDiv w:val="1"/>
      <w:marLeft w:val="0"/>
      <w:marRight w:val="0"/>
      <w:marTop w:val="0"/>
      <w:marBottom w:val="0"/>
      <w:divBdr>
        <w:top w:val="none" w:sz="0" w:space="0" w:color="auto"/>
        <w:left w:val="none" w:sz="0" w:space="0" w:color="auto"/>
        <w:bottom w:val="none" w:sz="0" w:space="0" w:color="auto"/>
        <w:right w:val="none" w:sz="0" w:space="0" w:color="auto"/>
      </w:divBdr>
    </w:div>
    <w:div w:id="196090680">
      <w:bodyDiv w:val="1"/>
      <w:marLeft w:val="0"/>
      <w:marRight w:val="0"/>
      <w:marTop w:val="0"/>
      <w:marBottom w:val="0"/>
      <w:divBdr>
        <w:top w:val="none" w:sz="0" w:space="0" w:color="auto"/>
        <w:left w:val="none" w:sz="0" w:space="0" w:color="auto"/>
        <w:bottom w:val="none" w:sz="0" w:space="0" w:color="auto"/>
        <w:right w:val="none" w:sz="0" w:space="0" w:color="auto"/>
      </w:divBdr>
    </w:div>
    <w:div w:id="196506742">
      <w:bodyDiv w:val="1"/>
      <w:marLeft w:val="0"/>
      <w:marRight w:val="0"/>
      <w:marTop w:val="0"/>
      <w:marBottom w:val="0"/>
      <w:divBdr>
        <w:top w:val="none" w:sz="0" w:space="0" w:color="auto"/>
        <w:left w:val="none" w:sz="0" w:space="0" w:color="auto"/>
        <w:bottom w:val="none" w:sz="0" w:space="0" w:color="auto"/>
        <w:right w:val="none" w:sz="0" w:space="0" w:color="auto"/>
      </w:divBdr>
    </w:div>
    <w:div w:id="198860069">
      <w:bodyDiv w:val="1"/>
      <w:marLeft w:val="0"/>
      <w:marRight w:val="0"/>
      <w:marTop w:val="0"/>
      <w:marBottom w:val="0"/>
      <w:divBdr>
        <w:top w:val="none" w:sz="0" w:space="0" w:color="auto"/>
        <w:left w:val="none" w:sz="0" w:space="0" w:color="auto"/>
        <w:bottom w:val="none" w:sz="0" w:space="0" w:color="auto"/>
        <w:right w:val="none" w:sz="0" w:space="0" w:color="auto"/>
      </w:divBdr>
    </w:div>
    <w:div w:id="200023863">
      <w:bodyDiv w:val="1"/>
      <w:marLeft w:val="0"/>
      <w:marRight w:val="0"/>
      <w:marTop w:val="0"/>
      <w:marBottom w:val="0"/>
      <w:divBdr>
        <w:top w:val="none" w:sz="0" w:space="0" w:color="auto"/>
        <w:left w:val="none" w:sz="0" w:space="0" w:color="auto"/>
        <w:bottom w:val="none" w:sz="0" w:space="0" w:color="auto"/>
        <w:right w:val="none" w:sz="0" w:space="0" w:color="auto"/>
      </w:divBdr>
    </w:div>
    <w:div w:id="200285298">
      <w:bodyDiv w:val="1"/>
      <w:marLeft w:val="0"/>
      <w:marRight w:val="0"/>
      <w:marTop w:val="0"/>
      <w:marBottom w:val="0"/>
      <w:divBdr>
        <w:top w:val="none" w:sz="0" w:space="0" w:color="auto"/>
        <w:left w:val="none" w:sz="0" w:space="0" w:color="auto"/>
        <w:bottom w:val="none" w:sz="0" w:space="0" w:color="auto"/>
        <w:right w:val="none" w:sz="0" w:space="0" w:color="auto"/>
      </w:divBdr>
    </w:div>
    <w:div w:id="200553720">
      <w:bodyDiv w:val="1"/>
      <w:marLeft w:val="0"/>
      <w:marRight w:val="0"/>
      <w:marTop w:val="0"/>
      <w:marBottom w:val="0"/>
      <w:divBdr>
        <w:top w:val="none" w:sz="0" w:space="0" w:color="auto"/>
        <w:left w:val="none" w:sz="0" w:space="0" w:color="auto"/>
        <w:bottom w:val="none" w:sz="0" w:space="0" w:color="auto"/>
        <w:right w:val="none" w:sz="0" w:space="0" w:color="auto"/>
      </w:divBdr>
    </w:div>
    <w:div w:id="201094054">
      <w:bodyDiv w:val="1"/>
      <w:marLeft w:val="0"/>
      <w:marRight w:val="0"/>
      <w:marTop w:val="0"/>
      <w:marBottom w:val="0"/>
      <w:divBdr>
        <w:top w:val="none" w:sz="0" w:space="0" w:color="auto"/>
        <w:left w:val="none" w:sz="0" w:space="0" w:color="auto"/>
        <w:bottom w:val="none" w:sz="0" w:space="0" w:color="auto"/>
        <w:right w:val="none" w:sz="0" w:space="0" w:color="auto"/>
      </w:divBdr>
    </w:div>
    <w:div w:id="201327403">
      <w:bodyDiv w:val="1"/>
      <w:marLeft w:val="0"/>
      <w:marRight w:val="0"/>
      <w:marTop w:val="0"/>
      <w:marBottom w:val="0"/>
      <w:divBdr>
        <w:top w:val="none" w:sz="0" w:space="0" w:color="auto"/>
        <w:left w:val="none" w:sz="0" w:space="0" w:color="auto"/>
        <w:bottom w:val="none" w:sz="0" w:space="0" w:color="auto"/>
        <w:right w:val="none" w:sz="0" w:space="0" w:color="auto"/>
      </w:divBdr>
    </w:div>
    <w:div w:id="201329745">
      <w:bodyDiv w:val="1"/>
      <w:marLeft w:val="0"/>
      <w:marRight w:val="0"/>
      <w:marTop w:val="0"/>
      <w:marBottom w:val="0"/>
      <w:divBdr>
        <w:top w:val="none" w:sz="0" w:space="0" w:color="auto"/>
        <w:left w:val="none" w:sz="0" w:space="0" w:color="auto"/>
        <w:bottom w:val="none" w:sz="0" w:space="0" w:color="auto"/>
        <w:right w:val="none" w:sz="0" w:space="0" w:color="auto"/>
      </w:divBdr>
    </w:div>
    <w:div w:id="201676016">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06380277">
      <w:bodyDiv w:val="1"/>
      <w:marLeft w:val="0"/>
      <w:marRight w:val="0"/>
      <w:marTop w:val="0"/>
      <w:marBottom w:val="0"/>
      <w:divBdr>
        <w:top w:val="none" w:sz="0" w:space="0" w:color="auto"/>
        <w:left w:val="none" w:sz="0" w:space="0" w:color="auto"/>
        <w:bottom w:val="none" w:sz="0" w:space="0" w:color="auto"/>
        <w:right w:val="none" w:sz="0" w:space="0" w:color="auto"/>
      </w:divBdr>
    </w:div>
    <w:div w:id="206919353">
      <w:bodyDiv w:val="1"/>
      <w:marLeft w:val="0"/>
      <w:marRight w:val="0"/>
      <w:marTop w:val="0"/>
      <w:marBottom w:val="0"/>
      <w:divBdr>
        <w:top w:val="none" w:sz="0" w:space="0" w:color="auto"/>
        <w:left w:val="none" w:sz="0" w:space="0" w:color="auto"/>
        <w:bottom w:val="none" w:sz="0" w:space="0" w:color="auto"/>
        <w:right w:val="none" w:sz="0" w:space="0" w:color="auto"/>
      </w:divBdr>
    </w:div>
    <w:div w:id="207229010">
      <w:bodyDiv w:val="1"/>
      <w:marLeft w:val="0"/>
      <w:marRight w:val="0"/>
      <w:marTop w:val="0"/>
      <w:marBottom w:val="0"/>
      <w:divBdr>
        <w:top w:val="none" w:sz="0" w:space="0" w:color="auto"/>
        <w:left w:val="none" w:sz="0" w:space="0" w:color="auto"/>
        <w:bottom w:val="none" w:sz="0" w:space="0" w:color="auto"/>
        <w:right w:val="none" w:sz="0" w:space="0" w:color="auto"/>
      </w:divBdr>
    </w:div>
    <w:div w:id="207959301">
      <w:bodyDiv w:val="1"/>
      <w:marLeft w:val="0"/>
      <w:marRight w:val="0"/>
      <w:marTop w:val="0"/>
      <w:marBottom w:val="0"/>
      <w:divBdr>
        <w:top w:val="none" w:sz="0" w:space="0" w:color="auto"/>
        <w:left w:val="none" w:sz="0" w:space="0" w:color="auto"/>
        <w:bottom w:val="none" w:sz="0" w:space="0" w:color="auto"/>
        <w:right w:val="none" w:sz="0" w:space="0" w:color="auto"/>
      </w:divBdr>
    </w:div>
    <w:div w:id="208033178">
      <w:bodyDiv w:val="1"/>
      <w:marLeft w:val="0"/>
      <w:marRight w:val="0"/>
      <w:marTop w:val="0"/>
      <w:marBottom w:val="0"/>
      <w:divBdr>
        <w:top w:val="none" w:sz="0" w:space="0" w:color="auto"/>
        <w:left w:val="none" w:sz="0" w:space="0" w:color="auto"/>
        <w:bottom w:val="none" w:sz="0" w:space="0" w:color="auto"/>
        <w:right w:val="none" w:sz="0" w:space="0" w:color="auto"/>
      </w:divBdr>
    </w:div>
    <w:div w:id="208418361">
      <w:bodyDiv w:val="1"/>
      <w:marLeft w:val="0"/>
      <w:marRight w:val="0"/>
      <w:marTop w:val="0"/>
      <w:marBottom w:val="0"/>
      <w:divBdr>
        <w:top w:val="none" w:sz="0" w:space="0" w:color="auto"/>
        <w:left w:val="none" w:sz="0" w:space="0" w:color="auto"/>
        <w:bottom w:val="none" w:sz="0" w:space="0" w:color="auto"/>
        <w:right w:val="none" w:sz="0" w:space="0" w:color="auto"/>
      </w:divBdr>
    </w:div>
    <w:div w:id="208496540">
      <w:bodyDiv w:val="1"/>
      <w:marLeft w:val="0"/>
      <w:marRight w:val="0"/>
      <w:marTop w:val="0"/>
      <w:marBottom w:val="0"/>
      <w:divBdr>
        <w:top w:val="none" w:sz="0" w:space="0" w:color="auto"/>
        <w:left w:val="none" w:sz="0" w:space="0" w:color="auto"/>
        <w:bottom w:val="none" w:sz="0" w:space="0" w:color="auto"/>
        <w:right w:val="none" w:sz="0" w:space="0" w:color="auto"/>
      </w:divBdr>
    </w:div>
    <w:div w:id="208958396">
      <w:bodyDiv w:val="1"/>
      <w:marLeft w:val="0"/>
      <w:marRight w:val="0"/>
      <w:marTop w:val="0"/>
      <w:marBottom w:val="0"/>
      <w:divBdr>
        <w:top w:val="none" w:sz="0" w:space="0" w:color="auto"/>
        <w:left w:val="none" w:sz="0" w:space="0" w:color="auto"/>
        <w:bottom w:val="none" w:sz="0" w:space="0" w:color="auto"/>
        <w:right w:val="none" w:sz="0" w:space="0" w:color="auto"/>
      </w:divBdr>
    </w:div>
    <w:div w:id="208960696">
      <w:bodyDiv w:val="1"/>
      <w:marLeft w:val="0"/>
      <w:marRight w:val="0"/>
      <w:marTop w:val="0"/>
      <w:marBottom w:val="0"/>
      <w:divBdr>
        <w:top w:val="none" w:sz="0" w:space="0" w:color="auto"/>
        <w:left w:val="none" w:sz="0" w:space="0" w:color="auto"/>
        <w:bottom w:val="none" w:sz="0" w:space="0" w:color="auto"/>
        <w:right w:val="none" w:sz="0" w:space="0" w:color="auto"/>
      </w:divBdr>
    </w:div>
    <w:div w:id="209539228">
      <w:bodyDiv w:val="1"/>
      <w:marLeft w:val="0"/>
      <w:marRight w:val="0"/>
      <w:marTop w:val="0"/>
      <w:marBottom w:val="0"/>
      <w:divBdr>
        <w:top w:val="none" w:sz="0" w:space="0" w:color="auto"/>
        <w:left w:val="none" w:sz="0" w:space="0" w:color="auto"/>
        <w:bottom w:val="none" w:sz="0" w:space="0" w:color="auto"/>
        <w:right w:val="none" w:sz="0" w:space="0" w:color="auto"/>
      </w:divBdr>
    </w:div>
    <w:div w:id="209735031">
      <w:bodyDiv w:val="1"/>
      <w:marLeft w:val="0"/>
      <w:marRight w:val="0"/>
      <w:marTop w:val="0"/>
      <w:marBottom w:val="0"/>
      <w:divBdr>
        <w:top w:val="none" w:sz="0" w:space="0" w:color="auto"/>
        <w:left w:val="none" w:sz="0" w:space="0" w:color="auto"/>
        <w:bottom w:val="none" w:sz="0" w:space="0" w:color="auto"/>
        <w:right w:val="none" w:sz="0" w:space="0" w:color="auto"/>
      </w:divBdr>
    </w:div>
    <w:div w:id="210460523">
      <w:bodyDiv w:val="1"/>
      <w:marLeft w:val="0"/>
      <w:marRight w:val="0"/>
      <w:marTop w:val="0"/>
      <w:marBottom w:val="0"/>
      <w:divBdr>
        <w:top w:val="none" w:sz="0" w:space="0" w:color="auto"/>
        <w:left w:val="none" w:sz="0" w:space="0" w:color="auto"/>
        <w:bottom w:val="none" w:sz="0" w:space="0" w:color="auto"/>
        <w:right w:val="none" w:sz="0" w:space="0" w:color="auto"/>
      </w:divBdr>
    </w:div>
    <w:div w:id="210657543">
      <w:bodyDiv w:val="1"/>
      <w:marLeft w:val="0"/>
      <w:marRight w:val="0"/>
      <w:marTop w:val="0"/>
      <w:marBottom w:val="0"/>
      <w:divBdr>
        <w:top w:val="none" w:sz="0" w:space="0" w:color="auto"/>
        <w:left w:val="none" w:sz="0" w:space="0" w:color="auto"/>
        <w:bottom w:val="none" w:sz="0" w:space="0" w:color="auto"/>
        <w:right w:val="none" w:sz="0" w:space="0" w:color="auto"/>
      </w:divBdr>
    </w:div>
    <w:div w:id="211577364">
      <w:bodyDiv w:val="1"/>
      <w:marLeft w:val="0"/>
      <w:marRight w:val="0"/>
      <w:marTop w:val="0"/>
      <w:marBottom w:val="0"/>
      <w:divBdr>
        <w:top w:val="none" w:sz="0" w:space="0" w:color="auto"/>
        <w:left w:val="none" w:sz="0" w:space="0" w:color="auto"/>
        <w:bottom w:val="none" w:sz="0" w:space="0" w:color="auto"/>
        <w:right w:val="none" w:sz="0" w:space="0" w:color="auto"/>
      </w:divBdr>
    </w:div>
    <w:div w:id="212276131">
      <w:bodyDiv w:val="1"/>
      <w:marLeft w:val="0"/>
      <w:marRight w:val="0"/>
      <w:marTop w:val="0"/>
      <w:marBottom w:val="0"/>
      <w:divBdr>
        <w:top w:val="none" w:sz="0" w:space="0" w:color="auto"/>
        <w:left w:val="none" w:sz="0" w:space="0" w:color="auto"/>
        <w:bottom w:val="none" w:sz="0" w:space="0" w:color="auto"/>
        <w:right w:val="none" w:sz="0" w:space="0" w:color="auto"/>
      </w:divBdr>
    </w:div>
    <w:div w:id="212927422">
      <w:bodyDiv w:val="1"/>
      <w:marLeft w:val="0"/>
      <w:marRight w:val="0"/>
      <w:marTop w:val="0"/>
      <w:marBottom w:val="0"/>
      <w:divBdr>
        <w:top w:val="none" w:sz="0" w:space="0" w:color="auto"/>
        <w:left w:val="none" w:sz="0" w:space="0" w:color="auto"/>
        <w:bottom w:val="none" w:sz="0" w:space="0" w:color="auto"/>
        <w:right w:val="none" w:sz="0" w:space="0" w:color="auto"/>
      </w:divBdr>
    </w:div>
    <w:div w:id="214510389">
      <w:bodyDiv w:val="1"/>
      <w:marLeft w:val="0"/>
      <w:marRight w:val="0"/>
      <w:marTop w:val="0"/>
      <w:marBottom w:val="0"/>
      <w:divBdr>
        <w:top w:val="none" w:sz="0" w:space="0" w:color="auto"/>
        <w:left w:val="none" w:sz="0" w:space="0" w:color="auto"/>
        <w:bottom w:val="none" w:sz="0" w:space="0" w:color="auto"/>
        <w:right w:val="none" w:sz="0" w:space="0" w:color="auto"/>
      </w:divBdr>
    </w:div>
    <w:div w:id="214511237">
      <w:bodyDiv w:val="1"/>
      <w:marLeft w:val="0"/>
      <w:marRight w:val="0"/>
      <w:marTop w:val="0"/>
      <w:marBottom w:val="0"/>
      <w:divBdr>
        <w:top w:val="none" w:sz="0" w:space="0" w:color="auto"/>
        <w:left w:val="none" w:sz="0" w:space="0" w:color="auto"/>
        <w:bottom w:val="none" w:sz="0" w:space="0" w:color="auto"/>
        <w:right w:val="none" w:sz="0" w:space="0" w:color="auto"/>
      </w:divBdr>
    </w:div>
    <w:div w:id="214632578">
      <w:bodyDiv w:val="1"/>
      <w:marLeft w:val="0"/>
      <w:marRight w:val="0"/>
      <w:marTop w:val="0"/>
      <w:marBottom w:val="0"/>
      <w:divBdr>
        <w:top w:val="none" w:sz="0" w:space="0" w:color="auto"/>
        <w:left w:val="none" w:sz="0" w:space="0" w:color="auto"/>
        <w:bottom w:val="none" w:sz="0" w:space="0" w:color="auto"/>
        <w:right w:val="none" w:sz="0" w:space="0" w:color="auto"/>
      </w:divBdr>
    </w:div>
    <w:div w:id="214852106">
      <w:bodyDiv w:val="1"/>
      <w:marLeft w:val="0"/>
      <w:marRight w:val="0"/>
      <w:marTop w:val="0"/>
      <w:marBottom w:val="0"/>
      <w:divBdr>
        <w:top w:val="none" w:sz="0" w:space="0" w:color="auto"/>
        <w:left w:val="none" w:sz="0" w:space="0" w:color="auto"/>
        <w:bottom w:val="none" w:sz="0" w:space="0" w:color="auto"/>
        <w:right w:val="none" w:sz="0" w:space="0" w:color="auto"/>
      </w:divBdr>
    </w:div>
    <w:div w:id="215433946">
      <w:bodyDiv w:val="1"/>
      <w:marLeft w:val="0"/>
      <w:marRight w:val="0"/>
      <w:marTop w:val="0"/>
      <w:marBottom w:val="0"/>
      <w:divBdr>
        <w:top w:val="none" w:sz="0" w:space="0" w:color="auto"/>
        <w:left w:val="none" w:sz="0" w:space="0" w:color="auto"/>
        <w:bottom w:val="none" w:sz="0" w:space="0" w:color="auto"/>
        <w:right w:val="none" w:sz="0" w:space="0" w:color="auto"/>
      </w:divBdr>
    </w:div>
    <w:div w:id="215551332">
      <w:bodyDiv w:val="1"/>
      <w:marLeft w:val="0"/>
      <w:marRight w:val="0"/>
      <w:marTop w:val="0"/>
      <w:marBottom w:val="0"/>
      <w:divBdr>
        <w:top w:val="none" w:sz="0" w:space="0" w:color="auto"/>
        <w:left w:val="none" w:sz="0" w:space="0" w:color="auto"/>
        <w:bottom w:val="none" w:sz="0" w:space="0" w:color="auto"/>
        <w:right w:val="none" w:sz="0" w:space="0" w:color="auto"/>
      </w:divBdr>
    </w:div>
    <w:div w:id="215699984">
      <w:bodyDiv w:val="1"/>
      <w:marLeft w:val="0"/>
      <w:marRight w:val="0"/>
      <w:marTop w:val="0"/>
      <w:marBottom w:val="0"/>
      <w:divBdr>
        <w:top w:val="none" w:sz="0" w:space="0" w:color="auto"/>
        <w:left w:val="none" w:sz="0" w:space="0" w:color="auto"/>
        <w:bottom w:val="none" w:sz="0" w:space="0" w:color="auto"/>
        <w:right w:val="none" w:sz="0" w:space="0" w:color="auto"/>
      </w:divBdr>
    </w:div>
    <w:div w:id="216088509">
      <w:bodyDiv w:val="1"/>
      <w:marLeft w:val="0"/>
      <w:marRight w:val="0"/>
      <w:marTop w:val="0"/>
      <w:marBottom w:val="0"/>
      <w:divBdr>
        <w:top w:val="none" w:sz="0" w:space="0" w:color="auto"/>
        <w:left w:val="none" w:sz="0" w:space="0" w:color="auto"/>
        <w:bottom w:val="none" w:sz="0" w:space="0" w:color="auto"/>
        <w:right w:val="none" w:sz="0" w:space="0" w:color="auto"/>
      </w:divBdr>
    </w:div>
    <w:div w:id="216479496">
      <w:bodyDiv w:val="1"/>
      <w:marLeft w:val="0"/>
      <w:marRight w:val="0"/>
      <w:marTop w:val="0"/>
      <w:marBottom w:val="0"/>
      <w:divBdr>
        <w:top w:val="none" w:sz="0" w:space="0" w:color="auto"/>
        <w:left w:val="none" w:sz="0" w:space="0" w:color="auto"/>
        <w:bottom w:val="none" w:sz="0" w:space="0" w:color="auto"/>
        <w:right w:val="none" w:sz="0" w:space="0" w:color="auto"/>
      </w:divBdr>
    </w:div>
    <w:div w:id="217206626">
      <w:bodyDiv w:val="1"/>
      <w:marLeft w:val="0"/>
      <w:marRight w:val="0"/>
      <w:marTop w:val="0"/>
      <w:marBottom w:val="0"/>
      <w:divBdr>
        <w:top w:val="none" w:sz="0" w:space="0" w:color="auto"/>
        <w:left w:val="none" w:sz="0" w:space="0" w:color="auto"/>
        <w:bottom w:val="none" w:sz="0" w:space="0" w:color="auto"/>
        <w:right w:val="none" w:sz="0" w:space="0" w:color="auto"/>
      </w:divBdr>
    </w:div>
    <w:div w:id="217740008">
      <w:bodyDiv w:val="1"/>
      <w:marLeft w:val="0"/>
      <w:marRight w:val="0"/>
      <w:marTop w:val="0"/>
      <w:marBottom w:val="0"/>
      <w:divBdr>
        <w:top w:val="none" w:sz="0" w:space="0" w:color="auto"/>
        <w:left w:val="none" w:sz="0" w:space="0" w:color="auto"/>
        <w:bottom w:val="none" w:sz="0" w:space="0" w:color="auto"/>
        <w:right w:val="none" w:sz="0" w:space="0" w:color="auto"/>
      </w:divBdr>
    </w:div>
    <w:div w:id="217858285">
      <w:bodyDiv w:val="1"/>
      <w:marLeft w:val="0"/>
      <w:marRight w:val="0"/>
      <w:marTop w:val="0"/>
      <w:marBottom w:val="0"/>
      <w:divBdr>
        <w:top w:val="none" w:sz="0" w:space="0" w:color="auto"/>
        <w:left w:val="none" w:sz="0" w:space="0" w:color="auto"/>
        <w:bottom w:val="none" w:sz="0" w:space="0" w:color="auto"/>
        <w:right w:val="none" w:sz="0" w:space="0" w:color="auto"/>
      </w:divBdr>
    </w:div>
    <w:div w:id="218439068">
      <w:bodyDiv w:val="1"/>
      <w:marLeft w:val="0"/>
      <w:marRight w:val="0"/>
      <w:marTop w:val="0"/>
      <w:marBottom w:val="0"/>
      <w:divBdr>
        <w:top w:val="none" w:sz="0" w:space="0" w:color="auto"/>
        <w:left w:val="none" w:sz="0" w:space="0" w:color="auto"/>
        <w:bottom w:val="none" w:sz="0" w:space="0" w:color="auto"/>
        <w:right w:val="none" w:sz="0" w:space="0" w:color="auto"/>
      </w:divBdr>
    </w:div>
    <w:div w:id="218513267">
      <w:bodyDiv w:val="1"/>
      <w:marLeft w:val="0"/>
      <w:marRight w:val="0"/>
      <w:marTop w:val="0"/>
      <w:marBottom w:val="0"/>
      <w:divBdr>
        <w:top w:val="none" w:sz="0" w:space="0" w:color="auto"/>
        <w:left w:val="none" w:sz="0" w:space="0" w:color="auto"/>
        <w:bottom w:val="none" w:sz="0" w:space="0" w:color="auto"/>
        <w:right w:val="none" w:sz="0" w:space="0" w:color="auto"/>
      </w:divBdr>
    </w:div>
    <w:div w:id="218826896">
      <w:bodyDiv w:val="1"/>
      <w:marLeft w:val="0"/>
      <w:marRight w:val="0"/>
      <w:marTop w:val="0"/>
      <w:marBottom w:val="0"/>
      <w:divBdr>
        <w:top w:val="none" w:sz="0" w:space="0" w:color="auto"/>
        <w:left w:val="none" w:sz="0" w:space="0" w:color="auto"/>
        <w:bottom w:val="none" w:sz="0" w:space="0" w:color="auto"/>
        <w:right w:val="none" w:sz="0" w:space="0" w:color="auto"/>
      </w:divBdr>
    </w:div>
    <w:div w:id="219446309">
      <w:bodyDiv w:val="1"/>
      <w:marLeft w:val="0"/>
      <w:marRight w:val="0"/>
      <w:marTop w:val="0"/>
      <w:marBottom w:val="0"/>
      <w:divBdr>
        <w:top w:val="none" w:sz="0" w:space="0" w:color="auto"/>
        <w:left w:val="none" w:sz="0" w:space="0" w:color="auto"/>
        <w:bottom w:val="none" w:sz="0" w:space="0" w:color="auto"/>
        <w:right w:val="none" w:sz="0" w:space="0" w:color="auto"/>
      </w:divBdr>
    </w:div>
    <w:div w:id="219945838">
      <w:bodyDiv w:val="1"/>
      <w:marLeft w:val="0"/>
      <w:marRight w:val="0"/>
      <w:marTop w:val="0"/>
      <w:marBottom w:val="0"/>
      <w:divBdr>
        <w:top w:val="none" w:sz="0" w:space="0" w:color="auto"/>
        <w:left w:val="none" w:sz="0" w:space="0" w:color="auto"/>
        <w:bottom w:val="none" w:sz="0" w:space="0" w:color="auto"/>
        <w:right w:val="none" w:sz="0" w:space="0" w:color="auto"/>
      </w:divBdr>
    </w:div>
    <w:div w:id="221141543">
      <w:bodyDiv w:val="1"/>
      <w:marLeft w:val="0"/>
      <w:marRight w:val="0"/>
      <w:marTop w:val="0"/>
      <w:marBottom w:val="0"/>
      <w:divBdr>
        <w:top w:val="none" w:sz="0" w:space="0" w:color="auto"/>
        <w:left w:val="none" w:sz="0" w:space="0" w:color="auto"/>
        <w:bottom w:val="none" w:sz="0" w:space="0" w:color="auto"/>
        <w:right w:val="none" w:sz="0" w:space="0" w:color="auto"/>
      </w:divBdr>
    </w:div>
    <w:div w:id="222105627">
      <w:bodyDiv w:val="1"/>
      <w:marLeft w:val="0"/>
      <w:marRight w:val="0"/>
      <w:marTop w:val="0"/>
      <w:marBottom w:val="0"/>
      <w:divBdr>
        <w:top w:val="none" w:sz="0" w:space="0" w:color="auto"/>
        <w:left w:val="none" w:sz="0" w:space="0" w:color="auto"/>
        <w:bottom w:val="none" w:sz="0" w:space="0" w:color="auto"/>
        <w:right w:val="none" w:sz="0" w:space="0" w:color="auto"/>
      </w:divBdr>
    </w:div>
    <w:div w:id="222642099">
      <w:bodyDiv w:val="1"/>
      <w:marLeft w:val="0"/>
      <w:marRight w:val="0"/>
      <w:marTop w:val="0"/>
      <w:marBottom w:val="0"/>
      <w:divBdr>
        <w:top w:val="none" w:sz="0" w:space="0" w:color="auto"/>
        <w:left w:val="none" w:sz="0" w:space="0" w:color="auto"/>
        <w:bottom w:val="none" w:sz="0" w:space="0" w:color="auto"/>
        <w:right w:val="none" w:sz="0" w:space="0" w:color="auto"/>
      </w:divBdr>
    </w:div>
    <w:div w:id="223682876">
      <w:bodyDiv w:val="1"/>
      <w:marLeft w:val="0"/>
      <w:marRight w:val="0"/>
      <w:marTop w:val="0"/>
      <w:marBottom w:val="0"/>
      <w:divBdr>
        <w:top w:val="none" w:sz="0" w:space="0" w:color="auto"/>
        <w:left w:val="none" w:sz="0" w:space="0" w:color="auto"/>
        <w:bottom w:val="none" w:sz="0" w:space="0" w:color="auto"/>
        <w:right w:val="none" w:sz="0" w:space="0" w:color="auto"/>
      </w:divBdr>
    </w:div>
    <w:div w:id="223756043">
      <w:bodyDiv w:val="1"/>
      <w:marLeft w:val="0"/>
      <w:marRight w:val="0"/>
      <w:marTop w:val="0"/>
      <w:marBottom w:val="0"/>
      <w:divBdr>
        <w:top w:val="none" w:sz="0" w:space="0" w:color="auto"/>
        <w:left w:val="none" w:sz="0" w:space="0" w:color="auto"/>
        <w:bottom w:val="none" w:sz="0" w:space="0" w:color="auto"/>
        <w:right w:val="none" w:sz="0" w:space="0" w:color="auto"/>
      </w:divBdr>
    </w:div>
    <w:div w:id="224029182">
      <w:bodyDiv w:val="1"/>
      <w:marLeft w:val="0"/>
      <w:marRight w:val="0"/>
      <w:marTop w:val="0"/>
      <w:marBottom w:val="0"/>
      <w:divBdr>
        <w:top w:val="none" w:sz="0" w:space="0" w:color="auto"/>
        <w:left w:val="none" w:sz="0" w:space="0" w:color="auto"/>
        <w:bottom w:val="none" w:sz="0" w:space="0" w:color="auto"/>
        <w:right w:val="none" w:sz="0" w:space="0" w:color="auto"/>
      </w:divBdr>
    </w:div>
    <w:div w:id="224266601">
      <w:bodyDiv w:val="1"/>
      <w:marLeft w:val="0"/>
      <w:marRight w:val="0"/>
      <w:marTop w:val="0"/>
      <w:marBottom w:val="0"/>
      <w:divBdr>
        <w:top w:val="none" w:sz="0" w:space="0" w:color="auto"/>
        <w:left w:val="none" w:sz="0" w:space="0" w:color="auto"/>
        <w:bottom w:val="none" w:sz="0" w:space="0" w:color="auto"/>
        <w:right w:val="none" w:sz="0" w:space="0" w:color="auto"/>
      </w:divBdr>
    </w:div>
    <w:div w:id="224269243">
      <w:bodyDiv w:val="1"/>
      <w:marLeft w:val="0"/>
      <w:marRight w:val="0"/>
      <w:marTop w:val="0"/>
      <w:marBottom w:val="0"/>
      <w:divBdr>
        <w:top w:val="none" w:sz="0" w:space="0" w:color="auto"/>
        <w:left w:val="none" w:sz="0" w:space="0" w:color="auto"/>
        <w:bottom w:val="none" w:sz="0" w:space="0" w:color="auto"/>
        <w:right w:val="none" w:sz="0" w:space="0" w:color="auto"/>
      </w:divBdr>
    </w:div>
    <w:div w:id="224296479">
      <w:bodyDiv w:val="1"/>
      <w:marLeft w:val="0"/>
      <w:marRight w:val="0"/>
      <w:marTop w:val="0"/>
      <w:marBottom w:val="0"/>
      <w:divBdr>
        <w:top w:val="none" w:sz="0" w:space="0" w:color="auto"/>
        <w:left w:val="none" w:sz="0" w:space="0" w:color="auto"/>
        <w:bottom w:val="none" w:sz="0" w:space="0" w:color="auto"/>
        <w:right w:val="none" w:sz="0" w:space="0" w:color="auto"/>
      </w:divBdr>
    </w:div>
    <w:div w:id="224684793">
      <w:bodyDiv w:val="1"/>
      <w:marLeft w:val="0"/>
      <w:marRight w:val="0"/>
      <w:marTop w:val="0"/>
      <w:marBottom w:val="0"/>
      <w:divBdr>
        <w:top w:val="none" w:sz="0" w:space="0" w:color="auto"/>
        <w:left w:val="none" w:sz="0" w:space="0" w:color="auto"/>
        <w:bottom w:val="none" w:sz="0" w:space="0" w:color="auto"/>
        <w:right w:val="none" w:sz="0" w:space="0" w:color="auto"/>
      </w:divBdr>
    </w:div>
    <w:div w:id="225579981">
      <w:bodyDiv w:val="1"/>
      <w:marLeft w:val="0"/>
      <w:marRight w:val="0"/>
      <w:marTop w:val="0"/>
      <w:marBottom w:val="0"/>
      <w:divBdr>
        <w:top w:val="none" w:sz="0" w:space="0" w:color="auto"/>
        <w:left w:val="none" w:sz="0" w:space="0" w:color="auto"/>
        <w:bottom w:val="none" w:sz="0" w:space="0" w:color="auto"/>
        <w:right w:val="none" w:sz="0" w:space="0" w:color="auto"/>
      </w:divBdr>
    </w:div>
    <w:div w:id="225652834">
      <w:bodyDiv w:val="1"/>
      <w:marLeft w:val="0"/>
      <w:marRight w:val="0"/>
      <w:marTop w:val="0"/>
      <w:marBottom w:val="0"/>
      <w:divBdr>
        <w:top w:val="none" w:sz="0" w:space="0" w:color="auto"/>
        <w:left w:val="none" w:sz="0" w:space="0" w:color="auto"/>
        <w:bottom w:val="none" w:sz="0" w:space="0" w:color="auto"/>
        <w:right w:val="none" w:sz="0" w:space="0" w:color="auto"/>
      </w:divBdr>
    </w:div>
    <w:div w:id="226232502">
      <w:bodyDiv w:val="1"/>
      <w:marLeft w:val="0"/>
      <w:marRight w:val="0"/>
      <w:marTop w:val="0"/>
      <w:marBottom w:val="0"/>
      <w:divBdr>
        <w:top w:val="none" w:sz="0" w:space="0" w:color="auto"/>
        <w:left w:val="none" w:sz="0" w:space="0" w:color="auto"/>
        <w:bottom w:val="none" w:sz="0" w:space="0" w:color="auto"/>
        <w:right w:val="none" w:sz="0" w:space="0" w:color="auto"/>
      </w:divBdr>
    </w:div>
    <w:div w:id="226261427">
      <w:bodyDiv w:val="1"/>
      <w:marLeft w:val="0"/>
      <w:marRight w:val="0"/>
      <w:marTop w:val="0"/>
      <w:marBottom w:val="0"/>
      <w:divBdr>
        <w:top w:val="none" w:sz="0" w:space="0" w:color="auto"/>
        <w:left w:val="none" w:sz="0" w:space="0" w:color="auto"/>
        <w:bottom w:val="none" w:sz="0" w:space="0" w:color="auto"/>
        <w:right w:val="none" w:sz="0" w:space="0" w:color="auto"/>
      </w:divBdr>
    </w:div>
    <w:div w:id="227349827">
      <w:bodyDiv w:val="1"/>
      <w:marLeft w:val="0"/>
      <w:marRight w:val="0"/>
      <w:marTop w:val="0"/>
      <w:marBottom w:val="0"/>
      <w:divBdr>
        <w:top w:val="none" w:sz="0" w:space="0" w:color="auto"/>
        <w:left w:val="none" w:sz="0" w:space="0" w:color="auto"/>
        <w:bottom w:val="none" w:sz="0" w:space="0" w:color="auto"/>
        <w:right w:val="none" w:sz="0" w:space="0" w:color="auto"/>
      </w:divBdr>
    </w:div>
    <w:div w:id="228275427">
      <w:bodyDiv w:val="1"/>
      <w:marLeft w:val="0"/>
      <w:marRight w:val="0"/>
      <w:marTop w:val="0"/>
      <w:marBottom w:val="0"/>
      <w:divBdr>
        <w:top w:val="none" w:sz="0" w:space="0" w:color="auto"/>
        <w:left w:val="none" w:sz="0" w:space="0" w:color="auto"/>
        <w:bottom w:val="none" w:sz="0" w:space="0" w:color="auto"/>
        <w:right w:val="none" w:sz="0" w:space="0" w:color="auto"/>
      </w:divBdr>
    </w:div>
    <w:div w:id="228536958">
      <w:bodyDiv w:val="1"/>
      <w:marLeft w:val="0"/>
      <w:marRight w:val="0"/>
      <w:marTop w:val="0"/>
      <w:marBottom w:val="0"/>
      <w:divBdr>
        <w:top w:val="none" w:sz="0" w:space="0" w:color="auto"/>
        <w:left w:val="none" w:sz="0" w:space="0" w:color="auto"/>
        <w:bottom w:val="none" w:sz="0" w:space="0" w:color="auto"/>
        <w:right w:val="none" w:sz="0" w:space="0" w:color="auto"/>
      </w:divBdr>
    </w:div>
    <w:div w:id="228544419">
      <w:bodyDiv w:val="1"/>
      <w:marLeft w:val="0"/>
      <w:marRight w:val="0"/>
      <w:marTop w:val="0"/>
      <w:marBottom w:val="0"/>
      <w:divBdr>
        <w:top w:val="none" w:sz="0" w:space="0" w:color="auto"/>
        <w:left w:val="none" w:sz="0" w:space="0" w:color="auto"/>
        <w:bottom w:val="none" w:sz="0" w:space="0" w:color="auto"/>
        <w:right w:val="none" w:sz="0" w:space="0" w:color="auto"/>
      </w:divBdr>
    </w:div>
    <w:div w:id="229970267">
      <w:bodyDiv w:val="1"/>
      <w:marLeft w:val="0"/>
      <w:marRight w:val="0"/>
      <w:marTop w:val="0"/>
      <w:marBottom w:val="0"/>
      <w:divBdr>
        <w:top w:val="none" w:sz="0" w:space="0" w:color="auto"/>
        <w:left w:val="none" w:sz="0" w:space="0" w:color="auto"/>
        <w:bottom w:val="none" w:sz="0" w:space="0" w:color="auto"/>
        <w:right w:val="none" w:sz="0" w:space="0" w:color="auto"/>
      </w:divBdr>
    </w:div>
    <w:div w:id="230581863">
      <w:bodyDiv w:val="1"/>
      <w:marLeft w:val="0"/>
      <w:marRight w:val="0"/>
      <w:marTop w:val="0"/>
      <w:marBottom w:val="0"/>
      <w:divBdr>
        <w:top w:val="none" w:sz="0" w:space="0" w:color="auto"/>
        <w:left w:val="none" w:sz="0" w:space="0" w:color="auto"/>
        <w:bottom w:val="none" w:sz="0" w:space="0" w:color="auto"/>
        <w:right w:val="none" w:sz="0" w:space="0" w:color="auto"/>
      </w:divBdr>
    </w:div>
    <w:div w:id="230887724">
      <w:bodyDiv w:val="1"/>
      <w:marLeft w:val="0"/>
      <w:marRight w:val="0"/>
      <w:marTop w:val="0"/>
      <w:marBottom w:val="0"/>
      <w:divBdr>
        <w:top w:val="none" w:sz="0" w:space="0" w:color="auto"/>
        <w:left w:val="none" w:sz="0" w:space="0" w:color="auto"/>
        <w:bottom w:val="none" w:sz="0" w:space="0" w:color="auto"/>
        <w:right w:val="none" w:sz="0" w:space="0" w:color="auto"/>
      </w:divBdr>
    </w:div>
    <w:div w:id="230887941">
      <w:bodyDiv w:val="1"/>
      <w:marLeft w:val="0"/>
      <w:marRight w:val="0"/>
      <w:marTop w:val="0"/>
      <w:marBottom w:val="0"/>
      <w:divBdr>
        <w:top w:val="none" w:sz="0" w:space="0" w:color="auto"/>
        <w:left w:val="none" w:sz="0" w:space="0" w:color="auto"/>
        <w:bottom w:val="none" w:sz="0" w:space="0" w:color="auto"/>
        <w:right w:val="none" w:sz="0" w:space="0" w:color="auto"/>
      </w:divBdr>
    </w:div>
    <w:div w:id="230963444">
      <w:bodyDiv w:val="1"/>
      <w:marLeft w:val="0"/>
      <w:marRight w:val="0"/>
      <w:marTop w:val="0"/>
      <w:marBottom w:val="0"/>
      <w:divBdr>
        <w:top w:val="none" w:sz="0" w:space="0" w:color="auto"/>
        <w:left w:val="none" w:sz="0" w:space="0" w:color="auto"/>
        <w:bottom w:val="none" w:sz="0" w:space="0" w:color="auto"/>
        <w:right w:val="none" w:sz="0" w:space="0" w:color="auto"/>
      </w:divBdr>
    </w:div>
    <w:div w:id="231082545">
      <w:bodyDiv w:val="1"/>
      <w:marLeft w:val="0"/>
      <w:marRight w:val="0"/>
      <w:marTop w:val="0"/>
      <w:marBottom w:val="0"/>
      <w:divBdr>
        <w:top w:val="none" w:sz="0" w:space="0" w:color="auto"/>
        <w:left w:val="none" w:sz="0" w:space="0" w:color="auto"/>
        <w:bottom w:val="none" w:sz="0" w:space="0" w:color="auto"/>
        <w:right w:val="none" w:sz="0" w:space="0" w:color="auto"/>
      </w:divBdr>
    </w:div>
    <w:div w:id="231359263">
      <w:bodyDiv w:val="1"/>
      <w:marLeft w:val="0"/>
      <w:marRight w:val="0"/>
      <w:marTop w:val="0"/>
      <w:marBottom w:val="0"/>
      <w:divBdr>
        <w:top w:val="none" w:sz="0" w:space="0" w:color="auto"/>
        <w:left w:val="none" w:sz="0" w:space="0" w:color="auto"/>
        <w:bottom w:val="none" w:sz="0" w:space="0" w:color="auto"/>
        <w:right w:val="none" w:sz="0" w:space="0" w:color="auto"/>
      </w:divBdr>
    </w:div>
    <w:div w:id="232547241">
      <w:bodyDiv w:val="1"/>
      <w:marLeft w:val="0"/>
      <w:marRight w:val="0"/>
      <w:marTop w:val="0"/>
      <w:marBottom w:val="0"/>
      <w:divBdr>
        <w:top w:val="none" w:sz="0" w:space="0" w:color="auto"/>
        <w:left w:val="none" w:sz="0" w:space="0" w:color="auto"/>
        <w:bottom w:val="none" w:sz="0" w:space="0" w:color="auto"/>
        <w:right w:val="none" w:sz="0" w:space="0" w:color="auto"/>
      </w:divBdr>
    </w:div>
    <w:div w:id="232933071">
      <w:bodyDiv w:val="1"/>
      <w:marLeft w:val="0"/>
      <w:marRight w:val="0"/>
      <w:marTop w:val="0"/>
      <w:marBottom w:val="0"/>
      <w:divBdr>
        <w:top w:val="none" w:sz="0" w:space="0" w:color="auto"/>
        <w:left w:val="none" w:sz="0" w:space="0" w:color="auto"/>
        <w:bottom w:val="none" w:sz="0" w:space="0" w:color="auto"/>
        <w:right w:val="none" w:sz="0" w:space="0" w:color="auto"/>
      </w:divBdr>
    </w:div>
    <w:div w:id="233244684">
      <w:bodyDiv w:val="1"/>
      <w:marLeft w:val="0"/>
      <w:marRight w:val="0"/>
      <w:marTop w:val="0"/>
      <w:marBottom w:val="0"/>
      <w:divBdr>
        <w:top w:val="none" w:sz="0" w:space="0" w:color="auto"/>
        <w:left w:val="none" w:sz="0" w:space="0" w:color="auto"/>
        <w:bottom w:val="none" w:sz="0" w:space="0" w:color="auto"/>
        <w:right w:val="none" w:sz="0" w:space="0" w:color="auto"/>
      </w:divBdr>
    </w:div>
    <w:div w:id="234122590">
      <w:bodyDiv w:val="1"/>
      <w:marLeft w:val="0"/>
      <w:marRight w:val="0"/>
      <w:marTop w:val="0"/>
      <w:marBottom w:val="0"/>
      <w:divBdr>
        <w:top w:val="none" w:sz="0" w:space="0" w:color="auto"/>
        <w:left w:val="none" w:sz="0" w:space="0" w:color="auto"/>
        <w:bottom w:val="none" w:sz="0" w:space="0" w:color="auto"/>
        <w:right w:val="none" w:sz="0" w:space="0" w:color="auto"/>
      </w:divBdr>
    </w:div>
    <w:div w:id="234440152">
      <w:bodyDiv w:val="1"/>
      <w:marLeft w:val="0"/>
      <w:marRight w:val="0"/>
      <w:marTop w:val="0"/>
      <w:marBottom w:val="0"/>
      <w:divBdr>
        <w:top w:val="none" w:sz="0" w:space="0" w:color="auto"/>
        <w:left w:val="none" w:sz="0" w:space="0" w:color="auto"/>
        <w:bottom w:val="none" w:sz="0" w:space="0" w:color="auto"/>
        <w:right w:val="none" w:sz="0" w:space="0" w:color="auto"/>
      </w:divBdr>
    </w:div>
    <w:div w:id="236717985">
      <w:bodyDiv w:val="1"/>
      <w:marLeft w:val="0"/>
      <w:marRight w:val="0"/>
      <w:marTop w:val="0"/>
      <w:marBottom w:val="0"/>
      <w:divBdr>
        <w:top w:val="none" w:sz="0" w:space="0" w:color="auto"/>
        <w:left w:val="none" w:sz="0" w:space="0" w:color="auto"/>
        <w:bottom w:val="none" w:sz="0" w:space="0" w:color="auto"/>
        <w:right w:val="none" w:sz="0" w:space="0" w:color="auto"/>
      </w:divBdr>
    </w:div>
    <w:div w:id="237179156">
      <w:bodyDiv w:val="1"/>
      <w:marLeft w:val="0"/>
      <w:marRight w:val="0"/>
      <w:marTop w:val="0"/>
      <w:marBottom w:val="0"/>
      <w:divBdr>
        <w:top w:val="none" w:sz="0" w:space="0" w:color="auto"/>
        <w:left w:val="none" w:sz="0" w:space="0" w:color="auto"/>
        <w:bottom w:val="none" w:sz="0" w:space="0" w:color="auto"/>
        <w:right w:val="none" w:sz="0" w:space="0" w:color="auto"/>
      </w:divBdr>
    </w:div>
    <w:div w:id="237516185">
      <w:bodyDiv w:val="1"/>
      <w:marLeft w:val="0"/>
      <w:marRight w:val="0"/>
      <w:marTop w:val="0"/>
      <w:marBottom w:val="0"/>
      <w:divBdr>
        <w:top w:val="none" w:sz="0" w:space="0" w:color="auto"/>
        <w:left w:val="none" w:sz="0" w:space="0" w:color="auto"/>
        <w:bottom w:val="none" w:sz="0" w:space="0" w:color="auto"/>
        <w:right w:val="none" w:sz="0" w:space="0" w:color="auto"/>
      </w:divBdr>
    </w:div>
    <w:div w:id="238057278">
      <w:bodyDiv w:val="1"/>
      <w:marLeft w:val="0"/>
      <w:marRight w:val="0"/>
      <w:marTop w:val="0"/>
      <w:marBottom w:val="0"/>
      <w:divBdr>
        <w:top w:val="none" w:sz="0" w:space="0" w:color="auto"/>
        <w:left w:val="none" w:sz="0" w:space="0" w:color="auto"/>
        <w:bottom w:val="none" w:sz="0" w:space="0" w:color="auto"/>
        <w:right w:val="none" w:sz="0" w:space="0" w:color="auto"/>
      </w:divBdr>
    </w:div>
    <w:div w:id="239679029">
      <w:bodyDiv w:val="1"/>
      <w:marLeft w:val="0"/>
      <w:marRight w:val="0"/>
      <w:marTop w:val="0"/>
      <w:marBottom w:val="0"/>
      <w:divBdr>
        <w:top w:val="none" w:sz="0" w:space="0" w:color="auto"/>
        <w:left w:val="none" w:sz="0" w:space="0" w:color="auto"/>
        <w:bottom w:val="none" w:sz="0" w:space="0" w:color="auto"/>
        <w:right w:val="none" w:sz="0" w:space="0" w:color="auto"/>
      </w:divBdr>
    </w:div>
    <w:div w:id="240530859">
      <w:bodyDiv w:val="1"/>
      <w:marLeft w:val="0"/>
      <w:marRight w:val="0"/>
      <w:marTop w:val="0"/>
      <w:marBottom w:val="0"/>
      <w:divBdr>
        <w:top w:val="none" w:sz="0" w:space="0" w:color="auto"/>
        <w:left w:val="none" w:sz="0" w:space="0" w:color="auto"/>
        <w:bottom w:val="none" w:sz="0" w:space="0" w:color="auto"/>
        <w:right w:val="none" w:sz="0" w:space="0" w:color="auto"/>
      </w:divBdr>
    </w:div>
    <w:div w:id="241523303">
      <w:bodyDiv w:val="1"/>
      <w:marLeft w:val="0"/>
      <w:marRight w:val="0"/>
      <w:marTop w:val="0"/>
      <w:marBottom w:val="0"/>
      <w:divBdr>
        <w:top w:val="none" w:sz="0" w:space="0" w:color="auto"/>
        <w:left w:val="none" w:sz="0" w:space="0" w:color="auto"/>
        <w:bottom w:val="none" w:sz="0" w:space="0" w:color="auto"/>
        <w:right w:val="none" w:sz="0" w:space="0" w:color="auto"/>
      </w:divBdr>
    </w:div>
    <w:div w:id="241986616">
      <w:bodyDiv w:val="1"/>
      <w:marLeft w:val="0"/>
      <w:marRight w:val="0"/>
      <w:marTop w:val="0"/>
      <w:marBottom w:val="0"/>
      <w:divBdr>
        <w:top w:val="none" w:sz="0" w:space="0" w:color="auto"/>
        <w:left w:val="none" w:sz="0" w:space="0" w:color="auto"/>
        <w:bottom w:val="none" w:sz="0" w:space="0" w:color="auto"/>
        <w:right w:val="none" w:sz="0" w:space="0" w:color="auto"/>
      </w:divBdr>
    </w:div>
    <w:div w:id="243999296">
      <w:bodyDiv w:val="1"/>
      <w:marLeft w:val="0"/>
      <w:marRight w:val="0"/>
      <w:marTop w:val="0"/>
      <w:marBottom w:val="0"/>
      <w:divBdr>
        <w:top w:val="none" w:sz="0" w:space="0" w:color="auto"/>
        <w:left w:val="none" w:sz="0" w:space="0" w:color="auto"/>
        <w:bottom w:val="none" w:sz="0" w:space="0" w:color="auto"/>
        <w:right w:val="none" w:sz="0" w:space="0" w:color="auto"/>
      </w:divBdr>
    </w:div>
    <w:div w:id="244653898">
      <w:bodyDiv w:val="1"/>
      <w:marLeft w:val="0"/>
      <w:marRight w:val="0"/>
      <w:marTop w:val="0"/>
      <w:marBottom w:val="0"/>
      <w:divBdr>
        <w:top w:val="none" w:sz="0" w:space="0" w:color="auto"/>
        <w:left w:val="none" w:sz="0" w:space="0" w:color="auto"/>
        <w:bottom w:val="none" w:sz="0" w:space="0" w:color="auto"/>
        <w:right w:val="none" w:sz="0" w:space="0" w:color="auto"/>
      </w:divBdr>
    </w:div>
    <w:div w:id="245186038">
      <w:bodyDiv w:val="1"/>
      <w:marLeft w:val="0"/>
      <w:marRight w:val="0"/>
      <w:marTop w:val="0"/>
      <w:marBottom w:val="0"/>
      <w:divBdr>
        <w:top w:val="none" w:sz="0" w:space="0" w:color="auto"/>
        <w:left w:val="none" w:sz="0" w:space="0" w:color="auto"/>
        <w:bottom w:val="none" w:sz="0" w:space="0" w:color="auto"/>
        <w:right w:val="none" w:sz="0" w:space="0" w:color="auto"/>
      </w:divBdr>
    </w:div>
    <w:div w:id="245581771">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46812062">
      <w:bodyDiv w:val="1"/>
      <w:marLeft w:val="0"/>
      <w:marRight w:val="0"/>
      <w:marTop w:val="0"/>
      <w:marBottom w:val="0"/>
      <w:divBdr>
        <w:top w:val="none" w:sz="0" w:space="0" w:color="auto"/>
        <w:left w:val="none" w:sz="0" w:space="0" w:color="auto"/>
        <w:bottom w:val="none" w:sz="0" w:space="0" w:color="auto"/>
        <w:right w:val="none" w:sz="0" w:space="0" w:color="auto"/>
      </w:divBdr>
    </w:div>
    <w:div w:id="248469475">
      <w:bodyDiv w:val="1"/>
      <w:marLeft w:val="0"/>
      <w:marRight w:val="0"/>
      <w:marTop w:val="0"/>
      <w:marBottom w:val="0"/>
      <w:divBdr>
        <w:top w:val="none" w:sz="0" w:space="0" w:color="auto"/>
        <w:left w:val="none" w:sz="0" w:space="0" w:color="auto"/>
        <w:bottom w:val="none" w:sz="0" w:space="0" w:color="auto"/>
        <w:right w:val="none" w:sz="0" w:space="0" w:color="auto"/>
      </w:divBdr>
    </w:div>
    <w:div w:id="249317597">
      <w:bodyDiv w:val="1"/>
      <w:marLeft w:val="0"/>
      <w:marRight w:val="0"/>
      <w:marTop w:val="0"/>
      <w:marBottom w:val="0"/>
      <w:divBdr>
        <w:top w:val="none" w:sz="0" w:space="0" w:color="auto"/>
        <w:left w:val="none" w:sz="0" w:space="0" w:color="auto"/>
        <w:bottom w:val="none" w:sz="0" w:space="0" w:color="auto"/>
        <w:right w:val="none" w:sz="0" w:space="0" w:color="auto"/>
      </w:divBdr>
    </w:div>
    <w:div w:id="250817288">
      <w:bodyDiv w:val="1"/>
      <w:marLeft w:val="0"/>
      <w:marRight w:val="0"/>
      <w:marTop w:val="0"/>
      <w:marBottom w:val="0"/>
      <w:divBdr>
        <w:top w:val="none" w:sz="0" w:space="0" w:color="auto"/>
        <w:left w:val="none" w:sz="0" w:space="0" w:color="auto"/>
        <w:bottom w:val="none" w:sz="0" w:space="0" w:color="auto"/>
        <w:right w:val="none" w:sz="0" w:space="0" w:color="auto"/>
      </w:divBdr>
    </w:div>
    <w:div w:id="251014237">
      <w:bodyDiv w:val="1"/>
      <w:marLeft w:val="0"/>
      <w:marRight w:val="0"/>
      <w:marTop w:val="0"/>
      <w:marBottom w:val="0"/>
      <w:divBdr>
        <w:top w:val="none" w:sz="0" w:space="0" w:color="auto"/>
        <w:left w:val="none" w:sz="0" w:space="0" w:color="auto"/>
        <w:bottom w:val="none" w:sz="0" w:space="0" w:color="auto"/>
        <w:right w:val="none" w:sz="0" w:space="0" w:color="auto"/>
      </w:divBdr>
    </w:div>
    <w:div w:id="251281980">
      <w:bodyDiv w:val="1"/>
      <w:marLeft w:val="0"/>
      <w:marRight w:val="0"/>
      <w:marTop w:val="0"/>
      <w:marBottom w:val="0"/>
      <w:divBdr>
        <w:top w:val="none" w:sz="0" w:space="0" w:color="auto"/>
        <w:left w:val="none" w:sz="0" w:space="0" w:color="auto"/>
        <w:bottom w:val="none" w:sz="0" w:space="0" w:color="auto"/>
        <w:right w:val="none" w:sz="0" w:space="0" w:color="auto"/>
      </w:divBdr>
    </w:div>
    <w:div w:id="251624638">
      <w:bodyDiv w:val="1"/>
      <w:marLeft w:val="0"/>
      <w:marRight w:val="0"/>
      <w:marTop w:val="0"/>
      <w:marBottom w:val="0"/>
      <w:divBdr>
        <w:top w:val="none" w:sz="0" w:space="0" w:color="auto"/>
        <w:left w:val="none" w:sz="0" w:space="0" w:color="auto"/>
        <w:bottom w:val="none" w:sz="0" w:space="0" w:color="auto"/>
        <w:right w:val="none" w:sz="0" w:space="0" w:color="auto"/>
      </w:divBdr>
    </w:div>
    <w:div w:id="251859356">
      <w:bodyDiv w:val="1"/>
      <w:marLeft w:val="0"/>
      <w:marRight w:val="0"/>
      <w:marTop w:val="0"/>
      <w:marBottom w:val="0"/>
      <w:divBdr>
        <w:top w:val="none" w:sz="0" w:space="0" w:color="auto"/>
        <w:left w:val="none" w:sz="0" w:space="0" w:color="auto"/>
        <w:bottom w:val="none" w:sz="0" w:space="0" w:color="auto"/>
        <w:right w:val="none" w:sz="0" w:space="0" w:color="auto"/>
      </w:divBdr>
    </w:div>
    <w:div w:id="252865055">
      <w:bodyDiv w:val="1"/>
      <w:marLeft w:val="0"/>
      <w:marRight w:val="0"/>
      <w:marTop w:val="0"/>
      <w:marBottom w:val="0"/>
      <w:divBdr>
        <w:top w:val="none" w:sz="0" w:space="0" w:color="auto"/>
        <w:left w:val="none" w:sz="0" w:space="0" w:color="auto"/>
        <w:bottom w:val="none" w:sz="0" w:space="0" w:color="auto"/>
        <w:right w:val="none" w:sz="0" w:space="0" w:color="auto"/>
      </w:divBdr>
    </w:div>
    <w:div w:id="253052819">
      <w:bodyDiv w:val="1"/>
      <w:marLeft w:val="0"/>
      <w:marRight w:val="0"/>
      <w:marTop w:val="0"/>
      <w:marBottom w:val="0"/>
      <w:divBdr>
        <w:top w:val="none" w:sz="0" w:space="0" w:color="auto"/>
        <w:left w:val="none" w:sz="0" w:space="0" w:color="auto"/>
        <w:bottom w:val="none" w:sz="0" w:space="0" w:color="auto"/>
        <w:right w:val="none" w:sz="0" w:space="0" w:color="auto"/>
      </w:divBdr>
    </w:div>
    <w:div w:id="253591020">
      <w:bodyDiv w:val="1"/>
      <w:marLeft w:val="0"/>
      <w:marRight w:val="0"/>
      <w:marTop w:val="0"/>
      <w:marBottom w:val="0"/>
      <w:divBdr>
        <w:top w:val="none" w:sz="0" w:space="0" w:color="auto"/>
        <w:left w:val="none" w:sz="0" w:space="0" w:color="auto"/>
        <w:bottom w:val="none" w:sz="0" w:space="0" w:color="auto"/>
        <w:right w:val="none" w:sz="0" w:space="0" w:color="auto"/>
      </w:divBdr>
    </w:div>
    <w:div w:id="254749115">
      <w:bodyDiv w:val="1"/>
      <w:marLeft w:val="0"/>
      <w:marRight w:val="0"/>
      <w:marTop w:val="0"/>
      <w:marBottom w:val="0"/>
      <w:divBdr>
        <w:top w:val="none" w:sz="0" w:space="0" w:color="auto"/>
        <w:left w:val="none" w:sz="0" w:space="0" w:color="auto"/>
        <w:bottom w:val="none" w:sz="0" w:space="0" w:color="auto"/>
        <w:right w:val="none" w:sz="0" w:space="0" w:color="auto"/>
      </w:divBdr>
    </w:div>
    <w:div w:id="254751013">
      <w:bodyDiv w:val="1"/>
      <w:marLeft w:val="0"/>
      <w:marRight w:val="0"/>
      <w:marTop w:val="0"/>
      <w:marBottom w:val="0"/>
      <w:divBdr>
        <w:top w:val="none" w:sz="0" w:space="0" w:color="auto"/>
        <w:left w:val="none" w:sz="0" w:space="0" w:color="auto"/>
        <w:bottom w:val="none" w:sz="0" w:space="0" w:color="auto"/>
        <w:right w:val="none" w:sz="0" w:space="0" w:color="auto"/>
      </w:divBdr>
    </w:div>
    <w:div w:id="254829476">
      <w:bodyDiv w:val="1"/>
      <w:marLeft w:val="0"/>
      <w:marRight w:val="0"/>
      <w:marTop w:val="0"/>
      <w:marBottom w:val="0"/>
      <w:divBdr>
        <w:top w:val="none" w:sz="0" w:space="0" w:color="auto"/>
        <w:left w:val="none" w:sz="0" w:space="0" w:color="auto"/>
        <w:bottom w:val="none" w:sz="0" w:space="0" w:color="auto"/>
        <w:right w:val="none" w:sz="0" w:space="0" w:color="auto"/>
      </w:divBdr>
    </w:div>
    <w:div w:id="254948053">
      <w:bodyDiv w:val="1"/>
      <w:marLeft w:val="0"/>
      <w:marRight w:val="0"/>
      <w:marTop w:val="0"/>
      <w:marBottom w:val="0"/>
      <w:divBdr>
        <w:top w:val="none" w:sz="0" w:space="0" w:color="auto"/>
        <w:left w:val="none" w:sz="0" w:space="0" w:color="auto"/>
        <w:bottom w:val="none" w:sz="0" w:space="0" w:color="auto"/>
        <w:right w:val="none" w:sz="0" w:space="0" w:color="auto"/>
      </w:divBdr>
    </w:div>
    <w:div w:id="255411012">
      <w:bodyDiv w:val="1"/>
      <w:marLeft w:val="0"/>
      <w:marRight w:val="0"/>
      <w:marTop w:val="0"/>
      <w:marBottom w:val="0"/>
      <w:divBdr>
        <w:top w:val="none" w:sz="0" w:space="0" w:color="auto"/>
        <w:left w:val="none" w:sz="0" w:space="0" w:color="auto"/>
        <w:bottom w:val="none" w:sz="0" w:space="0" w:color="auto"/>
        <w:right w:val="none" w:sz="0" w:space="0" w:color="auto"/>
      </w:divBdr>
    </w:div>
    <w:div w:id="258174231">
      <w:bodyDiv w:val="1"/>
      <w:marLeft w:val="0"/>
      <w:marRight w:val="0"/>
      <w:marTop w:val="0"/>
      <w:marBottom w:val="0"/>
      <w:divBdr>
        <w:top w:val="none" w:sz="0" w:space="0" w:color="auto"/>
        <w:left w:val="none" w:sz="0" w:space="0" w:color="auto"/>
        <w:bottom w:val="none" w:sz="0" w:space="0" w:color="auto"/>
        <w:right w:val="none" w:sz="0" w:space="0" w:color="auto"/>
      </w:divBdr>
    </w:div>
    <w:div w:id="258178316">
      <w:bodyDiv w:val="1"/>
      <w:marLeft w:val="0"/>
      <w:marRight w:val="0"/>
      <w:marTop w:val="0"/>
      <w:marBottom w:val="0"/>
      <w:divBdr>
        <w:top w:val="none" w:sz="0" w:space="0" w:color="auto"/>
        <w:left w:val="none" w:sz="0" w:space="0" w:color="auto"/>
        <w:bottom w:val="none" w:sz="0" w:space="0" w:color="auto"/>
        <w:right w:val="none" w:sz="0" w:space="0" w:color="auto"/>
      </w:divBdr>
    </w:div>
    <w:div w:id="259610412">
      <w:bodyDiv w:val="1"/>
      <w:marLeft w:val="0"/>
      <w:marRight w:val="0"/>
      <w:marTop w:val="0"/>
      <w:marBottom w:val="0"/>
      <w:divBdr>
        <w:top w:val="none" w:sz="0" w:space="0" w:color="auto"/>
        <w:left w:val="none" w:sz="0" w:space="0" w:color="auto"/>
        <w:bottom w:val="none" w:sz="0" w:space="0" w:color="auto"/>
        <w:right w:val="none" w:sz="0" w:space="0" w:color="auto"/>
      </w:divBdr>
    </w:div>
    <w:div w:id="259720782">
      <w:bodyDiv w:val="1"/>
      <w:marLeft w:val="0"/>
      <w:marRight w:val="0"/>
      <w:marTop w:val="0"/>
      <w:marBottom w:val="0"/>
      <w:divBdr>
        <w:top w:val="none" w:sz="0" w:space="0" w:color="auto"/>
        <w:left w:val="none" w:sz="0" w:space="0" w:color="auto"/>
        <w:bottom w:val="none" w:sz="0" w:space="0" w:color="auto"/>
        <w:right w:val="none" w:sz="0" w:space="0" w:color="auto"/>
      </w:divBdr>
    </w:div>
    <w:div w:id="260651576">
      <w:bodyDiv w:val="1"/>
      <w:marLeft w:val="0"/>
      <w:marRight w:val="0"/>
      <w:marTop w:val="0"/>
      <w:marBottom w:val="0"/>
      <w:divBdr>
        <w:top w:val="none" w:sz="0" w:space="0" w:color="auto"/>
        <w:left w:val="none" w:sz="0" w:space="0" w:color="auto"/>
        <w:bottom w:val="none" w:sz="0" w:space="0" w:color="auto"/>
        <w:right w:val="none" w:sz="0" w:space="0" w:color="auto"/>
      </w:divBdr>
    </w:div>
    <w:div w:id="261306008">
      <w:bodyDiv w:val="1"/>
      <w:marLeft w:val="0"/>
      <w:marRight w:val="0"/>
      <w:marTop w:val="0"/>
      <w:marBottom w:val="0"/>
      <w:divBdr>
        <w:top w:val="none" w:sz="0" w:space="0" w:color="auto"/>
        <w:left w:val="none" w:sz="0" w:space="0" w:color="auto"/>
        <w:bottom w:val="none" w:sz="0" w:space="0" w:color="auto"/>
        <w:right w:val="none" w:sz="0" w:space="0" w:color="auto"/>
      </w:divBdr>
    </w:div>
    <w:div w:id="262762187">
      <w:bodyDiv w:val="1"/>
      <w:marLeft w:val="0"/>
      <w:marRight w:val="0"/>
      <w:marTop w:val="0"/>
      <w:marBottom w:val="0"/>
      <w:divBdr>
        <w:top w:val="none" w:sz="0" w:space="0" w:color="auto"/>
        <w:left w:val="none" w:sz="0" w:space="0" w:color="auto"/>
        <w:bottom w:val="none" w:sz="0" w:space="0" w:color="auto"/>
        <w:right w:val="none" w:sz="0" w:space="0" w:color="auto"/>
      </w:divBdr>
    </w:div>
    <w:div w:id="262765569">
      <w:bodyDiv w:val="1"/>
      <w:marLeft w:val="0"/>
      <w:marRight w:val="0"/>
      <w:marTop w:val="0"/>
      <w:marBottom w:val="0"/>
      <w:divBdr>
        <w:top w:val="none" w:sz="0" w:space="0" w:color="auto"/>
        <w:left w:val="none" w:sz="0" w:space="0" w:color="auto"/>
        <w:bottom w:val="none" w:sz="0" w:space="0" w:color="auto"/>
        <w:right w:val="none" w:sz="0" w:space="0" w:color="auto"/>
      </w:divBdr>
    </w:div>
    <w:div w:id="263537324">
      <w:bodyDiv w:val="1"/>
      <w:marLeft w:val="0"/>
      <w:marRight w:val="0"/>
      <w:marTop w:val="0"/>
      <w:marBottom w:val="0"/>
      <w:divBdr>
        <w:top w:val="none" w:sz="0" w:space="0" w:color="auto"/>
        <w:left w:val="none" w:sz="0" w:space="0" w:color="auto"/>
        <w:bottom w:val="none" w:sz="0" w:space="0" w:color="auto"/>
        <w:right w:val="none" w:sz="0" w:space="0" w:color="auto"/>
      </w:divBdr>
    </w:div>
    <w:div w:id="264700342">
      <w:bodyDiv w:val="1"/>
      <w:marLeft w:val="0"/>
      <w:marRight w:val="0"/>
      <w:marTop w:val="0"/>
      <w:marBottom w:val="0"/>
      <w:divBdr>
        <w:top w:val="none" w:sz="0" w:space="0" w:color="auto"/>
        <w:left w:val="none" w:sz="0" w:space="0" w:color="auto"/>
        <w:bottom w:val="none" w:sz="0" w:space="0" w:color="auto"/>
        <w:right w:val="none" w:sz="0" w:space="0" w:color="auto"/>
      </w:divBdr>
    </w:div>
    <w:div w:id="264847222">
      <w:bodyDiv w:val="1"/>
      <w:marLeft w:val="0"/>
      <w:marRight w:val="0"/>
      <w:marTop w:val="0"/>
      <w:marBottom w:val="0"/>
      <w:divBdr>
        <w:top w:val="none" w:sz="0" w:space="0" w:color="auto"/>
        <w:left w:val="none" w:sz="0" w:space="0" w:color="auto"/>
        <w:bottom w:val="none" w:sz="0" w:space="0" w:color="auto"/>
        <w:right w:val="none" w:sz="0" w:space="0" w:color="auto"/>
      </w:divBdr>
    </w:div>
    <w:div w:id="264925303">
      <w:bodyDiv w:val="1"/>
      <w:marLeft w:val="0"/>
      <w:marRight w:val="0"/>
      <w:marTop w:val="0"/>
      <w:marBottom w:val="0"/>
      <w:divBdr>
        <w:top w:val="none" w:sz="0" w:space="0" w:color="auto"/>
        <w:left w:val="none" w:sz="0" w:space="0" w:color="auto"/>
        <w:bottom w:val="none" w:sz="0" w:space="0" w:color="auto"/>
        <w:right w:val="none" w:sz="0" w:space="0" w:color="auto"/>
      </w:divBdr>
    </w:div>
    <w:div w:id="266815468">
      <w:bodyDiv w:val="1"/>
      <w:marLeft w:val="0"/>
      <w:marRight w:val="0"/>
      <w:marTop w:val="0"/>
      <w:marBottom w:val="0"/>
      <w:divBdr>
        <w:top w:val="none" w:sz="0" w:space="0" w:color="auto"/>
        <w:left w:val="none" w:sz="0" w:space="0" w:color="auto"/>
        <w:bottom w:val="none" w:sz="0" w:space="0" w:color="auto"/>
        <w:right w:val="none" w:sz="0" w:space="0" w:color="auto"/>
      </w:divBdr>
    </w:div>
    <w:div w:id="267348419">
      <w:bodyDiv w:val="1"/>
      <w:marLeft w:val="0"/>
      <w:marRight w:val="0"/>
      <w:marTop w:val="0"/>
      <w:marBottom w:val="0"/>
      <w:divBdr>
        <w:top w:val="none" w:sz="0" w:space="0" w:color="auto"/>
        <w:left w:val="none" w:sz="0" w:space="0" w:color="auto"/>
        <w:bottom w:val="none" w:sz="0" w:space="0" w:color="auto"/>
        <w:right w:val="none" w:sz="0" w:space="0" w:color="auto"/>
      </w:divBdr>
    </w:div>
    <w:div w:id="268048342">
      <w:bodyDiv w:val="1"/>
      <w:marLeft w:val="0"/>
      <w:marRight w:val="0"/>
      <w:marTop w:val="0"/>
      <w:marBottom w:val="0"/>
      <w:divBdr>
        <w:top w:val="none" w:sz="0" w:space="0" w:color="auto"/>
        <w:left w:val="none" w:sz="0" w:space="0" w:color="auto"/>
        <w:bottom w:val="none" w:sz="0" w:space="0" w:color="auto"/>
        <w:right w:val="none" w:sz="0" w:space="0" w:color="auto"/>
      </w:divBdr>
    </w:div>
    <w:div w:id="268241920">
      <w:bodyDiv w:val="1"/>
      <w:marLeft w:val="0"/>
      <w:marRight w:val="0"/>
      <w:marTop w:val="0"/>
      <w:marBottom w:val="0"/>
      <w:divBdr>
        <w:top w:val="none" w:sz="0" w:space="0" w:color="auto"/>
        <w:left w:val="none" w:sz="0" w:space="0" w:color="auto"/>
        <w:bottom w:val="none" w:sz="0" w:space="0" w:color="auto"/>
        <w:right w:val="none" w:sz="0" w:space="0" w:color="auto"/>
      </w:divBdr>
    </w:div>
    <w:div w:id="268703803">
      <w:bodyDiv w:val="1"/>
      <w:marLeft w:val="0"/>
      <w:marRight w:val="0"/>
      <w:marTop w:val="0"/>
      <w:marBottom w:val="0"/>
      <w:divBdr>
        <w:top w:val="none" w:sz="0" w:space="0" w:color="auto"/>
        <w:left w:val="none" w:sz="0" w:space="0" w:color="auto"/>
        <w:bottom w:val="none" w:sz="0" w:space="0" w:color="auto"/>
        <w:right w:val="none" w:sz="0" w:space="0" w:color="auto"/>
      </w:divBdr>
    </w:div>
    <w:div w:id="269699965">
      <w:bodyDiv w:val="1"/>
      <w:marLeft w:val="0"/>
      <w:marRight w:val="0"/>
      <w:marTop w:val="0"/>
      <w:marBottom w:val="0"/>
      <w:divBdr>
        <w:top w:val="none" w:sz="0" w:space="0" w:color="auto"/>
        <w:left w:val="none" w:sz="0" w:space="0" w:color="auto"/>
        <w:bottom w:val="none" w:sz="0" w:space="0" w:color="auto"/>
        <w:right w:val="none" w:sz="0" w:space="0" w:color="auto"/>
      </w:divBdr>
    </w:div>
    <w:div w:id="270669998">
      <w:bodyDiv w:val="1"/>
      <w:marLeft w:val="0"/>
      <w:marRight w:val="0"/>
      <w:marTop w:val="0"/>
      <w:marBottom w:val="0"/>
      <w:divBdr>
        <w:top w:val="none" w:sz="0" w:space="0" w:color="auto"/>
        <w:left w:val="none" w:sz="0" w:space="0" w:color="auto"/>
        <w:bottom w:val="none" w:sz="0" w:space="0" w:color="auto"/>
        <w:right w:val="none" w:sz="0" w:space="0" w:color="auto"/>
      </w:divBdr>
    </w:div>
    <w:div w:id="270943569">
      <w:bodyDiv w:val="1"/>
      <w:marLeft w:val="0"/>
      <w:marRight w:val="0"/>
      <w:marTop w:val="0"/>
      <w:marBottom w:val="0"/>
      <w:divBdr>
        <w:top w:val="none" w:sz="0" w:space="0" w:color="auto"/>
        <w:left w:val="none" w:sz="0" w:space="0" w:color="auto"/>
        <w:bottom w:val="none" w:sz="0" w:space="0" w:color="auto"/>
        <w:right w:val="none" w:sz="0" w:space="0" w:color="auto"/>
      </w:divBdr>
    </w:div>
    <w:div w:id="271017506">
      <w:bodyDiv w:val="1"/>
      <w:marLeft w:val="0"/>
      <w:marRight w:val="0"/>
      <w:marTop w:val="0"/>
      <w:marBottom w:val="0"/>
      <w:divBdr>
        <w:top w:val="none" w:sz="0" w:space="0" w:color="auto"/>
        <w:left w:val="none" w:sz="0" w:space="0" w:color="auto"/>
        <w:bottom w:val="none" w:sz="0" w:space="0" w:color="auto"/>
        <w:right w:val="none" w:sz="0" w:space="0" w:color="auto"/>
      </w:divBdr>
    </w:div>
    <w:div w:id="271977449">
      <w:bodyDiv w:val="1"/>
      <w:marLeft w:val="0"/>
      <w:marRight w:val="0"/>
      <w:marTop w:val="0"/>
      <w:marBottom w:val="0"/>
      <w:divBdr>
        <w:top w:val="none" w:sz="0" w:space="0" w:color="auto"/>
        <w:left w:val="none" w:sz="0" w:space="0" w:color="auto"/>
        <w:bottom w:val="none" w:sz="0" w:space="0" w:color="auto"/>
        <w:right w:val="none" w:sz="0" w:space="0" w:color="auto"/>
      </w:divBdr>
    </w:div>
    <w:div w:id="273365273">
      <w:bodyDiv w:val="1"/>
      <w:marLeft w:val="0"/>
      <w:marRight w:val="0"/>
      <w:marTop w:val="0"/>
      <w:marBottom w:val="0"/>
      <w:divBdr>
        <w:top w:val="none" w:sz="0" w:space="0" w:color="auto"/>
        <w:left w:val="none" w:sz="0" w:space="0" w:color="auto"/>
        <w:bottom w:val="none" w:sz="0" w:space="0" w:color="auto"/>
        <w:right w:val="none" w:sz="0" w:space="0" w:color="auto"/>
      </w:divBdr>
    </w:div>
    <w:div w:id="273444606">
      <w:bodyDiv w:val="1"/>
      <w:marLeft w:val="0"/>
      <w:marRight w:val="0"/>
      <w:marTop w:val="0"/>
      <w:marBottom w:val="0"/>
      <w:divBdr>
        <w:top w:val="none" w:sz="0" w:space="0" w:color="auto"/>
        <w:left w:val="none" w:sz="0" w:space="0" w:color="auto"/>
        <w:bottom w:val="none" w:sz="0" w:space="0" w:color="auto"/>
        <w:right w:val="none" w:sz="0" w:space="0" w:color="auto"/>
      </w:divBdr>
    </w:div>
    <w:div w:id="273562878">
      <w:bodyDiv w:val="1"/>
      <w:marLeft w:val="0"/>
      <w:marRight w:val="0"/>
      <w:marTop w:val="0"/>
      <w:marBottom w:val="0"/>
      <w:divBdr>
        <w:top w:val="none" w:sz="0" w:space="0" w:color="auto"/>
        <w:left w:val="none" w:sz="0" w:space="0" w:color="auto"/>
        <w:bottom w:val="none" w:sz="0" w:space="0" w:color="auto"/>
        <w:right w:val="none" w:sz="0" w:space="0" w:color="auto"/>
      </w:divBdr>
    </w:div>
    <w:div w:id="274946752">
      <w:bodyDiv w:val="1"/>
      <w:marLeft w:val="0"/>
      <w:marRight w:val="0"/>
      <w:marTop w:val="0"/>
      <w:marBottom w:val="0"/>
      <w:divBdr>
        <w:top w:val="none" w:sz="0" w:space="0" w:color="auto"/>
        <w:left w:val="none" w:sz="0" w:space="0" w:color="auto"/>
        <w:bottom w:val="none" w:sz="0" w:space="0" w:color="auto"/>
        <w:right w:val="none" w:sz="0" w:space="0" w:color="auto"/>
      </w:divBdr>
    </w:div>
    <w:div w:id="275060135">
      <w:bodyDiv w:val="1"/>
      <w:marLeft w:val="0"/>
      <w:marRight w:val="0"/>
      <w:marTop w:val="0"/>
      <w:marBottom w:val="0"/>
      <w:divBdr>
        <w:top w:val="none" w:sz="0" w:space="0" w:color="auto"/>
        <w:left w:val="none" w:sz="0" w:space="0" w:color="auto"/>
        <w:bottom w:val="none" w:sz="0" w:space="0" w:color="auto"/>
        <w:right w:val="none" w:sz="0" w:space="0" w:color="auto"/>
      </w:divBdr>
    </w:div>
    <w:div w:id="275261702">
      <w:bodyDiv w:val="1"/>
      <w:marLeft w:val="0"/>
      <w:marRight w:val="0"/>
      <w:marTop w:val="0"/>
      <w:marBottom w:val="0"/>
      <w:divBdr>
        <w:top w:val="none" w:sz="0" w:space="0" w:color="auto"/>
        <w:left w:val="none" w:sz="0" w:space="0" w:color="auto"/>
        <w:bottom w:val="none" w:sz="0" w:space="0" w:color="auto"/>
        <w:right w:val="none" w:sz="0" w:space="0" w:color="auto"/>
      </w:divBdr>
    </w:div>
    <w:div w:id="275721386">
      <w:bodyDiv w:val="1"/>
      <w:marLeft w:val="0"/>
      <w:marRight w:val="0"/>
      <w:marTop w:val="0"/>
      <w:marBottom w:val="0"/>
      <w:divBdr>
        <w:top w:val="none" w:sz="0" w:space="0" w:color="auto"/>
        <w:left w:val="none" w:sz="0" w:space="0" w:color="auto"/>
        <w:bottom w:val="none" w:sz="0" w:space="0" w:color="auto"/>
        <w:right w:val="none" w:sz="0" w:space="0" w:color="auto"/>
      </w:divBdr>
    </w:div>
    <w:div w:id="275910524">
      <w:bodyDiv w:val="1"/>
      <w:marLeft w:val="0"/>
      <w:marRight w:val="0"/>
      <w:marTop w:val="0"/>
      <w:marBottom w:val="0"/>
      <w:divBdr>
        <w:top w:val="none" w:sz="0" w:space="0" w:color="auto"/>
        <w:left w:val="none" w:sz="0" w:space="0" w:color="auto"/>
        <w:bottom w:val="none" w:sz="0" w:space="0" w:color="auto"/>
        <w:right w:val="none" w:sz="0" w:space="0" w:color="auto"/>
      </w:divBdr>
    </w:div>
    <w:div w:id="276909844">
      <w:bodyDiv w:val="1"/>
      <w:marLeft w:val="0"/>
      <w:marRight w:val="0"/>
      <w:marTop w:val="0"/>
      <w:marBottom w:val="0"/>
      <w:divBdr>
        <w:top w:val="none" w:sz="0" w:space="0" w:color="auto"/>
        <w:left w:val="none" w:sz="0" w:space="0" w:color="auto"/>
        <w:bottom w:val="none" w:sz="0" w:space="0" w:color="auto"/>
        <w:right w:val="none" w:sz="0" w:space="0" w:color="auto"/>
      </w:divBdr>
    </w:div>
    <w:div w:id="277228197">
      <w:bodyDiv w:val="1"/>
      <w:marLeft w:val="0"/>
      <w:marRight w:val="0"/>
      <w:marTop w:val="0"/>
      <w:marBottom w:val="0"/>
      <w:divBdr>
        <w:top w:val="none" w:sz="0" w:space="0" w:color="auto"/>
        <w:left w:val="none" w:sz="0" w:space="0" w:color="auto"/>
        <w:bottom w:val="none" w:sz="0" w:space="0" w:color="auto"/>
        <w:right w:val="none" w:sz="0" w:space="0" w:color="auto"/>
      </w:divBdr>
    </w:div>
    <w:div w:id="278877796">
      <w:bodyDiv w:val="1"/>
      <w:marLeft w:val="0"/>
      <w:marRight w:val="0"/>
      <w:marTop w:val="0"/>
      <w:marBottom w:val="0"/>
      <w:divBdr>
        <w:top w:val="none" w:sz="0" w:space="0" w:color="auto"/>
        <w:left w:val="none" w:sz="0" w:space="0" w:color="auto"/>
        <w:bottom w:val="none" w:sz="0" w:space="0" w:color="auto"/>
        <w:right w:val="none" w:sz="0" w:space="0" w:color="auto"/>
      </w:divBdr>
    </w:div>
    <w:div w:id="279915837">
      <w:bodyDiv w:val="1"/>
      <w:marLeft w:val="0"/>
      <w:marRight w:val="0"/>
      <w:marTop w:val="0"/>
      <w:marBottom w:val="0"/>
      <w:divBdr>
        <w:top w:val="none" w:sz="0" w:space="0" w:color="auto"/>
        <w:left w:val="none" w:sz="0" w:space="0" w:color="auto"/>
        <w:bottom w:val="none" w:sz="0" w:space="0" w:color="auto"/>
        <w:right w:val="none" w:sz="0" w:space="0" w:color="auto"/>
      </w:divBdr>
    </w:div>
    <w:div w:id="279918662">
      <w:bodyDiv w:val="1"/>
      <w:marLeft w:val="0"/>
      <w:marRight w:val="0"/>
      <w:marTop w:val="0"/>
      <w:marBottom w:val="0"/>
      <w:divBdr>
        <w:top w:val="none" w:sz="0" w:space="0" w:color="auto"/>
        <w:left w:val="none" w:sz="0" w:space="0" w:color="auto"/>
        <w:bottom w:val="none" w:sz="0" w:space="0" w:color="auto"/>
        <w:right w:val="none" w:sz="0" w:space="0" w:color="auto"/>
      </w:divBdr>
    </w:div>
    <w:div w:id="280111184">
      <w:bodyDiv w:val="1"/>
      <w:marLeft w:val="0"/>
      <w:marRight w:val="0"/>
      <w:marTop w:val="0"/>
      <w:marBottom w:val="0"/>
      <w:divBdr>
        <w:top w:val="none" w:sz="0" w:space="0" w:color="auto"/>
        <w:left w:val="none" w:sz="0" w:space="0" w:color="auto"/>
        <w:bottom w:val="none" w:sz="0" w:space="0" w:color="auto"/>
        <w:right w:val="none" w:sz="0" w:space="0" w:color="auto"/>
      </w:divBdr>
    </w:div>
    <w:div w:id="281034196">
      <w:bodyDiv w:val="1"/>
      <w:marLeft w:val="0"/>
      <w:marRight w:val="0"/>
      <w:marTop w:val="0"/>
      <w:marBottom w:val="0"/>
      <w:divBdr>
        <w:top w:val="none" w:sz="0" w:space="0" w:color="auto"/>
        <w:left w:val="none" w:sz="0" w:space="0" w:color="auto"/>
        <w:bottom w:val="none" w:sz="0" w:space="0" w:color="auto"/>
        <w:right w:val="none" w:sz="0" w:space="0" w:color="auto"/>
      </w:divBdr>
    </w:div>
    <w:div w:id="281420904">
      <w:bodyDiv w:val="1"/>
      <w:marLeft w:val="0"/>
      <w:marRight w:val="0"/>
      <w:marTop w:val="0"/>
      <w:marBottom w:val="0"/>
      <w:divBdr>
        <w:top w:val="none" w:sz="0" w:space="0" w:color="auto"/>
        <w:left w:val="none" w:sz="0" w:space="0" w:color="auto"/>
        <w:bottom w:val="none" w:sz="0" w:space="0" w:color="auto"/>
        <w:right w:val="none" w:sz="0" w:space="0" w:color="auto"/>
      </w:divBdr>
    </w:div>
    <w:div w:id="281808592">
      <w:bodyDiv w:val="1"/>
      <w:marLeft w:val="0"/>
      <w:marRight w:val="0"/>
      <w:marTop w:val="0"/>
      <w:marBottom w:val="0"/>
      <w:divBdr>
        <w:top w:val="none" w:sz="0" w:space="0" w:color="auto"/>
        <w:left w:val="none" w:sz="0" w:space="0" w:color="auto"/>
        <w:bottom w:val="none" w:sz="0" w:space="0" w:color="auto"/>
        <w:right w:val="none" w:sz="0" w:space="0" w:color="auto"/>
      </w:divBdr>
    </w:div>
    <w:div w:id="283394118">
      <w:bodyDiv w:val="1"/>
      <w:marLeft w:val="0"/>
      <w:marRight w:val="0"/>
      <w:marTop w:val="0"/>
      <w:marBottom w:val="0"/>
      <w:divBdr>
        <w:top w:val="none" w:sz="0" w:space="0" w:color="auto"/>
        <w:left w:val="none" w:sz="0" w:space="0" w:color="auto"/>
        <w:bottom w:val="none" w:sz="0" w:space="0" w:color="auto"/>
        <w:right w:val="none" w:sz="0" w:space="0" w:color="auto"/>
      </w:divBdr>
    </w:div>
    <w:div w:id="283854358">
      <w:bodyDiv w:val="1"/>
      <w:marLeft w:val="0"/>
      <w:marRight w:val="0"/>
      <w:marTop w:val="0"/>
      <w:marBottom w:val="0"/>
      <w:divBdr>
        <w:top w:val="none" w:sz="0" w:space="0" w:color="auto"/>
        <w:left w:val="none" w:sz="0" w:space="0" w:color="auto"/>
        <w:bottom w:val="none" w:sz="0" w:space="0" w:color="auto"/>
        <w:right w:val="none" w:sz="0" w:space="0" w:color="auto"/>
      </w:divBdr>
    </w:div>
    <w:div w:id="283923874">
      <w:bodyDiv w:val="1"/>
      <w:marLeft w:val="0"/>
      <w:marRight w:val="0"/>
      <w:marTop w:val="0"/>
      <w:marBottom w:val="0"/>
      <w:divBdr>
        <w:top w:val="none" w:sz="0" w:space="0" w:color="auto"/>
        <w:left w:val="none" w:sz="0" w:space="0" w:color="auto"/>
        <w:bottom w:val="none" w:sz="0" w:space="0" w:color="auto"/>
        <w:right w:val="none" w:sz="0" w:space="0" w:color="auto"/>
      </w:divBdr>
    </w:div>
    <w:div w:id="284849457">
      <w:bodyDiv w:val="1"/>
      <w:marLeft w:val="0"/>
      <w:marRight w:val="0"/>
      <w:marTop w:val="0"/>
      <w:marBottom w:val="0"/>
      <w:divBdr>
        <w:top w:val="none" w:sz="0" w:space="0" w:color="auto"/>
        <w:left w:val="none" w:sz="0" w:space="0" w:color="auto"/>
        <w:bottom w:val="none" w:sz="0" w:space="0" w:color="auto"/>
        <w:right w:val="none" w:sz="0" w:space="0" w:color="auto"/>
      </w:divBdr>
    </w:div>
    <w:div w:id="284890579">
      <w:bodyDiv w:val="1"/>
      <w:marLeft w:val="0"/>
      <w:marRight w:val="0"/>
      <w:marTop w:val="0"/>
      <w:marBottom w:val="0"/>
      <w:divBdr>
        <w:top w:val="none" w:sz="0" w:space="0" w:color="auto"/>
        <w:left w:val="none" w:sz="0" w:space="0" w:color="auto"/>
        <w:bottom w:val="none" w:sz="0" w:space="0" w:color="auto"/>
        <w:right w:val="none" w:sz="0" w:space="0" w:color="auto"/>
      </w:divBdr>
    </w:div>
    <w:div w:id="285161925">
      <w:bodyDiv w:val="1"/>
      <w:marLeft w:val="0"/>
      <w:marRight w:val="0"/>
      <w:marTop w:val="0"/>
      <w:marBottom w:val="0"/>
      <w:divBdr>
        <w:top w:val="none" w:sz="0" w:space="0" w:color="auto"/>
        <w:left w:val="none" w:sz="0" w:space="0" w:color="auto"/>
        <w:bottom w:val="none" w:sz="0" w:space="0" w:color="auto"/>
        <w:right w:val="none" w:sz="0" w:space="0" w:color="auto"/>
      </w:divBdr>
    </w:div>
    <w:div w:id="287011495">
      <w:bodyDiv w:val="1"/>
      <w:marLeft w:val="0"/>
      <w:marRight w:val="0"/>
      <w:marTop w:val="0"/>
      <w:marBottom w:val="0"/>
      <w:divBdr>
        <w:top w:val="none" w:sz="0" w:space="0" w:color="auto"/>
        <w:left w:val="none" w:sz="0" w:space="0" w:color="auto"/>
        <w:bottom w:val="none" w:sz="0" w:space="0" w:color="auto"/>
        <w:right w:val="none" w:sz="0" w:space="0" w:color="auto"/>
      </w:divBdr>
    </w:div>
    <w:div w:id="287198256">
      <w:bodyDiv w:val="1"/>
      <w:marLeft w:val="0"/>
      <w:marRight w:val="0"/>
      <w:marTop w:val="0"/>
      <w:marBottom w:val="0"/>
      <w:divBdr>
        <w:top w:val="none" w:sz="0" w:space="0" w:color="auto"/>
        <w:left w:val="none" w:sz="0" w:space="0" w:color="auto"/>
        <w:bottom w:val="none" w:sz="0" w:space="0" w:color="auto"/>
        <w:right w:val="none" w:sz="0" w:space="0" w:color="auto"/>
      </w:divBdr>
    </w:div>
    <w:div w:id="287247358">
      <w:bodyDiv w:val="1"/>
      <w:marLeft w:val="0"/>
      <w:marRight w:val="0"/>
      <w:marTop w:val="0"/>
      <w:marBottom w:val="0"/>
      <w:divBdr>
        <w:top w:val="none" w:sz="0" w:space="0" w:color="auto"/>
        <w:left w:val="none" w:sz="0" w:space="0" w:color="auto"/>
        <w:bottom w:val="none" w:sz="0" w:space="0" w:color="auto"/>
        <w:right w:val="none" w:sz="0" w:space="0" w:color="auto"/>
      </w:divBdr>
    </w:div>
    <w:div w:id="288046864">
      <w:bodyDiv w:val="1"/>
      <w:marLeft w:val="0"/>
      <w:marRight w:val="0"/>
      <w:marTop w:val="0"/>
      <w:marBottom w:val="0"/>
      <w:divBdr>
        <w:top w:val="none" w:sz="0" w:space="0" w:color="auto"/>
        <w:left w:val="none" w:sz="0" w:space="0" w:color="auto"/>
        <w:bottom w:val="none" w:sz="0" w:space="0" w:color="auto"/>
        <w:right w:val="none" w:sz="0" w:space="0" w:color="auto"/>
      </w:divBdr>
    </w:div>
    <w:div w:id="289173115">
      <w:bodyDiv w:val="1"/>
      <w:marLeft w:val="0"/>
      <w:marRight w:val="0"/>
      <w:marTop w:val="0"/>
      <w:marBottom w:val="0"/>
      <w:divBdr>
        <w:top w:val="none" w:sz="0" w:space="0" w:color="auto"/>
        <w:left w:val="none" w:sz="0" w:space="0" w:color="auto"/>
        <w:bottom w:val="none" w:sz="0" w:space="0" w:color="auto"/>
        <w:right w:val="none" w:sz="0" w:space="0" w:color="auto"/>
      </w:divBdr>
    </w:div>
    <w:div w:id="289866840">
      <w:bodyDiv w:val="1"/>
      <w:marLeft w:val="0"/>
      <w:marRight w:val="0"/>
      <w:marTop w:val="0"/>
      <w:marBottom w:val="0"/>
      <w:divBdr>
        <w:top w:val="none" w:sz="0" w:space="0" w:color="auto"/>
        <w:left w:val="none" w:sz="0" w:space="0" w:color="auto"/>
        <w:bottom w:val="none" w:sz="0" w:space="0" w:color="auto"/>
        <w:right w:val="none" w:sz="0" w:space="0" w:color="auto"/>
      </w:divBdr>
    </w:div>
    <w:div w:id="290133715">
      <w:bodyDiv w:val="1"/>
      <w:marLeft w:val="0"/>
      <w:marRight w:val="0"/>
      <w:marTop w:val="0"/>
      <w:marBottom w:val="0"/>
      <w:divBdr>
        <w:top w:val="none" w:sz="0" w:space="0" w:color="auto"/>
        <w:left w:val="none" w:sz="0" w:space="0" w:color="auto"/>
        <w:bottom w:val="none" w:sz="0" w:space="0" w:color="auto"/>
        <w:right w:val="none" w:sz="0" w:space="0" w:color="auto"/>
      </w:divBdr>
    </w:div>
    <w:div w:id="291247966">
      <w:bodyDiv w:val="1"/>
      <w:marLeft w:val="0"/>
      <w:marRight w:val="0"/>
      <w:marTop w:val="0"/>
      <w:marBottom w:val="0"/>
      <w:divBdr>
        <w:top w:val="none" w:sz="0" w:space="0" w:color="auto"/>
        <w:left w:val="none" w:sz="0" w:space="0" w:color="auto"/>
        <w:bottom w:val="none" w:sz="0" w:space="0" w:color="auto"/>
        <w:right w:val="none" w:sz="0" w:space="0" w:color="auto"/>
      </w:divBdr>
    </w:div>
    <w:div w:id="291444383">
      <w:bodyDiv w:val="1"/>
      <w:marLeft w:val="0"/>
      <w:marRight w:val="0"/>
      <w:marTop w:val="0"/>
      <w:marBottom w:val="0"/>
      <w:divBdr>
        <w:top w:val="none" w:sz="0" w:space="0" w:color="auto"/>
        <w:left w:val="none" w:sz="0" w:space="0" w:color="auto"/>
        <w:bottom w:val="none" w:sz="0" w:space="0" w:color="auto"/>
        <w:right w:val="none" w:sz="0" w:space="0" w:color="auto"/>
      </w:divBdr>
    </w:div>
    <w:div w:id="291712158">
      <w:bodyDiv w:val="1"/>
      <w:marLeft w:val="0"/>
      <w:marRight w:val="0"/>
      <w:marTop w:val="0"/>
      <w:marBottom w:val="0"/>
      <w:divBdr>
        <w:top w:val="none" w:sz="0" w:space="0" w:color="auto"/>
        <w:left w:val="none" w:sz="0" w:space="0" w:color="auto"/>
        <w:bottom w:val="none" w:sz="0" w:space="0" w:color="auto"/>
        <w:right w:val="none" w:sz="0" w:space="0" w:color="auto"/>
      </w:divBdr>
    </w:div>
    <w:div w:id="292176136">
      <w:bodyDiv w:val="1"/>
      <w:marLeft w:val="0"/>
      <w:marRight w:val="0"/>
      <w:marTop w:val="0"/>
      <w:marBottom w:val="0"/>
      <w:divBdr>
        <w:top w:val="none" w:sz="0" w:space="0" w:color="auto"/>
        <w:left w:val="none" w:sz="0" w:space="0" w:color="auto"/>
        <w:bottom w:val="none" w:sz="0" w:space="0" w:color="auto"/>
        <w:right w:val="none" w:sz="0" w:space="0" w:color="auto"/>
      </w:divBdr>
    </w:div>
    <w:div w:id="292907858">
      <w:bodyDiv w:val="1"/>
      <w:marLeft w:val="0"/>
      <w:marRight w:val="0"/>
      <w:marTop w:val="0"/>
      <w:marBottom w:val="0"/>
      <w:divBdr>
        <w:top w:val="none" w:sz="0" w:space="0" w:color="auto"/>
        <w:left w:val="none" w:sz="0" w:space="0" w:color="auto"/>
        <w:bottom w:val="none" w:sz="0" w:space="0" w:color="auto"/>
        <w:right w:val="none" w:sz="0" w:space="0" w:color="auto"/>
      </w:divBdr>
    </w:div>
    <w:div w:id="293295157">
      <w:bodyDiv w:val="1"/>
      <w:marLeft w:val="0"/>
      <w:marRight w:val="0"/>
      <w:marTop w:val="0"/>
      <w:marBottom w:val="0"/>
      <w:divBdr>
        <w:top w:val="none" w:sz="0" w:space="0" w:color="auto"/>
        <w:left w:val="none" w:sz="0" w:space="0" w:color="auto"/>
        <w:bottom w:val="none" w:sz="0" w:space="0" w:color="auto"/>
        <w:right w:val="none" w:sz="0" w:space="0" w:color="auto"/>
      </w:divBdr>
    </w:div>
    <w:div w:id="293410355">
      <w:bodyDiv w:val="1"/>
      <w:marLeft w:val="0"/>
      <w:marRight w:val="0"/>
      <w:marTop w:val="0"/>
      <w:marBottom w:val="0"/>
      <w:divBdr>
        <w:top w:val="none" w:sz="0" w:space="0" w:color="auto"/>
        <w:left w:val="none" w:sz="0" w:space="0" w:color="auto"/>
        <w:bottom w:val="none" w:sz="0" w:space="0" w:color="auto"/>
        <w:right w:val="none" w:sz="0" w:space="0" w:color="auto"/>
      </w:divBdr>
    </w:div>
    <w:div w:id="293602375">
      <w:bodyDiv w:val="1"/>
      <w:marLeft w:val="0"/>
      <w:marRight w:val="0"/>
      <w:marTop w:val="0"/>
      <w:marBottom w:val="0"/>
      <w:divBdr>
        <w:top w:val="none" w:sz="0" w:space="0" w:color="auto"/>
        <w:left w:val="none" w:sz="0" w:space="0" w:color="auto"/>
        <w:bottom w:val="none" w:sz="0" w:space="0" w:color="auto"/>
        <w:right w:val="none" w:sz="0" w:space="0" w:color="auto"/>
      </w:divBdr>
    </w:div>
    <w:div w:id="295914263">
      <w:bodyDiv w:val="1"/>
      <w:marLeft w:val="0"/>
      <w:marRight w:val="0"/>
      <w:marTop w:val="0"/>
      <w:marBottom w:val="0"/>
      <w:divBdr>
        <w:top w:val="none" w:sz="0" w:space="0" w:color="auto"/>
        <w:left w:val="none" w:sz="0" w:space="0" w:color="auto"/>
        <w:bottom w:val="none" w:sz="0" w:space="0" w:color="auto"/>
        <w:right w:val="none" w:sz="0" w:space="0" w:color="auto"/>
      </w:divBdr>
    </w:div>
    <w:div w:id="295985429">
      <w:bodyDiv w:val="1"/>
      <w:marLeft w:val="0"/>
      <w:marRight w:val="0"/>
      <w:marTop w:val="0"/>
      <w:marBottom w:val="0"/>
      <w:divBdr>
        <w:top w:val="none" w:sz="0" w:space="0" w:color="auto"/>
        <w:left w:val="none" w:sz="0" w:space="0" w:color="auto"/>
        <w:bottom w:val="none" w:sz="0" w:space="0" w:color="auto"/>
        <w:right w:val="none" w:sz="0" w:space="0" w:color="auto"/>
      </w:divBdr>
    </w:div>
    <w:div w:id="296112036">
      <w:bodyDiv w:val="1"/>
      <w:marLeft w:val="0"/>
      <w:marRight w:val="0"/>
      <w:marTop w:val="0"/>
      <w:marBottom w:val="0"/>
      <w:divBdr>
        <w:top w:val="none" w:sz="0" w:space="0" w:color="auto"/>
        <w:left w:val="none" w:sz="0" w:space="0" w:color="auto"/>
        <w:bottom w:val="none" w:sz="0" w:space="0" w:color="auto"/>
        <w:right w:val="none" w:sz="0" w:space="0" w:color="auto"/>
      </w:divBdr>
    </w:div>
    <w:div w:id="296303098">
      <w:bodyDiv w:val="1"/>
      <w:marLeft w:val="0"/>
      <w:marRight w:val="0"/>
      <w:marTop w:val="0"/>
      <w:marBottom w:val="0"/>
      <w:divBdr>
        <w:top w:val="none" w:sz="0" w:space="0" w:color="auto"/>
        <w:left w:val="none" w:sz="0" w:space="0" w:color="auto"/>
        <w:bottom w:val="none" w:sz="0" w:space="0" w:color="auto"/>
        <w:right w:val="none" w:sz="0" w:space="0" w:color="auto"/>
      </w:divBdr>
    </w:div>
    <w:div w:id="296376459">
      <w:bodyDiv w:val="1"/>
      <w:marLeft w:val="0"/>
      <w:marRight w:val="0"/>
      <w:marTop w:val="0"/>
      <w:marBottom w:val="0"/>
      <w:divBdr>
        <w:top w:val="none" w:sz="0" w:space="0" w:color="auto"/>
        <w:left w:val="none" w:sz="0" w:space="0" w:color="auto"/>
        <w:bottom w:val="none" w:sz="0" w:space="0" w:color="auto"/>
        <w:right w:val="none" w:sz="0" w:space="0" w:color="auto"/>
      </w:divBdr>
    </w:div>
    <w:div w:id="297415189">
      <w:bodyDiv w:val="1"/>
      <w:marLeft w:val="0"/>
      <w:marRight w:val="0"/>
      <w:marTop w:val="0"/>
      <w:marBottom w:val="0"/>
      <w:divBdr>
        <w:top w:val="none" w:sz="0" w:space="0" w:color="auto"/>
        <w:left w:val="none" w:sz="0" w:space="0" w:color="auto"/>
        <w:bottom w:val="none" w:sz="0" w:space="0" w:color="auto"/>
        <w:right w:val="none" w:sz="0" w:space="0" w:color="auto"/>
      </w:divBdr>
    </w:div>
    <w:div w:id="297418919">
      <w:bodyDiv w:val="1"/>
      <w:marLeft w:val="0"/>
      <w:marRight w:val="0"/>
      <w:marTop w:val="0"/>
      <w:marBottom w:val="0"/>
      <w:divBdr>
        <w:top w:val="none" w:sz="0" w:space="0" w:color="auto"/>
        <w:left w:val="none" w:sz="0" w:space="0" w:color="auto"/>
        <w:bottom w:val="none" w:sz="0" w:space="0" w:color="auto"/>
        <w:right w:val="none" w:sz="0" w:space="0" w:color="auto"/>
      </w:divBdr>
    </w:div>
    <w:div w:id="297957562">
      <w:bodyDiv w:val="1"/>
      <w:marLeft w:val="0"/>
      <w:marRight w:val="0"/>
      <w:marTop w:val="0"/>
      <w:marBottom w:val="0"/>
      <w:divBdr>
        <w:top w:val="none" w:sz="0" w:space="0" w:color="auto"/>
        <w:left w:val="none" w:sz="0" w:space="0" w:color="auto"/>
        <w:bottom w:val="none" w:sz="0" w:space="0" w:color="auto"/>
        <w:right w:val="none" w:sz="0" w:space="0" w:color="auto"/>
      </w:divBdr>
    </w:div>
    <w:div w:id="299461248">
      <w:bodyDiv w:val="1"/>
      <w:marLeft w:val="0"/>
      <w:marRight w:val="0"/>
      <w:marTop w:val="0"/>
      <w:marBottom w:val="0"/>
      <w:divBdr>
        <w:top w:val="none" w:sz="0" w:space="0" w:color="auto"/>
        <w:left w:val="none" w:sz="0" w:space="0" w:color="auto"/>
        <w:bottom w:val="none" w:sz="0" w:space="0" w:color="auto"/>
        <w:right w:val="none" w:sz="0" w:space="0" w:color="auto"/>
      </w:divBdr>
    </w:div>
    <w:div w:id="299532023">
      <w:bodyDiv w:val="1"/>
      <w:marLeft w:val="0"/>
      <w:marRight w:val="0"/>
      <w:marTop w:val="0"/>
      <w:marBottom w:val="0"/>
      <w:divBdr>
        <w:top w:val="none" w:sz="0" w:space="0" w:color="auto"/>
        <w:left w:val="none" w:sz="0" w:space="0" w:color="auto"/>
        <w:bottom w:val="none" w:sz="0" w:space="0" w:color="auto"/>
        <w:right w:val="none" w:sz="0" w:space="0" w:color="auto"/>
      </w:divBdr>
    </w:div>
    <w:div w:id="299698816">
      <w:bodyDiv w:val="1"/>
      <w:marLeft w:val="0"/>
      <w:marRight w:val="0"/>
      <w:marTop w:val="0"/>
      <w:marBottom w:val="0"/>
      <w:divBdr>
        <w:top w:val="none" w:sz="0" w:space="0" w:color="auto"/>
        <w:left w:val="none" w:sz="0" w:space="0" w:color="auto"/>
        <w:bottom w:val="none" w:sz="0" w:space="0" w:color="auto"/>
        <w:right w:val="none" w:sz="0" w:space="0" w:color="auto"/>
      </w:divBdr>
    </w:div>
    <w:div w:id="300042779">
      <w:bodyDiv w:val="1"/>
      <w:marLeft w:val="0"/>
      <w:marRight w:val="0"/>
      <w:marTop w:val="0"/>
      <w:marBottom w:val="0"/>
      <w:divBdr>
        <w:top w:val="none" w:sz="0" w:space="0" w:color="auto"/>
        <w:left w:val="none" w:sz="0" w:space="0" w:color="auto"/>
        <w:bottom w:val="none" w:sz="0" w:space="0" w:color="auto"/>
        <w:right w:val="none" w:sz="0" w:space="0" w:color="auto"/>
      </w:divBdr>
    </w:div>
    <w:div w:id="300426815">
      <w:bodyDiv w:val="1"/>
      <w:marLeft w:val="0"/>
      <w:marRight w:val="0"/>
      <w:marTop w:val="0"/>
      <w:marBottom w:val="0"/>
      <w:divBdr>
        <w:top w:val="none" w:sz="0" w:space="0" w:color="auto"/>
        <w:left w:val="none" w:sz="0" w:space="0" w:color="auto"/>
        <w:bottom w:val="none" w:sz="0" w:space="0" w:color="auto"/>
        <w:right w:val="none" w:sz="0" w:space="0" w:color="auto"/>
      </w:divBdr>
    </w:div>
    <w:div w:id="302396878">
      <w:bodyDiv w:val="1"/>
      <w:marLeft w:val="0"/>
      <w:marRight w:val="0"/>
      <w:marTop w:val="0"/>
      <w:marBottom w:val="0"/>
      <w:divBdr>
        <w:top w:val="none" w:sz="0" w:space="0" w:color="auto"/>
        <w:left w:val="none" w:sz="0" w:space="0" w:color="auto"/>
        <w:bottom w:val="none" w:sz="0" w:space="0" w:color="auto"/>
        <w:right w:val="none" w:sz="0" w:space="0" w:color="auto"/>
      </w:divBdr>
    </w:div>
    <w:div w:id="302581287">
      <w:bodyDiv w:val="1"/>
      <w:marLeft w:val="0"/>
      <w:marRight w:val="0"/>
      <w:marTop w:val="0"/>
      <w:marBottom w:val="0"/>
      <w:divBdr>
        <w:top w:val="none" w:sz="0" w:space="0" w:color="auto"/>
        <w:left w:val="none" w:sz="0" w:space="0" w:color="auto"/>
        <w:bottom w:val="none" w:sz="0" w:space="0" w:color="auto"/>
        <w:right w:val="none" w:sz="0" w:space="0" w:color="auto"/>
      </w:divBdr>
    </w:div>
    <w:div w:id="303853261">
      <w:bodyDiv w:val="1"/>
      <w:marLeft w:val="0"/>
      <w:marRight w:val="0"/>
      <w:marTop w:val="0"/>
      <w:marBottom w:val="0"/>
      <w:divBdr>
        <w:top w:val="none" w:sz="0" w:space="0" w:color="auto"/>
        <w:left w:val="none" w:sz="0" w:space="0" w:color="auto"/>
        <w:bottom w:val="none" w:sz="0" w:space="0" w:color="auto"/>
        <w:right w:val="none" w:sz="0" w:space="0" w:color="auto"/>
      </w:divBdr>
    </w:div>
    <w:div w:id="304051274">
      <w:bodyDiv w:val="1"/>
      <w:marLeft w:val="0"/>
      <w:marRight w:val="0"/>
      <w:marTop w:val="0"/>
      <w:marBottom w:val="0"/>
      <w:divBdr>
        <w:top w:val="none" w:sz="0" w:space="0" w:color="auto"/>
        <w:left w:val="none" w:sz="0" w:space="0" w:color="auto"/>
        <w:bottom w:val="none" w:sz="0" w:space="0" w:color="auto"/>
        <w:right w:val="none" w:sz="0" w:space="0" w:color="auto"/>
      </w:divBdr>
    </w:div>
    <w:div w:id="304892000">
      <w:bodyDiv w:val="1"/>
      <w:marLeft w:val="0"/>
      <w:marRight w:val="0"/>
      <w:marTop w:val="0"/>
      <w:marBottom w:val="0"/>
      <w:divBdr>
        <w:top w:val="none" w:sz="0" w:space="0" w:color="auto"/>
        <w:left w:val="none" w:sz="0" w:space="0" w:color="auto"/>
        <w:bottom w:val="none" w:sz="0" w:space="0" w:color="auto"/>
        <w:right w:val="none" w:sz="0" w:space="0" w:color="auto"/>
      </w:divBdr>
    </w:div>
    <w:div w:id="305283724">
      <w:bodyDiv w:val="1"/>
      <w:marLeft w:val="0"/>
      <w:marRight w:val="0"/>
      <w:marTop w:val="0"/>
      <w:marBottom w:val="0"/>
      <w:divBdr>
        <w:top w:val="none" w:sz="0" w:space="0" w:color="auto"/>
        <w:left w:val="none" w:sz="0" w:space="0" w:color="auto"/>
        <w:bottom w:val="none" w:sz="0" w:space="0" w:color="auto"/>
        <w:right w:val="none" w:sz="0" w:space="0" w:color="auto"/>
      </w:divBdr>
    </w:div>
    <w:div w:id="305399594">
      <w:bodyDiv w:val="1"/>
      <w:marLeft w:val="0"/>
      <w:marRight w:val="0"/>
      <w:marTop w:val="0"/>
      <w:marBottom w:val="0"/>
      <w:divBdr>
        <w:top w:val="none" w:sz="0" w:space="0" w:color="auto"/>
        <w:left w:val="none" w:sz="0" w:space="0" w:color="auto"/>
        <w:bottom w:val="none" w:sz="0" w:space="0" w:color="auto"/>
        <w:right w:val="none" w:sz="0" w:space="0" w:color="auto"/>
      </w:divBdr>
    </w:div>
    <w:div w:id="306280596">
      <w:bodyDiv w:val="1"/>
      <w:marLeft w:val="0"/>
      <w:marRight w:val="0"/>
      <w:marTop w:val="0"/>
      <w:marBottom w:val="0"/>
      <w:divBdr>
        <w:top w:val="none" w:sz="0" w:space="0" w:color="auto"/>
        <w:left w:val="none" w:sz="0" w:space="0" w:color="auto"/>
        <w:bottom w:val="none" w:sz="0" w:space="0" w:color="auto"/>
        <w:right w:val="none" w:sz="0" w:space="0" w:color="auto"/>
      </w:divBdr>
    </w:div>
    <w:div w:id="306713841">
      <w:bodyDiv w:val="1"/>
      <w:marLeft w:val="0"/>
      <w:marRight w:val="0"/>
      <w:marTop w:val="0"/>
      <w:marBottom w:val="0"/>
      <w:divBdr>
        <w:top w:val="none" w:sz="0" w:space="0" w:color="auto"/>
        <w:left w:val="none" w:sz="0" w:space="0" w:color="auto"/>
        <w:bottom w:val="none" w:sz="0" w:space="0" w:color="auto"/>
        <w:right w:val="none" w:sz="0" w:space="0" w:color="auto"/>
      </w:divBdr>
    </w:div>
    <w:div w:id="306905893">
      <w:bodyDiv w:val="1"/>
      <w:marLeft w:val="0"/>
      <w:marRight w:val="0"/>
      <w:marTop w:val="0"/>
      <w:marBottom w:val="0"/>
      <w:divBdr>
        <w:top w:val="none" w:sz="0" w:space="0" w:color="auto"/>
        <w:left w:val="none" w:sz="0" w:space="0" w:color="auto"/>
        <w:bottom w:val="none" w:sz="0" w:space="0" w:color="auto"/>
        <w:right w:val="none" w:sz="0" w:space="0" w:color="auto"/>
      </w:divBdr>
    </w:div>
    <w:div w:id="307829800">
      <w:bodyDiv w:val="1"/>
      <w:marLeft w:val="0"/>
      <w:marRight w:val="0"/>
      <w:marTop w:val="0"/>
      <w:marBottom w:val="0"/>
      <w:divBdr>
        <w:top w:val="none" w:sz="0" w:space="0" w:color="auto"/>
        <w:left w:val="none" w:sz="0" w:space="0" w:color="auto"/>
        <w:bottom w:val="none" w:sz="0" w:space="0" w:color="auto"/>
        <w:right w:val="none" w:sz="0" w:space="0" w:color="auto"/>
      </w:divBdr>
    </w:div>
    <w:div w:id="307976945">
      <w:bodyDiv w:val="1"/>
      <w:marLeft w:val="0"/>
      <w:marRight w:val="0"/>
      <w:marTop w:val="0"/>
      <w:marBottom w:val="0"/>
      <w:divBdr>
        <w:top w:val="none" w:sz="0" w:space="0" w:color="auto"/>
        <w:left w:val="none" w:sz="0" w:space="0" w:color="auto"/>
        <w:bottom w:val="none" w:sz="0" w:space="0" w:color="auto"/>
        <w:right w:val="none" w:sz="0" w:space="0" w:color="auto"/>
      </w:divBdr>
    </w:div>
    <w:div w:id="308022788">
      <w:bodyDiv w:val="1"/>
      <w:marLeft w:val="0"/>
      <w:marRight w:val="0"/>
      <w:marTop w:val="0"/>
      <w:marBottom w:val="0"/>
      <w:divBdr>
        <w:top w:val="none" w:sz="0" w:space="0" w:color="auto"/>
        <w:left w:val="none" w:sz="0" w:space="0" w:color="auto"/>
        <w:bottom w:val="none" w:sz="0" w:space="0" w:color="auto"/>
        <w:right w:val="none" w:sz="0" w:space="0" w:color="auto"/>
      </w:divBdr>
    </w:div>
    <w:div w:id="308558966">
      <w:bodyDiv w:val="1"/>
      <w:marLeft w:val="0"/>
      <w:marRight w:val="0"/>
      <w:marTop w:val="0"/>
      <w:marBottom w:val="0"/>
      <w:divBdr>
        <w:top w:val="none" w:sz="0" w:space="0" w:color="auto"/>
        <w:left w:val="none" w:sz="0" w:space="0" w:color="auto"/>
        <w:bottom w:val="none" w:sz="0" w:space="0" w:color="auto"/>
        <w:right w:val="none" w:sz="0" w:space="0" w:color="auto"/>
      </w:divBdr>
    </w:div>
    <w:div w:id="308897529">
      <w:bodyDiv w:val="1"/>
      <w:marLeft w:val="0"/>
      <w:marRight w:val="0"/>
      <w:marTop w:val="0"/>
      <w:marBottom w:val="0"/>
      <w:divBdr>
        <w:top w:val="none" w:sz="0" w:space="0" w:color="auto"/>
        <w:left w:val="none" w:sz="0" w:space="0" w:color="auto"/>
        <w:bottom w:val="none" w:sz="0" w:space="0" w:color="auto"/>
        <w:right w:val="none" w:sz="0" w:space="0" w:color="auto"/>
      </w:divBdr>
    </w:div>
    <w:div w:id="309361595">
      <w:bodyDiv w:val="1"/>
      <w:marLeft w:val="0"/>
      <w:marRight w:val="0"/>
      <w:marTop w:val="0"/>
      <w:marBottom w:val="0"/>
      <w:divBdr>
        <w:top w:val="none" w:sz="0" w:space="0" w:color="auto"/>
        <w:left w:val="none" w:sz="0" w:space="0" w:color="auto"/>
        <w:bottom w:val="none" w:sz="0" w:space="0" w:color="auto"/>
        <w:right w:val="none" w:sz="0" w:space="0" w:color="auto"/>
      </w:divBdr>
    </w:div>
    <w:div w:id="310988313">
      <w:bodyDiv w:val="1"/>
      <w:marLeft w:val="0"/>
      <w:marRight w:val="0"/>
      <w:marTop w:val="0"/>
      <w:marBottom w:val="0"/>
      <w:divBdr>
        <w:top w:val="none" w:sz="0" w:space="0" w:color="auto"/>
        <w:left w:val="none" w:sz="0" w:space="0" w:color="auto"/>
        <w:bottom w:val="none" w:sz="0" w:space="0" w:color="auto"/>
        <w:right w:val="none" w:sz="0" w:space="0" w:color="auto"/>
      </w:divBdr>
    </w:div>
    <w:div w:id="312030059">
      <w:bodyDiv w:val="1"/>
      <w:marLeft w:val="0"/>
      <w:marRight w:val="0"/>
      <w:marTop w:val="0"/>
      <w:marBottom w:val="0"/>
      <w:divBdr>
        <w:top w:val="none" w:sz="0" w:space="0" w:color="auto"/>
        <w:left w:val="none" w:sz="0" w:space="0" w:color="auto"/>
        <w:bottom w:val="none" w:sz="0" w:space="0" w:color="auto"/>
        <w:right w:val="none" w:sz="0" w:space="0" w:color="auto"/>
      </w:divBdr>
      <w:divsChild>
        <w:div w:id="380859483">
          <w:marLeft w:val="0"/>
          <w:marRight w:val="0"/>
          <w:marTop w:val="0"/>
          <w:marBottom w:val="0"/>
          <w:divBdr>
            <w:top w:val="none" w:sz="0" w:space="0" w:color="auto"/>
            <w:left w:val="none" w:sz="0" w:space="0" w:color="auto"/>
            <w:bottom w:val="none" w:sz="0" w:space="0" w:color="auto"/>
            <w:right w:val="none" w:sz="0" w:space="0" w:color="auto"/>
          </w:divBdr>
        </w:div>
        <w:div w:id="532349072">
          <w:marLeft w:val="0"/>
          <w:marRight w:val="0"/>
          <w:marTop w:val="0"/>
          <w:marBottom w:val="0"/>
          <w:divBdr>
            <w:top w:val="none" w:sz="0" w:space="0" w:color="auto"/>
            <w:left w:val="none" w:sz="0" w:space="0" w:color="auto"/>
            <w:bottom w:val="none" w:sz="0" w:space="0" w:color="auto"/>
            <w:right w:val="none" w:sz="0" w:space="0" w:color="auto"/>
          </w:divBdr>
        </w:div>
        <w:div w:id="991370489">
          <w:marLeft w:val="0"/>
          <w:marRight w:val="0"/>
          <w:marTop w:val="0"/>
          <w:marBottom w:val="0"/>
          <w:divBdr>
            <w:top w:val="none" w:sz="0" w:space="0" w:color="auto"/>
            <w:left w:val="none" w:sz="0" w:space="0" w:color="auto"/>
            <w:bottom w:val="none" w:sz="0" w:space="0" w:color="auto"/>
            <w:right w:val="none" w:sz="0" w:space="0" w:color="auto"/>
          </w:divBdr>
        </w:div>
        <w:div w:id="995962603">
          <w:marLeft w:val="0"/>
          <w:marRight w:val="0"/>
          <w:marTop w:val="0"/>
          <w:marBottom w:val="0"/>
          <w:divBdr>
            <w:top w:val="none" w:sz="0" w:space="0" w:color="auto"/>
            <w:left w:val="none" w:sz="0" w:space="0" w:color="auto"/>
            <w:bottom w:val="none" w:sz="0" w:space="0" w:color="auto"/>
            <w:right w:val="none" w:sz="0" w:space="0" w:color="auto"/>
          </w:divBdr>
        </w:div>
        <w:div w:id="1289387085">
          <w:marLeft w:val="0"/>
          <w:marRight w:val="0"/>
          <w:marTop w:val="0"/>
          <w:marBottom w:val="0"/>
          <w:divBdr>
            <w:top w:val="none" w:sz="0" w:space="0" w:color="auto"/>
            <w:left w:val="none" w:sz="0" w:space="0" w:color="auto"/>
            <w:bottom w:val="none" w:sz="0" w:space="0" w:color="auto"/>
            <w:right w:val="none" w:sz="0" w:space="0" w:color="auto"/>
          </w:divBdr>
        </w:div>
        <w:div w:id="1312901308">
          <w:marLeft w:val="0"/>
          <w:marRight w:val="0"/>
          <w:marTop w:val="0"/>
          <w:marBottom w:val="0"/>
          <w:divBdr>
            <w:top w:val="none" w:sz="0" w:space="0" w:color="auto"/>
            <w:left w:val="none" w:sz="0" w:space="0" w:color="auto"/>
            <w:bottom w:val="none" w:sz="0" w:space="0" w:color="auto"/>
            <w:right w:val="none" w:sz="0" w:space="0" w:color="auto"/>
          </w:divBdr>
        </w:div>
        <w:div w:id="1598828143">
          <w:marLeft w:val="0"/>
          <w:marRight w:val="0"/>
          <w:marTop w:val="0"/>
          <w:marBottom w:val="0"/>
          <w:divBdr>
            <w:top w:val="none" w:sz="0" w:space="0" w:color="auto"/>
            <w:left w:val="none" w:sz="0" w:space="0" w:color="auto"/>
            <w:bottom w:val="none" w:sz="0" w:space="0" w:color="auto"/>
            <w:right w:val="none" w:sz="0" w:space="0" w:color="auto"/>
          </w:divBdr>
        </w:div>
        <w:div w:id="1758481376">
          <w:marLeft w:val="0"/>
          <w:marRight w:val="0"/>
          <w:marTop w:val="0"/>
          <w:marBottom w:val="0"/>
          <w:divBdr>
            <w:top w:val="none" w:sz="0" w:space="0" w:color="auto"/>
            <w:left w:val="none" w:sz="0" w:space="0" w:color="auto"/>
            <w:bottom w:val="none" w:sz="0" w:space="0" w:color="auto"/>
            <w:right w:val="none" w:sz="0" w:space="0" w:color="auto"/>
          </w:divBdr>
        </w:div>
        <w:div w:id="1874074778">
          <w:marLeft w:val="0"/>
          <w:marRight w:val="0"/>
          <w:marTop w:val="0"/>
          <w:marBottom w:val="0"/>
          <w:divBdr>
            <w:top w:val="none" w:sz="0" w:space="0" w:color="auto"/>
            <w:left w:val="none" w:sz="0" w:space="0" w:color="auto"/>
            <w:bottom w:val="none" w:sz="0" w:space="0" w:color="auto"/>
            <w:right w:val="none" w:sz="0" w:space="0" w:color="auto"/>
          </w:divBdr>
        </w:div>
        <w:div w:id="1911960367">
          <w:marLeft w:val="0"/>
          <w:marRight w:val="0"/>
          <w:marTop w:val="0"/>
          <w:marBottom w:val="0"/>
          <w:divBdr>
            <w:top w:val="none" w:sz="0" w:space="0" w:color="auto"/>
            <w:left w:val="none" w:sz="0" w:space="0" w:color="auto"/>
            <w:bottom w:val="none" w:sz="0" w:space="0" w:color="auto"/>
            <w:right w:val="none" w:sz="0" w:space="0" w:color="auto"/>
          </w:divBdr>
        </w:div>
      </w:divsChild>
    </w:div>
    <w:div w:id="312216946">
      <w:bodyDiv w:val="1"/>
      <w:marLeft w:val="0"/>
      <w:marRight w:val="0"/>
      <w:marTop w:val="0"/>
      <w:marBottom w:val="0"/>
      <w:divBdr>
        <w:top w:val="none" w:sz="0" w:space="0" w:color="auto"/>
        <w:left w:val="none" w:sz="0" w:space="0" w:color="auto"/>
        <w:bottom w:val="none" w:sz="0" w:space="0" w:color="auto"/>
        <w:right w:val="none" w:sz="0" w:space="0" w:color="auto"/>
      </w:divBdr>
    </w:div>
    <w:div w:id="314575486">
      <w:bodyDiv w:val="1"/>
      <w:marLeft w:val="0"/>
      <w:marRight w:val="0"/>
      <w:marTop w:val="0"/>
      <w:marBottom w:val="0"/>
      <w:divBdr>
        <w:top w:val="none" w:sz="0" w:space="0" w:color="auto"/>
        <w:left w:val="none" w:sz="0" w:space="0" w:color="auto"/>
        <w:bottom w:val="none" w:sz="0" w:space="0" w:color="auto"/>
        <w:right w:val="none" w:sz="0" w:space="0" w:color="auto"/>
      </w:divBdr>
    </w:div>
    <w:div w:id="315035897">
      <w:bodyDiv w:val="1"/>
      <w:marLeft w:val="0"/>
      <w:marRight w:val="0"/>
      <w:marTop w:val="0"/>
      <w:marBottom w:val="0"/>
      <w:divBdr>
        <w:top w:val="none" w:sz="0" w:space="0" w:color="auto"/>
        <w:left w:val="none" w:sz="0" w:space="0" w:color="auto"/>
        <w:bottom w:val="none" w:sz="0" w:space="0" w:color="auto"/>
        <w:right w:val="none" w:sz="0" w:space="0" w:color="auto"/>
      </w:divBdr>
    </w:div>
    <w:div w:id="316300889">
      <w:bodyDiv w:val="1"/>
      <w:marLeft w:val="0"/>
      <w:marRight w:val="0"/>
      <w:marTop w:val="0"/>
      <w:marBottom w:val="0"/>
      <w:divBdr>
        <w:top w:val="none" w:sz="0" w:space="0" w:color="auto"/>
        <w:left w:val="none" w:sz="0" w:space="0" w:color="auto"/>
        <w:bottom w:val="none" w:sz="0" w:space="0" w:color="auto"/>
        <w:right w:val="none" w:sz="0" w:space="0" w:color="auto"/>
      </w:divBdr>
    </w:div>
    <w:div w:id="316420210">
      <w:bodyDiv w:val="1"/>
      <w:marLeft w:val="0"/>
      <w:marRight w:val="0"/>
      <w:marTop w:val="0"/>
      <w:marBottom w:val="0"/>
      <w:divBdr>
        <w:top w:val="none" w:sz="0" w:space="0" w:color="auto"/>
        <w:left w:val="none" w:sz="0" w:space="0" w:color="auto"/>
        <w:bottom w:val="none" w:sz="0" w:space="0" w:color="auto"/>
        <w:right w:val="none" w:sz="0" w:space="0" w:color="auto"/>
      </w:divBdr>
    </w:div>
    <w:div w:id="317266775">
      <w:bodyDiv w:val="1"/>
      <w:marLeft w:val="0"/>
      <w:marRight w:val="0"/>
      <w:marTop w:val="0"/>
      <w:marBottom w:val="0"/>
      <w:divBdr>
        <w:top w:val="none" w:sz="0" w:space="0" w:color="auto"/>
        <w:left w:val="none" w:sz="0" w:space="0" w:color="auto"/>
        <w:bottom w:val="none" w:sz="0" w:space="0" w:color="auto"/>
        <w:right w:val="none" w:sz="0" w:space="0" w:color="auto"/>
      </w:divBdr>
    </w:div>
    <w:div w:id="317344451">
      <w:bodyDiv w:val="1"/>
      <w:marLeft w:val="0"/>
      <w:marRight w:val="0"/>
      <w:marTop w:val="0"/>
      <w:marBottom w:val="0"/>
      <w:divBdr>
        <w:top w:val="none" w:sz="0" w:space="0" w:color="auto"/>
        <w:left w:val="none" w:sz="0" w:space="0" w:color="auto"/>
        <w:bottom w:val="none" w:sz="0" w:space="0" w:color="auto"/>
        <w:right w:val="none" w:sz="0" w:space="0" w:color="auto"/>
      </w:divBdr>
    </w:div>
    <w:div w:id="318267181">
      <w:bodyDiv w:val="1"/>
      <w:marLeft w:val="0"/>
      <w:marRight w:val="0"/>
      <w:marTop w:val="0"/>
      <w:marBottom w:val="0"/>
      <w:divBdr>
        <w:top w:val="none" w:sz="0" w:space="0" w:color="auto"/>
        <w:left w:val="none" w:sz="0" w:space="0" w:color="auto"/>
        <w:bottom w:val="none" w:sz="0" w:space="0" w:color="auto"/>
        <w:right w:val="none" w:sz="0" w:space="0" w:color="auto"/>
      </w:divBdr>
    </w:div>
    <w:div w:id="318267508">
      <w:bodyDiv w:val="1"/>
      <w:marLeft w:val="0"/>
      <w:marRight w:val="0"/>
      <w:marTop w:val="0"/>
      <w:marBottom w:val="0"/>
      <w:divBdr>
        <w:top w:val="none" w:sz="0" w:space="0" w:color="auto"/>
        <w:left w:val="none" w:sz="0" w:space="0" w:color="auto"/>
        <w:bottom w:val="none" w:sz="0" w:space="0" w:color="auto"/>
        <w:right w:val="none" w:sz="0" w:space="0" w:color="auto"/>
      </w:divBdr>
    </w:div>
    <w:div w:id="318778901">
      <w:bodyDiv w:val="1"/>
      <w:marLeft w:val="0"/>
      <w:marRight w:val="0"/>
      <w:marTop w:val="0"/>
      <w:marBottom w:val="0"/>
      <w:divBdr>
        <w:top w:val="none" w:sz="0" w:space="0" w:color="auto"/>
        <w:left w:val="none" w:sz="0" w:space="0" w:color="auto"/>
        <w:bottom w:val="none" w:sz="0" w:space="0" w:color="auto"/>
        <w:right w:val="none" w:sz="0" w:space="0" w:color="auto"/>
      </w:divBdr>
    </w:div>
    <w:div w:id="319578319">
      <w:bodyDiv w:val="1"/>
      <w:marLeft w:val="0"/>
      <w:marRight w:val="0"/>
      <w:marTop w:val="0"/>
      <w:marBottom w:val="0"/>
      <w:divBdr>
        <w:top w:val="none" w:sz="0" w:space="0" w:color="auto"/>
        <w:left w:val="none" w:sz="0" w:space="0" w:color="auto"/>
        <w:bottom w:val="none" w:sz="0" w:space="0" w:color="auto"/>
        <w:right w:val="none" w:sz="0" w:space="0" w:color="auto"/>
      </w:divBdr>
    </w:div>
    <w:div w:id="320087066">
      <w:bodyDiv w:val="1"/>
      <w:marLeft w:val="0"/>
      <w:marRight w:val="0"/>
      <w:marTop w:val="0"/>
      <w:marBottom w:val="0"/>
      <w:divBdr>
        <w:top w:val="none" w:sz="0" w:space="0" w:color="auto"/>
        <w:left w:val="none" w:sz="0" w:space="0" w:color="auto"/>
        <w:bottom w:val="none" w:sz="0" w:space="0" w:color="auto"/>
        <w:right w:val="none" w:sz="0" w:space="0" w:color="auto"/>
      </w:divBdr>
    </w:div>
    <w:div w:id="320237369">
      <w:bodyDiv w:val="1"/>
      <w:marLeft w:val="0"/>
      <w:marRight w:val="0"/>
      <w:marTop w:val="0"/>
      <w:marBottom w:val="0"/>
      <w:divBdr>
        <w:top w:val="none" w:sz="0" w:space="0" w:color="auto"/>
        <w:left w:val="none" w:sz="0" w:space="0" w:color="auto"/>
        <w:bottom w:val="none" w:sz="0" w:space="0" w:color="auto"/>
        <w:right w:val="none" w:sz="0" w:space="0" w:color="auto"/>
      </w:divBdr>
    </w:div>
    <w:div w:id="320693061">
      <w:bodyDiv w:val="1"/>
      <w:marLeft w:val="0"/>
      <w:marRight w:val="0"/>
      <w:marTop w:val="0"/>
      <w:marBottom w:val="0"/>
      <w:divBdr>
        <w:top w:val="none" w:sz="0" w:space="0" w:color="auto"/>
        <w:left w:val="none" w:sz="0" w:space="0" w:color="auto"/>
        <w:bottom w:val="none" w:sz="0" w:space="0" w:color="auto"/>
        <w:right w:val="none" w:sz="0" w:space="0" w:color="auto"/>
      </w:divBdr>
    </w:div>
    <w:div w:id="321666487">
      <w:bodyDiv w:val="1"/>
      <w:marLeft w:val="0"/>
      <w:marRight w:val="0"/>
      <w:marTop w:val="0"/>
      <w:marBottom w:val="0"/>
      <w:divBdr>
        <w:top w:val="none" w:sz="0" w:space="0" w:color="auto"/>
        <w:left w:val="none" w:sz="0" w:space="0" w:color="auto"/>
        <w:bottom w:val="none" w:sz="0" w:space="0" w:color="auto"/>
        <w:right w:val="none" w:sz="0" w:space="0" w:color="auto"/>
      </w:divBdr>
    </w:div>
    <w:div w:id="322323007">
      <w:bodyDiv w:val="1"/>
      <w:marLeft w:val="0"/>
      <w:marRight w:val="0"/>
      <w:marTop w:val="0"/>
      <w:marBottom w:val="0"/>
      <w:divBdr>
        <w:top w:val="none" w:sz="0" w:space="0" w:color="auto"/>
        <w:left w:val="none" w:sz="0" w:space="0" w:color="auto"/>
        <w:bottom w:val="none" w:sz="0" w:space="0" w:color="auto"/>
        <w:right w:val="none" w:sz="0" w:space="0" w:color="auto"/>
      </w:divBdr>
    </w:div>
    <w:div w:id="322666379">
      <w:bodyDiv w:val="1"/>
      <w:marLeft w:val="0"/>
      <w:marRight w:val="0"/>
      <w:marTop w:val="0"/>
      <w:marBottom w:val="0"/>
      <w:divBdr>
        <w:top w:val="none" w:sz="0" w:space="0" w:color="auto"/>
        <w:left w:val="none" w:sz="0" w:space="0" w:color="auto"/>
        <w:bottom w:val="none" w:sz="0" w:space="0" w:color="auto"/>
        <w:right w:val="none" w:sz="0" w:space="0" w:color="auto"/>
      </w:divBdr>
    </w:div>
    <w:div w:id="323359822">
      <w:bodyDiv w:val="1"/>
      <w:marLeft w:val="0"/>
      <w:marRight w:val="0"/>
      <w:marTop w:val="0"/>
      <w:marBottom w:val="0"/>
      <w:divBdr>
        <w:top w:val="none" w:sz="0" w:space="0" w:color="auto"/>
        <w:left w:val="none" w:sz="0" w:space="0" w:color="auto"/>
        <w:bottom w:val="none" w:sz="0" w:space="0" w:color="auto"/>
        <w:right w:val="none" w:sz="0" w:space="0" w:color="auto"/>
      </w:divBdr>
    </w:div>
    <w:div w:id="324284053">
      <w:bodyDiv w:val="1"/>
      <w:marLeft w:val="0"/>
      <w:marRight w:val="0"/>
      <w:marTop w:val="0"/>
      <w:marBottom w:val="0"/>
      <w:divBdr>
        <w:top w:val="none" w:sz="0" w:space="0" w:color="auto"/>
        <w:left w:val="none" w:sz="0" w:space="0" w:color="auto"/>
        <w:bottom w:val="none" w:sz="0" w:space="0" w:color="auto"/>
        <w:right w:val="none" w:sz="0" w:space="0" w:color="auto"/>
      </w:divBdr>
    </w:div>
    <w:div w:id="324669923">
      <w:bodyDiv w:val="1"/>
      <w:marLeft w:val="0"/>
      <w:marRight w:val="0"/>
      <w:marTop w:val="0"/>
      <w:marBottom w:val="0"/>
      <w:divBdr>
        <w:top w:val="none" w:sz="0" w:space="0" w:color="auto"/>
        <w:left w:val="none" w:sz="0" w:space="0" w:color="auto"/>
        <w:bottom w:val="none" w:sz="0" w:space="0" w:color="auto"/>
        <w:right w:val="none" w:sz="0" w:space="0" w:color="auto"/>
      </w:divBdr>
    </w:div>
    <w:div w:id="325205152">
      <w:bodyDiv w:val="1"/>
      <w:marLeft w:val="0"/>
      <w:marRight w:val="0"/>
      <w:marTop w:val="0"/>
      <w:marBottom w:val="0"/>
      <w:divBdr>
        <w:top w:val="none" w:sz="0" w:space="0" w:color="auto"/>
        <w:left w:val="none" w:sz="0" w:space="0" w:color="auto"/>
        <w:bottom w:val="none" w:sz="0" w:space="0" w:color="auto"/>
        <w:right w:val="none" w:sz="0" w:space="0" w:color="auto"/>
      </w:divBdr>
    </w:div>
    <w:div w:id="325323243">
      <w:bodyDiv w:val="1"/>
      <w:marLeft w:val="0"/>
      <w:marRight w:val="0"/>
      <w:marTop w:val="0"/>
      <w:marBottom w:val="0"/>
      <w:divBdr>
        <w:top w:val="none" w:sz="0" w:space="0" w:color="auto"/>
        <w:left w:val="none" w:sz="0" w:space="0" w:color="auto"/>
        <w:bottom w:val="none" w:sz="0" w:space="0" w:color="auto"/>
        <w:right w:val="none" w:sz="0" w:space="0" w:color="auto"/>
      </w:divBdr>
    </w:div>
    <w:div w:id="325522186">
      <w:bodyDiv w:val="1"/>
      <w:marLeft w:val="0"/>
      <w:marRight w:val="0"/>
      <w:marTop w:val="0"/>
      <w:marBottom w:val="0"/>
      <w:divBdr>
        <w:top w:val="none" w:sz="0" w:space="0" w:color="auto"/>
        <w:left w:val="none" w:sz="0" w:space="0" w:color="auto"/>
        <w:bottom w:val="none" w:sz="0" w:space="0" w:color="auto"/>
        <w:right w:val="none" w:sz="0" w:space="0" w:color="auto"/>
      </w:divBdr>
    </w:div>
    <w:div w:id="325935881">
      <w:bodyDiv w:val="1"/>
      <w:marLeft w:val="0"/>
      <w:marRight w:val="0"/>
      <w:marTop w:val="0"/>
      <w:marBottom w:val="0"/>
      <w:divBdr>
        <w:top w:val="none" w:sz="0" w:space="0" w:color="auto"/>
        <w:left w:val="none" w:sz="0" w:space="0" w:color="auto"/>
        <w:bottom w:val="none" w:sz="0" w:space="0" w:color="auto"/>
        <w:right w:val="none" w:sz="0" w:space="0" w:color="auto"/>
      </w:divBdr>
    </w:div>
    <w:div w:id="326249284">
      <w:bodyDiv w:val="1"/>
      <w:marLeft w:val="0"/>
      <w:marRight w:val="0"/>
      <w:marTop w:val="0"/>
      <w:marBottom w:val="0"/>
      <w:divBdr>
        <w:top w:val="none" w:sz="0" w:space="0" w:color="auto"/>
        <w:left w:val="none" w:sz="0" w:space="0" w:color="auto"/>
        <w:bottom w:val="none" w:sz="0" w:space="0" w:color="auto"/>
        <w:right w:val="none" w:sz="0" w:space="0" w:color="auto"/>
      </w:divBdr>
    </w:div>
    <w:div w:id="328414350">
      <w:bodyDiv w:val="1"/>
      <w:marLeft w:val="0"/>
      <w:marRight w:val="0"/>
      <w:marTop w:val="0"/>
      <w:marBottom w:val="0"/>
      <w:divBdr>
        <w:top w:val="none" w:sz="0" w:space="0" w:color="auto"/>
        <w:left w:val="none" w:sz="0" w:space="0" w:color="auto"/>
        <w:bottom w:val="none" w:sz="0" w:space="0" w:color="auto"/>
        <w:right w:val="none" w:sz="0" w:space="0" w:color="auto"/>
      </w:divBdr>
    </w:div>
    <w:div w:id="328947293">
      <w:bodyDiv w:val="1"/>
      <w:marLeft w:val="0"/>
      <w:marRight w:val="0"/>
      <w:marTop w:val="0"/>
      <w:marBottom w:val="0"/>
      <w:divBdr>
        <w:top w:val="none" w:sz="0" w:space="0" w:color="auto"/>
        <w:left w:val="none" w:sz="0" w:space="0" w:color="auto"/>
        <w:bottom w:val="none" w:sz="0" w:space="0" w:color="auto"/>
        <w:right w:val="none" w:sz="0" w:space="0" w:color="auto"/>
      </w:divBdr>
    </w:div>
    <w:div w:id="329990143">
      <w:bodyDiv w:val="1"/>
      <w:marLeft w:val="0"/>
      <w:marRight w:val="0"/>
      <w:marTop w:val="0"/>
      <w:marBottom w:val="0"/>
      <w:divBdr>
        <w:top w:val="none" w:sz="0" w:space="0" w:color="auto"/>
        <w:left w:val="none" w:sz="0" w:space="0" w:color="auto"/>
        <w:bottom w:val="none" w:sz="0" w:space="0" w:color="auto"/>
        <w:right w:val="none" w:sz="0" w:space="0" w:color="auto"/>
      </w:divBdr>
    </w:div>
    <w:div w:id="332614774">
      <w:bodyDiv w:val="1"/>
      <w:marLeft w:val="0"/>
      <w:marRight w:val="0"/>
      <w:marTop w:val="0"/>
      <w:marBottom w:val="0"/>
      <w:divBdr>
        <w:top w:val="none" w:sz="0" w:space="0" w:color="auto"/>
        <w:left w:val="none" w:sz="0" w:space="0" w:color="auto"/>
        <w:bottom w:val="none" w:sz="0" w:space="0" w:color="auto"/>
        <w:right w:val="none" w:sz="0" w:space="0" w:color="auto"/>
      </w:divBdr>
    </w:div>
    <w:div w:id="332682788">
      <w:bodyDiv w:val="1"/>
      <w:marLeft w:val="0"/>
      <w:marRight w:val="0"/>
      <w:marTop w:val="0"/>
      <w:marBottom w:val="0"/>
      <w:divBdr>
        <w:top w:val="none" w:sz="0" w:space="0" w:color="auto"/>
        <w:left w:val="none" w:sz="0" w:space="0" w:color="auto"/>
        <w:bottom w:val="none" w:sz="0" w:space="0" w:color="auto"/>
        <w:right w:val="none" w:sz="0" w:space="0" w:color="auto"/>
      </w:divBdr>
    </w:div>
    <w:div w:id="332803982">
      <w:bodyDiv w:val="1"/>
      <w:marLeft w:val="0"/>
      <w:marRight w:val="0"/>
      <w:marTop w:val="0"/>
      <w:marBottom w:val="0"/>
      <w:divBdr>
        <w:top w:val="none" w:sz="0" w:space="0" w:color="auto"/>
        <w:left w:val="none" w:sz="0" w:space="0" w:color="auto"/>
        <w:bottom w:val="none" w:sz="0" w:space="0" w:color="auto"/>
        <w:right w:val="none" w:sz="0" w:space="0" w:color="auto"/>
      </w:divBdr>
    </w:div>
    <w:div w:id="332953468">
      <w:bodyDiv w:val="1"/>
      <w:marLeft w:val="0"/>
      <w:marRight w:val="0"/>
      <w:marTop w:val="0"/>
      <w:marBottom w:val="0"/>
      <w:divBdr>
        <w:top w:val="none" w:sz="0" w:space="0" w:color="auto"/>
        <w:left w:val="none" w:sz="0" w:space="0" w:color="auto"/>
        <w:bottom w:val="none" w:sz="0" w:space="0" w:color="auto"/>
        <w:right w:val="none" w:sz="0" w:space="0" w:color="auto"/>
      </w:divBdr>
    </w:div>
    <w:div w:id="333074613">
      <w:bodyDiv w:val="1"/>
      <w:marLeft w:val="0"/>
      <w:marRight w:val="0"/>
      <w:marTop w:val="0"/>
      <w:marBottom w:val="0"/>
      <w:divBdr>
        <w:top w:val="none" w:sz="0" w:space="0" w:color="auto"/>
        <w:left w:val="none" w:sz="0" w:space="0" w:color="auto"/>
        <w:bottom w:val="none" w:sz="0" w:space="0" w:color="auto"/>
        <w:right w:val="none" w:sz="0" w:space="0" w:color="auto"/>
      </w:divBdr>
    </w:div>
    <w:div w:id="333265587">
      <w:bodyDiv w:val="1"/>
      <w:marLeft w:val="0"/>
      <w:marRight w:val="0"/>
      <w:marTop w:val="0"/>
      <w:marBottom w:val="0"/>
      <w:divBdr>
        <w:top w:val="none" w:sz="0" w:space="0" w:color="auto"/>
        <w:left w:val="none" w:sz="0" w:space="0" w:color="auto"/>
        <w:bottom w:val="none" w:sz="0" w:space="0" w:color="auto"/>
        <w:right w:val="none" w:sz="0" w:space="0" w:color="auto"/>
      </w:divBdr>
    </w:div>
    <w:div w:id="333337661">
      <w:bodyDiv w:val="1"/>
      <w:marLeft w:val="0"/>
      <w:marRight w:val="0"/>
      <w:marTop w:val="0"/>
      <w:marBottom w:val="0"/>
      <w:divBdr>
        <w:top w:val="none" w:sz="0" w:space="0" w:color="auto"/>
        <w:left w:val="none" w:sz="0" w:space="0" w:color="auto"/>
        <w:bottom w:val="none" w:sz="0" w:space="0" w:color="auto"/>
        <w:right w:val="none" w:sz="0" w:space="0" w:color="auto"/>
      </w:divBdr>
    </w:div>
    <w:div w:id="333579135">
      <w:bodyDiv w:val="1"/>
      <w:marLeft w:val="0"/>
      <w:marRight w:val="0"/>
      <w:marTop w:val="0"/>
      <w:marBottom w:val="0"/>
      <w:divBdr>
        <w:top w:val="none" w:sz="0" w:space="0" w:color="auto"/>
        <w:left w:val="none" w:sz="0" w:space="0" w:color="auto"/>
        <w:bottom w:val="none" w:sz="0" w:space="0" w:color="auto"/>
        <w:right w:val="none" w:sz="0" w:space="0" w:color="auto"/>
      </w:divBdr>
    </w:div>
    <w:div w:id="334311221">
      <w:bodyDiv w:val="1"/>
      <w:marLeft w:val="0"/>
      <w:marRight w:val="0"/>
      <w:marTop w:val="0"/>
      <w:marBottom w:val="0"/>
      <w:divBdr>
        <w:top w:val="none" w:sz="0" w:space="0" w:color="auto"/>
        <w:left w:val="none" w:sz="0" w:space="0" w:color="auto"/>
        <w:bottom w:val="none" w:sz="0" w:space="0" w:color="auto"/>
        <w:right w:val="none" w:sz="0" w:space="0" w:color="auto"/>
      </w:divBdr>
      <w:divsChild>
        <w:div w:id="86923210">
          <w:marLeft w:val="0"/>
          <w:marRight w:val="0"/>
          <w:marTop w:val="0"/>
          <w:marBottom w:val="0"/>
          <w:divBdr>
            <w:top w:val="none" w:sz="0" w:space="0" w:color="auto"/>
            <w:left w:val="none" w:sz="0" w:space="0" w:color="auto"/>
            <w:bottom w:val="none" w:sz="0" w:space="0" w:color="auto"/>
            <w:right w:val="none" w:sz="0" w:space="0" w:color="auto"/>
          </w:divBdr>
        </w:div>
      </w:divsChild>
    </w:div>
    <w:div w:id="334845260">
      <w:bodyDiv w:val="1"/>
      <w:marLeft w:val="0"/>
      <w:marRight w:val="0"/>
      <w:marTop w:val="0"/>
      <w:marBottom w:val="0"/>
      <w:divBdr>
        <w:top w:val="none" w:sz="0" w:space="0" w:color="auto"/>
        <w:left w:val="none" w:sz="0" w:space="0" w:color="auto"/>
        <w:bottom w:val="none" w:sz="0" w:space="0" w:color="auto"/>
        <w:right w:val="none" w:sz="0" w:space="0" w:color="auto"/>
      </w:divBdr>
    </w:div>
    <w:div w:id="33511152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45779">
      <w:bodyDiv w:val="1"/>
      <w:marLeft w:val="0"/>
      <w:marRight w:val="0"/>
      <w:marTop w:val="0"/>
      <w:marBottom w:val="0"/>
      <w:divBdr>
        <w:top w:val="none" w:sz="0" w:space="0" w:color="auto"/>
        <w:left w:val="none" w:sz="0" w:space="0" w:color="auto"/>
        <w:bottom w:val="none" w:sz="0" w:space="0" w:color="auto"/>
        <w:right w:val="none" w:sz="0" w:space="0" w:color="auto"/>
      </w:divBdr>
    </w:div>
    <w:div w:id="336462214">
      <w:bodyDiv w:val="1"/>
      <w:marLeft w:val="0"/>
      <w:marRight w:val="0"/>
      <w:marTop w:val="0"/>
      <w:marBottom w:val="0"/>
      <w:divBdr>
        <w:top w:val="none" w:sz="0" w:space="0" w:color="auto"/>
        <w:left w:val="none" w:sz="0" w:space="0" w:color="auto"/>
        <w:bottom w:val="none" w:sz="0" w:space="0" w:color="auto"/>
        <w:right w:val="none" w:sz="0" w:space="0" w:color="auto"/>
      </w:divBdr>
    </w:div>
    <w:div w:id="337778685">
      <w:bodyDiv w:val="1"/>
      <w:marLeft w:val="0"/>
      <w:marRight w:val="0"/>
      <w:marTop w:val="0"/>
      <w:marBottom w:val="0"/>
      <w:divBdr>
        <w:top w:val="none" w:sz="0" w:space="0" w:color="auto"/>
        <w:left w:val="none" w:sz="0" w:space="0" w:color="auto"/>
        <w:bottom w:val="none" w:sz="0" w:space="0" w:color="auto"/>
        <w:right w:val="none" w:sz="0" w:space="0" w:color="auto"/>
      </w:divBdr>
    </w:div>
    <w:div w:id="337970549">
      <w:bodyDiv w:val="1"/>
      <w:marLeft w:val="0"/>
      <w:marRight w:val="0"/>
      <w:marTop w:val="0"/>
      <w:marBottom w:val="0"/>
      <w:divBdr>
        <w:top w:val="none" w:sz="0" w:space="0" w:color="auto"/>
        <w:left w:val="none" w:sz="0" w:space="0" w:color="auto"/>
        <w:bottom w:val="none" w:sz="0" w:space="0" w:color="auto"/>
        <w:right w:val="none" w:sz="0" w:space="0" w:color="auto"/>
      </w:divBdr>
    </w:div>
    <w:div w:id="338119931">
      <w:bodyDiv w:val="1"/>
      <w:marLeft w:val="0"/>
      <w:marRight w:val="0"/>
      <w:marTop w:val="0"/>
      <w:marBottom w:val="0"/>
      <w:divBdr>
        <w:top w:val="none" w:sz="0" w:space="0" w:color="auto"/>
        <w:left w:val="none" w:sz="0" w:space="0" w:color="auto"/>
        <w:bottom w:val="none" w:sz="0" w:space="0" w:color="auto"/>
        <w:right w:val="none" w:sz="0" w:space="0" w:color="auto"/>
      </w:divBdr>
    </w:div>
    <w:div w:id="338315066">
      <w:bodyDiv w:val="1"/>
      <w:marLeft w:val="0"/>
      <w:marRight w:val="0"/>
      <w:marTop w:val="0"/>
      <w:marBottom w:val="0"/>
      <w:divBdr>
        <w:top w:val="none" w:sz="0" w:space="0" w:color="auto"/>
        <w:left w:val="none" w:sz="0" w:space="0" w:color="auto"/>
        <w:bottom w:val="none" w:sz="0" w:space="0" w:color="auto"/>
        <w:right w:val="none" w:sz="0" w:space="0" w:color="auto"/>
      </w:divBdr>
    </w:div>
    <w:div w:id="338628520">
      <w:bodyDiv w:val="1"/>
      <w:marLeft w:val="0"/>
      <w:marRight w:val="0"/>
      <w:marTop w:val="0"/>
      <w:marBottom w:val="0"/>
      <w:divBdr>
        <w:top w:val="none" w:sz="0" w:space="0" w:color="auto"/>
        <w:left w:val="none" w:sz="0" w:space="0" w:color="auto"/>
        <w:bottom w:val="none" w:sz="0" w:space="0" w:color="auto"/>
        <w:right w:val="none" w:sz="0" w:space="0" w:color="auto"/>
      </w:divBdr>
    </w:div>
    <w:div w:id="339237390">
      <w:bodyDiv w:val="1"/>
      <w:marLeft w:val="0"/>
      <w:marRight w:val="0"/>
      <w:marTop w:val="0"/>
      <w:marBottom w:val="0"/>
      <w:divBdr>
        <w:top w:val="none" w:sz="0" w:space="0" w:color="auto"/>
        <w:left w:val="none" w:sz="0" w:space="0" w:color="auto"/>
        <w:bottom w:val="none" w:sz="0" w:space="0" w:color="auto"/>
        <w:right w:val="none" w:sz="0" w:space="0" w:color="auto"/>
      </w:divBdr>
    </w:div>
    <w:div w:id="339356571">
      <w:bodyDiv w:val="1"/>
      <w:marLeft w:val="0"/>
      <w:marRight w:val="0"/>
      <w:marTop w:val="0"/>
      <w:marBottom w:val="0"/>
      <w:divBdr>
        <w:top w:val="none" w:sz="0" w:space="0" w:color="auto"/>
        <w:left w:val="none" w:sz="0" w:space="0" w:color="auto"/>
        <w:bottom w:val="none" w:sz="0" w:space="0" w:color="auto"/>
        <w:right w:val="none" w:sz="0" w:space="0" w:color="auto"/>
      </w:divBdr>
    </w:div>
    <w:div w:id="340160036">
      <w:bodyDiv w:val="1"/>
      <w:marLeft w:val="0"/>
      <w:marRight w:val="0"/>
      <w:marTop w:val="0"/>
      <w:marBottom w:val="0"/>
      <w:divBdr>
        <w:top w:val="none" w:sz="0" w:space="0" w:color="auto"/>
        <w:left w:val="none" w:sz="0" w:space="0" w:color="auto"/>
        <w:bottom w:val="none" w:sz="0" w:space="0" w:color="auto"/>
        <w:right w:val="none" w:sz="0" w:space="0" w:color="auto"/>
      </w:divBdr>
    </w:div>
    <w:div w:id="341012073">
      <w:bodyDiv w:val="1"/>
      <w:marLeft w:val="0"/>
      <w:marRight w:val="0"/>
      <w:marTop w:val="0"/>
      <w:marBottom w:val="0"/>
      <w:divBdr>
        <w:top w:val="none" w:sz="0" w:space="0" w:color="auto"/>
        <w:left w:val="none" w:sz="0" w:space="0" w:color="auto"/>
        <w:bottom w:val="none" w:sz="0" w:space="0" w:color="auto"/>
        <w:right w:val="none" w:sz="0" w:space="0" w:color="auto"/>
      </w:divBdr>
    </w:div>
    <w:div w:id="341052652">
      <w:bodyDiv w:val="1"/>
      <w:marLeft w:val="0"/>
      <w:marRight w:val="0"/>
      <w:marTop w:val="0"/>
      <w:marBottom w:val="0"/>
      <w:divBdr>
        <w:top w:val="none" w:sz="0" w:space="0" w:color="auto"/>
        <w:left w:val="none" w:sz="0" w:space="0" w:color="auto"/>
        <w:bottom w:val="none" w:sz="0" w:space="0" w:color="auto"/>
        <w:right w:val="none" w:sz="0" w:space="0" w:color="auto"/>
      </w:divBdr>
    </w:div>
    <w:div w:id="341706724">
      <w:bodyDiv w:val="1"/>
      <w:marLeft w:val="0"/>
      <w:marRight w:val="0"/>
      <w:marTop w:val="0"/>
      <w:marBottom w:val="0"/>
      <w:divBdr>
        <w:top w:val="none" w:sz="0" w:space="0" w:color="auto"/>
        <w:left w:val="none" w:sz="0" w:space="0" w:color="auto"/>
        <w:bottom w:val="none" w:sz="0" w:space="0" w:color="auto"/>
        <w:right w:val="none" w:sz="0" w:space="0" w:color="auto"/>
      </w:divBdr>
    </w:div>
    <w:div w:id="341862243">
      <w:bodyDiv w:val="1"/>
      <w:marLeft w:val="0"/>
      <w:marRight w:val="0"/>
      <w:marTop w:val="0"/>
      <w:marBottom w:val="0"/>
      <w:divBdr>
        <w:top w:val="none" w:sz="0" w:space="0" w:color="auto"/>
        <w:left w:val="none" w:sz="0" w:space="0" w:color="auto"/>
        <w:bottom w:val="none" w:sz="0" w:space="0" w:color="auto"/>
        <w:right w:val="none" w:sz="0" w:space="0" w:color="auto"/>
      </w:divBdr>
    </w:div>
    <w:div w:id="342366780">
      <w:bodyDiv w:val="1"/>
      <w:marLeft w:val="0"/>
      <w:marRight w:val="0"/>
      <w:marTop w:val="0"/>
      <w:marBottom w:val="0"/>
      <w:divBdr>
        <w:top w:val="none" w:sz="0" w:space="0" w:color="auto"/>
        <w:left w:val="none" w:sz="0" w:space="0" w:color="auto"/>
        <w:bottom w:val="none" w:sz="0" w:space="0" w:color="auto"/>
        <w:right w:val="none" w:sz="0" w:space="0" w:color="auto"/>
      </w:divBdr>
    </w:div>
    <w:div w:id="343820995">
      <w:bodyDiv w:val="1"/>
      <w:marLeft w:val="0"/>
      <w:marRight w:val="0"/>
      <w:marTop w:val="0"/>
      <w:marBottom w:val="0"/>
      <w:divBdr>
        <w:top w:val="none" w:sz="0" w:space="0" w:color="auto"/>
        <w:left w:val="none" w:sz="0" w:space="0" w:color="auto"/>
        <w:bottom w:val="none" w:sz="0" w:space="0" w:color="auto"/>
        <w:right w:val="none" w:sz="0" w:space="0" w:color="auto"/>
      </w:divBdr>
    </w:div>
    <w:div w:id="344019652">
      <w:bodyDiv w:val="1"/>
      <w:marLeft w:val="0"/>
      <w:marRight w:val="0"/>
      <w:marTop w:val="0"/>
      <w:marBottom w:val="0"/>
      <w:divBdr>
        <w:top w:val="none" w:sz="0" w:space="0" w:color="auto"/>
        <w:left w:val="none" w:sz="0" w:space="0" w:color="auto"/>
        <w:bottom w:val="none" w:sz="0" w:space="0" w:color="auto"/>
        <w:right w:val="none" w:sz="0" w:space="0" w:color="auto"/>
      </w:divBdr>
    </w:div>
    <w:div w:id="344064182">
      <w:bodyDiv w:val="1"/>
      <w:marLeft w:val="0"/>
      <w:marRight w:val="0"/>
      <w:marTop w:val="0"/>
      <w:marBottom w:val="0"/>
      <w:divBdr>
        <w:top w:val="none" w:sz="0" w:space="0" w:color="auto"/>
        <w:left w:val="none" w:sz="0" w:space="0" w:color="auto"/>
        <w:bottom w:val="none" w:sz="0" w:space="0" w:color="auto"/>
        <w:right w:val="none" w:sz="0" w:space="0" w:color="auto"/>
      </w:divBdr>
    </w:div>
    <w:div w:id="345522582">
      <w:bodyDiv w:val="1"/>
      <w:marLeft w:val="0"/>
      <w:marRight w:val="0"/>
      <w:marTop w:val="0"/>
      <w:marBottom w:val="0"/>
      <w:divBdr>
        <w:top w:val="none" w:sz="0" w:space="0" w:color="auto"/>
        <w:left w:val="none" w:sz="0" w:space="0" w:color="auto"/>
        <w:bottom w:val="none" w:sz="0" w:space="0" w:color="auto"/>
        <w:right w:val="none" w:sz="0" w:space="0" w:color="auto"/>
      </w:divBdr>
    </w:div>
    <w:div w:id="345598391">
      <w:bodyDiv w:val="1"/>
      <w:marLeft w:val="0"/>
      <w:marRight w:val="0"/>
      <w:marTop w:val="0"/>
      <w:marBottom w:val="0"/>
      <w:divBdr>
        <w:top w:val="none" w:sz="0" w:space="0" w:color="auto"/>
        <w:left w:val="none" w:sz="0" w:space="0" w:color="auto"/>
        <w:bottom w:val="none" w:sz="0" w:space="0" w:color="auto"/>
        <w:right w:val="none" w:sz="0" w:space="0" w:color="auto"/>
      </w:divBdr>
    </w:div>
    <w:div w:id="345669511">
      <w:bodyDiv w:val="1"/>
      <w:marLeft w:val="0"/>
      <w:marRight w:val="0"/>
      <w:marTop w:val="0"/>
      <w:marBottom w:val="0"/>
      <w:divBdr>
        <w:top w:val="none" w:sz="0" w:space="0" w:color="auto"/>
        <w:left w:val="none" w:sz="0" w:space="0" w:color="auto"/>
        <w:bottom w:val="none" w:sz="0" w:space="0" w:color="auto"/>
        <w:right w:val="none" w:sz="0" w:space="0" w:color="auto"/>
      </w:divBdr>
    </w:div>
    <w:div w:id="346106665">
      <w:bodyDiv w:val="1"/>
      <w:marLeft w:val="0"/>
      <w:marRight w:val="0"/>
      <w:marTop w:val="0"/>
      <w:marBottom w:val="0"/>
      <w:divBdr>
        <w:top w:val="none" w:sz="0" w:space="0" w:color="auto"/>
        <w:left w:val="none" w:sz="0" w:space="0" w:color="auto"/>
        <w:bottom w:val="none" w:sz="0" w:space="0" w:color="auto"/>
        <w:right w:val="none" w:sz="0" w:space="0" w:color="auto"/>
      </w:divBdr>
    </w:div>
    <w:div w:id="347755583">
      <w:bodyDiv w:val="1"/>
      <w:marLeft w:val="0"/>
      <w:marRight w:val="0"/>
      <w:marTop w:val="0"/>
      <w:marBottom w:val="0"/>
      <w:divBdr>
        <w:top w:val="none" w:sz="0" w:space="0" w:color="auto"/>
        <w:left w:val="none" w:sz="0" w:space="0" w:color="auto"/>
        <w:bottom w:val="none" w:sz="0" w:space="0" w:color="auto"/>
        <w:right w:val="none" w:sz="0" w:space="0" w:color="auto"/>
      </w:divBdr>
    </w:div>
    <w:div w:id="348874179">
      <w:bodyDiv w:val="1"/>
      <w:marLeft w:val="0"/>
      <w:marRight w:val="0"/>
      <w:marTop w:val="0"/>
      <w:marBottom w:val="0"/>
      <w:divBdr>
        <w:top w:val="none" w:sz="0" w:space="0" w:color="auto"/>
        <w:left w:val="none" w:sz="0" w:space="0" w:color="auto"/>
        <w:bottom w:val="none" w:sz="0" w:space="0" w:color="auto"/>
        <w:right w:val="none" w:sz="0" w:space="0" w:color="auto"/>
      </w:divBdr>
    </w:div>
    <w:div w:id="348877998">
      <w:bodyDiv w:val="1"/>
      <w:marLeft w:val="0"/>
      <w:marRight w:val="0"/>
      <w:marTop w:val="0"/>
      <w:marBottom w:val="0"/>
      <w:divBdr>
        <w:top w:val="none" w:sz="0" w:space="0" w:color="auto"/>
        <w:left w:val="none" w:sz="0" w:space="0" w:color="auto"/>
        <w:bottom w:val="none" w:sz="0" w:space="0" w:color="auto"/>
        <w:right w:val="none" w:sz="0" w:space="0" w:color="auto"/>
      </w:divBdr>
    </w:div>
    <w:div w:id="349647151">
      <w:bodyDiv w:val="1"/>
      <w:marLeft w:val="0"/>
      <w:marRight w:val="0"/>
      <w:marTop w:val="0"/>
      <w:marBottom w:val="0"/>
      <w:divBdr>
        <w:top w:val="none" w:sz="0" w:space="0" w:color="auto"/>
        <w:left w:val="none" w:sz="0" w:space="0" w:color="auto"/>
        <w:bottom w:val="none" w:sz="0" w:space="0" w:color="auto"/>
        <w:right w:val="none" w:sz="0" w:space="0" w:color="auto"/>
      </w:divBdr>
    </w:div>
    <w:div w:id="350686375">
      <w:bodyDiv w:val="1"/>
      <w:marLeft w:val="0"/>
      <w:marRight w:val="0"/>
      <w:marTop w:val="0"/>
      <w:marBottom w:val="0"/>
      <w:divBdr>
        <w:top w:val="none" w:sz="0" w:space="0" w:color="auto"/>
        <w:left w:val="none" w:sz="0" w:space="0" w:color="auto"/>
        <w:bottom w:val="none" w:sz="0" w:space="0" w:color="auto"/>
        <w:right w:val="none" w:sz="0" w:space="0" w:color="auto"/>
      </w:divBdr>
    </w:div>
    <w:div w:id="350837272">
      <w:bodyDiv w:val="1"/>
      <w:marLeft w:val="0"/>
      <w:marRight w:val="0"/>
      <w:marTop w:val="0"/>
      <w:marBottom w:val="0"/>
      <w:divBdr>
        <w:top w:val="none" w:sz="0" w:space="0" w:color="auto"/>
        <w:left w:val="none" w:sz="0" w:space="0" w:color="auto"/>
        <w:bottom w:val="none" w:sz="0" w:space="0" w:color="auto"/>
        <w:right w:val="none" w:sz="0" w:space="0" w:color="auto"/>
      </w:divBdr>
    </w:div>
    <w:div w:id="351883626">
      <w:bodyDiv w:val="1"/>
      <w:marLeft w:val="0"/>
      <w:marRight w:val="0"/>
      <w:marTop w:val="0"/>
      <w:marBottom w:val="0"/>
      <w:divBdr>
        <w:top w:val="none" w:sz="0" w:space="0" w:color="auto"/>
        <w:left w:val="none" w:sz="0" w:space="0" w:color="auto"/>
        <w:bottom w:val="none" w:sz="0" w:space="0" w:color="auto"/>
        <w:right w:val="none" w:sz="0" w:space="0" w:color="auto"/>
      </w:divBdr>
    </w:div>
    <w:div w:id="351884232">
      <w:bodyDiv w:val="1"/>
      <w:marLeft w:val="0"/>
      <w:marRight w:val="0"/>
      <w:marTop w:val="0"/>
      <w:marBottom w:val="0"/>
      <w:divBdr>
        <w:top w:val="none" w:sz="0" w:space="0" w:color="auto"/>
        <w:left w:val="none" w:sz="0" w:space="0" w:color="auto"/>
        <w:bottom w:val="none" w:sz="0" w:space="0" w:color="auto"/>
        <w:right w:val="none" w:sz="0" w:space="0" w:color="auto"/>
      </w:divBdr>
    </w:div>
    <w:div w:id="352456751">
      <w:bodyDiv w:val="1"/>
      <w:marLeft w:val="0"/>
      <w:marRight w:val="0"/>
      <w:marTop w:val="0"/>
      <w:marBottom w:val="0"/>
      <w:divBdr>
        <w:top w:val="none" w:sz="0" w:space="0" w:color="auto"/>
        <w:left w:val="none" w:sz="0" w:space="0" w:color="auto"/>
        <w:bottom w:val="none" w:sz="0" w:space="0" w:color="auto"/>
        <w:right w:val="none" w:sz="0" w:space="0" w:color="auto"/>
      </w:divBdr>
    </w:div>
    <w:div w:id="352461602">
      <w:bodyDiv w:val="1"/>
      <w:marLeft w:val="0"/>
      <w:marRight w:val="0"/>
      <w:marTop w:val="0"/>
      <w:marBottom w:val="0"/>
      <w:divBdr>
        <w:top w:val="none" w:sz="0" w:space="0" w:color="auto"/>
        <w:left w:val="none" w:sz="0" w:space="0" w:color="auto"/>
        <w:bottom w:val="none" w:sz="0" w:space="0" w:color="auto"/>
        <w:right w:val="none" w:sz="0" w:space="0" w:color="auto"/>
      </w:divBdr>
    </w:div>
    <w:div w:id="354044898">
      <w:bodyDiv w:val="1"/>
      <w:marLeft w:val="0"/>
      <w:marRight w:val="0"/>
      <w:marTop w:val="0"/>
      <w:marBottom w:val="0"/>
      <w:divBdr>
        <w:top w:val="none" w:sz="0" w:space="0" w:color="auto"/>
        <w:left w:val="none" w:sz="0" w:space="0" w:color="auto"/>
        <w:bottom w:val="none" w:sz="0" w:space="0" w:color="auto"/>
        <w:right w:val="none" w:sz="0" w:space="0" w:color="auto"/>
      </w:divBdr>
    </w:div>
    <w:div w:id="354767856">
      <w:bodyDiv w:val="1"/>
      <w:marLeft w:val="0"/>
      <w:marRight w:val="0"/>
      <w:marTop w:val="0"/>
      <w:marBottom w:val="0"/>
      <w:divBdr>
        <w:top w:val="none" w:sz="0" w:space="0" w:color="auto"/>
        <w:left w:val="none" w:sz="0" w:space="0" w:color="auto"/>
        <w:bottom w:val="none" w:sz="0" w:space="0" w:color="auto"/>
        <w:right w:val="none" w:sz="0" w:space="0" w:color="auto"/>
      </w:divBdr>
    </w:div>
    <w:div w:id="354962593">
      <w:bodyDiv w:val="1"/>
      <w:marLeft w:val="0"/>
      <w:marRight w:val="0"/>
      <w:marTop w:val="0"/>
      <w:marBottom w:val="0"/>
      <w:divBdr>
        <w:top w:val="none" w:sz="0" w:space="0" w:color="auto"/>
        <w:left w:val="none" w:sz="0" w:space="0" w:color="auto"/>
        <w:bottom w:val="none" w:sz="0" w:space="0" w:color="auto"/>
        <w:right w:val="none" w:sz="0" w:space="0" w:color="auto"/>
      </w:divBdr>
    </w:div>
    <w:div w:id="355623624">
      <w:bodyDiv w:val="1"/>
      <w:marLeft w:val="0"/>
      <w:marRight w:val="0"/>
      <w:marTop w:val="0"/>
      <w:marBottom w:val="0"/>
      <w:divBdr>
        <w:top w:val="none" w:sz="0" w:space="0" w:color="auto"/>
        <w:left w:val="none" w:sz="0" w:space="0" w:color="auto"/>
        <w:bottom w:val="none" w:sz="0" w:space="0" w:color="auto"/>
        <w:right w:val="none" w:sz="0" w:space="0" w:color="auto"/>
      </w:divBdr>
    </w:div>
    <w:div w:id="357507896">
      <w:bodyDiv w:val="1"/>
      <w:marLeft w:val="0"/>
      <w:marRight w:val="0"/>
      <w:marTop w:val="0"/>
      <w:marBottom w:val="0"/>
      <w:divBdr>
        <w:top w:val="none" w:sz="0" w:space="0" w:color="auto"/>
        <w:left w:val="none" w:sz="0" w:space="0" w:color="auto"/>
        <w:bottom w:val="none" w:sz="0" w:space="0" w:color="auto"/>
        <w:right w:val="none" w:sz="0" w:space="0" w:color="auto"/>
      </w:divBdr>
    </w:div>
    <w:div w:id="357509823">
      <w:bodyDiv w:val="1"/>
      <w:marLeft w:val="0"/>
      <w:marRight w:val="0"/>
      <w:marTop w:val="0"/>
      <w:marBottom w:val="0"/>
      <w:divBdr>
        <w:top w:val="none" w:sz="0" w:space="0" w:color="auto"/>
        <w:left w:val="none" w:sz="0" w:space="0" w:color="auto"/>
        <w:bottom w:val="none" w:sz="0" w:space="0" w:color="auto"/>
        <w:right w:val="none" w:sz="0" w:space="0" w:color="auto"/>
      </w:divBdr>
    </w:div>
    <w:div w:id="361057765">
      <w:bodyDiv w:val="1"/>
      <w:marLeft w:val="0"/>
      <w:marRight w:val="0"/>
      <w:marTop w:val="0"/>
      <w:marBottom w:val="0"/>
      <w:divBdr>
        <w:top w:val="none" w:sz="0" w:space="0" w:color="auto"/>
        <w:left w:val="none" w:sz="0" w:space="0" w:color="auto"/>
        <w:bottom w:val="none" w:sz="0" w:space="0" w:color="auto"/>
        <w:right w:val="none" w:sz="0" w:space="0" w:color="auto"/>
      </w:divBdr>
    </w:div>
    <w:div w:id="361370231">
      <w:bodyDiv w:val="1"/>
      <w:marLeft w:val="0"/>
      <w:marRight w:val="0"/>
      <w:marTop w:val="0"/>
      <w:marBottom w:val="0"/>
      <w:divBdr>
        <w:top w:val="none" w:sz="0" w:space="0" w:color="auto"/>
        <w:left w:val="none" w:sz="0" w:space="0" w:color="auto"/>
        <w:bottom w:val="none" w:sz="0" w:space="0" w:color="auto"/>
        <w:right w:val="none" w:sz="0" w:space="0" w:color="auto"/>
      </w:divBdr>
    </w:div>
    <w:div w:id="361787167">
      <w:bodyDiv w:val="1"/>
      <w:marLeft w:val="0"/>
      <w:marRight w:val="0"/>
      <w:marTop w:val="0"/>
      <w:marBottom w:val="0"/>
      <w:divBdr>
        <w:top w:val="none" w:sz="0" w:space="0" w:color="auto"/>
        <w:left w:val="none" w:sz="0" w:space="0" w:color="auto"/>
        <w:bottom w:val="none" w:sz="0" w:space="0" w:color="auto"/>
        <w:right w:val="none" w:sz="0" w:space="0" w:color="auto"/>
      </w:divBdr>
    </w:div>
    <w:div w:id="361982912">
      <w:bodyDiv w:val="1"/>
      <w:marLeft w:val="0"/>
      <w:marRight w:val="0"/>
      <w:marTop w:val="0"/>
      <w:marBottom w:val="0"/>
      <w:divBdr>
        <w:top w:val="none" w:sz="0" w:space="0" w:color="auto"/>
        <w:left w:val="none" w:sz="0" w:space="0" w:color="auto"/>
        <w:bottom w:val="none" w:sz="0" w:space="0" w:color="auto"/>
        <w:right w:val="none" w:sz="0" w:space="0" w:color="auto"/>
      </w:divBdr>
    </w:div>
    <w:div w:id="362563127">
      <w:bodyDiv w:val="1"/>
      <w:marLeft w:val="0"/>
      <w:marRight w:val="0"/>
      <w:marTop w:val="0"/>
      <w:marBottom w:val="0"/>
      <w:divBdr>
        <w:top w:val="none" w:sz="0" w:space="0" w:color="auto"/>
        <w:left w:val="none" w:sz="0" w:space="0" w:color="auto"/>
        <w:bottom w:val="none" w:sz="0" w:space="0" w:color="auto"/>
        <w:right w:val="none" w:sz="0" w:space="0" w:color="auto"/>
      </w:divBdr>
    </w:div>
    <w:div w:id="363332165">
      <w:bodyDiv w:val="1"/>
      <w:marLeft w:val="0"/>
      <w:marRight w:val="0"/>
      <w:marTop w:val="0"/>
      <w:marBottom w:val="0"/>
      <w:divBdr>
        <w:top w:val="none" w:sz="0" w:space="0" w:color="auto"/>
        <w:left w:val="none" w:sz="0" w:space="0" w:color="auto"/>
        <w:bottom w:val="none" w:sz="0" w:space="0" w:color="auto"/>
        <w:right w:val="none" w:sz="0" w:space="0" w:color="auto"/>
      </w:divBdr>
    </w:div>
    <w:div w:id="364327752">
      <w:bodyDiv w:val="1"/>
      <w:marLeft w:val="0"/>
      <w:marRight w:val="0"/>
      <w:marTop w:val="0"/>
      <w:marBottom w:val="0"/>
      <w:divBdr>
        <w:top w:val="none" w:sz="0" w:space="0" w:color="auto"/>
        <w:left w:val="none" w:sz="0" w:space="0" w:color="auto"/>
        <w:bottom w:val="none" w:sz="0" w:space="0" w:color="auto"/>
        <w:right w:val="none" w:sz="0" w:space="0" w:color="auto"/>
      </w:divBdr>
    </w:div>
    <w:div w:id="364674651">
      <w:bodyDiv w:val="1"/>
      <w:marLeft w:val="0"/>
      <w:marRight w:val="0"/>
      <w:marTop w:val="0"/>
      <w:marBottom w:val="0"/>
      <w:divBdr>
        <w:top w:val="none" w:sz="0" w:space="0" w:color="auto"/>
        <w:left w:val="none" w:sz="0" w:space="0" w:color="auto"/>
        <w:bottom w:val="none" w:sz="0" w:space="0" w:color="auto"/>
        <w:right w:val="none" w:sz="0" w:space="0" w:color="auto"/>
      </w:divBdr>
    </w:div>
    <w:div w:id="365831798">
      <w:bodyDiv w:val="1"/>
      <w:marLeft w:val="0"/>
      <w:marRight w:val="0"/>
      <w:marTop w:val="0"/>
      <w:marBottom w:val="0"/>
      <w:divBdr>
        <w:top w:val="none" w:sz="0" w:space="0" w:color="auto"/>
        <w:left w:val="none" w:sz="0" w:space="0" w:color="auto"/>
        <w:bottom w:val="none" w:sz="0" w:space="0" w:color="auto"/>
        <w:right w:val="none" w:sz="0" w:space="0" w:color="auto"/>
      </w:divBdr>
    </w:div>
    <w:div w:id="366636592">
      <w:bodyDiv w:val="1"/>
      <w:marLeft w:val="0"/>
      <w:marRight w:val="0"/>
      <w:marTop w:val="0"/>
      <w:marBottom w:val="0"/>
      <w:divBdr>
        <w:top w:val="none" w:sz="0" w:space="0" w:color="auto"/>
        <w:left w:val="none" w:sz="0" w:space="0" w:color="auto"/>
        <w:bottom w:val="none" w:sz="0" w:space="0" w:color="auto"/>
        <w:right w:val="none" w:sz="0" w:space="0" w:color="auto"/>
      </w:divBdr>
    </w:div>
    <w:div w:id="367217429">
      <w:bodyDiv w:val="1"/>
      <w:marLeft w:val="0"/>
      <w:marRight w:val="0"/>
      <w:marTop w:val="0"/>
      <w:marBottom w:val="0"/>
      <w:divBdr>
        <w:top w:val="none" w:sz="0" w:space="0" w:color="auto"/>
        <w:left w:val="none" w:sz="0" w:space="0" w:color="auto"/>
        <w:bottom w:val="none" w:sz="0" w:space="0" w:color="auto"/>
        <w:right w:val="none" w:sz="0" w:space="0" w:color="auto"/>
      </w:divBdr>
    </w:div>
    <w:div w:id="367683083">
      <w:bodyDiv w:val="1"/>
      <w:marLeft w:val="0"/>
      <w:marRight w:val="0"/>
      <w:marTop w:val="0"/>
      <w:marBottom w:val="0"/>
      <w:divBdr>
        <w:top w:val="none" w:sz="0" w:space="0" w:color="auto"/>
        <w:left w:val="none" w:sz="0" w:space="0" w:color="auto"/>
        <w:bottom w:val="none" w:sz="0" w:space="0" w:color="auto"/>
        <w:right w:val="none" w:sz="0" w:space="0" w:color="auto"/>
      </w:divBdr>
    </w:div>
    <w:div w:id="369572799">
      <w:bodyDiv w:val="1"/>
      <w:marLeft w:val="0"/>
      <w:marRight w:val="0"/>
      <w:marTop w:val="0"/>
      <w:marBottom w:val="0"/>
      <w:divBdr>
        <w:top w:val="none" w:sz="0" w:space="0" w:color="auto"/>
        <w:left w:val="none" w:sz="0" w:space="0" w:color="auto"/>
        <w:bottom w:val="none" w:sz="0" w:space="0" w:color="auto"/>
        <w:right w:val="none" w:sz="0" w:space="0" w:color="auto"/>
      </w:divBdr>
    </w:div>
    <w:div w:id="369574952">
      <w:bodyDiv w:val="1"/>
      <w:marLeft w:val="0"/>
      <w:marRight w:val="0"/>
      <w:marTop w:val="0"/>
      <w:marBottom w:val="0"/>
      <w:divBdr>
        <w:top w:val="none" w:sz="0" w:space="0" w:color="auto"/>
        <w:left w:val="none" w:sz="0" w:space="0" w:color="auto"/>
        <w:bottom w:val="none" w:sz="0" w:space="0" w:color="auto"/>
        <w:right w:val="none" w:sz="0" w:space="0" w:color="auto"/>
      </w:divBdr>
    </w:div>
    <w:div w:id="370040103">
      <w:bodyDiv w:val="1"/>
      <w:marLeft w:val="0"/>
      <w:marRight w:val="0"/>
      <w:marTop w:val="0"/>
      <w:marBottom w:val="0"/>
      <w:divBdr>
        <w:top w:val="none" w:sz="0" w:space="0" w:color="auto"/>
        <w:left w:val="none" w:sz="0" w:space="0" w:color="auto"/>
        <w:bottom w:val="none" w:sz="0" w:space="0" w:color="auto"/>
        <w:right w:val="none" w:sz="0" w:space="0" w:color="auto"/>
      </w:divBdr>
    </w:div>
    <w:div w:id="370425131">
      <w:bodyDiv w:val="1"/>
      <w:marLeft w:val="0"/>
      <w:marRight w:val="0"/>
      <w:marTop w:val="0"/>
      <w:marBottom w:val="0"/>
      <w:divBdr>
        <w:top w:val="none" w:sz="0" w:space="0" w:color="auto"/>
        <w:left w:val="none" w:sz="0" w:space="0" w:color="auto"/>
        <w:bottom w:val="none" w:sz="0" w:space="0" w:color="auto"/>
        <w:right w:val="none" w:sz="0" w:space="0" w:color="auto"/>
      </w:divBdr>
    </w:div>
    <w:div w:id="371148236">
      <w:bodyDiv w:val="1"/>
      <w:marLeft w:val="0"/>
      <w:marRight w:val="0"/>
      <w:marTop w:val="0"/>
      <w:marBottom w:val="0"/>
      <w:divBdr>
        <w:top w:val="none" w:sz="0" w:space="0" w:color="auto"/>
        <w:left w:val="none" w:sz="0" w:space="0" w:color="auto"/>
        <w:bottom w:val="none" w:sz="0" w:space="0" w:color="auto"/>
        <w:right w:val="none" w:sz="0" w:space="0" w:color="auto"/>
      </w:divBdr>
    </w:div>
    <w:div w:id="371543591">
      <w:bodyDiv w:val="1"/>
      <w:marLeft w:val="0"/>
      <w:marRight w:val="0"/>
      <w:marTop w:val="0"/>
      <w:marBottom w:val="0"/>
      <w:divBdr>
        <w:top w:val="none" w:sz="0" w:space="0" w:color="auto"/>
        <w:left w:val="none" w:sz="0" w:space="0" w:color="auto"/>
        <w:bottom w:val="none" w:sz="0" w:space="0" w:color="auto"/>
        <w:right w:val="none" w:sz="0" w:space="0" w:color="auto"/>
      </w:divBdr>
    </w:div>
    <w:div w:id="371880333">
      <w:bodyDiv w:val="1"/>
      <w:marLeft w:val="0"/>
      <w:marRight w:val="0"/>
      <w:marTop w:val="0"/>
      <w:marBottom w:val="0"/>
      <w:divBdr>
        <w:top w:val="none" w:sz="0" w:space="0" w:color="auto"/>
        <w:left w:val="none" w:sz="0" w:space="0" w:color="auto"/>
        <w:bottom w:val="none" w:sz="0" w:space="0" w:color="auto"/>
        <w:right w:val="none" w:sz="0" w:space="0" w:color="auto"/>
      </w:divBdr>
    </w:div>
    <w:div w:id="372579517">
      <w:bodyDiv w:val="1"/>
      <w:marLeft w:val="0"/>
      <w:marRight w:val="0"/>
      <w:marTop w:val="0"/>
      <w:marBottom w:val="0"/>
      <w:divBdr>
        <w:top w:val="none" w:sz="0" w:space="0" w:color="auto"/>
        <w:left w:val="none" w:sz="0" w:space="0" w:color="auto"/>
        <w:bottom w:val="none" w:sz="0" w:space="0" w:color="auto"/>
        <w:right w:val="none" w:sz="0" w:space="0" w:color="auto"/>
      </w:divBdr>
    </w:div>
    <w:div w:id="373047167">
      <w:bodyDiv w:val="1"/>
      <w:marLeft w:val="0"/>
      <w:marRight w:val="0"/>
      <w:marTop w:val="0"/>
      <w:marBottom w:val="0"/>
      <w:divBdr>
        <w:top w:val="none" w:sz="0" w:space="0" w:color="auto"/>
        <w:left w:val="none" w:sz="0" w:space="0" w:color="auto"/>
        <w:bottom w:val="none" w:sz="0" w:space="0" w:color="auto"/>
        <w:right w:val="none" w:sz="0" w:space="0" w:color="auto"/>
      </w:divBdr>
    </w:div>
    <w:div w:id="373845217">
      <w:bodyDiv w:val="1"/>
      <w:marLeft w:val="0"/>
      <w:marRight w:val="0"/>
      <w:marTop w:val="0"/>
      <w:marBottom w:val="0"/>
      <w:divBdr>
        <w:top w:val="none" w:sz="0" w:space="0" w:color="auto"/>
        <w:left w:val="none" w:sz="0" w:space="0" w:color="auto"/>
        <w:bottom w:val="none" w:sz="0" w:space="0" w:color="auto"/>
        <w:right w:val="none" w:sz="0" w:space="0" w:color="auto"/>
      </w:divBdr>
    </w:div>
    <w:div w:id="374357116">
      <w:bodyDiv w:val="1"/>
      <w:marLeft w:val="0"/>
      <w:marRight w:val="0"/>
      <w:marTop w:val="0"/>
      <w:marBottom w:val="0"/>
      <w:divBdr>
        <w:top w:val="none" w:sz="0" w:space="0" w:color="auto"/>
        <w:left w:val="none" w:sz="0" w:space="0" w:color="auto"/>
        <w:bottom w:val="none" w:sz="0" w:space="0" w:color="auto"/>
        <w:right w:val="none" w:sz="0" w:space="0" w:color="auto"/>
      </w:divBdr>
    </w:div>
    <w:div w:id="374550986">
      <w:bodyDiv w:val="1"/>
      <w:marLeft w:val="0"/>
      <w:marRight w:val="0"/>
      <w:marTop w:val="0"/>
      <w:marBottom w:val="0"/>
      <w:divBdr>
        <w:top w:val="none" w:sz="0" w:space="0" w:color="auto"/>
        <w:left w:val="none" w:sz="0" w:space="0" w:color="auto"/>
        <w:bottom w:val="none" w:sz="0" w:space="0" w:color="auto"/>
        <w:right w:val="none" w:sz="0" w:space="0" w:color="auto"/>
      </w:divBdr>
    </w:div>
    <w:div w:id="374819591">
      <w:bodyDiv w:val="1"/>
      <w:marLeft w:val="0"/>
      <w:marRight w:val="0"/>
      <w:marTop w:val="0"/>
      <w:marBottom w:val="0"/>
      <w:divBdr>
        <w:top w:val="none" w:sz="0" w:space="0" w:color="auto"/>
        <w:left w:val="none" w:sz="0" w:space="0" w:color="auto"/>
        <w:bottom w:val="none" w:sz="0" w:space="0" w:color="auto"/>
        <w:right w:val="none" w:sz="0" w:space="0" w:color="auto"/>
      </w:divBdr>
    </w:div>
    <w:div w:id="375474804">
      <w:bodyDiv w:val="1"/>
      <w:marLeft w:val="0"/>
      <w:marRight w:val="0"/>
      <w:marTop w:val="0"/>
      <w:marBottom w:val="0"/>
      <w:divBdr>
        <w:top w:val="none" w:sz="0" w:space="0" w:color="auto"/>
        <w:left w:val="none" w:sz="0" w:space="0" w:color="auto"/>
        <w:bottom w:val="none" w:sz="0" w:space="0" w:color="auto"/>
        <w:right w:val="none" w:sz="0" w:space="0" w:color="auto"/>
      </w:divBdr>
    </w:div>
    <w:div w:id="375861376">
      <w:bodyDiv w:val="1"/>
      <w:marLeft w:val="0"/>
      <w:marRight w:val="0"/>
      <w:marTop w:val="0"/>
      <w:marBottom w:val="0"/>
      <w:divBdr>
        <w:top w:val="none" w:sz="0" w:space="0" w:color="auto"/>
        <w:left w:val="none" w:sz="0" w:space="0" w:color="auto"/>
        <w:bottom w:val="none" w:sz="0" w:space="0" w:color="auto"/>
        <w:right w:val="none" w:sz="0" w:space="0" w:color="auto"/>
      </w:divBdr>
    </w:div>
    <w:div w:id="376201354">
      <w:bodyDiv w:val="1"/>
      <w:marLeft w:val="0"/>
      <w:marRight w:val="0"/>
      <w:marTop w:val="0"/>
      <w:marBottom w:val="0"/>
      <w:divBdr>
        <w:top w:val="none" w:sz="0" w:space="0" w:color="auto"/>
        <w:left w:val="none" w:sz="0" w:space="0" w:color="auto"/>
        <w:bottom w:val="none" w:sz="0" w:space="0" w:color="auto"/>
        <w:right w:val="none" w:sz="0" w:space="0" w:color="auto"/>
      </w:divBdr>
    </w:div>
    <w:div w:id="377243186">
      <w:bodyDiv w:val="1"/>
      <w:marLeft w:val="0"/>
      <w:marRight w:val="0"/>
      <w:marTop w:val="0"/>
      <w:marBottom w:val="0"/>
      <w:divBdr>
        <w:top w:val="none" w:sz="0" w:space="0" w:color="auto"/>
        <w:left w:val="none" w:sz="0" w:space="0" w:color="auto"/>
        <w:bottom w:val="none" w:sz="0" w:space="0" w:color="auto"/>
        <w:right w:val="none" w:sz="0" w:space="0" w:color="auto"/>
      </w:divBdr>
    </w:div>
    <w:div w:id="377509136">
      <w:bodyDiv w:val="1"/>
      <w:marLeft w:val="0"/>
      <w:marRight w:val="0"/>
      <w:marTop w:val="0"/>
      <w:marBottom w:val="0"/>
      <w:divBdr>
        <w:top w:val="none" w:sz="0" w:space="0" w:color="auto"/>
        <w:left w:val="none" w:sz="0" w:space="0" w:color="auto"/>
        <w:bottom w:val="none" w:sz="0" w:space="0" w:color="auto"/>
        <w:right w:val="none" w:sz="0" w:space="0" w:color="auto"/>
      </w:divBdr>
    </w:div>
    <w:div w:id="378407550">
      <w:bodyDiv w:val="1"/>
      <w:marLeft w:val="0"/>
      <w:marRight w:val="0"/>
      <w:marTop w:val="0"/>
      <w:marBottom w:val="0"/>
      <w:divBdr>
        <w:top w:val="none" w:sz="0" w:space="0" w:color="auto"/>
        <w:left w:val="none" w:sz="0" w:space="0" w:color="auto"/>
        <w:bottom w:val="none" w:sz="0" w:space="0" w:color="auto"/>
        <w:right w:val="none" w:sz="0" w:space="0" w:color="auto"/>
      </w:divBdr>
    </w:div>
    <w:div w:id="378742677">
      <w:bodyDiv w:val="1"/>
      <w:marLeft w:val="0"/>
      <w:marRight w:val="0"/>
      <w:marTop w:val="0"/>
      <w:marBottom w:val="0"/>
      <w:divBdr>
        <w:top w:val="none" w:sz="0" w:space="0" w:color="auto"/>
        <w:left w:val="none" w:sz="0" w:space="0" w:color="auto"/>
        <w:bottom w:val="none" w:sz="0" w:space="0" w:color="auto"/>
        <w:right w:val="none" w:sz="0" w:space="0" w:color="auto"/>
      </w:divBdr>
    </w:div>
    <w:div w:id="379673571">
      <w:bodyDiv w:val="1"/>
      <w:marLeft w:val="0"/>
      <w:marRight w:val="0"/>
      <w:marTop w:val="0"/>
      <w:marBottom w:val="0"/>
      <w:divBdr>
        <w:top w:val="none" w:sz="0" w:space="0" w:color="auto"/>
        <w:left w:val="none" w:sz="0" w:space="0" w:color="auto"/>
        <w:bottom w:val="none" w:sz="0" w:space="0" w:color="auto"/>
        <w:right w:val="none" w:sz="0" w:space="0" w:color="auto"/>
      </w:divBdr>
    </w:div>
    <w:div w:id="380635267">
      <w:bodyDiv w:val="1"/>
      <w:marLeft w:val="0"/>
      <w:marRight w:val="0"/>
      <w:marTop w:val="0"/>
      <w:marBottom w:val="0"/>
      <w:divBdr>
        <w:top w:val="none" w:sz="0" w:space="0" w:color="auto"/>
        <w:left w:val="none" w:sz="0" w:space="0" w:color="auto"/>
        <w:bottom w:val="none" w:sz="0" w:space="0" w:color="auto"/>
        <w:right w:val="none" w:sz="0" w:space="0" w:color="auto"/>
      </w:divBdr>
    </w:div>
    <w:div w:id="380981428">
      <w:bodyDiv w:val="1"/>
      <w:marLeft w:val="0"/>
      <w:marRight w:val="0"/>
      <w:marTop w:val="0"/>
      <w:marBottom w:val="0"/>
      <w:divBdr>
        <w:top w:val="none" w:sz="0" w:space="0" w:color="auto"/>
        <w:left w:val="none" w:sz="0" w:space="0" w:color="auto"/>
        <w:bottom w:val="none" w:sz="0" w:space="0" w:color="auto"/>
        <w:right w:val="none" w:sz="0" w:space="0" w:color="auto"/>
      </w:divBdr>
    </w:div>
    <w:div w:id="381057967">
      <w:bodyDiv w:val="1"/>
      <w:marLeft w:val="0"/>
      <w:marRight w:val="0"/>
      <w:marTop w:val="0"/>
      <w:marBottom w:val="0"/>
      <w:divBdr>
        <w:top w:val="none" w:sz="0" w:space="0" w:color="auto"/>
        <w:left w:val="none" w:sz="0" w:space="0" w:color="auto"/>
        <w:bottom w:val="none" w:sz="0" w:space="0" w:color="auto"/>
        <w:right w:val="none" w:sz="0" w:space="0" w:color="auto"/>
      </w:divBdr>
    </w:div>
    <w:div w:id="381098778">
      <w:bodyDiv w:val="1"/>
      <w:marLeft w:val="0"/>
      <w:marRight w:val="0"/>
      <w:marTop w:val="0"/>
      <w:marBottom w:val="0"/>
      <w:divBdr>
        <w:top w:val="none" w:sz="0" w:space="0" w:color="auto"/>
        <w:left w:val="none" w:sz="0" w:space="0" w:color="auto"/>
        <w:bottom w:val="none" w:sz="0" w:space="0" w:color="auto"/>
        <w:right w:val="none" w:sz="0" w:space="0" w:color="auto"/>
      </w:divBdr>
    </w:div>
    <w:div w:id="381565369">
      <w:bodyDiv w:val="1"/>
      <w:marLeft w:val="0"/>
      <w:marRight w:val="0"/>
      <w:marTop w:val="0"/>
      <w:marBottom w:val="0"/>
      <w:divBdr>
        <w:top w:val="none" w:sz="0" w:space="0" w:color="auto"/>
        <w:left w:val="none" w:sz="0" w:space="0" w:color="auto"/>
        <w:bottom w:val="none" w:sz="0" w:space="0" w:color="auto"/>
        <w:right w:val="none" w:sz="0" w:space="0" w:color="auto"/>
      </w:divBdr>
    </w:div>
    <w:div w:id="382026899">
      <w:bodyDiv w:val="1"/>
      <w:marLeft w:val="0"/>
      <w:marRight w:val="0"/>
      <w:marTop w:val="0"/>
      <w:marBottom w:val="0"/>
      <w:divBdr>
        <w:top w:val="none" w:sz="0" w:space="0" w:color="auto"/>
        <w:left w:val="none" w:sz="0" w:space="0" w:color="auto"/>
        <w:bottom w:val="none" w:sz="0" w:space="0" w:color="auto"/>
        <w:right w:val="none" w:sz="0" w:space="0" w:color="auto"/>
      </w:divBdr>
    </w:div>
    <w:div w:id="383528212">
      <w:bodyDiv w:val="1"/>
      <w:marLeft w:val="0"/>
      <w:marRight w:val="0"/>
      <w:marTop w:val="0"/>
      <w:marBottom w:val="0"/>
      <w:divBdr>
        <w:top w:val="none" w:sz="0" w:space="0" w:color="auto"/>
        <w:left w:val="none" w:sz="0" w:space="0" w:color="auto"/>
        <w:bottom w:val="none" w:sz="0" w:space="0" w:color="auto"/>
        <w:right w:val="none" w:sz="0" w:space="0" w:color="auto"/>
      </w:divBdr>
    </w:div>
    <w:div w:id="384305192">
      <w:bodyDiv w:val="1"/>
      <w:marLeft w:val="0"/>
      <w:marRight w:val="0"/>
      <w:marTop w:val="0"/>
      <w:marBottom w:val="0"/>
      <w:divBdr>
        <w:top w:val="none" w:sz="0" w:space="0" w:color="auto"/>
        <w:left w:val="none" w:sz="0" w:space="0" w:color="auto"/>
        <w:bottom w:val="none" w:sz="0" w:space="0" w:color="auto"/>
        <w:right w:val="none" w:sz="0" w:space="0" w:color="auto"/>
      </w:divBdr>
    </w:div>
    <w:div w:id="384450671">
      <w:bodyDiv w:val="1"/>
      <w:marLeft w:val="0"/>
      <w:marRight w:val="0"/>
      <w:marTop w:val="0"/>
      <w:marBottom w:val="0"/>
      <w:divBdr>
        <w:top w:val="none" w:sz="0" w:space="0" w:color="auto"/>
        <w:left w:val="none" w:sz="0" w:space="0" w:color="auto"/>
        <w:bottom w:val="none" w:sz="0" w:space="0" w:color="auto"/>
        <w:right w:val="none" w:sz="0" w:space="0" w:color="auto"/>
      </w:divBdr>
    </w:div>
    <w:div w:id="384719129">
      <w:bodyDiv w:val="1"/>
      <w:marLeft w:val="0"/>
      <w:marRight w:val="0"/>
      <w:marTop w:val="0"/>
      <w:marBottom w:val="0"/>
      <w:divBdr>
        <w:top w:val="none" w:sz="0" w:space="0" w:color="auto"/>
        <w:left w:val="none" w:sz="0" w:space="0" w:color="auto"/>
        <w:bottom w:val="none" w:sz="0" w:space="0" w:color="auto"/>
        <w:right w:val="none" w:sz="0" w:space="0" w:color="auto"/>
      </w:divBdr>
    </w:div>
    <w:div w:id="384792429">
      <w:bodyDiv w:val="1"/>
      <w:marLeft w:val="0"/>
      <w:marRight w:val="0"/>
      <w:marTop w:val="0"/>
      <w:marBottom w:val="0"/>
      <w:divBdr>
        <w:top w:val="none" w:sz="0" w:space="0" w:color="auto"/>
        <w:left w:val="none" w:sz="0" w:space="0" w:color="auto"/>
        <w:bottom w:val="none" w:sz="0" w:space="0" w:color="auto"/>
        <w:right w:val="none" w:sz="0" w:space="0" w:color="auto"/>
      </w:divBdr>
    </w:div>
    <w:div w:id="384988687">
      <w:bodyDiv w:val="1"/>
      <w:marLeft w:val="0"/>
      <w:marRight w:val="0"/>
      <w:marTop w:val="0"/>
      <w:marBottom w:val="0"/>
      <w:divBdr>
        <w:top w:val="none" w:sz="0" w:space="0" w:color="auto"/>
        <w:left w:val="none" w:sz="0" w:space="0" w:color="auto"/>
        <w:bottom w:val="none" w:sz="0" w:space="0" w:color="auto"/>
        <w:right w:val="none" w:sz="0" w:space="0" w:color="auto"/>
      </w:divBdr>
    </w:div>
    <w:div w:id="385183193">
      <w:bodyDiv w:val="1"/>
      <w:marLeft w:val="0"/>
      <w:marRight w:val="0"/>
      <w:marTop w:val="0"/>
      <w:marBottom w:val="0"/>
      <w:divBdr>
        <w:top w:val="none" w:sz="0" w:space="0" w:color="auto"/>
        <w:left w:val="none" w:sz="0" w:space="0" w:color="auto"/>
        <w:bottom w:val="none" w:sz="0" w:space="0" w:color="auto"/>
        <w:right w:val="none" w:sz="0" w:space="0" w:color="auto"/>
      </w:divBdr>
    </w:div>
    <w:div w:id="386149244">
      <w:bodyDiv w:val="1"/>
      <w:marLeft w:val="0"/>
      <w:marRight w:val="0"/>
      <w:marTop w:val="0"/>
      <w:marBottom w:val="0"/>
      <w:divBdr>
        <w:top w:val="none" w:sz="0" w:space="0" w:color="auto"/>
        <w:left w:val="none" w:sz="0" w:space="0" w:color="auto"/>
        <w:bottom w:val="none" w:sz="0" w:space="0" w:color="auto"/>
        <w:right w:val="none" w:sz="0" w:space="0" w:color="auto"/>
      </w:divBdr>
    </w:div>
    <w:div w:id="386344344">
      <w:bodyDiv w:val="1"/>
      <w:marLeft w:val="0"/>
      <w:marRight w:val="0"/>
      <w:marTop w:val="0"/>
      <w:marBottom w:val="0"/>
      <w:divBdr>
        <w:top w:val="none" w:sz="0" w:space="0" w:color="auto"/>
        <w:left w:val="none" w:sz="0" w:space="0" w:color="auto"/>
        <w:bottom w:val="none" w:sz="0" w:space="0" w:color="auto"/>
        <w:right w:val="none" w:sz="0" w:space="0" w:color="auto"/>
      </w:divBdr>
    </w:div>
    <w:div w:id="386757937">
      <w:bodyDiv w:val="1"/>
      <w:marLeft w:val="0"/>
      <w:marRight w:val="0"/>
      <w:marTop w:val="0"/>
      <w:marBottom w:val="0"/>
      <w:divBdr>
        <w:top w:val="none" w:sz="0" w:space="0" w:color="auto"/>
        <w:left w:val="none" w:sz="0" w:space="0" w:color="auto"/>
        <w:bottom w:val="none" w:sz="0" w:space="0" w:color="auto"/>
        <w:right w:val="none" w:sz="0" w:space="0" w:color="auto"/>
      </w:divBdr>
    </w:div>
    <w:div w:id="387191214">
      <w:bodyDiv w:val="1"/>
      <w:marLeft w:val="0"/>
      <w:marRight w:val="0"/>
      <w:marTop w:val="0"/>
      <w:marBottom w:val="0"/>
      <w:divBdr>
        <w:top w:val="none" w:sz="0" w:space="0" w:color="auto"/>
        <w:left w:val="none" w:sz="0" w:space="0" w:color="auto"/>
        <w:bottom w:val="none" w:sz="0" w:space="0" w:color="auto"/>
        <w:right w:val="none" w:sz="0" w:space="0" w:color="auto"/>
      </w:divBdr>
    </w:div>
    <w:div w:id="387340771">
      <w:bodyDiv w:val="1"/>
      <w:marLeft w:val="0"/>
      <w:marRight w:val="0"/>
      <w:marTop w:val="0"/>
      <w:marBottom w:val="0"/>
      <w:divBdr>
        <w:top w:val="none" w:sz="0" w:space="0" w:color="auto"/>
        <w:left w:val="none" w:sz="0" w:space="0" w:color="auto"/>
        <w:bottom w:val="none" w:sz="0" w:space="0" w:color="auto"/>
        <w:right w:val="none" w:sz="0" w:space="0" w:color="auto"/>
      </w:divBdr>
    </w:div>
    <w:div w:id="388185902">
      <w:bodyDiv w:val="1"/>
      <w:marLeft w:val="0"/>
      <w:marRight w:val="0"/>
      <w:marTop w:val="0"/>
      <w:marBottom w:val="0"/>
      <w:divBdr>
        <w:top w:val="none" w:sz="0" w:space="0" w:color="auto"/>
        <w:left w:val="none" w:sz="0" w:space="0" w:color="auto"/>
        <w:bottom w:val="none" w:sz="0" w:space="0" w:color="auto"/>
        <w:right w:val="none" w:sz="0" w:space="0" w:color="auto"/>
      </w:divBdr>
    </w:div>
    <w:div w:id="388190859">
      <w:bodyDiv w:val="1"/>
      <w:marLeft w:val="0"/>
      <w:marRight w:val="0"/>
      <w:marTop w:val="0"/>
      <w:marBottom w:val="0"/>
      <w:divBdr>
        <w:top w:val="none" w:sz="0" w:space="0" w:color="auto"/>
        <w:left w:val="none" w:sz="0" w:space="0" w:color="auto"/>
        <w:bottom w:val="none" w:sz="0" w:space="0" w:color="auto"/>
        <w:right w:val="none" w:sz="0" w:space="0" w:color="auto"/>
      </w:divBdr>
    </w:div>
    <w:div w:id="388261883">
      <w:bodyDiv w:val="1"/>
      <w:marLeft w:val="0"/>
      <w:marRight w:val="0"/>
      <w:marTop w:val="0"/>
      <w:marBottom w:val="0"/>
      <w:divBdr>
        <w:top w:val="none" w:sz="0" w:space="0" w:color="auto"/>
        <w:left w:val="none" w:sz="0" w:space="0" w:color="auto"/>
        <w:bottom w:val="none" w:sz="0" w:space="0" w:color="auto"/>
        <w:right w:val="none" w:sz="0" w:space="0" w:color="auto"/>
      </w:divBdr>
    </w:div>
    <w:div w:id="388309342">
      <w:bodyDiv w:val="1"/>
      <w:marLeft w:val="0"/>
      <w:marRight w:val="0"/>
      <w:marTop w:val="0"/>
      <w:marBottom w:val="0"/>
      <w:divBdr>
        <w:top w:val="none" w:sz="0" w:space="0" w:color="auto"/>
        <w:left w:val="none" w:sz="0" w:space="0" w:color="auto"/>
        <w:bottom w:val="none" w:sz="0" w:space="0" w:color="auto"/>
        <w:right w:val="none" w:sz="0" w:space="0" w:color="auto"/>
      </w:divBdr>
    </w:div>
    <w:div w:id="388380161">
      <w:bodyDiv w:val="1"/>
      <w:marLeft w:val="0"/>
      <w:marRight w:val="0"/>
      <w:marTop w:val="0"/>
      <w:marBottom w:val="0"/>
      <w:divBdr>
        <w:top w:val="none" w:sz="0" w:space="0" w:color="auto"/>
        <w:left w:val="none" w:sz="0" w:space="0" w:color="auto"/>
        <w:bottom w:val="none" w:sz="0" w:space="0" w:color="auto"/>
        <w:right w:val="none" w:sz="0" w:space="0" w:color="auto"/>
      </w:divBdr>
    </w:div>
    <w:div w:id="389153214">
      <w:bodyDiv w:val="1"/>
      <w:marLeft w:val="0"/>
      <w:marRight w:val="0"/>
      <w:marTop w:val="0"/>
      <w:marBottom w:val="0"/>
      <w:divBdr>
        <w:top w:val="none" w:sz="0" w:space="0" w:color="auto"/>
        <w:left w:val="none" w:sz="0" w:space="0" w:color="auto"/>
        <w:bottom w:val="none" w:sz="0" w:space="0" w:color="auto"/>
        <w:right w:val="none" w:sz="0" w:space="0" w:color="auto"/>
      </w:divBdr>
    </w:div>
    <w:div w:id="389311543">
      <w:bodyDiv w:val="1"/>
      <w:marLeft w:val="0"/>
      <w:marRight w:val="0"/>
      <w:marTop w:val="0"/>
      <w:marBottom w:val="0"/>
      <w:divBdr>
        <w:top w:val="none" w:sz="0" w:space="0" w:color="auto"/>
        <w:left w:val="none" w:sz="0" w:space="0" w:color="auto"/>
        <w:bottom w:val="none" w:sz="0" w:space="0" w:color="auto"/>
        <w:right w:val="none" w:sz="0" w:space="0" w:color="auto"/>
      </w:divBdr>
    </w:div>
    <w:div w:id="389350262">
      <w:bodyDiv w:val="1"/>
      <w:marLeft w:val="0"/>
      <w:marRight w:val="0"/>
      <w:marTop w:val="0"/>
      <w:marBottom w:val="0"/>
      <w:divBdr>
        <w:top w:val="none" w:sz="0" w:space="0" w:color="auto"/>
        <w:left w:val="none" w:sz="0" w:space="0" w:color="auto"/>
        <w:bottom w:val="none" w:sz="0" w:space="0" w:color="auto"/>
        <w:right w:val="none" w:sz="0" w:space="0" w:color="auto"/>
      </w:divBdr>
    </w:div>
    <w:div w:id="389769181">
      <w:bodyDiv w:val="1"/>
      <w:marLeft w:val="0"/>
      <w:marRight w:val="0"/>
      <w:marTop w:val="0"/>
      <w:marBottom w:val="0"/>
      <w:divBdr>
        <w:top w:val="none" w:sz="0" w:space="0" w:color="auto"/>
        <w:left w:val="none" w:sz="0" w:space="0" w:color="auto"/>
        <w:bottom w:val="none" w:sz="0" w:space="0" w:color="auto"/>
        <w:right w:val="none" w:sz="0" w:space="0" w:color="auto"/>
      </w:divBdr>
    </w:div>
    <w:div w:id="390543528">
      <w:bodyDiv w:val="1"/>
      <w:marLeft w:val="0"/>
      <w:marRight w:val="0"/>
      <w:marTop w:val="0"/>
      <w:marBottom w:val="0"/>
      <w:divBdr>
        <w:top w:val="none" w:sz="0" w:space="0" w:color="auto"/>
        <w:left w:val="none" w:sz="0" w:space="0" w:color="auto"/>
        <w:bottom w:val="none" w:sz="0" w:space="0" w:color="auto"/>
        <w:right w:val="none" w:sz="0" w:space="0" w:color="auto"/>
      </w:divBdr>
    </w:div>
    <w:div w:id="390545587">
      <w:bodyDiv w:val="1"/>
      <w:marLeft w:val="0"/>
      <w:marRight w:val="0"/>
      <w:marTop w:val="0"/>
      <w:marBottom w:val="0"/>
      <w:divBdr>
        <w:top w:val="none" w:sz="0" w:space="0" w:color="auto"/>
        <w:left w:val="none" w:sz="0" w:space="0" w:color="auto"/>
        <w:bottom w:val="none" w:sz="0" w:space="0" w:color="auto"/>
        <w:right w:val="none" w:sz="0" w:space="0" w:color="auto"/>
      </w:divBdr>
    </w:div>
    <w:div w:id="391005862">
      <w:bodyDiv w:val="1"/>
      <w:marLeft w:val="0"/>
      <w:marRight w:val="0"/>
      <w:marTop w:val="0"/>
      <w:marBottom w:val="0"/>
      <w:divBdr>
        <w:top w:val="none" w:sz="0" w:space="0" w:color="auto"/>
        <w:left w:val="none" w:sz="0" w:space="0" w:color="auto"/>
        <w:bottom w:val="none" w:sz="0" w:space="0" w:color="auto"/>
        <w:right w:val="none" w:sz="0" w:space="0" w:color="auto"/>
      </w:divBdr>
    </w:div>
    <w:div w:id="391927692">
      <w:bodyDiv w:val="1"/>
      <w:marLeft w:val="0"/>
      <w:marRight w:val="0"/>
      <w:marTop w:val="0"/>
      <w:marBottom w:val="0"/>
      <w:divBdr>
        <w:top w:val="none" w:sz="0" w:space="0" w:color="auto"/>
        <w:left w:val="none" w:sz="0" w:space="0" w:color="auto"/>
        <w:bottom w:val="none" w:sz="0" w:space="0" w:color="auto"/>
        <w:right w:val="none" w:sz="0" w:space="0" w:color="auto"/>
      </w:divBdr>
    </w:div>
    <w:div w:id="391999992">
      <w:bodyDiv w:val="1"/>
      <w:marLeft w:val="0"/>
      <w:marRight w:val="0"/>
      <w:marTop w:val="0"/>
      <w:marBottom w:val="0"/>
      <w:divBdr>
        <w:top w:val="none" w:sz="0" w:space="0" w:color="auto"/>
        <w:left w:val="none" w:sz="0" w:space="0" w:color="auto"/>
        <w:bottom w:val="none" w:sz="0" w:space="0" w:color="auto"/>
        <w:right w:val="none" w:sz="0" w:space="0" w:color="auto"/>
      </w:divBdr>
    </w:div>
    <w:div w:id="392049257">
      <w:bodyDiv w:val="1"/>
      <w:marLeft w:val="0"/>
      <w:marRight w:val="0"/>
      <w:marTop w:val="0"/>
      <w:marBottom w:val="0"/>
      <w:divBdr>
        <w:top w:val="none" w:sz="0" w:space="0" w:color="auto"/>
        <w:left w:val="none" w:sz="0" w:space="0" w:color="auto"/>
        <w:bottom w:val="none" w:sz="0" w:space="0" w:color="auto"/>
        <w:right w:val="none" w:sz="0" w:space="0" w:color="auto"/>
      </w:divBdr>
    </w:div>
    <w:div w:id="392891232">
      <w:bodyDiv w:val="1"/>
      <w:marLeft w:val="0"/>
      <w:marRight w:val="0"/>
      <w:marTop w:val="0"/>
      <w:marBottom w:val="0"/>
      <w:divBdr>
        <w:top w:val="none" w:sz="0" w:space="0" w:color="auto"/>
        <w:left w:val="none" w:sz="0" w:space="0" w:color="auto"/>
        <w:bottom w:val="none" w:sz="0" w:space="0" w:color="auto"/>
        <w:right w:val="none" w:sz="0" w:space="0" w:color="auto"/>
      </w:divBdr>
    </w:div>
    <w:div w:id="393235948">
      <w:bodyDiv w:val="1"/>
      <w:marLeft w:val="0"/>
      <w:marRight w:val="0"/>
      <w:marTop w:val="0"/>
      <w:marBottom w:val="0"/>
      <w:divBdr>
        <w:top w:val="none" w:sz="0" w:space="0" w:color="auto"/>
        <w:left w:val="none" w:sz="0" w:space="0" w:color="auto"/>
        <w:bottom w:val="none" w:sz="0" w:space="0" w:color="auto"/>
        <w:right w:val="none" w:sz="0" w:space="0" w:color="auto"/>
      </w:divBdr>
    </w:div>
    <w:div w:id="393624612">
      <w:bodyDiv w:val="1"/>
      <w:marLeft w:val="0"/>
      <w:marRight w:val="0"/>
      <w:marTop w:val="0"/>
      <w:marBottom w:val="0"/>
      <w:divBdr>
        <w:top w:val="none" w:sz="0" w:space="0" w:color="auto"/>
        <w:left w:val="none" w:sz="0" w:space="0" w:color="auto"/>
        <w:bottom w:val="none" w:sz="0" w:space="0" w:color="auto"/>
        <w:right w:val="none" w:sz="0" w:space="0" w:color="auto"/>
      </w:divBdr>
    </w:div>
    <w:div w:id="393741796">
      <w:bodyDiv w:val="1"/>
      <w:marLeft w:val="0"/>
      <w:marRight w:val="0"/>
      <w:marTop w:val="0"/>
      <w:marBottom w:val="0"/>
      <w:divBdr>
        <w:top w:val="none" w:sz="0" w:space="0" w:color="auto"/>
        <w:left w:val="none" w:sz="0" w:space="0" w:color="auto"/>
        <w:bottom w:val="none" w:sz="0" w:space="0" w:color="auto"/>
        <w:right w:val="none" w:sz="0" w:space="0" w:color="auto"/>
      </w:divBdr>
    </w:div>
    <w:div w:id="393742364">
      <w:bodyDiv w:val="1"/>
      <w:marLeft w:val="0"/>
      <w:marRight w:val="0"/>
      <w:marTop w:val="0"/>
      <w:marBottom w:val="0"/>
      <w:divBdr>
        <w:top w:val="none" w:sz="0" w:space="0" w:color="auto"/>
        <w:left w:val="none" w:sz="0" w:space="0" w:color="auto"/>
        <w:bottom w:val="none" w:sz="0" w:space="0" w:color="auto"/>
        <w:right w:val="none" w:sz="0" w:space="0" w:color="auto"/>
      </w:divBdr>
    </w:div>
    <w:div w:id="394741715">
      <w:bodyDiv w:val="1"/>
      <w:marLeft w:val="0"/>
      <w:marRight w:val="0"/>
      <w:marTop w:val="0"/>
      <w:marBottom w:val="0"/>
      <w:divBdr>
        <w:top w:val="none" w:sz="0" w:space="0" w:color="auto"/>
        <w:left w:val="none" w:sz="0" w:space="0" w:color="auto"/>
        <w:bottom w:val="none" w:sz="0" w:space="0" w:color="auto"/>
        <w:right w:val="none" w:sz="0" w:space="0" w:color="auto"/>
      </w:divBdr>
    </w:div>
    <w:div w:id="395668779">
      <w:bodyDiv w:val="1"/>
      <w:marLeft w:val="0"/>
      <w:marRight w:val="0"/>
      <w:marTop w:val="0"/>
      <w:marBottom w:val="0"/>
      <w:divBdr>
        <w:top w:val="none" w:sz="0" w:space="0" w:color="auto"/>
        <w:left w:val="none" w:sz="0" w:space="0" w:color="auto"/>
        <w:bottom w:val="none" w:sz="0" w:space="0" w:color="auto"/>
        <w:right w:val="none" w:sz="0" w:space="0" w:color="auto"/>
      </w:divBdr>
    </w:div>
    <w:div w:id="396826129">
      <w:bodyDiv w:val="1"/>
      <w:marLeft w:val="0"/>
      <w:marRight w:val="0"/>
      <w:marTop w:val="0"/>
      <w:marBottom w:val="0"/>
      <w:divBdr>
        <w:top w:val="none" w:sz="0" w:space="0" w:color="auto"/>
        <w:left w:val="none" w:sz="0" w:space="0" w:color="auto"/>
        <w:bottom w:val="none" w:sz="0" w:space="0" w:color="auto"/>
        <w:right w:val="none" w:sz="0" w:space="0" w:color="auto"/>
      </w:divBdr>
    </w:div>
    <w:div w:id="396981385">
      <w:bodyDiv w:val="1"/>
      <w:marLeft w:val="0"/>
      <w:marRight w:val="0"/>
      <w:marTop w:val="0"/>
      <w:marBottom w:val="0"/>
      <w:divBdr>
        <w:top w:val="none" w:sz="0" w:space="0" w:color="auto"/>
        <w:left w:val="none" w:sz="0" w:space="0" w:color="auto"/>
        <w:bottom w:val="none" w:sz="0" w:space="0" w:color="auto"/>
        <w:right w:val="none" w:sz="0" w:space="0" w:color="auto"/>
      </w:divBdr>
    </w:div>
    <w:div w:id="400835357">
      <w:bodyDiv w:val="1"/>
      <w:marLeft w:val="0"/>
      <w:marRight w:val="0"/>
      <w:marTop w:val="0"/>
      <w:marBottom w:val="0"/>
      <w:divBdr>
        <w:top w:val="none" w:sz="0" w:space="0" w:color="auto"/>
        <w:left w:val="none" w:sz="0" w:space="0" w:color="auto"/>
        <w:bottom w:val="none" w:sz="0" w:space="0" w:color="auto"/>
        <w:right w:val="none" w:sz="0" w:space="0" w:color="auto"/>
      </w:divBdr>
    </w:div>
    <w:div w:id="401293534">
      <w:bodyDiv w:val="1"/>
      <w:marLeft w:val="0"/>
      <w:marRight w:val="0"/>
      <w:marTop w:val="0"/>
      <w:marBottom w:val="0"/>
      <w:divBdr>
        <w:top w:val="none" w:sz="0" w:space="0" w:color="auto"/>
        <w:left w:val="none" w:sz="0" w:space="0" w:color="auto"/>
        <w:bottom w:val="none" w:sz="0" w:space="0" w:color="auto"/>
        <w:right w:val="none" w:sz="0" w:space="0" w:color="auto"/>
      </w:divBdr>
      <w:divsChild>
        <w:div w:id="212619854">
          <w:marLeft w:val="0"/>
          <w:marRight w:val="0"/>
          <w:marTop w:val="0"/>
          <w:marBottom w:val="0"/>
          <w:divBdr>
            <w:top w:val="none" w:sz="0" w:space="0" w:color="auto"/>
            <w:left w:val="none" w:sz="0" w:space="0" w:color="auto"/>
            <w:bottom w:val="none" w:sz="0" w:space="0" w:color="auto"/>
            <w:right w:val="none" w:sz="0" w:space="0" w:color="auto"/>
          </w:divBdr>
        </w:div>
      </w:divsChild>
    </w:div>
    <w:div w:id="401412388">
      <w:bodyDiv w:val="1"/>
      <w:marLeft w:val="0"/>
      <w:marRight w:val="0"/>
      <w:marTop w:val="0"/>
      <w:marBottom w:val="0"/>
      <w:divBdr>
        <w:top w:val="none" w:sz="0" w:space="0" w:color="auto"/>
        <w:left w:val="none" w:sz="0" w:space="0" w:color="auto"/>
        <w:bottom w:val="none" w:sz="0" w:space="0" w:color="auto"/>
        <w:right w:val="none" w:sz="0" w:space="0" w:color="auto"/>
      </w:divBdr>
    </w:div>
    <w:div w:id="401833838">
      <w:bodyDiv w:val="1"/>
      <w:marLeft w:val="0"/>
      <w:marRight w:val="0"/>
      <w:marTop w:val="0"/>
      <w:marBottom w:val="0"/>
      <w:divBdr>
        <w:top w:val="none" w:sz="0" w:space="0" w:color="auto"/>
        <w:left w:val="none" w:sz="0" w:space="0" w:color="auto"/>
        <w:bottom w:val="none" w:sz="0" w:space="0" w:color="auto"/>
        <w:right w:val="none" w:sz="0" w:space="0" w:color="auto"/>
      </w:divBdr>
    </w:div>
    <w:div w:id="402022802">
      <w:bodyDiv w:val="1"/>
      <w:marLeft w:val="0"/>
      <w:marRight w:val="0"/>
      <w:marTop w:val="0"/>
      <w:marBottom w:val="0"/>
      <w:divBdr>
        <w:top w:val="none" w:sz="0" w:space="0" w:color="auto"/>
        <w:left w:val="none" w:sz="0" w:space="0" w:color="auto"/>
        <w:bottom w:val="none" w:sz="0" w:space="0" w:color="auto"/>
        <w:right w:val="none" w:sz="0" w:space="0" w:color="auto"/>
      </w:divBdr>
    </w:div>
    <w:div w:id="402718986">
      <w:bodyDiv w:val="1"/>
      <w:marLeft w:val="0"/>
      <w:marRight w:val="0"/>
      <w:marTop w:val="0"/>
      <w:marBottom w:val="0"/>
      <w:divBdr>
        <w:top w:val="none" w:sz="0" w:space="0" w:color="auto"/>
        <w:left w:val="none" w:sz="0" w:space="0" w:color="auto"/>
        <w:bottom w:val="none" w:sz="0" w:space="0" w:color="auto"/>
        <w:right w:val="none" w:sz="0" w:space="0" w:color="auto"/>
      </w:divBdr>
    </w:div>
    <w:div w:id="402988823">
      <w:bodyDiv w:val="1"/>
      <w:marLeft w:val="0"/>
      <w:marRight w:val="0"/>
      <w:marTop w:val="0"/>
      <w:marBottom w:val="0"/>
      <w:divBdr>
        <w:top w:val="none" w:sz="0" w:space="0" w:color="auto"/>
        <w:left w:val="none" w:sz="0" w:space="0" w:color="auto"/>
        <w:bottom w:val="none" w:sz="0" w:space="0" w:color="auto"/>
        <w:right w:val="none" w:sz="0" w:space="0" w:color="auto"/>
      </w:divBdr>
    </w:div>
    <w:div w:id="403768399">
      <w:bodyDiv w:val="1"/>
      <w:marLeft w:val="0"/>
      <w:marRight w:val="0"/>
      <w:marTop w:val="0"/>
      <w:marBottom w:val="0"/>
      <w:divBdr>
        <w:top w:val="none" w:sz="0" w:space="0" w:color="auto"/>
        <w:left w:val="none" w:sz="0" w:space="0" w:color="auto"/>
        <w:bottom w:val="none" w:sz="0" w:space="0" w:color="auto"/>
        <w:right w:val="none" w:sz="0" w:space="0" w:color="auto"/>
      </w:divBdr>
    </w:div>
    <w:div w:id="403913063">
      <w:bodyDiv w:val="1"/>
      <w:marLeft w:val="0"/>
      <w:marRight w:val="0"/>
      <w:marTop w:val="0"/>
      <w:marBottom w:val="0"/>
      <w:divBdr>
        <w:top w:val="none" w:sz="0" w:space="0" w:color="auto"/>
        <w:left w:val="none" w:sz="0" w:space="0" w:color="auto"/>
        <w:bottom w:val="none" w:sz="0" w:space="0" w:color="auto"/>
        <w:right w:val="none" w:sz="0" w:space="0" w:color="auto"/>
      </w:divBdr>
    </w:div>
    <w:div w:id="404570132">
      <w:bodyDiv w:val="1"/>
      <w:marLeft w:val="0"/>
      <w:marRight w:val="0"/>
      <w:marTop w:val="0"/>
      <w:marBottom w:val="0"/>
      <w:divBdr>
        <w:top w:val="none" w:sz="0" w:space="0" w:color="auto"/>
        <w:left w:val="none" w:sz="0" w:space="0" w:color="auto"/>
        <w:bottom w:val="none" w:sz="0" w:space="0" w:color="auto"/>
        <w:right w:val="none" w:sz="0" w:space="0" w:color="auto"/>
      </w:divBdr>
    </w:div>
    <w:div w:id="405415569">
      <w:bodyDiv w:val="1"/>
      <w:marLeft w:val="0"/>
      <w:marRight w:val="0"/>
      <w:marTop w:val="0"/>
      <w:marBottom w:val="0"/>
      <w:divBdr>
        <w:top w:val="none" w:sz="0" w:space="0" w:color="auto"/>
        <w:left w:val="none" w:sz="0" w:space="0" w:color="auto"/>
        <w:bottom w:val="none" w:sz="0" w:space="0" w:color="auto"/>
        <w:right w:val="none" w:sz="0" w:space="0" w:color="auto"/>
      </w:divBdr>
    </w:div>
    <w:div w:id="406000403">
      <w:bodyDiv w:val="1"/>
      <w:marLeft w:val="0"/>
      <w:marRight w:val="0"/>
      <w:marTop w:val="0"/>
      <w:marBottom w:val="0"/>
      <w:divBdr>
        <w:top w:val="none" w:sz="0" w:space="0" w:color="auto"/>
        <w:left w:val="none" w:sz="0" w:space="0" w:color="auto"/>
        <w:bottom w:val="none" w:sz="0" w:space="0" w:color="auto"/>
        <w:right w:val="none" w:sz="0" w:space="0" w:color="auto"/>
      </w:divBdr>
    </w:div>
    <w:div w:id="406416193">
      <w:bodyDiv w:val="1"/>
      <w:marLeft w:val="0"/>
      <w:marRight w:val="0"/>
      <w:marTop w:val="0"/>
      <w:marBottom w:val="0"/>
      <w:divBdr>
        <w:top w:val="none" w:sz="0" w:space="0" w:color="auto"/>
        <w:left w:val="none" w:sz="0" w:space="0" w:color="auto"/>
        <w:bottom w:val="none" w:sz="0" w:space="0" w:color="auto"/>
        <w:right w:val="none" w:sz="0" w:space="0" w:color="auto"/>
      </w:divBdr>
    </w:div>
    <w:div w:id="406418451">
      <w:bodyDiv w:val="1"/>
      <w:marLeft w:val="0"/>
      <w:marRight w:val="0"/>
      <w:marTop w:val="0"/>
      <w:marBottom w:val="0"/>
      <w:divBdr>
        <w:top w:val="none" w:sz="0" w:space="0" w:color="auto"/>
        <w:left w:val="none" w:sz="0" w:space="0" w:color="auto"/>
        <w:bottom w:val="none" w:sz="0" w:space="0" w:color="auto"/>
        <w:right w:val="none" w:sz="0" w:space="0" w:color="auto"/>
      </w:divBdr>
    </w:div>
    <w:div w:id="406541334">
      <w:bodyDiv w:val="1"/>
      <w:marLeft w:val="0"/>
      <w:marRight w:val="0"/>
      <w:marTop w:val="0"/>
      <w:marBottom w:val="0"/>
      <w:divBdr>
        <w:top w:val="none" w:sz="0" w:space="0" w:color="auto"/>
        <w:left w:val="none" w:sz="0" w:space="0" w:color="auto"/>
        <w:bottom w:val="none" w:sz="0" w:space="0" w:color="auto"/>
        <w:right w:val="none" w:sz="0" w:space="0" w:color="auto"/>
      </w:divBdr>
    </w:div>
    <w:div w:id="406851331">
      <w:bodyDiv w:val="1"/>
      <w:marLeft w:val="0"/>
      <w:marRight w:val="0"/>
      <w:marTop w:val="0"/>
      <w:marBottom w:val="0"/>
      <w:divBdr>
        <w:top w:val="none" w:sz="0" w:space="0" w:color="auto"/>
        <w:left w:val="none" w:sz="0" w:space="0" w:color="auto"/>
        <w:bottom w:val="none" w:sz="0" w:space="0" w:color="auto"/>
        <w:right w:val="none" w:sz="0" w:space="0" w:color="auto"/>
      </w:divBdr>
    </w:div>
    <w:div w:id="408113824">
      <w:bodyDiv w:val="1"/>
      <w:marLeft w:val="0"/>
      <w:marRight w:val="0"/>
      <w:marTop w:val="0"/>
      <w:marBottom w:val="0"/>
      <w:divBdr>
        <w:top w:val="none" w:sz="0" w:space="0" w:color="auto"/>
        <w:left w:val="none" w:sz="0" w:space="0" w:color="auto"/>
        <w:bottom w:val="none" w:sz="0" w:space="0" w:color="auto"/>
        <w:right w:val="none" w:sz="0" w:space="0" w:color="auto"/>
      </w:divBdr>
    </w:div>
    <w:div w:id="408425174">
      <w:bodyDiv w:val="1"/>
      <w:marLeft w:val="0"/>
      <w:marRight w:val="0"/>
      <w:marTop w:val="0"/>
      <w:marBottom w:val="0"/>
      <w:divBdr>
        <w:top w:val="none" w:sz="0" w:space="0" w:color="auto"/>
        <w:left w:val="none" w:sz="0" w:space="0" w:color="auto"/>
        <w:bottom w:val="none" w:sz="0" w:space="0" w:color="auto"/>
        <w:right w:val="none" w:sz="0" w:space="0" w:color="auto"/>
      </w:divBdr>
    </w:div>
    <w:div w:id="408427230">
      <w:bodyDiv w:val="1"/>
      <w:marLeft w:val="0"/>
      <w:marRight w:val="0"/>
      <w:marTop w:val="0"/>
      <w:marBottom w:val="0"/>
      <w:divBdr>
        <w:top w:val="none" w:sz="0" w:space="0" w:color="auto"/>
        <w:left w:val="none" w:sz="0" w:space="0" w:color="auto"/>
        <w:bottom w:val="none" w:sz="0" w:space="0" w:color="auto"/>
        <w:right w:val="none" w:sz="0" w:space="0" w:color="auto"/>
      </w:divBdr>
    </w:div>
    <w:div w:id="408693081">
      <w:bodyDiv w:val="1"/>
      <w:marLeft w:val="0"/>
      <w:marRight w:val="0"/>
      <w:marTop w:val="0"/>
      <w:marBottom w:val="0"/>
      <w:divBdr>
        <w:top w:val="none" w:sz="0" w:space="0" w:color="auto"/>
        <w:left w:val="none" w:sz="0" w:space="0" w:color="auto"/>
        <w:bottom w:val="none" w:sz="0" w:space="0" w:color="auto"/>
        <w:right w:val="none" w:sz="0" w:space="0" w:color="auto"/>
      </w:divBdr>
    </w:div>
    <w:div w:id="410003026">
      <w:bodyDiv w:val="1"/>
      <w:marLeft w:val="0"/>
      <w:marRight w:val="0"/>
      <w:marTop w:val="0"/>
      <w:marBottom w:val="0"/>
      <w:divBdr>
        <w:top w:val="none" w:sz="0" w:space="0" w:color="auto"/>
        <w:left w:val="none" w:sz="0" w:space="0" w:color="auto"/>
        <w:bottom w:val="none" w:sz="0" w:space="0" w:color="auto"/>
        <w:right w:val="none" w:sz="0" w:space="0" w:color="auto"/>
      </w:divBdr>
    </w:div>
    <w:div w:id="410155160">
      <w:bodyDiv w:val="1"/>
      <w:marLeft w:val="0"/>
      <w:marRight w:val="0"/>
      <w:marTop w:val="0"/>
      <w:marBottom w:val="0"/>
      <w:divBdr>
        <w:top w:val="none" w:sz="0" w:space="0" w:color="auto"/>
        <w:left w:val="none" w:sz="0" w:space="0" w:color="auto"/>
        <w:bottom w:val="none" w:sz="0" w:space="0" w:color="auto"/>
        <w:right w:val="none" w:sz="0" w:space="0" w:color="auto"/>
      </w:divBdr>
    </w:div>
    <w:div w:id="410810213">
      <w:bodyDiv w:val="1"/>
      <w:marLeft w:val="0"/>
      <w:marRight w:val="0"/>
      <w:marTop w:val="0"/>
      <w:marBottom w:val="0"/>
      <w:divBdr>
        <w:top w:val="none" w:sz="0" w:space="0" w:color="auto"/>
        <w:left w:val="none" w:sz="0" w:space="0" w:color="auto"/>
        <w:bottom w:val="none" w:sz="0" w:space="0" w:color="auto"/>
        <w:right w:val="none" w:sz="0" w:space="0" w:color="auto"/>
      </w:divBdr>
    </w:div>
    <w:div w:id="411390862">
      <w:bodyDiv w:val="1"/>
      <w:marLeft w:val="0"/>
      <w:marRight w:val="0"/>
      <w:marTop w:val="0"/>
      <w:marBottom w:val="0"/>
      <w:divBdr>
        <w:top w:val="none" w:sz="0" w:space="0" w:color="auto"/>
        <w:left w:val="none" w:sz="0" w:space="0" w:color="auto"/>
        <w:bottom w:val="none" w:sz="0" w:space="0" w:color="auto"/>
        <w:right w:val="none" w:sz="0" w:space="0" w:color="auto"/>
      </w:divBdr>
    </w:div>
    <w:div w:id="411776870">
      <w:bodyDiv w:val="1"/>
      <w:marLeft w:val="0"/>
      <w:marRight w:val="0"/>
      <w:marTop w:val="0"/>
      <w:marBottom w:val="0"/>
      <w:divBdr>
        <w:top w:val="none" w:sz="0" w:space="0" w:color="auto"/>
        <w:left w:val="none" w:sz="0" w:space="0" w:color="auto"/>
        <w:bottom w:val="none" w:sz="0" w:space="0" w:color="auto"/>
        <w:right w:val="none" w:sz="0" w:space="0" w:color="auto"/>
      </w:divBdr>
    </w:div>
    <w:div w:id="412045329">
      <w:bodyDiv w:val="1"/>
      <w:marLeft w:val="0"/>
      <w:marRight w:val="0"/>
      <w:marTop w:val="0"/>
      <w:marBottom w:val="0"/>
      <w:divBdr>
        <w:top w:val="none" w:sz="0" w:space="0" w:color="auto"/>
        <w:left w:val="none" w:sz="0" w:space="0" w:color="auto"/>
        <w:bottom w:val="none" w:sz="0" w:space="0" w:color="auto"/>
        <w:right w:val="none" w:sz="0" w:space="0" w:color="auto"/>
      </w:divBdr>
    </w:div>
    <w:div w:id="412897271">
      <w:bodyDiv w:val="1"/>
      <w:marLeft w:val="0"/>
      <w:marRight w:val="0"/>
      <w:marTop w:val="0"/>
      <w:marBottom w:val="0"/>
      <w:divBdr>
        <w:top w:val="none" w:sz="0" w:space="0" w:color="auto"/>
        <w:left w:val="none" w:sz="0" w:space="0" w:color="auto"/>
        <w:bottom w:val="none" w:sz="0" w:space="0" w:color="auto"/>
        <w:right w:val="none" w:sz="0" w:space="0" w:color="auto"/>
      </w:divBdr>
    </w:div>
    <w:div w:id="413624350">
      <w:bodyDiv w:val="1"/>
      <w:marLeft w:val="0"/>
      <w:marRight w:val="0"/>
      <w:marTop w:val="0"/>
      <w:marBottom w:val="0"/>
      <w:divBdr>
        <w:top w:val="none" w:sz="0" w:space="0" w:color="auto"/>
        <w:left w:val="none" w:sz="0" w:space="0" w:color="auto"/>
        <w:bottom w:val="none" w:sz="0" w:space="0" w:color="auto"/>
        <w:right w:val="none" w:sz="0" w:space="0" w:color="auto"/>
      </w:divBdr>
    </w:div>
    <w:div w:id="413746200">
      <w:bodyDiv w:val="1"/>
      <w:marLeft w:val="0"/>
      <w:marRight w:val="0"/>
      <w:marTop w:val="0"/>
      <w:marBottom w:val="0"/>
      <w:divBdr>
        <w:top w:val="none" w:sz="0" w:space="0" w:color="auto"/>
        <w:left w:val="none" w:sz="0" w:space="0" w:color="auto"/>
        <w:bottom w:val="none" w:sz="0" w:space="0" w:color="auto"/>
        <w:right w:val="none" w:sz="0" w:space="0" w:color="auto"/>
      </w:divBdr>
    </w:div>
    <w:div w:id="414087117">
      <w:bodyDiv w:val="1"/>
      <w:marLeft w:val="0"/>
      <w:marRight w:val="0"/>
      <w:marTop w:val="0"/>
      <w:marBottom w:val="0"/>
      <w:divBdr>
        <w:top w:val="none" w:sz="0" w:space="0" w:color="auto"/>
        <w:left w:val="none" w:sz="0" w:space="0" w:color="auto"/>
        <w:bottom w:val="none" w:sz="0" w:space="0" w:color="auto"/>
        <w:right w:val="none" w:sz="0" w:space="0" w:color="auto"/>
      </w:divBdr>
    </w:div>
    <w:div w:id="414281655">
      <w:bodyDiv w:val="1"/>
      <w:marLeft w:val="0"/>
      <w:marRight w:val="0"/>
      <w:marTop w:val="0"/>
      <w:marBottom w:val="0"/>
      <w:divBdr>
        <w:top w:val="none" w:sz="0" w:space="0" w:color="auto"/>
        <w:left w:val="none" w:sz="0" w:space="0" w:color="auto"/>
        <w:bottom w:val="none" w:sz="0" w:space="0" w:color="auto"/>
        <w:right w:val="none" w:sz="0" w:space="0" w:color="auto"/>
      </w:divBdr>
    </w:div>
    <w:div w:id="417139737">
      <w:bodyDiv w:val="1"/>
      <w:marLeft w:val="0"/>
      <w:marRight w:val="0"/>
      <w:marTop w:val="0"/>
      <w:marBottom w:val="0"/>
      <w:divBdr>
        <w:top w:val="none" w:sz="0" w:space="0" w:color="auto"/>
        <w:left w:val="none" w:sz="0" w:space="0" w:color="auto"/>
        <w:bottom w:val="none" w:sz="0" w:space="0" w:color="auto"/>
        <w:right w:val="none" w:sz="0" w:space="0" w:color="auto"/>
      </w:divBdr>
    </w:div>
    <w:div w:id="417143755">
      <w:bodyDiv w:val="1"/>
      <w:marLeft w:val="0"/>
      <w:marRight w:val="0"/>
      <w:marTop w:val="0"/>
      <w:marBottom w:val="0"/>
      <w:divBdr>
        <w:top w:val="none" w:sz="0" w:space="0" w:color="auto"/>
        <w:left w:val="none" w:sz="0" w:space="0" w:color="auto"/>
        <w:bottom w:val="none" w:sz="0" w:space="0" w:color="auto"/>
        <w:right w:val="none" w:sz="0" w:space="0" w:color="auto"/>
      </w:divBdr>
    </w:div>
    <w:div w:id="417287433">
      <w:bodyDiv w:val="1"/>
      <w:marLeft w:val="0"/>
      <w:marRight w:val="0"/>
      <w:marTop w:val="0"/>
      <w:marBottom w:val="0"/>
      <w:divBdr>
        <w:top w:val="none" w:sz="0" w:space="0" w:color="auto"/>
        <w:left w:val="none" w:sz="0" w:space="0" w:color="auto"/>
        <w:bottom w:val="none" w:sz="0" w:space="0" w:color="auto"/>
        <w:right w:val="none" w:sz="0" w:space="0" w:color="auto"/>
      </w:divBdr>
    </w:div>
    <w:div w:id="417410327">
      <w:bodyDiv w:val="1"/>
      <w:marLeft w:val="0"/>
      <w:marRight w:val="0"/>
      <w:marTop w:val="0"/>
      <w:marBottom w:val="0"/>
      <w:divBdr>
        <w:top w:val="none" w:sz="0" w:space="0" w:color="auto"/>
        <w:left w:val="none" w:sz="0" w:space="0" w:color="auto"/>
        <w:bottom w:val="none" w:sz="0" w:space="0" w:color="auto"/>
        <w:right w:val="none" w:sz="0" w:space="0" w:color="auto"/>
      </w:divBdr>
    </w:div>
    <w:div w:id="417750617">
      <w:bodyDiv w:val="1"/>
      <w:marLeft w:val="0"/>
      <w:marRight w:val="0"/>
      <w:marTop w:val="0"/>
      <w:marBottom w:val="0"/>
      <w:divBdr>
        <w:top w:val="none" w:sz="0" w:space="0" w:color="auto"/>
        <w:left w:val="none" w:sz="0" w:space="0" w:color="auto"/>
        <w:bottom w:val="none" w:sz="0" w:space="0" w:color="auto"/>
        <w:right w:val="none" w:sz="0" w:space="0" w:color="auto"/>
      </w:divBdr>
    </w:div>
    <w:div w:id="417990767">
      <w:bodyDiv w:val="1"/>
      <w:marLeft w:val="0"/>
      <w:marRight w:val="0"/>
      <w:marTop w:val="0"/>
      <w:marBottom w:val="0"/>
      <w:divBdr>
        <w:top w:val="none" w:sz="0" w:space="0" w:color="auto"/>
        <w:left w:val="none" w:sz="0" w:space="0" w:color="auto"/>
        <w:bottom w:val="none" w:sz="0" w:space="0" w:color="auto"/>
        <w:right w:val="none" w:sz="0" w:space="0" w:color="auto"/>
      </w:divBdr>
    </w:div>
    <w:div w:id="418646925">
      <w:bodyDiv w:val="1"/>
      <w:marLeft w:val="0"/>
      <w:marRight w:val="0"/>
      <w:marTop w:val="0"/>
      <w:marBottom w:val="0"/>
      <w:divBdr>
        <w:top w:val="none" w:sz="0" w:space="0" w:color="auto"/>
        <w:left w:val="none" w:sz="0" w:space="0" w:color="auto"/>
        <w:bottom w:val="none" w:sz="0" w:space="0" w:color="auto"/>
        <w:right w:val="none" w:sz="0" w:space="0" w:color="auto"/>
      </w:divBdr>
    </w:div>
    <w:div w:id="419445746">
      <w:bodyDiv w:val="1"/>
      <w:marLeft w:val="0"/>
      <w:marRight w:val="0"/>
      <w:marTop w:val="0"/>
      <w:marBottom w:val="0"/>
      <w:divBdr>
        <w:top w:val="none" w:sz="0" w:space="0" w:color="auto"/>
        <w:left w:val="none" w:sz="0" w:space="0" w:color="auto"/>
        <w:bottom w:val="none" w:sz="0" w:space="0" w:color="auto"/>
        <w:right w:val="none" w:sz="0" w:space="0" w:color="auto"/>
      </w:divBdr>
    </w:div>
    <w:div w:id="419765577">
      <w:bodyDiv w:val="1"/>
      <w:marLeft w:val="0"/>
      <w:marRight w:val="0"/>
      <w:marTop w:val="0"/>
      <w:marBottom w:val="0"/>
      <w:divBdr>
        <w:top w:val="none" w:sz="0" w:space="0" w:color="auto"/>
        <w:left w:val="none" w:sz="0" w:space="0" w:color="auto"/>
        <w:bottom w:val="none" w:sz="0" w:space="0" w:color="auto"/>
        <w:right w:val="none" w:sz="0" w:space="0" w:color="auto"/>
      </w:divBdr>
    </w:div>
    <w:div w:id="420102542">
      <w:bodyDiv w:val="1"/>
      <w:marLeft w:val="0"/>
      <w:marRight w:val="0"/>
      <w:marTop w:val="0"/>
      <w:marBottom w:val="0"/>
      <w:divBdr>
        <w:top w:val="none" w:sz="0" w:space="0" w:color="auto"/>
        <w:left w:val="none" w:sz="0" w:space="0" w:color="auto"/>
        <w:bottom w:val="none" w:sz="0" w:space="0" w:color="auto"/>
        <w:right w:val="none" w:sz="0" w:space="0" w:color="auto"/>
      </w:divBdr>
    </w:div>
    <w:div w:id="420879285">
      <w:bodyDiv w:val="1"/>
      <w:marLeft w:val="0"/>
      <w:marRight w:val="0"/>
      <w:marTop w:val="0"/>
      <w:marBottom w:val="0"/>
      <w:divBdr>
        <w:top w:val="none" w:sz="0" w:space="0" w:color="auto"/>
        <w:left w:val="none" w:sz="0" w:space="0" w:color="auto"/>
        <w:bottom w:val="none" w:sz="0" w:space="0" w:color="auto"/>
        <w:right w:val="none" w:sz="0" w:space="0" w:color="auto"/>
      </w:divBdr>
    </w:div>
    <w:div w:id="421529854">
      <w:bodyDiv w:val="1"/>
      <w:marLeft w:val="0"/>
      <w:marRight w:val="0"/>
      <w:marTop w:val="0"/>
      <w:marBottom w:val="0"/>
      <w:divBdr>
        <w:top w:val="none" w:sz="0" w:space="0" w:color="auto"/>
        <w:left w:val="none" w:sz="0" w:space="0" w:color="auto"/>
        <w:bottom w:val="none" w:sz="0" w:space="0" w:color="auto"/>
        <w:right w:val="none" w:sz="0" w:space="0" w:color="auto"/>
      </w:divBdr>
    </w:div>
    <w:div w:id="422846865">
      <w:bodyDiv w:val="1"/>
      <w:marLeft w:val="0"/>
      <w:marRight w:val="0"/>
      <w:marTop w:val="0"/>
      <w:marBottom w:val="0"/>
      <w:divBdr>
        <w:top w:val="none" w:sz="0" w:space="0" w:color="auto"/>
        <w:left w:val="none" w:sz="0" w:space="0" w:color="auto"/>
        <w:bottom w:val="none" w:sz="0" w:space="0" w:color="auto"/>
        <w:right w:val="none" w:sz="0" w:space="0" w:color="auto"/>
      </w:divBdr>
    </w:div>
    <w:div w:id="424762930">
      <w:bodyDiv w:val="1"/>
      <w:marLeft w:val="0"/>
      <w:marRight w:val="0"/>
      <w:marTop w:val="0"/>
      <w:marBottom w:val="0"/>
      <w:divBdr>
        <w:top w:val="none" w:sz="0" w:space="0" w:color="auto"/>
        <w:left w:val="none" w:sz="0" w:space="0" w:color="auto"/>
        <w:bottom w:val="none" w:sz="0" w:space="0" w:color="auto"/>
        <w:right w:val="none" w:sz="0" w:space="0" w:color="auto"/>
      </w:divBdr>
    </w:div>
    <w:div w:id="425810666">
      <w:bodyDiv w:val="1"/>
      <w:marLeft w:val="0"/>
      <w:marRight w:val="0"/>
      <w:marTop w:val="0"/>
      <w:marBottom w:val="0"/>
      <w:divBdr>
        <w:top w:val="none" w:sz="0" w:space="0" w:color="auto"/>
        <w:left w:val="none" w:sz="0" w:space="0" w:color="auto"/>
        <w:bottom w:val="none" w:sz="0" w:space="0" w:color="auto"/>
        <w:right w:val="none" w:sz="0" w:space="0" w:color="auto"/>
      </w:divBdr>
    </w:div>
    <w:div w:id="425854931">
      <w:bodyDiv w:val="1"/>
      <w:marLeft w:val="0"/>
      <w:marRight w:val="0"/>
      <w:marTop w:val="0"/>
      <w:marBottom w:val="0"/>
      <w:divBdr>
        <w:top w:val="none" w:sz="0" w:space="0" w:color="auto"/>
        <w:left w:val="none" w:sz="0" w:space="0" w:color="auto"/>
        <w:bottom w:val="none" w:sz="0" w:space="0" w:color="auto"/>
        <w:right w:val="none" w:sz="0" w:space="0" w:color="auto"/>
      </w:divBdr>
    </w:div>
    <w:div w:id="426269311">
      <w:bodyDiv w:val="1"/>
      <w:marLeft w:val="0"/>
      <w:marRight w:val="0"/>
      <w:marTop w:val="0"/>
      <w:marBottom w:val="0"/>
      <w:divBdr>
        <w:top w:val="none" w:sz="0" w:space="0" w:color="auto"/>
        <w:left w:val="none" w:sz="0" w:space="0" w:color="auto"/>
        <w:bottom w:val="none" w:sz="0" w:space="0" w:color="auto"/>
        <w:right w:val="none" w:sz="0" w:space="0" w:color="auto"/>
      </w:divBdr>
    </w:div>
    <w:div w:id="426735012">
      <w:bodyDiv w:val="1"/>
      <w:marLeft w:val="0"/>
      <w:marRight w:val="0"/>
      <w:marTop w:val="0"/>
      <w:marBottom w:val="0"/>
      <w:divBdr>
        <w:top w:val="none" w:sz="0" w:space="0" w:color="auto"/>
        <w:left w:val="none" w:sz="0" w:space="0" w:color="auto"/>
        <w:bottom w:val="none" w:sz="0" w:space="0" w:color="auto"/>
        <w:right w:val="none" w:sz="0" w:space="0" w:color="auto"/>
      </w:divBdr>
    </w:div>
    <w:div w:id="427116837">
      <w:bodyDiv w:val="1"/>
      <w:marLeft w:val="0"/>
      <w:marRight w:val="0"/>
      <w:marTop w:val="0"/>
      <w:marBottom w:val="0"/>
      <w:divBdr>
        <w:top w:val="none" w:sz="0" w:space="0" w:color="auto"/>
        <w:left w:val="none" w:sz="0" w:space="0" w:color="auto"/>
        <w:bottom w:val="none" w:sz="0" w:space="0" w:color="auto"/>
        <w:right w:val="none" w:sz="0" w:space="0" w:color="auto"/>
      </w:divBdr>
    </w:div>
    <w:div w:id="428693911">
      <w:bodyDiv w:val="1"/>
      <w:marLeft w:val="0"/>
      <w:marRight w:val="0"/>
      <w:marTop w:val="0"/>
      <w:marBottom w:val="0"/>
      <w:divBdr>
        <w:top w:val="none" w:sz="0" w:space="0" w:color="auto"/>
        <w:left w:val="none" w:sz="0" w:space="0" w:color="auto"/>
        <w:bottom w:val="none" w:sz="0" w:space="0" w:color="auto"/>
        <w:right w:val="none" w:sz="0" w:space="0" w:color="auto"/>
      </w:divBdr>
    </w:div>
    <w:div w:id="428817865">
      <w:bodyDiv w:val="1"/>
      <w:marLeft w:val="0"/>
      <w:marRight w:val="0"/>
      <w:marTop w:val="0"/>
      <w:marBottom w:val="0"/>
      <w:divBdr>
        <w:top w:val="none" w:sz="0" w:space="0" w:color="auto"/>
        <w:left w:val="none" w:sz="0" w:space="0" w:color="auto"/>
        <w:bottom w:val="none" w:sz="0" w:space="0" w:color="auto"/>
        <w:right w:val="none" w:sz="0" w:space="0" w:color="auto"/>
      </w:divBdr>
    </w:div>
    <w:div w:id="429156013">
      <w:bodyDiv w:val="1"/>
      <w:marLeft w:val="0"/>
      <w:marRight w:val="0"/>
      <w:marTop w:val="0"/>
      <w:marBottom w:val="0"/>
      <w:divBdr>
        <w:top w:val="none" w:sz="0" w:space="0" w:color="auto"/>
        <w:left w:val="none" w:sz="0" w:space="0" w:color="auto"/>
        <w:bottom w:val="none" w:sz="0" w:space="0" w:color="auto"/>
        <w:right w:val="none" w:sz="0" w:space="0" w:color="auto"/>
      </w:divBdr>
    </w:div>
    <w:div w:id="430467398">
      <w:bodyDiv w:val="1"/>
      <w:marLeft w:val="0"/>
      <w:marRight w:val="0"/>
      <w:marTop w:val="0"/>
      <w:marBottom w:val="0"/>
      <w:divBdr>
        <w:top w:val="none" w:sz="0" w:space="0" w:color="auto"/>
        <w:left w:val="none" w:sz="0" w:space="0" w:color="auto"/>
        <w:bottom w:val="none" w:sz="0" w:space="0" w:color="auto"/>
        <w:right w:val="none" w:sz="0" w:space="0" w:color="auto"/>
      </w:divBdr>
    </w:div>
    <w:div w:id="430518514">
      <w:bodyDiv w:val="1"/>
      <w:marLeft w:val="0"/>
      <w:marRight w:val="0"/>
      <w:marTop w:val="0"/>
      <w:marBottom w:val="0"/>
      <w:divBdr>
        <w:top w:val="none" w:sz="0" w:space="0" w:color="auto"/>
        <w:left w:val="none" w:sz="0" w:space="0" w:color="auto"/>
        <w:bottom w:val="none" w:sz="0" w:space="0" w:color="auto"/>
        <w:right w:val="none" w:sz="0" w:space="0" w:color="auto"/>
      </w:divBdr>
    </w:div>
    <w:div w:id="431554745">
      <w:bodyDiv w:val="1"/>
      <w:marLeft w:val="0"/>
      <w:marRight w:val="0"/>
      <w:marTop w:val="0"/>
      <w:marBottom w:val="0"/>
      <w:divBdr>
        <w:top w:val="none" w:sz="0" w:space="0" w:color="auto"/>
        <w:left w:val="none" w:sz="0" w:space="0" w:color="auto"/>
        <w:bottom w:val="none" w:sz="0" w:space="0" w:color="auto"/>
        <w:right w:val="none" w:sz="0" w:space="0" w:color="auto"/>
      </w:divBdr>
    </w:div>
    <w:div w:id="431753728">
      <w:bodyDiv w:val="1"/>
      <w:marLeft w:val="0"/>
      <w:marRight w:val="0"/>
      <w:marTop w:val="0"/>
      <w:marBottom w:val="0"/>
      <w:divBdr>
        <w:top w:val="none" w:sz="0" w:space="0" w:color="auto"/>
        <w:left w:val="none" w:sz="0" w:space="0" w:color="auto"/>
        <w:bottom w:val="none" w:sz="0" w:space="0" w:color="auto"/>
        <w:right w:val="none" w:sz="0" w:space="0" w:color="auto"/>
      </w:divBdr>
    </w:div>
    <w:div w:id="433749987">
      <w:bodyDiv w:val="1"/>
      <w:marLeft w:val="0"/>
      <w:marRight w:val="0"/>
      <w:marTop w:val="0"/>
      <w:marBottom w:val="0"/>
      <w:divBdr>
        <w:top w:val="none" w:sz="0" w:space="0" w:color="auto"/>
        <w:left w:val="none" w:sz="0" w:space="0" w:color="auto"/>
        <w:bottom w:val="none" w:sz="0" w:space="0" w:color="auto"/>
        <w:right w:val="none" w:sz="0" w:space="0" w:color="auto"/>
      </w:divBdr>
    </w:div>
    <w:div w:id="434635895">
      <w:bodyDiv w:val="1"/>
      <w:marLeft w:val="0"/>
      <w:marRight w:val="0"/>
      <w:marTop w:val="0"/>
      <w:marBottom w:val="0"/>
      <w:divBdr>
        <w:top w:val="none" w:sz="0" w:space="0" w:color="auto"/>
        <w:left w:val="none" w:sz="0" w:space="0" w:color="auto"/>
        <w:bottom w:val="none" w:sz="0" w:space="0" w:color="auto"/>
        <w:right w:val="none" w:sz="0" w:space="0" w:color="auto"/>
      </w:divBdr>
    </w:div>
    <w:div w:id="435251592">
      <w:bodyDiv w:val="1"/>
      <w:marLeft w:val="0"/>
      <w:marRight w:val="0"/>
      <w:marTop w:val="0"/>
      <w:marBottom w:val="0"/>
      <w:divBdr>
        <w:top w:val="none" w:sz="0" w:space="0" w:color="auto"/>
        <w:left w:val="none" w:sz="0" w:space="0" w:color="auto"/>
        <w:bottom w:val="none" w:sz="0" w:space="0" w:color="auto"/>
        <w:right w:val="none" w:sz="0" w:space="0" w:color="auto"/>
      </w:divBdr>
    </w:div>
    <w:div w:id="435636897">
      <w:bodyDiv w:val="1"/>
      <w:marLeft w:val="0"/>
      <w:marRight w:val="0"/>
      <w:marTop w:val="0"/>
      <w:marBottom w:val="0"/>
      <w:divBdr>
        <w:top w:val="none" w:sz="0" w:space="0" w:color="auto"/>
        <w:left w:val="none" w:sz="0" w:space="0" w:color="auto"/>
        <w:bottom w:val="none" w:sz="0" w:space="0" w:color="auto"/>
        <w:right w:val="none" w:sz="0" w:space="0" w:color="auto"/>
      </w:divBdr>
    </w:div>
    <w:div w:id="436871694">
      <w:bodyDiv w:val="1"/>
      <w:marLeft w:val="0"/>
      <w:marRight w:val="0"/>
      <w:marTop w:val="0"/>
      <w:marBottom w:val="0"/>
      <w:divBdr>
        <w:top w:val="none" w:sz="0" w:space="0" w:color="auto"/>
        <w:left w:val="none" w:sz="0" w:space="0" w:color="auto"/>
        <w:bottom w:val="none" w:sz="0" w:space="0" w:color="auto"/>
        <w:right w:val="none" w:sz="0" w:space="0" w:color="auto"/>
      </w:divBdr>
    </w:div>
    <w:div w:id="437523695">
      <w:bodyDiv w:val="1"/>
      <w:marLeft w:val="0"/>
      <w:marRight w:val="0"/>
      <w:marTop w:val="0"/>
      <w:marBottom w:val="0"/>
      <w:divBdr>
        <w:top w:val="none" w:sz="0" w:space="0" w:color="auto"/>
        <w:left w:val="none" w:sz="0" w:space="0" w:color="auto"/>
        <w:bottom w:val="none" w:sz="0" w:space="0" w:color="auto"/>
        <w:right w:val="none" w:sz="0" w:space="0" w:color="auto"/>
      </w:divBdr>
    </w:div>
    <w:div w:id="438379135">
      <w:bodyDiv w:val="1"/>
      <w:marLeft w:val="0"/>
      <w:marRight w:val="0"/>
      <w:marTop w:val="0"/>
      <w:marBottom w:val="0"/>
      <w:divBdr>
        <w:top w:val="none" w:sz="0" w:space="0" w:color="auto"/>
        <w:left w:val="none" w:sz="0" w:space="0" w:color="auto"/>
        <w:bottom w:val="none" w:sz="0" w:space="0" w:color="auto"/>
        <w:right w:val="none" w:sz="0" w:space="0" w:color="auto"/>
      </w:divBdr>
    </w:div>
    <w:div w:id="438648113">
      <w:bodyDiv w:val="1"/>
      <w:marLeft w:val="0"/>
      <w:marRight w:val="0"/>
      <w:marTop w:val="0"/>
      <w:marBottom w:val="0"/>
      <w:divBdr>
        <w:top w:val="none" w:sz="0" w:space="0" w:color="auto"/>
        <w:left w:val="none" w:sz="0" w:space="0" w:color="auto"/>
        <w:bottom w:val="none" w:sz="0" w:space="0" w:color="auto"/>
        <w:right w:val="none" w:sz="0" w:space="0" w:color="auto"/>
      </w:divBdr>
    </w:div>
    <w:div w:id="439372988">
      <w:bodyDiv w:val="1"/>
      <w:marLeft w:val="0"/>
      <w:marRight w:val="0"/>
      <w:marTop w:val="0"/>
      <w:marBottom w:val="0"/>
      <w:divBdr>
        <w:top w:val="none" w:sz="0" w:space="0" w:color="auto"/>
        <w:left w:val="none" w:sz="0" w:space="0" w:color="auto"/>
        <w:bottom w:val="none" w:sz="0" w:space="0" w:color="auto"/>
        <w:right w:val="none" w:sz="0" w:space="0" w:color="auto"/>
      </w:divBdr>
    </w:div>
    <w:div w:id="439690740">
      <w:bodyDiv w:val="1"/>
      <w:marLeft w:val="0"/>
      <w:marRight w:val="0"/>
      <w:marTop w:val="0"/>
      <w:marBottom w:val="0"/>
      <w:divBdr>
        <w:top w:val="none" w:sz="0" w:space="0" w:color="auto"/>
        <w:left w:val="none" w:sz="0" w:space="0" w:color="auto"/>
        <w:bottom w:val="none" w:sz="0" w:space="0" w:color="auto"/>
        <w:right w:val="none" w:sz="0" w:space="0" w:color="auto"/>
      </w:divBdr>
    </w:div>
    <w:div w:id="439953672">
      <w:bodyDiv w:val="1"/>
      <w:marLeft w:val="0"/>
      <w:marRight w:val="0"/>
      <w:marTop w:val="0"/>
      <w:marBottom w:val="0"/>
      <w:divBdr>
        <w:top w:val="none" w:sz="0" w:space="0" w:color="auto"/>
        <w:left w:val="none" w:sz="0" w:space="0" w:color="auto"/>
        <w:bottom w:val="none" w:sz="0" w:space="0" w:color="auto"/>
        <w:right w:val="none" w:sz="0" w:space="0" w:color="auto"/>
      </w:divBdr>
    </w:div>
    <w:div w:id="441002353">
      <w:bodyDiv w:val="1"/>
      <w:marLeft w:val="0"/>
      <w:marRight w:val="0"/>
      <w:marTop w:val="0"/>
      <w:marBottom w:val="0"/>
      <w:divBdr>
        <w:top w:val="none" w:sz="0" w:space="0" w:color="auto"/>
        <w:left w:val="none" w:sz="0" w:space="0" w:color="auto"/>
        <w:bottom w:val="none" w:sz="0" w:space="0" w:color="auto"/>
        <w:right w:val="none" w:sz="0" w:space="0" w:color="auto"/>
      </w:divBdr>
    </w:div>
    <w:div w:id="441653030">
      <w:bodyDiv w:val="1"/>
      <w:marLeft w:val="0"/>
      <w:marRight w:val="0"/>
      <w:marTop w:val="0"/>
      <w:marBottom w:val="0"/>
      <w:divBdr>
        <w:top w:val="none" w:sz="0" w:space="0" w:color="auto"/>
        <w:left w:val="none" w:sz="0" w:space="0" w:color="auto"/>
        <w:bottom w:val="none" w:sz="0" w:space="0" w:color="auto"/>
        <w:right w:val="none" w:sz="0" w:space="0" w:color="auto"/>
      </w:divBdr>
    </w:div>
    <w:div w:id="442649489">
      <w:bodyDiv w:val="1"/>
      <w:marLeft w:val="0"/>
      <w:marRight w:val="0"/>
      <w:marTop w:val="0"/>
      <w:marBottom w:val="0"/>
      <w:divBdr>
        <w:top w:val="none" w:sz="0" w:space="0" w:color="auto"/>
        <w:left w:val="none" w:sz="0" w:space="0" w:color="auto"/>
        <w:bottom w:val="none" w:sz="0" w:space="0" w:color="auto"/>
        <w:right w:val="none" w:sz="0" w:space="0" w:color="auto"/>
      </w:divBdr>
    </w:div>
    <w:div w:id="442650544">
      <w:bodyDiv w:val="1"/>
      <w:marLeft w:val="0"/>
      <w:marRight w:val="0"/>
      <w:marTop w:val="0"/>
      <w:marBottom w:val="0"/>
      <w:divBdr>
        <w:top w:val="none" w:sz="0" w:space="0" w:color="auto"/>
        <w:left w:val="none" w:sz="0" w:space="0" w:color="auto"/>
        <w:bottom w:val="none" w:sz="0" w:space="0" w:color="auto"/>
        <w:right w:val="none" w:sz="0" w:space="0" w:color="auto"/>
      </w:divBdr>
    </w:div>
    <w:div w:id="442965268">
      <w:bodyDiv w:val="1"/>
      <w:marLeft w:val="0"/>
      <w:marRight w:val="0"/>
      <w:marTop w:val="0"/>
      <w:marBottom w:val="0"/>
      <w:divBdr>
        <w:top w:val="none" w:sz="0" w:space="0" w:color="auto"/>
        <w:left w:val="none" w:sz="0" w:space="0" w:color="auto"/>
        <w:bottom w:val="none" w:sz="0" w:space="0" w:color="auto"/>
        <w:right w:val="none" w:sz="0" w:space="0" w:color="auto"/>
      </w:divBdr>
    </w:div>
    <w:div w:id="443498658">
      <w:bodyDiv w:val="1"/>
      <w:marLeft w:val="0"/>
      <w:marRight w:val="0"/>
      <w:marTop w:val="0"/>
      <w:marBottom w:val="0"/>
      <w:divBdr>
        <w:top w:val="none" w:sz="0" w:space="0" w:color="auto"/>
        <w:left w:val="none" w:sz="0" w:space="0" w:color="auto"/>
        <w:bottom w:val="none" w:sz="0" w:space="0" w:color="auto"/>
        <w:right w:val="none" w:sz="0" w:space="0" w:color="auto"/>
      </w:divBdr>
    </w:div>
    <w:div w:id="443840556">
      <w:bodyDiv w:val="1"/>
      <w:marLeft w:val="0"/>
      <w:marRight w:val="0"/>
      <w:marTop w:val="0"/>
      <w:marBottom w:val="0"/>
      <w:divBdr>
        <w:top w:val="none" w:sz="0" w:space="0" w:color="auto"/>
        <w:left w:val="none" w:sz="0" w:space="0" w:color="auto"/>
        <w:bottom w:val="none" w:sz="0" w:space="0" w:color="auto"/>
        <w:right w:val="none" w:sz="0" w:space="0" w:color="auto"/>
      </w:divBdr>
    </w:div>
    <w:div w:id="443966734">
      <w:bodyDiv w:val="1"/>
      <w:marLeft w:val="0"/>
      <w:marRight w:val="0"/>
      <w:marTop w:val="0"/>
      <w:marBottom w:val="0"/>
      <w:divBdr>
        <w:top w:val="none" w:sz="0" w:space="0" w:color="auto"/>
        <w:left w:val="none" w:sz="0" w:space="0" w:color="auto"/>
        <w:bottom w:val="none" w:sz="0" w:space="0" w:color="auto"/>
        <w:right w:val="none" w:sz="0" w:space="0" w:color="auto"/>
      </w:divBdr>
    </w:div>
    <w:div w:id="446314202">
      <w:bodyDiv w:val="1"/>
      <w:marLeft w:val="0"/>
      <w:marRight w:val="0"/>
      <w:marTop w:val="0"/>
      <w:marBottom w:val="0"/>
      <w:divBdr>
        <w:top w:val="none" w:sz="0" w:space="0" w:color="auto"/>
        <w:left w:val="none" w:sz="0" w:space="0" w:color="auto"/>
        <w:bottom w:val="none" w:sz="0" w:space="0" w:color="auto"/>
        <w:right w:val="none" w:sz="0" w:space="0" w:color="auto"/>
      </w:divBdr>
    </w:div>
    <w:div w:id="446967721">
      <w:bodyDiv w:val="1"/>
      <w:marLeft w:val="0"/>
      <w:marRight w:val="0"/>
      <w:marTop w:val="0"/>
      <w:marBottom w:val="0"/>
      <w:divBdr>
        <w:top w:val="none" w:sz="0" w:space="0" w:color="auto"/>
        <w:left w:val="none" w:sz="0" w:space="0" w:color="auto"/>
        <w:bottom w:val="none" w:sz="0" w:space="0" w:color="auto"/>
        <w:right w:val="none" w:sz="0" w:space="0" w:color="auto"/>
      </w:divBdr>
    </w:div>
    <w:div w:id="447241302">
      <w:bodyDiv w:val="1"/>
      <w:marLeft w:val="0"/>
      <w:marRight w:val="0"/>
      <w:marTop w:val="0"/>
      <w:marBottom w:val="0"/>
      <w:divBdr>
        <w:top w:val="none" w:sz="0" w:space="0" w:color="auto"/>
        <w:left w:val="none" w:sz="0" w:space="0" w:color="auto"/>
        <w:bottom w:val="none" w:sz="0" w:space="0" w:color="auto"/>
        <w:right w:val="none" w:sz="0" w:space="0" w:color="auto"/>
      </w:divBdr>
    </w:div>
    <w:div w:id="447435929">
      <w:bodyDiv w:val="1"/>
      <w:marLeft w:val="0"/>
      <w:marRight w:val="0"/>
      <w:marTop w:val="0"/>
      <w:marBottom w:val="0"/>
      <w:divBdr>
        <w:top w:val="none" w:sz="0" w:space="0" w:color="auto"/>
        <w:left w:val="none" w:sz="0" w:space="0" w:color="auto"/>
        <w:bottom w:val="none" w:sz="0" w:space="0" w:color="auto"/>
        <w:right w:val="none" w:sz="0" w:space="0" w:color="auto"/>
      </w:divBdr>
    </w:div>
    <w:div w:id="448475564">
      <w:bodyDiv w:val="1"/>
      <w:marLeft w:val="0"/>
      <w:marRight w:val="0"/>
      <w:marTop w:val="0"/>
      <w:marBottom w:val="0"/>
      <w:divBdr>
        <w:top w:val="none" w:sz="0" w:space="0" w:color="auto"/>
        <w:left w:val="none" w:sz="0" w:space="0" w:color="auto"/>
        <w:bottom w:val="none" w:sz="0" w:space="0" w:color="auto"/>
        <w:right w:val="none" w:sz="0" w:space="0" w:color="auto"/>
      </w:divBdr>
    </w:div>
    <w:div w:id="449084003">
      <w:bodyDiv w:val="1"/>
      <w:marLeft w:val="0"/>
      <w:marRight w:val="0"/>
      <w:marTop w:val="0"/>
      <w:marBottom w:val="0"/>
      <w:divBdr>
        <w:top w:val="none" w:sz="0" w:space="0" w:color="auto"/>
        <w:left w:val="none" w:sz="0" w:space="0" w:color="auto"/>
        <w:bottom w:val="none" w:sz="0" w:space="0" w:color="auto"/>
        <w:right w:val="none" w:sz="0" w:space="0" w:color="auto"/>
      </w:divBdr>
    </w:div>
    <w:div w:id="449395715">
      <w:bodyDiv w:val="1"/>
      <w:marLeft w:val="0"/>
      <w:marRight w:val="0"/>
      <w:marTop w:val="0"/>
      <w:marBottom w:val="0"/>
      <w:divBdr>
        <w:top w:val="none" w:sz="0" w:space="0" w:color="auto"/>
        <w:left w:val="none" w:sz="0" w:space="0" w:color="auto"/>
        <w:bottom w:val="none" w:sz="0" w:space="0" w:color="auto"/>
        <w:right w:val="none" w:sz="0" w:space="0" w:color="auto"/>
      </w:divBdr>
    </w:div>
    <w:div w:id="449403015">
      <w:bodyDiv w:val="1"/>
      <w:marLeft w:val="0"/>
      <w:marRight w:val="0"/>
      <w:marTop w:val="0"/>
      <w:marBottom w:val="0"/>
      <w:divBdr>
        <w:top w:val="none" w:sz="0" w:space="0" w:color="auto"/>
        <w:left w:val="none" w:sz="0" w:space="0" w:color="auto"/>
        <w:bottom w:val="none" w:sz="0" w:space="0" w:color="auto"/>
        <w:right w:val="none" w:sz="0" w:space="0" w:color="auto"/>
      </w:divBdr>
    </w:div>
    <w:div w:id="449514627">
      <w:bodyDiv w:val="1"/>
      <w:marLeft w:val="0"/>
      <w:marRight w:val="0"/>
      <w:marTop w:val="0"/>
      <w:marBottom w:val="0"/>
      <w:divBdr>
        <w:top w:val="none" w:sz="0" w:space="0" w:color="auto"/>
        <w:left w:val="none" w:sz="0" w:space="0" w:color="auto"/>
        <w:bottom w:val="none" w:sz="0" w:space="0" w:color="auto"/>
        <w:right w:val="none" w:sz="0" w:space="0" w:color="auto"/>
      </w:divBdr>
    </w:div>
    <w:div w:id="450169514">
      <w:bodyDiv w:val="1"/>
      <w:marLeft w:val="0"/>
      <w:marRight w:val="0"/>
      <w:marTop w:val="0"/>
      <w:marBottom w:val="0"/>
      <w:divBdr>
        <w:top w:val="none" w:sz="0" w:space="0" w:color="auto"/>
        <w:left w:val="none" w:sz="0" w:space="0" w:color="auto"/>
        <w:bottom w:val="none" w:sz="0" w:space="0" w:color="auto"/>
        <w:right w:val="none" w:sz="0" w:space="0" w:color="auto"/>
      </w:divBdr>
    </w:div>
    <w:div w:id="450442376">
      <w:bodyDiv w:val="1"/>
      <w:marLeft w:val="0"/>
      <w:marRight w:val="0"/>
      <w:marTop w:val="0"/>
      <w:marBottom w:val="0"/>
      <w:divBdr>
        <w:top w:val="none" w:sz="0" w:space="0" w:color="auto"/>
        <w:left w:val="none" w:sz="0" w:space="0" w:color="auto"/>
        <w:bottom w:val="none" w:sz="0" w:space="0" w:color="auto"/>
        <w:right w:val="none" w:sz="0" w:space="0" w:color="auto"/>
      </w:divBdr>
    </w:div>
    <w:div w:id="450513242">
      <w:bodyDiv w:val="1"/>
      <w:marLeft w:val="0"/>
      <w:marRight w:val="0"/>
      <w:marTop w:val="0"/>
      <w:marBottom w:val="0"/>
      <w:divBdr>
        <w:top w:val="none" w:sz="0" w:space="0" w:color="auto"/>
        <w:left w:val="none" w:sz="0" w:space="0" w:color="auto"/>
        <w:bottom w:val="none" w:sz="0" w:space="0" w:color="auto"/>
        <w:right w:val="none" w:sz="0" w:space="0" w:color="auto"/>
      </w:divBdr>
    </w:div>
    <w:div w:id="450901037">
      <w:bodyDiv w:val="1"/>
      <w:marLeft w:val="0"/>
      <w:marRight w:val="0"/>
      <w:marTop w:val="0"/>
      <w:marBottom w:val="0"/>
      <w:divBdr>
        <w:top w:val="none" w:sz="0" w:space="0" w:color="auto"/>
        <w:left w:val="none" w:sz="0" w:space="0" w:color="auto"/>
        <w:bottom w:val="none" w:sz="0" w:space="0" w:color="auto"/>
        <w:right w:val="none" w:sz="0" w:space="0" w:color="auto"/>
      </w:divBdr>
    </w:div>
    <w:div w:id="451554500">
      <w:bodyDiv w:val="1"/>
      <w:marLeft w:val="0"/>
      <w:marRight w:val="0"/>
      <w:marTop w:val="0"/>
      <w:marBottom w:val="0"/>
      <w:divBdr>
        <w:top w:val="none" w:sz="0" w:space="0" w:color="auto"/>
        <w:left w:val="none" w:sz="0" w:space="0" w:color="auto"/>
        <w:bottom w:val="none" w:sz="0" w:space="0" w:color="auto"/>
        <w:right w:val="none" w:sz="0" w:space="0" w:color="auto"/>
      </w:divBdr>
    </w:div>
    <w:div w:id="452023326">
      <w:bodyDiv w:val="1"/>
      <w:marLeft w:val="0"/>
      <w:marRight w:val="0"/>
      <w:marTop w:val="0"/>
      <w:marBottom w:val="0"/>
      <w:divBdr>
        <w:top w:val="none" w:sz="0" w:space="0" w:color="auto"/>
        <w:left w:val="none" w:sz="0" w:space="0" w:color="auto"/>
        <w:bottom w:val="none" w:sz="0" w:space="0" w:color="auto"/>
        <w:right w:val="none" w:sz="0" w:space="0" w:color="auto"/>
      </w:divBdr>
    </w:div>
    <w:div w:id="452402205">
      <w:bodyDiv w:val="1"/>
      <w:marLeft w:val="0"/>
      <w:marRight w:val="0"/>
      <w:marTop w:val="0"/>
      <w:marBottom w:val="0"/>
      <w:divBdr>
        <w:top w:val="none" w:sz="0" w:space="0" w:color="auto"/>
        <w:left w:val="none" w:sz="0" w:space="0" w:color="auto"/>
        <w:bottom w:val="none" w:sz="0" w:space="0" w:color="auto"/>
        <w:right w:val="none" w:sz="0" w:space="0" w:color="auto"/>
      </w:divBdr>
    </w:div>
    <w:div w:id="452408591">
      <w:bodyDiv w:val="1"/>
      <w:marLeft w:val="0"/>
      <w:marRight w:val="0"/>
      <w:marTop w:val="0"/>
      <w:marBottom w:val="0"/>
      <w:divBdr>
        <w:top w:val="none" w:sz="0" w:space="0" w:color="auto"/>
        <w:left w:val="none" w:sz="0" w:space="0" w:color="auto"/>
        <w:bottom w:val="none" w:sz="0" w:space="0" w:color="auto"/>
        <w:right w:val="none" w:sz="0" w:space="0" w:color="auto"/>
      </w:divBdr>
    </w:div>
    <w:div w:id="452676693">
      <w:bodyDiv w:val="1"/>
      <w:marLeft w:val="0"/>
      <w:marRight w:val="0"/>
      <w:marTop w:val="0"/>
      <w:marBottom w:val="0"/>
      <w:divBdr>
        <w:top w:val="none" w:sz="0" w:space="0" w:color="auto"/>
        <w:left w:val="none" w:sz="0" w:space="0" w:color="auto"/>
        <w:bottom w:val="none" w:sz="0" w:space="0" w:color="auto"/>
        <w:right w:val="none" w:sz="0" w:space="0" w:color="auto"/>
      </w:divBdr>
    </w:div>
    <w:div w:id="452944669">
      <w:bodyDiv w:val="1"/>
      <w:marLeft w:val="0"/>
      <w:marRight w:val="0"/>
      <w:marTop w:val="0"/>
      <w:marBottom w:val="0"/>
      <w:divBdr>
        <w:top w:val="none" w:sz="0" w:space="0" w:color="auto"/>
        <w:left w:val="none" w:sz="0" w:space="0" w:color="auto"/>
        <w:bottom w:val="none" w:sz="0" w:space="0" w:color="auto"/>
        <w:right w:val="none" w:sz="0" w:space="0" w:color="auto"/>
      </w:divBdr>
    </w:div>
    <w:div w:id="453333782">
      <w:bodyDiv w:val="1"/>
      <w:marLeft w:val="0"/>
      <w:marRight w:val="0"/>
      <w:marTop w:val="0"/>
      <w:marBottom w:val="0"/>
      <w:divBdr>
        <w:top w:val="none" w:sz="0" w:space="0" w:color="auto"/>
        <w:left w:val="none" w:sz="0" w:space="0" w:color="auto"/>
        <w:bottom w:val="none" w:sz="0" w:space="0" w:color="auto"/>
        <w:right w:val="none" w:sz="0" w:space="0" w:color="auto"/>
      </w:divBdr>
    </w:div>
    <w:div w:id="454061277">
      <w:bodyDiv w:val="1"/>
      <w:marLeft w:val="0"/>
      <w:marRight w:val="0"/>
      <w:marTop w:val="0"/>
      <w:marBottom w:val="0"/>
      <w:divBdr>
        <w:top w:val="none" w:sz="0" w:space="0" w:color="auto"/>
        <w:left w:val="none" w:sz="0" w:space="0" w:color="auto"/>
        <w:bottom w:val="none" w:sz="0" w:space="0" w:color="auto"/>
        <w:right w:val="none" w:sz="0" w:space="0" w:color="auto"/>
      </w:divBdr>
    </w:div>
    <w:div w:id="455105311">
      <w:bodyDiv w:val="1"/>
      <w:marLeft w:val="0"/>
      <w:marRight w:val="0"/>
      <w:marTop w:val="0"/>
      <w:marBottom w:val="0"/>
      <w:divBdr>
        <w:top w:val="none" w:sz="0" w:space="0" w:color="auto"/>
        <w:left w:val="none" w:sz="0" w:space="0" w:color="auto"/>
        <w:bottom w:val="none" w:sz="0" w:space="0" w:color="auto"/>
        <w:right w:val="none" w:sz="0" w:space="0" w:color="auto"/>
      </w:divBdr>
    </w:div>
    <w:div w:id="455296739">
      <w:bodyDiv w:val="1"/>
      <w:marLeft w:val="0"/>
      <w:marRight w:val="0"/>
      <w:marTop w:val="0"/>
      <w:marBottom w:val="0"/>
      <w:divBdr>
        <w:top w:val="none" w:sz="0" w:space="0" w:color="auto"/>
        <w:left w:val="none" w:sz="0" w:space="0" w:color="auto"/>
        <w:bottom w:val="none" w:sz="0" w:space="0" w:color="auto"/>
        <w:right w:val="none" w:sz="0" w:space="0" w:color="auto"/>
      </w:divBdr>
    </w:div>
    <w:div w:id="456148966">
      <w:bodyDiv w:val="1"/>
      <w:marLeft w:val="0"/>
      <w:marRight w:val="0"/>
      <w:marTop w:val="0"/>
      <w:marBottom w:val="0"/>
      <w:divBdr>
        <w:top w:val="none" w:sz="0" w:space="0" w:color="auto"/>
        <w:left w:val="none" w:sz="0" w:space="0" w:color="auto"/>
        <w:bottom w:val="none" w:sz="0" w:space="0" w:color="auto"/>
        <w:right w:val="none" w:sz="0" w:space="0" w:color="auto"/>
      </w:divBdr>
      <w:divsChild>
        <w:div w:id="1649632467">
          <w:marLeft w:val="0"/>
          <w:marRight w:val="0"/>
          <w:marTop w:val="0"/>
          <w:marBottom w:val="0"/>
          <w:divBdr>
            <w:top w:val="none" w:sz="0" w:space="0" w:color="auto"/>
            <w:left w:val="none" w:sz="0" w:space="0" w:color="auto"/>
            <w:bottom w:val="none" w:sz="0" w:space="0" w:color="auto"/>
            <w:right w:val="none" w:sz="0" w:space="0" w:color="auto"/>
          </w:divBdr>
        </w:div>
      </w:divsChild>
    </w:div>
    <w:div w:id="457185427">
      <w:bodyDiv w:val="1"/>
      <w:marLeft w:val="0"/>
      <w:marRight w:val="0"/>
      <w:marTop w:val="0"/>
      <w:marBottom w:val="0"/>
      <w:divBdr>
        <w:top w:val="none" w:sz="0" w:space="0" w:color="auto"/>
        <w:left w:val="none" w:sz="0" w:space="0" w:color="auto"/>
        <w:bottom w:val="none" w:sz="0" w:space="0" w:color="auto"/>
        <w:right w:val="none" w:sz="0" w:space="0" w:color="auto"/>
      </w:divBdr>
    </w:div>
    <w:div w:id="457384577">
      <w:bodyDiv w:val="1"/>
      <w:marLeft w:val="0"/>
      <w:marRight w:val="0"/>
      <w:marTop w:val="0"/>
      <w:marBottom w:val="0"/>
      <w:divBdr>
        <w:top w:val="none" w:sz="0" w:space="0" w:color="auto"/>
        <w:left w:val="none" w:sz="0" w:space="0" w:color="auto"/>
        <w:bottom w:val="none" w:sz="0" w:space="0" w:color="auto"/>
        <w:right w:val="none" w:sz="0" w:space="0" w:color="auto"/>
      </w:divBdr>
    </w:div>
    <w:div w:id="457721826">
      <w:bodyDiv w:val="1"/>
      <w:marLeft w:val="0"/>
      <w:marRight w:val="0"/>
      <w:marTop w:val="0"/>
      <w:marBottom w:val="0"/>
      <w:divBdr>
        <w:top w:val="none" w:sz="0" w:space="0" w:color="auto"/>
        <w:left w:val="none" w:sz="0" w:space="0" w:color="auto"/>
        <w:bottom w:val="none" w:sz="0" w:space="0" w:color="auto"/>
        <w:right w:val="none" w:sz="0" w:space="0" w:color="auto"/>
      </w:divBdr>
    </w:div>
    <w:div w:id="457799140">
      <w:bodyDiv w:val="1"/>
      <w:marLeft w:val="0"/>
      <w:marRight w:val="0"/>
      <w:marTop w:val="0"/>
      <w:marBottom w:val="0"/>
      <w:divBdr>
        <w:top w:val="none" w:sz="0" w:space="0" w:color="auto"/>
        <w:left w:val="none" w:sz="0" w:space="0" w:color="auto"/>
        <w:bottom w:val="none" w:sz="0" w:space="0" w:color="auto"/>
        <w:right w:val="none" w:sz="0" w:space="0" w:color="auto"/>
      </w:divBdr>
    </w:div>
    <w:div w:id="458300881">
      <w:bodyDiv w:val="1"/>
      <w:marLeft w:val="0"/>
      <w:marRight w:val="0"/>
      <w:marTop w:val="0"/>
      <w:marBottom w:val="0"/>
      <w:divBdr>
        <w:top w:val="none" w:sz="0" w:space="0" w:color="auto"/>
        <w:left w:val="none" w:sz="0" w:space="0" w:color="auto"/>
        <w:bottom w:val="none" w:sz="0" w:space="0" w:color="auto"/>
        <w:right w:val="none" w:sz="0" w:space="0" w:color="auto"/>
      </w:divBdr>
    </w:div>
    <w:div w:id="458886980">
      <w:bodyDiv w:val="1"/>
      <w:marLeft w:val="0"/>
      <w:marRight w:val="0"/>
      <w:marTop w:val="0"/>
      <w:marBottom w:val="0"/>
      <w:divBdr>
        <w:top w:val="none" w:sz="0" w:space="0" w:color="auto"/>
        <w:left w:val="none" w:sz="0" w:space="0" w:color="auto"/>
        <w:bottom w:val="none" w:sz="0" w:space="0" w:color="auto"/>
        <w:right w:val="none" w:sz="0" w:space="0" w:color="auto"/>
      </w:divBdr>
    </w:div>
    <w:div w:id="459346331">
      <w:bodyDiv w:val="1"/>
      <w:marLeft w:val="0"/>
      <w:marRight w:val="0"/>
      <w:marTop w:val="0"/>
      <w:marBottom w:val="0"/>
      <w:divBdr>
        <w:top w:val="none" w:sz="0" w:space="0" w:color="auto"/>
        <w:left w:val="none" w:sz="0" w:space="0" w:color="auto"/>
        <w:bottom w:val="none" w:sz="0" w:space="0" w:color="auto"/>
        <w:right w:val="none" w:sz="0" w:space="0" w:color="auto"/>
      </w:divBdr>
    </w:div>
    <w:div w:id="460080575">
      <w:bodyDiv w:val="1"/>
      <w:marLeft w:val="0"/>
      <w:marRight w:val="0"/>
      <w:marTop w:val="0"/>
      <w:marBottom w:val="0"/>
      <w:divBdr>
        <w:top w:val="none" w:sz="0" w:space="0" w:color="auto"/>
        <w:left w:val="none" w:sz="0" w:space="0" w:color="auto"/>
        <w:bottom w:val="none" w:sz="0" w:space="0" w:color="auto"/>
        <w:right w:val="none" w:sz="0" w:space="0" w:color="auto"/>
      </w:divBdr>
    </w:div>
    <w:div w:id="460880804">
      <w:bodyDiv w:val="1"/>
      <w:marLeft w:val="0"/>
      <w:marRight w:val="0"/>
      <w:marTop w:val="0"/>
      <w:marBottom w:val="0"/>
      <w:divBdr>
        <w:top w:val="none" w:sz="0" w:space="0" w:color="auto"/>
        <w:left w:val="none" w:sz="0" w:space="0" w:color="auto"/>
        <w:bottom w:val="none" w:sz="0" w:space="0" w:color="auto"/>
        <w:right w:val="none" w:sz="0" w:space="0" w:color="auto"/>
      </w:divBdr>
    </w:div>
    <w:div w:id="461191321">
      <w:bodyDiv w:val="1"/>
      <w:marLeft w:val="0"/>
      <w:marRight w:val="0"/>
      <w:marTop w:val="0"/>
      <w:marBottom w:val="0"/>
      <w:divBdr>
        <w:top w:val="none" w:sz="0" w:space="0" w:color="auto"/>
        <w:left w:val="none" w:sz="0" w:space="0" w:color="auto"/>
        <w:bottom w:val="none" w:sz="0" w:space="0" w:color="auto"/>
        <w:right w:val="none" w:sz="0" w:space="0" w:color="auto"/>
      </w:divBdr>
    </w:div>
    <w:div w:id="461264961">
      <w:bodyDiv w:val="1"/>
      <w:marLeft w:val="0"/>
      <w:marRight w:val="0"/>
      <w:marTop w:val="0"/>
      <w:marBottom w:val="0"/>
      <w:divBdr>
        <w:top w:val="none" w:sz="0" w:space="0" w:color="auto"/>
        <w:left w:val="none" w:sz="0" w:space="0" w:color="auto"/>
        <w:bottom w:val="none" w:sz="0" w:space="0" w:color="auto"/>
        <w:right w:val="none" w:sz="0" w:space="0" w:color="auto"/>
      </w:divBdr>
    </w:div>
    <w:div w:id="461384239">
      <w:bodyDiv w:val="1"/>
      <w:marLeft w:val="0"/>
      <w:marRight w:val="0"/>
      <w:marTop w:val="0"/>
      <w:marBottom w:val="0"/>
      <w:divBdr>
        <w:top w:val="none" w:sz="0" w:space="0" w:color="auto"/>
        <w:left w:val="none" w:sz="0" w:space="0" w:color="auto"/>
        <w:bottom w:val="none" w:sz="0" w:space="0" w:color="auto"/>
        <w:right w:val="none" w:sz="0" w:space="0" w:color="auto"/>
      </w:divBdr>
    </w:div>
    <w:div w:id="461927106">
      <w:bodyDiv w:val="1"/>
      <w:marLeft w:val="0"/>
      <w:marRight w:val="0"/>
      <w:marTop w:val="0"/>
      <w:marBottom w:val="0"/>
      <w:divBdr>
        <w:top w:val="none" w:sz="0" w:space="0" w:color="auto"/>
        <w:left w:val="none" w:sz="0" w:space="0" w:color="auto"/>
        <w:bottom w:val="none" w:sz="0" w:space="0" w:color="auto"/>
        <w:right w:val="none" w:sz="0" w:space="0" w:color="auto"/>
      </w:divBdr>
    </w:div>
    <w:div w:id="462967312">
      <w:bodyDiv w:val="1"/>
      <w:marLeft w:val="0"/>
      <w:marRight w:val="0"/>
      <w:marTop w:val="0"/>
      <w:marBottom w:val="0"/>
      <w:divBdr>
        <w:top w:val="none" w:sz="0" w:space="0" w:color="auto"/>
        <w:left w:val="none" w:sz="0" w:space="0" w:color="auto"/>
        <w:bottom w:val="none" w:sz="0" w:space="0" w:color="auto"/>
        <w:right w:val="none" w:sz="0" w:space="0" w:color="auto"/>
      </w:divBdr>
    </w:div>
    <w:div w:id="464279813">
      <w:bodyDiv w:val="1"/>
      <w:marLeft w:val="0"/>
      <w:marRight w:val="0"/>
      <w:marTop w:val="0"/>
      <w:marBottom w:val="0"/>
      <w:divBdr>
        <w:top w:val="none" w:sz="0" w:space="0" w:color="auto"/>
        <w:left w:val="none" w:sz="0" w:space="0" w:color="auto"/>
        <w:bottom w:val="none" w:sz="0" w:space="0" w:color="auto"/>
        <w:right w:val="none" w:sz="0" w:space="0" w:color="auto"/>
      </w:divBdr>
    </w:div>
    <w:div w:id="464349927">
      <w:bodyDiv w:val="1"/>
      <w:marLeft w:val="0"/>
      <w:marRight w:val="0"/>
      <w:marTop w:val="0"/>
      <w:marBottom w:val="0"/>
      <w:divBdr>
        <w:top w:val="none" w:sz="0" w:space="0" w:color="auto"/>
        <w:left w:val="none" w:sz="0" w:space="0" w:color="auto"/>
        <w:bottom w:val="none" w:sz="0" w:space="0" w:color="auto"/>
        <w:right w:val="none" w:sz="0" w:space="0" w:color="auto"/>
      </w:divBdr>
    </w:div>
    <w:div w:id="464540277">
      <w:bodyDiv w:val="1"/>
      <w:marLeft w:val="0"/>
      <w:marRight w:val="0"/>
      <w:marTop w:val="0"/>
      <w:marBottom w:val="0"/>
      <w:divBdr>
        <w:top w:val="none" w:sz="0" w:space="0" w:color="auto"/>
        <w:left w:val="none" w:sz="0" w:space="0" w:color="auto"/>
        <w:bottom w:val="none" w:sz="0" w:space="0" w:color="auto"/>
        <w:right w:val="none" w:sz="0" w:space="0" w:color="auto"/>
      </w:divBdr>
    </w:div>
    <w:div w:id="464615655">
      <w:bodyDiv w:val="1"/>
      <w:marLeft w:val="0"/>
      <w:marRight w:val="0"/>
      <w:marTop w:val="0"/>
      <w:marBottom w:val="0"/>
      <w:divBdr>
        <w:top w:val="none" w:sz="0" w:space="0" w:color="auto"/>
        <w:left w:val="none" w:sz="0" w:space="0" w:color="auto"/>
        <w:bottom w:val="none" w:sz="0" w:space="0" w:color="auto"/>
        <w:right w:val="none" w:sz="0" w:space="0" w:color="auto"/>
      </w:divBdr>
    </w:div>
    <w:div w:id="465247875">
      <w:bodyDiv w:val="1"/>
      <w:marLeft w:val="0"/>
      <w:marRight w:val="0"/>
      <w:marTop w:val="0"/>
      <w:marBottom w:val="0"/>
      <w:divBdr>
        <w:top w:val="none" w:sz="0" w:space="0" w:color="auto"/>
        <w:left w:val="none" w:sz="0" w:space="0" w:color="auto"/>
        <w:bottom w:val="none" w:sz="0" w:space="0" w:color="auto"/>
        <w:right w:val="none" w:sz="0" w:space="0" w:color="auto"/>
      </w:divBdr>
    </w:div>
    <w:div w:id="465397638">
      <w:bodyDiv w:val="1"/>
      <w:marLeft w:val="0"/>
      <w:marRight w:val="0"/>
      <w:marTop w:val="0"/>
      <w:marBottom w:val="0"/>
      <w:divBdr>
        <w:top w:val="none" w:sz="0" w:space="0" w:color="auto"/>
        <w:left w:val="none" w:sz="0" w:space="0" w:color="auto"/>
        <w:bottom w:val="none" w:sz="0" w:space="0" w:color="auto"/>
        <w:right w:val="none" w:sz="0" w:space="0" w:color="auto"/>
      </w:divBdr>
    </w:div>
    <w:div w:id="466170298">
      <w:bodyDiv w:val="1"/>
      <w:marLeft w:val="0"/>
      <w:marRight w:val="0"/>
      <w:marTop w:val="0"/>
      <w:marBottom w:val="0"/>
      <w:divBdr>
        <w:top w:val="none" w:sz="0" w:space="0" w:color="auto"/>
        <w:left w:val="none" w:sz="0" w:space="0" w:color="auto"/>
        <w:bottom w:val="none" w:sz="0" w:space="0" w:color="auto"/>
        <w:right w:val="none" w:sz="0" w:space="0" w:color="auto"/>
      </w:divBdr>
    </w:div>
    <w:div w:id="466316406">
      <w:bodyDiv w:val="1"/>
      <w:marLeft w:val="0"/>
      <w:marRight w:val="0"/>
      <w:marTop w:val="0"/>
      <w:marBottom w:val="0"/>
      <w:divBdr>
        <w:top w:val="none" w:sz="0" w:space="0" w:color="auto"/>
        <w:left w:val="none" w:sz="0" w:space="0" w:color="auto"/>
        <w:bottom w:val="none" w:sz="0" w:space="0" w:color="auto"/>
        <w:right w:val="none" w:sz="0" w:space="0" w:color="auto"/>
      </w:divBdr>
    </w:div>
    <w:div w:id="466819039">
      <w:bodyDiv w:val="1"/>
      <w:marLeft w:val="0"/>
      <w:marRight w:val="0"/>
      <w:marTop w:val="0"/>
      <w:marBottom w:val="0"/>
      <w:divBdr>
        <w:top w:val="none" w:sz="0" w:space="0" w:color="auto"/>
        <w:left w:val="none" w:sz="0" w:space="0" w:color="auto"/>
        <w:bottom w:val="none" w:sz="0" w:space="0" w:color="auto"/>
        <w:right w:val="none" w:sz="0" w:space="0" w:color="auto"/>
      </w:divBdr>
    </w:div>
    <w:div w:id="467017810">
      <w:bodyDiv w:val="1"/>
      <w:marLeft w:val="0"/>
      <w:marRight w:val="0"/>
      <w:marTop w:val="0"/>
      <w:marBottom w:val="0"/>
      <w:divBdr>
        <w:top w:val="none" w:sz="0" w:space="0" w:color="auto"/>
        <w:left w:val="none" w:sz="0" w:space="0" w:color="auto"/>
        <w:bottom w:val="none" w:sz="0" w:space="0" w:color="auto"/>
        <w:right w:val="none" w:sz="0" w:space="0" w:color="auto"/>
      </w:divBdr>
    </w:div>
    <w:div w:id="467208257">
      <w:bodyDiv w:val="1"/>
      <w:marLeft w:val="0"/>
      <w:marRight w:val="0"/>
      <w:marTop w:val="0"/>
      <w:marBottom w:val="0"/>
      <w:divBdr>
        <w:top w:val="none" w:sz="0" w:space="0" w:color="auto"/>
        <w:left w:val="none" w:sz="0" w:space="0" w:color="auto"/>
        <w:bottom w:val="none" w:sz="0" w:space="0" w:color="auto"/>
        <w:right w:val="none" w:sz="0" w:space="0" w:color="auto"/>
      </w:divBdr>
    </w:div>
    <w:div w:id="467668741">
      <w:bodyDiv w:val="1"/>
      <w:marLeft w:val="0"/>
      <w:marRight w:val="0"/>
      <w:marTop w:val="0"/>
      <w:marBottom w:val="0"/>
      <w:divBdr>
        <w:top w:val="none" w:sz="0" w:space="0" w:color="auto"/>
        <w:left w:val="none" w:sz="0" w:space="0" w:color="auto"/>
        <w:bottom w:val="none" w:sz="0" w:space="0" w:color="auto"/>
        <w:right w:val="none" w:sz="0" w:space="0" w:color="auto"/>
      </w:divBdr>
    </w:div>
    <w:div w:id="467674202">
      <w:bodyDiv w:val="1"/>
      <w:marLeft w:val="0"/>
      <w:marRight w:val="0"/>
      <w:marTop w:val="0"/>
      <w:marBottom w:val="0"/>
      <w:divBdr>
        <w:top w:val="none" w:sz="0" w:space="0" w:color="auto"/>
        <w:left w:val="none" w:sz="0" w:space="0" w:color="auto"/>
        <w:bottom w:val="none" w:sz="0" w:space="0" w:color="auto"/>
        <w:right w:val="none" w:sz="0" w:space="0" w:color="auto"/>
      </w:divBdr>
    </w:div>
    <w:div w:id="468128711">
      <w:bodyDiv w:val="1"/>
      <w:marLeft w:val="0"/>
      <w:marRight w:val="0"/>
      <w:marTop w:val="0"/>
      <w:marBottom w:val="0"/>
      <w:divBdr>
        <w:top w:val="none" w:sz="0" w:space="0" w:color="auto"/>
        <w:left w:val="none" w:sz="0" w:space="0" w:color="auto"/>
        <w:bottom w:val="none" w:sz="0" w:space="0" w:color="auto"/>
        <w:right w:val="none" w:sz="0" w:space="0" w:color="auto"/>
      </w:divBdr>
    </w:div>
    <w:div w:id="468477294">
      <w:bodyDiv w:val="1"/>
      <w:marLeft w:val="0"/>
      <w:marRight w:val="0"/>
      <w:marTop w:val="0"/>
      <w:marBottom w:val="0"/>
      <w:divBdr>
        <w:top w:val="none" w:sz="0" w:space="0" w:color="auto"/>
        <w:left w:val="none" w:sz="0" w:space="0" w:color="auto"/>
        <w:bottom w:val="none" w:sz="0" w:space="0" w:color="auto"/>
        <w:right w:val="none" w:sz="0" w:space="0" w:color="auto"/>
      </w:divBdr>
    </w:div>
    <w:div w:id="468981114">
      <w:bodyDiv w:val="1"/>
      <w:marLeft w:val="0"/>
      <w:marRight w:val="0"/>
      <w:marTop w:val="0"/>
      <w:marBottom w:val="0"/>
      <w:divBdr>
        <w:top w:val="none" w:sz="0" w:space="0" w:color="auto"/>
        <w:left w:val="none" w:sz="0" w:space="0" w:color="auto"/>
        <w:bottom w:val="none" w:sz="0" w:space="0" w:color="auto"/>
        <w:right w:val="none" w:sz="0" w:space="0" w:color="auto"/>
      </w:divBdr>
    </w:div>
    <w:div w:id="468982018">
      <w:bodyDiv w:val="1"/>
      <w:marLeft w:val="0"/>
      <w:marRight w:val="0"/>
      <w:marTop w:val="0"/>
      <w:marBottom w:val="0"/>
      <w:divBdr>
        <w:top w:val="none" w:sz="0" w:space="0" w:color="auto"/>
        <w:left w:val="none" w:sz="0" w:space="0" w:color="auto"/>
        <w:bottom w:val="none" w:sz="0" w:space="0" w:color="auto"/>
        <w:right w:val="none" w:sz="0" w:space="0" w:color="auto"/>
      </w:divBdr>
    </w:div>
    <w:div w:id="470756566">
      <w:bodyDiv w:val="1"/>
      <w:marLeft w:val="0"/>
      <w:marRight w:val="0"/>
      <w:marTop w:val="0"/>
      <w:marBottom w:val="0"/>
      <w:divBdr>
        <w:top w:val="none" w:sz="0" w:space="0" w:color="auto"/>
        <w:left w:val="none" w:sz="0" w:space="0" w:color="auto"/>
        <w:bottom w:val="none" w:sz="0" w:space="0" w:color="auto"/>
        <w:right w:val="none" w:sz="0" w:space="0" w:color="auto"/>
      </w:divBdr>
    </w:div>
    <w:div w:id="471797472">
      <w:bodyDiv w:val="1"/>
      <w:marLeft w:val="0"/>
      <w:marRight w:val="0"/>
      <w:marTop w:val="0"/>
      <w:marBottom w:val="0"/>
      <w:divBdr>
        <w:top w:val="none" w:sz="0" w:space="0" w:color="auto"/>
        <w:left w:val="none" w:sz="0" w:space="0" w:color="auto"/>
        <w:bottom w:val="none" w:sz="0" w:space="0" w:color="auto"/>
        <w:right w:val="none" w:sz="0" w:space="0" w:color="auto"/>
      </w:divBdr>
    </w:div>
    <w:div w:id="472211981">
      <w:bodyDiv w:val="1"/>
      <w:marLeft w:val="0"/>
      <w:marRight w:val="0"/>
      <w:marTop w:val="0"/>
      <w:marBottom w:val="0"/>
      <w:divBdr>
        <w:top w:val="none" w:sz="0" w:space="0" w:color="auto"/>
        <w:left w:val="none" w:sz="0" w:space="0" w:color="auto"/>
        <w:bottom w:val="none" w:sz="0" w:space="0" w:color="auto"/>
        <w:right w:val="none" w:sz="0" w:space="0" w:color="auto"/>
      </w:divBdr>
    </w:div>
    <w:div w:id="472599235">
      <w:bodyDiv w:val="1"/>
      <w:marLeft w:val="0"/>
      <w:marRight w:val="0"/>
      <w:marTop w:val="0"/>
      <w:marBottom w:val="0"/>
      <w:divBdr>
        <w:top w:val="none" w:sz="0" w:space="0" w:color="auto"/>
        <w:left w:val="none" w:sz="0" w:space="0" w:color="auto"/>
        <w:bottom w:val="none" w:sz="0" w:space="0" w:color="auto"/>
        <w:right w:val="none" w:sz="0" w:space="0" w:color="auto"/>
      </w:divBdr>
    </w:div>
    <w:div w:id="472721548">
      <w:bodyDiv w:val="1"/>
      <w:marLeft w:val="0"/>
      <w:marRight w:val="0"/>
      <w:marTop w:val="0"/>
      <w:marBottom w:val="0"/>
      <w:divBdr>
        <w:top w:val="none" w:sz="0" w:space="0" w:color="auto"/>
        <w:left w:val="none" w:sz="0" w:space="0" w:color="auto"/>
        <w:bottom w:val="none" w:sz="0" w:space="0" w:color="auto"/>
        <w:right w:val="none" w:sz="0" w:space="0" w:color="auto"/>
      </w:divBdr>
    </w:div>
    <w:div w:id="472794937">
      <w:bodyDiv w:val="1"/>
      <w:marLeft w:val="0"/>
      <w:marRight w:val="0"/>
      <w:marTop w:val="0"/>
      <w:marBottom w:val="0"/>
      <w:divBdr>
        <w:top w:val="none" w:sz="0" w:space="0" w:color="auto"/>
        <w:left w:val="none" w:sz="0" w:space="0" w:color="auto"/>
        <w:bottom w:val="none" w:sz="0" w:space="0" w:color="auto"/>
        <w:right w:val="none" w:sz="0" w:space="0" w:color="auto"/>
      </w:divBdr>
    </w:div>
    <w:div w:id="472915315">
      <w:bodyDiv w:val="1"/>
      <w:marLeft w:val="0"/>
      <w:marRight w:val="0"/>
      <w:marTop w:val="0"/>
      <w:marBottom w:val="0"/>
      <w:divBdr>
        <w:top w:val="none" w:sz="0" w:space="0" w:color="auto"/>
        <w:left w:val="none" w:sz="0" w:space="0" w:color="auto"/>
        <w:bottom w:val="none" w:sz="0" w:space="0" w:color="auto"/>
        <w:right w:val="none" w:sz="0" w:space="0" w:color="auto"/>
      </w:divBdr>
    </w:div>
    <w:div w:id="473376764">
      <w:bodyDiv w:val="1"/>
      <w:marLeft w:val="0"/>
      <w:marRight w:val="0"/>
      <w:marTop w:val="0"/>
      <w:marBottom w:val="0"/>
      <w:divBdr>
        <w:top w:val="none" w:sz="0" w:space="0" w:color="auto"/>
        <w:left w:val="none" w:sz="0" w:space="0" w:color="auto"/>
        <w:bottom w:val="none" w:sz="0" w:space="0" w:color="auto"/>
        <w:right w:val="none" w:sz="0" w:space="0" w:color="auto"/>
      </w:divBdr>
    </w:div>
    <w:div w:id="473766302">
      <w:bodyDiv w:val="1"/>
      <w:marLeft w:val="0"/>
      <w:marRight w:val="0"/>
      <w:marTop w:val="0"/>
      <w:marBottom w:val="0"/>
      <w:divBdr>
        <w:top w:val="none" w:sz="0" w:space="0" w:color="auto"/>
        <w:left w:val="none" w:sz="0" w:space="0" w:color="auto"/>
        <w:bottom w:val="none" w:sz="0" w:space="0" w:color="auto"/>
        <w:right w:val="none" w:sz="0" w:space="0" w:color="auto"/>
      </w:divBdr>
    </w:div>
    <w:div w:id="474026547">
      <w:bodyDiv w:val="1"/>
      <w:marLeft w:val="0"/>
      <w:marRight w:val="0"/>
      <w:marTop w:val="0"/>
      <w:marBottom w:val="0"/>
      <w:divBdr>
        <w:top w:val="none" w:sz="0" w:space="0" w:color="auto"/>
        <w:left w:val="none" w:sz="0" w:space="0" w:color="auto"/>
        <w:bottom w:val="none" w:sz="0" w:space="0" w:color="auto"/>
        <w:right w:val="none" w:sz="0" w:space="0" w:color="auto"/>
      </w:divBdr>
    </w:div>
    <w:div w:id="475877429">
      <w:bodyDiv w:val="1"/>
      <w:marLeft w:val="0"/>
      <w:marRight w:val="0"/>
      <w:marTop w:val="0"/>
      <w:marBottom w:val="0"/>
      <w:divBdr>
        <w:top w:val="none" w:sz="0" w:space="0" w:color="auto"/>
        <w:left w:val="none" w:sz="0" w:space="0" w:color="auto"/>
        <w:bottom w:val="none" w:sz="0" w:space="0" w:color="auto"/>
        <w:right w:val="none" w:sz="0" w:space="0" w:color="auto"/>
      </w:divBdr>
    </w:div>
    <w:div w:id="476261758">
      <w:bodyDiv w:val="1"/>
      <w:marLeft w:val="0"/>
      <w:marRight w:val="0"/>
      <w:marTop w:val="0"/>
      <w:marBottom w:val="0"/>
      <w:divBdr>
        <w:top w:val="none" w:sz="0" w:space="0" w:color="auto"/>
        <w:left w:val="none" w:sz="0" w:space="0" w:color="auto"/>
        <w:bottom w:val="none" w:sz="0" w:space="0" w:color="auto"/>
        <w:right w:val="none" w:sz="0" w:space="0" w:color="auto"/>
      </w:divBdr>
    </w:div>
    <w:div w:id="477500183">
      <w:bodyDiv w:val="1"/>
      <w:marLeft w:val="0"/>
      <w:marRight w:val="0"/>
      <w:marTop w:val="0"/>
      <w:marBottom w:val="0"/>
      <w:divBdr>
        <w:top w:val="none" w:sz="0" w:space="0" w:color="auto"/>
        <w:left w:val="none" w:sz="0" w:space="0" w:color="auto"/>
        <w:bottom w:val="none" w:sz="0" w:space="0" w:color="auto"/>
        <w:right w:val="none" w:sz="0" w:space="0" w:color="auto"/>
      </w:divBdr>
    </w:div>
    <w:div w:id="477766536">
      <w:bodyDiv w:val="1"/>
      <w:marLeft w:val="0"/>
      <w:marRight w:val="0"/>
      <w:marTop w:val="0"/>
      <w:marBottom w:val="0"/>
      <w:divBdr>
        <w:top w:val="none" w:sz="0" w:space="0" w:color="auto"/>
        <w:left w:val="none" w:sz="0" w:space="0" w:color="auto"/>
        <w:bottom w:val="none" w:sz="0" w:space="0" w:color="auto"/>
        <w:right w:val="none" w:sz="0" w:space="0" w:color="auto"/>
      </w:divBdr>
    </w:div>
    <w:div w:id="477917605">
      <w:bodyDiv w:val="1"/>
      <w:marLeft w:val="0"/>
      <w:marRight w:val="0"/>
      <w:marTop w:val="0"/>
      <w:marBottom w:val="0"/>
      <w:divBdr>
        <w:top w:val="none" w:sz="0" w:space="0" w:color="auto"/>
        <w:left w:val="none" w:sz="0" w:space="0" w:color="auto"/>
        <w:bottom w:val="none" w:sz="0" w:space="0" w:color="auto"/>
        <w:right w:val="none" w:sz="0" w:space="0" w:color="auto"/>
      </w:divBdr>
    </w:div>
    <w:div w:id="478152752">
      <w:bodyDiv w:val="1"/>
      <w:marLeft w:val="0"/>
      <w:marRight w:val="0"/>
      <w:marTop w:val="0"/>
      <w:marBottom w:val="0"/>
      <w:divBdr>
        <w:top w:val="none" w:sz="0" w:space="0" w:color="auto"/>
        <w:left w:val="none" w:sz="0" w:space="0" w:color="auto"/>
        <w:bottom w:val="none" w:sz="0" w:space="0" w:color="auto"/>
        <w:right w:val="none" w:sz="0" w:space="0" w:color="auto"/>
      </w:divBdr>
    </w:div>
    <w:div w:id="478771239">
      <w:bodyDiv w:val="1"/>
      <w:marLeft w:val="0"/>
      <w:marRight w:val="0"/>
      <w:marTop w:val="0"/>
      <w:marBottom w:val="0"/>
      <w:divBdr>
        <w:top w:val="none" w:sz="0" w:space="0" w:color="auto"/>
        <w:left w:val="none" w:sz="0" w:space="0" w:color="auto"/>
        <w:bottom w:val="none" w:sz="0" w:space="0" w:color="auto"/>
        <w:right w:val="none" w:sz="0" w:space="0" w:color="auto"/>
      </w:divBdr>
    </w:div>
    <w:div w:id="478965074">
      <w:bodyDiv w:val="1"/>
      <w:marLeft w:val="0"/>
      <w:marRight w:val="0"/>
      <w:marTop w:val="0"/>
      <w:marBottom w:val="0"/>
      <w:divBdr>
        <w:top w:val="none" w:sz="0" w:space="0" w:color="auto"/>
        <w:left w:val="none" w:sz="0" w:space="0" w:color="auto"/>
        <w:bottom w:val="none" w:sz="0" w:space="0" w:color="auto"/>
        <w:right w:val="none" w:sz="0" w:space="0" w:color="auto"/>
      </w:divBdr>
    </w:div>
    <w:div w:id="480271596">
      <w:bodyDiv w:val="1"/>
      <w:marLeft w:val="0"/>
      <w:marRight w:val="0"/>
      <w:marTop w:val="0"/>
      <w:marBottom w:val="0"/>
      <w:divBdr>
        <w:top w:val="none" w:sz="0" w:space="0" w:color="auto"/>
        <w:left w:val="none" w:sz="0" w:space="0" w:color="auto"/>
        <w:bottom w:val="none" w:sz="0" w:space="0" w:color="auto"/>
        <w:right w:val="none" w:sz="0" w:space="0" w:color="auto"/>
      </w:divBdr>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0972038">
      <w:bodyDiv w:val="1"/>
      <w:marLeft w:val="0"/>
      <w:marRight w:val="0"/>
      <w:marTop w:val="0"/>
      <w:marBottom w:val="0"/>
      <w:divBdr>
        <w:top w:val="none" w:sz="0" w:space="0" w:color="auto"/>
        <w:left w:val="none" w:sz="0" w:space="0" w:color="auto"/>
        <w:bottom w:val="none" w:sz="0" w:space="0" w:color="auto"/>
        <w:right w:val="none" w:sz="0" w:space="0" w:color="auto"/>
      </w:divBdr>
    </w:div>
    <w:div w:id="482351118">
      <w:bodyDiv w:val="1"/>
      <w:marLeft w:val="0"/>
      <w:marRight w:val="0"/>
      <w:marTop w:val="0"/>
      <w:marBottom w:val="0"/>
      <w:divBdr>
        <w:top w:val="none" w:sz="0" w:space="0" w:color="auto"/>
        <w:left w:val="none" w:sz="0" w:space="0" w:color="auto"/>
        <w:bottom w:val="none" w:sz="0" w:space="0" w:color="auto"/>
        <w:right w:val="none" w:sz="0" w:space="0" w:color="auto"/>
      </w:divBdr>
    </w:div>
    <w:div w:id="482352196">
      <w:bodyDiv w:val="1"/>
      <w:marLeft w:val="0"/>
      <w:marRight w:val="0"/>
      <w:marTop w:val="0"/>
      <w:marBottom w:val="0"/>
      <w:divBdr>
        <w:top w:val="none" w:sz="0" w:space="0" w:color="auto"/>
        <w:left w:val="none" w:sz="0" w:space="0" w:color="auto"/>
        <w:bottom w:val="none" w:sz="0" w:space="0" w:color="auto"/>
        <w:right w:val="none" w:sz="0" w:space="0" w:color="auto"/>
      </w:divBdr>
    </w:div>
    <w:div w:id="482354948">
      <w:bodyDiv w:val="1"/>
      <w:marLeft w:val="0"/>
      <w:marRight w:val="0"/>
      <w:marTop w:val="0"/>
      <w:marBottom w:val="0"/>
      <w:divBdr>
        <w:top w:val="none" w:sz="0" w:space="0" w:color="auto"/>
        <w:left w:val="none" w:sz="0" w:space="0" w:color="auto"/>
        <w:bottom w:val="none" w:sz="0" w:space="0" w:color="auto"/>
        <w:right w:val="none" w:sz="0" w:space="0" w:color="auto"/>
      </w:divBdr>
    </w:div>
    <w:div w:id="484661708">
      <w:bodyDiv w:val="1"/>
      <w:marLeft w:val="0"/>
      <w:marRight w:val="0"/>
      <w:marTop w:val="0"/>
      <w:marBottom w:val="0"/>
      <w:divBdr>
        <w:top w:val="none" w:sz="0" w:space="0" w:color="auto"/>
        <w:left w:val="none" w:sz="0" w:space="0" w:color="auto"/>
        <w:bottom w:val="none" w:sz="0" w:space="0" w:color="auto"/>
        <w:right w:val="none" w:sz="0" w:space="0" w:color="auto"/>
      </w:divBdr>
    </w:div>
    <w:div w:id="485510266">
      <w:bodyDiv w:val="1"/>
      <w:marLeft w:val="0"/>
      <w:marRight w:val="0"/>
      <w:marTop w:val="0"/>
      <w:marBottom w:val="0"/>
      <w:divBdr>
        <w:top w:val="none" w:sz="0" w:space="0" w:color="auto"/>
        <w:left w:val="none" w:sz="0" w:space="0" w:color="auto"/>
        <w:bottom w:val="none" w:sz="0" w:space="0" w:color="auto"/>
        <w:right w:val="none" w:sz="0" w:space="0" w:color="auto"/>
      </w:divBdr>
    </w:div>
    <w:div w:id="485586448">
      <w:bodyDiv w:val="1"/>
      <w:marLeft w:val="0"/>
      <w:marRight w:val="0"/>
      <w:marTop w:val="0"/>
      <w:marBottom w:val="0"/>
      <w:divBdr>
        <w:top w:val="none" w:sz="0" w:space="0" w:color="auto"/>
        <w:left w:val="none" w:sz="0" w:space="0" w:color="auto"/>
        <w:bottom w:val="none" w:sz="0" w:space="0" w:color="auto"/>
        <w:right w:val="none" w:sz="0" w:space="0" w:color="auto"/>
      </w:divBdr>
    </w:div>
    <w:div w:id="485897797">
      <w:bodyDiv w:val="1"/>
      <w:marLeft w:val="0"/>
      <w:marRight w:val="0"/>
      <w:marTop w:val="0"/>
      <w:marBottom w:val="0"/>
      <w:divBdr>
        <w:top w:val="none" w:sz="0" w:space="0" w:color="auto"/>
        <w:left w:val="none" w:sz="0" w:space="0" w:color="auto"/>
        <w:bottom w:val="none" w:sz="0" w:space="0" w:color="auto"/>
        <w:right w:val="none" w:sz="0" w:space="0" w:color="auto"/>
      </w:divBdr>
    </w:div>
    <w:div w:id="486167852">
      <w:bodyDiv w:val="1"/>
      <w:marLeft w:val="0"/>
      <w:marRight w:val="0"/>
      <w:marTop w:val="0"/>
      <w:marBottom w:val="0"/>
      <w:divBdr>
        <w:top w:val="none" w:sz="0" w:space="0" w:color="auto"/>
        <w:left w:val="none" w:sz="0" w:space="0" w:color="auto"/>
        <w:bottom w:val="none" w:sz="0" w:space="0" w:color="auto"/>
        <w:right w:val="none" w:sz="0" w:space="0" w:color="auto"/>
      </w:divBdr>
      <w:divsChild>
        <w:div w:id="26025525">
          <w:marLeft w:val="0"/>
          <w:marRight w:val="0"/>
          <w:marTop w:val="0"/>
          <w:marBottom w:val="0"/>
          <w:divBdr>
            <w:top w:val="none" w:sz="0" w:space="0" w:color="auto"/>
            <w:left w:val="none" w:sz="0" w:space="0" w:color="auto"/>
            <w:bottom w:val="none" w:sz="0" w:space="0" w:color="auto"/>
            <w:right w:val="none" w:sz="0" w:space="0" w:color="auto"/>
          </w:divBdr>
        </w:div>
        <w:div w:id="66460838">
          <w:marLeft w:val="0"/>
          <w:marRight w:val="0"/>
          <w:marTop w:val="0"/>
          <w:marBottom w:val="0"/>
          <w:divBdr>
            <w:top w:val="none" w:sz="0" w:space="0" w:color="auto"/>
            <w:left w:val="none" w:sz="0" w:space="0" w:color="auto"/>
            <w:bottom w:val="none" w:sz="0" w:space="0" w:color="auto"/>
            <w:right w:val="none" w:sz="0" w:space="0" w:color="auto"/>
          </w:divBdr>
        </w:div>
        <w:div w:id="71127910">
          <w:marLeft w:val="0"/>
          <w:marRight w:val="0"/>
          <w:marTop w:val="0"/>
          <w:marBottom w:val="0"/>
          <w:divBdr>
            <w:top w:val="none" w:sz="0" w:space="0" w:color="auto"/>
            <w:left w:val="none" w:sz="0" w:space="0" w:color="auto"/>
            <w:bottom w:val="none" w:sz="0" w:space="0" w:color="auto"/>
            <w:right w:val="none" w:sz="0" w:space="0" w:color="auto"/>
          </w:divBdr>
        </w:div>
        <w:div w:id="192574085">
          <w:marLeft w:val="0"/>
          <w:marRight w:val="0"/>
          <w:marTop w:val="0"/>
          <w:marBottom w:val="0"/>
          <w:divBdr>
            <w:top w:val="none" w:sz="0" w:space="0" w:color="auto"/>
            <w:left w:val="none" w:sz="0" w:space="0" w:color="auto"/>
            <w:bottom w:val="none" w:sz="0" w:space="0" w:color="auto"/>
            <w:right w:val="none" w:sz="0" w:space="0" w:color="auto"/>
          </w:divBdr>
        </w:div>
        <w:div w:id="281302073">
          <w:marLeft w:val="0"/>
          <w:marRight w:val="0"/>
          <w:marTop w:val="0"/>
          <w:marBottom w:val="0"/>
          <w:divBdr>
            <w:top w:val="none" w:sz="0" w:space="0" w:color="auto"/>
            <w:left w:val="none" w:sz="0" w:space="0" w:color="auto"/>
            <w:bottom w:val="none" w:sz="0" w:space="0" w:color="auto"/>
            <w:right w:val="none" w:sz="0" w:space="0" w:color="auto"/>
          </w:divBdr>
        </w:div>
        <w:div w:id="310869083">
          <w:marLeft w:val="0"/>
          <w:marRight w:val="0"/>
          <w:marTop w:val="0"/>
          <w:marBottom w:val="0"/>
          <w:divBdr>
            <w:top w:val="none" w:sz="0" w:space="0" w:color="auto"/>
            <w:left w:val="none" w:sz="0" w:space="0" w:color="auto"/>
            <w:bottom w:val="none" w:sz="0" w:space="0" w:color="auto"/>
            <w:right w:val="none" w:sz="0" w:space="0" w:color="auto"/>
          </w:divBdr>
        </w:div>
        <w:div w:id="506217707">
          <w:marLeft w:val="0"/>
          <w:marRight w:val="0"/>
          <w:marTop w:val="0"/>
          <w:marBottom w:val="0"/>
          <w:divBdr>
            <w:top w:val="none" w:sz="0" w:space="0" w:color="auto"/>
            <w:left w:val="none" w:sz="0" w:space="0" w:color="auto"/>
            <w:bottom w:val="none" w:sz="0" w:space="0" w:color="auto"/>
            <w:right w:val="none" w:sz="0" w:space="0" w:color="auto"/>
          </w:divBdr>
        </w:div>
        <w:div w:id="871842349">
          <w:marLeft w:val="0"/>
          <w:marRight w:val="0"/>
          <w:marTop w:val="0"/>
          <w:marBottom w:val="0"/>
          <w:divBdr>
            <w:top w:val="none" w:sz="0" w:space="0" w:color="auto"/>
            <w:left w:val="none" w:sz="0" w:space="0" w:color="auto"/>
            <w:bottom w:val="none" w:sz="0" w:space="0" w:color="auto"/>
            <w:right w:val="none" w:sz="0" w:space="0" w:color="auto"/>
          </w:divBdr>
        </w:div>
        <w:div w:id="1060403447">
          <w:marLeft w:val="0"/>
          <w:marRight w:val="0"/>
          <w:marTop w:val="0"/>
          <w:marBottom w:val="0"/>
          <w:divBdr>
            <w:top w:val="none" w:sz="0" w:space="0" w:color="auto"/>
            <w:left w:val="none" w:sz="0" w:space="0" w:color="auto"/>
            <w:bottom w:val="none" w:sz="0" w:space="0" w:color="auto"/>
            <w:right w:val="none" w:sz="0" w:space="0" w:color="auto"/>
          </w:divBdr>
        </w:div>
        <w:div w:id="1120607005">
          <w:marLeft w:val="0"/>
          <w:marRight w:val="0"/>
          <w:marTop w:val="0"/>
          <w:marBottom w:val="0"/>
          <w:divBdr>
            <w:top w:val="none" w:sz="0" w:space="0" w:color="auto"/>
            <w:left w:val="none" w:sz="0" w:space="0" w:color="auto"/>
            <w:bottom w:val="none" w:sz="0" w:space="0" w:color="auto"/>
            <w:right w:val="none" w:sz="0" w:space="0" w:color="auto"/>
          </w:divBdr>
        </w:div>
        <w:div w:id="1309626583">
          <w:marLeft w:val="0"/>
          <w:marRight w:val="0"/>
          <w:marTop w:val="0"/>
          <w:marBottom w:val="0"/>
          <w:divBdr>
            <w:top w:val="none" w:sz="0" w:space="0" w:color="auto"/>
            <w:left w:val="none" w:sz="0" w:space="0" w:color="auto"/>
            <w:bottom w:val="none" w:sz="0" w:space="0" w:color="auto"/>
            <w:right w:val="none" w:sz="0" w:space="0" w:color="auto"/>
          </w:divBdr>
        </w:div>
        <w:div w:id="1541670582">
          <w:marLeft w:val="0"/>
          <w:marRight w:val="0"/>
          <w:marTop w:val="0"/>
          <w:marBottom w:val="0"/>
          <w:divBdr>
            <w:top w:val="none" w:sz="0" w:space="0" w:color="auto"/>
            <w:left w:val="none" w:sz="0" w:space="0" w:color="auto"/>
            <w:bottom w:val="none" w:sz="0" w:space="0" w:color="auto"/>
            <w:right w:val="none" w:sz="0" w:space="0" w:color="auto"/>
          </w:divBdr>
        </w:div>
        <w:div w:id="1618021138">
          <w:marLeft w:val="0"/>
          <w:marRight w:val="0"/>
          <w:marTop w:val="0"/>
          <w:marBottom w:val="0"/>
          <w:divBdr>
            <w:top w:val="none" w:sz="0" w:space="0" w:color="auto"/>
            <w:left w:val="none" w:sz="0" w:space="0" w:color="auto"/>
            <w:bottom w:val="none" w:sz="0" w:space="0" w:color="auto"/>
            <w:right w:val="none" w:sz="0" w:space="0" w:color="auto"/>
          </w:divBdr>
        </w:div>
        <w:div w:id="1633826612">
          <w:marLeft w:val="0"/>
          <w:marRight w:val="0"/>
          <w:marTop w:val="0"/>
          <w:marBottom w:val="0"/>
          <w:divBdr>
            <w:top w:val="none" w:sz="0" w:space="0" w:color="auto"/>
            <w:left w:val="none" w:sz="0" w:space="0" w:color="auto"/>
            <w:bottom w:val="none" w:sz="0" w:space="0" w:color="auto"/>
            <w:right w:val="none" w:sz="0" w:space="0" w:color="auto"/>
          </w:divBdr>
        </w:div>
        <w:div w:id="1964995269">
          <w:marLeft w:val="0"/>
          <w:marRight w:val="0"/>
          <w:marTop w:val="0"/>
          <w:marBottom w:val="0"/>
          <w:divBdr>
            <w:top w:val="none" w:sz="0" w:space="0" w:color="auto"/>
            <w:left w:val="none" w:sz="0" w:space="0" w:color="auto"/>
            <w:bottom w:val="none" w:sz="0" w:space="0" w:color="auto"/>
            <w:right w:val="none" w:sz="0" w:space="0" w:color="auto"/>
          </w:divBdr>
        </w:div>
      </w:divsChild>
    </w:div>
    <w:div w:id="486750593">
      <w:bodyDiv w:val="1"/>
      <w:marLeft w:val="0"/>
      <w:marRight w:val="0"/>
      <w:marTop w:val="0"/>
      <w:marBottom w:val="0"/>
      <w:divBdr>
        <w:top w:val="none" w:sz="0" w:space="0" w:color="auto"/>
        <w:left w:val="none" w:sz="0" w:space="0" w:color="auto"/>
        <w:bottom w:val="none" w:sz="0" w:space="0" w:color="auto"/>
        <w:right w:val="none" w:sz="0" w:space="0" w:color="auto"/>
      </w:divBdr>
    </w:div>
    <w:div w:id="487063908">
      <w:bodyDiv w:val="1"/>
      <w:marLeft w:val="0"/>
      <w:marRight w:val="0"/>
      <w:marTop w:val="0"/>
      <w:marBottom w:val="0"/>
      <w:divBdr>
        <w:top w:val="none" w:sz="0" w:space="0" w:color="auto"/>
        <w:left w:val="none" w:sz="0" w:space="0" w:color="auto"/>
        <w:bottom w:val="none" w:sz="0" w:space="0" w:color="auto"/>
        <w:right w:val="none" w:sz="0" w:space="0" w:color="auto"/>
      </w:divBdr>
    </w:div>
    <w:div w:id="487668834">
      <w:bodyDiv w:val="1"/>
      <w:marLeft w:val="0"/>
      <w:marRight w:val="0"/>
      <w:marTop w:val="0"/>
      <w:marBottom w:val="0"/>
      <w:divBdr>
        <w:top w:val="none" w:sz="0" w:space="0" w:color="auto"/>
        <w:left w:val="none" w:sz="0" w:space="0" w:color="auto"/>
        <w:bottom w:val="none" w:sz="0" w:space="0" w:color="auto"/>
        <w:right w:val="none" w:sz="0" w:space="0" w:color="auto"/>
      </w:divBdr>
    </w:div>
    <w:div w:id="487748615">
      <w:bodyDiv w:val="1"/>
      <w:marLeft w:val="0"/>
      <w:marRight w:val="0"/>
      <w:marTop w:val="0"/>
      <w:marBottom w:val="0"/>
      <w:divBdr>
        <w:top w:val="none" w:sz="0" w:space="0" w:color="auto"/>
        <w:left w:val="none" w:sz="0" w:space="0" w:color="auto"/>
        <w:bottom w:val="none" w:sz="0" w:space="0" w:color="auto"/>
        <w:right w:val="none" w:sz="0" w:space="0" w:color="auto"/>
      </w:divBdr>
    </w:div>
    <w:div w:id="487790809">
      <w:bodyDiv w:val="1"/>
      <w:marLeft w:val="0"/>
      <w:marRight w:val="0"/>
      <w:marTop w:val="0"/>
      <w:marBottom w:val="0"/>
      <w:divBdr>
        <w:top w:val="none" w:sz="0" w:space="0" w:color="auto"/>
        <w:left w:val="none" w:sz="0" w:space="0" w:color="auto"/>
        <w:bottom w:val="none" w:sz="0" w:space="0" w:color="auto"/>
        <w:right w:val="none" w:sz="0" w:space="0" w:color="auto"/>
      </w:divBdr>
    </w:div>
    <w:div w:id="487939070">
      <w:bodyDiv w:val="1"/>
      <w:marLeft w:val="0"/>
      <w:marRight w:val="0"/>
      <w:marTop w:val="0"/>
      <w:marBottom w:val="0"/>
      <w:divBdr>
        <w:top w:val="none" w:sz="0" w:space="0" w:color="auto"/>
        <w:left w:val="none" w:sz="0" w:space="0" w:color="auto"/>
        <w:bottom w:val="none" w:sz="0" w:space="0" w:color="auto"/>
        <w:right w:val="none" w:sz="0" w:space="0" w:color="auto"/>
      </w:divBdr>
    </w:div>
    <w:div w:id="488329271">
      <w:bodyDiv w:val="1"/>
      <w:marLeft w:val="0"/>
      <w:marRight w:val="0"/>
      <w:marTop w:val="0"/>
      <w:marBottom w:val="0"/>
      <w:divBdr>
        <w:top w:val="none" w:sz="0" w:space="0" w:color="auto"/>
        <w:left w:val="none" w:sz="0" w:space="0" w:color="auto"/>
        <w:bottom w:val="none" w:sz="0" w:space="0" w:color="auto"/>
        <w:right w:val="none" w:sz="0" w:space="0" w:color="auto"/>
      </w:divBdr>
    </w:div>
    <w:div w:id="488331756">
      <w:bodyDiv w:val="1"/>
      <w:marLeft w:val="0"/>
      <w:marRight w:val="0"/>
      <w:marTop w:val="0"/>
      <w:marBottom w:val="0"/>
      <w:divBdr>
        <w:top w:val="none" w:sz="0" w:space="0" w:color="auto"/>
        <w:left w:val="none" w:sz="0" w:space="0" w:color="auto"/>
        <w:bottom w:val="none" w:sz="0" w:space="0" w:color="auto"/>
        <w:right w:val="none" w:sz="0" w:space="0" w:color="auto"/>
      </w:divBdr>
    </w:div>
    <w:div w:id="489054733">
      <w:bodyDiv w:val="1"/>
      <w:marLeft w:val="0"/>
      <w:marRight w:val="0"/>
      <w:marTop w:val="0"/>
      <w:marBottom w:val="0"/>
      <w:divBdr>
        <w:top w:val="none" w:sz="0" w:space="0" w:color="auto"/>
        <w:left w:val="none" w:sz="0" w:space="0" w:color="auto"/>
        <w:bottom w:val="none" w:sz="0" w:space="0" w:color="auto"/>
        <w:right w:val="none" w:sz="0" w:space="0" w:color="auto"/>
      </w:divBdr>
    </w:div>
    <w:div w:id="489365543">
      <w:bodyDiv w:val="1"/>
      <w:marLeft w:val="0"/>
      <w:marRight w:val="0"/>
      <w:marTop w:val="0"/>
      <w:marBottom w:val="0"/>
      <w:divBdr>
        <w:top w:val="none" w:sz="0" w:space="0" w:color="auto"/>
        <w:left w:val="none" w:sz="0" w:space="0" w:color="auto"/>
        <w:bottom w:val="none" w:sz="0" w:space="0" w:color="auto"/>
        <w:right w:val="none" w:sz="0" w:space="0" w:color="auto"/>
      </w:divBdr>
    </w:div>
    <w:div w:id="489443803">
      <w:bodyDiv w:val="1"/>
      <w:marLeft w:val="0"/>
      <w:marRight w:val="0"/>
      <w:marTop w:val="0"/>
      <w:marBottom w:val="0"/>
      <w:divBdr>
        <w:top w:val="none" w:sz="0" w:space="0" w:color="auto"/>
        <w:left w:val="none" w:sz="0" w:space="0" w:color="auto"/>
        <w:bottom w:val="none" w:sz="0" w:space="0" w:color="auto"/>
        <w:right w:val="none" w:sz="0" w:space="0" w:color="auto"/>
      </w:divBdr>
    </w:div>
    <w:div w:id="489518915">
      <w:bodyDiv w:val="1"/>
      <w:marLeft w:val="0"/>
      <w:marRight w:val="0"/>
      <w:marTop w:val="0"/>
      <w:marBottom w:val="0"/>
      <w:divBdr>
        <w:top w:val="none" w:sz="0" w:space="0" w:color="auto"/>
        <w:left w:val="none" w:sz="0" w:space="0" w:color="auto"/>
        <w:bottom w:val="none" w:sz="0" w:space="0" w:color="auto"/>
        <w:right w:val="none" w:sz="0" w:space="0" w:color="auto"/>
      </w:divBdr>
    </w:div>
    <w:div w:id="490025825">
      <w:bodyDiv w:val="1"/>
      <w:marLeft w:val="0"/>
      <w:marRight w:val="0"/>
      <w:marTop w:val="0"/>
      <w:marBottom w:val="0"/>
      <w:divBdr>
        <w:top w:val="none" w:sz="0" w:space="0" w:color="auto"/>
        <w:left w:val="none" w:sz="0" w:space="0" w:color="auto"/>
        <w:bottom w:val="none" w:sz="0" w:space="0" w:color="auto"/>
        <w:right w:val="none" w:sz="0" w:space="0" w:color="auto"/>
      </w:divBdr>
    </w:div>
    <w:div w:id="490214717">
      <w:bodyDiv w:val="1"/>
      <w:marLeft w:val="0"/>
      <w:marRight w:val="0"/>
      <w:marTop w:val="0"/>
      <w:marBottom w:val="0"/>
      <w:divBdr>
        <w:top w:val="none" w:sz="0" w:space="0" w:color="auto"/>
        <w:left w:val="none" w:sz="0" w:space="0" w:color="auto"/>
        <w:bottom w:val="none" w:sz="0" w:space="0" w:color="auto"/>
        <w:right w:val="none" w:sz="0" w:space="0" w:color="auto"/>
      </w:divBdr>
    </w:div>
    <w:div w:id="491991718">
      <w:bodyDiv w:val="1"/>
      <w:marLeft w:val="0"/>
      <w:marRight w:val="0"/>
      <w:marTop w:val="0"/>
      <w:marBottom w:val="0"/>
      <w:divBdr>
        <w:top w:val="none" w:sz="0" w:space="0" w:color="auto"/>
        <w:left w:val="none" w:sz="0" w:space="0" w:color="auto"/>
        <w:bottom w:val="none" w:sz="0" w:space="0" w:color="auto"/>
        <w:right w:val="none" w:sz="0" w:space="0" w:color="auto"/>
      </w:divBdr>
    </w:div>
    <w:div w:id="493109500">
      <w:bodyDiv w:val="1"/>
      <w:marLeft w:val="0"/>
      <w:marRight w:val="0"/>
      <w:marTop w:val="0"/>
      <w:marBottom w:val="0"/>
      <w:divBdr>
        <w:top w:val="none" w:sz="0" w:space="0" w:color="auto"/>
        <w:left w:val="none" w:sz="0" w:space="0" w:color="auto"/>
        <w:bottom w:val="none" w:sz="0" w:space="0" w:color="auto"/>
        <w:right w:val="none" w:sz="0" w:space="0" w:color="auto"/>
      </w:divBdr>
      <w:divsChild>
        <w:div w:id="148833584">
          <w:marLeft w:val="0"/>
          <w:marRight w:val="0"/>
          <w:marTop w:val="0"/>
          <w:marBottom w:val="0"/>
          <w:divBdr>
            <w:top w:val="none" w:sz="0" w:space="0" w:color="auto"/>
            <w:left w:val="none" w:sz="0" w:space="0" w:color="auto"/>
            <w:bottom w:val="none" w:sz="0" w:space="0" w:color="auto"/>
            <w:right w:val="none" w:sz="0" w:space="0" w:color="auto"/>
          </w:divBdr>
        </w:div>
      </w:divsChild>
    </w:div>
    <w:div w:id="494732133">
      <w:bodyDiv w:val="1"/>
      <w:marLeft w:val="0"/>
      <w:marRight w:val="0"/>
      <w:marTop w:val="0"/>
      <w:marBottom w:val="0"/>
      <w:divBdr>
        <w:top w:val="none" w:sz="0" w:space="0" w:color="auto"/>
        <w:left w:val="none" w:sz="0" w:space="0" w:color="auto"/>
        <w:bottom w:val="none" w:sz="0" w:space="0" w:color="auto"/>
        <w:right w:val="none" w:sz="0" w:space="0" w:color="auto"/>
      </w:divBdr>
    </w:div>
    <w:div w:id="496384341">
      <w:bodyDiv w:val="1"/>
      <w:marLeft w:val="0"/>
      <w:marRight w:val="0"/>
      <w:marTop w:val="0"/>
      <w:marBottom w:val="0"/>
      <w:divBdr>
        <w:top w:val="none" w:sz="0" w:space="0" w:color="auto"/>
        <w:left w:val="none" w:sz="0" w:space="0" w:color="auto"/>
        <w:bottom w:val="none" w:sz="0" w:space="0" w:color="auto"/>
        <w:right w:val="none" w:sz="0" w:space="0" w:color="auto"/>
      </w:divBdr>
    </w:div>
    <w:div w:id="497162277">
      <w:bodyDiv w:val="1"/>
      <w:marLeft w:val="0"/>
      <w:marRight w:val="0"/>
      <w:marTop w:val="0"/>
      <w:marBottom w:val="0"/>
      <w:divBdr>
        <w:top w:val="none" w:sz="0" w:space="0" w:color="auto"/>
        <w:left w:val="none" w:sz="0" w:space="0" w:color="auto"/>
        <w:bottom w:val="none" w:sz="0" w:space="0" w:color="auto"/>
        <w:right w:val="none" w:sz="0" w:space="0" w:color="auto"/>
      </w:divBdr>
    </w:div>
    <w:div w:id="497305223">
      <w:bodyDiv w:val="1"/>
      <w:marLeft w:val="0"/>
      <w:marRight w:val="0"/>
      <w:marTop w:val="0"/>
      <w:marBottom w:val="0"/>
      <w:divBdr>
        <w:top w:val="none" w:sz="0" w:space="0" w:color="auto"/>
        <w:left w:val="none" w:sz="0" w:space="0" w:color="auto"/>
        <w:bottom w:val="none" w:sz="0" w:space="0" w:color="auto"/>
        <w:right w:val="none" w:sz="0" w:space="0" w:color="auto"/>
      </w:divBdr>
    </w:div>
    <w:div w:id="498618573">
      <w:bodyDiv w:val="1"/>
      <w:marLeft w:val="0"/>
      <w:marRight w:val="0"/>
      <w:marTop w:val="0"/>
      <w:marBottom w:val="0"/>
      <w:divBdr>
        <w:top w:val="none" w:sz="0" w:space="0" w:color="auto"/>
        <w:left w:val="none" w:sz="0" w:space="0" w:color="auto"/>
        <w:bottom w:val="none" w:sz="0" w:space="0" w:color="auto"/>
        <w:right w:val="none" w:sz="0" w:space="0" w:color="auto"/>
      </w:divBdr>
    </w:div>
    <w:div w:id="498623787">
      <w:bodyDiv w:val="1"/>
      <w:marLeft w:val="0"/>
      <w:marRight w:val="0"/>
      <w:marTop w:val="0"/>
      <w:marBottom w:val="0"/>
      <w:divBdr>
        <w:top w:val="none" w:sz="0" w:space="0" w:color="auto"/>
        <w:left w:val="none" w:sz="0" w:space="0" w:color="auto"/>
        <w:bottom w:val="none" w:sz="0" w:space="0" w:color="auto"/>
        <w:right w:val="none" w:sz="0" w:space="0" w:color="auto"/>
      </w:divBdr>
    </w:div>
    <w:div w:id="498929531">
      <w:bodyDiv w:val="1"/>
      <w:marLeft w:val="0"/>
      <w:marRight w:val="0"/>
      <w:marTop w:val="0"/>
      <w:marBottom w:val="0"/>
      <w:divBdr>
        <w:top w:val="none" w:sz="0" w:space="0" w:color="auto"/>
        <w:left w:val="none" w:sz="0" w:space="0" w:color="auto"/>
        <w:bottom w:val="none" w:sz="0" w:space="0" w:color="auto"/>
        <w:right w:val="none" w:sz="0" w:space="0" w:color="auto"/>
      </w:divBdr>
    </w:div>
    <w:div w:id="499539860">
      <w:bodyDiv w:val="1"/>
      <w:marLeft w:val="0"/>
      <w:marRight w:val="0"/>
      <w:marTop w:val="0"/>
      <w:marBottom w:val="0"/>
      <w:divBdr>
        <w:top w:val="none" w:sz="0" w:space="0" w:color="auto"/>
        <w:left w:val="none" w:sz="0" w:space="0" w:color="auto"/>
        <w:bottom w:val="none" w:sz="0" w:space="0" w:color="auto"/>
        <w:right w:val="none" w:sz="0" w:space="0" w:color="auto"/>
      </w:divBdr>
    </w:div>
    <w:div w:id="499659876">
      <w:bodyDiv w:val="1"/>
      <w:marLeft w:val="0"/>
      <w:marRight w:val="0"/>
      <w:marTop w:val="0"/>
      <w:marBottom w:val="0"/>
      <w:divBdr>
        <w:top w:val="none" w:sz="0" w:space="0" w:color="auto"/>
        <w:left w:val="none" w:sz="0" w:space="0" w:color="auto"/>
        <w:bottom w:val="none" w:sz="0" w:space="0" w:color="auto"/>
        <w:right w:val="none" w:sz="0" w:space="0" w:color="auto"/>
      </w:divBdr>
    </w:div>
    <w:div w:id="499976767">
      <w:bodyDiv w:val="1"/>
      <w:marLeft w:val="0"/>
      <w:marRight w:val="0"/>
      <w:marTop w:val="0"/>
      <w:marBottom w:val="0"/>
      <w:divBdr>
        <w:top w:val="none" w:sz="0" w:space="0" w:color="auto"/>
        <w:left w:val="none" w:sz="0" w:space="0" w:color="auto"/>
        <w:bottom w:val="none" w:sz="0" w:space="0" w:color="auto"/>
        <w:right w:val="none" w:sz="0" w:space="0" w:color="auto"/>
      </w:divBdr>
    </w:div>
    <w:div w:id="500858274">
      <w:bodyDiv w:val="1"/>
      <w:marLeft w:val="0"/>
      <w:marRight w:val="0"/>
      <w:marTop w:val="0"/>
      <w:marBottom w:val="0"/>
      <w:divBdr>
        <w:top w:val="none" w:sz="0" w:space="0" w:color="auto"/>
        <w:left w:val="none" w:sz="0" w:space="0" w:color="auto"/>
        <w:bottom w:val="none" w:sz="0" w:space="0" w:color="auto"/>
        <w:right w:val="none" w:sz="0" w:space="0" w:color="auto"/>
      </w:divBdr>
    </w:div>
    <w:div w:id="503013818">
      <w:bodyDiv w:val="1"/>
      <w:marLeft w:val="0"/>
      <w:marRight w:val="0"/>
      <w:marTop w:val="0"/>
      <w:marBottom w:val="0"/>
      <w:divBdr>
        <w:top w:val="none" w:sz="0" w:space="0" w:color="auto"/>
        <w:left w:val="none" w:sz="0" w:space="0" w:color="auto"/>
        <w:bottom w:val="none" w:sz="0" w:space="0" w:color="auto"/>
        <w:right w:val="none" w:sz="0" w:space="0" w:color="auto"/>
      </w:divBdr>
    </w:div>
    <w:div w:id="504322039">
      <w:bodyDiv w:val="1"/>
      <w:marLeft w:val="0"/>
      <w:marRight w:val="0"/>
      <w:marTop w:val="0"/>
      <w:marBottom w:val="0"/>
      <w:divBdr>
        <w:top w:val="none" w:sz="0" w:space="0" w:color="auto"/>
        <w:left w:val="none" w:sz="0" w:space="0" w:color="auto"/>
        <w:bottom w:val="none" w:sz="0" w:space="0" w:color="auto"/>
        <w:right w:val="none" w:sz="0" w:space="0" w:color="auto"/>
      </w:divBdr>
    </w:div>
    <w:div w:id="504395194">
      <w:bodyDiv w:val="1"/>
      <w:marLeft w:val="0"/>
      <w:marRight w:val="0"/>
      <w:marTop w:val="0"/>
      <w:marBottom w:val="0"/>
      <w:divBdr>
        <w:top w:val="none" w:sz="0" w:space="0" w:color="auto"/>
        <w:left w:val="none" w:sz="0" w:space="0" w:color="auto"/>
        <w:bottom w:val="none" w:sz="0" w:space="0" w:color="auto"/>
        <w:right w:val="none" w:sz="0" w:space="0" w:color="auto"/>
      </w:divBdr>
    </w:div>
    <w:div w:id="504784291">
      <w:bodyDiv w:val="1"/>
      <w:marLeft w:val="0"/>
      <w:marRight w:val="0"/>
      <w:marTop w:val="0"/>
      <w:marBottom w:val="0"/>
      <w:divBdr>
        <w:top w:val="none" w:sz="0" w:space="0" w:color="auto"/>
        <w:left w:val="none" w:sz="0" w:space="0" w:color="auto"/>
        <w:bottom w:val="none" w:sz="0" w:space="0" w:color="auto"/>
        <w:right w:val="none" w:sz="0" w:space="0" w:color="auto"/>
      </w:divBdr>
    </w:div>
    <w:div w:id="505095218">
      <w:bodyDiv w:val="1"/>
      <w:marLeft w:val="0"/>
      <w:marRight w:val="0"/>
      <w:marTop w:val="0"/>
      <w:marBottom w:val="0"/>
      <w:divBdr>
        <w:top w:val="none" w:sz="0" w:space="0" w:color="auto"/>
        <w:left w:val="none" w:sz="0" w:space="0" w:color="auto"/>
        <w:bottom w:val="none" w:sz="0" w:space="0" w:color="auto"/>
        <w:right w:val="none" w:sz="0" w:space="0" w:color="auto"/>
      </w:divBdr>
    </w:div>
    <w:div w:id="507017134">
      <w:bodyDiv w:val="1"/>
      <w:marLeft w:val="0"/>
      <w:marRight w:val="0"/>
      <w:marTop w:val="0"/>
      <w:marBottom w:val="0"/>
      <w:divBdr>
        <w:top w:val="none" w:sz="0" w:space="0" w:color="auto"/>
        <w:left w:val="none" w:sz="0" w:space="0" w:color="auto"/>
        <w:bottom w:val="none" w:sz="0" w:space="0" w:color="auto"/>
        <w:right w:val="none" w:sz="0" w:space="0" w:color="auto"/>
      </w:divBdr>
    </w:div>
    <w:div w:id="508714709">
      <w:bodyDiv w:val="1"/>
      <w:marLeft w:val="0"/>
      <w:marRight w:val="0"/>
      <w:marTop w:val="0"/>
      <w:marBottom w:val="0"/>
      <w:divBdr>
        <w:top w:val="none" w:sz="0" w:space="0" w:color="auto"/>
        <w:left w:val="none" w:sz="0" w:space="0" w:color="auto"/>
        <w:bottom w:val="none" w:sz="0" w:space="0" w:color="auto"/>
        <w:right w:val="none" w:sz="0" w:space="0" w:color="auto"/>
      </w:divBdr>
    </w:div>
    <w:div w:id="509374360">
      <w:bodyDiv w:val="1"/>
      <w:marLeft w:val="0"/>
      <w:marRight w:val="0"/>
      <w:marTop w:val="0"/>
      <w:marBottom w:val="0"/>
      <w:divBdr>
        <w:top w:val="none" w:sz="0" w:space="0" w:color="auto"/>
        <w:left w:val="none" w:sz="0" w:space="0" w:color="auto"/>
        <w:bottom w:val="none" w:sz="0" w:space="0" w:color="auto"/>
        <w:right w:val="none" w:sz="0" w:space="0" w:color="auto"/>
      </w:divBdr>
    </w:div>
    <w:div w:id="509608799">
      <w:bodyDiv w:val="1"/>
      <w:marLeft w:val="0"/>
      <w:marRight w:val="0"/>
      <w:marTop w:val="0"/>
      <w:marBottom w:val="0"/>
      <w:divBdr>
        <w:top w:val="none" w:sz="0" w:space="0" w:color="auto"/>
        <w:left w:val="none" w:sz="0" w:space="0" w:color="auto"/>
        <w:bottom w:val="none" w:sz="0" w:space="0" w:color="auto"/>
        <w:right w:val="none" w:sz="0" w:space="0" w:color="auto"/>
      </w:divBdr>
    </w:div>
    <w:div w:id="509953957">
      <w:bodyDiv w:val="1"/>
      <w:marLeft w:val="0"/>
      <w:marRight w:val="0"/>
      <w:marTop w:val="0"/>
      <w:marBottom w:val="0"/>
      <w:divBdr>
        <w:top w:val="none" w:sz="0" w:space="0" w:color="auto"/>
        <w:left w:val="none" w:sz="0" w:space="0" w:color="auto"/>
        <w:bottom w:val="none" w:sz="0" w:space="0" w:color="auto"/>
        <w:right w:val="none" w:sz="0" w:space="0" w:color="auto"/>
      </w:divBdr>
    </w:div>
    <w:div w:id="511261026">
      <w:bodyDiv w:val="1"/>
      <w:marLeft w:val="0"/>
      <w:marRight w:val="0"/>
      <w:marTop w:val="0"/>
      <w:marBottom w:val="0"/>
      <w:divBdr>
        <w:top w:val="none" w:sz="0" w:space="0" w:color="auto"/>
        <w:left w:val="none" w:sz="0" w:space="0" w:color="auto"/>
        <w:bottom w:val="none" w:sz="0" w:space="0" w:color="auto"/>
        <w:right w:val="none" w:sz="0" w:space="0" w:color="auto"/>
      </w:divBdr>
    </w:div>
    <w:div w:id="511526839">
      <w:bodyDiv w:val="1"/>
      <w:marLeft w:val="0"/>
      <w:marRight w:val="0"/>
      <w:marTop w:val="0"/>
      <w:marBottom w:val="0"/>
      <w:divBdr>
        <w:top w:val="none" w:sz="0" w:space="0" w:color="auto"/>
        <w:left w:val="none" w:sz="0" w:space="0" w:color="auto"/>
        <w:bottom w:val="none" w:sz="0" w:space="0" w:color="auto"/>
        <w:right w:val="none" w:sz="0" w:space="0" w:color="auto"/>
      </w:divBdr>
    </w:div>
    <w:div w:id="512493630">
      <w:bodyDiv w:val="1"/>
      <w:marLeft w:val="0"/>
      <w:marRight w:val="0"/>
      <w:marTop w:val="0"/>
      <w:marBottom w:val="0"/>
      <w:divBdr>
        <w:top w:val="none" w:sz="0" w:space="0" w:color="auto"/>
        <w:left w:val="none" w:sz="0" w:space="0" w:color="auto"/>
        <w:bottom w:val="none" w:sz="0" w:space="0" w:color="auto"/>
        <w:right w:val="none" w:sz="0" w:space="0" w:color="auto"/>
      </w:divBdr>
    </w:div>
    <w:div w:id="512762107">
      <w:bodyDiv w:val="1"/>
      <w:marLeft w:val="0"/>
      <w:marRight w:val="0"/>
      <w:marTop w:val="0"/>
      <w:marBottom w:val="0"/>
      <w:divBdr>
        <w:top w:val="none" w:sz="0" w:space="0" w:color="auto"/>
        <w:left w:val="none" w:sz="0" w:space="0" w:color="auto"/>
        <w:bottom w:val="none" w:sz="0" w:space="0" w:color="auto"/>
        <w:right w:val="none" w:sz="0" w:space="0" w:color="auto"/>
      </w:divBdr>
    </w:div>
    <w:div w:id="512885692">
      <w:bodyDiv w:val="1"/>
      <w:marLeft w:val="0"/>
      <w:marRight w:val="0"/>
      <w:marTop w:val="0"/>
      <w:marBottom w:val="0"/>
      <w:divBdr>
        <w:top w:val="none" w:sz="0" w:space="0" w:color="auto"/>
        <w:left w:val="none" w:sz="0" w:space="0" w:color="auto"/>
        <w:bottom w:val="none" w:sz="0" w:space="0" w:color="auto"/>
        <w:right w:val="none" w:sz="0" w:space="0" w:color="auto"/>
      </w:divBdr>
    </w:div>
    <w:div w:id="513612300">
      <w:bodyDiv w:val="1"/>
      <w:marLeft w:val="0"/>
      <w:marRight w:val="0"/>
      <w:marTop w:val="0"/>
      <w:marBottom w:val="0"/>
      <w:divBdr>
        <w:top w:val="none" w:sz="0" w:space="0" w:color="auto"/>
        <w:left w:val="none" w:sz="0" w:space="0" w:color="auto"/>
        <w:bottom w:val="none" w:sz="0" w:space="0" w:color="auto"/>
        <w:right w:val="none" w:sz="0" w:space="0" w:color="auto"/>
      </w:divBdr>
    </w:div>
    <w:div w:id="513618960">
      <w:bodyDiv w:val="1"/>
      <w:marLeft w:val="0"/>
      <w:marRight w:val="0"/>
      <w:marTop w:val="0"/>
      <w:marBottom w:val="0"/>
      <w:divBdr>
        <w:top w:val="none" w:sz="0" w:space="0" w:color="auto"/>
        <w:left w:val="none" w:sz="0" w:space="0" w:color="auto"/>
        <w:bottom w:val="none" w:sz="0" w:space="0" w:color="auto"/>
        <w:right w:val="none" w:sz="0" w:space="0" w:color="auto"/>
      </w:divBdr>
    </w:div>
    <w:div w:id="515266820">
      <w:bodyDiv w:val="1"/>
      <w:marLeft w:val="0"/>
      <w:marRight w:val="0"/>
      <w:marTop w:val="0"/>
      <w:marBottom w:val="0"/>
      <w:divBdr>
        <w:top w:val="none" w:sz="0" w:space="0" w:color="auto"/>
        <w:left w:val="none" w:sz="0" w:space="0" w:color="auto"/>
        <w:bottom w:val="none" w:sz="0" w:space="0" w:color="auto"/>
        <w:right w:val="none" w:sz="0" w:space="0" w:color="auto"/>
      </w:divBdr>
    </w:div>
    <w:div w:id="515538164">
      <w:bodyDiv w:val="1"/>
      <w:marLeft w:val="0"/>
      <w:marRight w:val="0"/>
      <w:marTop w:val="0"/>
      <w:marBottom w:val="0"/>
      <w:divBdr>
        <w:top w:val="none" w:sz="0" w:space="0" w:color="auto"/>
        <w:left w:val="none" w:sz="0" w:space="0" w:color="auto"/>
        <w:bottom w:val="none" w:sz="0" w:space="0" w:color="auto"/>
        <w:right w:val="none" w:sz="0" w:space="0" w:color="auto"/>
      </w:divBdr>
    </w:div>
    <w:div w:id="516433217">
      <w:bodyDiv w:val="1"/>
      <w:marLeft w:val="0"/>
      <w:marRight w:val="0"/>
      <w:marTop w:val="0"/>
      <w:marBottom w:val="0"/>
      <w:divBdr>
        <w:top w:val="none" w:sz="0" w:space="0" w:color="auto"/>
        <w:left w:val="none" w:sz="0" w:space="0" w:color="auto"/>
        <w:bottom w:val="none" w:sz="0" w:space="0" w:color="auto"/>
        <w:right w:val="none" w:sz="0" w:space="0" w:color="auto"/>
      </w:divBdr>
    </w:div>
    <w:div w:id="516626171">
      <w:bodyDiv w:val="1"/>
      <w:marLeft w:val="0"/>
      <w:marRight w:val="0"/>
      <w:marTop w:val="0"/>
      <w:marBottom w:val="0"/>
      <w:divBdr>
        <w:top w:val="none" w:sz="0" w:space="0" w:color="auto"/>
        <w:left w:val="none" w:sz="0" w:space="0" w:color="auto"/>
        <w:bottom w:val="none" w:sz="0" w:space="0" w:color="auto"/>
        <w:right w:val="none" w:sz="0" w:space="0" w:color="auto"/>
      </w:divBdr>
    </w:div>
    <w:div w:id="516627231">
      <w:bodyDiv w:val="1"/>
      <w:marLeft w:val="0"/>
      <w:marRight w:val="0"/>
      <w:marTop w:val="0"/>
      <w:marBottom w:val="0"/>
      <w:divBdr>
        <w:top w:val="none" w:sz="0" w:space="0" w:color="auto"/>
        <w:left w:val="none" w:sz="0" w:space="0" w:color="auto"/>
        <w:bottom w:val="none" w:sz="0" w:space="0" w:color="auto"/>
        <w:right w:val="none" w:sz="0" w:space="0" w:color="auto"/>
      </w:divBdr>
    </w:div>
    <w:div w:id="517084730">
      <w:bodyDiv w:val="1"/>
      <w:marLeft w:val="0"/>
      <w:marRight w:val="0"/>
      <w:marTop w:val="0"/>
      <w:marBottom w:val="0"/>
      <w:divBdr>
        <w:top w:val="none" w:sz="0" w:space="0" w:color="auto"/>
        <w:left w:val="none" w:sz="0" w:space="0" w:color="auto"/>
        <w:bottom w:val="none" w:sz="0" w:space="0" w:color="auto"/>
        <w:right w:val="none" w:sz="0" w:space="0" w:color="auto"/>
      </w:divBdr>
    </w:div>
    <w:div w:id="517354909">
      <w:bodyDiv w:val="1"/>
      <w:marLeft w:val="0"/>
      <w:marRight w:val="0"/>
      <w:marTop w:val="0"/>
      <w:marBottom w:val="0"/>
      <w:divBdr>
        <w:top w:val="none" w:sz="0" w:space="0" w:color="auto"/>
        <w:left w:val="none" w:sz="0" w:space="0" w:color="auto"/>
        <w:bottom w:val="none" w:sz="0" w:space="0" w:color="auto"/>
        <w:right w:val="none" w:sz="0" w:space="0" w:color="auto"/>
      </w:divBdr>
    </w:div>
    <w:div w:id="517810690">
      <w:bodyDiv w:val="1"/>
      <w:marLeft w:val="0"/>
      <w:marRight w:val="0"/>
      <w:marTop w:val="0"/>
      <w:marBottom w:val="0"/>
      <w:divBdr>
        <w:top w:val="none" w:sz="0" w:space="0" w:color="auto"/>
        <w:left w:val="none" w:sz="0" w:space="0" w:color="auto"/>
        <w:bottom w:val="none" w:sz="0" w:space="0" w:color="auto"/>
        <w:right w:val="none" w:sz="0" w:space="0" w:color="auto"/>
      </w:divBdr>
    </w:div>
    <w:div w:id="518591920">
      <w:bodyDiv w:val="1"/>
      <w:marLeft w:val="0"/>
      <w:marRight w:val="0"/>
      <w:marTop w:val="0"/>
      <w:marBottom w:val="0"/>
      <w:divBdr>
        <w:top w:val="none" w:sz="0" w:space="0" w:color="auto"/>
        <w:left w:val="none" w:sz="0" w:space="0" w:color="auto"/>
        <w:bottom w:val="none" w:sz="0" w:space="0" w:color="auto"/>
        <w:right w:val="none" w:sz="0" w:space="0" w:color="auto"/>
      </w:divBdr>
    </w:div>
    <w:div w:id="518855573">
      <w:bodyDiv w:val="1"/>
      <w:marLeft w:val="0"/>
      <w:marRight w:val="0"/>
      <w:marTop w:val="0"/>
      <w:marBottom w:val="0"/>
      <w:divBdr>
        <w:top w:val="none" w:sz="0" w:space="0" w:color="auto"/>
        <w:left w:val="none" w:sz="0" w:space="0" w:color="auto"/>
        <w:bottom w:val="none" w:sz="0" w:space="0" w:color="auto"/>
        <w:right w:val="none" w:sz="0" w:space="0" w:color="auto"/>
      </w:divBdr>
    </w:div>
    <w:div w:id="518861507">
      <w:bodyDiv w:val="1"/>
      <w:marLeft w:val="0"/>
      <w:marRight w:val="0"/>
      <w:marTop w:val="0"/>
      <w:marBottom w:val="0"/>
      <w:divBdr>
        <w:top w:val="none" w:sz="0" w:space="0" w:color="auto"/>
        <w:left w:val="none" w:sz="0" w:space="0" w:color="auto"/>
        <w:bottom w:val="none" w:sz="0" w:space="0" w:color="auto"/>
        <w:right w:val="none" w:sz="0" w:space="0" w:color="auto"/>
      </w:divBdr>
    </w:div>
    <w:div w:id="519046709">
      <w:bodyDiv w:val="1"/>
      <w:marLeft w:val="0"/>
      <w:marRight w:val="0"/>
      <w:marTop w:val="0"/>
      <w:marBottom w:val="0"/>
      <w:divBdr>
        <w:top w:val="none" w:sz="0" w:space="0" w:color="auto"/>
        <w:left w:val="none" w:sz="0" w:space="0" w:color="auto"/>
        <w:bottom w:val="none" w:sz="0" w:space="0" w:color="auto"/>
        <w:right w:val="none" w:sz="0" w:space="0" w:color="auto"/>
      </w:divBdr>
    </w:div>
    <w:div w:id="519125700">
      <w:bodyDiv w:val="1"/>
      <w:marLeft w:val="0"/>
      <w:marRight w:val="0"/>
      <w:marTop w:val="0"/>
      <w:marBottom w:val="0"/>
      <w:divBdr>
        <w:top w:val="none" w:sz="0" w:space="0" w:color="auto"/>
        <w:left w:val="none" w:sz="0" w:space="0" w:color="auto"/>
        <w:bottom w:val="none" w:sz="0" w:space="0" w:color="auto"/>
        <w:right w:val="none" w:sz="0" w:space="0" w:color="auto"/>
      </w:divBdr>
    </w:div>
    <w:div w:id="519857431">
      <w:bodyDiv w:val="1"/>
      <w:marLeft w:val="0"/>
      <w:marRight w:val="0"/>
      <w:marTop w:val="0"/>
      <w:marBottom w:val="0"/>
      <w:divBdr>
        <w:top w:val="none" w:sz="0" w:space="0" w:color="auto"/>
        <w:left w:val="none" w:sz="0" w:space="0" w:color="auto"/>
        <w:bottom w:val="none" w:sz="0" w:space="0" w:color="auto"/>
        <w:right w:val="none" w:sz="0" w:space="0" w:color="auto"/>
      </w:divBdr>
    </w:div>
    <w:div w:id="520242153">
      <w:bodyDiv w:val="1"/>
      <w:marLeft w:val="0"/>
      <w:marRight w:val="0"/>
      <w:marTop w:val="0"/>
      <w:marBottom w:val="0"/>
      <w:divBdr>
        <w:top w:val="none" w:sz="0" w:space="0" w:color="auto"/>
        <w:left w:val="none" w:sz="0" w:space="0" w:color="auto"/>
        <w:bottom w:val="none" w:sz="0" w:space="0" w:color="auto"/>
        <w:right w:val="none" w:sz="0" w:space="0" w:color="auto"/>
      </w:divBdr>
    </w:div>
    <w:div w:id="525102861">
      <w:bodyDiv w:val="1"/>
      <w:marLeft w:val="0"/>
      <w:marRight w:val="0"/>
      <w:marTop w:val="0"/>
      <w:marBottom w:val="0"/>
      <w:divBdr>
        <w:top w:val="none" w:sz="0" w:space="0" w:color="auto"/>
        <w:left w:val="none" w:sz="0" w:space="0" w:color="auto"/>
        <w:bottom w:val="none" w:sz="0" w:space="0" w:color="auto"/>
        <w:right w:val="none" w:sz="0" w:space="0" w:color="auto"/>
      </w:divBdr>
    </w:div>
    <w:div w:id="525557463">
      <w:bodyDiv w:val="1"/>
      <w:marLeft w:val="0"/>
      <w:marRight w:val="0"/>
      <w:marTop w:val="0"/>
      <w:marBottom w:val="0"/>
      <w:divBdr>
        <w:top w:val="none" w:sz="0" w:space="0" w:color="auto"/>
        <w:left w:val="none" w:sz="0" w:space="0" w:color="auto"/>
        <w:bottom w:val="none" w:sz="0" w:space="0" w:color="auto"/>
        <w:right w:val="none" w:sz="0" w:space="0" w:color="auto"/>
      </w:divBdr>
    </w:div>
    <w:div w:id="526522558">
      <w:bodyDiv w:val="1"/>
      <w:marLeft w:val="0"/>
      <w:marRight w:val="0"/>
      <w:marTop w:val="0"/>
      <w:marBottom w:val="0"/>
      <w:divBdr>
        <w:top w:val="none" w:sz="0" w:space="0" w:color="auto"/>
        <w:left w:val="none" w:sz="0" w:space="0" w:color="auto"/>
        <w:bottom w:val="none" w:sz="0" w:space="0" w:color="auto"/>
        <w:right w:val="none" w:sz="0" w:space="0" w:color="auto"/>
      </w:divBdr>
    </w:div>
    <w:div w:id="526913534">
      <w:bodyDiv w:val="1"/>
      <w:marLeft w:val="0"/>
      <w:marRight w:val="0"/>
      <w:marTop w:val="0"/>
      <w:marBottom w:val="0"/>
      <w:divBdr>
        <w:top w:val="none" w:sz="0" w:space="0" w:color="auto"/>
        <w:left w:val="none" w:sz="0" w:space="0" w:color="auto"/>
        <w:bottom w:val="none" w:sz="0" w:space="0" w:color="auto"/>
        <w:right w:val="none" w:sz="0" w:space="0" w:color="auto"/>
      </w:divBdr>
    </w:div>
    <w:div w:id="527063328">
      <w:bodyDiv w:val="1"/>
      <w:marLeft w:val="0"/>
      <w:marRight w:val="0"/>
      <w:marTop w:val="0"/>
      <w:marBottom w:val="0"/>
      <w:divBdr>
        <w:top w:val="none" w:sz="0" w:space="0" w:color="auto"/>
        <w:left w:val="none" w:sz="0" w:space="0" w:color="auto"/>
        <w:bottom w:val="none" w:sz="0" w:space="0" w:color="auto"/>
        <w:right w:val="none" w:sz="0" w:space="0" w:color="auto"/>
      </w:divBdr>
    </w:div>
    <w:div w:id="528300320">
      <w:bodyDiv w:val="1"/>
      <w:marLeft w:val="0"/>
      <w:marRight w:val="0"/>
      <w:marTop w:val="0"/>
      <w:marBottom w:val="0"/>
      <w:divBdr>
        <w:top w:val="none" w:sz="0" w:space="0" w:color="auto"/>
        <w:left w:val="none" w:sz="0" w:space="0" w:color="auto"/>
        <w:bottom w:val="none" w:sz="0" w:space="0" w:color="auto"/>
        <w:right w:val="none" w:sz="0" w:space="0" w:color="auto"/>
      </w:divBdr>
    </w:div>
    <w:div w:id="528876518">
      <w:bodyDiv w:val="1"/>
      <w:marLeft w:val="0"/>
      <w:marRight w:val="0"/>
      <w:marTop w:val="0"/>
      <w:marBottom w:val="0"/>
      <w:divBdr>
        <w:top w:val="none" w:sz="0" w:space="0" w:color="auto"/>
        <w:left w:val="none" w:sz="0" w:space="0" w:color="auto"/>
        <w:bottom w:val="none" w:sz="0" w:space="0" w:color="auto"/>
        <w:right w:val="none" w:sz="0" w:space="0" w:color="auto"/>
      </w:divBdr>
    </w:div>
    <w:div w:id="529299859">
      <w:bodyDiv w:val="1"/>
      <w:marLeft w:val="0"/>
      <w:marRight w:val="0"/>
      <w:marTop w:val="0"/>
      <w:marBottom w:val="0"/>
      <w:divBdr>
        <w:top w:val="none" w:sz="0" w:space="0" w:color="auto"/>
        <w:left w:val="none" w:sz="0" w:space="0" w:color="auto"/>
        <w:bottom w:val="none" w:sz="0" w:space="0" w:color="auto"/>
        <w:right w:val="none" w:sz="0" w:space="0" w:color="auto"/>
      </w:divBdr>
    </w:div>
    <w:div w:id="529415531">
      <w:bodyDiv w:val="1"/>
      <w:marLeft w:val="0"/>
      <w:marRight w:val="0"/>
      <w:marTop w:val="0"/>
      <w:marBottom w:val="0"/>
      <w:divBdr>
        <w:top w:val="none" w:sz="0" w:space="0" w:color="auto"/>
        <w:left w:val="none" w:sz="0" w:space="0" w:color="auto"/>
        <w:bottom w:val="none" w:sz="0" w:space="0" w:color="auto"/>
        <w:right w:val="none" w:sz="0" w:space="0" w:color="auto"/>
      </w:divBdr>
    </w:div>
    <w:div w:id="529998369">
      <w:bodyDiv w:val="1"/>
      <w:marLeft w:val="0"/>
      <w:marRight w:val="0"/>
      <w:marTop w:val="0"/>
      <w:marBottom w:val="0"/>
      <w:divBdr>
        <w:top w:val="none" w:sz="0" w:space="0" w:color="auto"/>
        <w:left w:val="none" w:sz="0" w:space="0" w:color="auto"/>
        <w:bottom w:val="none" w:sz="0" w:space="0" w:color="auto"/>
        <w:right w:val="none" w:sz="0" w:space="0" w:color="auto"/>
      </w:divBdr>
    </w:div>
    <w:div w:id="530263911">
      <w:bodyDiv w:val="1"/>
      <w:marLeft w:val="0"/>
      <w:marRight w:val="0"/>
      <w:marTop w:val="0"/>
      <w:marBottom w:val="0"/>
      <w:divBdr>
        <w:top w:val="none" w:sz="0" w:space="0" w:color="auto"/>
        <w:left w:val="none" w:sz="0" w:space="0" w:color="auto"/>
        <w:bottom w:val="none" w:sz="0" w:space="0" w:color="auto"/>
        <w:right w:val="none" w:sz="0" w:space="0" w:color="auto"/>
      </w:divBdr>
    </w:div>
    <w:div w:id="530999478">
      <w:bodyDiv w:val="1"/>
      <w:marLeft w:val="0"/>
      <w:marRight w:val="0"/>
      <w:marTop w:val="0"/>
      <w:marBottom w:val="0"/>
      <w:divBdr>
        <w:top w:val="none" w:sz="0" w:space="0" w:color="auto"/>
        <w:left w:val="none" w:sz="0" w:space="0" w:color="auto"/>
        <w:bottom w:val="none" w:sz="0" w:space="0" w:color="auto"/>
        <w:right w:val="none" w:sz="0" w:space="0" w:color="auto"/>
      </w:divBdr>
    </w:div>
    <w:div w:id="531266548">
      <w:bodyDiv w:val="1"/>
      <w:marLeft w:val="0"/>
      <w:marRight w:val="0"/>
      <w:marTop w:val="0"/>
      <w:marBottom w:val="0"/>
      <w:divBdr>
        <w:top w:val="none" w:sz="0" w:space="0" w:color="auto"/>
        <w:left w:val="none" w:sz="0" w:space="0" w:color="auto"/>
        <w:bottom w:val="none" w:sz="0" w:space="0" w:color="auto"/>
        <w:right w:val="none" w:sz="0" w:space="0" w:color="auto"/>
      </w:divBdr>
    </w:div>
    <w:div w:id="531501892">
      <w:bodyDiv w:val="1"/>
      <w:marLeft w:val="0"/>
      <w:marRight w:val="0"/>
      <w:marTop w:val="0"/>
      <w:marBottom w:val="0"/>
      <w:divBdr>
        <w:top w:val="none" w:sz="0" w:space="0" w:color="auto"/>
        <w:left w:val="none" w:sz="0" w:space="0" w:color="auto"/>
        <w:bottom w:val="none" w:sz="0" w:space="0" w:color="auto"/>
        <w:right w:val="none" w:sz="0" w:space="0" w:color="auto"/>
      </w:divBdr>
    </w:div>
    <w:div w:id="531505179">
      <w:bodyDiv w:val="1"/>
      <w:marLeft w:val="0"/>
      <w:marRight w:val="0"/>
      <w:marTop w:val="0"/>
      <w:marBottom w:val="0"/>
      <w:divBdr>
        <w:top w:val="none" w:sz="0" w:space="0" w:color="auto"/>
        <w:left w:val="none" w:sz="0" w:space="0" w:color="auto"/>
        <w:bottom w:val="none" w:sz="0" w:space="0" w:color="auto"/>
        <w:right w:val="none" w:sz="0" w:space="0" w:color="auto"/>
      </w:divBdr>
    </w:div>
    <w:div w:id="531722303">
      <w:bodyDiv w:val="1"/>
      <w:marLeft w:val="0"/>
      <w:marRight w:val="0"/>
      <w:marTop w:val="0"/>
      <w:marBottom w:val="0"/>
      <w:divBdr>
        <w:top w:val="none" w:sz="0" w:space="0" w:color="auto"/>
        <w:left w:val="none" w:sz="0" w:space="0" w:color="auto"/>
        <w:bottom w:val="none" w:sz="0" w:space="0" w:color="auto"/>
        <w:right w:val="none" w:sz="0" w:space="0" w:color="auto"/>
      </w:divBdr>
    </w:div>
    <w:div w:id="531920648">
      <w:bodyDiv w:val="1"/>
      <w:marLeft w:val="0"/>
      <w:marRight w:val="0"/>
      <w:marTop w:val="0"/>
      <w:marBottom w:val="0"/>
      <w:divBdr>
        <w:top w:val="none" w:sz="0" w:space="0" w:color="auto"/>
        <w:left w:val="none" w:sz="0" w:space="0" w:color="auto"/>
        <w:bottom w:val="none" w:sz="0" w:space="0" w:color="auto"/>
        <w:right w:val="none" w:sz="0" w:space="0" w:color="auto"/>
      </w:divBdr>
    </w:div>
    <w:div w:id="532039966">
      <w:bodyDiv w:val="1"/>
      <w:marLeft w:val="0"/>
      <w:marRight w:val="0"/>
      <w:marTop w:val="0"/>
      <w:marBottom w:val="0"/>
      <w:divBdr>
        <w:top w:val="none" w:sz="0" w:space="0" w:color="auto"/>
        <w:left w:val="none" w:sz="0" w:space="0" w:color="auto"/>
        <w:bottom w:val="none" w:sz="0" w:space="0" w:color="auto"/>
        <w:right w:val="none" w:sz="0" w:space="0" w:color="auto"/>
      </w:divBdr>
    </w:div>
    <w:div w:id="532768064">
      <w:bodyDiv w:val="1"/>
      <w:marLeft w:val="0"/>
      <w:marRight w:val="0"/>
      <w:marTop w:val="0"/>
      <w:marBottom w:val="0"/>
      <w:divBdr>
        <w:top w:val="none" w:sz="0" w:space="0" w:color="auto"/>
        <w:left w:val="none" w:sz="0" w:space="0" w:color="auto"/>
        <w:bottom w:val="none" w:sz="0" w:space="0" w:color="auto"/>
        <w:right w:val="none" w:sz="0" w:space="0" w:color="auto"/>
      </w:divBdr>
    </w:div>
    <w:div w:id="533617696">
      <w:bodyDiv w:val="1"/>
      <w:marLeft w:val="0"/>
      <w:marRight w:val="0"/>
      <w:marTop w:val="0"/>
      <w:marBottom w:val="0"/>
      <w:divBdr>
        <w:top w:val="none" w:sz="0" w:space="0" w:color="auto"/>
        <w:left w:val="none" w:sz="0" w:space="0" w:color="auto"/>
        <w:bottom w:val="none" w:sz="0" w:space="0" w:color="auto"/>
        <w:right w:val="none" w:sz="0" w:space="0" w:color="auto"/>
      </w:divBdr>
    </w:div>
    <w:div w:id="533805792">
      <w:bodyDiv w:val="1"/>
      <w:marLeft w:val="0"/>
      <w:marRight w:val="0"/>
      <w:marTop w:val="0"/>
      <w:marBottom w:val="0"/>
      <w:divBdr>
        <w:top w:val="none" w:sz="0" w:space="0" w:color="auto"/>
        <w:left w:val="none" w:sz="0" w:space="0" w:color="auto"/>
        <w:bottom w:val="none" w:sz="0" w:space="0" w:color="auto"/>
        <w:right w:val="none" w:sz="0" w:space="0" w:color="auto"/>
      </w:divBdr>
    </w:div>
    <w:div w:id="534196691">
      <w:bodyDiv w:val="1"/>
      <w:marLeft w:val="0"/>
      <w:marRight w:val="0"/>
      <w:marTop w:val="0"/>
      <w:marBottom w:val="0"/>
      <w:divBdr>
        <w:top w:val="none" w:sz="0" w:space="0" w:color="auto"/>
        <w:left w:val="none" w:sz="0" w:space="0" w:color="auto"/>
        <w:bottom w:val="none" w:sz="0" w:space="0" w:color="auto"/>
        <w:right w:val="none" w:sz="0" w:space="0" w:color="auto"/>
      </w:divBdr>
    </w:div>
    <w:div w:id="535503558">
      <w:bodyDiv w:val="1"/>
      <w:marLeft w:val="0"/>
      <w:marRight w:val="0"/>
      <w:marTop w:val="0"/>
      <w:marBottom w:val="0"/>
      <w:divBdr>
        <w:top w:val="none" w:sz="0" w:space="0" w:color="auto"/>
        <w:left w:val="none" w:sz="0" w:space="0" w:color="auto"/>
        <w:bottom w:val="none" w:sz="0" w:space="0" w:color="auto"/>
        <w:right w:val="none" w:sz="0" w:space="0" w:color="auto"/>
      </w:divBdr>
    </w:div>
    <w:div w:id="536242488">
      <w:bodyDiv w:val="1"/>
      <w:marLeft w:val="0"/>
      <w:marRight w:val="0"/>
      <w:marTop w:val="0"/>
      <w:marBottom w:val="0"/>
      <w:divBdr>
        <w:top w:val="none" w:sz="0" w:space="0" w:color="auto"/>
        <w:left w:val="none" w:sz="0" w:space="0" w:color="auto"/>
        <w:bottom w:val="none" w:sz="0" w:space="0" w:color="auto"/>
        <w:right w:val="none" w:sz="0" w:space="0" w:color="auto"/>
      </w:divBdr>
    </w:div>
    <w:div w:id="537165420">
      <w:bodyDiv w:val="1"/>
      <w:marLeft w:val="0"/>
      <w:marRight w:val="0"/>
      <w:marTop w:val="0"/>
      <w:marBottom w:val="0"/>
      <w:divBdr>
        <w:top w:val="none" w:sz="0" w:space="0" w:color="auto"/>
        <w:left w:val="none" w:sz="0" w:space="0" w:color="auto"/>
        <w:bottom w:val="none" w:sz="0" w:space="0" w:color="auto"/>
        <w:right w:val="none" w:sz="0" w:space="0" w:color="auto"/>
      </w:divBdr>
    </w:div>
    <w:div w:id="537208340">
      <w:bodyDiv w:val="1"/>
      <w:marLeft w:val="0"/>
      <w:marRight w:val="0"/>
      <w:marTop w:val="0"/>
      <w:marBottom w:val="0"/>
      <w:divBdr>
        <w:top w:val="none" w:sz="0" w:space="0" w:color="auto"/>
        <w:left w:val="none" w:sz="0" w:space="0" w:color="auto"/>
        <w:bottom w:val="none" w:sz="0" w:space="0" w:color="auto"/>
        <w:right w:val="none" w:sz="0" w:space="0" w:color="auto"/>
      </w:divBdr>
    </w:div>
    <w:div w:id="538470715">
      <w:bodyDiv w:val="1"/>
      <w:marLeft w:val="0"/>
      <w:marRight w:val="0"/>
      <w:marTop w:val="0"/>
      <w:marBottom w:val="0"/>
      <w:divBdr>
        <w:top w:val="none" w:sz="0" w:space="0" w:color="auto"/>
        <w:left w:val="none" w:sz="0" w:space="0" w:color="auto"/>
        <w:bottom w:val="none" w:sz="0" w:space="0" w:color="auto"/>
        <w:right w:val="none" w:sz="0" w:space="0" w:color="auto"/>
      </w:divBdr>
    </w:div>
    <w:div w:id="539439819">
      <w:bodyDiv w:val="1"/>
      <w:marLeft w:val="0"/>
      <w:marRight w:val="0"/>
      <w:marTop w:val="0"/>
      <w:marBottom w:val="0"/>
      <w:divBdr>
        <w:top w:val="none" w:sz="0" w:space="0" w:color="auto"/>
        <w:left w:val="none" w:sz="0" w:space="0" w:color="auto"/>
        <w:bottom w:val="none" w:sz="0" w:space="0" w:color="auto"/>
        <w:right w:val="none" w:sz="0" w:space="0" w:color="auto"/>
      </w:divBdr>
    </w:div>
    <w:div w:id="539779275">
      <w:bodyDiv w:val="1"/>
      <w:marLeft w:val="0"/>
      <w:marRight w:val="0"/>
      <w:marTop w:val="0"/>
      <w:marBottom w:val="0"/>
      <w:divBdr>
        <w:top w:val="none" w:sz="0" w:space="0" w:color="auto"/>
        <w:left w:val="none" w:sz="0" w:space="0" w:color="auto"/>
        <w:bottom w:val="none" w:sz="0" w:space="0" w:color="auto"/>
        <w:right w:val="none" w:sz="0" w:space="0" w:color="auto"/>
      </w:divBdr>
    </w:div>
    <w:div w:id="540048561">
      <w:bodyDiv w:val="1"/>
      <w:marLeft w:val="0"/>
      <w:marRight w:val="0"/>
      <w:marTop w:val="0"/>
      <w:marBottom w:val="0"/>
      <w:divBdr>
        <w:top w:val="none" w:sz="0" w:space="0" w:color="auto"/>
        <w:left w:val="none" w:sz="0" w:space="0" w:color="auto"/>
        <w:bottom w:val="none" w:sz="0" w:space="0" w:color="auto"/>
        <w:right w:val="none" w:sz="0" w:space="0" w:color="auto"/>
      </w:divBdr>
    </w:div>
    <w:div w:id="540634380">
      <w:bodyDiv w:val="1"/>
      <w:marLeft w:val="0"/>
      <w:marRight w:val="0"/>
      <w:marTop w:val="0"/>
      <w:marBottom w:val="0"/>
      <w:divBdr>
        <w:top w:val="none" w:sz="0" w:space="0" w:color="auto"/>
        <w:left w:val="none" w:sz="0" w:space="0" w:color="auto"/>
        <w:bottom w:val="none" w:sz="0" w:space="0" w:color="auto"/>
        <w:right w:val="none" w:sz="0" w:space="0" w:color="auto"/>
      </w:divBdr>
    </w:div>
    <w:div w:id="541093837">
      <w:bodyDiv w:val="1"/>
      <w:marLeft w:val="0"/>
      <w:marRight w:val="0"/>
      <w:marTop w:val="0"/>
      <w:marBottom w:val="0"/>
      <w:divBdr>
        <w:top w:val="none" w:sz="0" w:space="0" w:color="auto"/>
        <w:left w:val="none" w:sz="0" w:space="0" w:color="auto"/>
        <w:bottom w:val="none" w:sz="0" w:space="0" w:color="auto"/>
        <w:right w:val="none" w:sz="0" w:space="0" w:color="auto"/>
      </w:divBdr>
    </w:div>
    <w:div w:id="541329524">
      <w:bodyDiv w:val="1"/>
      <w:marLeft w:val="0"/>
      <w:marRight w:val="0"/>
      <w:marTop w:val="0"/>
      <w:marBottom w:val="0"/>
      <w:divBdr>
        <w:top w:val="none" w:sz="0" w:space="0" w:color="auto"/>
        <w:left w:val="none" w:sz="0" w:space="0" w:color="auto"/>
        <w:bottom w:val="none" w:sz="0" w:space="0" w:color="auto"/>
        <w:right w:val="none" w:sz="0" w:space="0" w:color="auto"/>
      </w:divBdr>
    </w:div>
    <w:div w:id="541406509">
      <w:bodyDiv w:val="1"/>
      <w:marLeft w:val="0"/>
      <w:marRight w:val="0"/>
      <w:marTop w:val="0"/>
      <w:marBottom w:val="0"/>
      <w:divBdr>
        <w:top w:val="none" w:sz="0" w:space="0" w:color="auto"/>
        <w:left w:val="none" w:sz="0" w:space="0" w:color="auto"/>
        <w:bottom w:val="none" w:sz="0" w:space="0" w:color="auto"/>
        <w:right w:val="none" w:sz="0" w:space="0" w:color="auto"/>
      </w:divBdr>
    </w:div>
    <w:div w:id="541598268">
      <w:bodyDiv w:val="1"/>
      <w:marLeft w:val="0"/>
      <w:marRight w:val="0"/>
      <w:marTop w:val="0"/>
      <w:marBottom w:val="0"/>
      <w:divBdr>
        <w:top w:val="none" w:sz="0" w:space="0" w:color="auto"/>
        <w:left w:val="none" w:sz="0" w:space="0" w:color="auto"/>
        <w:bottom w:val="none" w:sz="0" w:space="0" w:color="auto"/>
        <w:right w:val="none" w:sz="0" w:space="0" w:color="auto"/>
      </w:divBdr>
    </w:div>
    <w:div w:id="542443341">
      <w:bodyDiv w:val="1"/>
      <w:marLeft w:val="0"/>
      <w:marRight w:val="0"/>
      <w:marTop w:val="0"/>
      <w:marBottom w:val="0"/>
      <w:divBdr>
        <w:top w:val="none" w:sz="0" w:space="0" w:color="auto"/>
        <w:left w:val="none" w:sz="0" w:space="0" w:color="auto"/>
        <w:bottom w:val="none" w:sz="0" w:space="0" w:color="auto"/>
        <w:right w:val="none" w:sz="0" w:space="0" w:color="auto"/>
      </w:divBdr>
    </w:div>
    <w:div w:id="542787750">
      <w:bodyDiv w:val="1"/>
      <w:marLeft w:val="0"/>
      <w:marRight w:val="0"/>
      <w:marTop w:val="0"/>
      <w:marBottom w:val="0"/>
      <w:divBdr>
        <w:top w:val="none" w:sz="0" w:space="0" w:color="auto"/>
        <w:left w:val="none" w:sz="0" w:space="0" w:color="auto"/>
        <w:bottom w:val="none" w:sz="0" w:space="0" w:color="auto"/>
        <w:right w:val="none" w:sz="0" w:space="0" w:color="auto"/>
      </w:divBdr>
    </w:div>
    <w:div w:id="543951074">
      <w:bodyDiv w:val="1"/>
      <w:marLeft w:val="0"/>
      <w:marRight w:val="0"/>
      <w:marTop w:val="0"/>
      <w:marBottom w:val="0"/>
      <w:divBdr>
        <w:top w:val="none" w:sz="0" w:space="0" w:color="auto"/>
        <w:left w:val="none" w:sz="0" w:space="0" w:color="auto"/>
        <w:bottom w:val="none" w:sz="0" w:space="0" w:color="auto"/>
        <w:right w:val="none" w:sz="0" w:space="0" w:color="auto"/>
      </w:divBdr>
    </w:div>
    <w:div w:id="543978820">
      <w:bodyDiv w:val="1"/>
      <w:marLeft w:val="0"/>
      <w:marRight w:val="0"/>
      <w:marTop w:val="0"/>
      <w:marBottom w:val="0"/>
      <w:divBdr>
        <w:top w:val="none" w:sz="0" w:space="0" w:color="auto"/>
        <w:left w:val="none" w:sz="0" w:space="0" w:color="auto"/>
        <w:bottom w:val="none" w:sz="0" w:space="0" w:color="auto"/>
        <w:right w:val="none" w:sz="0" w:space="0" w:color="auto"/>
      </w:divBdr>
    </w:div>
    <w:div w:id="544103286">
      <w:bodyDiv w:val="1"/>
      <w:marLeft w:val="0"/>
      <w:marRight w:val="0"/>
      <w:marTop w:val="0"/>
      <w:marBottom w:val="0"/>
      <w:divBdr>
        <w:top w:val="none" w:sz="0" w:space="0" w:color="auto"/>
        <w:left w:val="none" w:sz="0" w:space="0" w:color="auto"/>
        <w:bottom w:val="none" w:sz="0" w:space="0" w:color="auto"/>
        <w:right w:val="none" w:sz="0" w:space="0" w:color="auto"/>
      </w:divBdr>
    </w:div>
    <w:div w:id="544415891">
      <w:bodyDiv w:val="1"/>
      <w:marLeft w:val="0"/>
      <w:marRight w:val="0"/>
      <w:marTop w:val="0"/>
      <w:marBottom w:val="0"/>
      <w:divBdr>
        <w:top w:val="none" w:sz="0" w:space="0" w:color="auto"/>
        <w:left w:val="none" w:sz="0" w:space="0" w:color="auto"/>
        <w:bottom w:val="none" w:sz="0" w:space="0" w:color="auto"/>
        <w:right w:val="none" w:sz="0" w:space="0" w:color="auto"/>
      </w:divBdr>
    </w:div>
    <w:div w:id="545794305">
      <w:bodyDiv w:val="1"/>
      <w:marLeft w:val="0"/>
      <w:marRight w:val="0"/>
      <w:marTop w:val="0"/>
      <w:marBottom w:val="0"/>
      <w:divBdr>
        <w:top w:val="none" w:sz="0" w:space="0" w:color="auto"/>
        <w:left w:val="none" w:sz="0" w:space="0" w:color="auto"/>
        <w:bottom w:val="none" w:sz="0" w:space="0" w:color="auto"/>
        <w:right w:val="none" w:sz="0" w:space="0" w:color="auto"/>
      </w:divBdr>
    </w:div>
    <w:div w:id="545875264">
      <w:bodyDiv w:val="1"/>
      <w:marLeft w:val="0"/>
      <w:marRight w:val="0"/>
      <w:marTop w:val="0"/>
      <w:marBottom w:val="0"/>
      <w:divBdr>
        <w:top w:val="none" w:sz="0" w:space="0" w:color="auto"/>
        <w:left w:val="none" w:sz="0" w:space="0" w:color="auto"/>
        <w:bottom w:val="none" w:sz="0" w:space="0" w:color="auto"/>
        <w:right w:val="none" w:sz="0" w:space="0" w:color="auto"/>
      </w:divBdr>
    </w:div>
    <w:div w:id="545875807">
      <w:bodyDiv w:val="1"/>
      <w:marLeft w:val="0"/>
      <w:marRight w:val="0"/>
      <w:marTop w:val="0"/>
      <w:marBottom w:val="0"/>
      <w:divBdr>
        <w:top w:val="none" w:sz="0" w:space="0" w:color="auto"/>
        <w:left w:val="none" w:sz="0" w:space="0" w:color="auto"/>
        <w:bottom w:val="none" w:sz="0" w:space="0" w:color="auto"/>
        <w:right w:val="none" w:sz="0" w:space="0" w:color="auto"/>
      </w:divBdr>
    </w:div>
    <w:div w:id="546338890">
      <w:bodyDiv w:val="1"/>
      <w:marLeft w:val="0"/>
      <w:marRight w:val="0"/>
      <w:marTop w:val="0"/>
      <w:marBottom w:val="0"/>
      <w:divBdr>
        <w:top w:val="none" w:sz="0" w:space="0" w:color="auto"/>
        <w:left w:val="none" w:sz="0" w:space="0" w:color="auto"/>
        <w:bottom w:val="none" w:sz="0" w:space="0" w:color="auto"/>
        <w:right w:val="none" w:sz="0" w:space="0" w:color="auto"/>
      </w:divBdr>
    </w:div>
    <w:div w:id="546456268">
      <w:bodyDiv w:val="1"/>
      <w:marLeft w:val="0"/>
      <w:marRight w:val="0"/>
      <w:marTop w:val="0"/>
      <w:marBottom w:val="0"/>
      <w:divBdr>
        <w:top w:val="none" w:sz="0" w:space="0" w:color="auto"/>
        <w:left w:val="none" w:sz="0" w:space="0" w:color="auto"/>
        <w:bottom w:val="none" w:sz="0" w:space="0" w:color="auto"/>
        <w:right w:val="none" w:sz="0" w:space="0" w:color="auto"/>
      </w:divBdr>
    </w:div>
    <w:div w:id="546527049">
      <w:bodyDiv w:val="1"/>
      <w:marLeft w:val="0"/>
      <w:marRight w:val="0"/>
      <w:marTop w:val="0"/>
      <w:marBottom w:val="0"/>
      <w:divBdr>
        <w:top w:val="none" w:sz="0" w:space="0" w:color="auto"/>
        <w:left w:val="none" w:sz="0" w:space="0" w:color="auto"/>
        <w:bottom w:val="none" w:sz="0" w:space="0" w:color="auto"/>
        <w:right w:val="none" w:sz="0" w:space="0" w:color="auto"/>
      </w:divBdr>
    </w:div>
    <w:div w:id="547839714">
      <w:bodyDiv w:val="1"/>
      <w:marLeft w:val="0"/>
      <w:marRight w:val="0"/>
      <w:marTop w:val="0"/>
      <w:marBottom w:val="0"/>
      <w:divBdr>
        <w:top w:val="none" w:sz="0" w:space="0" w:color="auto"/>
        <w:left w:val="none" w:sz="0" w:space="0" w:color="auto"/>
        <w:bottom w:val="none" w:sz="0" w:space="0" w:color="auto"/>
        <w:right w:val="none" w:sz="0" w:space="0" w:color="auto"/>
      </w:divBdr>
    </w:div>
    <w:div w:id="547960547">
      <w:bodyDiv w:val="1"/>
      <w:marLeft w:val="0"/>
      <w:marRight w:val="0"/>
      <w:marTop w:val="0"/>
      <w:marBottom w:val="0"/>
      <w:divBdr>
        <w:top w:val="none" w:sz="0" w:space="0" w:color="auto"/>
        <w:left w:val="none" w:sz="0" w:space="0" w:color="auto"/>
        <w:bottom w:val="none" w:sz="0" w:space="0" w:color="auto"/>
        <w:right w:val="none" w:sz="0" w:space="0" w:color="auto"/>
      </w:divBdr>
    </w:div>
    <w:div w:id="548610766">
      <w:bodyDiv w:val="1"/>
      <w:marLeft w:val="0"/>
      <w:marRight w:val="0"/>
      <w:marTop w:val="0"/>
      <w:marBottom w:val="0"/>
      <w:divBdr>
        <w:top w:val="none" w:sz="0" w:space="0" w:color="auto"/>
        <w:left w:val="none" w:sz="0" w:space="0" w:color="auto"/>
        <w:bottom w:val="none" w:sz="0" w:space="0" w:color="auto"/>
        <w:right w:val="none" w:sz="0" w:space="0" w:color="auto"/>
      </w:divBdr>
    </w:div>
    <w:div w:id="549078312">
      <w:bodyDiv w:val="1"/>
      <w:marLeft w:val="0"/>
      <w:marRight w:val="0"/>
      <w:marTop w:val="0"/>
      <w:marBottom w:val="0"/>
      <w:divBdr>
        <w:top w:val="none" w:sz="0" w:space="0" w:color="auto"/>
        <w:left w:val="none" w:sz="0" w:space="0" w:color="auto"/>
        <w:bottom w:val="none" w:sz="0" w:space="0" w:color="auto"/>
        <w:right w:val="none" w:sz="0" w:space="0" w:color="auto"/>
      </w:divBdr>
    </w:div>
    <w:div w:id="549535756">
      <w:bodyDiv w:val="1"/>
      <w:marLeft w:val="0"/>
      <w:marRight w:val="0"/>
      <w:marTop w:val="0"/>
      <w:marBottom w:val="0"/>
      <w:divBdr>
        <w:top w:val="none" w:sz="0" w:space="0" w:color="auto"/>
        <w:left w:val="none" w:sz="0" w:space="0" w:color="auto"/>
        <w:bottom w:val="none" w:sz="0" w:space="0" w:color="auto"/>
        <w:right w:val="none" w:sz="0" w:space="0" w:color="auto"/>
      </w:divBdr>
    </w:div>
    <w:div w:id="549616821">
      <w:bodyDiv w:val="1"/>
      <w:marLeft w:val="0"/>
      <w:marRight w:val="0"/>
      <w:marTop w:val="0"/>
      <w:marBottom w:val="0"/>
      <w:divBdr>
        <w:top w:val="none" w:sz="0" w:space="0" w:color="auto"/>
        <w:left w:val="none" w:sz="0" w:space="0" w:color="auto"/>
        <w:bottom w:val="none" w:sz="0" w:space="0" w:color="auto"/>
        <w:right w:val="none" w:sz="0" w:space="0" w:color="auto"/>
      </w:divBdr>
    </w:div>
    <w:div w:id="549851623">
      <w:bodyDiv w:val="1"/>
      <w:marLeft w:val="0"/>
      <w:marRight w:val="0"/>
      <w:marTop w:val="0"/>
      <w:marBottom w:val="0"/>
      <w:divBdr>
        <w:top w:val="none" w:sz="0" w:space="0" w:color="auto"/>
        <w:left w:val="none" w:sz="0" w:space="0" w:color="auto"/>
        <w:bottom w:val="none" w:sz="0" w:space="0" w:color="auto"/>
        <w:right w:val="none" w:sz="0" w:space="0" w:color="auto"/>
      </w:divBdr>
    </w:div>
    <w:div w:id="550189751">
      <w:bodyDiv w:val="1"/>
      <w:marLeft w:val="0"/>
      <w:marRight w:val="0"/>
      <w:marTop w:val="0"/>
      <w:marBottom w:val="0"/>
      <w:divBdr>
        <w:top w:val="none" w:sz="0" w:space="0" w:color="auto"/>
        <w:left w:val="none" w:sz="0" w:space="0" w:color="auto"/>
        <w:bottom w:val="none" w:sz="0" w:space="0" w:color="auto"/>
        <w:right w:val="none" w:sz="0" w:space="0" w:color="auto"/>
      </w:divBdr>
    </w:div>
    <w:div w:id="550964600">
      <w:bodyDiv w:val="1"/>
      <w:marLeft w:val="0"/>
      <w:marRight w:val="0"/>
      <w:marTop w:val="0"/>
      <w:marBottom w:val="0"/>
      <w:divBdr>
        <w:top w:val="none" w:sz="0" w:space="0" w:color="auto"/>
        <w:left w:val="none" w:sz="0" w:space="0" w:color="auto"/>
        <w:bottom w:val="none" w:sz="0" w:space="0" w:color="auto"/>
        <w:right w:val="none" w:sz="0" w:space="0" w:color="auto"/>
      </w:divBdr>
    </w:div>
    <w:div w:id="551501972">
      <w:bodyDiv w:val="1"/>
      <w:marLeft w:val="0"/>
      <w:marRight w:val="0"/>
      <w:marTop w:val="0"/>
      <w:marBottom w:val="0"/>
      <w:divBdr>
        <w:top w:val="none" w:sz="0" w:space="0" w:color="auto"/>
        <w:left w:val="none" w:sz="0" w:space="0" w:color="auto"/>
        <w:bottom w:val="none" w:sz="0" w:space="0" w:color="auto"/>
        <w:right w:val="none" w:sz="0" w:space="0" w:color="auto"/>
      </w:divBdr>
    </w:div>
    <w:div w:id="551578029">
      <w:bodyDiv w:val="1"/>
      <w:marLeft w:val="0"/>
      <w:marRight w:val="0"/>
      <w:marTop w:val="0"/>
      <w:marBottom w:val="0"/>
      <w:divBdr>
        <w:top w:val="none" w:sz="0" w:space="0" w:color="auto"/>
        <w:left w:val="none" w:sz="0" w:space="0" w:color="auto"/>
        <w:bottom w:val="none" w:sz="0" w:space="0" w:color="auto"/>
        <w:right w:val="none" w:sz="0" w:space="0" w:color="auto"/>
      </w:divBdr>
    </w:div>
    <w:div w:id="552232886">
      <w:bodyDiv w:val="1"/>
      <w:marLeft w:val="0"/>
      <w:marRight w:val="0"/>
      <w:marTop w:val="0"/>
      <w:marBottom w:val="0"/>
      <w:divBdr>
        <w:top w:val="none" w:sz="0" w:space="0" w:color="auto"/>
        <w:left w:val="none" w:sz="0" w:space="0" w:color="auto"/>
        <w:bottom w:val="none" w:sz="0" w:space="0" w:color="auto"/>
        <w:right w:val="none" w:sz="0" w:space="0" w:color="auto"/>
      </w:divBdr>
    </w:div>
    <w:div w:id="552622355">
      <w:bodyDiv w:val="1"/>
      <w:marLeft w:val="0"/>
      <w:marRight w:val="0"/>
      <w:marTop w:val="0"/>
      <w:marBottom w:val="0"/>
      <w:divBdr>
        <w:top w:val="none" w:sz="0" w:space="0" w:color="auto"/>
        <w:left w:val="none" w:sz="0" w:space="0" w:color="auto"/>
        <w:bottom w:val="none" w:sz="0" w:space="0" w:color="auto"/>
        <w:right w:val="none" w:sz="0" w:space="0" w:color="auto"/>
      </w:divBdr>
    </w:div>
    <w:div w:id="553078656">
      <w:bodyDiv w:val="1"/>
      <w:marLeft w:val="0"/>
      <w:marRight w:val="0"/>
      <w:marTop w:val="0"/>
      <w:marBottom w:val="0"/>
      <w:divBdr>
        <w:top w:val="none" w:sz="0" w:space="0" w:color="auto"/>
        <w:left w:val="none" w:sz="0" w:space="0" w:color="auto"/>
        <w:bottom w:val="none" w:sz="0" w:space="0" w:color="auto"/>
        <w:right w:val="none" w:sz="0" w:space="0" w:color="auto"/>
      </w:divBdr>
    </w:div>
    <w:div w:id="553739541">
      <w:bodyDiv w:val="1"/>
      <w:marLeft w:val="0"/>
      <w:marRight w:val="0"/>
      <w:marTop w:val="0"/>
      <w:marBottom w:val="0"/>
      <w:divBdr>
        <w:top w:val="none" w:sz="0" w:space="0" w:color="auto"/>
        <w:left w:val="none" w:sz="0" w:space="0" w:color="auto"/>
        <w:bottom w:val="none" w:sz="0" w:space="0" w:color="auto"/>
        <w:right w:val="none" w:sz="0" w:space="0" w:color="auto"/>
      </w:divBdr>
    </w:div>
    <w:div w:id="556160806">
      <w:bodyDiv w:val="1"/>
      <w:marLeft w:val="0"/>
      <w:marRight w:val="0"/>
      <w:marTop w:val="0"/>
      <w:marBottom w:val="0"/>
      <w:divBdr>
        <w:top w:val="none" w:sz="0" w:space="0" w:color="auto"/>
        <w:left w:val="none" w:sz="0" w:space="0" w:color="auto"/>
        <w:bottom w:val="none" w:sz="0" w:space="0" w:color="auto"/>
        <w:right w:val="none" w:sz="0" w:space="0" w:color="auto"/>
      </w:divBdr>
      <w:divsChild>
        <w:div w:id="136267498">
          <w:marLeft w:val="0"/>
          <w:marRight w:val="0"/>
          <w:marTop w:val="0"/>
          <w:marBottom w:val="0"/>
          <w:divBdr>
            <w:top w:val="none" w:sz="0" w:space="0" w:color="auto"/>
            <w:left w:val="none" w:sz="0" w:space="0" w:color="auto"/>
            <w:bottom w:val="none" w:sz="0" w:space="0" w:color="auto"/>
            <w:right w:val="none" w:sz="0" w:space="0" w:color="auto"/>
          </w:divBdr>
        </w:div>
      </w:divsChild>
    </w:div>
    <w:div w:id="556160902">
      <w:bodyDiv w:val="1"/>
      <w:marLeft w:val="0"/>
      <w:marRight w:val="0"/>
      <w:marTop w:val="0"/>
      <w:marBottom w:val="0"/>
      <w:divBdr>
        <w:top w:val="none" w:sz="0" w:space="0" w:color="auto"/>
        <w:left w:val="none" w:sz="0" w:space="0" w:color="auto"/>
        <w:bottom w:val="none" w:sz="0" w:space="0" w:color="auto"/>
        <w:right w:val="none" w:sz="0" w:space="0" w:color="auto"/>
      </w:divBdr>
    </w:div>
    <w:div w:id="557282963">
      <w:bodyDiv w:val="1"/>
      <w:marLeft w:val="0"/>
      <w:marRight w:val="0"/>
      <w:marTop w:val="0"/>
      <w:marBottom w:val="0"/>
      <w:divBdr>
        <w:top w:val="none" w:sz="0" w:space="0" w:color="auto"/>
        <w:left w:val="none" w:sz="0" w:space="0" w:color="auto"/>
        <w:bottom w:val="none" w:sz="0" w:space="0" w:color="auto"/>
        <w:right w:val="none" w:sz="0" w:space="0" w:color="auto"/>
      </w:divBdr>
    </w:div>
    <w:div w:id="558057465">
      <w:bodyDiv w:val="1"/>
      <w:marLeft w:val="0"/>
      <w:marRight w:val="0"/>
      <w:marTop w:val="0"/>
      <w:marBottom w:val="0"/>
      <w:divBdr>
        <w:top w:val="none" w:sz="0" w:space="0" w:color="auto"/>
        <w:left w:val="none" w:sz="0" w:space="0" w:color="auto"/>
        <w:bottom w:val="none" w:sz="0" w:space="0" w:color="auto"/>
        <w:right w:val="none" w:sz="0" w:space="0" w:color="auto"/>
      </w:divBdr>
    </w:div>
    <w:div w:id="558512585">
      <w:bodyDiv w:val="1"/>
      <w:marLeft w:val="0"/>
      <w:marRight w:val="0"/>
      <w:marTop w:val="0"/>
      <w:marBottom w:val="0"/>
      <w:divBdr>
        <w:top w:val="none" w:sz="0" w:space="0" w:color="auto"/>
        <w:left w:val="none" w:sz="0" w:space="0" w:color="auto"/>
        <w:bottom w:val="none" w:sz="0" w:space="0" w:color="auto"/>
        <w:right w:val="none" w:sz="0" w:space="0" w:color="auto"/>
      </w:divBdr>
    </w:div>
    <w:div w:id="559828734">
      <w:bodyDiv w:val="1"/>
      <w:marLeft w:val="0"/>
      <w:marRight w:val="0"/>
      <w:marTop w:val="0"/>
      <w:marBottom w:val="0"/>
      <w:divBdr>
        <w:top w:val="none" w:sz="0" w:space="0" w:color="auto"/>
        <w:left w:val="none" w:sz="0" w:space="0" w:color="auto"/>
        <w:bottom w:val="none" w:sz="0" w:space="0" w:color="auto"/>
        <w:right w:val="none" w:sz="0" w:space="0" w:color="auto"/>
      </w:divBdr>
    </w:div>
    <w:div w:id="560604961">
      <w:bodyDiv w:val="1"/>
      <w:marLeft w:val="0"/>
      <w:marRight w:val="0"/>
      <w:marTop w:val="0"/>
      <w:marBottom w:val="0"/>
      <w:divBdr>
        <w:top w:val="none" w:sz="0" w:space="0" w:color="auto"/>
        <w:left w:val="none" w:sz="0" w:space="0" w:color="auto"/>
        <w:bottom w:val="none" w:sz="0" w:space="0" w:color="auto"/>
        <w:right w:val="none" w:sz="0" w:space="0" w:color="auto"/>
      </w:divBdr>
    </w:div>
    <w:div w:id="560944085">
      <w:bodyDiv w:val="1"/>
      <w:marLeft w:val="0"/>
      <w:marRight w:val="0"/>
      <w:marTop w:val="0"/>
      <w:marBottom w:val="0"/>
      <w:divBdr>
        <w:top w:val="none" w:sz="0" w:space="0" w:color="auto"/>
        <w:left w:val="none" w:sz="0" w:space="0" w:color="auto"/>
        <w:bottom w:val="none" w:sz="0" w:space="0" w:color="auto"/>
        <w:right w:val="none" w:sz="0" w:space="0" w:color="auto"/>
      </w:divBdr>
    </w:div>
    <w:div w:id="561214429">
      <w:bodyDiv w:val="1"/>
      <w:marLeft w:val="0"/>
      <w:marRight w:val="0"/>
      <w:marTop w:val="0"/>
      <w:marBottom w:val="0"/>
      <w:divBdr>
        <w:top w:val="none" w:sz="0" w:space="0" w:color="auto"/>
        <w:left w:val="none" w:sz="0" w:space="0" w:color="auto"/>
        <w:bottom w:val="none" w:sz="0" w:space="0" w:color="auto"/>
        <w:right w:val="none" w:sz="0" w:space="0" w:color="auto"/>
      </w:divBdr>
    </w:div>
    <w:div w:id="562908966">
      <w:bodyDiv w:val="1"/>
      <w:marLeft w:val="0"/>
      <w:marRight w:val="0"/>
      <w:marTop w:val="0"/>
      <w:marBottom w:val="0"/>
      <w:divBdr>
        <w:top w:val="none" w:sz="0" w:space="0" w:color="auto"/>
        <w:left w:val="none" w:sz="0" w:space="0" w:color="auto"/>
        <w:bottom w:val="none" w:sz="0" w:space="0" w:color="auto"/>
        <w:right w:val="none" w:sz="0" w:space="0" w:color="auto"/>
      </w:divBdr>
    </w:div>
    <w:div w:id="563375870">
      <w:bodyDiv w:val="1"/>
      <w:marLeft w:val="0"/>
      <w:marRight w:val="0"/>
      <w:marTop w:val="0"/>
      <w:marBottom w:val="0"/>
      <w:divBdr>
        <w:top w:val="none" w:sz="0" w:space="0" w:color="auto"/>
        <w:left w:val="none" w:sz="0" w:space="0" w:color="auto"/>
        <w:bottom w:val="none" w:sz="0" w:space="0" w:color="auto"/>
        <w:right w:val="none" w:sz="0" w:space="0" w:color="auto"/>
      </w:divBdr>
    </w:div>
    <w:div w:id="564074151">
      <w:bodyDiv w:val="1"/>
      <w:marLeft w:val="0"/>
      <w:marRight w:val="0"/>
      <w:marTop w:val="0"/>
      <w:marBottom w:val="0"/>
      <w:divBdr>
        <w:top w:val="none" w:sz="0" w:space="0" w:color="auto"/>
        <w:left w:val="none" w:sz="0" w:space="0" w:color="auto"/>
        <w:bottom w:val="none" w:sz="0" w:space="0" w:color="auto"/>
        <w:right w:val="none" w:sz="0" w:space="0" w:color="auto"/>
      </w:divBdr>
    </w:div>
    <w:div w:id="564292279">
      <w:bodyDiv w:val="1"/>
      <w:marLeft w:val="0"/>
      <w:marRight w:val="0"/>
      <w:marTop w:val="0"/>
      <w:marBottom w:val="0"/>
      <w:divBdr>
        <w:top w:val="none" w:sz="0" w:space="0" w:color="auto"/>
        <w:left w:val="none" w:sz="0" w:space="0" w:color="auto"/>
        <w:bottom w:val="none" w:sz="0" w:space="0" w:color="auto"/>
        <w:right w:val="none" w:sz="0" w:space="0" w:color="auto"/>
      </w:divBdr>
    </w:div>
    <w:div w:id="564337282">
      <w:bodyDiv w:val="1"/>
      <w:marLeft w:val="0"/>
      <w:marRight w:val="0"/>
      <w:marTop w:val="0"/>
      <w:marBottom w:val="0"/>
      <w:divBdr>
        <w:top w:val="none" w:sz="0" w:space="0" w:color="auto"/>
        <w:left w:val="none" w:sz="0" w:space="0" w:color="auto"/>
        <w:bottom w:val="none" w:sz="0" w:space="0" w:color="auto"/>
        <w:right w:val="none" w:sz="0" w:space="0" w:color="auto"/>
      </w:divBdr>
    </w:div>
    <w:div w:id="565334052">
      <w:bodyDiv w:val="1"/>
      <w:marLeft w:val="0"/>
      <w:marRight w:val="0"/>
      <w:marTop w:val="0"/>
      <w:marBottom w:val="0"/>
      <w:divBdr>
        <w:top w:val="none" w:sz="0" w:space="0" w:color="auto"/>
        <w:left w:val="none" w:sz="0" w:space="0" w:color="auto"/>
        <w:bottom w:val="none" w:sz="0" w:space="0" w:color="auto"/>
        <w:right w:val="none" w:sz="0" w:space="0" w:color="auto"/>
      </w:divBdr>
    </w:div>
    <w:div w:id="565451906">
      <w:bodyDiv w:val="1"/>
      <w:marLeft w:val="0"/>
      <w:marRight w:val="0"/>
      <w:marTop w:val="0"/>
      <w:marBottom w:val="0"/>
      <w:divBdr>
        <w:top w:val="none" w:sz="0" w:space="0" w:color="auto"/>
        <w:left w:val="none" w:sz="0" w:space="0" w:color="auto"/>
        <w:bottom w:val="none" w:sz="0" w:space="0" w:color="auto"/>
        <w:right w:val="none" w:sz="0" w:space="0" w:color="auto"/>
      </w:divBdr>
    </w:div>
    <w:div w:id="566648332">
      <w:bodyDiv w:val="1"/>
      <w:marLeft w:val="0"/>
      <w:marRight w:val="0"/>
      <w:marTop w:val="0"/>
      <w:marBottom w:val="0"/>
      <w:divBdr>
        <w:top w:val="none" w:sz="0" w:space="0" w:color="auto"/>
        <w:left w:val="none" w:sz="0" w:space="0" w:color="auto"/>
        <w:bottom w:val="none" w:sz="0" w:space="0" w:color="auto"/>
        <w:right w:val="none" w:sz="0" w:space="0" w:color="auto"/>
      </w:divBdr>
    </w:div>
    <w:div w:id="566916162">
      <w:bodyDiv w:val="1"/>
      <w:marLeft w:val="0"/>
      <w:marRight w:val="0"/>
      <w:marTop w:val="0"/>
      <w:marBottom w:val="0"/>
      <w:divBdr>
        <w:top w:val="none" w:sz="0" w:space="0" w:color="auto"/>
        <w:left w:val="none" w:sz="0" w:space="0" w:color="auto"/>
        <w:bottom w:val="none" w:sz="0" w:space="0" w:color="auto"/>
        <w:right w:val="none" w:sz="0" w:space="0" w:color="auto"/>
      </w:divBdr>
    </w:div>
    <w:div w:id="567568362">
      <w:bodyDiv w:val="1"/>
      <w:marLeft w:val="0"/>
      <w:marRight w:val="0"/>
      <w:marTop w:val="0"/>
      <w:marBottom w:val="0"/>
      <w:divBdr>
        <w:top w:val="none" w:sz="0" w:space="0" w:color="auto"/>
        <w:left w:val="none" w:sz="0" w:space="0" w:color="auto"/>
        <w:bottom w:val="none" w:sz="0" w:space="0" w:color="auto"/>
        <w:right w:val="none" w:sz="0" w:space="0" w:color="auto"/>
      </w:divBdr>
    </w:div>
    <w:div w:id="567804566">
      <w:bodyDiv w:val="1"/>
      <w:marLeft w:val="0"/>
      <w:marRight w:val="0"/>
      <w:marTop w:val="0"/>
      <w:marBottom w:val="0"/>
      <w:divBdr>
        <w:top w:val="none" w:sz="0" w:space="0" w:color="auto"/>
        <w:left w:val="none" w:sz="0" w:space="0" w:color="auto"/>
        <w:bottom w:val="none" w:sz="0" w:space="0" w:color="auto"/>
        <w:right w:val="none" w:sz="0" w:space="0" w:color="auto"/>
      </w:divBdr>
    </w:div>
    <w:div w:id="570042961">
      <w:bodyDiv w:val="1"/>
      <w:marLeft w:val="0"/>
      <w:marRight w:val="0"/>
      <w:marTop w:val="0"/>
      <w:marBottom w:val="0"/>
      <w:divBdr>
        <w:top w:val="none" w:sz="0" w:space="0" w:color="auto"/>
        <w:left w:val="none" w:sz="0" w:space="0" w:color="auto"/>
        <w:bottom w:val="none" w:sz="0" w:space="0" w:color="auto"/>
        <w:right w:val="none" w:sz="0" w:space="0" w:color="auto"/>
      </w:divBdr>
    </w:div>
    <w:div w:id="570115128">
      <w:bodyDiv w:val="1"/>
      <w:marLeft w:val="0"/>
      <w:marRight w:val="0"/>
      <w:marTop w:val="0"/>
      <w:marBottom w:val="0"/>
      <w:divBdr>
        <w:top w:val="none" w:sz="0" w:space="0" w:color="auto"/>
        <w:left w:val="none" w:sz="0" w:space="0" w:color="auto"/>
        <w:bottom w:val="none" w:sz="0" w:space="0" w:color="auto"/>
        <w:right w:val="none" w:sz="0" w:space="0" w:color="auto"/>
      </w:divBdr>
    </w:div>
    <w:div w:id="570164129">
      <w:bodyDiv w:val="1"/>
      <w:marLeft w:val="0"/>
      <w:marRight w:val="0"/>
      <w:marTop w:val="0"/>
      <w:marBottom w:val="0"/>
      <w:divBdr>
        <w:top w:val="none" w:sz="0" w:space="0" w:color="auto"/>
        <w:left w:val="none" w:sz="0" w:space="0" w:color="auto"/>
        <w:bottom w:val="none" w:sz="0" w:space="0" w:color="auto"/>
        <w:right w:val="none" w:sz="0" w:space="0" w:color="auto"/>
      </w:divBdr>
    </w:div>
    <w:div w:id="571352667">
      <w:bodyDiv w:val="1"/>
      <w:marLeft w:val="0"/>
      <w:marRight w:val="0"/>
      <w:marTop w:val="0"/>
      <w:marBottom w:val="0"/>
      <w:divBdr>
        <w:top w:val="none" w:sz="0" w:space="0" w:color="auto"/>
        <w:left w:val="none" w:sz="0" w:space="0" w:color="auto"/>
        <w:bottom w:val="none" w:sz="0" w:space="0" w:color="auto"/>
        <w:right w:val="none" w:sz="0" w:space="0" w:color="auto"/>
      </w:divBdr>
    </w:div>
    <w:div w:id="571544521">
      <w:bodyDiv w:val="1"/>
      <w:marLeft w:val="0"/>
      <w:marRight w:val="0"/>
      <w:marTop w:val="0"/>
      <w:marBottom w:val="0"/>
      <w:divBdr>
        <w:top w:val="none" w:sz="0" w:space="0" w:color="auto"/>
        <w:left w:val="none" w:sz="0" w:space="0" w:color="auto"/>
        <w:bottom w:val="none" w:sz="0" w:space="0" w:color="auto"/>
        <w:right w:val="none" w:sz="0" w:space="0" w:color="auto"/>
      </w:divBdr>
    </w:div>
    <w:div w:id="572006928">
      <w:bodyDiv w:val="1"/>
      <w:marLeft w:val="0"/>
      <w:marRight w:val="0"/>
      <w:marTop w:val="0"/>
      <w:marBottom w:val="0"/>
      <w:divBdr>
        <w:top w:val="none" w:sz="0" w:space="0" w:color="auto"/>
        <w:left w:val="none" w:sz="0" w:space="0" w:color="auto"/>
        <w:bottom w:val="none" w:sz="0" w:space="0" w:color="auto"/>
        <w:right w:val="none" w:sz="0" w:space="0" w:color="auto"/>
      </w:divBdr>
    </w:div>
    <w:div w:id="572010938">
      <w:bodyDiv w:val="1"/>
      <w:marLeft w:val="0"/>
      <w:marRight w:val="0"/>
      <w:marTop w:val="0"/>
      <w:marBottom w:val="0"/>
      <w:divBdr>
        <w:top w:val="none" w:sz="0" w:space="0" w:color="auto"/>
        <w:left w:val="none" w:sz="0" w:space="0" w:color="auto"/>
        <w:bottom w:val="none" w:sz="0" w:space="0" w:color="auto"/>
        <w:right w:val="none" w:sz="0" w:space="0" w:color="auto"/>
      </w:divBdr>
    </w:div>
    <w:div w:id="572274521">
      <w:bodyDiv w:val="1"/>
      <w:marLeft w:val="0"/>
      <w:marRight w:val="0"/>
      <w:marTop w:val="0"/>
      <w:marBottom w:val="0"/>
      <w:divBdr>
        <w:top w:val="none" w:sz="0" w:space="0" w:color="auto"/>
        <w:left w:val="none" w:sz="0" w:space="0" w:color="auto"/>
        <w:bottom w:val="none" w:sz="0" w:space="0" w:color="auto"/>
        <w:right w:val="none" w:sz="0" w:space="0" w:color="auto"/>
      </w:divBdr>
    </w:div>
    <w:div w:id="572546486">
      <w:bodyDiv w:val="1"/>
      <w:marLeft w:val="0"/>
      <w:marRight w:val="0"/>
      <w:marTop w:val="0"/>
      <w:marBottom w:val="0"/>
      <w:divBdr>
        <w:top w:val="none" w:sz="0" w:space="0" w:color="auto"/>
        <w:left w:val="none" w:sz="0" w:space="0" w:color="auto"/>
        <w:bottom w:val="none" w:sz="0" w:space="0" w:color="auto"/>
        <w:right w:val="none" w:sz="0" w:space="0" w:color="auto"/>
      </w:divBdr>
    </w:div>
    <w:div w:id="572667949">
      <w:bodyDiv w:val="1"/>
      <w:marLeft w:val="0"/>
      <w:marRight w:val="0"/>
      <w:marTop w:val="0"/>
      <w:marBottom w:val="0"/>
      <w:divBdr>
        <w:top w:val="none" w:sz="0" w:space="0" w:color="auto"/>
        <w:left w:val="none" w:sz="0" w:space="0" w:color="auto"/>
        <w:bottom w:val="none" w:sz="0" w:space="0" w:color="auto"/>
        <w:right w:val="none" w:sz="0" w:space="0" w:color="auto"/>
      </w:divBdr>
    </w:div>
    <w:div w:id="572736290">
      <w:bodyDiv w:val="1"/>
      <w:marLeft w:val="0"/>
      <w:marRight w:val="0"/>
      <w:marTop w:val="0"/>
      <w:marBottom w:val="0"/>
      <w:divBdr>
        <w:top w:val="none" w:sz="0" w:space="0" w:color="auto"/>
        <w:left w:val="none" w:sz="0" w:space="0" w:color="auto"/>
        <w:bottom w:val="none" w:sz="0" w:space="0" w:color="auto"/>
        <w:right w:val="none" w:sz="0" w:space="0" w:color="auto"/>
      </w:divBdr>
    </w:div>
    <w:div w:id="572930726">
      <w:bodyDiv w:val="1"/>
      <w:marLeft w:val="0"/>
      <w:marRight w:val="0"/>
      <w:marTop w:val="0"/>
      <w:marBottom w:val="0"/>
      <w:divBdr>
        <w:top w:val="none" w:sz="0" w:space="0" w:color="auto"/>
        <w:left w:val="none" w:sz="0" w:space="0" w:color="auto"/>
        <w:bottom w:val="none" w:sz="0" w:space="0" w:color="auto"/>
        <w:right w:val="none" w:sz="0" w:space="0" w:color="auto"/>
      </w:divBdr>
    </w:div>
    <w:div w:id="572931045">
      <w:bodyDiv w:val="1"/>
      <w:marLeft w:val="0"/>
      <w:marRight w:val="0"/>
      <w:marTop w:val="0"/>
      <w:marBottom w:val="0"/>
      <w:divBdr>
        <w:top w:val="none" w:sz="0" w:space="0" w:color="auto"/>
        <w:left w:val="none" w:sz="0" w:space="0" w:color="auto"/>
        <w:bottom w:val="none" w:sz="0" w:space="0" w:color="auto"/>
        <w:right w:val="none" w:sz="0" w:space="0" w:color="auto"/>
      </w:divBdr>
    </w:div>
    <w:div w:id="574361759">
      <w:bodyDiv w:val="1"/>
      <w:marLeft w:val="0"/>
      <w:marRight w:val="0"/>
      <w:marTop w:val="0"/>
      <w:marBottom w:val="0"/>
      <w:divBdr>
        <w:top w:val="none" w:sz="0" w:space="0" w:color="auto"/>
        <w:left w:val="none" w:sz="0" w:space="0" w:color="auto"/>
        <w:bottom w:val="none" w:sz="0" w:space="0" w:color="auto"/>
        <w:right w:val="none" w:sz="0" w:space="0" w:color="auto"/>
      </w:divBdr>
    </w:div>
    <w:div w:id="574777716">
      <w:bodyDiv w:val="1"/>
      <w:marLeft w:val="0"/>
      <w:marRight w:val="0"/>
      <w:marTop w:val="0"/>
      <w:marBottom w:val="0"/>
      <w:divBdr>
        <w:top w:val="none" w:sz="0" w:space="0" w:color="auto"/>
        <w:left w:val="none" w:sz="0" w:space="0" w:color="auto"/>
        <w:bottom w:val="none" w:sz="0" w:space="0" w:color="auto"/>
        <w:right w:val="none" w:sz="0" w:space="0" w:color="auto"/>
      </w:divBdr>
    </w:div>
    <w:div w:id="575171255">
      <w:bodyDiv w:val="1"/>
      <w:marLeft w:val="0"/>
      <w:marRight w:val="0"/>
      <w:marTop w:val="0"/>
      <w:marBottom w:val="0"/>
      <w:divBdr>
        <w:top w:val="none" w:sz="0" w:space="0" w:color="auto"/>
        <w:left w:val="none" w:sz="0" w:space="0" w:color="auto"/>
        <w:bottom w:val="none" w:sz="0" w:space="0" w:color="auto"/>
        <w:right w:val="none" w:sz="0" w:space="0" w:color="auto"/>
      </w:divBdr>
    </w:div>
    <w:div w:id="575634008">
      <w:bodyDiv w:val="1"/>
      <w:marLeft w:val="0"/>
      <w:marRight w:val="0"/>
      <w:marTop w:val="0"/>
      <w:marBottom w:val="0"/>
      <w:divBdr>
        <w:top w:val="none" w:sz="0" w:space="0" w:color="auto"/>
        <w:left w:val="none" w:sz="0" w:space="0" w:color="auto"/>
        <w:bottom w:val="none" w:sz="0" w:space="0" w:color="auto"/>
        <w:right w:val="none" w:sz="0" w:space="0" w:color="auto"/>
      </w:divBdr>
    </w:div>
    <w:div w:id="576481207">
      <w:bodyDiv w:val="1"/>
      <w:marLeft w:val="0"/>
      <w:marRight w:val="0"/>
      <w:marTop w:val="0"/>
      <w:marBottom w:val="0"/>
      <w:divBdr>
        <w:top w:val="none" w:sz="0" w:space="0" w:color="auto"/>
        <w:left w:val="none" w:sz="0" w:space="0" w:color="auto"/>
        <w:bottom w:val="none" w:sz="0" w:space="0" w:color="auto"/>
        <w:right w:val="none" w:sz="0" w:space="0" w:color="auto"/>
      </w:divBdr>
    </w:div>
    <w:div w:id="578635504">
      <w:bodyDiv w:val="1"/>
      <w:marLeft w:val="0"/>
      <w:marRight w:val="0"/>
      <w:marTop w:val="0"/>
      <w:marBottom w:val="0"/>
      <w:divBdr>
        <w:top w:val="none" w:sz="0" w:space="0" w:color="auto"/>
        <w:left w:val="none" w:sz="0" w:space="0" w:color="auto"/>
        <w:bottom w:val="none" w:sz="0" w:space="0" w:color="auto"/>
        <w:right w:val="none" w:sz="0" w:space="0" w:color="auto"/>
      </w:divBdr>
    </w:div>
    <w:div w:id="579098804">
      <w:bodyDiv w:val="1"/>
      <w:marLeft w:val="0"/>
      <w:marRight w:val="0"/>
      <w:marTop w:val="0"/>
      <w:marBottom w:val="0"/>
      <w:divBdr>
        <w:top w:val="none" w:sz="0" w:space="0" w:color="auto"/>
        <w:left w:val="none" w:sz="0" w:space="0" w:color="auto"/>
        <w:bottom w:val="none" w:sz="0" w:space="0" w:color="auto"/>
        <w:right w:val="none" w:sz="0" w:space="0" w:color="auto"/>
      </w:divBdr>
    </w:div>
    <w:div w:id="579214370">
      <w:bodyDiv w:val="1"/>
      <w:marLeft w:val="0"/>
      <w:marRight w:val="0"/>
      <w:marTop w:val="0"/>
      <w:marBottom w:val="0"/>
      <w:divBdr>
        <w:top w:val="none" w:sz="0" w:space="0" w:color="auto"/>
        <w:left w:val="none" w:sz="0" w:space="0" w:color="auto"/>
        <w:bottom w:val="none" w:sz="0" w:space="0" w:color="auto"/>
        <w:right w:val="none" w:sz="0" w:space="0" w:color="auto"/>
      </w:divBdr>
    </w:div>
    <w:div w:id="580482465">
      <w:bodyDiv w:val="1"/>
      <w:marLeft w:val="0"/>
      <w:marRight w:val="0"/>
      <w:marTop w:val="0"/>
      <w:marBottom w:val="0"/>
      <w:divBdr>
        <w:top w:val="none" w:sz="0" w:space="0" w:color="auto"/>
        <w:left w:val="none" w:sz="0" w:space="0" w:color="auto"/>
        <w:bottom w:val="none" w:sz="0" w:space="0" w:color="auto"/>
        <w:right w:val="none" w:sz="0" w:space="0" w:color="auto"/>
      </w:divBdr>
    </w:div>
    <w:div w:id="580792350">
      <w:bodyDiv w:val="1"/>
      <w:marLeft w:val="0"/>
      <w:marRight w:val="0"/>
      <w:marTop w:val="0"/>
      <w:marBottom w:val="0"/>
      <w:divBdr>
        <w:top w:val="none" w:sz="0" w:space="0" w:color="auto"/>
        <w:left w:val="none" w:sz="0" w:space="0" w:color="auto"/>
        <w:bottom w:val="none" w:sz="0" w:space="0" w:color="auto"/>
        <w:right w:val="none" w:sz="0" w:space="0" w:color="auto"/>
      </w:divBdr>
    </w:div>
    <w:div w:id="580985470">
      <w:bodyDiv w:val="1"/>
      <w:marLeft w:val="0"/>
      <w:marRight w:val="0"/>
      <w:marTop w:val="0"/>
      <w:marBottom w:val="0"/>
      <w:divBdr>
        <w:top w:val="none" w:sz="0" w:space="0" w:color="auto"/>
        <w:left w:val="none" w:sz="0" w:space="0" w:color="auto"/>
        <w:bottom w:val="none" w:sz="0" w:space="0" w:color="auto"/>
        <w:right w:val="none" w:sz="0" w:space="0" w:color="auto"/>
      </w:divBdr>
    </w:div>
    <w:div w:id="581841069">
      <w:bodyDiv w:val="1"/>
      <w:marLeft w:val="0"/>
      <w:marRight w:val="0"/>
      <w:marTop w:val="0"/>
      <w:marBottom w:val="0"/>
      <w:divBdr>
        <w:top w:val="none" w:sz="0" w:space="0" w:color="auto"/>
        <w:left w:val="none" w:sz="0" w:space="0" w:color="auto"/>
        <w:bottom w:val="none" w:sz="0" w:space="0" w:color="auto"/>
        <w:right w:val="none" w:sz="0" w:space="0" w:color="auto"/>
      </w:divBdr>
    </w:div>
    <w:div w:id="582226385">
      <w:bodyDiv w:val="1"/>
      <w:marLeft w:val="0"/>
      <w:marRight w:val="0"/>
      <w:marTop w:val="0"/>
      <w:marBottom w:val="0"/>
      <w:divBdr>
        <w:top w:val="none" w:sz="0" w:space="0" w:color="auto"/>
        <w:left w:val="none" w:sz="0" w:space="0" w:color="auto"/>
        <w:bottom w:val="none" w:sz="0" w:space="0" w:color="auto"/>
        <w:right w:val="none" w:sz="0" w:space="0" w:color="auto"/>
      </w:divBdr>
    </w:div>
    <w:div w:id="582295882">
      <w:bodyDiv w:val="1"/>
      <w:marLeft w:val="0"/>
      <w:marRight w:val="0"/>
      <w:marTop w:val="0"/>
      <w:marBottom w:val="0"/>
      <w:divBdr>
        <w:top w:val="none" w:sz="0" w:space="0" w:color="auto"/>
        <w:left w:val="none" w:sz="0" w:space="0" w:color="auto"/>
        <w:bottom w:val="none" w:sz="0" w:space="0" w:color="auto"/>
        <w:right w:val="none" w:sz="0" w:space="0" w:color="auto"/>
      </w:divBdr>
    </w:div>
    <w:div w:id="583146307">
      <w:bodyDiv w:val="1"/>
      <w:marLeft w:val="0"/>
      <w:marRight w:val="0"/>
      <w:marTop w:val="0"/>
      <w:marBottom w:val="0"/>
      <w:divBdr>
        <w:top w:val="none" w:sz="0" w:space="0" w:color="auto"/>
        <w:left w:val="none" w:sz="0" w:space="0" w:color="auto"/>
        <w:bottom w:val="none" w:sz="0" w:space="0" w:color="auto"/>
        <w:right w:val="none" w:sz="0" w:space="0" w:color="auto"/>
      </w:divBdr>
    </w:div>
    <w:div w:id="584072207">
      <w:bodyDiv w:val="1"/>
      <w:marLeft w:val="0"/>
      <w:marRight w:val="0"/>
      <w:marTop w:val="0"/>
      <w:marBottom w:val="0"/>
      <w:divBdr>
        <w:top w:val="none" w:sz="0" w:space="0" w:color="auto"/>
        <w:left w:val="none" w:sz="0" w:space="0" w:color="auto"/>
        <w:bottom w:val="none" w:sz="0" w:space="0" w:color="auto"/>
        <w:right w:val="none" w:sz="0" w:space="0" w:color="auto"/>
      </w:divBdr>
    </w:div>
    <w:div w:id="586111432">
      <w:bodyDiv w:val="1"/>
      <w:marLeft w:val="0"/>
      <w:marRight w:val="0"/>
      <w:marTop w:val="0"/>
      <w:marBottom w:val="0"/>
      <w:divBdr>
        <w:top w:val="none" w:sz="0" w:space="0" w:color="auto"/>
        <w:left w:val="none" w:sz="0" w:space="0" w:color="auto"/>
        <w:bottom w:val="none" w:sz="0" w:space="0" w:color="auto"/>
        <w:right w:val="none" w:sz="0" w:space="0" w:color="auto"/>
      </w:divBdr>
    </w:div>
    <w:div w:id="586118337">
      <w:bodyDiv w:val="1"/>
      <w:marLeft w:val="0"/>
      <w:marRight w:val="0"/>
      <w:marTop w:val="0"/>
      <w:marBottom w:val="0"/>
      <w:divBdr>
        <w:top w:val="none" w:sz="0" w:space="0" w:color="auto"/>
        <w:left w:val="none" w:sz="0" w:space="0" w:color="auto"/>
        <w:bottom w:val="none" w:sz="0" w:space="0" w:color="auto"/>
        <w:right w:val="none" w:sz="0" w:space="0" w:color="auto"/>
      </w:divBdr>
    </w:div>
    <w:div w:id="587663169">
      <w:bodyDiv w:val="1"/>
      <w:marLeft w:val="0"/>
      <w:marRight w:val="0"/>
      <w:marTop w:val="0"/>
      <w:marBottom w:val="0"/>
      <w:divBdr>
        <w:top w:val="none" w:sz="0" w:space="0" w:color="auto"/>
        <w:left w:val="none" w:sz="0" w:space="0" w:color="auto"/>
        <w:bottom w:val="none" w:sz="0" w:space="0" w:color="auto"/>
        <w:right w:val="none" w:sz="0" w:space="0" w:color="auto"/>
      </w:divBdr>
    </w:div>
    <w:div w:id="589513012">
      <w:bodyDiv w:val="1"/>
      <w:marLeft w:val="0"/>
      <w:marRight w:val="0"/>
      <w:marTop w:val="0"/>
      <w:marBottom w:val="0"/>
      <w:divBdr>
        <w:top w:val="none" w:sz="0" w:space="0" w:color="auto"/>
        <w:left w:val="none" w:sz="0" w:space="0" w:color="auto"/>
        <w:bottom w:val="none" w:sz="0" w:space="0" w:color="auto"/>
        <w:right w:val="none" w:sz="0" w:space="0" w:color="auto"/>
      </w:divBdr>
    </w:div>
    <w:div w:id="590699520">
      <w:bodyDiv w:val="1"/>
      <w:marLeft w:val="0"/>
      <w:marRight w:val="0"/>
      <w:marTop w:val="0"/>
      <w:marBottom w:val="0"/>
      <w:divBdr>
        <w:top w:val="none" w:sz="0" w:space="0" w:color="auto"/>
        <w:left w:val="none" w:sz="0" w:space="0" w:color="auto"/>
        <w:bottom w:val="none" w:sz="0" w:space="0" w:color="auto"/>
        <w:right w:val="none" w:sz="0" w:space="0" w:color="auto"/>
      </w:divBdr>
    </w:div>
    <w:div w:id="592856020">
      <w:bodyDiv w:val="1"/>
      <w:marLeft w:val="0"/>
      <w:marRight w:val="0"/>
      <w:marTop w:val="0"/>
      <w:marBottom w:val="0"/>
      <w:divBdr>
        <w:top w:val="none" w:sz="0" w:space="0" w:color="auto"/>
        <w:left w:val="none" w:sz="0" w:space="0" w:color="auto"/>
        <w:bottom w:val="none" w:sz="0" w:space="0" w:color="auto"/>
        <w:right w:val="none" w:sz="0" w:space="0" w:color="auto"/>
      </w:divBdr>
    </w:div>
    <w:div w:id="593710173">
      <w:bodyDiv w:val="1"/>
      <w:marLeft w:val="0"/>
      <w:marRight w:val="0"/>
      <w:marTop w:val="0"/>
      <w:marBottom w:val="0"/>
      <w:divBdr>
        <w:top w:val="none" w:sz="0" w:space="0" w:color="auto"/>
        <w:left w:val="none" w:sz="0" w:space="0" w:color="auto"/>
        <w:bottom w:val="none" w:sz="0" w:space="0" w:color="auto"/>
        <w:right w:val="none" w:sz="0" w:space="0" w:color="auto"/>
      </w:divBdr>
    </w:div>
    <w:div w:id="596985181">
      <w:bodyDiv w:val="1"/>
      <w:marLeft w:val="0"/>
      <w:marRight w:val="0"/>
      <w:marTop w:val="0"/>
      <w:marBottom w:val="0"/>
      <w:divBdr>
        <w:top w:val="none" w:sz="0" w:space="0" w:color="auto"/>
        <w:left w:val="none" w:sz="0" w:space="0" w:color="auto"/>
        <w:bottom w:val="none" w:sz="0" w:space="0" w:color="auto"/>
        <w:right w:val="none" w:sz="0" w:space="0" w:color="auto"/>
      </w:divBdr>
    </w:div>
    <w:div w:id="597296922">
      <w:bodyDiv w:val="1"/>
      <w:marLeft w:val="0"/>
      <w:marRight w:val="0"/>
      <w:marTop w:val="0"/>
      <w:marBottom w:val="0"/>
      <w:divBdr>
        <w:top w:val="none" w:sz="0" w:space="0" w:color="auto"/>
        <w:left w:val="none" w:sz="0" w:space="0" w:color="auto"/>
        <w:bottom w:val="none" w:sz="0" w:space="0" w:color="auto"/>
        <w:right w:val="none" w:sz="0" w:space="0" w:color="auto"/>
      </w:divBdr>
    </w:div>
    <w:div w:id="597448175">
      <w:bodyDiv w:val="1"/>
      <w:marLeft w:val="0"/>
      <w:marRight w:val="0"/>
      <w:marTop w:val="0"/>
      <w:marBottom w:val="0"/>
      <w:divBdr>
        <w:top w:val="none" w:sz="0" w:space="0" w:color="auto"/>
        <w:left w:val="none" w:sz="0" w:space="0" w:color="auto"/>
        <w:bottom w:val="none" w:sz="0" w:space="0" w:color="auto"/>
        <w:right w:val="none" w:sz="0" w:space="0" w:color="auto"/>
      </w:divBdr>
    </w:div>
    <w:div w:id="597519843">
      <w:bodyDiv w:val="1"/>
      <w:marLeft w:val="0"/>
      <w:marRight w:val="0"/>
      <w:marTop w:val="0"/>
      <w:marBottom w:val="0"/>
      <w:divBdr>
        <w:top w:val="none" w:sz="0" w:space="0" w:color="auto"/>
        <w:left w:val="none" w:sz="0" w:space="0" w:color="auto"/>
        <w:bottom w:val="none" w:sz="0" w:space="0" w:color="auto"/>
        <w:right w:val="none" w:sz="0" w:space="0" w:color="auto"/>
      </w:divBdr>
    </w:div>
    <w:div w:id="597760848">
      <w:bodyDiv w:val="1"/>
      <w:marLeft w:val="0"/>
      <w:marRight w:val="0"/>
      <w:marTop w:val="0"/>
      <w:marBottom w:val="0"/>
      <w:divBdr>
        <w:top w:val="none" w:sz="0" w:space="0" w:color="auto"/>
        <w:left w:val="none" w:sz="0" w:space="0" w:color="auto"/>
        <w:bottom w:val="none" w:sz="0" w:space="0" w:color="auto"/>
        <w:right w:val="none" w:sz="0" w:space="0" w:color="auto"/>
      </w:divBdr>
    </w:div>
    <w:div w:id="598219121">
      <w:bodyDiv w:val="1"/>
      <w:marLeft w:val="0"/>
      <w:marRight w:val="0"/>
      <w:marTop w:val="0"/>
      <w:marBottom w:val="0"/>
      <w:divBdr>
        <w:top w:val="none" w:sz="0" w:space="0" w:color="auto"/>
        <w:left w:val="none" w:sz="0" w:space="0" w:color="auto"/>
        <w:bottom w:val="none" w:sz="0" w:space="0" w:color="auto"/>
        <w:right w:val="none" w:sz="0" w:space="0" w:color="auto"/>
      </w:divBdr>
    </w:div>
    <w:div w:id="599335272">
      <w:bodyDiv w:val="1"/>
      <w:marLeft w:val="0"/>
      <w:marRight w:val="0"/>
      <w:marTop w:val="0"/>
      <w:marBottom w:val="0"/>
      <w:divBdr>
        <w:top w:val="none" w:sz="0" w:space="0" w:color="auto"/>
        <w:left w:val="none" w:sz="0" w:space="0" w:color="auto"/>
        <w:bottom w:val="none" w:sz="0" w:space="0" w:color="auto"/>
        <w:right w:val="none" w:sz="0" w:space="0" w:color="auto"/>
      </w:divBdr>
    </w:div>
    <w:div w:id="599721182">
      <w:bodyDiv w:val="1"/>
      <w:marLeft w:val="0"/>
      <w:marRight w:val="0"/>
      <w:marTop w:val="0"/>
      <w:marBottom w:val="0"/>
      <w:divBdr>
        <w:top w:val="none" w:sz="0" w:space="0" w:color="auto"/>
        <w:left w:val="none" w:sz="0" w:space="0" w:color="auto"/>
        <w:bottom w:val="none" w:sz="0" w:space="0" w:color="auto"/>
        <w:right w:val="none" w:sz="0" w:space="0" w:color="auto"/>
      </w:divBdr>
    </w:div>
    <w:div w:id="600182581">
      <w:bodyDiv w:val="1"/>
      <w:marLeft w:val="0"/>
      <w:marRight w:val="0"/>
      <w:marTop w:val="0"/>
      <w:marBottom w:val="0"/>
      <w:divBdr>
        <w:top w:val="none" w:sz="0" w:space="0" w:color="auto"/>
        <w:left w:val="none" w:sz="0" w:space="0" w:color="auto"/>
        <w:bottom w:val="none" w:sz="0" w:space="0" w:color="auto"/>
        <w:right w:val="none" w:sz="0" w:space="0" w:color="auto"/>
      </w:divBdr>
    </w:div>
    <w:div w:id="600264520">
      <w:bodyDiv w:val="1"/>
      <w:marLeft w:val="0"/>
      <w:marRight w:val="0"/>
      <w:marTop w:val="0"/>
      <w:marBottom w:val="0"/>
      <w:divBdr>
        <w:top w:val="none" w:sz="0" w:space="0" w:color="auto"/>
        <w:left w:val="none" w:sz="0" w:space="0" w:color="auto"/>
        <w:bottom w:val="none" w:sz="0" w:space="0" w:color="auto"/>
        <w:right w:val="none" w:sz="0" w:space="0" w:color="auto"/>
      </w:divBdr>
    </w:div>
    <w:div w:id="600378847">
      <w:bodyDiv w:val="1"/>
      <w:marLeft w:val="0"/>
      <w:marRight w:val="0"/>
      <w:marTop w:val="0"/>
      <w:marBottom w:val="0"/>
      <w:divBdr>
        <w:top w:val="none" w:sz="0" w:space="0" w:color="auto"/>
        <w:left w:val="none" w:sz="0" w:space="0" w:color="auto"/>
        <w:bottom w:val="none" w:sz="0" w:space="0" w:color="auto"/>
        <w:right w:val="none" w:sz="0" w:space="0" w:color="auto"/>
      </w:divBdr>
    </w:div>
    <w:div w:id="601185012">
      <w:bodyDiv w:val="1"/>
      <w:marLeft w:val="0"/>
      <w:marRight w:val="0"/>
      <w:marTop w:val="0"/>
      <w:marBottom w:val="0"/>
      <w:divBdr>
        <w:top w:val="none" w:sz="0" w:space="0" w:color="auto"/>
        <w:left w:val="none" w:sz="0" w:space="0" w:color="auto"/>
        <w:bottom w:val="none" w:sz="0" w:space="0" w:color="auto"/>
        <w:right w:val="none" w:sz="0" w:space="0" w:color="auto"/>
      </w:divBdr>
    </w:div>
    <w:div w:id="601186478">
      <w:bodyDiv w:val="1"/>
      <w:marLeft w:val="0"/>
      <w:marRight w:val="0"/>
      <w:marTop w:val="0"/>
      <w:marBottom w:val="0"/>
      <w:divBdr>
        <w:top w:val="none" w:sz="0" w:space="0" w:color="auto"/>
        <w:left w:val="none" w:sz="0" w:space="0" w:color="auto"/>
        <w:bottom w:val="none" w:sz="0" w:space="0" w:color="auto"/>
        <w:right w:val="none" w:sz="0" w:space="0" w:color="auto"/>
      </w:divBdr>
    </w:div>
    <w:div w:id="601650488">
      <w:bodyDiv w:val="1"/>
      <w:marLeft w:val="0"/>
      <w:marRight w:val="0"/>
      <w:marTop w:val="0"/>
      <w:marBottom w:val="0"/>
      <w:divBdr>
        <w:top w:val="none" w:sz="0" w:space="0" w:color="auto"/>
        <w:left w:val="none" w:sz="0" w:space="0" w:color="auto"/>
        <w:bottom w:val="none" w:sz="0" w:space="0" w:color="auto"/>
        <w:right w:val="none" w:sz="0" w:space="0" w:color="auto"/>
      </w:divBdr>
    </w:div>
    <w:div w:id="603878480">
      <w:bodyDiv w:val="1"/>
      <w:marLeft w:val="0"/>
      <w:marRight w:val="0"/>
      <w:marTop w:val="0"/>
      <w:marBottom w:val="0"/>
      <w:divBdr>
        <w:top w:val="none" w:sz="0" w:space="0" w:color="auto"/>
        <w:left w:val="none" w:sz="0" w:space="0" w:color="auto"/>
        <w:bottom w:val="none" w:sz="0" w:space="0" w:color="auto"/>
        <w:right w:val="none" w:sz="0" w:space="0" w:color="auto"/>
      </w:divBdr>
    </w:div>
    <w:div w:id="604117664">
      <w:bodyDiv w:val="1"/>
      <w:marLeft w:val="0"/>
      <w:marRight w:val="0"/>
      <w:marTop w:val="0"/>
      <w:marBottom w:val="0"/>
      <w:divBdr>
        <w:top w:val="none" w:sz="0" w:space="0" w:color="auto"/>
        <w:left w:val="none" w:sz="0" w:space="0" w:color="auto"/>
        <w:bottom w:val="none" w:sz="0" w:space="0" w:color="auto"/>
        <w:right w:val="none" w:sz="0" w:space="0" w:color="auto"/>
      </w:divBdr>
    </w:div>
    <w:div w:id="604387034">
      <w:bodyDiv w:val="1"/>
      <w:marLeft w:val="0"/>
      <w:marRight w:val="0"/>
      <w:marTop w:val="0"/>
      <w:marBottom w:val="0"/>
      <w:divBdr>
        <w:top w:val="none" w:sz="0" w:space="0" w:color="auto"/>
        <w:left w:val="none" w:sz="0" w:space="0" w:color="auto"/>
        <w:bottom w:val="none" w:sz="0" w:space="0" w:color="auto"/>
        <w:right w:val="none" w:sz="0" w:space="0" w:color="auto"/>
      </w:divBdr>
    </w:div>
    <w:div w:id="604390064">
      <w:bodyDiv w:val="1"/>
      <w:marLeft w:val="0"/>
      <w:marRight w:val="0"/>
      <w:marTop w:val="0"/>
      <w:marBottom w:val="0"/>
      <w:divBdr>
        <w:top w:val="none" w:sz="0" w:space="0" w:color="auto"/>
        <w:left w:val="none" w:sz="0" w:space="0" w:color="auto"/>
        <w:bottom w:val="none" w:sz="0" w:space="0" w:color="auto"/>
        <w:right w:val="none" w:sz="0" w:space="0" w:color="auto"/>
      </w:divBdr>
    </w:div>
    <w:div w:id="604731065">
      <w:bodyDiv w:val="1"/>
      <w:marLeft w:val="0"/>
      <w:marRight w:val="0"/>
      <w:marTop w:val="0"/>
      <w:marBottom w:val="0"/>
      <w:divBdr>
        <w:top w:val="none" w:sz="0" w:space="0" w:color="auto"/>
        <w:left w:val="none" w:sz="0" w:space="0" w:color="auto"/>
        <w:bottom w:val="none" w:sz="0" w:space="0" w:color="auto"/>
        <w:right w:val="none" w:sz="0" w:space="0" w:color="auto"/>
      </w:divBdr>
    </w:div>
    <w:div w:id="606037300">
      <w:bodyDiv w:val="1"/>
      <w:marLeft w:val="0"/>
      <w:marRight w:val="0"/>
      <w:marTop w:val="0"/>
      <w:marBottom w:val="0"/>
      <w:divBdr>
        <w:top w:val="none" w:sz="0" w:space="0" w:color="auto"/>
        <w:left w:val="none" w:sz="0" w:space="0" w:color="auto"/>
        <w:bottom w:val="none" w:sz="0" w:space="0" w:color="auto"/>
        <w:right w:val="none" w:sz="0" w:space="0" w:color="auto"/>
      </w:divBdr>
    </w:div>
    <w:div w:id="606815446">
      <w:bodyDiv w:val="1"/>
      <w:marLeft w:val="0"/>
      <w:marRight w:val="0"/>
      <w:marTop w:val="0"/>
      <w:marBottom w:val="0"/>
      <w:divBdr>
        <w:top w:val="none" w:sz="0" w:space="0" w:color="auto"/>
        <w:left w:val="none" w:sz="0" w:space="0" w:color="auto"/>
        <w:bottom w:val="none" w:sz="0" w:space="0" w:color="auto"/>
        <w:right w:val="none" w:sz="0" w:space="0" w:color="auto"/>
      </w:divBdr>
    </w:div>
    <w:div w:id="606817172">
      <w:bodyDiv w:val="1"/>
      <w:marLeft w:val="0"/>
      <w:marRight w:val="0"/>
      <w:marTop w:val="0"/>
      <w:marBottom w:val="0"/>
      <w:divBdr>
        <w:top w:val="none" w:sz="0" w:space="0" w:color="auto"/>
        <w:left w:val="none" w:sz="0" w:space="0" w:color="auto"/>
        <w:bottom w:val="none" w:sz="0" w:space="0" w:color="auto"/>
        <w:right w:val="none" w:sz="0" w:space="0" w:color="auto"/>
      </w:divBdr>
    </w:div>
    <w:div w:id="607737866">
      <w:bodyDiv w:val="1"/>
      <w:marLeft w:val="0"/>
      <w:marRight w:val="0"/>
      <w:marTop w:val="0"/>
      <w:marBottom w:val="0"/>
      <w:divBdr>
        <w:top w:val="none" w:sz="0" w:space="0" w:color="auto"/>
        <w:left w:val="none" w:sz="0" w:space="0" w:color="auto"/>
        <w:bottom w:val="none" w:sz="0" w:space="0" w:color="auto"/>
        <w:right w:val="none" w:sz="0" w:space="0" w:color="auto"/>
      </w:divBdr>
    </w:div>
    <w:div w:id="607859000">
      <w:bodyDiv w:val="1"/>
      <w:marLeft w:val="0"/>
      <w:marRight w:val="0"/>
      <w:marTop w:val="0"/>
      <w:marBottom w:val="0"/>
      <w:divBdr>
        <w:top w:val="none" w:sz="0" w:space="0" w:color="auto"/>
        <w:left w:val="none" w:sz="0" w:space="0" w:color="auto"/>
        <w:bottom w:val="none" w:sz="0" w:space="0" w:color="auto"/>
        <w:right w:val="none" w:sz="0" w:space="0" w:color="auto"/>
      </w:divBdr>
    </w:div>
    <w:div w:id="608590707">
      <w:bodyDiv w:val="1"/>
      <w:marLeft w:val="0"/>
      <w:marRight w:val="0"/>
      <w:marTop w:val="0"/>
      <w:marBottom w:val="0"/>
      <w:divBdr>
        <w:top w:val="none" w:sz="0" w:space="0" w:color="auto"/>
        <w:left w:val="none" w:sz="0" w:space="0" w:color="auto"/>
        <w:bottom w:val="none" w:sz="0" w:space="0" w:color="auto"/>
        <w:right w:val="none" w:sz="0" w:space="0" w:color="auto"/>
      </w:divBdr>
    </w:div>
    <w:div w:id="609554804">
      <w:bodyDiv w:val="1"/>
      <w:marLeft w:val="0"/>
      <w:marRight w:val="0"/>
      <w:marTop w:val="0"/>
      <w:marBottom w:val="0"/>
      <w:divBdr>
        <w:top w:val="none" w:sz="0" w:space="0" w:color="auto"/>
        <w:left w:val="none" w:sz="0" w:space="0" w:color="auto"/>
        <w:bottom w:val="none" w:sz="0" w:space="0" w:color="auto"/>
        <w:right w:val="none" w:sz="0" w:space="0" w:color="auto"/>
      </w:divBdr>
    </w:div>
    <w:div w:id="610013306">
      <w:bodyDiv w:val="1"/>
      <w:marLeft w:val="0"/>
      <w:marRight w:val="0"/>
      <w:marTop w:val="0"/>
      <w:marBottom w:val="0"/>
      <w:divBdr>
        <w:top w:val="none" w:sz="0" w:space="0" w:color="auto"/>
        <w:left w:val="none" w:sz="0" w:space="0" w:color="auto"/>
        <w:bottom w:val="none" w:sz="0" w:space="0" w:color="auto"/>
        <w:right w:val="none" w:sz="0" w:space="0" w:color="auto"/>
      </w:divBdr>
    </w:div>
    <w:div w:id="610552655">
      <w:bodyDiv w:val="1"/>
      <w:marLeft w:val="0"/>
      <w:marRight w:val="0"/>
      <w:marTop w:val="0"/>
      <w:marBottom w:val="0"/>
      <w:divBdr>
        <w:top w:val="none" w:sz="0" w:space="0" w:color="auto"/>
        <w:left w:val="none" w:sz="0" w:space="0" w:color="auto"/>
        <w:bottom w:val="none" w:sz="0" w:space="0" w:color="auto"/>
        <w:right w:val="none" w:sz="0" w:space="0" w:color="auto"/>
      </w:divBdr>
    </w:div>
    <w:div w:id="610628863">
      <w:bodyDiv w:val="1"/>
      <w:marLeft w:val="0"/>
      <w:marRight w:val="0"/>
      <w:marTop w:val="0"/>
      <w:marBottom w:val="0"/>
      <w:divBdr>
        <w:top w:val="none" w:sz="0" w:space="0" w:color="auto"/>
        <w:left w:val="none" w:sz="0" w:space="0" w:color="auto"/>
        <w:bottom w:val="none" w:sz="0" w:space="0" w:color="auto"/>
        <w:right w:val="none" w:sz="0" w:space="0" w:color="auto"/>
      </w:divBdr>
    </w:div>
    <w:div w:id="610745959">
      <w:bodyDiv w:val="1"/>
      <w:marLeft w:val="0"/>
      <w:marRight w:val="0"/>
      <w:marTop w:val="0"/>
      <w:marBottom w:val="0"/>
      <w:divBdr>
        <w:top w:val="none" w:sz="0" w:space="0" w:color="auto"/>
        <w:left w:val="none" w:sz="0" w:space="0" w:color="auto"/>
        <w:bottom w:val="none" w:sz="0" w:space="0" w:color="auto"/>
        <w:right w:val="none" w:sz="0" w:space="0" w:color="auto"/>
      </w:divBdr>
    </w:div>
    <w:div w:id="611058279">
      <w:bodyDiv w:val="1"/>
      <w:marLeft w:val="0"/>
      <w:marRight w:val="0"/>
      <w:marTop w:val="0"/>
      <w:marBottom w:val="0"/>
      <w:divBdr>
        <w:top w:val="none" w:sz="0" w:space="0" w:color="auto"/>
        <w:left w:val="none" w:sz="0" w:space="0" w:color="auto"/>
        <w:bottom w:val="none" w:sz="0" w:space="0" w:color="auto"/>
        <w:right w:val="none" w:sz="0" w:space="0" w:color="auto"/>
      </w:divBdr>
    </w:div>
    <w:div w:id="611285116">
      <w:bodyDiv w:val="1"/>
      <w:marLeft w:val="0"/>
      <w:marRight w:val="0"/>
      <w:marTop w:val="0"/>
      <w:marBottom w:val="0"/>
      <w:divBdr>
        <w:top w:val="none" w:sz="0" w:space="0" w:color="auto"/>
        <w:left w:val="none" w:sz="0" w:space="0" w:color="auto"/>
        <w:bottom w:val="none" w:sz="0" w:space="0" w:color="auto"/>
        <w:right w:val="none" w:sz="0" w:space="0" w:color="auto"/>
      </w:divBdr>
    </w:div>
    <w:div w:id="611402620">
      <w:bodyDiv w:val="1"/>
      <w:marLeft w:val="0"/>
      <w:marRight w:val="0"/>
      <w:marTop w:val="0"/>
      <w:marBottom w:val="0"/>
      <w:divBdr>
        <w:top w:val="none" w:sz="0" w:space="0" w:color="auto"/>
        <w:left w:val="none" w:sz="0" w:space="0" w:color="auto"/>
        <w:bottom w:val="none" w:sz="0" w:space="0" w:color="auto"/>
        <w:right w:val="none" w:sz="0" w:space="0" w:color="auto"/>
      </w:divBdr>
    </w:div>
    <w:div w:id="611786921">
      <w:bodyDiv w:val="1"/>
      <w:marLeft w:val="0"/>
      <w:marRight w:val="0"/>
      <w:marTop w:val="0"/>
      <w:marBottom w:val="0"/>
      <w:divBdr>
        <w:top w:val="none" w:sz="0" w:space="0" w:color="auto"/>
        <w:left w:val="none" w:sz="0" w:space="0" w:color="auto"/>
        <w:bottom w:val="none" w:sz="0" w:space="0" w:color="auto"/>
        <w:right w:val="none" w:sz="0" w:space="0" w:color="auto"/>
      </w:divBdr>
    </w:div>
    <w:div w:id="612908143">
      <w:bodyDiv w:val="1"/>
      <w:marLeft w:val="0"/>
      <w:marRight w:val="0"/>
      <w:marTop w:val="0"/>
      <w:marBottom w:val="0"/>
      <w:divBdr>
        <w:top w:val="none" w:sz="0" w:space="0" w:color="auto"/>
        <w:left w:val="none" w:sz="0" w:space="0" w:color="auto"/>
        <w:bottom w:val="none" w:sz="0" w:space="0" w:color="auto"/>
        <w:right w:val="none" w:sz="0" w:space="0" w:color="auto"/>
      </w:divBdr>
    </w:div>
    <w:div w:id="613901372">
      <w:bodyDiv w:val="1"/>
      <w:marLeft w:val="0"/>
      <w:marRight w:val="0"/>
      <w:marTop w:val="0"/>
      <w:marBottom w:val="0"/>
      <w:divBdr>
        <w:top w:val="none" w:sz="0" w:space="0" w:color="auto"/>
        <w:left w:val="none" w:sz="0" w:space="0" w:color="auto"/>
        <w:bottom w:val="none" w:sz="0" w:space="0" w:color="auto"/>
        <w:right w:val="none" w:sz="0" w:space="0" w:color="auto"/>
      </w:divBdr>
    </w:div>
    <w:div w:id="614096616">
      <w:bodyDiv w:val="1"/>
      <w:marLeft w:val="0"/>
      <w:marRight w:val="0"/>
      <w:marTop w:val="0"/>
      <w:marBottom w:val="0"/>
      <w:divBdr>
        <w:top w:val="none" w:sz="0" w:space="0" w:color="auto"/>
        <w:left w:val="none" w:sz="0" w:space="0" w:color="auto"/>
        <w:bottom w:val="none" w:sz="0" w:space="0" w:color="auto"/>
        <w:right w:val="none" w:sz="0" w:space="0" w:color="auto"/>
      </w:divBdr>
    </w:div>
    <w:div w:id="616566521">
      <w:bodyDiv w:val="1"/>
      <w:marLeft w:val="0"/>
      <w:marRight w:val="0"/>
      <w:marTop w:val="0"/>
      <w:marBottom w:val="0"/>
      <w:divBdr>
        <w:top w:val="none" w:sz="0" w:space="0" w:color="auto"/>
        <w:left w:val="none" w:sz="0" w:space="0" w:color="auto"/>
        <w:bottom w:val="none" w:sz="0" w:space="0" w:color="auto"/>
        <w:right w:val="none" w:sz="0" w:space="0" w:color="auto"/>
      </w:divBdr>
    </w:div>
    <w:div w:id="616837791">
      <w:bodyDiv w:val="1"/>
      <w:marLeft w:val="0"/>
      <w:marRight w:val="0"/>
      <w:marTop w:val="0"/>
      <w:marBottom w:val="0"/>
      <w:divBdr>
        <w:top w:val="none" w:sz="0" w:space="0" w:color="auto"/>
        <w:left w:val="none" w:sz="0" w:space="0" w:color="auto"/>
        <w:bottom w:val="none" w:sz="0" w:space="0" w:color="auto"/>
        <w:right w:val="none" w:sz="0" w:space="0" w:color="auto"/>
      </w:divBdr>
    </w:div>
    <w:div w:id="617218548">
      <w:bodyDiv w:val="1"/>
      <w:marLeft w:val="0"/>
      <w:marRight w:val="0"/>
      <w:marTop w:val="0"/>
      <w:marBottom w:val="0"/>
      <w:divBdr>
        <w:top w:val="none" w:sz="0" w:space="0" w:color="auto"/>
        <w:left w:val="none" w:sz="0" w:space="0" w:color="auto"/>
        <w:bottom w:val="none" w:sz="0" w:space="0" w:color="auto"/>
        <w:right w:val="none" w:sz="0" w:space="0" w:color="auto"/>
      </w:divBdr>
    </w:div>
    <w:div w:id="618149296">
      <w:bodyDiv w:val="1"/>
      <w:marLeft w:val="0"/>
      <w:marRight w:val="0"/>
      <w:marTop w:val="0"/>
      <w:marBottom w:val="0"/>
      <w:divBdr>
        <w:top w:val="none" w:sz="0" w:space="0" w:color="auto"/>
        <w:left w:val="none" w:sz="0" w:space="0" w:color="auto"/>
        <w:bottom w:val="none" w:sz="0" w:space="0" w:color="auto"/>
        <w:right w:val="none" w:sz="0" w:space="0" w:color="auto"/>
      </w:divBdr>
    </w:div>
    <w:div w:id="618217540">
      <w:bodyDiv w:val="1"/>
      <w:marLeft w:val="0"/>
      <w:marRight w:val="0"/>
      <w:marTop w:val="0"/>
      <w:marBottom w:val="0"/>
      <w:divBdr>
        <w:top w:val="none" w:sz="0" w:space="0" w:color="auto"/>
        <w:left w:val="none" w:sz="0" w:space="0" w:color="auto"/>
        <w:bottom w:val="none" w:sz="0" w:space="0" w:color="auto"/>
        <w:right w:val="none" w:sz="0" w:space="0" w:color="auto"/>
      </w:divBdr>
    </w:div>
    <w:div w:id="618613579">
      <w:bodyDiv w:val="1"/>
      <w:marLeft w:val="0"/>
      <w:marRight w:val="0"/>
      <w:marTop w:val="0"/>
      <w:marBottom w:val="0"/>
      <w:divBdr>
        <w:top w:val="none" w:sz="0" w:space="0" w:color="auto"/>
        <w:left w:val="none" w:sz="0" w:space="0" w:color="auto"/>
        <w:bottom w:val="none" w:sz="0" w:space="0" w:color="auto"/>
        <w:right w:val="none" w:sz="0" w:space="0" w:color="auto"/>
      </w:divBdr>
    </w:div>
    <w:div w:id="619191057">
      <w:bodyDiv w:val="1"/>
      <w:marLeft w:val="0"/>
      <w:marRight w:val="0"/>
      <w:marTop w:val="0"/>
      <w:marBottom w:val="0"/>
      <w:divBdr>
        <w:top w:val="none" w:sz="0" w:space="0" w:color="auto"/>
        <w:left w:val="none" w:sz="0" w:space="0" w:color="auto"/>
        <w:bottom w:val="none" w:sz="0" w:space="0" w:color="auto"/>
        <w:right w:val="none" w:sz="0" w:space="0" w:color="auto"/>
      </w:divBdr>
    </w:div>
    <w:div w:id="619412431">
      <w:bodyDiv w:val="1"/>
      <w:marLeft w:val="0"/>
      <w:marRight w:val="0"/>
      <w:marTop w:val="0"/>
      <w:marBottom w:val="0"/>
      <w:divBdr>
        <w:top w:val="none" w:sz="0" w:space="0" w:color="auto"/>
        <w:left w:val="none" w:sz="0" w:space="0" w:color="auto"/>
        <w:bottom w:val="none" w:sz="0" w:space="0" w:color="auto"/>
        <w:right w:val="none" w:sz="0" w:space="0" w:color="auto"/>
      </w:divBdr>
    </w:div>
    <w:div w:id="619653987">
      <w:bodyDiv w:val="1"/>
      <w:marLeft w:val="0"/>
      <w:marRight w:val="0"/>
      <w:marTop w:val="0"/>
      <w:marBottom w:val="0"/>
      <w:divBdr>
        <w:top w:val="none" w:sz="0" w:space="0" w:color="auto"/>
        <w:left w:val="none" w:sz="0" w:space="0" w:color="auto"/>
        <w:bottom w:val="none" w:sz="0" w:space="0" w:color="auto"/>
        <w:right w:val="none" w:sz="0" w:space="0" w:color="auto"/>
      </w:divBdr>
    </w:div>
    <w:div w:id="619917606">
      <w:bodyDiv w:val="1"/>
      <w:marLeft w:val="0"/>
      <w:marRight w:val="0"/>
      <w:marTop w:val="0"/>
      <w:marBottom w:val="0"/>
      <w:divBdr>
        <w:top w:val="none" w:sz="0" w:space="0" w:color="auto"/>
        <w:left w:val="none" w:sz="0" w:space="0" w:color="auto"/>
        <w:bottom w:val="none" w:sz="0" w:space="0" w:color="auto"/>
        <w:right w:val="none" w:sz="0" w:space="0" w:color="auto"/>
      </w:divBdr>
    </w:div>
    <w:div w:id="619922672">
      <w:bodyDiv w:val="1"/>
      <w:marLeft w:val="0"/>
      <w:marRight w:val="0"/>
      <w:marTop w:val="0"/>
      <w:marBottom w:val="0"/>
      <w:divBdr>
        <w:top w:val="none" w:sz="0" w:space="0" w:color="auto"/>
        <w:left w:val="none" w:sz="0" w:space="0" w:color="auto"/>
        <w:bottom w:val="none" w:sz="0" w:space="0" w:color="auto"/>
        <w:right w:val="none" w:sz="0" w:space="0" w:color="auto"/>
      </w:divBdr>
    </w:div>
    <w:div w:id="621347676">
      <w:bodyDiv w:val="1"/>
      <w:marLeft w:val="0"/>
      <w:marRight w:val="0"/>
      <w:marTop w:val="0"/>
      <w:marBottom w:val="0"/>
      <w:divBdr>
        <w:top w:val="none" w:sz="0" w:space="0" w:color="auto"/>
        <w:left w:val="none" w:sz="0" w:space="0" w:color="auto"/>
        <w:bottom w:val="none" w:sz="0" w:space="0" w:color="auto"/>
        <w:right w:val="none" w:sz="0" w:space="0" w:color="auto"/>
      </w:divBdr>
    </w:div>
    <w:div w:id="621498549">
      <w:bodyDiv w:val="1"/>
      <w:marLeft w:val="0"/>
      <w:marRight w:val="0"/>
      <w:marTop w:val="0"/>
      <w:marBottom w:val="0"/>
      <w:divBdr>
        <w:top w:val="none" w:sz="0" w:space="0" w:color="auto"/>
        <w:left w:val="none" w:sz="0" w:space="0" w:color="auto"/>
        <w:bottom w:val="none" w:sz="0" w:space="0" w:color="auto"/>
        <w:right w:val="none" w:sz="0" w:space="0" w:color="auto"/>
      </w:divBdr>
    </w:div>
    <w:div w:id="621769290">
      <w:bodyDiv w:val="1"/>
      <w:marLeft w:val="0"/>
      <w:marRight w:val="0"/>
      <w:marTop w:val="0"/>
      <w:marBottom w:val="0"/>
      <w:divBdr>
        <w:top w:val="none" w:sz="0" w:space="0" w:color="auto"/>
        <w:left w:val="none" w:sz="0" w:space="0" w:color="auto"/>
        <w:bottom w:val="none" w:sz="0" w:space="0" w:color="auto"/>
        <w:right w:val="none" w:sz="0" w:space="0" w:color="auto"/>
      </w:divBdr>
    </w:div>
    <w:div w:id="622275188">
      <w:bodyDiv w:val="1"/>
      <w:marLeft w:val="0"/>
      <w:marRight w:val="0"/>
      <w:marTop w:val="0"/>
      <w:marBottom w:val="0"/>
      <w:divBdr>
        <w:top w:val="none" w:sz="0" w:space="0" w:color="auto"/>
        <w:left w:val="none" w:sz="0" w:space="0" w:color="auto"/>
        <w:bottom w:val="none" w:sz="0" w:space="0" w:color="auto"/>
        <w:right w:val="none" w:sz="0" w:space="0" w:color="auto"/>
      </w:divBdr>
    </w:div>
    <w:div w:id="622687572">
      <w:bodyDiv w:val="1"/>
      <w:marLeft w:val="0"/>
      <w:marRight w:val="0"/>
      <w:marTop w:val="0"/>
      <w:marBottom w:val="0"/>
      <w:divBdr>
        <w:top w:val="none" w:sz="0" w:space="0" w:color="auto"/>
        <w:left w:val="none" w:sz="0" w:space="0" w:color="auto"/>
        <w:bottom w:val="none" w:sz="0" w:space="0" w:color="auto"/>
        <w:right w:val="none" w:sz="0" w:space="0" w:color="auto"/>
      </w:divBdr>
    </w:div>
    <w:div w:id="623074769">
      <w:bodyDiv w:val="1"/>
      <w:marLeft w:val="0"/>
      <w:marRight w:val="0"/>
      <w:marTop w:val="0"/>
      <w:marBottom w:val="0"/>
      <w:divBdr>
        <w:top w:val="none" w:sz="0" w:space="0" w:color="auto"/>
        <w:left w:val="none" w:sz="0" w:space="0" w:color="auto"/>
        <w:bottom w:val="none" w:sz="0" w:space="0" w:color="auto"/>
        <w:right w:val="none" w:sz="0" w:space="0" w:color="auto"/>
      </w:divBdr>
    </w:div>
    <w:div w:id="623542163">
      <w:bodyDiv w:val="1"/>
      <w:marLeft w:val="0"/>
      <w:marRight w:val="0"/>
      <w:marTop w:val="0"/>
      <w:marBottom w:val="0"/>
      <w:divBdr>
        <w:top w:val="none" w:sz="0" w:space="0" w:color="auto"/>
        <w:left w:val="none" w:sz="0" w:space="0" w:color="auto"/>
        <w:bottom w:val="none" w:sz="0" w:space="0" w:color="auto"/>
        <w:right w:val="none" w:sz="0" w:space="0" w:color="auto"/>
      </w:divBdr>
    </w:div>
    <w:div w:id="624042597">
      <w:bodyDiv w:val="1"/>
      <w:marLeft w:val="0"/>
      <w:marRight w:val="0"/>
      <w:marTop w:val="0"/>
      <w:marBottom w:val="0"/>
      <w:divBdr>
        <w:top w:val="none" w:sz="0" w:space="0" w:color="auto"/>
        <w:left w:val="none" w:sz="0" w:space="0" w:color="auto"/>
        <w:bottom w:val="none" w:sz="0" w:space="0" w:color="auto"/>
        <w:right w:val="none" w:sz="0" w:space="0" w:color="auto"/>
      </w:divBdr>
    </w:div>
    <w:div w:id="624121868">
      <w:bodyDiv w:val="1"/>
      <w:marLeft w:val="0"/>
      <w:marRight w:val="0"/>
      <w:marTop w:val="0"/>
      <w:marBottom w:val="0"/>
      <w:divBdr>
        <w:top w:val="none" w:sz="0" w:space="0" w:color="auto"/>
        <w:left w:val="none" w:sz="0" w:space="0" w:color="auto"/>
        <w:bottom w:val="none" w:sz="0" w:space="0" w:color="auto"/>
        <w:right w:val="none" w:sz="0" w:space="0" w:color="auto"/>
      </w:divBdr>
    </w:div>
    <w:div w:id="624502427">
      <w:bodyDiv w:val="1"/>
      <w:marLeft w:val="0"/>
      <w:marRight w:val="0"/>
      <w:marTop w:val="0"/>
      <w:marBottom w:val="0"/>
      <w:divBdr>
        <w:top w:val="none" w:sz="0" w:space="0" w:color="auto"/>
        <w:left w:val="none" w:sz="0" w:space="0" w:color="auto"/>
        <w:bottom w:val="none" w:sz="0" w:space="0" w:color="auto"/>
        <w:right w:val="none" w:sz="0" w:space="0" w:color="auto"/>
      </w:divBdr>
    </w:div>
    <w:div w:id="625549384">
      <w:bodyDiv w:val="1"/>
      <w:marLeft w:val="0"/>
      <w:marRight w:val="0"/>
      <w:marTop w:val="0"/>
      <w:marBottom w:val="0"/>
      <w:divBdr>
        <w:top w:val="none" w:sz="0" w:space="0" w:color="auto"/>
        <w:left w:val="none" w:sz="0" w:space="0" w:color="auto"/>
        <w:bottom w:val="none" w:sz="0" w:space="0" w:color="auto"/>
        <w:right w:val="none" w:sz="0" w:space="0" w:color="auto"/>
      </w:divBdr>
    </w:div>
    <w:div w:id="626425775">
      <w:bodyDiv w:val="1"/>
      <w:marLeft w:val="0"/>
      <w:marRight w:val="0"/>
      <w:marTop w:val="0"/>
      <w:marBottom w:val="0"/>
      <w:divBdr>
        <w:top w:val="none" w:sz="0" w:space="0" w:color="auto"/>
        <w:left w:val="none" w:sz="0" w:space="0" w:color="auto"/>
        <w:bottom w:val="none" w:sz="0" w:space="0" w:color="auto"/>
        <w:right w:val="none" w:sz="0" w:space="0" w:color="auto"/>
      </w:divBdr>
    </w:div>
    <w:div w:id="626934517">
      <w:bodyDiv w:val="1"/>
      <w:marLeft w:val="0"/>
      <w:marRight w:val="0"/>
      <w:marTop w:val="0"/>
      <w:marBottom w:val="0"/>
      <w:divBdr>
        <w:top w:val="none" w:sz="0" w:space="0" w:color="auto"/>
        <w:left w:val="none" w:sz="0" w:space="0" w:color="auto"/>
        <w:bottom w:val="none" w:sz="0" w:space="0" w:color="auto"/>
        <w:right w:val="none" w:sz="0" w:space="0" w:color="auto"/>
      </w:divBdr>
    </w:div>
    <w:div w:id="627128155">
      <w:bodyDiv w:val="1"/>
      <w:marLeft w:val="0"/>
      <w:marRight w:val="0"/>
      <w:marTop w:val="0"/>
      <w:marBottom w:val="0"/>
      <w:divBdr>
        <w:top w:val="none" w:sz="0" w:space="0" w:color="auto"/>
        <w:left w:val="none" w:sz="0" w:space="0" w:color="auto"/>
        <w:bottom w:val="none" w:sz="0" w:space="0" w:color="auto"/>
        <w:right w:val="none" w:sz="0" w:space="0" w:color="auto"/>
      </w:divBdr>
    </w:div>
    <w:div w:id="627979274">
      <w:bodyDiv w:val="1"/>
      <w:marLeft w:val="0"/>
      <w:marRight w:val="0"/>
      <w:marTop w:val="0"/>
      <w:marBottom w:val="0"/>
      <w:divBdr>
        <w:top w:val="none" w:sz="0" w:space="0" w:color="auto"/>
        <w:left w:val="none" w:sz="0" w:space="0" w:color="auto"/>
        <w:bottom w:val="none" w:sz="0" w:space="0" w:color="auto"/>
        <w:right w:val="none" w:sz="0" w:space="0" w:color="auto"/>
      </w:divBdr>
    </w:div>
    <w:div w:id="628510612">
      <w:bodyDiv w:val="1"/>
      <w:marLeft w:val="0"/>
      <w:marRight w:val="0"/>
      <w:marTop w:val="0"/>
      <w:marBottom w:val="0"/>
      <w:divBdr>
        <w:top w:val="none" w:sz="0" w:space="0" w:color="auto"/>
        <w:left w:val="none" w:sz="0" w:space="0" w:color="auto"/>
        <w:bottom w:val="none" w:sz="0" w:space="0" w:color="auto"/>
        <w:right w:val="none" w:sz="0" w:space="0" w:color="auto"/>
      </w:divBdr>
    </w:div>
    <w:div w:id="629670046">
      <w:bodyDiv w:val="1"/>
      <w:marLeft w:val="0"/>
      <w:marRight w:val="0"/>
      <w:marTop w:val="0"/>
      <w:marBottom w:val="0"/>
      <w:divBdr>
        <w:top w:val="none" w:sz="0" w:space="0" w:color="auto"/>
        <w:left w:val="none" w:sz="0" w:space="0" w:color="auto"/>
        <w:bottom w:val="none" w:sz="0" w:space="0" w:color="auto"/>
        <w:right w:val="none" w:sz="0" w:space="0" w:color="auto"/>
      </w:divBdr>
    </w:div>
    <w:div w:id="630012417">
      <w:bodyDiv w:val="1"/>
      <w:marLeft w:val="0"/>
      <w:marRight w:val="0"/>
      <w:marTop w:val="0"/>
      <w:marBottom w:val="0"/>
      <w:divBdr>
        <w:top w:val="none" w:sz="0" w:space="0" w:color="auto"/>
        <w:left w:val="none" w:sz="0" w:space="0" w:color="auto"/>
        <w:bottom w:val="none" w:sz="0" w:space="0" w:color="auto"/>
        <w:right w:val="none" w:sz="0" w:space="0" w:color="auto"/>
      </w:divBdr>
    </w:div>
    <w:div w:id="630404272">
      <w:bodyDiv w:val="1"/>
      <w:marLeft w:val="0"/>
      <w:marRight w:val="0"/>
      <w:marTop w:val="0"/>
      <w:marBottom w:val="0"/>
      <w:divBdr>
        <w:top w:val="none" w:sz="0" w:space="0" w:color="auto"/>
        <w:left w:val="none" w:sz="0" w:space="0" w:color="auto"/>
        <w:bottom w:val="none" w:sz="0" w:space="0" w:color="auto"/>
        <w:right w:val="none" w:sz="0" w:space="0" w:color="auto"/>
      </w:divBdr>
    </w:div>
    <w:div w:id="631325750">
      <w:bodyDiv w:val="1"/>
      <w:marLeft w:val="0"/>
      <w:marRight w:val="0"/>
      <w:marTop w:val="0"/>
      <w:marBottom w:val="0"/>
      <w:divBdr>
        <w:top w:val="none" w:sz="0" w:space="0" w:color="auto"/>
        <w:left w:val="none" w:sz="0" w:space="0" w:color="auto"/>
        <w:bottom w:val="none" w:sz="0" w:space="0" w:color="auto"/>
        <w:right w:val="none" w:sz="0" w:space="0" w:color="auto"/>
      </w:divBdr>
    </w:div>
    <w:div w:id="631666902">
      <w:bodyDiv w:val="1"/>
      <w:marLeft w:val="0"/>
      <w:marRight w:val="0"/>
      <w:marTop w:val="0"/>
      <w:marBottom w:val="0"/>
      <w:divBdr>
        <w:top w:val="none" w:sz="0" w:space="0" w:color="auto"/>
        <w:left w:val="none" w:sz="0" w:space="0" w:color="auto"/>
        <w:bottom w:val="none" w:sz="0" w:space="0" w:color="auto"/>
        <w:right w:val="none" w:sz="0" w:space="0" w:color="auto"/>
      </w:divBdr>
    </w:div>
    <w:div w:id="631904192">
      <w:bodyDiv w:val="1"/>
      <w:marLeft w:val="0"/>
      <w:marRight w:val="0"/>
      <w:marTop w:val="0"/>
      <w:marBottom w:val="0"/>
      <w:divBdr>
        <w:top w:val="none" w:sz="0" w:space="0" w:color="auto"/>
        <w:left w:val="none" w:sz="0" w:space="0" w:color="auto"/>
        <w:bottom w:val="none" w:sz="0" w:space="0" w:color="auto"/>
        <w:right w:val="none" w:sz="0" w:space="0" w:color="auto"/>
      </w:divBdr>
    </w:div>
    <w:div w:id="632098676">
      <w:bodyDiv w:val="1"/>
      <w:marLeft w:val="0"/>
      <w:marRight w:val="0"/>
      <w:marTop w:val="0"/>
      <w:marBottom w:val="0"/>
      <w:divBdr>
        <w:top w:val="none" w:sz="0" w:space="0" w:color="auto"/>
        <w:left w:val="none" w:sz="0" w:space="0" w:color="auto"/>
        <w:bottom w:val="none" w:sz="0" w:space="0" w:color="auto"/>
        <w:right w:val="none" w:sz="0" w:space="0" w:color="auto"/>
      </w:divBdr>
    </w:div>
    <w:div w:id="632369581">
      <w:bodyDiv w:val="1"/>
      <w:marLeft w:val="0"/>
      <w:marRight w:val="0"/>
      <w:marTop w:val="0"/>
      <w:marBottom w:val="0"/>
      <w:divBdr>
        <w:top w:val="none" w:sz="0" w:space="0" w:color="auto"/>
        <w:left w:val="none" w:sz="0" w:space="0" w:color="auto"/>
        <w:bottom w:val="none" w:sz="0" w:space="0" w:color="auto"/>
        <w:right w:val="none" w:sz="0" w:space="0" w:color="auto"/>
      </w:divBdr>
    </w:div>
    <w:div w:id="632759706">
      <w:bodyDiv w:val="1"/>
      <w:marLeft w:val="0"/>
      <w:marRight w:val="0"/>
      <w:marTop w:val="0"/>
      <w:marBottom w:val="0"/>
      <w:divBdr>
        <w:top w:val="none" w:sz="0" w:space="0" w:color="auto"/>
        <w:left w:val="none" w:sz="0" w:space="0" w:color="auto"/>
        <w:bottom w:val="none" w:sz="0" w:space="0" w:color="auto"/>
        <w:right w:val="none" w:sz="0" w:space="0" w:color="auto"/>
      </w:divBdr>
    </w:div>
    <w:div w:id="633028581">
      <w:bodyDiv w:val="1"/>
      <w:marLeft w:val="0"/>
      <w:marRight w:val="0"/>
      <w:marTop w:val="0"/>
      <w:marBottom w:val="0"/>
      <w:divBdr>
        <w:top w:val="none" w:sz="0" w:space="0" w:color="auto"/>
        <w:left w:val="none" w:sz="0" w:space="0" w:color="auto"/>
        <w:bottom w:val="none" w:sz="0" w:space="0" w:color="auto"/>
        <w:right w:val="none" w:sz="0" w:space="0" w:color="auto"/>
      </w:divBdr>
    </w:div>
    <w:div w:id="633214736">
      <w:bodyDiv w:val="1"/>
      <w:marLeft w:val="0"/>
      <w:marRight w:val="0"/>
      <w:marTop w:val="0"/>
      <w:marBottom w:val="0"/>
      <w:divBdr>
        <w:top w:val="none" w:sz="0" w:space="0" w:color="auto"/>
        <w:left w:val="none" w:sz="0" w:space="0" w:color="auto"/>
        <w:bottom w:val="none" w:sz="0" w:space="0" w:color="auto"/>
        <w:right w:val="none" w:sz="0" w:space="0" w:color="auto"/>
      </w:divBdr>
    </w:div>
    <w:div w:id="633607418">
      <w:bodyDiv w:val="1"/>
      <w:marLeft w:val="0"/>
      <w:marRight w:val="0"/>
      <w:marTop w:val="0"/>
      <w:marBottom w:val="0"/>
      <w:divBdr>
        <w:top w:val="none" w:sz="0" w:space="0" w:color="auto"/>
        <w:left w:val="none" w:sz="0" w:space="0" w:color="auto"/>
        <w:bottom w:val="none" w:sz="0" w:space="0" w:color="auto"/>
        <w:right w:val="none" w:sz="0" w:space="0" w:color="auto"/>
      </w:divBdr>
    </w:div>
    <w:div w:id="634405925">
      <w:bodyDiv w:val="1"/>
      <w:marLeft w:val="0"/>
      <w:marRight w:val="0"/>
      <w:marTop w:val="0"/>
      <w:marBottom w:val="0"/>
      <w:divBdr>
        <w:top w:val="none" w:sz="0" w:space="0" w:color="auto"/>
        <w:left w:val="none" w:sz="0" w:space="0" w:color="auto"/>
        <w:bottom w:val="none" w:sz="0" w:space="0" w:color="auto"/>
        <w:right w:val="none" w:sz="0" w:space="0" w:color="auto"/>
      </w:divBdr>
    </w:div>
    <w:div w:id="634987653">
      <w:bodyDiv w:val="1"/>
      <w:marLeft w:val="0"/>
      <w:marRight w:val="0"/>
      <w:marTop w:val="0"/>
      <w:marBottom w:val="0"/>
      <w:divBdr>
        <w:top w:val="none" w:sz="0" w:space="0" w:color="auto"/>
        <w:left w:val="none" w:sz="0" w:space="0" w:color="auto"/>
        <w:bottom w:val="none" w:sz="0" w:space="0" w:color="auto"/>
        <w:right w:val="none" w:sz="0" w:space="0" w:color="auto"/>
      </w:divBdr>
    </w:div>
    <w:div w:id="635720703">
      <w:bodyDiv w:val="1"/>
      <w:marLeft w:val="0"/>
      <w:marRight w:val="0"/>
      <w:marTop w:val="0"/>
      <w:marBottom w:val="0"/>
      <w:divBdr>
        <w:top w:val="none" w:sz="0" w:space="0" w:color="auto"/>
        <w:left w:val="none" w:sz="0" w:space="0" w:color="auto"/>
        <w:bottom w:val="none" w:sz="0" w:space="0" w:color="auto"/>
        <w:right w:val="none" w:sz="0" w:space="0" w:color="auto"/>
      </w:divBdr>
    </w:div>
    <w:div w:id="635990398">
      <w:bodyDiv w:val="1"/>
      <w:marLeft w:val="0"/>
      <w:marRight w:val="0"/>
      <w:marTop w:val="0"/>
      <w:marBottom w:val="0"/>
      <w:divBdr>
        <w:top w:val="none" w:sz="0" w:space="0" w:color="auto"/>
        <w:left w:val="none" w:sz="0" w:space="0" w:color="auto"/>
        <w:bottom w:val="none" w:sz="0" w:space="0" w:color="auto"/>
        <w:right w:val="none" w:sz="0" w:space="0" w:color="auto"/>
      </w:divBdr>
    </w:div>
    <w:div w:id="637026975">
      <w:bodyDiv w:val="1"/>
      <w:marLeft w:val="0"/>
      <w:marRight w:val="0"/>
      <w:marTop w:val="0"/>
      <w:marBottom w:val="0"/>
      <w:divBdr>
        <w:top w:val="none" w:sz="0" w:space="0" w:color="auto"/>
        <w:left w:val="none" w:sz="0" w:space="0" w:color="auto"/>
        <w:bottom w:val="none" w:sz="0" w:space="0" w:color="auto"/>
        <w:right w:val="none" w:sz="0" w:space="0" w:color="auto"/>
      </w:divBdr>
    </w:div>
    <w:div w:id="637301112">
      <w:bodyDiv w:val="1"/>
      <w:marLeft w:val="0"/>
      <w:marRight w:val="0"/>
      <w:marTop w:val="0"/>
      <w:marBottom w:val="0"/>
      <w:divBdr>
        <w:top w:val="none" w:sz="0" w:space="0" w:color="auto"/>
        <w:left w:val="none" w:sz="0" w:space="0" w:color="auto"/>
        <w:bottom w:val="none" w:sz="0" w:space="0" w:color="auto"/>
        <w:right w:val="none" w:sz="0" w:space="0" w:color="auto"/>
      </w:divBdr>
    </w:div>
    <w:div w:id="638221382">
      <w:bodyDiv w:val="1"/>
      <w:marLeft w:val="0"/>
      <w:marRight w:val="0"/>
      <w:marTop w:val="0"/>
      <w:marBottom w:val="0"/>
      <w:divBdr>
        <w:top w:val="none" w:sz="0" w:space="0" w:color="auto"/>
        <w:left w:val="none" w:sz="0" w:space="0" w:color="auto"/>
        <w:bottom w:val="none" w:sz="0" w:space="0" w:color="auto"/>
        <w:right w:val="none" w:sz="0" w:space="0" w:color="auto"/>
      </w:divBdr>
    </w:div>
    <w:div w:id="638649816">
      <w:bodyDiv w:val="1"/>
      <w:marLeft w:val="0"/>
      <w:marRight w:val="0"/>
      <w:marTop w:val="0"/>
      <w:marBottom w:val="0"/>
      <w:divBdr>
        <w:top w:val="none" w:sz="0" w:space="0" w:color="auto"/>
        <w:left w:val="none" w:sz="0" w:space="0" w:color="auto"/>
        <w:bottom w:val="none" w:sz="0" w:space="0" w:color="auto"/>
        <w:right w:val="none" w:sz="0" w:space="0" w:color="auto"/>
      </w:divBdr>
    </w:div>
    <w:div w:id="638650593">
      <w:bodyDiv w:val="1"/>
      <w:marLeft w:val="0"/>
      <w:marRight w:val="0"/>
      <w:marTop w:val="0"/>
      <w:marBottom w:val="0"/>
      <w:divBdr>
        <w:top w:val="none" w:sz="0" w:space="0" w:color="auto"/>
        <w:left w:val="none" w:sz="0" w:space="0" w:color="auto"/>
        <w:bottom w:val="none" w:sz="0" w:space="0" w:color="auto"/>
        <w:right w:val="none" w:sz="0" w:space="0" w:color="auto"/>
      </w:divBdr>
    </w:div>
    <w:div w:id="639189321">
      <w:bodyDiv w:val="1"/>
      <w:marLeft w:val="0"/>
      <w:marRight w:val="0"/>
      <w:marTop w:val="0"/>
      <w:marBottom w:val="0"/>
      <w:divBdr>
        <w:top w:val="none" w:sz="0" w:space="0" w:color="auto"/>
        <w:left w:val="none" w:sz="0" w:space="0" w:color="auto"/>
        <w:bottom w:val="none" w:sz="0" w:space="0" w:color="auto"/>
        <w:right w:val="none" w:sz="0" w:space="0" w:color="auto"/>
      </w:divBdr>
    </w:div>
    <w:div w:id="640772304">
      <w:bodyDiv w:val="1"/>
      <w:marLeft w:val="0"/>
      <w:marRight w:val="0"/>
      <w:marTop w:val="0"/>
      <w:marBottom w:val="0"/>
      <w:divBdr>
        <w:top w:val="none" w:sz="0" w:space="0" w:color="auto"/>
        <w:left w:val="none" w:sz="0" w:space="0" w:color="auto"/>
        <w:bottom w:val="none" w:sz="0" w:space="0" w:color="auto"/>
        <w:right w:val="none" w:sz="0" w:space="0" w:color="auto"/>
      </w:divBdr>
    </w:div>
    <w:div w:id="641811533">
      <w:bodyDiv w:val="1"/>
      <w:marLeft w:val="0"/>
      <w:marRight w:val="0"/>
      <w:marTop w:val="0"/>
      <w:marBottom w:val="0"/>
      <w:divBdr>
        <w:top w:val="none" w:sz="0" w:space="0" w:color="auto"/>
        <w:left w:val="none" w:sz="0" w:space="0" w:color="auto"/>
        <w:bottom w:val="none" w:sz="0" w:space="0" w:color="auto"/>
        <w:right w:val="none" w:sz="0" w:space="0" w:color="auto"/>
      </w:divBdr>
    </w:div>
    <w:div w:id="641925615">
      <w:bodyDiv w:val="1"/>
      <w:marLeft w:val="0"/>
      <w:marRight w:val="0"/>
      <w:marTop w:val="0"/>
      <w:marBottom w:val="0"/>
      <w:divBdr>
        <w:top w:val="none" w:sz="0" w:space="0" w:color="auto"/>
        <w:left w:val="none" w:sz="0" w:space="0" w:color="auto"/>
        <w:bottom w:val="none" w:sz="0" w:space="0" w:color="auto"/>
        <w:right w:val="none" w:sz="0" w:space="0" w:color="auto"/>
      </w:divBdr>
    </w:div>
    <w:div w:id="643969895">
      <w:bodyDiv w:val="1"/>
      <w:marLeft w:val="0"/>
      <w:marRight w:val="0"/>
      <w:marTop w:val="0"/>
      <w:marBottom w:val="0"/>
      <w:divBdr>
        <w:top w:val="none" w:sz="0" w:space="0" w:color="auto"/>
        <w:left w:val="none" w:sz="0" w:space="0" w:color="auto"/>
        <w:bottom w:val="none" w:sz="0" w:space="0" w:color="auto"/>
        <w:right w:val="none" w:sz="0" w:space="0" w:color="auto"/>
      </w:divBdr>
    </w:div>
    <w:div w:id="644161397">
      <w:bodyDiv w:val="1"/>
      <w:marLeft w:val="0"/>
      <w:marRight w:val="0"/>
      <w:marTop w:val="0"/>
      <w:marBottom w:val="0"/>
      <w:divBdr>
        <w:top w:val="none" w:sz="0" w:space="0" w:color="auto"/>
        <w:left w:val="none" w:sz="0" w:space="0" w:color="auto"/>
        <w:bottom w:val="none" w:sz="0" w:space="0" w:color="auto"/>
        <w:right w:val="none" w:sz="0" w:space="0" w:color="auto"/>
      </w:divBdr>
    </w:div>
    <w:div w:id="644358203">
      <w:bodyDiv w:val="1"/>
      <w:marLeft w:val="0"/>
      <w:marRight w:val="0"/>
      <w:marTop w:val="0"/>
      <w:marBottom w:val="0"/>
      <w:divBdr>
        <w:top w:val="none" w:sz="0" w:space="0" w:color="auto"/>
        <w:left w:val="none" w:sz="0" w:space="0" w:color="auto"/>
        <w:bottom w:val="none" w:sz="0" w:space="0" w:color="auto"/>
        <w:right w:val="none" w:sz="0" w:space="0" w:color="auto"/>
      </w:divBdr>
    </w:div>
    <w:div w:id="646058473">
      <w:bodyDiv w:val="1"/>
      <w:marLeft w:val="0"/>
      <w:marRight w:val="0"/>
      <w:marTop w:val="0"/>
      <w:marBottom w:val="0"/>
      <w:divBdr>
        <w:top w:val="none" w:sz="0" w:space="0" w:color="auto"/>
        <w:left w:val="none" w:sz="0" w:space="0" w:color="auto"/>
        <w:bottom w:val="none" w:sz="0" w:space="0" w:color="auto"/>
        <w:right w:val="none" w:sz="0" w:space="0" w:color="auto"/>
      </w:divBdr>
    </w:div>
    <w:div w:id="646473831">
      <w:bodyDiv w:val="1"/>
      <w:marLeft w:val="0"/>
      <w:marRight w:val="0"/>
      <w:marTop w:val="0"/>
      <w:marBottom w:val="0"/>
      <w:divBdr>
        <w:top w:val="none" w:sz="0" w:space="0" w:color="auto"/>
        <w:left w:val="none" w:sz="0" w:space="0" w:color="auto"/>
        <w:bottom w:val="none" w:sz="0" w:space="0" w:color="auto"/>
        <w:right w:val="none" w:sz="0" w:space="0" w:color="auto"/>
      </w:divBdr>
    </w:div>
    <w:div w:id="647367570">
      <w:bodyDiv w:val="1"/>
      <w:marLeft w:val="0"/>
      <w:marRight w:val="0"/>
      <w:marTop w:val="0"/>
      <w:marBottom w:val="0"/>
      <w:divBdr>
        <w:top w:val="none" w:sz="0" w:space="0" w:color="auto"/>
        <w:left w:val="none" w:sz="0" w:space="0" w:color="auto"/>
        <w:bottom w:val="none" w:sz="0" w:space="0" w:color="auto"/>
        <w:right w:val="none" w:sz="0" w:space="0" w:color="auto"/>
      </w:divBdr>
    </w:div>
    <w:div w:id="647519661">
      <w:bodyDiv w:val="1"/>
      <w:marLeft w:val="0"/>
      <w:marRight w:val="0"/>
      <w:marTop w:val="0"/>
      <w:marBottom w:val="0"/>
      <w:divBdr>
        <w:top w:val="none" w:sz="0" w:space="0" w:color="auto"/>
        <w:left w:val="none" w:sz="0" w:space="0" w:color="auto"/>
        <w:bottom w:val="none" w:sz="0" w:space="0" w:color="auto"/>
        <w:right w:val="none" w:sz="0" w:space="0" w:color="auto"/>
      </w:divBdr>
    </w:div>
    <w:div w:id="648553125">
      <w:bodyDiv w:val="1"/>
      <w:marLeft w:val="0"/>
      <w:marRight w:val="0"/>
      <w:marTop w:val="0"/>
      <w:marBottom w:val="0"/>
      <w:divBdr>
        <w:top w:val="none" w:sz="0" w:space="0" w:color="auto"/>
        <w:left w:val="none" w:sz="0" w:space="0" w:color="auto"/>
        <w:bottom w:val="none" w:sz="0" w:space="0" w:color="auto"/>
        <w:right w:val="none" w:sz="0" w:space="0" w:color="auto"/>
      </w:divBdr>
    </w:div>
    <w:div w:id="648631424">
      <w:bodyDiv w:val="1"/>
      <w:marLeft w:val="0"/>
      <w:marRight w:val="0"/>
      <w:marTop w:val="0"/>
      <w:marBottom w:val="0"/>
      <w:divBdr>
        <w:top w:val="none" w:sz="0" w:space="0" w:color="auto"/>
        <w:left w:val="none" w:sz="0" w:space="0" w:color="auto"/>
        <w:bottom w:val="none" w:sz="0" w:space="0" w:color="auto"/>
        <w:right w:val="none" w:sz="0" w:space="0" w:color="auto"/>
      </w:divBdr>
    </w:div>
    <w:div w:id="648941657">
      <w:bodyDiv w:val="1"/>
      <w:marLeft w:val="0"/>
      <w:marRight w:val="0"/>
      <w:marTop w:val="0"/>
      <w:marBottom w:val="0"/>
      <w:divBdr>
        <w:top w:val="none" w:sz="0" w:space="0" w:color="auto"/>
        <w:left w:val="none" w:sz="0" w:space="0" w:color="auto"/>
        <w:bottom w:val="none" w:sz="0" w:space="0" w:color="auto"/>
        <w:right w:val="none" w:sz="0" w:space="0" w:color="auto"/>
      </w:divBdr>
    </w:div>
    <w:div w:id="650138607">
      <w:bodyDiv w:val="1"/>
      <w:marLeft w:val="0"/>
      <w:marRight w:val="0"/>
      <w:marTop w:val="0"/>
      <w:marBottom w:val="0"/>
      <w:divBdr>
        <w:top w:val="none" w:sz="0" w:space="0" w:color="auto"/>
        <w:left w:val="none" w:sz="0" w:space="0" w:color="auto"/>
        <w:bottom w:val="none" w:sz="0" w:space="0" w:color="auto"/>
        <w:right w:val="none" w:sz="0" w:space="0" w:color="auto"/>
      </w:divBdr>
    </w:div>
    <w:div w:id="650989994">
      <w:bodyDiv w:val="1"/>
      <w:marLeft w:val="0"/>
      <w:marRight w:val="0"/>
      <w:marTop w:val="0"/>
      <w:marBottom w:val="0"/>
      <w:divBdr>
        <w:top w:val="none" w:sz="0" w:space="0" w:color="auto"/>
        <w:left w:val="none" w:sz="0" w:space="0" w:color="auto"/>
        <w:bottom w:val="none" w:sz="0" w:space="0" w:color="auto"/>
        <w:right w:val="none" w:sz="0" w:space="0" w:color="auto"/>
      </w:divBdr>
    </w:div>
    <w:div w:id="652173491">
      <w:bodyDiv w:val="1"/>
      <w:marLeft w:val="0"/>
      <w:marRight w:val="0"/>
      <w:marTop w:val="0"/>
      <w:marBottom w:val="0"/>
      <w:divBdr>
        <w:top w:val="none" w:sz="0" w:space="0" w:color="auto"/>
        <w:left w:val="none" w:sz="0" w:space="0" w:color="auto"/>
        <w:bottom w:val="none" w:sz="0" w:space="0" w:color="auto"/>
        <w:right w:val="none" w:sz="0" w:space="0" w:color="auto"/>
      </w:divBdr>
    </w:div>
    <w:div w:id="652224612">
      <w:bodyDiv w:val="1"/>
      <w:marLeft w:val="0"/>
      <w:marRight w:val="0"/>
      <w:marTop w:val="0"/>
      <w:marBottom w:val="0"/>
      <w:divBdr>
        <w:top w:val="none" w:sz="0" w:space="0" w:color="auto"/>
        <w:left w:val="none" w:sz="0" w:space="0" w:color="auto"/>
        <w:bottom w:val="none" w:sz="0" w:space="0" w:color="auto"/>
        <w:right w:val="none" w:sz="0" w:space="0" w:color="auto"/>
      </w:divBdr>
    </w:div>
    <w:div w:id="653920838">
      <w:bodyDiv w:val="1"/>
      <w:marLeft w:val="0"/>
      <w:marRight w:val="0"/>
      <w:marTop w:val="0"/>
      <w:marBottom w:val="0"/>
      <w:divBdr>
        <w:top w:val="none" w:sz="0" w:space="0" w:color="auto"/>
        <w:left w:val="none" w:sz="0" w:space="0" w:color="auto"/>
        <w:bottom w:val="none" w:sz="0" w:space="0" w:color="auto"/>
        <w:right w:val="none" w:sz="0" w:space="0" w:color="auto"/>
      </w:divBdr>
    </w:div>
    <w:div w:id="655035296">
      <w:bodyDiv w:val="1"/>
      <w:marLeft w:val="0"/>
      <w:marRight w:val="0"/>
      <w:marTop w:val="0"/>
      <w:marBottom w:val="0"/>
      <w:divBdr>
        <w:top w:val="none" w:sz="0" w:space="0" w:color="auto"/>
        <w:left w:val="none" w:sz="0" w:space="0" w:color="auto"/>
        <w:bottom w:val="none" w:sz="0" w:space="0" w:color="auto"/>
        <w:right w:val="none" w:sz="0" w:space="0" w:color="auto"/>
      </w:divBdr>
    </w:div>
    <w:div w:id="657001478">
      <w:bodyDiv w:val="1"/>
      <w:marLeft w:val="0"/>
      <w:marRight w:val="0"/>
      <w:marTop w:val="0"/>
      <w:marBottom w:val="0"/>
      <w:divBdr>
        <w:top w:val="none" w:sz="0" w:space="0" w:color="auto"/>
        <w:left w:val="none" w:sz="0" w:space="0" w:color="auto"/>
        <w:bottom w:val="none" w:sz="0" w:space="0" w:color="auto"/>
        <w:right w:val="none" w:sz="0" w:space="0" w:color="auto"/>
      </w:divBdr>
    </w:div>
    <w:div w:id="657002516">
      <w:bodyDiv w:val="1"/>
      <w:marLeft w:val="0"/>
      <w:marRight w:val="0"/>
      <w:marTop w:val="0"/>
      <w:marBottom w:val="0"/>
      <w:divBdr>
        <w:top w:val="none" w:sz="0" w:space="0" w:color="auto"/>
        <w:left w:val="none" w:sz="0" w:space="0" w:color="auto"/>
        <w:bottom w:val="none" w:sz="0" w:space="0" w:color="auto"/>
        <w:right w:val="none" w:sz="0" w:space="0" w:color="auto"/>
      </w:divBdr>
    </w:div>
    <w:div w:id="657074868">
      <w:bodyDiv w:val="1"/>
      <w:marLeft w:val="0"/>
      <w:marRight w:val="0"/>
      <w:marTop w:val="0"/>
      <w:marBottom w:val="0"/>
      <w:divBdr>
        <w:top w:val="none" w:sz="0" w:space="0" w:color="auto"/>
        <w:left w:val="none" w:sz="0" w:space="0" w:color="auto"/>
        <w:bottom w:val="none" w:sz="0" w:space="0" w:color="auto"/>
        <w:right w:val="none" w:sz="0" w:space="0" w:color="auto"/>
      </w:divBdr>
    </w:div>
    <w:div w:id="658121302">
      <w:bodyDiv w:val="1"/>
      <w:marLeft w:val="0"/>
      <w:marRight w:val="0"/>
      <w:marTop w:val="0"/>
      <w:marBottom w:val="0"/>
      <w:divBdr>
        <w:top w:val="none" w:sz="0" w:space="0" w:color="auto"/>
        <w:left w:val="none" w:sz="0" w:space="0" w:color="auto"/>
        <w:bottom w:val="none" w:sz="0" w:space="0" w:color="auto"/>
        <w:right w:val="none" w:sz="0" w:space="0" w:color="auto"/>
      </w:divBdr>
    </w:div>
    <w:div w:id="658386008">
      <w:bodyDiv w:val="1"/>
      <w:marLeft w:val="0"/>
      <w:marRight w:val="0"/>
      <w:marTop w:val="0"/>
      <w:marBottom w:val="0"/>
      <w:divBdr>
        <w:top w:val="none" w:sz="0" w:space="0" w:color="auto"/>
        <w:left w:val="none" w:sz="0" w:space="0" w:color="auto"/>
        <w:bottom w:val="none" w:sz="0" w:space="0" w:color="auto"/>
        <w:right w:val="none" w:sz="0" w:space="0" w:color="auto"/>
      </w:divBdr>
    </w:div>
    <w:div w:id="658725976">
      <w:bodyDiv w:val="1"/>
      <w:marLeft w:val="0"/>
      <w:marRight w:val="0"/>
      <w:marTop w:val="0"/>
      <w:marBottom w:val="0"/>
      <w:divBdr>
        <w:top w:val="none" w:sz="0" w:space="0" w:color="auto"/>
        <w:left w:val="none" w:sz="0" w:space="0" w:color="auto"/>
        <w:bottom w:val="none" w:sz="0" w:space="0" w:color="auto"/>
        <w:right w:val="none" w:sz="0" w:space="0" w:color="auto"/>
      </w:divBdr>
    </w:div>
    <w:div w:id="658969649">
      <w:bodyDiv w:val="1"/>
      <w:marLeft w:val="0"/>
      <w:marRight w:val="0"/>
      <w:marTop w:val="0"/>
      <w:marBottom w:val="0"/>
      <w:divBdr>
        <w:top w:val="none" w:sz="0" w:space="0" w:color="auto"/>
        <w:left w:val="none" w:sz="0" w:space="0" w:color="auto"/>
        <w:bottom w:val="none" w:sz="0" w:space="0" w:color="auto"/>
        <w:right w:val="none" w:sz="0" w:space="0" w:color="auto"/>
      </w:divBdr>
    </w:div>
    <w:div w:id="661081414">
      <w:bodyDiv w:val="1"/>
      <w:marLeft w:val="0"/>
      <w:marRight w:val="0"/>
      <w:marTop w:val="0"/>
      <w:marBottom w:val="0"/>
      <w:divBdr>
        <w:top w:val="none" w:sz="0" w:space="0" w:color="auto"/>
        <w:left w:val="none" w:sz="0" w:space="0" w:color="auto"/>
        <w:bottom w:val="none" w:sz="0" w:space="0" w:color="auto"/>
        <w:right w:val="none" w:sz="0" w:space="0" w:color="auto"/>
      </w:divBdr>
    </w:div>
    <w:div w:id="661353349">
      <w:bodyDiv w:val="1"/>
      <w:marLeft w:val="0"/>
      <w:marRight w:val="0"/>
      <w:marTop w:val="0"/>
      <w:marBottom w:val="0"/>
      <w:divBdr>
        <w:top w:val="none" w:sz="0" w:space="0" w:color="auto"/>
        <w:left w:val="none" w:sz="0" w:space="0" w:color="auto"/>
        <w:bottom w:val="none" w:sz="0" w:space="0" w:color="auto"/>
        <w:right w:val="none" w:sz="0" w:space="0" w:color="auto"/>
      </w:divBdr>
    </w:div>
    <w:div w:id="661809767">
      <w:bodyDiv w:val="1"/>
      <w:marLeft w:val="0"/>
      <w:marRight w:val="0"/>
      <w:marTop w:val="0"/>
      <w:marBottom w:val="0"/>
      <w:divBdr>
        <w:top w:val="none" w:sz="0" w:space="0" w:color="auto"/>
        <w:left w:val="none" w:sz="0" w:space="0" w:color="auto"/>
        <w:bottom w:val="none" w:sz="0" w:space="0" w:color="auto"/>
        <w:right w:val="none" w:sz="0" w:space="0" w:color="auto"/>
      </w:divBdr>
    </w:div>
    <w:div w:id="661860122">
      <w:bodyDiv w:val="1"/>
      <w:marLeft w:val="0"/>
      <w:marRight w:val="0"/>
      <w:marTop w:val="0"/>
      <w:marBottom w:val="0"/>
      <w:divBdr>
        <w:top w:val="none" w:sz="0" w:space="0" w:color="auto"/>
        <w:left w:val="none" w:sz="0" w:space="0" w:color="auto"/>
        <w:bottom w:val="none" w:sz="0" w:space="0" w:color="auto"/>
        <w:right w:val="none" w:sz="0" w:space="0" w:color="auto"/>
      </w:divBdr>
    </w:div>
    <w:div w:id="663357451">
      <w:bodyDiv w:val="1"/>
      <w:marLeft w:val="0"/>
      <w:marRight w:val="0"/>
      <w:marTop w:val="0"/>
      <w:marBottom w:val="0"/>
      <w:divBdr>
        <w:top w:val="none" w:sz="0" w:space="0" w:color="auto"/>
        <w:left w:val="none" w:sz="0" w:space="0" w:color="auto"/>
        <w:bottom w:val="none" w:sz="0" w:space="0" w:color="auto"/>
        <w:right w:val="none" w:sz="0" w:space="0" w:color="auto"/>
      </w:divBdr>
    </w:div>
    <w:div w:id="663437160">
      <w:bodyDiv w:val="1"/>
      <w:marLeft w:val="0"/>
      <w:marRight w:val="0"/>
      <w:marTop w:val="0"/>
      <w:marBottom w:val="0"/>
      <w:divBdr>
        <w:top w:val="none" w:sz="0" w:space="0" w:color="auto"/>
        <w:left w:val="none" w:sz="0" w:space="0" w:color="auto"/>
        <w:bottom w:val="none" w:sz="0" w:space="0" w:color="auto"/>
        <w:right w:val="none" w:sz="0" w:space="0" w:color="auto"/>
      </w:divBdr>
    </w:div>
    <w:div w:id="663778334">
      <w:bodyDiv w:val="1"/>
      <w:marLeft w:val="0"/>
      <w:marRight w:val="0"/>
      <w:marTop w:val="0"/>
      <w:marBottom w:val="0"/>
      <w:divBdr>
        <w:top w:val="none" w:sz="0" w:space="0" w:color="auto"/>
        <w:left w:val="none" w:sz="0" w:space="0" w:color="auto"/>
        <w:bottom w:val="none" w:sz="0" w:space="0" w:color="auto"/>
        <w:right w:val="none" w:sz="0" w:space="0" w:color="auto"/>
      </w:divBdr>
    </w:div>
    <w:div w:id="663893450">
      <w:bodyDiv w:val="1"/>
      <w:marLeft w:val="0"/>
      <w:marRight w:val="0"/>
      <w:marTop w:val="0"/>
      <w:marBottom w:val="0"/>
      <w:divBdr>
        <w:top w:val="none" w:sz="0" w:space="0" w:color="auto"/>
        <w:left w:val="none" w:sz="0" w:space="0" w:color="auto"/>
        <w:bottom w:val="none" w:sz="0" w:space="0" w:color="auto"/>
        <w:right w:val="none" w:sz="0" w:space="0" w:color="auto"/>
      </w:divBdr>
    </w:div>
    <w:div w:id="666447767">
      <w:bodyDiv w:val="1"/>
      <w:marLeft w:val="0"/>
      <w:marRight w:val="0"/>
      <w:marTop w:val="0"/>
      <w:marBottom w:val="0"/>
      <w:divBdr>
        <w:top w:val="none" w:sz="0" w:space="0" w:color="auto"/>
        <w:left w:val="none" w:sz="0" w:space="0" w:color="auto"/>
        <w:bottom w:val="none" w:sz="0" w:space="0" w:color="auto"/>
        <w:right w:val="none" w:sz="0" w:space="0" w:color="auto"/>
      </w:divBdr>
    </w:div>
    <w:div w:id="667094408">
      <w:bodyDiv w:val="1"/>
      <w:marLeft w:val="0"/>
      <w:marRight w:val="0"/>
      <w:marTop w:val="0"/>
      <w:marBottom w:val="0"/>
      <w:divBdr>
        <w:top w:val="none" w:sz="0" w:space="0" w:color="auto"/>
        <w:left w:val="none" w:sz="0" w:space="0" w:color="auto"/>
        <w:bottom w:val="none" w:sz="0" w:space="0" w:color="auto"/>
        <w:right w:val="none" w:sz="0" w:space="0" w:color="auto"/>
      </w:divBdr>
    </w:div>
    <w:div w:id="667562007">
      <w:bodyDiv w:val="1"/>
      <w:marLeft w:val="0"/>
      <w:marRight w:val="0"/>
      <w:marTop w:val="0"/>
      <w:marBottom w:val="0"/>
      <w:divBdr>
        <w:top w:val="none" w:sz="0" w:space="0" w:color="auto"/>
        <w:left w:val="none" w:sz="0" w:space="0" w:color="auto"/>
        <w:bottom w:val="none" w:sz="0" w:space="0" w:color="auto"/>
        <w:right w:val="none" w:sz="0" w:space="0" w:color="auto"/>
      </w:divBdr>
    </w:div>
    <w:div w:id="667565164">
      <w:bodyDiv w:val="1"/>
      <w:marLeft w:val="0"/>
      <w:marRight w:val="0"/>
      <w:marTop w:val="0"/>
      <w:marBottom w:val="0"/>
      <w:divBdr>
        <w:top w:val="none" w:sz="0" w:space="0" w:color="auto"/>
        <w:left w:val="none" w:sz="0" w:space="0" w:color="auto"/>
        <w:bottom w:val="none" w:sz="0" w:space="0" w:color="auto"/>
        <w:right w:val="none" w:sz="0" w:space="0" w:color="auto"/>
      </w:divBdr>
    </w:div>
    <w:div w:id="668338142">
      <w:bodyDiv w:val="1"/>
      <w:marLeft w:val="0"/>
      <w:marRight w:val="0"/>
      <w:marTop w:val="0"/>
      <w:marBottom w:val="0"/>
      <w:divBdr>
        <w:top w:val="none" w:sz="0" w:space="0" w:color="auto"/>
        <w:left w:val="none" w:sz="0" w:space="0" w:color="auto"/>
        <w:bottom w:val="none" w:sz="0" w:space="0" w:color="auto"/>
        <w:right w:val="none" w:sz="0" w:space="0" w:color="auto"/>
      </w:divBdr>
    </w:div>
    <w:div w:id="669022245">
      <w:bodyDiv w:val="1"/>
      <w:marLeft w:val="0"/>
      <w:marRight w:val="0"/>
      <w:marTop w:val="0"/>
      <w:marBottom w:val="0"/>
      <w:divBdr>
        <w:top w:val="none" w:sz="0" w:space="0" w:color="auto"/>
        <w:left w:val="none" w:sz="0" w:space="0" w:color="auto"/>
        <w:bottom w:val="none" w:sz="0" w:space="0" w:color="auto"/>
        <w:right w:val="none" w:sz="0" w:space="0" w:color="auto"/>
      </w:divBdr>
    </w:div>
    <w:div w:id="669796736">
      <w:bodyDiv w:val="1"/>
      <w:marLeft w:val="0"/>
      <w:marRight w:val="0"/>
      <w:marTop w:val="0"/>
      <w:marBottom w:val="0"/>
      <w:divBdr>
        <w:top w:val="none" w:sz="0" w:space="0" w:color="auto"/>
        <w:left w:val="none" w:sz="0" w:space="0" w:color="auto"/>
        <w:bottom w:val="none" w:sz="0" w:space="0" w:color="auto"/>
        <w:right w:val="none" w:sz="0" w:space="0" w:color="auto"/>
      </w:divBdr>
    </w:div>
    <w:div w:id="670186336">
      <w:bodyDiv w:val="1"/>
      <w:marLeft w:val="0"/>
      <w:marRight w:val="0"/>
      <w:marTop w:val="0"/>
      <w:marBottom w:val="0"/>
      <w:divBdr>
        <w:top w:val="none" w:sz="0" w:space="0" w:color="auto"/>
        <w:left w:val="none" w:sz="0" w:space="0" w:color="auto"/>
        <w:bottom w:val="none" w:sz="0" w:space="0" w:color="auto"/>
        <w:right w:val="none" w:sz="0" w:space="0" w:color="auto"/>
      </w:divBdr>
    </w:div>
    <w:div w:id="670303626">
      <w:bodyDiv w:val="1"/>
      <w:marLeft w:val="0"/>
      <w:marRight w:val="0"/>
      <w:marTop w:val="0"/>
      <w:marBottom w:val="0"/>
      <w:divBdr>
        <w:top w:val="none" w:sz="0" w:space="0" w:color="auto"/>
        <w:left w:val="none" w:sz="0" w:space="0" w:color="auto"/>
        <w:bottom w:val="none" w:sz="0" w:space="0" w:color="auto"/>
        <w:right w:val="none" w:sz="0" w:space="0" w:color="auto"/>
      </w:divBdr>
    </w:div>
    <w:div w:id="670911886">
      <w:bodyDiv w:val="1"/>
      <w:marLeft w:val="0"/>
      <w:marRight w:val="0"/>
      <w:marTop w:val="0"/>
      <w:marBottom w:val="0"/>
      <w:divBdr>
        <w:top w:val="none" w:sz="0" w:space="0" w:color="auto"/>
        <w:left w:val="none" w:sz="0" w:space="0" w:color="auto"/>
        <w:bottom w:val="none" w:sz="0" w:space="0" w:color="auto"/>
        <w:right w:val="none" w:sz="0" w:space="0" w:color="auto"/>
      </w:divBdr>
    </w:div>
    <w:div w:id="673722467">
      <w:bodyDiv w:val="1"/>
      <w:marLeft w:val="0"/>
      <w:marRight w:val="0"/>
      <w:marTop w:val="0"/>
      <w:marBottom w:val="0"/>
      <w:divBdr>
        <w:top w:val="none" w:sz="0" w:space="0" w:color="auto"/>
        <w:left w:val="none" w:sz="0" w:space="0" w:color="auto"/>
        <w:bottom w:val="none" w:sz="0" w:space="0" w:color="auto"/>
        <w:right w:val="none" w:sz="0" w:space="0" w:color="auto"/>
      </w:divBdr>
    </w:div>
    <w:div w:id="673803182">
      <w:bodyDiv w:val="1"/>
      <w:marLeft w:val="0"/>
      <w:marRight w:val="0"/>
      <w:marTop w:val="0"/>
      <w:marBottom w:val="0"/>
      <w:divBdr>
        <w:top w:val="none" w:sz="0" w:space="0" w:color="auto"/>
        <w:left w:val="none" w:sz="0" w:space="0" w:color="auto"/>
        <w:bottom w:val="none" w:sz="0" w:space="0" w:color="auto"/>
        <w:right w:val="none" w:sz="0" w:space="0" w:color="auto"/>
      </w:divBdr>
    </w:div>
    <w:div w:id="675379213">
      <w:bodyDiv w:val="1"/>
      <w:marLeft w:val="0"/>
      <w:marRight w:val="0"/>
      <w:marTop w:val="0"/>
      <w:marBottom w:val="0"/>
      <w:divBdr>
        <w:top w:val="none" w:sz="0" w:space="0" w:color="auto"/>
        <w:left w:val="none" w:sz="0" w:space="0" w:color="auto"/>
        <w:bottom w:val="none" w:sz="0" w:space="0" w:color="auto"/>
        <w:right w:val="none" w:sz="0" w:space="0" w:color="auto"/>
      </w:divBdr>
    </w:div>
    <w:div w:id="675693564">
      <w:bodyDiv w:val="1"/>
      <w:marLeft w:val="0"/>
      <w:marRight w:val="0"/>
      <w:marTop w:val="0"/>
      <w:marBottom w:val="0"/>
      <w:divBdr>
        <w:top w:val="none" w:sz="0" w:space="0" w:color="auto"/>
        <w:left w:val="none" w:sz="0" w:space="0" w:color="auto"/>
        <w:bottom w:val="none" w:sz="0" w:space="0" w:color="auto"/>
        <w:right w:val="none" w:sz="0" w:space="0" w:color="auto"/>
      </w:divBdr>
    </w:div>
    <w:div w:id="676274661">
      <w:bodyDiv w:val="1"/>
      <w:marLeft w:val="0"/>
      <w:marRight w:val="0"/>
      <w:marTop w:val="0"/>
      <w:marBottom w:val="0"/>
      <w:divBdr>
        <w:top w:val="none" w:sz="0" w:space="0" w:color="auto"/>
        <w:left w:val="none" w:sz="0" w:space="0" w:color="auto"/>
        <w:bottom w:val="none" w:sz="0" w:space="0" w:color="auto"/>
        <w:right w:val="none" w:sz="0" w:space="0" w:color="auto"/>
      </w:divBdr>
    </w:div>
    <w:div w:id="676536430">
      <w:bodyDiv w:val="1"/>
      <w:marLeft w:val="0"/>
      <w:marRight w:val="0"/>
      <w:marTop w:val="0"/>
      <w:marBottom w:val="0"/>
      <w:divBdr>
        <w:top w:val="none" w:sz="0" w:space="0" w:color="auto"/>
        <w:left w:val="none" w:sz="0" w:space="0" w:color="auto"/>
        <w:bottom w:val="none" w:sz="0" w:space="0" w:color="auto"/>
        <w:right w:val="none" w:sz="0" w:space="0" w:color="auto"/>
      </w:divBdr>
    </w:div>
    <w:div w:id="676611568">
      <w:bodyDiv w:val="1"/>
      <w:marLeft w:val="0"/>
      <w:marRight w:val="0"/>
      <w:marTop w:val="0"/>
      <w:marBottom w:val="0"/>
      <w:divBdr>
        <w:top w:val="none" w:sz="0" w:space="0" w:color="auto"/>
        <w:left w:val="none" w:sz="0" w:space="0" w:color="auto"/>
        <w:bottom w:val="none" w:sz="0" w:space="0" w:color="auto"/>
        <w:right w:val="none" w:sz="0" w:space="0" w:color="auto"/>
      </w:divBdr>
    </w:div>
    <w:div w:id="676807390">
      <w:bodyDiv w:val="1"/>
      <w:marLeft w:val="0"/>
      <w:marRight w:val="0"/>
      <w:marTop w:val="0"/>
      <w:marBottom w:val="0"/>
      <w:divBdr>
        <w:top w:val="none" w:sz="0" w:space="0" w:color="auto"/>
        <w:left w:val="none" w:sz="0" w:space="0" w:color="auto"/>
        <w:bottom w:val="none" w:sz="0" w:space="0" w:color="auto"/>
        <w:right w:val="none" w:sz="0" w:space="0" w:color="auto"/>
      </w:divBdr>
    </w:div>
    <w:div w:id="677654406">
      <w:bodyDiv w:val="1"/>
      <w:marLeft w:val="0"/>
      <w:marRight w:val="0"/>
      <w:marTop w:val="0"/>
      <w:marBottom w:val="0"/>
      <w:divBdr>
        <w:top w:val="none" w:sz="0" w:space="0" w:color="auto"/>
        <w:left w:val="none" w:sz="0" w:space="0" w:color="auto"/>
        <w:bottom w:val="none" w:sz="0" w:space="0" w:color="auto"/>
        <w:right w:val="none" w:sz="0" w:space="0" w:color="auto"/>
      </w:divBdr>
    </w:div>
    <w:div w:id="677656206">
      <w:bodyDiv w:val="1"/>
      <w:marLeft w:val="0"/>
      <w:marRight w:val="0"/>
      <w:marTop w:val="0"/>
      <w:marBottom w:val="0"/>
      <w:divBdr>
        <w:top w:val="none" w:sz="0" w:space="0" w:color="auto"/>
        <w:left w:val="none" w:sz="0" w:space="0" w:color="auto"/>
        <w:bottom w:val="none" w:sz="0" w:space="0" w:color="auto"/>
        <w:right w:val="none" w:sz="0" w:space="0" w:color="auto"/>
      </w:divBdr>
    </w:div>
    <w:div w:id="677774559">
      <w:bodyDiv w:val="1"/>
      <w:marLeft w:val="0"/>
      <w:marRight w:val="0"/>
      <w:marTop w:val="0"/>
      <w:marBottom w:val="0"/>
      <w:divBdr>
        <w:top w:val="none" w:sz="0" w:space="0" w:color="auto"/>
        <w:left w:val="none" w:sz="0" w:space="0" w:color="auto"/>
        <w:bottom w:val="none" w:sz="0" w:space="0" w:color="auto"/>
        <w:right w:val="none" w:sz="0" w:space="0" w:color="auto"/>
      </w:divBdr>
    </w:div>
    <w:div w:id="678585499">
      <w:bodyDiv w:val="1"/>
      <w:marLeft w:val="0"/>
      <w:marRight w:val="0"/>
      <w:marTop w:val="0"/>
      <w:marBottom w:val="0"/>
      <w:divBdr>
        <w:top w:val="none" w:sz="0" w:space="0" w:color="auto"/>
        <w:left w:val="none" w:sz="0" w:space="0" w:color="auto"/>
        <w:bottom w:val="none" w:sz="0" w:space="0" w:color="auto"/>
        <w:right w:val="none" w:sz="0" w:space="0" w:color="auto"/>
      </w:divBdr>
    </w:div>
    <w:div w:id="678655745">
      <w:bodyDiv w:val="1"/>
      <w:marLeft w:val="0"/>
      <w:marRight w:val="0"/>
      <w:marTop w:val="0"/>
      <w:marBottom w:val="0"/>
      <w:divBdr>
        <w:top w:val="none" w:sz="0" w:space="0" w:color="auto"/>
        <w:left w:val="none" w:sz="0" w:space="0" w:color="auto"/>
        <w:bottom w:val="none" w:sz="0" w:space="0" w:color="auto"/>
        <w:right w:val="none" w:sz="0" w:space="0" w:color="auto"/>
      </w:divBdr>
    </w:div>
    <w:div w:id="678848965">
      <w:bodyDiv w:val="1"/>
      <w:marLeft w:val="0"/>
      <w:marRight w:val="0"/>
      <w:marTop w:val="0"/>
      <w:marBottom w:val="0"/>
      <w:divBdr>
        <w:top w:val="none" w:sz="0" w:space="0" w:color="auto"/>
        <w:left w:val="none" w:sz="0" w:space="0" w:color="auto"/>
        <w:bottom w:val="none" w:sz="0" w:space="0" w:color="auto"/>
        <w:right w:val="none" w:sz="0" w:space="0" w:color="auto"/>
      </w:divBdr>
    </w:div>
    <w:div w:id="678967877">
      <w:bodyDiv w:val="1"/>
      <w:marLeft w:val="0"/>
      <w:marRight w:val="0"/>
      <w:marTop w:val="0"/>
      <w:marBottom w:val="0"/>
      <w:divBdr>
        <w:top w:val="none" w:sz="0" w:space="0" w:color="auto"/>
        <w:left w:val="none" w:sz="0" w:space="0" w:color="auto"/>
        <w:bottom w:val="none" w:sz="0" w:space="0" w:color="auto"/>
        <w:right w:val="none" w:sz="0" w:space="0" w:color="auto"/>
      </w:divBdr>
    </w:div>
    <w:div w:id="679352773">
      <w:bodyDiv w:val="1"/>
      <w:marLeft w:val="0"/>
      <w:marRight w:val="0"/>
      <w:marTop w:val="0"/>
      <w:marBottom w:val="0"/>
      <w:divBdr>
        <w:top w:val="none" w:sz="0" w:space="0" w:color="auto"/>
        <w:left w:val="none" w:sz="0" w:space="0" w:color="auto"/>
        <w:bottom w:val="none" w:sz="0" w:space="0" w:color="auto"/>
        <w:right w:val="none" w:sz="0" w:space="0" w:color="auto"/>
      </w:divBdr>
    </w:div>
    <w:div w:id="681783753">
      <w:bodyDiv w:val="1"/>
      <w:marLeft w:val="0"/>
      <w:marRight w:val="0"/>
      <w:marTop w:val="0"/>
      <w:marBottom w:val="0"/>
      <w:divBdr>
        <w:top w:val="none" w:sz="0" w:space="0" w:color="auto"/>
        <w:left w:val="none" w:sz="0" w:space="0" w:color="auto"/>
        <w:bottom w:val="none" w:sz="0" w:space="0" w:color="auto"/>
        <w:right w:val="none" w:sz="0" w:space="0" w:color="auto"/>
      </w:divBdr>
    </w:div>
    <w:div w:id="681933557">
      <w:bodyDiv w:val="1"/>
      <w:marLeft w:val="0"/>
      <w:marRight w:val="0"/>
      <w:marTop w:val="0"/>
      <w:marBottom w:val="0"/>
      <w:divBdr>
        <w:top w:val="none" w:sz="0" w:space="0" w:color="auto"/>
        <w:left w:val="none" w:sz="0" w:space="0" w:color="auto"/>
        <w:bottom w:val="none" w:sz="0" w:space="0" w:color="auto"/>
        <w:right w:val="none" w:sz="0" w:space="0" w:color="auto"/>
      </w:divBdr>
    </w:div>
    <w:div w:id="682166409">
      <w:bodyDiv w:val="1"/>
      <w:marLeft w:val="0"/>
      <w:marRight w:val="0"/>
      <w:marTop w:val="0"/>
      <w:marBottom w:val="0"/>
      <w:divBdr>
        <w:top w:val="none" w:sz="0" w:space="0" w:color="auto"/>
        <w:left w:val="none" w:sz="0" w:space="0" w:color="auto"/>
        <w:bottom w:val="none" w:sz="0" w:space="0" w:color="auto"/>
        <w:right w:val="none" w:sz="0" w:space="0" w:color="auto"/>
      </w:divBdr>
    </w:div>
    <w:div w:id="682167681">
      <w:bodyDiv w:val="1"/>
      <w:marLeft w:val="0"/>
      <w:marRight w:val="0"/>
      <w:marTop w:val="0"/>
      <w:marBottom w:val="0"/>
      <w:divBdr>
        <w:top w:val="none" w:sz="0" w:space="0" w:color="auto"/>
        <w:left w:val="none" w:sz="0" w:space="0" w:color="auto"/>
        <w:bottom w:val="none" w:sz="0" w:space="0" w:color="auto"/>
        <w:right w:val="none" w:sz="0" w:space="0" w:color="auto"/>
      </w:divBdr>
    </w:div>
    <w:div w:id="682433652">
      <w:bodyDiv w:val="1"/>
      <w:marLeft w:val="0"/>
      <w:marRight w:val="0"/>
      <w:marTop w:val="0"/>
      <w:marBottom w:val="0"/>
      <w:divBdr>
        <w:top w:val="none" w:sz="0" w:space="0" w:color="auto"/>
        <w:left w:val="none" w:sz="0" w:space="0" w:color="auto"/>
        <w:bottom w:val="none" w:sz="0" w:space="0" w:color="auto"/>
        <w:right w:val="none" w:sz="0" w:space="0" w:color="auto"/>
      </w:divBdr>
    </w:div>
    <w:div w:id="682631230">
      <w:bodyDiv w:val="1"/>
      <w:marLeft w:val="0"/>
      <w:marRight w:val="0"/>
      <w:marTop w:val="0"/>
      <w:marBottom w:val="0"/>
      <w:divBdr>
        <w:top w:val="none" w:sz="0" w:space="0" w:color="auto"/>
        <w:left w:val="none" w:sz="0" w:space="0" w:color="auto"/>
        <w:bottom w:val="none" w:sz="0" w:space="0" w:color="auto"/>
        <w:right w:val="none" w:sz="0" w:space="0" w:color="auto"/>
      </w:divBdr>
    </w:div>
    <w:div w:id="683751756">
      <w:bodyDiv w:val="1"/>
      <w:marLeft w:val="0"/>
      <w:marRight w:val="0"/>
      <w:marTop w:val="0"/>
      <w:marBottom w:val="0"/>
      <w:divBdr>
        <w:top w:val="none" w:sz="0" w:space="0" w:color="auto"/>
        <w:left w:val="none" w:sz="0" w:space="0" w:color="auto"/>
        <w:bottom w:val="none" w:sz="0" w:space="0" w:color="auto"/>
        <w:right w:val="none" w:sz="0" w:space="0" w:color="auto"/>
      </w:divBdr>
    </w:div>
    <w:div w:id="685987913">
      <w:bodyDiv w:val="1"/>
      <w:marLeft w:val="0"/>
      <w:marRight w:val="0"/>
      <w:marTop w:val="0"/>
      <w:marBottom w:val="0"/>
      <w:divBdr>
        <w:top w:val="none" w:sz="0" w:space="0" w:color="auto"/>
        <w:left w:val="none" w:sz="0" w:space="0" w:color="auto"/>
        <w:bottom w:val="none" w:sz="0" w:space="0" w:color="auto"/>
        <w:right w:val="none" w:sz="0" w:space="0" w:color="auto"/>
      </w:divBdr>
    </w:div>
    <w:div w:id="686180458">
      <w:bodyDiv w:val="1"/>
      <w:marLeft w:val="0"/>
      <w:marRight w:val="0"/>
      <w:marTop w:val="0"/>
      <w:marBottom w:val="0"/>
      <w:divBdr>
        <w:top w:val="none" w:sz="0" w:space="0" w:color="auto"/>
        <w:left w:val="none" w:sz="0" w:space="0" w:color="auto"/>
        <w:bottom w:val="none" w:sz="0" w:space="0" w:color="auto"/>
        <w:right w:val="none" w:sz="0" w:space="0" w:color="auto"/>
      </w:divBdr>
    </w:div>
    <w:div w:id="686296560">
      <w:bodyDiv w:val="1"/>
      <w:marLeft w:val="0"/>
      <w:marRight w:val="0"/>
      <w:marTop w:val="0"/>
      <w:marBottom w:val="0"/>
      <w:divBdr>
        <w:top w:val="none" w:sz="0" w:space="0" w:color="auto"/>
        <w:left w:val="none" w:sz="0" w:space="0" w:color="auto"/>
        <w:bottom w:val="none" w:sz="0" w:space="0" w:color="auto"/>
        <w:right w:val="none" w:sz="0" w:space="0" w:color="auto"/>
      </w:divBdr>
    </w:div>
    <w:div w:id="686911859">
      <w:bodyDiv w:val="1"/>
      <w:marLeft w:val="0"/>
      <w:marRight w:val="0"/>
      <w:marTop w:val="0"/>
      <w:marBottom w:val="0"/>
      <w:divBdr>
        <w:top w:val="none" w:sz="0" w:space="0" w:color="auto"/>
        <w:left w:val="none" w:sz="0" w:space="0" w:color="auto"/>
        <w:bottom w:val="none" w:sz="0" w:space="0" w:color="auto"/>
        <w:right w:val="none" w:sz="0" w:space="0" w:color="auto"/>
      </w:divBdr>
    </w:div>
    <w:div w:id="686950164">
      <w:bodyDiv w:val="1"/>
      <w:marLeft w:val="0"/>
      <w:marRight w:val="0"/>
      <w:marTop w:val="0"/>
      <w:marBottom w:val="0"/>
      <w:divBdr>
        <w:top w:val="none" w:sz="0" w:space="0" w:color="auto"/>
        <w:left w:val="none" w:sz="0" w:space="0" w:color="auto"/>
        <w:bottom w:val="none" w:sz="0" w:space="0" w:color="auto"/>
        <w:right w:val="none" w:sz="0" w:space="0" w:color="auto"/>
      </w:divBdr>
    </w:div>
    <w:div w:id="687219384">
      <w:bodyDiv w:val="1"/>
      <w:marLeft w:val="0"/>
      <w:marRight w:val="0"/>
      <w:marTop w:val="0"/>
      <w:marBottom w:val="0"/>
      <w:divBdr>
        <w:top w:val="none" w:sz="0" w:space="0" w:color="auto"/>
        <w:left w:val="none" w:sz="0" w:space="0" w:color="auto"/>
        <w:bottom w:val="none" w:sz="0" w:space="0" w:color="auto"/>
        <w:right w:val="none" w:sz="0" w:space="0" w:color="auto"/>
      </w:divBdr>
    </w:div>
    <w:div w:id="687560934">
      <w:bodyDiv w:val="1"/>
      <w:marLeft w:val="0"/>
      <w:marRight w:val="0"/>
      <w:marTop w:val="0"/>
      <w:marBottom w:val="0"/>
      <w:divBdr>
        <w:top w:val="none" w:sz="0" w:space="0" w:color="auto"/>
        <w:left w:val="none" w:sz="0" w:space="0" w:color="auto"/>
        <w:bottom w:val="none" w:sz="0" w:space="0" w:color="auto"/>
        <w:right w:val="none" w:sz="0" w:space="0" w:color="auto"/>
      </w:divBdr>
    </w:div>
    <w:div w:id="687607912">
      <w:bodyDiv w:val="1"/>
      <w:marLeft w:val="0"/>
      <w:marRight w:val="0"/>
      <w:marTop w:val="0"/>
      <w:marBottom w:val="0"/>
      <w:divBdr>
        <w:top w:val="none" w:sz="0" w:space="0" w:color="auto"/>
        <w:left w:val="none" w:sz="0" w:space="0" w:color="auto"/>
        <w:bottom w:val="none" w:sz="0" w:space="0" w:color="auto"/>
        <w:right w:val="none" w:sz="0" w:space="0" w:color="auto"/>
      </w:divBdr>
    </w:div>
    <w:div w:id="689716977">
      <w:bodyDiv w:val="1"/>
      <w:marLeft w:val="0"/>
      <w:marRight w:val="0"/>
      <w:marTop w:val="0"/>
      <w:marBottom w:val="0"/>
      <w:divBdr>
        <w:top w:val="none" w:sz="0" w:space="0" w:color="auto"/>
        <w:left w:val="none" w:sz="0" w:space="0" w:color="auto"/>
        <w:bottom w:val="none" w:sz="0" w:space="0" w:color="auto"/>
        <w:right w:val="none" w:sz="0" w:space="0" w:color="auto"/>
      </w:divBdr>
    </w:div>
    <w:div w:id="690030673">
      <w:bodyDiv w:val="1"/>
      <w:marLeft w:val="0"/>
      <w:marRight w:val="0"/>
      <w:marTop w:val="0"/>
      <w:marBottom w:val="0"/>
      <w:divBdr>
        <w:top w:val="none" w:sz="0" w:space="0" w:color="auto"/>
        <w:left w:val="none" w:sz="0" w:space="0" w:color="auto"/>
        <w:bottom w:val="none" w:sz="0" w:space="0" w:color="auto"/>
        <w:right w:val="none" w:sz="0" w:space="0" w:color="auto"/>
      </w:divBdr>
    </w:div>
    <w:div w:id="690254453">
      <w:bodyDiv w:val="1"/>
      <w:marLeft w:val="0"/>
      <w:marRight w:val="0"/>
      <w:marTop w:val="0"/>
      <w:marBottom w:val="0"/>
      <w:divBdr>
        <w:top w:val="none" w:sz="0" w:space="0" w:color="auto"/>
        <w:left w:val="none" w:sz="0" w:space="0" w:color="auto"/>
        <w:bottom w:val="none" w:sz="0" w:space="0" w:color="auto"/>
        <w:right w:val="none" w:sz="0" w:space="0" w:color="auto"/>
      </w:divBdr>
    </w:div>
    <w:div w:id="690684744">
      <w:bodyDiv w:val="1"/>
      <w:marLeft w:val="0"/>
      <w:marRight w:val="0"/>
      <w:marTop w:val="0"/>
      <w:marBottom w:val="0"/>
      <w:divBdr>
        <w:top w:val="none" w:sz="0" w:space="0" w:color="auto"/>
        <w:left w:val="none" w:sz="0" w:space="0" w:color="auto"/>
        <w:bottom w:val="none" w:sz="0" w:space="0" w:color="auto"/>
        <w:right w:val="none" w:sz="0" w:space="0" w:color="auto"/>
      </w:divBdr>
    </w:div>
    <w:div w:id="691808557">
      <w:bodyDiv w:val="1"/>
      <w:marLeft w:val="0"/>
      <w:marRight w:val="0"/>
      <w:marTop w:val="0"/>
      <w:marBottom w:val="0"/>
      <w:divBdr>
        <w:top w:val="none" w:sz="0" w:space="0" w:color="auto"/>
        <w:left w:val="none" w:sz="0" w:space="0" w:color="auto"/>
        <w:bottom w:val="none" w:sz="0" w:space="0" w:color="auto"/>
        <w:right w:val="none" w:sz="0" w:space="0" w:color="auto"/>
      </w:divBdr>
    </w:div>
    <w:div w:id="692344016">
      <w:bodyDiv w:val="1"/>
      <w:marLeft w:val="0"/>
      <w:marRight w:val="0"/>
      <w:marTop w:val="0"/>
      <w:marBottom w:val="0"/>
      <w:divBdr>
        <w:top w:val="none" w:sz="0" w:space="0" w:color="auto"/>
        <w:left w:val="none" w:sz="0" w:space="0" w:color="auto"/>
        <w:bottom w:val="none" w:sz="0" w:space="0" w:color="auto"/>
        <w:right w:val="none" w:sz="0" w:space="0" w:color="auto"/>
      </w:divBdr>
    </w:div>
    <w:div w:id="692532534">
      <w:bodyDiv w:val="1"/>
      <w:marLeft w:val="0"/>
      <w:marRight w:val="0"/>
      <w:marTop w:val="0"/>
      <w:marBottom w:val="0"/>
      <w:divBdr>
        <w:top w:val="none" w:sz="0" w:space="0" w:color="auto"/>
        <w:left w:val="none" w:sz="0" w:space="0" w:color="auto"/>
        <w:bottom w:val="none" w:sz="0" w:space="0" w:color="auto"/>
        <w:right w:val="none" w:sz="0" w:space="0" w:color="auto"/>
      </w:divBdr>
    </w:div>
    <w:div w:id="692732690">
      <w:bodyDiv w:val="1"/>
      <w:marLeft w:val="0"/>
      <w:marRight w:val="0"/>
      <w:marTop w:val="0"/>
      <w:marBottom w:val="0"/>
      <w:divBdr>
        <w:top w:val="none" w:sz="0" w:space="0" w:color="auto"/>
        <w:left w:val="none" w:sz="0" w:space="0" w:color="auto"/>
        <w:bottom w:val="none" w:sz="0" w:space="0" w:color="auto"/>
        <w:right w:val="none" w:sz="0" w:space="0" w:color="auto"/>
      </w:divBdr>
    </w:div>
    <w:div w:id="693579727">
      <w:bodyDiv w:val="1"/>
      <w:marLeft w:val="0"/>
      <w:marRight w:val="0"/>
      <w:marTop w:val="0"/>
      <w:marBottom w:val="0"/>
      <w:divBdr>
        <w:top w:val="none" w:sz="0" w:space="0" w:color="auto"/>
        <w:left w:val="none" w:sz="0" w:space="0" w:color="auto"/>
        <w:bottom w:val="none" w:sz="0" w:space="0" w:color="auto"/>
        <w:right w:val="none" w:sz="0" w:space="0" w:color="auto"/>
      </w:divBdr>
    </w:div>
    <w:div w:id="694424679">
      <w:bodyDiv w:val="1"/>
      <w:marLeft w:val="0"/>
      <w:marRight w:val="0"/>
      <w:marTop w:val="0"/>
      <w:marBottom w:val="0"/>
      <w:divBdr>
        <w:top w:val="none" w:sz="0" w:space="0" w:color="auto"/>
        <w:left w:val="none" w:sz="0" w:space="0" w:color="auto"/>
        <w:bottom w:val="none" w:sz="0" w:space="0" w:color="auto"/>
        <w:right w:val="none" w:sz="0" w:space="0" w:color="auto"/>
      </w:divBdr>
    </w:div>
    <w:div w:id="694575096">
      <w:bodyDiv w:val="1"/>
      <w:marLeft w:val="0"/>
      <w:marRight w:val="0"/>
      <w:marTop w:val="0"/>
      <w:marBottom w:val="0"/>
      <w:divBdr>
        <w:top w:val="none" w:sz="0" w:space="0" w:color="auto"/>
        <w:left w:val="none" w:sz="0" w:space="0" w:color="auto"/>
        <w:bottom w:val="none" w:sz="0" w:space="0" w:color="auto"/>
        <w:right w:val="none" w:sz="0" w:space="0" w:color="auto"/>
      </w:divBdr>
    </w:div>
    <w:div w:id="696738966">
      <w:bodyDiv w:val="1"/>
      <w:marLeft w:val="0"/>
      <w:marRight w:val="0"/>
      <w:marTop w:val="0"/>
      <w:marBottom w:val="0"/>
      <w:divBdr>
        <w:top w:val="none" w:sz="0" w:space="0" w:color="auto"/>
        <w:left w:val="none" w:sz="0" w:space="0" w:color="auto"/>
        <w:bottom w:val="none" w:sz="0" w:space="0" w:color="auto"/>
        <w:right w:val="none" w:sz="0" w:space="0" w:color="auto"/>
      </w:divBdr>
    </w:div>
    <w:div w:id="696976121">
      <w:bodyDiv w:val="1"/>
      <w:marLeft w:val="0"/>
      <w:marRight w:val="0"/>
      <w:marTop w:val="0"/>
      <w:marBottom w:val="0"/>
      <w:divBdr>
        <w:top w:val="none" w:sz="0" w:space="0" w:color="auto"/>
        <w:left w:val="none" w:sz="0" w:space="0" w:color="auto"/>
        <w:bottom w:val="none" w:sz="0" w:space="0" w:color="auto"/>
        <w:right w:val="none" w:sz="0" w:space="0" w:color="auto"/>
      </w:divBdr>
    </w:div>
    <w:div w:id="697199397">
      <w:bodyDiv w:val="1"/>
      <w:marLeft w:val="0"/>
      <w:marRight w:val="0"/>
      <w:marTop w:val="0"/>
      <w:marBottom w:val="0"/>
      <w:divBdr>
        <w:top w:val="none" w:sz="0" w:space="0" w:color="auto"/>
        <w:left w:val="none" w:sz="0" w:space="0" w:color="auto"/>
        <w:bottom w:val="none" w:sz="0" w:space="0" w:color="auto"/>
        <w:right w:val="none" w:sz="0" w:space="0" w:color="auto"/>
      </w:divBdr>
    </w:div>
    <w:div w:id="697705467">
      <w:bodyDiv w:val="1"/>
      <w:marLeft w:val="0"/>
      <w:marRight w:val="0"/>
      <w:marTop w:val="0"/>
      <w:marBottom w:val="0"/>
      <w:divBdr>
        <w:top w:val="none" w:sz="0" w:space="0" w:color="auto"/>
        <w:left w:val="none" w:sz="0" w:space="0" w:color="auto"/>
        <w:bottom w:val="none" w:sz="0" w:space="0" w:color="auto"/>
        <w:right w:val="none" w:sz="0" w:space="0" w:color="auto"/>
      </w:divBdr>
    </w:div>
    <w:div w:id="698314178">
      <w:bodyDiv w:val="1"/>
      <w:marLeft w:val="0"/>
      <w:marRight w:val="0"/>
      <w:marTop w:val="0"/>
      <w:marBottom w:val="0"/>
      <w:divBdr>
        <w:top w:val="none" w:sz="0" w:space="0" w:color="auto"/>
        <w:left w:val="none" w:sz="0" w:space="0" w:color="auto"/>
        <w:bottom w:val="none" w:sz="0" w:space="0" w:color="auto"/>
        <w:right w:val="none" w:sz="0" w:space="0" w:color="auto"/>
      </w:divBdr>
    </w:div>
    <w:div w:id="698969081">
      <w:bodyDiv w:val="1"/>
      <w:marLeft w:val="0"/>
      <w:marRight w:val="0"/>
      <w:marTop w:val="0"/>
      <w:marBottom w:val="0"/>
      <w:divBdr>
        <w:top w:val="none" w:sz="0" w:space="0" w:color="auto"/>
        <w:left w:val="none" w:sz="0" w:space="0" w:color="auto"/>
        <w:bottom w:val="none" w:sz="0" w:space="0" w:color="auto"/>
        <w:right w:val="none" w:sz="0" w:space="0" w:color="auto"/>
      </w:divBdr>
    </w:div>
    <w:div w:id="700324182">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1444271">
      <w:bodyDiv w:val="1"/>
      <w:marLeft w:val="0"/>
      <w:marRight w:val="0"/>
      <w:marTop w:val="0"/>
      <w:marBottom w:val="0"/>
      <w:divBdr>
        <w:top w:val="none" w:sz="0" w:space="0" w:color="auto"/>
        <w:left w:val="none" w:sz="0" w:space="0" w:color="auto"/>
        <w:bottom w:val="none" w:sz="0" w:space="0" w:color="auto"/>
        <w:right w:val="none" w:sz="0" w:space="0" w:color="auto"/>
      </w:divBdr>
    </w:div>
    <w:div w:id="701974672">
      <w:bodyDiv w:val="1"/>
      <w:marLeft w:val="0"/>
      <w:marRight w:val="0"/>
      <w:marTop w:val="0"/>
      <w:marBottom w:val="0"/>
      <w:divBdr>
        <w:top w:val="none" w:sz="0" w:space="0" w:color="auto"/>
        <w:left w:val="none" w:sz="0" w:space="0" w:color="auto"/>
        <w:bottom w:val="none" w:sz="0" w:space="0" w:color="auto"/>
        <w:right w:val="none" w:sz="0" w:space="0" w:color="auto"/>
      </w:divBdr>
    </w:div>
    <w:div w:id="702944263">
      <w:bodyDiv w:val="1"/>
      <w:marLeft w:val="0"/>
      <w:marRight w:val="0"/>
      <w:marTop w:val="0"/>
      <w:marBottom w:val="0"/>
      <w:divBdr>
        <w:top w:val="none" w:sz="0" w:space="0" w:color="auto"/>
        <w:left w:val="none" w:sz="0" w:space="0" w:color="auto"/>
        <w:bottom w:val="none" w:sz="0" w:space="0" w:color="auto"/>
        <w:right w:val="none" w:sz="0" w:space="0" w:color="auto"/>
      </w:divBdr>
    </w:div>
    <w:div w:id="702945941">
      <w:bodyDiv w:val="1"/>
      <w:marLeft w:val="0"/>
      <w:marRight w:val="0"/>
      <w:marTop w:val="0"/>
      <w:marBottom w:val="0"/>
      <w:divBdr>
        <w:top w:val="none" w:sz="0" w:space="0" w:color="auto"/>
        <w:left w:val="none" w:sz="0" w:space="0" w:color="auto"/>
        <w:bottom w:val="none" w:sz="0" w:space="0" w:color="auto"/>
        <w:right w:val="none" w:sz="0" w:space="0" w:color="auto"/>
      </w:divBdr>
    </w:div>
    <w:div w:id="704210143">
      <w:bodyDiv w:val="1"/>
      <w:marLeft w:val="0"/>
      <w:marRight w:val="0"/>
      <w:marTop w:val="0"/>
      <w:marBottom w:val="0"/>
      <w:divBdr>
        <w:top w:val="none" w:sz="0" w:space="0" w:color="auto"/>
        <w:left w:val="none" w:sz="0" w:space="0" w:color="auto"/>
        <w:bottom w:val="none" w:sz="0" w:space="0" w:color="auto"/>
        <w:right w:val="none" w:sz="0" w:space="0" w:color="auto"/>
      </w:divBdr>
    </w:div>
    <w:div w:id="704477879">
      <w:bodyDiv w:val="1"/>
      <w:marLeft w:val="0"/>
      <w:marRight w:val="0"/>
      <w:marTop w:val="0"/>
      <w:marBottom w:val="0"/>
      <w:divBdr>
        <w:top w:val="none" w:sz="0" w:space="0" w:color="auto"/>
        <w:left w:val="none" w:sz="0" w:space="0" w:color="auto"/>
        <w:bottom w:val="none" w:sz="0" w:space="0" w:color="auto"/>
        <w:right w:val="none" w:sz="0" w:space="0" w:color="auto"/>
      </w:divBdr>
    </w:div>
    <w:div w:id="704595088">
      <w:bodyDiv w:val="1"/>
      <w:marLeft w:val="0"/>
      <w:marRight w:val="0"/>
      <w:marTop w:val="0"/>
      <w:marBottom w:val="0"/>
      <w:divBdr>
        <w:top w:val="none" w:sz="0" w:space="0" w:color="auto"/>
        <w:left w:val="none" w:sz="0" w:space="0" w:color="auto"/>
        <w:bottom w:val="none" w:sz="0" w:space="0" w:color="auto"/>
        <w:right w:val="none" w:sz="0" w:space="0" w:color="auto"/>
      </w:divBdr>
    </w:div>
    <w:div w:id="705060281">
      <w:bodyDiv w:val="1"/>
      <w:marLeft w:val="0"/>
      <w:marRight w:val="0"/>
      <w:marTop w:val="0"/>
      <w:marBottom w:val="0"/>
      <w:divBdr>
        <w:top w:val="none" w:sz="0" w:space="0" w:color="auto"/>
        <w:left w:val="none" w:sz="0" w:space="0" w:color="auto"/>
        <w:bottom w:val="none" w:sz="0" w:space="0" w:color="auto"/>
        <w:right w:val="none" w:sz="0" w:space="0" w:color="auto"/>
      </w:divBdr>
    </w:div>
    <w:div w:id="705175257">
      <w:bodyDiv w:val="1"/>
      <w:marLeft w:val="0"/>
      <w:marRight w:val="0"/>
      <w:marTop w:val="0"/>
      <w:marBottom w:val="0"/>
      <w:divBdr>
        <w:top w:val="none" w:sz="0" w:space="0" w:color="auto"/>
        <w:left w:val="none" w:sz="0" w:space="0" w:color="auto"/>
        <w:bottom w:val="none" w:sz="0" w:space="0" w:color="auto"/>
        <w:right w:val="none" w:sz="0" w:space="0" w:color="auto"/>
      </w:divBdr>
    </w:div>
    <w:div w:id="705495296">
      <w:bodyDiv w:val="1"/>
      <w:marLeft w:val="0"/>
      <w:marRight w:val="0"/>
      <w:marTop w:val="0"/>
      <w:marBottom w:val="0"/>
      <w:divBdr>
        <w:top w:val="none" w:sz="0" w:space="0" w:color="auto"/>
        <w:left w:val="none" w:sz="0" w:space="0" w:color="auto"/>
        <w:bottom w:val="none" w:sz="0" w:space="0" w:color="auto"/>
        <w:right w:val="none" w:sz="0" w:space="0" w:color="auto"/>
      </w:divBdr>
    </w:div>
    <w:div w:id="705831381">
      <w:bodyDiv w:val="1"/>
      <w:marLeft w:val="0"/>
      <w:marRight w:val="0"/>
      <w:marTop w:val="0"/>
      <w:marBottom w:val="0"/>
      <w:divBdr>
        <w:top w:val="none" w:sz="0" w:space="0" w:color="auto"/>
        <w:left w:val="none" w:sz="0" w:space="0" w:color="auto"/>
        <w:bottom w:val="none" w:sz="0" w:space="0" w:color="auto"/>
        <w:right w:val="none" w:sz="0" w:space="0" w:color="auto"/>
      </w:divBdr>
    </w:div>
    <w:div w:id="705914937">
      <w:bodyDiv w:val="1"/>
      <w:marLeft w:val="0"/>
      <w:marRight w:val="0"/>
      <w:marTop w:val="0"/>
      <w:marBottom w:val="0"/>
      <w:divBdr>
        <w:top w:val="none" w:sz="0" w:space="0" w:color="auto"/>
        <w:left w:val="none" w:sz="0" w:space="0" w:color="auto"/>
        <w:bottom w:val="none" w:sz="0" w:space="0" w:color="auto"/>
        <w:right w:val="none" w:sz="0" w:space="0" w:color="auto"/>
      </w:divBdr>
    </w:div>
    <w:div w:id="705957014">
      <w:bodyDiv w:val="1"/>
      <w:marLeft w:val="0"/>
      <w:marRight w:val="0"/>
      <w:marTop w:val="0"/>
      <w:marBottom w:val="0"/>
      <w:divBdr>
        <w:top w:val="none" w:sz="0" w:space="0" w:color="auto"/>
        <w:left w:val="none" w:sz="0" w:space="0" w:color="auto"/>
        <w:bottom w:val="none" w:sz="0" w:space="0" w:color="auto"/>
        <w:right w:val="none" w:sz="0" w:space="0" w:color="auto"/>
      </w:divBdr>
    </w:div>
    <w:div w:id="706178323">
      <w:bodyDiv w:val="1"/>
      <w:marLeft w:val="0"/>
      <w:marRight w:val="0"/>
      <w:marTop w:val="0"/>
      <w:marBottom w:val="0"/>
      <w:divBdr>
        <w:top w:val="none" w:sz="0" w:space="0" w:color="auto"/>
        <w:left w:val="none" w:sz="0" w:space="0" w:color="auto"/>
        <w:bottom w:val="none" w:sz="0" w:space="0" w:color="auto"/>
        <w:right w:val="none" w:sz="0" w:space="0" w:color="auto"/>
      </w:divBdr>
    </w:div>
    <w:div w:id="707536308">
      <w:bodyDiv w:val="1"/>
      <w:marLeft w:val="0"/>
      <w:marRight w:val="0"/>
      <w:marTop w:val="0"/>
      <w:marBottom w:val="0"/>
      <w:divBdr>
        <w:top w:val="none" w:sz="0" w:space="0" w:color="auto"/>
        <w:left w:val="none" w:sz="0" w:space="0" w:color="auto"/>
        <w:bottom w:val="none" w:sz="0" w:space="0" w:color="auto"/>
        <w:right w:val="none" w:sz="0" w:space="0" w:color="auto"/>
      </w:divBdr>
      <w:divsChild>
        <w:div w:id="1735618108">
          <w:marLeft w:val="0"/>
          <w:marRight w:val="0"/>
          <w:marTop w:val="0"/>
          <w:marBottom w:val="0"/>
          <w:divBdr>
            <w:top w:val="none" w:sz="0" w:space="0" w:color="auto"/>
            <w:left w:val="none" w:sz="0" w:space="0" w:color="auto"/>
            <w:bottom w:val="none" w:sz="0" w:space="0" w:color="auto"/>
            <w:right w:val="none" w:sz="0" w:space="0" w:color="auto"/>
          </w:divBdr>
        </w:div>
      </w:divsChild>
    </w:div>
    <w:div w:id="707877923">
      <w:bodyDiv w:val="1"/>
      <w:marLeft w:val="0"/>
      <w:marRight w:val="0"/>
      <w:marTop w:val="0"/>
      <w:marBottom w:val="0"/>
      <w:divBdr>
        <w:top w:val="none" w:sz="0" w:space="0" w:color="auto"/>
        <w:left w:val="none" w:sz="0" w:space="0" w:color="auto"/>
        <w:bottom w:val="none" w:sz="0" w:space="0" w:color="auto"/>
        <w:right w:val="none" w:sz="0" w:space="0" w:color="auto"/>
      </w:divBdr>
    </w:div>
    <w:div w:id="708804272">
      <w:bodyDiv w:val="1"/>
      <w:marLeft w:val="0"/>
      <w:marRight w:val="0"/>
      <w:marTop w:val="0"/>
      <w:marBottom w:val="0"/>
      <w:divBdr>
        <w:top w:val="none" w:sz="0" w:space="0" w:color="auto"/>
        <w:left w:val="none" w:sz="0" w:space="0" w:color="auto"/>
        <w:bottom w:val="none" w:sz="0" w:space="0" w:color="auto"/>
        <w:right w:val="none" w:sz="0" w:space="0" w:color="auto"/>
      </w:divBdr>
    </w:div>
    <w:div w:id="708841842">
      <w:bodyDiv w:val="1"/>
      <w:marLeft w:val="0"/>
      <w:marRight w:val="0"/>
      <w:marTop w:val="0"/>
      <w:marBottom w:val="0"/>
      <w:divBdr>
        <w:top w:val="none" w:sz="0" w:space="0" w:color="auto"/>
        <w:left w:val="none" w:sz="0" w:space="0" w:color="auto"/>
        <w:bottom w:val="none" w:sz="0" w:space="0" w:color="auto"/>
        <w:right w:val="none" w:sz="0" w:space="0" w:color="auto"/>
      </w:divBdr>
    </w:div>
    <w:div w:id="710304930">
      <w:bodyDiv w:val="1"/>
      <w:marLeft w:val="0"/>
      <w:marRight w:val="0"/>
      <w:marTop w:val="0"/>
      <w:marBottom w:val="0"/>
      <w:divBdr>
        <w:top w:val="none" w:sz="0" w:space="0" w:color="auto"/>
        <w:left w:val="none" w:sz="0" w:space="0" w:color="auto"/>
        <w:bottom w:val="none" w:sz="0" w:space="0" w:color="auto"/>
        <w:right w:val="none" w:sz="0" w:space="0" w:color="auto"/>
      </w:divBdr>
    </w:div>
    <w:div w:id="711003072">
      <w:bodyDiv w:val="1"/>
      <w:marLeft w:val="0"/>
      <w:marRight w:val="0"/>
      <w:marTop w:val="0"/>
      <w:marBottom w:val="0"/>
      <w:divBdr>
        <w:top w:val="none" w:sz="0" w:space="0" w:color="auto"/>
        <w:left w:val="none" w:sz="0" w:space="0" w:color="auto"/>
        <w:bottom w:val="none" w:sz="0" w:space="0" w:color="auto"/>
        <w:right w:val="none" w:sz="0" w:space="0" w:color="auto"/>
      </w:divBdr>
    </w:div>
    <w:div w:id="711730884">
      <w:bodyDiv w:val="1"/>
      <w:marLeft w:val="0"/>
      <w:marRight w:val="0"/>
      <w:marTop w:val="0"/>
      <w:marBottom w:val="0"/>
      <w:divBdr>
        <w:top w:val="none" w:sz="0" w:space="0" w:color="auto"/>
        <w:left w:val="none" w:sz="0" w:space="0" w:color="auto"/>
        <w:bottom w:val="none" w:sz="0" w:space="0" w:color="auto"/>
        <w:right w:val="none" w:sz="0" w:space="0" w:color="auto"/>
      </w:divBdr>
    </w:div>
    <w:div w:id="711999949">
      <w:bodyDiv w:val="1"/>
      <w:marLeft w:val="0"/>
      <w:marRight w:val="0"/>
      <w:marTop w:val="0"/>
      <w:marBottom w:val="0"/>
      <w:divBdr>
        <w:top w:val="none" w:sz="0" w:space="0" w:color="auto"/>
        <w:left w:val="none" w:sz="0" w:space="0" w:color="auto"/>
        <w:bottom w:val="none" w:sz="0" w:space="0" w:color="auto"/>
        <w:right w:val="none" w:sz="0" w:space="0" w:color="auto"/>
      </w:divBdr>
    </w:div>
    <w:div w:id="712002656">
      <w:bodyDiv w:val="1"/>
      <w:marLeft w:val="0"/>
      <w:marRight w:val="0"/>
      <w:marTop w:val="0"/>
      <w:marBottom w:val="0"/>
      <w:divBdr>
        <w:top w:val="none" w:sz="0" w:space="0" w:color="auto"/>
        <w:left w:val="none" w:sz="0" w:space="0" w:color="auto"/>
        <w:bottom w:val="none" w:sz="0" w:space="0" w:color="auto"/>
        <w:right w:val="none" w:sz="0" w:space="0" w:color="auto"/>
      </w:divBdr>
    </w:div>
    <w:div w:id="712266094">
      <w:bodyDiv w:val="1"/>
      <w:marLeft w:val="0"/>
      <w:marRight w:val="0"/>
      <w:marTop w:val="0"/>
      <w:marBottom w:val="0"/>
      <w:divBdr>
        <w:top w:val="none" w:sz="0" w:space="0" w:color="auto"/>
        <w:left w:val="none" w:sz="0" w:space="0" w:color="auto"/>
        <w:bottom w:val="none" w:sz="0" w:space="0" w:color="auto"/>
        <w:right w:val="none" w:sz="0" w:space="0" w:color="auto"/>
      </w:divBdr>
    </w:div>
    <w:div w:id="714425347">
      <w:bodyDiv w:val="1"/>
      <w:marLeft w:val="0"/>
      <w:marRight w:val="0"/>
      <w:marTop w:val="0"/>
      <w:marBottom w:val="0"/>
      <w:divBdr>
        <w:top w:val="none" w:sz="0" w:space="0" w:color="auto"/>
        <w:left w:val="none" w:sz="0" w:space="0" w:color="auto"/>
        <w:bottom w:val="none" w:sz="0" w:space="0" w:color="auto"/>
        <w:right w:val="none" w:sz="0" w:space="0" w:color="auto"/>
      </w:divBdr>
    </w:div>
    <w:div w:id="714811821">
      <w:bodyDiv w:val="1"/>
      <w:marLeft w:val="0"/>
      <w:marRight w:val="0"/>
      <w:marTop w:val="0"/>
      <w:marBottom w:val="0"/>
      <w:divBdr>
        <w:top w:val="none" w:sz="0" w:space="0" w:color="auto"/>
        <w:left w:val="none" w:sz="0" w:space="0" w:color="auto"/>
        <w:bottom w:val="none" w:sz="0" w:space="0" w:color="auto"/>
        <w:right w:val="none" w:sz="0" w:space="0" w:color="auto"/>
      </w:divBdr>
    </w:div>
    <w:div w:id="714886825">
      <w:bodyDiv w:val="1"/>
      <w:marLeft w:val="0"/>
      <w:marRight w:val="0"/>
      <w:marTop w:val="0"/>
      <w:marBottom w:val="0"/>
      <w:divBdr>
        <w:top w:val="none" w:sz="0" w:space="0" w:color="auto"/>
        <w:left w:val="none" w:sz="0" w:space="0" w:color="auto"/>
        <w:bottom w:val="none" w:sz="0" w:space="0" w:color="auto"/>
        <w:right w:val="none" w:sz="0" w:space="0" w:color="auto"/>
      </w:divBdr>
    </w:div>
    <w:div w:id="715275053">
      <w:bodyDiv w:val="1"/>
      <w:marLeft w:val="0"/>
      <w:marRight w:val="0"/>
      <w:marTop w:val="0"/>
      <w:marBottom w:val="0"/>
      <w:divBdr>
        <w:top w:val="none" w:sz="0" w:space="0" w:color="auto"/>
        <w:left w:val="none" w:sz="0" w:space="0" w:color="auto"/>
        <w:bottom w:val="none" w:sz="0" w:space="0" w:color="auto"/>
        <w:right w:val="none" w:sz="0" w:space="0" w:color="auto"/>
      </w:divBdr>
    </w:div>
    <w:div w:id="716046477">
      <w:bodyDiv w:val="1"/>
      <w:marLeft w:val="0"/>
      <w:marRight w:val="0"/>
      <w:marTop w:val="0"/>
      <w:marBottom w:val="0"/>
      <w:divBdr>
        <w:top w:val="none" w:sz="0" w:space="0" w:color="auto"/>
        <w:left w:val="none" w:sz="0" w:space="0" w:color="auto"/>
        <w:bottom w:val="none" w:sz="0" w:space="0" w:color="auto"/>
        <w:right w:val="none" w:sz="0" w:space="0" w:color="auto"/>
      </w:divBdr>
    </w:div>
    <w:div w:id="716316676">
      <w:bodyDiv w:val="1"/>
      <w:marLeft w:val="0"/>
      <w:marRight w:val="0"/>
      <w:marTop w:val="0"/>
      <w:marBottom w:val="0"/>
      <w:divBdr>
        <w:top w:val="none" w:sz="0" w:space="0" w:color="auto"/>
        <w:left w:val="none" w:sz="0" w:space="0" w:color="auto"/>
        <w:bottom w:val="none" w:sz="0" w:space="0" w:color="auto"/>
        <w:right w:val="none" w:sz="0" w:space="0" w:color="auto"/>
      </w:divBdr>
      <w:divsChild>
        <w:div w:id="1833569822">
          <w:marLeft w:val="0"/>
          <w:marRight w:val="0"/>
          <w:marTop w:val="0"/>
          <w:marBottom w:val="0"/>
          <w:divBdr>
            <w:top w:val="none" w:sz="0" w:space="0" w:color="auto"/>
            <w:left w:val="none" w:sz="0" w:space="0" w:color="auto"/>
            <w:bottom w:val="none" w:sz="0" w:space="0" w:color="auto"/>
            <w:right w:val="none" w:sz="0" w:space="0" w:color="auto"/>
          </w:divBdr>
          <w:divsChild>
            <w:div w:id="2027369869">
              <w:marLeft w:val="0"/>
              <w:marRight w:val="0"/>
              <w:marTop w:val="0"/>
              <w:marBottom w:val="0"/>
              <w:divBdr>
                <w:top w:val="none" w:sz="0" w:space="0" w:color="auto"/>
                <w:left w:val="none" w:sz="0" w:space="0" w:color="auto"/>
                <w:bottom w:val="none" w:sz="0" w:space="0" w:color="auto"/>
                <w:right w:val="none" w:sz="0" w:space="0" w:color="auto"/>
              </w:divBdr>
              <w:divsChild>
                <w:div w:id="745492088">
                  <w:marLeft w:val="0"/>
                  <w:marRight w:val="0"/>
                  <w:marTop w:val="0"/>
                  <w:marBottom w:val="0"/>
                  <w:divBdr>
                    <w:top w:val="none" w:sz="0" w:space="0" w:color="auto"/>
                    <w:left w:val="none" w:sz="0" w:space="0" w:color="auto"/>
                    <w:bottom w:val="none" w:sz="0" w:space="0" w:color="auto"/>
                    <w:right w:val="none" w:sz="0" w:space="0" w:color="auto"/>
                  </w:divBdr>
                  <w:divsChild>
                    <w:div w:id="436609057">
                      <w:marLeft w:val="0"/>
                      <w:marRight w:val="0"/>
                      <w:marTop w:val="0"/>
                      <w:marBottom w:val="0"/>
                      <w:divBdr>
                        <w:top w:val="none" w:sz="0" w:space="0" w:color="auto"/>
                        <w:left w:val="none" w:sz="0" w:space="0" w:color="auto"/>
                        <w:bottom w:val="none" w:sz="0" w:space="0" w:color="auto"/>
                        <w:right w:val="none" w:sz="0" w:space="0" w:color="auto"/>
                      </w:divBdr>
                      <w:divsChild>
                        <w:div w:id="1082262405">
                          <w:marLeft w:val="0"/>
                          <w:marRight w:val="0"/>
                          <w:marTop w:val="0"/>
                          <w:marBottom w:val="0"/>
                          <w:divBdr>
                            <w:top w:val="none" w:sz="0" w:space="0" w:color="auto"/>
                            <w:left w:val="none" w:sz="0" w:space="0" w:color="auto"/>
                            <w:bottom w:val="none" w:sz="0" w:space="0" w:color="auto"/>
                            <w:right w:val="none" w:sz="0" w:space="0" w:color="auto"/>
                          </w:divBdr>
                          <w:divsChild>
                            <w:div w:id="708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466302">
      <w:bodyDiv w:val="1"/>
      <w:marLeft w:val="0"/>
      <w:marRight w:val="0"/>
      <w:marTop w:val="0"/>
      <w:marBottom w:val="0"/>
      <w:divBdr>
        <w:top w:val="none" w:sz="0" w:space="0" w:color="auto"/>
        <w:left w:val="none" w:sz="0" w:space="0" w:color="auto"/>
        <w:bottom w:val="none" w:sz="0" w:space="0" w:color="auto"/>
        <w:right w:val="none" w:sz="0" w:space="0" w:color="auto"/>
      </w:divBdr>
    </w:div>
    <w:div w:id="716582956">
      <w:bodyDiv w:val="1"/>
      <w:marLeft w:val="0"/>
      <w:marRight w:val="0"/>
      <w:marTop w:val="0"/>
      <w:marBottom w:val="0"/>
      <w:divBdr>
        <w:top w:val="none" w:sz="0" w:space="0" w:color="auto"/>
        <w:left w:val="none" w:sz="0" w:space="0" w:color="auto"/>
        <w:bottom w:val="none" w:sz="0" w:space="0" w:color="auto"/>
        <w:right w:val="none" w:sz="0" w:space="0" w:color="auto"/>
      </w:divBdr>
    </w:div>
    <w:div w:id="716592228">
      <w:bodyDiv w:val="1"/>
      <w:marLeft w:val="0"/>
      <w:marRight w:val="0"/>
      <w:marTop w:val="0"/>
      <w:marBottom w:val="0"/>
      <w:divBdr>
        <w:top w:val="none" w:sz="0" w:space="0" w:color="auto"/>
        <w:left w:val="none" w:sz="0" w:space="0" w:color="auto"/>
        <w:bottom w:val="none" w:sz="0" w:space="0" w:color="auto"/>
        <w:right w:val="none" w:sz="0" w:space="0" w:color="auto"/>
      </w:divBdr>
    </w:div>
    <w:div w:id="718020291">
      <w:bodyDiv w:val="1"/>
      <w:marLeft w:val="0"/>
      <w:marRight w:val="0"/>
      <w:marTop w:val="0"/>
      <w:marBottom w:val="0"/>
      <w:divBdr>
        <w:top w:val="none" w:sz="0" w:space="0" w:color="auto"/>
        <w:left w:val="none" w:sz="0" w:space="0" w:color="auto"/>
        <w:bottom w:val="none" w:sz="0" w:space="0" w:color="auto"/>
        <w:right w:val="none" w:sz="0" w:space="0" w:color="auto"/>
      </w:divBdr>
    </w:div>
    <w:div w:id="718407323">
      <w:bodyDiv w:val="1"/>
      <w:marLeft w:val="0"/>
      <w:marRight w:val="0"/>
      <w:marTop w:val="0"/>
      <w:marBottom w:val="0"/>
      <w:divBdr>
        <w:top w:val="none" w:sz="0" w:space="0" w:color="auto"/>
        <w:left w:val="none" w:sz="0" w:space="0" w:color="auto"/>
        <w:bottom w:val="none" w:sz="0" w:space="0" w:color="auto"/>
        <w:right w:val="none" w:sz="0" w:space="0" w:color="auto"/>
      </w:divBdr>
    </w:div>
    <w:div w:id="718939723">
      <w:bodyDiv w:val="1"/>
      <w:marLeft w:val="0"/>
      <w:marRight w:val="0"/>
      <w:marTop w:val="0"/>
      <w:marBottom w:val="0"/>
      <w:divBdr>
        <w:top w:val="none" w:sz="0" w:space="0" w:color="auto"/>
        <w:left w:val="none" w:sz="0" w:space="0" w:color="auto"/>
        <w:bottom w:val="none" w:sz="0" w:space="0" w:color="auto"/>
        <w:right w:val="none" w:sz="0" w:space="0" w:color="auto"/>
      </w:divBdr>
    </w:div>
    <w:div w:id="718943557">
      <w:bodyDiv w:val="1"/>
      <w:marLeft w:val="0"/>
      <w:marRight w:val="0"/>
      <w:marTop w:val="0"/>
      <w:marBottom w:val="0"/>
      <w:divBdr>
        <w:top w:val="none" w:sz="0" w:space="0" w:color="auto"/>
        <w:left w:val="none" w:sz="0" w:space="0" w:color="auto"/>
        <w:bottom w:val="none" w:sz="0" w:space="0" w:color="auto"/>
        <w:right w:val="none" w:sz="0" w:space="0" w:color="auto"/>
      </w:divBdr>
    </w:div>
    <w:div w:id="720328261">
      <w:bodyDiv w:val="1"/>
      <w:marLeft w:val="0"/>
      <w:marRight w:val="0"/>
      <w:marTop w:val="0"/>
      <w:marBottom w:val="0"/>
      <w:divBdr>
        <w:top w:val="none" w:sz="0" w:space="0" w:color="auto"/>
        <w:left w:val="none" w:sz="0" w:space="0" w:color="auto"/>
        <w:bottom w:val="none" w:sz="0" w:space="0" w:color="auto"/>
        <w:right w:val="none" w:sz="0" w:space="0" w:color="auto"/>
      </w:divBdr>
      <w:divsChild>
        <w:div w:id="63994907">
          <w:marLeft w:val="0"/>
          <w:marRight w:val="0"/>
          <w:marTop w:val="0"/>
          <w:marBottom w:val="0"/>
          <w:divBdr>
            <w:top w:val="none" w:sz="0" w:space="0" w:color="auto"/>
            <w:left w:val="none" w:sz="0" w:space="0" w:color="auto"/>
            <w:bottom w:val="none" w:sz="0" w:space="0" w:color="auto"/>
            <w:right w:val="none" w:sz="0" w:space="0" w:color="auto"/>
          </w:divBdr>
        </w:div>
        <w:div w:id="76363212">
          <w:marLeft w:val="0"/>
          <w:marRight w:val="0"/>
          <w:marTop w:val="0"/>
          <w:marBottom w:val="0"/>
          <w:divBdr>
            <w:top w:val="none" w:sz="0" w:space="0" w:color="auto"/>
            <w:left w:val="none" w:sz="0" w:space="0" w:color="auto"/>
            <w:bottom w:val="none" w:sz="0" w:space="0" w:color="auto"/>
            <w:right w:val="none" w:sz="0" w:space="0" w:color="auto"/>
          </w:divBdr>
        </w:div>
        <w:div w:id="96868815">
          <w:marLeft w:val="0"/>
          <w:marRight w:val="0"/>
          <w:marTop w:val="0"/>
          <w:marBottom w:val="0"/>
          <w:divBdr>
            <w:top w:val="none" w:sz="0" w:space="0" w:color="auto"/>
            <w:left w:val="none" w:sz="0" w:space="0" w:color="auto"/>
            <w:bottom w:val="none" w:sz="0" w:space="0" w:color="auto"/>
            <w:right w:val="none" w:sz="0" w:space="0" w:color="auto"/>
          </w:divBdr>
        </w:div>
        <w:div w:id="98725097">
          <w:marLeft w:val="0"/>
          <w:marRight w:val="0"/>
          <w:marTop w:val="0"/>
          <w:marBottom w:val="0"/>
          <w:divBdr>
            <w:top w:val="none" w:sz="0" w:space="0" w:color="auto"/>
            <w:left w:val="none" w:sz="0" w:space="0" w:color="auto"/>
            <w:bottom w:val="none" w:sz="0" w:space="0" w:color="auto"/>
            <w:right w:val="none" w:sz="0" w:space="0" w:color="auto"/>
          </w:divBdr>
        </w:div>
        <w:div w:id="112604909">
          <w:marLeft w:val="0"/>
          <w:marRight w:val="0"/>
          <w:marTop w:val="0"/>
          <w:marBottom w:val="0"/>
          <w:divBdr>
            <w:top w:val="none" w:sz="0" w:space="0" w:color="auto"/>
            <w:left w:val="none" w:sz="0" w:space="0" w:color="auto"/>
            <w:bottom w:val="none" w:sz="0" w:space="0" w:color="auto"/>
            <w:right w:val="none" w:sz="0" w:space="0" w:color="auto"/>
          </w:divBdr>
        </w:div>
        <w:div w:id="127818201">
          <w:marLeft w:val="0"/>
          <w:marRight w:val="0"/>
          <w:marTop w:val="0"/>
          <w:marBottom w:val="0"/>
          <w:divBdr>
            <w:top w:val="none" w:sz="0" w:space="0" w:color="auto"/>
            <w:left w:val="none" w:sz="0" w:space="0" w:color="auto"/>
            <w:bottom w:val="none" w:sz="0" w:space="0" w:color="auto"/>
            <w:right w:val="none" w:sz="0" w:space="0" w:color="auto"/>
          </w:divBdr>
        </w:div>
        <w:div w:id="151682320">
          <w:marLeft w:val="0"/>
          <w:marRight w:val="0"/>
          <w:marTop w:val="0"/>
          <w:marBottom w:val="0"/>
          <w:divBdr>
            <w:top w:val="none" w:sz="0" w:space="0" w:color="auto"/>
            <w:left w:val="none" w:sz="0" w:space="0" w:color="auto"/>
            <w:bottom w:val="none" w:sz="0" w:space="0" w:color="auto"/>
            <w:right w:val="none" w:sz="0" w:space="0" w:color="auto"/>
          </w:divBdr>
        </w:div>
        <w:div w:id="207959719">
          <w:marLeft w:val="0"/>
          <w:marRight w:val="0"/>
          <w:marTop w:val="0"/>
          <w:marBottom w:val="0"/>
          <w:divBdr>
            <w:top w:val="none" w:sz="0" w:space="0" w:color="auto"/>
            <w:left w:val="none" w:sz="0" w:space="0" w:color="auto"/>
            <w:bottom w:val="none" w:sz="0" w:space="0" w:color="auto"/>
            <w:right w:val="none" w:sz="0" w:space="0" w:color="auto"/>
          </w:divBdr>
        </w:div>
        <w:div w:id="241836232">
          <w:marLeft w:val="0"/>
          <w:marRight w:val="0"/>
          <w:marTop w:val="0"/>
          <w:marBottom w:val="0"/>
          <w:divBdr>
            <w:top w:val="none" w:sz="0" w:space="0" w:color="auto"/>
            <w:left w:val="none" w:sz="0" w:space="0" w:color="auto"/>
            <w:bottom w:val="none" w:sz="0" w:space="0" w:color="auto"/>
            <w:right w:val="none" w:sz="0" w:space="0" w:color="auto"/>
          </w:divBdr>
        </w:div>
        <w:div w:id="425342530">
          <w:marLeft w:val="0"/>
          <w:marRight w:val="0"/>
          <w:marTop w:val="0"/>
          <w:marBottom w:val="0"/>
          <w:divBdr>
            <w:top w:val="none" w:sz="0" w:space="0" w:color="auto"/>
            <w:left w:val="none" w:sz="0" w:space="0" w:color="auto"/>
            <w:bottom w:val="none" w:sz="0" w:space="0" w:color="auto"/>
            <w:right w:val="none" w:sz="0" w:space="0" w:color="auto"/>
          </w:divBdr>
        </w:div>
        <w:div w:id="507257035">
          <w:marLeft w:val="0"/>
          <w:marRight w:val="0"/>
          <w:marTop w:val="0"/>
          <w:marBottom w:val="0"/>
          <w:divBdr>
            <w:top w:val="none" w:sz="0" w:space="0" w:color="auto"/>
            <w:left w:val="none" w:sz="0" w:space="0" w:color="auto"/>
            <w:bottom w:val="none" w:sz="0" w:space="0" w:color="auto"/>
            <w:right w:val="none" w:sz="0" w:space="0" w:color="auto"/>
          </w:divBdr>
        </w:div>
        <w:div w:id="625281935">
          <w:marLeft w:val="0"/>
          <w:marRight w:val="0"/>
          <w:marTop w:val="0"/>
          <w:marBottom w:val="0"/>
          <w:divBdr>
            <w:top w:val="none" w:sz="0" w:space="0" w:color="auto"/>
            <w:left w:val="none" w:sz="0" w:space="0" w:color="auto"/>
            <w:bottom w:val="none" w:sz="0" w:space="0" w:color="auto"/>
            <w:right w:val="none" w:sz="0" w:space="0" w:color="auto"/>
          </w:divBdr>
        </w:div>
        <w:div w:id="652873839">
          <w:marLeft w:val="0"/>
          <w:marRight w:val="0"/>
          <w:marTop w:val="0"/>
          <w:marBottom w:val="0"/>
          <w:divBdr>
            <w:top w:val="none" w:sz="0" w:space="0" w:color="auto"/>
            <w:left w:val="none" w:sz="0" w:space="0" w:color="auto"/>
            <w:bottom w:val="none" w:sz="0" w:space="0" w:color="auto"/>
            <w:right w:val="none" w:sz="0" w:space="0" w:color="auto"/>
          </w:divBdr>
        </w:div>
        <w:div w:id="689797203">
          <w:marLeft w:val="0"/>
          <w:marRight w:val="0"/>
          <w:marTop w:val="0"/>
          <w:marBottom w:val="0"/>
          <w:divBdr>
            <w:top w:val="none" w:sz="0" w:space="0" w:color="auto"/>
            <w:left w:val="none" w:sz="0" w:space="0" w:color="auto"/>
            <w:bottom w:val="none" w:sz="0" w:space="0" w:color="auto"/>
            <w:right w:val="none" w:sz="0" w:space="0" w:color="auto"/>
          </w:divBdr>
        </w:div>
        <w:div w:id="725646679">
          <w:marLeft w:val="0"/>
          <w:marRight w:val="0"/>
          <w:marTop w:val="0"/>
          <w:marBottom w:val="0"/>
          <w:divBdr>
            <w:top w:val="none" w:sz="0" w:space="0" w:color="auto"/>
            <w:left w:val="none" w:sz="0" w:space="0" w:color="auto"/>
            <w:bottom w:val="none" w:sz="0" w:space="0" w:color="auto"/>
            <w:right w:val="none" w:sz="0" w:space="0" w:color="auto"/>
          </w:divBdr>
        </w:div>
        <w:div w:id="781925405">
          <w:marLeft w:val="0"/>
          <w:marRight w:val="0"/>
          <w:marTop w:val="0"/>
          <w:marBottom w:val="0"/>
          <w:divBdr>
            <w:top w:val="none" w:sz="0" w:space="0" w:color="auto"/>
            <w:left w:val="none" w:sz="0" w:space="0" w:color="auto"/>
            <w:bottom w:val="none" w:sz="0" w:space="0" w:color="auto"/>
            <w:right w:val="none" w:sz="0" w:space="0" w:color="auto"/>
          </w:divBdr>
        </w:div>
        <w:div w:id="786852360">
          <w:marLeft w:val="0"/>
          <w:marRight w:val="0"/>
          <w:marTop w:val="0"/>
          <w:marBottom w:val="0"/>
          <w:divBdr>
            <w:top w:val="none" w:sz="0" w:space="0" w:color="auto"/>
            <w:left w:val="none" w:sz="0" w:space="0" w:color="auto"/>
            <w:bottom w:val="none" w:sz="0" w:space="0" w:color="auto"/>
            <w:right w:val="none" w:sz="0" w:space="0" w:color="auto"/>
          </w:divBdr>
        </w:div>
        <w:div w:id="794256719">
          <w:marLeft w:val="0"/>
          <w:marRight w:val="0"/>
          <w:marTop w:val="0"/>
          <w:marBottom w:val="0"/>
          <w:divBdr>
            <w:top w:val="none" w:sz="0" w:space="0" w:color="auto"/>
            <w:left w:val="none" w:sz="0" w:space="0" w:color="auto"/>
            <w:bottom w:val="none" w:sz="0" w:space="0" w:color="auto"/>
            <w:right w:val="none" w:sz="0" w:space="0" w:color="auto"/>
          </w:divBdr>
        </w:div>
        <w:div w:id="801269989">
          <w:marLeft w:val="0"/>
          <w:marRight w:val="0"/>
          <w:marTop w:val="0"/>
          <w:marBottom w:val="0"/>
          <w:divBdr>
            <w:top w:val="none" w:sz="0" w:space="0" w:color="auto"/>
            <w:left w:val="none" w:sz="0" w:space="0" w:color="auto"/>
            <w:bottom w:val="none" w:sz="0" w:space="0" w:color="auto"/>
            <w:right w:val="none" w:sz="0" w:space="0" w:color="auto"/>
          </w:divBdr>
        </w:div>
        <w:div w:id="853347719">
          <w:marLeft w:val="0"/>
          <w:marRight w:val="0"/>
          <w:marTop w:val="0"/>
          <w:marBottom w:val="0"/>
          <w:divBdr>
            <w:top w:val="none" w:sz="0" w:space="0" w:color="auto"/>
            <w:left w:val="none" w:sz="0" w:space="0" w:color="auto"/>
            <w:bottom w:val="none" w:sz="0" w:space="0" w:color="auto"/>
            <w:right w:val="none" w:sz="0" w:space="0" w:color="auto"/>
          </w:divBdr>
        </w:div>
        <w:div w:id="886645187">
          <w:marLeft w:val="0"/>
          <w:marRight w:val="0"/>
          <w:marTop w:val="0"/>
          <w:marBottom w:val="0"/>
          <w:divBdr>
            <w:top w:val="none" w:sz="0" w:space="0" w:color="auto"/>
            <w:left w:val="none" w:sz="0" w:space="0" w:color="auto"/>
            <w:bottom w:val="none" w:sz="0" w:space="0" w:color="auto"/>
            <w:right w:val="none" w:sz="0" w:space="0" w:color="auto"/>
          </w:divBdr>
        </w:div>
        <w:div w:id="910505236">
          <w:marLeft w:val="0"/>
          <w:marRight w:val="0"/>
          <w:marTop w:val="0"/>
          <w:marBottom w:val="0"/>
          <w:divBdr>
            <w:top w:val="none" w:sz="0" w:space="0" w:color="auto"/>
            <w:left w:val="none" w:sz="0" w:space="0" w:color="auto"/>
            <w:bottom w:val="none" w:sz="0" w:space="0" w:color="auto"/>
            <w:right w:val="none" w:sz="0" w:space="0" w:color="auto"/>
          </w:divBdr>
        </w:div>
        <w:div w:id="919099855">
          <w:marLeft w:val="0"/>
          <w:marRight w:val="0"/>
          <w:marTop w:val="0"/>
          <w:marBottom w:val="0"/>
          <w:divBdr>
            <w:top w:val="none" w:sz="0" w:space="0" w:color="auto"/>
            <w:left w:val="none" w:sz="0" w:space="0" w:color="auto"/>
            <w:bottom w:val="none" w:sz="0" w:space="0" w:color="auto"/>
            <w:right w:val="none" w:sz="0" w:space="0" w:color="auto"/>
          </w:divBdr>
        </w:div>
        <w:div w:id="954598590">
          <w:marLeft w:val="0"/>
          <w:marRight w:val="0"/>
          <w:marTop w:val="0"/>
          <w:marBottom w:val="0"/>
          <w:divBdr>
            <w:top w:val="none" w:sz="0" w:space="0" w:color="auto"/>
            <w:left w:val="none" w:sz="0" w:space="0" w:color="auto"/>
            <w:bottom w:val="none" w:sz="0" w:space="0" w:color="auto"/>
            <w:right w:val="none" w:sz="0" w:space="0" w:color="auto"/>
          </w:divBdr>
        </w:div>
        <w:div w:id="1101145012">
          <w:marLeft w:val="0"/>
          <w:marRight w:val="0"/>
          <w:marTop w:val="0"/>
          <w:marBottom w:val="0"/>
          <w:divBdr>
            <w:top w:val="none" w:sz="0" w:space="0" w:color="auto"/>
            <w:left w:val="none" w:sz="0" w:space="0" w:color="auto"/>
            <w:bottom w:val="none" w:sz="0" w:space="0" w:color="auto"/>
            <w:right w:val="none" w:sz="0" w:space="0" w:color="auto"/>
          </w:divBdr>
        </w:div>
        <w:div w:id="1104493139">
          <w:marLeft w:val="0"/>
          <w:marRight w:val="0"/>
          <w:marTop w:val="0"/>
          <w:marBottom w:val="0"/>
          <w:divBdr>
            <w:top w:val="none" w:sz="0" w:space="0" w:color="auto"/>
            <w:left w:val="none" w:sz="0" w:space="0" w:color="auto"/>
            <w:bottom w:val="none" w:sz="0" w:space="0" w:color="auto"/>
            <w:right w:val="none" w:sz="0" w:space="0" w:color="auto"/>
          </w:divBdr>
        </w:div>
        <w:div w:id="1109739998">
          <w:marLeft w:val="0"/>
          <w:marRight w:val="0"/>
          <w:marTop w:val="0"/>
          <w:marBottom w:val="0"/>
          <w:divBdr>
            <w:top w:val="none" w:sz="0" w:space="0" w:color="auto"/>
            <w:left w:val="none" w:sz="0" w:space="0" w:color="auto"/>
            <w:bottom w:val="none" w:sz="0" w:space="0" w:color="auto"/>
            <w:right w:val="none" w:sz="0" w:space="0" w:color="auto"/>
          </w:divBdr>
        </w:div>
        <w:div w:id="1190680083">
          <w:marLeft w:val="0"/>
          <w:marRight w:val="0"/>
          <w:marTop w:val="0"/>
          <w:marBottom w:val="0"/>
          <w:divBdr>
            <w:top w:val="none" w:sz="0" w:space="0" w:color="auto"/>
            <w:left w:val="none" w:sz="0" w:space="0" w:color="auto"/>
            <w:bottom w:val="none" w:sz="0" w:space="0" w:color="auto"/>
            <w:right w:val="none" w:sz="0" w:space="0" w:color="auto"/>
          </w:divBdr>
        </w:div>
        <w:div w:id="1194076071">
          <w:marLeft w:val="0"/>
          <w:marRight w:val="0"/>
          <w:marTop w:val="0"/>
          <w:marBottom w:val="0"/>
          <w:divBdr>
            <w:top w:val="none" w:sz="0" w:space="0" w:color="auto"/>
            <w:left w:val="none" w:sz="0" w:space="0" w:color="auto"/>
            <w:bottom w:val="none" w:sz="0" w:space="0" w:color="auto"/>
            <w:right w:val="none" w:sz="0" w:space="0" w:color="auto"/>
          </w:divBdr>
        </w:div>
        <w:div w:id="1215002236">
          <w:marLeft w:val="0"/>
          <w:marRight w:val="0"/>
          <w:marTop w:val="0"/>
          <w:marBottom w:val="0"/>
          <w:divBdr>
            <w:top w:val="none" w:sz="0" w:space="0" w:color="auto"/>
            <w:left w:val="none" w:sz="0" w:space="0" w:color="auto"/>
            <w:bottom w:val="none" w:sz="0" w:space="0" w:color="auto"/>
            <w:right w:val="none" w:sz="0" w:space="0" w:color="auto"/>
          </w:divBdr>
        </w:div>
        <w:div w:id="1217352466">
          <w:marLeft w:val="0"/>
          <w:marRight w:val="0"/>
          <w:marTop w:val="0"/>
          <w:marBottom w:val="0"/>
          <w:divBdr>
            <w:top w:val="none" w:sz="0" w:space="0" w:color="auto"/>
            <w:left w:val="none" w:sz="0" w:space="0" w:color="auto"/>
            <w:bottom w:val="none" w:sz="0" w:space="0" w:color="auto"/>
            <w:right w:val="none" w:sz="0" w:space="0" w:color="auto"/>
          </w:divBdr>
        </w:div>
        <w:div w:id="1294214699">
          <w:marLeft w:val="0"/>
          <w:marRight w:val="0"/>
          <w:marTop w:val="0"/>
          <w:marBottom w:val="0"/>
          <w:divBdr>
            <w:top w:val="none" w:sz="0" w:space="0" w:color="auto"/>
            <w:left w:val="none" w:sz="0" w:space="0" w:color="auto"/>
            <w:bottom w:val="none" w:sz="0" w:space="0" w:color="auto"/>
            <w:right w:val="none" w:sz="0" w:space="0" w:color="auto"/>
          </w:divBdr>
        </w:div>
        <w:div w:id="1349141252">
          <w:marLeft w:val="0"/>
          <w:marRight w:val="0"/>
          <w:marTop w:val="0"/>
          <w:marBottom w:val="0"/>
          <w:divBdr>
            <w:top w:val="none" w:sz="0" w:space="0" w:color="auto"/>
            <w:left w:val="none" w:sz="0" w:space="0" w:color="auto"/>
            <w:bottom w:val="none" w:sz="0" w:space="0" w:color="auto"/>
            <w:right w:val="none" w:sz="0" w:space="0" w:color="auto"/>
          </w:divBdr>
        </w:div>
        <w:div w:id="1432774306">
          <w:marLeft w:val="0"/>
          <w:marRight w:val="0"/>
          <w:marTop w:val="0"/>
          <w:marBottom w:val="0"/>
          <w:divBdr>
            <w:top w:val="none" w:sz="0" w:space="0" w:color="auto"/>
            <w:left w:val="none" w:sz="0" w:space="0" w:color="auto"/>
            <w:bottom w:val="none" w:sz="0" w:space="0" w:color="auto"/>
            <w:right w:val="none" w:sz="0" w:space="0" w:color="auto"/>
          </w:divBdr>
        </w:div>
        <w:div w:id="1446924505">
          <w:marLeft w:val="0"/>
          <w:marRight w:val="0"/>
          <w:marTop w:val="0"/>
          <w:marBottom w:val="0"/>
          <w:divBdr>
            <w:top w:val="none" w:sz="0" w:space="0" w:color="auto"/>
            <w:left w:val="none" w:sz="0" w:space="0" w:color="auto"/>
            <w:bottom w:val="none" w:sz="0" w:space="0" w:color="auto"/>
            <w:right w:val="none" w:sz="0" w:space="0" w:color="auto"/>
          </w:divBdr>
        </w:div>
        <w:div w:id="1460341289">
          <w:marLeft w:val="0"/>
          <w:marRight w:val="0"/>
          <w:marTop w:val="0"/>
          <w:marBottom w:val="0"/>
          <w:divBdr>
            <w:top w:val="none" w:sz="0" w:space="0" w:color="auto"/>
            <w:left w:val="none" w:sz="0" w:space="0" w:color="auto"/>
            <w:bottom w:val="none" w:sz="0" w:space="0" w:color="auto"/>
            <w:right w:val="none" w:sz="0" w:space="0" w:color="auto"/>
          </w:divBdr>
        </w:div>
        <w:div w:id="1509753556">
          <w:marLeft w:val="0"/>
          <w:marRight w:val="0"/>
          <w:marTop w:val="0"/>
          <w:marBottom w:val="0"/>
          <w:divBdr>
            <w:top w:val="none" w:sz="0" w:space="0" w:color="auto"/>
            <w:left w:val="none" w:sz="0" w:space="0" w:color="auto"/>
            <w:bottom w:val="none" w:sz="0" w:space="0" w:color="auto"/>
            <w:right w:val="none" w:sz="0" w:space="0" w:color="auto"/>
          </w:divBdr>
        </w:div>
        <w:div w:id="1630745188">
          <w:marLeft w:val="0"/>
          <w:marRight w:val="0"/>
          <w:marTop w:val="0"/>
          <w:marBottom w:val="0"/>
          <w:divBdr>
            <w:top w:val="none" w:sz="0" w:space="0" w:color="auto"/>
            <w:left w:val="none" w:sz="0" w:space="0" w:color="auto"/>
            <w:bottom w:val="none" w:sz="0" w:space="0" w:color="auto"/>
            <w:right w:val="none" w:sz="0" w:space="0" w:color="auto"/>
          </w:divBdr>
        </w:div>
        <w:div w:id="1709144389">
          <w:marLeft w:val="0"/>
          <w:marRight w:val="0"/>
          <w:marTop w:val="0"/>
          <w:marBottom w:val="0"/>
          <w:divBdr>
            <w:top w:val="none" w:sz="0" w:space="0" w:color="auto"/>
            <w:left w:val="none" w:sz="0" w:space="0" w:color="auto"/>
            <w:bottom w:val="none" w:sz="0" w:space="0" w:color="auto"/>
            <w:right w:val="none" w:sz="0" w:space="0" w:color="auto"/>
          </w:divBdr>
        </w:div>
        <w:div w:id="1909917124">
          <w:marLeft w:val="0"/>
          <w:marRight w:val="0"/>
          <w:marTop w:val="0"/>
          <w:marBottom w:val="0"/>
          <w:divBdr>
            <w:top w:val="none" w:sz="0" w:space="0" w:color="auto"/>
            <w:left w:val="none" w:sz="0" w:space="0" w:color="auto"/>
            <w:bottom w:val="none" w:sz="0" w:space="0" w:color="auto"/>
            <w:right w:val="none" w:sz="0" w:space="0" w:color="auto"/>
          </w:divBdr>
        </w:div>
        <w:div w:id="1956017009">
          <w:marLeft w:val="0"/>
          <w:marRight w:val="0"/>
          <w:marTop w:val="0"/>
          <w:marBottom w:val="0"/>
          <w:divBdr>
            <w:top w:val="none" w:sz="0" w:space="0" w:color="auto"/>
            <w:left w:val="none" w:sz="0" w:space="0" w:color="auto"/>
            <w:bottom w:val="none" w:sz="0" w:space="0" w:color="auto"/>
            <w:right w:val="none" w:sz="0" w:space="0" w:color="auto"/>
          </w:divBdr>
        </w:div>
        <w:div w:id="2057728794">
          <w:marLeft w:val="0"/>
          <w:marRight w:val="0"/>
          <w:marTop w:val="0"/>
          <w:marBottom w:val="0"/>
          <w:divBdr>
            <w:top w:val="none" w:sz="0" w:space="0" w:color="auto"/>
            <w:left w:val="none" w:sz="0" w:space="0" w:color="auto"/>
            <w:bottom w:val="none" w:sz="0" w:space="0" w:color="auto"/>
            <w:right w:val="none" w:sz="0" w:space="0" w:color="auto"/>
          </w:divBdr>
        </w:div>
        <w:div w:id="2082756102">
          <w:marLeft w:val="0"/>
          <w:marRight w:val="0"/>
          <w:marTop w:val="0"/>
          <w:marBottom w:val="0"/>
          <w:divBdr>
            <w:top w:val="none" w:sz="0" w:space="0" w:color="auto"/>
            <w:left w:val="none" w:sz="0" w:space="0" w:color="auto"/>
            <w:bottom w:val="none" w:sz="0" w:space="0" w:color="auto"/>
            <w:right w:val="none" w:sz="0" w:space="0" w:color="auto"/>
          </w:divBdr>
        </w:div>
        <w:div w:id="2136946620">
          <w:marLeft w:val="0"/>
          <w:marRight w:val="0"/>
          <w:marTop w:val="0"/>
          <w:marBottom w:val="0"/>
          <w:divBdr>
            <w:top w:val="none" w:sz="0" w:space="0" w:color="auto"/>
            <w:left w:val="none" w:sz="0" w:space="0" w:color="auto"/>
            <w:bottom w:val="none" w:sz="0" w:space="0" w:color="auto"/>
            <w:right w:val="none" w:sz="0" w:space="0" w:color="auto"/>
          </w:divBdr>
        </w:div>
      </w:divsChild>
    </w:div>
    <w:div w:id="721636959">
      <w:bodyDiv w:val="1"/>
      <w:marLeft w:val="0"/>
      <w:marRight w:val="0"/>
      <w:marTop w:val="0"/>
      <w:marBottom w:val="0"/>
      <w:divBdr>
        <w:top w:val="none" w:sz="0" w:space="0" w:color="auto"/>
        <w:left w:val="none" w:sz="0" w:space="0" w:color="auto"/>
        <w:bottom w:val="none" w:sz="0" w:space="0" w:color="auto"/>
        <w:right w:val="none" w:sz="0" w:space="0" w:color="auto"/>
      </w:divBdr>
    </w:div>
    <w:div w:id="722631602">
      <w:bodyDiv w:val="1"/>
      <w:marLeft w:val="0"/>
      <w:marRight w:val="0"/>
      <w:marTop w:val="0"/>
      <w:marBottom w:val="0"/>
      <w:divBdr>
        <w:top w:val="none" w:sz="0" w:space="0" w:color="auto"/>
        <w:left w:val="none" w:sz="0" w:space="0" w:color="auto"/>
        <w:bottom w:val="none" w:sz="0" w:space="0" w:color="auto"/>
        <w:right w:val="none" w:sz="0" w:space="0" w:color="auto"/>
      </w:divBdr>
    </w:div>
    <w:div w:id="723142474">
      <w:bodyDiv w:val="1"/>
      <w:marLeft w:val="0"/>
      <w:marRight w:val="0"/>
      <w:marTop w:val="0"/>
      <w:marBottom w:val="0"/>
      <w:divBdr>
        <w:top w:val="none" w:sz="0" w:space="0" w:color="auto"/>
        <w:left w:val="none" w:sz="0" w:space="0" w:color="auto"/>
        <w:bottom w:val="none" w:sz="0" w:space="0" w:color="auto"/>
        <w:right w:val="none" w:sz="0" w:space="0" w:color="auto"/>
      </w:divBdr>
    </w:div>
    <w:div w:id="723287590">
      <w:bodyDiv w:val="1"/>
      <w:marLeft w:val="0"/>
      <w:marRight w:val="0"/>
      <w:marTop w:val="0"/>
      <w:marBottom w:val="0"/>
      <w:divBdr>
        <w:top w:val="none" w:sz="0" w:space="0" w:color="auto"/>
        <w:left w:val="none" w:sz="0" w:space="0" w:color="auto"/>
        <w:bottom w:val="none" w:sz="0" w:space="0" w:color="auto"/>
        <w:right w:val="none" w:sz="0" w:space="0" w:color="auto"/>
      </w:divBdr>
    </w:div>
    <w:div w:id="724253287">
      <w:bodyDiv w:val="1"/>
      <w:marLeft w:val="0"/>
      <w:marRight w:val="0"/>
      <w:marTop w:val="0"/>
      <w:marBottom w:val="0"/>
      <w:divBdr>
        <w:top w:val="none" w:sz="0" w:space="0" w:color="auto"/>
        <w:left w:val="none" w:sz="0" w:space="0" w:color="auto"/>
        <w:bottom w:val="none" w:sz="0" w:space="0" w:color="auto"/>
        <w:right w:val="none" w:sz="0" w:space="0" w:color="auto"/>
      </w:divBdr>
    </w:div>
    <w:div w:id="725420643">
      <w:bodyDiv w:val="1"/>
      <w:marLeft w:val="0"/>
      <w:marRight w:val="0"/>
      <w:marTop w:val="0"/>
      <w:marBottom w:val="0"/>
      <w:divBdr>
        <w:top w:val="none" w:sz="0" w:space="0" w:color="auto"/>
        <w:left w:val="none" w:sz="0" w:space="0" w:color="auto"/>
        <w:bottom w:val="none" w:sz="0" w:space="0" w:color="auto"/>
        <w:right w:val="none" w:sz="0" w:space="0" w:color="auto"/>
      </w:divBdr>
    </w:div>
    <w:div w:id="726150550">
      <w:bodyDiv w:val="1"/>
      <w:marLeft w:val="0"/>
      <w:marRight w:val="0"/>
      <w:marTop w:val="0"/>
      <w:marBottom w:val="0"/>
      <w:divBdr>
        <w:top w:val="none" w:sz="0" w:space="0" w:color="auto"/>
        <w:left w:val="none" w:sz="0" w:space="0" w:color="auto"/>
        <w:bottom w:val="none" w:sz="0" w:space="0" w:color="auto"/>
        <w:right w:val="none" w:sz="0" w:space="0" w:color="auto"/>
      </w:divBdr>
    </w:div>
    <w:div w:id="726417231">
      <w:bodyDiv w:val="1"/>
      <w:marLeft w:val="0"/>
      <w:marRight w:val="0"/>
      <w:marTop w:val="0"/>
      <w:marBottom w:val="0"/>
      <w:divBdr>
        <w:top w:val="none" w:sz="0" w:space="0" w:color="auto"/>
        <w:left w:val="none" w:sz="0" w:space="0" w:color="auto"/>
        <w:bottom w:val="none" w:sz="0" w:space="0" w:color="auto"/>
        <w:right w:val="none" w:sz="0" w:space="0" w:color="auto"/>
      </w:divBdr>
    </w:div>
    <w:div w:id="726417937">
      <w:bodyDiv w:val="1"/>
      <w:marLeft w:val="0"/>
      <w:marRight w:val="0"/>
      <w:marTop w:val="0"/>
      <w:marBottom w:val="0"/>
      <w:divBdr>
        <w:top w:val="none" w:sz="0" w:space="0" w:color="auto"/>
        <w:left w:val="none" w:sz="0" w:space="0" w:color="auto"/>
        <w:bottom w:val="none" w:sz="0" w:space="0" w:color="auto"/>
        <w:right w:val="none" w:sz="0" w:space="0" w:color="auto"/>
      </w:divBdr>
    </w:div>
    <w:div w:id="728387203">
      <w:bodyDiv w:val="1"/>
      <w:marLeft w:val="0"/>
      <w:marRight w:val="0"/>
      <w:marTop w:val="0"/>
      <w:marBottom w:val="0"/>
      <w:divBdr>
        <w:top w:val="none" w:sz="0" w:space="0" w:color="auto"/>
        <w:left w:val="none" w:sz="0" w:space="0" w:color="auto"/>
        <w:bottom w:val="none" w:sz="0" w:space="0" w:color="auto"/>
        <w:right w:val="none" w:sz="0" w:space="0" w:color="auto"/>
      </w:divBdr>
    </w:div>
    <w:div w:id="728958963">
      <w:bodyDiv w:val="1"/>
      <w:marLeft w:val="0"/>
      <w:marRight w:val="0"/>
      <w:marTop w:val="0"/>
      <w:marBottom w:val="0"/>
      <w:divBdr>
        <w:top w:val="none" w:sz="0" w:space="0" w:color="auto"/>
        <w:left w:val="none" w:sz="0" w:space="0" w:color="auto"/>
        <w:bottom w:val="none" w:sz="0" w:space="0" w:color="auto"/>
        <w:right w:val="none" w:sz="0" w:space="0" w:color="auto"/>
      </w:divBdr>
    </w:div>
    <w:div w:id="729036068">
      <w:bodyDiv w:val="1"/>
      <w:marLeft w:val="0"/>
      <w:marRight w:val="0"/>
      <w:marTop w:val="0"/>
      <w:marBottom w:val="0"/>
      <w:divBdr>
        <w:top w:val="none" w:sz="0" w:space="0" w:color="auto"/>
        <w:left w:val="none" w:sz="0" w:space="0" w:color="auto"/>
        <w:bottom w:val="none" w:sz="0" w:space="0" w:color="auto"/>
        <w:right w:val="none" w:sz="0" w:space="0" w:color="auto"/>
      </w:divBdr>
    </w:div>
    <w:div w:id="729500082">
      <w:bodyDiv w:val="1"/>
      <w:marLeft w:val="0"/>
      <w:marRight w:val="0"/>
      <w:marTop w:val="0"/>
      <w:marBottom w:val="0"/>
      <w:divBdr>
        <w:top w:val="none" w:sz="0" w:space="0" w:color="auto"/>
        <w:left w:val="none" w:sz="0" w:space="0" w:color="auto"/>
        <w:bottom w:val="none" w:sz="0" w:space="0" w:color="auto"/>
        <w:right w:val="none" w:sz="0" w:space="0" w:color="auto"/>
      </w:divBdr>
    </w:div>
    <w:div w:id="730275864">
      <w:bodyDiv w:val="1"/>
      <w:marLeft w:val="0"/>
      <w:marRight w:val="0"/>
      <w:marTop w:val="0"/>
      <w:marBottom w:val="0"/>
      <w:divBdr>
        <w:top w:val="none" w:sz="0" w:space="0" w:color="auto"/>
        <w:left w:val="none" w:sz="0" w:space="0" w:color="auto"/>
        <w:bottom w:val="none" w:sz="0" w:space="0" w:color="auto"/>
        <w:right w:val="none" w:sz="0" w:space="0" w:color="auto"/>
      </w:divBdr>
    </w:div>
    <w:div w:id="731275508">
      <w:bodyDiv w:val="1"/>
      <w:marLeft w:val="0"/>
      <w:marRight w:val="0"/>
      <w:marTop w:val="0"/>
      <w:marBottom w:val="0"/>
      <w:divBdr>
        <w:top w:val="none" w:sz="0" w:space="0" w:color="auto"/>
        <w:left w:val="none" w:sz="0" w:space="0" w:color="auto"/>
        <w:bottom w:val="none" w:sz="0" w:space="0" w:color="auto"/>
        <w:right w:val="none" w:sz="0" w:space="0" w:color="auto"/>
      </w:divBdr>
    </w:div>
    <w:div w:id="731342972">
      <w:bodyDiv w:val="1"/>
      <w:marLeft w:val="0"/>
      <w:marRight w:val="0"/>
      <w:marTop w:val="0"/>
      <w:marBottom w:val="0"/>
      <w:divBdr>
        <w:top w:val="none" w:sz="0" w:space="0" w:color="auto"/>
        <w:left w:val="none" w:sz="0" w:space="0" w:color="auto"/>
        <w:bottom w:val="none" w:sz="0" w:space="0" w:color="auto"/>
        <w:right w:val="none" w:sz="0" w:space="0" w:color="auto"/>
      </w:divBdr>
    </w:div>
    <w:div w:id="731393682">
      <w:bodyDiv w:val="1"/>
      <w:marLeft w:val="0"/>
      <w:marRight w:val="0"/>
      <w:marTop w:val="0"/>
      <w:marBottom w:val="0"/>
      <w:divBdr>
        <w:top w:val="none" w:sz="0" w:space="0" w:color="auto"/>
        <w:left w:val="none" w:sz="0" w:space="0" w:color="auto"/>
        <w:bottom w:val="none" w:sz="0" w:space="0" w:color="auto"/>
        <w:right w:val="none" w:sz="0" w:space="0" w:color="auto"/>
      </w:divBdr>
    </w:div>
    <w:div w:id="731925857">
      <w:bodyDiv w:val="1"/>
      <w:marLeft w:val="0"/>
      <w:marRight w:val="0"/>
      <w:marTop w:val="0"/>
      <w:marBottom w:val="0"/>
      <w:divBdr>
        <w:top w:val="none" w:sz="0" w:space="0" w:color="auto"/>
        <w:left w:val="none" w:sz="0" w:space="0" w:color="auto"/>
        <w:bottom w:val="none" w:sz="0" w:space="0" w:color="auto"/>
        <w:right w:val="none" w:sz="0" w:space="0" w:color="auto"/>
      </w:divBdr>
    </w:div>
    <w:div w:id="731999215">
      <w:bodyDiv w:val="1"/>
      <w:marLeft w:val="0"/>
      <w:marRight w:val="0"/>
      <w:marTop w:val="0"/>
      <w:marBottom w:val="0"/>
      <w:divBdr>
        <w:top w:val="none" w:sz="0" w:space="0" w:color="auto"/>
        <w:left w:val="none" w:sz="0" w:space="0" w:color="auto"/>
        <w:bottom w:val="none" w:sz="0" w:space="0" w:color="auto"/>
        <w:right w:val="none" w:sz="0" w:space="0" w:color="auto"/>
      </w:divBdr>
    </w:div>
    <w:div w:id="733241287">
      <w:bodyDiv w:val="1"/>
      <w:marLeft w:val="0"/>
      <w:marRight w:val="0"/>
      <w:marTop w:val="0"/>
      <w:marBottom w:val="0"/>
      <w:divBdr>
        <w:top w:val="none" w:sz="0" w:space="0" w:color="auto"/>
        <w:left w:val="none" w:sz="0" w:space="0" w:color="auto"/>
        <w:bottom w:val="none" w:sz="0" w:space="0" w:color="auto"/>
        <w:right w:val="none" w:sz="0" w:space="0" w:color="auto"/>
      </w:divBdr>
    </w:div>
    <w:div w:id="734205374">
      <w:bodyDiv w:val="1"/>
      <w:marLeft w:val="0"/>
      <w:marRight w:val="0"/>
      <w:marTop w:val="0"/>
      <w:marBottom w:val="0"/>
      <w:divBdr>
        <w:top w:val="none" w:sz="0" w:space="0" w:color="auto"/>
        <w:left w:val="none" w:sz="0" w:space="0" w:color="auto"/>
        <w:bottom w:val="none" w:sz="0" w:space="0" w:color="auto"/>
        <w:right w:val="none" w:sz="0" w:space="0" w:color="auto"/>
      </w:divBdr>
    </w:div>
    <w:div w:id="734738906">
      <w:bodyDiv w:val="1"/>
      <w:marLeft w:val="0"/>
      <w:marRight w:val="0"/>
      <w:marTop w:val="0"/>
      <w:marBottom w:val="0"/>
      <w:divBdr>
        <w:top w:val="none" w:sz="0" w:space="0" w:color="auto"/>
        <w:left w:val="none" w:sz="0" w:space="0" w:color="auto"/>
        <w:bottom w:val="none" w:sz="0" w:space="0" w:color="auto"/>
        <w:right w:val="none" w:sz="0" w:space="0" w:color="auto"/>
      </w:divBdr>
    </w:div>
    <w:div w:id="735009330">
      <w:bodyDiv w:val="1"/>
      <w:marLeft w:val="0"/>
      <w:marRight w:val="0"/>
      <w:marTop w:val="0"/>
      <w:marBottom w:val="0"/>
      <w:divBdr>
        <w:top w:val="none" w:sz="0" w:space="0" w:color="auto"/>
        <w:left w:val="none" w:sz="0" w:space="0" w:color="auto"/>
        <w:bottom w:val="none" w:sz="0" w:space="0" w:color="auto"/>
        <w:right w:val="none" w:sz="0" w:space="0" w:color="auto"/>
      </w:divBdr>
    </w:div>
    <w:div w:id="735128769">
      <w:bodyDiv w:val="1"/>
      <w:marLeft w:val="0"/>
      <w:marRight w:val="0"/>
      <w:marTop w:val="0"/>
      <w:marBottom w:val="0"/>
      <w:divBdr>
        <w:top w:val="none" w:sz="0" w:space="0" w:color="auto"/>
        <w:left w:val="none" w:sz="0" w:space="0" w:color="auto"/>
        <w:bottom w:val="none" w:sz="0" w:space="0" w:color="auto"/>
        <w:right w:val="none" w:sz="0" w:space="0" w:color="auto"/>
      </w:divBdr>
    </w:div>
    <w:div w:id="735320832">
      <w:bodyDiv w:val="1"/>
      <w:marLeft w:val="0"/>
      <w:marRight w:val="0"/>
      <w:marTop w:val="0"/>
      <w:marBottom w:val="0"/>
      <w:divBdr>
        <w:top w:val="none" w:sz="0" w:space="0" w:color="auto"/>
        <w:left w:val="none" w:sz="0" w:space="0" w:color="auto"/>
        <w:bottom w:val="none" w:sz="0" w:space="0" w:color="auto"/>
        <w:right w:val="none" w:sz="0" w:space="0" w:color="auto"/>
      </w:divBdr>
    </w:div>
    <w:div w:id="735785457">
      <w:bodyDiv w:val="1"/>
      <w:marLeft w:val="0"/>
      <w:marRight w:val="0"/>
      <w:marTop w:val="0"/>
      <w:marBottom w:val="0"/>
      <w:divBdr>
        <w:top w:val="none" w:sz="0" w:space="0" w:color="auto"/>
        <w:left w:val="none" w:sz="0" w:space="0" w:color="auto"/>
        <w:bottom w:val="none" w:sz="0" w:space="0" w:color="auto"/>
        <w:right w:val="none" w:sz="0" w:space="0" w:color="auto"/>
      </w:divBdr>
    </w:div>
    <w:div w:id="735933975">
      <w:bodyDiv w:val="1"/>
      <w:marLeft w:val="0"/>
      <w:marRight w:val="0"/>
      <w:marTop w:val="0"/>
      <w:marBottom w:val="0"/>
      <w:divBdr>
        <w:top w:val="none" w:sz="0" w:space="0" w:color="auto"/>
        <w:left w:val="none" w:sz="0" w:space="0" w:color="auto"/>
        <w:bottom w:val="none" w:sz="0" w:space="0" w:color="auto"/>
        <w:right w:val="none" w:sz="0" w:space="0" w:color="auto"/>
      </w:divBdr>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 w:id="740559944">
      <w:bodyDiv w:val="1"/>
      <w:marLeft w:val="0"/>
      <w:marRight w:val="0"/>
      <w:marTop w:val="0"/>
      <w:marBottom w:val="0"/>
      <w:divBdr>
        <w:top w:val="none" w:sz="0" w:space="0" w:color="auto"/>
        <w:left w:val="none" w:sz="0" w:space="0" w:color="auto"/>
        <w:bottom w:val="none" w:sz="0" w:space="0" w:color="auto"/>
        <w:right w:val="none" w:sz="0" w:space="0" w:color="auto"/>
      </w:divBdr>
    </w:div>
    <w:div w:id="740566302">
      <w:bodyDiv w:val="1"/>
      <w:marLeft w:val="0"/>
      <w:marRight w:val="0"/>
      <w:marTop w:val="0"/>
      <w:marBottom w:val="0"/>
      <w:divBdr>
        <w:top w:val="none" w:sz="0" w:space="0" w:color="auto"/>
        <w:left w:val="none" w:sz="0" w:space="0" w:color="auto"/>
        <w:bottom w:val="none" w:sz="0" w:space="0" w:color="auto"/>
        <w:right w:val="none" w:sz="0" w:space="0" w:color="auto"/>
      </w:divBdr>
    </w:div>
    <w:div w:id="741291109">
      <w:bodyDiv w:val="1"/>
      <w:marLeft w:val="0"/>
      <w:marRight w:val="0"/>
      <w:marTop w:val="0"/>
      <w:marBottom w:val="0"/>
      <w:divBdr>
        <w:top w:val="none" w:sz="0" w:space="0" w:color="auto"/>
        <w:left w:val="none" w:sz="0" w:space="0" w:color="auto"/>
        <w:bottom w:val="none" w:sz="0" w:space="0" w:color="auto"/>
        <w:right w:val="none" w:sz="0" w:space="0" w:color="auto"/>
      </w:divBdr>
    </w:div>
    <w:div w:id="741489298">
      <w:bodyDiv w:val="1"/>
      <w:marLeft w:val="0"/>
      <w:marRight w:val="0"/>
      <w:marTop w:val="0"/>
      <w:marBottom w:val="0"/>
      <w:divBdr>
        <w:top w:val="none" w:sz="0" w:space="0" w:color="auto"/>
        <w:left w:val="none" w:sz="0" w:space="0" w:color="auto"/>
        <w:bottom w:val="none" w:sz="0" w:space="0" w:color="auto"/>
        <w:right w:val="none" w:sz="0" w:space="0" w:color="auto"/>
      </w:divBdr>
    </w:div>
    <w:div w:id="742946024">
      <w:bodyDiv w:val="1"/>
      <w:marLeft w:val="0"/>
      <w:marRight w:val="0"/>
      <w:marTop w:val="0"/>
      <w:marBottom w:val="0"/>
      <w:divBdr>
        <w:top w:val="none" w:sz="0" w:space="0" w:color="auto"/>
        <w:left w:val="none" w:sz="0" w:space="0" w:color="auto"/>
        <w:bottom w:val="none" w:sz="0" w:space="0" w:color="auto"/>
        <w:right w:val="none" w:sz="0" w:space="0" w:color="auto"/>
      </w:divBdr>
    </w:div>
    <w:div w:id="743844631">
      <w:bodyDiv w:val="1"/>
      <w:marLeft w:val="0"/>
      <w:marRight w:val="0"/>
      <w:marTop w:val="0"/>
      <w:marBottom w:val="0"/>
      <w:divBdr>
        <w:top w:val="none" w:sz="0" w:space="0" w:color="auto"/>
        <w:left w:val="none" w:sz="0" w:space="0" w:color="auto"/>
        <w:bottom w:val="none" w:sz="0" w:space="0" w:color="auto"/>
        <w:right w:val="none" w:sz="0" w:space="0" w:color="auto"/>
      </w:divBdr>
    </w:div>
    <w:div w:id="744302102">
      <w:bodyDiv w:val="1"/>
      <w:marLeft w:val="0"/>
      <w:marRight w:val="0"/>
      <w:marTop w:val="0"/>
      <w:marBottom w:val="0"/>
      <w:divBdr>
        <w:top w:val="none" w:sz="0" w:space="0" w:color="auto"/>
        <w:left w:val="none" w:sz="0" w:space="0" w:color="auto"/>
        <w:bottom w:val="none" w:sz="0" w:space="0" w:color="auto"/>
        <w:right w:val="none" w:sz="0" w:space="0" w:color="auto"/>
      </w:divBdr>
    </w:div>
    <w:div w:id="744885372">
      <w:bodyDiv w:val="1"/>
      <w:marLeft w:val="0"/>
      <w:marRight w:val="0"/>
      <w:marTop w:val="0"/>
      <w:marBottom w:val="0"/>
      <w:divBdr>
        <w:top w:val="none" w:sz="0" w:space="0" w:color="auto"/>
        <w:left w:val="none" w:sz="0" w:space="0" w:color="auto"/>
        <w:bottom w:val="none" w:sz="0" w:space="0" w:color="auto"/>
        <w:right w:val="none" w:sz="0" w:space="0" w:color="auto"/>
      </w:divBdr>
    </w:div>
    <w:div w:id="745153382">
      <w:bodyDiv w:val="1"/>
      <w:marLeft w:val="0"/>
      <w:marRight w:val="0"/>
      <w:marTop w:val="0"/>
      <w:marBottom w:val="0"/>
      <w:divBdr>
        <w:top w:val="none" w:sz="0" w:space="0" w:color="auto"/>
        <w:left w:val="none" w:sz="0" w:space="0" w:color="auto"/>
        <w:bottom w:val="none" w:sz="0" w:space="0" w:color="auto"/>
        <w:right w:val="none" w:sz="0" w:space="0" w:color="auto"/>
      </w:divBdr>
    </w:div>
    <w:div w:id="745422882">
      <w:bodyDiv w:val="1"/>
      <w:marLeft w:val="0"/>
      <w:marRight w:val="0"/>
      <w:marTop w:val="0"/>
      <w:marBottom w:val="0"/>
      <w:divBdr>
        <w:top w:val="none" w:sz="0" w:space="0" w:color="auto"/>
        <w:left w:val="none" w:sz="0" w:space="0" w:color="auto"/>
        <w:bottom w:val="none" w:sz="0" w:space="0" w:color="auto"/>
        <w:right w:val="none" w:sz="0" w:space="0" w:color="auto"/>
      </w:divBdr>
    </w:div>
    <w:div w:id="745495885">
      <w:bodyDiv w:val="1"/>
      <w:marLeft w:val="0"/>
      <w:marRight w:val="0"/>
      <w:marTop w:val="0"/>
      <w:marBottom w:val="0"/>
      <w:divBdr>
        <w:top w:val="none" w:sz="0" w:space="0" w:color="auto"/>
        <w:left w:val="none" w:sz="0" w:space="0" w:color="auto"/>
        <w:bottom w:val="none" w:sz="0" w:space="0" w:color="auto"/>
        <w:right w:val="none" w:sz="0" w:space="0" w:color="auto"/>
      </w:divBdr>
    </w:div>
    <w:div w:id="745613444">
      <w:bodyDiv w:val="1"/>
      <w:marLeft w:val="0"/>
      <w:marRight w:val="0"/>
      <w:marTop w:val="0"/>
      <w:marBottom w:val="0"/>
      <w:divBdr>
        <w:top w:val="none" w:sz="0" w:space="0" w:color="auto"/>
        <w:left w:val="none" w:sz="0" w:space="0" w:color="auto"/>
        <w:bottom w:val="none" w:sz="0" w:space="0" w:color="auto"/>
        <w:right w:val="none" w:sz="0" w:space="0" w:color="auto"/>
      </w:divBdr>
    </w:div>
    <w:div w:id="745614750">
      <w:bodyDiv w:val="1"/>
      <w:marLeft w:val="0"/>
      <w:marRight w:val="0"/>
      <w:marTop w:val="0"/>
      <w:marBottom w:val="0"/>
      <w:divBdr>
        <w:top w:val="none" w:sz="0" w:space="0" w:color="auto"/>
        <w:left w:val="none" w:sz="0" w:space="0" w:color="auto"/>
        <w:bottom w:val="none" w:sz="0" w:space="0" w:color="auto"/>
        <w:right w:val="none" w:sz="0" w:space="0" w:color="auto"/>
      </w:divBdr>
    </w:div>
    <w:div w:id="746532577">
      <w:bodyDiv w:val="1"/>
      <w:marLeft w:val="0"/>
      <w:marRight w:val="0"/>
      <w:marTop w:val="0"/>
      <w:marBottom w:val="0"/>
      <w:divBdr>
        <w:top w:val="none" w:sz="0" w:space="0" w:color="auto"/>
        <w:left w:val="none" w:sz="0" w:space="0" w:color="auto"/>
        <w:bottom w:val="none" w:sz="0" w:space="0" w:color="auto"/>
        <w:right w:val="none" w:sz="0" w:space="0" w:color="auto"/>
      </w:divBdr>
    </w:div>
    <w:div w:id="746877972">
      <w:bodyDiv w:val="1"/>
      <w:marLeft w:val="0"/>
      <w:marRight w:val="0"/>
      <w:marTop w:val="0"/>
      <w:marBottom w:val="0"/>
      <w:divBdr>
        <w:top w:val="none" w:sz="0" w:space="0" w:color="auto"/>
        <w:left w:val="none" w:sz="0" w:space="0" w:color="auto"/>
        <w:bottom w:val="none" w:sz="0" w:space="0" w:color="auto"/>
        <w:right w:val="none" w:sz="0" w:space="0" w:color="auto"/>
      </w:divBdr>
    </w:div>
    <w:div w:id="747071315">
      <w:bodyDiv w:val="1"/>
      <w:marLeft w:val="0"/>
      <w:marRight w:val="0"/>
      <w:marTop w:val="0"/>
      <w:marBottom w:val="0"/>
      <w:divBdr>
        <w:top w:val="none" w:sz="0" w:space="0" w:color="auto"/>
        <w:left w:val="none" w:sz="0" w:space="0" w:color="auto"/>
        <w:bottom w:val="none" w:sz="0" w:space="0" w:color="auto"/>
        <w:right w:val="none" w:sz="0" w:space="0" w:color="auto"/>
      </w:divBdr>
    </w:div>
    <w:div w:id="747383786">
      <w:bodyDiv w:val="1"/>
      <w:marLeft w:val="0"/>
      <w:marRight w:val="0"/>
      <w:marTop w:val="0"/>
      <w:marBottom w:val="0"/>
      <w:divBdr>
        <w:top w:val="none" w:sz="0" w:space="0" w:color="auto"/>
        <w:left w:val="none" w:sz="0" w:space="0" w:color="auto"/>
        <w:bottom w:val="none" w:sz="0" w:space="0" w:color="auto"/>
        <w:right w:val="none" w:sz="0" w:space="0" w:color="auto"/>
      </w:divBdr>
    </w:div>
    <w:div w:id="747507540">
      <w:bodyDiv w:val="1"/>
      <w:marLeft w:val="0"/>
      <w:marRight w:val="0"/>
      <w:marTop w:val="0"/>
      <w:marBottom w:val="0"/>
      <w:divBdr>
        <w:top w:val="none" w:sz="0" w:space="0" w:color="auto"/>
        <w:left w:val="none" w:sz="0" w:space="0" w:color="auto"/>
        <w:bottom w:val="none" w:sz="0" w:space="0" w:color="auto"/>
        <w:right w:val="none" w:sz="0" w:space="0" w:color="auto"/>
      </w:divBdr>
    </w:div>
    <w:div w:id="747579234">
      <w:bodyDiv w:val="1"/>
      <w:marLeft w:val="0"/>
      <w:marRight w:val="0"/>
      <w:marTop w:val="0"/>
      <w:marBottom w:val="0"/>
      <w:divBdr>
        <w:top w:val="none" w:sz="0" w:space="0" w:color="auto"/>
        <w:left w:val="none" w:sz="0" w:space="0" w:color="auto"/>
        <w:bottom w:val="none" w:sz="0" w:space="0" w:color="auto"/>
        <w:right w:val="none" w:sz="0" w:space="0" w:color="auto"/>
      </w:divBdr>
    </w:div>
    <w:div w:id="747650170">
      <w:bodyDiv w:val="1"/>
      <w:marLeft w:val="0"/>
      <w:marRight w:val="0"/>
      <w:marTop w:val="0"/>
      <w:marBottom w:val="0"/>
      <w:divBdr>
        <w:top w:val="none" w:sz="0" w:space="0" w:color="auto"/>
        <w:left w:val="none" w:sz="0" w:space="0" w:color="auto"/>
        <w:bottom w:val="none" w:sz="0" w:space="0" w:color="auto"/>
        <w:right w:val="none" w:sz="0" w:space="0" w:color="auto"/>
      </w:divBdr>
    </w:div>
    <w:div w:id="747774708">
      <w:bodyDiv w:val="1"/>
      <w:marLeft w:val="0"/>
      <w:marRight w:val="0"/>
      <w:marTop w:val="0"/>
      <w:marBottom w:val="0"/>
      <w:divBdr>
        <w:top w:val="none" w:sz="0" w:space="0" w:color="auto"/>
        <w:left w:val="none" w:sz="0" w:space="0" w:color="auto"/>
        <w:bottom w:val="none" w:sz="0" w:space="0" w:color="auto"/>
        <w:right w:val="none" w:sz="0" w:space="0" w:color="auto"/>
      </w:divBdr>
    </w:div>
    <w:div w:id="748694045">
      <w:bodyDiv w:val="1"/>
      <w:marLeft w:val="0"/>
      <w:marRight w:val="0"/>
      <w:marTop w:val="0"/>
      <w:marBottom w:val="0"/>
      <w:divBdr>
        <w:top w:val="none" w:sz="0" w:space="0" w:color="auto"/>
        <w:left w:val="none" w:sz="0" w:space="0" w:color="auto"/>
        <w:bottom w:val="none" w:sz="0" w:space="0" w:color="auto"/>
        <w:right w:val="none" w:sz="0" w:space="0" w:color="auto"/>
      </w:divBdr>
    </w:div>
    <w:div w:id="749162311">
      <w:bodyDiv w:val="1"/>
      <w:marLeft w:val="0"/>
      <w:marRight w:val="0"/>
      <w:marTop w:val="0"/>
      <w:marBottom w:val="0"/>
      <w:divBdr>
        <w:top w:val="none" w:sz="0" w:space="0" w:color="auto"/>
        <w:left w:val="none" w:sz="0" w:space="0" w:color="auto"/>
        <w:bottom w:val="none" w:sz="0" w:space="0" w:color="auto"/>
        <w:right w:val="none" w:sz="0" w:space="0" w:color="auto"/>
      </w:divBdr>
    </w:div>
    <w:div w:id="749618113">
      <w:bodyDiv w:val="1"/>
      <w:marLeft w:val="0"/>
      <w:marRight w:val="0"/>
      <w:marTop w:val="0"/>
      <w:marBottom w:val="0"/>
      <w:divBdr>
        <w:top w:val="none" w:sz="0" w:space="0" w:color="auto"/>
        <w:left w:val="none" w:sz="0" w:space="0" w:color="auto"/>
        <w:bottom w:val="none" w:sz="0" w:space="0" w:color="auto"/>
        <w:right w:val="none" w:sz="0" w:space="0" w:color="auto"/>
      </w:divBdr>
    </w:div>
    <w:div w:id="750738731">
      <w:bodyDiv w:val="1"/>
      <w:marLeft w:val="0"/>
      <w:marRight w:val="0"/>
      <w:marTop w:val="0"/>
      <w:marBottom w:val="0"/>
      <w:divBdr>
        <w:top w:val="none" w:sz="0" w:space="0" w:color="auto"/>
        <w:left w:val="none" w:sz="0" w:space="0" w:color="auto"/>
        <w:bottom w:val="none" w:sz="0" w:space="0" w:color="auto"/>
        <w:right w:val="none" w:sz="0" w:space="0" w:color="auto"/>
      </w:divBdr>
    </w:div>
    <w:div w:id="751505849">
      <w:bodyDiv w:val="1"/>
      <w:marLeft w:val="0"/>
      <w:marRight w:val="0"/>
      <w:marTop w:val="0"/>
      <w:marBottom w:val="0"/>
      <w:divBdr>
        <w:top w:val="none" w:sz="0" w:space="0" w:color="auto"/>
        <w:left w:val="none" w:sz="0" w:space="0" w:color="auto"/>
        <w:bottom w:val="none" w:sz="0" w:space="0" w:color="auto"/>
        <w:right w:val="none" w:sz="0" w:space="0" w:color="auto"/>
      </w:divBdr>
    </w:div>
    <w:div w:id="752900272">
      <w:bodyDiv w:val="1"/>
      <w:marLeft w:val="0"/>
      <w:marRight w:val="0"/>
      <w:marTop w:val="0"/>
      <w:marBottom w:val="0"/>
      <w:divBdr>
        <w:top w:val="none" w:sz="0" w:space="0" w:color="auto"/>
        <w:left w:val="none" w:sz="0" w:space="0" w:color="auto"/>
        <w:bottom w:val="none" w:sz="0" w:space="0" w:color="auto"/>
        <w:right w:val="none" w:sz="0" w:space="0" w:color="auto"/>
      </w:divBdr>
    </w:div>
    <w:div w:id="753472281">
      <w:bodyDiv w:val="1"/>
      <w:marLeft w:val="0"/>
      <w:marRight w:val="0"/>
      <w:marTop w:val="0"/>
      <w:marBottom w:val="0"/>
      <w:divBdr>
        <w:top w:val="none" w:sz="0" w:space="0" w:color="auto"/>
        <w:left w:val="none" w:sz="0" w:space="0" w:color="auto"/>
        <w:bottom w:val="none" w:sz="0" w:space="0" w:color="auto"/>
        <w:right w:val="none" w:sz="0" w:space="0" w:color="auto"/>
      </w:divBdr>
    </w:div>
    <w:div w:id="753547229">
      <w:bodyDiv w:val="1"/>
      <w:marLeft w:val="0"/>
      <w:marRight w:val="0"/>
      <w:marTop w:val="0"/>
      <w:marBottom w:val="0"/>
      <w:divBdr>
        <w:top w:val="none" w:sz="0" w:space="0" w:color="auto"/>
        <w:left w:val="none" w:sz="0" w:space="0" w:color="auto"/>
        <w:bottom w:val="none" w:sz="0" w:space="0" w:color="auto"/>
        <w:right w:val="none" w:sz="0" w:space="0" w:color="auto"/>
      </w:divBdr>
    </w:div>
    <w:div w:id="754327582">
      <w:bodyDiv w:val="1"/>
      <w:marLeft w:val="0"/>
      <w:marRight w:val="0"/>
      <w:marTop w:val="0"/>
      <w:marBottom w:val="0"/>
      <w:divBdr>
        <w:top w:val="none" w:sz="0" w:space="0" w:color="auto"/>
        <w:left w:val="none" w:sz="0" w:space="0" w:color="auto"/>
        <w:bottom w:val="none" w:sz="0" w:space="0" w:color="auto"/>
        <w:right w:val="none" w:sz="0" w:space="0" w:color="auto"/>
      </w:divBdr>
    </w:div>
    <w:div w:id="754328750">
      <w:bodyDiv w:val="1"/>
      <w:marLeft w:val="0"/>
      <w:marRight w:val="0"/>
      <w:marTop w:val="0"/>
      <w:marBottom w:val="0"/>
      <w:divBdr>
        <w:top w:val="none" w:sz="0" w:space="0" w:color="auto"/>
        <w:left w:val="none" w:sz="0" w:space="0" w:color="auto"/>
        <w:bottom w:val="none" w:sz="0" w:space="0" w:color="auto"/>
        <w:right w:val="none" w:sz="0" w:space="0" w:color="auto"/>
      </w:divBdr>
    </w:div>
    <w:div w:id="755244711">
      <w:bodyDiv w:val="1"/>
      <w:marLeft w:val="0"/>
      <w:marRight w:val="0"/>
      <w:marTop w:val="0"/>
      <w:marBottom w:val="0"/>
      <w:divBdr>
        <w:top w:val="none" w:sz="0" w:space="0" w:color="auto"/>
        <w:left w:val="none" w:sz="0" w:space="0" w:color="auto"/>
        <w:bottom w:val="none" w:sz="0" w:space="0" w:color="auto"/>
        <w:right w:val="none" w:sz="0" w:space="0" w:color="auto"/>
      </w:divBdr>
    </w:div>
    <w:div w:id="755444523">
      <w:bodyDiv w:val="1"/>
      <w:marLeft w:val="0"/>
      <w:marRight w:val="0"/>
      <w:marTop w:val="0"/>
      <w:marBottom w:val="0"/>
      <w:divBdr>
        <w:top w:val="none" w:sz="0" w:space="0" w:color="auto"/>
        <w:left w:val="none" w:sz="0" w:space="0" w:color="auto"/>
        <w:bottom w:val="none" w:sz="0" w:space="0" w:color="auto"/>
        <w:right w:val="none" w:sz="0" w:space="0" w:color="auto"/>
      </w:divBdr>
    </w:div>
    <w:div w:id="755444919">
      <w:bodyDiv w:val="1"/>
      <w:marLeft w:val="0"/>
      <w:marRight w:val="0"/>
      <w:marTop w:val="0"/>
      <w:marBottom w:val="0"/>
      <w:divBdr>
        <w:top w:val="none" w:sz="0" w:space="0" w:color="auto"/>
        <w:left w:val="none" w:sz="0" w:space="0" w:color="auto"/>
        <w:bottom w:val="none" w:sz="0" w:space="0" w:color="auto"/>
        <w:right w:val="none" w:sz="0" w:space="0" w:color="auto"/>
      </w:divBdr>
    </w:div>
    <w:div w:id="755784989">
      <w:bodyDiv w:val="1"/>
      <w:marLeft w:val="0"/>
      <w:marRight w:val="0"/>
      <w:marTop w:val="0"/>
      <w:marBottom w:val="0"/>
      <w:divBdr>
        <w:top w:val="none" w:sz="0" w:space="0" w:color="auto"/>
        <w:left w:val="none" w:sz="0" w:space="0" w:color="auto"/>
        <w:bottom w:val="none" w:sz="0" w:space="0" w:color="auto"/>
        <w:right w:val="none" w:sz="0" w:space="0" w:color="auto"/>
      </w:divBdr>
    </w:div>
    <w:div w:id="756173166">
      <w:bodyDiv w:val="1"/>
      <w:marLeft w:val="0"/>
      <w:marRight w:val="0"/>
      <w:marTop w:val="0"/>
      <w:marBottom w:val="0"/>
      <w:divBdr>
        <w:top w:val="none" w:sz="0" w:space="0" w:color="auto"/>
        <w:left w:val="none" w:sz="0" w:space="0" w:color="auto"/>
        <w:bottom w:val="none" w:sz="0" w:space="0" w:color="auto"/>
        <w:right w:val="none" w:sz="0" w:space="0" w:color="auto"/>
      </w:divBdr>
    </w:div>
    <w:div w:id="756513764">
      <w:bodyDiv w:val="1"/>
      <w:marLeft w:val="0"/>
      <w:marRight w:val="0"/>
      <w:marTop w:val="0"/>
      <w:marBottom w:val="0"/>
      <w:divBdr>
        <w:top w:val="none" w:sz="0" w:space="0" w:color="auto"/>
        <w:left w:val="none" w:sz="0" w:space="0" w:color="auto"/>
        <w:bottom w:val="none" w:sz="0" w:space="0" w:color="auto"/>
        <w:right w:val="none" w:sz="0" w:space="0" w:color="auto"/>
      </w:divBdr>
    </w:div>
    <w:div w:id="756559171">
      <w:bodyDiv w:val="1"/>
      <w:marLeft w:val="0"/>
      <w:marRight w:val="0"/>
      <w:marTop w:val="0"/>
      <w:marBottom w:val="0"/>
      <w:divBdr>
        <w:top w:val="none" w:sz="0" w:space="0" w:color="auto"/>
        <w:left w:val="none" w:sz="0" w:space="0" w:color="auto"/>
        <w:bottom w:val="none" w:sz="0" w:space="0" w:color="auto"/>
        <w:right w:val="none" w:sz="0" w:space="0" w:color="auto"/>
      </w:divBdr>
    </w:div>
    <w:div w:id="757099371">
      <w:bodyDiv w:val="1"/>
      <w:marLeft w:val="0"/>
      <w:marRight w:val="0"/>
      <w:marTop w:val="0"/>
      <w:marBottom w:val="0"/>
      <w:divBdr>
        <w:top w:val="none" w:sz="0" w:space="0" w:color="auto"/>
        <w:left w:val="none" w:sz="0" w:space="0" w:color="auto"/>
        <w:bottom w:val="none" w:sz="0" w:space="0" w:color="auto"/>
        <w:right w:val="none" w:sz="0" w:space="0" w:color="auto"/>
      </w:divBdr>
    </w:div>
    <w:div w:id="758603120">
      <w:bodyDiv w:val="1"/>
      <w:marLeft w:val="0"/>
      <w:marRight w:val="0"/>
      <w:marTop w:val="0"/>
      <w:marBottom w:val="0"/>
      <w:divBdr>
        <w:top w:val="none" w:sz="0" w:space="0" w:color="auto"/>
        <w:left w:val="none" w:sz="0" w:space="0" w:color="auto"/>
        <w:bottom w:val="none" w:sz="0" w:space="0" w:color="auto"/>
        <w:right w:val="none" w:sz="0" w:space="0" w:color="auto"/>
      </w:divBdr>
    </w:div>
    <w:div w:id="759259213">
      <w:bodyDiv w:val="1"/>
      <w:marLeft w:val="0"/>
      <w:marRight w:val="0"/>
      <w:marTop w:val="0"/>
      <w:marBottom w:val="0"/>
      <w:divBdr>
        <w:top w:val="none" w:sz="0" w:space="0" w:color="auto"/>
        <w:left w:val="none" w:sz="0" w:space="0" w:color="auto"/>
        <w:bottom w:val="none" w:sz="0" w:space="0" w:color="auto"/>
        <w:right w:val="none" w:sz="0" w:space="0" w:color="auto"/>
      </w:divBdr>
    </w:div>
    <w:div w:id="760414876">
      <w:bodyDiv w:val="1"/>
      <w:marLeft w:val="0"/>
      <w:marRight w:val="0"/>
      <w:marTop w:val="0"/>
      <w:marBottom w:val="0"/>
      <w:divBdr>
        <w:top w:val="none" w:sz="0" w:space="0" w:color="auto"/>
        <w:left w:val="none" w:sz="0" w:space="0" w:color="auto"/>
        <w:bottom w:val="none" w:sz="0" w:space="0" w:color="auto"/>
        <w:right w:val="none" w:sz="0" w:space="0" w:color="auto"/>
      </w:divBdr>
    </w:div>
    <w:div w:id="761099219">
      <w:bodyDiv w:val="1"/>
      <w:marLeft w:val="0"/>
      <w:marRight w:val="0"/>
      <w:marTop w:val="0"/>
      <w:marBottom w:val="0"/>
      <w:divBdr>
        <w:top w:val="none" w:sz="0" w:space="0" w:color="auto"/>
        <w:left w:val="none" w:sz="0" w:space="0" w:color="auto"/>
        <w:bottom w:val="none" w:sz="0" w:space="0" w:color="auto"/>
        <w:right w:val="none" w:sz="0" w:space="0" w:color="auto"/>
      </w:divBdr>
    </w:div>
    <w:div w:id="762216045">
      <w:bodyDiv w:val="1"/>
      <w:marLeft w:val="0"/>
      <w:marRight w:val="0"/>
      <w:marTop w:val="0"/>
      <w:marBottom w:val="0"/>
      <w:divBdr>
        <w:top w:val="none" w:sz="0" w:space="0" w:color="auto"/>
        <w:left w:val="none" w:sz="0" w:space="0" w:color="auto"/>
        <w:bottom w:val="none" w:sz="0" w:space="0" w:color="auto"/>
        <w:right w:val="none" w:sz="0" w:space="0" w:color="auto"/>
      </w:divBdr>
    </w:div>
    <w:div w:id="762722686">
      <w:bodyDiv w:val="1"/>
      <w:marLeft w:val="0"/>
      <w:marRight w:val="0"/>
      <w:marTop w:val="0"/>
      <w:marBottom w:val="0"/>
      <w:divBdr>
        <w:top w:val="none" w:sz="0" w:space="0" w:color="auto"/>
        <w:left w:val="none" w:sz="0" w:space="0" w:color="auto"/>
        <w:bottom w:val="none" w:sz="0" w:space="0" w:color="auto"/>
        <w:right w:val="none" w:sz="0" w:space="0" w:color="auto"/>
      </w:divBdr>
    </w:div>
    <w:div w:id="763116080">
      <w:bodyDiv w:val="1"/>
      <w:marLeft w:val="0"/>
      <w:marRight w:val="0"/>
      <w:marTop w:val="0"/>
      <w:marBottom w:val="0"/>
      <w:divBdr>
        <w:top w:val="none" w:sz="0" w:space="0" w:color="auto"/>
        <w:left w:val="none" w:sz="0" w:space="0" w:color="auto"/>
        <w:bottom w:val="none" w:sz="0" w:space="0" w:color="auto"/>
        <w:right w:val="none" w:sz="0" w:space="0" w:color="auto"/>
      </w:divBdr>
    </w:div>
    <w:div w:id="763720668">
      <w:bodyDiv w:val="1"/>
      <w:marLeft w:val="0"/>
      <w:marRight w:val="0"/>
      <w:marTop w:val="0"/>
      <w:marBottom w:val="0"/>
      <w:divBdr>
        <w:top w:val="none" w:sz="0" w:space="0" w:color="auto"/>
        <w:left w:val="none" w:sz="0" w:space="0" w:color="auto"/>
        <w:bottom w:val="none" w:sz="0" w:space="0" w:color="auto"/>
        <w:right w:val="none" w:sz="0" w:space="0" w:color="auto"/>
      </w:divBdr>
    </w:div>
    <w:div w:id="764231314">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7757">
      <w:bodyDiv w:val="1"/>
      <w:marLeft w:val="0"/>
      <w:marRight w:val="0"/>
      <w:marTop w:val="0"/>
      <w:marBottom w:val="0"/>
      <w:divBdr>
        <w:top w:val="none" w:sz="0" w:space="0" w:color="auto"/>
        <w:left w:val="none" w:sz="0" w:space="0" w:color="auto"/>
        <w:bottom w:val="none" w:sz="0" w:space="0" w:color="auto"/>
        <w:right w:val="none" w:sz="0" w:space="0" w:color="auto"/>
      </w:divBdr>
    </w:div>
    <w:div w:id="765148623">
      <w:bodyDiv w:val="1"/>
      <w:marLeft w:val="0"/>
      <w:marRight w:val="0"/>
      <w:marTop w:val="0"/>
      <w:marBottom w:val="0"/>
      <w:divBdr>
        <w:top w:val="none" w:sz="0" w:space="0" w:color="auto"/>
        <w:left w:val="none" w:sz="0" w:space="0" w:color="auto"/>
        <w:bottom w:val="none" w:sz="0" w:space="0" w:color="auto"/>
        <w:right w:val="none" w:sz="0" w:space="0" w:color="auto"/>
      </w:divBdr>
    </w:div>
    <w:div w:id="766468398">
      <w:bodyDiv w:val="1"/>
      <w:marLeft w:val="0"/>
      <w:marRight w:val="0"/>
      <w:marTop w:val="0"/>
      <w:marBottom w:val="0"/>
      <w:divBdr>
        <w:top w:val="none" w:sz="0" w:space="0" w:color="auto"/>
        <w:left w:val="none" w:sz="0" w:space="0" w:color="auto"/>
        <w:bottom w:val="none" w:sz="0" w:space="0" w:color="auto"/>
        <w:right w:val="none" w:sz="0" w:space="0" w:color="auto"/>
      </w:divBdr>
    </w:div>
    <w:div w:id="768281695">
      <w:bodyDiv w:val="1"/>
      <w:marLeft w:val="0"/>
      <w:marRight w:val="0"/>
      <w:marTop w:val="0"/>
      <w:marBottom w:val="0"/>
      <w:divBdr>
        <w:top w:val="none" w:sz="0" w:space="0" w:color="auto"/>
        <w:left w:val="none" w:sz="0" w:space="0" w:color="auto"/>
        <w:bottom w:val="none" w:sz="0" w:space="0" w:color="auto"/>
        <w:right w:val="none" w:sz="0" w:space="0" w:color="auto"/>
      </w:divBdr>
    </w:div>
    <w:div w:id="768623464">
      <w:bodyDiv w:val="1"/>
      <w:marLeft w:val="0"/>
      <w:marRight w:val="0"/>
      <w:marTop w:val="0"/>
      <w:marBottom w:val="0"/>
      <w:divBdr>
        <w:top w:val="none" w:sz="0" w:space="0" w:color="auto"/>
        <w:left w:val="none" w:sz="0" w:space="0" w:color="auto"/>
        <w:bottom w:val="none" w:sz="0" w:space="0" w:color="auto"/>
        <w:right w:val="none" w:sz="0" w:space="0" w:color="auto"/>
      </w:divBdr>
    </w:div>
    <w:div w:id="768700799">
      <w:bodyDiv w:val="1"/>
      <w:marLeft w:val="0"/>
      <w:marRight w:val="0"/>
      <w:marTop w:val="0"/>
      <w:marBottom w:val="0"/>
      <w:divBdr>
        <w:top w:val="none" w:sz="0" w:space="0" w:color="auto"/>
        <w:left w:val="none" w:sz="0" w:space="0" w:color="auto"/>
        <w:bottom w:val="none" w:sz="0" w:space="0" w:color="auto"/>
        <w:right w:val="none" w:sz="0" w:space="0" w:color="auto"/>
      </w:divBdr>
    </w:div>
    <w:div w:id="768768695">
      <w:bodyDiv w:val="1"/>
      <w:marLeft w:val="0"/>
      <w:marRight w:val="0"/>
      <w:marTop w:val="0"/>
      <w:marBottom w:val="0"/>
      <w:divBdr>
        <w:top w:val="none" w:sz="0" w:space="0" w:color="auto"/>
        <w:left w:val="none" w:sz="0" w:space="0" w:color="auto"/>
        <w:bottom w:val="none" w:sz="0" w:space="0" w:color="auto"/>
        <w:right w:val="none" w:sz="0" w:space="0" w:color="auto"/>
      </w:divBdr>
    </w:div>
    <w:div w:id="768936870">
      <w:bodyDiv w:val="1"/>
      <w:marLeft w:val="0"/>
      <w:marRight w:val="0"/>
      <w:marTop w:val="0"/>
      <w:marBottom w:val="0"/>
      <w:divBdr>
        <w:top w:val="none" w:sz="0" w:space="0" w:color="auto"/>
        <w:left w:val="none" w:sz="0" w:space="0" w:color="auto"/>
        <w:bottom w:val="none" w:sz="0" w:space="0" w:color="auto"/>
        <w:right w:val="none" w:sz="0" w:space="0" w:color="auto"/>
      </w:divBdr>
    </w:div>
    <w:div w:id="769084470">
      <w:bodyDiv w:val="1"/>
      <w:marLeft w:val="0"/>
      <w:marRight w:val="0"/>
      <w:marTop w:val="0"/>
      <w:marBottom w:val="0"/>
      <w:divBdr>
        <w:top w:val="none" w:sz="0" w:space="0" w:color="auto"/>
        <w:left w:val="none" w:sz="0" w:space="0" w:color="auto"/>
        <w:bottom w:val="none" w:sz="0" w:space="0" w:color="auto"/>
        <w:right w:val="none" w:sz="0" w:space="0" w:color="auto"/>
      </w:divBdr>
    </w:div>
    <w:div w:id="769130704">
      <w:bodyDiv w:val="1"/>
      <w:marLeft w:val="0"/>
      <w:marRight w:val="0"/>
      <w:marTop w:val="0"/>
      <w:marBottom w:val="0"/>
      <w:divBdr>
        <w:top w:val="none" w:sz="0" w:space="0" w:color="auto"/>
        <w:left w:val="none" w:sz="0" w:space="0" w:color="auto"/>
        <w:bottom w:val="none" w:sz="0" w:space="0" w:color="auto"/>
        <w:right w:val="none" w:sz="0" w:space="0" w:color="auto"/>
      </w:divBdr>
    </w:div>
    <w:div w:id="769666029">
      <w:bodyDiv w:val="1"/>
      <w:marLeft w:val="0"/>
      <w:marRight w:val="0"/>
      <w:marTop w:val="0"/>
      <w:marBottom w:val="0"/>
      <w:divBdr>
        <w:top w:val="none" w:sz="0" w:space="0" w:color="auto"/>
        <w:left w:val="none" w:sz="0" w:space="0" w:color="auto"/>
        <w:bottom w:val="none" w:sz="0" w:space="0" w:color="auto"/>
        <w:right w:val="none" w:sz="0" w:space="0" w:color="auto"/>
      </w:divBdr>
    </w:div>
    <w:div w:id="770124469">
      <w:bodyDiv w:val="1"/>
      <w:marLeft w:val="0"/>
      <w:marRight w:val="0"/>
      <w:marTop w:val="0"/>
      <w:marBottom w:val="0"/>
      <w:divBdr>
        <w:top w:val="none" w:sz="0" w:space="0" w:color="auto"/>
        <w:left w:val="none" w:sz="0" w:space="0" w:color="auto"/>
        <w:bottom w:val="none" w:sz="0" w:space="0" w:color="auto"/>
        <w:right w:val="none" w:sz="0" w:space="0" w:color="auto"/>
      </w:divBdr>
    </w:div>
    <w:div w:id="770127524">
      <w:bodyDiv w:val="1"/>
      <w:marLeft w:val="0"/>
      <w:marRight w:val="0"/>
      <w:marTop w:val="0"/>
      <w:marBottom w:val="0"/>
      <w:divBdr>
        <w:top w:val="none" w:sz="0" w:space="0" w:color="auto"/>
        <w:left w:val="none" w:sz="0" w:space="0" w:color="auto"/>
        <w:bottom w:val="none" w:sz="0" w:space="0" w:color="auto"/>
        <w:right w:val="none" w:sz="0" w:space="0" w:color="auto"/>
      </w:divBdr>
    </w:div>
    <w:div w:id="770201730">
      <w:bodyDiv w:val="1"/>
      <w:marLeft w:val="0"/>
      <w:marRight w:val="0"/>
      <w:marTop w:val="0"/>
      <w:marBottom w:val="0"/>
      <w:divBdr>
        <w:top w:val="none" w:sz="0" w:space="0" w:color="auto"/>
        <w:left w:val="none" w:sz="0" w:space="0" w:color="auto"/>
        <w:bottom w:val="none" w:sz="0" w:space="0" w:color="auto"/>
        <w:right w:val="none" w:sz="0" w:space="0" w:color="auto"/>
      </w:divBdr>
    </w:div>
    <w:div w:id="771322945">
      <w:bodyDiv w:val="1"/>
      <w:marLeft w:val="0"/>
      <w:marRight w:val="0"/>
      <w:marTop w:val="0"/>
      <w:marBottom w:val="0"/>
      <w:divBdr>
        <w:top w:val="none" w:sz="0" w:space="0" w:color="auto"/>
        <w:left w:val="none" w:sz="0" w:space="0" w:color="auto"/>
        <w:bottom w:val="none" w:sz="0" w:space="0" w:color="auto"/>
        <w:right w:val="none" w:sz="0" w:space="0" w:color="auto"/>
      </w:divBdr>
    </w:div>
    <w:div w:id="771556712">
      <w:bodyDiv w:val="1"/>
      <w:marLeft w:val="0"/>
      <w:marRight w:val="0"/>
      <w:marTop w:val="0"/>
      <w:marBottom w:val="0"/>
      <w:divBdr>
        <w:top w:val="none" w:sz="0" w:space="0" w:color="auto"/>
        <w:left w:val="none" w:sz="0" w:space="0" w:color="auto"/>
        <w:bottom w:val="none" w:sz="0" w:space="0" w:color="auto"/>
        <w:right w:val="none" w:sz="0" w:space="0" w:color="auto"/>
      </w:divBdr>
    </w:div>
    <w:div w:id="771705374">
      <w:bodyDiv w:val="1"/>
      <w:marLeft w:val="0"/>
      <w:marRight w:val="0"/>
      <w:marTop w:val="0"/>
      <w:marBottom w:val="0"/>
      <w:divBdr>
        <w:top w:val="none" w:sz="0" w:space="0" w:color="auto"/>
        <w:left w:val="none" w:sz="0" w:space="0" w:color="auto"/>
        <w:bottom w:val="none" w:sz="0" w:space="0" w:color="auto"/>
        <w:right w:val="none" w:sz="0" w:space="0" w:color="auto"/>
      </w:divBdr>
    </w:div>
    <w:div w:id="771708209">
      <w:bodyDiv w:val="1"/>
      <w:marLeft w:val="0"/>
      <w:marRight w:val="0"/>
      <w:marTop w:val="0"/>
      <w:marBottom w:val="0"/>
      <w:divBdr>
        <w:top w:val="none" w:sz="0" w:space="0" w:color="auto"/>
        <w:left w:val="none" w:sz="0" w:space="0" w:color="auto"/>
        <w:bottom w:val="none" w:sz="0" w:space="0" w:color="auto"/>
        <w:right w:val="none" w:sz="0" w:space="0" w:color="auto"/>
      </w:divBdr>
    </w:div>
    <w:div w:id="772172307">
      <w:bodyDiv w:val="1"/>
      <w:marLeft w:val="0"/>
      <w:marRight w:val="0"/>
      <w:marTop w:val="0"/>
      <w:marBottom w:val="0"/>
      <w:divBdr>
        <w:top w:val="none" w:sz="0" w:space="0" w:color="auto"/>
        <w:left w:val="none" w:sz="0" w:space="0" w:color="auto"/>
        <w:bottom w:val="none" w:sz="0" w:space="0" w:color="auto"/>
        <w:right w:val="none" w:sz="0" w:space="0" w:color="auto"/>
      </w:divBdr>
    </w:div>
    <w:div w:id="772360221">
      <w:bodyDiv w:val="1"/>
      <w:marLeft w:val="0"/>
      <w:marRight w:val="0"/>
      <w:marTop w:val="0"/>
      <w:marBottom w:val="0"/>
      <w:divBdr>
        <w:top w:val="none" w:sz="0" w:space="0" w:color="auto"/>
        <w:left w:val="none" w:sz="0" w:space="0" w:color="auto"/>
        <w:bottom w:val="none" w:sz="0" w:space="0" w:color="auto"/>
        <w:right w:val="none" w:sz="0" w:space="0" w:color="auto"/>
      </w:divBdr>
    </w:div>
    <w:div w:id="773136471">
      <w:bodyDiv w:val="1"/>
      <w:marLeft w:val="0"/>
      <w:marRight w:val="0"/>
      <w:marTop w:val="0"/>
      <w:marBottom w:val="0"/>
      <w:divBdr>
        <w:top w:val="none" w:sz="0" w:space="0" w:color="auto"/>
        <w:left w:val="none" w:sz="0" w:space="0" w:color="auto"/>
        <w:bottom w:val="none" w:sz="0" w:space="0" w:color="auto"/>
        <w:right w:val="none" w:sz="0" w:space="0" w:color="auto"/>
      </w:divBdr>
    </w:div>
    <w:div w:id="774129603">
      <w:bodyDiv w:val="1"/>
      <w:marLeft w:val="0"/>
      <w:marRight w:val="0"/>
      <w:marTop w:val="0"/>
      <w:marBottom w:val="0"/>
      <w:divBdr>
        <w:top w:val="none" w:sz="0" w:space="0" w:color="auto"/>
        <w:left w:val="none" w:sz="0" w:space="0" w:color="auto"/>
        <w:bottom w:val="none" w:sz="0" w:space="0" w:color="auto"/>
        <w:right w:val="none" w:sz="0" w:space="0" w:color="auto"/>
      </w:divBdr>
    </w:div>
    <w:div w:id="774322869">
      <w:bodyDiv w:val="1"/>
      <w:marLeft w:val="0"/>
      <w:marRight w:val="0"/>
      <w:marTop w:val="0"/>
      <w:marBottom w:val="0"/>
      <w:divBdr>
        <w:top w:val="none" w:sz="0" w:space="0" w:color="auto"/>
        <w:left w:val="none" w:sz="0" w:space="0" w:color="auto"/>
        <w:bottom w:val="none" w:sz="0" w:space="0" w:color="auto"/>
        <w:right w:val="none" w:sz="0" w:space="0" w:color="auto"/>
      </w:divBdr>
    </w:div>
    <w:div w:id="774637174">
      <w:bodyDiv w:val="1"/>
      <w:marLeft w:val="0"/>
      <w:marRight w:val="0"/>
      <w:marTop w:val="0"/>
      <w:marBottom w:val="0"/>
      <w:divBdr>
        <w:top w:val="none" w:sz="0" w:space="0" w:color="auto"/>
        <w:left w:val="none" w:sz="0" w:space="0" w:color="auto"/>
        <w:bottom w:val="none" w:sz="0" w:space="0" w:color="auto"/>
        <w:right w:val="none" w:sz="0" w:space="0" w:color="auto"/>
      </w:divBdr>
    </w:div>
    <w:div w:id="775096477">
      <w:bodyDiv w:val="1"/>
      <w:marLeft w:val="0"/>
      <w:marRight w:val="0"/>
      <w:marTop w:val="0"/>
      <w:marBottom w:val="0"/>
      <w:divBdr>
        <w:top w:val="none" w:sz="0" w:space="0" w:color="auto"/>
        <w:left w:val="none" w:sz="0" w:space="0" w:color="auto"/>
        <w:bottom w:val="none" w:sz="0" w:space="0" w:color="auto"/>
        <w:right w:val="none" w:sz="0" w:space="0" w:color="auto"/>
      </w:divBdr>
    </w:div>
    <w:div w:id="775488193">
      <w:bodyDiv w:val="1"/>
      <w:marLeft w:val="0"/>
      <w:marRight w:val="0"/>
      <w:marTop w:val="0"/>
      <w:marBottom w:val="0"/>
      <w:divBdr>
        <w:top w:val="none" w:sz="0" w:space="0" w:color="auto"/>
        <w:left w:val="none" w:sz="0" w:space="0" w:color="auto"/>
        <w:bottom w:val="none" w:sz="0" w:space="0" w:color="auto"/>
        <w:right w:val="none" w:sz="0" w:space="0" w:color="auto"/>
      </w:divBdr>
    </w:div>
    <w:div w:id="775516568">
      <w:bodyDiv w:val="1"/>
      <w:marLeft w:val="0"/>
      <w:marRight w:val="0"/>
      <w:marTop w:val="0"/>
      <w:marBottom w:val="0"/>
      <w:divBdr>
        <w:top w:val="none" w:sz="0" w:space="0" w:color="auto"/>
        <w:left w:val="none" w:sz="0" w:space="0" w:color="auto"/>
        <w:bottom w:val="none" w:sz="0" w:space="0" w:color="auto"/>
        <w:right w:val="none" w:sz="0" w:space="0" w:color="auto"/>
      </w:divBdr>
    </w:div>
    <w:div w:id="775902850">
      <w:bodyDiv w:val="1"/>
      <w:marLeft w:val="0"/>
      <w:marRight w:val="0"/>
      <w:marTop w:val="0"/>
      <w:marBottom w:val="0"/>
      <w:divBdr>
        <w:top w:val="none" w:sz="0" w:space="0" w:color="auto"/>
        <w:left w:val="none" w:sz="0" w:space="0" w:color="auto"/>
        <w:bottom w:val="none" w:sz="0" w:space="0" w:color="auto"/>
        <w:right w:val="none" w:sz="0" w:space="0" w:color="auto"/>
      </w:divBdr>
    </w:div>
    <w:div w:id="775946679">
      <w:bodyDiv w:val="1"/>
      <w:marLeft w:val="0"/>
      <w:marRight w:val="0"/>
      <w:marTop w:val="0"/>
      <w:marBottom w:val="0"/>
      <w:divBdr>
        <w:top w:val="none" w:sz="0" w:space="0" w:color="auto"/>
        <w:left w:val="none" w:sz="0" w:space="0" w:color="auto"/>
        <w:bottom w:val="none" w:sz="0" w:space="0" w:color="auto"/>
        <w:right w:val="none" w:sz="0" w:space="0" w:color="auto"/>
      </w:divBdr>
    </w:div>
    <w:div w:id="777723367">
      <w:bodyDiv w:val="1"/>
      <w:marLeft w:val="0"/>
      <w:marRight w:val="0"/>
      <w:marTop w:val="0"/>
      <w:marBottom w:val="0"/>
      <w:divBdr>
        <w:top w:val="none" w:sz="0" w:space="0" w:color="auto"/>
        <w:left w:val="none" w:sz="0" w:space="0" w:color="auto"/>
        <w:bottom w:val="none" w:sz="0" w:space="0" w:color="auto"/>
        <w:right w:val="none" w:sz="0" w:space="0" w:color="auto"/>
      </w:divBdr>
    </w:div>
    <w:div w:id="777944497">
      <w:bodyDiv w:val="1"/>
      <w:marLeft w:val="0"/>
      <w:marRight w:val="0"/>
      <w:marTop w:val="0"/>
      <w:marBottom w:val="0"/>
      <w:divBdr>
        <w:top w:val="none" w:sz="0" w:space="0" w:color="auto"/>
        <w:left w:val="none" w:sz="0" w:space="0" w:color="auto"/>
        <w:bottom w:val="none" w:sz="0" w:space="0" w:color="auto"/>
        <w:right w:val="none" w:sz="0" w:space="0" w:color="auto"/>
      </w:divBdr>
    </w:div>
    <w:div w:id="777990885">
      <w:bodyDiv w:val="1"/>
      <w:marLeft w:val="0"/>
      <w:marRight w:val="0"/>
      <w:marTop w:val="0"/>
      <w:marBottom w:val="0"/>
      <w:divBdr>
        <w:top w:val="none" w:sz="0" w:space="0" w:color="auto"/>
        <w:left w:val="none" w:sz="0" w:space="0" w:color="auto"/>
        <w:bottom w:val="none" w:sz="0" w:space="0" w:color="auto"/>
        <w:right w:val="none" w:sz="0" w:space="0" w:color="auto"/>
      </w:divBdr>
    </w:div>
    <w:div w:id="778372853">
      <w:bodyDiv w:val="1"/>
      <w:marLeft w:val="0"/>
      <w:marRight w:val="0"/>
      <w:marTop w:val="0"/>
      <w:marBottom w:val="0"/>
      <w:divBdr>
        <w:top w:val="none" w:sz="0" w:space="0" w:color="auto"/>
        <w:left w:val="none" w:sz="0" w:space="0" w:color="auto"/>
        <w:bottom w:val="none" w:sz="0" w:space="0" w:color="auto"/>
        <w:right w:val="none" w:sz="0" w:space="0" w:color="auto"/>
      </w:divBdr>
    </w:div>
    <w:div w:id="778378994">
      <w:bodyDiv w:val="1"/>
      <w:marLeft w:val="0"/>
      <w:marRight w:val="0"/>
      <w:marTop w:val="0"/>
      <w:marBottom w:val="0"/>
      <w:divBdr>
        <w:top w:val="none" w:sz="0" w:space="0" w:color="auto"/>
        <w:left w:val="none" w:sz="0" w:space="0" w:color="auto"/>
        <w:bottom w:val="none" w:sz="0" w:space="0" w:color="auto"/>
        <w:right w:val="none" w:sz="0" w:space="0" w:color="auto"/>
      </w:divBdr>
    </w:div>
    <w:div w:id="778716557">
      <w:bodyDiv w:val="1"/>
      <w:marLeft w:val="0"/>
      <w:marRight w:val="0"/>
      <w:marTop w:val="0"/>
      <w:marBottom w:val="0"/>
      <w:divBdr>
        <w:top w:val="none" w:sz="0" w:space="0" w:color="auto"/>
        <w:left w:val="none" w:sz="0" w:space="0" w:color="auto"/>
        <w:bottom w:val="none" w:sz="0" w:space="0" w:color="auto"/>
        <w:right w:val="none" w:sz="0" w:space="0" w:color="auto"/>
      </w:divBdr>
    </w:div>
    <w:div w:id="779223635">
      <w:bodyDiv w:val="1"/>
      <w:marLeft w:val="0"/>
      <w:marRight w:val="0"/>
      <w:marTop w:val="0"/>
      <w:marBottom w:val="0"/>
      <w:divBdr>
        <w:top w:val="none" w:sz="0" w:space="0" w:color="auto"/>
        <w:left w:val="none" w:sz="0" w:space="0" w:color="auto"/>
        <w:bottom w:val="none" w:sz="0" w:space="0" w:color="auto"/>
        <w:right w:val="none" w:sz="0" w:space="0" w:color="auto"/>
      </w:divBdr>
    </w:div>
    <w:div w:id="779646613">
      <w:bodyDiv w:val="1"/>
      <w:marLeft w:val="0"/>
      <w:marRight w:val="0"/>
      <w:marTop w:val="0"/>
      <w:marBottom w:val="0"/>
      <w:divBdr>
        <w:top w:val="none" w:sz="0" w:space="0" w:color="auto"/>
        <w:left w:val="none" w:sz="0" w:space="0" w:color="auto"/>
        <w:bottom w:val="none" w:sz="0" w:space="0" w:color="auto"/>
        <w:right w:val="none" w:sz="0" w:space="0" w:color="auto"/>
      </w:divBdr>
    </w:div>
    <w:div w:id="779883351">
      <w:bodyDiv w:val="1"/>
      <w:marLeft w:val="0"/>
      <w:marRight w:val="0"/>
      <w:marTop w:val="0"/>
      <w:marBottom w:val="0"/>
      <w:divBdr>
        <w:top w:val="none" w:sz="0" w:space="0" w:color="auto"/>
        <w:left w:val="none" w:sz="0" w:space="0" w:color="auto"/>
        <w:bottom w:val="none" w:sz="0" w:space="0" w:color="auto"/>
        <w:right w:val="none" w:sz="0" w:space="0" w:color="auto"/>
      </w:divBdr>
    </w:div>
    <w:div w:id="780102778">
      <w:bodyDiv w:val="1"/>
      <w:marLeft w:val="0"/>
      <w:marRight w:val="0"/>
      <w:marTop w:val="0"/>
      <w:marBottom w:val="0"/>
      <w:divBdr>
        <w:top w:val="none" w:sz="0" w:space="0" w:color="auto"/>
        <w:left w:val="none" w:sz="0" w:space="0" w:color="auto"/>
        <w:bottom w:val="none" w:sz="0" w:space="0" w:color="auto"/>
        <w:right w:val="none" w:sz="0" w:space="0" w:color="auto"/>
      </w:divBdr>
    </w:div>
    <w:div w:id="781073575">
      <w:bodyDiv w:val="1"/>
      <w:marLeft w:val="0"/>
      <w:marRight w:val="0"/>
      <w:marTop w:val="0"/>
      <w:marBottom w:val="0"/>
      <w:divBdr>
        <w:top w:val="none" w:sz="0" w:space="0" w:color="auto"/>
        <w:left w:val="none" w:sz="0" w:space="0" w:color="auto"/>
        <w:bottom w:val="none" w:sz="0" w:space="0" w:color="auto"/>
        <w:right w:val="none" w:sz="0" w:space="0" w:color="auto"/>
      </w:divBdr>
    </w:div>
    <w:div w:id="781534507">
      <w:bodyDiv w:val="1"/>
      <w:marLeft w:val="0"/>
      <w:marRight w:val="0"/>
      <w:marTop w:val="0"/>
      <w:marBottom w:val="0"/>
      <w:divBdr>
        <w:top w:val="none" w:sz="0" w:space="0" w:color="auto"/>
        <w:left w:val="none" w:sz="0" w:space="0" w:color="auto"/>
        <w:bottom w:val="none" w:sz="0" w:space="0" w:color="auto"/>
        <w:right w:val="none" w:sz="0" w:space="0" w:color="auto"/>
      </w:divBdr>
    </w:div>
    <w:div w:id="782188386">
      <w:bodyDiv w:val="1"/>
      <w:marLeft w:val="0"/>
      <w:marRight w:val="0"/>
      <w:marTop w:val="0"/>
      <w:marBottom w:val="0"/>
      <w:divBdr>
        <w:top w:val="none" w:sz="0" w:space="0" w:color="auto"/>
        <w:left w:val="none" w:sz="0" w:space="0" w:color="auto"/>
        <w:bottom w:val="none" w:sz="0" w:space="0" w:color="auto"/>
        <w:right w:val="none" w:sz="0" w:space="0" w:color="auto"/>
      </w:divBdr>
    </w:div>
    <w:div w:id="782262798">
      <w:bodyDiv w:val="1"/>
      <w:marLeft w:val="0"/>
      <w:marRight w:val="0"/>
      <w:marTop w:val="0"/>
      <w:marBottom w:val="0"/>
      <w:divBdr>
        <w:top w:val="none" w:sz="0" w:space="0" w:color="auto"/>
        <w:left w:val="none" w:sz="0" w:space="0" w:color="auto"/>
        <w:bottom w:val="none" w:sz="0" w:space="0" w:color="auto"/>
        <w:right w:val="none" w:sz="0" w:space="0" w:color="auto"/>
      </w:divBdr>
    </w:div>
    <w:div w:id="783379150">
      <w:bodyDiv w:val="1"/>
      <w:marLeft w:val="0"/>
      <w:marRight w:val="0"/>
      <w:marTop w:val="0"/>
      <w:marBottom w:val="0"/>
      <w:divBdr>
        <w:top w:val="none" w:sz="0" w:space="0" w:color="auto"/>
        <w:left w:val="none" w:sz="0" w:space="0" w:color="auto"/>
        <w:bottom w:val="none" w:sz="0" w:space="0" w:color="auto"/>
        <w:right w:val="none" w:sz="0" w:space="0" w:color="auto"/>
      </w:divBdr>
    </w:div>
    <w:div w:id="784540029">
      <w:bodyDiv w:val="1"/>
      <w:marLeft w:val="0"/>
      <w:marRight w:val="0"/>
      <w:marTop w:val="0"/>
      <w:marBottom w:val="0"/>
      <w:divBdr>
        <w:top w:val="none" w:sz="0" w:space="0" w:color="auto"/>
        <w:left w:val="none" w:sz="0" w:space="0" w:color="auto"/>
        <w:bottom w:val="none" w:sz="0" w:space="0" w:color="auto"/>
        <w:right w:val="none" w:sz="0" w:space="0" w:color="auto"/>
      </w:divBdr>
    </w:div>
    <w:div w:id="784809441">
      <w:bodyDiv w:val="1"/>
      <w:marLeft w:val="0"/>
      <w:marRight w:val="0"/>
      <w:marTop w:val="0"/>
      <w:marBottom w:val="0"/>
      <w:divBdr>
        <w:top w:val="none" w:sz="0" w:space="0" w:color="auto"/>
        <w:left w:val="none" w:sz="0" w:space="0" w:color="auto"/>
        <w:bottom w:val="none" w:sz="0" w:space="0" w:color="auto"/>
        <w:right w:val="none" w:sz="0" w:space="0" w:color="auto"/>
      </w:divBdr>
    </w:div>
    <w:div w:id="784886245">
      <w:bodyDiv w:val="1"/>
      <w:marLeft w:val="0"/>
      <w:marRight w:val="0"/>
      <w:marTop w:val="0"/>
      <w:marBottom w:val="0"/>
      <w:divBdr>
        <w:top w:val="none" w:sz="0" w:space="0" w:color="auto"/>
        <w:left w:val="none" w:sz="0" w:space="0" w:color="auto"/>
        <w:bottom w:val="none" w:sz="0" w:space="0" w:color="auto"/>
        <w:right w:val="none" w:sz="0" w:space="0" w:color="auto"/>
      </w:divBdr>
    </w:div>
    <w:div w:id="785808900">
      <w:bodyDiv w:val="1"/>
      <w:marLeft w:val="0"/>
      <w:marRight w:val="0"/>
      <w:marTop w:val="0"/>
      <w:marBottom w:val="0"/>
      <w:divBdr>
        <w:top w:val="none" w:sz="0" w:space="0" w:color="auto"/>
        <w:left w:val="none" w:sz="0" w:space="0" w:color="auto"/>
        <w:bottom w:val="none" w:sz="0" w:space="0" w:color="auto"/>
        <w:right w:val="none" w:sz="0" w:space="0" w:color="auto"/>
      </w:divBdr>
    </w:div>
    <w:div w:id="787743538">
      <w:bodyDiv w:val="1"/>
      <w:marLeft w:val="0"/>
      <w:marRight w:val="0"/>
      <w:marTop w:val="0"/>
      <w:marBottom w:val="0"/>
      <w:divBdr>
        <w:top w:val="none" w:sz="0" w:space="0" w:color="auto"/>
        <w:left w:val="none" w:sz="0" w:space="0" w:color="auto"/>
        <w:bottom w:val="none" w:sz="0" w:space="0" w:color="auto"/>
        <w:right w:val="none" w:sz="0" w:space="0" w:color="auto"/>
      </w:divBdr>
    </w:div>
    <w:div w:id="787893972">
      <w:bodyDiv w:val="1"/>
      <w:marLeft w:val="0"/>
      <w:marRight w:val="0"/>
      <w:marTop w:val="0"/>
      <w:marBottom w:val="0"/>
      <w:divBdr>
        <w:top w:val="none" w:sz="0" w:space="0" w:color="auto"/>
        <w:left w:val="none" w:sz="0" w:space="0" w:color="auto"/>
        <w:bottom w:val="none" w:sz="0" w:space="0" w:color="auto"/>
        <w:right w:val="none" w:sz="0" w:space="0" w:color="auto"/>
      </w:divBdr>
    </w:div>
    <w:div w:id="787971765">
      <w:bodyDiv w:val="1"/>
      <w:marLeft w:val="0"/>
      <w:marRight w:val="0"/>
      <w:marTop w:val="0"/>
      <w:marBottom w:val="0"/>
      <w:divBdr>
        <w:top w:val="none" w:sz="0" w:space="0" w:color="auto"/>
        <w:left w:val="none" w:sz="0" w:space="0" w:color="auto"/>
        <w:bottom w:val="none" w:sz="0" w:space="0" w:color="auto"/>
        <w:right w:val="none" w:sz="0" w:space="0" w:color="auto"/>
      </w:divBdr>
    </w:div>
    <w:div w:id="788202295">
      <w:bodyDiv w:val="1"/>
      <w:marLeft w:val="0"/>
      <w:marRight w:val="0"/>
      <w:marTop w:val="0"/>
      <w:marBottom w:val="0"/>
      <w:divBdr>
        <w:top w:val="none" w:sz="0" w:space="0" w:color="auto"/>
        <w:left w:val="none" w:sz="0" w:space="0" w:color="auto"/>
        <w:bottom w:val="none" w:sz="0" w:space="0" w:color="auto"/>
        <w:right w:val="none" w:sz="0" w:space="0" w:color="auto"/>
      </w:divBdr>
    </w:div>
    <w:div w:id="788816195">
      <w:bodyDiv w:val="1"/>
      <w:marLeft w:val="0"/>
      <w:marRight w:val="0"/>
      <w:marTop w:val="0"/>
      <w:marBottom w:val="0"/>
      <w:divBdr>
        <w:top w:val="none" w:sz="0" w:space="0" w:color="auto"/>
        <w:left w:val="none" w:sz="0" w:space="0" w:color="auto"/>
        <w:bottom w:val="none" w:sz="0" w:space="0" w:color="auto"/>
        <w:right w:val="none" w:sz="0" w:space="0" w:color="auto"/>
      </w:divBdr>
    </w:div>
    <w:div w:id="789978480">
      <w:bodyDiv w:val="1"/>
      <w:marLeft w:val="0"/>
      <w:marRight w:val="0"/>
      <w:marTop w:val="0"/>
      <w:marBottom w:val="0"/>
      <w:divBdr>
        <w:top w:val="none" w:sz="0" w:space="0" w:color="auto"/>
        <w:left w:val="none" w:sz="0" w:space="0" w:color="auto"/>
        <w:bottom w:val="none" w:sz="0" w:space="0" w:color="auto"/>
        <w:right w:val="none" w:sz="0" w:space="0" w:color="auto"/>
      </w:divBdr>
    </w:div>
    <w:div w:id="790518041">
      <w:bodyDiv w:val="1"/>
      <w:marLeft w:val="0"/>
      <w:marRight w:val="0"/>
      <w:marTop w:val="0"/>
      <w:marBottom w:val="0"/>
      <w:divBdr>
        <w:top w:val="none" w:sz="0" w:space="0" w:color="auto"/>
        <w:left w:val="none" w:sz="0" w:space="0" w:color="auto"/>
        <w:bottom w:val="none" w:sz="0" w:space="0" w:color="auto"/>
        <w:right w:val="none" w:sz="0" w:space="0" w:color="auto"/>
      </w:divBdr>
    </w:div>
    <w:div w:id="790632238">
      <w:bodyDiv w:val="1"/>
      <w:marLeft w:val="0"/>
      <w:marRight w:val="0"/>
      <w:marTop w:val="0"/>
      <w:marBottom w:val="0"/>
      <w:divBdr>
        <w:top w:val="none" w:sz="0" w:space="0" w:color="auto"/>
        <w:left w:val="none" w:sz="0" w:space="0" w:color="auto"/>
        <w:bottom w:val="none" w:sz="0" w:space="0" w:color="auto"/>
        <w:right w:val="none" w:sz="0" w:space="0" w:color="auto"/>
      </w:divBdr>
    </w:div>
    <w:div w:id="791098989">
      <w:bodyDiv w:val="1"/>
      <w:marLeft w:val="0"/>
      <w:marRight w:val="0"/>
      <w:marTop w:val="0"/>
      <w:marBottom w:val="0"/>
      <w:divBdr>
        <w:top w:val="none" w:sz="0" w:space="0" w:color="auto"/>
        <w:left w:val="none" w:sz="0" w:space="0" w:color="auto"/>
        <w:bottom w:val="none" w:sz="0" w:space="0" w:color="auto"/>
        <w:right w:val="none" w:sz="0" w:space="0" w:color="auto"/>
      </w:divBdr>
    </w:div>
    <w:div w:id="791557190">
      <w:bodyDiv w:val="1"/>
      <w:marLeft w:val="0"/>
      <w:marRight w:val="0"/>
      <w:marTop w:val="0"/>
      <w:marBottom w:val="0"/>
      <w:divBdr>
        <w:top w:val="none" w:sz="0" w:space="0" w:color="auto"/>
        <w:left w:val="none" w:sz="0" w:space="0" w:color="auto"/>
        <w:bottom w:val="none" w:sz="0" w:space="0" w:color="auto"/>
        <w:right w:val="none" w:sz="0" w:space="0" w:color="auto"/>
      </w:divBdr>
    </w:div>
    <w:div w:id="791941417">
      <w:bodyDiv w:val="1"/>
      <w:marLeft w:val="0"/>
      <w:marRight w:val="0"/>
      <w:marTop w:val="0"/>
      <w:marBottom w:val="0"/>
      <w:divBdr>
        <w:top w:val="none" w:sz="0" w:space="0" w:color="auto"/>
        <w:left w:val="none" w:sz="0" w:space="0" w:color="auto"/>
        <w:bottom w:val="none" w:sz="0" w:space="0" w:color="auto"/>
        <w:right w:val="none" w:sz="0" w:space="0" w:color="auto"/>
      </w:divBdr>
    </w:div>
    <w:div w:id="792797051">
      <w:bodyDiv w:val="1"/>
      <w:marLeft w:val="0"/>
      <w:marRight w:val="0"/>
      <w:marTop w:val="0"/>
      <w:marBottom w:val="0"/>
      <w:divBdr>
        <w:top w:val="none" w:sz="0" w:space="0" w:color="auto"/>
        <w:left w:val="none" w:sz="0" w:space="0" w:color="auto"/>
        <w:bottom w:val="none" w:sz="0" w:space="0" w:color="auto"/>
        <w:right w:val="none" w:sz="0" w:space="0" w:color="auto"/>
      </w:divBdr>
    </w:div>
    <w:div w:id="794909179">
      <w:bodyDiv w:val="1"/>
      <w:marLeft w:val="0"/>
      <w:marRight w:val="0"/>
      <w:marTop w:val="0"/>
      <w:marBottom w:val="0"/>
      <w:divBdr>
        <w:top w:val="none" w:sz="0" w:space="0" w:color="auto"/>
        <w:left w:val="none" w:sz="0" w:space="0" w:color="auto"/>
        <w:bottom w:val="none" w:sz="0" w:space="0" w:color="auto"/>
        <w:right w:val="none" w:sz="0" w:space="0" w:color="auto"/>
      </w:divBdr>
    </w:div>
    <w:div w:id="795412910">
      <w:bodyDiv w:val="1"/>
      <w:marLeft w:val="0"/>
      <w:marRight w:val="0"/>
      <w:marTop w:val="0"/>
      <w:marBottom w:val="0"/>
      <w:divBdr>
        <w:top w:val="none" w:sz="0" w:space="0" w:color="auto"/>
        <w:left w:val="none" w:sz="0" w:space="0" w:color="auto"/>
        <w:bottom w:val="none" w:sz="0" w:space="0" w:color="auto"/>
        <w:right w:val="none" w:sz="0" w:space="0" w:color="auto"/>
      </w:divBdr>
    </w:div>
    <w:div w:id="796024698">
      <w:bodyDiv w:val="1"/>
      <w:marLeft w:val="0"/>
      <w:marRight w:val="0"/>
      <w:marTop w:val="0"/>
      <w:marBottom w:val="0"/>
      <w:divBdr>
        <w:top w:val="none" w:sz="0" w:space="0" w:color="auto"/>
        <w:left w:val="none" w:sz="0" w:space="0" w:color="auto"/>
        <w:bottom w:val="none" w:sz="0" w:space="0" w:color="auto"/>
        <w:right w:val="none" w:sz="0" w:space="0" w:color="auto"/>
      </w:divBdr>
    </w:div>
    <w:div w:id="797331963">
      <w:bodyDiv w:val="1"/>
      <w:marLeft w:val="0"/>
      <w:marRight w:val="0"/>
      <w:marTop w:val="0"/>
      <w:marBottom w:val="0"/>
      <w:divBdr>
        <w:top w:val="none" w:sz="0" w:space="0" w:color="auto"/>
        <w:left w:val="none" w:sz="0" w:space="0" w:color="auto"/>
        <w:bottom w:val="none" w:sz="0" w:space="0" w:color="auto"/>
        <w:right w:val="none" w:sz="0" w:space="0" w:color="auto"/>
      </w:divBdr>
    </w:div>
    <w:div w:id="798910945">
      <w:bodyDiv w:val="1"/>
      <w:marLeft w:val="0"/>
      <w:marRight w:val="0"/>
      <w:marTop w:val="0"/>
      <w:marBottom w:val="0"/>
      <w:divBdr>
        <w:top w:val="none" w:sz="0" w:space="0" w:color="auto"/>
        <w:left w:val="none" w:sz="0" w:space="0" w:color="auto"/>
        <w:bottom w:val="none" w:sz="0" w:space="0" w:color="auto"/>
        <w:right w:val="none" w:sz="0" w:space="0" w:color="auto"/>
      </w:divBdr>
    </w:div>
    <w:div w:id="799152752">
      <w:bodyDiv w:val="1"/>
      <w:marLeft w:val="0"/>
      <w:marRight w:val="0"/>
      <w:marTop w:val="0"/>
      <w:marBottom w:val="0"/>
      <w:divBdr>
        <w:top w:val="none" w:sz="0" w:space="0" w:color="auto"/>
        <w:left w:val="none" w:sz="0" w:space="0" w:color="auto"/>
        <w:bottom w:val="none" w:sz="0" w:space="0" w:color="auto"/>
        <w:right w:val="none" w:sz="0" w:space="0" w:color="auto"/>
      </w:divBdr>
    </w:div>
    <w:div w:id="800612562">
      <w:bodyDiv w:val="1"/>
      <w:marLeft w:val="0"/>
      <w:marRight w:val="0"/>
      <w:marTop w:val="0"/>
      <w:marBottom w:val="0"/>
      <w:divBdr>
        <w:top w:val="none" w:sz="0" w:space="0" w:color="auto"/>
        <w:left w:val="none" w:sz="0" w:space="0" w:color="auto"/>
        <w:bottom w:val="none" w:sz="0" w:space="0" w:color="auto"/>
        <w:right w:val="none" w:sz="0" w:space="0" w:color="auto"/>
      </w:divBdr>
    </w:div>
    <w:div w:id="800923462">
      <w:bodyDiv w:val="1"/>
      <w:marLeft w:val="0"/>
      <w:marRight w:val="0"/>
      <w:marTop w:val="0"/>
      <w:marBottom w:val="0"/>
      <w:divBdr>
        <w:top w:val="none" w:sz="0" w:space="0" w:color="auto"/>
        <w:left w:val="none" w:sz="0" w:space="0" w:color="auto"/>
        <w:bottom w:val="none" w:sz="0" w:space="0" w:color="auto"/>
        <w:right w:val="none" w:sz="0" w:space="0" w:color="auto"/>
      </w:divBdr>
      <w:divsChild>
        <w:div w:id="1410158025">
          <w:marLeft w:val="0"/>
          <w:marRight w:val="0"/>
          <w:marTop w:val="0"/>
          <w:marBottom w:val="0"/>
          <w:divBdr>
            <w:top w:val="none" w:sz="0" w:space="0" w:color="auto"/>
            <w:left w:val="none" w:sz="0" w:space="0" w:color="auto"/>
            <w:bottom w:val="none" w:sz="0" w:space="0" w:color="auto"/>
            <w:right w:val="none" w:sz="0" w:space="0" w:color="auto"/>
          </w:divBdr>
          <w:divsChild>
            <w:div w:id="4177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69619">
      <w:bodyDiv w:val="1"/>
      <w:marLeft w:val="0"/>
      <w:marRight w:val="0"/>
      <w:marTop w:val="0"/>
      <w:marBottom w:val="0"/>
      <w:divBdr>
        <w:top w:val="none" w:sz="0" w:space="0" w:color="auto"/>
        <w:left w:val="none" w:sz="0" w:space="0" w:color="auto"/>
        <w:bottom w:val="none" w:sz="0" w:space="0" w:color="auto"/>
        <w:right w:val="none" w:sz="0" w:space="0" w:color="auto"/>
      </w:divBdr>
    </w:div>
    <w:div w:id="801994392">
      <w:bodyDiv w:val="1"/>
      <w:marLeft w:val="0"/>
      <w:marRight w:val="0"/>
      <w:marTop w:val="0"/>
      <w:marBottom w:val="0"/>
      <w:divBdr>
        <w:top w:val="none" w:sz="0" w:space="0" w:color="auto"/>
        <w:left w:val="none" w:sz="0" w:space="0" w:color="auto"/>
        <w:bottom w:val="none" w:sz="0" w:space="0" w:color="auto"/>
        <w:right w:val="none" w:sz="0" w:space="0" w:color="auto"/>
      </w:divBdr>
    </w:div>
    <w:div w:id="802502444">
      <w:bodyDiv w:val="1"/>
      <w:marLeft w:val="0"/>
      <w:marRight w:val="0"/>
      <w:marTop w:val="0"/>
      <w:marBottom w:val="0"/>
      <w:divBdr>
        <w:top w:val="none" w:sz="0" w:space="0" w:color="auto"/>
        <w:left w:val="none" w:sz="0" w:space="0" w:color="auto"/>
        <w:bottom w:val="none" w:sz="0" w:space="0" w:color="auto"/>
        <w:right w:val="none" w:sz="0" w:space="0" w:color="auto"/>
      </w:divBdr>
    </w:div>
    <w:div w:id="802699865">
      <w:bodyDiv w:val="1"/>
      <w:marLeft w:val="0"/>
      <w:marRight w:val="0"/>
      <w:marTop w:val="0"/>
      <w:marBottom w:val="0"/>
      <w:divBdr>
        <w:top w:val="none" w:sz="0" w:space="0" w:color="auto"/>
        <w:left w:val="none" w:sz="0" w:space="0" w:color="auto"/>
        <w:bottom w:val="none" w:sz="0" w:space="0" w:color="auto"/>
        <w:right w:val="none" w:sz="0" w:space="0" w:color="auto"/>
      </w:divBdr>
    </w:div>
    <w:div w:id="802967908">
      <w:bodyDiv w:val="1"/>
      <w:marLeft w:val="0"/>
      <w:marRight w:val="0"/>
      <w:marTop w:val="0"/>
      <w:marBottom w:val="0"/>
      <w:divBdr>
        <w:top w:val="none" w:sz="0" w:space="0" w:color="auto"/>
        <w:left w:val="none" w:sz="0" w:space="0" w:color="auto"/>
        <w:bottom w:val="none" w:sz="0" w:space="0" w:color="auto"/>
        <w:right w:val="none" w:sz="0" w:space="0" w:color="auto"/>
      </w:divBdr>
    </w:div>
    <w:div w:id="803039872">
      <w:bodyDiv w:val="1"/>
      <w:marLeft w:val="0"/>
      <w:marRight w:val="0"/>
      <w:marTop w:val="0"/>
      <w:marBottom w:val="0"/>
      <w:divBdr>
        <w:top w:val="none" w:sz="0" w:space="0" w:color="auto"/>
        <w:left w:val="none" w:sz="0" w:space="0" w:color="auto"/>
        <w:bottom w:val="none" w:sz="0" w:space="0" w:color="auto"/>
        <w:right w:val="none" w:sz="0" w:space="0" w:color="auto"/>
      </w:divBdr>
    </w:div>
    <w:div w:id="803355407">
      <w:bodyDiv w:val="1"/>
      <w:marLeft w:val="0"/>
      <w:marRight w:val="0"/>
      <w:marTop w:val="0"/>
      <w:marBottom w:val="0"/>
      <w:divBdr>
        <w:top w:val="none" w:sz="0" w:space="0" w:color="auto"/>
        <w:left w:val="none" w:sz="0" w:space="0" w:color="auto"/>
        <w:bottom w:val="none" w:sz="0" w:space="0" w:color="auto"/>
        <w:right w:val="none" w:sz="0" w:space="0" w:color="auto"/>
      </w:divBdr>
    </w:div>
    <w:div w:id="804664075">
      <w:bodyDiv w:val="1"/>
      <w:marLeft w:val="0"/>
      <w:marRight w:val="0"/>
      <w:marTop w:val="0"/>
      <w:marBottom w:val="0"/>
      <w:divBdr>
        <w:top w:val="none" w:sz="0" w:space="0" w:color="auto"/>
        <w:left w:val="none" w:sz="0" w:space="0" w:color="auto"/>
        <w:bottom w:val="none" w:sz="0" w:space="0" w:color="auto"/>
        <w:right w:val="none" w:sz="0" w:space="0" w:color="auto"/>
      </w:divBdr>
    </w:div>
    <w:div w:id="805045388">
      <w:bodyDiv w:val="1"/>
      <w:marLeft w:val="0"/>
      <w:marRight w:val="0"/>
      <w:marTop w:val="0"/>
      <w:marBottom w:val="0"/>
      <w:divBdr>
        <w:top w:val="none" w:sz="0" w:space="0" w:color="auto"/>
        <w:left w:val="none" w:sz="0" w:space="0" w:color="auto"/>
        <w:bottom w:val="none" w:sz="0" w:space="0" w:color="auto"/>
        <w:right w:val="none" w:sz="0" w:space="0" w:color="auto"/>
      </w:divBdr>
    </w:div>
    <w:div w:id="806044269">
      <w:bodyDiv w:val="1"/>
      <w:marLeft w:val="0"/>
      <w:marRight w:val="0"/>
      <w:marTop w:val="0"/>
      <w:marBottom w:val="0"/>
      <w:divBdr>
        <w:top w:val="none" w:sz="0" w:space="0" w:color="auto"/>
        <w:left w:val="none" w:sz="0" w:space="0" w:color="auto"/>
        <w:bottom w:val="none" w:sz="0" w:space="0" w:color="auto"/>
        <w:right w:val="none" w:sz="0" w:space="0" w:color="auto"/>
      </w:divBdr>
    </w:div>
    <w:div w:id="807208550">
      <w:bodyDiv w:val="1"/>
      <w:marLeft w:val="0"/>
      <w:marRight w:val="0"/>
      <w:marTop w:val="0"/>
      <w:marBottom w:val="0"/>
      <w:divBdr>
        <w:top w:val="none" w:sz="0" w:space="0" w:color="auto"/>
        <w:left w:val="none" w:sz="0" w:space="0" w:color="auto"/>
        <w:bottom w:val="none" w:sz="0" w:space="0" w:color="auto"/>
        <w:right w:val="none" w:sz="0" w:space="0" w:color="auto"/>
      </w:divBdr>
    </w:div>
    <w:div w:id="807555197">
      <w:bodyDiv w:val="1"/>
      <w:marLeft w:val="0"/>
      <w:marRight w:val="0"/>
      <w:marTop w:val="0"/>
      <w:marBottom w:val="0"/>
      <w:divBdr>
        <w:top w:val="none" w:sz="0" w:space="0" w:color="auto"/>
        <w:left w:val="none" w:sz="0" w:space="0" w:color="auto"/>
        <w:bottom w:val="none" w:sz="0" w:space="0" w:color="auto"/>
        <w:right w:val="none" w:sz="0" w:space="0" w:color="auto"/>
      </w:divBdr>
    </w:div>
    <w:div w:id="807556024">
      <w:bodyDiv w:val="1"/>
      <w:marLeft w:val="0"/>
      <w:marRight w:val="0"/>
      <w:marTop w:val="0"/>
      <w:marBottom w:val="0"/>
      <w:divBdr>
        <w:top w:val="none" w:sz="0" w:space="0" w:color="auto"/>
        <w:left w:val="none" w:sz="0" w:space="0" w:color="auto"/>
        <w:bottom w:val="none" w:sz="0" w:space="0" w:color="auto"/>
        <w:right w:val="none" w:sz="0" w:space="0" w:color="auto"/>
      </w:divBdr>
    </w:div>
    <w:div w:id="808210360">
      <w:bodyDiv w:val="1"/>
      <w:marLeft w:val="0"/>
      <w:marRight w:val="0"/>
      <w:marTop w:val="0"/>
      <w:marBottom w:val="0"/>
      <w:divBdr>
        <w:top w:val="none" w:sz="0" w:space="0" w:color="auto"/>
        <w:left w:val="none" w:sz="0" w:space="0" w:color="auto"/>
        <w:bottom w:val="none" w:sz="0" w:space="0" w:color="auto"/>
        <w:right w:val="none" w:sz="0" w:space="0" w:color="auto"/>
      </w:divBdr>
    </w:div>
    <w:div w:id="808788162">
      <w:bodyDiv w:val="1"/>
      <w:marLeft w:val="0"/>
      <w:marRight w:val="0"/>
      <w:marTop w:val="0"/>
      <w:marBottom w:val="0"/>
      <w:divBdr>
        <w:top w:val="none" w:sz="0" w:space="0" w:color="auto"/>
        <w:left w:val="none" w:sz="0" w:space="0" w:color="auto"/>
        <w:bottom w:val="none" w:sz="0" w:space="0" w:color="auto"/>
        <w:right w:val="none" w:sz="0" w:space="0" w:color="auto"/>
      </w:divBdr>
    </w:div>
    <w:div w:id="809057687">
      <w:bodyDiv w:val="1"/>
      <w:marLeft w:val="0"/>
      <w:marRight w:val="0"/>
      <w:marTop w:val="0"/>
      <w:marBottom w:val="0"/>
      <w:divBdr>
        <w:top w:val="none" w:sz="0" w:space="0" w:color="auto"/>
        <w:left w:val="none" w:sz="0" w:space="0" w:color="auto"/>
        <w:bottom w:val="none" w:sz="0" w:space="0" w:color="auto"/>
        <w:right w:val="none" w:sz="0" w:space="0" w:color="auto"/>
      </w:divBdr>
    </w:div>
    <w:div w:id="809329444">
      <w:bodyDiv w:val="1"/>
      <w:marLeft w:val="0"/>
      <w:marRight w:val="0"/>
      <w:marTop w:val="0"/>
      <w:marBottom w:val="0"/>
      <w:divBdr>
        <w:top w:val="none" w:sz="0" w:space="0" w:color="auto"/>
        <w:left w:val="none" w:sz="0" w:space="0" w:color="auto"/>
        <w:bottom w:val="none" w:sz="0" w:space="0" w:color="auto"/>
        <w:right w:val="none" w:sz="0" w:space="0" w:color="auto"/>
      </w:divBdr>
    </w:div>
    <w:div w:id="809597416">
      <w:bodyDiv w:val="1"/>
      <w:marLeft w:val="0"/>
      <w:marRight w:val="0"/>
      <w:marTop w:val="0"/>
      <w:marBottom w:val="0"/>
      <w:divBdr>
        <w:top w:val="none" w:sz="0" w:space="0" w:color="auto"/>
        <w:left w:val="none" w:sz="0" w:space="0" w:color="auto"/>
        <w:bottom w:val="none" w:sz="0" w:space="0" w:color="auto"/>
        <w:right w:val="none" w:sz="0" w:space="0" w:color="auto"/>
      </w:divBdr>
    </w:div>
    <w:div w:id="809598317">
      <w:bodyDiv w:val="1"/>
      <w:marLeft w:val="0"/>
      <w:marRight w:val="0"/>
      <w:marTop w:val="0"/>
      <w:marBottom w:val="0"/>
      <w:divBdr>
        <w:top w:val="none" w:sz="0" w:space="0" w:color="auto"/>
        <w:left w:val="none" w:sz="0" w:space="0" w:color="auto"/>
        <w:bottom w:val="none" w:sz="0" w:space="0" w:color="auto"/>
        <w:right w:val="none" w:sz="0" w:space="0" w:color="auto"/>
      </w:divBdr>
    </w:div>
    <w:div w:id="809633738">
      <w:bodyDiv w:val="1"/>
      <w:marLeft w:val="0"/>
      <w:marRight w:val="0"/>
      <w:marTop w:val="0"/>
      <w:marBottom w:val="0"/>
      <w:divBdr>
        <w:top w:val="none" w:sz="0" w:space="0" w:color="auto"/>
        <w:left w:val="none" w:sz="0" w:space="0" w:color="auto"/>
        <w:bottom w:val="none" w:sz="0" w:space="0" w:color="auto"/>
        <w:right w:val="none" w:sz="0" w:space="0" w:color="auto"/>
      </w:divBdr>
    </w:div>
    <w:div w:id="809982512">
      <w:bodyDiv w:val="1"/>
      <w:marLeft w:val="0"/>
      <w:marRight w:val="0"/>
      <w:marTop w:val="0"/>
      <w:marBottom w:val="0"/>
      <w:divBdr>
        <w:top w:val="none" w:sz="0" w:space="0" w:color="auto"/>
        <w:left w:val="none" w:sz="0" w:space="0" w:color="auto"/>
        <w:bottom w:val="none" w:sz="0" w:space="0" w:color="auto"/>
        <w:right w:val="none" w:sz="0" w:space="0" w:color="auto"/>
      </w:divBdr>
    </w:div>
    <w:div w:id="810052210">
      <w:bodyDiv w:val="1"/>
      <w:marLeft w:val="0"/>
      <w:marRight w:val="0"/>
      <w:marTop w:val="0"/>
      <w:marBottom w:val="0"/>
      <w:divBdr>
        <w:top w:val="none" w:sz="0" w:space="0" w:color="auto"/>
        <w:left w:val="none" w:sz="0" w:space="0" w:color="auto"/>
        <w:bottom w:val="none" w:sz="0" w:space="0" w:color="auto"/>
        <w:right w:val="none" w:sz="0" w:space="0" w:color="auto"/>
      </w:divBdr>
    </w:div>
    <w:div w:id="810098181">
      <w:bodyDiv w:val="1"/>
      <w:marLeft w:val="0"/>
      <w:marRight w:val="0"/>
      <w:marTop w:val="0"/>
      <w:marBottom w:val="0"/>
      <w:divBdr>
        <w:top w:val="none" w:sz="0" w:space="0" w:color="auto"/>
        <w:left w:val="none" w:sz="0" w:space="0" w:color="auto"/>
        <w:bottom w:val="none" w:sz="0" w:space="0" w:color="auto"/>
        <w:right w:val="none" w:sz="0" w:space="0" w:color="auto"/>
      </w:divBdr>
    </w:div>
    <w:div w:id="810173628">
      <w:bodyDiv w:val="1"/>
      <w:marLeft w:val="0"/>
      <w:marRight w:val="0"/>
      <w:marTop w:val="0"/>
      <w:marBottom w:val="0"/>
      <w:divBdr>
        <w:top w:val="none" w:sz="0" w:space="0" w:color="auto"/>
        <w:left w:val="none" w:sz="0" w:space="0" w:color="auto"/>
        <w:bottom w:val="none" w:sz="0" w:space="0" w:color="auto"/>
        <w:right w:val="none" w:sz="0" w:space="0" w:color="auto"/>
      </w:divBdr>
    </w:div>
    <w:div w:id="811753317">
      <w:bodyDiv w:val="1"/>
      <w:marLeft w:val="0"/>
      <w:marRight w:val="0"/>
      <w:marTop w:val="0"/>
      <w:marBottom w:val="0"/>
      <w:divBdr>
        <w:top w:val="none" w:sz="0" w:space="0" w:color="auto"/>
        <w:left w:val="none" w:sz="0" w:space="0" w:color="auto"/>
        <w:bottom w:val="none" w:sz="0" w:space="0" w:color="auto"/>
        <w:right w:val="none" w:sz="0" w:space="0" w:color="auto"/>
      </w:divBdr>
    </w:div>
    <w:div w:id="811825414">
      <w:bodyDiv w:val="1"/>
      <w:marLeft w:val="0"/>
      <w:marRight w:val="0"/>
      <w:marTop w:val="0"/>
      <w:marBottom w:val="0"/>
      <w:divBdr>
        <w:top w:val="none" w:sz="0" w:space="0" w:color="auto"/>
        <w:left w:val="none" w:sz="0" w:space="0" w:color="auto"/>
        <w:bottom w:val="none" w:sz="0" w:space="0" w:color="auto"/>
        <w:right w:val="none" w:sz="0" w:space="0" w:color="auto"/>
      </w:divBdr>
    </w:div>
    <w:div w:id="812798048">
      <w:bodyDiv w:val="1"/>
      <w:marLeft w:val="0"/>
      <w:marRight w:val="0"/>
      <w:marTop w:val="0"/>
      <w:marBottom w:val="0"/>
      <w:divBdr>
        <w:top w:val="none" w:sz="0" w:space="0" w:color="auto"/>
        <w:left w:val="none" w:sz="0" w:space="0" w:color="auto"/>
        <w:bottom w:val="none" w:sz="0" w:space="0" w:color="auto"/>
        <w:right w:val="none" w:sz="0" w:space="0" w:color="auto"/>
      </w:divBdr>
    </w:div>
    <w:div w:id="812916782">
      <w:bodyDiv w:val="1"/>
      <w:marLeft w:val="0"/>
      <w:marRight w:val="0"/>
      <w:marTop w:val="0"/>
      <w:marBottom w:val="0"/>
      <w:divBdr>
        <w:top w:val="none" w:sz="0" w:space="0" w:color="auto"/>
        <w:left w:val="none" w:sz="0" w:space="0" w:color="auto"/>
        <w:bottom w:val="none" w:sz="0" w:space="0" w:color="auto"/>
        <w:right w:val="none" w:sz="0" w:space="0" w:color="auto"/>
      </w:divBdr>
    </w:div>
    <w:div w:id="813372356">
      <w:bodyDiv w:val="1"/>
      <w:marLeft w:val="0"/>
      <w:marRight w:val="0"/>
      <w:marTop w:val="0"/>
      <w:marBottom w:val="0"/>
      <w:divBdr>
        <w:top w:val="none" w:sz="0" w:space="0" w:color="auto"/>
        <w:left w:val="none" w:sz="0" w:space="0" w:color="auto"/>
        <w:bottom w:val="none" w:sz="0" w:space="0" w:color="auto"/>
        <w:right w:val="none" w:sz="0" w:space="0" w:color="auto"/>
      </w:divBdr>
    </w:div>
    <w:div w:id="814251973">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817189349">
      <w:bodyDiv w:val="1"/>
      <w:marLeft w:val="0"/>
      <w:marRight w:val="0"/>
      <w:marTop w:val="0"/>
      <w:marBottom w:val="0"/>
      <w:divBdr>
        <w:top w:val="none" w:sz="0" w:space="0" w:color="auto"/>
        <w:left w:val="none" w:sz="0" w:space="0" w:color="auto"/>
        <w:bottom w:val="none" w:sz="0" w:space="0" w:color="auto"/>
        <w:right w:val="none" w:sz="0" w:space="0" w:color="auto"/>
      </w:divBdr>
    </w:div>
    <w:div w:id="817838762">
      <w:bodyDiv w:val="1"/>
      <w:marLeft w:val="0"/>
      <w:marRight w:val="0"/>
      <w:marTop w:val="0"/>
      <w:marBottom w:val="0"/>
      <w:divBdr>
        <w:top w:val="none" w:sz="0" w:space="0" w:color="auto"/>
        <w:left w:val="none" w:sz="0" w:space="0" w:color="auto"/>
        <w:bottom w:val="none" w:sz="0" w:space="0" w:color="auto"/>
        <w:right w:val="none" w:sz="0" w:space="0" w:color="auto"/>
      </w:divBdr>
    </w:div>
    <w:div w:id="818306256">
      <w:bodyDiv w:val="1"/>
      <w:marLeft w:val="0"/>
      <w:marRight w:val="0"/>
      <w:marTop w:val="0"/>
      <w:marBottom w:val="0"/>
      <w:divBdr>
        <w:top w:val="none" w:sz="0" w:space="0" w:color="auto"/>
        <w:left w:val="none" w:sz="0" w:space="0" w:color="auto"/>
        <w:bottom w:val="none" w:sz="0" w:space="0" w:color="auto"/>
        <w:right w:val="none" w:sz="0" w:space="0" w:color="auto"/>
      </w:divBdr>
    </w:div>
    <w:div w:id="818376260">
      <w:bodyDiv w:val="1"/>
      <w:marLeft w:val="0"/>
      <w:marRight w:val="0"/>
      <w:marTop w:val="0"/>
      <w:marBottom w:val="0"/>
      <w:divBdr>
        <w:top w:val="none" w:sz="0" w:space="0" w:color="auto"/>
        <w:left w:val="none" w:sz="0" w:space="0" w:color="auto"/>
        <w:bottom w:val="none" w:sz="0" w:space="0" w:color="auto"/>
        <w:right w:val="none" w:sz="0" w:space="0" w:color="auto"/>
      </w:divBdr>
    </w:div>
    <w:div w:id="819538650">
      <w:bodyDiv w:val="1"/>
      <w:marLeft w:val="0"/>
      <w:marRight w:val="0"/>
      <w:marTop w:val="0"/>
      <w:marBottom w:val="0"/>
      <w:divBdr>
        <w:top w:val="none" w:sz="0" w:space="0" w:color="auto"/>
        <w:left w:val="none" w:sz="0" w:space="0" w:color="auto"/>
        <w:bottom w:val="none" w:sz="0" w:space="0" w:color="auto"/>
        <w:right w:val="none" w:sz="0" w:space="0" w:color="auto"/>
      </w:divBdr>
    </w:div>
    <w:div w:id="819729181">
      <w:bodyDiv w:val="1"/>
      <w:marLeft w:val="0"/>
      <w:marRight w:val="0"/>
      <w:marTop w:val="0"/>
      <w:marBottom w:val="0"/>
      <w:divBdr>
        <w:top w:val="none" w:sz="0" w:space="0" w:color="auto"/>
        <w:left w:val="none" w:sz="0" w:space="0" w:color="auto"/>
        <w:bottom w:val="none" w:sz="0" w:space="0" w:color="auto"/>
        <w:right w:val="none" w:sz="0" w:space="0" w:color="auto"/>
      </w:divBdr>
    </w:div>
    <w:div w:id="820073146">
      <w:bodyDiv w:val="1"/>
      <w:marLeft w:val="0"/>
      <w:marRight w:val="0"/>
      <w:marTop w:val="0"/>
      <w:marBottom w:val="0"/>
      <w:divBdr>
        <w:top w:val="none" w:sz="0" w:space="0" w:color="auto"/>
        <w:left w:val="none" w:sz="0" w:space="0" w:color="auto"/>
        <w:bottom w:val="none" w:sz="0" w:space="0" w:color="auto"/>
        <w:right w:val="none" w:sz="0" w:space="0" w:color="auto"/>
      </w:divBdr>
    </w:div>
    <w:div w:id="820148274">
      <w:bodyDiv w:val="1"/>
      <w:marLeft w:val="0"/>
      <w:marRight w:val="0"/>
      <w:marTop w:val="0"/>
      <w:marBottom w:val="0"/>
      <w:divBdr>
        <w:top w:val="none" w:sz="0" w:space="0" w:color="auto"/>
        <w:left w:val="none" w:sz="0" w:space="0" w:color="auto"/>
        <w:bottom w:val="none" w:sz="0" w:space="0" w:color="auto"/>
        <w:right w:val="none" w:sz="0" w:space="0" w:color="auto"/>
      </w:divBdr>
    </w:div>
    <w:div w:id="821197574">
      <w:bodyDiv w:val="1"/>
      <w:marLeft w:val="0"/>
      <w:marRight w:val="0"/>
      <w:marTop w:val="0"/>
      <w:marBottom w:val="0"/>
      <w:divBdr>
        <w:top w:val="none" w:sz="0" w:space="0" w:color="auto"/>
        <w:left w:val="none" w:sz="0" w:space="0" w:color="auto"/>
        <w:bottom w:val="none" w:sz="0" w:space="0" w:color="auto"/>
        <w:right w:val="none" w:sz="0" w:space="0" w:color="auto"/>
      </w:divBdr>
    </w:div>
    <w:div w:id="823279733">
      <w:bodyDiv w:val="1"/>
      <w:marLeft w:val="0"/>
      <w:marRight w:val="0"/>
      <w:marTop w:val="0"/>
      <w:marBottom w:val="0"/>
      <w:divBdr>
        <w:top w:val="none" w:sz="0" w:space="0" w:color="auto"/>
        <w:left w:val="none" w:sz="0" w:space="0" w:color="auto"/>
        <w:bottom w:val="none" w:sz="0" w:space="0" w:color="auto"/>
        <w:right w:val="none" w:sz="0" w:space="0" w:color="auto"/>
      </w:divBdr>
    </w:div>
    <w:div w:id="824200072">
      <w:bodyDiv w:val="1"/>
      <w:marLeft w:val="0"/>
      <w:marRight w:val="0"/>
      <w:marTop w:val="0"/>
      <w:marBottom w:val="0"/>
      <w:divBdr>
        <w:top w:val="none" w:sz="0" w:space="0" w:color="auto"/>
        <w:left w:val="none" w:sz="0" w:space="0" w:color="auto"/>
        <w:bottom w:val="none" w:sz="0" w:space="0" w:color="auto"/>
        <w:right w:val="none" w:sz="0" w:space="0" w:color="auto"/>
      </w:divBdr>
    </w:div>
    <w:div w:id="824323588">
      <w:bodyDiv w:val="1"/>
      <w:marLeft w:val="0"/>
      <w:marRight w:val="0"/>
      <w:marTop w:val="0"/>
      <w:marBottom w:val="0"/>
      <w:divBdr>
        <w:top w:val="none" w:sz="0" w:space="0" w:color="auto"/>
        <w:left w:val="none" w:sz="0" w:space="0" w:color="auto"/>
        <w:bottom w:val="none" w:sz="0" w:space="0" w:color="auto"/>
        <w:right w:val="none" w:sz="0" w:space="0" w:color="auto"/>
      </w:divBdr>
    </w:div>
    <w:div w:id="824780244">
      <w:bodyDiv w:val="1"/>
      <w:marLeft w:val="0"/>
      <w:marRight w:val="0"/>
      <w:marTop w:val="0"/>
      <w:marBottom w:val="0"/>
      <w:divBdr>
        <w:top w:val="none" w:sz="0" w:space="0" w:color="auto"/>
        <w:left w:val="none" w:sz="0" w:space="0" w:color="auto"/>
        <w:bottom w:val="none" w:sz="0" w:space="0" w:color="auto"/>
        <w:right w:val="none" w:sz="0" w:space="0" w:color="auto"/>
      </w:divBdr>
    </w:div>
    <w:div w:id="825628111">
      <w:bodyDiv w:val="1"/>
      <w:marLeft w:val="0"/>
      <w:marRight w:val="0"/>
      <w:marTop w:val="0"/>
      <w:marBottom w:val="0"/>
      <w:divBdr>
        <w:top w:val="none" w:sz="0" w:space="0" w:color="auto"/>
        <w:left w:val="none" w:sz="0" w:space="0" w:color="auto"/>
        <w:bottom w:val="none" w:sz="0" w:space="0" w:color="auto"/>
        <w:right w:val="none" w:sz="0" w:space="0" w:color="auto"/>
      </w:divBdr>
    </w:div>
    <w:div w:id="826168900">
      <w:bodyDiv w:val="1"/>
      <w:marLeft w:val="0"/>
      <w:marRight w:val="0"/>
      <w:marTop w:val="0"/>
      <w:marBottom w:val="0"/>
      <w:divBdr>
        <w:top w:val="none" w:sz="0" w:space="0" w:color="auto"/>
        <w:left w:val="none" w:sz="0" w:space="0" w:color="auto"/>
        <w:bottom w:val="none" w:sz="0" w:space="0" w:color="auto"/>
        <w:right w:val="none" w:sz="0" w:space="0" w:color="auto"/>
      </w:divBdr>
    </w:div>
    <w:div w:id="826290758">
      <w:bodyDiv w:val="1"/>
      <w:marLeft w:val="0"/>
      <w:marRight w:val="0"/>
      <w:marTop w:val="0"/>
      <w:marBottom w:val="0"/>
      <w:divBdr>
        <w:top w:val="none" w:sz="0" w:space="0" w:color="auto"/>
        <w:left w:val="none" w:sz="0" w:space="0" w:color="auto"/>
        <w:bottom w:val="none" w:sz="0" w:space="0" w:color="auto"/>
        <w:right w:val="none" w:sz="0" w:space="0" w:color="auto"/>
      </w:divBdr>
    </w:div>
    <w:div w:id="827675193">
      <w:bodyDiv w:val="1"/>
      <w:marLeft w:val="0"/>
      <w:marRight w:val="0"/>
      <w:marTop w:val="0"/>
      <w:marBottom w:val="0"/>
      <w:divBdr>
        <w:top w:val="none" w:sz="0" w:space="0" w:color="auto"/>
        <w:left w:val="none" w:sz="0" w:space="0" w:color="auto"/>
        <w:bottom w:val="none" w:sz="0" w:space="0" w:color="auto"/>
        <w:right w:val="none" w:sz="0" w:space="0" w:color="auto"/>
      </w:divBdr>
    </w:div>
    <w:div w:id="827752231">
      <w:bodyDiv w:val="1"/>
      <w:marLeft w:val="0"/>
      <w:marRight w:val="0"/>
      <w:marTop w:val="0"/>
      <w:marBottom w:val="0"/>
      <w:divBdr>
        <w:top w:val="none" w:sz="0" w:space="0" w:color="auto"/>
        <w:left w:val="none" w:sz="0" w:space="0" w:color="auto"/>
        <w:bottom w:val="none" w:sz="0" w:space="0" w:color="auto"/>
        <w:right w:val="none" w:sz="0" w:space="0" w:color="auto"/>
      </w:divBdr>
    </w:div>
    <w:div w:id="827942414">
      <w:bodyDiv w:val="1"/>
      <w:marLeft w:val="0"/>
      <w:marRight w:val="0"/>
      <w:marTop w:val="0"/>
      <w:marBottom w:val="0"/>
      <w:divBdr>
        <w:top w:val="none" w:sz="0" w:space="0" w:color="auto"/>
        <w:left w:val="none" w:sz="0" w:space="0" w:color="auto"/>
        <w:bottom w:val="none" w:sz="0" w:space="0" w:color="auto"/>
        <w:right w:val="none" w:sz="0" w:space="0" w:color="auto"/>
      </w:divBdr>
    </w:div>
    <w:div w:id="828787953">
      <w:bodyDiv w:val="1"/>
      <w:marLeft w:val="0"/>
      <w:marRight w:val="0"/>
      <w:marTop w:val="0"/>
      <w:marBottom w:val="0"/>
      <w:divBdr>
        <w:top w:val="none" w:sz="0" w:space="0" w:color="auto"/>
        <w:left w:val="none" w:sz="0" w:space="0" w:color="auto"/>
        <w:bottom w:val="none" w:sz="0" w:space="0" w:color="auto"/>
        <w:right w:val="none" w:sz="0" w:space="0" w:color="auto"/>
      </w:divBdr>
    </w:div>
    <w:div w:id="829253552">
      <w:bodyDiv w:val="1"/>
      <w:marLeft w:val="0"/>
      <w:marRight w:val="0"/>
      <w:marTop w:val="0"/>
      <w:marBottom w:val="0"/>
      <w:divBdr>
        <w:top w:val="none" w:sz="0" w:space="0" w:color="auto"/>
        <w:left w:val="none" w:sz="0" w:space="0" w:color="auto"/>
        <w:bottom w:val="none" w:sz="0" w:space="0" w:color="auto"/>
        <w:right w:val="none" w:sz="0" w:space="0" w:color="auto"/>
      </w:divBdr>
    </w:div>
    <w:div w:id="829373586">
      <w:bodyDiv w:val="1"/>
      <w:marLeft w:val="0"/>
      <w:marRight w:val="0"/>
      <w:marTop w:val="0"/>
      <w:marBottom w:val="0"/>
      <w:divBdr>
        <w:top w:val="none" w:sz="0" w:space="0" w:color="auto"/>
        <w:left w:val="none" w:sz="0" w:space="0" w:color="auto"/>
        <w:bottom w:val="none" w:sz="0" w:space="0" w:color="auto"/>
        <w:right w:val="none" w:sz="0" w:space="0" w:color="auto"/>
      </w:divBdr>
    </w:div>
    <w:div w:id="830411213">
      <w:bodyDiv w:val="1"/>
      <w:marLeft w:val="0"/>
      <w:marRight w:val="0"/>
      <w:marTop w:val="0"/>
      <w:marBottom w:val="0"/>
      <w:divBdr>
        <w:top w:val="none" w:sz="0" w:space="0" w:color="auto"/>
        <w:left w:val="none" w:sz="0" w:space="0" w:color="auto"/>
        <w:bottom w:val="none" w:sz="0" w:space="0" w:color="auto"/>
        <w:right w:val="none" w:sz="0" w:space="0" w:color="auto"/>
      </w:divBdr>
    </w:div>
    <w:div w:id="832768225">
      <w:bodyDiv w:val="1"/>
      <w:marLeft w:val="0"/>
      <w:marRight w:val="0"/>
      <w:marTop w:val="0"/>
      <w:marBottom w:val="0"/>
      <w:divBdr>
        <w:top w:val="none" w:sz="0" w:space="0" w:color="auto"/>
        <w:left w:val="none" w:sz="0" w:space="0" w:color="auto"/>
        <w:bottom w:val="none" w:sz="0" w:space="0" w:color="auto"/>
        <w:right w:val="none" w:sz="0" w:space="0" w:color="auto"/>
      </w:divBdr>
    </w:div>
    <w:div w:id="832915211">
      <w:bodyDiv w:val="1"/>
      <w:marLeft w:val="0"/>
      <w:marRight w:val="0"/>
      <w:marTop w:val="0"/>
      <w:marBottom w:val="0"/>
      <w:divBdr>
        <w:top w:val="none" w:sz="0" w:space="0" w:color="auto"/>
        <w:left w:val="none" w:sz="0" w:space="0" w:color="auto"/>
        <w:bottom w:val="none" w:sz="0" w:space="0" w:color="auto"/>
        <w:right w:val="none" w:sz="0" w:space="0" w:color="auto"/>
      </w:divBdr>
    </w:div>
    <w:div w:id="833186248">
      <w:bodyDiv w:val="1"/>
      <w:marLeft w:val="0"/>
      <w:marRight w:val="0"/>
      <w:marTop w:val="0"/>
      <w:marBottom w:val="0"/>
      <w:divBdr>
        <w:top w:val="none" w:sz="0" w:space="0" w:color="auto"/>
        <w:left w:val="none" w:sz="0" w:space="0" w:color="auto"/>
        <w:bottom w:val="none" w:sz="0" w:space="0" w:color="auto"/>
        <w:right w:val="none" w:sz="0" w:space="0" w:color="auto"/>
      </w:divBdr>
    </w:div>
    <w:div w:id="834951064">
      <w:bodyDiv w:val="1"/>
      <w:marLeft w:val="0"/>
      <w:marRight w:val="0"/>
      <w:marTop w:val="0"/>
      <w:marBottom w:val="0"/>
      <w:divBdr>
        <w:top w:val="none" w:sz="0" w:space="0" w:color="auto"/>
        <w:left w:val="none" w:sz="0" w:space="0" w:color="auto"/>
        <w:bottom w:val="none" w:sz="0" w:space="0" w:color="auto"/>
        <w:right w:val="none" w:sz="0" w:space="0" w:color="auto"/>
      </w:divBdr>
    </w:div>
    <w:div w:id="836068267">
      <w:bodyDiv w:val="1"/>
      <w:marLeft w:val="0"/>
      <w:marRight w:val="0"/>
      <w:marTop w:val="0"/>
      <w:marBottom w:val="0"/>
      <w:divBdr>
        <w:top w:val="none" w:sz="0" w:space="0" w:color="auto"/>
        <w:left w:val="none" w:sz="0" w:space="0" w:color="auto"/>
        <w:bottom w:val="none" w:sz="0" w:space="0" w:color="auto"/>
        <w:right w:val="none" w:sz="0" w:space="0" w:color="auto"/>
      </w:divBdr>
    </w:div>
    <w:div w:id="836533240">
      <w:bodyDiv w:val="1"/>
      <w:marLeft w:val="0"/>
      <w:marRight w:val="0"/>
      <w:marTop w:val="0"/>
      <w:marBottom w:val="0"/>
      <w:divBdr>
        <w:top w:val="none" w:sz="0" w:space="0" w:color="auto"/>
        <w:left w:val="none" w:sz="0" w:space="0" w:color="auto"/>
        <w:bottom w:val="none" w:sz="0" w:space="0" w:color="auto"/>
        <w:right w:val="none" w:sz="0" w:space="0" w:color="auto"/>
      </w:divBdr>
    </w:div>
    <w:div w:id="836575377">
      <w:bodyDiv w:val="1"/>
      <w:marLeft w:val="0"/>
      <w:marRight w:val="0"/>
      <w:marTop w:val="0"/>
      <w:marBottom w:val="0"/>
      <w:divBdr>
        <w:top w:val="none" w:sz="0" w:space="0" w:color="auto"/>
        <w:left w:val="none" w:sz="0" w:space="0" w:color="auto"/>
        <w:bottom w:val="none" w:sz="0" w:space="0" w:color="auto"/>
        <w:right w:val="none" w:sz="0" w:space="0" w:color="auto"/>
      </w:divBdr>
    </w:div>
    <w:div w:id="836769017">
      <w:bodyDiv w:val="1"/>
      <w:marLeft w:val="0"/>
      <w:marRight w:val="0"/>
      <w:marTop w:val="0"/>
      <w:marBottom w:val="0"/>
      <w:divBdr>
        <w:top w:val="none" w:sz="0" w:space="0" w:color="auto"/>
        <w:left w:val="none" w:sz="0" w:space="0" w:color="auto"/>
        <w:bottom w:val="none" w:sz="0" w:space="0" w:color="auto"/>
        <w:right w:val="none" w:sz="0" w:space="0" w:color="auto"/>
      </w:divBdr>
      <w:divsChild>
        <w:div w:id="174799309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7428597">
      <w:bodyDiv w:val="1"/>
      <w:marLeft w:val="0"/>
      <w:marRight w:val="0"/>
      <w:marTop w:val="0"/>
      <w:marBottom w:val="0"/>
      <w:divBdr>
        <w:top w:val="none" w:sz="0" w:space="0" w:color="auto"/>
        <w:left w:val="none" w:sz="0" w:space="0" w:color="auto"/>
        <w:bottom w:val="none" w:sz="0" w:space="0" w:color="auto"/>
        <w:right w:val="none" w:sz="0" w:space="0" w:color="auto"/>
      </w:divBdr>
    </w:div>
    <w:div w:id="837497545">
      <w:bodyDiv w:val="1"/>
      <w:marLeft w:val="0"/>
      <w:marRight w:val="0"/>
      <w:marTop w:val="0"/>
      <w:marBottom w:val="0"/>
      <w:divBdr>
        <w:top w:val="none" w:sz="0" w:space="0" w:color="auto"/>
        <w:left w:val="none" w:sz="0" w:space="0" w:color="auto"/>
        <w:bottom w:val="none" w:sz="0" w:space="0" w:color="auto"/>
        <w:right w:val="none" w:sz="0" w:space="0" w:color="auto"/>
      </w:divBdr>
    </w:div>
    <w:div w:id="837616238">
      <w:bodyDiv w:val="1"/>
      <w:marLeft w:val="0"/>
      <w:marRight w:val="0"/>
      <w:marTop w:val="0"/>
      <w:marBottom w:val="0"/>
      <w:divBdr>
        <w:top w:val="none" w:sz="0" w:space="0" w:color="auto"/>
        <w:left w:val="none" w:sz="0" w:space="0" w:color="auto"/>
        <w:bottom w:val="none" w:sz="0" w:space="0" w:color="auto"/>
        <w:right w:val="none" w:sz="0" w:space="0" w:color="auto"/>
      </w:divBdr>
    </w:div>
    <w:div w:id="838038051">
      <w:bodyDiv w:val="1"/>
      <w:marLeft w:val="0"/>
      <w:marRight w:val="0"/>
      <w:marTop w:val="0"/>
      <w:marBottom w:val="0"/>
      <w:divBdr>
        <w:top w:val="none" w:sz="0" w:space="0" w:color="auto"/>
        <w:left w:val="none" w:sz="0" w:space="0" w:color="auto"/>
        <w:bottom w:val="none" w:sz="0" w:space="0" w:color="auto"/>
        <w:right w:val="none" w:sz="0" w:space="0" w:color="auto"/>
      </w:divBdr>
    </w:div>
    <w:div w:id="838076627">
      <w:bodyDiv w:val="1"/>
      <w:marLeft w:val="0"/>
      <w:marRight w:val="0"/>
      <w:marTop w:val="0"/>
      <w:marBottom w:val="0"/>
      <w:divBdr>
        <w:top w:val="none" w:sz="0" w:space="0" w:color="auto"/>
        <w:left w:val="none" w:sz="0" w:space="0" w:color="auto"/>
        <w:bottom w:val="none" w:sz="0" w:space="0" w:color="auto"/>
        <w:right w:val="none" w:sz="0" w:space="0" w:color="auto"/>
      </w:divBdr>
    </w:div>
    <w:div w:id="839269475">
      <w:bodyDiv w:val="1"/>
      <w:marLeft w:val="0"/>
      <w:marRight w:val="0"/>
      <w:marTop w:val="0"/>
      <w:marBottom w:val="0"/>
      <w:divBdr>
        <w:top w:val="none" w:sz="0" w:space="0" w:color="auto"/>
        <w:left w:val="none" w:sz="0" w:space="0" w:color="auto"/>
        <w:bottom w:val="none" w:sz="0" w:space="0" w:color="auto"/>
        <w:right w:val="none" w:sz="0" w:space="0" w:color="auto"/>
      </w:divBdr>
    </w:div>
    <w:div w:id="840244954">
      <w:bodyDiv w:val="1"/>
      <w:marLeft w:val="0"/>
      <w:marRight w:val="0"/>
      <w:marTop w:val="0"/>
      <w:marBottom w:val="0"/>
      <w:divBdr>
        <w:top w:val="none" w:sz="0" w:space="0" w:color="auto"/>
        <w:left w:val="none" w:sz="0" w:space="0" w:color="auto"/>
        <w:bottom w:val="none" w:sz="0" w:space="0" w:color="auto"/>
        <w:right w:val="none" w:sz="0" w:space="0" w:color="auto"/>
      </w:divBdr>
    </w:div>
    <w:div w:id="840463120">
      <w:bodyDiv w:val="1"/>
      <w:marLeft w:val="0"/>
      <w:marRight w:val="0"/>
      <w:marTop w:val="0"/>
      <w:marBottom w:val="0"/>
      <w:divBdr>
        <w:top w:val="none" w:sz="0" w:space="0" w:color="auto"/>
        <w:left w:val="none" w:sz="0" w:space="0" w:color="auto"/>
        <w:bottom w:val="none" w:sz="0" w:space="0" w:color="auto"/>
        <w:right w:val="none" w:sz="0" w:space="0" w:color="auto"/>
      </w:divBdr>
    </w:div>
    <w:div w:id="840706594">
      <w:bodyDiv w:val="1"/>
      <w:marLeft w:val="0"/>
      <w:marRight w:val="0"/>
      <w:marTop w:val="0"/>
      <w:marBottom w:val="0"/>
      <w:divBdr>
        <w:top w:val="none" w:sz="0" w:space="0" w:color="auto"/>
        <w:left w:val="none" w:sz="0" w:space="0" w:color="auto"/>
        <w:bottom w:val="none" w:sz="0" w:space="0" w:color="auto"/>
        <w:right w:val="none" w:sz="0" w:space="0" w:color="auto"/>
      </w:divBdr>
    </w:div>
    <w:div w:id="841049640">
      <w:bodyDiv w:val="1"/>
      <w:marLeft w:val="0"/>
      <w:marRight w:val="0"/>
      <w:marTop w:val="0"/>
      <w:marBottom w:val="0"/>
      <w:divBdr>
        <w:top w:val="none" w:sz="0" w:space="0" w:color="auto"/>
        <w:left w:val="none" w:sz="0" w:space="0" w:color="auto"/>
        <w:bottom w:val="none" w:sz="0" w:space="0" w:color="auto"/>
        <w:right w:val="none" w:sz="0" w:space="0" w:color="auto"/>
      </w:divBdr>
    </w:div>
    <w:div w:id="841941818">
      <w:bodyDiv w:val="1"/>
      <w:marLeft w:val="0"/>
      <w:marRight w:val="0"/>
      <w:marTop w:val="0"/>
      <w:marBottom w:val="0"/>
      <w:divBdr>
        <w:top w:val="none" w:sz="0" w:space="0" w:color="auto"/>
        <w:left w:val="none" w:sz="0" w:space="0" w:color="auto"/>
        <w:bottom w:val="none" w:sz="0" w:space="0" w:color="auto"/>
        <w:right w:val="none" w:sz="0" w:space="0" w:color="auto"/>
      </w:divBdr>
    </w:div>
    <w:div w:id="842165501">
      <w:bodyDiv w:val="1"/>
      <w:marLeft w:val="0"/>
      <w:marRight w:val="0"/>
      <w:marTop w:val="0"/>
      <w:marBottom w:val="0"/>
      <w:divBdr>
        <w:top w:val="none" w:sz="0" w:space="0" w:color="auto"/>
        <w:left w:val="none" w:sz="0" w:space="0" w:color="auto"/>
        <w:bottom w:val="none" w:sz="0" w:space="0" w:color="auto"/>
        <w:right w:val="none" w:sz="0" w:space="0" w:color="auto"/>
      </w:divBdr>
    </w:div>
    <w:div w:id="843133665">
      <w:bodyDiv w:val="1"/>
      <w:marLeft w:val="0"/>
      <w:marRight w:val="0"/>
      <w:marTop w:val="0"/>
      <w:marBottom w:val="0"/>
      <w:divBdr>
        <w:top w:val="none" w:sz="0" w:space="0" w:color="auto"/>
        <w:left w:val="none" w:sz="0" w:space="0" w:color="auto"/>
        <w:bottom w:val="none" w:sz="0" w:space="0" w:color="auto"/>
        <w:right w:val="none" w:sz="0" w:space="0" w:color="auto"/>
      </w:divBdr>
    </w:div>
    <w:div w:id="843325791">
      <w:bodyDiv w:val="1"/>
      <w:marLeft w:val="0"/>
      <w:marRight w:val="0"/>
      <w:marTop w:val="0"/>
      <w:marBottom w:val="0"/>
      <w:divBdr>
        <w:top w:val="none" w:sz="0" w:space="0" w:color="auto"/>
        <w:left w:val="none" w:sz="0" w:space="0" w:color="auto"/>
        <w:bottom w:val="none" w:sz="0" w:space="0" w:color="auto"/>
        <w:right w:val="none" w:sz="0" w:space="0" w:color="auto"/>
      </w:divBdr>
    </w:div>
    <w:div w:id="843596353">
      <w:bodyDiv w:val="1"/>
      <w:marLeft w:val="0"/>
      <w:marRight w:val="0"/>
      <w:marTop w:val="0"/>
      <w:marBottom w:val="0"/>
      <w:divBdr>
        <w:top w:val="none" w:sz="0" w:space="0" w:color="auto"/>
        <w:left w:val="none" w:sz="0" w:space="0" w:color="auto"/>
        <w:bottom w:val="none" w:sz="0" w:space="0" w:color="auto"/>
        <w:right w:val="none" w:sz="0" w:space="0" w:color="auto"/>
      </w:divBdr>
    </w:div>
    <w:div w:id="844246396">
      <w:bodyDiv w:val="1"/>
      <w:marLeft w:val="0"/>
      <w:marRight w:val="0"/>
      <w:marTop w:val="0"/>
      <w:marBottom w:val="0"/>
      <w:divBdr>
        <w:top w:val="none" w:sz="0" w:space="0" w:color="auto"/>
        <w:left w:val="none" w:sz="0" w:space="0" w:color="auto"/>
        <w:bottom w:val="none" w:sz="0" w:space="0" w:color="auto"/>
        <w:right w:val="none" w:sz="0" w:space="0" w:color="auto"/>
      </w:divBdr>
    </w:div>
    <w:div w:id="844518703">
      <w:bodyDiv w:val="1"/>
      <w:marLeft w:val="0"/>
      <w:marRight w:val="0"/>
      <w:marTop w:val="0"/>
      <w:marBottom w:val="0"/>
      <w:divBdr>
        <w:top w:val="none" w:sz="0" w:space="0" w:color="auto"/>
        <w:left w:val="none" w:sz="0" w:space="0" w:color="auto"/>
        <w:bottom w:val="none" w:sz="0" w:space="0" w:color="auto"/>
        <w:right w:val="none" w:sz="0" w:space="0" w:color="auto"/>
      </w:divBdr>
    </w:div>
    <w:div w:id="844779739">
      <w:bodyDiv w:val="1"/>
      <w:marLeft w:val="0"/>
      <w:marRight w:val="0"/>
      <w:marTop w:val="0"/>
      <w:marBottom w:val="0"/>
      <w:divBdr>
        <w:top w:val="none" w:sz="0" w:space="0" w:color="auto"/>
        <w:left w:val="none" w:sz="0" w:space="0" w:color="auto"/>
        <w:bottom w:val="none" w:sz="0" w:space="0" w:color="auto"/>
        <w:right w:val="none" w:sz="0" w:space="0" w:color="auto"/>
      </w:divBdr>
    </w:div>
    <w:div w:id="845244795">
      <w:bodyDiv w:val="1"/>
      <w:marLeft w:val="0"/>
      <w:marRight w:val="0"/>
      <w:marTop w:val="0"/>
      <w:marBottom w:val="0"/>
      <w:divBdr>
        <w:top w:val="none" w:sz="0" w:space="0" w:color="auto"/>
        <w:left w:val="none" w:sz="0" w:space="0" w:color="auto"/>
        <w:bottom w:val="none" w:sz="0" w:space="0" w:color="auto"/>
        <w:right w:val="none" w:sz="0" w:space="0" w:color="auto"/>
      </w:divBdr>
    </w:div>
    <w:div w:id="846021080">
      <w:bodyDiv w:val="1"/>
      <w:marLeft w:val="0"/>
      <w:marRight w:val="0"/>
      <w:marTop w:val="0"/>
      <w:marBottom w:val="0"/>
      <w:divBdr>
        <w:top w:val="none" w:sz="0" w:space="0" w:color="auto"/>
        <w:left w:val="none" w:sz="0" w:space="0" w:color="auto"/>
        <w:bottom w:val="none" w:sz="0" w:space="0" w:color="auto"/>
        <w:right w:val="none" w:sz="0" w:space="0" w:color="auto"/>
      </w:divBdr>
    </w:div>
    <w:div w:id="846090489">
      <w:bodyDiv w:val="1"/>
      <w:marLeft w:val="0"/>
      <w:marRight w:val="0"/>
      <w:marTop w:val="0"/>
      <w:marBottom w:val="0"/>
      <w:divBdr>
        <w:top w:val="none" w:sz="0" w:space="0" w:color="auto"/>
        <w:left w:val="none" w:sz="0" w:space="0" w:color="auto"/>
        <w:bottom w:val="none" w:sz="0" w:space="0" w:color="auto"/>
        <w:right w:val="none" w:sz="0" w:space="0" w:color="auto"/>
      </w:divBdr>
    </w:div>
    <w:div w:id="846404411">
      <w:bodyDiv w:val="1"/>
      <w:marLeft w:val="0"/>
      <w:marRight w:val="0"/>
      <w:marTop w:val="0"/>
      <w:marBottom w:val="0"/>
      <w:divBdr>
        <w:top w:val="none" w:sz="0" w:space="0" w:color="auto"/>
        <w:left w:val="none" w:sz="0" w:space="0" w:color="auto"/>
        <w:bottom w:val="none" w:sz="0" w:space="0" w:color="auto"/>
        <w:right w:val="none" w:sz="0" w:space="0" w:color="auto"/>
      </w:divBdr>
    </w:div>
    <w:div w:id="846556944">
      <w:bodyDiv w:val="1"/>
      <w:marLeft w:val="0"/>
      <w:marRight w:val="0"/>
      <w:marTop w:val="0"/>
      <w:marBottom w:val="0"/>
      <w:divBdr>
        <w:top w:val="none" w:sz="0" w:space="0" w:color="auto"/>
        <w:left w:val="none" w:sz="0" w:space="0" w:color="auto"/>
        <w:bottom w:val="none" w:sz="0" w:space="0" w:color="auto"/>
        <w:right w:val="none" w:sz="0" w:space="0" w:color="auto"/>
      </w:divBdr>
    </w:div>
    <w:div w:id="846939802">
      <w:bodyDiv w:val="1"/>
      <w:marLeft w:val="0"/>
      <w:marRight w:val="0"/>
      <w:marTop w:val="0"/>
      <w:marBottom w:val="0"/>
      <w:divBdr>
        <w:top w:val="none" w:sz="0" w:space="0" w:color="auto"/>
        <w:left w:val="none" w:sz="0" w:space="0" w:color="auto"/>
        <w:bottom w:val="none" w:sz="0" w:space="0" w:color="auto"/>
        <w:right w:val="none" w:sz="0" w:space="0" w:color="auto"/>
      </w:divBdr>
    </w:div>
    <w:div w:id="847672821">
      <w:bodyDiv w:val="1"/>
      <w:marLeft w:val="0"/>
      <w:marRight w:val="0"/>
      <w:marTop w:val="0"/>
      <w:marBottom w:val="0"/>
      <w:divBdr>
        <w:top w:val="none" w:sz="0" w:space="0" w:color="auto"/>
        <w:left w:val="none" w:sz="0" w:space="0" w:color="auto"/>
        <w:bottom w:val="none" w:sz="0" w:space="0" w:color="auto"/>
        <w:right w:val="none" w:sz="0" w:space="0" w:color="auto"/>
      </w:divBdr>
    </w:div>
    <w:div w:id="848639719">
      <w:bodyDiv w:val="1"/>
      <w:marLeft w:val="0"/>
      <w:marRight w:val="0"/>
      <w:marTop w:val="0"/>
      <w:marBottom w:val="0"/>
      <w:divBdr>
        <w:top w:val="none" w:sz="0" w:space="0" w:color="auto"/>
        <w:left w:val="none" w:sz="0" w:space="0" w:color="auto"/>
        <w:bottom w:val="none" w:sz="0" w:space="0" w:color="auto"/>
        <w:right w:val="none" w:sz="0" w:space="0" w:color="auto"/>
      </w:divBdr>
    </w:div>
    <w:div w:id="848838357">
      <w:bodyDiv w:val="1"/>
      <w:marLeft w:val="0"/>
      <w:marRight w:val="0"/>
      <w:marTop w:val="0"/>
      <w:marBottom w:val="0"/>
      <w:divBdr>
        <w:top w:val="none" w:sz="0" w:space="0" w:color="auto"/>
        <w:left w:val="none" w:sz="0" w:space="0" w:color="auto"/>
        <w:bottom w:val="none" w:sz="0" w:space="0" w:color="auto"/>
        <w:right w:val="none" w:sz="0" w:space="0" w:color="auto"/>
      </w:divBdr>
    </w:div>
    <w:div w:id="849025653">
      <w:bodyDiv w:val="1"/>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 w:id="849175986">
      <w:bodyDiv w:val="1"/>
      <w:marLeft w:val="0"/>
      <w:marRight w:val="0"/>
      <w:marTop w:val="0"/>
      <w:marBottom w:val="0"/>
      <w:divBdr>
        <w:top w:val="none" w:sz="0" w:space="0" w:color="auto"/>
        <w:left w:val="none" w:sz="0" w:space="0" w:color="auto"/>
        <w:bottom w:val="none" w:sz="0" w:space="0" w:color="auto"/>
        <w:right w:val="none" w:sz="0" w:space="0" w:color="auto"/>
      </w:divBdr>
    </w:div>
    <w:div w:id="849834088">
      <w:bodyDiv w:val="1"/>
      <w:marLeft w:val="0"/>
      <w:marRight w:val="0"/>
      <w:marTop w:val="0"/>
      <w:marBottom w:val="0"/>
      <w:divBdr>
        <w:top w:val="none" w:sz="0" w:space="0" w:color="auto"/>
        <w:left w:val="none" w:sz="0" w:space="0" w:color="auto"/>
        <w:bottom w:val="none" w:sz="0" w:space="0" w:color="auto"/>
        <w:right w:val="none" w:sz="0" w:space="0" w:color="auto"/>
      </w:divBdr>
    </w:div>
    <w:div w:id="850680796">
      <w:bodyDiv w:val="1"/>
      <w:marLeft w:val="0"/>
      <w:marRight w:val="0"/>
      <w:marTop w:val="0"/>
      <w:marBottom w:val="0"/>
      <w:divBdr>
        <w:top w:val="none" w:sz="0" w:space="0" w:color="auto"/>
        <w:left w:val="none" w:sz="0" w:space="0" w:color="auto"/>
        <w:bottom w:val="none" w:sz="0" w:space="0" w:color="auto"/>
        <w:right w:val="none" w:sz="0" w:space="0" w:color="auto"/>
      </w:divBdr>
    </w:div>
    <w:div w:id="851992305">
      <w:bodyDiv w:val="1"/>
      <w:marLeft w:val="0"/>
      <w:marRight w:val="0"/>
      <w:marTop w:val="0"/>
      <w:marBottom w:val="0"/>
      <w:divBdr>
        <w:top w:val="none" w:sz="0" w:space="0" w:color="auto"/>
        <w:left w:val="none" w:sz="0" w:space="0" w:color="auto"/>
        <w:bottom w:val="none" w:sz="0" w:space="0" w:color="auto"/>
        <w:right w:val="none" w:sz="0" w:space="0" w:color="auto"/>
      </w:divBdr>
    </w:div>
    <w:div w:id="852258767">
      <w:bodyDiv w:val="1"/>
      <w:marLeft w:val="0"/>
      <w:marRight w:val="0"/>
      <w:marTop w:val="0"/>
      <w:marBottom w:val="0"/>
      <w:divBdr>
        <w:top w:val="none" w:sz="0" w:space="0" w:color="auto"/>
        <w:left w:val="none" w:sz="0" w:space="0" w:color="auto"/>
        <w:bottom w:val="none" w:sz="0" w:space="0" w:color="auto"/>
        <w:right w:val="none" w:sz="0" w:space="0" w:color="auto"/>
      </w:divBdr>
    </w:div>
    <w:div w:id="854810460">
      <w:bodyDiv w:val="1"/>
      <w:marLeft w:val="0"/>
      <w:marRight w:val="0"/>
      <w:marTop w:val="0"/>
      <w:marBottom w:val="0"/>
      <w:divBdr>
        <w:top w:val="none" w:sz="0" w:space="0" w:color="auto"/>
        <w:left w:val="none" w:sz="0" w:space="0" w:color="auto"/>
        <w:bottom w:val="none" w:sz="0" w:space="0" w:color="auto"/>
        <w:right w:val="none" w:sz="0" w:space="0" w:color="auto"/>
      </w:divBdr>
    </w:div>
    <w:div w:id="855579208">
      <w:bodyDiv w:val="1"/>
      <w:marLeft w:val="0"/>
      <w:marRight w:val="0"/>
      <w:marTop w:val="0"/>
      <w:marBottom w:val="0"/>
      <w:divBdr>
        <w:top w:val="none" w:sz="0" w:space="0" w:color="auto"/>
        <w:left w:val="none" w:sz="0" w:space="0" w:color="auto"/>
        <w:bottom w:val="none" w:sz="0" w:space="0" w:color="auto"/>
        <w:right w:val="none" w:sz="0" w:space="0" w:color="auto"/>
      </w:divBdr>
    </w:div>
    <w:div w:id="855774116">
      <w:bodyDiv w:val="1"/>
      <w:marLeft w:val="0"/>
      <w:marRight w:val="0"/>
      <w:marTop w:val="0"/>
      <w:marBottom w:val="0"/>
      <w:divBdr>
        <w:top w:val="none" w:sz="0" w:space="0" w:color="auto"/>
        <w:left w:val="none" w:sz="0" w:space="0" w:color="auto"/>
        <w:bottom w:val="none" w:sz="0" w:space="0" w:color="auto"/>
        <w:right w:val="none" w:sz="0" w:space="0" w:color="auto"/>
      </w:divBdr>
    </w:div>
    <w:div w:id="856117982">
      <w:bodyDiv w:val="1"/>
      <w:marLeft w:val="0"/>
      <w:marRight w:val="0"/>
      <w:marTop w:val="0"/>
      <w:marBottom w:val="0"/>
      <w:divBdr>
        <w:top w:val="none" w:sz="0" w:space="0" w:color="auto"/>
        <w:left w:val="none" w:sz="0" w:space="0" w:color="auto"/>
        <w:bottom w:val="none" w:sz="0" w:space="0" w:color="auto"/>
        <w:right w:val="none" w:sz="0" w:space="0" w:color="auto"/>
      </w:divBdr>
    </w:div>
    <w:div w:id="856389893">
      <w:bodyDiv w:val="1"/>
      <w:marLeft w:val="0"/>
      <w:marRight w:val="0"/>
      <w:marTop w:val="0"/>
      <w:marBottom w:val="0"/>
      <w:divBdr>
        <w:top w:val="none" w:sz="0" w:space="0" w:color="auto"/>
        <w:left w:val="none" w:sz="0" w:space="0" w:color="auto"/>
        <w:bottom w:val="none" w:sz="0" w:space="0" w:color="auto"/>
        <w:right w:val="none" w:sz="0" w:space="0" w:color="auto"/>
      </w:divBdr>
    </w:div>
    <w:div w:id="856848320">
      <w:bodyDiv w:val="1"/>
      <w:marLeft w:val="0"/>
      <w:marRight w:val="0"/>
      <w:marTop w:val="0"/>
      <w:marBottom w:val="0"/>
      <w:divBdr>
        <w:top w:val="none" w:sz="0" w:space="0" w:color="auto"/>
        <w:left w:val="none" w:sz="0" w:space="0" w:color="auto"/>
        <w:bottom w:val="none" w:sz="0" w:space="0" w:color="auto"/>
        <w:right w:val="none" w:sz="0" w:space="0" w:color="auto"/>
      </w:divBdr>
    </w:div>
    <w:div w:id="858082327">
      <w:bodyDiv w:val="1"/>
      <w:marLeft w:val="0"/>
      <w:marRight w:val="0"/>
      <w:marTop w:val="0"/>
      <w:marBottom w:val="0"/>
      <w:divBdr>
        <w:top w:val="none" w:sz="0" w:space="0" w:color="auto"/>
        <w:left w:val="none" w:sz="0" w:space="0" w:color="auto"/>
        <w:bottom w:val="none" w:sz="0" w:space="0" w:color="auto"/>
        <w:right w:val="none" w:sz="0" w:space="0" w:color="auto"/>
      </w:divBdr>
    </w:div>
    <w:div w:id="858592489">
      <w:bodyDiv w:val="1"/>
      <w:marLeft w:val="0"/>
      <w:marRight w:val="0"/>
      <w:marTop w:val="0"/>
      <w:marBottom w:val="0"/>
      <w:divBdr>
        <w:top w:val="none" w:sz="0" w:space="0" w:color="auto"/>
        <w:left w:val="none" w:sz="0" w:space="0" w:color="auto"/>
        <w:bottom w:val="none" w:sz="0" w:space="0" w:color="auto"/>
        <w:right w:val="none" w:sz="0" w:space="0" w:color="auto"/>
      </w:divBdr>
    </w:div>
    <w:div w:id="858932608">
      <w:bodyDiv w:val="1"/>
      <w:marLeft w:val="0"/>
      <w:marRight w:val="0"/>
      <w:marTop w:val="0"/>
      <w:marBottom w:val="0"/>
      <w:divBdr>
        <w:top w:val="none" w:sz="0" w:space="0" w:color="auto"/>
        <w:left w:val="none" w:sz="0" w:space="0" w:color="auto"/>
        <w:bottom w:val="none" w:sz="0" w:space="0" w:color="auto"/>
        <w:right w:val="none" w:sz="0" w:space="0" w:color="auto"/>
      </w:divBdr>
    </w:div>
    <w:div w:id="860166984">
      <w:bodyDiv w:val="1"/>
      <w:marLeft w:val="0"/>
      <w:marRight w:val="0"/>
      <w:marTop w:val="0"/>
      <w:marBottom w:val="0"/>
      <w:divBdr>
        <w:top w:val="none" w:sz="0" w:space="0" w:color="auto"/>
        <w:left w:val="none" w:sz="0" w:space="0" w:color="auto"/>
        <w:bottom w:val="none" w:sz="0" w:space="0" w:color="auto"/>
        <w:right w:val="none" w:sz="0" w:space="0" w:color="auto"/>
      </w:divBdr>
    </w:div>
    <w:div w:id="860364953">
      <w:bodyDiv w:val="1"/>
      <w:marLeft w:val="0"/>
      <w:marRight w:val="0"/>
      <w:marTop w:val="0"/>
      <w:marBottom w:val="0"/>
      <w:divBdr>
        <w:top w:val="none" w:sz="0" w:space="0" w:color="auto"/>
        <w:left w:val="none" w:sz="0" w:space="0" w:color="auto"/>
        <w:bottom w:val="none" w:sz="0" w:space="0" w:color="auto"/>
        <w:right w:val="none" w:sz="0" w:space="0" w:color="auto"/>
      </w:divBdr>
    </w:div>
    <w:div w:id="861283871">
      <w:bodyDiv w:val="1"/>
      <w:marLeft w:val="0"/>
      <w:marRight w:val="0"/>
      <w:marTop w:val="0"/>
      <w:marBottom w:val="0"/>
      <w:divBdr>
        <w:top w:val="none" w:sz="0" w:space="0" w:color="auto"/>
        <w:left w:val="none" w:sz="0" w:space="0" w:color="auto"/>
        <w:bottom w:val="none" w:sz="0" w:space="0" w:color="auto"/>
        <w:right w:val="none" w:sz="0" w:space="0" w:color="auto"/>
      </w:divBdr>
    </w:div>
    <w:div w:id="861355512">
      <w:bodyDiv w:val="1"/>
      <w:marLeft w:val="0"/>
      <w:marRight w:val="0"/>
      <w:marTop w:val="0"/>
      <w:marBottom w:val="0"/>
      <w:divBdr>
        <w:top w:val="none" w:sz="0" w:space="0" w:color="auto"/>
        <w:left w:val="none" w:sz="0" w:space="0" w:color="auto"/>
        <w:bottom w:val="none" w:sz="0" w:space="0" w:color="auto"/>
        <w:right w:val="none" w:sz="0" w:space="0" w:color="auto"/>
      </w:divBdr>
    </w:div>
    <w:div w:id="861667640">
      <w:bodyDiv w:val="1"/>
      <w:marLeft w:val="0"/>
      <w:marRight w:val="0"/>
      <w:marTop w:val="0"/>
      <w:marBottom w:val="0"/>
      <w:divBdr>
        <w:top w:val="none" w:sz="0" w:space="0" w:color="auto"/>
        <w:left w:val="none" w:sz="0" w:space="0" w:color="auto"/>
        <w:bottom w:val="none" w:sz="0" w:space="0" w:color="auto"/>
        <w:right w:val="none" w:sz="0" w:space="0" w:color="auto"/>
      </w:divBdr>
    </w:div>
    <w:div w:id="861937690">
      <w:bodyDiv w:val="1"/>
      <w:marLeft w:val="0"/>
      <w:marRight w:val="0"/>
      <w:marTop w:val="0"/>
      <w:marBottom w:val="0"/>
      <w:divBdr>
        <w:top w:val="none" w:sz="0" w:space="0" w:color="auto"/>
        <w:left w:val="none" w:sz="0" w:space="0" w:color="auto"/>
        <w:bottom w:val="none" w:sz="0" w:space="0" w:color="auto"/>
        <w:right w:val="none" w:sz="0" w:space="0" w:color="auto"/>
      </w:divBdr>
    </w:div>
    <w:div w:id="862397838">
      <w:bodyDiv w:val="1"/>
      <w:marLeft w:val="0"/>
      <w:marRight w:val="0"/>
      <w:marTop w:val="0"/>
      <w:marBottom w:val="0"/>
      <w:divBdr>
        <w:top w:val="none" w:sz="0" w:space="0" w:color="auto"/>
        <w:left w:val="none" w:sz="0" w:space="0" w:color="auto"/>
        <w:bottom w:val="none" w:sz="0" w:space="0" w:color="auto"/>
        <w:right w:val="none" w:sz="0" w:space="0" w:color="auto"/>
      </w:divBdr>
    </w:div>
    <w:div w:id="862748508">
      <w:bodyDiv w:val="1"/>
      <w:marLeft w:val="0"/>
      <w:marRight w:val="0"/>
      <w:marTop w:val="0"/>
      <w:marBottom w:val="0"/>
      <w:divBdr>
        <w:top w:val="none" w:sz="0" w:space="0" w:color="auto"/>
        <w:left w:val="none" w:sz="0" w:space="0" w:color="auto"/>
        <w:bottom w:val="none" w:sz="0" w:space="0" w:color="auto"/>
        <w:right w:val="none" w:sz="0" w:space="0" w:color="auto"/>
      </w:divBdr>
    </w:div>
    <w:div w:id="863788819">
      <w:bodyDiv w:val="1"/>
      <w:marLeft w:val="0"/>
      <w:marRight w:val="0"/>
      <w:marTop w:val="0"/>
      <w:marBottom w:val="0"/>
      <w:divBdr>
        <w:top w:val="none" w:sz="0" w:space="0" w:color="auto"/>
        <w:left w:val="none" w:sz="0" w:space="0" w:color="auto"/>
        <w:bottom w:val="none" w:sz="0" w:space="0" w:color="auto"/>
        <w:right w:val="none" w:sz="0" w:space="0" w:color="auto"/>
      </w:divBdr>
    </w:div>
    <w:div w:id="864028117">
      <w:bodyDiv w:val="1"/>
      <w:marLeft w:val="0"/>
      <w:marRight w:val="0"/>
      <w:marTop w:val="0"/>
      <w:marBottom w:val="0"/>
      <w:divBdr>
        <w:top w:val="none" w:sz="0" w:space="0" w:color="auto"/>
        <w:left w:val="none" w:sz="0" w:space="0" w:color="auto"/>
        <w:bottom w:val="none" w:sz="0" w:space="0" w:color="auto"/>
        <w:right w:val="none" w:sz="0" w:space="0" w:color="auto"/>
      </w:divBdr>
    </w:div>
    <w:div w:id="864094870">
      <w:bodyDiv w:val="1"/>
      <w:marLeft w:val="0"/>
      <w:marRight w:val="0"/>
      <w:marTop w:val="0"/>
      <w:marBottom w:val="0"/>
      <w:divBdr>
        <w:top w:val="none" w:sz="0" w:space="0" w:color="auto"/>
        <w:left w:val="none" w:sz="0" w:space="0" w:color="auto"/>
        <w:bottom w:val="none" w:sz="0" w:space="0" w:color="auto"/>
        <w:right w:val="none" w:sz="0" w:space="0" w:color="auto"/>
      </w:divBdr>
    </w:div>
    <w:div w:id="865286891">
      <w:bodyDiv w:val="1"/>
      <w:marLeft w:val="0"/>
      <w:marRight w:val="0"/>
      <w:marTop w:val="0"/>
      <w:marBottom w:val="0"/>
      <w:divBdr>
        <w:top w:val="none" w:sz="0" w:space="0" w:color="auto"/>
        <w:left w:val="none" w:sz="0" w:space="0" w:color="auto"/>
        <w:bottom w:val="none" w:sz="0" w:space="0" w:color="auto"/>
        <w:right w:val="none" w:sz="0" w:space="0" w:color="auto"/>
      </w:divBdr>
    </w:div>
    <w:div w:id="867061993">
      <w:bodyDiv w:val="1"/>
      <w:marLeft w:val="0"/>
      <w:marRight w:val="0"/>
      <w:marTop w:val="0"/>
      <w:marBottom w:val="0"/>
      <w:divBdr>
        <w:top w:val="none" w:sz="0" w:space="0" w:color="auto"/>
        <w:left w:val="none" w:sz="0" w:space="0" w:color="auto"/>
        <w:bottom w:val="none" w:sz="0" w:space="0" w:color="auto"/>
        <w:right w:val="none" w:sz="0" w:space="0" w:color="auto"/>
      </w:divBdr>
    </w:div>
    <w:div w:id="867910329">
      <w:bodyDiv w:val="1"/>
      <w:marLeft w:val="0"/>
      <w:marRight w:val="0"/>
      <w:marTop w:val="0"/>
      <w:marBottom w:val="0"/>
      <w:divBdr>
        <w:top w:val="none" w:sz="0" w:space="0" w:color="auto"/>
        <w:left w:val="none" w:sz="0" w:space="0" w:color="auto"/>
        <w:bottom w:val="none" w:sz="0" w:space="0" w:color="auto"/>
        <w:right w:val="none" w:sz="0" w:space="0" w:color="auto"/>
      </w:divBdr>
    </w:div>
    <w:div w:id="869143937">
      <w:bodyDiv w:val="1"/>
      <w:marLeft w:val="0"/>
      <w:marRight w:val="0"/>
      <w:marTop w:val="0"/>
      <w:marBottom w:val="0"/>
      <w:divBdr>
        <w:top w:val="none" w:sz="0" w:space="0" w:color="auto"/>
        <w:left w:val="none" w:sz="0" w:space="0" w:color="auto"/>
        <w:bottom w:val="none" w:sz="0" w:space="0" w:color="auto"/>
        <w:right w:val="none" w:sz="0" w:space="0" w:color="auto"/>
      </w:divBdr>
    </w:div>
    <w:div w:id="869149545">
      <w:bodyDiv w:val="1"/>
      <w:marLeft w:val="0"/>
      <w:marRight w:val="0"/>
      <w:marTop w:val="0"/>
      <w:marBottom w:val="0"/>
      <w:divBdr>
        <w:top w:val="none" w:sz="0" w:space="0" w:color="auto"/>
        <w:left w:val="none" w:sz="0" w:space="0" w:color="auto"/>
        <w:bottom w:val="none" w:sz="0" w:space="0" w:color="auto"/>
        <w:right w:val="none" w:sz="0" w:space="0" w:color="auto"/>
      </w:divBdr>
    </w:div>
    <w:div w:id="869610287">
      <w:bodyDiv w:val="1"/>
      <w:marLeft w:val="0"/>
      <w:marRight w:val="0"/>
      <w:marTop w:val="0"/>
      <w:marBottom w:val="0"/>
      <w:divBdr>
        <w:top w:val="none" w:sz="0" w:space="0" w:color="auto"/>
        <w:left w:val="none" w:sz="0" w:space="0" w:color="auto"/>
        <w:bottom w:val="none" w:sz="0" w:space="0" w:color="auto"/>
        <w:right w:val="none" w:sz="0" w:space="0" w:color="auto"/>
      </w:divBdr>
    </w:div>
    <w:div w:id="870190837">
      <w:bodyDiv w:val="1"/>
      <w:marLeft w:val="0"/>
      <w:marRight w:val="0"/>
      <w:marTop w:val="0"/>
      <w:marBottom w:val="0"/>
      <w:divBdr>
        <w:top w:val="none" w:sz="0" w:space="0" w:color="auto"/>
        <w:left w:val="none" w:sz="0" w:space="0" w:color="auto"/>
        <w:bottom w:val="none" w:sz="0" w:space="0" w:color="auto"/>
        <w:right w:val="none" w:sz="0" w:space="0" w:color="auto"/>
      </w:divBdr>
    </w:div>
    <w:div w:id="874926962">
      <w:bodyDiv w:val="1"/>
      <w:marLeft w:val="0"/>
      <w:marRight w:val="0"/>
      <w:marTop w:val="0"/>
      <w:marBottom w:val="0"/>
      <w:divBdr>
        <w:top w:val="none" w:sz="0" w:space="0" w:color="auto"/>
        <w:left w:val="none" w:sz="0" w:space="0" w:color="auto"/>
        <w:bottom w:val="none" w:sz="0" w:space="0" w:color="auto"/>
        <w:right w:val="none" w:sz="0" w:space="0" w:color="auto"/>
      </w:divBdr>
    </w:div>
    <w:div w:id="875504309">
      <w:bodyDiv w:val="1"/>
      <w:marLeft w:val="0"/>
      <w:marRight w:val="0"/>
      <w:marTop w:val="0"/>
      <w:marBottom w:val="0"/>
      <w:divBdr>
        <w:top w:val="none" w:sz="0" w:space="0" w:color="auto"/>
        <w:left w:val="none" w:sz="0" w:space="0" w:color="auto"/>
        <w:bottom w:val="none" w:sz="0" w:space="0" w:color="auto"/>
        <w:right w:val="none" w:sz="0" w:space="0" w:color="auto"/>
      </w:divBdr>
    </w:div>
    <w:div w:id="875655929">
      <w:bodyDiv w:val="1"/>
      <w:marLeft w:val="0"/>
      <w:marRight w:val="0"/>
      <w:marTop w:val="0"/>
      <w:marBottom w:val="0"/>
      <w:divBdr>
        <w:top w:val="none" w:sz="0" w:space="0" w:color="auto"/>
        <w:left w:val="none" w:sz="0" w:space="0" w:color="auto"/>
        <w:bottom w:val="none" w:sz="0" w:space="0" w:color="auto"/>
        <w:right w:val="none" w:sz="0" w:space="0" w:color="auto"/>
      </w:divBdr>
    </w:div>
    <w:div w:id="877205391">
      <w:bodyDiv w:val="1"/>
      <w:marLeft w:val="0"/>
      <w:marRight w:val="0"/>
      <w:marTop w:val="0"/>
      <w:marBottom w:val="0"/>
      <w:divBdr>
        <w:top w:val="none" w:sz="0" w:space="0" w:color="auto"/>
        <w:left w:val="none" w:sz="0" w:space="0" w:color="auto"/>
        <w:bottom w:val="none" w:sz="0" w:space="0" w:color="auto"/>
        <w:right w:val="none" w:sz="0" w:space="0" w:color="auto"/>
      </w:divBdr>
    </w:div>
    <w:div w:id="878585351">
      <w:bodyDiv w:val="1"/>
      <w:marLeft w:val="0"/>
      <w:marRight w:val="0"/>
      <w:marTop w:val="0"/>
      <w:marBottom w:val="0"/>
      <w:divBdr>
        <w:top w:val="none" w:sz="0" w:space="0" w:color="auto"/>
        <w:left w:val="none" w:sz="0" w:space="0" w:color="auto"/>
        <w:bottom w:val="none" w:sz="0" w:space="0" w:color="auto"/>
        <w:right w:val="none" w:sz="0" w:space="0" w:color="auto"/>
      </w:divBdr>
    </w:div>
    <w:div w:id="878855839">
      <w:bodyDiv w:val="1"/>
      <w:marLeft w:val="0"/>
      <w:marRight w:val="0"/>
      <w:marTop w:val="0"/>
      <w:marBottom w:val="0"/>
      <w:divBdr>
        <w:top w:val="none" w:sz="0" w:space="0" w:color="auto"/>
        <w:left w:val="none" w:sz="0" w:space="0" w:color="auto"/>
        <w:bottom w:val="none" w:sz="0" w:space="0" w:color="auto"/>
        <w:right w:val="none" w:sz="0" w:space="0" w:color="auto"/>
      </w:divBdr>
    </w:div>
    <w:div w:id="878981440">
      <w:bodyDiv w:val="1"/>
      <w:marLeft w:val="0"/>
      <w:marRight w:val="0"/>
      <w:marTop w:val="0"/>
      <w:marBottom w:val="0"/>
      <w:divBdr>
        <w:top w:val="none" w:sz="0" w:space="0" w:color="auto"/>
        <w:left w:val="none" w:sz="0" w:space="0" w:color="auto"/>
        <w:bottom w:val="none" w:sz="0" w:space="0" w:color="auto"/>
        <w:right w:val="none" w:sz="0" w:space="0" w:color="auto"/>
      </w:divBdr>
    </w:div>
    <w:div w:id="879245520">
      <w:bodyDiv w:val="1"/>
      <w:marLeft w:val="0"/>
      <w:marRight w:val="0"/>
      <w:marTop w:val="0"/>
      <w:marBottom w:val="0"/>
      <w:divBdr>
        <w:top w:val="none" w:sz="0" w:space="0" w:color="auto"/>
        <w:left w:val="none" w:sz="0" w:space="0" w:color="auto"/>
        <w:bottom w:val="none" w:sz="0" w:space="0" w:color="auto"/>
        <w:right w:val="none" w:sz="0" w:space="0" w:color="auto"/>
      </w:divBdr>
    </w:div>
    <w:div w:id="879319651">
      <w:bodyDiv w:val="1"/>
      <w:marLeft w:val="0"/>
      <w:marRight w:val="0"/>
      <w:marTop w:val="0"/>
      <w:marBottom w:val="0"/>
      <w:divBdr>
        <w:top w:val="none" w:sz="0" w:space="0" w:color="auto"/>
        <w:left w:val="none" w:sz="0" w:space="0" w:color="auto"/>
        <w:bottom w:val="none" w:sz="0" w:space="0" w:color="auto"/>
        <w:right w:val="none" w:sz="0" w:space="0" w:color="auto"/>
      </w:divBdr>
    </w:div>
    <w:div w:id="879511091">
      <w:bodyDiv w:val="1"/>
      <w:marLeft w:val="0"/>
      <w:marRight w:val="0"/>
      <w:marTop w:val="0"/>
      <w:marBottom w:val="0"/>
      <w:divBdr>
        <w:top w:val="none" w:sz="0" w:space="0" w:color="auto"/>
        <w:left w:val="none" w:sz="0" w:space="0" w:color="auto"/>
        <w:bottom w:val="none" w:sz="0" w:space="0" w:color="auto"/>
        <w:right w:val="none" w:sz="0" w:space="0" w:color="auto"/>
      </w:divBdr>
    </w:div>
    <w:div w:id="879516939">
      <w:bodyDiv w:val="1"/>
      <w:marLeft w:val="0"/>
      <w:marRight w:val="0"/>
      <w:marTop w:val="0"/>
      <w:marBottom w:val="0"/>
      <w:divBdr>
        <w:top w:val="none" w:sz="0" w:space="0" w:color="auto"/>
        <w:left w:val="none" w:sz="0" w:space="0" w:color="auto"/>
        <w:bottom w:val="none" w:sz="0" w:space="0" w:color="auto"/>
        <w:right w:val="none" w:sz="0" w:space="0" w:color="auto"/>
      </w:divBdr>
    </w:div>
    <w:div w:id="879778186">
      <w:bodyDiv w:val="1"/>
      <w:marLeft w:val="0"/>
      <w:marRight w:val="0"/>
      <w:marTop w:val="0"/>
      <w:marBottom w:val="0"/>
      <w:divBdr>
        <w:top w:val="none" w:sz="0" w:space="0" w:color="auto"/>
        <w:left w:val="none" w:sz="0" w:space="0" w:color="auto"/>
        <w:bottom w:val="none" w:sz="0" w:space="0" w:color="auto"/>
        <w:right w:val="none" w:sz="0" w:space="0" w:color="auto"/>
      </w:divBdr>
    </w:div>
    <w:div w:id="881139588">
      <w:bodyDiv w:val="1"/>
      <w:marLeft w:val="0"/>
      <w:marRight w:val="0"/>
      <w:marTop w:val="0"/>
      <w:marBottom w:val="0"/>
      <w:divBdr>
        <w:top w:val="none" w:sz="0" w:space="0" w:color="auto"/>
        <w:left w:val="none" w:sz="0" w:space="0" w:color="auto"/>
        <w:bottom w:val="none" w:sz="0" w:space="0" w:color="auto"/>
        <w:right w:val="none" w:sz="0" w:space="0" w:color="auto"/>
      </w:divBdr>
    </w:div>
    <w:div w:id="883833175">
      <w:bodyDiv w:val="1"/>
      <w:marLeft w:val="0"/>
      <w:marRight w:val="0"/>
      <w:marTop w:val="0"/>
      <w:marBottom w:val="0"/>
      <w:divBdr>
        <w:top w:val="none" w:sz="0" w:space="0" w:color="auto"/>
        <w:left w:val="none" w:sz="0" w:space="0" w:color="auto"/>
        <w:bottom w:val="none" w:sz="0" w:space="0" w:color="auto"/>
        <w:right w:val="none" w:sz="0" w:space="0" w:color="auto"/>
      </w:divBdr>
    </w:div>
    <w:div w:id="884029692">
      <w:bodyDiv w:val="1"/>
      <w:marLeft w:val="0"/>
      <w:marRight w:val="0"/>
      <w:marTop w:val="0"/>
      <w:marBottom w:val="0"/>
      <w:divBdr>
        <w:top w:val="none" w:sz="0" w:space="0" w:color="auto"/>
        <w:left w:val="none" w:sz="0" w:space="0" w:color="auto"/>
        <w:bottom w:val="none" w:sz="0" w:space="0" w:color="auto"/>
        <w:right w:val="none" w:sz="0" w:space="0" w:color="auto"/>
      </w:divBdr>
    </w:div>
    <w:div w:id="884103460">
      <w:bodyDiv w:val="1"/>
      <w:marLeft w:val="0"/>
      <w:marRight w:val="0"/>
      <w:marTop w:val="0"/>
      <w:marBottom w:val="0"/>
      <w:divBdr>
        <w:top w:val="none" w:sz="0" w:space="0" w:color="auto"/>
        <w:left w:val="none" w:sz="0" w:space="0" w:color="auto"/>
        <w:bottom w:val="none" w:sz="0" w:space="0" w:color="auto"/>
        <w:right w:val="none" w:sz="0" w:space="0" w:color="auto"/>
      </w:divBdr>
    </w:div>
    <w:div w:id="885720090">
      <w:bodyDiv w:val="1"/>
      <w:marLeft w:val="0"/>
      <w:marRight w:val="0"/>
      <w:marTop w:val="0"/>
      <w:marBottom w:val="0"/>
      <w:divBdr>
        <w:top w:val="none" w:sz="0" w:space="0" w:color="auto"/>
        <w:left w:val="none" w:sz="0" w:space="0" w:color="auto"/>
        <w:bottom w:val="none" w:sz="0" w:space="0" w:color="auto"/>
        <w:right w:val="none" w:sz="0" w:space="0" w:color="auto"/>
      </w:divBdr>
    </w:div>
    <w:div w:id="886718650">
      <w:bodyDiv w:val="1"/>
      <w:marLeft w:val="0"/>
      <w:marRight w:val="0"/>
      <w:marTop w:val="0"/>
      <w:marBottom w:val="0"/>
      <w:divBdr>
        <w:top w:val="none" w:sz="0" w:space="0" w:color="auto"/>
        <w:left w:val="none" w:sz="0" w:space="0" w:color="auto"/>
        <w:bottom w:val="none" w:sz="0" w:space="0" w:color="auto"/>
        <w:right w:val="none" w:sz="0" w:space="0" w:color="auto"/>
      </w:divBdr>
    </w:div>
    <w:div w:id="888537336">
      <w:bodyDiv w:val="1"/>
      <w:marLeft w:val="0"/>
      <w:marRight w:val="0"/>
      <w:marTop w:val="0"/>
      <w:marBottom w:val="0"/>
      <w:divBdr>
        <w:top w:val="none" w:sz="0" w:space="0" w:color="auto"/>
        <w:left w:val="none" w:sz="0" w:space="0" w:color="auto"/>
        <w:bottom w:val="none" w:sz="0" w:space="0" w:color="auto"/>
        <w:right w:val="none" w:sz="0" w:space="0" w:color="auto"/>
      </w:divBdr>
    </w:div>
    <w:div w:id="889683426">
      <w:bodyDiv w:val="1"/>
      <w:marLeft w:val="0"/>
      <w:marRight w:val="0"/>
      <w:marTop w:val="0"/>
      <w:marBottom w:val="0"/>
      <w:divBdr>
        <w:top w:val="none" w:sz="0" w:space="0" w:color="auto"/>
        <w:left w:val="none" w:sz="0" w:space="0" w:color="auto"/>
        <w:bottom w:val="none" w:sz="0" w:space="0" w:color="auto"/>
        <w:right w:val="none" w:sz="0" w:space="0" w:color="auto"/>
      </w:divBdr>
    </w:div>
    <w:div w:id="890653404">
      <w:bodyDiv w:val="1"/>
      <w:marLeft w:val="0"/>
      <w:marRight w:val="0"/>
      <w:marTop w:val="0"/>
      <w:marBottom w:val="0"/>
      <w:divBdr>
        <w:top w:val="none" w:sz="0" w:space="0" w:color="auto"/>
        <w:left w:val="none" w:sz="0" w:space="0" w:color="auto"/>
        <w:bottom w:val="none" w:sz="0" w:space="0" w:color="auto"/>
        <w:right w:val="none" w:sz="0" w:space="0" w:color="auto"/>
      </w:divBdr>
    </w:div>
    <w:div w:id="890847522">
      <w:bodyDiv w:val="1"/>
      <w:marLeft w:val="0"/>
      <w:marRight w:val="0"/>
      <w:marTop w:val="0"/>
      <w:marBottom w:val="0"/>
      <w:divBdr>
        <w:top w:val="none" w:sz="0" w:space="0" w:color="auto"/>
        <w:left w:val="none" w:sz="0" w:space="0" w:color="auto"/>
        <w:bottom w:val="none" w:sz="0" w:space="0" w:color="auto"/>
        <w:right w:val="none" w:sz="0" w:space="0" w:color="auto"/>
      </w:divBdr>
    </w:div>
    <w:div w:id="890849331">
      <w:bodyDiv w:val="1"/>
      <w:marLeft w:val="0"/>
      <w:marRight w:val="0"/>
      <w:marTop w:val="0"/>
      <w:marBottom w:val="0"/>
      <w:divBdr>
        <w:top w:val="none" w:sz="0" w:space="0" w:color="auto"/>
        <w:left w:val="none" w:sz="0" w:space="0" w:color="auto"/>
        <w:bottom w:val="none" w:sz="0" w:space="0" w:color="auto"/>
        <w:right w:val="none" w:sz="0" w:space="0" w:color="auto"/>
      </w:divBdr>
    </w:div>
    <w:div w:id="890919984">
      <w:bodyDiv w:val="1"/>
      <w:marLeft w:val="0"/>
      <w:marRight w:val="0"/>
      <w:marTop w:val="0"/>
      <w:marBottom w:val="0"/>
      <w:divBdr>
        <w:top w:val="none" w:sz="0" w:space="0" w:color="auto"/>
        <w:left w:val="none" w:sz="0" w:space="0" w:color="auto"/>
        <w:bottom w:val="none" w:sz="0" w:space="0" w:color="auto"/>
        <w:right w:val="none" w:sz="0" w:space="0" w:color="auto"/>
      </w:divBdr>
    </w:div>
    <w:div w:id="891380931">
      <w:bodyDiv w:val="1"/>
      <w:marLeft w:val="0"/>
      <w:marRight w:val="0"/>
      <w:marTop w:val="0"/>
      <w:marBottom w:val="0"/>
      <w:divBdr>
        <w:top w:val="none" w:sz="0" w:space="0" w:color="auto"/>
        <w:left w:val="none" w:sz="0" w:space="0" w:color="auto"/>
        <w:bottom w:val="none" w:sz="0" w:space="0" w:color="auto"/>
        <w:right w:val="none" w:sz="0" w:space="0" w:color="auto"/>
      </w:divBdr>
    </w:div>
    <w:div w:id="892156177">
      <w:bodyDiv w:val="1"/>
      <w:marLeft w:val="0"/>
      <w:marRight w:val="0"/>
      <w:marTop w:val="0"/>
      <w:marBottom w:val="0"/>
      <w:divBdr>
        <w:top w:val="none" w:sz="0" w:space="0" w:color="auto"/>
        <w:left w:val="none" w:sz="0" w:space="0" w:color="auto"/>
        <w:bottom w:val="none" w:sz="0" w:space="0" w:color="auto"/>
        <w:right w:val="none" w:sz="0" w:space="0" w:color="auto"/>
      </w:divBdr>
    </w:div>
    <w:div w:id="892422934">
      <w:bodyDiv w:val="1"/>
      <w:marLeft w:val="0"/>
      <w:marRight w:val="0"/>
      <w:marTop w:val="0"/>
      <w:marBottom w:val="0"/>
      <w:divBdr>
        <w:top w:val="none" w:sz="0" w:space="0" w:color="auto"/>
        <w:left w:val="none" w:sz="0" w:space="0" w:color="auto"/>
        <w:bottom w:val="none" w:sz="0" w:space="0" w:color="auto"/>
        <w:right w:val="none" w:sz="0" w:space="0" w:color="auto"/>
      </w:divBdr>
    </w:div>
    <w:div w:id="892499554">
      <w:bodyDiv w:val="1"/>
      <w:marLeft w:val="0"/>
      <w:marRight w:val="0"/>
      <w:marTop w:val="0"/>
      <w:marBottom w:val="0"/>
      <w:divBdr>
        <w:top w:val="none" w:sz="0" w:space="0" w:color="auto"/>
        <w:left w:val="none" w:sz="0" w:space="0" w:color="auto"/>
        <w:bottom w:val="none" w:sz="0" w:space="0" w:color="auto"/>
        <w:right w:val="none" w:sz="0" w:space="0" w:color="auto"/>
      </w:divBdr>
    </w:div>
    <w:div w:id="893152544">
      <w:bodyDiv w:val="1"/>
      <w:marLeft w:val="0"/>
      <w:marRight w:val="0"/>
      <w:marTop w:val="0"/>
      <w:marBottom w:val="0"/>
      <w:divBdr>
        <w:top w:val="none" w:sz="0" w:space="0" w:color="auto"/>
        <w:left w:val="none" w:sz="0" w:space="0" w:color="auto"/>
        <w:bottom w:val="none" w:sz="0" w:space="0" w:color="auto"/>
        <w:right w:val="none" w:sz="0" w:space="0" w:color="auto"/>
      </w:divBdr>
    </w:div>
    <w:div w:id="893928384">
      <w:bodyDiv w:val="1"/>
      <w:marLeft w:val="0"/>
      <w:marRight w:val="0"/>
      <w:marTop w:val="0"/>
      <w:marBottom w:val="0"/>
      <w:divBdr>
        <w:top w:val="none" w:sz="0" w:space="0" w:color="auto"/>
        <w:left w:val="none" w:sz="0" w:space="0" w:color="auto"/>
        <w:bottom w:val="none" w:sz="0" w:space="0" w:color="auto"/>
        <w:right w:val="none" w:sz="0" w:space="0" w:color="auto"/>
      </w:divBdr>
    </w:div>
    <w:div w:id="894006026">
      <w:bodyDiv w:val="1"/>
      <w:marLeft w:val="0"/>
      <w:marRight w:val="0"/>
      <w:marTop w:val="0"/>
      <w:marBottom w:val="0"/>
      <w:divBdr>
        <w:top w:val="none" w:sz="0" w:space="0" w:color="auto"/>
        <w:left w:val="none" w:sz="0" w:space="0" w:color="auto"/>
        <w:bottom w:val="none" w:sz="0" w:space="0" w:color="auto"/>
        <w:right w:val="none" w:sz="0" w:space="0" w:color="auto"/>
      </w:divBdr>
    </w:div>
    <w:div w:id="894698267">
      <w:bodyDiv w:val="1"/>
      <w:marLeft w:val="0"/>
      <w:marRight w:val="0"/>
      <w:marTop w:val="0"/>
      <w:marBottom w:val="0"/>
      <w:divBdr>
        <w:top w:val="none" w:sz="0" w:space="0" w:color="auto"/>
        <w:left w:val="none" w:sz="0" w:space="0" w:color="auto"/>
        <w:bottom w:val="none" w:sz="0" w:space="0" w:color="auto"/>
        <w:right w:val="none" w:sz="0" w:space="0" w:color="auto"/>
      </w:divBdr>
    </w:div>
    <w:div w:id="894899565">
      <w:bodyDiv w:val="1"/>
      <w:marLeft w:val="0"/>
      <w:marRight w:val="0"/>
      <w:marTop w:val="0"/>
      <w:marBottom w:val="0"/>
      <w:divBdr>
        <w:top w:val="none" w:sz="0" w:space="0" w:color="auto"/>
        <w:left w:val="none" w:sz="0" w:space="0" w:color="auto"/>
        <w:bottom w:val="none" w:sz="0" w:space="0" w:color="auto"/>
        <w:right w:val="none" w:sz="0" w:space="0" w:color="auto"/>
      </w:divBdr>
    </w:div>
    <w:div w:id="894970948">
      <w:bodyDiv w:val="1"/>
      <w:marLeft w:val="0"/>
      <w:marRight w:val="0"/>
      <w:marTop w:val="0"/>
      <w:marBottom w:val="0"/>
      <w:divBdr>
        <w:top w:val="none" w:sz="0" w:space="0" w:color="auto"/>
        <w:left w:val="none" w:sz="0" w:space="0" w:color="auto"/>
        <w:bottom w:val="none" w:sz="0" w:space="0" w:color="auto"/>
        <w:right w:val="none" w:sz="0" w:space="0" w:color="auto"/>
      </w:divBdr>
    </w:div>
    <w:div w:id="896548076">
      <w:bodyDiv w:val="1"/>
      <w:marLeft w:val="0"/>
      <w:marRight w:val="0"/>
      <w:marTop w:val="0"/>
      <w:marBottom w:val="0"/>
      <w:divBdr>
        <w:top w:val="none" w:sz="0" w:space="0" w:color="auto"/>
        <w:left w:val="none" w:sz="0" w:space="0" w:color="auto"/>
        <w:bottom w:val="none" w:sz="0" w:space="0" w:color="auto"/>
        <w:right w:val="none" w:sz="0" w:space="0" w:color="auto"/>
      </w:divBdr>
    </w:div>
    <w:div w:id="896817675">
      <w:bodyDiv w:val="1"/>
      <w:marLeft w:val="0"/>
      <w:marRight w:val="0"/>
      <w:marTop w:val="0"/>
      <w:marBottom w:val="0"/>
      <w:divBdr>
        <w:top w:val="none" w:sz="0" w:space="0" w:color="auto"/>
        <w:left w:val="none" w:sz="0" w:space="0" w:color="auto"/>
        <w:bottom w:val="none" w:sz="0" w:space="0" w:color="auto"/>
        <w:right w:val="none" w:sz="0" w:space="0" w:color="auto"/>
      </w:divBdr>
    </w:div>
    <w:div w:id="897130100">
      <w:bodyDiv w:val="1"/>
      <w:marLeft w:val="0"/>
      <w:marRight w:val="0"/>
      <w:marTop w:val="0"/>
      <w:marBottom w:val="0"/>
      <w:divBdr>
        <w:top w:val="none" w:sz="0" w:space="0" w:color="auto"/>
        <w:left w:val="none" w:sz="0" w:space="0" w:color="auto"/>
        <w:bottom w:val="none" w:sz="0" w:space="0" w:color="auto"/>
        <w:right w:val="none" w:sz="0" w:space="0" w:color="auto"/>
      </w:divBdr>
    </w:div>
    <w:div w:id="897284822">
      <w:bodyDiv w:val="1"/>
      <w:marLeft w:val="0"/>
      <w:marRight w:val="0"/>
      <w:marTop w:val="0"/>
      <w:marBottom w:val="0"/>
      <w:divBdr>
        <w:top w:val="none" w:sz="0" w:space="0" w:color="auto"/>
        <w:left w:val="none" w:sz="0" w:space="0" w:color="auto"/>
        <w:bottom w:val="none" w:sz="0" w:space="0" w:color="auto"/>
        <w:right w:val="none" w:sz="0" w:space="0" w:color="auto"/>
      </w:divBdr>
    </w:div>
    <w:div w:id="897744790">
      <w:bodyDiv w:val="1"/>
      <w:marLeft w:val="0"/>
      <w:marRight w:val="0"/>
      <w:marTop w:val="0"/>
      <w:marBottom w:val="0"/>
      <w:divBdr>
        <w:top w:val="none" w:sz="0" w:space="0" w:color="auto"/>
        <w:left w:val="none" w:sz="0" w:space="0" w:color="auto"/>
        <w:bottom w:val="none" w:sz="0" w:space="0" w:color="auto"/>
        <w:right w:val="none" w:sz="0" w:space="0" w:color="auto"/>
      </w:divBdr>
    </w:div>
    <w:div w:id="899445473">
      <w:bodyDiv w:val="1"/>
      <w:marLeft w:val="0"/>
      <w:marRight w:val="0"/>
      <w:marTop w:val="0"/>
      <w:marBottom w:val="0"/>
      <w:divBdr>
        <w:top w:val="none" w:sz="0" w:space="0" w:color="auto"/>
        <w:left w:val="none" w:sz="0" w:space="0" w:color="auto"/>
        <w:bottom w:val="none" w:sz="0" w:space="0" w:color="auto"/>
        <w:right w:val="none" w:sz="0" w:space="0" w:color="auto"/>
      </w:divBdr>
    </w:div>
    <w:div w:id="899511563">
      <w:bodyDiv w:val="1"/>
      <w:marLeft w:val="0"/>
      <w:marRight w:val="0"/>
      <w:marTop w:val="0"/>
      <w:marBottom w:val="0"/>
      <w:divBdr>
        <w:top w:val="none" w:sz="0" w:space="0" w:color="auto"/>
        <w:left w:val="none" w:sz="0" w:space="0" w:color="auto"/>
        <w:bottom w:val="none" w:sz="0" w:space="0" w:color="auto"/>
        <w:right w:val="none" w:sz="0" w:space="0" w:color="auto"/>
      </w:divBdr>
    </w:div>
    <w:div w:id="904218199">
      <w:bodyDiv w:val="1"/>
      <w:marLeft w:val="0"/>
      <w:marRight w:val="0"/>
      <w:marTop w:val="0"/>
      <w:marBottom w:val="0"/>
      <w:divBdr>
        <w:top w:val="none" w:sz="0" w:space="0" w:color="auto"/>
        <w:left w:val="none" w:sz="0" w:space="0" w:color="auto"/>
        <w:bottom w:val="none" w:sz="0" w:space="0" w:color="auto"/>
        <w:right w:val="none" w:sz="0" w:space="0" w:color="auto"/>
      </w:divBdr>
    </w:div>
    <w:div w:id="904338186">
      <w:bodyDiv w:val="1"/>
      <w:marLeft w:val="0"/>
      <w:marRight w:val="0"/>
      <w:marTop w:val="0"/>
      <w:marBottom w:val="0"/>
      <w:divBdr>
        <w:top w:val="none" w:sz="0" w:space="0" w:color="auto"/>
        <w:left w:val="none" w:sz="0" w:space="0" w:color="auto"/>
        <w:bottom w:val="none" w:sz="0" w:space="0" w:color="auto"/>
        <w:right w:val="none" w:sz="0" w:space="0" w:color="auto"/>
      </w:divBdr>
    </w:div>
    <w:div w:id="904953450">
      <w:bodyDiv w:val="1"/>
      <w:marLeft w:val="0"/>
      <w:marRight w:val="0"/>
      <w:marTop w:val="0"/>
      <w:marBottom w:val="0"/>
      <w:divBdr>
        <w:top w:val="none" w:sz="0" w:space="0" w:color="auto"/>
        <w:left w:val="none" w:sz="0" w:space="0" w:color="auto"/>
        <w:bottom w:val="none" w:sz="0" w:space="0" w:color="auto"/>
        <w:right w:val="none" w:sz="0" w:space="0" w:color="auto"/>
      </w:divBdr>
    </w:div>
    <w:div w:id="905147472">
      <w:bodyDiv w:val="1"/>
      <w:marLeft w:val="0"/>
      <w:marRight w:val="0"/>
      <w:marTop w:val="0"/>
      <w:marBottom w:val="0"/>
      <w:divBdr>
        <w:top w:val="none" w:sz="0" w:space="0" w:color="auto"/>
        <w:left w:val="none" w:sz="0" w:space="0" w:color="auto"/>
        <w:bottom w:val="none" w:sz="0" w:space="0" w:color="auto"/>
        <w:right w:val="none" w:sz="0" w:space="0" w:color="auto"/>
      </w:divBdr>
    </w:div>
    <w:div w:id="905459494">
      <w:bodyDiv w:val="1"/>
      <w:marLeft w:val="0"/>
      <w:marRight w:val="0"/>
      <w:marTop w:val="0"/>
      <w:marBottom w:val="0"/>
      <w:divBdr>
        <w:top w:val="none" w:sz="0" w:space="0" w:color="auto"/>
        <w:left w:val="none" w:sz="0" w:space="0" w:color="auto"/>
        <w:bottom w:val="none" w:sz="0" w:space="0" w:color="auto"/>
        <w:right w:val="none" w:sz="0" w:space="0" w:color="auto"/>
      </w:divBdr>
    </w:div>
    <w:div w:id="905647190">
      <w:bodyDiv w:val="1"/>
      <w:marLeft w:val="0"/>
      <w:marRight w:val="0"/>
      <w:marTop w:val="0"/>
      <w:marBottom w:val="0"/>
      <w:divBdr>
        <w:top w:val="none" w:sz="0" w:space="0" w:color="auto"/>
        <w:left w:val="none" w:sz="0" w:space="0" w:color="auto"/>
        <w:bottom w:val="none" w:sz="0" w:space="0" w:color="auto"/>
        <w:right w:val="none" w:sz="0" w:space="0" w:color="auto"/>
      </w:divBdr>
    </w:div>
    <w:div w:id="905651102">
      <w:bodyDiv w:val="1"/>
      <w:marLeft w:val="0"/>
      <w:marRight w:val="0"/>
      <w:marTop w:val="0"/>
      <w:marBottom w:val="0"/>
      <w:divBdr>
        <w:top w:val="none" w:sz="0" w:space="0" w:color="auto"/>
        <w:left w:val="none" w:sz="0" w:space="0" w:color="auto"/>
        <w:bottom w:val="none" w:sz="0" w:space="0" w:color="auto"/>
        <w:right w:val="none" w:sz="0" w:space="0" w:color="auto"/>
      </w:divBdr>
    </w:div>
    <w:div w:id="906694784">
      <w:bodyDiv w:val="1"/>
      <w:marLeft w:val="0"/>
      <w:marRight w:val="0"/>
      <w:marTop w:val="0"/>
      <w:marBottom w:val="0"/>
      <w:divBdr>
        <w:top w:val="none" w:sz="0" w:space="0" w:color="auto"/>
        <w:left w:val="none" w:sz="0" w:space="0" w:color="auto"/>
        <w:bottom w:val="none" w:sz="0" w:space="0" w:color="auto"/>
        <w:right w:val="none" w:sz="0" w:space="0" w:color="auto"/>
      </w:divBdr>
    </w:div>
    <w:div w:id="906768621">
      <w:bodyDiv w:val="1"/>
      <w:marLeft w:val="0"/>
      <w:marRight w:val="0"/>
      <w:marTop w:val="0"/>
      <w:marBottom w:val="0"/>
      <w:divBdr>
        <w:top w:val="none" w:sz="0" w:space="0" w:color="auto"/>
        <w:left w:val="none" w:sz="0" w:space="0" w:color="auto"/>
        <w:bottom w:val="none" w:sz="0" w:space="0" w:color="auto"/>
        <w:right w:val="none" w:sz="0" w:space="0" w:color="auto"/>
      </w:divBdr>
    </w:div>
    <w:div w:id="908151836">
      <w:bodyDiv w:val="1"/>
      <w:marLeft w:val="0"/>
      <w:marRight w:val="0"/>
      <w:marTop w:val="0"/>
      <w:marBottom w:val="0"/>
      <w:divBdr>
        <w:top w:val="none" w:sz="0" w:space="0" w:color="auto"/>
        <w:left w:val="none" w:sz="0" w:space="0" w:color="auto"/>
        <w:bottom w:val="none" w:sz="0" w:space="0" w:color="auto"/>
        <w:right w:val="none" w:sz="0" w:space="0" w:color="auto"/>
      </w:divBdr>
    </w:div>
    <w:div w:id="908420767">
      <w:bodyDiv w:val="1"/>
      <w:marLeft w:val="0"/>
      <w:marRight w:val="0"/>
      <w:marTop w:val="0"/>
      <w:marBottom w:val="0"/>
      <w:divBdr>
        <w:top w:val="none" w:sz="0" w:space="0" w:color="auto"/>
        <w:left w:val="none" w:sz="0" w:space="0" w:color="auto"/>
        <w:bottom w:val="none" w:sz="0" w:space="0" w:color="auto"/>
        <w:right w:val="none" w:sz="0" w:space="0" w:color="auto"/>
      </w:divBdr>
    </w:div>
    <w:div w:id="908660099">
      <w:bodyDiv w:val="1"/>
      <w:marLeft w:val="0"/>
      <w:marRight w:val="0"/>
      <w:marTop w:val="0"/>
      <w:marBottom w:val="0"/>
      <w:divBdr>
        <w:top w:val="none" w:sz="0" w:space="0" w:color="auto"/>
        <w:left w:val="none" w:sz="0" w:space="0" w:color="auto"/>
        <w:bottom w:val="none" w:sz="0" w:space="0" w:color="auto"/>
        <w:right w:val="none" w:sz="0" w:space="0" w:color="auto"/>
      </w:divBdr>
    </w:div>
    <w:div w:id="909078774">
      <w:bodyDiv w:val="1"/>
      <w:marLeft w:val="0"/>
      <w:marRight w:val="0"/>
      <w:marTop w:val="0"/>
      <w:marBottom w:val="0"/>
      <w:divBdr>
        <w:top w:val="none" w:sz="0" w:space="0" w:color="auto"/>
        <w:left w:val="none" w:sz="0" w:space="0" w:color="auto"/>
        <w:bottom w:val="none" w:sz="0" w:space="0" w:color="auto"/>
        <w:right w:val="none" w:sz="0" w:space="0" w:color="auto"/>
      </w:divBdr>
    </w:div>
    <w:div w:id="910850692">
      <w:bodyDiv w:val="1"/>
      <w:marLeft w:val="0"/>
      <w:marRight w:val="0"/>
      <w:marTop w:val="0"/>
      <w:marBottom w:val="0"/>
      <w:divBdr>
        <w:top w:val="none" w:sz="0" w:space="0" w:color="auto"/>
        <w:left w:val="none" w:sz="0" w:space="0" w:color="auto"/>
        <w:bottom w:val="none" w:sz="0" w:space="0" w:color="auto"/>
        <w:right w:val="none" w:sz="0" w:space="0" w:color="auto"/>
      </w:divBdr>
    </w:div>
    <w:div w:id="915162477">
      <w:bodyDiv w:val="1"/>
      <w:marLeft w:val="0"/>
      <w:marRight w:val="0"/>
      <w:marTop w:val="0"/>
      <w:marBottom w:val="0"/>
      <w:divBdr>
        <w:top w:val="none" w:sz="0" w:space="0" w:color="auto"/>
        <w:left w:val="none" w:sz="0" w:space="0" w:color="auto"/>
        <w:bottom w:val="none" w:sz="0" w:space="0" w:color="auto"/>
        <w:right w:val="none" w:sz="0" w:space="0" w:color="auto"/>
      </w:divBdr>
    </w:div>
    <w:div w:id="915940152">
      <w:bodyDiv w:val="1"/>
      <w:marLeft w:val="0"/>
      <w:marRight w:val="0"/>
      <w:marTop w:val="0"/>
      <w:marBottom w:val="0"/>
      <w:divBdr>
        <w:top w:val="none" w:sz="0" w:space="0" w:color="auto"/>
        <w:left w:val="none" w:sz="0" w:space="0" w:color="auto"/>
        <w:bottom w:val="none" w:sz="0" w:space="0" w:color="auto"/>
        <w:right w:val="none" w:sz="0" w:space="0" w:color="auto"/>
      </w:divBdr>
    </w:div>
    <w:div w:id="916092113">
      <w:bodyDiv w:val="1"/>
      <w:marLeft w:val="0"/>
      <w:marRight w:val="0"/>
      <w:marTop w:val="0"/>
      <w:marBottom w:val="0"/>
      <w:divBdr>
        <w:top w:val="none" w:sz="0" w:space="0" w:color="auto"/>
        <w:left w:val="none" w:sz="0" w:space="0" w:color="auto"/>
        <w:bottom w:val="none" w:sz="0" w:space="0" w:color="auto"/>
        <w:right w:val="none" w:sz="0" w:space="0" w:color="auto"/>
      </w:divBdr>
    </w:div>
    <w:div w:id="916476525">
      <w:bodyDiv w:val="1"/>
      <w:marLeft w:val="0"/>
      <w:marRight w:val="0"/>
      <w:marTop w:val="0"/>
      <w:marBottom w:val="0"/>
      <w:divBdr>
        <w:top w:val="none" w:sz="0" w:space="0" w:color="auto"/>
        <w:left w:val="none" w:sz="0" w:space="0" w:color="auto"/>
        <w:bottom w:val="none" w:sz="0" w:space="0" w:color="auto"/>
        <w:right w:val="none" w:sz="0" w:space="0" w:color="auto"/>
      </w:divBdr>
    </w:div>
    <w:div w:id="917329393">
      <w:bodyDiv w:val="1"/>
      <w:marLeft w:val="0"/>
      <w:marRight w:val="0"/>
      <w:marTop w:val="0"/>
      <w:marBottom w:val="0"/>
      <w:divBdr>
        <w:top w:val="none" w:sz="0" w:space="0" w:color="auto"/>
        <w:left w:val="none" w:sz="0" w:space="0" w:color="auto"/>
        <w:bottom w:val="none" w:sz="0" w:space="0" w:color="auto"/>
        <w:right w:val="none" w:sz="0" w:space="0" w:color="auto"/>
      </w:divBdr>
    </w:div>
    <w:div w:id="917596612">
      <w:bodyDiv w:val="1"/>
      <w:marLeft w:val="0"/>
      <w:marRight w:val="0"/>
      <w:marTop w:val="0"/>
      <w:marBottom w:val="0"/>
      <w:divBdr>
        <w:top w:val="none" w:sz="0" w:space="0" w:color="auto"/>
        <w:left w:val="none" w:sz="0" w:space="0" w:color="auto"/>
        <w:bottom w:val="none" w:sz="0" w:space="0" w:color="auto"/>
        <w:right w:val="none" w:sz="0" w:space="0" w:color="auto"/>
      </w:divBdr>
    </w:div>
    <w:div w:id="917982256">
      <w:bodyDiv w:val="1"/>
      <w:marLeft w:val="0"/>
      <w:marRight w:val="0"/>
      <w:marTop w:val="0"/>
      <w:marBottom w:val="0"/>
      <w:divBdr>
        <w:top w:val="none" w:sz="0" w:space="0" w:color="auto"/>
        <w:left w:val="none" w:sz="0" w:space="0" w:color="auto"/>
        <w:bottom w:val="none" w:sz="0" w:space="0" w:color="auto"/>
        <w:right w:val="none" w:sz="0" w:space="0" w:color="auto"/>
      </w:divBdr>
    </w:div>
    <w:div w:id="918056960">
      <w:bodyDiv w:val="1"/>
      <w:marLeft w:val="0"/>
      <w:marRight w:val="0"/>
      <w:marTop w:val="0"/>
      <w:marBottom w:val="0"/>
      <w:divBdr>
        <w:top w:val="none" w:sz="0" w:space="0" w:color="auto"/>
        <w:left w:val="none" w:sz="0" w:space="0" w:color="auto"/>
        <w:bottom w:val="none" w:sz="0" w:space="0" w:color="auto"/>
        <w:right w:val="none" w:sz="0" w:space="0" w:color="auto"/>
      </w:divBdr>
    </w:div>
    <w:div w:id="919097412">
      <w:bodyDiv w:val="1"/>
      <w:marLeft w:val="0"/>
      <w:marRight w:val="0"/>
      <w:marTop w:val="0"/>
      <w:marBottom w:val="0"/>
      <w:divBdr>
        <w:top w:val="none" w:sz="0" w:space="0" w:color="auto"/>
        <w:left w:val="none" w:sz="0" w:space="0" w:color="auto"/>
        <w:bottom w:val="none" w:sz="0" w:space="0" w:color="auto"/>
        <w:right w:val="none" w:sz="0" w:space="0" w:color="auto"/>
      </w:divBdr>
    </w:div>
    <w:div w:id="920411328">
      <w:bodyDiv w:val="1"/>
      <w:marLeft w:val="0"/>
      <w:marRight w:val="0"/>
      <w:marTop w:val="0"/>
      <w:marBottom w:val="0"/>
      <w:divBdr>
        <w:top w:val="none" w:sz="0" w:space="0" w:color="auto"/>
        <w:left w:val="none" w:sz="0" w:space="0" w:color="auto"/>
        <w:bottom w:val="none" w:sz="0" w:space="0" w:color="auto"/>
        <w:right w:val="none" w:sz="0" w:space="0" w:color="auto"/>
      </w:divBdr>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21572343">
      <w:bodyDiv w:val="1"/>
      <w:marLeft w:val="0"/>
      <w:marRight w:val="0"/>
      <w:marTop w:val="0"/>
      <w:marBottom w:val="0"/>
      <w:divBdr>
        <w:top w:val="none" w:sz="0" w:space="0" w:color="auto"/>
        <w:left w:val="none" w:sz="0" w:space="0" w:color="auto"/>
        <w:bottom w:val="none" w:sz="0" w:space="0" w:color="auto"/>
        <w:right w:val="none" w:sz="0" w:space="0" w:color="auto"/>
      </w:divBdr>
    </w:div>
    <w:div w:id="921763879">
      <w:bodyDiv w:val="1"/>
      <w:marLeft w:val="0"/>
      <w:marRight w:val="0"/>
      <w:marTop w:val="0"/>
      <w:marBottom w:val="0"/>
      <w:divBdr>
        <w:top w:val="none" w:sz="0" w:space="0" w:color="auto"/>
        <w:left w:val="none" w:sz="0" w:space="0" w:color="auto"/>
        <w:bottom w:val="none" w:sz="0" w:space="0" w:color="auto"/>
        <w:right w:val="none" w:sz="0" w:space="0" w:color="auto"/>
      </w:divBdr>
    </w:div>
    <w:div w:id="922177702">
      <w:bodyDiv w:val="1"/>
      <w:marLeft w:val="0"/>
      <w:marRight w:val="0"/>
      <w:marTop w:val="0"/>
      <w:marBottom w:val="0"/>
      <w:divBdr>
        <w:top w:val="none" w:sz="0" w:space="0" w:color="auto"/>
        <w:left w:val="none" w:sz="0" w:space="0" w:color="auto"/>
        <w:bottom w:val="none" w:sz="0" w:space="0" w:color="auto"/>
        <w:right w:val="none" w:sz="0" w:space="0" w:color="auto"/>
      </w:divBdr>
    </w:div>
    <w:div w:id="922184416">
      <w:bodyDiv w:val="1"/>
      <w:marLeft w:val="0"/>
      <w:marRight w:val="0"/>
      <w:marTop w:val="0"/>
      <w:marBottom w:val="0"/>
      <w:divBdr>
        <w:top w:val="none" w:sz="0" w:space="0" w:color="auto"/>
        <w:left w:val="none" w:sz="0" w:space="0" w:color="auto"/>
        <w:bottom w:val="none" w:sz="0" w:space="0" w:color="auto"/>
        <w:right w:val="none" w:sz="0" w:space="0" w:color="auto"/>
      </w:divBdr>
    </w:div>
    <w:div w:id="923152057">
      <w:bodyDiv w:val="1"/>
      <w:marLeft w:val="0"/>
      <w:marRight w:val="0"/>
      <w:marTop w:val="0"/>
      <w:marBottom w:val="0"/>
      <w:divBdr>
        <w:top w:val="none" w:sz="0" w:space="0" w:color="auto"/>
        <w:left w:val="none" w:sz="0" w:space="0" w:color="auto"/>
        <w:bottom w:val="none" w:sz="0" w:space="0" w:color="auto"/>
        <w:right w:val="none" w:sz="0" w:space="0" w:color="auto"/>
      </w:divBdr>
    </w:div>
    <w:div w:id="924456737">
      <w:bodyDiv w:val="1"/>
      <w:marLeft w:val="0"/>
      <w:marRight w:val="0"/>
      <w:marTop w:val="0"/>
      <w:marBottom w:val="0"/>
      <w:divBdr>
        <w:top w:val="none" w:sz="0" w:space="0" w:color="auto"/>
        <w:left w:val="none" w:sz="0" w:space="0" w:color="auto"/>
        <w:bottom w:val="none" w:sz="0" w:space="0" w:color="auto"/>
        <w:right w:val="none" w:sz="0" w:space="0" w:color="auto"/>
      </w:divBdr>
    </w:div>
    <w:div w:id="925267794">
      <w:bodyDiv w:val="1"/>
      <w:marLeft w:val="0"/>
      <w:marRight w:val="0"/>
      <w:marTop w:val="0"/>
      <w:marBottom w:val="0"/>
      <w:divBdr>
        <w:top w:val="none" w:sz="0" w:space="0" w:color="auto"/>
        <w:left w:val="none" w:sz="0" w:space="0" w:color="auto"/>
        <w:bottom w:val="none" w:sz="0" w:space="0" w:color="auto"/>
        <w:right w:val="none" w:sz="0" w:space="0" w:color="auto"/>
      </w:divBdr>
    </w:div>
    <w:div w:id="925765376">
      <w:bodyDiv w:val="1"/>
      <w:marLeft w:val="0"/>
      <w:marRight w:val="0"/>
      <w:marTop w:val="0"/>
      <w:marBottom w:val="0"/>
      <w:divBdr>
        <w:top w:val="none" w:sz="0" w:space="0" w:color="auto"/>
        <w:left w:val="none" w:sz="0" w:space="0" w:color="auto"/>
        <w:bottom w:val="none" w:sz="0" w:space="0" w:color="auto"/>
        <w:right w:val="none" w:sz="0" w:space="0" w:color="auto"/>
      </w:divBdr>
    </w:div>
    <w:div w:id="927230607">
      <w:bodyDiv w:val="1"/>
      <w:marLeft w:val="0"/>
      <w:marRight w:val="0"/>
      <w:marTop w:val="0"/>
      <w:marBottom w:val="0"/>
      <w:divBdr>
        <w:top w:val="none" w:sz="0" w:space="0" w:color="auto"/>
        <w:left w:val="none" w:sz="0" w:space="0" w:color="auto"/>
        <w:bottom w:val="none" w:sz="0" w:space="0" w:color="auto"/>
        <w:right w:val="none" w:sz="0" w:space="0" w:color="auto"/>
      </w:divBdr>
    </w:div>
    <w:div w:id="927419515">
      <w:bodyDiv w:val="1"/>
      <w:marLeft w:val="0"/>
      <w:marRight w:val="0"/>
      <w:marTop w:val="0"/>
      <w:marBottom w:val="0"/>
      <w:divBdr>
        <w:top w:val="none" w:sz="0" w:space="0" w:color="auto"/>
        <w:left w:val="none" w:sz="0" w:space="0" w:color="auto"/>
        <w:bottom w:val="none" w:sz="0" w:space="0" w:color="auto"/>
        <w:right w:val="none" w:sz="0" w:space="0" w:color="auto"/>
      </w:divBdr>
    </w:div>
    <w:div w:id="928196584">
      <w:bodyDiv w:val="1"/>
      <w:marLeft w:val="0"/>
      <w:marRight w:val="0"/>
      <w:marTop w:val="0"/>
      <w:marBottom w:val="0"/>
      <w:divBdr>
        <w:top w:val="none" w:sz="0" w:space="0" w:color="auto"/>
        <w:left w:val="none" w:sz="0" w:space="0" w:color="auto"/>
        <w:bottom w:val="none" w:sz="0" w:space="0" w:color="auto"/>
        <w:right w:val="none" w:sz="0" w:space="0" w:color="auto"/>
      </w:divBdr>
    </w:div>
    <w:div w:id="929315324">
      <w:bodyDiv w:val="1"/>
      <w:marLeft w:val="0"/>
      <w:marRight w:val="0"/>
      <w:marTop w:val="0"/>
      <w:marBottom w:val="0"/>
      <w:divBdr>
        <w:top w:val="none" w:sz="0" w:space="0" w:color="auto"/>
        <w:left w:val="none" w:sz="0" w:space="0" w:color="auto"/>
        <w:bottom w:val="none" w:sz="0" w:space="0" w:color="auto"/>
        <w:right w:val="none" w:sz="0" w:space="0" w:color="auto"/>
      </w:divBdr>
    </w:div>
    <w:div w:id="929508411">
      <w:bodyDiv w:val="1"/>
      <w:marLeft w:val="0"/>
      <w:marRight w:val="0"/>
      <w:marTop w:val="0"/>
      <w:marBottom w:val="0"/>
      <w:divBdr>
        <w:top w:val="none" w:sz="0" w:space="0" w:color="auto"/>
        <w:left w:val="none" w:sz="0" w:space="0" w:color="auto"/>
        <w:bottom w:val="none" w:sz="0" w:space="0" w:color="auto"/>
        <w:right w:val="none" w:sz="0" w:space="0" w:color="auto"/>
      </w:divBdr>
    </w:div>
    <w:div w:id="930508456">
      <w:bodyDiv w:val="1"/>
      <w:marLeft w:val="0"/>
      <w:marRight w:val="0"/>
      <w:marTop w:val="0"/>
      <w:marBottom w:val="0"/>
      <w:divBdr>
        <w:top w:val="none" w:sz="0" w:space="0" w:color="auto"/>
        <w:left w:val="none" w:sz="0" w:space="0" w:color="auto"/>
        <w:bottom w:val="none" w:sz="0" w:space="0" w:color="auto"/>
        <w:right w:val="none" w:sz="0" w:space="0" w:color="auto"/>
      </w:divBdr>
    </w:div>
    <w:div w:id="931160900">
      <w:bodyDiv w:val="1"/>
      <w:marLeft w:val="0"/>
      <w:marRight w:val="0"/>
      <w:marTop w:val="0"/>
      <w:marBottom w:val="0"/>
      <w:divBdr>
        <w:top w:val="none" w:sz="0" w:space="0" w:color="auto"/>
        <w:left w:val="none" w:sz="0" w:space="0" w:color="auto"/>
        <w:bottom w:val="none" w:sz="0" w:space="0" w:color="auto"/>
        <w:right w:val="none" w:sz="0" w:space="0" w:color="auto"/>
      </w:divBdr>
    </w:div>
    <w:div w:id="931595777">
      <w:bodyDiv w:val="1"/>
      <w:marLeft w:val="0"/>
      <w:marRight w:val="0"/>
      <w:marTop w:val="0"/>
      <w:marBottom w:val="0"/>
      <w:divBdr>
        <w:top w:val="none" w:sz="0" w:space="0" w:color="auto"/>
        <w:left w:val="none" w:sz="0" w:space="0" w:color="auto"/>
        <w:bottom w:val="none" w:sz="0" w:space="0" w:color="auto"/>
        <w:right w:val="none" w:sz="0" w:space="0" w:color="auto"/>
      </w:divBdr>
    </w:div>
    <w:div w:id="931596103">
      <w:bodyDiv w:val="1"/>
      <w:marLeft w:val="0"/>
      <w:marRight w:val="0"/>
      <w:marTop w:val="0"/>
      <w:marBottom w:val="0"/>
      <w:divBdr>
        <w:top w:val="none" w:sz="0" w:space="0" w:color="auto"/>
        <w:left w:val="none" w:sz="0" w:space="0" w:color="auto"/>
        <w:bottom w:val="none" w:sz="0" w:space="0" w:color="auto"/>
        <w:right w:val="none" w:sz="0" w:space="0" w:color="auto"/>
      </w:divBdr>
    </w:div>
    <w:div w:id="931934595">
      <w:bodyDiv w:val="1"/>
      <w:marLeft w:val="0"/>
      <w:marRight w:val="0"/>
      <w:marTop w:val="0"/>
      <w:marBottom w:val="0"/>
      <w:divBdr>
        <w:top w:val="none" w:sz="0" w:space="0" w:color="auto"/>
        <w:left w:val="none" w:sz="0" w:space="0" w:color="auto"/>
        <w:bottom w:val="none" w:sz="0" w:space="0" w:color="auto"/>
        <w:right w:val="none" w:sz="0" w:space="0" w:color="auto"/>
      </w:divBdr>
    </w:div>
    <w:div w:id="931936275">
      <w:bodyDiv w:val="1"/>
      <w:marLeft w:val="0"/>
      <w:marRight w:val="0"/>
      <w:marTop w:val="0"/>
      <w:marBottom w:val="0"/>
      <w:divBdr>
        <w:top w:val="none" w:sz="0" w:space="0" w:color="auto"/>
        <w:left w:val="none" w:sz="0" w:space="0" w:color="auto"/>
        <w:bottom w:val="none" w:sz="0" w:space="0" w:color="auto"/>
        <w:right w:val="none" w:sz="0" w:space="0" w:color="auto"/>
      </w:divBdr>
    </w:div>
    <w:div w:id="933981390">
      <w:bodyDiv w:val="1"/>
      <w:marLeft w:val="0"/>
      <w:marRight w:val="0"/>
      <w:marTop w:val="0"/>
      <w:marBottom w:val="0"/>
      <w:divBdr>
        <w:top w:val="none" w:sz="0" w:space="0" w:color="auto"/>
        <w:left w:val="none" w:sz="0" w:space="0" w:color="auto"/>
        <w:bottom w:val="none" w:sz="0" w:space="0" w:color="auto"/>
        <w:right w:val="none" w:sz="0" w:space="0" w:color="auto"/>
      </w:divBdr>
    </w:div>
    <w:div w:id="934636699">
      <w:bodyDiv w:val="1"/>
      <w:marLeft w:val="0"/>
      <w:marRight w:val="0"/>
      <w:marTop w:val="0"/>
      <w:marBottom w:val="0"/>
      <w:divBdr>
        <w:top w:val="none" w:sz="0" w:space="0" w:color="auto"/>
        <w:left w:val="none" w:sz="0" w:space="0" w:color="auto"/>
        <w:bottom w:val="none" w:sz="0" w:space="0" w:color="auto"/>
        <w:right w:val="none" w:sz="0" w:space="0" w:color="auto"/>
      </w:divBdr>
    </w:div>
    <w:div w:id="935554059">
      <w:bodyDiv w:val="1"/>
      <w:marLeft w:val="0"/>
      <w:marRight w:val="0"/>
      <w:marTop w:val="0"/>
      <w:marBottom w:val="0"/>
      <w:divBdr>
        <w:top w:val="none" w:sz="0" w:space="0" w:color="auto"/>
        <w:left w:val="none" w:sz="0" w:space="0" w:color="auto"/>
        <w:bottom w:val="none" w:sz="0" w:space="0" w:color="auto"/>
        <w:right w:val="none" w:sz="0" w:space="0" w:color="auto"/>
      </w:divBdr>
    </w:div>
    <w:div w:id="935747990">
      <w:bodyDiv w:val="1"/>
      <w:marLeft w:val="0"/>
      <w:marRight w:val="0"/>
      <w:marTop w:val="0"/>
      <w:marBottom w:val="0"/>
      <w:divBdr>
        <w:top w:val="none" w:sz="0" w:space="0" w:color="auto"/>
        <w:left w:val="none" w:sz="0" w:space="0" w:color="auto"/>
        <w:bottom w:val="none" w:sz="0" w:space="0" w:color="auto"/>
        <w:right w:val="none" w:sz="0" w:space="0" w:color="auto"/>
      </w:divBdr>
    </w:div>
    <w:div w:id="935749964">
      <w:bodyDiv w:val="1"/>
      <w:marLeft w:val="0"/>
      <w:marRight w:val="0"/>
      <w:marTop w:val="0"/>
      <w:marBottom w:val="0"/>
      <w:divBdr>
        <w:top w:val="none" w:sz="0" w:space="0" w:color="auto"/>
        <w:left w:val="none" w:sz="0" w:space="0" w:color="auto"/>
        <w:bottom w:val="none" w:sz="0" w:space="0" w:color="auto"/>
        <w:right w:val="none" w:sz="0" w:space="0" w:color="auto"/>
      </w:divBdr>
    </w:div>
    <w:div w:id="939989184">
      <w:bodyDiv w:val="1"/>
      <w:marLeft w:val="0"/>
      <w:marRight w:val="0"/>
      <w:marTop w:val="0"/>
      <w:marBottom w:val="0"/>
      <w:divBdr>
        <w:top w:val="none" w:sz="0" w:space="0" w:color="auto"/>
        <w:left w:val="none" w:sz="0" w:space="0" w:color="auto"/>
        <w:bottom w:val="none" w:sz="0" w:space="0" w:color="auto"/>
        <w:right w:val="none" w:sz="0" w:space="0" w:color="auto"/>
      </w:divBdr>
    </w:div>
    <w:div w:id="940720725">
      <w:bodyDiv w:val="1"/>
      <w:marLeft w:val="0"/>
      <w:marRight w:val="0"/>
      <w:marTop w:val="0"/>
      <w:marBottom w:val="0"/>
      <w:divBdr>
        <w:top w:val="none" w:sz="0" w:space="0" w:color="auto"/>
        <w:left w:val="none" w:sz="0" w:space="0" w:color="auto"/>
        <w:bottom w:val="none" w:sz="0" w:space="0" w:color="auto"/>
        <w:right w:val="none" w:sz="0" w:space="0" w:color="auto"/>
      </w:divBdr>
    </w:div>
    <w:div w:id="941687231">
      <w:bodyDiv w:val="1"/>
      <w:marLeft w:val="0"/>
      <w:marRight w:val="0"/>
      <w:marTop w:val="0"/>
      <w:marBottom w:val="0"/>
      <w:divBdr>
        <w:top w:val="none" w:sz="0" w:space="0" w:color="auto"/>
        <w:left w:val="none" w:sz="0" w:space="0" w:color="auto"/>
        <w:bottom w:val="none" w:sz="0" w:space="0" w:color="auto"/>
        <w:right w:val="none" w:sz="0" w:space="0" w:color="auto"/>
      </w:divBdr>
    </w:div>
    <w:div w:id="942106664">
      <w:bodyDiv w:val="1"/>
      <w:marLeft w:val="0"/>
      <w:marRight w:val="0"/>
      <w:marTop w:val="0"/>
      <w:marBottom w:val="0"/>
      <w:divBdr>
        <w:top w:val="none" w:sz="0" w:space="0" w:color="auto"/>
        <w:left w:val="none" w:sz="0" w:space="0" w:color="auto"/>
        <w:bottom w:val="none" w:sz="0" w:space="0" w:color="auto"/>
        <w:right w:val="none" w:sz="0" w:space="0" w:color="auto"/>
      </w:divBdr>
    </w:div>
    <w:div w:id="942877083">
      <w:bodyDiv w:val="1"/>
      <w:marLeft w:val="0"/>
      <w:marRight w:val="0"/>
      <w:marTop w:val="0"/>
      <w:marBottom w:val="0"/>
      <w:divBdr>
        <w:top w:val="none" w:sz="0" w:space="0" w:color="auto"/>
        <w:left w:val="none" w:sz="0" w:space="0" w:color="auto"/>
        <w:bottom w:val="none" w:sz="0" w:space="0" w:color="auto"/>
        <w:right w:val="none" w:sz="0" w:space="0" w:color="auto"/>
      </w:divBdr>
    </w:div>
    <w:div w:id="942884793">
      <w:bodyDiv w:val="1"/>
      <w:marLeft w:val="0"/>
      <w:marRight w:val="0"/>
      <w:marTop w:val="0"/>
      <w:marBottom w:val="0"/>
      <w:divBdr>
        <w:top w:val="none" w:sz="0" w:space="0" w:color="auto"/>
        <w:left w:val="none" w:sz="0" w:space="0" w:color="auto"/>
        <w:bottom w:val="none" w:sz="0" w:space="0" w:color="auto"/>
        <w:right w:val="none" w:sz="0" w:space="0" w:color="auto"/>
      </w:divBdr>
    </w:div>
    <w:div w:id="942952855">
      <w:bodyDiv w:val="1"/>
      <w:marLeft w:val="0"/>
      <w:marRight w:val="0"/>
      <w:marTop w:val="0"/>
      <w:marBottom w:val="0"/>
      <w:divBdr>
        <w:top w:val="none" w:sz="0" w:space="0" w:color="auto"/>
        <w:left w:val="none" w:sz="0" w:space="0" w:color="auto"/>
        <w:bottom w:val="none" w:sz="0" w:space="0" w:color="auto"/>
        <w:right w:val="none" w:sz="0" w:space="0" w:color="auto"/>
      </w:divBdr>
    </w:div>
    <w:div w:id="943153091">
      <w:bodyDiv w:val="1"/>
      <w:marLeft w:val="0"/>
      <w:marRight w:val="0"/>
      <w:marTop w:val="0"/>
      <w:marBottom w:val="0"/>
      <w:divBdr>
        <w:top w:val="none" w:sz="0" w:space="0" w:color="auto"/>
        <w:left w:val="none" w:sz="0" w:space="0" w:color="auto"/>
        <w:bottom w:val="none" w:sz="0" w:space="0" w:color="auto"/>
        <w:right w:val="none" w:sz="0" w:space="0" w:color="auto"/>
      </w:divBdr>
    </w:div>
    <w:div w:id="944389503">
      <w:bodyDiv w:val="1"/>
      <w:marLeft w:val="0"/>
      <w:marRight w:val="0"/>
      <w:marTop w:val="0"/>
      <w:marBottom w:val="0"/>
      <w:divBdr>
        <w:top w:val="none" w:sz="0" w:space="0" w:color="auto"/>
        <w:left w:val="none" w:sz="0" w:space="0" w:color="auto"/>
        <w:bottom w:val="none" w:sz="0" w:space="0" w:color="auto"/>
        <w:right w:val="none" w:sz="0" w:space="0" w:color="auto"/>
      </w:divBdr>
    </w:div>
    <w:div w:id="944767640">
      <w:bodyDiv w:val="1"/>
      <w:marLeft w:val="0"/>
      <w:marRight w:val="0"/>
      <w:marTop w:val="0"/>
      <w:marBottom w:val="0"/>
      <w:divBdr>
        <w:top w:val="none" w:sz="0" w:space="0" w:color="auto"/>
        <w:left w:val="none" w:sz="0" w:space="0" w:color="auto"/>
        <w:bottom w:val="none" w:sz="0" w:space="0" w:color="auto"/>
        <w:right w:val="none" w:sz="0" w:space="0" w:color="auto"/>
      </w:divBdr>
    </w:div>
    <w:div w:id="945160838">
      <w:bodyDiv w:val="1"/>
      <w:marLeft w:val="0"/>
      <w:marRight w:val="0"/>
      <w:marTop w:val="0"/>
      <w:marBottom w:val="0"/>
      <w:divBdr>
        <w:top w:val="none" w:sz="0" w:space="0" w:color="auto"/>
        <w:left w:val="none" w:sz="0" w:space="0" w:color="auto"/>
        <w:bottom w:val="none" w:sz="0" w:space="0" w:color="auto"/>
        <w:right w:val="none" w:sz="0" w:space="0" w:color="auto"/>
      </w:divBdr>
    </w:div>
    <w:div w:id="945498046">
      <w:bodyDiv w:val="1"/>
      <w:marLeft w:val="0"/>
      <w:marRight w:val="0"/>
      <w:marTop w:val="0"/>
      <w:marBottom w:val="0"/>
      <w:divBdr>
        <w:top w:val="none" w:sz="0" w:space="0" w:color="auto"/>
        <w:left w:val="none" w:sz="0" w:space="0" w:color="auto"/>
        <w:bottom w:val="none" w:sz="0" w:space="0" w:color="auto"/>
        <w:right w:val="none" w:sz="0" w:space="0" w:color="auto"/>
      </w:divBdr>
    </w:div>
    <w:div w:id="945581242">
      <w:bodyDiv w:val="1"/>
      <w:marLeft w:val="0"/>
      <w:marRight w:val="0"/>
      <w:marTop w:val="0"/>
      <w:marBottom w:val="0"/>
      <w:divBdr>
        <w:top w:val="none" w:sz="0" w:space="0" w:color="auto"/>
        <w:left w:val="none" w:sz="0" w:space="0" w:color="auto"/>
        <w:bottom w:val="none" w:sz="0" w:space="0" w:color="auto"/>
        <w:right w:val="none" w:sz="0" w:space="0" w:color="auto"/>
      </w:divBdr>
    </w:div>
    <w:div w:id="945696162">
      <w:bodyDiv w:val="1"/>
      <w:marLeft w:val="0"/>
      <w:marRight w:val="0"/>
      <w:marTop w:val="0"/>
      <w:marBottom w:val="0"/>
      <w:divBdr>
        <w:top w:val="none" w:sz="0" w:space="0" w:color="auto"/>
        <w:left w:val="none" w:sz="0" w:space="0" w:color="auto"/>
        <w:bottom w:val="none" w:sz="0" w:space="0" w:color="auto"/>
        <w:right w:val="none" w:sz="0" w:space="0" w:color="auto"/>
      </w:divBdr>
    </w:div>
    <w:div w:id="947083234">
      <w:bodyDiv w:val="1"/>
      <w:marLeft w:val="0"/>
      <w:marRight w:val="0"/>
      <w:marTop w:val="0"/>
      <w:marBottom w:val="0"/>
      <w:divBdr>
        <w:top w:val="none" w:sz="0" w:space="0" w:color="auto"/>
        <w:left w:val="none" w:sz="0" w:space="0" w:color="auto"/>
        <w:bottom w:val="none" w:sz="0" w:space="0" w:color="auto"/>
        <w:right w:val="none" w:sz="0" w:space="0" w:color="auto"/>
      </w:divBdr>
    </w:div>
    <w:div w:id="947086828">
      <w:bodyDiv w:val="1"/>
      <w:marLeft w:val="0"/>
      <w:marRight w:val="0"/>
      <w:marTop w:val="0"/>
      <w:marBottom w:val="0"/>
      <w:divBdr>
        <w:top w:val="none" w:sz="0" w:space="0" w:color="auto"/>
        <w:left w:val="none" w:sz="0" w:space="0" w:color="auto"/>
        <w:bottom w:val="none" w:sz="0" w:space="0" w:color="auto"/>
        <w:right w:val="none" w:sz="0" w:space="0" w:color="auto"/>
      </w:divBdr>
    </w:div>
    <w:div w:id="947391151">
      <w:bodyDiv w:val="1"/>
      <w:marLeft w:val="0"/>
      <w:marRight w:val="0"/>
      <w:marTop w:val="0"/>
      <w:marBottom w:val="0"/>
      <w:divBdr>
        <w:top w:val="none" w:sz="0" w:space="0" w:color="auto"/>
        <w:left w:val="none" w:sz="0" w:space="0" w:color="auto"/>
        <w:bottom w:val="none" w:sz="0" w:space="0" w:color="auto"/>
        <w:right w:val="none" w:sz="0" w:space="0" w:color="auto"/>
      </w:divBdr>
    </w:div>
    <w:div w:id="947468081">
      <w:bodyDiv w:val="1"/>
      <w:marLeft w:val="0"/>
      <w:marRight w:val="0"/>
      <w:marTop w:val="0"/>
      <w:marBottom w:val="0"/>
      <w:divBdr>
        <w:top w:val="none" w:sz="0" w:space="0" w:color="auto"/>
        <w:left w:val="none" w:sz="0" w:space="0" w:color="auto"/>
        <w:bottom w:val="none" w:sz="0" w:space="0" w:color="auto"/>
        <w:right w:val="none" w:sz="0" w:space="0" w:color="auto"/>
      </w:divBdr>
    </w:div>
    <w:div w:id="947658634">
      <w:bodyDiv w:val="1"/>
      <w:marLeft w:val="0"/>
      <w:marRight w:val="0"/>
      <w:marTop w:val="0"/>
      <w:marBottom w:val="0"/>
      <w:divBdr>
        <w:top w:val="none" w:sz="0" w:space="0" w:color="auto"/>
        <w:left w:val="none" w:sz="0" w:space="0" w:color="auto"/>
        <w:bottom w:val="none" w:sz="0" w:space="0" w:color="auto"/>
        <w:right w:val="none" w:sz="0" w:space="0" w:color="auto"/>
      </w:divBdr>
    </w:div>
    <w:div w:id="947810468">
      <w:bodyDiv w:val="1"/>
      <w:marLeft w:val="0"/>
      <w:marRight w:val="0"/>
      <w:marTop w:val="0"/>
      <w:marBottom w:val="0"/>
      <w:divBdr>
        <w:top w:val="none" w:sz="0" w:space="0" w:color="auto"/>
        <w:left w:val="none" w:sz="0" w:space="0" w:color="auto"/>
        <w:bottom w:val="none" w:sz="0" w:space="0" w:color="auto"/>
        <w:right w:val="none" w:sz="0" w:space="0" w:color="auto"/>
      </w:divBdr>
    </w:div>
    <w:div w:id="948010018">
      <w:bodyDiv w:val="1"/>
      <w:marLeft w:val="0"/>
      <w:marRight w:val="0"/>
      <w:marTop w:val="0"/>
      <w:marBottom w:val="0"/>
      <w:divBdr>
        <w:top w:val="none" w:sz="0" w:space="0" w:color="auto"/>
        <w:left w:val="none" w:sz="0" w:space="0" w:color="auto"/>
        <w:bottom w:val="none" w:sz="0" w:space="0" w:color="auto"/>
        <w:right w:val="none" w:sz="0" w:space="0" w:color="auto"/>
      </w:divBdr>
    </w:div>
    <w:div w:id="948468602">
      <w:bodyDiv w:val="1"/>
      <w:marLeft w:val="0"/>
      <w:marRight w:val="0"/>
      <w:marTop w:val="0"/>
      <w:marBottom w:val="0"/>
      <w:divBdr>
        <w:top w:val="none" w:sz="0" w:space="0" w:color="auto"/>
        <w:left w:val="none" w:sz="0" w:space="0" w:color="auto"/>
        <w:bottom w:val="none" w:sz="0" w:space="0" w:color="auto"/>
        <w:right w:val="none" w:sz="0" w:space="0" w:color="auto"/>
      </w:divBdr>
      <w:divsChild>
        <w:div w:id="1819030837">
          <w:marLeft w:val="0"/>
          <w:marRight w:val="0"/>
          <w:marTop w:val="0"/>
          <w:marBottom w:val="0"/>
          <w:divBdr>
            <w:top w:val="none" w:sz="0" w:space="0" w:color="auto"/>
            <w:left w:val="none" w:sz="0" w:space="0" w:color="auto"/>
            <w:bottom w:val="none" w:sz="0" w:space="0" w:color="auto"/>
            <w:right w:val="none" w:sz="0" w:space="0" w:color="auto"/>
          </w:divBdr>
        </w:div>
      </w:divsChild>
    </w:div>
    <w:div w:id="949430563">
      <w:bodyDiv w:val="1"/>
      <w:marLeft w:val="0"/>
      <w:marRight w:val="0"/>
      <w:marTop w:val="0"/>
      <w:marBottom w:val="0"/>
      <w:divBdr>
        <w:top w:val="none" w:sz="0" w:space="0" w:color="auto"/>
        <w:left w:val="none" w:sz="0" w:space="0" w:color="auto"/>
        <w:bottom w:val="none" w:sz="0" w:space="0" w:color="auto"/>
        <w:right w:val="none" w:sz="0" w:space="0" w:color="auto"/>
      </w:divBdr>
    </w:div>
    <w:div w:id="950820521">
      <w:bodyDiv w:val="1"/>
      <w:marLeft w:val="0"/>
      <w:marRight w:val="0"/>
      <w:marTop w:val="0"/>
      <w:marBottom w:val="0"/>
      <w:divBdr>
        <w:top w:val="none" w:sz="0" w:space="0" w:color="auto"/>
        <w:left w:val="none" w:sz="0" w:space="0" w:color="auto"/>
        <w:bottom w:val="none" w:sz="0" w:space="0" w:color="auto"/>
        <w:right w:val="none" w:sz="0" w:space="0" w:color="auto"/>
      </w:divBdr>
    </w:div>
    <w:div w:id="951017999">
      <w:bodyDiv w:val="1"/>
      <w:marLeft w:val="0"/>
      <w:marRight w:val="0"/>
      <w:marTop w:val="0"/>
      <w:marBottom w:val="0"/>
      <w:divBdr>
        <w:top w:val="none" w:sz="0" w:space="0" w:color="auto"/>
        <w:left w:val="none" w:sz="0" w:space="0" w:color="auto"/>
        <w:bottom w:val="none" w:sz="0" w:space="0" w:color="auto"/>
        <w:right w:val="none" w:sz="0" w:space="0" w:color="auto"/>
      </w:divBdr>
    </w:div>
    <w:div w:id="952135460">
      <w:bodyDiv w:val="1"/>
      <w:marLeft w:val="0"/>
      <w:marRight w:val="0"/>
      <w:marTop w:val="0"/>
      <w:marBottom w:val="0"/>
      <w:divBdr>
        <w:top w:val="none" w:sz="0" w:space="0" w:color="auto"/>
        <w:left w:val="none" w:sz="0" w:space="0" w:color="auto"/>
        <w:bottom w:val="none" w:sz="0" w:space="0" w:color="auto"/>
        <w:right w:val="none" w:sz="0" w:space="0" w:color="auto"/>
      </w:divBdr>
    </w:div>
    <w:div w:id="955521777">
      <w:bodyDiv w:val="1"/>
      <w:marLeft w:val="0"/>
      <w:marRight w:val="0"/>
      <w:marTop w:val="0"/>
      <w:marBottom w:val="0"/>
      <w:divBdr>
        <w:top w:val="none" w:sz="0" w:space="0" w:color="auto"/>
        <w:left w:val="none" w:sz="0" w:space="0" w:color="auto"/>
        <w:bottom w:val="none" w:sz="0" w:space="0" w:color="auto"/>
        <w:right w:val="none" w:sz="0" w:space="0" w:color="auto"/>
      </w:divBdr>
    </w:div>
    <w:div w:id="955596396">
      <w:bodyDiv w:val="1"/>
      <w:marLeft w:val="0"/>
      <w:marRight w:val="0"/>
      <w:marTop w:val="0"/>
      <w:marBottom w:val="0"/>
      <w:divBdr>
        <w:top w:val="none" w:sz="0" w:space="0" w:color="auto"/>
        <w:left w:val="none" w:sz="0" w:space="0" w:color="auto"/>
        <w:bottom w:val="none" w:sz="0" w:space="0" w:color="auto"/>
        <w:right w:val="none" w:sz="0" w:space="0" w:color="auto"/>
      </w:divBdr>
    </w:div>
    <w:div w:id="956445028">
      <w:bodyDiv w:val="1"/>
      <w:marLeft w:val="0"/>
      <w:marRight w:val="0"/>
      <w:marTop w:val="0"/>
      <w:marBottom w:val="0"/>
      <w:divBdr>
        <w:top w:val="none" w:sz="0" w:space="0" w:color="auto"/>
        <w:left w:val="none" w:sz="0" w:space="0" w:color="auto"/>
        <w:bottom w:val="none" w:sz="0" w:space="0" w:color="auto"/>
        <w:right w:val="none" w:sz="0" w:space="0" w:color="auto"/>
      </w:divBdr>
    </w:div>
    <w:div w:id="956644566">
      <w:bodyDiv w:val="1"/>
      <w:marLeft w:val="0"/>
      <w:marRight w:val="0"/>
      <w:marTop w:val="0"/>
      <w:marBottom w:val="0"/>
      <w:divBdr>
        <w:top w:val="none" w:sz="0" w:space="0" w:color="auto"/>
        <w:left w:val="none" w:sz="0" w:space="0" w:color="auto"/>
        <w:bottom w:val="none" w:sz="0" w:space="0" w:color="auto"/>
        <w:right w:val="none" w:sz="0" w:space="0" w:color="auto"/>
      </w:divBdr>
    </w:div>
    <w:div w:id="958801214">
      <w:bodyDiv w:val="1"/>
      <w:marLeft w:val="0"/>
      <w:marRight w:val="0"/>
      <w:marTop w:val="0"/>
      <w:marBottom w:val="0"/>
      <w:divBdr>
        <w:top w:val="none" w:sz="0" w:space="0" w:color="auto"/>
        <w:left w:val="none" w:sz="0" w:space="0" w:color="auto"/>
        <w:bottom w:val="none" w:sz="0" w:space="0" w:color="auto"/>
        <w:right w:val="none" w:sz="0" w:space="0" w:color="auto"/>
      </w:divBdr>
    </w:div>
    <w:div w:id="960380518">
      <w:bodyDiv w:val="1"/>
      <w:marLeft w:val="0"/>
      <w:marRight w:val="0"/>
      <w:marTop w:val="0"/>
      <w:marBottom w:val="0"/>
      <w:divBdr>
        <w:top w:val="none" w:sz="0" w:space="0" w:color="auto"/>
        <w:left w:val="none" w:sz="0" w:space="0" w:color="auto"/>
        <w:bottom w:val="none" w:sz="0" w:space="0" w:color="auto"/>
        <w:right w:val="none" w:sz="0" w:space="0" w:color="auto"/>
      </w:divBdr>
    </w:div>
    <w:div w:id="960955880">
      <w:bodyDiv w:val="1"/>
      <w:marLeft w:val="0"/>
      <w:marRight w:val="0"/>
      <w:marTop w:val="0"/>
      <w:marBottom w:val="0"/>
      <w:divBdr>
        <w:top w:val="none" w:sz="0" w:space="0" w:color="auto"/>
        <w:left w:val="none" w:sz="0" w:space="0" w:color="auto"/>
        <w:bottom w:val="none" w:sz="0" w:space="0" w:color="auto"/>
        <w:right w:val="none" w:sz="0" w:space="0" w:color="auto"/>
      </w:divBdr>
    </w:div>
    <w:div w:id="960962178">
      <w:bodyDiv w:val="1"/>
      <w:marLeft w:val="0"/>
      <w:marRight w:val="0"/>
      <w:marTop w:val="0"/>
      <w:marBottom w:val="0"/>
      <w:divBdr>
        <w:top w:val="none" w:sz="0" w:space="0" w:color="auto"/>
        <w:left w:val="none" w:sz="0" w:space="0" w:color="auto"/>
        <w:bottom w:val="none" w:sz="0" w:space="0" w:color="auto"/>
        <w:right w:val="none" w:sz="0" w:space="0" w:color="auto"/>
      </w:divBdr>
    </w:div>
    <w:div w:id="961427032">
      <w:bodyDiv w:val="1"/>
      <w:marLeft w:val="0"/>
      <w:marRight w:val="0"/>
      <w:marTop w:val="0"/>
      <w:marBottom w:val="0"/>
      <w:divBdr>
        <w:top w:val="none" w:sz="0" w:space="0" w:color="auto"/>
        <w:left w:val="none" w:sz="0" w:space="0" w:color="auto"/>
        <w:bottom w:val="none" w:sz="0" w:space="0" w:color="auto"/>
        <w:right w:val="none" w:sz="0" w:space="0" w:color="auto"/>
      </w:divBdr>
    </w:div>
    <w:div w:id="961544600">
      <w:bodyDiv w:val="1"/>
      <w:marLeft w:val="0"/>
      <w:marRight w:val="0"/>
      <w:marTop w:val="0"/>
      <w:marBottom w:val="0"/>
      <w:divBdr>
        <w:top w:val="none" w:sz="0" w:space="0" w:color="auto"/>
        <w:left w:val="none" w:sz="0" w:space="0" w:color="auto"/>
        <w:bottom w:val="none" w:sz="0" w:space="0" w:color="auto"/>
        <w:right w:val="none" w:sz="0" w:space="0" w:color="auto"/>
      </w:divBdr>
    </w:div>
    <w:div w:id="962269885">
      <w:bodyDiv w:val="1"/>
      <w:marLeft w:val="0"/>
      <w:marRight w:val="0"/>
      <w:marTop w:val="0"/>
      <w:marBottom w:val="0"/>
      <w:divBdr>
        <w:top w:val="none" w:sz="0" w:space="0" w:color="auto"/>
        <w:left w:val="none" w:sz="0" w:space="0" w:color="auto"/>
        <w:bottom w:val="none" w:sz="0" w:space="0" w:color="auto"/>
        <w:right w:val="none" w:sz="0" w:space="0" w:color="auto"/>
      </w:divBdr>
    </w:div>
    <w:div w:id="962619491">
      <w:bodyDiv w:val="1"/>
      <w:marLeft w:val="0"/>
      <w:marRight w:val="0"/>
      <w:marTop w:val="0"/>
      <w:marBottom w:val="0"/>
      <w:divBdr>
        <w:top w:val="none" w:sz="0" w:space="0" w:color="auto"/>
        <w:left w:val="none" w:sz="0" w:space="0" w:color="auto"/>
        <w:bottom w:val="none" w:sz="0" w:space="0" w:color="auto"/>
        <w:right w:val="none" w:sz="0" w:space="0" w:color="auto"/>
      </w:divBdr>
    </w:div>
    <w:div w:id="962811280">
      <w:bodyDiv w:val="1"/>
      <w:marLeft w:val="0"/>
      <w:marRight w:val="0"/>
      <w:marTop w:val="0"/>
      <w:marBottom w:val="0"/>
      <w:divBdr>
        <w:top w:val="none" w:sz="0" w:space="0" w:color="auto"/>
        <w:left w:val="none" w:sz="0" w:space="0" w:color="auto"/>
        <w:bottom w:val="none" w:sz="0" w:space="0" w:color="auto"/>
        <w:right w:val="none" w:sz="0" w:space="0" w:color="auto"/>
      </w:divBdr>
    </w:div>
    <w:div w:id="963005416">
      <w:bodyDiv w:val="1"/>
      <w:marLeft w:val="0"/>
      <w:marRight w:val="0"/>
      <w:marTop w:val="0"/>
      <w:marBottom w:val="0"/>
      <w:divBdr>
        <w:top w:val="none" w:sz="0" w:space="0" w:color="auto"/>
        <w:left w:val="none" w:sz="0" w:space="0" w:color="auto"/>
        <w:bottom w:val="none" w:sz="0" w:space="0" w:color="auto"/>
        <w:right w:val="none" w:sz="0" w:space="0" w:color="auto"/>
      </w:divBdr>
    </w:div>
    <w:div w:id="963923762">
      <w:bodyDiv w:val="1"/>
      <w:marLeft w:val="0"/>
      <w:marRight w:val="0"/>
      <w:marTop w:val="0"/>
      <w:marBottom w:val="0"/>
      <w:divBdr>
        <w:top w:val="none" w:sz="0" w:space="0" w:color="auto"/>
        <w:left w:val="none" w:sz="0" w:space="0" w:color="auto"/>
        <w:bottom w:val="none" w:sz="0" w:space="0" w:color="auto"/>
        <w:right w:val="none" w:sz="0" w:space="0" w:color="auto"/>
      </w:divBdr>
    </w:div>
    <w:div w:id="964122765">
      <w:bodyDiv w:val="1"/>
      <w:marLeft w:val="0"/>
      <w:marRight w:val="0"/>
      <w:marTop w:val="0"/>
      <w:marBottom w:val="0"/>
      <w:divBdr>
        <w:top w:val="none" w:sz="0" w:space="0" w:color="auto"/>
        <w:left w:val="none" w:sz="0" w:space="0" w:color="auto"/>
        <w:bottom w:val="none" w:sz="0" w:space="0" w:color="auto"/>
        <w:right w:val="none" w:sz="0" w:space="0" w:color="auto"/>
      </w:divBdr>
    </w:div>
    <w:div w:id="965501782">
      <w:bodyDiv w:val="1"/>
      <w:marLeft w:val="0"/>
      <w:marRight w:val="0"/>
      <w:marTop w:val="0"/>
      <w:marBottom w:val="0"/>
      <w:divBdr>
        <w:top w:val="none" w:sz="0" w:space="0" w:color="auto"/>
        <w:left w:val="none" w:sz="0" w:space="0" w:color="auto"/>
        <w:bottom w:val="none" w:sz="0" w:space="0" w:color="auto"/>
        <w:right w:val="none" w:sz="0" w:space="0" w:color="auto"/>
      </w:divBdr>
    </w:div>
    <w:div w:id="966278721">
      <w:bodyDiv w:val="1"/>
      <w:marLeft w:val="0"/>
      <w:marRight w:val="0"/>
      <w:marTop w:val="0"/>
      <w:marBottom w:val="0"/>
      <w:divBdr>
        <w:top w:val="none" w:sz="0" w:space="0" w:color="auto"/>
        <w:left w:val="none" w:sz="0" w:space="0" w:color="auto"/>
        <w:bottom w:val="none" w:sz="0" w:space="0" w:color="auto"/>
        <w:right w:val="none" w:sz="0" w:space="0" w:color="auto"/>
      </w:divBdr>
    </w:div>
    <w:div w:id="966856341">
      <w:bodyDiv w:val="1"/>
      <w:marLeft w:val="0"/>
      <w:marRight w:val="0"/>
      <w:marTop w:val="0"/>
      <w:marBottom w:val="0"/>
      <w:divBdr>
        <w:top w:val="none" w:sz="0" w:space="0" w:color="auto"/>
        <w:left w:val="none" w:sz="0" w:space="0" w:color="auto"/>
        <w:bottom w:val="none" w:sz="0" w:space="0" w:color="auto"/>
        <w:right w:val="none" w:sz="0" w:space="0" w:color="auto"/>
      </w:divBdr>
    </w:div>
    <w:div w:id="967470905">
      <w:bodyDiv w:val="1"/>
      <w:marLeft w:val="0"/>
      <w:marRight w:val="0"/>
      <w:marTop w:val="0"/>
      <w:marBottom w:val="0"/>
      <w:divBdr>
        <w:top w:val="none" w:sz="0" w:space="0" w:color="auto"/>
        <w:left w:val="none" w:sz="0" w:space="0" w:color="auto"/>
        <w:bottom w:val="none" w:sz="0" w:space="0" w:color="auto"/>
        <w:right w:val="none" w:sz="0" w:space="0" w:color="auto"/>
      </w:divBdr>
    </w:div>
    <w:div w:id="967706866">
      <w:bodyDiv w:val="1"/>
      <w:marLeft w:val="0"/>
      <w:marRight w:val="0"/>
      <w:marTop w:val="0"/>
      <w:marBottom w:val="0"/>
      <w:divBdr>
        <w:top w:val="none" w:sz="0" w:space="0" w:color="auto"/>
        <w:left w:val="none" w:sz="0" w:space="0" w:color="auto"/>
        <w:bottom w:val="none" w:sz="0" w:space="0" w:color="auto"/>
        <w:right w:val="none" w:sz="0" w:space="0" w:color="auto"/>
      </w:divBdr>
    </w:div>
    <w:div w:id="970789844">
      <w:bodyDiv w:val="1"/>
      <w:marLeft w:val="0"/>
      <w:marRight w:val="0"/>
      <w:marTop w:val="0"/>
      <w:marBottom w:val="0"/>
      <w:divBdr>
        <w:top w:val="none" w:sz="0" w:space="0" w:color="auto"/>
        <w:left w:val="none" w:sz="0" w:space="0" w:color="auto"/>
        <w:bottom w:val="none" w:sz="0" w:space="0" w:color="auto"/>
        <w:right w:val="none" w:sz="0" w:space="0" w:color="auto"/>
      </w:divBdr>
    </w:div>
    <w:div w:id="970868989">
      <w:bodyDiv w:val="1"/>
      <w:marLeft w:val="0"/>
      <w:marRight w:val="0"/>
      <w:marTop w:val="0"/>
      <w:marBottom w:val="0"/>
      <w:divBdr>
        <w:top w:val="none" w:sz="0" w:space="0" w:color="auto"/>
        <w:left w:val="none" w:sz="0" w:space="0" w:color="auto"/>
        <w:bottom w:val="none" w:sz="0" w:space="0" w:color="auto"/>
        <w:right w:val="none" w:sz="0" w:space="0" w:color="auto"/>
      </w:divBdr>
    </w:div>
    <w:div w:id="971136722">
      <w:bodyDiv w:val="1"/>
      <w:marLeft w:val="0"/>
      <w:marRight w:val="0"/>
      <w:marTop w:val="0"/>
      <w:marBottom w:val="0"/>
      <w:divBdr>
        <w:top w:val="none" w:sz="0" w:space="0" w:color="auto"/>
        <w:left w:val="none" w:sz="0" w:space="0" w:color="auto"/>
        <w:bottom w:val="none" w:sz="0" w:space="0" w:color="auto"/>
        <w:right w:val="none" w:sz="0" w:space="0" w:color="auto"/>
      </w:divBdr>
    </w:div>
    <w:div w:id="971137918">
      <w:bodyDiv w:val="1"/>
      <w:marLeft w:val="0"/>
      <w:marRight w:val="0"/>
      <w:marTop w:val="0"/>
      <w:marBottom w:val="0"/>
      <w:divBdr>
        <w:top w:val="none" w:sz="0" w:space="0" w:color="auto"/>
        <w:left w:val="none" w:sz="0" w:space="0" w:color="auto"/>
        <w:bottom w:val="none" w:sz="0" w:space="0" w:color="auto"/>
        <w:right w:val="none" w:sz="0" w:space="0" w:color="auto"/>
      </w:divBdr>
    </w:div>
    <w:div w:id="971901926">
      <w:bodyDiv w:val="1"/>
      <w:marLeft w:val="0"/>
      <w:marRight w:val="0"/>
      <w:marTop w:val="0"/>
      <w:marBottom w:val="0"/>
      <w:divBdr>
        <w:top w:val="none" w:sz="0" w:space="0" w:color="auto"/>
        <w:left w:val="none" w:sz="0" w:space="0" w:color="auto"/>
        <w:bottom w:val="none" w:sz="0" w:space="0" w:color="auto"/>
        <w:right w:val="none" w:sz="0" w:space="0" w:color="auto"/>
      </w:divBdr>
    </w:div>
    <w:div w:id="971980084">
      <w:bodyDiv w:val="1"/>
      <w:marLeft w:val="0"/>
      <w:marRight w:val="0"/>
      <w:marTop w:val="0"/>
      <w:marBottom w:val="0"/>
      <w:divBdr>
        <w:top w:val="none" w:sz="0" w:space="0" w:color="auto"/>
        <w:left w:val="none" w:sz="0" w:space="0" w:color="auto"/>
        <w:bottom w:val="none" w:sz="0" w:space="0" w:color="auto"/>
        <w:right w:val="none" w:sz="0" w:space="0" w:color="auto"/>
      </w:divBdr>
    </w:div>
    <w:div w:id="973104026">
      <w:bodyDiv w:val="1"/>
      <w:marLeft w:val="0"/>
      <w:marRight w:val="0"/>
      <w:marTop w:val="0"/>
      <w:marBottom w:val="0"/>
      <w:divBdr>
        <w:top w:val="none" w:sz="0" w:space="0" w:color="auto"/>
        <w:left w:val="none" w:sz="0" w:space="0" w:color="auto"/>
        <w:bottom w:val="none" w:sz="0" w:space="0" w:color="auto"/>
        <w:right w:val="none" w:sz="0" w:space="0" w:color="auto"/>
      </w:divBdr>
    </w:div>
    <w:div w:id="973218401">
      <w:bodyDiv w:val="1"/>
      <w:marLeft w:val="0"/>
      <w:marRight w:val="0"/>
      <w:marTop w:val="0"/>
      <w:marBottom w:val="0"/>
      <w:divBdr>
        <w:top w:val="none" w:sz="0" w:space="0" w:color="auto"/>
        <w:left w:val="none" w:sz="0" w:space="0" w:color="auto"/>
        <w:bottom w:val="none" w:sz="0" w:space="0" w:color="auto"/>
        <w:right w:val="none" w:sz="0" w:space="0" w:color="auto"/>
      </w:divBdr>
    </w:div>
    <w:div w:id="973483343">
      <w:bodyDiv w:val="1"/>
      <w:marLeft w:val="0"/>
      <w:marRight w:val="0"/>
      <w:marTop w:val="0"/>
      <w:marBottom w:val="0"/>
      <w:divBdr>
        <w:top w:val="none" w:sz="0" w:space="0" w:color="auto"/>
        <w:left w:val="none" w:sz="0" w:space="0" w:color="auto"/>
        <w:bottom w:val="none" w:sz="0" w:space="0" w:color="auto"/>
        <w:right w:val="none" w:sz="0" w:space="0" w:color="auto"/>
      </w:divBdr>
    </w:div>
    <w:div w:id="974144386">
      <w:bodyDiv w:val="1"/>
      <w:marLeft w:val="0"/>
      <w:marRight w:val="0"/>
      <w:marTop w:val="0"/>
      <w:marBottom w:val="0"/>
      <w:divBdr>
        <w:top w:val="none" w:sz="0" w:space="0" w:color="auto"/>
        <w:left w:val="none" w:sz="0" w:space="0" w:color="auto"/>
        <w:bottom w:val="none" w:sz="0" w:space="0" w:color="auto"/>
        <w:right w:val="none" w:sz="0" w:space="0" w:color="auto"/>
      </w:divBdr>
    </w:div>
    <w:div w:id="975061535">
      <w:bodyDiv w:val="1"/>
      <w:marLeft w:val="0"/>
      <w:marRight w:val="0"/>
      <w:marTop w:val="0"/>
      <w:marBottom w:val="0"/>
      <w:divBdr>
        <w:top w:val="none" w:sz="0" w:space="0" w:color="auto"/>
        <w:left w:val="none" w:sz="0" w:space="0" w:color="auto"/>
        <w:bottom w:val="none" w:sz="0" w:space="0" w:color="auto"/>
        <w:right w:val="none" w:sz="0" w:space="0" w:color="auto"/>
      </w:divBdr>
    </w:div>
    <w:div w:id="975067167">
      <w:bodyDiv w:val="1"/>
      <w:marLeft w:val="0"/>
      <w:marRight w:val="0"/>
      <w:marTop w:val="0"/>
      <w:marBottom w:val="0"/>
      <w:divBdr>
        <w:top w:val="none" w:sz="0" w:space="0" w:color="auto"/>
        <w:left w:val="none" w:sz="0" w:space="0" w:color="auto"/>
        <w:bottom w:val="none" w:sz="0" w:space="0" w:color="auto"/>
        <w:right w:val="none" w:sz="0" w:space="0" w:color="auto"/>
      </w:divBdr>
    </w:div>
    <w:div w:id="975179560">
      <w:bodyDiv w:val="1"/>
      <w:marLeft w:val="0"/>
      <w:marRight w:val="0"/>
      <w:marTop w:val="0"/>
      <w:marBottom w:val="0"/>
      <w:divBdr>
        <w:top w:val="none" w:sz="0" w:space="0" w:color="auto"/>
        <w:left w:val="none" w:sz="0" w:space="0" w:color="auto"/>
        <w:bottom w:val="none" w:sz="0" w:space="0" w:color="auto"/>
        <w:right w:val="none" w:sz="0" w:space="0" w:color="auto"/>
      </w:divBdr>
    </w:div>
    <w:div w:id="975642570">
      <w:bodyDiv w:val="1"/>
      <w:marLeft w:val="0"/>
      <w:marRight w:val="0"/>
      <w:marTop w:val="0"/>
      <w:marBottom w:val="0"/>
      <w:divBdr>
        <w:top w:val="none" w:sz="0" w:space="0" w:color="auto"/>
        <w:left w:val="none" w:sz="0" w:space="0" w:color="auto"/>
        <w:bottom w:val="none" w:sz="0" w:space="0" w:color="auto"/>
        <w:right w:val="none" w:sz="0" w:space="0" w:color="auto"/>
      </w:divBdr>
    </w:div>
    <w:div w:id="976225666">
      <w:bodyDiv w:val="1"/>
      <w:marLeft w:val="0"/>
      <w:marRight w:val="0"/>
      <w:marTop w:val="0"/>
      <w:marBottom w:val="0"/>
      <w:divBdr>
        <w:top w:val="none" w:sz="0" w:space="0" w:color="auto"/>
        <w:left w:val="none" w:sz="0" w:space="0" w:color="auto"/>
        <w:bottom w:val="none" w:sz="0" w:space="0" w:color="auto"/>
        <w:right w:val="none" w:sz="0" w:space="0" w:color="auto"/>
      </w:divBdr>
    </w:div>
    <w:div w:id="976568920">
      <w:bodyDiv w:val="1"/>
      <w:marLeft w:val="0"/>
      <w:marRight w:val="0"/>
      <w:marTop w:val="0"/>
      <w:marBottom w:val="0"/>
      <w:divBdr>
        <w:top w:val="none" w:sz="0" w:space="0" w:color="auto"/>
        <w:left w:val="none" w:sz="0" w:space="0" w:color="auto"/>
        <w:bottom w:val="none" w:sz="0" w:space="0" w:color="auto"/>
        <w:right w:val="none" w:sz="0" w:space="0" w:color="auto"/>
      </w:divBdr>
    </w:div>
    <w:div w:id="977027781">
      <w:bodyDiv w:val="1"/>
      <w:marLeft w:val="0"/>
      <w:marRight w:val="0"/>
      <w:marTop w:val="0"/>
      <w:marBottom w:val="0"/>
      <w:divBdr>
        <w:top w:val="none" w:sz="0" w:space="0" w:color="auto"/>
        <w:left w:val="none" w:sz="0" w:space="0" w:color="auto"/>
        <w:bottom w:val="none" w:sz="0" w:space="0" w:color="auto"/>
        <w:right w:val="none" w:sz="0" w:space="0" w:color="auto"/>
      </w:divBdr>
    </w:div>
    <w:div w:id="977227004">
      <w:bodyDiv w:val="1"/>
      <w:marLeft w:val="0"/>
      <w:marRight w:val="0"/>
      <w:marTop w:val="0"/>
      <w:marBottom w:val="0"/>
      <w:divBdr>
        <w:top w:val="none" w:sz="0" w:space="0" w:color="auto"/>
        <w:left w:val="none" w:sz="0" w:space="0" w:color="auto"/>
        <w:bottom w:val="none" w:sz="0" w:space="0" w:color="auto"/>
        <w:right w:val="none" w:sz="0" w:space="0" w:color="auto"/>
      </w:divBdr>
    </w:div>
    <w:div w:id="977689771">
      <w:bodyDiv w:val="1"/>
      <w:marLeft w:val="0"/>
      <w:marRight w:val="0"/>
      <w:marTop w:val="0"/>
      <w:marBottom w:val="0"/>
      <w:divBdr>
        <w:top w:val="none" w:sz="0" w:space="0" w:color="auto"/>
        <w:left w:val="none" w:sz="0" w:space="0" w:color="auto"/>
        <w:bottom w:val="none" w:sz="0" w:space="0" w:color="auto"/>
        <w:right w:val="none" w:sz="0" w:space="0" w:color="auto"/>
      </w:divBdr>
    </w:div>
    <w:div w:id="978337719">
      <w:bodyDiv w:val="1"/>
      <w:marLeft w:val="0"/>
      <w:marRight w:val="0"/>
      <w:marTop w:val="0"/>
      <w:marBottom w:val="0"/>
      <w:divBdr>
        <w:top w:val="none" w:sz="0" w:space="0" w:color="auto"/>
        <w:left w:val="none" w:sz="0" w:space="0" w:color="auto"/>
        <w:bottom w:val="none" w:sz="0" w:space="0" w:color="auto"/>
        <w:right w:val="none" w:sz="0" w:space="0" w:color="auto"/>
      </w:divBdr>
    </w:div>
    <w:div w:id="979336915">
      <w:bodyDiv w:val="1"/>
      <w:marLeft w:val="0"/>
      <w:marRight w:val="0"/>
      <w:marTop w:val="0"/>
      <w:marBottom w:val="0"/>
      <w:divBdr>
        <w:top w:val="none" w:sz="0" w:space="0" w:color="auto"/>
        <w:left w:val="none" w:sz="0" w:space="0" w:color="auto"/>
        <w:bottom w:val="none" w:sz="0" w:space="0" w:color="auto"/>
        <w:right w:val="none" w:sz="0" w:space="0" w:color="auto"/>
      </w:divBdr>
    </w:div>
    <w:div w:id="980886435">
      <w:bodyDiv w:val="1"/>
      <w:marLeft w:val="0"/>
      <w:marRight w:val="0"/>
      <w:marTop w:val="0"/>
      <w:marBottom w:val="0"/>
      <w:divBdr>
        <w:top w:val="none" w:sz="0" w:space="0" w:color="auto"/>
        <w:left w:val="none" w:sz="0" w:space="0" w:color="auto"/>
        <w:bottom w:val="none" w:sz="0" w:space="0" w:color="auto"/>
        <w:right w:val="none" w:sz="0" w:space="0" w:color="auto"/>
      </w:divBdr>
    </w:div>
    <w:div w:id="981036442">
      <w:bodyDiv w:val="1"/>
      <w:marLeft w:val="0"/>
      <w:marRight w:val="0"/>
      <w:marTop w:val="0"/>
      <w:marBottom w:val="0"/>
      <w:divBdr>
        <w:top w:val="none" w:sz="0" w:space="0" w:color="auto"/>
        <w:left w:val="none" w:sz="0" w:space="0" w:color="auto"/>
        <w:bottom w:val="none" w:sz="0" w:space="0" w:color="auto"/>
        <w:right w:val="none" w:sz="0" w:space="0" w:color="auto"/>
      </w:divBdr>
    </w:div>
    <w:div w:id="981159424">
      <w:bodyDiv w:val="1"/>
      <w:marLeft w:val="0"/>
      <w:marRight w:val="0"/>
      <w:marTop w:val="0"/>
      <w:marBottom w:val="0"/>
      <w:divBdr>
        <w:top w:val="none" w:sz="0" w:space="0" w:color="auto"/>
        <w:left w:val="none" w:sz="0" w:space="0" w:color="auto"/>
        <w:bottom w:val="none" w:sz="0" w:space="0" w:color="auto"/>
        <w:right w:val="none" w:sz="0" w:space="0" w:color="auto"/>
      </w:divBdr>
    </w:div>
    <w:div w:id="982193948">
      <w:bodyDiv w:val="1"/>
      <w:marLeft w:val="0"/>
      <w:marRight w:val="0"/>
      <w:marTop w:val="0"/>
      <w:marBottom w:val="0"/>
      <w:divBdr>
        <w:top w:val="none" w:sz="0" w:space="0" w:color="auto"/>
        <w:left w:val="none" w:sz="0" w:space="0" w:color="auto"/>
        <w:bottom w:val="none" w:sz="0" w:space="0" w:color="auto"/>
        <w:right w:val="none" w:sz="0" w:space="0" w:color="auto"/>
      </w:divBdr>
    </w:div>
    <w:div w:id="982349672">
      <w:bodyDiv w:val="1"/>
      <w:marLeft w:val="0"/>
      <w:marRight w:val="0"/>
      <w:marTop w:val="0"/>
      <w:marBottom w:val="0"/>
      <w:divBdr>
        <w:top w:val="none" w:sz="0" w:space="0" w:color="auto"/>
        <w:left w:val="none" w:sz="0" w:space="0" w:color="auto"/>
        <w:bottom w:val="none" w:sz="0" w:space="0" w:color="auto"/>
        <w:right w:val="none" w:sz="0" w:space="0" w:color="auto"/>
      </w:divBdr>
    </w:div>
    <w:div w:id="982854935">
      <w:bodyDiv w:val="1"/>
      <w:marLeft w:val="0"/>
      <w:marRight w:val="0"/>
      <w:marTop w:val="0"/>
      <w:marBottom w:val="0"/>
      <w:divBdr>
        <w:top w:val="none" w:sz="0" w:space="0" w:color="auto"/>
        <w:left w:val="none" w:sz="0" w:space="0" w:color="auto"/>
        <w:bottom w:val="none" w:sz="0" w:space="0" w:color="auto"/>
        <w:right w:val="none" w:sz="0" w:space="0" w:color="auto"/>
      </w:divBdr>
    </w:div>
    <w:div w:id="983237250">
      <w:bodyDiv w:val="1"/>
      <w:marLeft w:val="0"/>
      <w:marRight w:val="0"/>
      <w:marTop w:val="0"/>
      <w:marBottom w:val="0"/>
      <w:divBdr>
        <w:top w:val="none" w:sz="0" w:space="0" w:color="auto"/>
        <w:left w:val="none" w:sz="0" w:space="0" w:color="auto"/>
        <w:bottom w:val="none" w:sz="0" w:space="0" w:color="auto"/>
        <w:right w:val="none" w:sz="0" w:space="0" w:color="auto"/>
      </w:divBdr>
    </w:div>
    <w:div w:id="984166407">
      <w:bodyDiv w:val="1"/>
      <w:marLeft w:val="0"/>
      <w:marRight w:val="0"/>
      <w:marTop w:val="0"/>
      <w:marBottom w:val="0"/>
      <w:divBdr>
        <w:top w:val="none" w:sz="0" w:space="0" w:color="auto"/>
        <w:left w:val="none" w:sz="0" w:space="0" w:color="auto"/>
        <w:bottom w:val="none" w:sz="0" w:space="0" w:color="auto"/>
        <w:right w:val="none" w:sz="0" w:space="0" w:color="auto"/>
      </w:divBdr>
    </w:div>
    <w:div w:id="985355252">
      <w:bodyDiv w:val="1"/>
      <w:marLeft w:val="0"/>
      <w:marRight w:val="0"/>
      <w:marTop w:val="0"/>
      <w:marBottom w:val="0"/>
      <w:divBdr>
        <w:top w:val="none" w:sz="0" w:space="0" w:color="auto"/>
        <w:left w:val="none" w:sz="0" w:space="0" w:color="auto"/>
        <w:bottom w:val="none" w:sz="0" w:space="0" w:color="auto"/>
        <w:right w:val="none" w:sz="0" w:space="0" w:color="auto"/>
      </w:divBdr>
    </w:div>
    <w:div w:id="985623604">
      <w:bodyDiv w:val="1"/>
      <w:marLeft w:val="0"/>
      <w:marRight w:val="0"/>
      <w:marTop w:val="0"/>
      <w:marBottom w:val="0"/>
      <w:divBdr>
        <w:top w:val="none" w:sz="0" w:space="0" w:color="auto"/>
        <w:left w:val="none" w:sz="0" w:space="0" w:color="auto"/>
        <w:bottom w:val="none" w:sz="0" w:space="0" w:color="auto"/>
        <w:right w:val="none" w:sz="0" w:space="0" w:color="auto"/>
      </w:divBdr>
    </w:div>
    <w:div w:id="986127396">
      <w:bodyDiv w:val="1"/>
      <w:marLeft w:val="0"/>
      <w:marRight w:val="0"/>
      <w:marTop w:val="0"/>
      <w:marBottom w:val="0"/>
      <w:divBdr>
        <w:top w:val="none" w:sz="0" w:space="0" w:color="auto"/>
        <w:left w:val="none" w:sz="0" w:space="0" w:color="auto"/>
        <w:bottom w:val="none" w:sz="0" w:space="0" w:color="auto"/>
        <w:right w:val="none" w:sz="0" w:space="0" w:color="auto"/>
      </w:divBdr>
    </w:div>
    <w:div w:id="986788366">
      <w:bodyDiv w:val="1"/>
      <w:marLeft w:val="0"/>
      <w:marRight w:val="0"/>
      <w:marTop w:val="0"/>
      <w:marBottom w:val="0"/>
      <w:divBdr>
        <w:top w:val="none" w:sz="0" w:space="0" w:color="auto"/>
        <w:left w:val="none" w:sz="0" w:space="0" w:color="auto"/>
        <w:bottom w:val="none" w:sz="0" w:space="0" w:color="auto"/>
        <w:right w:val="none" w:sz="0" w:space="0" w:color="auto"/>
      </w:divBdr>
    </w:div>
    <w:div w:id="986861546">
      <w:bodyDiv w:val="1"/>
      <w:marLeft w:val="0"/>
      <w:marRight w:val="0"/>
      <w:marTop w:val="0"/>
      <w:marBottom w:val="0"/>
      <w:divBdr>
        <w:top w:val="none" w:sz="0" w:space="0" w:color="auto"/>
        <w:left w:val="none" w:sz="0" w:space="0" w:color="auto"/>
        <w:bottom w:val="none" w:sz="0" w:space="0" w:color="auto"/>
        <w:right w:val="none" w:sz="0" w:space="0" w:color="auto"/>
      </w:divBdr>
    </w:div>
    <w:div w:id="987129510">
      <w:bodyDiv w:val="1"/>
      <w:marLeft w:val="0"/>
      <w:marRight w:val="0"/>
      <w:marTop w:val="0"/>
      <w:marBottom w:val="0"/>
      <w:divBdr>
        <w:top w:val="none" w:sz="0" w:space="0" w:color="auto"/>
        <w:left w:val="none" w:sz="0" w:space="0" w:color="auto"/>
        <w:bottom w:val="none" w:sz="0" w:space="0" w:color="auto"/>
        <w:right w:val="none" w:sz="0" w:space="0" w:color="auto"/>
      </w:divBdr>
    </w:div>
    <w:div w:id="990600426">
      <w:bodyDiv w:val="1"/>
      <w:marLeft w:val="0"/>
      <w:marRight w:val="0"/>
      <w:marTop w:val="0"/>
      <w:marBottom w:val="0"/>
      <w:divBdr>
        <w:top w:val="none" w:sz="0" w:space="0" w:color="auto"/>
        <w:left w:val="none" w:sz="0" w:space="0" w:color="auto"/>
        <w:bottom w:val="none" w:sz="0" w:space="0" w:color="auto"/>
        <w:right w:val="none" w:sz="0" w:space="0" w:color="auto"/>
      </w:divBdr>
    </w:div>
    <w:div w:id="990864368">
      <w:bodyDiv w:val="1"/>
      <w:marLeft w:val="0"/>
      <w:marRight w:val="0"/>
      <w:marTop w:val="0"/>
      <w:marBottom w:val="0"/>
      <w:divBdr>
        <w:top w:val="none" w:sz="0" w:space="0" w:color="auto"/>
        <w:left w:val="none" w:sz="0" w:space="0" w:color="auto"/>
        <w:bottom w:val="none" w:sz="0" w:space="0" w:color="auto"/>
        <w:right w:val="none" w:sz="0" w:space="0" w:color="auto"/>
      </w:divBdr>
    </w:div>
    <w:div w:id="991254316">
      <w:bodyDiv w:val="1"/>
      <w:marLeft w:val="0"/>
      <w:marRight w:val="0"/>
      <w:marTop w:val="0"/>
      <w:marBottom w:val="0"/>
      <w:divBdr>
        <w:top w:val="none" w:sz="0" w:space="0" w:color="auto"/>
        <w:left w:val="none" w:sz="0" w:space="0" w:color="auto"/>
        <w:bottom w:val="none" w:sz="0" w:space="0" w:color="auto"/>
        <w:right w:val="none" w:sz="0" w:space="0" w:color="auto"/>
      </w:divBdr>
    </w:div>
    <w:div w:id="991448742">
      <w:bodyDiv w:val="1"/>
      <w:marLeft w:val="0"/>
      <w:marRight w:val="0"/>
      <w:marTop w:val="0"/>
      <w:marBottom w:val="0"/>
      <w:divBdr>
        <w:top w:val="none" w:sz="0" w:space="0" w:color="auto"/>
        <w:left w:val="none" w:sz="0" w:space="0" w:color="auto"/>
        <w:bottom w:val="none" w:sz="0" w:space="0" w:color="auto"/>
        <w:right w:val="none" w:sz="0" w:space="0" w:color="auto"/>
      </w:divBdr>
    </w:div>
    <w:div w:id="991522622">
      <w:bodyDiv w:val="1"/>
      <w:marLeft w:val="0"/>
      <w:marRight w:val="0"/>
      <w:marTop w:val="0"/>
      <w:marBottom w:val="0"/>
      <w:divBdr>
        <w:top w:val="none" w:sz="0" w:space="0" w:color="auto"/>
        <w:left w:val="none" w:sz="0" w:space="0" w:color="auto"/>
        <w:bottom w:val="none" w:sz="0" w:space="0" w:color="auto"/>
        <w:right w:val="none" w:sz="0" w:space="0" w:color="auto"/>
      </w:divBdr>
    </w:div>
    <w:div w:id="991760930">
      <w:bodyDiv w:val="1"/>
      <w:marLeft w:val="0"/>
      <w:marRight w:val="0"/>
      <w:marTop w:val="0"/>
      <w:marBottom w:val="0"/>
      <w:divBdr>
        <w:top w:val="none" w:sz="0" w:space="0" w:color="auto"/>
        <w:left w:val="none" w:sz="0" w:space="0" w:color="auto"/>
        <w:bottom w:val="none" w:sz="0" w:space="0" w:color="auto"/>
        <w:right w:val="none" w:sz="0" w:space="0" w:color="auto"/>
      </w:divBdr>
    </w:div>
    <w:div w:id="991788954">
      <w:bodyDiv w:val="1"/>
      <w:marLeft w:val="0"/>
      <w:marRight w:val="0"/>
      <w:marTop w:val="0"/>
      <w:marBottom w:val="0"/>
      <w:divBdr>
        <w:top w:val="none" w:sz="0" w:space="0" w:color="auto"/>
        <w:left w:val="none" w:sz="0" w:space="0" w:color="auto"/>
        <w:bottom w:val="none" w:sz="0" w:space="0" w:color="auto"/>
        <w:right w:val="none" w:sz="0" w:space="0" w:color="auto"/>
      </w:divBdr>
    </w:div>
    <w:div w:id="991905480">
      <w:bodyDiv w:val="1"/>
      <w:marLeft w:val="0"/>
      <w:marRight w:val="0"/>
      <w:marTop w:val="0"/>
      <w:marBottom w:val="0"/>
      <w:divBdr>
        <w:top w:val="none" w:sz="0" w:space="0" w:color="auto"/>
        <w:left w:val="none" w:sz="0" w:space="0" w:color="auto"/>
        <w:bottom w:val="none" w:sz="0" w:space="0" w:color="auto"/>
        <w:right w:val="none" w:sz="0" w:space="0" w:color="auto"/>
      </w:divBdr>
    </w:div>
    <w:div w:id="992022059">
      <w:bodyDiv w:val="1"/>
      <w:marLeft w:val="0"/>
      <w:marRight w:val="0"/>
      <w:marTop w:val="0"/>
      <w:marBottom w:val="0"/>
      <w:divBdr>
        <w:top w:val="none" w:sz="0" w:space="0" w:color="auto"/>
        <w:left w:val="none" w:sz="0" w:space="0" w:color="auto"/>
        <w:bottom w:val="none" w:sz="0" w:space="0" w:color="auto"/>
        <w:right w:val="none" w:sz="0" w:space="0" w:color="auto"/>
      </w:divBdr>
    </w:div>
    <w:div w:id="992484140">
      <w:bodyDiv w:val="1"/>
      <w:marLeft w:val="0"/>
      <w:marRight w:val="0"/>
      <w:marTop w:val="0"/>
      <w:marBottom w:val="0"/>
      <w:divBdr>
        <w:top w:val="none" w:sz="0" w:space="0" w:color="auto"/>
        <w:left w:val="none" w:sz="0" w:space="0" w:color="auto"/>
        <w:bottom w:val="none" w:sz="0" w:space="0" w:color="auto"/>
        <w:right w:val="none" w:sz="0" w:space="0" w:color="auto"/>
      </w:divBdr>
    </w:div>
    <w:div w:id="995914180">
      <w:bodyDiv w:val="1"/>
      <w:marLeft w:val="0"/>
      <w:marRight w:val="0"/>
      <w:marTop w:val="0"/>
      <w:marBottom w:val="0"/>
      <w:divBdr>
        <w:top w:val="none" w:sz="0" w:space="0" w:color="auto"/>
        <w:left w:val="none" w:sz="0" w:space="0" w:color="auto"/>
        <w:bottom w:val="none" w:sz="0" w:space="0" w:color="auto"/>
        <w:right w:val="none" w:sz="0" w:space="0" w:color="auto"/>
      </w:divBdr>
    </w:div>
    <w:div w:id="996693261">
      <w:bodyDiv w:val="1"/>
      <w:marLeft w:val="0"/>
      <w:marRight w:val="0"/>
      <w:marTop w:val="0"/>
      <w:marBottom w:val="0"/>
      <w:divBdr>
        <w:top w:val="none" w:sz="0" w:space="0" w:color="auto"/>
        <w:left w:val="none" w:sz="0" w:space="0" w:color="auto"/>
        <w:bottom w:val="none" w:sz="0" w:space="0" w:color="auto"/>
        <w:right w:val="none" w:sz="0" w:space="0" w:color="auto"/>
      </w:divBdr>
    </w:div>
    <w:div w:id="996961420">
      <w:bodyDiv w:val="1"/>
      <w:marLeft w:val="0"/>
      <w:marRight w:val="0"/>
      <w:marTop w:val="0"/>
      <w:marBottom w:val="0"/>
      <w:divBdr>
        <w:top w:val="none" w:sz="0" w:space="0" w:color="auto"/>
        <w:left w:val="none" w:sz="0" w:space="0" w:color="auto"/>
        <w:bottom w:val="none" w:sz="0" w:space="0" w:color="auto"/>
        <w:right w:val="none" w:sz="0" w:space="0" w:color="auto"/>
      </w:divBdr>
    </w:div>
    <w:div w:id="997266666">
      <w:bodyDiv w:val="1"/>
      <w:marLeft w:val="0"/>
      <w:marRight w:val="0"/>
      <w:marTop w:val="0"/>
      <w:marBottom w:val="0"/>
      <w:divBdr>
        <w:top w:val="none" w:sz="0" w:space="0" w:color="auto"/>
        <w:left w:val="none" w:sz="0" w:space="0" w:color="auto"/>
        <w:bottom w:val="none" w:sz="0" w:space="0" w:color="auto"/>
        <w:right w:val="none" w:sz="0" w:space="0" w:color="auto"/>
      </w:divBdr>
    </w:div>
    <w:div w:id="997536911">
      <w:bodyDiv w:val="1"/>
      <w:marLeft w:val="0"/>
      <w:marRight w:val="0"/>
      <w:marTop w:val="0"/>
      <w:marBottom w:val="0"/>
      <w:divBdr>
        <w:top w:val="none" w:sz="0" w:space="0" w:color="auto"/>
        <w:left w:val="none" w:sz="0" w:space="0" w:color="auto"/>
        <w:bottom w:val="none" w:sz="0" w:space="0" w:color="auto"/>
        <w:right w:val="none" w:sz="0" w:space="0" w:color="auto"/>
      </w:divBdr>
    </w:div>
    <w:div w:id="998390155">
      <w:bodyDiv w:val="1"/>
      <w:marLeft w:val="0"/>
      <w:marRight w:val="0"/>
      <w:marTop w:val="0"/>
      <w:marBottom w:val="0"/>
      <w:divBdr>
        <w:top w:val="none" w:sz="0" w:space="0" w:color="auto"/>
        <w:left w:val="none" w:sz="0" w:space="0" w:color="auto"/>
        <w:bottom w:val="none" w:sz="0" w:space="0" w:color="auto"/>
        <w:right w:val="none" w:sz="0" w:space="0" w:color="auto"/>
      </w:divBdr>
    </w:div>
    <w:div w:id="999506773">
      <w:bodyDiv w:val="1"/>
      <w:marLeft w:val="0"/>
      <w:marRight w:val="0"/>
      <w:marTop w:val="0"/>
      <w:marBottom w:val="0"/>
      <w:divBdr>
        <w:top w:val="none" w:sz="0" w:space="0" w:color="auto"/>
        <w:left w:val="none" w:sz="0" w:space="0" w:color="auto"/>
        <w:bottom w:val="none" w:sz="0" w:space="0" w:color="auto"/>
        <w:right w:val="none" w:sz="0" w:space="0" w:color="auto"/>
      </w:divBdr>
    </w:div>
    <w:div w:id="1000426007">
      <w:bodyDiv w:val="1"/>
      <w:marLeft w:val="0"/>
      <w:marRight w:val="0"/>
      <w:marTop w:val="0"/>
      <w:marBottom w:val="0"/>
      <w:divBdr>
        <w:top w:val="none" w:sz="0" w:space="0" w:color="auto"/>
        <w:left w:val="none" w:sz="0" w:space="0" w:color="auto"/>
        <w:bottom w:val="none" w:sz="0" w:space="0" w:color="auto"/>
        <w:right w:val="none" w:sz="0" w:space="0" w:color="auto"/>
      </w:divBdr>
    </w:div>
    <w:div w:id="1001153488">
      <w:bodyDiv w:val="1"/>
      <w:marLeft w:val="0"/>
      <w:marRight w:val="0"/>
      <w:marTop w:val="0"/>
      <w:marBottom w:val="0"/>
      <w:divBdr>
        <w:top w:val="none" w:sz="0" w:space="0" w:color="auto"/>
        <w:left w:val="none" w:sz="0" w:space="0" w:color="auto"/>
        <w:bottom w:val="none" w:sz="0" w:space="0" w:color="auto"/>
        <w:right w:val="none" w:sz="0" w:space="0" w:color="auto"/>
      </w:divBdr>
    </w:div>
    <w:div w:id="1001733458">
      <w:bodyDiv w:val="1"/>
      <w:marLeft w:val="0"/>
      <w:marRight w:val="0"/>
      <w:marTop w:val="0"/>
      <w:marBottom w:val="0"/>
      <w:divBdr>
        <w:top w:val="none" w:sz="0" w:space="0" w:color="auto"/>
        <w:left w:val="none" w:sz="0" w:space="0" w:color="auto"/>
        <w:bottom w:val="none" w:sz="0" w:space="0" w:color="auto"/>
        <w:right w:val="none" w:sz="0" w:space="0" w:color="auto"/>
      </w:divBdr>
    </w:div>
    <w:div w:id="1002388618">
      <w:bodyDiv w:val="1"/>
      <w:marLeft w:val="0"/>
      <w:marRight w:val="0"/>
      <w:marTop w:val="0"/>
      <w:marBottom w:val="0"/>
      <w:divBdr>
        <w:top w:val="none" w:sz="0" w:space="0" w:color="auto"/>
        <w:left w:val="none" w:sz="0" w:space="0" w:color="auto"/>
        <w:bottom w:val="none" w:sz="0" w:space="0" w:color="auto"/>
        <w:right w:val="none" w:sz="0" w:space="0" w:color="auto"/>
      </w:divBdr>
    </w:div>
    <w:div w:id="1002397634">
      <w:bodyDiv w:val="1"/>
      <w:marLeft w:val="0"/>
      <w:marRight w:val="0"/>
      <w:marTop w:val="0"/>
      <w:marBottom w:val="0"/>
      <w:divBdr>
        <w:top w:val="none" w:sz="0" w:space="0" w:color="auto"/>
        <w:left w:val="none" w:sz="0" w:space="0" w:color="auto"/>
        <w:bottom w:val="none" w:sz="0" w:space="0" w:color="auto"/>
        <w:right w:val="none" w:sz="0" w:space="0" w:color="auto"/>
      </w:divBdr>
    </w:div>
    <w:div w:id="1003161939">
      <w:bodyDiv w:val="1"/>
      <w:marLeft w:val="0"/>
      <w:marRight w:val="0"/>
      <w:marTop w:val="0"/>
      <w:marBottom w:val="0"/>
      <w:divBdr>
        <w:top w:val="none" w:sz="0" w:space="0" w:color="auto"/>
        <w:left w:val="none" w:sz="0" w:space="0" w:color="auto"/>
        <w:bottom w:val="none" w:sz="0" w:space="0" w:color="auto"/>
        <w:right w:val="none" w:sz="0" w:space="0" w:color="auto"/>
      </w:divBdr>
    </w:div>
    <w:div w:id="1003166543">
      <w:bodyDiv w:val="1"/>
      <w:marLeft w:val="0"/>
      <w:marRight w:val="0"/>
      <w:marTop w:val="0"/>
      <w:marBottom w:val="0"/>
      <w:divBdr>
        <w:top w:val="none" w:sz="0" w:space="0" w:color="auto"/>
        <w:left w:val="none" w:sz="0" w:space="0" w:color="auto"/>
        <w:bottom w:val="none" w:sz="0" w:space="0" w:color="auto"/>
        <w:right w:val="none" w:sz="0" w:space="0" w:color="auto"/>
      </w:divBdr>
    </w:div>
    <w:div w:id="1004086997">
      <w:bodyDiv w:val="1"/>
      <w:marLeft w:val="0"/>
      <w:marRight w:val="0"/>
      <w:marTop w:val="0"/>
      <w:marBottom w:val="0"/>
      <w:divBdr>
        <w:top w:val="none" w:sz="0" w:space="0" w:color="auto"/>
        <w:left w:val="none" w:sz="0" w:space="0" w:color="auto"/>
        <w:bottom w:val="none" w:sz="0" w:space="0" w:color="auto"/>
        <w:right w:val="none" w:sz="0" w:space="0" w:color="auto"/>
      </w:divBdr>
    </w:div>
    <w:div w:id="1004238299">
      <w:bodyDiv w:val="1"/>
      <w:marLeft w:val="0"/>
      <w:marRight w:val="0"/>
      <w:marTop w:val="0"/>
      <w:marBottom w:val="0"/>
      <w:divBdr>
        <w:top w:val="none" w:sz="0" w:space="0" w:color="auto"/>
        <w:left w:val="none" w:sz="0" w:space="0" w:color="auto"/>
        <w:bottom w:val="none" w:sz="0" w:space="0" w:color="auto"/>
        <w:right w:val="none" w:sz="0" w:space="0" w:color="auto"/>
      </w:divBdr>
    </w:div>
    <w:div w:id="1004363587">
      <w:bodyDiv w:val="1"/>
      <w:marLeft w:val="0"/>
      <w:marRight w:val="0"/>
      <w:marTop w:val="0"/>
      <w:marBottom w:val="0"/>
      <w:divBdr>
        <w:top w:val="none" w:sz="0" w:space="0" w:color="auto"/>
        <w:left w:val="none" w:sz="0" w:space="0" w:color="auto"/>
        <w:bottom w:val="none" w:sz="0" w:space="0" w:color="auto"/>
        <w:right w:val="none" w:sz="0" w:space="0" w:color="auto"/>
      </w:divBdr>
    </w:div>
    <w:div w:id="1005404839">
      <w:bodyDiv w:val="1"/>
      <w:marLeft w:val="0"/>
      <w:marRight w:val="0"/>
      <w:marTop w:val="0"/>
      <w:marBottom w:val="0"/>
      <w:divBdr>
        <w:top w:val="none" w:sz="0" w:space="0" w:color="auto"/>
        <w:left w:val="none" w:sz="0" w:space="0" w:color="auto"/>
        <w:bottom w:val="none" w:sz="0" w:space="0" w:color="auto"/>
        <w:right w:val="none" w:sz="0" w:space="0" w:color="auto"/>
      </w:divBdr>
    </w:div>
    <w:div w:id="1005665570">
      <w:bodyDiv w:val="1"/>
      <w:marLeft w:val="0"/>
      <w:marRight w:val="0"/>
      <w:marTop w:val="0"/>
      <w:marBottom w:val="0"/>
      <w:divBdr>
        <w:top w:val="none" w:sz="0" w:space="0" w:color="auto"/>
        <w:left w:val="none" w:sz="0" w:space="0" w:color="auto"/>
        <w:bottom w:val="none" w:sz="0" w:space="0" w:color="auto"/>
        <w:right w:val="none" w:sz="0" w:space="0" w:color="auto"/>
      </w:divBdr>
    </w:div>
    <w:div w:id="1006054771">
      <w:bodyDiv w:val="1"/>
      <w:marLeft w:val="0"/>
      <w:marRight w:val="0"/>
      <w:marTop w:val="0"/>
      <w:marBottom w:val="0"/>
      <w:divBdr>
        <w:top w:val="none" w:sz="0" w:space="0" w:color="auto"/>
        <w:left w:val="none" w:sz="0" w:space="0" w:color="auto"/>
        <w:bottom w:val="none" w:sz="0" w:space="0" w:color="auto"/>
        <w:right w:val="none" w:sz="0" w:space="0" w:color="auto"/>
      </w:divBdr>
    </w:div>
    <w:div w:id="1006441334">
      <w:bodyDiv w:val="1"/>
      <w:marLeft w:val="0"/>
      <w:marRight w:val="0"/>
      <w:marTop w:val="0"/>
      <w:marBottom w:val="0"/>
      <w:divBdr>
        <w:top w:val="none" w:sz="0" w:space="0" w:color="auto"/>
        <w:left w:val="none" w:sz="0" w:space="0" w:color="auto"/>
        <w:bottom w:val="none" w:sz="0" w:space="0" w:color="auto"/>
        <w:right w:val="none" w:sz="0" w:space="0" w:color="auto"/>
      </w:divBdr>
    </w:div>
    <w:div w:id="1006635488">
      <w:bodyDiv w:val="1"/>
      <w:marLeft w:val="0"/>
      <w:marRight w:val="0"/>
      <w:marTop w:val="0"/>
      <w:marBottom w:val="0"/>
      <w:divBdr>
        <w:top w:val="none" w:sz="0" w:space="0" w:color="auto"/>
        <w:left w:val="none" w:sz="0" w:space="0" w:color="auto"/>
        <w:bottom w:val="none" w:sz="0" w:space="0" w:color="auto"/>
        <w:right w:val="none" w:sz="0" w:space="0" w:color="auto"/>
      </w:divBdr>
      <w:divsChild>
        <w:div w:id="160850805">
          <w:marLeft w:val="0"/>
          <w:marRight w:val="0"/>
          <w:marTop w:val="0"/>
          <w:marBottom w:val="0"/>
          <w:divBdr>
            <w:top w:val="none" w:sz="0" w:space="0" w:color="auto"/>
            <w:left w:val="none" w:sz="0" w:space="0" w:color="auto"/>
            <w:bottom w:val="none" w:sz="0" w:space="0" w:color="auto"/>
            <w:right w:val="none" w:sz="0" w:space="0" w:color="auto"/>
          </w:divBdr>
        </w:div>
        <w:div w:id="169032755">
          <w:marLeft w:val="0"/>
          <w:marRight w:val="0"/>
          <w:marTop w:val="0"/>
          <w:marBottom w:val="0"/>
          <w:divBdr>
            <w:top w:val="none" w:sz="0" w:space="0" w:color="auto"/>
            <w:left w:val="none" w:sz="0" w:space="0" w:color="auto"/>
            <w:bottom w:val="none" w:sz="0" w:space="0" w:color="auto"/>
            <w:right w:val="none" w:sz="0" w:space="0" w:color="auto"/>
          </w:divBdr>
        </w:div>
        <w:div w:id="292374328">
          <w:marLeft w:val="0"/>
          <w:marRight w:val="0"/>
          <w:marTop w:val="0"/>
          <w:marBottom w:val="0"/>
          <w:divBdr>
            <w:top w:val="none" w:sz="0" w:space="0" w:color="auto"/>
            <w:left w:val="none" w:sz="0" w:space="0" w:color="auto"/>
            <w:bottom w:val="none" w:sz="0" w:space="0" w:color="auto"/>
            <w:right w:val="none" w:sz="0" w:space="0" w:color="auto"/>
          </w:divBdr>
        </w:div>
        <w:div w:id="345404125">
          <w:marLeft w:val="0"/>
          <w:marRight w:val="0"/>
          <w:marTop w:val="0"/>
          <w:marBottom w:val="0"/>
          <w:divBdr>
            <w:top w:val="none" w:sz="0" w:space="0" w:color="auto"/>
            <w:left w:val="none" w:sz="0" w:space="0" w:color="auto"/>
            <w:bottom w:val="none" w:sz="0" w:space="0" w:color="auto"/>
            <w:right w:val="none" w:sz="0" w:space="0" w:color="auto"/>
          </w:divBdr>
        </w:div>
        <w:div w:id="383220504">
          <w:marLeft w:val="0"/>
          <w:marRight w:val="0"/>
          <w:marTop w:val="0"/>
          <w:marBottom w:val="0"/>
          <w:divBdr>
            <w:top w:val="none" w:sz="0" w:space="0" w:color="auto"/>
            <w:left w:val="none" w:sz="0" w:space="0" w:color="auto"/>
            <w:bottom w:val="none" w:sz="0" w:space="0" w:color="auto"/>
            <w:right w:val="none" w:sz="0" w:space="0" w:color="auto"/>
          </w:divBdr>
        </w:div>
        <w:div w:id="541021732">
          <w:marLeft w:val="0"/>
          <w:marRight w:val="0"/>
          <w:marTop w:val="0"/>
          <w:marBottom w:val="0"/>
          <w:divBdr>
            <w:top w:val="none" w:sz="0" w:space="0" w:color="auto"/>
            <w:left w:val="none" w:sz="0" w:space="0" w:color="auto"/>
            <w:bottom w:val="none" w:sz="0" w:space="0" w:color="auto"/>
            <w:right w:val="none" w:sz="0" w:space="0" w:color="auto"/>
          </w:divBdr>
        </w:div>
        <w:div w:id="946698059">
          <w:marLeft w:val="0"/>
          <w:marRight w:val="0"/>
          <w:marTop w:val="0"/>
          <w:marBottom w:val="0"/>
          <w:divBdr>
            <w:top w:val="none" w:sz="0" w:space="0" w:color="auto"/>
            <w:left w:val="none" w:sz="0" w:space="0" w:color="auto"/>
            <w:bottom w:val="none" w:sz="0" w:space="0" w:color="auto"/>
            <w:right w:val="none" w:sz="0" w:space="0" w:color="auto"/>
          </w:divBdr>
        </w:div>
        <w:div w:id="1134253966">
          <w:marLeft w:val="0"/>
          <w:marRight w:val="0"/>
          <w:marTop w:val="0"/>
          <w:marBottom w:val="0"/>
          <w:divBdr>
            <w:top w:val="none" w:sz="0" w:space="0" w:color="auto"/>
            <w:left w:val="none" w:sz="0" w:space="0" w:color="auto"/>
            <w:bottom w:val="none" w:sz="0" w:space="0" w:color="auto"/>
            <w:right w:val="none" w:sz="0" w:space="0" w:color="auto"/>
          </w:divBdr>
        </w:div>
        <w:div w:id="1712071180">
          <w:marLeft w:val="0"/>
          <w:marRight w:val="0"/>
          <w:marTop w:val="0"/>
          <w:marBottom w:val="0"/>
          <w:divBdr>
            <w:top w:val="none" w:sz="0" w:space="0" w:color="auto"/>
            <w:left w:val="none" w:sz="0" w:space="0" w:color="auto"/>
            <w:bottom w:val="none" w:sz="0" w:space="0" w:color="auto"/>
            <w:right w:val="none" w:sz="0" w:space="0" w:color="auto"/>
          </w:divBdr>
        </w:div>
        <w:div w:id="2058122938">
          <w:marLeft w:val="0"/>
          <w:marRight w:val="0"/>
          <w:marTop w:val="0"/>
          <w:marBottom w:val="0"/>
          <w:divBdr>
            <w:top w:val="none" w:sz="0" w:space="0" w:color="auto"/>
            <w:left w:val="none" w:sz="0" w:space="0" w:color="auto"/>
            <w:bottom w:val="none" w:sz="0" w:space="0" w:color="auto"/>
            <w:right w:val="none" w:sz="0" w:space="0" w:color="auto"/>
          </w:divBdr>
        </w:div>
      </w:divsChild>
    </w:div>
    <w:div w:id="1006906312">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
    <w:div w:id="1007907682">
      <w:bodyDiv w:val="1"/>
      <w:marLeft w:val="0"/>
      <w:marRight w:val="0"/>
      <w:marTop w:val="0"/>
      <w:marBottom w:val="0"/>
      <w:divBdr>
        <w:top w:val="none" w:sz="0" w:space="0" w:color="auto"/>
        <w:left w:val="none" w:sz="0" w:space="0" w:color="auto"/>
        <w:bottom w:val="none" w:sz="0" w:space="0" w:color="auto"/>
        <w:right w:val="none" w:sz="0" w:space="0" w:color="auto"/>
      </w:divBdr>
    </w:div>
    <w:div w:id="1008141825">
      <w:bodyDiv w:val="1"/>
      <w:marLeft w:val="0"/>
      <w:marRight w:val="0"/>
      <w:marTop w:val="0"/>
      <w:marBottom w:val="0"/>
      <w:divBdr>
        <w:top w:val="none" w:sz="0" w:space="0" w:color="auto"/>
        <w:left w:val="none" w:sz="0" w:space="0" w:color="auto"/>
        <w:bottom w:val="none" w:sz="0" w:space="0" w:color="auto"/>
        <w:right w:val="none" w:sz="0" w:space="0" w:color="auto"/>
      </w:divBdr>
    </w:div>
    <w:div w:id="1008871155">
      <w:bodyDiv w:val="1"/>
      <w:marLeft w:val="0"/>
      <w:marRight w:val="0"/>
      <w:marTop w:val="0"/>
      <w:marBottom w:val="0"/>
      <w:divBdr>
        <w:top w:val="none" w:sz="0" w:space="0" w:color="auto"/>
        <w:left w:val="none" w:sz="0" w:space="0" w:color="auto"/>
        <w:bottom w:val="none" w:sz="0" w:space="0" w:color="auto"/>
        <w:right w:val="none" w:sz="0" w:space="0" w:color="auto"/>
      </w:divBdr>
    </w:div>
    <w:div w:id="1009478824">
      <w:bodyDiv w:val="1"/>
      <w:marLeft w:val="0"/>
      <w:marRight w:val="0"/>
      <w:marTop w:val="0"/>
      <w:marBottom w:val="0"/>
      <w:divBdr>
        <w:top w:val="none" w:sz="0" w:space="0" w:color="auto"/>
        <w:left w:val="none" w:sz="0" w:space="0" w:color="auto"/>
        <w:bottom w:val="none" w:sz="0" w:space="0" w:color="auto"/>
        <w:right w:val="none" w:sz="0" w:space="0" w:color="auto"/>
      </w:divBdr>
    </w:div>
    <w:div w:id="1010986146">
      <w:bodyDiv w:val="1"/>
      <w:marLeft w:val="0"/>
      <w:marRight w:val="0"/>
      <w:marTop w:val="0"/>
      <w:marBottom w:val="0"/>
      <w:divBdr>
        <w:top w:val="none" w:sz="0" w:space="0" w:color="auto"/>
        <w:left w:val="none" w:sz="0" w:space="0" w:color="auto"/>
        <w:bottom w:val="none" w:sz="0" w:space="0" w:color="auto"/>
        <w:right w:val="none" w:sz="0" w:space="0" w:color="auto"/>
      </w:divBdr>
    </w:div>
    <w:div w:id="1011680456">
      <w:bodyDiv w:val="1"/>
      <w:marLeft w:val="0"/>
      <w:marRight w:val="0"/>
      <w:marTop w:val="0"/>
      <w:marBottom w:val="0"/>
      <w:divBdr>
        <w:top w:val="none" w:sz="0" w:space="0" w:color="auto"/>
        <w:left w:val="none" w:sz="0" w:space="0" w:color="auto"/>
        <w:bottom w:val="none" w:sz="0" w:space="0" w:color="auto"/>
        <w:right w:val="none" w:sz="0" w:space="0" w:color="auto"/>
      </w:divBdr>
    </w:div>
    <w:div w:id="1011876981">
      <w:bodyDiv w:val="1"/>
      <w:marLeft w:val="0"/>
      <w:marRight w:val="0"/>
      <w:marTop w:val="0"/>
      <w:marBottom w:val="0"/>
      <w:divBdr>
        <w:top w:val="none" w:sz="0" w:space="0" w:color="auto"/>
        <w:left w:val="none" w:sz="0" w:space="0" w:color="auto"/>
        <w:bottom w:val="none" w:sz="0" w:space="0" w:color="auto"/>
        <w:right w:val="none" w:sz="0" w:space="0" w:color="auto"/>
      </w:divBdr>
    </w:div>
    <w:div w:id="1012563301">
      <w:bodyDiv w:val="1"/>
      <w:marLeft w:val="0"/>
      <w:marRight w:val="0"/>
      <w:marTop w:val="0"/>
      <w:marBottom w:val="0"/>
      <w:divBdr>
        <w:top w:val="none" w:sz="0" w:space="0" w:color="auto"/>
        <w:left w:val="none" w:sz="0" w:space="0" w:color="auto"/>
        <w:bottom w:val="none" w:sz="0" w:space="0" w:color="auto"/>
        <w:right w:val="none" w:sz="0" w:space="0" w:color="auto"/>
      </w:divBdr>
    </w:div>
    <w:div w:id="1013608111">
      <w:bodyDiv w:val="1"/>
      <w:marLeft w:val="0"/>
      <w:marRight w:val="0"/>
      <w:marTop w:val="0"/>
      <w:marBottom w:val="0"/>
      <w:divBdr>
        <w:top w:val="none" w:sz="0" w:space="0" w:color="auto"/>
        <w:left w:val="none" w:sz="0" w:space="0" w:color="auto"/>
        <w:bottom w:val="none" w:sz="0" w:space="0" w:color="auto"/>
        <w:right w:val="none" w:sz="0" w:space="0" w:color="auto"/>
      </w:divBdr>
    </w:div>
    <w:div w:id="1015423972">
      <w:bodyDiv w:val="1"/>
      <w:marLeft w:val="0"/>
      <w:marRight w:val="0"/>
      <w:marTop w:val="0"/>
      <w:marBottom w:val="0"/>
      <w:divBdr>
        <w:top w:val="none" w:sz="0" w:space="0" w:color="auto"/>
        <w:left w:val="none" w:sz="0" w:space="0" w:color="auto"/>
        <w:bottom w:val="none" w:sz="0" w:space="0" w:color="auto"/>
        <w:right w:val="none" w:sz="0" w:space="0" w:color="auto"/>
      </w:divBdr>
    </w:div>
    <w:div w:id="1016881327">
      <w:bodyDiv w:val="1"/>
      <w:marLeft w:val="0"/>
      <w:marRight w:val="0"/>
      <w:marTop w:val="0"/>
      <w:marBottom w:val="0"/>
      <w:divBdr>
        <w:top w:val="none" w:sz="0" w:space="0" w:color="auto"/>
        <w:left w:val="none" w:sz="0" w:space="0" w:color="auto"/>
        <w:bottom w:val="none" w:sz="0" w:space="0" w:color="auto"/>
        <w:right w:val="none" w:sz="0" w:space="0" w:color="auto"/>
      </w:divBdr>
    </w:div>
    <w:div w:id="1016930866">
      <w:bodyDiv w:val="1"/>
      <w:marLeft w:val="0"/>
      <w:marRight w:val="0"/>
      <w:marTop w:val="0"/>
      <w:marBottom w:val="0"/>
      <w:divBdr>
        <w:top w:val="none" w:sz="0" w:space="0" w:color="auto"/>
        <w:left w:val="none" w:sz="0" w:space="0" w:color="auto"/>
        <w:bottom w:val="none" w:sz="0" w:space="0" w:color="auto"/>
        <w:right w:val="none" w:sz="0" w:space="0" w:color="auto"/>
      </w:divBdr>
    </w:div>
    <w:div w:id="1017393003">
      <w:bodyDiv w:val="1"/>
      <w:marLeft w:val="0"/>
      <w:marRight w:val="0"/>
      <w:marTop w:val="0"/>
      <w:marBottom w:val="0"/>
      <w:divBdr>
        <w:top w:val="none" w:sz="0" w:space="0" w:color="auto"/>
        <w:left w:val="none" w:sz="0" w:space="0" w:color="auto"/>
        <w:bottom w:val="none" w:sz="0" w:space="0" w:color="auto"/>
        <w:right w:val="none" w:sz="0" w:space="0" w:color="auto"/>
      </w:divBdr>
    </w:div>
    <w:div w:id="1018117367">
      <w:bodyDiv w:val="1"/>
      <w:marLeft w:val="0"/>
      <w:marRight w:val="0"/>
      <w:marTop w:val="0"/>
      <w:marBottom w:val="0"/>
      <w:divBdr>
        <w:top w:val="none" w:sz="0" w:space="0" w:color="auto"/>
        <w:left w:val="none" w:sz="0" w:space="0" w:color="auto"/>
        <w:bottom w:val="none" w:sz="0" w:space="0" w:color="auto"/>
        <w:right w:val="none" w:sz="0" w:space="0" w:color="auto"/>
      </w:divBdr>
    </w:div>
    <w:div w:id="1020400410">
      <w:bodyDiv w:val="1"/>
      <w:marLeft w:val="0"/>
      <w:marRight w:val="0"/>
      <w:marTop w:val="0"/>
      <w:marBottom w:val="0"/>
      <w:divBdr>
        <w:top w:val="none" w:sz="0" w:space="0" w:color="auto"/>
        <w:left w:val="none" w:sz="0" w:space="0" w:color="auto"/>
        <w:bottom w:val="none" w:sz="0" w:space="0" w:color="auto"/>
        <w:right w:val="none" w:sz="0" w:space="0" w:color="auto"/>
      </w:divBdr>
    </w:div>
    <w:div w:id="1020474787">
      <w:bodyDiv w:val="1"/>
      <w:marLeft w:val="0"/>
      <w:marRight w:val="0"/>
      <w:marTop w:val="0"/>
      <w:marBottom w:val="0"/>
      <w:divBdr>
        <w:top w:val="none" w:sz="0" w:space="0" w:color="auto"/>
        <w:left w:val="none" w:sz="0" w:space="0" w:color="auto"/>
        <w:bottom w:val="none" w:sz="0" w:space="0" w:color="auto"/>
        <w:right w:val="none" w:sz="0" w:space="0" w:color="auto"/>
      </w:divBdr>
    </w:div>
    <w:div w:id="1020935530">
      <w:bodyDiv w:val="1"/>
      <w:marLeft w:val="0"/>
      <w:marRight w:val="0"/>
      <w:marTop w:val="0"/>
      <w:marBottom w:val="0"/>
      <w:divBdr>
        <w:top w:val="none" w:sz="0" w:space="0" w:color="auto"/>
        <w:left w:val="none" w:sz="0" w:space="0" w:color="auto"/>
        <w:bottom w:val="none" w:sz="0" w:space="0" w:color="auto"/>
        <w:right w:val="none" w:sz="0" w:space="0" w:color="auto"/>
      </w:divBdr>
    </w:div>
    <w:div w:id="1021081396">
      <w:bodyDiv w:val="1"/>
      <w:marLeft w:val="0"/>
      <w:marRight w:val="0"/>
      <w:marTop w:val="0"/>
      <w:marBottom w:val="0"/>
      <w:divBdr>
        <w:top w:val="none" w:sz="0" w:space="0" w:color="auto"/>
        <w:left w:val="none" w:sz="0" w:space="0" w:color="auto"/>
        <w:bottom w:val="none" w:sz="0" w:space="0" w:color="auto"/>
        <w:right w:val="none" w:sz="0" w:space="0" w:color="auto"/>
      </w:divBdr>
    </w:div>
    <w:div w:id="1021396608">
      <w:bodyDiv w:val="1"/>
      <w:marLeft w:val="0"/>
      <w:marRight w:val="0"/>
      <w:marTop w:val="0"/>
      <w:marBottom w:val="0"/>
      <w:divBdr>
        <w:top w:val="none" w:sz="0" w:space="0" w:color="auto"/>
        <w:left w:val="none" w:sz="0" w:space="0" w:color="auto"/>
        <w:bottom w:val="none" w:sz="0" w:space="0" w:color="auto"/>
        <w:right w:val="none" w:sz="0" w:space="0" w:color="auto"/>
      </w:divBdr>
    </w:div>
    <w:div w:id="1021399266">
      <w:bodyDiv w:val="1"/>
      <w:marLeft w:val="0"/>
      <w:marRight w:val="0"/>
      <w:marTop w:val="0"/>
      <w:marBottom w:val="0"/>
      <w:divBdr>
        <w:top w:val="none" w:sz="0" w:space="0" w:color="auto"/>
        <w:left w:val="none" w:sz="0" w:space="0" w:color="auto"/>
        <w:bottom w:val="none" w:sz="0" w:space="0" w:color="auto"/>
        <w:right w:val="none" w:sz="0" w:space="0" w:color="auto"/>
      </w:divBdr>
    </w:div>
    <w:div w:id="1021474282">
      <w:bodyDiv w:val="1"/>
      <w:marLeft w:val="0"/>
      <w:marRight w:val="0"/>
      <w:marTop w:val="0"/>
      <w:marBottom w:val="0"/>
      <w:divBdr>
        <w:top w:val="none" w:sz="0" w:space="0" w:color="auto"/>
        <w:left w:val="none" w:sz="0" w:space="0" w:color="auto"/>
        <w:bottom w:val="none" w:sz="0" w:space="0" w:color="auto"/>
        <w:right w:val="none" w:sz="0" w:space="0" w:color="auto"/>
      </w:divBdr>
    </w:div>
    <w:div w:id="1021513457">
      <w:bodyDiv w:val="1"/>
      <w:marLeft w:val="0"/>
      <w:marRight w:val="0"/>
      <w:marTop w:val="0"/>
      <w:marBottom w:val="0"/>
      <w:divBdr>
        <w:top w:val="none" w:sz="0" w:space="0" w:color="auto"/>
        <w:left w:val="none" w:sz="0" w:space="0" w:color="auto"/>
        <w:bottom w:val="none" w:sz="0" w:space="0" w:color="auto"/>
        <w:right w:val="none" w:sz="0" w:space="0" w:color="auto"/>
      </w:divBdr>
    </w:div>
    <w:div w:id="1022171802">
      <w:bodyDiv w:val="1"/>
      <w:marLeft w:val="0"/>
      <w:marRight w:val="0"/>
      <w:marTop w:val="0"/>
      <w:marBottom w:val="0"/>
      <w:divBdr>
        <w:top w:val="none" w:sz="0" w:space="0" w:color="auto"/>
        <w:left w:val="none" w:sz="0" w:space="0" w:color="auto"/>
        <w:bottom w:val="none" w:sz="0" w:space="0" w:color="auto"/>
        <w:right w:val="none" w:sz="0" w:space="0" w:color="auto"/>
      </w:divBdr>
    </w:div>
    <w:div w:id="1023482664">
      <w:bodyDiv w:val="1"/>
      <w:marLeft w:val="0"/>
      <w:marRight w:val="0"/>
      <w:marTop w:val="0"/>
      <w:marBottom w:val="0"/>
      <w:divBdr>
        <w:top w:val="none" w:sz="0" w:space="0" w:color="auto"/>
        <w:left w:val="none" w:sz="0" w:space="0" w:color="auto"/>
        <w:bottom w:val="none" w:sz="0" w:space="0" w:color="auto"/>
        <w:right w:val="none" w:sz="0" w:space="0" w:color="auto"/>
      </w:divBdr>
    </w:div>
    <w:div w:id="1024404398">
      <w:bodyDiv w:val="1"/>
      <w:marLeft w:val="0"/>
      <w:marRight w:val="0"/>
      <w:marTop w:val="0"/>
      <w:marBottom w:val="0"/>
      <w:divBdr>
        <w:top w:val="none" w:sz="0" w:space="0" w:color="auto"/>
        <w:left w:val="none" w:sz="0" w:space="0" w:color="auto"/>
        <w:bottom w:val="none" w:sz="0" w:space="0" w:color="auto"/>
        <w:right w:val="none" w:sz="0" w:space="0" w:color="auto"/>
      </w:divBdr>
    </w:div>
    <w:div w:id="1024550353">
      <w:bodyDiv w:val="1"/>
      <w:marLeft w:val="0"/>
      <w:marRight w:val="0"/>
      <w:marTop w:val="0"/>
      <w:marBottom w:val="0"/>
      <w:divBdr>
        <w:top w:val="none" w:sz="0" w:space="0" w:color="auto"/>
        <w:left w:val="none" w:sz="0" w:space="0" w:color="auto"/>
        <w:bottom w:val="none" w:sz="0" w:space="0" w:color="auto"/>
        <w:right w:val="none" w:sz="0" w:space="0" w:color="auto"/>
      </w:divBdr>
    </w:div>
    <w:div w:id="1025836258">
      <w:bodyDiv w:val="1"/>
      <w:marLeft w:val="0"/>
      <w:marRight w:val="0"/>
      <w:marTop w:val="0"/>
      <w:marBottom w:val="0"/>
      <w:divBdr>
        <w:top w:val="none" w:sz="0" w:space="0" w:color="auto"/>
        <w:left w:val="none" w:sz="0" w:space="0" w:color="auto"/>
        <w:bottom w:val="none" w:sz="0" w:space="0" w:color="auto"/>
        <w:right w:val="none" w:sz="0" w:space="0" w:color="auto"/>
      </w:divBdr>
    </w:div>
    <w:div w:id="1026561279">
      <w:bodyDiv w:val="1"/>
      <w:marLeft w:val="0"/>
      <w:marRight w:val="0"/>
      <w:marTop w:val="0"/>
      <w:marBottom w:val="0"/>
      <w:divBdr>
        <w:top w:val="none" w:sz="0" w:space="0" w:color="auto"/>
        <w:left w:val="none" w:sz="0" w:space="0" w:color="auto"/>
        <w:bottom w:val="none" w:sz="0" w:space="0" w:color="auto"/>
        <w:right w:val="none" w:sz="0" w:space="0" w:color="auto"/>
      </w:divBdr>
    </w:div>
    <w:div w:id="1027291150">
      <w:bodyDiv w:val="1"/>
      <w:marLeft w:val="0"/>
      <w:marRight w:val="0"/>
      <w:marTop w:val="0"/>
      <w:marBottom w:val="0"/>
      <w:divBdr>
        <w:top w:val="none" w:sz="0" w:space="0" w:color="auto"/>
        <w:left w:val="none" w:sz="0" w:space="0" w:color="auto"/>
        <w:bottom w:val="none" w:sz="0" w:space="0" w:color="auto"/>
        <w:right w:val="none" w:sz="0" w:space="0" w:color="auto"/>
      </w:divBdr>
    </w:div>
    <w:div w:id="1027366081">
      <w:bodyDiv w:val="1"/>
      <w:marLeft w:val="0"/>
      <w:marRight w:val="0"/>
      <w:marTop w:val="0"/>
      <w:marBottom w:val="0"/>
      <w:divBdr>
        <w:top w:val="none" w:sz="0" w:space="0" w:color="auto"/>
        <w:left w:val="none" w:sz="0" w:space="0" w:color="auto"/>
        <w:bottom w:val="none" w:sz="0" w:space="0" w:color="auto"/>
        <w:right w:val="none" w:sz="0" w:space="0" w:color="auto"/>
      </w:divBdr>
    </w:div>
    <w:div w:id="1027562694">
      <w:bodyDiv w:val="1"/>
      <w:marLeft w:val="0"/>
      <w:marRight w:val="0"/>
      <w:marTop w:val="0"/>
      <w:marBottom w:val="0"/>
      <w:divBdr>
        <w:top w:val="none" w:sz="0" w:space="0" w:color="auto"/>
        <w:left w:val="none" w:sz="0" w:space="0" w:color="auto"/>
        <w:bottom w:val="none" w:sz="0" w:space="0" w:color="auto"/>
        <w:right w:val="none" w:sz="0" w:space="0" w:color="auto"/>
      </w:divBdr>
    </w:div>
    <w:div w:id="1027874581">
      <w:bodyDiv w:val="1"/>
      <w:marLeft w:val="0"/>
      <w:marRight w:val="0"/>
      <w:marTop w:val="0"/>
      <w:marBottom w:val="0"/>
      <w:divBdr>
        <w:top w:val="none" w:sz="0" w:space="0" w:color="auto"/>
        <w:left w:val="none" w:sz="0" w:space="0" w:color="auto"/>
        <w:bottom w:val="none" w:sz="0" w:space="0" w:color="auto"/>
        <w:right w:val="none" w:sz="0" w:space="0" w:color="auto"/>
      </w:divBdr>
    </w:div>
    <w:div w:id="1027876727">
      <w:bodyDiv w:val="1"/>
      <w:marLeft w:val="0"/>
      <w:marRight w:val="0"/>
      <w:marTop w:val="0"/>
      <w:marBottom w:val="0"/>
      <w:divBdr>
        <w:top w:val="none" w:sz="0" w:space="0" w:color="auto"/>
        <w:left w:val="none" w:sz="0" w:space="0" w:color="auto"/>
        <w:bottom w:val="none" w:sz="0" w:space="0" w:color="auto"/>
        <w:right w:val="none" w:sz="0" w:space="0" w:color="auto"/>
      </w:divBdr>
    </w:div>
    <w:div w:id="1029257255">
      <w:bodyDiv w:val="1"/>
      <w:marLeft w:val="0"/>
      <w:marRight w:val="0"/>
      <w:marTop w:val="0"/>
      <w:marBottom w:val="0"/>
      <w:divBdr>
        <w:top w:val="none" w:sz="0" w:space="0" w:color="auto"/>
        <w:left w:val="none" w:sz="0" w:space="0" w:color="auto"/>
        <w:bottom w:val="none" w:sz="0" w:space="0" w:color="auto"/>
        <w:right w:val="none" w:sz="0" w:space="0" w:color="auto"/>
      </w:divBdr>
    </w:div>
    <w:div w:id="1030303487">
      <w:bodyDiv w:val="1"/>
      <w:marLeft w:val="0"/>
      <w:marRight w:val="0"/>
      <w:marTop w:val="0"/>
      <w:marBottom w:val="0"/>
      <w:divBdr>
        <w:top w:val="none" w:sz="0" w:space="0" w:color="auto"/>
        <w:left w:val="none" w:sz="0" w:space="0" w:color="auto"/>
        <w:bottom w:val="none" w:sz="0" w:space="0" w:color="auto"/>
        <w:right w:val="none" w:sz="0" w:space="0" w:color="auto"/>
      </w:divBdr>
    </w:div>
    <w:div w:id="1031078142">
      <w:bodyDiv w:val="1"/>
      <w:marLeft w:val="0"/>
      <w:marRight w:val="0"/>
      <w:marTop w:val="0"/>
      <w:marBottom w:val="0"/>
      <w:divBdr>
        <w:top w:val="none" w:sz="0" w:space="0" w:color="auto"/>
        <w:left w:val="none" w:sz="0" w:space="0" w:color="auto"/>
        <w:bottom w:val="none" w:sz="0" w:space="0" w:color="auto"/>
        <w:right w:val="none" w:sz="0" w:space="0" w:color="auto"/>
      </w:divBdr>
    </w:div>
    <w:div w:id="1031420340">
      <w:bodyDiv w:val="1"/>
      <w:marLeft w:val="0"/>
      <w:marRight w:val="0"/>
      <w:marTop w:val="0"/>
      <w:marBottom w:val="0"/>
      <w:divBdr>
        <w:top w:val="none" w:sz="0" w:space="0" w:color="auto"/>
        <w:left w:val="none" w:sz="0" w:space="0" w:color="auto"/>
        <w:bottom w:val="none" w:sz="0" w:space="0" w:color="auto"/>
        <w:right w:val="none" w:sz="0" w:space="0" w:color="auto"/>
      </w:divBdr>
    </w:div>
    <w:div w:id="1031608009">
      <w:bodyDiv w:val="1"/>
      <w:marLeft w:val="0"/>
      <w:marRight w:val="0"/>
      <w:marTop w:val="0"/>
      <w:marBottom w:val="0"/>
      <w:divBdr>
        <w:top w:val="none" w:sz="0" w:space="0" w:color="auto"/>
        <w:left w:val="none" w:sz="0" w:space="0" w:color="auto"/>
        <w:bottom w:val="none" w:sz="0" w:space="0" w:color="auto"/>
        <w:right w:val="none" w:sz="0" w:space="0" w:color="auto"/>
      </w:divBdr>
    </w:div>
    <w:div w:id="1032026151">
      <w:bodyDiv w:val="1"/>
      <w:marLeft w:val="0"/>
      <w:marRight w:val="0"/>
      <w:marTop w:val="0"/>
      <w:marBottom w:val="0"/>
      <w:divBdr>
        <w:top w:val="none" w:sz="0" w:space="0" w:color="auto"/>
        <w:left w:val="none" w:sz="0" w:space="0" w:color="auto"/>
        <w:bottom w:val="none" w:sz="0" w:space="0" w:color="auto"/>
        <w:right w:val="none" w:sz="0" w:space="0" w:color="auto"/>
      </w:divBdr>
    </w:div>
    <w:div w:id="1032077617">
      <w:bodyDiv w:val="1"/>
      <w:marLeft w:val="0"/>
      <w:marRight w:val="0"/>
      <w:marTop w:val="0"/>
      <w:marBottom w:val="0"/>
      <w:divBdr>
        <w:top w:val="none" w:sz="0" w:space="0" w:color="auto"/>
        <w:left w:val="none" w:sz="0" w:space="0" w:color="auto"/>
        <w:bottom w:val="none" w:sz="0" w:space="0" w:color="auto"/>
        <w:right w:val="none" w:sz="0" w:space="0" w:color="auto"/>
      </w:divBdr>
    </w:div>
    <w:div w:id="1032535777">
      <w:bodyDiv w:val="1"/>
      <w:marLeft w:val="0"/>
      <w:marRight w:val="0"/>
      <w:marTop w:val="0"/>
      <w:marBottom w:val="0"/>
      <w:divBdr>
        <w:top w:val="none" w:sz="0" w:space="0" w:color="auto"/>
        <w:left w:val="none" w:sz="0" w:space="0" w:color="auto"/>
        <w:bottom w:val="none" w:sz="0" w:space="0" w:color="auto"/>
        <w:right w:val="none" w:sz="0" w:space="0" w:color="auto"/>
      </w:divBdr>
    </w:div>
    <w:div w:id="1032926630">
      <w:bodyDiv w:val="1"/>
      <w:marLeft w:val="0"/>
      <w:marRight w:val="0"/>
      <w:marTop w:val="0"/>
      <w:marBottom w:val="0"/>
      <w:divBdr>
        <w:top w:val="none" w:sz="0" w:space="0" w:color="auto"/>
        <w:left w:val="none" w:sz="0" w:space="0" w:color="auto"/>
        <w:bottom w:val="none" w:sz="0" w:space="0" w:color="auto"/>
        <w:right w:val="none" w:sz="0" w:space="0" w:color="auto"/>
      </w:divBdr>
    </w:div>
    <w:div w:id="1034429668">
      <w:bodyDiv w:val="1"/>
      <w:marLeft w:val="0"/>
      <w:marRight w:val="0"/>
      <w:marTop w:val="0"/>
      <w:marBottom w:val="0"/>
      <w:divBdr>
        <w:top w:val="none" w:sz="0" w:space="0" w:color="auto"/>
        <w:left w:val="none" w:sz="0" w:space="0" w:color="auto"/>
        <w:bottom w:val="none" w:sz="0" w:space="0" w:color="auto"/>
        <w:right w:val="none" w:sz="0" w:space="0" w:color="auto"/>
      </w:divBdr>
    </w:div>
    <w:div w:id="1035345372">
      <w:bodyDiv w:val="1"/>
      <w:marLeft w:val="0"/>
      <w:marRight w:val="0"/>
      <w:marTop w:val="0"/>
      <w:marBottom w:val="0"/>
      <w:divBdr>
        <w:top w:val="none" w:sz="0" w:space="0" w:color="auto"/>
        <w:left w:val="none" w:sz="0" w:space="0" w:color="auto"/>
        <w:bottom w:val="none" w:sz="0" w:space="0" w:color="auto"/>
        <w:right w:val="none" w:sz="0" w:space="0" w:color="auto"/>
      </w:divBdr>
    </w:div>
    <w:div w:id="1035429436">
      <w:bodyDiv w:val="1"/>
      <w:marLeft w:val="0"/>
      <w:marRight w:val="0"/>
      <w:marTop w:val="0"/>
      <w:marBottom w:val="0"/>
      <w:divBdr>
        <w:top w:val="none" w:sz="0" w:space="0" w:color="auto"/>
        <w:left w:val="none" w:sz="0" w:space="0" w:color="auto"/>
        <w:bottom w:val="none" w:sz="0" w:space="0" w:color="auto"/>
        <w:right w:val="none" w:sz="0" w:space="0" w:color="auto"/>
      </w:divBdr>
    </w:div>
    <w:div w:id="1036858579">
      <w:bodyDiv w:val="1"/>
      <w:marLeft w:val="0"/>
      <w:marRight w:val="0"/>
      <w:marTop w:val="0"/>
      <w:marBottom w:val="0"/>
      <w:divBdr>
        <w:top w:val="none" w:sz="0" w:space="0" w:color="auto"/>
        <w:left w:val="none" w:sz="0" w:space="0" w:color="auto"/>
        <w:bottom w:val="none" w:sz="0" w:space="0" w:color="auto"/>
        <w:right w:val="none" w:sz="0" w:space="0" w:color="auto"/>
      </w:divBdr>
    </w:div>
    <w:div w:id="1036932926">
      <w:bodyDiv w:val="1"/>
      <w:marLeft w:val="0"/>
      <w:marRight w:val="0"/>
      <w:marTop w:val="0"/>
      <w:marBottom w:val="0"/>
      <w:divBdr>
        <w:top w:val="none" w:sz="0" w:space="0" w:color="auto"/>
        <w:left w:val="none" w:sz="0" w:space="0" w:color="auto"/>
        <w:bottom w:val="none" w:sz="0" w:space="0" w:color="auto"/>
        <w:right w:val="none" w:sz="0" w:space="0" w:color="auto"/>
      </w:divBdr>
    </w:div>
    <w:div w:id="1037388650">
      <w:bodyDiv w:val="1"/>
      <w:marLeft w:val="0"/>
      <w:marRight w:val="0"/>
      <w:marTop w:val="0"/>
      <w:marBottom w:val="0"/>
      <w:divBdr>
        <w:top w:val="none" w:sz="0" w:space="0" w:color="auto"/>
        <w:left w:val="none" w:sz="0" w:space="0" w:color="auto"/>
        <w:bottom w:val="none" w:sz="0" w:space="0" w:color="auto"/>
        <w:right w:val="none" w:sz="0" w:space="0" w:color="auto"/>
      </w:divBdr>
    </w:div>
    <w:div w:id="1038168060">
      <w:bodyDiv w:val="1"/>
      <w:marLeft w:val="0"/>
      <w:marRight w:val="0"/>
      <w:marTop w:val="0"/>
      <w:marBottom w:val="0"/>
      <w:divBdr>
        <w:top w:val="none" w:sz="0" w:space="0" w:color="auto"/>
        <w:left w:val="none" w:sz="0" w:space="0" w:color="auto"/>
        <w:bottom w:val="none" w:sz="0" w:space="0" w:color="auto"/>
        <w:right w:val="none" w:sz="0" w:space="0" w:color="auto"/>
      </w:divBdr>
    </w:div>
    <w:div w:id="1039017363">
      <w:bodyDiv w:val="1"/>
      <w:marLeft w:val="0"/>
      <w:marRight w:val="0"/>
      <w:marTop w:val="0"/>
      <w:marBottom w:val="0"/>
      <w:divBdr>
        <w:top w:val="none" w:sz="0" w:space="0" w:color="auto"/>
        <w:left w:val="none" w:sz="0" w:space="0" w:color="auto"/>
        <w:bottom w:val="none" w:sz="0" w:space="0" w:color="auto"/>
        <w:right w:val="none" w:sz="0" w:space="0" w:color="auto"/>
      </w:divBdr>
    </w:div>
    <w:div w:id="1039548086">
      <w:bodyDiv w:val="1"/>
      <w:marLeft w:val="0"/>
      <w:marRight w:val="0"/>
      <w:marTop w:val="0"/>
      <w:marBottom w:val="0"/>
      <w:divBdr>
        <w:top w:val="none" w:sz="0" w:space="0" w:color="auto"/>
        <w:left w:val="none" w:sz="0" w:space="0" w:color="auto"/>
        <w:bottom w:val="none" w:sz="0" w:space="0" w:color="auto"/>
        <w:right w:val="none" w:sz="0" w:space="0" w:color="auto"/>
      </w:divBdr>
    </w:div>
    <w:div w:id="1039741691">
      <w:bodyDiv w:val="1"/>
      <w:marLeft w:val="0"/>
      <w:marRight w:val="0"/>
      <w:marTop w:val="0"/>
      <w:marBottom w:val="0"/>
      <w:divBdr>
        <w:top w:val="none" w:sz="0" w:space="0" w:color="auto"/>
        <w:left w:val="none" w:sz="0" w:space="0" w:color="auto"/>
        <w:bottom w:val="none" w:sz="0" w:space="0" w:color="auto"/>
        <w:right w:val="none" w:sz="0" w:space="0" w:color="auto"/>
      </w:divBdr>
    </w:div>
    <w:div w:id="1041127081">
      <w:bodyDiv w:val="1"/>
      <w:marLeft w:val="0"/>
      <w:marRight w:val="0"/>
      <w:marTop w:val="0"/>
      <w:marBottom w:val="0"/>
      <w:divBdr>
        <w:top w:val="none" w:sz="0" w:space="0" w:color="auto"/>
        <w:left w:val="none" w:sz="0" w:space="0" w:color="auto"/>
        <w:bottom w:val="none" w:sz="0" w:space="0" w:color="auto"/>
        <w:right w:val="none" w:sz="0" w:space="0" w:color="auto"/>
      </w:divBdr>
    </w:div>
    <w:div w:id="1041784524">
      <w:bodyDiv w:val="1"/>
      <w:marLeft w:val="0"/>
      <w:marRight w:val="0"/>
      <w:marTop w:val="0"/>
      <w:marBottom w:val="0"/>
      <w:divBdr>
        <w:top w:val="none" w:sz="0" w:space="0" w:color="auto"/>
        <w:left w:val="none" w:sz="0" w:space="0" w:color="auto"/>
        <w:bottom w:val="none" w:sz="0" w:space="0" w:color="auto"/>
        <w:right w:val="none" w:sz="0" w:space="0" w:color="auto"/>
      </w:divBdr>
    </w:div>
    <w:div w:id="1041906790">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3139105">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3483614">
      <w:bodyDiv w:val="1"/>
      <w:marLeft w:val="0"/>
      <w:marRight w:val="0"/>
      <w:marTop w:val="0"/>
      <w:marBottom w:val="0"/>
      <w:divBdr>
        <w:top w:val="none" w:sz="0" w:space="0" w:color="auto"/>
        <w:left w:val="none" w:sz="0" w:space="0" w:color="auto"/>
        <w:bottom w:val="none" w:sz="0" w:space="0" w:color="auto"/>
        <w:right w:val="none" w:sz="0" w:space="0" w:color="auto"/>
      </w:divBdr>
    </w:div>
    <w:div w:id="1043562066">
      <w:bodyDiv w:val="1"/>
      <w:marLeft w:val="0"/>
      <w:marRight w:val="0"/>
      <w:marTop w:val="0"/>
      <w:marBottom w:val="0"/>
      <w:divBdr>
        <w:top w:val="none" w:sz="0" w:space="0" w:color="auto"/>
        <w:left w:val="none" w:sz="0" w:space="0" w:color="auto"/>
        <w:bottom w:val="none" w:sz="0" w:space="0" w:color="auto"/>
        <w:right w:val="none" w:sz="0" w:space="0" w:color="auto"/>
      </w:divBdr>
    </w:div>
    <w:div w:id="1045065146">
      <w:bodyDiv w:val="1"/>
      <w:marLeft w:val="0"/>
      <w:marRight w:val="0"/>
      <w:marTop w:val="0"/>
      <w:marBottom w:val="0"/>
      <w:divBdr>
        <w:top w:val="none" w:sz="0" w:space="0" w:color="auto"/>
        <w:left w:val="none" w:sz="0" w:space="0" w:color="auto"/>
        <w:bottom w:val="none" w:sz="0" w:space="0" w:color="auto"/>
        <w:right w:val="none" w:sz="0" w:space="0" w:color="auto"/>
      </w:divBdr>
    </w:div>
    <w:div w:id="1045443490">
      <w:bodyDiv w:val="1"/>
      <w:marLeft w:val="0"/>
      <w:marRight w:val="0"/>
      <w:marTop w:val="0"/>
      <w:marBottom w:val="0"/>
      <w:divBdr>
        <w:top w:val="none" w:sz="0" w:space="0" w:color="auto"/>
        <w:left w:val="none" w:sz="0" w:space="0" w:color="auto"/>
        <w:bottom w:val="none" w:sz="0" w:space="0" w:color="auto"/>
        <w:right w:val="none" w:sz="0" w:space="0" w:color="auto"/>
      </w:divBdr>
    </w:div>
    <w:div w:id="1045451341">
      <w:bodyDiv w:val="1"/>
      <w:marLeft w:val="0"/>
      <w:marRight w:val="0"/>
      <w:marTop w:val="0"/>
      <w:marBottom w:val="0"/>
      <w:divBdr>
        <w:top w:val="none" w:sz="0" w:space="0" w:color="auto"/>
        <w:left w:val="none" w:sz="0" w:space="0" w:color="auto"/>
        <w:bottom w:val="none" w:sz="0" w:space="0" w:color="auto"/>
        <w:right w:val="none" w:sz="0" w:space="0" w:color="auto"/>
      </w:divBdr>
    </w:div>
    <w:div w:id="1046180433">
      <w:bodyDiv w:val="1"/>
      <w:marLeft w:val="0"/>
      <w:marRight w:val="0"/>
      <w:marTop w:val="0"/>
      <w:marBottom w:val="0"/>
      <w:divBdr>
        <w:top w:val="none" w:sz="0" w:space="0" w:color="auto"/>
        <w:left w:val="none" w:sz="0" w:space="0" w:color="auto"/>
        <w:bottom w:val="none" w:sz="0" w:space="0" w:color="auto"/>
        <w:right w:val="none" w:sz="0" w:space="0" w:color="auto"/>
      </w:divBdr>
    </w:div>
    <w:div w:id="1046300869">
      <w:bodyDiv w:val="1"/>
      <w:marLeft w:val="0"/>
      <w:marRight w:val="0"/>
      <w:marTop w:val="0"/>
      <w:marBottom w:val="0"/>
      <w:divBdr>
        <w:top w:val="none" w:sz="0" w:space="0" w:color="auto"/>
        <w:left w:val="none" w:sz="0" w:space="0" w:color="auto"/>
        <w:bottom w:val="none" w:sz="0" w:space="0" w:color="auto"/>
        <w:right w:val="none" w:sz="0" w:space="0" w:color="auto"/>
      </w:divBdr>
    </w:div>
    <w:div w:id="1046370162">
      <w:bodyDiv w:val="1"/>
      <w:marLeft w:val="0"/>
      <w:marRight w:val="0"/>
      <w:marTop w:val="0"/>
      <w:marBottom w:val="0"/>
      <w:divBdr>
        <w:top w:val="none" w:sz="0" w:space="0" w:color="auto"/>
        <w:left w:val="none" w:sz="0" w:space="0" w:color="auto"/>
        <w:bottom w:val="none" w:sz="0" w:space="0" w:color="auto"/>
        <w:right w:val="none" w:sz="0" w:space="0" w:color="auto"/>
      </w:divBdr>
    </w:div>
    <w:div w:id="1046370711">
      <w:bodyDiv w:val="1"/>
      <w:marLeft w:val="0"/>
      <w:marRight w:val="0"/>
      <w:marTop w:val="0"/>
      <w:marBottom w:val="0"/>
      <w:divBdr>
        <w:top w:val="none" w:sz="0" w:space="0" w:color="auto"/>
        <w:left w:val="none" w:sz="0" w:space="0" w:color="auto"/>
        <w:bottom w:val="none" w:sz="0" w:space="0" w:color="auto"/>
        <w:right w:val="none" w:sz="0" w:space="0" w:color="auto"/>
      </w:divBdr>
    </w:div>
    <w:div w:id="1046880121">
      <w:bodyDiv w:val="1"/>
      <w:marLeft w:val="0"/>
      <w:marRight w:val="0"/>
      <w:marTop w:val="0"/>
      <w:marBottom w:val="0"/>
      <w:divBdr>
        <w:top w:val="none" w:sz="0" w:space="0" w:color="auto"/>
        <w:left w:val="none" w:sz="0" w:space="0" w:color="auto"/>
        <w:bottom w:val="none" w:sz="0" w:space="0" w:color="auto"/>
        <w:right w:val="none" w:sz="0" w:space="0" w:color="auto"/>
      </w:divBdr>
    </w:div>
    <w:div w:id="1047025430">
      <w:bodyDiv w:val="1"/>
      <w:marLeft w:val="0"/>
      <w:marRight w:val="0"/>
      <w:marTop w:val="0"/>
      <w:marBottom w:val="0"/>
      <w:divBdr>
        <w:top w:val="none" w:sz="0" w:space="0" w:color="auto"/>
        <w:left w:val="none" w:sz="0" w:space="0" w:color="auto"/>
        <w:bottom w:val="none" w:sz="0" w:space="0" w:color="auto"/>
        <w:right w:val="none" w:sz="0" w:space="0" w:color="auto"/>
      </w:divBdr>
    </w:div>
    <w:div w:id="1047221689">
      <w:bodyDiv w:val="1"/>
      <w:marLeft w:val="0"/>
      <w:marRight w:val="0"/>
      <w:marTop w:val="0"/>
      <w:marBottom w:val="0"/>
      <w:divBdr>
        <w:top w:val="none" w:sz="0" w:space="0" w:color="auto"/>
        <w:left w:val="none" w:sz="0" w:space="0" w:color="auto"/>
        <w:bottom w:val="none" w:sz="0" w:space="0" w:color="auto"/>
        <w:right w:val="none" w:sz="0" w:space="0" w:color="auto"/>
      </w:divBdr>
    </w:div>
    <w:div w:id="1048653475">
      <w:bodyDiv w:val="1"/>
      <w:marLeft w:val="0"/>
      <w:marRight w:val="0"/>
      <w:marTop w:val="0"/>
      <w:marBottom w:val="0"/>
      <w:divBdr>
        <w:top w:val="none" w:sz="0" w:space="0" w:color="auto"/>
        <w:left w:val="none" w:sz="0" w:space="0" w:color="auto"/>
        <w:bottom w:val="none" w:sz="0" w:space="0" w:color="auto"/>
        <w:right w:val="none" w:sz="0" w:space="0" w:color="auto"/>
      </w:divBdr>
    </w:div>
    <w:div w:id="1049112722">
      <w:bodyDiv w:val="1"/>
      <w:marLeft w:val="0"/>
      <w:marRight w:val="0"/>
      <w:marTop w:val="0"/>
      <w:marBottom w:val="0"/>
      <w:divBdr>
        <w:top w:val="none" w:sz="0" w:space="0" w:color="auto"/>
        <w:left w:val="none" w:sz="0" w:space="0" w:color="auto"/>
        <w:bottom w:val="none" w:sz="0" w:space="0" w:color="auto"/>
        <w:right w:val="none" w:sz="0" w:space="0" w:color="auto"/>
      </w:divBdr>
    </w:div>
    <w:div w:id="1050303386">
      <w:bodyDiv w:val="1"/>
      <w:marLeft w:val="0"/>
      <w:marRight w:val="0"/>
      <w:marTop w:val="0"/>
      <w:marBottom w:val="0"/>
      <w:divBdr>
        <w:top w:val="none" w:sz="0" w:space="0" w:color="auto"/>
        <w:left w:val="none" w:sz="0" w:space="0" w:color="auto"/>
        <w:bottom w:val="none" w:sz="0" w:space="0" w:color="auto"/>
        <w:right w:val="none" w:sz="0" w:space="0" w:color="auto"/>
      </w:divBdr>
    </w:div>
    <w:div w:id="1050574390">
      <w:bodyDiv w:val="1"/>
      <w:marLeft w:val="0"/>
      <w:marRight w:val="0"/>
      <w:marTop w:val="0"/>
      <w:marBottom w:val="0"/>
      <w:divBdr>
        <w:top w:val="none" w:sz="0" w:space="0" w:color="auto"/>
        <w:left w:val="none" w:sz="0" w:space="0" w:color="auto"/>
        <w:bottom w:val="none" w:sz="0" w:space="0" w:color="auto"/>
        <w:right w:val="none" w:sz="0" w:space="0" w:color="auto"/>
      </w:divBdr>
    </w:div>
    <w:div w:id="1050960387">
      <w:bodyDiv w:val="1"/>
      <w:marLeft w:val="0"/>
      <w:marRight w:val="0"/>
      <w:marTop w:val="0"/>
      <w:marBottom w:val="0"/>
      <w:divBdr>
        <w:top w:val="none" w:sz="0" w:space="0" w:color="auto"/>
        <w:left w:val="none" w:sz="0" w:space="0" w:color="auto"/>
        <w:bottom w:val="none" w:sz="0" w:space="0" w:color="auto"/>
        <w:right w:val="none" w:sz="0" w:space="0" w:color="auto"/>
      </w:divBdr>
    </w:div>
    <w:div w:id="1051341416">
      <w:bodyDiv w:val="1"/>
      <w:marLeft w:val="0"/>
      <w:marRight w:val="0"/>
      <w:marTop w:val="0"/>
      <w:marBottom w:val="0"/>
      <w:divBdr>
        <w:top w:val="none" w:sz="0" w:space="0" w:color="auto"/>
        <w:left w:val="none" w:sz="0" w:space="0" w:color="auto"/>
        <w:bottom w:val="none" w:sz="0" w:space="0" w:color="auto"/>
        <w:right w:val="none" w:sz="0" w:space="0" w:color="auto"/>
      </w:divBdr>
    </w:div>
    <w:div w:id="1051542300">
      <w:bodyDiv w:val="1"/>
      <w:marLeft w:val="0"/>
      <w:marRight w:val="0"/>
      <w:marTop w:val="0"/>
      <w:marBottom w:val="0"/>
      <w:divBdr>
        <w:top w:val="none" w:sz="0" w:space="0" w:color="auto"/>
        <w:left w:val="none" w:sz="0" w:space="0" w:color="auto"/>
        <w:bottom w:val="none" w:sz="0" w:space="0" w:color="auto"/>
        <w:right w:val="none" w:sz="0" w:space="0" w:color="auto"/>
      </w:divBdr>
    </w:div>
    <w:div w:id="1052196279">
      <w:bodyDiv w:val="1"/>
      <w:marLeft w:val="0"/>
      <w:marRight w:val="0"/>
      <w:marTop w:val="0"/>
      <w:marBottom w:val="0"/>
      <w:divBdr>
        <w:top w:val="none" w:sz="0" w:space="0" w:color="auto"/>
        <w:left w:val="none" w:sz="0" w:space="0" w:color="auto"/>
        <w:bottom w:val="none" w:sz="0" w:space="0" w:color="auto"/>
        <w:right w:val="none" w:sz="0" w:space="0" w:color="auto"/>
      </w:divBdr>
    </w:div>
    <w:div w:id="1052197370">
      <w:bodyDiv w:val="1"/>
      <w:marLeft w:val="0"/>
      <w:marRight w:val="0"/>
      <w:marTop w:val="0"/>
      <w:marBottom w:val="0"/>
      <w:divBdr>
        <w:top w:val="none" w:sz="0" w:space="0" w:color="auto"/>
        <w:left w:val="none" w:sz="0" w:space="0" w:color="auto"/>
        <w:bottom w:val="none" w:sz="0" w:space="0" w:color="auto"/>
        <w:right w:val="none" w:sz="0" w:space="0" w:color="auto"/>
      </w:divBdr>
    </w:div>
    <w:div w:id="1052266648">
      <w:bodyDiv w:val="1"/>
      <w:marLeft w:val="0"/>
      <w:marRight w:val="0"/>
      <w:marTop w:val="0"/>
      <w:marBottom w:val="0"/>
      <w:divBdr>
        <w:top w:val="none" w:sz="0" w:space="0" w:color="auto"/>
        <w:left w:val="none" w:sz="0" w:space="0" w:color="auto"/>
        <w:bottom w:val="none" w:sz="0" w:space="0" w:color="auto"/>
        <w:right w:val="none" w:sz="0" w:space="0" w:color="auto"/>
      </w:divBdr>
    </w:div>
    <w:div w:id="1052269168">
      <w:bodyDiv w:val="1"/>
      <w:marLeft w:val="0"/>
      <w:marRight w:val="0"/>
      <w:marTop w:val="0"/>
      <w:marBottom w:val="0"/>
      <w:divBdr>
        <w:top w:val="none" w:sz="0" w:space="0" w:color="auto"/>
        <w:left w:val="none" w:sz="0" w:space="0" w:color="auto"/>
        <w:bottom w:val="none" w:sz="0" w:space="0" w:color="auto"/>
        <w:right w:val="none" w:sz="0" w:space="0" w:color="auto"/>
      </w:divBdr>
    </w:div>
    <w:div w:id="1052342741">
      <w:bodyDiv w:val="1"/>
      <w:marLeft w:val="0"/>
      <w:marRight w:val="0"/>
      <w:marTop w:val="0"/>
      <w:marBottom w:val="0"/>
      <w:divBdr>
        <w:top w:val="none" w:sz="0" w:space="0" w:color="auto"/>
        <w:left w:val="none" w:sz="0" w:space="0" w:color="auto"/>
        <w:bottom w:val="none" w:sz="0" w:space="0" w:color="auto"/>
        <w:right w:val="none" w:sz="0" w:space="0" w:color="auto"/>
      </w:divBdr>
    </w:div>
    <w:div w:id="1052849437">
      <w:bodyDiv w:val="1"/>
      <w:marLeft w:val="0"/>
      <w:marRight w:val="0"/>
      <w:marTop w:val="0"/>
      <w:marBottom w:val="0"/>
      <w:divBdr>
        <w:top w:val="none" w:sz="0" w:space="0" w:color="auto"/>
        <w:left w:val="none" w:sz="0" w:space="0" w:color="auto"/>
        <w:bottom w:val="none" w:sz="0" w:space="0" w:color="auto"/>
        <w:right w:val="none" w:sz="0" w:space="0" w:color="auto"/>
      </w:divBdr>
    </w:div>
    <w:div w:id="1053428153">
      <w:bodyDiv w:val="1"/>
      <w:marLeft w:val="0"/>
      <w:marRight w:val="0"/>
      <w:marTop w:val="0"/>
      <w:marBottom w:val="0"/>
      <w:divBdr>
        <w:top w:val="none" w:sz="0" w:space="0" w:color="auto"/>
        <w:left w:val="none" w:sz="0" w:space="0" w:color="auto"/>
        <w:bottom w:val="none" w:sz="0" w:space="0" w:color="auto"/>
        <w:right w:val="none" w:sz="0" w:space="0" w:color="auto"/>
      </w:divBdr>
    </w:div>
    <w:div w:id="1053579623">
      <w:bodyDiv w:val="1"/>
      <w:marLeft w:val="0"/>
      <w:marRight w:val="0"/>
      <w:marTop w:val="0"/>
      <w:marBottom w:val="0"/>
      <w:divBdr>
        <w:top w:val="none" w:sz="0" w:space="0" w:color="auto"/>
        <w:left w:val="none" w:sz="0" w:space="0" w:color="auto"/>
        <w:bottom w:val="none" w:sz="0" w:space="0" w:color="auto"/>
        <w:right w:val="none" w:sz="0" w:space="0" w:color="auto"/>
      </w:divBdr>
    </w:div>
    <w:div w:id="1053966685">
      <w:bodyDiv w:val="1"/>
      <w:marLeft w:val="0"/>
      <w:marRight w:val="0"/>
      <w:marTop w:val="0"/>
      <w:marBottom w:val="0"/>
      <w:divBdr>
        <w:top w:val="none" w:sz="0" w:space="0" w:color="auto"/>
        <w:left w:val="none" w:sz="0" w:space="0" w:color="auto"/>
        <w:bottom w:val="none" w:sz="0" w:space="0" w:color="auto"/>
        <w:right w:val="none" w:sz="0" w:space="0" w:color="auto"/>
      </w:divBdr>
    </w:div>
    <w:div w:id="1055350364">
      <w:bodyDiv w:val="1"/>
      <w:marLeft w:val="0"/>
      <w:marRight w:val="0"/>
      <w:marTop w:val="0"/>
      <w:marBottom w:val="0"/>
      <w:divBdr>
        <w:top w:val="none" w:sz="0" w:space="0" w:color="auto"/>
        <w:left w:val="none" w:sz="0" w:space="0" w:color="auto"/>
        <w:bottom w:val="none" w:sz="0" w:space="0" w:color="auto"/>
        <w:right w:val="none" w:sz="0" w:space="0" w:color="auto"/>
      </w:divBdr>
    </w:div>
    <w:div w:id="1055661237">
      <w:bodyDiv w:val="1"/>
      <w:marLeft w:val="0"/>
      <w:marRight w:val="0"/>
      <w:marTop w:val="0"/>
      <w:marBottom w:val="0"/>
      <w:divBdr>
        <w:top w:val="none" w:sz="0" w:space="0" w:color="auto"/>
        <w:left w:val="none" w:sz="0" w:space="0" w:color="auto"/>
        <w:bottom w:val="none" w:sz="0" w:space="0" w:color="auto"/>
        <w:right w:val="none" w:sz="0" w:space="0" w:color="auto"/>
      </w:divBdr>
    </w:div>
    <w:div w:id="1058282850">
      <w:bodyDiv w:val="1"/>
      <w:marLeft w:val="0"/>
      <w:marRight w:val="0"/>
      <w:marTop w:val="0"/>
      <w:marBottom w:val="0"/>
      <w:divBdr>
        <w:top w:val="none" w:sz="0" w:space="0" w:color="auto"/>
        <w:left w:val="none" w:sz="0" w:space="0" w:color="auto"/>
        <w:bottom w:val="none" w:sz="0" w:space="0" w:color="auto"/>
        <w:right w:val="none" w:sz="0" w:space="0" w:color="auto"/>
      </w:divBdr>
    </w:div>
    <w:div w:id="1060708814">
      <w:bodyDiv w:val="1"/>
      <w:marLeft w:val="0"/>
      <w:marRight w:val="0"/>
      <w:marTop w:val="0"/>
      <w:marBottom w:val="0"/>
      <w:divBdr>
        <w:top w:val="none" w:sz="0" w:space="0" w:color="auto"/>
        <w:left w:val="none" w:sz="0" w:space="0" w:color="auto"/>
        <w:bottom w:val="none" w:sz="0" w:space="0" w:color="auto"/>
        <w:right w:val="none" w:sz="0" w:space="0" w:color="auto"/>
      </w:divBdr>
    </w:div>
    <w:div w:id="1061444994">
      <w:bodyDiv w:val="1"/>
      <w:marLeft w:val="0"/>
      <w:marRight w:val="0"/>
      <w:marTop w:val="0"/>
      <w:marBottom w:val="0"/>
      <w:divBdr>
        <w:top w:val="none" w:sz="0" w:space="0" w:color="auto"/>
        <w:left w:val="none" w:sz="0" w:space="0" w:color="auto"/>
        <w:bottom w:val="none" w:sz="0" w:space="0" w:color="auto"/>
        <w:right w:val="none" w:sz="0" w:space="0" w:color="auto"/>
      </w:divBdr>
    </w:div>
    <w:div w:id="1061636376">
      <w:bodyDiv w:val="1"/>
      <w:marLeft w:val="0"/>
      <w:marRight w:val="0"/>
      <w:marTop w:val="0"/>
      <w:marBottom w:val="0"/>
      <w:divBdr>
        <w:top w:val="none" w:sz="0" w:space="0" w:color="auto"/>
        <w:left w:val="none" w:sz="0" w:space="0" w:color="auto"/>
        <w:bottom w:val="none" w:sz="0" w:space="0" w:color="auto"/>
        <w:right w:val="none" w:sz="0" w:space="0" w:color="auto"/>
      </w:divBdr>
    </w:div>
    <w:div w:id="1062094669">
      <w:bodyDiv w:val="1"/>
      <w:marLeft w:val="0"/>
      <w:marRight w:val="0"/>
      <w:marTop w:val="0"/>
      <w:marBottom w:val="0"/>
      <w:divBdr>
        <w:top w:val="none" w:sz="0" w:space="0" w:color="auto"/>
        <w:left w:val="none" w:sz="0" w:space="0" w:color="auto"/>
        <w:bottom w:val="none" w:sz="0" w:space="0" w:color="auto"/>
        <w:right w:val="none" w:sz="0" w:space="0" w:color="auto"/>
      </w:divBdr>
    </w:div>
    <w:div w:id="1063722072">
      <w:bodyDiv w:val="1"/>
      <w:marLeft w:val="0"/>
      <w:marRight w:val="0"/>
      <w:marTop w:val="0"/>
      <w:marBottom w:val="0"/>
      <w:divBdr>
        <w:top w:val="none" w:sz="0" w:space="0" w:color="auto"/>
        <w:left w:val="none" w:sz="0" w:space="0" w:color="auto"/>
        <w:bottom w:val="none" w:sz="0" w:space="0" w:color="auto"/>
        <w:right w:val="none" w:sz="0" w:space="0" w:color="auto"/>
      </w:divBdr>
    </w:div>
    <w:div w:id="1064137502">
      <w:bodyDiv w:val="1"/>
      <w:marLeft w:val="0"/>
      <w:marRight w:val="0"/>
      <w:marTop w:val="0"/>
      <w:marBottom w:val="0"/>
      <w:divBdr>
        <w:top w:val="none" w:sz="0" w:space="0" w:color="auto"/>
        <w:left w:val="none" w:sz="0" w:space="0" w:color="auto"/>
        <w:bottom w:val="none" w:sz="0" w:space="0" w:color="auto"/>
        <w:right w:val="none" w:sz="0" w:space="0" w:color="auto"/>
      </w:divBdr>
    </w:div>
    <w:div w:id="1064260536">
      <w:bodyDiv w:val="1"/>
      <w:marLeft w:val="0"/>
      <w:marRight w:val="0"/>
      <w:marTop w:val="0"/>
      <w:marBottom w:val="0"/>
      <w:divBdr>
        <w:top w:val="none" w:sz="0" w:space="0" w:color="auto"/>
        <w:left w:val="none" w:sz="0" w:space="0" w:color="auto"/>
        <w:bottom w:val="none" w:sz="0" w:space="0" w:color="auto"/>
        <w:right w:val="none" w:sz="0" w:space="0" w:color="auto"/>
      </w:divBdr>
    </w:div>
    <w:div w:id="1064640024">
      <w:bodyDiv w:val="1"/>
      <w:marLeft w:val="0"/>
      <w:marRight w:val="0"/>
      <w:marTop w:val="0"/>
      <w:marBottom w:val="0"/>
      <w:divBdr>
        <w:top w:val="none" w:sz="0" w:space="0" w:color="auto"/>
        <w:left w:val="none" w:sz="0" w:space="0" w:color="auto"/>
        <w:bottom w:val="none" w:sz="0" w:space="0" w:color="auto"/>
        <w:right w:val="none" w:sz="0" w:space="0" w:color="auto"/>
      </w:divBdr>
    </w:div>
    <w:div w:id="1064765045">
      <w:bodyDiv w:val="1"/>
      <w:marLeft w:val="0"/>
      <w:marRight w:val="0"/>
      <w:marTop w:val="0"/>
      <w:marBottom w:val="0"/>
      <w:divBdr>
        <w:top w:val="none" w:sz="0" w:space="0" w:color="auto"/>
        <w:left w:val="none" w:sz="0" w:space="0" w:color="auto"/>
        <w:bottom w:val="none" w:sz="0" w:space="0" w:color="auto"/>
        <w:right w:val="none" w:sz="0" w:space="0" w:color="auto"/>
      </w:divBdr>
    </w:div>
    <w:div w:id="1066029663">
      <w:bodyDiv w:val="1"/>
      <w:marLeft w:val="0"/>
      <w:marRight w:val="0"/>
      <w:marTop w:val="0"/>
      <w:marBottom w:val="0"/>
      <w:divBdr>
        <w:top w:val="none" w:sz="0" w:space="0" w:color="auto"/>
        <w:left w:val="none" w:sz="0" w:space="0" w:color="auto"/>
        <w:bottom w:val="none" w:sz="0" w:space="0" w:color="auto"/>
        <w:right w:val="none" w:sz="0" w:space="0" w:color="auto"/>
      </w:divBdr>
    </w:div>
    <w:div w:id="1066949769">
      <w:bodyDiv w:val="1"/>
      <w:marLeft w:val="0"/>
      <w:marRight w:val="0"/>
      <w:marTop w:val="0"/>
      <w:marBottom w:val="0"/>
      <w:divBdr>
        <w:top w:val="none" w:sz="0" w:space="0" w:color="auto"/>
        <w:left w:val="none" w:sz="0" w:space="0" w:color="auto"/>
        <w:bottom w:val="none" w:sz="0" w:space="0" w:color="auto"/>
        <w:right w:val="none" w:sz="0" w:space="0" w:color="auto"/>
      </w:divBdr>
    </w:div>
    <w:div w:id="1067189555">
      <w:bodyDiv w:val="1"/>
      <w:marLeft w:val="0"/>
      <w:marRight w:val="0"/>
      <w:marTop w:val="0"/>
      <w:marBottom w:val="0"/>
      <w:divBdr>
        <w:top w:val="none" w:sz="0" w:space="0" w:color="auto"/>
        <w:left w:val="none" w:sz="0" w:space="0" w:color="auto"/>
        <w:bottom w:val="none" w:sz="0" w:space="0" w:color="auto"/>
        <w:right w:val="none" w:sz="0" w:space="0" w:color="auto"/>
      </w:divBdr>
    </w:div>
    <w:div w:id="1067264592">
      <w:bodyDiv w:val="1"/>
      <w:marLeft w:val="0"/>
      <w:marRight w:val="0"/>
      <w:marTop w:val="0"/>
      <w:marBottom w:val="0"/>
      <w:divBdr>
        <w:top w:val="none" w:sz="0" w:space="0" w:color="auto"/>
        <w:left w:val="none" w:sz="0" w:space="0" w:color="auto"/>
        <w:bottom w:val="none" w:sz="0" w:space="0" w:color="auto"/>
        <w:right w:val="none" w:sz="0" w:space="0" w:color="auto"/>
      </w:divBdr>
    </w:div>
    <w:div w:id="1068305330">
      <w:bodyDiv w:val="1"/>
      <w:marLeft w:val="0"/>
      <w:marRight w:val="0"/>
      <w:marTop w:val="0"/>
      <w:marBottom w:val="0"/>
      <w:divBdr>
        <w:top w:val="none" w:sz="0" w:space="0" w:color="auto"/>
        <w:left w:val="none" w:sz="0" w:space="0" w:color="auto"/>
        <w:bottom w:val="none" w:sz="0" w:space="0" w:color="auto"/>
        <w:right w:val="none" w:sz="0" w:space="0" w:color="auto"/>
      </w:divBdr>
    </w:div>
    <w:div w:id="1068916683">
      <w:bodyDiv w:val="1"/>
      <w:marLeft w:val="0"/>
      <w:marRight w:val="0"/>
      <w:marTop w:val="0"/>
      <w:marBottom w:val="0"/>
      <w:divBdr>
        <w:top w:val="none" w:sz="0" w:space="0" w:color="auto"/>
        <w:left w:val="none" w:sz="0" w:space="0" w:color="auto"/>
        <w:bottom w:val="none" w:sz="0" w:space="0" w:color="auto"/>
        <w:right w:val="none" w:sz="0" w:space="0" w:color="auto"/>
      </w:divBdr>
    </w:div>
    <w:div w:id="1069769002">
      <w:bodyDiv w:val="1"/>
      <w:marLeft w:val="0"/>
      <w:marRight w:val="0"/>
      <w:marTop w:val="0"/>
      <w:marBottom w:val="0"/>
      <w:divBdr>
        <w:top w:val="none" w:sz="0" w:space="0" w:color="auto"/>
        <w:left w:val="none" w:sz="0" w:space="0" w:color="auto"/>
        <w:bottom w:val="none" w:sz="0" w:space="0" w:color="auto"/>
        <w:right w:val="none" w:sz="0" w:space="0" w:color="auto"/>
      </w:divBdr>
    </w:div>
    <w:div w:id="1069810952">
      <w:bodyDiv w:val="1"/>
      <w:marLeft w:val="0"/>
      <w:marRight w:val="0"/>
      <w:marTop w:val="0"/>
      <w:marBottom w:val="0"/>
      <w:divBdr>
        <w:top w:val="none" w:sz="0" w:space="0" w:color="auto"/>
        <w:left w:val="none" w:sz="0" w:space="0" w:color="auto"/>
        <w:bottom w:val="none" w:sz="0" w:space="0" w:color="auto"/>
        <w:right w:val="none" w:sz="0" w:space="0" w:color="auto"/>
      </w:divBdr>
    </w:div>
    <w:div w:id="1070539228">
      <w:bodyDiv w:val="1"/>
      <w:marLeft w:val="0"/>
      <w:marRight w:val="0"/>
      <w:marTop w:val="0"/>
      <w:marBottom w:val="0"/>
      <w:divBdr>
        <w:top w:val="none" w:sz="0" w:space="0" w:color="auto"/>
        <w:left w:val="none" w:sz="0" w:space="0" w:color="auto"/>
        <w:bottom w:val="none" w:sz="0" w:space="0" w:color="auto"/>
        <w:right w:val="none" w:sz="0" w:space="0" w:color="auto"/>
      </w:divBdr>
    </w:div>
    <w:div w:id="1070928645">
      <w:bodyDiv w:val="1"/>
      <w:marLeft w:val="0"/>
      <w:marRight w:val="0"/>
      <w:marTop w:val="0"/>
      <w:marBottom w:val="0"/>
      <w:divBdr>
        <w:top w:val="none" w:sz="0" w:space="0" w:color="auto"/>
        <w:left w:val="none" w:sz="0" w:space="0" w:color="auto"/>
        <w:bottom w:val="none" w:sz="0" w:space="0" w:color="auto"/>
        <w:right w:val="none" w:sz="0" w:space="0" w:color="auto"/>
      </w:divBdr>
    </w:div>
    <w:div w:id="1071198188">
      <w:bodyDiv w:val="1"/>
      <w:marLeft w:val="0"/>
      <w:marRight w:val="0"/>
      <w:marTop w:val="0"/>
      <w:marBottom w:val="0"/>
      <w:divBdr>
        <w:top w:val="none" w:sz="0" w:space="0" w:color="auto"/>
        <w:left w:val="none" w:sz="0" w:space="0" w:color="auto"/>
        <w:bottom w:val="none" w:sz="0" w:space="0" w:color="auto"/>
        <w:right w:val="none" w:sz="0" w:space="0" w:color="auto"/>
      </w:divBdr>
    </w:div>
    <w:div w:id="1072000612">
      <w:bodyDiv w:val="1"/>
      <w:marLeft w:val="0"/>
      <w:marRight w:val="0"/>
      <w:marTop w:val="0"/>
      <w:marBottom w:val="0"/>
      <w:divBdr>
        <w:top w:val="none" w:sz="0" w:space="0" w:color="auto"/>
        <w:left w:val="none" w:sz="0" w:space="0" w:color="auto"/>
        <w:bottom w:val="none" w:sz="0" w:space="0" w:color="auto"/>
        <w:right w:val="none" w:sz="0" w:space="0" w:color="auto"/>
      </w:divBdr>
    </w:div>
    <w:div w:id="1072509789">
      <w:bodyDiv w:val="1"/>
      <w:marLeft w:val="0"/>
      <w:marRight w:val="0"/>
      <w:marTop w:val="0"/>
      <w:marBottom w:val="0"/>
      <w:divBdr>
        <w:top w:val="none" w:sz="0" w:space="0" w:color="auto"/>
        <w:left w:val="none" w:sz="0" w:space="0" w:color="auto"/>
        <w:bottom w:val="none" w:sz="0" w:space="0" w:color="auto"/>
        <w:right w:val="none" w:sz="0" w:space="0" w:color="auto"/>
      </w:divBdr>
    </w:div>
    <w:div w:id="1073505840">
      <w:bodyDiv w:val="1"/>
      <w:marLeft w:val="0"/>
      <w:marRight w:val="0"/>
      <w:marTop w:val="0"/>
      <w:marBottom w:val="0"/>
      <w:divBdr>
        <w:top w:val="none" w:sz="0" w:space="0" w:color="auto"/>
        <w:left w:val="none" w:sz="0" w:space="0" w:color="auto"/>
        <w:bottom w:val="none" w:sz="0" w:space="0" w:color="auto"/>
        <w:right w:val="none" w:sz="0" w:space="0" w:color="auto"/>
      </w:divBdr>
    </w:div>
    <w:div w:id="1074006839">
      <w:bodyDiv w:val="1"/>
      <w:marLeft w:val="0"/>
      <w:marRight w:val="0"/>
      <w:marTop w:val="0"/>
      <w:marBottom w:val="0"/>
      <w:divBdr>
        <w:top w:val="none" w:sz="0" w:space="0" w:color="auto"/>
        <w:left w:val="none" w:sz="0" w:space="0" w:color="auto"/>
        <w:bottom w:val="none" w:sz="0" w:space="0" w:color="auto"/>
        <w:right w:val="none" w:sz="0" w:space="0" w:color="auto"/>
      </w:divBdr>
    </w:div>
    <w:div w:id="1074669987">
      <w:bodyDiv w:val="1"/>
      <w:marLeft w:val="0"/>
      <w:marRight w:val="0"/>
      <w:marTop w:val="0"/>
      <w:marBottom w:val="0"/>
      <w:divBdr>
        <w:top w:val="none" w:sz="0" w:space="0" w:color="auto"/>
        <w:left w:val="none" w:sz="0" w:space="0" w:color="auto"/>
        <w:bottom w:val="none" w:sz="0" w:space="0" w:color="auto"/>
        <w:right w:val="none" w:sz="0" w:space="0" w:color="auto"/>
      </w:divBdr>
    </w:div>
    <w:div w:id="1074861605">
      <w:bodyDiv w:val="1"/>
      <w:marLeft w:val="0"/>
      <w:marRight w:val="0"/>
      <w:marTop w:val="0"/>
      <w:marBottom w:val="0"/>
      <w:divBdr>
        <w:top w:val="none" w:sz="0" w:space="0" w:color="auto"/>
        <w:left w:val="none" w:sz="0" w:space="0" w:color="auto"/>
        <w:bottom w:val="none" w:sz="0" w:space="0" w:color="auto"/>
        <w:right w:val="none" w:sz="0" w:space="0" w:color="auto"/>
      </w:divBdr>
    </w:div>
    <w:div w:id="1075858774">
      <w:bodyDiv w:val="1"/>
      <w:marLeft w:val="0"/>
      <w:marRight w:val="0"/>
      <w:marTop w:val="0"/>
      <w:marBottom w:val="0"/>
      <w:divBdr>
        <w:top w:val="none" w:sz="0" w:space="0" w:color="auto"/>
        <w:left w:val="none" w:sz="0" w:space="0" w:color="auto"/>
        <w:bottom w:val="none" w:sz="0" w:space="0" w:color="auto"/>
        <w:right w:val="none" w:sz="0" w:space="0" w:color="auto"/>
      </w:divBdr>
    </w:div>
    <w:div w:id="1076170693">
      <w:bodyDiv w:val="1"/>
      <w:marLeft w:val="0"/>
      <w:marRight w:val="0"/>
      <w:marTop w:val="0"/>
      <w:marBottom w:val="0"/>
      <w:divBdr>
        <w:top w:val="none" w:sz="0" w:space="0" w:color="auto"/>
        <w:left w:val="none" w:sz="0" w:space="0" w:color="auto"/>
        <w:bottom w:val="none" w:sz="0" w:space="0" w:color="auto"/>
        <w:right w:val="none" w:sz="0" w:space="0" w:color="auto"/>
      </w:divBdr>
    </w:div>
    <w:div w:id="1077049694">
      <w:bodyDiv w:val="1"/>
      <w:marLeft w:val="0"/>
      <w:marRight w:val="0"/>
      <w:marTop w:val="0"/>
      <w:marBottom w:val="0"/>
      <w:divBdr>
        <w:top w:val="none" w:sz="0" w:space="0" w:color="auto"/>
        <w:left w:val="none" w:sz="0" w:space="0" w:color="auto"/>
        <w:bottom w:val="none" w:sz="0" w:space="0" w:color="auto"/>
        <w:right w:val="none" w:sz="0" w:space="0" w:color="auto"/>
      </w:divBdr>
    </w:div>
    <w:div w:id="1077821172">
      <w:bodyDiv w:val="1"/>
      <w:marLeft w:val="0"/>
      <w:marRight w:val="0"/>
      <w:marTop w:val="0"/>
      <w:marBottom w:val="0"/>
      <w:divBdr>
        <w:top w:val="none" w:sz="0" w:space="0" w:color="auto"/>
        <w:left w:val="none" w:sz="0" w:space="0" w:color="auto"/>
        <w:bottom w:val="none" w:sz="0" w:space="0" w:color="auto"/>
        <w:right w:val="none" w:sz="0" w:space="0" w:color="auto"/>
      </w:divBdr>
    </w:div>
    <w:div w:id="1078088376">
      <w:bodyDiv w:val="1"/>
      <w:marLeft w:val="0"/>
      <w:marRight w:val="0"/>
      <w:marTop w:val="0"/>
      <w:marBottom w:val="0"/>
      <w:divBdr>
        <w:top w:val="none" w:sz="0" w:space="0" w:color="auto"/>
        <w:left w:val="none" w:sz="0" w:space="0" w:color="auto"/>
        <w:bottom w:val="none" w:sz="0" w:space="0" w:color="auto"/>
        <w:right w:val="none" w:sz="0" w:space="0" w:color="auto"/>
      </w:divBdr>
    </w:div>
    <w:div w:id="1078476023">
      <w:bodyDiv w:val="1"/>
      <w:marLeft w:val="0"/>
      <w:marRight w:val="0"/>
      <w:marTop w:val="0"/>
      <w:marBottom w:val="0"/>
      <w:divBdr>
        <w:top w:val="none" w:sz="0" w:space="0" w:color="auto"/>
        <w:left w:val="none" w:sz="0" w:space="0" w:color="auto"/>
        <w:bottom w:val="none" w:sz="0" w:space="0" w:color="auto"/>
        <w:right w:val="none" w:sz="0" w:space="0" w:color="auto"/>
      </w:divBdr>
    </w:div>
    <w:div w:id="1078595843">
      <w:bodyDiv w:val="1"/>
      <w:marLeft w:val="0"/>
      <w:marRight w:val="0"/>
      <w:marTop w:val="0"/>
      <w:marBottom w:val="0"/>
      <w:divBdr>
        <w:top w:val="none" w:sz="0" w:space="0" w:color="auto"/>
        <w:left w:val="none" w:sz="0" w:space="0" w:color="auto"/>
        <w:bottom w:val="none" w:sz="0" w:space="0" w:color="auto"/>
        <w:right w:val="none" w:sz="0" w:space="0" w:color="auto"/>
      </w:divBdr>
    </w:div>
    <w:div w:id="1079060397">
      <w:bodyDiv w:val="1"/>
      <w:marLeft w:val="0"/>
      <w:marRight w:val="0"/>
      <w:marTop w:val="0"/>
      <w:marBottom w:val="0"/>
      <w:divBdr>
        <w:top w:val="none" w:sz="0" w:space="0" w:color="auto"/>
        <w:left w:val="none" w:sz="0" w:space="0" w:color="auto"/>
        <w:bottom w:val="none" w:sz="0" w:space="0" w:color="auto"/>
        <w:right w:val="none" w:sz="0" w:space="0" w:color="auto"/>
      </w:divBdr>
    </w:div>
    <w:div w:id="1079593187">
      <w:bodyDiv w:val="1"/>
      <w:marLeft w:val="0"/>
      <w:marRight w:val="0"/>
      <w:marTop w:val="0"/>
      <w:marBottom w:val="0"/>
      <w:divBdr>
        <w:top w:val="none" w:sz="0" w:space="0" w:color="auto"/>
        <w:left w:val="none" w:sz="0" w:space="0" w:color="auto"/>
        <w:bottom w:val="none" w:sz="0" w:space="0" w:color="auto"/>
        <w:right w:val="none" w:sz="0" w:space="0" w:color="auto"/>
      </w:divBdr>
    </w:div>
    <w:div w:id="1079670867">
      <w:bodyDiv w:val="1"/>
      <w:marLeft w:val="0"/>
      <w:marRight w:val="0"/>
      <w:marTop w:val="0"/>
      <w:marBottom w:val="0"/>
      <w:divBdr>
        <w:top w:val="none" w:sz="0" w:space="0" w:color="auto"/>
        <w:left w:val="none" w:sz="0" w:space="0" w:color="auto"/>
        <w:bottom w:val="none" w:sz="0" w:space="0" w:color="auto"/>
        <w:right w:val="none" w:sz="0" w:space="0" w:color="auto"/>
      </w:divBdr>
    </w:div>
    <w:div w:id="1080953133">
      <w:bodyDiv w:val="1"/>
      <w:marLeft w:val="0"/>
      <w:marRight w:val="0"/>
      <w:marTop w:val="0"/>
      <w:marBottom w:val="0"/>
      <w:divBdr>
        <w:top w:val="none" w:sz="0" w:space="0" w:color="auto"/>
        <w:left w:val="none" w:sz="0" w:space="0" w:color="auto"/>
        <w:bottom w:val="none" w:sz="0" w:space="0" w:color="auto"/>
        <w:right w:val="none" w:sz="0" w:space="0" w:color="auto"/>
      </w:divBdr>
    </w:div>
    <w:div w:id="1082066399">
      <w:bodyDiv w:val="1"/>
      <w:marLeft w:val="0"/>
      <w:marRight w:val="0"/>
      <w:marTop w:val="0"/>
      <w:marBottom w:val="0"/>
      <w:divBdr>
        <w:top w:val="none" w:sz="0" w:space="0" w:color="auto"/>
        <w:left w:val="none" w:sz="0" w:space="0" w:color="auto"/>
        <w:bottom w:val="none" w:sz="0" w:space="0" w:color="auto"/>
        <w:right w:val="none" w:sz="0" w:space="0" w:color="auto"/>
      </w:divBdr>
    </w:div>
    <w:div w:id="1082332193">
      <w:bodyDiv w:val="1"/>
      <w:marLeft w:val="0"/>
      <w:marRight w:val="0"/>
      <w:marTop w:val="0"/>
      <w:marBottom w:val="0"/>
      <w:divBdr>
        <w:top w:val="none" w:sz="0" w:space="0" w:color="auto"/>
        <w:left w:val="none" w:sz="0" w:space="0" w:color="auto"/>
        <w:bottom w:val="none" w:sz="0" w:space="0" w:color="auto"/>
        <w:right w:val="none" w:sz="0" w:space="0" w:color="auto"/>
      </w:divBdr>
    </w:div>
    <w:div w:id="1082988495">
      <w:bodyDiv w:val="1"/>
      <w:marLeft w:val="0"/>
      <w:marRight w:val="0"/>
      <w:marTop w:val="0"/>
      <w:marBottom w:val="0"/>
      <w:divBdr>
        <w:top w:val="none" w:sz="0" w:space="0" w:color="auto"/>
        <w:left w:val="none" w:sz="0" w:space="0" w:color="auto"/>
        <w:bottom w:val="none" w:sz="0" w:space="0" w:color="auto"/>
        <w:right w:val="none" w:sz="0" w:space="0" w:color="auto"/>
      </w:divBdr>
    </w:div>
    <w:div w:id="1083182126">
      <w:bodyDiv w:val="1"/>
      <w:marLeft w:val="0"/>
      <w:marRight w:val="0"/>
      <w:marTop w:val="0"/>
      <w:marBottom w:val="0"/>
      <w:divBdr>
        <w:top w:val="none" w:sz="0" w:space="0" w:color="auto"/>
        <w:left w:val="none" w:sz="0" w:space="0" w:color="auto"/>
        <w:bottom w:val="none" w:sz="0" w:space="0" w:color="auto"/>
        <w:right w:val="none" w:sz="0" w:space="0" w:color="auto"/>
      </w:divBdr>
    </w:div>
    <w:div w:id="1083262879">
      <w:bodyDiv w:val="1"/>
      <w:marLeft w:val="0"/>
      <w:marRight w:val="0"/>
      <w:marTop w:val="0"/>
      <w:marBottom w:val="0"/>
      <w:divBdr>
        <w:top w:val="none" w:sz="0" w:space="0" w:color="auto"/>
        <w:left w:val="none" w:sz="0" w:space="0" w:color="auto"/>
        <w:bottom w:val="none" w:sz="0" w:space="0" w:color="auto"/>
        <w:right w:val="none" w:sz="0" w:space="0" w:color="auto"/>
      </w:divBdr>
    </w:div>
    <w:div w:id="1083264788">
      <w:bodyDiv w:val="1"/>
      <w:marLeft w:val="0"/>
      <w:marRight w:val="0"/>
      <w:marTop w:val="0"/>
      <w:marBottom w:val="0"/>
      <w:divBdr>
        <w:top w:val="none" w:sz="0" w:space="0" w:color="auto"/>
        <w:left w:val="none" w:sz="0" w:space="0" w:color="auto"/>
        <w:bottom w:val="none" w:sz="0" w:space="0" w:color="auto"/>
        <w:right w:val="none" w:sz="0" w:space="0" w:color="auto"/>
      </w:divBdr>
      <w:divsChild>
        <w:div w:id="1354310009">
          <w:marLeft w:val="0"/>
          <w:marRight w:val="0"/>
          <w:marTop w:val="0"/>
          <w:marBottom w:val="0"/>
          <w:divBdr>
            <w:top w:val="none" w:sz="0" w:space="0" w:color="auto"/>
            <w:left w:val="none" w:sz="0" w:space="0" w:color="auto"/>
            <w:bottom w:val="none" w:sz="0" w:space="0" w:color="auto"/>
            <w:right w:val="none" w:sz="0" w:space="0" w:color="auto"/>
          </w:divBdr>
        </w:div>
      </w:divsChild>
    </w:div>
    <w:div w:id="1083406687">
      <w:bodyDiv w:val="1"/>
      <w:marLeft w:val="0"/>
      <w:marRight w:val="0"/>
      <w:marTop w:val="0"/>
      <w:marBottom w:val="0"/>
      <w:divBdr>
        <w:top w:val="none" w:sz="0" w:space="0" w:color="auto"/>
        <w:left w:val="none" w:sz="0" w:space="0" w:color="auto"/>
        <w:bottom w:val="none" w:sz="0" w:space="0" w:color="auto"/>
        <w:right w:val="none" w:sz="0" w:space="0" w:color="auto"/>
      </w:divBdr>
    </w:div>
    <w:div w:id="1085304459">
      <w:bodyDiv w:val="1"/>
      <w:marLeft w:val="0"/>
      <w:marRight w:val="0"/>
      <w:marTop w:val="0"/>
      <w:marBottom w:val="0"/>
      <w:divBdr>
        <w:top w:val="none" w:sz="0" w:space="0" w:color="auto"/>
        <w:left w:val="none" w:sz="0" w:space="0" w:color="auto"/>
        <w:bottom w:val="none" w:sz="0" w:space="0" w:color="auto"/>
        <w:right w:val="none" w:sz="0" w:space="0" w:color="auto"/>
      </w:divBdr>
    </w:div>
    <w:div w:id="1085373557">
      <w:bodyDiv w:val="1"/>
      <w:marLeft w:val="0"/>
      <w:marRight w:val="0"/>
      <w:marTop w:val="0"/>
      <w:marBottom w:val="0"/>
      <w:divBdr>
        <w:top w:val="none" w:sz="0" w:space="0" w:color="auto"/>
        <w:left w:val="none" w:sz="0" w:space="0" w:color="auto"/>
        <w:bottom w:val="none" w:sz="0" w:space="0" w:color="auto"/>
        <w:right w:val="none" w:sz="0" w:space="0" w:color="auto"/>
      </w:divBdr>
    </w:div>
    <w:div w:id="1085804012">
      <w:bodyDiv w:val="1"/>
      <w:marLeft w:val="0"/>
      <w:marRight w:val="0"/>
      <w:marTop w:val="0"/>
      <w:marBottom w:val="0"/>
      <w:divBdr>
        <w:top w:val="none" w:sz="0" w:space="0" w:color="auto"/>
        <w:left w:val="none" w:sz="0" w:space="0" w:color="auto"/>
        <w:bottom w:val="none" w:sz="0" w:space="0" w:color="auto"/>
        <w:right w:val="none" w:sz="0" w:space="0" w:color="auto"/>
      </w:divBdr>
    </w:div>
    <w:div w:id="1085884300">
      <w:bodyDiv w:val="1"/>
      <w:marLeft w:val="0"/>
      <w:marRight w:val="0"/>
      <w:marTop w:val="0"/>
      <w:marBottom w:val="0"/>
      <w:divBdr>
        <w:top w:val="none" w:sz="0" w:space="0" w:color="auto"/>
        <w:left w:val="none" w:sz="0" w:space="0" w:color="auto"/>
        <w:bottom w:val="none" w:sz="0" w:space="0" w:color="auto"/>
        <w:right w:val="none" w:sz="0" w:space="0" w:color="auto"/>
      </w:divBdr>
    </w:div>
    <w:div w:id="1086997018">
      <w:bodyDiv w:val="1"/>
      <w:marLeft w:val="0"/>
      <w:marRight w:val="0"/>
      <w:marTop w:val="0"/>
      <w:marBottom w:val="0"/>
      <w:divBdr>
        <w:top w:val="none" w:sz="0" w:space="0" w:color="auto"/>
        <w:left w:val="none" w:sz="0" w:space="0" w:color="auto"/>
        <w:bottom w:val="none" w:sz="0" w:space="0" w:color="auto"/>
        <w:right w:val="none" w:sz="0" w:space="0" w:color="auto"/>
      </w:divBdr>
    </w:div>
    <w:div w:id="1088576853">
      <w:bodyDiv w:val="1"/>
      <w:marLeft w:val="0"/>
      <w:marRight w:val="0"/>
      <w:marTop w:val="0"/>
      <w:marBottom w:val="0"/>
      <w:divBdr>
        <w:top w:val="none" w:sz="0" w:space="0" w:color="auto"/>
        <w:left w:val="none" w:sz="0" w:space="0" w:color="auto"/>
        <w:bottom w:val="none" w:sz="0" w:space="0" w:color="auto"/>
        <w:right w:val="none" w:sz="0" w:space="0" w:color="auto"/>
      </w:divBdr>
    </w:div>
    <w:div w:id="1088693714">
      <w:bodyDiv w:val="1"/>
      <w:marLeft w:val="0"/>
      <w:marRight w:val="0"/>
      <w:marTop w:val="0"/>
      <w:marBottom w:val="0"/>
      <w:divBdr>
        <w:top w:val="none" w:sz="0" w:space="0" w:color="auto"/>
        <w:left w:val="none" w:sz="0" w:space="0" w:color="auto"/>
        <w:bottom w:val="none" w:sz="0" w:space="0" w:color="auto"/>
        <w:right w:val="none" w:sz="0" w:space="0" w:color="auto"/>
      </w:divBdr>
    </w:div>
    <w:div w:id="1089156921">
      <w:bodyDiv w:val="1"/>
      <w:marLeft w:val="0"/>
      <w:marRight w:val="0"/>
      <w:marTop w:val="0"/>
      <w:marBottom w:val="0"/>
      <w:divBdr>
        <w:top w:val="none" w:sz="0" w:space="0" w:color="auto"/>
        <w:left w:val="none" w:sz="0" w:space="0" w:color="auto"/>
        <w:bottom w:val="none" w:sz="0" w:space="0" w:color="auto"/>
        <w:right w:val="none" w:sz="0" w:space="0" w:color="auto"/>
      </w:divBdr>
    </w:div>
    <w:div w:id="1090002987">
      <w:bodyDiv w:val="1"/>
      <w:marLeft w:val="0"/>
      <w:marRight w:val="0"/>
      <w:marTop w:val="0"/>
      <w:marBottom w:val="0"/>
      <w:divBdr>
        <w:top w:val="none" w:sz="0" w:space="0" w:color="auto"/>
        <w:left w:val="none" w:sz="0" w:space="0" w:color="auto"/>
        <w:bottom w:val="none" w:sz="0" w:space="0" w:color="auto"/>
        <w:right w:val="none" w:sz="0" w:space="0" w:color="auto"/>
      </w:divBdr>
    </w:div>
    <w:div w:id="1090395046">
      <w:bodyDiv w:val="1"/>
      <w:marLeft w:val="0"/>
      <w:marRight w:val="0"/>
      <w:marTop w:val="0"/>
      <w:marBottom w:val="0"/>
      <w:divBdr>
        <w:top w:val="none" w:sz="0" w:space="0" w:color="auto"/>
        <w:left w:val="none" w:sz="0" w:space="0" w:color="auto"/>
        <w:bottom w:val="none" w:sz="0" w:space="0" w:color="auto"/>
        <w:right w:val="none" w:sz="0" w:space="0" w:color="auto"/>
      </w:divBdr>
    </w:div>
    <w:div w:id="1092044043">
      <w:bodyDiv w:val="1"/>
      <w:marLeft w:val="0"/>
      <w:marRight w:val="0"/>
      <w:marTop w:val="0"/>
      <w:marBottom w:val="0"/>
      <w:divBdr>
        <w:top w:val="none" w:sz="0" w:space="0" w:color="auto"/>
        <w:left w:val="none" w:sz="0" w:space="0" w:color="auto"/>
        <w:bottom w:val="none" w:sz="0" w:space="0" w:color="auto"/>
        <w:right w:val="none" w:sz="0" w:space="0" w:color="auto"/>
      </w:divBdr>
    </w:div>
    <w:div w:id="1094130988">
      <w:bodyDiv w:val="1"/>
      <w:marLeft w:val="0"/>
      <w:marRight w:val="0"/>
      <w:marTop w:val="0"/>
      <w:marBottom w:val="0"/>
      <w:divBdr>
        <w:top w:val="none" w:sz="0" w:space="0" w:color="auto"/>
        <w:left w:val="none" w:sz="0" w:space="0" w:color="auto"/>
        <w:bottom w:val="none" w:sz="0" w:space="0" w:color="auto"/>
        <w:right w:val="none" w:sz="0" w:space="0" w:color="auto"/>
      </w:divBdr>
    </w:div>
    <w:div w:id="1094283697">
      <w:bodyDiv w:val="1"/>
      <w:marLeft w:val="0"/>
      <w:marRight w:val="0"/>
      <w:marTop w:val="0"/>
      <w:marBottom w:val="0"/>
      <w:divBdr>
        <w:top w:val="none" w:sz="0" w:space="0" w:color="auto"/>
        <w:left w:val="none" w:sz="0" w:space="0" w:color="auto"/>
        <w:bottom w:val="none" w:sz="0" w:space="0" w:color="auto"/>
        <w:right w:val="none" w:sz="0" w:space="0" w:color="auto"/>
      </w:divBdr>
    </w:div>
    <w:div w:id="1094745105">
      <w:bodyDiv w:val="1"/>
      <w:marLeft w:val="0"/>
      <w:marRight w:val="0"/>
      <w:marTop w:val="0"/>
      <w:marBottom w:val="0"/>
      <w:divBdr>
        <w:top w:val="none" w:sz="0" w:space="0" w:color="auto"/>
        <w:left w:val="none" w:sz="0" w:space="0" w:color="auto"/>
        <w:bottom w:val="none" w:sz="0" w:space="0" w:color="auto"/>
        <w:right w:val="none" w:sz="0" w:space="0" w:color="auto"/>
      </w:divBdr>
    </w:div>
    <w:div w:id="1094788749">
      <w:bodyDiv w:val="1"/>
      <w:marLeft w:val="0"/>
      <w:marRight w:val="0"/>
      <w:marTop w:val="0"/>
      <w:marBottom w:val="0"/>
      <w:divBdr>
        <w:top w:val="none" w:sz="0" w:space="0" w:color="auto"/>
        <w:left w:val="none" w:sz="0" w:space="0" w:color="auto"/>
        <w:bottom w:val="none" w:sz="0" w:space="0" w:color="auto"/>
        <w:right w:val="none" w:sz="0" w:space="0" w:color="auto"/>
      </w:divBdr>
    </w:div>
    <w:div w:id="1096092321">
      <w:bodyDiv w:val="1"/>
      <w:marLeft w:val="0"/>
      <w:marRight w:val="0"/>
      <w:marTop w:val="0"/>
      <w:marBottom w:val="0"/>
      <w:divBdr>
        <w:top w:val="none" w:sz="0" w:space="0" w:color="auto"/>
        <w:left w:val="none" w:sz="0" w:space="0" w:color="auto"/>
        <w:bottom w:val="none" w:sz="0" w:space="0" w:color="auto"/>
        <w:right w:val="none" w:sz="0" w:space="0" w:color="auto"/>
      </w:divBdr>
    </w:div>
    <w:div w:id="1096751435">
      <w:bodyDiv w:val="1"/>
      <w:marLeft w:val="0"/>
      <w:marRight w:val="0"/>
      <w:marTop w:val="0"/>
      <w:marBottom w:val="0"/>
      <w:divBdr>
        <w:top w:val="none" w:sz="0" w:space="0" w:color="auto"/>
        <w:left w:val="none" w:sz="0" w:space="0" w:color="auto"/>
        <w:bottom w:val="none" w:sz="0" w:space="0" w:color="auto"/>
        <w:right w:val="none" w:sz="0" w:space="0" w:color="auto"/>
      </w:divBdr>
    </w:div>
    <w:div w:id="1097214142">
      <w:bodyDiv w:val="1"/>
      <w:marLeft w:val="0"/>
      <w:marRight w:val="0"/>
      <w:marTop w:val="0"/>
      <w:marBottom w:val="0"/>
      <w:divBdr>
        <w:top w:val="none" w:sz="0" w:space="0" w:color="auto"/>
        <w:left w:val="none" w:sz="0" w:space="0" w:color="auto"/>
        <w:bottom w:val="none" w:sz="0" w:space="0" w:color="auto"/>
        <w:right w:val="none" w:sz="0" w:space="0" w:color="auto"/>
      </w:divBdr>
    </w:div>
    <w:div w:id="1098067250">
      <w:bodyDiv w:val="1"/>
      <w:marLeft w:val="0"/>
      <w:marRight w:val="0"/>
      <w:marTop w:val="0"/>
      <w:marBottom w:val="0"/>
      <w:divBdr>
        <w:top w:val="none" w:sz="0" w:space="0" w:color="auto"/>
        <w:left w:val="none" w:sz="0" w:space="0" w:color="auto"/>
        <w:bottom w:val="none" w:sz="0" w:space="0" w:color="auto"/>
        <w:right w:val="none" w:sz="0" w:space="0" w:color="auto"/>
      </w:divBdr>
      <w:divsChild>
        <w:div w:id="313487623">
          <w:marLeft w:val="0"/>
          <w:marRight w:val="0"/>
          <w:marTop w:val="0"/>
          <w:marBottom w:val="0"/>
          <w:divBdr>
            <w:top w:val="none" w:sz="0" w:space="0" w:color="auto"/>
            <w:left w:val="none" w:sz="0" w:space="0" w:color="auto"/>
            <w:bottom w:val="none" w:sz="0" w:space="0" w:color="auto"/>
            <w:right w:val="none" w:sz="0" w:space="0" w:color="auto"/>
          </w:divBdr>
        </w:div>
      </w:divsChild>
    </w:div>
    <w:div w:id="1098909946">
      <w:bodyDiv w:val="1"/>
      <w:marLeft w:val="0"/>
      <w:marRight w:val="0"/>
      <w:marTop w:val="0"/>
      <w:marBottom w:val="0"/>
      <w:divBdr>
        <w:top w:val="none" w:sz="0" w:space="0" w:color="auto"/>
        <w:left w:val="none" w:sz="0" w:space="0" w:color="auto"/>
        <w:bottom w:val="none" w:sz="0" w:space="0" w:color="auto"/>
        <w:right w:val="none" w:sz="0" w:space="0" w:color="auto"/>
      </w:divBdr>
    </w:div>
    <w:div w:id="1100683432">
      <w:bodyDiv w:val="1"/>
      <w:marLeft w:val="0"/>
      <w:marRight w:val="0"/>
      <w:marTop w:val="0"/>
      <w:marBottom w:val="0"/>
      <w:divBdr>
        <w:top w:val="none" w:sz="0" w:space="0" w:color="auto"/>
        <w:left w:val="none" w:sz="0" w:space="0" w:color="auto"/>
        <w:bottom w:val="none" w:sz="0" w:space="0" w:color="auto"/>
        <w:right w:val="none" w:sz="0" w:space="0" w:color="auto"/>
      </w:divBdr>
    </w:div>
    <w:div w:id="1101025045">
      <w:bodyDiv w:val="1"/>
      <w:marLeft w:val="0"/>
      <w:marRight w:val="0"/>
      <w:marTop w:val="0"/>
      <w:marBottom w:val="0"/>
      <w:divBdr>
        <w:top w:val="none" w:sz="0" w:space="0" w:color="auto"/>
        <w:left w:val="none" w:sz="0" w:space="0" w:color="auto"/>
        <w:bottom w:val="none" w:sz="0" w:space="0" w:color="auto"/>
        <w:right w:val="none" w:sz="0" w:space="0" w:color="auto"/>
      </w:divBdr>
    </w:div>
    <w:div w:id="1101267990">
      <w:bodyDiv w:val="1"/>
      <w:marLeft w:val="0"/>
      <w:marRight w:val="0"/>
      <w:marTop w:val="0"/>
      <w:marBottom w:val="0"/>
      <w:divBdr>
        <w:top w:val="none" w:sz="0" w:space="0" w:color="auto"/>
        <w:left w:val="none" w:sz="0" w:space="0" w:color="auto"/>
        <w:bottom w:val="none" w:sz="0" w:space="0" w:color="auto"/>
        <w:right w:val="none" w:sz="0" w:space="0" w:color="auto"/>
      </w:divBdr>
    </w:div>
    <w:div w:id="1102186449">
      <w:bodyDiv w:val="1"/>
      <w:marLeft w:val="0"/>
      <w:marRight w:val="0"/>
      <w:marTop w:val="0"/>
      <w:marBottom w:val="0"/>
      <w:divBdr>
        <w:top w:val="none" w:sz="0" w:space="0" w:color="auto"/>
        <w:left w:val="none" w:sz="0" w:space="0" w:color="auto"/>
        <w:bottom w:val="none" w:sz="0" w:space="0" w:color="auto"/>
        <w:right w:val="none" w:sz="0" w:space="0" w:color="auto"/>
      </w:divBdr>
    </w:div>
    <w:div w:id="1103115486">
      <w:bodyDiv w:val="1"/>
      <w:marLeft w:val="0"/>
      <w:marRight w:val="0"/>
      <w:marTop w:val="0"/>
      <w:marBottom w:val="0"/>
      <w:divBdr>
        <w:top w:val="none" w:sz="0" w:space="0" w:color="auto"/>
        <w:left w:val="none" w:sz="0" w:space="0" w:color="auto"/>
        <w:bottom w:val="none" w:sz="0" w:space="0" w:color="auto"/>
        <w:right w:val="none" w:sz="0" w:space="0" w:color="auto"/>
      </w:divBdr>
    </w:div>
    <w:div w:id="1103383578">
      <w:bodyDiv w:val="1"/>
      <w:marLeft w:val="0"/>
      <w:marRight w:val="0"/>
      <w:marTop w:val="0"/>
      <w:marBottom w:val="0"/>
      <w:divBdr>
        <w:top w:val="none" w:sz="0" w:space="0" w:color="auto"/>
        <w:left w:val="none" w:sz="0" w:space="0" w:color="auto"/>
        <w:bottom w:val="none" w:sz="0" w:space="0" w:color="auto"/>
        <w:right w:val="none" w:sz="0" w:space="0" w:color="auto"/>
      </w:divBdr>
    </w:div>
    <w:div w:id="1103652211">
      <w:bodyDiv w:val="1"/>
      <w:marLeft w:val="0"/>
      <w:marRight w:val="0"/>
      <w:marTop w:val="0"/>
      <w:marBottom w:val="0"/>
      <w:divBdr>
        <w:top w:val="none" w:sz="0" w:space="0" w:color="auto"/>
        <w:left w:val="none" w:sz="0" w:space="0" w:color="auto"/>
        <w:bottom w:val="none" w:sz="0" w:space="0" w:color="auto"/>
        <w:right w:val="none" w:sz="0" w:space="0" w:color="auto"/>
      </w:divBdr>
    </w:div>
    <w:div w:id="1104496204">
      <w:bodyDiv w:val="1"/>
      <w:marLeft w:val="0"/>
      <w:marRight w:val="0"/>
      <w:marTop w:val="0"/>
      <w:marBottom w:val="0"/>
      <w:divBdr>
        <w:top w:val="none" w:sz="0" w:space="0" w:color="auto"/>
        <w:left w:val="none" w:sz="0" w:space="0" w:color="auto"/>
        <w:bottom w:val="none" w:sz="0" w:space="0" w:color="auto"/>
        <w:right w:val="none" w:sz="0" w:space="0" w:color="auto"/>
      </w:divBdr>
    </w:div>
    <w:div w:id="1104812523">
      <w:bodyDiv w:val="1"/>
      <w:marLeft w:val="0"/>
      <w:marRight w:val="0"/>
      <w:marTop w:val="0"/>
      <w:marBottom w:val="0"/>
      <w:divBdr>
        <w:top w:val="none" w:sz="0" w:space="0" w:color="auto"/>
        <w:left w:val="none" w:sz="0" w:space="0" w:color="auto"/>
        <w:bottom w:val="none" w:sz="0" w:space="0" w:color="auto"/>
        <w:right w:val="none" w:sz="0" w:space="0" w:color="auto"/>
      </w:divBdr>
    </w:div>
    <w:div w:id="1104883248">
      <w:bodyDiv w:val="1"/>
      <w:marLeft w:val="0"/>
      <w:marRight w:val="0"/>
      <w:marTop w:val="0"/>
      <w:marBottom w:val="0"/>
      <w:divBdr>
        <w:top w:val="none" w:sz="0" w:space="0" w:color="auto"/>
        <w:left w:val="none" w:sz="0" w:space="0" w:color="auto"/>
        <w:bottom w:val="none" w:sz="0" w:space="0" w:color="auto"/>
        <w:right w:val="none" w:sz="0" w:space="0" w:color="auto"/>
      </w:divBdr>
    </w:div>
    <w:div w:id="1105687952">
      <w:bodyDiv w:val="1"/>
      <w:marLeft w:val="0"/>
      <w:marRight w:val="0"/>
      <w:marTop w:val="0"/>
      <w:marBottom w:val="0"/>
      <w:divBdr>
        <w:top w:val="none" w:sz="0" w:space="0" w:color="auto"/>
        <w:left w:val="none" w:sz="0" w:space="0" w:color="auto"/>
        <w:bottom w:val="none" w:sz="0" w:space="0" w:color="auto"/>
        <w:right w:val="none" w:sz="0" w:space="0" w:color="auto"/>
      </w:divBdr>
    </w:div>
    <w:div w:id="1105883193">
      <w:bodyDiv w:val="1"/>
      <w:marLeft w:val="0"/>
      <w:marRight w:val="0"/>
      <w:marTop w:val="0"/>
      <w:marBottom w:val="0"/>
      <w:divBdr>
        <w:top w:val="none" w:sz="0" w:space="0" w:color="auto"/>
        <w:left w:val="none" w:sz="0" w:space="0" w:color="auto"/>
        <w:bottom w:val="none" w:sz="0" w:space="0" w:color="auto"/>
        <w:right w:val="none" w:sz="0" w:space="0" w:color="auto"/>
      </w:divBdr>
    </w:div>
    <w:div w:id="1109736238">
      <w:bodyDiv w:val="1"/>
      <w:marLeft w:val="0"/>
      <w:marRight w:val="0"/>
      <w:marTop w:val="0"/>
      <w:marBottom w:val="0"/>
      <w:divBdr>
        <w:top w:val="none" w:sz="0" w:space="0" w:color="auto"/>
        <w:left w:val="none" w:sz="0" w:space="0" w:color="auto"/>
        <w:bottom w:val="none" w:sz="0" w:space="0" w:color="auto"/>
        <w:right w:val="none" w:sz="0" w:space="0" w:color="auto"/>
      </w:divBdr>
    </w:div>
    <w:div w:id="1112285837">
      <w:bodyDiv w:val="1"/>
      <w:marLeft w:val="0"/>
      <w:marRight w:val="0"/>
      <w:marTop w:val="0"/>
      <w:marBottom w:val="0"/>
      <w:divBdr>
        <w:top w:val="none" w:sz="0" w:space="0" w:color="auto"/>
        <w:left w:val="none" w:sz="0" w:space="0" w:color="auto"/>
        <w:bottom w:val="none" w:sz="0" w:space="0" w:color="auto"/>
        <w:right w:val="none" w:sz="0" w:space="0" w:color="auto"/>
      </w:divBdr>
    </w:div>
    <w:div w:id="1113206144">
      <w:bodyDiv w:val="1"/>
      <w:marLeft w:val="0"/>
      <w:marRight w:val="0"/>
      <w:marTop w:val="0"/>
      <w:marBottom w:val="0"/>
      <w:divBdr>
        <w:top w:val="none" w:sz="0" w:space="0" w:color="auto"/>
        <w:left w:val="none" w:sz="0" w:space="0" w:color="auto"/>
        <w:bottom w:val="none" w:sz="0" w:space="0" w:color="auto"/>
        <w:right w:val="none" w:sz="0" w:space="0" w:color="auto"/>
      </w:divBdr>
    </w:div>
    <w:div w:id="1113478346">
      <w:bodyDiv w:val="1"/>
      <w:marLeft w:val="0"/>
      <w:marRight w:val="0"/>
      <w:marTop w:val="0"/>
      <w:marBottom w:val="0"/>
      <w:divBdr>
        <w:top w:val="none" w:sz="0" w:space="0" w:color="auto"/>
        <w:left w:val="none" w:sz="0" w:space="0" w:color="auto"/>
        <w:bottom w:val="none" w:sz="0" w:space="0" w:color="auto"/>
        <w:right w:val="none" w:sz="0" w:space="0" w:color="auto"/>
      </w:divBdr>
    </w:div>
    <w:div w:id="1114325953">
      <w:bodyDiv w:val="1"/>
      <w:marLeft w:val="0"/>
      <w:marRight w:val="0"/>
      <w:marTop w:val="0"/>
      <w:marBottom w:val="0"/>
      <w:divBdr>
        <w:top w:val="none" w:sz="0" w:space="0" w:color="auto"/>
        <w:left w:val="none" w:sz="0" w:space="0" w:color="auto"/>
        <w:bottom w:val="none" w:sz="0" w:space="0" w:color="auto"/>
        <w:right w:val="none" w:sz="0" w:space="0" w:color="auto"/>
      </w:divBdr>
    </w:div>
    <w:div w:id="1114329694">
      <w:bodyDiv w:val="1"/>
      <w:marLeft w:val="0"/>
      <w:marRight w:val="0"/>
      <w:marTop w:val="0"/>
      <w:marBottom w:val="0"/>
      <w:divBdr>
        <w:top w:val="none" w:sz="0" w:space="0" w:color="auto"/>
        <w:left w:val="none" w:sz="0" w:space="0" w:color="auto"/>
        <w:bottom w:val="none" w:sz="0" w:space="0" w:color="auto"/>
        <w:right w:val="none" w:sz="0" w:space="0" w:color="auto"/>
      </w:divBdr>
    </w:div>
    <w:div w:id="1114910156">
      <w:bodyDiv w:val="1"/>
      <w:marLeft w:val="0"/>
      <w:marRight w:val="0"/>
      <w:marTop w:val="0"/>
      <w:marBottom w:val="0"/>
      <w:divBdr>
        <w:top w:val="none" w:sz="0" w:space="0" w:color="auto"/>
        <w:left w:val="none" w:sz="0" w:space="0" w:color="auto"/>
        <w:bottom w:val="none" w:sz="0" w:space="0" w:color="auto"/>
        <w:right w:val="none" w:sz="0" w:space="0" w:color="auto"/>
      </w:divBdr>
    </w:div>
    <w:div w:id="1114979036">
      <w:bodyDiv w:val="1"/>
      <w:marLeft w:val="0"/>
      <w:marRight w:val="0"/>
      <w:marTop w:val="0"/>
      <w:marBottom w:val="0"/>
      <w:divBdr>
        <w:top w:val="none" w:sz="0" w:space="0" w:color="auto"/>
        <w:left w:val="none" w:sz="0" w:space="0" w:color="auto"/>
        <w:bottom w:val="none" w:sz="0" w:space="0" w:color="auto"/>
        <w:right w:val="none" w:sz="0" w:space="0" w:color="auto"/>
      </w:divBdr>
    </w:div>
    <w:div w:id="1115516806">
      <w:bodyDiv w:val="1"/>
      <w:marLeft w:val="0"/>
      <w:marRight w:val="0"/>
      <w:marTop w:val="0"/>
      <w:marBottom w:val="0"/>
      <w:divBdr>
        <w:top w:val="none" w:sz="0" w:space="0" w:color="auto"/>
        <w:left w:val="none" w:sz="0" w:space="0" w:color="auto"/>
        <w:bottom w:val="none" w:sz="0" w:space="0" w:color="auto"/>
        <w:right w:val="none" w:sz="0" w:space="0" w:color="auto"/>
      </w:divBdr>
    </w:div>
    <w:div w:id="1115833459">
      <w:bodyDiv w:val="1"/>
      <w:marLeft w:val="0"/>
      <w:marRight w:val="0"/>
      <w:marTop w:val="0"/>
      <w:marBottom w:val="0"/>
      <w:divBdr>
        <w:top w:val="none" w:sz="0" w:space="0" w:color="auto"/>
        <w:left w:val="none" w:sz="0" w:space="0" w:color="auto"/>
        <w:bottom w:val="none" w:sz="0" w:space="0" w:color="auto"/>
        <w:right w:val="none" w:sz="0" w:space="0" w:color="auto"/>
      </w:divBdr>
    </w:div>
    <w:div w:id="1115834452">
      <w:bodyDiv w:val="1"/>
      <w:marLeft w:val="0"/>
      <w:marRight w:val="0"/>
      <w:marTop w:val="0"/>
      <w:marBottom w:val="0"/>
      <w:divBdr>
        <w:top w:val="none" w:sz="0" w:space="0" w:color="auto"/>
        <w:left w:val="none" w:sz="0" w:space="0" w:color="auto"/>
        <w:bottom w:val="none" w:sz="0" w:space="0" w:color="auto"/>
        <w:right w:val="none" w:sz="0" w:space="0" w:color="auto"/>
      </w:divBdr>
    </w:div>
    <w:div w:id="1116021056">
      <w:bodyDiv w:val="1"/>
      <w:marLeft w:val="0"/>
      <w:marRight w:val="0"/>
      <w:marTop w:val="0"/>
      <w:marBottom w:val="0"/>
      <w:divBdr>
        <w:top w:val="none" w:sz="0" w:space="0" w:color="auto"/>
        <w:left w:val="none" w:sz="0" w:space="0" w:color="auto"/>
        <w:bottom w:val="none" w:sz="0" w:space="0" w:color="auto"/>
        <w:right w:val="none" w:sz="0" w:space="0" w:color="auto"/>
      </w:divBdr>
    </w:div>
    <w:div w:id="1116027235">
      <w:bodyDiv w:val="1"/>
      <w:marLeft w:val="0"/>
      <w:marRight w:val="0"/>
      <w:marTop w:val="0"/>
      <w:marBottom w:val="0"/>
      <w:divBdr>
        <w:top w:val="none" w:sz="0" w:space="0" w:color="auto"/>
        <w:left w:val="none" w:sz="0" w:space="0" w:color="auto"/>
        <w:bottom w:val="none" w:sz="0" w:space="0" w:color="auto"/>
        <w:right w:val="none" w:sz="0" w:space="0" w:color="auto"/>
      </w:divBdr>
    </w:div>
    <w:div w:id="1116172755">
      <w:bodyDiv w:val="1"/>
      <w:marLeft w:val="0"/>
      <w:marRight w:val="0"/>
      <w:marTop w:val="0"/>
      <w:marBottom w:val="0"/>
      <w:divBdr>
        <w:top w:val="none" w:sz="0" w:space="0" w:color="auto"/>
        <w:left w:val="none" w:sz="0" w:space="0" w:color="auto"/>
        <w:bottom w:val="none" w:sz="0" w:space="0" w:color="auto"/>
        <w:right w:val="none" w:sz="0" w:space="0" w:color="auto"/>
      </w:divBdr>
    </w:div>
    <w:div w:id="1116365343">
      <w:bodyDiv w:val="1"/>
      <w:marLeft w:val="0"/>
      <w:marRight w:val="0"/>
      <w:marTop w:val="0"/>
      <w:marBottom w:val="0"/>
      <w:divBdr>
        <w:top w:val="none" w:sz="0" w:space="0" w:color="auto"/>
        <w:left w:val="none" w:sz="0" w:space="0" w:color="auto"/>
        <w:bottom w:val="none" w:sz="0" w:space="0" w:color="auto"/>
        <w:right w:val="none" w:sz="0" w:space="0" w:color="auto"/>
      </w:divBdr>
    </w:div>
    <w:div w:id="1116564504">
      <w:bodyDiv w:val="1"/>
      <w:marLeft w:val="0"/>
      <w:marRight w:val="0"/>
      <w:marTop w:val="0"/>
      <w:marBottom w:val="0"/>
      <w:divBdr>
        <w:top w:val="none" w:sz="0" w:space="0" w:color="auto"/>
        <w:left w:val="none" w:sz="0" w:space="0" w:color="auto"/>
        <w:bottom w:val="none" w:sz="0" w:space="0" w:color="auto"/>
        <w:right w:val="none" w:sz="0" w:space="0" w:color="auto"/>
      </w:divBdr>
    </w:div>
    <w:div w:id="1116870517">
      <w:bodyDiv w:val="1"/>
      <w:marLeft w:val="0"/>
      <w:marRight w:val="0"/>
      <w:marTop w:val="0"/>
      <w:marBottom w:val="0"/>
      <w:divBdr>
        <w:top w:val="none" w:sz="0" w:space="0" w:color="auto"/>
        <w:left w:val="none" w:sz="0" w:space="0" w:color="auto"/>
        <w:bottom w:val="none" w:sz="0" w:space="0" w:color="auto"/>
        <w:right w:val="none" w:sz="0" w:space="0" w:color="auto"/>
      </w:divBdr>
    </w:div>
    <w:div w:id="1117984614">
      <w:bodyDiv w:val="1"/>
      <w:marLeft w:val="0"/>
      <w:marRight w:val="0"/>
      <w:marTop w:val="0"/>
      <w:marBottom w:val="0"/>
      <w:divBdr>
        <w:top w:val="none" w:sz="0" w:space="0" w:color="auto"/>
        <w:left w:val="none" w:sz="0" w:space="0" w:color="auto"/>
        <w:bottom w:val="none" w:sz="0" w:space="0" w:color="auto"/>
        <w:right w:val="none" w:sz="0" w:space="0" w:color="auto"/>
      </w:divBdr>
    </w:div>
    <w:div w:id="1121533790">
      <w:bodyDiv w:val="1"/>
      <w:marLeft w:val="0"/>
      <w:marRight w:val="0"/>
      <w:marTop w:val="0"/>
      <w:marBottom w:val="0"/>
      <w:divBdr>
        <w:top w:val="none" w:sz="0" w:space="0" w:color="auto"/>
        <w:left w:val="none" w:sz="0" w:space="0" w:color="auto"/>
        <w:bottom w:val="none" w:sz="0" w:space="0" w:color="auto"/>
        <w:right w:val="none" w:sz="0" w:space="0" w:color="auto"/>
      </w:divBdr>
    </w:div>
    <w:div w:id="1122114194">
      <w:bodyDiv w:val="1"/>
      <w:marLeft w:val="0"/>
      <w:marRight w:val="0"/>
      <w:marTop w:val="0"/>
      <w:marBottom w:val="0"/>
      <w:divBdr>
        <w:top w:val="none" w:sz="0" w:space="0" w:color="auto"/>
        <w:left w:val="none" w:sz="0" w:space="0" w:color="auto"/>
        <w:bottom w:val="none" w:sz="0" w:space="0" w:color="auto"/>
        <w:right w:val="none" w:sz="0" w:space="0" w:color="auto"/>
      </w:divBdr>
    </w:div>
    <w:div w:id="1124424918">
      <w:bodyDiv w:val="1"/>
      <w:marLeft w:val="0"/>
      <w:marRight w:val="0"/>
      <w:marTop w:val="0"/>
      <w:marBottom w:val="0"/>
      <w:divBdr>
        <w:top w:val="none" w:sz="0" w:space="0" w:color="auto"/>
        <w:left w:val="none" w:sz="0" w:space="0" w:color="auto"/>
        <w:bottom w:val="none" w:sz="0" w:space="0" w:color="auto"/>
        <w:right w:val="none" w:sz="0" w:space="0" w:color="auto"/>
      </w:divBdr>
    </w:div>
    <w:div w:id="1125928138">
      <w:bodyDiv w:val="1"/>
      <w:marLeft w:val="0"/>
      <w:marRight w:val="0"/>
      <w:marTop w:val="0"/>
      <w:marBottom w:val="0"/>
      <w:divBdr>
        <w:top w:val="none" w:sz="0" w:space="0" w:color="auto"/>
        <w:left w:val="none" w:sz="0" w:space="0" w:color="auto"/>
        <w:bottom w:val="none" w:sz="0" w:space="0" w:color="auto"/>
        <w:right w:val="none" w:sz="0" w:space="0" w:color="auto"/>
      </w:divBdr>
    </w:div>
    <w:div w:id="1126393063">
      <w:bodyDiv w:val="1"/>
      <w:marLeft w:val="0"/>
      <w:marRight w:val="0"/>
      <w:marTop w:val="0"/>
      <w:marBottom w:val="0"/>
      <w:divBdr>
        <w:top w:val="none" w:sz="0" w:space="0" w:color="auto"/>
        <w:left w:val="none" w:sz="0" w:space="0" w:color="auto"/>
        <w:bottom w:val="none" w:sz="0" w:space="0" w:color="auto"/>
        <w:right w:val="none" w:sz="0" w:space="0" w:color="auto"/>
      </w:divBdr>
    </w:div>
    <w:div w:id="1126966775">
      <w:bodyDiv w:val="1"/>
      <w:marLeft w:val="0"/>
      <w:marRight w:val="0"/>
      <w:marTop w:val="0"/>
      <w:marBottom w:val="0"/>
      <w:divBdr>
        <w:top w:val="none" w:sz="0" w:space="0" w:color="auto"/>
        <w:left w:val="none" w:sz="0" w:space="0" w:color="auto"/>
        <w:bottom w:val="none" w:sz="0" w:space="0" w:color="auto"/>
        <w:right w:val="none" w:sz="0" w:space="0" w:color="auto"/>
      </w:divBdr>
    </w:div>
    <w:div w:id="1127158790">
      <w:bodyDiv w:val="1"/>
      <w:marLeft w:val="0"/>
      <w:marRight w:val="0"/>
      <w:marTop w:val="0"/>
      <w:marBottom w:val="0"/>
      <w:divBdr>
        <w:top w:val="none" w:sz="0" w:space="0" w:color="auto"/>
        <w:left w:val="none" w:sz="0" w:space="0" w:color="auto"/>
        <w:bottom w:val="none" w:sz="0" w:space="0" w:color="auto"/>
        <w:right w:val="none" w:sz="0" w:space="0" w:color="auto"/>
      </w:divBdr>
    </w:div>
    <w:div w:id="1127703213">
      <w:bodyDiv w:val="1"/>
      <w:marLeft w:val="0"/>
      <w:marRight w:val="0"/>
      <w:marTop w:val="0"/>
      <w:marBottom w:val="0"/>
      <w:divBdr>
        <w:top w:val="none" w:sz="0" w:space="0" w:color="auto"/>
        <w:left w:val="none" w:sz="0" w:space="0" w:color="auto"/>
        <w:bottom w:val="none" w:sz="0" w:space="0" w:color="auto"/>
        <w:right w:val="none" w:sz="0" w:space="0" w:color="auto"/>
      </w:divBdr>
    </w:div>
    <w:div w:id="1127818525">
      <w:bodyDiv w:val="1"/>
      <w:marLeft w:val="0"/>
      <w:marRight w:val="0"/>
      <w:marTop w:val="0"/>
      <w:marBottom w:val="0"/>
      <w:divBdr>
        <w:top w:val="none" w:sz="0" w:space="0" w:color="auto"/>
        <w:left w:val="none" w:sz="0" w:space="0" w:color="auto"/>
        <w:bottom w:val="none" w:sz="0" w:space="0" w:color="auto"/>
        <w:right w:val="none" w:sz="0" w:space="0" w:color="auto"/>
      </w:divBdr>
    </w:div>
    <w:div w:id="1128473095">
      <w:bodyDiv w:val="1"/>
      <w:marLeft w:val="0"/>
      <w:marRight w:val="0"/>
      <w:marTop w:val="0"/>
      <w:marBottom w:val="0"/>
      <w:divBdr>
        <w:top w:val="none" w:sz="0" w:space="0" w:color="auto"/>
        <w:left w:val="none" w:sz="0" w:space="0" w:color="auto"/>
        <w:bottom w:val="none" w:sz="0" w:space="0" w:color="auto"/>
        <w:right w:val="none" w:sz="0" w:space="0" w:color="auto"/>
      </w:divBdr>
    </w:div>
    <w:div w:id="1128746558">
      <w:bodyDiv w:val="1"/>
      <w:marLeft w:val="0"/>
      <w:marRight w:val="0"/>
      <w:marTop w:val="0"/>
      <w:marBottom w:val="0"/>
      <w:divBdr>
        <w:top w:val="none" w:sz="0" w:space="0" w:color="auto"/>
        <w:left w:val="none" w:sz="0" w:space="0" w:color="auto"/>
        <w:bottom w:val="none" w:sz="0" w:space="0" w:color="auto"/>
        <w:right w:val="none" w:sz="0" w:space="0" w:color="auto"/>
      </w:divBdr>
    </w:div>
    <w:div w:id="1129081995">
      <w:bodyDiv w:val="1"/>
      <w:marLeft w:val="0"/>
      <w:marRight w:val="0"/>
      <w:marTop w:val="0"/>
      <w:marBottom w:val="0"/>
      <w:divBdr>
        <w:top w:val="none" w:sz="0" w:space="0" w:color="auto"/>
        <w:left w:val="none" w:sz="0" w:space="0" w:color="auto"/>
        <w:bottom w:val="none" w:sz="0" w:space="0" w:color="auto"/>
        <w:right w:val="none" w:sz="0" w:space="0" w:color="auto"/>
      </w:divBdr>
    </w:div>
    <w:div w:id="1129203936">
      <w:bodyDiv w:val="1"/>
      <w:marLeft w:val="0"/>
      <w:marRight w:val="0"/>
      <w:marTop w:val="0"/>
      <w:marBottom w:val="0"/>
      <w:divBdr>
        <w:top w:val="none" w:sz="0" w:space="0" w:color="auto"/>
        <w:left w:val="none" w:sz="0" w:space="0" w:color="auto"/>
        <w:bottom w:val="none" w:sz="0" w:space="0" w:color="auto"/>
        <w:right w:val="none" w:sz="0" w:space="0" w:color="auto"/>
      </w:divBdr>
    </w:div>
    <w:div w:id="1129518202">
      <w:bodyDiv w:val="1"/>
      <w:marLeft w:val="0"/>
      <w:marRight w:val="0"/>
      <w:marTop w:val="0"/>
      <w:marBottom w:val="0"/>
      <w:divBdr>
        <w:top w:val="none" w:sz="0" w:space="0" w:color="auto"/>
        <w:left w:val="none" w:sz="0" w:space="0" w:color="auto"/>
        <w:bottom w:val="none" w:sz="0" w:space="0" w:color="auto"/>
        <w:right w:val="none" w:sz="0" w:space="0" w:color="auto"/>
      </w:divBdr>
    </w:div>
    <w:div w:id="1129859288">
      <w:bodyDiv w:val="1"/>
      <w:marLeft w:val="0"/>
      <w:marRight w:val="0"/>
      <w:marTop w:val="0"/>
      <w:marBottom w:val="0"/>
      <w:divBdr>
        <w:top w:val="none" w:sz="0" w:space="0" w:color="auto"/>
        <w:left w:val="none" w:sz="0" w:space="0" w:color="auto"/>
        <w:bottom w:val="none" w:sz="0" w:space="0" w:color="auto"/>
        <w:right w:val="none" w:sz="0" w:space="0" w:color="auto"/>
      </w:divBdr>
      <w:divsChild>
        <w:div w:id="963075581">
          <w:marLeft w:val="0"/>
          <w:marRight w:val="0"/>
          <w:marTop w:val="0"/>
          <w:marBottom w:val="0"/>
          <w:divBdr>
            <w:top w:val="none" w:sz="0" w:space="0" w:color="auto"/>
            <w:left w:val="none" w:sz="0" w:space="0" w:color="auto"/>
            <w:bottom w:val="none" w:sz="0" w:space="0" w:color="auto"/>
            <w:right w:val="none" w:sz="0" w:space="0" w:color="auto"/>
          </w:divBdr>
        </w:div>
        <w:div w:id="971788672">
          <w:marLeft w:val="0"/>
          <w:marRight w:val="0"/>
          <w:marTop w:val="0"/>
          <w:marBottom w:val="0"/>
          <w:divBdr>
            <w:top w:val="none" w:sz="0" w:space="0" w:color="auto"/>
            <w:left w:val="none" w:sz="0" w:space="0" w:color="auto"/>
            <w:bottom w:val="none" w:sz="0" w:space="0" w:color="auto"/>
            <w:right w:val="none" w:sz="0" w:space="0" w:color="auto"/>
          </w:divBdr>
        </w:div>
        <w:div w:id="1306623026">
          <w:marLeft w:val="0"/>
          <w:marRight w:val="0"/>
          <w:marTop w:val="0"/>
          <w:marBottom w:val="0"/>
          <w:divBdr>
            <w:top w:val="none" w:sz="0" w:space="0" w:color="auto"/>
            <w:left w:val="none" w:sz="0" w:space="0" w:color="auto"/>
            <w:bottom w:val="none" w:sz="0" w:space="0" w:color="auto"/>
            <w:right w:val="none" w:sz="0" w:space="0" w:color="auto"/>
          </w:divBdr>
        </w:div>
        <w:div w:id="1337659561">
          <w:marLeft w:val="0"/>
          <w:marRight w:val="0"/>
          <w:marTop w:val="0"/>
          <w:marBottom w:val="0"/>
          <w:divBdr>
            <w:top w:val="none" w:sz="0" w:space="0" w:color="auto"/>
            <w:left w:val="none" w:sz="0" w:space="0" w:color="auto"/>
            <w:bottom w:val="none" w:sz="0" w:space="0" w:color="auto"/>
            <w:right w:val="none" w:sz="0" w:space="0" w:color="auto"/>
          </w:divBdr>
        </w:div>
        <w:div w:id="1979996028">
          <w:marLeft w:val="0"/>
          <w:marRight w:val="0"/>
          <w:marTop w:val="0"/>
          <w:marBottom w:val="0"/>
          <w:divBdr>
            <w:top w:val="none" w:sz="0" w:space="0" w:color="auto"/>
            <w:left w:val="none" w:sz="0" w:space="0" w:color="auto"/>
            <w:bottom w:val="none" w:sz="0" w:space="0" w:color="auto"/>
            <w:right w:val="none" w:sz="0" w:space="0" w:color="auto"/>
          </w:divBdr>
        </w:div>
      </w:divsChild>
    </w:div>
    <w:div w:id="1130631362">
      <w:bodyDiv w:val="1"/>
      <w:marLeft w:val="0"/>
      <w:marRight w:val="0"/>
      <w:marTop w:val="0"/>
      <w:marBottom w:val="0"/>
      <w:divBdr>
        <w:top w:val="none" w:sz="0" w:space="0" w:color="auto"/>
        <w:left w:val="none" w:sz="0" w:space="0" w:color="auto"/>
        <w:bottom w:val="none" w:sz="0" w:space="0" w:color="auto"/>
        <w:right w:val="none" w:sz="0" w:space="0" w:color="auto"/>
      </w:divBdr>
    </w:div>
    <w:div w:id="1131365125">
      <w:bodyDiv w:val="1"/>
      <w:marLeft w:val="0"/>
      <w:marRight w:val="0"/>
      <w:marTop w:val="0"/>
      <w:marBottom w:val="0"/>
      <w:divBdr>
        <w:top w:val="none" w:sz="0" w:space="0" w:color="auto"/>
        <w:left w:val="none" w:sz="0" w:space="0" w:color="auto"/>
        <w:bottom w:val="none" w:sz="0" w:space="0" w:color="auto"/>
        <w:right w:val="none" w:sz="0" w:space="0" w:color="auto"/>
      </w:divBdr>
    </w:div>
    <w:div w:id="1131704175">
      <w:bodyDiv w:val="1"/>
      <w:marLeft w:val="0"/>
      <w:marRight w:val="0"/>
      <w:marTop w:val="0"/>
      <w:marBottom w:val="0"/>
      <w:divBdr>
        <w:top w:val="none" w:sz="0" w:space="0" w:color="auto"/>
        <w:left w:val="none" w:sz="0" w:space="0" w:color="auto"/>
        <w:bottom w:val="none" w:sz="0" w:space="0" w:color="auto"/>
        <w:right w:val="none" w:sz="0" w:space="0" w:color="auto"/>
      </w:divBdr>
    </w:div>
    <w:div w:id="1132137160">
      <w:bodyDiv w:val="1"/>
      <w:marLeft w:val="0"/>
      <w:marRight w:val="0"/>
      <w:marTop w:val="0"/>
      <w:marBottom w:val="0"/>
      <w:divBdr>
        <w:top w:val="none" w:sz="0" w:space="0" w:color="auto"/>
        <w:left w:val="none" w:sz="0" w:space="0" w:color="auto"/>
        <w:bottom w:val="none" w:sz="0" w:space="0" w:color="auto"/>
        <w:right w:val="none" w:sz="0" w:space="0" w:color="auto"/>
      </w:divBdr>
    </w:div>
    <w:div w:id="1132527757">
      <w:bodyDiv w:val="1"/>
      <w:marLeft w:val="0"/>
      <w:marRight w:val="0"/>
      <w:marTop w:val="0"/>
      <w:marBottom w:val="0"/>
      <w:divBdr>
        <w:top w:val="none" w:sz="0" w:space="0" w:color="auto"/>
        <w:left w:val="none" w:sz="0" w:space="0" w:color="auto"/>
        <w:bottom w:val="none" w:sz="0" w:space="0" w:color="auto"/>
        <w:right w:val="none" w:sz="0" w:space="0" w:color="auto"/>
      </w:divBdr>
    </w:div>
    <w:div w:id="1132790811">
      <w:bodyDiv w:val="1"/>
      <w:marLeft w:val="0"/>
      <w:marRight w:val="0"/>
      <w:marTop w:val="0"/>
      <w:marBottom w:val="0"/>
      <w:divBdr>
        <w:top w:val="none" w:sz="0" w:space="0" w:color="auto"/>
        <w:left w:val="none" w:sz="0" w:space="0" w:color="auto"/>
        <w:bottom w:val="none" w:sz="0" w:space="0" w:color="auto"/>
        <w:right w:val="none" w:sz="0" w:space="0" w:color="auto"/>
      </w:divBdr>
    </w:div>
    <w:div w:id="1133713455">
      <w:bodyDiv w:val="1"/>
      <w:marLeft w:val="0"/>
      <w:marRight w:val="0"/>
      <w:marTop w:val="0"/>
      <w:marBottom w:val="0"/>
      <w:divBdr>
        <w:top w:val="none" w:sz="0" w:space="0" w:color="auto"/>
        <w:left w:val="none" w:sz="0" w:space="0" w:color="auto"/>
        <w:bottom w:val="none" w:sz="0" w:space="0" w:color="auto"/>
        <w:right w:val="none" w:sz="0" w:space="0" w:color="auto"/>
      </w:divBdr>
    </w:div>
    <w:div w:id="1134323818">
      <w:bodyDiv w:val="1"/>
      <w:marLeft w:val="0"/>
      <w:marRight w:val="0"/>
      <w:marTop w:val="0"/>
      <w:marBottom w:val="0"/>
      <w:divBdr>
        <w:top w:val="none" w:sz="0" w:space="0" w:color="auto"/>
        <w:left w:val="none" w:sz="0" w:space="0" w:color="auto"/>
        <w:bottom w:val="none" w:sz="0" w:space="0" w:color="auto"/>
        <w:right w:val="none" w:sz="0" w:space="0" w:color="auto"/>
      </w:divBdr>
    </w:div>
    <w:div w:id="1134327728">
      <w:bodyDiv w:val="1"/>
      <w:marLeft w:val="0"/>
      <w:marRight w:val="0"/>
      <w:marTop w:val="0"/>
      <w:marBottom w:val="0"/>
      <w:divBdr>
        <w:top w:val="none" w:sz="0" w:space="0" w:color="auto"/>
        <w:left w:val="none" w:sz="0" w:space="0" w:color="auto"/>
        <w:bottom w:val="none" w:sz="0" w:space="0" w:color="auto"/>
        <w:right w:val="none" w:sz="0" w:space="0" w:color="auto"/>
      </w:divBdr>
    </w:div>
    <w:div w:id="1135296492">
      <w:bodyDiv w:val="1"/>
      <w:marLeft w:val="0"/>
      <w:marRight w:val="0"/>
      <w:marTop w:val="0"/>
      <w:marBottom w:val="0"/>
      <w:divBdr>
        <w:top w:val="none" w:sz="0" w:space="0" w:color="auto"/>
        <w:left w:val="none" w:sz="0" w:space="0" w:color="auto"/>
        <w:bottom w:val="none" w:sz="0" w:space="0" w:color="auto"/>
        <w:right w:val="none" w:sz="0" w:space="0" w:color="auto"/>
      </w:divBdr>
    </w:div>
    <w:div w:id="1135488332">
      <w:bodyDiv w:val="1"/>
      <w:marLeft w:val="0"/>
      <w:marRight w:val="0"/>
      <w:marTop w:val="0"/>
      <w:marBottom w:val="0"/>
      <w:divBdr>
        <w:top w:val="none" w:sz="0" w:space="0" w:color="auto"/>
        <w:left w:val="none" w:sz="0" w:space="0" w:color="auto"/>
        <w:bottom w:val="none" w:sz="0" w:space="0" w:color="auto"/>
        <w:right w:val="none" w:sz="0" w:space="0" w:color="auto"/>
      </w:divBdr>
    </w:div>
    <w:div w:id="1136216929">
      <w:bodyDiv w:val="1"/>
      <w:marLeft w:val="0"/>
      <w:marRight w:val="0"/>
      <w:marTop w:val="0"/>
      <w:marBottom w:val="0"/>
      <w:divBdr>
        <w:top w:val="none" w:sz="0" w:space="0" w:color="auto"/>
        <w:left w:val="none" w:sz="0" w:space="0" w:color="auto"/>
        <w:bottom w:val="none" w:sz="0" w:space="0" w:color="auto"/>
        <w:right w:val="none" w:sz="0" w:space="0" w:color="auto"/>
      </w:divBdr>
    </w:div>
    <w:div w:id="1136292251">
      <w:bodyDiv w:val="1"/>
      <w:marLeft w:val="0"/>
      <w:marRight w:val="0"/>
      <w:marTop w:val="0"/>
      <w:marBottom w:val="0"/>
      <w:divBdr>
        <w:top w:val="none" w:sz="0" w:space="0" w:color="auto"/>
        <w:left w:val="none" w:sz="0" w:space="0" w:color="auto"/>
        <w:bottom w:val="none" w:sz="0" w:space="0" w:color="auto"/>
        <w:right w:val="none" w:sz="0" w:space="0" w:color="auto"/>
      </w:divBdr>
    </w:div>
    <w:div w:id="1138304651">
      <w:bodyDiv w:val="1"/>
      <w:marLeft w:val="0"/>
      <w:marRight w:val="0"/>
      <w:marTop w:val="0"/>
      <w:marBottom w:val="0"/>
      <w:divBdr>
        <w:top w:val="none" w:sz="0" w:space="0" w:color="auto"/>
        <w:left w:val="none" w:sz="0" w:space="0" w:color="auto"/>
        <w:bottom w:val="none" w:sz="0" w:space="0" w:color="auto"/>
        <w:right w:val="none" w:sz="0" w:space="0" w:color="auto"/>
      </w:divBdr>
    </w:div>
    <w:div w:id="1139885534">
      <w:bodyDiv w:val="1"/>
      <w:marLeft w:val="0"/>
      <w:marRight w:val="0"/>
      <w:marTop w:val="0"/>
      <w:marBottom w:val="0"/>
      <w:divBdr>
        <w:top w:val="none" w:sz="0" w:space="0" w:color="auto"/>
        <w:left w:val="none" w:sz="0" w:space="0" w:color="auto"/>
        <w:bottom w:val="none" w:sz="0" w:space="0" w:color="auto"/>
        <w:right w:val="none" w:sz="0" w:space="0" w:color="auto"/>
      </w:divBdr>
    </w:div>
    <w:div w:id="1141457407">
      <w:bodyDiv w:val="1"/>
      <w:marLeft w:val="0"/>
      <w:marRight w:val="0"/>
      <w:marTop w:val="0"/>
      <w:marBottom w:val="0"/>
      <w:divBdr>
        <w:top w:val="none" w:sz="0" w:space="0" w:color="auto"/>
        <w:left w:val="none" w:sz="0" w:space="0" w:color="auto"/>
        <w:bottom w:val="none" w:sz="0" w:space="0" w:color="auto"/>
        <w:right w:val="none" w:sz="0" w:space="0" w:color="auto"/>
      </w:divBdr>
    </w:div>
    <w:div w:id="1141537438">
      <w:bodyDiv w:val="1"/>
      <w:marLeft w:val="0"/>
      <w:marRight w:val="0"/>
      <w:marTop w:val="0"/>
      <w:marBottom w:val="0"/>
      <w:divBdr>
        <w:top w:val="none" w:sz="0" w:space="0" w:color="auto"/>
        <w:left w:val="none" w:sz="0" w:space="0" w:color="auto"/>
        <w:bottom w:val="none" w:sz="0" w:space="0" w:color="auto"/>
        <w:right w:val="none" w:sz="0" w:space="0" w:color="auto"/>
      </w:divBdr>
    </w:div>
    <w:div w:id="1143038475">
      <w:bodyDiv w:val="1"/>
      <w:marLeft w:val="0"/>
      <w:marRight w:val="0"/>
      <w:marTop w:val="0"/>
      <w:marBottom w:val="0"/>
      <w:divBdr>
        <w:top w:val="none" w:sz="0" w:space="0" w:color="auto"/>
        <w:left w:val="none" w:sz="0" w:space="0" w:color="auto"/>
        <w:bottom w:val="none" w:sz="0" w:space="0" w:color="auto"/>
        <w:right w:val="none" w:sz="0" w:space="0" w:color="auto"/>
      </w:divBdr>
    </w:div>
    <w:div w:id="1143159977">
      <w:bodyDiv w:val="1"/>
      <w:marLeft w:val="0"/>
      <w:marRight w:val="0"/>
      <w:marTop w:val="0"/>
      <w:marBottom w:val="0"/>
      <w:divBdr>
        <w:top w:val="none" w:sz="0" w:space="0" w:color="auto"/>
        <w:left w:val="none" w:sz="0" w:space="0" w:color="auto"/>
        <w:bottom w:val="none" w:sz="0" w:space="0" w:color="auto"/>
        <w:right w:val="none" w:sz="0" w:space="0" w:color="auto"/>
      </w:divBdr>
    </w:div>
    <w:div w:id="1143279625">
      <w:bodyDiv w:val="1"/>
      <w:marLeft w:val="0"/>
      <w:marRight w:val="0"/>
      <w:marTop w:val="0"/>
      <w:marBottom w:val="0"/>
      <w:divBdr>
        <w:top w:val="none" w:sz="0" w:space="0" w:color="auto"/>
        <w:left w:val="none" w:sz="0" w:space="0" w:color="auto"/>
        <w:bottom w:val="none" w:sz="0" w:space="0" w:color="auto"/>
        <w:right w:val="none" w:sz="0" w:space="0" w:color="auto"/>
      </w:divBdr>
    </w:div>
    <w:div w:id="1144203807">
      <w:bodyDiv w:val="1"/>
      <w:marLeft w:val="0"/>
      <w:marRight w:val="0"/>
      <w:marTop w:val="0"/>
      <w:marBottom w:val="0"/>
      <w:divBdr>
        <w:top w:val="none" w:sz="0" w:space="0" w:color="auto"/>
        <w:left w:val="none" w:sz="0" w:space="0" w:color="auto"/>
        <w:bottom w:val="none" w:sz="0" w:space="0" w:color="auto"/>
        <w:right w:val="none" w:sz="0" w:space="0" w:color="auto"/>
      </w:divBdr>
    </w:div>
    <w:div w:id="1145274287">
      <w:bodyDiv w:val="1"/>
      <w:marLeft w:val="0"/>
      <w:marRight w:val="0"/>
      <w:marTop w:val="0"/>
      <w:marBottom w:val="0"/>
      <w:divBdr>
        <w:top w:val="none" w:sz="0" w:space="0" w:color="auto"/>
        <w:left w:val="none" w:sz="0" w:space="0" w:color="auto"/>
        <w:bottom w:val="none" w:sz="0" w:space="0" w:color="auto"/>
        <w:right w:val="none" w:sz="0" w:space="0" w:color="auto"/>
      </w:divBdr>
    </w:div>
    <w:div w:id="1146437829">
      <w:bodyDiv w:val="1"/>
      <w:marLeft w:val="0"/>
      <w:marRight w:val="0"/>
      <w:marTop w:val="0"/>
      <w:marBottom w:val="0"/>
      <w:divBdr>
        <w:top w:val="none" w:sz="0" w:space="0" w:color="auto"/>
        <w:left w:val="none" w:sz="0" w:space="0" w:color="auto"/>
        <w:bottom w:val="none" w:sz="0" w:space="0" w:color="auto"/>
        <w:right w:val="none" w:sz="0" w:space="0" w:color="auto"/>
      </w:divBdr>
    </w:div>
    <w:div w:id="1146704976">
      <w:bodyDiv w:val="1"/>
      <w:marLeft w:val="0"/>
      <w:marRight w:val="0"/>
      <w:marTop w:val="0"/>
      <w:marBottom w:val="0"/>
      <w:divBdr>
        <w:top w:val="none" w:sz="0" w:space="0" w:color="auto"/>
        <w:left w:val="none" w:sz="0" w:space="0" w:color="auto"/>
        <w:bottom w:val="none" w:sz="0" w:space="0" w:color="auto"/>
        <w:right w:val="none" w:sz="0" w:space="0" w:color="auto"/>
      </w:divBdr>
    </w:div>
    <w:div w:id="1147166062">
      <w:bodyDiv w:val="1"/>
      <w:marLeft w:val="0"/>
      <w:marRight w:val="0"/>
      <w:marTop w:val="0"/>
      <w:marBottom w:val="0"/>
      <w:divBdr>
        <w:top w:val="none" w:sz="0" w:space="0" w:color="auto"/>
        <w:left w:val="none" w:sz="0" w:space="0" w:color="auto"/>
        <w:bottom w:val="none" w:sz="0" w:space="0" w:color="auto"/>
        <w:right w:val="none" w:sz="0" w:space="0" w:color="auto"/>
      </w:divBdr>
    </w:div>
    <w:div w:id="1147354232">
      <w:bodyDiv w:val="1"/>
      <w:marLeft w:val="0"/>
      <w:marRight w:val="0"/>
      <w:marTop w:val="0"/>
      <w:marBottom w:val="0"/>
      <w:divBdr>
        <w:top w:val="none" w:sz="0" w:space="0" w:color="auto"/>
        <w:left w:val="none" w:sz="0" w:space="0" w:color="auto"/>
        <w:bottom w:val="none" w:sz="0" w:space="0" w:color="auto"/>
        <w:right w:val="none" w:sz="0" w:space="0" w:color="auto"/>
      </w:divBdr>
    </w:div>
    <w:div w:id="1147430118">
      <w:bodyDiv w:val="1"/>
      <w:marLeft w:val="0"/>
      <w:marRight w:val="0"/>
      <w:marTop w:val="0"/>
      <w:marBottom w:val="0"/>
      <w:divBdr>
        <w:top w:val="none" w:sz="0" w:space="0" w:color="auto"/>
        <w:left w:val="none" w:sz="0" w:space="0" w:color="auto"/>
        <w:bottom w:val="none" w:sz="0" w:space="0" w:color="auto"/>
        <w:right w:val="none" w:sz="0" w:space="0" w:color="auto"/>
      </w:divBdr>
    </w:div>
    <w:div w:id="1148127313">
      <w:bodyDiv w:val="1"/>
      <w:marLeft w:val="0"/>
      <w:marRight w:val="0"/>
      <w:marTop w:val="0"/>
      <w:marBottom w:val="0"/>
      <w:divBdr>
        <w:top w:val="none" w:sz="0" w:space="0" w:color="auto"/>
        <w:left w:val="none" w:sz="0" w:space="0" w:color="auto"/>
        <w:bottom w:val="none" w:sz="0" w:space="0" w:color="auto"/>
        <w:right w:val="none" w:sz="0" w:space="0" w:color="auto"/>
      </w:divBdr>
    </w:div>
    <w:div w:id="1148287066">
      <w:bodyDiv w:val="1"/>
      <w:marLeft w:val="0"/>
      <w:marRight w:val="0"/>
      <w:marTop w:val="0"/>
      <w:marBottom w:val="0"/>
      <w:divBdr>
        <w:top w:val="none" w:sz="0" w:space="0" w:color="auto"/>
        <w:left w:val="none" w:sz="0" w:space="0" w:color="auto"/>
        <w:bottom w:val="none" w:sz="0" w:space="0" w:color="auto"/>
        <w:right w:val="none" w:sz="0" w:space="0" w:color="auto"/>
      </w:divBdr>
    </w:div>
    <w:div w:id="1149440112">
      <w:bodyDiv w:val="1"/>
      <w:marLeft w:val="0"/>
      <w:marRight w:val="0"/>
      <w:marTop w:val="0"/>
      <w:marBottom w:val="0"/>
      <w:divBdr>
        <w:top w:val="none" w:sz="0" w:space="0" w:color="auto"/>
        <w:left w:val="none" w:sz="0" w:space="0" w:color="auto"/>
        <w:bottom w:val="none" w:sz="0" w:space="0" w:color="auto"/>
        <w:right w:val="none" w:sz="0" w:space="0" w:color="auto"/>
      </w:divBdr>
    </w:div>
    <w:div w:id="1150098705">
      <w:bodyDiv w:val="1"/>
      <w:marLeft w:val="0"/>
      <w:marRight w:val="0"/>
      <w:marTop w:val="0"/>
      <w:marBottom w:val="0"/>
      <w:divBdr>
        <w:top w:val="none" w:sz="0" w:space="0" w:color="auto"/>
        <w:left w:val="none" w:sz="0" w:space="0" w:color="auto"/>
        <w:bottom w:val="none" w:sz="0" w:space="0" w:color="auto"/>
        <w:right w:val="none" w:sz="0" w:space="0" w:color="auto"/>
      </w:divBdr>
    </w:div>
    <w:div w:id="1150293792">
      <w:bodyDiv w:val="1"/>
      <w:marLeft w:val="0"/>
      <w:marRight w:val="0"/>
      <w:marTop w:val="0"/>
      <w:marBottom w:val="0"/>
      <w:divBdr>
        <w:top w:val="none" w:sz="0" w:space="0" w:color="auto"/>
        <w:left w:val="none" w:sz="0" w:space="0" w:color="auto"/>
        <w:bottom w:val="none" w:sz="0" w:space="0" w:color="auto"/>
        <w:right w:val="none" w:sz="0" w:space="0" w:color="auto"/>
      </w:divBdr>
    </w:div>
    <w:div w:id="1151605526">
      <w:bodyDiv w:val="1"/>
      <w:marLeft w:val="0"/>
      <w:marRight w:val="0"/>
      <w:marTop w:val="0"/>
      <w:marBottom w:val="0"/>
      <w:divBdr>
        <w:top w:val="none" w:sz="0" w:space="0" w:color="auto"/>
        <w:left w:val="none" w:sz="0" w:space="0" w:color="auto"/>
        <w:bottom w:val="none" w:sz="0" w:space="0" w:color="auto"/>
        <w:right w:val="none" w:sz="0" w:space="0" w:color="auto"/>
      </w:divBdr>
    </w:div>
    <w:div w:id="1152257933">
      <w:bodyDiv w:val="1"/>
      <w:marLeft w:val="0"/>
      <w:marRight w:val="0"/>
      <w:marTop w:val="0"/>
      <w:marBottom w:val="0"/>
      <w:divBdr>
        <w:top w:val="none" w:sz="0" w:space="0" w:color="auto"/>
        <w:left w:val="none" w:sz="0" w:space="0" w:color="auto"/>
        <w:bottom w:val="none" w:sz="0" w:space="0" w:color="auto"/>
        <w:right w:val="none" w:sz="0" w:space="0" w:color="auto"/>
      </w:divBdr>
    </w:div>
    <w:div w:id="1153060999">
      <w:bodyDiv w:val="1"/>
      <w:marLeft w:val="0"/>
      <w:marRight w:val="0"/>
      <w:marTop w:val="0"/>
      <w:marBottom w:val="0"/>
      <w:divBdr>
        <w:top w:val="none" w:sz="0" w:space="0" w:color="auto"/>
        <w:left w:val="none" w:sz="0" w:space="0" w:color="auto"/>
        <w:bottom w:val="none" w:sz="0" w:space="0" w:color="auto"/>
        <w:right w:val="none" w:sz="0" w:space="0" w:color="auto"/>
      </w:divBdr>
    </w:div>
    <w:div w:id="1154686771">
      <w:bodyDiv w:val="1"/>
      <w:marLeft w:val="0"/>
      <w:marRight w:val="0"/>
      <w:marTop w:val="0"/>
      <w:marBottom w:val="0"/>
      <w:divBdr>
        <w:top w:val="none" w:sz="0" w:space="0" w:color="auto"/>
        <w:left w:val="none" w:sz="0" w:space="0" w:color="auto"/>
        <w:bottom w:val="none" w:sz="0" w:space="0" w:color="auto"/>
        <w:right w:val="none" w:sz="0" w:space="0" w:color="auto"/>
      </w:divBdr>
    </w:div>
    <w:div w:id="1155755049">
      <w:bodyDiv w:val="1"/>
      <w:marLeft w:val="0"/>
      <w:marRight w:val="0"/>
      <w:marTop w:val="0"/>
      <w:marBottom w:val="0"/>
      <w:divBdr>
        <w:top w:val="none" w:sz="0" w:space="0" w:color="auto"/>
        <w:left w:val="none" w:sz="0" w:space="0" w:color="auto"/>
        <w:bottom w:val="none" w:sz="0" w:space="0" w:color="auto"/>
        <w:right w:val="none" w:sz="0" w:space="0" w:color="auto"/>
      </w:divBdr>
    </w:div>
    <w:div w:id="1156260689">
      <w:bodyDiv w:val="1"/>
      <w:marLeft w:val="0"/>
      <w:marRight w:val="0"/>
      <w:marTop w:val="0"/>
      <w:marBottom w:val="0"/>
      <w:divBdr>
        <w:top w:val="none" w:sz="0" w:space="0" w:color="auto"/>
        <w:left w:val="none" w:sz="0" w:space="0" w:color="auto"/>
        <w:bottom w:val="none" w:sz="0" w:space="0" w:color="auto"/>
        <w:right w:val="none" w:sz="0" w:space="0" w:color="auto"/>
      </w:divBdr>
    </w:div>
    <w:div w:id="1156726497">
      <w:bodyDiv w:val="1"/>
      <w:marLeft w:val="0"/>
      <w:marRight w:val="0"/>
      <w:marTop w:val="0"/>
      <w:marBottom w:val="0"/>
      <w:divBdr>
        <w:top w:val="none" w:sz="0" w:space="0" w:color="auto"/>
        <w:left w:val="none" w:sz="0" w:space="0" w:color="auto"/>
        <w:bottom w:val="none" w:sz="0" w:space="0" w:color="auto"/>
        <w:right w:val="none" w:sz="0" w:space="0" w:color="auto"/>
      </w:divBdr>
    </w:div>
    <w:div w:id="1158614729">
      <w:bodyDiv w:val="1"/>
      <w:marLeft w:val="0"/>
      <w:marRight w:val="0"/>
      <w:marTop w:val="0"/>
      <w:marBottom w:val="0"/>
      <w:divBdr>
        <w:top w:val="none" w:sz="0" w:space="0" w:color="auto"/>
        <w:left w:val="none" w:sz="0" w:space="0" w:color="auto"/>
        <w:bottom w:val="none" w:sz="0" w:space="0" w:color="auto"/>
        <w:right w:val="none" w:sz="0" w:space="0" w:color="auto"/>
      </w:divBdr>
    </w:div>
    <w:div w:id="1158886068">
      <w:bodyDiv w:val="1"/>
      <w:marLeft w:val="0"/>
      <w:marRight w:val="0"/>
      <w:marTop w:val="0"/>
      <w:marBottom w:val="0"/>
      <w:divBdr>
        <w:top w:val="none" w:sz="0" w:space="0" w:color="auto"/>
        <w:left w:val="none" w:sz="0" w:space="0" w:color="auto"/>
        <w:bottom w:val="none" w:sz="0" w:space="0" w:color="auto"/>
        <w:right w:val="none" w:sz="0" w:space="0" w:color="auto"/>
      </w:divBdr>
    </w:div>
    <w:div w:id="1159425266">
      <w:bodyDiv w:val="1"/>
      <w:marLeft w:val="0"/>
      <w:marRight w:val="0"/>
      <w:marTop w:val="0"/>
      <w:marBottom w:val="0"/>
      <w:divBdr>
        <w:top w:val="none" w:sz="0" w:space="0" w:color="auto"/>
        <w:left w:val="none" w:sz="0" w:space="0" w:color="auto"/>
        <w:bottom w:val="none" w:sz="0" w:space="0" w:color="auto"/>
        <w:right w:val="none" w:sz="0" w:space="0" w:color="auto"/>
      </w:divBdr>
    </w:div>
    <w:div w:id="1160079950">
      <w:bodyDiv w:val="1"/>
      <w:marLeft w:val="0"/>
      <w:marRight w:val="0"/>
      <w:marTop w:val="0"/>
      <w:marBottom w:val="0"/>
      <w:divBdr>
        <w:top w:val="none" w:sz="0" w:space="0" w:color="auto"/>
        <w:left w:val="none" w:sz="0" w:space="0" w:color="auto"/>
        <w:bottom w:val="none" w:sz="0" w:space="0" w:color="auto"/>
        <w:right w:val="none" w:sz="0" w:space="0" w:color="auto"/>
      </w:divBdr>
    </w:div>
    <w:div w:id="1160582965">
      <w:bodyDiv w:val="1"/>
      <w:marLeft w:val="0"/>
      <w:marRight w:val="0"/>
      <w:marTop w:val="0"/>
      <w:marBottom w:val="0"/>
      <w:divBdr>
        <w:top w:val="none" w:sz="0" w:space="0" w:color="auto"/>
        <w:left w:val="none" w:sz="0" w:space="0" w:color="auto"/>
        <w:bottom w:val="none" w:sz="0" w:space="0" w:color="auto"/>
        <w:right w:val="none" w:sz="0" w:space="0" w:color="auto"/>
      </w:divBdr>
    </w:div>
    <w:div w:id="1160850286">
      <w:bodyDiv w:val="1"/>
      <w:marLeft w:val="0"/>
      <w:marRight w:val="0"/>
      <w:marTop w:val="0"/>
      <w:marBottom w:val="0"/>
      <w:divBdr>
        <w:top w:val="none" w:sz="0" w:space="0" w:color="auto"/>
        <w:left w:val="none" w:sz="0" w:space="0" w:color="auto"/>
        <w:bottom w:val="none" w:sz="0" w:space="0" w:color="auto"/>
        <w:right w:val="none" w:sz="0" w:space="0" w:color="auto"/>
      </w:divBdr>
    </w:div>
    <w:div w:id="1162693561">
      <w:bodyDiv w:val="1"/>
      <w:marLeft w:val="0"/>
      <w:marRight w:val="0"/>
      <w:marTop w:val="0"/>
      <w:marBottom w:val="0"/>
      <w:divBdr>
        <w:top w:val="none" w:sz="0" w:space="0" w:color="auto"/>
        <w:left w:val="none" w:sz="0" w:space="0" w:color="auto"/>
        <w:bottom w:val="none" w:sz="0" w:space="0" w:color="auto"/>
        <w:right w:val="none" w:sz="0" w:space="0" w:color="auto"/>
      </w:divBdr>
    </w:div>
    <w:div w:id="1162811468">
      <w:bodyDiv w:val="1"/>
      <w:marLeft w:val="0"/>
      <w:marRight w:val="0"/>
      <w:marTop w:val="0"/>
      <w:marBottom w:val="0"/>
      <w:divBdr>
        <w:top w:val="none" w:sz="0" w:space="0" w:color="auto"/>
        <w:left w:val="none" w:sz="0" w:space="0" w:color="auto"/>
        <w:bottom w:val="none" w:sz="0" w:space="0" w:color="auto"/>
        <w:right w:val="none" w:sz="0" w:space="0" w:color="auto"/>
      </w:divBdr>
    </w:div>
    <w:div w:id="1163277520">
      <w:bodyDiv w:val="1"/>
      <w:marLeft w:val="0"/>
      <w:marRight w:val="0"/>
      <w:marTop w:val="0"/>
      <w:marBottom w:val="0"/>
      <w:divBdr>
        <w:top w:val="none" w:sz="0" w:space="0" w:color="auto"/>
        <w:left w:val="none" w:sz="0" w:space="0" w:color="auto"/>
        <w:bottom w:val="none" w:sz="0" w:space="0" w:color="auto"/>
        <w:right w:val="none" w:sz="0" w:space="0" w:color="auto"/>
      </w:divBdr>
    </w:div>
    <w:div w:id="1163622873">
      <w:bodyDiv w:val="1"/>
      <w:marLeft w:val="0"/>
      <w:marRight w:val="0"/>
      <w:marTop w:val="0"/>
      <w:marBottom w:val="0"/>
      <w:divBdr>
        <w:top w:val="none" w:sz="0" w:space="0" w:color="auto"/>
        <w:left w:val="none" w:sz="0" w:space="0" w:color="auto"/>
        <w:bottom w:val="none" w:sz="0" w:space="0" w:color="auto"/>
        <w:right w:val="none" w:sz="0" w:space="0" w:color="auto"/>
      </w:divBdr>
    </w:div>
    <w:div w:id="1164126811">
      <w:bodyDiv w:val="1"/>
      <w:marLeft w:val="0"/>
      <w:marRight w:val="0"/>
      <w:marTop w:val="0"/>
      <w:marBottom w:val="0"/>
      <w:divBdr>
        <w:top w:val="none" w:sz="0" w:space="0" w:color="auto"/>
        <w:left w:val="none" w:sz="0" w:space="0" w:color="auto"/>
        <w:bottom w:val="none" w:sz="0" w:space="0" w:color="auto"/>
        <w:right w:val="none" w:sz="0" w:space="0" w:color="auto"/>
      </w:divBdr>
    </w:div>
    <w:div w:id="1164736073">
      <w:bodyDiv w:val="1"/>
      <w:marLeft w:val="0"/>
      <w:marRight w:val="0"/>
      <w:marTop w:val="0"/>
      <w:marBottom w:val="0"/>
      <w:divBdr>
        <w:top w:val="none" w:sz="0" w:space="0" w:color="auto"/>
        <w:left w:val="none" w:sz="0" w:space="0" w:color="auto"/>
        <w:bottom w:val="none" w:sz="0" w:space="0" w:color="auto"/>
        <w:right w:val="none" w:sz="0" w:space="0" w:color="auto"/>
      </w:divBdr>
    </w:div>
    <w:div w:id="1165168797">
      <w:bodyDiv w:val="1"/>
      <w:marLeft w:val="0"/>
      <w:marRight w:val="0"/>
      <w:marTop w:val="0"/>
      <w:marBottom w:val="0"/>
      <w:divBdr>
        <w:top w:val="none" w:sz="0" w:space="0" w:color="auto"/>
        <w:left w:val="none" w:sz="0" w:space="0" w:color="auto"/>
        <w:bottom w:val="none" w:sz="0" w:space="0" w:color="auto"/>
        <w:right w:val="none" w:sz="0" w:space="0" w:color="auto"/>
      </w:divBdr>
    </w:div>
    <w:div w:id="1166019698">
      <w:bodyDiv w:val="1"/>
      <w:marLeft w:val="0"/>
      <w:marRight w:val="0"/>
      <w:marTop w:val="0"/>
      <w:marBottom w:val="0"/>
      <w:divBdr>
        <w:top w:val="none" w:sz="0" w:space="0" w:color="auto"/>
        <w:left w:val="none" w:sz="0" w:space="0" w:color="auto"/>
        <w:bottom w:val="none" w:sz="0" w:space="0" w:color="auto"/>
        <w:right w:val="none" w:sz="0" w:space="0" w:color="auto"/>
      </w:divBdr>
    </w:div>
    <w:div w:id="1166628188">
      <w:bodyDiv w:val="1"/>
      <w:marLeft w:val="0"/>
      <w:marRight w:val="0"/>
      <w:marTop w:val="0"/>
      <w:marBottom w:val="0"/>
      <w:divBdr>
        <w:top w:val="none" w:sz="0" w:space="0" w:color="auto"/>
        <w:left w:val="none" w:sz="0" w:space="0" w:color="auto"/>
        <w:bottom w:val="none" w:sz="0" w:space="0" w:color="auto"/>
        <w:right w:val="none" w:sz="0" w:space="0" w:color="auto"/>
      </w:divBdr>
    </w:div>
    <w:div w:id="1167132386">
      <w:bodyDiv w:val="1"/>
      <w:marLeft w:val="0"/>
      <w:marRight w:val="0"/>
      <w:marTop w:val="0"/>
      <w:marBottom w:val="0"/>
      <w:divBdr>
        <w:top w:val="none" w:sz="0" w:space="0" w:color="auto"/>
        <w:left w:val="none" w:sz="0" w:space="0" w:color="auto"/>
        <w:bottom w:val="none" w:sz="0" w:space="0" w:color="auto"/>
        <w:right w:val="none" w:sz="0" w:space="0" w:color="auto"/>
      </w:divBdr>
    </w:div>
    <w:div w:id="1167359543">
      <w:bodyDiv w:val="1"/>
      <w:marLeft w:val="0"/>
      <w:marRight w:val="0"/>
      <w:marTop w:val="0"/>
      <w:marBottom w:val="0"/>
      <w:divBdr>
        <w:top w:val="none" w:sz="0" w:space="0" w:color="auto"/>
        <w:left w:val="none" w:sz="0" w:space="0" w:color="auto"/>
        <w:bottom w:val="none" w:sz="0" w:space="0" w:color="auto"/>
        <w:right w:val="none" w:sz="0" w:space="0" w:color="auto"/>
      </w:divBdr>
    </w:div>
    <w:div w:id="1167786826">
      <w:bodyDiv w:val="1"/>
      <w:marLeft w:val="0"/>
      <w:marRight w:val="0"/>
      <w:marTop w:val="0"/>
      <w:marBottom w:val="0"/>
      <w:divBdr>
        <w:top w:val="none" w:sz="0" w:space="0" w:color="auto"/>
        <w:left w:val="none" w:sz="0" w:space="0" w:color="auto"/>
        <w:bottom w:val="none" w:sz="0" w:space="0" w:color="auto"/>
        <w:right w:val="none" w:sz="0" w:space="0" w:color="auto"/>
      </w:divBdr>
    </w:div>
    <w:div w:id="1167794325">
      <w:bodyDiv w:val="1"/>
      <w:marLeft w:val="0"/>
      <w:marRight w:val="0"/>
      <w:marTop w:val="0"/>
      <w:marBottom w:val="0"/>
      <w:divBdr>
        <w:top w:val="none" w:sz="0" w:space="0" w:color="auto"/>
        <w:left w:val="none" w:sz="0" w:space="0" w:color="auto"/>
        <w:bottom w:val="none" w:sz="0" w:space="0" w:color="auto"/>
        <w:right w:val="none" w:sz="0" w:space="0" w:color="auto"/>
      </w:divBdr>
    </w:div>
    <w:div w:id="1167984302">
      <w:bodyDiv w:val="1"/>
      <w:marLeft w:val="0"/>
      <w:marRight w:val="0"/>
      <w:marTop w:val="0"/>
      <w:marBottom w:val="0"/>
      <w:divBdr>
        <w:top w:val="none" w:sz="0" w:space="0" w:color="auto"/>
        <w:left w:val="none" w:sz="0" w:space="0" w:color="auto"/>
        <w:bottom w:val="none" w:sz="0" w:space="0" w:color="auto"/>
        <w:right w:val="none" w:sz="0" w:space="0" w:color="auto"/>
      </w:divBdr>
    </w:div>
    <w:div w:id="1168255906">
      <w:bodyDiv w:val="1"/>
      <w:marLeft w:val="0"/>
      <w:marRight w:val="0"/>
      <w:marTop w:val="0"/>
      <w:marBottom w:val="0"/>
      <w:divBdr>
        <w:top w:val="none" w:sz="0" w:space="0" w:color="auto"/>
        <w:left w:val="none" w:sz="0" w:space="0" w:color="auto"/>
        <w:bottom w:val="none" w:sz="0" w:space="0" w:color="auto"/>
        <w:right w:val="none" w:sz="0" w:space="0" w:color="auto"/>
      </w:divBdr>
    </w:div>
    <w:div w:id="1169828660">
      <w:bodyDiv w:val="1"/>
      <w:marLeft w:val="0"/>
      <w:marRight w:val="0"/>
      <w:marTop w:val="0"/>
      <w:marBottom w:val="0"/>
      <w:divBdr>
        <w:top w:val="none" w:sz="0" w:space="0" w:color="auto"/>
        <w:left w:val="none" w:sz="0" w:space="0" w:color="auto"/>
        <w:bottom w:val="none" w:sz="0" w:space="0" w:color="auto"/>
        <w:right w:val="none" w:sz="0" w:space="0" w:color="auto"/>
      </w:divBdr>
    </w:div>
    <w:div w:id="1171799666">
      <w:bodyDiv w:val="1"/>
      <w:marLeft w:val="0"/>
      <w:marRight w:val="0"/>
      <w:marTop w:val="0"/>
      <w:marBottom w:val="0"/>
      <w:divBdr>
        <w:top w:val="none" w:sz="0" w:space="0" w:color="auto"/>
        <w:left w:val="none" w:sz="0" w:space="0" w:color="auto"/>
        <w:bottom w:val="none" w:sz="0" w:space="0" w:color="auto"/>
        <w:right w:val="none" w:sz="0" w:space="0" w:color="auto"/>
      </w:divBdr>
    </w:div>
    <w:div w:id="1172258940">
      <w:bodyDiv w:val="1"/>
      <w:marLeft w:val="0"/>
      <w:marRight w:val="0"/>
      <w:marTop w:val="0"/>
      <w:marBottom w:val="0"/>
      <w:divBdr>
        <w:top w:val="none" w:sz="0" w:space="0" w:color="auto"/>
        <w:left w:val="none" w:sz="0" w:space="0" w:color="auto"/>
        <w:bottom w:val="none" w:sz="0" w:space="0" w:color="auto"/>
        <w:right w:val="none" w:sz="0" w:space="0" w:color="auto"/>
      </w:divBdr>
    </w:div>
    <w:div w:id="1172911454">
      <w:bodyDiv w:val="1"/>
      <w:marLeft w:val="0"/>
      <w:marRight w:val="0"/>
      <w:marTop w:val="0"/>
      <w:marBottom w:val="0"/>
      <w:divBdr>
        <w:top w:val="none" w:sz="0" w:space="0" w:color="auto"/>
        <w:left w:val="none" w:sz="0" w:space="0" w:color="auto"/>
        <w:bottom w:val="none" w:sz="0" w:space="0" w:color="auto"/>
        <w:right w:val="none" w:sz="0" w:space="0" w:color="auto"/>
      </w:divBdr>
    </w:div>
    <w:div w:id="1174606693">
      <w:bodyDiv w:val="1"/>
      <w:marLeft w:val="0"/>
      <w:marRight w:val="0"/>
      <w:marTop w:val="0"/>
      <w:marBottom w:val="0"/>
      <w:divBdr>
        <w:top w:val="none" w:sz="0" w:space="0" w:color="auto"/>
        <w:left w:val="none" w:sz="0" w:space="0" w:color="auto"/>
        <w:bottom w:val="none" w:sz="0" w:space="0" w:color="auto"/>
        <w:right w:val="none" w:sz="0" w:space="0" w:color="auto"/>
      </w:divBdr>
    </w:div>
    <w:div w:id="1175265990">
      <w:bodyDiv w:val="1"/>
      <w:marLeft w:val="0"/>
      <w:marRight w:val="0"/>
      <w:marTop w:val="0"/>
      <w:marBottom w:val="0"/>
      <w:divBdr>
        <w:top w:val="none" w:sz="0" w:space="0" w:color="auto"/>
        <w:left w:val="none" w:sz="0" w:space="0" w:color="auto"/>
        <w:bottom w:val="none" w:sz="0" w:space="0" w:color="auto"/>
        <w:right w:val="none" w:sz="0" w:space="0" w:color="auto"/>
      </w:divBdr>
    </w:div>
    <w:div w:id="1175805658">
      <w:bodyDiv w:val="1"/>
      <w:marLeft w:val="0"/>
      <w:marRight w:val="0"/>
      <w:marTop w:val="0"/>
      <w:marBottom w:val="0"/>
      <w:divBdr>
        <w:top w:val="none" w:sz="0" w:space="0" w:color="auto"/>
        <w:left w:val="none" w:sz="0" w:space="0" w:color="auto"/>
        <w:bottom w:val="none" w:sz="0" w:space="0" w:color="auto"/>
        <w:right w:val="none" w:sz="0" w:space="0" w:color="auto"/>
      </w:divBdr>
    </w:div>
    <w:div w:id="1178235703">
      <w:bodyDiv w:val="1"/>
      <w:marLeft w:val="0"/>
      <w:marRight w:val="0"/>
      <w:marTop w:val="0"/>
      <w:marBottom w:val="0"/>
      <w:divBdr>
        <w:top w:val="none" w:sz="0" w:space="0" w:color="auto"/>
        <w:left w:val="none" w:sz="0" w:space="0" w:color="auto"/>
        <w:bottom w:val="none" w:sz="0" w:space="0" w:color="auto"/>
        <w:right w:val="none" w:sz="0" w:space="0" w:color="auto"/>
      </w:divBdr>
    </w:div>
    <w:div w:id="1178546430">
      <w:bodyDiv w:val="1"/>
      <w:marLeft w:val="0"/>
      <w:marRight w:val="0"/>
      <w:marTop w:val="0"/>
      <w:marBottom w:val="0"/>
      <w:divBdr>
        <w:top w:val="none" w:sz="0" w:space="0" w:color="auto"/>
        <w:left w:val="none" w:sz="0" w:space="0" w:color="auto"/>
        <w:bottom w:val="none" w:sz="0" w:space="0" w:color="auto"/>
        <w:right w:val="none" w:sz="0" w:space="0" w:color="auto"/>
      </w:divBdr>
    </w:div>
    <w:div w:id="1178618653">
      <w:bodyDiv w:val="1"/>
      <w:marLeft w:val="0"/>
      <w:marRight w:val="0"/>
      <w:marTop w:val="0"/>
      <w:marBottom w:val="0"/>
      <w:divBdr>
        <w:top w:val="none" w:sz="0" w:space="0" w:color="auto"/>
        <w:left w:val="none" w:sz="0" w:space="0" w:color="auto"/>
        <w:bottom w:val="none" w:sz="0" w:space="0" w:color="auto"/>
        <w:right w:val="none" w:sz="0" w:space="0" w:color="auto"/>
      </w:divBdr>
    </w:div>
    <w:div w:id="1179614909">
      <w:bodyDiv w:val="1"/>
      <w:marLeft w:val="0"/>
      <w:marRight w:val="0"/>
      <w:marTop w:val="0"/>
      <w:marBottom w:val="0"/>
      <w:divBdr>
        <w:top w:val="none" w:sz="0" w:space="0" w:color="auto"/>
        <w:left w:val="none" w:sz="0" w:space="0" w:color="auto"/>
        <w:bottom w:val="none" w:sz="0" w:space="0" w:color="auto"/>
        <w:right w:val="none" w:sz="0" w:space="0" w:color="auto"/>
      </w:divBdr>
    </w:div>
    <w:div w:id="1180125535">
      <w:bodyDiv w:val="1"/>
      <w:marLeft w:val="0"/>
      <w:marRight w:val="0"/>
      <w:marTop w:val="0"/>
      <w:marBottom w:val="0"/>
      <w:divBdr>
        <w:top w:val="none" w:sz="0" w:space="0" w:color="auto"/>
        <w:left w:val="none" w:sz="0" w:space="0" w:color="auto"/>
        <w:bottom w:val="none" w:sz="0" w:space="0" w:color="auto"/>
        <w:right w:val="none" w:sz="0" w:space="0" w:color="auto"/>
      </w:divBdr>
    </w:div>
    <w:div w:id="1180781433">
      <w:bodyDiv w:val="1"/>
      <w:marLeft w:val="0"/>
      <w:marRight w:val="0"/>
      <w:marTop w:val="0"/>
      <w:marBottom w:val="0"/>
      <w:divBdr>
        <w:top w:val="none" w:sz="0" w:space="0" w:color="auto"/>
        <w:left w:val="none" w:sz="0" w:space="0" w:color="auto"/>
        <w:bottom w:val="none" w:sz="0" w:space="0" w:color="auto"/>
        <w:right w:val="none" w:sz="0" w:space="0" w:color="auto"/>
      </w:divBdr>
    </w:div>
    <w:div w:id="1180970001">
      <w:bodyDiv w:val="1"/>
      <w:marLeft w:val="0"/>
      <w:marRight w:val="0"/>
      <w:marTop w:val="0"/>
      <w:marBottom w:val="0"/>
      <w:divBdr>
        <w:top w:val="none" w:sz="0" w:space="0" w:color="auto"/>
        <w:left w:val="none" w:sz="0" w:space="0" w:color="auto"/>
        <w:bottom w:val="none" w:sz="0" w:space="0" w:color="auto"/>
        <w:right w:val="none" w:sz="0" w:space="0" w:color="auto"/>
      </w:divBdr>
    </w:div>
    <w:div w:id="1181238983">
      <w:bodyDiv w:val="1"/>
      <w:marLeft w:val="0"/>
      <w:marRight w:val="0"/>
      <w:marTop w:val="0"/>
      <w:marBottom w:val="0"/>
      <w:divBdr>
        <w:top w:val="none" w:sz="0" w:space="0" w:color="auto"/>
        <w:left w:val="none" w:sz="0" w:space="0" w:color="auto"/>
        <w:bottom w:val="none" w:sz="0" w:space="0" w:color="auto"/>
        <w:right w:val="none" w:sz="0" w:space="0" w:color="auto"/>
      </w:divBdr>
    </w:div>
    <w:div w:id="1181243441">
      <w:bodyDiv w:val="1"/>
      <w:marLeft w:val="0"/>
      <w:marRight w:val="0"/>
      <w:marTop w:val="0"/>
      <w:marBottom w:val="0"/>
      <w:divBdr>
        <w:top w:val="none" w:sz="0" w:space="0" w:color="auto"/>
        <w:left w:val="none" w:sz="0" w:space="0" w:color="auto"/>
        <w:bottom w:val="none" w:sz="0" w:space="0" w:color="auto"/>
        <w:right w:val="none" w:sz="0" w:space="0" w:color="auto"/>
      </w:divBdr>
    </w:div>
    <w:div w:id="1181628784">
      <w:bodyDiv w:val="1"/>
      <w:marLeft w:val="0"/>
      <w:marRight w:val="0"/>
      <w:marTop w:val="0"/>
      <w:marBottom w:val="0"/>
      <w:divBdr>
        <w:top w:val="none" w:sz="0" w:space="0" w:color="auto"/>
        <w:left w:val="none" w:sz="0" w:space="0" w:color="auto"/>
        <w:bottom w:val="none" w:sz="0" w:space="0" w:color="auto"/>
        <w:right w:val="none" w:sz="0" w:space="0" w:color="auto"/>
      </w:divBdr>
    </w:div>
    <w:div w:id="1182663481">
      <w:bodyDiv w:val="1"/>
      <w:marLeft w:val="0"/>
      <w:marRight w:val="0"/>
      <w:marTop w:val="0"/>
      <w:marBottom w:val="0"/>
      <w:divBdr>
        <w:top w:val="none" w:sz="0" w:space="0" w:color="auto"/>
        <w:left w:val="none" w:sz="0" w:space="0" w:color="auto"/>
        <w:bottom w:val="none" w:sz="0" w:space="0" w:color="auto"/>
        <w:right w:val="none" w:sz="0" w:space="0" w:color="auto"/>
      </w:divBdr>
    </w:div>
    <w:div w:id="1183856138">
      <w:bodyDiv w:val="1"/>
      <w:marLeft w:val="0"/>
      <w:marRight w:val="0"/>
      <w:marTop w:val="0"/>
      <w:marBottom w:val="0"/>
      <w:divBdr>
        <w:top w:val="none" w:sz="0" w:space="0" w:color="auto"/>
        <w:left w:val="none" w:sz="0" w:space="0" w:color="auto"/>
        <w:bottom w:val="none" w:sz="0" w:space="0" w:color="auto"/>
        <w:right w:val="none" w:sz="0" w:space="0" w:color="auto"/>
      </w:divBdr>
    </w:div>
    <w:div w:id="1184246079">
      <w:bodyDiv w:val="1"/>
      <w:marLeft w:val="0"/>
      <w:marRight w:val="0"/>
      <w:marTop w:val="0"/>
      <w:marBottom w:val="0"/>
      <w:divBdr>
        <w:top w:val="none" w:sz="0" w:space="0" w:color="auto"/>
        <w:left w:val="none" w:sz="0" w:space="0" w:color="auto"/>
        <w:bottom w:val="none" w:sz="0" w:space="0" w:color="auto"/>
        <w:right w:val="none" w:sz="0" w:space="0" w:color="auto"/>
      </w:divBdr>
    </w:div>
    <w:div w:id="1184712567">
      <w:bodyDiv w:val="1"/>
      <w:marLeft w:val="0"/>
      <w:marRight w:val="0"/>
      <w:marTop w:val="0"/>
      <w:marBottom w:val="0"/>
      <w:divBdr>
        <w:top w:val="none" w:sz="0" w:space="0" w:color="auto"/>
        <w:left w:val="none" w:sz="0" w:space="0" w:color="auto"/>
        <w:bottom w:val="none" w:sz="0" w:space="0" w:color="auto"/>
        <w:right w:val="none" w:sz="0" w:space="0" w:color="auto"/>
      </w:divBdr>
    </w:div>
    <w:div w:id="1185556461">
      <w:bodyDiv w:val="1"/>
      <w:marLeft w:val="0"/>
      <w:marRight w:val="0"/>
      <w:marTop w:val="0"/>
      <w:marBottom w:val="0"/>
      <w:divBdr>
        <w:top w:val="none" w:sz="0" w:space="0" w:color="auto"/>
        <w:left w:val="none" w:sz="0" w:space="0" w:color="auto"/>
        <w:bottom w:val="none" w:sz="0" w:space="0" w:color="auto"/>
        <w:right w:val="none" w:sz="0" w:space="0" w:color="auto"/>
      </w:divBdr>
    </w:div>
    <w:div w:id="1185752991">
      <w:bodyDiv w:val="1"/>
      <w:marLeft w:val="0"/>
      <w:marRight w:val="0"/>
      <w:marTop w:val="0"/>
      <w:marBottom w:val="0"/>
      <w:divBdr>
        <w:top w:val="none" w:sz="0" w:space="0" w:color="auto"/>
        <w:left w:val="none" w:sz="0" w:space="0" w:color="auto"/>
        <w:bottom w:val="none" w:sz="0" w:space="0" w:color="auto"/>
        <w:right w:val="none" w:sz="0" w:space="0" w:color="auto"/>
      </w:divBdr>
    </w:div>
    <w:div w:id="1188786681">
      <w:bodyDiv w:val="1"/>
      <w:marLeft w:val="0"/>
      <w:marRight w:val="0"/>
      <w:marTop w:val="0"/>
      <w:marBottom w:val="0"/>
      <w:divBdr>
        <w:top w:val="none" w:sz="0" w:space="0" w:color="auto"/>
        <w:left w:val="none" w:sz="0" w:space="0" w:color="auto"/>
        <w:bottom w:val="none" w:sz="0" w:space="0" w:color="auto"/>
        <w:right w:val="none" w:sz="0" w:space="0" w:color="auto"/>
      </w:divBdr>
    </w:div>
    <w:div w:id="1189178983">
      <w:bodyDiv w:val="1"/>
      <w:marLeft w:val="0"/>
      <w:marRight w:val="0"/>
      <w:marTop w:val="0"/>
      <w:marBottom w:val="0"/>
      <w:divBdr>
        <w:top w:val="none" w:sz="0" w:space="0" w:color="auto"/>
        <w:left w:val="none" w:sz="0" w:space="0" w:color="auto"/>
        <w:bottom w:val="none" w:sz="0" w:space="0" w:color="auto"/>
        <w:right w:val="none" w:sz="0" w:space="0" w:color="auto"/>
      </w:divBdr>
    </w:div>
    <w:div w:id="1190295507">
      <w:bodyDiv w:val="1"/>
      <w:marLeft w:val="0"/>
      <w:marRight w:val="0"/>
      <w:marTop w:val="0"/>
      <w:marBottom w:val="0"/>
      <w:divBdr>
        <w:top w:val="none" w:sz="0" w:space="0" w:color="auto"/>
        <w:left w:val="none" w:sz="0" w:space="0" w:color="auto"/>
        <w:bottom w:val="none" w:sz="0" w:space="0" w:color="auto"/>
        <w:right w:val="none" w:sz="0" w:space="0" w:color="auto"/>
      </w:divBdr>
    </w:div>
    <w:div w:id="1190727081">
      <w:bodyDiv w:val="1"/>
      <w:marLeft w:val="0"/>
      <w:marRight w:val="0"/>
      <w:marTop w:val="0"/>
      <w:marBottom w:val="0"/>
      <w:divBdr>
        <w:top w:val="none" w:sz="0" w:space="0" w:color="auto"/>
        <w:left w:val="none" w:sz="0" w:space="0" w:color="auto"/>
        <w:bottom w:val="none" w:sz="0" w:space="0" w:color="auto"/>
        <w:right w:val="none" w:sz="0" w:space="0" w:color="auto"/>
      </w:divBdr>
    </w:div>
    <w:div w:id="1190989963">
      <w:bodyDiv w:val="1"/>
      <w:marLeft w:val="0"/>
      <w:marRight w:val="0"/>
      <w:marTop w:val="0"/>
      <w:marBottom w:val="0"/>
      <w:divBdr>
        <w:top w:val="none" w:sz="0" w:space="0" w:color="auto"/>
        <w:left w:val="none" w:sz="0" w:space="0" w:color="auto"/>
        <w:bottom w:val="none" w:sz="0" w:space="0" w:color="auto"/>
        <w:right w:val="none" w:sz="0" w:space="0" w:color="auto"/>
      </w:divBdr>
    </w:div>
    <w:div w:id="1191528232">
      <w:bodyDiv w:val="1"/>
      <w:marLeft w:val="0"/>
      <w:marRight w:val="0"/>
      <w:marTop w:val="0"/>
      <w:marBottom w:val="0"/>
      <w:divBdr>
        <w:top w:val="none" w:sz="0" w:space="0" w:color="auto"/>
        <w:left w:val="none" w:sz="0" w:space="0" w:color="auto"/>
        <w:bottom w:val="none" w:sz="0" w:space="0" w:color="auto"/>
        <w:right w:val="none" w:sz="0" w:space="0" w:color="auto"/>
      </w:divBdr>
    </w:div>
    <w:div w:id="1192063439">
      <w:bodyDiv w:val="1"/>
      <w:marLeft w:val="0"/>
      <w:marRight w:val="0"/>
      <w:marTop w:val="0"/>
      <w:marBottom w:val="0"/>
      <w:divBdr>
        <w:top w:val="none" w:sz="0" w:space="0" w:color="auto"/>
        <w:left w:val="none" w:sz="0" w:space="0" w:color="auto"/>
        <w:bottom w:val="none" w:sz="0" w:space="0" w:color="auto"/>
        <w:right w:val="none" w:sz="0" w:space="0" w:color="auto"/>
      </w:divBdr>
    </w:div>
    <w:div w:id="1192838194">
      <w:bodyDiv w:val="1"/>
      <w:marLeft w:val="0"/>
      <w:marRight w:val="0"/>
      <w:marTop w:val="0"/>
      <w:marBottom w:val="0"/>
      <w:divBdr>
        <w:top w:val="none" w:sz="0" w:space="0" w:color="auto"/>
        <w:left w:val="none" w:sz="0" w:space="0" w:color="auto"/>
        <w:bottom w:val="none" w:sz="0" w:space="0" w:color="auto"/>
        <w:right w:val="none" w:sz="0" w:space="0" w:color="auto"/>
      </w:divBdr>
    </w:div>
    <w:div w:id="1193155768">
      <w:bodyDiv w:val="1"/>
      <w:marLeft w:val="0"/>
      <w:marRight w:val="0"/>
      <w:marTop w:val="0"/>
      <w:marBottom w:val="0"/>
      <w:divBdr>
        <w:top w:val="none" w:sz="0" w:space="0" w:color="auto"/>
        <w:left w:val="none" w:sz="0" w:space="0" w:color="auto"/>
        <w:bottom w:val="none" w:sz="0" w:space="0" w:color="auto"/>
        <w:right w:val="none" w:sz="0" w:space="0" w:color="auto"/>
      </w:divBdr>
    </w:div>
    <w:div w:id="1193299899">
      <w:bodyDiv w:val="1"/>
      <w:marLeft w:val="0"/>
      <w:marRight w:val="0"/>
      <w:marTop w:val="0"/>
      <w:marBottom w:val="0"/>
      <w:divBdr>
        <w:top w:val="none" w:sz="0" w:space="0" w:color="auto"/>
        <w:left w:val="none" w:sz="0" w:space="0" w:color="auto"/>
        <w:bottom w:val="none" w:sz="0" w:space="0" w:color="auto"/>
        <w:right w:val="none" w:sz="0" w:space="0" w:color="auto"/>
      </w:divBdr>
    </w:div>
    <w:div w:id="1193424305">
      <w:bodyDiv w:val="1"/>
      <w:marLeft w:val="0"/>
      <w:marRight w:val="0"/>
      <w:marTop w:val="0"/>
      <w:marBottom w:val="0"/>
      <w:divBdr>
        <w:top w:val="none" w:sz="0" w:space="0" w:color="auto"/>
        <w:left w:val="none" w:sz="0" w:space="0" w:color="auto"/>
        <w:bottom w:val="none" w:sz="0" w:space="0" w:color="auto"/>
        <w:right w:val="none" w:sz="0" w:space="0" w:color="auto"/>
      </w:divBdr>
    </w:div>
    <w:div w:id="1193618684">
      <w:bodyDiv w:val="1"/>
      <w:marLeft w:val="0"/>
      <w:marRight w:val="0"/>
      <w:marTop w:val="0"/>
      <w:marBottom w:val="0"/>
      <w:divBdr>
        <w:top w:val="none" w:sz="0" w:space="0" w:color="auto"/>
        <w:left w:val="none" w:sz="0" w:space="0" w:color="auto"/>
        <w:bottom w:val="none" w:sz="0" w:space="0" w:color="auto"/>
        <w:right w:val="none" w:sz="0" w:space="0" w:color="auto"/>
      </w:divBdr>
    </w:div>
    <w:div w:id="1194029109">
      <w:bodyDiv w:val="1"/>
      <w:marLeft w:val="0"/>
      <w:marRight w:val="0"/>
      <w:marTop w:val="0"/>
      <w:marBottom w:val="0"/>
      <w:divBdr>
        <w:top w:val="none" w:sz="0" w:space="0" w:color="auto"/>
        <w:left w:val="none" w:sz="0" w:space="0" w:color="auto"/>
        <w:bottom w:val="none" w:sz="0" w:space="0" w:color="auto"/>
        <w:right w:val="none" w:sz="0" w:space="0" w:color="auto"/>
      </w:divBdr>
      <w:divsChild>
        <w:div w:id="737899359">
          <w:marLeft w:val="0"/>
          <w:marRight w:val="0"/>
          <w:marTop w:val="0"/>
          <w:marBottom w:val="0"/>
          <w:divBdr>
            <w:top w:val="none" w:sz="0" w:space="0" w:color="auto"/>
            <w:left w:val="none" w:sz="0" w:space="0" w:color="auto"/>
            <w:bottom w:val="none" w:sz="0" w:space="0" w:color="auto"/>
            <w:right w:val="none" w:sz="0" w:space="0" w:color="auto"/>
          </w:divBdr>
        </w:div>
        <w:div w:id="903296159">
          <w:marLeft w:val="0"/>
          <w:marRight w:val="0"/>
          <w:marTop w:val="0"/>
          <w:marBottom w:val="0"/>
          <w:divBdr>
            <w:top w:val="none" w:sz="0" w:space="0" w:color="auto"/>
            <w:left w:val="none" w:sz="0" w:space="0" w:color="auto"/>
            <w:bottom w:val="none" w:sz="0" w:space="0" w:color="auto"/>
            <w:right w:val="none" w:sz="0" w:space="0" w:color="auto"/>
          </w:divBdr>
        </w:div>
        <w:div w:id="1934898164">
          <w:marLeft w:val="0"/>
          <w:marRight w:val="0"/>
          <w:marTop w:val="0"/>
          <w:marBottom w:val="0"/>
          <w:divBdr>
            <w:top w:val="none" w:sz="0" w:space="0" w:color="auto"/>
            <w:left w:val="none" w:sz="0" w:space="0" w:color="auto"/>
            <w:bottom w:val="none" w:sz="0" w:space="0" w:color="auto"/>
            <w:right w:val="none" w:sz="0" w:space="0" w:color="auto"/>
          </w:divBdr>
        </w:div>
      </w:divsChild>
    </w:div>
    <w:div w:id="1194462263">
      <w:bodyDiv w:val="1"/>
      <w:marLeft w:val="0"/>
      <w:marRight w:val="0"/>
      <w:marTop w:val="0"/>
      <w:marBottom w:val="0"/>
      <w:divBdr>
        <w:top w:val="none" w:sz="0" w:space="0" w:color="auto"/>
        <w:left w:val="none" w:sz="0" w:space="0" w:color="auto"/>
        <w:bottom w:val="none" w:sz="0" w:space="0" w:color="auto"/>
        <w:right w:val="none" w:sz="0" w:space="0" w:color="auto"/>
      </w:divBdr>
    </w:div>
    <w:div w:id="1196506064">
      <w:bodyDiv w:val="1"/>
      <w:marLeft w:val="0"/>
      <w:marRight w:val="0"/>
      <w:marTop w:val="0"/>
      <w:marBottom w:val="0"/>
      <w:divBdr>
        <w:top w:val="none" w:sz="0" w:space="0" w:color="auto"/>
        <w:left w:val="none" w:sz="0" w:space="0" w:color="auto"/>
        <w:bottom w:val="none" w:sz="0" w:space="0" w:color="auto"/>
        <w:right w:val="none" w:sz="0" w:space="0" w:color="auto"/>
      </w:divBdr>
    </w:div>
    <w:div w:id="1197307961">
      <w:bodyDiv w:val="1"/>
      <w:marLeft w:val="0"/>
      <w:marRight w:val="0"/>
      <w:marTop w:val="0"/>
      <w:marBottom w:val="0"/>
      <w:divBdr>
        <w:top w:val="none" w:sz="0" w:space="0" w:color="auto"/>
        <w:left w:val="none" w:sz="0" w:space="0" w:color="auto"/>
        <w:bottom w:val="none" w:sz="0" w:space="0" w:color="auto"/>
        <w:right w:val="none" w:sz="0" w:space="0" w:color="auto"/>
      </w:divBdr>
    </w:div>
    <w:div w:id="1197893314">
      <w:bodyDiv w:val="1"/>
      <w:marLeft w:val="0"/>
      <w:marRight w:val="0"/>
      <w:marTop w:val="0"/>
      <w:marBottom w:val="0"/>
      <w:divBdr>
        <w:top w:val="none" w:sz="0" w:space="0" w:color="auto"/>
        <w:left w:val="none" w:sz="0" w:space="0" w:color="auto"/>
        <w:bottom w:val="none" w:sz="0" w:space="0" w:color="auto"/>
        <w:right w:val="none" w:sz="0" w:space="0" w:color="auto"/>
      </w:divBdr>
    </w:div>
    <w:div w:id="1198280301">
      <w:bodyDiv w:val="1"/>
      <w:marLeft w:val="0"/>
      <w:marRight w:val="0"/>
      <w:marTop w:val="0"/>
      <w:marBottom w:val="0"/>
      <w:divBdr>
        <w:top w:val="none" w:sz="0" w:space="0" w:color="auto"/>
        <w:left w:val="none" w:sz="0" w:space="0" w:color="auto"/>
        <w:bottom w:val="none" w:sz="0" w:space="0" w:color="auto"/>
        <w:right w:val="none" w:sz="0" w:space="0" w:color="auto"/>
      </w:divBdr>
    </w:div>
    <w:div w:id="1198423435">
      <w:bodyDiv w:val="1"/>
      <w:marLeft w:val="0"/>
      <w:marRight w:val="0"/>
      <w:marTop w:val="0"/>
      <w:marBottom w:val="0"/>
      <w:divBdr>
        <w:top w:val="none" w:sz="0" w:space="0" w:color="auto"/>
        <w:left w:val="none" w:sz="0" w:space="0" w:color="auto"/>
        <w:bottom w:val="none" w:sz="0" w:space="0" w:color="auto"/>
        <w:right w:val="none" w:sz="0" w:space="0" w:color="auto"/>
      </w:divBdr>
    </w:div>
    <w:div w:id="1198927197">
      <w:bodyDiv w:val="1"/>
      <w:marLeft w:val="0"/>
      <w:marRight w:val="0"/>
      <w:marTop w:val="0"/>
      <w:marBottom w:val="0"/>
      <w:divBdr>
        <w:top w:val="none" w:sz="0" w:space="0" w:color="auto"/>
        <w:left w:val="none" w:sz="0" w:space="0" w:color="auto"/>
        <w:bottom w:val="none" w:sz="0" w:space="0" w:color="auto"/>
        <w:right w:val="none" w:sz="0" w:space="0" w:color="auto"/>
      </w:divBdr>
    </w:div>
    <w:div w:id="1199468254">
      <w:bodyDiv w:val="1"/>
      <w:marLeft w:val="0"/>
      <w:marRight w:val="0"/>
      <w:marTop w:val="0"/>
      <w:marBottom w:val="0"/>
      <w:divBdr>
        <w:top w:val="none" w:sz="0" w:space="0" w:color="auto"/>
        <w:left w:val="none" w:sz="0" w:space="0" w:color="auto"/>
        <w:bottom w:val="none" w:sz="0" w:space="0" w:color="auto"/>
        <w:right w:val="none" w:sz="0" w:space="0" w:color="auto"/>
      </w:divBdr>
    </w:div>
    <w:div w:id="1199515932">
      <w:bodyDiv w:val="1"/>
      <w:marLeft w:val="0"/>
      <w:marRight w:val="0"/>
      <w:marTop w:val="0"/>
      <w:marBottom w:val="0"/>
      <w:divBdr>
        <w:top w:val="none" w:sz="0" w:space="0" w:color="auto"/>
        <w:left w:val="none" w:sz="0" w:space="0" w:color="auto"/>
        <w:bottom w:val="none" w:sz="0" w:space="0" w:color="auto"/>
        <w:right w:val="none" w:sz="0" w:space="0" w:color="auto"/>
      </w:divBdr>
    </w:div>
    <w:div w:id="1200045659">
      <w:bodyDiv w:val="1"/>
      <w:marLeft w:val="0"/>
      <w:marRight w:val="0"/>
      <w:marTop w:val="0"/>
      <w:marBottom w:val="0"/>
      <w:divBdr>
        <w:top w:val="none" w:sz="0" w:space="0" w:color="auto"/>
        <w:left w:val="none" w:sz="0" w:space="0" w:color="auto"/>
        <w:bottom w:val="none" w:sz="0" w:space="0" w:color="auto"/>
        <w:right w:val="none" w:sz="0" w:space="0" w:color="auto"/>
      </w:divBdr>
    </w:div>
    <w:div w:id="1200238906">
      <w:bodyDiv w:val="1"/>
      <w:marLeft w:val="0"/>
      <w:marRight w:val="0"/>
      <w:marTop w:val="0"/>
      <w:marBottom w:val="0"/>
      <w:divBdr>
        <w:top w:val="none" w:sz="0" w:space="0" w:color="auto"/>
        <w:left w:val="none" w:sz="0" w:space="0" w:color="auto"/>
        <w:bottom w:val="none" w:sz="0" w:space="0" w:color="auto"/>
        <w:right w:val="none" w:sz="0" w:space="0" w:color="auto"/>
      </w:divBdr>
    </w:div>
    <w:div w:id="1201165405">
      <w:bodyDiv w:val="1"/>
      <w:marLeft w:val="0"/>
      <w:marRight w:val="0"/>
      <w:marTop w:val="0"/>
      <w:marBottom w:val="0"/>
      <w:divBdr>
        <w:top w:val="none" w:sz="0" w:space="0" w:color="auto"/>
        <w:left w:val="none" w:sz="0" w:space="0" w:color="auto"/>
        <w:bottom w:val="none" w:sz="0" w:space="0" w:color="auto"/>
        <w:right w:val="none" w:sz="0" w:space="0" w:color="auto"/>
      </w:divBdr>
    </w:div>
    <w:div w:id="1201699599">
      <w:bodyDiv w:val="1"/>
      <w:marLeft w:val="0"/>
      <w:marRight w:val="0"/>
      <w:marTop w:val="0"/>
      <w:marBottom w:val="0"/>
      <w:divBdr>
        <w:top w:val="none" w:sz="0" w:space="0" w:color="auto"/>
        <w:left w:val="none" w:sz="0" w:space="0" w:color="auto"/>
        <w:bottom w:val="none" w:sz="0" w:space="0" w:color="auto"/>
        <w:right w:val="none" w:sz="0" w:space="0" w:color="auto"/>
      </w:divBdr>
    </w:div>
    <w:div w:id="1202282358">
      <w:bodyDiv w:val="1"/>
      <w:marLeft w:val="0"/>
      <w:marRight w:val="0"/>
      <w:marTop w:val="0"/>
      <w:marBottom w:val="0"/>
      <w:divBdr>
        <w:top w:val="none" w:sz="0" w:space="0" w:color="auto"/>
        <w:left w:val="none" w:sz="0" w:space="0" w:color="auto"/>
        <w:bottom w:val="none" w:sz="0" w:space="0" w:color="auto"/>
        <w:right w:val="none" w:sz="0" w:space="0" w:color="auto"/>
      </w:divBdr>
    </w:div>
    <w:div w:id="1203206565">
      <w:bodyDiv w:val="1"/>
      <w:marLeft w:val="0"/>
      <w:marRight w:val="0"/>
      <w:marTop w:val="0"/>
      <w:marBottom w:val="0"/>
      <w:divBdr>
        <w:top w:val="none" w:sz="0" w:space="0" w:color="auto"/>
        <w:left w:val="none" w:sz="0" w:space="0" w:color="auto"/>
        <w:bottom w:val="none" w:sz="0" w:space="0" w:color="auto"/>
        <w:right w:val="none" w:sz="0" w:space="0" w:color="auto"/>
      </w:divBdr>
    </w:div>
    <w:div w:id="1204290010">
      <w:bodyDiv w:val="1"/>
      <w:marLeft w:val="0"/>
      <w:marRight w:val="0"/>
      <w:marTop w:val="0"/>
      <w:marBottom w:val="0"/>
      <w:divBdr>
        <w:top w:val="none" w:sz="0" w:space="0" w:color="auto"/>
        <w:left w:val="none" w:sz="0" w:space="0" w:color="auto"/>
        <w:bottom w:val="none" w:sz="0" w:space="0" w:color="auto"/>
        <w:right w:val="none" w:sz="0" w:space="0" w:color="auto"/>
      </w:divBdr>
    </w:div>
    <w:div w:id="1204322116">
      <w:bodyDiv w:val="1"/>
      <w:marLeft w:val="0"/>
      <w:marRight w:val="0"/>
      <w:marTop w:val="0"/>
      <w:marBottom w:val="0"/>
      <w:divBdr>
        <w:top w:val="none" w:sz="0" w:space="0" w:color="auto"/>
        <w:left w:val="none" w:sz="0" w:space="0" w:color="auto"/>
        <w:bottom w:val="none" w:sz="0" w:space="0" w:color="auto"/>
        <w:right w:val="none" w:sz="0" w:space="0" w:color="auto"/>
      </w:divBdr>
    </w:div>
    <w:div w:id="1204947837">
      <w:bodyDiv w:val="1"/>
      <w:marLeft w:val="0"/>
      <w:marRight w:val="0"/>
      <w:marTop w:val="0"/>
      <w:marBottom w:val="0"/>
      <w:divBdr>
        <w:top w:val="none" w:sz="0" w:space="0" w:color="auto"/>
        <w:left w:val="none" w:sz="0" w:space="0" w:color="auto"/>
        <w:bottom w:val="none" w:sz="0" w:space="0" w:color="auto"/>
        <w:right w:val="none" w:sz="0" w:space="0" w:color="auto"/>
      </w:divBdr>
    </w:div>
    <w:div w:id="1205173440">
      <w:bodyDiv w:val="1"/>
      <w:marLeft w:val="0"/>
      <w:marRight w:val="0"/>
      <w:marTop w:val="0"/>
      <w:marBottom w:val="0"/>
      <w:divBdr>
        <w:top w:val="none" w:sz="0" w:space="0" w:color="auto"/>
        <w:left w:val="none" w:sz="0" w:space="0" w:color="auto"/>
        <w:bottom w:val="none" w:sz="0" w:space="0" w:color="auto"/>
        <w:right w:val="none" w:sz="0" w:space="0" w:color="auto"/>
      </w:divBdr>
    </w:div>
    <w:div w:id="1207526442">
      <w:bodyDiv w:val="1"/>
      <w:marLeft w:val="0"/>
      <w:marRight w:val="0"/>
      <w:marTop w:val="0"/>
      <w:marBottom w:val="0"/>
      <w:divBdr>
        <w:top w:val="none" w:sz="0" w:space="0" w:color="auto"/>
        <w:left w:val="none" w:sz="0" w:space="0" w:color="auto"/>
        <w:bottom w:val="none" w:sz="0" w:space="0" w:color="auto"/>
        <w:right w:val="none" w:sz="0" w:space="0" w:color="auto"/>
      </w:divBdr>
    </w:div>
    <w:div w:id="1207645681">
      <w:bodyDiv w:val="1"/>
      <w:marLeft w:val="0"/>
      <w:marRight w:val="0"/>
      <w:marTop w:val="0"/>
      <w:marBottom w:val="0"/>
      <w:divBdr>
        <w:top w:val="none" w:sz="0" w:space="0" w:color="auto"/>
        <w:left w:val="none" w:sz="0" w:space="0" w:color="auto"/>
        <w:bottom w:val="none" w:sz="0" w:space="0" w:color="auto"/>
        <w:right w:val="none" w:sz="0" w:space="0" w:color="auto"/>
      </w:divBdr>
    </w:div>
    <w:div w:id="1207833430">
      <w:bodyDiv w:val="1"/>
      <w:marLeft w:val="0"/>
      <w:marRight w:val="0"/>
      <w:marTop w:val="0"/>
      <w:marBottom w:val="0"/>
      <w:divBdr>
        <w:top w:val="none" w:sz="0" w:space="0" w:color="auto"/>
        <w:left w:val="none" w:sz="0" w:space="0" w:color="auto"/>
        <w:bottom w:val="none" w:sz="0" w:space="0" w:color="auto"/>
        <w:right w:val="none" w:sz="0" w:space="0" w:color="auto"/>
      </w:divBdr>
    </w:div>
    <w:div w:id="1208882314">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41349">
      <w:bodyDiv w:val="1"/>
      <w:marLeft w:val="0"/>
      <w:marRight w:val="0"/>
      <w:marTop w:val="0"/>
      <w:marBottom w:val="0"/>
      <w:divBdr>
        <w:top w:val="none" w:sz="0" w:space="0" w:color="auto"/>
        <w:left w:val="none" w:sz="0" w:space="0" w:color="auto"/>
        <w:bottom w:val="none" w:sz="0" w:space="0" w:color="auto"/>
        <w:right w:val="none" w:sz="0" w:space="0" w:color="auto"/>
      </w:divBdr>
    </w:div>
    <w:div w:id="1209800238">
      <w:bodyDiv w:val="1"/>
      <w:marLeft w:val="0"/>
      <w:marRight w:val="0"/>
      <w:marTop w:val="0"/>
      <w:marBottom w:val="0"/>
      <w:divBdr>
        <w:top w:val="none" w:sz="0" w:space="0" w:color="auto"/>
        <w:left w:val="none" w:sz="0" w:space="0" w:color="auto"/>
        <w:bottom w:val="none" w:sz="0" w:space="0" w:color="auto"/>
        <w:right w:val="none" w:sz="0" w:space="0" w:color="auto"/>
      </w:divBdr>
    </w:div>
    <w:div w:id="1209875176">
      <w:bodyDiv w:val="1"/>
      <w:marLeft w:val="0"/>
      <w:marRight w:val="0"/>
      <w:marTop w:val="0"/>
      <w:marBottom w:val="0"/>
      <w:divBdr>
        <w:top w:val="none" w:sz="0" w:space="0" w:color="auto"/>
        <w:left w:val="none" w:sz="0" w:space="0" w:color="auto"/>
        <w:bottom w:val="none" w:sz="0" w:space="0" w:color="auto"/>
        <w:right w:val="none" w:sz="0" w:space="0" w:color="auto"/>
      </w:divBdr>
    </w:div>
    <w:div w:id="1210453453">
      <w:bodyDiv w:val="1"/>
      <w:marLeft w:val="0"/>
      <w:marRight w:val="0"/>
      <w:marTop w:val="0"/>
      <w:marBottom w:val="0"/>
      <w:divBdr>
        <w:top w:val="none" w:sz="0" w:space="0" w:color="auto"/>
        <w:left w:val="none" w:sz="0" w:space="0" w:color="auto"/>
        <w:bottom w:val="none" w:sz="0" w:space="0" w:color="auto"/>
        <w:right w:val="none" w:sz="0" w:space="0" w:color="auto"/>
      </w:divBdr>
    </w:div>
    <w:div w:id="1210605198">
      <w:bodyDiv w:val="1"/>
      <w:marLeft w:val="0"/>
      <w:marRight w:val="0"/>
      <w:marTop w:val="0"/>
      <w:marBottom w:val="0"/>
      <w:divBdr>
        <w:top w:val="none" w:sz="0" w:space="0" w:color="auto"/>
        <w:left w:val="none" w:sz="0" w:space="0" w:color="auto"/>
        <w:bottom w:val="none" w:sz="0" w:space="0" w:color="auto"/>
        <w:right w:val="none" w:sz="0" w:space="0" w:color="auto"/>
      </w:divBdr>
    </w:div>
    <w:div w:id="1211649347">
      <w:bodyDiv w:val="1"/>
      <w:marLeft w:val="0"/>
      <w:marRight w:val="0"/>
      <w:marTop w:val="0"/>
      <w:marBottom w:val="0"/>
      <w:divBdr>
        <w:top w:val="none" w:sz="0" w:space="0" w:color="auto"/>
        <w:left w:val="none" w:sz="0" w:space="0" w:color="auto"/>
        <w:bottom w:val="none" w:sz="0" w:space="0" w:color="auto"/>
        <w:right w:val="none" w:sz="0" w:space="0" w:color="auto"/>
      </w:divBdr>
    </w:div>
    <w:div w:id="1212616458">
      <w:bodyDiv w:val="1"/>
      <w:marLeft w:val="0"/>
      <w:marRight w:val="0"/>
      <w:marTop w:val="0"/>
      <w:marBottom w:val="0"/>
      <w:divBdr>
        <w:top w:val="none" w:sz="0" w:space="0" w:color="auto"/>
        <w:left w:val="none" w:sz="0" w:space="0" w:color="auto"/>
        <w:bottom w:val="none" w:sz="0" w:space="0" w:color="auto"/>
        <w:right w:val="none" w:sz="0" w:space="0" w:color="auto"/>
      </w:divBdr>
    </w:div>
    <w:div w:id="1212694634">
      <w:bodyDiv w:val="1"/>
      <w:marLeft w:val="0"/>
      <w:marRight w:val="0"/>
      <w:marTop w:val="0"/>
      <w:marBottom w:val="0"/>
      <w:divBdr>
        <w:top w:val="none" w:sz="0" w:space="0" w:color="auto"/>
        <w:left w:val="none" w:sz="0" w:space="0" w:color="auto"/>
        <w:bottom w:val="none" w:sz="0" w:space="0" w:color="auto"/>
        <w:right w:val="none" w:sz="0" w:space="0" w:color="auto"/>
      </w:divBdr>
    </w:div>
    <w:div w:id="1213225779">
      <w:bodyDiv w:val="1"/>
      <w:marLeft w:val="0"/>
      <w:marRight w:val="0"/>
      <w:marTop w:val="0"/>
      <w:marBottom w:val="0"/>
      <w:divBdr>
        <w:top w:val="none" w:sz="0" w:space="0" w:color="auto"/>
        <w:left w:val="none" w:sz="0" w:space="0" w:color="auto"/>
        <w:bottom w:val="none" w:sz="0" w:space="0" w:color="auto"/>
        <w:right w:val="none" w:sz="0" w:space="0" w:color="auto"/>
      </w:divBdr>
    </w:div>
    <w:div w:id="1213544347">
      <w:bodyDiv w:val="1"/>
      <w:marLeft w:val="0"/>
      <w:marRight w:val="0"/>
      <w:marTop w:val="0"/>
      <w:marBottom w:val="0"/>
      <w:divBdr>
        <w:top w:val="none" w:sz="0" w:space="0" w:color="auto"/>
        <w:left w:val="none" w:sz="0" w:space="0" w:color="auto"/>
        <w:bottom w:val="none" w:sz="0" w:space="0" w:color="auto"/>
        <w:right w:val="none" w:sz="0" w:space="0" w:color="auto"/>
      </w:divBdr>
    </w:div>
    <w:div w:id="1215124623">
      <w:bodyDiv w:val="1"/>
      <w:marLeft w:val="0"/>
      <w:marRight w:val="0"/>
      <w:marTop w:val="0"/>
      <w:marBottom w:val="0"/>
      <w:divBdr>
        <w:top w:val="none" w:sz="0" w:space="0" w:color="auto"/>
        <w:left w:val="none" w:sz="0" w:space="0" w:color="auto"/>
        <w:bottom w:val="none" w:sz="0" w:space="0" w:color="auto"/>
        <w:right w:val="none" w:sz="0" w:space="0" w:color="auto"/>
      </w:divBdr>
    </w:div>
    <w:div w:id="1215893213">
      <w:bodyDiv w:val="1"/>
      <w:marLeft w:val="0"/>
      <w:marRight w:val="0"/>
      <w:marTop w:val="0"/>
      <w:marBottom w:val="0"/>
      <w:divBdr>
        <w:top w:val="none" w:sz="0" w:space="0" w:color="auto"/>
        <w:left w:val="none" w:sz="0" w:space="0" w:color="auto"/>
        <w:bottom w:val="none" w:sz="0" w:space="0" w:color="auto"/>
        <w:right w:val="none" w:sz="0" w:space="0" w:color="auto"/>
      </w:divBdr>
    </w:div>
    <w:div w:id="1215973105">
      <w:bodyDiv w:val="1"/>
      <w:marLeft w:val="0"/>
      <w:marRight w:val="0"/>
      <w:marTop w:val="0"/>
      <w:marBottom w:val="0"/>
      <w:divBdr>
        <w:top w:val="none" w:sz="0" w:space="0" w:color="auto"/>
        <w:left w:val="none" w:sz="0" w:space="0" w:color="auto"/>
        <w:bottom w:val="none" w:sz="0" w:space="0" w:color="auto"/>
        <w:right w:val="none" w:sz="0" w:space="0" w:color="auto"/>
      </w:divBdr>
    </w:div>
    <w:div w:id="1216770688">
      <w:bodyDiv w:val="1"/>
      <w:marLeft w:val="0"/>
      <w:marRight w:val="0"/>
      <w:marTop w:val="0"/>
      <w:marBottom w:val="0"/>
      <w:divBdr>
        <w:top w:val="none" w:sz="0" w:space="0" w:color="auto"/>
        <w:left w:val="none" w:sz="0" w:space="0" w:color="auto"/>
        <w:bottom w:val="none" w:sz="0" w:space="0" w:color="auto"/>
        <w:right w:val="none" w:sz="0" w:space="0" w:color="auto"/>
      </w:divBdr>
    </w:div>
    <w:div w:id="1217206472">
      <w:bodyDiv w:val="1"/>
      <w:marLeft w:val="0"/>
      <w:marRight w:val="0"/>
      <w:marTop w:val="0"/>
      <w:marBottom w:val="0"/>
      <w:divBdr>
        <w:top w:val="none" w:sz="0" w:space="0" w:color="auto"/>
        <w:left w:val="none" w:sz="0" w:space="0" w:color="auto"/>
        <w:bottom w:val="none" w:sz="0" w:space="0" w:color="auto"/>
        <w:right w:val="none" w:sz="0" w:space="0" w:color="auto"/>
      </w:divBdr>
    </w:div>
    <w:div w:id="1217357593">
      <w:bodyDiv w:val="1"/>
      <w:marLeft w:val="0"/>
      <w:marRight w:val="0"/>
      <w:marTop w:val="0"/>
      <w:marBottom w:val="0"/>
      <w:divBdr>
        <w:top w:val="none" w:sz="0" w:space="0" w:color="auto"/>
        <w:left w:val="none" w:sz="0" w:space="0" w:color="auto"/>
        <w:bottom w:val="none" w:sz="0" w:space="0" w:color="auto"/>
        <w:right w:val="none" w:sz="0" w:space="0" w:color="auto"/>
      </w:divBdr>
    </w:div>
    <w:div w:id="1217861204">
      <w:bodyDiv w:val="1"/>
      <w:marLeft w:val="0"/>
      <w:marRight w:val="0"/>
      <w:marTop w:val="0"/>
      <w:marBottom w:val="0"/>
      <w:divBdr>
        <w:top w:val="none" w:sz="0" w:space="0" w:color="auto"/>
        <w:left w:val="none" w:sz="0" w:space="0" w:color="auto"/>
        <w:bottom w:val="none" w:sz="0" w:space="0" w:color="auto"/>
        <w:right w:val="none" w:sz="0" w:space="0" w:color="auto"/>
      </w:divBdr>
    </w:div>
    <w:div w:id="1218130054">
      <w:bodyDiv w:val="1"/>
      <w:marLeft w:val="0"/>
      <w:marRight w:val="0"/>
      <w:marTop w:val="0"/>
      <w:marBottom w:val="0"/>
      <w:divBdr>
        <w:top w:val="none" w:sz="0" w:space="0" w:color="auto"/>
        <w:left w:val="none" w:sz="0" w:space="0" w:color="auto"/>
        <w:bottom w:val="none" w:sz="0" w:space="0" w:color="auto"/>
        <w:right w:val="none" w:sz="0" w:space="0" w:color="auto"/>
      </w:divBdr>
    </w:div>
    <w:div w:id="1218274423">
      <w:bodyDiv w:val="1"/>
      <w:marLeft w:val="0"/>
      <w:marRight w:val="0"/>
      <w:marTop w:val="0"/>
      <w:marBottom w:val="0"/>
      <w:divBdr>
        <w:top w:val="none" w:sz="0" w:space="0" w:color="auto"/>
        <w:left w:val="none" w:sz="0" w:space="0" w:color="auto"/>
        <w:bottom w:val="none" w:sz="0" w:space="0" w:color="auto"/>
        <w:right w:val="none" w:sz="0" w:space="0" w:color="auto"/>
      </w:divBdr>
    </w:div>
    <w:div w:id="1218280463">
      <w:bodyDiv w:val="1"/>
      <w:marLeft w:val="0"/>
      <w:marRight w:val="0"/>
      <w:marTop w:val="0"/>
      <w:marBottom w:val="0"/>
      <w:divBdr>
        <w:top w:val="none" w:sz="0" w:space="0" w:color="auto"/>
        <w:left w:val="none" w:sz="0" w:space="0" w:color="auto"/>
        <w:bottom w:val="none" w:sz="0" w:space="0" w:color="auto"/>
        <w:right w:val="none" w:sz="0" w:space="0" w:color="auto"/>
      </w:divBdr>
    </w:div>
    <w:div w:id="1218510993">
      <w:bodyDiv w:val="1"/>
      <w:marLeft w:val="0"/>
      <w:marRight w:val="0"/>
      <w:marTop w:val="0"/>
      <w:marBottom w:val="0"/>
      <w:divBdr>
        <w:top w:val="none" w:sz="0" w:space="0" w:color="auto"/>
        <w:left w:val="none" w:sz="0" w:space="0" w:color="auto"/>
        <w:bottom w:val="none" w:sz="0" w:space="0" w:color="auto"/>
        <w:right w:val="none" w:sz="0" w:space="0" w:color="auto"/>
      </w:divBdr>
    </w:div>
    <w:div w:id="1219510909">
      <w:bodyDiv w:val="1"/>
      <w:marLeft w:val="0"/>
      <w:marRight w:val="0"/>
      <w:marTop w:val="0"/>
      <w:marBottom w:val="0"/>
      <w:divBdr>
        <w:top w:val="none" w:sz="0" w:space="0" w:color="auto"/>
        <w:left w:val="none" w:sz="0" w:space="0" w:color="auto"/>
        <w:bottom w:val="none" w:sz="0" w:space="0" w:color="auto"/>
        <w:right w:val="none" w:sz="0" w:space="0" w:color="auto"/>
      </w:divBdr>
    </w:div>
    <w:div w:id="1219779722">
      <w:bodyDiv w:val="1"/>
      <w:marLeft w:val="0"/>
      <w:marRight w:val="0"/>
      <w:marTop w:val="0"/>
      <w:marBottom w:val="0"/>
      <w:divBdr>
        <w:top w:val="none" w:sz="0" w:space="0" w:color="auto"/>
        <w:left w:val="none" w:sz="0" w:space="0" w:color="auto"/>
        <w:bottom w:val="none" w:sz="0" w:space="0" w:color="auto"/>
        <w:right w:val="none" w:sz="0" w:space="0" w:color="auto"/>
      </w:divBdr>
    </w:div>
    <w:div w:id="1219971481">
      <w:bodyDiv w:val="1"/>
      <w:marLeft w:val="0"/>
      <w:marRight w:val="0"/>
      <w:marTop w:val="0"/>
      <w:marBottom w:val="0"/>
      <w:divBdr>
        <w:top w:val="none" w:sz="0" w:space="0" w:color="auto"/>
        <w:left w:val="none" w:sz="0" w:space="0" w:color="auto"/>
        <w:bottom w:val="none" w:sz="0" w:space="0" w:color="auto"/>
        <w:right w:val="none" w:sz="0" w:space="0" w:color="auto"/>
      </w:divBdr>
    </w:div>
    <w:div w:id="1220705088">
      <w:bodyDiv w:val="1"/>
      <w:marLeft w:val="0"/>
      <w:marRight w:val="0"/>
      <w:marTop w:val="0"/>
      <w:marBottom w:val="0"/>
      <w:divBdr>
        <w:top w:val="none" w:sz="0" w:space="0" w:color="auto"/>
        <w:left w:val="none" w:sz="0" w:space="0" w:color="auto"/>
        <w:bottom w:val="none" w:sz="0" w:space="0" w:color="auto"/>
        <w:right w:val="none" w:sz="0" w:space="0" w:color="auto"/>
      </w:divBdr>
    </w:div>
    <w:div w:id="1221333211">
      <w:bodyDiv w:val="1"/>
      <w:marLeft w:val="0"/>
      <w:marRight w:val="0"/>
      <w:marTop w:val="0"/>
      <w:marBottom w:val="0"/>
      <w:divBdr>
        <w:top w:val="none" w:sz="0" w:space="0" w:color="auto"/>
        <w:left w:val="none" w:sz="0" w:space="0" w:color="auto"/>
        <w:bottom w:val="none" w:sz="0" w:space="0" w:color="auto"/>
        <w:right w:val="none" w:sz="0" w:space="0" w:color="auto"/>
      </w:divBdr>
    </w:div>
    <w:div w:id="1221474403">
      <w:bodyDiv w:val="1"/>
      <w:marLeft w:val="0"/>
      <w:marRight w:val="0"/>
      <w:marTop w:val="0"/>
      <w:marBottom w:val="0"/>
      <w:divBdr>
        <w:top w:val="none" w:sz="0" w:space="0" w:color="auto"/>
        <w:left w:val="none" w:sz="0" w:space="0" w:color="auto"/>
        <w:bottom w:val="none" w:sz="0" w:space="0" w:color="auto"/>
        <w:right w:val="none" w:sz="0" w:space="0" w:color="auto"/>
      </w:divBdr>
    </w:div>
    <w:div w:id="1221479844">
      <w:bodyDiv w:val="1"/>
      <w:marLeft w:val="0"/>
      <w:marRight w:val="0"/>
      <w:marTop w:val="0"/>
      <w:marBottom w:val="0"/>
      <w:divBdr>
        <w:top w:val="none" w:sz="0" w:space="0" w:color="auto"/>
        <w:left w:val="none" w:sz="0" w:space="0" w:color="auto"/>
        <w:bottom w:val="none" w:sz="0" w:space="0" w:color="auto"/>
        <w:right w:val="none" w:sz="0" w:space="0" w:color="auto"/>
      </w:divBdr>
    </w:div>
    <w:div w:id="1222787274">
      <w:bodyDiv w:val="1"/>
      <w:marLeft w:val="0"/>
      <w:marRight w:val="0"/>
      <w:marTop w:val="0"/>
      <w:marBottom w:val="0"/>
      <w:divBdr>
        <w:top w:val="none" w:sz="0" w:space="0" w:color="auto"/>
        <w:left w:val="none" w:sz="0" w:space="0" w:color="auto"/>
        <w:bottom w:val="none" w:sz="0" w:space="0" w:color="auto"/>
        <w:right w:val="none" w:sz="0" w:space="0" w:color="auto"/>
      </w:divBdr>
    </w:div>
    <w:div w:id="1223248853">
      <w:bodyDiv w:val="1"/>
      <w:marLeft w:val="0"/>
      <w:marRight w:val="0"/>
      <w:marTop w:val="0"/>
      <w:marBottom w:val="0"/>
      <w:divBdr>
        <w:top w:val="none" w:sz="0" w:space="0" w:color="auto"/>
        <w:left w:val="none" w:sz="0" w:space="0" w:color="auto"/>
        <w:bottom w:val="none" w:sz="0" w:space="0" w:color="auto"/>
        <w:right w:val="none" w:sz="0" w:space="0" w:color="auto"/>
      </w:divBdr>
    </w:div>
    <w:div w:id="1223911764">
      <w:bodyDiv w:val="1"/>
      <w:marLeft w:val="0"/>
      <w:marRight w:val="0"/>
      <w:marTop w:val="0"/>
      <w:marBottom w:val="0"/>
      <w:divBdr>
        <w:top w:val="none" w:sz="0" w:space="0" w:color="auto"/>
        <w:left w:val="none" w:sz="0" w:space="0" w:color="auto"/>
        <w:bottom w:val="none" w:sz="0" w:space="0" w:color="auto"/>
        <w:right w:val="none" w:sz="0" w:space="0" w:color="auto"/>
      </w:divBdr>
    </w:div>
    <w:div w:id="1224371238">
      <w:bodyDiv w:val="1"/>
      <w:marLeft w:val="0"/>
      <w:marRight w:val="0"/>
      <w:marTop w:val="0"/>
      <w:marBottom w:val="0"/>
      <w:divBdr>
        <w:top w:val="none" w:sz="0" w:space="0" w:color="auto"/>
        <w:left w:val="none" w:sz="0" w:space="0" w:color="auto"/>
        <w:bottom w:val="none" w:sz="0" w:space="0" w:color="auto"/>
        <w:right w:val="none" w:sz="0" w:space="0" w:color="auto"/>
      </w:divBdr>
    </w:div>
    <w:div w:id="1225604070">
      <w:bodyDiv w:val="1"/>
      <w:marLeft w:val="0"/>
      <w:marRight w:val="0"/>
      <w:marTop w:val="0"/>
      <w:marBottom w:val="0"/>
      <w:divBdr>
        <w:top w:val="none" w:sz="0" w:space="0" w:color="auto"/>
        <w:left w:val="none" w:sz="0" w:space="0" w:color="auto"/>
        <w:bottom w:val="none" w:sz="0" w:space="0" w:color="auto"/>
        <w:right w:val="none" w:sz="0" w:space="0" w:color="auto"/>
      </w:divBdr>
    </w:div>
    <w:div w:id="1226642784">
      <w:bodyDiv w:val="1"/>
      <w:marLeft w:val="0"/>
      <w:marRight w:val="0"/>
      <w:marTop w:val="0"/>
      <w:marBottom w:val="0"/>
      <w:divBdr>
        <w:top w:val="none" w:sz="0" w:space="0" w:color="auto"/>
        <w:left w:val="none" w:sz="0" w:space="0" w:color="auto"/>
        <w:bottom w:val="none" w:sz="0" w:space="0" w:color="auto"/>
        <w:right w:val="none" w:sz="0" w:space="0" w:color="auto"/>
      </w:divBdr>
    </w:div>
    <w:div w:id="1226725047">
      <w:bodyDiv w:val="1"/>
      <w:marLeft w:val="0"/>
      <w:marRight w:val="0"/>
      <w:marTop w:val="0"/>
      <w:marBottom w:val="0"/>
      <w:divBdr>
        <w:top w:val="none" w:sz="0" w:space="0" w:color="auto"/>
        <w:left w:val="none" w:sz="0" w:space="0" w:color="auto"/>
        <w:bottom w:val="none" w:sz="0" w:space="0" w:color="auto"/>
        <w:right w:val="none" w:sz="0" w:space="0" w:color="auto"/>
      </w:divBdr>
    </w:div>
    <w:div w:id="1226842547">
      <w:bodyDiv w:val="1"/>
      <w:marLeft w:val="0"/>
      <w:marRight w:val="0"/>
      <w:marTop w:val="0"/>
      <w:marBottom w:val="0"/>
      <w:divBdr>
        <w:top w:val="none" w:sz="0" w:space="0" w:color="auto"/>
        <w:left w:val="none" w:sz="0" w:space="0" w:color="auto"/>
        <w:bottom w:val="none" w:sz="0" w:space="0" w:color="auto"/>
        <w:right w:val="none" w:sz="0" w:space="0" w:color="auto"/>
      </w:divBdr>
    </w:div>
    <w:div w:id="1226844082">
      <w:bodyDiv w:val="1"/>
      <w:marLeft w:val="0"/>
      <w:marRight w:val="0"/>
      <w:marTop w:val="0"/>
      <w:marBottom w:val="0"/>
      <w:divBdr>
        <w:top w:val="none" w:sz="0" w:space="0" w:color="auto"/>
        <w:left w:val="none" w:sz="0" w:space="0" w:color="auto"/>
        <w:bottom w:val="none" w:sz="0" w:space="0" w:color="auto"/>
        <w:right w:val="none" w:sz="0" w:space="0" w:color="auto"/>
      </w:divBdr>
    </w:div>
    <w:div w:id="1227912282">
      <w:bodyDiv w:val="1"/>
      <w:marLeft w:val="0"/>
      <w:marRight w:val="0"/>
      <w:marTop w:val="0"/>
      <w:marBottom w:val="0"/>
      <w:divBdr>
        <w:top w:val="none" w:sz="0" w:space="0" w:color="auto"/>
        <w:left w:val="none" w:sz="0" w:space="0" w:color="auto"/>
        <w:bottom w:val="none" w:sz="0" w:space="0" w:color="auto"/>
        <w:right w:val="none" w:sz="0" w:space="0" w:color="auto"/>
      </w:divBdr>
    </w:div>
    <w:div w:id="1228228596">
      <w:bodyDiv w:val="1"/>
      <w:marLeft w:val="0"/>
      <w:marRight w:val="0"/>
      <w:marTop w:val="0"/>
      <w:marBottom w:val="0"/>
      <w:divBdr>
        <w:top w:val="none" w:sz="0" w:space="0" w:color="auto"/>
        <w:left w:val="none" w:sz="0" w:space="0" w:color="auto"/>
        <w:bottom w:val="none" w:sz="0" w:space="0" w:color="auto"/>
        <w:right w:val="none" w:sz="0" w:space="0" w:color="auto"/>
      </w:divBdr>
    </w:div>
    <w:div w:id="1229460042">
      <w:bodyDiv w:val="1"/>
      <w:marLeft w:val="0"/>
      <w:marRight w:val="0"/>
      <w:marTop w:val="0"/>
      <w:marBottom w:val="0"/>
      <w:divBdr>
        <w:top w:val="none" w:sz="0" w:space="0" w:color="auto"/>
        <w:left w:val="none" w:sz="0" w:space="0" w:color="auto"/>
        <w:bottom w:val="none" w:sz="0" w:space="0" w:color="auto"/>
        <w:right w:val="none" w:sz="0" w:space="0" w:color="auto"/>
      </w:divBdr>
      <w:divsChild>
        <w:div w:id="910307560">
          <w:marLeft w:val="0"/>
          <w:marRight w:val="0"/>
          <w:marTop w:val="0"/>
          <w:marBottom w:val="0"/>
          <w:divBdr>
            <w:top w:val="none" w:sz="0" w:space="0" w:color="auto"/>
            <w:left w:val="none" w:sz="0" w:space="0" w:color="auto"/>
            <w:bottom w:val="none" w:sz="0" w:space="0" w:color="auto"/>
            <w:right w:val="none" w:sz="0" w:space="0" w:color="auto"/>
          </w:divBdr>
        </w:div>
      </w:divsChild>
    </w:div>
    <w:div w:id="1229462504">
      <w:bodyDiv w:val="1"/>
      <w:marLeft w:val="0"/>
      <w:marRight w:val="0"/>
      <w:marTop w:val="0"/>
      <w:marBottom w:val="0"/>
      <w:divBdr>
        <w:top w:val="none" w:sz="0" w:space="0" w:color="auto"/>
        <w:left w:val="none" w:sz="0" w:space="0" w:color="auto"/>
        <w:bottom w:val="none" w:sz="0" w:space="0" w:color="auto"/>
        <w:right w:val="none" w:sz="0" w:space="0" w:color="auto"/>
      </w:divBdr>
    </w:div>
    <w:div w:id="1229531757">
      <w:bodyDiv w:val="1"/>
      <w:marLeft w:val="0"/>
      <w:marRight w:val="0"/>
      <w:marTop w:val="0"/>
      <w:marBottom w:val="0"/>
      <w:divBdr>
        <w:top w:val="none" w:sz="0" w:space="0" w:color="auto"/>
        <w:left w:val="none" w:sz="0" w:space="0" w:color="auto"/>
        <w:bottom w:val="none" w:sz="0" w:space="0" w:color="auto"/>
        <w:right w:val="none" w:sz="0" w:space="0" w:color="auto"/>
      </w:divBdr>
    </w:div>
    <w:div w:id="1231387286">
      <w:bodyDiv w:val="1"/>
      <w:marLeft w:val="0"/>
      <w:marRight w:val="0"/>
      <w:marTop w:val="0"/>
      <w:marBottom w:val="0"/>
      <w:divBdr>
        <w:top w:val="none" w:sz="0" w:space="0" w:color="auto"/>
        <w:left w:val="none" w:sz="0" w:space="0" w:color="auto"/>
        <w:bottom w:val="none" w:sz="0" w:space="0" w:color="auto"/>
        <w:right w:val="none" w:sz="0" w:space="0" w:color="auto"/>
      </w:divBdr>
    </w:div>
    <w:div w:id="1231430921">
      <w:bodyDiv w:val="1"/>
      <w:marLeft w:val="0"/>
      <w:marRight w:val="0"/>
      <w:marTop w:val="0"/>
      <w:marBottom w:val="0"/>
      <w:divBdr>
        <w:top w:val="none" w:sz="0" w:space="0" w:color="auto"/>
        <w:left w:val="none" w:sz="0" w:space="0" w:color="auto"/>
        <w:bottom w:val="none" w:sz="0" w:space="0" w:color="auto"/>
        <w:right w:val="none" w:sz="0" w:space="0" w:color="auto"/>
      </w:divBdr>
    </w:div>
    <w:div w:id="1231504142">
      <w:bodyDiv w:val="1"/>
      <w:marLeft w:val="0"/>
      <w:marRight w:val="0"/>
      <w:marTop w:val="0"/>
      <w:marBottom w:val="0"/>
      <w:divBdr>
        <w:top w:val="none" w:sz="0" w:space="0" w:color="auto"/>
        <w:left w:val="none" w:sz="0" w:space="0" w:color="auto"/>
        <w:bottom w:val="none" w:sz="0" w:space="0" w:color="auto"/>
        <w:right w:val="none" w:sz="0" w:space="0" w:color="auto"/>
      </w:divBdr>
    </w:div>
    <w:div w:id="1232156468">
      <w:bodyDiv w:val="1"/>
      <w:marLeft w:val="0"/>
      <w:marRight w:val="0"/>
      <w:marTop w:val="0"/>
      <w:marBottom w:val="0"/>
      <w:divBdr>
        <w:top w:val="none" w:sz="0" w:space="0" w:color="auto"/>
        <w:left w:val="none" w:sz="0" w:space="0" w:color="auto"/>
        <w:bottom w:val="none" w:sz="0" w:space="0" w:color="auto"/>
        <w:right w:val="none" w:sz="0" w:space="0" w:color="auto"/>
      </w:divBdr>
    </w:div>
    <w:div w:id="1233391126">
      <w:bodyDiv w:val="1"/>
      <w:marLeft w:val="0"/>
      <w:marRight w:val="0"/>
      <w:marTop w:val="0"/>
      <w:marBottom w:val="0"/>
      <w:divBdr>
        <w:top w:val="none" w:sz="0" w:space="0" w:color="auto"/>
        <w:left w:val="none" w:sz="0" w:space="0" w:color="auto"/>
        <w:bottom w:val="none" w:sz="0" w:space="0" w:color="auto"/>
        <w:right w:val="none" w:sz="0" w:space="0" w:color="auto"/>
      </w:divBdr>
    </w:div>
    <w:div w:id="1233463818">
      <w:bodyDiv w:val="1"/>
      <w:marLeft w:val="0"/>
      <w:marRight w:val="0"/>
      <w:marTop w:val="0"/>
      <w:marBottom w:val="0"/>
      <w:divBdr>
        <w:top w:val="none" w:sz="0" w:space="0" w:color="auto"/>
        <w:left w:val="none" w:sz="0" w:space="0" w:color="auto"/>
        <w:bottom w:val="none" w:sz="0" w:space="0" w:color="auto"/>
        <w:right w:val="none" w:sz="0" w:space="0" w:color="auto"/>
      </w:divBdr>
    </w:div>
    <w:div w:id="1233738387">
      <w:bodyDiv w:val="1"/>
      <w:marLeft w:val="0"/>
      <w:marRight w:val="0"/>
      <w:marTop w:val="0"/>
      <w:marBottom w:val="0"/>
      <w:divBdr>
        <w:top w:val="none" w:sz="0" w:space="0" w:color="auto"/>
        <w:left w:val="none" w:sz="0" w:space="0" w:color="auto"/>
        <w:bottom w:val="none" w:sz="0" w:space="0" w:color="auto"/>
        <w:right w:val="none" w:sz="0" w:space="0" w:color="auto"/>
      </w:divBdr>
    </w:div>
    <w:div w:id="1234314773">
      <w:bodyDiv w:val="1"/>
      <w:marLeft w:val="0"/>
      <w:marRight w:val="0"/>
      <w:marTop w:val="0"/>
      <w:marBottom w:val="0"/>
      <w:divBdr>
        <w:top w:val="none" w:sz="0" w:space="0" w:color="auto"/>
        <w:left w:val="none" w:sz="0" w:space="0" w:color="auto"/>
        <w:bottom w:val="none" w:sz="0" w:space="0" w:color="auto"/>
        <w:right w:val="none" w:sz="0" w:space="0" w:color="auto"/>
      </w:divBdr>
    </w:div>
    <w:div w:id="1234589403">
      <w:bodyDiv w:val="1"/>
      <w:marLeft w:val="0"/>
      <w:marRight w:val="0"/>
      <w:marTop w:val="0"/>
      <w:marBottom w:val="0"/>
      <w:divBdr>
        <w:top w:val="none" w:sz="0" w:space="0" w:color="auto"/>
        <w:left w:val="none" w:sz="0" w:space="0" w:color="auto"/>
        <w:bottom w:val="none" w:sz="0" w:space="0" w:color="auto"/>
        <w:right w:val="none" w:sz="0" w:space="0" w:color="auto"/>
      </w:divBdr>
    </w:div>
    <w:div w:id="1234703448">
      <w:bodyDiv w:val="1"/>
      <w:marLeft w:val="0"/>
      <w:marRight w:val="0"/>
      <w:marTop w:val="0"/>
      <w:marBottom w:val="0"/>
      <w:divBdr>
        <w:top w:val="none" w:sz="0" w:space="0" w:color="auto"/>
        <w:left w:val="none" w:sz="0" w:space="0" w:color="auto"/>
        <w:bottom w:val="none" w:sz="0" w:space="0" w:color="auto"/>
        <w:right w:val="none" w:sz="0" w:space="0" w:color="auto"/>
      </w:divBdr>
    </w:div>
    <w:div w:id="1235117843">
      <w:bodyDiv w:val="1"/>
      <w:marLeft w:val="0"/>
      <w:marRight w:val="0"/>
      <w:marTop w:val="0"/>
      <w:marBottom w:val="0"/>
      <w:divBdr>
        <w:top w:val="none" w:sz="0" w:space="0" w:color="auto"/>
        <w:left w:val="none" w:sz="0" w:space="0" w:color="auto"/>
        <w:bottom w:val="none" w:sz="0" w:space="0" w:color="auto"/>
        <w:right w:val="none" w:sz="0" w:space="0" w:color="auto"/>
      </w:divBdr>
    </w:div>
    <w:div w:id="1235629827">
      <w:bodyDiv w:val="1"/>
      <w:marLeft w:val="0"/>
      <w:marRight w:val="0"/>
      <w:marTop w:val="0"/>
      <w:marBottom w:val="0"/>
      <w:divBdr>
        <w:top w:val="none" w:sz="0" w:space="0" w:color="auto"/>
        <w:left w:val="none" w:sz="0" w:space="0" w:color="auto"/>
        <w:bottom w:val="none" w:sz="0" w:space="0" w:color="auto"/>
        <w:right w:val="none" w:sz="0" w:space="0" w:color="auto"/>
      </w:divBdr>
    </w:div>
    <w:div w:id="1235972944">
      <w:bodyDiv w:val="1"/>
      <w:marLeft w:val="0"/>
      <w:marRight w:val="0"/>
      <w:marTop w:val="0"/>
      <w:marBottom w:val="0"/>
      <w:divBdr>
        <w:top w:val="none" w:sz="0" w:space="0" w:color="auto"/>
        <w:left w:val="none" w:sz="0" w:space="0" w:color="auto"/>
        <w:bottom w:val="none" w:sz="0" w:space="0" w:color="auto"/>
        <w:right w:val="none" w:sz="0" w:space="0" w:color="auto"/>
      </w:divBdr>
      <w:divsChild>
        <w:div w:id="1561482568">
          <w:marLeft w:val="0"/>
          <w:marRight w:val="0"/>
          <w:marTop w:val="0"/>
          <w:marBottom w:val="0"/>
          <w:divBdr>
            <w:top w:val="none" w:sz="0" w:space="0" w:color="auto"/>
            <w:left w:val="none" w:sz="0" w:space="0" w:color="auto"/>
            <w:bottom w:val="none" w:sz="0" w:space="0" w:color="auto"/>
            <w:right w:val="none" w:sz="0" w:space="0" w:color="auto"/>
          </w:divBdr>
        </w:div>
      </w:divsChild>
    </w:div>
    <w:div w:id="1236621686">
      <w:bodyDiv w:val="1"/>
      <w:marLeft w:val="0"/>
      <w:marRight w:val="0"/>
      <w:marTop w:val="0"/>
      <w:marBottom w:val="0"/>
      <w:divBdr>
        <w:top w:val="none" w:sz="0" w:space="0" w:color="auto"/>
        <w:left w:val="none" w:sz="0" w:space="0" w:color="auto"/>
        <w:bottom w:val="none" w:sz="0" w:space="0" w:color="auto"/>
        <w:right w:val="none" w:sz="0" w:space="0" w:color="auto"/>
      </w:divBdr>
    </w:div>
    <w:div w:id="1236743147">
      <w:bodyDiv w:val="1"/>
      <w:marLeft w:val="0"/>
      <w:marRight w:val="0"/>
      <w:marTop w:val="0"/>
      <w:marBottom w:val="0"/>
      <w:divBdr>
        <w:top w:val="none" w:sz="0" w:space="0" w:color="auto"/>
        <w:left w:val="none" w:sz="0" w:space="0" w:color="auto"/>
        <w:bottom w:val="none" w:sz="0" w:space="0" w:color="auto"/>
        <w:right w:val="none" w:sz="0" w:space="0" w:color="auto"/>
      </w:divBdr>
    </w:div>
    <w:div w:id="1237401559">
      <w:bodyDiv w:val="1"/>
      <w:marLeft w:val="0"/>
      <w:marRight w:val="0"/>
      <w:marTop w:val="0"/>
      <w:marBottom w:val="0"/>
      <w:divBdr>
        <w:top w:val="none" w:sz="0" w:space="0" w:color="auto"/>
        <w:left w:val="none" w:sz="0" w:space="0" w:color="auto"/>
        <w:bottom w:val="none" w:sz="0" w:space="0" w:color="auto"/>
        <w:right w:val="none" w:sz="0" w:space="0" w:color="auto"/>
      </w:divBdr>
    </w:div>
    <w:div w:id="1238126532">
      <w:bodyDiv w:val="1"/>
      <w:marLeft w:val="0"/>
      <w:marRight w:val="0"/>
      <w:marTop w:val="0"/>
      <w:marBottom w:val="0"/>
      <w:divBdr>
        <w:top w:val="none" w:sz="0" w:space="0" w:color="auto"/>
        <w:left w:val="none" w:sz="0" w:space="0" w:color="auto"/>
        <w:bottom w:val="none" w:sz="0" w:space="0" w:color="auto"/>
        <w:right w:val="none" w:sz="0" w:space="0" w:color="auto"/>
      </w:divBdr>
    </w:div>
    <w:div w:id="1238829035">
      <w:bodyDiv w:val="1"/>
      <w:marLeft w:val="0"/>
      <w:marRight w:val="0"/>
      <w:marTop w:val="0"/>
      <w:marBottom w:val="0"/>
      <w:divBdr>
        <w:top w:val="none" w:sz="0" w:space="0" w:color="auto"/>
        <w:left w:val="none" w:sz="0" w:space="0" w:color="auto"/>
        <w:bottom w:val="none" w:sz="0" w:space="0" w:color="auto"/>
        <w:right w:val="none" w:sz="0" w:space="0" w:color="auto"/>
      </w:divBdr>
    </w:div>
    <w:div w:id="1239098294">
      <w:bodyDiv w:val="1"/>
      <w:marLeft w:val="0"/>
      <w:marRight w:val="0"/>
      <w:marTop w:val="0"/>
      <w:marBottom w:val="0"/>
      <w:divBdr>
        <w:top w:val="none" w:sz="0" w:space="0" w:color="auto"/>
        <w:left w:val="none" w:sz="0" w:space="0" w:color="auto"/>
        <w:bottom w:val="none" w:sz="0" w:space="0" w:color="auto"/>
        <w:right w:val="none" w:sz="0" w:space="0" w:color="auto"/>
      </w:divBdr>
      <w:divsChild>
        <w:div w:id="544223934">
          <w:marLeft w:val="0"/>
          <w:marRight w:val="0"/>
          <w:marTop w:val="0"/>
          <w:marBottom w:val="0"/>
          <w:divBdr>
            <w:top w:val="none" w:sz="0" w:space="0" w:color="auto"/>
            <w:left w:val="none" w:sz="0" w:space="0" w:color="auto"/>
            <w:bottom w:val="none" w:sz="0" w:space="0" w:color="auto"/>
            <w:right w:val="none" w:sz="0" w:space="0" w:color="auto"/>
          </w:divBdr>
        </w:div>
      </w:divsChild>
    </w:div>
    <w:div w:id="1239248803">
      <w:bodyDiv w:val="1"/>
      <w:marLeft w:val="0"/>
      <w:marRight w:val="0"/>
      <w:marTop w:val="0"/>
      <w:marBottom w:val="0"/>
      <w:divBdr>
        <w:top w:val="none" w:sz="0" w:space="0" w:color="auto"/>
        <w:left w:val="none" w:sz="0" w:space="0" w:color="auto"/>
        <w:bottom w:val="none" w:sz="0" w:space="0" w:color="auto"/>
        <w:right w:val="none" w:sz="0" w:space="0" w:color="auto"/>
      </w:divBdr>
    </w:div>
    <w:div w:id="1240017523">
      <w:bodyDiv w:val="1"/>
      <w:marLeft w:val="0"/>
      <w:marRight w:val="0"/>
      <w:marTop w:val="0"/>
      <w:marBottom w:val="0"/>
      <w:divBdr>
        <w:top w:val="none" w:sz="0" w:space="0" w:color="auto"/>
        <w:left w:val="none" w:sz="0" w:space="0" w:color="auto"/>
        <w:bottom w:val="none" w:sz="0" w:space="0" w:color="auto"/>
        <w:right w:val="none" w:sz="0" w:space="0" w:color="auto"/>
      </w:divBdr>
    </w:div>
    <w:div w:id="1240678537">
      <w:bodyDiv w:val="1"/>
      <w:marLeft w:val="0"/>
      <w:marRight w:val="0"/>
      <w:marTop w:val="0"/>
      <w:marBottom w:val="0"/>
      <w:divBdr>
        <w:top w:val="none" w:sz="0" w:space="0" w:color="auto"/>
        <w:left w:val="none" w:sz="0" w:space="0" w:color="auto"/>
        <w:bottom w:val="none" w:sz="0" w:space="0" w:color="auto"/>
        <w:right w:val="none" w:sz="0" w:space="0" w:color="auto"/>
      </w:divBdr>
    </w:div>
    <w:div w:id="1240870346">
      <w:bodyDiv w:val="1"/>
      <w:marLeft w:val="0"/>
      <w:marRight w:val="0"/>
      <w:marTop w:val="0"/>
      <w:marBottom w:val="0"/>
      <w:divBdr>
        <w:top w:val="none" w:sz="0" w:space="0" w:color="auto"/>
        <w:left w:val="none" w:sz="0" w:space="0" w:color="auto"/>
        <w:bottom w:val="none" w:sz="0" w:space="0" w:color="auto"/>
        <w:right w:val="none" w:sz="0" w:space="0" w:color="auto"/>
      </w:divBdr>
    </w:div>
    <w:div w:id="1242565960">
      <w:bodyDiv w:val="1"/>
      <w:marLeft w:val="0"/>
      <w:marRight w:val="0"/>
      <w:marTop w:val="0"/>
      <w:marBottom w:val="0"/>
      <w:divBdr>
        <w:top w:val="none" w:sz="0" w:space="0" w:color="auto"/>
        <w:left w:val="none" w:sz="0" w:space="0" w:color="auto"/>
        <w:bottom w:val="none" w:sz="0" w:space="0" w:color="auto"/>
        <w:right w:val="none" w:sz="0" w:space="0" w:color="auto"/>
      </w:divBdr>
    </w:div>
    <w:div w:id="1243029426">
      <w:bodyDiv w:val="1"/>
      <w:marLeft w:val="0"/>
      <w:marRight w:val="0"/>
      <w:marTop w:val="0"/>
      <w:marBottom w:val="0"/>
      <w:divBdr>
        <w:top w:val="none" w:sz="0" w:space="0" w:color="auto"/>
        <w:left w:val="none" w:sz="0" w:space="0" w:color="auto"/>
        <w:bottom w:val="none" w:sz="0" w:space="0" w:color="auto"/>
        <w:right w:val="none" w:sz="0" w:space="0" w:color="auto"/>
      </w:divBdr>
    </w:div>
    <w:div w:id="1243299495">
      <w:bodyDiv w:val="1"/>
      <w:marLeft w:val="0"/>
      <w:marRight w:val="0"/>
      <w:marTop w:val="0"/>
      <w:marBottom w:val="0"/>
      <w:divBdr>
        <w:top w:val="none" w:sz="0" w:space="0" w:color="auto"/>
        <w:left w:val="none" w:sz="0" w:space="0" w:color="auto"/>
        <w:bottom w:val="none" w:sz="0" w:space="0" w:color="auto"/>
        <w:right w:val="none" w:sz="0" w:space="0" w:color="auto"/>
      </w:divBdr>
    </w:div>
    <w:div w:id="1244099794">
      <w:bodyDiv w:val="1"/>
      <w:marLeft w:val="0"/>
      <w:marRight w:val="0"/>
      <w:marTop w:val="0"/>
      <w:marBottom w:val="0"/>
      <w:divBdr>
        <w:top w:val="none" w:sz="0" w:space="0" w:color="auto"/>
        <w:left w:val="none" w:sz="0" w:space="0" w:color="auto"/>
        <w:bottom w:val="none" w:sz="0" w:space="0" w:color="auto"/>
        <w:right w:val="none" w:sz="0" w:space="0" w:color="auto"/>
      </w:divBdr>
    </w:div>
    <w:div w:id="1244876596">
      <w:bodyDiv w:val="1"/>
      <w:marLeft w:val="0"/>
      <w:marRight w:val="0"/>
      <w:marTop w:val="0"/>
      <w:marBottom w:val="0"/>
      <w:divBdr>
        <w:top w:val="none" w:sz="0" w:space="0" w:color="auto"/>
        <w:left w:val="none" w:sz="0" w:space="0" w:color="auto"/>
        <w:bottom w:val="none" w:sz="0" w:space="0" w:color="auto"/>
        <w:right w:val="none" w:sz="0" w:space="0" w:color="auto"/>
      </w:divBdr>
    </w:div>
    <w:div w:id="1245144213">
      <w:bodyDiv w:val="1"/>
      <w:marLeft w:val="0"/>
      <w:marRight w:val="0"/>
      <w:marTop w:val="0"/>
      <w:marBottom w:val="0"/>
      <w:divBdr>
        <w:top w:val="none" w:sz="0" w:space="0" w:color="auto"/>
        <w:left w:val="none" w:sz="0" w:space="0" w:color="auto"/>
        <w:bottom w:val="none" w:sz="0" w:space="0" w:color="auto"/>
        <w:right w:val="none" w:sz="0" w:space="0" w:color="auto"/>
      </w:divBdr>
    </w:div>
    <w:div w:id="1245409468">
      <w:bodyDiv w:val="1"/>
      <w:marLeft w:val="0"/>
      <w:marRight w:val="0"/>
      <w:marTop w:val="0"/>
      <w:marBottom w:val="0"/>
      <w:divBdr>
        <w:top w:val="none" w:sz="0" w:space="0" w:color="auto"/>
        <w:left w:val="none" w:sz="0" w:space="0" w:color="auto"/>
        <w:bottom w:val="none" w:sz="0" w:space="0" w:color="auto"/>
        <w:right w:val="none" w:sz="0" w:space="0" w:color="auto"/>
      </w:divBdr>
    </w:div>
    <w:div w:id="1246063410">
      <w:bodyDiv w:val="1"/>
      <w:marLeft w:val="0"/>
      <w:marRight w:val="0"/>
      <w:marTop w:val="0"/>
      <w:marBottom w:val="0"/>
      <w:divBdr>
        <w:top w:val="none" w:sz="0" w:space="0" w:color="auto"/>
        <w:left w:val="none" w:sz="0" w:space="0" w:color="auto"/>
        <w:bottom w:val="none" w:sz="0" w:space="0" w:color="auto"/>
        <w:right w:val="none" w:sz="0" w:space="0" w:color="auto"/>
      </w:divBdr>
    </w:div>
    <w:div w:id="1246299185">
      <w:bodyDiv w:val="1"/>
      <w:marLeft w:val="0"/>
      <w:marRight w:val="0"/>
      <w:marTop w:val="0"/>
      <w:marBottom w:val="0"/>
      <w:divBdr>
        <w:top w:val="none" w:sz="0" w:space="0" w:color="auto"/>
        <w:left w:val="none" w:sz="0" w:space="0" w:color="auto"/>
        <w:bottom w:val="none" w:sz="0" w:space="0" w:color="auto"/>
        <w:right w:val="none" w:sz="0" w:space="0" w:color="auto"/>
      </w:divBdr>
    </w:div>
    <w:div w:id="1246383399">
      <w:bodyDiv w:val="1"/>
      <w:marLeft w:val="0"/>
      <w:marRight w:val="0"/>
      <w:marTop w:val="0"/>
      <w:marBottom w:val="0"/>
      <w:divBdr>
        <w:top w:val="none" w:sz="0" w:space="0" w:color="auto"/>
        <w:left w:val="none" w:sz="0" w:space="0" w:color="auto"/>
        <w:bottom w:val="none" w:sz="0" w:space="0" w:color="auto"/>
        <w:right w:val="none" w:sz="0" w:space="0" w:color="auto"/>
      </w:divBdr>
    </w:div>
    <w:div w:id="1248030704">
      <w:bodyDiv w:val="1"/>
      <w:marLeft w:val="0"/>
      <w:marRight w:val="0"/>
      <w:marTop w:val="0"/>
      <w:marBottom w:val="0"/>
      <w:divBdr>
        <w:top w:val="none" w:sz="0" w:space="0" w:color="auto"/>
        <w:left w:val="none" w:sz="0" w:space="0" w:color="auto"/>
        <w:bottom w:val="none" w:sz="0" w:space="0" w:color="auto"/>
        <w:right w:val="none" w:sz="0" w:space="0" w:color="auto"/>
      </w:divBdr>
    </w:div>
    <w:div w:id="1249123258">
      <w:bodyDiv w:val="1"/>
      <w:marLeft w:val="0"/>
      <w:marRight w:val="0"/>
      <w:marTop w:val="0"/>
      <w:marBottom w:val="0"/>
      <w:divBdr>
        <w:top w:val="none" w:sz="0" w:space="0" w:color="auto"/>
        <w:left w:val="none" w:sz="0" w:space="0" w:color="auto"/>
        <w:bottom w:val="none" w:sz="0" w:space="0" w:color="auto"/>
        <w:right w:val="none" w:sz="0" w:space="0" w:color="auto"/>
      </w:divBdr>
    </w:div>
    <w:div w:id="1249391440">
      <w:bodyDiv w:val="1"/>
      <w:marLeft w:val="0"/>
      <w:marRight w:val="0"/>
      <w:marTop w:val="0"/>
      <w:marBottom w:val="0"/>
      <w:divBdr>
        <w:top w:val="none" w:sz="0" w:space="0" w:color="auto"/>
        <w:left w:val="none" w:sz="0" w:space="0" w:color="auto"/>
        <w:bottom w:val="none" w:sz="0" w:space="0" w:color="auto"/>
        <w:right w:val="none" w:sz="0" w:space="0" w:color="auto"/>
      </w:divBdr>
    </w:div>
    <w:div w:id="1250238780">
      <w:bodyDiv w:val="1"/>
      <w:marLeft w:val="0"/>
      <w:marRight w:val="0"/>
      <w:marTop w:val="0"/>
      <w:marBottom w:val="0"/>
      <w:divBdr>
        <w:top w:val="none" w:sz="0" w:space="0" w:color="auto"/>
        <w:left w:val="none" w:sz="0" w:space="0" w:color="auto"/>
        <w:bottom w:val="none" w:sz="0" w:space="0" w:color="auto"/>
        <w:right w:val="none" w:sz="0" w:space="0" w:color="auto"/>
      </w:divBdr>
    </w:div>
    <w:div w:id="1250309035">
      <w:bodyDiv w:val="1"/>
      <w:marLeft w:val="0"/>
      <w:marRight w:val="0"/>
      <w:marTop w:val="0"/>
      <w:marBottom w:val="0"/>
      <w:divBdr>
        <w:top w:val="none" w:sz="0" w:space="0" w:color="auto"/>
        <w:left w:val="none" w:sz="0" w:space="0" w:color="auto"/>
        <w:bottom w:val="none" w:sz="0" w:space="0" w:color="auto"/>
        <w:right w:val="none" w:sz="0" w:space="0" w:color="auto"/>
      </w:divBdr>
    </w:div>
    <w:div w:id="1250575473">
      <w:bodyDiv w:val="1"/>
      <w:marLeft w:val="0"/>
      <w:marRight w:val="0"/>
      <w:marTop w:val="0"/>
      <w:marBottom w:val="0"/>
      <w:divBdr>
        <w:top w:val="none" w:sz="0" w:space="0" w:color="auto"/>
        <w:left w:val="none" w:sz="0" w:space="0" w:color="auto"/>
        <w:bottom w:val="none" w:sz="0" w:space="0" w:color="auto"/>
        <w:right w:val="none" w:sz="0" w:space="0" w:color="auto"/>
      </w:divBdr>
    </w:div>
    <w:div w:id="1250623551">
      <w:bodyDiv w:val="1"/>
      <w:marLeft w:val="0"/>
      <w:marRight w:val="0"/>
      <w:marTop w:val="0"/>
      <w:marBottom w:val="0"/>
      <w:divBdr>
        <w:top w:val="none" w:sz="0" w:space="0" w:color="auto"/>
        <w:left w:val="none" w:sz="0" w:space="0" w:color="auto"/>
        <w:bottom w:val="none" w:sz="0" w:space="0" w:color="auto"/>
        <w:right w:val="none" w:sz="0" w:space="0" w:color="auto"/>
      </w:divBdr>
    </w:div>
    <w:div w:id="1252348387">
      <w:bodyDiv w:val="1"/>
      <w:marLeft w:val="0"/>
      <w:marRight w:val="0"/>
      <w:marTop w:val="0"/>
      <w:marBottom w:val="0"/>
      <w:divBdr>
        <w:top w:val="none" w:sz="0" w:space="0" w:color="auto"/>
        <w:left w:val="none" w:sz="0" w:space="0" w:color="auto"/>
        <w:bottom w:val="none" w:sz="0" w:space="0" w:color="auto"/>
        <w:right w:val="none" w:sz="0" w:space="0" w:color="auto"/>
      </w:divBdr>
    </w:div>
    <w:div w:id="1252742805">
      <w:bodyDiv w:val="1"/>
      <w:marLeft w:val="0"/>
      <w:marRight w:val="0"/>
      <w:marTop w:val="0"/>
      <w:marBottom w:val="0"/>
      <w:divBdr>
        <w:top w:val="none" w:sz="0" w:space="0" w:color="auto"/>
        <w:left w:val="none" w:sz="0" w:space="0" w:color="auto"/>
        <w:bottom w:val="none" w:sz="0" w:space="0" w:color="auto"/>
        <w:right w:val="none" w:sz="0" w:space="0" w:color="auto"/>
      </w:divBdr>
    </w:div>
    <w:div w:id="1252931452">
      <w:bodyDiv w:val="1"/>
      <w:marLeft w:val="0"/>
      <w:marRight w:val="0"/>
      <w:marTop w:val="0"/>
      <w:marBottom w:val="0"/>
      <w:divBdr>
        <w:top w:val="none" w:sz="0" w:space="0" w:color="auto"/>
        <w:left w:val="none" w:sz="0" w:space="0" w:color="auto"/>
        <w:bottom w:val="none" w:sz="0" w:space="0" w:color="auto"/>
        <w:right w:val="none" w:sz="0" w:space="0" w:color="auto"/>
      </w:divBdr>
    </w:div>
    <w:div w:id="1254162936">
      <w:bodyDiv w:val="1"/>
      <w:marLeft w:val="0"/>
      <w:marRight w:val="0"/>
      <w:marTop w:val="0"/>
      <w:marBottom w:val="0"/>
      <w:divBdr>
        <w:top w:val="none" w:sz="0" w:space="0" w:color="auto"/>
        <w:left w:val="none" w:sz="0" w:space="0" w:color="auto"/>
        <w:bottom w:val="none" w:sz="0" w:space="0" w:color="auto"/>
        <w:right w:val="none" w:sz="0" w:space="0" w:color="auto"/>
      </w:divBdr>
    </w:div>
    <w:div w:id="1254709228">
      <w:bodyDiv w:val="1"/>
      <w:marLeft w:val="0"/>
      <w:marRight w:val="0"/>
      <w:marTop w:val="0"/>
      <w:marBottom w:val="0"/>
      <w:divBdr>
        <w:top w:val="none" w:sz="0" w:space="0" w:color="auto"/>
        <w:left w:val="none" w:sz="0" w:space="0" w:color="auto"/>
        <w:bottom w:val="none" w:sz="0" w:space="0" w:color="auto"/>
        <w:right w:val="none" w:sz="0" w:space="0" w:color="auto"/>
      </w:divBdr>
    </w:div>
    <w:div w:id="1255238377">
      <w:bodyDiv w:val="1"/>
      <w:marLeft w:val="0"/>
      <w:marRight w:val="0"/>
      <w:marTop w:val="0"/>
      <w:marBottom w:val="0"/>
      <w:divBdr>
        <w:top w:val="none" w:sz="0" w:space="0" w:color="auto"/>
        <w:left w:val="none" w:sz="0" w:space="0" w:color="auto"/>
        <w:bottom w:val="none" w:sz="0" w:space="0" w:color="auto"/>
        <w:right w:val="none" w:sz="0" w:space="0" w:color="auto"/>
      </w:divBdr>
    </w:div>
    <w:div w:id="1256548565">
      <w:bodyDiv w:val="1"/>
      <w:marLeft w:val="0"/>
      <w:marRight w:val="0"/>
      <w:marTop w:val="0"/>
      <w:marBottom w:val="0"/>
      <w:divBdr>
        <w:top w:val="none" w:sz="0" w:space="0" w:color="auto"/>
        <w:left w:val="none" w:sz="0" w:space="0" w:color="auto"/>
        <w:bottom w:val="none" w:sz="0" w:space="0" w:color="auto"/>
        <w:right w:val="none" w:sz="0" w:space="0" w:color="auto"/>
      </w:divBdr>
    </w:div>
    <w:div w:id="1256791921">
      <w:bodyDiv w:val="1"/>
      <w:marLeft w:val="0"/>
      <w:marRight w:val="0"/>
      <w:marTop w:val="0"/>
      <w:marBottom w:val="0"/>
      <w:divBdr>
        <w:top w:val="none" w:sz="0" w:space="0" w:color="auto"/>
        <w:left w:val="none" w:sz="0" w:space="0" w:color="auto"/>
        <w:bottom w:val="none" w:sz="0" w:space="0" w:color="auto"/>
        <w:right w:val="none" w:sz="0" w:space="0" w:color="auto"/>
      </w:divBdr>
    </w:div>
    <w:div w:id="1256938737">
      <w:bodyDiv w:val="1"/>
      <w:marLeft w:val="0"/>
      <w:marRight w:val="0"/>
      <w:marTop w:val="0"/>
      <w:marBottom w:val="0"/>
      <w:divBdr>
        <w:top w:val="none" w:sz="0" w:space="0" w:color="auto"/>
        <w:left w:val="none" w:sz="0" w:space="0" w:color="auto"/>
        <w:bottom w:val="none" w:sz="0" w:space="0" w:color="auto"/>
        <w:right w:val="none" w:sz="0" w:space="0" w:color="auto"/>
      </w:divBdr>
    </w:div>
    <w:div w:id="1257980313">
      <w:bodyDiv w:val="1"/>
      <w:marLeft w:val="0"/>
      <w:marRight w:val="0"/>
      <w:marTop w:val="0"/>
      <w:marBottom w:val="0"/>
      <w:divBdr>
        <w:top w:val="none" w:sz="0" w:space="0" w:color="auto"/>
        <w:left w:val="none" w:sz="0" w:space="0" w:color="auto"/>
        <w:bottom w:val="none" w:sz="0" w:space="0" w:color="auto"/>
        <w:right w:val="none" w:sz="0" w:space="0" w:color="auto"/>
      </w:divBdr>
    </w:div>
    <w:div w:id="1258437983">
      <w:bodyDiv w:val="1"/>
      <w:marLeft w:val="0"/>
      <w:marRight w:val="0"/>
      <w:marTop w:val="0"/>
      <w:marBottom w:val="0"/>
      <w:divBdr>
        <w:top w:val="none" w:sz="0" w:space="0" w:color="auto"/>
        <w:left w:val="none" w:sz="0" w:space="0" w:color="auto"/>
        <w:bottom w:val="none" w:sz="0" w:space="0" w:color="auto"/>
        <w:right w:val="none" w:sz="0" w:space="0" w:color="auto"/>
      </w:divBdr>
    </w:div>
    <w:div w:id="1259101947">
      <w:bodyDiv w:val="1"/>
      <w:marLeft w:val="0"/>
      <w:marRight w:val="0"/>
      <w:marTop w:val="0"/>
      <w:marBottom w:val="0"/>
      <w:divBdr>
        <w:top w:val="none" w:sz="0" w:space="0" w:color="auto"/>
        <w:left w:val="none" w:sz="0" w:space="0" w:color="auto"/>
        <w:bottom w:val="none" w:sz="0" w:space="0" w:color="auto"/>
        <w:right w:val="none" w:sz="0" w:space="0" w:color="auto"/>
      </w:divBdr>
    </w:div>
    <w:div w:id="1261644604">
      <w:bodyDiv w:val="1"/>
      <w:marLeft w:val="0"/>
      <w:marRight w:val="0"/>
      <w:marTop w:val="0"/>
      <w:marBottom w:val="0"/>
      <w:divBdr>
        <w:top w:val="none" w:sz="0" w:space="0" w:color="auto"/>
        <w:left w:val="none" w:sz="0" w:space="0" w:color="auto"/>
        <w:bottom w:val="none" w:sz="0" w:space="0" w:color="auto"/>
        <w:right w:val="none" w:sz="0" w:space="0" w:color="auto"/>
      </w:divBdr>
    </w:div>
    <w:div w:id="1261913447">
      <w:bodyDiv w:val="1"/>
      <w:marLeft w:val="0"/>
      <w:marRight w:val="0"/>
      <w:marTop w:val="0"/>
      <w:marBottom w:val="0"/>
      <w:divBdr>
        <w:top w:val="none" w:sz="0" w:space="0" w:color="auto"/>
        <w:left w:val="none" w:sz="0" w:space="0" w:color="auto"/>
        <w:bottom w:val="none" w:sz="0" w:space="0" w:color="auto"/>
        <w:right w:val="none" w:sz="0" w:space="0" w:color="auto"/>
      </w:divBdr>
      <w:divsChild>
        <w:div w:id="136724103">
          <w:marLeft w:val="0"/>
          <w:marRight w:val="0"/>
          <w:marTop w:val="0"/>
          <w:marBottom w:val="0"/>
          <w:divBdr>
            <w:top w:val="none" w:sz="0" w:space="0" w:color="auto"/>
            <w:left w:val="none" w:sz="0" w:space="0" w:color="auto"/>
            <w:bottom w:val="none" w:sz="0" w:space="0" w:color="auto"/>
            <w:right w:val="none" w:sz="0" w:space="0" w:color="auto"/>
          </w:divBdr>
        </w:div>
      </w:divsChild>
    </w:div>
    <w:div w:id="1262180360">
      <w:bodyDiv w:val="1"/>
      <w:marLeft w:val="0"/>
      <w:marRight w:val="0"/>
      <w:marTop w:val="0"/>
      <w:marBottom w:val="0"/>
      <w:divBdr>
        <w:top w:val="none" w:sz="0" w:space="0" w:color="auto"/>
        <w:left w:val="none" w:sz="0" w:space="0" w:color="auto"/>
        <w:bottom w:val="none" w:sz="0" w:space="0" w:color="auto"/>
        <w:right w:val="none" w:sz="0" w:space="0" w:color="auto"/>
      </w:divBdr>
    </w:div>
    <w:div w:id="1263413678">
      <w:bodyDiv w:val="1"/>
      <w:marLeft w:val="0"/>
      <w:marRight w:val="0"/>
      <w:marTop w:val="0"/>
      <w:marBottom w:val="0"/>
      <w:divBdr>
        <w:top w:val="none" w:sz="0" w:space="0" w:color="auto"/>
        <w:left w:val="none" w:sz="0" w:space="0" w:color="auto"/>
        <w:bottom w:val="none" w:sz="0" w:space="0" w:color="auto"/>
        <w:right w:val="none" w:sz="0" w:space="0" w:color="auto"/>
      </w:divBdr>
    </w:div>
    <w:div w:id="1263881585">
      <w:bodyDiv w:val="1"/>
      <w:marLeft w:val="0"/>
      <w:marRight w:val="0"/>
      <w:marTop w:val="0"/>
      <w:marBottom w:val="0"/>
      <w:divBdr>
        <w:top w:val="none" w:sz="0" w:space="0" w:color="auto"/>
        <w:left w:val="none" w:sz="0" w:space="0" w:color="auto"/>
        <w:bottom w:val="none" w:sz="0" w:space="0" w:color="auto"/>
        <w:right w:val="none" w:sz="0" w:space="0" w:color="auto"/>
      </w:divBdr>
    </w:div>
    <w:div w:id="1263952691">
      <w:bodyDiv w:val="1"/>
      <w:marLeft w:val="0"/>
      <w:marRight w:val="0"/>
      <w:marTop w:val="0"/>
      <w:marBottom w:val="0"/>
      <w:divBdr>
        <w:top w:val="none" w:sz="0" w:space="0" w:color="auto"/>
        <w:left w:val="none" w:sz="0" w:space="0" w:color="auto"/>
        <w:bottom w:val="none" w:sz="0" w:space="0" w:color="auto"/>
        <w:right w:val="none" w:sz="0" w:space="0" w:color="auto"/>
      </w:divBdr>
    </w:div>
    <w:div w:id="1264218062">
      <w:bodyDiv w:val="1"/>
      <w:marLeft w:val="0"/>
      <w:marRight w:val="0"/>
      <w:marTop w:val="0"/>
      <w:marBottom w:val="0"/>
      <w:divBdr>
        <w:top w:val="none" w:sz="0" w:space="0" w:color="auto"/>
        <w:left w:val="none" w:sz="0" w:space="0" w:color="auto"/>
        <w:bottom w:val="none" w:sz="0" w:space="0" w:color="auto"/>
        <w:right w:val="none" w:sz="0" w:space="0" w:color="auto"/>
      </w:divBdr>
    </w:div>
    <w:div w:id="1264457148">
      <w:bodyDiv w:val="1"/>
      <w:marLeft w:val="0"/>
      <w:marRight w:val="0"/>
      <w:marTop w:val="0"/>
      <w:marBottom w:val="0"/>
      <w:divBdr>
        <w:top w:val="none" w:sz="0" w:space="0" w:color="auto"/>
        <w:left w:val="none" w:sz="0" w:space="0" w:color="auto"/>
        <w:bottom w:val="none" w:sz="0" w:space="0" w:color="auto"/>
        <w:right w:val="none" w:sz="0" w:space="0" w:color="auto"/>
      </w:divBdr>
    </w:div>
    <w:div w:id="1264921871">
      <w:bodyDiv w:val="1"/>
      <w:marLeft w:val="0"/>
      <w:marRight w:val="0"/>
      <w:marTop w:val="0"/>
      <w:marBottom w:val="0"/>
      <w:divBdr>
        <w:top w:val="none" w:sz="0" w:space="0" w:color="auto"/>
        <w:left w:val="none" w:sz="0" w:space="0" w:color="auto"/>
        <w:bottom w:val="none" w:sz="0" w:space="0" w:color="auto"/>
        <w:right w:val="none" w:sz="0" w:space="0" w:color="auto"/>
      </w:divBdr>
    </w:div>
    <w:div w:id="1266304739">
      <w:bodyDiv w:val="1"/>
      <w:marLeft w:val="0"/>
      <w:marRight w:val="0"/>
      <w:marTop w:val="0"/>
      <w:marBottom w:val="0"/>
      <w:divBdr>
        <w:top w:val="none" w:sz="0" w:space="0" w:color="auto"/>
        <w:left w:val="none" w:sz="0" w:space="0" w:color="auto"/>
        <w:bottom w:val="none" w:sz="0" w:space="0" w:color="auto"/>
        <w:right w:val="none" w:sz="0" w:space="0" w:color="auto"/>
      </w:divBdr>
    </w:div>
    <w:div w:id="1266958928">
      <w:bodyDiv w:val="1"/>
      <w:marLeft w:val="0"/>
      <w:marRight w:val="0"/>
      <w:marTop w:val="0"/>
      <w:marBottom w:val="0"/>
      <w:divBdr>
        <w:top w:val="none" w:sz="0" w:space="0" w:color="auto"/>
        <w:left w:val="none" w:sz="0" w:space="0" w:color="auto"/>
        <w:bottom w:val="none" w:sz="0" w:space="0" w:color="auto"/>
        <w:right w:val="none" w:sz="0" w:space="0" w:color="auto"/>
      </w:divBdr>
    </w:div>
    <w:div w:id="1267350276">
      <w:bodyDiv w:val="1"/>
      <w:marLeft w:val="0"/>
      <w:marRight w:val="0"/>
      <w:marTop w:val="0"/>
      <w:marBottom w:val="0"/>
      <w:divBdr>
        <w:top w:val="none" w:sz="0" w:space="0" w:color="auto"/>
        <w:left w:val="none" w:sz="0" w:space="0" w:color="auto"/>
        <w:bottom w:val="none" w:sz="0" w:space="0" w:color="auto"/>
        <w:right w:val="none" w:sz="0" w:space="0" w:color="auto"/>
      </w:divBdr>
    </w:div>
    <w:div w:id="1267617613">
      <w:bodyDiv w:val="1"/>
      <w:marLeft w:val="0"/>
      <w:marRight w:val="0"/>
      <w:marTop w:val="0"/>
      <w:marBottom w:val="0"/>
      <w:divBdr>
        <w:top w:val="none" w:sz="0" w:space="0" w:color="auto"/>
        <w:left w:val="none" w:sz="0" w:space="0" w:color="auto"/>
        <w:bottom w:val="none" w:sz="0" w:space="0" w:color="auto"/>
        <w:right w:val="none" w:sz="0" w:space="0" w:color="auto"/>
      </w:divBdr>
    </w:div>
    <w:div w:id="1269005642">
      <w:bodyDiv w:val="1"/>
      <w:marLeft w:val="0"/>
      <w:marRight w:val="0"/>
      <w:marTop w:val="0"/>
      <w:marBottom w:val="0"/>
      <w:divBdr>
        <w:top w:val="none" w:sz="0" w:space="0" w:color="auto"/>
        <w:left w:val="none" w:sz="0" w:space="0" w:color="auto"/>
        <w:bottom w:val="none" w:sz="0" w:space="0" w:color="auto"/>
        <w:right w:val="none" w:sz="0" w:space="0" w:color="auto"/>
      </w:divBdr>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
    <w:div w:id="1270311670">
      <w:bodyDiv w:val="1"/>
      <w:marLeft w:val="0"/>
      <w:marRight w:val="0"/>
      <w:marTop w:val="0"/>
      <w:marBottom w:val="0"/>
      <w:divBdr>
        <w:top w:val="none" w:sz="0" w:space="0" w:color="auto"/>
        <w:left w:val="none" w:sz="0" w:space="0" w:color="auto"/>
        <w:bottom w:val="none" w:sz="0" w:space="0" w:color="auto"/>
        <w:right w:val="none" w:sz="0" w:space="0" w:color="auto"/>
      </w:divBdr>
    </w:div>
    <w:div w:id="1270624957">
      <w:bodyDiv w:val="1"/>
      <w:marLeft w:val="0"/>
      <w:marRight w:val="0"/>
      <w:marTop w:val="0"/>
      <w:marBottom w:val="0"/>
      <w:divBdr>
        <w:top w:val="none" w:sz="0" w:space="0" w:color="auto"/>
        <w:left w:val="none" w:sz="0" w:space="0" w:color="auto"/>
        <w:bottom w:val="none" w:sz="0" w:space="0" w:color="auto"/>
        <w:right w:val="none" w:sz="0" w:space="0" w:color="auto"/>
      </w:divBdr>
    </w:div>
    <w:div w:id="1271013547">
      <w:bodyDiv w:val="1"/>
      <w:marLeft w:val="0"/>
      <w:marRight w:val="0"/>
      <w:marTop w:val="0"/>
      <w:marBottom w:val="0"/>
      <w:divBdr>
        <w:top w:val="none" w:sz="0" w:space="0" w:color="auto"/>
        <w:left w:val="none" w:sz="0" w:space="0" w:color="auto"/>
        <w:bottom w:val="none" w:sz="0" w:space="0" w:color="auto"/>
        <w:right w:val="none" w:sz="0" w:space="0" w:color="auto"/>
      </w:divBdr>
    </w:div>
    <w:div w:id="1271552016">
      <w:bodyDiv w:val="1"/>
      <w:marLeft w:val="0"/>
      <w:marRight w:val="0"/>
      <w:marTop w:val="0"/>
      <w:marBottom w:val="0"/>
      <w:divBdr>
        <w:top w:val="none" w:sz="0" w:space="0" w:color="auto"/>
        <w:left w:val="none" w:sz="0" w:space="0" w:color="auto"/>
        <w:bottom w:val="none" w:sz="0" w:space="0" w:color="auto"/>
        <w:right w:val="none" w:sz="0" w:space="0" w:color="auto"/>
      </w:divBdr>
    </w:div>
    <w:div w:id="1272592809">
      <w:bodyDiv w:val="1"/>
      <w:marLeft w:val="0"/>
      <w:marRight w:val="0"/>
      <w:marTop w:val="0"/>
      <w:marBottom w:val="0"/>
      <w:divBdr>
        <w:top w:val="none" w:sz="0" w:space="0" w:color="auto"/>
        <w:left w:val="none" w:sz="0" w:space="0" w:color="auto"/>
        <w:bottom w:val="none" w:sz="0" w:space="0" w:color="auto"/>
        <w:right w:val="none" w:sz="0" w:space="0" w:color="auto"/>
      </w:divBdr>
    </w:div>
    <w:div w:id="1272737767">
      <w:bodyDiv w:val="1"/>
      <w:marLeft w:val="0"/>
      <w:marRight w:val="0"/>
      <w:marTop w:val="0"/>
      <w:marBottom w:val="0"/>
      <w:divBdr>
        <w:top w:val="none" w:sz="0" w:space="0" w:color="auto"/>
        <w:left w:val="none" w:sz="0" w:space="0" w:color="auto"/>
        <w:bottom w:val="none" w:sz="0" w:space="0" w:color="auto"/>
        <w:right w:val="none" w:sz="0" w:space="0" w:color="auto"/>
      </w:divBdr>
    </w:div>
    <w:div w:id="1273511867">
      <w:bodyDiv w:val="1"/>
      <w:marLeft w:val="0"/>
      <w:marRight w:val="0"/>
      <w:marTop w:val="0"/>
      <w:marBottom w:val="0"/>
      <w:divBdr>
        <w:top w:val="none" w:sz="0" w:space="0" w:color="auto"/>
        <w:left w:val="none" w:sz="0" w:space="0" w:color="auto"/>
        <w:bottom w:val="none" w:sz="0" w:space="0" w:color="auto"/>
        <w:right w:val="none" w:sz="0" w:space="0" w:color="auto"/>
      </w:divBdr>
    </w:div>
    <w:div w:id="1273593124">
      <w:bodyDiv w:val="1"/>
      <w:marLeft w:val="0"/>
      <w:marRight w:val="0"/>
      <w:marTop w:val="0"/>
      <w:marBottom w:val="0"/>
      <w:divBdr>
        <w:top w:val="none" w:sz="0" w:space="0" w:color="auto"/>
        <w:left w:val="none" w:sz="0" w:space="0" w:color="auto"/>
        <w:bottom w:val="none" w:sz="0" w:space="0" w:color="auto"/>
        <w:right w:val="none" w:sz="0" w:space="0" w:color="auto"/>
      </w:divBdr>
    </w:div>
    <w:div w:id="1273785440">
      <w:bodyDiv w:val="1"/>
      <w:marLeft w:val="0"/>
      <w:marRight w:val="0"/>
      <w:marTop w:val="0"/>
      <w:marBottom w:val="0"/>
      <w:divBdr>
        <w:top w:val="none" w:sz="0" w:space="0" w:color="auto"/>
        <w:left w:val="none" w:sz="0" w:space="0" w:color="auto"/>
        <w:bottom w:val="none" w:sz="0" w:space="0" w:color="auto"/>
        <w:right w:val="none" w:sz="0" w:space="0" w:color="auto"/>
      </w:divBdr>
    </w:div>
    <w:div w:id="1274172201">
      <w:bodyDiv w:val="1"/>
      <w:marLeft w:val="0"/>
      <w:marRight w:val="0"/>
      <w:marTop w:val="0"/>
      <w:marBottom w:val="0"/>
      <w:divBdr>
        <w:top w:val="none" w:sz="0" w:space="0" w:color="auto"/>
        <w:left w:val="none" w:sz="0" w:space="0" w:color="auto"/>
        <w:bottom w:val="none" w:sz="0" w:space="0" w:color="auto"/>
        <w:right w:val="none" w:sz="0" w:space="0" w:color="auto"/>
      </w:divBdr>
    </w:div>
    <w:div w:id="1274749647">
      <w:bodyDiv w:val="1"/>
      <w:marLeft w:val="0"/>
      <w:marRight w:val="0"/>
      <w:marTop w:val="0"/>
      <w:marBottom w:val="0"/>
      <w:divBdr>
        <w:top w:val="none" w:sz="0" w:space="0" w:color="auto"/>
        <w:left w:val="none" w:sz="0" w:space="0" w:color="auto"/>
        <w:bottom w:val="none" w:sz="0" w:space="0" w:color="auto"/>
        <w:right w:val="none" w:sz="0" w:space="0" w:color="auto"/>
      </w:divBdr>
    </w:div>
    <w:div w:id="1275791985">
      <w:bodyDiv w:val="1"/>
      <w:marLeft w:val="0"/>
      <w:marRight w:val="0"/>
      <w:marTop w:val="0"/>
      <w:marBottom w:val="0"/>
      <w:divBdr>
        <w:top w:val="none" w:sz="0" w:space="0" w:color="auto"/>
        <w:left w:val="none" w:sz="0" w:space="0" w:color="auto"/>
        <w:bottom w:val="none" w:sz="0" w:space="0" w:color="auto"/>
        <w:right w:val="none" w:sz="0" w:space="0" w:color="auto"/>
      </w:divBdr>
    </w:div>
    <w:div w:id="1275795738">
      <w:bodyDiv w:val="1"/>
      <w:marLeft w:val="0"/>
      <w:marRight w:val="0"/>
      <w:marTop w:val="0"/>
      <w:marBottom w:val="0"/>
      <w:divBdr>
        <w:top w:val="none" w:sz="0" w:space="0" w:color="auto"/>
        <w:left w:val="none" w:sz="0" w:space="0" w:color="auto"/>
        <w:bottom w:val="none" w:sz="0" w:space="0" w:color="auto"/>
        <w:right w:val="none" w:sz="0" w:space="0" w:color="auto"/>
      </w:divBdr>
    </w:div>
    <w:div w:id="1276601026">
      <w:bodyDiv w:val="1"/>
      <w:marLeft w:val="0"/>
      <w:marRight w:val="0"/>
      <w:marTop w:val="0"/>
      <w:marBottom w:val="0"/>
      <w:divBdr>
        <w:top w:val="none" w:sz="0" w:space="0" w:color="auto"/>
        <w:left w:val="none" w:sz="0" w:space="0" w:color="auto"/>
        <w:bottom w:val="none" w:sz="0" w:space="0" w:color="auto"/>
        <w:right w:val="none" w:sz="0" w:space="0" w:color="auto"/>
      </w:divBdr>
    </w:div>
    <w:div w:id="1277712571">
      <w:bodyDiv w:val="1"/>
      <w:marLeft w:val="0"/>
      <w:marRight w:val="0"/>
      <w:marTop w:val="0"/>
      <w:marBottom w:val="0"/>
      <w:divBdr>
        <w:top w:val="none" w:sz="0" w:space="0" w:color="auto"/>
        <w:left w:val="none" w:sz="0" w:space="0" w:color="auto"/>
        <w:bottom w:val="none" w:sz="0" w:space="0" w:color="auto"/>
        <w:right w:val="none" w:sz="0" w:space="0" w:color="auto"/>
      </w:divBdr>
    </w:div>
    <w:div w:id="1279990945">
      <w:bodyDiv w:val="1"/>
      <w:marLeft w:val="0"/>
      <w:marRight w:val="0"/>
      <w:marTop w:val="0"/>
      <w:marBottom w:val="0"/>
      <w:divBdr>
        <w:top w:val="none" w:sz="0" w:space="0" w:color="auto"/>
        <w:left w:val="none" w:sz="0" w:space="0" w:color="auto"/>
        <w:bottom w:val="none" w:sz="0" w:space="0" w:color="auto"/>
        <w:right w:val="none" w:sz="0" w:space="0" w:color="auto"/>
      </w:divBdr>
    </w:div>
    <w:div w:id="1280338687">
      <w:bodyDiv w:val="1"/>
      <w:marLeft w:val="0"/>
      <w:marRight w:val="0"/>
      <w:marTop w:val="0"/>
      <w:marBottom w:val="0"/>
      <w:divBdr>
        <w:top w:val="none" w:sz="0" w:space="0" w:color="auto"/>
        <w:left w:val="none" w:sz="0" w:space="0" w:color="auto"/>
        <w:bottom w:val="none" w:sz="0" w:space="0" w:color="auto"/>
        <w:right w:val="none" w:sz="0" w:space="0" w:color="auto"/>
      </w:divBdr>
    </w:div>
    <w:div w:id="1281106316">
      <w:bodyDiv w:val="1"/>
      <w:marLeft w:val="0"/>
      <w:marRight w:val="0"/>
      <w:marTop w:val="0"/>
      <w:marBottom w:val="0"/>
      <w:divBdr>
        <w:top w:val="none" w:sz="0" w:space="0" w:color="auto"/>
        <w:left w:val="none" w:sz="0" w:space="0" w:color="auto"/>
        <w:bottom w:val="none" w:sz="0" w:space="0" w:color="auto"/>
        <w:right w:val="none" w:sz="0" w:space="0" w:color="auto"/>
      </w:divBdr>
    </w:div>
    <w:div w:id="1281107869">
      <w:bodyDiv w:val="1"/>
      <w:marLeft w:val="0"/>
      <w:marRight w:val="0"/>
      <w:marTop w:val="0"/>
      <w:marBottom w:val="0"/>
      <w:divBdr>
        <w:top w:val="none" w:sz="0" w:space="0" w:color="auto"/>
        <w:left w:val="none" w:sz="0" w:space="0" w:color="auto"/>
        <w:bottom w:val="none" w:sz="0" w:space="0" w:color="auto"/>
        <w:right w:val="none" w:sz="0" w:space="0" w:color="auto"/>
      </w:divBdr>
    </w:div>
    <w:div w:id="1281763112">
      <w:bodyDiv w:val="1"/>
      <w:marLeft w:val="0"/>
      <w:marRight w:val="0"/>
      <w:marTop w:val="0"/>
      <w:marBottom w:val="0"/>
      <w:divBdr>
        <w:top w:val="none" w:sz="0" w:space="0" w:color="auto"/>
        <w:left w:val="none" w:sz="0" w:space="0" w:color="auto"/>
        <w:bottom w:val="none" w:sz="0" w:space="0" w:color="auto"/>
        <w:right w:val="none" w:sz="0" w:space="0" w:color="auto"/>
      </w:divBdr>
    </w:div>
    <w:div w:id="1282689970">
      <w:bodyDiv w:val="1"/>
      <w:marLeft w:val="0"/>
      <w:marRight w:val="0"/>
      <w:marTop w:val="0"/>
      <w:marBottom w:val="0"/>
      <w:divBdr>
        <w:top w:val="none" w:sz="0" w:space="0" w:color="auto"/>
        <w:left w:val="none" w:sz="0" w:space="0" w:color="auto"/>
        <w:bottom w:val="none" w:sz="0" w:space="0" w:color="auto"/>
        <w:right w:val="none" w:sz="0" w:space="0" w:color="auto"/>
      </w:divBdr>
    </w:div>
    <w:div w:id="1284505846">
      <w:bodyDiv w:val="1"/>
      <w:marLeft w:val="0"/>
      <w:marRight w:val="0"/>
      <w:marTop w:val="0"/>
      <w:marBottom w:val="0"/>
      <w:divBdr>
        <w:top w:val="none" w:sz="0" w:space="0" w:color="auto"/>
        <w:left w:val="none" w:sz="0" w:space="0" w:color="auto"/>
        <w:bottom w:val="none" w:sz="0" w:space="0" w:color="auto"/>
        <w:right w:val="none" w:sz="0" w:space="0" w:color="auto"/>
      </w:divBdr>
    </w:div>
    <w:div w:id="1284534268">
      <w:bodyDiv w:val="1"/>
      <w:marLeft w:val="0"/>
      <w:marRight w:val="0"/>
      <w:marTop w:val="0"/>
      <w:marBottom w:val="0"/>
      <w:divBdr>
        <w:top w:val="none" w:sz="0" w:space="0" w:color="auto"/>
        <w:left w:val="none" w:sz="0" w:space="0" w:color="auto"/>
        <w:bottom w:val="none" w:sz="0" w:space="0" w:color="auto"/>
        <w:right w:val="none" w:sz="0" w:space="0" w:color="auto"/>
      </w:divBdr>
    </w:div>
    <w:div w:id="1284921282">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286037705">
      <w:bodyDiv w:val="1"/>
      <w:marLeft w:val="0"/>
      <w:marRight w:val="0"/>
      <w:marTop w:val="0"/>
      <w:marBottom w:val="0"/>
      <w:divBdr>
        <w:top w:val="none" w:sz="0" w:space="0" w:color="auto"/>
        <w:left w:val="none" w:sz="0" w:space="0" w:color="auto"/>
        <w:bottom w:val="none" w:sz="0" w:space="0" w:color="auto"/>
        <w:right w:val="none" w:sz="0" w:space="0" w:color="auto"/>
      </w:divBdr>
    </w:div>
    <w:div w:id="1286810016">
      <w:bodyDiv w:val="1"/>
      <w:marLeft w:val="0"/>
      <w:marRight w:val="0"/>
      <w:marTop w:val="0"/>
      <w:marBottom w:val="0"/>
      <w:divBdr>
        <w:top w:val="none" w:sz="0" w:space="0" w:color="auto"/>
        <w:left w:val="none" w:sz="0" w:space="0" w:color="auto"/>
        <w:bottom w:val="none" w:sz="0" w:space="0" w:color="auto"/>
        <w:right w:val="none" w:sz="0" w:space="0" w:color="auto"/>
      </w:divBdr>
    </w:div>
    <w:div w:id="1287005364">
      <w:bodyDiv w:val="1"/>
      <w:marLeft w:val="0"/>
      <w:marRight w:val="0"/>
      <w:marTop w:val="0"/>
      <w:marBottom w:val="0"/>
      <w:divBdr>
        <w:top w:val="none" w:sz="0" w:space="0" w:color="auto"/>
        <w:left w:val="none" w:sz="0" w:space="0" w:color="auto"/>
        <w:bottom w:val="none" w:sz="0" w:space="0" w:color="auto"/>
        <w:right w:val="none" w:sz="0" w:space="0" w:color="auto"/>
      </w:divBdr>
    </w:div>
    <w:div w:id="1287278301">
      <w:bodyDiv w:val="1"/>
      <w:marLeft w:val="0"/>
      <w:marRight w:val="0"/>
      <w:marTop w:val="0"/>
      <w:marBottom w:val="0"/>
      <w:divBdr>
        <w:top w:val="none" w:sz="0" w:space="0" w:color="auto"/>
        <w:left w:val="none" w:sz="0" w:space="0" w:color="auto"/>
        <w:bottom w:val="none" w:sz="0" w:space="0" w:color="auto"/>
        <w:right w:val="none" w:sz="0" w:space="0" w:color="auto"/>
      </w:divBdr>
    </w:div>
    <w:div w:id="1287931440">
      <w:bodyDiv w:val="1"/>
      <w:marLeft w:val="0"/>
      <w:marRight w:val="0"/>
      <w:marTop w:val="0"/>
      <w:marBottom w:val="0"/>
      <w:divBdr>
        <w:top w:val="none" w:sz="0" w:space="0" w:color="auto"/>
        <w:left w:val="none" w:sz="0" w:space="0" w:color="auto"/>
        <w:bottom w:val="none" w:sz="0" w:space="0" w:color="auto"/>
        <w:right w:val="none" w:sz="0" w:space="0" w:color="auto"/>
      </w:divBdr>
    </w:div>
    <w:div w:id="1288466195">
      <w:bodyDiv w:val="1"/>
      <w:marLeft w:val="0"/>
      <w:marRight w:val="0"/>
      <w:marTop w:val="0"/>
      <w:marBottom w:val="0"/>
      <w:divBdr>
        <w:top w:val="none" w:sz="0" w:space="0" w:color="auto"/>
        <w:left w:val="none" w:sz="0" w:space="0" w:color="auto"/>
        <w:bottom w:val="none" w:sz="0" w:space="0" w:color="auto"/>
        <w:right w:val="none" w:sz="0" w:space="0" w:color="auto"/>
      </w:divBdr>
    </w:div>
    <w:div w:id="1288585806">
      <w:bodyDiv w:val="1"/>
      <w:marLeft w:val="0"/>
      <w:marRight w:val="0"/>
      <w:marTop w:val="0"/>
      <w:marBottom w:val="0"/>
      <w:divBdr>
        <w:top w:val="none" w:sz="0" w:space="0" w:color="auto"/>
        <w:left w:val="none" w:sz="0" w:space="0" w:color="auto"/>
        <w:bottom w:val="none" w:sz="0" w:space="0" w:color="auto"/>
        <w:right w:val="none" w:sz="0" w:space="0" w:color="auto"/>
      </w:divBdr>
    </w:div>
    <w:div w:id="1290746285">
      <w:bodyDiv w:val="1"/>
      <w:marLeft w:val="0"/>
      <w:marRight w:val="0"/>
      <w:marTop w:val="0"/>
      <w:marBottom w:val="0"/>
      <w:divBdr>
        <w:top w:val="none" w:sz="0" w:space="0" w:color="auto"/>
        <w:left w:val="none" w:sz="0" w:space="0" w:color="auto"/>
        <w:bottom w:val="none" w:sz="0" w:space="0" w:color="auto"/>
        <w:right w:val="none" w:sz="0" w:space="0" w:color="auto"/>
      </w:divBdr>
    </w:div>
    <w:div w:id="1290820486">
      <w:bodyDiv w:val="1"/>
      <w:marLeft w:val="0"/>
      <w:marRight w:val="0"/>
      <w:marTop w:val="0"/>
      <w:marBottom w:val="0"/>
      <w:divBdr>
        <w:top w:val="none" w:sz="0" w:space="0" w:color="auto"/>
        <w:left w:val="none" w:sz="0" w:space="0" w:color="auto"/>
        <w:bottom w:val="none" w:sz="0" w:space="0" w:color="auto"/>
        <w:right w:val="none" w:sz="0" w:space="0" w:color="auto"/>
      </w:divBdr>
    </w:div>
    <w:div w:id="1292399432">
      <w:bodyDiv w:val="1"/>
      <w:marLeft w:val="0"/>
      <w:marRight w:val="0"/>
      <w:marTop w:val="0"/>
      <w:marBottom w:val="0"/>
      <w:divBdr>
        <w:top w:val="none" w:sz="0" w:space="0" w:color="auto"/>
        <w:left w:val="none" w:sz="0" w:space="0" w:color="auto"/>
        <w:bottom w:val="none" w:sz="0" w:space="0" w:color="auto"/>
        <w:right w:val="none" w:sz="0" w:space="0" w:color="auto"/>
      </w:divBdr>
    </w:div>
    <w:div w:id="1292709956">
      <w:bodyDiv w:val="1"/>
      <w:marLeft w:val="0"/>
      <w:marRight w:val="0"/>
      <w:marTop w:val="0"/>
      <w:marBottom w:val="0"/>
      <w:divBdr>
        <w:top w:val="none" w:sz="0" w:space="0" w:color="auto"/>
        <w:left w:val="none" w:sz="0" w:space="0" w:color="auto"/>
        <w:bottom w:val="none" w:sz="0" w:space="0" w:color="auto"/>
        <w:right w:val="none" w:sz="0" w:space="0" w:color="auto"/>
      </w:divBdr>
    </w:div>
    <w:div w:id="1293707687">
      <w:bodyDiv w:val="1"/>
      <w:marLeft w:val="0"/>
      <w:marRight w:val="0"/>
      <w:marTop w:val="0"/>
      <w:marBottom w:val="0"/>
      <w:divBdr>
        <w:top w:val="none" w:sz="0" w:space="0" w:color="auto"/>
        <w:left w:val="none" w:sz="0" w:space="0" w:color="auto"/>
        <w:bottom w:val="none" w:sz="0" w:space="0" w:color="auto"/>
        <w:right w:val="none" w:sz="0" w:space="0" w:color="auto"/>
      </w:divBdr>
    </w:div>
    <w:div w:id="1293749895">
      <w:bodyDiv w:val="1"/>
      <w:marLeft w:val="0"/>
      <w:marRight w:val="0"/>
      <w:marTop w:val="0"/>
      <w:marBottom w:val="0"/>
      <w:divBdr>
        <w:top w:val="none" w:sz="0" w:space="0" w:color="auto"/>
        <w:left w:val="none" w:sz="0" w:space="0" w:color="auto"/>
        <w:bottom w:val="none" w:sz="0" w:space="0" w:color="auto"/>
        <w:right w:val="none" w:sz="0" w:space="0" w:color="auto"/>
      </w:divBdr>
    </w:div>
    <w:div w:id="1293753112">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5797123">
      <w:bodyDiv w:val="1"/>
      <w:marLeft w:val="0"/>
      <w:marRight w:val="0"/>
      <w:marTop w:val="0"/>
      <w:marBottom w:val="0"/>
      <w:divBdr>
        <w:top w:val="none" w:sz="0" w:space="0" w:color="auto"/>
        <w:left w:val="none" w:sz="0" w:space="0" w:color="auto"/>
        <w:bottom w:val="none" w:sz="0" w:space="0" w:color="auto"/>
        <w:right w:val="none" w:sz="0" w:space="0" w:color="auto"/>
      </w:divBdr>
    </w:div>
    <w:div w:id="1296061819">
      <w:bodyDiv w:val="1"/>
      <w:marLeft w:val="0"/>
      <w:marRight w:val="0"/>
      <w:marTop w:val="0"/>
      <w:marBottom w:val="0"/>
      <w:divBdr>
        <w:top w:val="none" w:sz="0" w:space="0" w:color="auto"/>
        <w:left w:val="none" w:sz="0" w:space="0" w:color="auto"/>
        <w:bottom w:val="none" w:sz="0" w:space="0" w:color="auto"/>
        <w:right w:val="none" w:sz="0" w:space="0" w:color="auto"/>
      </w:divBdr>
    </w:div>
    <w:div w:id="1296912588">
      <w:bodyDiv w:val="1"/>
      <w:marLeft w:val="0"/>
      <w:marRight w:val="0"/>
      <w:marTop w:val="0"/>
      <w:marBottom w:val="0"/>
      <w:divBdr>
        <w:top w:val="none" w:sz="0" w:space="0" w:color="auto"/>
        <w:left w:val="none" w:sz="0" w:space="0" w:color="auto"/>
        <w:bottom w:val="none" w:sz="0" w:space="0" w:color="auto"/>
        <w:right w:val="none" w:sz="0" w:space="0" w:color="auto"/>
      </w:divBdr>
    </w:div>
    <w:div w:id="1296986274">
      <w:bodyDiv w:val="1"/>
      <w:marLeft w:val="0"/>
      <w:marRight w:val="0"/>
      <w:marTop w:val="0"/>
      <w:marBottom w:val="0"/>
      <w:divBdr>
        <w:top w:val="none" w:sz="0" w:space="0" w:color="auto"/>
        <w:left w:val="none" w:sz="0" w:space="0" w:color="auto"/>
        <w:bottom w:val="none" w:sz="0" w:space="0" w:color="auto"/>
        <w:right w:val="none" w:sz="0" w:space="0" w:color="auto"/>
      </w:divBdr>
    </w:div>
    <w:div w:id="1296986506">
      <w:bodyDiv w:val="1"/>
      <w:marLeft w:val="0"/>
      <w:marRight w:val="0"/>
      <w:marTop w:val="0"/>
      <w:marBottom w:val="0"/>
      <w:divBdr>
        <w:top w:val="none" w:sz="0" w:space="0" w:color="auto"/>
        <w:left w:val="none" w:sz="0" w:space="0" w:color="auto"/>
        <w:bottom w:val="none" w:sz="0" w:space="0" w:color="auto"/>
        <w:right w:val="none" w:sz="0" w:space="0" w:color="auto"/>
      </w:divBdr>
    </w:div>
    <w:div w:id="1297367827">
      <w:bodyDiv w:val="1"/>
      <w:marLeft w:val="0"/>
      <w:marRight w:val="0"/>
      <w:marTop w:val="0"/>
      <w:marBottom w:val="0"/>
      <w:divBdr>
        <w:top w:val="none" w:sz="0" w:space="0" w:color="auto"/>
        <w:left w:val="none" w:sz="0" w:space="0" w:color="auto"/>
        <w:bottom w:val="none" w:sz="0" w:space="0" w:color="auto"/>
        <w:right w:val="none" w:sz="0" w:space="0" w:color="auto"/>
      </w:divBdr>
    </w:div>
    <w:div w:id="1297950541">
      <w:bodyDiv w:val="1"/>
      <w:marLeft w:val="0"/>
      <w:marRight w:val="0"/>
      <w:marTop w:val="0"/>
      <w:marBottom w:val="0"/>
      <w:divBdr>
        <w:top w:val="none" w:sz="0" w:space="0" w:color="auto"/>
        <w:left w:val="none" w:sz="0" w:space="0" w:color="auto"/>
        <w:bottom w:val="none" w:sz="0" w:space="0" w:color="auto"/>
        <w:right w:val="none" w:sz="0" w:space="0" w:color="auto"/>
      </w:divBdr>
    </w:div>
    <w:div w:id="1298027377">
      <w:bodyDiv w:val="1"/>
      <w:marLeft w:val="0"/>
      <w:marRight w:val="0"/>
      <w:marTop w:val="0"/>
      <w:marBottom w:val="0"/>
      <w:divBdr>
        <w:top w:val="none" w:sz="0" w:space="0" w:color="auto"/>
        <w:left w:val="none" w:sz="0" w:space="0" w:color="auto"/>
        <w:bottom w:val="none" w:sz="0" w:space="0" w:color="auto"/>
        <w:right w:val="none" w:sz="0" w:space="0" w:color="auto"/>
      </w:divBdr>
    </w:div>
    <w:div w:id="1298340463">
      <w:bodyDiv w:val="1"/>
      <w:marLeft w:val="0"/>
      <w:marRight w:val="0"/>
      <w:marTop w:val="0"/>
      <w:marBottom w:val="0"/>
      <w:divBdr>
        <w:top w:val="none" w:sz="0" w:space="0" w:color="auto"/>
        <w:left w:val="none" w:sz="0" w:space="0" w:color="auto"/>
        <w:bottom w:val="none" w:sz="0" w:space="0" w:color="auto"/>
        <w:right w:val="none" w:sz="0" w:space="0" w:color="auto"/>
      </w:divBdr>
    </w:div>
    <w:div w:id="1299535680">
      <w:bodyDiv w:val="1"/>
      <w:marLeft w:val="0"/>
      <w:marRight w:val="0"/>
      <w:marTop w:val="0"/>
      <w:marBottom w:val="0"/>
      <w:divBdr>
        <w:top w:val="none" w:sz="0" w:space="0" w:color="auto"/>
        <w:left w:val="none" w:sz="0" w:space="0" w:color="auto"/>
        <w:bottom w:val="none" w:sz="0" w:space="0" w:color="auto"/>
        <w:right w:val="none" w:sz="0" w:space="0" w:color="auto"/>
      </w:divBdr>
    </w:div>
    <w:div w:id="1299921366">
      <w:bodyDiv w:val="1"/>
      <w:marLeft w:val="0"/>
      <w:marRight w:val="0"/>
      <w:marTop w:val="0"/>
      <w:marBottom w:val="0"/>
      <w:divBdr>
        <w:top w:val="none" w:sz="0" w:space="0" w:color="auto"/>
        <w:left w:val="none" w:sz="0" w:space="0" w:color="auto"/>
        <w:bottom w:val="none" w:sz="0" w:space="0" w:color="auto"/>
        <w:right w:val="none" w:sz="0" w:space="0" w:color="auto"/>
      </w:divBdr>
    </w:div>
    <w:div w:id="1300722051">
      <w:bodyDiv w:val="1"/>
      <w:marLeft w:val="0"/>
      <w:marRight w:val="0"/>
      <w:marTop w:val="0"/>
      <w:marBottom w:val="0"/>
      <w:divBdr>
        <w:top w:val="none" w:sz="0" w:space="0" w:color="auto"/>
        <w:left w:val="none" w:sz="0" w:space="0" w:color="auto"/>
        <w:bottom w:val="none" w:sz="0" w:space="0" w:color="auto"/>
        <w:right w:val="none" w:sz="0" w:space="0" w:color="auto"/>
      </w:divBdr>
    </w:div>
    <w:div w:id="1301419693">
      <w:bodyDiv w:val="1"/>
      <w:marLeft w:val="0"/>
      <w:marRight w:val="0"/>
      <w:marTop w:val="0"/>
      <w:marBottom w:val="0"/>
      <w:divBdr>
        <w:top w:val="none" w:sz="0" w:space="0" w:color="auto"/>
        <w:left w:val="none" w:sz="0" w:space="0" w:color="auto"/>
        <w:bottom w:val="none" w:sz="0" w:space="0" w:color="auto"/>
        <w:right w:val="none" w:sz="0" w:space="0" w:color="auto"/>
      </w:divBdr>
    </w:div>
    <w:div w:id="1301685831">
      <w:bodyDiv w:val="1"/>
      <w:marLeft w:val="0"/>
      <w:marRight w:val="0"/>
      <w:marTop w:val="0"/>
      <w:marBottom w:val="0"/>
      <w:divBdr>
        <w:top w:val="none" w:sz="0" w:space="0" w:color="auto"/>
        <w:left w:val="none" w:sz="0" w:space="0" w:color="auto"/>
        <w:bottom w:val="none" w:sz="0" w:space="0" w:color="auto"/>
        <w:right w:val="none" w:sz="0" w:space="0" w:color="auto"/>
      </w:divBdr>
    </w:div>
    <w:div w:id="1302610383">
      <w:bodyDiv w:val="1"/>
      <w:marLeft w:val="0"/>
      <w:marRight w:val="0"/>
      <w:marTop w:val="0"/>
      <w:marBottom w:val="0"/>
      <w:divBdr>
        <w:top w:val="none" w:sz="0" w:space="0" w:color="auto"/>
        <w:left w:val="none" w:sz="0" w:space="0" w:color="auto"/>
        <w:bottom w:val="none" w:sz="0" w:space="0" w:color="auto"/>
        <w:right w:val="none" w:sz="0" w:space="0" w:color="auto"/>
      </w:divBdr>
    </w:div>
    <w:div w:id="1302922933">
      <w:bodyDiv w:val="1"/>
      <w:marLeft w:val="0"/>
      <w:marRight w:val="0"/>
      <w:marTop w:val="0"/>
      <w:marBottom w:val="0"/>
      <w:divBdr>
        <w:top w:val="none" w:sz="0" w:space="0" w:color="auto"/>
        <w:left w:val="none" w:sz="0" w:space="0" w:color="auto"/>
        <w:bottom w:val="none" w:sz="0" w:space="0" w:color="auto"/>
        <w:right w:val="none" w:sz="0" w:space="0" w:color="auto"/>
      </w:divBdr>
    </w:div>
    <w:div w:id="1303072169">
      <w:bodyDiv w:val="1"/>
      <w:marLeft w:val="0"/>
      <w:marRight w:val="0"/>
      <w:marTop w:val="0"/>
      <w:marBottom w:val="0"/>
      <w:divBdr>
        <w:top w:val="none" w:sz="0" w:space="0" w:color="auto"/>
        <w:left w:val="none" w:sz="0" w:space="0" w:color="auto"/>
        <w:bottom w:val="none" w:sz="0" w:space="0" w:color="auto"/>
        <w:right w:val="none" w:sz="0" w:space="0" w:color="auto"/>
      </w:divBdr>
    </w:div>
    <w:div w:id="1304503188">
      <w:bodyDiv w:val="1"/>
      <w:marLeft w:val="0"/>
      <w:marRight w:val="0"/>
      <w:marTop w:val="0"/>
      <w:marBottom w:val="0"/>
      <w:divBdr>
        <w:top w:val="none" w:sz="0" w:space="0" w:color="auto"/>
        <w:left w:val="none" w:sz="0" w:space="0" w:color="auto"/>
        <w:bottom w:val="none" w:sz="0" w:space="0" w:color="auto"/>
        <w:right w:val="none" w:sz="0" w:space="0" w:color="auto"/>
      </w:divBdr>
    </w:div>
    <w:div w:id="1304919745">
      <w:bodyDiv w:val="1"/>
      <w:marLeft w:val="0"/>
      <w:marRight w:val="0"/>
      <w:marTop w:val="0"/>
      <w:marBottom w:val="0"/>
      <w:divBdr>
        <w:top w:val="none" w:sz="0" w:space="0" w:color="auto"/>
        <w:left w:val="none" w:sz="0" w:space="0" w:color="auto"/>
        <w:bottom w:val="none" w:sz="0" w:space="0" w:color="auto"/>
        <w:right w:val="none" w:sz="0" w:space="0" w:color="auto"/>
      </w:divBdr>
    </w:div>
    <w:div w:id="1305350797">
      <w:bodyDiv w:val="1"/>
      <w:marLeft w:val="0"/>
      <w:marRight w:val="0"/>
      <w:marTop w:val="0"/>
      <w:marBottom w:val="0"/>
      <w:divBdr>
        <w:top w:val="none" w:sz="0" w:space="0" w:color="auto"/>
        <w:left w:val="none" w:sz="0" w:space="0" w:color="auto"/>
        <w:bottom w:val="none" w:sz="0" w:space="0" w:color="auto"/>
        <w:right w:val="none" w:sz="0" w:space="0" w:color="auto"/>
      </w:divBdr>
    </w:div>
    <w:div w:id="1305433467">
      <w:bodyDiv w:val="1"/>
      <w:marLeft w:val="0"/>
      <w:marRight w:val="0"/>
      <w:marTop w:val="0"/>
      <w:marBottom w:val="0"/>
      <w:divBdr>
        <w:top w:val="none" w:sz="0" w:space="0" w:color="auto"/>
        <w:left w:val="none" w:sz="0" w:space="0" w:color="auto"/>
        <w:bottom w:val="none" w:sz="0" w:space="0" w:color="auto"/>
        <w:right w:val="none" w:sz="0" w:space="0" w:color="auto"/>
      </w:divBdr>
    </w:div>
    <w:div w:id="1305618795">
      <w:bodyDiv w:val="1"/>
      <w:marLeft w:val="0"/>
      <w:marRight w:val="0"/>
      <w:marTop w:val="0"/>
      <w:marBottom w:val="0"/>
      <w:divBdr>
        <w:top w:val="none" w:sz="0" w:space="0" w:color="auto"/>
        <w:left w:val="none" w:sz="0" w:space="0" w:color="auto"/>
        <w:bottom w:val="none" w:sz="0" w:space="0" w:color="auto"/>
        <w:right w:val="none" w:sz="0" w:space="0" w:color="auto"/>
      </w:divBdr>
    </w:div>
    <w:div w:id="1306473403">
      <w:bodyDiv w:val="1"/>
      <w:marLeft w:val="0"/>
      <w:marRight w:val="0"/>
      <w:marTop w:val="0"/>
      <w:marBottom w:val="0"/>
      <w:divBdr>
        <w:top w:val="none" w:sz="0" w:space="0" w:color="auto"/>
        <w:left w:val="none" w:sz="0" w:space="0" w:color="auto"/>
        <w:bottom w:val="none" w:sz="0" w:space="0" w:color="auto"/>
        <w:right w:val="none" w:sz="0" w:space="0" w:color="auto"/>
      </w:divBdr>
    </w:div>
    <w:div w:id="1307275247">
      <w:bodyDiv w:val="1"/>
      <w:marLeft w:val="0"/>
      <w:marRight w:val="0"/>
      <w:marTop w:val="0"/>
      <w:marBottom w:val="0"/>
      <w:divBdr>
        <w:top w:val="none" w:sz="0" w:space="0" w:color="auto"/>
        <w:left w:val="none" w:sz="0" w:space="0" w:color="auto"/>
        <w:bottom w:val="none" w:sz="0" w:space="0" w:color="auto"/>
        <w:right w:val="none" w:sz="0" w:space="0" w:color="auto"/>
      </w:divBdr>
    </w:div>
    <w:div w:id="1307474532">
      <w:bodyDiv w:val="1"/>
      <w:marLeft w:val="0"/>
      <w:marRight w:val="0"/>
      <w:marTop w:val="0"/>
      <w:marBottom w:val="0"/>
      <w:divBdr>
        <w:top w:val="none" w:sz="0" w:space="0" w:color="auto"/>
        <w:left w:val="none" w:sz="0" w:space="0" w:color="auto"/>
        <w:bottom w:val="none" w:sz="0" w:space="0" w:color="auto"/>
        <w:right w:val="none" w:sz="0" w:space="0" w:color="auto"/>
      </w:divBdr>
    </w:div>
    <w:div w:id="1307933240">
      <w:bodyDiv w:val="1"/>
      <w:marLeft w:val="0"/>
      <w:marRight w:val="0"/>
      <w:marTop w:val="0"/>
      <w:marBottom w:val="0"/>
      <w:divBdr>
        <w:top w:val="none" w:sz="0" w:space="0" w:color="auto"/>
        <w:left w:val="none" w:sz="0" w:space="0" w:color="auto"/>
        <w:bottom w:val="none" w:sz="0" w:space="0" w:color="auto"/>
        <w:right w:val="none" w:sz="0" w:space="0" w:color="auto"/>
      </w:divBdr>
    </w:div>
    <w:div w:id="1308123544">
      <w:bodyDiv w:val="1"/>
      <w:marLeft w:val="0"/>
      <w:marRight w:val="0"/>
      <w:marTop w:val="0"/>
      <w:marBottom w:val="0"/>
      <w:divBdr>
        <w:top w:val="none" w:sz="0" w:space="0" w:color="auto"/>
        <w:left w:val="none" w:sz="0" w:space="0" w:color="auto"/>
        <w:bottom w:val="none" w:sz="0" w:space="0" w:color="auto"/>
        <w:right w:val="none" w:sz="0" w:space="0" w:color="auto"/>
      </w:divBdr>
    </w:div>
    <w:div w:id="1308436891">
      <w:bodyDiv w:val="1"/>
      <w:marLeft w:val="0"/>
      <w:marRight w:val="0"/>
      <w:marTop w:val="0"/>
      <w:marBottom w:val="0"/>
      <w:divBdr>
        <w:top w:val="none" w:sz="0" w:space="0" w:color="auto"/>
        <w:left w:val="none" w:sz="0" w:space="0" w:color="auto"/>
        <w:bottom w:val="none" w:sz="0" w:space="0" w:color="auto"/>
        <w:right w:val="none" w:sz="0" w:space="0" w:color="auto"/>
      </w:divBdr>
    </w:div>
    <w:div w:id="1308438827">
      <w:bodyDiv w:val="1"/>
      <w:marLeft w:val="0"/>
      <w:marRight w:val="0"/>
      <w:marTop w:val="0"/>
      <w:marBottom w:val="0"/>
      <w:divBdr>
        <w:top w:val="none" w:sz="0" w:space="0" w:color="auto"/>
        <w:left w:val="none" w:sz="0" w:space="0" w:color="auto"/>
        <w:bottom w:val="none" w:sz="0" w:space="0" w:color="auto"/>
        <w:right w:val="none" w:sz="0" w:space="0" w:color="auto"/>
      </w:divBdr>
    </w:div>
    <w:div w:id="1308510442">
      <w:bodyDiv w:val="1"/>
      <w:marLeft w:val="0"/>
      <w:marRight w:val="0"/>
      <w:marTop w:val="0"/>
      <w:marBottom w:val="0"/>
      <w:divBdr>
        <w:top w:val="none" w:sz="0" w:space="0" w:color="auto"/>
        <w:left w:val="none" w:sz="0" w:space="0" w:color="auto"/>
        <w:bottom w:val="none" w:sz="0" w:space="0" w:color="auto"/>
        <w:right w:val="none" w:sz="0" w:space="0" w:color="auto"/>
      </w:divBdr>
    </w:div>
    <w:div w:id="1308708421">
      <w:bodyDiv w:val="1"/>
      <w:marLeft w:val="0"/>
      <w:marRight w:val="0"/>
      <w:marTop w:val="0"/>
      <w:marBottom w:val="0"/>
      <w:divBdr>
        <w:top w:val="none" w:sz="0" w:space="0" w:color="auto"/>
        <w:left w:val="none" w:sz="0" w:space="0" w:color="auto"/>
        <w:bottom w:val="none" w:sz="0" w:space="0" w:color="auto"/>
        <w:right w:val="none" w:sz="0" w:space="0" w:color="auto"/>
      </w:divBdr>
    </w:div>
    <w:div w:id="1309172014">
      <w:bodyDiv w:val="1"/>
      <w:marLeft w:val="0"/>
      <w:marRight w:val="0"/>
      <w:marTop w:val="0"/>
      <w:marBottom w:val="0"/>
      <w:divBdr>
        <w:top w:val="none" w:sz="0" w:space="0" w:color="auto"/>
        <w:left w:val="none" w:sz="0" w:space="0" w:color="auto"/>
        <w:bottom w:val="none" w:sz="0" w:space="0" w:color="auto"/>
        <w:right w:val="none" w:sz="0" w:space="0" w:color="auto"/>
      </w:divBdr>
    </w:div>
    <w:div w:id="1309357071">
      <w:bodyDiv w:val="1"/>
      <w:marLeft w:val="0"/>
      <w:marRight w:val="0"/>
      <w:marTop w:val="0"/>
      <w:marBottom w:val="0"/>
      <w:divBdr>
        <w:top w:val="none" w:sz="0" w:space="0" w:color="auto"/>
        <w:left w:val="none" w:sz="0" w:space="0" w:color="auto"/>
        <w:bottom w:val="none" w:sz="0" w:space="0" w:color="auto"/>
        <w:right w:val="none" w:sz="0" w:space="0" w:color="auto"/>
      </w:divBdr>
    </w:div>
    <w:div w:id="1309557593">
      <w:bodyDiv w:val="1"/>
      <w:marLeft w:val="0"/>
      <w:marRight w:val="0"/>
      <w:marTop w:val="0"/>
      <w:marBottom w:val="0"/>
      <w:divBdr>
        <w:top w:val="none" w:sz="0" w:space="0" w:color="auto"/>
        <w:left w:val="none" w:sz="0" w:space="0" w:color="auto"/>
        <w:bottom w:val="none" w:sz="0" w:space="0" w:color="auto"/>
        <w:right w:val="none" w:sz="0" w:space="0" w:color="auto"/>
      </w:divBdr>
    </w:div>
    <w:div w:id="1309701335">
      <w:bodyDiv w:val="1"/>
      <w:marLeft w:val="0"/>
      <w:marRight w:val="0"/>
      <w:marTop w:val="0"/>
      <w:marBottom w:val="0"/>
      <w:divBdr>
        <w:top w:val="none" w:sz="0" w:space="0" w:color="auto"/>
        <w:left w:val="none" w:sz="0" w:space="0" w:color="auto"/>
        <w:bottom w:val="none" w:sz="0" w:space="0" w:color="auto"/>
        <w:right w:val="none" w:sz="0" w:space="0" w:color="auto"/>
      </w:divBdr>
    </w:div>
    <w:div w:id="1310282398">
      <w:bodyDiv w:val="1"/>
      <w:marLeft w:val="0"/>
      <w:marRight w:val="0"/>
      <w:marTop w:val="0"/>
      <w:marBottom w:val="0"/>
      <w:divBdr>
        <w:top w:val="none" w:sz="0" w:space="0" w:color="auto"/>
        <w:left w:val="none" w:sz="0" w:space="0" w:color="auto"/>
        <w:bottom w:val="none" w:sz="0" w:space="0" w:color="auto"/>
        <w:right w:val="none" w:sz="0" w:space="0" w:color="auto"/>
      </w:divBdr>
    </w:div>
    <w:div w:id="1310675496">
      <w:bodyDiv w:val="1"/>
      <w:marLeft w:val="0"/>
      <w:marRight w:val="0"/>
      <w:marTop w:val="0"/>
      <w:marBottom w:val="0"/>
      <w:divBdr>
        <w:top w:val="none" w:sz="0" w:space="0" w:color="auto"/>
        <w:left w:val="none" w:sz="0" w:space="0" w:color="auto"/>
        <w:bottom w:val="none" w:sz="0" w:space="0" w:color="auto"/>
        <w:right w:val="none" w:sz="0" w:space="0" w:color="auto"/>
      </w:divBdr>
    </w:div>
    <w:div w:id="1311058443">
      <w:bodyDiv w:val="1"/>
      <w:marLeft w:val="0"/>
      <w:marRight w:val="0"/>
      <w:marTop w:val="0"/>
      <w:marBottom w:val="0"/>
      <w:divBdr>
        <w:top w:val="none" w:sz="0" w:space="0" w:color="auto"/>
        <w:left w:val="none" w:sz="0" w:space="0" w:color="auto"/>
        <w:bottom w:val="none" w:sz="0" w:space="0" w:color="auto"/>
        <w:right w:val="none" w:sz="0" w:space="0" w:color="auto"/>
      </w:divBdr>
    </w:div>
    <w:div w:id="1311250131">
      <w:bodyDiv w:val="1"/>
      <w:marLeft w:val="0"/>
      <w:marRight w:val="0"/>
      <w:marTop w:val="0"/>
      <w:marBottom w:val="0"/>
      <w:divBdr>
        <w:top w:val="none" w:sz="0" w:space="0" w:color="auto"/>
        <w:left w:val="none" w:sz="0" w:space="0" w:color="auto"/>
        <w:bottom w:val="none" w:sz="0" w:space="0" w:color="auto"/>
        <w:right w:val="none" w:sz="0" w:space="0" w:color="auto"/>
      </w:divBdr>
    </w:div>
    <w:div w:id="1311327360">
      <w:bodyDiv w:val="1"/>
      <w:marLeft w:val="0"/>
      <w:marRight w:val="0"/>
      <w:marTop w:val="0"/>
      <w:marBottom w:val="0"/>
      <w:divBdr>
        <w:top w:val="none" w:sz="0" w:space="0" w:color="auto"/>
        <w:left w:val="none" w:sz="0" w:space="0" w:color="auto"/>
        <w:bottom w:val="none" w:sz="0" w:space="0" w:color="auto"/>
        <w:right w:val="none" w:sz="0" w:space="0" w:color="auto"/>
      </w:divBdr>
    </w:div>
    <w:div w:id="1311792434">
      <w:bodyDiv w:val="1"/>
      <w:marLeft w:val="0"/>
      <w:marRight w:val="0"/>
      <w:marTop w:val="0"/>
      <w:marBottom w:val="0"/>
      <w:divBdr>
        <w:top w:val="none" w:sz="0" w:space="0" w:color="auto"/>
        <w:left w:val="none" w:sz="0" w:space="0" w:color="auto"/>
        <w:bottom w:val="none" w:sz="0" w:space="0" w:color="auto"/>
        <w:right w:val="none" w:sz="0" w:space="0" w:color="auto"/>
      </w:divBdr>
    </w:div>
    <w:div w:id="1312103659">
      <w:bodyDiv w:val="1"/>
      <w:marLeft w:val="0"/>
      <w:marRight w:val="0"/>
      <w:marTop w:val="0"/>
      <w:marBottom w:val="0"/>
      <w:divBdr>
        <w:top w:val="none" w:sz="0" w:space="0" w:color="auto"/>
        <w:left w:val="none" w:sz="0" w:space="0" w:color="auto"/>
        <w:bottom w:val="none" w:sz="0" w:space="0" w:color="auto"/>
        <w:right w:val="none" w:sz="0" w:space="0" w:color="auto"/>
      </w:divBdr>
    </w:div>
    <w:div w:id="1315330545">
      <w:bodyDiv w:val="1"/>
      <w:marLeft w:val="0"/>
      <w:marRight w:val="0"/>
      <w:marTop w:val="0"/>
      <w:marBottom w:val="0"/>
      <w:divBdr>
        <w:top w:val="none" w:sz="0" w:space="0" w:color="auto"/>
        <w:left w:val="none" w:sz="0" w:space="0" w:color="auto"/>
        <w:bottom w:val="none" w:sz="0" w:space="0" w:color="auto"/>
        <w:right w:val="none" w:sz="0" w:space="0" w:color="auto"/>
      </w:divBdr>
    </w:div>
    <w:div w:id="1316759951">
      <w:bodyDiv w:val="1"/>
      <w:marLeft w:val="0"/>
      <w:marRight w:val="0"/>
      <w:marTop w:val="0"/>
      <w:marBottom w:val="0"/>
      <w:divBdr>
        <w:top w:val="none" w:sz="0" w:space="0" w:color="auto"/>
        <w:left w:val="none" w:sz="0" w:space="0" w:color="auto"/>
        <w:bottom w:val="none" w:sz="0" w:space="0" w:color="auto"/>
        <w:right w:val="none" w:sz="0" w:space="0" w:color="auto"/>
      </w:divBdr>
    </w:div>
    <w:div w:id="1317107782">
      <w:bodyDiv w:val="1"/>
      <w:marLeft w:val="0"/>
      <w:marRight w:val="0"/>
      <w:marTop w:val="0"/>
      <w:marBottom w:val="0"/>
      <w:divBdr>
        <w:top w:val="none" w:sz="0" w:space="0" w:color="auto"/>
        <w:left w:val="none" w:sz="0" w:space="0" w:color="auto"/>
        <w:bottom w:val="none" w:sz="0" w:space="0" w:color="auto"/>
        <w:right w:val="none" w:sz="0" w:space="0" w:color="auto"/>
      </w:divBdr>
    </w:div>
    <w:div w:id="1317608478">
      <w:bodyDiv w:val="1"/>
      <w:marLeft w:val="0"/>
      <w:marRight w:val="0"/>
      <w:marTop w:val="0"/>
      <w:marBottom w:val="0"/>
      <w:divBdr>
        <w:top w:val="none" w:sz="0" w:space="0" w:color="auto"/>
        <w:left w:val="none" w:sz="0" w:space="0" w:color="auto"/>
        <w:bottom w:val="none" w:sz="0" w:space="0" w:color="auto"/>
        <w:right w:val="none" w:sz="0" w:space="0" w:color="auto"/>
      </w:divBdr>
    </w:div>
    <w:div w:id="1318848347">
      <w:bodyDiv w:val="1"/>
      <w:marLeft w:val="0"/>
      <w:marRight w:val="0"/>
      <w:marTop w:val="0"/>
      <w:marBottom w:val="0"/>
      <w:divBdr>
        <w:top w:val="none" w:sz="0" w:space="0" w:color="auto"/>
        <w:left w:val="none" w:sz="0" w:space="0" w:color="auto"/>
        <w:bottom w:val="none" w:sz="0" w:space="0" w:color="auto"/>
        <w:right w:val="none" w:sz="0" w:space="0" w:color="auto"/>
      </w:divBdr>
    </w:div>
    <w:div w:id="1319502313">
      <w:bodyDiv w:val="1"/>
      <w:marLeft w:val="0"/>
      <w:marRight w:val="0"/>
      <w:marTop w:val="0"/>
      <w:marBottom w:val="0"/>
      <w:divBdr>
        <w:top w:val="none" w:sz="0" w:space="0" w:color="auto"/>
        <w:left w:val="none" w:sz="0" w:space="0" w:color="auto"/>
        <w:bottom w:val="none" w:sz="0" w:space="0" w:color="auto"/>
        <w:right w:val="none" w:sz="0" w:space="0" w:color="auto"/>
      </w:divBdr>
    </w:div>
    <w:div w:id="1319840900">
      <w:bodyDiv w:val="1"/>
      <w:marLeft w:val="0"/>
      <w:marRight w:val="0"/>
      <w:marTop w:val="0"/>
      <w:marBottom w:val="0"/>
      <w:divBdr>
        <w:top w:val="none" w:sz="0" w:space="0" w:color="auto"/>
        <w:left w:val="none" w:sz="0" w:space="0" w:color="auto"/>
        <w:bottom w:val="none" w:sz="0" w:space="0" w:color="auto"/>
        <w:right w:val="none" w:sz="0" w:space="0" w:color="auto"/>
      </w:divBdr>
    </w:div>
    <w:div w:id="1319841296">
      <w:bodyDiv w:val="1"/>
      <w:marLeft w:val="0"/>
      <w:marRight w:val="0"/>
      <w:marTop w:val="0"/>
      <w:marBottom w:val="0"/>
      <w:divBdr>
        <w:top w:val="none" w:sz="0" w:space="0" w:color="auto"/>
        <w:left w:val="none" w:sz="0" w:space="0" w:color="auto"/>
        <w:bottom w:val="none" w:sz="0" w:space="0" w:color="auto"/>
        <w:right w:val="none" w:sz="0" w:space="0" w:color="auto"/>
      </w:divBdr>
    </w:div>
    <w:div w:id="1319847921">
      <w:bodyDiv w:val="1"/>
      <w:marLeft w:val="0"/>
      <w:marRight w:val="0"/>
      <w:marTop w:val="0"/>
      <w:marBottom w:val="0"/>
      <w:divBdr>
        <w:top w:val="none" w:sz="0" w:space="0" w:color="auto"/>
        <w:left w:val="none" w:sz="0" w:space="0" w:color="auto"/>
        <w:bottom w:val="none" w:sz="0" w:space="0" w:color="auto"/>
        <w:right w:val="none" w:sz="0" w:space="0" w:color="auto"/>
      </w:divBdr>
    </w:div>
    <w:div w:id="1319916809">
      <w:bodyDiv w:val="1"/>
      <w:marLeft w:val="0"/>
      <w:marRight w:val="0"/>
      <w:marTop w:val="0"/>
      <w:marBottom w:val="0"/>
      <w:divBdr>
        <w:top w:val="none" w:sz="0" w:space="0" w:color="auto"/>
        <w:left w:val="none" w:sz="0" w:space="0" w:color="auto"/>
        <w:bottom w:val="none" w:sz="0" w:space="0" w:color="auto"/>
        <w:right w:val="none" w:sz="0" w:space="0" w:color="auto"/>
      </w:divBdr>
    </w:div>
    <w:div w:id="1320502703">
      <w:bodyDiv w:val="1"/>
      <w:marLeft w:val="0"/>
      <w:marRight w:val="0"/>
      <w:marTop w:val="0"/>
      <w:marBottom w:val="0"/>
      <w:divBdr>
        <w:top w:val="none" w:sz="0" w:space="0" w:color="auto"/>
        <w:left w:val="none" w:sz="0" w:space="0" w:color="auto"/>
        <w:bottom w:val="none" w:sz="0" w:space="0" w:color="auto"/>
        <w:right w:val="none" w:sz="0" w:space="0" w:color="auto"/>
      </w:divBdr>
    </w:div>
    <w:div w:id="1320891573">
      <w:bodyDiv w:val="1"/>
      <w:marLeft w:val="0"/>
      <w:marRight w:val="0"/>
      <w:marTop w:val="0"/>
      <w:marBottom w:val="0"/>
      <w:divBdr>
        <w:top w:val="none" w:sz="0" w:space="0" w:color="auto"/>
        <w:left w:val="none" w:sz="0" w:space="0" w:color="auto"/>
        <w:bottom w:val="none" w:sz="0" w:space="0" w:color="auto"/>
        <w:right w:val="none" w:sz="0" w:space="0" w:color="auto"/>
      </w:divBdr>
    </w:div>
    <w:div w:id="1321084387">
      <w:bodyDiv w:val="1"/>
      <w:marLeft w:val="0"/>
      <w:marRight w:val="0"/>
      <w:marTop w:val="0"/>
      <w:marBottom w:val="0"/>
      <w:divBdr>
        <w:top w:val="none" w:sz="0" w:space="0" w:color="auto"/>
        <w:left w:val="none" w:sz="0" w:space="0" w:color="auto"/>
        <w:bottom w:val="none" w:sz="0" w:space="0" w:color="auto"/>
        <w:right w:val="none" w:sz="0" w:space="0" w:color="auto"/>
      </w:divBdr>
    </w:div>
    <w:div w:id="1322152523">
      <w:bodyDiv w:val="1"/>
      <w:marLeft w:val="0"/>
      <w:marRight w:val="0"/>
      <w:marTop w:val="0"/>
      <w:marBottom w:val="0"/>
      <w:divBdr>
        <w:top w:val="none" w:sz="0" w:space="0" w:color="auto"/>
        <w:left w:val="none" w:sz="0" w:space="0" w:color="auto"/>
        <w:bottom w:val="none" w:sz="0" w:space="0" w:color="auto"/>
        <w:right w:val="none" w:sz="0" w:space="0" w:color="auto"/>
      </w:divBdr>
    </w:div>
    <w:div w:id="1322393578">
      <w:bodyDiv w:val="1"/>
      <w:marLeft w:val="0"/>
      <w:marRight w:val="0"/>
      <w:marTop w:val="0"/>
      <w:marBottom w:val="0"/>
      <w:divBdr>
        <w:top w:val="none" w:sz="0" w:space="0" w:color="auto"/>
        <w:left w:val="none" w:sz="0" w:space="0" w:color="auto"/>
        <w:bottom w:val="none" w:sz="0" w:space="0" w:color="auto"/>
        <w:right w:val="none" w:sz="0" w:space="0" w:color="auto"/>
      </w:divBdr>
    </w:div>
    <w:div w:id="1322662947">
      <w:bodyDiv w:val="1"/>
      <w:marLeft w:val="0"/>
      <w:marRight w:val="0"/>
      <w:marTop w:val="0"/>
      <w:marBottom w:val="0"/>
      <w:divBdr>
        <w:top w:val="none" w:sz="0" w:space="0" w:color="auto"/>
        <w:left w:val="none" w:sz="0" w:space="0" w:color="auto"/>
        <w:bottom w:val="none" w:sz="0" w:space="0" w:color="auto"/>
        <w:right w:val="none" w:sz="0" w:space="0" w:color="auto"/>
      </w:divBdr>
    </w:div>
    <w:div w:id="1323195700">
      <w:bodyDiv w:val="1"/>
      <w:marLeft w:val="0"/>
      <w:marRight w:val="0"/>
      <w:marTop w:val="0"/>
      <w:marBottom w:val="0"/>
      <w:divBdr>
        <w:top w:val="none" w:sz="0" w:space="0" w:color="auto"/>
        <w:left w:val="none" w:sz="0" w:space="0" w:color="auto"/>
        <w:bottom w:val="none" w:sz="0" w:space="0" w:color="auto"/>
        <w:right w:val="none" w:sz="0" w:space="0" w:color="auto"/>
      </w:divBdr>
    </w:div>
    <w:div w:id="1324316867">
      <w:bodyDiv w:val="1"/>
      <w:marLeft w:val="0"/>
      <w:marRight w:val="0"/>
      <w:marTop w:val="0"/>
      <w:marBottom w:val="0"/>
      <w:divBdr>
        <w:top w:val="none" w:sz="0" w:space="0" w:color="auto"/>
        <w:left w:val="none" w:sz="0" w:space="0" w:color="auto"/>
        <w:bottom w:val="none" w:sz="0" w:space="0" w:color="auto"/>
        <w:right w:val="none" w:sz="0" w:space="0" w:color="auto"/>
      </w:divBdr>
    </w:div>
    <w:div w:id="1324358677">
      <w:bodyDiv w:val="1"/>
      <w:marLeft w:val="0"/>
      <w:marRight w:val="0"/>
      <w:marTop w:val="0"/>
      <w:marBottom w:val="0"/>
      <w:divBdr>
        <w:top w:val="none" w:sz="0" w:space="0" w:color="auto"/>
        <w:left w:val="none" w:sz="0" w:space="0" w:color="auto"/>
        <w:bottom w:val="none" w:sz="0" w:space="0" w:color="auto"/>
        <w:right w:val="none" w:sz="0" w:space="0" w:color="auto"/>
      </w:divBdr>
    </w:div>
    <w:div w:id="1324427703">
      <w:bodyDiv w:val="1"/>
      <w:marLeft w:val="0"/>
      <w:marRight w:val="0"/>
      <w:marTop w:val="0"/>
      <w:marBottom w:val="0"/>
      <w:divBdr>
        <w:top w:val="none" w:sz="0" w:space="0" w:color="auto"/>
        <w:left w:val="none" w:sz="0" w:space="0" w:color="auto"/>
        <w:bottom w:val="none" w:sz="0" w:space="0" w:color="auto"/>
        <w:right w:val="none" w:sz="0" w:space="0" w:color="auto"/>
      </w:divBdr>
    </w:div>
    <w:div w:id="1325284339">
      <w:bodyDiv w:val="1"/>
      <w:marLeft w:val="0"/>
      <w:marRight w:val="0"/>
      <w:marTop w:val="0"/>
      <w:marBottom w:val="0"/>
      <w:divBdr>
        <w:top w:val="none" w:sz="0" w:space="0" w:color="auto"/>
        <w:left w:val="none" w:sz="0" w:space="0" w:color="auto"/>
        <w:bottom w:val="none" w:sz="0" w:space="0" w:color="auto"/>
        <w:right w:val="none" w:sz="0" w:space="0" w:color="auto"/>
      </w:divBdr>
    </w:div>
    <w:div w:id="1325428294">
      <w:bodyDiv w:val="1"/>
      <w:marLeft w:val="0"/>
      <w:marRight w:val="0"/>
      <w:marTop w:val="0"/>
      <w:marBottom w:val="0"/>
      <w:divBdr>
        <w:top w:val="none" w:sz="0" w:space="0" w:color="auto"/>
        <w:left w:val="none" w:sz="0" w:space="0" w:color="auto"/>
        <w:bottom w:val="none" w:sz="0" w:space="0" w:color="auto"/>
        <w:right w:val="none" w:sz="0" w:space="0" w:color="auto"/>
      </w:divBdr>
    </w:div>
    <w:div w:id="1326319071">
      <w:bodyDiv w:val="1"/>
      <w:marLeft w:val="0"/>
      <w:marRight w:val="0"/>
      <w:marTop w:val="0"/>
      <w:marBottom w:val="0"/>
      <w:divBdr>
        <w:top w:val="none" w:sz="0" w:space="0" w:color="auto"/>
        <w:left w:val="none" w:sz="0" w:space="0" w:color="auto"/>
        <w:bottom w:val="none" w:sz="0" w:space="0" w:color="auto"/>
        <w:right w:val="none" w:sz="0" w:space="0" w:color="auto"/>
      </w:divBdr>
    </w:div>
    <w:div w:id="1326323276">
      <w:bodyDiv w:val="1"/>
      <w:marLeft w:val="0"/>
      <w:marRight w:val="0"/>
      <w:marTop w:val="0"/>
      <w:marBottom w:val="0"/>
      <w:divBdr>
        <w:top w:val="none" w:sz="0" w:space="0" w:color="auto"/>
        <w:left w:val="none" w:sz="0" w:space="0" w:color="auto"/>
        <w:bottom w:val="none" w:sz="0" w:space="0" w:color="auto"/>
        <w:right w:val="none" w:sz="0" w:space="0" w:color="auto"/>
      </w:divBdr>
    </w:div>
    <w:div w:id="1326473303">
      <w:bodyDiv w:val="1"/>
      <w:marLeft w:val="0"/>
      <w:marRight w:val="0"/>
      <w:marTop w:val="0"/>
      <w:marBottom w:val="0"/>
      <w:divBdr>
        <w:top w:val="none" w:sz="0" w:space="0" w:color="auto"/>
        <w:left w:val="none" w:sz="0" w:space="0" w:color="auto"/>
        <w:bottom w:val="none" w:sz="0" w:space="0" w:color="auto"/>
        <w:right w:val="none" w:sz="0" w:space="0" w:color="auto"/>
      </w:divBdr>
    </w:div>
    <w:div w:id="1326782882">
      <w:bodyDiv w:val="1"/>
      <w:marLeft w:val="0"/>
      <w:marRight w:val="0"/>
      <w:marTop w:val="0"/>
      <w:marBottom w:val="0"/>
      <w:divBdr>
        <w:top w:val="none" w:sz="0" w:space="0" w:color="auto"/>
        <w:left w:val="none" w:sz="0" w:space="0" w:color="auto"/>
        <w:bottom w:val="none" w:sz="0" w:space="0" w:color="auto"/>
        <w:right w:val="none" w:sz="0" w:space="0" w:color="auto"/>
      </w:divBdr>
    </w:div>
    <w:div w:id="1328440758">
      <w:bodyDiv w:val="1"/>
      <w:marLeft w:val="0"/>
      <w:marRight w:val="0"/>
      <w:marTop w:val="0"/>
      <w:marBottom w:val="0"/>
      <w:divBdr>
        <w:top w:val="none" w:sz="0" w:space="0" w:color="auto"/>
        <w:left w:val="none" w:sz="0" w:space="0" w:color="auto"/>
        <w:bottom w:val="none" w:sz="0" w:space="0" w:color="auto"/>
        <w:right w:val="none" w:sz="0" w:space="0" w:color="auto"/>
      </w:divBdr>
    </w:div>
    <w:div w:id="1328902963">
      <w:bodyDiv w:val="1"/>
      <w:marLeft w:val="0"/>
      <w:marRight w:val="0"/>
      <w:marTop w:val="0"/>
      <w:marBottom w:val="0"/>
      <w:divBdr>
        <w:top w:val="none" w:sz="0" w:space="0" w:color="auto"/>
        <w:left w:val="none" w:sz="0" w:space="0" w:color="auto"/>
        <w:bottom w:val="none" w:sz="0" w:space="0" w:color="auto"/>
        <w:right w:val="none" w:sz="0" w:space="0" w:color="auto"/>
      </w:divBdr>
    </w:div>
    <w:div w:id="1329167238">
      <w:bodyDiv w:val="1"/>
      <w:marLeft w:val="0"/>
      <w:marRight w:val="0"/>
      <w:marTop w:val="0"/>
      <w:marBottom w:val="0"/>
      <w:divBdr>
        <w:top w:val="none" w:sz="0" w:space="0" w:color="auto"/>
        <w:left w:val="none" w:sz="0" w:space="0" w:color="auto"/>
        <w:bottom w:val="none" w:sz="0" w:space="0" w:color="auto"/>
        <w:right w:val="none" w:sz="0" w:space="0" w:color="auto"/>
      </w:divBdr>
    </w:div>
    <w:div w:id="1329167443">
      <w:bodyDiv w:val="1"/>
      <w:marLeft w:val="0"/>
      <w:marRight w:val="0"/>
      <w:marTop w:val="0"/>
      <w:marBottom w:val="0"/>
      <w:divBdr>
        <w:top w:val="none" w:sz="0" w:space="0" w:color="auto"/>
        <w:left w:val="none" w:sz="0" w:space="0" w:color="auto"/>
        <w:bottom w:val="none" w:sz="0" w:space="0" w:color="auto"/>
        <w:right w:val="none" w:sz="0" w:space="0" w:color="auto"/>
      </w:divBdr>
    </w:div>
    <w:div w:id="1329167615">
      <w:bodyDiv w:val="1"/>
      <w:marLeft w:val="0"/>
      <w:marRight w:val="0"/>
      <w:marTop w:val="0"/>
      <w:marBottom w:val="0"/>
      <w:divBdr>
        <w:top w:val="none" w:sz="0" w:space="0" w:color="auto"/>
        <w:left w:val="none" w:sz="0" w:space="0" w:color="auto"/>
        <w:bottom w:val="none" w:sz="0" w:space="0" w:color="auto"/>
        <w:right w:val="none" w:sz="0" w:space="0" w:color="auto"/>
      </w:divBdr>
    </w:div>
    <w:div w:id="1329752768">
      <w:bodyDiv w:val="1"/>
      <w:marLeft w:val="0"/>
      <w:marRight w:val="0"/>
      <w:marTop w:val="0"/>
      <w:marBottom w:val="0"/>
      <w:divBdr>
        <w:top w:val="none" w:sz="0" w:space="0" w:color="auto"/>
        <w:left w:val="none" w:sz="0" w:space="0" w:color="auto"/>
        <w:bottom w:val="none" w:sz="0" w:space="0" w:color="auto"/>
        <w:right w:val="none" w:sz="0" w:space="0" w:color="auto"/>
      </w:divBdr>
    </w:div>
    <w:div w:id="1329753988">
      <w:bodyDiv w:val="1"/>
      <w:marLeft w:val="0"/>
      <w:marRight w:val="0"/>
      <w:marTop w:val="0"/>
      <w:marBottom w:val="0"/>
      <w:divBdr>
        <w:top w:val="none" w:sz="0" w:space="0" w:color="auto"/>
        <w:left w:val="none" w:sz="0" w:space="0" w:color="auto"/>
        <w:bottom w:val="none" w:sz="0" w:space="0" w:color="auto"/>
        <w:right w:val="none" w:sz="0" w:space="0" w:color="auto"/>
      </w:divBdr>
    </w:div>
    <w:div w:id="1330138020">
      <w:bodyDiv w:val="1"/>
      <w:marLeft w:val="0"/>
      <w:marRight w:val="0"/>
      <w:marTop w:val="0"/>
      <w:marBottom w:val="0"/>
      <w:divBdr>
        <w:top w:val="none" w:sz="0" w:space="0" w:color="auto"/>
        <w:left w:val="none" w:sz="0" w:space="0" w:color="auto"/>
        <w:bottom w:val="none" w:sz="0" w:space="0" w:color="auto"/>
        <w:right w:val="none" w:sz="0" w:space="0" w:color="auto"/>
      </w:divBdr>
    </w:div>
    <w:div w:id="1330675172">
      <w:bodyDiv w:val="1"/>
      <w:marLeft w:val="0"/>
      <w:marRight w:val="0"/>
      <w:marTop w:val="0"/>
      <w:marBottom w:val="0"/>
      <w:divBdr>
        <w:top w:val="none" w:sz="0" w:space="0" w:color="auto"/>
        <w:left w:val="none" w:sz="0" w:space="0" w:color="auto"/>
        <w:bottom w:val="none" w:sz="0" w:space="0" w:color="auto"/>
        <w:right w:val="none" w:sz="0" w:space="0" w:color="auto"/>
      </w:divBdr>
    </w:div>
    <w:div w:id="1330714091">
      <w:bodyDiv w:val="1"/>
      <w:marLeft w:val="0"/>
      <w:marRight w:val="0"/>
      <w:marTop w:val="0"/>
      <w:marBottom w:val="0"/>
      <w:divBdr>
        <w:top w:val="none" w:sz="0" w:space="0" w:color="auto"/>
        <w:left w:val="none" w:sz="0" w:space="0" w:color="auto"/>
        <w:bottom w:val="none" w:sz="0" w:space="0" w:color="auto"/>
        <w:right w:val="none" w:sz="0" w:space="0" w:color="auto"/>
      </w:divBdr>
      <w:divsChild>
        <w:div w:id="275064420">
          <w:marLeft w:val="0"/>
          <w:marRight w:val="0"/>
          <w:marTop w:val="0"/>
          <w:marBottom w:val="0"/>
          <w:divBdr>
            <w:top w:val="none" w:sz="0" w:space="0" w:color="auto"/>
            <w:left w:val="none" w:sz="0" w:space="0" w:color="auto"/>
            <w:bottom w:val="none" w:sz="0" w:space="0" w:color="auto"/>
            <w:right w:val="none" w:sz="0" w:space="0" w:color="auto"/>
          </w:divBdr>
          <w:divsChild>
            <w:div w:id="193619619">
              <w:marLeft w:val="0"/>
              <w:marRight w:val="0"/>
              <w:marTop w:val="0"/>
              <w:marBottom w:val="0"/>
              <w:divBdr>
                <w:top w:val="none" w:sz="0" w:space="0" w:color="auto"/>
                <w:left w:val="none" w:sz="0" w:space="0" w:color="auto"/>
                <w:bottom w:val="none" w:sz="0" w:space="0" w:color="auto"/>
                <w:right w:val="none" w:sz="0" w:space="0" w:color="auto"/>
              </w:divBdr>
            </w:div>
          </w:divsChild>
        </w:div>
        <w:div w:id="825709968">
          <w:marLeft w:val="0"/>
          <w:marRight w:val="0"/>
          <w:marTop w:val="0"/>
          <w:marBottom w:val="0"/>
          <w:divBdr>
            <w:top w:val="none" w:sz="0" w:space="0" w:color="auto"/>
            <w:left w:val="none" w:sz="0" w:space="0" w:color="auto"/>
            <w:bottom w:val="none" w:sz="0" w:space="0" w:color="auto"/>
            <w:right w:val="none" w:sz="0" w:space="0" w:color="auto"/>
          </w:divBdr>
          <w:divsChild>
            <w:div w:id="1939866555">
              <w:marLeft w:val="0"/>
              <w:marRight w:val="0"/>
              <w:marTop w:val="0"/>
              <w:marBottom w:val="0"/>
              <w:divBdr>
                <w:top w:val="none" w:sz="0" w:space="0" w:color="auto"/>
                <w:left w:val="none" w:sz="0" w:space="0" w:color="auto"/>
                <w:bottom w:val="none" w:sz="0" w:space="0" w:color="auto"/>
                <w:right w:val="none" w:sz="0" w:space="0" w:color="auto"/>
              </w:divBdr>
            </w:div>
          </w:divsChild>
        </w:div>
        <w:div w:id="1673601863">
          <w:marLeft w:val="0"/>
          <w:marRight w:val="0"/>
          <w:marTop w:val="0"/>
          <w:marBottom w:val="0"/>
          <w:divBdr>
            <w:top w:val="none" w:sz="0" w:space="0" w:color="auto"/>
            <w:left w:val="none" w:sz="0" w:space="0" w:color="auto"/>
            <w:bottom w:val="none" w:sz="0" w:space="0" w:color="auto"/>
            <w:right w:val="none" w:sz="0" w:space="0" w:color="auto"/>
          </w:divBdr>
          <w:divsChild>
            <w:div w:id="10403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5215">
      <w:bodyDiv w:val="1"/>
      <w:marLeft w:val="0"/>
      <w:marRight w:val="0"/>
      <w:marTop w:val="0"/>
      <w:marBottom w:val="0"/>
      <w:divBdr>
        <w:top w:val="none" w:sz="0" w:space="0" w:color="auto"/>
        <w:left w:val="none" w:sz="0" w:space="0" w:color="auto"/>
        <w:bottom w:val="none" w:sz="0" w:space="0" w:color="auto"/>
        <w:right w:val="none" w:sz="0" w:space="0" w:color="auto"/>
      </w:divBdr>
    </w:div>
    <w:div w:id="1330987041">
      <w:bodyDiv w:val="1"/>
      <w:marLeft w:val="0"/>
      <w:marRight w:val="0"/>
      <w:marTop w:val="0"/>
      <w:marBottom w:val="0"/>
      <w:divBdr>
        <w:top w:val="none" w:sz="0" w:space="0" w:color="auto"/>
        <w:left w:val="none" w:sz="0" w:space="0" w:color="auto"/>
        <w:bottom w:val="none" w:sz="0" w:space="0" w:color="auto"/>
        <w:right w:val="none" w:sz="0" w:space="0" w:color="auto"/>
      </w:divBdr>
    </w:div>
    <w:div w:id="1331181314">
      <w:bodyDiv w:val="1"/>
      <w:marLeft w:val="0"/>
      <w:marRight w:val="0"/>
      <w:marTop w:val="0"/>
      <w:marBottom w:val="0"/>
      <w:divBdr>
        <w:top w:val="none" w:sz="0" w:space="0" w:color="auto"/>
        <w:left w:val="none" w:sz="0" w:space="0" w:color="auto"/>
        <w:bottom w:val="none" w:sz="0" w:space="0" w:color="auto"/>
        <w:right w:val="none" w:sz="0" w:space="0" w:color="auto"/>
      </w:divBdr>
    </w:div>
    <w:div w:id="1331639243">
      <w:bodyDiv w:val="1"/>
      <w:marLeft w:val="0"/>
      <w:marRight w:val="0"/>
      <w:marTop w:val="0"/>
      <w:marBottom w:val="0"/>
      <w:divBdr>
        <w:top w:val="none" w:sz="0" w:space="0" w:color="auto"/>
        <w:left w:val="none" w:sz="0" w:space="0" w:color="auto"/>
        <w:bottom w:val="none" w:sz="0" w:space="0" w:color="auto"/>
        <w:right w:val="none" w:sz="0" w:space="0" w:color="auto"/>
      </w:divBdr>
    </w:div>
    <w:div w:id="1332102660">
      <w:bodyDiv w:val="1"/>
      <w:marLeft w:val="0"/>
      <w:marRight w:val="0"/>
      <w:marTop w:val="0"/>
      <w:marBottom w:val="0"/>
      <w:divBdr>
        <w:top w:val="none" w:sz="0" w:space="0" w:color="auto"/>
        <w:left w:val="none" w:sz="0" w:space="0" w:color="auto"/>
        <w:bottom w:val="none" w:sz="0" w:space="0" w:color="auto"/>
        <w:right w:val="none" w:sz="0" w:space="0" w:color="auto"/>
      </w:divBdr>
    </w:div>
    <w:div w:id="1332295210">
      <w:bodyDiv w:val="1"/>
      <w:marLeft w:val="0"/>
      <w:marRight w:val="0"/>
      <w:marTop w:val="0"/>
      <w:marBottom w:val="0"/>
      <w:divBdr>
        <w:top w:val="none" w:sz="0" w:space="0" w:color="auto"/>
        <w:left w:val="none" w:sz="0" w:space="0" w:color="auto"/>
        <w:bottom w:val="none" w:sz="0" w:space="0" w:color="auto"/>
        <w:right w:val="none" w:sz="0" w:space="0" w:color="auto"/>
      </w:divBdr>
    </w:div>
    <w:div w:id="1332679803">
      <w:bodyDiv w:val="1"/>
      <w:marLeft w:val="0"/>
      <w:marRight w:val="0"/>
      <w:marTop w:val="0"/>
      <w:marBottom w:val="0"/>
      <w:divBdr>
        <w:top w:val="none" w:sz="0" w:space="0" w:color="auto"/>
        <w:left w:val="none" w:sz="0" w:space="0" w:color="auto"/>
        <w:bottom w:val="none" w:sz="0" w:space="0" w:color="auto"/>
        <w:right w:val="none" w:sz="0" w:space="0" w:color="auto"/>
      </w:divBdr>
    </w:div>
    <w:div w:id="1333218708">
      <w:bodyDiv w:val="1"/>
      <w:marLeft w:val="0"/>
      <w:marRight w:val="0"/>
      <w:marTop w:val="0"/>
      <w:marBottom w:val="0"/>
      <w:divBdr>
        <w:top w:val="none" w:sz="0" w:space="0" w:color="auto"/>
        <w:left w:val="none" w:sz="0" w:space="0" w:color="auto"/>
        <w:bottom w:val="none" w:sz="0" w:space="0" w:color="auto"/>
        <w:right w:val="none" w:sz="0" w:space="0" w:color="auto"/>
      </w:divBdr>
    </w:div>
    <w:div w:id="1334335921">
      <w:bodyDiv w:val="1"/>
      <w:marLeft w:val="0"/>
      <w:marRight w:val="0"/>
      <w:marTop w:val="0"/>
      <w:marBottom w:val="0"/>
      <w:divBdr>
        <w:top w:val="none" w:sz="0" w:space="0" w:color="auto"/>
        <w:left w:val="none" w:sz="0" w:space="0" w:color="auto"/>
        <w:bottom w:val="none" w:sz="0" w:space="0" w:color="auto"/>
        <w:right w:val="none" w:sz="0" w:space="0" w:color="auto"/>
      </w:divBdr>
    </w:div>
    <w:div w:id="1334793463">
      <w:bodyDiv w:val="1"/>
      <w:marLeft w:val="0"/>
      <w:marRight w:val="0"/>
      <w:marTop w:val="0"/>
      <w:marBottom w:val="0"/>
      <w:divBdr>
        <w:top w:val="none" w:sz="0" w:space="0" w:color="auto"/>
        <w:left w:val="none" w:sz="0" w:space="0" w:color="auto"/>
        <w:bottom w:val="none" w:sz="0" w:space="0" w:color="auto"/>
        <w:right w:val="none" w:sz="0" w:space="0" w:color="auto"/>
      </w:divBdr>
    </w:div>
    <w:div w:id="1335693448">
      <w:bodyDiv w:val="1"/>
      <w:marLeft w:val="0"/>
      <w:marRight w:val="0"/>
      <w:marTop w:val="0"/>
      <w:marBottom w:val="0"/>
      <w:divBdr>
        <w:top w:val="none" w:sz="0" w:space="0" w:color="auto"/>
        <w:left w:val="none" w:sz="0" w:space="0" w:color="auto"/>
        <w:bottom w:val="none" w:sz="0" w:space="0" w:color="auto"/>
        <w:right w:val="none" w:sz="0" w:space="0" w:color="auto"/>
      </w:divBdr>
    </w:div>
    <w:div w:id="1338537412">
      <w:bodyDiv w:val="1"/>
      <w:marLeft w:val="0"/>
      <w:marRight w:val="0"/>
      <w:marTop w:val="0"/>
      <w:marBottom w:val="0"/>
      <w:divBdr>
        <w:top w:val="none" w:sz="0" w:space="0" w:color="auto"/>
        <w:left w:val="none" w:sz="0" w:space="0" w:color="auto"/>
        <w:bottom w:val="none" w:sz="0" w:space="0" w:color="auto"/>
        <w:right w:val="none" w:sz="0" w:space="0" w:color="auto"/>
      </w:divBdr>
    </w:div>
    <w:div w:id="1338655178">
      <w:bodyDiv w:val="1"/>
      <w:marLeft w:val="0"/>
      <w:marRight w:val="0"/>
      <w:marTop w:val="0"/>
      <w:marBottom w:val="0"/>
      <w:divBdr>
        <w:top w:val="none" w:sz="0" w:space="0" w:color="auto"/>
        <w:left w:val="none" w:sz="0" w:space="0" w:color="auto"/>
        <w:bottom w:val="none" w:sz="0" w:space="0" w:color="auto"/>
        <w:right w:val="none" w:sz="0" w:space="0" w:color="auto"/>
      </w:divBdr>
    </w:div>
    <w:div w:id="1338727406">
      <w:bodyDiv w:val="1"/>
      <w:marLeft w:val="0"/>
      <w:marRight w:val="0"/>
      <w:marTop w:val="0"/>
      <w:marBottom w:val="0"/>
      <w:divBdr>
        <w:top w:val="none" w:sz="0" w:space="0" w:color="auto"/>
        <w:left w:val="none" w:sz="0" w:space="0" w:color="auto"/>
        <w:bottom w:val="none" w:sz="0" w:space="0" w:color="auto"/>
        <w:right w:val="none" w:sz="0" w:space="0" w:color="auto"/>
      </w:divBdr>
    </w:div>
    <w:div w:id="1339653761">
      <w:bodyDiv w:val="1"/>
      <w:marLeft w:val="0"/>
      <w:marRight w:val="0"/>
      <w:marTop w:val="0"/>
      <w:marBottom w:val="0"/>
      <w:divBdr>
        <w:top w:val="none" w:sz="0" w:space="0" w:color="auto"/>
        <w:left w:val="none" w:sz="0" w:space="0" w:color="auto"/>
        <w:bottom w:val="none" w:sz="0" w:space="0" w:color="auto"/>
        <w:right w:val="none" w:sz="0" w:space="0" w:color="auto"/>
      </w:divBdr>
    </w:div>
    <w:div w:id="1340742800">
      <w:bodyDiv w:val="1"/>
      <w:marLeft w:val="0"/>
      <w:marRight w:val="0"/>
      <w:marTop w:val="0"/>
      <w:marBottom w:val="0"/>
      <w:divBdr>
        <w:top w:val="none" w:sz="0" w:space="0" w:color="auto"/>
        <w:left w:val="none" w:sz="0" w:space="0" w:color="auto"/>
        <w:bottom w:val="none" w:sz="0" w:space="0" w:color="auto"/>
        <w:right w:val="none" w:sz="0" w:space="0" w:color="auto"/>
      </w:divBdr>
    </w:div>
    <w:div w:id="1340961721">
      <w:bodyDiv w:val="1"/>
      <w:marLeft w:val="0"/>
      <w:marRight w:val="0"/>
      <w:marTop w:val="0"/>
      <w:marBottom w:val="0"/>
      <w:divBdr>
        <w:top w:val="none" w:sz="0" w:space="0" w:color="auto"/>
        <w:left w:val="none" w:sz="0" w:space="0" w:color="auto"/>
        <w:bottom w:val="none" w:sz="0" w:space="0" w:color="auto"/>
        <w:right w:val="none" w:sz="0" w:space="0" w:color="auto"/>
      </w:divBdr>
    </w:div>
    <w:div w:id="1341855797">
      <w:bodyDiv w:val="1"/>
      <w:marLeft w:val="0"/>
      <w:marRight w:val="0"/>
      <w:marTop w:val="0"/>
      <w:marBottom w:val="0"/>
      <w:divBdr>
        <w:top w:val="none" w:sz="0" w:space="0" w:color="auto"/>
        <w:left w:val="none" w:sz="0" w:space="0" w:color="auto"/>
        <w:bottom w:val="none" w:sz="0" w:space="0" w:color="auto"/>
        <w:right w:val="none" w:sz="0" w:space="0" w:color="auto"/>
      </w:divBdr>
    </w:div>
    <w:div w:id="1342202788">
      <w:bodyDiv w:val="1"/>
      <w:marLeft w:val="0"/>
      <w:marRight w:val="0"/>
      <w:marTop w:val="0"/>
      <w:marBottom w:val="0"/>
      <w:divBdr>
        <w:top w:val="none" w:sz="0" w:space="0" w:color="auto"/>
        <w:left w:val="none" w:sz="0" w:space="0" w:color="auto"/>
        <w:bottom w:val="none" w:sz="0" w:space="0" w:color="auto"/>
        <w:right w:val="none" w:sz="0" w:space="0" w:color="auto"/>
      </w:divBdr>
    </w:div>
    <w:div w:id="1342586558">
      <w:bodyDiv w:val="1"/>
      <w:marLeft w:val="0"/>
      <w:marRight w:val="0"/>
      <w:marTop w:val="0"/>
      <w:marBottom w:val="0"/>
      <w:divBdr>
        <w:top w:val="none" w:sz="0" w:space="0" w:color="auto"/>
        <w:left w:val="none" w:sz="0" w:space="0" w:color="auto"/>
        <w:bottom w:val="none" w:sz="0" w:space="0" w:color="auto"/>
        <w:right w:val="none" w:sz="0" w:space="0" w:color="auto"/>
      </w:divBdr>
    </w:div>
    <w:div w:id="1342851798">
      <w:bodyDiv w:val="1"/>
      <w:marLeft w:val="0"/>
      <w:marRight w:val="0"/>
      <w:marTop w:val="0"/>
      <w:marBottom w:val="0"/>
      <w:divBdr>
        <w:top w:val="none" w:sz="0" w:space="0" w:color="auto"/>
        <w:left w:val="none" w:sz="0" w:space="0" w:color="auto"/>
        <w:bottom w:val="none" w:sz="0" w:space="0" w:color="auto"/>
        <w:right w:val="none" w:sz="0" w:space="0" w:color="auto"/>
      </w:divBdr>
    </w:div>
    <w:div w:id="1342901936">
      <w:bodyDiv w:val="1"/>
      <w:marLeft w:val="0"/>
      <w:marRight w:val="0"/>
      <w:marTop w:val="0"/>
      <w:marBottom w:val="0"/>
      <w:divBdr>
        <w:top w:val="none" w:sz="0" w:space="0" w:color="auto"/>
        <w:left w:val="none" w:sz="0" w:space="0" w:color="auto"/>
        <w:bottom w:val="none" w:sz="0" w:space="0" w:color="auto"/>
        <w:right w:val="none" w:sz="0" w:space="0" w:color="auto"/>
      </w:divBdr>
    </w:div>
    <w:div w:id="1343817627">
      <w:bodyDiv w:val="1"/>
      <w:marLeft w:val="0"/>
      <w:marRight w:val="0"/>
      <w:marTop w:val="0"/>
      <w:marBottom w:val="0"/>
      <w:divBdr>
        <w:top w:val="none" w:sz="0" w:space="0" w:color="auto"/>
        <w:left w:val="none" w:sz="0" w:space="0" w:color="auto"/>
        <w:bottom w:val="none" w:sz="0" w:space="0" w:color="auto"/>
        <w:right w:val="none" w:sz="0" w:space="0" w:color="auto"/>
      </w:divBdr>
    </w:div>
    <w:div w:id="1344864290">
      <w:bodyDiv w:val="1"/>
      <w:marLeft w:val="0"/>
      <w:marRight w:val="0"/>
      <w:marTop w:val="0"/>
      <w:marBottom w:val="0"/>
      <w:divBdr>
        <w:top w:val="none" w:sz="0" w:space="0" w:color="auto"/>
        <w:left w:val="none" w:sz="0" w:space="0" w:color="auto"/>
        <w:bottom w:val="none" w:sz="0" w:space="0" w:color="auto"/>
        <w:right w:val="none" w:sz="0" w:space="0" w:color="auto"/>
      </w:divBdr>
    </w:div>
    <w:div w:id="1345940158">
      <w:bodyDiv w:val="1"/>
      <w:marLeft w:val="0"/>
      <w:marRight w:val="0"/>
      <w:marTop w:val="0"/>
      <w:marBottom w:val="0"/>
      <w:divBdr>
        <w:top w:val="none" w:sz="0" w:space="0" w:color="auto"/>
        <w:left w:val="none" w:sz="0" w:space="0" w:color="auto"/>
        <w:bottom w:val="none" w:sz="0" w:space="0" w:color="auto"/>
        <w:right w:val="none" w:sz="0" w:space="0" w:color="auto"/>
      </w:divBdr>
    </w:div>
    <w:div w:id="1347247997">
      <w:bodyDiv w:val="1"/>
      <w:marLeft w:val="0"/>
      <w:marRight w:val="0"/>
      <w:marTop w:val="0"/>
      <w:marBottom w:val="0"/>
      <w:divBdr>
        <w:top w:val="none" w:sz="0" w:space="0" w:color="auto"/>
        <w:left w:val="none" w:sz="0" w:space="0" w:color="auto"/>
        <w:bottom w:val="none" w:sz="0" w:space="0" w:color="auto"/>
        <w:right w:val="none" w:sz="0" w:space="0" w:color="auto"/>
      </w:divBdr>
    </w:div>
    <w:div w:id="1347294229">
      <w:bodyDiv w:val="1"/>
      <w:marLeft w:val="0"/>
      <w:marRight w:val="0"/>
      <w:marTop w:val="0"/>
      <w:marBottom w:val="0"/>
      <w:divBdr>
        <w:top w:val="none" w:sz="0" w:space="0" w:color="auto"/>
        <w:left w:val="none" w:sz="0" w:space="0" w:color="auto"/>
        <w:bottom w:val="none" w:sz="0" w:space="0" w:color="auto"/>
        <w:right w:val="none" w:sz="0" w:space="0" w:color="auto"/>
      </w:divBdr>
    </w:div>
    <w:div w:id="1347944568">
      <w:bodyDiv w:val="1"/>
      <w:marLeft w:val="0"/>
      <w:marRight w:val="0"/>
      <w:marTop w:val="0"/>
      <w:marBottom w:val="0"/>
      <w:divBdr>
        <w:top w:val="none" w:sz="0" w:space="0" w:color="auto"/>
        <w:left w:val="none" w:sz="0" w:space="0" w:color="auto"/>
        <w:bottom w:val="none" w:sz="0" w:space="0" w:color="auto"/>
        <w:right w:val="none" w:sz="0" w:space="0" w:color="auto"/>
      </w:divBdr>
    </w:div>
    <w:div w:id="1347948850">
      <w:bodyDiv w:val="1"/>
      <w:marLeft w:val="0"/>
      <w:marRight w:val="0"/>
      <w:marTop w:val="0"/>
      <w:marBottom w:val="0"/>
      <w:divBdr>
        <w:top w:val="none" w:sz="0" w:space="0" w:color="auto"/>
        <w:left w:val="none" w:sz="0" w:space="0" w:color="auto"/>
        <w:bottom w:val="none" w:sz="0" w:space="0" w:color="auto"/>
        <w:right w:val="none" w:sz="0" w:space="0" w:color="auto"/>
      </w:divBdr>
    </w:div>
    <w:div w:id="1348217739">
      <w:bodyDiv w:val="1"/>
      <w:marLeft w:val="0"/>
      <w:marRight w:val="0"/>
      <w:marTop w:val="0"/>
      <w:marBottom w:val="0"/>
      <w:divBdr>
        <w:top w:val="none" w:sz="0" w:space="0" w:color="auto"/>
        <w:left w:val="none" w:sz="0" w:space="0" w:color="auto"/>
        <w:bottom w:val="none" w:sz="0" w:space="0" w:color="auto"/>
        <w:right w:val="none" w:sz="0" w:space="0" w:color="auto"/>
      </w:divBdr>
    </w:div>
    <w:div w:id="1348361381">
      <w:bodyDiv w:val="1"/>
      <w:marLeft w:val="0"/>
      <w:marRight w:val="0"/>
      <w:marTop w:val="0"/>
      <w:marBottom w:val="0"/>
      <w:divBdr>
        <w:top w:val="none" w:sz="0" w:space="0" w:color="auto"/>
        <w:left w:val="none" w:sz="0" w:space="0" w:color="auto"/>
        <w:bottom w:val="none" w:sz="0" w:space="0" w:color="auto"/>
        <w:right w:val="none" w:sz="0" w:space="0" w:color="auto"/>
      </w:divBdr>
    </w:div>
    <w:div w:id="1348363893">
      <w:bodyDiv w:val="1"/>
      <w:marLeft w:val="0"/>
      <w:marRight w:val="0"/>
      <w:marTop w:val="0"/>
      <w:marBottom w:val="0"/>
      <w:divBdr>
        <w:top w:val="none" w:sz="0" w:space="0" w:color="auto"/>
        <w:left w:val="none" w:sz="0" w:space="0" w:color="auto"/>
        <w:bottom w:val="none" w:sz="0" w:space="0" w:color="auto"/>
        <w:right w:val="none" w:sz="0" w:space="0" w:color="auto"/>
      </w:divBdr>
    </w:div>
    <w:div w:id="1349676613">
      <w:bodyDiv w:val="1"/>
      <w:marLeft w:val="0"/>
      <w:marRight w:val="0"/>
      <w:marTop w:val="0"/>
      <w:marBottom w:val="0"/>
      <w:divBdr>
        <w:top w:val="none" w:sz="0" w:space="0" w:color="auto"/>
        <w:left w:val="none" w:sz="0" w:space="0" w:color="auto"/>
        <w:bottom w:val="none" w:sz="0" w:space="0" w:color="auto"/>
        <w:right w:val="none" w:sz="0" w:space="0" w:color="auto"/>
      </w:divBdr>
    </w:div>
    <w:div w:id="1349795129">
      <w:bodyDiv w:val="1"/>
      <w:marLeft w:val="0"/>
      <w:marRight w:val="0"/>
      <w:marTop w:val="0"/>
      <w:marBottom w:val="0"/>
      <w:divBdr>
        <w:top w:val="none" w:sz="0" w:space="0" w:color="auto"/>
        <w:left w:val="none" w:sz="0" w:space="0" w:color="auto"/>
        <w:bottom w:val="none" w:sz="0" w:space="0" w:color="auto"/>
        <w:right w:val="none" w:sz="0" w:space="0" w:color="auto"/>
      </w:divBdr>
    </w:div>
    <w:div w:id="1351957253">
      <w:bodyDiv w:val="1"/>
      <w:marLeft w:val="0"/>
      <w:marRight w:val="0"/>
      <w:marTop w:val="0"/>
      <w:marBottom w:val="0"/>
      <w:divBdr>
        <w:top w:val="none" w:sz="0" w:space="0" w:color="auto"/>
        <w:left w:val="none" w:sz="0" w:space="0" w:color="auto"/>
        <w:bottom w:val="none" w:sz="0" w:space="0" w:color="auto"/>
        <w:right w:val="none" w:sz="0" w:space="0" w:color="auto"/>
      </w:divBdr>
    </w:div>
    <w:div w:id="1352074121">
      <w:bodyDiv w:val="1"/>
      <w:marLeft w:val="0"/>
      <w:marRight w:val="0"/>
      <w:marTop w:val="0"/>
      <w:marBottom w:val="0"/>
      <w:divBdr>
        <w:top w:val="none" w:sz="0" w:space="0" w:color="auto"/>
        <w:left w:val="none" w:sz="0" w:space="0" w:color="auto"/>
        <w:bottom w:val="none" w:sz="0" w:space="0" w:color="auto"/>
        <w:right w:val="none" w:sz="0" w:space="0" w:color="auto"/>
      </w:divBdr>
    </w:div>
    <w:div w:id="1352486755">
      <w:bodyDiv w:val="1"/>
      <w:marLeft w:val="0"/>
      <w:marRight w:val="0"/>
      <w:marTop w:val="0"/>
      <w:marBottom w:val="0"/>
      <w:divBdr>
        <w:top w:val="none" w:sz="0" w:space="0" w:color="auto"/>
        <w:left w:val="none" w:sz="0" w:space="0" w:color="auto"/>
        <w:bottom w:val="none" w:sz="0" w:space="0" w:color="auto"/>
        <w:right w:val="none" w:sz="0" w:space="0" w:color="auto"/>
      </w:divBdr>
    </w:div>
    <w:div w:id="1352494469">
      <w:bodyDiv w:val="1"/>
      <w:marLeft w:val="0"/>
      <w:marRight w:val="0"/>
      <w:marTop w:val="0"/>
      <w:marBottom w:val="0"/>
      <w:divBdr>
        <w:top w:val="none" w:sz="0" w:space="0" w:color="auto"/>
        <w:left w:val="none" w:sz="0" w:space="0" w:color="auto"/>
        <w:bottom w:val="none" w:sz="0" w:space="0" w:color="auto"/>
        <w:right w:val="none" w:sz="0" w:space="0" w:color="auto"/>
      </w:divBdr>
    </w:div>
    <w:div w:id="1353141352">
      <w:bodyDiv w:val="1"/>
      <w:marLeft w:val="0"/>
      <w:marRight w:val="0"/>
      <w:marTop w:val="0"/>
      <w:marBottom w:val="0"/>
      <w:divBdr>
        <w:top w:val="none" w:sz="0" w:space="0" w:color="auto"/>
        <w:left w:val="none" w:sz="0" w:space="0" w:color="auto"/>
        <w:bottom w:val="none" w:sz="0" w:space="0" w:color="auto"/>
        <w:right w:val="none" w:sz="0" w:space="0" w:color="auto"/>
      </w:divBdr>
    </w:div>
    <w:div w:id="1353536391">
      <w:bodyDiv w:val="1"/>
      <w:marLeft w:val="0"/>
      <w:marRight w:val="0"/>
      <w:marTop w:val="0"/>
      <w:marBottom w:val="0"/>
      <w:divBdr>
        <w:top w:val="none" w:sz="0" w:space="0" w:color="auto"/>
        <w:left w:val="none" w:sz="0" w:space="0" w:color="auto"/>
        <w:bottom w:val="none" w:sz="0" w:space="0" w:color="auto"/>
        <w:right w:val="none" w:sz="0" w:space="0" w:color="auto"/>
      </w:divBdr>
    </w:div>
    <w:div w:id="1353652099">
      <w:bodyDiv w:val="1"/>
      <w:marLeft w:val="0"/>
      <w:marRight w:val="0"/>
      <w:marTop w:val="0"/>
      <w:marBottom w:val="0"/>
      <w:divBdr>
        <w:top w:val="none" w:sz="0" w:space="0" w:color="auto"/>
        <w:left w:val="none" w:sz="0" w:space="0" w:color="auto"/>
        <w:bottom w:val="none" w:sz="0" w:space="0" w:color="auto"/>
        <w:right w:val="none" w:sz="0" w:space="0" w:color="auto"/>
      </w:divBdr>
    </w:div>
    <w:div w:id="1354528405">
      <w:bodyDiv w:val="1"/>
      <w:marLeft w:val="0"/>
      <w:marRight w:val="0"/>
      <w:marTop w:val="0"/>
      <w:marBottom w:val="0"/>
      <w:divBdr>
        <w:top w:val="none" w:sz="0" w:space="0" w:color="auto"/>
        <w:left w:val="none" w:sz="0" w:space="0" w:color="auto"/>
        <w:bottom w:val="none" w:sz="0" w:space="0" w:color="auto"/>
        <w:right w:val="none" w:sz="0" w:space="0" w:color="auto"/>
      </w:divBdr>
    </w:div>
    <w:div w:id="1354764088">
      <w:bodyDiv w:val="1"/>
      <w:marLeft w:val="0"/>
      <w:marRight w:val="0"/>
      <w:marTop w:val="0"/>
      <w:marBottom w:val="0"/>
      <w:divBdr>
        <w:top w:val="none" w:sz="0" w:space="0" w:color="auto"/>
        <w:left w:val="none" w:sz="0" w:space="0" w:color="auto"/>
        <w:bottom w:val="none" w:sz="0" w:space="0" w:color="auto"/>
        <w:right w:val="none" w:sz="0" w:space="0" w:color="auto"/>
      </w:divBdr>
    </w:div>
    <w:div w:id="1354765789">
      <w:bodyDiv w:val="1"/>
      <w:marLeft w:val="0"/>
      <w:marRight w:val="0"/>
      <w:marTop w:val="0"/>
      <w:marBottom w:val="0"/>
      <w:divBdr>
        <w:top w:val="none" w:sz="0" w:space="0" w:color="auto"/>
        <w:left w:val="none" w:sz="0" w:space="0" w:color="auto"/>
        <w:bottom w:val="none" w:sz="0" w:space="0" w:color="auto"/>
        <w:right w:val="none" w:sz="0" w:space="0" w:color="auto"/>
      </w:divBdr>
    </w:div>
    <w:div w:id="1354838627">
      <w:bodyDiv w:val="1"/>
      <w:marLeft w:val="0"/>
      <w:marRight w:val="0"/>
      <w:marTop w:val="0"/>
      <w:marBottom w:val="0"/>
      <w:divBdr>
        <w:top w:val="none" w:sz="0" w:space="0" w:color="auto"/>
        <w:left w:val="none" w:sz="0" w:space="0" w:color="auto"/>
        <w:bottom w:val="none" w:sz="0" w:space="0" w:color="auto"/>
        <w:right w:val="none" w:sz="0" w:space="0" w:color="auto"/>
      </w:divBdr>
    </w:div>
    <w:div w:id="1355186105">
      <w:bodyDiv w:val="1"/>
      <w:marLeft w:val="0"/>
      <w:marRight w:val="0"/>
      <w:marTop w:val="0"/>
      <w:marBottom w:val="0"/>
      <w:divBdr>
        <w:top w:val="none" w:sz="0" w:space="0" w:color="auto"/>
        <w:left w:val="none" w:sz="0" w:space="0" w:color="auto"/>
        <w:bottom w:val="none" w:sz="0" w:space="0" w:color="auto"/>
        <w:right w:val="none" w:sz="0" w:space="0" w:color="auto"/>
      </w:divBdr>
    </w:div>
    <w:div w:id="1358193541">
      <w:bodyDiv w:val="1"/>
      <w:marLeft w:val="0"/>
      <w:marRight w:val="0"/>
      <w:marTop w:val="0"/>
      <w:marBottom w:val="0"/>
      <w:divBdr>
        <w:top w:val="none" w:sz="0" w:space="0" w:color="auto"/>
        <w:left w:val="none" w:sz="0" w:space="0" w:color="auto"/>
        <w:bottom w:val="none" w:sz="0" w:space="0" w:color="auto"/>
        <w:right w:val="none" w:sz="0" w:space="0" w:color="auto"/>
      </w:divBdr>
    </w:div>
    <w:div w:id="1358504399">
      <w:bodyDiv w:val="1"/>
      <w:marLeft w:val="0"/>
      <w:marRight w:val="0"/>
      <w:marTop w:val="0"/>
      <w:marBottom w:val="0"/>
      <w:divBdr>
        <w:top w:val="none" w:sz="0" w:space="0" w:color="auto"/>
        <w:left w:val="none" w:sz="0" w:space="0" w:color="auto"/>
        <w:bottom w:val="none" w:sz="0" w:space="0" w:color="auto"/>
        <w:right w:val="none" w:sz="0" w:space="0" w:color="auto"/>
      </w:divBdr>
    </w:div>
    <w:div w:id="1358582218">
      <w:bodyDiv w:val="1"/>
      <w:marLeft w:val="0"/>
      <w:marRight w:val="0"/>
      <w:marTop w:val="0"/>
      <w:marBottom w:val="0"/>
      <w:divBdr>
        <w:top w:val="none" w:sz="0" w:space="0" w:color="auto"/>
        <w:left w:val="none" w:sz="0" w:space="0" w:color="auto"/>
        <w:bottom w:val="none" w:sz="0" w:space="0" w:color="auto"/>
        <w:right w:val="none" w:sz="0" w:space="0" w:color="auto"/>
      </w:divBdr>
    </w:div>
    <w:div w:id="1358964626">
      <w:bodyDiv w:val="1"/>
      <w:marLeft w:val="0"/>
      <w:marRight w:val="0"/>
      <w:marTop w:val="0"/>
      <w:marBottom w:val="0"/>
      <w:divBdr>
        <w:top w:val="none" w:sz="0" w:space="0" w:color="auto"/>
        <w:left w:val="none" w:sz="0" w:space="0" w:color="auto"/>
        <w:bottom w:val="none" w:sz="0" w:space="0" w:color="auto"/>
        <w:right w:val="none" w:sz="0" w:space="0" w:color="auto"/>
      </w:divBdr>
    </w:div>
    <w:div w:id="1359089152">
      <w:bodyDiv w:val="1"/>
      <w:marLeft w:val="0"/>
      <w:marRight w:val="0"/>
      <w:marTop w:val="0"/>
      <w:marBottom w:val="0"/>
      <w:divBdr>
        <w:top w:val="none" w:sz="0" w:space="0" w:color="auto"/>
        <w:left w:val="none" w:sz="0" w:space="0" w:color="auto"/>
        <w:bottom w:val="none" w:sz="0" w:space="0" w:color="auto"/>
        <w:right w:val="none" w:sz="0" w:space="0" w:color="auto"/>
      </w:divBdr>
    </w:div>
    <w:div w:id="1360206788">
      <w:bodyDiv w:val="1"/>
      <w:marLeft w:val="0"/>
      <w:marRight w:val="0"/>
      <w:marTop w:val="0"/>
      <w:marBottom w:val="0"/>
      <w:divBdr>
        <w:top w:val="none" w:sz="0" w:space="0" w:color="auto"/>
        <w:left w:val="none" w:sz="0" w:space="0" w:color="auto"/>
        <w:bottom w:val="none" w:sz="0" w:space="0" w:color="auto"/>
        <w:right w:val="none" w:sz="0" w:space="0" w:color="auto"/>
      </w:divBdr>
    </w:div>
    <w:div w:id="1360351714">
      <w:bodyDiv w:val="1"/>
      <w:marLeft w:val="0"/>
      <w:marRight w:val="0"/>
      <w:marTop w:val="0"/>
      <w:marBottom w:val="0"/>
      <w:divBdr>
        <w:top w:val="none" w:sz="0" w:space="0" w:color="auto"/>
        <w:left w:val="none" w:sz="0" w:space="0" w:color="auto"/>
        <w:bottom w:val="none" w:sz="0" w:space="0" w:color="auto"/>
        <w:right w:val="none" w:sz="0" w:space="0" w:color="auto"/>
      </w:divBdr>
    </w:div>
    <w:div w:id="1361735704">
      <w:bodyDiv w:val="1"/>
      <w:marLeft w:val="0"/>
      <w:marRight w:val="0"/>
      <w:marTop w:val="0"/>
      <w:marBottom w:val="0"/>
      <w:divBdr>
        <w:top w:val="none" w:sz="0" w:space="0" w:color="auto"/>
        <w:left w:val="none" w:sz="0" w:space="0" w:color="auto"/>
        <w:bottom w:val="none" w:sz="0" w:space="0" w:color="auto"/>
        <w:right w:val="none" w:sz="0" w:space="0" w:color="auto"/>
      </w:divBdr>
    </w:div>
    <w:div w:id="1362167693">
      <w:bodyDiv w:val="1"/>
      <w:marLeft w:val="0"/>
      <w:marRight w:val="0"/>
      <w:marTop w:val="0"/>
      <w:marBottom w:val="0"/>
      <w:divBdr>
        <w:top w:val="none" w:sz="0" w:space="0" w:color="auto"/>
        <w:left w:val="none" w:sz="0" w:space="0" w:color="auto"/>
        <w:bottom w:val="none" w:sz="0" w:space="0" w:color="auto"/>
        <w:right w:val="none" w:sz="0" w:space="0" w:color="auto"/>
      </w:divBdr>
    </w:div>
    <w:div w:id="1362709915">
      <w:bodyDiv w:val="1"/>
      <w:marLeft w:val="0"/>
      <w:marRight w:val="0"/>
      <w:marTop w:val="0"/>
      <w:marBottom w:val="0"/>
      <w:divBdr>
        <w:top w:val="none" w:sz="0" w:space="0" w:color="auto"/>
        <w:left w:val="none" w:sz="0" w:space="0" w:color="auto"/>
        <w:bottom w:val="none" w:sz="0" w:space="0" w:color="auto"/>
        <w:right w:val="none" w:sz="0" w:space="0" w:color="auto"/>
      </w:divBdr>
    </w:div>
    <w:div w:id="1362826948">
      <w:bodyDiv w:val="1"/>
      <w:marLeft w:val="0"/>
      <w:marRight w:val="0"/>
      <w:marTop w:val="0"/>
      <w:marBottom w:val="0"/>
      <w:divBdr>
        <w:top w:val="none" w:sz="0" w:space="0" w:color="auto"/>
        <w:left w:val="none" w:sz="0" w:space="0" w:color="auto"/>
        <w:bottom w:val="none" w:sz="0" w:space="0" w:color="auto"/>
        <w:right w:val="none" w:sz="0" w:space="0" w:color="auto"/>
      </w:divBdr>
    </w:div>
    <w:div w:id="1363238942">
      <w:bodyDiv w:val="1"/>
      <w:marLeft w:val="0"/>
      <w:marRight w:val="0"/>
      <w:marTop w:val="0"/>
      <w:marBottom w:val="0"/>
      <w:divBdr>
        <w:top w:val="none" w:sz="0" w:space="0" w:color="auto"/>
        <w:left w:val="none" w:sz="0" w:space="0" w:color="auto"/>
        <w:bottom w:val="none" w:sz="0" w:space="0" w:color="auto"/>
        <w:right w:val="none" w:sz="0" w:space="0" w:color="auto"/>
      </w:divBdr>
    </w:div>
    <w:div w:id="1363289953">
      <w:bodyDiv w:val="1"/>
      <w:marLeft w:val="0"/>
      <w:marRight w:val="0"/>
      <w:marTop w:val="0"/>
      <w:marBottom w:val="0"/>
      <w:divBdr>
        <w:top w:val="none" w:sz="0" w:space="0" w:color="auto"/>
        <w:left w:val="none" w:sz="0" w:space="0" w:color="auto"/>
        <w:bottom w:val="none" w:sz="0" w:space="0" w:color="auto"/>
        <w:right w:val="none" w:sz="0" w:space="0" w:color="auto"/>
      </w:divBdr>
    </w:div>
    <w:div w:id="1363432875">
      <w:bodyDiv w:val="1"/>
      <w:marLeft w:val="0"/>
      <w:marRight w:val="0"/>
      <w:marTop w:val="0"/>
      <w:marBottom w:val="0"/>
      <w:divBdr>
        <w:top w:val="none" w:sz="0" w:space="0" w:color="auto"/>
        <w:left w:val="none" w:sz="0" w:space="0" w:color="auto"/>
        <w:bottom w:val="none" w:sz="0" w:space="0" w:color="auto"/>
        <w:right w:val="none" w:sz="0" w:space="0" w:color="auto"/>
      </w:divBdr>
    </w:div>
    <w:div w:id="1363937256">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364399831">
      <w:bodyDiv w:val="1"/>
      <w:marLeft w:val="0"/>
      <w:marRight w:val="0"/>
      <w:marTop w:val="0"/>
      <w:marBottom w:val="0"/>
      <w:divBdr>
        <w:top w:val="none" w:sz="0" w:space="0" w:color="auto"/>
        <w:left w:val="none" w:sz="0" w:space="0" w:color="auto"/>
        <w:bottom w:val="none" w:sz="0" w:space="0" w:color="auto"/>
        <w:right w:val="none" w:sz="0" w:space="0" w:color="auto"/>
      </w:divBdr>
    </w:div>
    <w:div w:id="1364940310">
      <w:bodyDiv w:val="1"/>
      <w:marLeft w:val="0"/>
      <w:marRight w:val="0"/>
      <w:marTop w:val="0"/>
      <w:marBottom w:val="0"/>
      <w:divBdr>
        <w:top w:val="none" w:sz="0" w:space="0" w:color="auto"/>
        <w:left w:val="none" w:sz="0" w:space="0" w:color="auto"/>
        <w:bottom w:val="none" w:sz="0" w:space="0" w:color="auto"/>
        <w:right w:val="none" w:sz="0" w:space="0" w:color="auto"/>
      </w:divBdr>
    </w:div>
    <w:div w:id="1366296082">
      <w:bodyDiv w:val="1"/>
      <w:marLeft w:val="0"/>
      <w:marRight w:val="0"/>
      <w:marTop w:val="0"/>
      <w:marBottom w:val="0"/>
      <w:divBdr>
        <w:top w:val="none" w:sz="0" w:space="0" w:color="auto"/>
        <w:left w:val="none" w:sz="0" w:space="0" w:color="auto"/>
        <w:bottom w:val="none" w:sz="0" w:space="0" w:color="auto"/>
        <w:right w:val="none" w:sz="0" w:space="0" w:color="auto"/>
      </w:divBdr>
    </w:div>
    <w:div w:id="1367633047">
      <w:bodyDiv w:val="1"/>
      <w:marLeft w:val="0"/>
      <w:marRight w:val="0"/>
      <w:marTop w:val="0"/>
      <w:marBottom w:val="0"/>
      <w:divBdr>
        <w:top w:val="none" w:sz="0" w:space="0" w:color="auto"/>
        <w:left w:val="none" w:sz="0" w:space="0" w:color="auto"/>
        <w:bottom w:val="none" w:sz="0" w:space="0" w:color="auto"/>
        <w:right w:val="none" w:sz="0" w:space="0" w:color="auto"/>
      </w:divBdr>
    </w:div>
    <w:div w:id="1367867939">
      <w:bodyDiv w:val="1"/>
      <w:marLeft w:val="0"/>
      <w:marRight w:val="0"/>
      <w:marTop w:val="0"/>
      <w:marBottom w:val="0"/>
      <w:divBdr>
        <w:top w:val="none" w:sz="0" w:space="0" w:color="auto"/>
        <w:left w:val="none" w:sz="0" w:space="0" w:color="auto"/>
        <w:bottom w:val="none" w:sz="0" w:space="0" w:color="auto"/>
        <w:right w:val="none" w:sz="0" w:space="0" w:color="auto"/>
      </w:divBdr>
    </w:div>
    <w:div w:id="1367951159">
      <w:bodyDiv w:val="1"/>
      <w:marLeft w:val="0"/>
      <w:marRight w:val="0"/>
      <w:marTop w:val="0"/>
      <w:marBottom w:val="0"/>
      <w:divBdr>
        <w:top w:val="none" w:sz="0" w:space="0" w:color="auto"/>
        <w:left w:val="none" w:sz="0" w:space="0" w:color="auto"/>
        <w:bottom w:val="none" w:sz="0" w:space="0" w:color="auto"/>
        <w:right w:val="none" w:sz="0" w:space="0" w:color="auto"/>
      </w:divBdr>
    </w:div>
    <w:div w:id="1369188146">
      <w:bodyDiv w:val="1"/>
      <w:marLeft w:val="0"/>
      <w:marRight w:val="0"/>
      <w:marTop w:val="0"/>
      <w:marBottom w:val="0"/>
      <w:divBdr>
        <w:top w:val="none" w:sz="0" w:space="0" w:color="auto"/>
        <w:left w:val="none" w:sz="0" w:space="0" w:color="auto"/>
        <w:bottom w:val="none" w:sz="0" w:space="0" w:color="auto"/>
        <w:right w:val="none" w:sz="0" w:space="0" w:color="auto"/>
      </w:divBdr>
    </w:div>
    <w:div w:id="1369336074">
      <w:bodyDiv w:val="1"/>
      <w:marLeft w:val="0"/>
      <w:marRight w:val="0"/>
      <w:marTop w:val="0"/>
      <w:marBottom w:val="0"/>
      <w:divBdr>
        <w:top w:val="none" w:sz="0" w:space="0" w:color="auto"/>
        <w:left w:val="none" w:sz="0" w:space="0" w:color="auto"/>
        <w:bottom w:val="none" w:sz="0" w:space="0" w:color="auto"/>
        <w:right w:val="none" w:sz="0" w:space="0" w:color="auto"/>
      </w:divBdr>
    </w:div>
    <w:div w:id="1369454883">
      <w:bodyDiv w:val="1"/>
      <w:marLeft w:val="0"/>
      <w:marRight w:val="0"/>
      <w:marTop w:val="0"/>
      <w:marBottom w:val="0"/>
      <w:divBdr>
        <w:top w:val="none" w:sz="0" w:space="0" w:color="auto"/>
        <w:left w:val="none" w:sz="0" w:space="0" w:color="auto"/>
        <w:bottom w:val="none" w:sz="0" w:space="0" w:color="auto"/>
        <w:right w:val="none" w:sz="0" w:space="0" w:color="auto"/>
      </w:divBdr>
    </w:div>
    <w:div w:id="1370760430">
      <w:bodyDiv w:val="1"/>
      <w:marLeft w:val="0"/>
      <w:marRight w:val="0"/>
      <w:marTop w:val="0"/>
      <w:marBottom w:val="0"/>
      <w:divBdr>
        <w:top w:val="none" w:sz="0" w:space="0" w:color="auto"/>
        <w:left w:val="none" w:sz="0" w:space="0" w:color="auto"/>
        <w:bottom w:val="none" w:sz="0" w:space="0" w:color="auto"/>
        <w:right w:val="none" w:sz="0" w:space="0" w:color="auto"/>
      </w:divBdr>
    </w:div>
    <w:div w:id="1372345239">
      <w:bodyDiv w:val="1"/>
      <w:marLeft w:val="0"/>
      <w:marRight w:val="0"/>
      <w:marTop w:val="0"/>
      <w:marBottom w:val="0"/>
      <w:divBdr>
        <w:top w:val="none" w:sz="0" w:space="0" w:color="auto"/>
        <w:left w:val="none" w:sz="0" w:space="0" w:color="auto"/>
        <w:bottom w:val="none" w:sz="0" w:space="0" w:color="auto"/>
        <w:right w:val="none" w:sz="0" w:space="0" w:color="auto"/>
      </w:divBdr>
    </w:div>
    <w:div w:id="1373647860">
      <w:bodyDiv w:val="1"/>
      <w:marLeft w:val="0"/>
      <w:marRight w:val="0"/>
      <w:marTop w:val="0"/>
      <w:marBottom w:val="0"/>
      <w:divBdr>
        <w:top w:val="none" w:sz="0" w:space="0" w:color="auto"/>
        <w:left w:val="none" w:sz="0" w:space="0" w:color="auto"/>
        <w:bottom w:val="none" w:sz="0" w:space="0" w:color="auto"/>
        <w:right w:val="none" w:sz="0" w:space="0" w:color="auto"/>
      </w:divBdr>
    </w:div>
    <w:div w:id="1374690668">
      <w:bodyDiv w:val="1"/>
      <w:marLeft w:val="0"/>
      <w:marRight w:val="0"/>
      <w:marTop w:val="0"/>
      <w:marBottom w:val="0"/>
      <w:divBdr>
        <w:top w:val="none" w:sz="0" w:space="0" w:color="auto"/>
        <w:left w:val="none" w:sz="0" w:space="0" w:color="auto"/>
        <w:bottom w:val="none" w:sz="0" w:space="0" w:color="auto"/>
        <w:right w:val="none" w:sz="0" w:space="0" w:color="auto"/>
      </w:divBdr>
    </w:div>
    <w:div w:id="1374889263">
      <w:bodyDiv w:val="1"/>
      <w:marLeft w:val="0"/>
      <w:marRight w:val="0"/>
      <w:marTop w:val="0"/>
      <w:marBottom w:val="0"/>
      <w:divBdr>
        <w:top w:val="none" w:sz="0" w:space="0" w:color="auto"/>
        <w:left w:val="none" w:sz="0" w:space="0" w:color="auto"/>
        <w:bottom w:val="none" w:sz="0" w:space="0" w:color="auto"/>
        <w:right w:val="none" w:sz="0" w:space="0" w:color="auto"/>
      </w:divBdr>
    </w:div>
    <w:div w:id="1375688576">
      <w:bodyDiv w:val="1"/>
      <w:marLeft w:val="0"/>
      <w:marRight w:val="0"/>
      <w:marTop w:val="0"/>
      <w:marBottom w:val="0"/>
      <w:divBdr>
        <w:top w:val="none" w:sz="0" w:space="0" w:color="auto"/>
        <w:left w:val="none" w:sz="0" w:space="0" w:color="auto"/>
        <w:bottom w:val="none" w:sz="0" w:space="0" w:color="auto"/>
        <w:right w:val="none" w:sz="0" w:space="0" w:color="auto"/>
      </w:divBdr>
    </w:div>
    <w:div w:id="1375929524">
      <w:bodyDiv w:val="1"/>
      <w:marLeft w:val="0"/>
      <w:marRight w:val="0"/>
      <w:marTop w:val="0"/>
      <w:marBottom w:val="0"/>
      <w:divBdr>
        <w:top w:val="none" w:sz="0" w:space="0" w:color="auto"/>
        <w:left w:val="none" w:sz="0" w:space="0" w:color="auto"/>
        <w:bottom w:val="none" w:sz="0" w:space="0" w:color="auto"/>
        <w:right w:val="none" w:sz="0" w:space="0" w:color="auto"/>
      </w:divBdr>
    </w:div>
    <w:div w:id="1376151869">
      <w:bodyDiv w:val="1"/>
      <w:marLeft w:val="0"/>
      <w:marRight w:val="0"/>
      <w:marTop w:val="0"/>
      <w:marBottom w:val="0"/>
      <w:divBdr>
        <w:top w:val="none" w:sz="0" w:space="0" w:color="auto"/>
        <w:left w:val="none" w:sz="0" w:space="0" w:color="auto"/>
        <w:bottom w:val="none" w:sz="0" w:space="0" w:color="auto"/>
        <w:right w:val="none" w:sz="0" w:space="0" w:color="auto"/>
      </w:divBdr>
    </w:div>
    <w:div w:id="1376390298">
      <w:bodyDiv w:val="1"/>
      <w:marLeft w:val="0"/>
      <w:marRight w:val="0"/>
      <w:marTop w:val="0"/>
      <w:marBottom w:val="0"/>
      <w:divBdr>
        <w:top w:val="none" w:sz="0" w:space="0" w:color="auto"/>
        <w:left w:val="none" w:sz="0" w:space="0" w:color="auto"/>
        <w:bottom w:val="none" w:sz="0" w:space="0" w:color="auto"/>
        <w:right w:val="none" w:sz="0" w:space="0" w:color="auto"/>
      </w:divBdr>
    </w:div>
    <w:div w:id="1376924633">
      <w:bodyDiv w:val="1"/>
      <w:marLeft w:val="0"/>
      <w:marRight w:val="0"/>
      <w:marTop w:val="0"/>
      <w:marBottom w:val="0"/>
      <w:divBdr>
        <w:top w:val="none" w:sz="0" w:space="0" w:color="auto"/>
        <w:left w:val="none" w:sz="0" w:space="0" w:color="auto"/>
        <w:bottom w:val="none" w:sz="0" w:space="0" w:color="auto"/>
        <w:right w:val="none" w:sz="0" w:space="0" w:color="auto"/>
      </w:divBdr>
    </w:div>
    <w:div w:id="1377121453">
      <w:bodyDiv w:val="1"/>
      <w:marLeft w:val="0"/>
      <w:marRight w:val="0"/>
      <w:marTop w:val="0"/>
      <w:marBottom w:val="0"/>
      <w:divBdr>
        <w:top w:val="none" w:sz="0" w:space="0" w:color="auto"/>
        <w:left w:val="none" w:sz="0" w:space="0" w:color="auto"/>
        <w:bottom w:val="none" w:sz="0" w:space="0" w:color="auto"/>
        <w:right w:val="none" w:sz="0" w:space="0" w:color="auto"/>
      </w:divBdr>
    </w:div>
    <w:div w:id="1377394124">
      <w:bodyDiv w:val="1"/>
      <w:marLeft w:val="0"/>
      <w:marRight w:val="0"/>
      <w:marTop w:val="0"/>
      <w:marBottom w:val="0"/>
      <w:divBdr>
        <w:top w:val="none" w:sz="0" w:space="0" w:color="auto"/>
        <w:left w:val="none" w:sz="0" w:space="0" w:color="auto"/>
        <w:bottom w:val="none" w:sz="0" w:space="0" w:color="auto"/>
        <w:right w:val="none" w:sz="0" w:space="0" w:color="auto"/>
      </w:divBdr>
    </w:div>
    <w:div w:id="1378356201">
      <w:bodyDiv w:val="1"/>
      <w:marLeft w:val="0"/>
      <w:marRight w:val="0"/>
      <w:marTop w:val="0"/>
      <w:marBottom w:val="0"/>
      <w:divBdr>
        <w:top w:val="none" w:sz="0" w:space="0" w:color="auto"/>
        <w:left w:val="none" w:sz="0" w:space="0" w:color="auto"/>
        <w:bottom w:val="none" w:sz="0" w:space="0" w:color="auto"/>
        <w:right w:val="none" w:sz="0" w:space="0" w:color="auto"/>
      </w:divBdr>
    </w:div>
    <w:div w:id="1378552289">
      <w:bodyDiv w:val="1"/>
      <w:marLeft w:val="0"/>
      <w:marRight w:val="0"/>
      <w:marTop w:val="0"/>
      <w:marBottom w:val="0"/>
      <w:divBdr>
        <w:top w:val="none" w:sz="0" w:space="0" w:color="auto"/>
        <w:left w:val="none" w:sz="0" w:space="0" w:color="auto"/>
        <w:bottom w:val="none" w:sz="0" w:space="0" w:color="auto"/>
        <w:right w:val="none" w:sz="0" w:space="0" w:color="auto"/>
      </w:divBdr>
    </w:div>
    <w:div w:id="1378970853">
      <w:bodyDiv w:val="1"/>
      <w:marLeft w:val="0"/>
      <w:marRight w:val="0"/>
      <w:marTop w:val="0"/>
      <w:marBottom w:val="0"/>
      <w:divBdr>
        <w:top w:val="none" w:sz="0" w:space="0" w:color="auto"/>
        <w:left w:val="none" w:sz="0" w:space="0" w:color="auto"/>
        <w:bottom w:val="none" w:sz="0" w:space="0" w:color="auto"/>
        <w:right w:val="none" w:sz="0" w:space="0" w:color="auto"/>
      </w:divBdr>
    </w:div>
    <w:div w:id="1380324039">
      <w:bodyDiv w:val="1"/>
      <w:marLeft w:val="0"/>
      <w:marRight w:val="0"/>
      <w:marTop w:val="0"/>
      <w:marBottom w:val="0"/>
      <w:divBdr>
        <w:top w:val="none" w:sz="0" w:space="0" w:color="auto"/>
        <w:left w:val="none" w:sz="0" w:space="0" w:color="auto"/>
        <w:bottom w:val="none" w:sz="0" w:space="0" w:color="auto"/>
        <w:right w:val="none" w:sz="0" w:space="0" w:color="auto"/>
      </w:divBdr>
    </w:div>
    <w:div w:id="1380398309">
      <w:bodyDiv w:val="1"/>
      <w:marLeft w:val="0"/>
      <w:marRight w:val="0"/>
      <w:marTop w:val="0"/>
      <w:marBottom w:val="0"/>
      <w:divBdr>
        <w:top w:val="none" w:sz="0" w:space="0" w:color="auto"/>
        <w:left w:val="none" w:sz="0" w:space="0" w:color="auto"/>
        <w:bottom w:val="none" w:sz="0" w:space="0" w:color="auto"/>
        <w:right w:val="none" w:sz="0" w:space="0" w:color="auto"/>
      </w:divBdr>
    </w:div>
    <w:div w:id="1380788243">
      <w:bodyDiv w:val="1"/>
      <w:marLeft w:val="0"/>
      <w:marRight w:val="0"/>
      <w:marTop w:val="0"/>
      <w:marBottom w:val="0"/>
      <w:divBdr>
        <w:top w:val="none" w:sz="0" w:space="0" w:color="auto"/>
        <w:left w:val="none" w:sz="0" w:space="0" w:color="auto"/>
        <w:bottom w:val="none" w:sz="0" w:space="0" w:color="auto"/>
        <w:right w:val="none" w:sz="0" w:space="0" w:color="auto"/>
      </w:divBdr>
    </w:div>
    <w:div w:id="1380981163">
      <w:bodyDiv w:val="1"/>
      <w:marLeft w:val="0"/>
      <w:marRight w:val="0"/>
      <w:marTop w:val="0"/>
      <w:marBottom w:val="0"/>
      <w:divBdr>
        <w:top w:val="none" w:sz="0" w:space="0" w:color="auto"/>
        <w:left w:val="none" w:sz="0" w:space="0" w:color="auto"/>
        <w:bottom w:val="none" w:sz="0" w:space="0" w:color="auto"/>
        <w:right w:val="none" w:sz="0" w:space="0" w:color="auto"/>
      </w:divBdr>
    </w:div>
    <w:div w:id="1381439881">
      <w:bodyDiv w:val="1"/>
      <w:marLeft w:val="0"/>
      <w:marRight w:val="0"/>
      <w:marTop w:val="0"/>
      <w:marBottom w:val="0"/>
      <w:divBdr>
        <w:top w:val="none" w:sz="0" w:space="0" w:color="auto"/>
        <w:left w:val="none" w:sz="0" w:space="0" w:color="auto"/>
        <w:bottom w:val="none" w:sz="0" w:space="0" w:color="auto"/>
        <w:right w:val="none" w:sz="0" w:space="0" w:color="auto"/>
      </w:divBdr>
    </w:div>
    <w:div w:id="1381513584">
      <w:bodyDiv w:val="1"/>
      <w:marLeft w:val="0"/>
      <w:marRight w:val="0"/>
      <w:marTop w:val="0"/>
      <w:marBottom w:val="0"/>
      <w:divBdr>
        <w:top w:val="none" w:sz="0" w:space="0" w:color="auto"/>
        <w:left w:val="none" w:sz="0" w:space="0" w:color="auto"/>
        <w:bottom w:val="none" w:sz="0" w:space="0" w:color="auto"/>
        <w:right w:val="none" w:sz="0" w:space="0" w:color="auto"/>
      </w:divBdr>
    </w:div>
    <w:div w:id="1381519671">
      <w:bodyDiv w:val="1"/>
      <w:marLeft w:val="0"/>
      <w:marRight w:val="0"/>
      <w:marTop w:val="0"/>
      <w:marBottom w:val="0"/>
      <w:divBdr>
        <w:top w:val="none" w:sz="0" w:space="0" w:color="auto"/>
        <w:left w:val="none" w:sz="0" w:space="0" w:color="auto"/>
        <w:bottom w:val="none" w:sz="0" w:space="0" w:color="auto"/>
        <w:right w:val="none" w:sz="0" w:space="0" w:color="auto"/>
      </w:divBdr>
    </w:div>
    <w:div w:id="1382748125">
      <w:bodyDiv w:val="1"/>
      <w:marLeft w:val="0"/>
      <w:marRight w:val="0"/>
      <w:marTop w:val="0"/>
      <w:marBottom w:val="0"/>
      <w:divBdr>
        <w:top w:val="none" w:sz="0" w:space="0" w:color="auto"/>
        <w:left w:val="none" w:sz="0" w:space="0" w:color="auto"/>
        <w:bottom w:val="none" w:sz="0" w:space="0" w:color="auto"/>
        <w:right w:val="none" w:sz="0" w:space="0" w:color="auto"/>
      </w:divBdr>
    </w:div>
    <w:div w:id="1383092697">
      <w:bodyDiv w:val="1"/>
      <w:marLeft w:val="0"/>
      <w:marRight w:val="0"/>
      <w:marTop w:val="0"/>
      <w:marBottom w:val="0"/>
      <w:divBdr>
        <w:top w:val="none" w:sz="0" w:space="0" w:color="auto"/>
        <w:left w:val="none" w:sz="0" w:space="0" w:color="auto"/>
        <w:bottom w:val="none" w:sz="0" w:space="0" w:color="auto"/>
        <w:right w:val="none" w:sz="0" w:space="0" w:color="auto"/>
      </w:divBdr>
    </w:div>
    <w:div w:id="1384407817">
      <w:bodyDiv w:val="1"/>
      <w:marLeft w:val="0"/>
      <w:marRight w:val="0"/>
      <w:marTop w:val="0"/>
      <w:marBottom w:val="0"/>
      <w:divBdr>
        <w:top w:val="none" w:sz="0" w:space="0" w:color="auto"/>
        <w:left w:val="none" w:sz="0" w:space="0" w:color="auto"/>
        <w:bottom w:val="none" w:sz="0" w:space="0" w:color="auto"/>
        <w:right w:val="none" w:sz="0" w:space="0" w:color="auto"/>
      </w:divBdr>
    </w:div>
    <w:div w:id="1385104966">
      <w:bodyDiv w:val="1"/>
      <w:marLeft w:val="0"/>
      <w:marRight w:val="0"/>
      <w:marTop w:val="0"/>
      <w:marBottom w:val="0"/>
      <w:divBdr>
        <w:top w:val="none" w:sz="0" w:space="0" w:color="auto"/>
        <w:left w:val="none" w:sz="0" w:space="0" w:color="auto"/>
        <w:bottom w:val="none" w:sz="0" w:space="0" w:color="auto"/>
        <w:right w:val="none" w:sz="0" w:space="0" w:color="auto"/>
      </w:divBdr>
    </w:div>
    <w:div w:id="1385642152">
      <w:bodyDiv w:val="1"/>
      <w:marLeft w:val="0"/>
      <w:marRight w:val="0"/>
      <w:marTop w:val="0"/>
      <w:marBottom w:val="0"/>
      <w:divBdr>
        <w:top w:val="none" w:sz="0" w:space="0" w:color="auto"/>
        <w:left w:val="none" w:sz="0" w:space="0" w:color="auto"/>
        <w:bottom w:val="none" w:sz="0" w:space="0" w:color="auto"/>
        <w:right w:val="none" w:sz="0" w:space="0" w:color="auto"/>
      </w:divBdr>
    </w:div>
    <w:div w:id="1386026050">
      <w:bodyDiv w:val="1"/>
      <w:marLeft w:val="0"/>
      <w:marRight w:val="0"/>
      <w:marTop w:val="0"/>
      <w:marBottom w:val="0"/>
      <w:divBdr>
        <w:top w:val="none" w:sz="0" w:space="0" w:color="auto"/>
        <w:left w:val="none" w:sz="0" w:space="0" w:color="auto"/>
        <w:bottom w:val="none" w:sz="0" w:space="0" w:color="auto"/>
        <w:right w:val="none" w:sz="0" w:space="0" w:color="auto"/>
      </w:divBdr>
    </w:div>
    <w:div w:id="1386103773">
      <w:bodyDiv w:val="1"/>
      <w:marLeft w:val="0"/>
      <w:marRight w:val="0"/>
      <w:marTop w:val="0"/>
      <w:marBottom w:val="0"/>
      <w:divBdr>
        <w:top w:val="none" w:sz="0" w:space="0" w:color="auto"/>
        <w:left w:val="none" w:sz="0" w:space="0" w:color="auto"/>
        <w:bottom w:val="none" w:sz="0" w:space="0" w:color="auto"/>
        <w:right w:val="none" w:sz="0" w:space="0" w:color="auto"/>
      </w:divBdr>
    </w:div>
    <w:div w:id="1386414477">
      <w:bodyDiv w:val="1"/>
      <w:marLeft w:val="0"/>
      <w:marRight w:val="0"/>
      <w:marTop w:val="0"/>
      <w:marBottom w:val="0"/>
      <w:divBdr>
        <w:top w:val="none" w:sz="0" w:space="0" w:color="auto"/>
        <w:left w:val="none" w:sz="0" w:space="0" w:color="auto"/>
        <w:bottom w:val="none" w:sz="0" w:space="0" w:color="auto"/>
        <w:right w:val="none" w:sz="0" w:space="0" w:color="auto"/>
      </w:divBdr>
    </w:div>
    <w:div w:id="1387601463">
      <w:bodyDiv w:val="1"/>
      <w:marLeft w:val="0"/>
      <w:marRight w:val="0"/>
      <w:marTop w:val="0"/>
      <w:marBottom w:val="0"/>
      <w:divBdr>
        <w:top w:val="none" w:sz="0" w:space="0" w:color="auto"/>
        <w:left w:val="none" w:sz="0" w:space="0" w:color="auto"/>
        <w:bottom w:val="none" w:sz="0" w:space="0" w:color="auto"/>
        <w:right w:val="none" w:sz="0" w:space="0" w:color="auto"/>
      </w:divBdr>
    </w:div>
    <w:div w:id="1387795331">
      <w:bodyDiv w:val="1"/>
      <w:marLeft w:val="0"/>
      <w:marRight w:val="0"/>
      <w:marTop w:val="0"/>
      <w:marBottom w:val="0"/>
      <w:divBdr>
        <w:top w:val="none" w:sz="0" w:space="0" w:color="auto"/>
        <w:left w:val="none" w:sz="0" w:space="0" w:color="auto"/>
        <w:bottom w:val="none" w:sz="0" w:space="0" w:color="auto"/>
        <w:right w:val="none" w:sz="0" w:space="0" w:color="auto"/>
      </w:divBdr>
    </w:div>
    <w:div w:id="1388724410">
      <w:bodyDiv w:val="1"/>
      <w:marLeft w:val="0"/>
      <w:marRight w:val="0"/>
      <w:marTop w:val="0"/>
      <w:marBottom w:val="0"/>
      <w:divBdr>
        <w:top w:val="none" w:sz="0" w:space="0" w:color="auto"/>
        <w:left w:val="none" w:sz="0" w:space="0" w:color="auto"/>
        <w:bottom w:val="none" w:sz="0" w:space="0" w:color="auto"/>
        <w:right w:val="none" w:sz="0" w:space="0" w:color="auto"/>
      </w:divBdr>
    </w:div>
    <w:div w:id="1389257556">
      <w:bodyDiv w:val="1"/>
      <w:marLeft w:val="0"/>
      <w:marRight w:val="0"/>
      <w:marTop w:val="0"/>
      <w:marBottom w:val="0"/>
      <w:divBdr>
        <w:top w:val="none" w:sz="0" w:space="0" w:color="auto"/>
        <w:left w:val="none" w:sz="0" w:space="0" w:color="auto"/>
        <w:bottom w:val="none" w:sz="0" w:space="0" w:color="auto"/>
        <w:right w:val="none" w:sz="0" w:space="0" w:color="auto"/>
      </w:divBdr>
    </w:div>
    <w:div w:id="1390037279">
      <w:bodyDiv w:val="1"/>
      <w:marLeft w:val="0"/>
      <w:marRight w:val="0"/>
      <w:marTop w:val="0"/>
      <w:marBottom w:val="0"/>
      <w:divBdr>
        <w:top w:val="none" w:sz="0" w:space="0" w:color="auto"/>
        <w:left w:val="none" w:sz="0" w:space="0" w:color="auto"/>
        <w:bottom w:val="none" w:sz="0" w:space="0" w:color="auto"/>
        <w:right w:val="none" w:sz="0" w:space="0" w:color="auto"/>
      </w:divBdr>
    </w:div>
    <w:div w:id="1390225766">
      <w:bodyDiv w:val="1"/>
      <w:marLeft w:val="0"/>
      <w:marRight w:val="0"/>
      <w:marTop w:val="0"/>
      <w:marBottom w:val="0"/>
      <w:divBdr>
        <w:top w:val="none" w:sz="0" w:space="0" w:color="auto"/>
        <w:left w:val="none" w:sz="0" w:space="0" w:color="auto"/>
        <w:bottom w:val="none" w:sz="0" w:space="0" w:color="auto"/>
        <w:right w:val="none" w:sz="0" w:space="0" w:color="auto"/>
      </w:divBdr>
    </w:div>
    <w:div w:id="1390228407">
      <w:bodyDiv w:val="1"/>
      <w:marLeft w:val="0"/>
      <w:marRight w:val="0"/>
      <w:marTop w:val="0"/>
      <w:marBottom w:val="0"/>
      <w:divBdr>
        <w:top w:val="none" w:sz="0" w:space="0" w:color="auto"/>
        <w:left w:val="none" w:sz="0" w:space="0" w:color="auto"/>
        <w:bottom w:val="none" w:sz="0" w:space="0" w:color="auto"/>
        <w:right w:val="none" w:sz="0" w:space="0" w:color="auto"/>
      </w:divBdr>
    </w:div>
    <w:div w:id="1392461264">
      <w:bodyDiv w:val="1"/>
      <w:marLeft w:val="0"/>
      <w:marRight w:val="0"/>
      <w:marTop w:val="0"/>
      <w:marBottom w:val="0"/>
      <w:divBdr>
        <w:top w:val="none" w:sz="0" w:space="0" w:color="auto"/>
        <w:left w:val="none" w:sz="0" w:space="0" w:color="auto"/>
        <w:bottom w:val="none" w:sz="0" w:space="0" w:color="auto"/>
        <w:right w:val="none" w:sz="0" w:space="0" w:color="auto"/>
      </w:divBdr>
    </w:div>
    <w:div w:id="1393193940">
      <w:bodyDiv w:val="1"/>
      <w:marLeft w:val="0"/>
      <w:marRight w:val="0"/>
      <w:marTop w:val="0"/>
      <w:marBottom w:val="0"/>
      <w:divBdr>
        <w:top w:val="none" w:sz="0" w:space="0" w:color="auto"/>
        <w:left w:val="none" w:sz="0" w:space="0" w:color="auto"/>
        <w:bottom w:val="none" w:sz="0" w:space="0" w:color="auto"/>
        <w:right w:val="none" w:sz="0" w:space="0" w:color="auto"/>
      </w:divBdr>
    </w:div>
    <w:div w:id="1393775208">
      <w:bodyDiv w:val="1"/>
      <w:marLeft w:val="0"/>
      <w:marRight w:val="0"/>
      <w:marTop w:val="0"/>
      <w:marBottom w:val="0"/>
      <w:divBdr>
        <w:top w:val="none" w:sz="0" w:space="0" w:color="auto"/>
        <w:left w:val="none" w:sz="0" w:space="0" w:color="auto"/>
        <w:bottom w:val="none" w:sz="0" w:space="0" w:color="auto"/>
        <w:right w:val="none" w:sz="0" w:space="0" w:color="auto"/>
      </w:divBdr>
    </w:div>
    <w:div w:id="1394306149">
      <w:bodyDiv w:val="1"/>
      <w:marLeft w:val="0"/>
      <w:marRight w:val="0"/>
      <w:marTop w:val="0"/>
      <w:marBottom w:val="0"/>
      <w:divBdr>
        <w:top w:val="none" w:sz="0" w:space="0" w:color="auto"/>
        <w:left w:val="none" w:sz="0" w:space="0" w:color="auto"/>
        <w:bottom w:val="none" w:sz="0" w:space="0" w:color="auto"/>
        <w:right w:val="none" w:sz="0" w:space="0" w:color="auto"/>
      </w:divBdr>
    </w:div>
    <w:div w:id="1394547769">
      <w:bodyDiv w:val="1"/>
      <w:marLeft w:val="0"/>
      <w:marRight w:val="0"/>
      <w:marTop w:val="0"/>
      <w:marBottom w:val="0"/>
      <w:divBdr>
        <w:top w:val="none" w:sz="0" w:space="0" w:color="auto"/>
        <w:left w:val="none" w:sz="0" w:space="0" w:color="auto"/>
        <w:bottom w:val="none" w:sz="0" w:space="0" w:color="auto"/>
        <w:right w:val="none" w:sz="0" w:space="0" w:color="auto"/>
      </w:divBdr>
    </w:div>
    <w:div w:id="1395005091">
      <w:bodyDiv w:val="1"/>
      <w:marLeft w:val="0"/>
      <w:marRight w:val="0"/>
      <w:marTop w:val="0"/>
      <w:marBottom w:val="0"/>
      <w:divBdr>
        <w:top w:val="none" w:sz="0" w:space="0" w:color="auto"/>
        <w:left w:val="none" w:sz="0" w:space="0" w:color="auto"/>
        <w:bottom w:val="none" w:sz="0" w:space="0" w:color="auto"/>
        <w:right w:val="none" w:sz="0" w:space="0" w:color="auto"/>
      </w:divBdr>
    </w:div>
    <w:div w:id="1395393302">
      <w:bodyDiv w:val="1"/>
      <w:marLeft w:val="0"/>
      <w:marRight w:val="0"/>
      <w:marTop w:val="0"/>
      <w:marBottom w:val="0"/>
      <w:divBdr>
        <w:top w:val="none" w:sz="0" w:space="0" w:color="auto"/>
        <w:left w:val="none" w:sz="0" w:space="0" w:color="auto"/>
        <w:bottom w:val="none" w:sz="0" w:space="0" w:color="auto"/>
        <w:right w:val="none" w:sz="0" w:space="0" w:color="auto"/>
      </w:divBdr>
    </w:div>
    <w:div w:id="1395735473">
      <w:bodyDiv w:val="1"/>
      <w:marLeft w:val="0"/>
      <w:marRight w:val="0"/>
      <w:marTop w:val="0"/>
      <w:marBottom w:val="0"/>
      <w:divBdr>
        <w:top w:val="none" w:sz="0" w:space="0" w:color="auto"/>
        <w:left w:val="none" w:sz="0" w:space="0" w:color="auto"/>
        <w:bottom w:val="none" w:sz="0" w:space="0" w:color="auto"/>
        <w:right w:val="none" w:sz="0" w:space="0" w:color="auto"/>
      </w:divBdr>
    </w:div>
    <w:div w:id="1395935313">
      <w:bodyDiv w:val="1"/>
      <w:marLeft w:val="0"/>
      <w:marRight w:val="0"/>
      <w:marTop w:val="0"/>
      <w:marBottom w:val="0"/>
      <w:divBdr>
        <w:top w:val="none" w:sz="0" w:space="0" w:color="auto"/>
        <w:left w:val="none" w:sz="0" w:space="0" w:color="auto"/>
        <w:bottom w:val="none" w:sz="0" w:space="0" w:color="auto"/>
        <w:right w:val="none" w:sz="0" w:space="0" w:color="auto"/>
      </w:divBdr>
    </w:div>
    <w:div w:id="1396245260">
      <w:bodyDiv w:val="1"/>
      <w:marLeft w:val="0"/>
      <w:marRight w:val="0"/>
      <w:marTop w:val="0"/>
      <w:marBottom w:val="0"/>
      <w:divBdr>
        <w:top w:val="none" w:sz="0" w:space="0" w:color="auto"/>
        <w:left w:val="none" w:sz="0" w:space="0" w:color="auto"/>
        <w:bottom w:val="none" w:sz="0" w:space="0" w:color="auto"/>
        <w:right w:val="none" w:sz="0" w:space="0" w:color="auto"/>
      </w:divBdr>
    </w:div>
    <w:div w:id="1397555733">
      <w:bodyDiv w:val="1"/>
      <w:marLeft w:val="0"/>
      <w:marRight w:val="0"/>
      <w:marTop w:val="0"/>
      <w:marBottom w:val="0"/>
      <w:divBdr>
        <w:top w:val="none" w:sz="0" w:space="0" w:color="auto"/>
        <w:left w:val="none" w:sz="0" w:space="0" w:color="auto"/>
        <w:bottom w:val="none" w:sz="0" w:space="0" w:color="auto"/>
        <w:right w:val="none" w:sz="0" w:space="0" w:color="auto"/>
      </w:divBdr>
    </w:div>
    <w:div w:id="1397968059">
      <w:bodyDiv w:val="1"/>
      <w:marLeft w:val="0"/>
      <w:marRight w:val="0"/>
      <w:marTop w:val="0"/>
      <w:marBottom w:val="0"/>
      <w:divBdr>
        <w:top w:val="none" w:sz="0" w:space="0" w:color="auto"/>
        <w:left w:val="none" w:sz="0" w:space="0" w:color="auto"/>
        <w:bottom w:val="none" w:sz="0" w:space="0" w:color="auto"/>
        <w:right w:val="none" w:sz="0" w:space="0" w:color="auto"/>
      </w:divBdr>
    </w:div>
    <w:div w:id="1399984778">
      <w:bodyDiv w:val="1"/>
      <w:marLeft w:val="0"/>
      <w:marRight w:val="0"/>
      <w:marTop w:val="0"/>
      <w:marBottom w:val="0"/>
      <w:divBdr>
        <w:top w:val="none" w:sz="0" w:space="0" w:color="auto"/>
        <w:left w:val="none" w:sz="0" w:space="0" w:color="auto"/>
        <w:bottom w:val="none" w:sz="0" w:space="0" w:color="auto"/>
        <w:right w:val="none" w:sz="0" w:space="0" w:color="auto"/>
      </w:divBdr>
    </w:div>
    <w:div w:id="1400248037">
      <w:bodyDiv w:val="1"/>
      <w:marLeft w:val="0"/>
      <w:marRight w:val="0"/>
      <w:marTop w:val="0"/>
      <w:marBottom w:val="0"/>
      <w:divBdr>
        <w:top w:val="none" w:sz="0" w:space="0" w:color="auto"/>
        <w:left w:val="none" w:sz="0" w:space="0" w:color="auto"/>
        <w:bottom w:val="none" w:sz="0" w:space="0" w:color="auto"/>
        <w:right w:val="none" w:sz="0" w:space="0" w:color="auto"/>
      </w:divBdr>
    </w:div>
    <w:div w:id="1400714270">
      <w:bodyDiv w:val="1"/>
      <w:marLeft w:val="0"/>
      <w:marRight w:val="0"/>
      <w:marTop w:val="0"/>
      <w:marBottom w:val="0"/>
      <w:divBdr>
        <w:top w:val="none" w:sz="0" w:space="0" w:color="auto"/>
        <w:left w:val="none" w:sz="0" w:space="0" w:color="auto"/>
        <w:bottom w:val="none" w:sz="0" w:space="0" w:color="auto"/>
        <w:right w:val="none" w:sz="0" w:space="0" w:color="auto"/>
      </w:divBdr>
    </w:div>
    <w:div w:id="1402603388">
      <w:bodyDiv w:val="1"/>
      <w:marLeft w:val="0"/>
      <w:marRight w:val="0"/>
      <w:marTop w:val="0"/>
      <w:marBottom w:val="0"/>
      <w:divBdr>
        <w:top w:val="none" w:sz="0" w:space="0" w:color="auto"/>
        <w:left w:val="none" w:sz="0" w:space="0" w:color="auto"/>
        <w:bottom w:val="none" w:sz="0" w:space="0" w:color="auto"/>
        <w:right w:val="none" w:sz="0" w:space="0" w:color="auto"/>
      </w:divBdr>
    </w:div>
    <w:div w:id="1402630108">
      <w:bodyDiv w:val="1"/>
      <w:marLeft w:val="0"/>
      <w:marRight w:val="0"/>
      <w:marTop w:val="0"/>
      <w:marBottom w:val="0"/>
      <w:divBdr>
        <w:top w:val="none" w:sz="0" w:space="0" w:color="auto"/>
        <w:left w:val="none" w:sz="0" w:space="0" w:color="auto"/>
        <w:bottom w:val="none" w:sz="0" w:space="0" w:color="auto"/>
        <w:right w:val="none" w:sz="0" w:space="0" w:color="auto"/>
      </w:divBdr>
    </w:div>
    <w:div w:id="1403022049">
      <w:bodyDiv w:val="1"/>
      <w:marLeft w:val="0"/>
      <w:marRight w:val="0"/>
      <w:marTop w:val="0"/>
      <w:marBottom w:val="0"/>
      <w:divBdr>
        <w:top w:val="none" w:sz="0" w:space="0" w:color="auto"/>
        <w:left w:val="none" w:sz="0" w:space="0" w:color="auto"/>
        <w:bottom w:val="none" w:sz="0" w:space="0" w:color="auto"/>
        <w:right w:val="none" w:sz="0" w:space="0" w:color="auto"/>
      </w:divBdr>
    </w:div>
    <w:div w:id="1403135989">
      <w:bodyDiv w:val="1"/>
      <w:marLeft w:val="0"/>
      <w:marRight w:val="0"/>
      <w:marTop w:val="0"/>
      <w:marBottom w:val="0"/>
      <w:divBdr>
        <w:top w:val="none" w:sz="0" w:space="0" w:color="auto"/>
        <w:left w:val="none" w:sz="0" w:space="0" w:color="auto"/>
        <w:bottom w:val="none" w:sz="0" w:space="0" w:color="auto"/>
        <w:right w:val="none" w:sz="0" w:space="0" w:color="auto"/>
      </w:divBdr>
    </w:div>
    <w:div w:id="1403455510">
      <w:bodyDiv w:val="1"/>
      <w:marLeft w:val="0"/>
      <w:marRight w:val="0"/>
      <w:marTop w:val="0"/>
      <w:marBottom w:val="0"/>
      <w:divBdr>
        <w:top w:val="none" w:sz="0" w:space="0" w:color="auto"/>
        <w:left w:val="none" w:sz="0" w:space="0" w:color="auto"/>
        <w:bottom w:val="none" w:sz="0" w:space="0" w:color="auto"/>
        <w:right w:val="none" w:sz="0" w:space="0" w:color="auto"/>
      </w:divBdr>
    </w:div>
    <w:div w:id="1404259959">
      <w:bodyDiv w:val="1"/>
      <w:marLeft w:val="0"/>
      <w:marRight w:val="0"/>
      <w:marTop w:val="0"/>
      <w:marBottom w:val="0"/>
      <w:divBdr>
        <w:top w:val="none" w:sz="0" w:space="0" w:color="auto"/>
        <w:left w:val="none" w:sz="0" w:space="0" w:color="auto"/>
        <w:bottom w:val="none" w:sz="0" w:space="0" w:color="auto"/>
        <w:right w:val="none" w:sz="0" w:space="0" w:color="auto"/>
      </w:divBdr>
    </w:div>
    <w:div w:id="1404717780">
      <w:bodyDiv w:val="1"/>
      <w:marLeft w:val="0"/>
      <w:marRight w:val="0"/>
      <w:marTop w:val="0"/>
      <w:marBottom w:val="0"/>
      <w:divBdr>
        <w:top w:val="none" w:sz="0" w:space="0" w:color="auto"/>
        <w:left w:val="none" w:sz="0" w:space="0" w:color="auto"/>
        <w:bottom w:val="none" w:sz="0" w:space="0" w:color="auto"/>
        <w:right w:val="none" w:sz="0" w:space="0" w:color="auto"/>
      </w:divBdr>
    </w:div>
    <w:div w:id="1405907089">
      <w:bodyDiv w:val="1"/>
      <w:marLeft w:val="0"/>
      <w:marRight w:val="0"/>
      <w:marTop w:val="0"/>
      <w:marBottom w:val="0"/>
      <w:divBdr>
        <w:top w:val="none" w:sz="0" w:space="0" w:color="auto"/>
        <w:left w:val="none" w:sz="0" w:space="0" w:color="auto"/>
        <w:bottom w:val="none" w:sz="0" w:space="0" w:color="auto"/>
        <w:right w:val="none" w:sz="0" w:space="0" w:color="auto"/>
      </w:divBdr>
    </w:div>
    <w:div w:id="1405949433">
      <w:bodyDiv w:val="1"/>
      <w:marLeft w:val="0"/>
      <w:marRight w:val="0"/>
      <w:marTop w:val="0"/>
      <w:marBottom w:val="0"/>
      <w:divBdr>
        <w:top w:val="none" w:sz="0" w:space="0" w:color="auto"/>
        <w:left w:val="none" w:sz="0" w:space="0" w:color="auto"/>
        <w:bottom w:val="none" w:sz="0" w:space="0" w:color="auto"/>
        <w:right w:val="none" w:sz="0" w:space="0" w:color="auto"/>
      </w:divBdr>
    </w:div>
    <w:div w:id="1405954846">
      <w:bodyDiv w:val="1"/>
      <w:marLeft w:val="0"/>
      <w:marRight w:val="0"/>
      <w:marTop w:val="0"/>
      <w:marBottom w:val="0"/>
      <w:divBdr>
        <w:top w:val="none" w:sz="0" w:space="0" w:color="auto"/>
        <w:left w:val="none" w:sz="0" w:space="0" w:color="auto"/>
        <w:bottom w:val="none" w:sz="0" w:space="0" w:color="auto"/>
        <w:right w:val="none" w:sz="0" w:space="0" w:color="auto"/>
      </w:divBdr>
    </w:div>
    <w:div w:id="1406683740">
      <w:bodyDiv w:val="1"/>
      <w:marLeft w:val="0"/>
      <w:marRight w:val="0"/>
      <w:marTop w:val="0"/>
      <w:marBottom w:val="0"/>
      <w:divBdr>
        <w:top w:val="none" w:sz="0" w:space="0" w:color="auto"/>
        <w:left w:val="none" w:sz="0" w:space="0" w:color="auto"/>
        <w:bottom w:val="none" w:sz="0" w:space="0" w:color="auto"/>
        <w:right w:val="none" w:sz="0" w:space="0" w:color="auto"/>
      </w:divBdr>
    </w:div>
    <w:div w:id="1407611038">
      <w:bodyDiv w:val="1"/>
      <w:marLeft w:val="0"/>
      <w:marRight w:val="0"/>
      <w:marTop w:val="0"/>
      <w:marBottom w:val="0"/>
      <w:divBdr>
        <w:top w:val="none" w:sz="0" w:space="0" w:color="auto"/>
        <w:left w:val="none" w:sz="0" w:space="0" w:color="auto"/>
        <w:bottom w:val="none" w:sz="0" w:space="0" w:color="auto"/>
        <w:right w:val="none" w:sz="0" w:space="0" w:color="auto"/>
      </w:divBdr>
    </w:div>
    <w:div w:id="1408068198">
      <w:bodyDiv w:val="1"/>
      <w:marLeft w:val="0"/>
      <w:marRight w:val="0"/>
      <w:marTop w:val="0"/>
      <w:marBottom w:val="0"/>
      <w:divBdr>
        <w:top w:val="none" w:sz="0" w:space="0" w:color="auto"/>
        <w:left w:val="none" w:sz="0" w:space="0" w:color="auto"/>
        <w:bottom w:val="none" w:sz="0" w:space="0" w:color="auto"/>
        <w:right w:val="none" w:sz="0" w:space="0" w:color="auto"/>
      </w:divBdr>
    </w:div>
    <w:div w:id="1408453990">
      <w:bodyDiv w:val="1"/>
      <w:marLeft w:val="0"/>
      <w:marRight w:val="0"/>
      <w:marTop w:val="0"/>
      <w:marBottom w:val="0"/>
      <w:divBdr>
        <w:top w:val="none" w:sz="0" w:space="0" w:color="auto"/>
        <w:left w:val="none" w:sz="0" w:space="0" w:color="auto"/>
        <w:bottom w:val="none" w:sz="0" w:space="0" w:color="auto"/>
        <w:right w:val="none" w:sz="0" w:space="0" w:color="auto"/>
      </w:divBdr>
    </w:div>
    <w:div w:id="1408574716">
      <w:bodyDiv w:val="1"/>
      <w:marLeft w:val="0"/>
      <w:marRight w:val="0"/>
      <w:marTop w:val="0"/>
      <w:marBottom w:val="0"/>
      <w:divBdr>
        <w:top w:val="none" w:sz="0" w:space="0" w:color="auto"/>
        <w:left w:val="none" w:sz="0" w:space="0" w:color="auto"/>
        <w:bottom w:val="none" w:sz="0" w:space="0" w:color="auto"/>
        <w:right w:val="none" w:sz="0" w:space="0" w:color="auto"/>
      </w:divBdr>
    </w:div>
    <w:div w:id="1409226455">
      <w:bodyDiv w:val="1"/>
      <w:marLeft w:val="0"/>
      <w:marRight w:val="0"/>
      <w:marTop w:val="0"/>
      <w:marBottom w:val="0"/>
      <w:divBdr>
        <w:top w:val="none" w:sz="0" w:space="0" w:color="auto"/>
        <w:left w:val="none" w:sz="0" w:space="0" w:color="auto"/>
        <w:bottom w:val="none" w:sz="0" w:space="0" w:color="auto"/>
        <w:right w:val="none" w:sz="0" w:space="0" w:color="auto"/>
      </w:divBdr>
    </w:div>
    <w:div w:id="1409233726">
      <w:bodyDiv w:val="1"/>
      <w:marLeft w:val="0"/>
      <w:marRight w:val="0"/>
      <w:marTop w:val="0"/>
      <w:marBottom w:val="0"/>
      <w:divBdr>
        <w:top w:val="none" w:sz="0" w:space="0" w:color="auto"/>
        <w:left w:val="none" w:sz="0" w:space="0" w:color="auto"/>
        <w:bottom w:val="none" w:sz="0" w:space="0" w:color="auto"/>
        <w:right w:val="none" w:sz="0" w:space="0" w:color="auto"/>
      </w:divBdr>
    </w:div>
    <w:div w:id="1411150968">
      <w:bodyDiv w:val="1"/>
      <w:marLeft w:val="0"/>
      <w:marRight w:val="0"/>
      <w:marTop w:val="0"/>
      <w:marBottom w:val="0"/>
      <w:divBdr>
        <w:top w:val="none" w:sz="0" w:space="0" w:color="auto"/>
        <w:left w:val="none" w:sz="0" w:space="0" w:color="auto"/>
        <w:bottom w:val="none" w:sz="0" w:space="0" w:color="auto"/>
        <w:right w:val="none" w:sz="0" w:space="0" w:color="auto"/>
      </w:divBdr>
    </w:div>
    <w:div w:id="1411468001">
      <w:bodyDiv w:val="1"/>
      <w:marLeft w:val="0"/>
      <w:marRight w:val="0"/>
      <w:marTop w:val="0"/>
      <w:marBottom w:val="0"/>
      <w:divBdr>
        <w:top w:val="none" w:sz="0" w:space="0" w:color="auto"/>
        <w:left w:val="none" w:sz="0" w:space="0" w:color="auto"/>
        <w:bottom w:val="none" w:sz="0" w:space="0" w:color="auto"/>
        <w:right w:val="none" w:sz="0" w:space="0" w:color="auto"/>
      </w:divBdr>
    </w:div>
    <w:div w:id="1412116696">
      <w:bodyDiv w:val="1"/>
      <w:marLeft w:val="0"/>
      <w:marRight w:val="0"/>
      <w:marTop w:val="0"/>
      <w:marBottom w:val="0"/>
      <w:divBdr>
        <w:top w:val="none" w:sz="0" w:space="0" w:color="auto"/>
        <w:left w:val="none" w:sz="0" w:space="0" w:color="auto"/>
        <w:bottom w:val="none" w:sz="0" w:space="0" w:color="auto"/>
        <w:right w:val="none" w:sz="0" w:space="0" w:color="auto"/>
      </w:divBdr>
    </w:div>
    <w:div w:id="1413236684">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16054622">
      <w:bodyDiv w:val="1"/>
      <w:marLeft w:val="0"/>
      <w:marRight w:val="0"/>
      <w:marTop w:val="0"/>
      <w:marBottom w:val="0"/>
      <w:divBdr>
        <w:top w:val="none" w:sz="0" w:space="0" w:color="auto"/>
        <w:left w:val="none" w:sz="0" w:space="0" w:color="auto"/>
        <w:bottom w:val="none" w:sz="0" w:space="0" w:color="auto"/>
        <w:right w:val="none" w:sz="0" w:space="0" w:color="auto"/>
      </w:divBdr>
    </w:div>
    <w:div w:id="1416320043">
      <w:bodyDiv w:val="1"/>
      <w:marLeft w:val="0"/>
      <w:marRight w:val="0"/>
      <w:marTop w:val="0"/>
      <w:marBottom w:val="0"/>
      <w:divBdr>
        <w:top w:val="none" w:sz="0" w:space="0" w:color="auto"/>
        <w:left w:val="none" w:sz="0" w:space="0" w:color="auto"/>
        <w:bottom w:val="none" w:sz="0" w:space="0" w:color="auto"/>
        <w:right w:val="none" w:sz="0" w:space="0" w:color="auto"/>
      </w:divBdr>
    </w:div>
    <w:div w:id="1416635365">
      <w:bodyDiv w:val="1"/>
      <w:marLeft w:val="0"/>
      <w:marRight w:val="0"/>
      <w:marTop w:val="0"/>
      <w:marBottom w:val="0"/>
      <w:divBdr>
        <w:top w:val="none" w:sz="0" w:space="0" w:color="auto"/>
        <w:left w:val="none" w:sz="0" w:space="0" w:color="auto"/>
        <w:bottom w:val="none" w:sz="0" w:space="0" w:color="auto"/>
        <w:right w:val="none" w:sz="0" w:space="0" w:color="auto"/>
      </w:divBdr>
    </w:div>
    <w:div w:id="1416825276">
      <w:bodyDiv w:val="1"/>
      <w:marLeft w:val="0"/>
      <w:marRight w:val="0"/>
      <w:marTop w:val="0"/>
      <w:marBottom w:val="0"/>
      <w:divBdr>
        <w:top w:val="none" w:sz="0" w:space="0" w:color="auto"/>
        <w:left w:val="none" w:sz="0" w:space="0" w:color="auto"/>
        <w:bottom w:val="none" w:sz="0" w:space="0" w:color="auto"/>
        <w:right w:val="none" w:sz="0" w:space="0" w:color="auto"/>
      </w:divBdr>
    </w:div>
    <w:div w:id="1416980105">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17089810">
      <w:bodyDiv w:val="1"/>
      <w:marLeft w:val="0"/>
      <w:marRight w:val="0"/>
      <w:marTop w:val="0"/>
      <w:marBottom w:val="0"/>
      <w:divBdr>
        <w:top w:val="none" w:sz="0" w:space="0" w:color="auto"/>
        <w:left w:val="none" w:sz="0" w:space="0" w:color="auto"/>
        <w:bottom w:val="none" w:sz="0" w:space="0" w:color="auto"/>
        <w:right w:val="none" w:sz="0" w:space="0" w:color="auto"/>
      </w:divBdr>
    </w:div>
    <w:div w:id="1418937438">
      <w:bodyDiv w:val="1"/>
      <w:marLeft w:val="0"/>
      <w:marRight w:val="0"/>
      <w:marTop w:val="0"/>
      <w:marBottom w:val="0"/>
      <w:divBdr>
        <w:top w:val="none" w:sz="0" w:space="0" w:color="auto"/>
        <w:left w:val="none" w:sz="0" w:space="0" w:color="auto"/>
        <w:bottom w:val="none" w:sz="0" w:space="0" w:color="auto"/>
        <w:right w:val="none" w:sz="0" w:space="0" w:color="auto"/>
      </w:divBdr>
    </w:div>
    <w:div w:id="1418940503">
      <w:bodyDiv w:val="1"/>
      <w:marLeft w:val="0"/>
      <w:marRight w:val="0"/>
      <w:marTop w:val="0"/>
      <w:marBottom w:val="0"/>
      <w:divBdr>
        <w:top w:val="none" w:sz="0" w:space="0" w:color="auto"/>
        <w:left w:val="none" w:sz="0" w:space="0" w:color="auto"/>
        <w:bottom w:val="none" w:sz="0" w:space="0" w:color="auto"/>
        <w:right w:val="none" w:sz="0" w:space="0" w:color="auto"/>
      </w:divBdr>
    </w:div>
    <w:div w:id="1419519176">
      <w:bodyDiv w:val="1"/>
      <w:marLeft w:val="0"/>
      <w:marRight w:val="0"/>
      <w:marTop w:val="0"/>
      <w:marBottom w:val="0"/>
      <w:divBdr>
        <w:top w:val="none" w:sz="0" w:space="0" w:color="auto"/>
        <w:left w:val="none" w:sz="0" w:space="0" w:color="auto"/>
        <w:bottom w:val="none" w:sz="0" w:space="0" w:color="auto"/>
        <w:right w:val="none" w:sz="0" w:space="0" w:color="auto"/>
      </w:divBdr>
    </w:div>
    <w:div w:id="1420521974">
      <w:bodyDiv w:val="1"/>
      <w:marLeft w:val="0"/>
      <w:marRight w:val="0"/>
      <w:marTop w:val="0"/>
      <w:marBottom w:val="0"/>
      <w:divBdr>
        <w:top w:val="none" w:sz="0" w:space="0" w:color="auto"/>
        <w:left w:val="none" w:sz="0" w:space="0" w:color="auto"/>
        <w:bottom w:val="none" w:sz="0" w:space="0" w:color="auto"/>
        <w:right w:val="none" w:sz="0" w:space="0" w:color="auto"/>
      </w:divBdr>
    </w:div>
    <w:div w:id="1420952503">
      <w:bodyDiv w:val="1"/>
      <w:marLeft w:val="0"/>
      <w:marRight w:val="0"/>
      <w:marTop w:val="0"/>
      <w:marBottom w:val="0"/>
      <w:divBdr>
        <w:top w:val="none" w:sz="0" w:space="0" w:color="auto"/>
        <w:left w:val="none" w:sz="0" w:space="0" w:color="auto"/>
        <w:bottom w:val="none" w:sz="0" w:space="0" w:color="auto"/>
        <w:right w:val="none" w:sz="0" w:space="0" w:color="auto"/>
      </w:divBdr>
    </w:div>
    <w:div w:id="1421633382">
      <w:bodyDiv w:val="1"/>
      <w:marLeft w:val="0"/>
      <w:marRight w:val="0"/>
      <w:marTop w:val="0"/>
      <w:marBottom w:val="0"/>
      <w:divBdr>
        <w:top w:val="none" w:sz="0" w:space="0" w:color="auto"/>
        <w:left w:val="none" w:sz="0" w:space="0" w:color="auto"/>
        <w:bottom w:val="none" w:sz="0" w:space="0" w:color="auto"/>
        <w:right w:val="none" w:sz="0" w:space="0" w:color="auto"/>
      </w:divBdr>
    </w:div>
    <w:div w:id="1423917631">
      <w:bodyDiv w:val="1"/>
      <w:marLeft w:val="0"/>
      <w:marRight w:val="0"/>
      <w:marTop w:val="0"/>
      <w:marBottom w:val="0"/>
      <w:divBdr>
        <w:top w:val="none" w:sz="0" w:space="0" w:color="auto"/>
        <w:left w:val="none" w:sz="0" w:space="0" w:color="auto"/>
        <w:bottom w:val="none" w:sz="0" w:space="0" w:color="auto"/>
        <w:right w:val="none" w:sz="0" w:space="0" w:color="auto"/>
      </w:divBdr>
    </w:div>
    <w:div w:id="1424301909">
      <w:bodyDiv w:val="1"/>
      <w:marLeft w:val="0"/>
      <w:marRight w:val="0"/>
      <w:marTop w:val="0"/>
      <w:marBottom w:val="0"/>
      <w:divBdr>
        <w:top w:val="none" w:sz="0" w:space="0" w:color="auto"/>
        <w:left w:val="none" w:sz="0" w:space="0" w:color="auto"/>
        <w:bottom w:val="none" w:sz="0" w:space="0" w:color="auto"/>
        <w:right w:val="none" w:sz="0" w:space="0" w:color="auto"/>
      </w:divBdr>
    </w:div>
    <w:div w:id="1424447398">
      <w:bodyDiv w:val="1"/>
      <w:marLeft w:val="0"/>
      <w:marRight w:val="0"/>
      <w:marTop w:val="0"/>
      <w:marBottom w:val="0"/>
      <w:divBdr>
        <w:top w:val="none" w:sz="0" w:space="0" w:color="auto"/>
        <w:left w:val="none" w:sz="0" w:space="0" w:color="auto"/>
        <w:bottom w:val="none" w:sz="0" w:space="0" w:color="auto"/>
        <w:right w:val="none" w:sz="0" w:space="0" w:color="auto"/>
      </w:divBdr>
    </w:div>
    <w:div w:id="1424884109">
      <w:bodyDiv w:val="1"/>
      <w:marLeft w:val="0"/>
      <w:marRight w:val="0"/>
      <w:marTop w:val="0"/>
      <w:marBottom w:val="0"/>
      <w:divBdr>
        <w:top w:val="none" w:sz="0" w:space="0" w:color="auto"/>
        <w:left w:val="none" w:sz="0" w:space="0" w:color="auto"/>
        <w:bottom w:val="none" w:sz="0" w:space="0" w:color="auto"/>
        <w:right w:val="none" w:sz="0" w:space="0" w:color="auto"/>
      </w:divBdr>
    </w:div>
    <w:div w:id="1425106019">
      <w:bodyDiv w:val="1"/>
      <w:marLeft w:val="0"/>
      <w:marRight w:val="0"/>
      <w:marTop w:val="0"/>
      <w:marBottom w:val="0"/>
      <w:divBdr>
        <w:top w:val="none" w:sz="0" w:space="0" w:color="auto"/>
        <w:left w:val="none" w:sz="0" w:space="0" w:color="auto"/>
        <w:bottom w:val="none" w:sz="0" w:space="0" w:color="auto"/>
        <w:right w:val="none" w:sz="0" w:space="0" w:color="auto"/>
      </w:divBdr>
    </w:div>
    <w:div w:id="1425491247">
      <w:bodyDiv w:val="1"/>
      <w:marLeft w:val="0"/>
      <w:marRight w:val="0"/>
      <w:marTop w:val="0"/>
      <w:marBottom w:val="0"/>
      <w:divBdr>
        <w:top w:val="none" w:sz="0" w:space="0" w:color="auto"/>
        <w:left w:val="none" w:sz="0" w:space="0" w:color="auto"/>
        <w:bottom w:val="none" w:sz="0" w:space="0" w:color="auto"/>
        <w:right w:val="none" w:sz="0" w:space="0" w:color="auto"/>
      </w:divBdr>
    </w:div>
    <w:div w:id="1427262503">
      <w:bodyDiv w:val="1"/>
      <w:marLeft w:val="0"/>
      <w:marRight w:val="0"/>
      <w:marTop w:val="0"/>
      <w:marBottom w:val="0"/>
      <w:divBdr>
        <w:top w:val="none" w:sz="0" w:space="0" w:color="auto"/>
        <w:left w:val="none" w:sz="0" w:space="0" w:color="auto"/>
        <w:bottom w:val="none" w:sz="0" w:space="0" w:color="auto"/>
        <w:right w:val="none" w:sz="0" w:space="0" w:color="auto"/>
      </w:divBdr>
    </w:div>
    <w:div w:id="1427313326">
      <w:bodyDiv w:val="1"/>
      <w:marLeft w:val="0"/>
      <w:marRight w:val="0"/>
      <w:marTop w:val="0"/>
      <w:marBottom w:val="0"/>
      <w:divBdr>
        <w:top w:val="none" w:sz="0" w:space="0" w:color="auto"/>
        <w:left w:val="none" w:sz="0" w:space="0" w:color="auto"/>
        <w:bottom w:val="none" w:sz="0" w:space="0" w:color="auto"/>
        <w:right w:val="none" w:sz="0" w:space="0" w:color="auto"/>
      </w:divBdr>
    </w:div>
    <w:div w:id="1427536187">
      <w:bodyDiv w:val="1"/>
      <w:marLeft w:val="0"/>
      <w:marRight w:val="0"/>
      <w:marTop w:val="0"/>
      <w:marBottom w:val="0"/>
      <w:divBdr>
        <w:top w:val="none" w:sz="0" w:space="0" w:color="auto"/>
        <w:left w:val="none" w:sz="0" w:space="0" w:color="auto"/>
        <w:bottom w:val="none" w:sz="0" w:space="0" w:color="auto"/>
        <w:right w:val="none" w:sz="0" w:space="0" w:color="auto"/>
      </w:divBdr>
    </w:div>
    <w:div w:id="1428039649">
      <w:bodyDiv w:val="1"/>
      <w:marLeft w:val="0"/>
      <w:marRight w:val="0"/>
      <w:marTop w:val="0"/>
      <w:marBottom w:val="0"/>
      <w:divBdr>
        <w:top w:val="none" w:sz="0" w:space="0" w:color="auto"/>
        <w:left w:val="none" w:sz="0" w:space="0" w:color="auto"/>
        <w:bottom w:val="none" w:sz="0" w:space="0" w:color="auto"/>
        <w:right w:val="none" w:sz="0" w:space="0" w:color="auto"/>
      </w:divBdr>
    </w:div>
    <w:div w:id="1428112091">
      <w:bodyDiv w:val="1"/>
      <w:marLeft w:val="0"/>
      <w:marRight w:val="0"/>
      <w:marTop w:val="0"/>
      <w:marBottom w:val="0"/>
      <w:divBdr>
        <w:top w:val="none" w:sz="0" w:space="0" w:color="auto"/>
        <w:left w:val="none" w:sz="0" w:space="0" w:color="auto"/>
        <w:bottom w:val="none" w:sz="0" w:space="0" w:color="auto"/>
        <w:right w:val="none" w:sz="0" w:space="0" w:color="auto"/>
      </w:divBdr>
    </w:div>
    <w:div w:id="1430278239">
      <w:bodyDiv w:val="1"/>
      <w:marLeft w:val="0"/>
      <w:marRight w:val="0"/>
      <w:marTop w:val="0"/>
      <w:marBottom w:val="0"/>
      <w:divBdr>
        <w:top w:val="none" w:sz="0" w:space="0" w:color="auto"/>
        <w:left w:val="none" w:sz="0" w:space="0" w:color="auto"/>
        <w:bottom w:val="none" w:sz="0" w:space="0" w:color="auto"/>
        <w:right w:val="none" w:sz="0" w:space="0" w:color="auto"/>
      </w:divBdr>
    </w:div>
    <w:div w:id="1430465856">
      <w:bodyDiv w:val="1"/>
      <w:marLeft w:val="0"/>
      <w:marRight w:val="0"/>
      <w:marTop w:val="0"/>
      <w:marBottom w:val="0"/>
      <w:divBdr>
        <w:top w:val="none" w:sz="0" w:space="0" w:color="auto"/>
        <w:left w:val="none" w:sz="0" w:space="0" w:color="auto"/>
        <w:bottom w:val="none" w:sz="0" w:space="0" w:color="auto"/>
        <w:right w:val="none" w:sz="0" w:space="0" w:color="auto"/>
      </w:divBdr>
    </w:div>
    <w:div w:id="1431044361">
      <w:bodyDiv w:val="1"/>
      <w:marLeft w:val="0"/>
      <w:marRight w:val="0"/>
      <w:marTop w:val="0"/>
      <w:marBottom w:val="0"/>
      <w:divBdr>
        <w:top w:val="none" w:sz="0" w:space="0" w:color="auto"/>
        <w:left w:val="none" w:sz="0" w:space="0" w:color="auto"/>
        <w:bottom w:val="none" w:sz="0" w:space="0" w:color="auto"/>
        <w:right w:val="none" w:sz="0" w:space="0" w:color="auto"/>
      </w:divBdr>
    </w:div>
    <w:div w:id="1431270352">
      <w:bodyDiv w:val="1"/>
      <w:marLeft w:val="0"/>
      <w:marRight w:val="0"/>
      <w:marTop w:val="0"/>
      <w:marBottom w:val="0"/>
      <w:divBdr>
        <w:top w:val="none" w:sz="0" w:space="0" w:color="auto"/>
        <w:left w:val="none" w:sz="0" w:space="0" w:color="auto"/>
        <w:bottom w:val="none" w:sz="0" w:space="0" w:color="auto"/>
        <w:right w:val="none" w:sz="0" w:space="0" w:color="auto"/>
      </w:divBdr>
    </w:div>
    <w:div w:id="1431465464">
      <w:bodyDiv w:val="1"/>
      <w:marLeft w:val="0"/>
      <w:marRight w:val="0"/>
      <w:marTop w:val="0"/>
      <w:marBottom w:val="0"/>
      <w:divBdr>
        <w:top w:val="none" w:sz="0" w:space="0" w:color="auto"/>
        <w:left w:val="none" w:sz="0" w:space="0" w:color="auto"/>
        <w:bottom w:val="none" w:sz="0" w:space="0" w:color="auto"/>
        <w:right w:val="none" w:sz="0" w:space="0" w:color="auto"/>
      </w:divBdr>
      <w:divsChild>
        <w:div w:id="51314997">
          <w:marLeft w:val="0"/>
          <w:marRight w:val="0"/>
          <w:marTop w:val="0"/>
          <w:marBottom w:val="0"/>
          <w:divBdr>
            <w:top w:val="none" w:sz="0" w:space="0" w:color="auto"/>
            <w:left w:val="none" w:sz="0" w:space="0" w:color="auto"/>
            <w:bottom w:val="none" w:sz="0" w:space="0" w:color="auto"/>
            <w:right w:val="none" w:sz="0" w:space="0" w:color="auto"/>
          </w:divBdr>
        </w:div>
        <w:div w:id="165554597">
          <w:marLeft w:val="0"/>
          <w:marRight w:val="0"/>
          <w:marTop w:val="0"/>
          <w:marBottom w:val="0"/>
          <w:divBdr>
            <w:top w:val="none" w:sz="0" w:space="0" w:color="auto"/>
            <w:left w:val="none" w:sz="0" w:space="0" w:color="auto"/>
            <w:bottom w:val="none" w:sz="0" w:space="0" w:color="auto"/>
            <w:right w:val="none" w:sz="0" w:space="0" w:color="auto"/>
          </w:divBdr>
        </w:div>
        <w:div w:id="169419066">
          <w:marLeft w:val="0"/>
          <w:marRight w:val="0"/>
          <w:marTop w:val="0"/>
          <w:marBottom w:val="0"/>
          <w:divBdr>
            <w:top w:val="none" w:sz="0" w:space="0" w:color="auto"/>
            <w:left w:val="none" w:sz="0" w:space="0" w:color="auto"/>
            <w:bottom w:val="none" w:sz="0" w:space="0" w:color="auto"/>
            <w:right w:val="none" w:sz="0" w:space="0" w:color="auto"/>
          </w:divBdr>
        </w:div>
        <w:div w:id="259149371">
          <w:marLeft w:val="0"/>
          <w:marRight w:val="0"/>
          <w:marTop w:val="0"/>
          <w:marBottom w:val="0"/>
          <w:divBdr>
            <w:top w:val="none" w:sz="0" w:space="0" w:color="auto"/>
            <w:left w:val="none" w:sz="0" w:space="0" w:color="auto"/>
            <w:bottom w:val="none" w:sz="0" w:space="0" w:color="auto"/>
            <w:right w:val="none" w:sz="0" w:space="0" w:color="auto"/>
          </w:divBdr>
        </w:div>
        <w:div w:id="345256716">
          <w:marLeft w:val="0"/>
          <w:marRight w:val="0"/>
          <w:marTop w:val="0"/>
          <w:marBottom w:val="0"/>
          <w:divBdr>
            <w:top w:val="none" w:sz="0" w:space="0" w:color="auto"/>
            <w:left w:val="none" w:sz="0" w:space="0" w:color="auto"/>
            <w:bottom w:val="none" w:sz="0" w:space="0" w:color="auto"/>
            <w:right w:val="none" w:sz="0" w:space="0" w:color="auto"/>
          </w:divBdr>
        </w:div>
        <w:div w:id="361442461">
          <w:marLeft w:val="0"/>
          <w:marRight w:val="0"/>
          <w:marTop w:val="0"/>
          <w:marBottom w:val="0"/>
          <w:divBdr>
            <w:top w:val="none" w:sz="0" w:space="0" w:color="auto"/>
            <w:left w:val="none" w:sz="0" w:space="0" w:color="auto"/>
            <w:bottom w:val="none" w:sz="0" w:space="0" w:color="auto"/>
            <w:right w:val="none" w:sz="0" w:space="0" w:color="auto"/>
          </w:divBdr>
        </w:div>
        <w:div w:id="423846850">
          <w:marLeft w:val="0"/>
          <w:marRight w:val="0"/>
          <w:marTop w:val="0"/>
          <w:marBottom w:val="0"/>
          <w:divBdr>
            <w:top w:val="none" w:sz="0" w:space="0" w:color="auto"/>
            <w:left w:val="none" w:sz="0" w:space="0" w:color="auto"/>
            <w:bottom w:val="none" w:sz="0" w:space="0" w:color="auto"/>
            <w:right w:val="none" w:sz="0" w:space="0" w:color="auto"/>
          </w:divBdr>
        </w:div>
        <w:div w:id="448818958">
          <w:marLeft w:val="0"/>
          <w:marRight w:val="0"/>
          <w:marTop w:val="0"/>
          <w:marBottom w:val="0"/>
          <w:divBdr>
            <w:top w:val="none" w:sz="0" w:space="0" w:color="auto"/>
            <w:left w:val="none" w:sz="0" w:space="0" w:color="auto"/>
            <w:bottom w:val="none" w:sz="0" w:space="0" w:color="auto"/>
            <w:right w:val="none" w:sz="0" w:space="0" w:color="auto"/>
          </w:divBdr>
        </w:div>
        <w:div w:id="510603965">
          <w:marLeft w:val="0"/>
          <w:marRight w:val="0"/>
          <w:marTop w:val="0"/>
          <w:marBottom w:val="0"/>
          <w:divBdr>
            <w:top w:val="none" w:sz="0" w:space="0" w:color="auto"/>
            <w:left w:val="none" w:sz="0" w:space="0" w:color="auto"/>
            <w:bottom w:val="none" w:sz="0" w:space="0" w:color="auto"/>
            <w:right w:val="none" w:sz="0" w:space="0" w:color="auto"/>
          </w:divBdr>
        </w:div>
        <w:div w:id="562369521">
          <w:marLeft w:val="0"/>
          <w:marRight w:val="0"/>
          <w:marTop w:val="0"/>
          <w:marBottom w:val="0"/>
          <w:divBdr>
            <w:top w:val="none" w:sz="0" w:space="0" w:color="auto"/>
            <w:left w:val="none" w:sz="0" w:space="0" w:color="auto"/>
            <w:bottom w:val="none" w:sz="0" w:space="0" w:color="auto"/>
            <w:right w:val="none" w:sz="0" w:space="0" w:color="auto"/>
          </w:divBdr>
        </w:div>
        <w:div w:id="590433365">
          <w:marLeft w:val="0"/>
          <w:marRight w:val="0"/>
          <w:marTop w:val="0"/>
          <w:marBottom w:val="0"/>
          <w:divBdr>
            <w:top w:val="none" w:sz="0" w:space="0" w:color="auto"/>
            <w:left w:val="none" w:sz="0" w:space="0" w:color="auto"/>
            <w:bottom w:val="none" w:sz="0" w:space="0" w:color="auto"/>
            <w:right w:val="none" w:sz="0" w:space="0" w:color="auto"/>
          </w:divBdr>
        </w:div>
        <w:div w:id="954870676">
          <w:marLeft w:val="0"/>
          <w:marRight w:val="0"/>
          <w:marTop w:val="0"/>
          <w:marBottom w:val="0"/>
          <w:divBdr>
            <w:top w:val="none" w:sz="0" w:space="0" w:color="auto"/>
            <w:left w:val="none" w:sz="0" w:space="0" w:color="auto"/>
            <w:bottom w:val="none" w:sz="0" w:space="0" w:color="auto"/>
            <w:right w:val="none" w:sz="0" w:space="0" w:color="auto"/>
          </w:divBdr>
        </w:div>
        <w:div w:id="975525290">
          <w:marLeft w:val="0"/>
          <w:marRight w:val="0"/>
          <w:marTop w:val="0"/>
          <w:marBottom w:val="0"/>
          <w:divBdr>
            <w:top w:val="none" w:sz="0" w:space="0" w:color="auto"/>
            <w:left w:val="none" w:sz="0" w:space="0" w:color="auto"/>
            <w:bottom w:val="none" w:sz="0" w:space="0" w:color="auto"/>
            <w:right w:val="none" w:sz="0" w:space="0" w:color="auto"/>
          </w:divBdr>
        </w:div>
        <w:div w:id="978878310">
          <w:marLeft w:val="0"/>
          <w:marRight w:val="0"/>
          <w:marTop w:val="0"/>
          <w:marBottom w:val="0"/>
          <w:divBdr>
            <w:top w:val="none" w:sz="0" w:space="0" w:color="auto"/>
            <w:left w:val="none" w:sz="0" w:space="0" w:color="auto"/>
            <w:bottom w:val="none" w:sz="0" w:space="0" w:color="auto"/>
            <w:right w:val="none" w:sz="0" w:space="0" w:color="auto"/>
          </w:divBdr>
        </w:div>
        <w:div w:id="1018197246">
          <w:marLeft w:val="0"/>
          <w:marRight w:val="0"/>
          <w:marTop w:val="0"/>
          <w:marBottom w:val="0"/>
          <w:divBdr>
            <w:top w:val="none" w:sz="0" w:space="0" w:color="auto"/>
            <w:left w:val="none" w:sz="0" w:space="0" w:color="auto"/>
            <w:bottom w:val="none" w:sz="0" w:space="0" w:color="auto"/>
            <w:right w:val="none" w:sz="0" w:space="0" w:color="auto"/>
          </w:divBdr>
        </w:div>
        <w:div w:id="1065447284">
          <w:marLeft w:val="0"/>
          <w:marRight w:val="0"/>
          <w:marTop w:val="0"/>
          <w:marBottom w:val="0"/>
          <w:divBdr>
            <w:top w:val="none" w:sz="0" w:space="0" w:color="auto"/>
            <w:left w:val="none" w:sz="0" w:space="0" w:color="auto"/>
            <w:bottom w:val="none" w:sz="0" w:space="0" w:color="auto"/>
            <w:right w:val="none" w:sz="0" w:space="0" w:color="auto"/>
          </w:divBdr>
        </w:div>
        <w:div w:id="1208759976">
          <w:marLeft w:val="0"/>
          <w:marRight w:val="0"/>
          <w:marTop w:val="0"/>
          <w:marBottom w:val="0"/>
          <w:divBdr>
            <w:top w:val="none" w:sz="0" w:space="0" w:color="auto"/>
            <w:left w:val="none" w:sz="0" w:space="0" w:color="auto"/>
            <w:bottom w:val="none" w:sz="0" w:space="0" w:color="auto"/>
            <w:right w:val="none" w:sz="0" w:space="0" w:color="auto"/>
          </w:divBdr>
        </w:div>
        <w:div w:id="1294822769">
          <w:marLeft w:val="0"/>
          <w:marRight w:val="0"/>
          <w:marTop w:val="0"/>
          <w:marBottom w:val="0"/>
          <w:divBdr>
            <w:top w:val="none" w:sz="0" w:space="0" w:color="auto"/>
            <w:left w:val="none" w:sz="0" w:space="0" w:color="auto"/>
            <w:bottom w:val="none" w:sz="0" w:space="0" w:color="auto"/>
            <w:right w:val="none" w:sz="0" w:space="0" w:color="auto"/>
          </w:divBdr>
        </w:div>
        <w:div w:id="1319647201">
          <w:marLeft w:val="0"/>
          <w:marRight w:val="0"/>
          <w:marTop w:val="0"/>
          <w:marBottom w:val="0"/>
          <w:divBdr>
            <w:top w:val="none" w:sz="0" w:space="0" w:color="auto"/>
            <w:left w:val="none" w:sz="0" w:space="0" w:color="auto"/>
            <w:bottom w:val="none" w:sz="0" w:space="0" w:color="auto"/>
            <w:right w:val="none" w:sz="0" w:space="0" w:color="auto"/>
          </w:divBdr>
        </w:div>
        <w:div w:id="1412503031">
          <w:marLeft w:val="0"/>
          <w:marRight w:val="0"/>
          <w:marTop w:val="0"/>
          <w:marBottom w:val="0"/>
          <w:divBdr>
            <w:top w:val="none" w:sz="0" w:space="0" w:color="auto"/>
            <w:left w:val="none" w:sz="0" w:space="0" w:color="auto"/>
            <w:bottom w:val="none" w:sz="0" w:space="0" w:color="auto"/>
            <w:right w:val="none" w:sz="0" w:space="0" w:color="auto"/>
          </w:divBdr>
        </w:div>
        <w:div w:id="1494174860">
          <w:marLeft w:val="0"/>
          <w:marRight w:val="0"/>
          <w:marTop w:val="0"/>
          <w:marBottom w:val="0"/>
          <w:divBdr>
            <w:top w:val="none" w:sz="0" w:space="0" w:color="auto"/>
            <w:left w:val="none" w:sz="0" w:space="0" w:color="auto"/>
            <w:bottom w:val="none" w:sz="0" w:space="0" w:color="auto"/>
            <w:right w:val="none" w:sz="0" w:space="0" w:color="auto"/>
          </w:divBdr>
        </w:div>
        <w:div w:id="1590503707">
          <w:marLeft w:val="0"/>
          <w:marRight w:val="0"/>
          <w:marTop w:val="0"/>
          <w:marBottom w:val="0"/>
          <w:divBdr>
            <w:top w:val="none" w:sz="0" w:space="0" w:color="auto"/>
            <w:left w:val="none" w:sz="0" w:space="0" w:color="auto"/>
            <w:bottom w:val="none" w:sz="0" w:space="0" w:color="auto"/>
            <w:right w:val="none" w:sz="0" w:space="0" w:color="auto"/>
          </w:divBdr>
        </w:div>
        <w:div w:id="1672953327">
          <w:marLeft w:val="0"/>
          <w:marRight w:val="0"/>
          <w:marTop w:val="0"/>
          <w:marBottom w:val="0"/>
          <w:divBdr>
            <w:top w:val="none" w:sz="0" w:space="0" w:color="auto"/>
            <w:left w:val="none" w:sz="0" w:space="0" w:color="auto"/>
            <w:bottom w:val="none" w:sz="0" w:space="0" w:color="auto"/>
            <w:right w:val="none" w:sz="0" w:space="0" w:color="auto"/>
          </w:divBdr>
        </w:div>
        <w:div w:id="1715764269">
          <w:marLeft w:val="0"/>
          <w:marRight w:val="0"/>
          <w:marTop w:val="0"/>
          <w:marBottom w:val="0"/>
          <w:divBdr>
            <w:top w:val="none" w:sz="0" w:space="0" w:color="auto"/>
            <w:left w:val="none" w:sz="0" w:space="0" w:color="auto"/>
            <w:bottom w:val="none" w:sz="0" w:space="0" w:color="auto"/>
            <w:right w:val="none" w:sz="0" w:space="0" w:color="auto"/>
          </w:divBdr>
        </w:div>
        <w:div w:id="1856071148">
          <w:marLeft w:val="0"/>
          <w:marRight w:val="0"/>
          <w:marTop w:val="0"/>
          <w:marBottom w:val="0"/>
          <w:divBdr>
            <w:top w:val="none" w:sz="0" w:space="0" w:color="auto"/>
            <w:left w:val="none" w:sz="0" w:space="0" w:color="auto"/>
            <w:bottom w:val="none" w:sz="0" w:space="0" w:color="auto"/>
            <w:right w:val="none" w:sz="0" w:space="0" w:color="auto"/>
          </w:divBdr>
        </w:div>
        <w:div w:id="2008946110">
          <w:marLeft w:val="0"/>
          <w:marRight w:val="0"/>
          <w:marTop w:val="0"/>
          <w:marBottom w:val="0"/>
          <w:divBdr>
            <w:top w:val="none" w:sz="0" w:space="0" w:color="auto"/>
            <w:left w:val="none" w:sz="0" w:space="0" w:color="auto"/>
            <w:bottom w:val="none" w:sz="0" w:space="0" w:color="auto"/>
            <w:right w:val="none" w:sz="0" w:space="0" w:color="auto"/>
          </w:divBdr>
        </w:div>
        <w:div w:id="2062361227">
          <w:marLeft w:val="0"/>
          <w:marRight w:val="0"/>
          <w:marTop w:val="0"/>
          <w:marBottom w:val="0"/>
          <w:divBdr>
            <w:top w:val="none" w:sz="0" w:space="0" w:color="auto"/>
            <w:left w:val="none" w:sz="0" w:space="0" w:color="auto"/>
            <w:bottom w:val="none" w:sz="0" w:space="0" w:color="auto"/>
            <w:right w:val="none" w:sz="0" w:space="0" w:color="auto"/>
          </w:divBdr>
        </w:div>
      </w:divsChild>
    </w:div>
    <w:div w:id="1431926386">
      <w:bodyDiv w:val="1"/>
      <w:marLeft w:val="0"/>
      <w:marRight w:val="0"/>
      <w:marTop w:val="0"/>
      <w:marBottom w:val="0"/>
      <w:divBdr>
        <w:top w:val="none" w:sz="0" w:space="0" w:color="auto"/>
        <w:left w:val="none" w:sz="0" w:space="0" w:color="auto"/>
        <w:bottom w:val="none" w:sz="0" w:space="0" w:color="auto"/>
        <w:right w:val="none" w:sz="0" w:space="0" w:color="auto"/>
      </w:divBdr>
    </w:div>
    <w:div w:id="1432117467">
      <w:bodyDiv w:val="1"/>
      <w:marLeft w:val="0"/>
      <w:marRight w:val="0"/>
      <w:marTop w:val="0"/>
      <w:marBottom w:val="0"/>
      <w:divBdr>
        <w:top w:val="none" w:sz="0" w:space="0" w:color="auto"/>
        <w:left w:val="none" w:sz="0" w:space="0" w:color="auto"/>
        <w:bottom w:val="none" w:sz="0" w:space="0" w:color="auto"/>
        <w:right w:val="none" w:sz="0" w:space="0" w:color="auto"/>
      </w:divBdr>
    </w:div>
    <w:div w:id="1432120203">
      <w:bodyDiv w:val="1"/>
      <w:marLeft w:val="0"/>
      <w:marRight w:val="0"/>
      <w:marTop w:val="0"/>
      <w:marBottom w:val="0"/>
      <w:divBdr>
        <w:top w:val="none" w:sz="0" w:space="0" w:color="auto"/>
        <w:left w:val="none" w:sz="0" w:space="0" w:color="auto"/>
        <w:bottom w:val="none" w:sz="0" w:space="0" w:color="auto"/>
        <w:right w:val="none" w:sz="0" w:space="0" w:color="auto"/>
      </w:divBdr>
    </w:div>
    <w:div w:id="1433084875">
      <w:bodyDiv w:val="1"/>
      <w:marLeft w:val="0"/>
      <w:marRight w:val="0"/>
      <w:marTop w:val="0"/>
      <w:marBottom w:val="0"/>
      <w:divBdr>
        <w:top w:val="none" w:sz="0" w:space="0" w:color="auto"/>
        <w:left w:val="none" w:sz="0" w:space="0" w:color="auto"/>
        <w:bottom w:val="none" w:sz="0" w:space="0" w:color="auto"/>
        <w:right w:val="none" w:sz="0" w:space="0" w:color="auto"/>
      </w:divBdr>
    </w:div>
    <w:div w:id="1433088288">
      <w:bodyDiv w:val="1"/>
      <w:marLeft w:val="0"/>
      <w:marRight w:val="0"/>
      <w:marTop w:val="0"/>
      <w:marBottom w:val="0"/>
      <w:divBdr>
        <w:top w:val="none" w:sz="0" w:space="0" w:color="auto"/>
        <w:left w:val="none" w:sz="0" w:space="0" w:color="auto"/>
        <w:bottom w:val="none" w:sz="0" w:space="0" w:color="auto"/>
        <w:right w:val="none" w:sz="0" w:space="0" w:color="auto"/>
      </w:divBdr>
    </w:div>
    <w:div w:id="1433431466">
      <w:bodyDiv w:val="1"/>
      <w:marLeft w:val="0"/>
      <w:marRight w:val="0"/>
      <w:marTop w:val="0"/>
      <w:marBottom w:val="0"/>
      <w:divBdr>
        <w:top w:val="none" w:sz="0" w:space="0" w:color="auto"/>
        <w:left w:val="none" w:sz="0" w:space="0" w:color="auto"/>
        <w:bottom w:val="none" w:sz="0" w:space="0" w:color="auto"/>
        <w:right w:val="none" w:sz="0" w:space="0" w:color="auto"/>
      </w:divBdr>
    </w:div>
    <w:div w:id="1433668829">
      <w:bodyDiv w:val="1"/>
      <w:marLeft w:val="0"/>
      <w:marRight w:val="0"/>
      <w:marTop w:val="0"/>
      <w:marBottom w:val="0"/>
      <w:divBdr>
        <w:top w:val="none" w:sz="0" w:space="0" w:color="auto"/>
        <w:left w:val="none" w:sz="0" w:space="0" w:color="auto"/>
        <w:bottom w:val="none" w:sz="0" w:space="0" w:color="auto"/>
        <w:right w:val="none" w:sz="0" w:space="0" w:color="auto"/>
      </w:divBdr>
    </w:div>
    <w:div w:id="1434281169">
      <w:bodyDiv w:val="1"/>
      <w:marLeft w:val="0"/>
      <w:marRight w:val="0"/>
      <w:marTop w:val="0"/>
      <w:marBottom w:val="0"/>
      <w:divBdr>
        <w:top w:val="none" w:sz="0" w:space="0" w:color="auto"/>
        <w:left w:val="none" w:sz="0" w:space="0" w:color="auto"/>
        <w:bottom w:val="none" w:sz="0" w:space="0" w:color="auto"/>
        <w:right w:val="none" w:sz="0" w:space="0" w:color="auto"/>
      </w:divBdr>
    </w:div>
    <w:div w:id="1434327398">
      <w:bodyDiv w:val="1"/>
      <w:marLeft w:val="0"/>
      <w:marRight w:val="0"/>
      <w:marTop w:val="0"/>
      <w:marBottom w:val="0"/>
      <w:divBdr>
        <w:top w:val="none" w:sz="0" w:space="0" w:color="auto"/>
        <w:left w:val="none" w:sz="0" w:space="0" w:color="auto"/>
        <w:bottom w:val="none" w:sz="0" w:space="0" w:color="auto"/>
        <w:right w:val="none" w:sz="0" w:space="0" w:color="auto"/>
      </w:divBdr>
    </w:div>
    <w:div w:id="1434396497">
      <w:bodyDiv w:val="1"/>
      <w:marLeft w:val="0"/>
      <w:marRight w:val="0"/>
      <w:marTop w:val="0"/>
      <w:marBottom w:val="0"/>
      <w:divBdr>
        <w:top w:val="none" w:sz="0" w:space="0" w:color="auto"/>
        <w:left w:val="none" w:sz="0" w:space="0" w:color="auto"/>
        <w:bottom w:val="none" w:sz="0" w:space="0" w:color="auto"/>
        <w:right w:val="none" w:sz="0" w:space="0" w:color="auto"/>
      </w:divBdr>
    </w:div>
    <w:div w:id="1435402087">
      <w:bodyDiv w:val="1"/>
      <w:marLeft w:val="0"/>
      <w:marRight w:val="0"/>
      <w:marTop w:val="0"/>
      <w:marBottom w:val="0"/>
      <w:divBdr>
        <w:top w:val="none" w:sz="0" w:space="0" w:color="auto"/>
        <w:left w:val="none" w:sz="0" w:space="0" w:color="auto"/>
        <w:bottom w:val="none" w:sz="0" w:space="0" w:color="auto"/>
        <w:right w:val="none" w:sz="0" w:space="0" w:color="auto"/>
      </w:divBdr>
    </w:div>
    <w:div w:id="1437411389">
      <w:bodyDiv w:val="1"/>
      <w:marLeft w:val="0"/>
      <w:marRight w:val="0"/>
      <w:marTop w:val="0"/>
      <w:marBottom w:val="0"/>
      <w:divBdr>
        <w:top w:val="none" w:sz="0" w:space="0" w:color="auto"/>
        <w:left w:val="none" w:sz="0" w:space="0" w:color="auto"/>
        <w:bottom w:val="none" w:sz="0" w:space="0" w:color="auto"/>
        <w:right w:val="none" w:sz="0" w:space="0" w:color="auto"/>
      </w:divBdr>
    </w:div>
    <w:div w:id="1438021256">
      <w:bodyDiv w:val="1"/>
      <w:marLeft w:val="0"/>
      <w:marRight w:val="0"/>
      <w:marTop w:val="0"/>
      <w:marBottom w:val="0"/>
      <w:divBdr>
        <w:top w:val="none" w:sz="0" w:space="0" w:color="auto"/>
        <w:left w:val="none" w:sz="0" w:space="0" w:color="auto"/>
        <w:bottom w:val="none" w:sz="0" w:space="0" w:color="auto"/>
        <w:right w:val="none" w:sz="0" w:space="0" w:color="auto"/>
      </w:divBdr>
    </w:div>
    <w:div w:id="1438595698">
      <w:bodyDiv w:val="1"/>
      <w:marLeft w:val="0"/>
      <w:marRight w:val="0"/>
      <w:marTop w:val="0"/>
      <w:marBottom w:val="0"/>
      <w:divBdr>
        <w:top w:val="none" w:sz="0" w:space="0" w:color="auto"/>
        <w:left w:val="none" w:sz="0" w:space="0" w:color="auto"/>
        <w:bottom w:val="none" w:sz="0" w:space="0" w:color="auto"/>
        <w:right w:val="none" w:sz="0" w:space="0" w:color="auto"/>
      </w:divBdr>
    </w:div>
    <w:div w:id="1439565851">
      <w:bodyDiv w:val="1"/>
      <w:marLeft w:val="0"/>
      <w:marRight w:val="0"/>
      <w:marTop w:val="0"/>
      <w:marBottom w:val="0"/>
      <w:divBdr>
        <w:top w:val="none" w:sz="0" w:space="0" w:color="auto"/>
        <w:left w:val="none" w:sz="0" w:space="0" w:color="auto"/>
        <w:bottom w:val="none" w:sz="0" w:space="0" w:color="auto"/>
        <w:right w:val="none" w:sz="0" w:space="0" w:color="auto"/>
      </w:divBdr>
    </w:div>
    <w:div w:id="1440102906">
      <w:bodyDiv w:val="1"/>
      <w:marLeft w:val="0"/>
      <w:marRight w:val="0"/>
      <w:marTop w:val="0"/>
      <w:marBottom w:val="0"/>
      <w:divBdr>
        <w:top w:val="none" w:sz="0" w:space="0" w:color="auto"/>
        <w:left w:val="none" w:sz="0" w:space="0" w:color="auto"/>
        <w:bottom w:val="none" w:sz="0" w:space="0" w:color="auto"/>
        <w:right w:val="none" w:sz="0" w:space="0" w:color="auto"/>
      </w:divBdr>
    </w:div>
    <w:div w:id="1440371417">
      <w:bodyDiv w:val="1"/>
      <w:marLeft w:val="0"/>
      <w:marRight w:val="0"/>
      <w:marTop w:val="0"/>
      <w:marBottom w:val="0"/>
      <w:divBdr>
        <w:top w:val="none" w:sz="0" w:space="0" w:color="auto"/>
        <w:left w:val="none" w:sz="0" w:space="0" w:color="auto"/>
        <w:bottom w:val="none" w:sz="0" w:space="0" w:color="auto"/>
        <w:right w:val="none" w:sz="0" w:space="0" w:color="auto"/>
      </w:divBdr>
    </w:div>
    <w:div w:id="1441411942">
      <w:bodyDiv w:val="1"/>
      <w:marLeft w:val="0"/>
      <w:marRight w:val="0"/>
      <w:marTop w:val="0"/>
      <w:marBottom w:val="0"/>
      <w:divBdr>
        <w:top w:val="none" w:sz="0" w:space="0" w:color="auto"/>
        <w:left w:val="none" w:sz="0" w:space="0" w:color="auto"/>
        <w:bottom w:val="none" w:sz="0" w:space="0" w:color="auto"/>
        <w:right w:val="none" w:sz="0" w:space="0" w:color="auto"/>
      </w:divBdr>
    </w:div>
    <w:div w:id="1441685740">
      <w:bodyDiv w:val="1"/>
      <w:marLeft w:val="0"/>
      <w:marRight w:val="0"/>
      <w:marTop w:val="0"/>
      <w:marBottom w:val="0"/>
      <w:divBdr>
        <w:top w:val="none" w:sz="0" w:space="0" w:color="auto"/>
        <w:left w:val="none" w:sz="0" w:space="0" w:color="auto"/>
        <w:bottom w:val="none" w:sz="0" w:space="0" w:color="auto"/>
        <w:right w:val="none" w:sz="0" w:space="0" w:color="auto"/>
      </w:divBdr>
    </w:div>
    <w:div w:id="1442535402">
      <w:bodyDiv w:val="1"/>
      <w:marLeft w:val="0"/>
      <w:marRight w:val="0"/>
      <w:marTop w:val="0"/>
      <w:marBottom w:val="0"/>
      <w:divBdr>
        <w:top w:val="none" w:sz="0" w:space="0" w:color="auto"/>
        <w:left w:val="none" w:sz="0" w:space="0" w:color="auto"/>
        <w:bottom w:val="none" w:sz="0" w:space="0" w:color="auto"/>
        <w:right w:val="none" w:sz="0" w:space="0" w:color="auto"/>
      </w:divBdr>
    </w:div>
    <w:div w:id="1442719343">
      <w:bodyDiv w:val="1"/>
      <w:marLeft w:val="0"/>
      <w:marRight w:val="0"/>
      <w:marTop w:val="0"/>
      <w:marBottom w:val="0"/>
      <w:divBdr>
        <w:top w:val="none" w:sz="0" w:space="0" w:color="auto"/>
        <w:left w:val="none" w:sz="0" w:space="0" w:color="auto"/>
        <w:bottom w:val="none" w:sz="0" w:space="0" w:color="auto"/>
        <w:right w:val="none" w:sz="0" w:space="0" w:color="auto"/>
      </w:divBdr>
    </w:div>
    <w:div w:id="1443766149">
      <w:bodyDiv w:val="1"/>
      <w:marLeft w:val="0"/>
      <w:marRight w:val="0"/>
      <w:marTop w:val="0"/>
      <w:marBottom w:val="0"/>
      <w:divBdr>
        <w:top w:val="none" w:sz="0" w:space="0" w:color="auto"/>
        <w:left w:val="none" w:sz="0" w:space="0" w:color="auto"/>
        <w:bottom w:val="none" w:sz="0" w:space="0" w:color="auto"/>
        <w:right w:val="none" w:sz="0" w:space="0" w:color="auto"/>
      </w:divBdr>
    </w:div>
    <w:div w:id="1443921587">
      <w:bodyDiv w:val="1"/>
      <w:marLeft w:val="0"/>
      <w:marRight w:val="0"/>
      <w:marTop w:val="0"/>
      <w:marBottom w:val="0"/>
      <w:divBdr>
        <w:top w:val="none" w:sz="0" w:space="0" w:color="auto"/>
        <w:left w:val="none" w:sz="0" w:space="0" w:color="auto"/>
        <w:bottom w:val="none" w:sz="0" w:space="0" w:color="auto"/>
        <w:right w:val="none" w:sz="0" w:space="0" w:color="auto"/>
      </w:divBdr>
    </w:div>
    <w:div w:id="1444031810">
      <w:bodyDiv w:val="1"/>
      <w:marLeft w:val="0"/>
      <w:marRight w:val="0"/>
      <w:marTop w:val="0"/>
      <w:marBottom w:val="0"/>
      <w:divBdr>
        <w:top w:val="none" w:sz="0" w:space="0" w:color="auto"/>
        <w:left w:val="none" w:sz="0" w:space="0" w:color="auto"/>
        <w:bottom w:val="none" w:sz="0" w:space="0" w:color="auto"/>
        <w:right w:val="none" w:sz="0" w:space="0" w:color="auto"/>
      </w:divBdr>
    </w:div>
    <w:div w:id="1444155948">
      <w:bodyDiv w:val="1"/>
      <w:marLeft w:val="0"/>
      <w:marRight w:val="0"/>
      <w:marTop w:val="0"/>
      <w:marBottom w:val="0"/>
      <w:divBdr>
        <w:top w:val="none" w:sz="0" w:space="0" w:color="auto"/>
        <w:left w:val="none" w:sz="0" w:space="0" w:color="auto"/>
        <w:bottom w:val="none" w:sz="0" w:space="0" w:color="auto"/>
        <w:right w:val="none" w:sz="0" w:space="0" w:color="auto"/>
      </w:divBdr>
    </w:div>
    <w:div w:id="1444230135">
      <w:bodyDiv w:val="1"/>
      <w:marLeft w:val="0"/>
      <w:marRight w:val="0"/>
      <w:marTop w:val="0"/>
      <w:marBottom w:val="0"/>
      <w:divBdr>
        <w:top w:val="none" w:sz="0" w:space="0" w:color="auto"/>
        <w:left w:val="none" w:sz="0" w:space="0" w:color="auto"/>
        <w:bottom w:val="none" w:sz="0" w:space="0" w:color="auto"/>
        <w:right w:val="none" w:sz="0" w:space="0" w:color="auto"/>
      </w:divBdr>
    </w:div>
    <w:div w:id="1444837735">
      <w:bodyDiv w:val="1"/>
      <w:marLeft w:val="0"/>
      <w:marRight w:val="0"/>
      <w:marTop w:val="0"/>
      <w:marBottom w:val="0"/>
      <w:divBdr>
        <w:top w:val="none" w:sz="0" w:space="0" w:color="auto"/>
        <w:left w:val="none" w:sz="0" w:space="0" w:color="auto"/>
        <w:bottom w:val="none" w:sz="0" w:space="0" w:color="auto"/>
        <w:right w:val="none" w:sz="0" w:space="0" w:color="auto"/>
      </w:divBdr>
    </w:div>
    <w:div w:id="1445420951">
      <w:bodyDiv w:val="1"/>
      <w:marLeft w:val="0"/>
      <w:marRight w:val="0"/>
      <w:marTop w:val="0"/>
      <w:marBottom w:val="0"/>
      <w:divBdr>
        <w:top w:val="none" w:sz="0" w:space="0" w:color="auto"/>
        <w:left w:val="none" w:sz="0" w:space="0" w:color="auto"/>
        <w:bottom w:val="none" w:sz="0" w:space="0" w:color="auto"/>
        <w:right w:val="none" w:sz="0" w:space="0" w:color="auto"/>
      </w:divBdr>
    </w:div>
    <w:div w:id="1445732767">
      <w:bodyDiv w:val="1"/>
      <w:marLeft w:val="0"/>
      <w:marRight w:val="0"/>
      <w:marTop w:val="0"/>
      <w:marBottom w:val="0"/>
      <w:divBdr>
        <w:top w:val="none" w:sz="0" w:space="0" w:color="auto"/>
        <w:left w:val="none" w:sz="0" w:space="0" w:color="auto"/>
        <w:bottom w:val="none" w:sz="0" w:space="0" w:color="auto"/>
        <w:right w:val="none" w:sz="0" w:space="0" w:color="auto"/>
      </w:divBdr>
    </w:div>
    <w:div w:id="1445735507">
      <w:bodyDiv w:val="1"/>
      <w:marLeft w:val="0"/>
      <w:marRight w:val="0"/>
      <w:marTop w:val="0"/>
      <w:marBottom w:val="0"/>
      <w:divBdr>
        <w:top w:val="none" w:sz="0" w:space="0" w:color="auto"/>
        <w:left w:val="none" w:sz="0" w:space="0" w:color="auto"/>
        <w:bottom w:val="none" w:sz="0" w:space="0" w:color="auto"/>
        <w:right w:val="none" w:sz="0" w:space="0" w:color="auto"/>
      </w:divBdr>
    </w:div>
    <w:div w:id="1446189809">
      <w:bodyDiv w:val="1"/>
      <w:marLeft w:val="0"/>
      <w:marRight w:val="0"/>
      <w:marTop w:val="0"/>
      <w:marBottom w:val="0"/>
      <w:divBdr>
        <w:top w:val="none" w:sz="0" w:space="0" w:color="auto"/>
        <w:left w:val="none" w:sz="0" w:space="0" w:color="auto"/>
        <w:bottom w:val="none" w:sz="0" w:space="0" w:color="auto"/>
        <w:right w:val="none" w:sz="0" w:space="0" w:color="auto"/>
      </w:divBdr>
    </w:div>
    <w:div w:id="1446460348">
      <w:bodyDiv w:val="1"/>
      <w:marLeft w:val="0"/>
      <w:marRight w:val="0"/>
      <w:marTop w:val="0"/>
      <w:marBottom w:val="0"/>
      <w:divBdr>
        <w:top w:val="none" w:sz="0" w:space="0" w:color="auto"/>
        <w:left w:val="none" w:sz="0" w:space="0" w:color="auto"/>
        <w:bottom w:val="none" w:sz="0" w:space="0" w:color="auto"/>
        <w:right w:val="none" w:sz="0" w:space="0" w:color="auto"/>
      </w:divBdr>
    </w:div>
    <w:div w:id="1446535877">
      <w:bodyDiv w:val="1"/>
      <w:marLeft w:val="0"/>
      <w:marRight w:val="0"/>
      <w:marTop w:val="0"/>
      <w:marBottom w:val="0"/>
      <w:divBdr>
        <w:top w:val="none" w:sz="0" w:space="0" w:color="auto"/>
        <w:left w:val="none" w:sz="0" w:space="0" w:color="auto"/>
        <w:bottom w:val="none" w:sz="0" w:space="0" w:color="auto"/>
        <w:right w:val="none" w:sz="0" w:space="0" w:color="auto"/>
      </w:divBdr>
    </w:div>
    <w:div w:id="1446845885">
      <w:bodyDiv w:val="1"/>
      <w:marLeft w:val="0"/>
      <w:marRight w:val="0"/>
      <w:marTop w:val="0"/>
      <w:marBottom w:val="0"/>
      <w:divBdr>
        <w:top w:val="none" w:sz="0" w:space="0" w:color="auto"/>
        <w:left w:val="none" w:sz="0" w:space="0" w:color="auto"/>
        <w:bottom w:val="none" w:sz="0" w:space="0" w:color="auto"/>
        <w:right w:val="none" w:sz="0" w:space="0" w:color="auto"/>
      </w:divBdr>
    </w:div>
    <w:div w:id="1446926160">
      <w:bodyDiv w:val="1"/>
      <w:marLeft w:val="0"/>
      <w:marRight w:val="0"/>
      <w:marTop w:val="0"/>
      <w:marBottom w:val="0"/>
      <w:divBdr>
        <w:top w:val="none" w:sz="0" w:space="0" w:color="auto"/>
        <w:left w:val="none" w:sz="0" w:space="0" w:color="auto"/>
        <w:bottom w:val="none" w:sz="0" w:space="0" w:color="auto"/>
        <w:right w:val="none" w:sz="0" w:space="0" w:color="auto"/>
      </w:divBdr>
    </w:div>
    <w:div w:id="1446996720">
      <w:bodyDiv w:val="1"/>
      <w:marLeft w:val="0"/>
      <w:marRight w:val="0"/>
      <w:marTop w:val="0"/>
      <w:marBottom w:val="0"/>
      <w:divBdr>
        <w:top w:val="none" w:sz="0" w:space="0" w:color="auto"/>
        <w:left w:val="none" w:sz="0" w:space="0" w:color="auto"/>
        <w:bottom w:val="none" w:sz="0" w:space="0" w:color="auto"/>
        <w:right w:val="none" w:sz="0" w:space="0" w:color="auto"/>
      </w:divBdr>
    </w:div>
    <w:div w:id="1447196407">
      <w:bodyDiv w:val="1"/>
      <w:marLeft w:val="0"/>
      <w:marRight w:val="0"/>
      <w:marTop w:val="0"/>
      <w:marBottom w:val="0"/>
      <w:divBdr>
        <w:top w:val="none" w:sz="0" w:space="0" w:color="auto"/>
        <w:left w:val="none" w:sz="0" w:space="0" w:color="auto"/>
        <w:bottom w:val="none" w:sz="0" w:space="0" w:color="auto"/>
        <w:right w:val="none" w:sz="0" w:space="0" w:color="auto"/>
      </w:divBdr>
    </w:div>
    <w:div w:id="1447386680">
      <w:bodyDiv w:val="1"/>
      <w:marLeft w:val="0"/>
      <w:marRight w:val="0"/>
      <w:marTop w:val="0"/>
      <w:marBottom w:val="0"/>
      <w:divBdr>
        <w:top w:val="none" w:sz="0" w:space="0" w:color="auto"/>
        <w:left w:val="none" w:sz="0" w:space="0" w:color="auto"/>
        <w:bottom w:val="none" w:sz="0" w:space="0" w:color="auto"/>
        <w:right w:val="none" w:sz="0" w:space="0" w:color="auto"/>
      </w:divBdr>
    </w:div>
    <w:div w:id="1447460054">
      <w:bodyDiv w:val="1"/>
      <w:marLeft w:val="0"/>
      <w:marRight w:val="0"/>
      <w:marTop w:val="0"/>
      <w:marBottom w:val="0"/>
      <w:divBdr>
        <w:top w:val="none" w:sz="0" w:space="0" w:color="auto"/>
        <w:left w:val="none" w:sz="0" w:space="0" w:color="auto"/>
        <w:bottom w:val="none" w:sz="0" w:space="0" w:color="auto"/>
        <w:right w:val="none" w:sz="0" w:space="0" w:color="auto"/>
      </w:divBdr>
    </w:div>
    <w:div w:id="1447654840">
      <w:bodyDiv w:val="1"/>
      <w:marLeft w:val="0"/>
      <w:marRight w:val="0"/>
      <w:marTop w:val="0"/>
      <w:marBottom w:val="0"/>
      <w:divBdr>
        <w:top w:val="none" w:sz="0" w:space="0" w:color="auto"/>
        <w:left w:val="none" w:sz="0" w:space="0" w:color="auto"/>
        <w:bottom w:val="none" w:sz="0" w:space="0" w:color="auto"/>
        <w:right w:val="none" w:sz="0" w:space="0" w:color="auto"/>
      </w:divBdr>
    </w:div>
    <w:div w:id="1449399644">
      <w:bodyDiv w:val="1"/>
      <w:marLeft w:val="0"/>
      <w:marRight w:val="0"/>
      <w:marTop w:val="0"/>
      <w:marBottom w:val="0"/>
      <w:divBdr>
        <w:top w:val="none" w:sz="0" w:space="0" w:color="auto"/>
        <w:left w:val="none" w:sz="0" w:space="0" w:color="auto"/>
        <w:bottom w:val="none" w:sz="0" w:space="0" w:color="auto"/>
        <w:right w:val="none" w:sz="0" w:space="0" w:color="auto"/>
      </w:divBdr>
    </w:div>
    <w:div w:id="1449659803">
      <w:bodyDiv w:val="1"/>
      <w:marLeft w:val="0"/>
      <w:marRight w:val="0"/>
      <w:marTop w:val="0"/>
      <w:marBottom w:val="0"/>
      <w:divBdr>
        <w:top w:val="none" w:sz="0" w:space="0" w:color="auto"/>
        <w:left w:val="none" w:sz="0" w:space="0" w:color="auto"/>
        <w:bottom w:val="none" w:sz="0" w:space="0" w:color="auto"/>
        <w:right w:val="none" w:sz="0" w:space="0" w:color="auto"/>
      </w:divBdr>
    </w:div>
    <w:div w:id="1449932331">
      <w:bodyDiv w:val="1"/>
      <w:marLeft w:val="0"/>
      <w:marRight w:val="0"/>
      <w:marTop w:val="0"/>
      <w:marBottom w:val="0"/>
      <w:divBdr>
        <w:top w:val="none" w:sz="0" w:space="0" w:color="auto"/>
        <w:left w:val="none" w:sz="0" w:space="0" w:color="auto"/>
        <w:bottom w:val="none" w:sz="0" w:space="0" w:color="auto"/>
        <w:right w:val="none" w:sz="0" w:space="0" w:color="auto"/>
      </w:divBdr>
    </w:div>
    <w:div w:id="1450706076">
      <w:bodyDiv w:val="1"/>
      <w:marLeft w:val="0"/>
      <w:marRight w:val="0"/>
      <w:marTop w:val="0"/>
      <w:marBottom w:val="0"/>
      <w:divBdr>
        <w:top w:val="none" w:sz="0" w:space="0" w:color="auto"/>
        <w:left w:val="none" w:sz="0" w:space="0" w:color="auto"/>
        <w:bottom w:val="none" w:sz="0" w:space="0" w:color="auto"/>
        <w:right w:val="none" w:sz="0" w:space="0" w:color="auto"/>
      </w:divBdr>
    </w:div>
    <w:div w:id="1451432766">
      <w:bodyDiv w:val="1"/>
      <w:marLeft w:val="0"/>
      <w:marRight w:val="0"/>
      <w:marTop w:val="0"/>
      <w:marBottom w:val="0"/>
      <w:divBdr>
        <w:top w:val="none" w:sz="0" w:space="0" w:color="auto"/>
        <w:left w:val="none" w:sz="0" w:space="0" w:color="auto"/>
        <w:bottom w:val="none" w:sz="0" w:space="0" w:color="auto"/>
        <w:right w:val="none" w:sz="0" w:space="0" w:color="auto"/>
      </w:divBdr>
    </w:div>
    <w:div w:id="1451508436">
      <w:bodyDiv w:val="1"/>
      <w:marLeft w:val="0"/>
      <w:marRight w:val="0"/>
      <w:marTop w:val="0"/>
      <w:marBottom w:val="0"/>
      <w:divBdr>
        <w:top w:val="none" w:sz="0" w:space="0" w:color="auto"/>
        <w:left w:val="none" w:sz="0" w:space="0" w:color="auto"/>
        <w:bottom w:val="none" w:sz="0" w:space="0" w:color="auto"/>
        <w:right w:val="none" w:sz="0" w:space="0" w:color="auto"/>
      </w:divBdr>
    </w:div>
    <w:div w:id="1453397432">
      <w:bodyDiv w:val="1"/>
      <w:marLeft w:val="0"/>
      <w:marRight w:val="0"/>
      <w:marTop w:val="0"/>
      <w:marBottom w:val="0"/>
      <w:divBdr>
        <w:top w:val="none" w:sz="0" w:space="0" w:color="auto"/>
        <w:left w:val="none" w:sz="0" w:space="0" w:color="auto"/>
        <w:bottom w:val="none" w:sz="0" w:space="0" w:color="auto"/>
        <w:right w:val="none" w:sz="0" w:space="0" w:color="auto"/>
      </w:divBdr>
    </w:div>
    <w:div w:id="1456293954">
      <w:bodyDiv w:val="1"/>
      <w:marLeft w:val="0"/>
      <w:marRight w:val="0"/>
      <w:marTop w:val="0"/>
      <w:marBottom w:val="0"/>
      <w:divBdr>
        <w:top w:val="none" w:sz="0" w:space="0" w:color="auto"/>
        <w:left w:val="none" w:sz="0" w:space="0" w:color="auto"/>
        <w:bottom w:val="none" w:sz="0" w:space="0" w:color="auto"/>
        <w:right w:val="none" w:sz="0" w:space="0" w:color="auto"/>
      </w:divBdr>
    </w:div>
    <w:div w:id="1456564818">
      <w:bodyDiv w:val="1"/>
      <w:marLeft w:val="0"/>
      <w:marRight w:val="0"/>
      <w:marTop w:val="0"/>
      <w:marBottom w:val="0"/>
      <w:divBdr>
        <w:top w:val="none" w:sz="0" w:space="0" w:color="auto"/>
        <w:left w:val="none" w:sz="0" w:space="0" w:color="auto"/>
        <w:bottom w:val="none" w:sz="0" w:space="0" w:color="auto"/>
        <w:right w:val="none" w:sz="0" w:space="0" w:color="auto"/>
      </w:divBdr>
    </w:div>
    <w:div w:id="1457792399">
      <w:bodyDiv w:val="1"/>
      <w:marLeft w:val="0"/>
      <w:marRight w:val="0"/>
      <w:marTop w:val="0"/>
      <w:marBottom w:val="0"/>
      <w:divBdr>
        <w:top w:val="none" w:sz="0" w:space="0" w:color="auto"/>
        <w:left w:val="none" w:sz="0" w:space="0" w:color="auto"/>
        <w:bottom w:val="none" w:sz="0" w:space="0" w:color="auto"/>
        <w:right w:val="none" w:sz="0" w:space="0" w:color="auto"/>
      </w:divBdr>
    </w:div>
    <w:div w:id="1459256503">
      <w:bodyDiv w:val="1"/>
      <w:marLeft w:val="0"/>
      <w:marRight w:val="0"/>
      <w:marTop w:val="0"/>
      <w:marBottom w:val="0"/>
      <w:divBdr>
        <w:top w:val="none" w:sz="0" w:space="0" w:color="auto"/>
        <w:left w:val="none" w:sz="0" w:space="0" w:color="auto"/>
        <w:bottom w:val="none" w:sz="0" w:space="0" w:color="auto"/>
        <w:right w:val="none" w:sz="0" w:space="0" w:color="auto"/>
      </w:divBdr>
    </w:div>
    <w:div w:id="1460107351">
      <w:bodyDiv w:val="1"/>
      <w:marLeft w:val="0"/>
      <w:marRight w:val="0"/>
      <w:marTop w:val="0"/>
      <w:marBottom w:val="0"/>
      <w:divBdr>
        <w:top w:val="none" w:sz="0" w:space="0" w:color="auto"/>
        <w:left w:val="none" w:sz="0" w:space="0" w:color="auto"/>
        <w:bottom w:val="none" w:sz="0" w:space="0" w:color="auto"/>
        <w:right w:val="none" w:sz="0" w:space="0" w:color="auto"/>
      </w:divBdr>
    </w:div>
    <w:div w:id="1460146665">
      <w:bodyDiv w:val="1"/>
      <w:marLeft w:val="0"/>
      <w:marRight w:val="0"/>
      <w:marTop w:val="0"/>
      <w:marBottom w:val="0"/>
      <w:divBdr>
        <w:top w:val="none" w:sz="0" w:space="0" w:color="auto"/>
        <w:left w:val="none" w:sz="0" w:space="0" w:color="auto"/>
        <w:bottom w:val="none" w:sz="0" w:space="0" w:color="auto"/>
        <w:right w:val="none" w:sz="0" w:space="0" w:color="auto"/>
      </w:divBdr>
    </w:div>
    <w:div w:id="1460489129">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08489">
      <w:bodyDiv w:val="1"/>
      <w:marLeft w:val="0"/>
      <w:marRight w:val="0"/>
      <w:marTop w:val="0"/>
      <w:marBottom w:val="0"/>
      <w:divBdr>
        <w:top w:val="none" w:sz="0" w:space="0" w:color="auto"/>
        <w:left w:val="none" w:sz="0" w:space="0" w:color="auto"/>
        <w:bottom w:val="none" w:sz="0" w:space="0" w:color="auto"/>
        <w:right w:val="none" w:sz="0" w:space="0" w:color="auto"/>
      </w:divBdr>
    </w:div>
    <w:div w:id="1463040285">
      <w:bodyDiv w:val="1"/>
      <w:marLeft w:val="0"/>
      <w:marRight w:val="0"/>
      <w:marTop w:val="0"/>
      <w:marBottom w:val="0"/>
      <w:divBdr>
        <w:top w:val="none" w:sz="0" w:space="0" w:color="auto"/>
        <w:left w:val="none" w:sz="0" w:space="0" w:color="auto"/>
        <w:bottom w:val="none" w:sz="0" w:space="0" w:color="auto"/>
        <w:right w:val="none" w:sz="0" w:space="0" w:color="auto"/>
      </w:divBdr>
    </w:div>
    <w:div w:id="1463501040">
      <w:bodyDiv w:val="1"/>
      <w:marLeft w:val="0"/>
      <w:marRight w:val="0"/>
      <w:marTop w:val="0"/>
      <w:marBottom w:val="0"/>
      <w:divBdr>
        <w:top w:val="none" w:sz="0" w:space="0" w:color="auto"/>
        <w:left w:val="none" w:sz="0" w:space="0" w:color="auto"/>
        <w:bottom w:val="none" w:sz="0" w:space="0" w:color="auto"/>
        <w:right w:val="none" w:sz="0" w:space="0" w:color="auto"/>
      </w:divBdr>
      <w:divsChild>
        <w:div w:id="1563901662">
          <w:marLeft w:val="0"/>
          <w:marRight w:val="0"/>
          <w:marTop w:val="0"/>
          <w:marBottom w:val="0"/>
          <w:divBdr>
            <w:top w:val="none" w:sz="0" w:space="0" w:color="auto"/>
            <w:left w:val="none" w:sz="0" w:space="0" w:color="auto"/>
            <w:bottom w:val="none" w:sz="0" w:space="0" w:color="auto"/>
            <w:right w:val="none" w:sz="0" w:space="0" w:color="auto"/>
          </w:divBdr>
        </w:div>
      </w:divsChild>
    </w:div>
    <w:div w:id="1463813442">
      <w:bodyDiv w:val="1"/>
      <w:marLeft w:val="0"/>
      <w:marRight w:val="0"/>
      <w:marTop w:val="0"/>
      <w:marBottom w:val="0"/>
      <w:divBdr>
        <w:top w:val="none" w:sz="0" w:space="0" w:color="auto"/>
        <w:left w:val="none" w:sz="0" w:space="0" w:color="auto"/>
        <w:bottom w:val="none" w:sz="0" w:space="0" w:color="auto"/>
        <w:right w:val="none" w:sz="0" w:space="0" w:color="auto"/>
      </w:divBdr>
    </w:div>
    <w:div w:id="1463838629">
      <w:bodyDiv w:val="1"/>
      <w:marLeft w:val="0"/>
      <w:marRight w:val="0"/>
      <w:marTop w:val="0"/>
      <w:marBottom w:val="0"/>
      <w:divBdr>
        <w:top w:val="none" w:sz="0" w:space="0" w:color="auto"/>
        <w:left w:val="none" w:sz="0" w:space="0" w:color="auto"/>
        <w:bottom w:val="none" w:sz="0" w:space="0" w:color="auto"/>
        <w:right w:val="none" w:sz="0" w:space="0" w:color="auto"/>
      </w:divBdr>
    </w:div>
    <w:div w:id="1464544625">
      <w:bodyDiv w:val="1"/>
      <w:marLeft w:val="0"/>
      <w:marRight w:val="0"/>
      <w:marTop w:val="0"/>
      <w:marBottom w:val="0"/>
      <w:divBdr>
        <w:top w:val="none" w:sz="0" w:space="0" w:color="auto"/>
        <w:left w:val="none" w:sz="0" w:space="0" w:color="auto"/>
        <w:bottom w:val="none" w:sz="0" w:space="0" w:color="auto"/>
        <w:right w:val="none" w:sz="0" w:space="0" w:color="auto"/>
      </w:divBdr>
    </w:div>
    <w:div w:id="1464688570">
      <w:bodyDiv w:val="1"/>
      <w:marLeft w:val="0"/>
      <w:marRight w:val="0"/>
      <w:marTop w:val="0"/>
      <w:marBottom w:val="0"/>
      <w:divBdr>
        <w:top w:val="none" w:sz="0" w:space="0" w:color="auto"/>
        <w:left w:val="none" w:sz="0" w:space="0" w:color="auto"/>
        <w:bottom w:val="none" w:sz="0" w:space="0" w:color="auto"/>
        <w:right w:val="none" w:sz="0" w:space="0" w:color="auto"/>
      </w:divBdr>
    </w:div>
    <w:div w:id="1464885496">
      <w:bodyDiv w:val="1"/>
      <w:marLeft w:val="0"/>
      <w:marRight w:val="0"/>
      <w:marTop w:val="0"/>
      <w:marBottom w:val="0"/>
      <w:divBdr>
        <w:top w:val="none" w:sz="0" w:space="0" w:color="auto"/>
        <w:left w:val="none" w:sz="0" w:space="0" w:color="auto"/>
        <w:bottom w:val="none" w:sz="0" w:space="0" w:color="auto"/>
        <w:right w:val="none" w:sz="0" w:space="0" w:color="auto"/>
      </w:divBdr>
    </w:div>
    <w:div w:id="1465150437">
      <w:bodyDiv w:val="1"/>
      <w:marLeft w:val="0"/>
      <w:marRight w:val="0"/>
      <w:marTop w:val="0"/>
      <w:marBottom w:val="0"/>
      <w:divBdr>
        <w:top w:val="none" w:sz="0" w:space="0" w:color="auto"/>
        <w:left w:val="none" w:sz="0" w:space="0" w:color="auto"/>
        <w:bottom w:val="none" w:sz="0" w:space="0" w:color="auto"/>
        <w:right w:val="none" w:sz="0" w:space="0" w:color="auto"/>
      </w:divBdr>
    </w:div>
    <w:div w:id="1466653818">
      <w:bodyDiv w:val="1"/>
      <w:marLeft w:val="0"/>
      <w:marRight w:val="0"/>
      <w:marTop w:val="0"/>
      <w:marBottom w:val="0"/>
      <w:divBdr>
        <w:top w:val="none" w:sz="0" w:space="0" w:color="auto"/>
        <w:left w:val="none" w:sz="0" w:space="0" w:color="auto"/>
        <w:bottom w:val="none" w:sz="0" w:space="0" w:color="auto"/>
        <w:right w:val="none" w:sz="0" w:space="0" w:color="auto"/>
      </w:divBdr>
    </w:div>
    <w:div w:id="1469084253">
      <w:bodyDiv w:val="1"/>
      <w:marLeft w:val="0"/>
      <w:marRight w:val="0"/>
      <w:marTop w:val="0"/>
      <w:marBottom w:val="0"/>
      <w:divBdr>
        <w:top w:val="none" w:sz="0" w:space="0" w:color="auto"/>
        <w:left w:val="none" w:sz="0" w:space="0" w:color="auto"/>
        <w:bottom w:val="none" w:sz="0" w:space="0" w:color="auto"/>
        <w:right w:val="none" w:sz="0" w:space="0" w:color="auto"/>
      </w:divBdr>
    </w:div>
    <w:div w:id="1469199159">
      <w:bodyDiv w:val="1"/>
      <w:marLeft w:val="0"/>
      <w:marRight w:val="0"/>
      <w:marTop w:val="0"/>
      <w:marBottom w:val="0"/>
      <w:divBdr>
        <w:top w:val="none" w:sz="0" w:space="0" w:color="auto"/>
        <w:left w:val="none" w:sz="0" w:space="0" w:color="auto"/>
        <w:bottom w:val="none" w:sz="0" w:space="0" w:color="auto"/>
        <w:right w:val="none" w:sz="0" w:space="0" w:color="auto"/>
      </w:divBdr>
    </w:div>
    <w:div w:id="1469544622">
      <w:bodyDiv w:val="1"/>
      <w:marLeft w:val="0"/>
      <w:marRight w:val="0"/>
      <w:marTop w:val="0"/>
      <w:marBottom w:val="0"/>
      <w:divBdr>
        <w:top w:val="none" w:sz="0" w:space="0" w:color="auto"/>
        <w:left w:val="none" w:sz="0" w:space="0" w:color="auto"/>
        <w:bottom w:val="none" w:sz="0" w:space="0" w:color="auto"/>
        <w:right w:val="none" w:sz="0" w:space="0" w:color="auto"/>
      </w:divBdr>
    </w:div>
    <w:div w:id="1469977605">
      <w:bodyDiv w:val="1"/>
      <w:marLeft w:val="0"/>
      <w:marRight w:val="0"/>
      <w:marTop w:val="0"/>
      <w:marBottom w:val="0"/>
      <w:divBdr>
        <w:top w:val="none" w:sz="0" w:space="0" w:color="auto"/>
        <w:left w:val="none" w:sz="0" w:space="0" w:color="auto"/>
        <w:bottom w:val="none" w:sz="0" w:space="0" w:color="auto"/>
        <w:right w:val="none" w:sz="0" w:space="0" w:color="auto"/>
      </w:divBdr>
    </w:div>
    <w:div w:id="1470053103">
      <w:bodyDiv w:val="1"/>
      <w:marLeft w:val="0"/>
      <w:marRight w:val="0"/>
      <w:marTop w:val="0"/>
      <w:marBottom w:val="0"/>
      <w:divBdr>
        <w:top w:val="none" w:sz="0" w:space="0" w:color="auto"/>
        <w:left w:val="none" w:sz="0" w:space="0" w:color="auto"/>
        <w:bottom w:val="none" w:sz="0" w:space="0" w:color="auto"/>
        <w:right w:val="none" w:sz="0" w:space="0" w:color="auto"/>
      </w:divBdr>
    </w:div>
    <w:div w:id="1471900495">
      <w:bodyDiv w:val="1"/>
      <w:marLeft w:val="0"/>
      <w:marRight w:val="0"/>
      <w:marTop w:val="0"/>
      <w:marBottom w:val="0"/>
      <w:divBdr>
        <w:top w:val="none" w:sz="0" w:space="0" w:color="auto"/>
        <w:left w:val="none" w:sz="0" w:space="0" w:color="auto"/>
        <w:bottom w:val="none" w:sz="0" w:space="0" w:color="auto"/>
        <w:right w:val="none" w:sz="0" w:space="0" w:color="auto"/>
      </w:divBdr>
    </w:div>
    <w:div w:id="1472209679">
      <w:bodyDiv w:val="1"/>
      <w:marLeft w:val="0"/>
      <w:marRight w:val="0"/>
      <w:marTop w:val="0"/>
      <w:marBottom w:val="0"/>
      <w:divBdr>
        <w:top w:val="none" w:sz="0" w:space="0" w:color="auto"/>
        <w:left w:val="none" w:sz="0" w:space="0" w:color="auto"/>
        <w:bottom w:val="none" w:sz="0" w:space="0" w:color="auto"/>
        <w:right w:val="none" w:sz="0" w:space="0" w:color="auto"/>
      </w:divBdr>
    </w:div>
    <w:div w:id="1472987604">
      <w:bodyDiv w:val="1"/>
      <w:marLeft w:val="0"/>
      <w:marRight w:val="0"/>
      <w:marTop w:val="0"/>
      <w:marBottom w:val="0"/>
      <w:divBdr>
        <w:top w:val="none" w:sz="0" w:space="0" w:color="auto"/>
        <w:left w:val="none" w:sz="0" w:space="0" w:color="auto"/>
        <w:bottom w:val="none" w:sz="0" w:space="0" w:color="auto"/>
        <w:right w:val="none" w:sz="0" w:space="0" w:color="auto"/>
      </w:divBdr>
    </w:div>
    <w:div w:id="1473136842">
      <w:bodyDiv w:val="1"/>
      <w:marLeft w:val="0"/>
      <w:marRight w:val="0"/>
      <w:marTop w:val="0"/>
      <w:marBottom w:val="0"/>
      <w:divBdr>
        <w:top w:val="none" w:sz="0" w:space="0" w:color="auto"/>
        <w:left w:val="none" w:sz="0" w:space="0" w:color="auto"/>
        <w:bottom w:val="none" w:sz="0" w:space="0" w:color="auto"/>
        <w:right w:val="none" w:sz="0" w:space="0" w:color="auto"/>
      </w:divBdr>
    </w:div>
    <w:div w:id="1474104344">
      <w:bodyDiv w:val="1"/>
      <w:marLeft w:val="0"/>
      <w:marRight w:val="0"/>
      <w:marTop w:val="0"/>
      <w:marBottom w:val="0"/>
      <w:divBdr>
        <w:top w:val="none" w:sz="0" w:space="0" w:color="auto"/>
        <w:left w:val="none" w:sz="0" w:space="0" w:color="auto"/>
        <w:bottom w:val="none" w:sz="0" w:space="0" w:color="auto"/>
        <w:right w:val="none" w:sz="0" w:space="0" w:color="auto"/>
      </w:divBdr>
    </w:div>
    <w:div w:id="1474249068">
      <w:bodyDiv w:val="1"/>
      <w:marLeft w:val="0"/>
      <w:marRight w:val="0"/>
      <w:marTop w:val="0"/>
      <w:marBottom w:val="0"/>
      <w:divBdr>
        <w:top w:val="none" w:sz="0" w:space="0" w:color="auto"/>
        <w:left w:val="none" w:sz="0" w:space="0" w:color="auto"/>
        <w:bottom w:val="none" w:sz="0" w:space="0" w:color="auto"/>
        <w:right w:val="none" w:sz="0" w:space="0" w:color="auto"/>
      </w:divBdr>
    </w:div>
    <w:div w:id="1476290139">
      <w:bodyDiv w:val="1"/>
      <w:marLeft w:val="0"/>
      <w:marRight w:val="0"/>
      <w:marTop w:val="0"/>
      <w:marBottom w:val="0"/>
      <w:divBdr>
        <w:top w:val="none" w:sz="0" w:space="0" w:color="auto"/>
        <w:left w:val="none" w:sz="0" w:space="0" w:color="auto"/>
        <w:bottom w:val="none" w:sz="0" w:space="0" w:color="auto"/>
        <w:right w:val="none" w:sz="0" w:space="0" w:color="auto"/>
      </w:divBdr>
    </w:div>
    <w:div w:id="1476724184">
      <w:bodyDiv w:val="1"/>
      <w:marLeft w:val="0"/>
      <w:marRight w:val="0"/>
      <w:marTop w:val="0"/>
      <w:marBottom w:val="0"/>
      <w:divBdr>
        <w:top w:val="none" w:sz="0" w:space="0" w:color="auto"/>
        <w:left w:val="none" w:sz="0" w:space="0" w:color="auto"/>
        <w:bottom w:val="none" w:sz="0" w:space="0" w:color="auto"/>
        <w:right w:val="none" w:sz="0" w:space="0" w:color="auto"/>
      </w:divBdr>
    </w:div>
    <w:div w:id="1476951951">
      <w:bodyDiv w:val="1"/>
      <w:marLeft w:val="0"/>
      <w:marRight w:val="0"/>
      <w:marTop w:val="0"/>
      <w:marBottom w:val="0"/>
      <w:divBdr>
        <w:top w:val="none" w:sz="0" w:space="0" w:color="auto"/>
        <w:left w:val="none" w:sz="0" w:space="0" w:color="auto"/>
        <w:bottom w:val="none" w:sz="0" w:space="0" w:color="auto"/>
        <w:right w:val="none" w:sz="0" w:space="0" w:color="auto"/>
      </w:divBdr>
    </w:div>
    <w:div w:id="1478567171">
      <w:bodyDiv w:val="1"/>
      <w:marLeft w:val="0"/>
      <w:marRight w:val="0"/>
      <w:marTop w:val="0"/>
      <w:marBottom w:val="0"/>
      <w:divBdr>
        <w:top w:val="none" w:sz="0" w:space="0" w:color="auto"/>
        <w:left w:val="none" w:sz="0" w:space="0" w:color="auto"/>
        <w:bottom w:val="none" w:sz="0" w:space="0" w:color="auto"/>
        <w:right w:val="none" w:sz="0" w:space="0" w:color="auto"/>
      </w:divBdr>
    </w:div>
    <w:div w:id="1478568957">
      <w:bodyDiv w:val="1"/>
      <w:marLeft w:val="0"/>
      <w:marRight w:val="0"/>
      <w:marTop w:val="0"/>
      <w:marBottom w:val="0"/>
      <w:divBdr>
        <w:top w:val="none" w:sz="0" w:space="0" w:color="auto"/>
        <w:left w:val="none" w:sz="0" w:space="0" w:color="auto"/>
        <w:bottom w:val="none" w:sz="0" w:space="0" w:color="auto"/>
        <w:right w:val="none" w:sz="0" w:space="0" w:color="auto"/>
      </w:divBdr>
    </w:div>
    <w:div w:id="1479036664">
      <w:bodyDiv w:val="1"/>
      <w:marLeft w:val="0"/>
      <w:marRight w:val="0"/>
      <w:marTop w:val="0"/>
      <w:marBottom w:val="0"/>
      <w:divBdr>
        <w:top w:val="none" w:sz="0" w:space="0" w:color="auto"/>
        <w:left w:val="none" w:sz="0" w:space="0" w:color="auto"/>
        <w:bottom w:val="none" w:sz="0" w:space="0" w:color="auto"/>
        <w:right w:val="none" w:sz="0" w:space="0" w:color="auto"/>
      </w:divBdr>
    </w:div>
    <w:div w:id="1479297572">
      <w:bodyDiv w:val="1"/>
      <w:marLeft w:val="0"/>
      <w:marRight w:val="0"/>
      <w:marTop w:val="0"/>
      <w:marBottom w:val="0"/>
      <w:divBdr>
        <w:top w:val="none" w:sz="0" w:space="0" w:color="auto"/>
        <w:left w:val="none" w:sz="0" w:space="0" w:color="auto"/>
        <w:bottom w:val="none" w:sz="0" w:space="0" w:color="auto"/>
        <w:right w:val="none" w:sz="0" w:space="0" w:color="auto"/>
      </w:divBdr>
    </w:div>
    <w:div w:id="1479373901">
      <w:bodyDiv w:val="1"/>
      <w:marLeft w:val="0"/>
      <w:marRight w:val="0"/>
      <w:marTop w:val="0"/>
      <w:marBottom w:val="0"/>
      <w:divBdr>
        <w:top w:val="none" w:sz="0" w:space="0" w:color="auto"/>
        <w:left w:val="none" w:sz="0" w:space="0" w:color="auto"/>
        <w:bottom w:val="none" w:sz="0" w:space="0" w:color="auto"/>
        <w:right w:val="none" w:sz="0" w:space="0" w:color="auto"/>
      </w:divBdr>
    </w:div>
    <w:div w:id="1481921146">
      <w:bodyDiv w:val="1"/>
      <w:marLeft w:val="0"/>
      <w:marRight w:val="0"/>
      <w:marTop w:val="0"/>
      <w:marBottom w:val="0"/>
      <w:divBdr>
        <w:top w:val="none" w:sz="0" w:space="0" w:color="auto"/>
        <w:left w:val="none" w:sz="0" w:space="0" w:color="auto"/>
        <w:bottom w:val="none" w:sz="0" w:space="0" w:color="auto"/>
        <w:right w:val="none" w:sz="0" w:space="0" w:color="auto"/>
      </w:divBdr>
    </w:div>
    <w:div w:id="1484159456">
      <w:bodyDiv w:val="1"/>
      <w:marLeft w:val="0"/>
      <w:marRight w:val="0"/>
      <w:marTop w:val="0"/>
      <w:marBottom w:val="0"/>
      <w:divBdr>
        <w:top w:val="none" w:sz="0" w:space="0" w:color="auto"/>
        <w:left w:val="none" w:sz="0" w:space="0" w:color="auto"/>
        <w:bottom w:val="none" w:sz="0" w:space="0" w:color="auto"/>
        <w:right w:val="none" w:sz="0" w:space="0" w:color="auto"/>
      </w:divBdr>
    </w:div>
    <w:div w:id="1484471544">
      <w:bodyDiv w:val="1"/>
      <w:marLeft w:val="0"/>
      <w:marRight w:val="0"/>
      <w:marTop w:val="0"/>
      <w:marBottom w:val="0"/>
      <w:divBdr>
        <w:top w:val="none" w:sz="0" w:space="0" w:color="auto"/>
        <w:left w:val="none" w:sz="0" w:space="0" w:color="auto"/>
        <w:bottom w:val="none" w:sz="0" w:space="0" w:color="auto"/>
        <w:right w:val="none" w:sz="0" w:space="0" w:color="auto"/>
      </w:divBdr>
    </w:div>
    <w:div w:id="1484928372">
      <w:bodyDiv w:val="1"/>
      <w:marLeft w:val="0"/>
      <w:marRight w:val="0"/>
      <w:marTop w:val="0"/>
      <w:marBottom w:val="0"/>
      <w:divBdr>
        <w:top w:val="none" w:sz="0" w:space="0" w:color="auto"/>
        <w:left w:val="none" w:sz="0" w:space="0" w:color="auto"/>
        <w:bottom w:val="none" w:sz="0" w:space="0" w:color="auto"/>
        <w:right w:val="none" w:sz="0" w:space="0" w:color="auto"/>
      </w:divBdr>
    </w:div>
    <w:div w:id="1485315041">
      <w:bodyDiv w:val="1"/>
      <w:marLeft w:val="0"/>
      <w:marRight w:val="0"/>
      <w:marTop w:val="0"/>
      <w:marBottom w:val="0"/>
      <w:divBdr>
        <w:top w:val="none" w:sz="0" w:space="0" w:color="auto"/>
        <w:left w:val="none" w:sz="0" w:space="0" w:color="auto"/>
        <w:bottom w:val="none" w:sz="0" w:space="0" w:color="auto"/>
        <w:right w:val="none" w:sz="0" w:space="0" w:color="auto"/>
      </w:divBdr>
    </w:div>
    <w:div w:id="1485510283">
      <w:bodyDiv w:val="1"/>
      <w:marLeft w:val="0"/>
      <w:marRight w:val="0"/>
      <w:marTop w:val="0"/>
      <w:marBottom w:val="0"/>
      <w:divBdr>
        <w:top w:val="none" w:sz="0" w:space="0" w:color="auto"/>
        <w:left w:val="none" w:sz="0" w:space="0" w:color="auto"/>
        <w:bottom w:val="none" w:sz="0" w:space="0" w:color="auto"/>
        <w:right w:val="none" w:sz="0" w:space="0" w:color="auto"/>
      </w:divBdr>
    </w:div>
    <w:div w:id="1487622421">
      <w:bodyDiv w:val="1"/>
      <w:marLeft w:val="0"/>
      <w:marRight w:val="0"/>
      <w:marTop w:val="0"/>
      <w:marBottom w:val="0"/>
      <w:divBdr>
        <w:top w:val="none" w:sz="0" w:space="0" w:color="auto"/>
        <w:left w:val="none" w:sz="0" w:space="0" w:color="auto"/>
        <w:bottom w:val="none" w:sz="0" w:space="0" w:color="auto"/>
        <w:right w:val="none" w:sz="0" w:space="0" w:color="auto"/>
      </w:divBdr>
    </w:div>
    <w:div w:id="1487939749">
      <w:bodyDiv w:val="1"/>
      <w:marLeft w:val="0"/>
      <w:marRight w:val="0"/>
      <w:marTop w:val="0"/>
      <w:marBottom w:val="0"/>
      <w:divBdr>
        <w:top w:val="none" w:sz="0" w:space="0" w:color="auto"/>
        <w:left w:val="none" w:sz="0" w:space="0" w:color="auto"/>
        <w:bottom w:val="none" w:sz="0" w:space="0" w:color="auto"/>
        <w:right w:val="none" w:sz="0" w:space="0" w:color="auto"/>
      </w:divBdr>
    </w:div>
    <w:div w:id="1488208208">
      <w:bodyDiv w:val="1"/>
      <w:marLeft w:val="0"/>
      <w:marRight w:val="0"/>
      <w:marTop w:val="0"/>
      <w:marBottom w:val="0"/>
      <w:divBdr>
        <w:top w:val="none" w:sz="0" w:space="0" w:color="auto"/>
        <w:left w:val="none" w:sz="0" w:space="0" w:color="auto"/>
        <w:bottom w:val="none" w:sz="0" w:space="0" w:color="auto"/>
        <w:right w:val="none" w:sz="0" w:space="0" w:color="auto"/>
      </w:divBdr>
    </w:div>
    <w:div w:id="1488279718">
      <w:bodyDiv w:val="1"/>
      <w:marLeft w:val="0"/>
      <w:marRight w:val="0"/>
      <w:marTop w:val="0"/>
      <w:marBottom w:val="0"/>
      <w:divBdr>
        <w:top w:val="none" w:sz="0" w:space="0" w:color="auto"/>
        <w:left w:val="none" w:sz="0" w:space="0" w:color="auto"/>
        <w:bottom w:val="none" w:sz="0" w:space="0" w:color="auto"/>
        <w:right w:val="none" w:sz="0" w:space="0" w:color="auto"/>
      </w:divBdr>
    </w:div>
    <w:div w:id="1488669038">
      <w:bodyDiv w:val="1"/>
      <w:marLeft w:val="0"/>
      <w:marRight w:val="0"/>
      <w:marTop w:val="0"/>
      <w:marBottom w:val="0"/>
      <w:divBdr>
        <w:top w:val="none" w:sz="0" w:space="0" w:color="auto"/>
        <w:left w:val="none" w:sz="0" w:space="0" w:color="auto"/>
        <w:bottom w:val="none" w:sz="0" w:space="0" w:color="auto"/>
        <w:right w:val="none" w:sz="0" w:space="0" w:color="auto"/>
      </w:divBdr>
    </w:div>
    <w:div w:id="1488740654">
      <w:bodyDiv w:val="1"/>
      <w:marLeft w:val="0"/>
      <w:marRight w:val="0"/>
      <w:marTop w:val="0"/>
      <w:marBottom w:val="0"/>
      <w:divBdr>
        <w:top w:val="none" w:sz="0" w:space="0" w:color="auto"/>
        <w:left w:val="none" w:sz="0" w:space="0" w:color="auto"/>
        <w:bottom w:val="none" w:sz="0" w:space="0" w:color="auto"/>
        <w:right w:val="none" w:sz="0" w:space="0" w:color="auto"/>
      </w:divBdr>
    </w:div>
    <w:div w:id="1490243780">
      <w:bodyDiv w:val="1"/>
      <w:marLeft w:val="0"/>
      <w:marRight w:val="0"/>
      <w:marTop w:val="0"/>
      <w:marBottom w:val="0"/>
      <w:divBdr>
        <w:top w:val="none" w:sz="0" w:space="0" w:color="auto"/>
        <w:left w:val="none" w:sz="0" w:space="0" w:color="auto"/>
        <w:bottom w:val="none" w:sz="0" w:space="0" w:color="auto"/>
        <w:right w:val="none" w:sz="0" w:space="0" w:color="auto"/>
      </w:divBdr>
    </w:div>
    <w:div w:id="1491600663">
      <w:bodyDiv w:val="1"/>
      <w:marLeft w:val="0"/>
      <w:marRight w:val="0"/>
      <w:marTop w:val="0"/>
      <w:marBottom w:val="0"/>
      <w:divBdr>
        <w:top w:val="none" w:sz="0" w:space="0" w:color="auto"/>
        <w:left w:val="none" w:sz="0" w:space="0" w:color="auto"/>
        <w:bottom w:val="none" w:sz="0" w:space="0" w:color="auto"/>
        <w:right w:val="none" w:sz="0" w:space="0" w:color="auto"/>
      </w:divBdr>
    </w:div>
    <w:div w:id="1492210550">
      <w:bodyDiv w:val="1"/>
      <w:marLeft w:val="0"/>
      <w:marRight w:val="0"/>
      <w:marTop w:val="0"/>
      <w:marBottom w:val="0"/>
      <w:divBdr>
        <w:top w:val="none" w:sz="0" w:space="0" w:color="auto"/>
        <w:left w:val="none" w:sz="0" w:space="0" w:color="auto"/>
        <w:bottom w:val="none" w:sz="0" w:space="0" w:color="auto"/>
        <w:right w:val="none" w:sz="0" w:space="0" w:color="auto"/>
      </w:divBdr>
    </w:div>
    <w:div w:id="1492409269">
      <w:bodyDiv w:val="1"/>
      <w:marLeft w:val="0"/>
      <w:marRight w:val="0"/>
      <w:marTop w:val="0"/>
      <w:marBottom w:val="0"/>
      <w:divBdr>
        <w:top w:val="none" w:sz="0" w:space="0" w:color="auto"/>
        <w:left w:val="none" w:sz="0" w:space="0" w:color="auto"/>
        <w:bottom w:val="none" w:sz="0" w:space="0" w:color="auto"/>
        <w:right w:val="none" w:sz="0" w:space="0" w:color="auto"/>
      </w:divBdr>
    </w:div>
    <w:div w:id="1493373511">
      <w:bodyDiv w:val="1"/>
      <w:marLeft w:val="0"/>
      <w:marRight w:val="0"/>
      <w:marTop w:val="0"/>
      <w:marBottom w:val="0"/>
      <w:divBdr>
        <w:top w:val="none" w:sz="0" w:space="0" w:color="auto"/>
        <w:left w:val="none" w:sz="0" w:space="0" w:color="auto"/>
        <w:bottom w:val="none" w:sz="0" w:space="0" w:color="auto"/>
        <w:right w:val="none" w:sz="0" w:space="0" w:color="auto"/>
      </w:divBdr>
    </w:div>
    <w:div w:id="1494950083">
      <w:bodyDiv w:val="1"/>
      <w:marLeft w:val="0"/>
      <w:marRight w:val="0"/>
      <w:marTop w:val="0"/>
      <w:marBottom w:val="0"/>
      <w:divBdr>
        <w:top w:val="none" w:sz="0" w:space="0" w:color="auto"/>
        <w:left w:val="none" w:sz="0" w:space="0" w:color="auto"/>
        <w:bottom w:val="none" w:sz="0" w:space="0" w:color="auto"/>
        <w:right w:val="none" w:sz="0" w:space="0" w:color="auto"/>
      </w:divBdr>
    </w:div>
    <w:div w:id="1496074286">
      <w:bodyDiv w:val="1"/>
      <w:marLeft w:val="0"/>
      <w:marRight w:val="0"/>
      <w:marTop w:val="0"/>
      <w:marBottom w:val="0"/>
      <w:divBdr>
        <w:top w:val="none" w:sz="0" w:space="0" w:color="auto"/>
        <w:left w:val="none" w:sz="0" w:space="0" w:color="auto"/>
        <w:bottom w:val="none" w:sz="0" w:space="0" w:color="auto"/>
        <w:right w:val="none" w:sz="0" w:space="0" w:color="auto"/>
      </w:divBdr>
    </w:div>
    <w:div w:id="1498501137">
      <w:bodyDiv w:val="1"/>
      <w:marLeft w:val="0"/>
      <w:marRight w:val="0"/>
      <w:marTop w:val="0"/>
      <w:marBottom w:val="0"/>
      <w:divBdr>
        <w:top w:val="none" w:sz="0" w:space="0" w:color="auto"/>
        <w:left w:val="none" w:sz="0" w:space="0" w:color="auto"/>
        <w:bottom w:val="none" w:sz="0" w:space="0" w:color="auto"/>
        <w:right w:val="none" w:sz="0" w:space="0" w:color="auto"/>
      </w:divBdr>
    </w:div>
    <w:div w:id="1498569768">
      <w:bodyDiv w:val="1"/>
      <w:marLeft w:val="0"/>
      <w:marRight w:val="0"/>
      <w:marTop w:val="0"/>
      <w:marBottom w:val="0"/>
      <w:divBdr>
        <w:top w:val="none" w:sz="0" w:space="0" w:color="auto"/>
        <w:left w:val="none" w:sz="0" w:space="0" w:color="auto"/>
        <w:bottom w:val="none" w:sz="0" w:space="0" w:color="auto"/>
        <w:right w:val="none" w:sz="0" w:space="0" w:color="auto"/>
      </w:divBdr>
    </w:div>
    <w:div w:id="1498687775">
      <w:bodyDiv w:val="1"/>
      <w:marLeft w:val="0"/>
      <w:marRight w:val="0"/>
      <w:marTop w:val="0"/>
      <w:marBottom w:val="0"/>
      <w:divBdr>
        <w:top w:val="none" w:sz="0" w:space="0" w:color="auto"/>
        <w:left w:val="none" w:sz="0" w:space="0" w:color="auto"/>
        <w:bottom w:val="none" w:sz="0" w:space="0" w:color="auto"/>
        <w:right w:val="none" w:sz="0" w:space="0" w:color="auto"/>
      </w:divBdr>
    </w:div>
    <w:div w:id="1499034816">
      <w:bodyDiv w:val="1"/>
      <w:marLeft w:val="0"/>
      <w:marRight w:val="0"/>
      <w:marTop w:val="0"/>
      <w:marBottom w:val="0"/>
      <w:divBdr>
        <w:top w:val="none" w:sz="0" w:space="0" w:color="auto"/>
        <w:left w:val="none" w:sz="0" w:space="0" w:color="auto"/>
        <w:bottom w:val="none" w:sz="0" w:space="0" w:color="auto"/>
        <w:right w:val="none" w:sz="0" w:space="0" w:color="auto"/>
      </w:divBdr>
    </w:div>
    <w:div w:id="1500388380">
      <w:bodyDiv w:val="1"/>
      <w:marLeft w:val="0"/>
      <w:marRight w:val="0"/>
      <w:marTop w:val="0"/>
      <w:marBottom w:val="0"/>
      <w:divBdr>
        <w:top w:val="none" w:sz="0" w:space="0" w:color="auto"/>
        <w:left w:val="none" w:sz="0" w:space="0" w:color="auto"/>
        <w:bottom w:val="none" w:sz="0" w:space="0" w:color="auto"/>
        <w:right w:val="none" w:sz="0" w:space="0" w:color="auto"/>
      </w:divBdr>
    </w:div>
    <w:div w:id="1500462647">
      <w:bodyDiv w:val="1"/>
      <w:marLeft w:val="0"/>
      <w:marRight w:val="0"/>
      <w:marTop w:val="0"/>
      <w:marBottom w:val="0"/>
      <w:divBdr>
        <w:top w:val="none" w:sz="0" w:space="0" w:color="auto"/>
        <w:left w:val="none" w:sz="0" w:space="0" w:color="auto"/>
        <w:bottom w:val="none" w:sz="0" w:space="0" w:color="auto"/>
        <w:right w:val="none" w:sz="0" w:space="0" w:color="auto"/>
      </w:divBdr>
    </w:div>
    <w:div w:id="1500729432">
      <w:bodyDiv w:val="1"/>
      <w:marLeft w:val="0"/>
      <w:marRight w:val="0"/>
      <w:marTop w:val="0"/>
      <w:marBottom w:val="0"/>
      <w:divBdr>
        <w:top w:val="none" w:sz="0" w:space="0" w:color="auto"/>
        <w:left w:val="none" w:sz="0" w:space="0" w:color="auto"/>
        <w:bottom w:val="none" w:sz="0" w:space="0" w:color="auto"/>
        <w:right w:val="none" w:sz="0" w:space="0" w:color="auto"/>
      </w:divBdr>
    </w:div>
    <w:div w:id="1500730787">
      <w:bodyDiv w:val="1"/>
      <w:marLeft w:val="0"/>
      <w:marRight w:val="0"/>
      <w:marTop w:val="0"/>
      <w:marBottom w:val="0"/>
      <w:divBdr>
        <w:top w:val="none" w:sz="0" w:space="0" w:color="auto"/>
        <w:left w:val="none" w:sz="0" w:space="0" w:color="auto"/>
        <w:bottom w:val="none" w:sz="0" w:space="0" w:color="auto"/>
        <w:right w:val="none" w:sz="0" w:space="0" w:color="auto"/>
      </w:divBdr>
    </w:div>
    <w:div w:id="1501120614">
      <w:bodyDiv w:val="1"/>
      <w:marLeft w:val="0"/>
      <w:marRight w:val="0"/>
      <w:marTop w:val="0"/>
      <w:marBottom w:val="0"/>
      <w:divBdr>
        <w:top w:val="none" w:sz="0" w:space="0" w:color="auto"/>
        <w:left w:val="none" w:sz="0" w:space="0" w:color="auto"/>
        <w:bottom w:val="none" w:sz="0" w:space="0" w:color="auto"/>
        <w:right w:val="none" w:sz="0" w:space="0" w:color="auto"/>
      </w:divBdr>
    </w:div>
    <w:div w:id="1502937521">
      <w:bodyDiv w:val="1"/>
      <w:marLeft w:val="0"/>
      <w:marRight w:val="0"/>
      <w:marTop w:val="0"/>
      <w:marBottom w:val="0"/>
      <w:divBdr>
        <w:top w:val="none" w:sz="0" w:space="0" w:color="auto"/>
        <w:left w:val="none" w:sz="0" w:space="0" w:color="auto"/>
        <w:bottom w:val="none" w:sz="0" w:space="0" w:color="auto"/>
        <w:right w:val="none" w:sz="0" w:space="0" w:color="auto"/>
      </w:divBdr>
    </w:div>
    <w:div w:id="1503662413">
      <w:bodyDiv w:val="1"/>
      <w:marLeft w:val="0"/>
      <w:marRight w:val="0"/>
      <w:marTop w:val="0"/>
      <w:marBottom w:val="0"/>
      <w:divBdr>
        <w:top w:val="none" w:sz="0" w:space="0" w:color="auto"/>
        <w:left w:val="none" w:sz="0" w:space="0" w:color="auto"/>
        <w:bottom w:val="none" w:sz="0" w:space="0" w:color="auto"/>
        <w:right w:val="none" w:sz="0" w:space="0" w:color="auto"/>
      </w:divBdr>
    </w:div>
    <w:div w:id="1504276451">
      <w:bodyDiv w:val="1"/>
      <w:marLeft w:val="0"/>
      <w:marRight w:val="0"/>
      <w:marTop w:val="0"/>
      <w:marBottom w:val="0"/>
      <w:divBdr>
        <w:top w:val="none" w:sz="0" w:space="0" w:color="auto"/>
        <w:left w:val="none" w:sz="0" w:space="0" w:color="auto"/>
        <w:bottom w:val="none" w:sz="0" w:space="0" w:color="auto"/>
        <w:right w:val="none" w:sz="0" w:space="0" w:color="auto"/>
      </w:divBdr>
    </w:div>
    <w:div w:id="1505240054">
      <w:bodyDiv w:val="1"/>
      <w:marLeft w:val="0"/>
      <w:marRight w:val="0"/>
      <w:marTop w:val="0"/>
      <w:marBottom w:val="0"/>
      <w:divBdr>
        <w:top w:val="none" w:sz="0" w:space="0" w:color="auto"/>
        <w:left w:val="none" w:sz="0" w:space="0" w:color="auto"/>
        <w:bottom w:val="none" w:sz="0" w:space="0" w:color="auto"/>
        <w:right w:val="none" w:sz="0" w:space="0" w:color="auto"/>
      </w:divBdr>
    </w:div>
    <w:div w:id="1505514914">
      <w:bodyDiv w:val="1"/>
      <w:marLeft w:val="0"/>
      <w:marRight w:val="0"/>
      <w:marTop w:val="0"/>
      <w:marBottom w:val="0"/>
      <w:divBdr>
        <w:top w:val="none" w:sz="0" w:space="0" w:color="auto"/>
        <w:left w:val="none" w:sz="0" w:space="0" w:color="auto"/>
        <w:bottom w:val="none" w:sz="0" w:space="0" w:color="auto"/>
        <w:right w:val="none" w:sz="0" w:space="0" w:color="auto"/>
      </w:divBdr>
    </w:div>
    <w:div w:id="1506893640">
      <w:bodyDiv w:val="1"/>
      <w:marLeft w:val="0"/>
      <w:marRight w:val="0"/>
      <w:marTop w:val="0"/>
      <w:marBottom w:val="0"/>
      <w:divBdr>
        <w:top w:val="none" w:sz="0" w:space="0" w:color="auto"/>
        <w:left w:val="none" w:sz="0" w:space="0" w:color="auto"/>
        <w:bottom w:val="none" w:sz="0" w:space="0" w:color="auto"/>
        <w:right w:val="none" w:sz="0" w:space="0" w:color="auto"/>
      </w:divBdr>
    </w:div>
    <w:div w:id="1507086786">
      <w:bodyDiv w:val="1"/>
      <w:marLeft w:val="0"/>
      <w:marRight w:val="0"/>
      <w:marTop w:val="0"/>
      <w:marBottom w:val="0"/>
      <w:divBdr>
        <w:top w:val="none" w:sz="0" w:space="0" w:color="auto"/>
        <w:left w:val="none" w:sz="0" w:space="0" w:color="auto"/>
        <w:bottom w:val="none" w:sz="0" w:space="0" w:color="auto"/>
        <w:right w:val="none" w:sz="0" w:space="0" w:color="auto"/>
      </w:divBdr>
    </w:div>
    <w:div w:id="1507213682">
      <w:bodyDiv w:val="1"/>
      <w:marLeft w:val="0"/>
      <w:marRight w:val="0"/>
      <w:marTop w:val="0"/>
      <w:marBottom w:val="0"/>
      <w:divBdr>
        <w:top w:val="none" w:sz="0" w:space="0" w:color="auto"/>
        <w:left w:val="none" w:sz="0" w:space="0" w:color="auto"/>
        <w:bottom w:val="none" w:sz="0" w:space="0" w:color="auto"/>
        <w:right w:val="none" w:sz="0" w:space="0" w:color="auto"/>
      </w:divBdr>
    </w:div>
    <w:div w:id="1508710425">
      <w:bodyDiv w:val="1"/>
      <w:marLeft w:val="0"/>
      <w:marRight w:val="0"/>
      <w:marTop w:val="0"/>
      <w:marBottom w:val="0"/>
      <w:divBdr>
        <w:top w:val="none" w:sz="0" w:space="0" w:color="auto"/>
        <w:left w:val="none" w:sz="0" w:space="0" w:color="auto"/>
        <w:bottom w:val="none" w:sz="0" w:space="0" w:color="auto"/>
        <w:right w:val="none" w:sz="0" w:space="0" w:color="auto"/>
      </w:divBdr>
    </w:div>
    <w:div w:id="1508982257">
      <w:bodyDiv w:val="1"/>
      <w:marLeft w:val="0"/>
      <w:marRight w:val="0"/>
      <w:marTop w:val="0"/>
      <w:marBottom w:val="0"/>
      <w:divBdr>
        <w:top w:val="none" w:sz="0" w:space="0" w:color="auto"/>
        <w:left w:val="none" w:sz="0" w:space="0" w:color="auto"/>
        <w:bottom w:val="none" w:sz="0" w:space="0" w:color="auto"/>
        <w:right w:val="none" w:sz="0" w:space="0" w:color="auto"/>
      </w:divBdr>
    </w:div>
    <w:div w:id="1509438914">
      <w:bodyDiv w:val="1"/>
      <w:marLeft w:val="0"/>
      <w:marRight w:val="0"/>
      <w:marTop w:val="0"/>
      <w:marBottom w:val="0"/>
      <w:divBdr>
        <w:top w:val="none" w:sz="0" w:space="0" w:color="auto"/>
        <w:left w:val="none" w:sz="0" w:space="0" w:color="auto"/>
        <w:bottom w:val="none" w:sz="0" w:space="0" w:color="auto"/>
        <w:right w:val="none" w:sz="0" w:space="0" w:color="auto"/>
      </w:divBdr>
    </w:div>
    <w:div w:id="1510098389">
      <w:bodyDiv w:val="1"/>
      <w:marLeft w:val="0"/>
      <w:marRight w:val="0"/>
      <w:marTop w:val="0"/>
      <w:marBottom w:val="0"/>
      <w:divBdr>
        <w:top w:val="none" w:sz="0" w:space="0" w:color="auto"/>
        <w:left w:val="none" w:sz="0" w:space="0" w:color="auto"/>
        <w:bottom w:val="none" w:sz="0" w:space="0" w:color="auto"/>
        <w:right w:val="none" w:sz="0" w:space="0" w:color="auto"/>
      </w:divBdr>
    </w:div>
    <w:div w:id="1510101166">
      <w:bodyDiv w:val="1"/>
      <w:marLeft w:val="0"/>
      <w:marRight w:val="0"/>
      <w:marTop w:val="0"/>
      <w:marBottom w:val="0"/>
      <w:divBdr>
        <w:top w:val="none" w:sz="0" w:space="0" w:color="auto"/>
        <w:left w:val="none" w:sz="0" w:space="0" w:color="auto"/>
        <w:bottom w:val="none" w:sz="0" w:space="0" w:color="auto"/>
        <w:right w:val="none" w:sz="0" w:space="0" w:color="auto"/>
      </w:divBdr>
    </w:div>
    <w:div w:id="1510366067">
      <w:bodyDiv w:val="1"/>
      <w:marLeft w:val="0"/>
      <w:marRight w:val="0"/>
      <w:marTop w:val="0"/>
      <w:marBottom w:val="0"/>
      <w:divBdr>
        <w:top w:val="none" w:sz="0" w:space="0" w:color="auto"/>
        <w:left w:val="none" w:sz="0" w:space="0" w:color="auto"/>
        <w:bottom w:val="none" w:sz="0" w:space="0" w:color="auto"/>
        <w:right w:val="none" w:sz="0" w:space="0" w:color="auto"/>
      </w:divBdr>
    </w:div>
    <w:div w:id="1510482030">
      <w:bodyDiv w:val="1"/>
      <w:marLeft w:val="0"/>
      <w:marRight w:val="0"/>
      <w:marTop w:val="0"/>
      <w:marBottom w:val="0"/>
      <w:divBdr>
        <w:top w:val="none" w:sz="0" w:space="0" w:color="auto"/>
        <w:left w:val="none" w:sz="0" w:space="0" w:color="auto"/>
        <w:bottom w:val="none" w:sz="0" w:space="0" w:color="auto"/>
        <w:right w:val="none" w:sz="0" w:space="0" w:color="auto"/>
      </w:divBdr>
    </w:div>
    <w:div w:id="1510754937">
      <w:bodyDiv w:val="1"/>
      <w:marLeft w:val="0"/>
      <w:marRight w:val="0"/>
      <w:marTop w:val="0"/>
      <w:marBottom w:val="0"/>
      <w:divBdr>
        <w:top w:val="none" w:sz="0" w:space="0" w:color="auto"/>
        <w:left w:val="none" w:sz="0" w:space="0" w:color="auto"/>
        <w:bottom w:val="none" w:sz="0" w:space="0" w:color="auto"/>
        <w:right w:val="none" w:sz="0" w:space="0" w:color="auto"/>
      </w:divBdr>
    </w:div>
    <w:div w:id="1511143473">
      <w:bodyDiv w:val="1"/>
      <w:marLeft w:val="0"/>
      <w:marRight w:val="0"/>
      <w:marTop w:val="0"/>
      <w:marBottom w:val="0"/>
      <w:divBdr>
        <w:top w:val="none" w:sz="0" w:space="0" w:color="auto"/>
        <w:left w:val="none" w:sz="0" w:space="0" w:color="auto"/>
        <w:bottom w:val="none" w:sz="0" w:space="0" w:color="auto"/>
        <w:right w:val="none" w:sz="0" w:space="0" w:color="auto"/>
      </w:divBdr>
    </w:div>
    <w:div w:id="1512182342">
      <w:bodyDiv w:val="1"/>
      <w:marLeft w:val="0"/>
      <w:marRight w:val="0"/>
      <w:marTop w:val="0"/>
      <w:marBottom w:val="0"/>
      <w:divBdr>
        <w:top w:val="none" w:sz="0" w:space="0" w:color="auto"/>
        <w:left w:val="none" w:sz="0" w:space="0" w:color="auto"/>
        <w:bottom w:val="none" w:sz="0" w:space="0" w:color="auto"/>
        <w:right w:val="none" w:sz="0" w:space="0" w:color="auto"/>
      </w:divBdr>
    </w:div>
    <w:div w:id="1512837754">
      <w:bodyDiv w:val="1"/>
      <w:marLeft w:val="0"/>
      <w:marRight w:val="0"/>
      <w:marTop w:val="0"/>
      <w:marBottom w:val="0"/>
      <w:divBdr>
        <w:top w:val="none" w:sz="0" w:space="0" w:color="auto"/>
        <w:left w:val="none" w:sz="0" w:space="0" w:color="auto"/>
        <w:bottom w:val="none" w:sz="0" w:space="0" w:color="auto"/>
        <w:right w:val="none" w:sz="0" w:space="0" w:color="auto"/>
      </w:divBdr>
    </w:div>
    <w:div w:id="1513376378">
      <w:bodyDiv w:val="1"/>
      <w:marLeft w:val="0"/>
      <w:marRight w:val="0"/>
      <w:marTop w:val="0"/>
      <w:marBottom w:val="0"/>
      <w:divBdr>
        <w:top w:val="none" w:sz="0" w:space="0" w:color="auto"/>
        <w:left w:val="none" w:sz="0" w:space="0" w:color="auto"/>
        <w:bottom w:val="none" w:sz="0" w:space="0" w:color="auto"/>
        <w:right w:val="none" w:sz="0" w:space="0" w:color="auto"/>
      </w:divBdr>
    </w:div>
    <w:div w:id="1513447450">
      <w:bodyDiv w:val="1"/>
      <w:marLeft w:val="0"/>
      <w:marRight w:val="0"/>
      <w:marTop w:val="0"/>
      <w:marBottom w:val="0"/>
      <w:divBdr>
        <w:top w:val="none" w:sz="0" w:space="0" w:color="auto"/>
        <w:left w:val="none" w:sz="0" w:space="0" w:color="auto"/>
        <w:bottom w:val="none" w:sz="0" w:space="0" w:color="auto"/>
        <w:right w:val="none" w:sz="0" w:space="0" w:color="auto"/>
      </w:divBdr>
    </w:div>
    <w:div w:id="1513837024">
      <w:bodyDiv w:val="1"/>
      <w:marLeft w:val="0"/>
      <w:marRight w:val="0"/>
      <w:marTop w:val="0"/>
      <w:marBottom w:val="0"/>
      <w:divBdr>
        <w:top w:val="none" w:sz="0" w:space="0" w:color="auto"/>
        <w:left w:val="none" w:sz="0" w:space="0" w:color="auto"/>
        <w:bottom w:val="none" w:sz="0" w:space="0" w:color="auto"/>
        <w:right w:val="none" w:sz="0" w:space="0" w:color="auto"/>
      </w:divBdr>
    </w:div>
    <w:div w:id="1514342592">
      <w:bodyDiv w:val="1"/>
      <w:marLeft w:val="0"/>
      <w:marRight w:val="0"/>
      <w:marTop w:val="0"/>
      <w:marBottom w:val="0"/>
      <w:divBdr>
        <w:top w:val="none" w:sz="0" w:space="0" w:color="auto"/>
        <w:left w:val="none" w:sz="0" w:space="0" w:color="auto"/>
        <w:bottom w:val="none" w:sz="0" w:space="0" w:color="auto"/>
        <w:right w:val="none" w:sz="0" w:space="0" w:color="auto"/>
      </w:divBdr>
    </w:div>
    <w:div w:id="1514343431">
      <w:bodyDiv w:val="1"/>
      <w:marLeft w:val="0"/>
      <w:marRight w:val="0"/>
      <w:marTop w:val="0"/>
      <w:marBottom w:val="0"/>
      <w:divBdr>
        <w:top w:val="none" w:sz="0" w:space="0" w:color="auto"/>
        <w:left w:val="none" w:sz="0" w:space="0" w:color="auto"/>
        <w:bottom w:val="none" w:sz="0" w:space="0" w:color="auto"/>
        <w:right w:val="none" w:sz="0" w:space="0" w:color="auto"/>
      </w:divBdr>
    </w:div>
    <w:div w:id="1514539882">
      <w:bodyDiv w:val="1"/>
      <w:marLeft w:val="0"/>
      <w:marRight w:val="0"/>
      <w:marTop w:val="0"/>
      <w:marBottom w:val="0"/>
      <w:divBdr>
        <w:top w:val="none" w:sz="0" w:space="0" w:color="auto"/>
        <w:left w:val="none" w:sz="0" w:space="0" w:color="auto"/>
        <w:bottom w:val="none" w:sz="0" w:space="0" w:color="auto"/>
        <w:right w:val="none" w:sz="0" w:space="0" w:color="auto"/>
      </w:divBdr>
    </w:div>
    <w:div w:id="1514567776">
      <w:bodyDiv w:val="1"/>
      <w:marLeft w:val="0"/>
      <w:marRight w:val="0"/>
      <w:marTop w:val="0"/>
      <w:marBottom w:val="0"/>
      <w:divBdr>
        <w:top w:val="none" w:sz="0" w:space="0" w:color="auto"/>
        <w:left w:val="none" w:sz="0" w:space="0" w:color="auto"/>
        <w:bottom w:val="none" w:sz="0" w:space="0" w:color="auto"/>
        <w:right w:val="none" w:sz="0" w:space="0" w:color="auto"/>
      </w:divBdr>
    </w:div>
    <w:div w:id="1515532502">
      <w:bodyDiv w:val="1"/>
      <w:marLeft w:val="0"/>
      <w:marRight w:val="0"/>
      <w:marTop w:val="0"/>
      <w:marBottom w:val="0"/>
      <w:divBdr>
        <w:top w:val="none" w:sz="0" w:space="0" w:color="auto"/>
        <w:left w:val="none" w:sz="0" w:space="0" w:color="auto"/>
        <w:bottom w:val="none" w:sz="0" w:space="0" w:color="auto"/>
        <w:right w:val="none" w:sz="0" w:space="0" w:color="auto"/>
      </w:divBdr>
    </w:div>
    <w:div w:id="1515802260">
      <w:bodyDiv w:val="1"/>
      <w:marLeft w:val="0"/>
      <w:marRight w:val="0"/>
      <w:marTop w:val="0"/>
      <w:marBottom w:val="0"/>
      <w:divBdr>
        <w:top w:val="none" w:sz="0" w:space="0" w:color="auto"/>
        <w:left w:val="none" w:sz="0" w:space="0" w:color="auto"/>
        <w:bottom w:val="none" w:sz="0" w:space="0" w:color="auto"/>
        <w:right w:val="none" w:sz="0" w:space="0" w:color="auto"/>
      </w:divBdr>
    </w:div>
    <w:div w:id="1516845804">
      <w:bodyDiv w:val="1"/>
      <w:marLeft w:val="0"/>
      <w:marRight w:val="0"/>
      <w:marTop w:val="0"/>
      <w:marBottom w:val="0"/>
      <w:divBdr>
        <w:top w:val="none" w:sz="0" w:space="0" w:color="auto"/>
        <w:left w:val="none" w:sz="0" w:space="0" w:color="auto"/>
        <w:bottom w:val="none" w:sz="0" w:space="0" w:color="auto"/>
        <w:right w:val="none" w:sz="0" w:space="0" w:color="auto"/>
      </w:divBdr>
    </w:div>
    <w:div w:id="1517378293">
      <w:bodyDiv w:val="1"/>
      <w:marLeft w:val="0"/>
      <w:marRight w:val="0"/>
      <w:marTop w:val="0"/>
      <w:marBottom w:val="0"/>
      <w:divBdr>
        <w:top w:val="none" w:sz="0" w:space="0" w:color="auto"/>
        <w:left w:val="none" w:sz="0" w:space="0" w:color="auto"/>
        <w:bottom w:val="none" w:sz="0" w:space="0" w:color="auto"/>
        <w:right w:val="none" w:sz="0" w:space="0" w:color="auto"/>
      </w:divBdr>
    </w:div>
    <w:div w:id="1518539771">
      <w:bodyDiv w:val="1"/>
      <w:marLeft w:val="0"/>
      <w:marRight w:val="0"/>
      <w:marTop w:val="0"/>
      <w:marBottom w:val="0"/>
      <w:divBdr>
        <w:top w:val="none" w:sz="0" w:space="0" w:color="auto"/>
        <w:left w:val="none" w:sz="0" w:space="0" w:color="auto"/>
        <w:bottom w:val="none" w:sz="0" w:space="0" w:color="auto"/>
        <w:right w:val="none" w:sz="0" w:space="0" w:color="auto"/>
      </w:divBdr>
    </w:div>
    <w:div w:id="1519077430">
      <w:bodyDiv w:val="1"/>
      <w:marLeft w:val="0"/>
      <w:marRight w:val="0"/>
      <w:marTop w:val="0"/>
      <w:marBottom w:val="0"/>
      <w:divBdr>
        <w:top w:val="none" w:sz="0" w:space="0" w:color="auto"/>
        <w:left w:val="none" w:sz="0" w:space="0" w:color="auto"/>
        <w:bottom w:val="none" w:sz="0" w:space="0" w:color="auto"/>
        <w:right w:val="none" w:sz="0" w:space="0" w:color="auto"/>
      </w:divBdr>
    </w:div>
    <w:div w:id="1520504597">
      <w:bodyDiv w:val="1"/>
      <w:marLeft w:val="0"/>
      <w:marRight w:val="0"/>
      <w:marTop w:val="0"/>
      <w:marBottom w:val="0"/>
      <w:divBdr>
        <w:top w:val="none" w:sz="0" w:space="0" w:color="auto"/>
        <w:left w:val="none" w:sz="0" w:space="0" w:color="auto"/>
        <w:bottom w:val="none" w:sz="0" w:space="0" w:color="auto"/>
        <w:right w:val="none" w:sz="0" w:space="0" w:color="auto"/>
      </w:divBdr>
    </w:div>
    <w:div w:id="1520511390">
      <w:bodyDiv w:val="1"/>
      <w:marLeft w:val="0"/>
      <w:marRight w:val="0"/>
      <w:marTop w:val="0"/>
      <w:marBottom w:val="0"/>
      <w:divBdr>
        <w:top w:val="none" w:sz="0" w:space="0" w:color="auto"/>
        <w:left w:val="none" w:sz="0" w:space="0" w:color="auto"/>
        <w:bottom w:val="none" w:sz="0" w:space="0" w:color="auto"/>
        <w:right w:val="none" w:sz="0" w:space="0" w:color="auto"/>
      </w:divBdr>
    </w:div>
    <w:div w:id="1521354150">
      <w:bodyDiv w:val="1"/>
      <w:marLeft w:val="0"/>
      <w:marRight w:val="0"/>
      <w:marTop w:val="0"/>
      <w:marBottom w:val="0"/>
      <w:divBdr>
        <w:top w:val="none" w:sz="0" w:space="0" w:color="auto"/>
        <w:left w:val="none" w:sz="0" w:space="0" w:color="auto"/>
        <w:bottom w:val="none" w:sz="0" w:space="0" w:color="auto"/>
        <w:right w:val="none" w:sz="0" w:space="0" w:color="auto"/>
      </w:divBdr>
    </w:div>
    <w:div w:id="1521357451">
      <w:bodyDiv w:val="1"/>
      <w:marLeft w:val="0"/>
      <w:marRight w:val="0"/>
      <w:marTop w:val="0"/>
      <w:marBottom w:val="0"/>
      <w:divBdr>
        <w:top w:val="none" w:sz="0" w:space="0" w:color="auto"/>
        <w:left w:val="none" w:sz="0" w:space="0" w:color="auto"/>
        <w:bottom w:val="none" w:sz="0" w:space="0" w:color="auto"/>
        <w:right w:val="none" w:sz="0" w:space="0" w:color="auto"/>
      </w:divBdr>
    </w:div>
    <w:div w:id="1521777773">
      <w:bodyDiv w:val="1"/>
      <w:marLeft w:val="0"/>
      <w:marRight w:val="0"/>
      <w:marTop w:val="0"/>
      <w:marBottom w:val="0"/>
      <w:divBdr>
        <w:top w:val="none" w:sz="0" w:space="0" w:color="auto"/>
        <w:left w:val="none" w:sz="0" w:space="0" w:color="auto"/>
        <w:bottom w:val="none" w:sz="0" w:space="0" w:color="auto"/>
        <w:right w:val="none" w:sz="0" w:space="0" w:color="auto"/>
      </w:divBdr>
    </w:div>
    <w:div w:id="1522431314">
      <w:bodyDiv w:val="1"/>
      <w:marLeft w:val="0"/>
      <w:marRight w:val="0"/>
      <w:marTop w:val="0"/>
      <w:marBottom w:val="0"/>
      <w:divBdr>
        <w:top w:val="none" w:sz="0" w:space="0" w:color="auto"/>
        <w:left w:val="none" w:sz="0" w:space="0" w:color="auto"/>
        <w:bottom w:val="none" w:sz="0" w:space="0" w:color="auto"/>
        <w:right w:val="none" w:sz="0" w:space="0" w:color="auto"/>
      </w:divBdr>
    </w:div>
    <w:div w:id="1523009149">
      <w:bodyDiv w:val="1"/>
      <w:marLeft w:val="0"/>
      <w:marRight w:val="0"/>
      <w:marTop w:val="0"/>
      <w:marBottom w:val="0"/>
      <w:divBdr>
        <w:top w:val="none" w:sz="0" w:space="0" w:color="auto"/>
        <w:left w:val="none" w:sz="0" w:space="0" w:color="auto"/>
        <w:bottom w:val="none" w:sz="0" w:space="0" w:color="auto"/>
        <w:right w:val="none" w:sz="0" w:space="0" w:color="auto"/>
      </w:divBdr>
    </w:div>
    <w:div w:id="1524057026">
      <w:bodyDiv w:val="1"/>
      <w:marLeft w:val="0"/>
      <w:marRight w:val="0"/>
      <w:marTop w:val="0"/>
      <w:marBottom w:val="0"/>
      <w:divBdr>
        <w:top w:val="none" w:sz="0" w:space="0" w:color="auto"/>
        <w:left w:val="none" w:sz="0" w:space="0" w:color="auto"/>
        <w:bottom w:val="none" w:sz="0" w:space="0" w:color="auto"/>
        <w:right w:val="none" w:sz="0" w:space="0" w:color="auto"/>
      </w:divBdr>
    </w:div>
    <w:div w:id="1524321430">
      <w:bodyDiv w:val="1"/>
      <w:marLeft w:val="0"/>
      <w:marRight w:val="0"/>
      <w:marTop w:val="0"/>
      <w:marBottom w:val="0"/>
      <w:divBdr>
        <w:top w:val="none" w:sz="0" w:space="0" w:color="auto"/>
        <w:left w:val="none" w:sz="0" w:space="0" w:color="auto"/>
        <w:bottom w:val="none" w:sz="0" w:space="0" w:color="auto"/>
        <w:right w:val="none" w:sz="0" w:space="0" w:color="auto"/>
      </w:divBdr>
    </w:div>
    <w:div w:id="1525172164">
      <w:bodyDiv w:val="1"/>
      <w:marLeft w:val="0"/>
      <w:marRight w:val="0"/>
      <w:marTop w:val="0"/>
      <w:marBottom w:val="0"/>
      <w:divBdr>
        <w:top w:val="none" w:sz="0" w:space="0" w:color="auto"/>
        <w:left w:val="none" w:sz="0" w:space="0" w:color="auto"/>
        <w:bottom w:val="none" w:sz="0" w:space="0" w:color="auto"/>
        <w:right w:val="none" w:sz="0" w:space="0" w:color="auto"/>
      </w:divBdr>
    </w:div>
    <w:div w:id="1525246139">
      <w:bodyDiv w:val="1"/>
      <w:marLeft w:val="0"/>
      <w:marRight w:val="0"/>
      <w:marTop w:val="0"/>
      <w:marBottom w:val="0"/>
      <w:divBdr>
        <w:top w:val="none" w:sz="0" w:space="0" w:color="auto"/>
        <w:left w:val="none" w:sz="0" w:space="0" w:color="auto"/>
        <w:bottom w:val="none" w:sz="0" w:space="0" w:color="auto"/>
        <w:right w:val="none" w:sz="0" w:space="0" w:color="auto"/>
      </w:divBdr>
    </w:div>
    <w:div w:id="1525362822">
      <w:bodyDiv w:val="1"/>
      <w:marLeft w:val="0"/>
      <w:marRight w:val="0"/>
      <w:marTop w:val="0"/>
      <w:marBottom w:val="0"/>
      <w:divBdr>
        <w:top w:val="none" w:sz="0" w:space="0" w:color="auto"/>
        <w:left w:val="none" w:sz="0" w:space="0" w:color="auto"/>
        <w:bottom w:val="none" w:sz="0" w:space="0" w:color="auto"/>
        <w:right w:val="none" w:sz="0" w:space="0" w:color="auto"/>
      </w:divBdr>
    </w:div>
    <w:div w:id="1525442155">
      <w:bodyDiv w:val="1"/>
      <w:marLeft w:val="0"/>
      <w:marRight w:val="0"/>
      <w:marTop w:val="0"/>
      <w:marBottom w:val="0"/>
      <w:divBdr>
        <w:top w:val="none" w:sz="0" w:space="0" w:color="auto"/>
        <w:left w:val="none" w:sz="0" w:space="0" w:color="auto"/>
        <w:bottom w:val="none" w:sz="0" w:space="0" w:color="auto"/>
        <w:right w:val="none" w:sz="0" w:space="0" w:color="auto"/>
      </w:divBdr>
    </w:div>
    <w:div w:id="1525745473">
      <w:bodyDiv w:val="1"/>
      <w:marLeft w:val="0"/>
      <w:marRight w:val="0"/>
      <w:marTop w:val="0"/>
      <w:marBottom w:val="0"/>
      <w:divBdr>
        <w:top w:val="none" w:sz="0" w:space="0" w:color="auto"/>
        <w:left w:val="none" w:sz="0" w:space="0" w:color="auto"/>
        <w:bottom w:val="none" w:sz="0" w:space="0" w:color="auto"/>
        <w:right w:val="none" w:sz="0" w:space="0" w:color="auto"/>
      </w:divBdr>
    </w:div>
    <w:div w:id="1525822109">
      <w:bodyDiv w:val="1"/>
      <w:marLeft w:val="0"/>
      <w:marRight w:val="0"/>
      <w:marTop w:val="0"/>
      <w:marBottom w:val="0"/>
      <w:divBdr>
        <w:top w:val="none" w:sz="0" w:space="0" w:color="auto"/>
        <w:left w:val="none" w:sz="0" w:space="0" w:color="auto"/>
        <w:bottom w:val="none" w:sz="0" w:space="0" w:color="auto"/>
        <w:right w:val="none" w:sz="0" w:space="0" w:color="auto"/>
      </w:divBdr>
    </w:div>
    <w:div w:id="1526095859">
      <w:bodyDiv w:val="1"/>
      <w:marLeft w:val="0"/>
      <w:marRight w:val="0"/>
      <w:marTop w:val="0"/>
      <w:marBottom w:val="0"/>
      <w:divBdr>
        <w:top w:val="none" w:sz="0" w:space="0" w:color="auto"/>
        <w:left w:val="none" w:sz="0" w:space="0" w:color="auto"/>
        <w:bottom w:val="none" w:sz="0" w:space="0" w:color="auto"/>
        <w:right w:val="none" w:sz="0" w:space="0" w:color="auto"/>
      </w:divBdr>
    </w:div>
    <w:div w:id="1526626686">
      <w:bodyDiv w:val="1"/>
      <w:marLeft w:val="0"/>
      <w:marRight w:val="0"/>
      <w:marTop w:val="0"/>
      <w:marBottom w:val="0"/>
      <w:divBdr>
        <w:top w:val="none" w:sz="0" w:space="0" w:color="auto"/>
        <w:left w:val="none" w:sz="0" w:space="0" w:color="auto"/>
        <w:bottom w:val="none" w:sz="0" w:space="0" w:color="auto"/>
        <w:right w:val="none" w:sz="0" w:space="0" w:color="auto"/>
      </w:divBdr>
    </w:div>
    <w:div w:id="1527871348">
      <w:bodyDiv w:val="1"/>
      <w:marLeft w:val="0"/>
      <w:marRight w:val="0"/>
      <w:marTop w:val="0"/>
      <w:marBottom w:val="0"/>
      <w:divBdr>
        <w:top w:val="none" w:sz="0" w:space="0" w:color="auto"/>
        <w:left w:val="none" w:sz="0" w:space="0" w:color="auto"/>
        <w:bottom w:val="none" w:sz="0" w:space="0" w:color="auto"/>
        <w:right w:val="none" w:sz="0" w:space="0" w:color="auto"/>
      </w:divBdr>
    </w:div>
    <w:div w:id="1528442684">
      <w:bodyDiv w:val="1"/>
      <w:marLeft w:val="0"/>
      <w:marRight w:val="0"/>
      <w:marTop w:val="0"/>
      <w:marBottom w:val="0"/>
      <w:divBdr>
        <w:top w:val="none" w:sz="0" w:space="0" w:color="auto"/>
        <w:left w:val="none" w:sz="0" w:space="0" w:color="auto"/>
        <w:bottom w:val="none" w:sz="0" w:space="0" w:color="auto"/>
        <w:right w:val="none" w:sz="0" w:space="0" w:color="auto"/>
      </w:divBdr>
    </w:div>
    <w:div w:id="1528715483">
      <w:bodyDiv w:val="1"/>
      <w:marLeft w:val="0"/>
      <w:marRight w:val="0"/>
      <w:marTop w:val="0"/>
      <w:marBottom w:val="0"/>
      <w:divBdr>
        <w:top w:val="none" w:sz="0" w:space="0" w:color="auto"/>
        <w:left w:val="none" w:sz="0" w:space="0" w:color="auto"/>
        <w:bottom w:val="none" w:sz="0" w:space="0" w:color="auto"/>
        <w:right w:val="none" w:sz="0" w:space="0" w:color="auto"/>
      </w:divBdr>
    </w:div>
    <w:div w:id="1528789784">
      <w:bodyDiv w:val="1"/>
      <w:marLeft w:val="0"/>
      <w:marRight w:val="0"/>
      <w:marTop w:val="0"/>
      <w:marBottom w:val="0"/>
      <w:divBdr>
        <w:top w:val="none" w:sz="0" w:space="0" w:color="auto"/>
        <w:left w:val="none" w:sz="0" w:space="0" w:color="auto"/>
        <w:bottom w:val="none" w:sz="0" w:space="0" w:color="auto"/>
        <w:right w:val="none" w:sz="0" w:space="0" w:color="auto"/>
      </w:divBdr>
    </w:div>
    <w:div w:id="1528911041">
      <w:bodyDiv w:val="1"/>
      <w:marLeft w:val="0"/>
      <w:marRight w:val="0"/>
      <w:marTop w:val="0"/>
      <w:marBottom w:val="0"/>
      <w:divBdr>
        <w:top w:val="none" w:sz="0" w:space="0" w:color="auto"/>
        <w:left w:val="none" w:sz="0" w:space="0" w:color="auto"/>
        <w:bottom w:val="none" w:sz="0" w:space="0" w:color="auto"/>
        <w:right w:val="none" w:sz="0" w:space="0" w:color="auto"/>
      </w:divBdr>
    </w:div>
    <w:div w:id="1529180377">
      <w:bodyDiv w:val="1"/>
      <w:marLeft w:val="0"/>
      <w:marRight w:val="0"/>
      <w:marTop w:val="0"/>
      <w:marBottom w:val="0"/>
      <w:divBdr>
        <w:top w:val="none" w:sz="0" w:space="0" w:color="auto"/>
        <w:left w:val="none" w:sz="0" w:space="0" w:color="auto"/>
        <w:bottom w:val="none" w:sz="0" w:space="0" w:color="auto"/>
        <w:right w:val="none" w:sz="0" w:space="0" w:color="auto"/>
      </w:divBdr>
    </w:div>
    <w:div w:id="1529371458">
      <w:bodyDiv w:val="1"/>
      <w:marLeft w:val="0"/>
      <w:marRight w:val="0"/>
      <w:marTop w:val="0"/>
      <w:marBottom w:val="0"/>
      <w:divBdr>
        <w:top w:val="none" w:sz="0" w:space="0" w:color="auto"/>
        <w:left w:val="none" w:sz="0" w:space="0" w:color="auto"/>
        <w:bottom w:val="none" w:sz="0" w:space="0" w:color="auto"/>
        <w:right w:val="none" w:sz="0" w:space="0" w:color="auto"/>
      </w:divBdr>
    </w:div>
    <w:div w:id="1529567193">
      <w:bodyDiv w:val="1"/>
      <w:marLeft w:val="0"/>
      <w:marRight w:val="0"/>
      <w:marTop w:val="0"/>
      <w:marBottom w:val="0"/>
      <w:divBdr>
        <w:top w:val="none" w:sz="0" w:space="0" w:color="auto"/>
        <w:left w:val="none" w:sz="0" w:space="0" w:color="auto"/>
        <w:bottom w:val="none" w:sz="0" w:space="0" w:color="auto"/>
        <w:right w:val="none" w:sz="0" w:space="0" w:color="auto"/>
      </w:divBdr>
    </w:div>
    <w:div w:id="1529948829">
      <w:bodyDiv w:val="1"/>
      <w:marLeft w:val="0"/>
      <w:marRight w:val="0"/>
      <w:marTop w:val="0"/>
      <w:marBottom w:val="0"/>
      <w:divBdr>
        <w:top w:val="none" w:sz="0" w:space="0" w:color="auto"/>
        <w:left w:val="none" w:sz="0" w:space="0" w:color="auto"/>
        <w:bottom w:val="none" w:sz="0" w:space="0" w:color="auto"/>
        <w:right w:val="none" w:sz="0" w:space="0" w:color="auto"/>
      </w:divBdr>
    </w:div>
    <w:div w:id="1531601834">
      <w:bodyDiv w:val="1"/>
      <w:marLeft w:val="0"/>
      <w:marRight w:val="0"/>
      <w:marTop w:val="0"/>
      <w:marBottom w:val="0"/>
      <w:divBdr>
        <w:top w:val="none" w:sz="0" w:space="0" w:color="auto"/>
        <w:left w:val="none" w:sz="0" w:space="0" w:color="auto"/>
        <w:bottom w:val="none" w:sz="0" w:space="0" w:color="auto"/>
        <w:right w:val="none" w:sz="0" w:space="0" w:color="auto"/>
      </w:divBdr>
    </w:div>
    <w:div w:id="1531725164">
      <w:bodyDiv w:val="1"/>
      <w:marLeft w:val="0"/>
      <w:marRight w:val="0"/>
      <w:marTop w:val="0"/>
      <w:marBottom w:val="0"/>
      <w:divBdr>
        <w:top w:val="none" w:sz="0" w:space="0" w:color="auto"/>
        <w:left w:val="none" w:sz="0" w:space="0" w:color="auto"/>
        <w:bottom w:val="none" w:sz="0" w:space="0" w:color="auto"/>
        <w:right w:val="none" w:sz="0" w:space="0" w:color="auto"/>
      </w:divBdr>
    </w:div>
    <w:div w:id="1532185332">
      <w:bodyDiv w:val="1"/>
      <w:marLeft w:val="0"/>
      <w:marRight w:val="0"/>
      <w:marTop w:val="0"/>
      <w:marBottom w:val="0"/>
      <w:divBdr>
        <w:top w:val="none" w:sz="0" w:space="0" w:color="auto"/>
        <w:left w:val="none" w:sz="0" w:space="0" w:color="auto"/>
        <w:bottom w:val="none" w:sz="0" w:space="0" w:color="auto"/>
        <w:right w:val="none" w:sz="0" w:space="0" w:color="auto"/>
      </w:divBdr>
    </w:div>
    <w:div w:id="1532256010">
      <w:bodyDiv w:val="1"/>
      <w:marLeft w:val="0"/>
      <w:marRight w:val="0"/>
      <w:marTop w:val="0"/>
      <w:marBottom w:val="0"/>
      <w:divBdr>
        <w:top w:val="none" w:sz="0" w:space="0" w:color="auto"/>
        <w:left w:val="none" w:sz="0" w:space="0" w:color="auto"/>
        <w:bottom w:val="none" w:sz="0" w:space="0" w:color="auto"/>
        <w:right w:val="none" w:sz="0" w:space="0" w:color="auto"/>
      </w:divBdr>
    </w:div>
    <w:div w:id="1532648065">
      <w:bodyDiv w:val="1"/>
      <w:marLeft w:val="0"/>
      <w:marRight w:val="0"/>
      <w:marTop w:val="0"/>
      <w:marBottom w:val="0"/>
      <w:divBdr>
        <w:top w:val="none" w:sz="0" w:space="0" w:color="auto"/>
        <w:left w:val="none" w:sz="0" w:space="0" w:color="auto"/>
        <w:bottom w:val="none" w:sz="0" w:space="0" w:color="auto"/>
        <w:right w:val="none" w:sz="0" w:space="0" w:color="auto"/>
      </w:divBdr>
    </w:div>
    <w:div w:id="1533032408">
      <w:bodyDiv w:val="1"/>
      <w:marLeft w:val="0"/>
      <w:marRight w:val="0"/>
      <w:marTop w:val="0"/>
      <w:marBottom w:val="0"/>
      <w:divBdr>
        <w:top w:val="none" w:sz="0" w:space="0" w:color="auto"/>
        <w:left w:val="none" w:sz="0" w:space="0" w:color="auto"/>
        <w:bottom w:val="none" w:sz="0" w:space="0" w:color="auto"/>
        <w:right w:val="none" w:sz="0" w:space="0" w:color="auto"/>
      </w:divBdr>
    </w:div>
    <w:div w:id="1533759385">
      <w:bodyDiv w:val="1"/>
      <w:marLeft w:val="0"/>
      <w:marRight w:val="0"/>
      <w:marTop w:val="0"/>
      <w:marBottom w:val="0"/>
      <w:divBdr>
        <w:top w:val="none" w:sz="0" w:space="0" w:color="auto"/>
        <w:left w:val="none" w:sz="0" w:space="0" w:color="auto"/>
        <w:bottom w:val="none" w:sz="0" w:space="0" w:color="auto"/>
        <w:right w:val="none" w:sz="0" w:space="0" w:color="auto"/>
      </w:divBdr>
    </w:div>
    <w:div w:id="1535118455">
      <w:bodyDiv w:val="1"/>
      <w:marLeft w:val="0"/>
      <w:marRight w:val="0"/>
      <w:marTop w:val="0"/>
      <w:marBottom w:val="0"/>
      <w:divBdr>
        <w:top w:val="none" w:sz="0" w:space="0" w:color="auto"/>
        <w:left w:val="none" w:sz="0" w:space="0" w:color="auto"/>
        <w:bottom w:val="none" w:sz="0" w:space="0" w:color="auto"/>
        <w:right w:val="none" w:sz="0" w:space="0" w:color="auto"/>
      </w:divBdr>
    </w:div>
    <w:div w:id="1535386641">
      <w:bodyDiv w:val="1"/>
      <w:marLeft w:val="0"/>
      <w:marRight w:val="0"/>
      <w:marTop w:val="0"/>
      <w:marBottom w:val="0"/>
      <w:divBdr>
        <w:top w:val="none" w:sz="0" w:space="0" w:color="auto"/>
        <w:left w:val="none" w:sz="0" w:space="0" w:color="auto"/>
        <w:bottom w:val="none" w:sz="0" w:space="0" w:color="auto"/>
        <w:right w:val="none" w:sz="0" w:space="0" w:color="auto"/>
      </w:divBdr>
    </w:div>
    <w:div w:id="1535581067">
      <w:bodyDiv w:val="1"/>
      <w:marLeft w:val="0"/>
      <w:marRight w:val="0"/>
      <w:marTop w:val="0"/>
      <w:marBottom w:val="0"/>
      <w:divBdr>
        <w:top w:val="none" w:sz="0" w:space="0" w:color="auto"/>
        <w:left w:val="none" w:sz="0" w:space="0" w:color="auto"/>
        <w:bottom w:val="none" w:sz="0" w:space="0" w:color="auto"/>
        <w:right w:val="none" w:sz="0" w:space="0" w:color="auto"/>
      </w:divBdr>
    </w:div>
    <w:div w:id="1535652744">
      <w:bodyDiv w:val="1"/>
      <w:marLeft w:val="0"/>
      <w:marRight w:val="0"/>
      <w:marTop w:val="0"/>
      <w:marBottom w:val="0"/>
      <w:divBdr>
        <w:top w:val="none" w:sz="0" w:space="0" w:color="auto"/>
        <w:left w:val="none" w:sz="0" w:space="0" w:color="auto"/>
        <w:bottom w:val="none" w:sz="0" w:space="0" w:color="auto"/>
        <w:right w:val="none" w:sz="0" w:space="0" w:color="auto"/>
      </w:divBdr>
    </w:div>
    <w:div w:id="1536190975">
      <w:bodyDiv w:val="1"/>
      <w:marLeft w:val="0"/>
      <w:marRight w:val="0"/>
      <w:marTop w:val="0"/>
      <w:marBottom w:val="0"/>
      <w:divBdr>
        <w:top w:val="none" w:sz="0" w:space="0" w:color="auto"/>
        <w:left w:val="none" w:sz="0" w:space="0" w:color="auto"/>
        <w:bottom w:val="none" w:sz="0" w:space="0" w:color="auto"/>
        <w:right w:val="none" w:sz="0" w:space="0" w:color="auto"/>
      </w:divBdr>
    </w:div>
    <w:div w:id="1536312949">
      <w:bodyDiv w:val="1"/>
      <w:marLeft w:val="0"/>
      <w:marRight w:val="0"/>
      <w:marTop w:val="0"/>
      <w:marBottom w:val="0"/>
      <w:divBdr>
        <w:top w:val="none" w:sz="0" w:space="0" w:color="auto"/>
        <w:left w:val="none" w:sz="0" w:space="0" w:color="auto"/>
        <w:bottom w:val="none" w:sz="0" w:space="0" w:color="auto"/>
        <w:right w:val="none" w:sz="0" w:space="0" w:color="auto"/>
      </w:divBdr>
    </w:div>
    <w:div w:id="1538278771">
      <w:bodyDiv w:val="1"/>
      <w:marLeft w:val="0"/>
      <w:marRight w:val="0"/>
      <w:marTop w:val="0"/>
      <w:marBottom w:val="0"/>
      <w:divBdr>
        <w:top w:val="none" w:sz="0" w:space="0" w:color="auto"/>
        <w:left w:val="none" w:sz="0" w:space="0" w:color="auto"/>
        <w:bottom w:val="none" w:sz="0" w:space="0" w:color="auto"/>
        <w:right w:val="none" w:sz="0" w:space="0" w:color="auto"/>
      </w:divBdr>
    </w:div>
    <w:div w:id="1539583968">
      <w:bodyDiv w:val="1"/>
      <w:marLeft w:val="0"/>
      <w:marRight w:val="0"/>
      <w:marTop w:val="0"/>
      <w:marBottom w:val="0"/>
      <w:divBdr>
        <w:top w:val="none" w:sz="0" w:space="0" w:color="auto"/>
        <w:left w:val="none" w:sz="0" w:space="0" w:color="auto"/>
        <w:bottom w:val="none" w:sz="0" w:space="0" w:color="auto"/>
        <w:right w:val="none" w:sz="0" w:space="0" w:color="auto"/>
      </w:divBdr>
    </w:div>
    <w:div w:id="1539929606">
      <w:bodyDiv w:val="1"/>
      <w:marLeft w:val="0"/>
      <w:marRight w:val="0"/>
      <w:marTop w:val="0"/>
      <w:marBottom w:val="0"/>
      <w:divBdr>
        <w:top w:val="none" w:sz="0" w:space="0" w:color="auto"/>
        <w:left w:val="none" w:sz="0" w:space="0" w:color="auto"/>
        <w:bottom w:val="none" w:sz="0" w:space="0" w:color="auto"/>
        <w:right w:val="none" w:sz="0" w:space="0" w:color="auto"/>
      </w:divBdr>
    </w:div>
    <w:div w:id="1540240156">
      <w:bodyDiv w:val="1"/>
      <w:marLeft w:val="0"/>
      <w:marRight w:val="0"/>
      <w:marTop w:val="0"/>
      <w:marBottom w:val="0"/>
      <w:divBdr>
        <w:top w:val="none" w:sz="0" w:space="0" w:color="auto"/>
        <w:left w:val="none" w:sz="0" w:space="0" w:color="auto"/>
        <w:bottom w:val="none" w:sz="0" w:space="0" w:color="auto"/>
        <w:right w:val="none" w:sz="0" w:space="0" w:color="auto"/>
      </w:divBdr>
    </w:div>
    <w:div w:id="1542668400">
      <w:bodyDiv w:val="1"/>
      <w:marLeft w:val="0"/>
      <w:marRight w:val="0"/>
      <w:marTop w:val="0"/>
      <w:marBottom w:val="0"/>
      <w:divBdr>
        <w:top w:val="none" w:sz="0" w:space="0" w:color="auto"/>
        <w:left w:val="none" w:sz="0" w:space="0" w:color="auto"/>
        <w:bottom w:val="none" w:sz="0" w:space="0" w:color="auto"/>
        <w:right w:val="none" w:sz="0" w:space="0" w:color="auto"/>
      </w:divBdr>
    </w:div>
    <w:div w:id="1543126491">
      <w:bodyDiv w:val="1"/>
      <w:marLeft w:val="0"/>
      <w:marRight w:val="0"/>
      <w:marTop w:val="0"/>
      <w:marBottom w:val="0"/>
      <w:divBdr>
        <w:top w:val="none" w:sz="0" w:space="0" w:color="auto"/>
        <w:left w:val="none" w:sz="0" w:space="0" w:color="auto"/>
        <w:bottom w:val="none" w:sz="0" w:space="0" w:color="auto"/>
        <w:right w:val="none" w:sz="0" w:space="0" w:color="auto"/>
      </w:divBdr>
    </w:div>
    <w:div w:id="1543707565">
      <w:bodyDiv w:val="1"/>
      <w:marLeft w:val="0"/>
      <w:marRight w:val="0"/>
      <w:marTop w:val="0"/>
      <w:marBottom w:val="0"/>
      <w:divBdr>
        <w:top w:val="none" w:sz="0" w:space="0" w:color="auto"/>
        <w:left w:val="none" w:sz="0" w:space="0" w:color="auto"/>
        <w:bottom w:val="none" w:sz="0" w:space="0" w:color="auto"/>
        <w:right w:val="none" w:sz="0" w:space="0" w:color="auto"/>
      </w:divBdr>
    </w:div>
    <w:div w:id="1544177759">
      <w:bodyDiv w:val="1"/>
      <w:marLeft w:val="0"/>
      <w:marRight w:val="0"/>
      <w:marTop w:val="0"/>
      <w:marBottom w:val="0"/>
      <w:divBdr>
        <w:top w:val="none" w:sz="0" w:space="0" w:color="auto"/>
        <w:left w:val="none" w:sz="0" w:space="0" w:color="auto"/>
        <w:bottom w:val="none" w:sz="0" w:space="0" w:color="auto"/>
        <w:right w:val="none" w:sz="0" w:space="0" w:color="auto"/>
      </w:divBdr>
    </w:div>
    <w:div w:id="1544368288">
      <w:bodyDiv w:val="1"/>
      <w:marLeft w:val="0"/>
      <w:marRight w:val="0"/>
      <w:marTop w:val="0"/>
      <w:marBottom w:val="0"/>
      <w:divBdr>
        <w:top w:val="none" w:sz="0" w:space="0" w:color="auto"/>
        <w:left w:val="none" w:sz="0" w:space="0" w:color="auto"/>
        <w:bottom w:val="none" w:sz="0" w:space="0" w:color="auto"/>
        <w:right w:val="none" w:sz="0" w:space="0" w:color="auto"/>
      </w:divBdr>
    </w:div>
    <w:div w:id="1547181556">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548373153">
      <w:bodyDiv w:val="1"/>
      <w:marLeft w:val="0"/>
      <w:marRight w:val="0"/>
      <w:marTop w:val="0"/>
      <w:marBottom w:val="0"/>
      <w:divBdr>
        <w:top w:val="none" w:sz="0" w:space="0" w:color="auto"/>
        <w:left w:val="none" w:sz="0" w:space="0" w:color="auto"/>
        <w:bottom w:val="none" w:sz="0" w:space="0" w:color="auto"/>
        <w:right w:val="none" w:sz="0" w:space="0" w:color="auto"/>
      </w:divBdr>
    </w:div>
    <w:div w:id="1548446662">
      <w:bodyDiv w:val="1"/>
      <w:marLeft w:val="0"/>
      <w:marRight w:val="0"/>
      <w:marTop w:val="0"/>
      <w:marBottom w:val="0"/>
      <w:divBdr>
        <w:top w:val="none" w:sz="0" w:space="0" w:color="auto"/>
        <w:left w:val="none" w:sz="0" w:space="0" w:color="auto"/>
        <w:bottom w:val="none" w:sz="0" w:space="0" w:color="auto"/>
        <w:right w:val="none" w:sz="0" w:space="0" w:color="auto"/>
      </w:divBdr>
    </w:div>
    <w:div w:id="1549730850">
      <w:bodyDiv w:val="1"/>
      <w:marLeft w:val="0"/>
      <w:marRight w:val="0"/>
      <w:marTop w:val="0"/>
      <w:marBottom w:val="0"/>
      <w:divBdr>
        <w:top w:val="none" w:sz="0" w:space="0" w:color="auto"/>
        <w:left w:val="none" w:sz="0" w:space="0" w:color="auto"/>
        <w:bottom w:val="none" w:sz="0" w:space="0" w:color="auto"/>
        <w:right w:val="none" w:sz="0" w:space="0" w:color="auto"/>
      </w:divBdr>
    </w:div>
    <w:div w:id="1552039672">
      <w:bodyDiv w:val="1"/>
      <w:marLeft w:val="0"/>
      <w:marRight w:val="0"/>
      <w:marTop w:val="0"/>
      <w:marBottom w:val="0"/>
      <w:divBdr>
        <w:top w:val="none" w:sz="0" w:space="0" w:color="auto"/>
        <w:left w:val="none" w:sz="0" w:space="0" w:color="auto"/>
        <w:bottom w:val="none" w:sz="0" w:space="0" w:color="auto"/>
        <w:right w:val="none" w:sz="0" w:space="0" w:color="auto"/>
      </w:divBdr>
    </w:div>
    <w:div w:id="1552495758">
      <w:bodyDiv w:val="1"/>
      <w:marLeft w:val="0"/>
      <w:marRight w:val="0"/>
      <w:marTop w:val="0"/>
      <w:marBottom w:val="0"/>
      <w:divBdr>
        <w:top w:val="none" w:sz="0" w:space="0" w:color="auto"/>
        <w:left w:val="none" w:sz="0" w:space="0" w:color="auto"/>
        <w:bottom w:val="none" w:sz="0" w:space="0" w:color="auto"/>
        <w:right w:val="none" w:sz="0" w:space="0" w:color="auto"/>
      </w:divBdr>
    </w:div>
    <w:div w:id="1553152993">
      <w:bodyDiv w:val="1"/>
      <w:marLeft w:val="0"/>
      <w:marRight w:val="0"/>
      <w:marTop w:val="0"/>
      <w:marBottom w:val="0"/>
      <w:divBdr>
        <w:top w:val="none" w:sz="0" w:space="0" w:color="auto"/>
        <w:left w:val="none" w:sz="0" w:space="0" w:color="auto"/>
        <w:bottom w:val="none" w:sz="0" w:space="0" w:color="auto"/>
        <w:right w:val="none" w:sz="0" w:space="0" w:color="auto"/>
      </w:divBdr>
    </w:div>
    <w:div w:id="1554386646">
      <w:bodyDiv w:val="1"/>
      <w:marLeft w:val="0"/>
      <w:marRight w:val="0"/>
      <w:marTop w:val="0"/>
      <w:marBottom w:val="0"/>
      <w:divBdr>
        <w:top w:val="none" w:sz="0" w:space="0" w:color="auto"/>
        <w:left w:val="none" w:sz="0" w:space="0" w:color="auto"/>
        <w:bottom w:val="none" w:sz="0" w:space="0" w:color="auto"/>
        <w:right w:val="none" w:sz="0" w:space="0" w:color="auto"/>
      </w:divBdr>
    </w:div>
    <w:div w:id="1555965199">
      <w:bodyDiv w:val="1"/>
      <w:marLeft w:val="0"/>
      <w:marRight w:val="0"/>
      <w:marTop w:val="0"/>
      <w:marBottom w:val="0"/>
      <w:divBdr>
        <w:top w:val="none" w:sz="0" w:space="0" w:color="auto"/>
        <w:left w:val="none" w:sz="0" w:space="0" w:color="auto"/>
        <w:bottom w:val="none" w:sz="0" w:space="0" w:color="auto"/>
        <w:right w:val="none" w:sz="0" w:space="0" w:color="auto"/>
      </w:divBdr>
    </w:div>
    <w:div w:id="1556770678">
      <w:bodyDiv w:val="1"/>
      <w:marLeft w:val="0"/>
      <w:marRight w:val="0"/>
      <w:marTop w:val="0"/>
      <w:marBottom w:val="0"/>
      <w:divBdr>
        <w:top w:val="none" w:sz="0" w:space="0" w:color="auto"/>
        <w:left w:val="none" w:sz="0" w:space="0" w:color="auto"/>
        <w:bottom w:val="none" w:sz="0" w:space="0" w:color="auto"/>
        <w:right w:val="none" w:sz="0" w:space="0" w:color="auto"/>
      </w:divBdr>
    </w:div>
    <w:div w:id="1558515328">
      <w:bodyDiv w:val="1"/>
      <w:marLeft w:val="0"/>
      <w:marRight w:val="0"/>
      <w:marTop w:val="0"/>
      <w:marBottom w:val="0"/>
      <w:divBdr>
        <w:top w:val="none" w:sz="0" w:space="0" w:color="auto"/>
        <w:left w:val="none" w:sz="0" w:space="0" w:color="auto"/>
        <w:bottom w:val="none" w:sz="0" w:space="0" w:color="auto"/>
        <w:right w:val="none" w:sz="0" w:space="0" w:color="auto"/>
      </w:divBdr>
    </w:div>
    <w:div w:id="1559239231">
      <w:bodyDiv w:val="1"/>
      <w:marLeft w:val="0"/>
      <w:marRight w:val="0"/>
      <w:marTop w:val="0"/>
      <w:marBottom w:val="0"/>
      <w:divBdr>
        <w:top w:val="none" w:sz="0" w:space="0" w:color="auto"/>
        <w:left w:val="none" w:sz="0" w:space="0" w:color="auto"/>
        <w:bottom w:val="none" w:sz="0" w:space="0" w:color="auto"/>
        <w:right w:val="none" w:sz="0" w:space="0" w:color="auto"/>
      </w:divBdr>
    </w:div>
    <w:div w:id="1559321059">
      <w:bodyDiv w:val="1"/>
      <w:marLeft w:val="0"/>
      <w:marRight w:val="0"/>
      <w:marTop w:val="0"/>
      <w:marBottom w:val="0"/>
      <w:divBdr>
        <w:top w:val="none" w:sz="0" w:space="0" w:color="auto"/>
        <w:left w:val="none" w:sz="0" w:space="0" w:color="auto"/>
        <w:bottom w:val="none" w:sz="0" w:space="0" w:color="auto"/>
        <w:right w:val="none" w:sz="0" w:space="0" w:color="auto"/>
      </w:divBdr>
    </w:div>
    <w:div w:id="1559441488">
      <w:bodyDiv w:val="1"/>
      <w:marLeft w:val="0"/>
      <w:marRight w:val="0"/>
      <w:marTop w:val="0"/>
      <w:marBottom w:val="0"/>
      <w:divBdr>
        <w:top w:val="none" w:sz="0" w:space="0" w:color="auto"/>
        <w:left w:val="none" w:sz="0" w:space="0" w:color="auto"/>
        <w:bottom w:val="none" w:sz="0" w:space="0" w:color="auto"/>
        <w:right w:val="none" w:sz="0" w:space="0" w:color="auto"/>
      </w:divBdr>
    </w:div>
    <w:div w:id="1559972629">
      <w:bodyDiv w:val="1"/>
      <w:marLeft w:val="0"/>
      <w:marRight w:val="0"/>
      <w:marTop w:val="0"/>
      <w:marBottom w:val="0"/>
      <w:divBdr>
        <w:top w:val="none" w:sz="0" w:space="0" w:color="auto"/>
        <w:left w:val="none" w:sz="0" w:space="0" w:color="auto"/>
        <w:bottom w:val="none" w:sz="0" w:space="0" w:color="auto"/>
        <w:right w:val="none" w:sz="0" w:space="0" w:color="auto"/>
      </w:divBdr>
    </w:div>
    <w:div w:id="1559977189">
      <w:bodyDiv w:val="1"/>
      <w:marLeft w:val="0"/>
      <w:marRight w:val="0"/>
      <w:marTop w:val="0"/>
      <w:marBottom w:val="0"/>
      <w:divBdr>
        <w:top w:val="none" w:sz="0" w:space="0" w:color="auto"/>
        <w:left w:val="none" w:sz="0" w:space="0" w:color="auto"/>
        <w:bottom w:val="none" w:sz="0" w:space="0" w:color="auto"/>
        <w:right w:val="none" w:sz="0" w:space="0" w:color="auto"/>
      </w:divBdr>
    </w:div>
    <w:div w:id="1560281748">
      <w:bodyDiv w:val="1"/>
      <w:marLeft w:val="0"/>
      <w:marRight w:val="0"/>
      <w:marTop w:val="0"/>
      <w:marBottom w:val="0"/>
      <w:divBdr>
        <w:top w:val="none" w:sz="0" w:space="0" w:color="auto"/>
        <w:left w:val="none" w:sz="0" w:space="0" w:color="auto"/>
        <w:bottom w:val="none" w:sz="0" w:space="0" w:color="auto"/>
        <w:right w:val="none" w:sz="0" w:space="0" w:color="auto"/>
      </w:divBdr>
    </w:div>
    <w:div w:id="1560282877">
      <w:bodyDiv w:val="1"/>
      <w:marLeft w:val="0"/>
      <w:marRight w:val="0"/>
      <w:marTop w:val="0"/>
      <w:marBottom w:val="0"/>
      <w:divBdr>
        <w:top w:val="none" w:sz="0" w:space="0" w:color="auto"/>
        <w:left w:val="none" w:sz="0" w:space="0" w:color="auto"/>
        <w:bottom w:val="none" w:sz="0" w:space="0" w:color="auto"/>
        <w:right w:val="none" w:sz="0" w:space="0" w:color="auto"/>
      </w:divBdr>
    </w:div>
    <w:div w:id="1560480720">
      <w:bodyDiv w:val="1"/>
      <w:marLeft w:val="0"/>
      <w:marRight w:val="0"/>
      <w:marTop w:val="0"/>
      <w:marBottom w:val="0"/>
      <w:divBdr>
        <w:top w:val="none" w:sz="0" w:space="0" w:color="auto"/>
        <w:left w:val="none" w:sz="0" w:space="0" w:color="auto"/>
        <w:bottom w:val="none" w:sz="0" w:space="0" w:color="auto"/>
        <w:right w:val="none" w:sz="0" w:space="0" w:color="auto"/>
      </w:divBdr>
    </w:div>
    <w:div w:id="1560705547">
      <w:bodyDiv w:val="1"/>
      <w:marLeft w:val="0"/>
      <w:marRight w:val="0"/>
      <w:marTop w:val="0"/>
      <w:marBottom w:val="0"/>
      <w:divBdr>
        <w:top w:val="none" w:sz="0" w:space="0" w:color="auto"/>
        <w:left w:val="none" w:sz="0" w:space="0" w:color="auto"/>
        <w:bottom w:val="none" w:sz="0" w:space="0" w:color="auto"/>
        <w:right w:val="none" w:sz="0" w:space="0" w:color="auto"/>
      </w:divBdr>
    </w:div>
    <w:div w:id="1561094044">
      <w:bodyDiv w:val="1"/>
      <w:marLeft w:val="0"/>
      <w:marRight w:val="0"/>
      <w:marTop w:val="0"/>
      <w:marBottom w:val="0"/>
      <w:divBdr>
        <w:top w:val="none" w:sz="0" w:space="0" w:color="auto"/>
        <w:left w:val="none" w:sz="0" w:space="0" w:color="auto"/>
        <w:bottom w:val="none" w:sz="0" w:space="0" w:color="auto"/>
        <w:right w:val="none" w:sz="0" w:space="0" w:color="auto"/>
      </w:divBdr>
    </w:div>
    <w:div w:id="1561358719">
      <w:bodyDiv w:val="1"/>
      <w:marLeft w:val="0"/>
      <w:marRight w:val="0"/>
      <w:marTop w:val="0"/>
      <w:marBottom w:val="0"/>
      <w:divBdr>
        <w:top w:val="none" w:sz="0" w:space="0" w:color="auto"/>
        <w:left w:val="none" w:sz="0" w:space="0" w:color="auto"/>
        <w:bottom w:val="none" w:sz="0" w:space="0" w:color="auto"/>
        <w:right w:val="none" w:sz="0" w:space="0" w:color="auto"/>
      </w:divBdr>
    </w:div>
    <w:div w:id="1562443893">
      <w:bodyDiv w:val="1"/>
      <w:marLeft w:val="0"/>
      <w:marRight w:val="0"/>
      <w:marTop w:val="0"/>
      <w:marBottom w:val="0"/>
      <w:divBdr>
        <w:top w:val="none" w:sz="0" w:space="0" w:color="auto"/>
        <w:left w:val="none" w:sz="0" w:space="0" w:color="auto"/>
        <w:bottom w:val="none" w:sz="0" w:space="0" w:color="auto"/>
        <w:right w:val="none" w:sz="0" w:space="0" w:color="auto"/>
      </w:divBdr>
    </w:div>
    <w:div w:id="1562860285">
      <w:bodyDiv w:val="1"/>
      <w:marLeft w:val="0"/>
      <w:marRight w:val="0"/>
      <w:marTop w:val="0"/>
      <w:marBottom w:val="0"/>
      <w:divBdr>
        <w:top w:val="none" w:sz="0" w:space="0" w:color="auto"/>
        <w:left w:val="none" w:sz="0" w:space="0" w:color="auto"/>
        <w:bottom w:val="none" w:sz="0" w:space="0" w:color="auto"/>
        <w:right w:val="none" w:sz="0" w:space="0" w:color="auto"/>
      </w:divBdr>
    </w:div>
    <w:div w:id="1563516589">
      <w:bodyDiv w:val="1"/>
      <w:marLeft w:val="0"/>
      <w:marRight w:val="0"/>
      <w:marTop w:val="0"/>
      <w:marBottom w:val="0"/>
      <w:divBdr>
        <w:top w:val="none" w:sz="0" w:space="0" w:color="auto"/>
        <w:left w:val="none" w:sz="0" w:space="0" w:color="auto"/>
        <w:bottom w:val="none" w:sz="0" w:space="0" w:color="auto"/>
        <w:right w:val="none" w:sz="0" w:space="0" w:color="auto"/>
      </w:divBdr>
    </w:div>
    <w:div w:id="1564293918">
      <w:bodyDiv w:val="1"/>
      <w:marLeft w:val="0"/>
      <w:marRight w:val="0"/>
      <w:marTop w:val="0"/>
      <w:marBottom w:val="0"/>
      <w:divBdr>
        <w:top w:val="none" w:sz="0" w:space="0" w:color="auto"/>
        <w:left w:val="none" w:sz="0" w:space="0" w:color="auto"/>
        <w:bottom w:val="none" w:sz="0" w:space="0" w:color="auto"/>
        <w:right w:val="none" w:sz="0" w:space="0" w:color="auto"/>
      </w:divBdr>
    </w:div>
    <w:div w:id="1564297607">
      <w:bodyDiv w:val="1"/>
      <w:marLeft w:val="0"/>
      <w:marRight w:val="0"/>
      <w:marTop w:val="0"/>
      <w:marBottom w:val="0"/>
      <w:divBdr>
        <w:top w:val="none" w:sz="0" w:space="0" w:color="auto"/>
        <w:left w:val="none" w:sz="0" w:space="0" w:color="auto"/>
        <w:bottom w:val="none" w:sz="0" w:space="0" w:color="auto"/>
        <w:right w:val="none" w:sz="0" w:space="0" w:color="auto"/>
      </w:divBdr>
    </w:div>
    <w:div w:id="1564756007">
      <w:bodyDiv w:val="1"/>
      <w:marLeft w:val="0"/>
      <w:marRight w:val="0"/>
      <w:marTop w:val="0"/>
      <w:marBottom w:val="0"/>
      <w:divBdr>
        <w:top w:val="none" w:sz="0" w:space="0" w:color="auto"/>
        <w:left w:val="none" w:sz="0" w:space="0" w:color="auto"/>
        <w:bottom w:val="none" w:sz="0" w:space="0" w:color="auto"/>
        <w:right w:val="none" w:sz="0" w:space="0" w:color="auto"/>
      </w:divBdr>
    </w:div>
    <w:div w:id="1566144176">
      <w:bodyDiv w:val="1"/>
      <w:marLeft w:val="0"/>
      <w:marRight w:val="0"/>
      <w:marTop w:val="0"/>
      <w:marBottom w:val="0"/>
      <w:divBdr>
        <w:top w:val="none" w:sz="0" w:space="0" w:color="auto"/>
        <w:left w:val="none" w:sz="0" w:space="0" w:color="auto"/>
        <w:bottom w:val="none" w:sz="0" w:space="0" w:color="auto"/>
        <w:right w:val="none" w:sz="0" w:space="0" w:color="auto"/>
      </w:divBdr>
    </w:div>
    <w:div w:id="1566918344">
      <w:bodyDiv w:val="1"/>
      <w:marLeft w:val="0"/>
      <w:marRight w:val="0"/>
      <w:marTop w:val="0"/>
      <w:marBottom w:val="0"/>
      <w:divBdr>
        <w:top w:val="none" w:sz="0" w:space="0" w:color="auto"/>
        <w:left w:val="none" w:sz="0" w:space="0" w:color="auto"/>
        <w:bottom w:val="none" w:sz="0" w:space="0" w:color="auto"/>
        <w:right w:val="none" w:sz="0" w:space="0" w:color="auto"/>
      </w:divBdr>
    </w:div>
    <w:div w:id="1567912592">
      <w:bodyDiv w:val="1"/>
      <w:marLeft w:val="0"/>
      <w:marRight w:val="0"/>
      <w:marTop w:val="0"/>
      <w:marBottom w:val="0"/>
      <w:divBdr>
        <w:top w:val="none" w:sz="0" w:space="0" w:color="auto"/>
        <w:left w:val="none" w:sz="0" w:space="0" w:color="auto"/>
        <w:bottom w:val="none" w:sz="0" w:space="0" w:color="auto"/>
        <w:right w:val="none" w:sz="0" w:space="0" w:color="auto"/>
      </w:divBdr>
    </w:div>
    <w:div w:id="1568417905">
      <w:bodyDiv w:val="1"/>
      <w:marLeft w:val="0"/>
      <w:marRight w:val="0"/>
      <w:marTop w:val="0"/>
      <w:marBottom w:val="0"/>
      <w:divBdr>
        <w:top w:val="none" w:sz="0" w:space="0" w:color="auto"/>
        <w:left w:val="none" w:sz="0" w:space="0" w:color="auto"/>
        <w:bottom w:val="none" w:sz="0" w:space="0" w:color="auto"/>
        <w:right w:val="none" w:sz="0" w:space="0" w:color="auto"/>
      </w:divBdr>
    </w:div>
    <w:div w:id="1568690975">
      <w:bodyDiv w:val="1"/>
      <w:marLeft w:val="0"/>
      <w:marRight w:val="0"/>
      <w:marTop w:val="0"/>
      <w:marBottom w:val="0"/>
      <w:divBdr>
        <w:top w:val="none" w:sz="0" w:space="0" w:color="auto"/>
        <w:left w:val="none" w:sz="0" w:space="0" w:color="auto"/>
        <w:bottom w:val="none" w:sz="0" w:space="0" w:color="auto"/>
        <w:right w:val="none" w:sz="0" w:space="0" w:color="auto"/>
      </w:divBdr>
    </w:div>
    <w:div w:id="1568803580">
      <w:bodyDiv w:val="1"/>
      <w:marLeft w:val="0"/>
      <w:marRight w:val="0"/>
      <w:marTop w:val="0"/>
      <w:marBottom w:val="0"/>
      <w:divBdr>
        <w:top w:val="none" w:sz="0" w:space="0" w:color="auto"/>
        <w:left w:val="none" w:sz="0" w:space="0" w:color="auto"/>
        <w:bottom w:val="none" w:sz="0" w:space="0" w:color="auto"/>
        <w:right w:val="none" w:sz="0" w:space="0" w:color="auto"/>
      </w:divBdr>
    </w:div>
    <w:div w:id="1570115426">
      <w:bodyDiv w:val="1"/>
      <w:marLeft w:val="0"/>
      <w:marRight w:val="0"/>
      <w:marTop w:val="0"/>
      <w:marBottom w:val="0"/>
      <w:divBdr>
        <w:top w:val="none" w:sz="0" w:space="0" w:color="auto"/>
        <w:left w:val="none" w:sz="0" w:space="0" w:color="auto"/>
        <w:bottom w:val="none" w:sz="0" w:space="0" w:color="auto"/>
        <w:right w:val="none" w:sz="0" w:space="0" w:color="auto"/>
      </w:divBdr>
    </w:div>
    <w:div w:id="1570187174">
      <w:bodyDiv w:val="1"/>
      <w:marLeft w:val="0"/>
      <w:marRight w:val="0"/>
      <w:marTop w:val="0"/>
      <w:marBottom w:val="0"/>
      <w:divBdr>
        <w:top w:val="none" w:sz="0" w:space="0" w:color="auto"/>
        <w:left w:val="none" w:sz="0" w:space="0" w:color="auto"/>
        <w:bottom w:val="none" w:sz="0" w:space="0" w:color="auto"/>
        <w:right w:val="none" w:sz="0" w:space="0" w:color="auto"/>
      </w:divBdr>
    </w:div>
    <w:div w:id="1570799242">
      <w:bodyDiv w:val="1"/>
      <w:marLeft w:val="0"/>
      <w:marRight w:val="0"/>
      <w:marTop w:val="0"/>
      <w:marBottom w:val="0"/>
      <w:divBdr>
        <w:top w:val="none" w:sz="0" w:space="0" w:color="auto"/>
        <w:left w:val="none" w:sz="0" w:space="0" w:color="auto"/>
        <w:bottom w:val="none" w:sz="0" w:space="0" w:color="auto"/>
        <w:right w:val="none" w:sz="0" w:space="0" w:color="auto"/>
      </w:divBdr>
    </w:div>
    <w:div w:id="1572152320">
      <w:bodyDiv w:val="1"/>
      <w:marLeft w:val="0"/>
      <w:marRight w:val="0"/>
      <w:marTop w:val="0"/>
      <w:marBottom w:val="0"/>
      <w:divBdr>
        <w:top w:val="none" w:sz="0" w:space="0" w:color="auto"/>
        <w:left w:val="none" w:sz="0" w:space="0" w:color="auto"/>
        <w:bottom w:val="none" w:sz="0" w:space="0" w:color="auto"/>
        <w:right w:val="none" w:sz="0" w:space="0" w:color="auto"/>
      </w:divBdr>
    </w:div>
    <w:div w:id="1572304819">
      <w:bodyDiv w:val="1"/>
      <w:marLeft w:val="0"/>
      <w:marRight w:val="0"/>
      <w:marTop w:val="0"/>
      <w:marBottom w:val="0"/>
      <w:divBdr>
        <w:top w:val="none" w:sz="0" w:space="0" w:color="auto"/>
        <w:left w:val="none" w:sz="0" w:space="0" w:color="auto"/>
        <w:bottom w:val="none" w:sz="0" w:space="0" w:color="auto"/>
        <w:right w:val="none" w:sz="0" w:space="0" w:color="auto"/>
      </w:divBdr>
    </w:div>
    <w:div w:id="1573350282">
      <w:bodyDiv w:val="1"/>
      <w:marLeft w:val="0"/>
      <w:marRight w:val="0"/>
      <w:marTop w:val="0"/>
      <w:marBottom w:val="0"/>
      <w:divBdr>
        <w:top w:val="none" w:sz="0" w:space="0" w:color="auto"/>
        <w:left w:val="none" w:sz="0" w:space="0" w:color="auto"/>
        <w:bottom w:val="none" w:sz="0" w:space="0" w:color="auto"/>
        <w:right w:val="none" w:sz="0" w:space="0" w:color="auto"/>
      </w:divBdr>
    </w:div>
    <w:div w:id="1573660495">
      <w:bodyDiv w:val="1"/>
      <w:marLeft w:val="0"/>
      <w:marRight w:val="0"/>
      <w:marTop w:val="0"/>
      <w:marBottom w:val="0"/>
      <w:divBdr>
        <w:top w:val="none" w:sz="0" w:space="0" w:color="auto"/>
        <w:left w:val="none" w:sz="0" w:space="0" w:color="auto"/>
        <w:bottom w:val="none" w:sz="0" w:space="0" w:color="auto"/>
        <w:right w:val="none" w:sz="0" w:space="0" w:color="auto"/>
      </w:divBdr>
    </w:div>
    <w:div w:id="1574043865">
      <w:bodyDiv w:val="1"/>
      <w:marLeft w:val="0"/>
      <w:marRight w:val="0"/>
      <w:marTop w:val="0"/>
      <w:marBottom w:val="0"/>
      <w:divBdr>
        <w:top w:val="none" w:sz="0" w:space="0" w:color="auto"/>
        <w:left w:val="none" w:sz="0" w:space="0" w:color="auto"/>
        <w:bottom w:val="none" w:sz="0" w:space="0" w:color="auto"/>
        <w:right w:val="none" w:sz="0" w:space="0" w:color="auto"/>
      </w:divBdr>
    </w:div>
    <w:div w:id="1574047617">
      <w:bodyDiv w:val="1"/>
      <w:marLeft w:val="0"/>
      <w:marRight w:val="0"/>
      <w:marTop w:val="0"/>
      <w:marBottom w:val="0"/>
      <w:divBdr>
        <w:top w:val="none" w:sz="0" w:space="0" w:color="auto"/>
        <w:left w:val="none" w:sz="0" w:space="0" w:color="auto"/>
        <w:bottom w:val="none" w:sz="0" w:space="0" w:color="auto"/>
        <w:right w:val="none" w:sz="0" w:space="0" w:color="auto"/>
      </w:divBdr>
    </w:div>
    <w:div w:id="1575117632">
      <w:bodyDiv w:val="1"/>
      <w:marLeft w:val="0"/>
      <w:marRight w:val="0"/>
      <w:marTop w:val="0"/>
      <w:marBottom w:val="0"/>
      <w:divBdr>
        <w:top w:val="none" w:sz="0" w:space="0" w:color="auto"/>
        <w:left w:val="none" w:sz="0" w:space="0" w:color="auto"/>
        <w:bottom w:val="none" w:sz="0" w:space="0" w:color="auto"/>
        <w:right w:val="none" w:sz="0" w:space="0" w:color="auto"/>
      </w:divBdr>
    </w:div>
    <w:div w:id="1575816174">
      <w:bodyDiv w:val="1"/>
      <w:marLeft w:val="0"/>
      <w:marRight w:val="0"/>
      <w:marTop w:val="0"/>
      <w:marBottom w:val="0"/>
      <w:divBdr>
        <w:top w:val="none" w:sz="0" w:space="0" w:color="auto"/>
        <w:left w:val="none" w:sz="0" w:space="0" w:color="auto"/>
        <w:bottom w:val="none" w:sz="0" w:space="0" w:color="auto"/>
        <w:right w:val="none" w:sz="0" w:space="0" w:color="auto"/>
      </w:divBdr>
    </w:div>
    <w:div w:id="1578050174">
      <w:bodyDiv w:val="1"/>
      <w:marLeft w:val="0"/>
      <w:marRight w:val="0"/>
      <w:marTop w:val="0"/>
      <w:marBottom w:val="0"/>
      <w:divBdr>
        <w:top w:val="none" w:sz="0" w:space="0" w:color="auto"/>
        <w:left w:val="none" w:sz="0" w:space="0" w:color="auto"/>
        <w:bottom w:val="none" w:sz="0" w:space="0" w:color="auto"/>
        <w:right w:val="none" w:sz="0" w:space="0" w:color="auto"/>
      </w:divBdr>
    </w:div>
    <w:div w:id="1579365908">
      <w:bodyDiv w:val="1"/>
      <w:marLeft w:val="0"/>
      <w:marRight w:val="0"/>
      <w:marTop w:val="0"/>
      <w:marBottom w:val="0"/>
      <w:divBdr>
        <w:top w:val="none" w:sz="0" w:space="0" w:color="auto"/>
        <w:left w:val="none" w:sz="0" w:space="0" w:color="auto"/>
        <w:bottom w:val="none" w:sz="0" w:space="0" w:color="auto"/>
        <w:right w:val="none" w:sz="0" w:space="0" w:color="auto"/>
      </w:divBdr>
    </w:div>
    <w:div w:id="1580165554">
      <w:bodyDiv w:val="1"/>
      <w:marLeft w:val="0"/>
      <w:marRight w:val="0"/>
      <w:marTop w:val="0"/>
      <w:marBottom w:val="0"/>
      <w:divBdr>
        <w:top w:val="none" w:sz="0" w:space="0" w:color="auto"/>
        <w:left w:val="none" w:sz="0" w:space="0" w:color="auto"/>
        <w:bottom w:val="none" w:sz="0" w:space="0" w:color="auto"/>
        <w:right w:val="none" w:sz="0" w:space="0" w:color="auto"/>
      </w:divBdr>
    </w:div>
    <w:div w:id="1580406160">
      <w:bodyDiv w:val="1"/>
      <w:marLeft w:val="0"/>
      <w:marRight w:val="0"/>
      <w:marTop w:val="0"/>
      <w:marBottom w:val="0"/>
      <w:divBdr>
        <w:top w:val="none" w:sz="0" w:space="0" w:color="auto"/>
        <w:left w:val="none" w:sz="0" w:space="0" w:color="auto"/>
        <w:bottom w:val="none" w:sz="0" w:space="0" w:color="auto"/>
        <w:right w:val="none" w:sz="0" w:space="0" w:color="auto"/>
      </w:divBdr>
    </w:div>
    <w:div w:id="1580558384">
      <w:bodyDiv w:val="1"/>
      <w:marLeft w:val="0"/>
      <w:marRight w:val="0"/>
      <w:marTop w:val="0"/>
      <w:marBottom w:val="0"/>
      <w:divBdr>
        <w:top w:val="none" w:sz="0" w:space="0" w:color="auto"/>
        <w:left w:val="none" w:sz="0" w:space="0" w:color="auto"/>
        <w:bottom w:val="none" w:sz="0" w:space="0" w:color="auto"/>
        <w:right w:val="none" w:sz="0" w:space="0" w:color="auto"/>
      </w:divBdr>
    </w:div>
    <w:div w:id="1581716235">
      <w:bodyDiv w:val="1"/>
      <w:marLeft w:val="0"/>
      <w:marRight w:val="0"/>
      <w:marTop w:val="0"/>
      <w:marBottom w:val="0"/>
      <w:divBdr>
        <w:top w:val="none" w:sz="0" w:space="0" w:color="auto"/>
        <w:left w:val="none" w:sz="0" w:space="0" w:color="auto"/>
        <w:bottom w:val="none" w:sz="0" w:space="0" w:color="auto"/>
        <w:right w:val="none" w:sz="0" w:space="0" w:color="auto"/>
      </w:divBdr>
    </w:div>
    <w:div w:id="1581720393">
      <w:bodyDiv w:val="1"/>
      <w:marLeft w:val="0"/>
      <w:marRight w:val="0"/>
      <w:marTop w:val="0"/>
      <w:marBottom w:val="0"/>
      <w:divBdr>
        <w:top w:val="none" w:sz="0" w:space="0" w:color="auto"/>
        <w:left w:val="none" w:sz="0" w:space="0" w:color="auto"/>
        <w:bottom w:val="none" w:sz="0" w:space="0" w:color="auto"/>
        <w:right w:val="none" w:sz="0" w:space="0" w:color="auto"/>
      </w:divBdr>
    </w:div>
    <w:div w:id="1583101722">
      <w:bodyDiv w:val="1"/>
      <w:marLeft w:val="0"/>
      <w:marRight w:val="0"/>
      <w:marTop w:val="0"/>
      <w:marBottom w:val="0"/>
      <w:divBdr>
        <w:top w:val="none" w:sz="0" w:space="0" w:color="auto"/>
        <w:left w:val="none" w:sz="0" w:space="0" w:color="auto"/>
        <w:bottom w:val="none" w:sz="0" w:space="0" w:color="auto"/>
        <w:right w:val="none" w:sz="0" w:space="0" w:color="auto"/>
      </w:divBdr>
    </w:div>
    <w:div w:id="1583221601">
      <w:bodyDiv w:val="1"/>
      <w:marLeft w:val="0"/>
      <w:marRight w:val="0"/>
      <w:marTop w:val="0"/>
      <w:marBottom w:val="0"/>
      <w:divBdr>
        <w:top w:val="none" w:sz="0" w:space="0" w:color="auto"/>
        <w:left w:val="none" w:sz="0" w:space="0" w:color="auto"/>
        <w:bottom w:val="none" w:sz="0" w:space="0" w:color="auto"/>
        <w:right w:val="none" w:sz="0" w:space="0" w:color="auto"/>
      </w:divBdr>
    </w:div>
    <w:div w:id="1583636388">
      <w:bodyDiv w:val="1"/>
      <w:marLeft w:val="0"/>
      <w:marRight w:val="0"/>
      <w:marTop w:val="0"/>
      <w:marBottom w:val="0"/>
      <w:divBdr>
        <w:top w:val="none" w:sz="0" w:space="0" w:color="auto"/>
        <w:left w:val="none" w:sz="0" w:space="0" w:color="auto"/>
        <w:bottom w:val="none" w:sz="0" w:space="0" w:color="auto"/>
        <w:right w:val="none" w:sz="0" w:space="0" w:color="auto"/>
      </w:divBdr>
    </w:div>
    <w:div w:id="1584949632">
      <w:bodyDiv w:val="1"/>
      <w:marLeft w:val="0"/>
      <w:marRight w:val="0"/>
      <w:marTop w:val="0"/>
      <w:marBottom w:val="0"/>
      <w:divBdr>
        <w:top w:val="none" w:sz="0" w:space="0" w:color="auto"/>
        <w:left w:val="none" w:sz="0" w:space="0" w:color="auto"/>
        <w:bottom w:val="none" w:sz="0" w:space="0" w:color="auto"/>
        <w:right w:val="none" w:sz="0" w:space="0" w:color="auto"/>
      </w:divBdr>
    </w:div>
    <w:div w:id="1584989998">
      <w:bodyDiv w:val="1"/>
      <w:marLeft w:val="0"/>
      <w:marRight w:val="0"/>
      <w:marTop w:val="0"/>
      <w:marBottom w:val="0"/>
      <w:divBdr>
        <w:top w:val="none" w:sz="0" w:space="0" w:color="auto"/>
        <w:left w:val="none" w:sz="0" w:space="0" w:color="auto"/>
        <w:bottom w:val="none" w:sz="0" w:space="0" w:color="auto"/>
        <w:right w:val="none" w:sz="0" w:space="0" w:color="auto"/>
      </w:divBdr>
    </w:div>
    <w:div w:id="1584996040">
      <w:bodyDiv w:val="1"/>
      <w:marLeft w:val="0"/>
      <w:marRight w:val="0"/>
      <w:marTop w:val="0"/>
      <w:marBottom w:val="0"/>
      <w:divBdr>
        <w:top w:val="none" w:sz="0" w:space="0" w:color="auto"/>
        <w:left w:val="none" w:sz="0" w:space="0" w:color="auto"/>
        <w:bottom w:val="none" w:sz="0" w:space="0" w:color="auto"/>
        <w:right w:val="none" w:sz="0" w:space="0" w:color="auto"/>
      </w:divBdr>
    </w:div>
    <w:div w:id="1585453759">
      <w:bodyDiv w:val="1"/>
      <w:marLeft w:val="0"/>
      <w:marRight w:val="0"/>
      <w:marTop w:val="0"/>
      <w:marBottom w:val="0"/>
      <w:divBdr>
        <w:top w:val="none" w:sz="0" w:space="0" w:color="auto"/>
        <w:left w:val="none" w:sz="0" w:space="0" w:color="auto"/>
        <w:bottom w:val="none" w:sz="0" w:space="0" w:color="auto"/>
        <w:right w:val="none" w:sz="0" w:space="0" w:color="auto"/>
      </w:divBdr>
    </w:div>
    <w:div w:id="1585841759">
      <w:bodyDiv w:val="1"/>
      <w:marLeft w:val="0"/>
      <w:marRight w:val="0"/>
      <w:marTop w:val="0"/>
      <w:marBottom w:val="0"/>
      <w:divBdr>
        <w:top w:val="none" w:sz="0" w:space="0" w:color="auto"/>
        <w:left w:val="none" w:sz="0" w:space="0" w:color="auto"/>
        <w:bottom w:val="none" w:sz="0" w:space="0" w:color="auto"/>
        <w:right w:val="none" w:sz="0" w:space="0" w:color="auto"/>
      </w:divBdr>
    </w:div>
    <w:div w:id="1588073106">
      <w:bodyDiv w:val="1"/>
      <w:marLeft w:val="0"/>
      <w:marRight w:val="0"/>
      <w:marTop w:val="0"/>
      <w:marBottom w:val="0"/>
      <w:divBdr>
        <w:top w:val="none" w:sz="0" w:space="0" w:color="auto"/>
        <w:left w:val="none" w:sz="0" w:space="0" w:color="auto"/>
        <w:bottom w:val="none" w:sz="0" w:space="0" w:color="auto"/>
        <w:right w:val="none" w:sz="0" w:space="0" w:color="auto"/>
      </w:divBdr>
    </w:div>
    <w:div w:id="1588999211">
      <w:bodyDiv w:val="1"/>
      <w:marLeft w:val="0"/>
      <w:marRight w:val="0"/>
      <w:marTop w:val="0"/>
      <w:marBottom w:val="0"/>
      <w:divBdr>
        <w:top w:val="none" w:sz="0" w:space="0" w:color="auto"/>
        <w:left w:val="none" w:sz="0" w:space="0" w:color="auto"/>
        <w:bottom w:val="none" w:sz="0" w:space="0" w:color="auto"/>
        <w:right w:val="none" w:sz="0" w:space="0" w:color="auto"/>
      </w:divBdr>
    </w:div>
    <w:div w:id="1590117362">
      <w:bodyDiv w:val="1"/>
      <w:marLeft w:val="0"/>
      <w:marRight w:val="0"/>
      <w:marTop w:val="0"/>
      <w:marBottom w:val="0"/>
      <w:divBdr>
        <w:top w:val="none" w:sz="0" w:space="0" w:color="auto"/>
        <w:left w:val="none" w:sz="0" w:space="0" w:color="auto"/>
        <w:bottom w:val="none" w:sz="0" w:space="0" w:color="auto"/>
        <w:right w:val="none" w:sz="0" w:space="0" w:color="auto"/>
      </w:divBdr>
    </w:div>
    <w:div w:id="1590500894">
      <w:bodyDiv w:val="1"/>
      <w:marLeft w:val="0"/>
      <w:marRight w:val="0"/>
      <w:marTop w:val="0"/>
      <w:marBottom w:val="0"/>
      <w:divBdr>
        <w:top w:val="none" w:sz="0" w:space="0" w:color="auto"/>
        <w:left w:val="none" w:sz="0" w:space="0" w:color="auto"/>
        <w:bottom w:val="none" w:sz="0" w:space="0" w:color="auto"/>
        <w:right w:val="none" w:sz="0" w:space="0" w:color="auto"/>
      </w:divBdr>
    </w:div>
    <w:div w:id="1592008984">
      <w:bodyDiv w:val="1"/>
      <w:marLeft w:val="0"/>
      <w:marRight w:val="0"/>
      <w:marTop w:val="0"/>
      <w:marBottom w:val="0"/>
      <w:divBdr>
        <w:top w:val="none" w:sz="0" w:space="0" w:color="auto"/>
        <w:left w:val="none" w:sz="0" w:space="0" w:color="auto"/>
        <w:bottom w:val="none" w:sz="0" w:space="0" w:color="auto"/>
        <w:right w:val="none" w:sz="0" w:space="0" w:color="auto"/>
      </w:divBdr>
    </w:div>
    <w:div w:id="1592812920">
      <w:bodyDiv w:val="1"/>
      <w:marLeft w:val="0"/>
      <w:marRight w:val="0"/>
      <w:marTop w:val="0"/>
      <w:marBottom w:val="0"/>
      <w:divBdr>
        <w:top w:val="none" w:sz="0" w:space="0" w:color="auto"/>
        <w:left w:val="none" w:sz="0" w:space="0" w:color="auto"/>
        <w:bottom w:val="none" w:sz="0" w:space="0" w:color="auto"/>
        <w:right w:val="none" w:sz="0" w:space="0" w:color="auto"/>
      </w:divBdr>
    </w:div>
    <w:div w:id="1593008939">
      <w:bodyDiv w:val="1"/>
      <w:marLeft w:val="0"/>
      <w:marRight w:val="0"/>
      <w:marTop w:val="0"/>
      <w:marBottom w:val="0"/>
      <w:divBdr>
        <w:top w:val="none" w:sz="0" w:space="0" w:color="auto"/>
        <w:left w:val="none" w:sz="0" w:space="0" w:color="auto"/>
        <w:bottom w:val="none" w:sz="0" w:space="0" w:color="auto"/>
        <w:right w:val="none" w:sz="0" w:space="0" w:color="auto"/>
      </w:divBdr>
    </w:div>
    <w:div w:id="1593779657">
      <w:bodyDiv w:val="1"/>
      <w:marLeft w:val="0"/>
      <w:marRight w:val="0"/>
      <w:marTop w:val="0"/>
      <w:marBottom w:val="0"/>
      <w:divBdr>
        <w:top w:val="none" w:sz="0" w:space="0" w:color="auto"/>
        <w:left w:val="none" w:sz="0" w:space="0" w:color="auto"/>
        <w:bottom w:val="none" w:sz="0" w:space="0" w:color="auto"/>
        <w:right w:val="none" w:sz="0" w:space="0" w:color="auto"/>
      </w:divBdr>
    </w:div>
    <w:div w:id="1594126310">
      <w:bodyDiv w:val="1"/>
      <w:marLeft w:val="0"/>
      <w:marRight w:val="0"/>
      <w:marTop w:val="0"/>
      <w:marBottom w:val="0"/>
      <w:divBdr>
        <w:top w:val="none" w:sz="0" w:space="0" w:color="auto"/>
        <w:left w:val="none" w:sz="0" w:space="0" w:color="auto"/>
        <w:bottom w:val="none" w:sz="0" w:space="0" w:color="auto"/>
        <w:right w:val="none" w:sz="0" w:space="0" w:color="auto"/>
      </w:divBdr>
    </w:div>
    <w:div w:id="1594313627">
      <w:bodyDiv w:val="1"/>
      <w:marLeft w:val="0"/>
      <w:marRight w:val="0"/>
      <w:marTop w:val="0"/>
      <w:marBottom w:val="0"/>
      <w:divBdr>
        <w:top w:val="none" w:sz="0" w:space="0" w:color="auto"/>
        <w:left w:val="none" w:sz="0" w:space="0" w:color="auto"/>
        <w:bottom w:val="none" w:sz="0" w:space="0" w:color="auto"/>
        <w:right w:val="none" w:sz="0" w:space="0" w:color="auto"/>
      </w:divBdr>
    </w:div>
    <w:div w:id="1594628891">
      <w:bodyDiv w:val="1"/>
      <w:marLeft w:val="0"/>
      <w:marRight w:val="0"/>
      <w:marTop w:val="0"/>
      <w:marBottom w:val="0"/>
      <w:divBdr>
        <w:top w:val="none" w:sz="0" w:space="0" w:color="auto"/>
        <w:left w:val="none" w:sz="0" w:space="0" w:color="auto"/>
        <w:bottom w:val="none" w:sz="0" w:space="0" w:color="auto"/>
        <w:right w:val="none" w:sz="0" w:space="0" w:color="auto"/>
      </w:divBdr>
    </w:div>
    <w:div w:id="1594777993">
      <w:bodyDiv w:val="1"/>
      <w:marLeft w:val="0"/>
      <w:marRight w:val="0"/>
      <w:marTop w:val="0"/>
      <w:marBottom w:val="0"/>
      <w:divBdr>
        <w:top w:val="none" w:sz="0" w:space="0" w:color="auto"/>
        <w:left w:val="none" w:sz="0" w:space="0" w:color="auto"/>
        <w:bottom w:val="none" w:sz="0" w:space="0" w:color="auto"/>
        <w:right w:val="none" w:sz="0" w:space="0" w:color="auto"/>
      </w:divBdr>
    </w:div>
    <w:div w:id="1595043837">
      <w:bodyDiv w:val="1"/>
      <w:marLeft w:val="0"/>
      <w:marRight w:val="0"/>
      <w:marTop w:val="0"/>
      <w:marBottom w:val="0"/>
      <w:divBdr>
        <w:top w:val="none" w:sz="0" w:space="0" w:color="auto"/>
        <w:left w:val="none" w:sz="0" w:space="0" w:color="auto"/>
        <w:bottom w:val="none" w:sz="0" w:space="0" w:color="auto"/>
        <w:right w:val="none" w:sz="0" w:space="0" w:color="auto"/>
      </w:divBdr>
    </w:div>
    <w:div w:id="1595170708">
      <w:bodyDiv w:val="1"/>
      <w:marLeft w:val="0"/>
      <w:marRight w:val="0"/>
      <w:marTop w:val="0"/>
      <w:marBottom w:val="0"/>
      <w:divBdr>
        <w:top w:val="none" w:sz="0" w:space="0" w:color="auto"/>
        <w:left w:val="none" w:sz="0" w:space="0" w:color="auto"/>
        <w:bottom w:val="none" w:sz="0" w:space="0" w:color="auto"/>
        <w:right w:val="none" w:sz="0" w:space="0" w:color="auto"/>
      </w:divBdr>
    </w:div>
    <w:div w:id="1595359707">
      <w:bodyDiv w:val="1"/>
      <w:marLeft w:val="0"/>
      <w:marRight w:val="0"/>
      <w:marTop w:val="0"/>
      <w:marBottom w:val="0"/>
      <w:divBdr>
        <w:top w:val="none" w:sz="0" w:space="0" w:color="auto"/>
        <w:left w:val="none" w:sz="0" w:space="0" w:color="auto"/>
        <w:bottom w:val="none" w:sz="0" w:space="0" w:color="auto"/>
        <w:right w:val="none" w:sz="0" w:space="0" w:color="auto"/>
      </w:divBdr>
    </w:div>
    <w:div w:id="1595943612">
      <w:bodyDiv w:val="1"/>
      <w:marLeft w:val="0"/>
      <w:marRight w:val="0"/>
      <w:marTop w:val="0"/>
      <w:marBottom w:val="0"/>
      <w:divBdr>
        <w:top w:val="none" w:sz="0" w:space="0" w:color="auto"/>
        <w:left w:val="none" w:sz="0" w:space="0" w:color="auto"/>
        <w:bottom w:val="none" w:sz="0" w:space="0" w:color="auto"/>
        <w:right w:val="none" w:sz="0" w:space="0" w:color="auto"/>
      </w:divBdr>
    </w:div>
    <w:div w:id="1597057282">
      <w:bodyDiv w:val="1"/>
      <w:marLeft w:val="0"/>
      <w:marRight w:val="0"/>
      <w:marTop w:val="0"/>
      <w:marBottom w:val="0"/>
      <w:divBdr>
        <w:top w:val="none" w:sz="0" w:space="0" w:color="auto"/>
        <w:left w:val="none" w:sz="0" w:space="0" w:color="auto"/>
        <w:bottom w:val="none" w:sz="0" w:space="0" w:color="auto"/>
        <w:right w:val="none" w:sz="0" w:space="0" w:color="auto"/>
      </w:divBdr>
    </w:div>
    <w:div w:id="1597324690">
      <w:bodyDiv w:val="1"/>
      <w:marLeft w:val="0"/>
      <w:marRight w:val="0"/>
      <w:marTop w:val="0"/>
      <w:marBottom w:val="0"/>
      <w:divBdr>
        <w:top w:val="none" w:sz="0" w:space="0" w:color="auto"/>
        <w:left w:val="none" w:sz="0" w:space="0" w:color="auto"/>
        <w:bottom w:val="none" w:sz="0" w:space="0" w:color="auto"/>
        <w:right w:val="none" w:sz="0" w:space="0" w:color="auto"/>
      </w:divBdr>
    </w:div>
    <w:div w:id="1597596360">
      <w:bodyDiv w:val="1"/>
      <w:marLeft w:val="0"/>
      <w:marRight w:val="0"/>
      <w:marTop w:val="0"/>
      <w:marBottom w:val="0"/>
      <w:divBdr>
        <w:top w:val="none" w:sz="0" w:space="0" w:color="auto"/>
        <w:left w:val="none" w:sz="0" w:space="0" w:color="auto"/>
        <w:bottom w:val="none" w:sz="0" w:space="0" w:color="auto"/>
        <w:right w:val="none" w:sz="0" w:space="0" w:color="auto"/>
      </w:divBdr>
    </w:div>
    <w:div w:id="1597975498">
      <w:bodyDiv w:val="1"/>
      <w:marLeft w:val="0"/>
      <w:marRight w:val="0"/>
      <w:marTop w:val="0"/>
      <w:marBottom w:val="0"/>
      <w:divBdr>
        <w:top w:val="none" w:sz="0" w:space="0" w:color="auto"/>
        <w:left w:val="none" w:sz="0" w:space="0" w:color="auto"/>
        <w:bottom w:val="none" w:sz="0" w:space="0" w:color="auto"/>
        <w:right w:val="none" w:sz="0" w:space="0" w:color="auto"/>
      </w:divBdr>
    </w:div>
    <w:div w:id="1598175530">
      <w:bodyDiv w:val="1"/>
      <w:marLeft w:val="0"/>
      <w:marRight w:val="0"/>
      <w:marTop w:val="0"/>
      <w:marBottom w:val="0"/>
      <w:divBdr>
        <w:top w:val="none" w:sz="0" w:space="0" w:color="auto"/>
        <w:left w:val="none" w:sz="0" w:space="0" w:color="auto"/>
        <w:bottom w:val="none" w:sz="0" w:space="0" w:color="auto"/>
        <w:right w:val="none" w:sz="0" w:space="0" w:color="auto"/>
      </w:divBdr>
    </w:div>
    <w:div w:id="1599018232">
      <w:bodyDiv w:val="1"/>
      <w:marLeft w:val="0"/>
      <w:marRight w:val="0"/>
      <w:marTop w:val="0"/>
      <w:marBottom w:val="0"/>
      <w:divBdr>
        <w:top w:val="none" w:sz="0" w:space="0" w:color="auto"/>
        <w:left w:val="none" w:sz="0" w:space="0" w:color="auto"/>
        <w:bottom w:val="none" w:sz="0" w:space="0" w:color="auto"/>
        <w:right w:val="none" w:sz="0" w:space="0" w:color="auto"/>
      </w:divBdr>
    </w:div>
    <w:div w:id="1601110618">
      <w:bodyDiv w:val="1"/>
      <w:marLeft w:val="0"/>
      <w:marRight w:val="0"/>
      <w:marTop w:val="0"/>
      <w:marBottom w:val="0"/>
      <w:divBdr>
        <w:top w:val="none" w:sz="0" w:space="0" w:color="auto"/>
        <w:left w:val="none" w:sz="0" w:space="0" w:color="auto"/>
        <w:bottom w:val="none" w:sz="0" w:space="0" w:color="auto"/>
        <w:right w:val="none" w:sz="0" w:space="0" w:color="auto"/>
      </w:divBdr>
    </w:div>
    <w:div w:id="1603221453">
      <w:bodyDiv w:val="1"/>
      <w:marLeft w:val="0"/>
      <w:marRight w:val="0"/>
      <w:marTop w:val="0"/>
      <w:marBottom w:val="0"/>
      <w:divBdr>
        <w:top w:val="none" w:sz="0" w:space="0" w:color="auto"/>
        <w:left w:val="none" w:sz="0" w:space="0" w:color="auto"/>
        <w:bottom w:val="none" w:sz="0" w:space="0" w:color="auto"/>
        <w:right w:val="none" w:sz="0" w:space="0" w:color="auto"/>
      </w:divBdr>
      <w:divsChild>
        <w:div w:id="1915773137">
          <w:marLeft w:val="0"/>
          <w:marRight w:val="0"/>
          <w:marTop w:val="0"/>
          <w:marBottom w:val="0"/>
          <w:divBdr>
            <w:top w:val="none" w:sz="0" w:space="0" w:color="auto"/>
            <w:left w:val="none" w:sz="0" w:space="0" w:color="auto"/>
            <w:bottom w:val="none" w:sz="0" w:space="0" w:color="auto"/>
            <w:right w:val="none" w:sz="0" w:space="0" w:color="auto"/>
          </w:divBdr>
        </w:div>
      </w:divsChild>
    </w:div>
    <w:div w:id="1603223574">
      <w:bodyDiv w:val="1"/>
      <w:marLeft w:val="0"/>
      <w:marRight w:val="0"/>
      <w:marTop w:val="0"/>
      <w:marBottom w:val="0"/>
      <w:divBdr>
        <w:top w:val="none" w:sz="0" w:space="0" w:color="auto"/>
        <w:left w:val="none" w:sz="0" w:space="0" w:color="auto"/>
        <w:bottom w:val="none" w:sz="0" w:space="0" w:color="auto"/>
        <w:right w:val="none" w:sz="0" w:space="0" w:color="auto"/>
      </w:divBdr>
    </w:div>
    <w:div w:id="1603606264">
      <w:bodyDiv w:val="1"/>
      <w:marLeft w:val="0"/>
      <w:marRight w:val="0"/>
      <w:marTop w:val="0"/>
      <w:marBottom w:val="0"/>
      <w:divBdr>
        <w:top w:val="none" w:sz="0" w:space="0" w:color="auto"/>
        <w:left w:val="none" w:sz="0" w:space="0" w:color="auto"/>
        <w:bottom w:val="none" w:sz="0" w:space="0" w:color="auto"/>
        <w:right w:val="none" w:sz="0" w:space="0" w:color="auto"/>
      </w:divBdr>
    </w:div>
    <w:div w:id="1604268228">
      <w:bodyDiv w:val="1"/>
      <w:marLeft w:val="0"/>
      <w:marRight w:val="0"/>
      <w:marTop w:val="0"/>
      <w:marBottom w:val="0"/>
      <w:divBdr>
        <w:top w:val="none" w:sz="0" w:space="0" w:color="auto"/>
        <w:left w:val="none" w:sz="0" w:space="0" w:color="auto"/>
        <w:bottom w:val="none" w:sz="0" w:space="0" w:color="auto"/>
        <w:right w:val="none" w:sz="0" w:space="0" w:color="auto"/>
      </w:divBdr>
    </w:div>
    <w:div w:id="1605766760">
      <w:bodyDiv w:val="1"/>
      <w:marLeft w:val="0"/>
      <w:marRight w:val="0"/>
      <w:marTop w:val="0"/>
      <w:marBottom w:val="0"/>
      <w:divBdr>
        <w:top w:val="none" w:sz="0" w:space="0" w:color="auto"/>
        <w:left w:val="none" w:sz="0" w:space="0" w:color="auto"/>
        <w:bottom w:val="none" w:sz="0" w:space="0" w:color="auto"/>
        <w:right w:val="none" w:sz="0" w:space="0" w:color="auto"/>
      </w:divBdr>
    </w:div>
    <w:div w:id="1609119082">
      <w:bodyDiv w:val="1"/>
      <w:marLeft w:val="0"/>
      <w:marRight w:val="0"/>
      <w:marTop w:val="0"/>
      <w:marBottom w:val="0"/>
      <w:divBdr>
        <w:top w:val="none" w:sz="0" w:space="0" w:color="auto"/>
        <w:left w:val="none" w:sz="0" w:space="0" w:color="auto"/>
        <w:bottom w:val="none" w:sz="0" w:space="0" w:color="auto"/>
        <w:right w:val="none" w:sz="0" w:space="0" w:color="auto"/>
      </w:divBdr>
    </w:div>
    <w:div w:id="1609847318">
      <w:bodyDiv w:val="1"/>
      <w:marLeft w:val="0"/>
      <w:marRight w:val="0"/>
      <w:marTop w:val="0"/>
      <w:marBottom w:val="0"/>
      <w:divBdr>
        <w:top w:val="none" w:sz="0" w:space="0" w:color="auto"/>
        <w:left w:val="none" w:sz="0" w:space="0" w:color="auto"/>
        <w:bottom w:val="none" w:sz="0" w:space="0" w:color="auto"/>
        <w:right w:val="none" w:sz="0" w:space="0" w:color="auto"/>
      </w:divBdr>
      <w:divsChild>
        <w:div w:id="934898231">
          <w:marLeft w:val="0"/>
          <w:marRight w:val="0"/>
          <w:marTop w:val="0"/>
          <w:marBottom w:val="0"/>
          <w:divBdr>
            <w:top w:val="none" w:sz="0" w:space="0" w:color="auto"/>
            <w:left w:val="none" w:sz="0" w:space="0" w:color="auto"/>
            <w:bottom w:val="none" w:sz="0" w:space="0" w:color="auto"/>
            <w:right w:val="none" w:sz="0" w:space="0" w:color="auto"/>
          </w:divBdr>
        </w:div>
      </w:divsChild>
    </w:div>
    <w:div w:id="1611233957">
      <w:bodyDiv w:val="1"/>
      <w:marLeft w:val="0"/>
      <w:marRight w:val="0"/>
      <w:marTop w:val="0"/>
      <w:marBottom w:val="0"/>
      <w:divBdr>
        <w:top w:val="none" w:sz="0" w:space="0" w:color="auto"/>
        <w:left w:val="none" w:sz="0" w:space="0" w:color="auto"/>
        <w:bottom w:val="none" w:sz="0" w:space="0" w:color="auto"/>
        <w:right w:val="none" w:sz="0" w:space="0" w:color="auto"/>
      </w:divBdr>
    </w:div>
    <w:div w:id="1612391549">
      <w:bodyDiv w:val="1"/>
      <w:marLeft w:val="0"/>
      <w:marRight w:val="0"/>
      <w:marTop w:val="0"/>
      <w:marBottom w:val="0"/>
      <w:divBdr>
        <w:top w:val="none" w:sz="0" w:space="0" w:color="auto"/>
        <w:left w:val="none" w:sz="0" w:space="0" w:color="auto"/>
        <w:bottom w:val="none" w:sz="0" w:space="0" w:color="auto"/>
        <w:right w:val="none" w:sz="0" w:space="0" w:color="auto"/>
      </w:divBdr>
    </w:div>
    <w:div w:id="1612400936">
      <w:bodyDiv w:val="1"/>
      <w:marLeft w:val="0"/>
      <w:marRight w:val="0"/>
      <w:marTop w:val="0"/>
      <w:marBottom w:val="0"/>
      <w:divBdr>
        <w:top w:val="none" w:sz="0" w:space="0" w:color="auto"/>
        <w:left w:val="none" w:sz="0" w:space="0" w:color="auto"/>
        <w:bottom w:val="none" w:sz="0" w:space="0" w:color="auto"/>
        <w:right w:val="none" w:sz="0" w:space="0" w:color="auto"/>
      </w:divBdr>
    </w:div>
    <w:div w:id="1613124106">
      <w:bodyDiv w:val="1"/>
      <w:marLeft w:val="0"/>
      <w:marRight w:val="0"/>
      <w:marTop w:val="0"/>
      <w:marBottom w:val="0"/>
      <w:divBdr>
        <w:top w:val="none" w:sz="0" w:space="0" w:color="auto"/>
        <w:left w:val="none" w:sz="0" w:space="0" w:color="auto"/>
        <w:bottom w:val="none" w:sz="0" w:space="0" w:color="auto"/>
        <w:right w:val="none" w:sz="0" w:space="0" w:color="auto"/>
      </w:divBdr>
    </w:div>
    <w:div w:id="1613125153">
      <w:bodyDiv w:val="1"/>
      <w:marLeft w:val="0"/>
      <w:marRight w:val="0"/>
      <w:marTop w:val="0"/>
      <w:marBottom w:val="0"/>
      <w:divBdr>
        <w:top w:val="none" w:sz="0" w:space="0" w:color="auto"/>
        <w:left w:val="none" w:sz="0" w:space="0" w:color="auto"/>
        <w:bottom w:val="none" w:sz="0" w:space="0" w:color="auto"/>
        <w:right w:val="none" w:sz="0" w:space="0" w:color="auto"/>
      </w:divBdr>
    </w:div>
    <w:div w:id="1613240698">
      <w:bodyDiv w:val="1"/>
      <w:marLeft w:val="0"/>
      <w:marRight w:val="0"/>
      <w:marTop w:val="0"/>
      <w:marBottom w:val="0"/>
      <w:divBdr>
        <w:top w:val="none" w:sz="0" w:space="0" w:color="auto"/>
        <w:left w:val="none" w:sz="0" w:space="0" w:color="auto"/>
        <w:bottom w:val="none" w:sz="0" w:space="0" w:color="auto"/>
        <w:right w:val="none" w:sz="0" w:space="0" w:color="auto"/>
      </w:divBdr>
    </w:div>
    <w:div w:id="1613781797">
      <w:bodyDiv w:val="1"/>
      <w:marLeft w:val="0"/>
      <w:marRight w:val="0"/>
      <w:marTop w:val="0"/>
      <w:marBottom w:val="0"/>
      <w:divBdr>
        <w:top w:val="none" w:sz="0" w:space="0" w:color="auto"/>
        <w:left w:val="none" w:sz="0" w:space="0" w:color="auto"/>
        <w:bottom w:val="none" w:sz="0" w:space="0" w:color="auto"/>
        <w:right w:val="none" w:sz="0" w:space="0" w:color="auto"/>
      </w:divBdr>
    </w:div>
    <w:div w:id="1613975822">
      <w:bodyDiv w:val="1"/>
      <w:marLeft w:val="0"/>
      <w:marRight w:val="0"/>
      <w:marTop w:val="0"/>
      <w:marBottom w:val="0"/>
      <w:divBdr>
        <w:top w:val="none" w:sz="0" w:space="0" w:color="auto"/>
        <w:left w:val="none" w:sz="0" w:space="0" w:color="auto"/>
        <w:bottom w:val="none" w:sz="0" w:space="0" w:color="auto"/>
        <w:right w:val="none" w:sz="0" w:space="0" w:color="auto"/>
      </w:divBdr>
    </w:div>
    <w:div w:id="1615400749">
      <w:bodyDiv w:val="1"/>
      <w:marLeft w:val="0"/>
      <w:marRight w:val="0"/>
      <w:marTop w:val="0"/>
      <w:marBottom w:val="0"/>
      <w:divBdr>
        <w:top w:val="none" w:sz="0" w:space="0" w:color="auto"/>
        <w:left w:val="none" w:sz="0" w:space="0" w:color="auto"/>
        <w:bottom w:val="none" w:sz="0" w:space="0" w:color="auto"/>
        <w:right w:val="none" w:sz="0" w:space="0" w:color="auto"/>
      </w:divBdr>
    </w:div>
    <w:div w:id="1615474882">
      <w:bodyDiv w:val="1"/>
      <w:marLeft w:val="0"/>
      <w:marRight w:val="0"/>
      <w:marTop w:val="0"/>
      <w:marBottom w:val="0"/>
      <w:divBdr>
        <w:top w:val="none" w:sz="0" w:space="0" w:color="auto"/>
        <w:left w:val="none" w:sz="0" w:space="0" w:color="auto"/>
        <w:bottom w:val="none" w:sz="0" w:space="0" w:color="auto"/>
        <w:right w:val="none" w:sz="0" w:space="0" w:color="auto"/>
      </w:divBdr>
    </w:div>
    <w:div w:id="1615480020">
      <w:bodyDiv w:val="1"/>
      <w:marLeft w:val="0"/>
      <w:marRight w:val="0"/>
      <w:marTop w:val="0"/>
      <w:marBottom w:val="0"/>
      <w:divBdr>
        <w:top w:val="none" w:sz="0" w:space="0" w:color="auto"/>
        <w:left w:val="none" w:sz="0" w:space="0" w:color="auto"/>
        <w:bottom w:val="none" w:sz="0" w:space="0" w:color="auto"/>
        <w:right w:val="none" w:sz="0" w:space="0" w:color="auto"/>
      </w:divBdr>
    </w:div>
    <w:div w:id="1615743983">
      <w:bodyDiv w:val="1"/>
      <w:marLeft w:val="0"/>
      <w:marRight w:val="0"/>
      <w:marTop w:val="0"/>
      <w:marBottom w:val="0"/>
      <w:divBdr>
        <w:top w:val="none" w:sz="0" w:space="0" w:color="auto"/>
        <w:left w:val="none" w:sz="0" w:space="0" w:color="auto"/>
        <w:bottom w:val="none" w:sz="0" w:space="0" w:color="auto"/>
        <w:right w:val="none" w:sz="0" w:space="0" w:color="auto"/>
      </w:divBdr>
    </w:div>
    <w:div w:id="1615792196">
      <w:bodyDiv w:val="1"/>
      <w:marLeft w:val="0"/>
      <w:marRight w:val="0"/>
      <w:marTop w:val="0"/>
      <w:marBottom w:val="0"/>
      <w:divBdr>
        <w:top w:val="none" w:sz="0" w:space="0" w:color="auto"/>
        <w:left w:val="none" w:sz="0" w:space="0" w:color="auto"/>
        <w:bottom w:val="none" w:sz="0" w:space="0" w:color="auto"/>
        <w:right w:val="none" w:sz="0" w:space="0" w:color="auto"/>
      </w:divBdr>
    </w:div>
    <w:div w:id="1616250019">
      <w:bodyDiv w:val="1"/>
      <w:marLeft w:val="0"/>
      <w:marRight w:val="0"/>
      <w:marTop w:val="0"/>
      <w:marBottom w:val="0"/>
      <w:divBdr>
        <w:top w:val="none" w:sz="0" w:space="0" w:color="auto"/>
        <w:left w:val="none" w:sz="0" w:space="0" w:color="auto"/>
        <w:bottom w:val="none" w:sz="0" w:space="0" w:color="auto"/>
        <w:right w:val="none" w:sz="0" w:space="0" w:color="auto"/>
      </w:divBdr>
    </w:div>
    <w:div w:id="1616794593">
      <w:bodyDiv w:val="1"/>
      <w:marLeft w:val="0"/>
      <w:marRight w:val="0"/>
      <w:marTop w:val="0"/>
      <w:marBottom w:val="0"/>
      <w:divBdr>
        <w:top w:val="none" w:sz="0" w:space="0" w:color="auto"/>
        <w:left w:val="none" w:sz="0" w:space="0" w:color="auto"/>
        <w:bottom w:val="none" w:sz="0" w:space="0" w:color="auto"/>
        <w:right w:val="none" w:sz="0" w:space="0" w:color="auto"/>
      </w:divBdr>
    </w:div>
    <w:div w:id="1616904839">
      <w:bodyDiv w:val="1"/>
      <w:marLeft w:val="0"/>
      <w:marRight w:val="0"/>
      <w:marTop w:val="0"/>
      <w:marBottom w:val="0"/>
      <w:divBdr>
        <w:top w:val="none" w:sz="0" w:space="0" w:color="auto"/>
        <w:left w:val="none" w:sz="0" w:space="0" w:color="auto"/>
        <w:bottom w:val="none" w:sz="0" w:space="0" w:color="auto"/>
        <w:right w:val="none" w:sz="0" w:space="0" w:color="auto"/>
      </w:divBdr>
    </w:div>
    <w:div w:id="1617252533">
      <w:bodyDiv w:val="1"/>
      <w:marLeft w:val="0"/>
      <w:marRight w:val="0"/>
      <w:marTop w:val="0"/>
      <w:marBottom w:val="0"/>
      <w:divBdr>
        <w:top w:val="none" w:sz="0" w:space="0" w:color="auto"/>
        <w:left w:val="none" w:sz="0" w:space="0" w:color="auto"/>
        <w:bottom w:val="none" w:sz="0" w:space="0" w:color="auto"/>
        <w:right w:val="none" w:sz="0" w:space="0" w:color="auto"/>
      </w:divBdr>
    </w:div>
    <w:div w:id="1617447674">
      <w:bodyDiv w:val="1"/>
      <w:marLeft w:val="0"/>
      <w:marRight w:val="0"/>
      <w:marTop w:val="0"/>
      <w:marBottom w:val="0"/>
      <w:divBdr>
        <w:top w:val="none" w:sz="0" w:space="0" w:color="auto"/>
        <w:left w:val="none" w:sz="0" w:space="0" w:color="auto"/>
        <w:bottom w:val="none" w:sz="0" w:space="0" w:color="auto"/>
        <w:right w:val="none" w:sz="0" w:space="0" w:color="auto"/>
      </w:divBdr>
    </w:div>
    <w:div w:id="1618024341">
      <w:bodyDiv w:val="1"/>
      <w:marLeft w:val="0"/>
      <w:marRight w:val="0"/>
      <w:marTop w:val="0"/>
      <w:marBottom w:val="0"/>
      <w:divBdr>
        <w:top w:val="none" w:sz="0" w:space="0" w:color="auto"/>
        <w:left w:val="none" w:sz="0" w:space="0" w:color="auto"/>
        <w:bottom w:val="none" w:sz="0" w:space="0" w:color="auto"/>
        <w:right w:val="none" w:sz="0" w:space="0" w:color="auto"/>
      </w:divBdr>
    </w:div>
    <w:div w:id="1618100974">
      <w:bodyDiv w:val="1"/>
      <w:marLeft w:val="0"/>
      <w:marRight w:val="0"/>
      <w:marTop w:val="0"/>
      <w:marBottom w:val="0"/>
      <w:divBdr>
        <w:top w:val="none" w:sz="0" w:space="0" w:color="auto"/>
        <w:left w:val="none" w:sz="0" w:space="0" w:color="auto"/>
        <w:bottom w:val="none" w:sz="0" w:space="0" w:color="auto"/>
        <w:right w:val="none" w:sz="0" w:space="0" w:color="auto"/>
      </w:divBdr>
    </w:div>
    <w:div w:id="1619138723">
      <w:bodyDiv w:val="1"/>
      <w:marLeft w:val="0"/>
      <w:marRight w:val="0"/>
      <w:marTop w:val="0"/>
      <w:marBottom w:val="0"/>
      <w:divBdr>
        <w:top w:val="none" w:sz="0" w:space="0" w:color="auto"/>
        <w:left w:val="none" w:sz="0" w:space="0" w:color="auto"/>
        <w:bottom w:val="none" w:sz="0" w:space="0" w:color="auto"/>
        <w:right w:val="none" w:sz="0" w:space="0" w:color="auto"/>
      </w:divBdr>
    </w:div>
    <w:div w:id="1619294858">
      <w:bodyDiv w:val="1"/>
      <w:marLeft w:val="0"/>
      <w:marRight w:val="0"/>
      <w:marTop w:val="0"/>
      <w:marBottom w:val="0"/>
      <w:divBdr>
        <w:top w:val="none" w:sz="0" w:space="0" w:color="auto"/>
        <w:left w:val="none" w:sz="0" w:space="0" w:color="auto"/>
        <w:bottom w:val="none" w:sz="0" w:space="0" w:color="auto"/>
        <w:right w:val="none" w:sz="0" w:space="0" w:color="auto"/>
      </w:divBdr>
    </w:div>
    <w:div w:id="1620526778">
      <w:bodyDiv w:val="1"/>
      <w:marLeft w:val="0"/>
      <w:marRight w:val="0"/>
      <w:marTop w:val="0"/>
      <w:marBottom w:val="0"/>
      <w:divBdr>
        <w:top w:val="none" w:sz="0" w:space="0" w:color="auto"/>
        <w:left w:val="none" w:sz="0" w:space="0" w:color="auto"/>
        <w:bottom w:val="none" w:sz="0" w:space="0" w:color="auto"/>
        <w:right w:val="none" w:sz="0" w:space="0" w:color="auto"/>
      </w:divBdr>
    </w:div>
    <w:div w:id="1621960175">
      <w:bodyDiv w:val="1"/>
      <w:marLeft w:val="0"/>
      <w:marRight w:val="0"/>
      <w:marTop w:val="0"/>
      <w:marBottom w:val="0"/>
      <w:divBdr>
        <w:top w:val="none" w:sz="0" w:space="0" w:color="auto"/>
        <w:left w:val="none" w:sz="0" w:space="0" w:color="auto"/>
        <w:bottom w:val="none" w:sz="0" w:space="0" w:color="auto"/>
        <w:right w:val="none" w:sz="0" w:space="0" w:color="auto"/>
      </w:divBdr>
    </w:div>
    <w:div w:id="1624189415">
      <w:bodyDiv w:val="1"/>
      <w:marLeft w:val="0"/>
      <w:marRight w:val="0"/>
      <w:marTop w:val="0"/>
      <w:marBottom w:val="0"/>
      <w:divBdr>
        <w:top w:val="none" w:sz="0" w:space="0" w:color="auto"/>
        <w:left w:val="none" w:sz="0" w:space="0" w:color="auto"/>
        <w:bottom w:val="none" w:sz="0" w:space="0" w:color="auto"/>
        <w:right w:val="none" w:sz="0" w:space="0" w:color="auto"/>
      </w:divBdr>
    </w:div>
    <w:div w:id="1624194129">
      <w:marLeft w:val="0"/>
      <w:marRight w:val="0"/>
      <w:marTop w:val="0"/>
      <w:marBottom w:val="0"/>
      <w:divBdr>
        <w:top w:val="none" w:sz="0" w:space="0" w:color="auto"/>
        <w:left w:val="none" w:sz="0" w:space="0" w:color="auto"/>
        <w:bottom w:val="none" w:sz="0" w:space="0" w:color="auto"/>
        <w:right w:val="none" w:sz="0" w:space="0" w:color="auto"/>
      </w:divBdr>
    </w:div>
    <w:div w:id="1624194130">
      <w:marLeft w:val="0"/>
      <w:marRight w:val="0"/>
      <w:marTop w:val="0"/>
      <w:marBottom w:val="0"/>
      <w:divBdr>
        <w:top w:val="none" w:sz="0" w:space="0" w:color="auto"/>
        <w:left w:val="none" w:sz="0" w:space="0" w:color="auto"/>
        <w:bottom w:val="none" w:sz="0" w:space="0" w:color="auto"/>
        <w:right w:val="none" w:sz="0" w:space="0" w:color="auto"/>
      </w:divBdr>
    </w:div>
    <w:div w:id="1624194131">
      <w:marLeft w:val="0"/>
      <w:marRight w:val="0"/>
      <w:marTop w:val="0"/>
      <w:marBottom w:val="0"/>
      <w:divBdr>
        <w:top w:val="none" w:sz="0" w:space="0" w:color="auto"/>
        <w:left w:val="none" w:sz="0" w:space="0" w:color="auto"/>
        <w:bottom w:val="none" w:sz="0" w:space="0" w:color="auto"/>
        <w:right w:val="none" w:sz="0" w:space="0" w:color="auto"/>
      </w:divBdr>
    </w:div>
    <w:div w:id="1624194132">
      <w:marLeft w:val="0"/>
      <w:marRight w:val="0"/>
      <w:marTop w:val="0"/>
      <w:marBottom w:val="0"/>
      <w:divBdr>
        <w:top w:val="none" w:sz="0" w:space="0" w:color="auto"/>
        <w:left w:val="none" w:sz="0" w:space="0" w:color="auto"/>
        <w:bottom w:val="none" w:sz="0" w:space="0" w:color="auto"/>
        <w:right w:val="none" w:sz="0" w:space="0" w:color="auto"/>
      </w:divBdr>
    </w:div>
    <w:div w:id="1624194133">
      <w:marLeft w:val="0"/>
      <w:marRight w:val="0"/>
      <w:marTop w:val="0"/>
      <w:marBottom w:val="0"/>
      <w:divBdr>
        <w:top w:val="none" w:sz="0" w:space="0" w:color="auto"/>
        <w:left w:val="none" w:sz="0" w:space="0" w:color="auto"/>
        <w:bottom w:val="none" w:sz="0" w:space="0" w:color="auto"/>
        <w:right w:val="none" w:sz="0" w:space="0" w:color="auto"/>
      </w:divBdr>
    </w:div>
    <w:div w:id="1624194134">
      <w:marLeft w:val="0"/>
      <w:marRight w:val="0"/>
      <w:marTop w:val="0"/>
      <w:marBottom w:val="0"/>
      <w:divBdr>
        <w:top w:val="none" w:sz="0" w:space="0" w:color="auto"/>
        <w:left w:val="none" w:sz="0" w:space="0" w:color="auto"/>
        <w:bottom w:val="none" w:sz="0" w:space="0" w:color="auto"/>
        <w:right w:val="none" w:sz="0" w:space="0" w:color="auto"/>
      </w:divBdr>
    </w:div>
    <w:div w:id="1624194135">
      <w:marLeft w:val="0"/>
      <w:marRight w:val="0"/>
      <w:marTop w:val="0"/>
      <w:marBottom w:val="0"/>
      <w:divBdr>
        <w:top w:val="none" w:sz="0" w:space="0" w:color="auto"/>
        <w:left w:val="none" w:sz="0" w:space="0" w:color="auto"/>
        <w:bottom w:val="none" w:sz="0" w:space="0" w:color="auto"/>
        <w:right w:val="none" w:sz="0" w:space="0" w:color="auto"/>
      </w:divBdr>
    </w:div>
    <w:div w:id="1624194136">
      <w:marLeft w:val="0"/>
      <w:marRight w:val="0"/>
      <w:marTop w:val="0"/>
      <w:marBottom w:val="0"/>
      <w:divBdr>
        <w:top w:val="none" w:sz="0" w:space="0" w:color="auto"/>
        <w:left w:val="none" w:sz="0" w:space="0" w:color="auto"/>
        <w:bottom w:val="none" w:sz="0" w:space="0" w:color="auto"/>
        <w:right w:val="none" w:sz="0" w:space="0" w:color="auto"/>
      </w:divBdr>
    </w:div>
    <w:div w:id="1624194137">
      <w:marLeft w:val="0"/>
      <w:marRight w:val="0"/>
      <w:marTop w:val="0"/>
      <w:marBottom w:val="0"/>
      <w:divBdr>
        <w:top w:val="none" w:sz="0" w:space="0" w:color="auto"/>
        <w:left w:val="none" w:sz="0" w:space="0" w:color="auto"/>
        <w:bottom w:val="none" w:sz="0" w:space="0" w:color="auto"/>
        <w:right w:val="none" w:sz="0" w:space="0" w:color="auto"/>
      </w:divBdr>
    </w:div>
    <w:div w:id="1624194138">
      <w:marLeft w:val="0"/>
      <w:marRight w:val="0"/>
      <w:marTop w:val="0"/>
      <w:marBottom w:val="0"/>
      <w:divBdr>
        <w:top w:val="none" w:sz="0" w:space="0" w:color="auto"/>
        <w:left w:val="none" w:sz="0" w:space="0" w:color="auto"/>
        <w:bottom w:val="none" w:sz="0" w:space="0" w:color="auto"/>
        <w:right w:val="none" w:sz="0" w:space="0" w:color="auto"/>
      </w:divBdr>
    </w:div>
    <w:div w:id="1624194139">
      <w:marLeft w:val="0"/>
      <w:marRight w:val="0"/>
      <w:marTop w:val="0"/>
      <w:marBottom w:val="0"/>
      <w:divBdr>
        <w:top w:val="none" w:sz="0" w:space="0" w:color="auto"/>
        <w:left w:val="none" w:sz="0" w:space="0" w:color="auto"/>
        <w:bottom w:val="none" w:sz="0" w:space="0" w:color="auto"/>
        <w:right w:val="none" w:sz="0" w:space="0" w:color="auto"/>
      </w:divBdr>
    </w:div>
    <w:div w:id="1624194140">
      <w:marLeft w:val="0"/>
      <w:marRight w:val="0"/>
      <w:marTop w:val="0"/>
      <w:marBottom w:val="0"/>
      <w:divBdr>
        <w:top w:val="none" w:sz="0" w:space="0" w:color="auto"/>
        <w:left w:val="none" w:sz="0" w:space="0" w:color="auto"/>
        <w:bottom w:val="none" w:sz="0" w:space="0" w:color="auto"/>
        <w:right w:val="none" w:sz="0" w:space="0" w:color="auto"/>
      </w:divBdr>
    </w:div>
    <w:div w:id="1624194141">
      <w:marLeft w:val="0"/>
      <w:marRight w:val="0"/>
      <w:marTop w:val="0"/>
      <w:marBottom w:val="0"/>
      <w:divBdr>
        <w:top w:val="none" w:sz="0" w:space="0" w:color="auto"/>
        <w:left w:val="none" w:sz="0" w:space="0" w:color="auto"/>
        <w:bottom w:val="none" w:sz="0" w:space="0" w:color="auto"/>
        <w:right w:val="none" w:sz="0" w:space="0" w:color="auto"/>
      </w:divBdr>
    </w:div>
    <w:div w:id="1624194142">
      <w:marLeft w:val="0"/>
      <w:marRight w:val="0"/>
      <w:marTop w:val="0"/>
      <w:marBottom w:val="0"/>
      <w:divBdr>
        <w:top w:val="none" w:sz="0" w:space="0" w:color="auto"/>
        <w:left w:val="none" w:sz="0" w:space="0" w:color="auto"/>
        <w:bottom w:val="none" w:sz="0" w:space="0" w:color="auto"/>
        <w:right w:val="none" w:sz="0" w:space="0" w:color="auto"/>
      </w:divBdr>
    </w:div>
    <w:div w:id="1624194143">
      <w:marLeft w:val="0"/>
      <w:marRight w:val="0"/>
      <w:marTop w:val="0"/>
      <w:marBottom w:val="0"/>
      <w:divBdr>
        <w:top w:val="none" w:sz="0" w:space="0" w:color="auto"/>
        <w:left w:val="none" w:sz="0" w:space="0" w:color="auto"/>
        <w:bottom w:val="none" w:sz="0" w:space="0" w:color="auto"/>
        <w:right w:val="none" w:sz="0" w:space="0" w:color="auto"/>
      </w:divBdr>
    </w:div>
    <w:div w:id="1624194144">
      <w:marLeft w:val="0"/>
      <w:marRight w:val="0"/>
      <w:marTop w:val="0"/>
      <w:marBottom w:val="0"/>
      <w:divBdr>
        <w:top w:val="none" w:sz="0" w:space="0" w:color="auto"/>
        <w:left w:val="none" w:sz="0" w:space="0" w:color="auto"/>
        <w:bottom w:val="none" w:sz="0" w:space="0" w:color="auto"/>
        <w:right w:val="none" w:sz="0" w:space="0" w:color="auto"/>
      </w:divBdr>
    </w:div>
    <w:div w:id="1624194145">
      <w:marLeft w:val="0"/>
      <w:marRight w:val="0"/>
      <w:marTop w:val="0"/>
      <w:marBottom w:val="0"/>
      <w:divBdr>
        <w:top w:val="none" w:sz="0" w:space="0" w:color="auto"/>
        <w:left w:val="none" w:sz="0" w:space="0" w:color="auto"/>
        <w:bottom w:val="none" w:sz="0" w:space="0" w:color="auto"/>
        <w:right w:val="none" w:sz="0" w:space="0" w:color="auto"/>
      </w:divBdr>
    </w:div>
    <w:div w:id="1624194146">
      <w:marLeft w:val="0"/>
      <w:marRight w:val="0"/>
      <w:marTop w:val="0"/>
      <w:marBottom w:val="0"/>
      <w:divBdr>
        <w:top w:val="none" w:sz="0" w:space="0" w:color="auto"/>
        <w:left w:val="none" w:sz="0" w:space="0" w:color="auto"/>
        <w:bottom w:val="none" w:sz="0" w:space="0" w:color="auto"/>
        <w:right w:val="none" w:sz="0" w:space="0" w:color="auto"/>
      </w:divBdr>
    </w:div>
    <w:div w:id="1624194147">
      <w:marLeft w:val="0"/>
      <w:marRight w:val="0"/>
      <w:marTop w:val="0"/>
      <w:marBottom w:val="0"/>
      <w:divBdr>
        <w:top w:val="none" w:sz="0" w:space="0" w:color="auto"/>
        <w:left w:val="none" w:sz="0" w:space="0" w:color="auto"/>
        <w:bottom w:val="none" w:sz="0" w:space="0" w:color="auto"/>
        <w:right w:val="none" w:sz="0" w:space="0" w:color="auto"/>
      </w:divBdr>
    </w:div>
    <w:div w:id="1624194148">
      <w:marLeft w:val="0"/>
      <w:marRight w:val="0"/>
      <w:marTop w:val="0"/>
      <w:marBottom w:val="0"/>
      <w:divBdr>
        <w:top w:val="none" w:sz="0" w:space="0" w:color="auto"/>
        <w:left w:val="none" w:sz="0" w:space="0" w:color="auto"/>
        <w:bottom w:val="none" w:sz="0" w:space="0" w:color="auto"/>
        <w:right w:val="none" w:sz="0" w:space="0" w:color="auto"/>
      </w:divBdr>
    </w:div>
    <w:div w:id="1624194149">
      <w:marLeft w:val="0"/>
      <w:marRight w:val="0"/>
      <w:marTop w:val="0"/>
      <w:marBottom w:val="0"/>
      <w:divBdr>
        <w:top w:val="none" w:sz="0" w:space="0" w:color="auto"/>
        <w:left w:val="none" w:sz="0" w:space="0" w:color="auto"/>
        <w:bottom w:val="none" w:sz="0" w:space="0" w:color="auto"/>
        <w:right w:val="none" w:sz="0" w:space="0" w:color="auto"/>
      </w:divBdr>
    </w:div>
    <w:div w:id="1624194150">
      <w:marLeft w:val="0"/>
      <w:marRight w:val="0"/>
      <w:marTop w:val="0"/>
      <w:marBottom w:val="0"/>
      <w:divBdr>
        <w:top w:val="none" w:sz="0" w:space="0" w:color="auto"/>
        <w:left w:val="none" w:sz="0" w:space="0" w:color="auto"/>
        <w:bottom w:val="none" w:sz="0" w:space="0" w:color="auto"/>
        <w:right w:val="none" w:sz="0" w:space="0" w:color="auto"/>
      </w:divBdr>
    </w:div>
    <w:div w:id="1624194151">
      <w:marLeft w:val="0"/>
      <w:marRight w:val="0"/>
      <w:marTop w:val="0"/>
      <w:marBottom w:val="0"/>
      <w:divBdr>
        <w:top w:val="none" w:sz="0" w:space="0" w:color="auto"/>
        <w:left w:val="none" w:sz="0" w:space="0" w:color="auto"/>
        <w:bottom w:val="none" w:sz="0" w:space="0" w:color="auto"/>
        <w:right w:val="none" w:sz="0" w:space="0" w:color="auto"/>
      </w:divBdr>
    </w:div>
    <w:div w:id="1624194152">
      <w:marLeft w:val="0"/>
      <w:marRight w:val="0"/>
      <w:marTop w:val="0"/>
      <w:marBottom w:val="0"/>
      <w:divBdr>
        <w:top w:val="none" w:sz="0" w:space="0" w:color="auto"/>
        <w:left w:val="none" w:sz="0" w:space="0" w:color="auto"/>
        <w:bottom w:val="none" w:sz="0" w:space="0" w:color="auto"/>
        <w:right w:val="none" w:sz="0" w:space="0" w:color="auto"/>
      </w:divBdr>
    </w:div>
    <w:div w:id="1624194153">
      <w:marLeft w:val="0"/>
      <w:marRight w:val="0"/>
      <w:marTop w:val="0"/>
      <w:marBottom w:val="0"/>
      <w:divBdr>
        <w:top w:val="none" w:sz="0" w:space="0" w:color="auto"/>
        <w:left w:val="none" w:sz="0" w:space="0" w:color="auto"/>
        <w:bottom w:val="none" w:sz="0" w:space="0" w:color="auto"/>
        <w:right w:val="none" w:sz="0" w:space="0" w:color="auto"/>
      </w:divBdr>
    </w:div>
    <w:div w:id="1624194154">
      <w:marLeft w:val="0"/>
      <w:marRight w:val="0"/>
      <w:marTop w:val="0"/>
      <w:marBottom w:val="0"/>
      <w:divBdr>
        <w:top w:val="none" w:sz="0" w:space="0" w:color="auto"/>
        <w:left w:val="none" w:sz="0" w:space="0" w:color="auto"/>
        <w:bottom w:val="none" w:sz="0" w:space="0" w:color="auto"/>
        <w:right w:val="none" w:sz="0" w:space="0" w:color="auto"/>
      </w:divBdr>
    </w:div>
    <w:div w:id="1624194155">
      <w:marLeft w:val="0"/>
      <w:marRight w:val="0"/>
      <w:marTop w:val="0"/>
      <w:marBottom w:val="0"/>
      <w:divBdr>
        <w:top w:val="none" w:sz="0" w:space="0" w:color="auto"/>
        <w:left w:val="none" w:sz="0" w:space="0" w:color="auto"/>
        <w:bottom w:val="none" w:sz="0" w:space="0" w:color="auto"/>
        <w:right w:val="none" w:sz="0" w:space="0" w:color="auto"/>
      </w:divBdr>
    </w:div>
    <w:div w:id="1624194156">
      <w:marLeft w:val="0"/>
      <w:marRight w:val="0"/>
      <w:marTop w:val="0"/>
      <w:marBottom w:val="0"/>
      <w:divBdr>
        <w:top w:val="none" w:sz="0" w:space="0" w:color="auto"/>
        <w:left w:val="none" w:sz="0" w:space="0" w:color="auto"/>
        <w:bottom w:val="none" w:sz="0" w:space="0" w:color="auto"/>
        <w:right w:val="none" w:sz="0" w:space="0" w:color="auto"/>
      </w:divBdr>
    </w:div>
    <w:div w:id="1624194157">
      <w:marLeft w:val="0"/>
      <w:marRight w:val="0"/>
      <w:marTop w:val="0"/>
      <w:marBottom w:val="0"/>
      <w:divBdr>
        <w:top w:val="none" w:sz="0" w:space="0" w:color="auto"/>
        <w:left w:val="none" w:sz="0" w:space="0" w:color="auto"/>
        <w:bottom w:val="none" w:sz="0" w:space="0" w:color="auto"/>
        <w:right w:val="none" w:sz="0" w:space="0" w:color="auto"/>
      </w:divBdr>
    </w:div>
    <w:div w:id="1624194158">
      <w:marLeft w:val="0"/>
      <w:marRight w:val="0"/>
      <w:marTop w:val="0"/>
      <w:marBottom w:val="0"/>
      <w:divBdr>
        <w:top w:val="none" w:sz="0" w:space="0" w:color="auto"/>
        <w:left w:val="none" w:sz="0" w:space="0" w:color="auto"/>
        <w:bottom w:val="none" w:sz="0" w:space="0" w:color="auto"/>
        <w:right w:val="none" w:sz="0" w:space="0" w:color="auto"/>
      </w:divBdr>
    </w:div>
    <w:div w:id="1624194159">
      <w:marLeft w:val="0"/>
      <w:marRight w:val="0"/>
      <w:marTop w:val="0"/>
      <w:marBottom w:val="0"/>
      <w:divBdr>
        <w:top w:val="none" w:sz="0" w:space="0" w:color="auto"/>
        <w:left w:val="none" w:sz="0" w:space="0" w:color="auto"/>
        <w:bottom w:val="none" w:sz="0" w:space="0" w:color="auto"/>
        <w:right w:val="none" w:sz="0" w:space="0" w:color="auto"/>
      </w:divBdr>
    </w:div>
    <w:div w:id="1624194160">
      <w:marLeft w:val="0"/>
      <w:marRight w:val="0"/>
      <w:marTop w:val="0"/>
      <w:marBottom w:val="0"/>
      <w:divBdr>
        <w:top w:val="none" w:sz="0" w:space="0" w:color="auto"/>
        <w:left w:val="none" w:sz="0" w:space="0" w:color="auto"/>
        <w:bottom w:val="none" w:sz="0" w:space="0" w:color="auto"/>
        <w:right w:val="none" w:sz="0" w:space="0" w:color="auto"/>
      </w:divBdr>
    </w:div>
    <w:div w:id="1624194161">
      <w:marLeft w:val="0"/>
      <w:marRight w:val="0"/>
      <w:marTop w:val="0"/>
      <w:marBottom w:val="0"/>
      <w:divBdr>
        <w:top w:val="none" w:sz="0" w:space="0" w:color="auto"/>
        <w:left w:val="none" w:sz="0" w:space="0" w:color="auto"/>
        <w:bottom w:val="none" w:sz="0" w:space="0" w:color="auto"/>
        <w:right w:val="none" w:sz="0" w:space="0" w:color="auto"/>
      </w:divBdr>
    </w:div>
    <w:div w:id="1624194162">
      <w:marLeft w:val="0"/>
      <w:marRight w:val="0"/>
      <w:marTop w:val="0"/>
      <w:marBottom w:val="0"/>
      <w:divBdr>
        <w:top w:val="none" w:sz="0" w:space="0" w:color="auto"/>
        <w:left w:val="none" w:sz="0" w:space="0" w:color="auto"/>
        <w:bottom w:val="none" w:sz="0" w:space="0" w:color="auto"/>
        <w:right w:val="none" w:sz="0" w:space="0" w:color="auto"/>
      </w:divBdr>
    </w:div>
    <w:div w:id="1624194163">
      <w:marLeft w:val="0"/>
      <w:marRight w:val="0"/>
      <w:marTop w:val="0"/>
      <w:marBottom w:val="0"/>
      <w:divBdr>
        <w:top w:val="none" w:sz="0" w:space="0" w:color="auto"/>
        <w:left w:val="none" w:sz="0" w:space="0" w:color="auto"/>
        <w:bottom w:val="none" w:sz="0" w:space="0" w:color="auto"/>
        <w:right w:val="none" w:sz="0" w:space="0" w:color="auto"/>
      </w:divBdr>
    </w:div>
    <w:div w:id="1624194164">
      <w:marLeft w:val="0"/>
      <w:marRight w:val="0"/>
      <w:marTop w:val="0"/>
      <w:marBottom w:val="0"/>
      <w:divBdr>
        <w:top w:val="none" w:sz="0" w:space="0" w:color="auto"/>
        <w:left w:val="none" w:sz="0" w:space="0" w:color="auto"/>
        <w:bottom w:val="none" w:sz="0" w:space="0" w:color="auto"/>
        <w:right w:val="none" w:sz="0" w:space="0" w:color="auto"/>
      </w:divBdr>
    </w:div>
    <w:div w:id="1624194165">
      <w:marLeft w:val="0"/>
      <w:marRight w:val="0"/>
      <w:marTop w:val="0"/>
      <w:marBottom w:val="0"/>
      <w:divBdr>
        <w:top w:val="none" w:sz="0" w:space="0" w:color="auto"/>
        <w:left w:val="none" w:sz="0" w:space="0" w:color="auto"/>
        <w:bottom w:val="none" w:sz="0" w:space="0" w:color="auto"/>
        <w:right w:val="none" w:sz="0" w:space="0" w:color="auto"/>
      </w:divBdr>
    </w:div>
    <w:div w:id="1624194166">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1624194168">
      <w:marLeft w:val="0"/>
      <w:marRight w:val="0"/>
      <w:marTop w:val="0"/>
      <w:marBottom w:val="0"/>
      <w:divBdr>
        <w:top w:val="none" w:sz="0" w:space="0" w:color="auto"/>
        <w:left w:val="none" w:sz="0" w:space="0" w:color="auto"/>
        <w:bottom w:val="none" w:sz="0" w:space="0" w:color="auto"/>
        <w:right w:val="none" w:sz="0" w:space="0" w:color="auto"/>
      </w:divBdr>
    </w:div>
    <w:div w:id="1624194169">
      <w:marLeft w:val="0"/>
      <w:marRight w:val="0"/>
      <w:marTop w:val="0"/>
      <w:marBottom w:val="0"/>
      <w:divBdr>
        <w:top w:val="none" w:sz="0" w:space="0" w:color="auto"/>
        <w:left w:val="none" w:sz="0" w:space="0" w:color="auto"/>
        <w:bottom w:val="none" w:sz="0" w:space="0" w:color="auto"/>
        <w:right w:val="none" w:sz="0" w:space="0" w:color="auto"/>
      </w:divBdr>
    </w:div>
    <w:div w:id="1624194170">
      <w:marLeft w:val="0"/>
      <w:marRight w:val="0"/>
      <w:marTop w:val="0"/>
      <w:marBottom w:val="0"/>
      <w:divBdr>
        <w:top w:val="none" w:sz="0" w:space="0" w:color="auto"/>
        <w:left w:val="none" w:sz="0" w:space="0" w:color="auto"/>
        <w:bottom w:val="none" w:sz="0" w:space="0" w:color="auto"/>
        <w:right w:val="none" w:sz="0" w:space="0" w:color="auto"/>
      </w:divBdr>
    </w:div>
    <w:div w:id="1624194171">
      <w:marLeft w:val="0"/>
      <w:marRight w:val="0"/>
      <w:marTop w:val="0"/>
      <w:marBottom w:val="0"/>
      <w:divBdr>
        <w:top w:val="none" w:sz="0" w:space="0" w:color="auto"/>
        <w:left w:val="none" w:sz="0" w:space="0" w:color="auto"/>
        <w:bottom w:val="none" w:sz="0" w:space="0" w:color="auto"/>
        <w:right w:val="none" w:sz="0" w:space="0" w:color="auto"/>
      </w:divBdr>
    </w:div>
    <w:div w:id="1624194172">
      <w:marLeft w:val="0"/>
      <w:marRight w:val="0"/>
      <w:marTop w:val="0"/>
      <w:marBottom w:val="0"/>
      <w:divBdr>
        <w:top w:val="none" w:sz="0" w:space="0" w:color="auto"/>
        <w:left w:val="none" w:sz="0" w:space="0" w:color="auto"/>
        <w:bottom w:val="none" w:sz="0" w:space="0" w:color="auto"/>
        <w:right w:val="none" w:sz="0" w:space="0" w:color="auto"/>
      </w:divBdr>
    </w:div>
    <w:div w:id="1624194173">
      <w:marLeft w:val="0"/>
      <w:marRight w:val="0"/>
      <w:marTop w:val="0"/>
      <w:marBottom w:val="0"/>
      <w:divBdr>
        <w:top w:val="none" w:sz="0" w:space="0" w:color="auto"/>
        <w:left w:val="none" w:sz="0" w:space="0" w:color="auto"/>
        <w:bottom w:val="none" w:sz="0" w:space="0" w:color="auto"/>
        <w:right w:val="none" w:sz="0" w:space="0" w:color="auto"/>
      </w:divBdr>
    </w:div>
    <w:div w:id="1624194174">
      <w:marLeft w:val="0"/>
      <w:marRight w:val="0"/>
      <w:marTop w:val="0"/>
      <w:marBottom w:val="0"/>
      <w:divBdr>
        <w:top w:val="none" w:sz="0" w:space="0" w:color="auto"/>
        <w:left w:val="none" w:sz="0" w:space="0" w:color="auto"/>
        <w:bottom w:val="none" w:sz="0" w:space="0" w:color="auto"/>
        <w:right w:val="none" w:sz="0" w:space="0" w:color="auto"/>
      </w:divBdr>
    </w:div>
    <w:div w:id="1624194175">
      <w:marLeft w:val="0"/>
      <w:marRight w:val="0"/>
      <w:marTop w:val="0"/>
      <w:marBottom w:val="0"/>
      <w:divBdr>
        <w:top w:val="none" w:sz="0" w:space="0" w:color="auto"/>
        <w:left w:val="none" w:sz="0" w:space="0" w:color="auto"/>
        <w:bottom w:val="none" w:sz="0" w:space="0" w:color="auto"/>
        <w:right w:val="none" w:sz="0" w:space="0" w:color="auto"/>
      </w:divBdr>
    </w:div>
    <w:div w:id="1624194176">
      <w:marLeft w:val="0"/>
      <w:marRight w:val="0"/>
      <w:marTop w:val="0"/>
      <w:marBottom w:val="0"/>
      <w:divBdr>
        <w:top w:val="none" w:sz="0" w:space="0" w:color="auto"/>
        <w:left w:val="none" w:sz="0" w:space="0" w:color="auto"/>
        <w:bottom w:val="none" w:sz="0" w:space="0" w:color="auto"/>
        <w:right w:val="none" w:sz="0" w:space="0" w:color="auto"/>
      </w:divBdr>
    </w:div>
    <w:div w:id="1624194177">
      <w:marLeft w:val="0"/>
      <w:marRight w:val="0"/>
      <w:marTop w:val="0"/>
      <w:marBottom w:val="0"/>
      <w:divBdr>
        <w:top w:val="none" w:sz="0" w:space="0" w:color="auto"/>
        <w:left w:val="none" w:sz="0" w:space="0" w:color="auto"/>
        <w:bottom w:val="none" w:sz="0" w:space="0" w:color="auto"/>
        <w:right w:val="none" w:sz="0" w:space="0" w:color="auto"/>
      </w:divBdr>
    </w:div>
    <w:div w:id="1624194178">
      <w:marLeft w:val="0"/>
      <w:marRight w:val="0"/>
      <w:marTop w:val="0"/>
      <w:marBottom w:val="0"/>
      <w:divBdr>
        <w:top w:val="none" w:sz="0" w:space="0" w:color="auto"/>
        <w:left w:val="none" w:sz="0" w:space="0" w:color="auto"/>
        <w:bottom w:val="none" w:sz="0" w:space="0" w:color="auto"/>
        <w:right w:val="none" w:sz="0" w:space="0" w:color="auto"/>
      </w:divBdr>
    </w:div>
    <w:div w:id="1624194179">
      <w:marLeft w:val="0"/>
      <w:marRight w:val="0"/>
      <w:marTop w:val="0"/>
      <w:marBottom w:val="0"/>
      <w:divBdr>
        <w:top w:val="none" w:sz="0" w:space="0" w:color="auto"/>
        <w:left w:val="none" w:sz="0" w:space="0" w:color="auto"/>
        <w:bottom w:val="none" w:sz="0" w:space="0" w:color="auto"/>
        <w:right w:val="none" w:sz="0" w:space="0" w:color="auto"/>
      </w:divBdr>
    </w:div>
    <w:div w:id="1624194180">
      <w:marLeft w:val="0"/>
      <w:marRight w:val="0"/>
      <w:marTop w:val="0"/>
      <w:marBottom w:val="0"/>
      <w:divBdr>
        <w:top w:val="none" w:sz="0" w:space="0" w:color="auto"/>
        <w:left w:val="none" w:sz="0" w:space="0" w:color="auto"/>
        <w:bottom w:val="none" w:sz="0" w:space="0" w:color="auto"/>
        <w:right w:val="none" w:sz="0" w:space="0" w:color="auto"/>
      </w:divBdr>
    </w:div>
    <w:div w:id="1624194181">
      <w:marLeft w:val="0"/>
      <w:marRight w:val="0"/>
      <w:marTop w:val="0"/>
      <w:marBottom w:val="0"/>
      <w:divBdr>
        <w:top w:val="none" w:sz="0" w:space="0" w:color="auto"/>
        <w:left w:val="none" w:sz="0" w:space="0" w:color="auto"/>
        <w:bottom w:val="none" w:sz="0" w:space="0" w:color="auto"/>
        <w:right w:val="none" w:sz="0" w:space="0" w:color="auto"/>
      </w:divBdr>
    </w:div>
    <w:div w:id="1624194182">
      <w:marLeft w:val="0"/>
      <w:marRight w:val="0"/>
      <w:marTop w:val="0"/>
      <w:marBottom w:val="0"/>
      <w:divBdr>
        <w:top w:val="none" w:sz="0" w:space="0" w:color="auto"/>
        <w:left w:val="none" w:sz="0" w:space="0" w:color="auto"/>
        <w:bottom w:val="none" w:sz="0" w:space="0" w:color="auto"/>
        <w:right w:val="none" w:sz="0" w:space="0" w:color="auto"/>
      </w:divBdr>
    </w:div>
    <w:div w:id="1624194183">
      <w:marLeft w:val="0"/>
      <w:marRight w:val="0"/>
      <w:marTop w:val="0"/>
      <w:marBottom w:val="0"/>
      <w:divBdr>
        <w:top w:val="none" w:sz="0" w:space="0" w:color="auto"/>
        <w:left w:val="none" w:sz="0" w:space="0" w:color="auto"/>
        <w:bottom w:val="none" w:sz="0" w:space="0" w:color="auto"/>
        <w:right w:val="none" w:sz="0" w:space="0" w:color="auto"/>
      </w:divBdr>
    </w:div>
    <w:div w:id="1624194184">
      <w:marLeft w:val="0"/>
      <w:marRight w:val="0"/>
      <w:marTop w:val="0"/>
      <w:marBottom w:val="0"/>
      <w:divBdr>
        <w:top w:val="none" w:sz="0" w:space="0" w:color="auto"/>
        <w:left w:val="none" w:sz="0" w:space="0" w:color="auto"/>
        <w:bottom w:val="none" w:sz="0" w:space="0" w:color="auto"/>
        <w:right w:val="none" w:sz="0" w:space="0" w:color="auto"/>
      </w:divBdr>
    </w:div>
    <w:div w:id="1624194185">
      <w:marLeft w:val="0"/>
      <w:marRight w:val="0"/>
      <w:marTop w:val="0"/>
      <w:marBottom w:val="0"/>
      <w:divBdr>
        <w:top w:val="none" w:sz="0" w:space="0" w:color="auto"/>
        <w:left w:val="none" w:sz="0" w:space="0" w:color="auto"/>
        <w:bottom w:val="none" w:sz="0" w:space="0" w:color="auto"/>
        <w:right w:val="none" w:sz="0" w:space="0" w:color="auto"/>
      </w:divBdr>
    </w:div>
    <w:div w:id="1624194186">
      <w:marLeft w:val="0"/>
      <w:marRight w:val="0"/>
      <w:marTop w:val="0"/>
      <w:marBottom w:val="0"/>
      <w:divBdr>
        <w:top w:val="none" w:sz="0" w:space="0" w:color="auto"/>
        <w:left w:val="none" w:sz="0" w:space="0" w:color="auto"/>
        <w:bottom w:val="none" w:sz="0" w:space="0" w:color="auto"/>
        <w:right w:val="none" w:sz="0" w:space="0" w:color="auto"/>
      </w:divBdr>
    </w:div>
    <w:div w:id="1624194187">
      <w:marLeft w:val="0"/>
      <w:marRight w:val="0"/>
      <w:marTop w:val="0"/>
      <w:marBottom w:val="0"/>
      <w:divBdr>
        <w:top w:val="none" w:sz="0" w:space="0" w:color="auto"/>
        <w:left w:val="none" w:sz="0" w:space="0" w:color="auto"/>
        <w:bottom w:val="none" w:sz="0" w:space="0" w:color="auto"/>
        <w:right w:val="none" w:sz="0" w:space="0" w:color="auto"/>
      </w:divBdr>
    </w:div>
    <w:div w:id="1624194188">
      <w:marLeft w:val="0"/>
      <w:marRight w:val="0"/>
      <w:marTop w:val="0"/>
      <w:marBottom w:val="0"/>
      <w:divBdr>
        <w:top w:val="none" w:sz="0" w:space="0" w:color="auto"/>
        <w:left w:val="none" w:sz="0" w:space="0" w:color="auto"/>
        <w:bottom w:val="none" w:sz="0" w:space="0" w:color="auto"/>
        <w:right w:val="none" w:sz="0" w:space="0" w:color="auto"/>
      </w:divBdr>
    </w:div>
    <w:div w:id="1624194189">
      <w:marLeft w:val="0"/>
      <w:marRight w:val="0"/>
      <w:marTop w:val="0"/>
      <w:marBottom w:val="0"/>
      <w:divBdr>
        <w:top w:val="none" w:sz="0" w:space="0" w:color="auto"/>
        <w:left w:val="none" w:sz="0" w:space="0" w:color="auto"/>
        <w:bottom w:val="none" w:sz="0" w:space="0" w:color="auto"/>
        <w:right w:val="none" w:sz="0" w:space="0" w:color="auto"/>
      </w:divBdr>
    </w:div>
    <w:div w:id="1624194190">
      <w:marLeft w:val="0"/>
      <w:marRight w:val="0"/>
      <w:marTop w:val="0"/>
      <w:marBottom w:val="0"/>
      <w:divBdr>
        <w:top w:val="none" w:sz="0" w:space="0" w:color="auto"/>
        <w:left w:val="none" w:sz="0" w:space="0" w:color="auto"/>
        <w:bottom w:val="none" w:sz="0" w:space="0" w:color="auto"/>
        <w:right w:val="none" w:sz="0" w:space="0" w:color="auto"/>
      </w:divBdr>
    </w:div>
    <w:div w:id="1624194191">
      <w:marLeft w:val="0"/>
      <w:marRight w:val="0"/>
      <w:marTop w:val="0"/>
      <w:marBottom w:val="0"/>
      <w:divBdr>
        <w:top w:val="none" w:sz="0" w:space="0" w:color="auto"/>
        <w:left w:val="none" w:sz="0" w:space="0" w:color="auto"/>
        <w:bottom w:val="none" w:sz="0" w:space="0" w:color="auto"/>
        <w:right w:val="none" w:sz="0" w:space="0" w:color="auto"/>
      </w:divBdr>
    </w:div>
    <w:div w:id="1624194192">
      <w:marLeft w:val="0"/>
      <w:marRight w:val="0"/>
      <w:marTop w:val="0"/>
      <w:marBottom w:val="0"/>
      <w:divBdr>
        <w:top w:val="none" w:sz="0" w:space="0" w:color="auto"/>
        <w:left w:val="none" w:sz="0" w:space="0" w:color="auto"/>
        <w:bottom w:val="none" w:sz="0" w:space="0" w:color="auto"/>
        <w:right w:val="none" w:sz="0" w:space="0" w:color="auto"/>
      </w:divBdr>
    </w:div>
    <w:div w:id="1624194193">
      <w:marLeft w:val="0"/>
      <w:marRight w:val="0"/>
      <w:marTop w:val="0"/>
      <w:marBottom w:val="0"/>
      <w:divBdr>
        <w:top w:val="none" w:sz="0" w:space="0" w:color="auto"/>
        <w:left w:val="none" w:sz="0" w:space="0" w:color="auto"/>
        <w:bottom w:val="none" w:sz="0" w:space="0" w:color="auto"/>
        <w:right w:val="none" w:sz="0" w:space="0" w:color="auto"/>
      </w:divBdr>
    </w:div>
    <w:div w:id="1624194194">
      <w:marLeft w:val="0"/>
      <w:marRight w:val="0"/>
      <w:marTop w:val="0"/>
      <w:marBottom w:val="0"/>
      <w:divBdr>
        <w:top w:val="none" w:sz="0" w:space="0" w:color="auto"/>
        <w:left w:val="none" w:sz="0" w:space="0" w:color="auto"/>
        <w:bottom w:val="none" w:sz="0" w:space="0" w:color="auto"/>
        <w:right w:val="none" w:sz="0" w:space="0" w:color="auto"/>
      </w:divBdr>
    </w:div>
    <w:div w:id="1624194195">
      <w:marLeft w:val="0"/>
      <w:marRight w:val="0"/>
      <w:marTop w:val="0"/>
      <w:marBottom w:val="0"/>
      <w:divBdr>
        <w:top w:val="none" w:sz="0" w:space="0" w:color="auto"/>
        <w:left w:val="none" w:sz="0" w:space="0" w:color="auto"/>
        <w:bottom w:val="none" w:sz="0" w:space="0" w:color="auto"/>
        <w:right w:val="none" w:sz="0" w:space="0" w:color="auto"/>
      </w:divBdr>
    </w:div>
    <w:div w:id="1624194196">
      <w:marLeft w:val="0"/>
      <w:marRight w:val="0"/>
      <w:marTop w:val="0"/>
      <w:marBottom w:val="0"/>
      <w:divBdr>
        <w:top w:val="none" w:sz="0" w:space="0" w:color="auto"/>
        <w:left w:val="none" w:sz="0" w:space="0" w:color="auto"/>
        <w:bottom w:val="none" w:sz="0" w:space="0" w:color="auto"/>
        <w:right w:val="none" w:sz="0" w:space="0" w:color="auto"/>
      </w:divBdr>
    </w:div>
    <w:div w:id="1624194197">
      <w:marLeft w:val="0"/>
      <w:marRight w:val="0"/>
      <w:marTop w:val="0"/>
      <w:marBottom w:val="0"/>
      <w:divBdr>
        <w:top w:val="none" w:sz="0" w:space="0" w:color="auto"/>
        <w:left w:val="none" w:sz="0" w:space="0" w:color="auto"/>
        <w:bottom w:val="none" w:sz="0" w:space="0" w:color="auto"/>
        <w:right w:val="none" w:sz="0" w:space="0" w:color="auto"/>
      </w:divBdr>
    </w:div>
    <w:div w:id="1624194198">
      <w:marLeft w:val="0"/>
      <w:marRight w:val="0"/>
      <w:marTop w:val="0"/>
      <w:marBottom w:val="0"/>
      <w:divBdr>
        <w:top w:val="none" w:sz="0" w:space="0" w:color="auto"/>
        <w:left w:val="none" w:sz="0" w:space="0" w:color="auto"/>
        <w:bottom w:val="none" w:sz="0" w:space="0" w:color="auto"/>
        <w:right w:val="none" w:sz="0" w:space="0" w:color="auto"/>
      </w:divBdr>
    </w:div>
    <w:div w:id="1624194199">
      <w:marLeft w:val="0"/>
      <w:marRight w:val="0"/>
      <w:marTop w:val="0"/>
      <w:marBottom w:val="0"/>
      <w:divBdr>
        <w:top w:val="none" w:sz="0" w:space="0" w:color="auto"/>
        <w:left w:val="none" w:sz="0" w:space="0" w:color="auto"/>
        <w:bottom w:val="none" w:sz="0" w:space="0" w:color="auto"/>
        <w:right w:val="none" w:sz="0" w:space="0" w:color="auto"/>
      </w:divBdr>
    </w:div>
    <w:div w:id="1624194200">
      <w:marLeft w:val="0"/>
      <w:marRight w:val="0"/>
      <w:marTop w:val="0"/>
      <w:marBottom w:val="0"/>
      <w:divBdr>
        <w:top w:val="none" w:sz="0" w:space="0" w:color="auto"/>
        <w:left w:val="none" w:sz="0" w:space="0" w:color="auto"/>
        <w:bottom w:val="none" w:sz="0" w:space="0" w:color="auto"/>
        <w:right w:val="none" w:sz="0" w:space="0" w:color="auto"/>
      </w:divBdr>
    </w:div>
    <w:div w:id="1624194201">
      <w:marLeft w:val="0"/>
      <w:marRight w:val="0"/>
      <w:marTop w:val="0"/>
      <w:marBottom w:val="0"/>
      <w:divBdr>
        <w:top w:val="none" w:sz="0" w:space="0" w:color="auto"/>
        <w:left w:val="none" w:sz="0" w:space="0" w:color="auto"/>
        <w:bottom w:val="none" w:sz="0" w:space="0" w:color="auto"/>
        <w:right w:val="none" w:sz="0" w:space="0" w:color="auto"/>
      </w:divBdr>
    </w:div>
    <w:div w:id="1624194202">
      <w:marLeft w:val="0"/>
      <w:marRight w:val="0"/>
      <w:marTop w:val="0"/>
      <w:marBottom w:val="0"/>
      <w:divBdr>
        <w:top w:val="none" w:sz="0" w:space="0" w:color="auto"/>
        <w:left w:val="none" w:sz="0" w:space="0" w:color="auto"/>
        <w:bottom w:val="none" w:sz="0" w:space="0" w:color="auto"/>
        <w:right w:val="none" w:sz="0" w:space="0" w:color="auto"/>
      </w:divBdr>
    </w:div>
    <w:div w:id="1624194203">
      <w:marLeft w:val="0"/>
      <w:marRight w:val="0"/>
      <w:marTop w:val="0"/>
      <w:marBottom w:val="0"/>
      <w:divBdr>
        <w:top w:val="none" w:sz="0" w:space="0" w:color="auto"/>
        <w:left w:val="none" w:sz="0" w:space="0" w:color="auto"/>
        <w:bottom w:val="none" w:sz="0" w:space="0" w:color="auto"/>
        <w:right w:val="none" w:sz="0" w:space="0" w:color="auto"/>
      </w:divBdr>
    </w:div>
    <w:div w:id="1624194204">
      <w:marLeft w:val="0"/>
      <w:marRight w:val="0"/>
      <w:marTop w:val="0"/>
      <w:marBottom w:val="0"/>
      <w:divBdr>
        <w:top w:val="none" w:sz="0" w:space="0" w:color="auto"/>
        <w:left w:val="none" w:sz="0" w:space="0" w:color="auto"/>
        <w:bottom w:val="none" w:sz="0" w:space="0" w:color="auto"/>
        <w:right w:val="none" w:sz="0" w:space="0" w:color="auto"/>
      </w:divBdr>
    </w:div>
    <w:div w:id="1624194205">
      <w:marLeft w:val="0"/>
      <w:marRight w:val="0"/>
      <w:marTop w:val="0"/>
      <w:marBottom w:val="0"/>
      <w:divBdr>
        <w:top w:val="none" w:sz="0" w:space="0" w:color="auto"/>
        <w:left w:val="none" w:sz="0" w:space="0" w:color="auto"/>
        <w:bottom w:val="none" w:sz="0" w:space="0" w:color="auto"/>
        <w:right w:val="none" w:sz="0" w:space="0" w:color="auto"/>
      </w:divBdr>
    </w:div>
    <w:div w:id="1624194206">
      <w:marLeft w:val="0"/>
      <w:marRight w:val="0"/>
      <w:marTop w:val="0"/>
      <w:marBottom w:val="0"/>
      <w:divBdr>
        <w:top w:val="none" w:sz="0" w:space="0" w:color="auto"/>
        <w:left w:val="none" w:sz="0" w:space="0" w:color="auto"/>
        <w:bottom w:val="none" w:sz="0" w:space="0" w:color="auto"/>
        <w:right w:val="none" w:sz="0" w:space="0" w:color="auto"/>
      </w:divBdr>
    </w:div>
    <w:div w:id="1624194207">
      <w:marLeft w:val="0"/>
      <w:marRight w:val="0"/>
      <w:marTop w:val="0"/>
      <w:marBottom w:val="0"/>
      <w:divBdr>
        <w:top w:val="none" w:sz="0" w:space="0" w:color="auto"/>
        <w:left w:val="none" w:sz="0" w:space="0" w:color="auto"/>
        <w:bottom w:val="none" w:sz="0" w:space="0" w:color="auto"/>
        <w:right w:val="none" w:sz="0" w:space="0" w:color="auto"/>
      </w:divBdr>
    </w:div>
    <w:div w:id="1624194208">
      <w:marLeft w:val="0"/>
      <w:marRight w:val="0"/>
      <w:marTop w:val="0"/>
      <w:marBottom w:val="0"/>
      <w:divBdr>
        <w:top w:val="none" w:sz="0" w:space="0" w:color="auto"/>
        <w:left w:val="none" w:sz="0" w:space="0" w:color="auto"/>
        <w:bottom w:val="none" w:sz="0" w:space="0" w:color="auto"/>
        <w:right w:val="none" w:sz="0" w:space="0" w:color="auto"/>
      </w:divBdr>
    </w:div>
    <w:div w:id="1624194209">
      <w:marLeft w:val="0"/>
      <w:marRight w:val="0"/>
      <w:marTop w:val="0"/>
      <w:marBottom w:val="0"/>
      <w:divBdr>
        <w:top w:val="none" w:sz="0" w:space="0" w:color="auto"/>
        <w:left w:val="none" w:sz="0" w:space="0" w:color="auto"/>
        <w:bottom w:val="none" w:sz="0" w:space="0" w:color="auto"/>
        <w:right w:val="none" w:sz="0" w:space="0" w:color="auto"/>
      </w:divBdr>
    </w:div>
    <w:div w:id="1624194210">
      <w:marLeft w:val="0"/>
      <w:marRight w:val="0"/>
      <w:marTop w:val="0"/>
      <w:marBottom w:val="0"/>
      <w:divBdr>
        <w:top w:val="none" w:sz="0" w:space="0" w:color="auto"/>
        <w:left w:val="none" w:sz="0" w:space="0" w:color="auto"/>
        <w:bottom w:val="none" w:sz="0" w:space="0" w:color="auto"/>
        <w:right w:val="none" w:sz="0" w:space="0" w:color="auto"/>
      </w:divBdr>
    </w:div>
    <w:div w:id="1624194211">
      <w:marLeft w:val="0"/>
      <w:marRight w:val="0"/>
      <w:marTop w:val="0"/>
      <w:marBottom w:val="0"/>
      <w:divBdr>
        <w:top w:val="none" w:sz="0" w:space="0" w:color="auto"/>
        <w:left w:val="none" w:sz="0" w:space="0" w:color="auto"/>
        <w:bottom w:val="none" w:sz="0" w:space="0" w:color="auto"/>
        <w:right w:val="none" w:sz="0" w:space="0" w:color="auto"/>
      </w:divBdr>
    </w:div>
    <w:div w:id="1624194212">
      <w:marLeft w:val="0"/>
      <w:marRight w:val="0"/>
      <w:marTop w:val="0"/>
      <w:marBottom w:val="0"/>
      <w:divBdr>
        <w:top w:val="none" w:sz="0" w:space="0" w:color="auto"/>
        <w:left w:val="none" w:sz="0" w:space="0" w:color="auto"/>
        <w:bottom w:val="none" w:sz="0" w:space="0" w:color="auto"/>
        <w:right w:val="none" w:sz="0" w:space="0" w:color="auto"/>
      </w:divBdr>
    </w:div>
    <w:div w:id="1624194213">
      <w:marLeft w:val="0"/>
      <w:marRight w:val="0"/>
      <w:marTop w:val="0"/>
      <w:marBottom w:val="0"/>
      <w:divBdr>
        <w:top w:val="none" w:sz="0" w:space="0" w:color="auto"/>
        <w:left w:val="none" w:sz="0" w:space="0" w:color="auto"/>
        <w:bottom w:val="none" w:sz="0" w:space="0" w:color="auto"/>
        <w:right w:val="none" w:sz="0" w:space="0" w:color="auto"/>
      </w:divBdr>
    </w:div>
    <w:div w:id="1624194214">
      <w:marLeft w:val="0"/>
      <w:marRight w:val="0"/>
      <w:marTop w:val="0"/>
      <w:marBottom w:val="0"/>
      <w:divBdr>
        <w:top w:val="none" w:sz="0" w:space="0" w:color="auto"/>
        <w:left w:val="none" w:sz="0" w:space="0" w:color="auto"/>
        <w:bottom w:val="none" w:sz="0" w:space="0" w:color="auto"/>
        <w:right w:val="none" w:sz="0" w:space="0" w:color="auto"/>
      </w:divBdr>
    </w:div>
    <w:div w:id="1624194215">
      <w:marLeft w:val="0"/>
      <w:marRight w:val="0"/>
      <w:marTop w:val="0"/>
      <w:marBottom w:val="0"/>
      <w:divBdr>
        <w:top w:val="none" w:sz="0" w:space="0" w:color="auto"/>
        <w:left w:val="none" w:sz="0" w:space="0" w:color="auto"/>
        <w:bottom w:val="none" w:sz="0" w:space="0" w:color="auto"/>
        <w:right w:val="none" w:sz="0" w:space="0" w:color="auto"/>
      </w:divBdr>
    </w:div>
    <w:div w:id="1624194216">
      <w:marLeft w:val="0"/>
      <w:marRight w:val="0"/>
      <w:marTop w:val="0"/>
      <w:marBottom w:val="0"/>
      <w:divBdr>
        <w:top w:val="none" w:sz="0" w:space="0" w:color="auto"/>
        <w:left w:val="none" w:sz="0" w:space="0" w:color="auto"/>
        <w:bottom w:val="none" w:sz="0" w:space="0" w:color="auto"/>
        <w:right w:val="none" w:sz="0" w:space="0" w:color="auto"/>
      </w:divBdr>
    </w:div>
    <w:div w:id="1624194217">
      <w:marLeft w:val="0"/>
      <w:marRight w:val="0"/>
      <w:marTop w:val="0"/>
      <w:marBottom w:val="0"/>
      <w:divBdr>
        <w:top w:val="none" w:sz="0" w:space="0" w:color="auto"/>
        <w:left w:val="none" w:sz="0" w:space="0" w:color="auto"/>
        <w:bottom w:val="none" w:sz="0" w:space="0" w:color="auto"/>
        <w:right w:val="none" w:sz="0" w:space="0" w:color="auto"/>
      </w:divBdr>
    </w:div>
    <w:div w:id="1624194218">
      <w:marLeft w:val="0"/>
      <w:marRight w:val="0"/>
      <w:marTop w:val="0"/>
      <w:marBottom w:val="0"/>
      <w:divBdr>
        <w:top w:val="none" w:sz="0" w:space="0" w:color="auto"/>
        <w:left w:val="none" w:sz="0" w:space="0" w:color="auto"/>
        <w:bottom w:val="none" w:sz="0" w:space="0" w:color="auto"/>
        <w:right w:val="none" w:sz="0" w:space="0" w:color="auto"/>
      </w:divBdr>
    </w:div>
    <w:div w:id="1624194219">
      <w:marLeft w:val="0"/>
      <w:marRight w:val="0"/>
      <w:marTop w:val="0"/>
      <w:marBottom w:val="0"/>
      <w:divBdr>
        <w:top w:val="none" w:sz="0" w:space="0" w:color="auto"/>
        <w:left w:val="none" w:sz="0" w:space="0" w:color="auto"/>
        <w:bottom w:val="none" w:sz="0" w:space="0" w:color="auto"/>
        <w:right w:val="none" w:sz="0" w:space="0" w:color="auto"/>
      </w:divBdr>
    </w:div>
    <w:div w:id="1624194220">
      <w:marLeft w:val="0"/>
      <w:marRight w:val="0"/>
      <w:marTop w:val="0"/>
      <w:marBottom w:val="0"/>
      <w:divBdr>
        <w:top w:val="none" w:sz="0" w:space="0" w:color="auto"/>
        <w:left w:val="none" w:sz="0" w:space="0" w:color="auto"/>
        <w:bottom w:val="none" w:sz="0" w:space="0" w:color="auto"/>
        <w:right w:val="none" w:sz="0" w:space="0" w:color="auto"/>
      </w:divBdr>
    </w:div>
    <w:div w:id="1624194221">
      <w:marLeft w:val="0"/>
      <w:marRight w:val="0"/>
      <w:marTop w:val="0"/>
      <w:marBottom w:val="0"/>
      <w:divBdr>
        <w:top w:val="none" w:sz="0" w:space="0" w:color="auto"/>
        <w:left w:val="none" w:sz="0" w:space="0" w:color="auto"/>
        <w:bottom w:val="none" w:sz="0" w:space="0" w:color="auto"/>
        <w:right w:val="none" w:sz="0" w:space="0" w:color="auto"/>
      </w:divBdr>
    </w:div>
    <w:div w:id="1624194222">
      <w:marLeft w:val="0"/>
      <w:marRight w:val="0"/>
      <w:marTop w:val="0"/>
      <w:marBottom w:val="0"/>
      <w:divBdr>
        <w:top w:val="none" w:sz="0" w:space="0" w:color="auto"/>
        <w:left w:val="none" w:sz="0" w:space="0" w:color="auto"/>
        <w:bottom w:val="none" w:sz="0" w:space="0" w:color="auto"/>
        <w:right w:val="none" w:sz="0" w:space="0" w:color="auto"/>
      </w:divBdr>
    </w:div>
    <w:div w:id="1624194223">
      <w:marLeft w:val="0"/>
      <w:marRight w:val="0"/>
      <w:marTop w:val="0"/>
      <w:marBottom w:val="0"/>
      <w:divBdr>
        <w:top w:val="none" w:sz="0" w:space="0" w:color="auto"/>
        <w:left w:val="none" w:sz="0" w:space="0" w:color="auto"/>
        <w:bottom w:val="none" w:sz="0" w:space="0" w:color="auto"/>
        <w:right w:val="none" w:sz="0" w:space="0" w:color="auto"/>
      </w:divBdr>
    </w:div>
    <w:div w:id="1624194224">
      <w:marLeft w:val="0"/>
      <w:marRight w:val="0"/>
      <w:marTop w:val="0"/>
      <w:marBottom w:val="0"/>
      <w:divBdr>
        <w:top w:val="none" w:sz="0" w:space="0" w:color="auto"/>
        <w:left w:val="none" w:sz="0" w:space="0" w:color="auto"/>
        <w:bottom w:val="none" w:sz="0" w:space="0" w:color="auto"/>
        <w:right w:val="none" w:sz="0" w:space="0" w:color="auto"/>
      </w:divBdr>
    </w:div>
    <w:div w:id="1624194225">
      <w:marLeft w:val="0"/>
      <w:marRight w:val="0"/>
      <w:marTop w:val="0"/>
      <w:marBottom w:val="0"/>
      <w:divBdr>
        <w:top w:val="none" w:sz="0" w:space="0" w:color="auto"/>
        <w:left w:val="none" w:sz="0" w:space="0" w:color="auto"/>
        <w:bottom w:val="none" w:sz="0" w:space="0" w:color="auto"/>
        <w:right w:val="none" w:sz="0" w:space="0" w:color="auto"/>
      </w:divBdr>
    </w:div>
    <w:div w:id="1624194226">
      <w:marLeft w:val="0"/>
      <w:marRight w:val="0"/>
      <w:marTop w:val="0"/>
      <w:marBottom w:val="0"/>
      <w:divBdr>
        <w:top w:val="none" w:sz="0" w:space="0" w:color="auto"/>
        <w:left w:val="none" w:sz="0" w:space="0" w:color="auto"/>
        <w:bottom w:val="none" w:sz="0" w:space="0" w:color="auto"/>
        <w:right w:val="none" w:sz="0" w:space="0" w:color="auto"/>
      </w:divBdr>
    </w:div>
    <w:div w:id="1624194227">
      <w:marLeft w:val="0"/>
      <w:marRight w:val="0"/>
      <w:marTop w:val="0"/>
      <w:marBottom w:val="0"/>
      <w:divBdr>
        <w:top w:val="none" w:sz="0" w:space="0" w:color="auto"/>
        <w:left w:val="none" w:sz="0" w:space="0" w:color="auto"/>
        <w:bottom w:val="none" w:sz="0" w:space="0" w:color="auto"/>
        <w:right w:val="none" w:sz="0" w:space="0" w:color="auto"/>
      </w:divBdr>
    </w:div>
    <w:div w:id="1624194228">
      <w:marLeft w:val="0"/>
      <w:marRight w:val="0"/>
      <w:marTop w:val="0"/>
      <w:marBottom w:val="0"/>
      <w:divBdr>
        <w:top w:val="none" w:sz="0" w:space="0" w:color="auto"/>
        <w:left w:val="none" w:sz="0" w:space="0" w:color="auto"/>
        <w:bottom w:val="none" w:sz="0" w:space="0" w:color="auto"/>
        <w:right w:val="none" w:sz="0" w:space="0" w:color="auto"/>
      </w:divBdr>
    </w:div>
    <w:div w:id="1624194229">
      <w:marLeft w:val="0"/>
      <w:marRight w:val="0"/>
      <w:marTop w:val="0"/>
      <w:marBottom w:val="0"/>
      <w:divBdr>
        <w:top w:val="none" w:sz="0" w:space="0" w:color="auto"/>
        <w:left w:val="none" w:sz="0" w:space="0" w:color="auto"/>
        <w:bottom w:val="none" w:sz="0" w:space="0" w:color="auto"/>
        <w:right w:val="none" w:sz="0" w:space="0" w:color="auto"/>
      </w:divBdr>
    </w:div>
    <w:div w:id="1624194230">
      <w:marLeft w:val="0"/>
      <w:marRight w:val="0"/>
      <w:marTop w:val="0"/>
      <w:marBottom w:val="0"/>
      <w:divBdr>
        <w:top w:val="none" w:sz="0" w:space="0" w:color="auto"/>
        <w:left w:val="none" w:sz="0" w:space="0" w:color="auto"/>
        <w:bottom w:val="none" w:sz="0" w:space="0" w:color="auto"/>
        <w:right w:val="none" w:sz="0" w:space="0" w:color="auto"/>
      </w:divBdr>
    </w:div>
    <w:div w:id="1624194231">
      <w:marLeft w:val="0"/>
      <w:marRight w:val="0"/>
      <w:marTop w:val="0"/>
      <w:marBottom w:val="0"/>
      <w:divBdr>
        <w:top w:val="none" w:sz="0" w:space="0" w:color="auto"/>
        <w:left w:val="none" w:sz="0" w:space="0" w:color="auto"/>
        <w:bottom w:val="none" w:sz="0" w:space="0" w:color="auto"/>
        <w:right w:val="none" w:sz="0" w:space="0" w:color="auto"/>
      </w:divBdr>
    </w:div>
    <w:div w:id="1624194232">
      <w:marLeft w:val="0"/>
      <w:marRight w:val="0"/>
      <w:marTop w:val="0"/>
      <w:marBottom w:val="0"/>
      <w:divBdr>
        <w:top w:val="none" w:sz="0" w:space="0" w:color="auto"/>
        <w:left w:val="none" w:sz="0" w:space="0" w:color="auto"/>
        <w:bottom w:val="none" w:sz="0" w:space="0" w:color="auto"/>
        <w:right w:val="none" w:sz="0" w:space="0" w:color="auto"/>
      </w:divBdr>
    </w:div>
    <w:div w:id="1624194233">
      <w:marLeft w:val="0"/>
      <w:marRight w:val="0"/>
      <w:marTop w:val="0"/>
      <w:marBottom w:val="0"/>
      <w:divBdr>
        <w:top w:val="none" w:sz="0" w:space="0" w:color="auto"/>
        <w:left w:val="none" w:sz="0" w:space="0" w:color="auto"/>
        <w:bottom w:val="none" w:sz="0" w:space="0" w:color="auto"/>
        <w:right w:val="none" w:sz="0" w:space="0" w:color="auto"/>
      </w:divBdr>
    </w:div>
    <w:div w:id="1624194234">
      <w:marLeft w:val="0"/>
      <w:marRight w:val="0"/>
      <w:marTop w:val="0"/>
      <w:marBottom w:val="0"/>
      <w:divBdr>
        <w:top w:val="none" w:sz="0" w:space="0" w:color="auto"/>
        <w:left w:val="none" w:sz="0" w:space="0" w:color="auto"/>
        <w:bottom w:val="none" w:sz="0" w:space="0" w:color="auto"/>
        <w:right w:val="none" w:sz="0" w:space="0" w:color="auto"/>
      </w:divBdr>
    </w:div>
    <w:div w:id="1624194235">
      <w:marLeft w:val="0"/>
      <w:marRight w:val="0"/>
      <w:marTop w:val="0"/>
      <w:marBottom w:val="0"/>
      <w:divBdr>
        <w:top w:val="none" w:sz="0" w:space="0" w:color="auto"/>
        <w:left w:val="none" w:sz="0" w:space="0" w:color="auto"/>
        <w:bottom w:val="none" w:sz="0" w:space="0" w:color="auto"/>
        <w:right w:val="none" w:sz="0" w:space="0" w:color="auto"/>
      </w:divBdr>
    </w:div>
    <w:div w:id="1624194236">
      <w:marLeft w:val="0"/>
      <w:marRight w:val="0"/>
      <w:marTop w:val="0"/>
      <w:marBottom w:val="0"/>
      <w:divBdr>
        <w:top w:val="none" w:sz="0" w:space="0" w:color="auto"/>
        <w:left w:val="none" w:sz="0" w:space="0" w:color="auto"/>
        <w:bottom w:val="none" w:sz="0" w:space="0" w:color="auto"/>
        <w:right w:val="none" w:sz="0" w:space="0" w:color="auto"/>
      </w:divBdr>
    </w:div>
    <w:div w:id="1624194237">
      <w:marLeft w:val="0"/>
      <w:marRight w:val="0"/>
      <w:marTop w:val="0"/>
      <w:marBottom w:val="0"/>
      <w:divBdr>
        <w:top w:val="none" w:sz="0" w:space="0" w:color="auto"/>
        <w:left w:val="none" w:sz="0" w:space="0" w:color="auto"/>
        <w:bottom w:val="none" w:sz="0" w:space="0" w:color="auto"/>
        <w:right w:val="none" w:sz="0" w:space="0" w:color="auto"/>
      </w:divBdr>
    </w:div>
    <w:div w:id="1624194238">
      <w:marLeft w:val="0"/>
      <w:marRight w:val="0"/>
      <w:marTop w:val="0"/>
      <w:marBottom w:val="0"/>
      <w:divBdr>
        <w:top w:val="none" w:sz="0" w:space="0" w:color="auto"/>
        <w:left w:val="none" w:sz="0" w:space="0" w:color="auto"/>
        <w:bottom w:val="none" w:sz="0" w:space="0" w:color="auto"/>
        <w:right w:val="none" w:sz="0" w:space="0" w:color="auto"/>
      </w:divBdr>
    </w:div>
    <w:div w:id="1624194239">
      <w:marLeft w:val="0"/>
      <w:marRight w:val="0"/>
      <w:marTop w:val="0"/>
      <w:marBottom w:val="0"/>
      <w:divBdr>
        <w:top w:val="none" w:sz="0" w:space="0" w:color="auto"/>
        <w:left w:val="none" w:sz="0" w:space="0" w:color="auto"/>
        <w:bottom w:val="none" w:sz="0" w:space="0" w:color="auto"/>
        <w:right w:val="none" w:sz="0" w:space="0" w:color="auto"/>
      </w:divBdr>
    </w:div>
    <w:div w:id="1624194240">
      <w:marLeft w:val="0"/>
      <w:marRight w:val="0"/>
      <w:marTop w:val="0"/>
      <w:marBottom w:val="0"/>
      <w:divBdr>
        <w:top w:val="none" w:sz="0" w:space="0" w:color="auto"/>
        <w:left w:val="none" w:sz="0" w:space="0" w:color="auto"/>
        <w:bottom w:val="none" w:sz="0" w:space="0" w:color="auto"/>
        <w:right w:val="none" w:sz="0" w:space="0" w:color="auto"/>
      </w:divBdr>
    </w:div>
    <w:div w:id="1624194241">
      <w:marLeft w:val="0"/>
      <w:marRight w:val="0"/>
      <w:marTop w:val="0"/>
      <w:marBottom w:val="0"/>
      <w:divBdr>
        <w:top w:val="none" w:sz="0" w:space="0" w:color="auto"/>
        <w:left w:val="none" w:sz="0" w:space="0" w:color="auto"/>
        <w:bottom w:val="none" w:sz="0" w:space="0" w:color="auto"/>
        <w:right w:val="none" w:sz="0" w:space="0" w:color="auto"/>
      </w:divBdr>
    </w:div>
    <w:div w:id="1624194242">
      <w:marLeft w:val="0"/>
      <w:marRight w:val="0"/>
      <w:marTop w:val="0"/>
      <w:marBottom w:val="0"/>
      <w:divBdr>
        <w:top w:val="none" w:sz="0" w:space="0" w:color="auto"/>
        <w:left w:val="none" w:sz="0" w:space="0" w:color="auto"/>
        <w:bottom w:val="none" w:sz="0" w:space="0" w:color="auto"/>
        <w:right w:val="none" w:sz="0" w:space="0" w:color="auto"/>
      </w:divBdr>
    </w:div>
    <w:div w:id="1624194243">
      <w:marLeft w:val="0"/>
      <w:marRight w:val="0"/>
      <w:marTop w:val="0"/>
      <w:marBottom w:val="0"/>
      <w:divBdr>
        <w:top w:val="none" w:sz="0" w:space="0" w:color="auto"/>
        <w:left w:val="none" w:sz="0" w:space="0" w:color="auto"/>
        <w:bottom w:val="none" w:sz="0" w:space="0" w:color="auto"/>
        <w:right w:val="none" w:sz="0" w:space="0" w:color="auto"/>
      </w:divBdr>
    </w:div>
    <w:div w:id="1624194244">
      <w:marLeft w:val="0"/>
      <w:marRight w:val="0"/>
      <w:marTop w:val="0"/>
      <w:marBottom w:val="0"/>
      <w:divBdr>
        <w:top w:val="none" w:sz="0" w:space="0" w:color="auto"/>
        <w:left w:val="none" w:sz="0" w:space="0" w:color="auto"/>
        <w:bottom w:val="none" w:sz="0" w:space="0" w:color="auto"/>
        <w:right w:val="none" w:sz="0" w:space="0" w:color="auto"/>
      </w:divBdr>
    </w:div>
    <w:div w:id="1624194245">
      <w:marLeft w:val="0"/>
      <w:marRight w:val="0"/>
      <w:marTop w:val="0"/>
      <w:marBottom w:val="0"/>
      <w:divBdr>
        <w:top w:val="none" w:sz="0" w:space="0" w:color="auto"/>
        <w:left w:val="none" w:sz="0" w:space="0" w:color="auto"/>
        <w:bottom w:val="none" w:sz="0" w:space="0" w:color="auto"/>
        <w:right w:val="none" w:sz="0" w:space="0" w:color="auto"/>
      </w:divBdr>
    </w:div>
    <w:div w:id="1624194246">
      <w:marLeft w:val="0"/>
      <w:marRight w:val="0"/>
      <w:marTop w:val="0"/>
      <w:marBottom w:val="0"/>
      <w:divBdr>
        <w:top w:val="none" w:sz="0" w:space="0" w:color="auto"/>
        <w:left w:val="none" w:sz="0" w:space="0" w:color="auto"/>
        <w:bottom w:val="none" w:sz="0" w:space="0" w:color="auto"/>
        <w:right w:val="none" w:sz="0" w:space="0" w:color="auto"/>
      </w:divBdr>
    </w:div>
    <w:div w:id="1624194247">
      <w:marLeft w:val="0"/>
      <w:marRight w:val="0"/>
      <w:marTop w:val="0"/>
      <w:marBottom w:val="0"/>
      <w:divBdr>
        <w:top w:val="none" w:sz="0" w:space="0" w:color="auto"/>
        <w:left w:val="none" w:sz="0" w:space="0" w:color="auto"/>
        <w:bottom w:val="none" w:sz="0" w:space="0" w:color="auto"/>
        <w:right w:val="none" w:sz="0" w:space="0" w:color="auto"/>
      </w:divBdr>
    </w:div>
    <w:div w:id="1624194248">
      <w:marLeft w:val="0"/>
      <w:marRight w:val="0"/>
      <w:marTop w:val="0"/>
      <w:marBottom w:val="0"/>
      <w:divBdr>
        <w:top w:val="none" w:sz="0" w:space="0" w:color="auto"/>
        <w:left w:val="none" w:sz="0" w:space="0" w:color="auto"/>
        <w:bottom w:val="none" w:sz="0" w:space="0" w:color="auto"/>
        <w:right w:val="none" w:sz="0" w:space="0" w:color="auto"/>
      </w:divBdr>
    </w:div>
    <w:div w:id="1624194249">
      <w:marLeft w:val="0"/>
      <w:marRight w:val="0"/>
      <w:marTop w:val="0"/>
      <w:marBottom w:val="0"/>
      <w:divBdr>
        <w:top w:val="none" w:sz="0" w:space="0" w:color="auto"/>
        <w:left w:val="none" w:sz="0" w:space="0" w:color="auto"/>
        <w:bottom w:val="none" w:sz="0" w:space="0" w:color="auto"/>
        <w:right w:val="none" w:sz="0" w:space="0" w:color="auto"/>
      </w:divBdr>
    </w:div>
    <w:div w:id="1624194250">
      <w:marLeft w:val="0"/>
      <w:marRight w:val="0"/>
      <w:marTop w:val="0"/>
      <w:marBottom w:val="0"/>
      <w:divBdr>
        <w:top w:val="none" w:sz="0" w:space="0" w:color="auto"/>
        <w:left w:val="none" w:sz="0" w:space="0" w:color="auto"/>
        <w:bottom w:val="none" w:sz="0" w:space="0" w:color="auto"/>
        <w:right w:val="none" w:sz="0" w:space="0" w:color="auto"/>
      </w:divBdr>
    </w:div>
    <w:div w:id="1624194251">
      <w:marLeft w:val="0"/>
      <w:marRight w:val="0"/>
      <w:marTop w:val="0"/>
      <w:marBottom w:val="0"/>
      <w:divBdr>
        <w:top w:val="none" w:sz="0" w:space="0" w:color="auto"/>
        <w:left w:val="none" w:sz="0" w:space="0" w:color="auto"/>
        <w:bottom w:val="none" w:sz="0" w:space="0" w:color="auto"/>
        <w:right w:val="none" w:sz="0" w:space="0" w:color="auto"/>
      </w:divBdr>
    </w:div>
    <w:div w:id="1624194252">
      <w:marLeft w:val="0"/>
      <w:marRight w:val="0"/>
      <w:marTop w:val="0"/>
      <w:marBottom w:val="0"/>
      <w:divBdr>
        <w:top w:val="none" w:sz="0" w:space="0" w:color="auto"/>
        <w:left w:val="none" w:sz="0" w:space="0" w:color="auto"/>
        <w:bottom w:val="none" w:sz="0" w:space="0" w:color="auto"/>
        <w:right w:val="none" w:sz="0" w:space="0" w:color="auto"/>
      </w:divBdr>
    </w:div>
    <w:div w:id="1624194253">
      <w:marLeft w:val="0"/>
      <w:marRight w:val="0"/>
      <w:marTop w:val="0"/>
      <w:marBottom w:val="0"/>
      <w:divBdr>
        <w:top w:val="none" w:sz="0" w:space="0" w:color="auto"/>
        <w:left w:val="none" w:sz="0" w:space="0" w:color="auto"/>
        <w:bottom w:val="none" w:sz="0" w:space="0" w:color="auto"/>
        <w:right w:val="none" w:sz="0" w:space="0" w:color="auto"/>
      </w:divBdr>
    </w:div>
    <w:div w:id="1624194254">
      <w:marLeft w:val="0"/>
      <w:marRight w:val="0"/>
      <w:marTop w:val="0"/>
      <w:marBottom w:val="0"/>
      <w:divBdr>
        <w:top w:val="none" w:sz="0" w:space="0" w:color="auto"/>
        <w:left w:val="none" w:sz="0" w:space="0" w:color="auto"/>
        <w:bottom w:val="none" w:sz="0" w:space="0" w:color="auto"/>
        <w:right w:val="none" w:sz="0" w:space="0" w:color="auto"/>
      </w:divBdr>
    </w:div>
    <w:div w:id="1624194255">
      <w:marLeft w:val="0"/>
      <w:marRight w:val="0"/>
      <w:marTop w:val="0"/>
      <w:marBottom w:val="0"/>
      <w:divBdr>
        <w:top w:val="none" w:sz="0" w:space="0" w:color="auto"/>
        <w:left w:val="none" w:sz="0" w:space="0" w:color="auto"/>
        <w:bottom w:val="none" w:sz="0" w:space="0" w:color="auto"/>
        <w:right w:val="none" w:sz="0" w:space="0" w:color="auto"/>
      </w:divBdr>
    </w:div>
    <w:div w:id="1624194256">
      <w:marLeft w:val="0"/>
      <w:marRight w:val="0"/>
      <w:marTop w:val="0"/>
      <w:marBottom w:val="0"/>
      <w:divBdr>
        <w:top w:val="none" w:sz="0" w:space="0" w:color="auto"/>
        <w:left w:val="none" w:sz="0" w:space="0" w:color="auto"/>
        <w:bottom w:val="none" w:sz="0" w:space="0" w:color="auto"/>
        <w:right w:val="none" w:sz="0" w:space="0" w:color="auto"/>
      </w:divBdr>
    </w:div>
    <w:div w:id="1624194257">
      <w:marLeft w:val="0"/>
      <w:marRight w:val="0"/>
      <w:marTop w:val="0"/>
      <w:marBottom w:val="0"/>
      <w:divBdr>
        <w:top w:val="none" w:sz="0" w:space="0" w:color="auto"/>
        <w:left w:val="none" w:sz="0" w:space="0" w:color="auto"/>
        <w:bottom w:val="none" w:sz="0" w:space="0" w:color="auto"/>
        <w:right w:val="none" w:sz="0" w:space="0" w:color="auto"/>
      </w:divBdr>
    </w:div>
    <w:div w:id="1624194258">
      <w:marLeft w:val="0"/>
      <w:marRight w:val="0"/>
      <w:marTop w:val="0"/>
      <w:marBottom w:val="0"/>
      <w:divBdr>
        <w:top w:val="none" w:sz="0" w:space="0" w:color="auto"/>
        <w:left w:val="none" w:sz="0" w:space="0" w:color="auto"/>
        <w:bottom w:val="none" w:sz="0" w:space="0" w:color="auto"/>
        <w:right w:val="none" w:sz="0" w:space="0" w:color="auto"/>
      </w:divBdr>
    </w:div>
    <w:div w:id="1624194259">
      <w:marLeft w:val="0"/>
      <w:marRight w:val="0"/>
      <w:marTop w:val="0"/>
      <w:marBottom w:val="0"/>
      <w:divBdr>
        <w:top w:val="none" w:sz="0" w:space="0" w:color="auto"/>
        <w:left w:val="none" w:sz="0" w:space="0" w:color="auto"/>
        <w:bottom w:val="none" w:sz="0" w:space="0" w:color="auto"/>
        <w:right w:val="none" w:sz="0" w:space="0" w:color="auto"/>
      </w:divBdr>
    </w:div>
    <w:div w:id="1624194260">
      <w:marLeft w:val="0"/>
      <w:marRight w:val="0"/>
      <w:marTop w:val="0"/>
      <w:marBottom w:val="0"/>
      <w:divBdr>
        <w:top w:val="none" w:sz="0" w:space="0" w:color="auto"/>
        <w:left w:val="none" w:sz="0" w:space="0" w:color="auto"/>
        <w:bottom w:val="none" w:sz="0" w:space="0" w:color="auto"/>
        <w:right w:val="none" w:sz="0" w:space="0" w:color="auto"/>
      </w:divBdr>
    </w:div>
    <w:div w:id="1624194261">
      <w:marLeft w:val="0"/>
      <w:marRight w:val="0"/>
      <w:marTop w:val="0"/>
      <w:marBottom w:val="0"/>
      <w:divBdr>
        <w:top w:val="none" w:sz="0" w:space="0" w:color="auto"/>
        <w:left w:val="none" w:sz="0" w:space="0" w:color="auto"/>
        <w:bottom w:val="none" w:sz="0" w:space="0" w:color="auto"/>
        <w:right w:val="none" w:sz="0" w:space="0" w:color="auto"/>
      </w:divBdr>
    </w:div>
    <w:div w:id="1624194262">
      <w:marLeft w:val="0"/>
      <w:marRight w:val="0"/>
      <w:marTop w:val="0"/>
      <w:marBottom w:val="0"/>
      <w:divBdr>
        <w:top w:val="none" w:sz="0" w:space="0" w:color="auto"/>
        <w:left w:val="none" w:sz="0" w:space="0" w:color="auto"/>
        <w:bottom w:val="none" w:sz="0" w:space="0" w:color="auto"/>
        <w:right w:val="none" w:sz="0" w:space="0" w:color="auto"/>
      </w:divBdr>
    </w:div>
    <w:div w:id="1624194263">
      <w:marLeft w:val="0"/>
      <w:marRight w:val="0"/>
      <w:marTop w:val="0"/>
      <w:marBottom w:val="0"/>
      <w:divBdr>
        <w:top w:val="none" w:sz="0" w:space="0" w:color="auto"/>
        <w:left w:val="none" w:sz="0" w:space="0" w:color="auto"/>
        <w:bottom w:val="none" w:sz="0" w:space="0" w:color="auto"/>
        <w:right w:val="none" w:sz="0" w:space="0" w:color="auto"/>
      </w:divBdr>
    </w:div>
    <w:div w:id="1624194264">
      <w:marLeft w:val="0"/>
      <w:marRight w:val="0"/>
      <w:marTop w:val="0"/>
      <w:marBottom w:val="0"/>
      <w:divBdr>
        <w:top w:val="none" w:sz="0" w:space="0" w:color="auto"/>
        <w:left w:val="none" w:sz="0" w:space="0" w:color="auto"/>
        <w:bottom w:val="none" w:sz="0" w:space="0" w:color="auto"/>
        <w:right w:val="none" w:sz="0" w:space="0" w:color="auto"/>
      </w:divBdr>
    </w:div>
    <w:div w:id="1624194265">
      <w:marLeft w:val="0"/>
      <w:marRight w:val="0"/>
      <w:marTop w:val="0"/>
      <w:marBottom w:val="0"/>
      <w:divBdr>
        <w:top w:val="none" w:sz="0" w:space="0" w:color="auto"/>
        <w:left w:val="none" w:sz="0" w:space="0" w:color="auto"/>
        <w:bottom w:val="none" w:sz="0" w:space="0" w:color="auto"/>
        <w:right w:val="none" w:sz="0" w:space="0" w:color="auto"/>
      </w:divBdr>
    </w:div>
    <w:div w:id="1624194266">
      <w:marLeft w:val="0"/>
      <w:marRight w:val="0"/>
      <w:marTop w:val="0"/>
      <w:marBottom w:val="0"/>
      <w:divBdr>
        <w:top w:val="none" w:sz="0" w:space="0" w:color="auto"/>
        <w:left w:val="none" w:sz="0" w:space="0" w:color="auto"/>
        <w:bottom w:val="none" w:sz="0" w:space="0" w:color="auto"/>
        <w:right w:val="none" w:sz="0" w:space="0" w:color="auto"/>
      </w:divBdr>
    </w:div>
    <w:div w:id="1624194267">
      <w:marLeft w:val="0"/>
      <w:marRight w:val="0"/>
      <w:marTop w:val="0"/>
      <w:marBottom w:val="0"/>
      <w:divBdr>
        <w:top w:val="none" w:sz="0" w:space="0" w:color="auto"/>
        <w:left w:val="none" w:sz="0" w:space="0" w:color="auto"/>
        <w:bottom w:val="none" w:sz="0" w:space="0" w:color="auto"/>
        <w:right w:val="none" w:sz="0" w:space="0" w:color="auto"/>
      </w:divBdr>
    </w:div>
    <w:div w:id="1624194268">
      <w:marLeft w:val="0"/>
      <w:marRight w:val="0"/>
      <w:marTop w:val="0"/>
      <w:marBottom w:val="0"/>
      <w:divBdr>
        <w:top w:val="none" w:sz="0" w:space="0" w:color="auto"/>
        <w:left w:val="none" w:sz="0" w:space="0" w:color="auto"/>
        <w:bottom w:val="none" w:sz="0" w:space="0" w:color="auto"/>
        <w:right w:val="none" w:sz="0" w:space="0" w:color="auto"/>
      </w:divBdr>
    </w:div>
    <w:div w:id="1624194269">
      <w:marLeft w:val="0"/>
      <w:marRight w:val="0"/>
      <w:marTop w:val="0"/>
      <w:marBottom w:val="0"/>
      <w:divBdr>
        <w:top w:val="none" w:sz="0" w:space="0" w:color="auto"/>
        <w:left w:val="none" w:sz="0" w:space="0" w:color="auto"/>
        <w:bottom w:val="none" w:sz="0" w:space="0" w:color="auto"/>
        <w:right w:val="none" w:sz="0" w:space="0" w:color="auto"/>
      </w:divBdr>
    </w:div>
    <w:div w:id="1624194270">
      <w:marLeft w:val="0"/>
      <w:marRight w:val="0"/>
      <w:marTop w:val="0"/>
      <w:marBottom w:val="0"/>
      <w:divBdr>
        <w:top w:val="none" w:sz="0" w:space="0" w:color="auto"/>
        <w:left w:val="none" w:sz="0" w:space="0" w:color="auto"/>
        <w:bottom w:val="none" w:sz="0" w:space="0" w:color="auto"/>
        <w:right w:val="none" w:sz="0" w:space="0" w:color="auto"/>
      </w:divBdr>
    </w:div>
    <w:div w:id="1624194271">
      <w:marLeft w:val="0"/>
      <w:marRight w:val="0"/>
      <w:marTop w:val="0"/>
      <w:marBottom w:val="0"/>
      <w:divBdr>
        <w:top w:val="none" w:sz="0" w:space="0" w:color="auto"/>
        <w:left w:val="none" w:sz="0" w:space="0" w:color="auto"/>
        <w:bottom w:val="none" w:sz="0" w:space="0" w:color="auto"/>
        <w:right w:val="none" w:sz="0" w:space="0" w:color="auto"/>
      </w:divBdr>
    </w:div>
    <w:div w:id="1624194272">
      <w:marLeft w:val="0"/>
      <w:marRight w:val="0"/>
      <w:marTop w:val="0"/>
      <w:marBottom w:val="0"/>
      <w:divBdr>
        <w:top w:val="none" w:sz="0" w:space="0" w:color="auto"/>
        <w:left w:val="none" w:sz="0" w:space="0" w:color="auto"/>
        <w:bottom w:val="none" w:sz="0" w:space="0" w:color="auto"/>
        <w:right w:val="none" w:sz="0" w:space="0" w:color="auto"/>
      </w:divBdr>
    </w:div>
    <w:div w:id="1624194273">
      <w:marLeft w:val="0"/>
      <w:marRight w:val="0"/>
      <w:marTop w:val="0"/>
      <w:marBottom w:val="0"/>
      <w:divBdr>
        <w:top w:val="none" w:sz="0" w:space="0" w:color="auto"/>
        <w:left w:val="none" w:sz="0" w:space="0" w:color="auto"/>
        <w:bottom w:val="none" w:sz="0" w:space="0" w:color="auto"/>
        <w:right w:val="none" w:sz="0" w:space="0" w:color="auto"/>
      </w:divBdr>
    </w:div>
    <w:div w:id="1624194274">
      <w:marLeft w:val="0"/>
      <w:marRight w:val="0"/>
      <w:marTop w:val="0"/>
      <w:marBottom w:val="0"/>
      <w:divBdr>
        <w:top w:val="none" w:sz="0" w:space="0" w:color="auto"/>
        <w:left w:val="none" w:sz="0" w:space="0" w:color="auto"/>
        <w:bottom w:val="none" w:sz="0" w:space="0" w:color="auto"/>
        <w:right w:val="none" w:sz="0" w:space="0" w:color="auto"/>
      </w:divBdr>
    </w:div>
    <w:div w:id="1624194275">
      <w:marLeft w:val="0"/>
      <w:marRight w:val="0"/>
      <w:marTop w:val="0"/>
      <w:marBottom w:val="0"/>
      <w:divBdr>
        <w:top w:val="none" w:sz="0" w:space="0" w:color="auto"/>
        <w:left w:val="none" w:sz="0" w:space="0" w:color="auto"/>
        <w:bottom w:val="none" w:sz="0" w:space="0" w:color="auto"/>
        <w:right w:val="none" w:sz="0" w:space="0" w:color="auto"/>
      </w:divBdr>
    </w:div>
    <w:div w:id="1624194276">
      <w:marLeft w:val="0"/>
      <w:marRight w:val="0"/>
      <w:marTop w:val="0"/>
      <w:marBottom w:val="0"/>
      <w:divBdr>
        <w:top w:val="none" w:sz="0" w:space="0" w:color="auto"/>
        <w:left w:val="none" w:sz="0" w:space="0" w:color="auto"/>
        <w:bottom w:val="none" w:sz="0" w:space="0" w:color="auto"/>
        <w:right w:val="none" w:sz="0" w:space="0" w:color="auto"/>
      </w:divBdr>
    </w:div>
    <w:div w:id="1624194277">
      <w:marLeft w:val="0"/>
      <w:marRight w:val="0"/>
      <w:marTop w:val="0"/>
      <w:marBottom w:val="0"/>
      <w:divBdr>
        <w:top w:val="none" w:sz="0" w:space="0" w:color="auto"/>
        <w:left w:val="none" w:sz="0" w:space="0" w:color="auto"/>
        <w:bottom w:val="none" w:sz="0" w:space="0" w:color="auto"/>
        <w:right w:val="none" w:sz="0" w:space="0" w:color="auto"/>
      </w:divBdr>
    </w:div>
    <w:div w:id="1624194278">
      <w:marLeft w:val="0"/>
      <w:marRight w:val="0"/>
      <w:marTop w:val="0"/>
      <w:marBottom w:val="0"/>
      <w:divBdr>
        <w:top w:val="none" w:sz="0" w:space="0" w:color="auto"/>
        <w:left w:val="none" w:sz="0" w:space="0" w:color="auto"/>
        <w:bottom w:val="none" w:sz="0" w:space="0" w:color="auto"/>
        <w:right w:val="none" w:sz="0" w:space="0" w:color="auto"/>
      </w:divBdr>
    </w:div>
    <w:div w:id="1624194279">
      <w:marLeft w:val="0"/>
      <w:marRight w:val="0"/>
      <w:marTop w:val="0"/>
      <w:marBottom w:val="0"/>
      <w:divBdr>
        <w:top w:val="none" w:sz="0" w:space="0" w:color="auto"/>
        <w:left w:val="none" w:sz="0" w:space="0" w:color="auto"/>
        <w:bottom w:val="none" w:sz="0" w:space="0" w:color="auto"/>
        <w:right w:val="none" w:sz="0" w:space="0" w:color="auto"/>
      </w:divBdr>
    </w:div>
    <w:div w:id="1624194280">
      <w:marLeft w:val="0"/>
      <w:marRight w:val="0"/>
      <w:marTop w:val="0"/>
      <w:marBottom w:val="0"/>
      <w:divBdr>
        <w:top w:val="none" w:sz="0" w:space="0" w:color="auto"/>
        <w:left w:val="none" w:sz="0" w:space="0" w:color="auto"/>
        <w:bottom w:val="none" w:sz="0" w:space="0" w:color="auto"/>
        <w:right w:val="none" w:sz="0" w:space="0" w:color="auto"/>
      </w:divBdr>
    </w:div>
    <w:div w:id="1624194281">
      <w:marLeft w:val="0"/>
      <w:marRight w:val="0"/>
      <w:marTop w:val="0"/>
      <w:marBottom w:val="0"/>
      <w:divBdr>
        <w:top w:val="none" w:sz="0" w:space="0" w:color="auto"/>
        <w:left w:val="none" w:sz="0" w:space="0" w:color="auto"/>
        <w:bottom w:val="none" w:sz="0" w:space="0" w:color="auto"/>
        <w:right w:val="none" w:sz="0" w:space="0" w:color="auto"/>
      </w:divBdr>
    </w:div>
    <w:div w:id="1624194282">
      <w:marLeft w:val="0"/>
      <w:marRight w:val="0"/>
      <w:marTop w:val="0"/>
      <w:marBottom w:val="0"/>
      <w:divBdr>
        <w:top w:val="none" w:sz="0" w:space="0" w:color="auto"/>
        <w:left w:val="none" w:sz="0" w:space="0" w:color="auto"/>
        <w:bottom w:val="none" w:sz="0" w:space="0" w:color="auto"/>
        <w:right w:val="none" w:sz="0" w:space="0" w:color="auto"/>
      </w:divBdr>
    </w:div>
    <w:div w:id="1624194283">
      <w:marLeft w:val="0"/>
      <w:marRight w:val="0"/>
      <w:marTop w:val="0"/>
      <w:marBottom w:val="0"/>
      <w:divBdr>
        <w:top w:val="none" w:sz="0" w:space="0" w:color="auto"/>
        <w:left w:val="none" w:sz="0" w:space="0" w:color="auto"/>
        <w:bottom w:val="none" w:sz="0" w:space="0" w:color="auto"/>
        <w:right w:val="none" w:sz="0" w:space="0" w:color="auto"/>
      </w:divBdr>
    </w:div>
    <w:div w:id="1624194284">
      <w:marLeft w:val="0"/>
      <w:marRight w:val="0"/>
      <w:marTop w:val="0"/>
      <w:marBottom w:val="0"/>
      <w:divBdr>
        <w:top w:val="none" w:sz="0" w:space="0" w:color="auto"/>
        <w:left w:val="none" w:sz="0" w:space="0" w:color="auto"/>
        <w:bottom w:val="none" w:sz="0" w:space="0" w:color="auto"/>
        <w:right w:val="none" w:sz="0" w:space="0" w:color="auto"/>
      </w:divBdr>
    </w:div>
    <w:div w:id="1624194285">
      <w:marLeft w:val="0"/>
      <w:marRight w:val="0"/>
      <w:marTop w:val="0"/>
      <w:marBottom w:val="0"/>
      <w:divBdr>
        <w:top w:val="none" w:sz="0" w:space="0" w:color="auto"/>
        <w:left w:val="none" w:sz="0" w:space="0" w:color="auto"/>
        <w:bottom w:val="none" w:sz="0" w:space="0" w:color="auto"/>
        <w:right w:val="none" w:sz="0" w:space="0" w:color="auto"/>
      </w:divBdr>
    </w:div>
    <w:div w:id="1624194286">
      <w:marLeft w:val="0"/>
      <w:marRight w:val="0"/>
      <w:marTop w:val="0"/>
      <w:marBottom w:val="0"/>
      <w:divBdr>
        <w:top w:val="none" w:sz="0" w:space="0" w:color="auto"/>
        <w:left w:val="none" w:sz="0" w:space="0" w:color="auto"/>
        <w:bottom w:val="none" w:sz="0" w:space="0" w:color="auto"/>
        <w:right w:val="none" w:sz="0" w:space="0" w:color="auto"/>
      </w:divBdr>
    </w:div>
    <w:div w:id="1624194287">
      <w:marLeft w:val="0"/>
      <w:marRight w:val="0"/>
      <w:marTop w:val="0"/>
      <w:marBottom w:val="0"/>
      <w:divBdr>
        <w:top w:val="none" w:sz="0" w:space="0" w:color="auto"/>
        <w:left w:val="none" w:sz="0" w:space="0" w:color="auto"/>
        <w:bottom w:val="none" w:sz="0" w:space="0" w:color="auto"/>
        <w:right w:val="none" w:sz="0" w:space="0" w:color="auto"/>
      </w:divBdr>
    </w:div>
    <w:div w:id="1624194288">
      <w:marLeft w:val="0"/>
      <w:marRight w:val="0"/>
      <w:marTop w:val="0"/>
      <w:marBottom w:val="0"/>
      <w:divBdr>
        <w:top w:val="none" w:sz="0" w:space="0" w:color="auto"/>
        <w:left w:val="none" w:sz="0" w:space="0" w:color="auto"/>
        <w:bottom w:val="none" w:sz="0" w:space="0" w:color="auto"/>
        <w:right w:val="none" w:sz="0" w:space="0" w:color="auto"/>
      </w:divBdr>
    </w:div>
    <w:div w:id="1624194289">
      <w:marLeft w:val="0"/>
      <w:marRight w:val="0"/>
      <w:marTop w:val="0"/>
      <w:marBottom w:val="0"/>
      <w:divBdr>
        <w:top w:val="none" w:sz="0" w:space="0" w:color="auto"/>
        <w:left w:val="none" w:sz="0" w:space="0" w:color="auto"/>
        <w:bottom w:val="none" w:sz="0" w:space="0" w:color="auto"/>
        <w:right w:val="none" w:sz="0" w:space="0" w:color="auto"/>
      </w:divBdr>
    </w:div>
    <w:div w:id="1624194290">
      <w:marLeft w:val="0"/>
      <w:marRight w:val="0"/>
      <w:marTop w:val="0"/>
      <w:marBottom w:val="0"/>
      <w:divBdr>
        <w:top w:val="none" w:sz="0" w:space="0" w:color="auto"/>
        <w:left w:val="none" w:sz="0" w:space="0" w:color="auto"/>
        <w:bottom w:val="none" w:sz="0" w:space="0" w:color="auto"/>
        <w:right w:val="none" w:sz="0" w:space="0" w:color="auto"/>
      </w:divBdr>
    </w:div>
    <w:div w:id="1624194291">
      <w:marLeft w:val="0"/>
      <w:marRight w:val="0"/>
      <w:marTop w:val="0"/>
      <w:marBottom w:val="0"/>
      <w:divBdr>
        <w:top w:val="none" w:sz="0" w:space="0" w:color="auto"/>
        <w:left w:val="none" w:sz="0" w:space="0" w:color="auto"/>
        <w:bottom w:val="none" w:sz="0" w:space="0" w:color="auto"/>
        <w:right w:val="none" w:sz="0" w:space="0" w:color="auto"/>
      </w:divBdr>
    </w:div>
    <w:div w:id="1624194292">
      <w:marLeft w:val="0"/>
      <w:marRight w:val="0"/>
      <w:marTop w:val="0"/>
      <w:marBottom w:val="0"/>
      <w:divBdr>
        <w:top w:val="none" w:sz="0" w:space="0" w:color="auto"/>
        <w:left w:val="none" w:sz="0" w:space="0" w:color="auto"/>
        <w:bottom w:val="none" w:sz="0" w:space="0" w:color="auto"/>
        <w:right w:val="none" w:sz="0" w:space="0" w:color="auto"/>
      </w:divBdr>
    </w:div>
    <w:div w:id="1624194293">
      <w:marLeft w:val="0"/>
      <w:marRight w:val="0"/>
      <w:marTop w:val="0"/>
      <w:marBottom w:val="0"/>
      <w:divBdr>
        <w:top w:val="none" w:sz="0" w:space="0" w:color="auto"/>
        <w:left w:val="none" w:sz="0" w:space="0" w:color="auto"/>
        <w:bottom w:val="none" w:sz="0" w:space="0" w:color="auto"/>
        <w:right w:val="none" w:sz="0" w:space="0" w:color="auto"/>
      </w:divBdr>
    </w:div>
    <w:div w:id="1624194294">
      <w:marLeft w:val="0"/>
      <w:marRight w:val="0"/>
      <w:marTop w:val="0"/>
      <w:marBottom w:val="0"/>
      <w:divBdr>
        <w:top w:val="none" w:sz="0" w:space="0" w:color="auto"/>
        <w:left w:val="none" w:sz="0" w:space="0" w:color="auto"/>
        <w:bottom w:val="none" w:sz="0" w:space="0" w:color="auto"/>
        <w:right w:val="none" w:sz="0" w:space="0" w:color="auto"/>
      </w:divBdr>
    </w:div>
    <w:div w:id="1624194295">
      <w:marLeft w:val="0"/>
      <w:marRight w:val="0"/>
      <w:marTop w:val="0"/>
      <w:marBottom w:val="0"/>
      <w:divBdr>
        <w:top w:val="none" w:sz="0" w:space="0" w:color="auto"/>
        <w:left w:val="none" w:sz="0" w:space="0" w:color="auto"/>
        <w:bottom w:val="none" w:sz="0" w:space="0" w:color="auto"/>
        <w:right w:val="none" w:sz="0" w:space="0" w:color="auto"/>
      </w:divBdr>
    </w:div>
    <w:div w:id="1624194296">
      <w:marLeft w:val="0"/>
      <w:marRight w:val="0"/>
      <w:marTop w:val="0"/>
      <w:marBottom w:val="0"/>
      <w:divBdr>
        <w:top w:val="none" w:sz="0" w:space="0" w:color="auto"/>
        <w:left w:val="none" w:sz="0" w:space="0" w:color="auto"/>
        <w:bottom w:val="none" w:sz="0" w:space="0" w:color="auto"/>
        <w:right w:val="none" w:sz="0" w:space="0" w:color="auto"/>
      </w:divBdr>
    </w:div>
    <w:div w:id="1624194297">
      <w:marLeft w:val="0"/>
      <w:marRight w:val="0"/>
      <w:marTop w:val="0"/>
      <w:marBottom w:val="0"/>
      <w:divBdr>
        <w:top w:val="none" w:sz="0" w:space="0" w:color="auto"/>
        <w:left w:val="none" w:sz="0" w:space="0" w:color="auto"/>
        <w:bottom w:val="none" w:sz="0" w:space="0" w:color="auto"/>
        <w:right w:val="none" w:sz="0" w:space="0" w:color="auto"/>
      </w:divBdr>
    </w:div>
    <w:div w:id="1624194298">
      <w:marLeft w:val="0"/>
      <w:marRight w:val="0"/>
      <w:marTop w:val="0"/>
      <w:marBottom w:val="0"/>
      <w:divBdr>
        <w:top w:val="none" w:sz="0" w:space="0" w:color="auto"/>
        <w:left w:val="none" w:sz="0" w:space="0" w:color="auto"/>
        <w:bottom w:val="none" w:sz="0" w:space="0" w:color="auto"/>
        <w:right w:val="none" w:sz="0" w:space="0" w:color="auto"/>
      </w:divBdr>
    </w:div>
    <w:div w:id="1624194299">
      <w:marLeft w:val="0"/>
      <w:marRight w:val="0"/>
      <w:marTop w:val="0"/>
      <w:marBottom w:val="0"/>
      <w:divBdr>
        <w:top w:val="none" w:sz="0" w:space="0" w:color="auto"/>
        <w:left w:val="none" w:sz="0" w:space="0" w:color="auto"/>
        <w:bottom w:val="none" w:sz="0" w:space="0" w:color="auto"/>
        <w:right w:val="none" w:sz="0" w:space="0" w:color="auto"/>
      </w:divBdr>
    </w:div>
    <w:div w:id="1624194300">
      <w:marLeft w:val="0"/>
      <w:marRight w:val="0"/>
      <w:marTop w:val="0"/>
      <w:marBottom w:val="0"/>
      <w:divBdr>
        <w:top w:val="none" w:sz="0" w:space="0" w:color="auto"/>
        <w:left w:val="none" w:sz="0" w:space="0" w:color="auto"/>
        <w:bottom w:val="none" w:sz="0" w:space="0" w:color="auto"/>
        <w:right w:val="none" w:sz="0" w:space="0" w:color="auto"/>
      </w:divBdr>
    </w:div>
    <w:div w:id="1624194301">
      <w:marLeft w:val="0"/>
      <w:marRight w:val="0"/>
      <w:marTop w:val="0"/>
      <w:marBottom w:val="0"/>
      <w:divBdr>
        <w:top w:val="none" w:sz="0" w:space="0" w:color="auto"/>
        <w:left w:val="none" w:sz="0" w:space="0" w:color="auto"/>
        <w:bottom w:val="none" w:sz="0" w:space="0" w:color="auto"/>
        <w:right w:val="none" w:sz="0" w:space="0" w:color="auto"/>
      </w:divBdr>
    </w:div>
    <w:div w:id="1624194302">
      <w:marLeft w:val="0"/>
      <w:marRight w:val="0"/>
      <w:marTop w:val="0"/>
      <w:marBottom w:val="0"/>
      <w:divBdr>
        <w:top w:val="none" w:sz="0" w:space="0" w:color="auto"/>
        <w:left w:val="none" w:sz="0" w:space="0" w:color="auto"/>
        <w:bottom w:val="none" w:sz="0" w:space="0" w:color="auto"/>
        <w:right w:val="none" w:sz="0" w:space="0" w:color="auto"/>
      </w:divBdr>
    </w:div>
    <w:div w:id="1624194303">
      <w:marLeft w:val="0"/>
      <w:marRight w:val="0"/>
      <w:marTop w:val="0"/>
      <w:marBottom w:val="0"/>
      <w:divBdr>
        <w:top w:val="none" w:sz="0" w:space="0" w:color="auto"/>
        <w:left w:val="none" w:sz="0" w:space="0" w:color="auto"/>
        <w:bottom w:val="none" w:sz="0" w:space="0" w:color="auto"/>
        <w:right w:val="none" w:sz="0" w:space="0" w:color="auto"/>
      </w:divBdr>
    </w:div>
    <w:div w:id="1624194304">
      <w:marLeft w:val="0"/>
      <w:marRight w:val="0"/>
      <w:marTop w:val="0"/>
      <w:marBottom w:val="0"/>
      <w:divBdr>
        <w:top w:val="none" w:sz="0" w:space="0" w:color="auto"/>
        <w:left w:val="none" w:sz="0" w:space="0" w:color="auto"/>
        <w:bottom w:val="none" w:sz="0" w:space="0" w:color="auto"/>
        <w:right w:val="none" w:sz="0" w:space="0" w:color="auto"/>
      </w:divBdr>
    </w:div>
    <w:div w:id="1624194305">
      <w:marLeft w:val="0"/>
      <w:marRight w:val="0"/>
      <w:marTop w:val="0"/>
      <w:marBottom w:val="0"/>
      <w:divBdr>
        <w:top w:val="none" w:sz="0" w:space="0" w:color="auto"/>
        <w:left w:val="none" w:sz="0" w:space="0" w:color="auto"/>
        <w:bottom w:val="none" w:sz="0" w:space="0" w:color="auto"/>
        <w:right w:val="none" w:sz="0" w:space="0" w:color="auto"/>
      </w:divBdr>
    </w:div>
    <w:div w:id="1624194306">
      <w:marLeft w:val="0"/>
      <w:marRight w:val="0"/>
      <w:marTop w:val="0"/>
      <w:marBottom w:val="0"/>
      <w:divBdr>
        <w:top w:val="none" w:sz="0" w:space="0" w:color="auto"/>
        <w:left w:val="none" w:sz="0" w:space="0" w:color="auto"/>
        <w:bottom w:val="none" w:sz="0" w:space="0" w:color="auto"/>
        <w:right w:val="none" w:sz="0" w:space="0" w:color="auto"/>
      </w:divBdr>
    </w:div>
    <w:div w:id="1624194307">
      <w:marLeft w:val="0"/>
      <w:marRight w:val="0"/>
      <w:marTop w:val="0"/>
      <w:marBottom w:val="0"/>
      <w:divBdr>
        <w:top w:val="none" w:sz="0" w:space="0" w:color="auto"/>
        <w:left w:val="none" w:sz="0" w:space="0" w:color="auto"/>
        <w:bottom w:val="none" w:sz="0" w:space="0" w:color="auto"/>
        <w:right w:val="none" w:sz="0" w:space="0" w:color="auto"/>
      </w:divBdr>
    </w:div>
    <w:div w:id="1624194308">
      <w:marLeft w:val="0"/>
      <w:marRight w:val="0"/>
      <w:marTop w:val="0"/>
      <w:marBottom w:val="0"/>
      <w:divBdr>
        <w:top w:val="none" w:sz="0" w:space="0" w:color="auto"/>
        <w:left w:val="none" w:sz="0" w:space="0" w:color="auto"/>
        <w:bottom w:val="none" w:sz="0" w:space="0" w:color="auto"/>
        <w:right w:val="none" w:sz="0" w:space="0" w:color="auto"/>
      </w:divBdr>
    </w:div>
    <w:div w:id="1624194309">
      <w:marLeft w:val="0"/>
      <w:marRight w:val="0"/>
      <w:marTop w:val="0"/>
      <w:marBottom w:val="0"/>
      <w:divBdr>
        <w:top w:val="none" w:sz="0" w:space="0" w:color="auto"/>
        <w:left w:val="none" w:sz="0" w:space="0" w:color="auto"/>
        <w:bottom w:val="none" w:sz="0" w:space="0" w:color="auto"/>
        <w:right w:val="none" w:sz="0" w:space="0" w:color="auto"/>
      </w:divBdr>
    </w:div>
    <w:div w:id="1624194310">
      <w:marLeft w:val="0"/>
      <w:marRight w:val="0"/>
      <w:marTop w:val="0"/>
      <w:marBottom w:val="0"/>
      <w:divBdr>
        <w:top w:val="none" w:sz="0" w:space="0" w:color="auto"/>
        <w:left w:val="none" w:sz="0" w:space="0" w:color="auto"/>
        <w:bottom w:val="none" w:sz="0" w:space="0" w:color="auto"/>
        <w:right w:val="none" w:sz="0" w:space="0" w:color="auto"/>
      </w:divBdr>
    </w:div>
    <w:div w:id="1624194311">
      <w:marLeft w:val="0"/>
      <w:marRight w:val="0"/>
      <w:marTop w:val="0"/>
      <w:marBottom w:val="0"/>
      <w:divBdr>
        <w:top w:val="none" w:sz="0" w:space="0" w:color="auto"/>
        <w:left w:val="none" w:sz="0" w:space="0" w:color="auto"/>
        <w:bottom w:val="none" w:sz="0" w:space="0" w:color="auto"/>
        <w:right w:val="none" w:sz="0" w:space="0" w:color="auto"/>
      </w:divBdr>
    </w:div>
    <w:div w:id="1624194312">
      <w:marLeft w:val="0"/>
      <w:marRight w:val="0"/>
      <w:marTop w:val="0"/>
      <w:marBottom w:val="0"/>
      <w:divBdr>
        <w:top w:val="none" w:sz="0" w:space="0" w:color="auto"/>
        <w:left w:val="none" w:sz="0" w:space="0" w:color="auto"/>
        <w:bottom w:val="none" w:sz="0" w:space="0" w:color="auto"/>
        <w:right w:val="none" w:sz="0" w:space="0" w:color="auto"/>
      </w:divBdr>
    </w:div>
    <w:div w:id="1624194313">
      <w:marLeft w:val="0"/>
      <w:marRight w:val="0"/>
      <w:marTop w:val="0"/>
      <w:marBottom w:val="0"/>
      <w:divBdr>
        <w:top w:val="none" w:sz="0" w:space="0" w:color="auto"/>
        <w:left w:val="none" w:sz="0" w:space="0" w:color="auto"/>
        <w:bottom w:val="none" w:sz="0" w:space="0" w:color="auto"/>
        <w:right w:val="none" w:sz="0" w:space="0" w:color="auto"/>
      </w:divBdr>
    </w:div>
    <w:div w:id="1624194314">
      <w:marLeft w:val="0"/>
      <w:marRight w:val="0"/>
      <w:marTop w:val="0"/>
      <w:marBottom w:val="0"/>
      <w:divBdr>
        <w:top w:val="none" w:sz="0" w:space="0" w:color="auto"/>
        <w:left w:val="none" w:sz="0" w:space="0" w:color="auto"/>
        <w:bottom w:val="none" w:sz="0" w:space="0" w:color="auto"/>
        <w:right w:val="none" w:sz="0" w:space="0" w:color="auto"/>
      </w:divBdr>
    </w:div>
    <w:div w:id="1624194315">
      <w:marLeft w:val="0"/>
      <w:marRight w:val="0"/>
      <w:marTop w:val="0"/>
      <w:marBottom w:val="0"/>
      <w:divBdr>
        <w:top w:val="none" w:sz="0" w:space="0" w:color="auto"/>
        <w:left w:val="none" w:sz="0" w:space="0" w:color="auto"/>
        <w:bottom w:val="none" w:sz="0" w:space="0" w:color="auto"/>
        <w:right w:val="none" w:sz="0" w:space="0" w:color="auto"/>
      </w:divBdr>
    </w:div>
    <w:div w:id="1624194316">
      <w:marLeft w:val="0"/>
      <w:marRight w:val="0"/>
      <w:marTop w:val="0"/>
      <w:marBottom w:val="0"/>
      <w:divBdr>
        <w:top w:val="none" w:sz="0" w:space="0" w:color="auto"/>
        <w:left w:val="none" w:sz="0" w:space="0" w:color="auto"/>
        <w:bottom w:val="none" w:sz="0" w:space="0" w:color="auto"/>
        <w:right w:val="none" w:sz="0" w:space="0" w:color="auto"/>
      </w:divBdr>
    </w:div>
    <w:div w:id="1624194317">
      <w:marLeft w:val="0"/>
      <w:marRight w:val="0"/>
      <w:marTop w:val="0"/>
      <w:marBottom w:val="0"/>
      <w:divBdr>
        <w:top w:val="none" w:sz="0" w:space="0" w:color="auto"/>
        <w:left w:val="none" w:sz="0" w:space="0" w:color="auto"/>
        <w:bottom w:val="none" w:sz="0" w:space="0" w:color="auto"/>
        <w:right w:val="none" w:sz="0" w:space="0" w:color="auto"/>
      </w:divBdr>
    </w:div>
    <w:div w:id="1624194318">
      <w:marLeft w:val="0"/>
      <w:marRight w:val="0"/>
      <w:marTop w:val="0"/>
      <w:marBottom w:val="0"/>
      <w:divBdr>
        <w:top w:val="none" w:sz="0" w:space="0" w:color="auto"/>
        <w:left w:val="none" w:sz="0" w:space="0" w:color="auto"/>
        <w:bottom w:val="none" w:sz="0" w:space="0" w:color="auto"/>
        <w:right w:val="none" w:sz="0" w:space="0" w:color="auto"/>
      </w:divBdr>
    </w:div>
    <w:div w:id="1624194319">
      <w:marLeft w:val="0"/>
      <w:marRight w:val="0"/>
      <w:marTop w:val="0"/>
      <w:marBottom w:val="0"/>
      <w:divBdr>
        <w:top w:val="none" w:sz="0" w:space="0" w:color="auto"/>
        <w:left w:val="none" w:sz="0" w:space="0" w:color="auto"/>
        <w:bottom w:val="none" w:sz="0" w:space="0" w:color="auto"/>
        <w:right w:val="none" w:sz="0" w:space="0" w:color="auto"/>
      </w:divBdr>
    </w:div>
    <w:div w:id="1624194320">
      <w:marLeft w:val="0"/>
      <w:marRight w:val="0"/>
      <w:marTop w:val="0"/>
      <w:marBottom w:val="0"/>
      <w:divBdr>
        <w:top w:val="none" w:sz="0" w:space="0" w:color="auto"/>
        <w:left w:val="none" w:sz="0" w:space="0" w:color="auto"/>
        <w:bottom w:val="none" w:sz="0" w:space="0" w:color="auto"/>
        <w:right w:val="none" w:sz="0" w:space="0" w:color="auto"/>
      </w:divBdr>
    </w:div>
    <w:div w:id="1624194321">
      <w:marLeft w:val="0"/>
      <w:marRight w:val="0"/>
      <w:marTop w:val="0"/>
      <w:marBottom w:val="0"/>
      <w:divBdr>
        <w:top w:val="none" w:sz="0" w:space="0" w:color="auto"/>
        <w:left w:val="none" w:sz="0" w:space="0" w:color="auto"/>
        <w:bottom w:val="none" w:sz="0" w:space="0" w:color="auto"/>
        <w:right w:val="none" w:sz="0" w:space="0" w:color="auto"/>
      </w:divBdr>
    </w:div>
    <w:div w:id="1624194322">
      <w:marLeft w:val="0"/>
      <w:marRight w:val="0"/>
      <w:marTop w:val="0"/>
      <w:marBottom w:val="0"/>
      <w:divBdr>
        <w:top w:val="none" w:sz="0" w:space="0" w:color="auto"/>
        <w:left w:val="none" w:sz="0" w:space="0" w:color="auto"/>
        <w:bottom w:val="none" w:sz="0" w:space="0" w:color="auto"/>
        <w:right w:val="none" w:sz="0" w:space="0" w:color="auto"/>
      </w:divBdr>
    </w:div>
    <w:div w:id="1624194323">
      <w:marLeft w:val="0"/>
      <w:marRight w:val="0"/>
      <w:marTop w:val="0"/>
      <w:marBottom w:val="0"/>
      <w:divBdr>
        <w:top w:val="none" w:sz="0" w:space="0" w:color="auto"/>
        <w:left w:val="none" w:sz="0" w:space="0" w:color="auto"/>
        <w:bottom w:val="none" w:sz="0" w:space="0" w:color="auto"/>
        <w:right w:val="none" w:sz="0" w:space="0" w:color="auto"/>
      </w:divBdr>
    </w:div>
    <w:div w:id="1624194324">
      <w:marLeft w:val="0"/>
      <w:marRight w:val="0"/>
      <w:marTop w:val="0"/>
      <w:marBottom w:val="0"/>
      <w:divBdr>
        <w:top w:val="none" w:sz="0" w:space="0" w:color="auto"/>
        <w:left w:val="none" w:sz="0" w:space="0" w:color="auto"/>
        <w:bottom w:val="none" w:sz="0" w:space="0" w:color="auto"/>
        <w:right w:val="none" w:sz="0" w:space="0" w:color="auto"/>
      </w:divBdr>
    </w:div>
    <w:div w:id="1624194325">
      <w:marLeft w:val="0"/>
      <w:marRight w:val="0"/>
      <w:marTop w:val="0"/>
      <w:marBottom w:val="0"/>
      <w:divBdr>
        <w:top w:val="none" w:sz="0" w:space="0" w:color="auto"/>
        <w:left w:val="none" w:sz="0" w:space="0" w:color="auto"/>
        <w:bottom w:val="none" w:sz="0" w:space="0" w:color="auto"/>
        <w:right w:val="none" w:sz="0" w:space="0" w:color="auto"/>
      </w:divBdr>
    </w:div>
    <w:div w:id="1624194326">
      <w:marLeft w:val="0"/>
      <w:marRight w:val="0"/>
      <w:marTop w:val="0"/>
      <w:marBottom w:val="0"/>
      <w:divBdr>
        <w:top w:val="none" w:sz="0" w:space="0" w:color="auto"/>
        <w:left w:val="none" w:sz="0" w:space="0" w:color="auto"/>
        <w:bottom w:val="none" w:sz="0" w:space="0" w:color="auto"/>
        <w:right w:val="none" w:sz="0" w:space="0" w:color="auto"/>
      </w:divBdr>
    </w:div>
    <w:div w:id="1624194327">
      <w:marLeft w:val="0"/>
      <w:marRight w:val="0"/>
      <w:marTop w:val="0"/>
      <w:marBottom w:val="0"/>
      <w:divBdr>
        <w:top w:val="none" w:sz="0" w:space="0" w:color="auto"/>
        <w:left w:val="none" w:sz="0" w:space="0" w:color="auto"/>
        <w:bottom w:val="none" w:sz="0" w:space="0" w:color="auto"/>
        <w:right w:val="none" w:sz="0" w:space="0" w:color="auto"/>
      </w:divBdr>
    </w:div>
    <w:div w:id="1624194328">
      <w:marLeft w:val="0"/>
      <w:marRight w:val="0"/>
      <w:marTop w:val="0"/>
      <w:marBottom w:val="0"/>
      <w:divBdr>
        <w:top w:val="none" w:sz="0" w:space="0" w:color="auto"/>
        <w:left w:val="none" w:sz="0" w:space="0" w:color="auto"/>
        <w:bottom w:val="none" w:sz="0" w:space="0" w:color="auto"/>
        <w:right w:val="none" w:sz="0" w:space="0" w:color="auto"/>
      </w:divBdr>
    </w:div>
    <w:div w:id="1624194329">
      <w:marLeft w:val="0"/>
      <w:marRight w:val="0"/>
      <w:marTop w:val="0"/>
      <w:marBottom w:val="0"/>
      <w:divBdr>
        <w:top w:val="none" w:sz="0" w:space="0" w:color="auto"/>
        <w:left w:val="none" w:sz="0" w:space="0" w:color="auto"/>
        <w:bottom w:val="none" w:sz="0" w:space="0" w:color="auto"/>
        <w:right w:val="none" w:sz="0" w:space="0" w:color="auto"/>
      </w:divBdr>
    </w:div>
    <w:div w:id="1624194330">
      <w:marLeft w:val="0"/>
      <w:marRight w:val="0"/>
      <w:marTop w:val="0"/>
      <w:marBottom w:val="0"/>
      <w:divBdr>
        <w:top w:val="none" w:sz="0" w:space="0" w:color="auto"/>
        <w:left w:val="none" w:sz="0" w:space="0" w:color="auto"/>
        <w:bottom w:val="none" w:sz="0" w:space="0" w:color="auto"/>
        <w:right w:val="none" w:sz="0" w:space="0" w:color="auto"/>
      </w:divBdr>
    </w:div>
    <w:div w:id="1624194331">
      <w:marLeft w:val="0"/>
      <w:marRight w:val="0"/>
      <w:marTop w:val="0"/>
      <w:marBottom w:val="0"/>
      <w:divBdr>
        <w:top w:val="none" w:sz="0" w:space="0" w:color="auto"/>
        <w:left w:val="none" w:sz="0" w:space="0" w:color="auto"/>
        <w:bottom w:val="none" w:sz="0" w:space="0" w:color="auto"/>
        <w:right w:val="none" w:sz="0" w:space="0" w:color="auto"/>
      </w:divBdr>
    </w:div>
    <w:div w:id="1624194332">
      <w:marLeft w:val="0"/>
      <w:marRight w:val="0"/>
      <w:marTop w:val="0"/>
      <w:marBottom w:val="0"/>
      <w:divBdr>
        <w:top w:val="none" w:sz="0" w:space="0" w:color="auto"/>
        <w:left w:val="none" w:sz="0" w:space="0" w:color="auto"/>
        <w:bottom w:val="none" w:sz="0" w:space="0" w:color="auto"/>
        <w:right w:val="none" w:sz="0" w:space="0" w:color="auto"/>
      </w:divBdr>
    </w:div>
    <w:div w:id="1624194333">
      <w:marLeft w:val="0"/>
      <w:marRight w:val="0"/>
      <w:marTop w:val="0"/>
      <w:marBottom w:val="0"/>
      <w:divBdr>
        <w:top w:val="none" w:sz="0" w:space="0" w:color="auto"/>
        <w:left w:val="none" w:sz="0" w:space="0" w:color="auto"/>
        <w:bottom w:val="none" w:sz="0" w:space="0" w:color="auto"/>
        <w:right w:val="none" w:sz="0" w:space="0" w:color="auto"/>
      </w:divBdr>
    </w:div>
    <w:div w:id="1624194334">
      <w:marLeft w:val="0"/>
      <w:marRight w:val="0"/>
      <w:marTop w:val="0"/>
      <w:marBottom w:val="0"/>
      <w:divBdr>
        <w:top w:val="none" w:sz="0" w:space="0" w:color="auto"/>
        <w:left w:val="none" w:sz="0" w:space="0" w:color="auto"/>
        <w:bottom w:val="none" w:sz="0" w:space="0" w:color="auto"/>
        <w:right w:val="none" w:sz="0" w:space="0" w:color="auto"/>
      </w:divBdr>
    </w:div>
    <w:div w:id="1624194335">
      <w:marLeft w:val="0"/>
      <w:marRight w:val="0"/>
      <w:marTop w:val="0"/>
      <w:marBottom w:val="0"/>
      <w:divBdr>
        <w:top w:val="none" w:sz="0" w:space="0" w:color="auto"/>
        <w:left w:val="none" w:sz="0" w:space="0" w:color="auto"/>
        <w:bottom w:val="none" w:sz="0" w:space="0" w:color="auto"/>
        <w:right w:val="none" w:sz="0" w:space="0" w:color="auto"/>
      </w:divBdr>
    </w:div>
    <w:div w:id="1624194336">
      <w:marLeft w:val="0"/>
      <w:marRight w:val="0"/>
      <w:marTop w:val="0"/>
      <w:marBottom w:val="0"/>
      <w:divBdr>
        <w:top w:val="none" w:sz="0" w:space="0" w:color="auto"/>
        <w:left w:val="none" w:sz="0" w:space="0" w:color="auto"/>
        <w:bottom w:val="none" w:sz="0" w:space="0" w:color="auto"/>
        <w:right w:val="none" w:sz="0" w:space="0" w:color="auto"/>
      </w:divBdr>
    </w:div>
    <w:div w:id="1624194337">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624194339">
      <w:marLeft w:val="0"/>
      <w:marRight w:val="0"/>
      <w:marTop w:val="0"/>
      <w:marBottom w:val="0"/>
      <w:divBdr>
        <w:top w:val="none" w:sz="0" w:space="0" w:color="auto"/>
        <w:left w:val="none" w:sz="0" w:space="0" w:color="auto"/>
        <w:bottom w:val="none" w:sz="0" w:space="0" w:color="auto"/>
        <w:right w:val="none" w:sz="0" w:space="0" w:color="auto"/>
      </w:divBdr>
    </w:div>
    <w:div w:id="1624194340">
      <w:marLeft w:val="0"/>
      <w:marRight w:val="0"/>
      <w:marTop w:val="0"/>
      <w:marBottom w:val="0"/>
      <w:divBdr>
        <w:top w:val="none" w:sz="0" w:space="0" w:color="auto"/>
        <w:left w:val="none" w:sz="0" w:space="0" w:color="auto"/>
        <w:bottom w:val="none" w:sz="0" w:space="0" w:color="auto"/>
        <w:right w:val="none" w:sz="0" w:space="0" w:color="auto"/>
      </w:divBdr>
    </w:div>
    <w:div w:id="1624194341">
      <w:marLeft w:val="0"/>
      <w:marRight w:val="0"/>
      <w:marTop w:val="0"/>
      <w:marBottom w:val="0"/>
      <w:divBdr>
        <w:top w:val="none" w:sz="0" w:space="0" w:color="auto"/>
        <w:left w:val="none" w:sz="0" w:space="0" w:color="auto"/>
        <w:bottom w:val="none" w:sz="0" w:space="0" w:color="auto"/>
        <w:right w:val="none" w:sz="0" w:space="0" w:color="auto"/>
      </w:divBdr>
    </w:div>
    <w:div w:id="1624194342">
      <w:marLeft w:val="0"/>
      <w:marRight w:val="0"/>
      <w:marTop w:val="0"/>
      <w:marBottom w:val="0"/>
      <w:divBdr>
        <w:top w:val="none" w:sz="0" w:space="0" w:color="auto"/>
        <w:left w:val="none" w:sz="0" w:space="0" w:color="auto"/>
        <w:bottom w:val="none" w:sz="0" w:space="0" w:color="auto"/>
        <w:right w:val="none" w:sz="0" w:space="0" w:color="auto"/>
      </w:divBdr>
    </w:div>
    <w:div w:id="1624194343">
      <w:marLeft w:val="0"/>
      <w:marRight w:val="0"/>
      <w:marTop w:val="0"/>
      <w:marBottom w:val="0"/>
      <w:divBdr>
        <w:top w:val="none" w:sz="0" w:space="0" w:color="auto"/>
        <w:left w:val="none" w:sz="0" w:space="0" w:color="auto"/>
        <w:bottom w:val="none" w:sz="0" w:space="0" w:color="auto"/>
        <w:right w:val="none" w:sz="0" w:space="0" w:color="auto"/>
      </w:divBdr>
    </w:div>
    <w:div w:id="1624194344">
      <w:marLeft w:val="0"/>
      <w:marRight w:val="0"/>
      <w:marTop w:val="0"/>
      <w:marBottom w:val="0"/>
      <w:divBdr>
        <w:top w:val="none" w:sz="0" w:space="0" w:color="auto"/>
        <w:left w:val="none" w:sz="0" w:space="0" w:color="auto"/>
        <w:bottom w:val="none" w:sz="0" w:space="0" w:color="auto"/>
        <w:right w:val="none" w:sz="0" w:space="0" w:color="auto"/>
      </w:divBdr>
    </w:div>
    <w:div w:id="1624194345">
      <w:marLeft w:val="0"/>
      <w:marRight w:val="0"/>
      <w:marTop w:val="0"/>
      <w:marBottom w:val="0"/>
      <w:divBdr>
        <w:top w:val="none" w:sz="0" w:space="0" w:color="auto"/>
        <w:left w:val="none" w:sz="0" w:space="0" w:color="auto"/>
        <w:bottom w:val="none" w:sz="0" w:space="0" w:color="auto"/>
        <w:right w:val="none" w:sz="0" w:space="0" w:color="auto"/>
      </w:divBdr>
    </w:div>
    <w:div w:id="1624194346">
      <w:marLeft w:val="0"/>
      <w:marRight w:val="0"/>
      <w:marTop w:val="0"/>
      <w:marBottom w:val="0"/>
      <w:divBdr>
        <w:top w:val="none" w:sz="0" w:space="0" w:color="auto"/>
        <w:left w:val="none" w:sz="0" w:space="0" w:color="auto"/>
        <w:bottom w:val="none" w:sz="0" w:space="0" w:color="auto"/>
        <w:right w:val="none" w:sz="0" w:space="0" w:color="auto"/>
      </w:divBdr>
    </w:div>
    <w:div w:id="1624194347">
      <w:marLeft w:val="0"/>
      <w:marRight w:val="0"/>
      <w:marTop w:val="0"/>
      <w:marBottom w:val="0"/>
      <w:divBdr>
        <w:top w:val="none" w:sz="0" w:space="0" w:color="auto"/>
        <w:left w:val="none" w:sz="0" w:space="0" w:color="auto"/>
        <w:bottom w:val="none" w:sz="0" w:space="0" w:color="auto"/>
        <w:right w:val="none" w:sz="0" w:space="0" w:color="auto"/>
      </w:divBdr>
    </w:div>
    <w:div w:id="1624194348">
      <w:marLeft w:val="0"/>
      <w:marRight w:val="0"/>
      <w:marTop w:val="0"/>
      <w:marBottom w:val="0"/>
      <w:divBdr>
        <w:top w:val="none" w:sz="0" w:space="0" w:color="auto"/>
        <w:left w:val="none" w:sz="0" w:space="0" w:color="auto"/>
        <w:bottom w:val="none" w:sz="0" w:space="0" w:color="auto"/>
        <w:right w:val="none" w:sz="0" w:space="0" w:color="auto"/>
      </w:divBdr>
    </w:div>
    <w:div w:id="1624194349">
      <w:marLeft w:val="0"/>
      <w:marRight w:val="0"/>
      <w:marTop w:val="0"/>
      <w:marBottom w:val="0"/>
      <w:divBdr>
        <w:top w:val="none" w:sz="0" w:space="0" w:color="auto"/>
        <w:left w:val="none" w:sz="0" w:space="0" w:color="auto"/>
        <w:bottom w:val="none" w:sz="0" w:space="0" w:color="auto"/>
        <w:right w:val="none" w:sz="0" w:space="0" w:color="auto"/>
      </w:divBdr>
    </w:div>
    <w:div w:id="1624194350">
      <w:marLeft w:val="0"/>
      <w:marRight w:val="0"/>
      <w:marTop w:val="0"/>
      <w:marBottom w:val="0"/>
      <w:divBdr>
        <w:top w:val="none" w:sz="0" w:space="0" w:color="auto"/>
        <w:left w:val="none" w:sz="0" w:space="0" w:color="auto"/>
        <w:bottom w:val="none" w:sz="0" w:space="0" w:color="auto"/>
        <w:right w:val="none" w:sz="0" w:space="0" w:color="auto"/>
      </w:divBdr>
    </w:div>
    <w:div w:id="1624194351">
      <w:marLeft w:val="0"/>
      <w:marRight w:val="0"/>
      <w:marTop w:val="0"/>
      <w:marBottom w:val="0"/>
      <w:divBdr>
        <w:top w:val="none" w:sz="0" w:space="0" w:color="auto"/>
        <w:left w:val="none" w:sz="0" w:space="0" w:color="auto"/>
        <w:bottom w:val="none" w:sz="0" w:space="0" w:color="auto"/>
        <w:right w:val="none" w:sz="0" w:space="0" w:color="auto"/>
      </w:divBdr>
    </w:div>
    <w:div w:id="1624194352">
      <w:marLeft w:val="0"/>
      <w:marRight w:val="0"/>
      <w:marTop w:val="0"/>
      <w:marBottom w:val="0"/>
      <w:divBdr>
        <w:top w:val="none" w:sz="0" w:space="0" w:color="auto"/>
        <w:left w:val="none" w:sz="0" w:space="0" w:color="auto"/>
        <w:bottom w:val="none" w:sz="0" w:space="0" w:color="auto"/>
        <w:right w:val="none" w:sz="0" w:space="0" w:color="auto"/>
      </w:divBdr>
    </w:div>
    <w:div w:id="1624194353">
      <w:marLeft w:val="0"/>
      <w:marRight w:val="0"/>
      <w:marTop w:val="0"/>
      <w:marBottom w:val="0"/>
      <w:divBdr>
        <w:top w:val="none" w:sz="0" w:space="0" w:color="auto"/>
        <w:left w:val="none" w:sz="0" w:space="0" w:color="auto"/>
        <w:bottom w:val="none" w:sz="0" w:space="0" w:color="auto"/>
        <w:right w:val="none" w:sz="0" w:space="0" w:color="auto"/>
      </w:divBdr>
    </w:div>
    <w:div w:id="1624194354">
      <w:marLeft w:val="0"/>
      <w:marRight w:val="0"/>
      <w:marTop w:val="0"/>
      <w:marBottom w:val="0"/>
      <w:divBdr>
        <w:top w:val="none" w:sz="0" w:space="0" w:color="auto"/>
        <w:left w:val="none" w:sz="0" w:space="0" w:color="auto"/>
        <w:bottom w:val="none" w:sz="0" w:space="0" w:color="auto"/>
        <w:right w:val="none" w:sz="0" w:space="0" w:color="auto"/>
      </w:divBdr>
    </w:div>
    <w:div w:id="1624194355">
      <w:marLeft w:val="0"/>
      <w:marRight w:val="0"/>
      <w:marTop w:val="0"/>
      <w:marBottom w:val="0"/>
      <w:divBdr>
        <w:top w:val="none" w:sz="0" w:space="0" w:color="auto"/>
        <w:left w:val="none" w:sz="0" w:space="0" w:color="auto"/>
        <w:bottom w:val="none" w:sz="0" w:space="0" w:color="auto"/>
        <w:right w:val="none" w:sz="0" w:space="0" w:color="auto"/>
      </w:divBdr>
    </w:div>
    <w:div w:id="1624194356">
      <w:marLeft w:val="0"/>
      <w:marRight w:val="0"/>
      <w:marTop w:val="0"/>
      <w:marBottom w:val="0"/>
      <w:divBdr>
        <w:top w:val="none" w:sz="0" w:space="0" w:color="auto"/>
        <w:left w:val="none" w:sz="0" w:space="0" w:color="auto"/>
        <w:bottom w:val="none" w:sz="0" w:space="0" w:color="auto"/>
        <w:right w:val="none" w:sz="0" w:space="0" w:color="auto"/>
      </w:divBdr>
    </w:div>
    <w:div w:id="1624194357">
      <w:marLeft w:val="0"/>
      <w:marRight w:val="0"/>
      <w:marTop w:val="0"/>
      <w:marBottom w:val="0"/>
      <w:divBdr>
        <w:top w:val="none" w:sz="0" w:space="0" w:color="auto"/>
        <w:left w:val="none" w:sz="0" w:space="0" w:color="auto"/>
        <w:bottom w:val="none" w:sz="0" w:space="0" w:color="auto"/>
        <w:right w:val="none" w:sz="0" w:space="0" w:color="auto"/>
      </w:divBdr>
    </w:div>
    <w:div w:id="1624194358">
      <w:marLeft w:val="0"/>
      <w:marRight w:val="0"/>
      <w:marTop w:val="0"/>
      <w:marBottom w:val="0"/>
      <w:divBdr>
        <w:top w:val="none" w:sz="0" w:space="0" w:color="auto"/>
        <w:left w:val="none" w:sz="0" w:space="0" w:color="auto"/>
        <w:bottom w:val="none" w:sz="0" w:space="0" w:color="auto"/>
        <w:right w:val="none" w:sz="0" w:space="0" w:color="auto"/>
      </w:divBdr>
    </w:div>
    <w:div w:id="1624194359">
      <w:marLeft w:val="0"/>
      <w:marRight w:val="0"/>
      <w:marTop w:val="0"/>
      <w:marBottom w:val="0"/>
      <w:divBdr>
        <w:top w:val="none" w:sz="0" w:space="0" w:color="auto"/>
        <w:left w:val="none" w:sz="0" w:space="0" w:color="auto"/>
        <w:bottom w:val="none" w:sz="0" w:space="0" w:color="auto"/>
        <w:right w:val="none" w:sz="0" w:space="0" w:color="auto"/>
      </w:divBdr>
    </w:div>
    <w:div w:id="1624194360">
      <w:marLeft w:val="0"/>
      <w:marRight w:val="0"/>
      <w:marTop w:val="0"/>
      <w:marBottom w:val="0"/>
      <w:divBdr>
        <w:top w:val="none" w:sz="0" w:space="0" w:color="auto"/>
        <w:left w:val="none" w:sz="0" w:space="0" w:color="auto"/>
        <w:bottom w:val="none" w:sz="0" w:space="0" w:color="auto"/>
        <w:right w:val="none" w:sz="0" w:space="0" w:color="auto"/>
      </w:divBdr>
    </w:div>
    <w:div w:id="1624194361">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624194363">
      <w:marLeft w:val="0"/>
      <w:marRight w:val="0"/>
      <w:marTop w:val="0"/>
      <w:marBottom w:val="0"/>
      <w:divBdr>
        <w:top w:val="none" w:sz="0" w:space="0" w:color="auto"/>
        <w:left w:val="none" w:sz="0" w:space="0" w:color="auto"/>
        <w:bottom w:val="none" w:sz="0" w:space="0" w:color="auto"/>
        <w:right w:val="none" w:sz="0" w:space="0" w:color="auto"/>
      </w:divBdr>
    </w:div>
    <w:div w:id="1624194364">
      <w:marLeft w:val="0"/>
      <w:marRight w:val="0"/>
      <w:marTop w:val="0"/>
      <w:marBottom w:val="0"/>
      <w:divBdr>
        <w:top w:val="none" w:sz="0" w:space="0" w:color="auto"/>
        <w:left w:val="none" w:sz="0" w:space="0" w:color="auto"/>
        <w:bottom w:val="none" w:sz="0" w:space="0" w:color="auto"/>
        <w:right w:val="none" w:sz="0" w:space="0" w:color="auto"/>
      </w:divBdr>
    </w:div>
    <w:div w:id="1624194365">
      <w:marLeft w:val="0"/>
      <w:marRight w:val="0"/>
      <w:marTop w:val="0"/>
      <w:marBottom w:val="0"/>
      <w:divBdr>
        <w:top w:val="none" w:sz="0" w:space="0" w:color="auto"/>
        <w:left w:val="none" w:sz="0" w:space="0" w:color="auto"/>
        <w:bottom w:val="none" w:sz="0" w:space="0" w:color="auto"/>
        <w:right w:val="none" w:sz="0" w:space="0" w:color="auto"/>
      </w:divBdr>
    </w:div>
    <w:div w:id="1624194366">
      <w:marLeft w:val="0"/>
      <w:marRight w:val="0"/>
      <w:marTop w:val="0"/>
      <w:marBottom w:val="0"/>
      <w:divBdr>
        <w:top w:val="none" w:sz="0" w:space="0" w:color="auto"/>
        <w:left w:val="none" w:sz="0" w:space="0" w:color="auto"/>
        <w:bottom w:val="none" w:sz="0" w:space="0" w:color="auto"/>
        <w:right w:val="none" w:sz="0" w:space="0" w:color="auto"/>
      </w:divBdr>
    </w:div>
    <w:div w:id="1624194367">
      <w:marLeft w:val="0"/>
      <w:marRight w:val="0"/>
      <w:marTop w:val="0"/>
      <w:marBottom w:val="0"/>
      <w:divBdr>
        <w:top w:val="none" w:sz="0" w:space="0" w:color="auto"/>
        <w:left w:val="none" w:sz="0" w:space="0" w:color="auto"/>
        <w:bottom w:val="none" w:sz="0" w:space="0" w:color="auto"/>
        <w:right w:val="none" w:sz="0" w:space="0" w:color="auto"/>
      </w:divBdr>
    </w:div>
    <w:div w:id="1624194368">
      <w:marLeft w:val="0"/>
      <w:marRight w:val="0"/>
      <w:marTop w:val="0"/>
      <w:marBottom w:val="0"/>
      <w:divBdr>
        <w:top w:val="none" w:sz="0" w:space="0" w:color="auto"/>
        <w:left w:val="none" w:sz="0" w:space="0" w:color="auto"/>
        <w:bottom w:val="none" w:sz="0" w:space="0" w:color="auto"/>
        <w:right w:val="none" w:sz="0" w:space="0" w:color="auto"/>
      </w:divBdr>
    </w:div>
    <w:div w:id="1624194369">
      <w:marLeft w:val="0"/>
      <w:marRight w:val="0"/>
      <w:marTop w:val="0"/>
      <w:marBottom w:val="0"/>
      <w:divBdr>
        <w:top w:val="none" w:sz="0" w:space="0" w:color="auto"/>
        <w:left w:val="none" w:sz="0" w:space="0" w:color="auto"/>
        <w:bottom w:val="none" w:sz="0" w:space="0" w:color="auto"/>
        <w:right w:val="none" w:sz="0" w:space="0" w:color="auto"/>
      </w:divBdr>
    </w:div>
    <w:div w:id="1624194370">
      <w:marLeft w:val="0"/>
      <w:marRight w:val="0"/>
      <w:marTop w:val="0"/>
      <w:marBottom w:val="0"/>
      <w:divBdr>
        <w:top w:val="none" w:sz="0" w:space="0" w:color="auto"/>
        <w:left w:val="none" w:sz="0" w:space="0" w:color="auto"/>
        <w:bottom w:val="none" w:sz="0" w:space="0" w:color="auto"/>
        <w:right w:val="none" w:sz="0" w:space="0" w:color="auto"/>
      </w:divBdr>
    </w:div>
    <w:div w:id="1624194371">
      <w:marLeft w:val="0"/>
      <w:marRight w:val="0"/>
      <w:marTop w:val="0"/>
      <w:marBottom w:val="0"/>
      <w:divBdr>
        <w:top w:val="none" w:sz="0" w:space="0" w:color="auto"/>
        <w:left w:val="none" w:sz="0" w:space="0" w:color="auto"/>
        <w:bottom w:val="none" w:sz="0" w:space="0" w:color="auto"/>
        <w:right w:val="none" w:sz="0" w:space="0" w:color="auto"/>
      </w:divBdr>
    </w:div>
    <w:div w:id="1624194372">
      <w:marLeft w:val="0"/>
      <w:marRight w:val="0"/>
      <w:marTop w:val="0"/>
      <w:marBottom w:val="0"/>
      <w:divBdr>
        <w:top w:val="none" w:sz="0" w:space="0" w:color="auto"/>
        <w:left w:val="none" w:sz="0" w:space="0" w:color="auto"/>
        <w:bottom w:val="none" w:sz="0" w:space="0" w:color="auto"/>
        <w:right w:val="none" w:sz="0" w:space="0" w:color="auto"/>
      </w:divBdr>
    </w:div>
    <w:div w:id="1624194373">
      <w:marLeft w:val="0"/>
      <w:marRight w:val="0"/>
      <w:marTop w:val="0"/>
      <w:marBottom w:val="0"/>
      <w:divBdr>
        <w:top w:val="none" w:sz="0" w:space="0" w:color="auto"/>
        <w:left w:val="none" w:sz="0" w:space="0" w:color="auto"/>
        <w:bottom w:val="none" w:sz="0" w:space="0" w:color="auto"/>
        <w:right w:val="none" w:sz="0" w:space="0" w:color="auto"/>
      </w:divBdr>
    </w:div>
    <w:div w:id="1624194374">
      <w:marLeft w:val="0"/>
      <w:marRight w:val="0"/>
      <w:marTop w:val="0"/>
      <w:marBottom w:val="0"/>
      <w:divBdr>
        <w:top w:val="none" w:sz="0" w:space="0" w:color="auto"/>
        <w:left w:val="none" w:sz="0" w:space="0" w:color="auto"/>
        <w:bottom w:val="none" w:sz="0" w:space="0" w:color="auto"/>
        <w:right w:val="none" w:sz="0" w:space="0" w:color="auto"/>
      </w:divBdr>
    </w:div>
    <w:div w:id="1624194375">
      <w:marLeft w:val="0"/>
      <w:marRight w:val="0"/>
      <w:marTop w:val="0"/>
      <w:marBottom w:val="0"/>
      <w:divBdr>
        <w:top w:val="none" w:sz="0" w:space="0" w:color="auto"/>
        <w:left w:val="none" w:sz="0" w:space="0" w:color="auto"/>
        <w:bottom w:val="none" w:sz="0" w:space="0" w:color="auto"/>
        <w:right w:val="none" w:sz="0" w:space="0" w:color="auto"/>
      </w:divBdr>
    </w:div>
    <w:div w:id="1624194376">
      <w:marLeft w:val="0"/>
      <w:marRight w:val="0"/>
      <w:marTop w:val="0"/>
      <w:marBottom w:val="0"/>
      <w:divBdr>
        <w:top w:val="none" w:sz="0" w:space="0" w:color="auto"/>
        <w:left w:val="none" w:sz="0" w:space="0" w:color="auto"/>
        <w:bottom w:val="none" w:sz="0" w:space="0" w:color="auto"/>
        <w:right w:val="none" w:sz="0" w:space="0" w:color="auto"/>
      </w:divBdr>
    </w:div>
    <w:div w:id="1624194377">
      <w:marLeft w:val="0"/>
      <w:marRight w:val="0"/>
      <w:marTop w:val="0"/>
      <w:marBottom w:val="0"/>
      <w:divBdr>
        <w:top w:val="none" w:sz="0" w:space="0" w:color="auto"/>
        <w:left w:val="none" w:sz="0" w:space="0" w:color="auto"/>
        <w:bottom w:val="none" w:sz="0" w:space="0" w:color="auto"/>
        <w:right w:val="none" w:sz="0" w:space="0" w:color="auto"/>
      </w:divBdr>
    </w:div>
    <w:div w:id="1624194378">
      <w:marLeft w:val="0"/>
      <w:marRight w:val="0"/>
      <w:marTop w:val="0"/>
      <w:marBottom w:val="0"/>
      <w:divBdr>
        <w:top w:val="none" w:sz="0" w:space="0" w:color="auto"/>
        <w:left w:val="none" w:sz="0" w:space="0" w:color="auto"/>
        <w:bottom w:val="none" w:sz="0" w:space="0" w:color="auto"/>
        <w:right w:val="none" w:sz="0" w:space="0" w:color="auto"/>
      </w:divBdr>
    </w:div>
    <w:div w:id="1624194379">
      <w:marLeft w:val="0"/>
      <w:marRight w:val="0"/>
      <w:marTop w:val="0"/>
      <w:marBottom w:val="0"/>
      <w:divBdr>
        <w:top w:val="none" w:sz="0" w:space="0" w:color="auto"/>
        <w:left w:val="none" w:sz="0" w:space="0" w:color="auto"/>
        <w:bottom w:val="none" w:sz="0" w:space="0" w:color="auto"/>
        <w:right w:val="none" w:sz="0" w:space="0" w:color="auto"/>
      </w:divBdr>
    </w:div>
    <w:div w:id="1624194380">
      <w:marLeft w:val="0"/>
      <w:marRight w:val="0"/>
      <w:marTop w:val="0"/>
      <w:marBottom w:val="0"/>
      <w:divBdr>
        <w:top w:val="none" w:sz="0" w:space="0" w:color="auto"/>
        <w:left w:val="none" w:sz="0" w:space="0" w:color="auto"/>
        <w:bottom w:val="none" w:sz="0" w:space="0" w:color="auto"/>
        <w:right w:val="none" w:sz="0" w:space="0" w:color="auto"/>
      </w:divBdr>
    </w:div>
    <w:div w:id="1624194381">
      <w:marLeft w:val="0"/>
      <w:marRight w:val="0"/>
      <w:marTop w:val="0"/>
      <w:marBottom w:val="0"/>
      <w:divBdr>
        <w:top w:val="none" w:sz="0" w:space="0" w:color="auto"/>
        <w:left w:val="none" w:sz="0" w:space="0" w:color="auto"/>
        <w:bottom w:val="none" w:sz="0" w:space="0" w:color="auto"/>
        <w:right w:val="none" w:sz="0" w:space="0" w:color="auto"/>
      </w:divBdr>
    </w:div>
    <w:div w:id="1624194382">
      <w:marLeft w:val="0"/>
      <w:marRight w:val="0"/>
      <w:marTop w:val="0"/>
      <w:marBottom w:val="0"/>
      <w:divBdr>
        <w:top w:val="none" w:sz="0" w:space="0" w:color="auto"/>
        <w:left w:val="none" w:sz="0" w:space="0" w:color="auto"/>
        <w:bottom w:val="none" w:sz="0" w:space="0" w:color="auto"/>
        <w:right w:val="none" w:sz="0" w:space="0" w:color="auto"/>
      </w:divBdr>
    </w:div>
    <w:div w:id="1624194383">
      <w:marLeft w:val="0"/>
      <w:marRight w:val="0"/>
      <w:marTop w:val="0"/>
      <w:marBottom w:val="0"/>
      <w:divBdr>
        <w:top w:val="none" w:sz="0" w:space="0" w:color="auto"/>
        <w:left w:val="none" w:sz="0" w:space="0" w:color="auto"/>
        <w:bottom w:val="none" w:sz="0" w:space="0" w:color="auto"/>
        <w:right w:val="none" w:sz="0" w:space="0" w:color="auto"/>
      </w:divBdr>
    </w:div>
    <w:div w:id="1624194384">
      <w:marLeft w:val="0"/>
      <w:marRight w:val="0"/>
      <w:marTop w:val="0"/>
      <w:marBottom w:val="0"/>
      <w:divBdr>
        <w:top w:val="none" w:sz="0" w:space="0" w:color="auto"/>
        <w:left w:val="none" w:sz="0" w:space="0" w:color="auto"/>
        <w:bottom w:val="none" w:sz="0" w:space="0" w:color="auto"/>
        <w:right w:val="none" w:sz="0" w:space="0" w:color="auto"/>
      </w:divBdr>
    </w:div>
    <w:div w:id="1624194385">
      <w:marLeft w:val="0"/>
      <w:marRight w:val="0"/>
      <w:marTop w:val="0"/>
      <w:marBottom w:val="0"/>
      <w:divBdr>
        <w:top w:val="none" w:sz="0" w:space="0" w:color="auto"/>
        <w:left w:val="none" w:sz="0" w:space="0" w:color="auto"/>
        <w:bottom w:val="none" w:sz="0" w:space="0" w:color="auto"/>
        <w:right w:val="none" w:sz="0" w:space="0" w:color="auto"/>
      </w:divBdr>
    </w:div>
    <w:div w:id="1624194386">
      <w:marLeft w:val="0"/>
      <w:marRight w:val="0"/>
      <w:marTop w:val="0"/>
      <w:marBottom w:val="0"/>
      <w:divBdr>
        <w:top w:val="none" w:sz="0" w:space="0" w:color="auto"/>
        <w:left w:val="none" w:sz="0" w:space="0" w:color="auto"/>
        <w:bottom w:val="none" w:sz="0" w:space="0" w:color="auto"/>
        <w:right w:val="none" w:sz="0" w:space="0" w:color="auto"/>
      </w:divBdr>
    </w:div>
    <w:div w:id="1624194387">
      <w:marLeft w:val="0"/>
      <w:marRight w:val="0"/>
      <w:marTop w:val="0"/>
      <w:marBottom w:val="0"/>
      <w:divBdr>
        <w:top w:val="none" w:sz="0" w:space="0" w:color="auto"/>
        <w:left w:val="none" w:sz="0" w:space="0" w:color="auto"/>
        <w:bottom w:val="none" w:sz="0" w:space="0" w:color="auto"/>
        <w:right w:val="none" w:sz="0" w:space="0" w:color="auto"/>
      </w:divBdr>
    </w:div>
    <w:div w:id="1624194388">
      <w:marLeft w:val="0"/>
      <w:marRight w:val="0"/>
      <w:marTop w:val="0"/>
      <w:marBottom w:val="0"/>
      <w:divBdr>
        <w:top w:val="none" w:sz="0" w:space="0" w:color="auto"/>
        <w:left w:val="none" w:sz="0" w:space="0" w:color="auto"/>
        <w:bottom w:val="none" w:sz="0" w:space="0" w:color="auto"/>
        <w:right w:val="none" w:sz="0" w:space="0" w:color="auto"/>
      </w:divBdr>
    </w:div>
    <w:div w:id="1624194389">
      <w:marLeft w:val="0"/>
      <w:marRight w:val="0"/>
      <w:marTop w:val="0"/>
      <w:marBottom w:val="0"/>
      <w:divBdr>
        <w:top w:val="none" w:sz="0" w:space="0" w:color="auto"/>
        <w:left w:val="none" w:sz="0" w:space="0" w:color="auto"/>
        <w:bottom w:val="none" w:sz="0" w:space="0" w:color="auto"/>
        <w:right w:val="none" w:sz="0" w:space="0" w:color="auto"/>
      </w:divBdr>
    </w:div>
    <w:div w:id="1624194390">
      <w:marLeft w:val="0"/>
      <w:marRight w:val="0"/>
      <w:marTop w:val="0"/>
      <w:marBottom w:val="0"/>
      <w:divBdr>
        <w:top w:val="none" w:sz="0" w:space="0" w:color="auto"/>
        <w:left w:val="none" w:sz="0" w:space="0" w:color="auto"/>
        <w:bottom w:val="none" w:sz="0" w:space="0" w:color="auto"/>
        <w:right w:val="none" w:sz="0" w:space="0" w:color="auto"/>
      </w:divBdr>
    </w:div>
    <w:div w:id="1624194391">
      <w:marLeft w:val="0"/>
      <w:marRight w:val="0"/>
      <w:marTop w:val="0"/>
      <w:marBottom w:val="0"/>
      <w:divBdr>
        <w:top w:val="none" w:sz="0" w:space="0" w:color="auto"/>
        <w:left w:val="none" w:sz="0" w:space="0" w:color="auto"/>
        <w:bottom w:val="none" w:sz="0" w:space="0" w:color="auto"/>
        <w:right w:val="none" w:sz="0" w:space="0" w:color="auto"/>
      </w:divBdr>
    </w:div>
    <w:div w:id="1624194392">
      <w:marLeft w:val="0"/>
      <w:marRight w:val="0"/>
      <w:marTop w:val="0"/>
      <w:marBottom w:val="0"/>
      <w:divBdr>
        <w:top w:val="none" w:sz="0" w:space="0" w:color="auto"/>
        <w:left w:val="none" w:sz="0" w:space="0" w:color="auto"/>
        <w:bottom w:val="none" w:sz="0" w:space="0" w:color="auto"/>
        <w:right w:val="none" w:sz="0" w:space="0" w:color="auto"/>
      </w:divBdr>
    </w:div>
    <w:div w:id="1624194393">
      <w:marLeft w:val="0"/>
      <w:marRight w:val="0"/>
      <w:marTop w:val="0"/>
      <w:marBottom w:val="0"/>
      <w:divBdr>
        <w:top w:val="none" w:sz="0" w:space="0" w:color="auto"/>
        <w:left w:val="none" w:sz="0" w:space="0" w:color="auto"/>
        <w:bottom w:val="none" w:sz="0" w:space="0" w:color="auto"/>
        <w:right w:val="none" w:sz="0" w:space="0" w:color="auto"/>
      </w:divBdr>
    </w:div>
    <w:div w:id="1624194394">
      <w:marLeft w:val="0"/>
      <w:marRight w:val="0"/>
      <w:marTop w:val="0"/>
      <w:marBottom w:val="0"/>
      <w:divBdr>
        <w:top w:val="none" w:sz="0" w:space="0" w:color="auto"/>
        <w:left w:val="none" w:sz="0" w:space="0" w:color="auto"/>
        <w:bottom w:val="none" w:sz="0" w:space="0" w:color="auto"/>
        <w:right w:val="none" w:sz="0" w:space="0" w:color="auto"/>
      </w:divBdr>
    </w:div>
    <w:div w:id="1624194395">
      <w:marLeft w:val="0"/>
      <w:marRight w:val="0"/>
      <w:marTop w:val="0"/>
      <w:marBottom w:val="0"/>
      <w:divBdr>
        <w:top w:val="none" w:sz="0" w:space="0" w:color="auto"/>
        <w:left w:val="none" w:sz="0" w:space="0" w:color="auto"/>
        <w:bottom w:val="none" w:sz="0" w:space="0" w:color="auto"/>
        <w:right w:val="none" w:sz="0" w:space="0" w:color="auto"/>
      </w:divBdr>
    </w:div>
    <w:div w:id="1624194396">
      <w:marLeft w:val="0"/>
      <w:marRight w:val="0"/>
      <w:marTop w:val="0"/>
      <w:marBottom w:val="0"/>
      <w:divBdr>
        <w:top w:val="none" w:sz="0" w:space="0" w:color="auto"/>
        <w:left w:val="none" w:sz="0" w:space="0" w:color="auto"/>
        <w:bottom w:val="none" w:sz="0" w:space="0" w:color="auto"/>
        <w:right w:val="none" w:sz="0" w:space="0" w:color="auto"/>
      </w:divBdr>
    </w:div>
    <w:div w:id="1624194397">
      <w:marLeft w:val="0"/>
      <w:marRight w:val="0"/>
      <w:marTop w:val="0"/>
      <w:marBottom w:val="0"/>
      <w:divBdr>
        <w:top w:val="none" w:sz="0" w:space="0" w:color="auto"/>
        <w:left w:val="none" w:sz="0" w:space="0" w:color="auto"/>
        <w:bottom w:val="none" w:sz="0" w:space="0" w:color="auto"/>
        <w:right w:val="none" w:sz="0" w:space="0" w:color="auto"/>
      </w:divBdr>
    </w:div>
    <w:div w:id="1624194398">
      <w:marLeft w:val="0"/>
      <w:marRight w:val="0"/>
      <w:marTop w:val="0"/>
      <w:marBottom w:val="0"/>
      <w:divBdr>
        <w:top w:val="none" w:sz="0" w:space="0" w:color="auto"/>
        <w:left w:val="none" w:sz="0" w:space="0" w:color="auto"/>
        <w:bottom w:val="none" w:sz="0" w:space="0" w:color="auto"/>
        <w:right w:val="none" w:sz="0" w:space="0" w:color="auto"/>
      </w:divBdr>
    </w:div>
    <w:div w:id="1624194399">
      <w:marLeft w:val="0"/>
      <w:marRight w:val="0"/>
      <w:marTop w:val="0"/>
      <w:marBottom w:val="0"/>
      <w:divBdr>
        <w:top w:val="none" w:sz="0" w:space="0" w:color="auto"/>
        <w:left w:val="none" w:sz="0" w:space="0" w:color="auto"/>
        <w:bottom w:val="none" w:sz="0" w:space="0" w:color="auto"/>
        <w:right w:val="none" w:sz="0" w:space="0" w:color="auto"/>
      </w:divBdr>
    </w:div>
    <w:div w:id="1624194400">
      <w:marLeft w:val="0"/>
      <w:marRight w:val="0"/>
      <w:marTop w:val="0"/>
      <w:marBottom w:val="0"/>
      <w:divBdr>
        <w:top w:val="none" w:sz="0" w:space="0" w:color="auto"/>
        <w:left w:val="none" w:sz="0" w:space="0" w:color="auto"/>
        <w:bottom w:val="none" w:sz="0" w:space="0" w:color="auto"/>
        <w:right w:val="none" w:sz="0" w:space="0" w:color="auto"/>
      </w:divBdr>
    </w:div>
    <w:div w:id="1624194401">
      <w:marLeft w:val="0"/>
      <w:marRight w:val="0"/>
      <w:marTop w:val="0"/>
      <w:marBottom w:val="0"/>
      <w:divBdr>
        <w:top w:val="none" w:sz="0" w:space="0" w:color="auto"/>
        <w:left w:val="none" w:sz="0" w:space="0" w:color="auto"/>
        <w:bottom w:val="none" w:sz="0" w:space="0" w:color="auto"/>
        <w:right w:val="none" w:sz="0" w:space="0" w:color="auto"/>
      </w:divBdr>
    </w:div>
    <w:div w:id="1624194402">
      <w:marLeft w:val="0"/>
      <w:marRight w:val="0"/>
      <w:marTop w:val="0"/>
      <w:marBottom w:val="0"/>
      <w:divBdr>
        <w:top w:val="none" w:sz="0" w:space="0" w:color="auto"/>
        <w:left w:val="none" w:sz="0" w:space="0" w:color="auto"/>
        <w:bottom w:val="none" w:sz="0" w:space="0" w:color="auto"/>
        <w:right w:val="none" w:sz="0" w:space="0" w:color="auto"/>
      </w:divBdr>
    </w:div>
    <w:div w:id="1624194403">
      <w:marLeft w:val="0"/>
      <w:marRight w:val="0"/>
      <w:marTop w:val="0"/>
      <w:marBottom w:val="0"/>
      <w:divBdr>
        <w:top w:val="none" w:sz="0" w:space="0" w:color="auto"/>
        <w:left w:val="none" w:sz="0" w:space="0" w:color="auto"/>
        <w:bottom w:val="none" w:sz="0" w:space="0" w:color="auto"/>
        <w:right w:val="none" w:sz="0" w:space="0" w:color="auto"/>
      </w:divBdr>
    </w:div>
    <w:div w:id="1624194404">
      <w:marLeft w:val="0"/>
      <w:marRight w:val="0"/>
      <w:marTop w:val="0"/>
      <w:marBottom w:val="0"/>
      <w:divBdr>
        <w:top w:val="none" w:sz="0" w:space="0" w:color="auto"/>
        <w:left w:val="none" w:sz="0" w:space="0" w:color="auto"/>
        <w:bottom w:val="none" w:sz="0" w:space="0" w:color="auto"/>
        <w:right w:val="none" w:sz="0" w:space="0" w:color="auto"/>
      </w:divBdr>
    </w:div>
    <w:div w:id="1624194405">
      <w:marLeft w:val="0"/>
      <w:marRight w:val="0"/>
      <w:marTop w:val="0"/>
      <w:marBottom w:val="0"/>
      <w:divBdr>
        <w:top w:val="none" w:sz="0" w:space="0" w:color="auto"/>
        <w:left w:val="none" w:sz="0" w:space="0" w:color="auto"/>
        <w:bottom w:val="none" w:sz="0" w:space="0" w:color="auto"/>
        <w:right w:val="none" w:sz="0" w:space="0" w:color="auto"/>
      </w:divBdr>
    </w:div>
    <w:div w:id="1624194406">
      <w:marLeft w:val="0"/>
      <w:marRight w:val="0"/>
      <w:marTop w:val="0"/>
      <w:marBottom w:val="0"/>
      <w:divBdr>
        <w:top w:val="none" w:sz="0" w:space="0" w:color="auto"/>
        <w:left w:val="none" w:sz="0" w:space="0" w:color="auto"/>
        <w:bottom w:val="none" w:sz="0" w:space="0" w:color="auto"/>
        <w:right w:val="none" w:sz="0" w:space="0" w:color="auto"/>
      </w:divBdr>
    </w:div>
    <w:div w:id="1624194407">
      <w:marLeft w:val="0"/>
      <w:marRight w:val="0"/>
      <w:marTop w:val="0"/>
      <w:marBottom w:val="0"/>
      <w:divBdr>
        <w:top w:val="none" w:sz="0" w:space="0" w:color="auto"/>
        <w:left w:val="none" w:sz="0" w:space="0" w:color="auto"/>
        <w:bottom w:val="none" w:sz="0" w:space="0" w:color="auto"/>
        <w:right w:val="none" w:sz="0" w:space="0" w:color="auto"/>
      </w:divBdr>
    </w:div>
    <w:div w:id="1624194408">
      <w:marLeft w:val="0"/>
      <w:marRight w:val="0"/>
      <w:marTop w:val="0"/>
      <w:marBottom w:val="0"/>
      <w:divBdr>
        <w:top w:val="none" w:sz="0" w:space="0" w:color="auto"/>
        <w:left w:val="none" w:sz="0" w:space="0" w:color="auto"/>
        <w:bottom w:val="none" w:sz="0" w:space="0" w:color="auto"/>
        <w:right w:val="none" w:sz="0" w:space="0" w:color="auto"/>
      </w:divBdr>
    </w:div>
    <w:div w:id="1624194409">
      <w:marLeft w:val="0"/>
      <w:marRight w:val="0"/>
      <w:marTop w:val="0"/>
      <w:marBottom w:val="0"/>
      <w:divBdr>
        <w:top w:val="none" w:sz="0" w:space="0" w:color="auto"/>
        <w:left w:val="none" w:sz="0" w:space="0" w:color="auto"/>
        <w:bottom w:val="none" w:sz="0" w:space="0" w:color="auto"/>
        <w:right w:val="none" w:sz="0" w:space="0" w:color="auto"/>
      </w:divBdr>
    </w:div>
    <w:div w:id="1624194410">
      <w:marLeft w:val="0"/>
      <w:marRight w:val="0"/>
      <w:marTop w:val="0"/>
      <w:marBottom w:val="0"/>
      <w:divBdr>
        <w:top w:val="none" w:sz="0" w:space="0" w:color="auto"/>
        <w:left w:val="none" w:sz="0" w:space="0" w:color="auto"/>
        <w:bottom w:val="none" w:sz="0" w:space="0" w:color="auto"/>
        <w:right w:val="none" w:sz="0" w:space="0" w:color="auto"/>
      </w:divBdr>
    </w:div>
    <w:div w:id="1624194411">
      <w:marLeft w:val="0"/>
      <w:marRight w:val="0"/>
      <w:marTop w:val="0"/>
      <w:marBottom w:val="0"/>
      <w:divBdr>
        <w:top w:val="none" w:sz="0" w:space="0" w:color="auto"/>
        <w:left w:val="none" w:sz="0" w:space="0" w:color="auto"/>
        <w:bottom w:val="none" w:sz="0" w:space="0" w:color="auto"/>
        <w:right w:val="none" w:sz="0" w:space="0" w:color="auto"/>
      </w:divBdr>
    </w:div>
    <w:div w:id="1624194412">
      <w:marLeft w:val="0"/>
      <w:marRight w:val="0"/>
      <w:marTop w:val="0"/>
      <w:marBottom w:val="0"/>
      <w:divBdr>
        <w:top w:val="none" w:sz="0" w:space="0" w:color="auto"/>
        <w:left w:val="none" w:sz="0" w:space="0" w:color="auto"/>
        <w:bottom w:val="none" w:sz="0" w:space="0" w:color="auto"/>
        <w:right w:val="none" w:sz="0" w:space="0" w:color="auto"/>
      </w:divBdr>
    </w:div>
    <w:div w:id="1624194413">
      <w:marLeft w:val="0"/>
      <w:marRight w:val="0"/>
      <w:marTop w:val="0"/>
      <w:marBottom w:val="0"/>
      <w:divBdr>
        <w:top w:val="none" w:sz="0" w:space="0" w:color="auto"/>
        <w:left w:val="none" w:sz="0" w:space="0" w:color="auto"/>
        <w:bottom w:val="none" w:sz="0" w:space="0" w:color="auto"/>
        <w:right w:val="none" w:sz="0" w:space="0" w:color="auto"/>
      </w:divBdr>
    </w:div>
    <w:div w:id="1624194414">
      <w:marLeft w:val="0"/>
      <w:marRight w:val="0"/>
      <w:marTop w:val="0"/>
      <w:marBottom w:val="0"/>
      <w:divBdr>
        <w:top w:val="none" w:sz="0" w:space="0" w:color="auto"/>
        <w:left w:val="none" w:sz="0" w:space="0" w:color="auto"/>
        <w:bottom w:val="none" w:sz="0" w:space="0" w:color="auto"/>
        <w:right w:val="none" w:sz="0" w:space="0" w:color="auto"/>
      </w:divBdr>
    </w:div>
    <w:div w:id="1624194415">
      <w:marLeft w:val="0"/>
      <w:marRight w:val="0"/>
      <w:marTop w:val="0"/>
      <w:marBottom w:val="0"/>
      <w:divBdr>
        <w:top w:val="none" w:sz="0" w:space="0" w:color="auto"/>
        <w:left w:val="none" w:sz="0" w:space="0" w:color="auto"/>
        <w:bottom w:val="none" w:sz="0" w:space="0" w:color="auto"/>
        <w:right w:val="none" w:sz="0" w:space="0" w:color="auto"/>
      </w:divBdr>
    </w:div>
    <w:div w:id="1624194416">
      <w:marLeft w:val="0"/>
      <w:marRight w:val="0"/>
      <w:marTop w:val="0"/>
      <w:marBottom w:val="0"/>
      <w:divBdr>
        <w:top w:val="none" w:sz="0" w:space="0" w:color="auto"/>
        <w:left w:val="none" w:sz="0" w:space="0" w:color="auto"/>
        <w:bottom w:val="none" w:sz="0" w:space="0" w:color="auto"/>
        <w:right w:val="none" w:sz="0" w:space="0" w:color="auto"/>
      </w:divBdr>
    </w:div>
    <w:div w:id="1624194417">
      <w:marLeft w:val="0"/>
      <w:marRight w:val="0"/>
      <w:marTop w:val="0"/>
      <w:marBottom w:val="0"/>
      <w:divBdr>
        <w:top w:val="none" w:sz="0" w:space="0" w:color="auto"/>
        <w:left w:val="none" w:sz="0" w:space="0" w:color="auto"/>
        <w:bottom w:val="none" w:sz="0" w:space="0" w:color="auto"/>
        <w:right w:val="none" w:sz="0" w:space="0" w:color="auto"/>
      </w:divBdr>
    </w:div>
    <w:div w:id="1624194418">
      <w:marLeft w:val="0"/>
      <w:marRight w:val="0"/>
      <w:marTop w:val="0"/>
      <w:marBottom w:val="0"/>
      <w:divBdr>
        <w:top w:val="none" w:sz="0" w:space="0" w:color="auto"/>
        <w:left w:val="none" w:sz="0" w:space="0" w:color="auto"/>
        <w:bottom w:val="none" w:sz="0" w:space="0" w:color="auto"/>
        <w:right w:val="none" w:sz="0" w:space="0" w:color="auto"/>
      </w:divBdr>
    </w:div>
    <w:div w:id="1624194419">
      <w:marLeft w:val="0"/>
      <w:marRight w:val="0"/>
      <w:marTop w:val="0"/>
      <w:marBottom w:val="0"/>
      <w:divBdr>
        <w:top w:val="none" w:sz="0" w:space="0" w:color="auto"/>
        <w:left w:val="none" w:sz="0" w:space="0" w:color="auto"/>
        <w:bottom w:val="none" w:sz="0" w:space="0" w:color="auto"/>
        <w:right w:val="none" w:sz="0" w:space="0" w:color="auto"/>
      </w:divBdr>
    </w:div>
    <w:div w:id="1624194420">
      <w:marLeft w:val="0"/>
      <w:marRight w:val="0"/>
      <w:marTop w:val="0"/>
      <w:marBottom w:val="0"/>
      <w:divBdr>
        <w:top w:val="none" w:sz="0" w:space="0" w:color="auto"/>
        <w:left w:val="none" w:sz="0" w:space="0" w:color="auto"/>
        <w:bottom w:val="none" w:sz="0" w:space="0" w:color="auto"/>
        <w:right w:val="none" w:sz="0" w:space="0" w:color="auto"/>
      </w:divBdr>
    </w:div>
    <w:div w:id="1624194421">
      <w:marLeft w:val="0"/>
      <w:marRight w:val="0"/>
      <w:marTop w:val="0"/>
      <w:marBottom w:val="0"/>
      <w:divBdr>
        <w:top w:val="none" w:sz="0" w:space="0" w:color="auto"/>
        <w:left w:val="none" w:sz="0" w:space="0" w:color="auto"/>
        <w:bottom w:val="none" w:sz="0" w:space="0" w:color="auto"/>
        <w:right w:val="none" w:sz="0" w:space="0" w:color="auto"/>
      </w:divBdr>
    </w:div>
    <w:div w:id="1624194422">
      <w:marLeft w:val="0"/>
      <w:marRight w:val="0"/>
      <w:marTop w:val="0"/>
      <w:marBottom w:val="0"/>
      <w:divBdr>
        <w:top w:val="none" w:sz="0" w:space="0" w:color="auto"/>
        <w:left w:val="none" w:sz="0" w:space="0" w:color="auto"/>
        <w:bottom w:val="none" w:sz="0" w:space="0" w:color="auto"/>
        <w:right w:val="none" w:sz="0" w:space="0" w:color="auto"/>
      </w:divBdr>
    </w:div>
    <w:div w:id="1624194423">
      <w:marLeft w:val="0"/>
      <w:marRight w:val="0"/>
      <w:marTop w:val="0"/>
      <w:marBottom w:val="0"/>
      <w:divBdr>
        <w:top w:val="none" w:sz="0" w:space="0" w:color="auto"/>
        <w:left w:val="none" w:sz="0" w:space="0" w:color="auto"/>
        <w:bottom w:val="none" w:sz="0" w:space="0" w:color="auto"/>
        <w:right w:val="none" w:sz="0" w:space="0" w:color="auto"/>
      </w:divBdr>
    </w:div>
    <w:div w:id="1624194424">
      <w:marLeft w:val="0"/>
      <w:marRight w:val="0"/>
      <w:marTop w:val="0"/>
      <w:marBottom w:val="0"/>
      <w:divBdr>
        <w:top w:val="none" w:sz="0" w:space="0" w:color="auto"/>
        <w:left w:val="none" w:sz="0" w:space="0" w:color="auto"/>
        <w:bottom w:val="none" w:sz="0" w:space="0" w:color="auto"/>
        <w:right w:val="none" w:sz="0" w:space="0" w:color="auto"/>
      </w:divBdr>
    </w:div>
    <w:div w:id="1624194425">
      <w:marLeft w:val="0"/>
      <w:marRight w:val="0"/>
      <w:marTop w:val="0"/>
      <w:marBottom w:val="0"/>
      <w:divBdr>
        <w:top w:val="none" w:sz="0" w:space="0" w:color="auto"/>
        <w:left w:val="none" w:sz="0" w:space="0" w:color="auto"/>
        <w:bottom w:val="none" w:sz="0" w:space="0" w:color="auto"/>
        <w:right w:val="none" w:sz="0" w:space="0" w:color="auto"/>
      </w:divBdr>
    </w:div>
    <w:div w:id="1624194426">
      <w:marLeft w:val="0"/>
      <w:marRight w:val="0"/>
      <w:marTop w:val="0"/>
      <w:marBottom w:val="0"/>
      <w:divBdr>
        <w:top w:val="none" w:sz="0" w:space="0" w:color="auto"/>
        <w:left w:val="none" w:sz="0" w:space="0" w:color="auto"/>
        <w:bottom w:val="none" w:sz="0" w:space="0" w:color="auto"/>
        <w:right w:val="none" w:sz="0" w:space="0" w:color="auto"/>
      </w:divBdr>
    </w:div>
    <w:div w:id="1624194427">
      <w:marLeft w:val="0"/>
      <w:marRight w:val="0"/>
      <w:marTop w:val="0"/>
      <w:marBottom w:val="0"/>
      <w:divBdr>
        <w:top w:val="none" w:sz="0" w:space="0" w:color="auto"/>
        <w:left w:val="none" w:sz="0" w:space="0" w:color="auto"/>
        <w:bottom w:val="none" w:sz="0" w:space="0" w:color="auto"/>
        <w:right w:val="none" w:sz="0" w:space="0" w:color="auto"/>
      </w:divBdr>
    </w:div>
    <w:div w:id="1624194428">
      <w:marLeft w:val="0"/>
      <w:marRight w:val="0"/>
      <w:marTop w:val="0"/>
      <w:marBottom w:val="0"/>
      <w:divBdr>
        <w:top w:val="none" w:sz="0" w:space="0" w:color="auto"/>
        <w:left w:val="none" w:sz="0" w:space="0" w:color="auto"/>
        <w:bottom w:val="none" w:sz="0" w:space="0" w:color="auto"/>
        <w:right w:val="none" w:sz="0" w:space="0" w:color="auto"/>
      </w:divBdr>
    </w:div>
    <w:div w:id="1624194429">
      <w:marLeft w:val="0"/>
      <w:marRight w:val="0"/>
      <w:marTop w:val="0"/>
      <w:marBottom w:val="0"/>
      <w:divBdr>
        <w:top w:val="none" w:sz="0" w:space="0" w:color="auto"/>
        <w:left w:val="none" w:sz="0" w:space="0" w:color="auto"/>
        <w:bottom w:val="none" w:sz="0" w:space="0" w:color="auto"/>
        <w:right w:val="none" w:sz="0" w:space="0" w:color="auto"/>
      </w:divBdr>
    </w:div>
    <w:div w:id="1624194430">
      <w:marLeft w:val="0"/>
      <w:marRight w:val="0"/>
      <w:marTop w:val="0"/>
      <w:marBottom w:val="0"/>
      <w:divBdr>
        <w:top w:val="none" w:sz="0" w:space="0" w:color="auto"/>
        <w:left w:val="none" w:sz="0" w:space="0" w:color="auto"/>
        <w:bottom w:val="none" w:sz="0" w:space="0" w:color="auto"/>
        <w:right w:val="none" w:sz="0" w:space="0" w:color="auto"/>
      </w:divBdr>
    </w:div>
    <w:div w:id="1624194431">
      <w:marLeft w:val="0"/>
      <w:marRight w:val="0"/>
      <w:marTop w:val="0"/>
      <w:marBottom w:val="0"/>
      <w:divBdr>
        <w:top w:val="none" w:sz="0" w:space="0" w:color="auto"/>
        <w:left w:val="none" w:sz="0" w:space="0" w:color="auto"/>
        <w:bottom w:val="none" w:sz="0" w:space="0" w:color="auto"/>
        <w:right w:val="none" w:sz="0" w:space="0" w:color="auto"/>
      </w:divBdr>
    </w:div>
    <w:div w:id="1624194432">
      <w:marLeft w:val="0"/>
      <w:marRight w:val="0"/>
      <w:marTop w:val="0"/>
      <w:marBottom w:val="0"/>
      <w:divBdr>
        <w:top w:val="none" w:sz="0" w:space="0" w:color="auto"/>
        <w:left w:val="none" w:sz="0" w:space="0" w:color="auto"/>
        <w:bottom w:val="none" w:sz="0" w:space="0" w:color="auto"/>
        <w:right w:val="none" w:sz="0" w:space="0" w:color="auto"/>
      </w:divBdr>
    </w:div>
    <w:div w:id="1624194433">
      <w:marLeft w:val="0"/>
      <w:marRight w:val="0"/>
      <w:marTop w:val="0"/>
      <w:marBottom w:val="0"/>
      <w:divBdr>
        <w:top w:val="none" w:sz="0" w:space="0" w:color="auto"/>
        <w:left w:val="none" w:sz="0" w:space="0" w:color="auto"/>
        <w:bottom w:val="none" w:sz="0" w:space="0" w:color="auto"/>
        <w:right w:val="none" w:sz="0" w:space="0" w:color="auto"/>
      </w:divBdr>
    </w:div>
    <w:div w:id="1624194434">
      <w:marLeft w:val="0"/>
      <w:marRight w:val="0"/>
      <w:marTop w:val="0"/>
      <w:marBottom w:val="0"/>
      <w:divBdr>
        <w:top w:val="none" w:sz="0" w:space="0" w:color="auto"/>
        <w:left w:val="none" w:sz="0" w:space="0" w:color="auto"/>
        <w:bottom w:val="none" w:sz="0" w:space="0" w:color="auto"/>
        <w:right w:val="none" w:sz="0" w:space="0" w:color="auto"/>
      </w:divBdr>
    </w:div>
    <w:div w:id="1624194435">
      <w:marLeft w:val="0"/>
      <w:marRight w:val="0"/>
      <w:marTop w:val="0"/>
      <w:marBottom w:val="0"/>
      <w:divBdr>
        <w:top w:val="none" w:sz="0" w:space="0" w:color="auto"/>
        <w:left w:val="none" w:sz="0" w:space="0" w:color="auto"/>
        <w:bottom w:val="none" w:sz="0" w:space="0" w:color="auto"/>
        <w:right w:val="none" w:sz="0" w:space="0" w:color="auto"/>
      </w:divBdr>
    </w:div>
    <w:div w:id="1624194436">
      <w:marLeft w:val="0"/>
      <w:marRight w:val="0"/>
      <w:marTop w:val="0"/>
      <w:marBottom w:val="0"/>
      <w:divBdr>
        <w:top w:val="none" w:sz="0" w:space="0" w:color="auto"/>
        <w:left w:val="none" w:sz="0" w:space="0" w:color="auto"/>
        <w:bottom w:val="none" w:sz="0" w:space="0" w:color="auto"/>
        <w:right w:val="none" w:sz="0" w:space="0" w:color="auto"/>
      </w:divBdr>
    </w:div>
    <w:div w:id="1624194437">
      <w:marLeft w:val="0"/>
      <w:marRight w:val="0"/>
      <w:marTop w:val="0"/>
      <w:marBottom w:val="0"/>
      <w:divBdr>
        <w:top w:val="none" w:sz="0" w:space="0" w:color="auto"/>
        <w:left w:val="none" w:sz="0" w:space="0" w:color="auto"/>
        <w:bottom w:val="none" w:sz="0" w:space="0" w:color="auto"/>
        <w:right w:val="none" w:sz="0" w:space="0" w:color="auto"/>
      </w:divBdr>
    </w:div>
    <w:div w:id="1624194438">
      <w:marLeft w:val="0"/>
      <w:marRight w:val="0"/>
      <w:marTop w:val="0"/>
      <w:marBottom w:val="0"/>
      <w:divBdr>
        <w:top w:val="none" w:sz="0" w:space="0" w:color="auto"/>
        <w:left w:val="none" w:sz="0" w:space="0" w:color="auto"/>
        <w:bottom w:val="none" w:sz="0" w:space="0" w:color="auto"/>
        <w:right w:val="none" w:sz="0" w:space="0" w:color="auto"/>
      </w:divBdr>
    </w:div>
    <w:div w:id="1624194439">
      <w:marLeft w:val="0"/>
      <w:marRight w:val="0"/>
      <w:marTop w:val="0"/>
      <w:marBottom w:val="0"/>
      <w:divBdr>
        <w:top w:val="none" w:sz="0" w:space="0" w:color="auto"/>
        <w:left w:val="none" w:sz="0" w:space="0" w:color="auto"/>
        <w:bottom w:val="none" w:sz="0" w:space="0" w:color="auto"/>
        <w:right w:val="none" w:sz="0" w:space="0" w:color="auto"/>
      </w:divBdr>
    </w:div>
    <w:div w:id="1624194440">
      <w:marLeft w:val="0"/>
      <w:marRight w:val="0"/>
      <w:marTop w:val="0"/>
      <w:marBottom w:val="0"/>
      <w:divBdr>
        <w:top w:val="none" w:sz="0" w:space="0" w:color="auto"/>
        <w:left w:val="none" w:sz="0" w:space="0" w:color="auto"/>
        <w:bottom w:val="none" w:sz="0" w:space="0" w:color="auto"/>
        <w:right w:val="none" w:sz="0" w:space="0" w:color="auto"/>
      </w:divBdr>
    </w:div>
    <w:div w:id="1624194441">
      <w:marLeft w:val="0"/>
      <w:marRight w:val="0"/>
      <w:marTop w:val="0"/>
      <w:marBottom w:val="0"/>
      <w:divBdr>
        <w:top w:val="none" w:sz="0" w:space="0" w:color="auto"/>
        <w:left w:val="none" w:sz="0" w:space="0" w:color="auto"/>
        <w:bottom w:val="none" w:sz="0" w:space="0" w:color="auto"/>
        <w:right w:val="none" w:sz="0" w:space="0" w:color="auto"/>
      </w:divBdr>
    </w:div>
    <w:div w:id="1624194442">
      <w:marLeft w:val="0"/>
      <w:marRight w:val="0"/>
      <w:marTop w:val="0"/>
      <w:marBottom w:val="0"/>
      <w:divBdr>
        <w:top w:val="none" w:sz="0" w:space="0" w:color="auto"/>
        <w:left w:val="none" w:sz="0" w:space="0" w:color="auto"/>
        <w:bottom w:val="none" w:sz="0" w:space="0" w:color="auto"/>
        <w:right w:val="none" w:sz="0" w:space="0" w:color="auto"/>
      </w:divBdr>
    </w:div>
    <w:div w:id="1624194443">
      <w:marLeft w:val="0"/>
      <w:marRight w:val="0"/>
      <w:marTop w:val="0"/>
      <w:marBottom w:val="0"/>
      <w:divBdr>
        <w:top w:val="none" w:sz="0" w:space="0" w:color="auto"/>
        <w:left w:val="none" w:sz="0" w:space="0" w:color="auto"/>
        <w:bottom w:val="none" w:sz="0" w:space="0" w:color="auto"/>
        <w:right w:val="none" w:sz="0" w:space="0" w:color="auto"/>
      </w:divBdr>
    </w:div>
    <w:div w:id="1624194444">
      <w:marLeft w:val="0"/>
      <w:marRight w:val="0"/>
      <w:marTop w:val="0"/>
      <w:marBottom w:val="0"/>
      <w:divBdr>
        <w:top w:val="none" w:sz="0" w:space="0" w:color="auto"/>
        <w:left w:val="none" w:sz="0" w:space="0" w:color="auto"/>
        <w:bottom w:val="none" w:sz="0" w:space="0" w:color="auto"/>
        <w:right w:val="none" w:sz="0" w:space="0" w:color="auto"/>
      </w:divBdr>
    </w:div>
    <w:div w:id="1624194445">
      <w:marLeft w:val="0"/>
      <w:marRight w:val="0"/>
      <w:marTop w:val="0"/>
      <w:marBottom w:val="0"/>
      <w:divBdr>
        <w:top w:val="none" w:sz="0" w:space="0" w:color="auto"/>
        <w:left w:val="none" w:sz="0" w:space="0" w:color="auto"/>
        <w:bottom w:val="none" w:sz="0" w:space="0" w:color="auto"/>
        <w:right w:val="none" w:sz="0" w:space="0" w:color="auto"/>
      </w:divBdr>
    </w:div>
    <w:div w:id="1624194446">
      <w:marLeft w:val="0"/>
      <w:marRight w:val="0"/>
      <w:marTop w:val="0"/>
      <w:marBottom w:val="0"/>
      <w:divBdr>
        <w:top w:val="none" w:sz="0" w:space="0" w:color="auto"/>
        <w:left w:val="none" w:sz="0" w:space="0" w:color="auto"/>
        <w:bottom w:val="none" w:sz="0" w:space="0" w:color="auto"/>
        <w:right w:val="none" w:sz="0" w:space="0" w:color="auto"/>
      </w:divBdr>
    </w:div>
    <w:div w:id="1624194447">
      <w:marLeft w:val="0"/>
      <w:marRight w:val="0"/>
      <w:marTop w:val="0"/>
      <w:marBottom w:val="0"/>
      <w:divBdr>
        <w:top w:val="none" w:sz="0" w:space="0" w:color="auto"/>
        <w:left w:val="none" w:sz="0" w:space="0" w:color="auto"/>
        <w:bottom w:val="none" w:sz="0" w:space="0" w:color="auto"/>
        <w:right w:val="none" w:sz="0" w:space="0" w:color="auto"/>
      </w:divBdr>
    </w:div>
    <w:div w:id="1624194448">
      <w:marLeft w:val="0"/>
      <w:marRight w:val="0"/>
      <w:marTop w:val="0"/>
      <w:marBottom w:val="0"/>
      <w:divBdr>
        <w:top w:val="none" w:sz="0" w:space="0" w:color="auto"/>
        <w:left w:val="none" w:sz="0" w:space="0" w:color="auto"/>
        <w:bottom w:val="none" w:sz="0" w:space="0" w:color="auto"/>
        <w:right w:val="none" w:sz="0" w:space="0" w:color="auto"/>
      </w:divBdr>
    </w:div>
    <w:div w:id="1624194449">
      <w:marLeft w:val="0"/>
      <w:marRight w:val="0"/>
      <w:marTop w:val="0"/>
      <w:marBottom w:val="0"/>
      <w:divBdr>
        <w:top w:val="none" w:sz="0" w:space="0" w:color="auto"/>
        <w:left w:val="none" w:sz="0" w:space="0" w:color="auto"/>
        <w:bottom w:val="none" w:sz="0" w:space="0" w:color="auto"/>
        <w:right w:val="none" w:sz="0" w:space="0" w:color="auto"/>
      </w:divBdr>
    </w:div>
    <w:div w:id="1624194450">
      <w:marLeft w:val="0"/>
      <w:marRight w:val="0"/>
      <w:marTop w:val="0"/>
      <w:marBottom w:val="0"/>
      <w:divBdr>
        <w:top w:val="none" w:sz="0" w:space="0" w:color="auto"/>
        <w:left w:val="none" w:sz="0" w:space="0" w:color="auto"/>
        <w:bottom w:val="none" w:sz="0" w:space="0" w:color="auto"/>
        <w:right w:val="none" w:sz="0" w:space="0" w:color="auto"/>
      </w:divBdr>
    </w:div>
    <w:div w:id="1624194451">
      <w:marLeft w:val="0"/>
      <w:marRight w:val="0"/>
      <w:marTop w:val="0"/>
      <w:marBottom w:val="0"/>
      <w:divBdr>
        <w:top w:val="none" w:sz="0" w:space="0" w:color="auto"/>
        <w:left w:val="none" w:sz="0" w:space="0" w:color="auto"/>
        <w:bottom w:val="none" w:sz="0" w:space="0" w:color="auto"/>
        <w:right w:val="none" w:sz="0" w:space="0" w:color="auto"/>
      </w:divBdr>
    </w:div>
    <w:div w:id="1624194452">
      <w:marLeft w:val="0"/>
      <w:marRight w:val="0"/>
      <w:marTop w:val="0"/>
      <w:marBottom w:val="0"/>
      <w:divBdr>
        <w:top w:val="none" w:sz="0" w:space="0" w:color="auto"/>
        <w:left w:val="none" w:sz="0" w:space="0" w:color="auto"/>
        <w:bottom w:val="none" w:sz="0" w:space="0" w:color="auto"/>
        <w:right w:val="none" w:sz="0" w:space="0" w:color="auto"/>
      </w:divBdr>
    </w:div>
    <w:div w:id="1624194453">
      <w:marLeft w:val="0"/>
      <w:marRight w:val="0"/>
      <w:marTop w:val="0"/>
      <w:marBottom w:val="0"/>
      <w:divBdr>
        <w:top w:val="none" w:sz="0" w:space="0" w:color="auto"/>
        <w:left w:val="none" w:sz="0" w:space="0" w:color="auto"/>
        <w:bottom w:val="none" w:sz="0" w:space="0" w:color="auto"/>
        <w:right w:val="none" w:sz="0" w:space="0" w:color="auto"/>
      </w:divBdr>
    </w:div>
    <w:div w:id="1624194454">
      <w:marLeft w:val="0"/>
      <w:marRight w:val="0"/>
      <w:marTop w:val="0"/>
      <w:marBottom w:val="0"/>
      <w:divBdr>
        <w:top w:val="none" w:sz="0" w:space="0" w:color="auto"/>
        <w:left w:val="none" w:sz="0" w:space="0" w:color="auto"/>
        <w:bottom w:val="none" w:sz="0" w:space="0" w:color="auto"/>
        <w:right w:val="none" w:sz="0" w:space="0" w:color="auto"/>
      </w:divBdr>
    </w:div>
    <w:div w:id="1624194455">
      <w:marLeft w:val="0"/>
      <w:marRight w:val="0"/>
      <w:marTop w:val="0"/>
      <w:marBottom w:val="0"/>
      <w:divBdr>
        <w:top w:val="none" w:sz="0" w:space="0" w:color="auto"/>
        <w:left w:val="none" w:sz="0" w:space="0" w:color="auto"/>
        <w:bottom w:val="none" w:sz="0" w:space="0" w:color="auto"/>
        <w:right w:val="none" w:sz="0" w:space="0" w:color="auto"/>
      </w:divBdr>
    </w:div>
    <w:div w:id="1624194456">
      <w:marLeft w:val="0"/>
      <w:marRight w:val="0"/>
      <w:marTop w:val="0"/>
      <w:marBottom w:val="0"/>
      <w:divBdr>
        <w:top w:val="none" w:sz="0" w:space="0" w:color="auto"/>
        <w:left w:val="none" w:sz="0" w:space="0" w:color="auto"/>
        <w:bottom w:val="none" w:sz="0" w:space="0" w:color="auto"/>
        <w:right w:val="none" w:sz="0" w:space="0" w:color="auto"/>
      </w:divBdr>
    </w:div>
    <w:div w:id="1624194457">
      <w:marLeft w:val="0"/>
      <w:marRight w:val="0"/>
      <w:marTop w:val="0"/>
      <w:marBottom w:val="0"/>
      <w:divBdr>
        <w:top w:val="none" w:sz="0" w:space="0" w:color="auto"/>
        <w:left w:val="none" w:sz="0" w:space="0" w:color="auto"/>
        <w:bottom w:val="none" w:sz="0" w:space="0" w:color="auto"/>
        <w:right w:val="none" w:sz="0" w:space="0" w:color="auto"/>
      </w:divBdr>
    </w:div>
    <w:div w:id="1624194458">
      <w:marLeft w:val="0"/>
      <w:marRight w:val="0"/>
      <w:marTop w:val="0"/>
      <w:marBottom w:val="0"/>
      <w:divBdr>
        <w:top w:val="none" w:sz="0" w:space="0" w:color="auto"/>
        <w:left w:val="none" w:sz="0" w:space="0" w:color="auto"/>
        <w:bottom w:val="none" w:sz="0" w:space="0" w:color="auto"/>
        <w:right w:val="none" w:sz="0" w:space="0" w:color="auto"/>
      </w:divBdr>
    </w:div>
    <w:div w:id="1624194459">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1624194461">
      <w:marLeft w:val="0"/>
      <w:marRight w:val="0"/>
      <w:marTop w:val="0"/>
      <w:marBottom w:val="0"/>
      <w:divBdr>
        <w:top w:val="none" w:sz="0" w:space="0" w:color="auto"/>
        <w:left w:val="none" w:sz="0" w:space="0" w:color="auto"/>
        <w:bottom w:val="none" w:sz="0" w:space="0" w:color="auto"/>
        <w:right w:val="none" w:sz="0" w:space="0" w:color="auto"/>
      </w:divBdr>
    </w:div>
    <w:div w:id="1624194462">
      <w:marLeft w:val="0"/>
      <w:marRight w:val="0"/>
      <w:marTop w:val="0"/>
      <w:marBottom w:val="0"/>
      <w:divBdr>
        <w:top w:val="none" w:sz="0" w:space="0" w:color="auto"/>
        <w:left w:val="none" w:sz="0" w:space="0" w:color="auto"/>
        <w:bottom w:val="none" w:sz="0" w:space="0" w:color="auto"/>
        <w:right w:val="none" w:sz="0" w:space="0" w:color="auto"/>
      </w:divBdr>
    </w:div>
    <w:div w:id="1624194463">
      <w:marLeft w:val="0"/>
      <w:marRight w:val="0"/>
      <w:marTop w:val="0"/>
      <w:marBottom w:val="0"/>
      <w:divBdr>
        <w:top w:val="none" w:sz="0" w:space="0" w:color="auto"/>
        <w:left w:val="none" w:sz="0" w:space="0" w:color="auto"/>
        <w:bottom w:val="none" w:sz="0" w:space="0" w:color="auto"/>
        <w:right w:val="none" w:sz="0" w:space="0" w:color="auto"/>
      </w:divBdr>
    </w:div>
    <w:div w:id="1624194464">
      <w:marLeft w:val="0"/>
      <w:marRight w:val="0"/>
      <w:marTop w:val="0"/>
      <w:marBottom w:val="0"/>
      <w:divBdr>
        <w:top w:val="none" w:sz="0" w:space="0" w:color="auto"/>
        <w:left w:val="none" w:sz="0" w:space="0" w:color="auto"/>
        <w:bottom w:val="none" w:sz="0" w:space="0" w:color="auto"/>
        <w:right w:val="none" w:sz="0" w:space="0" w:color="auto"/>
      </w:divBdr>
    </w:div>
    <w:div w:id="1624194465">
      <w:marLeft w:val="0"/>
      <w:marRight w:val="0"/>
      <w:marTop w:val="0"/>
      <w:marBottom w:val="0"/>
      <w:divBdr>
        <w:top w:val="none" w:sz="0" w:space="0" w:color="auto"/>
        <w:left w:val="none" w:sz="0" w:space="0" w:color="auto"/>
        <w:bottom w:val="none" w:sz="0" w:space="0" w:color="auto"/>
        <w:right w:val="none" w:sz="0" w:space="0" w:color="auto"/>
      </w:divBdr>
    </w:div>
    <w:div w:id="1624194466">
      <w:marLeft w:val="0"/>
      <w:marRight w:val="0"/>
      <w:marTop w:val="0"/>
      <w:marBottom w:val="0"/>
      <w:divBdr>
        <w:top w:val="none" w:sz="0" w:space="0" w:color="auto"/>
        <w:left w:val="none" w:sz="0" w:space="0" w:color="auto"/>
        <w:bottom w:val="none" w:sz="0" w:space="0" w:color="auto"/>
        <w:right w:val="none" w:sz="0" w:space="0" w:color="auto"/>
      </w:divBdr>
    </w:div>
    <w:div w:id="1624194467">
      <w:marLeft w:val="0"/>
      <w:marRight w:val="0"/>
      <w:marTop w:val="0"/>
      <w:marBottom w:val="0"/>
      <w:divBdr>
        <w:top w:val="none" w:sz="0" w:space="0" w:color="auto"/>
        <w:left w:val="none" w:sz="0" w:space="0" w:color="auto"/>
        <w:bottom w:val="none" w:sz="0" w:space="0" w:color="auto"/>
        <w:right w:val="none" w:sz="0" w:space="0" w:color="auto"/>
      </w:divBdr>
    </w:div>
    <w:div w:id="1624194468">
      <w:marLeft w:val="0"/>
      <w:marRight w:val="0"/>
      <w:marTop w:val="0"/>
      <w:marBottom w:val="0"/>
      <w:divBdr>
        <w:top w:val="none" w:sz="0" w:space="0" w:color="auto"/>
        <w:left w:val="none" w:sz="0" w:space="0" w:color="auto"/>
        <w:bottom w:val="none" w:sz="0" w:space="0" w:color="auto"/>
        <w:right w:val="none" w:sz="0" w:space="0" w:color="auto"/>
      </w:divBdr>
    </w:div>
    <w:div w:id="1624194469">
      <w:marLeft w:val="0"/>
      <w:marRight w:val="0"/>
      <w:marTop w:val="0"/>
      <w:marBottom w:val="0"/>
      <w:divBdr>
        <w:top w:val="none" w:sz="0" w:space="0" w:color="auto"/>
        <w:left w:val="none" w:sz="0" w:space="0" w:color="auto"/>
        <w:bottom w:val="none" w:sz="0" w:space="0" w:color="auto"/>
        <w:right w:val="none" w:sz="0" w:space="0" w:color="auto"/>
      </w:divBdr>
    </w:div>
    <w:div w:id="1624194470">
      <w:marLeft w:val="0"/>
      <w:marRight w:val="0"/>
      <w:marTop w:val="0"/>
      <w:marBottom w:val="0"/>
      <w:divBdr>
        <w:top w:val="none" w:sz="0" w:space="0" w:color="auto"/>
        <w:left w:val="none" w:sz="0" w:space="0" w:color="auto"/>
        <w:bottom w:val="none" w:sz="0" w:space="0" w:color="auto"/>
        <w:right w:val="none" w:sz="0" w:space="0" w:color="auto"/>
      </w:divBdr>
    </w:div>
    <w:div w:id="1624194471">
      <w:marLeft w:val="0"/>
      <w:marRight w:val="0"/>
      <w:marTop w:val="0"/>
      <w:marBottom w:val="0"/>
      <w:divBdr>
        <w:top w:val="none" w:sz="0" w:space="0" w:color="auto"/>
        <w:left w:val="none" w:sz="0" w:space="0" w:color="auto"/>
        <w:bottom w:val="none" w:sz="0" w:space="0" w:color="auto"/>
        <w:right w:val="none" w:sz="0" w:space="0" w:color="auto"/>
      </w:divBdr>
    </w:div>
    <w:div w:id="1624194472">
      <w:marLeft w:val="0"/>
      <w:marRight w:val="0"/>
      <w:marTop w:val="0"/>
      <w:marBottom w:val="0"/>
      <w:divBdr>
        <w:top w:val="none" w:sz="0" w:space="0" w:color="auto"/>
        <w:left w:val="none" w:sz="0" w:space="0" w:color="auto"/>
        <w:bottom w:val="none" w:sz="0" w:space="0" w:color="auto"/>
        <w:right w:val="none" w:sz="0" w:space="0" w:color="auto"/>
      </w:divBdr>
    </w:div>
    <w:div w:id="1624194473">
      <w:marLeft w:val="0"/>
      <w:marRight w:val="0"/>
      <w:marTop w:val="0"/>
      <w:marBottom w:val="0"/>
      <w:divBdr>
        <w:top w:val="none" w:sz="0" w:space="0" w:color="auto"/>
        <w:left w:val="none" w:sz="0" w:space="0" w:color="auto"/>
        <w:bottom w:val="none" w:sz="0" w:space="0" w:color="auto"/>
        <w:right w:val="none" w:sz="0" w:space="0" w:color="auto"/>
      </w:divBdr>
    </w:div>
    <w:div w:id="1624194474">
      <w:marLeft w:val="0"/>
      <w:marRight w:val="0"/>
      <w:marTop w:val="0"/>
      <w:marBottom w:val="0"/>
      <w:divBdr>
        <w:top w:val="none" w:sz="0" w:space="0" w:color="auto"/>
        <w:left w:val="none" w:sz="0" w:space="0" w:color="auto"/>
        <w:bottom w:val="none" w:sz="0" w:space="0" w:color="auto"/>
        <w:right w:val="none" w:sz="0" w:space="0" w:color="auto"/>
      </w:divBdr>
    </w:div>
    <w:div w:id="1624194475">
      <w:marLeft w:val="0"/>
      <w:marRight w:val="0"/>
      <w:marTop w:val="0"/>
      <w:marBottom w:val="0"/>
      <w:divBdr>
        <w:top w:val="none" w:sz="0" w:space="0" w:color="auto"/>
        <w:left w:val="none" w:sz="0" w:space="0" w:color="auto"/>
        <w:bottom w:val="none" w:sz="0" w:space="0" w:color="auto"/>
        <w:right w:val="none" w:sz="0" w:space="0" w:color="auto"/>
      </w:divBdr>
    </w:div>
    <w:div w:id="1624194476">
      <w:marLeft w:val="0"/>
      <w:marRight w:val="0"/>
      <w:marTop w:val="0"/>
      <w:marBottom w:val="0"/>
      <w:divBdr>
        <w:top w:val="none" w:sz="0" w:space="0" w:color="auto"/>
        <w:left w:val="none" w:sz="0" w:space="0" w:color="auto"/>
        <w:bottom w:val="none" w:sz="0" w:space="0" w:color="auto"/>
        <w:right w:val="none" w:sz="0" w:space="0" w:color="auto"/>
      </w:divBdr>
    </w:div>
    <w:div w:id="1624194477">
      <w:marLeft w:val="0"/>
      <w:marRight w:val="0"/>
      <w:marTop w:val="0"/>
      <w:marBottom w:val="0"/>
      <w:divBdr>
        <w:top w:val="none" w:sz="0" w:space="0" w:color="auto"/>
        <w:left w:val="none" w:sz="0" w:space="0" w:color="auto"/>
        <w:bottom w:val="none" w:sz="0" w:space="0" w:color="auto"/>
        <w:right w:val="none" w:sz="0" w:space="0" w:color="auto"/>
      </w:divBdr>
    </w:div>
    <w:div w:id="1624194478">
      <w:marLeft w:val="0"/>
      <w:marRight w:val="0"/>
      <w:marTop w:val="0"/>
      <w:marBottom w:val="0"/>
      <w:divBdr>
        <w:top w:val="none" w:sz="0" w:space="0" w:color="auto"/>
        <w:left w:val="none" w:sz="0" w:space="0" w:color="auto"/>
        <w:bottom w:val="none" w:sz="0" w:space="0" w:color="auto"/>
        <w:right w:val="none" w:sz="0" w:space="0" w:color="auto"/>
      </w:divBdr>
    </w:div>
    <w:div w:id="1624194479">
      <w:marLeft w:val="0"/>
      <w:marRight w:val="0"/>
      <w:marTop w:val="0"/>
      <w:marBottom w:val="0"/>
      <w:divBdr>
        <w:top w:val="none" w:sz="0" w:space="0" w:color="auto"/>
        <w:left w:val="none" w:sz="0" w:space="0" w:color="auto"/>
        <w:bottom w:val="none" w:sz="0" w:space="0" w:color="auto"/>
        <w:right w:val="none" w:sz="0" w:space="0" w:color="auto"/>
      </w:divBdr>
    </w:div>
    <w:div w:id="1624194480">
      <w:marLeft w:val="0"/>
      <w:marRight w:val="0"/>
      <w:marTop w:val="0"/>
      <w:marBottom w:val="0"/>
      <w:divBdr>
        <w:top w:val="none" w:sz="0" w:space="0" w:color="auto"/>
        <w:left w:val="none" w:sz="0" w:space="0" w:color="auto"/>
        <w:bottom w:val="none" w:sz="0" w:space="0" w:color="auto"/>
        <w:right w:val="none" w:sz="0" w:space="0" w:color="auto"/>
      </w:divBdr>
    </w:div>
    <w:div w:id="1624194481">
      <w:marLeft w:val="0"/>
      <w:marRight w:val="0"/>
      <w:marTop w:val="0"/>
      <w:marBottom w:val="0"/>
      <w:divBdr>
        <w:top w:val="none" w:sz="0" w:space="0" w:color="auto"/>
        <w:left w:val="none" w:sz="0" w:space="0" w:color="auto"/>
        <w:bottom w:val="none" w:sz="0" w:space="0" w:color="auto"/>
        <w:right w:val="none" w:sz="0" w:space="0" w:color="auto"/>
      </w:divBdr>
    </w:div>
    <w:div w:id="1624194482">
      <w:marLeft w:val="0"/>
      <w:marRight w:val="0"/>
      <w:marTop w:val="0"/>
      <w:marBottom w:val="0"/>
      <w:divBdr>
        <w:top w:val="none" w:sz="0" w:space="0" w:color="auto"/>
        <w:left w:val="none" w:sz="0" w:space="0" w:color="auto"/>
        <w:bottom w:val="none" w:sz="0" w:space="0" w:color="auto"/>
        <w:right w:val="none" w:sz="0" w:space="0" w:color="auto"/>
      </w:divBdr>
    </w:div>
    <w:div w:id="1624194483">
      <w:marLeft w:val="0"/>
      <w:marRight w:val="0"/>
      <w:marTop w:val="0"/>
      <w:marBottom w:val="0"/>
      <w:divBdr>
        <w:top w:val="none" w:sz="0" w:space="0" w:color="auto"/>
        <w:left w:val="none" w:sz="0" w:space="0" w:color="auto"/>
        <w:bottom w:val="none" w:sz="0" w:space="0" w:color="auto"/>
        <w:right w:val="none" w:sz="0" w:space="0" w:color="auto"/>
      </w:divBdr>
    </w:div>
    <w:div w:id="1624194484">
      <w:marLeft w:val="0"/>
      <w:marRight w:val="0"/>
      <w:marTop w:val="0"/>
      <w:marBottom w:val="0"/>
      <w:divBdr>
        <w:top w:val="none" w:sz="0" w:space="0" w:color="auto"/>
        <w:left w:val="none" w:sz="0" w:space="0" w:color="auto"/>
        <w:bottom w:val="none" w:sz="0" w:space="0" w:color="auto"/>
        <w:right w:val="none" w:sz="0" w:space="0" w:color="auto"/>
      </w:divBdr>
    </w:div>
    <w:div w:id="1624194485">
      <w:marLeft w:val="0"/>
      <w:marRight w:val="0"/>
      <w:marTop w:val="0"/>
      <w:marBottom w:val="0"/>
      <w:divBdr>
        <w:top w:val="none" w:sz="0" w:space="0" w:color="auto"/>
        <w:left w:val="none" w:sz="0" w:space="0" w:color="auto"/>
        <w:bottom w:val="none" w:sz="0" w:space="0" w:color="auto"/>
        <w:right w:val="none" w:sz="0" w:space="0" w:color="auto"/>
      </w:divBdr>
    </w:div>
    <w:div w:id="1624194486">
      <w:marLeft w:val="0"/>
      <w:marRight w:val="0"/>
      <w:marTop w:val="0"/>
      <w:marBottom w:val="0"/>
      <w:divBdr>
        <w:top w:val="none" w:sz="0" w:space="0" w:color="auto"/>
        <w:left w:val="none" w:sz="0" w:space="0" w:color="auto"/>
        <w:bottom w:val="none" w:sz="0" w:space="0" w:color="auto"/>
        <w:right w:val="none" w:sz="0" w:space="0" w:color="auto"/>
      </w:divBdr>
    </w:div>
    <w:div w:id="1624194487">
      <w:marLeft w:val="0"/>
      <w:marRight w:val="0"/>
      <w:marTop w:val="0"/>
      <w:marBottom w:val="0"/>
      <w:divBdr>
        <w:top w:val="none" w:sz="0" w:space="0" w:color="auto"/>
        <w:left w:val="none" w:sz="0" w:space="0" w:color="auto"/>
        <w:bottom w:val="none" w:sz="0" w:space="0" w:color="auto"/>
        <w:right w:val="none" w:sz="0" w:space="0" w:color="auto"/>
      </w:divBdr>
    </w:div>
    <w:div w:id="1624194488">
      <w:marLeft w:val="0"/>
      <w:marRight w:val="0"/>
      <w:marTop w:val="0"/>
      <w:marBottom w:val="0"/>
      <w:divBdr>
        <w:top w:val="none" w:sz="0" w:space="0" w:color="auto"/>
        <w:left w:val="none" w:sz="0" w:space="0" w:color="auto"/>
        <w:bottom w:val="none" w:sz="0" w:space="0" w:color="auto"/>
        <w:right w:val="none" w:sz="0" w:space="0" w:color="auto"/>
      </w:divBdr>
    </w:div>
    <w:div w:id="1624194489">
      <w:marLeft w:val="0"/>
      <w:marRight w:val="0"/>
      <w:marTop w:val="0"/>
      <w:marBottom w:val="0"/>
      <w:divBdr>
        <w:top w:val="none" w:sz="0" w:space="0" w:color="auto"/>
        <w:left w:val="none" w:sz="0" w:space="0" w:color="auto"/>
        <w:bottom w:val="none" w:sz="0" w:space="0" w:color="auto"/>
        <w:right w:val="none" w:sz="0" w:space="0" w:color="auto"/>
      </w:divBdr>
    </w:div>
    <w:div w:id="1624194490">
      <w:marLeft w:val="0"/>
      <w:marRight w:val="0"/>
      <w:marTop w:val="0"/>
      <w:marBottom w:val="0"/>
      <w:divBdr>
        <w:top w:val="none" w:sz="0" w:space="0" w:color="auto"/>
        <w:left w:val="none" w:sz="0" w:space="0" w:color="auto"/>
        <w:bottom w:val="none" w:sz="0" w:space="0" w:color="auto"/>
        <w:right w:val="none" w:sz="0" w:space="0" w:color="auto"/>
      </w:divBdr>
    </w:div>
    <w:div w:id="1624194491">
      <w:marLeft w:val="0"/>
      <w:marRight w:val="0"/>
      <w:marTop w:val="0"/>
      <w:marBottom w:val="0"/>
      <w:divBdr>
        <w:top w:val="none" w:sz="0" w:space="0" w:color="auto"/>
        <w:left w:val="none" w:sz="0" w:space="0" w:color="auto"/>
        <w:bottom w:val="none" w:sz="0" w:space="0" w:color="auto"/>
        <w:right w:val="none" w:sz="0" w:space="0" w:color="auto"/>
      </w:divBdr>
    </w:div>
    <w:div w:id="1624194492">
      <w:marLeft w:val="0"/>
      <w:marRight w:val="0"/>
      <w:marTop w:val="0"/>
      <w:marBottom w:val="0"/>
      <w:divBdr>
        <w:top w:val="none" w:sz="0" w:space="0" w:color="auto"/>
        <w:left w:val="none" w:sz="0" w:space="0" w:color="auto"/>
        <w:bottom w:val="none" w:sz="0" w:space="0" w:color="auto"/>
        <w:right w:val="none" w:sz="0" w:space="0" w:color="auto"/>
      </w:divBdr>
    </w:div>
    <w:div w:id="1624194493">
      <w:marLeft w:val="0"/>
      <w:marRight w:val="0"/>
      <w:marTop w:val="0"/>
      <w:marBottom w:val="0"/>
      <w:divBdr>
        <w:top w:val="none" w:sz="0" w:space="0" w:color="auto"/>
        <w:left w:val="none" w:sz="0" w:space="0" w:color="auto"/>
        <w:bottom w:val="none" w:sz="0" w:space="0" w:color="auto"/>
        <w:right w:val="none" w:sz="0" w:space="0" w:color="auto"/>
      </w:divBdr>
    </w:div>
    <w:div w:id="1624194494">
      <w:marLeft w:val="0"/>
      <w:marRight w:val="0"/>
      <w:marTop w:val="0"/>
      <w:marBottom w:val="0"/>
      <w:divBdr>
        <w:top w:val="none" w:sz="0" w:space="0" w:color="auto"/>
        <w:left w:val="none" w:sz="0" w:space="0" w:color="auto"/>
        <w:bottom w:val="none" w:sz="0" w:space="0" w:color="auto"/>
        <w:right w:val="none" w:sz="0" w:space="0" w:color="auto"/>
      </w:divBdr>
    </w:div>
    <w:div w:id="1624194495">
      <w:marLeft w:val="0"/>
      <w:marRight w:val="0"/>
      <w:marTop w:val="0"/>
      <w:marBottom w:val="0"/>
      <w:divBdr>
        <w:top w:val="none" w:sz="0" w:space="0" w:color="auto"/>
        <w:left w:val="none" w:sz="0" w:space="0" w:color="auto"/>
        <w:bottom w:val="none" w:sz="0" w:space="0" w:color="auto"/>
        <w:right w:val="none" w:sz="0" w:space="0" w:color="auto"/>
      </w:divBdr>
    </w:div>
    <w:div w:id="1624194496">
      <w:marLeft w:val="0"/>
      <w:marRight w:val="0"/>
      <w:marTop w:val="0"/>
      <w:marBottom w:val="0"/>
      <w:divBdr>
        <w:top w:val="none" w:sz="0" w:space="0" w:color="auto"/>
        <w:left w:val="none" w:sz="0" w:space="0" w:color="auto"/>
        <w:bottom w:val="none" w:sz="0" w:space="0" w:color="auto"/>
        <w:right w:val="none" w:sz="0" w:space="0" w:color="auto"/>
      </w:divBdr>
    </w:div>
    <w:div w:id="1624194497">
      <w:marLeft w:val="0"/>
      <w:marRight w:val="0"/>
      <w:marTop w:val="0"/>
      <w:marBottom w:val="0"/>
      <w:divBdr>
        <w:top w:val="none" w:sz="0" w:space="0" w:color="auto"/>
        <w:left w:val="none" w:sz="0" w:space="0" w:color="auto"/>
        <w:bottom w:val="none" w:sz="0" w:space="0" w:color="auto"/>
        <w:right w:val="none" w:sz="0" w:space="0" w:color="auto"/>
      </w:divBdr>
    </w:div>
    <w:div w:id="1624194498">
      <w:marLeft w:val="0"/>
      <w:marRight w:val="0"/>
      <w:marTop w:val="0"/>
      <w:marBottom w:val="0"/>
      <w:divBdr>
        <w:top w:val="none" w:sz="0" w:space="0" w:color="auto"/>
        <w:left w:val="none" w:sz="0" w:space="0" w:color="auto"/>
        <w:bottom w:val="none" w:sz="0" w:space="0" w:color="auto"/>
        <w:right w:val="none" w:sz="0" w:space="0" w:color="auto"/>
      </w:divBdr>
    </w:div>
    <w:div w:id="1624194499">
      <w:marLeft w:val="0"/>
      <w:marRight w:val="0"/>
      <w:marTop w:val="0"/>
      <w:marBottom w:val="0"/>
      <w:divBdr>
        <w:top w:val="none" w:sz="0" w:space="0" w:color="auto"/>
        <w:left w:val="none" w:sz="0" w:space="0" w:color="auto"/>
        <w:bottom w:val="none" w:sz="0" w:space="0" w:color="auto"/>
        <w:right w:val="none" w:sz="0" w:space="0" w:color="auto"/>
      </w:divBdr>
    </w:div>
    <w:div w:id="1624194500">
      <w:marLeft w:val="0"/>
      <w:marRight w:val="0"/>
      <w:marTop w:val="0"/>
      <w:marBottom w:val="0"/>
      <w:divBdr>
        <w:top w:val="none" w:sz="0" w:space="0" w:color="auto"/>
        <w:left w:val="none" w:sz="0" w:space="0" w:color="auto"/>
        <w:bottom w:val="none" w:sz="0" w:space="0" w:color="auto"/>
        <w:right w:val="none" w:sz="0" w:space="0" w:color="auto"/>
      </w:divBdr>
    </w:div>
    <w:div w:id="1624194501">
      <w:marLeft w:val="0"/>
      <w:marRight w:val="0"/>
      <w:marTop w:val="0"/>
      <w:marBottom w:val="0"/>
      <w:divBdr>
        <w:top w:val="none" w:sz="0" w:space="0" w:color="auto"/>
        <w:left w:val="none" w:sz="0" w:space="0" w:color="auto"/>
        <w:bottom w:val="none" w:sz="0" w:space="0" w:color="auto"/>
        <w:right w:val="none" w:sz="0" w:space="0" w:color="auto"/>
      </w:divBdr>
    </w:div>
    <w:div w:id="1624194502">
      <w:marLeft w:val="0"/>
      <w:marRight w:val="0"/>
      <w:marTop w:val="0"/>
      <w:marBottom w:val="0"/>
      <w:divBdr>
        <w:top w:val="none" w:sz="0" w:space="0" w:color="auto"/>
        <w:left w:val="none" w:sz="0" w:space="0" w:color="auto"/>
        <w:bottom w:val="none" w:sz="0" w:space="0" w:color="auto"/>
        <w:right w:val="none" w:sz="0" w:space="0" w:color="auto"/>
      </w:divBdr>
    </w:div>
    <w:div w:id="1624194503">
      <w:marLeft w:val="0"/>
      <w:marRight w:val="0"/>
      <w:marTop w:val="0"/>
      <w:marBottom w:val="0"/>
      <w:divBdr>
        <w:top w:val="none" w:sz="0" w:space="0" w:color="auto"/>
        <w:left w:val="none" w:sz="0" w:space="0" w:color="auto"/>
        <w:bottom w:val="none" w:sz="0" w:space="0" w:color="auto"/>
        <w:right w:val="none" w:sz="0" w:space="0" w:color="auto"/>
      </w:divBdr>
    </w:div>
    <w:div w:id="1624194504">
      <w:marLeft w:val="0"/>
      <w:marRight w:val="0"/>
      <w:marTop w:val="0"/>
      <w:marBottom w:val="0"/>
      <w:divBdr>
        <w:top w:val="none" w:sz="0" w:space="0" w:color="auto"/>
        <w:left w:val="none" w:sz="0" w:space="0" w:color="auto"/>
        <w:bottom w:val="none" w:sz="0" w:space="0" w:color="auto"/>
        <w:right w:val="none" w:sz="0" w:space="0" w:color="auto"/>
      </w:divBdr>
    </w:div>
    <w:div w:id="1624194505">
      <w:marLeft w:val="0"/>
      <w:marRight w:val="0"/>
      <w:marTop w:val="0"/>
      <w:marBottom w:val="0"/>
      <w:divBdr>
        <w:top w:val="none" w:sz="0" w:space="0" w:color="auto"/>
        <w:left w:val="none" w:sz="0" w:space="0" w:color="auto"/>
        <w:bottom w:val="none" w:sz="0" w:space="0" w:color="auto"/>
        <w:right w:val="none" w:sz="0" w:space="0" w:color="auto"/>
      </w:divBdr>
    </w:div>
    <w:div w:id="1624194506">
      <w:marLeft w:val="0"/>
      <w:marRight w:val="0"/>
      <w:marTop w:val="0"/>
      <w:marBottom w:val="0"/>
      <w:divBdr>
        <w:top w:val="none" w:sz="0" w:space="0" w:color="auto"/>
        <w:left w:val="none" w:sz="0" w:space="0" w:color="auto"/>
        <w:bottom w:val="none" w:sz="0" w:space="0" w:color="auto"/>
        <w:right w:val="none" w:sz="0" w:space="0" w:color="auto"/>
      </w:divBdr>
    </w:div>
    <w:div w:id="1624194507">
      <w:marLeft w:val="0"/>
      <w:marRight w:val="0"/>
      <w:marTop w:val="0"/>
      <w:marBottom w:val="0"/>
      <w:divBdr>
        <w:top w:val="none" w:sz="0" w:space="0" w:color="auto"/>
        <w:left w:val="none" w:sz="0" w:space="0" w:color="auto"/>
        <w:bottom w:val="none" w:sz="0" w:space="0" w:color="auto"/>
        <w:right w:val="none" w:sz="0" w:space="0" w:color="auto"/>
      </w:divBdr>
    </w:div>
    <w:div w:id="1624194508">
      <w:marLeft w:val="0"/>
      <w:marRight w:val="0"/>
      <w:marTop w:val="0"/>
      <w:marBottom w:val="0"/>
      <w:divBdr>
        <w:top w:val="none" w:sz="0" w:space="0" w:color="auto"/>
        <w:left w:val="none" w:sz="0" w:space="0" w:color="auto"/>
        <w:bottom w:val="none" w:sz="0" w:space="0" w:color="auto"/>
        <w:right w:val="none" w:sz="0" w:space="0" w:color="auto"/>
      </w:divBdr>
    </w:div>
    <w:div w:id="1624194509">
      <w:marLeft w:val="0"/>
      <w:marRight w:val="0"/>
      <w:marTop w:val="0"/>
      <w:marBottom w:val="0"/>
      <w:divBdr>
        <w:top w:val="none" w:sz="0" w:space="0" w:color="auto"/>
        <w:left w:val="none" w:sz="0" w:space="0" w:color="auto"/>
        <w:bottom w:val="none" w:sz="0" w:space="0" w:color="auto"/>
        <w:right w:val="none" w:sz="0" w:space="0" w:color="auto"/>
      </w:divBdr>
    </w:div>
    <w:div w:id="1624194510">
      <w:marLeft w:val="0"/>
      <w:marRight w:val="0"/>
      <w:marTop w:val="0"/>
      <w:marBottom w:val="0"/>
      <w:divBdr>
        <w:top w:val="none" w:sz="0" w:space="0" w:color="auto"/>
        <w:left w:val="none" w:sz="0" w:space="0" w:color="auto"/>
        <w:bottom w:val="none" w:sz="0" w:space="0" w:color="auto"/>
        <w:right w:val="none" w:sz="0" w:space="0" w:color="auto"/>
      </w:divBdr>
    </w:div>
    <w:div w:id="1624194511">
      <w:marLeft w:val="0"/>
      <w:marRight w:val="0"/>
      <w:marTop w:val="0"/>
      <w:marBottom w:val="0"/>
      <w:divBdr>
        <w:top w:val="none" w:sz="0" w:space="0" w:color="auto"/>
        <w:left w:val="none" w:sz="0" w:space="0" w:color="auto"/>
        <w:bottom w:val="none" w:sz="0" w:space="0" w:color="auto"/>
        <w:right w:val="none" w:sz="0" w:space="0" w:color="auto"/>
      </w:divBdr>
    </w:div>
    <w:div w:id="1624194512">
      <w:marLeft w:val="0"/>
      <w:marRight w:val="0"/>
      <w:marTop w:val="0"/>
      <w:marBottom w:val="0"/>
      <w:divBdr>
        <w:top w:val="none" w:sz="0" w:space="0" w:color="auto"/>
        <w:left w:val="none" w:sz="0" w:space="0" w:color="auto"/>
        <w:bottom w:val="none" w:sz="0" w:space="0" w:color="auto"/>
        <w:right w:val="none" w:sz="0" w:space="0" w:color="auto"/>
      </w:divBdr>
    </w:div>
    <w:div w:id="1624194513">
      <w:marLeft w:val="0"/>
      <w:marRight w:val="0"/>
      <w:marTop w:val="0"/>
      <w:marBottom w:val="0"/>
      <w:divBdr>
        <w:top w:val="none" w:sz="0" w:space="0" w:color="auto"/>
        <w:left w:val="none" w:sz="0" w:space="0" w:color="auto"/>
        <w:bottom w:val="none" w:sz="0" w:space="0" w:color="auto"/>
        <w:right w:val="none" w:sz="0" w:space="0" w:color="auto"/>
      </w:divBdr>
    </w:div>
    <w:div w:id="1624194514">
      <w:marLeft w:val="0"/>
      <w:marRight w:val="0"/>
      <w:marTop w:val="0"/>
      <w:marBottom w:val="0"/>
      <w:divBdr>
        <w:top w:val="none" w:sz="0" w:space="0" w:color="auto"/>
        <w:left w:val="none" w:sz="0" w:space="0" w:color="auto"/>
        <w:bottom w:val="none" w:sz="0" w:space="0" w:color="auto"/>
        <w:right w:val="none" w:sz="0" w:space="0" w:color="auto"/>
      </w:divBdr>
    </w:div>
    <w:div w:id="1624194515">
      <w:marLeft w:val="0"/>
      <w:marRight w:val="0"/>
      <w:marTop w:val="0"/>
      <w:marBottom w:val="0"/>
      <w:divBdr>
        <w:top w:val="none" w:sz="0" w:space="0" w:color="auto"/>
        <w:left w:val="none" w:sz="0" w:space="0" w:color="auto"/>
        <w:bottom w:val="none" w:sz="0" w:space="0" w:color="auto"/>
        <w:right w:val="none" w:sz="0" w:space="0" w:color="auto"/>
      </w:divBdr>
    </w:div>
    <w:div w:id="1624194516">
      <w:marLeft w:val="0"/>
      <w:marRight w:val="0"/>
      <w:marTop w:val="0"/>
      <w:marBottom w:val="0"/>
      <w:divBdr>
        <w:top w:val="none" w:sz="0" w:space="0" w:color="auto"/>
        <w:left w:val="none" w:sz="0" w:space="0" w:color="auto"/>
        <w:bottom w:val="none" w:sz="0" w:space="0" w:color="auto"/>
        <w:right w:val="none" w:sz="0" w:space="0" w:color="auto"/>
      </w:divBdr>
    </w:div>
    <w:div w:id="1624194517">
      <w:marLeft w:val="0"/>
      <w:marRight w:val="0"/>
      <w:marTop w:val="0"/>
      <w:marBottom w:val="0"/>
      <w:divBdr>
        <w:top w:val="none" w:sz="0" w:space="0" w:color="auto"/>
        <w:left w:val="none" w:sz="0" w:space="0" w:color="auto"/>
        <w:bottom w:val="none" w:sz="0" w:space="0" w:color="auto"/>
        <w:right w:val="none" w:sz="0" w:space="0" w:color="auto"/>
      </w:divBdr>
    </w:div>
    <w:div w:id="1624194518">
      <w:marLeft w:val="0"/>
      <w:marRight w:val="0"/>
      <w:marTop w:val="0"/>
      <w:marBottom w:val="0"/>
      <w:divBdr>
        <w:top w:val="none" w:sz="0" w:space="0" w:color="auto"/>
        <w:left w:val="none" w:sz="0" w:space="0" w:color="auto"/>
        <w:bottom w:val="none" w:sz="0" w:space="0" w:color="auto"/>
        <w:right w:val="none" w:sz="0" w:space="0" w:color="auto"/>
      </w:divBdr>
    </w:div>
    <w:div w:id="1624194519">
      <w:marLeft w:val="0"/>
      <w:marRight w:val="0"/>
      <w:marTop w:val="0"/>
      <w:marBottom w:val="0"/>
      <w:divBdr>
        <w:top w:val="none" w:sz="0" w:space="0" w:color="auto"/>
        <w:left w:val="none" w:sz="0" w:space="0" w:color="auto"/>
        <w:bottom w:val="none" w:sz="0" w:space="0" w:color="auto"/>
        <w:right w:val="none" w:sz="0" w:space="0" w:color="auto"/>
      </w:divBdr>
    </w:div>
    <w:div w:id="1624194520">
      <w:marLeft w:val="0"/>
      <w:marRight w:val="0"/>
      <w:marTop w:val="0"/>
      <w:marBottom w:val="0"/>
      <w:divBdr>
        <w:top w:val="none" w:sz="0" w:space="0" w:color="auto"/>
        <w:left w:val="none" w:sz="0" w:space="0" w:color="auto"/>
        <w:bottom w:val="none" w:sz="0" w:space="0" w:color="auto"/>
        <w:right w:val="none" w:sz="0" w:space="0" w:color="auto"/>
      </w:divBdr>
    </w:div>
    <w:div w:id="1624194521">
      <w:marLeft w:val="0"/>
      <w:marRight w:val="0"/>
      <w:marTop w:val="0"/>
      <w:marBottom w:val="0"/>
      <w:divBdr>
        <w:top w:val="none" w:sz="0" w:space="0" w:color="auto"/>
        <w:left w:val="none" w:sz="0" w:space="0" w:color="auto"/>
        <w:bottom w:val="none" w:sz="0" w:space="0" w:color="auto"/>
        <w:right w:val="none" w:sz="0" w:space="0" w:color="auto"/>
      </w:divBdr>
    </w:div>
    <w:div w:id="1624194522">
      <w:marLeft w:val="0"/>
      <w:marRight w:val="0"/>
      <w:marTop w:val="0"/>
      <w:marBottom w:val="0"/>
      <w:divBdr>
        <w:top w:val="none" w:sz="0" w:space="0" w:color="auto"/>
        <w:left w:val="none" w:sz="0" w:space="0" w:color="auto"/>
        <w:bottom w:val="none" w:sz="0" w:space="0" w:color="auto"/>
        <w:right w:val="none" w:sz="0" w:space="0" w:color="auto"/>
      </w:divBdr>
    </w:div>
    <w:div w:id="1624194523">
      <w:marLeft w:val="0"/>
      <w:marRight w:val="0"/>
      <w:marTop w:val="0"/>
      <w:marBottom w:val="0"/>
      <w:divBdr>
        <w:top w:val="none" w:sz="0" w:space="0" w:color="auto"/>
        <w:left w:val="none" w:sz="0" w:space="0" w:color="auto"/>
        <w:bottom w:val="none" w:sz="0" w:space="0" w:color="auto"/>
        <w:right w:val="none" w:sz="0" w:space="0" w:color="auto"/>
      </w:divBdr>
    </w:div>
    <w:div w:id="1624194524">
      <w:marLeft w:val="0"/>
      <w:marRight w:val="0"/>
      <w:marTop w:val="0"/>
      <w:marBottom w:val="0"/>
      <w:divBdr>
        <w:top w:val="none" w:sz="0" w:space="0" w:color="auto"/>
        <w:left w:val="none" w:sz="0" w:space="0" w:color="auto"/>
        <w:bottom w:val="none" w:sz="0" w:space="0" w:color="auto"/>
        <w:right w:val="none" w:sz="0" w:space="0" w:color="auto"/>
      </w:divBdr>
    </w:div>
    <w:div w:id="1624194525">
      <w:marLeft w:val="0"/>
      <w:marRight w:val="0"/>
      <w:marTop w:val="0"/>
      <w:marBottom w:val="0"/>
      <w:divBdr>
        <w:top w:val="none" w:sz="0" w:space="0" w:color="auto"/>
        <w:left w:val="none" w:sz="0" w:space="0" w:color="auto"/>
        <w:bottom w:val="none" w:sz="0" w:space="0" w:color="auto"/>
        <w:right w:val="none" w:sz="0" w:space="0" w:color="auto"/>
      </w:divBdr>
    </w:div>
    <w:div w:id="1624194526">
      <w:marLeft w:val="0"/>
      <w:marRight w:val="0"/>
      <w:marTop w:val="0"/>
      <w:marBottom w:val="0"/>
      <w:divBdr>
        <w:top w:val="none" w:sz="0" w:space="0" w:color="auto"/>
        <w:left w:val="none" w:sz="0" w:space="0" w:color="auto"/>
        <w:bottom w:val="none" w:sz="0" w:space="0" w:color="auto"/>
        <w:right w:val="none" w:sz="0" w:space="0" w:color="auto"/>
      </w:divBdr>
    </w:div>
    <w:div w:id="1624194527">
      <w:marLeft w:val="0"/>
      <w:marRight w:val="0"/>
      <w:marTop w:val="0"/>
      <w:marBottom w:val="0"/>
      <w:divBdr>
        <w:top w:val="none" w:sz="0" w:space="0" w:color="auto"/>
        <w:left w:val="none" w:sz="0" w:space="0" w:color="auto"/>
        <w:bottom w:val="none" w:sz="0" w:space="0" w:color="auto"/>
        <w:right w:val="none" w:sz="0" w:space="0" w:color="auto"/>
      </w:divBdr>
    </w:div>
    <w:div w:id="1624194528">
      <w:marLeft w:val="0"/>
      <w:marRight w:val="0"/>
      <w:marTop w:val="0"/>
      <w:marBottom w:val="0"/>
      <w:divBdr>
        <w:top w:val="none" w:sz="0" w:space="0" w:color="auto"/>
        <w:left w:val="none" w:sz="0" w:space="0" w:color="auto"/>
        <w:bottom w:val="none" w:sz="0" w:space="0" w:color="auto"/>
        <w:right w:val="none" w:sz="0" w:space="0" w:color="auto"/>
      </w:divBdr>
    </w:div>
    <w:div w:id="1624194529">
      <w:marLeft w:val="0"/>
      <w:marRight w:val="0"/>
      <w:marTop w:val="0"/>
      <w:marBottom w:val="0"/>
      <w:divBdr>
        <w:top w:val="none" w:sz="0" w:space="0" w:color="auto"/>
        <w:left w:val="none" w:sz="0" w:space="0" w:color="auto"/>
        <w:bottom w:val="none" w:sz="0" w:space="0" w:color="auto"/>
        <w:right w:val="none" w:sz="0" w:space="0" w:color="auto"/>
      </w:divBdr>
    </w:div>
    <w:div w:id="1624194530">
      <w:marLeft w:val="0"/>
      <w:marRight w:val="0"/>
      <w:marTop w:val="0"/>
      <w:marBottom w:val="0"/>
      <w:divBdr>
        <w:top w:val="none" w:sz="0" w:space="0" w:color="auto"/>
        <w:left w:val="none" w:sz="0" w:space="0" w:color="auto"/>
        <w:bottom w:val="none" w:sz="0" w:space="0" w:color="auto"/>
        <w:right w:val="none" w:sz="0" w:space="0" w:color="auto"/>
      </w:divBdr>
    </w:div>
    <w:div w:id="1624194531">
      <w:marLeft w:val="0"/>
      <w:marRight w:val="0"/>
      <w:marTop w:val="0"/>
      <w:marBottom w:val="0"/>
      <w:divBdr>
        <w:top w:val="none" w:sz="0" w:space="0" w:color="auto"/>
        <w:left w:val="none" w:sz="0" w:space="0" w:color="auto"/>
        <w:bottom w:val="none" w:sz="0" w:space="0" w:color="auto"/>
        <w:right w:val="none" w:sz="0" w:space="0" w:color="auto"/>
      </w:divBdr>
    </w:div>
    <w:div w:id="1624194532">
      <w:marLeft w:val="0"/>
      <w:marRight w:val="0"/>
      <w:marTop w:val="0"/>
      <w:marBottom w:val="0"/>
      <w:divBdr>
        <w:top w:val="none" w:sz="0" w:space="0" w:color="auto"/>
        <w:left w:val="none" w:sz="0" w:space="0" w:color="auto"/>
        <w:bottom w:val="none" w:sz="0" w:space="0" w:color="auto"/>
        <w:right w:val="none" w:sz="0" w:space="0" w:color="auto"/>
      </w:divBdr>
    </w:div>
    <w:div w:id="1624194533">
      <w:marLeft w:val="0"/>
      <w:marRight w:val="0"/>
      <w:marTop w:val="0"/>
      <w:marBottom w:val="0"/>
      <w:divBdr>
        <w:top w:val="none" w:sz="0" w:space="0" w:color="auto"/>
        <w:left w:val="none" w:sz="0" w:space="0" w:color="auto"/>
        <w:bottom w:val="none" w:sz="0" w:space="0" w:color="auto"/>
        <w:right w:val="none" w:sz="0" w:space="0" w:color="auto"/>
      </w:divBdr>
    </w:div>
    <w:div w:id="1624194534">
      <w:marLeft w:val="0"/>
      <w:marRight w:val="0"/>
      <w:marTop w:val="0"/>
      <w:marBottom w:val="0"/>
      <w:divBdr>
        <w:top w:val="none" w:sz="0" w:space="0" w:color="auto"/>
        <w:left w:val="none" w:sz="0" w:space="0" w:color="auto"/>
        <w:bottom w:val="none" w:sz="0" w:space="0" w:color="auto"/>
        <w:right w:val="none" w:sz="0" w:space="0" w:color="auto"/>
      </w:divBdr>
    </w:div>
    <w:div w:id="1624194535">
      <w:marLeft w:val="0"/>
      <w:marRight w:val="0"/>
      <w:marTop w:val="0"/>
      <w:marBottom w:val="0"/>
      <w:divBdr>
        <w:top w:val="none" w:sz="0" w:space="0" w:color="auto"/>
        <w:left w:val="none" w:sz="0" w:space="0" w:color="auto"/>
        <w:bottom w:val="none" w:sz="0" w:space="0" w:color="auto"/>
        <w:right w:val="none" w:sz="0" w:space="0" w:color="auto"/>
      </w:divBdr>
    </w:div>
    <w:div w:id="1624194536">
      <w:marLeft w:val="0"/>
      <w:marRight w:val="0"/>
      <w:marTop w:val="0"/>
      <w:marBottom w:val="0"/>
      <w:divBdr>
        <w:top w:val="none" w:sz="0" w:space="0" w:color="auto"/>
        <w:left w:val="none" w:sz="0" w:space="0" w:color="auto"/>
        <w:bottom w:val="none" w:sz="0" w:space="0" w:color="auto"/>
        <w:right w:val="none" w:sz="0" w:space="0" w:color="auto"/>
      </w:divBdr>
    </w:div>
    <w:div w:id="1624194537">
      <w:marLeft w:val="0"/>
      <w:marRight w:val="0"/>
      <w:marTop w:val="0"/>
      <w:marBottom w:val="0"/>
      <w:divBdr>
        <w:top w:val="none" w:sz="0" w:space="0" w:color="auto"/>
        <w:left w:val="none" w:sz="0" w:space="0" w:color="auto"/>
        <w:bottom w:val="none" w:sz="0" w:space="0" w:color="auto"/>
        <w:right w:val="none" w:sz="0" w:space="0" w:color="auto"/>
      </w:divBdr>
    </w:div>
    <w:div w:id="1624194538">
      <w:marLeft w:val="0"/>
      <w:marRight w:val="0"/>
      <w:marTop w:val="0"/>
      <w:marBottom w:val="0"/>
      <w:divBdr>
        <w:top w:val="none" w:sz="0" w:space="0" w:color="auto"/>
        <w:left w:val="none" w:sz="0" w:space="0" w:color="auto"/>
        <w:bottom w:val="none" w:sz="0" w:space="0" w:color="auto"/>
        <w:right w:val="none" w:sz="0" w:space="0" w:color="auto"/>
      </w:divBdr>
    </w:div>
    <w:div w:id="1624194539">
      <w:marLeft w:val="0"/>
      <w:marRight w:val="0"/>
      <w:marTop w:val="0"/>
      <w:marBottom w:val="0"/>
      <w:divBdr>
        <w:top w:val="none" w:sz="0" w:space="0" w:color="auto"/>
        <w:left w:val="none" w:sz="0" w:space="0" w:color="auto"/>
        <w:bottom w:val="none" w:sz="0" w:space="0" w:color="auto"/>
        <w:right w:val="none" w:sz="0" w:space="0" w:color="auto"/>
      </w:divBdr>
    </w:div>
    <w:div w:id="1624194540">
      <w:marLeft w:val="0"/>
      <w:marRight w:val="0"/>
      <w:marTop w:val="0"/>
      <w:marBottom w:val="0"/>
      <w:divBdr>
        <w:top w:val="none" w:sz="0" w:space="0" w:color="auto"/>
        <w:left w:val="none" w:sz="0" w:space="0" w:color="auto"/>
        <w:bottom w:val="none" w:sz="0" w:space="0" w:color="auto"/>
        <w:right w:val="none" w:sz="0" w:space="0" w:color="auto"/>
      </w:divBdr>
    </w:div>
    <w:div w:id="1624194541">
      <w:marLeft w:val="0"/>
      <w:marRight w:val="0"/>
      <w:marTop w:val="0"/>
      <w:marBottom w:val="0"/>
      <w:divBdr>
        <w:top w:val="none" w:sz="0" w:space="0" w:color="auto"/>
        <w:left w:val="none" w:sz="0" w:space="0" w:color="auto"/>
        <w:bottom w:val="none" w:sz="0" w:space="0" w:color="auto"/>
        <w:right w:val="none" w:sz="0" w:space="0" w:color="auto"/>
      </w:divBdr>
    </w:div>
    <w:div w:id="1624194542">
      <w:marLeft w:val="0"/>
      <w:marRight w:val="0"/>
      <w:marTop w:val="0"/>
      <w:marBottom w:val="0"/>
      <w:divBdr>
        <w:top w:val="none" w:sz="0" w:space="0" w:color="auto"/>
        <w:left w:val="none" w:sz="0" w:space="0" w:color="auto"/>
        <w:bottom w:val="none" w:sz="0" w:space="0" w:color="auto"/>
        <w:right w:val="none" w:sz="0" w:space="0" w:color="auto"/>
      </w:divBdr>
    </w:div>
    <w:div w:id="1624194543">
      <w:marLeft w:val="0"/>
      <w:marRight w:val="0"/>
      <w:marTop w:val="0"/>
      <w:marBottom w:val="0"/>
      <w:divBdr>
        <w:top w:val="none" w:sz="0" w:space="0" w:color="auto"/>
        <w:left w:val="none" w:sz="0" w:space="0" w:color="auto"/>
        <w:bottom w:val="none" w:sz="0" w:space="0" w:color="auto"/>
        <w:right w:val="none" w:sz="0" w:space="0" w:color="auto"/>
      </w:divBdr>
    </w:div>
    <w:div w:id="1624194544">
      <w:marLeft w:val="0"/>
      <w:marRight w:val="0"/>
      <w:marTop w:val="0"/>
      <w:marBottom w:val="0"/>
      <w:divBdr>
        <w:top w:val="none" w:sz="0" w:space="0" w:color="auto"/>
        <w:left w:val="none" w:sz="0" w:space="0" w:color="auto"/>
        <w:bottom w:val="none" w:sz="0" w:space="0" w:color="auto"/>
        <w:right w:val="none" w:sz="0" w:space="0" w:color="auto"/>
      </w:divBdr>
    </w:div>
    <w:div w:id="1624194545">
      <w:marLeft w:val="0"/>
      <w:marRight w:val="0"/>
      <w:marTop w:val="0"/>
      <w:marBottom w:val="0"/>
      <w:divBdr>
        <w:top w:val="none" w:sz="0" w:space="0" w:color="auto"/>
        <w:left w:val="none" w:sz="0" w:space="0" w:color="auto"/>
        <w:bottom w:val="none" w:sz="0" w:space="0" w:color="auto"/>
        <w:right w:val="none" w:sz="0" w:space="0" w:color="auto"/>
      </w:divBdr>
    </w:div>
    <w:div w:id="1624194546">
      <w:marLeft w:val="0"/>
      <w:marRight w:val="0"/>
      <w:marTop w:val="0"/>
      <w:marBottom w:val="0"/>
      <w:divBdr>
        <w:top w:val="none" w:sz="0" w:space="0" w:color="auto"/>
        <w:left w:val="none" w:sz="0" w:space="0" w:color="auto"/>
        <w:bottom w:val="none" w:sz="0" w:space="0" w:color="auto"/>
        <w:right w:val="none" w:sz="0" w:space="0" w:color="auto"/>
      </w:divBdr>
    </w:div>
    <w:div w:id="1624194547">
      <w:marLeft w:val="0"/>
      <w:marRight w:val="0"/>
      <w:marTop w:val="0"/>
      <w:marBottom w:val="0"/>
      <w:divBdr>
        <w:top w:val="none" w:sz="0" w:space="0" w:color="auto"/>
        <w:left w:val="none" w:sz="0" w:space="0" w:color="auto"/>
        <w:bottom w:val="none" w:sz="0" w:space="0" w:color="auto"/>
        <w:right w:val="none" w:sz="0" w:space="0" w:color="auto"/>
      </w:divBdr>
    </w:div>
    <w:div w:id="1624194548">
      <w:marLeft w:val="0"/>
      <w:marRight w:val="0"/>
      <w:marTop w:val="0"/>
      <w:marBottom w:val="0"/>
      <w:divBdr>
        <w:top w:val="none" w:sz="0" w:space="0" w:color="auto"/>
        <w:left w:val="none" w:sz="0" w:space="0" w:color="auto"/>
        <w:bottom w:val="none" w:sz="0" w:space="0" w:color="auto"/>
        <w:right w:val="none" w:sz="0" w:space="0" w:color="auto"/>
      </w:divBdr>
    </w:div>
    <w:div w:id="1624194549">
      <w:marLeft w:val="0"/>
      <w:marRight w:val="0"/>
      <w:marTop w:val="0"/>
      <w:marBottom w:val="0"/>
      <w:divBdr>
        <w:top w:val="none" w:sz="0" w:space="0" w:color="auto"/>
        <w:left w:val="none" w:sz="0" w:space="0" w:color="auto"/>
        <w:bottom w:val="none" w:sz="0" w:space="0" w:color="auto"/>
        <w:right w:val="none" w:sz="0" w:space="0" w:color="auto"/>
      </w:divBdr>
    </w:div>
    <w:div w:id="1624194550">
      <w:marLeft w:val="0"/>
      <w:marRight w:val="0"/>
      <w:marTop w:val="0"/>
      <w:marBottom w:val="0"/>
      <w:divBdr>
        <w:top w:val="none" w:sz="0" w:space="0" w:color="auto"/>
        <w:left w:val="none" w:sz="0" w:space="0" w:color="auto"/>
        <w:bottom w:val="none" w:sz="0" w:space="0" w:color="auto"/>
        <w:right w:val="none" w:sz="0" w:space="0" w:color="auto"/>
      </w:divBdr>
    </w:div>
    <w:div w:id="1624194551">
      <w:marLeft w:val="0"/>
      <w:marRight w:val="0"/>
      <w:marTop w:val="0"/>
      <w:marBottom w:val="0"/>
      <w:divBdr>
        <w:top w:val="none" w:sz="0" w:space="0" w:color="auto"/>
        <w:left w:val="none" w:sz="0" w:space="0" w:color="auto"/>
        <w:bottom w:val="none" w:sz="0" w:space="0" w:color="auto"/>
        <w:right w:val="none" w:sz="0" w:space="0" w:color="auto"/>
      </w:divBdr>
    </w:div>
    <w:div w:id="1624194552">
      <w:marLeft w:val="0"/>
      <w:marRight w:val="0"/>
      <w:marTop w:val="0"/>
      <w:marBottom w:val="0"/>
      <w:divBdr>
        <w:top w:val="none" w:sz="0" w:space="0" w:color="auto"/>
        <w:left w:val="none" w:sz="0" w:space="0" w:color="auto"/>
        <w:bottom w:val="none" w:sz="0" w:space="0" w:color="auto"/>
        <w:right w:val="none" w:sz="0" w:space="0" w:color="auto"/>
      </w:divBdr>
    </w:div>
    <w:div w:id="1624194553">
      <w:marLeft w:val="0"/>
      <w:marRight w:val="0"/>
      <w:marTop w:val="0"/>
      <w:marBottom w:val="0"/>
      <w:divBdr>
        <w:top w:val="none" w:sz="0" w:space="0" w:color="auto"/>
        <w:left w:val="none" w:sz="0" w:space="0" w:color="auto"/>
        <w:bottom w:val="none" w:sz="0" w:space="0" w:color="auto"/>
        <w:right w:val="none" w:sz="0" w:space="0" w:color="auto"/>
      </w:divBdr>
    </w:div>
    <w:div w:id="1624194554">
      <w:marLeft w:val="0"/>
      <w:marRight w:val="0"/>
      <w:marTop w:val="0"/>
      <w:marBottom w:val="0"/>
      <w:divBdr>
        <w:top w:val="none" w:sz="0" w:space="0" w:color="auto"/>
        <w:left w:val="none" w:sz="0" w:space="0" w:color="auto"/>
        <w:bottom w:val="none" w:sz="0" w:space="0" w:color="auto"/>
        <w:right w:val="none" w:sz="0" w:space="0" w:color="auto"/>
      </w:divBdr>
    </w:div>
    <w:div w:id="1624194555">
      <w:marLeft w:val="0"/>
      <w:marRight w:val="0"/>
      <w:marTop w:val="0"/>
      <w:marBottom w:val="0"/>
      <w:divBdr>
        <w:top w:val="none" w:sz="0" w:space="0" w:color="auto"/>
        <w:left w:val="none" w:sz="0" w:space="0" w:color="auto"/>
        <w:bottom w:val="none" w:sz="0" w:space="0" w:color="auto"/>
        <w:right w:val="none" w:sz="0" w:space="0" w:color="auto"/>
      </w:divBdr>
    </w:div>
    <w:div w:id="1624194556">
      <w:marLeft w:val="0"/>
      <w:marRight w:val="0"/>
      <w:marTop w:val="0"/>
      <w:marBottom w:val="0"/>
      <w:divBdr>
        <w:top w:val="none" w:sz="0" w:space="0" w:color="auto"/>
        <w:left w:val="none" w:sz="0" w:space="0" w:color="auto"/>
        <w:bottom w:val="none" w:sz="0" w:space="0" w:color="auto"/>
        <w:right w:val="none" w:sz="0" w:space="0" w:color="auto"/>
      </w:divBdr>
    </w:div>
    <w:div w:id="1624194557">
      <w:marLeft w:val="0"/>
      <w:marRight w:val="0"/>
      <w:marTop w:val="0"/>
      <w:marBottom w:val="0"/>
      <w:divBdr>
        <w:top w:val="none" w:sz="0" w:space="0" w:color="auto"/>
        <w:left w:val="none" w:sz="0" w:space="0" w:color="auto"/>
        <w:bottom w:val="none" w:sz="0" w:space="0" w:color="auto"/>
        <w:right w:val="none" w:sz="0" w:space="0" w:color="auto"/>
      </w:divBdr>
    </w:div>
    <w:div w:id="1624194558">
      <w:marLeft w:val="0"/>
      <w:marRight w:val="0"/>
      <w:marTop w:val="0"/>
      <w:marBottom w:val="0"/>
      <w:divBdr>
        <w:top w:val="none" w:sz="0" w:space="0" w:color="auto"/>
        <w:left w:val="none" w:sz="0" w:space="0" w:color="auto"/>
        <w:bottom w:val="none" w:sz="0" w:space="0" w:color="auto"/>
        <w:right w:val="none" w:sz="0" w:space="0" w:color="auto"/>
      </w:divBdr>
    </w:div>
    <w:div w:id="1624194559">
      <w:marLeft w:val="0"/>
      <w:marRight w:val="0"/>
      <w:marTop w:val="0"/>
      <w:marBottom w:val="0"/>
      <w:divBdr>
        <w:top w:val="none" w:sz="0" w:space="0" w:color="auto"/>
        <w:left w:val="none" w:sz="0" w:space="0" w:color="auto"/>
        <w:bottom w:val="none" w:sz="0" w:space="0" w:color="auto"/>
        <w:right w:val="none" w:sz="0" w:space="0" w:color="auto"/>
      </w:divBdr>
    </w:div>
    <w:div w:id="1624194560">
      <w:marLeft w:val="0"/>
      <w:marRight w:val="0"/>
      <w:marTop w:val="0"/>
      <w:marBottom w:val="0"/>
      <w:divBdr>
        <w:top w:val="none" w:sz="0" w:space="0" w:color="auto"/>
        <w:left w:val="none" w:sz="0" w:space="0" w:color="auto"/>
        <w:bottom w:val="none" w:sz="0" w:space="0" w:color="auto"/>
        <w:right w:val="none" w:sz="0" w:space="0" w:color="auto"/>
      </w:divBdr>
    </w:div>
    <w:div w:id="1624194561">
      <w:marLeft w:val="0"/>
      <w:marRight w:val="0"/>
      <w:marTop w:val="0"/>
      <w:marBottom w:val="0"/>
      <w:divBdr>
        <w:top w:val="none" w:sz="0" w:space="0" w:color="auto"/>
        <w:left w:val="none" w:sz="0" w:space="0" w:color="auto"/>
        <w:bottom w:val="none" w:sz="0" w:space="0" w:color="auto"/>
        <w:right w:val="none" w:sz="0" w:space="0" w:color="auto"/>
      </w:divBdr>
    </w:div>
    <w:div w:id="1624194562">
      <w:marLeft w:val="0"/>
      <w:marRight w:val="0"/>
      <w:marTop w:val="0"/>
      <w:marBottom w:val="0"/>
      <w:divBdr>
        <w:top w:val="none" w:sz="0" w:space="0" w:color="auto"/>
        <w:left w:val="none" w:sz="0" w:space="0" w:color="auto"/>
        <w:bottom w:val="none" w:sz="0" w:space="0" w:color="auto"/>
        <w:right w:val="none" w:sz="0" w:space="0" w:color="auto"/>
      </w:divBdr>
    </w:div>
    <w:div w:id="1624194563">
      <w:marLeft w:val="0"/>
      <w:marRight w:val="0"/>
      <w:marTop w:val="0"/>
      <w:marBottom w:val="0"/>
      <w:divBdr>
        <w:top w:val="none" w:sz="0" w:space="0" w:color="auto"/>
        <w:left w:val="none" w:sz="0" w:space="0" w:color="auto"/>
        <w:bottom w:val="none" w:sz="0" w:space="0" w:color="auto"/>
        <w:right w:val="none" w:sz="0" w:space="0" w:color="auto"/>
      </w:divBdr>
    </w:div>
    <w:div w:id="1624194564">
      <w:marLeft w:val="0"/>
      <w:marRight w:val="0"/>
      <w:marTop w:val="0"/>
      <w:marBottom w:val="0"/>
      <w:divBdr>
        <w:top w:val="none" w:sz="0" w:space="0" w:color="auto"/>
        <w:left w:val="none" w:sz="0" w:space="0" w:color="auto"/>
        <w:bottom w:val="none" w:sz="0" w:space="0" w:color="auto"/>
        <w:right w:val="none" w:sz="0" w:space="0" w:color="auto"/>
      </w:divBdr>
    </w:div>
    <w:div w:id="1624194565">
      <w:marLeft w:val="0"/>
      <w:marRight w:val="0"/>
      <w:marTop w:val="0"/>
      <w:marBottom w:val="0"/>
      <w:divBdr>
        <w:top w:val="none" w:sz="0" w:space="0" w:color="auto"/>
        <w:left w:val="none" w:sz="0" w:space="0" w:color="auto"/>
        <w:bottom w:val="none" w:sz="0" w:space="0" w:color="auto"/>
        <w:right w:val="none" w:sz="0" w:space="0" w:color="auto"/>
      </w:divBdr>
    </w:div>
    <w:div w:id="1624194566">
      <w:marLeft w:val="0"/>
      <w:marRight w:val="0"/>
      <w:marTop w:val="0"/>
      <w:marBottom w:val="0"/>
      <w:divBdr>
        <w:top w:val="none" w:sz="0" w:space="0" w:color="auto"/>
        <w:left w:val="none" w:sz="0" w:space="0" w:color="auto"/>
        <w:bottom w:val="none" w:sz="0" w:space="0" w:color="auto"/>
        <w:right w:val="none" w:sz="0" w:space="0" w:color="auto"/>
      </w:divBdr>
    </w:div>
    <w:div w:id="1624194567">
      <w:marLeft w:val="0"/>
      <w:marRight w:val="0"/>
      <w:marTop w:val="0"/>
      <w:marBottom w:val="0"/>
      <w:divBdr>
        <w:top w:val="none" w:sz="0" w:space="0" w:color="auto"/>
        <w:left w:val="none" w:sz="0" w:space="0" w:color="auto"/>
        <w:bottom w:val="none" w:sz="0" w:space="0" w:color="auto"/>
        <w:right w:val="none" w:sz="0" w:space="0" w:color="auto"/>
      </w:divBdr>
    </w:div>
    <w:div w:id="1624194568">
      <w:marLeft w:val="0"/>
      <w:marRight w:val="0"/>
      <w:marTop w:val="0"/>
      <w:marBottom w:val="0"/>
      <w:divBdr>
        <w:top w:val="none" w:sz="0" w:space="0" w:color="auto"/>
        <w:left w:val="none" w:sz="0" w:space="0" w:color="auto"/>
        <w:bottom w:val="none" w:sz="0" w:space="0" w:color="auto"/>
        <w:right w:val="none" w:sz="0" w:space="0" w:color="auto"/>
      </w:divBdr>
    </w:div>
    <w:div w:id="1624194569">
      <w:marLeft w:val="0"/>
      <w:marRight w:val="0"/>
      <w:marTop w:val="0"/>
      <w:marBottom w:val="0"/>
      <w:divBdr>
        <w:top w:val="none" w:sz="0" w:space="0" w:color="auto"/>
        <w:left w:val="none" w:sz="0" w:space="0" w:color="auto"/>
        <w:bottom w:val="none" w:sz="0" w:space="0" w:color="auto"/>
        <w:right w:val="none" w:sz="0" w:space="0" w:color="auto"/>
      </w:divBdr>
    </w:div>
    <w:div w:id="1624194570">
      <w:marLeft w:val="0"/>
      <w:marRight w:val="0"/>
      <w:marTop w:val="0"/>
      <w:marBottom w:val="0"/>
      <w:divBdr>
        <w:top w:val="none" w:sz="0" w:space="0" w:color="auto"/>
        <w:left w:val="none" w:sz="0" w:space="0" w:color="auto"/>
        <w:bottom w:val="none" w:sz="0" w:space="0" w:color="auto"/>
        <w:right w:val="none" w:sz="0" w:space="0" w:color="auto"/>
      </w:divBdr>
    </w:div>
    <w:div w:id="1624194571">
      <w:marLeft w:val="0"/>
      <w:marRight w:val="0"/>
      <w:marTop w:val="0"/>
      <w:marBottom w:val="0"/>
      <w:divBdr>
        <w:top w:val="none" w:sz="0" w:space="0" w:color="auto"/>
        <w:left w:val="none" w:sz="0" w:space="0" w:color="auto"/>
        <w:bottom w:val="none" w:sz="0" w:space="0" w:color="auto"/>
        <w:right w:val="none" w:sz="0" w:space="0" w:color="auto"/>
      </w:divBdr>
    </w:div>
    <w:div w:id="1624194572">
      <w:marLeft w:val="0"/>
      <w:marRight w:val="0"/>
      <w:marTop w:val="0"/>
      <w:marBottom w:val="0"/>
      <w:divBdr>
        <w:top w:val="none" w:sz="0" w:space="0" w:color="auto"/>
        <w:left w:val="none" w:sz="0" w:space="0" w:color="auto"/>
        <w:bottom w:val="none" w:sz="0" w:space="0" w:color="auto"/>
        <w:right w:val="none" w:sz="0" w:space="0" w:color="auto"/>
      </w:divBdr>
    </w:div>
    <w:div w:id="1624194573">
      <w:marLeft w:val="0"/>
      <w:marRight w:val="0"/>
      <w:marTop w:val="0"/>
      <w:marBottom w:val="0"/>
      <w:divBdr>
        <w:top w:val="none" w:sz="0" w:space="0" w:color="auto"/>
        <w:left w:val="none" w:sz="0" w:space="0" w:color="auto"/>
        <w:bottom w:val="none" w:sz="0" w:space="0" w:color="auto"/>
        <w:right w:val="none" w:sz="0" w:space="0" w:color="auto"/>
      </w:divBdr>
    </w:div>
    <w:div w:id="1624194574">
      <w:marLeft w:val="0"/>
      <w:marRight w:val="0"/>
      <w:marTop w:val="0"/>
      <w:marBottom w:val="0"/>
      <w:divBdr>
        <w:top w:val="none" w:sz="0" w:space="0" w:color="auto"/>
        <w:left w:val="none" w:sz="0" w:space="0" w:color="auto"/>
        <w:bottom w:val="none" w:sz="0" w:space="0" w:color="auto"/>
        <w:right w:val="none" w:sz="0" w:space="0" w:color="auto"/>
      </w:divBdr>
    </w:div>
    <w:div w:id="1624194575">
      <w:marLeft w:val="0"/>
      <w:marRight w:val="0"/>
      <w:marTop w:val="0"/>
      <w:marBottom w:val="0"/>
      <w:divBdr>
        <w:top w:val="none" w:sz="0" w:space="0" w:color="auto"/>
        <w:left w:val="none" w:sz="0" w:space="0" w:color="auto"/>
        <w:bottom w:val="none" w:sz="0" w:space="0" w:color="auto"/>
        <w:right w:val="none" w:sz="0" w:space="0" w:color="auto"/>
      </w:divBdr>
    </w:div>
    <w:div w:id="1624194576">
      <w:marLeft w:val="0"/>
      <w:marRight w:val="0"/>
      <w:marTop w:val="0"/>
      <w:marBottom w:val="0"/>
      <w:divBdr>
        <w:top w:val="none" w:sz="0" w:space="0" w:color="auto"/>
        <w:left w:val="none" w:sz="0" w:space="0" w:color="auto"/>
        <w:bottom w:val="none" w:sz="0" w:space="0" w:color="auto"/>
        <w:right w:val="none" w:sz="0" w:space="0" w:color="auto"/>
      </w:divBdr>
    </w:div>
    <w:div w:id="1624194577">
      <w:marLeft w:val="0"/>
      <w:marRight w:val="0"/>
      <w:marTop w:val="0"/>
      <w:marBottom w:val="0"/>
      <w:divBdr>
        <w:top w:val="none" w:sz="0" w:space="0" w:color="auto"/>
        <w:left w:val="none" w:sz="0" w:space="0" w:color="auto"/>
        <w:bottom w:val="none" w:sz="0" w:space="0" w:color="auto"/>
        <w:right w:val="none" w:sz="0" w:space="0" w:color="auto"/>
      </w:divBdr>
    </w:div>
    <w:div w:id="1624194578">
      <w:marLeft w:val="0"/>
      <w:marRight w:val="0"/>
      <w:marTop w:val="0"/>
      <w:marBottom w:val="0"/>
      <w:divBdr>
        <w:top w:val="none" w:sz="0" w:space="0" w:color="auto"/>
        <w:left w:val="none" w:sz="0" w:space="0" w:color="auto"/>
        <w:bottom w:val="none" w:sz="0" w:space="0" w:color="auto"/>
        <w:right w:val="none" w:sz="0" w:space="0" w:color="auto"/>
      </w:divBdr>
    </w:div>
    <w:div w:id="1624194579">
      <w:marLeft w:val="0"/>
      <w:marRight w:val="0"/>
      <w:marTop w:val="0"/>
      <w:marBottom w:val="0"/>
      <w:divBdr>
        <w:top w:val="none" w:sz="0" w:space="0" w:color="auto"/>
        <w:left w:val="none" w:sz="0" w:space="0" w:color="auto"/>
        <w:bottom w:val="none" w:sz="0" w:space="0" w:color="auto"/>
        <w:right w:val="none" w:sz="0" w:space="0" w:color="auto"/>
      </w:divBdr>
    </w:div>
    <w:div w:id="1624194580">
      <w:marLeft w:val="0"/>
      <w:marRight w:val="0"/>
      <w:marTop w:val="0"/>
      <w:marBottom w:val="0"/>
      <w:divBdr>
        <w:top w:val="none" w:sz="0" w:space="0" w:color="auto"/>
        <w:left w:val="none" w:sz="0" w:space="0" w:color="auto"/>
        <w:bottom w:val="none" w:sz="0" w:space="0" w:color="auto"/>
        <w:right w:val="none" w:sz="0" w:space="0" w:color="auto"/>
      </w:divBdr>
    </w:div>
    <w:div w:id="1624194581">
      <w:marLeft w:val="0"/>
      <w:marRight w:val="0"/>
      <w:marTop w:val="0"/>
      <w:marBottom w:val="0"/>
      <w:divBdr>
        <w:top w:val="none" w:sz="0" w:space="0" w:color="auto"/>
        <w:left w:val="none" w:sz="0" w:space="0" w:color="auto"/>
        <w:bottom w:val="none" w:sz="0" w:space="0" w:color="auto"/>
        <w:right w:val="none" w:sz="0" w:space="0" w:color="auto"/>
      </w:divBdr>
    </w:div>
    <w:div w:id="1624194582">
      <w:marLeft w:val="0"/>
      <w:marRight w:val="0"/>
      <w:marTop w:val="0"/>
      <w:marBottom w:val="0"/>
      <w:divBdr>
        <w:top w:val="none" w:sz="0" w:space="0" w:color="auto"/>
        <w:left w:val="none" w:sz="0" w:space="0" w:color="auto"/>
        <w:bottom w:val="none" w:sz="0" w:space="0" w:color="auto"/>
        <w:right w:val="none" w:sz="0" w:space="0" w:color="auto"/>
      </w:divBdr>
    </w:div>
    <w:div w:id="1624194583">
      <w:marLeft w:val="0"/>
      <w:marRight w:val="0"/>
      <w:marTop w:val="0"/>
      <w:marBottom w:val="0"/>
      <w:divBdr>
        <w:top w:val="none" w:sz="0" w:space="0" w:color="auto"/>
        <w:left w:val="none" w:sz="0" w:space="0" w:color="auto"/>
        <w:bottom w:val="none" w:sz="0" w:space="0" w:color="auto"/>
        <w:right w:val="none" w:sz="0" w:space="0" w:color="auto"/>
      </w:divBdr>
    </w:div>
    <w:div w:id="1624194584">
      <w:marLeft w:val="0"/>
      <w:marRight w:val="0"/>
      <w:marTop w:val="0"/>
      <w:marBottom w:val="0"/>
      <w:divBdr>
        <w:top w:val="none" w:sz="0" w:space="0" w:color="auto"/>
        <w:left w:val="none" w:sz="0" w:space="0" w:color="auto"/>
        <w:bottom w:val="none" w:sz="0" w:space="0" w:color="auto"/>
        <w:right w:val="none" w:sz="0" w:space="0" w:color="auto"/>
      </w:divBdr>
    </w:div>
    <w:div w:id="1624194585">
      <w:marLeft w:val="0"/>
      <w:marRight w:val="0"/>
      <w:marTop w:val="0"/>
      <w:marBottom w:val="0"/>
      <w:divBdr>
        <w:top w:val="none" w:sz="0" w:space="0" w:color="auto"/>
        <w:left w:val="none" w:sz="0" w:space="0" w:color="auto"/>
        <w:bottom w:val="none" w:sz="0" w:space="0" w:color="auto"/>
        <w:right w:val="none" w:sz="0" w:space="0" w:color="auto"/>
      </w:divBdr>
    </w:div>
    <w:div w:id="1624194586">
      <w:marLeft w:val="0"/>
      <w:marRight w:val="0"/>
      <w:marTop w:val="0"/>
      <w:marBottom w:val="0"/>
      <w:divBdr>
        <w:top w:val="none" w:sz="0" w:space="0" w:color="auto"/>
        <w:left w:val="none" w:sz="0" w:space="0" w:color="auto"/>
        <w:bottom w:val="none" w:sz="0" w:space="0" w:color="auto"/>
        <w:right w:val="none" w:sz="0" w:space="0" w:color="auto"/>
      </w:divBdr>
    </w:div>
    <w:div w:id="1624194587">
      <w:marLeft w:val="0"/>
      <w:marRight w:val="0"/>
      <w:marTop w:val="0"/>
      <w:marBottom w:val="0"/>
      <w:divBdr>
        <w:top w:val="none" w:sz="0" w:space="0" w:color="auto"/>
        <w:left w:val="none" w:sz="0" w:space="0" w:color="auto"/>
        <w:bottom w:val="none" w:sz="0" w:space="0" w:color="auto"/>
        <w:right w:val="none" w:sz="0" w:space="0" w:color="auto"/>
      </w:divBdr>
    </w:div>
    <w:div w:id="1624194588">
      <w:marLeft w:val="0"/>
      <w:marRight w:val="0"/>
      <w:marTop w:val="0"/>
      <w:marBottom w:val="0"/>
      <w:divBdr>
        <w:top w:val="none" w:sz="0" w:space="0" w:color="auto"/>
        <w:left w:val="none" w:sz="0" w:space="0" w:color="auto"/>
        <w:bottom w:val="none" w:sz="0" w:space="0" w:color="auto"/>
        <w:right w:val="none" w:sz="0" w:space="0" w:color="auto"/>
      </w:divBdr>
    </w:div>
    <w:div w:id="1624194589">
      <w:marLeft w:val="0"/>
      <w:marRight w:val="0"/>
      <w:marTop w:val="0"/>
      <w:marBottom w:val="0"/>
      <w:divBdr>
        <w:top w:val="none" w:sz="0" w:space="0" w:color="auto"/>
        <w:left w:val="none" w:sz="0" w:space="0" w:color="auto"/>
        <w:bottom w:val="none" w:sz="0" w:space="0" w:color="auto"/>
        <w:right w:val="none" w:sz="0" w:space="0" w:color="auto"/>
      </w:divBdr>
    </w:div>
    <w:div w:id="1624194590">
      <w:marLeft w:val="0"/>
      <w:marRight w:val="0"/>
      <w:marTop w:val="0"/>
      <w:marBottom w:val="0"/>
      <w:divBdr>
        <w:top w:val="none" w:sz="0" w:space="0" w:color="auto"/>
        <w:left w:val="none" w:sz="0" w:space="0" w:color="auto"/>
        <w:bottom w:val="none" w:sz="0" w:space="0" w:color="auto"/>
        <w:right w:val="none" w:sz="0" w:space="0" w:color="auto"/>
      </w:divBdr>
    </w:div>
    <w:div w:id="1624194591">
      <w:marLeft w:val="0"/>
      <w:marRight w:val="0"/>
      <w:marTop w:val="0"/>
      <w:marBottom w:val="0"/>
      <w:divBdr>
        <w:top w:val="none" w:sz="0" w:space="0" w:color="auto"/>
        <w:left w:val="none" w:sz="0" w:space="0" w:color="auto"/>
        <w:bottom w:val="none" w:sz="0" w:space="0" w:color="auto"/>
        <w:right w:val="none" w:sz="0" w:space="0" w:color="auto"/>
      </w:divBdr>
    </w:div>
    <w:div w:id="1624194592">
      <w:marLeft w:val="0"/>
      <w:marRight w:val="0"/>
      <w:marTop w:val="0"/>
      <w:marBottom w:val="0"/>
      <w:divBdr>
        <w:top w:val="none" w:sz="0" w:space="0" w:color="auto"/>
        <w:left w:val="none" w:sz="0" w:space="0" w:color="auto"/>
        <w:bottom w:val="none" w:sz="0" w:space="0" w:color="auto"/>
        <w:right w:val="none" w:sz="0" w:space="0" w:color="auto"/>
      </w:divBdr>
    </w:div>
    <w:div w:id="1624194593">
      <w:marLeft w:val="0"/>
      <w:marRight w:val="0"/>
      <w:marTop w:val="0"/>
      <w:marBottom w:val="0"/>
      <w:divBdr>
        <w:top w:val="none" w:sz="0" w:space="0" w:color="auto"/>
        <w:left w:val="none" w:sz="0" w:space="0" w:color="auto"/>
        <w:bottom w:val="none" w:sz="0" w:space="0" w:color="auto"/>
        <w:right w:val="none" w:sz="0" w:space="0" w:color="auto"/>
      </w:divBdr>
    </w:div>
    <w:div w:id="1624194594">
      <w:marLeft w:val="0"/>
      <w:marRight w:val="0"/>
      <w:marTop w:val="0"/>
      <w:marBottom w:val="0"/>
      <w:divBdr>
        <w:top w:val="none" w:sz="0" w:space="0" w:color="auto"/>
        <w:left w:val="none" w:sz="0" w:space="0" w:color="auto"/>
        <w:bottom w:val="none" w:sz="0" w:space="0" w:color="auto"/>
        <w:right w:val="none" w:sz="0" w:space="0" w:color="auto"/>
      </w:divBdr>
    </w:div>
    <w:div w:id="1624194595">
      <w:marLeft w:val="0"/>
      <w:marRight w:val="0"/>
      <w:marTop w:val="0"/>
      <w:marBottom w:val="0"/>
      <w:divBdr>
        <w:top w:val="none" w:sz="0" w:space="0" w:color="auto"/>
        <w:left w:val="none" w:sz="0" w:space="0" w:color="auto"/>
        <w:bottom w:val="none" w:sz="0" w:space="0" w:color="auto"/>
        <w:right w:val="none" w:sz="0" w:space="0" w:color="auto"/>
      </w:divBdr>
    </w:div>
    <w:div w:id="1624194596">
      <w:marLeft w:val="0"/>
      <w:marRight w:val="0"/>
      <w:marTop w:val="0"/>
      <w:marBottom w:val="0"/>
      <w:divBdr>
        <w:top w:val="none" w:sz="0" w:space="0" w:color="auto"/>
        <w:left w:val="none" w:sz="0" w:space="0" w:color="auto"/>
        <w:bottom w:val="none" w:sz="0" w:space="0" w:color="auto"/>
        <w:right w:val="none" w:sz="0" w:space="0" w:color="auto"/>
      </w:divBdr>
    </w:div>
    <w:div w:id="1624194597">
      <w:marLeft w:val="0"/>
      <w:marRight w:val="0"/>
      <w:marTop w:val="0"/>
      <w:marBottom w:val="0"/>
      <w:divBdr>
        <w:top w:val="none" w:sz="0" w:space="0" w:color="auto"/>
        <w:left w:val="none" w:sz="0" w:space="0" w:color="auto"/>
        <w:bottom w:val="none" w:sz="0" w:space="0" w:color="auto"/>
        <w:right w:val="none" w:sz="0" w:space="0" w:color="auto"/>
      </w:divBdr>
    </w:div>
    <w:div w:id="1624194598">
      <w:marLeft w:val="0"/>
      <w:marRight w:val="0"/>
      <w:marTop w:val="0"/>
      <w:marBottom w:val="0"/>
      <w:divBdr>
        <w:top w:val="none" w:sz="0" w:space="0" w:color="auto"/>
        <w:left w:val="none" w:sz="0" w:space="0" w:color="auto"/>
        <w:bottom w:val="none" w:sz="0" w:space="0" w:color="auto"/>
        <w:right w:val="none" w:sz="0" w:space="0" w:color="auto"/>
      </w:divBdr>
    </w:div>
    <w:div w:id="1624194599">
      <w:marLeft w:val="0"/>
      <w:marRight w:val="0"/>
      <w:marTop w:val="0"/>
      <w:marBottom w:val="0"/>
      <w:divBdr>
        <w:top w:val="none" w:sz="0" w:space="0" w:color="auto"/>
        <w:left w:val="none" w:sz="0" w:space="0" w:color="auto"/>
        <w:bottom w:val="none" w:sz="0" w:space="0" w:color="auto"/>
        <w:right w:val="none" w:sz="0" w:space="0" w:color="auto"/>
      </w:divBdr>
    </w:div>
    <w:div w:id="1624194600">
      <w:marLeft w:val="0"/>
      <w:marRight w:val="0"/>
      <w:marTop w:val="0"/>
      <w:marBottom w:val="0"/>
      <w:divBdr>
        <w:top w:val="none" w:sz="0" w:space="0" w:color="auto"/>
        <w:left w:val="none" w:sz="0" w:space="0" w:color="auto"/>
        <w:bottom w:val="none" w:sz="0" w:space="0" w:color="auto"/>
        <w:right w:val="none" w:sz="0" w:space="0" w:color="auto"/>
      </w:divBdr>
    </w:div>
    <w:div w:id="1624194601">
      <w:marLeft w:val="0"/>
      <w:marRight w:val="0"/>
      <w:marTop w:val="0"/>
      <w:marBottom w:val="0"/>
      <w:divBdr>
        <w:top w:val="none" w:sz="0" w:space="0" w:color="auto"/>
        <w:left w:val="none" w:sz="0" w:space="0" w:color="auto"/>
        <w:bottom w:val="none" w:sz="0" w:space="0" w:color="auto"/>
        <w:right w:val="none" w:sz="0" w:space="0" w:color="auto"/>
      </w:divBdr>
    </w:div>
    <w:div w:id="1624194602">
      <w:marLeft w:val="0"/>
      <w:marRight w:val="0"/>
      <w:marTop w:val="0"/>
      <w:marBottom w:val="0"/>
      <w:divBdr>
        <w:top w:val="none" w:sz="0" w:space="0" w:color="auto"/>
        <w:left w:val="none" w:sz="0" w:space="0" w:color="auto"/>
        <w:bottom w:val="none" w:sz="0" w:space="0" w:color="auto"/>
        <w:right w:val="none" w:sz="0" w:space="0" w:color="auto"/>
      </w:divBdr>
    </w:div>
    <w:div w:id="1624194603">
      <w:marLeft w:val="0"/>
      <w:marRight w:val="0"/>
      <w:marTop w:val="0"/>
      <w:marBottom w:val="0"/>
      <w:divBdr>
        <w:top w:val="none" w:sz="0" w:space="0" w:color="auto"/>
        <w:left w:val="none" w:sz="0" w:space="0" w:color="auto"/>
        <w:bottom w:val="none" w:sz="0" w:space="0" w:color="auto"/>
        <w:right w:val="none" w:sz="0" w:space="0" w:color="auto"/>
      </w:divBdr>
    </w:div>
    <w:div w:id="1624194604">
      <w:marLeft w:val="0"/>
      <w:marRight w:val="0"/>
      <w:marTop w:val="0"/>
      <w:marBottom w:val="0"/>
      <w:divBdr>
        <w:top w:val="none" w:sz="0" w:space="0" w:color="auto"/>
        <w:left w:val="none" w:sz="0" w:space="0" w:color="auto"/>
        <w:bottom w:val="none" w:sz="0" w:space="0" w:color="auto"/>
        <w:right w:val="none" w:sz="0" w:space="0" w:color="auto"/>
      </w:divBdr>
    </w:div>
    <w:div w:id="1624194605">
      <w:marLeft w:val="0"/>
      <w:marRight w:val="0"/>
      <w:marTop w:val="0"/>
      <w:marBottom w:val="0"/>
      <w:divBdr>
        <w:top w:val="none" w:sz="0" w:space="0" w:color="auto"/>
        <w:left w:val="none" w:sz="0" w:space="0" w:color="auto"/>
        <w:bottom w:val="none" w:sz="0" w:space="0" w:color="auto"/>
        <w:right w:val="none" w:sz="0" w:space="0" w:color="auto"/>
      </w:divBdr>
    </w:div>
    <w:div w:id="1624194606">
      <w:marLeft w:val="0"/>
      <w:marRight w:val="0"/>
      <w:marTop w:val="0"/>
      <w:marBottom w:val="0"/>
      <w:divBdr>
        <w:top w:val="none" w:sz="0" w:space="0" w:color="auto"/>
        <w:left w:val="none" w:sz="0" w:space="0" w:color="auto"/>
        <w:bottom w:val="none" w:sz="0" w:space="0" w:color="auto"/>
        <w:right w:val="none" w:sz="0" w:space="0" w:color="auto"/>
      </w:divBdr>
    </w:div>
    <w:div w:id="1624194607">
      <w:marLeft w:val="0"/>
      <w:marRight w:val="0"/>
      <w:marTop w:val="0"/>
      <w:marBottom w:val="0"/>
      <w:divBdr>
        <w:top w:val="none" w:sz="0" w:space="0" w:color="auto"/>
        <w:left w:val="none" w:sz="0" w:space="0" w:color="auto"/>
        <w:bottom w:val="none" w:sz="0" w:space="0" w:color="auto"/>
        <w:right w:val="none" w:sz="0" w:space="0" w:color="auto"/>
      </w:divBdr>
    </w:div>
    <w:div w:id="1624194608">
      <w:marLeft w:val="0"/>
      <w:marRight w:val="0"/>
      <w:marTop w:val="0"/>
      <w:marBottom w:val="0"/>
      <w:divBdr>
        <w:top w:val="none" w:sz="0" w:space="0" w:color="auto"/>
        <w:left w:val="none" w:sz="0" w:space="0" w:color="auto"/>
        <w:bottom w:val="none" w:sz="0" w:space="0" w:color="auto"/>
        <w:right w:val="none" w:sz="0" w:space="0" w:color="auto"/>
      </w:divBdr>
    </w:div>
    <w:div w:id="1624194609">
      <w:marLeft w:val="0"/>
      <w:marRight w:val="0"/>
      <w:marTop w:val="0"/>
      <w:marBottom w:val="0"/>
      <w:divBdr>
        <w:top w:val="none" w:sz="0" w:space="0" w:color="auto"/>
        <w:left w:val="none" w:sz="0" w:space="0" w:color="auto"/>
        <w:bottom w:val="none" w:sz="0" w:space="0" w:color="auto"/>
        <w:right w:val="none" w:sz="0" w:space="0" w:color="auto"/>
      </w:divBdr>
    </w:div>
    <w:div w:id="1624194610">
      <w:marLeft w:val="0"/>
      <w:marRight w:val="0"/>
      <w:marTop w:val="0"/>
      <w:marBottom w:val="0"/>
      <w:divBdr>
        <w:top w:val="none" w:sz="0" w:space="0" w:color="auto"/>
        <w:left w:val="none" w:sz="0" w:space="0" w:color="auto"/>
        <w:bottom w:val="none" w:sz="0" w:space="0" w:color="auto"/>
        <w:right w:val="none" w:sz="0" w:space="0" w:color="auto"/>
      </w:divBdr>
    </w:div>
    <w:div w:id="1624194611">
      <w:marLeft w:val="0"/>
      <w:marRight w:val="0"/>
      <w:marTop w:val="0"/>
      <w:marBottom w:val="0"/>
      <w:divBdr>
        <w:top w:val="none" w:sz="0" w:space="0" w:color="auto"/>
        <w:left w:val="none" w:sz="0" w:space="0" w:color="auto"/>
        <w:bottom w:val="none" w:sz="0" w:space="0" w:color="auto"/>
        <w:right w:val="none" w:sz="0" w:space="0" w:color="auto"/>
      </w:divBdr>
    </w:div>
    <w:div w:id="1624194612">
      <w:marLeft w:val="0"/>
      <w:marRight w:val="0"/>
      <w:marTop w:val="0"/>
      <w:marBottom w:val="0"/>
      <w:divBdr>
        <w:top w:val="none" w:sz="0" w:space="0" w:color="auto"/>
        <w:left w:val="none" w:sz="0" w:space="0" w:color="auto"/>
        <w:bottom w:val="none" w:sz="0" w:space="0" w:color="auto"/>
        <w:right w:val="none" w:sz="0" w:space="0" w:color="auto"/>
      </w:divBdr>
    </w:div>
    <w:div w:id="1624194613">
      <w:marLeft w:val="0"/>
      <w:marRight w:val="0"/>
      <w:marTop w:val="0"/>
      <w:marBottom w:val="0"/>
      <w:divBdr>
        <w:top w:val="none" w:sz="0" w:space="0" w:color="auto"/>
        <w:left w:val="none" w:sz="0" w:space="0" w:color="auto"/>
        <w:bottom w:val="none" w:sz="0" w:space="0" w:color="auto"/>
        <w:right w:val="none" w:sz="0" w:space="0" w:color="auto"/>
      </w:divBdr>
    </w:div>
    <w:div w:id="1624194614">
      <w:marLeft w:val="0"/>
      <w:marRight w:val="0"/>
      <w:marTop w:val="0"/>
      <w:marBottom w:val="0"/>
      <w:divBdr>
        <w:top w:val="none" w:sz="0" w:space="0" w:color="auto"/>
        <w:left w:val="none" w:sz="0" w:space="0" w:color="auto"/>
        <w:bottom w:val="none" w:sz="0" w:space="0" w:color="auto"/>
        <w:right w:val="none" w:sz="0" w:space="0" w:color="auto"/>
      </w:divBdr>
    </w:div>
    <w:div w:id="1624194615">
      <w:marLeft w:val="0"/>
      <w:marRight w:val="0"/>
      <w:marTop w:val="0"/>
      <w:marBottom w:val="0"/>
      <w:divBdr>
        <w:top w:val="none" w:sz="0" w:space="0" w:color="auto"/>
        <w:left w:val="none" w:sz="0" w:space="0" w:color="auto"/>
        <w:bottom w:val="none" w:sz="0" w:space="0" w:color="auto"/>
        <w:right w:val="none" w:sz="0" w:space="0" w:color="auto"/>
      </w:divBdr>
    </w:div>
    <w:div w:id="1624194616">
      <w:marLeft w:val="0"/>
      <w:marRight w:val="0"/>
      <w:marTop w:val="0"/>
      <w:marBottom w:val="0"/>
      <w:divBdr>
        <w:top w:val="none" w:sz="0" w:space="0" w:color="auto"/>
        <w:left w:val="none" w:sz="0" w:space="0" w:color="auto"/>
        <w:bottom w:val="none" w:sz="0" w:space="0" w:color="auto"/>
        <w:right w:val="none" w:sz="0" w:space="0" w:color="auto"/>
      </w:divBdr>
    </w:div>
    <w:div w:id="1624194617">
      <w:marLeft w:val="0"/>
      <w:marRight w:val="0"/>
      <w:marTop w:val="0"/>
      <w:marBottom w:val="0"/>
      <w:divBdr>
        <w:top w:val="none" w:sz="0" w:space="0" w:color="auto"/>
        <w:left w:val="none" w:sz="0" w:space="0" w:color="auto"/>
        <w:bottom w:val="none" w:sz="0" w:space="0" w:color="auto"/>
        <w:right w:val="none" w:sz="0" w:space="0" w:color="auto"/>
      </w:divBdr>
    </w:div>
    <w:div w:id="1624194618">
      <w:marLeft w:val="0"/>
      <w:marRight w:val="0"/>
      <w:marTop w:val="0"/>
      <w:marBottom w:val="0"/>
      <w:divBdr>
        <w:top w:val="none" w:sz="0" w:space="0" w:color="auto"/>
        <w:left w:val="none" w:sz="0" w:space="0" w:color="auto"/>
        <w:bottom w:val="none" w:sz="0" w:space="0" w:color="auto"/>
        <w:right w:val="none" w:sz="0" w:space="0" w:color="auto"/>
      </w:divBdr>
    </w:div>
    <w:div w:id="1624194619">
      <w:marLeft w:val="0"/>
      <w:marRight w:val="0"/>
      <w:marTop w:val="0"/>
      <w:marBottom w:val="0"/>
      <w:divBdr>
        <w:top w:val="none" w:sz="0" w:space="0" w:color="auto"/>
        <w:left w:val="none" w:sz="0" w:space="0" w:color="auto"/>
        <w:bottom w:val="none" w:sz="0" w:space="0" w:color="auto"/>
        <w:right w:val="none" w:sz="0" w:space="0" w:color="auto"/>
      </w:divBdr>
    </w:div>
    <w:div w:id="1624194620">
      <w:marLeft w:val="0"/>
      <w:marRight w:val="0"/>
      <w:marTop w:val="0"/>
      <w:marBottom w:val="0"/>
      <w:divBdr>
        <w:top w:val="none" w:sz="0" w:space="0" w:color="auto"/>
        <w:left w:val="none" w:sz="0" w:space="0" w:color="auto"/>
        <w:bottom w:val="none" w:sz="0" w:space="0" w:color="auto"/>
        <w:right w:val="none" w:sz="0" w:space="0" w:color="auto"/>
      </w:divBdr>
    </w:div>
    <w:div w:id="1624194621">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 w:id="1624194623">
      <w:marLeft w:val="0"/>
      <w:marRight w:val="0"/>
      <w:marTop w:val="0"/>
      <w:marBottom w:val="0"/>
      <w:divBdr>
        <w:top w:val="none" w:sz="0" w:space="0" w:color="auto"/>
        <w:left w:val="none" w:sz="0" w:space="0" w:color="auto"/>
        <w:bottom w:val="none" w:sz="0" w:space="0" w:color="auto"/>
        <w:right w:val="none" w:sz="0" w:space="0" w:color="auto"/>
      </w:divBdr>
    </w:div>
    <w:div w:id="1624194624">
      <w:marLeft w:val="0"/>
      <w:marRight w:val="0"/>
      <w:marTop w:val="0"/>
      <w:marBottom w:val="0"/>
      <w:divBdr>
        <w:top w:val="none" w:sz="0" w:space="0" w:color="auto"/>
        <w:left w:val="none" w:sz="0" w:space="0" w:color="auto"/>
        <w:bottom w:val="none" w:sz="0" w:space="0" w:color="auto"/>
        <w:right w:val="none" w:sz="0" w:space="0" w:color="auto"/>
      </w:divBdr>
    </w:div>
    <w:div w:id="1624194625">
      <w:marLeft w:val="0"/>
      <w:marRight w:val="0"/>
      <w:marTop w:val="0"/>
      <w:marBottom w:val="0"/>
      <w:divBdr>
        <w:top w:val="none" w:sz="0" w:space="0" w:color="auto"/>
        <w:left w:val="none" w:sz="0" w:space="0" w:color="auto"/>
        <w:bottom w:val="none" w:sz="0" w:space="0" w:color="auto"/>
        <w:right w:val="none" w:sz="0" w:space="0" w:color="auto"/>
      </w:divBdr>
    </w:div>
    <w:div w:id="1624194626">
      <w:marLeft w:val="0"/>
      <w:marRight w:val="0"/>
      <w:marTop w:val="0"/>
      <w:marBottom w:val="0"/>
      <w:divBdr>
        <w:top w:val="none" w:sz="0" w:space="0" w:color="auto"/>
        <w:left w:val="none" w:sz="0" w:space="0" w:color="auto"/>
        <w:bottom w:val="none" w:sz="0" w:space="0" w:color="auto"/>
        <w:right w:val="none" w:sz="0" w:space="0" w:color="auto"/>
      </w:divBdr>
    </w:div>
    <w:div w:id="1624194627">
      <w:marLeft w:val="0"/>
      <w:marRight w:val="0"/>
      <w:marTop w:val="0"/>
      <w:marBottom w:val="0"/>
      <w:divBdr>
        <w:top w:val="none" w:sz="0" w:space="0" w:color="auto"/>
        <w:left w:val="none" w:sz="0" w:space="0" w:color="auto"/>
        <w:bottom w:val="none" w:sz="0" w:space="0" w:color="auto"/>
        <w:right w:val="none" w:sz="0" w:space="0" w:color="auto"/>
      </w:divBdr>
    </w:div>
    <w:div w:id="1624194628">
      <w:marLeft w:val="0"/>
      <w:marRight w:val="0"/>
      <w:marTop w:val="0"/>
      <w:marBottom w:val="0"/>
      <w:divBdr>
        <w:top w:val="none" w:sz="0" w:space="0" w:color="auto"/>
        <w:left w:val="none" w:sz="0" w:space="0" w:color="auto"/>
        <w:bottom w:val="none" w:sz="0" w:space="0" w:color="auto"/>
        <w:right w:val="none" w:sz="0" w:space="0" w:color="auto"/>
      </w:divBdr>
    </w:div>
    <w:div w:id="1624194629">
      <w:marLeft w:val="0"/>
      <w:marRight w:val="0"/>
      <w:marTop w:val="0"/>
      <w:marBottom w:val="0"/>
      <w:divBdr>
        <w:top w:val="none" w:sz="0" w:space="0" w:color="auto"/>
        <w:left w:val="none" w:sz="0" w:space="0" w:color="auto"/>
        <w:bottom w:val="none" w:sz="0" w:space="0" w:color="auto"/>
        <w:right w:val="none" w:sz="0" w:space="0" w:color="auto"/>
      </w:divBdr>
    </w:div>
    <w:div w:id="1624194630">
      <w:marLeft w:val="0"/>
      <w:marRight w:val="0"/>
      <w:marTop w:val="0"/>
      <w:marBottom w:val="0"/>
      <w:divBdr>
        <w:top w:val="none" w:sz="0" w:space="0" w:color="auto"/>
        <w:left w:val="none" w:sz="0" w:space="0" w:color="auto"/>
        <w:bottom w:val="none" w:sz="0" w:space="0" w:color="auto"/>
        <w:right w:val="none" w:sz="0" w:space="0" w:color="auto"/>
      </w:divBdr>
    </w:div>
    <w:div w:id="1624194631">
      <w:marLeft w:val="0"/>
      <w:marRight w:val="0"/>
      <w:marTop w:val="0"/>
      <w:marBottom w:val="0"/>
      <w:divBdr>
        <w:top w:val="none" w:sz="0" w:space="0" w:color="auto"/>
        <w:left w:val="none" w:sz="0" w:space="0" w:color="auto"/>
        <w:bottom w:val="none" w:sz="0" w:space="0" w:color="auto"/>
        <w:right w:val="none" w:sz="0" w:space="0" w:color="auto"/>
      </w:divBdr>
    </w:div>
    <w:div w:id="1624194632">
      <w:marLeft w:val="0"/>
      <w:marRight w:val="0"/>
      <w:marTop w:val="0"/>
      <w:marBottom w:val="0"/>
      <w:divBdr>
        <w:top w:val="none" w:sz="0" w:space="0" w:color="auto"/>
        <w:left w:val="none" w:sz="0" w:space="0" w:color="auto"/>
        <w:bottom w:val="none" w:sz="0" w:space="0" w:color="auto"/>
        <w:right w:val="none" w:sz="0" w:space="0" w:color="auto"/>
      </w:divBdr>
    </w:div>
    <w:div w:id="1624194633">
      <w:marLeft w:val="0"/>
      <w:marRight w:val="0"/>
      <w:marTop w:val="0"/>
      <w:marBottom w:val="0"/>
      <w:divBdr>
        <w:top w:val="none" w:sz="0" w:space="0" w:color="auto"/>
        <w:left w:val="none" w:sz="0" w:space="0" w:color="auto"/>
        <w:bottom w:val="none" w:sz="0" w:space="0" w:color="auto"/>
        <w:right w:val="none" w:sz="0" w:space="0" w:color="auto"/>
      </w:divBdr>
    </w:div>
    <w:div w:id="1624194634">
      <w:marLeft w:val="0"/>
      <w:marRight w:val="0"/>
      <w:marTop w:val="0"/>
      <w:marBottom w:val="0"/>
      <w:divBdr>
        <w:top w:val="none" w:sz="0" w:space="0" w:color="auto"/>
        <w:left w:val="none" w:sz="0" w:space="0" w:color="auto"/>
        <w:bottom w:val="none" w:sz="0" w:space="0" w:color="auto"/>
        <w:right w:val="none" w:sz="0" w:space="0" w:color="auto"/>
      </w:divBdr>
    </w:div>
    <w:div w:id="1624194635">
      <w:marLeft w:val="0"/>
      <w:marRight w:val="0"/>
      <w:marTop w:val="0"/>
      <w:marBottom w:val="0"/>
      <w:divBdr>
        <w:top w:val="none" w:sz="0" w:space="0" w:color="auto"/>
        <w:left w:val="none" w:sz="0" w:space="0" w:color="auto"/>
        <w:bottom w:val="none" w:sz="0" w:space="0" w:color="auto"/>
        <w:right w:val="none" w:sz="0" w:space="0" w:color="auto"/>
      </w:divBdr>
    </w:div>
    <w:div w:id="1624194636">
      <w:marLeft w:val="0"/>
      <w:marRight w:val="0"/>
      <w:marTop w:val="0"/>
      <w:marBottom w:val="0"/>
      <w:divBdr>
        <w:top w:val="none" w:sz="0" w:space="0" w:color="auto"/>
        <w:left w:val="none" w:sz="0" w:space="0" w:color="auto"/>
        <w:bottom w:val="none" w:sz="0" w:space="0" w:color="auto"/>
        <w:right w:val="none" w:sz="0" w:space="0" w:color="auto"/>
      </w:divBdr>
    </w:div>
    <w:div w:id="1624194637">
      <w:marLeft w:val="0"/>
      <w:marRight w:val="0"/>
      <w:marTop w:val="0"/>
      <w:marBottom w:val="0"/>
      <w:divBdr>
        <w:top w:val="none" w:sz="0" w:space="0" w:color="auto"/>
        <w:left w:val="none" w:sz="0" w:space="0" w:color="auto"/>
        <w:bottom w:val="none" w:sz="0" w:space="0" w:color="auto"/>
        <w:right w:val="none" w:sz="0" w:space="0" w:color="auto"/>
      </w:divBdr>
    </w:div>
    <w:div w:id="1624194638">
      <w:marLeft w:val="0"/>
      <w:marRight w:val="0"/>
      <w:marTop w:val="0"/>
      <w:marBottom w:val="0"/>
      <w:divBdr>
        <w:top w:val="none" w:sz="0" w:space="0" w:color="auto"/>
        <w:left w:val="none" w:sz="0" w:space="0" w:color="auto"/>
        <w:bottom w:val="none" w:sz="0" w:space="0" w:color="auto"/>
        <w:right w:val="none" w:sz="0" w:space="0" w:color="auto"/>
      </w:divBdr>
    </w:div>
    <w:div w:id="1624194639">
      <w:marLeft w:val="0"/>
      <w:marRight w:val="0"/>
      <w:marTop w:val="0"/>
      <w:marBottom w:val="0"/>
      <w:divBdr>
        <w:top w:val="none" w:sz="0" w:space="0" w:color="auto"/>
        <w:left w:val="none" w:sz="0" w:space="0" w:color="auto"/>
        <w:bottom w:val="none" w:sz="0" w:space="0" w:color="auto"/>
        <w:right w:val="none" w:sz="0" w:space="0" w:color="auto"/>
      </w:divBdr>
    </w:div>
    <w:div w:id="1624194640">
      <w:marLeft w:val="0"/>
      <w:marRight w:val="0"/>
      <w:marTop w:val="0"/>
      <w:marBottom w:val="0"/>
      <w:divBdr>
        <w:top w:val="none" w:sz="0" w:space="0" w:color="auto"/>
        <w:left w:val="none" w:sz="0" w:space="0" w:color="auto"/>
        <w:bottom w:val="none" w:sz="0" w:space="0" w:color="auto"/>
        <w:right w:val="none" w:sz="0" w:space="0" w:color="auto"/>
      </w:divBdr>
    </w:div>
    <w:div w:id="1624194641">
      <w:marLeft w:val="0"/>
      <w:marRight w:val="0"/>
      <w:marTop w:val="0"/>
      <w:marBottom w:val="0"/>
      <w:divBdr>
        <w:top w:val="none" w:sz="0" w:space="0" w:color="auto"/>
        <w:left w:val="none" w:sz="0" w:space="0" w:color="auto"/>
        <w:bottom w:val="none" w:sz="0" w:space="0" w:color="auto"/>
        <w:right w:val="none" w:sz="0" w:space="0" w:color="auto"/>
      </w:divBdr>
    </w:div>
    <w:div w:id="1624194642">
      <w:marLeft w:val="0"/>
      <w:marRight w:val="0"/>
      <w:marTop w:val="0"/>
      <w:marBottom w:val="0"/>
      <w:divBdr>
        <w:top w:val="none" w:sz="0" w:space="0" w:color="auto"/>
        <w:left w:val="none" w:sz="0" w:space="0" w:color="auto"/>
        <w:bottom w:val="none" w:sz="0" w:space="0" w:color="auto"/>
        <w:right w:val="none" w:sz="0" w:space="0" w:color="auto"/>
      </w:divBdr>
    </w:div>
    <w:div w:id="1624194643">
      <w:marLeft w:val="0"/>
      <w:marRight w:val="0"/>
      <w:marTop w:val="0"/>
      <w:marBottom w:val="0"/>
      <w:divBdr>
        <w:top w:val="none" w:sz="0" w:space="0" w:color="auto"/>
        <w:left w:val="none" w:sz="0" w:space="0" w:color="auto"/>
        <w:bottom w:val="none" w:sz="0" w:space="0" w:color="auto"/>
        <w:right w:val="none" w:sz="0" w:space="0" w:color="auto"/>
      </w:divBdr>
    </w:div>
    <w:div w:id="1624194644">
      <w:marLeft w:val="0"/>
      <w:marRight w:val="0"/>
      <w:marTop w:val="0"/>
      <w:marBottom w:val="0"/>
      <w:divBdr>
        <w:top w:val="none" w:sz="0" w:space="0" w:color="auto"/>
        <w:left w:val="none" w:sz="0" w:space="0" w:color="auto"/>
        <w:bottom w:val="none" w:sz="0" w:space="0" w:color="auto"/>
        <w:right w:val="none" w:sz="0" w:space="0" w:color="auto"/>
      </w:divBdr>
    </w:div>
    <w:div w:id="1624194645">
      <w:marLeft w:val="0"/>
      <w:marRight w:val="0"/>
      <w:marTop w:val="0"/>
      <w:marBottom w:val="0"/>
      <w:divBdr>
        <w:top w:val="none" w:sz="0" w:space="0" w:color="auto"/>
        <w:left w:val="none" w:sz="0" w:space="0" w:color="auto"/>
        <w:bottom w:val="none" w:sz="0" w:space="0" w:color="auto"/>
        <w:right w:val="none" w:sz="0" w:space="0" w:color="auto"/>
      </w:divBdr>
    </w:div>
    <w:div w:id="1624194646">
      <w:marLeft w:val="0"/>
      <w:marRight w:val="0"/>
      <w:marTop w:val="0"/>
      <w:marBottom w:val="0"/>
      <w:divBdr>
        <w:top w:val="none" w:sz="0" w:space="0" w:color="auto"/>
        <w:left w:val="none" w:sz="0" w:space="0" w:color="auto"/>
        <w:bottom w:val="none" w:sz="0" w:space="0" w:color="auto"/>
        <w:right w:val="none" w:sz="0" w:space="0" w:color="auto"/>
      </w:divBdr>
    </w:div>
    <w:div w:id="1624194647">
      <w:marLeft w:val="0"/>
      <w:marRight w:val="0"/>
      <w:marTop w:val="0"/>
      <w:marBottom w:val="0"/>
      <w:divBdr>
        <w:top w:val="none" w:sz="0" w:space="0" w:color="auto"/>
        <w:left w:val="none" w:sz="0" w:space="0" w:color="auto"/>
        <w:bottom w:val="none" w:sz="0" w:space="0" w:color="auto"/>
        <w:right w:val="none" w:sz="0" w:space="0" w:color="auto"/>
      </w:divBdr>
    </w:div>
    <w:div w:id="1624194648">
      <w:marLeft w:val="0"/>
      <w:marRight w:val="0"/>
      <w:marTop w:val="0"/>
      <w:marBottom w:val="0"/>
      <w:divBdr>
        <w:top w:val="none" w:sz="0" w:space="0" w:color="auto"/>
        <w:left w:val="none" w:sz="0" w:space="0" w:color="auto"/>
        <w:bottom w:val="none" w:sz="0" w:space="0" w:color="auto"/>
        <w:right w:val="none" w:sz="0" w:space="0" w:color="auto"/>
      </w:divBdr>
    </w:div>
    <w:div w:id="1624194649">
      <w:marLeft w:val="0"/>
      <w:marRight w:val="0"/>
      <w:marTop w:val="0"/>
      <w:marBottom w:val="0"/>
      <w:divBdr>
        <w:top w:val="none" w:sz="0" w:space="0" w:color="auto"/>
        <w:left w:val="none" w:sz="0" w:space="0" w:color="auto"/>
        <w:bottom w:val="none" w:sz="0" w:space="0" w:color="auto"/>
        <w:right w:val="none" w:sz="0" w:space="0" w:color="auto"/>
      </w:divBdr>
    </w:div>
    <w:div w:id="1624194650">
      <w:marLeft w:val="0"/>
      <w:marRight w:val="0"/>
      <w:marTop w:val="0"/>
      <w:marBottom w:val="0"/>
      <w:divBdr>
        <w:top w:val="none" w:sz="0" w:space="0" w:color="auto"/>
        <w:left w:val="none" w:sz="0" w:space="0" w:color="auto"/>
        <w:bottom w:val="none" w:sz="0" w:space="0" w:color="auto"/>
        <w:right w:val="none" w:sz="0" w:space="0" w:color="auto"/>
      </w:divBdr>
    </w:div>
    <w:div w:id="1624194651">
      <w:marLeft w:val="0"/>
      <w:marRight w:val="0"/>
      <w:marTop w:val="0"/>
      <w:marBottom w:val="0"/>
      <w:divBdr>
        <w:top w:val="none" w:sz="0" w:space="0" w:color="auto"/>
        <w:left w:val="none" w:sz="0" w:space="0" w:color="auto"/>
        <w:bottom w:val="none" w:sz="0" w:space="0" w:color="auto"/>
        <w:right w:val="none" w:sz="0" w:space="0" w:color="auto"/>
      </w:divBdr>
    </w:div>
    <w:div w:id="1624194652">
      <w:marLeft w:val="0"/>
      <w:marRight w:val="0"/>
      <w:marTop w:val="0"/>
      <w:marBottom w:val="0"/>
      <w:divBdr>
        <w:top w:val="none" w:sz="0" w:space="0" w:color="auto"/>
        <w:left w:val="none" w:sz="0" w:space="0" w:color="auto"/>
        <w:bottom w:val="none" w:sz="0" w:space="0" w:color="auto"/>
        <w:right w:val="none" w:sz="0" w:space="0" w:color="auto"/>
      </w:divBdr>
    </w:div>
    <w:div w:id="1624194653">
      <w:marLeft w:val="0"/>
      <w:marRight w:val="0"/>
      <w:marTop w:val="0"/>
      <w:marBottom w:val="0"/>
      <w:divBdr>
        <w:top w:val="none" w:sz="0" w:space="0" w:color="auto"/>
        <w:left w:val="none" w:sz="0" w:space="0" w:color="auto"/>
        <w:bottom w:val="none" w:sz="0" w:space="0" w:color="auto"/>
        <w:right w:val="none" w:sz="0" w:space="0" w:color="auto"/>
      </w:divBdr>
    </w:div>
    <w:div w:id="1624194654">
      <w:marLeft w:val="0"/>
      <w:marRight w:val="0"/>
      <w:marTop w:val="0"/>
      <w:marBottom w:val="0"/>
      <w:divBdr>
        <w:top w:val="none" w:sz="0" w:space="0" w:color="auto"/>
        <w:left w:val="none" w:sz="0" w:space="0" w:color="auto"/>
        <w:bottom w:val="none" w:sz="0" w:space="0" w:color="auto"/>
        <w:right w:val="none" w:sz="0" w:space="0" w:color="auto"/>
      </w:divBdr>
    </w:div>
    <w:div w:id="1624194655">
      <w:marLeft w:val="0"/>
      <w:marRight w:val="0"/>
      <w:marTop w:val="0"/>
      <w:marBottom w:val="0"/>
      <w:divBdr>
        <w:top w:val="none" w:sz="0" w:space="0" w:color="auto"/>
        <w:left w:val="none" w:sz="0" w:space="0" w:color="auto"/>
        <w:bottom w:val="none" w:sz="0" w:space="0" w:color="auto"/>
        <w:right w:val="none" w:sz="0" w:space="0" w:color="auto"/>
      </w:divBdr>
    </w:div>
    <w:div w:id="1624194656">
      <w:marLeft w:val="0"/>
      <w:marRight w:val="0"/>
      <w:marTop w:val="0"/>
      <w:marBottom w:val="0"/>
      <w:divBdr>
        <w:top w:val="none" w:sz="0" w:space="0" w:color="auto"/>
        <w:left w:val="none" w:sz="0" w:space="0" w:color="auto"/>
        <w:bottom w:val="none" w:sz="0" w:space="0" w:color="auto"/>
        <w:right w:val="none" w:sz="0" w:space="0" w:color="auto"/>
      </w:divBdr>
    </w:div>
    <w:div w:id="1624194657">
      <w:marLeft w:val="0"/>
      <w:marRight w:val="0"/>
      <w:marTop w:val="0"/>
      <w:marBottom w:val="0"/>
      <w:divBdr>
        <w:top w:val="none" w:sz="0" w:space="0" w:color="auto"/>
        <w:left w:val="none" w:sz="0" w:space="0" w:color="auto"/>
        <w:bottom w:val="none" w:sz="0" w:space="0" w:color="auto"/>
        <w:right w:val="none" w:sz="0" w:space="0" w:color="auto"/>
      </w:divBdr>
    </w:div>
    <w:div w:id="1624194658">
      <w:marLeft w:val="0"/>
      <w:marRight w:val="0"/>
      <w:marTop w:val="0"/>
      <w:marBottom w:val="0"/>
      <w:divBdr>
        <w:top w:val="none" w:sz="0" w:space="0" w:color="auto"/>
        <w:left w:val="none" w:sz="0" w:space="0" w:color="auto"/>
        <w:bottom w:val="none" w:sz="0" w:space="0" w:color="auto"/>
        <w:right w:val="none" w:sz="0" w:space="0" w:color="auto"/>
      </w:divBdr>
    </w:div>
    <w:div w:id="1624194659">
      <w:marLeft w:val="0"/>
      <w:marRight w:val="0"/>
      <w:marTop w:val="0"/>
      <w:marBottom w:val="0"/>
      <w:divBdr>
        <w:top w:val="none" w:sz="0" w:space="0" w:color="auto"/>
        <w:left w:val="none" w:sz="0" w:space="0" w:color="auto"/>
        <w:bottom w:val="none" w:sz="0" w:space="0" w:color="auto"/>
        <w:right w:val="none" w:sz="0" w:space="0" w:color="auto"/>
      </w:divBdr>
    </w:div>
    <w:div w:id="1624194660">
      <w:marLeft w:val="0"/>
      <w:marRight w:val="0"/>
      <w:marTop w:val="0"/>
      <w:marBottom w:val="0"/>
      <w:divBdr>
        <w:top w:val="none" w:sz="0" w:space="0" w:color="auto"/>
        <w:left w:val="none" w:sz="0" w:space="0" w:color="auto"/>
        <w:bottom w:val="none" w:sz="0" w:space="0" w:color="auto"/>
        <w:right w:val="none" w:sz="0" w:space="0" w:color="auto"/>
      </w:divBdr>
    </w:div>
    <w:div w:id="1624194661">
      <w:marLeft w:val="0"/>
      <w:marRight w:val="0"/>
      <w:marTop w:val="0"/>
      <w:marBottom w:val="0"/>
      <w:divBdr>
        <w:top w:val="none" w:sz="0" w:space="0" w:color="auto"/>
        <w:left w:val="none" w:sz="0" w:space="0" w:color="auto"/>
        <w:bottom w:val="none" w:sz="0" w:space="0" w:color="auto"/>
        <w:right w:val="none" w:sz="0" w:space="0" w:color="auto"/>
      </w:divBdr>
    </w:div>
    <w:div w:id="1624194662">
      <w:marLeft w:val="0"/>
      <w:marRight w:val="0"/>
      <w:marTop w:val="0"/>
      <w:marBottom w:val="0"/>
      <w:divBdr>
        <w:top w:val="none" w:sz="0" w:space="0" w:color="auto"/>
        <w:left w:val="none" w:sz="0" w:space="0" w:color="auto"/>
        <w:bottom w:val="none" w:sz="0" w:space="0" w:color="auto"/>
        <w:right w:val="none" w:sz="0" w:space="0" w:color="auto"/>
      </w:divBdr>
    </w:div>
    <w:div w:id="1624194663">
      <w:marLeft w:val="0"/>
      <w:marRight w:val="0"/>
      <w:marTop w:val="0"/>
      <w:marBottom w:val="0"/>
      <w:divBdr>
        <w:top w:val="none" w:sz="0" w:space="0" w:color="auto"/>
        <w:left w:val="none" w:sz="0" w:space="0" w:color="auto"/>
        <w:bottom w:val="none" w:sz="0" w:space="0" w:color="auto"/>
        <w:right w:val="none" w:sz="0" w:space="0" w:color="auto"/>
      </w:divBdr>
    </w:div>
    <w:div w:id="1624194664">
      <w:marLeft w:val="0"/>
      <w:marRight w:val="0"/>
      <w:marTop w:val="0"/>
      <w:marBottom w:val="0"/>
      <w:divBdr>
        <w:top w:val="none" w:sz="0" w:space="0" w:color="auto"/>
        <w:left w:val="none" w:sz="0" w:space="0" w:color="auto"/>
        <w:bottom w:val="none" w:sz="0" w:space="0" w:color="auto"/>
        <w:right w:val="none" w:sz="0" w:space="0" w:color="auto"/>
      </w:divBdr>
    </w:div>
    <w:div w:id="1624194665">
      <w:marLeft w:val="0"/>
      <w:marRight w:val="0"/>
      <w:marTop w:val="0"/>
      <w:marBottom w:val="0"/>
      <w:divBdr>
        <w:top w:val="none" w:sz="0" w:space="0" w:color="auto"/>
        <w:left w:val="none" w:sz="0" w:space="0" w:color="auto"/>
        <w:bottom w:val="none" w:sz="0" w:space="0" w:color="auto"/>
        <w:right w:val="none" w:sz="0" w:space="0" w:color="auto"/>
      </w:divBdr>
    </w:div>
    <w:div w:id="1624194666">
      <w:marLeft w:val="0"/>
      <w:marRight w:val="0"/>
      <w:marTop w:val="0"/>
      <w:marBottom w:val="0"/>
      <w:divBdr>
        <w:top w:val="none" w:sz="0" w:space="0" w:color="auto"/>
        <w:left w:val="none" w:sz="0" w:space="0" w:color="auto"/>
        <w:bottom w:val="none" w:sz="0" w:space="0" w:color="auto"/>
        <w:right w:val="none" w:sz="0" w:space="0" w:color="auto"/>
      </w:divBdr>
    </w:div>
    <w:div w:id="1624194667">
      <w:marLeft w:val="0"/>
      <w:marRight w:val="0"/>
      <w:marTop w:val="0"/>
      <w:marBottom w:val="0"/>
      <w:divBdr>
        <w:top w:val="none" w:sz="0" w:space="0" w:color="auto"/>
        <w:left w:val="none" w:sz="0" w:space="0" w:color="auto"/>
        <w:bottom w:val="none" w:sz="0" w:space="0" w:color="auto"/>
        <w:right w:val="none" w:sz="0" w:space="0" w:color="auto"/>
      </w:divBdr>
    </w:div>
    <w:div w:id="1624194668">
      <w:marLeft w:val="0"/>
      <w:marRight w:val="0"/>
      <w:marTop w:val="0"/>
      <w:marBottom w:val="0"/>
      <w:divBdr>
        <w:top w:val="none" w:sz="0" w:space="0" w:color="auto"/>
        <w:left w:val="none" w:sz="0" w:space="0" w:color="auto"/>
        <w:bottom w:val="none" w:sz="0" w:space="0" w:color="auto"/>
        <w:right w:val="none" w:sz="0" w:space="0" w:color="auto"/>
      </w:divBdr>
    </w:div>
    <w:div w:id="1624194669">
      <w:marLeft w:val="0"/>
      <w:marRight w:val="0"/>
      <w:marTop w:val="0"/>
      <w:marBottom w:val="0"/>
      <w:divBdr>
        <w:top w:val="none" w:sz="0" w:space="0" w:color="auto"/>
        <w:left w:val="none" w:sz="0" w:space="0" w:color="auto"/>
        <w:bottom w:val="none" w:sz="0" w:space="0" w:color="auto"/>
        <w:right w:val="none" w:sz="0" w:space="0" w:color="auto"/>
      </w:divBdr>
    </w:div>
    <w:div w:id="1624194670">
      <w:marLeft w:val="0"/>
      <w:marRight w:val="0"/>
      <w:marTop w:val="0"/>
      <w:marBottom w:val="0"/>
      <w:divBdr>
        <w:top w:val="none" w:sz="0" w:space="0" w:color="auto"/>
        <w:left w:val="none" w:sz="0" w:space="0" w:color="auto"/>
        <w:bottom w:val="none" w:sz="0" w:space="0" w:color="auto"/>
        <w:right w:val="none" w:sz="0" w:space="0" w:color="auto"/>
      </w:divBdr>
    </w:div>
    <w:div w:id="1624194671">
      <w:marLeft w:val="0"/>
      <w:marRight w:val="0"/>
      <w:marTop w:val="0"/>
      <w:marBottom w:val="0"/>
      <w:divBdr>
        <w:top w:val="none" w:sz="0" w:space="0" w:color="auto"/>
        <w:left w:val="none" w:sz="0" w:space="0" w:color="auto"/>
        <w:bottom w:val="none" w:sz="0" w:space="0" w:color="auto"/>
        <w:right w:val="none" w:sz="0" w:space="0" w:color="auto"/>
      </w:divBdr>
    </w:div>
    <w:div w:id="1624194672">
      <w:marLeft w:val="0"/>
      <w:marRight w:val="0"/>
      <w:marTop w:val="0"/>
      <w:marBottom w:val="0"/>
      <w:divBdr>
        <w:top w:val="none" w:sz="0" w:space="0" w:color="auto"/>
        <w:left w:val="none" w:sz="0" w:space="0" w:color="auto"/>
        <w:bottom w:val="none" w:sz="0" w:space="0" w:color="auto"/>
        <w:right w:val="none" w:sz="0" w:space="0" w:color="auto"/>
      </w:divBdr>
    </w:div>
    <w:div w:id="1624194673">
      <w:marLeft w:val="0"/>
      <w:marRight w:val="0"/>
      <w:marTop w:val="0"/>
      <w:marBottom w:val="0"/>
      <w:divBdr>
        <w:top w:val="none" w:sz="0" w:space="0" w:color="auto"/>
        <w:left w:val="none" w:sz="0" w:space="0" w:color="auto"/>
        <w:bottom w:val="none" w:sz="0" w:space="0" w:color="auto"/>
        <w:right w:val="none" w:sz="0" w:space="0" w:color="auto"/>
      </w:divBdr>
    </w:div>
    <w:div w:id="1624194674">
      <w:marLeft w:val="0"/>
      <w:marRight w:val="0"/>
      <w:marTop w:val="0"/>
      <w:marBottom w:val="0"/>
      <w:divBdr>
        <w:top w:val="none" w:sz="0" w:space="0" w:color="auto"/>
        <w:left w:val="none" w:sz="0" w:space="0" w:color="auto"/>
        <w:bottom w:val="none" w:sz="0" w:space="0" w:color="auto"/>
        <w:right w:val="none" w:sz="0" w:space="0" w:color="auto"/>
      </w:divBdr>
    </w:div>
    <w:div w:id="1624194675">
      <w:marLeft w:val="0"/>
      <w:marRight w:val="0"/>
      <w:marTop w:val="0"/>
      <w:marBottom w:val="0"/>
      <w:divBdr>
        <w:top w:val="none" w:sz="0" w:space="0" w:color="auto"/>
        <w:left w:val="none" w:sz="0" w:space="0" w:color="auto"/>
        <w:bottom w:val="none" w:sz="0" w:space="0" w:color="auto"/>
        <w:right w:val="none" w:sz="0" w:space="0" w:color="auto"/>
      </w:divBdr>
    </w:div>
    <w:div w:id="1624194676">
      <w:marLeft w:val="0"/>
      <w:marRight w:val="0"/>
      <w:marTop w:val="0"/>
      <w:marBottom w:val="0"/>
      <w:divBdr>
        <w:top w:val="none" w:sz="0" w:space="0" w:color="auto"/>
        <w:left w:val="none" w:sz="0" w:space="0" w:color="auto"/>
        <w:bottom w:val="none" w:sz="0" w:space="0" w:color="auto"/>
        <w:right w:val="none" w:sz="0" w:space="0" w:color="auto"/>
      </w:divBdr>
    </w:div>
    <w:div w:id="1624194677">
      <w:marLeft w:val="0"/>
      <w:marRight w:val="0"/>
      <w:marTop w:val="0"/>
      <w:marBottom w:val="0"/>
      <w:divBdr>
        <w:top w:val="none" w:sz="0" w:space="0" w:color="auto"/>
        <w:left w:val="none" w:sz="0" w:space="0" w:color="auto"/>
        <w:bottom w:val="none" w:sz="0" w:space="0" w:color="auto"/>
        <w:right w:val="none" w:sz="0" w:space="0" w:color="auto"/>
      </w:divBdr>
    </w:div>
    <w:div w:id="1624194678">
      <w:marLeft w:val="0"/>
      <w:marRight w:val="0"/>
      <w:marTop w:val="0"/>
      <w:marBottom w:val="0"/>
      <w:divBdr>
        <w:top w:val="none" w:sz="0" w:space="0" w:color="auto"/>
        <w:left w:val="none" w:sz="0" w:space="0" w:color="auto"/>
        <w:bottom w:val="none" w:sz="0" w:space="0" w:color="auto"/>
        <w:right w:val="none" w:sz="0" w:space="0" w:color="auto"/>
      </w:divBdr>
    </w:div>
    <w:div w:id="1624194679">
      <w:marLeft w:val="0"/>
      <w:marRight w:val="0"/>
      <w:marTop w:val="0"/>
      <w:marBottom w:val="0"/>
      <w:divBdr>
        <w:top w:val="none" w:sz="0" w:space="0" w:color="auto"/>
        <w:left w:val="none" w:sz="0" w:space="0" w:color="auto"/>
        <w:bottom w:val="none" w:sz="0" w:space="0" w:color="auto"/>
        <w:right w:val="none" w:sz="0" w:space="0" w:color="auto"/>
      </w:divBdr>
    </w:div>
    <w:div w:id="1624194680">
      <w:marLeft w:val="0"/>
      <w:marRight w:val="0"/>
      <w:marTop w:val="0"/>
      <w:marBottom w:val="0"/>
      <w:divBdr>
        <w:top w:val="none" w:sz="0" w:space="0" w:color="auto"/>
        <w:left w:val="none" w:sz="0" w:space="0" w:color="auto"/>
        <w:bottom w:val="none" w:sz="0" w:space="0" w:color="auto"/>
        <w:right w:val="none" w:sz="0" w:space="0" w:color="auto"/>
      </w:divBdr>
    </w:div>
    <w:div w:id="1624194681">
      <w:marLeft w:val="0"/>
      <w:marRight w:val="0"/>
      <w:marTop w:val="0"/>
      <w:marBottom w:val="0"/>
      <w:divBdr>
        <w:top w:val="none" w:sz="0" w:space="0" w:color="auto"/>
        <w:left w:val="none" w:sz="0" w:space="0" w:color="auto"/>
        <w:bottom w:val="none" w:sz="0" w:space="0" w:color="auto"/>
        <w:right w:val="none" w:sz="0" w:space="0" w:color="auto"/>
      </w:divBdr>
    </w:div>
    <w:div w:id="1624194682">
      <w:marLeft w:val="0"/>
      <w:marRight w:val="0"/>
      <w:marTop w:val="0"/>
      <w:marBottom w:val="0"/>
      <w:divBdr>
        <w:top w:val="none" w:sz="0" w:space="0" w:color="auto"/>
        <w:left w:val="none" w:sz="0" w:space="0" w:color="auto"/>
        <w:bottom w:val="none" w:sz="0" w:space="0" w:color="auto"/>
        <w:right w:val="none" w:sz="0" w:space="0" w:color="auto"/>
      </w:divBdr>
    </w:div>
    <w:div w:id="1624194683">
      <w:marLeft w:val="0"/>
      <w:marRight w:val="0"/>
      <w:marTop w:val="0"/>
      <w:marBottom w:val="0"/>
      <w:divBdr>
        <w:top w:val="none" w:sz="0" w:space="0" w:color="auto"/>
        <w:left w:val="none" w:sz="0" w:space="0" w:color="auto"/>
        <w:bottom w:val="none" w:sz="0" w:space="0" w:color="auto"/>
        <w:right w:val="none" w:sz="0" w:space="0" w:color="auto"/>
      </w:divBdr>
    </w:div>
    <w:div w:id="1624194684">
      <w:marLeft w:val="0"/>
      <w:marRight w:val="0"/>
      <w:marTop w:val="0"/>
      <w:marBottom w:val="0"/>
      <w:divBdr>
        <w:top w:val="none" w:sz="0" w:space="0" w:color="auto"/>
        <w:left w:val="none" w:sz="0" w:space="0" w:color="auto"/>
        <w:bottom w:val="none" w:sz="0" w:space="0" w:color="auto"/>
        <w:right w:val="none" w:sz="0" w:space="0" w:color="auto"/>
      </w:divBdr>
    </w:div>
    <w:div w:id="1624194685">
      <w:marLeft w:val="0"/>
      <w:marRight w:val="0"/>
      <w:marTop w:val="0"/>
      <w:marBottom w:val="0"/>
      <w:divBdr>
        <w:top w:val="none" w:sz="0" w:space="0" w:color="auto"/>
        <w:left w:val="none" w:sz="0" w:space="0" w:color="auto"/>
        <w:bottom w:val="none" w:sz="0" w:space="0" w:color="auto"/>
        <w:right w:val="none" w:sz="0" w:space="0" w:color="auto"/>
      </w:divBdr>
    </w:div>
    <w:div w:id="1624194686">
      <w:marLeft w:val="0"/>
      <w:marRight w:val="0"/>
      <w:marTop w:val="0"/>
      <w:marBottom w:val="0"/>
      <w:divBdr>
        <w:top w:val="none" w:sz="0" w:space="0" w:color="auto"/>
        <w:left w:val="none" w:sz="0" w:space="0" w:color="auto"/>
        <w:bottom w:val="none" w:sz="0" w:space="0" w:color="auto"/>
        <w:right w:val="none" w:sz="0" w:space="0" w:color="auto"/>
      </w:divBdr>
    </w:div>
    <w:div w:id="1624194687">
      <w:marLeft w:val="0"/>
      <w:marRight w:val="0"/>
      <w:marTop w:val="0"/>
      <w:marBottom w:val="0"/>
      <w:divBdr>
        <w:top w:val="none" w:sz="0" w:space="0" w:color="auto"/>
        <w:left w:val="none" w:sz="0" w:space="0" w:color="auto"/>
        <w:bottom w:val="none" w:sz="0" w:space="0" w:color="auto"/>
        <w:right w:val="none" w:sz="0" w:space="0" w:color="auto"/>
      </w:divBdr>
    </w:div>
    <w:div w:id="1624194688">
      <w:marLeft w:val="0"/>
      <w:marRight w:val="0"/>
      <w:marTop w:val="0"/>
      <w:marBottom w:val="0"/>
      <w:divBdr>
        <w:top w:val="none" w:sz="0" w:space="0" w:color="auto"/>
        <w:left w:val="none" w:sz="0" w:space="0" w:color="auto"/>
        <w:bottom w:val="none" w:sz="0" w:space="0" w:color="auto"/>
        <w:right w:val="none" w:sz="0" w:space="0" w:color="auto"/>
      </w:divBdr>
    </w:div>
    <w:div w:id="1624194689">
      <w:marLeft w:val="0"/>
      <w:marRight w:val="0"/>
      <w:marTop w:val="0"/>
      <w:marBottom w:val="0"/>
      <w:divBdr>
        <w:top w:val="none" w:sz="0" w:space="0" w:color="auto"/>
        <w:left w:val="none" w:sz="0" w:space="0" w:color="auto"/>
        <w:bottom w:val="none" w:sz="0" w:space="0" w:color="auto"/>
        <w:right w:val="none" w:sz="0" w:space="0" w:color="auto"/>
      </w:divBdr>
    </w:div>
    <w:div w:id="1624194690">
      <w:marLeft w:val="0"/>
      <w:marRight w:val="0"/>
      <w:marTop w:val="0"/>
      <w:marBottom w:val="0"/>
      <w:divBdr>
        <w:top w:val="none" w:sz="0" w:space="0" w:color="auto"/>
        <w:left w:val="none" w:sz="0" w:space="0" w:color="auto"/>
        <w:bottom w:val="none" w:sz="0" w:space="0" w:color="auto"/>
        <w:right w:val="none" w:sz="0" w:space="0" w:color="auto"/>
      </w:divBdr>
    </w:div>
    <w:div w:id="1624194691">
      <w:marLeft w:val="0"/>
      <w:marRight w:val="0"/>
      <w:marTop w:val="0"/>
      <w:marBottom w:val="0"/>
      <w:divBdr>
        <w:top w:val="none" w:sz="0" w:space="0" w:color="auto"/>
        <w:left w:val="none" w:sz="0" w:space="0" w:color="auto"/>
        <w:bottom w:val="none" w:sz="0" w:space="0" w:color="auto"/>
        <w:right w:val="none" w:sz="0" w:space="0" w:color="auto"/>
      </w:divBdr>
    </w:div>
    <w:div w:id="1624194692">
      <w:marLeft w:val="0"/>
      <w:marRight w:val="0"/>
      <w:marTop w:val="0"/>
      <w:marBottom w:val="0"/>
      <w:divBdr>
        <w:top w:val="none" w:sz="0" w:space="0" w:color="auto"/>
        <w:left w:val="none" w:sz="0" w:space="0" w:color="auto"/>
        <w:bottom w:val="none" w:sz="0" w:space="0" w:color="auto"/>
        <w:right w:val="none" w:sz="0" w:space="0" w:color="auto"/>
      </w:divBdr>
    </w:div>
    <w:div w:id="1624194693">
      <w:marLeft w:val="0"/>
      <w:marRight w:val="0"/>
      <w:marTop w:val="0"/>
      <w:marBottom w:val="0"/>
      <w:divBdr>
        <w:top w:val="none" w:sz="0" w:space="0" w:color="auto"/>
        <w:left w:val="none" w:sz="0" w:space="0" w:color="auto"/>
        <w:bottom w:val="none" w:sz="0" w:space="0" w:color="auto"/>
        <w:right w:val="none" w:sz="0" w:space="0" w:color="auto"/>
      </w:divBdr>
    </w:div>
    <w:div w:id="1624194694">
      <w:marLeft w:val="0"/>
      <w:marRight w:val="0"/>
      <w:marTop w:val="0"/>
      <w:marBottom w:val="0"/>
      <w:divBdr>
        <w:top w:val="none" w:sz="0" w:space="0" w:color="auto"/>
        <w:left w:val="none" w:sz="0" w:space="0" w:color="auto"/>
        <w:bottom w:val="none" w:sz="0" w:space="0" w:color="auto"/>
        <w:right w:val="none" w:sz="0" w:space="0" w:color="auto"/>
      </w:divBdr>
    </w:div>
    <w:div w:id="1624194695">
      <w:marLeft w:val="0"/>
      <w:marRight w:val="0"/>
      <w:marTop w:val="0"/>
      <w:marBottom w:val="0"/>
      <w:divBdr>
        <w:top w:val="none" w:sz="0" w:space="0" w:color="auto"/>
        <w:left w:val="none" w:sz="0" w:space="0" w:color="auto"/>
        <w:bottom w:val="none" w:sz="0" w:space="0" w:color="auto"/>
        <w:right w:val="none" w:sz="0" w:space="0" w:color="auto"/>
      </w:divBdr>
    </w:div>
    <w:div w:id="1624194696">
      <w:marLeft w:val="0"/>
      <w:marRight w:val="0"/>
      <w:marTop w:val="0"/>
      <w:marBottom w:val="0"/>
      <w:divBdr>
        <w:top w:val="none" w:sz="0" w:space="0" w:color="auto"/>
        <w:left w:val="none" w:sz="0" w:space="0" w:color="auto"/>
        <w:bottom w:val="none" w:sz="0" w:space="0" w:color="auto"/>
        <w:right w:val="none" w:sz="0" w:space="0" w:color="auto"/>
      </w:divBdr>
    </w:div>
    <w:div w:id="1624194697">
      <w:marLeft w:val="0"/>
      <w:marRight w:val="0"/>
      <w:marTop w:val="0"/>
      <w:marBottom w:val="0"/>
      <w:divBdr>
        <w:top w:val="none" w:sz="0" w:space="0" w:color="auto"/>
        <w:left w:val="none" w:sz="0" w:space="0" w:color="auto"/>
        <w:bottom w:val="none" w:sz="0" w:space="0" w:color="auto"/>
        <w:right w:val="none" w:sz="0" w:space="0" w:color="auto"/>
      </w:divBdr>
    </w:div>
    <w:div w:id="1624194698">
      <w:marLeft w:val="0"/>
      <w:marRight w:val="0"/>
      <w:marTop w:val="0"/>
      <w:marBottom w:val="0"/>
      <w:divBdr>
        <w:top w:val="none" w:sz="0" w:space="0" w:color="auto"/>
        <w:left w:val="none" w:sz="0" w:space="0" w:color="auto"/>
        <w:bottom w:val="none" w:sz="0" w:space="0" w:color="auto"/>
        <w:right w:val="none" w:sz="0" w:space="0" w:color="auto"/>
      </w:divBdr>
    </w:div>
    <w:div w:id="1624194699">
      <w:marLeft w:val="0"/>
      <w:marRight w:val="0"/>
      <w:marTop w:val="0"/>
      <w:marBottom w:val="0"/>
      <w:divBdr>
        <w:top w:val="none" w:sz="0" w:space="0" w:color="auto"/>
        <w:left w:val="none" w:sz="0" w:space="0" w:color="auto"/>
        <w:bottom w:val="none" w:sz="0" w:space="0" w:color="auto"/>
        <w:right w:val="none" w:sz="0" w:space="0" w:color="auto"/>
      </w:divBdr>
    </w:div>
    <w:div w:id="1624194700">
      <w:marLeft w:val="0"/>
      <w:marRight w:val="0"/>
      <w:marTop w:val="0"/>
      <w:marBottom w:val="0"/>
      <w:divBdr>
        <w:top w:val="none" w:sz="0" w:space="0" w:color="auto"/>
        <w:left w:val="none" w:sz="0" w:space="0" w:color="auto"/>
        <w:bottom w:val="none" w:sz="0" w:space="0" w:color="auto"/>
        <w:right w:val="none" w:sz="0" w:space="0" w:color="auto"/>
      </w:divBdr>
    </w:div>
    <w:div w:id="1624194701">
      <w:marLeft w:val="0"/>
      <w:marRight w:val="0"/>
      <w:marTop w:val="0"/>
      <w:marBottom w:val="0"/>
      <w:divBdr>
        <w:top w:val="none" w:sz="0" w:space="0" w:color="auto"/>
        <w:left w:val="none" w:sz="0" w:space="0" w:color="auto"/>
        <w:bottom w:val="none" w:sz="0" w:space="0" w:color="auto"/>
        <w:right w:val="none" w:sz="0" w:space="0" w:color="auto"/>
      </w:divBdr>
    </w:div>
    <w:div w:id="1624194702">
      <w:marLeft w:val="0"/>
      <w:marRight w:val="0"/>
      <w:marTop w:val="0"/>
      <w:marBottom w:val="0"/>
      <w:divBdr>
        <w:top w:val="none" w:sz="0" w:space="0" w:color="auto"/>
        <w:left w:val="none" w:sz="0" w:space="0" w:color="auto"/>
        <w:bottom w:val="none" w:sz="0" w:space="0" w:color="auto"/>
        <w:right w:val="none" w:sz="0" w:space="0" w:color="auto"/>
      </w:divBdr>
    </w:div>
    <w:div w:id="1624194703">
      <w:marLeft w:val="0"/>
      <w:marRight w:val="0"/>
      <w:marTop w:val="0"/>
      <w:marBottom w:val="0"/>
      <w:divBdr>
        <w:top w:val="none" w:sz="0" w:space="0" w:color="auto"/>
        <w:left w:val="none" w:sz="0" w:space="0" w:color="auto"/>
        <w:bottom w:val="none" w:sz="0" w:space="0" w:color="auto"/>
        <w:right w:val="none" w:sz="0" w:space="0" w:color="auto"/>
      </w:divBdr>
    </w:div>
    <w:div w:id="1624194704">
      <w:marLeft w:val="0"/>
      <w:marRight w:val="0"/>
      <w:marTop w:val="0"/>
      <w:marBottom w:val="0"/>
      <w:divBdr>
        <w:top w:val="none" w:sz="0" w:space="0" w:color="auto"/>
        <w:left w:val="none" w:sz="0" w:space="0" w:color="auto"/>
        <w:bottom w:val="none" w:sz="0" w:space="0" w:color="auto"/>
        <w:right w:val="none" w:sz="0" w:space="0" w:color="auto"/>
      </w:divBdr>
    </w:div>
    <w:div w:id="1624194705">
      <w:marLeft w:val="0"/>
      <w:marRight w:val="0"/>
      <w:marTop w:val="0"/>
      <w:marBottom w:val="0"/>
      <w:divBdr>
        <w:top w:val="none" w:sz="0" w:space="0" w:color="auto"/>
        <w:left w:val="none" w:sz="0" w:space="0" w:color="auto"/>
        <w:bottom w:val="none" w:sz="0" w:space="0" w:color="auto"/>
        <w:right w:val="none" w:sz="0" w:space="0" w:color="auto"/>
      </w:divBdr>
    </w:div>
    <w:div w:id="1624194706">
      <w:marLeft w:val="0"/>
      <w:marRight w:val="0"/>
      <w:marTop w:val="0"/>
      <w:marBottom w:val="0"/>
      <w:divBdr>
        <w:top w:val="none" w:sz="0" w:space="0" w:color="auto"/>
        <w:left w:val="none" w:sz="0" w:space="0" w:color="auto"/>
        <w:bottom w:val="none" w:sz="0" w:space="0" w:color="auto"/>
        <w:right w:val="none" w:sz="0" w:space="0" w:color="auto"/>
      </w:divBdr>
    </w:div>
    <w:div w:id="1624194707">
      <w:marLeft w:val="0"/>
      <w:marRight w:val="0"/>
      <w:marTop w:val="0"/>
      <w:marBottom w:val="0"/>
      <w:divBdr>
        <w:top w:val="none" w:sz="0" w:space="0" w:color="auto"/>
        <w:left w:val="none" w:sz="0" w:space="0" w:color="auto"/>
        <w:bottom w:val="none" w:sz="0" w:space="0" w:color="auto"/>
        <w:right w:val="none" w:sz="0" w:space="0" w:color="auto"/>
      </w:divBdr>
    </w:div>
    <w:div w:id="1624194708">
      <w:marLeft w:val="0"/>
      <w:marRight w:val="0"/>
      <w:marTop w:val="0"/>
      <w:marBottom w:val="0"/>
      <w:divBdr>
        <w:top w:val="none" w:sz="0" w:space="0" w:color="auto"/>
        <w:left w:val="none" w:sz="0" w:space="0" w:color="auto"/>
        <w:bottom w:val="none" w:sz="0" w:space="0" w:color="auto"/>
        <w:right w:val="none" w:sz="0" w:space="0" w:color="auto"/>
      </w:divBdr>
    </w:div>
    <w:div w:id="1624194709">
      <w:marLeft w:val="0"/>
      <w:marRight w:val="0"/>
      <w:marTop w:val="0"/>
      <w:marBottom w:val="0"/>
      <w:divBdr>
        <w:top w:val="none" w:sz="0" w:space="0" w:color="auto"/>
        <w:left w:val="none" w:sz="0" w:space="0" w:color="auto"/>
        <w:bottom w:val="none" w:sz="0" w:space="0" w:color="auto"/>
        <w:right w:val="none" w:sz="0" w:space="0" w:color="auto"/>
      </w:divBdr>
    </w:div>
    <w:div w:id="1624194710">
      <w:marLeft w:val="0"/>
      <w:marRight w:val="0"/>
      <w:marTop w:val="0"/>
      <w:marBottom w:val="0"/>
      <w:divBdr>
        <w:top w:val="none" w:sz="0" w:space="0" w:color="auto"/>
        <w:left w:val="none" w:sz="0" w:space="0" w:color="auto"/>
        <w:bottom w:val="none" w:sz="0" w:space="0" w:color="auto"/>
        <w:right w:val="none" w:sz="0" w:space="0" w:color="auto"/>
      </w:divBdr>
    </w:div>
    <w:div w:id="1624194711">
      <w:marLeft w:val="0"/>
      <w:marRight w:val="0"/>
      <w:marTop w:val="0"/>
      <w:marBottom w:val="0"/>
      <w:divBdr>
        <w:top w:val="none" w:sz="0" w:space="0" w:color="auto"/>
        <w:left w:val="none" w:sz="0" w:space="0" w:color="auto"/>
        <w:bottom w:val="none" w:sz="0" w:space="0" w:color="auto"/>
        <w:right w:val="none" w:sz="0" w:space="0" w:color="auto"/>
      </w:divBdr>
    </w:div>
    <w:div w:id="1624194712">
      <w:marLeft w:val="0"/>
      <w:marRight w:val="0"/>
      <w:marTop w:val="0"/>
      <w:marBottom w:val="0"/>
      <w:divBdr>
        <w:top w:val="none" w:sz="0" w:space="0" w:color="auto"/>
        <w:left w:val="none" w:sz="0" w:space="0" w:color="auto"/>
        <w:bottom w:val="none" w:sz="0" w:space="0" w:color="auto"/>
        <w:right w:val="none" w:sz="0" w:space="0" w:color="auto"/>
      </w:divBdr>
    </w:div>
    <w:div w:id="1624194713">
      <w:marLeft w:val="0"/>
      <w:marRight w:val="0"/>
      <w:marTop w:val="0"/>
      <w:marBottom w:val="0"/>
      <w:divBdr>
        <w:top w:val="none" w:sz="0" w:space="0" w:color="auto"/>
        <w:left w:val="none" w:sz="0" w:space="0" w:color="auto"/>
        <w:bottom w:val="none" w:sz="0" w:space="0" w:color="auto"/>
        <w:right w:val="none" w:sz="0" w:space="0" w:color="auto"/>
      </w:divBdr>
    </w:div>
    <w:div w:id="1624194714">
      <w:marLeft w:val="0"/>
      <w:marRight w:val="0"/>
      <w:marTop w:val="0"/>
      <w:marBottom w:val="0"/>
      <w:divBdr>
        <w:top w:val="none" w:sz="0" w:space="0" w:color="auto"/>
        <w:left w:val="none" w:sz="0" w:space="0" w:color="auto"/>
        <w:bottom w:val="none" w:sz="0" w:space="0" w:color="auto"/>
        <w:right w:val="none" w:sz="0" w:space="0" w:color="auto"/>
      </w:divBdr>
    </w:div>
    <w:div w:id="1624194715">
      <w:marLeft w:val="0"/>
      <w:marRight w:val="0"/>
      <w:marTop w:val="0"/>
      <w:marBottom w:val="0"/>
      <w:divBdr>
        <w:top w:val="none" w:sz="0" w:space="0" w:color="auto"/>
        <w:left w:val="none" w:sz="0" w:space="0" w:color="auto"/>
        <w:bottom w:val="none" w:sz="0" w:space="0" w:color="auto"/>
        <w:right w:val="none" w:sz="0" w:space="0" w:color="auto"/>
      </w:divBdr>
    </w:div>
    <w:div w:id="1624194716">
      <w:marLeft w:val="0"/>
      <w:marRight w:val="0"/>
      <w:marTop w:val="0"/>
      <w:marBottom w:val="0"/>
      <w:divBdr>
        <w:top w:val="none" w:sz="0" w:space="0" w:color="auto"/>
        <w:left w:val="none" w:sz="0" w:space="0" w:color="auto"/>
        <w:bottom w:val="none" w:sz="0" w:space="0" w:color="auto"/>
        <w:right w:val="none" w:sz="0" w:space="0" w:color="auto"/>
      </w:divBdr>
    </w:div>
    <w:div w:id="1624194717">
      <w:marLeft w:val="0"/>
      <w:marRight w:val="0"/>
      <w:marTop w:val="0"/>
      <w:marBottom w:val="0"/>
      <w:divBdr>
        <w:top w:val="none" w:sz="0" w:space="0" w:color="auto"/>
        <w:left w:val="none" w:sz="0" w:space="0" w:color="auto"/>
        <w:bottom w:val="none" w:sz="0" w:space="0" w:color="auto"/>
        <w:right w:val="none" w:sz="0" w:space="0" w:color="auto"/>
      </w:divBdr>
    </w:div>
    <w:div w:id="1624194718">
      <w:marLeft w:val="0"/>
      <w:marRight w:val="0"/>
      <w:marTop w:val="0"/>
      <w:marBottom w:val="0"/>
      <w:divBdr>
        <w:top w:val="none" w:sz="0" w:space="0" w:color="auto"/>
        <w:left w:val="none" w:sz="0" w:space="0" w:color="auto"/>
        <w:bottom w:val="none" w:sz="0" w:space="0" w:color="auto"/>
        <w:right w:val="none" w:sz="0" w:space="0" w:color="auto"/>
      </w:divBdr>
    </w:div>
    <w:div w:id="1624194719">
      <w:marLeft w:val="0"/>
      <w:marRight w:val="0"/>
      <w:marTop w:val="0"/>
      <w:marBottom w:val="0"/>
      <w:divBdr>
        <w:top w:val="none" w:sz="0" w:space="0" w:color="auto"/>
        <w:left w:val="none" w:sz="0" w:space="0" w:color="auto"/>
        <w:bottom w:val="none" w:sz="0" w:space="0" w:color="auto"/>
        <w:right w:val="none" w:sz="0" w:space="0" w:color="auto"/>
      </w:divBdr>
    </w:div>
    <w:div w:id="1624194720">
      <w:marLeft w:val="0"/>
      <w:marRight w:val="0"/>
      <w:marTop w:val="0"/>
      <w:marBottom w:val="0"/>
      <w:divBdr>
        <w:top w:val="none" w:sz="0" w:space="0" w:color="auto"/>
        <w:left w:val="none" w:sz="0" w:space="0" w:color="auto"/>
        <w:bottom w:val="none" w:sz="0" w:space="0" w:color="auto"/>
        <w:right w:val="none" w:sz="0" w:space="0" w:color="auto"/>
      </w:divBdr>
    </w:div>
    <w:div w:id="1624194721">
      <w:marLeft w:val="0"/>
      <w:marRight w:val="0"/>
      <w:marTop w:val="0"/>
      <w:marBottom w:val="0"/>
      <w:divBdr>
        <w:top w:val="none" w:sz="0" w:space="0" w:color="auto"/>
        <w:left w:val="none" w:sz="0" w:space="0" w:color="auto"/>
        <w:bottom w:val="none" w:sz="0" w:space="0" w:color="auto"/>
        <w:right w:val="none" w:sz="0" w:space="0" w:color="auto"/>
      </w:divBdr>
    </w:div>
    <w:div w:id="1624194722">
      <w:marLeft w:val="0"/>
      <w:marRight w:val="0"/>
      <w:marTop w:val="0"/>
      <w:marBottom w:val="0"/>
      <w:divBdr>
        <w:top w:val="none" w:sz="0" w:space="0" w:color="auto"/>
        <w:left w:val="none" w:sz="0" w:space="0" w:color="auto"/>
        <w:bottom w:val="none" w:sz="0" w:space="0" w:color="auto"/>
        <w:right w:val="none" w:sz="0" w:space="0" w:color="auto"/>
      </w:divBdr>
    </w:div>
    <w:div w:id="1624194723">
      <w:marLeft w:val="0"/>
      <w:marRight w:val="0"/>
      <w:marTop w:val="0"/>
      <w:marBottom w:val="0"/>
      <w:divBdr>
        <w:top w:val="none" w:sz="0" w:space="0" w:color="auto"/>
        <w:left w:val="none" w:sz="0" w:space="0" w:color="auto"/>
        <w:bottom w:val="none" w:sz="0" w:space="0" w:color="auto"/>
        <w:right w:val="none" w:sz="0" w:space="0" w:color="auto"/>
      </w:divBdr>
    </w:div>
    <w:div w:id="1624194724">
      <w:marLeft w:val="0"/>
      <w:marRight w:val="0"/>
      <w:marTop w:val="0"/>
      <w:marBottom w:val="0"/>
      <w:divBdr>
        <w:top w:val="none" w:sz="0" w:space="0" w:color="auto"/>
        <w:left w:val="none" w:sz="0" w:space="0" w:color="auto"/>
        <w:bottom w:val="none" w:sz="0" w:space="0" w:color="auto"/>
        <w:right w:val="none" w:sz="0" w:space="0" w:color="auto"/>
      </w:divBdr>
    </w:div>
    <w:div w:id="1624194725">
      <w:marLeft w:val="0"/>
      <w:marRight w:val="0"/>
      <w:marTop w:val="0"/>
      <w:marBottom w:val="0"/>
      <w:divBdr>
        <w:top w:val="none" w:sz="0" w:space="0" w:color="auto"/>
        <w:left w:val="none" w:sz="0" w:space="0" w:color="auto"/>
        <w:bottom w:val="none" w:sz="0" w:space="0" w:color="auto"/>
        <w:right w:val="none" w:sz="0" w:space="0" w:color="auto"/>
      </w:divBdr>
    </w:div>
    <w:div w:id="1624194726">
      <w:marLeft w:val="0"/>
      <w:marRight w:val="0"/>
      <w:marTop w:val="0"/>
      <w:marBottom w:val="0"/>
      <w:divBdr>
        <w:top w:val="none" w:sz="0" w:space="0" w:color="auto"/>
        <w:left w:val="none" w:sz="0" w:space="0" w:color="auto"/>
        <w:bottom w:val="none" w:sz="0" w:space="0" w:color="auto"/>
        <w:right w:val="none" w:sz="0" w:space="0" w:color="auto"/>
      </w:divBdr>
    </w:div>
    <w:div w:id="1624194727">
      <w:marLeft w:val="0"/>
      <w:marRight w:val="0"/>
      <w:marTop w:val="0"/>
      <w:marBottom w:val="0"/>
      <w:divBdr>
        <w:top w:val="none" w:sz="0" w:space="0" w:color="auto"/>
        <w:left w:val="none" w:sz="0" w:space="0" w:color="auto"/>
        <w:bottom w:val="none" w:sz="0" w:space="0" w:color="auto"/>
        <w:right w:val="none" w:sz="0" w:space="0" w:color="auto"/>
      </w:divBdr>
    </w:div>
    <w:div w:id="1624194728">
      <w:marLeft w:val="0"/>
      <w:marRight w:val="0"/>
      <w:marTop w:val="0"/>
      <w:marBottom w:val="0"/>
      <w:divBdr>
        <w:top w:val="none" w:sz="0" w:space="0" w:color="auto"/>
        <w:left w:val="none" w:sz="0" w:space="0" w:color="auto"/>
        <w:bottom w:val="none" w:sz="0" w:space="0" w:color="auto"/>
        <w:right w:val="none" w:sz="0" w:space="0" w:color="auto"/>
      </w:divBdr>
    </w:div>
    <w:div w:id="1624194729">
      <w:marLeft w:val="0"/>
      <w:marRight w:val="0"/>
      <w:marTop w:val="0"/>
      <w:marBottom w:val="0"/>
      <w:divBdr>
        <w:top w:val="none" w:sz="0" w:space="0" w:color="auto"/>
        <w:left w:val="none" w:sz="0" w:space="0" w:color="auto"/>
        <w:bottom w:val="none" w:sz="0" w:space="0" w:color="auto"/>
        <w:right w:val="none" w:sz="0" w:space="0" w:color="auto"/>
      </w:divBdr>
    </w:div>
    <w:div w:id="1624194730">
      <w:marLeft w:val="0"/>
      <w:marRight w:val="0"/>
      <w:marTop w:val="0"/>
      <w:marBottom w:val="0"/>
      <w:divBdr>
        <w:top w:val="none" w:sz="0" w:space="0" w:color="auto"/>
        <w:left w:val="none" w:sz="0" w:space="0" w:color="auto"/>
        <w:bottom w:val="none" w:sz="0" w:space="0" w:color="auto"/>
        <w:right w:val="none" w:sz="0" w:space="0" w:color="auto"/>
      </w:divBdr>
    </w:div>
    <w:div w:id="1624194731">
      <w:marLeft w:val="0"/>
      <w:marRight w:val="0"/>
      <w:marTop w:val="0"/>
      <w:marBottom w:val="0"/>
      <w:divBdr>
        <w:top w:val="none" w:sz="0" w:space="0" w:color="auto"/>
        <w:left w:val="none" w:sz="0" w:space="0" w:color="auto"/>
        <w:bottom w:val="none" w:sz="0" w:space="0" w:color="auto"/>
        <w:right w:val="none" w:sz="0" w:space="0" w:color="auto"/>
      </w:divBdr>
    </w:div>
    <w:div w:id="1624194732">
      <w:marLeft w:val="0"/>
      <w:marRight w:val="0"/>
      <w:marTop w:val="0"/>
      <w:marBottom w:val="0"/>
      <w:divBdr>
        <w:top w:val="none" w:sz="0" w:space="0" w:color="auto"/>
        <w:left w:val="none" w:sz="0" w:space="0" w:color="auto"/>
        <w:bottom w:val="none" w:sz="0" w:space="0" w:color="auto"/>
        <w:right w:val="none" w:sz="0" w:space="0" w:color="auto"/>
      </w:divBdr>
    </w:div>
    <w:div w:id="1624194733">
      <w:marLeft w:val="0"/>
      <w:marRight w:val="0"/>
      <w:marTop w:val="0"/>
      <w:marBottom w:val="0"/>
      <w:divBdr>
        <w:top w:val="none" w:sz="0" w:space="0" w:color="auto"/>
        <w:left w:val="none" w:sz="0" w:space="0" w:color="auto"/>
        <w:bottom w:val="none" w:sz="0" w:space="0" w:color="auto"/>
        <w:right w:val="none" w:sz="0" w:space="0" w:color="auto"/>
      </w:divBdr>
    </w:div>
    <w:div w:id="1624194734">
      <w:marLeft w:val="0"/>
      <w:marRight w:val="0"/>
      <w:marTop w:val="0"/>
      <w:marBottom w:val="0"/>
      <w:divBdr>
        <w:top w:val="none" w:sz="0" w:space="0" w:color="auto"/>
        <w:left w:val="none" w:sz="0" w:space="0" w:color="auto"/>
        <w:bottom w:val="none" w:sz="0" w:space="0" w:color="auto"/>
        <w:right w:val="none" w:sz="0" w:space="0" w:color="auto"/>
      </w:divBdr>
    </w:div>
    <w:div w:id="1624194735">
      <w:marLeft w:val="0"/>
      <w:marRight w:val="0"/>
      <w:marTop w:val="0"/>
      <w:marBottom w:val="0"/>
      <w:divBdr>
        <w:top w:val="none" w:sz="0" w:space="0" w:color="auto"/>
        <w:left w:val="none" w:sz="0" w:space="0" w:color="auto"/>
        <w:bottom w:val="none" w:sz="0" w:space="0" w:color="auto"/>
        <w:right w:val="none" w:sz="0" w:space="0" w:color="auto"/>
      </w:divBdr>
    </w:div>
    <w:div w:id="1624194736">
      <w:marLeft w:val="0"/>
      <w:marRight w:val="0"/>
      <w:marTop w:val="0"/>
      <w:marBottom w:val="0"/>
      <w:divBdr>
        <w:top w:val="none" w:sz="0" w:space="0" w:color="auto"/>
        <w:left w:val="none" w:sz="0" w:space="0" w:color="auto"/>
        <w:bottom w:val="none" w:sz="0" w:space="0" w:color="auto"/>
        <w:right w:val="none" w:sz="0" w:space="0" w:color="auto"/>
      </w:divBdr>
    </w:div>
    <w:div w:id="1624194737">
      <w:marLeft w:val="0"/>
      <w:marRight w:val="0"/>
      <w:marTop w:val="0"/>
      <w:marBottom w:val="0"/>
      <w:divBdr>
        <w:top w:val="none" w:sz="0" w:space="0" w:color="auto"/>
        <w:left w:val="none" w:sz="0" w:space="0" w:color="auto"/>
        <w:bottom w:val="none" w:sz="0" w:space="0" w:color="auto"/>
        <w:right w:val="none" w:sz="0" w:space="0" w:color="auto"/>
      </w:divBdr>
    </w:div>
    <w:div w:id="1624194738">
      <w:marLeft w:val="0"/>
      <w:marRight w:val="0"/>
      <w:marTop w:val="0"/>
      <w:marBottom w:val="0"/>
      <w:divBdr>
        <w:top w:val="none" w:sz="0" w:space="0" w:color="auto"/>
        <w:left w:val="none" w:sz="0" w:space="0" w:color="auto"/>
        <w:bottom w:val="none" w:sz="0" w:space="0" w:color="auto"/>
        <w:right w:val="none" w:sz="0" w:space="0" w:color="auto"/>
      </w:divBdr>
    </w:div>
    <w:div w:id="1624194739">
      <w:marLeft w:val="0"/>
      <w:marRight w:val="0"/>
      <w:marTop w:val="0"/>
      <w:marBottom w:val="0"/>
      <w:divBdr>
        <w:top w:val="none" w:sz="0" w:space="0" w:color="auto"/>
        <w:left w:val="none" w:sz="0" w:space="0" w:color="auto"/>
        <w:bottom w:val="none" w:sz="0" w:space="0" w:color="auto"/>
        <w:right w:val="none" w:sz="0" w:space="0" w:color="auto"/>
      </w:divBdr>
    </w:div>
    <w:div w:id="1624194740">
      <w:marLeft w:val="0"/>
      <w:marRight w:val="0"/>
      <w:marTop w:val="0"/>
      <w:marBottom w:val="0"/>
      <w:divBdr>
        <w:top w:val="none" w:sz="0" w:space="0" w:color="auto"/>
        <w:left w:val="none" w:sz="0" w:space="0" w:color="auto"/>
        <w:bottom w:val="none" w:sz="0" w:space="0" w:color="auto"/>
        <w:right w:val="none" w:sz="0" w:space="0" w:color="auto"/>
      </w:divBdr>
    </w:div>
    <w:div w:id="1624194741">
      <w:marLeft w:val="0"/>
      <w:marRight w:val="0"/>
      <w:marTop w:val="0"/>
      <w:marBottom w:val="0"/>
      <w:divBdr>
        <w:top w:val="none" w:sz="0" w:space="0" w:color="auto"/>
        <w:left w:val="none" w:sz="0" w:space="0" w:color="auto"/>
        <w:bottom w:val="none" w:sz="0" w:space="0" w:color="auto"/>
        <w:right w:val="none" w:sz="0" w:space="0" w:color="auto"/>
      </w:divBdr>
    </w:div>
    <w:div w:id="1624194742">
      <w:marLeft w:val="0"/>
      <w:marRight w:val="0"/>
      <w:marTop w:val="0"/>
      <w:marBottom w:val="0"/>
      <w:divBdr>
        <w:top w:val="none" w:sz="0" w:space="0" w:color="auto"/>
        <w:left w:val="none" w:sz="0" w:space="0" w:color="auto"/>
        <w:bottom w:val="none" w:sz="0" w:space="0" w:color="auto"/>
        <w:right w:val="none" w:sz="0" w:space="0" w:color="auto"/>
      </w:divBdr>
    </w:div>
    <w:div w:id="1624194743">
      <w:marLeft w:val="0"/>
      <w:marRight w:val="0"/>
      <w:marTop w:val="0"/>
      <w:marBottom w:val="0"/>
      <w:divBdr>
        <w:top w:val="none" w:sz="0" w:space="0" w:color="auto"/>
        <w:left w:val="none" w:sz="0" w:space="0" w:color="auto"/>
        <w:bottom w:val="none" w:sz="0" w:space="0" w:color="auto"/>
        <w:right w:val="none" w:sz="0" w:space="0" w:color="auto"/>
      </w:divBdr>
    </w:div>
    <w:div w:id="1624194744">
      <w:marLeft w:val="0"/>
      <w:marRight w:val="0"/>
      <w:marTop w:val="0"/>
      <w:marBottom w:val="0"/>
      <w:divBdr>
        <w:top w:val="none" w:sz="0" w:space="0" w:color="auto"/>
        <w:left w:val="none" w:sz="0" w:space="0" w:color="auto"/>
        <w:bottom w:val="none" w:sz="0" w:space="0" w:color="auto"/>
        <w:right w:val="none" w:sz="0" w:space="0" w:color="auto"/>
      </w:divBdr>
    </w:div>
    <w:div w:id="1624194745">
      <w:marLeft w:val="0"/>
      <w:marRight w:val="0"/>
      <w:marTop w:val="0"/>
      <w:marBottom w:val="0"/>
      <w:divBdr>
        <w:top w:val="none" w:sz="0" w:space="0" w:color="auto"/>
        <w:left w:val="none" w:sz="0" w:space="0" w:color="auto"/>
        <w:bottom w:val="none" w:sz="0" w:space="0" w:color="auto"/>
        <w:right w:val="none" w:sz="0" w:space="0" w:color="auto"/>
      </w:divBdr>
    </w:div>
    <w:div w:id="1624194746">
      <w:marLeft w:val="0"/>
      <w:marRight w:val="0"/>
      <w:marTop w:val="0"/>
      <w:marBottom w:val="0"/>
      <w:divBdr>
        <w:top w:val="none" w:sz="0" w:space="0" w:color="auto"/>
        <w:left w:val="none" w:sz="0" w:space="0" w:color="auto"/>
        <w:bottom w:val="none" w:sz="0" w:space="0" w:color="auto"/>
        <w:right w:val="none" w:sz="0" w:space="0" w:color="auto"/>
      </w:divBdr>
    </w:div>
    <w:div w:id="1624194747">
      <w:marLeft w:val="0"/>
      <w:marRight w:val="0"/>
      <w:marTop w:val="0"/>
      <w:marBottom w:val="0"/>
      <w:divBdr>
        <w:top w:val="none" w:sz="0" w:space="0" w:color="auto"/>
        <w:left w:val="none" w:sz="0" w:space="0" w:color="auto"/>
        <w:bottom w:val="none" w:sz="0" w:space="0" w:color="auto"/>
        <w:right w:val="none" w:sz="0" w:space="0" w:color="auto"/>
      </w:divBdr>
    </w:div>
    <w:div w:id="1624194748">
      <w:marLeft w:val="0"/>
      <w:marRight w:val="0"/>
      <w:marTop w:val="0"/>
      <w:marBottom w:val="0"/>
      <w:divBdr>
        <w:top w:val="none" w:sz="0" w:space="0" w:color="auto"/>
        <w:left w:val="none" w:sz="0" w:space="0" w:color="auto"/>
        <w:bottom w:val="none" w:sz="0" w:space="0" w:color="auto"/>
        <w:right w:val="none" w:sz="0" w:space="0" w:color="auto"/>
      </w:divBdr>
    </w:div>
    <w:div w:id="1624194749">
      <w:marLeft w:val="0"/>
      <w:marRight w:val="0"/>
      <w:marTop w:val="0"/>
      <w:marBottom w:val="0"/>
      <w:divBdr>
        <w:top w:val="none" w:sz="0" w:space="0" w:color="auto"/>
        <w:left w:val="none" w:sz="0" w:space="0" w:color="auto"/>
        <w:bottom w:val="none" w:sz="0" w:space="0" w:color="auto"/>
        <w:right w:val="none" w:sz="0" w:space="0" w:color="auto"/>
      </w:divBdr>
    </w:div>
    <w:div w:id="1624194750">
      <w:marLeft w:val="0"/>
      <w:marRight w:val="0"/>
      <w:marTop w:val="0"/>
      <w:marBottom w:val="0"/>
      <w:divBdr>
        <w:top w:val="none" w:sz="0" w:space="0" w:color="auto"/>
        <w:left w:val="none" w:sz="0" w:space="0" w:color="auto"/>
        <w:bottom w:val="none" w:sz="0" w:space="0" w:color="auto"/>
        <w:right w:val="none" w:sz="0" w:space="0" w:color="auto"/>
      </w:divBdr>
    </w:div>
    <w:div w:id="1624194751">
      <w:marLeft w:val="0"/>
      <w:marRight w:val="0"/>
      <w:marTop w:val="0"/>
      <w:marBottom w:val="0"/>
      <w:divBdr>
        <w:top w:val="none" w:sz="0" w:space="0" w:color="auto"/>
        <w:left w:val="none" w:sz="0" w:space="0" w:color="auto"/>
        <w:bottom w:val="none" w:sz="0" w:space="0" w:color="auto"/>
        <w:right w:val="none" w:sz="0" w:space="0" w:color="auto"/>
      </w:divBdr>
    </w:div>
    <w:div w:id="1624194752">
      <w:marLeft w:val="0"/>
      <w:marRight w:val="0"/>
      <w:marTop w:val="0"/>
      <w:marBottom w:val="0"/>
      <w:divBdr>
        <w:top w:val="none" w:sz="0" w:space="0" w:color="auto"/>
        <w:left w:val="none" w:sz="0" w:space="0" w:color="auto"/>
        <w:bottom w:val="none" w:sz="0" w:space="0" w:color="auto"/>
        <w:right w:val="none" w:sz="0" w:space="0" w:color="auto"/>
      </w:divBdr>
    </w:div>
    <w:div w:id="1624194753">
      <w:marLeft w:val="0"/>
      <w:marRight w:val="0"/>
      <w:marTop w:val="0"/>
      <w:marBottom w:val="0"/>
      <w:divBdr>
        <w:top w:val="none" w:sz="0" w:space="0" w:color="auto"/>
        <w:left w:val="none" w:sz="0" w:space="0" w:color="auto"/>
        <w:bottom w:val="none" w:sz="0" w:space="0" w:color="auto"/>
        <w:right w:val="none" w:sz="0" w:space="0" w:color="auto"/>
      </w:divBdr>
    </w:div>
    <w:div w:id="1624194754">
      <w:marLeft w:val="0"/>
      <w:marRight w:val="0"/>
      <w:marTop w:val="0"/>
      <w:marBottom w:val="0"/>
      <w:divBdr>
        <w:top w:val="none" w:sz="0" w:space="0" w:color="auto"/>
        <w:left w:val="none" w:sz="0" w:space="0" w:color="auto"/>
        <w:bottom w:val="none" w:sz="0" w:space="0" w:color="auto"/>
        <w:right w:val="none" w:sz="0" w:space="0" w:color="auto"/>
      </w:divBdr>
    </w:div>
    <w:div w:id="1624194755">
      <w:marLeft w:val="0"/>
      <w:marRight w:val="0"/>
      <w:marTop w:val="0"/>
      <w:marBottom w:val="0"/>
      <w:divBdr>
        <w:top w:val="none" w:sz="0" w:space="0" w:color="auto"/>
        <w:left w:val="none" w:sz="0" w:space="0" w:color="auto"/>
        <w:bottom w:val="none" w:sz="0" w:space="0" w:color="auto"/>
        <w:right w:val="none" w:sz="0" w:space="0" w:color="auto"/>
      </w:divBdr>
    </w:div>
    <w:div w:id="1624194756">
      <w:marLeft w:val="0"/>
      <w:marRight w:val="0"/>
      <w:marTop w:val="0"/>
      <w:marBottom w:val="0"/>
      <w:divBdr>
        <w:top w:val="none" w:sz="0" w:space="0" w:color="auto"/>
        <w:left w:val="none" w:sz="0" w:space="0" w:color="auto"/>
        <w:bottom w:val="none" w:sz="0" w:space="0" w:color="auto"/>
        <w:right w:val="none" w:sz="0" w:space="0" w:color="auto"/>
      </w:divBdr>
    </w:div>
    <w:div w:id="1624194757">
      <w:marLeft w:val="0"/>
      <w:marRight w:val="0"/>
      <w:marTop w:val="0"/>
      <w:marBottom w:val="0"/>
      <w:divBdr>
        <w:top w:val="none" w:sz="0" w:space="0" w:color="auto"/>
        <w:left w:val="none" w:sz="0" w:space="0" w:color="auto"/>
        <w:bottom w:val="none" w:sz="0" w:space="0" w:color="auto"/>
        <w:right w:val="none" w:sz="0" w:space="0" w:color="auto"/>
      </w:divBdr>
    </w:div>
    <w:div w:id="1626882754">
      <w:bodyDiv w:val="1"/>
      <w:marLeft w:val="0"/>
      <w:marRight w:val="0"/>
      <w:marTop w:val="0"/>
      <w:marBottom w:val="0"/>
      <w:divBdr>
        <w:top w:val="none" w:sz="0" w:space="0" w:color="auto"/>
        <w:left w:val="none" w:sz="0" w:space="0" w:color="auto"/>
        <w:bottom w:val="none" w:sz="0" w:space="0" w:color="auto"/>
        <w:right w:val="none" w:sz="0" w:space="0" w:color="auto"/>
      </w:divBdr>
    </w:div>
    <w:div w:id="1627615000">
      <w:bodyDiv w:val="1"/>
      <w:marLeft w:val="0"/>
      <w:marRight w:val="0"/>
      <w:marTop w:val="0"/>
      <w:marBottom w:val="0"/>
      <w:divBdr>
        <w:top w:val="none" w:sz="0" w:space="0" w:color="auto"/>
        <w:left w:val="none" w:sz="0" w:space="0" w:color="auto"/>
        <w:bottom w:val="none" w:sz="0" w:space="0" w:color="auto"/>
        <w:right w:val="none" w:sz="0" w:space="0" w:color="auto"/>
      </w:divBdr>
    </w:div>
    <w:div w:id="1628003367">
      <w:bodyDiv w:val="1"/>
      <w:marLeft w:val="0"/>
      <w:marRight w:val="0"/>
      <w:marTop w:val="0"/>
      <w:marBottom w:val="0"/>
      <w:divBdr>
        <w:top w:val="none" w:sz="0" w:space="0" w:color="auto"/>
        <w:left w:val="none" w:sz="0" w:space="0" w:color="auto"/>
        <w:bottom w:val="none" w:sz="0" w:space="0" w:color="auto"/>
        <w:right w:val="none" w:sz="0" w:space="0" w:color="auto"/>
      </w:divBdr>
    </w:div>
    <w:div w:id="1628045684">
      <w:bodyDiv w:val="1"/>
      <w:marLeft w:val="0"/>
      <w:marRight w:val="0"/>
      <w:marTop w:val="0"/>
      <w:marBottom w:val="0"/>
      <w:divBdr>
        <w:top w:val="none" w:sz="0" w:space="0" w:color="auto"/>
        <w:left w:val="none" w:sz="0" w:space="0" w:color="auto"/>
        <w:bottom w:val="none" w:sz="0" w:space="0" w:color="auto"/>
        <w:right w:val="none" w:sz="0" w:space="0" w:color="auto"/>
      </w:divBdr>
    </w:div>
    <w:div w:id="1628470017">
      <w:bodyDiv w:val="1"/>
      <w:marLeft w:val="0"/>
      <w:marRight w:val="0"/>
      <w:marTop w:val="0"/>
      <w:marBottom w:val="0"/>
      <w:divBdr>
        <w:top w:val="none" w:sz="0" w:space="0" w:color="auto"/>
        <w:left w:val="none" w:sz="0" w:space="0" w:color="auto"/>
        <w:bottom w:val="none" w:sz="0" w:space="0" w:color="auto"/>
        <w:right w:val="none" w:sz="0" w:space="0" w:color="auto"/>
      </w:divBdr>
    </w:div>
    <w:div w:id="1629167033">
      <w:bodyDiv w:val="1"/>
      <w:marLeft w:val="0"/>
      <w:marRight w:val="0"/>
      <w:marTop w:val="0"/>
      <w:marBottom w:val="0"/>
      <w:divBdr>
        <w:top w:val="none" w:sz="0" w:space="0" w:color="auto"/>
        <w:left w:val="none" w:sz="0" w:space="0" w:color="auto"/>
        <w:bottom w:val="none" w:sz="0" w:space="0" w:color="auto"/>
        <w:right w:val="none" w:sz="0" w:space="0" w:color="auto"/>
      </w:divBdr>
    </w:div>
    <w:div w:id="1629242531">
      <w:bodyDiv w:val="1"/>
      <w:marLeft w:val="0"/>
      <w:marRight w:val="0"/>
      <w:marTop w:val="0"/>
      <w:marBottom w:val="0"/>
      <w:divBdr>
        <w:top w:val="none" w:sz="0" w:space="0" w:color="auto"/>
        <w:left w:val="none" w:sz="0" w:space="0" w:color="auto"/>
        <w:bottom w:val="none" w:sz="0" w:space="0" w:color="auto"/>
        <w:right w:val="none" w:sz="0" w:space="0" w:color="auto"/>
      </w:divBdr>
    </w:div>
    <w:div w:id="1629435179">
      <w:bodyDiv w:val="1"/>
      <w:marLeft w:val="0"/>
      <w:marRight w:val="0"/>
      <w:marTop w:val="0"/>
      <w:marBottom w:val="0"/>
      <w:divBdr>
        <w:top w:val="none" w:sz="0" w:space="0" w:color="auto"/>
        <w:left w:val="none" w:sz="0" w:space="0" w:color="auto"/>
        <w:bottom w:val="none" w:sz="0" w:space="0" w:color="auto"/>
        <w:right w:val="none" w:sz="0" w:space="0" w:color="auto"/>
      </w:divBdr>
    </w:div>
    <w:div w:id="1629773361">
      <w:bodyDiv w:val="1"/>
      <w:marLeft w:val="0"/>
      <w:marRight w:val="0"/>
      <w:marTop w:val="0"/>
      <w:marBottom w:val="0"/>
      <w:divBdr>
        <w:top w:val="none" w:sz="0" w:space="0" w:color="auto"/>
        <w:left w:val="none" w:sz="0" w:space="0" w:color="auto"/>
        <w:bottom w:val="none" w:sz="0" w:space="0" w:color="auto"/>
        <w:right w:val="none" w:sz="0" w:space="0" w:color="auto"/>
      </w:divBdr>
    </w:div>
    <w:div w:id="1629818662">
      <w:bodyDiv w:val="1"/>
      <w:marLeft w:val="0"/>
      <w:marRight w:val="0"/>
      <w:marTop w:val="0"/>
      <w:marBottom w:val="0"/>
      <w:divBdr>
        <w:top w:val="none" w:sz="0" w:space="0" w:color="auto"/>
        <w:left w:val="none" w:sz="0" w:space="0" w:color="auto"/>
        <w:bottom w:val="none" w:sz="0" w:space="0" w:color="auto"/>
        <w:right w:val="none" w:sz="0" w:space="0" w:color="auto"/>
      </w:divBdr>
    </w:div>
    <w:div w:id="1634746218">
      <w:bodyDiv w:val="1"/>
      <w:marLeft w:val="0"/>
      <w:marRight w:val="0"/>
      <w:marTop w:val="0"/>
      <w:marBottom w:val="0"/>
      <w:divBdr>
        <w:top w:val="none" w:sz="0" w:space="0" w:color="auto"/>
        <w:left w:val="none" w:sz="0" w:space="0" w:color="auto"/>
        <w:bottom w:val="none" w:sz="0" w:space="0" w:color="auto"/>
        <w:right w:val="none" w:sz="0" w:space="0" w:color="auto"/>
      </w:divBdr>
    </w:div>
    <w:div w:id="1635483198">
      <w:bodyDiv w:val="1"/>
      <w:marLeft w:val="0"/>
      <w:marRight w:val="0"/>
      <w:marTop w:val="0"/>
      <w:marBottom w:val="0"/>
      <w:divBdr>
        <w:top w:val="none" w:sz="0" w:space="0" w:color="auto"/>
        <w:left w:val="none" w:sz="0" w:space="0" w:color="auto"/>
        <w:bottom w:val="none" w:sz="0" w:space="0" w:color="auto"/>
        <w:right w:val="none" w:sz="0" w:space="0" w:color="auto"/>
      </w:divBdr>
    </w:div>
    <w:div w:id="1635911210">
      <w:bodyDiv w:val="1"/>
      <w:marLeft w:val="0"/>
      <w:marRight w:val="0"/>
      <w:marTop w:val="0"/>
      <w:marBottom w:val="0"/>
      <w:divBdr>
        <w:top w:val="none" w:sz="0" w:space="0" w:color="auto"/>
        <w:left w:val="none" w:sz="0" w:space="0" w:color="auto"/>
        <w:bottom w:val="none" w:sz="0" w:space="0" w:color="auto"/>
        <w:right w:val="none" w:sz="0" w:space="0" w:color="auto"/>
      </w:divBdr>
    </w:div>
    <w:div w:id="1637031422">
      <w:bodyDiv w:val="1"/>
      <w:marLeft w:val="0"/>
      <w:marRight w:val="0"/>
      <w:marTop w:val="0"/>
      <w:marBottom w:val="0"/>
      <w:divBdr>
        <w:top w:val="none" w:sz="0" w:space="0" w:color="auto"/>
        <w:left w:val="none" w:sz="0" w:space="0" w:color="auto"/>
        <w:bottom w:val="none" w:sz="0" w:space="0" w:color="auto"/>
        <w:right w:val="none" w:sz="0" w:space="0" w:color="auto"/>
      </w:divBdr>
    </w:div>
    <w:div w:id="1637371943">
      <w:bodyDiv w:val="1"/>
      <w:marLeft w:val="0"/>
      <w:marRight w:val="0"/>
      <w:marTop w:val="0"/>
      <w:marBottom w:val="0"/>
      <w:divBdr>
        <w:top w:val="none" w:sz="0" w:space="0" w:color="auto"/>
        <w:left w:val="none" w:sz="0" w:space="0" w:color="auto"/>
        <w:bottom w:val="none" w:sz="0" w:space="0" w:color="auto"/>
        <w:right w:val="none" w:sz="0" w:space="0" w:color="auto"/>
      </w:divBdr>
    </w:div>
    <w:div w:id="1637445728">
      <w:bodyDiv w:val="1"/>
      <w:marLeft w:val="0"/>
      <w:marRight w:val="0"/>
      <w:marTop w:val="0"/>
      <w:marBottom w:val="0"/>
      <w:divBdr>
        <w:top w:val="none" w:sz="0" w:space="0" w:color="auto"/>
        <w:left w:val="none" w:sz="0" w:space="0" w:color="auto"/>
        <w:bottom w:val="none" w:sz="0" w:space="0" w:color="auto"/>
        <w:right w:val="none" w:sz="0" w:space="0" w:color="auto"/>
      </w:divBdr>
    </w:div>
    <w:div w:id="1638028407">
      <w:bodyDiv w:val="1"/>
      <w:marLeft w:val="0"/>
      <w:marRight w:val="0"/>
      <w:marTop w:val="0"/>
      <w:marBottom w:val="0"/>
      <w:divBdr>
        <w:top w:val="none" w:sz="0" w:space="0" w:color="auto"/>
        <w:left w:val="none" w:sz="0" w:space="0" w:color="auto"/>
        <w:bottom w:val="none" w:sz="0" w:space="0" w:color="auto"/>
        <w:right w:val="none" w:sz="0" w:space="0" w:color="auto"/>
      </w:divBdr>
    </w:div>
    <w:div w:id="1638488777">
      <w:bodyDiv w:val="1"/>
      <w:marLeft w:val="0"/>
      <w:marRight w:val="0"/>
      <w:marTop w:val="0"/>
      <w:marBottom w:val="0"/>
      <w:divBdr>
        <w:top w:val="none" w:sz="0" w:space="0" w:color="auto"/>
        <w:left w:val="none" w:sz="0" w:space="0" w:color="auto"/>
        <w:bottom w:val="none" w:sz="0" w:space="0" w:color="auto"/>
        <w:right w:val="none" w:sz="0" w:space="0" w:color="auto"/>
      </w:divBdr>
    </w:div>
    <w:div w:id="1639411775">
      <w:bodyDiv w:val="1"/>
      <w:marLeft w:val="0"/>
      <w:marRight w:val="0"/>
      <w:marTop w:val="0"/>
      <w:marBottom w:val="0"/>
      <w:divBdr>
        <w:top w:val="none" w:sz="0" w:space="0" w:color="auto"/>
        <w:left w:val="none" w:sz="0" w:space="0" w:color="auto"/>
        <w:bottom w:val="none" w:sz="0" w:space="0" w:color="auto"/>
        <w:right w:val="none" w:sz="0" w:space="0" w:color="auto"/>
      </w:divBdr>
    </w:div>
    <w:div w:id="1639646887">
      <w:bodyDiv w:val="1"/>
      <w:marLeft w:val="0"/>
      <w:marRight w:val="0"/>
      <w:marTop w:val="0"/>
      <w:marBottom w:val="0"/>
      <w:divBdr>
        <w:top w:val="none" w:sz="0" w:space="0" w:color="auto"/>
        <w:left w:val="none" w:sz="0" w:space="0" w:color="auto"/>
        <w:bottom w:val="none" w:sz="0" w:space="0" w:color="auto"/>
        <w:right w:val="none" w:sz="0" w:space="0" w:color="auto"/>
      </w:divBdr>
    </w:div>
    <w:div w:id="1640332365">
      <w:bodyDiv w:val="1"/>
      <w:marLeft w:val="0"/>
      <w:marRight w:val="0"/>
      <w:marTop w:val="0"/>
      <w:marBottom w:val="0"/>
      <w:divBdr>
        <w:top w:val="none" w:sz="0" w:space="0" w:color="auto"/>
        <w:left w:val="none" w:sz="0" w:space="0" w:color="auto"/>
        <w:bottom w:val="none" w:sz="0" w:space="0" w:color="auto"/>
        <w:right w:val="none" w:sz="0" w:space="0" w:color="auto"/>
      </w:divBdr>
    </w:div>
    <w:div w:id="1640454575">
      <w:bodyDiv w:val="1"/>
      <w:marLeft w:val="0"/>
      <w:marRight w:val="0"/>
      <w:marTop w:val="0"/>
      <w:marBottom w:val="0"/>
      <w:divBdr>
        <w:top w:val="none" w:sz="0" w:space="0" w:color="auto"/>
        <w:left w:val="none" w:sz="0" w:space="0" w:color="auto"/>
        <w:bottom w:val="none" w:sz="0" w:space="0" w:color="auto"/>
        <w:right w:val="none" w:sz="0" w:space="0" w:color="auto"/>
      </w:divBdr>
    </w:div>
    <w:div w:id="1641036545">
      <w:bodyDiv w:val="1"/>
      <w:marLeft w:val="0"/>
      <w:marRight w:val="0"/>
      <w:marTop w:val="0"/>
      <w:marBottom w:val="0"/>
      <w:divBdr>
        <w:top w:val="none" w:sz="0" w:space="0" w:color="auto"/>
        <w:left w:val="none" w:sz="0" w:space="0" w:color="auto"/>
        <w:bottom w:val="none" w:sz="0" w:space="0" w:color="auto"/>
        <w:right w:val="none" w:sz="0" w:space="0" w:color="auto"/>
      </w:divBdr>
    </w:div>
    <w:div w:id="1641642722">
      <w:bodyDiv w:val="1"/>
      <w:marLeft w:val="0"/>
      <w:marRight w:val="0"/>
      <w:marTop w:val="0"/>
      <w:marBottom w:val="0"/>
      <w:divBdr>
        <w:top w:val="none" w:sz="0" w:space="0" w:color="auto"/>
        <w:left w:val="none" w:sz="0" w:space="0" w:color="auto"/>
        <w:bottom w:val="none" w:sz="0" w:space="0" w:color="auto"/>
        <w:right w:val="none" w:sz="0" w:space="0" w:color="auto"/>
      </w:divBdr>
    </w:div>
    <w:div w:id="1642077233">
      <w:bodyDiv w:val="1"/>
      <w:marLeft w:val="0"/>
      <w:marRight w:val="0"/>
      <w:marTop w:val="0"/>
      <w:marBottom w:val="0"/>
      <w:divBdr>
        <w:top w:val="none" w:sz="0" w:space="0" w:color="auto"/>
        <w:left w:val="none" w:sz="0" w:space="0" w:color="auto"/>
        <w:bottom w:val="none" w:sz="0" w:space="0" w:color="auto"/>
        <w:right w:val="none" w:sz="0" w:space="0" w:color="auto"/>
      </w:divBdr>
    </w:div>
    <w:div w:id="1643266543">
      <w:bodyDiv w:val="1"/>
      <w:marLeft w:val="0"/>
      <w:marRight w:val="0"/>
      <w:marTop w:val="0"/>
      <w:marBottom w:val="0"/>
      <w:divBdr>
        <w:top w:val="none" w:sz="0" w:space="0" w:color="auto"/>
        <w:left w:val="none" w:sz="0" w:space="0" w:color="auto"/>
        <w:bottom w:val="none" w:sz="0" w:space="0" w:color="auto"/>
        <w:right w:val="none" w:sz="0" w:space="0" w:color="auto"/>
      </w:divBdr>
    </w:div>
    <w:div w:id="1644307185">
      <w:bodyDiv w:val="1"/>
      <w:marLeft w:val="0"/>
      <w:marRight w:val="0"/>
      <w:marTop w:val="0"/>
      <w:marBottom w:val="0"/>
      <w:divBdr>
        <w:top w:val="none" w:sz="0" w:space="0" w:color="auto"/>
        <w:left w:val="none" w:sz="0" w:space="0" w:color="auto"/>
        <w:bottom w:val="none" w:sz="0" w:space="0" w:color="auto"/>
        <w:right w:val="none" w:sz="0" w:space="0" w:color="auto"/>
      </w:divBdr>
    </w:div>
    <w:div w:id="1644852810">
      <w:bodyDiv w:val="1"/>
      <w:marLeft w:val="0"/>
      <w:marRight w:val="0"/>
      <w:marTop w:val="0"/>
      <w:marBottom w:val="0"/>
      <w:divBdr>
        <w:top w:val="none" w:sz="0" w:space="0" w:color="auto"/>
        <w:left w:val="none" w:sz="0" w:space="0" w:color="auto"/>
        <w:bottom w:val="none" w:sz="0" w:space="0" w:color="auto"/>
        <w:right w:val="none" w:sz="0" w:space="0" w:color="auto"/>
      </w:divBdr>
    </w:div>
    <w:div w:id="1645357491">
      <w:bodyDiv w:val="1"/>
      <w:marLeft w:val="0"/>
      <w:marRight w:val="0"/>
      <w:marTop w:val="0"/>
      <w:marBottom w:val="0"/>
      <w:divBdr>
        <w:top w:val="none" w:sz="0" w:space="0" w:color="auto"/>
        <w:left w:val="none" w:sz="0" w:space="0" w:color="auto"/>
        <w:bottom w:val="none" w:sz="0" w:space="0" w:color="auto"/>
        <w:right w:val="none" w:sz="0" w:space="0" w:color="auto"/>
      </w:divBdr>
    </w:div>
    <w:div w:id="1646353362">
      <w:bodyDiv w:val="1"/>
      <w:marLeft w:val="0"/>
      <w:marRight w:val="0"/>
      <w:marTop w:val="0"/>
      <w:marBottom w:val="0"/>
      <w:divBdr>
        <w:top w:val="none" w:sz="0" w:space="0" w:color="auto"/>
        <w:left w:val="none" w:sz="0" w:space="0" w:color="auto"/>
        <w:bottom w:val="none" w:sz="0" w:space="0" w:color="auto"/>
        <w:right w:val="none" w:sz="0" w:space="0" w:color="auto"/>
      </w:divBdr>
    </w:div>
    <w:div w:id="1646667084">
      <w:bodyDiv w:val="1"/>
      <w:marLeft w:val="0"/>
      <w:marRight w:val="0"/>
      <w:marTop w:val="0"/>
      <w:marBottom w:val="0"/>
      <w:divBdr>
        <w:top w:val="none" w:sz="0" w:space="0" w:color="auto"/>
        <w:left w:val="none" w:sz="0" w:space="0" w:color="auto"/>
        <w:bottom w:val="none" w:sz="0" w:space="0" w:color="auto"/>
        <w:right w:val="none" w:sz="0" w:space="0" w:color="auto"/>
      </w:divBdr>
    </w:div>
    <w:div w:id="1646743803">
      <w:bodyDiv w:val="1"/>
      <w:marLeft w:val="0"/>
      <w:marRight w:val="0"/>
      <w:marTop w:val="0"/>
      <w:marBottom w:val="0"/>
      <w:divBdr>
        <w:top w:val="none" w:sz="0" w:space="0" w:color="auto"/>
        <w:left w:val="none" w:sz="0" w:space="0" w:color="auto"/>
        <w:bottom w:val="none" w:sz="0" w:space="0" w:color="auto"/>
        <w:right w:val="none" w:sz="0" w:space="0" w:color="auto"/>
      </w:divBdr>
    </w:div>
    <w:div w:id="1646858023">
      <w:bodyDiv w:val="1"/>
      <w:marLeft w:val="0"/>
      <w:marRight w:val="0"/>
      <w:marTop w:val="0"/>
      <w:marBottom w:val="0"/>
      <w:divBdr>
        <w:top w:val="none" w:sz="0" w:space="0" w:color="auto"/>
        <w:left w:val="none" w:sz="0" w:space="0" w:color="auto"/>
        <w:bottom w:val="none" w:sz="0" w:space="0" w:color="auto"/>
        <w:right w:val="none" w:sz="0" w:space="0" w:color="auto"/>
      </w:divBdr>
    </w:div>
    <w:div w:id="1648513256">
      <w:bodyDiv w:val="1"/>
      <w:marLeft w:val="0"/>
      <w:marRight w:val="0"/>
      <w:marTop w:val="0"/>
      <w:marBottom w:val="0"/>
      <w:divBdr>
        <w:top w:val="none" w:sz="0" w:space="0" w:color="auto"/>
        <w:left w:val="none" w:sz="0" w:space="0" w:color="auto"/>
        <w:bottom w:val="none" w:sz="0" w:space="0" w:color="auto"/>
        <w:right w:val="none" w:sz="0" w:space="0" w:color="auto"/>
      </w:divBdr>
    </w:div>
    <w:div w:id="1648823444">
      <w:bodyDiv w:val="1"/>
      <w:marLeft w:val="0"/>
      <w:marRight w:val="0"/>
      <w:marTop w:val="0"/>
      <w:marBottom w:val="0"/>
      <w:divBdr>
        <w:top w:val="none" w:sz="0" w:space="0" w:color="auto"/>
        <w:left w:val="none" w:sz="0" w:space="0" w:color="auto"/>
        <w:bottom w:val="none" w:sz="0" w:space="0" w:color="auto"/>
        <w:right w:val="none" w:sz="0" w:space="0" w:color="auto"/>
      </w:divBdr>
    </w:div>
    <w:div w:id="1649743739">
      <w:bodyDiv w:val="1"/>
      <w:marLeft w:val="0"/>
      <w:marRight w:val="0"/>
      <w:marTop w:val="0"/>
      <w:marBottom w:val="0"/>
      <w:divBdr>
        <w:top w:val="none" w:sz="0" w:space="0" w:color="auto"/>
        <w:left w:val="none" w:sz="0" w:space="0" w:color="auto"/>
        <w:bottom w:val="none" w:sz="0" w:space="0" w:color="auto"/>
        <w:right w:val="none" w:sz="0" w:space="0" w:color="auto"/>
      </w:divBdr>
    </w:div>
    <w:div w:id="1650938103">
      <w:bodyDiv w:val="1"/>
      <w:marLeft w:val="0"/>
      <w:marRight w:val="0"/>
      <w:marTop w:val="0"/>
      <w:marBottom w:val="0"/>
      <w:divBdr>
        <w:top w:val="none" w:sz="0" w:space="0" w:color="auto"/>
        <w:left w:val="none" w:sz="0" w:space="0" w:color="auto"/>
        <w:bottom w:val="none" w:sz="0" w:space="0" w:color="auto"/>
        <w:right w:val="none" w:sz="0" w:space="0" w:color="auto"/>
      </w:divBdr>
    </w:div>
    <w:div w:id="1651254918">
      <w:bodyDiv w:val="1"/>
      <w:marLeft w:val="0"/>
      <w:marRight w:val="0"/>
      <w:marTop w:val="0"/>
      <w:marBottom w:val="0"/>
      <w:divBdr>
        <w:top w:val="none" w:sz="0" w:space="0" w:color="auto"/>
        <w:left w:val="none" w:sz="0" w:space="0" w:color="auto"/>
        <w:bottom w:val="none" w:sz="0" w:space="0" w:color="auto"/>
        <w:right w:val="none" w:sz="0" w:space="0" w:color="auto"/>
      </w:divBdr>
    </w:div>
    <w:div w:id="1651399768">
      <w:bodyDiv w:val="1"/>
      <w:marLeft w:val="0"/>
      <w:marRight w:val="0"/>
      <w:marTop w:val="0"/>
      <w:marBottom w:val="0"/>
      <w:divBdr>
        <w:top w:val="none" w:sz="0" w:space="0" w:color="auto"/>
        <w:left w:val="none" w:sz="0" w:space="0" w:color="auto"/>
        <w:bottom w:val="none" w:sz="0" w:space="0" w:color="auto"/>
        <w:right w:val="none" w:sz="0" w:space="0" w:color="auto"/>
      </w:divBdr>
    </w:div>
    <w:div w:id="1651443164">
      <w:bodyDiv w:val="1"/>
      <w:marLeft w:val="0"/>
      <w:marRight w:val="0"/>
      <w:marTop w:val="0"/>
      <w:marBottom w:val="0"/>
      <w:divBdr>
        <w:top w:val="none" w:sz="0" w:space="0" w:color="auto"/>
        <w:left w:val="none" w:sz="0" w:space="0" w:color="auto"/>
        <w:bottom w:val="none" w:sz="0" w:space="0" w:color="auto"/>
        <w:right w:val="none" w:sz="0" w:space="0" w:color="auto"/>
      </w:divBdr>
    </w:div>
    <w:div w:id="1651713560">
      <w:bodyDiv w:val="1"/>
      <w:marLeft w:val="0"/>
      <w:marRight w:val="0"/>
      <w:marTop w:val="0"/>
      <w:marBottom w:val="0"/>
      <w:divBdr>
        <w:top w:val="none" w:sz="0" w:space="0" w:color="auto"/>
        <w:left w:val="none" w:sz="0" w:space="0" w:color="auto"/>
        <w:bottom w:val="none" w:sz="0" w:space="0" w:color="auto"/>
        <w:right w:val="none" w:sz="0" w:space="0" w:color="auto"/>
      </w:divBdr>
    </w:div>
    <w:div w:id="1652293831">
      <w:bodyDiv w:val="1"/>
      <w:marLeft w:val="0"/>
      <w:marRight w:val="0"/>
      <w:marTop w:val="0"/>
      <w:marBottom w:val="0"/>
      <w:divBdr>
        <w:top w:val="none" w:sz="0" w:space="0" w:color="auto"/>
        <w:left w:val="none" w:sz="0" w:space="0" w:color="auto"/>
        <w:bottom w:val="none" w:sz="0" w:space="0" w:color="auto"/>
        <w:right w:val="none" w:sz="0" w:space="0" w:color="auto"/>
      </w:divBdr>
    </w:div>
    <w:div w:id="1652364234">
      <w:bodyDiv w:val="1"/>
      <w:marLeft w:val="0"/>
      <w:marRight w:val="0"/>
      <w:marTop w:val="0"/>
      <w:marBottom w:val="0"/>
      <w:divBdr>
        <w:top w:val="none" w:sz="0" w:space="0" w:color="auto"/>
        <w:left w:val="none" w:sz="0" w:space="0" w:color="auto"/>
        <w:bottom w:val="none" w:sz="0" w:space="0" w:color="auto"/>
        <w:right w:val="none" w:sz="0" w:space="0" w:color="auto"/>
      </w:divBdr>
    </w:div>
    <w:div w:id="1652522402">
      <w:bodyDiv w:val="1"/>
      <w:marLeft w:val="0"/>
      <w:marRight w:val="0"/>
      <w:marTop w:val="0"/>
      <w:marBottom w:val="0"/>
      <w:divBdr>
        <w:top w:val="none" w:sz="0" w:space="0" w:color="auto"/>
        <w:left w:val="none" w:sz="0" w:space="0" w:color="auto"/>
        <w:bottom w:val="none" w:sz="0" w:space="0" w:color="auto"/>
        <w:right w:val="none" w:sz="0" w:space="0" w:color="auto"/>
      </w:divBdr>
    </w:div>
    <w:div w:id="1652638695">
      <w:bodyDiv w:val="1"/>
      <w:marLeft w:val="0"/>
      <w:marRight w:val="0"/>
      <w:marTop w:val="0"/>
      <w:marBottom w:val="0"/>
      <w:divBdr>
        <w:top w:val="none" w:sz="0" w:space="0" w:color="auto"/>
        <w:left w:val="none" w:sz="0" w:space="0" w:color="auto"/>
        <w:bottom w:val="none" w:sz="0" w:space="0" w:color="auto"/>
        <w:right w:val="none" w:sz="0" w:space="0" w:color="auto"/>
      </w:divBdr>
    </w:div>
    <w:div w:id="1652949258">
      <w:bodyDiv w:val="1"/>
      <w:marLeft w:val="0"/>
      <w:marRight w:val="0"/>
      <w:marTop w:val="0"/>
      <w:marBottom w:val="0"/>
      <w:divBdr>
        <w:top w:val="none" w:sz="0" w:space="0" w:color="auto"/>
        <w:left w:val="none" w:sz="0" w:space="0" w:color="auto"/>
        <w:bottom w:val="none" w:sz="0" w:space="0" w:color="auto"/>
        <w:right w:val="none" w:sz="0" w:space="0" w:color="auto"/>
      </w:divBdr>
    </w:div>
    <w:div w:id="1652978115">
      <w:bodyDiv w:val="1"/>
      <w:marLeft w:val="0"/>
      <w:marRight w:val="0"/>
      <w:marTop w:val="0"/>
      <w:marBottom w:val="0"/>
      <w:divBdr>
        <w:top w:val="none" w:sz="0" w:space="0" w:color="auto"/>
        <w:left w:val="none" w:sz="0" w:space="0" w:color="auto"/>
        <w:bottom w:val="none" w:sz="0" w:space="0" w:color="auto"/>
        <w:right w:val="none" w:sz="0" w:space="0" w:color="auto"/>
      </w:divBdr>
    </w:div>
    <w:div w:id="1653607609">
      <w:bodyDiv w:val="1"/>
      <w:marLeft w:val="0"/>
      <w:marRight w:val="0"/>
      <w:marTop w:val="0"/>
      <w:marBottom w:val="0"/>
      <w:divBdr>
        <w:top w:val="none" w:sz="0" w:space="0" w:color="auto"/>
        <w:left w:val="none" w:sz="0" w:space="0" w:color="auto"/>
        <w:bottom w:val="none" w:sz="0" w:space="0" w:color="auto"/>
        <w:right w:val="none" w:sz="0" w:space="0" w:color="auto"/>
      </w:divBdr>
    </w:div>
    <w:div w:id="1654092791">
      <w:bodyDiv w:val="1"/>
      <w:marLeft w:val="0"/>
      <w:marRight w:val="0"/>
      <w:marTop w:val="0"/>
      <w:marBottom w:val="0"/>
      <w:divBdr>
        <w:top w:val="none" w:sz="0" w:space="0" w:color="auto"/>
        <w:left w:val="none" w:sz="0" w:space="0" w:color="auto"/>
        <w:bottom w:val="none" w:sz="0" w:space="0" w:color="auto"/>
        <w:right w:val="none" w:sz="0" w:space="0" w:color="auto"/>
      </w:divBdr>
    </w:div>
    <w:div w:id="1654286248">
      <w:bodyDiv w:val="1"/>
      <w:marLeft w:val="0"/>
      <w:marRight w:val="0"/>
      <w:marTop w:val="0"/>
      <w:marBottom w:val="0"/>
      <w:divBdr>
        <w:top w:val="none" w:sz="0" w:space="0" w:color="auto"/>
        <w:left w:val="none" w:sz="0" w:space="0" w:color="auto"/>
        <w:bottom w:val="none" w:sz="0" w:space="0" w:color="auto"/>
        <w:right w:val="none" w:sz="0" w:space="0" w:color="auto"/>
      </w:divBdr>
    </w:div>
    <w:div w:id="1655332233">
      <w:bodyDiv w:val="1"/>
      <w:marLeft w:val="0"/>
      <w:marRight w:val="0"/>
      <w:marTop w:val="0"/>
      <w:marBottom w:val="0"/>
      <w:divBdr>
        <w:top w:val="none" w:sz="0" w:space="0" w:color="auto"/>
        <w:left w:val="none" w:sz="0" w:space="0" w:color="auto"/>
        <w:bottom w:val="none" w:sz="0" w:space="0" w:color="auto"/>
        <w:right w:val="none" w:sz="0" w:space="0" w:color="auto"/>
      </w:divBdr>
    </w:div>
    <w:div w:id="1655983282">
      <w:bodyDiv w:val="1"/>
      <w:marLeft w:val="0"/>
      <w:marRight w:val="0"/>
      <w:marTop w:val="0"/>
      <w:marBottom w:val="0"/>
      <w:divBdr>
        <w:top w:val="none" w:sz="0" w:space="0" w:color="auto"/>
        <w:left w:val="none" w:sz="0" w:space="0" w:color="auto"/>
        <w:bottom w:val="none" w:sz="0" w:space="0" w:color="auto"/>
        <w:right w:val="none" w:sz="0" w:space="0" w:color="auto"/>
      </w:divBdr>
    </w:div>
    <w:div w:id="1655989486">
      <w:bodyDiv w:val="1"/>
      <w:marLeft w:val="0"/>
      <w:marRight w:val="0"/>
      <w:marTop w:val="0"/>
      <w:marBottom w:val="0"/>
      <w:divBdr>
        <w:top w:val="none" w:sz="0" w:space="0" w:color="auto"/>
        <w:left w:val="none" w:sz="0" w:space="0" w:color="auto"/>
        <w:bottom w:val="none" w:sz="0" w:space="0" w:color="auto"/>
        <w:right w:val="none" w:sz="0" w:space="0" w:color="auto"/>
      </w:divBdr>
    </w:div>
    <w:div w:id="1656912313">
      <w:bodyDiv w:val="1"/>
      <w:marLeft w:val="0"/>
      <w:marRight w:val="0"/>
      <w:marTop w:val="0"/>
      <w:marBottom w:val="0"/>
      <w:divBdr>
        <w:top w:val="none" w:sz="0" w:space="0" w:color="auto"/>
        <w:left w:val="none" w:sz="0" w:space="0" w:color="auto"/>
        <w:bottom w:val="none" w:sz="0" w:space="0" w:color="auto"/>
        <w:right w:val="none" w:sz="0" w:space="0" w:color="auto"/>
      </w:divBdr>
    </w:div>
    <w:div w:id="1657372493">
      <w:bodyDiv w:val="1"/>
      <w:marLeft w:val="0"/>
      <w:marRight w:val="0"/>
      <w:marTop w:val="0"/>
      <w:marBottom w:val="0"/>
      <w:divBdr>
        <w:top w:val="none" w:sz="0" w:space="0" w:color="auto"/>
        <w:left w:val="none" w:sz="0" w:space="0" w:color="auto"/>
        <w:bottom w:val="none" w:sz="0" w:space="0" w:color="auto"/>
        <w:right w:val="none" w:sz="0" w:space="0" w:color="auto"/>
      </w:divBdr>
    </w:div>
    <w:div w:id="1657880780">
      <w:bodyDiv w:val="1"/>
      <w:marLeft w:val="0"/>
      <w:marRight w:val="0"/>
      <w:marTop w:val="0"/>
      <w:marBottom w:val="0"/>
      <w:divBdr>
        <w:top w:val="none" w:sz="0" w:space="0" w:color="auto"/>
        <w:left w:val="none" w:sz="0" w:space="0" w:color="auto"/>
        <w:bottom w:val="none" w:sz="0" w:space="0" w:color="auto"/>
        <w:right w:val="none" w:sz="0" w:space="0" w:color="auto"/>
      </w:divBdr>
    </w:div>
    <w:div w:id="1658339757">
      <w:bodyDiv w:val="1"/>
      <w:marLeft w:val="0"/>
      <w:marRight w:val="0"/>
      <w:marTop w:val="0"/>
      <w:marBottom w:val="0"/>
      <w:divBdr>
        <w:top w:val="none" w:sz="0" w:space="0" w:color="auto"/>
        <w:left w:val="none" w:sz="0" w:space="0" w:color="auto"/>
        <w:bottom w:val="none" w:sz="0" w:space="0" w:color="auto"/>
        <w:right w:val="none" w:sz="0" w:space="0" w:color="auto"/>
      </w:divBdr>
    </w:div>
    <w:div w:id="1661226115">
      <w:bodyDiv w:val="1"/>
      <w:marLeft w:val="0"/>
      <w:marRight w:val="0"/>
      <w:marTop w:val="0"/>
      <w:marBottom w:val="0"/>
      <w:divBdr>
        <w:top w:val="none" w:sz="0" w:space="0" w:color="auto"/>
        <w:left w:val="none" w:sz="0" w:space="0" w:color="auto"/>
        <w:bottom w:val="none" w:sz="0" w:space="0" w:color="auto"/>
        <w:right w:val="none" w:sz="0" w:space="0" w:color="auto"/>
      </w:divBdr>
    </w:div>
    <w:div w:id="1661228670">
      <w:bodyDiv w:val="1"/>
      <w:marLeft w:val="0"/>
      <w:marRight w:val="0"/>
      <w:marTop w:val="0"/>
      <w:marBottom w:val="0"/>
      <w:divBdr>
        <w:top w:val="none" w:sz="0" w:space="0" w:color="auto"/>
        <w:left w:val="none" w:sz="0" w:space="0" w:color="auto"/>
        <w:bottom w:val="none" w:sz="0" w:space="0" w:color="auto"/>
        <w:right w:val="none" w:sz="0" w:space="0" w:color="auto"/>
      </w:divBdr>
    </w:div>
    <w:div w:id="1661887778">
      <w:bodyDiv w:val="1"/>
      <w:marLeft w:val="0"/>
      <w:marRight w:val="0"/>
      <w:marTop w:val="0"/>
      <w:marBottom w:val="0"/>
      <w:divBdr>
        <w:top w:val="none" w:sz="0" w:space="0" w:color="auto"/>
        <w:left w:val="none" w:sz="0" w:space="0" w:color="auto"/>
        <w:bottom w:val="none" w:sz="0" w:space="0" w:color="auto"/>
        <w:right w:val="none" w:sz="0" w:space="0" w:color="auto"/>
      </w:divBdr>
    </w:div>
    <w:div w:id="1662195254">
      <w:bodyDiv w:val="1"/>
      <w:marLeft w:val="0"/>
      <w:marRight w:val="0"/>
      <w:marTop w:val="0"/>
      <w:marBottom w:val="0"/>
      <w:divBdr>
        <w:top w:val="none" w:sz="0" w:space="0" w:color="auto"/>
        <w:left w:val="none" w:sz="0" w:space="0" w:color="auto"/>
        <w:bottom w:val="none" w:sz="0" w:space="0" w:color="auto"/>
        <w:right w:val="none" w:sz="0" w:space="0" w:color="auto"/>
      </w:divBdr>
    </w:div>
    <w:div w:id="1662543626">
      <w:bodyDiv w:val="1"/>
      <w:marLeft w:val="0"/>
      <w:marRight w:val="0"/>
      <w:marTop w:val="0"/>
      <w:marBottom w:val="0"/>
      <w:divBdr>
        <w:top w:val="none" w:sz="0" w:space="0" w:color="auto"/>
        <w:left w:val="none" w:sz="0" w:space="0" w:color="auto"/>
        <w:bottom w:val="none" w:sz="0" w:space="0" w:color="auto"/>
        <w:right w:val="none" w:sz="0" w:space="0" w:color="auto"/>
      </w:divBdr>
    </w:div>
    <w:div w:id="1663968328">
      <w:bodyDiv w:val="1"/>
      <w:marLeft w:val="0"/>
      <w:marRight w:val="0"/>
      <w:marTop w:val="0"/>
      <w:marBottom w:val="0"/>
      <w:divBdr>
        <w:top w:val="none" w:sz="0" w:space="0" w:color="auto"/>
        <w:left w:val="none" w:sz="0" w:space="0" w:color="auto"/>
        <w:bottom w:val="none" w:sz="0" w:space="0" w:color="auto"/>
        <w:right w:val="none" w:sz="0" w:space="0" w:color="auto"/>
      </w:divBdr>
    </w:div>
    <w:div w:id="1664166383">
      <w:bodyDiv w:val="1"/>
      <w:marLeft w:val="0"/>
      <w:marRight w:val="0"/>
      <w:marTop w:val="0"/>
      <w:marBottom w:val="0"/>
      <w:divBdr>
        <w:top w:val="none" w:sz="0" w:space="0" w:color="auto"/>
        <w:left w:val="none" w:sz="0" w:space="0" w:color="auto"/>
        <w:bottom w:val="none" w:sz="0" w:space="0" w:color="auto"/>
        <w:right w:val="none" w:sz="0" w:space="0" w:color="auto"/>
      </w:divBdr>
    </w:div>
    <w:div w:id="1666283737">
      <w:bodyDiv w:val="1"/>
      <w:marLeft w:val="0"/>
      <w:marRight w:val="0"/>
      <w:marTop w:val="0"/>
      <w:marBottom w:val="0"/>
      <w:divBdr>
        <w:top w:val="none" w:sz="0" w:space="0" w:color="auto"/>
        <w:left w:val="none" w:sz="0" w:space="0" w:color="auto"/>
        <w:bottom w:val="none" w:sz="0" w:space="0" w:color="auto"/>
        <w:right w:val="none" w:sz="0" w:space="0" w:color="auto"/>
      </w:divBdr>
    </w:div>
    <w:div w:id="1666665731">
      <w:bodyDiv w:val="1"/>
      <w:marLeft w:val="0"/>
      <w:marRight w:val="0"/>
      <w:marTop w:val="0"/>
      <w:marBottom w:val="0"/>
      <w:divBdr>
        <w:top w:val="none" w:sz="0" w:space="0" w:color="auto"/>
        <w:left w:val="none" w:sz="0" w:space="0" w:color="auto"/>
        <w:bottom w:val="none" w:sz="0" w:space="0" w:color="auto"/>
        <w:right w:val="none" w:sz="0" w:space="0" w:color="auto"/>
      </w:divBdr>
    </w:div>
    <w:div w:id="1666668807">
      <w:bodyDiv w:val="1"/>
      <w:marLeft w:val="0"/>
      <w:marRight w:val="0"/>
      <w:marTop w:val="0"/>
      <w:marBottom w:val="0"/>
      <w:divBdr>
        <w:top w:val="none" w:sz="0" w:space="0" w:color="auto"/>
        <w:left w:val="none" w:sz="0" w:space="0" w:color="auto"/>
        <w:bottom w:val="none" w:sz="0" w:space="0" w:color="auto"/>
        <w:right w:val="none" w:sz="0" w:space="0" w:color="auto"/>
      </w:divBdr>
    </w:div>
    <w:div w:id="1668288327">
      <w:bodyDiv w:val="1"/>
      <w:marLeft w:val="0"/>
      <w:marRight w:val="0"/>
      <w:marTop w:val="0"/>
      <w:marBottom w:val="0"/>
      <w:divBdr>
        <w:top w:val="none" w:sz="0" w:space="0" w:color="auto"/>
        <w:left w:val="none" w:sz="0" w:space="0" w:color="auto"/>
        <w:bottom w:val="none" w:sz="0" w:space="0" w:color="auto"/>
        <w:right w:val="none" w:sz="0" w:space="0" w:color="auto"/>
      </w:divBdr>
    </w:div>
    <w:div w:id="1668827974">
      <w:bodyDiv w:val="1"/>
      <w:marLeft w:val="0"/>
      <w:marRight w:val="0"/>
      <w:marTop w:val="0"/>
      <w:marBottom w:val="0"/>
      <w:divBdr>
        <w:top w:val="none" w:sz="0" w:space="0" w:color="auto"/>
        <w:left w:val="none" w:sz="0" w:space="0" w:color="auto"/>
        <w:bottom w:val="none" w:sz="0" w:space="0" w:color="auto"/>
        <w:right w:val="none" w:sz="0" w:space="0" w:color="auto"/>
      </w:divBdr>
    </w:div>
    <w:div w:id="1669137273">
      <w:bodyDiv w:val="1"/>
      <w:marLeft w:val="0"/>
      <w:marRight w:val="0"/>
      <w:marTop w:val="0"/>
      <w:marBottom w:val="0"/>
      <w:divBdr>
        <w:top w:val="none" w:sz="0" w:space="0" w:color="auto"/>
        <w:left w:val="none" w:sz="0" w:space="0" w:color="auto"/>
        <w:bottom w:val="none" w:sz="0" w:space="0" w:color="auto"/>
        <w:right w:val="none" w:sz="0" w:space="0" w:color="auto"/>
      </w:divBdr>
    </w:div>
    <w:div w:id="1670937392">
      <w:bodyDiv w:val="1"/>
      <w:marLeft w:val="0"/>
      <w:marRight w:val="0"/>
      <w:marTop w:val="0"/>
      <w:marBottom w:val="0"/>
      <w:divBdr>
        <w:top w:val="none" w:sz="0" w:space="0" w:color="auto"/>
        <w:left w:val="none" w:sz="0" w:space="0" w:color="auto"/>
        <w:bottom w:val="none" w:sz="0" w:space="0" w:color="auto"/>
        <w:right w:val="none" w:sz="0" w:space="0" w:color="auto"/>
      </w:divBdr>
    </w:div>
    <w:div w:id="1671130153">
      <w:bodyDiv w:val="1"/>
      <w:marLeft w:val="0"/>
      <w:marRight w:val="0"/>
      <w:marTop w:val="0"/>
      <w:marBottom w:val="0"/>
      <w:divBdr>
        <w:top w:val="none" w:sz="0" w:space="0" w:color="auto"/>
        <w:left w:val="none" w:sz="0" w:space="0" w:color="auto"/>
        <w:bottom w:val="none" w:sz="0" w:space="0" w:color="auto"/>
        <w:right w:val="none" w:sz="0" w:space="0" w:color="auto"/>
      </w:divBdr>
    </w:div>
    <w:div w:id="1671525208">
      <w:bodyDiv w:val="1"/>
      <w:marLeft w:val="0"/>
      <w:marRight w:val="0"/>
      <w:marTop w:val="0"/>
      <w:marBottom w:val="0"/>
      <w:divBdr>
        <w:top w:val="none" w:sz="0" w:space="0" w:color="auto"/>
        <w:left w:val="none" w:sz="0" w:space="0" w:color="auto"/>
        <w:bottom w:val="none" w:sz="0" w:space="0" w:color="auto"/>
        <w:right w:val="none" w:sz="0" w:space="0" w:color="auto"/>
      </w:divBdr>
    </w:div>
    <w:div w:id="1671634244">
      <w:bodyDiv w:val="1"/>
      <w:marLeft w:val="0"/>
      <w:marRight w:val="0"/>
      <w:marTop w:val="0"/>
      <w:marBottom w:val="0"/>
      <w:divBdr>
        <w:top w:val="none" w:sz="0" w:space="0" w:color="auto"/>
        <w:left w:val="none" w:sz="0" w:space="0" w:color="auto"/>
        <w:bottom w:val="none" w:sz="0" w:space="0" w:color="auto"/>
        <w:right w:val="none" w:sz="0" w:space="0" w:color="auto"/>
      </w:divBdr>
    </w:div>
    <w:div w:id="1671638910">
      <w:bodyDiv w:val="1"/>
      <w:marLeft w:val="0"/>
      <w:marRight w:val="0"/>
      <w:marTop w:val="0"/>
      <w:marBottom w:val="0"/>
      <w:divBdr>
        <w:top w:val="none" w:sz="0" w:space="0" w:color="auto"/>
        <w:left w:val="none" w:sz="0" w:space="0" w:color="auto"/>
        <w:bottom w:val="none" w:sz="0" w:space="0" w:color="auto"/>
        <w:right w:val="none" w:sz="0" w:space="0" w:color="auto"/>
      </w:divBdr>
    </w:div>
    <w:div w:id="1673290491">
      <w:bodyDiv w:val="1"/>
      <w:marLeft w:val="0"/>
      <w:marRight w:val="0"/>
      <w:marTop w:val="0"/>
      <w:marBottom w:val="0"/>
      <w:divBdr>
        <w:top w:val="none" w:sz="0" w:space="0" w:color="auto"/>
        <w:left w:val="none" w:sz="0" w:space="0" w:color="auto"/>
        <w:bottom w:val="none" w:sz="0" w:space="0" w:color="auto"/>
        <w:right w:val="none" w:sz="0" w:space="0" w:color="auto"/>
      </w:divBdr>
    </w:div>
    <w:div w:id="1675188014">
      <w:bodyDiv w:val="1"/>
      <w:marLeft w:val="0"/>
      <w:marRight w:val="0"/>
      <w:marTop w:val="0"/>
      <w:marBottom w:val="0"/>
      <w:divBdr>
        <w:top w:val="none" w:sz="0" w:space="0" w:color="auto"/>
        <w:left w:val="none" w:sz="0" w:space="0" w:color="auto"/>
        <w:bottom w:val="none" w:sz="0" w:space="0" w:color="auto"/>
        <w:right w:val="none" w:sz="0" w:space="0" w:color="auto"/>
      </w:divBdr>
    </w:div>
    <w:div w:id="1675648994">
      <w:bodyDiv w:val="1"/>
      <w:marLeft w:val="0"/>
      <w:marRight w:val="0"/>
      <w:marTop w:val="0"/>
      <w:marBottom w:val="0"/>
      <w:divBdr>
        <w:top w:val="none" w:sz="0" w:space="0" w:color="auto"/>
        <w:left w:val="none" w:sz="0" w:space="0" w:color="auto"/>
        <w:bottom w:val="none" w:sz="0" w:space="0" w:color="auto"/>
        <w:right w:val="none" w:sz="0" w:space="0" w:color="auto"/>
      </w:divBdr>
    </w:div>
    <w:div w:id="1675837557">
      <w:bodyDiv w:val="1"/>
      <w:marLeft w:val="0"/>
      <w:marRight w:val="0"/>
      <w:marTop w:val="0"/>
      <w:marBottom w:val="0"/>
      <w:divBdr>
        <w:top w:val="none" w:sz="0" w:space="0" w:color="auto"/>
        <w:left w:val="none" w:sz="0" w:space="0" w:color="auto"/>
        <w:bottom w:val="none" w:sz="0" w:space="0" w:color="auto"/>
        <w:right w:val="none" w:sz="0" w:space="0" w:color="auto"/>
      </w:divBdr>
    </w:div>
    <w:div w:id="1675914940">
      <w:bodyDiv w:val="1"/>
      <w:marLeft w:val="0"/>
      <w:marRight w:val="0"/>
      <w:marTop w:val="0"/>
      <w:marBottom w:val="0"/>
      <w:divBdr>
        <w:top w:val="none" w:sz="0" w:space="0" w:color="auto"/>
        <w:left w:val="none" w:sz="0" w:space="0" w:color="auto"/>
        <w:bottom w:val="none" w:sz="0" w:space="0" w:color="auto"/>
        <w:right w:val="none" w:sz="0" w:space="0" w:color="auto"/>
      </w:divBdr>
    </w:div>
    <w:div w:id="1676154871">
      <w:bodyDiv w:val="1"/>
      <w:marLeft w:val="0"/>
      <w:marRight w:val="0"/>
      <w:marTop w:val="0"/>
      <w:marBottom w:val="0"/>
      <w:divBdr>
        <w:top w:val="none" w:sz="0" w:space="0" w:color="auto"/>
        <w:left w:val="none" w:sz="0" w:space="0" w:color="auto"/>
        <w:bottom w:val="none" w:sz="0" w:space="0" w:color="auto"/>
        <w:right w:val="none" w:sz="0" w:space="0" w:color="auto"/>
      </w:divBdr>
    </w:div>
    <w:div w:id="1677419288">
      <w:bodyDiv w:val="1"/>
      <w:marLeft w:val="0"/>
      <w:marRight w:val="0"/>
      <w:marTop w:val="0"/>
      <w:marBottom w:val="0"/>
      <w:divBdr>
        <w:top w:val="none" w:sz="0" w:space="0" w:color="auto"/>
        <w:left w:val="none" w:sz="0" w:space="0" w:color="auto"/>
        <w:bottom w:val="none" w:sz="0" w:space="0" w:color="auto"/>
        <w:right w:val="none" w:sz="0" w:space="0" w:color="auto"/>
      </w:divBdr>
    </w:div>
    <w:div w:id="1678116944">
      <w:bodyDiv w:val="1"/>
      <w:marLeft w:val="0"/>
      <w:marRight w:val="0"/>
      <w:marTop w:val="0"/>
      <w:marBottom w:val="0"/>
      <w:divBdr>
        <w:top w:val="none" w:sz="0" w:space="0" w:color="auto"/>
        <w:left w:val="none" w:sz="0" w:space="0" w:color="auto"/>
        <w:bottom w:val="none" w:sz="0" w:space="0" w:color="auto"/>
        <w:right w:val="none" w:sz="0" w:space="0" w:color="auto"/>
      </w:divBdr>
    </w:div>
    <w:div w:id="1678459684">
      <w:bodyDiv w:val="1"/>
      <w:marLeft w:val="0"/>
      <w:marRight w:val="0"/>
      <w:marTop w:val="0"/>
      <w:marBottom w:val="0"/>
      <w:divBdr>
        <w:top w:val="none" w:sz="0" w:space="0" w:color="auto"/>
        <w:left w:val="none" w:sz="0" w:space="0" w:color="auto"/>
        <w:bottom w:val="none" w:sz="0" w:space="0" w:color="auto"/>
        <w:right w:val="none" w:sz="0" w:space="0" w:color="auto"/>
      </w:divBdr>
    </w:div>
    <w:div w:id="1679038030">
      <w:bodyDiv w:val="1"/>
      <w:marLeft w:val="0"/>
      <w:marRight w:val="0"/>
      <w:marTop w:val="0"/>
      <w:marBottom w:val="0"/>
      <w:divBdr>
        <w:top w:val="none" w:sz="0" w:space="0" w:color="auto"/>
        <w:left w:val="none" w:sz="0" w:space="0" w:color="auto"/>
        <w:bottom w:val="none" w:sz="0" w:space="0" w:color="auto"/>
        <w:right w:val="none" w:sz="0" w:space="0" w:color="auto"/>
      </w:divBdr>
    </w:div>
    <w:div w:id="1679386512">
      <w:bodyDiv w:val="1"/>
      <w:marLeft w:val="0"/>
      <w:marRight w:val="0"/>
      <w:marTop w:val="0"/>
      <w:marBottom w:val="0"/>
      <w:divBdr>
        <w:top w:val="none" w:sz="0" w:space="0" w:color="auto"/>
        <w:left w:val="none" w:sz="0" w:space="0" w:color="auto"/>
        <w:bottom w:val="none" w:sz="0" w:space="0" w:color="auto"/>
        <w:right w:val="none" w:sz="0" w:space="0" w:color="auto"/>
      </w:divBdr>
    </w:div>
    <w:div w:id="1679498217">
      <w:bodyDiv w:val="1"/>
      <w:marLeft w:val="0"/>
      <w:marRight w:val="0"/>
      <w:marTop w:val="0"/>
      <w:marBottom w:val="0"/>
      <w:divBdr>
        <w:top w:val="none" w:sz="0" w:space="0" w:color="auto"/>
        <w:left w:val="none" w:sz="0" w:space="0" w:color="auto"/>
        <w:bottom w:val="none" w:sz="0" w:space="0" w:color="auto"/>
        <w:right w:val="none" w:sz="0" w:space="0" w:color="auto"/>
      </w:divBdr>
    </w:div>
    <w:div w:id="1679499981">
      <w:bodyDiv w:val="1"/>
      <w:marLeft w:val="0"/>
      <w:marRight w:val="0"/>
      <w:marTop w:val="0"/>
      <w:marBottom w:val="0"/>
      <w:divBdr>
        <w:top w:val="none" w:sz="0" w:space="0" w:color="auto"/>
        <w:left w:val="none" w:sz="0" w:space="0" w:color="auto"/>
        <w:bottom w:val="none" w:sz="0" w:space="0" w:color="auto"/>
        <w:right w:val="none" w:sz="0" w:space="0" w:color="auto"/>
      </w:divBdr>
    </w:div>
    <w:div w:id="1680695950">
      <w:bodyDiv w:val="1"/>
      <w:marLeft w:val="0"/>
      <w:marRight w:val="0"/>
      <w:marTop w:val="0"/>
      <w:marBottom w:val="0"/>
      <w:divBdr>
        <w:top w:val="none" w:sz="0" w:space="0" w:color="auto"/>
        <w:left w:val="none" w:sz="0" w:space="0" w:color="auto"/>
        <w:bottom w:val="none" w:sz="0" w:space="0" w:color="auto"/>
        <w:right w:val="none" w:sz="0" w:space="0" w:color="auto"/>
      </w:divBdr>
    </w:div>
    <w:div w:id="1680933034">
      <w:bodyDiv w:val="1"/>
      <w:marLeft w:val="0"/>
      <w:marRight w:val="0"/>
      <w:marTop w:val="0"/>
      <w:marBottom w:val="0"/>
      <w:divBdr>
        <w:top w:val="none" w:sz="0" w:space="0" w:color="auto"/>
        <w:left w:val="none" w:sz="0" w:space="0" w:color="auto"/>
        <w:bottom w:val="none" w:sz="0" w:space="0" w:color="auto"/>
        <w:right w:val="none" w:sz="0" w:space="0" w:color="auto"/>
      </w:divBdr>
    </w:div>
    <w:div w:id="1681197671">
      <w:bodyDiv w:val="1"/>
      <w:marLeft w:val="0"/>
      <w:marRight w:val="0"/>
      <w:marTop w:val="0"/>
      <w:marBottom w:val="0"/>
      <w:divBdr>
        <w:top w:val="none" w:sz="0" w:space="0" w:color="auto"/>
        <w:left w:val="none" w:sz="0" w:space="0" w:color="auto"/>
        <w:bottom w:val="none" w:sz="0" w:space="0" w:color="auto"/>
        <w:right w:val="none" w:sz="0" w:space="0" w:color="auto"/>
      </w:divBdr>
    </w:div>
    <w:div w:id="1682077619">
      <w:bodyDiv w:val="1"/>
      <w:marLeft w:val="0"/>
      <w:marRight w:val="0"/>
      <w:marTop w:val="0"/>
      <w:marBottom w:val="0"/>
      <w:divBdr>
        <w:top w:val="none" w:sz="0" w:space="0" w:color="auto"/>
        <w:left w:val="none" w:sz="0" w:space="0" w:color="auto"/>
        <w:bottom w:val="none" w:sz="0" w:space="0" w:color="auto"/>
        <w:right w:val="none" w:sz="0" w:space="0" w:color="auto"/>
      </w:divBdr>
    </w:div>
    <w:div w:id="1682707740">
      <w:bodyDiv w:val="1"/>
      <w:marLeft w:val="0"/>
      <w:marRight w:val="0"/>
      <w:marTop w:val="0"/>
      <w:marBottom w:val="0"/>
      <w:divBdr>
        <w:top w:val="none" w:sz="0" w:space="0" w:color="auto"/>
        <w:left w:val="none" w:sz="0" w:space="0" w:color="auto"/>
        <w:bottom w:val="none" w:sz="0" w:space="0" w:color="auto"/>
        <w:right w:val="none" w:sz="0" w:space="0" w:color="auto"/>
      </w:divBdr>
    </w:div>
    <w:div w:id="1682732710">
      <w:bodyDiv w:val="1"/>
      <w:marLeft w:val="0"/>
      <w:marRight w:val="0"/>
      <w:marTop w:val="0"/>
      <w:marBottom w:val="0"/>
      <w:divBdr>
        <w:top w:val="none" w:sz="0" w:space="0" w:color="auto"/>
        <w:left w:val="none" w:sz="0" w:space="0" w:color="auto"/>
        <w:bottom w:val="none" w:sz="0" w:space="0" w:color="auto"/>
        <w:right w:val="none" w:sz="0" w:space="0" w:color="auto"/>
      </w:divBdr>
    </w:div>
    <w:div w:id="1685132363">
      <w:bodyDiv w:val="1"/>
      <w:marLeft w:val="0"/>
      <w:marRight w:val="0"/>
      <w:marTop w:val="0"/>
      <w:marBottom w:val="0"/>
      <w:divBdr>
        <w:top w:val="none" w:sz="0" w:space="0" w:color="auto"/>
        <w:left w:val="none" w:sz="0" w:space="0" w:color="auto"/>
        <w:bottom w:val="none" w:sz="0" w:space="0" w:color="auto"/>
        <w:right w:val="none" w:sz="0" w:space="0" w:color="auto"/>
      </w:divBdr>
    </w:div>
    <w:div w:id="1685789116">
      <w:bodyDiv w:val="1"/>
      <w:marLeft w:val="0"/>
      <w:marRight w:val="0"/>
      <w:marTop w:val="0"/>
      <w:marBottom w:val="0"/>
      <w:divBdr>
        <w:top w:val="none" w:sz="0" w:space="0" w:color="auto"/>
        <w:left w:val="none" w:sz="0" w:space="0" w:color="auto"/>
        <w:bottom w:val="none" w:sz="0" w:space="0" w:color="auto"/>
        <w:right w:val="none" w:sz="0" w:space="0" w:color="auto"/>
      </w:divBdr>
    </w:div>
    <w:div w:id="1688484741">
      <w:bodyDiv w:val="1"/>
      <w:marLeft w:val="0"/>
      <w:marRight w:val="0"/>
      <w:marTop w:val="0"/>
      <w:marBottom w:val="0"/>
      <w:divBdr>
        <w:top w:val="none" w:sz="0" w:space="0" w:color="auto"/>
        <w:left w:val="none" w:sz="0" w:space="0" w:color="auto"/>
        <w:bottom w:val="none" w:sz="0" w:space="0" w:color="auto"/>
        <w:right w:val="none" w:sz="0" w:space="0" w:color="auto"/>
      </w:divBdr>
    </w:div>
    <w:div w:id="1688602971">
      <w:bodyDiv w:val="1"/>
      <w:marLeft w:val="0"/>
      <w:marRight w:val="0"/>
      <w:marTop w:val="0"/>
      <w:marBottom w:val="0"/>
      <w:divBdr>
        <w:top w:val="none" w:sz="0" w:space="0" w:color="auto"/>
        <w:left w:val="none" w:sz="0" w:space="0" w:color="auto"/>
        <w:bottom w:val="none" w:sz="0" w:space="0" w:color="auto"/>
        <w:right w:val="none" w:sz="0" w:space="0" w:color="auto"/>
      </w:divBdr>
    </w:div>
    <w:div w:id="1688824650">
      <w:bodyDiv w:val="1"/>
      <w:marLeft w:val="0"/>
      <w:marRight w:val="0"/>
      <w:marTop w:val="0"/>
      <w:marBottom w:val="0"/>
      <w:divBdr>
        <w:top w:val="none" w:sz="0" w:space="0" w:color="auto"/>
        <w:left w:val="none" w:sz="0" w:space="0" w:color="auto"/>
        <w:bottom w:val="none" w:sz="0" w:space="0" w:color="auto"/>
        <w:right w:val="none" w:sz="0" w:space="0" w:color="auto"/>
      </w:divBdr>
    </w:div>
    <w:div w:id="1689403861">
      <w:bodyDiv w:val="1"/>
      <w:marLeft w:val="0"/>
      <w:marRight w:val="0"/>
      <w:marTop w:val="0"/>
      <w:marBottom w:val="0"/>
      <w:divBdr>
        <w:top w:val="none" w:sz="0" w:space="0" w:color="auto"/>
        <w:left w:val="none" w:sz="0" w:space="0" w:color="auto"/>
        <w:bottom w:val="none" w:sz="0" w:space="0" w:color="auto"/>
        <w:right w:val="none" w:sz="0" w:space="0" w:color="auto"/>
      </w:divBdr>
    </w:div>
    <w:div w:id="1690645847">
      <w:bodyDiv w:val="1"/>
      <w:marLeft w:val="0"/>
      <w:marRight w:val="0"/>
      <w:marTop w:val="0"/>
      <w:marBottom w:val="0"/>
      <w:divBdr>
        <w:top w:val="none" w:sz="0" w:space="0" w:color="auto"/>
        <w:left w:val="none" w:sz="0" w:space="0" w:color="auto"/>
        <w:bottom w:val="none" w:sz="0" w:space="0" w:color="auto"/>
        <w:right w:val="none" w:sz="0" w:space="0" w:color="auto"/>
      </w:divBdr>
    </w:div>
    <w:div w:id="1691760945">
      <w:bodyDiv w:val="1"/>
      <w:marLeft w:val="0"/>
      <w:marRight w:val="0"/>
      <w:marTop w:val="0"/>
      <w:marBottom w:val="0"/>
      <w:divBdr>
        <w:top w:val="none" w:sz="0" w:space="0" w:color="auto"/>
        <w:left w:val="none" w:sz="0" w:space="0" w:color="auto"/>
        <w:bottom w:val="none" w:sz="0" w:space="0" w:color="auto"/>
        <w:right w:val="none" w:sz="0" w:space="0" w:color="auto"/>
      </w:divBdr>
    </w:div>
    <w:div w:id="1692417953">
      <w:bodyDiv w:val="1"/>
      <w:marLeft w:val="0"/>
      <w:marRight w:val="0"/>
      <w:marTop w:val="0"/>
      <w:marBottom w:val="0"/>
      <w:divBdr>
        <w:top w:val="none" w:sz="0" w:space="0" w:color="auto"/>
        <w:left w:val="none" w:sz="0" w:space="0" w:color="auto"/>
        <w:bottom w:val="none" w:sz="0" w:space="0" w:color="auto"/>
        <w:right w:val="none" w:sz="0" w:space="0" w:color="auto"/>
      </w:divBdr>
    </w:div>
    <w:div w:id="1692754815">
      <w:bodyDiv w:val="1"/>
      <w:marLeft w:val="0"/>
      <w:marRight w:val="0"/>
      <w:marTop w:val="0"/>
      <w:marBottom w:val="0"/>
      <w:divBdr>
        <w:top w:val="none" w:sz="0" w:space="0" w:color="auto"/>
        <w:left w:val="none" w:sz="0" w:space="0" w:color="auto"/>
        <w:bottom w:val="none" w:sz="0" w:space="0" w:color="auto"/>
        <w:right w:val="none" w:sz="0" w:space="0" w:color="auto"/>
      </w:divBdr>
    </w:div>
    <w:div w:id="1693023028">
      <w:bodyDiv w:val="1"/>
      <w:marLeft w:val="0"/>
      <w:marRight w:val="0"/>
      <w:marTop w:val="0"/>
      <w:marBottom w:val="0"/>
      <w:divBdr>
        <w:top w:val="none" w:sz="0" w:space="0" w:color="auto"/>
        <w:left w:val="none" w:sz="0" w:space="0" w:color="auto"/>
        <w:bottom w:val="none" w:sz="0" w:space="0" w:color="auto"/>
        <w:right w:val="none" w:sz="0" w:space="0" w:color="auto"/>
      </w:divBdr>
    </w:div>
    <w:div w:id="1693259991">
      <w:bodyDiv w:val="1"/>
      <w:marLeft w:val="0"/>
      <w:marRight w:val="0"/>
      <w:marTop w:val="0"/>
      <w:marBottom w:val="0"/>
      <w:divBdr>
        <w:top w:val="none" w:sz="0" w:space="0" w:color="auto"/>
        <w:left w:val="none" w:sz="0" w:space="0" w:color="auto"/>
        <w:bottom w:val="none" w:sz="0" w:space="0" w:color="auto"/>
        <w:right w:val="none" w:sz="0" w:space="0" w:color="auto"/>
      </w:divBdr>
    </w:div>
    <w:div w:id="1694187986">
      <w:bodyDiv w:val="1"/>
      <w:marLeft w:val="0"/>
      <w:marRight w:val="0"/>
      <w:marTop w:val="0"/>
      <w:marBottom w:val="0"/>
      <w:divBdr>
        <w:top w:val="none" w:sz="0" w:space="0" w:color="auto"/>
        <w:left w:val="none" w:sz="0" w:space="0" w:color="auto"/>
        <w:bottom w:val="none" w:sz="0" w:space="0" w:color="auto"/>
        <w:right w:val="none" w:sz="0" w:space="0" w:color="auto"/>
      </w:divBdr>
    </w:div>
    <w:div w:id="1694264889">
      <w:bodyDiv w:val="1"/>
      <w:marLeft w:val="0"/>
      <w:marRight w:val="0"/>
      <w:marTop w:val="0"/>
      <w:marBottom w:val="0"/>
      <w:divBdr>
        <w:top w:val="none" w:sz="0" w:space="0" w:color="auto"/>
        <w:left w:val="none" w:sz="0" w:space="0" w:color="auto"/>
        <w:bottom w:val="none" w:sz="0" w:space="0" w:color="auto"/>
        <w:right w:val="none" w:sz="0" w:space="0" w:color="auto"/>
      </w:divBdr>
    </w:div>
    <w:div w:id="1694728026">
      <w:bodyDiv w:val="1"/>
      <w:marLeft w:val="0"/>
      <w:marRight w:val="0"/>
      <w:marTop w:val="0"/>
      <w:marBottom w:val="0"/>
      <w:divBdr>
        <w:top w:val="none" w:sz="0" w:space="0" w:color="auto"/>
        <w:left w:val="none" w:sz="0" w:space="0" w:color="auto"/>
        <w:bottom w:val="none" w:sz="0" w:space="0" w:color="auto"/>
        <w:right w:val="none" w:sz="0" w:space="0" w:color="auto"/>
      </w:divBdr>
    </w:div>
    <w:div w:id="1695425503">
      <w:bodyDiv w:val="1"/>
      <w:marLeft w:val="0"/>
      <w:marRight w:val="0"/>
      <w:marTop w:val="0"/>
      <w:marBottom w:val="0"/>
      <w:divBdr>
        <w:top w:val="none" w:sz="0" w:space="0" w:color="auto"/>
        <w:left w:val="none" w:sz="0" w:space="0" w:color="auto"/>
        <w:bottom w:val="none" w:sz="0" w:space="0" w:color="auto"/>
        <w:right w:val="none" w:sz="0" w:space="0" w:color="auto"/>
      </w:divBdr>
    </w:div>
    <w:div w:id="1695618534">
      <w:bodyDiv w:val="1"/>
      <w:marLeft w:val="0"/>
      <w:marRight w:val="0"/>
      <w:marTop w:val="0"/>
      <w:marBottom w:val="0"/>
      <w:divBdr>
        <w:top w:val="none" w:sz="0" w:space="0" w:color="auto"/>
        <w:left w:val="none" w:sz="0" w:space="0" w:color="auto"/>
        <w:bottom w:val="none" w:sz="0" w:space="0" w:color="auto"/>
        <w:right w:val="none" w:sz="0" w:space="0" w:color="auto"/>
      </w:divBdr>
    </w:div>
    <w:div w:id="1696148996">
      <w:bodyDiv w:val="1"/>
      <w:marLeft w:val="0"/>
      <w:marRight w:val="0"/>
      <w:marTop w:val="0"/>
      <w:marBottom w:val="0"/>
      <w:divBdr>
        <w:top w:val="none" w:sz="0" w:space="0" w:color="auto"/>
        <w:left w:val="none" w:sz="0" w:space="0" w:color="auto"/>
        <w:bottom w:val="none" w:sz="0" w:space="0" w:color="auto"/>
        <w:right w:val="none" w:sz="0" w:space="0" w:color="auto"/>
      </w:divBdr>
    </w:div>
    <w:div w:id="1696151214">
      <w:bodyDiv w:val="1"/>
      <w:marLeft w:val="0"/>
      <w:marRight w:val="0"/>
      <w:marTop w:val="0"/>
      <w:marBottom w:val="0"/>
      <w:divBdr>
        <w:top w:val="none" w:sz="0" w:space="0" w:color="auto"/>
        <w:left w:val="none" w:sz="0" w:space="0" w:color="auto"/>
        <w:bottom w:val="none" w:sz="0" w:space="0" w:color="auto"/>
        <w:right w:val="none" w:sz="0" w:space="0" w:color="auto"/>
      </w:divBdr>
    </w:div>
    <w:div w:id="1697384596">
      <w:bodyDiv w:val="1"/>
      <w:marLeft w:val="0"/>
      <w:marRight w:val="0"/>
      <w:marTop w:val="0"/>
      <w:marBottom w:val="0"/>
      <w:divBdr>
        <w:top w:val="none" w:sz="0" w:space="0" w:color="auto"/>
        <w:left w:val="none" w:sz="0" w:space="0" w:color="auto"/>
        <w:bottom w:val="none" w:sz="0" w:space="0" w:color="auto"/>
        <w:right w:val="none" w:sz="0" w:space="0" w:color="auto"/>
      </w:divBdr>
    </w:div>
    <w:div w:id="1698774001">
      <w:bodyDiv w:val="1"/>
      <w:marLeft w:val="0"/>
      <w:marRight w:val="0"/>
      <w:marTop w:val="0"/>
      <w:marBottom w:val="0"/>
      <w:divBdr>
        <w:top w:val="none" w:sz="0" w:space="0" w:color="auto"/>
        <w:left w:val="none" w:sz="0" w:space="0" w:color="auto"/>
        <w:bottom w:val="none" w:sz="0" w:space="0" w:color="auto"/>
        <w:right w:val="none" w:sz="0" w:space="0" w:color="auto"/>
      </w:divBdr>
    </w:div>
    <w:div w:id="1699089559">
      <w:bodyDiv w:val="1"/>
      <w:marLeft w:val="0"/>
      <w:marRight w:val="0"/>
      <w:marTop w:val="0"/>
      <w:marBottom w:val="0"/>
      <w:divBdr>
        <w:top w:val="none" w:sz="0" w:space="0" w:color="auto"/>
        <w:left w:val="none" w:sz="0" w:space="0" w:color="auto"/>
        <w:bottom w:val="none" w:sz="0" w:space="0" w:color="auto"/>
        <w:right w:val="none" w:sz="0" w:space="0" w:color="auto"/>
      </w:divBdr>
    </w:div>
    <w:div w:id="1699164394">
      <w:bodyDiv w:val="1"/>
      <w:marLeft w:val="0"/>
      <w:marRight w:val="0"/>
      <w:marTop w:val="0"/>
      <w:marBottom w:val="0"/>
      <w:divBdr>
        <w:top w:val="none" w:sz="0" w:space="0" w:color="auto"/>
        <w:left w:val="none" w:sz="0" w:space="0" w:color="auto"/>
        <w:bottom w:val="none" w:sz="0" w:space="0" w:color="auto"/>
        <w:right w:val="none" w:sz="0" w:space="0" w:color="auto"/>
      </w:divBdr>
    </w:div>
    <w:div w:id="1699315609">
      <w:bodyDiv w:val="1"/>
      <w:marLeft w:val="0"/>
      <w:marRight w:val="0"/>
      <w:marTop w:val="0"/>
      <w:marBottom w:val="0"/>
      <w:divBdr>
        <w:top w:val="none" w:sz="0" w:space="0" w:color="auto"/>
        <w:left w:val="none" w:sz="0" w:space="0" w:color="auto"/>
        <w:bottom w:val="none" w:sz="0" w:space="0" w:color="auto"/>
        <w:right w:val="none" w:sz="0" w:space="0" w:color="auto"/>
      </w:divBdr>
    </w:div>
    <w:div w:id="1701324417">
      <w:bodyDiv w:val="1"/>
      <w:marLeft w:val="0"/>
      <w:marRight w:val="0"/>
      <w:marTop w:val="0"/>
      <w:marBottom w:val="0"/>
      <w:divBdr>
        <w:top w:val="none" w:sz="0" w:space="0" w:color="auto"/>
        <w:left w:val="none" w:sz="0" w:space="0" w:color="auto"/>
        <w:bottom w:val="none" w:sz="0" w:space="0" w:color="auto"/>
        <w:right w:val="none" w:sz="0" w:space="0" w:color="auto"/>
      </w:divBdr>
    </w:div>
    <w:div w:id="1701975267">
      <w:bodyDiv w:val="1"/>
      <w:marLeft w:val="0"/>
      <w:marRight w:val="0"/>
      <w:marTop w:val="0"/>
      <w:marBottom w:val="0"/>
      <w:divBdr>
        <w:top w:val="none" w:sz="0" w:space="0" w:color="auto"/>
        <w:left w:val="none" w:sz="0" w:space="0" w:color="auto"/>
        <w:bottom w:val="none" w:sz="0" w:space="0" w:color="auto"/>
        <w:right w:val="none" w:sz="0" w:space="0" w:color="auto"/>
      </w:divBdr>
    </w:div>
    <w:div w:id="1702050505">
      <w:bodyDiv w:val="1"/>
      <w:marLeft w:val="0"/>
      <w:marRight w:val="0"/>
      <w:marTop w:val="0"/>
      <w:marBottom w:val="0"/>
      <w:divBdr>
        <w:top w:val="none" w:sz="0" w:space="0" w:color="auto"/>
        <w:left w:val="none" w:sz="0" w:space="0" w:color="auto"/>
        <w:bottom w:val="none" w:sz="0" w:space="0" w:color="auto"/>
        <w:right w:val="none" w:sz="0" w:space="0" w:color="auto"/>
      </w:divBdr>
    </w:div>
    <w:div w:id="1703706522">
      <w:bodyDiv w:val="1"/>
      <w:marLeft w:val="0"/>
      <w:marRight w:val="0"/>
      <w:marTop w:val="0"/>
      <w:marBottom w:val="0"/>
      <w:divBdr>
        <w:top w:val="none" w:sz="0" w:space="0" w:color="auto"/>
        <w:left w:val="none" w:sz="0" w:space="0" w:color="auto"/>
        <w:bottom w:val="none" w:sz="0" w:space="0" w:color="auto"/>
        <w:right w:val="none" w:sz="0" w:space="0" w:color="auto"/>
      </w:divBdr>
    </w:div>
    <w:div w:id="1704750428">
      <w:bodyDiv w:val="1"/>
      <w:marLeft w:val="0"/>
      <w:marRight w:val="0"/>
      <w:marTop w:val="0"/>
      <w:marBottom w:val="0"/>
      <w:divBdr>
        <w:top w:val="none" w:sz="0" w:space="0" w:color="auto"/>
        <w:left w:val="none" w:sz="0" w:space="0" w:color="auto"/>
        <w:bottom w:val="none" w:sz="0" w:space="0" w:color="auto"/>
        <w:right w:val="none" w:sz="0" w:space="0" w:color="auto"/>
      </w:divBdr>
    </w:div>
    <w:div w:id="170551782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07758841">
      <w:bodyDiv w:val="1"/>
      <w:marLeft w:val="0"/>
      <w:marRight w:val="0"/>
      <w:marTop w:val="0"/>
      <w:marBottom w:val="0"/>
      <w:divBdr>
        <w:top w:val="none" w:sz="0" w:space="0" w:color="auto"/>
        <w:left w:val="none" w:sz="0" w:space="0" w:color="auto"/>
        <w:bottom w:val="none" w:sz="0" w:space="0" w:color="auto"/>
        <w:right w:val="none" w:sz="0" w:space="0" w:color="auto"/>
      </w:divBdr>
    </w:div>
    <w:div w:id="1708986210">
      <w:bodyDiv w:val="1"/>
      <w:marLeft w:val="0"/>
      <w:marRight w:val="0"/>
      <w:marTop w:val="0"/>
      <w:marBottom w:val="0"/>
      <w:divBdr>
        <w:top w:val="none" w:sz="0" w:space="0" w:color="auto"/>
        <w:left w:val="none" w:sz="0" w:space="0" w:color="auto"/>
        <w:bottom w:val="none" w:sz="0" w:space="0" w:color="auto"/>
        <w:right w:val="none" w:sz="0" w:space="0" w:color="auto"/>
      </w:divBdr>
    </w:div>
    <w:div w:id="1709603219">
      <w:bodyDiv w:val="1"/>
      <w:marLeft w:val="0"/>
      <w:marRight w:val="0"/>
      <w:marTop w:val="0"/>
      <w:marBottom w:val="0"/>
      <w:divBdr>
        <w:top w:val="none" w:sz="0" w:space="0" w:color="auto"/>
        <w:left w:val="none" w:sz="0" w:space="0" w:color="auto"/>
        <w:bottom w:val="none" w:sz="0" w:space="0" w:color="auto"/>
        <w:right w:val="none" w:sz="0" w:space="0" w:color="auto"/>
      </w:divBdr>
    </w:div>
    <w:div w:id="1710033809">
      <w:bodyDiv w:val="1"/>
      <w:marLeft w:val="0"/>
      <w:marRight w:val="0"/>
      <w:marTop w:val="0"/>
      <w:marBottom w:val="0"/>
      <w:divBdr>
        <w:top w:val="none" w:sz="0" w:space="0" w:color="auto"/>
        <w:left w:val="none" w:sz="0" w:space="0" w:color="auto"/>
        <w:bottom w:val="none" w:sz="0" w:space="0" w:color="auto"/>
        <w:right w:val="none" w:sz="0" w:space="0" w:color="auto"/>
      </w:divBdr>
    </w:div>
    <w:div w:id="1711033803">
      <w:bodyDiv w:val="1"/>
      <w:marLeft w:val="0"/>
      <w:marRight w:val="0"/>
      <w:marTop w:val="0"/>
      <w:marBottom w:val="0"/>
      <w:divBdr>
        <w:top w:val="none" w:sz="0" w:space="0" w:color="auto"/>
        <w:left w:val="none" w:sz="0" w:space="0" w:color="auto"/>
        <w:bottom w:val="none" w:sz="0" w:space="0" w:color="auto"/>
        <w:right w:val="none" w:sz="0" w:space="0" w:color="auto"/>
      </w:divBdr>
    </w:div>
    <w:div w:id="1711219689">
      <w:bodyDiv w:val="1"/>
      <w:marLeft w:val="0"/>
      <w:marRight w:val="0"/>
      <w:marTop w:val="0"/>
      <w:marBottom w:val="0"/>
      <w:divBdr>
        <w:top w:val="none" w:sz="0" w:space="0" w:color="auto"/>
        <w:left w:val="none" w:sz="0" w:space="0" w:color="auto"/>
        <w:bottom w:val="none" w:sz="0" w:space="0" w:color="auto"/>
        <w:right w:val="none" w:sz="0" w:space="0" w:color="auto"/>
      </w:divBdr>
    </w:div>
    <w:div w:id="1713115668">
      <w:bodyDiv w:val="1"/>
      <w:marLeft w:val="0"/>
      <w:marRight w:val="0"/>
      <w:marTop w:val="0"/>
      <w:marBottom w:val="0"/>
      <w:divBdr>
        <w:top w:val="none" w:sz="0" w:space="0" w:color="auto"/>
        <w:left w:val="none" w:sz="0" w:space="0" w:color="auto"/>
        <w:bottom w:val="none" w:sz="0" w:space="0" w:color="auto"/>
        <w:right w:val="none" w:sz="0" w:space="0" w:color="auto"/>
      </w:divBdr>
    </w:div>
    <w:div w:id="1714425639">
      <w:bodyDiv w:val="1"/>
      <w:marLeft w:val="0"/>
      <w:marRight w:val="0"/>
      <w:marTop w:val="0"/>
      <w:marBottom w:val="0"/>
      <w:divBdr>
        <w:top w:val="none" w:sz="0" w:space="0" w:color="auto"/>
        <w:left w:val="none" w:sz="0" w:space="0" w:color="auto"/>
        <w:bottom w:val="none" w:sz="0" w:space="0" w:color="auto"/>
        <w:right w:val="none" w:sz="0" w:space="0" w:color="auto"/>
      </w:divBdr>
    </w:div>
    <w:div w:id="1714499950">
      <w:bodyDiv w:val="1"/>
      <w:marLeft w:val="0"/>
      <w:marRight w:val="0"/>
      <w:marTop w:val="0"/>
      <w:marBottom w:val="0"/>
      <w:divBdr>
        <w:top w:val="none" w:sz="0" w:space="0" w:color="auto"/>
        <w:left w:val="none" w:sz="0" w:space="0" w:color="auto"/>
        <w:bottom w:val="none" w:sz="0" w:space="0" w:color="auto"/>
        <w:right w:val="none" w:sz="0" w:space="0" w:color="auto"/>
      </w:divBdr>
    </w:div>
    <w:div w:id="1715033488">
      <w:bodyDiv w:val="1"/>
      <w:marLeft w:val="0"/>
      <w:marRight w:val="0"/>
      <w:marTop w:val="0"/>
      <w:marBottom w:val="0"/>
      <w:divBdr>
        <w:top w:val="none" w:sz="0" w:space="0" w:color="auto"/>
        <w:left w:val="none" w:sz="0" w:space="0" w:color="auto"/>
        <w:bottom w:val="none" w:sz="0" w:space="0" w:color="auto"/>
        <w:right w:val="none" w:sz="0" w:space="0" w:color="auto"/>
      </w:divBdr>
    </w:div>
    <w:div w:id="1715151144">
      <w:bodyDiv w:val="1"/>
      <w:marLeft w:val="0"/>
      <w:marRight w:val="0"/>
      <w:marTop w:val="0"/>
      <w:marBottom w:val="0"/>
      <w:divBdr>
        <w:top w:val="none" w:sz="0" w:space="0" w:color="auto"/>
        <w:left w:val="none" w:sz="0" w:space="0" w:color="auto"/>
        <w:bottom w:val="none" w:sz="0" w:space="0" w:color="auto"/>
        <w:right w:val="none" w:sz="0" w:space="0" w:color="auto"/>
      </w:divBdr>
    </w:div>
    <w:div w:id="1715277205">
      <w:bodyDiv w:val="1"/>
      <w:marLeft w:val="0"/>
      <w:marRight w:val="0"/>
      <w:marTop w:val="0"/>
      <w:marBottom w:val="0"/>
      <w:divBdr>
        <w:top w:val="none" w:sz="0" w:space="0" w:color="auto"/>
        <w:left w:val="none" w:sz="0" w:space="0" w:color="auto"/>
        <w:bottom w:val="none" w:sz="0" w:space="0" w:color="auto"/>
        <w:right w:val="none" w:sz="0" w:space="0" w:color="auto"/>
      </w:divBdr>
    </w:div>
    <w:div w:id="1716153392">
      <w:bodyDiv w:val="1"/>
      <w:marLeft w:val="0"/>
      <w:marRight w:val="0"/>
      <w:marTop w:val="0"/>
      <w:marBottom w:val="0"/>
      <w:divBdr>
        <w:top w:val="none" w:sz="0" w:space="0" w:color="auto"/>
        <w:left w:val="none" w:sz="0" w:space="0" w:color="auto"/>
        <w:bottom w:val="none" w:sz="0" w:space="0" w:color="auto"/>
        <w:right w:val="none" w:sz="0" w:space="0" w:color="auto"/>
      </w:divBdr>
    </w:div>
    <w:div w:id="1716197154">
      <w:bodyDiv w:val="1"/>
      <w:marLeft w:val="0"/>
      <w:marRight w:val="0"/>
      <w:marTop w:val="0"/>
      <w:marBottom w:val="0"/>
      <w:divBdr>
        <w:top w:val="none" w:sz="0" w:space="0" w:color="auto"/>
        <w:left w:val="none" w:sz="0" w:space="0" w:color="auto"/>
        <w:bottom w:val="none" w:sz="0" w:space="0" w:color="auto"/>
        <w:right w:val="none" w:sz="0" w:space="0" w:color="auto"/>
      </w:divBdr>
    </w:div>
    <w:div w:id="1716660136">
      <w:bodyDiv w:val="1"/>
      <w:marLeft w:val="0"/>
      <w:marRight w:val="0"/>
      <w:marTop w:val="0"/>
      <w:marBottom w:val="0"/>
      <w:divBdr>
        <w:top w:val="none" w:sz="0" w:space="0" w:color="auto"/>
        <w:left w:val="none" w:sz="0" w:space="0" w:color="auto"/>
        <w:bottom w:val="none" w:sz="0" w:space="0" w:color="auto"/>
        <w:right w:val="none" w:sz="0" w:space="0" w:color="auto"/>
      </w:divBdr>
    </w:div>
    <w:div w:id="1718120153">
      <w:bodyDiv w:val="1"/>
      <w:marLeft w:val="0"/>
      <w:marRight w:val="0"/>
      <w:marTop w:val="0"/>
      <w:marBottom w:val="0"/>
      <w:divBdr>
        <w:top w:val="none" w:sz="0" w:space="0" w:color="auto"/>
        <w:left w:val="none" w:sz="0" w:space="0" w:color="auto"/>
        <w:bottom w:val="none" w:sz="0" w:space="0" w:color="auto"/>
        <w:right w:val="none" w:sz="0" w:space="0" w:color="auto"/>
      </w:divBdr>
    </w:div>
    <w:div w:id="1718163421">
      <w:bodyDiv w:val="1"/>
      <w:marLeft w:val="0"/>
      <w:marRight w:val="0"/>
      <w:marTop w:val="0"/>
      <w:marBottom w:val="0"/>
      <w:divBdr>
        <w:top w:val="none" w:sz="0" w:space="0" w:color="auto"/>
        <w:left w:val="none" w:sz="0" w:space="0" w:color="auto"/>
        <w:bottom w:val="none" w:sz="0" w:space="0" w:color="auto"/>
        <w:right w:val="none" w:sz="0" w:space="0" w:color="auto"/>
      </w:divBdr>
    </w:div>
    <w:div w:id="1718889079">
      <w:bodyDiv w:val="1"/>
      <w:marLeft w:val="0"/>
      <w:marRight w:val="0"/>
      <w:marTop w:val="0"/>
      <w:marBottom w:val="0"/>
      <w:divBdr>
        <w:top w:val="none" w:sz="0" w:space="0" w:color="auto"/>
        <w:left w:val="none" w:sz="0" w:space="0" w:color="auto"/>
        <w:bottom w:val="none" w:sz="0" w:space="0" w:color="auto"/>
        <w:right w:val="none" w:sz="0" w:space="0" w:color="auto"/>
      </w:divBdr>
    </w:div>
    <w:div w:id="1718969518">
      <w:bodyDiv w:val="1"/>
      <w:marLeft w:val="0"/>
      <w:marRight w:val="0"/>
      <w:marTop w:val="0"/>
      <w:marBottom w:val="0"/>
      <w:divBdr>
        <w:top w:val="none" w:sz="0" w:space="0" w:color="auto"/>
        <w:left w:val="none" w:sz="0" w:space="0" w:color="auto"/>
        <w:bottom w:val="none" w:sz="0" w:space="0" w:color="auto"/>
        <w:right w:val="none" w:sz="0" w:space="0" w:color="auto"/>
      </w:divBdr>
    </w:div>
    <w:div w:id="1720086132">
      <w:bodyDiv w:val="1"/>
      <w:marLeft w:val="0"/>
      <w:marRight w:val="0"/>
      <w:marTop w:val="0"/>
      <w:marBottom w:val="0"/>
      <w:divBdr>
        <w:top w:val="none" w:sz="0" w:space="0" w:color="auto"/>
        <w:left w:val="none" w:sz="0" w:space="0" w:color="auto"/>
        <w:bottom w:val="none" w:sz="0" w:space="0" w:color="auto"/>
        <w:right w:val="none" w:sz="0" w:space="0" w:color="auto"/>
      </w:divBdr>
    </w:div>
    <w:div w:id="1720545500">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723141248">
      <w:bodyDiv w:val="1"/>
      <w:marLeft w:val="0"/>
      <w:marRight w:val="0"/>
      <w:marTop w:val="0"/>
      <w:marBottom w:val="0"/>
      <w:divBdr>
        <w:top w:val="none" w:sz="0" w:space="0" w:color="auto"/>
        <w:left w:val="none" w:sz="0" w:space="0" w:color="auto"/>
        <w:bottom w:val="none" w:sz="0" w:space="0" w:color="auto"/>
        <w:right w:val="none" w:sz="0" w:space="0" w:color="auto"/>
      </w:divBdr>
    </w:div>
    <w:div w:id="1723747583">
      <w:bodyDiv w:val="1"/>
      <w:marLeft w:val="0"/>
      <w:marRight w:val="0"/>
      <w:marTop w:val="0"/>
      <w:marBottom w:val="0"/>
      <w:divBdr>
        <w:top w:val="none" w:sz="0" w:space="0" w:color="auto"/>
        <w:left w:val="none" w:sz="0" w:space="0" w:color="auto"/>
        <w:bottom w:val="none" w:sz="0" w:space="0" w:color="auto"/>
        <w:right w:val="none" w:sz="0" w:space="0" w:color="auto"/>
      </w:divBdr>
    </w:div>
    <w:div w:id="1725325260">
      <w:bodyDiv w:val="1"/>
      <w:marLeft w:val="0"/>
      <w:marRight w:val="0"/>
      <w:marTop w:val="0"/>
      <w:marBottom w:val="0"/>
      <w:divBdr>
        <w:top w:val="none" w:sz="0" w:space="0" w:color="auto"/>
        <w:left w:val="none" w:sz="0" w:space="0" w:color="auto"/>
        <w:bottom w:val="none" w:sz="0" w:space="0" w:color="auto"/>
        <w:right w:val="none" w:sz="0" w:space="0" w:color="auto"/>
      </w:divBdr>
    </w:div>
    <w:div w:id="1725451325">
      <w:bodyDiv w:val="1"/>
      <w:marLeft w:val="0"/>
      <w:marRight w:val="0"/>
      <w:marTop w:val="0"/>
      <w:marBottom w:val="0"/>
      <w:divBdr>
        <w:top w:val="none" w:sz="0" w:space="0" w:color="auto"/>
        <w:left w:val="none" w:sz="0" w:space="0" w:color="auto"/>
        <w:bottom w:val="none" w:sz="0" w:space="0" w:color="auto"/>
        <w:right w:val="none" w:sz="0" w:space="0" w:color="auto"/>
      </w:divBdr>
    </w:div>
    <w:div w:id="1725523570">
      <w:bodyDiv w:val="1"/>
      <w:marLeft w:val="0"/>
      <w:marRight w:val="0"/>
      <w:marTop w:val="0"/>
      <w:marBottom w:val="0"/>
      <w:divBdr>
        <w:top w:val="none" w:sz="0" w:space="0" w:color="auto"/>
        <w:left w:val="none" w:sz="0" w:space="0" w:color="auto"/>
        <w:bottom w:val="none" w:sz="0" w:space="0" w:color="auto"/>
        <w:right w:val="none" w:sz="0" w:space="0" w:color="auto"/>
      </w:divBdr>
    </w:div>
    <w:div w:id="1727024182">
      <w:bodyDiv w:val="1"/>
      <w:marLeft w:val="0"/>
      <w:marRight w:val="0"/>
      <w:marTop w:val="0"/>
      <w:marBottom w:val="0"/>
      <w:divBdr>
        <w:top w:val="none" w:sz="0" w:space="0" w:color="auto"/>
        <w:left w:val="none" w:sz="0" w:space="0" w:color="auto"/>
        <w:bottom w:val="none" w:sz="0" w:space="0" w:color="auto"/>
        <w:right w:val="none" w:sz="0" w:space="0" w:color="auto"/>
      </w:divBdr>
    </w:div>
    <w:div w:id="1727098679">
      <w:bodyDiv w:val="1"/>
      <w:marLeft w:val="0"/>
      <w:marRight w:val="0"/>
      <w:marTop w:val="0"/>
      <w:marBottom w:val="0"/>
      <w:divBdr>
        <w:top w:val="none" w:sz="0" w:space="0" w:color="auto"/>
        <w:left w:val="none" w:sz="0" w:space="0" w:color="auto"/>
        <w:bottom w:val="none" w:sz="0" w:space="0" w:color="auto"/>
        <w:right w:val="none" w:sz="0" w:space="0" w:color="auto"/>
      </w:divBdr>
    </w:div>
    <w:div w:id="1728412577">
      <w:bodyDiv w:val="1"/>
      <w:marLeft w:val="0"/>
      <w:marRight w:val="0"/>
      <w:marTop w:val="0"/>
      <w:marBottom w:val="0"/>
      <w:divBdr>
        <w:top w:val="none" w:sz="0" w:space="0" w:color="auto"/>
        <w:left w:val="none" w:sz="0" w:space="0" w:color="auto"/>
        <w:bottom w:val="none" w:sz="0" w:space="0" w:color="auto"/>
        <w:right w:val="none" w:sz="0" w:space="0" w:color="auto"/>
      </w:divBdr>
    </w:div>
    <w:div w:id="1728607166">
      <w:bodyDiv w:val="1"/>
      <w:marLeft w:val="0"/>
      <w:marRight w:val="0"/>
      <w:marTop w:val="0"/>
      <w:marBottom w:val="0"/>
      <w:divBdr>
        <w:top w:val="none" w:sz="0" w:space="0" w:color="auto"/>
        <w:left w:val="none" w:sz="0" w:space="0" w:color="auto"/>
        <w:bottom w:val="none" w:sz="0" w:space="0" w:color="auto"/>
        <w:right w:val="none" w:sz="0" w:space="0" w:color="auto"/>
      </w:divBdr>
    </w:div>
    <w:div w:id="1728797624">
      <w:bodyDiv w:val="1"/>
      <w:marLeft w:val="0"/>
      <w:marRight w:val="0"/>
      <w:marTop w:val="0"/>
      <w:marBottom w:val="0"/>
      <w:divBdr>
        <w:top w:val="none" w:sz="0" w:space="0" w:color="auto"/>
        <w:left w:val="none" w:sz="0" w:space="0" w:color="auto"/>
        <w:bottom w:val="none" w:sz="0" w:space="0" w:color="auto"/>
        <w:right w:val="none" w:sz="0" w:space="0" w:color="auto"/>
      </w:divBdr>
    </w:div>
    <w:div w:id="1729648091">
      <w:bodyDiv w:val="1"/>
      <w:marLeft w:val="0"/>
      <w:marRight w:val="0"/>
      <w:marTop w:val="0"/>
      <w:marBottom w:val="0"/>
      <w:divBdr>
        <w:top w:val="none" w:sz="0" w:space="0" w:color="auto"/>
        <w:left w:val="none" w:sz="0" w:space="0" w:color="auto"/>
        <w:bottom w:val="none" w:sz="0" w:space="0" w:color="auto"/>
        <w:right w:val="none" w:sz="0" w:space="0" w:color="auto"/>
      </w:divBdr>
    </w:div>
    <w:div w:id="1730421338">
      <w:bodyDiv w:val="1"/>
      <w:marLeft w:val="0"/>
      <w:marRight w:val="0"/>
      <w:marTop w:val="0"/>
      <w:marBottom w:val="0"/>
      <w:divBdr>
        <w:top w:val="none" w:sz="0" w:space="0" w:color="auto"/>
        <w:left w:val="none" w:sz="0" w:space="0" w:color="auto"/>
        <w:bottom w:val="none" w:sz="0" w:space="0" w:color="auto"/>
        <w:right w:val="none" w:sz="0" w:space="0" w:color="auto"/>
      </w:divBdr>
    </w:div>
    <w:div w:id="1731419319">
      <w:bodyDiv w:val="1"/>
      <w:marLeft w:val="0"/>
      <w:marRight w:val="0"/>
      <w:marTop w:val="0"/>
      <w:marBottom w:val="0"/>
      <w:divBdr>
        <w:top w:val="none" w:sz="0" w:space="0" w:color="auto"/>
        <w:left w:val="none" w:sz="0" w:space="0" w:color="auto"/>
        <w:bottom w:val="none" w:sz="0" w:space="0" w:color="auto"/>
        <w:right w:val="none" w:sz="0" w:space="0" w:color="auto"/>
      </w:divBdr>
    </w:div>
    <w:div w:id="1732531909">
      <w:bodyDiv w:val="1"/>
      <w:marLeft w:val="0"/>
      <w:marRight w:val="0"/>
      <w:marTop w:val="0"/>
      <w:marBottom w:val="0"/>
      <w:divBdr>
        <w:top w:val="none" w:sz="0" w:space="0" w:color="auto"/>
        <w:left w:val="none" w:sz="0" w:space="0" w:color="auto"/>
        <w:bottom w:val="none" w:sz="0" w:space="0" w:color="auto"/>
        <w:right w:val="none" w:sz="0" w:space="0" w:color="auto"/>
      </w:divBdr>
    </w:div>
    <w:div w:id="1732607253">
      <w:bodyDiv w:val="1"/>
      <w:marLeft w:val="0"/>
      <w:marRight w:val="0"/>
      <w:marTop w:val="0"/>
      <w:marBottom w:val="0"/>
      <w:divBdr>
        <w:top w:val="none" w:sz="0" w:space="0" w:color="auto"/>
        <w:left w:val="none" w:sz="0" w:space="0" w:color="auto"/>
        <w:bottom w:val="none" w:sz="0" w:space="0" w:color="auto"/>
        <w:right w:val="none" w:sz="0" w:space="0" w:color="auto"/>
      </w:divBdr>
    </w:div>
    <w:div w:id="1733429644">
      <w:bodyDiv w:val="1"/>
      <w:marLeft w:val="0"/>
      <w:marRight w:val="0"/>
      <w:marTop w:val="0"/>
      <w:marBottom w:val="0"/>
      <w:divBdr>
        <w:top w:val="none" w:sz="0" w:space="0" w:color="auto"/>
        <w:left w:val="none" w:sz="0" w:space="0" w:color="auto"/>
        <w:bottom w:val="none" w:sz="0" w:space="0" w:color="auto"/>
        <w:right w:val="none" w:sz="0" w:space="0" w:color="auto"/>
      </w:divBdr>
    </w:div>
    <w:div w:id="1733430042">
      <w:bodyDiv w:val="1"/>
      <w:marLeft w:val="0"/>
      <w:marRight w:val="0"/>
      <w:marTop w:val="0"/>
      <w:marBottom w:val="0"/>
      <w:divBdr>
        <w:top w:val="none" w:sz="0" w:space="0" w:color="auto"/>
        <w:left w:val="none" w:sz="0" w:space="0" w:color="auto"/>
        <w:bottom w:val="none" w:sz="0" w:space="0" w:color="auto"/>
        <w:right w:val="none" w:sz="0" w:space="0" w:color="auto"/>
      </w:divBdr>
    </w:div>
    <w:div w:id="1733697662">
      <w:bodyDiv w:val="1"/>
      <w:marLeft w:val="0"/>
      <w:marRight w:val="0"/>
      <w:marTop w:val="0"/>
      <w:marBottom w:val="0"/>
      <w:divBdr>
        <w:top w:val="none" w:sz="0" w:space="0" w:color="auto"/>
        <w:left w:val="none" w:sz="0" w:space="0" w:color="auto"/>
        <w:bottom w:val="none" w:sz="0" w:space="0" w:color="auto"/>
        <w:right w:val="none" w:sz="0" w:space="0" w:color="auto"/>
      </w:divBdr>
    </w:div>
    <w:div w:id="1734700538">
      <w:bodyDiv w:val="1"/>
      <w:marLeft w:val="0"/>
      <w:marRight w:val="0"/>
      <w:marTop w:val="0"/>
      <w:marBottom w:val="0"/>
      <w:divBdr>
        <w:top w:val="none" w:sz="0" w:space="0" w:color="auto"/>
        <w:left w:val="none" w:sz="0" w:space="0" w:color="auto"/>
        <w:bottom w:val="none" w:sz="0" w:space="0" w:color="auto"/>
        <w:right w:val="none" w:sz="0" w:space="0" w:color="auto"/>
      </w:divBdr>
    </w:div>
    <w:div w:id="1734812027">
      <w:bodyDiv w:val="1"/>
      <w:marLeft w:val="0"/>
      <w:marRight w:val="0"/>
      <w:marTop w:val="0"/>
      <w:marBottom w:val="0"/>
      <w:divBdr>
        <w:top w:val="none" w:sz="0" w:space="0" w:color="auto"/>
        <w:left w:val="none" w:sz="0" w:space="0" w:color="auto"/>
        <w:bottom w:val="none" w:sz="0" w:space="0" w:color="auto"/>
        <w:right w:val="none" w:sz="0" w:space="0" w:color="auto"/>
      </w:divBdr>
    </w:div>
    <w:div w:id="1735200180">
      <w:bodyDiv w:val="1"/>
      <w:marLeft w:val="0"/>
      <w:marRight w:val="0"/>
      <w:marTop w:val="0"/>
      <w:marBottom w:val="0"/>
      <w:divBdr>
        <w:top w:val="none" w:sz="0" w:space="0" w:color="auto"/>
        <w:left w:val="none" w:sz="0" w:space="0" w:color="auto"/>
        <w:bottom w:val="none" w:sz="0" w:space="0" w:color="auto"/>
        <w:right w:val="none" w:sz="0" w:space="0" w:color="auto"/>
      </w:divBdr>
    </w:div>
    <w:div w:id="1736051623">
      <w:bodyDiv w:val="1"/>
      <w:marLeft w:val="0"/>
      <w:marRight w:val="0"/>
      <w:marTop w:val="0"/>
      <w:marBottom w:val="0"/>
      <w:divBdr>
        <w:top w:val="none" w:sz="0" w:space="0" w:color="auto"/>
        <w:left w:val="none" w:sz="0" w:space="0" w:color="auto"/>
        <w:bottom w:val="none" w:sz="0" w:space="0" w:color="auto"/>
        <w:right w:val="none" w:sz="0" w:space="0" w:color="auto"/>
      </w:divBdr>
    </w:div>
    <w:div w:id="1736052905">
      <w:bodyDiv w:val="1"/>
      <w:marLeft w:val="0"/>
      <w:marRight w:val="0"/>
      <w:marTop w:val="0"/>
      <w:marBottom w:val="0"/>
      <w:divBdr>
        <w:top w:val="none" w:sz="0" w:space="0" w:color="auto"/>
        <w:left w:val="none" w:sz="0" w:space="0" w:color="auto"/>
        <w:bottom w:val="none" w:sz="0" w:space="0" w:color="auto"/>
        <w:right w:val="none" w:sz="0" w:space="0" w:color="auto"/>
      </w:divBdr>
    </w:div>
    <w:div w:id="1736320168">
      <w:bodyDiv w:val="1"/>
      <w:marLeft w:val="0"/>
      <w:marRight w:val="0"/>
      <w:marTop w:val="0"/>
      <w:marBottom w:val="0"/>
      <w:divBdr>
        <w:top w:val="none" w:sz="0" w:space="0" w:color="auto"/>
        <w:left w:val="none" w:sz="0" w:space="0" w:color="auto"/>
        <w:bottom w:val="none" w:sz="0" w:space="0" w:color="auto"/>
        <w:right w:val="none" w:sz="0" w:space="0" w:color="auto"/>
      </w:divBdr>
    </w:div>
    <w:div w:id="1736852405">
      <w:bodyDiv w:val="1"/>
      <w:marLeft w:val="0"/>
      <w:marRight w:val="0"/>
      <w:marTop w:val="0"/>
      <w:marBottom w:val="0"/>
      <w:divBdr>
        <w:top w:val="none" w:sz="0" w:space="0" w:color="auto"/>
        <w:left w:val="none" w:sz="0" w:space="0" w:color="auto"/>
        <w:bottom w:val="none" w:sz="0" w:space="0" w:color="auto"/>
        <w:right w:val="none" w:sz="0" w:space="0" w:color="auto"/>
      </w:divBdr>
    </w:div>
    <w:div w:id="1738625458">
      <w:bodyDiv w:val="1"/>
      <w:marLeft w:val="0"/>
      <w:marRight w:val="0"/>
      <w:marTop w:val="0"/>
      <w:marBottom w:val="0"/>
      <w:divBdr>
        <w:top w:val="none" w:sz="0" w:space="0" w:color="auto"/>
        <w:left w:val="none" w:sz="0" w:space="0" w:color="auto"/>
        <w:bottom w:val="none" w:sz="0" w:space="0" w:color="auto"/>
        <w:right w:val="none" w:sz="0" w:space="0" w:color="auto"/>
      </w:divBdr>
    </w:div>
    <w:div w:id="1739278414">
      <w:bodyDiv w:val="1"/>
      <w:marLeft w:val="0"/>
      <w:marRight w:val="0"/>
      <w:marTop w:val="0"/>
      <w:marBottom w:val="0"/>
      <w:divBdr>
        <w:top w:val="none" w:sz="0" w:space="0" w:color="auto"/>
        <w:left w:val="none" w:sz="0" w:space="0" w:color="auto"/>
        <w:bottom w:val="none" w:sz="0" w:space="0" w:color="auto"/>
        <w:right w:val="none" w:sz="0" w:space="0" w:color="auto"/>
      </w:divBdr>
    </w:div>
    <w:div w:id="1740246024">
      <w:bodyDiv w:val="1"/>
      <w:marLeft w:val="0"/>
      <w:marRight w:val="0"/>
      <w:marTop w:val="0"/>
      <w:marBottom w:val="0"/>
      <w:divBdr>
        <w:top w:val="none" w:sz="0" w:space="0" w:color="auto"/>
        <w:left w:val="none" w:sz="0" w:space="0" w:color="auto"/>
        <w:bottom w:val="none" w:sz="0" w:space="0" w:color="auto"/>
        <w:right w:val="none" w:sz="0" w:space="0" w:color="auto"/>
      </w:divBdr>
    </w:div>
    <w:div w:id="1740319794">
      <w:bodyDiv w:val="1"/>
      <w:marLeft w:val="0"/>
      <w:marRight w:val="0"/>
      <w:marTop w:val="0"/>
      <w:marBottom w:val="0"/>
      <w:divBdr>
        <w:top w:val="none" w:sz="0" w:space="0" w:color="auto"/>
        <w:left w:val="none" w:sz="0" w:space="0" w:color="auto"/>
        <w:bottom w:val="none" w:sz="0" w:space="0" w:color="auto"/>
        <w:right w:val="none" w:sz="0" w:space="0" w:color="auto"/>
      </w:divBdr>
    </w:div>
    <w:div w:id="1740781861">
      <w:bodyDiv w:val="1"/>
      <w:marLeft w:val="0"/>
      <w:marRight w:val="0"/>
      <w:marTop w:val="0"/>
      <w:marBottom w:val="0"/>
      <w:divBdr>
        <w:top w:val="none" w:sz="0" w:space="0" w:color="auto"/>
        <w:left w:val="none" w:sz="0" w:space="0" w:color="auto"/>
        <w:bottom w:val="none" w:sz="0" w:space="0" w:color="auto"/>
        <w:right w:val="none" w:sz="0" w:space="0" w:color="auto"/>
      </w:divBdr>
    </w:div>
    <w:div w:id="1742024683">
      <w:bodyDiv w:val="1"/>
      <w:marLeft w:val="0"/>
      <w:marRight w:val="0"/>
      <w:marTop w:val="0"/>
      <w:marBottom w:val="0"/>
      <w:divBdr>
        <w:top w:val="none" w:sz="0" w:space="0" w:color="auto"/>
        <w:left w:val="none" w:sz="0" w:space="0" w:color="auto"/>
        <w:bottom w:val="none" w:sz="0" w:space="0" w:color="auto"/>
        <w:right w:val="none" w:sz="0" w:space="0" w:color="auto"/>
      </w:divBdr>
    </w:div>
    <w:div w:id="1743600258">
      <w:bodyDiv w:val="1"/>
      <w:marLeft w:val="0"/>
      <w:marRight w:val="0"/>
      <w:marTop w:val="0"/>
      <w:marBottom w:val="0"/>
      <w:divBdr>
        <w:top w:val="none" w:sz="0" w:space="0" w:color="auto"/>
        <w:left w:val="none" w:sz="0" w:space="0" w:color="auto"/>
        <w:bottom w:val="none" w:sz="0" w:space="0" w:color="auto"/>
        <w:right w:val="none" w:sz="0" w:space="0" w:color="auto"/>
      </w:divBdr>
    </w:div>
    <w:div w:id="1743719190">
      <w:bodyDiv w:val="1"/>
      <w:marLeft w:val="0"/>
      <w:marRight w:val="0"/>
      <w:marTop w:val="0"/>
      <w:marBottom w:val="0"/>
      <w:divBdr>
        <w:top w:val="none" w:sz="0" w:space="0" w:color="auto"/>
        <w:left w:val="none" w:sz="0" w:space="0" w:color="auto"/>
        <w:bottom w:val="none" w:sz="0" w:space="0" w:color="auto"/>
        <w:right w:val="none" w:sz="0" w:space="0" w:color="auto"/>
      </w:divBdr>
    </w:div>
    <w:div w:id="1743985672">
      <w:bodyDiv w:val="1"/>
      <w:marLeft w:val="0"/>
      <w:marRight w:val="0"/>
      <w:marTop w:val="0"/>
      <w:marBottom w:val="0"/>
      <w:divBdr>
        <w:top w:val="none" w:sz="0" w:space="0" w:color="auto"/>
        <w:left w:val="none" w:sz="0" w:space="0" w:color="auto"/>
        <w:bottom w:val="none" w:sz="0" w:space="0" w:color="auto"/>
        <w:right w:val="none" w:sz="0" w:space="0" w:color="auto"/>
      </w:divBdr>
    </w:div>
    <w:div w:id="1745687799">
      <w:bodyDiv w:val="1"/>
      <w:marLeft w:val="0"/>
      <w:marRight w:val="0"/>
      <w:marTop w:val="0"/>
      <w:marBottom w:val="0"/>
      <w:divBdr>
        <w:top w:val="none" w:sz="0" w:space="0" w:color="auto"/>
        <w:left w:val="none" w:sz="0" w:space="0" w:color="auto"/>
        <w:bottom w:val="none" w:sz="0" w:space="0" w:color="auto"/>
        <w:right w:val="none" w:sz="0" w:space="0" w:color="auto"/>
      </w:divBdr>
    </w:div>
    <w:div w:id="1746150715">
      <w:bodyDiv w:val="1"/>
      <w:marLeft w:val="0"/>
      <w:marRight w:val="0"/>
      <w:marTop w:val="0"/>
      <w:marBottom w:val="0"/>
      <w:divBdr>
        <w:top w:val="none" w:sz="0" w:space="0" w:color="auto"/>
        <w:left w:val="none" w:sz="0" w:space="0" w:color="auto"/>
        <w:bottom w:val="none" w:sz="0" w:space="0" w:color="auto"/>
        <w:right w:val="none" w:sz="0" w:space="0" w:color="auto"/>
      </w:divBdr>
    </w:div>
    <w:div w:id="1746225778">
      <w:bodyDiv w:val="1"/>
      <w:marLeft w:val="0"/>
      <w:marRight w:val="0"/>
      <w:marTop w:val="0"/>
      <w:marBottom w:val="0"/>
      <w:divBdr>
        <w:top w:val="none" w:sz="0" w:space="0" w:color="auto"/>
        <w:left w:val="none" w:sz="0" w:space="0" w:color="auto"/>
        <w:bottom w:val="none" w:sz="0" w:space="0" w:color="auto"/>
        <w:right w:val="none" w:sz="0" w:space="0" w:color="auto"/>
      </w:divBdr>
    </w:div>
    <w:div w:id="1746759418">
      <w:bodyDiv w:val="1"/>
      <w:marLeft w:val="0"/>
      <w:marRight w:val="0"/>
      <w:marTop w:val="0"/>
      <w:marBottom w:val="0"/>
      <w:divBdr>
        <w:top w:val="none" w:sz="0" w:space="0" w:color="auto"/>
        <w:left w:val="none" w:sz="0" w:space="0" w:color="auto"/>
        <w:bottom w:val="none" w:sz="0" w:space="0" w:color="auto"/>
        <w:right w:val="none" w:sz="0" w:space="0" w:color="auto"/>
      </w:divBdr>
    </w:div>
    <w:div w:id="1748577114">
      <w:bodyDiv w:val="1"/>
      <w:marLeft w:val="0"/>
      <w:marRight w:val="0"/>
      <w:marTop w:val="0"/>
      <w:marBottom w:val="0"/>
      <w:divBdr>
        <w:top w:val="none" w:sz="0" w:space="0" w:color="auto"/>
        <w:left w:val="none" w:sz="0" w:space="0" w:color="auto"/>
        <w:bottom w:val="none" w:sz="0" w:space="0" w:color="auto"/>
        <w:right w:val="none" w:sz="0" w:space="0" w:color="auto"/>
      </w:divBdr>
    </w:div>
    <w:div w:id="1749840071">
      <w:bodyDiv w:val="1"/>
      <w:marLeft w:val="0"/>
      <w:marRight w:val="0"/>
      <w:marTop w:val="0"/>
      <w:marBottom w:val="0"/>
      <w:divBdr>
        <w:top w:val="none" w:sz="0" w:space="0" w:color="auto"/>
        <w:left w:val="none" w:sz="0" w:space="0" w:color="auto"/>
        <w:bottom w:val="none" w:sz="0" w:space="0" w:color="auto"/>
        <w:right w:val="none" w:sz="0" w:space="0" w:color="auto"/>
      </w:divBdr>
    </w:div>
    <w:div w:id="1751149591">
      <w:bodyDiv w:val="1"/>
      <w:marLeft w:val="0"/>
      <w:marRight w:val="0"/>
      <w:marTop w:val="0"/>
      <w:marBottom w:val="0"/>
      <w:divBdr>
        <w:top w:val="none" w:sz="0" w:space="0" w:color="auto"/>
        <w:left w:val="none" w:sz="0" w:space="0" w:color="auto"/>
        <w:bottom w:val="none" w:sz="0" w:space="0" w:color="auto"/>
        <w:right w:val="none" w:sz="0" w:space="0" w:color="auto"/>
      </w:divBdr>
    </w:div>
    <w:div w:id="1752583818">
      <w:bodyDiv w:val="1"/>
      <w:marLeft w:val="0"/>
      <w:marRight w:val="0"/>
      <w:marTop w:val="0"/>
      <w:marBottom w:val="0"/>
      <w:divBdr>
        <w:top w:val="none" w:sz="0" w:space="0" w:color="auto"/>
        <w:left w:val="none" w:sz="0" w:space="0" w:color="auto"/>
        <w:bottom w:val="none" w:sz="0" w:space="0" w:color="auto"/>
        <w:right w:val="none" w:sz="0" w:space="0" w:color="auto"/>
      </w:divBdr>
    </w:div>
    <w:div w:id="1753238544">
      <w:bodyDiv w:val="1"/>
      <w:marLeft w:val="0"/>
      <w:marRight w:val="0"/>
      <w:marTop w:val="0"/>
      <w:marBottom w:val="0"/>
      <w:divBdr>
        <w:top w:val="none" w:sz="0" w:space="0" w:color="auto"/>
        <w:left w:val="none" w:sz="0" w:space="0" w:color="auto"/>
        <w:bottom w:val="none" w:sz="0" w:space="0" w:color="auto"/>
        <w:right w:val="none" w:sz="0" w:space="0" w:color="auto"/>
      </w:divBdr>
    </w:div>
    <w:div w:id="1753316613">
      <w:bodyDiv w:val="1"/>
      <w:marLeft w:val="0"/>
      <w:marRight w:val="0"/>
      <w:marTop w:val="0"/>
      <w:marBottom w:val="0"/>
      <w:divBdr>
        <w:top w:val="none" w:sz="0" w:space="0" w:color="auto"/>
        <w:left w:val="none" w:sz="0" w:space="0" w:color="auto"/>
        <w:bottom w:val="none" w:sz="0" w:space="0" w:color="auto"/>
        <w:right w:val="none" w:sz="0" w:space="0" w:color="auto"/>
      </w:divBdr>
    </w:div>
    <w:div w:id="1754234775">
      <w:bodyDiv w:val="1"/>
      <w:marLeft w:val="0"/>
      <w:marRight w:val="0"/>
      <w:marTop w:val="0"/>
      <w:marBottom w:val="0"/>
      <w:divBdr>
        <w:top w:val="none" w:sz="0" w:space="0" w:color="auto"/>
        <w:left w:val="none" w:sz="0" w:space="0" w:color="auto"/>
        <w:bottom w:val="none" w:sz="0" w:space="0" w:color="auto"/>
        <w:right w:val="none" w:sz="0" w:space="0" w:color="auto"/>
      </w:divBdr>
    </w:div>
    <w:div w:id="1754276011">
      <w:bodyDiv w:val="1"/>
      <w:marLeft w:val="0"/>
      <w:marRight w:val="0"/>
      <w:marTop w:val="0"/>
      <w:marBottom w:val="0"/>
      <w:divBdr>
        <w:top w:val="none" w:sz="0" w:space="0" w:color="auto"/>
        <w:left w:val="none" w:sz="0" w:space="0" w:color="auto"/>
        <w:bottom w:val="none" w:sz="0" w:space="0" w:color="auto"/>
        <w:right w:val="none" w:sz="0" w:space="0" w:color="auto"/>
      </w:divBdr>
    </w:div>
    <w:div w:id="1755542535">
      <w:bodyDiv w:val="1"/>
      <w:marLeft w:val="0"/>
      <w:marRight w:val="0"/>
      <w:marTop w:val="0"/>
      <w:marBottom w:val="0"/>
      <w:divBdr>
        <w:top w:val="none" w:sz="0" w:space="0" w:color="auto"/>
        <w:left w:val="none" w:sz="0" w:space="0" w:color="auto"/>
        <w:bottom w:val="none" w:sz="0" w:space="0" w:color="auto"/>
        <w:right w:val="none" w:sz="0" w:space="0" w:color="auto"/>
      </w:divBdr>
    </w:div>
    <w:div w:id="1757171510">
      <w:bodyDiv w:val="1"/>
      <w:marLeft w:val="0"/>
      <w:marRight w:val="0"/>
      <w:marTop w:val="0"/>
      <w:marBottom w:val="0"/>
      <w:divBdr>
        <w:top w:val="none" w:sz="0" w:space="0" w:color="auto"/>
        <w:left w:val="none" w:sz="0" w:space="0" w:color="auto"/>
        <w:bottom w:val="none" w:sz="0" w:space="0" w:color="auto"/>
        <w:right w:val="none" w:sz="0" w:space="0" w:color="auto"/>
      </w:divBdr>
    </w:div>
    <w:div w:id="1757441490">
      <w:bodyDiv w:val="1"/>
      <w:marLeft w:val="0"/>
      <w:marRight w:val="0"/>
      <w:marTop w:val="0"/>
      <w:marBottom w:val="0"/>
      <w:divBdr>
        <w:top w:val="none" w:sz="0" w:space="0" w:color="auto"/>
        <w:left w:val="none" w:sz="0" w:space="0" w:color="auto"/>
        <w:bottom w:val="none" w:sz="0" w:space="0" w:color="auto"/>
        <w:right w:val="none" w:sz="0" w:space="0" w:color="auto"/>
      </w:divBdr>
    </w:div>
    <w:div w:id="1757824945">
      <w:bodyDiv w:val="1"/>
      <w:marLeft w:val="0"/>
      <w:marRight w:val="0"/>
      <w:marTop w:val="0"/>
      <w:marBottom w:val="0"/>
      <w:divBdr>
        <w:top w:val="none" w:sz="0" w:space="0" w:color="auto"/>
        <w:left w:val="none" w:sz="0" w:space="0" w:color="auto"/>
        <w:bottom w:val="none" w:sz="0" w:space="0" w:color="auto"/>
        <w:right w:val="none" w:sz="0" w:space="0" w:color="auto"/>
      </w:divBdr>
    </w:div>
    <w:div w:id="1759477647">
      <w:bodyDiv w:val="1"/>
      <w:marLeft w:val="0"/>
      <w:marRight w:val="0"/>
      <w:marTop w:val="0"/>
      <w:marBottom w:val="0"/>
      <w:divBdr>
        <w:top w:val="none" w:sz="0" w:space="0" w:color="auto"/>
        <w:left w:val="none" w:sz="0" w:space="0" w:color="auto"/>
        <w:bottom w:val="none" w:sz="0" w:space="0" w:color="auto"/>
        <w:right w:val="none" w:sz="0" w:space="0" w:color="auto"/>
      </w:divBdr>
    </w:div>
    <w:div w:id="1759642862">
      <w:bodyDiv w:val="1"/>
      <w:marLeft w:val="0"/>
      <w:marRight w:val="0"/>
      <w:marTop w:val="0"/>
      <w:marBottom w:val="0"/>
      <w:divBdr>
        <w:top w:val="none" w:sz="0" w:space="0" w:color="auto"/>
        <w:left w:val="none" w:sz="0" w:space="0" w:color="auto"/>
        <w:bottom w:val="none" w:sz="0" w:space="0" w:color="auto"/>
        <w:right w:val="none" w:sz="0" w:space="0" w:color="auto"/>
      </w:divBdr>
    </w:div>
    <w:div w:id="1760101346">
      <w:bodyDiv w:val="1"/>
      <w:marLeft w:val="0"/>
      <w:marRight w:val="0"/>
      <w:marTop w:val="0"/>
      <w:marBottom w:val="0"/>
      <w:divBdr>
        <w:top w:val="none" w:sz="0" w:space="0" w:color="auto"/>
        <w:left w:val="none" w:sz="0" w:space="0" w:color="auto"/>
        <w:bottom w:val="none" w:sz="0" w:space="0" w:color="auto"/>
        <w:right w:val="none" w:sz="0" w:space="0" w:color="auto"/>
      </w:divBdr>
    </w:div>
    <w:div w:id="1760518117">
      <w:bodyDiv w:val="1"/>
      <w:marLeft w:val="0"/>
      <w:marRight w:val="0"/>
      <w:marTop w:val="0"/>
      <w:marBottom w:val="0"/>
      <w:divBdr>
        <w:top w:val="none" w:sz="0" w:space="0" w:color="auto"/>
        <w:left w:val="none" w:sz="0" w:space="0" w:color="auto"/>
        <w:bottom w:val="none" w:sz="0" w:space="0" w:color="auto"/>
        <w:right w:val="none" w:sz="0" w:space="0" w:color="auto"/>
      </w:divBdr>
    </w:div>
    <w:div w:id="1760565356">
      <w:bodyDiv w:val="1"/>
      <w:marLeft w:val="0"/>
      <w:marRight w:val="0"/>
      <w:marTop w:val="0"/>
      <w:marBottom w:val="0"/>
      <w:divBdr>
        <w:top w:val="none" w:sz="0" w:space="0" w:color="auto"/>
        <w:left w:val="none" w:sz="0" w:space="0" w:color="auto"/>
        <w:bottom w:val="none" w:sz="0" w:space="0" w:color="auto"/>
        <w:right w:val="none" w:sz="0" w:space="0" w:color="auto"/>
      </w:divBdr>
    </w:div>
    <w:div w:id="1761178864">
      <w:bodyDiv w:val="1"/>
      <w:marLeft w:val="0"/>
      <w:marRight w:val="0"/>
      <w:marTop w:val="0"/>
      <w:marBottom w:val="0"/>
      <w:divBdr>
        <w:top w:val="none" w:sz="0" w:space="0" w:color="auto"/>
        <w:left w:val="none" w:sz="0" w:space="0" w:color="auto"/>
        <w:bottom w:val="none" w:sz="0" w:space="0" w:color="auto"/>
        <w:right w:val="none" w:sz="0" w:space="0" w:color="auto"/>
      </w:divBdr>
    </w:div>
    <w:div w:id="1761676303">
      <w:bodyDiv w:val="1"/>
      <w:marLeft w:val="0"/>
      <w:marRight w:val="0"/>
      <w:marTop w:val="0"/>
      <w:marBottom w:val="0"/>
      <w:divBdr>
        <w:top w:val="none" w:sz="0" w:space="0" w:color="auto"/>
        <w:left w:val="none" w:sz="0" w:space="0" w:color="auto"/>
        <w:bottom w:val="none" w:sz="0" w:space="0" w:color="auto"/>
        <w:right w:val="none" w:sz="0" w:space="0" w:color="auto"/>
      </w:divBdr>
    </w:div>
    <w:div w:id="1762144820">
      <w:bodyDiv w:val="1"/>
      <w:marLeft w:val="0"/>
      <w:marRight w:val="0"/>
      <w:marTop w:val="0"/>
      <w:marBottom w:val="0"/>
      <w:divBdr>
        <w:top w:val="none" w:sz="0" w:space="0" w:color="auto"/>
        <w:left w:val="none" w:sz="0" w:space="0" w:color="auto"/>
        <w:bottom w:val="none" w:sz="0" w:space="0" w:color="auto"/>
        <w:right w:val="none" w:sz="0" w:space="0" w:color="auto"/>
      </w:divBdr>
    </w:div>
    <w:div w:id="1764449888">
      <w:bodyDiv w:val="1"/>
      <w:marLeft w:val="0"/>
      <w:marRight w:val="0"/>
      <w:marTop w:val="0"/>
      <w:marBottom w:val="0"/>
      <w:divBdr>
        <w:top w:val="none" w:sz="0" w:space="0" w:color="auto"/>
        <w:left w:val="none" w:sz="0" w:space="0" w:color="auto"/>
        <w:bottom w:val="none" w:sz="0" w:space="0" w:color="auto"/>
        <w:right w:val="none" w:sz="0" w:space="0" w:color="auto"/>
      </w:divBdr>
    </w:div>
    <w:div w:id="1764719111">
      <w:bodyDiv w:val="1"/>
      <w:marLeft w:val="0"/>
      <w:marRight w:val="0"/>
      <w:marTop w:val="0"/>
      <w:marBottom w:val="0"/>
      <w:divBdr>
        <w:top w:val="none" w:sz="0" w:space="0" w:color="auto"/>
        <w:left w:val="none" w:sz="0" w:space="0" w:color="auto"/>
        <w:bottom w:val="none" w:sz="0" w:space="0" w:color="auto"/>
        <w:right w:val="none" w:sz="0" w:space="0" w:color="auto"/>
      </w:divBdr>
    </w:div>
    <w:div w:id="1765417526">
      <w:bodyDiv w:val="1"/>
      <w:marLeft w:val="0"/>
      <w:marRight w:val="0"/>
      <w:marTop w:val="0"/>
      <w:marBottom w:val="0"/>
      <w:divBdr>
        <w:top w:val="none" w:sz="0" w:space="0" w:color="auto"/>
        <w:left w:val="none" w:sz="0" w:space="0" w:color="auto"/>
        <w:bottom w:val="none" w:sz="0" w:space="0" w:color="auto"/>
        <w:right w:val="none" w:sz="0" w:space="0" w:color="auto"/>
      </w:divBdr>
    </w:div>
    <w:div w:id="1767118654">
      <w:bodyDiv w:val="1"/>
      <w:marLeft w:val="0"/>
      <w:marRight w:val="0"/>
      <w:marTop w:val="0"/>
      <w:marBottom w:val="0"/>
      <w:divBdr>
        <w:top w:val="none" w:sz="0" w:space="0" w:color="auto"/>
        <w:left w:val="none" w:sz="0" w:space="0" w:color="auto"/>
        <w:bottom w:val="none" w:sz="0" w:space="0" w:color="auto"/>
        <w:right w:val="none" w:sz="0" w:space="0" w:color="auto"/>
      </w:divBdr>
    </w:div>
    <w:div w:id="1767312255">
      <w:bodyDiv w:val="1"/>
      <w:marLeft w:val="0"/>
      <w:marRight w:val="0"/>
      <w:marTop w:val="0"/>
      <w:marBottom w:val="0"/>
      <w:divBdr>
        <w:top w:val="none" w:sz="0" w:space="0" w:color="auto"/>
        <w:left w:val="none" w:sz="0" w:space="0" w:color="auto"/>
        <w:bottom w:val="none" w:sz="0" w:space="0" w:color="auto"/>
        <w:right w:val="none" w:sz="0" w:space="0" w:color="auto"/>
      </w:divBdr>
    </w:div>
    <w:div w:id="1767537869">
      <w:bodyDiv w:val="1"/>
      <w:marLeft w:val="0"/>
      <w:marRight w:val="0"/>
      <w:marTop w:val="0"/>
      <w:marBottom w:val="0"/>
      <w:divBdr>
        <w:top w:val="none" w:sz="0" w:space="0" w:color="auto"/>
        <w:left w:val="none" w:sz="0" w:space="0" w:color="auto"/>
        <w:bottom w:val="none" w:sz="0" w:space="0" w:color="auto"/>
        <w:right w:val="none" w:sz="0" w:space="0" w:color="auto"/>
      </w:divBdr>
    </w:div>
    <w:div w:id="1767799185">
      <w:bodyDiv w:val="1"/>
      <w:marLeft w:val="0"/>
      <w:marRight w:val="0"/>
      <w:marTop w:val="0"/>
      <w:marBottom w:val="0"/>
      <w:divBdr>
        <w:top w:val="none" w:sz="0" w:space="0" w:color="auto"/>
        <w:left w:val="none" w:sz="0" w:space="0" w:color="auto"/>
        <w:bottom w:val="none" w:sz="0" w:space="0" w:color="auto"/>
        <w:right w:val="none" w:sz="0" w:space="0" w:color="auto"/>
      </w:divBdr>
    </w:div>
    <w:div w:id="1768623824">
      <w:bodyDiv w:val="1"/>
      <w:marLeft w:val="0"/>
      <w:marRight w:val="0"/>
      <w:marTop w:val="0"/>
      <w:marBottom w:val="0"/>
      <w:divBdr>
        <w:top w:val="none" w:sz="0" w:space="0" w:color="auto"/>
        <w:left w:val="none" w:sz="0" w:space="0" w:color="auto"/>
        <w:bottom w:val="none" w:sz="0" w:space="0" w:color="auto"/>
        <w:right w:val="none" w:sz="0" w:space="0" w:color="auto"/>
      </w:divBdr>
    </w:div>
    <w:div w:id="1769504757">
      <w:bodyDiv w:val="1"/>
      <w:marLeft w:val="0"/>
      <w:marRight w:val="0"/>
      <w:marTop w:val="0"/>
      <w:marBottom w:val="0"/>
      <w:divBdr>
        <w:top w:val="none" w:sz="0" w:space="0" w:color="auto"/>
        <w:left w:val="none" w:sz="0" w:space="0" w:color="auto"/>
        <w:bottom w:val="none" w:sz="0" w:space="0" w:color="auto"/>
        <w:right w:val="none" w:sz="0" w:space="0" w:color="auto"/>
      </w:divBdr>
    </w:div>
    <w:div w:id="1769734924">
      <w:bodyDiv w:val="1"/>
      <w:marLeft w:val="0"/>
      <w:marRight w:val="0"/>
      <w:marTop w:val="0"/>
      <w:marBottom w:val="0"/>
      <w:divBdr>
        <w:top w:val="none" w:sz="0" w:space="0" w:color="auto"/>
        <w:left w:val="none" w:sz="0" w:space="0" w:color="auto"/>
        <w:bottom w:val="none" w:sz="0" w:space="0" w:color="auto"/>
        <w:right w:val="none" w:sz="0" w:space="0" w:color="auto"/>
      </w:divBdr>
    </w:div>
    <w:div w:id="1769882725">
      <w:bodyDiv w:val="1"/>
      <w:marLeft w:val="0"/>
      <w:marRight w:val="0"/>
      <w:marTop w:val="0"/>
      <w:marBottom w:val="0"/>
      <w:divBdr>
        <w:top w:val="none" w:sz="0" w:space="0" w:color="auto"/>
        <w:left w:val="none" w:sz="0" w:space="0" w:color="auto"/>
        <w:bottom w:val="none" w:sz="0" w:space="0" w:color="auto"/>
        <w:right w:val="none" w:sz="0" w:space="0" w:color="auto"/>
      </w:divBdr>
    </w:div>
    <w:div w:id="1769960205">
      <w:bodyDiv w:val="1"/>
      <w:marLeft w:val="0"/>
      <w:marRight w:val="0"/>
      <w:marTop w:val="0"/>
      <w:marBottom w:val="0"/>
      <w:divBdr>
        <w:top w:val="none" w:sz="0" w:space="0" w:color="auto"/>
        <w:left w:val="none" w:sz="0" w:space="0" w:color="auto"/>
        <w:bottom w:val="none" w:sz="0" w:space="0" w:color="auto"/>
        <w:right w:val="none" w:sz="0" w:space="0" w:color="auto"/>
      </w:divBdr>
    </w:div>
    <w:div w:id="1770157549">
      <w:bodyDiv w:val="1"/>
      <w:marLeft w:val="0"/>
      <w:marRight w:val="0"/>
      <w:marTop w:val="0"/>
      <w:marBottom w:val="0"/>
      <w:divBdr>
        <w:top w:val="none" w:sz="0" w:space="0" w:color="auto"/>
        <w:left w:val="none" w:sz="0" w:space="0" w:color="auto"/>
        <w:bottom w:val="none" w:sz="0" w:space="0" w:color="auto"/>
        <w:right w:val="none" w:sz="0" w:space="0" w:color="auto"/>
      </w:divBdr>
    </w:div>
    <w:div w:id="1771198619">
      <w:bodyDiv w:val="1"/>
      <w:marLeft w:val="0"/>
      <w:marRight w:val="0"/>
      <w:marTop w:val="0"/>
      <w:marBottom w:val="0"/>
      <w:divBdr>
        <w:top w:val="none" w:sz="0" w:space="0" w:color="auto"/>
        <w:left w:val="none" w:sz="0" w:space="0" w:color="auto"/>
        <w:bottom w:val="none" w:sz="0" w:space="0" w:color="auto"/>
        <w:right w:val="none" w:sz="0" w:space="0" w:color="auto"/>
      </w:divBdr>
    </w:div>
    <w:div w:id="1771268547">
      <w:bodyDiv w:val="1"/>
      <w:marLeft w:val="0"/>
      <w:marRight w:val="0"/>
      <w:marTop w:val="0"/>
      <w:marBottom w:val="0"/>
      <w:divBdr>
        <w:top w:val="none" w:sz="0" w:space="0" w:color="auto"/>
        <w:left w:val="none" w:sz="0" w:space="0" w:color="auto"/>
        <w:bottom w:val="none" w:sz="0" w:space="0" w:color="auto"/>
        <w:right w:val="none" w:sz="0" w:space="0" w:color="auto"/>
      </w:divBdr>
    </w:div>
    <w:div w:id="1771271749">
      <w:bodyDiv w:val="1"/>
      <w:marLeft w:val="0"/>
      <w:marRight w:val="0"/>
      <w:marTop w:val="0"/>
      <w:marBottom w:val="0"/>
      <w:divBdr>
        <w:top w:val="none" w:sz="0" w:space="0" w:color="auto"/>
        <w:left w:val="none" w:sz="0" w:space="0" w:color="auto"/>
        <w:bottom w:val="none" w:sz="0" w:space="0" w:color="auto"/>
        <w:right w:val="none" w:sz="0" w:space="0" w:color="auto"/>
      </w:divBdr>
    </w:div>
    <w:div w:id="1771968385">
      <w:bodyDiv w:val="1"/>
      <w:marLeft w:val="0"/>
      <w:marRight w:val="0"/>
      <w:marTop w:val="0"/>
      <w:marBottom w:val="0"/>
      <w:divBdr>
        <w:top w:val="none" w:sz="0" w:space="0" w:color="auto"/>
        <w:left w:val="none" w:sz="0" w:space="0" w:color="auto"/>
        <w:bottom w:val="none" w:sz="0" w:space="0" w:color="auto"/>
        <w:right w:val="none" w:sz="0" w:space="0" w:color="auto"/>
      </w:divBdr>
    </w:div>
    <w:div w:id="1772582835">
      <w:bodyDiv w:val="1"/>
      <w:marLeft w:val="0"/>
      <w:marRight w:val="0"/>
      <w:marTop w:val="0"/>
      <w:marBottom w:val="0"/>
      <w:divBdr>
        <w:top w:val="none" w:sz="0" w:space="0" w:color="auto"/>
        <w:left w:val="none" w:sz="0" w:space="0" w:color="auto"/>
        <w:bottom w:val="none" w:sz="0" w:space="0" w:color="auto"/>
        <w:right w:val="none" w:sz="0" w:space="0" w:color="auto"/>
      </w:divBdr>
    </w:div>
    <w:div w:id="1773165399">
      <w:bodyDiv w:val="1"/>
      <w:marLeft w:val="0"/>
      <w:marRight w:val="0"/>
      <w:marTop w:val="0"/>
      <w:marBottom w:val="0"/>
      <w:divBdr>
        <w:top w:val="none" w:sz="0" w:space="0" w:color="auto"/>
        <w:left w:val="none" w:sz="0" w:space="0" w:color="auto"/>
        <w:bottom w:val="none" w:sz="0" w:space="0" w:color="auto"/>
        <w:right w:val="none" w:sz="0" w:space="0" w:color="auto"/>
      </w:divBdr>
    </w:div>
    <w:div w:id="1774014573">
      <w:bodyDiv w:val="1"/>
      <w:marLeft w:val="0"/>
      <w:marRight w:val="0"/>
      <w:marTop w:val="0"/>
      <w:marBottom w:val="0"/>
      <w:divBdr>
        <w:top w:val="none" w:sz="0" w:space="0" w:color="auto"/>
        <w:left w:val="none" w:sz="0" w:space="0" w:color="auto"/>
        <w:bottom w:val="none" w:sz="0" w:space="0" w:color="auto"/>
        <w:right w:val="none" w:sz="0" w:space="0" w:color="auto"/>
      </w:divBdr>
    </w:div>
    <w:div w:id="1774325696">
      <w:bodyDiv w:val="1"/>
      <w:marLeft w:val="0"/>
      <w:marRight w:val="0"/>
      <w:marTop w:val="0"/>
      <w:marBottom w:val="0"/>
      <w:divBdr>
        <w:top w:val="none" w:sz="0" w:space="0" w:color="auto"/>
        <w:left w:val="none" w:sz="0" w:space="0" w:color="auto"/>
        <w:bottom w:val="none" w:sz="0" w:space="0" w:color="auto"/>
        <w:right w:val="none" w:sz="0" w:space="0" w:color="auto"/>
      </w:divBdr>
    </w:div>
    <w:div w:id="1774544233">
      <w:bodyDiv w:val="1"/>
      <w:marLeft w:val="0"/>
      <w:marRight w:val="0"/>
      <w:marTop w:val="0"/>
      <w:marBottom w:val="0"/>
      <w:divBdr>
        <w:top w:val="none" w:sz="0" w:space="0" w:color="auto"/>
        <w:left w:val="none" w:sz="0" w:space="0" w:color="auto"/>
        <w:bottom w:val="none" w:sz="0" w:space="0" w:color="auto"/>
        <w:right w:val="none" w:sz="0" w:space="0" w:color="auto"/>
      </w:divBdr>
    </w:div>
    <w:div w:id="1774544719">
      <w:bodyDiv w:val="1"/>
      <w:marLeft w:val="0"/>
      <w:marRight w:val="0"/>
      <w:marTop w:val="0"/>
      <w:marBottom w:val="0"/>
      <w:divBdr>
        <w:top w:val="none" w:sz="0" w:space="0" w:color="auto"/>
        <w:left w:val="none" w:sz="0" w:space="0" w:color="auto"/>
        <w:bottom w:val="none" w:sz="0" w:space="0" w:color="auto"/>
        <w:right w:val="none" w:sz="0" w:space="0" w:color="auto"/>
      </w:divBdr>
    </w:div>
    <w:div w:id="1774743215">
      <w:bodyDiv w:val="1"/>
      <w:marLeft w:val="0"/>
      <w:marRight w:val="0"/>
      <w:marTop w:val="0"/>
      <w:marBottom w:val="0"/>
      <w:divBdr>
        <w:top w:val="none" w:sz="0" w:space="0" w:color="auto"/>
        <w:left w:val="none" w:sz="0" w:space="0" w:color="auto"/>
        <w:bottom w:val="none" w:sz="0" w:space="0" w:color="auto"/>
        <w:right w:val="none" w:sz="0" w:space="0" w:color="auto"/>
      </w:divBdr>
    </w:div>
    <w:div w:id="1775133689">
      <w:bodyDiv w:val="1"/>
      <w:marLeft w:val="0"/>
      <w:marRight w:val="0"/>
      <w:marTop w:val="0"/>
      <w:marBottom w:val="0"/>
      <w:divBdr>
        <w:top w:val="none" w:sz="0" w:space="0" w:color="auto"/>
        <w:left w:val="none" w:sz="0" w:space="0" w:color="auto"/>
        <w:bottom w:val="none" w:sz="0" w:space="0" w:color="auto"/>
        <w:right w:val="none" w:sz="0" w:space="0" w:color="auto"/>
      </w:divBdr>
    </w:div>
    <w:div w:id="1775325622">
      <w:bodyDiv w:val="1"/>
      <w:marLeft w:val="0"/>
      <w:marRight w:val="0"/>
      <w:marTop w:val="0"/>
      <w:marBottom w:val="0"/>
      <w:divBdr>
        <w:top w:val="none" w:sz="0" w:space="0" w:color="auto"/>
        <w:left w:val="none" w:sz="0" w:space="0" w:color="auto"/>
        <w:bottom w:val="none" w:sz="0" w:space="0" w:color="auto"/>
        <w:right w:val="none" w:sz="0" w:space="0" w:color="auto"/>
      </w:divBdr>
    </w:div>
    <w:div w:id="1775855184">
      <w:bodyDiv w:val="1"/>
      <w:marLeft w:val="0"/>
      <w:marRight w:val="0"/>
      <w:marTop w:val="0"/>
      <w:marBottom w:val="0"/>
      <w:divBdr>
        <w:top w:val="none" w:sz="0" w:space="0" w:color="auto"/>
        <w:left w:val="none" w:sz="0" w:space="0" w:color="auto"/>
        <w:bottom w:val="none" w:sz="0" w:space="0" w:color="auto"/>
        <w:right w:val="none" w:sz="0" w:space="0" w:color="auto"/>
      </w:divBdr>
    </w:div>
    <w:div w:id="1776712268">
      <w:bodyDiv w:val="1"/>
      <w:marLeft w:val="0"/>
      <w:marRight w:val="0"/>
      <w:marTop w:val="0"/>
      <w:marBottom w:val="0"/>
      <w:divBdr>
        <w:top w:val="none" w:sz="0" w:space="0" w:color="auto"/>
        <w:left w:val="none" w:sz="0" w:space="0" w:color="auto"/>
        <w:bottom w:val="none" w:sz="0" w:space="0" w:color="auto"/>
        <w:right w:val="none" w:sz="0" w:space="0" w:color="auto"/>
      </w:divBdr>
    </w:div>
    <w:div w:id="1778059764">
      <w:bodyDiv w:val="1"/>
      <w:marLeft w:val="0"/>
      <w:marRight w:val="0"/>
      <w:marTop w:val="0"/>
      <w:marBottom w:val="0"/>
      <w:divBdr>
        <w:top w:val="none" w:sz="0" w:space="0" w:color="auto"/>
        <w:left w:val="none" w:sz="0" w:space="0" w:color="auto"/>
        <w:bottom w:val="none" w:sz="0" w:space="0" w:color="auto"/>
        <w:right w:val="none" w:sz="0" w:space="0" w:color="auto"/>
      </w:divBdr>
    </w:div>
    <w:div w:id="1778329157">
      <w:bodyDiv w:val="1"/>
      <w:marLeft w:val="0"/>
      <w:marRight w:val="0"/>
      <w:marTop w:val="0"/>
      <w:marBottom w:val="0"/>
      <w:divBdr>
        <w:top w:val="none" w:sz="0" w:space="0" w:color="auto"/>
        <w:left w:val="none" w:sz="0" w:space="0" w:color="auto"/>
        <w:bottom w:val="none" w:sz="0" w:space="0" w:color="auto"/>
        <w:right w:val="none" w:sz="0" w:space="0" w:color="auto"/>
      </w:divBdr>
    </w:div>
    <w:div w:id="1778914637">
      <w:bodyDiv w:val="1"/>
      <w:marLeft w:val="0"/>
      <w:marRight w:val="0"/>
      <w:marTop w:val="0"/>
      <w:marBottom w:val="0"/>
      <w:divBdr>
        <w:top w:val="none" w:sz="0" w:space="0" w:color="auto"/>
        <w:left w:val="none" w:sz="0" w:space="0" w:color="auto"/>
        <w:bottom w:val="none" w:sz="0" w:space="0" w:color="auto"/>
        <w:right w:val="none" w:sz="0" w:space="0" w:color="auto"/>
      </w:divBdr>
    </w:div>
    <w:div w:id="1779063146">
      <w:bodyDiv w:val="1"/>
      <w:marLeft w:val="0"/>
      <w:marRight w:val="0"/>
      <w:marTop w:val="0"/>
      <w:marBottom w:val="0"/>
      <w:divBdr>
        <w:top w:val="none" w:sz="0" w:space="0" w:color="auto"/>
        <w:left w:val="none" w:sz="0" w:space="0" w:color="auto"/>
        <w:bottom w:val="none" w:sz="0" w:space="0" w:color="auto"/>
        <w:right w:val="none" w:sz="0" w:space="0" w:color="auto"/>
      </w:divBdr>
    </w:div>
    <w:div w:id="1780368421">
      <w:bodyDiv w:val="1"/>
      <w:marLeft w:val="0"/>
      <w:marRight w:val="0"/>
      <w:marTop w:val="0"/>
      <w:marBottom w:val="0"/>
      <w:divBdr>
        <w:top w:val="none" w:sz="0" w:space="0" w:color="auto"/>
        <w:left w:val="none" w:sz="0" w:space="0" w:color="auto"/>
        <w:bottom w:val="none" w:sz="0" w:space="0" w:color="auto"/>
        <w:right w:val="none" w:sz="0" w:space="0" w:color="auto"/>
      </w:divBdr>
    </w:div>
    <w:div w:id="1780569066">
      <w:bodyDiv w:val="1"/>
      <w:marLeft w:val="0"/>
      <w:marRight w:val="0"/>
      <w:marTop w:val="0"/>
      <w:marBottom w:val="0"/>
      <w:divBdr>
        <w:top w:val="none" w:sz="0" w:space="0" w:color="auto"/>
        <w:left w:val="none" w:sz="0" w:space="0" w:color="auto"/>
        <w:bottom w:val="none" w:sz="0" w:space="0" w:color="auto"/>
        <w:right w:val="none" w:sz="0" w:space="0" w:color="auto"/>
      </w:divBdr>
    </w:div>
    <w:div w:id="1781148238">
      <w:bodyDiv w:val="1"/>
      <w:marLeft w:val="0"/>
      <w:marRight w:val="0"/>
      <w:marTop w:val="0"/>
      <w:marBottom w:val="0"/>
      <w:divBdr>
        <w:top w:val="none" w:sz="0" w:space="0" w:color="auto"/>
        <w:left w:val="none" w:sz="0" w:space="0" w:color="auto"/>
        <w:bottom w:val="none" w:sz="0" w:space="0" w:color="auto"/>
        <w:right w:val="none" w:sz="0" w:space="0" w:color="auto"/>
      </w:divBdr>
    </w:div>
    <w:div w:id="1782650215">
      <w:bodyDiv w:val="1"/>
      <w:marLeft w:val="0"/>
      <w:marRight w:val="0"/>
      <w:marTop w:val="0"/>
      <w:marBottom w:val="0"/>
      <w:divBdr>
        <w:top w:val="none" w:sz="0" w:space="0" w:color="auto"/>
        <w:left w:val="none" w:sz="0" w:space="0" w:color="auto"/>
        <w:bottom w:val="none" w:sz="0" w:space="0" w:color="auto"/>
        <w:right w:val="none" w:sz="0" w:space="0" w:color="auto"/>
      </w:divBdr>
    </w:div>
    <w:div w:id="1783070126">
      <w:bodyDiv w:val="1"/>
      <w:marLeft w:val="0"/>
      <w:marRight w:val="0"/>
      <w:marTop w:val="0"/>
      <w:marBottom w:val="0"/>
      <w:divBdr>
        <w:top w:val="none" w:sz="0" w:space="0" w:color="auto"/>
        <w:left w:val="none" w:sz="0" w:space="0" w:color="auto"/>
        <w:bottom w:val="none" w:sz="0" w:space="0" w:color="auto"/>
        <w:right w:val="none" w:sz="0" w:space="0" w:color="auto"/>
      </w:divBdr>
    </w:div>
    <w:div w:id="1783260725">
      <w:bodyDiv w:val="1"/>
      <w:marLeft w:val="0"/>
      <w:marRight w:val="0"/>
      <w:marTop w:val="0"/>
      <w:marBottom w:val="0"/>
      <w:divBdr>
        <w:top w:val="none" w:sz="0" w:space="0" w:color="auto"/>
        <w:left w:val="none" w:sz="0" w:space="0" w:color="auto"/>
        <w:bottom w:val="none" w:sz="0" w:space="0" w:color="auto"/>
        <w:right w:val="none" w:sz="0" w:space="0" w:color="auto"/>
      </w:divBdr>
    </w:div>
    <w:div w:id="1784614213">
      <w:bodyDiv w:val="1"/>
      <w:marLeft w:val="0"/>
      <w:marRight w:val="0"/>
      <w:marTop w:val="0"/>
      <w:marBottom w:val="0"/>
      <w:divBdr>
        <w:top w:val="none" w:sz="0" w:space="0" w:color="auto"/>
        <w:left w:val="none" w:sz="0" w:space="0" w:color="auto"/>
        <w:bottom w:val="none" w:sz="0" w:space="0" w:color="auto"/>
        <w:right w:val="none" w:sz="0" w:space="0" w:color="auto"/>
      </w:divBdr>
    </w:div>
    <w:div w:id="1784837169">
      <w:bodyDiv w:val="1"/>
      <w:marLeft w:val="0"/>
      <w:marRight w:val="0"/>
      <w:marTop w:val="0"/>
      <w:marBottom w:val="0"/>
      <w:divBdr>
        <w:top w:val="none" w:sz="0" w:space="0" w:color="auto"/>
        <w:left w:val="none" w:sz="0" w:space="0" w:color="auto"/>
        <w:bottom w:val="none" w:sz="0" w:space="0" w:color="auto"/>
        <w:right w:val="none" w:sz="0" w:space="0" w:color="auto"/>
      </w:divBdr>
    </w:div>
    <w:div w:id="1785880756">
      <w:bodyDiv w:val="1"/>
      <w:marLeft w:val="0"/>
      <w:marRight w:val="0"/>
      <w:marTop w:val="0"/>
      <w:marBottom w:val="0"/>
      <w:divBdr>
        <w:top w:val="none" w:sz="0" w:space="0" w:color="auto"/>
        <w:left w:val="none" w:sz="0" w:space="0" w:color="auto"/>
        <w:bottom w:val="none" w:sz="0" w:space="0" w:color="auto"/>
        <w:right w:val="none" w:sz="0" w:space="0" w:color="auto"/>
      </w:divBdr>
    </w:div>
    <w:div w:id="1787193776">
      <w:bodyDiv w:val="1"/>
      <w:marLeft w:val="0"/>
      <w:marRight w:val="0"/>
      <w:marTop w:val="0"/>
      <w:marBottom w:val="0"/>
      <w:divBdr>
        <w:top w:val="none" w:sz="0" w:space="0" w:color="auto"/>
        <w:left w:val="none" w:sz="0" w:space="0" w:color="auto"/>
        <w:bottom w:val="none" w:sz="0" w:space="0" w:color="auto"/>
        <w:right w:val="none" w:sz="0" w:space="0" w:color="auto"/>
      </w:divBdr>
    </w:div>
    <w:div w:id="1788696814">
      <w:bodyDiv w:val="1"/>
      <w:marLeft w:val="0"/>
      <w:marRight w:val="0"/>
      <w:marTop w:val="0"/>
      <w:marBottom w:val="0"/>
      <w:divBdr>
        <w:top w:val="none" w:sz="0" w:space="0" w:color="auto"/>
        <w:left w:val="none" w:sz="0" w:space="0" w:color="auto"/>
        <w:bottom w:val="none" w:sz="0" w:space="0" w:color="auto"/>
        <w:right w:val="none" w:sz="0" w:space="0" w:color="auto"/>
      </w:divBdr>
    </w:div>
    <w:div w:id="1789812231">
      <w:bodyDiv w:val="1"/>
      <w:marLeft w:val="0"/>
      <w:marRight w:val="0"/>
      <w:marTop w:val="0"/>
      <w:marBottom w:val="0"/>
      <w:divBdr>
        <w:top w:val="none" w:sz="0" w:space="0" w:color="auto"/>
        <w:left w:val="none" w:sz="0" w:space="0" w:color="auto"/>
        <w:bottom w:val="none" w:sz="0" w:space="0" w:color="auto"/>
        <w:right w:val="none" w:sz="0" w:space="0" w:color="auto"/>
      </w:divBdr>
    </w:div>
    <w:div w:id="1790050305">
      <w:bodyDiv w:val="1"/>
      <w:marLeft w:val="0"/>
      <w:marRight w:val="0"/>
      <w:marTop w:val="0"/>
      <w:marBottom w:val="0"/>
      <w:divBdr>
        <w:top w:val="none" w:sz="0" w:space="0" w:color="auto"/>
        <w:left w:val="none" w:sz="0" w:space="0" w:color="auto"/>
        <w:bottom w:val="none" w:sz="0" w:space="0" w:color="auto"/>
        <w:right w:val="none" w:sz="0" w:space="0" w:color="auto"/>
      </w:divBdr>
    </w:div>
    <w:div w:id="1791362868">
      <w:bodyDiv w:val="1"/>
      <w:marLeft w:val="0"/>
      <w:marRight w:val="0"/>
      <w:marTop w:val="0"/>
      <w:marBottom w:val="0"/>
      <w:divBdr>
        <w:top w:val="none" w:sz="0" w:space="0" w:color="auto"/>
        <w:left w:val="none" w:sz="0" w:space="0" w:color="auto"/>
        <w:bottom w:val="none" w:sz="0" w:space="0" w:color="auto"/>
        <w:right w:val="none" w:sz="0" w:space="0" w:color="auto"/>
      </w:divBdr>
    </w:div>
    <w:div w:id="1791774902">
      <w:bodyDiv w:val="1"/>
      <w:marLeft w:val="0"/>
      <w:marRight w:val="0"/>
      <w:marTop w:val="0"/>
      <w:marBottom w:val="0"/>
      <w:divBdr>
        <w:top w:val="none" w:sz="0" w:space="0" w:color="auto"/>
        <w:left w:val="none" w:sz="0" w:space="0" w:color="auto"/>
        <w:bottom w:val="none" w:sz="0" w:space="0" w:color="auto"/>
        <w:right w:val="none" w:sz="0" w:space="0" w:color="auto"/>
      </w:divBdr>
    </w:div>
    <w:div w:id="1791778431">
      <w:bodyDiv w:val="1"/>
      <w:marLeft w:val="0"/>
      <w:marRight w:val="0"/>
      <w:marTop w:val="0"/>
      <w:marBottom w:val="0"/>
      <w:divBdr>
        <w:top w:val="none" w:sz="0" w:space="0" w:color="auto"/>
        <w:left w:val="none" w:sz="0" w:space="0" w:color="auto"/>
        <w:bottom w:val="none" w:sz="0" w:space="0" w:color="auto"/>
        <w:right w:val="none" w:sz="0" w:space="0" w:color="auto"/>
      </w:divBdr>
    </w:div>
    <w:div w:id="1792354948">
      <w:bodyDiv w:val="1"/>
      <w:marLeft w:val="0"/>
      <w:marRight w:val="0"/>
      <w:marTop w:val="0"/>
      <w:marBottom w:val="0"/>
      <w:divBdr>
        <w:top w:val="none" w:sz="0" w:space="0" w:color="auto"/>
        <w:left w:val="none" w:sz="0" w:space="0" w:color="auto"/>
        <w:bottom w:val="none" w:sz="0" w:space="0" w:color="auto"/>
        <w:right w:val="none" w:sz="0" w:space="0" w:color="auto"/>
      </w:divBdr>
    </w:div>
    <w:div w:id="1792627625">
      <w:bodyDiv w:val="1"/>
      <w:marLeft w:val="0"/>
      <w:marRight w:val="0"/>
      <w:marTop w:val="0"/>
      <w:marBottom w:val="0"/>
      <w:divBdr>
        <w:top w:val="none" w:sz="0" w:space="0" w:color="auto"/>
        <w:left w:val="none" w:sz="0" w:space="0" w:color="auto"/>
        <w:bottom w:val="none" w:sz="0" w:space="0" w:color="auto"/>
        <w:right w:val="none" w:sz="0" w:space="0" w:color="auto"/>
      </w:divBdr>
    </w:div>
    <w:div w:id="1793397128">
      <w:bodyDiv w:val="1"/>
      <w:marLeft w:val="0"/>
      <w:marRight w:val="0"/>
      <w:marTop w:val="0"/>
      <w:marBottom w:val="0"/>
      <w:divBdr>
        <w:top w:val="none" w:sz="0" w:space="0" w:color="auto"/>
        <w:left w:val="none" w:sz="0" w:space="0" w:color="auto"/>
        <w:bottom w:val="none" w:sz="0" w:space="0" w:color="auto"/>
        <w:right w:val="none" w:sz="0" w:space="0" w:color="auto"/>
      </w:divBdr>
    </w:div>
    <w:div w:id="1793861368">
      <w:bodyDiv w:val="1"/>
      <w:marLeft w:val="0"/>
      <w:marRight w:val="0"/>
      <w:marTop w:val="0"/>
      <w:marBottom w:val="0"/>
      <w:divBdr>
        <w:top w:val="none" w:sz="0" w:space="0" w:color="auto"/>
        <w:left w:val="none" w:sz="0" w:space="0" w:color="auto"/>
        <w:bottom w:val="none" w:sz="0" w:space="0" w:color="auto"/>
        <w:right w:val="none" w:sz="0" w:space="0" w:color="auto"/>
      </w:divBdr>
    </w:div>
    <w:div w:id="1794059941">
      <w:bodyDiv w:val="1"/>
      <w:marLeft w:val="0"/>
      <w:marRight w:val="0"/>
      <w:marTop w:val="0"/>
      <w:marBottom w:val="0"/>
      <w:divBdr>
        <w:top w:val="none" w:sz="0" w:space="0" w:color="auto"/>
        <w:left w:val="none" w:sz="0" w:space="0" w:color="auto"/>
        <w:bottom w:val="none" w:sz="0" w:space="0" w:color="auto"/>
        <w:right w:val="none" w:sz="0" w:space="0" w:color="auto"/>
      </w:divBdr>
    </w:div>
    <w:div w:id="1794206767">
      <w:bodyDiv w:val="1"/>
      <w:marLeft w:val="0"/>
      <w:marRight w:val="0"/>
      <w:marTop w:val="0"/>
      <w:marBottom w:val="0"/>
      <w:divBdr>
        <w:top w:val="none" w:sz="0" w:space="0" w:color="auto"/>
        <w:left w:val="none" w:sz="0" w:space="0" w:color="auto"/>
        <w:bottom w:val="none" w:sz="0" w:space="0" w:color="auto"/>
        <w:right w:val="none" w:sz="0" w:space="0" w:color="auto"/>
      </w:divBdr>
    </w:div>
    <w:div w:id="1794395805">
      <w:bodyDiv w:val="1"/>
      <w:marLeft w:val="0"/>
      <w:marRight w:val="0"/>
      <w:marTop w:val="0"/>
      <w:marBottom w:val="0"/>
      <w:divBdr>
        <w:top w:val="none" w:sz="0" w:space="0" w:color="auto"/>
        <w:left w:val="none" w:sz="0" w:space="0" w:color="auto"/>
        <w:bottom w:val="none" w:sz="0" w:space="0" w:color="auto"/>
        <w:right w:val="none" w:sz="0" w:space="0" w:color="auto"/>
      </w:divBdr>
    </w:div>
    <w:div w:id="1795826655">
      <w:bodyDiv w:val="1"/>
      <w:marLeft w:val="0"/>
      <w:marRight w:val="0"/>
      <w:marTop w:val="0"/>
      <w:marBottom w:val="0"/>
      <w:divBdr>
        <w:top w:val="none" w:sz="0" w:space="0" w:color="auto"/>
        <w:left w:val="none" w:sz="0" w:space="0" w:color="auto"/>
        <w:bottom w:val="none" w:sz="0" w:space="0" w:color="auto"/>
        <w:right w:val="none" w:sz="0" w:space="0" w:color="auto"/>
      </w:divBdr>
    </w:div>
    <w:div w:id="1796019459">
      <w:bodyDiv w:val="1"/>
      <w:marLeft w:val="0"/>
      <w:marRight w:val="0"/>
      <w:marTop w:val="0"/>
      <w:marBottom w:val="0"/>
      <w:divBdr>
        <w:top w:val="none" w:sz="0" w:space="0" w:color="auto"/>
        <w:left w:val="none" w:sz="0" w:space="0" w:color="auto"/>
        <w:bottom w:val="none" w:sz="0" w:space="0" w:color="auto"/>
        <w:right w:val="none" w:sz="0" w:space="0" w:color="auto"/>
      </w:divBdr>
    </w:div>
    <w:div w:id="1796364098">
      <w:bodyDiv w:val="1"/>
      <w:marLeft w:val="0"/>
      <w:marRight w:val="0"/>
      <w:marTop w:val="0"/>
      <w:marBottom w:val="0"/>
      <w:divBdr>
        <w:top w:val="none" w:sz="0" w:space="0" w:color="auto"/>
        <w:left w:val="none" w:sz="0" w:space="0" w:color="auto"/>
        <w:bottom w:val="none" w:sz="0" w:space="0" w:color="auto"/>
        <w:right w:val="none" w:sz="0" w:space="0" w:color="auto"/>
      </w:divBdr>
    </w:div>
    <w:div w:id="1796604733">
      <w:bodyDiv w:val="1"/>
      <w:marLeft w:val="0"/>
      <w:marRight w:val="0"/>
      <w:marTop w:val="0"/>
      <w:marBottom w:val="0"/>
      <w:divBdr>
        <w:top w:val="none" w:sz="0" w:space="0" w:color="auto"/>
        <w:left w:val="none" w:sz="0" w:space="0" w:color="auto"/>
        <w:bottom w:val="none" w:sz="0" w:space="0" w:color="auto"/>
        <w:right w:val="none" w:sz="0" w:space="0" w:color="auto"/>
      </w:divBdr>
    </w:div>
    <w:div w:id="1797212579">
      <w:bodyDiv w:val="1"/>
      <w:marLeft w:val="0"/>
      <w:marRight w:val="0"/>
      <w:marTop w:val="0"/>
      <w:marBottom w:val="0"/>
      <w:divBdr>
        <w:top w:val="none" w:sz="0" w:space="0" w:color="auto"/>
        <w:left w:val="none" w:sz="0" w:space="0" w:color="auto"/>
        <w:bottom w:val="none" w:sz="0" w:space="0" w:color="auto"/>
        <w:right w:val="none" w:sz="0" w:space="0" w:color="auto"/>
      </w:divBdr>
    </w:div>
    <w:div w:id="1797790800">
      <w:bodyDiv w:val="1"/>
      <w:marLeft w:val="0"/>
      <w:marRight w:val="0"/>
      <w:marTop w:val="0"/>
      <w:marBottom w:val="0"/>
      <w:divBdr>
        <w:top w:val="none" w:sz="0" w:space="0" w:color="auto"/>
        <w:left w:val="none" w:sz="0" w:space="0" w:color="auto"/>
        <w:bottom w:val="none" w:sz="0" w:space="0" w:color="auto"/>
        <w:right w:val="none" w:sz="0" w:space="0" w:color="auto"/>
      </w:divBdr>
    </w:div>
    <w:div w:id="1797985923">
      <w:bodyDiv w:val="1"/>
      <w:marLeft w:val="0"/>
      <w:marRight w:val="0"/>
      <w:marTop w:val="0"/>
      <w:marBottom w:val="0"/>
      <w:divBdr>
        <w:top w:val="none" w:sz="0" w:space="0" w:color="auto"/>
        <w:left w:val="none" w:sz="0" w:space="0" w:color="auto"/>
        <w:bottom w:val="none" w:sz="0" w:space="0" w:color="auto"/>
        <w:right w:val="none" w:sz="0" w:space="0" w:color="auto"/>
      </w:divBdr>
    </w:div>
    <w:div w:id="1798404695">
      <w:bodyDiv w:val="1"/>
      <w:marLeft w:val="0"/>
      <w:marRight w:val="0"/>
      <w:marTop w:val="0"/>
      <w:marBottom w:val="0"/>
      <w:divBdr>
        <w:top w:val="none" w:sz="0" w:space="0" w:color="auto"/>
        <w:left w:val="none" w:sz="0" w:space="0" w:color="auto"/>
        <w:bottom w:val="none" w:sz="0" w:space="0" w:color="auto"/>
        <w:right w:val="none" w:sz="0" w:space="0" w:color="auto"/>
      </w:divBdr>
    </w:div>
    <w:div w:id="1798447545">
      <w:bodyDiv w:val="1"/>
      <w:marLeft w:val="0"/>
      <w:marRight w:val="0"/>
      <w:marTop w:val="0"/>
      <w:marBottom w:val="0"/>
      <w:divBdr>
        <w:top w:val="none" w:sz="0" w:space="0" w:color="auto"/>
        <w:left w:val="none" w:sz="0" w:space="0" w:color="auto"/>
        <w:bottom w:val="none" w:sz="0" w:space="0" w:color="auto"/>
        <w:right w:val="none" w:sz="0" w:space="0" w:color="auto"/>
      </w:divBdr>
    </w:div>
    <w:div w:id="1799185267">
      <w:bodyDiv w:val="1"/>
      <w:marLeft w:val="0"/>
      <w:marRight w:val="0"/>
      <w:marTop w:val="0"/>
      <w:marBottom w:val="0"/>
      <w:divBdr>
        <w:top w:val="none" w:sz="0" w:space="0" w:color="auto"/>
        <w:left w:val="none" w:sz="0" w:space="0" w:color="auto"/>
        <w:bottom w:val="none" w:sz="0" w:space="0" w:color="auto"/>
        <w:right w:val="none" w:sz="0" w:space="0" w:color="auto"/>
      </w:divBdr>
    </w:div>
    <w:div w:id="1800563463">
      <w:bodyDiv w:val="1"/>
      <w:marLeft w:val="0"/>
      <w:marRight w:val="0"/>
      <w:marTop w:val="0"/>
      <w:marBottom w:val="0"/>
      <w:divBdr>
        <w:top w:val="none" w:sz="0" w:space="0" w:color="auto"/>
        <w:left w:val="none" w:sz="0" w:space="0" w:color="auto"/>
        <w:bottom w:val="none" w:sz="0" w:space="0" w:color="auto"/>
        <w:right w:val="none" w:sz="0" w:space="0" w:color="auto"/>
      </w:divBdr>
    </w:div>
    <w:div w:id="1800568466">
      <w:bodyDiv w:val="1"/>
      <w:marLeft w:val="0"/>
      <w:marRight w:val="0"/>
      <w:marTop w:val="0"/>
      <w:marBottom w:val="0"/>
      <w:divBdr>
        <w:top w:val="none" w:sz="0" w:space="0" w:color="auto"/>
        <w:left w:val="none" w:sz="0" w:space="0" w:color="auto"/>
        <w:bottom w:val="none" w:sz="0" w:space="0" w:color="auto"/>
        <w:right w:val="none" w:sz="0" w:space="0" w:color="auto"/>
      </w:divBdr>
    </w:div>
    <w:div w:id="1800683381">
      <w:bodyDiv w:val="1"/>
      <w:marLeft w:val="0"/>
      <w:marRight w:val="0"/>
      <w:marTop w:val="0"/>
      <w:marBottom w:val="0"/>
      <w:divBdr>
        <w:top w:val="none" w:sz="0" w:space="0" w:color="auto"/>
        <w:left w:val="none" w:sz="0" w:space="0" w:color="auto"/>
        <w:bottom w:val="none" w:sz="0" w:space="0" w:color="auto"/>
        <w:right w:val="none" w:sz="0" w:space="0" w:color="auto"/>
      </w:divBdr>
    </w:div>
    <w:div w:id="1801532937">
      <w:bodyDiv w:val="1"/>
      <w:marLeft w:val="0"/>
      <w:marRight w:val="0"/>
      <w:marTop w:val="0"/>
      <w:marBottom w:val="0"/>
      <w:divBdr>
        <w:top w:val="none" w:sz="0" w:space="0" w:color="auto"/>
        <w:left w:val="none" w:sz="0" w:space="0" w:color="auto"/>
        <w:bottom w:val="none" w:sz="0" w:space="0" w:color="auto"/>
        <w:right w:val="none" w:sz="0" w:space="0" w:color="auto"/>
      </w:divBdr>
    </w:div>
    <w:div w:id="1801608850">
      <w:bodyDiv w:val="1"/>
      <w:marLeft w:val="0"/>
      <w:marRight w:val="0"/>
      <w:marTop w:val="0"/>
      <w:marBottom w:val="0"/>
      <w:divBdr>
        <w:top w:val="none" w:sz="0" w:space="0" w:color="auto"/>
        <w:left w:val="none" w:sz="0" w:space="0" w:color="auto"/>
        <w:bottom w:val="none" w:sz="0" w:space="0" w:color="auto"/>
        <w:right w:val="none" w:sz="0" w:space="0" w:color="auto"/>
      </w:divBdr>
    </w:div>
    <w:div w:id="1802260080">
      <w:bodyDiv w:val="1"/>
      <w:marLeft w:val="0"/>
      <w:marRight w:val="0"/>
      <w:marTop w:val="0"/>
      <w:marBottom w:val="0"/>
      <w:divBdr>
        <w:top w:val="none" w:sz="0" w:space="0" w:color="auto"/>
        <w:left w:val="none" w:sz="0" w:space="0" w:color="auto"/>
        <w:bottom w:val="none" w:sz="0" w:space="0" w:color="auto"/>
        <w:right w:val="none" w:sz="0" w:space="0" w:color="auto"/>
      </w:divBdr>
    </w:div>
    <w:div w:id="1802574047">
      <w:bodyDiv w:val="1"/>
      <w:marLeft w:val="0"/>
      <w:marRight w:val="0"/>
      <w:marTop w:val="0"/>
      <w:marBottom w:val="0"/>
      <w:divBdr>
        <w:top w:val="none" w:sz="0" w:space="0" w:color="auto"/>
        <w:left w:val="none" w:sz="0" w:space="0" w:color="auto"/>
        <w:bottom w:val="none" w:sz="0" w:space="0" w:color="auto"/>
        <w:right w:val="none" w:sz="0" w:space="0" w:color="auto"/>
      </w:divBdr>
    </w:div>
    <w:div w:id="1803302839">
      <w:bodyDiv w:val="1"/>
      <w:marLeft w:val="0"/>
      <w:marRight w:val="0"/>
      <w:marTop w:val="0"/>
      <w:marBottom w:val="0"/>
      <w:divBdr>
        <w:top w:val="none" w:sz="0" w:space="0" w:color="auto"/>
        <w:left w:val="none" w:sz="0" w:space="0" w:color="auto"/>
        <w:bottom w:val="none" w:sz="0" w:space="0" w:color="auto"/>
        <w:right w:val="none" w:sz="0" w:space="0" w:color="auto"/>
      </w:divBdr>
    </w:div>
    <w:div w:id="1803497758">
      <w:bodyDiv w:val="1"/>
      <w:marLeft w:val="0"/>
      <w:marRight w:val="0"/>
      <w:marTop w:val="0"/>
      <w:marBottom w:val="0"/>
      <w:divBdr>
        <w:top w:val="none" w:sz="0" w:space="0" w:color="auto"/>
        <w:left w:val="none" w:sz="0" w:space="0" w:color="auto"/>
        <w:bottom w:val="none" w:sz="0" w:space="0" w:color="auto"/>
        <w:right w:val="none" w:sz="0" w:space="0" w:color="auto"/>
      </w:divBdr>
    </w:div>
    <w:div w:id="1803693488">
      <w:bodyDiv w:val="1"/>
      <w:marLeft w:val="0"/>
      <w:marRight w:val="0"/>
      <w:marTop w:val="0"/>
      <w:marBottom w:val="0"/>
      <w:divBdr>
        <w:top w:val="none" w:sz="0" w:space="0" w:color="auto"/>
        <w:left w:val="none" w:sz="0" w:space="0" w:color="auto"/>
        <w:bottom w:val="none" w:sz="0" w:space="0" w:color="auto"/>
        <w:right w:val="none" w:sz="0" w:space="0" w:color="auto"/>
      </w:divBdr>
    </w:div>
    <w:div w:id="1803961309">
      <w:bodyDiv w:val="1"/>
      <w:marLeft w:val="0"/>
      <w:marRight w:val="0"/>
      <w:marTop w:val="0"/>
      <w:marBottom w:val="0"/>
      <w:divBdr>
        <w:top w:val="none" w:sz="0" w:space="0" w:color="auto"/>
        <w:left w:val="none" w:sz="0" w:space="0" w:color="auto"/>
        <w:bottom w:val="none" w:sz="0" w:space="0" w:color="auto"/>
        <w:right w:val="none" w:sz="0" w:space="0" w:color="auto"/>
      </w:divBdr>
    </w:div>
    <w:div w:id="1804470199">
      <w:bodyDiv w:val="1"/>
      <w:marLeft w:val="0"/>
      <w:marRight w:val="0"/>
      <w:marTop w:val="0"/>
      <w:marBottom w:val="0"/>
      <w:divBdr>
        <w:top w:val="none" w:sz="0" w:space="0" w:color="auto"/>
        <w:left w:val="none" w:sz="0" w:space="0" w:color="auto"/>
        <w:bottom w:val="none" w:sz="0" w:space="0" w:color="auto"/>
        <w:right w:val="none" w:sz="0" w:space="0" w:color="auto"/>
      </w:divBdr>
    </w:div>
    <w:div w:id="1804494663">
      <w:bodyDiv w:val="1"/>
      <w:marLeft w:val="0"/>
      <w:marRight w:val="0"/>
      <w:marTop w:val="0"/>
      <w:marBottom w:val="0"/>
      <w:divBdr>
        <w:top w:val="none" w:sz="0" w:space="0" w:color="auto"/>
        <w:left w:val="none" w:sz="0" w:space="0" w:color="auto"/>
        <w:bottom w:val="none" w:sz="0" w:space="0" w:color="auto"/>
        <w:right w:val="none" w:sz="0" w:space="0" w:color="auto"/>
      </w:divBdr>
    </w:div>
    <w:div w:id="1805417323">
      <w:bodyDiv w:val="1"/>
      <w:marLeft w:val="0"/>
      <w:marRight w:val="0"/>
      <w:marTop w:val="0"/>
      <w:marBottom w:val="0"/>
      <w:divBdr>
        <w:top w:val="none" w:sz="0" w:space="0" w:color="auto"/>
        <w:left w:val="none" w:sz="0" w:space="0" w:color="auto"/>
        <w:bottom w:val="none" w:sz="0" w:space="0" w:color="auto"/>
        <w:right w:val="none" w:sz="0" w:space="0" w:color="auto"/>
      </w:divBdr>
    </w:div>
    <w:div w:id="1807315914">
      <w:bodyDiv w:val="1"/>
      <w:marLeft w:val="0"/>
      <w:marRight w:val="0"/>
      <w:marTop w:val="0"/>
      <w:marBottom w:val="0"/>
      <w:divBdr>
        <w:top w:val="none" w:sz="0" w:space="0" w:color="auto"/>
        <w:left w:val="none" w:sz="0" w:space="0" w:color="auto"/>
        <w:bottom w:val="none" w:sz="0" w:space="0" w:color="auto"/>
        <w:right w:val="none" w:sz="0" w:space="0" w:color="auto"/>
      </w:divBdr>
    </w:div>
    <w:div w:id="1807358145">
      <w:bodyDiv w:val="1"/>
      <w:marLeft w:val="0"/>
      <w:marRight w:val="0"/>
      <w:marTop w:val="0"/>
      <w:marBottom w:val="0"/>
      <w:divBdr>
        <w:top w:val="none" w:sz="0" w:space="0" w:color="auto"/>
        <w:left w:val="none" w:sz="0" w:space="0" w:color="auto"/>
        <w:bottom w:val="none" w:sz="0" w:space="0" w:color="auto"/>
        <w:right w:val="none" w:sz="0" w:space="0" w:color="auto"/>
      </w:divBdr>
    </w:div>
    <w:div w:id="1807628347">
      <w:bodyDiv w:val="1"/>
      <w:marLeft w:val="0"/>
      <w:marRight w:val="0"/>
      <w:marTop w:val="0"/>
      <w:marBottom w:val="0"/>
      <w:divBdr>
        <w:top w:val="none" w:sz="0" w:space="0" w:color="auto"/>
        <w:left w:val="none" w:sz="0" w:space="0" w:color="auto"/>
        <w:bottom w:val="none" w:sz="0" w:space="0" w:color="auto"/>
        <w:right w:val="none" w:sz="0" w:space="0" w:color="auto"/>
      </w:divBdr>
    </w:div>
    <w:div w:id="1808208611">
      <w:bodyDiv w:val="1"/>
      <w:marLeft w:val="0"/>
      <w:marRight w:val="0"/>
      <w:marTop w:val="0"/>
      <w:marBottom w:val="0"/>
      <w:divBdr>
        <w:top w:val="none" w:sz="0" w:space="0" w:color="auto"/>
        <w:left w:val="none" w:sz="0" w:space="0" w:color="auto"/>
        <w:bottom w:val="none" w:sz="0" w:space="0" w:color="auto"/>
        <w:right w:val="none" w:sz="0" w:space="0" w:color="auto"/>
      </w:divBdr>
    </w:div>
    <w:div w:id="1808467969">
      <w:bodyDiv w:val="1"/>
      <w:marLeft w:val="0"/>
      <w:marRight w:val="0"/>
      <w:marTop w:val="0"/>
      <w:marBottom w:val="0"/>
      <w:divBdr>
        <w:top w:val="none" w:sz="0" w:space="0" w:color="auto"/>
        <w:left w:val="none" w:sz="0" w:space="0" w:color="auto"/>
        <w:bottom w:val="none" w:sz="0" w:space="0" w:color="auto"/>
        <w:right w:val="none" w:sz="0" w:space="0" w:color="auto"/>
      </w:divBdr>
    </w:div>
    <w:div w:id="1808468505">
      <w:bodyDiv w:val="1"/>
      <w:marLeft w:val="0"/>
      <w:marRight w:val="0"/>
      <w:marTop w:val="0"/>
      <w:marBottom w:val="0"/>
      <w:divBdr>
        <w:top w:val="none" w:sz="0" w:space="0" w:color="auto"/>
        <w:left w:val="none" w:sz="0" w:space="0" w:color="auto"/>
        <w:bottom w:val="none" w:sz="0" w:space="0" w:color="auto"/>
        <w:right w:val="none" w:sz="0" w:space="0" w:color="auto"/>
      </w:divBdr>
    </w:div>
    <w:div w:id="1808548809">
      <w:bodyDiv w:val="1"/>
      <w:marLeft w:val="0"/>
      <w:marRight w:val="0"/>
      <w:marTop w:val="0"/>
      <w:marBottom w:val="0"/>
      <w:divBdr>
        <w:top w:val="none" w:sz="0" w:space="0" w:color="auto"/>
        <w:left w:val="none" w:sz="0" w:space="0" w:color="auto"/>
        <w:bottom w:val="none" w:sz="0" w:space="0" w:color="auto"/>
        <w:right w:val="none" w:sz="0" w:space="0" w:color="auto"/>
      </w:divBdr>
    </w:div>
    <w:div w:id="1810244622">
      <w:bodyDiv w:val="1"/>
      <w:marLeft w:val="0"/>
      <w:marRight w:val="0"/>
      <w:marTop w:val="0"/>
      <w:marBottom w:val="0"/>
      <w:divBdr>
        <w:top w:val="none" w:sz="0" w:space="0" w:color="auto"/>
        <w:left w:val="none" w:sz="0" w:space="0" w:color="auto"/>
        <w:bottom w:val="none" w:sz="0" w:space="0" w:color="auto"/>
        <w:right w:val="none" w:sz="0" w:space="0" w:color="auto"/>
      </w:divBdr>
    </w:div>
    <w:div w:id="1812165213">
      <w:bodyDiv w:val="1"/>
      <w:marLeft w:val="0"/>
      <w:marRight w:val="0"/>
      <w:marTop w:val="0"/>
      <w:marBottom w:val="0"/>
      <w:divBdr>
        <w:top w:val="none" w:sz="0" w:space="0" w:color="auto"/>
        <w:left w:val="none" w:sz="0" w:space="0" w:color="auto"/>
        <w:bottom w:val="none" w:sz="0" w:space="0" w:color="auto"/>
        <w:right w:val="none" w:sz="0" w:space="0" w:color="auto"/>
      </w:divBdr>
    </w:div>
    <w:div w:id="1813012091">
      <w:bodyDiv w:val="1"/>
      <w:marLeft w:val="0"/>
      <w:marRight w:val="0"/>
      <w:marTop w:val="0"/>
      <w:marBottom w:val="0"/>
      <w:divBdr>
        <w:top w:val="none" w:sz="0" w:space="0" w:color="auto"/>
        <w:left w:val="none" w:sz="0" w:space="0" w:color="auto"/>
        <w:bottom w:val="none" w:sz="0" w:space="0" w:color="auto"/>
        <w:right w:val="none" w:sz="0" w:space="0" w:color="auto"/>
      </w:divBdr>
    </w:div>
    <w:div w:id="1815096104">
      <w:bodyDiv w:val="1"/>
      <w:marLeft w:val="0"/>
      <w:marRight w:val="0"/>
      <w:marTop w:val="0"/>
      <w:marBottom w:val="0"/>
      <w:divBdr>
        <w:top w:val="none" w:sz="0" w:space="0" w:color="auto"/>
        <w:left w:val="none" w:sz="0" w:space="0" w:color="auto"/>
        <w:bottom w:val="none" w:sz="0" w:space="0" w:color="auto"/>
        <w:right w:val="none" w:sz="0" w:space="0" w:color="auto"/>
      </w:divBdr>
    </w:div>
    <w:div w:id="1815220001">
      <w:bodyDiv w:val="1"/>
      <w:marLeft w:val="0"/>
      <w:marRight w:val="0"/>
      <w:marTop w:val="0"/>
      <w:marBottom w:val="0"/>
      <w:divBdr>
        <w:top w:val="none" w:sz="0" w:space="0" w:color="auto"/>
        <w:left w:val="none" w:sz="0" w:space="0" w:color="auto"/>
        <w:bottom w:val="none" w:sz="0" w:space="0" w:color="auto"/>
        <w:right w:val="none" w:sz="0" w:space="0" w:color="auto"/>
      </w:divBdr>
    </w:div>
    <w:div w:id="1815369921">
      <w:bodyDiv w:val="1"/>
      <w:marLeft w:val="0"/>
      <w:marRight w:val="0"/>
      <w:marTop w:val="0"/>
      <w:marBottom w:val="0"/>
      <w:divBdr>
        <w:top w:val="none" w:sz="0" w:space="0" w:color="auto"/>
        <w:left w:val="none" w:sz="0" w:space="0" w:color="auto"/>
        <w:bottom w:val="none" w:sz="0" w:space="0" w:color="auto"/>
        <w:right w:val="none" w:sz="0" w:space="0" w:color="auto"/>
      </w:divBdr>
    </w:div>
    <w:div w:id="1816026458">
      <w:bodyDiv w:val="1"/>
      <w:marLeft w:val="0"/>
      <w:marRight w:val="0"/>
      <w:marTop w:val="0"/>
      <w:marBottom w:val="0"/>
      <w:divBdr>
        <w:top w:val="none" w:sz="0" w:space="0" w:color="auto"/>
        <w:left w:val="none" w:sz="0" w:space="0" w:color="auto"/>
        <w:bottom w:val="none" w:sz="0" w:space="0" w:color="auto"/>
        <w:right w:val="none" w:sz="0" w:space="0" w:color="auto"/>
      </w:divBdr>
    </w:div>
    <w:div w:id="1817138054">
      <w:bodyDiv w:val="1"/>
      <w:marLeft w:val="0"/>
      <w:marRight w:val="0"/>
      <w:marTop w:val="0"/>
      <w:marBottom w:val="0"/>
      <w:divBdr>
        <w:top w:val="none" w:sz="0" w:space="0" w:color="auto"/>
        <w:left w:val="none" w:sz="0" w:space="0" w:color="auto"/>
        <w:bottom w:val="none" w:sz="0" w:space="0" w:color="auto"/>
        <w:right w:val="none" w:sz="0" w:space="0" w:color="auto"/>
      </w:divBdr>
    </w:div>
    <w:div w:id="1817645684">
      <w:bodyDiv w:val="1"/>
      <w:marLeft w:val="0"/>
      <w:marRight w:val="0"/>
      <w:marTop w:val="0"/>
      <w:marBottom w:val="0"/>
      <w:divBdr>
        <w:top w:val="none" w:sz="0" w:space="0" w:color="auto"/>
        <w:left w:val="none" w:sz="0" w:space="0" w:color="auto"/>
        <w:bottom w:val="none" w:sz="0" w:space="0" w:color="auto"/>
        <w:right w:val="none" w:sz="0" w:space="0" w:color="auto"/>
      </w:divBdr>
    </w:div>
    <w:div w:id="1818958404">
      <w:bodyDiv w:val="1"/>
      <w:marLeft w:val="0"/>
      <w:marRight w:val="0"/>
      <w:marTop w:val="0"/>
      <w:marBottom w:val="0"/>
      <w:divBdr>
        <w:top w:val="none" w:sz="0" w:space="0" w:color="auto"/>
        <w:left w:val="none" w:sz="0" w:space="0" w:color="auto"/>
        <w:bottom w:val="none" w:sz="0" w:space="0" w:color="auto"/>
        <w:right w:val="none" w:sz="0" w:space="0" w:color="auto"/>
      </w:divBdr>
    </w:div>
    <w:div w:id="1822232067">
      <w:bodyDiv w:val="1"/>
      <w:marLeft w:val="0"/>
      <w:marRight w:val="0"/>
      <w:marTop w:val="0"/>
      <w:marBottom w:val="0"/>
      <w:divBdr>
        <w:top w:val="none" w:sz="0" w:space="0" w:color="auto"/>
        <w:left w:val="none" w:sz="0" w:space="0" w:color="auto"/>
        <w:bottom w:val="none" w:sz="0" w:space="0" w:color="auto"/>
        <w:right w:val="none" w:sz="0" w:space="0" w:color="auto"/>
      </w:divBdr>
    </w:div>
    <w:div w:id="1822502185">
      <w:bodyDiv w:val="1"/>
      <w:marLeft w:val="0"/>
      <w:marRight w:val="0"/>
      <w:marTop w:val="0"/>
      <w:marBottom w:val="0"/>
      <w:divBdr>
        <w:top w:val="none" w:sz="0" w:space="0" w:color="auto"/>
        <w:left w:val="none" w:sz="0" w:space="0" w:color="auto"/>
        <w:bottom w:val="none" w:sz="0" w:space="0" w:color="auto"/>
        <w:right w:val="none" w:sz="0" w:space="0" w:color="auto"/>
      </w:divBdr>
    </w:div>
    <w:div w:id="1823304937">
      <w:bodyDiv w:val="1"/>
      <w:marLeft w:val="0"/>
      <w:marRight w:val="0"/>
      <w:marTop w:val="0"/>
      <w:marBottom w:val="0"/>
      <w:divBdr>
        <w:top w:val="none" w:sz="0" w:space="0" w:color="auto"/>
        <w:left w:val="none" w:sz="0" w:space="0" w:color="auto"/>
        <w:bottom w:val="none" w:sz="0" w:space="0" w:color="auto"/>
        <w:right w:val="none" w:sz="0" w:space="0" w:color="auto"/>
      </w:divBdr>
    </w:div>
    <w:div w:id="1823545617">
      <w:bodyDiv w:val="1"/>
      <w:marLeft w:val="0"/>
      <w:marRight w:val="0"/>
      <w:marTop w:val="0"/>
      <w:marBottom w:val="0"/>
      <w:divBdr>
        <w:top w:val="none" w:sz="0" w:space="0" w:color="auto"/>
        <w:left w:val="none" w:sz="0" w:space="0" w:color="auto"/>
        <w:bottom w:val="none" w:sz="0" w:space="0" w:color="auto"/>
        <w:right w:val="none" w:sz="0" w:space="0" w:color="auto"/>
      </w:divBdr>
    </w:div>
    <w:div w:id="1823738635">
      <w:bodyDiv w:val="1"/>
      <w:marLeft w:val="0"/>
      <w:marRight w:val="0"/>
      <w:marTop w:val="0"/>
      <w:marBottom w:val="0"/>
      <w:divBdr>
        <w:top w:val="none" w:sz="0" w:space="0" w:color="auto"/>
        <w:left w:val="none" w:sz="0" w:space="0" w:color="auto"/>
        <w:bottom w:val="none" w:sz="0" w:space="0" w:color="auto"/>
        <w:right w:val="none" w:sz="0" w:space="0" w:color="auto"/>
      </w:divBdr>
    </w:div>
    <w:div w:id="1823886218">
      <w:bodyDiv w:val="1"/>
      <w:marLeft w:val="0"/>
      <w:marRight w:val="0"/>
      <w:marTop w:val="0"/>
      <w:marBottom w:val="0"/>
      <w:divBdr>
        <w:top w:val="none" w:sz="0" w:space="0" w:color="auto"/>
        <w:left w:val="none" w:sz="0" w:space="0" w:color="auto"/>
        <w:bottom w:val="none" w:sz="0" w:space="0" w:color="auto"/>
        <w:right w:val="none" w:sz="0" w:space="0" w:color="auto"/>
      </w:divBdr>
    </w:div>
    <w:div w:id="1824857651">
      <w:bodyDiv w:val="1"/>
      <w:marLeft w:val="0"/>
      <w:marRight w:val="0"/>
      <w:marTop w:val="0"/>
      <w:marBottom w:val="0"/>
      <w:divBdr>
        <w:top w:val="none" w:sz="0" w:space="0" w:color="auto"/>
        <w:left w:val="none" w:sz="0" w:space="0" w:color="auto"/>
        <w:bottom w:val="none" w:sz="0" w:space="0" w:color="auto"/>
        <w:right w:val="none" w:sz="0" w:space="0" w:color="auto"/>
      </w:divBdr>
    </w:div>
    <w:div w:id="1825123504">
      <w:bodyDiv w:val="1"/>
      <w:marLeft w:val="0"/>
      <w:marRight w:val="0"/>
      <w:marTop w:val="0"/>
      <w:marBottom w:val="0"/>
      <w:divBdr>
        <w:top w:val="none" w:sz="0" w:space="0" w:color="auto"/>
        <w:left w:val="none" w:sz="0" w:space="0" w:color="auto"/>
        <w:bottom w:val="none" w:sz="0" w:space="0" w:color="auto"/>
        <w:right w:val="none" w:sz="0" w:space="0" w:color="auto"/>
      </w:divBdr>
    </w:div>
    <w:div w:id="1825511676">
      <w:bodyDiv w:val="1"/>
      <w:marLeft w:val="0"/>
      <w:marRight w:val="0"/>
      <w:marTop w:val="0"/>
      <w:marBottom w:val="0"/>
      <w:divBdr>
        <w:top w:val="none" w:sz="0" w:space="0" w:color="auto"/>
        <w:left w:val="none" w:sz="0" w:space="0" w:color="auto"/>
        <w:bottom w:val="none" w:sz="0" w:space="0" w:color="auto"/>
        <w:right w:val="none" w:sz="0" w:space="0" w:color="auto"/>
      </w:divBdr>
    </w:div>
    <w:div w:id="1826705569">
      <w:bodyDiv w:val="1"/>
      <w:marLeft w:val="0"/>
      <w:marRight w:val="0"/>
      <w:marTop w:val="0"/>
      <w:marBottom w:val="0"/>
      <w:divBdr>
        <w:top w:val="none" w:sz="0" w:space="0" w:color="auto"/>
        <w:left w:val="none" w:sz="0" w:space="0" w:color="auto"/>
        <w:bottom w:val="none" w:sz="0" w:space="0" w:color="auto"/>
        <w:right w:val="none" w:sz="0" w:space="0" w:color="auto"/>
      </w:divBdr>
    </w:div>
    <w:div w:id="1827545906">
      <w:bodyDiv w:val="1"/>
      <w:marLeft w:val="0"/>
      <w:marRight w:val="0"/>
      <w:marTop w:val="0"/>
      <w:marBottom w:val="0"/>
      <w:divBdr>
        <w:top w:val="none" w:sz="0" w:space="0" w:color="auto"/>
        <w:left w:val="none" w:sz="0" w:space="0" w:color="auto"/>
        <w:bottom w:val="none" w:sz="0" w:space="0" w:color="auto"/>
        <w:right w:val="none" w:sz="0" w:space="0" w:color="auto"/>
      </w:divBdr>
    </w:div>
    <w:div w:id="1827816605">
      <w:bodyDiv w:val="1"/>
      <w:marLeft w:val="0"/>
      <w:marRight w:val="0"/>
      <w:marTop w:val="0"/>
      <w:marBottom w:val="0"/>
      <w:divBdr>
        <w:top w:val="none" w:sz="0" w:space="0" w:color="auto"/>
        <w:left w:val="none" w:sz="0" w:space="0" w:color="auto"/>
        <w:bottom w:val="none" w:sz="0" w:space="0" w:color="auto"/>
        <w:right w:val="none" w:sz="0" w:space="0" w:color="auto"/>
      </w:divBdr>
    </w:div>
    <w:div w:id="1828590649">
      <w:bodyDiv w:val="1"/>
      <w:marLeft w:val="0"/>
      <w:marRight w:val="0"/>
      <w:marTop w:val="0"/>
      <w:marBottom w:val="0"/>
      <w:divBdr>
        <w:top w:val="none" w:sz="0" w:space="0" w:color="auto"/>
        <w:left w:val="none" w:sz="0" w:space="0" w:color="auto"/>
        <w:bottom w:val="none" w:sz="0" w:space="0" w:color="auto"/>
        <w:right w:val="none" w:sz="0" w:space="0" w:color="auto"/>
      </w:divBdr>
    </w:div>
    <w:div w:id="1829058837">
      <w:bodyDiv w:val="1"/>
      <w:marLeft w:val="0"/>
      <w:marRight w:val="0"/>
      <w:marTop w:val="0"/>
      <w:marBottom w:val="0"/>
      <w:divBdr>
        <w:top w:val="none" w:sz="0" w:space="0" w:color="auto"/>
        <w:left w:val="none" w:sz="0" w:space="0" w:color="auto"/>
        <w:bottom w:val="none" w:sz="0" w:space="0" w:color="auto"/>
        <w:right w:val="none" w:sz="0" w:space="0" w:color="auto"/>
      </w:divBdr>
    </w:div>
    <w:div w:id="1829319062">
      <w:bodyDiv w:val="1"/>
      <w:marLeft w:val="0"/>
      <w:marRight w:val="0"/>
      <w:marTop w:val="0"/>
      <w:marBottom w:val="0"/>
      <w:divBdr>
        <w:top w:val="none" w:sz="0" w:space="0" w:color="auto"/>
        <w:left w:val="none" w:sz="0" w:space="0" w:color="auto"/>
        <w:bottom w:val="none" w:sz="0" w:space="0" w:color="auto"/>
        <w:right w:val="none" w:sz="0" w:space="0" w:color="auto"/>
      </w:divBdr>
    </w:div>
    <w:div w:id="1829664999">
      <w:bodyDiv w:val="1"/>
      <w:marLeft w:val="0"/>
      <w:marRight w:val="0"/>
      <w:marTop w:val="0"/>
      <w:marBottom w:val="0"/>
      <w:divBdr>
        <w:top w:val="none" w:sz="0" w:space="0" w:color="auto"/>
        <w:left w:val="none" w:sz="0" w:space="0" w:color="auto"/>
        <w:bottom w:val="none" w:sz="0" w:space="0" w:color="auto"/>
        <w:right w:val="none" w:sz="0" w:space="0" w:color="auto"/>
      </w:divBdr>
    </w:div>
    <w:div w:id="1830100613">
      <w:bodyDiv w:val="1"/>
      <w:marLeft w:val="0"/>
      <w:marRight w:val="0"/>
      <w:marTop w:val="0"/>
      <w:marBottom w:val="0"/>
      <w:divBdr>
        <w:top w:val="none" w:sz="0" w:space="0" w:color="auto"/>
        <w:left w:val="none" w:sz="0" w:space="0" w:color="auto"/>
        <w:bottom w:val="none" w:sz="0" w:space="0" w:color="auto"/>
        <w:right w:val="none" w:sz="0" w:space="0" w:color="auto"/>
      </w:divBdr>
    </w:div>
    <w:div w:id="1830170011">
      <w:bodyDiv w:val="1"/>
      <w:marLeft w:val="0"/>
      <w:marRight w:val="0"/>
      <w:marTop w:val="0"/>
      <w:marBottom w:val="0"/>
      <w:divBdr>
        <w:top w:val="none" w:sz="0" w:space="0" w:color="auto"/>
        <w:left w:val="none" w:sz="0" w:space="0" w:color="auto"/>
        <w:bottom w:val="none" w:sz="0" w:space="0" w:color="auto"/>
        <w:right w:val="none" w:sz="0" w:space="0" w:color="auto"/>
      </w:divBdr>
    </w:div>
    <w:div w:id="1830368055">
      <w:bodyDiv w:val="1"/>
      <w:marLeft w:val="0"/>
      <w:marRight w:val="0"/>
      <w:marTop w:val="0"/>
      <w:marBottom w:val="0"/>
      <w:divBdr>
        <w:top w:val="none" w:sz="0" w:space="0" w:color="auto"/>
        <w:left w:val="none" w:sz="0" w:space="0" w:color="auto"/>
        <w:bottom w:val="none" w:sz="0" w:space="0" w:color="auto"/>
        <w:right w:val="none" w:sz="0" w:space="0" w:color="auto"/>
      </w:divBdr>
    </w:div>
    <w:div w:id="1830906845">
      <w:bodyDiv w:val="1"/>
      <w:marLeft w:val="0"/>
      <w:marRight w:val="0"/>
      <w:marTop w:val="0"/>
      <w:marBottom w:val="0"/>
      <w:divBdr>
        <w:top w:val="none" w:sz="0" w:space="0" w:color="auto"/>
        <w:left w:val="none" w:sz="0" w:space="0" w:color="auto"/>
        <w:bottom w:val="none" w:sz="0" w:space="0" w:color="auto"/>
        <w:right w:val="none" w:sz="0" w:space="0" w:color="auto"/>
      </w:divBdr>
    </w:div>
    <w:div w:id="1831601049">
      <w:bodyDiv w:val="1"/>
      <w:marLeft w:val="0"/>
      <w:marRight w:val="0"/>
      <w:marTop w:val="0"/>
      <w:marBottom w:val="0"/>
      <w:divBdr>
        <w:top w:val="none" w:sz="0" w:space="0" w:color="auto"/>
        <w:left w:val="none" w:sz="0" w:space="0" w:color="auto"/>
        <w:bottom w:val="none" w:sz="0" w:space="0" w:color="auto"/>
        <w:right w:val="none" w:sz="0" w:space="0" w:color="auto"/>
      </w:divBdr>
    </w:div>
    <w:div w:id="1833794845">
      <w:bodyDiv w:val="1"/>
      <w:marLeft w:val="0"/>
      <w:marRight w:val="0"/>
      <w:marTop w:val="0"/>
      <w:marBottom w:val="0"/>
      <w:divBdr>
        <w:top w:val="none" w:sz="0" w:space="0" w:color="auto"/>
        <w:left w:val="none" w:sz="0" w:space="0" w:color="auto"/>
        <w:bottom w:val="none" w:sz="0" w:space="0" w:color="auto"/>
        <w:right w:val="none" w:sz="0" w:space="0" w:color="auto"/>
      </w:divBdr>
    </w:div>
    <w:div w:id="1833836781">
      <w:bodyDiv w:val="1"/>
      <w:marLeft w:val="0"/>
      <w:marRight w:val="0"/>
      <w:marTop w:val="0"/>
      <w:marBottom w:val="0"/>
      <w:divBdr>
        <w:top w:val="none" w:sz="0" w:space="0" w:color="auto"/>
        <w:left w:val="none" w:sz="0" w:space="0" w:color="auto"/>
        <w:bottom w:val="none" w:sz="0" w:space="0" w:color="auto"/>
        <w:right w:val="none" w:sz="0" w:space="0" w:color="auto"/>
      </w:divBdr>
    </w:div>
    <w:div w:id="1834175389">
      <w:bodyDiv w:val="1"/>
      <w:marLeft w:val="0"/>
      <w:marRight w:val="0"/>
      <w:marTop w:val="0"/>
      <w:marBottom w:val="0"/>
      <w:divBdr>
        <w:top w:val="none" w:sz="0" w:space="0" w:color="auto"/>
        <w:left w:val="none" w:sz="0" w:space="0" w:color="auto"/>
        <w:bottom w:val="none" w:sz="0" w:space="0" w:color="auto"/>
        <w:right w:val="none" w:sz="0" w:space="0" w:color="auto"/>
      </w:divBdr>
    </w:div>
    <w:div w:id="1835758051">
      <w:bodyDiv w:val="1"/>
      <w:marLeft w:val="0"/>
      <w:marRight w:val="0"/>
      <w:marTop w:val="0"/>
      <w:marBottom w:val="0"/>
      <w:divBdr>
        <w:top w:val="none" w:sz="0" w:space="0" w:color="auto"/>
        <w:left w:val="none" w:sz="0" w:space="0" w:color="auto"/>
        <w:bottom w:val="none" w:sz="0" w:space="0" w:color="auto"/>
        <w:right w:val="none" w:sz="0" w:space="0" w:color="auto"/>
      </w:divBdr>
    </w:div>
    <w:div w:id="1836216650">
      <w:bodyDiv w:val="1"/>
      <w:marLeft w:val="0"/>
      <w:marRight w:val="0"/>
      <w:marTop w:val="0"/>
      <w:marBottom w:val="0"/>
      <w:divBdr>
        <w:top w:val="none" w:sz="0" w:space="0" w:color="auto"/>
        <w:left w:val="none" w:sz="0" w:space="0" w:color="auto"/>
        <w:bottom w:val="none" w:sz="0" w:space="0" w:color="auto"/>
        <w:right w:val="none" w:sz="0" w:space="0" w:color="auto"/>
      </w:divBdr>
    </w:div>
    <w:div w:id="1836334664">
      <w:bodyDiv w:val="1"/>
      <w:marLeft w:val="0"/>
      <w:marRight w:val="0"/>
      <w:marTop w:val="0"/>
      <w:marBottom w:val="0"/>
      <w:divBdr>
        <w:top w:val="none" w:sz="0" w:space="0" w:color="auto"/>
        <w:left w:val="none" w:sz="0" w:space="0" w:color="auto"/>
        <w:bottom w:val="none" w:sz="0" w:space="0" w:color="auto"/>
        <w:right w:val="none" w:sz="0" w:space="0" w:color="auto"/>
      </w:divBdr>
    </w:div>
    <w:div w:id="1837381909">
      <w:bodyDiv w:val="1"/>
      <w:marLeft w:val="0"/>
      <w:marRight w:val="0"/>
      <w:marTop w:val="0"/>
      <w:marBottom w:val="0"/>
      <w:divBdr>
        <w:top w:val="none" w:sz="0" w:space="0" w:color="auto"/>
        <w:left w:val="none" w:sz="0" w:space="0" w:color="auto"/>
        <w:bottom w:val="none" w:sz="0" w:space="0" w:color="auto"/>
        <w:right w:val="none" w:sz="0" w:space="0" w:color="auto"/>
      </w:divBdr>
    </w:div>
    <w:div w:id="1838110065">
      <w:bodyDiv w:val="1"/>
      <w:marLeft w:val="0"/>
      <w:marRight w:val="0"/>
      <w:marTop w:val="0"/>
      <w:marBottom w:val="0"/>
      <w:divBdr>
        <w:top w:val="none" w:sz="0" w:space="0" w:color="auto"/>
        <w:left w:val="none" w:sz="0" w:space="0" w:color="auto"/>
        <w:bottom w:val="none" w:sz="0" w:space="0" w:color="auto"/>
        <w:right w:val="none" w:sz="0" w:space="0" w:color="auto"/>
      </w:divBdr>
    </w:div>
    <w:div w:id="1839466268">
      <w:bodyDiv w:val="1"/>
      <w:marLeft w:val="0"/>
      <w:marRight w:val="0"/>
      <w:marTop w:val="0"/>
      <w:marBottom w:val="0"/>
      <w:divBdr>
        <w:top w:val="none" w:sz="0" w:space="0" w:color="auto"/>
        <w:left w:val="none" w:sz="0" w:space="0" w:color="auto"/>
        <w:bottom w:val="none" w:sz="0" w:space="0" w:color="auto"/>
        <w:right w:val="none" w:sz="0" w:space="0" w:color="auto"/>
      </w:divBdr>
      <w:divsChild>
        <w:div w:id="1976452003">
          <w:marLeft w:val="0"/>
          <w:marRight w:val="0"/>
          <w:marTop w:val="0"/>
          <w:marBottom w:val="0"/>
          <w:divBdr>
            <w:top w:val="none" w:sz="0" w:space="0" w:color="auto"/>
            <w:left w:val="none" w:sz="0" w:space="0" w:color="auto"/>
            <w:bottom w:val="none" w:sz="0" w:space="0" w:color="auto"/>
            <w:right w:val="none" w:sz="0" w:space="0" w:color="auto"/>
          </w:divBdr>
        </w:div>
      </w:divsChild>
    </w:div>
    <w:div w:id="1840533239">
      <w:bodyDiv w:val="1"/>
      <w:marLeft w:val="0"/>
      <w:marRight w:val="0"/>
      <w:marTop w:val="0"/>
      <w:marBottom w:val="0"/>
      <w:divBdr>
        <w:top w:val="none" w:sz="0" w:space="0" w:color="auto"/>
        <w:left w:val="none" w:sz="0" w:space="0" w:color="auto"/>
        <w:bottom w:val="none" w:sz="0" w:space="0" w:color="auto"/>
        <w:right w:val="none" w:sz="0" w:space="0" w:color="auto"/>
      </w:divBdr>
    </w:div>
    <w:div w:id="1840540595">
      <w:bodyDiv w:val="1"/>
      <w:marLeft w:val="0"/>
      <w:marRight w:val="0"/>
      <w:marTop w:val="0"/>
      <w:marBottom w:val="0"/>
      <w:divBdr>
        <w:top w:val="none" w:sz="0" w:space="0" w:color="auto"/>
        <w:left w:val="none" w:sz="0" w:space="0" w:color="auto"/>
        <w:bottom w:val="none" w:sz="0" w:space="0" w:color="auto"/>
        <w:right w:val="none" w:sz="0" w:space="0" w:color="auto"/>
      </w:divBdr>
    </w:div>
    <w:div w:id="1842231715">
      <w:bodyDiv w:val="1"/>
      <w:marLeft w:val="0"/>
      <w:marRight w:val="0"/>
      <w:marTop w:val="0"/>
      <w:marBottom w:val="0"/>
      <w:divBdr>
        <w:top w:val="none" w:sz="0" w:space="0" w:color="auto"/>
        <w:left w:val="none" w:sz="0" w:space="0" w:color="auto"/>
        <w:bottom w:val="none" w:sz="0" w:space="0" w:color="auto"/>
        <w:right w:val="none" w:sz="0" w:space="0" w:color="auto"/>
      </w:divBdr>
    </w:div>
    <w:div w:id="1843545918">
      <w:bodyDiv w:val="1"/>
      <w:marLeft w:val="0"/>
      <w:marRight w:val="0"/>
      <w:marTop w:val="0"/>
      <w:marBottom w:val="0"/>
      <w:divBdr>
        <w:top w:val="none" w:sz="0" w:space="0" w:color="auto"/>
        <w:left w:val="none" w:sz="0" w:space="0" w:color="auto"/>
        <w:bottom w:val="none" w:sz="0" w:space="0" w:color="auto"/>
        <w:right w:val="none" w:sz="0" w:space="0" w:color="auto"/>
      </w:divBdr>
    </w:div>
    <w:div w:id="1843625287">
      <w:bodyDiv w:val="1"/>
      <w:marLeft w:val="0"/>
      <w:marRight w:val="0"/>
      <w:marTop w:val="0"/>
      <w:marBottom w:val="0"/>
      <w:divBdr>
        <w:top w:val="none" w:sz="0" w:space="0" w:color="auto"/>
        <w:left w:val="none" w:sz="0" w:space="0" w:color="auto"/>
        <w:bottom w:val="none" w:sz="0" w:space="0" w:color="auto"/>
        <w:right w:val="none" w:sz="0" w:space="0" w:color="auto"/>
      </w:divBdr>
    </w:div>
    <w:div w:id="1844317137">
      <w:bodyDiv w:val="1"/>
      <w:marLeft w:val="0"/>
      <w:marRight w:val="0"/>
      <w:marTop w:val="0"/>
      <w:marBottom w:val="0"/>
      <w:divBdr>
        <w:top w:val="none" w:sz="0" w:space="0" w:color="auto"/>
        <w:left w:val="none" w:sz="0" w:space="0" w:color="auto"/>
        <w:bottom w:val="none" w:sz="0" w:space="0" w:color="auto"/>
        <w:right w:val="none" w:sz="0" w:space="0" w:color="auto"/>
      </w:divBdr>
    </w:div>
    <w:div w:id="1844658559">
      <w:bodyDiv w:val="1"/>
      <w:marLeft w:val="0"/>
      <w:marRight w:val="0"/>
      <w:marTop w:val="0"/>
      <w:marBottom w:val="0"/>
      <w:divBdr>
        <w:top w:val="none" w:sz="0" w:space="0" w:color="auto"/>
        <w:left w:val="none" w:sz="0" w:space="0" w:color="auto"/>
        <w:bottom w:val="none" w:sz="0" w:space="0" w:color="auto"/>
        <w:right w:val="none" w:sz="0" w:space="0" w:color="auto"/>
      </w:divBdr>
    </w:div>
    <w:div w:id="1845316708">
      <w:bodyDiv w:val="1"/>
      <w:marLeft w:val="0"/>
      <w:marRight w:val="0"/>
      <w:marTop w:val="0"/>
      <w:marBottom w:val="0"/>
      <w:divBdr>
        <w:top w:val="none" w:sz="0" w:space="0" w:color="auto"/>
        <w:left w:val="none" w:sz="0" w:space="0" w:color="auto"/>
        <w:bottom w:val="none" w:sz="0" w:space="0" w:color="auto"/>
        <w:right w:val="none" w:sz="0" w:space="0" w:color="auto"/>
      </w:divBdr>
    </w:div>
    <w:div w:id="1846509512">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1847816855">
      <w:bodyDiv w:val="1"/>
      <w:marLeft w:val="0"/>
      <w:marRight w:val="0"/>
      <w:marTop w:val="0"/>
      <w:marBottom w:val="0"/>
      <w:divBdr>
        <w:top w:val="none" w:sz="0" w:space="0" w:color="auto"/>
        <w:left w:val="none" w:sz="0" w:space="0" w:color="auto"/>
        <w:bottom w:val="none" w:sz="0" w:space="0" w:color="auto"/>
        <w:right w:val="none" w:sz="0" w:space="0" w:color="auto"/>
      </w:divBdr>
    </w:div>
    <w:div w:id="1848444813">
      <w:bodyDiv w:val="1"/>
      <w:marLeft w:val="0"/>
      <w:marRight w:val="0"/>
      <w:marTop w:val="0"/>
      <w:marBottom w:val="0"/>
      <w:divBdr>
        <w:top w:val="none" w:sz="0" w:space="0" w:color="auto"/>
        <w:left w:val="none" w:sz="0" w:space="0" w:color="auto"/>
        <w:bottom w:val="none" w:sz="0" w:space="0" w:color="auto"/>
        <w:right w:val="none" w:sz="0" w:space="0" w:color="auto"/>
      </w:divBdr>
    </w:div>
    <w:div w:id="1849129715">
      <w:bodyDiv w:val="1"/>
      <w:marLeft w:val="0"/>
      <w:marRight w:val="0"/>
      <w:marTop w:val="0"/>
      <w:marBottom w:val="0"/>
      <w:divBdr>
        <w:top w:val="none" w:sz="0" w:space="0" w:color="auto"/>
        <w:left w:val="none" w:sz="0" w:space="0" w:color="auto"/>
        <w:bottom w:val="none" w:sz="0" w:space="0" w:color="auto"/>
        <w:right w:val="none" w:sz="0" w:space="0" w:color="auto"/>
      </w:divBdr>
    </w:div>
    <w:div w:id="1849173778">
      <w:bodyDiv w:val="1"/>
      <w:marLeft w:val="0"/>
      <w:marRight w:val="0"/>
      <w:marTop w:val="0"/>
      <w:marBottom w:val="0"/>
      <w:divBdr>
        <w:top w:val="none" w:sz="0" w:space="0" w:color="auto"/>
        <w:left w:val="none" w:sz="0" w:space="0" w:color="auto"/>
        <w:bottom w:val="none" w:sz="0" w:space="0" w:color="auto"/>
        <w:right w:val="none" w:sz="0" w:space="0" w:color="auto"/>
      </w:divBdr>
    </w:div>
    <w:div w:id="1850833275">
      <w:bodyDiv w:val="1"/>
      <w:marLeft w:val="0"/>
      <w:marRight w:val="0"/>
      <w:marTop w:val="0"/>
      <w:marBottom w:val="0"/>
      <w:divBdr>
        <w:top w:val="none" w:sz="0" w:space="0" w:color="auto"/>
        <w:left w:val="none" w:sz="0" w:space="0" w:color="auto"/>
        <w:bottom w:val="none" w:sz="0" w:space="0" w:color="auto"/>
        <w:right w:val="none" w:sz="0" w:space="0" w:color="auto"/>
      </w:divBdr>
    </w:div>
    <w:div w:id="1852449882">
      <w:bodyDiv w:val="1"/>
      <w:marLeft w:val="0"/>
      <w:marRight w:val="0"/>
      <w:marTop w:val="0"/>
      <w:marBottom w:val="0"/>
      <w:divBdr>
        <w:top w:val="none" w:sz="0" w:space="0" w:color="auto"/>
        <w:left w:val="none" w:sz="0" w:space="0" w:color="auto"/>
        <w:bottom w:val="none" w:sz="0" w:space="0" w:color="auto"/>
        <w:right w:val="none" w:sz="0" w:space="0" w:color="auto"/>
      </w:divBdr>
    </w:div>
    <w:div w:id="1852530117">
      <w:bodyDiv w:val="1"/>
      <w:marLeft w:val="0"/>
      <w:marRight w:val="0"/>
      <w:marTop w:val="0"/>
      <w:marBottom w:val="0"/>
      <w:divBdr>
        <w:top w:val="none" w:sz="0" w:space="0" w:color="auto"/>
        <w:left w:val="none" w:sz="0" w:space="0" w:color="auto"/>
        <w:bottom w:val="none" w:sz="0" w:space="0" w:color="auto"/>
        <w:right w:val="none" w:sz="0" w:space="0" w:color="auto"/>
      </w:divBdr>
    </w:div>
    <w:div w:id="1852716587">
      <w:bodyDiv w:val="1"/>
      <w:marLeft w:val="0"/>
      <w:marRight w:val="0"/>
      <w:marTop w:val="0"/>
      <w:marBottom w:val="0"/>
      <w:divBdr>
        <w:top w:val="none" w:sz="0" w:space="0" w:color="auto"/>
        <w:left w:val="none" w:sz="0" w:space="0" w:color="auto"/>
        <w:bottom w:val="none" w:sz="0" w:space="0" w:color="auto"/>
        <w:right w:val="none" w:sz="0" w:space="0" w:color="auto"/>
      </w:divBdr>
      <w:divsChild>
        <w:div w:id="144594307">
          <w:marLeft w:val="0"/>
          <w:marRight w:val="0"/>
          <w:marTop w:val="0"/>
          <w:marBottom w:val="0"/>
          <w:divBdr>
            <w:top w:val="none" w:sz="0" w:space="0" w:color="auto"/>
            <w:left w:val="none" w:sz="0" w:space="0" w:color="auto"/>
            <w:bottom w:val="none" w:sz="0" w:space="0" w:color="auto"/>
            <w:right w:val="none" w:sz="0" w:space="0" w:color="auto"/>
          </w:divBdr>
        </w:div>
        <w:div w:id="147988446">
          <w:marLeft w:val="0"/>
          <w:marRight w:val="0"/>
          <w:marTop w:val="0"/>
          <w:marBottom w:val="0"/>
          <w:divBdr>
            <w:top w:val="none" w:sz="0" w:space="0" w:color="auto"/>
            <w:left w:val="none" w:sz="0" w:space="0" w:color="auto"/>
            <w:bottom w:val="none" w:sz="0" w:space="0" w:color="auto"/>
            <w:right w:val="none" w:sz="0" w:space="0" w:color="auto"/>
          </w:divBdr>
        </w:div>
        <w:div w:id="605621141">
          <w:marLeft w:val="0"/>
          <w:marRight w:val="0"/>
          <w:marTop w:val="0"/>
          <w:marBottom w:val="0"/>
          <w:divBdr>
            <w:top w:val="none" w:sz="0" w:space="0" w:color="auto"/>
            <w:left w:val="none" w:sz="0" w:space="0" w:color="auto"/>
            <w:bottom w:val="none" w:sz="0" w:space="0" w:color="auto"/>
            <w:right w:val="none" w:sz="0" w:space="0" w:color="auto"/>
          </w:divBdr>
        </w:div>
        <w:div w:id="627510063">
          <w:marLeft w:val="0"/>
          <w:marRight w:val="0"/>
          <w:marTop w:val="0"/>
          <w:marBottom w:val="0"/>
          <w:divBdr>
            <w:top w:val="none" w:sz="0" w:space="0" w:color="auto"/>
            <w:left w:val="none" w:sz="0" w:space="0" w:color="auto"/>
            <w:bottom w:val="none" w:sz="0" w:space="0" w:color="auto"/>
            <w:right w:val="none" w:sz="0" w:space="0" w:color="auto"/>
          </w:divBdr>
        </w:div>
        <w:div w:id="905411969">
          <w:marLeft w:val="0"/>
          <w:marRight w:val="0"/>
          <w:marTop w:val="0"/>
          <w:marBottom w:val="0"/>
          <w:divBdr>
            <w:top w:val="none" w:sz="0" w:space="0" w:color="auto"/>
            <w:left w:val="none" w:sz="0" w:space="0" w:color="auto"/>
            <w:bottom w:val="none" w:sz="0" w:space="0" w:color="auto"/>
            <w:right w:val="none" w:sz="0" w:space="0" w:color="auto"/>
          </w:divBdr>
        </w:div>
        <w:div w:id="1895658868">
          <w:marLeft w:val="0"/>
          <w:marRight w:val="0"/>
          <w:marTop w:val="0"/>
          <w:marBottom w:val="0"/>
          <w:divBdr>
            <w:top w:val="none" w:sz="0" w:space="0" w:color="auto"/>
            <w:left w:val="none" w:sz="0" w:space="0" w:color="auto"/>
            <w:bottom w:val="none" w:sz="0" w:space="0" w:color="auto"/>
            <w:right w:val="none" w:sz="0" w:space="0" w:color="auto"/>
          </w:divBdr>
        </w:div>
      </w:divsChild>
    </w:div>
    <w:div w:id="1853379134">
      <w:bodyDiv w:val="1"/>
      <w:marLeft w:val="0"/>
      <w:marRight w:val="0"/>
      <w:marTop w:val="0"/>
      <w:marBottom w:val="0"/>
      <w:divBdr>
        <w:top w:val="none" w:sz="0" w:space="0" w:color="auto"/>
        <w:left w:val="none" w:sz="0" w:space="0" w:color="auto"/>
        <w:bottom w:val="none" w:sz="0" w:space="0" w:color="auto"/>
        <w:right w:val="none" w:sz="0" w:space="0" w:color="auto"/>
      </w:divBdr>
    </w:div>
    <w:div w:id="1853688360">
      <w:bodyDiv w:val="1"/>
      <w:marLeft w:val="0"/>
      <w:marRight w:val="0"/>
      <w:marTop w:val="0"/>
      <w:marBottom w:val="0"/>
      <w:divBdr>
        <w:top w:val="none" w:sz="0" w:space="0" w:color="auto"/>
        <w:left w:val="none" w:sz="0" w:space="0" w:color="auto"/>
        <w:bottom w:val="none" w:sz="0" w:space="0" w:color="auto"/>
        <w:right w:val="none" w:sz="0" w:space="0" w:color="auto"/>
      </w:divBdr>
    </w:div>
    <w:div w:id="1853759999">
      <w:bodyDiv w:val="1"/>
      <w:marLeft w:val="0"/>
      <w:marRight w:val="0"/>
      <w:marTop w:val="0"/>
      <w:marBottom w:val="0"/>
      <w:divBdr>
        <w:top w:val="none" w:sz="0" w:space="0" w:color="auto"/>
        <w:left w:val="none" w:sz="0" w:space="0" w:color="auto"/>
        <w:bottom w:val="none" w:sz="0" w:space="0" w:color="auto"/>
        <w:right w:val="none" w:sz="0" w:space="0" w:color="auto"/>
      </w:divBdr>
    </w:div>
    <w:div w:id="1854027535">
      <w:bodyDiv w:val="1"/>
      <w:marLeft w:val="0"/>
      <w:marRight w:val="0"/>
      <w:marTop w:val="0"/>
      <w:marBottom w:val="0"/>
      <w:divBdr>
        <w:top w:val="none" w:sz="0" w:space="0" w:color="auto"/>
        <w:left w:val="none" w:sz="0" w:space="0" w:color="auto"/>
        <w:bottom w:val="none" w:sz="0" w:space="0" w:color="auto"/>
        <w:right w:val="none" w:sz="0" w:space="0" w:color="auto"/>
      </w:divBdr>
    </w:div>
    <w:div w:id="1854487199">
      <w:bodyDiv w:val="1"/>
      <w:marLeft w:val="0"/>
      <w:marRight w:val="0"/>
      <w:marTop w:val="0"/>
      <w:marBottom w:val="0"/>
      <w:divBdr>
        <w:top w:val="none" w:sz="0" w:space="0" w:color="auto"/>
        <w:left w:val="none" w:sz="0" w:space="0" w:color="auto"/>
        <w:bottom w:val="none" w:sz="0" w:space="0" w:color="auto"/>
        <w:right w:val="none" w:sz="0" w:space="0" w:color="auto"/>
      </w:divBdr>
    </w:div>
    <w:div w:id="1855723011">
      <w:bodyDiv w:val="1"/>
      <w:marLeft w:val="0"/>
      <w:marRight w:val="0"/>
      <w:marTop w:val="0"/>
      <w:marBottom w:val="0"/>
      <w:divBdr>
        <w:top w:val="none" w:sz="0" w:space="0" w:color="auto"/>
        <w:left w:val="none" w:sz="0" w:space="0" w:color="auto"/>
        <w:bottom w:val="none" w:sz="0" w:space="0" w:color="auto"/>
        <w:right w:val="none" w:sz="0" w:space="0" w:color="auto"/>
      </w:divBdr>
    </w:div>
    <w:div w:id="1856267077">
      <w:bodyDiv w:val="1"/>
      <w:marLeft w:val="0"/>
      <w:marRight w:val="0"/>
      <w:marTop w:val="0"/>
      <w:marBottom w:val="0"/>
      <w:divBdr>
        <w:top w:val="none" w:sz="0" w:space="0" w:color="auto"/>
        <w:left w:val="none" w:sz="0" w:space="0" w:color="auto"/>
        <w:bottom w:val="none" w:sz="0" w:space="0" w:color="auto"/>
        <w:right w:val="none" w:sz="0" w:space="0" w:color="auto"/>
      </w:divBdr>
    </w:div>
    <w:div w:id="1856964659">
      <w:bodyDiv w:val="1"/>
      <w:marLeft w:val="0"/>
      <w:marRight w:val="0"/>
      <w:marTop w:val="0"/>
      <w:marBottom w:val="0"/>
      <w:divBdr>
        <w:top w:val="none" w:sz="0" w:space="0" w:color="auto"/>
        <w:left w:val="none" w:sz="0" w:space="0" w:color="auto"/>
        <w:bottom w:val="none" w:sz="0" w:space="0" w:color="auto"/>
        <w:right w:val="none" w:sz="0" w:space="0" w:color="auto"/>
      </w:divBdr>
    </w:div>
    <w:div w:id="1857037991">
      <w:bodyDiv w:val="1"/>
      <w:marLeft w:val="0"/>
      <w:marRight w:val="0"/>
      <w:marTop w:val="0"/>
      <w:marBottom w:val="0"/>
      <w:divBdr>
        <w:top w:val="none" w:sz="0" w:space="0" w:color="auto"/>
        <w:left w:val="none" w:sz="0" w:space="0" w:color="auto"/>
        <w:bottom w:val="none" w:sz="0" w:space="0" w:color="auto"/>
        <w:right w:val="none" w:sz="0" w:space="0" w:color="auto"/>
      </w:divBdr>
    </w:div>
    <w:div w:id="1857501775">
      <w:bodyDiv w:val="1"/>
      <w:marLeft w:val="0"/>
      <w:marRight w:val="0"/>
      <w:marTop w:val="0"/>
      <w:marBottom w:val="0"/>
      <w:divBdr>
        <w:top w:val="none" w:sz="0" w:space="0" w:color="auto"/>
        <w:left w:val="none" w:sz="0" w:space="0" w:color="auto"/>
        <w:bottom w:val="none" w:sz="0" w:space="0" w:color="auto"/>
        <w:right w:val="none" w:sz="0" w:space="0" w:color="auto"/>
      </w:divBdr>
    </w:div>
    <w:div w:id="1857886666">
      <w:bodyDiv w:val="1"/>
      <w:marLeft w:val="0"/>
      <w:marRight w:val="0"/>
      <w:marTop w:val="0"/>
      <w:marBottom w:val="0"/>
      <w:divBdr>
        <w:top w:val="none" w:sz="0" w:space="0" w:color="auto"/>
        <w:left w:val="none" w:sz="0" w:space="0" w:color="auto"/>
        <w:bottom w:val="none" w:sz="0" w:space="0" w:color="auto"/>
        <w:right w:val="none" w:sz="0" w:space="0" w:color="auto"/>
      </w:divBdr>
    </w:div>
    <w:div w:id="1858156456">
      <w:bodyDiv w:val="1"/>
      <w:marLeft w:val="0"/>
      <w:marRight w:val="0"/>
      <w:marTop w:val="0"/>
      <w:marBottom w:val="0"/>
      <w:divBdr>
        <w:top w:val="none" w:sz="0" w:space="0" w:color="auto"/>
        <w:left w:val="none" w:sz="0" w:space="0" w:color="auto"/>
        <w:bottom w:val="none" w:sz="0" w:space="0" w:color="auto"/>
        <w:right w:val="none" w:sz="0" w:space="0" w:color="auto"/>
      </w:divBdr>
    </w:div>
    <w:div w:id="1858736917">
      <w:bodyDiv w:val="1"/>
      <w:marLeft w:val="0"/>
      <w:marRight w:val="0"/>
      <w:marTop w:val="0"/>
      <w:marBottom w:val="0"/>
      <w:divBdr>
        <w:top w:val="none" w:sz="0" w:space="0" w:color="auto"/>
        <w:left w:val="none" w:sz="0" w:space="0" w:color="auto"/>
        <w:bottom w:val="none" w:sz="0" w:space="0" w:color="auto"/>
        <w:right w:val="none" w:sz="0" w:space="0" w:color="auto"/>
      </w:divBdr>
    </w:div>
    <w:div w:id="1858809456">
      <w:bodyDiv w:val="1"/>
      <w:marLeft w:val="0"/>
      <w:marRight w:val="0"/>
      <w:marTop w:val="0"/>
      <w:marBottom w:val="0"/>
      <w:divBdr>
        <w:top w:val="none" w:sz="0" w:space="0" w:color="auto"/>
        <w:left w:val="none" w:sz="0" w:space="0" w:color="auto"/>
        <w:bottom w:val="none" w:sz="0" w:space="0" w:color="auto"/>
        <w:right w:val="none" w:sz="0" w:space="0" w:color="auto"/>
      </w:divBdr>
    </w:div>
    <w:div w:id="1862358557">
      <w:bodyDiv w:val="1"/>
      <w:marLeft w:val="0"/>
      <w:marRight w:val="0"/>
      <w:marTop w:val="0"/>
      <w:marBottom w:val="0"/>
      <w:divBdr>
        <w:top w:val="none" w:sz="0" w:space="0" w:color="auto"/>
        <w:left w:val="none" w:sz="0" w:space="0" w:color="auto"/>
        <w:bottom w:val="none" w:sz="0" w:space="0" w:color="auto"/>
        <w:right w:val="none" w:sz="0" w:space="0" w:color="auto"/>
      </w:divBdr>
    </w:div>
    <w:div w:id="1862431221">
      <w:bodyDiv w:val="1"/>
      <w:marLeft w:val="0"/>
      <w:marRight w:val="0"/>
      <w:marTop w:val="0"/>
      <w:marBottom w:val="0"/>
      <w:divBdr>
        <w:top w:val="none" w:sz="0" w:space="0" w:color="auto"/>
        <w:left w:val="none" w:sz="0" w:space="0" w:color="auto"/>
        <w:bottom w:val="none" w:sz="0" w:space="0" w:color="auto"/>
        <w:right w:val="none" w:sz="0" w:space="0" w:color="auto"/>
      </w:divBdr>
    </w:div>
    <w:div w:id="1864006403">
      <w:bodyDiv w:val="1"/>
      <w:marLeft w:val="0"/>
      <w:marRight w:val="0"/>
      <w:marTop w:val="0"/>
      <w:marBottom w:val="0"/>
      <w:divBdr>
        <w:top w:val="none" w:sz="0" w:space="0" w:color="auto"/>
        <w:left w:val="none" w:sz="0" w:space="0" w:color="auto"/>
        <w:bottom w:val="none" w:sz="0" w:space="0" w:color="auto"/>
        <w:right w:val="none" w:sz="0" w:space="0" w:color="auto"/>
      </w:divBdr>
    </w:div>
    <w:div w:id="1864243054">
      <w:bodyDiv w:val="1"/>
      <w:marLeft w:val="0"/>
      <w:marRight w:val="0"/>
      <w:marTop w:val="0"/>
      <w:marBottom w:val="0"/>
      <w:divBdr>
        <w:top w:val="none" w:sz="0" w:space="0" w:color="auto"/>
        <w:left w:val="none" w:sz="0" w:space="0" w:color="auto"/>
        <w:bottom w:val="none" w:sz="0" w:space="0" w:color="auto"/>
        <w:right w:val="none" w:sz="0" w:space="0" w:color="auto"/>
      </w:divBdr>
    </w:div>
    <w:div w:id="1865288446">
      <w:bodyDiv w:val="1"/>
      <w:marLeft w:val="0"/>
      <w:marRight w:val="0"/>
      <w:marTop w:val="0"/>
      <w:marBottom w:val="0"/>
      <w:divBdr>
        <w:top w:val="none" w:sz="0" w:space="0" w:color="auto"/>
        <w:left w:val="none" w:sz="0" w:space="0" w:color="auto"/>
        <w:bottom w:val="none" w:sz="0" w:space="0" w:color="auto"/>
        <w:right w:val="none" w:sz="0" w:space="0" w:color="auto"/>
      </w:divBdr>
    </w:div>
    <w:div w:id="1865359634">
      <w:bodyDiv w:val="1"/>
      <w:marLeft w:val="0"/>
      <w:marRight w:val="0"/>
      <w:marTop w:val="0"/>
      <w:marBottom w:val="0"/>
      <w:divBdr>
        <w:top w:val="none" w:sz="0" w:space="0" w:color="auto"/>
        <w:left w:val="none" w:sz="0" w:space="0" w:color="auto"/>
        <w:bottom w:val="none" w:sz="0" w:space="0" w:color="auto"/>
        <w:right w:val="none" w:sz="0" w:space="0" w:color="auto"/>
      </w:divBdr>
    </w:div>
    <w:div w:id="1866362944">
      <w:bodyDiv w:val="1"/>
      <w:marLeft w:val="0"/>
      <w:marRight w:val="0"/>
      <w:marTop w:val="0"/>
      <w:marBottom w:val="0"/>
      <w:divBdr>
        <w:top w:val="none" w:sz="0" w:space="0" w:color="auto"/>
        <w:left w:val="none" w:sz="0" w:space="0" w:color="auto"/>
        <w:bottom w:val="none" w:sz="0" w:space="0" w:color="auto"/>
        <w:right w:val="none" w:sz="0" w:space="0" w:color="auto"/>
      </w:divBdr>
    </w:div>
    <w:div w:id="1866552949">
      <w:bodyDiv w:val="1"/>
      <w:marLeft w:val="0"/>
      <w:marRight w:val="0"/>
      <w:marTop w:val="0"/>
      <w:marBottom w:val="0"/>
      <w:divBdr>
        <w:top w:val="none" w:sz="0" w:space="0" w:color="auto"/>
        <w:left w:val="none" w:sz="0" w:space="0" w:color="auto"/>
        <w:bottom w:val="none" w:sz="0" w:space="0" w:color="auto"/>
        <w:right w:val="none" w:sz="0" w:space="0" w:color="auto"/>
      </w:divBdr>
    </w:div>
    <w:div w:id="1866822574">
      <w:bodyDiv w:val="1"/>
      <w:marLeft w:val="0"/>
      <w:marRight w:val="0"/>
      <w:marTop w:val="0"/>
      <w:marBottom w:val="0"/>
      <w:divBdr>
        <w:top w:val="none" w:sz="0" w:space="0" w:color="auto"/>
        <w:left w:val="none" w:sz="0" w:space="0" w:color="auto"/>
        <w:bottom w:val="none" w:sz="0" w:space="0" w:color="auto"/>
        <w:right w:val="none" w:sz="0" w:space="0" w:color="auto"/>
      </w:divBdr>
    </w:div>
    <w:div w:id="1866864964">
      <w:bodyDiv w:val="1"/>
      <w:marLeft w:val="0"/>
      <w:marRight w:val="0"/>
      <w:marTop w:val="0"/>
      <w:marBottom w:val="0"/>
      <w:divBdr>
        <w:top w:val="none" w:sz="0" w:space="0" w:color="auto"/>
        <w:left w:val="none" w:sz="0" w:space="0" w:color="auto"/>
        <w:bottom w:val="none" w:sz="0" w:space="0" w:color="auto"/>
        <w:right w:val="none" w:sz="0" w:space="0" w:color="auto"/>
      </w:divBdr>
    </w:div>
    <w:div w:id="1867786433">
      <w:bodyDiv w:val="1"/>
      <w:marLeft w:val="0"/>
      <w:marRight w:val="0"/>
      <w:marTop w:val="0"/>
      <w:marBottom w:val="0"/>
      <w:divBdr>
        <w:top w:val="none" w:sz="0" w:space="0" w:color="auto"/>
        <w:left w:val="none" w:sz="0" w:space="0" w:color="auto"/>
        <w:bottom w:val="none" w:sz="0" w:space="0" w:color="auto"/>
        <w:right w:val="none" w:sz="0" w:space="0" w:color="auto"/>
      </w:divBdr>
    </w:div>
    <w:div w:id="1869021818">
      <w:bodyDiv w:val="1"/>
      <w:marLeft w:val="0"/>
      <w:marRight w:val="0"/>
      <w:marTop w:val="0"/>
      <w:marBottom w:val="0"/>
      <w:divBdr>
        <w:top w:val="none" w:sz="0" w:space="0" w:color="auto"/>
        <w:left w:val="none" w:sz="0" w:space="0" w:color="auto"/>
        <w:bottom w:val="none" w:sz="0" w:space="0" w:color="auto"/>
        <w:right w:val="none" w:sz="0" w:space="0" w:color="auto"/>
      </w:divBdr>
    </w:div>
    <w:div w:id="1869097836">
      <w:bodyDiv w:val="1"/>
      <w:marLeft w:val="0"/>
      <w:marRight w:val="0"/>
      <w:marTop w:val="0"/>
      <w:marBottom w:val="0"/>
      <w:divBdr>
        <w:top w:val="none" w:sz="0" w:space="0" w:color="auto"/>
        <w:left w:val="none" w:sz="0" w:space="0" w:color="auto"/>
        <w:bottom w:val="none" w:sz="0" w:space="0" w:color="auto"/>
        <w:right w:val="none" w:sz="0" w:space="0" w:color="auto"/>
      </w:divBdr>
    </w:div>
    <w:div w:id="1869293278">
      <w:bodyDiv w:val="1"/>
      <w:marLeft w:val="0"/>
      <w:marRight w:val="0"/>
      <w:marTop w:val="0"/>
      <w:marBottom w:val="0"/>
      <w:divBdr>
        <w:top w:val="none" w:sz="0" w:space="0" w:color="auto"/>
        <w:left w:val="none" w:sz="0" w:space="0" w:color="auto"/>
        <w:bottom w:val="none" w:sz="0" w:space="0" w:color="auto"/>
        <w:right w:val="none" w:sz="0" w:space="0" w:color="auto"/>
      </w:divBdr>
    </w:div>
    <w:div w:id="1869367468">
      <w:bodyDiv w:val="1"/>
      <w:marLeft w:val="0"/>
      <w:marRight w:val="0"/>
      <w:marTop w:val="0"/>
      <w:marBottom w:val="0"/>
      <w:divBdr>
        <w:top w:val="none" w:sz="0" w:space="0" w:color="auto"/>
        <w:left w:val="none" w:sz="0" w:space="0" w:color="auto"/>
        <w:bottom w:val="none" w:sz="0" w:space="0" w:color="auto"/>
        <w:right w:val="none" w:sz="0" w:space="0" w:color="auto"/>
      </w:divBdr>
    </w:div>
    <w:div w:id="1869685250">
      <w:bodyDiv w:val="1"/>
      <w:marLeft w:val="0"/>
      <w:marRight w:val="0"/>
      <w:marTop w:val="0"/>
      <w:marBottom w:val="0"/>
      <w:divBdr>
        <w:top w:val="none" w:sz="0" w:space="0" w:color="auto"/>
        <w:left w:val="none" w:sz="0" w:space="0" w:color="auto"/>
        <w:bottom w:val="none" w:sz="0" w:space="0" w:color="auto"/>
        <w:right w:val="none" w:sz="0" w:space="0" w:color="auto"/>
      </w:divBdr>
    </w:div>
    <w:div w:id="1869951553">
      <w:bodyDiv w:val="1"/>
      <w:marLeft w:val="0"/>
      <w:marRight w:val="0"/>
      <w:marTop w:val="0"/>
      <w:marBottom w:val="0"/>
      <w:divBdr>
        <w:top w:val="none" w:sz="0" w:space="0" w:color="auto"/>
        <w:left w:val="none" w:sz="0" w:space="0" w:color="auto"/>
        <w:bottom w:val="none" w:sz="0" w:space="0" w:color="auto"/>
        <w:right w:val="none" w:sz="0" w:space="0" w:color="auto"/>
      </w:divBdr>
    </w:div>
    <w:div w:id="1873029121">
      <w:bodyDiv w:val="1"/>
      <w:marLeft w:val="0"/>
      <w:marRight w:val="0"/>
      <w:marTop w:val="0"/>
      <w:marBottom w:val="0"/>
      <w:divBdr>
        <w:top w:val="none" w:sz="0" w:space="0" w:color="auto"/>
        <w:left w:val="none" w:sz="0" w:space="0" w:color="auto"/>
        <w:bottom w:val="none" w:sz="0" w:space="0" w:color="auto"/>
        <w:right w:val="none" w:sz="0" w:space="0" w:color="auto"/>
      </w:divBdr>
    </w:div>
    <w:div w:id="1873492792">
      <w:bodyDiv w:val="1"/>
      <w:marLeft w:val="0"/>
      <w:marRight w:val="0"/>
      <w:marTop w:val="0"/>
      <w:marBottom w:val="0"/>
      <w:divBdr>
        <w:top w:val="none" w:sz="0" w:space="0" w:color="auto"/>
        <w:left w:val="none" w:sz="0" w:space="0" w:color="auto"/>
        <w:bottom w:val="none" w:sz="0" w:space="0" w:color="auto"/>
        <w:right w:val="none" w:sz="0" w:space="0" w:color="auto"/>
      </w:divBdr>
    </w:div>
    <w:div w:id="1873767138">
      <w:bodyDiv w:val="1"/>
      <w:marLeft w:val="0"/>
      <w:marRight w:val="0"/>
      <w:marTop w:val="0"/>
      <w:marBottom w:val="0"/>
      <w:divBdr>
        <w:top w:val="none" w:sz="0" w:space="0" w:color="auto"/>
        <w:left w:val="none" w:sz="0" w:space="0" w:color="auto"/>
        <w:bottom w:val="none" w:sz="0" w:space="0" w:color="auto"/>
        <w:right w:val="none" w:sz="0" w:space="0" w:color="auto"/>
      </w:divBdr>
    </w:div>
    <w:div w:id="1873836764">
      <w:bodyDiv w:val="1"/>
      <w:marLeft w:val="0"/>
      <w:marRight w:val="0"/>
      <w:marTop w:val="0"/>
      <w:marBottom w:val="0"/>
      <w:divBdr>
        <w:top w:val="none" w:sz="0" w:space="0" w:color="auto"/>
        <w:left w:val="none" w:sz="0" w:space="0" w:color="auto"/>
        <w:bottom w:val="none" w:sz="0" w:space="0" w:color="auto"/>
        <w:right w:val="none" w:sz="0" w:space="0" w:color="auto"/>
      </w:divBdr>
    </w:div>
    <w:div w:id="1874733030">
      <w:bodyDiv w:val="1"/>
      <w:marLeft w:val="0"/>
      <w:marRight w:val="0"/>
      <w:marTop w:val="0"/>
      <w:marBottom w:val="0"/>
      <w:divBdr>
        <w:top w:val="none" w:sz="0" w:space="0" w:color="auto"/>
        <w:left w:val="none" w:sz="0" w:space="0" w:color="auto"/>
        <w:bottom w:val="none" w:sz="0" w:space="0" w:color="auto"/>
        <w:right w:val="none" w:sz="0" w:space="0" w:color="auto"/>
      </w:divBdr>
    </w:div>
    <w:div w:id="1875003153">
      <w:bodyDiv w:val="1"/>
      <w:marLeft w:val="0"/>
      <w:marRight w:val="0"/>
      <w:marTop w:val="0"/>
      <w:marBottom w:val="0"/>
      <w:divBdr>
        <w:top w:val="none" w:sz="0" w:space="0" w:color="auto"/>
        <w:left w:val="none" w:sz="0" w:space="0" w:color="auto"/>
        <w:bottom w:val="none" w:sz="0" w:space="0" w:color="auto"/>
        <w:right w:val="none" w:sz="0" w:space="0" w:color="auto"/>
      </w:divBdr>
    </w:div>
    <w:div w:id="1875191382">
      <w:bodyDiv w:val="1"/>
      <w:marLeft w:val="0"/>
      <w:marRight w:val="0"/>
      <w:marTop w:val="0"/>
      <w:marBottom w:val="0"/>
      <w:divBdr>
        <w:top w:val="none" w:sz="0" w:space="0" w:color="auto"/>
        <w:left w:val="none" w:sz="0" w:space="0" w:color="auto"/>
        <w:bottom w:val="none" w:sz="0" w:space="0" w:color="auto"/>
        <w:right w:val="none" w:sz="0" w:space="0" w:color="auto"/>
      </w:divBdr>
    </w:div>
    <w:div w:id="1875383066">
      <w:bodyDiv w:val="1"/>
      <w:marLeft w:val="0"/>
      <w:marRight w:val="0"/>
      <w:marTop w:val="0"/>
      <w:marBottom w:val="0"/>
      <w:divBdr>
        <w:top w:val="none" w:sz="0" w:space="0" w:color="auto"/>
        <w:left w:val="none" w:sz="0" w:space="0" w:color="auto"/>
        <w:bottom w:val="none" w:sz="0" w:space="0" w:color="auto"/>
        <w:right w:val="none" w:sz="0" w:space="0" w:color="auto"/>
      </w:divBdr>
    </w:div>
    <w:div w:id="1875651796">
      <w:bodyDiv w:val="1"/>
      <w:marLeft w:val="0"/>
      <w:marRight w:val="0"/>
      <w:marTop w:val="0"/>
      <w:marBottom w:val="0"/>
      <w:divBdr>
        <w:top w:val="none" w:sz="0" w:space="0" w:color="auto"/>
        <w:left w:val="none" w:sz="0" w:space="0" w:color="auto"/>
        <w:bottom w:val="none" w:sz="0" w:space="0" w:color="auto"/>
        <w:right w:val="none" w:sz="0" w:space="0" w:color="auto"/>
      </w:divBdr>
    </w:div>
    <w:div w:id="1875776436">
      <w:bodyDiv w:val="1"/>
      <w:marLeft w:val="0"/>
      <w:marRight w:val="0"/>
      <w:marTop w:val="0"/>
      <w:marBottom w:val="0"/>
      <w:divBdr>
        <w:top w:val="none" w:sz="0" w:space="0" w:color="auto"/>
        <w:left w:val="none" w:sz="0" w:space="0" w:color="auto"/>
        <w:bottom w:val="none" w:sz="0" w:space="0" w:color="auto"/>
        <w:right w:val="none" w:sz="0" w:space="0" w:color="auto"/>
      </w:divBdr>
    </w:div>
    <w:div w:id="1876389100">
      <w:bodyDiv w:val="1"/>
      <w:marLeft w:val="0"/>
      <w:marRight w:val="0"/>
      <w:marTop w:val="0"/>
      <w:marBottom w:val="0"/>
      <w:divBdr>
        <w:top w:val="none" w:sz="0" w:space="0" w:color="auto"/>
        <w:left w:val="none" w:sz="0" w:space="0" w:color="auto"/>
        <w:bottom w:val="none" w:sz="0" w:space="0" w:color="auto"/>
        <w:right w:val="none" w:sz="0" w:space="0" w:color="auto"/>
      </w:divBdr>
    </w:div>
    <w:div w:id="1876960176">
      <w:bodyDiv w:val="1"/>
      <w:marLeft w:val="0"/>
      <w:marRight w:val="0"/>
      <w:marTop w:val="0"/>
      <w:marBottom w:val="0"/>
      <w:divBdr>
        <w:top w:val="none" w:sz="0" w:space="0" w:color="auto"/>
        <w:left w:val="none" w:sz="0" w:space="0" w:color="auto"/>
        <w:bottom w:val="none" w:sz="0" w:space="0" w:color="auto"/>
        <w:right w:val="none" w:sz="0" w:space="0" w:color="auto"/>
      </w:divBdr>
    </w:div>
    <w:div w:id="1877506434">
      <w:bodyDiv w:val="1"/>
      <w:marLeft w:val="0"/>
      <w:marRight w:val="0"/>
      <w:marTop w:val="0"/>
      <w:marBottom w:val="0"/>
      <w:divBdr>
        <w:top w:val="none" w:sz="0" w:space="0" w:color="auto"/>
        <w:left w:val="none" w:sz="0" w:space="0" w:color="auto"/>
        <w:bottom w:val="none" w:sz="0" w:space="0" w:color="auto"/>
        <w:right w:val="none" w:sz="0" w:space="0" w:color="auto"/>
      </w:divBdr>
    </w:div>
    <w:div w:id="1878620656">
      <w:bodyDiv w:val="1"/>
      <w:marLeft w:val="0"/>
      <w:marRight w:val="0"/>
      <w:marTop w:val="0"/>
      <w:marBottom w:val="0"/>
      <w:divBdr>
        <w:top w:val="none" w:sz="0" w:space="0" w:color="auto"/>
        <w:left w:val="none" w:sz="0" w:space="0" w:color="auto"/>
        <w:bottom w:val="none" w:sz="0" w:space="0" w:color="auto"/>
        <w:right w:val="none" w:sz="0" w:space="0" w:color="auto"/>
      </w:divBdr>
    </w:div>
    <w:div w:id="1878814863">
      <w:bodyDiv w:val="1"/>
      <w:marLeft w:val="0"/>
      <w:marRight w:val="0"/>
      <w:marTop w:val="0"/>
      <w:marBottom w:val="0"/>
      <w:divBdr>
        <w:top w:val="none" w:sz="0" w:space="0" w:color="auto"/>
        <w:left w:val="none" w:sz="0" w:space="0" w:color="auto"/>
        <w:bottom w:val="none" w:sz="0" w:space="0" w:color="auto"/>
        <w:right w:val="none" w:sz="0" w:space="0" w:color="auto"/>
      </w:divBdr>
    </w:div>
    <w:div w:id="1879588551">
      <w:bodyDiv w:val="1"/>
      <w:marLeft w:val="0"/>
      <w:marRight w:val="0"/>
      <w:marTop w:val="0"/>
      <w:marBottom w:val="0"/>
      <w:divBdr>
        <w:top w:val="none" w:sz="0" w:space="0" w:color="auto"/>
        <w:left w:val="none" w:sz="0" w:space="0" w:color="auto"/>
        <w:bottom w:val="none" w:sz="0" w:space="0" w:color="auto"/>
        <w:right w:val="none" w:sz="0" w:space="0" w:color="auto"/>
      </w:divBdr>
    </w:div>
    <w:div w:id="1879925387">
      <w:bodyDiv w:val="1"/>
      <w:marLeft w:val="0"/>
      <w:marRight w:val="0"/>
      <w:marTop w:val="0"/>
      <w:marBottom w:val="0"/>
      <w:divBdr>
        <w:top w:val="none" w:sz="0" w:space="0" w:color="auto"/>
        <w:left w:val="none" w:sz="0" w:space="0" w:color="auto"/>
        <w:bottom w:val="none" w:sz="0" w:space="0" w:color="auto"/>
        <w:right w:val="none" w:sz="0" w:space="0" w:color="auto"/>
      </w:divBdr>
    </w:div>
    <w:div w:id="1882090269">
      <w:bodyDiv w:val="1"/>
      <w:marLeft w:val="0"/>
      <w:marRight w:val="0"/>
      <w:marTop w:val="0"/>
      <w:marBottom w:val="0"/>
      <w:divBdr>
        <w:top w:val="none" w:sz="0" w:space="0" w:color="auto"/>
        <w:left w:val="none" w:sz="0" w:space="0" w:color="auto"/>
        <w:bottom w:val="none" w:sz="0" w:space="0" w:color="auto"/>
        <w:right w:val="none" w:sz="0" w:space="0" w:color="auto"/>
      </w:divBdr>
    </w:div>
    <w:div w:id="1882472629">
      <w:bodyDiv w:val="1"/>
      <w:marLeft w:val="0"/>
      <w:marRight w:val="0"/>
      <w:marTop w:val="0"/>
      <w:marBottom w:val="0"/>
      <w:divBdr>
        <w:top w:val="none" w:sz="0" w:space="0" w:color="auto"/>
        <w:left w:val="none" w:sz="0" w:space="0" w:color="auto"/>
        <w:bottom w:val="none" w:sz="0" w:space="0" w:color="auto"/>
        <w:right w:val="none" w:sz="0" w:space="0" w:color="auto"/>
      </w:divBdr>
    </w:div>
    <w:div w:id="1882665150">
      <w:bodyDiv w:val="1"/>
      <w:marLeft w:val="0"/>
      <w:marRight w:val="0"/>
      <w:marTop w:val="0"/>
      <w:marBottom w:val="0"/>
      <w:divBdr>
        <w:top w:val="none" w:sz="0" w:space="0" w:color="auto"/>
        <w:left w:val="none" w:sz="0" w:space="0" w:color="auto"/>
        <w:bottom w:val="none" w:sz="0" w:space="0" w:color="auto"/>
        <w:right w:val="none" w:sz="0" w:space="0" w:color="auto"/>
      </w:divBdr>
    </w:div>
    <w:div w:id="1883054197">
      <w:bodyDiv w:val="1"/>
      <w:marLeft w:val="0"/>
      <w:marRight w:val="0"/>
      <w:marTop w:val="0"/>
      <w:marBottom w:val="0"/>
      <w:divBdr>
        <w:top w:val="none" w:sz="0" w:space="0" w:color="auto"/>
        <w:left w:val="none" w:sz="0" w:space="0" w:color="auto"/>
        <w:bottom w:val="none" w:sz="0" w:space="0" w:color="auto"/>
        <w:right w:val="none" w:sz="0" w:space="0" w:color="auto"/>
      </w:divBdr>
    </w:div>
    <w:div w:id="1883243513">
      <w:bodyDiv w:val="1"/>
      <w:marLeft w:val="0"/>
      <w:marRight w:val="0"/>
      <w:marTop w:val="0"/>
      <w:marBottom w:val="0"/>
      <w:divBdr>
        <w:top w:val="none" w:sz="0" w:space="0" w:color="auto"/>
        <w:left w:val="none" w:sz="0" w:space="0" w:color="auto"/>
        <w:bottom w:val="none" w:sz="0" w:space="0" w:color="auto"/>
        <w:right w:val="none" w:sz="0" w:space="0" w:color="auto"/>
      </w:divBdr>
    </w:div>
    <w:div w:id="1884562702">
      <w:bodyDiv w:val="1"/>
      <w:marLeft w:val="0"/>
      <w:marRight w:val="0"/>
      <w:marTop w:val="0"/>
      <w:marBottom w:val="0"/>
      <w:divBdr>
        <w:top w:val="none" w:sz="0" w:space="0" w:color="auto"/>
        <w:left w:val="none" w:sz="0" w:space="0" w:color="auto"/>
        <w:bottom w:val="none" w:sz="0" w:space="0" w:color="auto"/>
        <w:right w:val="none" w:sz="0" w:space="0" w:color="auto"/>
      </w:divBdr>
    </w:div>
    <w:div w:id="1884824223">
      <w:bodyDiv w:val="1"/>
      <w:marLeft w:val="0"/>
      <w:marRight w:val="0"/>
      <w:marTop w:val="0"/>
      <w:marBottom w:val="0"/>
      <w:divBdr>
        <w:top w:val="none" w:sz="0" w:space="0" w:color="auto"/>
        <w:left w:val="none" w:sz="0" w:space="0" w:color="auto"/>
        <w:bottom w:val="none" w:sz="0" w:space="0" w:color="auto"/>
        <w:right w:val="none" w:sz="0" w:space="0" w:color="auto"/>
      </w:divBdr>
    </w:div>
    <w:div w:id="1887907971">
      <w:bodyDiv w:val="1"/>
      <w:marLeft w:val="0"/>
      <w:marRight w:val="0"/>
      <w:marTop w:val="0"/>
      <w:marBottom w:val="0"/>
      <w:divBdr>
        <w:top w:val="none" w:sz="0" w:space="0" w:color="auto"/>
        <w:left w:val="none" w:sz="0" w:space="0" w:color="auto"/>
        <w:bottom w:val="none" w:sz="0" w:space="0" w:color="auto"/>
        <w:right w:val="none" w:sz="0" w:space="0" w:color="auto"/>
      </w:divBdr>
    </w:div>
    <w:div w:id="1888644600">
      <w:bodyDiv w:val="1"/>
      <w:marLeft w:val="0"/>
      <w:marRight w:val="0"/>
      <w:marTop w:val="0"/>
      <w:marBottom w:val="0"/>
      <w:divBdr>
        <w:top w:val="none" w:sz="0" w:space="0" w:color="auto"/>
        <w:left w:val="none" w:sz="0" w:space="0" w:color="auto"/>
        <w:bottom w:val="none" w:sz="0" w:space="0" w:color="auto"/>
        <w:right w:val="none" w:sz="0" w:space="0" w:color="auto"/>
      </w:divBdr>
    </w:div>
    <w:div w:id="1889218725">
      <w:bodyDiv w:val="1"/>
      <w:marLeft w:val="0"/>
      <w:marRight w:val="0"/>
      <w:marTop w:val="0"/>
      <w:marBottom w:val="0"/>
      <w:divBdr>
        <w:top w:val="none" w:sz="0" w:space="0" w:color="auto"/>
        <w:left w:val="none" w:sz="0" w:space="0" w:color="auto"/>
        <w:bottom w:val="none" w:sz="0" w:space="0" w:color="auto"/>
        <w:right w:val="none" w:sz="0" w:space="0" w:color="auto"/>
      </w:divBdr>
    </w:div>
    <w:div w:id="1889292320">
      <w:bodyDiv w:val="1"/>
      <w:marLeft w:val="0"/>
      <w:marRight w:val="0"/>
      <w:marTop w:val="0"/>
      <w:marBottom w:val="0"/>
      <w:divBdr>
        <w:top w:val="none" w:sz="0" w:space="0" w:color="auto"/>
        <w:left w:val="none" w:sz="0" w:space="0" w:color="auto"/>
        <w:bottom w:val="none" w:sz="0" w:space="0" w:color="auto"/>
        <w:right w:val="none" w:sz="0" w:space="0" w:color="auto"/>
      </w:divBdr>
    </w:div>
    <w:div w:id="1889419393">
      <w:bodyDiv w:val="1"/>
      <w:marLeft w:val="0"/>
      <w:marRight w:val="0"/>
      <w:marTop w:val="0"/>
      <w:marBottom w:val="0"/>
      <w:divBdr>
        <w:top w:val="none" w:sz="0" w:space="0" w:color="auto"/>
        <w:left w:val="none" w:sz="0" w:space="0" w:color="auto"/>
        <w:bottom w:val="none" w:sz="0" w:space="0" w:color="auto"/>
        <w:right w:val="none" w:sz="0" w:space="0" w:color="auto"/>
      </w:divBdr>
    </w:div>
    <w:div w:id="1890454638">
      <w:bodyDiv w:val="1"/>
      <w:marLeft w:val="0"/>
      <w:marRight w:val="0"/>
      <w:marTop w:val="0"/>
      <w:marBottom w:val="0"/>
      <w:divBdr>
        <w:top w:val="none" w:sz="0" w:space="0" w:color="auto"/>
        <w:left w:val="none" w:sz="0" w:space="0" w:color="auto"/>
        <w:bottom w:val="none" w:sz="0" w:space="0" w:color="auto"/>
        <w:right w:val="none" w:sz="0" w:space="0" w:color="auto"/>
      </w:divBdr>
    </w:div>
    <w:div w:id="1891070879">
      <w:bodyDiv w:val="1"/>
      <w:marLeft w:val="0"/>
      <w:marRight w:val="0"/>
      <w:marTop w:val="0"/>
      <w:marBottom w:val="0"/>
      <w:divBdr>
        <w:top w:val="none" w:sz="0" w:space="0" w:color="auto"/>
        <w:left w:val="none" w:sz="0" w:space="0" w:color="auto"/>
        <w:bottom w:val="none" w:sz="0" w:space="0" w:color="auto"/>
        <w:right w:val="none" w:sz="0" w:space="0" w:color="auto"/>
      </w:divBdr>
    </w:div>
    <w:div w:id="1891960114">
      <w:bodyDiv w:val="1"/>
      <w:marLeft w:val="0"/>
      <w:marRight w:val="0"/>
      <w:marTop w:val="0"/>
      <w:marBottom w:val="0"/>
      <w:divBdr>
        <w:top w:val="none" w:sz="0" w:space="0" w:color="auto"/>
        <w:left w:val="none" w:sz="0" w:space="0" w:color="auto"/>
        <w:bottom w:val="none" w:sz="0" w:space="0" w:color="auto"/>
        <w:right w:val="none" w:sz="0" w:space="0" w:color="auto"/>
      </w:divBdr>
    </w:div>
    <w:div w:id="1892837818">
      <w:bodyDiv w:val="1"/>
      <w:marLeft w:val="0"/>
      <w:marRight w:val="0"/>
      <w:marTop w:val="0"/>
      <w:marBottom w:val="0"/>
      <w:divBdr>
        <w:top w:val="none" w:sz="0" w:space="0" w:color="auto"/>
        <w:left w:val="none" w:sz="0" w:space="0" w:color="auto"/>
        <w:bottom w:val="none" w:sz="0" w:space="0" w:color="auto"/>
        <w:right w:val="none" w:sz="0" w:space="0" w:color="auto"/>
      </w:divBdr>
    </w:div>
    <w:div w:id="1894653386">
      <w:bodyDiv w:val="1"/>
      <w:marLeft w:val="0"/>
      <w:marRight w:val="0"/>
      <w:marTop w:val="0"/>
      <w:marBottom w:val="0"/>
      <w:divBdr>
        <w:top w:val="none" w:sz="0" w:space="0" w:color="auto"/>
        <w:left w:val="none" w:sz="0" w:space="0" w:color="auto"/>
        <w:bottom w:val="none" w:sz="0" w:space="0" w:color="auto"/>
        <w:right w:val="none" w:sz="0" w:space="0" w:color="auto"/>
      </w:divBdr>
    </w:div>
    <w:div w:id="1895778240">
      <w:bodyDiv w:val="1"/>
      <w:marLeft w:val="0"/>
      <w:marRight w:val="0"/>
      <w:marTop w:val="0"/>
      <w:marBottom w:val="0"/>
      <w:divBdr>
        <w:top w:val="none" w:sz="0" w:space="0" w:color="auto"/>
        <w:left w:val="none" w:sz="0" w:space="0" w:color="auto"/>
        <w:bottom w:val="none" w:sz="0" w:space="0" w:color="auto"/>
        <w:right w:val="none" w:sz="0" w:space="0" w:color="auto"/>
      </w:divBdr>
    </w:div>
    <w:div w:id="1895970870">
      <w:bodyDiv w:val="1"/>
      <w:marLeft w:val="0"/>
      <w:marRight w:val="0"/>
      <w:marTop w:val="0"/>
      <w:marBottom w:val="0"/>
      <w:divBdr>
        <w:top w:val="none" w:sz="0" w:space="0" w:color="auto"/>
        <w:left w:val="none" w:sz="0" w:space="0" w:color="auto"/>
        <w:bottom w:val="none" w:sz="0" w:space="0" w:color="auto"/>
        <w:right w:val="none" w:sz="0" w:space="0" w:color="auto"/>
      </w:divBdr>
    </w:div>
    <w:div w:id="1896619979">
      <w:bodyDiv w:val="1"/>
      <w:marLeft w:val="0"/>
      <w:marRight w:val="0"/>
      <w:marTop w:val="0"/>
      <w:marBottom w:val="0"/>
      <w:divBdr>
        <w:top w:val="none" w:sz="0" w:space="0" w:color="auto"/>
        <w:left w:val="none" w:sz="0" w:space="0" w:color="auto"/>
        <w:bottom w:val="none" w:sz="0" w:space="0" w:color="auto"/>
        <w:right w:val="none" w:sz="0" w:space="0" w:color="auto"/>
      </w:divBdr>
    </w:div>
    <w:div w:id="1897425127">
      <w:bodyDiv w:val="1"/>
      <w:marLeft w:val="0"/>
      <w:marRight w:val="0"/>
      <w:marTop w:val="0"/>
      <w:marBottom w:val="0"/>
      <w:divBdr>
        <w:top w:val="none" w:sz="0" w:space="0" w:color="auto"/>
        <w:left w:val="none" w:sz="0" w:space="0" w:color="auto"/>
        <w:bottom w:val="none" w:sz="0" w:space="0" w:color="auto"/>
        <w:right w:val="none" w:sz="0" w:space="0" w:color="auto"/>
      </w:divBdr>
    </w:div>
    <w:div w:id="1897819270">
      <w:bodyDiv w:val="1"/>
      <w:marLeft w:val="0"/>
      <w:marRight w:val="0"/>
      <w:marTop w:val="0"/>
      <w:marBottom w:val="0"/>
      <w:divBdr>
        <w:top w:val="none" w:sz="0" w:space="0" w:color="auto"/>
        <w:left w:val="none" w:sz="0" w:space="0" w:color="auto"/>
        <w:bottom w:val="none" w:sz="0" w:space="0" w:color="auto"/>
        <w:right w:val="none" w:sz="0" w:space="0" w:color="auto"/>
      </w:divBdr>
    </w:div>
    <w:div w:id="1898273420">
      <w:bodyDiv w:val="1"/>
      <w:marLeft w:val="0"/>
      <w:marRight w:val="0"/>
      <w:marTop w:val="0"/>
      <w:marBottom w:val="0"/>
      <w:divBdr>
        <w:top w:val="none" w:sz="0" w:space="0" w:color="auto"/>
        <w:left w:val="none" w:sz="0" w:space="0" w:color="auto"/>
        <w:bottom w:val="none" w:sz="0" w:space="0" w:color="auto"/>
        <w:right w:val="none" w:sz="0" w:space="0" w:color="auto"/>
      </w:divBdr>
    </w:div>
    <w:div w:id="1898276232">
      <w:bodyDiv w:val="1"/>
      <w:marLeft w:val="0"/>
      <w:marRight w:val="0"/>
      <w:marTop w:val="0"/>
      <w:marBottom w:val="0"/>
      <w:divBdr>
        <w:top w:val="none" w:sz="0" w:space="0" w:color="auto"/>
        <w:left w:val="none" w:sz="0" w:space="0" w:color="auto"/>
        <w:bottom w:val="none" w:sz="0" w:space="0" w:color="auto"/>
        <w:right w:val="none" w:sz="0" w:space="0" w:color="auto"/>
      </w:divBdr>
    </w:div>
    <w:div w:id="1900162749">
      <w:bodyDiv w:val="1"/>
      <w:marLeft w:val="0"/>
      <w:marRight w:val="0"/>
      <w:marTop w:val="0"/>
      <w:marBottom w:val="0"/>
      <w:divBdr>
        <w:top w:val="none" w:sz="0" w:space="0" w:color="auto"/>
        <w:left w:val="none" w:sz="0" w:space="0" w:color="auto"/>
        <w:bottom w:val="none" w:sz="0" w:space="0" w:color="auto"/>
        <w:right w:val="none" w:sz="0" w:space="0" w:color="auto"/>
      </w:divBdr>
    </w:div>
    <w:div w:id="1903053668">
      <w:bodyDiv w:val="1"/>
      <w:marLeft w:val="0"/>
      <w:marRight w:val="0"/>
      <w:marTop w:val="0"/>
      <w:marBottom w:val="0"/>
      <w:divBdr>
        <w:top w:val="none" w:sz="0" w:space="0" w:color="auto"/>
        <w:left w:val="none" w:sz="0" w:space="0" w:color="auto"/>
        <w:bottom w:val="none" w:sz="0" w:space="0" w:color="auto"/>
        <w:right w:val="none" w:sz="0" w:space="0" w:color="auto"/>
      </w:divBdr>
    </w:div>
    <w:div w:id="1903906569">
      <w:bodyDiv w:val="1"/>
      <w:marLeft w:val="0"/>
      <w:marRight w:val="0"/>
      <w:marTop w:val="0"/>
      <w:marBottom w:val="0"/>
      <w:divBdr>
        <w:top w:val="none" w:sz="0" w:space="0" w:color="auto"/>
        <w:left w:val="none" w:sz="0" w:space="0" w:color="auto"/>
        <w:bottom w:val="none" w:sz="0" w:space="0" w:color="auto"/>
        <w:right w:val="none" w:sz="0" w:space="0" w:color="auto"/>
      </w:divBdr>
    </w:div>
    <w:div w:id="1904413192">
      <w:bodyDiv w:val="1"/>
      <w:marLeft w:val="0"/>
      <w:marRight w:val="0"/>
      <w:marTop w:val="0"/>
      <w:marBottom w:val="0"/>
      <w:divBdr>
        <w:top w:val="none" w:sz="0" w:space="0" w:color="auto"/>
        <w:left w:val="none" w:sz="0" w:space="0" w:color="auto"/>
        <w:bottom w:val="none" w:sz="0" w:space="0" w:color="auto"/>
        <w:right w:val="none" w:sz="0" w:space="0" w:color="auto"/>
      </w:divBdr>
    </w:div>
    <w:div w:id="1904754257">
      <w:bodyDiv w:val="1"/>
      <w:marLeft w:val="0"/>
      <w:marRight w:val="0"/>
      <w:marTop w:val="0"/>
      <w:marBottom w:val="0"/>
      <w:divBdr>
        <w:top w:val="none" w:sz="0" w:space="0" w:color="auto"/>
        <w:left w:val="none" w:sz="0" w:space="0" w:color="auto"/>
        <w:bottom w:val="none" w:sz="0" w:space="0" w:color="auto"/>
        <w:right w:val="none" w:sz="0" w:space="0" w:color="auto"/>
      </w:divBdr>
    </w:div>
    <w:div w:id="1904832176">
      <w:bodyDiv w:val="1"/>
      <w:marLeft w:val="0"/>
      <w:marRight w:val="0"/>
      <w:marTop w:val="0"/>
      <w:marBottom w:val="0"/>
      <w:divBdr>
        <w:top w:val="none" w:sz="0" w:space="0" w:color="auto"/>
        <w:left w:val="none" w:sz="0" w:space="0" w:color="auto"/>
        <w:bottom w:val="none" w:sz="0" w:space="0" w:color="auto"/>
        <w:right w:val="none" w:sz="0" w:space="0" w:color="auto"/>
      </w:divBdr>
    </w:div>
    <w:div w:id="1905795051">
      <w:bodyDiv w:val="1"/>
      <w:marLeft w:val="0"/>
      <w:marRight w:val="0"/>
      <w:marTop w:val="0"/>
      <w:marBottom w:val="0"/>
      <w:divBdr>
        <w:top w:val="none" w:sz="0" w:space="0" w:color="auto"/>
        <w:left w:val="none" w:sz="0" w:space="0" w:color="auto"/>
        <w:bottom w:val="none" w:sz="0" w:space="0" w:color="auto"/>
        <w:right w:val="none" w:sz="0" w:space="0" w:color="auto"/>
      </w:divBdr>
    </w:div>
    <w:div w:id="1905946192">
      <w:bodyDiv w:val="1"/>
      <w:marLeft w:val="0"/>
      <w:marRight w:val="0"/>
      <w:marTop w:val="0"/>
      <w:marBottom w:val="0"/>
      <w:divBdr>
        <w:top w:val="none" w:sz="0" w:space="0" w:color="auto"/>
        <w:left w:val="none" w:sz="0" w:space="0" w:color="auto"/>
        <w:bottom w:val="none" w:sz="0" w:space="0" w:color="auto"/>
        <w:right w:val="none" w:sz="0" w:space="0" w:color="auto"/>
      </w:divBdr>
    </w:div>
    <w:div w:id="1906990370">
      <w:bodyDiv w:val="1"/>
      <w:marLeft w:val="0"/>
      <w:marRight w:val="0"/>
      <w:marTop w:val="0"/>
      <w:marBottom w:val="0"/>
      <w:divBdr>
        <w:top w:val="none" w:sz="0" w:space="0" w:color="auto"/>
        <w:left w:val="none" w:sz="0" w:space="0" w:color="auto"/>
        <w:bottom w:val="none" w:sz="0" w:space="0" w:color="auto"/>
        <w:right w:val="none" w:sz="0" w:space="0" w:color="auto"/>
      </w:divBdr>
    </w:div>
    <w:div w:id="1907449156">
      <w:bodyDiv w:val="1"/>
      <w:marLeft w:val="0"/>
      <w:marRight w:val="0"/>
      <w:marTop w:val="0"/>
      <w:marBottom w:val="0"/>
      <w:divBdr>
        <w:top w:val="none" w:sz="0" w:space="0" w:color="auto"/>
        <w:left w:val="none" w:sz="0" w:space="0" w:color="auto"/>
        <w:bottom w:val="none" w:sz="0" w:space="0" w:color="auto"/>
        <w:right w:val="none" w:sz="0" w:space="0" w:color="auto"/>
      </w:divBdr>
    </w:div>
    <w:div w:id="1907957455">
      <w:bodyDiv w:val="1"/>
      <w:marLeft w:val="0"/>
      <w:marRight w:val="0"/>
      <w:marTop w:val="0"/>
      <w:marBottom w:val="0"/>
      <w:divBdr>
        <w:top w:val="none" w:sz="0" w:space="0" w:color="auto"/>
        <w:left w:val="none" w:sz="0" w:space="0" w:color="auto"/>
        <w:bottom w:val="none" w:sz="0" w:space="0" w:color="auto"/>
        <w:right w:val="none" w:sz="0" w:space="0" w:color="auto"/>
      </w:divBdr>
    </w:div>
    <w:div w:id="1908805167">
      <w:bodyDiv w:val="1"/>
      <w:marLeft w:val="0"/>
      <w:marRight w:val="0"/>
      <w:marTop w:val="0"/>
      <w:marBottom w:val="0"/>
      <w:divBdr>
        <w:top w:val="none" w:sz="0" w:space="0" w:color="auto"/>
        <w:left w:val="none" w:sz="0" w:space="0" w:color="auto"/>
        <w:bottom w:val="none" w:sz="0" w:space="0" w:color="auto"/>
        <w:right w:val="none" w:sz="0" w:space="0" w:color="auto"/>
      </w:divBdr>
    </w:div>
    <w:div w:id="1909221788">
      <w:bodyDiv w:val="1"/>
      <w:marLeft w:val="0"/>
      <w:marRight w:val="0"/>
      <w:marTop w:val="0"/>
      <w:marBottom w:val="0"/>
      <w:divBdr>
        <w:top w:val="none" w:sz="0" w:space="0" w:color="auto"/>
        <w:left w:val="none" w:sz="0" w:space="0" w:color="auto"/>
        <w:bottom w:val="none" w:sz="0" w:space="0" w:color="auto"/>
        <w:right w:val="none" w:sz="0" w:space="0" w:color="auto"/>
      </w:divBdr>
    </w:div>
    <w:div w:id="1909881601">
      <w:bodyDiv w:val="1"/>
      <w:marLeft w:val="0"/>
      <w:marRight w:val="0"/>
      <w:marTop w:val="0"/>
      <w:marBottom w:val="0"/>
      <w:divBdr>
        <w:top w:val="none" w:sz="0" w:space="0" w:color="auto"/>
        <w:left w:val="none" w:sz="0" w:space="0" w:color="auto"/>
        <w:bottom w:val="none" w:sz="0" w:space="0" w:color="auto"/>
        <w:right w:val="none" w:sz="0" w:space="0" w:color="auto"/>
      </w:divBdr>
    </w:div>
    <w:div w:id="1912546413">
      <w:bodyDiv w:val="1"/>
      <w:marLeft w:val="0"/>
      <w:marRight w:val="0"/>
      <w:marTop w:val="0"/>
      <w:marBottom w:val="0"/>
      <w:divBdr>
        <w:top w:val="none" w:sz="0" w:space="0" w:color="auto"/>
        <w:left w:val="none" w:sz="0" w:space="0" w:color="auto"/>
        <w:bottom w:val="none" w:sz="0" w:space="0" w:color="auto"/>
        <w:right w:val="none" w:sz="0" w:space="0" w:color="auto"/>
      </w:divBdr>
    </w:div>
    <w:div w:id="1913814946">
      <w:bodyDiv w:val="1"/>
      <w:marLeft w:val="0"/>
      <w:marRight w:val="0"/>
      <w:marTop w:val="0"/>
      <w:marBottom w:val="0"/>
      <w:divBdr>
        <w:top w:val="none" w:sz="0" w:space="0" w:color="auto"/>
        <w:left w:val="none" w:sz="0" w:space="0" w:color="auto"/>
        <w:bottom w:val="none" w:sz="0" w:space="0" w:color="auto"/>
        <w:right w:val="none" w:sz="0" w:space="0" w:color="auto"/>
      </w:divBdr>
    </w:div>
    <w:div w:id="1914196448">
      <w:bodyDiv w:val="1"/>
      <w:marLeft w:val="0"/>
      <w:marRight w:val="0"/>
      <w:marTop w:val="0"/>
      <w:marBottom w:val="0"/>
      <w:divBdr>
        <w:top w:val="none" w:sz="0" w:space="0" w:color="auto"/>
        <w:left w:val="none" w:sz="0" w:space="0" w:color="auto"/>
        <w:bottom w:val="none" w:sz="0" w:space="0" w:color="auto"/>
        <w:right w:val="none" w:sz="0" w:space="0" w:color="auto"/>
      </w:divBdr>
      <w:divsChild>
        <w:div w:id="1699161704">
          <w:marLeft w:val="0"/>
          <w:marRight w:val="0"/>
          <w:marTop w:val="0"/>
          <w:marBottom w:val="0"/>
          <w:divBdr>
            <w:top w:val="none" w:sz="0" w:space="0" w:color="auto"/>
            <w:left w:val="none" w:sz="0" w:space="0" w:color="auto"/>
            <w:bottom w:val="none" w:sz="0" w:space="0" w:color="auto"/>
            <w:right w:val="none" w:sz="0" w:space="0" w:color="auto"/>
          </w:divBdr>
        </w:div>
      </w:divsChild>
    </w:div>
    <w:div w:id="1914314596">
      <w:bodyDiv w:val="1"/>
      <w:marLeft w:val="0"/>
      <w:marRight w:val="0"/>
      <w:marTop w:val="0"/>
      <w:marBottom w:val="0"/>
      <w:divBdr>
        <w:top w:val="none" w:sz="0" w:space="0" w:color="auto"/>
        <w:left w:val="none" w:sz="0" w:space="0" w:color="auto"/>
        <w:bottom w:val="none" w:sz="0" w:space="0" w:color="auto"/>
        <w:right w:val="none" w:sz="0" w:space="0" w:color="auto"/>
      </w:divBdr>
    </w:div>
    <w:div w:id="1915163139">
      <w:bodyDiv w:val="1"/>
      <w:marLeft w:val="0"/>
      <w:marRight w:val="0"/>
      <w:marTop w:val="0"/>
      <w:marBottom w:val="0"/>
      <w:divBdr>
        <w:top w:val="none" w:sz="0" w:space="0" w:color="auto"/>
        <w:left w:val="none" w:sz="0" w:space="0" w:color="auto"/>
        <w:bottom w:val="none" w:sz="0" w:space="0" w:color="auto"/>
        <w:right w:val="none" w:sz="0" w:space="0" w:color="auto"/>
      </w:divBdr>
    </w:div>
    <w:div w:id="1915504999">
      <w:bodyDiv w:val="1"/>
      <w:marLeft w:val="0"/>
      <w:marRight w:val="0"/>
      <w:marTop w:val="0"/>
      <w:marBottom w:val="0"/>
      <w:divBdr>
        <w:top w:val="none" w:sz="0" w:space="0" w:color="auto"/>
        <w:left w:val="none" w:sz="0" w:space="0" w:color="auto"/>
        <w:bottom w:val="none" w:sz="0" w:space="0" w:color="auto"/>
        <w:right w:val="none" w:sz="0" w:space="0" w:color="auto"/>
      </w:divBdr>
    </w:div>
    <w:div w:id="1915772394">
      <w:bodyDiv w:val="1"/>
      <w:marLeft w:val="0"/>
      <w:marRight w:val="0"/>
      <w:marTop w:val="0"/>
      <w:marBottom w:val="0"/>
      <w:divBdr>
        <w:top w:val="none" w:sz="0" w:space="0" w:color="auto"/>
        <w:left w:val="none" w:sz="0" w:space="0" w:color="auto"/>
        <w:bottom w:val="none" w:sz="0" w:space="0" w:color="auto"/>
        <w:right w:val="none" w:sz="0" w:space="0" w:color="auto"/>
      </w:divBdr>
    </w:div>
    <w:div w:id="1916091788">
      <w:bodyDiv w:val="1"/>
      <w:marLeft w:val="0"/>
      <w:marRight w:val="0"/>
      <w:marTop w:val="0"/>
      <w:marBottom w:val="0"/>
      <w:divBdr>
        <w:top w:val="none" w:sz="0" w:space="0" w:color="auto"/>
        <w:left w:val="none" w:sz="0" w:space="0" w:color="auto"/>
        <w:bottom w:val="none" w:sz="0" w:space="0" w:color="auto"/>
        <w:right w:val="none" w:sz="0" w:space="0" w:color="auto"/>
      </w:divBdr>
    </w:div>
    <w:div w:id="1916428100">
      <w:bodyDiv w:val="1"/>
      <w:marLeft w:val="0"/>
      <w:marRight w:val="0"/>
      <w:marTop w:val="0"/>
      <w:marBottom w:val="0"/>
      <w:divBdr>
        <w:top w:val="none" w:sz="0" w:space="0" w:color="auto"/>
        <w:left w:val="none" w:sz="0" w:space="0" w:color="auto"/>
        <w:bottom w:val="none" w:sz="0" w:space="0" w:color="auto"/>
        <w:right w:val="none" w:sz="0" w:space="0" w:color="auto"/>
      </w:divBdr>
    </w:div>
    <w:div w:id="1916473422">
      <w:bodyDiv w:val="1"/>
      <w:marLeft w:val="0"/>
      <w:marRight w:val="0"/>
      <w:marTop w:val="0"/>
      <w:marBottom w:val="0"/>
      <w:divBdr>
        <w:top w:val="none" w:sz="0" w:space="0" w:color="auto"/>
        <w:left w:val="none" w:sz="0" w:space="0" w:color="auto"/>
        <w:bottom w:val="none" w:sz="0" w:space="0" w:color="auto"/>
        <w:right w:val="none" w:sz="0" w:space="0" w:color="auto"/>
      </w:divBdr>
    </w:div>
    <w:div w:id="1916740156">
      <w:bodyDiv w:val="1"/>
      <w:marLeft w:val="0"/>
      <w:marRight w:val="0"/>
      <w:marTop w:val="0"/>
      <w:marBottom w:val="0"/>
      <w:divBdr>
        <w:top w:val="none" w:sz="0" w:space="0" w:color="auto"/>
        <w:left w:val="none" w:sz="0" w:space="0" w:color="auto"/>
        <w:bottom w:val="none" w:sz="0" w:space="0" w:color="auto"/>
        <w:right w:val="none" w:sz="0" w:space="0" w:color="auto"/>
      </w:divBdr>
    </w:div>
    <w:div w:id="1916742320">
      <w:bodyDiv w:val="1"/>
      <w:marLeft w:val="0"/>
      <w:marRight w:val="0"/>
      <w:marTop w:val="0"/>
      <w:marBottom w:val="0"/>
      <w:divBdr>
        <w:top w:val="none" w:sz="0" w:space="0" w:color="auto"/>
        <w:left w:val="none" w:sz="0" w:space="0" w:color="auto"/>
        <w:bottom w:val="none" w:sz="0" w:space="0" w:color="auto"/>
        <w:right w:val="none" w:sz="0" w:space="0" w:color="auto"/>
      </w:divBdr>
    </w:div>
    <w:div w:id="1918245907">
      <w:bodyDiv w:val="1"/>
      <w:marLeft w:val="0"/>
      <w:marRight w:val="0"/>
      <w:marTop w:val="0"/>
      <w:marBottom w:val="0"/>
      <w:divBdr>
        <w:top w:val="none" w:sz="0" w:space="0" w:color="auto"/>
        <w:left w:val="none" w:sz="0" w:space="0" w:color="auto"/>
        <w:bottom w:val="none" w:sz="0" w:space="0" w:color="auto"/>
        <w:right w:val="none" w:sz="0" w:space="0" w:color="auto"/>
      </w:divBdr>
    </w:div>
    <w:div w:id="1918436263">
      <w:bodyDiv w:val="1"/>
      <w:marLeft w:val="0"/>
      <w:marRight w:val="0"/>
      <w:marTop w:val="0"/>
      <w:marBottom w:val="0"/>
      <w:divBdr>
        <w:top w:val="none" w:sz="0" w:space="0" w:color="auto"/>
        <w:left w:val="none" w:sz="0" w:space="0" w:color="auto"/>
        <w:bottom w:val="none" w:sz="0" w:space="0" w:color="auto"/>
        <w:right w:val="none" w:sz="0" w:space="0" w:color="auto"/>
      </w:divBdr>
    </w:div>
    <w:div w:id="1918636570">
      <w:bodyDiv w:val="1"/>
      <w:marLeft w:val="0"/>
      <w:marRight w:val="0"/>
      <w:marTop w:val="0"/>
      <w:marBottom w:val="0"/>
      <w:divBdr>
        <w:top w:val="none" w:sz="0" w:space="0" w:color="auto"/>
        <w:left w:val="none" w:sz="0" w:space="0" w:color="auto"/>
        <w:bottom w:val="none" w:sz="0" w:space="0" w:color="auto"/>
        <w:right w:val="none" w:sz="0" w:space="0" w:color="auto"/>
      </w:divBdr>
    </w:div>
    <w:div w:id="1919824247">
      <w:bodyDiv w:val="1"/>
      <w:marLeft w:val="0"/>
      <w:marRight w:val="0"/>
      <w:marTop w:val="0"/>
      <w:marBottom w:val="0"/>
      <w:divBdr>
        <w:top w:val="none" w:sz="0" w:space="0" w:color="auto"/>
        <w:left w:val="none" w:sz="0" w:space="0" w:color="auto"/>
        <w:bottom w:val="none" w:sz="0" w:space="0" w:color="auto"/>
        <w:right w:val="none" w:sz="0" w:space="0" w:color="auto"/>
      </w:divBdr>
    </w:div>
    <w:div w:id="1920212445">
      <w:bodyDiv w:val="1"/>
      <w:marLeft w:val="0"/>
      <w:marRight w:val="0"/>
      <w:marTop w:val="0"/>
      <w:marBottom w:val="0"/>
      <w:divBdr>
        <w:top w:val="none" w:sz="0" w:space="0" w:color="auto"/>
        <w:left w:val="none" w:sz="0" w:space="0" w:color="auto"/>
        <w:bottom w:val="none" w:sz="0" w:space="0" w:color="auto"/>
        <w:right w:val="none" w:sz="0" w:space="0" w:color="auto"/>
      </w:divBdr>
    </w:div>
    <w:div w:id="1920824815">
      <w:bodyDiv w:val="1"/>
      <w:marLeft w:val="0"/>
      <w:marRight w:val="0"/>
      <w:marTop w:val="0"/>
      <w:marBottom w:val="0"/>
      <w:divBdr>
        <w:top w:val="none" w:sz="0" w:space="0" w:color="auto"/>
        <w:left w:val="none" w:sz="0" w:space="0" w:color="auto"/>
        <w:bottom w:val="none" w:sz="0" w:space="0" w:color="auto"/>
        <w:right w:val="none" w:sz="0" w:space="0" w:color="auto"/>
      </w:divBdr>
    </w:div>
    <w:div w:id="1920943947">
      <w:bodyDiv w:val="1"/>
      <w:marLeft w:val="0"/>
      <w:marRight w:val="0"/>
      <w:marTop w:val="0"/>
      <w:marBottom w:val="0"/>
      <w:divBdr>
        <w:top w:val="none" w:sz="0" w:space="0" w:color="auto"/>
        <w:left w:val="none" w:sz="0" w:space="0" w:color="auto"/>
        <w:bottom w:val="none" w:sz="0" w:space="0" w:color="auto"/>
        <w:right w:val="none" w:sz="0" w:space="0" w:color="auto"/>
      </w:divBdr>
    </w:div>
    <w:div w:id="1920947525">
      <w:bodyDiv w:val="1"/>
      <w:marLeft w:val="0"/>
      <w:marRight w:val="0"/>
      <w:marTop w:val="0"/>
      <w:marBottom w:val="0"/>
      <w:divBdr>
        <w:top w:val="none" w:sz="0" w:space="0" w:color="auto"/>
        <w:left w:val="none" w:sz="0" w:space="0" w:color="auto"/>
        <w:bottom w:val="none" w:sz="0" w:space="0" w:color="auto"/>
        <w:right w:val="none" w:sz="0" w:space="0" w:color="auto"/>
      </w:divBdr>
    </w:div>
    <w:div w:id="1921061764">
      <w:bodyDiv w:val="1"/>
      <w:marLeft w:val="0"/>
      <w:marRight w:val="0"/>
      <w:marTop w:val="0"/>
      <w:marBottom w:val="0"/>
      <w:divBdr>
        <w:top w:val="none" w:sz="0" w:space="0" w:color="auto"/>
        <w:left w:val="none" w:sz="0" w:space="0" w:color="auto"/>
        <w:bottom w:val="none" w:sz="0" w:space="0" w:color="auto"/>
        <w:right w:val="none" w:sz="0" w:space="0" w:color="auto"/>
      </w:divBdr>
    </w:div>
    <w:div w:id="1921131779">
      <w:bodyDiv w:val="1"/>
      <w:marLeft w:val="0"/>
      <w:marRight w:val="0"/>
      <w:marTop w:val="0"/>
      <w:marBottom w:val="0"/>
      <w:divBdr>
        <w:top w:val="none" w:sz="0" w:space="0" w:color="auto"/>
        <w:left w:val="none" w:sz="0" w:space="0" w:color="auto"/>
        <w:bottom w:val="none" w:sz="0" w:space="0" w:color="auto"/>
        <w:right w:val="none" w:sz="0" w:space="0" w:color="auto"/>
      </w:divBdr>
    </w:div>
    <w:div w:id="1921408431">
      <w:bodyDiv w:val="1"/>
      <w:marLeft w:val="0"/>
      <w:marRight w:val="0"/>
      <w:marTop w:val="0"/>
      <w:marBottom w:val="0"/>
      <w:divBdr>
        <w:top w:val="none" w:sz="0" w:space="0" w:color="auto"/>
        <w:left w:val="none" w:sz="0" w:space="0" w:color="auto"/>
        <w:bottom w:val="none" w:sz="0" w:space="0" w:color="auto"/>
        <w:right w:val="none" w:sz="0" w:space="0" w:color="auto"/>
      </w:divBdr>
    </w:div>
    <w:div w:id="1921599892">
      <w:bodyDiv w:val="1"/>
      <w:marLeft w:val="0"/>
      <w:marRight w:val="0"/>
      <w:marTop w:val="0"/>
      <w:marBottom w:val="0"/>
      <w:divBdr>
        <w:top w:val="none" w:sz="0" w:space="0" w:color="auto"/>
        <w:left w:val="none" w:sz="0" w:space="0" w:color="auto"/>
        <w:bottom w:val="none" w:sz="0" w:space="0" w:color="auto"/>
        <w:right w:val="none" w:sz="0" w:space="0" w:color="auto"/>
      </w:divBdr>
    </w:div>
    <w:div w:id="1921865103">
      <w:bodyDiv w:val="1"/>
      <w:marLeft w:val="0"/>
      <w:marRight w:val="0"/>
      <w:marTop w:val="0"/>
      <w:marBottom w:val="0"/>
      <w:divBdr>
        <w:top w:val="none" w:sz="0" w:space="0" w:color="auto"/>
        <w:left w:val="none" w:sz="0" w:space="0" w:color="auto"/>
        <w:bottom w:val="none" w:sz="0" w:space="0" w:color="auto"/>
        <w:right w:val="none" w:sz="0" w:space="0" w:color="auto"/>
      </w:divBdr>
    </w:div>
    <w:div w:id="1922449406">
      <w:bodyDiv w:val="1"/>
      <w:marLeft w:val="0"/>
      <w:marRight w:val="0"/>
      <w:marTop w:val="0"/>
      <w:marBottom w:val="0"/>
      <w:divBdr>
        <w:top w:val="none" w:sz="0" w:space="0" w:color="auto"/>
        <w:left w:val="none" w:sz="0" w:space="0" w:color="auto"/>
        <w:bottom w:val="none" w:sz="0" w:space="0" w:color="auto"/>
        <w:right w:val="none" w:sz="0" w:space="0" w:color="auto"/>
      </w:divBdr>
    </w:div>
    <w:div w:id="1922788866">
      <w:bodyDiv w:val="1"/>
      <w:marLeft w:val="0"/>
      <w:marRight w:val="0"/>
      <w:marTop w:val="0"/>
      <w:marBottom w:val="0"/>
      <w:divBdr>
        <w:top w:val="none" w:sz="0" w:space="0" w:color="auto"/>
        <w:left w:val="none" w:sz="0" w:space="0" w:color="auto"/>
        <w:bottom w:val="none" w:sz="0" w:space="0" w:color="auto"/>
        <w:right w:val="none" w:sz="0" w:space="0" w:color="auto"/>
      </w:divBdr>
    </w:div>
    <w:div w:id="1923447784">
      <w:bodyDiv w:val="1"/>
      <w:marLeft w:val="0"/>
      <w:marRight w:val="0"/>
      <w:marTop w:val="0"/>
      <w:marBottom w:val="0"/>
      <w:divBdr>
        <w:top w:val="none" w:sz="0" w:space="0" w:color="auto"/>
        <w:left w:val="none" w:sz="0" w:space="0" w:color="auto"/>
        <w:bottom w:val="none" w:sz="0" w:space="0" w:color="auto"/>
        <w:right w:val="none" w:sz="0" w:space="0" w:color="auto"/>
      </w:divBdr>
    </w:div>
    <w:div w:id="1923484805">
      <w:bodyDiv w:val="1"/>
      <w:marLeft w:val="0"/>
      <w:marRight w:val="0"/>
      <w:marTop w:val="0"/>
      <w:marBottom w:val="0"/>
      <w:divBdr>
        <w:top w:val="none" w:sz="0" w:space="0" w:color="auto"/>
        <w:left w:val="none" w:sz="0" w:space="0" w:color="auto"/>
        <w:bottom w:val="none" w:sz="0" w:space="0" w:color="auto"/>
        <w:right w:val="none" w:sz="0" w:space="0" w:color="auto"/>
      </w:divBdr>
    </w:div>
    <w:div w:id="1923753244">
      <w:bodyDiv w:val="1"/>
      <w:marLeft w:val="0"/>
      <w:marRight w:val="0"/>
      <w:marTop w:val="0"/>
      <w:marBottom w:val="0"/>
      <w:divBdr>
        <w:top w:val="none" w:sz="0" w:space="0" w:color="auto"/>
        <w:left w:val="none" w:sz="0" w:space="0" w:color="auto"/>
        <w:bottom w:val="none" w:sz="0" w:space="0" w:color="auto"/>
        <w:right w:val="none" w:sz="0" w:space="0" w:color="auto"/>
      </w:divBdr>
    </w:div>
    <w:div w:id="1924219258">
      <w:bodyDiv w:val="1"/>
      <w:marLeft w:val="0"/>
      <w:marRight w:val="0"/>
      <w:marTop w:val="0"/>
      <w:marBottom w:val="0"/>
      <w:divBdr>
        <w:top w:val="none" w:sz="0" w:space="0" w:color="auto"/>
        <w:left w:val="none" w:sz="0" w:space="0" w:color="auto"/>
        <w:bottom w:val="none" w:sz="0" w:space="0" w:color="auto"/>
        <w:right w:val="none" w:sz="0" w:space="0" w:color="auto"/>
      </w:divBdr>
    </w:div>
    <w:div w:id="1925262914">
      <w:bodyDiv w:val="1"/>
      <w:marLeft w:val="0"/>
      <w:marRight w:val="0"/>
      <w:marTop w:val="0"/>
      <w:marBottom w:val="0"/>
      <w:divBdr>
        <w:top w:val="none" w:sz="0" w:space="0" w:color="auto"/>
        <w:left w:val="none" w:sz="0" w:space="0" w:color="auto"/>
        <w:bottom w:val="none" w:sz="0" w:space="0" w:color="auto"/>
        <w:right w:val="none" w:sz="0" w:space="0" w:color="auto"/>
      </w:divBdr>
    </w:div>
    <w:div w:id="1925609206">
      <w:bodyDiv w:val="1"/>
      <w:marLeft w:val="0"/>
      <w:marRight w:val="0"/>
      <w:marTop w:val="0"/>
      <w:marBottom w:val="0"/>
      <w:divBdr>
        <w:top w:val="none" w:sz="0" w:space="0" w:color="auto"/>
        <w:left w:val="none" w:sz="0" w:space="0" w:color="auto"/>
        <w:bottom w:val="none" w:sz="0" w:space="0" w:color="auto"/>
        <w:right w:val="none" w:sz="0" w:space="0" w:color="auto"/>
      </w:divBdr>
    </w:div>
    <w:div w:id="1925842482">
      <w:bodyDiv w:val="1"/>
      <w:marLeft w:val="0"/>
      <w:marRight w:val="0"/>
      <w:marTop w:val="0"/>
      <w:marBottom w:val="0"/>
      <w:divBdr>
        <w:top w:val="none" w:sz="0" w:space="0" w:color="auto"/>
        <w:left w:val="none" w:sz="0" w:space="0" w:color="auto"/>
        <w:bottom w:val="none" w:sz="0" w:space="0" w:color="auto"/>
        <w:right w:val="none" w:sz="0" w:space="0" w:color="auto"/>
      </w:divBdr>
    </w:div>
    <w:div w:id="1925871481">
      <w:bodyDiv w:val="1"/>
      <w:marLeft w:val="0"/>
      <w:marRight w:val="0"/>
      <w:marTop w:val="0"/>
      <w:marBottom w:val="0"/>
      <w:divBdr>
        <w:top w:val="none" w:sz="0" w:space="0" w:color="auto"/>
        <w:left w:val="none" w:sz="0" w:space="0" w:color="auto"/>
        <w:bottom w:val="none" w:sz="0" w:space="0" w:color="auto"/>
        <w:right w:val="none" w:sz="0" w:space="0" w:color="auto"/>
      </w:divBdr>
    </w:div>
    <w:div w:id="1927036907">
      <w:bodyDiv w:val="1"/>
      <w:marLeft w:val="0"/>
      <w:marRight w:val="0"/>
      <w:marTop w:val="0"/>
      <w:marBottom w:val="0"/>
      <w:divBdr>
        <w:top w:val="none" w:sz="0" w:space="0" w:color="auto"/>
        <w:left w:val="none" w:sz="0" w:space="0" w:color="auto"/>
        <w:bottom w:val="none" w:sz="0" w:space="0" w:color="auto"/>
        <w:right w:val="none" w:sz="0" w:space="0" w:color="auto"/>
      </w:divBdr>
    </w:div>
    <w:div w:id="1927154449">
      <w:bodyDiv w:val="1"/>
      <w:marLeft w:val="0"/>
      <w:marRight w:val="0"/>
      <w:marTop w:val="0"/>
      <w:marBottom w:val="0"/>
      <w:divBdr>
        <w:top w:val="none" w:sz="0" w:space="0" w:color="auto"/>
        <w:left w:val="none" w:sz="0" w:space="0" w:color="auto"/>
        <w:bottom w:val="none" w:sz="0" w:space="0" w:color="auto"/>
        <w:right w:val="none" w:sz="0" w:space="0" w:color="auto"/>
      </w:divBdr>
    </w:div>
    <w:div w:id="1927303957">
      <w:bodyDiv w:val="1"/>
      <w:marLeft w:val="0"/>
      <w:marRight w:val="0"/>
      <w:marTop w:val="0"/>
      <w:marBottom w:val="0"/>
      <w:divBdr>
        <w:top w:val="none" w:sz="0" w:space="0" w:color="auto"/>
        <w:left w:val="none" w:sz="0" w:space="0" w:color="auto"/>
        <w:bottom w:val="none" w:sz="0" w:space="0" w:color="auto"/>
        <w:right w:val="none" w:sz="0" w:space="0" w:color="auto"/>
      </w:divBdr>
    </w:div>
    <w:div w:id="1927416913">
      <w:bodyDiv w:val="1"/>
      <w:marLeft w:val="0"/>
      <w:marRight w:val="0"/>
      <w:marTop w:val="0"/>
      <w:marBottom w:val="0"/>
      <w:divBdr>
        <w:top w:val="none" w:sz="0" w:space="0" w:color="auto"/>
        <w:left w:val="none" w:sz="0" w:space="0" w:color="auto"/>
        <w:bottom w:val="none" w:sz="0" w:space="0" w:color="auto"/>
        <w:right w:val="none" w:sz="0" w:space="0" w:color="auto"/>
      </w:divBdr>
    </w:div>
    <w:div w:id="1927417200">
      <w:bodyDiv w:val="1"/>
      <w:marLeft w:val="0"/>
      <w:marRight w:val="0"/>
      <w:marTop w:val="0"/>
      <w:marBottom w:val="0"/>
      <w:divBdr>
        <w:top w:val="none" w:sz="0" w:space="0" w:color="auto"/>
        <w:left w:val="none" w:sz="0" w:space="0" w:color="auto"/>
        <w:bottom w:val="none" w:sz="0" w:space="0" w:color="auto"/>
        <w:right w:val="none" w:sz="0" w:space="0" w:color="auto"/>
      </w:divBdr>
    </w:div>
    <w:div w:id="1927493485">
      <w:bodyDiv w:val="1"/>
      <w:marLeft w:val="0"/>
      <w:marRight w:val="0"/>
      <w:marTop w:val="0"/>
      <w:marBottom w:val="0"/>
      <w:divBdr>
        <w:top w:val="none" w:sz="0" w:space="0" w:color="auto"/>
        <w:left w:val="none" w:sz="0" w:space="0" w:color="auto"/>
        <w:bottom w:val="none" w:sz="0" w:space="0" w:color="auto"/>
        <w:right w:val="none" w:sz="0" w:space="0" w:color="auto"/>
      </w:divBdr>
    </w:div>
    <w:div w:id="1927878524">
      <w:bodyDiv w:val="1"/>
      <w:marLeft w:val="0"/>
      <w:marRight w:val="0"/>
      <w:marTop w:val="0"/>
      <w:marBottom w:val="0"/>
      <w:divBdr>
        <w:top w:val="none" w:sz="0" w:space="0" w:color="auto"/>
        <w:left w:val="none" w:sz="0" w:space="0" w:color="auto"/>
        <w:bottom w:val="none" w:sz="0" w:space="0" w:color="auto"/>
        <w:right w:val="none" w:sz="0" w:space="0" w:color="auto"/>
      </w:divBdr>
    </w:div>
    <w:div w:id="1928034228">
      <w:bodyDiv w:val="1"/>
      <w:marLeft w:val="0"/>
      <w:marRight w:val="0"/>
      <w:marTop w:val="0"/>
      <w:marBottom w:val="0"/>
      <w:divBdr>
        <w:top w:val="none" w:sz="0" w:space="0" w:color="auto"/>
        <w:left w:val="none" w:sz="0" w:space="0" w:color="auto"/>
        <w:bottom w:val="none" w:sz="0" w:space="0" w:color="auto"/>
        <w:right w:val="none" w:sz="0" w:space="0" w:color="auto"/>
      </w:divBdr>
    </w:div>
    <w:div w:id="1928802642">
      <w:bodyDiv w:val="1"/>
      <w:marLeft w:val="0"/>
      <w:marRight w:val="0"/>
      <w:marTop w:val="0"/>
      <w:marBottom w:val="0"/>
      <w:divBdr>
        <w:top w:val="none" w:sz="0" w:space="0" w:color="auto"/>
        <w:left w:val="none" w:sz="0" w:space="0" w:color="auto"/>
        <w:bottom w:val="none" w:sz="0" w:space="0" w:color="auto"/>
        <w:right w:val="none" w:sz="0" w:space="0" w:color="auto"/>
      </w:divBdr>
    </w:div>
    <w:div w:id="1928881719">
      <w:bodyDiv w:val="1"/>
      <w:marLeft w:val="0"/>
      <w:marRight w:val="0"/>
      <w:marTop w:val="0"/>
      <w:marBottom w:val="0"/>
      <w:divBdr>
        <w:top w:val="none" w:sz="0" w:space="0" w:color="auto"/>
        <w:left w:val="none" w:sz="0" w:space="0" w:color="auto"/>
        <w:bottom w:val="none" w:sz="0" w:space="0" w:color="auto"/>
        <w:right w:val="none" w:sz="0" w:space="0" w:color="auto"/>
      </w:divBdr>
    </w:div>
    <w:div w:id="1928927782">
      <w:bodyDiv w:val="1"/>
      <w:marLeft w:val="0"/>
      <w:marRight w:val="0"/>
      <w:marTop w:val="0"/>
      <w:marBottom w:val="0"/>
      <w:divBdr>
        <w:top w:val="none" w:sz="0" w:space="0" w:color="auto"/>
        <w:left w:val="none" w:sz="0" w:space="0" w:color="auto"/>
        <w:bottom w:val="none" w:sz="0" w:space="0" w:color="auto"/>
        <w:right w:val="none" w:sz="0" w:space="0" w:color="auto"/>
      </w:divBdr>
    </w:div>
    <w:div w:id="1929846640">
      <w:bodyDiv w:val="1"/>
      <w:marLeft w:val="0"/>
      <w:marRight w:val="0"/>
      <w:marTop w:val="0"/>
      <w:marBottom w:val="0"/>
      <w:divBdr>
        <w:top w:val="none" w:sz="0" w:space="0" w:color="auto"/>
        <w:left w:val="none" w:sz="0" w:space="0" w:color="auto"/>
        <w:bottom w:val="none" w:sz="0" w:space="0" w:color="auto"/>
        <w:right w:val="none" w:sz="0" w:space="0" w:color="auto"/>
      </w:divBdr>
    </w:div>
    <w:div w:id="1930969664">
      <w:bodyDiv w:val="1"/>
      <w:marLeft w:val="0"/>
      <w:marRight w:val="0"/>
      <w:marTop w:val="0"/>
      <w:marBottom w:val="0"/>
      <w:divBdr>
        <w:top w:val="none" w:sz="0" w:space="0" w:color="auto"/>
        <w:left w:val="none" w:sz="0" w:space="0" w:color="auto"/>
        <w:bottom w:val="none" w:sz="0" w:space="0" w:color="auto"/>
        <w:right w:val="none" w:sz="0" w:space="0" w:color="auto"/>
      </w:divBdr>
    </w:div>
    <w:div w:id="1931280820">
      <w:bodyDiv w:val="1"/>
      <w:marLeft w:val="0"/>
      <w:marRight w:val="0"/>
      <w:marTop w:val="0"/>
      <w:marBottom w:val="0"/>
      <w:divBdr>
        <w:top w:val="none" w:sz="0" w:space="0" w:color="auto"/>
        <w:left w:val="none" w:sz="0" w:space="0" w:color="auto"/>
        <w:bottom w:val="none" w:sz="0" w:space="0" w:color="auto"/>
        <w:right w:val="none" w:sz="0" w:space="0" w:color="auto"/>
      </w:divBdr>
    </w:div>
    <w:div w:id="1931499213">
      <w:bodyDiv w:val="1"/>
      <w:marLeft w:val="0"/>
      <w:marRight w:val="0"/>
      <w:marTop w:val="0"/>
      <w:marBottom w:val="0"/>
      <w:divBdr>
        <w:top w:val="none" w:sz="0" w:space="0" w:color="auto"/>
        <w:left w:val="none" w:sz="0" w:space="0" w:color="auto"/>
        <w:bottom w:val="none" w:sz="0" w:space="0" w:color="auto"/>
        <w:right w:val="none" w:sz="0" w:space="0" w:color="auto"/>
      </w:divBdr>
    </w:div>
    <w:div w:id="1932161456">
      <w:bodyDiv w:val="1"/>
      <w:marLeft w:val="0"/>
      <w:marRight w:val="0"/>
      <w:marTop w:val="0"/>
      <w:marBottom w:val="0"/>
      <w:divBdr>
        <w:top w:val="none" w:sz="0" w:space="0" w:color="auto"/>
        <w:left w:val="none" w:sz="0" w:space="0" w:color="auto"/>
        <w:bottom w:val="none" w:sz="0" w:space="0" w:color="auto"/>
        <w:right w:val="none" w:sz="0" w:space="0" w:color="auto"/>
      </w:divBdr>
    </w:div>
    <w:div w:id="1932200739">
      <w:bodyDiv w:val="1"/>
      <w:marLeft w:val="0"/>
      <w:marRight w:val="0"/>
      <w:marTop w:val="0"/>
      <w:marBottom w:val="0"/>
      <w:divBdr>
        <w:top w:val="none" w:sz="0" w:space="0" w:color="auto"/>
        <w:left w:val="none" w:sz="0" w:space="0" w:color="auto"/>
        <w:bottom w:val="none" w:sz="0" w:space="0" w:color="auto"/>
        <w:right w:val="none" w:sz="0" w:space="0" w:color="auto"/>
      </w:divBdr>
    </w:div>
    <w:div w:id="1932857897">
      <w:bodyDiv w:val="1"/>
      <w:marLeft w:val="0"/>
      <w:marRight w:val="0"/>
      <w:marTop w:val="0"/>
      <w:marBottom w:val="0"/>
      <w:divBdr>
        <w:top w:val="none" w:sz="0" w:space="0" w:color="auto"/>
        <w:left w:val="none" w:sz="0" w:space="0" w:color="auto"/>
        <w:bottom w:val="none" w:sz="0" w:space="0" w:color="auto"/>
        <w:right w:val="none" w:sz="0" w:space="0" w:color="auto"/>
      </w:divBdr>
    </w:div>
    <w:div w:id="1934121502">
      <w:bodyDiv w:val="1"/>
      <w:marLeft w:val="0"/>
      <w:marRight w:val="0"/>
      <w:marTop w:val="0"/>
      <w:marBottom w:val="0"/>
      <w:divBdr>
        <w:top w:val="none" w:sz="0" w:space="0" w:color="auto"/>
        <w:left w:val="none" w:sz="0" w:space="0" w:color="auto"/>
        <w:bottom w:val="none" w:sz="0" w:space="0" w:color="auto"/>
        <w:right w:val="none" w:sz="0" w:space="0" w:color="auto"/>
      </w:divBdr>
    </w:div>
    <w:div w:id="1934698523">
      <w:bodyDiv w:val="1"/>
      <w:marLeft w:val="0"/>
      <w:marRight w:val="0"/>
      <w:marTop w:val="0"/>
      <w:marBottom w:val="0"/>
      <w:divBdr>
        <w:top w:val="none" w:sz="0" w:space="0" w:color="auto"/>
        <w:left w:val="none" w:sz="0" w:space="0" w:color="auto"/>
        <w:bottom w:val="none" w:sz="0" w:space="0" w:color="auto"/>
        <w:right w:val="none" w:sz="0" w:space="0" w:color="auto"/>
      </w:divBdr>
    </w:div>
    <w:div w:id="1935434174">
      <w:bodyDiv w:val="1"/>
      <w:marLeft w:val="0"/>
      <w:marRight w:val="0"/>
      <w:marTop w:val="0"/>
      <w:marBottom w:val="0"/>
      <w:divBdr>
        <w:top w:val="none" w:sz="0" w:space="0" w:color="auto"/>
        <w:left w:val="none" w:sz="0" w:space="0" w:color="auto"/>
        <w:bottom w:val="none" w:sz="0" w:space="0" w:color="auto"/>
        <w:right w:val="none" w:sz="0" w:space="0" w:color="auto"/>
      </w:divBdr>
    </w:div>
    <w:div w:id="1935703878">
      <w:bodyDiv w:val="1"/>
      <w:marLeft w:val="0"/>
      <w:marRight w:val="0"/>
      <w:marTop w:val="0"/>
      <w:marBottom w:val="0"/>
      <w:divBdr>
        <w:top w:val="none" w:sz="0" w:space="0" w:color="auto"/>
        <w:left w:val="none" w:sz="0" w:space="0" w:color="auto"/>
        <w:bottom w:val="none" w:sz="0" w:space="0" w:color="auto"/>
        <w:right w:val="none" w:sz="0" w:space="0" w:color="auto"/>
      </w:divBdr>
    </w:div>
    <w:div w:id="1936136414">
      <w:bodyDiv w:val="1"/>
      <w:marLeft w:val="0"/>
      <w:marRight w:val="0"/>
      <w:marTop w:val="0"/>
      <w:marBottom w:val="0"/>
      <w:divBdr>
        <w:top w:val="none" w:sz="0" w:space="0" w:color="auto"/>
        <w:left w:val="none" w:sz="0" w:space="0" w:color="auto"/>
        <w:bottom w:val="none" w:sz="0" w:space="0" w:color="auto"/>
        <w:right w:val="none" w:sz="0" w:space="0" w:color="auto"/>
      </w:divBdr>
    </w:div>
    <w:div w:id="1937715770">
      <w:bodyDiv w:val="1"/>
      <w:marLeft w:val="0"/>
      <w:marRight w:val="0"/>
      <w:marTop w:val="0"/>
      <w:marBottom w:val="0"/>
      <w:divBdr>
        <w:top w:val="none" w:sz="0" w:space="0" w:color="auto"/>
        <w:left w:val="none" w:sz="0" w:space="0" w:color="auto"/>
        <w:bottom w:val="none" w:sz="0" w:space="0" w:color="auto"/>
        <w:right w:val="none" w:sz="0" w:space="0" w:color="auto"/>
      </w:divBdr>
    </w:div>
    <w:div w:id="1938174323">
      <w:bodyDiv w:val="1"/>
      <w:marLeft w:val="0"/>
      <w:marRight w:val="0"/>
      <w:marTop w:val="0"/>
      <w:marBottom w:val="0"/>
      <w:divBdr>
        <w:top w:val="none" w:sz="0" w:space="0" w:color="auto"/>
        <w:left w:val="none" w:sz="0" w:space="0" w:color="auto"/>
        <w:bottom w:val="none" w:sz="0" w:space="0" w:color="auto"/>
        <w:right w:val="none" w:sz="0" w:space="0" w:color="auto"/>
      </w:divBdr>
    </w:div>
    <w:div w:id="1938245673">
      <w:bodyDiv w:val="1"/>
      <w:marLeft w:val="0"/>
      <w:marRight w:val="0"/>
      <w:marTop w:val="0"/>
      <w:marBottom w:val="0"/>
      <w:divBdr>
        <w:top w:val="none" w:sz="0" w:space="0" w:color="auto"/>
        <w:left w:val="none" w:sz="0" w:space="0" w:color="auto"/>
        <w:bottom w:val="none" w:sz="0" w:space="0" w:color="auto"/>
        <w:right w:val="none" w:sz="0" w:space="0" w:color="auto"/>
      </w:divBdr>
    </w:div>
    <w:div w:id="1938521438">
      <w:bodyDiv w:val="1"/>
      <w:marLeft w:val="0"/>
      <w:marRight w:val="0"/>
      <w:marTop w:val="0"/>
      <w:marBottom w:val="0"/>
      <w:divBdr>
        <w:top w:val="none" w:sz="0" w:space="0" w:color="auto"/>
        <w:left w:val="none" w:sz="0" w:space="0" w:color="auto"/>
        <w:bottom w:val="none" w:sz="0" w:space="0" w:color="auto"/>
        <w:right w:val="none" w:sz="0" w:space="0" w:color="auto"/>
      </w:divBdr>
    </w:div>
    <w:div w:id="1938752622">
      <w:bodyDiv w:val="1"/>
      <w:marLeft w:val="0"/>
      <w:marRight w:val="0"/>
      <w:marTop w:val="0"/>
      <w:marBottom w:val="0"/>
      <w:divBdr>
        <w:top w:val="none" w:sz="0" w:space="0" w:color="auto"/>
        <w:left w:val="none" w:sz="0" w:space="0" w:color="auto"/>
        <w:bottom w:val="none" w:sz="0" w:space="0" w:color="auto"/>
        <w:right w:val="none" w:sz="0" w:space="0" w:color="auto"/>
      </w:divBdr>
    </w:div>
    <w:div w:id="1939211521">
      <w:bodyDiv w:val="1"/>
      <w:marLeft w:val="0"/>
      <w:marRight w:val="0"/>
      <w:marTop w:val="0"/>
      <w:marBottom w:val="0"/>
      <w:divBdr>
        <w:top w:val="none" w:sz="0" w:space="0" w:color="auto"/>
        <w:left w:val="none" w:sz="0" w:space="0" w:color="auto"/>
        <w:bottom w:val="none" w:sz="0" w:space="0" w:color="auto"/>
        <w:right w:val="none" w:sz="0" w:space="0" w:color="auto"/>
      </w:divBdr>
    </w:div>
    <w:div w:id="1940093541">
      <w:bodyDiv w:val="1"/>
      <w:marLeft w:val="0"/>
      <w:marRight w:val="0"/>
      <w:marTop w:val="0"/>
      <w:marBottom w:val="0"/>
      <w:divBdr>
        <w:top w:val="none" w:sz="0" w:space="0" w:color="auto"/>
        <w:left w:val="none" w:sz="0" w:space="0" w:color="auto"/>
        <w:bottom w:val="none" w:sz="0" w:space="0" w:color="auto"/>
        <w:right w:val="none" w:sz="0" w:space="0" w:color="auto"/>
      </w:divBdr>
    </w:div>
    <w:div w:id="1940093649">
      <w:bodyDiv w:val="1"/>
      <w:marLeft w:val="0"/>
      <w:marRight w:val="0"/>
      <w:marTop w:val="0"/>
      <w:marBottom w:val="0"/>
      <w:divBdr>
        <w:top w:val="none" w:sz="0" w:space="0" w:color="auto"/>
        <w:left w:val="none" w:sz="0" w:space="0" w:color="auto"/>
        <w:bottom w:val="none" w:sz="0" w:space="0" w:color="auto"/>
        <w:right w:val="none" w:sz="0" w:space="0" w:color="auto"/>
      </w:divBdr>
    </w:div>
    <w:div w:id="1941252410">
      <w:bodyDiv w:val="1"/>
      <w:marLeft w:val="0"/>
      <w:marRight w:val="0"/>
      <w:marTop w:val="0"/>
      <w:marBottom w:val="0"/>
      <w:divBdr>
        <w:top w:val="none" w:sz="0" w:space="0" w:color="auto"/>
        <w:left w:val="none" w:sz="0" w:space="0" w:color="auto"/>
        <w:bottom w:val="none" w:sz="0" w:space="0" w:color="auto"/>
        <w:right w:val="none" w:sz="0" w:space="0" w:color="auto"/>
      </w:divBdr>
    </w:div>
    <w:div w:id="1941256453">
      <w:bodyDiv w:val="1"/>
      <w:marLeft w:val="0"/>
      <w:marRight w:val="0"/>
      <w:marTop w:val="0"/>
      <w:marBottom w:val="0"/>
      <w:divBdr>
        <w:top w:val="none" w:sz="0" w:space="0" w:color="auto"/>
        <w:left w:val="none" w:sz="0" w:space="0" w:color="auto"/>
        <w:bottom w:val="none" w:sz="0" w:space="0" w:color="auto"/>
        <w:right w:val="none" w:sz="0" w:space="0" w:color="auto"/>
      </w:divBdr>
    </w:div>
    <w:div w:id="1941642596">
      <w:bodyDiv w:val="1"/>
      <w:marLeft w:val="0"/>
      <w:marRight w:val="0"/>
      <w:marTop w:val="0"/>
      <w:marBottom w:val="0"/>
      <w:divBdr>
        <w:top w:val="none" w:sz="0" w:space="0" w:color="auto"/>
        <w:left w:val="none" w:sz="0" w:space="0" w:color="auto"/>
        <w:bottom w:val="none" w:sz="0" w:space="0" w:color="auto"/>
        <w:right w:val="none" w:sz="0" w:space="0" w:color="auto"/>
      </w:divBdr>
    </w:div>
    <w:div w:id="1942103009">
      <w:bodyDiv w:val="1"/>
      <w:marLeft w:val="0"/>
      <w:marRight w:val="0"/>
      <w:marTop w:val="0"/>
      <w:marBottom w:val="0"/>
      <w:divBdr>
        <w:top w:val="none" w:sz="0" w:space="0" w:color="auto"/>
        <w:left w:val="none" w:sz="0" w:space="0" w:color="auto"/>
        <w:bottom w:val="none" w:sz="0" w:space="0" w:color="auto"/>
        <w:right w:val="none" w:sz="0" w:space="0" w:color="auto"/>
      </w:divBdr>
    </w:div>
    <w:div w:id="1942955837">
      <w:bodyDiv w:val="1"/>
      <w:marLeft w:val="0"/>
      <w:marRight w:val="0"/>
      <w:marTop w:val="0"/>
      <w:marBottom w:val="0"/>
      <w:divBdr>
        <w:top w:val="none" w:sz="0" w:space="0" w:color="auto"/>
        <w:left w:val="none" w:sz="0" w:space="0" w:color="auto"/>
        <w:bottom w:val="none" w:sz="0" w:space="0" w:color="auto"/>
        <w:right w:val="none" w:sz="0" w:space="0" w:color="auto"/>
      </w:divBdr>
    </w:div>
    <w:div w:id="1943610419">
      <w:bodyDiv w:val="1"/>
      <w:marLeft w:val="0"/>
      <w:marRight w:val="0"/>
      <w:marTop w:val="0"/>
      <w:marBottom w:val="0"/>
      <w:divBdr>
        <w:top w:val="none" w:sz="0" w:space="0" w:color="auto"/>
        <w:left w:val="none" w:sz="0" w:space="0" w:color="auto"/>
        <w:bottom w:val="none" w:sz="0" w:space="0" w:color="auto"/>
        <w:right w:val="none" w:sz="0" w:space="0" w:color="auto"/>
      </w:divBdr>
    </w:div>
    <w:div w:id="1943949309">
      <w:bodyDiv w:val="1"/>
      <w:marLeft w:val="0"/>
      <w:marRight w:val="0"/>
      <w:marTop w:val="0"/>
      <w:marBottom w:val="0"/>
      <w:divBdr>
        <w:top w:val="none" w:sz="0" w:space="0" w:color="auto"/>
        <w:left w:val="none" w:sz="0" w:space="0" w:color="auto"/>
        <w:bottom w:val="none" w:sz="0" w:space="0" w:color="auto"/>
        <w:right w:val="none" w:sz="0" w:space="0" w:color="auto"/>
      </w:divBdr>
    </w:div>
    <w:div w:id="1945112253">
      <w:bodyDiv w:val="1"/>
      <w:marLeft w:val="0"/>
      <w:marRight w:val="0"/>
      <w:marTop w:val="0"/>
      <w:marBottom w:val="0"/>
      <w:divBdr>
        <w:top w:val="none" w:sz="0" w:space="0" w:color="auto"/>
        <w:left w:val="none" w:sz="0" w:space="0" w:color="auto"/>
        <w:bottom w:val="none" w:sz="0" w:space="0" w:color="auto"/>
        <w:right w:val="none" w:sz="0" w:space="0" w:color="auto"/>
      </w:divBdr>
    </w:div>
    <w:div w:id="1945454505">
      <w:bodyDiv w:val="1"/>
      <w:marLeft w:val="0"/>
      <w:marRight w:val="0"/>
      <w:marTop w:val="0"/>
      <w:marBottom w:val="0"/>
      <w:divBdr>
        <w:top w:val="none" w:sz="0" w:space="0" w:color="auto"/>
        <w:left w:val="none" w:sz="0" w:space="0" w:color="auto"/>
        <w:bottom w:val="none" w:sz="0" w:space="0" w:color="auto"/>
        <w:right w:val="none" w:sz="0" w:space="0" w:color="auto"/>
      </w:divBdr>
    </w:div>
    <w:div w:id="1946766382">
      <w:bodyDiv w:val="1"/>
      <w:marLeft w:val="0"/>
      <w:marRight w:val="0"/>
      <w:marTop w:val="0"/>
      <w:marBottom w:val="0"/>
      <w:divBdr>
        <w:top w:val="none" w:sz="0" w:space="0" w:color="auto"/>
        <w:left w:val="none" w:sz="0" w:space="0" w:color="auto"/>
        <w:bottom w:val="none" w:sz="0" w:space="0" w:color="auto"/>
        <w:right w:val="none" w:sz="0" w:space="0" w:color="auto"/>
      </w:divBdr>
    </w:div>
    <w:div w:id="1947079159">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
    <w:div w:id="1947420123">
      <w:bodyDiv w:val="1"/>
      <w:marLeft w:val="0"/>
      <w:marRight w:val="0"/>
      <w:marTop w:val="0"/>
      <w:marBottom w:val="0"/>
      <w:divBdr>
        <w:top w:val="none" w:sz="0" w:space="0" w:color="auto"/>
        <w:left w:val="none" w:sz="0" w:space="0" w:color="auto"/>
        <w:bottom w:val="none" w:sz="0" w:space="0" w:color="auto"/>
        <w:right w:val="none" w:sz="0" w:space="0" w:color="auto"/>
      </w:divBdr>
    </w:div>
    <w:div w:id="1948540343">
      <w:bodyDiv w:val="1"/>
      <w:marLeft w:val="0"/>
      <w:marRight w:val="0"/>
      <w:marTop w:val="0"/>
      <w:marBottom w:val="0"/>
      <w:divBdr>
        <w:top w:val="none" w:sz="0" w:space="0" w:color="auto"/>
        <w:left w:val="none" w:sz="0" w:space="0" w:color="auto"/>
        <w:bottom w:val="none" w:sz="0" w:space="0" w:color="auto"/>
        <w:right w:val="none" w:sz="0" w:space="0" w:color="auto"/>
      </w:divBdr>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48848258">
      <w:bodyDiv w:val="1"/>
      <w:marLeft w:val="0"/>
      <w:marRight w:val="0"/>
      <w:marTop w:val="0"/>
      <w:marBottom w:val="0"/>
      <w:divBdr>
        <w:top w:val="none" w:sz="0" w:space="0" w:color="auto"/>
        <w:left w:val="none" w:sz="0" w:space="0" w:color="auto"/>
        <w:bottom w:val="none" w:sz="0" w:space="0" w:color="auto"/>
        <w:right w:val="none" w:sz="0" w:space="0" w:color="auto"/>
      </w:divBdr>
    </w:div>
    <w:div w:id="1948925415">
      <w:bodyDiv w:val="1"/>
      <w:marLeft w:val="0"/>
      <w:marRight w:val="0"/>
      <w:marTop w:val="0"/>
      <w:marBottom w:val="0"/>
      <w:divBdr>
        <w:top w:val="none" w:sz="0" w:space="0" w:color="auto"/>
        <w:left w:val="none" w:sz="0" w:space="0" w:color="auto"/>
        <w:bottom w:val="none" w:sz="0" w:space="0" w:color="auto"/>
        <w:right w:val="none" w:sz="0" w:space="0" w:color="auto"/>
      </w:divBdr>
    </w:div>
    <w:div w:id="1949388889">
      <w:bodyDiv w:val="1"/>
      <w:marLeft w:val="0"/>
      <w:marRight w:val="0"/>
      <w:marTop w:val="0"/>
      <w:marBottom w:val="0"/>
      <w:divBdr>
        <w:top w:val="none" w:sz="0" w:space="0" w:color="auto"/>
        <w:left w:val="none" w:sz="0" w:space="0" w:color="auto"/>
        <w:bottom w:val="none" w:sz="0" w:space="0" w:color="auto"/>
        <w:right w:val="none" w:sz="0" w:space="0" w:color="auto"/>
      </w:divBdr>
    </w:div>
    <w:div w:id="1949696045">
      <w:bodyDiv w:val="1"/>
      <w:marLeft w:val="0"/>
      <w:marRight w:val="0"/>
      <w:marTop w:val="0"/>
      <w:marBottom w:val="0"/>
      <w:divBdr>
        <w:top w:val="none" w:sz="0" w:space="0" w:color="auto"/>
        <w:left w:val="none" w:sz="0" w:space="0" w:color="auto"/>
        <w:bottom w:val="none" w:sz="0" w:space="0" w:color="auto"/>
        <w:right w:val="none" w:sz="0" w:space="0" w:color="auto"/>
      </w:divBdr>
    </w:div>
    <w:div w:id="1949774340">
      <w:bodyDiv w:val="1"/>
      <w:marLeft w:val="0"/>
      <w:marRight w:val="0"/>
      <w:marTop w:val="0"/>
      <w:marBottom w:val="0"/>
      <w:divBdr>
        <w:top w:val="none" w:sz="0" w:space="0" w:color="auto"/>
        <w:left w:val="none" w:sz="0" w:space="0" w:color="auto"/>
        <w:bottom w:val="none" w:sz="0" w:space="0" w:color="auto"/>
        <w:right w:val="none" w:sz="0" w:space="0" w:color="auto"/>
      </w:divBdr>
    </w:div>
    <w:div w:id="1950502773">
      <w:bodyDiv w:val="1"/>
      <w:marLeft w:val="0"/>
      <w:marRight w:val="0"/>
      <w:marTop w:val="0"/>
      <w:marBottom w:val="0"/>
      <w:divBdr>
        <w:top w:val="none" w:sz="0" w:space="0" w:color="auto"/>
        <w:left w:val="none" w:sz="0" w:space="0" w:color="auto"/>
        <w:bottom w:val="none" w:sz="0" w:space="0" w:color="auto"/>
        <w:right w:val="none" w:sz="0" w:space="0" w:color="auto"/>
      </w:divBdr>
    </w:div>
    <w:div w:id="1951081638">
      <w:bodyDiv w:val="1"/>
      <w:marLeft w:val="0"/>
      <w:marRight w:val="0"/>
      <w:marTop w:val="0"/>
      <w:marBottom w:val="0"/>
      <w:divBdr>
        <w:top w:val="none" w:sz="0" w:space="0" w:color="auto"/>
        <w:left w:val="none" w:sz="0" w:space="0" w:color="auto"/>
        <w:bottom w:val="none" w:sz="0" w:space="0" w:color="auto"/>
        <w:right w:val="none" w:sz="0" w:space="0" w:color="auto"/>
      </w:divBdr>
    </w:div>
    <w:div w:id="1952398364">
      <w:bodyDiv w:val="1"/>
      <w:marLeft w:val="0"/>
      <w:marRight w:val="0"/>
      <w:marTop w:val="0"/>
      <w:marBottom w:val="0"/>
      <w:divBdr>
        <w:top w:val="none" w:sz="0" w:space="0" w:color="auto"/>
        <w:left w:val="none" w:sz="0" w:space="0" w:color="auto"/>
        <w:bottom w:val="none" w:sz="0" w:space="0" w:color="auto"/>
        <w:right w:val="none" w:sz="0" w:space="0" w:color="auto"/>
      </w:divBdr>
    </w:div>
    <w:div w:id="1952853518">
      <w:bodyDiv w:val="1"/>
      <w:marLeft w:val="0"/>
      <w:marRight w:val="0"/>
      <w:marTop w:val="0"/>
      <w:marBottom w:val="0"/>
      <w:divBdr>
        <w:top w:val="none" w:sz="0" w:space="0" w:color="auto"/>
        <w:left w:val="none" w:sz="0" w:space="0" w:color="auto"/>
        <w:bottom w:val="none" w:sz="0" w:space="0" w:color="auto"/>
        <w:right w:val="none" w:sz="0" w:space="0" w:color="auto"/>
      </w:divBdr>
    </w:div>
    <w:div w:id="1953434875">
      <w:bodyDiv w:val="1"/>
      <w:marLeft w:val="0"/>
      <w:marRight w:val="0"/>
      <w:marTop w:val="0"/>
      <w:marBottom w:val="0"/>
      <w:divBdr>
        <w:top w:val="none" w:sz="0" w:space="0" w:color="auto"/>
        <w:left w:val="none" w:sz="0" w:space="0" w:color="auto"/>
        <w:bottom w:val="none" w:sz="0" w:space="0" w:color="auto"/>
        <w:right w:val="none" w:sz="0" w:space="0" w:color="auto"/>
      </w:divBdr>
    </w:div>
    <w:div w:id="1953972128">
      <w:bodyDiv w:val="1"/>
      <w:marLeft w:val="0"/>
      <w:marRight w:val="0"/>
      <w:marTop w:val="0"/>
      <w:marBottom w:val="0"/>
      <w:divBdr>
        <w:top w:val="none" w:sz="0" w:space="0" w:color="auto"/>
        <w:left w:val="none" w:sz="0" w:space="0" w:color="auto"/>
        <w:bottom w:val="none" w:sz="0" w:space="0" w:color="auto"/>
        <w:right w:val="none" w:sz="0" w:space="0" w:color="auto"/>
      </w:divBdr>
    </w:div>
    <w:div w:id="1954511880">
      <w:bodyDiv w:val="1"/>
      <w:marLeft w:val="0"/>
      <w:marRight w:val="0"/>
      <w:marTop w:val="0"/>
      <w:marBottom w:val="0"/>
      <w:divBdr>
        <w:top w:val="none" w:sz="0" w:space="0" w:color="auto"/>
        <w:left w:val="none" w:sz="0" w:space="0" w:color="auto"/>
        <w:bottom w:val="none" w:sz="0" w:space="0" w:color="auto"/>
        <w:right w:val="none" w:sz="0" w:space="0" w:color="auto"/>
      </w:divBdr>
    </w:div>
    <w:div w:id="1954628008">
      <w:bodyDiv w:val="1"/>
      <w:marLeft w:val="0"/>
      <w:marRight w:val="0"/>
      <w:marTop w:val="0"/>
      <w:marBottom w:val="0"/>
      <w:divBdr>
        <w:top w:val="none" w:sz="0" w:space="0" w:color="auto"/>
        <w:left w:val="none" w:sz="0" w:space="0" w:color="auto"/>
        <w:bottom w:val="none" w:sz="0" w:space="0" w:color="auto"/>
        <w:right w:val="none" w:sz="0" w:space="0" w:color="auto"/>
      </w:divBdr>
    </w:div>
    <w:div w:id="1954820774">
      <w:bodyDiv w:val="1"/>
      <w:marLeft w:val="0"/>
      <w:marRight w:val="0"/>
      <w:marTop w:val="0"/>
      <w:marBottom w:val="0"/>
      <w:divBdr>
        <w:top w:val="none" w:sz="0" w:space="0" w:color="auto"/>
        <w:left w:val="none" w:sz="0" w:space="0" w:color="auto"/>
        <w:bottom w:val="none" w:sz="0" w:space="0" w:color="auto"/>
        <w:right w:val="none" w:sz="0" w:space="0" w:color="auto"/>
      </w:divBdr>
    </w:div>
    <w:div w:id="1955214182">
      <w:bodyDiv w:val="1"/>
      <w:marLeft w:val="0"/>
      <w:marRight w:val="0"/>
      <w:marTop w:val="0"/>
      <w:marBottom w:val="0"/>
      <w:divBdr>
        <w:top w:val="none" w:sz="0" w:space="0" w:color="auto"/>
        <w:left w:val="none" w:sz="0" w:space="0" w:color="auto"/>
        <w:bottom w:val="none" w:sz="0" w:space="0" w:color="auto"/>
        <w:right w:val="none" w:sz="0" w:space="0" w:color="auto"/>
      </w:divBdr>
    </w:div>
    <w:div w:id="1957515160">
      <w:bodyDiv w:val="1"/>
      <w:marLeft w:val="0"/>
      <w:marRight w:val="0"/>
      <w:marTop w:val="0"/>
      <w:marBottom w:val="0"/>
      <w:divBdr>
        <w:top w:val="none" w:sz="0" w:space="0" w:color="auto"/>
        <w:left w:val="none" w:sz="0" w:space="0" w:color="auto"/>
        <w:bottom w:val="none" w:sz="0" w:space="0" w:color="auto"/>
        <w:right w:val="none" w:sz="0" w:space="0" w:color="auto"/>
      </w:divBdr>
    </w:div>
    <w:div w:id="1957560686">
      <w:bodyDiv w:val="1"/>
      <w:marLeft w:val="0"/>
      <w:marRight w:val="0"/>
      <w:marTop w:val="0"/>
      <w:marBottom w:val="0"/>
      <w:divBdr>
        <w:top w:val="none" w:sz="0" w:space="0" w:color="auto"/>
        <w:left w:val="none" w:sz="0" w:space="0" w:color="auto"/>
        <w:bottom w:val="none" w:sz="0" w:space="0" w:color="auto"/>
        <w:right w:val="none" w:sz="0" w:space="0" w:color="auto"/>
      </w:divBdr>
    </w:div>
    <w:div w:id="1957982481">
      <w:bodyDiv w:val="1"/>
      <w:marLeft w:val="0"/>
      <w:marRight w:val="0"/>
      <w:marTop w:val="0"/>
      <w:marBottom w:val="0"/>
      <w:divBdr>
        <w:top w:val="none" w:sz="0" w:space="0" w:color="auto"/>
        <w:left w:val="none" w:sz="0" w:space="0" w:color="auto"/>
        <w:bottom w:val="none" w:sz="0" w:space="0" w:color="auto"/>
        <w:right w:val="none" w:sz="0" w:space="0" w:color="auto"/>
      </w:divBdr>
    </w:div>
    <w:div w:id="1960070117">
      <w:bodyDiv w:val="1"/>
      <w:marLeft w:val="0"/>
      <w:marRight w:val="0"/>
      <w:marTop w:val="0"/>
      <w:marBottom w:val="0"/>
      <w:divBdr>
        <w:top w:val="none" w:sz="0" w:space="0" w:color="auto"/>
        <w:left w:val="none" w:sz="0" w:space="0" w:color="auto"/>
        <w:bottom w:val="none" w:sz="0" w:space="0" w:color="auto"/>
        <w:right w:val="none" w:sz="0" w:space="0" w:color="auto"/>
      </w:divBdr>
    </w:div>
    <w:div w:id="1960838077">
      <w:bodyDiv w:val="1"/>
      <w:marLeft w:val="0"/>
      <w:marRight w:val="0"/>
      <w:marTop w:val="0"/>
      <w:marBottom w:val="0"/>
      <w:divBdr>
        <w:top w:val="none" w:sz="0" w:space="0" w:color="auto"/>
        <w:left w:val="none" w:sz="0" w:space="0" w:color="auto"/>
        <w:bottom w:val="none" w:sz="0" w:space="0" w:color="auto"/>
        <w:right w:val="none" w:sz="0" w:space="0" w:color="auto"/>
      </w:divBdr>
    </w:div>
    <w:div w:id="1961036954">
      <w:bodyDiv w:val="1"/>
      <w:marLeft w:val="0"/>
      <w:marRight w:val="0"/>
      <w:marTop w:val="0"/>
      <w:marBottom w:val="0"/>
      <w:divBdr>
        <w:top w:val="none" w:sz="0" w:space="0" w:color="auto"/>
        <w:left w:val="none" w:sz="0" w:space="0" w:color="auto"/>
        <w:bottom w:val="none" w:sz="0" w:space="0" w:color="auto"/>
        <w:right w:val="none" w:sz="0" w:space="0" w:color="auto"/>
      </w:divBdr>
    </w:div>
    <w:div w:id="1961183755">
      <w:bodyDiv w:val="1"/>
      <w:marLeft w:val="0"/>
      <w:marRight w:val="0"/>
      <w:marTop w:val="0"/>
      <w:marBottom w:val="0"/>
      <w:divBdr>
        <w:top w:val="none" w:sz="0" w:space="0" w:color="auto"/>
        <w:left w:val="none" w:sz="0" w:space="0" w:color="auto"/>
        <w:bottom w:val="none" w:sz="0" w:space="0" w:color="auto"/>
        <w:right w:val="none" w:sz="0" w:space="0" w:color="auto"/>
      </w:divBdr>
    </w:div>
    <w:div w:id="1963030737">
      <w:bodyDiv w:val="1"/>
      <w:marLeft w:val="0"/>
      <w:marRight w:val="0"/>
      <w:marTop w:val="0"/>
      <w:marBottom w:val="0"/>
      <w:divBdr>
        <w:top w:val="none" w:sz="0" w:space="0" w:color="auto"/>
        <w:left w:val="none" w:sz="0" w:space="0" w:color="auto"/>
        <w:bottom w:val="none" w:sz="0" w:space="0" w:color="auto"/>
        <w:right w:val="none" w:sz="0" w:space="0" w:color="auto"/>
      </w:divBdr>
    </w:div>
    <w:div w:id="1963077289">
      <w:bodyDiv w:val="1"/>
      <w:marLeft w:val="0"/>
      <w:marRight w:val="0"/>
      <w:marTop w:val="0"/>
      <w:marBottom w:val="0"/>
      <w:divBdr>
        <w:top w:val="none" w:sz="0" w:space="0" w:color="auto"/>
        <w:left w:val="none" w:sz="0" w:space="0" w:color="auto"/>
        <w:bottom w:val="none" w:sz="0" w:space="0" w:color="auto"/>
        <w:right w:val="none" w:sz="0" w:space="0" w:color="auto"/>
      </w:divBdr>
    </w:div>
    <w:div w:id="1963488240">
      <w:bodyDiv w:val="1"/>
      <w:marLeft w:val="0"/>
      <w:marRight w:val="0"/>
      <w:marTop w:val="0"/>
      <w:marBottom w:val="0"/>
      <w:divBdr>
        <w:top w:val="none" w:sz="0" w:space="0" w:color="auto"/>
        <w:left w:val="none" w:sz="0" w:space="0" w:color="auto"/>
        <w:bottom w:val="none" w:sz="0" w:space="0" w:color="auto"/>
        <w:right w:val="none" w:sz="0" w:space="0" w:color="auto"/>
      </w:divBdr>
    </w:div>
    <w:div w:id="1963994225">
      <w:bodyDiv w:val="1"/>
      <w:marLeft w:val="0"/>
      <w:marRight w:val="0"/>
      <w:marTop w:val="0"/>
      <w:marBottom w:val="0"/>
      <w:divBdr>
        <w:top w:val="none" w:sz="0" w:space="0" w:color="auto"/>
        <w:left w:val="none" w:sz="0" w:space="0" w:color="auto"/>
        <w:bottom w:val="none" w:sz="0" w:space="0" w:color="auto"/>
        <w:right w:val="none" w:sz="0" w:space="0" w:color="auto"/>
      </w:divBdr>
    </w:div>
    <w:div w:id="1964342086">
      <w:bodyDiv w:val="1"/>
      <w:marLeft w:val="0"/>
      <w:marRight w:val="0"/>
      <w:marTop w:val="0"/>
      <w:marBottom w:val="0"/>
      <w:divBdr>
        <w:top w:val="none" w:sz="0" w:space="0" w:color="auto"/>
        <w:left w:val="none" w:sz="0" w:space="0" w:color="auto"/>
        <w:bottom w:val="none" w:sz="0" w:space="0" w:color="auto"/>
        <w:right w:val="none" w:sz="0" w:space="0" w:color="auto"/>
      </w:divBdr>
    </w:div>
    <w:div w:id="1964917110">
      <w:bodyDiv w:val="1"/>
      <w:marLeft w:val="0"/>
      <w:marRight w:val="0"/>
      <w:marTop w:val="0"/>
      <w:marBottom w:val="0"/>
      <w:divBdr>
        <w:top w:val="none" w:sz="0" w:space="0" w:color="auto"/>
        <w:left w:val="none" w:sz="0" w:space="0" w:color="auto"/>
        <w:bottom w:val="none" w:sz="0" w:space="0" w:color="auto"/>
        <w:right w:val="none" w:sz="0" w:space="0" w:color="auto"/>
      </w:divBdr>
    </w:div>
    <w:div w:id="1965841032">
      <w:bodyDiv w:val="1"/>
      <w:marLeft w:val="0"/>
      <w:marRight w:val="0"/>
      <w:marTop w:val="0"/>
      <w:marBottom w:val="0"/>
      <w:divBdr>
        <w:top w:val="none" w:sz="0" w:space="0" w:color="auto"/>
        <w:left w:val="none" w:sz="0" w:space="0" w:color="auto"/>
        <w:bottom w:val="none" w:sz="0" w:space="0" w:color="auto"/>
        <w:right w:val="none" w:sz="0" w:space="0" w:color="auto"/>
      </w:divBdr>
    </w:div>
    <w:div w:id="1967351889">
      <w:bodyDiv w:val="1"/>
      <w:marLeft w:val="0"/>
      <w:marRight w:val="0"/>
      <w:marTop w:val="0"/>
      <w:marBottom w:val="0"/>
      <w:divBdr>
        <w:top w:val="none" w:sz="0" w:space="0" w:color="auto"/>
        <w:left w:val="none" w:sz="0" w:space="0" w:color="auto"/>
        <w:bottom w:val="none" w:sz="0" w:space="0" w:color="auto"/>
        <w:right w:val="none" w:sz="0" w:space="0" w:color="auto"/>
      </w:divBdr>
    </w:div>
    <w:div w:id="1967806808">
      <w:bodyDiv w:val="1"/>
      <w:marLeft w:val="0"/>
      <w:marRight w:val="0"/>
      <w:marTop w:val="0"/>
      <w:marBottom w:val="0"/>
      <w:divBdr>
        <w:top w:val="none" w:sz="0" w:space="0" w:color="auto"/>
        <w:left w:val="none" w:sz="0" w:space="0" w:color="auto"/>
        <w:bottom w:val="none" w:sz="0" w:space="0" w:color="auto"/>
        <w:right w:val="none" w:sz="0" w:space="0" w:color="auto"/>
      </w:divBdr>
    </w:div>
    <w:div w:id="1968311650">
      <w:bodyDiv w:val="1"/>
      <w:marLeft w:val="0"/>
      <w:marRight w:val="0"/>
      <w:marTop w:val="0"/>
      <w:marBottom w:val="0"/>
      <w:divBdr>
        <w:top w:val="none" w:sz="0" w:space="0" w:color="auto"/>
        <w:left w:val="none" w:sz="0" w:space="0" w:color="auto"/>
        <w:bottom w:val="none" w:sz="0" w:space="0" w:color="auto"/>
        <w:right w:val="none" w:sz="0" w:space="0" w:color="auto"/>
      </w:divBdr>
    </w:div>
    <w:div w:id="1968581122">
      <w:bodyDiv w:val="1"/>
      <w:marLeft w:val="0"/>
      <w:marRight w:val="0"/>
      <w:marTop w:val="0"/>
      <w:marBottom w:val="0"/>
      <w:divBdr>
        <w:top w:val="none" w:sz="0" w:space="0" w:color="auto"/>
        <w:left w:val="none" w:sz="0" w:space="0" w:color="auto"/>
        <w:bottom w:val="none" w:sz="0" w:space="0" w:color="auto"/>
        <w:right w:val="none" w:sz="0" w:space="0" w:color="auto"/>
      </w:divBdr>
    </w:div>
    <w:div w:id="1968581740">
      <w:bodyDiv w:val="1"/>
      <w:marLeft w:val="0"/>
      <w:marRight w:val="0"/>
      <w:marTop w:val="0"/>
      <w:marBottom w:val="0"/>
      <w:divBdr>
        <w:top w:val="none" w:sz="0" w:space="0" w:color="auto"/>
        <w:left w:val="none" w:sz="0" w:space="0" w:color="auto"/>
        <w:bottom w:val="none" w:sz="0" w:space="0" w:color="auto"/>
        <w:right w:val="none" w:sz="0" w:space="0" w:color="auto"/>
      </w:divBdr>
    </w:div>
    <w:div w:id="1969050128">
      <w:bodyDiv w:val="1"/>
      <w:marLeft w:val="0"/>
      <w:marRight w:val="0"/>
      <w:marTop w:val="0"/>
      <w:marBottom w:val="0"/>
      <w:divBdr>
        <w:top w:val="none" w:sz="0" w:space="0" w:color="auto"/>
        <w:left w:val="none" w:sz="0" w:space="0" w:color="auto"/>
        <w:bottom w:val="none" w:sz="0" w:space="0" w:color="auto"/>
        <w:right w:val="none" w:sz="0" w:space="0" w:color="auto"/>
      </w:divBdr>
    </w:div>
    <w:div w:id="1969119243">
      <w:bodyDiv w:val="1"/>
      <w:marLeft w:val="0"/>
      <w:marRight w:val="0"/>
      <w:marTop w:val="0"/>
      <w:marBottom w:val="0"/>
      <w:divBdr>
        <w:top w:val="none" w:sz="0" w:space="0" w:color="auto"/>
        <w:left w:val="none" w:sz="0" w:space="0" w:color="auto"/>
        <w:bottom w:val="none" w:sz="0" w:space="0" w:color="auto"/>
        <w:right w:val="none" w:sz="0" w:space="0" w:color="auto"/>
      </w:divBdr>
    </w:div>
    <w:div w:id="1969167562">
      <w:bodyDiv w:val="1"/>
      <w:marLeft w:val="0"/>
      <w:marRight w:val="0"/>
      <w:marTop w:val="0"/>
      <w:marBottom w:val="0"/>
      <w:divBdr>
        <w:top w:val="none" w:sz="0" w:space="0" w:color="auto"/>
        <w:left w:val="none" w:sz="0" w:space="0" w:color="auto"/>
        <w:bottom w:val="none" w:sz="0" w:space="0" w:color="auto"/>
        <w:right w:val="none" w:sz="0" w:space="0" w:color="auto"/>
      </w:divBdr>
    </w:div>
    <w:div w:id="1969167581">
      <w:bodyDiv w:val="1"/>
      <w:marLeft w:val="0"/>
      <w:marRight w:val="0"/>
      <w:marTop w:val="0"/>
      <w:marBottom w:val="0"/>
      <w:divBdr>
        <w:top w:val="none" w:sz="0" w:space="0" w:color="auto"/>
        <w:left w:val="none" w:sz="0" w:space="0" w:color="auto"/>
        <w:bottom w:val="none" w:sz="0" w:space="0" w:color="auto"/>
        <w:right w:val="none" w:sz="0" w:space="0" w:color="auto"/>
      </w:divBdr>
    </w:div>
    <w:div w:id="1969360543">
      <w:bodyDiv w:val="1"/>
      <w:marLeft w:val="0"/>
      <w:marRight w:val="0"/>
      <w:marTop w:val="0"/>
      <w:marBottom w:val="0"/>
      <w:divBdr>
        <w:top w:val="none" w:sz="0" w:space="0" w:color="auto"/>
        <w:left w:val="none" w:sz="0" w:space="0" w:color="auto"/>
        <w:bottom w:val="none" w:sz="0" w:space="0" w:color="auto"/>
        <w:right w:val="none" w:sz="0" w:space="0" w:color="auto"/>
      </w:divBdr>
    </w:div>
    <w:div w:id="1971200680">
      <w:bodyDiv w:val="1"/>
      <w:marLeft w:val="0"/>
      <w:marRight w:val="0"/>
      <w:marTop w:val="0"/>
      <w:marBottom w:val="0"/>
      <w:divBdr>
        <w:top w:val="none" w:sz="0" w:space="0" w:color="auto"/>
        <w:left w:val="none" w:sz="0" w:space="0" w:color="auto"/>
        <w:bottom w:val="none" w:sz="0" w:space="0" w:color="auto"/>
        <w:right w:val="none" w:sz="0" w:space="0" w:color="auto"/>
      </w:divBdr>
    </w:div>
    <w:div w:id="1971474942">
      <w:bodyDiv w:val="1"/>
      <w:marLeft w:val="0"/>
      <w:marRight w:val="0"/>
      <w:marTop w:val="0"/>
      <w:marBottom w:val="0"/>
      <w:divBdr>
        <w:top w:val="none" w:sz="0" w:space="0" w:color="auto"/>
        <w:left w:val="none" w:sz="0" w:space="0" w:color="auto"/>
        <w:bottom w:val="none" w:sz="0" w:space="0" w:color="auto"/>
        <w:right w:val="none" w:sz="0" w:space="0" w:color="auto"/>
      </w:divBdr>
    </w:div>
    <w:div w:id="1972635136">
      <w:bodyDiv w:val="1"/>
      <w:marLeft w:val="0"/>
      <w:marRight w:val="0"/>
      <w:marTop w:val="0"/>
      <w:marBottom w:val="0"/>
      <w:divBdr>
        <w:top w:val="none" w:sz="0" w:space="0" w:color="auto"/>
        <w:left w:val="none" w:sz="0" w:space="0" w:color="auto"/>
        <w:bottom w:val="none" w:sz="0" w:space="0" w:color="auto"/>
        <w:right w:val="none" w:sz="0" w:space="0" w:color="auto"/>
      </w:divBdr>
    </w:div>
    <w:div w:id="1973822358">
      <w:bodyDiv w:val="1"/>
      <w:marLeft w:val="0"/>
      <w:marRight w:val="0"/>
      <w:marTop w:val="0"/>
      <w:marBottom w:val="0"/>
      <w:divBdr>
        <w:top w:val="none" w:sz="0" w:space="0" w:color="auto"/>
        <w:left w:val="none" w:sz="0" w:space="0" w:color="auto"/>
        <w:bottom w:val="none" w:sz="0" w:space="0" w:color="auto"/>
        <w:right w:val="none" w:sz="0" w:space="0" w:color="auto"/>
      </w:divBdr>
      <w:divsChild>
        <w:div w:id="756827644">
          <w:marLeft w:val="0"/>
          <w:marRight w:val="0"/>
          <w:marTop w:val="0"/>
          <w:marBottom w:val="0"/>
          <w:divBdr>
            <w:top w:val="none" w:sz="0" w:space="0" w:color="auto"/>
            <w:left w:val="none" w:sz="0" w:space="0" w:color="auto"/>
            <w:bottom w:val="none" w:sz="0" w:space="0" w:color="auto"/>
            <w:right w:val="none" w:sz="0" w:space="0" w:color="auto"/>
          </w:divBdr>
        </w:div>
      </w:divsChild>
    </w:div>
    <w:div w:id="1973898805">
      <w:bodyDiv w:val="1"/>
      <w:marLeft w:val="0"/>
      <w:marRight w:val="0"/>
      <w:marTop w:val="0"/>
      <w:marBottom w:val="0"/>
      <w:divBdr>
        <w:top w:val="none" w:sz="0" w:space="0" w:color="auto"/>
        <w:left w:val="none" w:sz="0" w:space="0" w:color="auto"/>
        <w:bottom w:val="none" w:sz="0" w:space="0" w:color="auto"/>
        <w:right w:val="none" w:sz="0" w:space="0" w:color="auto"/>
      </w:divBdr>
    </w:div>
    <w:div w:id="1973972321">
      <w:bodyDiv w:val="1"/>
      <w:marLeft w:val="0"/>
      <w:marRight w:val="0"/>
      <w:marTop w:val="0"/>
      <w:marBottom w:val="0"/>
      <w:divBdr>
        <w:top w:val="none" w:sz="0" w:space="0" w:color="auto"/>
        <w:left w:val="none" w:sz="0" w:space="0" w:color="auto"/>
        <w:bottom w:val="none" w:sz="0" w:space="0" w:color="auto"/>
        <w:right w:val="none" w:sz="0" w:space="0" w:color="auto"/>
      </w:divBdr>
    </w:div>
    <w:div w:id="1975089725">
      <w:bodyDiv w:val="1"/>
      <w:marLeft w:val="0"/>
      <w:marRight w:val="0"/>
      <w:marTop w:val="0"/>
      <w:marBottom w:val="0"/>
      <w:divBdr>
        <w:top w:val="none" w:sz="0" w:space="0" w:color="auto"/>
        <w:left w:val="none" w:sz="0" w:space="0" w:color="auto"/>
        <w:bottom w:val="none" w:sz="0" w:space="0" w:color="auto"/>
        <w:right w:val="none" w:sz="0" w:space="0" w:color="auto"/>
      </w:divBdr>
    </w:div>
    <w:div w:id="1975401455">
      <w:bodyDiv w:val="1"/>
      <w:marLeft w:val="0"/>
      <w:marRight w:val="0"/>
      <w:marTop w:val="0"/>
      <w:marBottom w:val="0"/>
      <w:divBdr>
        <w:top w:val="none" w:sz="0" w:space="0" w:color="auto"/>
        <w:left w:val="none" w:sz="0" w:space="0" w:color="auto"/>
        <w:bottom w:val="none" w:sz="0" w:space="0" w:color="auto"/>
        <w:right w:val="none" w:sz="0" w:space="0" w:color="auto"/>
      </w:divBdr>
    </w:div>
    <w:div w:id="1975403396">
      <w:bodyDiv w:val="1"/>
      <w:marLeft w:val="0"/>
      <w:marRight w:val="0"/>
      <w:marTop w:val="0"/>
      <w:marBottom w:val="0"/>
      <w:divBdr>
        <w:top w:val="none" w:sz="0" w:space="0" w:color="auto"/>
        <w:left w:val="none" w:sz="0" w:space="0" w:color="auto"/>
        <w:bottom w:val="none" w:sz="0" w:space="0" w:color="auto"/>
        <w:right w:val="none" w:sz="0" w:space="0" w:color="auto"/>
      </w:divBdr>
    </w:div>
    <w:div w:id="1975985927">
      <w:bodyDiv w:val="1"/>
      <w:marLeft w:val="0"/>
      <w:marRight w:val="0"/>
      <w:marTop w:val="0"/>
      <w:marBottom w:val="0"/>
      <w:divBdr>
        <w:top w:val="none" w:sz="0" w:space="0" w:color="auto"/>
        <w:left w:val="none" w:sz="0" w:space="0" w:color="auto"/>
        <w:bottom w:val="none" w:sz="0" w:space="0" w:color="auto"/>
        <w:right w:val="none" w:sz="0" w:space="0" w:color="auto"/>
      </w:divBdr>
    </w:div>
    <w:div w:id="1977055224">
      <w:bodyDiv w:val="1"/>
      <w:marLeft w:val="0"/>
      <w:marRight w:val="0"/>
      <w:marTop w:val="0"/>
      <w:marBottom w:val="0"/>
      <w:divBdr>
        <w:top w:val="none" w:sz="0" w:space="0" w:color="auto"/>
        <w:left w:val="none" w:sz="0" w:space="0" w:color="auto"/>
        <w:bottom w:val="none" w:sz="0" w:space="0" w:color="auto"/>
        <w:right w:val="none" w:sz="0" w:space="0" w:color="auto"/>
      </w:divBdr>
    </w:div>
    <w:div w:id="1977178796">
      <w:bodyDiv w:val="1"/>
      <w:marLeft w:val="0"/>
      <w:marRight w:val="0"/>
      <w:marTop w:val="0"/>
      <w:marBottom w:val="0"/>
      <w:divBdr>
        <w:top w:val="none" w:sz="0" w:space="0" w:color="auto"/>
        <w:left w:val="none" w:sz="0" w:space="0" w:color="auto"/>
        <w:bottom w:val="none" w:sz="0" w:space="0" w:color="auto"/>
        <w:right w:val="none" w:sz="0" w:space="0" w:color="auto"/>
      </w:divBdr>
    </w:div>
    <w:div w:id="1977830925">
      <w:bodyDiv w:val="1"/>
      <w:marLeft w:val="0"/>
      <w:marRight w:val="0"/>
      <w:marTop w:val="0"/>
      <w:marBottom w:val="0"/>
      <w:divBdr>
        <w:top w:val="none" w:sz="0" w:space="0" w:color="auto"/>
        <w:left w:val="none" w:sz="0" w:space="0" w:color="auto"/>
        <w:bottom w:val="none" w:sz="0" w:space="0" w:color="auto"/>
        <w:right w:val="none" w:sz="0" w:space="0" w:color="auto"/>
      </w:divBdr>
    </w:div>
    <w:div w:id="1977908588">
      <w:bodyDiv w:val="1"/>
      <w:marLeft w:val="0"/>
      <w:marRight w:val="0"/>
      <w:marTop w:val="0"/>
      <w:marBottom w:val="0"/>
      <w:divBdr>
        <w:top w:val="none" w:sz="0" w:space="0" w:color="auto"/>
        <w:left w:val="none" w:sz="0" w:space="0" w:color="auto"/>
        <w:bottom w:val="none" w:sz="0" w:space="0" w:color="auto"/>
        <w:right w:val="none" w:sz="0" w:space="0" w:color="auto"/>
      </w:divBdr>
    </w:div>
    <w:div w:id="1978685397">
      <w:bodyDiv w:val="1"/>
      <w:marLeft w:val="0"/>
      <w:marRight w:val="0"/>
      <w:marTop w:val="0"/>
      <w:marBottom w:val="0"/>
      <w:divBdr>
        <w:top w:val="none" w:sz="0" w:space="0" w:color="auto"/>
        <w:left w:val="none" w:sz="0" w:space="0" w:color="auto"/>
        <w:bottom w:val="none" w:sz="0" w:space="0" w:color="auto"/>
        <w:right w:val="none" w:sz="0" w:space="0" w:color="auto"/>
      </w:divBdr>
    </w:div>
    <w:div w:id="1979451274">
      <w:bodyDiv w:val="1"/>
      <w:marLeft w:val="0"/>
      <w:marRight w:val="0"/>
      <w:marTop w:val="0"/>
      <w:marBottom w:val="0"/>
      <w:divBdr>
        <w:top w:val="none" w:sz="0" w:space="0" w:color="auto"/>
        <w:left w:val="none" w:sz="0" w:space="0" w:color="auto"/>
        <w:bottom w:val="none" w:sz="0" w:space="0" w:color="auto"/>
        <w:right w:val="none" w:sz="0" w:space="0" w:color="auto"/>
      </w:divBdr>
    </w:div>
    <w:div w:id="1979870712">
      <w:bodyDiv w:val="1"/>
      <w:marLeft w:val="0"/>
      <w:marRight w:val="0"/>
      <w:marTop w:val="0"/>
      <w:marBottom w:val="0"/>
      <w:divBdr>
        <w:top w:val="none" w:sz="0" w:space="0" w:color="auto"/>
        <w:left w:val="none" w:sz="0" w:space="0" w:color="auto"/>
        <w:bottom w:val="none" w:sz="0" w:space="0" w:color="auto"/>
        <w:right w:val="none" w:sz="0" w:space="0" w:color="auto"/>
      </w:divBdr>
    </w:div>
    <w:div w:id="1981569336">
      <w:bodyDiv w:val="1"/>
      <w:marLeft w:val="0"/>
      <w:marRight w:val="0"/>
      <w:marTop w:val="0"/>
      <w:marBottom w:val="0"/>
      <w:divBdr>
        <w:top w:val="none" w:sz="0" w:space="0" w:color="auto"/>
        <w:left w:val="none" w:sz="0" w:space="0" w:color="auto"/>
        <w:bottom w:val="none" w:sz="0" w:space="0" w:color="auto"/>
        <w:right w:val="none" w:sz="0" w:space="0" w:color="auto"/>
      </w:divBdr>
    </w:div>
    <w:div w:id="1982005581">
      <w:bodyDiv w:val="1"/>
      <w:marLeft w:val="0"/>
      <w:marRight w:val="0"/>
      <w:marTop w:val="0"/>
      <w:marBottom w:val="0"/>
      <w:divBdr>
        <w:top w:val="none" w:sz="0" w:space="0" w:color="auto"/>
        <w:left w:val="none" w:sz="0" w:space="0" w:color="auto"/>
        <w:bottom w:val="none" w:sz="0" w:space="0" w:color="auto"/>
        <w:right w:val="none" w:sz="0" w:space="0" w:color="auto"/>
      </w:divBdr>
    </w:div>
    <w:div w:id="1983923212">
      <w:bodyDiv w:val="1"/>
      <w:marLeft w:val="0"/>
      <w:marRight w:val="0"/>
      <w:marTop w:val="0"/>
      <w:marBottom w:val="0"/>
      <w:divBdr>
        <w:top w:val="none" w:sz="0" w:space="0" w:color="auto"/>
        <w:left w:val="none" w:sz="0" w:space="0" w:color="auto"/>
        <w:bottom w:val="none" w:sz="0" w:space="0" w:color="auto"/>
        <w:right w:val="none" w:sz="0" w:space="0" w:color="auto"/>
      </w:divBdr>
    </w:div>
    <w:div w:id="1984966453">
      <w:bodyDiv w:val="1"/>
      <w:marLeft w:val="0"/>
      <w:marRight w:val="0"/>
      <w:marTop w:val="0"/>
      <w:marBottom w:val="0"/>
      <w:divBdr>
        <w:top w:val="none" w:sz="0" w:space="0" w:color="auto"/>
        <w:left w:val="none" w:sz="0" w:space="0" w:color="auto"/>
        <w:bottom w:val="none" w:sz="0" w:space="0" w:color="auto"/>
        <w:right w:val="none" w:sz="0" w:space="0" w:color="auto"/>
      </w:divBdr>
    </w:div>
    <w:div w:id="1986006800">
      <w:bodyDiv w:val="1"/>
      <w:marLeft w:val="0"/>
      <w:marRight w:val="0"/>
      <w:marTop w:val="0"/>
      <w:marBottom w:val="0"/>
      <w:divBdr>
        <w:top w:val="none" w:sz="0" w:space="0" w:color="auto"/>
        <w:left w:val="none" w:sz="0" w:space="0" w:color="auto"/>
        <w:bottom w:val="none" w:sz="0" w:space="0" w:color="auto"/>
        <w:right w:val="none" w:sz="0" w:space="0" w:color="auto"/>
      </w:divBdr>
    </w:div>
    <w:div w:id="1986085919">
      <w:bodyDiv w:val="1"/>
      <w:marLeft w:val="0"/>
      <w:marRight w:val="0"/>
      <w:marTop w:val="0"/>
      <w:marBottom w:val="0"/>
      <w:divBdr>
        <w:top w:val="none" w:sz="0" w:space="0" w:color="auto"/>
        <w:left w:val="none" w:sz="0" w:space="0" w:color="auto"/>
        <w:bottom w:val="none" w:sz="0" w:space="0" w:color="auto"/>
        <w:right w:val="none" w:sz="0" w:space="0" w:color="auto"/>
      </w:divBdr>
    </w:div>
    <w:div w:id="1987513262">
      <w:bodyDiv w:val="1"/>
      <w:marLeft w:val="0"/>
      <w:marRight w:val="0"/>
      <w:marTop w:val="0"/>
      <w:marBottom w:val="0"/>
      <w:divBdr>
        <w:top w:val="none" w:sz="0" w:space="0" w:color="auto"/>
        <w:left w:val="none" w:sz="0" w:space="0" w:color="auto"/>
        <w:bottom w:val="none" w:sz="0" w:space="0" w:color="auto"/>
        <w:right w:val="none" w:sz="0" w:space="0" w:color="auto"/>
      </w:divBdr>
    </w:div>
    <w:div w:id="1988316396">
      <w:bodyDiv w:val="1"/>
      <w:marLeft w:val="0"/>
      <w:marRight w:val="0"/>
      <w:marTop w:val="0"/>
      <w:marBottom w:val="0"/>
      <w:divBdr>
        <w:top w:val="none" w:sz="0" w:space="0" w:color="auto"/>
        <w:left w:val="none" w:sz="0" w:space="0" w:color="auto"/>
        <w:bottom w:val="none" w:sz="0" w:space="0" w:color="auto"/>
        <w:right w:val="none" w:sz="0" w:space="0" w:color="auto"/>
      </w:divBdr>
    </w:div>
    <w:div w:id="1990595451">
      <w:bodyDiv w:val="1"/>
      <w:marLeft w:val="0"/>
      <w:marRight w:val="0"/>
      <w:marTop w:val="0"/>
      <w:marBottom w:val="0"/>
      <w:divBdr>
        <w:top w:val="none" w:sz="0" w:space="0" w:color="auto"/>
        <w:left w:val="none" w:sz="0" w:space="0" w:color="auto"/>
        <w:bottom w:val="none" w:sz="0" w:space="0" w:color="auto"/>
        <w:right w:val="none" w:sz="0" w:space="0" w:color="auto"/>
      </w:divBdr>
    </w:div>
    <w:div w:id="1991443695">
      <w:bodyDiv w:val="1"/>
      <w:marLeft w:val="0"/>
      <w:marRight w:val="0"/>
      <w:marTop w:val="0"/>
      <w:marBottom w:val="0"/>
      <w:divBdr>
        <w:top w:val="none" w:sz="0" w:space="0" w:color="auto"/>
        <w:left w:val="none" w:sz="0" w:space="0" w:color="auto"/>
        <w:bottom w:val="none" w:sz="0" w:space="0" w:color="auto"/>
        <w:right w:val="none" w:sz="0" w:space="0" w:color="auto"/>
      </w:divBdr>
    </w:div>
    <w:div w:id="1992828946">
      <w:bodyDiv w:val="1"/>
      <w:marLeft w:val="0"/>
      <w:marRight w:val="0"/>
      <w:marTop w:val="0"/>
      <w:marBottom w:val="0"/>
      <w:divBdr>
        <w:top w:val="none" w:sz="0" w:space="0" w:color="auto"/>
        <w:left w:val="none" w:sz="0" w:space="0" w:color="auto"/>
        <w:bottom w:val="none" w:sz="0" w:space="0" w:color="auto"/>
        <w:right w:val="none" w:sz="0" w:space="0" w:color="auto"/>
      </w:divBdr>
    </w:div>
    <w:div w:id="1993094391">
      <w:bodyDiv w:val="1"/>
      <w:marLeft w:val="0"/>
      <w:marRight w:val="0"/>
      <w:marTop w:val="0"/>
      <w:marBottom w:val="0"/>
      <w:divBdr>
        <w:top w:val="none" w:sz="0" w:space="0" w:color="auto"/>
        <w:left w:val="none" w:sz="0" w:space="0" w:color="auto"/>
        <w:bottom w:val="none" w:sz="0" w:space="0" w:color="auto"/>
        <w:right w:val="none" w:sz="0" w:space="0" w:color="auto"/>
      </w:divBdr>
    </w:div>
    <w:div w:id="1993899000">
      <w:bodyDiv w:val="1"/>
      <w:marLeft w:val="0"/>
      <w:marRight w:val="0"/>
      <w:marTop w:val="0"/>
      <w:marBottom w:val="0"/>
      <w:divBdr>
        <w:top w:val="none" w:sz="0" w:space="0" w:color="auto"/>
        <w:left w:val="none" w:sz="0" w:space="0" w:color="auto"/>
        <w:bottom w:val="none" w:sz="0" w:space="0" w:color="auto"/>
        <w:right w:val="none" w:sz="0" w:space="0" w:color="auto"/>
      </w:divBdr>
    </w:div>
    <w:div w:id="1994488366">
      <w:bodyDiv w:val="1"/>
      <w:marLeft w:val="0"/>
      <w:marRight w:val="0"/>
      <w:marTop w:val="0"/>
      <w:marBottom w:val="0"/>
      <w:divBdr>
        <w:top w:val="none" w:sz="0" w:space="0" w:color="auto"/>
        <w:left w:val="none" w:sz="0" w:space="0" w:color="auto"/>
        <w:bottom w:val="none" w:sz="0" w:space="0" w:color="auto"/>
        <w:right w:val="none" w:sz="0" w:space="0" w:color="auto"/>
      </w:divBdr>
    </w:div>
    <w:div w:id="1994915875">
      <w:bodyDiv w:val="1"/>
      <w:marLeft w:val="0"/>
      <w:marRight w:val="0"/>
      <w:marTop w:val="0"/>
      <w:marBottom w:val="0"/>
      <w:divBdr>
        <w:top w:val="none" w:sz="0" w:space="0" w:color="auto"/>
        <w:left w:val="none" w:sz="0" w:space="0" w:color="auto"/>
        <w:bottom w:val="none" w:sz="0" w:space="0" w:color="auto"/>
        <w:right w:val="none" w:sz="0" w:space="0" w:color="auto"/>
      </w:divBdr>
    </w:div>
    <w:div w:id="1995838070">
      <w:bodyDiv w:val="1"/>
      <w:marLeft w:val="0"/>
      <w:marRight w:val="0"/>
      <w:marTop w:val="0"/>
      <w:marBottom w:val="0"/>
      <w:divBdr>
        <w:top w:val="none" w:sz="0" w:space="0" w:color="auto"/>
        <w:left w:val="none" w:sz="0" w:space="0" w:color="auto"/>
        <w:bottom w:val="none" w:sz="0" w:space="0" w:color="auto"/>
        <w:right w:val="none" w:sz="0" w:space="0" w:color="auto"/>
      </w:divBdr>
    </w:div>
    <w:div w:id="1996453177">
      <w:bodyDiv w:val="1"/>
      <w:marLeft w:val="0"/>
      <w:marRight w:val="0"/>
      <w:marTop w:val="0"/>
      <w:marBottom w:val="0"/>
      <w:divBdr>
        <w:top w:val="none" w:sz="0" w:space="0" w:color="auto"/>
        <w:left w:val="none" w:sz="0" w:space="0" w:color="auto"/>
        <w:bottom w:val="none" w:sz="0" w:space="0" w:color="auto"/>
        <w:right w:val="none" w:sz="0" w:space="0" w:color="auto"/>
      </w:divBdr>
    </w:div>
    <w:div w:id="1997611284">
      <w:bodyDiv w:val="1"/>
      <w:marLeft w:val="0"/>
      <w:marRight w:val="0"/>
      <w:marTop w:val="0"/>
      <w:marBottom w:val="0"/>
      <w:divBdr>
        <w:top w:val="none" w:sz="0" w:space="0" w:color="auto"/>
        <w:left w:val="none" w:sz="0" w:space="0" w:color="auto"/>
        <w:bottom w:val="none" w:sz="0" w:space="0" w:color="auto"/>
        <w:right w:val="none" w:sz="0" w:space="0" w:color="auto"/>
      </w:divBdr>
    </w:div>
    <w:div w:id="1997760789">
      <w:bodyDiv w:val="1"/>
      <w:marLeft w:val="0"/>
      <w:marRight w:val="0"/>
      <w:marTop w:val="0"/>
      <w:marBottom w:val="0"/>
      <w:divBdr>
        <w:top w:val="none" w:sz="0" w:space="0" w:color="auto"/>
        <w:left w:val="none" w:sz="0" w:space="0" w:color="auto"/>
        <w:bottom w:val="none" w:sz="0" w:space="0" w:color="auto"/>
        <w:right w:val="none" w:sz="0" w:space="0" w:color="auto"/>
      </w:divBdr>
    </w:div>
    <w:div w:id="1999191396">
      <w:bodyDiv w:val="1"/>
      <w:marLeft w:val="0"/>
      <w:marRight w:val="0"/>
      <w:marTop w:val="0"/>
      <w:marBottom w:val="0"/>
      <w:divBdr>
        <w:top w:val="none" w:sz="0" w:space="0" w:color="auto"/>
        <w:left w:val="none" w:sz="0" w:space="0" w:color="auto"/>
        <w:bottom w:val="none" w:sz="0" w:space="0" w:color="auto"/>
        <w:right w:val="none" w:sz="0" w:space="0" w:color="auto"/>
      </w:divBdr>
    </w:div>
    <w:div w:id="1999725775">
      <w:bodyDiv w:val="1"/>
      <w:marLeft w:val="0"/>
      <w:marRight w:val="0"/>
      <w:marTop w:val="0"/>
      <w:marBottom w:val="0"/>
      <w:divBdr>
        <w:top w:val="none" w:sz="0" w:space="0" w:color="auto"/>
        <w:left w:val="none" w:sz="0" w:space="0" w:color="auto"/>
        <w:bottom w:val="none" w:sz="0" w:space="0" w:color="auto"/>
        <w:right w:val="none" w:sz="0" w:space="0" w:color="auto"/>
      </w:divBdr>
    </w:div>
    <w:div w:id="1999840758">
      <w:bodyDiv w:val="1"/>
      <w:marLeft w:val="0"/>
      <w:marRight w:val="0"/>
      <w:marTop w:val="0"/>
      <w:marBottom w:val="0"/>
      <w:divBdr>
        <w:top w:val="none" w:sz="0" w:space="0" w:color="auto"/>
        <w:left w:val="none" w:sz="0" w:space="0" w:color="auto"/>
        <w:bottom w:val="none" w:sz="0" w:space="0" w:color="auto"/>
        <w:right w:val="none" w:sz="0" w:space="0" w:color="auto"/>
      </w:divBdr>
    </w:div>
    <w:div w:id="2000495994">
      <w:bodyDiv w:val="1"/>
      <w:marLeft w:val="0"/>
      <w:marRight w:val="0"/>
      <w:marTop w:val="0"/>
      <w:marBottom w:val="0"/>
      <w:divBdr>
        <w:top w:val="none" w:sz="0" w:space="0" w:color="auto"/>
        <w:left w:val="none" w:sz="0" w:space="0" w:color="auto"/>
        <w:bottom w:val="none" w:sz="0" w:space="0" w:color="auto"/>
        <w:right w:val="none" w:sz="0" w:space="0" w:color="auto"/>
      </w:divBdr>
    </w:div>
    <w:div w:id="2000960267">
      <w:bodyDiv w:val="1"/>
      <w:marLeft w:val="0"/>
      <w:marRight w:val="0"/>
      <w:marTop w:val="0"/>
      <w:marBottom w:val="0"/>
      <w:divBdr>
        <w:top w:val="none" w:sz="0" w:space="0" w:color="auto"/>
        <w:left w:val="none" w:sz="0" w:space="0" w:color="auto"/>
        <w:bottom w:val="none" w:sz="0" w:space="0" w:color="auto"/>
        <w:right w:val="none" w:sz="0" w:space="0" w:color="auto"/>
      </w:divBdr>
    </w:div>
    <w:div w:id="2001040151">
      <w:bodyDiv w:val="1"/>
      <w:marLeft w:val="0"/>
      <w:marRight w:val="0"/>
      <w:marTop w:val="0"/>
      <w:marBottom w:val="0"/>
      <w:divBdr>
        <w:top w:val="none" w:sz="0" w:space="0" w:color="auto"/>
        <w:left w:val="none" w:sz="0" w:space="0" w:color="auto"/>
        <w:bottom w:val="none" w:sz="0" w:space="0" w:color="auto"/>
        <w:right w:val="none" w:sz="0" w:space="0" w:color="auto"/>
      </w:divBdr>
    </w:div>
    <w:div w:id="2005356220">
      <w:bodyDiv w:val="1"/>
      <w:marLeft w:val="0"/>
      <w:marRight w:val="0"/>
      <w:marTop w:val="0"/>
      <w:marBottom w:val="0"/>
      <w:divBdr>
        <w:top w:val="none" w:sz="0" w:space="0" w:color="auto"/>
        <w:left w:val="none" w:sz="0" w:space="0" w:color="auto"/>
        <w:bottom w:val="none" w:sz="0" w:space="0" w:color="auto"/>
        <w:right w:val="none" w:sz="0" w:space="0" w:color="auto"/>
      </w:divBdr>
    </w:div>
    <w:div w:id="2005625372">
      <w:bodyDiv w:val="1"/>
      <w:marLeft w:val="0"/>
      <w:marRight w:val="0"/>
      <w:marTop w:val="0"/>
      <w:marBottom w:val="0"/>
      <w:divBdr>
        <w:top w:val="none" w:sz="0" w:space="0" w:color="auto"/>
        <w:left w:val="none" w:sz="0" w:space="0" w:color="auto"/>
        <w:bottom w:val="none" w:sz="0" w:space="0" w:color="auto"/>
        <w:right w:val="none" w:sz="0" w:space="0" w:color="auto"/>
      </w:divBdr>
    </w:div>
    <w:div w:id="2005814218">
      <w:bodyDiv w:val="1"/>
      <w:marLeft w:val="0"/>
      <w:marRight w:val="0"/>
      <w:marTop w:val="0"/>
      <w:marBottom w:val="0"/>
      <w:divBdr>
        <w:top w:val="none" w:sz="0" w:space="0" w:color="auto"/>
        <w:left w:val="none" w:sz="0" w:space="0" w:color="auto"/>
        <w:bottom w:val="none" w:sz="0" w:space="0" w:color="auto"/>
        <w:right w:val="none" w:sz="0" w:space="0" w:color="auto"/>
      </w:divBdr>
    </w:div>
    <w:div w:id="2005820981">
      <w:bodyDiv w:val="1"/>
      <w:marLeft w:val="0"/>
      <w:marRight w:val="0"/>
      <w:marTop w:val="0"/>
      <w:marBottom w:val="0"/>
      <w:divBdr>
        <w:top w:val="none" w:sz="0" w:space="0" w:color="auto"/>
        <w:left w:val="none" w:sz="0" w:space="0" w:color="auto"/>
        <w:bottom w:val="none" w:sz="0" w:space="0" w:color="auto"/>
        <w:right w:val="none" w:sz="0" w:space="0" w:color="auto"/>
      </w:divBdr>
    </w:div>
    <w:div w:id="2006200759">
      <w:bodyDiv w:val="1"/>
      <w:marLeft w:val="0"/>
      <w:marRight w:val="0"/>
      <w:marTop w:val="0"/>
      <w:marBottom w:val="0"/>
      <w:divBdr>
        <w:top w:val="none" w:sz="0" w:space="0" w:color="auto"/>
        <w:left w:val="none" w:sz="0" w:space="0" w:color="auto"/>
        <w:bottom w:val="none" w:sz="0" w:space="0" w:color="auto"/>
        <w:right w:val="none" w:sz="0" w:space="0" w:color="auto"/>
      </w:divBdr>
    </w:div>
    <w:div w:id="2006323724">
      <w:bodyDiv w:val="1"/>
      <w:marLeft w:val="0"/>
      <w:marRight w:val="0"/>
      <w:marTop w:val="0"/>
      <w:marBottom w:val="0"/>
      <w:divBdr>
        <w:top w:val="none" w:sz="0" w:space="0" w:color="auto"/>
        <w:left w:val="none" w:sz="0" w:space="0" w:color="auto"/>
        <w:bottom w:val="none" w:sz="0" w:space="0" w:color="auto"/>
        <w:right w:val="none" w:sz="0" w:space="0" w:color="auto"/>
      </w:divBdr>
    </w:div>
    <w:div w:id="2006585224">
      <w:bodyDiv w:val="1"/>
      <w:marLeft w:val="0"/>
      <w:marRight w:val="0"/>
      <w:marTop w:val="0"/>
      <w:marBottom w:val="0"/>
      <w:divBdr>
        <w:top w:val="none" w:sz="0" w:space="0" w:color="auto"/>
        <w:left w:val="none" w:sz="0" w:space="0" w:color="auto"/>
        <w:bottom w:val="none" w:sz="0" w:space="0" w:color="auto"/>
        <w:right w:val="none" w:sz="0" w:space="0" w:color="auto"/>
      </w:divBdr>
    </w:div>
    <w:div w:id="2006664914">
      <w:bodyDiv w:val="1"/>
      <w:marLeft w:val="0"/>
      <w:marRight w:val="0"/>
      <w:marTop w:val="0"/>
      <w:marBottom w:val="0"/>
      <w:divBdr>
        <w:top w:val="none" w:sz="0" w:space="0" w:color="auto"/>
        <w:left w:val="none" w:sz="0" w:space="0" w:color="auto"/>
        <w:bottom w:val="none" w:sz="0" w:space="0" w:color="auto"/>
        <w:right w:val="none" w:sz="0" w:space="0" w:color="auto"/>
      </w:divBdr>
    </w:div>
    <w:div w:id="2010060909">
      <w:bodyDiv w:val="1"/>
      <w:marLeft w:val="0"/>
      <w:marRight w:val="0"/>
      <w:marTop w:val="0"/>
      <w:marBottom w:val="0"/>
      <w:divBdr>
        <w:top w:val="none" w:sz="0" w:space="0" w:color="auto"/>
        <w:left w:val="none" w:sz="0" w:space="0" w:color="auto"/>
        <w:bottom w:val="none" w:sz="0" w:space="0" w:color="auto"/>
        <w:right w:val="none" w:sz="0" w:space="0" w:color="auto"/>
      </w:divBdr>
    </w:div>
    <w:div w:id="2010061558">
      <w:bodyDiv w:val="1"/>
      <w:marLeft w:val="0"/>
      <w:marRight w:val="0"/>
      <w:marTop w:val="0"/>
      <w:marBottom w:val="0"/>
      <w:divBdr>
        <w:top w:val="none" w:sz="0" w:space="0" w:color="auto"/>
        <w:left w:val="none" w:sz="0" w:space="0" w:color="auto"/>
        <w:bottom w:val="none" w:sz="0" w:space="0" w:color="auto"/>
        <w:right w:val="none" w:sz="0" w:space="0" w:color="auto"/>
      </w:divBdr>
    </w:div>
    <w:div w:id="2010211715">
      <w:bodyDiv w:val="1"/>
      <w:marLeft w:val="0"/>
      <w:marRight w:val="0"/>
      <w:marTop w:val="0"/>
      <w:marBottom w:val="0"/>
      <w:divBdr>
        <w:top w:val="none" w:sz="0" w:space="0" w:color="auto"/>
        <w:left w:val="none" w:sz="0" w:space="0" w:color="auto"/>
        <w:bottom w:val="none" w:sz="0" w:space="0" w:color="auto"/>
        <w:right w:val="none" w:sz="0" w:space="0" w:color="auto"/>
      </w:divBdr>
    </w:div>
    <w:div w:id="2010326639">
      <w:bodyDiv w:val="1"/>
      <w:marLeft w:val="0"/>
      <w:marRight w:val="0"/>
      <w:marTop w:val="0"/>
      <w:marBottom w:val="0"/>
      <w:divBdr>
        <w:top w:val="none" w:sz="0" w:space="0" w:color="auto"/>
        <w:left w:val="none" w:sz="0" w:space="0" w:color="auto"/>
        <w:bottom w:val="none" w:sz="0" w:space="0" w:color="auto"/>
        <w:right w:val="none" w:sz="0" w:space="0" w:color="auto"/>
      </w:divBdr>
    </w:div>
    <w:div w:id="2010792148">
      <w:bodyDiv w:val="1"/>
      <w:marLeft w:val="0"/>
      <w:marRight w:val="0"/>
      <w:marTop w:val="0"/>
      <w:marBottom w:val="0"/>
      <w:divBdr>
        <w:top w:val="none" w:sz="0" w:space="0" w:color="auto"/>
        <w:left w:val="none" w:sz="0" w:space="0" w:color="auto"/>
        <w:bottom w:val="none" w:sz="0" w:space="0" w:color="auto"/>
        <w:right w:val="none" w:sz="0" w:space="0" w:color="auto"/>
      </w:divBdr>
    </w:div>
    <w:div w:id="2010867412">
      <w:bodyDiv w:val="1"/>
      <w:marLeft w:val="0"/>
      <w:marRight w:val="0"/>
      <w:marTop w:val="0"/>
      <w:marBottom w:val="0"/>
      <w:divBdr>
        <w:top w:val="none" w:sz="0" w:space="0" w:color="auto"/>
        <w:left w:val="none" w:sz="0" w:space="0" w:color="auto"/>
        <w:bottom w:val="none" w:sz="0" w:space="0" w:color="auto"/>
        <w:right w:val="none" w:sz="0" w:space="0" w:color="auto"/>
      </w:divBdr>
    </w:div>
    <w:div w:id="2011254459">
      <w:bodyDiv w:val="1"/>
      <w:marLeft w:val="0"/>
      <w:marRight w:val="0"/>
      <w:marTop w:val="0"/>
      <w:marBottom w:val="0"/>
      <w:divBdr>
        <w:top w:val="none" w:sz="0" w:space="0" w:color="auto"/>
        <w:left w:val="none" w:sz="0" w:space="0" w:color="auto"/>
        <w:bottom w:val="none" w:sz="0" w:space="0" w:color="auto"/>
        <w:right w:val="none" w:sz="0" w:space="0" w:color="auto"/>
      </w:divBdr>
    </w:div>
    <w:div w:id="2011716271">
      <w:bodyDiv w:val="1"/>
      <w:marLeft w:val="0"/>
      <w:marRight w:val="0"/>
      <w:marTop w:val="0"/>
      <w:marBottom w:val="0"/>
      <w:divBdr>
        <w:top w:val="none" w:sz="0" w:space="0" w:color="auto"/>
        <w:left w:val="none" w:sz="0" w:space="0" w:color="auto"/>
        <w:bottom w:val="none" w:sz="0" w:space="0" w:color="auto"/>
        <w:right w:val="none" w:sz="0" w:space="0" w:color="auto"/>
      </w:divBdr>
    </w:div>
    <w:div w:id="2012221509">
      <w:bodyDiv w:val="1"/>
      <w:marLeft w:val="0"/>
      <w:marRight w:val="0"/>
      <w:marTop w:val="0"/>
      <w:marBottom w:val="0"/>
      <w:divBdr>
        <w:top w:val="none" w:sz="0" w:space="0" w:color="auto"/>
        <w:left w:val="none" w:sz="0" w:space="0" w:color="auto"/>
        <w:bottom w:val="none" w:sz="0" w:space="0" w:color="auto"/>
        <w:right w:val="none" w:sz="0" w:space="0" w:color="auto"/>
      </w:divBdr>
    </w:div>
    <w:div w:id="2013025377">
      <w:bodyDiv w:val="1"/>
      <w:marLeft w:val="0"/>
      <w:marRight w:val="0"/>
      <w:marTop w:val="0"/>
      <w:marBottom w:val="0"/>
      <w:divBdr>
        <w:top w:val="none" w:sz="0" w:space="0" w:color="auto"/>
        <w:left w:val="none" w:sz="0" w:space="0" w:color="auto"/>
        <w:bottom w:val="none" w:sz="0" w:space="0" w:color="auto"/>
        <w:right w:val="none" w:sz="0" w:space="0" w:color="auto"/>
      </w:divBdr>
    </w:div>
    <w:div w:id="2013337057">
      <w:bodyDiv w:val="1"/>
      <w:marLeft w:val="0"/>
      <w:marRight w:val="0"/>
      <w:marTop w:val="0"/>
      <w:marBottom w:val="0"/>
      <w:divBdr>
        <w:top w:val="none" w:sz="0" w:space="0" w:color="auto"/>
        <w:left w:val="none" w:sz="0" w:space="0" w:color="auto"/>
        <w:bottom w:val="none" w:sz="0" w:space="0" w:color="auto"/>
        <w:right w:val="none" w:sz="0" w:space="0" w:color="auto"/>
      </w:divBdr>
    </w:div>
    <w:div w:id="2013601639">
      <w:bodyDiv w:val="1"/>
      <w:marLeft w:val="0"/>
      <w:marRight w:val="0"/>
      <w:marTop w:val="0"/>
      <w:marBottom w:val="0"/>
      <w:divBdr>
        <w:top w:val="none" w:sz="0" w:space="0" w:color="auto"/>
        <w:left w:val="none" w:sz="0" w:space="0" w:color="auto"/>
        <w:bottom w:val="none" w:sz="0" w:space="0" w:color="auto"/>
        <w:right w:val="none" w:sz="0" w:space="0" w:color="auto"/>
      </w:divBdr>
    </w:div>
    <w:div w:id="2013754415">
      <w:bodyDiv w:val="1"/>
      <w:marLeft w:val="0"/>
      <w:marRight w:val="0"/>
      <w:marTop w:val="0"/>
      <w:marBottom w:val="0"/>
      <w:divBdr>
        <w:top w:val="none" w:sz="0" w:space="0" w:color="auto"/>
        <w:left w:val="none" w:sz="0" w:space="0" w:color="auto"/>
        <w:bottom w:val="none" w:sz="0" w:space="0" w:color="auto"/>
        <w:right w:val="none" w:sz="0" w:space="0" w:color="auto"/>
      </w:divBdr>
    </w:div>
    <w:div w:id="2013946418">
      <w:bodyDiv w:val="1"/>
      <w:marLeft w:val="0"/>
      <w:marRight w:val="0"/>
      <w:marTop w:val="0"/>
      <w:marBottom w:val="0"/>
      <w:divBdr>
        <w:top w:val="none" w:sz="0" w:space="0" w:color="auto"/>
        <w:left w:val="none" w:sz="0" w:space="0" w:color="auto"/>
        <w:bottom w:val="none" w:sz="0" w:space="0" w:color="auto"/>
        <w:right w:val="none" w:sz="0" w:space="0" w:color="auto"/>
      </w:divBdr>
    </w:div>
    <w:div w:id="2014523729">
      <w:bodyDiv w:val="1"/>
      <w:marLeft w:val="0"/>
      <w:marRight w:val="0"/>
      <w:marTop w:val="0"/>
      <w:marBottom w:val="0"/>
      <w:divBdr>
        <w:top w:val="none" w:sz="0" w:space="0" w:color="auto"/>
        <w:left w:val="none" w:sz="0" w:space="0" w:color="auto"/>
        <w:bottom w:val="none" w:sz="0" w:space="0" w:color="auto"/>
        <w:right w:val="none" w:sz="0" w:space="0" w:color="auto"/>
      </w:divBdr>
    </w:div>
    <w:div w:id="2015106132">
      <w:bodyDiv w:val="1"/>
      <w:marLeft w:val="0"/>
      <w:marRight w:val="0"/>
      <w:marTop w:val="0"/>
      <w:marBottom w:val="0"/>
      <w:divBdr>
        <w:top w:val="none" w:sz="0" w:space="0" w:color="auto"/>
        <w:left w:val="none" w:sz="0" w:space="0" w:color="auto"/>
        <w:bottom w:val="none" w:sz="0" w:space="0" w:color="auto"/>
        <w:right w:val="none" w:sz="0" w:space="0" w:color="auto"/>
      </w:divBdr>
    </w:div>
    <w:div w:id="2015259889">
      <w:bodyDiv w:val="1"/>
      <w:marLeft w:val="0"/>
      <w:marRight w:val="0"/>
      <w:marTop w:val="0"/>
      <w:marBottom w:val="0"/>
      <w:divBdr>
        <w:top w:val="none" w:sz="0" w:space="0" w:color="auto"/>
        <w:left w:val="none" w:sz="0" w:space="0" w:color="auto"/>
        <w:bottom w:val="none" w:sz="0" w:space="0" w:color="auto"/>
        <w:right w:val="none" w:sz="0" w:space="0" w:color="auto"/>
      </w:divBdr>
    </w:div>
    <w:div w:id="2015452932">
      <w:bodyDiv w:val="1"/>
      <w:marLeft w:val="0"/>
      <w:marRight w:val="0"/>
      <w:marTop w:val="0"/>
      <w:marBottom w:val="0"/>
      <w:divBdr>
        <w:top w:val="none" w:sz="0" w:space="0" w:color="auto"/>
        <w:left w:val="none" w:sz="0" w:space="0" w:color="auto"/>
        <w:bottom w:val="none" w:sz="0" w:space="0" w:color="auto"/>
        <w:right w:val="none" w:sz="0" w:space="0" w:color="auto"/>
      </w:divBdr>
    </w:div>
    <w:div w:id="2015954061">
      <w:bodyDiv w:val="1"/>
      <w:marLeft w:val="0"/>
      <w:marRight w:val="0"/>
      <w:marTop w:val="0"/>
      <w:marBottom w:val="0"/>
      <w:divBdr>
        <w:top w:val="none" w:sz="0" w:space="0" w:color="auto"/>
        <w:left w:val="none" w:sz="0" w:space="0" w:color="auto"/>
        <w:bottom w:val="none" w:sz="0" w:space="0" w:color="auto"/>
        <w:right w:val="none" w:sz="0" w:space="0" w:color="auto"/>
      </w:divBdr>
    </w:div>
    <w:div w:id="2016296793">
      <w:bodyDiv w:val="1"/>
      <w:marLeft w:val="0"/>
      <w:marRight w:val="0"/>
      <w:marTop w:val="0"/>
      <w:marBottom w:val="0"/>
      <w:divBdr>
        <w:top w:val="none" w:sz="0" w:space="0" w:color="auto"/>
        <w:left w:val="none" w:sz="0" w:space="0" w:color="auto"/>
        <w:bottom w:val="none" w:sz="0" w:space="0" w:color="auto"/>
        <w:right w:val="none" w:sz="0" w:space="0" w:color="auto"/>
      </w:divBdr>
    </w:div>
    <w:div w:id="2016418393">
      <w:bodyDiv w:val="1"/>
      <w:marLeft w:val="0"/>
      <w:marRight w:val="0"/>
      <w:marTop w:val="0"/>
      <w:marBottom w:val="0"/>
      <w:divBdr>
        <w:top w:val="none" w:sz="0" w:space="0" w:color="auto"/>
        <w:left w:val="none" w:sz="0" w:space="0" w:color="auto"/>
        <w:bottom w:val="none" w:sz="0" w:space="0" w:color="auto"/>
        <w:right w:val="none" w:sz="0" w:space="0" w:color="auto"/>
      </w:divBdr>
    </w:div>
    <w:div w:id="2017610223">
      <w:bodyDiv w:val="1"/>
      <w:marLeft w:val="0"/>
      <w:marRight w:val="0"/>
      <w:marTop w:val="0"/>
      <w:marBottom w:val="0"/>
      <w:divBdr>
        <w:top w:val="none" w:sz="0" w:space="0" w:color="auto"/>
        <w:left w:val="none" w:sz="0" w:space="0" w:color="auto"/>
        <w:bottom w:val="none" w:sz="0" w:space="0" w:color="auto"/>
        <w:right w:val="none" w:sz="0" w:space="0" w:color="auto"/>
      </w:divBdr>
    </w:div>
    <w:div w:id="2017882985">
      <w:bodyDiv w:val="1"/>
      <w:marLeft w:val="0"/>
      <w:marRight w:val="0"/>
      <w:marTop w:val="0"/>
      <w:marBottom w:val="0"/>
      <w:divBdr>
        <w:top w:val="none" w:sz="0" w:space="0" w:color="auto"/>
        <w:left w:val="none" w:sz="0" w:space="0" w:color="auto"/>
        <w:bottom w:val="none" w:sz="0" w:space="0" w:color="auto"/>
        <w:right w:val="none" w:sz="0" w:space="0" w:color="auto"/>
      </w:divBdr>
    </w:div>
    <w:div w:id="2018539414">
      <w:bodyDiv w:val="1"/>
      <w:marLeft w:val="0"/>
      <w:marRight w:val="0"/>
      <w:marTop w:val="0"/>
      <w:marBottom w:val="0"/>
      <w:divBdr>
        <w:top w:val="none" w:sz="0" w:space="0" w:color="auto"/>
        <w:left w:val="none" w:sz="0" w:space="0" w:color="auto"/>
        <w:bottom w:val="none" w:sz="0" w:space="0" w:color="auto"/>
        <w:right w:val="none" w:sz="0" w:space="0" w:color="auto"/>
      </w:divBdr>
    </w:div>
    <w:div w:id="2019115850">
      <w:bodyDiv w:val="1"/>
      <w:marLeft w:val="0"/>
      <w:marRight w:val="0"/>
      <w:marTop w:val="0"/>
      <w:marBottom w:val="0"/>
      <w:divBdr>
        <w:top w:val="none" w:sz="0" w:space="0" w:color="auto"/>
        <w:left w:val="none" w:sz="0" w:space="0" w:color="auto"/>
        <w:bottom w:val="none" w:sz="0" w:space="0" w:color="auto"/>
        <w:right w:val="none" w:sz="0" w:space="0" w:color="auto"/>
      </w:divBdr>
    </w:div>
    <w:div w:id="2019847766">
      <w:bodyDiv w:val="1"/>
      <w:marLeft w:val="0"/>
      <w:marRight w:val="0"/>
      <w:marTop w:val="0"/>
      <w:marBottom w:val="0"/>
      <w:divBdr>
        <w:top w:val="none" w:sz="0" w:space="0" w:color="auto"/>
        <w:left w:val="none" w:sz="0" w:space="0" w:color="auto"/>
        <w:bottom w:val="none" w:sz="0" w:space="0" w:color="auto"/>
        <w:right w:val="none" w:sz="0" w:space="0" w:color="auto"/>
      </w:divBdr>
    </w:div>
    <w:div w:id="2019890871">
      <w:bodyDiv w:val="1"/>
      <w:marLeft w:val="0"/>
      <w:marRight w:val="0"/>
      <w:marTop w:val="0"/>
      <w:marBottom w:val="0"/>
      <w:divBdr>
        <w:top w:val="none" w:sz="0" w:space="0" w:color="auto"/>
        <w:left w:val="none" w:sz="0" w:space="0" w:color="auto"/>
        <w:bottom w:val="none" w:sz="0" w:space="0" w:color="auto"/>
        <w:right w:val="none" w:sz="0" w:space="0" w:color="auto"/>
      </w:divBdr>
    </w:div>
    <w:div w:id="2020113262">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22195395">
      <w:bodyDiv w:val="1"/>
      <w:marLeft w:val="0"/>
      <w:marRight w:val="0"/>
      <w:marTop w:val="0"/>
      <w:marBottom w:val="0"/>
      <w:divBdr>
        <w:top w:val="none" w:sz="0" w:space="0" w:color="auto"/>
        <w:left w:val="none" w:sz="0" w:space="0" w:color="auto"/>
        <w:bottom w:val="none" w:sz="0" w:space="0" w:color="auto"/>
        <w:right w:val="none" w:sz="0" w:space="0" w:color="auto"/>
      </w:divBdr>
    </w:div>
    <w:div w:id="2022584461">
      <w:bodyDiv w:val="1"/>
      <w:marLeft w:val="0"/>
      <w:marRight w:val="0"/>
      <w:marTop w:val="0"/>
      <w:marBottom w:val="0"/>
      <w:divBdr>
        <w:top w:val="none" w:sz="0" w:space="0" w:color="auto"/>
        <w:left w:val="none" w:sz="0" w:space="0" w:color="auto"/>
        <w:bottom w:val="none" w:sz="0" w:space="0" w:color="auto"/>
        <w:right w:val="none" w:sz="0" w:space="0" w:color="auto"/>
      </w:divBdr>
    </w:div>
    <w:div w:id="2022930827">
      <w:bodyDiv w:val="1"/>
      <w:marLeft w:val="0"/>
      <w:marRight w:val="0"/>
      <w:marTop w:val="0"/>
      <w:marBottom w:val="0"/>
      <w:divBdr>
        <w:top w:val="none" w:sz="0" w:space="0" w:color="auto"/>
        <w:left w:val="none" w:sz="0" w:space="0" w:color="auto"/>
        <w:bottom w:val="none" w:sz="0" w:space="0" w:color="auto"/>
        <w:right w:val="none" w:sz="0" w:space="0" w:color="auto"/>
      </w:divBdr>
    </w:div>
    <w:div w:id="2023050775">
      <w:bodyDiv w:val="1"/>
      <w:marLeft w:val="0"/>
      <w:marRight w:val="0"/>
      <w:marTop w:val="0"/>
      <w:marBottom w:val="0"/>
      <w:divBdr>
        <w:top w:val="none" w:sz="0" w:space="0" w:color="auto"/>
        <w:left w:val="none" w:sz="0" w:space="0" w:color="auto"/>
        <w:bottom w:val="none" w:sz="0" w:space="0" w:color="auto"/>
        <w:right w:val="none" w:sz="0" w:space="0" w:color="auto"/>
      </w:divBdr>
    </w:div>
    <w:div w:id="2024894638">
      <w:bodyDiv w:val="1"/>
      <w:marLeft w:val="0"/>
      <w:marRight w:val="0"/>
      <w:marTop w:val="0"/>
      <w:marBottom w:val="0"/>
      <w:divBdr>
        <w:top w:val="none" w:sz="0" w:space="0" w:color="auto"/>
        <w:left w:val="none" w:sz="0" w:space="0" w:color="auto"/>
        <w:bottom w:val="none" w:sz="0" w:space="0" w:color="auto"/>
        <w:right w:val="none" w:sz="0" w:space="0" w:color="auto"/>
      </w:divBdr>
    </w:div>
    <w:div w:id="2025013255">
      <w:bodyDiv w:val="1"/>
      <w:marLeft w:val="0"/>
      <w:marRight w:val="0"/>
      <w:marTop w:val="0"/>
      <w:marBottom w:val="0"/>
      <w:divBdr>
        <w:top w:val="none" w:sz="0" w:space="0" w:color="auto"/>
        <w:left w:val="none" w:sz="0" w:space="0" w:color="auto"/>
        <w:bottom w:val="none" w:sz="0" w:space="0" w:color="auto"/>
        <w:right w:val="none" w:sz="0" w:space="0" w:color="auto"/>
      </w:divBdr>
    </w:div>
    <w:div w:id="2025160226">
      <w:bodyDiv w:val="1"/>
      <w:marLeft w:val="0"/>
      <w:marRight w:val="0"/>
      <w:marTop w:val="0"/>
      <w:marBottom w:val="0"/>
      <w:divBdr>
        <w:top w:val="none" w:sz="0" w:space="0" w:color="auto"/>
        <w:left w:val="none" w:sz="0" w:space="0" w:color="auto"/>
        <w:bottom w:val="none" w:sz="0" w:space="0" w:color="auto"/>
        <w:right w:val="none" w:sz="0" w:space="0" w:color="auto"/>
      </w:divBdr>
    </w:div>
    <w:div w:id="2025276946">
      <w:bodyDiv w:val="1"/>
      <w:marLeft w:val="0"/>
      <w:marRight w:val="0"/>
      <w:marTop w:val="0"/>
      <w:marBottom w:val="0"/>
      <w:divBdr>
        <w:top w:val="none" w:sz="0" w:space="0" w:color="auto"/>
        <w:left w:val="none" w:sz="0" w:space="0" w:color="auto"/>
        <w:bottom w:val="none" w:sz="0" w:space="0" w:color="auto"/>
        <w:right w:val="none" w:sz="0" w:space="0" w:color="auto"/>
      </w:divBdr>
    </w:div>
    <w:div w:id="2025282785">
      <w:bodyDiv w:val="1"/>
      <w:marLeft w:val="0"/>
      <w:marRight w:val="0"/>
      <w:marTop w:val="0"/>
      <w:marBottom w:val="0"/>
      <w:divBdr>
        <w:top w:val="none" w:sz="0" w:space="0" w:color="auto"/>
        <w:left w:val="none" w:sz="0" w:space="0" w:color="auto"/>
        <w:bottom w:val="none" w:sz="0" w:space="0" w:color="auto"/>
        <w:right w:val="none" w:sz="0" w:space="0" w:color="auto"/>
      </w:divBdr>
      <w:divsChild>
        <w:div w:id="128860841">
          <w:marLeft w:val="0"/>
          <w:marRight w:val="0"/>
          <w:marTop w:val="0"/>
          <w:marBottom w:val="0"/>
          <w:divBdr>
            <w:top w:val="none" w:sz="0" w:space="0" w:color="auto"/>
            <w:left w:val="none" w:sz="0" w:space="0" w:color="auto"/>
            <w:bottom w:val="none" w:sz="0" w:space="0" w:color="auto"/>
            <w:right w:val="none" w:sz="0" w:space="0" w:color="auto"/>
          </w:divBdr>
        </w:div>
        <w:div w:id="371926083">
          <w:marLeft w:val="0"/>
          <w:marRight w:val="0"/>
          <w:marTop w:val="0"/>
          <w:marBottom w:val="0"/>
          <w:divBdr>
            <w:top w:val="none" w:sz="0" w:space="0" w:color="auto"/>
            <w:left w:val="none" w:sz="0" w:space="0" w:color="auto"/>
            <w:bottom w:val="none" w:sz="0" w:space="0" w:color="auto"/>
            <w:right w:val="none" w:sz="0" w:space="0" w:color="auto"/>
          </w:divBdr>
        </w:div>
        <w:div w:id="623315867">
          <w:marLeft w:val="0"/>
          <w:marRight w:val="0"/>
          <w:marTop w:val="0"/>
          <w:marBottom w:val="0"/>
          <w:divBdr>
            <w:top w:val="none" w:sz="0" w:space="0" w:color="auto"/>
            <w:left w:val="none" w:sz="0" w:space="0" w:color="auto"/>
            <w:bottom w:val="none" w:sz="0" w:space="0" w:color="auto"/>
            <w:right w:val="none" w:sz="0" w:space="0" w:color="auto"/>
          </w:divBdr>
        </w:div>
        <w:div w:id="627198581">
          <w:marLeft w:val="0"/>
          <w:marRight w:val="0"/>
          <w:marTop w:val="0"/>
          <w:marBottom w:val="0"/>
          <w:divBdr>
            <w:top w:val="none" w:sz="0" w:space="0" w:color="auto"/>
            <w:left w:val="none" w:sz="0" w:space="0" w:color="auto"/>
            <w:bottom w:val="none" w:sz="0" w:space="0" w:color="auto"/>
            <w:right w:val="none" w:sz="0" w:space="0" w:color="auto"/>
          </w:divBdr>
        </w:div>
        <w:div w:id="635598938">
          <w:marLeft w:val="0"/>
          <w:marRight w:val="0"/>
          <w:marTop w:val="0"/>
          <w:marBottom w:val="0"/>
          <w:divBdr>
            <w:top w:val="none" w:sz="0" w:space="0" w:color="auto"/>
            <w:left w:val="none" w:sz="0" w:space="0" w:color="auto"/>
            <w:bottom w:val="none" w:sz="0" w:space="0" w:color="auto"/>
            <w:right w:val="none" w:sz="0" w:space="0" w:color="auto"/>
          </w:divBdr>
        </w:div>
        <w:div w:id="1040664266">
          <w:marLeft w:val="0"/>
          <w:marRight w:val="0"/>
          <w:marTop w:val="0"/>
          <w:marBottom w:val="0"/>
          <w:divBdr>
            <w:top w:val="none" w:sz="0" w:space="0" w:color="auto"/>
            <w:left w:val="none" w:sz="0" w:space="0" w:color="auto"/>
            <w:bottom w:val="none" w:sz="0" w:space="0" w:color="auto"/>
            <w:right w:val="none" w:sz="0" w:space="0" w:color="auto"/>
          </w:divBdr>
        </w:div>
        <w:div w:id="1183668487">
          <w:marLeft w:val="0"/>
          <w:marRight w:val="0"/>
          <w:marTop w:val="0"/>
          <w:marBottom w:val="0"/>
          <w:divBdr>
            <w:top w:val="none" w:sz="0" w:space="0" w:color="auto"/>
            <w:left w:val="none" w:sz="0" w:space="0" w:color="auto"/>
            <w:bottom w:val="none" w:sz="0" w:space="0" w:color="auto"/>
            <w:right w:val="none" w:sz="0" w:space="0" w:color="auto"/>
          </w:divBdr>
        </w:div>
        <w:div w:id="1212423758">
          <w:marLeft w:val="0"/>
          <w:marRight w:val="0"/>
          <w:marTop w:val="0"/>
          <w:marBottom w:val="0"/>
          <w:divBdr>
            <w:top w:val="none" w:sz="0" w:space="0" w:color="auto"/>
            <w:left w:val="none" w:sz="0" w:space="0" w:color="auto"/>
            <w:bottom w:val="none" w:sz="0" w:space="0" w:color="auto"/>
            <w:right w:val="none" w:sz="0" w:space="0" w:color="auto"/>
          </w:divBdr>
        </w:div>
        <w:div w:id="1231889015">
          <w:marLeft w:val="0"/>
          <w:marRight w:val="0"/>
          <w:marTop w:val="0"/>
          <w:marBottom w:val="0"/>
          <w:divBdr>
            <w:top w:val="none" w:sz="0" w:space="0" w:color="auto"/>
            <w:left w:val="none" w:sz="0" w:space="0" w:color="auto"/>
            <w:bottom w:val="none" w:sz="0" w:space="0" w:color="auto"/>
            <w:right w:val="none" w:sz="0" w:space="0" w:color="auto"/>
          </w:divBdr>
        </w:div>
        <w:div w:id="1831753791">
          <w:marLeft w:val="0"/>
          <w:marRight w:val="0"/>
          <w:marTop w:val="0"/>
          <w:marBottom w:val="0"/>
          <w:divBdr>
            <w:top w:val="none" w:sz="0" w:space="0" w:color="auto"/>
            <w:left w:val="none" w:sz="0" w:space="0" w:color="auto"/>
            <w:bottom w:val="none" w:sz="0" w:space="0" w:color="auto"/>
            <w:right w:val="none" w:sz="0" w:space="0" w:color="auto"/>
          </w:divBdr>
        </w:div>
      </w:divsChild>
    </w:div>
    <w:div w:id="2025981383">
      <w:bodyDiv w:val="1"/>
      <w:marLeft w:val="0"/>
      <w:marRight w:val="0"/>
      <w:marTop w:val="0"/>
      <w:marBottom w:val="0"/>
      <w:divBdr>
        <w:top w:val="none" w:sz="0" w:space="0" w:color="auto"/>
        <w:left w:val="none" w:sz="0" w:space="0" w:color="auto"/>
        <w:bottom w:val="none" w:sz="0" w:space="0" w:color="auto"/>
        <w:right w:val="none" w:sz="0" w:space="0" w:color="auto"/>
      </w:divBdr>
    </w:div>
    <w:div w:id="2026590993">
      <w:bodyDiv w:val="1"/>
      <w:marLeft w:val="0"/>
      <w:marRight w:val="0"/>
      <w:marTop w:val="0"/>
      <w:marBottom w:val="0"/>
      <w:divBdr>
        <w:top w:val="none" w:sz="0" w:space="0" w:color="auto"/>
        <w:left w:val="none" w:sz="0" w:space="0" w:color="auto"/>
        <w:bottom w:val="none" w:sz="0" w:space="0" w:color="auto"/>
        <w:right w:val="none" w:sz="0" w:space="0" w:color="auto"/>
      </w:divBdr>
    </w:div>
    <w:div w:id="2026861824">
      <w:bodyDiv w:val="1"/>
      <w:marLeft w:val="0"/>
      <w:marRight w:val="0"/>
      <w:marTop w:val="0"/>
      <w:marBottom w:val="0"/>
      <w:divBdr>
        <w:top w:val="none" w:sz="0" w:space="0" w:color="auto"/>
        <w:left w:val="none" w:sz="0" w:space="0" w:color="auto"/>
        <w:bottom w:val="none" w:sz="0" w:space="0" w:color="auto"/>
        <w:right w:val="none" w:sz="0" w:space="0" w:color="auto"/>
      </w:divBdr>
    </w:div>
    <w:div w:id="2027317916">
      <w:bodyDiv w:val="1"/>
      <w:marLeft w:val="0"/>
      <w:marRight w:val="0"/>
      <w:marTop w:val="0"/>
      <w:marBottom w:val="0"/>
      <w:divBdr>
        <w:top w:val="none" w:sz="0" w:space="0" w:color="auto"/>
        <w:left w:val="none" w:sz="0" w:space="0" w:color="auto"/>
        <w:bottom w:val="none" w:sz="0" w:space="0" w:color="auto"/>
        <w:right w:val="none" w:sz="0" w:space="0" w:color="auto"/>
      </w:divBdr>
    </w:div>
    <w:div w:id="2028830152">
      <w:bodyDiv w:val="1"/>
      <w:marLeft w:val="0"/>
      <w:marRight w:val="0"/>
      <w:marTop w:val="0"/>
      <w:marBottom w:val="0"/>
      <w:divBdr>
        <w:top w:val="none" w:sz="0" w:space="0" w:color="auto"/>
        <w:left w:val="none" w:sz="0" w:space="0" w:color="auto"/>
        <w:bottom w:val="none" w:sz="0" w:space="0" w:color="auto"/>
        <w:right w:val="none" w:sz="0" w:space="0" w:color="auto"/>
      </w:divBdr>
    </w:div>
    <w:div w:id="2030447606">
      <w:bodyDiv w:val="1"/>
      <w:marLeft w:val="0"/>
      <w:marRight w:val="0"/>
      <w:marTop w:val="0"/>
      <w:marBottom w:val="0"/>
      <w:divBdr>
        <w:top w:val="none" w:sz="0" w:space="0" w:color="auto"/>
        <w:left w:val="none" w:sz="0" w:space="0" w:color="auto"/>
        <w:bottom w:val="none" w:sz="0" w:space="0" w:color="auto"/>
        <w:right w:val="none" w:sz="0" w:space="0" w:color="auto"/>
      </w:divBdr>
    </w:div>
    <w:div w:id="2030595750">
      <w:bodyDiv w:val="1"/>
      <w:marLeft w:val="0"/>
      <w:marRight w:val="0"/>
      <w:marTop w:val="0"/>
      <w:marBottom w:val="0"/>
      <w:divBdr>
        <w:top w:val="none" w:sz="0" w:space="0" w:color="auto"/>
        <w:left w:val="none" w:sz="0" w:space="0" w:color="auto"/>
        <w:bottom w:val="none" w:sz="0" w:space="0" w:color="auto"/>
        <w:right w:val="none" w:sz="0" w:space="0" w:color="auto"/>
      </w:divBdr>
    </w:div>
    <w:div w:id="2031565035">
      <w:bodyDiv w:val="1"/>
      <w:marLeft w:val="0"/>
      <w:marRight w:val="0"/>
      <w:marTop w:val="0"/>
      <w:marBottom w:val="0"/>
      <w:divBdr>
        <w:top w:val="none" w:sz="0" w:space="0" w:color="auto"/>
        <w:left w:val="none" w:sz="0" w:space="0" w:color="auto"/>
        <w:bottom w:val="none" w:sz="0" w:space="0" w:color="auto"/>
        <w:right w:val="none" w:sz="0" w:space="0" w:color="auto"/>
      </w:divBdr>
    </w:div>
    <w:div w:id="2032487617">
      <w:bodyDiv w:val="1"/>
      <w:marLeft w:val="0"/>
      <w:marRight w:val="0"/>
      <w:marTop w:val="0"/>
      <w:marBottom w:val="0"/>
      <w:divBdr>
        <w:top w:val="none" w:sz="0" w:space="0" w:color="auto"/>
        <w:left w:val="none" w:sz="0" w:space="0" w:color="auto"/>
        <w:bottom w:val="none" w:sz="0" w:space="0" w:color="auto"/>
        <w:right w:val="none" w:sz="0" w:space="0" w:color="auto"/>
      </w:divBdr>
    </w:div>
    <w:div w:id="2032761723">
      <w:bodyDiv w:val="1"/>
      <w:marLeft w:val="0"/>
      <w:marRight w:val="0"/>
      <w:marTop w:val="0"/>
      <w:marBottom w:val="0"/>
      <w:divBdr>
        <w:top w:val="none" w:sz="0" w:space="0" w:color="auto"/>
        <w:left w:val="none" w:sz="0" w:space="0" w:color="auto"/>
        <w:bottom w:val="none" w:sz="0" w:space="0" w:color="auto"/>
        <w:right w:val="none" w:sz="0" w:space="0" w:color="auto"/>
      </w:divBdr>
    </w:div>
    <w:div w:id="2033411730">
      <w:bodyDiv w:val="1"/>
      <w:marLeft w:val="0"/>
      <w:marRight w:val="0"/>
      <w:marTop w:val="0"/>
      <w:marBottom w:val="0"/>
      <w:divBdr>
        <w:top w:val="none" w:sz="0" w:space="0" w:color="auto"/>
        <w:left w:val="none" w:sz="0" w:space="0" w:color="auto"/>
        <w:bottom w:val="none" w:sz="0" w:space="0" w:color="auto"/>
        <w:right w:val="none" w:sz="0" w:space="0" w:color="auto"/>
      </w:divBdr>
    </w:div>
    <w:div w:id="2033723757">
      <w:bodyDiv w:val="1"/>
      <w:marLeft w:val="0"/>
      <w:marRight w:val="0"/>
      <w:marTop w:val="0"/>
      <w:marBottom w:val="0"/>
      <w:divBdr>
        <w:top w:val="none" w:sz="0" w:space="0" w:color="auto"/>
        <w:left w:val="none" w:sz="0" w:space="0" w:color="auto"/>
        <w:bottom w:val="none" w:sz="0" w:space="0" w:color="auto"/>
        <w:right w:val="none" w:sz="0" w:space="0" w:color="auto"/>
      </w:divBdr>
    </w:div>
    <w:div w:id="2033803188">
      <w:bodyDiv w:val="1"/>
      <w:marLeft w:val="0"/>
      <w:marRight w:val="0"/>
      <w:marTop w:val="0"/>
      <w:marBottom w:val="0"/>
      <w:divBdr>
        <w:top w:val="none" w:sz="0" w:space="0" w:color="auto"/>
        <w:left w:val="none" w:sz="0" w:space="0" w:color="auto"/>
        <w:bottom w:val="none" w:sz="0" w:space="0" w:color="auto"/>
        <w:right w:val="none" w:sz="0" w:space="0" w:color="auto"/>
      </w:divBdr>
    </w:div>
    <w:div w:id="2033914923">
      <w:bodyDiv w:val="1"/>
      <w:marLeft w:val="0"/>
      <w:marRight w:val="0"/>
      <w:marTop w:val="0"/>
      <w:marBottom w:val="0"/>
      <w:divBdr>
        <w:top w:val="none" w:sz="0" w:space="0" w:color="auto"/>
        <w:left w:val="none" w:sz="0" w:space="0" w:color="auto"/>
        <w:bottom w:val="none" w:sz="0" w:space="0" w:color="auto"/>
        <w:right w:val="none" w:sz="0" w:space="0" w:color="auto"/>
      </w:divBdr>
    </w:div>
    <w:div w:id="2034070908">
      <w:bodyDiv w:val="1"/>
      <w:marLeft w:val="0"/>
      <w:marRight w:val="0"/>
      <w:marTop w:val="0"/>
      <w:marBottom w:val="0"/>
      <w:divBdr>
        <w:top w:val="none" w:sz="0" w:space="0" w:color="auto"/>
        <w:left w:val="none" w:sz="0" w:space="0" w:color="auto"/>
        <w:bottom w:val="none" w:sz="0" w:space="0" w:color="auto"/>
        <w:right w:val="none" w:sz="0" w:space="0" w:color="auto"/>
      </w:divBdr>
    </w:div>
    <w:div w:id="2034721079">
      <w:bodyDiv w:val="1"/>
      <w:marLeft w:val="0"/>
      <w:marRight w:val="0"/>
      <w:marTop w:val="0"/>
      <w:marBottom w:val="0"/>
      <w:divBdr>
        <w:top w:val="none" w:sz="0" w:space="0" w:color="auto"/>
        <w:left w:val="none" w:sz="0" w:space="0" w:color="auto"/>
        <w:bottom w:val="none" w:sz="0" w:space="0" w:color="auto"/>
        <w:right w:val="none" w:sz="0" w:space="0" w:color="auto"/>
      </w:divBdr>
    </w:div>
    <w:div w:id="2034960658">
      <w:bodyDiv w:val="1"/>
      <w:marLeft w:val="0"/>
      <w:marRight w:val="0"/>
      <w:marTop w:val="0"/>
      <w:marBottom w:val="0"/>
      <w:divBdr>
        <w:top w:val="none" w:sz="0" w:space="0" w:color="auto"/>
        <w:left w:val="none" w:sz="0" w:space="0" w:color="auto"/>
        <w:bottom w:val="none" w:sz="0" w:space="0" w:color="auto"/>
        <w:right w:val="none" w:sz="0" w:space="0" w:color="auto"/>
      </w:divBdr>
      <w:divsChild>
        <w:div w:id="1455366760">
          <w:marLeft w:val="0"/>
          <w:marRight w:val="0"/>
          <w:marTop w:val="0"/>
          <w:marBottom w:val="0"/>
          <w:divBdr>
            <w:top w:val="none" w:sz="0" w:space="0" w:color="auto"/>
            <w:left w:val="none" w:sz="0" w:space="0" w:color="auto"/>
            <w:bottom w:val="none" w:sz="0" w:space="0" w:color="auto"/>
            <w:right w:val="none" w:sz="0" w:space="0" w:color="auto"/>
          </w:divBdr>
          <w:divsChild>
            <w:div w:id="53359456">
              <w:marLeft w:val="0"/>
              <w:marRight w:val="0"/>
              <w:marTop w:val="0"/>
              <w:marBottom w:val="0"/>
              <w:divBdr>
                <w:top w:val="none" w:sz="0" w:space="0" w:color="auto"/>
                <w:left w:val="none" w:sz="0" w:space="0" w:color="auto"/>
                <w:bottom w:val="none" w:sz="0" w:space="0" w:color="auto"/>
                <w:right w:val="none" w:sz="0" w:space="0" w:color="auto"/>
              </w:divBdr>
            </w:div>
            <w:div w:id="80837957">
              <w:marLeft w:val="0"/>
              <w:marRight w:val="0"/>
              <w:marTop w:val="0"/>
              <w:marBottom w:val="0"/>
              <w:divBdr>
                <w:top w:val="none" w:sz="0" w:space="0" w:color="auto"/>
                <w:left w:val="none" w:sz="0" w:space="0" w:color="auto"/>
                <w:bottom w:val="none" w:sz="0" w:space="0" w:color="auto"/>
                <w:right w:val="none" w:sz="0" w:space="0" w:color="auto"/>
              </w:divBdr>
            </w:div>
            <w:div w:id="211578141">
              <w:marLeft w:val="0"/>
              <w:marRight w:val="0"/>
              <w:marTop w:val="0"/>
              <w:marBottom w:val="0"/>
              <w:divBdr>
                <w:top w:val="none" w:sz="0" w:space="0" w:color="auto"/>
                <w:left w:val="none" w:sz="0" w:space="0" w:color="auto"/>
                <w:bottom w:val="none" w:sz="0" w:space="0" w:color="auto"/>
                <w:right w:val="none" w:sz="0" w:space="0" w:color="auto"/>
              </w:divBdr>
            </w:div>
            <w:div w:id="393116788">
              <w:marLeft w:val="0"/>
              <w:marRight w:val="0"/>
              <w:marTop w:val="0"/>
              <w:marBottom w:val="0"/>
              <w:divBdr>
                <w:top w:val="none" w:sz="0" w:space="0" w:color="auto"/>
                <w:left w:val="none" w:sz="0" w:space="0" w:color="auto"/>
                <w:bottom w:val="none" w:sz="0" w:space="0" w:color="auto"/>
                <w:right w:val="none" w:sz="0" w:space="0" w:color="auto"/>
              </w:divBdr>
            </w:div>
            <w:div w:id="452484678">
              <w:marLeft w:val="0"/>
              <w:marRight w:val="0"/>
              <w:marTop w:val="0"/>
              <w:marBottom w:val="0"/>
              <w:divBdr>
                <w:top w:val="none" w:sz="0" w:space="0" w:color="auto"/>
                <w:left w:val="none" w:sz="0" w:space="0" w:color="auto"/>
                <w:bottom w:val="none" w:sz="0" w:space="0" w:color="auto"/>
                <w:right w:val="none" w:sz="0" w:space="0" w:color="auto"/>
              </w:divBdr>
            </w:div>
            <w:div w:id="573974548">
              <w:marLeft w:val="0"/>
              <w:marRight w:val="0"/>
              <w:marTop w:val="0"/>
              <w:marBottom w:val="0"/>
              <w:divBdr>
                <w:top w:val="none" w:sz="0" w:space="0" w:color="auto"/>
                <w:left w:val="none" w:sz="0" w:space="0" w:color="auto"/>
                <w:bottom w:val="none" w:sz="0" w:space="0" w:color="auto"/>
                <w:right w:val="none" w:sz="0" w:space="0" w:color="auto"/>
              </w:divBdr>
            </w:div>
            <w:div w:id="588539198">
              <w:marLeft w:val="0"/>
              <w:marRight w:val="0"/>
              <w:marTop w:val="0"/>
              <w:marBottom w:val="0"/>
              <w:divBdr>
                <w:top w:val="none" w:sz="0" w:space="0" w:color="auto"/>
                <w:left w:val="none" w:sz="0" w:space="0" w:color="auto"/>
                <w:bottom w:val="none" w:sz="0" w:space="0" w:color="auto"/>
                <w:right w:val="none" w:sz="0" w:space="0" w:color="auto"/>
              </w:divBdr>
            </w:div>
            <w:div w:id="653023143">
              <w:marLeft w:val="0"/>
              <w:marRight w:val="0"/>
              <w:marTop w:val="0"/>
              <w:marBottom w:val="0"/>
              <w:divBdr>
                <w:top w:val="none" w:sz="0" w:space="0" w:color="auto"/>
                <w:left w:val="none" w:sz="0" w:space="0" w:color="auto"/>
                <w:bottom w:val="none" w:sz="0" w:space="0" w:color="auto"/>
                <w:right w:val="none" w:sz="0" w:space="0" w:color="auto"/>
              </w:divBdr>
            </w:div>
            <w:div w:id="1237322162">
              <w:marLeft w:val="0"/>
              <w:marRight w:val="0"/>
              <w:marTop w:val="0"/>
              <w:marBottom w:val="0"/>
              <w:divBdr>
                <w:top w:val="none" w:sz="0" w:space="0" w:color="auto"/>
                <w:left w:val="none" w:sz="0" w:space="0" w:color="auto"/>
                <w:bottom w:val="none" w:sz="0" w:space="0" w:color="auto"/>
                <w:right w:val="none" w:sz="0" w:space="0" w:color="auto"/>
              </w:divBdr>
            </w:div>
            <w:div w:id="1307780389">
              <w:marLeft w:val="0"/>
              <w:marRight w:val="0"/>
              <w:marTop w:val="0"/>
              <w:marBottom w:val="0"/>
              <w:divBdr>
                <w:top w:val="none" w:sz="0" w:space="0" w:color="auto"/>
                <w:left w:val="none" w:sz="0" w:space="0" w:color="auto"/>
                <w:bottom w:val="none" w:sz="0" w:space="0" w:color="auto"/>
                <w:right w:val="none" w:sz="0" w:space="0" w:color="auto"/>
              </w:divBdr>
            </w:div>
            <w:div w:id="1817263072">
              <w:marLeft w:val="0"/>
              <w:marRight w:val="0"/>
              <w:marTop w:val="0"/>
              <w:marBottom w:val="0"/>
              <w:divBdr>
                <w:top w:val="none" w:sz="0" w:space="0" w:color="auto"/>
                <w:left w:val="none" w:sz="0" w:space="0" w:color="auto"/>
                <w:bottom w:val="none" w:sz="0" w:space="0" w:color="auto"/>
                <w:right w:val="none" w:sz="0" w:space="0" w:color="auto"/>
              </w:divBdr>
            </w:div>
            <w:div w:id="1895503620">
              <w:marLeft w:val="0"/>
              <w:marRight w:val="0"/>
              <w:marTop w:val="0"/>
              <w:marBottom w:val="0"/>
              <w:divBdr>
                <w:top w:val="none" w:sz="0" w:space="0" w:color="auto"/>
                <w:left w:val="none" w:sz="0" w:space="0" w:color="auto"/>
                <w:bottom w:val="none" w:sz="0" w:space="0" w:color="auto"/>
                <w:right w:val="none" w:sz="0" w:space="0" w:color="auto"/>
              </w:divBdr>
            </w:div>
            <w:div w:id="19442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99259">
      <w:bodyDiv w:val="1"/>
      <w:marLeft w:val="0"/>
      <w:marRight w:val="0"/>
      <w:marTop w:val="0"/>
      <w:marBottom w:val="0"/>
      <w:divBdr>
        <w:top w:val="none" w:sz="0" w:space="0" w:color="auto"/>
        <w:left w:val="none" w:sz="0" w:space="0" w:color="auto"/>
        <w:bottom w:val="none" w:sz="0" w:space="0" w:color="auto"/>
        <w:right w:val="none" w:sz="0" w:space="0" w:color="auto"/>
      </w:divBdr>
    </w:div>
    <w:div w:id="2035419139">
      <w:bodyDiv w:val="1"/>
      <w:marLeft w:val="0"/>
      <w:marRight w:val="0"/>
      <w:marTop w:val="0"/>
      <w:marBottom w:val="0"/>
      <w:divBdr>
        <w:top w:val="none" w:sz="0" w:space="0" w:color="auto"/>
        <w:left w:val="none" w:sz="0" w:space="0" w:color="auto"/>
        <w:bottom w:val="none" w:sz="0" w:space="0" w:color="auto"/>
        <w:right w:val="none" w:sz="0" w:space="0" w:color="auto"/>
      </w:divBdr>
    </w:div>
    <w:div w:id="2035616813">
      <w:bodyDiv w:val="1"/>
      <w:marLeft w:val="0"/>
      <w:marRight w:val="0"/>
      <w:marTop w:val="0"/>
      <w:marBottom w:val="0"/>
      <w:divBdr>
        <w:top w:val="none" w:sz="0" w:space="0" w:color="auto"/>
        <w:left w:val="none" w:sz="0" w:space="0" w:color="auto"/>
        <w:bottom w:val="none" w:sz="0" w:space="0" w:color="auto"/>
        <w:right w:val="none" w:sz="0" w:space="0" w:color="auto"/>
      </w:divBdr>
    </w:div>
    <w:div w:id="2035761960">
      <w:bodyDiv w:val="1"/>
      <w:marLeft w:val="0"/>
      <w:marRight w:val="0"/>
      <w:marTop w:val="0"/>
      <w:marBottom w:val="0"/>
      <w:divBdr>
        <w:top w:val="none" w:sz="0" w:space="0" w:color="auto"/>
        <w:left w:val="none" w:sz="0" w:space="0" w:color="auto"/>
        <w:bottom w:val="none" w:sz="0" w:space="0" w:color="auto"/>
        <w:right w:val="none" w:sz="0" w:space="0" w:color="auto"/>
      </w:divBdr>
    </w:div>
    <w:div w:id="2035836188">
      <w:bodyDiv w:val="1"/>
      <w:marLeft w:val="0"/>
      <w:marRight w:val="0"/>
      <w:marTop w:val="0"/>
      <w:marBottom w:val="0"/>
      <w:divBdr>
        <w:top w:val="none" w:sz="0" w:space="0" w:color="auto"/>
        <w:left w:val="none" w:sz="0" w:space="0" w:color="auto"/>
        <w:bottom w:val="none" w:sz="0" w:space="0" w:color="auto"/>
        <w:right w:val="none" w:sz="0" w:space="0" w:color="auto"/>
      </w:divBdr>
    </w:div>
    <w:div w:id="2036618986">
      <w:bodyDiv w:val="1"/>
      <w:marLeft w:val="0"/>
      <w:marRight w:val="0"/>
      <w:marTop w:val="0"/>
      <w:marBottom w:val="0"/>
      <w:divBdr>
        <w:top w:val="none" w:sz="0" w:space="0" w:color="auto"/>
        <w:left w:val="none" w:sz="0" w:space="0" w:color="auto"/>
        <w:bottom w:val="none" w:sz="0" w:space="0" w:color="auto"/>
        <w:right w:val="none" w:sz="0" w:space="0" w:color="auto"/>
      </w:divBdr>
    </w:div>
    <w:div w:id="2037194761">
      <w:bodyDiv w:val="1"/>
      <w:marLeft w:val="0"/>
      <w:marRight w:val="0"/>
      <w:marTop w:val="0"/>
      <w:marBottom w:val="0"/>
      <w:divBdr>
        <w:top w:val="none" w:sz="0" w:space="0" w:color="auto"/>
        <w:left w:val="none" w:sz="0" w:space="0" w:color="auto"/>
        <w:bottom w:val="none" w:sz="0" w:space="0" w:color="auto"/>
        <w:right w:val="none" w:sz="0" w:space="0" w:color="auto"/>
      </w:divBdr>
    </w:div>
    <w:div w:id="2037927596">
      <w:bodyDiv w:val="1"/>
      <w:marLeft w:val="0"/>
      <w:marRight w:val="0"/>
      <w:marTop w:val="0"/>
      <w:marBottom w:val="0"/>
      <w:divBdr>
        <w:top w:val="none" w:sz="0" w:space="0" w:color="auto"/>
        <w:left w:val="none" w:sz="0" w:space="0" w:color="auto"/>
        <w:bottom w:val="none" w:sz="0" w:space="0" w:color="auto"/>
        <w:right w:val="none" w:sz="0" w:space="0" w:color="auto"/>
      </w:divBdr>
    </w:div>
    <w:div w:id="2038264035">
      <w:bodyDiv w:val="1"/>
      <w:marLeft w:val="0"/>
      <w:marRight w:val="0"/>
      <w:marTop w:val="0"/>
      <w:marBottom w:val="0"/>
      <w:divBdr>
        <w:top w:val="none" w:sz="0" w:space="0" w:color="auto"/>
        <w:left w:val="none" w:sz="0" w:space="0" w:color="auto"/>
        <w:bottom w:val="none" w:sz="0" w:space="0" w:color="auto"/>
        <w:right w:val="none" w:sz="0" w:space="0" w:color="auto"/>
      </w:divBdr>
    </w:div>
    <w:div w:id="2038577876">
      <w:bodyDiv w:val="1"/>
      <w:marLeft w:val="0"/>
      <w:marRight w:val="0"/>
      <w:marTop w:val="0"/>
      <w:marBottom w:val="0"/>
      <w:divBdr>
        <w:top w:val="none" w:sz="0" w:space="0" w:color="auto"/>
        <w:left w:val="none" w:sz="0" w:space="0" w:color="auto"/>
        <w:bottom w:val="none" w:sz="0" w:space="0" w:color="auto"/>
        <w:right w:val="none" w:sz="0" w:space="0" w:color="auto"/>
      </w:divBdr>
    </w:div>
    <w:div w:id="2039620633">
      <w:bodyDiv w:val="1"/>
      <w:marLeft w:val="0"/>
      <w:marRight w:val="0"/>
      <w:marTop w:val="0"/>
      <w:marBottom w:val="0"/>
      <w:divBdr>
        <w:top w:val="none" w:sz="0" w:space="0" w:color="auto"/>
        <w:left w:val="none" w:sz="0" w:space="0" w:color="auto"/>
        <w:bottom w:val="none" w:sz="0" w:space="0" w:color="auto"/>
        <w:right w:val="none" w:sz="0" w:space="0" w:color="auto"/>
      </w:divBdr>
    </w:div>
    <w:div w:id="2039887334">
      <w:bodyDiv w:val="1"/>
      <w:marLeft w:val="0"/>
      <w:marRight w:val="0"/>
      <w:marTop w:val="0"/>
      <w:marBottom w:val="0"/>
      <w:divBdr>
        <w:top w:val="none" w:sz="0" w:space="0" w:color="auto"/>
        <w:left w:val="none" w:sz="0" w:space="0" w:color="auto"/>
        <w:bottom w:val="none" w:sz="0" w:space="0" w:color="auto"/>
        <w:right w:val="none" w:sz="0" w:space="0" w:color="auto"/>
      </w:divBdr>
    </w:div>
    <w:div w:id="2042394709">
      <w:bodyDiv w:val="1"/>
      <w:marLeft w:val="0"/>
      <w:marRight w:val="0"/>
      <w:marTop w:val="0"/>
      <w:marBottom w:val="0"/>
      <w:divBdr>
        <w:top w:val="none" w:sz="0" w:space="0" w:color="auto"/>
        <w:left w:val="none" w:sz="0" w:space="0" w:color="auto"/>
        <w:bottom w:val="none" w:sz="0" w:space="0" w:color="auto"/>
        <w:right w:val="none" w:sz="0" w:space="0" w:color="auto"/>
      </w:divBdr>
    </w:div>
    <w:div w:id="2042970484">
      <w:bodyDiv w:val="1"/>
      <w:marLeft w:val="0"/>
      <w:marRight w:val="0"/>
      <w:marTop w:val="0"/>
      <w:marBottom w:val="0"/>
      <w:divBdr>
        <w:top w:val="none" w:sz="0" w:space="0" w:color="auto"/>
        <w:left w:val="none" w:sz="0" w:space="0" w:color="auto"/>
        <w:bottom w:val="none" w:sz="0" w:space="0" w:color="auto"/>
        <w:right w:val="none" w:sz="0" w:space="0" w:color="auto"/>
      </w:divBdr>
    </w:div>
    <w:div w:id="2043630342">
      <w:bodyDiv w:val="1"/>
      <w:marLeft w:val="0"/>
      <w:marRight w:val="0"/>
      <w:marTop w:val="0"/>
      <w:marBottom w:val="0"/>
      <w:divBdr>
        <w:top w:val="none" w:sz="0" w:space="0" w:color="auto"/>
        <w:left w:val="none" w:sz="0" w:space="0" w:color="auto"/>
        <w:bottom w:val="none" w:sz="0" w:space="0" w:color="auto"/>
        <w:right w:val="none" w:sz="0" w:space="0" w:color="auto"/>
      </w:divBdr>
    </w:div>
    <w:div w:id="2043674652">
      <w:bodyDiv w:val="1"/>
      <w:marLeft w:val="0"/>
      <w:marRight w:val="0"/>
      <w:marTop w:val="0"/>
      <w:marBottom w:val="0"/>
      <w:divBdr>
        <w:top w:val="none" w:sz="0" w:space="0" w:color="auto"/>
        <w:left w:val="none" w:sz="0" w:space="0" w:color="auto"/>
        <w:bottom w:val="none" w:sz="0" w:space="0" w:color="auto"/>
        <w:right w:val="none" w:sz="0" w:space="0" w:color="auto"/>
      </w:divBdr>
    </w:div>
    <w:div w:id="2043823153">
      <w:bodyDiv w:val="1"/>
      <w:marLeft w:val="0"/>
      <w:marRight w:val="0"/>
      <w:marTop w:val="0"/>
      <w:marBottom w:val="0"/>
      <w:divBdr>
        <w:top w:val="none" w:sz="0" w:space="0" w:color="auto"/>
        <w:left w:val="none" w:sz="0" w:space="0" w:color="auto"/>
        <w:bottom w:val="none" w:sz="0" w:space="0" w:color="auto"/>
        <w:right w:val="none" w:sz="0" w:space="0" w:color="auto"/>
      </w:divBdr>
    </w:div>
    <w:div w:id="2045207568">
      <w:bodyDiv w:val="1"/>
      <w:marLeft w:val="0"/>
      <w:marRight w:val="0"/>
      <w:marTop w:val="0"/>
      <w:marBottom w:val="0"/>
      <w:divBdr>
        <w:top w:val="none" w:sz="0" w:space="0" w:color="auto"/>
        <w:left w:val="none" w:sz="0" w:space="0" w:color="auto"/>
        <w:bottom w:val="none" w:sz="0" w:space="0" w:color="auto"/>
        <w:right w:val="none" w:sz="0" w:space="0" w:color="auto"/>
      </w:divBdr>
    </w:div>
    <w:div w:id="2045710048">
      <w:bodyDiv w:val="1"/>
      <w:marLeft w:val="0"/>
      <w:marRight w:val="0"/>
      <w:marTop w:val="0"/>
      <w:marBottom w:val="0"/>
      <w:divBdr>
        <w:top w:val="none" w:sz="0" w:space="0" w:color="auto"/>
        <w:left w:val="none" w:sz="0" w:space="0" w:color="auto"/>
        <w:bottom w:val="none" w:sz="0" w:space="0" w:color="auto"/>
        <w:right w:val="none" w:sz="0" w:space="0" w:color="auto"/>
      </w:divBdr>
    </w:div>
    <w:div w:id="2045858746">
      <w:bodyDiv w:val="1"/>
      <w:marLeft w:val="0"/>
      <w:marRight w:val="0"/>
      <w:marTop w:val="0"/>
      <w:marBottom w:val="0"/>
      <w:divBdr>
        <w:top w:val="none" w:sz="0" w:space="0" w:color="auto"/>
        <w:left w:val="none" w:sz="0" w:space="0" w:color="auto"/>
        <w:bottom w:val="none" w:sz="0" w:space="0" w:color="auto"/>
        <w:right w:val="none" w:sz="0" w:space="0" w:color="auto"/>
      </w:divBdr>
    </w:div>
    <w:div w:id="2046368448">
      <w:bodyDiv w:val="1"/>
      <w:marLeft w:val="0"/>
      <w:marRight w:val="0"/>
      <w:marTop w:val="0"/>
      <w:marBottom w:val="0"/>
      <w:divBdr>
        <w:top w:val="none" w:sz="0" w:space="0" w:color="auto"/>
        <w:left w:val="none" w:sz="0" w:space="0" w:color="auto"/>
        <w:bottom w:val="none" w:sz="0" w:space="0" w:color="auto"/>
        <w:right w:val="none" w:sz="0" w:space="0" w:color="auto"/>
      </w:divBdr>
    </w:div>
    <w:div w:id="2046786636">
      <w:bodyDiv w:val="1"/>
      <w:marLeft w:val="0"/>
      <w:marRight w:val="0"/>
      <w:marTop w:val="0"/>
      <w:marBottom w:val="0"/>
      <w:divBdr>
        <w:top w:val="none" w:sz="0" w:space="0" w:color="auto"/>
        <w:left w:val="none" w:sz="0" w:space="0" w:color="auto"/>
        <w:bottom w:val="none" w:sz="0" w:space="0" w:color="auto"/>
        <w:right w:val="none" w:sz="0" w:space="0" w:color="auto"/>
      </w:divBdr>
    </w:div>
    <w:div w:id="2047220759">
      <w:bodyDiv w:val="1"/>
      <w:marLeft w:val="0"/>
      <w:marRight w:val="0"/>
      <w:marTop w:val="0"/>
      <w:marBottom w:val="0"/>
      <w:divBdr>
        <w:top w:val="none" w:sz="0" w:space="0" w:color="auto"/>
        <w:left w:val="none" w:sz="0" w:space="0" w:color="auto"/>
        <w:bottom w:val="none" w:sz="0" w:space="0" w:color="auto"/>
        <w:right w:val="none" w:sz="0" w:space="0" w:color="auto"/>
      </w:divBdr>
    </w:div>
    <w:div w:id="2048412239">
      <w:bodyDiv w:val="1"/>
      <w:marLeft w:val="0"/>
      <w:marRight w:val="0"/>
      <w:marTop w:val="0"/>
      <w:marBottom w:val="0"/>
      <w:divBdr>
        <w:top w:val="none" w:sz="0" w:space="0" w:color="auto"/>
        <w:left w:val="none" w:sz="0" w:space="0" w:color="auto"/>
        <w:bottom w:val="none" w:sz="0" w:space="0" w:color="auto"/>
        <w:right w:val="none" w:sz="0" w:space="0" w:color="auto"/>
      </w:divBdr>
    </w:div>
    <w:div w:id="2048600901">
      <w:bodyDiv w:val="1"/>
      <w:marLeft w:val="0"/>
      <w:marRight w:val="0"/>
      <w:marTop w:val="0"/>
      <w:marBottom w:val="0"/>
      <w:divBdr>
        <w:top w:val="none" w:sz="0" w:space="0" w:color="auto"/>
        <w:left w:val="none" w:sz="0" w:space="0" w:color="auto"/>
        <w:bottom w:val="none" w:sz="0" w:space="0" w:color="auto"/>
        <w:right w:val="none" w:sz="0" w:space="0" w:color="auto"/>
      </w:divBdr>
    </w:div>
    <w:div w:id="2049329819">
      <w:bodyDiv w:val="1"/>
      <w:marLeft w:val="0"/>
      <w:marRight w:val="0"/>
      <w:marTop w:val="0"/>
      <w:marBottom w:val="0"/>
      <w:divBdr>
        <w:top w:val="none" w:sz="0" w:space="0" w:color="auto"/>
        <w:left w:val="none" w:sz="0" w:space="0" w:color="auto"/>
        <w:bottom w:val="none" w:sz="0" w:space="0" w:color="auto"/>
        <w:right w:val="none" w:sz="0" w:space="0" w:color="auto"/>
      </w:divBdr>
    </w:div>
    <w:div w:id="2049984889">
      <w:bodyDiv w:val="1"/>
      <w:marLeft w:val="0"/>
      <w:marRight w:val="0"/>
      <w:marTop w:val="0"/>
      <w:marBottom w:val="0"/>
      <w:divBdr>
        <w:top w:val="none" w:sz="0" w:space="0" w:color="auto"/>
        <w:left w:val="none" w:sz="0" w:space="0" w:color="auto"/>
        <w:bottom w:val="none" w:sz="0" w:space="0" w:color="auto"/>
        <w:right w:val="none" w:sz="0" w:space="0" w:color="auto"/>
      </w:divBdr>
    </w:div>
    <w:div w:id="2051146903">
      <w:bodyDiv w:val="1"/>
      <w:marLeft w:val="0"/>
      <w:marRight w:val="0"/>
      <w:marTop w:val="0"/>
      <w:marBottom w:val="0"/>
      <w:divBdr>
        <w:top w:val="none" w:sz="0" w:space="0" w:color="auto"/>
        <w:left w:val="none" w:sz="0" w:space="0" w:color="auto"/>
        <w:bottom w:val="none" w:sz="0" w:space="0" w:color="auto"/>
        <w:right w:val="none" w:sz="0" w:space="0" w:color="auto"/>
      </w:divBdr>
    </w:div>
    <w:div w:id="2052151901">
      <w:bodyDiv w:val="1"/>
      <w:marLeft w:val="0"/>
      <w:marRight w:val="0"/>
      <w:marTop w:val="0"/>
      <w:marBottom w:val="0"/>
      <w:divBdr>
        <w:top w:val="none" w:sz="0" w:space="0" w:color="auto"/>
        <w:left w:val="none" w:sz="0" w:space="0" w:color="auto"/>
        <w:bottom w:val="none" w:sz="0" w:space="0" w:color="auto"/>
        <w:right w:val="none" w:sz="0" w:space="0" w:color="auto"/>
      </w:divBdr>
    </w:div>
    <w:div w:id="2052880348">
      <w:bodyDiv w:val="1"/>
      <w:marLeft w:val="0"/>
      <w:marRight w:val="0"/>
      <w:marTop w:val="0"/>
      <w:marBottom w:val="0"/>
      <w:divBdr>
        <w:top w:val="none" w:sz="0" w:space="0" w:color="auto"/>
        <w:left w:val="none" w:sz="0" w:space="0" w:color="auto"/>
        <w:bottom w:val="none" w:sz="0" w:space="0" w:color="auto"/>
        <w:right w:val="none" w:sz="0" w:space="0" w:color="auto"/>
      </w:divBdr>
    </w:div>
    <w:div w:id="2053384493">
      <w:bodyDiv w:val="1"/>
      <w:marLeft w:val="0"/>
      <w:marRight w:val="0"/>
      <w:marTop w:val="0"/>
      <w:marBottom w:val="0"/>
      <w:divBdr>
        <w:top w:val="none" w:sz="0" w:space="0" w:color="auto"/>
        <w:left w:val="none" w:sz="0" w:space="0" w:color="auto"/>
        <w:bottom w:val="none" w:sz="0" w:space="0" w:color="auto"/>
        <w:right w:val="none" w:sz="0" w:space="0" w:color="auto"/>
      </w:divBdr>
    </w:div>
    <w:div w:id="2053767779">
      <w:bodyDiv w:val="1"/>
      <w:marLeft w:val="0"/>
      <w:marRight w:val="0"/>
      <w:marTop w:val="0"/>
      <w:marBottom w:val="0"/>
      <w:divBdr>
        <w:top w:val="none" w:sz="0" w:space="0" w:color="auto"/>
        <w:left w:val="none" w:sz="0" w:space="0" w:color="auto"/>
        <w:bottom w:val="none" w:sz="0" w:space="0" w:color="auto"/>
        <w:right w:val="none" w:sz="0" w:space="0" w:color="auto"/>
      </w:divBdr>
    </w:div>
    <w:div w:id="2054228243">
      <w:bodyDiv w:val="1"/>
      <w:marLeft w:val="0"/>
      <w:marRight w:val="0"/>
      <w:marTop w:val="0"/>
      <w:marBottom w:val="0"/>
      <w:divBdr>
        <w:top w:val="none" w:sz="0" w:space="0" w:color="auto"/>
        <w:left w:val="none" w:sz="0" w:space="0" w:color="auto"/>
        <w:bottom w:val="none" w:sz="0" w:space="0" w:color="auto"/>
        <w:right w:val="none" w:sz="0" w:space="0" w:color="auto"/>
      </w:divBdr>
    </w:div>
    <w:div w:id="2054847642">
      <w:bodyDiv w:val="1"/>
      <w:marLeft w:val="0"/>
      <w:marRight w:val="0"/>
      <w:marTop w:val="0"/>
      <w:marBottom w:val="0"/>
      <w:divBdr>
        <w:top w:val="none" w:sz="0" w:space="0" w:color="auto"/>
        <w:left w:val="none" w:sz="0" w:space="0" w:color="auto"/>
        <w:bottom w:val="none" w:sz="0" w:space="0" w:color="auto"/>
        <w:right w:val="none" w:sz="0" w:space="0" w:color="auto"/>
      </w:divBdr>
    </w:div>
    <w:div w:id="2056003701">
      <w:bodyDiv w:val="1"/>
      <w:marLeft w:val="0"/>
      <w:marRight w:val="0"/>
      <w:marTop w:val="0"/>
      <w:marBottom w:val="0"/>
      <w:divBdr>
        <w:top w:val="none" w:sz="0" w:space="0" w:color="auto"/>
        <w:left w:val="none" w:sz="0" w:space="0" w:color="auto"/>
        <w:bottom w:val="none" w:sz="0" w:space="0" w:color="auto"/>
        <w:right w:val="none" w:sz="0" w:space="0" w:color="auto"/>
      </w:divBdr>
    </w:div>
    <w:div w:id="2056467610">
      <w:bodyDiv w:val="1"/>
      <w:marLeft w:val="0"/>
      <w:marRight w:val="0"/>
      <w:marTop w:val="0"/>
      <w:marBottom w:val="0"/>
      <w:divBdr>
        <w:top w:val="none" w:sz="0" w:space="0" w:color="auto"/>
        <w:left w:val="none" w:sz="0" w:space="0" w:color="auto"/>
        <w:bottom w:val="none" w:sz="0" w:space="0" w:color="auto"/>
        <w:right w:val="none" w:sz="0" w:space="0" w:color="auto"/>
      </w:divBdr>
    </w:div>
    <w:div w:id="2056537688">
      <w:bodyDiv w:val="1"/>
      <w:marLeft w:val="0"/>
      <w:marRight w:val="0"/>
      <w:marTop w:val="0"/>
      <w:marBottom w:val="0"/>
      <w:divBdr>
        <w:top w:val="none" w:sz="0" w:space="0" w:color="auto"/>
        <w:left w:val="none" w:sz="0" w:space="0" w:color="auto"/>
        <w:bottom w:val="none" w:sz="0" w:space="0" w:color="auto"/>
        <w:right w:val="none" w:sz="0" w:space="0" w:color="auto"/>
      </w:divBdr>
    </w:div>
    <w:div w:id="2056613517">
      <w:bodyDiv w:val="1"/>
      <w:marLeft w:val="0"/>
      <w:marRight w:val="0"/>
      <w:marTop w:val="0"/>
      <w:marBottom w:val="0"/>
      <w:divBdr>
        <w:top w:val="none" w:sz="0" w:space="0" w:color="auto"/>
        <w:left w:val="none" w:sz="0" w:space="0" w:color="auto"/>
        <w:bottom w:val="none" w:sz="0" w:space="0" w:color="auto"/>
        <w:right w:val="none" w:sz="0" w:space="0" w:color="auto"/>
      </w:divBdr>
    </w:div>
    <w:div w:id="2056848605">
      <w:bodyDiv w:val="1"/>
      <w:marLeft w:val="0"/>
      <w:marRight w:val="0"/>
      <w:marTop w:val="0"/>
      <w:marBottom w:val="0"/>
      <w:divBdr>
        <w:top w:val="none" w:sz="0" w:space="0" w:color="auto"/>
        <w:left w:val="none" w:sz="0" w:space="0" w:color="auto"/>
        <w:bottom w:val="none" w:sz="0" w:space="0" w:color="auto"/>
        <w:right w:val="none" w:sz="0" w:space="0" w:color="auto"/>
      </w:divBdr>
    </w:div>
    <w:div w:id="2057192943">
      <w:bodyDiv w:val="1"/>
      <w:marLeft w:val="0"/>
      <w:marRight w:val="0"/>
      <w:marTop w:val="0"/>
      <w:marBottom w:val="0"/>
      <w:divBdr>
        <w:top w:val="none" w:sz="0" w:space="0" w:color="auto"/>
        <w:left w:val="none" w:sz="0" w:space="0" w:color="auto"/>
        <w:bottom w:val="none" w:sz="0" w:space="0" w:color="auto"/>
        <w:right w:val="none" w:sz="0" w:space="0" w:color="auto"/>
      </w:divBdr>
    </w:div>
    <w:div w:id="2057461596">
      <w:bodyDiv w:val="1"/>
      <w:marLeft w:val="0"/>
      <w:marRight w:val="0"/>
      <w:marTop w:val="0"/>
      <w:marBottom w:val="0"/>
      <w:divBdr>
        <w:top w:val="none" w:sz="0" w:space="0" w:color="auto"/>
        <w:left w:val="none" w:sz="0" w:space="0" w:color="auto"/>
        <w:bottom w:val="none" w:sz="0" w:space="0" w:color="auto"/>
        <w:right w:val="none" w:sz="0" w:space="0" w:color="auto"/>
      </w:divBdr>
    </w:div>
    <w:div w:id="2057583597">
      <w:bodyDiv w:val="1"/>
      <w:marLeft w:val="0"/>
      <w:marRight w:val="0"/>
      <w:marTop w:val="0"/>
      <w:marBottom w:val="0"/>
      <w:divBdr>
        <w:top w:val="none" w:sz="0" w:space="0" w:color="auto"/>
        <w:left w:val="none" w:sz="0" w:space="0" w:color="auto"/>
        <w:bottom w:val="none" w:sz="0" w:space="0" w:color="auto"/>
        <w:right w:val="none" w:sz="0" w:space="0" w:color="auto"/>
      </w:divBdr>
    </w:div>
    <w:div w:id="2057777214">
      <w:bodyDiv w:val="1"/>
      <w:marLeft w:val="0"/>
      <w:marRight w:val="0"/>
      <w:marTop w:val="0"/>
      <w:marBottom w:val="0"/>
      <w:divBdr>
        <w:top w:val="none" w:sz="0" w:space="0" w:color="auto"/>
        <w:left w:val="none" w:sz="0" w:space="0" w:color="auto"/>
        <w:bottom w:val="none" w:sz="0" w:space="0" w:color="auto"/>
        <w:right w:val="none" w:sz="0" w:space="0" w:color="auto"/>
      </w:divBdr>
    </w:div>
    <w:div w:id="2058889055">
      <w:bodyDiv w:val="1"/>
      <w:marLeft w:val="0"/>
      <w:marRight w:val="0"/>
      <w:marTop w:val="0"/>
      <w:marBottom w:val="0"/>
      <w:divBdr>
        <w:top w:val="none" w:sz="0" w:space="0" w:color="auto"/>
        <w:left w:val="none" w:sz="0" w:space="0" w:color="auto"/>
        <w:bottom w:val="none" w:sz="0" w:space="0" w:color="auto"/>
        <w:right w:val="none" w:sz="0" w:space="0" w:color="auto"/>
      </w:divBdr>
    </w:div>
    <w:div w:id="2059090147">
      <w:bodyDiv w:val="1"/>
      <w:marLeft w:val="0"/>
      <w:marRight w:val="0"/>
      <w:marTop w:val="0"/>
      <w:marBottom w:val="0"/>
      <w:divBdr>
        <w:top w:val="none" w:sz="0" w:space="0" w:color="auto"/>
        <w:left w:val="none" w:sz="0" w:space="0" w:color="auto"/>
        <w:bottom w:val="none" w:sz="0" w:space="0" w:color="auto"/>
        <w:right w:val="none" w:sz="0" w:space="0" w:color="auto"/>
      </w:divBdr>
    </w:div>
    <w:div w:id="2059234673">
      <w:bodyDiv w:val="1"/>
      <w:marLeft w:val="0"/>
      <w:marRight w:val="0"/>
      <w:marTop w:val="0"/>
      <w:marBottom w:val="0"/>
      <w:divBdr>
        <w:top w:val="none" w:sz="0" w:space="0" w:color="auto"/>
        <w:left w:val="none" w:sz="0" w:space="0" w:color="auto"/>
        <w:bottom w:val="none" w:sz="0" w:space="0" w:color="auto"/>
        <w:right w:val="none" w:sz="0" w:space="0" w:color="auto"/>
      </w:divBdr>
    </w:div>
    <w:div w:id="2059552722">
      <w:bodyDiv w:val="1"/>
      <w:marLeft w:val="0"/>
      <w:marRight w:val="0"/>
      <w:marTop w:val="0"/>
      <w:marBottom w:val="0"/>
      <w:divBdr>
        <w:top w:val="none" w:sz="0" w:space="0" w:color="auto"/>
        <w:left w:val="none" w:sz="0" w:space="0" w:color="auto"/>
        <w:bottom w:val="none" w:sz="0" w:space="0" w:color="auto"/>
        <w:right w:val="none" w:sz="0" w:space="0" w:color="auto"/>
      </w:divBdr>
    </w:div>
    <w:div w:id="2061051230">
      <w:bodyDiv w:val="1"/>
      <w:marLeft w:val="0"/>
      <w:marRight w:val="0"/>
      <w:marTop w:val="0"/>
      <w:marBottom w:val="0"/>
      <w:divBdr>
        <w:top w:val="none" w:sz="0" w:space="0" w:color="auto"/>
        <w:left w:val="none" w:sz="0" w:space="0" w:color="auto"/>
        <w:bottom w:val="none" w:sz="0" w:space="0" w:color="auto"/>
        <w:right w:val="none" w:sz="0" w:space="0" w:color="auto"/>
      </w:divBdr>
    </w:div>
    <w:div w:id="2061053882">
      <w:bodyDiv w:val="1"/>
      <w:marLeft w:val="0"/>
      <w:marRight w:val="0"/>
      <w:marTop w:val="0"/>
      <w:marBottom w:val="0"/>
      <w:divBdr>
        <w:top w:val="none" w:sz="0" w:space="0" w:color="auto"/>
        <w:left w:val="none" w:sz="0" w:space="0" w:color="auto"/>
        <w:bottom w:val="none" w:sz="0" w:space="0" w:color="auto"/>
        <w:right w:val="none" w:sz="0" w:space="0" w:color="auto"/>
      </w:divBdr>
    </w:div>
    <w:div w:id="2061129675">
      <w:bodyDiv w:val="1"/>
      <w:marLeft w:val="0"/>
      <w:marRight w:val="0"/>
      <w:marTop w:val="0"/>
      <w:marBottom w:val="0"/>
      <w:divBdr>
        <w:top w:val="none" w:sz="0" w:space="0" w:color="auto"/>
        <w:left w:val="none" w:sz="0" w:space="0" w:color="auto"/>
        <w:bottom w:val="none" w:sz="0" w:space="0" w:color="auto"/>
        <w:right w:val="none" w:sz="0" w:space="0" w:color="auto"/>
      </w:divBdr>
    </w:div>
    <w:div w:id="2061202342">
      <w:bodyDiv w:val="1"/>
      <w:marLeft w:val="0"/>
      <w:marRight w:val="0"/>
      <w:marTop w:val="0"/>
      <w:marBottom w:val="0"/>
      <w:divBdr>
        <w:top w:val="none" w:sz="0" w:space="0" w:color="auto"/>
        <w:left w:val="none" w:sz="0" w:space="0" w:color="auto"/>
        <w:bottom w:val="none" w:sz="0" w:space="0" w:color="auto"/>
        <w:right w:val="none" w:sz="0" w:space="0" w:color="auto"/>
      </w:divBdr>
      <w:divsChild>
        <w:div w:id="1477339006">
          <w:marLeft w:val="0"/>
          <w:marRight w:val="0"/>
          <w:marTop w:val="0"/>
          <w:marBottom w:val="0"/>
          <w:divBdr>
            <w:top w:val="none" w:sz="0" w:space="0" w:color="auto"/>
            <w:left w:val="none" w:sz="0" w:space="0" w:color="auto"/>
            <w:bottom w:val="none" w:sz="0" w:space="0" w:color="auto"/>
            <w:right w:val="none" w:sz="0" w:space="0" w:color="auto"/>
          </w:divBdr>
        </w:div>
      </w:divsChild>
    </w:div>
    <w:div w:id="2062173971">
      <w:bodyDiv w:val="1"/>
      <w:marLeft w:val="0"/>
      <w:marRight w:val="0"/>
      <w:marTop w:val="0"/>
      <w:marBottom w:val="0"/>
      <w:divBdr>
        <w:top w:val="none" w:sz="0" w:space="0" w:color="auto"/>
        <w:left w:val="none" w:sz="0" w:space="0" w:color="auto"/>
        <w:bottom w:val="none" w:sz="0" w:space="0" w:color="auto"/>
        <w:right w:val="none" w:sz="0" w:space="0" w:color="auto"/>
      </w:divBdr>
    </w:div>
    <w:div w:id="2062709918">
      <w:bodyDiv w:val="1"/>
      <w:marLeft w:val="0"/>
      <w:marRight w:val="0"/>
      <w:marTop w:val="0"/>
      <w:marBottom w:val="0"/>
      <w:divBdr>
        <w:top w:val="none" w:sz="0" w:space="0" w:color="auto"/>
        <w:left w:val="none" w:sz="0" w:space="0" w:color="auto"/>
        <w:bottom w:val="none" w:sz="0" w:space="0" w:color="auto"/>
        <w:right w:val="none" w:sz="0" w:space="0" w:color="auto"/>
      </w:divBdr>
    </w:div>
    <w:div w:id="2063093060">
      <w:bodyDiv w:val="1"/>
      <w:marLeft w:val="0"/>
      <w:marRight w:val="0"/>
      <w:marTop w:val="0"/>
      <w:marBottom w:val="0"/>
      <w:divBdr>
        <w:top w:val="none" w:sz="0" w:space="0" w:color="auto"/>
        <w:left w:val="none" w:sz="0" w:space="0" w:color="auto"/>
        <w:bottom w:val="none" w:sz="0" w:space="0" w:color="auto"/>
        <w:right w:val="none" w:sz="0" w:space="0" w:color="auto"/>
      </w:divBdr>
    </w:div>
    <w:div w:id="2063166145">
      <w:bodyDiv w:val="1"/>
      <w:marLeft w:val="0"/>
      <w:marRight w:val="0"/>
      <w:marTop w:val="0"/>
      <w:marBottom w:val="0"/>
      <w:divBdr>
        <w:top w:val="none" w:sz="0" w:space="0" w:color="auto"/>
        <w:left w:val="none" w:sz="0" w:space="0" w:color="auto"/>
        <w:bottom w:val="none" w:sz="0" w:space="0" w:color="auto"/>
        <w:right w:val="none" w:sz="0" w:space="0" w:color="auto"/>
      </w:divBdr>
    </w:div>
    <w:div w:id="2063211174">
      <w:bodyDiv w:val="1"/>
      <w:marLeft w:val="0"/>
      <w:marRight w:val="0"/>
      <w:marTop w:val="0"/>
      <w:marBottom w:val="0"/>
      <w:divBdr>
        <w:top w:val="none" w:sz="0" w:space="0" w:color="auto"/>
        <w:left w:val="none" w:sz="0" w:space="0" w:color="auto"/>
        <w:bottom w:val="none" w:sz="0" w:space="0" w:color="auto"/>
        <w:right w:val="none" w:sz="0" w:space="0" w:color="auto"/>
      </w:divBdr>
    </w:div>
    <w:div w:id="2063748934">
      <w:bodyDiv w:val="1"/>
      <w:marLeft w:val="0"/>
      <w:marRight w:val="0"/>
      <w:marTop w:val="0"/>
      <w:marBottom w:val="0"/>
      <w:divBdr>
        <w:top w:val="none" w:sz="0" w:space="0" w:color="auto"/>
        <w:left w:val="none" w:sz="0" w:space="0" w:color="auto"/>
        <w:bottom w:val="none" w:sz="0" w:space="0" w:color="auto"/>
        <w:right w:val="none" w:sz="0" w:space="0" w:color="auto"/>
      </w:divBdr>
    </w:div>
    <w:div w:id="2064139716">
      <w:bodyDiv w:val="1"/>
      <w:marLeft w:val="0"/>
      <w:marRight w:val="0"/>
      <w:marTop w:val="0"/>
      <w:marBottom w:val="0"/>
      <w:divBdr>
        <w:top w:val="none" w:sz="0" w:space="0" w:color="auto"/>
        <w:left w:val="none" w:sz="0" w:space="0" w:color="auto"/>
        <w:bottom w:val="none" w:sz="0" w:space="0" w:color="auto"/>
        <w:right w:val="none" w:sz="0" w:space="0" w:color="auto"/>
      </w:divBdr>
    </w:div>
    <w:div w:id="2065831686">
      <w:bodyDiv w:val="1"/>
      <w:marLeft w:val="0"/>
      <w:marRight w:val="0"/>
      <w:marTop w:val="0"/>
      <w:marBottom w:val="0"/>
      <w:divBdr>
        <w:top w:val="none" w:sz="0" w:space="0" w:color="auto"/>
        <w:left w:val="none" w:sz="0" w:space="0" w:color="auto"/>
        <w:bottom w:val="none" w:sz="0" w:space="0" w:color="auto"/>
        <w:right w:val="none" w:sz="0" w:space="0" w:color="auto"/>
      </w:divBdr>
    </w:div>
    <w:div w:id="2066247515">
      <w:bodyDiv w:val="1"/>
      <w:marLeft w:val="0"/>
      <w:marRight w:val="0"/>
      <w:marTop w:val="0"/>
      <w:marBottom w:val="0"/>
      <w:divBdr>
        <w:top w:val="none" w:sz="0" w:space="0" w:color="auto"/>
        <w:left w:val="none" w:sz="0" w:space="0" w:color="auto"/>
        <w:bottom w:val="none" w:sz="0" w:space="0" w:color="auto"/>
        <w:right w:val="none" w:sz="0" w:space="0" w:color="auto"/>
      </w:divBdr>
    </w:div>
    <w:div w:id="2066876418">
      <w:bodyDiv w:val="1"/>
      <w:marLeft w:val="0"/>
      <w:marRight w:val="0"/>
      <w:marTop w:val="0"/>
      <w:marBottom w:val="0"/>
      <w:divBdr>
        <w:top w:val="none" w:sz="0" w:space="0" w:color="auto"/>
        <w:left w:val="none" w:sz="0" w:space="0" w:color="auto"/>
        <w:bottom w:val="none" w:sz="0" w:space="0" w:color="auto"/>
        <w:right w:val="none" w:sz="0" w:space="0" w:color="auto"/>
      </w:divBdr>
    </w:div>
    <w:div w:id="2067020918">
      <w:bodyDiv w:val="1"/>
      <w:marLeft w:val="0"/>
      <w:marRight w:val="0"/>
      <w:marTop w:val="0"/>
      <w:marBottom w:val="0"/>
      <w:divBdr>
        <w:top w:val="none" w:sz="0" w:space="0" w:color="auto"/>
        <w:left w:val="none" w:sz="0" w:space="0" w:color="auto"/>
        <w:bottom w:val="none" w:sz="0" w:space="0" w:color="auto"/>
        <w:right w:val="none" w:sz="0" w:space="0" w:color="auto"/>
      </w:divBdr>
    </w:div>
    <w:div w:id="2067296068">
      <w:bodyDiv w:val="1"/>
      <w:marLeft w:val="0"/>
      <w:marRight w:val="0"/>
      <w:marTop w:val="0"/>
      <w:marBottom w:val="0"/>
      <w:divBdr>
        <w:top w:val="none" w:sz="0" w:space="0" w:color="auto"/>
        <w:left w:val="none" w:sz="0" w:space="0" w:color="auto"/>
        <w:bottom w:val="none" w:sz="0" w:space="0" w:color="auto"/>
        <w:right w:val="none" w:sz="0" w:space="0" w:color="auto"/>
      </w:divBdr>
    </w:div>
    <w:div w:id="2067953841">
      <w:bodyDiv w:val="1"/>
      <w:marLeft w:val="0"/>
      <w:marRight w:val="0"/>
      <w:marTop w:val="0"/>
      <w:marBottom w:val="0"/>
      <w:divBdr>
        <w:top w:val="none" w:sz="0" w:space="0" w:color="auto"/>
        <w:left w:val="none" w:sz="0" w:space="0" w:color="auto"/>
        <w:bottom w:val="none" w:sz="0" w:space="0" w:color="auto"/>
        <w:right w:val="none" w:sz="0" w:space="0" w:color="auto"/>
      </w:divBdr>
    </w:div>
    <w:div w:id="2068409082">
      <w:bodyDiv w:val="1"/>
      <w:marLeft w:val="0"/>
      <w:marRight w:val="0"/>
      <w:marTop w:val="0"/>
      <w:marBottom w:val="0"/>
      <w:divBdr>
        <w:top w:val="none" w:sz="0" w:space="0" w:color="auto"/>
        <w:left w:val="none" w:sz="0" w:space="0" w:color="auto"/>
        <w:bottom w:val="none" w:sz="0" w:space="0" w:color="auto"/>
        <w:right w:val="none" w:sz="0" w:space="0" w:color="auto"/>
      </w:divBdr>
    </w:div>
    <w:div w:id="2068409792">
      <w:bodyDiv w:val="1"/>
      <w:marLeft w:val="0"/>
      <w:marRight w:val="0"/>
      <w:marTop w:val="0"/>
      <w:marBottom w:val="0"/>
      <w:divBdr>
        <w:top w:val="none" w:sz="0" w:space="0" w:color="auto"/>
        <w:left w:val="none" w:sz="0" w:space="0" w:color="auto"/>
        <w:bottom w:val="none" w:sz="0" w:space="0" w:color="auto"/>
        <w:right w:val="none" w:sz="0" w:space="0" w:color="auto"/>
      </w:divBdr>
    </w:div>
    <w:div w:id="2068449811">
      <w:bodyDiv w:val="1"/>
      <w:marLeft w:val="0"/>
      <w:marRight w:val="0"/>
      <w:marTop w:val="0"/>
      <w:marBottom w:val="0"/>
      <w:divBdr>
        <w:top w:val="none" w:sz="0" w:space="0" w:color="auto"/>
        <w:left w:val="none" w:sz="0" w:space="0" w:color="auto"/>
        <w:bottom w:val="none" w:sz="0" w:space="0" w:color="auto"/>
        <w:right w:val="none" w:sz="0" w:space="0" w:color="auto"/>
      </w:divBdr>
    </w:div>
    <w:div w:id="2068842360">
      <w:bodyDiv w:val="1"/>
      <w:marLeft w:val="0"/>
      <w:marRight w:val="0"/>
      <w:marTop w:val="0"/>
      <w:marBottom w:val="0"/>
      <w:divBdr>
        <w:top w:val="none" w:sz="0" w:space="0" w:color="auto"/>
        <w:left w:val="none" w:sz="0" w:space="0" w:color="auto"/>
        <w:bottom w:val="none" w:sz="0" w:space="0" w:color="auto"/>
        <w:right w:val="none" w:sz="0" w:space="0" w:color="auto"/>
      </w:divBdr>
    </w:div>
    <w:div w:id="2069500117">
      <w:bodyDiv w:val="1"/>
      <w:marLeft w:val="0"/>
      <w:marRight w:val="0"/>
      <w:marTop w:val="0"/>
      <w:marBottom w:val="0"/>
      <w:divBdr>
        <w:top w:val="none" w:sz="0" w:space="0" w:color="auto"/>
        <w:left w:val="none" w:sz="0" w:space="0" w:color="auto"/>
        <w:bottom w:val="none" w:sz="0" w:space="0" w:color="auto"/>
        <w:right w:val="none" w:sz="0" w:space="0" w:color="auto"/>
      </w:divBdr>
    </w:div>
    <w:div w:id="2069643223">
      <w:bodyDiv w:val="1"/>
      <w:marLeft w:val="0"/>
      <w:marRight w:val="0"/>
      <w:marTop w:val="0"/>
      <w:marBottom w:val="0"/>
      <w:divBdr>
        <w:top w:val="none" w:sz="0" w:space="0" w:color="auto"/>
        <w:left w:val="none" w:sz="0" w:space="0" w:color="auto"/>
        <w:bottom w:val="none" w:sz="0" w:space="0" w:color="auto"/>
        <w:right w:val="none" w:sz="0" w:space="0" w:color="auto"/>
      </w:divBdr>
    </w:div>
    <w:div w:id="2069646067">
      <w:bodyDiv w:val="1"/>
      <w:marLeft w:val="0"/>
      <w:marRight w:val="0"/>
      <w:marTop w:val="0"/>
      <w:marBottom w:val="0"/>
      <w:divBdr>
        <w:top w:val="none" w:sz="0" w:space="0" w:color="auto"/>
        <w:left w:val="none" w:sz="0" w:space="0" w:color="auto"/>
        <w:bottom w:val="none" w:sz="0" w:space="0" w:color="auto"/>
        <w:right w:val="none" w:sz="0" w:space="0" w:color="auto"/>
      </w:divBdr>
    </w:div>
    <w:div w:id="2069840516">
      <w:bodyDiv w:val="1"/>
      <w:marLeft w:val="0"/>
      <w:marRight w:val="0"/>
      <w:marTop w:val="0"/>
      <w:marBottom w:val="0"/>
      <w:divBdr>
        <w:top w:val="none" w:sz="0" w:space="0" w:color="auto"/>
        <w:left w:val="none" w:sz="0" w:space="0" w:color="auto"/>
        <w:bottom w:val="none" w:sz="0" w:space="0" w:color="auto"/>
        <w:right w:val="none" w:sz="0" w:space="0" w:color="auto"/>
      </w:divBdr>
    </w:div>
    <w:div w:id="2070152733">
      <w:bodyDiv w:val="1"/>
      <w:marLeft w:val="0"/>
      <w:marRight w:val="0"/>
      <w:marTop w:val="0"/>
      <w:marBottom w:val="0"/>
      <w:divBdr>
        <w:top w:val="none" w:sz="0" w:space="0" w:color="auto"/>
        <w:left w:val="none" w:sz="0" w:space="0" w:color="auto"/>
        <w:bottom w:val="none" w:sz="0" w:space="0" w:color="auto"/>
        <w:right w:val="none" w:sz="0" w:space="0" w:color="auto"/>
      </w:divBdr>
    </w:div>
    <w:div w:id="2070959331">
      <w:bodyDiv w:val="1"/>
      <w:marLeft w:val="0"/>
      <w:marRight w:val="0"/>
      <w:marTop w:val="0"/>
      <w:marBottom w:val="0"/>
      <w:divBdr>
        <w:top w:val="none" w:sz="0" w:space="0" w:color="auto"/>
        <w:left w:val="none" w:sz="0" w:space="0" w:color="auto"/>
        <w:bottom w:val="none" w:sz="0" w:space="0" w:color="auto"/>
        <w:right w:val="none" w:sz="0" w:space="0" w:color="auto"/>
      </w:divBdr>
    </w:div>
    <w:div w:id="2072076615">
      <w:bodyDiv w:val="1"/>
      <w:marLeft w:val="0"/>
      <w:marRight w:val="0"/>
      <w:marTop w:val="0"/>
      <w:marBottom w:val="0"/>
      <w:divBdr>
        <w:top w:val="none" w:sz="0" w:space="0" w:color="auto"/>
        <w:left w:val="none" w:sz="0" w:space="0" w:color="auto"/>
        <w:bottom w:val="none" w:sz="0" w:space="0" w:color="auto"/>
        <w:right w:val="none" w:sz="0" w:space="0" w:color="auto"/>
      </w:divBdr>
    </w:div>
    <w:div w:id="2072922059">
      <w:bodyDiv w:val="1"/>
      <w:marLeft w:val="0"/>
      <w:marRight w:val="0"/>
      <w:marTop w:val="0"/>
      <w:marBottom w:val="0"/>
      <w:divBdr>
        <w:top w:val="none" w:sz="0" w:space="0" w:color="auto"/>
        <w:left w:val="none" w:sz="0" w:space="0" w:color="auto"/>
        <w:bottom w:val="none" w:sz="0" w:space="0" w:color="auto"/>
        <w:right w:val="none" w:sz="0" w:space="0" w:color="auto"/>
      </w:divBdr>
    </w:div>
    <w:div w:id="2073457408">
      <w:bodyDiv w:val="1"/>
      <w:marLeft w:val="0"/>
      <w:marRight w:val="0"/>
      <w:marTop w:val="0"/>
      <w:marBottom w:val="0"/>
      <w:divBdr>
        <w:top w:val="none" w:sz="0" w:space="0" w:color="auto"/>
        <w:left w:val="none" w:sz="0" w:space="0" w:color="auto"/>
        <w:bottom w:val="none" w:sz="0" w:space="0" w:color="auto"/>
        <w:right w:val="none" w:sz="0" w:space="0" w:color="auto"/>
      </w:divBdr>
    </w:div>
    <w:div w:id="2075927579">
      <w:bodyDiv w:val="1"/>
      <w:marLeft w:val="0"/>
      <w:marRight w:val="0"/>
      <w:marTop w:val="0"/>
      <w:marBottom w:val="0"/>
      <w:divBdr>
        <w:top w:val="none" w:sz="0" w:space="0" w:color="auto"/>
        <w:left w:val="none" w:sz="0" w:space="0" w:color="auto"/>
        <w:bottom w:val="none" w:sz="0" w:space="0" w:color="auto"/>
        <w:right w:val="none" w:sz="0" w:space="0" w:color="auto"/>
      </w:divBdr>
    </w:div>
    <w:div w:id="2077127692">
      <w:bodyDiv w:val="1"/>
      <w:marLeft w:val="0"/>
      <w:marRight w:val="0"/>
      <w:marTop w:val="0"/>
      <w:marBottom w:val="0"/>
      <w:divBdr>
        <w:top w:val="none" w:sz="0" w:space="0" w:color="auto"/>
        <w:left w:val="none" w:sz="0" w:space="0" w:color="auto"/>
        <w:bottom w:val="none" w:sz="0" w:space="0" w:color="auto"/>
        <w:right w:val="none" w:sz="0" w:space="0" w:color="auto"/>
      </w:divBdr>
    </w:div>
    <w:div w:id="2077431746">
      <w:bodyDiv w:val="1"/>
      <w:marLeft w:val="0"/>
      <w:marRight w:val="0"/>
      <w:marTop w:val="0"/>
      <w:marBottom w:val="0"/>
      <w:divBdr>
        <w:top w:val="none" w:sz="0" w:space="0" w:color="auto"/>
        <w:left w:val="none" w:sz="0" w:space="0" w:color="auto"/>
        <w:bottom w:val="none" w:sz="0" w:space="0" w:color="auto"/>
        <w:right w:val="none" w:sz="0" w:space="0" w:color="auto"/>
      </w:divBdr>
    </w:div>
    <w:div w:id="2077967637">
      <w:bodyDiv w:val="1"/>
      <w:marLeft w:val="0"/>
      <w:marRight w:val="0"/>
      <w:marTop w:val="0"/>
      <w:marBottom w:val="0"/>
      <w:divBdr>
        <w:top w:val="none" w:sz="0" w:space="0" w:color="auto"/>
        <w:left w:val="none" w:sz="0" w:space="0" w:color="auto"/>
        <w:bottom w:val="none" w:sz="0" w:space="0" w:color="auto"/>
        <w:right w:val="none" w:sz="0" w:space="0" w:color="auto"/>
      </w:divBdr>
    </w:div>
    <w:div w:id="2078475002">
      <w:bodyDiv w:val="1"/>
      <w:marLeft w:val="0"/>
      <w:marRight w:val="0"/>
      <w:marTop w:val="0"/>
      <w:marBottom w:val="0"/>
      <w:divBdr>
        <w:top w:val="none" w:sz="0" w:space="0" w:color="auto"/>
        <w:left w:val="none" w:sz="0" w:space="0" w:color="auto"/>
        <w:bottom w:val="none" w:sz="0" w:space="0" w:color="auto"/>
        <w:right w:val="none" w:sz="0" w:space="0" w:color="auto"/>
      </w:divBdr>
    </w:div>
    <w:div w:id="2079135957">
      <w:bodyDiv w:val="1"/>
      <w:marLeft w:val="0"/>
      <w:marRight w:val="0"/>
      <w:marTop w:val="0"/>
      <w:marBottom w:val="0"/>
      <w:divBdr>
        <w:top w:val="none" w:sz="0" w:space="0" w:color="auto"/>
        <w:left w:val="none" w:sz="0" w:space="0" w:color="auto"/>
        <w:bottom w:val="none" w:sz="0" w:space="0" w:color="auto"/>
        <w:right w:val="none" w:sz="0" w:space="0" w:color="auto"/>
      </w:divBdr>
    </w:div>
    <w:div w:id="2080129749">
      <w:bodyDiv w:val="1"/>
      <w:marLeft w:val="0"/>
      <w:marRight w:val="0"/>
      <w:marTop w:val="0"/>
      <w:marBottom w:val="0"/>
      <w:divBdr>
        <w:top w:val="none" w:sz="0" w:space="0" w:color="auto"/>
        <w:left w:val="none" w:sz="0" w:space="0" w:color="auto"/>
        <w:bottom w:val="none" w:sz="0" w:space="0" w:color="auto"/>
        <w:right w:val="none" w:sz="0" w:space="0" w:color="auto"/>
      </w:divBdr>
    </w:div>
    <w:div w:id="2080251911">
      <w:bodyDiv w:val="1"/>
      <w:marLeft w:val="0"/>
      <w:marRight w:val="0"/>
      <w:marTop w:val="0"/>
      <w:marBottom w:val="0"/>
      <w:divBdr>
        <w:top w:val="none" w:sz="0" w:space="0" w:color="auto"/>
        <w:left w:val="none" w:sz="0" w:space="0" w:color="auto"/>
        <w:bottom w:val="none" w:sz="0" w:space="0" w:color="auto"/>
        <w:right w:val="none" w:sz="0" w:space="0" w:color="auto"/>
      </w:divBdr>
    </w:div>
    <w:div w:id="2081244616">
      <w:bodyDiv w:val="1"/>
      <w:marLeft w:val="0"/>
      <w:marRight w:val="0"/>
      <w:marTop w:val="0"/>
      <w:marBottom w:val="0"/>
      <w:divBdr>
        <w:top w:val="none" w:sz="0" w:space="0" w:color="auto"/>
        <w:left w:val="none" w:sz="0" w:space="0" w:color="auto"/>
        <w:bottom w:val="none" w:sz="0" w:space="0" w:color="auto"/>
        <w:right w:val="none" w:sz="0" w:space="0" w:color="auto"/>
      </w:divBdr>
    </w:div>
    <w:div w:id="2081825936">
      <w:bodyDiv w:val="1"/>
      <w:marLeft w:val="0"/>
      <w:marRight w:val="0"/>
      <w:marTop w:val="0"/>
      <w:marBottom w:val="0"/>
      <w:divBdr>
        <w:top w:val="none" w:sz="0" w:space="0" w:color="auto"/>
        <w:left w:val="none" w:sz="0" w:space="0" w:color="auto"/>
        <w:bottom w:val="none" w:sz="0" w:space="0" w:color="auto"/>
        <w:right w:val="none" w:sz="0" w:space="0" w:color="auto"/>
      </w:divBdr>
    </w:div>
    <w:div w:id="2082173411">
      <w:bodyDiv w:val="1"/>
      <w:marLeft w:val="0"/>
      <w:marRight w:val="0"/>
      <w:marTop w:val="0"/>
      <w:marBottom w:val="0"/>
      <w:divBdr>
        <w:top w:val="none" w:sz="0" w:space="0" w:color="auto"/>
        <w:left w:val="none" w:sz="0" w:space="0" w:color="auto"/>
        <w:bottom w:val="none" w:sz="0" w:space="0" w:color="auto"/>
        <w:right w:val="none" w:sz="0" w:space="0" w:color="auto"/>
      </w:divBdr>
    </w:div>
    <w:div w:id="2082557212">
      <w:bodyDiv w:val="1"/>
      <w:marLeft w:val="0"/>
      <w:marRight w:val="0"/>
      <w:marTop w:val="0"/>
      <w:marBottom w:val="0"/>
      <w:divBdr>
        <w:top w:val="none" w:sz="0" w:space="0" w:color="auto"/>
        <w:left w:val="none" w:sz="0" w:space="0" w:color="auto"/>
        <w:bottom w:val="none" w:sz="0" w:space="0" w:color="auto"/>
        <w:right w:val="none" w:sz="0" w:space="0" w:color="auto"/>
      </w:divBdr>
    </w:div>
    <w:div w:id="2082827606">
      <w:bodyDiv w:val="1"/>
      <w:marLeft w:val="0"/>
      <w:marRight w:val="0"/>
      <w:marTop w:val="0"/>
      <w:marBottom w:val="0"/>
      <w:divBdr>
        <w:top w:val="none" w:sz="0" w:space="0" w:color="auto"/>
        <w:left w:val="none" w:sz="0" w:space="0" w:color="auto"/>
        <w:bottom w:val="none" w:sz="0" w:space="0" w:color="auto"/>
        <w:right w:val="none" w:sz="0" w:space="0" w:color="auto"/>
      </w:divBdr>
    </w:div>
    <w:div w:id="2083527344">
      <w:bodyDiv w:val="1"/>
      <w:marLeft w:val="0"/>
      <w:marRight w:val="0"/>
      <w:marTop w:val="0"/>
      <w:marBottom w:val="0"/>
      <w:divBdr>
        <w:top w:val="none" w:sz="0" w:space="0" w:color="auto"/>
        <w:left w:val="none" w:sz="0" w:space="0" w:color="auto"/>
        <w:bottom w:val="none" w:sz="0" w:space="0" w:color="auto"/>
        <w:right w:val="none" w:sz="0" w:space="0" w:color="auto"/>
      </w:divBdr>
    </w:div>
    <w:div w:id="2084254288">
      <w:bodyDiv w:val="1"/>
      <w:marLeft w:val="0"/>
      <w:marRight w:val="0"/>
      <w:marTop w:val="0"/>
      <w:marBottom w:val="0"/>
      <w:divBdr>
        <w:top w:val="none" w:sz="0" w:space="0" w:color="auto"/>
        <w:left w:val="none" w:sz="0" w:space="0" w:color="auto"/>
        <w:bottom w:val="none" w:sz="0" w:space="0" w:color="auto"/>
        <w:right w:val="none" w:sz="0" w:space="0" w:color="auto"/>
      </w:divBdr>
    </w:div>
    <w:div w:id="2084719246">
      <w:bodyDiv w:val="1"/>
      <w:marLeft w:val="0"/>
      <w:marRight w:val="0"/>
      <w:marTop w:val="0"/>
      <w:marBottom w:val="0"/>
      <w:divBdr>
        <w:top w:val="none" w:sz="0" w:space="0" w:color="auto"/>
        <w:left w:val="none" w:sz="0" w:space="0" w:color="auto"/>
        <w:bottom w:val="none" w:sz="0" w:space="0" w:color="auto"/>
        <w:right w:val="none" w:sz="0" w:space="0" w:color="auto"/>
      </w:divBdr>
    </w:div>
    <w:div w:id="2084908683">
      <w:bodyDiv w:val="1"/>
      <w:marLeft w:val="0"/>
      <w:marRight w:val="0"/>
      <w:marTop w:val="0"/>
      <w:marBottom w:val="0"/>
      <w:divBdr>
        <w:top w:val="none" w:sz="0" w:space="0" w:color="auto"/>
        <w:left w:val="none" w:sz="0" w:space="0" w:color="auto"/>
        <w:bottom w:val="none" w:sz="0" w:space="0" w:color="auto"/>
        <w:right w:val="none" w:sz="0" w:space="0" w:color="auto"/>
      </w:divBdr>
    </w:div>
    <w:div w:id="2086682821">
      <w:bodyDiv w:val="1"/>
      <w:marLeft w:val="0"/>
      <w:marRight w:val="0"/>
      <w:marTop w:val="0"/>
      <w:marBottom w:val="0"/>
      <w:divBdr>
        <w:top w:val="none" w:sz="0" w:space="0" w:color="auto"/>
        <w:left w:val="none" w:sz="0" w:space="0" w:color="auto"/>
        <w:bottom w:val="none" w:sz="0" w:space="0" w:color="auto"/>
        <w:right w:val="none" w:sz="0" w:space="0" w:color="auto"/>
      </w:divBdr>
    </w:div>
    <w:div w:id="2086800703">
      <w:bodyDiv w:val="1"/>
      <w:marLeft w:val="0"/>
      <w:marRight w:val="0"/>
      <w:marTop w:val="0"/>
      <w:marBottom w:val="0"/>
      <w:divBdr>
        <w:top w:val="none" w:sz="0" w:space="0" w:color="auto"/>
        <w:left w:val="none" w:sz="0" w:space="0" w:color="auto"/>
        <w:bottom w:val="none" w:sz="0" w:space="0" w:color="auto"/>
        <w:right w:val="none" w:sz="0" w:space="0" w:color="auto"/>
      </w:divBdr>
    </w:div>
    <w:div w:id="2087065044">
      <w:bodyDiv w:val="1"/>
      <w:marLeft w:val="0"/>
      <w:marRight w:val="0"/>
      <w:marTop w:val="0"/>
      <w:marBottom w:val="0"/>
      <w:divBdr>
        <w:top w:val="none" w:sz="0" w:space="0" w:color="auto"/>
        <w:left w:val="none" w:sz="0" w:space="0" w:color="auto"/>
        <w:bottom w:val="none" w:sz="0" w:space="0" w:color="auto"/>
        <w:right w:val="none" w:sz="0" w:space="0" w:color="auto"/>
      </w:divBdr>
    </w:div>
    <w:div w:id="2087142456">
      <w:bodyDiv w:val="1"/>
      <w:marLeft w:val="0"/>
      <w:marRight w:val="0"/>
      <w:marTop w:val="0"/>
      <w:marBottom w:val="0"/>
      <w:divBdr>
        <w:top w:val="none" w:sz="0" w:space="0" w:color="auto"/>
        <w:left w:val="none" w:sz="0" w:space="0" w:color="auto"/>
        <w:bottom w:val="none" w:sz="0" w:space="0" w:color="auto"/>
        <w:right w:val="none" w:sz="0" w:space="0" w:color="auto"/>
      </w:divBdr>
    </w:div>
    <w:div w:id="2087340891">
      <w:bodyDiv w:val="1"/>
      <w:marLeft w:val="0"/>
      <w:marRight w:val="0"/>
      <w:marTop w:val="0"/>
      <w:marBottom w:val="0"/>
      <w:divBdr>
        <w:top w:val="none" w:sz="0" w:space="0" w:color="auto"/>
        <w:left w:val="none" w:sz="0" w:space="0" w:color="auto"/>
        <w:bottom w:val="none" w:sz="0" w:space="0" w:color="auto"/>
        <w:right w:val="none" w:sz="0" w:space="0" w:color="auto"/>
      </w:divBdr>
    </w:div>
    <w:div w:id="2087527504">
      <w:bodyDiv w:val="1"/>
      <w:marLeft w:val="0"/>
      <w:marRight w:val="0"/>
      <w:marTop w:val="0"/>
      <w:marBottom w:val="0"/>
      <w:divBdr>
        <w:top w:val="none" w:sz="0" w:space="0" w:color="auto"/>
        <w:left w:val="none" w:sz="0" w:space="0" w:color="auto"/>
        <w:bottom w:val="none" w:sz="0" w:space="0" w:color="auto"/>
        <w:right w:val="none" w:sz="0" w:space="0" w:color="auto"/>
      </w:divBdr>
    </w:div>
    <w:div w:id="2087602878">
      <w:bodyDiv w:val="1"/>
      <w:marLeft w:val="0"/>
      <w:marRight w:val="0"/>
      <w:marTop w:val="0"/>
      <w:marBottom w:val="0"/>
      <w:divBdr>
        <w:top w:val="none" w:sz="0" w:space="0" w:color="auto"/>
        <w:left w:val="none" w:sz="0" w:space="0" w:color="auto"/>
        <w:bottom w:val="none" w:sz="0" w:space="0" w:color="auto"/>
        <w:right w:val="none" w:sz="0" w:space="0" w:color="auto"/>
      </w:divBdr>
    </w:div>
    <w:div w:id="2087729155">
      <w:bodyDiv w:val="1"/>
      <w:marLeft w:val="0"/>
      <w:marRight w:val="0"/>
      <w:marTop w:val="0"/>
      <w:marBottom w:val="0"/>
      <w:divBdr>
        <w:top w:val="none" w:sz="0" w:space="0" w:color="auto"/>
        <w:left w:val="none" w:sz="0" w:space="0" w:color="auto"/>
        <w:bottom w:val="none" w:sz="0" w:space="0" w:color="auto"/>
        <w:right w:val="none" w:sz="0" w:space="0" w:color="auto"/>
      </w:divBdr>
    </w:div>
    <w:div w:id="2087993563">
      <w:bodyDiv w:val="1"/>
      <w:marLeft w:val="0"/>
      <w:marRight w:val="0"/>
      <w:marTop w:val="0"/>
      <w:marBottom w:val="0"/>
      <w:divBdr>
        <w:top w:val="none" w:sz="0" w:space="0" w:color="auto"/>
        <w:left w:val="none" w:sz="0" w:space="0" w:color="auto"/>
        <w:bottom w:val="none" w:sz="0" w:space="0" w:color="auto"/>
        <w:right w:val="none" w:sz="0" w:space="0" w:color="auto"/>
      </w:divBdr>
    </w:div>
    <w:div w:id="2088377701">
      <w:bodyDiv w:val="1"/>
      <w:marLeft w:val="0"/>
      <w:marRight w:val="0"/>
      <w:marTop w:val="0"/>
      <w:marBottom w:val="0"/>
      <w:divBdr>
        <w:top w:val="none" w:sz="0" w:space="0" w:color="auto"/>
        <w:left w:val="none" w:sz="0" w:space="0" w:color="auto"/>
        <w:bottom w:val="none" w:sz="0" w:space="0" w:color="auto"/>
        <w:right w:val="none" w:sz="0" w:space="0" w:color="auto"/>
      </w:divBdr>
    </w:div>
    <w:div w:id="2088379676">
      <w:bodyDiv w:val="1"/>
      <w:marLeft w:val="0"/>
      <w:marRight w:val="0"/>
      <w:marTop w:val="0"/>
      <w:marBottom w:val="0"/>
      <w:divBdr>
        <w:top w:val="none" w:sz="0" w:space="0" w:color="auto"/>
        <w:left w:val="none" w:sz="0" w:space="0" w:color="auto"/>
        <w:bottom w:val="none" w:sz="0" w:space="0" w:color="auto"/>
        <w:right w:val="none" w:sz="0" w:space="0" w:color="auto"/>
      </w:divBdr>
    </w:div>
    <w:div w:id="2088569765">
      <w:bodyDiv w:val="1"/>
      <w:marLeft w:val="0"/>
      <w:marRight w:val="0"/>
      <w:marTop w:val="0"/>
      <w:marBottom w:val="0"/>
      <w:divBdr>
        <w:top w:val="none" w:sz="0" w:space="0" w:color="auto"/>
        <w:left w:val="none" w:sz="0" w:space="0" w:color="auto"/>
        <w:bottom w:val="none" w:sz="0" w:space="0" w:color="auto"/>
        <w:right w:val="none" w:sz="0" w:space="0" w:color="auto"/>
      </w:divBdr>
    </w:div>
    <w:div w:id="2092316011">
      <w:bodyDiv w:val="1"/>
      <w:marLeft w:val="0"/>
      <w:marRight w:val="0"/>
      <w:marTop w:val="0"/>
      <w:marBottom w:val="0"/>
      <w:divBdr>
        <w:top w:val="none" w:sz="0" w:space="0" w:color="auto"/>
        <w:left w:val="none" w:sz="0" w:space="0" w:color="auto"/>
        <w:bottom w:val="none" w:sz="0" w:space="0" w:color="auto"/>
        <w:right w:val="none" w:sz="0" w:space="0" w:color="auto"/>
      </w:divBdr>
    </w:div>
    <w:div w:id="2092466165">
      <w:bodyDiv w:val="1"/>
      <w:marLeft w:val="0"/>
      <w:marRight w:val="0"/>
      <w:marTop w:val="0"/>
      <w:marBottom w:val="0"/>
      <w:divBdr>
        <w:top w:val="none" w:sz="0" w:space="0" w:color="auto"/>
        <w:left w:val="none" w:sz="0" w:space="0" w:color="auto"/>
        <w:bottom w:val="none" w:sz="0" w:space="0" w:color="auto"/>
        <w:right w:val="none" w:sz="0" w:space="0" w:color="auto"/>
      </w:divBdr>
    </w:div>
    <w:div w:id="2092582509">
      <w:bodyDiv w:val="1"/>
      <w:marLeft w:val="0"/>
      <w:marRight w:val="0"/>
      <w:marTop w:val="0"/>
      <w:marBottom w:val="0"/>
      <w:divBdr>
        <w:top w:val="none" w:sz="0" w:space="0" w:color="auto"/>
        <w:left w:val="none" w:sz="0" w:space="0" w:color="auto"/>
        <w:bottom w:val="none" w:sz="0" w:space="0" w:color="auto"/>
        <w:right w:val="none" w:sz="0" w:space="0" w:color="auto"/>
      </w:divBdr>
    </w:div>
    <w:div w:id="2092968629">
      <w:bodyDiv w:val="1"/>
      <w:marLeft w:val="0"/>
      <w:marRight w:val="0"/>
      <w:marTop w:val="0"/>
      <w:marBottom w:val="0"/>
      <w:divBdr>
        <w:top w:val="none" w:sz="0" w:space="0" w:color="auto"/>
        <w:left w:val="none" w:sz="0" w:space="0" w:color="auto"/>
        <w:bottom w:val="none" w:sz="0" w:space="0" w:color="auto"/>
        <w:right w:val="none" w:sz="0" w:space="0" w:color="auto"/>
      </w:divBdr>
    </w:div>
    <w:div w:id="2093040490">
      <w:bodyDiv w:val="1"/>
      <w:marLeft w:val="0"/>
      <w:marRight w:val="0"/>
      <w:marTop w:val="0"/>
      <w:marBottom w:val="0"/>
      <w:divBdr>
        <w:top w:val="none" w:sz="0" w:space="0" w:color="auto"/>
        <w:left w:val="none" w:sz="0" w:space="0" w:color="auto"/>
        <w:bottom w:val="none" w:sz="0" w:space="0" w:color="auto"/>
        <w:right w:val="none" w:sz="0" w:space="0" w:color="auto"/>
      </w:divBdr>
    </w:div>
    <w:div w:id="2093044056">
      <w:bodyDiv w:val="1"/>
      <w:marLeft w:val="0"/>
      <w:marRight w:val="0"/>
      <w:marTop w:val="0"/>
      <w:marBottom w:val="0"/>
      <w:divBdr>
        <w:top w:val="none" w:sz="0" w:space="0" w:color="auto"/>
        <w:left w:val="none" w:sz="0" w:space="0" w:color="auto"/>
        <w:bottom w:val="none" w:sz="0" w:space="0" w:color="auto"/>
        <w:right w:val="none" w:sz="0" w:space="0" w:color="auto"/>
      </w:divBdr>
    </w:div>
    <w:div w:id="2093117826">
      <w:bodyDiv w:val="1"/>
      <w:marLeft w:val="0"/>
      <w:marRight w:val="0"/>
      <w:marTop w:val="0"/>
      <w:marBottom w:val="0"/>
      <w:divBdr>
        <w:top w:val="none" w:sz="0" w:space="0" w:color="auto"/>
        <w:left w:val="none" w:sz="0" w:space="0" w:color="auto"/>
        <w:bottom w:val="none" w:sz="0" w:space="0" w:color="auto"/>
        <w:right w:val="none" w:sz="0" w:space="0" w:color="auto"/>
      </w:divBdr>
    </w:div>
    <w:div w:id="2093812314">
      <w:bodyDiv w:val="1"/>
      <w:marLeft w:val="0"/>
      <w:marRight w:val="0"/>
      <w:marTop w:val="0"/>
      <w:marBottom w:val="0"/>
      <w:divBdr>
        <w:top w:val="none" w:sz="0" w:space="0" w:color="auto"/>
        <w:left w:val="none" w:sz="0" w:space="0" w:color="auto"/>
        <w:bottom w:val="none" w:sz="0" w:space="0" w:color="auto"/>
        <w:right w:val="none" w:sz="0" w:space="0" w:color="auto"/>
      </w:divBdr>
    </w:div>
    <w:div w:id="2093969818">
      <w:bodyDiv w:val="1"/>
      <w:marLeft w:val="0"/>
      <w:marRight w:val="0"/>
      <w:marTop w:val="0"/>
      <w:marBottom w:val="0"/>
      <w:divBdr>
        <w:top w:val="none" w:sz="0" w:space="0" w:color="auto"/>
        <w:left w:val="none" w:sz="0" w:space="0" w:color="auto"/>
        <w:bottom w:val="none" w:sz="0" w:space="0" w:color="auto"/>
        <w:right w:val="none" w:sz="0" w:space="0" w:color="auto"/>
      </w:divBdr>
    </w:div>
    <w:div w:id="2094470368">
      <w:bodyDiv w:val="1"/>
      <w:marLeft w:val="0"/>
      <w:marRight w:val="0"/>
      <w:marTop w:val="0"/>
      <w:marBottom w:val="0"/>
      <w:divBdr>
        <w:top w:val="none" w:sz="0" w:space="0" w:color="auto"/>
        <w:left w:val="none" w:sz="0" w:space="0" w:color="auto"/>
        <w:bottom w:val="none" w:sz="0" w:space="0" w:color="auto"/>
        <w:right w:val="none" w:sz="0" w:space="0" w:color="auto"/>
      </w:divBdr>
    </w:div>
    <w:div w:id="2094936343">
      <w:bodyDiv w:val="1"/>
      <w:marLeft w:val="0"/>
      <w:marRight w:val="0"/>
      <w:marTop w:val="0"/>
      <w:marBottom w:val="0"/>
      <w:divBdr>
        <w:top w:val="none" w:sz="0" w:space="0" w:color="auto"/>
        <w:left w:val="none" w:sz="0" w:space="0" w:color="auto"/>
        <w:bottom w:val="none" w:sz="0" w:space="0" w:color="auto"/>
        <w:right w:val="none" w:sz="0" w:space="0" w:color="auto"/>
      </w:divBdr>
    </w:div>
    <w:div w:id="2095274713">
      <w:bodyDiv w:val="1"/>
      <w:marLeft w:val="0"/>
      <w:marRight w:val="0"/>
      <w:marTop w:val="0"/>
      <w:marBottom w:val="0"/>
      <w:divBdr>
        <w:top w:val="none" w:sz="0" w:space="0" w:color="auto"/>
        <w:left w:val="none" w:sz="0" w:space="0" w:color="auto"/>
        <w:bottom w:val="none" w:sz="0" w:space="0" w:color="auto"/>
        <w:right w:val="none" w:sz="0" w:space="0" w:color="auto"/>
      </w:divBdr>
    </w:div>
    <w:div w:id="2095784284">
      <w:bodyDiv w:val="1"/>
      <w:marLeft w:val="0"/>
      <w:marRight w:val="0"/>
      <w:marTop w:val="0"/>
      <w:marBottom w:val="0"/>
      <w:divBdr>
        <w:top w:val="none" w:sz="0" w:space="0" w:color="auto"/>
        <w:left w:val="none" w:sz="0" w:space="0" w:color="auto"/>
        <w:bottom w:val="none" w:sz="0" w:space="0" w:color="auto"/>
        <w:right w:val="none" w:sz="0" w:space="0" w:color="auto"/>
      </w:divBdr>
    </w:div>
    <w:div w:id="2097088471">
      <w:bodyDiv w:val="1"/>
      <w:marLeft w:val="0"/>
      <w:marRight w:val="0"/>
      <w:marTop w:val="0"/>
      <w:marBottom w:val="0"/>
      <w:divBdr>
        <w:top w:val="none" w:sz="0" w:space="0" w:color="auto"/>
        <w:left w:val="none" w:sz="0" w:space="0" w:color="auto"/>
        <w:bottom w:val="none" w:sz="0" w:space="0" w:color="auto"/>
        <w:right w:val="none" w:sz="0" w:space="0" w:color="auto"/>
      </w:divBdr>
    </w:div>
    <w:div w:id="2097701285">
      <w:bodyDiv w:val="1"/>
      <w:marLeft w:val="0"/>
      <w:marRight w:val="0"/>
      <w:marTop w:val="0"/>
      <w:marBottom w:val="0"/>
      <w:divBdr>
        <w:top w:val="none" w:sz="0" w:space="0" w:color="auto"/>
        <w:left w:val="none" w:sz="0" w:space="0" w:color="auto"/>
        <w:bottom w:val="none" w:sz="0" w:space="0" w:color="auto"/>
        <w:right w:val="none" w:sz="0" w:space="0" w:color="auto"/>
      </w:divBdr>
    </w:div>
    <w:div w:id="2098092237">
      <w:bodyDiv w:val="1"/>
      <w:marLeft w:val="0"/>
      <w:marRight w:val="0"/>
      <w:marTop w:val="0"/>
      <w:marBottom w:val="0"/>
      <w:divBdr>
        <w:top w:val="none" w:sz="0" w:space="0" w:color="auto"/>
        <w:left w:val="none" w:sz="0" w:space="0" w:color="auto"/>
        <w:bottom w:val="none" w:sz="0" w:space="0" w:color="auto"/>
        <w:right w:val="none" w:sz="0" w:space="0" w:color="auto"/>
      </w:divBdr>
    </w:div>
    <w:div w:id="2099209005">
      <w:bodyDiv w:val="1"/>
      <w:marLeft w:val="0"/>
      <w:marRight w:val="0"/>
      <w:marTop w:val="0"/>
      <w:marBottom w:val="0"/>
      <w:divBdr>
        <w:top w:val="none" w:sz="0" w:space="0" w:color="auto"/>
        <w:left w:val="none" w:sz="0" w:space="0" w:color="auto"/>
        <w:bottom w:val="none" w:sz="0" w:space="0" w:color="auto"/>
        <w:right w:val="none" w:sz="0" w:space="0" w:color="auto"/>
      </w:divBdr>
    </w:div>
    <w:div w:id="2099323490">
      <w:bodyDiv w:val="1"/>
      <w:marLeft w:val="0"/>
      <w:marRight w:val="0"/>
      <w:marTop w:val="0"/>
      <w:marBottom w:val="0"/>
      <w:divBdr>
        <w:top w:val="none" w:sz="0" w:space="0" w:color="auto"/>
        <w:left w:val="none" w:sz="0" w:space="0" w:color="auto"/>
        <w:bottom w:val="none" w:sz="0" w:space="0" w:color="auto"/>
        <w:right w:val="none" w:sz="0" w:space="0" w:color="auto"/>
      </w:divBdr>
    </w:div>
    <w:div w:id="2100059021">
      <w:bodyDiv w:val="1"/>
      <w:marLeft w:val="0"/>
      <w:marRight w:val="0"/>
      <w:marTop w:val="0"/>
      <w:marBottom w:val="0"/>
      <w:divBdr>
        <w:top w:val="none" w:sz="0" w:space="0" w:color="auto"/>
        <w:left w:val="none" w:sz="0" w:space="0" w:color="auto"/>
        <w:bottom w:val="none" w:sz="0" w:space="0" w:color="auto"/>
        <w:right w:val="none" w:sz="0" w:space="0" w:color="auto"/>
      </w:divBdr>
    </w:div>
    <w:div w:id="2100634114">
      <w:bodyDiv w:val="1"/>
      <w:marLeft w:val="0"/>
      <w:marRight w:val="0"/>
      <w:marTop w:val="0"/>
      <w:marBottom w:val="0"/>
      <w:divBdr>
        <w:top w:val="none" w:sz="0" w:space="0" w:color="auto"/>
        <w:left w:val="none" w:sz="0" w:space="0" w:color="auto"/>
        <w:bottom w:val="none" w:sz="0" w:space="0" w:color="auto"/>
        <w:right w:val="none" w:sz="0" w:space="0" w:color="auto"/>
      </w:divBdr>
    </w:div>
    <w:div w:id="2101680475">
      <w:bodyDiv w:val="1"/>
      <w:marLeft w:val="0"/>
      <w:marRight w:val="0"/>
      <w:marTop w:val="0"/>
      <w:marBottom w:val="0"/>
      <w:divBdr>
        <w:top w:val="none" w:sz="0" w:space="0" w:color="auto"/>
        <w:left w:val="none" w:sz="0" w:space="0" w:color="auto"/>
        <w:bottom w:val="none" w:sz="0" w:space="0" w:color="auto"/>
        <w:right w:val="none" w:sz="0" w:space="0" w:color="auto"/>
      </w:divBdr>
    </w:div>
    <w:div w:id="2101872186">
      <w:bodyDiv w:val="1"/>
      <w:marLeft w:val="0"/>
      <w:marRight w:val="0"/>
      <w:marTop w:val="0"/>
      <w:marBottom w:val="0"/>
      <w:divBdr>
        <w:top w:val="none" w:sz="0" w:space="0" w:color="auto"/>
        <w:left w:val="none" w:sz="0" w:space="0" w:color="auto"/>
        <w:bottom w:val="none" w:sz="0" w:space="0" w:color="auto"/>
        <w:right w:val="none" w:sz="0" w:space="0" w:color="auto"/>
      </w:divBdr>
    </w:div>
    <w:div w:id="2101903157">
      <w:bodyDiv w:val="1"/>
      <w:marLeft w:val="0"/>
      <w:marRight w:val="0"/>
      <w:marTop w:val="0"/>
      <w:marBottom w:val="0"/>
      <w:divBdr>
        <w:top w:val="none" w:sz="0" w:space="0" w:color="auto"/>
        <w:left w:val="none" w:sz="0" w:space="0" w:color="auto"/>
        <w:bottom w:val="none" w:sz="0" w:space="0" w:color="auto"/>
        <w:right w:val="none" w:sz="0" w:space="0" w:color="auto"/>
      </w:divBdr>
    </w:div>
    <w:div w:id="2102219028">
      <w:bodyDiv w:val="1"/>
      <w:marLeft w:val="0"/>
      <w:marRight w:val="0"/>
      <w:marTop w:val="0"/>
      <w:marBottom w:val="0"/>
      <w:divBdr>
        <w:top w:val="none" w:sz="0" w:space="0" w:color="auto"/>
        <w:left w:val="none" w:sz="0" w:space="0" w:color="auto"/>
        <w:bottom w:val="none" w:sz="0" w:space="0" w:color="auto"/>
        <w:right w:val="none" w:sz="0" w:space="0" w:color="auto"/>
      </w:divBdr>
    </w:div>
    <w:div w:id="2103186008">
      <w:bodyDiv w:val="1"/>
      <w:marLeft w:val="0"/>
      <w:marRight w:val="0"/>
      <w:marTop w:val="0"/>
      <w:marBottom w:val="0"/>
      <w:divBdr>
        <w:top w:val="none" w:sz="0" w:space="0" w:color="auto"/>
        <w:left w:val="none" w:sz="0" w:space="0" w:color="auto"/>
        <w:bottom w:val="none" w:sz="0" w:space="0" w:color="auto"/>
        <w:right w:val="none" w:sz="0" w:space="0" w:color="auto"/>
      </w:divBdr>
    </w:div>
    <w:div w:id="2105300762">
      <w:bodyDiv w:val="1"/>
      <w:marLeft w:val="0"/>
      <w:marRight w:val="0"/>
      <w:marTop w:val="0"/>
      <w:marBottom w:val="0"/>
      <w:divBdr>
        <w:top w:val="none" w:sz="0" w:space="0" w:color="auto"/>
        <w:left w:val="none" w:sz="0" w:space="0" w:color="auto"/>
        <w:bottom w:val="none" w:sz="0" w:space="0" w:color="auto"/>
        <w:right w:val="none" w:sz="0" w:space="0" w:color="auto"/>
      </w:divBdr>
    </w:div>
    <w:div w:id="2106074203">
      <w:bodyDiv w:val="1"/>
      <w:marLeft w:val="0"/>
      <w:marRight w:val="0"/>
      <w:marTop w:val="0"/>
      <w:marBottom w:val="0"/>
      <w:divBdr>
        <w:top w:val="none" w:sz="0" w:space="0" w:color="auto"/>
        <w:left w:val="none" w:sz="0" w:space="0" w:color="auto"/>
        <w:bottom w:val="none" w:sz="0" w:space="0" w:color="auto"/>
        <w:right w:val="none" w:sz="0" w:space="0" w:color="auto"/>
      </w:divBdr>
    </w:div>
    <w:div w:id="2106294211">
      <w:bodyDiv w:val="1"/>
      <w:marLeft w:val="0"/>
      <w:marRight w:val="0"/>
      <w:marTop w:val="0"/>
      <w:marBottom w:val="0"/>
      <w:divBdr>
        <w:top w:val="none" w:sz="0" w:space="0" w:color="auto"/>
        <w:left w:val="none" w:sz="0" w:space="0" w:color="auto"/>
        <w:bottom w:val="none" w:sz="0" w:space="0" w:color="auto"/>
        <w:right w:val="none" w:sz="0" w:space="0" w:color="auto"/>
      </w:divBdr>
    </w:div>
    <w:div w:id="2106344436">
      <w:bodyDiv w:val="1"/>
      <w:marLeft w:val="0"/>
      <w:marRight w:val="0"/>
      <w:marTop w:val="0"/>
      <w:marBottom w:val="0"/>
      <w:divBdr>
        <w:top w:val="none" w:sz="0" w:space="0" w:color="auto"/>
        <w:left w:val="none" w:sz="0" w:space="0" w:color="auto"/>
        <w:bottom w:val="none" w:sz="0" w:space="0" w:color="auto"/>
        <w:right w:val="none" w:sz="0" w:space="0" w:color="auto"/>
      </w:divBdr>
    </w:div>
    <w:div w:id="2106882777">
      <w:bodyDiv w:val="1"/>
      <w:marLeft w:val="0"/>
      <w:marRight w:val="0"/>
      <w:marTop w:val="0"/>
      <w:marBottom w:val="0"/>
      <w:divBdr>
        <w:top w:val="none" w:sz="0" w:space="0" w:color="auto"/>
        <w:left w:val="none" w:sz="0" w:space="0" w:color="auto"/>
        <w:bottom w:val="none" w:sz="0" w:space="0" w:color="auto"/>
        <w:right w:val="none" w:sz="0" w:space="0" w:color="auto"/>
      </w:divBdr>
    </w:div>
    <w:div w:id="2107648564">
      <w:bodyDiv w:val="1"/>
      <w:marLeft w:val="0"/>
      <w:marRight w:val="0"/>
      <w:marTop w:val="0"/>
      <w:marBottom w:val="0"/>
      <w:divBdr>
        <w:top w:val="none" w:sz="0" w:space="0" w:color="auto"/>
        <w:left w:val="none" w:sz="0" w:space="0" w:color="auto"/>
        <w:bottom w:val="none" w:sz="0" w:space="0" w:color="auto"/>
        <w:right w:val="none" w:sz="0" w:space="0" w:color="auto"/>
      </w:divBdr>
    </w:div>
    <w:div w:id="2108112508">
      <w:bodyDiv w:val="1"/>
      <w:marLeft w:val="0"/>
      <w:marRight w:val="0"/>
      <w:marTop w:val="0"/>
      <w:marBottom w:val="0"/>
      <w:divBdr>
        <w:top w:val="none" w:sz="0" w:space="0" w:color="auto"/>
        <w:left w:val="none" w:sz="0" w:space="0" w:color="auto"/>
        <w:bottom w:val="none" w:sz="0" w:space="0" w:color="auto"/>
        <w:right w:val="none" w:sz="0" w:space="0" w:color="auto"/>
      </w:divBdr>
    </w:div>
    <w:div w:id="2108382095">
      <w:bodyDiv w:val="1"/>
      <w:marLeft w:val="0"/>
      <w:marRight w:val="0"/>
      <w:marTop w:val="0"/>
      <w:marBottom w:val="0"/>
      <w:divBdr>
        <w:top w:val="none" w:sz="0" w:space="0" w:color="auto"/>
        <w:left w:val="none" w:sz="0" w:space="0" w:color="auto"/>
        <w:bottom w:val="none" w:sz="0" w:space="0" w:color="auto"/>
        <w:right w:val="none" w:sz="0" w:space="0" w:color="auto"/>
      </w:divBdr>
    </w:div>
    <w:div w:id="2108839843">
      <w:bodyDiv w:val="1"/>
      <w:marLeft w:val="0"/>
      <w:marRight w:val="0"/>
      <w:marTop w:val="0"/>
      <w:marBottom w:val="0"/>
      <w:divBdr>
        <w:top w:val="none" w:sz="0" w:space="0" w:color="auto"/>
        <w:left w:val="none" w:sz="0" w:space="0" w:color="auto"/>
        <w:bottom w:val="none" w:sz="0" w:space="0" w:color="auto"/>
        <w:right w:val="none" w:sz="0" w:space="0" w:color="auto"/>
      </w:divBdr>
    </w:div>
    <w:div w:id="2109228259">
      <w:bodyDiv w:val="1"/>
      <w:marLeft w:val="0"/>
      <w:marRight w:val="0"/>
      <w:marTop w:val="0"/>
      <w:marBottom w:val="0"/>
      <w:divBdr>
        <w:top w:val="none" w:sz="0" w:space="0" w:color="auto"/>
        <w:left w:val="none" w:sz="0" w:space="0" w:color="auto"/>
        <w:bottom w:val="none" w:sz="0" w:space="0" w:color="auto"/>
        <w:right w:val="none" w:sz="0" w:space="0" w:color="auto"/>
      </w:divBdr>
    </w:div>
    <w:div w:id="2109957260">
      <w:bodyDiv w:val="1"/>
      <w:marLeft w:val="0"/>
      <w:marRight w:val="0"/>
      <w:marTop w:val="0"/>
      <w:marBottom w:val="0"/>
      <w:divBdr>
        <w:top w:val="none" w:sz="0" w:space="0" w:color="auto"/>
        <w:left w:val="none" w:sz="0" w:space="0" w:color="auto"/>
        <w:bottom w:val="none" w:sz="0" w:space="0" w:color="auto"/>
        <w:right w:val="none" w:sz="0" w:space="0" w:color="auto"/>
      </w:divBdr>
    </w:div>
    <w:div w:id="2110008855">
      <w:bodyDiv w:val="1"/>
      <w:marLeft w:val="0"/>
      <w:marRight w:val="0"/>
      <w:marTop w:val="0"/>
      <w:marBottom w:val="0"/>
      <w:divBdr>
        <w:top w:val="none" w:sz="0" w:space="0" w:color="auto"/>
        <w:left w:val="none" w:sz="0" w:space="0" w:color="auto"/>
        <w:bottom w:val="none" w:sz="0" w:space="0" w:color="auto"/>
        <w:right w:val="none" w:sz="0" w:space="0" w:color="auto"/>
      </w:divBdr>
    </w:div>
    <w:div w:id="2110418892">
      <w:bodyDiv w:val="1"/>
      <w:marLeft w:val="0"/>
      <w:marRight w:val="0"/>
      <w:marTop w:val="0"/>
      <w:marBottom w:val="0"/>
      <w:divBdr>
        <w:top w:val="none" w:sz="0" w:space="0" w:color="auto"/>
        <w:left w:val="none" w:sz="0" w:space="0" w:color="auto"/>
        <w:bottom w:val="none" w:sz="0" w:space="0" w:color="auto"/>
        <w:right w:val="none" w:sz="0" w:space="0" w:color="auto"/>
      </w:divBdr>
    </w:div>
    <w:div w:id="2112048283">
      <w:bodyDiv w:val="1"/>
      <w:marLeft w:val="0"/>
      <w:marRight w:val="0"/>
      <w:marTop w:val="0"/>
      <w:marBottom w:val="0"/>
      <w:divBdr>
        <w:top w:val="none" w:sz="0" w:space="0" w:color="auto"/>
        <w:left w:val="none" w:sz="0" w:space="0" w:color="auto"/>
        <w:bottom w:val="none" w:sz="0" w:space="0" w:color="auto"/>
        <w:right w:val="none" w:sz="0" w:space="0" w:color="auto"/>
      </w:divBdr>
    </w:div>
    <w:div w:id="2112116114">
      <w:bodyDiv w:val="1"/>
      <w:marLeft w:val="0"/>
      <w:marRight w:val="0"/>
      <w:marTop w:val="0"/>
      <w:marBottom w:val="0"/>
      <w:divBdr>
        <w:top w:val="none" w:sz="0" w:space="0" w:color="auto"/>
        <w:left w:val="none" w:sz="0" w:space="0" w:color="auto"/>
        <w:bottom w:val="none" w:sz="0" w:space="0" w:color="auto"/>
        <w:right w:val="none" w:sz="0" w:space="0" w:color="auto"/>
      </w:divBdr>
    </w:div>
    <w:div w:id="2112432171">
      <w:bodyDiv w:val="1"/>
      <w:marLeft w:val="0"/>
      <w:marRight w:val="0"/>
      <w:marTop w:val="0"/>
      <w:marBottom w:val="0"/>
      <w:divBdr>
        <w:top w:val="none" w:sz="0" w:space="0" w:color="auto"/>
        <w:left w:val="none" w:sz="0" w:space="0" w:color="auto"/>
        <w:bottom w:val="none" w:sz="0" w:space="0" w:color="auto"/>
        <w:right w:val="none" w:sz="0" w:space="0" w:color="auto"/>
      </w:divBdr>
    </w:div>
    <w:div w:id="2114666580">
      <w:bodyDiv w:val="1"/>
      <w:marLeft w:val="0"/>
      <w:marRight w:val="0"/>
      <w:marTop w:val="0"/>
      <w:marBottom w:val="0"/>
      <w:divBdr>
        <w:top w:val="none" w:sz="0" w:space="0" w:color="auto"/>
        <w:left w:val="none" w:sz="0" w:space="0" w:color="auto"/>
        <w:bottom w:val="none" w:sz="0" w:space="0" w:color="auto"/>
        <w:right w:val="none" w:sz="0" w:space="0" w:color="auto"/>
      </w:divBdr>
    </w:div>
    <w:div w:id="2116290298">
      <w:bodyDiv w:val="1"/>
      <w:marLeft w:val="0"/>
      <w:marRight w:val="0"/>
      <w:marTop w:val="0"/>
      <w:marBottom w:val="0"/>
      <w:divBdr>
        <w:top w:val="none" w:sz="0" w:space="0" w:color="auto"/>
        <w:left w:val="none" w:sz="0" w:space="0" w:color="auto"/>
        <w:bottom w:val="none" w:sz="0" w:space="0" w:color="auto"/>
        <w:right w:val="none" w:sz="0" w:space="0" w:color="auto"/>
      </w:divBdr>
    </w:div>
    <w:div w:id="2117358600">
      <w:bodyDiv w:val="1"/>
      <w:marLeft w:val="0"/>
      <w:marRight w:val="0"/>
      <w:marTop w:val="0"/>
      <w:marBottom w:val="0"/>
      <w:divBdr>
        <w:top w:val="none" w:sz="0" w:space="0" w:color="auto"/>
        <w:left w:val="none" w:sz="0" w:space="0" w:color="auto"/>
        <w:bottom w:val="none" w:sz="0" w:space="0" w:color="auto"/>
        <w:right w:val="none" w:sz="0" w:space="0" w:color="auto"/>
      </w:divBdr>
    </w:div>
    <w:div w:id="2117359581">
      <w:bodyDiv w:val="1"/>
      <w:marLeft w:val="0"/>
      <w:marRight w:val="0"/>
      <w:marTop w:val="0"/>
      <w:marBottom w:val="0"/>
      <w:divBdr>
        <w:top w:val="none" w:sz="0" w:space="0" w:color="auto"/>
        <w:left w:val="none" w:sz="0" w:space="0" w:color="auto"/>
        <w:bottom w:val="none" w:sz="0" w:space="0" w:color="auto"/>
        <w:right w:val="none" w:sz="0" w:space="0" w:color="auto"/>
      </w:divBdr>
    </w:div>
    <w:div w:id="2119181064">
      <w:bodyDiv w:val="1"/>
      <w:marLeft w:val="0"/>
      <w:marRight w:val="0"/>
      <w:marTop w:val="0"/>
      <w:marBottom w:val="0"/>
      <w:divBdr>
        <w:top w:val="none" w:sz="0" w:space="0" w:color="auto"/>
        <w:left w:val="none" w:sz="0" w:space="0" w:color="auto"/>
        <w:bottom w:val="none" w:sz="0" w:space="0" w:color="auto"/>
        <w:right w:val="none" w:sz="0" w:space="0" w:color="auto"/>
      </w:divBdr>
    </w:div>
    <w:div w:id="2119256736">
      <w:bodyDiv w:val="1"/>
      <w:marLeft w:val="0"/>
      <w:marRight w:val="0"/>
      <w:marTop w:val="0"/>
      <w:marBottom w:val="0"/>
      <w:divBdr>
        <w:top w:val="none" w:sz="0" w:space="0" w:color="auto"/>
        <w:left w:val="none" w:sz="0" w:space="0" w:color="auto"/>
        <w:bottom w:val="none" w:sz="0" w:space="0" w:color="auto"/>
        <w:right w:val="none" w:sz="0" w:space="0" w:color="auto"/>
      </w:divBdr>
    </w:div>
    <w:div w:id="2119369345">
      <w:bodyDiv w:val="1"/>
      <w:marLeft w:val="0"/>
      <w:marRight w:val="0"/>
      <w:marTop w:val="0"/>
      <w:marBottom w:val="0"/>
      <w:divBdr>
        <w:top w:val="none" w:sz="0" w:space="0" w:color="auto"/>
        <w:left w:val="none" w:sz="0" w:space="0" w:color="auto"/>
        <w:bottom w:val="none" w:sz="0" w:space="0" w:color="auto"/>
        <w:right w:val="none" w:sz="0" w:space="0" w:color="auto"/>
      </w:divBdr>
    </w:div>
    <w:div w:id="2120224511">
      <w:bodyDiv w:val="1"/>
      <w:marLeft w:val="0"/>
      <w:marRight w:val="0"/>
      <w:marTop w:val="0"/>
      <w:marBottom w:val="0"/>
      <w:divBdr>
        <w:top w:val="none" w:sz="0" w:space="0" w:color="auto"/>
        <w:left w:val="none" w:sz="0" w:space="0" w:color="auto"/>
        <w:bottom w:val="none" w:sz="0" w:space="0" w:color="auto"/>
        <w:right w:val="none" w:sz="0" w:space="0" w:color="auto"/>
      </w:divBdr>
    </w:div>
    <w:div w:id="2120372451">
      <w:bodyDiv w:val="1"/>
      <w:marLeft w:val="0"/>
      <w:marRight w:val="0"/>
      <w:marTop w:val="0"/>
      <w:marBottom w:val="0"/>
      <w:divBdr>
        <w:top w:val="none" w:sz="0" w:space="0" w:color="auto"/>
        <w:left w:val="none" w:sz="0" w:space="0" w:color="auto"/>
        <w:bottom w:val="none" w:sz="0" w:space="0" w:color="auto"/>
        <w:right w:val="none" w:sz="0" w:space="0" w:color="auto"/>
      </w:divBdr>
    </w:div>
    <w:div w:id="2120559944">
      <w:bodyDiv w:val="1"/>
      <w:marLeft w:val="0"/>
      <w:marRight w:val="0"/>
      <w:marTop w:val="0"/>
      <w:marBottom w:val="0"/>
      <w:divBdr>
        <w:top w:val="none" w:sz="0" w:space="0" w:color="auto"/>
        <w:left w:val="none" w:sz="0" w:space="0" w:color="auto"/>
        <w:bottom w:val="none" w:sz="0" w:space="0" w:color="auto"/>
        <w:right w:val="none" w:sz="0" w:space="0" w:color="auto"/>
      </w:divBdr>
    </w:div>
    <w:div w:id="2120684931">
      <w:bodyDiv w:val="1"/>
      <w:marLeft w:val="0"/>
      <w:marRight w:val="0"/>
      <w:marTop w:val="0"/>
      <w:marBottom w:val="0"/>
      <w:divBdr>
        <w:top w:val="none" w:sz="0" w:space="0" w:color="auto"/>
        <w:left w:val="none" w:sz="0" w:space="0" w:color="auto"/>
        <w:bottom w:val="none" w:sz="0" w:space="0" w:color="auto"/>
        <w:right w:val="none" w:sz="0" w:space="0" w:color="auto"/>
      </w:divBdr>
    </w:div>
    <w:div w:id="2120754833">
      <w:bodyDiv w:val="1"/>
      <w:marLeft w:val="0"/>
      <w:marRight w:val="0"/>
      <w:marTop w:val="0"/>
      <w:marBottom w:val="0"/>
      <w:divBdr>
        <w:top w:val="none" w:sz="0" w:space="0" w:color="auto"/>
        <w:left w:val="none" w:sz="0" w:space="0" w:color="auto"/>
        <w:bottom w:val="none" w:sz="0" w:space="0" w:color="auto"/>
        <w:right w:val="none" w:sz="0" w:space="0" w:color="auto"/>
      </w:divBdr>
    </w:div>
    <w:div w:id="2121024616">
      <w:bodyDiv w:val="1"/>
      <w:marLeft w:val="0"/>
      <w:marRight w:val="0"/>
      <w:marTop w:val="0"/>
      <w:marBottom w:val="0"/>
      <w:divBdr>
        <w:top w:val="none" w:sz="0" w:space="0" w:color="auto"/>
        <w:left w:val="none" w:sz="0" w:space="0" w:color="auto"/>
        <w:bottom w:val="none" w:sz="0" w:space="0" w:color="auto"/>
        <w:right w:val="none" w:sz="0" w:space="0" w:color="auto"/>
      </w:divBdr>
    </w:div>
    <w:div w:id="2121027914">
      <w:bodyDiv w:val="1"/>
      <w:marLeft w:val="0"/>
      <w:marRight w:val="0"/>
      <w:marTop w:val="0"/>
      <w:marBottom w:val="0"/>
      <w:divBdr>
        <w:top w:val="none" w:sz="0" w:space="0" w:color="auto"/>
        <w:left w:val="none" w:sz="0" w:space="0" w:color="auto"/>
        <w:bottom w:val="none" w:sz="0" w:space="0" w:color="auto"/>
        <w:right w:val="none" w:sz="0" w:space="0" w:color="auto"/>
      </w:divBdr>
    </w:div>
    <w:div w:id="2121139641">
      <w:bodyDiv w:val="1"/>
      <w:marLeft w:val="0"/>
      <w:marRight w:val="0"/>
      <w:marTop w:val="0"/>
      <w:marBottom w:val="0"/>
      <w:divBdr>
        <w:top w:val="none" w:sz="0" w:space="0" w:color="auto"/>
        <w:left w:val="none" w:sz="0" w:space="0" w:color="auto"/>
        <w:bottom w:val="none" w:sz="0" w:space="0" w:color="auto"/>
        <w:right w:val="none" w:sz="0" w:space="0" w:color="auto"/>
      </w:divBdr>
    </w:div>
    <w:div w:id="2121757010">
      <w:bodyDiv w:val="1"/>
      <w:marLeft w:val="0"/>
      <w:marRight w:val="0"/>
      <w:marTop w:val="0"/>
      <w:marBottom w:val="0"/>
      <w:divBdr>
        <w:top w:val="none" w:sz="0" w:space="0" w:color="auto"/>
        <w:left w:val="none" w:sz="0" w:space="0" w:color="auto"/>
        <w:bottom w:val="none" w:sz="0" w:space="0" w:color="auto"/>
        <w:right w:val="none" w:sz="0" w:space="0" w:color="auto"/>
      </w:divBdr>
    </w:div>
    <w:div w:id="2122336458">
      <w:bodyDiv w:val="1"/>
      <w:marLeft w:val="0"/>
      <w:marRight w:val="0"/>
      <w:marTop w:val="0"/>
      <w:marBottom w:val="0"/>
      <w:divBdr>
        <w:top w:val="none" w:sz="0" w:space="0" w:color="auto"/>
        <w:left w:val="none" w:sz="0" w:space="0" w:color="auto"/>
        <w:bottom w:val="none" w:sz="0" w:space="0" w:color="auto"/>
        <w:right w:val="none" w:sz="0" w:space="0" w:color="auto"/>
      </w:divBdr>
    </w:div>
    <w:div w:id="2122414849">
      <w:bodyDiv w:val="1"/>
      <w:marLeft w:val="0"/>
      <w:marRight w:val="0"/>
      <w:marTop w:val="0"/>
      <w:marBottom w:val="0"/>
      <w:divBdr>
        <w:top w:val="none" w:sz="0" w:space="0" w:color="auto"/>
        <w:left w:val="none" w:sz="0" w:space="0" w:color="auto"/>
        <w:bottom w:val="none" w:sz="0" w:space="0" w:color="auto"/>
        <w:right w:val="none" w:sz="0" w:space="0" w:color="auto"/>
      </w:divBdr>
    </w:div>
    <w:div w:id="2123070469">
      <w:bodyDiv w:val="1"/>
      <w:marLeft w:val="0"/>
      <w:marRight w:val="0"/>
      <w:marTop w:val="0"/>
      <w:marBottom w:val="0"/>
      <w:divBdr>
        <w:top w:val="none" w:sz="0" w:space="0" w:color="auto"/>
        <w:left w:val="none" w:sz="0" w:space="0" w:color="auto"/>
        <w:bottom w:val="none" w:sz="0" w:space="0" w:color="auto"/>
        <w:right w:val="none" w:sz="0" w:space="0" w:color="auto"/>
      </w:divBdr>
    </w:div>
    <w:div w:id="2123111115">
      <w:bodyDiv w:val="1"/>
      <w:marLeft w:val="0"/>
      <w:marRight w:val="0"/>
      <w:marTop w:val="0"/>
      <w:marBottom w:val="0"/>
      <w:divBdr>
        <w:top w:val="none" w:sz="0" w:space="0" w:color="auto"/>
        <w:left w:val="none" w:sz="0" w:space="0" w:color="auto"/>
        <w:bottom w:val="none" w:sz="0" w:space="0" w:color="auto"/>
        <w:right w:val="none" w:sz="0" w:space="0" w:color="auto"/>
      </w:divBdr>
    </w:div>
    <w:div w:id="2123303051">
      <w:bodyDiv w:val="1"/>
      <w:marLeft w:val="0"/>
      <w:marRight w:val="0"/>
      <w:marTop w:val="0"/>
      <w:marBottom w:val="0"/>
      <w:divBdr>
        <w:top w:val="none" w:sz="0" w:space="0" w:color="auto"/>
        <w:left w:val="none" w:sz="0" w:space="0" w:color="auto"/>
        <w:bottom w:val="none" w:sz="0" w:space="0" w:color="auto"/>
        <w:right w:val="none" w:sz="0" w:space="0" w:color="auto"/>
      </w:divBdr>
    </w:div>
    <w:div w:id="2123840906">
      <w:bodyDiv w:val="1"/>
      <w:marLeft w:val="0"/>
      <w:marRight w:val="0"/>
      <w:marTop w:val="0"/>
      <w:marBottom w:val="0"/>
      <w:divBdr>
        <w:top w:val="none" w:sz="0" w:space="0" w:color="auto"/>
        <w:left w:val="none" w:sz="0" w:space="0" w:color="auto"/>
        <w:bottom w:val="none" w:sz="0" w:space="0" w:color="auto"/>
        <w:right w:val="none" w:sz="0" w:space="0" w:color="auto"/>
      </w:divBdr>
    </w:div>
    <w:div w:id="2124496963">
      <w:bodyDiv w:val="1"/>
      <w:marLeft w:val="0"/>
      <w:marRight w:val="0"/>
      <w:marTop w:val="0"/>
      <w:marBottom w:val="0"/>
      <w:divBdr>
        <w:top w:val="none" w:sz="0" w:space="0" w:color="auto"/>
        <w:left w:val="none" w:sz="0" w:space="0" w:color="auto"/>
        <w:bottom w:val="none" w:sz="0" w:space="0" w:color="auto"/>
        <w:right w:val="none" w:sz="0" w:space="0" w:color="auto"/>
      </w:divBdr>
    </w:div>
    <w:div w:id="2124498095">
      <w:bodyDiv w:val="1"/>
      <w:marLeft w:val="0"/>
      <w:marRight w:val="0"/>
      <w:marTop w:val="0"/>
      <w:marBottom w:val="0"/>
      <w:divBdr>
        <w:top w:val="none" w:sz="0" w:space="0" w:color="auto"/>
        <w:left w:val="none" w:sz="0" w:space="0" w:color="auto"/>
        <w:bottom w:val="none" w:sz="0" w:space="0" w:color="auto"/>
        <w:right w:val="none" w:sz="0" w:space="0" w:color="auto"/>
      </w:divBdr>
    </w:div>
    <w:div w:id="2125073111">
      <w:bodyDiv w:val="1"/>
      <w:marLeft w:val="0"/>
      <w:marRight w:val="0"/>
      <w:marTop w:val="0"/>
      <w:marBottom w:val="0"/>
      <w:divBdr>
        <w:top w:val="none" w:sz="0" w:space="0" w:color="auto"/>
        <w:left w:val="none" w:sz="0" w:space="0" w:color="auto"/>
        <w:bottom w:val="none" w:sz="0" w:space="0" w:color="auto"/>
        <w:right w:val="none" w:sz="0" w:space="0" w:color="auto"/>
      </w:divBdr>
    </w:div>
    <w:div w:id="2125230615">
      <w:bodyDiv w:val="1"/>
      <w:marLeft w:val="0"/>
      <w:marRight w:val="0"/>
      <w:marTop w:val="0"/>
      <w:marBottom w:val="0"/>
      <w:divBdr>
        <w:top w:val="none" w:sz="0" w:space="0" w:color="auto"/>
        <w:left w:val="none" w:sz="0" w:space="0" w:color="auto"/>
        <w:bottom w:val="none" w:sz="0" w:space="0" w:color="auto"/>
        <w:right w:val="none" w:sz="0" w:space="0" w:color="auto"/>
      </w:divBdr>
      <w:divsChild>
        <w:div w:id="905148941">
          <w:marLeft w:val="0"/>
          <w:marRight w:val="0"/>
          <w:marTop w:val="0"/>
          <w:marBottom w:val="0"/>
          <w:divBdr>
            <w:top w:val="none" w:sz="0" w:space="0" w:color="auto"/>
            <w:left w:val="none" w:sz="0" w:space="0" w:color="auto"/>
            <w:bottom w:val="none" w:sz="0" w:space="0" w:color="auto"/>
            <w:right w:val="none" w:sz="0" w:space="0" w:color="auto"/>
          </w:divBdr>
        </w:div>
      </w:divsChild>
    </w:div>
    <w:div w:id="2125876969">
      <w:bodyDiv w:val="1"/>
      <w:marLeft w:val="0"/>
      <w:marRight w:val="0"/>
      <w:marTop w:val="0"/>
      <w:marBottom w:val="0"/>
      <w:divBdr>
        <w:top w:val="none" w:sz="0" w:space="0" w:color="auto"/>
        <w:left w:val="none" w:sz="0" w:space="0" w:color="auto"/>
        <w:bottom w:val="none" w:sz="0" w:space="0" w:color="auto"/>
        <w:right w:val="none" w:sz="0" w:space="0" w:color="auto"/>
      </w:divBdr>
    </w:div>
    <w:div w:id="2126072775">
      <w:bodyDiv w:val="1"/>
      <w:marLeft w:val="0"/>
      <w:marRight w:val="0"/>
      <w:marTop w:val="0"/>
      <w:marBottom w:val="0"/>
      <w:divBdr>
        <w:top w:val="none" w:sz="0" w:space="0" w:color="auto"/>
        <w:left w:val="none" w:sz="0" w:space="0" w:color="auto"/>
        <w:bottom w:val="none" w:sz="0" w:space="0" w:color="auto"/>
        <w:right w:val="none" w:sz="0" w:space="0" w:color="auto"/>
      </w:divBdr>
    </w:div>
    <w:div w:id="2126147018">
      <w:bodyDiv w:val="1"/>
      <w:marLeft w:val="0"/>
      <w:marRight w:val="0"/>
      <w:marTop w:val="0"/>
      <w:marBottom w:val="0"/>
      <w:divBdr>
        <w:top w:val="none" w:sz="0" w:space="0" w:color="auto"/>
        <w:left w:val="none" w:sz="0" w:space="0" w:color="auto"/>
        <w:bottom w:val="none" w:sz="0" w:space="0" w:color="auto"/>
        <w:right w:val="none" w:sz="0" w:space="0" w:color="auto"/>
      </w:divBdr>
    </w:div>
    <w:div w:id="2126264508">
      <w:bodyDiv w:val="1"/>
      <w:marLeft w:val="0"/>
      <w:marRight w:val="0"/>
      <w:marTop w:val="0"/>
      <w:marBottom w:val="0"/>
      <w:divBdr>
        <w:top w:val="none" w:sz="0" w:space="0" w:color="auto"/>
        <w:left w:val="none" w:sz="0" w:space="0" w:color="auto"/>
        <w:bottom w:val="none" w:sz="0" w:space="0" w:color="auto"/>
        <w:right w:val="none" w:sz="0" w:space="0" w:color="auto"/>
      </w:divBdr>
    </w:div>
    <w:div w:id="2126340926">
      <w:bodyDiv w:val="1"/>
      <w:marLeft w:val="0"/>
      <w:marRight w:val="0"/>
      <w:marTop w:val="0"/>
      <w:marBottom w:val="0"/>
      <w:divBdr>
        <w:top w:val="none" w:sz="0" w:space="0" w:color="auto"/>
        <w:left w:val="none" w:sz="0" w:space="0" w:color="auto"/>
        <w:bottom w:val="none" w:sz="0" w:space="0" w:color="auto"/>
        <w:right w:val="none" w:sz="0" w:space="0" w:color="auto"/>
      </w:divBdr>
    </w:div>
    <w:div w:id="2126607325">
      <w:bodyDiv w:val="1"/>
      <w:marLeft w:val="0"/>
      <w:marRight w:val="0"/>
      <w:marTop w:val="0"/>
      <w:marBottom w:val="0"/>
      <w:divBdr>
        <w:top w:val="none" w:sz="0" w:space="0" w:color="auto"/>
        <w:left w:val="none" w:sz="0" w:space="0" w:color="auto"/>
        <w:bottom w:val="none" w:sz="0" w:space="0" w:color="auto"/>
        <w:right w:val="none" w:sz="0" w:space="0" w:color="auto"/>
      </w:divBdr>
    </w:div>
    <w:div w:id="2126998768">
      <w:bodyDiv w:val="1"/>
      <w:marLeft w:val="0"/>
      <w:marRight w:val="0"/>
      <w:marTop w:val="0"/>
      <w:marBottom w:val="0"/>
      <w:divBdr>
        <w:top w:val="none" w:sz="0" w:space="0" w:color="auto"/>
        <w:left w:val="none" w:sz="0" w:space="0" w:color="auto"/>
        <w:bottom w:val="none" w:sz="0" w:space="0" w:color="auto"/>
        <w:right w:val="none" w:sz="0" w:space="0" w:color="auto"/>
      </w:divBdr>
    </w:div>
    <w:div w:id="2127195097">
      <w:bodyDiv w:val="1"/>
      <w:marLeft w:val="0"/>
      <w:marRight w:val="0"/>
      <w:marTop w:val="0"/>
      <w:marBottom w:val="0"/>
      <w:divBdr>
        <w:top w:val="none" w:sz="0" w:space="0" w:color="auto"/>
        <w:left w:val="none" w:sz="0" w:space="0" w:color="auto"/>
        <w:bottom w:val="none" w:sz="0" w:space="0" w:color="auto"/>
        <w:right w:val="none" w:sz="0" w:space="0" w:color="auto"/>
      </w:divBdr>
    </w:div>
    <w:div w:id="2128036856">
      <w:bodyDiv w:val="1"/>
      <w:marLeft w:val="0"/>
      <w:marRight w:val="0"/>
      <w:marTop w:val="0"/>
      <w:marBottom w:val="0"/>
      <w:divBdr>
        <w:top w:val="none" w:sz="0" w:space="0" w:color="auto"/>
        <w:left w:val="none" w:sz="0" w:space="0" w:color="auto"/>
        <w:bottom w:val="none" w:sz="0" w:space="0" w:color="auto"/>
        <w:right w:val="none" w:sz="0" w:space="0" w:color="auto"/>
      </w:divBdr>
    </w:div>
    <w:div w:id="2129471175">
      <w:bodyDiv w:val="1"/>
      <w:marLeft w:val="0"/>
      <w:marRight w:val="0"/>
      <w:marTop w:val="0"/>
      <w:marBottom w:val="0"/>
      <w:divBdr>
        <w:top w:val="none" w:sz="0" w:space="0" w:color="auto"/>
        <w:left w:val="none" w:sz="0" w:space="0" w:color="auto"/>
        <w:bottom w:val="none" w:sz="0" w:space="0" w:color="auto"/>
        <w:right w:val="none" w:sz="0" w:space="0" w:color="auto"/>
      </w:divBdr>
    </w:div>
    <w:div w:id="2130588631">
      <w:bodyDiv w:val="1"/>
      <w:marLeft w:val="0"/>
      <w:marRight w:val="0"/>
      <w:marTop w:val="0"/>
      <w:marBottom w:val="0"/>
      <w:divBdr>
        <w:top w:val="none" w:sz="0" w:space="0" w:color="auto"/>
        <w:left w:val="none" w:sz="0" w:space="0" w:color="auto"/>
        <w:bottom w:val="none" w:sz="0" w:space="0" w:color="auto"/>
        <w:right w:val="none" w:sz="0" w:space="0" w:color="auto"/>
      </w:divBdr>
    </w:div>
    <w:div w:id="2131707777">
      <w:bodyDiv w:val="1"/>
      <w:marLeft w:val="0"/>
      <w:marRight w:val="0"/>
      <w:marTop w:val="0"/>
      <w:marBottom w:val="0"/>
      <w:divBdr>
        <w:top w:val="none" w:sz="0" w:space="0" w:color="auto"/>
        <w:left w:val="none" w:sz="0" w:space="0" w:color="auto"/>
        <w:bottom w:val="none" w:sz="0" w:space="0" w:color="auto"/>
        <w:right w:val="none" w:sz="0" w:space="0" w:color="auto"/>
      </w:divBdr>
    </w:div>
    <w:div w:id="2132170216">
      <w:bodyDiv w:val="1"/>
      <w:marLeft w:val="0"/>
      <w:marRight w:val="0"/>
      <w:marTop w:val="0"/>
      <w:marBottom w:val="0"/>
      <w:divBdr>
        <w:top w:val="none" w:sz="0" w:space="0" w:color="auto"/>
        <w:left w:val="none" w:sz="0" w:space="0" w:color="auto"/>
        <w:bottom w:val="none" w:sz="0" w:space="0" w:color="auto"/>
        <w:right w:val="none" w:sz="0" w:space="0" w:color="auto"/>
      </w:divBdr>
    </w:div>
    <w:div w:id="2132894686">
      <w:bodyDiv w:val="1"/>
      <w:marLeft w:val="0"/>
      <w:marRight w:val="0"/>
      <w:marTop w:val="0"/>
      <w:marBottom w:val="0"/>
      <w:divBdr>
        <w:top w:val="none" w:sz="0" w:space="0" w:color="auto"/>
        <w:left w:val="none" w:sz="0" w:space="0" w:color="auto"/>
        <w:bottom w:val="none" w:sz="0" w:space="0" w:color="auto"/>
        <w:right w:val="none" w:sz="0" w:space="0" w:color="auto"/>
      </w:divBdr>
    </w:div>
    <w:div w:id="2132895677">
      <w:bodyDiv w:val="1"/>
      <w:marLeft w:val="0"/>
      <w:marRight w:val="0"/>
      <w:marTop w:val="0"/>
      <w:marBottom w:val="0"/>
      <w:divBdr>
        <w:top w:val="none" w:sz="0" w:space="0" w:color="auto"/>
        <w:left w:val="none" w:sz="0" w:space="0" w:color="auto"/>
        <w:bottom w:val="none" w:sz="0" w:space="0" w:color="auto"/>
        <w:right w:val="none" w:sz="0" w:space="0" w:color="auto"/>
      </w:divBdr>
    </w:div>
    <w:div w:id="2135168897">
      <w:bodyDiv w:val="1"/>
      <w:marLeft w:val="0"/>
      <w:marRight w:val="0"/>
      <w:marTop w:val="0"/>
      <w:marBottom w:val="0"/>
      <w:divBdr>
        <w:top w:val="none" w:sz="0" w:space="0" w:color="auto"/>
        <w:left w:val="none" w:sz="0" w:space="0" w:color="auto"/>
        <w:bottom w:val="none" w:sz="0" w:space="0" w:color="auto"/>
        <w:right w:val="none" w:sz="0" w:space="0" w:color="auto"/>
      </w:divBdr>
    </w:div>
    <w:div w:id="2137410502">
      <w:bodyDiv w:val="1"/>
      <w:marLeft w:val="0"/>
      <w:marRight w:val="0"/>
      <w:marTop w:val="0"/>
      <w:marBottom w:val="0"/>
      <w:divBdr>
        <w:top w:val="none" w:sz="0" w:space="0" w:color="auto"/>
        <w:left w:val="none" w:sz="0" w:space="0" w:color="auto"/>
        <w:bottom w:val="none" w:sz="0" w:space="0" w:color="auto"/>
        <w:right w:val="none" w:sz="0" w:space="0" w:color="auto"/>
      </w:divBdr>
    </w:div>
    <w:div w:id="2138794104">
      <w:bodyDiv w:val="1"/>
      <w:marLeft w:val="0"/>
      <w:marRight w:val="0"/>
      <w:marTop w:val="0"/>
      <w:marBottom w:val="0"/>
      <w:divBdr>
        <w:top w:val="none" w:sz="0" w:space="0" w:color="auto"/>
        <w:left w:val="none" w:sz="0" w:space="0" w:color="auto"/>
        <w:bottom w:val="none" w:sz="0" w:space="0" w:color="auto"/>
        <w:right w:val="none" w:sz="0" w:space="0" w:color="auto"/>
      </w:divBdr>
    </w:div>
    <w:div w:id="2139377862">
      <w:bodyDiv w:val="1"/>
      <w:marLeft w:val="0"/>
      <w:marRight w:val="0"/>
      <w:marTop w:val="0"/>
      <w:marBottom w:val="0"/>
      <w:divBdr>
        <w:top w:val="none" w:sz="0" w:space="0" w:color="auto"/>
        <w:left w:val="none" w:sz="0" w:space="0" w:color="auto"/>
        <w:bottom w:val="none" w:sz="0" w:space="0" w:color="auto"/>
        <w:right w:val="none" w:sz="0" w:space="0" w:color="auto"/>
      </w:divBdr>
    </w:div>
    <w:div w:id="2139492236">
      <w:bodyDiv w:val="1"/>
      <w:marLeft w:val="0"/>
      <w:marRight w:val="0"/>
      <w:marTop w:val="0"/>
      <w:marBottom w:val="0"/>
      <w:divBdr>
        <w:top w:val="none" w:sz="0" w:space="0" w:color="auto"/>
        <w:left w:val="none" w:sz="0" w:space="0" w:color="auto"/>
        <w:bottom w:val="none" w:sz="0" w:space="0" w:color="auto"/>
        <w:right w:val="none" w:sz="0" w:space="0" w:color="auto"/>
      </w:divBdr>
    </w:div>
    <w:div w:id="2140302106">
      <w:bodyDiv w:val="1"/>
      <w:marLeft w:val="0"/>
      <w:marRight w:val="0"/>
      <w:marTop w:val="0"/>
      <w:marBottom w:val="0"/>
      <w:divBdr>
        <w:top w:val="none" w:sz="0" w:space="0" w:color="auto"/>
        <w:left w:val="none" w:sz="0" w:space="0" w:color="auto"/>
        <w:bottom w:val="none" w:sz="0" w:space="0" w:color="auto"/>
        <w:right w:val="none" w:sz="0" w:space="0" w:color="auto"/>
      </w:divBdr>
    </w:div>
    <w:div w:id="2140755866">
      <w:bodyDiv w:val="1"/>
      <w:marLeft w:val="0"/>
      <w:marRight w:val="0"/>
      <w:marTop w:val="0"/>
      <w:marBottom w:val="0"/>
      <w:divBdr>
        <w:top w:val="none" w:sz="0" w:space="0" w:color="auto"/>
        <w:left w:val="none" w:sz="0" w:space="0" w:color="auto"/>
        <w:bottom w:val="none" w:sz="0" w:space="0" w:color="auto"/>
        <w:right w:val="none" w:sz="0" w:space="0" w:color="auto"/>
      </w:divBdr>
    </w:div>
    <w:div w:id="2141262723">
      <w:bodyDiv w:val="1"/>
      <w:marLeft w:val="0"/>
      <w:marRight w:val="0"/>
      <w:marTop w:val="0"/>
      <w:marBottom w:val="0"/>
      <w:divBdr>
        <w:top w:val="none" w:sz="0" w:space="0" w:color="auto"/>
        <w:left w:val="none" w:sz="0" w:space="0" w:color="auto"/>
        <w:bottom w:val="none" w:sz="0" w:space="0" w:color="auto"/>
        <w:right w:val="none" w:sz="0" w:space="0" w:color="auto"/>
      </w:divBdr>
    </w:div>
    <w:div w:id="2141266772">
      <w:bodyDiv w:val="1"/>
      <w:marLeft w:val="0"/>
      <w:marRight w:val="0"/>
      <w:marTop w:val="0"/>
      <w:marBottom w:val="0"/>
      <w:divBdr>
        <w:top w:val="none" w:sz="0" w:space="0" w:color="auto"/>
        <w:left w:val="none" w:sz="0" w:space="0" w:color="auto"/>
        <w:bottom w:val="none" w:sz="0" w:space="0" w:color="auto"/>
        <w:right w:val="none" w:sz="0" w:space="0" w:color="auto"/>
      </w:divBdr>
    </w:div>
    <w:div w:id="2141486316">
      <w:bodyDiv w:val="1"/>
      <w:marLeft w:val="0"/>
      <w:marRight w:val="0"/>
      <w:marTop w:val="0"/>
      <w:marBottom w:val="0"/>
      <w:divBdr>
        <w:top w:val="none" w:sz="0" w:space="0" w:color="auto"/>
        <w:left w:val="none" w:sz="0" w:space="0" w:color="auto"/>
        <w:bottom w:val="none" w:sz="0" w:space="0" w:color="auto"/>
        <w:right w:val="none" w:sz="0" w:space="0" w:color="auto"/>
      </w:divBdr>
    </w:div>
    <w:div w:id="2143304902">
      <w:bodyDiv w:val="1"/>
      <w:marLeft w:val="0"/>
      <w:marRight w:val="0"/>
      <w:marTop w:val="0"/>
      <w:marBottom w:val="0"/>
      <w:divBdr>
        <w:top w:val="none" w:sz="0" w:space="0" w:color="auto"/>
        <w:left w:val="none" w:sz="0" w:space="0" w:color="auto"/>
        <w:bottom w:val="none" w:sz="0" w:space="0" w:color="auto"/>
        <w:right w:val="none" w:sz="0" w:space="0" w:color="auto"/>
      </w:divBdr>
    </w:div>
    <w:div w:id="2144030839">
      <w:bodyDiv w:val="1"/>
      <w:marLeft w:val="0"/>
      <w:marRight w:val="0"/>
      <w:marTop w:val="0"/>
      <w:marBottom w:val="0"/>
      <w:divBdr>
        <w:top w:val="none" w:sz="0" w:space="0" w:color="auto"/>
        <w:left w:val="none" w:sz="0" w:space="0" w:color="auto"/>
        <w:bottom w:val="none" w:sz="0" w:space="0" w:color="auto"/>
        <w:right w:val="none" w:sz="0" w:space="0" w:color="auto"/>
      </w:divBdr>
    </w:div>
    <w:div w:id="2144156586">
      <w:bodyDiv w:val="1"/>
      <w:marLeft w:val="0"/>
      <w:marRight w:val="0"/>
      <w:marTop w:val="0"/>
      <w:marBottom w:val="0"/>
      <w:divBdr>
        <w:top w:val="none" w:sz="0" w:space="0" w:color="auto"/>
        <w:left w:val="none" w:sz="0" w:space="0" w:color="auto"/>
        <w:bottom w:val="none" w:sz="0" w:space="0" w:color="auto"/>
        <w:right w:val="none" w:sz="0" w:space="0" w:color="auto"/>
      </w:divBdr>
    </w:div>
    <w:div w:id="2144615306">
      <w:bodyDiv w:val="1"/>
      <w:marLeft w:val="0"/>
      <w:marRight w:val="0"/>
      <w:marTop w:val="0"/>
      <w:marBottom w:val="0"/>
      <w:divBdr>
        <w:top w:val="none" w:sz="0" w:space="0" w:color="auto"/>
        <w:left w:val="none" w:sz="0" w:space="0" w:color="auto"/>
        <w:bottom w:val="none" w:sz="0" w:space="0" w:color="auto"/>
        <w:right w:val="none" w:sz="0" w:space="0" w:color="auto"/>
      </w:divBdr>
    </w:div>
    <w:div w:id="2145654978">
      <w:bodyDiv w:val="1"/>
      <w:marLeft w:val="0"/>
      <w:marRight w:val="0"/>
      <w:marTop w:val="0"/>
      <w:marBottom w:val="0"/>
      <w:divBdr>
        <w:top w:val="none" w:sz="0" w:space="0" w:color="auto"/>
        <w:left w:val="none" w:sz="0" w:space="0" w:color="auto"/>
        <w:bottom w:val="none" w:sz="0" w:space="0" w:color="auto"/>
        <w:right w:val="none" w:sz="0" w:space="0" w:color="auto"/>
      </w:divBdr>
    </w:div>
    <w:div w:id="2145999059">
      <w:bodyDiv w:val="1"/>
      <w:marLeft w:val="0"/>
      <w:marRight w:val="0"/>
      <w:marTop w:val="0"/>
      <w:marBottom w:val="0"/>
      <w:divBdr>
        <w:top w:val="none" w:sz="0" w:space="0" w:color="auto"/>
        <w:left w:val="none" w:sz="0" w:space="0" w:color="auto"/>
        <w:bottom w:val="none" w:sz="0" w:space="0" w:color="auto"/>
        <w:right w:val="none" w:sz="0" w:space="0" w:color="auto"/>
      </w:divBdr>
    </w:div>
    <w:div w:id="2146048508">
      <w:bodyDiv w:val="1"/>
      <w:marLeft w:val="0"/>
      <w:marRight w:val="0"/>
      <w:marTop w:val="0"/>
      <w:marBottom w:val="0"/>
      <w:divBdr>
        <w:top w:val="none" w:sz="0" w:space="0" w:color="auto"/>
        <w:left w:val="none" w:sz="0" w:space="0" w:color="auto"/>
        <w:bottom w:val="none" w:sz="0" w:space="0" w:color="auto"/>
        <w:right w:val="none" w:sz="0" w:space="0" w:color="auto"/>
      </w:divBdr>
    </w:div>
    <w:div w:id="2147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5.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footer" Target="footer22.xml"/><Relationship Id="rId68" Type="http://schemas.openxmlformats.org/officeDocument/2006/relationships/hyperlink" Target="http://www.previdencia.gov.br/a-previdencia/previc/legislacao-da-previdencia-complementar/" TargetMode="External"/><Relationship Id="rId84" Type="http://schemas.openxmlformats.org/officeDocument/2006/relationships/header" Target="header30.xml"/><Relationship Id="rId89" Type="http://schemas.openxmlformats.org/officeDocument/2006/relationships/footer" Target="footer32.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3.emf"/><Relationship Id="rId37" Type="http://schemas.openxmlformats.org/officeDocument/2006/relationships/header" Target="header10.xm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footer" Target="footer25.xml"/><Relationship Id="rId79" Type="http://schemas.openxmlformats.org/officeDocument/2006/relationships/header" Target="header28.xml"/><Relationship Id="rId5" Type="http://schemas.openxmlformats.org/officeDocument/2006/relationships/numbering" Target="numbering.xml"/><Relationship Id="rId90" Type="http://schemas.openxmlformats.org/officeDocument/2006/relationships/header" Target="header33.xml"/><Relationship Id="rId95" Type="http://schemas.openxmlformats.org/officeDocument/2006/relationships/footer" Target="footer35.xml"/><Relationship Id="rId22" Type="http://schemas.openxmlformats.org/officeDocument/2006/relationships/image" Target="media/image7.emf"/><Relationship Id="rId27" Type="http://schemas.openxmlformats.org/officeDocument/2006/relationships/footer" Target="footer6.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header" Target="header23.xml"/><Relationship Id="rId69" Type="http://schemas.openxmlformats.org/officeDocument/2006/relationships/hyperlink" Target="http://www.funcef.com.br" TargetMode="External"/><Relationship Id="rId80" Type="http://schemas.openxmlformats.org/officeDocument/2006/relationships/footer" Target="footer28.xml"/><Relationship Id="rId85" Type="http://schemas.openxmlformats.org/officeDocument/2006/relationships/footer" Target="footer3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header" Target="header21.xml"/><Relationship Id="rId67" Type="http://schemas.openxmlformats.org/officeDocument/2006/relationships/footer" Target="footer24.xml"/><Relationship Id="rId20" Type="http://schemas.openxmlformats.org/officeDocument/2006/relationships/header" Target="header5.xml"/><Relationship Id="rId41" Type="http://schemas.openxmlformats.org/officeDocument/2006/relationships/header" Target="header12.xml"/><Relationship Id="rId54" Type="http://schemas.openxmlformats.org/officeDocument/2006/relationships/footer" Target="footer18.xml"/><Relationship Id="rId62" Type="http://schemas.openxmlformats.org/officeDocument/2006/relationships/header" Target="header22.xml"/><Relationship Id="rId70" Type="http://schemas.openxmlformats.org/officeDocument/2006/relationships/hyperlink" Target="http://www.funcef.com.br/" TargetMode="External"/><Relationship Id="rId75" Type="http://schemas.openxmlformats.org/officeDocument/2006/relationships/header" Target="header26.xml"/><Relationship Id="rId83" Type="http://schemas.openxmlformats.org/officeDocument/2006/relationships/hyperlink" Target="https://www.caixa.gov.br/sustentabilidade/riscos-socioambientais/Paginas/default.aspx" TargetMode="External"/><Relationship Id="rId88" Type="http://schemas.openxmlformats.org/officeDocument/2006/relationships/header" Target="header32.xml"/><Relationship Id="rId91" Type="http://schemas.openxmlformats.org/officeDocument/2006/relationships/footer" Target="footer33.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header" Target="header20.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header" Target="header25.xml"/><Relationship Id="rId78" Type="http://schemas.openxmlformats.org/officeDocument/2006/relationships/footer" Target="footer27.xml"/><Relationship Id="rId81" Type="http://schemas.openxmlformats.org/officeDocument/2006/relationships/header" Target="header29.xml"/><Relationship Id="rId86" Type="http://schemas.openxmlformats.org/officeDocument/2006/relationships/header" Target="header31.xml"/><Relationship Id="rId94"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1.xml"/><Relationship Id="rId34" Type="http://schemas.openxmlformats.org/officeDocument/2006/relationships/footer" Target="footer8.xml"/><Relationship Id="rId50" Type="http://schemas.openxmlformats.org/officeDocument/2006/relationships/footer" Target="footer16.xml"/><Relationship Id="rId55" Type="http://schemas.openxmlformats.org/officeDocument/2006/relationships/header" Target="header19.xml"/><Relationship Id="rId76" Type="http://schemas.openxmlformats.org/officeDocument/2006/relationships/footer" Target="footer26.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funcef.com.br" TargetMode="External"/><Relationship Id="rId9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footer" Target="footer11.xml"/><Relationship Id="rId45" Type="http://schemas.openxmlformats.org/officeDocument/2006/relationships/header" Target="header14.xml"/><Relationship Id="rId66" Type="http://schemas.openxmlformats.org/officeDocument/2006/relationships/header" Target="header24.xml"/><Relationship Id="rId87" Type="http://schemas.openxmlformats.org/officeDocument/2006/relationships/footer" Target="footer31.xml"/><Relationship Id="rId61" Type="http://schemas.openxmlformats.org/officeDocument/2006/relationships/hyperlink" Target="https://portalacordo.pagamentodapoupanca.com.br/" TargetMode="External"/><Relationship Id="rId82" Type="http://schemas.openxmlformats.org/officeDocument/2006/relationships/footer" Target="footer29.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7.xml"/><Relationship Id="rId35" Type="http://schemas.openxmlformats.org/officeDocument/2006/relationships/header" Target="header9.xml"/><Relationship Id="rId56" Type="http://schemas.openxmlformats.org/officeDocument/2006/relationships/footer" Target="footer19.xml"/><Relationship Id="rId77" Type="http://schemas.openxmlformats.org/officeDocument/2006/relationships/header" Target="header27.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hyperlink" Target="http://www.funcef.com.br/" TargetMode="External"/><Relationship Id="rId93" Type="http://schemas.openxmlformats.org/officeDocument/2006/relationships/footer" Target="footer34.xm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14.png"/></Relationships>
</file>

<file path=word/_rels/header33.xml.rels><?xml version="1.0" encoding="UTF-8" standalone="yes"?>
<Relationships xmlns="http://schemas.openxmlformats.org/package/2006/relationships"><Relationship Id="rId1" Type="http://schemas.openxmlformats.org/officeDocument/2006/relationships/image" Target="media/image14.png"/></Relationships>
</file>

<file path=word/_rels/header34.xml.rels><?xml version="1.0" encoding="UTF-8" standalone="yes"?>
<Relationships xmlns="http://schemas.openxmlformats.org/package/2006/relationships"><Relationship Id="rId1" Type="http://schemas.openxmlformats.org/officeDocument/2006/relationships/image" Target="media/image15.emf"/></Relationships>
</file>

<file path=word/_rels/header35.xml.rels><?xml version="1.0" encoding="UTF-8" standalone="yes"?>
<Relationships xmlns="http://schemas.openxmlformats.org/package/2006/relationships"><Relationship Id="rId1" Type="http://schemas.openxmlformats.org/officeDocument/2006/relationships/image" Target="media/image15.emf"/></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43076F246352C4CA508CA1424F8262C" ma:contentTypeVersion="21" ma:contentTypeDescription="Crie um novo documento." ma:contentTypeScope="" ma:versionID="b3a70a67e41d1f3513ddd0cfaaa0bd12">
  <xsd:schema xmlns:xsd="http://www.w3.org/2001/XMLSchema" xmlns:xs="http://www.w3.org/2001/XMLSchema" xmlns:p="http://schemas.microsoft.com/office/2006/metadata/properties" xmlns:ns1="http://schemas.microsoft.com/sharepoint/v3" xmlns:ns2="89ac7bd9-aeae-49f8-b30d-d89185adcc1f" xmlns:ns3="a6443ccf-9d13-4401-9238-d7ad28d038a5" targetNamespace="http://schemas.microsoft.com/office/2006/metadata/properties" ma:root="true" ma:fieldsID="ae1e76abb335939cefeebf19f5faa909" ns1:_="" ns2:_="" ns3:_="">
    <xsd:import namespace="http://schemas.microsoft.com/sharepoint/v3"/>
    <xsd:import namespace="89ac7bd9-aeae-49f8-b30d-d89185adcc1f"/>
    <xsd:import namespace="a6443ccf-9d13-4401-9238-d7ad28d038a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AutoKeyPoints" minOccurs="0"/>
                <xsd:element ref="ns2:MediaServiceKeyPoint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Propriedades da Política de Conformidade Unificada" ma:hidden="true" ma:internalName="_ip_UnifiedCompliancePolicyProperties">
      <xsd:simpleType>
        <xsd:restriction base="dms:Note"/>
      </xsd:simpleType>
    </xsd:element>
    <xsd:element name="_ip_UnifiedCompliancePolicyUIAction" ma:index="11"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ac7bd9-aeae-49f8-b30d-d89185adc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4faff722-0fb5-4c44-9338-8716c1879395"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43ccf-9d13-4401-9238-d7ad28d038a5"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2c975b39-4589-4920-b8b1-6cacadf254ea}" ma:internalName="TaxCatchAll" ma:showField="CatchAllData" ma:web="a6443ccf-9d13-4401-9238-d7ad28d03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6443ccf-9d13-4401-9238-d7ad28d038a5" xsi:nil="true"/>
    <lcf76f155ced4ddcb4097134ff3c332f xmlns="89ac7bd9-aeae-49f8-b30d-d89185adcc1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D38FC1-F57F-4BAE-8270-691B78B46978}"/>
</file>

<file path=customXml/itemProps2.xml><?xml version="1.0" encoding="utf-8"?>
<ds:datastoreItem xmlns:ds="http://schemas.openxmlformats.org/officeDocument/2006/customXml" ds:itemID="{9616438A-2962-46A0-AF7B-AA736BF26DE1}">
  <ds:schemaRefs>
    <ds:schemaRef ds:uri="dfc6615f-1604-4356-9328-be152c3ad6cb"/>
    <ds:schemaRef ds:uri="http://purl.org/dc/terms/"/>
    <ds:schemaRef ds:uri="http://schemas.microsoft.com/sharepoint/v3"/>
    <ds:schemaRef ds:uri="http://schemas.microsoft.com/office/2006/metadata/propertie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0faeec46-a557-401a-bfb0-3b6259be54b9"/>
    <ds:schemaRef ds:uri="http://www.w3.org/XML/1998/namespace"/>
  </ds:schemaRefs>
</ds:datastoreItem>
</file>

<file path=customXml/itemProps3.xml><?xml version="1.0" encoding="utf-8"?>
<ds:datastoreItem xmlns:ds="http://schemas.openxmlformats.org/officeDocument/2006/customXml" ds:itemID="{AAE1E0DA-051E-4D31-AC47-74C43F1086E3}">
  <ds:schemaRefs>
    <ds:schemaRef ds:uri="http://schemas.openxmlformats.org/officeDocument/2006/bibliography"/>
  </ds:schemaRefs>
</ds:datastoreItem>
</file>

<file path=customXml/itemProps4.xml><?xml version="1.0" encoding="utf-8"?>
<ds:datastoreItem xmlns:ds="http://schemas.openxmlformats.org/officeDocument/2006/customXml" ds:itemID="{0A2014DC-0DB3-4459-A325-F284CF442A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134</Pages>
  <Words>44492</Words>
  <Characters>273532</Characters>
  <Application>Microsoft Office Word</Application>
  <DocSecurity>0</DocSecurity>
  <Lines>2279</Lines>
  <Paragraphs>634</Paragraphs>
  <ScaleCrop>false</ScaleCrop>
  <Company>Caixa Economica Federal</Company>
  <LinksUpToDate>false</LinksUpToDate>
  <CharactersWithSpaces>317390</CharactersWithSpaces>
  <SharedDoc>false</SharedDoc>
  <HLinks>
    <vt:vector size="324" baseType="variant">
      <vt:variant>
        <vt:i4>1703967</vt:i4>
      </vt:variant>
      <vt:variant>
        <vt:i4>300</vt:i4>
      </vt:variant>
      <vt:variant>
        <vt:i4>0</vt:i4>
      </vt:variant>
      <vt:variant>
        <vt:i4>5</vt:i4>
      </vt:variant>
      <vt:variant>
        <vt:lpwstr>https://www.caixa.gov.br/sustentabilidade/riscos-socioambientais/Paginas/default.aspx</vt:lpwstr>
      </vt:variant>
      <vt:variant>
        <vt:lpwstr/>
      </vt:variant>
      <vt:variant>
        <vt:i4>5963852</vt:i4>
      </vt:variant>
      <vt:variant>
        <vt:i4>297</vt:i4>
      </vt:variant>
      <vt:variant>
        <vt:i4>0</vt:i4>
      </vt:variant>
      <vt:variant>
        <vt:i4>5</vt:i4>
      </vt:variant>
      <vt:variant>
        <vt:lpwstr>http://www.funcef.com.br/</vt:lpwstr>
      </vt:variant>
      <vt:variant>
        <vt:lpwstr/>
      </vt:variant>
      <vt:variant>
        <vt:i4>5963852</vt:i4>
      </vt:variant>
      <vt:variant>
        <vt:i4>294</vt:i4>
      </vt:variant>
      <vt:variant>
        <vt:i4>0</vt:i4>
      </vt:variant>
      <vt:variant>
        <vt:i4>5</vt:i4>
      </vt:variant>
      <vt:variant>
        <vt:lpwstr>http://www.funcef.com.br/</vt:lpwstr>
      </vt:variant>
      <vt:variant>
        <vt:lpwstr/>
      </vt:variant>
      <vt:variant>
        <vt:i4>5963852</vt:i4>
      </vt:variant>
      <vt:variant>
        <vt:i4>291</vt:i4>
      </vt:variant>
      <vt:variant>
        <vt:i4>0</vt:i4>
      </vt:variant>
      <vt:variant>
        <vt:i4>5</vt:i4>
      </vt:variant>
      <vt:variant>
        <vt:lpwstr>http://www.funcef.com.br/</vt:lpwstr>
      </vt:variant>
      <vt:variant>
        <vt:lpwstr/>
      </vt:variant>
      <vt:variant>
        <vt:i4>5963852</vt:i4>
      </vt:variant>
      <vt:variant>
        <vt:i4>288</vt:i4>
      </vt:variant>
      <vt:variant>
        <vt:i4>0</vt:i4>
      </vt:variant>
      <vt:variant>
        <vt:i4>5</vt:i4>
      </vt:variant>
      <vt:variant>
        <vt:lpwstr>http://www.funcef.com.br/</vt:lpwstr>
      </vt:variant>
      <vt:variant>
        <vt:lpwstr/>
      </vt:variant>
      <vt:variant>
        <vt:i4>7209077</vt:i4>
      </vt:variant>
      <vt:variant>
        <vt:i4>285</vt:i4>
      </vt:variant>
      <vt:variant>
        <vt:i4>0</vt:i4>
      </vt:variant>
      <vt:variant>
        <vt:i4>5</vt:i4>
      </vt:variant>
      <vt:variant>
        <vt:lpwstr>http://www.previdencia.gov.br/a-previdencia/previc/legislacao-da-previdencia-complementar/</vt:lpwstr>
      </vt:variant>
      <vt:variant>
        <vt:lpwstr/>
      </vt:variant>
      <vt:variant>
        <vt:i4>5308424</vt:i4>
      </vt:variant>
      <vt:variant>
        <vt:i4>282</vt:i4>
      </vt:variant>
      <vt:variant>
        <vt:i4>0</vt:i4>
      </vt:variant>
      <vt:variant>
        <vt:i4>5</vt:i4>
      </vt:variant>
      <vt:variant>
        <vt:lpwstr>https://portalacordo.pagamentodapoupanca.com.br/</vt:lpwstr>
      </vt:variant>
      <vt:variant>
        <vt:lpwstr/>
      </vt:variant>
      <vt:variant>
        <vt:i4>917530</vt:i4>
      </vt:variant>
      <vt:variant>
        <vt:i4>279</vt:i4>
      </vt:variant>
      <vt:variant>
        <vt:i4>0</vt:i4>
      </vt:variant>
      <vt:variant>
        <vt:i4>5</vt:i4>
      </vt:variant>
      <vt:variant>
        <vt:lpwstr/>
      </vt:variant>
      <vt:variant>
        <vt:lpwstr>Nota1</vt:lpwstr>
      </vt:variant>
      <vt:variant>
        <vt:i4>2031675</vt:i4>
      </vt:variant>
      <vt:variant>
        <vt:i4>272</vt:i4>
      </vt:variant>
      <vt:variant>
        <vt:i4>0</vt:i4>
      </vt:variant>
      <vt:variant>
        <vt:i4>5</vt:i4>
      </vt:variant>
      <vt:variant>
        <vt:lpwstr/>
      </vt:variant>
      <vt:variant>
        <vt:lpwstr>_Toc175067980</vt:lpwstr>
      </vt:variant>
      <vt:variant>
        <vt:i4>1048635</vt:i4>
      </vt:variant>
      <vt:variant>
        <vt:i4>266</vt:i4>
      </vt:variant>
      <vt:variant>
        <vt:i4>0</vt:i4>
      </vt:variant>
      <vt:variant>
        <vt:i4>5</vt:i4>
      </vt:variant>
      <vt:variant>
        <vt:lpwstr/>
      </vt:variant>
      <vt:variant>
        <vt:lpwstr>_Toc175067979</vt:lpwstr>
      </vt:variant>
      <vt:variant>
        <vt:i4>1048635</vt:i4>
      </vt:variant>
      <vt:variant>
        <vt:i4>260</vt:i4>
      </vt:variant>
      <vt:variant>
        <vt:i4>0</vt:i4>
      </vt:variant>
      <vt:variant>
        <vt:i4>5</vt:i4>
      </vt:variant>
      <vt:variant>
        <vt:lpwstr/>
      </vt:variant>
      <vt:variant>
        <vt:lpwstr>_Toc175067978</vt:lpwstr>
      </vt:variant>
      <vt:variant>
        <vt:i4>1048635</vt:i4>
      </vt:variant>
      <vt:variant>
        <vt:i4>254</vt:i4>
      </vt:variant>
      <vt:variant>
        <vt:i4>0</vt:i4>
      </vt:variant>
      <vt:variant>
        <vt:i4>5</vt:i4>
      </vt:variant>
      <vt:variant>
        <vt:lpwstr/>
      </vt:variant>
      <vt:variant>
        <vt:lpwstr>_Toc175067977</vt:lpwstr>
      </vt:variant>
      <vt:variant>
        <vt:i4>1048635</vt:i4>
      </vt:variant>
      <vt:variant>
        <vt:i4>248</vt:i4>
      </vt:variant>
      <vt:variant>
        <vt:i4>0</vt:i4>
      </vt:variant>
      <vt:variant>
        <vt:i4>5</vt:i4>
      </vt:variant>
      <vt:variant>
        <vt:lpwstr/>
      </vt:variant>
      <vt:variant>
        <vt:lpwstr>_Toc175067976</vt:lpwstr>
      </vt:variant>
      <vt:variant>
        <vt:i4>1048635</vt:i4>
      </vt:variant>
      <vt:variant>
        <vt:i4>242</vt:i4>
      </vt:variant>
      <vt:variant>
        <vt:i4>0</vt:i4>
      </vt:variant>
      <vt:variant>
        <vt:i4>5</vt:i4>
      </vt:variant>
      <vt:variant>
        <vt:lpwstr/>
      </vt:variant>
      <vt:variant>
        <vt:lpwstr>_Toc175067975</vt:lpwstr>
      </vt:variant>
      <vt:variant>
        <vt:i4>1048635</vt:i4>
      </vt:variant>
      <vt:variant>
        <vt:i4>236</vt:i4>
      </vt:variant>
      <vt:variant>
        <vt:i4>0</vt:i4>
      </vt:variant>
      <vt:variant>
        <vt:i4>5</vt:i4>
      </vt:variant>
      <vt:variant>
        <vt:lpwstr/>
      </vt:variant>
      <vt:variant>
        <vt:lpwstr>_Toc175067974</vt:lpwstr>
      </vt:variant>
      <vt:variant>
        <vt:i4>1048635</vt:i4>
      </vt:variant>
      <vt:variant>
        <vt:i4>230</vt:i4>
      </vt:variant>
      <vt:variant>
        <vt:i4>0</vt:i4>
      </vt:variant>
      <vt:variant>
        <vt:i4>5</vt:i4>
      </vt:variant>
      <vt:variant>
        <vt:lpwstr/>
      </vt:variant>
      <vt:variant>
        <vt:lpwstr>_Toc175067973</vt:lpwstr>
      </vt:variant>
      <vt:variant>
        <vt:i4>1048635</vt:i4>
      </vt:variant>
      <vt:variant>
        <vt:i4>224</vt:i4>
      </vt:variant>
      <vt:variant>
        <vt:i4>0</vt:i4>
      </vt:variant>
      <vt:variant>
        <vt:i4>5</vt:i4>
      </vt:variant>
      <vt:variant>
        <vt:lpwstr/>
      </vt:variant>
      <vt:variant>
        <vt:lpwstr>_Toc175067972</vt:lpwstr>
      </vt:variant>
      <vt:variant>
        <vt:i4>1048635</vt:i4>
      </vt:variant>
      <vt:variant>
        <vt:i4>218</vt:i4>
      </vt:variant>
      <vt:variant>
        <vt:i4>0</vt:i4>
      </vt:variant>
      <vt:variant>
        <vt:i4>5</vt:i4>
      </vt:variant>
      <vt:variant>
        <vt:lpwstr/>
      </vt:variant>
      <vt:variant>
        <vt:lpwstr>_Toc175067971</vt:lpwstr>
      </vt:variant>
      <vt:variant>
        <vt:i4>1048635</vt:i4>
      </vt:variant>
      <vt:variant>
        <vt:i4>212</vt:i4>
      </vt:variant>
      <vt:variant>
        <vt:i4>0</vt:i4>
      </vt:variant>
      <vt:variant>
        <vt:i4>5</vt:i4>
      </vt:variant>
      <vt:variant>
        <vt:lpwstr/>
      </vt:variant>
      <vt:variant>
        <vt:lpwstr>_Toc175067970</vt:lpwstr>
      </vt:variant>
      <vt:variant>
        <vt:i4>1114171</vt:i4>
      </vt:variant>
      <vt:variant>
        <vt:i4>206</vt:i4>
      </vt:variant>
      <vt:variant>
        <vt:i4>0</vt:i4>
      </vt:variant>
      <vt:variant>
        <vt:i4>5</vt:i4>
      </vt:variant>
      <vt:variant>
        <vt:lpwstr/>
      </vt:variant>
      <vt:variant>
        <vt:lpwstr>_Toc175067969</vt:lpwstr>
      </vt:variant>
      <vt:variant>
        <vt:i4>1114171</vt:i4>
      </vt:variant>
      <vt:variant>
        <vt:i4>200</vt:i4>
      </vt:variant>
      <vt:variant>
        <vt:i4>0</vt:i4>
      </vt:variant>
      <vt:variant>
        <vt:i4>5</vt:i4>
      </vt:variant>
      <vt:variant>
        <vt:lpwstr/>
      </vt:variant>
      <vt:variant>
        <vt:lpwstr>_Toc175067968</vt:lpwstr>
      </vt:variant>
      <vt:variant>
        <vt:i4>1114171</vt:i4>
      </vt:variant>
      <vt:variant>
        <vt:i4>194</vt:i4>
      </vt:variant>
      <vt:variant>
        <vt:i4>0</vt:i4>
      </vt:variant>
      <vt:variant>
        <vt:i4>5</vt:i4>
      </vt:variant>
      <vt:variant>
        <vt:lpwstr/>
      </vt:variant>
      <vt:variant>
        <vt:lpwstr>_Toc175067967</vt:lpwstr>
      </vt:variant>
      <vt:variant>
        <vt:i4>1114171</vt:i4>
      </vt:variant>
      <vt:variant>
        <vt:i4>188</vt:i4>
      </vt:variant>
      <vt:variant>
        <vt:i4>0</vt:i4>
      </vt:variant>
      <vt:variant>
        <vt:i4>5</vt:i4>
      </vt:variant>
      <vt:variant>
        <vt:lpwstr/>
      </vt:variant>
      <vt:variant>
        <vt:lpwstr>_Toc175067966</vt:lpwstr>
      </vt:variant>
      <vt:variant>
        <vt:i4>1114171</vt:i4>
      </vt:variant>
      <vt:variant>
        <vt:i4>182</vt:i4>
      </vt:variant>
      <vt:variant>
        <vt:i4>0</vt:i4>
      </vt:variant>
      <vt:variant>
        <vt:i4>5</vt:i4>
      </vt:variant>
      <vt:variant>
        <vt:lpwstr/>
      </vt:variant>
      <vt:variant>
        <vt:lpwstr>_Toc175067965</vt:lpwstr>
      </vt:variant>
      <vt:variant>
        <vt:i4>1114171</vt:i4>
      </vt:variant>
      <vt:variant>
        <vt:i4>176</vt:i4>
      </vt:variant>
      <vt:variant>
        <vt:i4>0</vt:i4>
      </vt:variant>
      <vt:variant>
        <vt:i4>5</vt:i4>
      </vt:variant>
      <vt:variant>
        <vt:lpwstr/>
      </vt:variant>
      <vt:variant>
        <vt:lpwstr>_Toc175067964</vt:lpwstr>
      </vt:variant>
      <vt:variant>
        <vt:i4>1114171</vt:i4>
      </vt:variant>
      <vt:variant>
        <vt:i4>170</vt:i4>
      </vt:variant>
      <vt:variant>
        <vt:i4>0</vt:i4>
      </vt:variant>
      <vt:variant>
        <vt:i4>5</vt:i4>
      </vt:variant>
      <vt:variant>
        <vt:lpwstr/>
      </vt:variant>
      <vt:variant>
        <vt:lpwstr>_Toc175067963</vt:lpwstr>
      </vt:variant>
      <vt:variant>
        <vt:i4>1114171</vt:i4>
      </vt:variant>
      <vt:variant>
        <vt:i4>164</vt:i4>
      </vt:variant>
      <vt:variant>
        <vt:i4>0</vt:i4>
      </vt:variant>
      <vt:variant>
        <vt:i4>5</vt:i4>
      </vt:variant>
      <vt:variant>
        <vt:lpwstr/>
      </vt:variant>
      <vt:variant>
        <vt:lpwstr>_Toc175067962</vt:lpwstr>
      </vt:variant>
      <vt:variant>
        <vt:i4>1114171</vt:i4>
      </vt:variant>
      <vt:variant>
        <vt:i4>158</vt:i4>
      </vt:variant>
      <vt:variant>
        <vt:i4>0</vt:i4>
      </vt:variant>
      <vt:variant>
        <vt:i4>5</vt:i4>
      </vt:variant>
      <vt:variant>
        <vt:lpwstr/>
      </vt:variant>
      <vt:variant>
        <vt:lpwstr>_Toc175067961</vt:lpwstr>
      </vt:variant>
      <vt:variant>
        <vt:i4>1114171</vt:i4>
      </vt:variant>
      <vt:variant>
        <vt:i4>152</vt:i4>
      </vt:variant>
      <vt:variant>
        <vt:i4>0</vt:i4>
      </vt:variant>
      <vt:variant>
        <vt:i4>5</vt:i4>
      </vt:variant>
      <vt:variant>
        <vt:lpwstr/>
      </vt:variant>
      <vt:variant>
        <vt:lpwstr>_Toc175067960</vt:lpwstr>
      </vt:variant>
      <vt:variant>
        <vt:i4>1179707</vt:i4>
      </vt:variant>
      <vt:variant>
        <vt:i4>146</vt:i4>
      </vt:variant>
      <vt:variant>
        <vt:i4>0</vt:i4>
      </vt:variant>
      <vt:variant>
        <vt:i4>5</vt:i4>
      </vt:variant>
      <vt:variant>
        <vt:lpwstr/>
      </vt:variant>
      <vt:variant>
        <vt:lpwstr>_Toc175067959</vt:lpwstr>
      </vt:variant>
      <vt:variant>
        <vt:i4>1179707</vt:i4>
      </vt:variant>
      <vt:variant>
        <vt:i4>140</vt:i4>
      </vt:variant>
      <vt:variant>
        <vt:i4>0</vt:i4>
      </vt:variant>
      <vt:variant>
        <vt:i4>5</vt:i4>
      </vt:variant>
      <vt:variant>
        <vt:lpwstr/>
      </vt:variant>
      <vt:variant>
        <vt:lpwstr>_Toc175067958</vt:lpwstr>
      </vt:variant>
      <vt:variant>
        <vt:i4>1179707</vt:i4>
      </vt:variant>
      <vt:variant>
        <vt:i4>134</vt:i4>
      </vt:variant>
      <vt:variant>
        <vt:i4>0</vt:i4>
      </vt:variant>
      <vt:variant>
        <vt:i4>5</vt:i4>
      </vt:variant>
      <vt:variant>
        <vt:lpwstr/>
      </vt:variant>
      <vt:variant>
        <vt:lpwstr>_Toc175067957</vt:lpwstr>
      </vt:variant>
      <vt:variant>
        <vt:i4>1179707</vt:i4>
      </vt:variant>
      <vt:variant>
        <vt:i4>128</vt:i4>
      </vt:variant>
      <vt:variant>
        <vt:i4>0</vt:i4>
      </vt:variant>
      <vt:variant>
        <vt:i4>5</vt:i4>
      </vt:variant>
      <vt:variant>
        <vt:lpwstr/>
      </vt:variant>
      <vt:variant>
        <vt:lpwstr>_Toc175067956</vt:lpwstr>
      </vt:variant>
      <vt:variant>
        <vt:i4>1179707</vt:i4>
      </vt:variant>
      <vt:variant>
        <vt:i4>122</vt:i4>
      </vt:variant>
      <vt:variant>
        <vt:i4>0</vt:i4>
      </vt:variant>
      <vt:variant>
        <vt:i4>5</vt:i4>
      </vt:variant>
      <vt:variant>
        <vt:lpwstr/>
      </vt:variant>
      <vt:variant>
        <vt:lpwstr>_Toc175067955</vt:lpwstr>
      </vt:variant>
      <vt:variant>
        <vt:i4>1179707</vt:i4>
      </vt:variant>
      <vt:variant>
        <vt:i4>116</vt:i4>
      </vt:variant>
      <vt:variant>
        <vt:i4>0</vt:i4>
      </vt:variant>
      <vt:variant>
        <vt:i4>5</vt:i4>
      </vt:variant>
      <vt:variant>
        <vt:lpwstr/>
      </vt:variant>
      <vt:variant>
        <vt:lpwstr>_Toc175067954</vt:lpwstr>
      </vt:variant>
      <vt:variant>
        <vt:i4>1179707</vt:i4>
      </vt:variant>
      <vt:variant>
        <vt:i4>110</vt:i4>
      </vt:variant>
      <vt:variant>
        <vt:i4>0</vt:i4>
      </vt:variant>
      <vt:variant>
        <vt:i4>5</vt:i4>
      </vt:variant>
      <vt:variant>
        <vt:lpwstr/>
      </vt:variant>
      <vt:variant>
        <vt:lpwstr>_Toc175067953</vt:lpwstr>
      </vt:variant>
      <vt:variant>
        <vt:i4>1179707</vt:i4>
      </vt:variant>
      <vt:variant>
        <vt:i4>104</vt:i4>
      </vt:variant>
      <vt:variant>
        <vt:i4>0</vt:i4>
      </vt:variant>
      <vt:variant>
        <vt:i4>5</vt:i4>
      </vt:variant>
      <vt:variant>
        <vt:lpwstr/>
      </vt:variant>
      <vt:variant>
        <vt:lpwstr>_Toc175067952</vt:lpwstr>
      </vt:variant>
      <vt:variant>
        <vt:i4>1179707</vt:i4>
      </vt:variant>
      <vt:variant>
        <vt:i4>98</vt:i4>
      </vt:variant>
      <vt:variant>
        <vt:i4>0</vt:i4>
      </vt:variant>
      <vt:variant>
        <vt:i4>5</vt:i4>
      </vt:variant>
      <vt:variant>
        <vt:lpwstr/>
      </vt:variant>
      <vt:variant>
        <vt:lpwstr>_Toc175067951</vt:lpwstr>
      </vt:variant>
      <vt:variant>
        <vt:i4>1179707</vt:i4>
      </vt:variant>
      <vt:variant>
        <vt:i4>92</vt:i4>
      </vt:variant>
      <vt:variant>
        <vt:i4>0</vt:i4>
      </vt:variant>
      <vt:variant>
        <vt:i4>5</vt:i4>
      </vt:variant>
      <vt:variant>
        <vt:lpwstr/>
      </vt:variant>
      <vt:variant>
        <vt:lpwstr>_Toc175067950</vt:lpwstr>
      </vt:variant>
      <vt:variant>
        <vt:i4>1245243</vt:i4>
      </vt:variant>
      <vt:variant>
        <vt:i4>86</vt:i4>
      </vt:variant>
      <vt:variant>
        <vt:i4>0</vt:i4>
      </vt:variant>
      <vt:variant>
        <vt:i4>5</vt:i4>
      </vt:variant>
      <vt:variant>
        <vt:lpwstr/>
      </vt:variant>
      <vt:variant>
        <vt:lpwstr>_Toc175067949</vt:lpwstr>
      </vt:variant>
      <vt:variant>
        <vt:i4>1245243</vt:i4>
      </vt:variant>
      <vt:variant>
        <vt:i4>80</vt:i4>
      </vt:variant>
      <vt:variant>
        <vt:i4>0</vt:i4>
      </vt:variant>
      <vt:variant>
        <vt:i4>5</vt:i4>
      </vt:variant>
      <vt:variant>
        <vt:lpwstr/>
      </vt:variant>
      <vt:variant>
        <vt:lpwstr>_Toc175067948</vt:lpwstr>
      </vt:variant>
      <vt:variant>
        <vt:i4>1245243</vt:i4>
      </vt:variant>
      <vt:variant>
        <vt:i4>74</vt:i4>
      </vt:variant>
      <vt:variant>
        <vt:i4>0</vt:i4>
      </vt:variant>
      <vt:variant>
        <vt:i4>5</vt:i4>
      </vt:variant>
      <vt:variant>
        <vt:lpwstr/>
      </vt:variant>
      <vt:variant>
        <vt:lpwstr>_Toc175067947</vt:lpwstr>
      </vt:variant>
      <vt:variant>
        <vt:i4>1245243</vt:i4>
      </vt:variant>
      <vt:variant>
        <vt:i4>68</vt:i4>
      </vt:variant>
      <vt:variant>
        <vt:i4>0</vt:i4>
      </vt:variant>
      <vt:variant>
        <vt:i4>5</vt:i4>
      </vt:variant>
      <vt:variant>
        <vt:lpwstr/>
      </vt:variant>
      <vt:variant>
        <vt:lpwstr>_Toc175067946</vt:lpwstr>
      </vt:variant>
      <vt:variant>
        <vt:i4>1245243</vt:i4>
      </vt:variant>
      <vt:variant>
        <vt:i4>62</vt:i4>
      </vt:variant>
      <vt:variant>
        <vt:i4>0</vt:i4>
      </vt:variant>
      <vt:variant>
        <vt:i4>5</vt:i4>
      </vt:variant>
      <vt:variant>
        <vt:lpwstr/>
      </vt:variant>
      <vt:variant>
        <vt:lpwstr>_Toc175067945</vt:lpwstr>
      </vt:variant>
      <vt:variant>
        <vt:i4>1245243</vt:i4>
      </vt:variant>
      <vt:variant>
        <vt:i4>56</vt:i4>
      </vt:variant>
      <vt:variant>
        <vt:i4>0</vt:i4>
      </vt:variant>
      <vt:variant>
        <vt:i4>5</vt:i4>
      </vt:variant>
      <vt:variant>
        <vt:lpwstr/>
      </vt:variant>
      <vt:variant>
        <vt:lpwstr>_Toc175067944</vt:lpwstr>
      </vt:variant>
      <vt:variant>
        <vt:i4>1245243</vt:i4>
      </vt:variant>
      <vt:variant>
        <vt:i4>50</vt:i4>
      </vt:variant>
      <vt:variant>
        <vt:i4>0</vt:i4>
      </vt:variant>
      <vt:variant>
        <vt:i4>5</vt:i4>
      </vt:variant>
      <vt:variant>
        <vt:lpwstr/>
      </vt:variant>
      <vt:variant>
        <vt:lpwstr>_Toc175067943</vt:lpwstr>
      </vt:variant>
      <vt:variant>
        <vt:i4>1245243</vt:i4>
      </vt:variant>
      <vt:variant>
        <vt:i4>44</vt:i4>
      </vt:variant>
      <vt:variant>
        <vt:i4>0</vt:i4>
      </vt:variant>
      <vt:variant>
        <vt:i4>5</vt:i4>
      </vt:variant>
      <vt:variant>
        <vt:lpwstr/>
      </vt:variant>
      <vt:variant>
        <vt:lpwstr>_Toc175067942</vt:lpwstr>
      </vt:variant>
      <vt:variant>
        <vt:i4>1245243</vt:i4>
      </vt:variant>
      <vt:variant>
        <vt:i4>38</vt:i4>
      </vt:variant>
      <vt:variant>
        <vt:i4>0</vt:i4>
      </vt:variant>
      <vt:variant>
        <vt:i4>5</vt:i4>
      </vt:variant>
      <vt:variant>
        <vt:lpwstr/>
      </vt:variant>
      <vt:variant>
        <vt:lpwstr>_Toc175067941</vt:lpwstr>
      </vt:variant>
      <vt:variant>
        <vt:i4>1245243</vt:i4>
      </vt:variant>
      <vt:variant>
        <vt:i4>32</vt:i4>
      </vt:variant>
      <vt:variant>
        <vt:i4>0</vt:i4>
      </vt:variant>
      <vt:variant>
        <vt:i4>5</vt:i4>
      </vt:variant>
      <vt:variant>
        <vt:lpwstr/>
      </vt:variant>
      <vt:variant>
        <vt:lpwstr>_Toc175067940</vt:lpwstr>
      </vt:variant>
      <vt:variant>
        <vt:i4>1310779</vt:i4>
      </vt:variant>
      <vt:variant>
        <vt:i4>26</vt:i4>
      </vt:variant>
      <vt:variant>
        <vt:i4>0</vt:i4>
      </vt:variant>
      <vt:variant>
        <vt:i4>5</vt:i4>
      </vt:variant>
      <vt:variant>
        <vt:lpwstr/>
      </vt:variant>
      <vt:variant>
        <vt:lpwstr>_Toc175067939</vt:lpwstr>
      </vt:variant>
      <vt:variant>
        <vt:i4>1310779</vt:i4>
      </vt:variant>
      <vt:variant>
        <vt:i4>20</vt:i4>
      </vt:variant>
      <vt:variant>
        <vt:i4>0</vt:i4>
      </vt:variant>
      <vt:variant>
        <vt:i4>5</vt:i4>
      </vt:variant>
      <vt:variant>
        <vt:lpwstr/>
      </vt:variant>
      <vt:variant>
        <vt:lpwstr>_Toc175067938</vt:lpwstr>
      </vt:variant>
      <vt:variant>
        <vt:i4>1310779</vt:i4>
      </vt:variant>
      <vt:variant>
        <vt:i4>14</vt:i4>
      </vt:variant>
      <vt:variant>
        <vt:i4>0</vt:i4>
      </vt:variant>
      <vt:variant>
        <vt:i4>5</vt:i4>
      </vt:variant>
      <vt:variant>
        <vt:lpwstr/>
      </vt:variant>
      <vt:variant>
        <vt:lpwstr>_Toc175067937</vt:lpwstr>
      </vt:variant>
      <vt:variant>
        <vt:i4>1310779</vt:i4>
      </vt:variant>
      <vt:variant>
        <vt:i4>8</vt:i4>
      </vt:variant>
      <vt:variant>
        <vt:i4>0</vt:i4>
      </vt:variant>
      <vt:variant>
        <vt:i4>5</vt:i4>
      </vt:variant>
      <vt:variant>
        <vt:lpwstr/>
      </vt:variant>
      <vt:variant>
        <vt:lpwstr>_Toc175067936</vt:lpwstr>
      </vt:variant>
      <vt:variant>
        <vt:i4>1310779</vt:i4>
      </vt:variant>
      <vt:variant>
        <vt:i4>2</vt:i4>
      </vt:variant>
      <vt:variant>
        <vt:i4>0</vt:i4>
      </vt:variant>
      <vt:variant>
        <vt:i4>5</vt:i4>
      </vt:variant>
      <vt:variant>
        <vt:lpwstr/>
      </vt:variant>
      <vt:variant>
        <vt:lpwstr>_Toc175067935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dos Santos Siqueira</dc:creator>
  <cp:keywords/>
  <dc:description/>
  <cp:lastModifiedBy>Leonardo dos Santos Alves</cp:lastModifiedBy>
  <cp:revision>3844</cp:revision>
  <cp:lastPrinted>2024-08-21T19:56:00Z</cp:lastPrinted>
  <dcterms:created xsi:type="dcterms:W3CDTF">2023-06-16T20:37:00Z</dcterms:created>
  <dcterms:modified xsi:type="dcterms:W3CDTF">2024-08-21T21:06:00Z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0x010100D43076F246352C4CA508CA1424F8262C</vt:lpwstr>
  </property>
  <property fmtid="{D5CDD505-2E9C-101B-9397-08002B2CF9AE}" pid="3" name="Order">
    <vt:r8>559000</vt:r8>
  </property>
  <property fmtid="{D5CDD505-2E9C-101B-9397-08002B2CF9AE}" pid="4" name="MediaServiceImageTags">
    <vt:lpwstr/>
  </property>
  <property fmtid="{D5CDD505-2E9C-101B-9397-08002B2CF9AE}" pid="5" name="MSIP_Label_fde7aacd-7cc4-4c31-9e6f-7ef306428f09_Enabled">
    <vt:lpwstr>true</vt:lpwstr>
  </property>
  <property fmtid="{D5CDD505-2E9C-101B-9397-08002B2CF9AE}" pid="6" name="MSIP_Label_fde7aacd-7cc4-4c31-9e6f-7ef306428f09_Method">
    <vt:lpwstr>Privileged</vt:lpwstr>
  </property>
  <property fmtid="{D5CDD505-2E9C-101B-9397-08002B2CF9AE}" pid="7" name="MSIP_Label_fde7aacd-7cc4-4c31-9e6f-7ef306428f09_Name">
    <vt:lpwstr>_PUBLICO</vt:lpwstr>
  </property>
  <property fmtid="{D5CDD505-2E9C-101B-9397-08002B2CF9AE}" pid="8" name="MSIP_Label_fde7aacd-7cc4-4c31-9e6f-7ef306428f09_SiteId">
    <vt:lpwstr>ab9bba98-684a-43fb-add8-9c2bebede229</vt:lpwstr>
  </property>
  <property fmtid="{D5CDD505-2E9C-101B-9397-08002B2CF9AE}" pid="9" name="MSIP_Label_fde7aacd-7cc4-4c31-9e6f-7ef306428f09_ContentBits">
    <vt:lpwstr>1</vt:lpwstr>
  </property>
  <property fmtid="{D5CDD505-2E9C-101B-9397-08002B2CF9AE}" pid="10" name="MSIP_Label_fde7aacd-7cc4-4c31-9e6f-7ef306428f09_SetDate">
    <vt:lpwstr>2024-02-16T20:24:36Z</vt:lpwstr>
  </property>
  <property fmtid="{D5CDD505-2E9C-101B-9397-08002B2CF9AE}" pid="11" name="MSIP_Label_fde7aacd-7cc4-4c31-9e6f-7ef306428f09_ActionId">
    <vt:lpwstr>f819a689-57cd-4b64-ba19-0e093941848a</vt:lpwstr>
  </property>
</Properties>
</file>